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49</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295</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16</w:t>
      </w:r>
      <w:bookmarkStart w:id="6" w:name="_GoBack"/>
      <w:bookmarkEnd w:id="6"/>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2024江苏省贸促会（国际商会）与境外机构、跨国公司联谊活动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在南京举行 </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eastAsia" w:ascii="Times New Roman" w:hAnsi="Times New Roman" w:eastAsia="方正楷体_GBK" w:cs="Times New Roman"/>
          <w:b/>
          <w:bCs w:val="0"/>
          <w:color w:val="auto"/>
          <w:spacing w:val="-11"/>
          <w:kern w:val="36"/>
          <w:sz w:val="30"/>
          <w:szCs w:val="30"/>
          <w:lang w:val="en-US" w:eastAsia="zh-CN"/>
        </w:rPr>
        <w:t>01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省贸促会组团赴港澳开展经贸交流</w:t>
      </w:r>
      <w:r>
        <w:rPr>
          <w:rFonts w:hint="eastAsia" w:ascii="方正楷体_GBK" w:hAnsi="方正楷体_GBK" w:eastAsia="方正楷体_GBK" w:cs="方正楷体_GBK"/>
          <w:b/>
          <w:color w:val="auto"/>
          <w:spacing w:val="-11"/>
          <w:kern w:val="36"/>
          <w:sz w:val="30"/>
          <w:szCs w:val="30"/>
          <w:lang w:val="en-US" w:eastAsia="zh-CN"/>
        </w:rPr>
        <w:t xml:space="preserve"> / </w:t>
      </w:r>
      <w:r>
        <w:rPr>
          <w:rFonts w:hint="eastAsia" w:ascii="Times New Roman" w:hAnsi="Times New Roman" w:eastAsia="方正楷体_GBK" w:cs="Times New Roman"/>
          <w:b/>
          <w:bCs w:val="0"/>
          <w:color w:val="auto"/>
          <w:spacing w:val="-11"/>
          <w:kern w:val="36"/>
          <w:sz w:val="30"/>
          <w:szCs w:val="30"/>
          <w:lang w:val="en-US" w:eastAsia="zh-CN"/>
        </w:rPr>
        <w:t>03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江苏企业跨国投资研讨会在无锡举行 </w:t>
      </w:r>
      <w:r>
        <w:rPr>
          <w:rFonts w:hint="default" w:ascii="方正楷体_GBK" w:hAnsi="方正楷体_GBK" w:eastAsia="方正楷体_GBK" w:cs="方正楷体_GBK"/>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镇江企业亮相2024上海法兰克福国际汽配展</w:t>
      </w:r>
      <w:r>
        <w:rPr>
          <w:rFonts w:hint="eastAsia" w:ascii="Times New Roman" w:hAnsi="Times New Roman" w:eastAsia="方正楷体_GBK" w:cs="Times New Roman"/>
          <w:b/>
          <w:color w:val="auto"/>
          <w:spacing w:val="-11"/>
          <w:kern w:val="36"/>
          <w:sz w:val="30"/>
          <w:szCs w:val="30"/>
          <w:lang w:val="en-US" w:eastAsia="zh-CN"/>
        </w:rPr>
        <w:t xml:space="preserve"> </w:t>
      </w:r>
      <w:r>
        <w:rPr>
          <w:rFonts w:hint="eastAsia" w:ascii="方正楷体_GBK" w:hAnsi="方正楷体_GBK" w:eastAsia="方正楷体_GBK" w:cs="方正楷体_GBK"/>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8</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11"/>
          <w:kern w:val="36"/>
          <w:sz w:val="30"/>
          <w:szCs w:val="30"/>
          <w:lang w:val="en-US" w:eastAsia="zh-CN"/>
        </w:rPr>
        <w:t>连云港市贸促会举办国际经贸形势分析暨争议解决宣讲会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9</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default" w:ascii="Times New Roman" w:hAnsi="Times New Roman" w:eastAsia="方正楷体_GBK" w:cs="Times New Roman"/>
          <w:b/>
          <w:color w:val="auto"/>
          <w:kern w:val="36"/>
          <w:sz w:val="30"/>
          <w:szCs w:val="30"/>
          <w:lang w:val="en-US" w:eastAsia="zh-CN"/>
        </w:rPr>
        <w:t>江苏银行企业上市服务基地揭牌</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11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kern w:val="36"/>
          <w:sz w:val="30"/>
          <w:szCs w:val="30"/>
          <w:lang w:val="en-US" w:eastAsia="zh-CN"/>
        </w:rPr>
        <w:t>中江国际集团获评中施企协“企业信用评价AAA级信用企业”</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12</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bookmarkStart w:id="0" w:name="OLE_LINK6"/>
      <w:r>
        <w:rPr>
          <w:rFonts w:hint="eastAsia" w:ascii="Times New Roman" w:hAnsi="Times New Roman" w:eastAsia="方正楷体_GBK" w:cs="Times New Roman"/>
          <w:b/>
          <w:color w:val="auto"/>
          <w:kern w:val="36"/>
          <w:sz w:val="30"/>
          <w:szCs w:val="30"/>
          <w:lang w:val="en-US" w:eastAsia="zh-CN"/>
        </w:rPr>
        <w:t>亚示照明</w:t>
      </w:r>
      <w:bookmarkEnd w:id="0"/>
      <w:r>
        <w:rPr>
          <w:rFonts w:hint="eastAsia" w:ascii="Times New Roman" w:hAnsi="Times New Roman" w:eastAsia="方正楷体_GBK" w:cs="Times New Roman"/>
          <w:b/>
          <w:color w:val="auto"/>
          <w:kern w:val="36"/>
          <w:sz w:val="30"/>
          <w:szCs w:val="30"/>
          <w:lang w:val="en-US" w:eastAsia="zh-CN"/>
        </w:rPr>
        <w:t>检测中心顺利通过CNAS 实验室认证</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/13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2024江苏省贸促会（国际商会）与境外机构、跨国公司联谊活动在南京举行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12月12日，江苏省贸促会（国际商会）与境外机构、跨国公司联谊活动在南京举行，来自20多个国家和地区贸易投资促进机构、商协会、跨国公司的60多位代表和江苏省国际商会企业家、全省贸促系统代表共130余人参加联谊交流。省贸促会（国际商会）党组书记、会长王善华出席活动并致辞，副会长丛苏峰主持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境外机构、跨国公司和省国际商会会员企业长期以来对江苏开放发展和贸促工作的关心支持。他和与会嘉宾共同回顾了2024年以来省贸促会围绕建设具有世界聚合力的双向开放枢纽和加快打造发展新质生产力重要阵地，充分发挥全省贸易投资促进主渠道作用，放大联络功能、提升服务效能，与境外机构、跨国公司携手合作，共同搭建江苏高层次对外开放平台，拉紧中外工商界合作纽带，推动更多江苏企业江苏产品走向全球，助力营造市场化法治化国际化一流营商环境。他表示，省贸促会（国际商会）将进一步发挥联通政企、融通内外、畅通供需功能，一如既往和广大境外机构、跨国公司加强交流合作，更好地携手共进，助力中外企业互利共赢，共享江苏发展机遇。</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美中贸易全国委员会副会长许子兰、金光集团APP（中国）大纸事业部副总经理孙炳健、施耐德电气（中国）有限公司公司事务总监郁芳等境外机构、跨国公司代表分享了与江苏合作发展的情况以及在绿色低碳领域的发展经验和心得。中国擎天软件科技集团有限公司董事长辛颖梅、江苏苏美达能源控股有限公司董事长郭宏伟作为江苏绿色企业代表分享近年绿色出海情况，盐城市贸促会会长吴海燕介绍盐城市营商环境和产业情况。与会海外嘉宾和江苏企业家热烈交流、深入沟通，畅叙友情、共话合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扩大高水平对外开放是习近平总书记对江苏提出的明确要求。江苏省贸促会（国际商会）将紧紧围绕“一带一路”共建、长三角区域一体化发展等国家发展战略和全省发展大局，坚持“引进来”与“走出去”并重，进一步提升服务能力，切实当好企业沟通政府、联系世界的桥梁和纽带，努力为江苏塑造更高水平开放型经济新优势作出更大贡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（国际联络部、商会秘书处）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省贸促会组团赴港澳开展经贸交流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cs="Times New Roman" w:asciiTheme="minorEastAsia" w:hAnsiTheme="minorEastAsia" w:eastAsiaTheme="minorEastAsia"/>
          <w:color w:val="auto"/>
          <w:spacing w:val="0"/>
          <w:kern w:val="2"/>
          <w:sz w:val="32"/>
          <w:szCs w:val="32"/>
          <w:lang w:val="en-US" w:eastAsia="zh-CN" w:bidi="ar-SA"/>
        </w:rPr>
      </w:pPr>
      <w:r>
        <w:rPr>
          <w:rFonts w:hint="default" w:cs="Times New Roman" w:asciiTheme="minorEastAsia" w:hAnsiTheme="minorEastAsia" w:eastAsiaTheme="minorEastAsia"/>
          <w:color w:val="auto"/>
          <w:spacing w:val="0"/>
          <w:kern w:val="2"/>
          <w:sz w:val="32"/>
          <w:szCs w:val="32"/>
          <w:lang w:val="en-US" w:eastAsia="zh-CN" w:bidi="ar-SA"/>
        </w:rPr>
        <w:t>12月2—7日，江苏省贸促会会长王善华率经贸交流团访问香港、澳门，参加第14届亚洲知识产权营商论坛，拜访境外经贸促进机构和商协会并调研当地企业，进一步深化与港澳经贸交流合作，积极发挥江苏“一带一路”交汇点优势和港澳“超级联系人”独特作用，主动融入粤港澳大湾区建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cs="Times New Roman" w:asciiTheme="minorEastAsia" w:hAnsiTheme="minorEastAsia" w:eastAsiaTheme="minorEastAsia"/>
          <w:color w:val="auto"/>
          <w:spacing w:val="0"/>
          <w:kern w:val="2"/>
          <w:sz w:val="32"/>
          <w:szCs w:val="32"/>
          <w:lang w:val="en-US" w:eastAsia="zh-CN" w:bidi="ar-SA"/>
        </w:rPr>
      </w:pPr>
      <w:r>
        <w:rPr>
          <w:rFonts w:hint="default" w:cs="Times New Roman" w:asciiTheme="minorEastAsia" w:hAnsiTheme="minorEastAsia" w:eastAsiaTheme="minorEastAsia"/>
          <w:color w:val="auto"/>
          <w:spacing w:val="0"/>
          <w:kern w:val="2"/>
          <w:sz w:val="32"/>
          <w:szCs w:val="32"/>
          <w:lang w:val="en-US" w:eastAsia="zh-CN" w:bidi="ar-SA"/>
        </w:rPr>
        <w:t xml:space="preserve">王善华一行应邀出席第14届亚洲知识产权营商论坛开幕式，积极推介江苏国际知识产权应用暨项目合作推介会，就加强知识产权保护和促进知识产权转化运用等和与会嘉宾进行深入探讨沟通。论坛期间，交流团就多个智慧医疗、人工智能和机器人等领域的创科项目进行了现场交流。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cs="Times New Roman" w:asciiTheme="minorEastAsia" w:hAnsiTheme="minorEastAsia" w:eastAsiaTheme="minorEastAsia"/>
          <w:color w:val="auto"/>
          <w:spacing w:val="0"/>
          <w:kern w:val="2"/>
          <w:sz w:val="32"/>
          <w:szCs w:val="32"/>
          <w:lang w:val="en-US" w:eastAsia="zh-CN" w:bidi="ar-SA"/>
        </w:rPr>
      </w:pPr>
      <w:r>
        <w:rPr>
          <w:rFonts w:hint="default" w:cs="Times New Roman" w:asciiTheme="minorEastAsia" w:hAnsiTheme="minorEastAsia" w:eastAsiaTheme="minorEastAsia"/>
          <w:color w:val="auto"/>
          <w:spacing w:val="0"/>
          <w:kern w:val="2"/>
          <w:sz w:val="32"/>
          <w:szCs w:val="32"/>
          <w:lang w:val="en-US" w:eastAsia="zh-CN" w:bidi="ar-SA"/>
        </w:rPr>
        <w:t>在香港，王善华一行先后与香港投资推广署内地及大湾区业务总裁李淑菁、香港中华总商会会长蔡冠深、香港中华厂商联合会副会长梁兆贤、香港贸发局华东华中首席代表吕剑、香港交易及结算所有限公司助理副总裁孙明、香港科学园有关负责人等座谈交流。王善华感谢相关机构长期以来对江苏开放型经济及贸促工作的支持，表示香港是江苏企业国际化的重要平台，江苏当前正全力打造具有世界聚合力的双向开放枢纽，推进高水平对外开放，希望双方发挥各自优势，加强信息共享，畅通交流渠道，深化经贸合作，共同服务好苏港两地企业国际化发展。相关机构负责人表示，江苏是经济大省，希望进一步加强与江苏省贸促会的沟通联络，深化各领域双向交流，为苏港融合发展、携手“走出去”贡献更多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cs="Times New Roman" w:asciiTheme="minorEastAsia" w:hAnsiTheme="minorEastAsia" w:eastAsiaTheme="minorEastAsia"/>
          <w:color w:val="auto"/>
          <w:spacing w:val="0"/>
          <w:kern w:val="2"/>
          <w:sz w:val="32"/>
          <w:szCs w:val="32"/>
          <w:lang w:val="en-US" w:eastAsia="zh-CN" w:bidi="ar-SA"/>
        </w:rPr>
      </w:pPr>
      <w:r>
        <w:rPr>
          <w:rFonts w:hint="default" w:cs="Times New Roman" w:asciiTheme="minorEastAsia" w:hAnsiTheme="minorEastAsia" w:eastAsiaTheme="minorEastAsia"/>
          <w:color w:val="auto"/>
          <w:spacing w:val="0"/>
          <w:kern w:val="2"/>
          <w:sz w:val="32"/>
          <w:szCs w:val="32"/>
          <w:lang w:val="en-US" w:eastAsia="zh-CN" w:bidi="ar-SA"/>
        </w:rPr>
        <w:t>在澳门，王善华一行参观了中国与葡语国家商贸合作服务平台展示馆，先后与澳门招商投资促进局代主席李藻森、澳门厂商联合会会长崔煜林、澳门中华总商会理事长马志毅、澳门创世企业集团董事长刘艺良等座谈交流。王善华表示，今年是新中国成立75周年，也是澳门回归祖国25周年，澳门是江苏与葡语国家之间的“纽带”，未来合作潜力巨大。希望彼此发挥各自优势，进一步推动江苏企业利用澳门平台加强与葡语国家经贸交流。相关机构负责人表示，澳门中西文化交融，在推进江苏与葡语国家交流合作和“一带一路”建设中有着独特优势，希望进一步加强联系，发挥各自优势和潜力，更好服务国家发展大局。</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cs="Times New Roman" w:asciiTheme="minorEastAsia" w:hAnsiTheme="minorEastAsia" w:eastAsiaTheme="minorEastAsia"/>
          <w:color w:val="auto"/>
          <w:spacing w:val="0"/>
          <w:kern w:val="2"/>
          <w:sz w:val="32"/>
          <w:szCs w:val="32"/>
          <w:lang w:val="en-US" w:eastAsia="zh-CN" w:bidi="ar-SA"/>
        </w:rPr>
      </w:pPr>
      <w:r>
        <w:rPr>
          <w:rFonts w:hint="default" w:cs="Times New Roman" w:asciiTheme="minorEastAsia" w:hAnsiTheme="minorEastAsia" w:eastAsiaTheme="minorEastAsia"/>
          <w:color w:val="auto"/>
          <w:spacing w:val="0"/>
          <w:kern w:val="2"/>
          <w:sz w:val="32"/>
          <w:szCs w:val="32"/>
          <w:lang w:val="en-US" w:eastAsia="zh-CN" w:bidi="ar-SA"/>
        </w:rPr>
        <w:t>出访期间，交流团拜访中国贸促会驻香港代表处首席代表王冠男、中国贸促会驻澳门代表处首席代表崔文龙和江苏省驻香港经贸代表处首席代表袁明，深入了解江苏企业在香港、澳门的贸易投资情况，就进一步加强协同联动，更好支持江苏企业赴港澳投资进行深入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Times New Roman"/>
          <w:b/>
          <w:bCs/>
          <w:color w:val="FF0000"/>
          <w:spacing w:val="0"/>
          <w:kern w:val="2"/>
          <w:sz w:val="32"/>
          <w:szCs w:val="32"/>
          <w:lang w:val="en-US" w:eastAsia="zh-CN" w:bidi="ar-SA"/>
        </w:rPr>
      </w:pPr>
      <w:r>
        <w:rPr>
          <w:rFonts w:hint="default" w:cs="Times New Roman" w:asciiTheme="minorEastAsia" w:hAnsiTheme="minorEastAsia" w:eastAsiaTheme="minorEastAsia"/>
          <w:color w:val="auto"/>
          <w:spacing w:val="0"/>
          <w:kern w:val="2"/>
          <w:sz w:val="32"/>
          <w:szCs w:val="32"/>
          <w:lang w:val="en-US" w:eastAsia="zh-CN" w:bidi="ar-SA"/>
        </w:rPr>
        <w:t>交流团还调研走访钟山有限公司、华泰金融控股（香港）有限公司等在港澳的江苏企业，详细了解企业在外发展情况，就支持江苏企业更好“走出去”进行交流。</w:t>
      </w:r>
      <w:r>
        <w:rPr>
          <w:rFonts w:hint="eastAsia" w:ascii="方正楷体_GBK" w:hAnsi="方正楷体_GBK" w:eastAsia="方正楷体_GBK" w:cs="Times New Roman"/>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江苏企业跨国投资研讨会在无锡举行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12月10日，省贸促会和省商务厅在无锡共同主办江苏企业跨国投资研讨会。省商务厅副厅长孙津、省贸促会会长王善华和无锡市人民政府副秘书长李亚萍出席并致辞。省贸促会副会长丛苏峰主持研讨会。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本届研讨会以“有序推进全球化布局，提升本土化经营水平”为主题，旨在为江苏企业搭建共享机遇、扩大交流的高质量合作平台，帮助企业进一步畅通供应链、做强产业链，及时妥善应对风险挑战，推进江苏加快建设具有世界聚合力的双向开放枢纽。境外贸易投资促进机构和商协会代表、境外经贸合作区负责人以及各市商务局、贸促会和江苏企业代表500余人参加研讨会，约有65万人次线上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孙津在致辞中表示，江苏企业开展国际投资和经营的条件较好、基础较实。党的十八大以来，江苏企业积极发挥自身优势，通过在更广领域、更深层次、更高水平对外投资兴业，与更多国家实现了优势互补、资源共享、共同发展，涌现了许多勇于探索、不断成功的动人案例。走出去企业应当立足长远，用好国内国际两个市场两种资源，加强内外联动，在提升效率质量的同时更好履行社会责任，强化互利共赢。希望通过本次研讨会，能够不断地增强企业交流互鉴和发展共识，有效提升企业国际化和本土化经营的能力水平。</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王善华在致辞中表示，今年是共建“一带一路”倡议奔向下一个金色十年的开局之年。近年来，江苏锚定建设具有世界聚合力的双向开放枢纽目标，持续推动“一带一路”交汇点建设走深走实，全省对外投资迈出了坚实步伐。江苏省贸促会将利用联通政企、融通内外、畅通供需的优势，充分发挥国际联络的“桥梁纽带”作用、经贸合作的“开放窗口”作用和助企惠企的“保驾护航”作用，当好促进企业跨国投资的联络员和推动者，为江苏更高水平对外开放贡献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李亚萍在致辞中表示，近年来无锡对外投资呈快速发展态势，企业“走出去”跨国经营成为无锡开放型经济高质量发展的新动能。无锡企业对外投资已遍布全球94个国家和地区，覆盖“一带一路”沿线63个国家中的39个，行业领域已覆盖国民经济全部18个大类。无锡市将把“引进来”和“走出去”更好结合，增强对全球优质要素资源的吸引力，提升无锡企业在全球产业链供应链创新链中的地位。</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马来西亚驻上海总领事馆投资领事詹盛福、越南驻上海总领事馆领事梅碧玉、公益财团法人茨城县国际交流协会上海代表处首席代表铃木贤嗣、香港特别行政区政府投资推广署上海办事处副总监谢榆璧作国别（地区）投资环境推介。红豆西港特区董事长陈坚刚以“八方共赢”为主题，分享提升企业本土化经营水平的经验。中江国际集团副总经理邓亚军就企业全球布局的战略思考与实践进行主题分享。</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在圆桌论坛环节，嘉宾主持人金杜律师事务所高级合伙人马笑匀与邓白氏中国区业务副总裁、国际SOS大中华区商务代表及苏美达集团资本控股有限公司、中建国际集团、徐工集团进出口有限公司、江苏泰信机械股份有限公司、确成硅化学股份有限公司负责人围绕提升海外本土化经营能力的路径、数字化驱动产业链和供应链、全球合规新趋势、海外安全风险化解等议题开展深入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境外经贸合作区推介专场活动上，柬埔寨西哈努克港经济特区、埃塞俄比亚东方工业园、中阿（联酋）产能合作示范园、中印尼两国双园·巴塘产业园推介境外园区的发展现状、产业定位和投资优势，苏美达国际技术贸易有限公司介绍集团“走出去”平台业务。省贸促会分享了地缘政治大变局下投资墨西哥的机遇。</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与会企业纷纷表示，本次研讨会上嘉宾们的真知灼见为他们提供了很多有益参考和建议，听后很受启发，收获满满。当前共建“一带一路”已进入高质量发展新阶段，企业表示将积极抢抓新一轮发展机遇，努力实现高质量“走出去”。</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研讨会期间还举行江苏省国际商会海外联络处授牌仪式、无锡国际商会海外联络点授牌仪式和无锡市企业“走出去”联合会揭牌仪式。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color w:val="2E75B6" w:themeColor="accent1" w:themeShade="BF"/>
          <w:spacing w:val="-45"/>
          <w:kern w:val="2"/>
          <w:sz w:val="48"/>
          <w:szCs w:val="48"/>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镇江企业亮相2024上海法兰克福国际汽配展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参展企业数创历史新高</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12月2日至5日，2024上海法兰克福国际汽配展在国家会展中心（上海）隆重举行。作为亚洲规模最大、全球规模第二的汽配展，是镇江市企业寻商机、抢订单、拓市场的重要平台。镇江市参展企业超过200家，创历史新高。</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自年初起，镇江市贸促会积极谋划企业参展各项工作，充分发挥联通政企的优势，与会展主办方反复沟通协调，为镇江参展企业争取更多优质展位。同时开展企业展前培训，针对展台布置、产品宣传进行指导，引导企业加强品牌建设，提升参展效果。展会期间，走访调研镇江参展企业，发放“2025年镇江市贸易促进计划”，搜集企业诉求，及时反馈至会展主办方，听取企业相关意见建议，为助推镇江外贸发展建言献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下一步，镇江市贸促会将进一步搭建融通内外的桥梁，“一企一策”，为企业参展提供更加贴心地“定制化”服务，为镇江外向型经济发展增添助力。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（镇江市贸促会）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44"/>
          <w:szCs w:val="44"/>
          <w:lang w:val="en-US" w:eastAsia="zh-CN" w:bidi="ar-SA"/>
        </w:rPr>
        <w:t>连云港市贸促会举办国际经贸形势分析暨争议解决宣讲会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11月12日，连云港市贸促会和连云区商务局、连云区贸促会、市物流协会共同举办国际经贸形势分析暨争议解决宣讲会。连云港市相关企业代表、行业商协会负责人等200余人参加会议。连云港市贸促会主任马文刚、连云区人民政府副区长刘懿出席了本次宣讲会并致辞。</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宣讲会上，江苏省贸促会发展研究部对当前全球市场形势进行了全面剖析，并对未来趋势进行了展望，为参会企业提供了宝贵的决策依据。江苏省贸促会商法中心围绕国际货物贸易中的常见风险点与争议解决策略进行了深入讲解，通过生动的案例分析和实用的专业建议，帮助企业提升合规意识和风险防控能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 xml:space="preserve">宣讲会内容丰富，现场交流热烈，达到预期效果。下一步，连云港市贸促会将结合新形势新要求，聚焦外贸企业新需求新期盼，充分发挥“连接政企、衔接内外、对接供需”职能优势，紧跟形势热点和国际贸易局势，帮助企业把握最新经贸动态，助力企业稳订单、拓市场。织密服务企业网，扩大国际朋友圈，拓展服务领域、创新服务项目、提升服务质效，持续强化贸易投资促进主渠道、国际商会组织大平台、经济贸易服务多元化功能，为企业出海牵线织网、保驾护航。                    </w:t>
      </w: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（连云港市贸促会）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jc w:val="center"/>
        <w:rPr>
          <w:rFonts w:hint="default" w:ascii="Times New Roman" w:hAnsi="Times New Roman" w:eastAsia="方正楷体_GBK" w:cs="Times New Roman"/>
          <w:b w:val="0"/>
          <w:bCs/>
          <w:kern w:val="0"/>
          <w:sz w:val="32"/>
          <w:szCs w:val="32"/>
          <w:lang w:val="en-US" w:eastAsia="zh-CN" w:bidi="ar-SA"/>
        </w:rPr>
      </w:pPr>
      <w:bookmarkStart w:id="1" w:name="OLE_LINK1"/>
      <w:r>
        <w:rPr>
          <w:rFonts w:hint="default" w:ascii="Times New Roman" w:hAnsi="Times New Roman" w:eastAsia="华文新魏" w:cs="Times New Roman"/>
          <w:b/>
          <w:color w:val="FF0000"/>
          <w:spacing w:val="0"/>
          <w:kern w:val="36"/>
          <w:sz w:val="48"/>
          <w:szCs w:val="48"/>
          <w:lang w:val="en-US" w:eastAsia="zh-CN"/>
        </w:rPr>
        <w:t>江苏银行企业上市服务基地揭牌</w:t>
      </w:r>
    </w:p>
    <w:bookmarkEnd w:id="1"/>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w:t>
      </w:r>
      <w:r>
        <w:rPr>
          <w:rFonts w:hint="default" w:ascii="Times New Roman" w:hAnsi="Times New Roman" w:eastAsiaTheme="minorEastAsia" w:cstheme="minorEastAsia"/>
          <w:color w:val="auto"/>
          <w:spacing w:val="0"/>
          <w:kern w:val="2"/>
          <w:sz w:val="32"/>
          <w:szCs w:val="32"/>
          <w:lang w:val="en-US" w:eastAsia="zh-CN" w:bidi="ar-SA"/>
        </w:rPr>
        <w:t>日，在省委金融办的大力支持和指导下，“江苏银行企业上市服务基地”揭牌仪式在江苏银行总部大厦举行，上海、深圳、北京三地企业上市服务驿站在相关分行同步揭牌，为江苏企业上市挂牌和经济高质量发展贡献江苏银行力量。这是江苏省内首个设置在银行的企业上市服务基地，将为企业上市等资本市场运作提供专属团队、专属接待、专属设施、专属保障和专属金融“五大专属”暖心服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我会副会长单位——</w:t>
      </w:r>
      <w:r>
        <w:rPr>
          <w:rFonts w:hint="default" w:ascii="Times New Roman" w:hAnsi="Times New Roman" w:eastAsiaTheme="minorEastAsia" w:cstheme="minorEastAsia"/>
          <w:color w:val="auto"/>
          <w:spacing w:val="0"/>
          <w:kern w:val="2"/>
          <w:sz w:val="32"/>
          <w:szCs w:val="32"/>
          <w:lang w:val="en-US" w:eastAsia="zh-CN" w:bidi="ar-SA"/>
        </w:rPr>
        <w:t>江苏银行股份有限公司党委书记、董事长葛仁余表示，江苏银行始终坚持金融工作的政治性、人民性，持续打造“高效率”“强协同”“优服务”的比较优势，努力争当执行政策、遵从监管和市场表现的“三好学生”，通过完善“股权+债权”“商行+投行”等多元化服务体系，不断提升上市和拟上市企业服务能力。下一步，江苏银行将进一步丰富生态圈层、加快产品创新、做好贴心服务，更好践行推动产业升级、引领创新驱动、服务重大战略的金融使命。</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揭牌仪式上，江苏银行推出《企业上市服务基地综合金融服务方案》，江苏股交中心就《江苏区域性股权市场助力专精特新企业高质量发展》做了宣讲，双方签署了共建企业上市服务基地合作协议，将优势互补、同向发力，紧紧围绕企业跨市场需求提供综合金融服务。</w:t>
      </w:r>
    </w:p>
    <w:p>
      <w:pPr>
        <w:spacing w:line="440" w:lineRule="exact"/>
        <w:ind w:firstLine="640" w:firstLineChars="200"/>
        <w:jc w:val="right"/>
        <w:rPr>
          <w:rFonts w:hint="eastAsia" w:ascii="Times New Roman" w:hAnsi="Times New Roman" w:eastAsia="方正楷体_GBK" w:cs="Times New Roman"/>
          <w:b w:val="0"/>
          <w:bCs/>
          <w:kern w:val="0"/>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：江苏银行官网）</w:t>
      </w:r>
    </w:p>
    <w:p>
      <w:pPr>
        <w:spacing w:line="440" w:lineRule="exact"/>
        <w:ind w:firstLine="640" w:firstLineChars="200"/>
        <w:rPr>
          <w:rFonts w:hint="default" w:ascii="Times New Roman" w:hAnsi="Times New Roman" w:eastAsia="方正楷体_GBK" w:cs="Times New Roman"/>
          <w:b w:val="0"/>
          <w:bCs/>
          <w:kern w:val="0"/>
          <w:sz w:val="32"/>
          <w:szCs w:val="32"/>
          <w:lang w:val="en-US" w:eastAsia="zh-CN" w:bidi="ar-SA"/>
        </w:rPr>
      </w:pPr>
    </w:p>
    <w:p>
      <w:pPr>
        <w:spacing w:line="440" w:lineRule="exact"/>
        <w:rPr>
          <w:rFonts w:hint="eastAsia" w:ascii="Times New Roman" w:hAnsi="Times New Roman" w:eastAsia="方正楷体_GBK" w:cs="Times New Roman"/>
          <w:b w:val="0"/>
          <w:bCs/>
          <w:kern w:val="0"/>
          <w:sz w:val="32"/>
          <w:szCs w:val="32"/>
          <w:lang w:val="en-US" w:eastAsia="zh-CN" w:bidi="ar-SA"/>
        </w:rPr>
      </w:pPr>
      <w:bookmarkStart w:id="2" w:name="OLE_LINK8"/>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中江国际集团获评中施企协</w:t>
      </w:r>
    </w:p>
    <w:p>
      <w:pPr>
        <w:spacing w:line="440" w:lineRule="exact"/>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48"/>
          <w:szCs w:val="48"/>
          <w:lang w:val="en-US" w:eastAsia="zh-CN"/>
        </w:rPr>
        <w:t>“企业信用评价AAA级信用企业”</w:t>
      </w:r>
    </w:p>
    <w:bookmarkEnd w:id="2"/>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w:t>
      </w:r>
      <w:r>
        <w:rPr>
          <w:rFonts w:hint="default" w:ascii="Times New Roman" w:hAnsi="Times New Roman" w:eastAsiaTheme="minorEastAsia" w:cstheme="minorEastAsia"/>
          <w:color w:val="auto"/>
          <w:spacing w:val="0"/>
          <w:kern w:val="2"/>
          <w:sz w:val="32"/>
          <w:szCs w:val="32"/>
          <w:lang w:val="en-US" w:eastAsia="zh-CN" w:bidi="ar-SA"/>
        </w:rPr>
        <w:t>日，中国施工企业管理协会举办的第十三届工程建设行业诚信发展大会在苏州召开。会上，</w:t>
      </w:r>
      <w:r>
        <w:rPr>
          <w:rFonts w:hint="eastAsia" w:ascii="Times New Roman" w:hAnsi="Times New Roman" w:eastAsiaTheme="minorEastAsia" w:cstheme="minorEastAsia"/>
          <w:color w:val="auto"/>
          <w:spacing w:val="0"/>
          <w:kern w:val="2"/>
          <w:sz w:val="32"/>
          <w:szCs w:val="32"/>
          <w:lang w:val="en-US" w:eastAsia="zh-CN" w:bidi="ar-SA"/>
        </w:rPr>
        <w:t>我会副会长单位——中国江苏国际经济技术合作集团有限公司</w:t>
      </w:r>
      <w:r>
        <w:rPr>
          <w:rFonts w:hint="default" w:ascii="Times New Roman" w:hAnsi="Times New Roman" w:eastAsiaTheme="minorEastAsia" w:cstheme="minorEastAsia"/>
          <w:color w:val="auto"/>
          <w:spacing w:val="0"/>
          <w:kern w:val="2"/>
          <w:sz w:val="32"/>
          <w:szCs w:val="32"/>
          <w:lang w:val="en-US" w:eastAsia="zh-CN" w:bidi="ar-SA"/>
        </w:rPr>
        <w:t>领取了</w:t>
      </w:r>
      <w:r>
        <w:rPr>
          <w:rFonts w:hint="eastAsia" w:ascii="Times New Roman" w:hAnsi="Times New Roman" w:eastAsiaTheme="minorEastAsia" w:cstheme="minorEastAsia"/>
          <w:color w:val="auto"/>
          <w:spacing w:val="0"/>
          <w:kern w:val="2"/>
          <w:sz w:val="32"/>
          <w:szCs w:val="32"/>
          <w:lang w:val="en-US" w:eastAsia="zh-CN" w:bidi="ar-SA"/>
        </w:rPr>
        <w:t>“</w:t>
      </w:r>
      <w:r>
        <w:rPr>
          <w:rFonts w:hint="default" w:ascii="Times New Roman" w:hAnsi="Times New Roman" w:eastAsiaTheme="minorEastAsia" w:cstheme="minorEastAsia"/>
          <w:color w:val="auto"/>
          <w:spacing w:val="0"/>
          <w:kern w:val="2"/>
          <w:sz w:val="32"/>
          <w:szCs w:val="32"/>
          <w:lang w:val="en-US" w:eastAsia="zh-CN" w:bidi="ar-SA"/>
        </w:rPr>
        <w:t>企业信用评价AAA级信用企业</w:t>
      </w:r>
      <w:r>
        <w:rPr>
          <w:rFonts w:hint="eastAsia" w:ascii="Times New Roman" w:hAnsi="Times New Roman" w:eastAsiaTheme="minorEastAsia" w:cstheme="minorEastAsia"/>
          <w:color w:val="auto"/>
          <w:spacing w:val="0"/>
          <w:kern w:val="2"/>
          <w:sz w:val="32"/>
          <w:szCs w:val="32"/>
          <w:lang w:val="en-US" w:eastAsia="zh-CN" w:bidi="ar-SA"/>
        </w:rPr>
        <w:t>”</w:t>
      </w:r>
      <w:r>
        <w:rPr>
          <w:rFonts w:hint="default" w:ascii="Times New Roman" w:hAnsi="Times New Roman" w:eastAsiaTheme="minorEastAsia" w:cstheme="minorEastAsia"/>
          <w:color w:val="auto"/>
          <w:spacing w:val="0"/>
          <w:kern w:val="2"/>
          <w:sz w:val="32"/>
          <w:szCs w:val="32"/>
          <w:lang w:val="en-US" w:eastAsia="zh-CN" w:bidi="ar-SA"/>
        </w:rPr>
        <w:t xml:space="preserve">证书，这不仅是对集团坚持诚信经营、质量为本的高度认可，也突显集团在行业内的核心能力、经济实力、经营质效与发展前景。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多年来，集团公司始终将诚信作为企业发展的基石，不断加强诚信体系建设，致力于打造国际知名、国内领先的江苏建筑业龙头企业。在工程建设过程中，集团严格遵守国家法律法规和行业标准，强化质量管理，确保工程优质标准。同时，公司强化国企担当，注重履行社会责任，赢得国内外广泛赞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集团将以本次获评信用评价AAA级信用企业为契机，继续秉承诚信理念，加强内外部管理，不断提升集团核心竞争力，为行业诚信体系建设贡献力量。</w:t>
      </w:r>
    </w:p>
    <w:p>
      <w:pPr>
        <w:spacing w:line="440" w:lineRule="exact"/>
        <w:ind w:firstLine="640" w:firstLineChars="200"/>
        <w:jc w:val="right"/>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：中江国际集团官网）</w:t>
      </w:r>
    </w:p>
    <w:p>
      <w:pPr>
        <w:spacing w:line="440" w:lineRule="exact"/>
        <w:jc w:val="both"/>
        <w:rPr>
          <w:rFonts w:hint="default"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bookmarkStart w:id="3" w:name="OLE_LINK9"/>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default"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4"/>
          <w:szCs w:val="44"/>
          <w:lang w:val="en-US" w:eastAsia="zh-CN"/>
        </w:rPr>
        <w:t>亚示照明检测中心顺利通过CNAS 实验室认证</w:t>
      </w:r>
    </w:p>
    <w:bookmarkEnd w:id="3"/>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近日，</w:t>
      </w:r>
      <w:r>
        <w:rPr>
          <w:rFonts w:hint="eastAsia" w:ascii="Times New Roman" w:hAnsi="Times New Roman" w:eastAsiaTheme="minorEastAsia" w:cstheme="minorEastAsia"/>
          <w:color w:val="auto"/>
          <w:spacing w:val="0"/>
          <w:kern w:val="2"/>
          <w:sz w:val="32"/>
          <w:szCs w:val="32"/>
          <w:lang w:val="en-US" w:eastAsia="zh-CN" w:bidi="ar-SA"/>
        </w:rPr>
        <w:t>我会副会长单位——江苏亚示照明集团有限公司检测中心顺利通过中国合格评定国家认可委员会的审核与考核，成功获批CNAS实验室认证证书。</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这一荣誉的取得，不仅标志着亚示照明在测试能力和管理水平上达到了国家及国际认可的标准，更彰显了其在行业内的领先地位和技术实力。</w:t>
      </w:r>
    </w:p>
    <w:p>
      <w:pPr>
        <w:spacing w:line="440" w:lineRule="exact"/>
        <w:ind w:firstLine="640" w:firstLineChars="200"/>
        <w:jc w:val="right"/>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：亚示照明官网）</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bookmarkStart w:id="4" w:name="OLE_LINK7"/>
      <w:bookmarkStart w:id="5" w:name="OLE_LINK14"/>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p>
    <w:bookmarkEnd w:id="4"/>
    <w:bookmarkEnd w:id="5"/>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altName w:val="Yu Gothic UI Semilight"/>
    <w:panose1 w:val="02000000000000000000"/>
    <w:charset w:val="80"/>
    <w:family w:val="auto"/>
    <w:pitch w:val="default"/>
    <w:sig w:usb0="00000000" w:usb1="00000000"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Noto Sans SC">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DFPZongKaiW7-B5">
    <w:panose1 w:val="030007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F65CC"/>
    <w:rsid w:val="6DB157A2"/>
    <w:rsid w:val="6DB25F3D"/>
    <w:rsid w:val="6DBA586C"/>
    <w:rsid w:val="6DBE0B3F"/>
    <w:rsid w:val="6DBF7294"/>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2024-12-16T04:13:02Z</cp:lastPrinted>
  <dcterms:modified xsi:type="dcterms:W3CDTF">2024-12-16T04:13:59Z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