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default" w:ascii="Times New Roman" w:hAnsi="Times New Roman" w:eastAsia="经典行楷简" w:cs="Times New Roman"/>
          <w:b w:val="0"/>
          <w:bCs/>
          <w:color w:val="2E75B6" w:themeColor="accent1" w:themeShade="BF"/>
          <w:kern w:val="36"/>
          <w:sz w:val="44"/>
          <w:szCs w:val="44"/>
          <w:lang w:val="en-US" w:eastAsia="zh-CN"/>
        </w:rPr>
        <w:t>4</w:t>
      </w:r>
      <w:r>
        <w:rPr>
          <w:rFonts w:hint="default" w:ascii="Times New Roman" w:hAnsi="Times New Roman" w:eastAsia="经典行楷简" w:cs="Times New Roman"/>
          <w:b w:val="0"/>
          <w:bCs/>
          <w:color w:val="2E75B6" w:themeColor="accent1" w:themeShade="BF"/>
          <w:kern w:val="36"/>
          <w:sz w:val="44"/>
          <w:szCs w:val="44"/>
        </w:rPr>
        <w:t>年第</w:t>
      </w:r>
      <w:r>
        <w:rPr>
          <w:rFonts w:hint="eastAsia" w:ascii="Times New Roman" w:hAnsi="Times New Roman" w:eastAsia="经典行楷简" w:cs="Times New Roman"/>
          <w:b w:val="0"/>
          <w:bCs/>
          <w:color w:val="2E75B6" w:themeColor="accent1" w:themeShade="BF"/>
          <w:kern w:val="36"/>
          <w:sz w:val="44"/>
          <w:szCs w:val="44"/>
          <w:lang w:val="en-US" w:eastAsia="zh-CN"/>
        </w:rPr>
        <w:t>29</w:t>
      </w:r>
      <w:r>
        <w:rPr>
          <w:rFonts w:hint="default" w:ascii="Times New Roman" w:hAnsi="Times New Roman" w:eastAsia="经典行楷简" w:cs="Times New Roman"/>
          <w:b w:val="0"/>
          <w:bCs/>
          <w:color w:val="2E75B6" w:themeColor="accent1" w:themeShade="BF"/>
          <w:kern w:val="36"/>
          <w:sz w:val="44"/>
          <w:szCs w:val="44"/>
        </w:rPr>
        <w:t>期</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总第</w:t>
      </w:r>
      <w:r>
        <w:rPr>
          <w:rFonts w:hint="eastAsia"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275</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rPr>
      </w:pPr>
      <w:r>
        <w:rPr>
          <w:rFonts w:hint="default" w:ascii="Times New Roman" w:hAnsi="Times New Roman" w:eastAsia="方正黑体_GBK" w:cs="Times New Roman"/>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default" w:ascii="Times New Roman" w:hAnsi="Times New Roman" w:eastAsia="方正楷体_GBK" w:cs="Times New Roman"/>
          <w:b w:val="0"/>
          <w:bCs/>
          <w:color w:val="000000"/>
          <w:kern w:val="36"/>
          <w:sz w:val="32"/>
          <w:szCs w:val="32"/>
          <w:highlight w:val="none"/>
          <w:lang w:val="en-US" w:eastAsia="zh-CN"/>
        </w:rPr>
        <w:t>4</w:t>
      </w:r>
      <w:r>
        <w:rPr>
          <w:rFonts w:hint="default" w:ascii="Times New Roman" w:hAnsi="Times New Roman" w:eastAsia="方正楷体_GBK" w:cs="Times New Roman"/>
          <w:b w:val="0"/>
          <w:bCs/>
          <w:color w:val="000000"/>
          <w:kern w:val="36"/>
          <w:sz w:val="32"/>
          <w:szCs w:val="32"/>
          <w:highlight w:val="none"/>
        </w:rPr>
        <w:t>年</w:t>
      </w:r>
      <w:r>
        <w:rPr>
          <w:rFonts w:hint="eastAsia" w:ascii="Times New Roman" w:hAnsi="Times New Roman" w:eastAsia="方正楷体_GBK" w:cs="Times New Roman"/>
          <w:b w:val="0"/>
          <w:bCs/>
          <w:color w:val="000000"/>
          <w:kern w:val="36"/>
          <w:sz w:val="32"/>
          <w:szCs w:val="32"/>
          <w:highlight w:val="none"/>
          <w:lang w:val="en-US" w:eastAsia="zh-CN"/>
        </w:rPr>
        <w:t>7</w:t>
      </w:r>
      <w:r>
        <w:rPr>
          <w:rFonts w:hint="default" w:ascii="Times New Roman" w:hAnsi="Times New Roman" w:eastAsia="方正楷体_GBK" w:cs="Times New Roman"/>
          <w:b w:val="0"/>
          <w:bCs/>
          <w:color w:val="000000"/>
          <w:kern w:val="36"/>
          <w:sz w:val="32"/>
          <w:szCs w:val="32"/>
          <w:highlight w:val="none"/>
        </w:rPr>
        <w:t>月</w:t>
      </w:r>
      <w:r>
        <w:rPr>
          <w:rFonts w:hint="eastAsia" w:ascii="Times New Roman" w:hAnsi="Times New Roman" w:eastAsia="方正楷体_GBK" w:cs="Times New Roman"/>
          <w:b w:val="0"/>
          <w:bCs/>
          <w:color w:val="000000"/>
          <w:kern w:val="36"/>
          <w:sz w:val="32"/>
          <w:szCs w:val="32"/>
          <w:highlight w:val="none"/>
          <w:lang w:val="en-US" w:eastAsia="zh-CN"/>
        </w:rPr>
        <w:t>19</w:t>
      </w:r>
      <w:r>
        <w:rPr>
          <w:rFonts w:hint="default" w:ascii="Times New Roman" w:hAnsi="Times New Roman" w:eastAsia="方正楷体_GBK" w:cs="Times New Roman"/>
          <w:b w:val="0"/>
          <w:bCs/>
          <w:color w:val="000000"/>
          <w:kern w:val="36"/>
          <w:sz w:val="32"/>
          <w:szCs w:val="32"/>
          <w:highlight w:val="none"/>
        </w:rPr>
        <w:t>日</w:t>
      </w:r>
    </w:p>
    <w:p>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44"/>
          <w:szCs w:val="4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全球</w:t>
      </w:r>
      <w:r>
        <w:rPr>
          <w:rFonts w:hint="eastAsia"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经贸分析</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left="550" w:leftChars="284" w:firstLine="0" w:firstLineChars="0"/>
        <w:contextualSpacing/>
        <w:jc w:val="left"/>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 xml:space="preserve">7月12日（周五）6月CPI显示美通胀全面降温，但基准利率仍维持不变 </w:t>
      </w:r>
      <w:r>
        <w:rPr>
          <w:rFonts w:hint="default" w:ascii="Times New Roman" w:hAnsi="Times New Roman" w:eastAsia="方正楷体_GBK" w:cs="Times New Roman"/>
          <w:b/>
          <w:bCs w:val="0"/>
          <w:color w:val="auto"/>
          <w:spacing w:val="0"/>
          <w:kern w:val="36"/>
          <w:sz w:val="30"/>
          <w:szCs w:val="30"/>
          <w:lang w:val="en-US" w:eastAsia="zh-CN"/>
        </w:rPr>
        <w:t>/ 01</w:t>
      </w:r>
    </w:p>
    <w:p>
      <w:pPr>
        <w:keepNext w:val="0"/>
        <w:keepLines w:val="0"/>
        <w:pageBreakBefore w:val="0"/>
        <w:widowControl w:val="0"/>
        <w:kinsoku/>
        <w:wordWrap/>
        <w:overflowPunct/>
        <w:topLinePunct w:val="0"/>
        <w:autoSpaceDE/>
        <w:autoSpaceDN/>
        <w:bidi w:val="0"/>
        <w:adjustRightInd/>
        <w:snapToGrid/>
        <w:ind w:left="550" w:leftChars="284" w:firstLine="0" w:firstLineChars="0"/>
        <w:jc w:val="left"/>
        <w:textAlignment w:val="auto"/>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7</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13</w:t>
      </w:r>
      <w:r>
        <w:rPr>
          <w:rFonts w:hint="default" w:ascii="Times New Roman" w:hAnsi="Times New Roman" w:eastAsia="方正楷体_GBK" w:cs="Times New Roman"/>
          <w:b/>
          <w:bCs w:val="0"/>
          <w:color w:val="auto"/>
          <w:spacing w:val="0"/>
          <w:kern w:val="36"/>
          <w:sz w:val="30"/>
          <w:szCs w:val="30"/>
          <w:lang w:val="en-US" w:eastAsia="zh-CN"/>
        </w:rPr>
        <w:t>日（周</w:t>
      </w:r>
      <w:r>
        <w:rPr>
          <w:rFonts w:hint="eastAsia" w:ascii="Times New Roman" w:hAnsi="Times New Roman" w:eastAsia="方正楷体_GBK" w:cs="Times New Roman"/>
          <w:b/>
          <w:bCs w:val="0"/>
          <w:color w:val="auto"/>
          <w:spacing w:val="0"/>
          <w:kern w:val="36"/>
          <w:sz w:val="30"/>
          <w:szCs w:val="30"/>
          <w:lang w:val="en-US" w:eastAsia="zh-CN"/>
        </w:rPr>
        <w:t>六</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大银行季报显健康，密歇根指数弱信心 </w:t>
      </w:r>
      <w:r>
        <w:rPr>
          <w:rFonts w:hint="default" w:ascii="Times New Roman" w:hAnsi="Times New Roman" w:eastAsia="方正楷体_GBK" w:cs="Times New Roman"/>
          <w:b/>
          <w:bCs w:val="0"/>
          <w:color w:val="auto"/>
          <w:spacing w:val="0"/>
          <w:kern w:val="36"/>
          <w:sz w:val="30"/>
          <w:szCs w:val="30"/>
          <w:lang w:val="en-US" w:eastAsia="zh-CN"/>
        </w:rPr>
        <w:t>/ 0</w:t>
      </w:r>
      <w:r>
        <w:rPr>
          <w:rFonts w:hint="eastAsia" w:ascii="Times New Roman" w:hAnsi="Times New Roman" w:eastAsia="方正楷体_GBK" w:cs="Times New Roman"/>
          <w:b/>
          <w:bCs w:val="0"/>
          <w:color w:val="auto"/>
          <w:spacing w:val="0"/>
          <w:kern w:val="36"/>
          <w:sz w:val="30"/>
          <w:szCs w:val="30"/>
          <w:lang w:val="en-US" w:eastAsia="zh-CN"/>
        </w:rPr>
        <w:t>2</w:t>
      </w:r>
    </w:p>
    <w:p>
      <w:pPr>
        <w:keepNext w:val="0"/>
        <w:keepLines w:val="0"/>
        <w:pageBreakBefore w:val="0"/>
        <w:widowControl w:val="0"/>
        <w:kinsoku/>
        <w:wordWrap/>
        <w:overflowPunct/>
        <w:topLinePunct w:val="0"/>
        <w:autoSpaceDE/>
        <w:autoSpaceDN/>
        <w:bidi w:val="0"/>
        <w:adjustRightInd/>
        <w:snapToGrid/>
        <w:ind w:left="550" w:leftChars="284" w:firstLine="0" w:firstLineChars="0"/>
        <w:jc w:val="left"/>
        <w:textAlignment w:val="auto"/>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7</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14</w:t>
      </w:r>
      <w:r>
        <w:rPr>
          <w:rFonts w:hint="default" w:ascii="Times New Roman" w:hAnsi="Times New Roman" w:eastAsia="方正楷体_GBK" w:cs="Times New Roman"/>
          <w:b/>
          <w:bCs w:val="0"/>
          <w:color w:val="auto"/>
          <w:spacing w:val="0"/>
          <w:kern w:val="36"/>
          <w:sz w:val="30"/>
          <w:szCs w:val="30"/>
          <w:lang w:val="en-US" w:eastAsia="zh-CN"/>
        </w:rPr>
        <w:t>日（周</w:t>
      </w:r>
      <w:r>
        <w:rPr>
          <w:rFonts w:hint="eastAsia" w:ascii="Times New Roman" w:hAnsi="Times New Roman" w:eastAsia="方正楷体_GBK" w:cs="Times New Roman"/>
          <w:b/>
          <w:bCs w:val="0"/>
          <w:color w:val="auto"/>
          <w:spacing w:val="0"/>
          <w:kern w:val="36"/>
          <w:sz w:val="30"/>
          <w:szCs w:val="30"/>
          <w:lang w:val="en-US" w:eastAsia="zh-CN"/>
        </w:rPr>
        <w:t>日</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论“做饭的燃料问题” </w:t>
      </w:r>
      <w:r>
        <w:rPr>
          <w:rFonts w:hint="default" w:ascii="Times New Roman" w:hAnsi="Times New Roman" w:eastAsia="方正楷体_GBK" w:cs="Times New Roman"/>
          <w:b/>
          <w:bCs w:val="0"/>
          <w:color w:val="auto"/>
          <w:spacing w:val="0"/>
          <w:kern w:val="36"/>
          <w:sz w:val="30"/>
          <w:szCs w:val="30"/>
          <w:lang w:val="en-US" w:eastAsia="zh-CN"/>
        </w:rPr>
        <w:t>/ 0</w:t>
      </w:r>
      <w:r>
        <w:rPr>
          <w:rFonts w:hint="eastAsia" w:ascii="Times New Roman" w:hAnsi="Times New Roman" w:eastAsia="方正楷体_GBK" w:cs="Times New Roman"/>
          <w:b/>
          <w:bCs w:val="0"/>
          <w:color w:val="auto"/>
          <w:spacing w:val="0"/>
          <w:kern w:val="36"/>
          <w:sz w:val="30"/>
          <w:szCs w:val="30"/>
          <w:lang w:val="en-US" w:eastAsia="zh-CN"/>
        </w:rPr>
        <w:t>5</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68" w:firstLineChars="200"/>
        <w:jc w:val="left"/>
        <w:textAlignment w:val="auto"/>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7</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15</w:t>
      </w:r>
      <w:r>
        <w:rPr>
          <w:rFonts w:hint="default" w:ascii="Times New Roman" w:hAnsi="Times New Roman" w:eastAsia="方正楷体_GBK" w:cs="Times New Roman"/>
          <w:b/>
          <w:bCs w:val="0"/>
          <w:color w:val="auto"/>
          <w:spacing w:val="0"/>
          <w:kern w:val="36"/>
          <w:sz w:val="30"/>
          <w:szCs w:val="30"/>
          <w:lang w:val="en-US" w:eastAsia="zh-CN"/>
        </w:rPr>
        <w:t>日（周</w:t>
      </w:r>
      <w:r>
        <w:rPr>
          <w:rFonts w:hint="eastAsia" w:ascii="Times New Roman" w:hAnsi="Times New Roman" w:eastAsia="方正楷体_GBK" w:cs="Times New Roman"/>
          <w:b/>
          <w:bCs w:val="0"/>
          <w:color w:val="auto"/>
          <w:spacing w:val="0"/>
          <w:kern w:val="36"/>
          <w:sz w:val="30"/>
          <w:szCs w:val="30"/>
          <w:lang w:val="en-US" w:eastAsia="zh-CN"/>
        </w:rPr>
        <w:t>一</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印度农业前景可期，农资市场空间巨大 </w:t>
      </w:r>
      <w:r>
        <w:rPr>
          <w:rFonts w:hint="default" w:ascii="Times New Roman" w:hAnsi="Times New Roman" w:eastAsia="方正楷体_GBK" w:cs="Times New Roman"/>
          <w:b/>
          <w:bCs w:val="0"/>
          <w:color w:val="auto"/>
          <w:spacing w:val="0"/>
          <w:kern w:val="36"/>
          <w:sz w:val="30"/>
          <w:szCs w:val="30"/>
          <w:lang w:val="en-US" w:eastAsia="zh-CN"/>
        </w:rPr>
        <w:t>/ 0</w:t>
      </w:r>
      <w:r>
        <w:rPr>
          <w:rFonts w:hint="eastAsia" w:ascii="Times New Roman" w:hAnsi="Times New Roman" w:eastAsia="方正楷体_GBK" w:cs="Times New Roman"/>
          <w:b/>
          <w:bCs w:val="0"/>
          <w:color w:val="auto"/>
          <w:spacing w:val="0"/>
          <w:kern w:val="36"/>
          <w:sz w:val="30"/>
          <w:szCs w:val="30"/>
          <w:lang w:val="en-US" w:eastAsia="zh-CN"/>
        </w:rPr>
        <w:t>7</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68" w:firstLineChars="200"/>
        <w:jc w:val="left"/>
        <w:textAlignment w:val="auto"/>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7</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16</w:t>
      </w:r>
      <w:r>
        <w:rPr>
          <w:rFonts w:hint="default" w:ascii="Times New Roman" w:hAnsi="Times New Roman" w:eastAsia="方正楷体_GBK" w:cs="Times New Roman"/>
          <w:b/>
          <w:bCs w:val="0"/>
          <w:color w:val="auto"/>
          <w:spacing w:val="0"/>
          <w:kern w:val="36"/>
          <w:sz w:val="30"/>
          <w:szCs w:val="30"/>
          <w:lang w:val="en-US" w:eastAsia="zh-CN"/>
        </w:rPr>
        <w:t>日（周</w:t>
      </w:r>
      <w:r>
        <w:rPr>
          <w:rFonts w:hint="eastAsia" w:ascii="Times New Roman" w:hAnsi="Times New Roman" w:eastAsia="方正楷体_GBK" w:cs="Times New Roman"/>
          <w:b/>
          <w:bCs w:val="0"/>
          <w:color w:val="auto"/>
          <w:spacing w:val="0"/>
          <w:kern w:val="36"/>
          <w:sz w:val="30"/>
          <w:szCs w:val="30"/>
          <w:lang w:val="en-US" w:eastAsia="zh-CN"/>
        </w:rPr>
        <w:t>二</w:t>
      </w:r>
      <w:r>
        <w:rPr>
          <w:rFonts w:hint="default" w:ascii="Times New Roman" w:hAnsi="Times New Roman" w:eastAsia="方正楷体_GBK" w:cs="Times New Roman"/>
          <w:b/>
          <w:bCs w:val="0"/>
          <w:color w:val="auto"/>
          <w:spacing w:val="0"/>
          <w:kern w:val="36"/>
          <w:sz w:val="30"/>
          <w:szCs w:val="30"/>
          <w:lang w:val="en-US" w:eastAsia="zh-CN"/>
        </w:rPr>
        <w:t>）对尼日利亚食品通胀的分析及经济展望</w:t>
      </w:r>
      <w:r>
        <w:rPr>
          <w:rFonts w:hint="eastAsia" w:ascii="Times New Roman" w:hAnsi="Times New Roman" w:eastAsia="方正楷体_GBK" w:cs="Times New Roman"/>
          <w:b/>
          <w:bCs w:val="0"/>
          <w:color w:val="auto"/>
          <w:spacing w:val="0"/>
          <w:kern w:val="36"/>
          <w:sz w:val="30"/>
          <w:szCs w:val="30"/>
          <w:lang w:val="en-US" w:eastAsia="zh-CN"/>
        </w:rPr>
        <w:t xml:space="preserve"> / 16</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68" w:firstLineChars="200"/>
        <w:jc w:val="left"/>
        <w:textAlignment w:val="auto"/>
        <w:rPr>
          <w:rFonts w:hint="default" w:ascii="Times New Roman" w:hAnsi="Times New Roman" w:eastAsia="方正楷体_GBK" w:cs="Times New Roman"/>
          <w:b/>
          <w:bCs w:val="0"/>
          <w:color w:val="auto"/>
          <w:spacing w:val="-2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7</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17</w:t>
      </w:r>
      <w:r>
        <w:rPr>
          <w:rFonts w:hint="default" w:ascii="Times New Roman" w:hAnsi="Times New Roman" w:eastAsia="方正楷体_GBK" w:cs="Times New Roman"/>
          <w:b/>
          <w:bCs w:val="0"/>
          <w:color w:val="auto"/>
          <w:spacing w:val="0"/>
          <w:kern w:val="36"/>
          <w:sz w:val="30"/>
          <w:szCs w:val="30"/>
          <w:lang w:val="en-US" w:eastAsia="zh-CN"/>
        </w:rPr>
        <w:t>日（周</w:t>
      </w:r>
      <w:r>
        <w:rPr>
          <w:rFonts w:hint="eastAsia" w:ascii="Times New Roman" w:hAnsi="Times New Roman" w:eastAsia="方正楷体_GBK" w:cs="Times New Roman"/>
          <w:b/>
          <w:bCs w:val="0"/>
          <w:color w:val="auto"/>
          <w:spacing w:val="0"/>
          <w:kern w:val="36"/>
          <w:sz w:val="30"/>
          <w:szCs w:val="30"/>
          <w:lang w:val="en-US" w:eastAsia="zh-CN"/>
        </w:rPr>
        <w:t>三</w:t>
      </w:r>
      <w:r>
        <w:rPr>
          <w:rFonts w:hint="default" w:ascii="Times New Roman" w:hAnsi="Times New Roman" w:eastAsia="方正楷体_GBK" w:cs="Times New Roman"/>
          <w:b/>
          <w:bCs w:val="0"/>
          <w:color w:val="auto"/>
          <w:spacing w:val="0"/>
          <w:kern w:val="36"/>
          <w:sz w:val="30"/>
          <w:szCs w:val="30"/>
          <w:lang w:val="en-US" w:eastAsia="zh-CN"/>
        </w:rPr>
        <w:t>）</w:t>
      </w:r>
      <w:r>
        <w:rPr>
          <w:rFonts w:hint="default" w:ascii="Times New Roman" w:hAnsi="Times New Roman" w:eastAsia="方正楷体_GBK" w:cs="Times New Roman"/>
          <w:b/>
          <w:bCs w:val="0"/>
          <w:color w:val="auto"/>
          <w:spacing w:val="-20"/>
          <w:kern w:val="36"/>
          <w:sz w:val="30"/>
          <w:szCs w:val="30"/>
          <w:lang w:val="en-US" w:eastAsia="zh-CN"/>
        </w:rPr>
        <w:t>美国6月数据出现分歧，其经济能持续强劲吗？</w:t>
      </w:r>
      <w:r>
        <w:rPr>
          <w:rFonts w:hint="eastAsia" w:ascii="Times New Roman" w:hAnsi="Times New Roman" w:eastAsia="方正楷体_GBK" w:cs="Times New Roman"/>
          <w:b/>
          <w:bCs w:val="0"/>
          <w:color w:val="auto"/>
          <w:spacing w:val="-20"/>
          <w:kern w:val="36"/>
          <w:sz w:val="30"/>
          <w:szCs w:val="30"/>
          <w:lang w:val="en-US" w:eastAsia="zh-CN"/>
        </w:rPr>
        <w:t>/ 22</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68" w:firstLineChars="200"/>
        <w:jc w:val="left"/>
        <w:textAlignment w:val="auto"/>
        <w:rPr>
          <w:rFonts w:hint="default" w:ascii="Times New Roman" w:hAnsi="Times New Roman" w:eastAsia="方正楷体_GBK" w:cs="Times New Roman"/>
          <w:b/>
          <w:bCs w:val="0"/>
          <w:color w:val="auto"/>
          <w:spacing w:val="0"/>
          <w:kern w:val="36"/>
          <w:sz w:val="30"/>
          <w:szCs w:val="30"/>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方正黑体_GBK" w:cs="Times New Roman"/>
          <w:b/>
          <w:color w:val="FFC000"/>
          <w:kern w:val="36"/>
          <w:sz w:val="28"/>
          <w:szCs w:val="28"/>
          <w:lang w:val="en-US" w:eastAsia="zh-CN"/>
        </w:rPr>
      </w:pP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江苏贸促动态</w:t>
      </w: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00B0F0"/>
          <w:kern w:val="36"/>
          <w:sz w:val="28"/>
          <w:szCs w:val="28"/>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中国国际商会外资企业工作委员会苏州座谈会召开 / 26</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省贸促会领导会见日本贸易振兴机构上海代表处首席代表水田贤治 / 27</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江苏（南京）-澳大利亚投资与技术交流会成功举行 / 28</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省贸促会领导会见俄罗斯出口中心股份有限公司俄罗斯国家馆总经理伊利亚·罗曼诺夫 / 29</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省贸促会领导出席2024·首届苏商全球化战略峰会 / 30</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南京市贸促会组织召开落实会展业高质量发展两年行动计划工作推进会 / 31</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南京市贸促会走访苏豪控股集团 / 32</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“贸促服务助企行”无锡宣讲会成功举办 / 33</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常州国际商会第三届会员代表大会成功召开 / 35</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方正黑体_GBK" w:cs="Times New Roman"/>
          <w:b/>
          <w:color w:val="FFC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会员企业风采 • </w:t>
      </w:r>
      <w:r>
        <w:rPr>
          <w:rFonts w:hint="default" w:ascii="Times New Roman" w:hAnsi="Times New Roman" w:eastAsia="宋体" w:cs="Times New Roman"/>
          <w:b/>
          <w:color w:val="FF0000"/>
          <w:kern w:val="36"/>
          <w:sz w:val="32"/>
          <w:szCs w:val="32"/>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kern w:val="36"/>
          <w:sz w:val="30"/>
          <w:szCs w:val="30"/>
          <w:lang w:val="en-US" w:eastAsia="zh-CN"/>
        </w:rPr>
      </w:pPr>
      <w:r>
        <w:rPr>
          <w:rFonts w:hint="default" w:ascii="Times New Roman" w:hAnsi="Times New Roman" w:eastAsia="方正楷体_GBK" w:cs="Times New Roman"/>
          <w:b/>
          <w:color w:val="auto"/>
          <w:kern w:val="36"/>
          <w:sz w:val="30"/>
          <w:szCs w:val="30"/>
          <w:lang w:val="en-US" w:eastAsia="zh-CN"/>
        </w:rPr>
        <w:t>江苏银行全球银行排名持续提升至第66位</w:t>
      </w:r>
      <w:r>
        <w:rPr>
          <w:rFonts w:hint="eastAsia" w:ascii="Times New Roman" w:hAnsi="Times New Roman" w:eastAsia="方正楷体_GBK" w:cs="Times New Roman"/>
          <w:b/>
          <w:color w:val="auto"/>
          <w:kern w:val="36"/>
          <w:sz w:val="30"/>
          <w:szCs w:val="30"/>
          <w:lang w:val="en-US" w:eastAsia="zh-CN"/>
        </w:rPr>
        <w:t xml:space="preserve"> / 37</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kern w:val="36"/>
          <w:sz w:val="30"/>
          <w:szCs w:val="30"/>
          <w:lang w:val="en-US" w:eastAsia="zh-CN"/>
        </w:rPr>
      </w:pPr>
      <w:r>
        <w:rPr>
          <w:rFonts w:hint="default" w:ascii="Times New Roman" w:hAnsi="Times New Roman" w:eastAsia="方正楷体_GBK" w:cs="Times New Roman"/>
          <w:b/>
          <w:color w:val="auto"/>
          <w:kern w:val="36"/>
          <w:sz w:val="30"/>
          <w:szCs w:val="30"/>
          <w:lang w:val="en-US" w:eastAsia="zh-CN"/>
        </w:rPr>
        <w:t>奥特维荣获2024中国上市公司英华奖A股价值奖</w:t>
      </w:r>
      <w:r>
        <w:rPr>
          <w:rFonts w:hint="eastAsia" w:ascii="Times New Roman" w:hAnsi="Times New Roman" w:eastAsia="方正楷体_GBK" w:cs="Times New Roman"/>
          <w:b/>
          <w:color w:val="auto"/>
          <w:kern w:val="36"/>
          <w:sz w:val="30"/>
          <w:szCs w:val="30"/>
          <w:lang w:val="en-US" w:eastAsia="zh-CN"/>
        </w:rPr>
        <w:t xml:space="preserve"> / 38</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pPr>
      <w:r>
        <w:rPr>
          <w:rFonts w:hint="default" w:ascii="Times New Roman" w:hAnsi="Times New Roman" w:eastAsia="方正楷体_GBK" w:cs="Times New Roman"/>
          <w:b/>
          <w:color w:val="auto"/>
          <w:spacing w:val="0"/>
          <w:kern w:val="36"/>
          <w:sz w:val="30"/>
          <w:szCs w:val="30"/>
          <w:lang w:val="en-US" w:eastAsia="zh-CN"/>
        </w:rPr>
        <w:t>诗碧曼生物科技获得“专精特新企业”荣誉认证</w:t>
      </w:r>
      <w:r>
        <w:rPr>
          <w:rFonts w:hint="eastAsia" w:ascii="Times New Roman" w:hAnsi="Times New Roman" w:eastAsia="方正楷体_GBK" w:cs="Times New Roman"/>
          <w:b/>
          <w:color w:val="auto"/>
          <w:spacing w:val="0"/>
          <w:kern w:val="36"/>
          <w:sz w:val="30"/>
          <w:szCs w:val="30"/>
          <w:lang w:val="en-US" w:eastAsia="zh-CN"/>
        </w:rPr>
        <w:t xml:space="preserve"> / 39</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w:t>
      </w:r>
      <w:r>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经贸分析</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方正小标宋_GBK" w:hAnsi="方正小标宋_GBK" w:eastAsia="方正小标宋_GBK" w:cs="方正小标宋_GBK"/>
          <w:b/>
          <w:bCs/>
          <w:i w:val="0"/>
          <w:iCs w:val="0"/>
          <w:color w:val="0000FF"/>
          <w:sz w:val="32"/>
          <w:szCs w:val="32"/>
          <w:highlight w:val="yellow"/>
          <w:lang w:val="en-US" w:eastAsia="zh-CN"/>
        </w:rPr>
      </w:pPr>
      <w:r>
        <w:rPr>
          <w:rFonts w:hint="eastAsia" w:ascii="方正小标宋_GBK" w:hAnsi="方正小标宋_GBK" w:eastAsia="方正小标宋_GBK" w:cs="方正小标宋_GBK"/>
          <w:b/>
          <w:bCs/>
          <w:i w:val="0"/>
          <w:iCs w:val="0"/>
          <w:color w:val="0000FF"/>
          <w:sz w:val="32"/>
          <w:szCs w:val="32"/>
          <w:highlight w:val="yellow"/>
          <w:lang w:val="en-US" w:eastAsia="zh-CN"/>
        </w:rPr>
        <w:t>7月12日（周五）</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Calibri" w:hAnsi="Calibri" w:eastAsia="宋体" w:cs="Calibri"/>
          <w:b/>
          <w:bCs/>
          <w:i w:val="0"/>
          <w:iCs w:val="0"/>
          <w:color w:val="0000FF"/>
          <w:sz w:val="30"/>
          <w:szCs w:val="30"/>
          <w:highlight w:val="yellow"/>
          <w:lang w:val="en-US" w:eastAsia="zh-CN"/>
        </w:rPr>
      </w:pPr>
      <w:r>
        <w:rPr>
          <w:rFonts w:hint="eastAsia" w:ascii="方正小标宋_GBK" w:hAnsi="方正小标宋_GBK" w:eastAsia="方正小标宋_GBK" w:cs="方正小标宋_GBK"/>
          <w:b/>
          <w:bCs/>
          <w:i w:val="0"/>
          <w:iCs w:val="0"/>
          <w:color w:val="0000FF"/>
          <w:sz w:val="36"/>
          <w:szCs w:val="36"/>
          <w:highlight w:val="yellow"/>
          <w:lang w:val="en-US" w:eastAsia="zh-CN"/>
        </w:rPr>
        <w:t>6月CPI显示美通胀全面降温，但基准利率仍维持不变</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lang w:val="en-US" w:eastAsia="zh-CN"/>
        </w:rPr>
      </w:pPr>
      <w:r>
        <w:rPr>
          <w:rFonts w:hint="eastAsia" w:asciiTheme="minorEastAsia" w:hAnsiTheme="minorEastAsia" w:eastAsiaTheme="minorEastAsia" w:cstheme="minorEastAsia"/>
          <w:sz w:val="32"/>
          <w:szCs w:val="32"/>
          <w:lang w:val="en-US" w:eastAsia="zh-CN"/>
        </w:rPr>
        <w:t>7月11日，美国劳工统计局公布6月CPI数据（见表格）。</w:t>
      </w:r>
    </w:p>
    <w:p>
      <w:pPr>
        <w:keepNext w:val="0"/>
        <w:keepLines w:val="0"/>
        <w:pageBreakBefore w:val="0"/>
        <w:widowControl w:val="0"/>
        <w:kinsoku/>
        <w:wordWrap/>
        <w:overflowPunct/>
        <w:topLinePunct w:val="0"/>
        <w:autoSpaceDE/>
        <w:autoSpaceDN/>
        <w:bidi w:val="0"/>
        <w:adjustRightInd/>
        <w:snapToGrid/>
        <w:spacing w:line="300" w:lineRule="exact"/>
        <w:ind w:firstLine="448" w:firstLineChars="200"/>
        <w:jc w:val="left"/>
        <w:textAlignment w:val="auto"/>
        <w:outlineLvl w:val="9"/>
      </w:pPr>
      <w:r>
        <w:rPr>
          <w:rFonts w:hint="eastAsia" w:ascii="方正楷体_GBK" w:hAnsi="方正楷体_GBK" w:eastAsia="方正楷体_GBK" w:cs="方正楷体_GBK"/>
          <w:b/>
          <w:color w:val="1F497D"/>
          <w:kern w:val="36"/>
          <w:sz w:val="24"/>
          <w:szCs w:val="24"/>
          <w:u w:val="none" w:color="BB120F"/>
          <w:lang w:val="en-US" w:eastAsia="zh-CN"/>
          <w14:textFill>
            <w14:solidFill>
              <w14:srgbClr w14:val="1F497D">
                <w14:lumMod w14:val="60000"/>
                <w14:lumOff w14:val="40000"/>
              </w14:srgbClr>
            </w14:solidFill>
          </w14:textFill>
        </w:rPr>
        <w:drawing>
          <wp:anchor distT="0" distB="0" distL="114300" distR="114300" simplePos="0" relativeHeight="251658240" behindDoc="0" locked="0" layoutInCell="1" allowOverlap="1">
            <wp:simplePos x="0" y="0"/>
            <wp:positionH relativeFrom="column">
              <wp:posOffset>151765</wp:posOffset>
            </wp:positionH>
            <wp:positionV relativeFrom="paragraph">
              <wp:posOffset>12065</wp:posOffset>
            </wp:positionV>
            <wp:extent cx="5204460" cy="1499870"/>
            <wp:effectExtent l="0" t="0" r="15240" b="5080"/>
            <wp:wrapTopAndBottom/>
            <wp:docPr id="1" name="图片 1" descr="图片1-7月12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7月12日"/>
                    <pic:cNvPicPr>
                      <a:picLocks noChangeAspect="1"/>
                    </pic:cNvPicPr>
                  </pic:nvPicPr>
                  <pic:blipFill>
                    <a:blip r:embed="rId6"/>
                    <a:stretch>
                      <a:fillRect/>
                    </a:stretch>
                  </pic:blipFill>
                  <pic:spPr>
                    <a:xfrm>
                      <a:off x="0" y="0"/>
                      <a:ext cx="5204460" cy="1499870"/>
                    </a:xfrm>
                    <a:prstGeom prst="rect">
                      <a:avLst/>
                    </a:prstGeom>
                  </pic:spPr>
                </pic:pic>
              </a:graphicData>
            </a:graphic>
          </wp:anchor>
        </w:drawing>
      </w:r>
      <w:r>
        <w:rPr>
          <w:rFonts w:hint="eastAsia" w:ascii="方正楷体_GBK" w:hAnsi="方正楷体_GBK" w:eastAsia="方正楷体_GBK" w:cs="方正楷体_GBK"/>
          <w:sz w:val="24"/>
          <w:szCs w:val="24"/>
          <w:lang w:val="en-US" w:eastAsia="zh-CN"/>
        </w:rPr>
        <w:t>(</w:t>
      </w:r>
      <w:r>
        <w:rPr>
          <w:rFonts w:hint="eastAsia" w:ascii="方正黑体_GBK" w:hAnsi="方正黑体_GBK" w:eastAsia="方正黑体_GBK" w:cs="方正黑体_GBK"/>
          <w:b/>
          <w:bCs/>
          <w:sz w:val="24"/>
          <w:szCs w:val="24"/>
          <w:highlight w:val="none"/>
          <w:lang w:val="en-US" w:eastAsia="zh-CN"/>
        </w:rPr>
        <w:t>注:</w:t>
      </w:r>
      <w:r>
        <w:rPr>
          <w:rFonts w:hint="eastAsia" w:ascii="方正楷体_GBK" w:hAnsi="方正楷体_GBK" w:eastAsia="方正楷体_GBK" w:cs="方正楷体_GBK"/>
          <w:b/>
          <w:bCs/>
          <w:sz w:val="24"/>
          <w:szCs w:val="24"/>
          <w:lang w:val="en-US" w:eastAsia="zh-CN"/>
        </w:rPr>
        <w:t>“消费者价格指数”（CPI）</w:t>
      </w:r>
      <w:r>
        <w:rPr>
          <w:rFonts w:hint="eastAsia" w:ascii="方正楷体_GBK" w:hAnsi="方正楷体_GBK" w:eastAsia="方正楷体_GBK" w:cs="方正楷体_GBK"/>
          <w:sz w:val="24"/>
          <w:szCs w:val="24"/>
          <w:lang w:val="en-US" w:eastAsia="zh-CN"/>
        </w:rPr>
        <w:t>，测量居民购买的生活消费品和服务价格水平的变动情况，以反映出居民生活成本的变化，该指标常被用于观测通货膨胀水平。在消费品中，食品和能源的价格通常波动比较大，为了更好地体现通胀趋势，将食品和能源从CPI中排除，就得到了“</w:t>
      </w:r>
      <w:r>
        <w:rPr>
          <w:rFonts w:hint="eastAsia" w:ascii="方正楷体_GBK" w:hAnsi="方正楷体_GBK" w:eastAsia="方正楷体_GBK" w:cs="方正楷体_GBK"/>
          <w:b/>
          <w:bCs/>
          <w:sz w:val="24"/>
          <w:szCs w:val="24"/>
          <w:lang w:val="en-US" w:eastAsia="zh-CN"/>
        </w:rPr>
        <w:t>核心CPI，Core CPI”</w:t>
      </w:r>
      <w:r>
        <w:rPr>
          <w:rFonts w:hint="eastAsia" w:ascii="方正楷体_GBK" w:hAnsi="方正楷体_GBK" w:eastAsia="方正楷体_GBK" w:cs="方正楷体_GBK"/>
          <w:sz w:val="24"/>
          <w:szCs w:val="24"/>
          <w:lang w:val="en-US" w:eastAsia="zh-CN"/>
        </w:rPr>
        <w:t xml:space="preserve">，即剔除了食品和能源价格的CPI。) </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sz w:val="32"/>
          <w:szCs w:val="32"/>
          <w:lang w:val="en-US" w:eastAsia="zh-CN"/>
        </w:rPr>
      </w:pPr>
      <w:r>
        <w:rPr>
          <w:sz w:val="32"/>
          <w:szCs w:val="32"/>
        </w:rPr>
        <w:drawing>
          <wp:anchor distT="0" distB="0" distL="114300" distR="114300" simplePos="0" relativeHeight="251659264" behindDoc="0" locked="0" layoutInCell="1" allowOverlap="1">
            <wp:simplePos x="0" y="0"/>
            <wp:positionH relativeFrom="column">
              <wp:posOffset>2675255</wp:posOffset>
            </wp:positionH>
            <wp:positionV relativeFrom="paragraph">
              <wp:posOffset>274955</wp:posOffset>
            </wp:positionV>
            <wp:extent cx="2919730" cy="2038350"/>
            <wp:effectExtent l="0" t="0" r="13970" b="0"/>
            <wp:wrapSquare wrapText="bothSides"/>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7"/>
                    <a:stretch>
                      <a:fillRect/>
                    </a:stretch>
                  </pic:blipFill>
                  <pic:spPr>
                    <a:xfrm>
                      <a:off x="0" y="0"/>
                      <a:ext cx="2919730" cy="203835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6月CPI的同比低于前值和预期，环比4年来首次转负，核心CPI的同比创3年来新低</w:t>
      </w:r>
      <w:r>
        <w:rPr>
          <w:rFonts w:hint="eastAsia" w:asciiTheme="minorEastAsia" w:hAnsiTheme="minorEastAsia" w:eastAsiaTheme="minorEastAsia" w:cstheme="minorEastAsia"/>
          <w:b w:val="0"/>
          <w:bCs w:val="0"/>
          <w:sz w:val="32"/>
          <w:szCs w:val="32"/>
          <w:lang w:val="en-US" w:eastAsia="zh-CN"/>
        </w:rPr>
        <w:t>，</w:t>
      </w:r>
      <w:r>
        <w:rPr>
          <w:rFonts w:hint="eastAsia" w:asciiTheme="minorEastAsia" w:hAnsiTheme="minorEastAsia" w:eastAsiaTheme="minorEastAsia" w:cstheme="minorEastAsia"/>
          <w:b/>
          <w:bCs/>
          <w:sz w:val="32"/>
          <w:szCs w:val="32"/>
          <w:lang w:val="en-US" w:eastAsia="zh-CN"/>
        </w:rPr>
        <w:t>显示通胀全面降温</w:t>
      </w:r>
      <w:r>
        <w:rPr>
          <w:rFonts w:hint="eastAsia" w:asciiTheme="minorEastAsia" w:hAnsiTheme="minorEastAsia" w:eastAsiaTheme="minorEastAsia" w:cstheme="minorEastAsia"/>
          <w:sz w:val="32"/>
          <w:szCs w:val="32"/>
          <w:lang w:val="en-US" w:eastAsia="zh-CN"/>
        </w:rPr>
        <w:t>。美联储官员随后发声，表示通胀正在取得进展，不过都未提供具体的降息时间表。</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美联储将于7月31日举行议息会仪，并公布最新的利率决议，市场大多投资者认为，届时美联储仍将按兵不动。部分投资者预计，其将在9月份的会议上降息；也有机构坚称，货币政策调整应置于11月初的美国总统大选之后。</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同日，美国财政部拍卖了30年期国债，拍卖结果显示需求并不如市场预期的那样强劲，海外投资者的购买明显减弱。海外买家可能考虑到降息后美债的风险，包括美元指数下跌、美国联邦支出的增加。</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近日，美国国会预算办公室调高了2024财年的联邦支出</w:t>
      </w:r>
      <w:r>
        <w:rPr>
          <w:rFonts w:hint="eastAsia" w:asciiTheme="minorEastAsia" w:hAnsiTheme="minorEastAsia" w:cstheme="minorEastAsia"/>
          <w:sz w:val="32"/>
          <w:szCs w:val="32"/>
          <w:lang w:val="en-US" w:eastAsia="zh-CN"/>
        </w:rPr>
        <w:t>，</w:t>
      </w:r>
      <w:r>
        <w:rPr>
          <w:rFonts w:hint="eastAsia" w:asciiTheme="minorEastAsia" w:hAnsiTheme="minorEastAsia" w:eastAsiaTheme="minorEastAsia" w:cstheme="minorEastAsia"/>
          <w:sz w:val="32"/>
          <w:szCs w:val="32"/>
          <w:lang w:val="en-US" w:eastAsia="zh-CN"/>
        </w:rPr>
        <w:t>将占GDP的比重——从2月份的23.1% 调高至24.2%，这使不少投资者开始对美债持谨慎态度。</w:t>
      </w: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rPr>
          <w:rFonts w:hint="eastAsia" w:ascii="Calibri" w:hAnsi="Calibri" w:eastAsia="宋体" w:cs="Calibri"/>
          <w:b/>
          <w:bCs/>
          <w:i w:val="0"/>
          <w:iCs w:val="0"/>
          <w:color w:val="0000FF"/>
          <w:highlight w:val="yellow"/>
          <w:lang w:val="en-US" w:eastAsia="zh-CN"/>
        </w:rPr>
      </w:pP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rPr>
          <w:rFonts w:hint="eastAsia" w:ascii="Calibri" w:hAnsi="Calibri" w:eastAsia="宋体" w:cs="Calibri"/>
          <w:b/>
          <w:bCs/>
          <w:i w:val="0"/>
          <w:iCs w:val="0"/>
          <w:color w:val="0000FF"/>
          <w:highlight w:val="yellow"/>
          <w:lang w:val="en-US" w:eastAsia="zh-CN"/>
        </w:rPr>
      </w:pP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rPr>
          <w:rFonts w:hint="eastAsia" w:ascii="Calibri" w:hAnsi="Calibri" w:eastAsia="宋体" w:cs="Calibri"/>
          <w:b/>
          <w:bCs/>
          <w:i w:val="0"/>
          <w:iCs w:val="0"/>
          <w:color w:val="0000FF"/>
          <w:highlight w:val="yellow"/>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方正小标宋_GBK" w:hAnsi="方正小标宋_GBK" w:eastAsia="方正小标宋_GBK" w:cs="方正小标宋_GBK"/>
          <w:b/>
          <w:bCs/>
          <w:i w:val="0"/>
          <w:iCs w:val="0"/>
          <w:color w:val="0000FF"/>
          <w:sz w:val="32"/>
          <w:szCs w:val="32"/>
          <w:highlight w:val="yellow"/>
          <w:lang w:val="en-US" w:eastAsia="zh-CN"/>
        </w:rPr>
      </w:pPr>
      <w:r>
        <w:rPr>
          <w:rFonts w:hint="eastAsia" w:ascii="方正小标宋_GBK" w:hAnsi="方正小标宋_GBK" w:eastAsia="方正小标宋_GBK" w:cs="方正小标宋_GBK"/>
          <w:b/>
          <w:bCs/>
          <w:i w:val="0"/>
          <w:iCs w:val="0"/>
          <w:color w:val="0000FF"/>
          <w:sz w:val="32"/>
          <w:szCs w:val="32"/>
          <w:highlight w:val="yellow"/>
          <w:lang w:val="en-US" w:eastAsia="zh-CN"/>
        </w:rPr>
        <w:t>7月13日（周六）</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Calibri"/>
          <w:b/>
          <w:bCs/>
          <w:i w:val="0"/>
          <w:iCs w:val="0"/>
          <w:color w:val="0000FF"/>
          <w:highlight w:val="yellow"/>
          <w:lang w:val="en-US" w:eastAsia="zh-CN"/>
        </w:rPr>
      </w:pPr>
      <w:r>
        <w:rPr>
          <w:rFonts w:hint="eastAsia" w:ascii="方正小标宋_GBK" w:hAnsi="方正小标宋_GBK" w:eastAsia="方正小标宋_GBK" w:cs="方正小标宋_GBK"/>
          <w:b/>
          <w:bCs/>
          <w:i w:val="0"/>
          <w:iCs w:val="0"/>
          <w:color w:val="0000FF"/>
          <w:sz w:val="36"/>
          <w:szCs w:val="36"/>
          <w:highlight w:val="yellow"/>
          <w:lang w:val="en-US" w:eastAsia="zh-CN"/>
        </w:rPr>
        <w:t>大银行季报显健康，密歇根指数弱信心</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7月12日（周五），摩根大通、富国、花旗等大型银行公布业绩，拉开了美国股市第二季度财报季的序幕。</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全美第一大商业银行摩根大通的财报显示，其二季度营收509.9亿美元，超过市场预期，其中净息收入为227亿美元，同比增长4%；净利润181.5亿美元，同比增长25%；每股收益4.40美元。</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值得重视的是，在总营收中包括23亿美元的投行费用收入，同比增长50%。投行业务，是指股票发行、债券发行、并购交易等与资本市场有关的活动，投行业务的收入增长，显示出市场活跃度的回暖和交易活动的增加。</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虽然摩根大通的二季度财报亮眼，但其董事长兼CEO杰米·戴蒙指出，公司对未来潜在的风险持谨慎态度，潜在的风险包括高于预期的通胀和利率。“在降低通胀方面已经取得了一些进展，但我们面前仍然存在多种通胀因素，包括巨额财政赤字、基础设施不足、贸易结构调整和全球重新军事化……“</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戴蒙表示，尽管股票和债券估值“反映了相当良性的经济前景”，但“地缘政治形势仍然复杂，可能是二战以来最严峻的情形，尽管其结果和对全球经济的影响仍然未知。”</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富国银行第二季度的收入和利润也基本符合华尔街预期：总营收206.9亿美元，其中净息收入119.2亿美元，同比下降了9%；净利润49.1亿美元，同比下降1%；每股收益1.33美元。</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银行的净息收入，是指从贷款和投资活动中获得的利息收入减去支付给存款人的利息费用后的净收入。这个净收入反映了银行通过贷款和投资活动赚取的利差，是银行主要的收入来源之一。对银行来说，净息收入的增加对盈利能力和财务状况都非常重要。</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富国银行对净息收入明显下降的解释，是因为利率上升增加了融资成本。摩根大通和富国银行在第二季度的净息收入方面表现迥异，主要原因是前者在投行业务和市场交易方面的强劲表现，以及与Visa的重大交易，而后者则受到了融资成本上升和运营效率问题的影响。</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同日，密歇根大学公布消费者调查数据（见表格）。</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outlineLvl w:val="9"/>
        <w:rPr>
          <w:rFonts w:hint="eastAsia" w:asciiTheme="minorEastAsia" w:hAnsiTheme="minorEastAsia" w:eastAsiaTheme="minorEastAsia" w:cstheme="minorEastAsia"/>
          <w:kern w:val="2"/>
          <w:sz w:val="32"/>
          <w:szCs w:val="32"/>
          <w:vertAlign w:val="baseline"/>
          <w:lang w:val="en-US" w:eastAsia="zh-CN" w:bidi="ar-SA"/>
        </w:rPr>
      </w:pPr>
      <w:r>
        <w:rPr>
          <w:rFonts w:hint="default" w:ascii="Times New Roman" w:hAnsi="Times New Roman" w:eastAsia="经典行楷简" w:cs="Times New Roman"/>
          <w:b/>
          <w:color w:val="1F497D"/>
          <w:kern w:val="36"/>
          <w:sz w:val="32"/>
          <w:szCs w:val="32"/>
          <w:u w:val="none" w:color="BB120F"/>
          <w:lang w:val="en-US" w:eastAsia="zh-CN"/>
          <w14:textFill>
            <w14:solidFill>
              <w14:srgbClr w14:val="1F497D">
                <w14:lumMod w14:val="60000"/>
                <w14:lumOff w14:val="40000"/>
              </w14:srgbClr>
            </w14:solidFill>
          </w14:textFill>
        </w:rPr>
        <w:drawing>
          <wp:anchor distT="0" distB="0" distL="114300" distR="114300" simplePos="0" relativeHeight="251660288" behindDoc="0" locked="0" layoutInCell="1" allowOverlap="1">
            <wp:simplePos x="0" y="0"/>
            <wp:positionH relativeFrom="column">
              <wp:posOffset>266700</wp:posOffset>
            </wp:positionH>
            <wp:positionV relativeFrom="paragraph">
              <wp:posOffset>362585</wp:posOffset>
            </wp:positionV>
            <wp:extent cx="5075555" cy="1406525"/>
            <wp:effectExtent l="0" t="0" r="10795" b="3175"/>
            <wp:wrapTopAndBottom/>
            <wp:docPr id="2" name="图片 2" descr="图片2-7月13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7月13日"/>
                    <pic:cNvPicPr>
                      <a:picLocks noChangeAspect="1"/>
                    </pic:cNvPicPr>
                  </pic:nvPicPr>
                  <pic:blipFill>
                    <a:blip r:embed="rId8"/>
                    <a:stretch>
                      <a:fillRect/>
                    </a:stretch>
                  </pic:blipFill>
                  <pic:spPr>
                    <a:xfrm>
                      <a:off x="0" y="0"/>
                      <a:ext cx="5075555" cy="1406525"/>
                    </a:xfrm>
                    <a:prstGeom prst="rect">
                      <a:avLst/>
                    </a:prstGeom>
                  </pic:spPr>
                </pic:pic>
              </a:graphicData>
            </a:graphic>
          </wp:anchor>
        </w:drawing>
      </w:r>
      <w:r>
        <w:rPr>
          <w:rFonts w:hint="eastAsia" w:asciiTheme="minorEastAsia" w:hAnsiTheme="minorEastAsia" w:eastAsiaTheme="minorEastAsia" w:cstheme="minorEastAsia"/>
          <w:sz w:val="32"/>
          <w:szCs w:val="32"/>
          <w:lang w:val="en-US" w:eastAsia="zh-CN"/>
        </w:rPr>
        <w:t>数据显示，虽然民众的短期和长期通胀的预期均出现回落，但7月</w:t>
      </w:r>
      <w:r>
        <w:rPr>
          <w:rFonts w:hint="eastAsia" w:asciiTheme="minorEastAsia" w:hAnsiTheme="minorEastAsia" w:eastAsiaTheme="minorEastAsia" w:cstheme="minorEastAsia"/>
          <w:kern w:val="2"/>
          <w:sz w:val="32"/>
          <w:szCs w:val="32"/>
          <w:vertAlign w:val="baseline"/>
          <w:lang w:val="en-US" w:eastAsia="zh-CN" w:bidi="ar-SA"/>
        </w:rPr>
        <w:t>“消费者</w:t>
      </w:r>
      <w:r>
        <w:rPr>
          <w:rFonts w:hint="eastAsia" w:asciiTheme="minorEastAsia" w:hAnsiTheme="minorEastAsia" w:eastAsiaTheme="minorEastAsia" w:cstheme="minorEastAsia"/>
          <w:b w:val="0"/>
          <w:bCs w:val="0"/>
          <w:kern w:val="2"/>
          <w:sz w:val="32"/>
          <w:szCs w:val="32"/>
          <w:vertAlign w:val="baseline"/>
          <w:lang w:val="en-US" w:eastAsia="zh-CN" w:bidi="ar-SA"/>
        </w:rPr>
        <w:t>信心</w:t>
      </w:r>
      <w:r>
        <w:rPr>
          <w:rFonts w:hint="eastAsia" w:asciiTheme="minorEastAsia" w:hAnsiTheme="minorEastAsia" w:eastAsiaTheme="minorEastAsia" w:cstheme="minorEastAsia"/>
          <w:kern w:val="2"/>
          <w:sz w:val="32"/>
          <w:szCs w:val="32"/>
          <w:vertAlign w:val="baseline"/>
          <w:lang w:val="en-US" w:eastAsia="zh-CN" w:bidi="ar-SA"/>
        </w:rPr>
        <w:t>指数</w:t>
      </w:r>
      <w:r>
        <w:rPr>
          <w:rFonts w:hint="eastAsia" w:asciiTheme="minorEastAsia" w:hAnsiTheme="minorEastAsia" w:eastAsiaTheme="minorEastAsia" w:cstheme="minorEastAsia"/>
          <w:sz w:val="32"/>
          <w:szCs w:val="32"/>
          <w:lang w:val="en-US" w:eastAsia="zh-CN"/>
        </w:rPr>
        <w:t>”</w:t>
      </w:r>
      <w:r>
        <w:rPr>
          <w:rFonts w:hint="eastAsia" w:asciiTheme="minorEastAsia" w:hAnsiTheme="minorEastAsia" w:eastAsiaTheme="minorEastAsia" w:cstheme="minorEastAsia"/>
          <w:kern w:val="2"/>
          <w:sz w:val="32"/>
          <w:szCs w:val="32"/>
          <w:vertAlign w:val="baseline"/>
          <w:lang w:val="en-US" w:eastAsia="zh-CN" w:bidi="ar-SA"/>
        </w:rPr>
        <w:t>初值（66）却创下8个月新低，显示出高通胀抑制了人们对家庭财务和宏观经济的看法。</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kern w:val="2"/>
          <w:sz w:val="32"/>
          <w:szCs w:val="32"/>
          <w:vertAlign w:val="baseline"/>
          <w:lang w:val="en-US" w:eastAsia="zh-CN" w:bidi="ar-SA"/>
        </w:rPr>
      </w:pPr>
      <w:r>
        <w:rPr>
          <w:rFonts w:hint="eastAsia" w:asciiTheme="minorEastAsia" w:hAnsiTheme="minorEastAsia" w:eastAsiaTheme="minorEastAsia" w:cstheme="minorEastAsia"/>
          <w:kern w:val="2"/>
          <w:sz w:val="32"/>
          <w:szCs w:val="32"/>
          <w:vertAlign w:val="baseline"/>
          <w:lang w:val="en-US" w:eastAsia="zh-CN" w:bidi="ar-SA"/>
        </w:rPr>
        <w:t>美国消费者们对持续的高物价感到非常沮丧和疲惫，在调查中近一半的消费者主动表示，高物价正在侵蚀他们的生活水平。这一调查结果与两年前的历史最高水平相当。</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数据还显示，消费者们对“耐用品购买条件”的评估，降至1年多来的最低水平。“耐用品购买条件”，用于衡量消费者对当下添置耐用品的愿望强弱，即“购买条件”是否成熟。其包括添置耐用品所需的经济条件（如收入、就业机会）、信贷条件（如贷款利率、贷款可获得性），以及对未来个人财务状况等方面的预期。</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总体来看，消费者对当前和未来财务状况的看法均在走弱，降至去年10月以来的最低水平。密歇根大学的调查还显示，随着美国总统大选的临近，民众认为美国经济的走势存在很大的不确定性。美国的消费类企业也不断发出警告，称美国消费者的购买力已经接近了极限。</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方正小标宋_GBK" w:hAnsi="方正小标宋_GBK" w:eastAsia="方正小标宋_GBK" w:cs="方正小标宋_GBK"/>
          <w:b/>
          <w:bCs/>
          <w:i w:val="0"/>
          <w:iCs w:val="0"/>
          <w:color w:val="0000FF"/>
          <w:sz w:val="32"/>
          <w:szCs w:val="32"/>
          <w:highlight w:val="yellow"/>
          <w:lang w:val="en-US" w:eastAsia="zh-CN"/>
        </w:rPr>
      </w:pPr>
      <w:r>
        <w:rPr>
          <w:rFonts w:hint="eastAsia" w:ascii="方正小标宋_GBK" w:hAnsi="方正小标宋_GBK" w:eastAsia="方正小标宋_GBK" w:cs="方正小标宋_GBK"/>
          <w:b/>
          <w:bCs/>
          <w:i w:val="0"/>
          <w:iCs w:val="0"/>
          <w:color w:val="0000FF"/>
          <w:sz w:val="32"/>
          <w:szCs w:val="32"/>
          <w:highlight w:val="yellow"/>
          <w:lang w:val="en-US" w:eastAsia="zh-CN"/>
        </w:rPr>
        <w:t>7月14日（周日）</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Calibri" w:hAnsi="Calibri" w:eastAsia="宋体" w:cs="Calibri"/>
          <w:b/>
          <w:bCs/>
          <w:i w:val="0"/>
          <w:iCs w:val="0"/>
          <w:color w:val="0000FF"/>
          <w:highlight w:val="yellow"/>
          <w:lang w:val="en-US" w:eastAsia="zh-CN"/>
        </w:rPr>
      </w:pPr>
      <w:r>
        <w:rPr>
          <w:rFonts w:hint="eastAsia" w:ascii="方正小标宋_GBK" w:hAnsi="方正小标宋_GBK" w:eastAsia="方正小标宋_GBK" w:cs="方正小标宋_GBK"/>
          <w:b/>
          <w:bCs/>
          <w:i w:val="0"/>
          <w:iCs w:val="0"/>
          <w:color w:val="0000FF"/>
          <w:sz w:val="36"/>
          <w:szCs w:val="36"/>
          <w:highlight w:val="yellow"/>
          <w:lang w:val="en-US" w:eastAsia="zh-CN"/>
        </w:rPr>
        <w:t>论“做饭的燃料问题”</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“健康度量与评估研究所”（Institute for Health Metrics and Evaluation，IHME）最新发布了一份关于室内污染的研究报告。</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报告指出，世界上一些最致命的空气污染，不是来自拥挤的道路和发电厂，而是来自厨房。在全球许多地区，普通家庭仍然使用固体燃料做饭。这些固体燃料的选择主要取决于当地的资源和可用性，常见的有木柴、木炭、煤炭，以及生物质燃料。其中，生物质燃料包括农作物残渣、秸秆、柴草、木屑和动物粪便等生物质材料。</w:t>
      </w: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rPr>
          <w:rFonts w:hint="eastAsia" w:asciiTheme="minorEastAsia" w:hAnsiTheme="minorEastAsia" w:eastAsiaTheme="minorEastAsia" w:cstheme="minorEastAsia"/>
          <w:sz w:val="32"/>
          <w:szCs w:val="32"/>
          <w:lang w:val="en-US" w:eastAsia="zh-CN"/>
        </w:rPr>
      </w:pPr>
      <w:r>
        <w:drawing>
          <wp:anchor distT="0" distB="0" distL="114300" distR="114300" simplePos="0" relativeHeight="251661312" behindDoc="0" locked="0" layoutInCell="1" allowOverlap="1">
            <wp:simplePos x="0" y="0"/>
            <wp:positionH relativeFrom="column">
              <wp:posOffset>1536700</wp:posOffset>
            </wp:positionH>
            <wp:positionV relativeFrom="paragraph">
              <wp:posOffset>73660</wp:posOffset>
            </wp:positionV>
            <wp:extent cx="3944620" cy="1715135"/>
            <wp:effectExtent l="0" t="0" r="17780" b="18415"/>
            <wp:wrapSquare wrapText="bothSides"/>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9"/>
                    <a:stretch>
                      <a:fillRect/>
                    </a:stretch>
                  </pic:blipFill>
                  <pic:spPr>
                    <a:xfrm>
                      <a:off x="0" y="0"/>
                      <a:ext cx="3944620" cy="171513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报告称，直接燃烧这些固体燃料，在家里产生的烟雾每年导致近400万人早亡，成为继心脏病和中风之后，导致早亡的第三大原因。</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为了改变这一情况，国际和各国都已经作出了努力。自2010年以来，亚洲已有8.4亿人用上了更健康的燃料，如电力和天然气。在印度和印度尼西亚等国，依赖上述燃料的人口数量减少了一半以上。</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然而，</w:t>
      </w:r>
      <w:r>
        <w:rPr>
          <w:rFonts w:hint="eastAsia" w:asciiTheme="minorEastAsia" w:hAnsiTheme="minorEastAsia" w:eastAsiaTheme="minorEastAsia" w:cstheme="minorEastAsia"/>
          <w:b/>
          <w:bCs/>
          <w:sz w:val="32"/>
          <w:szCs w:val="32"/>
          <w:lang w:val="en-US" w:eastAsia="zh-CN"/>
        </w:rPr>
        <w:t>非洲的进展却差强人意</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一方面，非洲的人口增长率全球最高</w:t>
      </w:r>
      <w:r>
        <w:rPr>
          <w:rFonts w:hint="eastAsia" w:asciiTheme="minorEastAsia" w:hAnsiTheme="minorEastAsia" w:eastAsiaTheme="minorEastAsia" w:cstheme="minorEastAsia"/>
          <w:sz w:val="32"/>
          <w:szCs w:val="32"/>
          <w:lang w:val="en-US" w:eastAsia="zh-CN"/>
        </w:rPr>
        <w:t>，因此人口中使用“健康燃料”的比重难以增长。根据联合国《世界人口展望2022》的预测，撒哈拉以南非洲到2050年将贡献全球超过半数的新增人口，到2070年将超越东亚、南亚成为人口最多的地区。确实，</w:t>
      </w:r>
      <w:r>
        <w:rPr>
          <w:rFonts w:hint="eastAsia" w:asciiTheme="minorEastAsia" w:hAnsiTheme="minorEastAsia" w:eastAsiaTheme="minorEastAsia" w:cstheme="minorEastAsia"/>
          <w:b/>
          <w:bCs/>
          <w:sz w:val="32"/>
          <w:szCs w:val="32"/>
          <w:lang w:val="en-US" w:eastAsia="zh-CN"/>
        </w:rPr>
        <w:t>如此巨大的人口规模，即使是提供做饭所需要的燃料，也是一个不小的难题</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rPr>
          <w:rFonts w:hint="eastAsia" w:asciiTheme="minorEastAsia" w:hAnsiTheme="minorEastAsia" w:eastAsiaTheme="minorEastAsia" w:cstheme="minorEastAsia"/>
          <w:sz w:val="32"/>
          <w:szCs w:val="32"/>
          <w:lang w:val="en-US" w:eastAsia="zh-CN"/>
        </w:rPr>
      </w:pPr>
      <w:r>
        <w:drawing>
          <wp:anchor distT="0" distB="0" distL="114300" distR="114300" simplePos="0" relativeHeight="251662336" behindDoc="0" locked="0" layoutInCell="1" allowOverlap="1">
            <wp:simplePos x="0" y="0"/>
            <wp:positionH relativeFrom="column">
              <wp:posOffset>2145665</wp:posOffset>
            </wp:positionH>
            <wp:positionV relativeFrom="paragraph">
              <wp:posOffset>125095</wp:posOffset>
            </wp:positionV>
            <wp:extent cx="3094355" cy="1644015"/>
            <wp:effectExtent l="0" t="0" r="10795" b="13335"/>
            <wp:wrapSquare wrapText="bothSides"/>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0"/>
                    <a:stretch>
                      <a:fillRect/>
                    </a:stretch>
                  </pic:blipFill>
                  <pic:spPr>
                    <a:xfrm>
                      <a:off x="0" y="0"/>
                      <a:ext cx="3094355" cy="1644015"/>
                    </a:xfrm>
                    <a:prstGeom prst="rect">
                      <a:avLst/>
                    </a:prstGeom>
                    <a:noFill/>
                    <a:ln>
                      <a:noFill/>
                    </a:ln>
                  </pic:spPr>
                </pic:pic>
              </a:graphicData>
            </a:graphic>
          </wp:anchor>
        </w:drawing>
      </w:r>
      <w:r>
        <w:rPr>
          <w:rFonts w:hint="eastAsia" w:asciiTheme="minorEastAsia" w:hAnsiTheme="minorEastAsia" w:eastAsiaTheme="minorEastAsia" w:cstheme="minorEastAsia"/>
          <w:b/>
          <w:bCs/>
          <w:sz w:val="32"/>
          <w:szCs w:val="32"/>
          <w:lang w:val="en-US" w:eastAsia="zh-CN"/>
        </w:rPr>
        <w:t>另一方面，在非洲推广健康燃料计划的资金严重不足</w:t>
      </w:r>
      <w:r>
        <w:rPr>
          <w:rFonts w:hint="eastAsia" w:asciiTheme="minorEastAsia" w:hAnsiTheme="minorEastAsia" w:eastAsiaTheme="minorEastAsia" w:cstheme="minorEastAsia"/>
          <w:sz w:val="32"/>
          <w:szCs w:val="32"/>
          <w:lang w:val="en-US" w:eastAsia="zh-CN"/>
        </w:rPr>
        <w:t>。由于财政的债务负担不断加重，许多非洲国家最近都取消了相关计划，毕竟，对当地社会而言，这个问题远非什么当务之急。</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实际上，这并非简单的烹饪燃料问题，而是更广阔的工业化、区域经济增长、人口控制、基础设施建设等宏观经济问题中的一个侧面，如果没有解决更底层的矛盾和结构性缺失，就单一问题谈方案，终究是无解的。</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非洲发展的当务之急是能源问题</w:t>
      </w:r>
      <w:r>
        <w:rPr>
          <w:rFonts w:hint="eastAsia" w:asciiTheme="minorEastAsia" w:hAnsiTheme="minorEastAsia" w:eastAsiaTheme="minorEastAsia" w:cstheme="minorEastAsia"/>
          <w:sz w:val="32"/>
          <w:szCs w:val="32"/>
          <w:lang w:val="en-US" w:eastAsia="zh-CN"/>
        </w:rPr>
        <w:t>，必须构建一个符合非洲实际情况的能源解决方案，即一个因地制宜的现代电力系统建设，其来源可以是光电、风电、水电、火电，甚至核电，其传输方式可以是并网，也可以是离网……</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lang w:val="en-US" w:eastAsia="zh-CN"/>
        </w:rPr>
      </w:pPr>
      <w:r>
        <w:rPr>
          <w:rFonts w:hint="eastAsia" w:asciiTheme="minorEastAsia" w:hAnsiTheme="minorEastAsia" w:eastAsiaTheme="minorEastAsia" w:cstheme="minorEastAsia"/>
          <w:sz w:val="32"/>
          <w:szCs w:val="32"/>
          <w:lang w:val="en-US" w:eastAsia="zh-CN"/>
        </w:rPr>
        <w:t>有了低成本且使用便捷的电力，非洲的工业化将全面展开，届时，做饭的燃料问题将不复存在。</w:t>
      </w:r>
    </w:p>
    <w:p/>
    <w:p/>
    <w:p/>
    <w:p/>
    <w:p>
      <w:pPr>
        <w:keepNext w:val="0"/>
        <w:keepLines w:val="0"/>
        <w:pageBreakBefore w:val="0"/>
        <w:widowControl w:val="0"/>
        <w:kinsoku/>
        <w:wordWrap/>
        <w:overflowPunct/>
        <w:topLinePunct w:val="0"/>
        <w:autoSpaceDE/>
        <w:autoSpaceDN/>
        <w:bidi w:val="0"/>
        <w:adjustRightInd/>
        <w:snapToGrid/>
        <w:jc w:val="left"/>
        <w:textAlignment w:val="auto"/>
        <w:rPr>
          <w:rFonts w:hint="eastAsia" w:ascii="Calibri" w:hAnsi="Calibri" w:eastAsia="宋体" w:cs="Calibri"/>
          <w:b/>
          <w:bCs/>
          <w:i w:val="0"/>
          <w:iCs w:val="0"/>
          <w:color w:val="0000FF"/>
          <w:highlight w:val="yellow"/>
          <w:lang w:val="en-US" w:eastAsia="zh-CN"/>
        </w:rPr>
      </w:pPr>
      <w:r>
        <w:rPr>
          <w:rFonts w:hint="eastAsia" w:ascii="方正小标宋_GBK" w:hAnsi="方正小标宋_GBK" w:eastAsia="方正小标宋_GBK" w:cs="方正小标宋_GBK"/>
          <w:b/>
          <w:bCs/>
          <w:i w:val="0"/>
          <w:iCs w:val="0"/>
          <w:color w:val="0000FF"/>
          <w:sz w:val="32"/>
          <w:szCs w:val="32"/>
          <w:highlight w:val="yellow"/>
          <w:lang w:val="en-US" w:eastAsia="zh-CN"/>
        </w:rPr>
        <w:t>7月15日（周一）</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Calibri" w:hAnsi="Calibri" w:eastAsia="宋体" w:cs="Calibri"/>
          <w:b/>
          <w:bCs/>
          <w:i w:val="0"/>
          <w:iCs w:val="0"/>
          <w:color w:val="0000FF"/>
          <w:highlight w:val="yellow"/>
          <w:lang w:val="en-US" w:eastAsia="zh-CN"/>
        </w:rPr>
      </w:pPr>
      <w:r>
        <w:rPr>
          <w:rFonts w:hint="eastAsia" w:ascii="方正小标宋_GBK" w:hAnsi="方正小标宋_GBK" w:eastAsia="方正小标宋_GBK" w:cs="方正小标宋_GBK"/>
          <w:b/>
          <w:bCs/>
          <w:i w:val="0"/>
          <w:iCs w:val="0"/>
          <w:color w:val="0000FF"/>
          <w:sz w:val="36"/>
          <w:szCs w:val="36"/>
          <w:highlight w:val="yellow"/>
          <w:lang w:val="en-US" w:eastAsia="zh-CN"/>
        </w:rPr>
        <w:t>印度农业前景可期，农资市场空间巨大</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2024年的印度大选是一个备受瞩目的事件，其规模</w:t>
      </w:r>
      <w:r>
        <w:rPr>
          <w:rFonts w:hint="eastAsia" w:asciiTheme="minorEastAsia" w:hAnsiTheme="minorEastAsia" w:eastAsiaTheme="minorEastAsia" w:cstheme="minorEastAsia"/>
          <w:sz w:val="32"/>
          <w:szCs w:val="32"/>
          <w:lang w:eastAsia="zh-CN"/>
        </w:rPr>
        <w:t>惊人、</w:t>
      </w:r>
      <w:r>
        <w:rPr>
          <w:rFonts w:hint="eastAsia" w:asciiTheme="minorEastAsia" w:hAnsiTheme="minorEastAsia" w:eastAsiaTheme="minorEastAsia" w:cstheme="minorEastAsia"/>
          <w:sz w:val="32"/>
          <w:szCs w:val="32"/>
        </w:rPr>
        <w:t>影响</w:t>
      </w:r>
      <w:r>
        <w:rPr>
          <w:rFonts w:hint="eastAsia" w:asciiTheme="minorEastAsia" w:hAnsiTheme="minorEastAsia" w:eastAsiaTheme="minorEastAsia" w:cstheme="minorEastAsia"/>
          <w:sz w:val="32"/>
          <w:szCs w:val="32"/>
          <w:lang w:eastAsia="zh-CN"/>
        </w:rPr>
        <w:t>久远</w:t>
      </w:r>
      <w:r>
        <w:rPr>
          <w:rFonts w:hint="eastAsia" w:asciiTheme="minorEastAsia" w:hAnsiTheme="minorEastAsia" w:eastAsiaTheme="minorEastAsia" w:cstheme="minorEastAsia"/>
          <w:sz w:val="32"/>
          <w:szCs w:val="32"/>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印度实行的是联邦制下的议会民主制度，其议会分为两院制，包括联邦院（上院）和人民院（下院）。通常所说的印度大选指的是人民院的选举，这是一个每五年举行一次的选举，用以决定多数党或政党联盟来组建政府 。</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人民院共有545个席位，其中543个席位由选民直接选举产生，任期五年。赢得多数席位的政党或政党联盟的领袖通常将被任命为总理</w:t>
      </w:r>
      <w:r>
        <w:rPr>
          <w:rFonts w:hint="eastAsia" w:asciiTheme="minorEastAsia" w:hAnsiTheme="minorEastAsia" w:eastAsiaTheme="minorEastAsia" w:cstheme="minorEastAsia"/>
          <w:sz w:val="32"/>
          <w:szCs w:val="32"/>
          <w:lang w:eastAsia="zh-CN"/>
        </w:rPr>
        <w:t>，印度的</w:t>
      </w:r>
      <w:r>
        <w:rPr>
          <w:rFonts w:hint="eastAsia" w:asciiTheme="minorEastAsia" w:hAnsiTheme="minorEastAsia" w:eastAsiaTheme="minorEastAsia" w:cstheme="minorEastAsia"/>
          <w:sz w:val="32"/>
          <w:szCs w:val="32"/>
        </w:rPr>
        <w:t>行政权力</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由总理和其领导的内阁行使。</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2024年的印度大选从4月19日开始至6月1日结束。6月4日开始计票，并在当天公布计票结果。</w:t>
      </w:r>
      <w:r>
        <w:rPr>
          <w:rFonts w:hint="eastAsia" w:asciiTheme="minorEastAsia" w:hAnsiTheme="minorEastAsia" w:eastAsiaTheme="minorEastAsia" w:cstheme="minorEastAsia"/>
          <w:sz w:val="32"/>
          <w:szCs w:val="32"/>
          <w:lang w:eastAsia="zh-CN"/>
        </w:rPr>
        <w:t>此</w:t>
      </w:r>
      <w:r>
        <w:rPr>
          <w:rFonts w:hint="eastAsia" w:asciiTheme="minorEastAsia" w:hAnsiTheme="minorEastAsia" w:eastAsiaTheme="minorEastAsia" w:cstheme="minorEastAsia"/>
          <w:sz w:val="32"/>
          <w:szCs w:val="32"/>
        </w:rPr>
        <w:t>次大选的规模非常庞大，约有9.7亿名印度选民参与，通过105万个投票站进行投票，选举出</w:t>
      </w:r>
      <w:r>
        <w:rPr>
          <w:rFonts w:hint="eastAsia" w:asciiTheme="minorEastAsia" w:hAnsiTheme="minorEastAsia" w:eastAsiaTheme="minorEastAsia" w:cstheme="minorEastAsia"/>
          <w:sz w:val="32"/>
          <w:szCs w:val="32"/>
          <w:lang w:eastAsia="zh-CN"/>
        </w:rPr>
        <w:t>人民院</w:t>
      </w:r>
      <w:r>
        <w:rPr>
          <w:rFonts w:hint="eastAsia" w:asciiTheme="minorEastAsia" w:hAnsiTheme="minorEastAsia" w:eastAsiaTheme="minorEastAsia" w:cstheme="minorEastAsia"/>
          <w:sz w:val="32"/>
          <w:szCs w:val="32"/>
        </w:rPr>
        <w:t>议员。</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选举的主要竞争在两大联盟之间展开，</w:t>
      </w:r>
      <w:r>
        <w:rPr>
          <w:rFonts w:hint="eastAsia" w:asciiTheme="minorEastAsia" w:hAnsiTheme="minorEastAsia" w:eastAsiaTheme="minorEastAsia" w:cstheme="minorEastAsia"/>
          <w:sz w:val="32"/>
          <w:szCs w:val="32"/>
          <w:lang w:eastAsia="zh-CN"/>
        </w:rPr>
        <w:t>即</w:t>
      </w:r>
      <w:r>
        <w:rPr>
          <w:rFonts w:hint="eastAsia" w:asciiTheme="minorEastAsia" w:hAnsiTheme="minorEastAsia" w:eastAsiaTheme="minorEastAsia" w:cstheme="minorEastAsia"/>
          <w:sz w:val="32"/>
          <w:szCs w:val="32"/>
        </w:rPr>
        <w:t>现任总理莫迪领导的以</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印度人民党</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w:t>
      </w:r>
      <w:r>
        <w:rPr>
          <w:rFonts w:hint="eastAsia" w:asciiTheme="minorEastAsia" w:hAnsiTheme="minorEastAsia" w:eastAsiaTheme="minorEastAsia" w:cstheme="minorEastAsia"/>
          <w:sz w:val="32"/>
          <w:szCs w:val="32"/>
          <w:lang w:val="en-US" w:eastAsia="zh-CN"/>
        </w:rPr>
        <w:t>BJP</w:t>
      </w:r>
      <w:r>
        <w:rPr>
          <w:rFonts w:hint="eastAsia" w:asciiTheme="minorEastAsia" w:hAnsiTheme="minorEastAsia" w:eastAsiaTheme="minorEastAsia" w:cstheme="minorEastAsia"/>
          <w:sz w:val="32"/>
          <w:szCs w:val="32"/>
        </w:rPr>
        <w:t>）为核心的“全国民主联盟”（NDA）和</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印度国大党</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牵头的“印度国家发展包容性联盟”（INDIA） 。</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lang w:val="en-US" w:eastAsia="zh-CN"/>
        </w:rPr>
        <w:t>NDA</w:t>
      </w:r>
      <w:r>
        <w:rPr>
          <w:rFonts w:hint="eastAsia" w:asciiTheme="minorEastAsia" w:hAnsiTheme="minorEastAsia" w:eastAsiaTheme="minorEastAsia" w:cstheme="minorEastAsia"/>
          <w:sz w:val="32"/>
          <w:szCs w:val="32"/>
          <w:lang w:eastAsia="zh-CN"/>
        </w:rPr>
        <w:t>在此次大选中获胜，莫迪开启第三个总理任期。然而，尽管获得了过半数的席位，但</w:t>
      </w:r>
      <w:r>
        <w:rPr>
          <w:rFonts w:hint="eastAsia" w:asciiTheme="minorEastAsia" w:hAnsiTheme="minorEastAsia" w:eastAsiaTheme="minorEastAsia" w:cstheme="minorEastAsia"/>
          <w:sz w:val="32"/>
          <w:szCs w:val="32"/>
          <w:lang w:val="en-US" w:eastAsia="zh-CN"/>
        </w:rPr>
        <w:t>NDA的</w:t>
      </w:r>
      <w:r>
        <w:rPr>
          <w:rFonts w:hint="eastAsia" w:asciiTheme="minorEastAsia" w:hAnsiTheme="minorEastAsia" w:eastAsiaTheme="minorEastAsia" w:cstheme="minorEastAsia"/>
          <w:sz w:val="32"/>
          <w:szCs w:val="32"/>
          <w:lang w:eastAsia="zh-CN"/>
        </w:rPr>
        <w:t>表现并未达到预期</w:t>
      </w:r>
      <w:r>
        <w:rPr>
          <w:rFonts w:hint="eastAsia" w:asciiTheme="minorEastAsia" w:hAnsiTheme="minorEastAsia" w:eastAsiaTheme="minorEastAsia" w:cstheme="minorEastAsia"/>
          <w:sz w:val="32"/>
          <w:szCs w:val="32"/>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印度人民党</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lang w:val="en-US" w:eastAsia="zh-CN"/>
        </w:rPr>
        <w:t>BJP</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在北部中心地带——北部邦的席位从2019年的80席中的62席减少到仅33席，这是该党在所有邦中</w:t>
      </w:r>
      <w:r>
        <w:rPr>
          <w:rFonts w:hint="eastAsia" w:asciiTheme="minorEastAsia" w:hAnsiTheme="minorEastAsia" w:eastAsiaTheme="minorEastAsia" w:cstheme="minorEastAsia"/>
          <w:sz w:val="32"/>
          <w:szCs w:val="32"/>
          <w:lang w:eastAsia="zh-CN"/>
        </w:rPr>
        <w:t>支持率下滑最显著</w:t>
      </w:r>
      <w:r>
        <w:rPr>
          <w:rFonts w:hint="eastAsia" w:asciiTheme="minorEastAsia" w:hAnsiTheme="minorEastAsia" w:eastAsiaTheme="minorEastAsia" w:cstheme="minorEastAsia"/>
          <w:sz w:val="32"/>
          <w:szCs w:val="32"/>
        </w:rPr>
        <w:t>的一个。</w:t>
      </w:r>
      <w:r>
        <w:rPr>
          <w:rFonts w:hint="eastAsia" w:asciiTheme="minorEastAsia" w:hAnsiTheme="minorEastAsia" w:eastAsiaTheme="minorEastAsia" w:cstheme="minorEastAsia"/>
          <w:sz w:val="32"/>
          <w:szCs w:val="32"/>
          <w:lang w:val="en-US" w:eastAsia="zh-CN"/>
        </w:rPr>
        <w:t>BJP</w:t>
      </w:r>
      <w:r>
        <w:rPr>
          <w:rFonts w:hint="eastAsia" w:asciiTheme="minorEastAsia" w:hAnsiTheme="minorEastAsia" w:eastAsiaTheme="minorEastAsia" w:cstheme="minorEastAsia"/>
          <w:sz w:val="32"/>
          <w:szCs w:val="32"/>
        </w:rPr>
        <w:t>在（主要</w:t>
      </w:r>
      <w:r>
        <w:rPr>
          <w:rFonts w:hint="eastAsia" w:asciiTheme="minorEastAsia" w:hAnsiTheme="minorEastAsia" w:eastAsiaTheme="minorEastAsia" w:cstheme="minorEastAsia"/>
          <w:sz w:val="32"/>
          <w:szCs w:val="32"/>
          <w:lang w:eastAsia="zh-CN"/>
        </w:rPr>
        <w:t>是</w:t>
      </w:r>
      <w:r>
        <w:rPr>
          <w:rFonts w:hint="eastAsia" w:asciiTheme="minorEastAsia" w:hAnsiTheme="minorEastAsia" w:eastAsiaTheme="minorEastAsia" w:cstheme="minorEastAsia"/>
          <w:sz w:val="32"/>
          <w:szCs w:val="32"/>
        </w:rPr>
        <w:t>农村地区的）Maharashtra邦</w:t>
      </w:r>
      <w:r>
        <w:rPr>
          <w:rFonts w:hint="eastAsia" w:asciiTheme="minorEastAsia" w:hAnsiTheme="minorEastAsia" w:eastAsiaTheme="minorEastAsia" w:cstheme="minorEastAsia"/>
          <w:sz w:val="32"/>
          <w:szCs w:val="32"/>
          <w:lang w:eastAsia="zh-CN"/>
        </w:rPr>
        <w:t>丢掉了</w:t>
      </w:r>
      <w:r>
        <w:rPr>
          <w:rFonts w:hint="eastAsia" w:asciiTheme="minorEastAsia" w:hAnsiTheme="minorEastAsia" w:eastAsiaTheme="minorEastAsia" w:cstheme="minorEastAsia"/>
          <w:sz w:val="32"/>
          <w:szCs w:val="32"/>
        </w:rPr>
        <w:t>14个席位，在另一个北部</w:t>
      </w:r>
      <w:r>
        <w:rPr>
          <w:rFonts w:hint="eastAsia" w:asciiTheme="minorEastAsia" w:hAnsiTheme="minorEastAsia" w:eastAsiaTheme="minorEastAsia" w:cstheme="minorEastAsia"/>
          <w:sz w:val="32"/>
          <w:szCs w:val="32"/>
          <w:lang w:eastAsia="zh-CN"/>
        </w:rPr>
        <w:t>的经济落后</w:t>
      </w:r>
      <w:r>
        <w:rPr>
          <w:rFonts w:hint="eastAsia" w:asciiTheme="minorEastAsia" w:hAnsiTheme="minorEastAsia" w:eastAsiaTheme="minorEastAsia" w:cstheme="minorEastAsia"/>
          <w:sz w:val="32"/>
          <w:szCs w:val="32"/>
        </w:rPr>
        <w:t>邦Rajasthan失去了10个席位，在印度各地的农村选区</w:t>
      </w:r>
      <w:r>
        <w:rPr>
          <w:rFonts w:hint="eastAsia" w:asciiTheme="minorEastAsia" w:hAnsiTheme="minorEastAsia" w:eastAsiaTheme="minorEastAsia" w:cstheme="minorEastAsia"/>
          <w:sz w:val="32"/>
          <w:szCs w:val="32"/>
          <w:lang w:eastAsia="zh-CN"/>
        </w:rPr>
        <w:t>大多</w:t>
      </w:r>
      <w:r>
        <w:rPr>
          <w:rFonts w:hint="eastAsia" w:asciiTheme="minorEastAsia" w:hAnsiTheme="minorEastAsia" w:eastAsiaTheme="minorEastAsia" w:cstheme="minorEastAsia"/>
          <w:sz w:val="32"/>
          <w:szCs w:val="32"/>
        </w:rPr>
        <w:t>如此。</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lang w:val="en-US" w:eastAsia="zh-CN"/>
        </w:rPr>
        <w:t>BJP在上述地区的</w:t>
      </w:r>
      <w:r>
        <w:rPr>
          <w:rFonts w:hint="eastAsia" w:asciiTheme="minorEastAsia" w:hAnsiTheme="minorEastAsia" w:eastAsiaTheme="minorEastAsia" w:cstheme="minorEastAsia"/>
          <w:sz w:val="32"/>
          <w:szCs w:val="32"/>
        </w:rPr>
        <w:t>失利</w:t>
      </w:r>
      <w:r>
        <w:rPr>
          <w:rFonts w:hint="eastAsia" w:asciiTheme="minorEastAsia" w:hAnsiTheme="minorEastAsia" w:eastAsiaTheme="minorEastAsia" w:cstheme="minorEastAsia"/>
          <w:sz w:val="32"/>
          <w:szCs w:val="32"/>
          <w:lang w:eastAsia="zh-CN"/>
        </w:rPr>
        <w:t>，显示出</w:t>
      </w:r>
      <w:r>
        <w:rPr>
          <w:rFonts w:hint="eastAsia" w:asciiTheme="minorEastAsia" w:hAnsiTheme="minorEastAsia" w:eastAsiaTheme="minorEastAsia" w:cstheme="minorEastAsia"/>
          <w:sz w:val="32"/>
          <w:szCs w:val="32"/>
        </w:rPr>
        <w:t>大约4.5亿印度人对经济的普遍不满情绪，这些</w:t>
      </w:r>
      <w:r>
        <w:rPr>
          <w:rFonts w:hint="eastAsia" w:asciiTheme="minorEastAsia" w:hAnsiTheme="minorEastAsia" w:eastAsiaTheme="minorEastAsia" w:cstheme="minorEastAsia"/>
          <w:sz w:val="32"/>
          <w:szCs w:val="32"/>
          <w:lang w:eastAsia="zh-CN"/>
        </w:rPr>
        <w:t>选民</w:t>
      </w:r>
      <w:r>
        <w:rPr>
          <w:rFonts w:hint="eastAsia" w:asciiTheme="minorEastAsia" w:hAnsiTheme="minorEastAsia" w:eastAsiaTheme="minorEastAsia" w:cstheme="minorEastAsia"/>
          <w:sz w:val="32"/>
          <w:szCs w:val="32"/>
        </w:rPr>
        <w:t>大部分来自印度贫困的北部地区，靠打零工、小规模自营职业或务农维持生计。</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十年前，莫迪</w:t>
      </w:r>
      <w:r>
        <w:rPr>
          <w:rFonts w:hint="eastAsia" w:asciiTheme="minorEastAsia" w:hAnsiTheme="minorEastAsia" w:eastAsiaTheme="minorEastAsia" w:cstheme="minorEastAsia"/>
          <w:sz w:val="32"/>
          <w:szCs w:val="32"/>
          <w:lang w:eastAsia="zh-CN"/>
        </w:rPr>
        <w:t>在</w:t>
      </w:r>
      <w:r>
        <w:rPr>
          <w:rFonts w:hint="eastAsia" w:asciiTheme="minorEastAsia" w:hAnsiTheme="minorEastAsia" w:eastAsiaTheme="minorEastAsia" w:cstheme="minorEastAsia"/>
          <w:sz w:val="32"/>
          <w:szCs w:val="32"/>
        </w:rPr>
        <w:t>印度民族主义与反精英主义相结合的纲领下上台执政，承诺</w:t>
      </w:r>
      <w:r>
        <w:rPr>
          <w:rFonts w:hint="eastAsia" w:asciiTheme="minorEastAsia" w:hAnsiTheme="minorEastAsia" w:eastAsiaTheme="minorEastAsia" w:cstheme="minorEastAsia"/>
          <w:sz w:val="32"/>
          <w:szCs w:val="32"/>
          <w:lang w:eastAsia="zh-CN"/>
        </w:rPr>
        <w:t>为</w:t>
      </w:r>
      <w:r>
        <w:rPr>
          <w:rFonts w:hint="eastAsia" w:asciiTheme="minorEastAsia" w:hAnsiTheme="minorEastAsia" w:eastAsiaTheme="minorEastAsia" w:cstheme="minorEastAsia"/>
          <w:sz w:val="32"/>
          <w:szCs w:val="32"/>
        </w:rPr>
        <w:t>印度</w:t>
      </w:r>
      <w:r>
        <w:rPr>
          <w:rFonts w:hint="eastAsia" w:asciiTheme="minorEastAsia" w:hAnsiTheme="minorEastAsia" w:eastAsiaTheme="minorEastAsia" w:cstheme="minorEastAsia"/>
          <w:sz w:val="32"/>
          <w:szCs w:val="32"/>
          <w:lang w:eastAsia="zh-CN"/>
        </w:rPr>
        <w:t>低收入群体</w:t>
      </w:r>
      <w:r>
        <w:rPr>
          <w:rFonts w:hint="eastAsia" w:asciiTheme="minorEastAsia" w:hAnsiTheme="minorEastAsia" w:eastAsiaTheme="minorEastAsia" w:cstheme="minorEastAsia"/>
          <w:sz w:val="32"/>
          <w:szCs w:val="32"/>
        </w:rPr>
        <w:t>提供更好的工作和生活。</w:t>
      </w:r>
      <w:r>
        <w:rPr>
          <w:rFonts w:hint="eastAsia" w:asciiTheme="minorEastAsia" w:hAnsiTheme="minorEastAsia" w:eastAsiaTheme="minorEastAsia" w:cstheme="minorEastAsia"/>
          <w:sz w:val="32"/>
          <w:szCs w:val="32"/>
          <w:highlight w:val="none"/>
          <w:lang w:eastAsia="zh-CN"/>
        </w:rPr>
        <w:t>历任</w:t>
      </w:r>
      <w:r>
        <w:rPr>
          <w:rFonts w:hint="eastAsia" w:asciiTheme="minorEastAsia" w:hAnsiTheme="minorEastAsia" w:eastAsiaTheme="minorEastAsia" w:cstheme="minorEastAsia"/>
          <w:sz w:val="32"/>
          <w:szCs w:val="32"/>
          <w:highlight w:val="none"/>
        </w:rPr>
        <w:t>政府</w:t>
      </w:r>
      <w:r>
        <w:rPr>
          <w:rFonts w:hint="eastAsia" w:asciiTheme="minorEastAsia" w:hAnsiTheme="minorEastAsia" w:eastAsiaTheme="minorEastAsia" w:cstheme="minorEastAsia"/>
          <w:sz w:val="32"/>
          <w:szCs w:val="32"/>
          <w:lang w:eastAsia="zh-CN"/>
        </w:rPr>
        <w:t>都</w:t>
      </w:r>
      <w:r>
        <w:rPr>
          <w:rFonts w:hint="eastAsia" w:asciiTheme="minorEastAsia" w:hAnsiTheme="minorEastAsia" w:eastAsiaTheme="minorEastAsia" w:cstheme="minorEastAsia"/>
          <w:sz w:val="32"/>
          <w:szCs w:val="32"/>
        </w:rPr>
        <w:t>难以解决印度经济的不平衡问题，而这正是4.5亿民众不满的根源。解决这些问题是</w:t>
      </w:r>
      <w:r>
        <w:rPr>
          <w:rFonts w:hint="eastAsia" w:asciiTheme="minorEastAsia" w:hAnsiTheme="minorEastAsia" w:eastAsiaTheme="minorEastAsia" w:cstheme="minorEastAsia"/>
          <w:sz w:val="32"/>
          <w:szCs w:val="32"/>
          <w:lang w:eastAsia="zh-CN"/>
        </w:rPr>
        <w:t>莫迪</w:t>
      </w:r>
      <w:r>
        <w:rPr>
          <w:rFonts w:hint="eastAsia" w:asciiTheme="minorEastAsia" w:hAnsiTheme="minorEastAsia" w:eastAsiaTheme="minorEastAsia" w:cstheme="minorEastAsia"/>
          <w:sz w:val="32"/>
          <w:szCs w:val="32"/>
        </w:rPr>
        <w:t>新联合政府面临的最大挑战。</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eastAsia="zh-CN"/>
        </w:rPr>
        <w:t>事实上，</w:t>
      </w:r>
      <w:r>
        <w:rPr>
          <w:rFonts w:hint="eastAsia" w:asciiTheme="minorEastAsia" w:hAnsiTheme="minorEastAsia" w:eastAsiaTheme="minorEastAsia" w:cstheme="minorEastAsia"/>
          <w:sz w:val="32"/>
          <w:szCs w:val="32"/>
          <w:lang w:val="en-US" w:eastAsia="zh-CN"/>
        </w:rPr>
        <w:t>在过去的十年中，印度的GDP一直保持稳定增长（2020年新冠疫情期间除外）；2023年的经济增长率为7.7%，在全球大型经济体中领跑。然而，许多普通印度人的日常生活并没有得到足够的改善，</w:t>
      </w:r>
      <w:r>
        <w:rPr>
          <w:rFonts w:hint="eastAsia" w:asciiTheme="minorEastAsia" w:hAnsiTheme="minorEastAsia" w:eastAsiaTheme="minorEastAsia" w:cstheme="minorEastAsia"/>
          <w:b/>
          <w:bCs/>
          <w:sz w:val="32"/>
          <w:szCs w:val="32"/>
          <w:highlight w:val="none"/>
          <w:lang w:val="en-US" w:eastAsia="zh-CN"/>
        </w:rPr>
        <w:t>主要原因有二</w:t>
      </w:r>
      <w:r>
        <w:rPr>
          <w:rFonts w:hint="eastAsia" w:asciiTheme="minorEastAsia" w:hAnsiTheme="minorEastAsia" w:eastAsiaTheme="minorEastAsia" w:cstheme="minorEastAsia"/>
          <w:sz w:val="32"/>
          <w:szCs w:val="32"/>
          <w:highlight w:val="none"/>
          <w:lang w:val="en-US" w:eastAsia="zh-CN"/>
        </w:rPr>
        <w:t>，</w:t>
      </w:r>
      <w:r>
        <w:rPr>
          <w:rFonts w:hint="eastAsia" w:asciiTheme="minorEastAsia" w:hAnsiTheme="minorEastAsia" w:eastAsiaTheme="minorEastAsia" w:cstheme="minorEastAsia"/>
          <w:b/>
          <w:bCs/>
          <w:sz w:val="32"/>
          <w:szCs w:val="32"/>
          <w:highlight w:val="none"/>
          <w:lang w:val="en-US" w:eastAsia="zh-CN"/>
        </w:rPr>
        <w:t>一是经济增长并没有为低收入阶层带来足够的就业机会和工资增加；二是通货膨胀。</w:t>
      </w:r>
      <w:r>
        <w:rPr>
          <w:rFonts w:hint="eastAsia" w:asciiTheme="minorEastAsia" w:hAnsiTheme="minorEastAsia" w:eastAsiaTheme="minorEastAsia" w:cstheme="minorEastAsia"/>
          <w:sz w:val="32"/>
          <w:szCs w:val="32"/>
          <w:lang w:val="en-US" w:eastAsia="zh-CN"/>
        </w:rPr>
        <w:t>食品在低收入家庭开支中占相当大比重，其价格在2022年间增长了10%以上，2023年又增长了近10%。自2018年以来，食品通胀率年均超过6%，吞噬了工资增长的</w:t>
      </w:r>
      <w:r>
        <w:rPr>
          <w:rFonts w:hint="eastAsia" w:asciiTheme="minorEastAsia" w:hAnsiTheme="minorEastAsia" w:eastAsiaTheme="minorEastAsia" w:cstheme="minorEastAsia"/>
          <w:sz w:val="32"/>
          <w:szCs w:val="32"/>
          <w:highlight w:val="none"/>
          <w:lang w:val="en-US" w:eastAsia="zh-CN"/>
        </w:rPr>
        <w:t>绝大部分</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在非正规经济部门谋生的劳动者，印度有近</w:t>
      </w:r>
      <w:r>
        <w:rPr>
          <w:rFonts w:hint="eastAsia" w:asciiTheme="minorEastAsia" w:hAnsiTheme="minorEastAsia" w:eastAsiaTheme="minorEastAsia" w:cstheme="minorEastAsia"/>
          <w:sz w:val="32"/>
          <w:szCs w:val="32"/>
          <w:lang w:val="en-US" w:eastAsia="zh-CN"/>
        </w:rPr>
        <w:t>5亿人</w:t>
      </w:r>
      <w:r>
        <w:rPr>
          <w:rFonts w:hint="eastAsia" w:asciiTheme="minorEastAsia" w:hAnsiTheme="minorEastAsia" w:eastAsiaTheme="minorEastAsia" w:cstheme="minorEastAsia"/>
          <w:sz w:val="32"/>
          <w:szCs w:val="32"/>
          <w:lang w:eastAsia="zh-CN"/>
        </w:rPr>
        <w:t>，占全部适龄劳动人口的近一半；过去十年中，这一比例几乎没有变化。非正规工作没有合同、工时保障，也没有福利，印度的非正规经济部门也包括农业，且农业部门消纳了这</w:t>
      </w:r>
      <w:r>
        <w:rPr>
          <w:rFonts w:hint="eastAsia" w:asciiTheme="minorEastAsia" w:hAnsiTheme="minorEastAsia" w:eastAsiaTheme="minorEastAsia" w:cstheme="minorEastAsia"/>
          <w:sz w:val="32"/>
          <w:szCs w:val="32"/>
          <w:lang w:val="en-US" w:eastAsia="zh-CN"/>
        </w:rPr>
        <w:t>5亿人中的一半多</w:t>
      </w:r>
      <w:r>
        <w:rPr>
          <w:rFonts w:hint="eastAsia" w:asciiTheme="minorEastAsia" w:hAnsiTheme="minorEastAsia" w:eastAsiaTheme="minorEastAsia" w:cstheme="minorEastAsia"/>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388" w:firstLineChars="200"/>
        <w:jc w:val="both"/>
        <w:textAlignment w:val="auto"/>
        <w:outlineLvl w:val="9"/>
        <w:rPr>
          <w:rFonts w:hint="eastAsia" w:asciiTheme="minorEastAsia" w:hAnsiTheme="minorEastAsia" w:eastAsiaTheme="minorEastAsia" w:cstheme="minorEastAsia"/>
          <w:sz w:val="32"/>
          <w:szCs w:val="32"/>
          <w:lang w:eastAsia="zh-CN"/>
        </w:rPr>
      </w:pPr>
      <w:r>
        <w:drawing>
          <wp:anchor distT="0" distB="0" distL="114300" distR="114300" simplePos="0" relativeHeight="251663360" behindDoc="0" locked="0" layoutInCell="1" allowOverlap="1">
            <wp:simplePos x="0" y="0"/>
            <wp:positionH relativeFrom="column">
              <wp:posOffset>2371725</wp:posOffset>
            </wp:positionH>
            <wp:positionV relativeFrom="paragraph">
              <wp:posOffset>123190</wp:posOffset>
            </wp:positionV>
            <wp:extent cx="3031490" cy="1705610"/>
            <wp:effectExtent l="0" t="0" r="16510" b="8890"/>
            <wp:wrapSquare wrapText="bothSides"/>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1"/>
                    <a:stretch>
                      <a:fillRect/>
                    </a:stretch>
                  </pic:blipFill>
                  <pic:spPr>
                    <a:xfrm>
                      <a:off x="0" y="0"/>
                      <a:ext cx="3031490" cy="1705610"/>
                    </a:xfrm>
                    <a:prstGeom prst="rect">
                      <a:avLst/>
                    </a:prstGeom>
                    <a:noFill/>
                    <a:ln>
                      <a:noFill/>
                    </a:ln>
                  </pic:spPr>
                </pic:pic>
              </a:graphicData>
            </a:graphic>
          </wp:anchor>
        </w:drawing>
      </w:r>
      <w:r>
        <w:rPr>
          <w:rFonts w:hint="eastAsia" w:asciiTheme="minorEastAsia" w:hAnsiTheme="minorEastAsia" w:eastAsiaTheme="minorEastAsia" w:cstheme="minorEastAsia"/>
          <w:b/>
          <w:bCs/>
          <w:sz w:val="32"/>
          <w:szCs w:val="32"/>
          <w:lang w:eastAsia="zh-CN"/>
        </w:rPr>
        <w:t>印度农业的生产率不高，</w:t>
      </w:r>
      <w:r>
        <w:rPr>
          <w:rFonts w:hint="eastAsia" w:asciiTheme="minorEastAsia" w:hAnsiTheme="minorEastAsia" w:eastAsiaTheme="minorEastAsia" w:cstheme="minorEastAsia"/>
          <w:sz w:val="32"/>
          <w:szCs w:val="32"/>
          <w:lang w:eastAsia="zh-CN"/>
        </w:rPr>
        <w:t>约</w:t>
      </w:r>
      <w:r>
        <w:rPr>
          <w:rFonts w:hint="eastAsia" w:asciiTheme="minorEastAsia" w:hAnsiTheme="minorEastAsia" w:eastAsiaTheme="minorEastAsia" w:cstheme="minorEastAsia"/>
          <w:sz w:val="32"/>
          <w:szCs w:val="32"/>
          <w:lang w:val="en-US" w:eastAsia="zh-CN"/>
        </w:rPr>
        <w:t>2.6亿人</w:t>
      </w:r>
      <w:r>
        <w:rPr>
          <w:rFonts w:hint="eastAsia" w:asciiTheme="minorEastAsia" w:hAnsiTheme="minorEastAsia" w:eastAsiaTheme="minorEastAsia" w:cstheme="minorEastAsia"/>
          <w:sz w:val="32"/>
          <w:szCs w:val="32"/>
          <w:lang w:eastAsia="zh-CN"/>
        </w:rPr>
        <w:t>在土地上辛勤劳作。农具以手工操作为主，农业载具也都是非常简陋的车辆。农户们的季节性融资，通常来自非正规渠道，年利率接近30%。有时辛劳一年，却落得负债累累的情况。</w:t>
      </w:r>
      <w:r>
        <w:rPr>
          <w:rFonts w:hint="eastAsia" w:asciiTheme="minorEastAsia" w:hAnsiTheme="minorEastAsia" w:eastAsiaTheme="minorEastAsia" w:cstheme="minorEastAsia"/>
          <w:b/>
          <w:bCs/>
          <w:sz w:val="32"/>
          <w:szCs w:val="32"/>
          <w:lang w:eastAsia="zh-CN"/>
        </w:rPr>
        <w:t>印度农业的产出率也不高</w:t>
      </w:r>
      <w:r>
        <w:rPr>
          <w:rFonts w:hint="eastAsia" w:asciiTheme="minorEastAsia" w:hAnsiTheme="minorEastAsia" w:eastAsiaTheme="minorEastAsia" w:cstheme="minorEastAsia"/>
          <w:sz w:val="32"/>
          <w:szCs w:val="32"/>
          <w:lang w:eastAsia="zh-CN"/>
        </w:rPr>
        <w:t>，玉米、水稻、小麦和其他作物的单位产量只是美国、中国和欧洲等农业强国的一小部分。</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值得高兴的的，</w:t>
      </w:r>
      <w:r>
        <w:rPr>
          <w:rFonts w:hint="eastAsia" w:asciiTheme="minorEastAsia" w:hAnsiTheme="minorEastAsia" w:eastAsiaTheme="minorEastAsia" w:cstheme="minorEastAsia"/>
          <w:b/>
          <w:bCs/>
          <w:sz w:val="32"/>
          <w:szCs w:val="32"/>
          <w:lang w:eastAsia="zh-CN"/>
        </w:rPr>
        <w:t>印度农业并未陷入停滞，还处于显著增长之中</w:t>
      </w:r>
      <w:r>
        <w:rPr>
          <w:rFonts w:hint="eastAsia" w:asciiTheme="minorEastAsia" w:hAnsiTheme="minorEastAsia" w:eastAsiaTheme="minorEastAsia" w:cstheme="minorEastAsia"/>
          <w:sz w:val="32"/>
          <w:szCs w:val="32"/>
          <w:lang w:eastAsia="zh-CN"/>
        </w:rPr>
        <w:t>。工作条件可能很艰苦，但饥荒已成为过去，创纪录的收成接踵而至。</w:t>
      </w:r>
      <w:r>
        <w:rPr>
          <w:rFonts w:hint="eastAsia" w:asciiTheme="minorEastAsia" w:hAnsiTheme="minorEastAsia" w:eastAsiaTheme="minorEastAsia" w:cstheme="minorEastAsia"/>
          <w:sz w:val="32"/>
          <w:szCs w:val="32"/>
          <w:lang w:val="en-US" w:eastAsia="zh-CN"/>
        </w:rPr>
        <w:t>2023年</w:t>
      </w:r>
      <w:r>
        <w:rPr>
          <w:rFonts w:hint="eastAsia" w:asciiTheme="minorEastAsia" w:hAnsiTheme="minorEastAsia" w:eastAsiaTheme="minorEastAsia" w:cstheme="minorEastAsia"/>
          <w:sz w:val="32"/>
          <w:szCs w:val="32"/>
          <w:lang w:eastAsia="zh-CN"/>
        </w:rPr>
        <w:t>度，印度的农产品出口增长了9%，达到260亿美元，占印度对外贸易的7%。</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val="en-US" w:eastAsia="zh-CN"/>
        </w:rPr>
        <w:t>2022年</w:t>
      </w:r>
      <w:r>
        <w:rPr>
          <w:rFonts w:hint="eastAsia" w:asciiTheme="minorEastAsia" w:hAnsiTheme="minorEastAsia" w:eastAsiaTheme="minorEastAsia" w:cstheme="minorEastAsia"/>
          <w:sz w:val="32"/>
          <w:szCs w:val="32"/>
          <w:lang w:eastAsia="zh-CN"/>
        </w:rPr>
        <w:t>俄乌冲突爆发，引发了全球粮食恐慌，结果印度成为了大米、小麦以及其他谷物的重要出口国（印度本身是世界第二大水稻和小麦生产国），国际援助组织还不断从印度</w:t>
      </w:r>
      <w:r>
        <w:rPr>
          <w:rFonts w:hint="eastAsia" w:asciiTheme="minorEastAsia" w:hAnsiTheme="minorEastAsia" w:eastAsiaTheme="minorEastAsia" w:cstheme="minorEastAsia"/>
          <w:sz w:val="32"/>
          <w:szCs w:val="32"/>
          <w:lang w:val="en-US" w:eastAsia="zh-CN"/>
        </w:rPr>
        <w:t>购买</w:t>
      </w:r>
      <w:r>
        <w:rPr>
          <w:rFonts w:hint="eastAsia" w:asciiTheme="minorEastAsia" w:hAnsiTheme="minorEastAsia" w:eastAsiaTheme="minorEastAsia" w:cstheme="minorEastAsia"/>
          <w:sz w:val="32"/>
          <w:szCs w:val="32"/>
          <w:lang w:eastAsia="zh-CN"/>
        </w:rPr>
        <w:t>小麦送往阿富汗，其中</w:t>
      </w:r>
      <w:r>
        <w:rPr>
          <w:rFonts w:hint="eastAsia" w:asciiTheme="minorEastAsia" w:hAnsiTheme="minorEastAsia" w:eastAsiaTheme="minorEastAsia" w:cstheme="minorEastAsia"/>
          <w:sz w:val="32"/>
          <w:szCs w:val="32"/>
          <w:lang w:val="en-US" w:eastAsia="zh-CN"/>
        </w:rPr>
        <w:t>2022全年的</w:t>
      </w:r>
      <w:r>
        <w:rPr>
          <w:rFonts w:hint="eastAsia" w:asciiTheme="minorEastAsia" w:hAnsiTheme="minorEastAsia" w:eastAsiaTheme="minorEastAsia" w:cstheme="minorEastAsia"/>
          <w:sz w:val="32"/>
          <w:szCs w:val="32"/>
          <w:lang w:eastAsia="zh-CN"/>
        </w:rPr>
        <w:t>运送量高达4000万吨。</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印度农业开始</w:t>
      </w:r>
      <w:r>
        <w:rPr>
          <w:rFonts w:hint="eastAsia" w:asciiTheme="minorEastAsia" w:hAnsiTheme="minorEastAsia" w:eastAsiaTheme="minorEastAsia" w:cstheme="minorEastAsia"/>
          <w:sz w:val="32"/>
          <w:szCs w:val="32"/>
          <w:lang w:eastAsia="zh-CN"/>
        </w:rPr>
        <w:t>出现</w:t>
      </w:r>
      <w:r>
        <w:rPr>
          <w:rFonts w:hint="eastAsia" w:asciiTheme="minorEastAsia" w:hAnsiTheme="minorEastAsia" w:eastAsiaTheme="minorEastAsia" w:cstheme="minorEastAsia"/>
          <w:sz w:val="32"/>
          <w:szCs w:val="32"/>
        </w:rPr>
        <w:t>微妙的</w:t>
      </w:r>
      <w:r>
        <w:rPr>
          <w:rFonts w:hint="eastAsia" w:asciiTheme="minorEastAsia" w:hAnsiTheme="minorEastAsia" w:eastAsiaTheme="minorEastAsia" w:cstheme="minorEastAsia"/>
          <w:sz w:val="32"/>
          <w:szCs w:val="32"/>
          <w:lang w:eastAsia="zh-CN"/>
        </w:rPr>
        <w:t>进展，</w:t>
      </w:r>
      <w:r>
        <w:rPr>
          <w:rFonts w:hint="eastAsia" w:asciiTheme="minorEastAsia" w:hAnsiTheme="minorEastAsia" w:eastAsiaTheme="minorEastAsia" w:cstheme="minorEastAsia"/>
          <w:sz w:val="32"/>
          <w:szCs w:val="32"/>
        </w:rPr>
        <w:t>在政策、技术和资金方面</w:t>
      </w:r>
      <w:r>
        <w:rPr>
          <w:rFonts w:hint="eastAsia" w:asciiTheme="minorEastAsia" w:hAnsiTheme="minorEastAsia" w:eastAsiaTheme="minorEastAsia" w:cstheme="minorEastAsia"/>
          <w:sz w:val="32"/>
          <w:szCs w:val="32"/>
          <w:lang w:eastAsia="zh-CN"/>
        </w:rPr>
        <w:t>都有突破，成果</w:t>
      </w:r>
      <w:r>
        <w:rPr>
          <w:rFonts w:hint="eastAsia" w:asciiTheme="minorEastAsia" w:hAnsiTheme="minorEastAsia" w:eastAsiaTheme="minorEastAsia" w:cstheme="minorEastAsia"/>
          <w:sz w:val="32"/>
          <w:szCs w:val="32"/>
        </w:rPr>
        <w:t>在经济数据中</w:t>
      </w:r>
      <w:r>
        <w:rPr>
          <w:rFonts w:hint="eastAsia" w:asciiTheme="minorEastAsia" w:hAnsiTheme="minorEastAsia" w:eastAsiaTheme="minorEastAsia" w:cstheme="minorEastAsia"/>
          <w:sz w:val="32"/>
          <w:szCs w:val="32"/>
          <w:lang w:eastAsia="zh-CN"/>
        </w:rPr>
        <w:t>体现得相当明显</w:t>
      </w:r>
      <w:r>
        <w:rPr>
          <w:rFonts w:hint="eastAsia" w:asciiTheme="minorEastAsia" w:hAnsiTheme="minorEastAsia" w:eastAsiaTheme="minorEastAsia" w:cstheme="minorEastAsia"/>
          <w:sz w:val="32"/>
          <w:szCs w:val="32"/>
        </w:rPr>
        <w:t>。</w:t>
      </w:r>
      <w:r>
        <w:rPr>
          <w:rFonts w:hint="eastAsia" w:asciiTheme="minorEastAsia" w:hAnsiTheme="minorEastAsia" w:eastAsiaTheme="minorEastAsia" w:cstheme="minorEastAsia"/>
          <w:sz w:val="32"/>
          <w:szCs w:val="32"/>
          <w:lang w:val="en-US" w:eastAsia="zh-CN"/>
        </w:rPr>
        <w:t>10</w:t>
      </w:r>
      <w:r>
        <w:rPr>
          <w:rFonts w:hint="eastAsia" w:asciiTheme="minorEastAsia" w:hAnsiTheme="minorEastAsia" w:eastAsiaTheme="minorEastAsia" w:cstheme="minorEastAsia"/>
          <w:sz w:val="32"/>
          <w:szCs w:val="32"/>
        </w:rPr>
        <w:t>多年前，农业和制造业产生的增加值总额相差无几</w:t>
      </w:r>
      <w:r>
        <w:rPr>
          <w:rFonts w:hint="eastAsia" w:asciiTheme="minorEastAsia" w:hAnsiTheme="minorEastAsia" w:eastAsiaTheme="minorEastAsia" w:cstheme="minorEastAsia"/>
          <w:sz w:val="32"/>
          <w:szCs w:val="32"/>
          <w:lang w:eastAsia="zh-CN"/>
        </w:rPr>
        <w:t>。增加值</w:t>
      </w:r>
      <w:r>
        <w:rPr>
          <w:rFonts w:hint="eastAsia" w:asciiTheme="minorEastAsia" w:hAnsiTheme="minorEastAsia" w:eastAsiaTheme="minorEastAsia" w:cstheme="minorEastAsia"/>
          <w:sz w:val="32"/>
          <w:szCs w:val="32"/>
        </w:rPr>
        <w:t>指标是从收入中减去购买成本，以反映</w:t>
      </w:r>
      <w:r>
        <w:rPr>
          <w:rFonts w:hint="eastAsia" w:asciiTheme="minorEastAsia" w:hAnsiTheme="minorEastAsia" w:cstheme="minorEastAsia"/>
          <w:sz w:val="32"/>
          <w:szCs w:val="32"/>
          <w:lang w:val="en-US" w:eastAsia="zh-CN"/>
        </w:rPr>
        <w:t>不同</w:t>
      </w:r>
      <w:r>
        <w:rPr>
          <w:rFonts w:hint="eastAsia" w:asciiTheme="minorEastAsia" w:hAnsiTheme="minorEastAsia" w:eastAsiaTheme="minorEastAsia" w:cstheme="minorEastAsia"/>
          <w:sz w:val="32"/>
          <w:szCs w:val="32"/>
          <w:lang w:eastAsia="zh-CN"/>
        </w:rPr>
        <w:t>部门</w:t>
      </w:r>
      <w:r>
        <w:rPr>
          <w:rFonts w:hint="eastAsia" w:asciiTheme="minorEastAsia" w:hAnsiTheme="minorEastAsia" w:eastAsiaTheme="minorEastAsia" w:cstheme="minorEastAsia"/>
          <w:sz w:val="32"/>
          <w:szCs w:val="32"/>
        </w:rPr>
        <w:t>对经济活动的贡献。最新数据显示，</w:t>
      </w:r>
      <w:r>
        <w:rPr>
          <w:rFonts w:hint="eastAsia" w:asciiTheme="minorEastAsia" w:hAnsiTheme="minorEastAsia" w:eastAsiaTheme="minorEastAsia" w:cstheme="minorEastAsia"/>
          <w:sz w:val="32"/>
          <w:szCs w:val="32"/>
          <w:lang w:eastAsia="zh-CN"/>
        </w:rPr>
        <w:t>印度</w:t>
      </w:r>
      <w:r>
        <w:rPr>
          <w:rFonts w:hint="eastAsia" w:asciiTheme="minorEastAsia" w:hAnsiTheme="minorEastAsia" w:eastAsiaTheme="minorEastAsia" w:cstheme="minorEastAsia"/>
          <w:sz w:val="32"/>
          <w:szCs w:val="32"/>
        </w:rPr>
        <w:t>农业的贡献比制造业高出四分之一。</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outlineLvl w:val="9"/>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一些明星项目开始崭露头角，激发投资者的无尽想像。</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纳西克是一个距孟买约170公里的内陆城市。2004年，经营小农场的当地居民们开始出口葡萄，但始终面临着市场挑战和低收益的问题。这些农民决定联合起来，共同经营他们的农田，以减少中间商的干预并获得更好的定价权。2010年后，他们成立了一家合作社，起名为“Sahyadri农场”。</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在印度，合作社的历史悠久，成功失败的记录都不罕见。合作社的组织者们尝试过各种不同的形式，但通常在几年内就会因意见分歧而解散，但“Sahyadri农场”运行得非常成功：合作社的成员们通过共同的决策制定、资源共享和集体销售的方式，实现了更强大的谈判地位和经济效益。同时，“Sahyadri农场”采用现代农业技术和最佳实践，提供培训和技术支持，帮助农民提高产量和产品质量。</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该合作社目前包括约2.1万个农场，主要生产不在官方的定价和分销体系内的水果和蔬菜。合作社的规模足以满足国际市场所需的检验和运输要求。西红柿的客户包括联合利华，冷冻水果的客户包括沃尔玛，葡萄的客户包括一个欧洲零售商网络，这些农产品的成功，说明印度全国都适宜种植这类作物，因为它们适合印度炎热的天气和廉价的劳动力。</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所以说，“Sahyadri农场”的故事鼓舞人心，展示了通过合作和创新的方式，农民可以摆脱贫困，并为社会和环境做出积极的贡献。</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lang w:val="en-US" w:eastAsia="zh-CN"/>
        </w:rPr>
      </w:pPr>
      <w:r>
        <w:rPr>
          <w:rFonts w:hint="eastAsia" w:ascii="仿宋_GB2312" w:hAnsi="仿宋_GB2312" w:eastAsia="仿宋_GB2312" w:cs="仿宋_GB2312"/>
          <w:sz w:val="24"/>
          <w:szCs w:val="24"/>
        </w:rPr>
        <w:drawing>
          <wp:anchor distT="0" distB="0" distL="114300" distR="114300" simplePos="0" relativeHeight="251664384" behindDoc="0" locked="0" layoutInCell="1" allowOverlap="1">
            <wp:simplePos x="0" y="0"/>
            <wp:positionH relativeFrom="column">
              <wp:posOffset>868680</wp:posOffset>
            </wp:positionH>
            <wp:positionV relativeFrom="paragraph">
              <wp:posOffset>184150</wp:posOffset>
            </wp:positionV>
            <wp:extent cx="4041140" cy="3030855"/>
            <wp:effectExtent l="0" t="0" r="16510" b="17145"/>
            <wp:wrapTopAndBottom/>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2"/>
                    <a:stretch>
                      <a:fillRect/>
                    </a:stretch>
                  </pic:blipFill>
                  <pic:spPr>
                    <a:xfrm>
                      <a:off x="0" y="0"/>
                      <a:ext cx="4041140" cy="3030855"/>
                    </a:xfrm>
                    <a:prstGeom prst="rect">
                      <a:avLst/>
                    </a:prstGeom>
                    <a:noFill/>
                    <a:ln>
                      <a:noFill/>
                    </a:ln>
                  </pic:spPr>
                </pic:pic>
              </a:graphicData>
            </a:graphic>
          </wp:anchor>
        </w:drawing>
      </w:r>
      <w:r>
        <w:rPr>
          <w:rFonts w:hint="eastAsia" w:ascii="仿宋_GB2312" w:hAnsi="仿宋_GB2312" w:eastAsia="仿宋_GB2312" w:cs="仿宋_GB2312"/>
          <w:sz w:val="24"/>
          <w:szCs w:val="24"/>
          <w:lang w:eastAsia="zh-CN"/>
        </w:rPr>
        <w:t>（图：Sahyadri Farms）</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与此同时，技术和市场力量正在渗入更广泛的生产流程。麦肯锡估计，印度至少有1000 家“农业科技”公司，它们已经筹集了约 16 亿美元。通过廉价的智能手机应用程序，为土壤处理、播种和收获日期，以及何时和如何使用化肥和杀虫剂提供指导。这些变化吸引了大量关注，让投资者兴奋不已——仅是为农民推出合适的智能手机，为农村地区提供稳定的网络连接，就是重大的商业机遇。</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如果一直发展下去，印度能不能成为全球下一个粮食大国呢？从历史的进步来看，完全可能。</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上世纪五六十年代以来，印度一度依靠国外的粮食援助过活，戏称这是“从船上到嘴边”的日子。如今，印度的农业取得了长足的进步。印度也成为了粮食净出口国。</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然而，巨大的低效率依然存在：尽管印度的耕地面积比中国多三分之一，但按价值计算，印度收获的农产品只有中国的三分之一。农业占用了全国几乎一半劳动力，但只占经济总产出的15%，出口的12%。相比之下，以呼叫中心和信息技术公司为代表的商业服务业，其雇用的工人不到1%，却创造了印度GDP的7%和出口额的25%。</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但</w:t>
      </w:r>
      <w:r>
        <w:rPr>
          <w:rFonts w:hint="eastAsia" w:asciiTheme="minorEastAsia" w:hAnsiTheme="minorEastAsia" w:eastAsiaTheme="minorEastAsia" w:cstheme="minorEastAsia"/>
          <w:b/>
          <w:bCs/>
          <w:sz w:val="32"/>
          <w:szCs w:val="32"/>
          <w:lang w:val="en-US" w:eastAsia="zh-CN"/>
        </w:rPr>
        <w:t>印度的农业人口多、自然条件好、成长空间大</w:t>
      </w:r>
      <w:r>
        <w:rPr>
          <w:rFonts w:hint="eastAsia" w:asciiTheme="minorEastAsia" w:hAnsiTheme="minorEastAsia" w:eastAsiaTheme="minorEastAsia" w:cstheme="minorEastAsia"/>
          <w:sz w:val="32"/>
          <w:szCs w:val="32"/>
          <w:lang w:val="en-US" w:eastAsia="zh-CN"/>
        </w:rPr>
        <w:t>，</w:t>
      </w:r>
      <w:r>
        <w:rPr>
          <w:rFonts w:hint="eastAsia" w:asciiTheme="minorEastAsia" w:hAnsiTheme="minorEastAsia" w:eastAsiaTheme="minorEastAsia" w:cstheme="minorEastAsia"/>
          <w:b/>
          <w:bCs/>
          <w:sz w:val="32"/>
          <w:szCs w:val="32"/>
          <w:lang w:val="en-US" w:eastAsia="zh-CN"/>
        </w:rPr>
        <w:t>即使取得微小的进步，也可能产生巨大的收益</w:t>
      </w:r>
      <w:r>
        <w:rPr>
          <w:rFonts w:hint="eastAsia" w:asciiTheme="minorEastAsia" w:hAnsiTheme="minorEastAsia" w:eastAsiaTheme="minorEastAsia" w:cstheme="minorEastAsia"/>
          <w:sz w:val="32"/>
          <w:szCs w:val="32"/>
          <w:lang w:val="en-US" w:eastAsia="zh-CN"/>
        </w:rPr>
        <w:t>。目前，印度几乎所有农产品的单位产量都低于全球平均水平，换言之只要将产量提高到平均水平，印度就能成为全球大宗商品市场上的巨大力量——其增加的大米产量，将超过目前的全球的大米贸易量。</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如果印度能将单产提高到中美欧的水平，那么印度的玉米产量将是当前全球玉米贸易量的2倍，棉花产量将是当前全球棉花贸易量的3倍，稻谷和豆类产量将是当前贸易量的8倍。</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印度拥有多样化的气候、土壤类型和地理条件，发展农业具有独特的自然优势。</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首先，印度拥有多种类型的土壤，包括红壤、黑土、沙土、黄土和淤泥等。这些不同类型的土壤适合种植各种作物，并提供了不同的养分和保水能力。</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其次，印度的气候范围广泛，从热带到温带，涵盖了各种气候类型，如热带雨林气候、季风气候、亚热带气候和温带气候等。这使得印度可以种植多种作物，包括稻谷、小麦、棉花、茶叶、咖啡、香料和水果等。</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第三，印度拥有丰富的水资源，包括河流、湖泊和地下水。这为灌溉农田提供了重要的水源，尤其是在季风气候下，印度的农业依赖于季节性降雨。</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第四，印度是一个生物多样性丰富的国家，拥有丰富的植物和动物物种。这为农业提供了广泛的农作物遗传资源，并为生物控制和生态平衡提供了机会。</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利用其丰富的自然资源，并结合现代农业技术和最佳实践，印度完全有潜力提高农作物产量和农业可持续性，促进农民的福祉和食品安全。在提高产量和产值，将产品纳入全球供应体系的努力中，阿拉库（Araku ）山谷的成功经验为印度提供了前进的方向</w:t>
      </w:r>
      <w:r>
        <w:rPr>
          <w:rFonts w:hint="eastAsia" w:asciiTheme="minorEastAsia" w:hAnsi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rPr>
        <w:drawing>
          <wp:anchor distT="0" distB="0" distL="114300" distR="114300" simplePos="0" relativeHeight="251665408" behindDoc="0" locked="0" layoutInCell="1" allowOverlap="1">
            <wp:simplePos x="0" y="0"/>
            <wp:positionH relativeFrom="column">
              <wp:posOffset>1634490</wp:posOffset>
            </wp:positionH>
            <wp:positionV relativeFrom="paragraph">
              <wp:posOffset>118745</wp:posOffset>
            </wp:positionV>
            <wp:extent cx="3747770" cy="2811145"/>
            <wp:effectExtent l="0" t="0" r="5080" b="8255"/>
            <wp:wrapSquare wrapText="bothSides"/>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3"/>
                    <a:stretch>
                      <a:fillRect/>
                    </a:stretch>
                  </pic:blipFill>
                  <pic:spPr>
                    <a:xfrm>
                      <a:off x="0" y="0"/>
                      <a:ext cx="3747770" cy="281114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多年以来，印度东海岸深山中的阿拉库（Araku ）山谷一直深陷贫困之中，这里的农民靠刀耕火种勉强度日，世代如此。因此，印度政府将这里的大部分居民归类为“特别脆弱的部落群体”。</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1990年代末，其所在安得拉邦的政府希望他们减少森林砍伐并增加收入，就向后者提供了生长迅速的银栎树。几年后，他们又得到了在树荫下种植的咖啡树苗。山谷的农民们尽心竭力种植咖啡，但只能以远低于市场的价格将收获的豆子卖给无良的中间商。</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sz w:val="32"/>
          <w:szCs w:val="32"/>
        </w:rPr>
        <w:drawing>
          <wp:anchor distT="0" distB="0" distL="114300" distR="114300" simplePos="0" relativeHeight="251666432" behindDoc="0" locked="0" layoutInCell="1" allowOverlap="1">
            <wp:simplePos x="0" y="0"/>
            <wp:positionH relativeFrom="column">
              <wp:posOffset>149225</wp:posOffset>
            </wp:positionH>
            <wp:positionV relativeFrom="paragraph">
              <wp:posOffset>172085</wp:posOffset>
            </wp:positionV>
            <wp:extent cx="2272030" cy="2272030"/>
            <wp:effectExtent l="0" t="0" r="13970" b="13970"/>
            <wp:wrapSquare wrapText="bothSides"/>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4"/>
                    <a:stretch>
                      <a:fillRect/>
                    </a:stretch>
                  </pic:blipFill>
                  <pic:spPr>
                    <a:xfrm>
                      <a:off x="0" y="0"/>
                      <a:ext cx="2272030" cy="227203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后来，合作社“阿拉库咖啡公司”（Araku Coffee）成立了，它负责加工并销售山谷产出的咖啡豆，生意越做越大，山谷里出产的优质咖啡以高价卖给远在欧洲的富人。合作社甚至在班加罗尔、孟买，甚至巴黎的豪华地段经营着咖啡馆。入社的农民们也都大大增加了收入，改善了生活，建起了房产。</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Araku Coffee的管理者说，其成功的秘诀是“将农业视为一个盈利、创收、出口创汇的行业”，而非一个永远要被发放补助才能活下去的产业。阿拉库（Araku）山谷的转变说明，如果方法得当，印度的农村地区一样能有所进步。</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此次大选，莫迪的执政党没有获得预期的胜利，开始重新审视自己的农业和农村政策，有意向</w:t>
      </w:r>
      <w:r>
        <w:rPr>
          <w:rFonts w:hint="eastAsia" w:asciiTheme="minorEastAsia" w:hAnsiTheme="minorEastAsia" w:eastAsiaTheme="minorEastAsia" w:cstheme="minorEastAsia"/>
          <w:sz w:val="32"/>
          <w:szCs w:val="32"/>
          <w:highlight w:val="none"/>
          <w:lang w:val="en-US" w:eastAsia="zh-CN"/>
        </w:rPr>
        <w:t>活跃</w:t>
      </w:r>
      <w:r>
        <w:rPr>
          <w:rFonts w:hint="eastAsia" w:asciiTheme="minorEastAsia" w:hAnsiTheme="minorEastAsia" w:eastAsiaTheme="minorEastAsia" w:cstheme="minorEastAsia"/>
          <w:sz w:val="32"/>
          <w:szCs w:val="32"/>
          <w:lang w:val="en-US" w:eastAsia="zh-CN"/>
        </w:rPr>
        <w:t>的市场而非更多的补贴迈进一步。大选后，莫迪立即任命希夫拉吉·辛格·乔汉（Shivraj Singh Chouhan）为农业部长。</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32"/>
          <w:szCs w:val="32"/>
          <w:lang w:val="en-US" w:eastAsia="zh-CN"/>
        </w:rPr>
        <w:t>之前，乔汉曾担任印度中部中央邦（Madhya Pradesh）的首席部长。在其领导下，中央邦对灌溉、农村道路和仓库进行了投资，努力引导农民学习农学；同时，创造条件让农民们在国营农产品市场以外的地方开展销售。成绩斐然：从2005年到2023年，乔汉执政期间，该邦农业生产总值的年均增长率为7%，远高于3.8%的全国增长率。</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印度农业亟需投资</w:t>
      </w:r>
      <w:r>
        <w:rPr>
          <w:rFonts w:hint="eastAsia" w:asciiTheme="minorEastAsia" w:hAnsiTheme="minorEastAsia" w:eastAsiaTheme="minorEastAsia" w:cstheme="minorEastAsia"/>
          <w:sz w:val="32"/>
          <w:szCs w:val="32"/>
          <w:lang w:val="en-US" w:eastAsia="zh-CN"/>
        </w:rPr>
        <w:t>。大约一半的印度农田，除了依靠老天降水外，没有其他水源，即完全没有农田水利。印度现有的冷库，只够储存大约10%的易腐农产品；印度政府估计，每年有多达6%的谷物、12%的蔬菜和15%的水果在收获后白白损失掉了。</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印度出口的大部分农产品都是未加工、无品牌的大宗商品。其出产的粮食中只有不到10%是经过加工销售的，而泰国和巴西的这一比例分别为30%和70%。因此，解决零星灌溉和基础设施薄弱问题，鼓励高附加值加工，都是能立即看到回报的投资举措。</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有的问题，并不需要增量资金，只需调整目前的资金使用方向即可解决。比如，印度每年在粮食补贴上花费约2万亿卢比，在化肥补贴上也花费近2万亿卢比，但在农业研发上仅花费950亿卢比。科研支出占农业GDP的比例不到0.7%。</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有的问题，是政策不当导致的，调整起来也不算困难。比如，印度政府经常干预粮食价格，表面上看是保护了消费者，但实际上伤害了农民的经济利益。此外，还频繁禁止农产口出口，目的是维持国内市场的价格稳定，实际上也会挫伤贸易商的积极性，进而影响农产品的国际化。</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印度农业的进步已经开始展开，虽然是局部的、朦胧的，但其势头明显，前景可期。在印度农业商业化、现代化和国际化的过程中，将对各类农资（化肥、农药、种子、农膜、农业机械）产生出海量的需求。未来，必然对农资的生产装备也产生巨大的需求。总之，印度农业的发展，将促进和推动印度经济的全面增长。</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2023年度，中国与印度的双边贸易额达到了1362亿美元，同比增长了1.5%；其中，中国对印度的出口额为1177亿美元，自印度的进口额为185亿美元。2024年上半年，中国对印度出口572.6亿美元，仅次于对美国、越南、日本和韩国市场的出口。</w:t>
      </w:r>
    </w:p>
    <w:p>
      <w:pPr>
        <w:spacing w:line="440" w:lineRule="exact"/>
        <w:jc w:val="left"/>
        <w:rPr>
          <w:rFonts w:hint="default" w:ascii="方正楷体_GBK" w:hAnsi="方正楷体_GBK" w:eastAsia="方正楷体_GBK" w:cs="方正楷体_GBK"/>
          <w:b/>
          <w:bCs/>
          <w:color w:val="FF0000"/>
          <w:sz w:val="32"/>
          <w:szCs w:val="32"/>
          <w:lang w:val="en-US" w:eastAsia="zh-CN"/>
        </w:rPr>
      </w:pPr>
    </w:p>
    <w:p>
      <w:pPr>
        <w:spacing w:line="440" w:lineRule="exact"/>
        <w:jc w:val="left"/>
        <w:rPr>
          <w:rFonts w:hint="default" w:ascii="方正楷体_GBK" w:hAnsi="方正楷体_GBK" w:eastAsia="方正楷体_GBK" w:cs="方正楷体_GBK"/>
          <w:b/>
          <w:bCs/>
          <w:color w:val="FF0000"/>
          <w:sz w:val="32"/>
          <w:szCs w:val="32"/>
          <w:lang w:val="en-US" w:eastAsia="zh-CN"/>
        </w:rPr>
      </w:pPr>
    </w:p>
    <w:p>
      <w:pPr>
        <w:spacing w:line="440" w:lineRule="exact"/>
        <w:jc w:val="left"/>
        <w:rPr>
          <w:rFonts w:hint="default" w:ascii="方正楷体_GBK" w:hAnsi="方正楷体_GBK" w:eastAsia="方正楷体_GBK" w:cs="方正楷体_GBK"/>
          <w:b/>
          <w:bCs/>
          <w:color w:val="FF0000"/>
          <w:sz w:val="32"/>
          <w:szCs w:val="32"/>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default"/>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7月16日（周二）</w:t>
      </w:r>
    </w:p>
    <w:p>
      <w:pPr>
        <w:spacing w:line="440" w:lineRule="exact"/>
        <w:jc w:val="center"/>
        <w:rPr>
          <w:rFonts w:hint="default" w:ascii="方正楷体_GBK" w:hAnsi="方正楷体_GBK" w:eastAsia="方正楷体_GBK" w:cs="方正楷体_GBK"/>
          <w:b/>
          <w:bCs/>
          <w:color w:val="FF0000"/>
          <w:sz w:val="32"/>
          <w:szCs w:val="32"/>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对尼日利亚食品通胀的分析及经济展望</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rPr>
        <w:drawing>
          <wp:anchor distT="0" distB="0" distL="114300" distR="114300" simplePos="0" relativeHeight="251667456" behindDoc="0" locked="0" layoutInCell="1" allowOverlap="1">
            <wp:simplePos x="0" y="0"/>
            <wp:positionH relativeFrom="column">
              <wp:posOffset>2376805</wp:posOffset>
            </wp:positionH>
            <wp:positionV relativeFrom="paragraph">
              <wp:posOffset>120015</wp:posOffset>
            </wp:positionV>
            <wp:extent cx="3007360" cy="1993900"/>
            <wp:effectExtent l="0" t="0" r="2540" b="6350"/>
            <wp:wrapSquare wrapText="bothSides"/>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5"/>
                    <a:stretch>
                      <a:fillRect/>
                    </a:stretch>
                  </pic:blipFill>
                  <pic:spPr>
                    <a:xfrm>
                      <a:off x="0" y="0"/>
                      <a:ext cx="3007360" cy="199390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“Jollof rice”是尼日利亚的特色餐（见图），也是具有象征性的非洲美食之一，在许多西非国家中都非常流行。它是以米饭为基础，搭配番茄、洋葱、辣椒、各种香料和肉类（如鸡肉、牛肉或海鲜）烹制而成。</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其以鲜艳的红色和丰富的味道而闻名，是尼日利亚家庭聚餐、庆祝活动、宴会和社交聚会的常见主食，常搭配沙拉、炸鱼或炒鸡肉等配菜一起享用。</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近期，尼日利亚物价水平，尤其是食品价格上涨过快，在线视频的烹饪教学中，网红</w:t>
      </w:r>
      <w:r>
        <w:rPr>
          <w:rFonts w:hint="eastAsia" w:asciiTheme="minorEastAsia" w:hAnsiTheme="minorEastAsia" w:cstheme="minorEastAsia"/>
          <w:sz w:val="32"/>
          <w:szCs w:val="32"/>
          <w:lang w:val="en-US" w:eastAsia="zh-CN"/>
        </w:rPr>
        <w:t>博</w:t>
      </w:r>
      <w:r>
        <w:rPr>
          <w:rFonts w:hint="eastAsia" w:asciiTheme="minorEastAsia" w:hAnsiTheme="minorEastAsia" w:eastAsiaTheme="minorEastAsia" w:cstheme="minorEastAsia"/>
          <w:sz w:val="32"/>
          <w:szCs w:val="32"/>
          <w:lang w:val="en-US" w:eastAsia="zh-CN"/>
        </w:rPr>
        <w:t>主开始建议大家用西瓜来代替番茄。这并非哗众取宠，至今年5月，尼日利亚的食品年通胀率高达41%，其中主粮价格飙升令人担忧，豆类和玉米等主食的价格是一年前的4倍，高粱的价格也上涨了2倍多。</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Calibri" w:hAnsi="Calibri" w:eastAsia="宋体" w:cs="Calibri"/>
          <w:lang w:val="en-US" w:eastAsia="zh-CN"/>
        </w:rPr>
      </w:pPr>
      <w:r>
        <w:rPr>
          <w:rFonts w:hint="eastAsia" w:asciiTheme="minorEastAsia" w:hAnsiTheme="minorEastAsia" w:eastAsiaTheme="minorEastAsia" w:cstheme="minorEastAsia"/>
          <w:sz w:val="32"/>
          <w:szCs w:val="32"/>
          <w:lang w:val="en-US" w:eastAsia="zh-CN"/>
        </w:rPr>
        <w:t>受食品通胀打击最大的是低收入家庭，因为劳动者的工资一年来几乎没有变动，本已存在的地区性粮食危机日益加深。饥饿现象一度集中在尼日利亚北部冲突频发的地区，现在则出现在全国的贫困家庭中。从区域上看，西非和萨赫勒地区有4400万人吃不饱饭，其中一半以上是尼日利亚人。</w:t>
      </w: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rPr>
          <w:rFonts w:hint="eastAsia" w:ascii="Calibri" w:hAnsi="Calibri" w:eastAsia="宋体" w:cs="Calibri"/>
          <w:lang w:val="en-US" w:eastAsia="zh-CN"/>
        </w:rPr>
      </w:pPr>
      <w:r>
        <w:drawing>
          <wp:anchor distT="0" distB="0" distL="114300" distR="114300" simplePos="0" relativeHeight="251668480" behindDoc="0" locked="0" layoutInCell="1" allowOverlap="1">
            <wp:simplePos x="0" y="0"/>
            <wp:positionH relativeFrom="column">
              <wp:posOffset>711835</wp:posOffset>
            </wp:positionH>
            <wp:positionV relativeFrom="paragraph">
              <wp:posOffset>40640</wp:posOffset>
            </wp:positionV>
            <wp:extent cx="3907790" cy="2477770"/>
            <wp:effectExtent l="0" t="0" r="16510" b="17780"/>
            <wp:wrapTopAndBottom/>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6"/>
                    <a:stretch>
                      <a:fillRect/>
                    </a:stretch>
                  </pic:blipFill>
                  <pic:spPr>
                    <a:xfrm>
                      <a:off x="0" y="0"/>
                      <a:ext cx="3907790" cy="247777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exact"/>
        <w:ind w:firstLine="448" w:firstLineChars="200"/>
        <w:jc w:val="both"/>
        <w:textAlignment w:val="auto"/>
        <w:outlineLvl w:val="9"/>
        <w:rPr>
          <w:rFonts w:hint="default" w:ascii="Calibri" w:hAnsi="Calibri" w:eastAsia="宋体" w:cs="Calibri"/>
          <w:lang w:val="en-US" w:eastAsia="zh-CN"/>
        </w:rPr>
      </w:pPr>
      <w:r>
        <w:rPr>
          <w:rFonts w:hint="eastAsia" w:ascii="仿宋_GB2312" w:hAnsi="仿宋_GB2312" w:eastAsia="仿宋_GB2312" w:cs="仿宋_GB2312"/>
          <w:sz w:val="24"/>
          <w:szCs w:val="24"/>
          <w:lang w:val="en-US" w:eastAsia="zh-CN"/>
        </w:rPr>
        <w:t>（</w:t>
      </w:r>
      <w:r>
        <w:rPr>
          <w:rFonts w:hint="eastAsia" w:ascii="方正黑体_GBK" w:hAnsi="方正黑体_GBK" w:eastAsia="方正黑体_GBK" w:cs="方正黑体_GBK"/>
          <w:sz w:val="24"/>
          <w:szCs w:val="24"/>
          <w:lang w:val="en-US" w:eastAsia="zh-CN"/>
        </w:rPr>
        <w:t>图注：</w:t>
      </w:r>
      <w:r>
        <w:rPr>
          <w:rFonts w:hint="eastAsia" w:ascii="方正仿宋_GBK" w:hAnsi="方正仿宋_GBK" w:eastAsia="方正仿宋_GBK" w:cs="方正仿宋_GBK"/>
          <w:sz w:val="24"/>
          <w:szCs w:val="24"/>
          <w:lang w:val="en-US" w:eastAsia="zh-CN"/>
        </w:rPr>
        <w:t>萨赫勒地区（Sahel）位于撒哈拉沙漠的南缘，横跨非洲大陆，从非洲的大西洋东岸向东延伸至埃塞俄比亚高原，是一条总长超过5,400公里，最宽可达1,000公里的地带，包括多个国家。</w:t>
      </w:r>
      <w:r>
        <w:rPr>
          <w:rFonts w:hint="eastAsia" w:ascii="仿宋_GB2312" w:hAnsi="仿宋_GB2312" w:eastAsia="仿宋_GB2312" w:cs="仿宋_GB2312"/>
          <w:sz w:val="24"/>
          <w:szCs w:val="24"/>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尼日利亚目前的困境，</w:t>
      </w:r>
      <w:r>
        <w:rPr>
          <w:rFonts w:hint="eastAsia" w:asciiTheme="minorEastAsia" w:hAnsiTheme="minorEastAsia" w:eastAsiaTheme="minorEastAsia" w:cstheme="minorEastAsia"/>
          <w:b/>
          <w:bCs/>
          <w:sz w:val="32"/>
          <w:szCs w:val="32"/>
          <w:highlight w:val="none"/>
          <w:lang w:val="en-US" w:eastAsia="zh-CN"/>
        </w:rPr>
        <w:t>与货币发行和管理有一定关系。</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上届尼日利亚政府引入新钞</w:t>
      </w:r>
      <w:r>
        <w:rPr>
          <w:rFonts w:hint="eastAsia" w:asciiTheme="minorEastAsia" w:hAnsiTheme="minorEastAsia" w:cstheme="minorEastAsia"/>
          <w:sz w:val="32"/>
          <w:szCs w:val="32"/>
          <w:lang w:val="en-US" w:eastAsia="zh-CN"/>
        </w:rPr>
        <w:t>过程中</w:t>
      </w:r>
      <w:r>
        <w:rPr>
          <w:rFonts w:hint="eastAsia" w:asciiTheme="minorEastAsia" w:hAnsiTheme="minorEastAsia" w:eastAsiaTheme="minorEastAsia" w:cstheme="minorEastAsia"/>
          <w:sz w:val="32"/>
          <w:szCs w:val="32"/>
          <w:lang w:val="en-US" w:eastAsia="zh-CN"/>
        </w:rPr>
        <w:t>，由于印刷和分发新纸币的计划粗率且执行不当，导致货币</w:t>
      </w:r>
      <w:bookmarkStart w:id="0" w:name="_GoBack"/>
      <w:bookmarkEnd w:id="0"/>
      <w:r>
        <w:rPr>
          <w:rFonts w:hint="eastAsia" w:asciiTheme="minorEastAsia" w:hAnsiTheme="minorEastAsia" w:eastAsiaTheme="minorEastAsia" w:cstheme="minorEastAsia"/>
          <w:sz w:val="32"/>
          <w:szCs w:val="32"/>
          <w:lang w:val="en-US" w:eastAsia="zh-CN"/>
        </w:rPr>
        <w:t>的供应无法满足正常需求，出现了货币短缺。在其农村地区，银行和移动支付账户的普及率较低，农民普遍更依赖现金交易。因此，当现金供应短缺时，他们只能依赖中间商进行电子支付，而中间商必然会收取额外的费用，从而推高了市场价格。</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lang w:val="en-US" w:eastAsia="zh-CN"/>
        </w:rPr>
        <w:t>上届政府的作法，也有其合理之处。当时</w:t>
      </w:r>
      <w:r>
        <w:rPr>
          <w:rFonts w:hint="eastAsia" w:asciiTheme="minorEastAsia" w:hAnsiTheme="minorEastAsia" w:eastAsiaTheme="minorEastAsia" w:cstheme="minorEastAsia"/>
          <w:sz w:val="32"/>
          <w:szCs w:val="32"/>
        </w:rPr>
        <w:t>引入新纸币</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主要原因</w:t>
      </w:r>
      <w:r>
        <w:rPr>
          <w:rFonts w:hint="eastAsia" w:asciiTheme="minorEastAsia" w:hAnsiTheme="minorEastAsia" w:eastAsiaTheme="minorEastAsia" w:cstheme="minorEastAsia"/>
          <w:sz w:val="32"/>
          <w:szCs w:val="32"/>
          <w:lang w:eastAsia="zh-CN"/>
        </w:rPr>
        <w:t>正</w:t>
      </w:r>
      <w:r>
        <w:rPr>
          <w:rFonts w:hint="eastAsia" w:asciiTheme="minorEastAsia" w:hAnsiTheme="minorEastAsia" w:eastAsiaTheme="minorEastAsia" w:cstheme="minorEastAsia"/>
          <w:sz w:val="32"/>
          <w:szCs w:val="32"/>
        </w:rPr>
        <w:t>是为了应对</w:t>
      </w:r>
      <w:r>
        <w:rPr>
          <w:rFonts w:hint="eastAsia" w:asciiTheme="minorEastAsia" w:hAnsiTheme="minorEastAsia" w:eastAsiaTheme="minorEastAsia" w:cstheme="minorEastAsia"/>
          <w:sz w:val="32"/>
          <w:szCs w:val="32"/>
          <w:lang w:eastAsia="zh-CN"/>
        </w:rPr>
        <w:t>已经出现</w:t>
      </w:r>
      <w:r>
        <w:rPr>
          <w:rFonts w:hint="eastAsia" w:asciiTheme="minorEastAsia" w:hAnsiTheme="minorEastAsia" w:eastAsiaTheme="minorEastAsia" w:cstheme="minorEastAsia"/>
          <w:sz w:val="32"/>
          <w:szCs w:val="32"/>
          <w:lang w:val="en-US" w:eastAsia="zh-CN"/>
        </w:rPr>
        <w:t>的</w:t>
      </w:r>
      <w:r>
        <w:rPr>
          <w:rFonts w:hint="eastAsia" w:asciiTheme="minorEastAsia" w:hAnsiTheme="minorEastAsia" w:eastAsiaTheme="minorEastAsia" w:cstheme="minorEastAsia"/>
          <w:sz w:val="32"/>
          <w:szCs w:val="32"/>
          <w:lang w:eastAsia="zh-CN"/>
        </w:rPr>
        <w:t>严重</w:t>
      </w:r>
      <w:r>
        <w:rPr>
          <w:rFonts w:hint="eastAsia" w:asciiTheme="minorEastAsia" w:hAnsiTheme="minorEastAsia" w:eastAsiaTheme="minorEastAsia" w:cstheme="minorEastAsia"/>
          <w:sz w:val="32"/>
          <w:szCs w:val="32"/>
        </w:rPr>
        <w:t>通胀。</w:t>
      </w:r>
    </w:p>
    <w:p>
      <w:pPr>
        <w:keepNext w:val="0"/>
        <w:keepLines w:val="0"/>
        <w:pageBreakBefore w:val="0"/>
        <w:widowControl w:val="0"/>
        <w:kinsoku/>
        <w:wordWrap/>
        <w:overflowPunct/>
        <w:topLinePunct w:val="0"/>
        <w:autoSpaceDE/>
        <w:autoSpaceDN/>
        <w:bidi w:val="0"/>
        <w:adjustRightInd/>
        <w:snapToGrid/>
        <w:ind w:firstLine="388" w:firstLineChars="200"/>
        <w:textAlignment w:val="auto"/>
        <w:outlineLvl w:val="9"/>
        <w:rPr>
          <w:rFonts w:hint="eastAsia" w:asciiTheme="minorEastAsia" w:hAnsiTheme="minorEastAsia" w:eastAsiaTheme="minorEastAsia" w:cstheme="minorEastAsia"/>
          <w:sz w:val="32"/>
          <w:szCs w:val="32"/>
        </w:rPr>
      </w:pPr>
      <w:r>
        <w:drawing>
          <wp:anchor distT="0" distB="0" distL="114300" distR="114300" simplePos="0" relativeHeight="251669504" behindDoc="0" locked="0" layoutInCell="1" allowOverlap="1">
            <wp:simplePos x="0" y="0"/>
            <wp:positionH relativeFrom="column">
              <wp:posOffset>3209290</wp:posOffset>
            </wp:positionH>
            <wp:positionV relativeFrom="paragraph">
              <wp:posOffset>111125</wp:posOffset>
            </wp:positionV>
            <wp:extent cx="2291715" cy="1203960"/>
            <wp:effectExtent l="0" t="0" r="13335" b="15240"/>
            <wp:wrapSquare wrapText="bothSides"/>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17"/>
                    <a:stretch>
                      <a:fillRect/>
                    </a:stretch>
                  </pic:blipFill>
                  <pic:spPr>
                    <a:xfrm>
                      <a:off x="0" y="0"/>
                      <a:ext cx="2291715" cy="120396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rPr>
        <w:t>2022年10月</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尼日利亚央行宣布重新设计部分面额的奈拉纸币，此举被认为有助于将大量被囤积在银行系统之外</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私人保险箱中的货币变成废纸，从而对抗通胀问题。</w:t>
      </w:r>
      <w:r>
        <w:rPr>
          <w:rFonts w:hint="eastAsia" w:asciiTheme="minorEastAsia" w:hAnsiTheme="minorEastAsia" w:eastAsiaTheme="minorEastAsia" w:cstheme="minorEastAsia"/>
          <w:sz w:val="32"/>
          <w:szCs w:val="32"/>
          <w:lang w:eastAsia="zh-CN"/>
        </w:rPr>
        <w:t>该</w:t>
      </w:r>
      <w:r>
        <w:rPr>
          <w:rFonts w:hint="eastAsia" w:asciiTheme="minorEastAsia" w:hAnsiTheme="minorEastAsia" w:eastAsiaTheme="minorEastAsia" w:cstheme="minorEastAsia"/>
          <w:sz w:val="32"/>
          <w:szCs w:val="32"/>
        </w:rPr>
        <w:t>央行</w:t>
      </w:r>
      <w:r>
        <w:rPr>
          <w:rFonts w:hint="eastAsia" w:asciiTheme="minorEastAsia" w:hAnsiTheme="minorEastAsia" w:eastAsiaTheme="minorEastAsia" w:cstheme="minorEastAsia"/>
          <w:sz w:val="32"/>
          <w:szCs w:val="32"/>
          <w:lang w:eastAsia="zh-CN"/>
        </w:rPr>
        <w:t>认为</w:t>
      </w:r>
      <w:r>
        <w:rPr>
          <w:rFonts w:hint="eastAsia" w:asciiTheme="minorEastAsia" w:hAnsiTheme="minorEastAsia" w:eastAsiaTheme="minorEastAsia" w:cstheme="minorEastAsia"/>
          <w:sz w:val="32"/>
          <w:szCs w:val="32"/>
        </w:rPr>
        <w:t>，迫使人们将旧币换成新币，可以使这些囤积的货币失效。</w:t>
      </w:r>
      <w:r>
        <w:rPr>
          <w:rFonts w:hint="eastAsia" w:asciiTheme="minorEastAsia" w:hAnsiTheme="minorEastAsia" w:eastAsiaTheme="minorEastAsia" w:cstheme="minorEastAsia"/>
          <w:sz w:val="32"/>
          <w:szCs w:val="32"/>
          <w:lang w:eastAsia="zh-CN"/>
        </w:rPr>
        <w:t>此外，央行官员称，</w:t>
      </w:r>
      <w:r>
        <w:rPr>
          <w:rFonts w:hint="eastAsia" w:asciiTheme="minorEastAsia" w:hAnsiTheme="minorEastAsia" w:eastAsiaTheme="minorEastAsia" w:cstheme="minorEastAsia"/>
          <w:sz w:val="32"/>
          <w:szCs w:val="32"/>
        </w:rPr>
        <w:t>自2015年以来</w:t>
      </w:r>
      <w:r>
        <w:rPr>
          <w:rFonts w:hint="eastAsia" w:asciiTheme="minorEastAsia" w:hAnsiTheme="minorEastAsia" w:eastAsiaTheme="minorEastAsia" w:cstheme="minorEastAsia"/>
          <w:sz w:val="32"/>
          <w:szCs w:val="32"/>
          <w:lang w:eastAsia="zh-CN"/>
        </w:rPr>
        <w:t>尼日利亚的</w:t>
      </w:r>
      <w:r>
        <w:rPr>
          <w:rFonts w:hint="eastAsia" w:asciiTheme="minorEastAsia" w:hAnsiTheme="minorEastAsia" w:eastAsiaTheme="minorEastAsia" w:cstheme="minorEastAsia"/>
          <w:sz w:val="32"/>
          <w:szCs w:val="32"/>
        </w:rPr>
        <w:t>流通货币增加了一倍多，其中84%的货币游离于银行体系之外，导致货币政策</w:t>
      </w:r>
      <w:r>
        <w:rPr>
          <w:rFonts w:hint="eastAsia" w:asciiTheme="minorEastAsia" w:hAnsiTheme="minorEastAsia" w:eastAsiaTheme="minorEastAsia" w:cstheme="minorEastAsia"/>
          <w:sz w:val="32"/>
          <w:szCs w:val="32"/>
          <w:lang w:eastAsia="zh-CN"/>
        </w:rPr>
        <w:t>频繁</w:t>
      </w:r>
      <w:r>
        <w:rPr>
          <w:rFonts w:hint="eastAsia" w:asciiTheme="minorEastAsia" w:hAnsiTheme="minorEastAsia" w:eastAsiaTheme="minorEastAsia" w:cstheme="minorEastAsia"/>
          <w:sz w:val="32"/>
          <w:szCs w:val="32"/>
        </w:rPr>
        <w:t>失灵</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这是推行新币的</w:t>
      </w:r>
      <w:r>
        <w:rPr>
          <w:rFonts w:hint="eastAsia" w:asciiTheme="minorEastAsia" w:hAnsiTheme="minorEastAsia" w:eastAsiaTheme="minorEastAsia" w:cstheme="minorEastAsia"/>
          <w:sz w:val="32"/>
          <w:szCs w:val="32"/>
          <w:lang w:eastAsia="zh-CN"/>
        </w:rPr>
        <w:t>另</w:t>
      </w:r>
      <w:r>
        <w:rPr>
          <w:rFonts w:hint="eastAsia" w:asciiTheme="minorEastAsia" w:hAnsiTheme="minorEastAsia" w:eastAsiaTheme="minorEastAsia" w:cstheme="minorEastAsia"/>
          <w:sz w:val="32"/>
          <w:szCs w:val="32"/>
        </w:rPr>
        <w:t>一个原因。</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严重的通胀必然导致汇率的下跌。今年以来，尼日利亚奈拉对美元汇率下跌40%，不仅推高了进口食品的成本，也推高了种子和化肥等重要农资的成本。政府收紧财政政策，取消了燃料补贴，尽管是必要的，但客观</w:t>
      </w:r>
      <w:r>
        <w:rPr>
          <w:rFonts w:hint="eastAsia" w:asciiTheme="minorEastAsia" w:hAnsiTheme="minorEastAsia" w:cstheme="minorEastAsia"/>
          <w:sz w:val="32"/>
          <w:szCs w:val="32"/>
          <w:lang w:val="en-US" w:eastAsia="zh-CN"/>
        </w:rPr>
        <w:t>上</w:t>
      </w:r>
      <w:r>
        <w:rPr>
          <w:rFonts w:hint="eastAsia" w:asciiTheme="minorEastAsia" w:hAnsiTheme="minorEastAsia" w:eastAsiaTheme="minorEastAsia" w:cstheme="minorEastAsia"/>
          <w:sz w:val="32"/>
          <w:szCs w:val="32"/>
          <w:lang w:eastAsia="zh-CN"/>
        </w:rPr>
        <w:t>进一步推高了农机的运作成本，以及将农业收成运往市场的物流成本，最终是不断攀高的粮食价格。</w:t>
      </w: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drawing>
          <wp:anchor distT="0" distB="0" distL="114300" distR="114300" simplePos="0" relativeHeight="251670528" behindDoc="0" locked="0" layoutInCell="1" allowOverlap="1">
            <wp:simplePos x="0" y="0"/>
            <wp:positionH relativeFrom="column">
              <wp:posOffset>763270</wp:posOffset>
            </wp:positionH>
            <wp:positionV relativeFrom="paragraph">
              <wp:posOffset>8255</wp:posOffset>
            </wp:positionV>
            <wp:extent cx="3956050" cy="1849755"/>
            <wp:effectExtent l="0" t="0" r="6350" b="17145"/>
            <wp:wrapTopAndBottom/>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18"/>
                    <a:stretch>
                      <a:fillRect/>
                    </a:stretch>
                  </pic:blipFill>
                  <pic:spPr>
                    <a:xfrm>
                      <a:off x="0" y="0"/>
                      <a:ext cx="3956050" cy="1849755"/>
                    </a:xfrm>
                    <a:prstGeom prst="rect">
                      <a:avLst/>
                    </a:prstGeom>
                    <a:noFill/>
                    <a:ln>
                      <a:noFill/>
                    </a:ln>
                  </pic:spPr>
                </pic:pic>
              </a:graphicData>
            </a:graphic>
          </wp:anchor>
        </w:drawing>
      </w:r>
      <w:r>
        <w:rPr>
          <w:rFonts w:hint="eastAsia" w:ascii="方正仿宋_GBK" w:hAnsi="方正仿宋_GBK" w:eastAsia="方正仿宋_GBK" w:cs="方正仿宋_GBK"/>
          <w:sz w:val="24"/>
          <w:szCs w:val="24"/>
          <w:lang w:eastAsia="zh-CN"/>
        </w:rPr>
        <w:t>（图：奈拉</w:t>
      </w:r>
      <w:r>
        <w:rPr>
          <w:rFonts w:hint="eastAsia" w:ascii="方正仿宋_GBK" w:hAnsi="方正仿宋_GBK" w:eastAsia="方正仿宋_GBK" w:cs="方正仿宋_GBK"/>
          <w:sz w:val="24"/>
          <w:szCs w:val="24"/>
          <w:lang w:val="en-US" w:eastAsia="zh-CN"/>
        </w:rPr>
        <w:t>Naira兑美元的汇率变化</w:t>
      </w:r>
      <w:r>
        <w:rPr>
          <w:rFonts w:hint="eastAsia" w:ascii="方正仿宋_GBK" w:hAnsi="方正仿宋_GBK" w:eastAsia="方正仿宋_GBK" w:cs="方正仿宋_GBK"/>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气候变化，也是造成当前困境的一个重要因素。</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尼日利亚缺乏农田水利设施，大多数作物都是靠雨水灌溉，因此很容易受到干旱的影响。与此同时，全球气候变暖导致草场荒漠化，游牧部落开始向耕地区域迁移，畜群践踏耕地、啃食庄稼，农民与游牧民的冲突四起，且烈度越来越高，致使农民开始逃离产粮区，粮食供给进一步萎缩。</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而且，</w:t>
      </w:r>
      <w:r>
        <w:rPr>
          <w:rFonts w:hint="eastAsia" w:asciiTheme="minorEastAsia" w:hAnsiTheme="minorEastAsia" w:eastAsiaTheme="minorEastAsia" w:cstheme="minorEastAsia"/>
          <w:b/>
          <w:bCs/>
          <w:sz w:val="32"/>
          <w:szCs w:val="32"/>
          <w:lang w:val="en-US" w:eastAsia="zh-CN"/>
        </w:rPr>
        <w:t>气候变化将是一个长期挑战</w:t>
      </w:r>
      <w:r>
        <w:rPr>
          <w:rFonts w:hint="eastAsia" w:asciiTheme="minorEastAsia" w:hAnsiTheme="minorEastAsia" w:eastAsiaTheme="minorEastAsia" w:cstheme="minorEastAsia"/>
          <w:sz w:val="32"/>
          <w:szCs w:val="32"/>
          <w:lang w:val="en-US" w:eastAsia="zh-CN"/>
        </w:rPr>
        <w:t>。国际社会常用的援助手段，解决不了气候问题带来的深层次经济矛盾。</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联合国世界粮食计划署”，每月向尼日利亚北部100多万最贫苦的人群提供帮助。世界银行也为一项有条件的（现金）转移支付计划提供了8亿美元，该计划只针对1,500万户最困难的家庭。尽管该计划非常重要，且不停地重启，但因各方的惰性而停滞不前。</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本周，尼日利亚政府宣布，免除玉米和小麦的进口关税，并制定建议零售价；政府本身也计划进口50万吨粮食。但迄今为止，政府仍无法阻止粮食的价格飙升。</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2023年，尼日利亚人的食品支出已经占到家庭收入的59%，这一比例高于其他（条件相近的）经济体。要彻底解决粮食问题，需要的是全面的投资与发展。</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尼日利亚是</w:t>
      </w:r>
      <w:r>
        <w:rPr>
          <w:rFonts w:hint="eastAsia" w:asciiTheme="minorEastAsia" w:hAnsiTheme="minorEastAsia" w:eastAsiaTheme="minorEastAsia" w:cstheme="minorEastAsia"/>
          <w:b/>
          <w:bCs/>
          <w:sz w:val="32"/>
          <w:szCs w:val="32"/>
          <w:lang w:val="en-US" w:eastAsia="zh-CN"/>
        </w:rPr>
        <w:t>非洲第一大产油国</w:t>
      </w:r>
      <w:r>
        <w:rPr>
          <w:rFonts w:hint="eastAsia" w:asciiTheme="minorEastAsia" w:hAnsiTheme="minorEastAsia" w:eastAsiaTheme="minorEastAsia" w:cstheme="minorEastAsia"/>
          <w:sz w:val="32"/>
          <w:szCs w:val="32"/>
          <w:lang w:val="en-US" w:eastAsia="zh-CN"/>
        </w:rPr>
        <w:t>，1971年就加入了OPEC。当全球需求旺盛、油价走高时，石油出口带来了源源不断的美元收入，从而推高了奈拉的汇率。因此，直接进口商品比在尼日利亚本地生产或种植要便宜。</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但在过去20年里，尼日利亚石油产量下滑，又没有其他同规模的出口收入来源可以替代，外汇收入锐减，造成本币贬值；尼日利亚居民开始恐慌性地购买美元，给奈拉带来了更大的下行压力。</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尼日利亚石油收入暴跌的原因，主要在以下几个方面。</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一是石油田老化、设备损坏、技术和基础设施不足。这些问题导致石油生产能力的下降，从而影响尼日利亚的石油出口量。</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二是不透明、不稳定的石油行业管理。尼日利亚石油行业长期以来一直面临管理不善、不透明且政策多变的问题。这必然导致资源的浪费，阻碍了石油产业的发展和投资。</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三是内战和冲突。过去几十年里，尼日利亚发生了多次内战和冲突，特别是在尼日尔三角洲地区。这些冲突导致石油设施受损、生产中断和投资畏缩，这进一步影响了石油产出。</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四是全球油价波动。过去20年间油价大幅波动。油价的下跌会对石油出口国产生负面影响，尤其是对依赖石油出口收入的国家。</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综上所述，过去20年，尼日利亚石油出口减少、油价下跌，造成外汇短缺，本币贬值，经济也一步步陷入困境。</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但总的来说，尼日利亚仍是一个基础条件相当优越的国家。它</w:t>
      </w:r>
      <w:r>
        <w:rPr>
          <w:rFonts w:hint="eastAsia" w:asciiTheme="minorEastAsia" w:hAnsiTheme="minorEastAsia" w:eastAsiaTheme="minorEastAsia" w:cstheme="minorEastAsia"/>
          <w:b/>
          <w:bCs/>
          <w:sz w:val="32"/>
          <w:szCs w:val="32"/>
          <w:lang w:val="en-US" w:eastAsia="zh-CN"/>
        </w:rPr>
        <w:t>非洲第一大经济体</w:t>
      </w:r>
      <w:r>
        <w:rPr>
          <w:rFonts w:hint="eastAsia" w:asciiTheme="minorEastAsia" w:hAnsiTheme="minorEastAsia" w:eastAsiaTheme="minorEastAsia" w:cstheme="minorEastAsia"/>
          <w:sz w:val="32"/>
          <w:szCs w:val="32"/>
          <w:lang w:val="en-US" w:eastAsia="zh-CN"/>
        </w:rPr>
        <w:t>，2023</w:t>
      </w:r>
      <w:r>
        <w:rPr>
          <w:rFonts w:hint="eastAsia" w:asciiTheme="minorEastAsia" w:hAnsiTheme="minorEastAsia" w:cstheme="minorEastAsia"/>
          <w:sz w:val="32"/>
          <w:szCs w:val="32"/>
          <w:lang w:val="en-US" w:eastAsia="zh-CN"/>
        </w:rPr>
        <w:t>年</w:t>
      </w:r>
      <w:r>
        <w:rPr>
          <w:rFonts w:hint="eastAsia" w:asciiTheme="minorEastAsia" w:hAnsiTheme="minorEastAsia" w:eastAsiaTheme="minorEastAsia" w:cstheme="minorEastAsia"/>
          <w:sz w:val="32"/>
          <w:szCs w:val="32"/>
          <w:lang w:val="en-US" w:eastAsia="zh-CN"/>
        </w:rPr>
        <w:t>的GDP为3750亿美元（因汇率下跌被低估），也是</w:t>
      </w:r>
      <w:r>
        <w:rPr>
          <w:rFonts w:hint="eastAsia" w:asciiTheme="minorEastAsia" w:hAnsiTheme="minorEastAsia" w:eastAsiaTheme="minorEastAsia" w:cstheme="minorEastAsia"/>
          <w:b/>
          <w:bCs/>
          <w:sz w:val="32"/>
          <w:szCs w:val="32"/>
          <w:lang w:val="en-US" w:eastAsia="zh-CN"/>
        </w:rPr>
        <w:t>非洲第一人口大国</w:t>
      </w:r>
      <w:r>
        <w:rPr>
          <w:rFonts w:hint="eastAsia" w:asciiTheme="minorEastAsia" w:hAnsiTheme="minorEastAsia" w:eastAsiaTheme="minorEastAsia" w:cstheme="minorEastAsia"/>
          <w:sz w:val="32"/>
          <w:szCs w:val="32"/>
          <w:lang w:val="en-US" w:eastAsia="zh-CN"/>
        </w:rPr>
        <w:t>，为2.27亿人。</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尼日利亚</w:t>
      </w:r>
      <w:r>
        <w:rPr>
          <w:rFonts w:hint="eastAsia" w:asciiTheme="minorEastAsia" w:hAnsiTheme="minorEastAsia" w:eastAsiaTheme="minorEastAsia" w:cstheme="minorEastAsia"/>
          <w:b/>
          <w:bCs/>
          <w:sz w:val="32"/>
          <w:szCs w:val="32"/>
          <w:lang w:val="en-US" w:eastAsia="zh-CN"/>
        </w:rPr>
        <w:t>自然资源极其丰富</w:t>
      </w:r>
      <w:r>
        <w:rPr>
          <w:rFonts w:hint="eastAsia" w:asciiTheme="minorEastAsia" w:hAnsiTheme="minorEastAsia" w:eastAsiaTheme="minorEastAsia" w:cstheme="minorEastAsia"/>
          <w:sz w:val="32"/>
          <w:szCs w:val="32"/>
          <w:lang w:val="en-US" w:eastAsia="zh-CN"/>
        </w:rPr>
        <w:t>，除了石油和天然气，还拥有丰富的高品位铁矿石、天然沥青和优质煤矿，是西非唯一的产煤国。这些矿产资源目前尚未得到大规模的开采，具有重要的商业价值和开发潜力。</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拉各斯是尼日利亚的旧都和最大港口，也是</w:t>
      </w:r>
      <w:r>
        <w:rPr>
          <w:rFonts w:hint="eastAsia" w:asciiTheme="minorEastAsia" w:hAnsiTheme="minorEastAsia" w:eastAsiaTheme="minorEastAsia" w:cstheme="minorEastAsia"/>
          <w:b/>
          <w:bCs/>
          <w:sz w:val="32"/>
          <w:szCs w:val="32"/>
          <w:lang w:val="en-US" w:eastAsia="zh-CN"/>
        </w:rPr>
        <w:t>西非第一大城市</w:t>
      </w:r>
      <w:r>
        <w:rPr>
          <w:rFonts w:hint="eastAsia" w:asciiTheme="minorEastAsia" w:hAnsiTheme="minorEastAsia" w:eastAsiaTheme="minorEastAsia" w:cstheme="minorEastAsia"/>
          <w:sz w:val="32"/>
          <w:szCs w:val="32"/>
          <w:lang w:val="en-US" w:eastAsia="zh-CN"/>
        </w:rPr>
        <w:t>，有统计数据称其人口已超2000万。拉各斯不仅是尼日利亚的经济中心和物流中心，也是重要的文化和金融中心。其创新产业和电影产业别具特色，吸引了全球众多投资。</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总之，尼日利亚虽然暂时身处困境、面临挑战，仍具有巨大的经济潜力和发展空间。</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尼日利亚是中国在非洲的第三大贸易伙伴（仅次于南非和安哥拉），以及第二大出口市场（仅次于南非）。中国对尼日利亚出口的主要商品包括机电产品和纺织服装，从尼日利亚进口的主要商品为原油和液化天然气等 。</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2023年度，中国与尼日利亚贸易额为225.6亿美元，其中中国对尼日利亚的出口额为201.8亿美元，自尼日利亚进口额为23.8亿美元，同比变化分别为-3.2%，-7.1%和49%。</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2024年1至5月，双边贸易额为84亿美元，其中对尼日利亚出口72亿美元，自尼日利亚进口12亿美元，同比变化分别为-10%、-16%和49%。</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default"/>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7月17日（周三）</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_GBK" w:hAnsi="方正小标宋_GBK" w:eastAsia="方正小标宋_GBK" w:cs="方正小标宋_GBK"/>
          <w:b/>
          <w:bCs/>
          <w:color w:val="0000FF"/>
          <w:sz w:val="36"/>
          <w:szCs w:val="36"/>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美国6月数据出现分歧，其经济能持续强劲吗？</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7月16日（周二），美国人口调查局公布6月零售销售调查结果（见表格）。</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drawing>
          <wp:anchor distT="0" distB="0" distL="114300" distR="114300" simplePos="0" relativeHeight="251671552" behindDoc="0" locked="0" layoutInCell="1" allowOverlap="1">
            <wp:simplePos x="0" y="0"/>
            <wp:positionH relativeFrom="column">
              <wp:posOffset>280035</wp:posOffset>
            </wp:positionH>
            <wp:positionV relativeFrom="paragraph">
              <wp:posOffset>49530</wp:posOffset>
            </wp:positionV>
            <wp:extent cx="5012690" cy="944880"/>
            <wp:effectExtent l="0" t="0" r="16510" b="7620"/>
            <wp:wrapTopAndBottom/>
            <wp:docPr id="3" name="图片 3" descr="图片3-7月16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7月16日"/>
                    <pic:cNvPicPr>
                      <a:picLocks noChangeAspect="1"/>
                    </pic:cNvPicPr>
                  </pic:nvPicPr>
                  <pic:blipFill>
                    <a:blip r:embed="rId19"/>
                    <a:stretch>
                      <a:fillRect/>
                    </a:stretch>
                  </pic:blipFill>
                  <pic:spPr>
                    <a:xfrm>
                      <a:off x="0" y="0"/>
                      <a:ext cx="5012690" cy="944880"/>
                    </a:xfrm>
                    <a:prstGeom prst="rect">
                      <a:avLst/>
                    </a:prstGeom>
                  </pic:spPr>
                </pic:pic>
              </a:graphicData>
            </a:graphic>
          </wp:anchor>
        </w:drawing>
      </w:r>
      <w:r>
        <w:rPr>
          <w:rFonts w:hint="eastAsia" w:asciiTheme="minorEastAsia" w:hAnsiTheme="minorEastAsia" w:eastAsiaTheme="minorEastAsia" w:cstheme="minorEastAsia"/>
          <w:sz w:val="32"/>
          <w:szCs w:val="32"/>
          <w:lang w:val="en-US" w:eastAsia="zh-CN"/>
        </w:rPr>
        <w:t>数据显示，6月份销售的环比好于预期，显示出美国消费者支出依然强劲，但这与最近一系</w:t>
      </w:r>
      <w:r>
        <w:rPr>
          <w:rFonts w:hint="eastAsia" w:asciiTheme="minorEastAsia" w:hAnsiTheme="minorEastAsia" w:cstheme="minorEastAsia"/>
          <w:sz w:val="32"/>
          <w:szCs w:val="32"/>
          <w:lang w:val="en-US" w:eastAsia="zh-CN"/>
        </w:rPr>
        <w:t>列</w:t>
      </w:r>
      <w:r>
        <w:rPr>
          <w:rFonts w:hint="eastAsia" w:asciiTheme="minorEastAsia" w:hAnsiTheme="minorEastAsia" w:eastAsiaTheme="minorEastAsia" w:cstheme="minorEastAsia"/>
          <w:sz w:val="32"/>
          <w:szCs w:val="32"/>
          <w:lang w:val="en-US" w:eastAsia="zh-CN"/>
        </w:rPr>
        <w:t>报告的指向形成了分歧，此前公布的6月PMI、“大小非农”、CPI，以及密歇根信心指数，都表现出就业市场走弱、消费收缩和通胀降温的迹象。</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既然消费市场仍如此强劲，那么对美联储降息的预期就应随之调整。瑞典、加拿大和欧元区的央行最近都开始降息，但美联储依然将利率保持在高位，反映出经济的强劲和美元的强势。</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根据欧洲央行的最新预测，欧元区经济在2024年将增长0.9%，美联储则预测美国目前的经济增长速度为2.7%，在G7集团中遥遥领先。欧盟将自身经济的疲弱归咎于“</w:t>
      </w:r>
      <w:r>
        <w:rPr>
          <w:rFonts w:hint="eastAsia" w:asciiTheme="minorEastAsia" w:hAnsiTheme="minorEastAsia" w:eastAsiaTheme="minorEastAsia" w:cstheme="minorEastAsia"/>
          <w:b/>
          <w:bCs/>
          <w:sz w:val="32"/>
          <w:szCs w:val="32"/>
          <w:lang w:val="en-US" w:eastAsia="zh-CN"/>
        </w:rPr>
        <w:t>政治功能失调</w:t>
      </w:r>
      <w:r>
        <w:rPr>
          <w:rFonts w:hint="eastAsia" w:asciiTheme="minorEastAsia" w:hAnsiTheme="minorEastAsia" w:eastAsiaTheme="minorEastAsia" w:cstheme="minorEastAsia"/>
          <w:sz w:val="32"/>
          <w:szCs w:val="32"/>
          <w:lang w:val="en-US" w:eastAsia="zh-CN"/>
        </w:rPr>
        <w:t>”和“</w:t>
      </w:r>
      <w:r>
        <w:rPr>
          <w:rFonts w:hint="eastAsia" w:asciiTheme="minorEastAsia" w:hAnsiTheme="minorEastAsia" w:eastAsiaTheme="minorEastAsia" w:cstheme="minorEastAsia"/>
          <w:b/>
          <w:bCs/>
          <w:sz w:val="32"/>
          <w:szCs w:val="32"/>
          <w:lang w:val="en-US" w:eastAsia="zh-CN"/>
        </w:rPr>
        <w:t>财政脆弱</w:t>
      </w:r>
      <w:r>
        <w:rPr>
          <w:rFonts w:hint="eastAsia" w:asciiTheme="minorEastAsia" w:hAnsiTheme="minorEastAsia" w:eastAsiaTheme="minorEastAsia" w:cstheme="minorEastAsia"/>
          <w:sz w:val="32"/>
          <w:szCs w:val="32"/>
          <w:lang w:val="en-US" w:eastAsia="zh-CN"/>
        </w:rPr>
        <w:t>”两个原因。</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b/>
          <w:bCs/>
          <w:i w:val="0"/>
          <w:iCs w:val="0"/>
          <w:sz w:val="32"/>
          <w:szCs w:val="32"/>
          <w:lang w:val="en-US" w:eastAsia="zh-CN"/>
        </w:rPr>
        <w:t>在财政脆弱的国家，如果政治上再有波动，投资者就会“用脚投票”</w:t>
      </w:r>
      <w:r>
        <w:rPr>
          <w:rFonts w:hint="eastAsia" w:asciiTheme="minorEastAsia" w:hAnsiTheme="minorEastAsia" w:eastAsiaTheme="minorEastAsia" w:cstheme="minorEastAsia"/>
          <w:i w:val="0"/>
          <w:iCs w:val="0"/>
          <w:sz w:val="32"/>
          <w:szCs w:val="32"/>
          <w:lang w:val="en-US" w:eastAsia="zh-CN"/>
        </w:rPr>
        <w:t>。</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6月9日，法国总统马克龙宣布解散国民议会，并举行新的议会选举。法国国债立即遭到抛售，与德国国债收益率之间的利差迅速扩大。</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国际货币基金组织（IMF）认为，法国需要采取财政紧缩措施，不能允许赤字超过本国GDP的3%，这样才可能在2029年前稳定其债务。但现实中难以实现，在法国上一轮议会选举中，占上风的极右翼“国民联盟”（National Rally），其竞选纲领就是一个显著的赤字财政。</w:t>
      </w:r>
    </w:p>
    <w:p>
      <w:pPr>
        <w:keepNext w:val="0"/>
        <w:keepLines w:val="0"/>
        <w:pageBreakBefore w:val="0"/>
        <w:widowControl w:val="0"/>
        <w:kinsoku/>
        <w:wordWrap/>
        <w:overflowPunct/>
        <w:topLinePunct w:val="0"/>
        <w:autoSpaceDE/>
        <w:autoSpaceDN/>
        <w:bidi w:val="0"/>
        <w:adjustRightInd/>
        <w:snapToGrid/>
        <w:ind w:firstLine="388" w:firstLineChars="200"/>
        <w:jc w:val="both"/>
        <w:textAlignment w:val="auto"/>
        <w:rPr>
          <w:rFonts w:hint="eastAsia" w:asciiTheme="minorEastAsia" w:hAnsiTheme="minorEastAsia" w:eastAsiaTheme="minorEastAsia" w:cstheme="minorEastAsia"/>
          <w:sz w:val="32"/>
          <w:szCs w:val="32"/>
          <w:lang w:val="en-US" w:eastAsia="zh-CN"/>
        </w:rPr>
      </w:pPr>
      <w:r>
        <w:drawing>
          <wp:anchor distT="0" distB="0" distL="114300" distR="114300" simplePos="0" relativeHeight="251672576" behindDoc="0" locked="0" layoutInCell="1" allowOverlap="1">
            <wp:simplePos x="0" y="0"/>
            <wp:positionH relativeFrom="column">
              <wp:posOffset>550545</wp:posOffset>
            </wp:positionH>
            <wp:positionV relativeFrom="paragraph">
              <wp:posOffset>1604010</wp:posOffset>
            </wp:positionV>
            <wp:extent cx="4075430" cy="2844800"/>
            <wp:effectExtent l="0" t="0" r="1270" b="12700"/>
            <wp:wrapTopAndBottom/>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0"/>
                    <a:stretch>
                      <a:fillRect/>
                    </a:stretch>
                  </pic:blipFill>
                  <pic:spPr>
                    <a:xfrm>
                      <a:off x="0" y="0"/>
                      <a:ext cx="4075430" cy="284480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英国、印度、墨西哥等经济体，在大选之后国债市场或货币市场都遭遇过大跌。令经济学家们难以理解的是，上述两个问题在美国一样存在，但为什么美国经济好似不受政治不确定性和财政脆弱性的影响呢？</w:t>
      </w:r>
    </w:p>
    <w:p>
      <w:pPr>
        <w:keepNext w:val="0"/>
        <w:keepLines w:val="0"/>
        <w:pageBreakBefore w:val="0"/>
        <w:widowControl w:val="0"/>
        <w:kinsoku/>
        <w:wordWrap/>
        <w:overflowPunct/>
        <w:topLinePunct w:val="0"/>
        <w:autoSpaceDE/>
        <w:autoSpaceDN/>
        <w:bidi w:val="0"/>
        <w:adjustRightInd/>
        <w:snapToGrid/>
        <w:ind w:firstLine="448" w:firstLineChars="200"/>
        <w:jc w:val="center"/>
        <w:textAlignment w:val="auto"/>
        <w:rPr>
          <w:rFonts w:hint="eastAsia" w:ascii="仿宋_GB2312" w:hAnsi="仿宋_GB2312" w:eastAsia="仿宋_GB2312" w:cs="仿宋_GB2312"/>
          <w:lang w:val="en-US" w:eastAsia="zh-CN"/>
        </w:rPr>
      </w:pPr>
      <w:r>
        <w:rPr>
          <w:rFonts w:hint="eastAsia" w:ascii="方正仿宋_GBK" w:hAnsi="方正仿宋_GBK" w:eastAsia="方正仿宋_GBK" w:cs="方正仿宋_GBK"/>
          <w:sz w:val="24"/>
          <w:szCs w:val="24"/>
          <w:lang w:val="en-US" w:eastAsia="zh-CN"/>
        </w:rPr>
        <w:t>（图：各类机构持有美国国债的情况）</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而且，从“</w:t>
      </w:r>
      <w:r>
        <w:rPr>
          <w:rFonts w:hint="eastAsia" w:asciiTheme="minorEastAsia" w:hAnsiTheme="minorEastAsia" w:eastAsiaTheme="minorEastAsia" w:cstheme="minorEastAsia"/>
          <w:b/>
          <w:bCs/>
          <w:sz w:val="32"/>
          <w:szCs w:val="32"/>
          <w:lang w:val="en-US" w:eastAsia="zh-CN"/>
        </w:rPr>
        <w:t>潜在赤字</w:t>
      </w:r>
      <w:r>
        <w:rPr>
          <w:rFonts w:hint="eastAsia" w:asciiTheme="minorEastAsia" w:hAnsiTheme="minorEastAsia" w:eastAsiaTheme="minorEastAsia" w:cstheme="minorEastAsia"/>
          <w:sz w:val="32"/>
          <w:szCs w:val="32"/>
          <w:lang w:val="en-US" w:eastAsia="zh-CN"/>
        </w:rPr>
        <w:t>”指标看，美国财政入不敷出的问题更为严重。“潜在赤字”，是指不考虑暂时性因素、周期性因素或一次性因素的情况下，一个经济体所呈现的赤字状况。</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通常，国家的财政状况会受到多种因素的影响，例如经济周期、特殊事件、政府支出和收入政策等，这些因素可能导致财政状况出现波动和变化。为了更好地评估一个国家的长期财政可持续性和结构性状况，宏观经济学引入了“潜在赤字”，以反映出一个国家真实的财政状况，及其经济长期性和结构性的问题。</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根据估算，美国的“潜在赤字”约占其GDP的7.4%。这意味着，即使美国的经济增长较快，若要稳定其债务规模，</w:t>
      </w:r>
      <w:r>
        <w:rPr>
          <w:rFonts w:hint="eastAsia" w:asciiTheme="minorEastAsia" w:hAnsiTheme="minorEastAsia" w:cstheme="minorEastAsia"/>
          <w:sz w:val="32"/>
          <w:szCs w:val="32"/>
          <w:lang w:val="en-US" w:eastAsia="zh-CN"/>
        </w:rPr>
        <w:t>也</w:t>
      </w:r>
      <w:r>
        <w:rPr>
          <w:rFonts w:hint="eastAsia" w:asciiTheme="minorEastAsia" w:hAnsiTheme="minorEastAsia" w:eastAsiaTheme="minorEastAsia" w:cstheme="minorEastAsia"/>
          <w:sz w:val="32"/>
          <w:szCs w:val="32"/>
          <w:lang w:val="en-US" w:eastAsia="zh-CN"/>
        </w:rPr>
        <w:t>必须采取更强力的财政紧缩。但从两党的竞选纲领和过往的执行记录看，今年大选后无论谁执政，都将产生更大规模的赤字。</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与此同时，两党争斗导致政治能力耗损，美元也出现了政治化风险。因此，自2023年下半年，全球各大评级机构都下调了对美国国债的信用评级。</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金融资产的信用评级下降，意味着投资风险上升。“</w:t>
      </w:r>
      <w:r>
        <w:rPr>
          <w:rFonts w:hint="eastAsia" w:asciiTheme="minorEastAsia" w:hAnsiTheme="minorEastAsia" w:eastAsiaTheme="minorEastAsia" w:cstheme="minorEastAsia"/>
          <w:b/>
          <w:bCs/>
          <w:sz w:val="32"/>
          <w:szCs w:val="32"/>
          <w:lang w:val="en-US" w:eastAsia="zh-CN"/>
        </w:rPr>
        <w:t>风险溢价</w:t>
      </w:r>
      <w:r>
        <w:rPr>
          <w:rFonts w:hint="eastAsia" w:asciiTheme="minorEastAsia" w:hAnsiTheme="minorEastAsia" w:eastAsiaTheme="minorEastAsia" w:cstheme="minorEastAsia"/>
          <w:sz w:val="32"/>
          <w:szCs w:val="32"/>
          <w:lang w:val="en-US" w:eastAsia="zh-CN"/>
        </w:rPr>
        <w:t>”，就是对风险的定价，它指投资者要求获得高于无风险资产回报的额外回报，以补偿他们承担的风险。因此，较高的风险通常伴随着更高的预期收益，因为投资者要求更高的回报来补偿他们承担的风险。</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然而，美国的国债却表现得没有任何风险溢价，仿佛美国的高通胀已经被彻底控制，美联储依然强大，其政策还是“言出法随，风行草偃”……尽管事实上并非如此，但从美债的收益率上看，依然如是。</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令人难以接受的是，在大多数国家，巨额财政赤字是一种威胁；而在美国，巨额赤字支撑着经济增长和高利率水平，高利率导致美国与各大经济体利差扩大，最终导致美元走强。2023年以来，在人工智能概念的推动下，乐观情绪笼罩着美国金融市场，股市屡创新高；与此同时，向35万亿美元逼近的国债余额，好像完全被投资者无视了。</w:t>
      </w:r>
    </w:p>
    <w:p>
      <w:pPr>
        <w:keepNext w:val="0"/>
        <w:keepLines w:val="0"/>
        <w:pageBreakBefore w:val="0"/>
        <w:widowControl w:val="0"/>
        <w:kinsoku/>
        <w:wordWrap/>
        <w:overflowPunct/>
        <w:topLinePunct w:val="0"/>
        <w:autoSpaceDE/>
        <w:autoSpaceDN/>
        <w:bidi w:val="0"/>
        <w:adjustRightInd/>
        <w:snapToGrid/>
        <w:ind w:firstLine="388" w:firstLineChars="200"/>
        <w:jc w:val="center"/>
        <w:textAlignment w:val="auto"/>
        <w:rPr>
          <w:rFonts w:hint="eastAsia" w:ascii="方正仿宋_GBK" w:hAnsi="方正仿宋_GBK" w:eastAsia="方正仿宋_GBK" w:cs="方正仿宋_GBK"/>
          <w:sz w:val="24"/>
          <w:szCs w:val="24"/>
          <w:lang w:val="en-US" w:eastAsia="zh-CN"/>
        </w:rPr>
      </w:pPr>
      <w:r>
        <w:drawing>
          <wp:anchor distT="0" distB="0" distL="114300" distR="114300" simplePos="0" relativeHeight="251673600" behindDoc="0" locked="0" layoutInCell="1" allowOverlap="1">
            <wp:simplePos x="0" y="0"/>
            <wp:positionH relativeFrom="column">
              <wp:posOffset>245110</wp:posOffset>
            </wp:positionH>
            <wp:positionV relativeFrom="paragraph">
              <wp:posOffset>28575</wp:posOffset>
            </wp:positionV>
            <wp:extent cx="4682490" cy="2139315"/>
            <wp:effectExtent l="0" t="0" r="3810" b="13335"/>
            <wp:wrapTopAndBottom/>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21"/>
                    <a:stretch>
                      <a:fillRect/>
                    </a:stretch>
                  </pic:blipFill>
                  <pic:spPr>
                    <a:xfrm>
                      <a:off x="0" y="0"/>
                      <a:ext cx="4682490" cy="2139315"/>
                    </a:xfrm>
                    <a:prstGeom prst="rect">
                      <a:avLst/>
                    </a:prstGeom>
                    <a:noFill/>
                    <a:ln>
                      <a:noFill/>
                    </a:ln>
                  </pic:spPr>
                </pic:pic>
              </a:graphicData>
            </a:graphic>
          </wp:anchor>
        </w:drawing>
      </w:r>
      <w:r>
        <w:rPr>
          <w:rFonts w:hint="eastAsia" w:ascii="方正仿宋_GBK" w:hAnsi="方正仿宋_GBK" w:eastAsia="方正仿宋_GBK" w:cs="方正仿宋_GBK"/>
          <w:sz w:val="24"/>
          <w:szCs w:val="24"/>
          <w:lang w:val="en-US" w:eastAsia="zh-CN"/>
        </w:rPr>
        <w:t>（图：标普500指数周线）</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lang w:val="en-US" w:eastAsia="zh-CN"/>
        </w:rPr>
        <w:t>但也有经济学家提醒，当下整个市场呈现着一种幻象，似乎永远不应看空美国经济；但市场不应忘记，美国和美元在国际政治和经济上的独特地位，也是一把双刃剑。全球越是依赖美国市场的强大需求（而扩大对美出口），越是对美元抱有坚强信心（而增持美元资产），华盛顿的政治功能失调和鲁莽的财政政策，</w:t>
      </w:r>
      <w:r>
        <w:rPr>
          <w:rFonts w:hint="eastAsia" w:asciiTheme="minorEastAsia" w:hAnsiTheme="minorEastAsia" w:eastAsiaTheme="minorEastAsia" w:cstheme="minorEastAsia"/>
          <w:b/>
          <w:bCs/>
          <w:sz w:val="32"/>
          <w:szCs w:val="32"/>
          <w:lang w:val="en-US" w:eastAsia="zh-CN"/>
        </w:rPr>
        <w:t>最终可能造成的损害就越大</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r>
        <w:rPr>
          <w:rFonts w:hint="default" w:ascii="Times New Roman" w:hAnsi="Times New Roman" w:eastAsia="经典行楷简" w:cs="Times New Roman"/>
          <w:b/>
          <w:bCs/>
          <w:color w:val="FF0000"/>
          <w:sz w:val="96"/>
          <w:szCs w:val="96"/>
          <w:lang w:val="en-US" w:eastAsia="zh-CN"/>
        </w:rPr>
        <w:t>江苏贸促动态</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经典行楷简" w:hAnsi="经典行楷简" w:eastAsia="经典行楷简" w:cs="经典行楷简"/>
          <w:color w:val="0070C0"/>
          <w:spacing w:val="0"/>
          <w:sz w:val="52"/>
          <w:szCs w:val="52"/>
        </w:rPr>
      </w:pPr>
      <w:r>
        <w:rPr>
          <w:rFonts w:hint="eastAsia" w:ascii="经典行楷简" w:hAnsi="经典行楷简" w:eastAsia="经典行楷简" w:cs="经典行楷简"/>
          <w:color w:val="0070C0"/>
          <w:spacing w:val="0"/>
          <w:sz w:val="52"/>
          <w:szCs w:val="52"/>
        </w:rPr>
        <w:t>中国国际商会外资企业</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heme="minorEastAsia" w:hAnsiTheme="minorEastAsia" w:eastAsiaTheme="minorEastAsia" w:cstheme="minorEastAsia"/>
          <w:color w:val="5784BB"/>
          <w:spacing w:val="0"/>
          <w:sz w:val="32"/>
          <w:szCs w:val="32"/>
        </w:rPr>
      </w:pPr>
      <w:r>
        <w:rPr>
          <w:rFonts w:hint="eastAsia" w:ascii="经典行楷简" w:hAnsi="经典行楷简" w:eastAsia="经典行楷简" w:cs="经典行楷简"/>
          <w:color w:val="0070C0"/>
          <w:spacing w:val="0"/>
          <w:sz w:val="52"/>
          <w:szCs w:val="52"/>
        </w:rPr>
        <w:t>工作委员会苏州座谈会召开</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7月10日，中国国际商会外资企业工作委员会在苏州召开座谈会。中国国际商会秘书长、中国国际商会外资企业工作委员会秘书长孙晓，江苏省贸促会会长、江苏省国际商会会长王善华，苏州高新区管委会主任、虎丘区区长宋长宝出席会议并讲话。</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孙晓表示，外资企业为中国的改革开放和经济高质量发展作出了积极贡献，中国经济的稳健前行也为外资企业带来了更多合作共赢的机遇。中国国际商会及外资企业工作委员会将持续做好对外资企业的精准服务，积极协助解决外资企业的困难和诉求，立足自身资源优势，发挥拉紧中外企业利益纽带的桥梁作用，更好地帮助外资企业深耕中国市场。他同时推介第二届中国国际供应链促进博览会并向外资企业发出邀约。</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王善华简要介绍江苏开放型经济运行情况。他表示，江苏正深入学习贯彻习近平总书记关于江苏工作重要讲话重要指示精神，加快打造发展新质生产力的重要阵地，建设具有世界聚合力的双向开放枢纽，这为外资企业在江苏发展提供了更为广阔的空间。江苏省贸促会将进一步提升服务水平，积极开展“境外机构、跨国公司江苏行”活动，加强同广大外资企业的务实交流，助力营造市场化、法治化、国际化一流营商环境，促进更多外资企业投资江苏、深耕江苏。</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t>中国国际商会会员发展部部长、外资企业工作委员会副秘书长晏礼兵介绍中国国际商会外资企业工作委员会基本工作情况，与会代表围绕拓展外资企业外贸出口、知识产权保护以及第二届中国国际供应链促进博览会等热点话题进行交流研讨，并对委员会工作提出意见和建议。中国贸促会专利商标事务所和中国专利代理（香港）有限公司有关负责人，霍尼韦尔、博世、惠普、碧迪医疗、嘉吉投资、威立雅、迪卡侬、戴森、丹佛斯、强生、东亚银行、捷孚凯、洲际酒店、UL认证、太仓欧商会等近20家委员会成员单位代表参会。</w:t>
      </w:r>
      <w:r>
        <w:rPr>
          <w:rFonts w:hint="eastAsia" w:asciiTheme="minorEastAsia" w:hAnsiTheme="minorEastAsia" w:cstheme="minorEastAsia"/>
          <w:sz w:val="32"/>
          <w:szCs w:val="32"/>
          <w:lang w:val="en-US" w:eastAsia="zh-CN"/>
        </w:rPr>
        <w:t xml:space="preserve">                              </w:t>
      </w:r>
      <w:r>
        <w:rPr>
          <w:rFonts w:hint="eastAsia" w:ascii="方正楷体_GBK" w:hAnsi="方正楷体_GBK" w:eastAsia="方正楷体_GBK" w:cs="方正楷体_GBK"/>
          <w:b/>
          <w:bCs/>
          <w:color w:val="FF0000"/>
          <w:sz w:val="32"/>
          <w:szCs w:val="32"/>
          <w:lang w:eastAsia="zh-CN"/>
        </w:rPr>
        <w:t>（办公室）</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经典行楷简" w:hAnsi="经典行楷简" w:eastAsia="经典行楷简" w:cs="经典行楷简"/>
          <w:color w:val="0070C0"/>
          <w:spacing w:val="0"/>
          <w:sz w:val="52"/>
          <w:szCs w:val="52"/>
        </w:rPr>
      </w:pPr>
      <w:r>
        <w:rPr>
          <w:rFonts w:hint="eastAsia" w:ascii="经典行楷简" w:hAnsi="经典行楷简" w:eastAsia="经典行楷简" w:cs="经典行楷简"/>
          <w:color w:val="0070C0"/>
          <w:spacing w:val="0"/>
          <w:sz w:val="52"/>
          <w:szCs w:val="52"/>
        </w:rPr>
        <w:t>省贸促会领导会见日本贸易振兴机构</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heme="minorEastAsia" w:hAnsiTheme="minorEastAsia" w:eastAsiaTheme="minorEastAsia" w:cstheme="minorEastAsia"/>
          <w:color w:val="5784BB"/>
          <w:sz w:val="32"/>
          <w:szCs w:val="32"/>
        </w:rPr>
      </w:pPr>
      <w:r>
        <w:rPr>
          <w:rFonts w:hint="eastAsia" w:ascii="经典行楷简" w:hAnsi="经典行楷简" w:eastAsia="经典行楷简" w:cs="经典行楷简"/>
          <w:color w:val="0070C0"/>
          <w:spacing w:val="0"/>
          <w:sz w:val="52"/>
          <w:szCs w:val="52"/>
        </w:rPr>
        <w:t>上海代表处首席代表水田贤治</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近日，省贸促会会长王善华会见来访的日本贸易振兴机构上海代表处首席代表水田贤治一行。双方就开展“日资企业江苏行”活动进行深入交流。省贸促会副会长丛苏峰参加会见。</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王善华感谢日本贸易振兴机构长期以来促进江苏与日本经贸合作以及对江苏省贸促会工作的大力支持。他表示，随着江苏-日本开放创新合作交流会、经贸合作交流会先后在东京和南京成功举办，一系列丰硕成果将为两地互利合作、相互成就提供新的支撑。江苏省贸促会将认真落实省委主要领导与石黑宪彦理事长达成的共识，进一步发挥桥梁纽带作用，切实当好对日经贸交流的联络员和推动者。希望通过“日资企业江苏行”这样的平台，携手实现更高水平的优势互补、互利共赢，让更多日资企业与江苏共享机遇、共同成长。</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方正楷体_GBK" w:hAnsi="方正楷体_GBK" w:eastAsia="方正楷体_GBK" w:cs="方正楷体_GBK"/>
          <w:b/>
          <w:bCs/>
          <w:color w:val="FF0000"/>
          <w:sz w:val="32"/>
          <w:szCs w:val="32"/>
          <w:lang w:eastAsia="zh-CN"/>
        </w:rPr>
      </w:pPr>
      <w:r>
        <w:rPr>
          <w:rFonts w:hint="eastAsia" w:asciiTheme="minorEastAsia" w:hAnsiTheme="minorEastAsia" w:eastAsiaTheme="minorEastAsia" w:cstheme="minorEastAsia"/>
          <w:sz w:val="32"/>
          <w:szCs w:val="32"/>
        </w:rPr>
        <w:t>水田贤治感谢江苏省贸促会多年来对日本贸易振兴机构工作的支持。他表示，日本与江苏经贸往来活跃、合作基础良好，日方将认真筹备“日资企业江苏行”活动，根据地方产业具体需求组织相关企业参与，积极促成更多双向贸易投资合作，实现更高水平的互利共赢。</w:t>
      </w:r>
      <w:r>
        <w:rPr>
          <w:rFonts w:hint="eastAsia" w:asciiTheme="minorEastAsia" w:hAnsiTheme="minorEastAsia" w:cstheme="minorEastAsia"/>
          <w:sz w:val="32"/>
          <w:szCs w:val="32"/>
          <w:lang w:val="en-US" w:eastAsia="zh-CN"/>
        </w:rPr>
        <w:t xml:space="preserve">                </w:t>
      </w:r>
      <w:r>
        <w:rPr>
          <w:rFonts w:hint="eastAsia" w:ascii="方正楷体_GBK" w:hAnsi="方正楷体_GBK" w:eastAsia="方正楷体_GBK" w:cs="方正楷体_GBK"/>
          <w:b/>
          <w:bCs/>
          <w:color w:val="FF0000"/>
          <w:sz w:val="32"/>
          <w:szCs w:val="32"/>
          <w:lang w:eastAsia="zh-CN"/>
        </w:rPr>
        <w:t>（国际联络部）</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方正楷体_GBK" w:hAnsi="方正楷体_GBK" w:eastAsia="方正楷体_GBK" w:cs="方正楷体_GBK"/>
          <w:b/>
          <w:bCs/>
          <w:color w:val="FF0000"/>
          <w:sz w:val="32"/>
          <w:szCs w:val="32"/>
          <w:lang w:eastAsia="zh-CN"/>
        </w:rPr>
      </w:pP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方正楷体_GBK" w:hAnsi="方正楷体_GBK" w:eastAsia="方正楷体_GBK" w:cs="方正楷体_GBK"/>
          <w:b/>
          <w:bCs/>
          <w:color w:val="FF0000"/>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经典行楷简" w:hAnsi="经典行楷简" w:eastAsia="经典行楷简" w:cs="经典行楷简"/>
          <w:color w:val="0070C0"/>
          <w:spacing w:val="0"/>
          <w:sz w:val="52"/>
          <w:szCs w:val="52"/>
        </w:rPr>
      </w:pPr>
      <w:r>
        <w:rPr>
          <w:rFonts w:hint="eastAsia" w:ascii="经典行楷简" w:hAnsi="经典行楷简" w:eastAsia="经典行楷简" w:cs="经典行楷简"/>
          <w:color w:val="0070C0"/>
          <w:spacing w:val="0"/>
          <w:sz w:val="52"/>
          <w:szCs w:val="52"/>
        </w:rPr>
        <w:t>江苏（南京）-澳大利亚</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heme="minorEastAsia" w:hAnsiTheme="minorEastAsia" w:eastAsiaTheme="minorEastAsia" w:cstheme="minorEastAsia"/>
          <w:color w:val="5784BB"/>
          <w:spacing w:val="0"/>
          <w:sz w:val="32"/>
          <w:szCs w:val="32"/>
        </w:rPr>
      </w:pPr>
      <w:r>
        <w:rPr>
          <w:rFonts w:hint="eastAsia" w:ascii="经典行楷简" w:hAnsi="经典行楷简" w:eastAsia="经典行楷简" w:cs="经典行楷简"/>
          <w:color w:val="0070C0"/>
          <w:spacing w:val="0"/>
          <w:sz w:val="52"/>
          <w:szCs w:val="52"/>
        </w:rPr>
        <w:t>投资与技术交流会成功举行</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7月12日，江苏省贸促会联合澳大利亚商会-上海在南京举办江苏（南京）-澳大利亚投资与技术交流会。江苏省贸促会会长王善华、澳大利亚商会-上海首席执行官兼执行董事林世文分别致辞并代表双方签署合作备忘录。</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王善华在致辞中表示，中澳经济优势互补，是天然的合作伙伴。江苏正深入学习贯彻习近平总书记重要讲话精神，加快打造发展新质生产力重要阵地，建设具有世界聚合力的双向开放枢纽，这为包括澳大利亚在内的广大外资企业在江苏发展提供了更为广阔的空间。江苏省贸促会将一如既往地发挥贸易投资促进主渠道作用，为外资企业与江苏开展经贸交流合作创造便利条件、提供优质服务、搭建更多平台。</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林世文介绍澳大利亚商会基本情况和主要工作，希望通过精诚合作，进一步加深江苏和澳大利亚在经贸、投资等方面的深度合作，共同推进中澳友好交往和国际交流合作。</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交流会上，南京江北新区和澳大利亚贸易投资委员会推介最新投资情况和政策。江苏省国际商会和澳大利亚商会-上海共同邀请20多家会员企业参会开展深入交流，现场气氛热烈。拓攻（南京）机器人与澳大利亚芙莎航空公司达成初步合作意向。</w:t>
      </w:r>
    </w:p>
    <w:p>
      <w:pPr>
        <w:keepNext w:val="0"/>
        <w:keepLines w:val="0"/>
        <w:pageBreakBefore w:val="0"/>
        <w:widowControl w:val="0"/>
        <w:kinsoku/>
        <w:wordWrap/>
        <w:overflowPunct/>
        <w:topLinePunct w:val="0"/>
        <w:autoSpaceDE/>
        <w:autoSpaceDN/>
        <w:bidi w:val="0"/>
        <w:adjustRightInd/>
        <w:snapToGrid/>
        <w:ind w:firstLine="4560" w:firstLineChars="1500"/>
        <w:jc w:val="left"/>
        <w:textAlignment w:val="auto"/>
        <w:rPr>
          <w:rFonts w:hint="eastAsia" w:ascii="方正楷体_GBK" w:hAnsi="方正楷体_GBK" w:eastAsia="方正楷体_GBK" w:cs="方正楷体_GBK"/>
          <w:b/>
          <w:bCs/>
          <w:color w:val="FF0000"/>
          <w:sz w:val="32"/>
          <w:szCs w:val="32"/>
          <w:lang w:eastAsia="zh-CN"/>
        </w:rPr>
      </w:pPr>
      <w:r>
        <w:rPr>
          <w:rFonts w:hint="eastAsia" w:ascii="方正楷体_GBK" w:hAnsi="方正楷体_GBK" w:eastAsia="方正楷体_GBK" w:cs="方正楷体_GBK"/>
          <w:b/>
          <w:bCs/>
          <w:color w:val="FF0000"/>
          <w:sz w:val="32"/>
          <w:szCs w:val="32"/>
          <w:lang w:eastAsia="zh-CN"/>
        </w:rPr>
        <w:t>（国际联络部）</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方正楷体_GBK" w:hAnsi="方正楷体_GBK" w:eastAsia="方正楷体_GBK" w:cs="方正楷体_GBK"/>
          <w:b/>
          <w:bCs/>
          <w:color w:val="FF0000"/>
          <w:sz w:val="32"/>
          <w:szCs w:val="32"/>
          <w:lang w:eastAsia="zh-CN"/>
        </w:rPr>
      </w:pP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方正楷体_GBK" w:hAnsi="方正楷体_GBK" w:eastAsia="方正楷体_GBK" w:cs="方正楷体_GBK"/>
          <w:b/>
          <w:bCs/>
          <w:color w:val="FF0000"/>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heme="minorEastAsia" w:hAnsiTheme="minorEastAsia" w:eastAsiaTheme="minorEastAsia" w:cstheme="minorEastAsia"/>
          <w:color w:val="5784BB"/>
          <w:sz w:val="32"/>
          <w:szCs w:val="32"/>
        </w:rPr>
      </w:pPr>
      <w:r>
        <w:rPr>
          <w:rFonts w:hint="eastAsia" w:ascii="经典行楷简" w:hAnsi="经典行楷简" w:eastAsia="经典行楷简" w:cs="经典行楷简"/>
          <w:color w:val="0070C0"/>
          <w:spacing w:val="-28"/>
          <w:sz w:val="52"/>
          <w:szCs w:val="52"/>
        </w:rPr>
        <w:t>省贸促会领导会见俄罗斯出口中心股份有限公司俄罗斯国家馆总经理伊利亚·罗曼诺夫</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7月15日下午，省贸促会会长王善华会见来访的俄罗斯出口中心股份有限公司俄罗斯国家馆总经理伊利亚·罗曼诺夫一行。双方就在江苏增设俄罗斯国家馆及分馆和9月中旬举办俄罗斯食品展销会事宜进行深入交流。</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王善华简要介绍江苏开放型经济发展情况及营商环境优势，对增设俄罗斯国家馆及分馆、举办俄罗斯食品展销会表示支持。他表示，今年是中俄建交75周年，习近平总书记和普京总统会晤，共同擘画中俄新时代全面战略协作伙伴关系发展新愿景、新蓝图，希望双方在两国元首战略引领下，进一步加强交流，围绕重点领域开展深入合作，深挖贸易潜力，扩大经贸往来。</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方正楷体_GBK" w:hAnsi="方正楷体_GBK" w:eastAsia="方正楷体_GBK" w:cs="方正楷体_GBK"/>
          <w:b/>
          <w:bCs/>
          <w:color w:val="FF0000"/>
          <w:sz w:val="32"/>
          <w:szCs w:val="32"/>
          <w:lang w:eastAsia="zh-CN"/>
        </w:rPr>
      </w:pPr>
      <w:r>
        <w:rPr>
          <w:rFonts w:hint="eastAsia" w:asciiTheme="minorEastAsia" w:hAnsiTheme="minorEastAsia" w:eastAsiaTheme="minorEastAsia" w:cstheme="minorEastAsia"/>
          <w:sz w:val="32"/>
          <w:szCs w:val="32"/>
        </w:rPr>
        <w:t>伊利亚·罗曼诺夫感谢江苏省贸促会对俄罗斯出口中心股份公司俄罗斯国家馆工作的大力支持，希望进一步加强与贸促会的交流合作，为促进中俄经贸交流作出更大贡献。</w:t>
      </w:r>
      <w:r>
        <w:rPr>
          <w:rFonts w:hint="eastAsia" w:ascii="方正楷体_GBK" w:hAnsi="方正楷体_GBK" w:eastAsia="方正楷体_GBK" w:cs="方正楷体_GBK"/>
          <w:b/>
          <w:bCs/>
          <w:color w:val="FF0000"/>
          <w:sz w:val="32"/>
          <w:szCs w:val="32"/>
          <w:lang w:eastAsia="zh-CN"/>
        </w:rPr>
        <w:t>（国际联络部）</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方正楷体_GBK" w:hAnsi="方正楷体_GBK" w:eastAsia="方正楷体_GBK" w:cs="方正楷体_GBK"/>
          <w:b/>
          <w:bCs/>
          <w:color w:val="FF0000"/>
          <w:sz w:val="32"/>
          <w:szCs w:val="32"/>
          <w:lang w:eastAsia="zh-CN"/>
        </w:rPr>
      </w:pP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方正楷体_GBK" w:hAnsi="方正楷体_GBK" w:eastAsia="方正楷体_GBK" w:cs="方正楷体_GBK"/>
          <w:b/>
          <w:bCs/>
          <w:color w:val="FF0000"/>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经典行楷简" w:hAnsi="经典行楷简" w:eastAsia="经典行楷简" w:cs="经典行楷简"/>
          <w:color w:val="0070C0"/>
          <w:spacing w:val="0"/>
          <w:sz w:val="52"/>
          <w:szCs w:val="52"/>
        </w:rPr>
      </w:pPr>
      <w:r>
        <w:rPr>
          <w:rFonts w:hint="eastAsia" w:ascii="经典行楷简" w:hAnsi="经典行楷简" w:eastAsia="经典行楷简" w:cs="经典行楷简"/>
          <w:color w:val="0070C0"/>
          <w:spacing w:val="0"/>
          <w:sz w:val="52"/>
          <w:szCs w:val="52"/>
        </w:rPr>
        <w:t>省贸促会领导出席2024·首届</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heme="minorEastAsia" w:hAnsiTheme="minorEastAsia" w:eastAsiaTheme="minorEastAsia" w:cstheme="minorEastAsia"/>
          <w:color w:val="5784BB"/>
          <w:sz w:val="32"/>
          <w:szCs w:val="32"/>
        </w:rPr>
      </w:pPr>
      <w:r>
        <w:rPr>
          <w:rFonts w:hint="eastAsia" w:ascii="经典行楷简" w:hAnsi="经典行楷简" w:eastAsia="经典行楷简" w:cs="经典行楷简"/>
          <w:color w:val="0070C0"/>
          <w:spacing w:val="0"/>
          <w:sz w:val="52"/>
          <w:szCs w:val="52"/>
        </w:rPr>
        <w:t>苏商全球化战略峰会</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7月12日，省贸促会副会长丛苏峰出席江苏省苏商发展促进会在南京主办的2024·首届苏商全球化战略峰会并致辞。</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丛苏峰简要介绍省贸促会近年来在促进江苏企业全球化发展方面所做的工作。他表示，省贸促会愿与社会各界携手，继续发挥连接政企、衔接内外、对接供需和促进中外工商界开展经贸交往的桥梁纽带作用，为江苏企业全球化发展贡献更大力量。</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方正楷体_GBK" w:hAnsi="方正楷体_GBK" w:eastAsia="方正楷体_GBK" w:cs="方正楷体_GBK"/>
          <w:b/>
          <w:bCs/>
          <w:color w:val="FF0000"/>
          <w:sz w:val="32"/>
          <w:szCs w:val="32"/>
          <w:lang w:eastAsia="zh-CN"/>
        </w:rPr>
      </w:pPr>
      <w:r>
        <w:rPr>
          <w:rFonts w:hint="eastAsia" w:asciiTheme="minorEastAsia" w:hAnsiTheme="minorEastAsia" w:eastAsiaTheme="minorEastAsia" w:cstheme="minorEastAsia"/>
          <w:sz w:val="32"/>
          <w:szCs w:val="32"/>
        </w:rPr>
        <w:t>本次峰会以“江苏企业出海的战略、模式与路径”为主题，围绕市场机遇、国际合作、风险管控、跨文化管理等核心议题展开深入交流与探讨，并举行苏商全球协同发展加速计划发布仪式和苏商出海服务联盟成立仪式。来自国际商会、学术界及产业界300余名代表参会。</w:t>
      </w:r>
      <w:r>
        <w:rPr>
          <w:rFonts w:hint="eastAsia" w:asciiTheme="minorEastAsia" w:hAnsiTheme="minorEastAsia" w:cstheme="minorEastAsia"/>
          <w:sz w:val="32"/>
          <w:szCs w:val="32"/>
          <w:lang w:val="en-US" w:eastAsia="zh-CN"/>
        </w:rPr>
        <w:t xml:space="preserve">          </w:t>
      </w:r>
      <w:r>
        <w:rPr>
          <w:rFonts w:hint="eastAsia" w:ascii="方正楷体_GBK" w:hAnsi="方正楷体_GBK" w:eastAsia="方正楷体_GBK" w:cs="方正楷体_GBK"/>
          <w:b/>
          <w:bCs/>
          <w:color w:val="FF0000"/>
          <w:sz w:val="32"/>
          <w:szCs w:val="32"/>
          <w:lang w:eastAsia="zh-CN"/>
        </w:rPr>
        <w:t>（办公室）</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方正楷体_GBK" w:hAnsi="方正楷体_GBK" w:eastAsia="方正楷体_GBK" w:cs="方正楷体_GBK"/>
          <w:b/>
          <w:bCs/>
          <w:color w:val="FF0000"/>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经典行楷简" w:hAnsi="经典行楷简" w:eastAsia="经典行楷简" w:cs="经典行楷简"/>
          <w:color w:val="0070C0"/>
          <w:spacing w:val="0"/>
          <w:sz w:val="52"/>
          <w:szCs w:val="52"/>
        </w:rPr>
      </w:pPr>
      <w:r>
        <w:rPr>
          <w:rFonts w:hint="eastAsia" w:ascii="经典行楷简" w:hAnsi="经典行楷简" w:eastAsia="经典行楷简" w:cs="经典行楷简"/>
          <w:color w:val="0070C0"/>
          <w:spacing w:val="0"/>
          <w:sz w:val="52"/>
          <w:szCs w:val="52"/>
        </w:rPr>
        <w:t>南京市贸促会组织召开落实会展业</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heme="minorEastAsia" w:hAnsiTheme="minorEastAsia" w:eastAsiaTheme="minorEastAsia" w:cstheme="minorEastAsia"/>
          <w:color w:val="5784BB"/>
          <w:spacing w:val="0"/>
          <w:sz w:val="32"/>
          <w:szCs w:val="32"/>
        </w:rPr>
      </w:pPr>
      <w:r>
        <w:rPr>
          <w:rFonts w:hint="eastAsia" w:ascii="经典行楷简" w:hAnsi="经典行楷简" w:eastAsia="经典行楷简" w:cs="经典行楷简"/>
          <w:color w:val="0070C0"/>
          <w:spacing w:val="0"/>
          <w:sz w:val="52"/>
          <w:szCs w:val="52"/>
        </w:rPr>
        <w:t>高质量发展两年行动计划工作推进会</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为贯彻落实《南京市会展业高质量发展两年行动计划（2024-2025年）》（以下简称《行动计划》），推进全市17个集群强链专班牵头部门围绕“一产业集群一品牌展会”工作开展，7月9日上午，南京市贸促会组织召开会展业高质量发展两年行动计划工作推进会。市发改委、科技局、工信局、商务局、投促局等重点部门，市旅游集团、河西集团、体育集团等市属集团公司，各区、江北新区、南部新城、临空经济示范区、金陵海关等30家相关单位业务部门负责人以及南京国际博览中心、南京国际展览中心负责人参会。会议由市贸促会分管领导、一级调研员沈锦权主持，市贸促会会长梁洁结合工作部署作了讲话。</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会上，各有关部门、江北新区及玄武区、建邺区、溧水区等会展发展重点板块对照《行动计划》任务分工，分别汇报了2024年上半年工作推进完成情况及重点展产融合品牌展会筹备情况。河西集团南京国际博览中心、旅游集团南京国际展览中心汇报了重点专业场馆上半年展会项目绩效完成情况和下半年工作计划安排。2024年上半年全市会展业保持良好的发展势头，会展专业场馆实现展览数量和面积同比双增长。</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市贸促会梁洁会长对各单位围绕《行动计划》任务分工所做的阶段工作给予肯定，并围绕展产融合、展城融合和推动会展业质效提升助力发展新经济、更好服务产业强市、双向开放枢纽城市建设等方面提出了具体工作要求。她就推动会展经济高质量发展，促进新质生产力上下游产业链紧密合作，加速品牌展、特色展、规模展集聚，对《行动计划》下一阶段重点目标任务进行</w:t>
      </w:r>
      <w:r>
        <w:rPr>
          <w:rFonts w:hint="eastAsia" w:asciiTheme="minorEastAsia" w:hAnsiTheme="minorEastAsia" w:cstheme="minorEastAsia"/>
          <w:sz w:val="32"/>
          <w:szCs w:val="32"/>
          <w:lang w:val="en-US" w:eastAsia="zh-CN"/>
        </w:rPr>
        <w:t>了</w:t>
      </w:r>
      <w:r>
        <w:rPr>
          <w:rFonts w:hint="eastAsia" w:asciiTheme="minorEastAsia" w:hAnsiTheme="minorEastAsia" w:eastAsiaTheme="minorEastAsia" w:cstheme="minorEastAsia"/>
          <w:sz w:val="32"/>
          <w:szCs w:val="32"/>
        </w:rPr>
        <w:t>部署强调。</w:t>
      </w:r>
    </w:p>
    <w:p>
      <w:pPr>
        <w:keepNext w:val="0"/>
        <w:keepLines w:val="0"/>
        <w:pageBreakBefore w:val="0"/>
        <w:widowControl w:val="0"/>
        <w:kinsoku/>
        <w:wordWrap/>
        <w:overflowPunct/>
        <w:topLinePunct w:val="0"/>
        <w:autoSpaceDE/>
        <w:autoSpaceDN/>
        <w:bidi w:val="0"/>
        <w:adjustRightInd/>
        <w:snapToGrid/>
        <w:ind w:firstLine="4864" w:firstLineChars="1600"/>
        <w:jc w:val="both"/>
        <w:textAlignment w:val="auto"/>
        <w:outlineLvl w:val="9"/>
        <w:rPr>
          <w:rFonts w:hint="eastAsia" w:ascii="方正楷体_GBK" w:hAnsi="方正楷体_GBK" w:eastAsia="方正楷体_GBK" w:cs="方正楷体_GBK"/>
          <w:b/>
          <w:bCs/>
          <w:color w:val="FF0000"/>
          <w:sz w:val="32"/>
          <w:szCs w:val="32"/>
          <w:lang w:eastAsia="zh-CN"/>
        </w:rPr>
      </w:pPr>
      <w:r>
        <w:rPr>
          <w:rFonts w:hint="eastAsia" w:ascii="方正楷体_GBK" w:hAnsi="方正楷体_GBK" w:eastAsia="方正楷体_GBK" w:cs="方正楷体_GBK"/>
          <w:b/>
          <w:bCs/>
          <w:color w:val="FF0000"/>
          <w:sz w:val="32"/>
          <w:szCs w:val="32"/>
          <w:lang w:eastAsia="zh-CN"/>
        </w:rPr>
        <w:t>（南京贸促会）</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方正楷体_GBK" w:hAnsi="方正楷体_GBK" w:eastAsia="方正楷体_GBK" w:cs="方正楷体_GBK"/>
          <w:b/>
          <w:bCs/>
          <w:color w:val="FF0000"/>
          <w:sz w:val="32"/>
          <w:szCs w:val="32"/>
          <w:lang w:eastAsia="zh-CN"/>
        </w:rPr>
      </w:pP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方正楷体_GBK" w:hAnsi="方正楷体_GBK" w:eastAsia="方正楷体_GBK" w:cs="方正楷体_GBK"/>
          <w:b/>
          <w:bCs/>
          <w:color w:val="FF0000"/>
          <w:sz w:val="32"/>
          <w:szCs w:val="32"/>
          <w:lang w:eastAsia="zh-CN"/>
        </w:rPr>
      </w:pPr>
    </w:p>
    <w:p>
      <w:pPr>
        <w:jc w:val="center"/>
        <w:rPr>
          <w:rFonts w:hint="eastAsia" w:asciiTheme="minorEastAsia" w:hAnsiTheme="minorEastAsia" w:eastAsiaTheme="minorEastAsia" w:cstheme="minorEastAsia"/>
          <w:color w:val="5784BB"/>
          <w:spacing w:val="0"/>
          <w:sz w:val="32"/>
          <w:szCs w:val="32"/>
        </w:rPr>
      </w:pPr>
      <w:r>
        <w:rPr>
          <w:rFonts w:hint="eastAsia" w:ascii="经典行楷简" w:hAnsi="经典行楷简" w:eastAsia="经典行楷简" w:cs="经典行楷简"/>
          <w:color w:val="0070C0"/>
          <w:spacing w:val="0"/>
          <w:sz w:val="52"/>
          <w:szCs w:val="52"/>
        </w:rPr>
        <w:t>南京市贸促会走访苏豪控股集团</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近日，南京市贸促会会长梁洁带队走访苏豪控股集团，与集团党委书记、董事长周勇就持续深化交流合作进行会谈交流。南京市贸促会一级调研员沈锦权、苏豪控股集团相关部门负责同志及市贸促会会展办、展览部负责人参加座谈。</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周勇对梁洁一行到访表示欢迎，并介绍了省属贸易企业重组整合和经营发展情况。他表示，苏豪控股集团紧紧围绕省委省政府赋予的使命任务，聚焦贸易、金融两大主业，通过重组凝聚资源合力，着力做好重要物资保供任务，以跨境电商等新业态新模式赋能国际化战略，因地制宜发展新质生产力。2023年，集团营收规模超千亿元，进出口规模110亿美元，居全国省级贸易企业前列。南京市贸促会拥有广泛的海外资源，在贸易推动、展会促进和争端解决等领域展现了卓越的专业性。希望南京市贸促会继续为苏豪控股集团的业务发展提供坚实的支持，更进一步助力苏豪控股集团加速建设世界一流企业。</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方正楷体_GBK" w:hAnsi="方正楷体_GBK" w:eastAsia="方正楷体_GBK" w:cs="方正楷体_GBK"/>
          <w:b/>
          <w:bCs/>
          <w:color w:val="FF0000"/>
          <w:sz w:val="32"/>
          <w:szCs w:val="32"/>
          <w:lang w:eastAsia="zh-CN"/>
        </w:rPr>
      </w:pPr>
      <w:r>
        <w:rPr>
          <w:rFonts w:hint="eastAsia" w:asciiTheme="minorEastAsia" w:hAnsiTheme="minorEastAsia" w:eastAsiaTheme="minorEastAsia" w:cstheme="minorEastAsia"/>
          <w:sz w:val="32"/>
          <w:szCs w:val="32"/>
        </w:rPr>
        <w:t>梁洁对苏豪控股集团热情接待表示感谢，她说，当前，按照市委、市政府部署，南京正深入学习贯彻习近平总书记对江苏工作重要讲话重要指示精神，加快建设具有全球影响力的产业科技创新中心主承载区，大力构建“4266”现代产业体系，服务支撑江苏打造发展新质生产力的重要阵地，努力使新质生产力成为高质量发展最鲜明的标识。在简要介绍了南京市贸促会、南京市国际商会、南京会展近期工作开展情况后，她表示，南京市贸促会作为企业国际经贸交流合作桥梁，始终致力于为企业提供优质、专业服务。通过双方友好交流、分享沟通、增进信任，南京市贸促会将更加贴近苏豪控股集团个性化需求，充分发挥国际经贸交流合作纽带作用，在加强经贸投资促进与服务保障、提升商法服务效能、政策信息运用、跨境电商培育等方面深化服务，特别是在聚力优势资源加快推进服务贸易创新发展、提升会展经济方面与苏豪控股集团密切开展合作，进一步助力苏豪控股集团高质量发展目标，为南京市打造具有世界聚合力双向枢纽城市作出积极贡献。</w:t>
      </w:r>
      <w:r>
        <w:rPr>
          <w:rFonts w:hint="eastAsia" w:asciiTheme="minorEastAsia" w:hAnsiTheme="minorEastAsia" w:cstheme="minorEastAsia"/>
          <w:sz w:val="32"/>
          <w:szCs w:val="32"/>
          <w:lang w:val="en-US" w:eastAsia="zh-CN"/>
        </w:rPr>
        <w:t xml:space="preserve">  </w:t>
      </w:r>
      <w:r>
        <w:rPr>
          <w:rFonts w:hint="eastAsia" w:ascii="方正楷体_GBK" w:hAnsi="方正楷体_GBK" w:eastAsia="方正楷体_GBK" w:cs="方正楷体_GBK"/>
          <w:b/>
          <w:bCs/>
          <w:color w:val="FF0000"/>
          <w:sz w:val="32"/>
          <w:szCs w:val="32"/>
          <w:lang w:eastAsia="zh-CN"/>
        </w:rPr>
        <w:t>（南京贸促会）</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方正楷体_GBK" w:hAnsi="方正楷体_GBK" w:eastAsia="方正楷体_GBK" w:cs="方正楷体_GBK"/>
          <w:b/>
          <w:bCs/>
          <w:color w:val="FF0000"/>
          <w:sz w:val="32"/>
          <w:szCs w:val="32"/>
          <w:lang w:eastAsia="zh-CN"/>
        </w:rPr>
      </w:pP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方正楷体_GBK" w:hAnsi="方正楷体_GBK" w:eastAsia="方正楷体_GBK" w:cs="方正楷体_GBK"/>
          <w:b/>
          <w:bCs/>
          <w:color w:val="FF0000"/>
          <w:sz w:val="32"/>
          <w:szCs w:val="32"/>
          <w:lang w:eastAsia="zh-CN"/>
        </w:rPr>
      </w:pPr>
    </w:p>
    <w:p>
      <w:pPr>
        <w:jc w:val="center"/>
        <w:rPr>
          <w:rFonts w:hint="eastAsia" w:asciiTheme="minorEastAsia" w:hAnsiTheme="minorEastAsia" w:eastAsiaTheme="minorEastAsia" w:cstheme="minorEastAsia"/>
          <w:color w:val="5784BB"/>
          <w:spacing w:val="-23"/>
          <w:sz w:val="32"/>
          <w:szCs w:val="32"/>
        </w:rPr>
      </w:pPr>
      <w:r>
        <w:rPr>
          <w:rFonts w:hint="eastAsia" w:ascii="经典行楷简" w:hAnsi="经典行楷简" w:eastAsia="经典行楷简" w:cs="经典行楷简"/>
          <w:color w:val="0070C0"/>
          <w:spacing w:val="-23"/>
          <w:sz w:val="52"/>
          <w:szCs w:val="52"/>
        </w:rPr>
        <w:t>“贸促服务助企行”无锡宣讲会成功举办</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为帮助无锡市外贸企业更好地了解重点国际市场行情、增强风险防范能力，推动企业有效开拓国际市场，提升国际化经营水平，7月11日，由江苏省贸促会主办，无锡市贸促会（无锡国际商会）、江阴市商务局、江阴市贸促会联合举办的“贸促服务助企行”无锡宣讲会顺利举办。宣讲会围绕俄罗斯与中亚市场、企业“走出去”合规经营、保护海外知识产权等内容展开宣讲，无锡市200余位企业代表参加会议。</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宣讲会上，省贸促会发展研究部张超部长以“俄罗斯与中亚市场分析”为题，围绕今年以来全球经贸往来变化、国内外经济发展趋势等内容，剖析了俄罗斯与中亚市场产业集聚形势，对企业如何采取应对措施拓展国际市场给予指导建议。</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中国贸促会江苏调解中心调解员、北京市盈科（南京）律师事务所股权高级合伙人张佳从中企出海“踩坑”案例引导、从数据观察中国企业海外投资、绿地投资和并购投资、海外投资法律风险提示、海外投资中国律师可以做什么等方面深入浅出地讲解了企业出海法律风险防范。</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中国人保财险无锡分公司知识产权保险专家陈于思就知识产权海外维权类保险、知识产权海外布局费用损失保险、境外展会专利纠纷法律费用损失保险、知识产权保险财政补贴政策等方面对“助力企业走出去”保护海外知识产权进行了详细介绍。</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方正楷体_GBK" w:hAnsi="方正楷体_GBK" w:eastAsia="方正楷体_GBK" w:cs="方正楷体_GBK"/>
          <w:b/>
          <w:bCs/>
          <w:color w:val="FF0000"/>
          <w:sz w:val="32"/>
          <w:szCs w:val="32"/>
          <w:lang w:eastAsia="zh-CN"/>
        </w:rPr>
      </w:pPr>
      <w:r>
        <w:rPr>
          <w:rFonts w:hint="eastAsia" w:asciiTheme="minorEastAsia" w:hAnsiTheme="minorEastAsia" w:eastAsiaTheme="minorEastAsia" w:cstheme="minorEastAsia"/>
          <w:sz w:val="32"/>
          <w:szCs w:val="32"/>
        </w:rPr>
        <w:t>此次宣讲活动内容丰富，针对性强，既普及了常识，又对未来经济进行了预判，受到参会嘉宾一致好评。</w:t>
      </w:r>
      <w:r>
        <w:rPr>
          <w:rFonts w:hint="eastAsia" w:ascii="方正楷体_GBK" w:hAnsi="方正楷体_GBK" w:eastAsia="方正楷体_GBK" w:cs="方正楷体_GBK"/>
          <w:b/>
          <w:bCs/>
          <w:color w:val="FF0000"/>
          <w:sz w:val="32"/>
          <w:szCs w:val="32"/>
          <w:lang w:eastAsia="zh-CN"/>
        </w:rPr>
        <w:t>（无锡贸促会）</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方正楷体_GBK" w:hAnsi="方正楷体_GBK" w:eastAsia="方正楷体_GBK" w:cs="方正楷体_GBK"/>
          <w:b/>
          <w:bCs/>
          <w:color w:val="FF0000"/>
          <w:sz w:val="32"/>
          <w:szCs w:val="32"/>
          <w:lang w:eastAsia="zh-CN"/>
        </w:rPr>
      </w:pP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方正楷体_GBK" w:hAnsi="方正楷体_GBK" w:eastAsia="方正楷体_GBK" w:cs="方正楷体_GBK"/>
          <w:b/>
          <w:bCs/>
          <w:color w:val="FF0000"/>
          <w:sz w:val="32"/>
          <w:szCs w:val="32"/>
          <w:lang w:eastAsia="zh-CN"/>
        </w:rPr>
      </w:pPr>
    </w:p>
    <w:p>
      <w:pPr>
        <w:jc w:val="center"/>
        <w:rPr>
          <w:rFonts w:hint="eastAsia" w:asciiTheme="minorEastAsia" w:hAnsiTheme="minorEastAsia" w:eastAsiaTheme="minorEastAsia" w:cstheme="minorEastAsia"/>
          <w:color w:val="5784BB"/>
          <w:sz w:val="32"/>
          <w:szCs w:val="32"/>
        </w:rPr>
      </w:pPr>
      <w:r>
        <w:rPr>
          <w:rFonts w:hint="eastAsia" w:ascii="经典行楷简" w:hAnsi="经典行楷简" w:eastAsia="经典行楷简" w:cs="经典行楷简"/>
          <w:color w:val="0070C0"/>
          <w:spacing w:val="-28"/>
          <w:sz w:val="52"/>
          <w:szCs w:val="52"/>
        </w:rPr>
        <w:t>常州国际商会第三届会员代表大会成功召开</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7月9日下午，常州国际商会第三届会员代表大会成功召开。省贸促会国际联络部（投资促进部）部长、省国际商会秘书长吴文闻，常州市工商联副主席、常州市总商会副会长王匀，常州市商务局四级调研员朱爱民出席大会并致辞，常州市民政局杨可可副处长、常州市贸促会会长季斌出席大会，参会的还有常州国际商会会员代表、武进区贸促会、溧阳市国际商会负责同志120余人。常州国际商会第二届理事会秘书长欧阳俊主持大会。</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朱爱民在致辞中对大会的成功召开表示了祝贺，他指出，常州国际商会在引导和促进我市外经贸企业发展中发挥了不可替代的作用，对商会下一步工作提出了希望：一是拓展经贸合作新空间，二是优化法律护航新体系，三是完善贸易促进新渠道，四是加强商会服务新建设。</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吴文闻在致辞中对常州国际商会取得的成绩给予了充分肯定。希望常州国际商会要以此次成功换届为契机，主动适应新形势、新要求，要强化服务意识，要增强服务本领，要提升服务效能，引导会员充分利用国际商会的渠道资源拓展新市场、获得新发展。</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王匀代表市工商联、市总商会祝贺大会顺利召开，对常州国际商会坚持“代言工商，服务企业”宗旨表示了肯定。希望常州国际商会在今后工作努力发挥好桥梁纽带、平台载体和渠道窗口作用，为全面推动我市外贸稳规模优结构作出新的贡献。</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大会听取并审议通过常州国际商会第二届理事会工作报告、财务工作报告、监事工作报告，审议并投票通过《常州国际商会章程》（审议稿）和《常州国际商会会费管理办法》（审议稿），选举季斌等53名同志为常州国际商会第三届理事会理事，选举吴悰麟同志为常州国际商会监事。常州国际商会第三届理事会第一次会议选举季斌同志为会长，选举汪航等14名同志为副会长，姚一枝同志为秘书长，并向新当选的副会长颁发了铜牌。</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方正楷体_GBK" w:hAnsi="方正楷体_GBK" w:eastAsia="方正楷体_GBK" w:cs="方正楷体_GBK"/>
          <w:b/>
          <w:bCs/>
          <w:color w:val="FF0000"/>
          <w:sz w:val="32"/>
          <w:szCs w:val="32"/>
          <w:lang w:eastAsia="zh-CN"/>
        </w:rPr>
      </w:pPr>
      <w:r>
        <w:rPr>
          <w:rFonts w:hint="eastAsia" w:asciiTheme="minorEastAsia" w:hAnsiTheme="minorEastAsia" w:eastAsiaTheme="minorEastAsia" w:cstheme="minorEastAsia"/>
          <w:sz w:val="32"/>
          <w:szCs w:val="32"/>
        </w:rPr>
        <w:t>新当选会长季斌作表态发言，他表示，新一届任期内将秉承国际商会宗旨，发挥全体会员的共同智慧，做到以下三点：一、认真履行职责，努力提升商会专业化服务；二、发挥专业优势，积极推动企业国际化经营；三是强化自身建设，着力推进商会规范化管理。常州国际商会将大力推进机制改革和工作创新，为广大会员提供更精准服务，努力开创新时代国际商会高质量发展新局面，在常州更高水平对外开放中展现新担当新作为。</w:t>
      </w:r>
      <w:r>
        <w:rPr>
          <w:rFonts w:hint="eastAsia" w:asciiTheme="minorEastAsia" w:hAnsiTheme="minorEastAsia" w:cstheme="minorEastAsia"/>
          <w:sz w:val="32"/>
          <w:szCs w:val="32"/>
          <w:lang w:val="en-US" w:eastAsia="zh-CN"/>
        </w:rPr>
        <w:t xml:space="preserve"> </w:t>
      </w:r>
      <w:r>
        <w:rPr>
          <w:rFonts w:hint="eastAsia" w:ascii="方正楷体_GBK" w:hAnsi="方正楷体_GBK" w:eastAsia="方正楷体_GBK" w:cs="方正楷体_GBK"/>
          <w:b/>
          <w:bCs/>
          <w:color w:val="FF0000"/>
          <w:sz w:val="32"/>
          <w:szCs w:val="32"/>
          <w:lang w:eastAsia="zh-CN"/>
        </w:rPr>
        <w:t>（常州贸促会）</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方正楷体_GBK" w:hAnsi="方正楷体_GBK" w:eastAsia="方正楷体_GBK" w:cs="方正楷体_GBK"/>
          <w:b/>
          <w:bCs/>
          <w:color w:val="FF0000"/>
          <w:sz w:val="32"/>
          <w:szCs w:val="32"/>
          <w:lang w:eastAsia="zh-CN"/>
        </w:rPr>
      </w:pP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方正楷体_GBK" w:hAnsi="方正楷体_GBK" w:eastAsia="方正楷体_GBK" w:cs="方正楷体_GBK"/>
          <w:b/>
          <w:bCs/>
          <w:color w:val="FF0000"/>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华文新魏" w:hAnsi="华文新魏" w:eastAsia="华文新魏" w:cs="华文新魏"/>
          <w:b/>
          <w:bCs w:val="0"/>
          <w:color w:val="FF0000"/>
          <w:spacing w:val="-20"/>
          <w:sz w:val="52"/>
          <w:szCs w:val="52"/>
        </w:rPr>
      </w:pPr>
      <w:r>
        <w:rPr>
          <w:rFonts w:hint="eastAsia" w:ascii="华文新魏" w:hAnsi="华文新魏" w:eastAsia="华文新魏" w:cs="华文新魏"/>
          <w:b/>
          <w:bCs w:val="0"/>
          <w:color w:val="FF0000"/>
          <w:spacing w:val="-20"/>
          <w:sz w:val="52"/>
          <w:szCs w:val="52"/>
        </w:rPr>
        <w:t>江苏银行全球银行排名持续提升至第66位</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近日，英国《银行家》杂志（The Banker）公布了2024年全球银行1000强（Top 1000 World Banks）榜单，按一级资本我会副会长单位——江苏银行股份有限公司排名第66位，较上年提升2位，在中资银行中排名第17位。</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据悉，江苏银行全球银行1000强排名持续提升，2018年至今，该行排名从第91位逐步提升至第66位，保持了良好的发展态势，综合实力和市场竞争力持续增强。</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今年初，国际知名第三方品牌价值评估咨询机构Brand Finance发布的《2024年Brand Finance全球品牌价值500强》报告中，江苏银行首次入选全球品牌价值500强，是国内唯一上榜的城商行；在“全球银行品牌价值500强”排行榜（BANKING 500 2024）中，江苏银行排名第69位，较上年提升2位，保持国内城商行第一。</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作为全国系统重要性银行、江苏最大法人银行，江苏银行始终践行金融报国初心，勇担金融为民使命，扎实做好科技金融、绿色金融、普惠金融、养老金融、数字金融五篇大文章，以高质量金融服务助推中国式现代化，更好满足人民日益增长的美好生活需求。截至2024年一季度末，江苏银行总资产突破3.6万亿元，单季度增速创近7年以来新高；营业收入同比增长11.72%，净利润同比增长10.02%，继续实现了“两双”增长；年化ROE、ROA进一步提升至15.38%、1.05%，资产质量保持平稳，整体业绩表现十分稳健。</w:t>
      </w:r>
    </w:p>
    <w:p>
      <w:pPr>
        <w:ind w:firstLine="3648" w:firstLineChars="1200"/>
        <w:rPr>
          <w:rFonts w:hint="eastAsia" w:ascii="方正楷体_GBK" w:hAnsi="方正楷体_GBK" w:eastAsia="方正楷体_GBK" w:cs="方正楷体_GBK"/>
          <w:b/>
          <w:bCs w:val="0"/>
          <w:color w:val="FF0000"/>
          <w:sz w:val="32"/>
          <w:szCs w:val="32"/>
        </w:rPr>
      </w:pPr>
      <w:r>
        <w:rPr>
          <w:rFonts w:hint="eastAsia" w:ascii="方正楷体_GBK" w:hAnsi="方正楷体_GBK" w:eastAsia="方正楷体_GBK" w:cs="方正楷体_GBK"/>
          <w:b/>
          <w:bCs w:val="0"/>
          <w:color w:val="FF0000"/>
          <w:sz w:val="32"/>
          <w:szCs w:val="32"/>
        </w:rPr>
        <w:t>（来源：江苏银行官网）</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p>
    <w:p>
      <w:pPr>
        <w:spacing w:line="440" w:lineRule="exact"/>
        <w:jc w:val="left"/>
        <w:rPr>
          <w:rFonts w:hint="default" w:ascii="方正楷体_GBK" w:hAnsi="方正楷体_GBK" w:eastAsia="方正楷体_GBK" w:cs="方正楷体_GBK"/>
          <w:b/>
          <w:bCs/>
          <w:color w:val="FF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华文新魏" w:hAnsi="华文新魏" w:eastAsia="华文新魏" w:cs="华文新魏"/>
          <w:b/>
          <w:bCs w:val="0"/>
          <w:color w:val="FF0000"/>
          <w:sz w:val="52"/>
          <w:szCs w:val="52"/>
        </w:rPr>
      </w:pPr>
      <w:r>
        <w:rPr>
          <w:rFonts w:hint="eastAsia" w:ascii="华文新魏" w:hAnsi="华文新魏" w:eastAsia="华文新魏" w:cs="华文新魏"/>
          <w:b/>
          <w:bCs w:val="0"/>
          <w:color w:val="FF0000"/>
          <w:sz w:val="52"/>
          <w:szCs w:val="52"/>
        </w:rPr>
        <w:t>奥特维荣获2024中国上市公司</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Times New Roman" w:hAnsi="Times New Roman" w:eastAsia="方正楷体_GBK" w:cs="Times New Roman"/>
          <w:bCs/>
          <w:sz w:val="32"/>
          <w:szCs w:val="32"/>
        </w:rPr>
      </w:pPr>
      <w:r>
        <w:rPr>
          <w:rFonts w:hint="eastAsia" w:ascii="华文新魏" w:hAnsi="华文新魏" w:eastAsia="华文新魏" w:cs="华文新魏"/>
          <w:b/>
          <w:bCs w:val="0"/>
          <w:color w:val="FF0000"/>
          <w:sz w:val="52"/>
          <w:szCs w:val="52"/>
        </w:rPr>
        <w:t>英华奖A股价值奖</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近日，我会理事单位——无锡奥特维科技股份有限公司被中国基金报评为“2024中国上市公司英华奖A股价值奖”。这一重磅奖项不仅是对奥特维公司业绩和实力的认可，也是对其在投资者关系中卓越表现的肯定。</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英华奖是中国基金报主办的一项重量级奖项，以定量评价为基础，体现出高度的权威性和公正性。本次奥特维由基金经理结合多项指标甄选出列，象征极具竞争力的标杆公司与产品，成为奥特维行业地位与产品实力的最佳印证。</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方正楷体_GBK" w:hAnsi="方正楷体_GBK" w:eastAsia="方正楷体_GBK" w:cs="方正楷体_GBK"/>
          <w:b/>
          <w:bCs w:val="0"/>
          <w:color w:val="FF0000"/>
          <w:spacing w:val="-20"/>
          <w:sz w:val="32"/>
          <w:szCs w:val="32"/>
        </w:rPr>
      </w:pPr>
      <w:r>
        <w:rPr>
          <w:rFonts w:hint="eastAsia" w:asciiTheme="minorEastAsia" w:hAnsiTheme="minorEastAsia" w:eastAsiaTheme="minorEastAsia" w:cstheme="minorEastAsia"/>
          <w:color w:val="000000"/>
          <w:sz w:val="32"/>
          <w:szCs w:val="32"/>
        </w:rPr>
        <w:t>奥特维公司自成立以来，始终坚持责任、感恩、厚道的合作理念，诚挚与投资者建立长期稳定的关系。公司高度重视与投资者的沟通与交流，上半年共举办了一百余场投资者交流活动，吸引了超过一千家机构的参与。这些数字不仅展示了奥特维公司对投资者关系的重视，也反映了投资者对公司的高度青睐。</w:t>
      </w:r>
      <w:r>
        <w:rPr>
          <w:rFonts w:hint="eastAsia" w:ascii="方正楷体_GBK" w:hAnsi="方正楷体_GBK" w:eastAsia="方正楷体_GBK" w:cs="方正楷体_GBK"/>
          <w:b/>
          <w:bCs w:val="0"/>
          <w:color w:val="FF0000"/>
          <w:spacing w:val="-20"/>
          <w:sz w:val="32"/>
          <w:szCs w:val="32"/>
        </w:rPr>
        <w:t>（来源：奥特维官网）</w:t>
      </w:r>
    </w:p>
    <w:p>
      <w:pPr>
        <w:spacing w:line="440" w:lineRule="exact"/>
        <w:jc w:val="left"/>
        <w:rPr>
          <w:rFonts w:hint="default" w:ascii="方正楷体_GBK" w:hAnsi="方正楷体_GBK" w:eastAsia="方正楷体_GBK" w:cs="方正楷体_GBK"/>
          <w:b/>
          <w:bCs/>
          <w:color w:val="FF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华文新魏" w:hAnsi="华文新魏" w:eastAsia="华文新魏" w:cs="华文新魏"/>
          <w:b/>
          <w:bCs w:val="0"/>
          <w:color w:val="FF0000"/>
          <w:sz w:val="52"/>
          <w:szCs w:val="52"/>
        </w:rPr>
      </w:pPr>
      <w:r>
        <w:rPr>
          <w:rFonts w:hint="eastAsia" w:ascii="华文新魏" w:hAnsi="华文新魏" w:eastAsia="华文新魏" w:cs="华文新魏"/>
          <w:b/>
          <w:bCs w:val="0"/>
          <w:color w:val="FF0000"/>
          <w:sz w:val="52"/>
          <w:szCs w:val="52"/>
        </w:rPr>
        <w:t>诗碧曼生物科技获得</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Times New Roman" w:hAnsi="Times New Roman" w:eastAsia="方正楷体_GBK" w:cs="Times New Roman"/>
          <w:bCs/>
          <w:sz w:val="32"/>
          <w:szCs w:val="32"/>
        </w:rPr>
      </w:pPr>
      <w:r>
        <w:rPr>
          <w:rFonts w:hint="eastAsia" w:ascii="华文新魏" w:hAnsi="华文新魏" w:eastAsia="华文新魏" w:cs="华文新魏"/>
          <w:b/>
          <w:bCs w:val="0"/>
          <w:color w:val="FF0000"/>
          <w:sz w:val="52"/>
          <w:szCs w:val="52"/>
        </w:rPr>
        <w:t>“专精特新企业”荣誉认证</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近日，诗碧曼集团旗下的自有生产工厂、我会理事单位——连云港诗碧曼生物科技有限公司荣获2023年度江苏省专精特新企业证书。</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诗碧曼养发系列产品凭借其卓越的品质和创新的技术，迄今为止，获得了多项国内外权威机构的认证与荣誉：工商界的奥斯卡奖——巴拿马万国博览会的特等金奖；“一带一路十周年国礼品牌”；在全国1500家大健康企业中杀出重围，诗碧曼防脱发项目经中关村健康服务产业促进会组织专家评审的严格论证，入选“健康优势技术（产品）全国推广项目”；荣获了2024医疗大健康创新科技奖；诗碧曼工厂获得了国家高新技术企业认证；以及江苏省工业和信息化厅颁发的专精特新企业证书；这些荣誉不仅是对诗碧曼产品的认可，更是对诗碧曼在医疗大健康领域所做贡献的肯定。</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作为一家致力于生物科技研发与应用的企业，诗碧曼生物科技始终坚持以市场需求为导向，以科技创新为核心，不断提升产品品质。公司的研发团队汇聚了众多行业精英，通过不断的技术突破和创新实践，为市场带来了一系列具有竞争力的优质养发产品。</w:t>
      </w:r>
    </w:p>
    <w:p>
      <w:pPr>
        <w:ind w:firstLine="3648" w:firstLineChars="1200"/>
        <w:rPr>
          <w:rFonts w:hint="eastAsia" w:ascii="方正楷体_GBK" w:hAnsi="方正楷体_GBK" w:eastAsia="方正楷体_GBK" w:cs="方正楷体_GBK"/>
          <w:b/>
          <w:bCs w:val="0"/>
          <w:color w:val="FF0000"/>
          <w:sz w:val="32"/>
          <w:szCs w:val="32"/>
        </w:rPr>
      </w:pPr>
      <w:r>
        <w:rPr>
          <w:rFonts w:hint="eastAsia" w:ascii="方正楷体_GBK" w:hAnsi="方正楷体_GBK" w:eastAsia="方正楷体_GBK" w:cs="方正楷体_GBK"/>
          <w:b/>
          <w:bCs w:val="0"/>
          <w:color w:val="FF0000"/>
          <w:sz w:val="32"/>
          <w:szCs w:val="32"/>
        </w:rPr>
        <w:t>（来源：诗碧曼微信公众号）</w:t>
      </w:r>
    </w:p>
    <w:p>
      <w:pPr>
        <w:spacing w:line="440" w:lineRule="exact"/>
        <w:jc w:val="left"/>
        <w:rPr>
          <w:rFonts w:hint="default" w:ascii="方正楷体_GBK" w:hAnsi="方正楷体_GBK" w:eastAsia="方正楷体_GBK" w:cs="方正楷体_GBK"/>
          <w:b/>
          <w:bCs/>
          <w:color w:val="FF0000"/>
          <w:sz w:val="32"/>
          <w:szCs w:val="32"/>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exact"/>
        <w:contextualSpacing/>
        <w:jc w:val="center"/>
        <w:textAlignment w:val="auto"/>
        <w:outlineLvl w:val="1"/>
        <w:rPr>
          <w:rFonts w:hint="default" w:ascii="Times New Roman" w:hAnsi="Times New Roman" w:eastAsia="华文新魏" w:cs="Times New Roman"/>
          <w:b/>
          <w:color w:val="FF0000"/>
          <w:spacing w:val="0"/>
          <w:kern w:val="36"/>
          <w:sz w:val="52"/>
          <w:szCs w:val="52"/>
          <w:lang w:val="en-US" w:eastAsia="zh-CN"/>
        </w:rPr>
      </w:pPr>
    </w:p>
    <w:sectPr>
      <w:footerReference r:id="rId4"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 w:name="经典行楷简">
    <w:panose1 w:val="02010609000101010101"/>
    <w:charset w:val="86"/>
    <w:family w:val="auto"/>
    <w:pitch w:val="default"/>
    <w:sig w:usb0="A1007AEF" w:usb1="F9DF7CFB" w:usb2="0000001E" w:usb3="00000000" w:csb0="2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paragraph">
                <wp:posOffset>-235585</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pt;margin-top:-18.55pt;height:144pt;width:144pt;mso-position-horizontal-relative:margin;mso-wrap-style:none;z-index:251659264;mso-width-relative:page;mso-height-relative:page;" filled="f" stroked="f" coordsize="21600,21600" o:gfxdata="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jkjYdYAAAAIAQAA&#10;DwAAAAAAAAABACAAAAAiAAAAZHJzL2Rvd25yZXYueG1sUEsBAhQAFAAAAAgAh07iQCOFi7YbAgAA&#10;IQQAAA4AAAAAAAAAAQAgAAAAJQEAAGRycy9lMm9Eb2MueG1sUEsFBgAAAAAGAAYAWQEAALIFAAAA&#10;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Y2JjZjUwZjliZTZiOTlhN2YyNWNiNDhlZDgzZjgifQ=="/>
  </w:docVars>
  <w:rsids>
    <w:rsidRoot w:val="09CD0E22"/>
    <w:rsid w:val="00030C0E"/>
    <w:rsid w:val="00043245"/>
    <w:rsid w:val="0007364F"/>
    <w:rsid w:val="000800B0"/>
    <w:rsid w:val="00093D01"/>
    <w:rsid w:val="00097083"/>
    <w:rsid w:val="000C6CC2"/>
    <w:rsid w:val="001156B9"/>
    <w:rsid w:val="00145330"/>
    <w:rsid w:val="00154806"/>
    <w:rsid w:val="001F2C95"/>
    <w:rsid w:val="00215B64"/>
    <w:rsid w:val="002840B7"/>
    <w:rsid w:val="003208B4"/>
    <w:rsid w:val="003671B0"/>
    <w:rsid w:val="003C691D"/>
    <w:rsid w:val="003F32D7"/>
    <w:rsid w:val="0042623F"/>
    <w:rsid w:val="0043286B"/>
    <w:rsid w:val="00467C46"/>
    <w:rsid w:val="005279A4"/>
    <w:rsid w:val="005A092B"/>
    <w:rsid w:val="005C6AC5"/>
    <w:rsid w:val="006B63D3"/>
    <w:rsid w:val="006C0C2E"/>
    <w:rsid w:val="00723B7D"/>
    <w:rsid w:val="007C2A82"/>
    <w:rsid w:val="007E11E9"/>
    <w:rsid w:val="008B2F92"/>
    <w:rsid w:val="008E3499"/>
    <w:rsid w:val="008F79A9"/>
    <w:rsid w:val="00906A61"/>
    <w:rsid w:val="00962249"/>
    <w:rsid w:val="00A0554E"/>
    <w:rsid w:val="00A55B3B"/>
    <w:rsid w:val="00B35803"/>
    <w:rsid w:val="00B45E3E"/>
    <w:rsid w:val="00B528B9"/>
    <w:rsid w:val="00C16462"/>
    <w:rsid w:val="00C66488"/>
    <w:rsid w:val="00CA656E"/>
    <w:rsid w:val="00CE04E4"/>
    <w:rsid w:val="00D0085C"/>
    <w:rsid w:val="00D9651F"/>
    <w:rsid w:val="00DB54B3"/>
    <w:rsid w:val="00DF053C"/>
    <w:rsid w:val="00E278B0"/>
    <w:rsid w:val="00E76B4E"/>
    <w:rsid w:val="00FC3867"/>
    <w:rsid w:val="010007F1"/>
    <w:rsid w:val="01123C24"/>
    <w:rsid w:val="01281FA6"/>
    <w:rsid w:val="0129652A"/>
    <w:rsid w:val="012C4A94"/>
    <w:rsid w:val="0134238F"/>
    <w:rsid w:val="01434062"/>
    <w:rsid w:val="014F3F68"/>
    <w:rsid w:val="015A28DE"/>
    <w:rsid w:val="01603797"/>
    <w:rsid w:val="01607B5B"/>
    <w:rsid w:val="01614C4F"/>
    <w:rsid w:val="016607CF"/>
    <w:rsid w:val="01687C29"/>
    <w:rsid w:val="016C6133"/>
    <w:rsid w:val="016D0719"/>
    <w:rsid w:val="01730647"/>
    <w:rsid w:val="017F7312"/>
    <w:rsid w:val="0183354F"/>
    <w:rsid w:val="018A4341"/>
    <w:rsid w:val="018D1ED5"/>
    <w:rsid w:val="018E0532"/>
    <w:rsid w:val="01944C0D"/>
    <w:rsid w:val="019652A2"/>
    <w:rsid w:val="019A0A9C"/>
    <w:rsid w:val="019E5AF8"/>
    <w:rsid w:val="01A05888"/>
    <w:rsid w:val="01A2463C"/>
    <w:rsid w:val="01A277CA"/>
    <w:rsid w:val="01A536F0"/>
    <w:rsid w:val="01AB72AD"/>
    <w:rsid w:val="01AD0FC0"/>
    <w:rsid w:val="01AF0E83"/>
    <w:rsid w:val="01B74B80"/>
    <w:rsid w:val="01B76B70"/>
    <w:rsid w:val="01BC47E4"/>
    <w:rsid w:val="01BD0D3F"/>
    <w:rsid w:val="01C277DB"/>
    <w:rsid w:val="01CB201F"/>
    <w:rsid w:val="01D01DDD"/>
    <w:rsid w:val="01D83F23"/>
    <w:rsid w:val="01DA121B"/>
    <w:rsid w:val="01E02E8A"/>
    <w:rsid w:val="01EB6FF4"/>
    <w:rsid w:val="01EC6C1A"/>
    <w:rsid w:val="01F43D5D"/>
    <w:rsid w:val="01F53962"/>
    <w:rsid w:val="01F739C6"/>
    <w:rsid w:val="01FE284A"/>
    <w:rsid w:val="0202118C"/>
    <w:rsid w:val="020C0504"/>
    <w:rsid w:val="020F3F82"/>
    <w:rsid w:val="021337A8"/>
    <w:rsid w:val="02154F00"/>
    <w:rsid w:val="02200558"/>
    <w:rsid w:val="022C2DDE"/>
    <w:rsid w:val="024125AD"/>
    <w:rsid w:val="02424F98"/>
    <w:rsid w:val="02451830"/>
    <w:rsid w:val="024B4F65"/>
    <w:rsid w:val="02522774"/>
    <w:rsid w:val="02716397"/>
    <w:rsid w:val="027B1EF4"/>
    <w:rsid w:val="027D39C5"/>
    <w:rsid w:val="02842B55"/>
    <w:rsid w:val="02850B1B"/>
    <w:rsid w:val="028D4134"/>
    <w:rsid w:val="028E239B"/>
    <w:rsid w:val="028E669E"/>
    <w:rsid w:val="02945151"/>
    <w:rsid w:val="02994D24"/>
    <w:rsid w:val="02AA4579"/>
    <w:rsid w:val="02B452E0"/>
    <w:rsid w:val="02B7449E"/>
    <w:rsid w:val="02B93913"/>
    <w:rsid w:val="02C7326C"/>
    <w:rsid w:val="02CA2014"/>
    <w:rsid w:val="02CE36F0"/>
    <w:rsid w:val="02D253BA"/>
    <w:rsid w:val="02D664A5"/>
    <w:rsid w:val="02D70120"/>
    <w:rsid w:val="02E746B3"/>
    <w:rsid w:val="02F03F7A"/>
    <w:rsid w:val="02F04987"/>
    <w:rsid w:val="02F3072B"/>
    <w:rsid w:val="02F4686A"/>
    <w:rsid w:val="02F50E1A"/>
    <w:rsid w:val="02FC365E"/>
    <w:rsid w:val="03032EA1"/>
    <w:rsid w:val="03055083"/>
    <w:rsid w:val="030A33B2"/>
    <w:rsid w:val="0312457C"/>
    <w:rsid w:val="03173E54"/>
    <w:rsid w:val="03276EB0"/>
    <w:rsid w:val="03320DD5"/>
    <w:rsid w:val="03367B19"/>
    <w:rsid w:val="033F3094"/>
    <w:rsid w:val="033F5E23"/>
    <w:rsid w:val="0341739D"/>
    <w:rsid w:val="034A5312"/>
    <w:rsid w:val="035906B9"/>
    <w:rsid w:val="035A07AB"/>
    <w:rsid w:val="035F7880"/>
    <w:rsid w:val="036572E0"/>
    <w:rsid w:val="036773BE"/>
    <w:rsid w:val="036B41D2"/>
    <w:rsid w:val="03745931"/>
    <w:rsid w:val="0375270B"/>
    <w:rsid w:val="0376026A"/>
    <w:rsid w:val="03763E10"/>
    <w:rsid w:val="03795E56"/>
    <w:rsid w:val="038F00BD"/>
    <w:rsid w:val="038F07EB"/>
    <w:rsid w:val="039F6B79"/>
    <w:rsid w:val="03A054FE"/>
    <w:rsid w:val="03A634A2"/>
    <w:rsid w:val="03A710E3"/>
    <w:rsid w:val="03B75E22"/>
    <w:rsid w:val="03B93704"/>
    <w:rsid w:val="03C7124D"/>
    <w:rsid w:val="03C956D7"/>
    <w:rsid w:val="03CD065E"/>
    <w:rsid w:val="03CD0F50"/>
    <w:rsid w:val="03D96519"/>
    <w:rsid w:val="03DC76EB"/>
    <w:rsid w:val="03DD4156"/>
    <w:rsid w:val="03DF3AAC"/>
    <w:rsid w:val="03DF7C94"/>
    <w:rsid w:val="03E4053E"/>
    <w:rsid w:val="03EE2D2D"/>
    <w:rsid w:val="03EE5120"/>
    <w:rsid w:val="03F95EAB"/>
    <w:rsid w:val="03FA4378"/>
    <w:rsid w:val="040D5A59"/>
    <w:rsid w:val="040E59E0"/>
    <w:rsid w:val="04177E90"/>
    <w:rsid w:val="041B3B0D"/>
    <w:rsid w:val="041F33A4"/>
    <w:rsid w:val="04227E09"/>
    <w:rsid w:val="04256881"/>
    <w:rsid w:val="042C1175"/>
    <w:rsid w:val="042E72BA"/>
    <w:rsid w:val="04361A54"/>
    <w:rsid w:val="043837D8"/>
    <w:rsid w:val="043F0FCC"/>
    <w:rsid w:val="0458216E"/>
    <w:rsid w:val="04633D2A"/>
    <w:rsid w:val="046441B2"/>
    <w:rsid w:val="0470619B"/>
    <w:rsid w:val="047264E0"/>
    <w:rsid w:val="047929EC"/>
    <w:rsid w:val="047931E4"/>
    <w:rsid w:val="047B754C"/>
    <w:rsid w:val="047C330E"/>
    <w:rsid w:val="04802BB2"/>
    <w:rsid w:val="048112FB"/>
    <w:rsid w:val="048A77DB"/>
    <w:rsid w:val="048B08F7"/>
    <w:rsid w:val="04997356"/>
    <w:rsid w:val="04B3013F"/>
    <w:rsid w:val="04BA605B"/>
    <w:rsid w:val="04BB6582"/>
    <w:rsid w:val="04BF51D4"/>
    <w:rsid w:val="04C30370"/>
    <w:rsid w:val="04C369FD"/>
    <w:rsid w:val="04C87276"/>
    <w:rsid w:val="04CE7B7F"/>
    <w:rsid w:val="04D13EAB"/>
    <w:rsid w:val="04D81CE8"/>
    <w:rsid w:val="04E16ACF"/>
    <w:rsid w:val="04E92750"/>
    <w:rsid w:val="04ED1D07"/>
    <w:rsid w:val="04F33CBA"/>
    <w:rsid w:val="04FB0B72"/>
    <w:rsid w:val="05006805"/>
    <w:rsid w:val="05017788"/>
    <w:rsid w:val="051142A3"/>
    <w:rsid w:val="05150D13"/>
    <w:rsid w:val="052054D4"/>
    <w:rsid w:val="052C7639"/>
    <w:rsid w:val="054A7C8A"/>
    <w:rsid w:val="055D26AF"/>
    <w:rsid w:val="056534E0"/>
    <w:rsid w:val="056834A8"/>
    <w:rsid w:val="05684832"/>
    <w:rsid w:val="056C0F36"/>
    <w:rsid w:val="056E79C6"/>
    <w:rsid w:val="057A799E"/>
    <w:rsid w:val="058647BE"/>
    <w:rsid w:val="05880374"/>
    <w:rsid w:val="05881910"/>
    <w:rsid w:val="05913966"/>
    <w:rsid w:val="059F17BF"/>
    <w:rsid w:val="05A259F9"/>
    <w:rsid w:val="05A72CCC"/>
    <w:rsid w:val="05A73DC5"/>
    <w:rsid w:val="05B336D5"/>
    <w:rsid w:val="05CC2A3B"/>
    <w:rsid w:val="05CD0D9A"/>
    <w:rsid w:val="05CF249D"/>
    <w:rsid w:val="05D14319"/>
    <w:rsid w:val="05D714EA"/>
    <w:rsid w:val="05E536E6"/>
    <w:rsid w:val="05EA1C44"/>
    <w:rsid w:val="05F2445C"/>
    <w:rsid w:val="06077942"/>
    <w:rsid w:val="060A0D89"/>
    <w:rsid w:val="060C359D"/>
    <w:rsid w:val="060F3722"/>
    <w:rsid w:val="062B0B83"/>
    <w:rsid w:val="062C6587"/>
    <w:rsid w:val="062D67C8"/>
    <w:rsid w:val="06301A1B"/>
    <w:rsid w:val="0633380C"/>
    <w:rsid w:val="0638362B"/>
    <w:rsid w:val="063E600A"/>
    <w:rsid w:val="06405659"/>
    <w:rsid w:val="064F5725"/>
    <w:rsid w:val="06510CDF"/>
    <w:rsid w:val="065C27A8"/>
    <w:rsid w:val="065F50DA"/>
    <w:rsid w:val="06602F2C"/>
    <w:rsid w:val="06626021"/>
    <w:rsid w:val="066D2CED"/>
    <w:rsid w:val="066E2C0B"/>
    <w:rsid w:val="06700010"/>
    <w:rsid w:val="06734EB6"/>
    <w:rsid w:val="067C24CF"/>
    <w:rsid w:val="068A1FDD"/>
    <w:rsid w:val="069002BE"/>
    <w:rsid w:val="06906B8C"/>
    <w:rsid w:val="069725BC"/>
    <w:rsid w:val="069A3A7C"/>
    <w:rsid w:val="06A24D7D"/>
    <w:rsid w:val="06A729E1"/>
    <w:rsid w:val="06AB1C7E"/>
    <w:rsid w:val="06AC05E7"/>
    <w:rsid w:val="06AF1D16"/>
    <w:rsid w:val="06AF3414"/>
    <w:rsid w:val="06B15237"/>
    <w:rsid w:val="06BA5EB2"/>
    <w:rsid w:val="06D17DB1"/>
    <w:rsid w:val="06E444B8"/>
    <w:rsid w:val="070615F0"/>
    <w:rsid w:val="07085235"/>
    <w:rsid w:val="07146D7A"/>
    <w:rsid w:val="071A4300"/>
    <w:rsid w:val="0724090E"/>
    <w:rsid w:val="072C5901"/>
    <w:rsid w:val="072D6955"/>
    <w:rsid w:val="072F4CE5"/>
    <w:rsid w:val="07355298"/>
    <w:rsid w:val="073633AE"/>
    <w:rsid w:val="0738618B"/>
    <w:rsid w:val="074E1705"/>
    <w:rsid w:val="074E279C"/>
    <w:rsid w:val="075268B6"/>
    <w:rsid w:val="075C0378"/>
    <w:rsid w:val="075C613A"/>
    <w:rsid w:val="07616A73"/>
    <w:rsid w:val="0768627D"/>
    <w:rsid w:val="07774E9B"/>
    <w:rsid w:val="07886D75"/>
    <w:rsid w:val="079A77BC"/>
    <w:rsid w:val="079D6C92"/>
    <w:rsid w:val="079E20C5"/>
    <w:rsid w:val="07A757F6"/>
    <w:rsid w:val="07A92FCD"/>
    <w:rsid w:val="07AB5A16"/>
    <w:rsid w:val="07C32EAB"/>
    <w:rsid w:val="07CE7516"/>
    <w:rsid w:val="07DA5629"/>
    <w:rsid w:val="07DE3B60"/>
    <w:rsid w:val="07E54B9E"/>
    <w:rsid w:val="08010DA7"/>
    <w:rsid w:val="08033960"/>
    <w:rsid w:val="080F3123"/>
    <w:rsid w:val="08220E8F"/>
    <w:rsid w:val="08242F28"/>
    <w:rsid w:val="08252E6C"/>
    <w:rsid w:val="08275EA4"/>
    <w:rsid w:val="08294CB5"/>
    <w:rsid w:val="083036B5"/>
    <w:rsid w:val="08310F19"/>
    <w:rsid w:val="08331FC1"/>
    <w:rsid w:val="083611A9"/>
    <w:rsid w:val="083901EB"/>
    <w:rsid w:val="08394081"/>
    <w:rsid w:val="083943C5"/>
    <w:rsid w:val="08395DAB"/>
    <w:rsid w:val="08404FD2"/>
    <w:rsid w:val="084A2513"/>
    <w:rsid w:val="08515651"/>
    <w:rsid w:val="08587D37"/>
    <w:rsid w:val="085D6EF2"/>
    <w:rsid w:val="085F59AE"/>
    <w:rsid w:val="086303CB"/>
    <w:rsid w:val="08674312"/>
    <w:rsid w:val="0875786E"/>
    <w:rsid w:val="0881684A"/>
    <w:rsid w:val="08927463"/>
    <w:rsid w:val="08991A5A"/>
    <w:rsid w:val="089C49FA"/>
    <w:rsid w:val="08AF073A"/>
    <w:rsid w:val="08BD5FE1"/>
    <w:rsid w:val="08BE7798"/>
    <w:rsid w:val="08C333B4"/>
    <w:rsid w:val="08C46A4F"/>
    <w:rsid w:val="08C654F8"/>
    <w:rsid w:val="08CA79C7"/>
    <w:rsid w:val="08D54B6A"/>
    <w:rsid w:val="08D73E78"/>
    <w:rsid w:val="08DB6139"/>
    <w:rsid w:val="08DD4FAE"/>
    <w:rsid w:val="08DE001E"/>
    <w:rsid w:val="08DE502C"/>
    <w:rsid w:val="08DE7E03"/>
    <w:rsid w:val="08ED6D3B"/>
    <w:rsid w:val="08FB16E4"/>
    <w:rsid w:val="08FB2C3C"/>
    <w:rsid w:val="08FE2EDE"/>
    <w:rsid w:val="08FE5206"/>
    <w:rsid w:val="09140F8D"/>
    <w:rsid w:val="09155095"/>
    <w:rsid w:val="091D10D0"/>
    <w:rsid w:val="09210482"/>
    <w:rsid w:val="092105FC"/>
    <w:rsid w:val="09222AB2"/>
    <w:rsid w:val="09266115"/>
    <w:rsid w:val="093303B8"/>
    <w:rsid w:val="094318A6"/>
    <w:rsid w:val="09446DB4"/>
    <w:rsid w:val="094811BB"/>
    <w:rsid w:val="094F18C1"/>
    <w:rsid w:val="0954257E"/>
    <w:rsid w:val="09583F76"/>
    <w:rsid w:val="095929D4"/>
    <w:rsid w:val="095A003F"/>
    <w:rsid w:val="095B02C8"/>
    <w:rsid w:val="09606CDC"/>
    <w:rsid w:val="09631FC1"/>
    <w:rsid w:val="09651D94"/>
    <w:rsid w:val="098A1F77"/>
    <w:rsid w:val="099872CF"/>
    <w:rsid w:val="09991A94"/>
    <w:rsid w:val="09A137B2"/>
    <w:rsid w:val="09A2636C"/>
    <w:rsid w:val="09A44BA0"/>
    <w:rsid w:val="09AA495F"/>
    <w:rsid w:val="09AC53C9"/>
    <w:rsid w:val="09B630C3"/>
    <w:rsid w:val="09BD4BE0"/>
    <w:rsid w:val="09C222A5"/>
    <w:rsid w:val="09C27E4D"/>
    <w:rsid w:val="09C81C8D"/>
    <w:rsid w:val="09CB6B07"/>
    <w:rsid w:val="09CC1439"/>
    <w:rsid w:val="09CD0E22"/>
    <w:rsid w:val="09CD713D"/>
    <w:rsid w:val="09FA2B3C"/>
    <w:rsid w:val="09FA772F"/>
    <w:rsid w:val="09FB6D64"/>
    <w:rsid w:val="0A030CE9"/>
    <w:rsid w:val="0A0D0EE1"/>
    <w:rsid w:val="0A33530F"/>
    <w:rsid w:val="0A346C5C"/>
    <w:rsid w:val="0A4707FD"/>
    <w:rsid w:val="0A486965"/>
    <w:rsid w:val="0A4B2E8D"/>
    <w:rsid w:val="0A5317DF"/>
    <w:rsid w:val="0A534D83"/>
    <w:rsid w:val="0A564C39"/>
    <w:rsid w:val="0A5B0F4C"/>
    <w:rsid w:val="0A61640A"/>
    <w:rsid w:val="0A6536D8"/>
    <w:rsid w:val="0A6A580E"/>
    <w:rsid w:val="0A6B730C"/>
    <w:rsid w:val="0A7611EF"/>
    <w:rsid w:val="0A765DBA"/>
    <w:rsid w:val="0A7A1EF7"/>
    <w:rsid w:val="0A937773"/>
    <w:rsid w:val="0A987047"/>
    <w:rsid w:val="0AA05D85"/>
    <w:rsid w:val="0AAD109D"/>
    <w:rsid w:val="0ABB417A"/>
    <w:rsid w:val="0ABE47A4"/>
    <w:rsid w:val="0ACC2910"/>
    <w:rsid w:val="0ACC3151"/>
    <w:rsid w:val="0AD014F5"/>
    <w:rsid w:val="0AD16821"/>
    <w:rsid w:val="0AD45A3C"/>
    <w:rsid w:val="0AD60B60"/>
    <w:rsid w:val="0ADC78D2"/>
    <w:rsid w:val="0ADF4793"/>
    <w:rsid w:val="0AE11813"/>
    <w:rsid w:val="0AE3323E"/>
    <w:rsid w:val="0AEB11A6"/>
    <w:rsid w:val="0AEC3E44"/>
    <w:rsid w:val="0AEE609E"/>
    <w:rsid w:val="0AEF478A"/>
    <w:rsid w:val="0AF51E84"/>
    <w:rsid w:val="0B041299"/>
    <w:rsid w:val="0B062542"/>
    <w:rsid w:val="0B0E47F4"/>
    <w:rsid w:val="0B1C17AD"/>
    <w:rsid w:val="0B283787"/>
    <w:rsid w:val="0B2D6F6E"/>
    <w:rsid w:val="0B324CD2"/>
    <w:rsid w:val="0B345DB1"/>
    <w:rsid w:val="0B363DD8"/>
    <w:rsid w:val="0B3A4657"/>
    <w:rsid w:val="0B3C5BB9"/>
    <w:rsid w:val="0B4372E2"/>
    <w:rsid w:val="0B474071"/>
    <w:rsid w:val="0B5A2079"/>
    <w:rsid w:val="0B5B5996"/>
    <w:rsid w:val="0B5C3E34"/>
    <w:rsid w:val="0B6075D7"/>
    <w:rsid w:val="0B627AD4"/>
    <w:rsid w:val="0B6A0BB3"/>
    <w:rsid w:val="0B735FF2"/>
    <w:rsid w:val="0B792EB2"/>
    <w:rsid w:val="0B8035EB"/>
    <w:rsid w:val="0B84164E"/>
    <w:rsid w:val="0B89731E"/>
    <w:rsid w:val="0B904412"/>
    <w:rsid w:val="0B90485D"/>
    <w:rsid w:val="0B913EDA"/>
    <w:rsid w:val="0B9C76A8"/>
    <w:rsid w:val="0BA50775"/>
    <w:rsid w:val="0BA749E5"/>
    <w:rsid w:val="0BAC24A8"/>
    <w:rsid w:val="0BAE1323"/>
    <w:rsid w:val="0BB42E0A"/>
    <w:rsid w:val="0BBA3391"/>
    <w:rsid w:val="0BDC3258"/>
    <w:rsid w:val="0BDE3581"/>
    <w:rsid w:val="0BE52963"/>
    <w:rsid w:val="0BE85349"/>
    <w:rsid w:val="0BF57A28"/>
    <w:rsid w:val="0BF845E9"/>
    <w:rsid w:val="0BFA1A53"/>
    <w:rsid w:val="0C074F06"/>
    <w:rsid w:val="0C0B1E5B"/>
    <w:rsid w:val="0C146F99"/>
    <w:rsid w:val="0C1A584B"/>
    <w:rsid w:val="0C2275D5"/>
    <w:rsid w:val="0C2D70F9"/>
    <w:rsid w:val="0C342312"/>
    <w:rsid w:val="0C456335"/>
    <w:rsid w:val="0C53740C"/>
    <w:rsid w:val="0C563E70"/>
    <w:rsid w:val="0C631545"/>
    <w:rsid w:val="0C6E187C"/>
    <w:rsid w:val="0C7D4D8F"/>
    <w:rsid w:val="0C80052F"/>
    <w:rsid w:val="0C8A2703"/>
    <w:rsid w:val="0C8C06D3"/>
    <w:rsid w:val="0C900DC2"/>
    <w:rsid w:val="0C980884"/>
    <w:rsid w:val="0C9961AF"/>
    <w:rsid w:val="0C9A50FF"/>
    <w:rsid w:val="0C9B3EE0"/>
    <w:rsid w:val="0C9C2E80"/>
    <w:rsid w:val="0CA20B1F"/>
    <w:rsid w:val="0CA44E41"/>
    <w:rsid w:val="0CA77405"/>
    <w:rsid w:val="0CA83489"/>
    <w:rsid w:val="0CA96FA5"/>
    <w:rsid w:val="0CAE5B1B"/>
    <w:rsid w:val="0CB224D8"/>
    <w:rsid w:val="0CB31FF7"/>
    <w:rsid w:val="0CB45BFD"/>
    <w:rsid w:val="0CB7503A"/>
    <w:rsid w:val="0CB75099"/>
    <w:rsid w:val="0CB80D6E"/>
    <w:rsid w:val="0CBF360E"/>
    <w:rsid w:val="0CC10497"/>
    <w:rsid w:val="0CC30BC5"/>
    <w:rsid w:val="0CC42150"/>
    <w:rsid w:val="0CC45545"/>
    <w:rsid w:val="0CC71781"/>
    <w:rsid w:val="0CCB0FDF"/>
    <w:rsid w:val="0CDC1817"/>
    <w:rsid w:val="0CDC515C"/>
    <w:rsid w:val="0D0B2A13"/>
    <w:rsid w:val="0D112021"/>
    <w:rsid w:val="0D12133D"/>
    <w:rsid w:val="0D1F7151"/>
    <w:rsid w:val="0D200D54"/>
    <w:rsid w:val="0D2B7DB2"/>
    <w:rsid w:val="0D3152D9"/>
    <w:rsid w:val="0D384916"/>
    <w:rsid w:val="0D427E08"/>
    <w:rsid w:val="0D444358"/>
    <w:rsid w:val="0D4A1977"/>
    <w:rsid w:val="0D4B602E"/>
    <w:rsid w:val="0D511FCD"/>
    <w:rsid w:val="0D52698E"/>
    <w:rsid w:val="0D583C5F"/>
    <w:rsid w:val="0D5D658F"/>
    <w:rsid w:val="0D6029A5"/>
    <w:rsid w:val="0D6063D4"/>
    <w:rsid w:val="0D665CD7"/>
    <w:rsid w:val="0D667E20"/>
    <w:rsid w:val="0D6B6C90"/>
    <w:rsid w:val="0D7170F8"/>
    <w:rsid w:val="0D922931"/>
    <w:rsid w:val="0D95263C"/>
    <w:rsid w:val="0DA81B9F"/>
    <w:rsid w:val="0DAD79F2"/>
    <w:rsid w:val="0DB47CEC"/>
    <w:rsid w:val="0DBB3CA5"/>
    <w:rsid w:val="0DBB4EDD"/>
    <w:rsid w:val="0DC37BF2"/>
    <w:rsid w:val="0DC436B0"/>
    <w:rsid w:val="0DC9693F"/>
    <w:rsid w:val="0DCC1715"/>
    <w:rsid w:val="0DD82C48"/>
    <w:rsid w:val="0DDB6385"/>
    <w:rsid w:val="0DF024FC"/>
    <w:rsid w:val="0DF0632D"/>
    <w:rsid w:val="0DF475E0"/>
    <w:rsid w:val="0E0E09E4"/>
    <w:rsid w:val="0E0E0AE3"/>
    <w:rsid w:val="0E184477"/>
    <w:rsid w:val="0E1A4501"/>
    <w:rsid w:val="0E1A78B5"/>
    <w:rsid w:val="0E21196E"/>
    <w:rsid w:val="0E227E98"/>
    <w:rsid w:val="0E27140B"/>
    <w:rsid w:val="0E2D4D70"/>
    <w:rsid w:val="0E33098F"/>
    <w:rsid w:val="0E3B2663"/>
    <w:rsid w:val="0E443DBA"/>
    <w:rsid w:val="0E465F52"/>
    <w:rsid w:val="0E576A70"/>
    <w:rsid w:val="0E587DB8"/>
    <w:rsid w:val="0E6B437E"/>
    <w:rsid w:val="0E6B6A22"/>
    <w:rsid w:val="0E6F53AB"/>
    <w:rsid w:val="0E701F1A"/>
    <w:rsid w:val="0E793535"/>
    <w:rsid w:val="0E795DEE"/>
    <w:rsid w:val="0E7B3260"/>
    <w:rsid w:val="0E804638"/>
    <w:rsid w:val="0E854758"/>
    <w:rsid w:val="0EA50BFC"/>
    <w:rsid w:val="0EAB0282"/>
    <w:rsid w:val="0EC370FE"/>
    <w:rsid w:val="0EC4408A"/>
    <w:rsid w:val="0ECD6BD5"/>
    <w:rsid w:val="0EDA3DE0"/>
    <w:rsid w:val="0EE241B0"/>
    <w:rsid w:val="0EE470B9"/>
    <w:rsid w:val="0EE51F3F"/>
    <w:rsid w:val="0EE67C37"/>
    <w:rsid w:val="0EE96C61"/>
    <w:rsid w:val="0EEF6278"/>
    <w:rsid w:val="0F070719"/>
    <w:rsid w:val="0F0E340F"/>
    <w:rsid w:val="0F110F65"/>
    <w:rsid w:val="0F124DBA"/>
    <w:rsid w:val="0F126FC2"/>
    <w:rsid w:val="0F1821BC"/>
    <w:rsid w:val="0F1F71AB"/>
    <w:rsid w:val="0F206FE9"/>
    <w:rsid w:val="0F246E43"/>
    <w:rsid w:val="0F2F2F21"/>
    <w:rsid w:val="0F303168"/>
    <w:rsid w:val="0F3346BD"/>
    <w:rsid w:val="0F356B4F"/>
    <w:rsid w:val="0F3E6D6B"/>
    <w:rsid w:val="0F521390"/>
    <w:rsid w:val="0F551890"/>
    <w:rsid w:val="0F5A4BDF"/>
    <w:rsid w:val="0F5B58BB"/>
    <w:rsid w:val="0F6735DF"/>
    <w:rsid w:val="0F6A4B85"/>
    <w:rsid w:val="0F716691"/>
    <w:rsid w:val="0F735DB2"/>
    <w:rsid w:val="0F7840D6"/>
    <w:rsid w:val="0F7B2D75"/>
    <w:rsid w:val="0F873A0E"/>
    <w:rsid w:val="0F88236D"/>
    <w:rsid w:val="0F883C70"/>
    <w:rsid w:val="0F8B6CB6"/>
    <w:rsid w:val="0F9177B5"/>
    <w:rsid w:val="0F9A3FA1"/>
    <w:rsid w:val="0F9E606C"/>
    <w:rsid w:val="0FA17F55"/>
    <w:rsid w:val="0FA35FFE"/>
    <w:rsid w:val="0FA821B8"/>
    <w:rsid w:val="0FAE546F"/>
    <w:rsid w:val="0FB50512"/>
    <w:rsid w:val="0FB57FA4"/>
    <w:rsid w:val="0FB8781F"/>
    <w:rsid w:val="0FC24482"/>
    <w:rsid w:val="0FC754B6"/>
    <w:rsid w:val="0FCD46F4"/>
    <w:rsid w:val="0FCE3065"/>
    <w:rsid w:val="0FE107E2"/>
    <w:rsid w:val="0FE336DE"/>
    <w:rsid w:val="0FE76180"/>
    <w:rsid w:val="0FED1D3E"/>
    <w:rsid w:val="10026084"/>
    <w:rsid w:val="10065756"/>
    <w:rsid w:val="100A69A4"/>
    <w:rsid w:val="100E17EE"/>
    <w:rsid w:val="10140347"/>
    <w:rsid w:val="101B54B3"/>
    <w:rsid w:val="101C6175"/>
    <w:rsid w:val="102E7ECD"/>
    <w:rsid w:val="104210EE"/>
    <w:rsid w:val="10444B77"/>
    <w:rsid w:val="10447AF9"/>
    <w:rsid w:val="104835D9"/>
    <w:rsid w:val="10495D6E"/>
    <w:rsid w:val="104C1069"/>
    <w:rsid w:val="10513C3F"/>
    <w:rsid w:val="10541F36"/>
    <w:rsid w:val="105D2D1E"/>
    <w:rsid w:val="10623D8F"/>
    <w:rsid w:val="10625663"/>
    <w:rsid w:val="106737C7"/>
    <w:rsid w:val="10703686"/>
    <w:rsid w:val="1075160B"/>
    <w:rsid w:val="107760A9"/>
    <w:rsid w:val="10780D89"/>
    <w:rsid w:val="107B52AA"/>
    <w:rsid w:val="107D625B"/>
    <w:rsid w:val="107E75D8"/>
    <w:rsid w:val="10805AB8"/>
    <w:rsid w:val="108161A3"/>
    <w:rsid w:val="1089301A"/>
    <w:rsid w:val="108B29C7"/>
    <w:rsid w:val="10901F21"/>
    <w:rsid w:val="10974AA9"/>
    <w:rsid w:val="10A21388"/>
    <w:rsid w:val="10A60889"/>
    <w:rsid w:val="10AA391A"/>
    <w:rsid w:val="10B27075"/>
    <w:rsid w:val="10B27B37"/>
    <w:rsid w:val="10B33FFC"/>
    <w:rsid w:val="10BA25C0"/>
    <w:rsid w:val="10C02E80"/>
    <w:rsid w:val="10C121EA"/>
    <w:rsid w:val="10C2285B"/>
    <w:rsid w:val="10C54276"/>
    <w:rsid w:val="10D27169"/>
    <w:rsid w:val="10D309E2"/>
    <w:rsid w:val="10D621B1"/>
    <w:rsid w:val="10D81E5C"/>
    <w:rsid w:val="10DA39AB"/>
    <w:rsid w:val="10DE746C"/>
    <w:rsid w:val="10EB7A42"/>
    <w:rsid w:val="10F16967"/>
    <w:rsid w:val="10F21B48"/>
    <w:rsid w:val="10F61CDD"/>
    <w:rsid w:val="10F91FDE"/>
    <w:rsid w:val="10F941E9"/>
    <w:rsid w:val="10FD39C4"/>
    <w:rsid w:val="11083015"/>
    <w:rsid w:val="110A357B"/>
    <w:rsid w:val="110D2E2E"/>
    <w:rsid w:val="1113498F"/>
    <w:rsid w:val="11145DE6"/>
    <w:rsid w:val="111A2147"/>
    <w:rsid w:val="112252CB"/>
    <w:rsid w:val="11360EF9"/>
    <w:rsid w:val="113641BB"/>
    <w:rsid w:val="113B0B58"/>
    <w:rsid w:val="113D4F12"/>
    <w:rsid w:val="113D775B"/>
    <w:rsid w:val="11410876"/>
    <w:rsid w:val="114608E7"/>
    <w:rsid w:val="114F3D65"/>
    <w:rsid w:val="115347BC"/>
    <w:rsid w:val="11545887"/>
    <w:rsid w:val="11597C64"/>
    <w:rsid w:val="11602A9E"/>
    <w:rsid w:val="116228E3"/>
    <w:rsid w:val="11631325"/>
    <w:rsid w:val="116345A4"/>
    <w:rsid w:val="11667833"/>
    <w:rsid w:val="11687433"/>
    <w:rsid w:val="1178450A"/>
    <w:rsid w:val="117B53DF"/>
    <w:rsid w:val="117B71D3"/>
    <w:rsid w:val="11845F00"/>
    <w:rsid w:val="11885DD3"/>
    <w:rsid w:val="118A58E4"/>
    <w:rsid w:val="118C56EA"/>
    <w:rsid w:val="118F0DB3"/>
    <w:rsid w:val="11916F88"/>
    <w:rsid w:val="11A51BB6"/>
    <w:rsid w:val="11AC6860"/>
    <w:rsid w:val="11B5477F"/>
    <w:rsid w:val="11B62D0B"/>
    <w:rsid w:val="11BE6E3E"/>
    <w:rsid w:val="11C52A21"/>
    <w:rsid w:val="11C75474"/>
    <w:rsid w:val="11D26FDB"/>
    <w:rsid w:val="11D435B9"/>
    <w:rsid w:val="11D8409F"/>
    <w:rsid w:val="11D95083"/>
    <w:rsid w:val="11DD2AAB"/>
    <w:rsid w:val="11DE26F2"/>
    <w:rsid w:val="11DF6987"/>
    <w:rsid w:val="11EA23C8"/>
    <w:rsid w:val="11EB5C95"/>
    <w:rsid w:val="11ED6242"/>
    <w:rsid w:val="11F27C95"/>
    <w:rsid w:val="12010E7D"/>
    <w:rsid w:val="120506CD"/>
    <w:rsid w:val="120744F0"/>
    <w:rsid w:val="12075A2C"/>
    <w:rsid w:val="120A0C4D"/>
    <w:rsid w:val="120A38DA"/>
    <w:rsid w:val="12101A57"/>
    <w:rsid w:val="12193170"/>
    <w:rsid w:val="12193813"/>
    <w:rsid w:val="121D6AE3"/>
    <w:rsid w:val="121F75CC"/>
    <w:rsid w:val="12271CB0"/>
    <w:rsid w:val="122C1A12"/>
    <w:rsid w:val="1232130B"/>
    <w:rsid w:val="12395D63"/>
    <w:rsid w:val="12401AD9"/>
    <w:rsid w:val="124038C8"/>
    <w:rsid w:val="12421E9D"/>
    <w:rsid w:val="1248421F"/>
    <w:rsid w:val="12571C4D"/>
    <w:rsid w:val="125C09FF"/>
    <w:rsid w:val="12657F0C"/>
    <w:rsid w:val="126830F6"/>
    <w:rsid w:val="126B5207"/>
    <w:rsid w:val="126F57E1"/>
    <w:rsid w:val="12760E78"/>
    <w:rsid w:val="127673DB"/>
    <w:rsid w:val="127755C8"/>
    <w:rsid w:val="127E0189"/>
    <w:rsid w:val="12810A1D"/>
    <w:rsid w:val="12854B81"/>
    <w:rsid w:val="12927837"/>
    <w:rsid w:val="12A30BAA"/>
    <w:rsid w:val="12A709D5"/>
    <w:rsid w:val="12A867C5"/>
    <w:rsid w:val="12B56515"/>
    <w:rsid w:val="12BE11B2"/>
    <w:rsid w:val="12BE1828"/>
    <w:rsid w:val="12C10F70"/>
    <w:rsid w:val="12C21464"/>
    <w:rsid w:val="12C40A29"/>
    <w:rsid w:val="12C42DA1"/>
    <w:rsid w:val="12C45CF0"/>
    <w:rsid w:val="12C948D2"/>
    <w:rsid w:val="12CB14EE"/>
    <w:rsid w:val="12CE6902"/>
    <w:rsid w:val="12D54B1A"/>
    <w:rsid w:val="12EE0F39"/>
    <w:rsid w:val="12EF155A"/>
    <w:rsid w:val="12F17350"/>
    <w:rsid w:val="12F712FB"/>
    <w:rsid w:val="12FA0E2E"/>
    <w:rsid w:val="12FF7A62"/>
    <w:rsid w:val="13037A88"/>
    <w:rsid w:val="133844CA"/>
    <w:rsid w:val="1347596A"/>
    <w:rsid w:val="13477178"/>
    <w:rsid w:val="134B5A55"/>
    <w:rsid w:val="134C0AA1"/>
    <w:rsid w:val="134F5D9B"/>
    <w:rsid w:val="136041BC"/>
    <w:rsid w:val="136F4FE6"/>
    <w:rsid w:val="13713F6F"/>
    <w:rsid w:val="13762A14"/>
    <w:rsid w:val="13790756"/>
    <w:rsid w:val="137B6EE7"/>
    <w:rsid w:val="137E2E27"/>
    <w:rsid w:val="138C25C7"/>
    <w:rsid w:val="138E741D"/>
    <w:rsid w:val="138F279E"/>
    <w:rsid w:val="1390357D"/>
    <w:rsid w:val="139670E5"/>
    <w:rsid w:val="13970D93"/>
    <w:rsid w:val="139F1C24"/>
    <w:rsid w:val="13A023E7"/>
    <w:rsid w:val="13A04270"/>
    <w:rsid w:val="13A86C77"/>
    <w:rsid w:val="13A90344"/>
    <w:rsid w:val="13A9454D"/>
    <w:rsid w:val="13B35BBD"/>
    <w:rsid w:val="13BF3D28"/>
    <w:rsid w:val="13C32466"/>
    <w:rsid w:val="13C77F07"/>
    <w:rsid w:val="13CE4E2F"/>
    <w:rsid w:val="13CF48B4"/>
    <w:rsid w:val="13E45E4B"/>
    <w:rsid w:val="13F211C8"/>
    <w:rsid w:val="13F57229"/>
    <w:rsid w:val="13F60043"/>
    <w:rsid w:val="13F63AC9"/>
    <w:rsid w:val="13FF4761"/>
    <w:rsid w:val="1401651E"/>
    <w:rsid w:val="14065625"/>
    <w:rsid w:val="14127CF3"/>
    <w:rsid w:val="1416357F"/>
    <w:rsid w:val="14175C6D"/>
    <w:rsid w:val="14182B9E"/>
    <w:rsid w:val="141A193D"/>
    <w:rsid w:val="14211963"/>
    <w:rsid w:val="142160CA"/>
    <w:rsid w:val="142E4E6B"/>
    <w:rsid w:val="14332094"/>
    <w:rsid w:val="143B554F"/>
    <w:rsid w:val="144128ED"/>
    <w:rsid w:val="144D721A"/>
    <w:rsid w:val="14504C78"/>
    <w:rsid w:val="14552700"/>
    <w:rsid w:val="1455301F"/>
    <w:rsid w:val="145E0ED6"/>
    <w:rsid w:val="145F4E9E"/>
    <w:rsid w:val="1468041E"/>
    <w:rsid w:val="146A5814"/>
    <w:rsid w:val="146D4E79"/>
    <w:rsid w:val="1479121F"/>
    <w:rsid w:val="147C1504"/>
    <w:rsid w:val="148112AD"/>
    <w:rsid w:val="14933736"/>
    <w:rsid w:val="149D19D1"/>
    <w:rsid w:val="14AA1497"/>
    <w:rsid w:val="14AD2447"/>
    <w:rsid w:val="14BD0C90"/>
    <w:rsid w:val="14BD7435"/>
    <w:rsid w:val="14D41B03"/>
    <w:rsid w:val="14E11E90"/>
    <w:rsid w:val="14EC7262"/>
    <w:rsid w:val="14F50637"/>
    <w:rsid w:val="14F56962"/>
    <w:rsid w:val="14FD3DC3"/>
    <w:rsid w:val="15052F44"/>
    <w:rsid w:val="152446F6"/>
    <w:rsid w:val="15274A34"/>
    <w:rsid w:val="152C74BF"/>
    <w:rsid w:val="152E54C4"/>
    <w:rsid w:val="1535555F"/>
    <w:rsid w:val="15382813"/>
    <w:rsid w:val="154B27A9"/>
    <w:rsid w:val="154B6CF6"/>
    <w:rsid w:val="15516306"/>
    <w:rsid w:val="155B06BC"/>
    <w:rsid w:val="155B6FCC"/>
    <w:rsid w:val="15620F8B"/>
    <w:rsid w:val="156514F3"/>
    <w:rsid w:val="15707694"/>
    <w:rsid w:val="157477F0"/>
    <w:rsid w:val="157839EE"/>
    <w:rsid w:val="157F4B83"/>
    <w:rsid w:val="15864057"/>
    <w:rsid w:val="158A2F64"/>
    <w:rsid w:val="158C53F6"/>
    <w:rsid w:val="15946EC2"/>
    <w:rsid w:val="1594709F"/>
    <w:rsid w:val="159B1410"/>
    <w:rsid w:val="159D2E6C"/>
    <w:rsid w:val="15A625C0"/>
    <w:rsid w:val="15A70541"/>
    <w:rsid w:val="15A7643A"/>
    <w:rsid w:val="15AD4348"/>
    <w:rsid w:val="15AD7612"/>
    <w:rsid w:val="15B96153"/>
    <w:rsid w:val="15BC619F"/>
    <w:rsid w:val="15BF618A"/>
    <w:rsid w:val="15C40EFF"/>
    <w:rsid w:val="15CA097E"/>
    <w:rsid w:val="15D33940"/>
    <w:rsid w:val="15D92955"/>
    <w:rsid w:val="15F5535B"/>
    <w:rsid w:val="15F569FA"/>
    <w:rsid w:val="15F656C7"/>
    <w:rsid w:val="15F85F00"/>
    <w:rsid w:val="15F969EC"/>
    <w:rsid w:val="16005D04"/>
    <w:rsid w:val="1607152F"/>
    <w:rsid w:val="160D7883"/>
    <w:rsid w:val="160E7A4D"/>
    <w:rsid w:val="16104DB0"/>
    <w:rsid w:val="1613433D"/>
    <w:rsid w:val="16200AF2"/>
    <w:rsid w:val="162E270B"/>
    <w:rsid w:val="162E2ADD"/>
    <w:rsid w:val="16313AA6"/>
    <w:rsid w:val="163267A4"/>
    <w:rsid w:val="163C0B35"/>
    <w:rsid w:val="16405266"/>
    <w:rsid w:val="164561DB"/>
    <w:rsid w:val="1651617C"/>
    <w:rsid w:val="165A2EC2"/>
    <w:rsid w:val="16672683"/>
    <w:rsid w:val="166852CC"/>
    <w:rsid w:val="16696EE3"/>
    <w:rsid w:val="16713663"/>
    <w:rsid w:val="167518D2"/>
    <w:rsid w:val="168864E9"/>
    <w:rsid w:val="16900241"/>
    <w:rsid w:val="16907088"/>
    <w:rsid w:val="1697702E"/>
    <w:rsid w:val="169A4327"/>
    <w:rsid w:val="169D4FCC"/>
    <w:rsid w:val="16A26D59"/>
    <w:rsid w:val="16A31912"/>
    <w:rsid w:val="16A52825"/>
    <w:rsid w:val="16A56817"/>
    <w:rsid w:val="16A60389"/>
    <w:rsid w:val="16AC66DD"/>
    <w:rsid w:val="16AD326E"/>
    <w:rsid w:val="16B06BAD"/>
    <w:rsid w:val="16B17712"/>
    <w:rsid w:val="16B95CF7"/>
    <w:rsid w:val="16BC6189"/>
    <w:rsid w:val="16C42B77"/>
    <w:rsid w:val="16D55B33"/>
    <w:rsid w:val="16D74218"/>
    <w:rsid w:val="16DD2E8B"/>
    <w:rsid w:val="16E376E7"/>
    <w:rsid w:val="16E40C30"/>
    <w:rsid w:val="16E72981"/>
    <w:rsid w:val="16EB66D9"/>
    <w:rsid w:val="16EE35CD"/>
    <w:rsid w:val="16F47BF5"/>
    <w:rsid w:val="16F500A9"/>
    <w:rsid w:val="16F872C3"/>
    <w:rsid w:val="16FA06E3"/>
    <w:rsid w:val="170167F2"/>
    <w:rsid w:val="17035AAC"/>
    <w:rsid w:val="17054499"/>
    <w:rsid w:val="170B0BD9"/>
    <w:rsid w:val="170D5EDA"/>
    <w:rsid w:val="17182913"/>
    <w:rsid w:val="17197EC3"/>
    <w:rsid w:val="171E2D1A"/>
    <w:rsid w:val="172E1BBE"/>
    <w:rsid w:val="17377B8C"/>
    <w:rsid w:val="173A6824"/>
    <w:rsid w:val="173B1FA1"/>
    <w:rsid w:val="173C594E"/>
    <w:rsid w:val="173D1596"/>
    <w:rsid w:val="17503F57"/>
    <w:rsid w:val="17505DD6"/>
    <w:rsid w:val="17586CB0"/>
    <w:rsid w:val="17596CA9"/>
    <w:rsid w:val="17600681"/>
    <w:rsid w:val="17665D9F"/>
    <w:rsid w:val="17696EA4"/>
    <w:rsid w:val="17795030"/>
    <w:rsid w:val="177B0627"/>
    <w:rsid w:val="177D3C16"/>
    <w:rsid w:val="178501CB"/>
    <w:rsid w:val="178A042D"/>
    <w:rsid w:val="178A1F82"/>
    <w:rsid w:val="17916104"/>
    <w:rsid w:val="17920EA7"/>
    <w:rsid w:val="1797450B"/>
    <w:rsid w:val="17985148"/>
    <w:rsid w:val="17A644BF"/>
    <w:rsid w:val="17A92F07"/>
    <w:rsid w:val="17B23E0F"/>
    <w:rsid w:val="17B31B32"/>
    <w:rsid w:val="17B80549"/>
    <w:rsid w:val="17C063A0"/>
    <w:rsid w:val="17C16366"/>
    <w:rsid w:val="17C76A67"/>
    <w:rsid w:val="17CA22FD"/>
    <w:rsid w:val="17DA0F7A"/>
    <w:rsid w:val="17DC2D7F"/>
    <w:rsid w:val="17E95276"/>
    <w:rsid w:val="17EA38A1"/>
    <w:rsid w:val="17EB77A3"/>
    <w:rsid w:val="17EC5E41"/>
    <w:rsid w:val="17F8667B"/>
    <w:rsid w:val="1806537C"/>
    <w:rsid w:val="18066C18"/>
    <w:rsid w:val="1809630E"/>
    <w:rsid w:val="181C2683"/>
    <w:rsid w:val="181E4167"/>
    <w:rsid w:val="18341D76"/>
    <w:rsid w:val="18351C27"/>
    <w:rsid w:val="18553A22"/>
    <w:rsid w:val="18607956"/>
    <w:rsid w:val="1866144B"/>
    <w:rsid w:val="186E420E"/>
    <w:rsid w:val="187A14AA"/>
    <w:rsid w:val="187B7B4F"/>
    <w:rsid w:val="1887188F"/>
    <w:rsid w:val="18935E66"/>
    <w:rsid w:val="18A35548"/>
    <w:rsid w:val="18A63203"/>
    <w:rsid w:val="18A77689"/>
    <w:rsid w:val="18A816B2"/>
    <w:rsid w:val="18B25B64"/>
    <w:rsid w:val="18B8431F"/>
    <w:rsid w:val="18B90C48"/>
    <w:rsid w:val="18BB6A80"/>
    <w:rsid w:val="18BC4ADF"/>
    <w:rsid w:val="18BD1521"/>
    <w:rsid w:val="18BD2E66"/>
    <w:rsid w:val="18BE7EAB"/>
    <w:rsid w:val="18CF2450"/>
    <w:rsid w:val="18D7372F"/>
    <w:rsid w:val="18DA12E6"/>
    <w:rsid w:val="18DD12E4"/>
    <w:rsid w:val="18E261B8"/>
    <w:rsid w:val="18E62F4B"/>
    <w:rsid w:val="18E85386"/>
    <w:rsid w:val="18FC503B"/>
    <w:rsid w:val="19027C40"/>
    <w:rsid w:val="19087B90"/>
    <w:rsid w:val="190E3326"/>
    <w:rsid w:val="190E3538"/>
    <w:rsid w:val="19164D1E"/>
    <w:rsid w:val="191C588D"/>
    <w:rsid w:val="1927395B"/>
    <w:rsid w:val="192D514C"/>
    <w:rsid w:val="193544CD"/>
    <w:rsid w:val="19443AA2"/>
    <w:rsid w:val="1945355B"/>
    <w:rsid w:val="194817FC"/>
    <w:rsid w:val="194A0D45"/>
    <w:rsid w:val="194A2ADB"/>
    <w:rsid w:val="195159CB"/>
    <w:rsid w:val="195961D5"/>
    <w:rsid w:val="195C14E8"/>
    <w:rsid w:val="196515C3"/>
    <w:rsid w:val="197859DA"/>
    <w:rsid w:val="1980769C"/>
    <w:rsid w:val="19884F66"/>
    <w:rsid w:val="19917CFC"/>
    <w:rsid w:val="1997576B"/>
    <w:rsid w:val="1998697F"/>
    <w:rsid w:val="199A20B4"/>
    <w:rsid w:val="19A71B82"/>
    <w:rsid w:val="19B84C88"/>
    <w:rsid w:val="19C6694E"/>
    <w:rsid w:val="19CC0DE5"/>
    <w:rsid w:val="19D11E61"/>
    <w:rsid w:val="19D5618C"/>
    <w:rsid w:val="19E22401"/>
    <w:rsid w:val="19E23808"/>
    <w:rsid w:val="19F44B16"/>
    <w:rsid w:val="1A00532F"/>
    <w:rsid w:val="1A040FBD"/>
    <w:rsid w:val="1A067DCA"/>
    <w:rsid w:val="1A102A1C"/>
    <w:rsid w:val="1A13214F"/>
    <w:rsid w:val="1A434C13"/>
    <w:rsid w:val="1A4E18BB"/>
    <w:rsid w:val="1A5C550E"/>
    <w:rsid w:val="1A5E5759"/>
    <w:rsid w:val="1A61514E"/>
    <w:rsid w:val="1A624E9D"/>
    <w:rsid w:val="1A6F769D"/>
    <w:rsid w:val="1A712AE5"/>
    <w:rsid w:val="1A74386E"/>
    <w:rsid w:val="1A783427"/>
    <w:rsid w:val="1A7B0419"/>
    <w:rsid w:val="1A8A143B"/>
    <w:rsid w:val="1A954C9C"/>
    <w:rsid w:val="1AA67BD3"/>
    <w:rsid w:val="1AC70097"/>
    <w:rsid w:val="1ACC39D6"/>
    <w:rsid w:val="1ADE0868"/>
    <w:rsid w:val="1AF7489C"/>
    <w:rsid w:val="1AF86B17"/>
    <w:rsid w:val="1AFA3523"/>
    <w:rsid w:val="1AFD3AEA"/>
    <w:rsid w:val="1B05238D"/>
    <w:rsid w:val="1B13587B"/>
    <w:rsid w:val="1B1D44BA"/>
    <w:rsid w:val="1B2C07D2"/>
    <w:rsid w:val="1B2C5EE0"/>
    <w:rsid w:val="1B33077D"/>
    <w:rsid w:val="1B3604D3"/>
    <w:rsid w:val="1B364D11"/>
    <w:rsid w:val="1B3865C6"/>
    <w:rsid w:val="1B3E5EDE"/>
    <w:rsid w:val="1B433153"/>
    <w:rsid w:val="1B467529"/>
    <w:rsid w:val="1B4B00CA"/>
    <w:rsid w:val="1B566C78"/>
    <w:rsid w:val="1B5F1247"/>
    <w:rsid w:val="1B6307EA"/>
    <w:rsid w:val="1B717940"/>
    <w:rsid w:val="1B79696C"/>
    <w:rsid w:val="1B7E1824"/>
    <w:rsid w:val="1B825166"/>
    <w:rsid w:val="1B890C23"/>
    <w:rsid w:val="1B9411FC"/>
    <w:rsid w:val="1B9D6CE8"/>
    <w:rsid w:val="1BA63F57"/>
    <w:rsid w:val="1BA866D1"/>
    <w:rsid w:val="1BBB422B"/>
    <w:rsid w:val="1BC600B5"/>
    <w:rsid w:val="1BCD55F8"/>
    <w:rsid w:val="1BE011AE"/>
    <w:rsid w:val="1BE02AAF"/>
    <w:rsid w:val="1BE30F90"/>
    <w:rsid w:val="1BE31093"/>
    <w:rsid w:val="1BE956C8"/>
    <w:rsid w:val="1C022294"/>
    <w:rsid w:val="1C0B35D4"/>
    <w:rsid w:val="1C12573D"/>
    <w:rsid w:val="1C1D1EE2"/>
    <w:rsid w:val="1C234861"/>
    <w:rsid w:val="1C2E319B"/>
    <w:rsid w:val="1C3477C5"/>
    <w:rsid w:val="1C4F6563"/>
    <w:rsid w:val="1C545F3D"/>
    <w:rsid w:val="1C556488"/>
    <w:rsid w:val="1C563FE3"/>
    <w:rsid w:val="1C5A182A"/>
    <w:rsid w:val="1C62402E"/>
    <w:rsid w:val="1C62587C"/>
    <w:rsid w:val="1C6818E0"/>
    <w:rsid w:val="1C6F3BF6"/>
    <w:rsid w:val="1C722E7E"/>
    <w:rsid w:val="1C784A9F"/>
    <w:rsid w:val="1C7D008B"/>
    <w:rsid w:val="1C7D2EB6"/>
    <w:rsid w:val="1C805B43"/>
    <w:rsid w:val="1C852BB0"/>
    <w:rsid w:val="1C8D54A8"/>
    <w:rsid w:val="1C8D59DD"/>
    <w:rsid w:val="1C8E63A1"/>
    <w:rsid w:val="1C9651FD"/>
    <w:rsid w:val="1C9C41C6"/>
    <w:rsid w:val="1CA42FB6"/>
    <w:rsid w:val="1CAF4AE5"/>
    <w:rsid w:val="1CB21A29"/>
    <w:rsid w:val="1CCB32EE"/>
    <w:rsid w:val="1CD23361"/>
    <w:rsid w:val="1CD35882"/>
    <w:rsid w:val="1CE302F7"/>
    <w:rsid w:val="1CEA1E57"/>
    <w:rsid w:val="1CEC4F96"/>
    <w:rsid w:val="1CF13B49"/>
    <w:rsid w:val="1CF52075"/>
    <w:rsid w:val="1CF70EE3"/>
    <w:rsid w:val="1CFE7E6D"/>
    <w:rsid w:val="1D011F4C"/>
    <w:rsid w:val="1D0D1F95"/>
    <w:rsid w:val="1D1C7AC2"/>
    <w:rsid w:val="1D1D6A85"/>
    <w:rsid w:val="1D207BFC"/>
    <w:rsid w:val="1D230741"/>
    <w:rsid w:val="1D2F0DCA"/>
    <w:rsid w:val="1D397D96"/>
    <w:rsid w:val="1D3A5DFA"/>
    <w:rsid w:val="1D3E30CF"/>
    <w:rsid w:val="1D3E57BA"/>
    <w:rsid w:val="1D3F5BF4"/>
    <w:rsid w:val="1D49558F"/>
    <w:rsid w:val="1D4B4B5A"/>
    <w:rsid w:val="1D584348"/>
    <w:rsid w:val="1D597DDF"/>
    <w:rsid w:val="1D5D209F"/>
    <w:rsid w:val="1D6D4785"/>
    <w:rsid w:val="1D6E27CD"/>
    <w:rsid w:val="1D767ADA"/>
    <w:rsid w:val="1D7A0D45"/>
    <w:rsid w:val="1D845021"/>
    <w:rsid w:val="1D861B2D"/>
    <w:rsid w:val="1D896FB3"/>
    <w:rsid w:val="1D91741D"/>
    <w:rsid w:val="1D9318C5"/>
    <w:rsid w:val="1D941B55"/>
    <w:rsid w:val="1DAB7998"/>
    <w:rsid w:val="1DB01072"/>
    <w:rsid w:val="1DB2076E"/>
    <w:rsid w:val="1DB43F2E"/>
    <w:rsid w:val="1DBE6DCD"/>
    <w:rsid w:val="1DC2628A"/>
    <w:rsid w:val="1DCF57CE"/>
    <w:rsid w:val="1DCF7FF5"/>
    <w:rsid w:val="1DD11EB5"/>
    <w:rsid w:val="1DD246EC"/>
    <w:rsid w:val="1DD63079"/>
    <w:rsid w:val="1DD859F5"/>
    <w:rsid w:val="1DDA6EEA"/>
    <w:rsid w:val="1DDB37BE"/>
    <w:rsid w:val="1DDD63A7"/>
    <w:rsid w:val="1DE56ABE"/>
    <w:rsid w:val="1DFC4DF9"/>
    <w:rsid w:val="1E0435A0"/>
    <w:rsid w:val="1E110D2A"/>
    <w:rsid w:val="1E1247A2"/>
    <w:rsid w:val="1E155062"/>
    <w:rsid w:val="1E193E9C"/>
    <w:rsid w:val="1E1B38E9"/>
    <w:rsid w:val="1E1B7186"/>
    <w:rsid w:val="1E303EF3"/>
    <w:rsid w:val="1E3303CE"/>
    <w:rsid w:val="1E3F6D05"/>
    <w:rsid w:val="1E494B8A"/>
    <w:rsid w:val="1E4F0222"/>
    <w:rsid w:val="1E5C2AF3"/>
    <w:rsid w:val="1E795C41"/>
    <w:rsid w:val="1E7E640D"/>
    <w:rsid w:val="1E7F3A72"/>
    <w:rsid w:val="1E8064D3"/>
    <w:rsid w:val="1E861E21"/>
    <w:rsid w:val="1EA72270"/>
    <w:rsid w:val="1EBD6E42"/>
    <w:rsid w:val="1EC25D1C"/>
    <w:rsid w:val="1EC74AB4"/>
    <w:rsid w:val="1EC87ABC"/>
    <w:rsid w:val="1ED242FC"/>
    <w:rsid w:val="1ED56C03"/>
    <w:rsid w:val="1EDA0174"/>
    <w:rsid w:val="1EDA3DBE"/>
    <w:rsid w:val="1EDB3888"/>
    <w:rsid w:val="1EE05F54"/>
    <w:rsid w:val="1EE332A7"/>
    <w:rsid w:val="1EF579A0"/>
    <w:rsid w:val="1F05532C"/>
    <w:rsid w:val="1F095121"/>
    <w:rsid w:val="1F0C3604"/>
    <w:rsid w:val="1F0D0383"/>
    <w:rsid w:val="1F0F4C7A"/>
    <w:rsid w:val="1F1527EE"/>
    <w:rsid w:val="1F20034A"/>
    <w:rsid w:val="1F251ABC"/>
    <w:rsid w:val="1F290391"/>
    <w:rsid w:val="1F2A2D10"/>
    <w:rsid w:val="1F370102"/>
    <w:rsid w:val="1F3F0073"/>
    <w:rsid w:val="1F43546C"/>
    <w:rsid w:val="1F48506F"/>
    <w:rsid w:val="1F4B10C3"/>
    <w:rsid w:val="1F5C7F87"/>
    <w:rsid w:val="1F6C1D79"/>
    <w:rsid w:val="1F792E9A"/>
    <w:rsid w:val="1F7B67F6"/>
    <w:rsid w:val="1F7C518B"/>
    <w:rsid w:val="1F881F59"/>
    <w:rsid w:val="1F971B7F"/>
    <w:rsid w:val="1F977565"/>
    <w:rsid w:val="1F9B644E"/>
    <w:rsid w:val="1FA22246"/>
    <w:rsid w:val="1FA429B4"/>
    <w:rsid w:val="1FAC06FF"/>
    <w:rsid w:val="1FB34801"/>
    <w:rsid w:val="1FB75185"/>
    <w:rsid w:val="1FB97163"/>
    <w:rsid w:val="1FBD0EE6"/>
    <w:rsid w:val="1FC10346"/>
    <w:rsid w:val="1FC16504"/>
    <w:rsid w:val="1FDB745E"/>
    <w:rsid w:val="1FDD028C"/>
    <w:rsid w:val="1FE62619"/>
    <w:rsid w:val="1FF955B0"/>
    <w:rsid w:val="1FFA3EAB"/>
    <w:rsid w:val="1FFB3FF4"/>
    <w:rsid w:val="1FFC1294"/>
    <w:rsid w:val="1FFC4541"/>
    <w:rsid w:val="200B6448"/>
    <w:rsid w:val="20176E76"/>
    <w:rsid w:val="201C2D60"/>
    <w:rsid w:val="20270162"/>
    <w:rsid w:val="203F0CD6"/>
    <w:rsid w:val="20421E9D"/>
    <w:rsid w:val="204439A4"/>
    <w:rsid w:val="20655E4F"/>
    <w:rsid w:val="20721F6B"/>
    <w:rsid w:val="207308C3"/>
    <w:rsid w:val="207411D3"/>
    <w:rsid w:val="20743131"/>
    <w:rsid w:val="207536DF"/>
    <w:rsid w:val="2075466F"/>
    <w:rsid w:val="20783BF9"/>
    <w:rsid w:val="20786435"/>
    <w:rsid w:val="20802CF5"/>
    <w:rsid w:val="20811113"/>
    <w:rsid w:val="20874766"/>
    <w:rsid w:val="2088281D"/>
    <w:rsid w:val="2088475A"/>
    <w:rsid w:val="209018AA"/>
    <w:rsid w:val="20917F9C"/>
    <w:rsid w:val="2094661E"/>
    <w:rsid w:val="20951ED4"/>
    <w:rsid w:val="20962536"/>
    <w:rsid w:val="20AF5726"/>
    <w:rsid w:val="20AF5A47"/>
    <w:rsid w:val="20B50E80"/>
    <w:rsid w:val="20B71F63"/>
    <w:rsid w:val="20B7483F"/>
    <w:rsid w:val="20BD02A3"/>
    <w:rsid w:val="20BE1841"/>
    <w:rsid w:val="20D078F3"/>
    <w:rsid w:val="20D200AD"/>
    <w:rsid w:val="20D57027"/>
    <w:rsid w:val="20D95B71"/>
    <w:rsid w:val="20DA60A5"/>
    <w:rsid w:val="20DB223A"/>
    <w:rsid w:val="20E51C80"/>
    <w:rsid w:val="20E61367"/>
    <w:rsid w:val="20EC58CB"/>
    <w:rsid w:val="20F17304"/>
    <w:rsid w:val="21007C49"/>
    <w:rsid w:val="21014223"/>
    <w:rsid w:val="21200021"/>
    <w:rsid w:val="21257F04"/>
    <w:rsid w:val="21291A31"/>
    <w:rsid w:val="213445FE"/>
    <w:rsid w:val="21353F50"/>
    <w:rsid w:val="2138052E"/>
    <w:rsid w:val="213C3CC5"/>
    <w:rsid w:val="214776EA"/>
    <w:rsid w:val="21522E38"/>
    <w:rsid w:val="2159046C"/>
    <w:rsid w:val="21592762"/>
    <w:rsid w:val="215F3A68"/>
    <w:rsid w:val="21611A31"/>
    <w:rsid w:val="21635586"/>
    <w:rsid w:val="21760888"/>
    <w:rsid w:val="217B17E2"/>
    <w:rsid w:val="218810BD"/>
    <w:rsid w:val="218D61A9"/>
    <w:rsid w:val="218F7263"/>
    <w:rsid w:val="2190117D"/>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C3E44"/>
    <w:rsid w:val="21F002DA"/>
    <w:rsid w:val="21F2539C"/>
    <w:rsid w:val="21F533B9"/>
    <w:rsid w:val="21F65A58"/>
    <w:rsid w:val="21FB61D0"/>
    <w:rsid w:val="220B3AD6"/>
    <w:rsid w:val="22191ECB"/>
    <w:rsid w:val="221E272E"/>
    <w:rsid w:val="2221560D"/>
    <w:rsid w:val="222A1FFE"/>
    <w:rsid w:val="222B075F"/>
    <w:rsid w:val="22367DC0"/>
    <w:rsid w:val="223C2D91"/>
    <w:rsid w:val="22426753"/>
    <w:rsid w:val="224D7BB0"/>
    <w:rsid w:val="22541D32"/>
    <w:rsid w:val="225474CD"/>
    <w:rsid w:val="225E1754"/>
    <w:rsid w:val="225F0409"/>
    <w:rsid w:val="225F51CF"/>
    <w:rsid w:val="226A54A8"/>
    <w:rsid w:val="226D42BA"/>
    <w:rsid w:val="226D7A71"/>
    <w:rsid w:val="227078B0"/>
    <w:rsid w:val="2271187B"/>
    <w:rsid w:val="22833161"/>
    <w:rsid w:val="228338C8"/>
    <w:rsid w:val="22840DDA"/>
    <w:rsid w:val="22876A0D"/>
    <w:rsid w:val="22A11695"/>
    <w:rsid w:val="22A63B38"/>
    <w:rsid w:val="22A73490"/>
    <w:rsid w:val="22A8489A"/>
    <w:rsid w:val="22AA7376"/>
    <w:rsid w:val="22AB3B60"/>
    <w:rsid w:val="22AF11A1"/>
    <w:rsid w:val="22B22D1F"/>
    <w:rsid w:val="22B33D99"/>
    <w:rsid w:val="22B83EF7"/>
    <w:rsid w:val="22BB4A47"/>
    <w:rsid w:val="22BC2773"/>
    <w:rsid w:val="22BE29D6"/>
    <w:rsid w:val="22C27BE8"/>
    <w:rsid w:val="22C4003E"/>
    <w:rsid w:val="22CB2F4B"/>
    <w:rsid w:val="22D02654"/>
    <w:rsid w:val="22D10E4B"/>
    <w:rsid w:val="22D90210"/>
    <w:rsid w:val="22D912F9"/>
    <w:rsid w:val="22E1284D"/>
    <w:rsid w:val="22E73006"/>
    <w:rsid w:val="22EB3773"/>
    <w:rsid w:val="22EE13BE"/>
    <w:rsid w:val="22F31E85"/>
    <w:rsid w:val="22F71A54"/>
    <w:rsid w:val="22F74CC6"/>
    <w:rsid w:val="22FB2321"/>
    <w:rsid w:val="22FF6AA7"/>
    <w:rsid w:val="2306325F"/>
    <w:rsid w:val="230749DA"/>
    <w:rsid w:val="230753E2"/>
    <w:rsid w:val="230F5270"/>
    <w:rsid w:val="2311101C"/>
    <w:rsid w:val="231869B1"/>
    <w:rsid w:val="2319089C"/>
    <w:rsid w:val="231B2491"/>
    <w:rsid w:val="232515D0"/>
    <w:rsid w:val="232F45E5"/>
    <w:rsid w:val="23382F5D"/>
    <w:rsid w:val="233857DC"/>
    <w:rsid w:val="233E2231"/>
    <w:rsid w:val="23443C8F"/>
    <w:rsid w:val="23561548"/>
    <w:rsid w:val="23561CD1"/>
    <w:rsid w:val="235E47B6"/>
    <w:rsid w:val="23644FB5"/>
    <w:rsid w:val="23646298"/>
    <w:rsid w:val="236B32CC"/>
    <w:rsid w:val="2372506B"/>
    <w:rsid w:val="2376691B"/>
    <w:rsid w:val="2378146C"/>
    <w:rsid w:val="238D2D50"/>
    <w:rsid w:val="238D66BE"/>
    <w:rsid w:val="23950A55"/>
    <w:rsid w:val="239540DC"/>
    <w:rsid w:val="23965F67"/>
    <w:rsid w:val="23A00272"/>
    <w:rsid w:val="23A02531"/>
    <w:rsid w:val="23A11F4F"/>
    <w:rsid w:val="23B41225"/>
    <w:rsid w:val="23BA6237"/>
    <w:rsid w:val="23BC048E"/>
    <w:rsid w:val="23C9616F"/>
    <w:rsid w:val="23CC0919"/>
    <w:rsid w:val="23CE659F"/>
    <w:rsid w:val="23CF7FD3"/>
    <w:rsid w:val="23D4199E"/>
    <w:rsid w:val="23DC01C4"/>
    <w:rsid w:val="23DC60E2"/>
    <w:rsid w:val="23E17EC8"/>
    <w:rsid w:val="23E47406"/>
    <w:rsid w:val="23E91B93"/>
    <w:rsid w:val="23F6160A"/>
    <w:rsid w:val="23FB72B1"/>
    <w:rsid w:val="24026C92"/>
    <w:rsid w:val="24027DBA"/>
    <w:rsid w:val="240657B6"/>
    <w:rsid w:val="240B36D8"/>
    <w:rsid w:val="240C2CCA"/>
    <w:rsid w:val="240C553C"/>
    <w:rsid w:val="241722EB"/>
    <w:rsid w:val="24323334"/>
    <w:rsid w:val="243336DA"/>
    <w:rsid w:val="24373DE9"/>
    <w:rsid w:val="243D6215"/>
    <w:rsid w:val="244F01D0"/>
    <w:rsid w:val="245226BE"/>
    <w:rsid w:val="245550BB"/>
    <w:rsid w:val="245A0102"/>
    <w:rsid w:val="2461318F"/>
    <w:rsid w:val="24662623"/>
    <w:rsid w:val="24673502"/>
    <w:rsid w:val="24676BCD"/>
    <w:rsid w:val="24676F22"/>
    <w:rsid w:val="2468531E"/>
    <w:rsid w:val="246D7EC6"/>
    <w:rsid w:val="24741D21"/>
    <w:rsid w:val="24750E49"/>
    <w:rsid w:val="247D3C6E"/>
    <w:rsid w:val="24860612"/>
    <w:rsid w:val="24872D53"/>
    <w:rsid w:val="248E7D90"/>
    <w:rsid w:val="249321BF"/>
    <w:rsid w:val="249C0D83"/>
    <w:rsid w:val="24A033EE"/>
    <w:rsid w:val="24B51B12"/>
    <w:rsid w:val="24C434A5"/>
    <w:rsid w:val="24CA496C"/>
    <w:rsid w:val="24CB78C2"/>
    <w:rsid w:val="24D35568"/>
    <w:rsid w:val="24D72C44"/>
    <w:rsid w:val="24DB51FA"/>
    <w:rsid w:val="24E954E0"/>
    <w:rsid w:val="24F37FEF"/>
    <w:rsid w:val="24F82FB3"/>
    <w:rsid w:val="2504405A"/>
    <w:rsid w:val="251809ED"/>
    <w:rsid w:val="25241C4A"/>
    <w:rsid w:val="25265A8E"/>
    <w:rsid w:val="252A5159"/>
    <w:rsid w:val="25364407"/>
    <w:rsid w:val="25380B4A"/>
    <w:rsid w:val="253C2F3D"/>
    <w:rsid w:val="253C65AF"/>
    <w:rsid w:val="25410D56"/>
    <w:rsid w:val="254D55BA"/>
    <w:rsid w:val="254F6D5C"/>
    <w:rsid w:val="25644E19"/>
    <w:rsid w:val="256F1EB3"/>
    <w:rsid w:val="25720D21"/>
    <w:rsid w:val="257B7A7B"/>
    <w:rsid w:val="257C63F7"/>
    <w:rsid w:val="257E458B"/>
    <w:rsid w:val="258426BC"/>
    <w:rsid w:val="25867F54"/>
    <w:rsid w:val="258B4AE4"/>
    <w:rsid w:val="258C3B89"/>
    <w:rsid w:val="258C6B00"/>
    <w:rsid w:val="258F1E2E"/>
    <w:rsid w:val="259114ED"/>
    <w:rsid w:val="2593720A"/>
    <w:rsid w:val="25996F48"/>
    <w:rsid w:val="259A3CB2"/>
    <w:rsid w:val="259E4C39"/>
    <w:rsid w:val="259E5828"/>
    <w:rsid w:val="25A45B04"/>
    <w:rsid w:val="25A92B92"/>
    <w:rsid w:val="25AB0A3D"/>
    <w:rsid w:val="25AC370D"/>
    <w:rsid w:val="25B22B68"/>
    <w:rsid w:val="25B5218E"/>
    <w:rsid w:val="25C15D16"/>
    <w:rsid w:val="25C55B83"/>
    <w:rsid w:val="25CD5BF1"/>
    <w:rsid w:val="25CD62C3"/>
    <w:rsid w:val="25D31208"/>
    <w:rsid w:val="25DA65CA"/>
    <w:rsid w:val="25DB6649"/>
    <w:rsid w:val="25DD0809"/>
    <w:rsid w:val="25E27416"/>
    <w:rsid w:val="25E46656"/>
    <w:rsid w:val="25E47484"/>
    <w:rsid w:val="25E92FBE"/>
    <w:rsid w:val="25F17275"/>
    <w:rsid w:val="25F31E31"/>
    <w:rsid w:val="25F70EE4"/>
    <w:rsid w:val="25F83FB0"/>
    <w:rsid w:val="25FC0B75"/>
    <w:rsid w:val="260139F3"/>
    <w:rsid w:val="260556D5"/>
    <w:rsid w:val="26080DD9"/>
    <w:rsid w:val="26082798"/>
    <w:rsid w:val="26095114"/>
    <w:rsid w:val="260E454E"/>
    <w:rsid w:val="261464EE"/>
    <w:rsid w:val="26280E6C"/>
    <w:rsid w:val="262E05B0"/>
    <w:rsid w:val="26327A25"/>
    <w:rsid w:val="26331CBB"/>
    <w:rsid w:val="26372014"/>
    <w:rsid w:val="263E0859"/>
    <w:rsid w:val="263E1A96"/>
    <w:rsid w:val="26405937"/>
    <w:rsid w:val="26433FB7"/>
    <w:rsid w:val="26452DA3"/>
    <w:rsid w:val="26474B98"/>
    <w:rsid w:val="264D3294"/>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E33E5B"/>
    <w:rsid w:val="26E70CA8"/>
    <w:rsid w:val="26EA7605"/>
    <w:rsid w:val="26F17CAD"/>
    <w:rsid w:val="26F51567"/>
    <w:rsid w:val="26F54808"/>
    <w:rsid w:val="26FB5D95"/>
    <w:rsid w:val="26FC2F8C"/>
    <w:rsid w:val="27094F93"/>
    <w:rsid w:val="270E05C8"/>
    <w:rsid w:val="27101BFD"/>
    <w:rsid w:val="27157BAD"/>
    <w:rsid w:val="27172021"/>
    <w:rsid w:val="27190D99"/>
    <w:rsid w:val="271927EF"/>
    <w:rsid w:val="271A253D"/>
    <w:rsid w:val="271A4B23"/>
    <w:rsid w:val="271C2CE9"/>
    <w:rsid w:val="27235746"/>
    <w:rsid w:val="273E49F4"/>
    <w:rsid w:val="274321B1"/>
    <w:rsid w:val="27450C2D"/>
    <w:rsid w:val="274525DC"/>
    <w:rsid w:val="274652E6"/>
    <w:rsid w:val="27470851"/>
    <w:rsid w:val="27480748"/>
    <w:rsid w:val="274E0335"/>
    <w:rsid w:val="275D1356"/>
    <w:rsid w:val="275D4A89"/>
    <w:rsid w:val="27625310"/>
    <w:rsid w:val="27641213"/>
    <w:rsid w:val="277A2EC6"/>
    <w:rsid w:val="27841ADD"/>
    <w:rsid w:val="278B7262"/>
    <w:rsid w:val="278E7D5F"/>
    <w:rsid w:val="279429E3"/>
    <w:rsid w:val="27966F4A"/>
    <w:rsid w:val="27A74D7A"/>
    <w:rsid w:val="27A75735"/>
    <w:rsid w:val="27A91AD2"/>
    <w:rsid w:val="27AE6E2D"/>
    <w:rsid w:val="27AF57B8"/>
    <w:rsid w:val="27B24596"/>
    <w:rsid w:val="27B25FFF"/>
    <w:rsid w:val="27BA12A7"/>
    <w:rsid w:val="27BA6BC4"/>
    <w:rsid w:val="27BC2EEA"/>
    <w:rsid w:val="27C93064"/>
    <w:rsid w:val="27C96B67"/>
    <w:rsid w:val="27CB38EC"/>
    <w:rsid w:val="27CB5FF9"/>
    <w:rsid w:val="27CC0A3D"/>
    <w:rsid w:val="27D34267"/>
    <w:rsid w:val="27D62E6F"/>
    <w:rsid w:val="27D745E8"/>
    <w:rsid w:val="27E4169F"/>
    <w:rsid w:val="27E476BC"/>
    <w:rsid w:val="27E7338B"/>
    <w:rsid w:val="27EA3B97"/>
    <w:rsid w:val="27EF0430"/>
    <w:rsid w:val="27F32107"/>
    <w:rsid w:val="27FA5F82"/>
    <w:rsid w:val="28014303"/>
    <w:rsid w:val="280410A7"/>
    <w:rsid w:val="281713C1"/>
    <w:rsid w:val="28202089"/>
    <w:rsid w:val="28210C3B"/>
    <w:rsid w:val="283E3927"/>
    <w:rsid w:val="28432F7C"/>
    <w:rsid w:val="285065F4"/>
    <w:rsid w:val="28557C44"/>
    <w:rsid w:val="28564AD0"/>
    <w:rsid w:val="285E1540"/>
    <w:rsid w:val="28634EA7"/>
    <w:rsid w:val="2868554F"/>
    <w:rsid w:val="286A70A6"/>
    <w:rsid w:val="286D715D"/>
    <w:rsid w:val="28707EB9"/>
    <w:rsid w:val="28710251"/>
    <w:rsid w:val="287270BD"/>
    <w:rsid w:val="287508F6"/>
    <w:rsid w:val="288C7056"/>
    <w:rsid w:val="288F598A"/>
    <w:rsid w:val="289910F7"/>
    <w:rsid w:val="28A14F66"/>
    <w:rsid w:val="28A4234C"/>
    <w:rsid w:val="28A63531"/>
    <w:rsid w:val="28A773FC"/>
    <w:rsid w:val="28CA5B35"/>
    <w:rsid w:val="28D02425"/>
    <w:rsid w:val="28D527CA"/>
    <w:rsid w:val="28DB1A3D"/>
    <w:rsid w:val="28F133CC"/>
    <w:rsid w:val="28F729CE"/>
    <w:rsid w:val="28F934CA"/>
    <w:rsid w:val="28FA5F7F"/>
    <w:rsid w:val="29056F59"/>
    <w:rsid w:val="2907017C"/>
    <w:rsid w:val="291218C3"/>
    <w:rsid w:val="2912731C"/>
    <w:rsid w:val="29150A19"/>
    <w:rsid w:val="29157321"/>
    <w:rsid w:val="291F35AA"/>
    <w:rsid w:val="2925391D"/>
    <w:rsid w:val="292B0670"/>
    <w:rsid w:val="292E0A29"/>
    <w:rsid w:val="29325A72"/>
    <w:rsid w:val="2938341E"/>
    <w:rsid w:val="293A6E92"/>
    <w:rsid w:val="29566904"/>
    <w:rsid w:val="29582224"/>
    <w:rsid w:val="29585835"/>
    <w:rsid w:val="296074D7"/>
    <w:rsid w:val="29692EBD"/>
    <w:rsid w:val="29712D8F"/>
    <w:rsid w:val="29736267"/>
    <w:rsid w:val="297B31D3"/>
    <w:rsid w:val="298103BD"/>
    <w:rsid w:val="298D4850"/>
    <w:rsid w:val="29966295"/>
    <w:rsid w:val="29971F57"/>
    <w:rsid w:val="299C7DCA"/>
    <w:rsid w:val="29A021A8"/>
    <w:rsid w:val="29A942FB"/>
    <w:rsid w:val="29B344DC"/>
    <w:rsid w:val="29B539E6"/>
    <w:rsid w:val="29BA1399"/>
    <w:rsid w:val="29BC2699"/>
    <w:rsid w:val="29C8428C"/>
    <w:rsid w:val="29D4298C"/>
    <w:rsid w:val="29DD7E33"/>
    <w:rsid w:val="29E31C9C"/>
    <w:rsid w:val="29E55C12"/>
    <w:rsid w:val="29E81D60"/>
    <w:rsid w:val="29F035C0"/>
    <w:rsid w:val="29F05E16"/>
    <w:rsid w:val="29F54832"/>
    <w:rsid w:val="2A111075"/>
    <w:rsid w:val="2A160D87"/>
    <w:rsid w:val="2A22248B"/>
    <w:rsid w:val="2A307EBE"/>
    <w:rsid w:val="2A3E413F"/>
    <w:rsid w:val="2A430F4D"/>
    <w:rsid w:val="2A5303B9"/>
    <w:rsid w:val="2A534A67"/>
    <w:rsid w:val="2A5F67A3"/>
    <w:rsid w:val="2A6151C4"/>
    <w:rsid w:val="2A664C59"/>
    <w:rsid w:val="2A6B464E"/>
    <w:rsid w:val="2A944B48"/>
    <w:rsid w:val="2A9A0F2B"/>
    <w:rsid w:val="2AA07917"/>
    <w:rsid w:val="2AA1140C"/>
    <w:rsid w:val="2AA67F8B"/>
    <w:rsid w:val="2AAA31D9"/>
    <w:rsid w:val="2AAC289A"/>
    <w:rsid w:val="2AB138BA"/>
    <w:rsid w:val="2AC51079"/>
    <w:rsid w:val="2ACA0984"/>
    <w:rsid w:val="2AD05182"/>
    <w:rsid w:val="2AE47A17"/>
    <w:rsid w:val="2AEB2740"/>
    <w:rsid w:val="2AF44191"/>
    <w:rsid w:val="2AF74347"/>
    <w:rsid w:val="2B0A4D59"/>
    <w:rsid w:val="2B1A32A0"/>
    <w:rsid w:val="2B26693B"/>
    <w:rsid w:val="2B2F1FC7"/>
    <w:rsid w:val="2B2F2F22"/>
    <w:rsid w:val="2B37764D"/>
    <w:rsid w:val="2B3F6547"/>
    <w:rsid w:val="2B4F2967"/>
    <w:rsid w:val="2B5C1A7C"/>
    <w:rsid w:val="2B5C469F"/>
    <w:rsid w:val="2B6525E9"/>
    <w:rsid w:val="2B6E19DB"/>
    <w:rsid w:val="2B756050"/>
    <w:rsid w:val="2B7C5660"/>
    <w:rsid w:val="2B8944AA"/>
    <w:rsid w:val="2B92679C"/>
    <w:rsid w:val="2B96506D"/>
    <w:rsid w:val="2B986BC6"/>
    <w:rsid w:val="2BA16669"/>
    <w:rsid w:val="2BAE20A5"/>
    <w:rsid w:val="2BAF2381"/>
    <w:rsid w:val="2BB1376A"/>
    <w:rsid w:val="2BBA7E05"/>
    <w:rsid w:val="2BBB17D5"/>
    <w:rsid w:val="2BC3413A"/>
    <w:rsid w:val="2BC45396"/>
    <w:rsid w:val="2BD540AD"/>
    <w:rsid w:val="2BDA10DE"/>
    <w:rsid w:val="2BDA2AEC"/>
    <w:rsid w:val="2BF336C9"/>
    <w:rsid w:val="2BF33ED5"/>
    <w:rsid w:val="2BFB7405"/>
    <w:rsid w:val="2C006833"/>
    <w:rsid w:val="2C034F7B"/>
    <w:rsid w:val="2C040D89"/>
    <w:rsid w:val="2C0509D9"/>
    <w:rsid w:val="2C05481D"/>
    <w:rsid w:val="2C056AF9"/>
    <w:rsid w:val="2C220DB4"/>
    <w:rsid w:val="2C247FF1"/>
    <w:rsid w:val="2C3C0030"/>
    <w:rsid w:val="2C3F3887"/>
    <w:rsid w:val="2C45016F"/>
    <w:rsid w:val="2C516E38"/>
    <w:rsid w:val="2C533A6A"/>
    <w:rsid w:val="2C560EA3"/>
    <w:rsid w:val="2C617496"/>
    <w:rsid w:val="2C62156F"/>
    <w:rsid w:val="2C6F41F6"/>
    <w:rsid w:val="2C730778"/>
    <w:rsid w:val="2C7E030A"/>
    <w:rsid w:val="2C833FFB"/>
    <w:rsid w:val="2C8F430E"/>
    <w:rsid w:val="2C964B87"/>
    <w:rsid w:val="2C970335"/>
    <w:rsid w:val="2CA21894"/>
    <w:rsid w:val="2CA4476E"/>
    <w:rsid w:val="2CAD4F6B"/>
    <w:rsid w:val="2CB17FD2"/>
    <w:rsid w:val="2CC16AFA"/>
    <w:rsid w:val="2CC95D10"/>
    <w:rsid w:val="2CCB5A72"/>
    <w:rsid w:val="2CD57684"/>
    <w:rsid w:val="2CD67A0B"/>
    <w:rsid w:val="2CD75666"/>
    <w:rsid w:val="2CD83FF1"/>
    <w:rsid w:val="2CDC6591"/>
    <w:rsid w:val="2CDE08F2"/>
    <w:rsid w:val="2CE03AB0"/>
    <w:rsid w:val="2CEB494F"/>
    <w:rsid w:val="2CEF53E3"/>
    <w:rsid w:val="2CF53A56"/>
    <w:rsid w:val="2CF649A9"/>
    <w:rsid w:val="2CFC27E4"/>
    <w:rsid w:val="2D0766E4"/>
    <w:rsid w:val="2D0B702A"/>
    <w:rsid w:val="2D107EBA"/>
    <w:rsid w:val="2D1B67A1"/>
    <w:rsid w:val="2D1F4BCA"/>
    <w:rsid w:val="2D221AAA"/>
    <w:rsid w:val="2D254ED3"/>
    <w:rsid w:val="2D2651C9"/>
    <w:rsid w:val="2D397977"/>
    <w:rsid w:val="2D3D74EA"/>
    <w:rsid w:val="2D476C62"/>
    <w:rsid w:val="2D504333"/>
    <w:rsid w:val="2D521264"/>
    <w:rsid w:val="2D567058"/>
    <w:rsid w:val="2D57290A"/>
    <w:rsid w:val="2D5D7FE8"/>
    <w:rsid w:val="2D5E7E01"/>
    <w:rsid w:val="2D6030A2"/>
    <w:rsid w:val="2D660EF9"/>
    <w:rsid w:val="2D6C2B47"/>
    <w:rsid w:val="2D763F45"/>
    <w:rsid w:val="2D820204"/>
    <w:rsid w:val="2D8402FC"/>
    <w:rsid w:val="2D88024C"/>
    <w:rsid w:val="2D935488"/>
    <w:rsid w:val="2D960FB5"/>
    <w:rsid w:val="2D9B4423"/>
    <w:rsid w:val="2DAC2EF4"/>
    <w:rsid w:val="2DAD4BCD"/>
    <w:rsid w:val="2DB453FF"/>
    <w:rsid w:val="2DBE4237"/>
    <w:rsid w:val="2DCB10F0"/>
    <w:rsid w:val="2DCB38A1"/>
    <w:rsid w:val="2DD066E9"/>
    <w:rsid w:val="2DDC0ED4"/>
    <w:rsid w:val="2DE3054F"/>
    <w:rsid w:val="2DE7186E"/>
    <w:rsid w:val="2DF036FB"/>
    <w:rsid w:val="2DF21CB3"/>
    <w:rsid w:val="2DFD78B4"/>
    <w:rsid w:val="2DFE083B"/>
    <w:rsid w:val="2E0708FF"/>
    <w:rsid w:val="2E11457C"/>
    <w:rsid w:val="2E1643B9"/>
    <w:rsid w:val="2E184C0F"/>
    <w:rsid w:val="2E187142"/>
    <w:rsid w:val="2E1F18AD"/>
    <w:rsid w:val="2E285E19"/>
    <w:rsid w:val="2E28757C"/>
    <w:rsid w:val="2E2C723F"/>
    <w:rsid w:val="2E332EEF"/>
    <w:rsid w:val="2E3D0855"/>
    <w:rsid w:val="2E3F6B8A"/>
    <w:rsid w:val="2E406C31"/>
    <w:rsid w:val="2E467FE7"/>
    <w:rsid w:val="2E527715"/>
    <w:rsid w:val="2E530660"/>
    <w:rsid w:val="2E531152"/>
    <w:rsid w:val="2E565287"/>
    <w:rsid w:val="2E5F1E47"/>
    <w:rsid w:val="2E682652"/>
    <w:rsid w:val="2E6B6D27"/>
    <w:rsid w:val="2E7A506F"/>
    <w:rsid w:val="2E7B0600"/>
    <w:rsid w:val="2E7B273D"/>
    <w:rsid w:val="2E7D30EA"/>
    <w:rsid w:val="2E8028E0"/>
    <w:rsid w:val="2E88139A"/>
    <w:rsid w:val="2E8B051E"/>
    <w:rsid w:val="2E8F062E"/>
    <w:rsid w:val="2E905D65"/>
    <w:rsid w:val="2E9D560F"/>
    <w:rsid w:val="2E9F7EC1"/>
    <w:rsid w:val="2EA234E1"/>
    <w:rsid w:val="2EB17C70"/>
    <w:rsid w:val="2EB411B5"/>
    <w:rsid w:val="2EBD49E1"/>
    <w:rsid w:val="2EBF0ED1"/>
    <w:rsid w:val="2EC42186"/>
    <w:rsid w:val="2EC7495E"/>
    <w:rsid w:val="2EC776BB"/>
    <w:rsid w:val="2ECA39AD"/>
    <w:rsid w:val="2ECC0C07"/>
    <w:rsid w:val="2ED03009"/>
    <w:rsid w:val="2EF224CD"/>
    <w:rsid w:val="2EF67D61"/>
    <w:rsid w:val="2EFA2F2B"/>
    <w:rsid w:val="2F195BDC"/>
    <w:rsid w:val="2F2E23A6"/>
    <w:rsid w:val="2F2E289C"/>
    <w:rsid w:val="2F350F19"/>
    <w:rsid w:val="2F383567"/>
    <w:rsid w:val="2F3B1918"/>
    <w:rsid w:val="2F415DC8"/>
    <w:rsid w:val="2F514AAE"/>
    <w:rsid w:val="2F531FEB"/>
    <w:rsid w:val="2F5B5B3B"/>
    <w:rsid w:val="2F615468"/>
    <w:rsid w:val="2F655F0E"/>
    <w:rsid w:val="2F6B73F9"/>
    <w:rsid w:val="2F6D4FA6"/>
    <w:rsid w:val="2F743486"/>
    <w:rsid w:val="2F756E65"/>
    <w:rsid w:val="2F77354F"/>
    <w:rsid w:val="2F7A7069"/>
    <w:rsid w:val="2F7B2789"/>
    <w:rsid w:val="2F8001B6"/>
    <w:rsid w:val="2F897AA1"/>
    <w:rsid w:val="2F8D4D67"/>
    <w:rsid w:val="2F8E2F8D"/>
    <w:rsid w:val="2F9051B8"/>
    <w:rsid w:val="2F910893"/>
    <w:rsid w:val="2F9A69D2"/>
    <w:rsid w:val="2F9C6646"/>
    <w:rsid w:val="2F9D4AA3"/>
    <w:rsid w:val="2F9F094E"/>
    <w:rsid w:val="2FA5152D"/>
    <w:rsid w:val="2FA96250"/>
    <w:rsid w:val="2FB11323"/>
    <w:rsid w:val="2FBB6A2A"/>
    <w:rsid w:val="2FC2166F"/>
    <w:rsid w:val="2FCB0952"/>
    <w:rsid w:val="2FD53529"/>
    <w:rsid w:val="2FD80709"/>
    <w:rsid w:val="2FDF2368"/>
    <w:rsid w:val="2FDF7CD4"/>
    <w:rsid w:val="2FEC08C6"/>
    <w:rsid w:val="2FF532B7"/>
    <w:rsid w:val="2FF674CB"/>
    <w:rsid w:val="2FF7251F"/>
    <w:rsid w:val="30007788"/>
    <w:rsid w:val="30093592"/>
    <w:rsid w:val="301977C7"/>
    <w:rsid w:val="301E3E25"/>
    <w:rsid w:val="30205153"/>
    <w:rsid w:val="30253FAB"/>
    <w:rsid w:val="30270D6F"/>
    <w:rsid w:val="303B3B59"/>
    <w:rsid w:val="303C0C41"/>
    <w:rsid w:val="303D6437"/>
    <w:rsid w:val="30443F81"/>
    <w:rsid w:val="305831D6"/>
    <w:rsid w:val="305A4537"/>
    <w:rsid w:val="30632880"/>
    <w:rsid w:val="3070014A"/>
    <w:rsid w:val="307B4FFA"/>
    <w:rsid w:val="308136E0"/>
    <w:rsid w:val="3095375A"/>
    <w:rsid w:val="309B2688"/>
    <w:rsid w:val="30A90B96"/>
    <w:rsid w:val="30A91070"/>
    <w:rsid w:val="30B26464"/>
    <w:rsid w:val="30B86332"/>
    <w:rsid w:val="30C62F61"/>
    <w:rsid w:val="30C91D87"/>
    <w:rsid w:val="30D10B78"/>
    <w:rsid w:val="30D251E3"/>
    <w:rsid w:val="30D36EB7"/>
    <w:rsid w:val="30D45137"/>
    <w:rsid w:val="30D51A41"/>
    <w:rsid w:val="30E7233C"/>
    <w:rsid w:val="31076B28"/>
    <w:rsid w:val="31076EFA"/>
    <w:rsid w:val="310866BC"/>
    <w:rsid w:val="31154DED"/>
    <w:rsid w:val="31215B33"/>
    <w:rsid w:val="312A36B1"/>
    <w:rsid w:val="313A2CAC"/>
    <w:rsid w:val="313E6356"/>
    <w:rsid w:val="31460C29"/>
    <w:rsid w:val="314B3239"/>
    <w:rsid w:val="315B21E9"/>
    <w:rsid w:val="315B5E62"/>
    <w:rsid w:val="31604DC0"/>
    <w:rsid w:val="31607973"/>
    <w:rsid w:val="3163108E"/>
    <w:rsid w:val="3167538F"/>
    <w:rsid w:val="317544CD"/>
    <w:rsid w:val="31765162"/>
    <w:rsid w:val="317A487D"/>
    <w:rsid w:val="317D76C8"/>
    <w:rsid w:val="31833BCE"/>
    <w:rsid w:val="318A1515"/>
    <w:rsid w:val="31944F6F"/>
    <w:rsid w:val="31963456"/>
    <w:rsid w:val="31A51052"/>
    <w:rsid w:val="31A77BCC"/>
    <w:rsid w:val="31A84B64"/>
    <w:rsid w:val="31B12D3C"/>
    <w:rsid w:val="31B2653B"/>
    <w:rsid w:val="31B266EC"/>
    <w:rsid w:val="31B45163"/>
    <w:rsid w:val="31B81D35"/>
    <w:rsid w:val="31C3729F"/>
    <w:rsid w:val="31CB617D"/>
    <w:rsid w:val="31CC0ECB"/>
    <w:rsid w:val="31DD2EC1"/>
    <w:rsid w:val="31DF1DB8"/>
    <w:rsid w:val="31F020DC"/>
    <w:rsid w:val="31F072F8"/>
    <w:rsid w:val="32061C7F"/>
    <w:rsid w:val="320A52D8"/>
    <w:rsid w:val="320D2005"/>
    <w:rsid w:val="32136025"/>
    <w:rsid w:val="32220D79"/>
    <w:rsid w:val="32252577"/>
    <w:rsid w:val="32294648"/>
    <w:rsid w:val="322F0831"/>
    <w:rsid w:val="3238009F"/>
    <w:rsid w:val="323F5519"/>
    <w:rsid w:val="32442E52"/>
    <w:rsid w:val="32471CC6"/>
    <w:rsid w:val="324F0134"/>
    <w:rsid w:val="32540593"/>
    <w:rsid w:val="32575B7F"/>
    <w:rsid w:val="32582CC3"/>
    <w:rsid w:val="327179A4"/>
    <w:rsid w:val="32775626"/>
    <w:rsid w:val="32835AB1"/>
    <w:rsid w:val="328A3A5F"/>
    <w:rsid w:val="328D7371"/>
    <w:rsid w:val="328E2231"/>
    <w:rsid w:val="329326B7"/>
    <w:rsid w:val="329426A2"/>
    <w:rsid w:val="329708DE"/>
    <w:rsid w:val="32AD1211"/>
    <w:rsid w:val="32BE0045"/>
    <w:rsid w:val="32E12F9A"/>
    <w:rsid w:val="32E87F66"/>
    <w:rsid w:val="32E97C5E"/>
    <w:rsid w:val="32EC46FB"/>
    <w:rsid w:val="32FF12B8"/>
    <w:rsid w:val="330073AA"/>
    <w:rsid w:val="33020BF1"/>
    <w:rsid w:val="330710D7"/>
    <w:rsid w:val="331264BB"/>
    <w:rsid w:val="3315405E"/>
    <w:rsid w:val="331E3887"/>
    <w:rsid w:val="33224534"/>
    <w:rsid w:val="332742E9"/>
    <w:rsid w:val="332850C4"/>
    <w:rsid w:val="332A1AC1"/>
    <w:rsid w:val="332C71E1"/>
    <w:rsid w:val="332E1BC2"/>
    <w:rsid w:val="332F3B66"/>
    <w:rsid w:val="333B116B"/>
    <w:rsid w:val="333E2024"/>
    <w:rsid w:val="33427ABB"/>
    <w:rsid w:val="33616D4E"/>
    <w:rsid w:val="33821BAB"/>
    <w:rsid w:val="338378EA"/>
    <w:rsid w:val="33885755"/>
    <w:rsid w:val="339E18BC"/>
    <w:rsid w:val="33A57822"/>
    <w:rsid w:val="33A77C3C"/>
    <w:rsid w:val="33AA7345"/>
    <w:rsid w:val="33B37087"/>
    <w:rsid w:val="33BA7C82"/>
    <w:rsid w:val="33BC4D91"/>
    <w:rsid w:val="33BF4D9D"/>
    <w:rsid w:val="33C233CD"/>
    <w:rsid w:val="33C504FF"/>
    <w:rsid w:val="33C968FA"/>
    <w:rsid w:val="33D23DF5"/>
    <w:rsid w:val="33D246C3"/>
    <w:rsid w:val="33DF11C8"/>
    <w:rsid w:val="33E442C9"/>
    <w:rsid w:val="33E61B12"/>
    <w:rsid w:val="33EF44FC"/>
    <w:rsid w:val="33F751C3"/>
    <w:rsid w:val="33FE7E15"/>
    <w:rsid w:val="33FF1154"/>
    <w:rsid w:val="340074AF"/>
    <w:rsid w:val="340948E1"/>
    <w:rsid w:val="340D3904"/>
    <w:rsid w:val="341212B1"/>
    <w:rsid w:val="341321BE"/>
    <w:rsid w:val="34155C01"/>
    <w:rsid w:val="34293255"/>
    <w:rsid w:val="34314E1D"/>
    <w:rsid w:val="34374868"/>
    <w:rsid w:val="343D2D4C"/>
    <w:rsid w:val="34417702"/>
    <w:rsid w:val="34417EB0"/>
    <w:rsid w:val="3446518F"/>
    <w:rsid w:val="344A296C"/>
    <w:rsid w:val="344C25CD"/>
    <w:rsid w:val="344E045C"/>
    <w:rsid w:val="344F610D"/>
    <w:rsid w:val="34512060"/>
    <w:rsid w:val="345232B0"/>
    <w:rsid w:val="345A0779"/>
    <w:rsid w:val="345B15DB"/>
    <w:rsid w:val="346B1ADA"/>
    <w:rsid w:val="346C4A94"/>
    <w:rsid w:val="346E7A5A"/>
    <w:rsid w:val="3477244E"/>
    <w:rsid w:val="34782617"/>
    <w:rsid w:val="347946FA"/>
    <w:rsid w:val="347A6171"/>
    <w:rsid w:val="348440EB"/>
    <w:rsid w:val="348D33D3"/>
    <w:rsid w:val="3496737A"/>
    <w:rsid w:val="349C03F2"/>
    <w:rsid w:val="34A238C5"/>
    <w:rsid w:val="34AC0653"/>
    <w:rsid w:val="34AC2DE9"/>
    <w:rsid w:val="34B24855"/>
    <w:rsid w:val="34B55560"/>
    <w:rsid w:val="34B84D9B"/>
    <w:rsid w:val="34BE7103"/>
    <w:rsid w:val="34C9343D"/>
    <w:rsid w:val="34CE3369"/>
    <w:rsid w:val="34DC1C67"/>
    <w:rsid w:val="34E47162"/>
    <w:rsid w:val="34E664D6"/>
    <w:rsid w:val="34F64CDD"/>
    <w:rsid w:val="34FF095B"/>
    <w:rsid w:val="3500311A"/>
    <w:rsid w:val="350B76BF"/>
    <w:rsid w:val="350C5C16"/>
    <w:rsid w:val="351710F0"/>
    <w:rsid w:val="351F4B47"/>
    <w:rsid w:val="352B4097"/>
    <w:rsid w:val="352E435E"/>
    <w:rsid w:val="3534069E"/>
    <w:rsid w:val="353807E2"/>
    <w:rsid w:val="353D45FA"/>
    <w:rsid w:val="353E289C"/>
    <w:rsid w:val="353F0E06"/>
    <w:rsid w:val="35422CF2"/>
    <w:rsid w:val="35505013"/>
    <w:rsid w:val="35531CAD"/>
    <w:rsid w:val="356D51F7"/>
    <w:rsid w:val="3577070C"/>
    <w:rsid w:val="357972DF"/>
    <w:rsid w:val="357D79D3"/>
    <w:rsid w:val="35804F9D"/>
    <w:rsid w:val="35843B49"/>
    <w:rsid w:val="35884385"/>
    <w:rsid w:val="35890016"/>
    <w:rsid w:val="358B0F26"/>
    <w:rsid w:val="35924A15"/>
    <w:rsid w:val="359753B1"/>
    <w:rsid w:val="35A251D2"/>
    <w:rsid w:val="35A25468"/>
    <w:rsid w:val="35AC56FE"/>
    <w:rsid w:val="35C3354B"/>
    <w:rsid w:val="35C8705E"/>
    <w:rsid w:val="35CB283C"/>
    <w:rsid w:val="35D02A2E"/>
    <w:rsid w:val="35D16387"/>
    <w:rsid w:val="35DF2011"/>
    <w:rsid w:val="35E1012B"/>
    <w:rsid w:val="35E1505C"/>
    <w:rsid w:val="35E328B8"/>
    <w:rsid w:val="35E3701E"/>
    <w:rsid w:val="35E420DE"/>
    <w:rsid w:val="35E607CD"/>
    <w:rsid w:val="35EB34A9"/>
    <w:rsid w:val="35EC6F4A"/>
    <w:rsid w:val="35EE6A38"/>
    <w:rsid w:val="35F5734F"/>
    <w:rsid w:val="35F65884"/>
    <w:rsid w:val="35F715DC"/>
    <w:rsid w:val="36057267"/>
    <w:rsid w:val="360632C2"/>
    <w:rsid w:val="362131A7"/>
    <w:rsid w:val="362E1546"/>
    <w:rsid w:val="36330CA5"/>
    <w:rsid w:val="363F061B"/>
    <w:rsid w:val="364236D7"/>
    <w:rsid w:val="3654563C"/>
    <w:rsid w:val="365763B3"/>
    <w:rsid w:val="366F70DE"/>
    <w:rsid w:val="367C0A7E"/>
    <w:rsid w:val="36856B5A"/>
    <w:rsid w:val="36883C27"/>
    <w:rsid w:val="36950061"/>
    <w:rsid w:val="36A32443"/>
    <w:rsid w:val="36A61ADA"/>
    <w:rsid w:val="36AC504E"/>
    <w:rsid w:val="36B45F51"/>
    <w:rsid w:val="36B7013F"/>
    <w:rsid w:val="36D37FB9"/>
    <w:rsid w:val="36D40D9D"/>
    <w:rsid w:val="36D71D0D"/>
    <w:rsid w:val="36E17BD4"/>
    <w:rsid w:val="36E30071"/>
    <w:rsid w:val="36E31151"/>
    <w:rsid w:val="36E61D1E"/>
    <w:rsid w:val="36EF4947"/>
    <w:rsid w:val="36F76FAD"/>
    <w:rsid w:val="37060D5C"/>
    <w:rsid w:val="370F6D7D"/>
    <w:rsid w:val="3711176D"/>
    <w:rsid w:val="37113E21"/>
    <w:rsid w:val="37244D17"/>
    <w:rsid w:val="373F483B"/>
    <w:rsid w:val="37451D56"/>
    <w:rsid w:val="375C645A"/>
    <w:rsid w:val="37633810"/>
    <w:rsid w:val="376A27F4"/>
    <w:rsid w:val="37737FCD"/>
    <w:rsid w:val="377E4EC2"/>
    <w:rsid w:val="37831AFE"/>
    <w:rsid w:val="37855CA5"/>
    <w:rsid w:val="379747E4"/>
    <w:rsid w:val="37A10A3C"/>
    <w:rsid w:val="37A32862"/>
    <w:rsid w:val="37A771F1"/>
    <w:rsid w:val="37A83EE9"/>
    <w:rsid w:val="37AA1FED"/>
    <w:rsid w:val="37B033F0"/>
    <w:rsid w:val="37B25951"/>
    <w:rsid w:val="37B82D37"/>
    <w:rsid w:val="37BB1880"/>
    <w:rsid w:val="37BF7DD8"/>
    <w:rsid w:val="37CA6F5D"/>
    <w:rsid w:val="37CF39F4"/>
    <w:rsid w:val="37DE142C"/>
    <w:rsid w:val="37DF4E44"/>
    <w:rsid w:val="38093CF4"/>
    <w:rsid w:val="38132FDB"/>
    <w:rsid w:val="381523AC"/>
    <w:rsid w:val="3816611D"/>
    <w:rsid w:val="381A7833"/>
    <w:rsid w:val="381D6FCC"/>
    <w:rsid w:val="38255502"/>
    <w:rsid w:val="382563C3"/>
    <w:rsid w:val="382B10C6"/>
    <w:rsid w:val="384502C9"/>
    <w:rsid w:val="384757BF"/>
    <w:rsid w:val="384A568A"/>
    <w:rsid w:val="384C2E85"/>
    <w:rsid w:val="384D7A6B"/>
    <w:rsid w:val="38527F5E"/>
    <w:rsid w:val="38576EB1"/>
    <w:rsid w:val="385B78DA"/>
    <w:rsid w:val="385E7289"/>
    <w:rsid w:val="386B3647"/>
    <w:rsid w:val="386F64C6"/>
    <w:rsid w:val="38724636"/>
    <w:rsid w:val="38755246"/>
    <w:rsid w:val="38850F2D"/>
    <w:rsid w:val="388F47CD"/>
    <w:rsid w:val="3891497A"/>
    <w:rsid w:val="38921D1F"/>
    <w:rsid w:val="38934709"/>
    <w:rsid w:val="3899545E"/>
    <w:rsid w:val="389B63CB"/>
    <w:rsid w:val="389D36E7"/>
    <w:rsid w:val="38AD0AAC"/>
    <w:rsid w:val="38AF121A"/>
    <w:rsid w:val="38B10DA8"/>
    <w:rsid w:val="38B94B51"/>
    <w:rsid w:val="38B976FB"/>
    <w:rsid w:val="38BB5EDA"/>
    <w:rsid w:val="38C6779A"/>
    <w:rsid w:val="38DC2A26"/>
    <w:rsid w:val="38DC5040"/>
    <w:rsid w:val="38EA0958"/>
    <w:rsid w:val="38EA292A"/>
    <w:rsid w:val="38EB3140"/>
    <w:rsid w:val="38F71493"/>
    <w:rsid w:val="38FC7F68"/>
    <w:rsid w:val="390150BD"/>
    <w:rsid w:val="39015BC8"/>
    <w:rsid w:val="390A29CF"/>
    <w:rsid w:val="39132EBE"/>
    <w:rsid w:val="3923223F"/>
    <w:rsid w:val="392C3404"/>
    <w:rsid w:val="393F3649"/>
    <w:rsid w:val="39434B25"/>
    <w:rsid w:val="39442CC4"/>
    <w:rsid w:val="39473C95"/>
    <w:rsid w:val="394A3B36"/>
    <w:rsid w:val="394C053B"/>
    <w:rsid w:val="394E0439"/>
    <w:rsid w:val="39532D05"/>
    <w:rsid w:val="395A1855"/>
    <w:rsid w:val="395E1405"/>
    <w:rsid w:val="3962425A"/>
    <w:rsid w:val="396E504E"/>
    <w:rsid w:val="396F7993"/>
    <w:rsid w:val="39741673"/>
    <w:rsid w:val="397F2866"/>
    <w:rsid w:val="39850A26"/>
    <w:rsid w:val="39893783"/>
    <w:rsid w:val="399108C7"/>
    <w:rsid w:val="399B6654"/>
    <w:rsid w:val="399C23C2"/>
    <w:rsid w:val="399E7C65"/>
    <w:rsid w:val="39A118CD"/>
    <w:rsid w:val="39A337DD"/>
    <w:rsid w:val="39B1002C"/>
    <w:rsid w:val="39B75345"/>
    <w:rsid w:val="39BA1CF7"/>
    <w:rsid w:val="39BA2065"/>
    <w:rsid w:val="39C83126"/>
    <w:rsid w:val="39CD4753"/>
    <w:rsid w:val="39D037AF"/>
    <w:rsid w:val="39D466BD"/>
    <w:rsid w:val="39D7158B"/>
    <w:rsid w:val="39DC1B39"/>
    <w:rsid w:val="39E03897"/>
    <w:rsid w:val="39E125BA"/>
    <w:rsid w:val="39EE1B0B"/>
    <w:rsid w:val="39F17FFD"/>
    <w:rsid w:val="39F24322"/>
    <w:rsid w:val="39FA1859"/>
    <w:rsid w:val="3A03384A"/>
    <w:rsid w:val="3A066160"/>
    <w:rsid w:val="3A083121"/>
    <w:rsid w:val="3A0D48B1"/>
    <w:rsid w:val="3A0F51BC"/>
    <w:rsid w:val="3A1810FA"/>
    <w:rsid w:val="3A2441B7"/>
    <w:rsid w:val="3A274488"/>
    <w:rsid w:val="3A28048B"/>
    <w:rsid w:val="3A336331"/>
    <w:rsid w:val="3A425B7A"/>
    <w:rsid w:val="3A431472"/>
    <w:rsid w:val="3A474B1C"/>
    <w:rsid w:val="3A5207B4"/>
    <w:rsid w:val="3A541BF5"/>
    <w:rsid w:val="3A553D9F"/>
    <w:rsid w:val="3A597477"/>
    <w:rsid w:val="3A5A285A"/>
    <w:rsid w:val="3A5E32B9"/>
    <w:rsid w:val="3A646A00"/>
    <w:rsid w:val="3A697F71"/>
    <w:rsid w:val="3A6A4AC7"/>
    <w:rsid w:val="3A6E26C3"/>
    <w:rsid w:val="3A6F0BDF"/>
    <w:rsid w:val="3A72622B"/>
    <w:rsid w:val="3A75769F"/>
    <w:rsid w:val="3A7A025B"/>
    <w:rsid w:val="3A7E2244"/>
    <w:rsid w:val="3A861E9F"/>
    <w:rsid w:val="3A897BA1"/>
    <w:rsid w:val="3A9038DA"/>
    <w:rsid w:val="3A936647"/>
    <w:rsid w:val="3A9E4B32"/>
    <w:rsid w:val="3A9F1B2C"/>
    <w:rsid w:val="3AA04C49"/>
    <w:rsid w:val="3AA54470"/>
    <w:rsid w:val="3AA913CF"/>
    <w:rsid w:val="3AB86069"/>
    <w:rsid w:val="3AC036CC"/>
    <w:rsid w:val="3AC205A6"/>
    <w:rsid w:val="3AC257A4"/>
    <w:rsid w:val="3AC334CD"/>
    <w:rsid w:val="3AD16134"/>
    <w:rsid w:val="3AD17201"/>
    <w:rsid w:val="3AD17EBD"/>
    <w:rsid w:val="3ADE382E"/>
    <w:rsid w:val="3AEA3CFC"/>
    <w:rsid w:val="3AF044A5"/>
    <w:rsid w:val="3AFC4CC9"/>
    <w:rsid w:val="3B00301D"/>
    <w:rsid w:val="3B1752EE"/>
    <w:rsid w:val="3B1C35AC"/>
    <w:rsid w:val="3B1F0CAE"/>
    <w:rsid w:val="3B22468C"/>
    <w:rsid w:val="3B292A67"/>
    <w:rsid w:val="3B3155AA"/>
    <w:rsid w:val="3B3E0B10"/>
    <w:rsid w:val="3B4F1508"/>
    <w:rsid w:val="3B580D61"/>
    <w:rsid w:val="3B696BF9"/>
    <w:rsid w:val="3B6F0DCA"/>
    <w:rsid w:val="3B754E06"/>
    <w:rsid w:val="3B7B2B0A"/>
    <w:rsid w:val="3B7C7B97"/>
    <w:rsid w:val="3B8372AE"/>
    <w:rsid w:val="3B914065"/>
    <w:rsid w:val="3B9F483C"/>
    <w:rsid w:val="3BB249F7"/>
    <w:rsid w:val="3BBE3122"/>
    <w:rsid w:val="3BC20515"/>
    <w:rsid w:val="3BC53C74"/>
    <w:rsid w:val="3BC60370"/>
    <w:rsid w:val="3BC62C0D"/>
    <w:rsid w:val="3BC772AB"/>
    <w:rsid w:val="3BC812C8"/>
    <w:rsid w:val="3BD741DE"/>
    <w:rsid w:val="3BE7491F"/>
    <w:rsid w:val="3BE82033"/>
    <w:rsid w:val="3BEF3F98"/>
    <w:rsid w:val="3BF01125"/>
    <w:rsid w:val="3BF1165C"/>
    <w:rsid w:val="3BF82655"/>
    <w:rsid w:val="3BF90B59"/>
    <w:rsid w:val="3C035D20"/>
    <w:rsid w:val="3C0C1C74"/>
    <w:rsid w:val="3C12184A"/>
    <w:rsid w:val="3C165216"/>
    <w:rsid w:val="3C20030B"/>
    <w:rsid w:val="3C220A63"/>
    <w:rsid w:val="3C257E8D"/>
    <w:rsid w:val="3C286FD8"/>
    <w:rsid w:val="3C326DEB"/>
    <w:rsid w:val="3C3C1378"/>
    <w:rsid w:val="3C497D33"/>
    <w:rsid w:val="3C5A342C"/>
    <w:rsid w:val="3C5C0867"/>
    <w:rsid w:val="3C5E471A"/>
    <w:rsid w:val="3C656EED"/>
    <w:rsid w:val="3C685003"/>
    <w:rsid w:val="3C6D452D"/>
    <w:rsid w:val="3C6E7843"/>
    <w:rsid w:val="3C727A71"/>
    <w:rsid w:val="3C732FE2"/>
    <w:rsid w:val="3C786DE5"/>
    <w:rsid w:val="3C7A20C3"/>
    <w:rsid w:val="3C7A3669"/>
    <w:rsid w:val="3C7D3E58"/>
    <w:rsid w:val="3C882BD0"/>
    <w:rsid w:val="3C94545E"/>
    <w:rsid w:val="3C975DCC"/>
    <w:rsid w:val="3C9912FB"/>
    <w:rsid w:val="3CAE0651"/>
    <w:rsid w:val="3CBC2D9B"/>
    <w:rsid w:val="3CC5588D"/>
    <w:rsid w:val="3CCD1D16"/>
    <w:rsid w:val="3CD83C07"/>
    <w:rsid w:val="3CD85D57"/>
    <w:rsid w:val="3CD87AA0"/>
    <w:rsid w:val="3CDA5112"/>
    <w:rsid w:val="3CDB62C1"/>
    <w:rsid w:val="3CE13BDF"/>
    <w:rsid w:val="3CE26359"/>
    <w:rsid w:val="3CE70364"/>
    <w:rsid w:val="3CFD4D35"/>
    <w:rsid w:val="3D064D69"/>
    <w:rsid w:val="3D0E3667"/>
    <w:rsid w:val="3D0E399D"/>
    <w:rsid w:val="3D0E6C5A"/>
    <w:rsid w:val="3D123F8D"/>
    <w:rsid w:val="3D12721E"/>
    <w:rsid w:val="3D1B45BC"/>
    <w:rsid w:val="3D27093B"/>
    <w:rsid w:val="3D351ADA"/>
    <w:rsid w:val="3D3D6CB6"/>
    <w:rsid w:val="3D444248"/>
    <w:rsid w:val="3D4B2FA5"/>
    <w:rsid w:val="3D527DA5"/>
    <w:rsid w:val="3D546058"/>
    <w:rsid w:val="3D5461A9"/>
    <w:rsid w:val="3D58650A"/>
    <w:rsid w:val="3D590765"/>
    <w:rsid w:val="3D5A6060"/>
    <w:rsid w:val="3D640E16"/>
    <w:rsid w:val="3D67132F"/>
    <w:rsid w:val="3D7B0D27"/>
    <w:rsid w:val="3D7E27A0"/>
    <w:rsid w:val="3D874F51"/>
    <w:rsid w:val="3D896CEB"/>
    <w:rsid w:val="3D9A2D6C"/>
    <w:rsid w:val="3D9D0681"/>
    <w:rsid w:val="3DAF1596"/>
    <w:rsid w:val="3DB52668"/>
    <w:rsid w:val="3DD3077A"/>
    <w:rsid w:val="3DDF7A0D"/>
    <w:rsid w:val="3DFD4BBE"/>
    <w:rsid w:val="3E00097B"/>
    <w:rsid w:val="3E011326"/>
    <w:rsid w:val="3E024B7B"/>
    <w:rsid w:val="3E104548"/>
    <w:rsid w:val="3E19435F"/>
    <w:rsid w:val="3E1B47C8"/>
    <w:rsid w:val="3E20393D"/>
    <w:rsid w:val="3E205773"/>
    <w:rsid w:val="3E264903"/>
    <w:rsid w:val="3E2806A1"/>
    <w:rsid w:val="3E2E35CB"/>
    <w:rsid w:val="3E31025E"/>
    <w:rsid w:val="3E342DA3"/>
    <w:rsid w:val="3E471ABE"/>
    <w:rsid w:val="3E4755F9"/>
    <w:rsid w:val="3E492A39"/>
    <w:rsid w:val="3E4B1409"/>
    <w:rsid w:val="3E556354"/>
    <w:rsid w:val="3E6336EF"/>
    <w:rsid w:val="3E660D1B"/>
    <w:rsid w:val="3E6E2E9E"/>
    <w:rsid w:val="3E8222F7"/>
    <w:rsid w:val="3E8258B1"/>
    <w:rsid w:val="3E8821CE"/>
    <w:rsid w:val="3E88411A"/>
    <w:rsid w:val="3E92738B"/>
    <w:rsid w:val="3E99456A"/>
    <w:rsid w:val="3EA0570F"/>
    <w:rsid w:val="3EA2409C"/>
    <w:rsid w:val="3EAD3D57"/>
    <w:rsid w:val="3EAF02B7"/>
    <w:rsid w:val="3EB1188E"/>
    <w:rsid w:val="3EB428B4"/>
    <w:rsid w:val="3EBD63D7"/>
    <w:rsid w:val="3EC07733"/>
    <w:rsid w:val="3EC334A7"/>
    <w:rsid w:val="3EC678BC"/>
    <w:rsid w:val="3ED01824"/>
    <w:rsid w:val="3EE067CA"/>
    <w:rsid w:val="3EEF26AB"/>
    <w:rsid w:val="3EF21C38"/>
    <w:rsid w:val="3EF57D05"/>
    <w:rsid w:val="3EF96B38"/>
    <w:rsid w:val="3F002CCF"/>
    <w:rsid w:val="3F0566FF"/>
    <w:rsid w:val="3F0605BE"/>
    <w:rsid w:val="3F06365D"/>
    <w:rsid w:val="3F0A3CA5"/>
    <w:rsid w:val="3F0B1DB8"/>
    <w:rsid w:val="3F0C44E7"/>
    <w:rsid w:val="3F0E6EA3"/>
    <w:rsid w:val="3F122278"/>
    <w:rsid w:val="3F155D82"/>
    <w:rsid w:val="3F261DEC"/>
    <w:rsid w:val="3F305E06"/>
    <w:rsid w:val="3F453E8A"/>
    <w:rsid w:val="3F47737F"/>
    <w:rsid w:val="3F523976"/>
    <w:rsid w:val="3F52626A"/>
    <w:rsid w:val="3F5322DF"/>
    <w:rsid w:val="3F556A35"/>
    <w:rsid w:val="3F5867B3"/>
    <w:rsid w:val="3F5A301C"/>
    <w:rsid w:val="3F637202"/>
    <w:rsid w:val="3F65418C"/>
    <w:rsid w:val="3F664F14"/>
    <w:rsid w:val="3F6763B0"/>
    <w:rsid w:val="3F6D1D36"/>
    <w:rsid w:val="3F6D2017"/>
    <w:rsid w:val="3F7339EB"/>
    <w:rsid w:val="3F770167"/>
    <w:rsid w:val="3F7D65D1"/>
    <w:rsid w:val="3F836296"/>
    <w:rsid w:val="3F9526FD"/>
    <w:rsid w:val="3F960218"/>
    <w:rsid w:val="3F9B508E"/>
    <w:rsid w:val="3FA01128"/>
    <w:rsid w:val="3FA10F73"/>
    <w:rsid w:val="3FA51002"/>
    <w:rsid w:val="3FA5548C"/>
    <w:rsid w:val="3FB1448E"/>
    <w:rsid w:val="3FB33F0F"/>
    <w:rsid w:val="3FB56B87"/>
    <w:rsid w:val="3FB827B0"/>
    <w:rsid w:val="3FB9798A"/>
    <w:rsid w:val="3FBC4DF5"/>
    <w:rsid w:val="3FBE226E"/>
    <w:rsid w:val="3FC74EA5"/>
    <w:rsid w:val="3FC80A13"/>
    <w:rsid w:val="3FC924C5"/>
    <w:rsid w:val="3FD001E0"/>
    <w:rsid w:val="3FD35125"/>
    <w:rsid w:val="3FDD5AA3"/>
    <w:rsid w:val="3FDD60EB"/>
    <w:rsid w:val="3FE1611D"/>
    <w:rsid w:val="3FE9762E"/>
    <w:rsid w:val="3FEB7EF7"/>
    <w:rsid w:val="3FF0534A"/>
    <w:rsid w:val="3FFC6AA1"/>
    <w:rsid w:val="3FFE725C"/>
    <w:rsid w:val="400D4689"/>
    <w:rsid w:val="40171E63"/>
    <w:rsid w:val="401B305E"/>
    <w:rsid w:val="401C023A"/>
    <w:rsid w:val="401E624D"/>
    <w:rsid w:val="403E0225"/>
    <w:rsid w:val="4040700B"/>
    <w:rsid w:val="404B5E9D"/>
    <w:rsid w:val="40505926"/>
    <w:rsid w:val="405074F9"/>
    <w:rsid w:val="40592E1A"/>
    <w:rsid w:val="40742B10"/>
    <w:rsid w:val="40851F94"/>
    <w:rsid w:val="40860806"/>
    <w:rsid w:val="408727EE"/>
    <w:rsid w:val="40881B05"/>
    <w:rsid w:val="408B015C"/>
    <w:rsid w:val="408D2092"/>
    <w:rsid w:val="40987E91"/>
    <w:rsid w:val="40AE535D"/>
    <w:rsid w:val="40B323C5"/>
    <w:rsid w:val="40B40F93"/>
    <w:rsid w:val="40B77C21"/>
    <w:rsid w:val="40BB1B3B"/>
    <w:rsid w:val="40C87F0D"/>
    <w:rsid w:val="40E13187"/>
    <w:rsid w:val="40E4111E"/>
    <w:rsid w:val="40F110C9"/>
    <w:rsid w:val="40F71EFC"/>
    <w:rsid w:val="40FA7D3C"/>
    <w:rsid w:val="40FC6040"/>
    <w:rsid w:val="41013098"/>
    <w:rsid w:val="41046C1A"/>
    <w:rsid w:val="410A66D3"/>
    <w:rsid w:val="411252F5"/>
    <w:rsid w:val="41216561"/>
    <w:rsid w:val="4126157E"/>
    <w:rsid w:val="412E1703"/>
    <w:rsid w:val="41341D04"/>
    <w:rsid w:val="41463814"/>
    <w:rsid w:val="414E4666"/>
    <w:rsid w:val="415840E7"/>
    <w:rsid w:val="415C6645"/>
    <w:rsid w:val="415D4AA5"/>
    <w:rsid w:val="415E3F30"/>
    <w:rsid w:val="41634269"/>
    <w:rsid w:val="416D1041"/>
    <w:rsid w:val="416F185F"/>
    <w:rsid w:val="41755F8B"/>
    <w:rsid w:val="417E6FB2"/>
    <w:rsid w:val="41804E56"/>
    <w:rsid w:val="418B61F9"/>
    <w:rsid w:val="418C5064"/>
    <w:rsid w:val="41901D5A"/>
    <w:rsid w:val="41A26E55"/>
    <w:rsid w:val="41AE168E"/>
    <w:rsid w:val="41B000EA"/>
    <w:rsid w:val="41B625DB"/>
    <w:rsid w:val="41BB28C5"/>
    <w:rsid w:val="41C505B5"/>
    <w:rsid w:val="41D7643D"/>
    <w:rsid w:val="41D80DF6"/>
    <w:rsid w:val="41F41099"/>
    <w:rsid w:val="41F4144D"/>
    <w:rsid w:val="41F425A0"/>
    <w:rsid w:val="41FD1E4D"/>
    <w:rsid w:val="42004A07"/>
    <w:rsid w:val="42036CED"/>
    <w:rsid w:val="420445BE"/>
    <w:rsid w:val="42044B55"/>
    <w:rsid w:val="42106699"/>
    <w:rsid w:val="421D3532"/>
    <w:rsid w:val="422747DE"/>
    <w:rsid w:val="423D7E2C"/>
    <w:rsid w:val="42405192"/>
    <w:rsid w:val="424E5AF8"/>
    <w:rsid w:val="4253494B"/>
    <w:rsid w:val="42563DD4"/>
    <w:rsid w:val="425F0874"/>
    <w:rsid w:val="42605991"/>
    <w:rsid w:val="42624CEC"/>
    <w:rsid w:val="42667AD5"/>
    <w:rsid w:val="426B2083"/>
    <w:rsid w:val="42745271"/>
    <w:rsid w:val="42746AFF"/>
    <w:rsid w:val="427A2426"/>
    <w:rsid w:val="428622E0"/>
    <w:rsid w:val="428740C5"/>
    <w:rsid w:val="4295023B"/>
    <w:rsid w:val="42A72E3E"/>
    <w:rsid w:val="42A9771E"/>
    <w:rsid w:val="42AB3CF1"/>
    <w:rsid w:val="42AF06BF"/>
    <w:rsid w:val="42AF744D"/>
    <w:rsid w:val="42B97DE2"/>
    <w:rsid w:val="42BE1411"/>
    <w:rsid w:val="42BF0482"/>
    <w:rsid w:val="42C3638C"/>
    <w:rsid w:val="42C8399F"/>
    <w:rsid w:val="42CC1C77"/>
    <w:rsid w:val="42CE7CBC"/>
    <w:rsid w:val="42E67A2D"/>
    <w:rsid w:val="42EF6EDD"/>
    <w:rsid w:val="42F63370"/>
    <w:rsid w:val="4303189E"/>
    <w:rsid w:val="43043B4B"/>
    <w:rsid w:val="430C0701"/>
    <w:rsid w:val="431D662D"/>
    <w:rsid w:val="431D7413"/>
    <w:rsid w:val="43230977"/>
    <w:rsid w:val="43260906"/>
    <w:rsid w:val="4329778C"/>
    <w:rsid w:val="432A433E"/>
    <w:rsid w:val="432F48E4"/>
    <w:rsid w:val="433451E7"/>
    <w:rsid w:val="433454E3"/>
    <w:rsid w:val="43380FA2"/>
    <w:rsid w:val="433914CB"/>
    <w:rsid w:val="434030C7"/>
    <w:rsid w:val="434321EE"/>
    <w:rsid w:val="434C3803"/>
    <w:rsid w:val="4357411B"/>
    <w:rsid w:val="43624524"/>
    <w:rsid w:val="436E4602"/>
    <w:rsid w:val="43773B38"/>
    <w:rsid w:val="437C303F"/>
    <w:rsid w:val="437E59F4"/>
    <w:rsid w:val="437F0235"/>
    <w:rsid w:val="438108B1"/>
    <w:rsid w:val="438127FD"/>
    <w:rsid w:val="438C318F"/>
    <w:rsid w:val="438D2962"/>
    <w:rsid w:val="439125BA"/>
    <w:rsid w:val="439E21D0"/>
    <w:rsid w:val="43A136C2"/>
    <w:rsid w:val="43A47C8D"/>
    <w:rsid w:val="43A51CEB"/>
    <w:rsid w:val="43A922AD"/>
    <w:rsid w:val="43AE228C"/>
    <w:rsid w:val="43B03D9F"/>
    <w:rsid w:val="43B2322B"/>
    <w:rsid w:val="43B27B0F"/>
    <w:rsid w:val="43BD17B6"/>
    <w:rsid w:val="43BF433F"/>
    <w:rsid w:val="43C60D41"/>
    <w:rsid w:val="43C71A8C"/>
    <w:rsid w:val="43CB49D5"/>
    <w:rsid w:val="43CC296D"/>
    <w:rsid w:val="43D10BA3"/>
    <w:rsid w:val="43D51B86"/>
    <w:rsid w:val="43D5596E"/>
    <w:rsid w:val="43D946DF"/>
    <w:rsid w:val="43DD3E84"/>
    <w:rsid w:val="43E63A35"/>
    <w:rsid w:val="43EA4AD8"/>
    <w:rsid w:val="43EA731F"/>
    <w:rsid w:val="43EF4362"/>
    <w:rsid w:val="43F5608C"/>
    <w:rsid w:val="43FA20D7"/>
    <w:rsid w:val="440433D0"/>
    <w:rsid w:val="44081998"/>
    <w:rsid w:val="440A1D09"/>
    <w:rsid w:val="44105FE6"/>
    <w:rsid w:val="44163757"/>
    <w:rsid w:val="442E6250"/>
    <w:rsid w:val="44304862"/>
    <w:rsid w:val="44336B29"/>
    <w:rsid w:val="44411D78"/>
    <w:rsid w:val="444255C8"/>
    <w:rsid w:val="44555450"/>
    <w:rsid w:val="44565401"/>
    <w:rsid w:val="445C184B"/>
    <w:rsid w:val="445C1F8C"/>
    <w:rsid w:val="445C2CEB"/>
    <w:rsid w:val="44623D2C"/>
    <w:rsid w:val="4469425C"/>
    <w:rsid w:val="446C5925"/>
    <w:rsid w:val="44715BA6"/>
    <w:rsid w:val="44744DE1"/>
    <w:rsid w:val="4480267E"/>
    <w:rsid w:val="44813BCD"/>
    <w:rsid w:val="44825908"/>
    <w:rsid w:val="448F333F"/>
    <w:rsid w:val="449A5595"/>
    <w:rsid w:val="44A273D7"/>
    <w:rsid w:val="44A3165A"/>
    <w:rsid w:val="44A949BB"/>
    <w:rsid w:val="44B47D28"/>
    <w:rsid w:val="44BE6AFA"/>
    <w:rsid w:val="44BE7B38"/>
    <w:rsid w:val="44C10C52"/>
    <w:rsid w:val="44C4343F"/>
    <w:rsid w:val="44CC5637"/>
    <w:rsid w:val="44CE1860"/>
    <w:rsid w:val="44D01EAB"/>
    <w:rsid w:val="44D61276"/>
    <w:rsid w:val="44F550F4"/>
    <w:rsid w:val="44FB2020"/>
    <w:rsid w:val="450005C9"/>
    <w:rsid w:val="450E225C"/>
    <w:rsid w:val="450E5F3E"/>
    <w:rsid w:val="451C3C3F"/>
    <w:rsid w:val="45202195"/>
    <w:rsid w:val="45275A78"/>
    <w:rsid w:val="45282E33"/>
    <w:rsid w:val="45361C96"/>
    <w:rsid w:val="45367180"/>
    <w:rsid w:val="453936A0"/>
    <w:rsid w:val="454B27CA"/>
    <w:rsid w:val="4555071F"/>
    <w:rsid w:val="455B027F"/>
    <w:rsid w:val="45634F36"/>
    <w:rsid w:val="456433C3"/>
    <w:rsid w:val="4566286A"/>
    <w:rsid w:val="456653F0"/>
    <w:rsid w:val="456745BB"/>
    <w:rsid w:val="45677DA7"/>
    <w:rsid w:val="45736E48"/>
    <w:rsid w:val="45743F66"/>
    <w:rsid w:val="45761FD8"/>
    <w:rsid w:val="457B0C49"/>
    <w:rsid w:val="45864B77"/>
    <w:rsid w:val="458A06CD"/>
    <w:rsid w:val="458D3A63"/>
    <w:rsid w:val="4597177B"/>
    <w:rsid w:val="45A85821"/>
    <w:rsid w:val="45AA0EA4"/>
    <w:rsid w:val="45AC57A6"/>
    <w:rsid w:val="45AF03CF"/>
    <w:rsid w:val="45B23BD8"/>
    <w:rsid w:val="45B31674"/>
    <w:rsid w:val="45B52BBB"/>
    <w:rsid w:val="45C3178B"/>
    <w:rsid w:val="45C56C6C"/>
    <w:rsid w:val="45C81474"/>
    <w:rsid w:val="45C85D55"/>
    <w:rsid w:val="45C91BC6"/>
    <w:rsid w:val="45CD1312"/>
    <w:rsid w:val="45CE3F02"/>
    <w:rsid w:val="45DE2684"/>
    <w:rsid w:val="45E349A9"/>
    <w:rsid w:val="45F22D7B"/>
    <w:rsid w:val="45F25B71"/>
    <w:rsid w:val="45F6092A"/>
    <w:rsid w:val="45FD29AC"/>
    <w:rsid w:val="46122C2B"/>
    <w:rsid w:val="461E6998"/>
    <w:rsid w:val="46202725"/>
    <w:rsid w:val="4622618B"/>
    <w:rsid w:val="4624768B"/>
    <w:rsid w:val="46283409"/>
    <w:rsid w:val="462E1DEC"/>
    <w:rsid w:val="462F257F"/>
    <w:rsid w:val="46316796"/>
    <w:rsid w:val="46436765"/>
    <w:rsid w:val="464C5980"/>
    <w:rsid w:val="464C598F"/>
    <w:rsid w:val="46541012"/>
    <w:rsid w:val="46595BDC"/>
    <w:rsid w:val="465B04AA"/>
    <w:rsid w:val="466467A4"/>
    <w:rsid w:val="466B7E63"/>
    <w:rsid w:val="46726232"/>
    <w:rsid w:val="46731512"/>
    <w:rsid w:val="46795DED"/>
    <w:rsid w:val="468843FE"/>
    <w:rsid w:val="469849B7"/>
    <w:rsid w:val="46991FD8"/>
    <w:rsid w:val="469D4E61"/>
    <w:rsid w:val="46A36DFD"/>
    <w:rsid w:val="46BC2272"/>
    <w:rsid w:val="46D62B88"/>
    <w:rsid w:val="46D929E4"/>
    <w:rsid w:val="46DA3CDF"/>
    <w:rsid w:val="46DD3A97"/>
    <w:rsid w:val="46E122D5"/>
    <w:rsid w:val="46E51519"/>
    <w:rsid w:val="46E72217"/>
    <w:rsid w:val="46EB56D0"/>
    <w:rsid w:val="46EF6BE5"/>
    <w:rsid w:val="46F94629"/>
    <w:rsid w:val="46FE33A2"/>
    <w:rsid w:val="47034B98"/>
    <w:rsid w:val="47067487"/>
    <w:rsid w:val="470675DD"/>
    <w:rsid w:val="47102BE0"/>
    <w:rsid w:val="47115999"/>
    <w:rsid w:val="47123D8D"/>
    <w:rsid w:val="471651A2"/>
    <w:rsid w:val="47195C33"/>
    <w:rsid w:val="472322A2"/>
    <w:rsid w:val="472E14A0"/>
    <w:rsid w:val="472F2F47"/>
    <w:rsid w:val="47304A60"/>
    <w:rsid w:val="47321070"/>
    <w:rsid w:val="47383706"/>
    <w:rsid w:val="473F3443"/>
    <w:rsid w:val="47442FEA"/>
    <w:rsid w:val="47476898"/>
    <w:rsid w:val="474825BA"/>
    <w:rsid w:val="47524966"/>
    <w:rsid w:val="47557E4F"/>
    <w:rsid w:val="475E1AB6"/>
    <w:rsid w:val="4764753D"/>
    <w:rsid w:val="47663624"/>
    <w:rsid w:val="4779594B"/>
    <w:rsid w:val="477E3FE9"/>
    <w:rsid w:val="478E58BD"/>
    <w:rsid w:val="47933AFC"/>
    <w:rsid w:val="47946581"/>
    <w:rsid w:val="47997ECC"/>
    <w:rsid w:val="47A938A8"/>
    <w:rsid w:val="47AD2393"/>
    <w:rsid w:val="47AF4DB4"/>
    <w:rsid w:val="47C05960"/>
    <w:rsid w:val="47CA211A"/>
    <w:rsid w:val="47CE6AD8"/>
    <w:rsid w:val="47D00B76"/>
    <w:rsid w:val="47D266F4"/>
    <w:rsid w:val="47EB3A88"/>
    <w:rsid w:val="47ED09EA"/>
    <w:rsid w:val="47F03825"/>
    <w:rsid w:val="47F67231"/>
    <w:rsid w:val="47F72583"/>
    <w:rsid w:val="47FE4F97"/>
    <w:rsid w:val="48014995"/>
    <w:rsid w:val="48043BE9"/>
    <w:rsid w:val="48050F31"/>
    <w:rsid w:val="480B064E"/>
    <w:rsid w:val="48152A57"/>
    <w:rsid w:val="481B77EC"/>
    <w:rsid w:val="481F00E4"/>
    <w:rsid w:val="48230137"/>
    <w:rsid w:val="482A5E63"/>
    <w:rsid w:val="48357C17"/>
    <w:rsid w:val="483602D1"/>
    <w:rsid w:val="48360F72"/>
    <w:rsid w:val="48466EDC"/>
    <w:rsid w:val="486022F2"/>
    <w:rsid w:val="486505C9"/>
    <w:rsid w:val="48717233"/>
    <w:rsid w:val="487736C7"/>
    <w:rsid w:val="48794416"/>
    <w:rsid w:val="487C52A2"/>
    <w:rsid w:val="4886149A"/>
    <w:rsid w:val="48870995"/>
    <w:rsid w:val="488933F6"/>
    <w:rsid w:val="488F18B7"/>
    <w:rsid w:val="489C5A7F"/>
    <w:rsid w:val="489C5B95"/>
    <w:rsid w:val="489F248C"/>
    <w:rsid w:val="48A47128"/>
    <w:rsid w:val="48A53F58"/>
    <w:rsid w:val="48AA10E1"/>
    <w:rsid w:val="48AF1323"/>
    <w:rsid w:val="48B2080D"/>
    <w:rsid w:val="48B5518F"/>
    <w:rsid w:val="48BE6136"/>
    <w:rsid w:val="48C17060"/>
    <w:rsid w:val="48D22DB3"/>
    <w:rsid w:val="48D93445"/>
    <w:rsid w:val="48D9627C"/>
    <w:rsid w:val="48DA1D9C"/>
    <w:rsid w:val="48DC218D"/>
    <w:rsid w:val="48DF3D7D"/>
    <w:rsid w:val="48E4725A"/>
    <w:rsid w:val="48E915DE"/>
    <w:rsid w:val="48EB611E"/>
    <w:rsid w:val="48F7177C"/>
    <w:rsid w:val="48F9720D"/>
    <w:rsid w:val="490008E6"/>
    <w:rsid w:val="490425AB"/>
    <w:rsid w:val="49047124"/>
    <w:rsid w:val="49076238"/>
    <w:rsid w:val="49104838"/>
    <w:rsid w:val="49200C47"/>
    <w:rsid w:val="49250443"/>
    <w:rsid w:val="49267368"/>
    <w:rsid w:val="49276313"/>
    <w:rsid w:val="492F1B04"/>
    <w:rsid w:val="4930158D"/>
    <w:rsid w:val="493166F2"/>
    <w:rsid w:val="493E2578"/>
    <w:rsid w:val="4943084D"/>
    <w:rsid w:val="495B2F5A"/>
    <w:rsid w:val="49660B64"/>
    <w:rsid w:val="496E056A"/>
    <w:rsid w:val="497930F9"/>
    <w:rsid w:val="497E5F0E"/>
    <w:rsid w:val="49863345"/>
    <w:rsid w:val="49895BF9"/>
    <w:rsid w:val="49896889"/>
    <w:rsid w:val="498B006E"/>
    <w:rsid w:val="4999673F"/>
    <w:rsid w:val="499C126E"/>
    <w:rsid w:val="49A20032"/>
    <w:rsid w:val="49A82756"/>
    <w:rsid w:val="49A86BF4"/>
    <w:rsid w:val="49A902DE"/>
    <w:rsid w:val="49A961CD"/>
    <w:rsid w:val="49B337E8"/>
    <w:rsid w:val="49B57903"/>
    <w:rsid w:val="49BB0B72"/>
    <w:rsid w:val="49CD3C98"/>
    <w:rsid w:val="49E27CCF"/>
    <w:rsid w:val="49F44446"/>
    <w:rsid w:val="49F543E3"/>
    <w:rsid w:val="49FA00AE"/>
    <w:rsid w:val="4A037F7B"/>
    <w:rsid w:val="4A0C3345"/>
    <w:rsid w:val="4A12511A"/>
    <w:rsid w:val="4A1C6B3C"/>
    <w:rsid w:val="4A2A339F"/>
    <w:rsid w:val="4A3849A0"/>
    <w:rsid w:val="4A3B0ADD"/>
    <w:rsid w:val="4A3D1213"/>
    <w:rsid w:val="4A405618"/>
    <w:rsid w:val="4A42752E"/>
    <w:rsid w:val="4A463FDD"/>
    <w:rsid w:val="4A4D2C8C"/>
    <w:rsid w:val="4A4D6FE1"/>
    <w:rsid w:val="4A4F464E"/>
    <w:rsid w:val="4A500FF5"/>
    <w:rsid w:val="4A51053D"/>
    <w:rsid w:val="4A541B9F"/>
    <w:rsid w:val="4A5B2412"/>
    <w:rsid w:val="4A603371"/>
    <w:rsid w:val="4A665A8F"/>
    <w:rsid w:val="4A6B6C00"/>
    <w:rsid w:val="4A7A1A7F"/>
    <w:rsid w:val="4A7B1C95"/>
    <w:rsid w:val="4A7C6D92"/>
    <w:rsid w:val="4A80680F"/>
    <w:rsid w:val="4A8B2BFF"/>
    <w:rsid w:val="4A8C3D45"/>
    <w:rsid w:val="4A996D58"/>
    <w:rsid w:val="4AA637CE"/>
    <w:rsid w:val="4AAA2363"/>
    <w:rsid w:val="4AAC0232"/>
    <w:rsid w:val="4AB420A2"/>
    <w:rsid w:val="4AB42562"/>
    <w:rsid w:val="4AB971E8"/>
    <w:rsid w:val="4ABC4127"/>
    <w:rsid w:val="4AC14B57"/>
    <w:rsid w:val="4AC462B3"/>
    <w:rsid w:val="4AC908CA"/>
    <w:rsid w:val="4AC95E08"/>
    <w:rsid w:val="4ACC60F1"/>
    <w:rsid w:val="4ACE3D63"/>
    <w:rsid w:val="4AD13FBF"/>
    <w:rsid w:val="4AD37FB6"/>
    <w:rsid w:val="4AED546D"/>
    <w:rsid w:val="4AF15169"/>
    <w:rsid w:val="4AF33411"/>
    <w:rsid w:val="4AFC4739"/>
    <w:rsid w:val="4AFF7966"/>
    <w:rsid w:val="4B0F4D9F"/>
    <w:rsid w:val="4B2B654D"/>
    <w:rsid w:val="4B2D2A9B"/>
    <w:rsid w:val="4B313BE7"/>
    <w:rsid w:val="4B331125"/>
    <w:rsid w:val="4B3405F9"/>
    <w:rsid w:val="4B3D5A11"/>
    <w:rsid w:val="4B473804"/>
    <w:rsid w:val="4B5151AA"/>
    <w:rsid w:val="4B537CBF"/>
    <w:rsid w:val="4B550153"/>
    <w:rsid w:val="4B641191"/>
    <w:rsid w:val="4B694B3A"/>
    <w:rsid w:val="4B730932"/>
    <w:rsid w:val="4B76529F"/>
    <w:rsid w:val="4B797876"/>
    <w:rsid w:val="4B7A237E"/>
    <w:rsid w:val="4B815FB3"/>
    <w:rsid w:val="4B86443F"/>
    <w:rsid w:val="4B9A0C4D"/>
    <w:rsid w:val="4B9B3B70"/>
    <w:rsid w:val="4B9D5273"/>
    <w:rsid w:val="4B9E7936"/>
    <w:rsid w:val="4BAC176A"/>
    <w:rsid w:val="4BAF7A14"/>
    <w:rsid w:val="4BB7667A"/>
    <w:rsid w:val="4BBA25CD"/>
    <w:rsid w:val="4BBB242F"/>
    <w:rsid w:val="4BBB66CC"/>
    <w:rsid w:val="4BC15B7C"/>
    <w:rsid w:val="4BC22308"/>
    <w:rsid w:val="4BCC5B3C"/>
    <w:rsid w:val="4BD06F1C"/>
    <w:rsid w:val="4BD119E3"/>
    <w:rsid w:val="4BD11B2A"/>
    <w:rsid w:val="4BD13574"/>
    <w:rsid w:val="4BD47BEF"/>
    <w:rsid w:val="4BDA74DE"/>
    <w:rsid w:val="4BE06BCD"/>
    <w:rsid w:val="4BE413D6"/>
    <w:rsid w:val="4BE86538"/>
    <w:rsid w:val="4C001FDF"/>
    <w:rsid w:val="4C040A9A"/>
    <w:rsid w:val="4C0770C1"/>
    <w:rsid w:val="4C1F0776"/>
    <w:rsid w:val="4C232063"/>
    <w:rsid w:val="4C2503E2"/>
    <w:rsid w:val="4C2C299D"/>
    <w:rsid w:val="4C322608"/>
    <w:rsid w:val="4C3238CA"/>
    <w:rsid w:val="4C343A7F"/>
    <w:rsid w:val="4C380D78"/>
    <w:rsid w:val="4C3D0756"/>
    <w:rsid w:val="4C3D5FB7"/>
    <w:rsid w:val="4C4C1686"/>
    <w:rsid w:val="4C513E4B"/>
    <w:rsid w:val="4C603F1D"/>
    <w:rsid w:val="4C6211EA"/>
    <w:rsid w:val="4C635D18"/>
    <w:rsid w:val="4C670EB1"/>
    <w:rsid w:val="4C712086"/>
    <w:rsid w:val="4C7120EC"/>
    <w:rsid w:val="4C7B3D80"/>
    <w:rsid w:val="4C7C605E"/>
    <w:rsid w:val="4C7E2355"/>
    <w:rsid w:val="4C847264"/>
    <w:rsid w:val="4C970E7B"/>
    <w:rsid w:val="4CC1054F"/>
    <w:rsid w:val="4CCB1948"/>
    <w:rsid w:val="4CCE079D"/>
    <w:rsid w:val="4CCE3699"/>
    <w:rsid w:val="4CEA4F4D"/>
    <w:rsid w:val="4CEC58DB"/>
    <w:rsid w:val="4CEF637A"/>
    <w:rsid w:val="4CF00FB6"/>
    <w:rsid w:val="4CF16277"/>
    <w:rsid w:val="4CF4672D"/>
    <w:rsid w:val="4CFA2AAF"/>
    <w:rsid w:val="4D0325CF"/>
    <w:rsid w:val="4D035A68"/>
    <w:rsid w:val="4D0F26CE"/>
    <w:rsid w:val="4D147026"/>
    <w:rsid w:val="4D1478EC"/>
    <w:rsid w:val="4D165C91"/>
    <w:rsid w:val="4D235945"/>
    <w:rsid w:val="4D255F0E"/>
    <w:rsid w:val="4D2F06BA"/>
    <w:rsid w:val="4D304130"/>
    <w:rsid w:val="4D386B0D"/>
    <w:rsid w:val="4D4330D3"/>
    <w:rsid w:val="4D4B7DCE"/>
    <w:rsid w:val="4D545407"/>
    <w:rsid w:val="4D694F30"/>
    <w:rsid w:val="4D6B703C"/>
    <w:rsid w:val="4D717BA1"/>
    <w:rsid w:val="4D7F56C3"/>
    <w:rsid w:val="4D855FB9"/>
    <w:rsid w:val="4D8A0B26"/>
    <w:rsid w:val="4D904FEE"/>
    <w:rsid w:val="4D910D8A"/>
    <w:rsid w:val="4D935425"/>
    <w:rsid w:val="4D953CDB"/>
    <w:rsid w:val="4D97309D"/>
    <w:rsid w:val="4D9E090F"/>
    <w:rsid w:val="4DAC6E91"/>
    <w:rsid w:val="4DAE3711"/>
    <w:rsid w:val="4DB63BC4"/>
    <w:rsid w:val="4DB7591C"/>
    <w:rsid w:val="4DBB2984"/>
    <w:rsid w:val="4DCC46DA"/>
    <w:rsid w:val="4DDD5EB7"/>
    <w:rsid w:val="4DDE45A5"/>
    <w:rsid w:val="4DE265E9"/>
    <w:rsid w:val="4DE5023D"/>
    <w:rsid w:val="4DEB419D"/>
    <w:rsid w:val="4DF267CF"/>
    <w:rsid w:val="4DF6484E"/>
    <w:rsid w:val="4E043A0E"/>
    <w:rsid w:val="4E0B5D31"/>
    <w:rsid w:val="4E125681"/>
    <w:rsid w:val="4E1339D8"/>
    <w:rsid w:val="4E145C86"/>
    <w:rsid w:val="4E187CF8"/>
    <w:rsid w:val="4E1A5C2E"/>
    <w:rsid w:val="4E2B3781"/>
    <w:rsid w:val="4E337E4B"/>
    <w:rsid w:val="4E365771"/>
    <w:rsid w:val="4E3C3064"/>
    <w:rsid w:val="4E3C5DC0"/>
    <w:rsid w:val="4E446F8B"/>
    <w:rsid w:val="4E4D4DE2"/>
    <w:rsid w:val="4E5669BF"/>
    <w:rsid w:val="4E651EA6"/>
    <w:rsid w:val="4E6757B0"/>
    <w:rsid w:val="4E6C4048"/>
    <w:rsid w:val="4E783D17"/>
    <w:rsid w:val="4E805C19"/>
    <w:rsid w:val="4E836C4E"/>
    <w:rsid w:val="4E865BCD"/>
    <w:rsid w:val="4E957162"/>
    <w:rsid w:val="4E9E60B6"/>
    <w:rsid w:val="4EA27ACB"/>
    <w:rsid w:val="4EA60E85"/>
    <w:rsid w:val="4EAE3E03"/>
    <w:rsid w:val="4EB379F2"/>
    <w:rsid w:val="4EB838E0"/>
    <w:rsid w:val="4EBC3167"/>
    <w:rsid w:val="4EBC6632"/>
    <w:rsid w:val="4EBD4562"/>
    <w:rsid w:val="4EBD5620"/>
    <w:rsid w:val="4EBE0F4C"/>
    <w:rsid w:val="4ECD0F14"/>
    <w:rsid w:val="4ED017E4"/>
    <w:rsid w:val="4ED03B4F"/>
    <w:rsid w:val="4ED43AE8"/>
    <w:rsid w:val="4EDC1716"/>
    <w:rsid w:val="4EDF6F4B"/>
    <w:rsid w:val="4EE24F10"/>
    <w:rsid w:val="4EE77077"/>
    <w:rsid w:val="4EE8461F"/>
    <w:rsid w:val="4F0206C2"/>
    <w:rsid w:val="4F06414B"/>
    <w:rsid w:val="4F1A4FD6"/>
    <w:rsid w:val="4F1C2B4C"/>
    <w:rsid w:val="4F1E1A5A"/>
    <w:rsid w:val="4F2D5479"/>
    <w:rsid w:val="4F2E4FDB"/>
    <w:rsid w:val="4F3127D8"/>
    <w:rsid w:val="4F353521"/>
    <w:rsid w:val="4F3B798B"/>
    <w:rsid w:val="4F424396"/>
    <w:rsid w:val="4F461737"/>
    <w:rsid w:val="4F501AA5"/>
    <w:rsid w:val="4F507138"/>
    <w:rsid w:val="4F5431F2"/>
    <w:rsid w:val="4F594949"/>
    <w:rsid w:val="4F5A315B"/>
    <w:rsid w:val="4F664358"/>
    <w:rsid w:val="4F7041A7"/>
    <w:rsid w:val="4F7349ED"/>
    <w:rsid w:val="4F7C7D62"/>
    <w:rsid w:val="4F88390E"/>
    <w:rsid w:val="4F8865D2"/>
    <w:rsid w:val="4F9102E3"/>
    <w:rsid w:val="4F9A400D"/>
    <w:rsid w:val="4FA11827"/>
    <w:rsid w:val="4FA57761"/>
    <w:rsid w:val="4FA82F77"/>
    <w:rsid w:val="4FAB07C1"/>
    <w:rsid w:val="4FC12B67"/>
    <w:rsid w:val="4FD33643"/>
    <w:rsid w:val="4FD409F7"/>
    <w:rsid w:val="4FD41054"/>
    <w:rsid w:val="4FD66F8D"/>
    <w:rsid w:val="4FDB5605"/>
    <w:rsid w:val="4FDF7D08"/>
    <w:rsid w:val="4FE45662"/>
    <w:rsid w:val="4FE66728"/>
    <w:rsid w:val="4FE74DC2"/>
    <w:rsid w:val="4FF81090"/>
    <w:rsid w:val="4FFA1BE3"/>
    <w:rsid w:val="4FFF560B"/>
    <w:rsid w:val="50033BDE"/>
    <w:rsid w:val="50036BC4"/>
    <w:rsid w:val="500B0DCA"/>
    <w:rsid w:val="500C2A95"/>
    <w:rsid w:val="50133F8A"/>
    <w:rsid w:val="50140C07"/>
    <w:rsid w:val="50176E6F"/>
    <w:rsid w:val="50200664"/>
    <w:rsid w:val="502151EE"/>
    <w:rsid w:val="5022333C"/>
    <w:rsid w:val="50312196"/>
    <w:rsid w:val="50417E32"/>
    <w:rsid w:val="504768E3"/>
    <w:rsid w:val="504F0FB9"/>
    <w:rsid w:val="504F769B"/>
    <w:rsid w:val="50537FDD"/>
    <w:rsid w:val="50622728"/>
    <w:rsid w:val="507554C6"/>
    <w:rsid w:val="507D0063"/>
    <w:rsid w:val="508F1D63"/>
    <w:rsid w:val="508F6AC4"/>
    <w:rsid w:val="509631CF"/>
    <w:rsid w:val="509A55F2"/>
    <w:rsid w:val="50A36924"/>
    <w:rsid w:val="50A732FC"/>
    <w:rsid w:val="50AA341E"/>
    <w:rsid w:val="50AB4E2F"/>
    <w:rsid w:val="50AC2418"/>
    <w:rsid w:val="50B421A0"/>
    <w:rsid w:val="50B70FED"/>
    <w:rsid w:val="50BA643F"/>
    <w:rsid w:val="50BC2897"/>
    <w:rsid w:val="50D2215B"/>
    <w:rsid w:val="50DA2205"/>
    <w:rsid w:val="50E57F59"/>
    <w:rsid w:val="50EA61D3"/>
    <w:rsid w:val="50FC41E2"/>
    <w:rsid w:val="510319B4"/>
    <w:rsid w:val="510A4E7D"/>
    <w:rsid w:val="51187091"/>
    <w:rsid w:val="511E5EB5"/>
    <w:rsid w:val="51205217"/>
    <w:rsid w:val="51217565"/>
    <w:rsid w:val="512D5787"/>
    <w:rsid w:val="51371434"/>
    <w:rsid w:val="51382F84"/>
    <w:rsid w:val="513B4CBD"/>
    <w:rsid w:val="513F2A79"/>
    <w:rsid w:val="514E5DF0"/>
    <w:rsid w:val="51505C49"/>
    <w:rsid w:val="515F5290"/>
    <w:rsid w:val="515F5E7D"/>
    <w:rsid w:val="51621B03"/>
    <w:rsid w:val="51677ABF"/>
    <w:rsid w:val="51736010"/>
    <w:rsid w:val="517F4109"/>
    <w:rsid w:val="518140E8"/>
    <w:rsid w:val="518961AE"/>
    <w:rsid w:val="518B0D8B"/>
    <w:rsid w:val="51905BB3"/>
    <w:rsid w:val="519E4C2D"/>
    <w:rsid w:val="51A15787"/>
    <w:rsid w:val="51A23180"/>
    <w:rsid w:val="51A44533"/>
    <w:rsid w:val="51B12C2B"/>
    <w:rsid w:val="51B625E5"/>
    <w:rsid w:val="51BB3190"/>
    <w:rsid w:val="51C31AB3"/>
    <w:rsid w:val="51C50057"/>
    <w:rsid w:val="51CA6470"/>
    <w:rsid w:val="51CF3752"/>
    <w:rsid w:val="51D221A2"/>
    <w:rsid w:val="51DB590D"/>
    <w:rsid w:val="51DC7D4F"/>
    <w:rsid w:val="51E372D3"/>
    <w:rsid w:val="51E952C3"/>
    <w:rsid w:val="51F763C2"/>
    <w:rsid w:val="52082F0E"/>
    <w:rsid w:val="520A4FD4"/>
    <w:rsid w:val="520A6A40"/>
    <w:rsid w:val="520B29B2"/>
    <w:rsid w:val="52165ED6"/>
    <w:rsid w:val="52170D68"/>
    <w:rsid w:val="521832FA"/>
    <w:rsid w:val="521B5CF1"/>
    <w:rsid w:val="521E330E"/>
    <w:rsid w:val="52210969"/>
    <w:rsid w:val="52250331"/>
    <w:rsid w:val="52251937"/>
    <w:rsid w:val="52291DE3"/>
    <w:rsid w:val="522D32DC"/>
    <w:rsid w:val="522E032A"/>
    <w:rsid w:val="522E48FA"/>
    <w:rsid w:val="52436B21"/>
    <w:rsid w:val="52476CBE"/>
    <w:rsid w:val="52541687"/>
    <w:rsid w:val="525808AD"/>
    <w:rsid w:val="52606B21"/>
    <w:rsid w:val="526142ED"/>
    <w:rsid w:val="52675267"/>
    <w:rsid w:val="526A42D2"/>
    <w:rsid w:val="527456A0"/>
    <w:rsid w:val="52775B19"/>
    <w:rsid w:val="527820D3"/>
    <w:rsid w:val="5286536B"/>
    <w:rsid w:val="528D1636"/>
    <w:rsid w:val="528F6528"/>
    <w:rsid w:val="5294173C"/>
    <w:rsid w:val="52A573D4"/>
    <w:rsid w:val="52AE3C1C"/>
    <w:rsid w:val="52B15A0B"/>
    <w:rsid w:val="52B277B6"/>
    <w:rsid w:val="52B539F6"/>
    <w:rsid w:val="52B87EDF"/>
    <w:rsid w:val="52C2744F"/>
    <w:rsid w:val="52CF2A7E"/>
    <w:rsid w:val="52D52D8A"/>
    <w:rsid w:val="52D70C29"/>
    <w:rsid w:val="52E07E6E"/>
    <w:rsid w:val="52E2403D"/>
    <w:rsid w:val="52E87FC9"/>
    <w:rsid w:val="52EA3010"/>
    <w:rsid w:val="52EE6354"/>
    <w:rsid w:val="52EF275D"/>
    <w:rsid w:val="53035F10"/>
    <w:rsid w:val="530445BC"/>
    <w:rsid w:val="53073E74"/>
    <w:rsid w:val="530F3CD2"/>
    <w:rsid w:val="53176C42"/>
    <w:rsid w:val="53184746"/>
    <w:rsid w:val="531972CB"/>
    <w:rsid w:val="53227F73"/>
    <w:rsid w:val="532342A1"/>
    <w:rsid w:val="532E4AC7"/>
    <w:rsid w:val="533E55DF"/>
    <w:rsid w:val="5360600D"/>
    <w:rsid w:val="53703765"/>
    <w:rsid w:val="5376095E"/>
    <w:rsid w:val="537A04E8"/>
    <w:rsid w:val="537D7719"/>
    <w:rsid w:val="53874180"/>
    <w:rsid w:val="53910730"/>
    <w:rsid w:val="53991F46"/>
    <w:rsid w:val="53A430C7"/>
    <w:rsid w:val="53B71A0D"/>
    <w:rsid w:val="53BA49C0"/>
    <w:rsid w:val="53BF11FF"/>
    <w:rsid w:val="53C2398F"/>
    <w:rsid w:val="53C92C10"/>
    <w:rsid w:val="53CF606A"/>
    <w:rsid w:val="53D111B0"/>
    <w:rsid w:val="53D73576"/>
    <w:rsid w:val="53E22364"/>
    <w:rsid w:val="53E35749"/>
    <w:rsid w:val="53EB4289"/>
    <w:rsid w:val="53EE07E8"/>
    <w:rsid w:val="53F67F24"/>
    <w:rsid w:val="53FE5A9E"/>
    <w:rsid w:val="540B221A"/>
    <w:rsid w:val="54193A5D"/>
    <w:rsid w:val="541C5A78"/>
    <w:rsid w:val="54257FE2"/>
    <w:rsid w:val="5428581F"/>
    <w:rsid w:val="542B47E5"/>
    <w:rsid w:val="54312A0A"/>
    <w:rsid w:val="54451C08"/>
    <w:rsid w:val="5450152B"/>
    <w:rsid w:val="545412A1"/>
    <w:rsid w:val="54591BCD"/>
    <w:rsid w:val="546936FE"/>
    <w:rsid w:val="546A602B"/>
    <w:rsid w:val="547034CA"/>
    <w:rsid w:val="54724933"/>
    <w:rsid w:val="547801F9"/>
    <w:rsid w:val="54877824"/>
    <w:rsid w:val="54967702"/>
    <w:rsid w:val="549B60CA"/>
    <w:rsid w:val="54A746D1"/>
    <w:rsid w:val="54B14984"/>
    <w:rsid w:val="54B34E33"/>
    <w:rsid w:val="54BC09E2"/>
    <w:rsid w:val="54C257FC"/>
    <w:rsid w:val="54C51C65"/>
    <w:rsid w:val="54C766D3"/>
    <w:rsid w:val="54DB3842"/>
    <w:rsid w:val="54E32310"/>
    <w:rsid w:val="54E35B83"/>
    <w:rsid w:val="54E5570D"/>
    <w:rsid w:val="54E656A9"/>
    <w:rsid w:val="54E85406"/>
    <w:rsid w:val="54EE0227"/>
    <w:rsid w:val="54EE4DEC"/>
    <w:rsid w:val="54F1490A"/>
    <w:rsid w:val="54F93AE7"/>
    <w:rsid w:val="54F97DEB"/>
    <w:rsid w:val="55012EF3"/>
    <w:rsid w:val="55022588"/>
    <w:rsid w:val="550D4E7F"/>
    <w:rsid w:val="551B3ADB"/>
    <w:rsid w:val="55252910"/>
    <w:rsid w:val="552677BE"/>
    <w:rsid w:val="552E2F45"/>
    <w:rsid w:val="55313992"/>
    <w:rsid w:val="553772EA"/>
    <w:rsid w:val="553A6D2E"/>
    <w:rsid w:val="553F5453"/>
    <w:rsid w:val="5546635B"/>
    <w:rsid w:val="55507B46"/>
    <w:rsid w:val="55534568"/>
    <w:rsid w:val="555A0EDC"/>
    <w:rsid w:val="55677E49"/>
    <w:rsid w:val="55692EAC"/>
    <w:rsid w:val="55714147"/>
    <w:rsid w:val="557C295E"/>
    <w:rsid w:val="557C5B0B"/>
    <w:rsid w:val="55806AF4"/>
    <w:rsid w:val="55812735"/>
    <w:rsid w:val="55861EC8"/>
    <w:rsid w:val="5588140B"/>
    <w:rsid w:val="55891D85"/>
    <w:rsid w:val="5592013C"/>
    <w:rsid w:val="559E5E07"/>
    <w:rsid w:val="55A57957"/>
    <w:rsid w:val="55AA469C"/>
    <w:rsid w:val="55BC12E8"/>
    <w:rsid w:val="55BD3120"/>
    <w:rsid w:val="55BF56EA"/>
    <w:rsid w:val="55C103AC"/>
    <w:rsid w:val="55C423B5"/>
    <w:rsid w:val="55C6074D"/>
    <w:rsid w:val="55C86079"/>
    <w:rsid w:val="55CC5297"/>
    <w:rsid w:val="55D31938"/>
    <w:rsid w:val="55DA77E0"/>
    <w:rsid w:val="55EE6E58"/>
    <w:rsid w:val="55F2238E"/>
    <w:rsid w:val="55F24132"/>
    <w:rsid w:val="55FB05FF"/>
    <w:rsid w:val="55FC794D"/>
    <w:rsid w:val="56012A7B"/>
    <w:rsid w:val="56172C84"/>
    <w:rsid w:val="56206259"/>
    <w:rsid w:val="562219AC"/>
    <w:rsid w:val="56230DC5"/>
    <w:rsid w:val="562B59B0"/>
    <w:rsid w:val="56387876"/>
    <w:rsid w:val="56391384"/>
    <w:rsid w:val="564C27AB"/>
    <w:rsid w:val="565222DD"/>
    <w:rsid w:val="565907FF"/>
    <w:rsid w:val="565D6940"/>
    <w:rsid w:val="566101A8"/>
    <w:rsid w:val="56666AC5"/>
    <w:rsid w:val="56701442"/>
    <w:rsid w:val="56793306"/>
    <w:rsid w:val="56797C74"/>
    <w:rsid w:val="568116C5"/>
    <w:rsid w:val="568F0B4D"/>
    <w:rsid w:val="5691640E"/>
    <w:rsid w:val="56927F4A"/>
    <w:rsid w:val="569C03A7"/>
    <w:rsid w:val="569E53D6"/>
    <w:rsid w:val="56A304C3"/>
    <w:rsid w:val="56AD16B1"/>
    <w:rsid w:val="56B44FF7"/>
    <w:rsid w:val="56B76AF7"/>
    <w:rsid w:val="56BA0EDB"/>
    <w:rsid w:val="56BA5BFC"/>
    <w:rsid w:val="56D60D34"/>
    <w:rsid w:val="56DA1A1C"/>
    <w:rsid w:val="56E90EF6"/>
    <w:rsid w:val="56F50794"/>
    <w:rsid w:val="56F82259"/>
    <w:rsid w:val="56FC12BF"/>
    <w:rsid w:val="56FE5AE3"/>
    <w:rsid w:val="570426CC"/>
    <w:rsid w:val="57103E85"/>
    <w:rsid w:val="57167A78"/>
    <w:rsid w:val="571E4103"/>
    <w:rsid w:val="5724356E"/>
    <w:rsid w:val="573B396A"/>
    <w:rsid w:val="576019A8"/>
    <w:rsid w:val="576E1A2E"/>
    <w:rsid w:val="576F00D0"/>
    <w:rsid w:val="57780B15"/>
    <w:rsid w:val="577C7921"/>
    <w:rsid w:val="577D6052"/>
    <w:rsid w:val="578130EB"/>
    <w:rsid w:val="5781472D"/>
    <w:rsid w:val="57842581"/>
    <w:rsid w:val="57860B1C"/>
    <w:rsid w:val="578F1CC6"/>
    <w:rsid w:val="579016BB"/>
    <w:rsid w:val="579131AA"/>
    <w:rsid w:val="57961B8E"/>
    <w:rsid w:val="579A34FF"/>
    <w:rsid w:val="57A05D52"/>
    <w:rsid w:val="57A65B21"/>
    <w:rsid w:val="57A93B1C"/>
    <w:rsid w:val="57AC71EF"/>
    <w:rsid w:val="57B30CCB"/>
    <w:rsid w:val="57B82FE8"/>
    <w:rsid w:val="57BA183B"/>
    <w:rsid w:val="57BC21E8"/>
    <w:rsid w:val="57C64CE3"/>
    <w:rsid w:val="57CF1AC2"/>
    <w:rsid w:val="57CF411E"/>
    <w:rsid w:val="57CF6469"/>
    <w:rsid w:val="57D20F94"/>
    <w:rsid w:val="57E359C9"/>
    <w:rsid w:val="57E8494C"/>
    <w:rsid w:val="57F75230"/>
    <w:rsid w:val="57FA5E75"/>
    <w:rsid w:val="58000E35"/>
    <w:rsid w:val="58222E9F"/>
    <w:rsid w:val="582D3231"/>
    <w:rsid w:val="58316A55"/>
    <w:rsid w:val="583F3207"/>
    <w:rsid w:val="58452DB9"/>
    <w:rsid w:val="5846017C"/>
    <w:rsid w:val="58484E27"/>
    <w:rsid w:val="58514B7B"/>
    <w:rsid w:val="58525C17"/>
    <w:rsid w:val="58592455"/>
    <w:rsid w:val="586815ED"/>
    <w:rsid w:val="586B3009"/>
    <w:rsid w:val="58775EED"/>
    <w:rsid w:val="58790B5B"/>
    <w:rsid w:val="588D7FDD"/>
    <w:rsid w:val="58924ECC"/>
    <w:rsid w:val="589511CE"/>
    <w:rsid w:val="5895256C"/>
    <w:rsid w:val="58965AA7"/>
    <w:rsid w:val="5899451C"/>
    <w:rsid w:val="589C6409"/>
    <w:rsid w:val="589D4D39"/>
    <w:rsid w:val="58A34E0C"/>
    <w:rsid w:val="58AE31F5"/>
    <w:rsid w:val="58B354B8"/>
    <w:rsid w:val="58B60FB7"/>
    <w:rsid w:val="58BB01CF"/>
    <w:rsid w:val="58BD1D42"/>
    <w:rsid w:val="58C04526"/>
    <w:rsid w:val="58C15643"/>
    <w:rsid w:val="58C925C7"/>
    <w:rsid w:val="58DE296B"/>
    <w:rsid w:val="58E05B85"/>
    <w:rsid w:val="58F141D6"/>
    <w:rsid w:val="58F9654F"/>
    <w:rsid w:val="58F979E8"/>
    <w:rsid w:val="58FB6C25"/>
    <w:rsid w:val="58FE08ED"/>
    <w:rsid w:val="59061DAE"/>
    <w:rsid w:val="590E4EED"/>
    <w:rsid w:val="5914669F"/>
    <w:rsid w:val="591557DB"/>
    <w:rsid w:val="591A5C30"/>
    <w:rsid w:val="591C4B79"/>
    <w:rsid w:val="591F2957"/>
    <w:rsid w:val="59262A74"/>
    <w:rsid w:val="592F1CE2"/>
    <w:rsid w:val="59371CA9"/>
    <w:rsid w:val="593C5853"/>
    <w:rsid w:val="593E005D"/>
    <w:rsid w:val="5940158A"/>
    <w:rsid w:val="594606CC"/>
    <w:rsid w:val="594B6D49"/>
    <w:rsid w:val="59697600"/>
    <w:rsid w:val="596C25D4"/>
    <w:rsid w:val="597028E6"/>
    <w:rsid w:val="597D38D7"/>
    <w:rsid w:val="598A75D0"/>
    <w:rsid w:val="59935094"/>
    <w:rsid w:val="5995496F"/>
    <w:rsid w:val="59A62A34"/>
    <w:rsid w:val="59AB1748"/>
    <w:rsid w:val="59B159CB"/>
    <w:rsid w:val="59B51848"/>
    <w:rsid w:val="59BC67AC"/>
    <w:rsid w:val="59C03938"/>
    <w:rsid w:val="59C811F1"/>
    <w:rsid w:val="59C83D69"/>
    <w:rsid w:val="59CB01B4"/>
    <w:rsid w:val="59CC0DAD"/>
    <w:rsid w:val="59CF1C3E"/>
    <w:rsid w:val="59D87B36"/>
    <w:rsid w:val="59E57113"/>
    <w:rsid w:val="59E91981"/>
    <w:rsid w:val="59F22823"/>
    <w:rsid w:val="59F35BF5"/>
    <w:rsid w:val="59F42704"/>
    <w:rsid w:val="59FD1C88"/>
    <w:rsid w:val="5A0020BE"/>
    <w:rsid w:val="5A02215A"/>
    <w:rsid w:val="5A0823EC"/>
    <w:rsid w:val="5A0B4999"/>
    <w:rsid w:val="5A1219E8"/>
    <w:rsid w:val="5A1601E1"/>
    <w:rsid w:val="5A1A2003"/>
    <w:rsid w:val="5A2023BC"/>
    <w:rsid w:val="5A2534E2"/>
    <w:rsid w:val="5A272110"/>
    <w:rsid w:val="5A2F52ED"/>
    <w:rsid w:val="5A307C26"/>
    <w:rsid w:val="5A341010"/>
    <w:rsid w:val="5A3A1517"/>
    <w:rsid w:val="5A4D351E"/>
    <w:rsid w:val="5A507300"/>
    <w:rsid w:val="5A51154D"/>
    <w:rsid w:val="5A523957"/>
    <w:rsid w:val="5A532CC8"/>
    <w:rsid w:val="5A612789"/>
    <w:rsid w:val="5A6543C4"/>
    <w:rsid w:val="5A6A5675"/>
    <w:rsid w:val="5A6E205B"/>
    <w:rsid w:val="5A7B2C70"/>
    <w:rsid w:val="5A7C2218"/>
    <w:rsid w:val="5A7C5822"/>
    <w:rsid w:val="5A847FE5"/>
    <w:rsid w:val="5A916654"/>
    <w:rsid w:val="5A9B3B8F"/>
    <w:rsid w:val="5A9E6004"/>
    <w:rsid w:val="5AAB402B"/>
    <w:rsid w:val="5AAF46FD"/>
    <w:rsid w:val="5AB36954"/>
    <w:rsid w:val="5ABE401A"/>
    <w:rsid w:val="5AC526EE"/>
    <w:rsid w:val="5ACB4B14"/>
    <w:rsid w:val="5AD07327"/>
    <w:rsid w:val="5AD45224"/>
    <w:rsid w:val="5ADA5032"/>
    <w:rsid w:val="5ADC6365"/>
    <w:rsid w:val="5B0A16D4"/>
    <w:rsid w:val="5B0B0FE2"/>
    <w:rsid w:val="5B1029A0"/>
    <w:rsid w:val="5B18258F"/>
    <w:rsid w:val="5B28216A"/>
    <w:rsid w:val="5B2B1ACA"/>
    <w:rsid w:val="5B302C2D"/>
    <w:rsid w:val="5B33397C"/>
    <w:rsid w:val="5B35552C"/>
    <w:rsid w:val="5B356E68"/>
    <w:rsid w:val="5B3A4E8A"/>
    <w:rsid w:val="5B43203B"/>
    <w:rsid w:val="5B485D9E"/>
    <w:rsid w:val="5B4E4DA1"/>
    <w:rsid w:val="5B5335BE"/>
    <w:rsid w:val="5B613886"/>
    <w:rsid w:val="5B6A6045"/>
    <w:rsid w:val="5B6C39BD"/>
    <w:rsid w:val="5B7B1E82"/>
    <w:rsid w:val="5B862B77"/>
    <w:rsid w:val="5B944D80"/>
    <w:rsid w:val="5B9509FD"/>
    <w:rsid w:val="5BAB4BEE"/>
    <w:rsid w:val="5BB210AD"/>
    <w:rsid w:val="5BB47B97"/>
    <w:rsid w:val="5BB81EEF"/>
    <w:rsid w:val="5BC23198"/>
    <w:rsid w:val="5BC3049A"/>
    <w:rsid w:val="5BC52C1C"/>
    <w:rsid w:val="5BCE2157"/>
    <w:rsid w:val="5BD2376F"/>
    <w:rsid w:val="5BEA66B7"/>
    <w:rsid w:val="5BEB4DCC"/>
    <w:rsid w:val="5BF81226"/>
    <w:rsid w:val="5BFB7485"/>
    <w:rsid w:val="5C0042AF"/>
    <w:rsid w:val="5C021D5C"/>
    <w:rsid w:val="5C097E8B"/>
    <w:rsid w:val="5C0E1887"/>
    <w:rsid w:val="5C0E448E"/>
    <w:rsid w:val="5C116FBD"/>
    <w:rsid w:val="5C18254C"/>
    <w:rsid w:val="5C1B2C25"/>
    <w:rsid w:val="5C1E0099"/>
    <w:rsid w:val="5C24204D"/>
    <w:rsid w:val="5C261AD7"/>
    <w:rsid w:val="5C2A4D2E"/>
    <w:rsid w:val="5C2E032C"/>
    <w:rsid w:val="5C317C76"/>
    <w:rsid w:val="5C35045C"/>
    <w:rsid w:val="5C3B0435"/>
    <w:rsid w:val="5C3C5668"/>
    <w:rsid w:val="5C3C56AD"/>
    <w:rsid w:val="5C3D32DD"/>
    <w:rsid w:val="5C3E4B55"/>
    <w:rsid w:val="5C404666"/>
    <w:rsid w:val="5C422461"/>
    <w:rsid w:val="5C48686D"/>
    <w:rsid w:val="5C4F52A1"/>
    <w:rsid w:val="5C4F75E7"/>
    <w:rsid w:val="5C50319B"/>
    <w:rsid w:val="5C511614"/>
    <w:rsid w:val="5C520197"/>
    <w:rsid w:val="5C5371DE"/>
    <w:rsid w:val="5C5F094C"/>
    <w:rsid w:val="5C603564"/>
    <w:rsid w:val="5C633837"/>
    <w:rsid w:val="5C6B674F"/>
    <w:rsid w:val="5C6F57DC"/>
    <w:rsid w:val="5C7E0DF8"/>
    <w:rsid w:val="5C7E39D8"/>
    <w:rsid w:val="5C8A31FF"/>
    <w:rsid w:val="5C9F55AA"/>
    <w:rsid w:val="5CA474D4"/>
    <w:rsid w:val="5CA84AC1"/>
    <w:rsid w:val="5CAC4293"/>
    <w:rsid w:val="5CB64B19"/>
    <w:rsid w:val="5CBD7A62"/>
    <w:rsid w:val="5CC164AE"/>
    <w:rsid w:val="5CC22998"/>
    <w:rsid w:val="5CC5766D"/>
    <w:rsid w:val="5CC829D4"/>
    <w:rsid w:val="5CD22245"/>
    <w:rsid w:val="5CD612EC"/>
    <w:rsid w:val="5CD620EF"/>
    <w:rsid w:val="5CD63CB1"/>
    <w:rsid w:val="5CD75EB0"/>
    <w:rsid w:val="5CE00BB1"/>
    <w:rsid w:val="5CE76E4E"/>
    <w:rsid w:val="5CE97CE3"/>
    <w:rsid w:val="5CF06B97"/>
    <w:rsid w:val="5CF85D55"/>
    <w:rsid w:val="5CFA67A0"/>
    <w:rsid w:val="5CFF2C7D"/>
    <w:rsid w:val="5CFF66F4"/>
    <w:rsid w:val="5D042519"/>
    <w:rsid w:val="5D0E09BF"/>
    <w:rsid w:val="5D10070C"/>
    <w:rsid w:val="5D1077A1"/>
    <w:rsid w:val="5D193562"/>
    <w:rsid w:val="5D232DD8"/>
    <w:rsid w:val="5D2360DD"/>
    <w:rsid w:val="5D360039"/>
    <w:rsid w:val="5D3A22F4"/>
    <w:rsid w:val="5D3D681F"/>
    <w:rsid w:val="5D421B63"/>
    <w:rsid w:val="5D467576"/>
    <w:rsid w:val="5D4B2525"/>
    <w:rsid w:val="5D543240"/>
    <w:rsid w:val="5D5434CB"/>
    <w:rsid w:val="5D5A25C6"/>
    <w:rsid w:val="5D645AF7"/>
    <w:rsid w:val="5D697151"/>
    <w:rsid w:val="5D7070A0"/>
    <w:rsid w:val="5D7B2BAE"/>
    <w:rsid w:val="5D893541"/>
    <w:rsid w:val="5D8C28B4"/>
    <w:rsid w:val="5D8E7C73"/>
    <w:rsid w:val="5D974515"/>
    <w:rsid w:val="5D9832F3"/>
    <w:rsid w:val="5D9934EC"/>
    <w:rsid w:val="5D9C1E54"/>
    <w:rsid w:val="5DAB1E9E"/>
    <w:rsid w:val="5DB53FF3"/>
    <w:rsid w:val="5DB81F70"/>
    <w:rsid w:val="5DBC3F54"/>
    <w:rsid w:val="5DC328CA"/>
    <w:rsid w:val="5DCA57DD"/>
    <w:rsid w:val="5DD74A14"/>
    <w:rsid w:val="5DDB163B"/>
    <w:rsid w:val="5DDC2477"/>
    <w:rsid w:val="5DDC2877"/>
    <w:rsid w:val="5DF11D42"/>
    <w:rsid w:val="5DFA2E17"/>
    <w:rsid w:val="5DFB0C01"/>
    <w:rsid w:val="5E006537"/>
    <w:rsid w:val="5E1D2155"/>
    <w:rsid w:val="5E2374D1"/>
    <w:rsid w:val="5E401AFE"/>
    <w:rsid w:val="5E454E01"/>
    <w:rsid w:val="5E490493"/>
    <w:rsid w:val="5E4C4204"/>
    <w:rsid w:val="5E4D4054"/>
    <w:rsid w:val="5E4F4CEC"/>
    <w:rsid w:val="5E517BBA"/>
    <w:rsid w:val="5E521705"/>
    <w:rsid w:val="5E650FB2"/>
    <w:rsid w:val="5E656142"/>
    <w:rsid w:val="5E680B19"/>
    <w:rsid w:val="5E7334F8"/>
    <w:rsid w:val="5E7805FF"/>
    <w:rsid w:val="5E7859D6"/>
    <w:rsid w:val="5E842B6A"/>
    <w:rsid w:val="5E875A07"/>
    <w:rsid w:val="5E8C1E30"/>
    <w:rsid w:val="5E911FAC"/>
    <w:rsid w:val="5E92137B"/>
    <w:rsid w:val="5E9373FC"/>
    <w:rsid w:val="5EA67DEF"/>
    <w:rsid w:val="5EA736D1"/>
    <w:rsid w:val="5EAA11B3"/>
    <w:rsid w:val="5EB70697"/>
    <w:rsid w:val="5EB95510"/>
    <w:rsid w:val="5EB956EE"/>
    <w:rsid w:val="5EC57A3D"/>
    <w:rsid w:val="5ECB275F"/>
    <w:rsid w:val="5ECE2836"/>
    <w:rsid w:val="5EDB5813"/>
    <w:rsid w:val="5EDE3A55"/>
    <w:rsid w:val="5EE2308E"/>
    <w:rsid w:val="5EE35C8C"/>
    <w:rsid w:val="5EEC409E"/>
    <w:rsid w:val="5EF2448C"/>
    <w:rsid w:val="5EF442F3"/>
    <w:rsid w:val="5F051F15"/>
    <w:rsid w:val="5F222082"/>
    <w:rsid w:val="5F37319D"/>
    <w:rsid w:val="5F3A21FA"/>
    <w:rsid w:val="5F490636"/>
    <w:rsid w:val="5F4A6244"/>
    <w:rsid w:val="5F6219E5"/>
    <w:rsid w:val="5F7C4F33"/>
    <w:rsid w:val="5F7D5743"/>
    <w:rsid w:val="5F810563"/>
    <w:rsid w:val="5F824D0A"/>
    <w:rsid w:val="5F902061"/>
    <w:rsid w:val="5F91364B"/>
    <w:rsid w:val="5F942C15"/>
    <w:rsid w:val="5F982E68"/>
    <w:rsid w:val="5F983E67"/>
    <w:rsid w:val="5FA57B43"/>
    <w:rsid w:val="5FB560BB"/>
    <w:rsid w:val="5FB62CD8"/>
    <w:rsid w:val="5FC20790"/>
    <w:rsid w:val="5FC87F8E"/>
    <w:rsid w:val="5FC91DE9"/>
    <w:rsid w:val="5FCE57F6"/>
    <w:rsid w:val="5FD820A7"/>
    <w:rsid w:val="5FDF0C33"/>
    <w:rsid w:val="5FE25D83"/>
    <w:rsid w:val="5FE5232B"/>
    <w:rsid w:val="5FEC3C05"/>
    <w:rsid w:val="5FF020A1"/>
    <w:rsid w:val="5FFC5DE4"/>
    <w:rsid w:val="600F241C"/>
    <w:rsid w:val="60112156"/>
    <w:rsid w:val="60127ACF"/>
    <w:rsid w:val="60195F65"/>
    <w:rsid w:val="60200E33"/>
    <w:rsid w:val="6023016C"/>
    <w:rsid w:val="602924AC"/>
    <w:rsid w:val="602B5AAA"/>
    <w:rsid w:val="60334B2A"/>
    <w:rsid w:val="603E7B8A"/>
    <w:rsid w:val="60420933"/>
    <w:rsid w:val="6056292C"/>
    <w:rsid w:val="6063156C"/>
    <w:rsid w:val="606502AC"/>
    <w:rsid w:val="60660D11"/>
    <w:rsid w:val="606611B7"/>
    <w:rsid w:val="60687B01"/>
    <w:rsid w:val="606D5453"/>
    <w:rsid w:val="607044B9"/>
    <w:rsid w:val="60760530"/>
    <w:rsid w:val="6078579C"/>
    <w:rsid w:val="608159C3"/>
    <w:rsid w:val="60841E8A"/>
    <w:rsid w:val="60904724"/>
    <w:rsid w:val="60924935"/>
    <w:rsid w:val="60934023"/>
    <w:rsid w:val="60947BEA"/>
    <w:rsid w:val="609B6315"/>
    <w:rsid w:val="60AC169F"/>
    <w:rsid w:val="60AF0E29"/>
    <w:rsid w:val="60B43DFD"/>
    <w:rsid w:val="60B55179"/>
    <w:rsid w:val="60BF5745"/>
    <w:rsid w:val="60C47684"/>
    <w:rsid w:val="60C90EA4"/>
    <w:rsid w:val="60CA2396"/>
    <w:rsid w:val="60CF0514"/>
    <w:rsid w:val="60D07484"/>
    <w:rsid w:val="60D10C0F"/>
    <w:rsid w:val="60D3569F"/>
    <w:rsid w:val="60D4537B"/>
    <w:rsid w:val="60D74889"/>
    <w:rsid w:val="60E02B8F"/>
    <w:rsid w:val="60E26F48"/>
    <w:rsid w:val="60E92E1A"/>
    <w:rsid w:val="60ED6BA8"/>
    <w:rsid w:val="60F37DA9"/>
    <w:rsid w:val="60FA110C"/>
    <w:rsid w:val="60FA46E4"/>
    <w:rsid w:val="60FD3753"/>
    <w:rsid w:val="60FE00AF"/>
    <w:rsid w:val="60FE35D0"/>
    <w:rsid w:val="6101046D"/>
    <w:rsid w:val="61047EF9"/>
    <w:rsid w:val="61064296"/>
    <w:rsid w:val="610864CC"/>
    <w:rsid w:val="610958BB"/>
    <w:rsid w:val="610A63CC"/>
    <w:rsid w:val="611558FC"/>
    <w:rsid w:val="61164EEF"/>
    <w:rsid w:val="61176A85"/>
    <w:rsid w:val="611A697F"/>
    <w:rsid w:val="61206479"/>
    <w:rsid w:val="612143A4"/>
    <w:rsid w:val="61221695"/>
    <w:rsid w:val="6124184C"/>
    <w:rsid w:val="61254671"/>
    <w:rsid w:val="612E3337"/>
    <w:rsid w:val="614050A9"/>
    <w:rsid w:val="61465E1A"/>
    <w:rsid w:val="614B5BCE"/>
    <w:rsid w:val="614D1495"/>
    <w:rsid w:val="614D2B5A"/>
    <w:rsid w:val="6155426A"/>
    <w:rsid w:val="615755AF"/>
    <w:rsid w:val="615D6475"/>
    <w:rsid w:val="61620240"/>
    <w:rsid w:val="616730ED"/>
    <w:rsid w:val="616C2054"/>
    <w:rsid w:val="616E3976"/>
    <w:rsid w:val="617D0D60"/>
    <w:rsid w:val="618321F0"/>
    <w:rsid w:val="618563BE"/>
    <w:rsid w:val="61861C69"/>
    <w:rsid w:val="61867017"/>
    <w:rsid w:val="618B084B"/>
    <w:rsid w:val="618E1E6E"/>
    <w:rsid w:val="618F22FB"/>
    <w:rsid w:val="61A85DF7"/>
    <w:rsid w:val="61B15149"/>
    <w:rsid w:val="61B16AF8"/>
    <w:rsid w:val="61B71C73"/>
    <w:rsid w:val="61C56900"/>
    <w:rsid w:val="61C73EC2"/>
    <w:rsid w:val="61D32FE5"/>
    <w:rsid w:val="61D9528D"/>
    <w:rsid w:val="61DA6BBA"/>
    <w:rsid w:val="61DE7C3D"/>
    <w:rsid w:val="61E1330A"/>
    <w:rsid w:val="61E51E0F"/>
    <w:rsid w:val="61E852C9"/>
    <w:rsid w:val="61EE26FB"/>
    <w:rsid w:val="61EE28BD"/>
    <w:rsid w:val="61F0115C"/>
    <w:rsid w:val="61FA5B62"/>
    <w:rsid w:val="6203062B"/>
    <w:rsid w:val="62070260"/>
    <w:rsid w:val="620A5E09"/>
    <w:rsid w:val="62164CFF"/>
    <w:rsid w:val="6222428F"/>
    <w:rsid w:val="623328EA"/>
    <w:rsid w:val="62390C34"/>
    <w:rsid w:val="6239162C"/>
    <w:rsid w:val="623D4624"/>
    <w:rsid w:val="623D5E3F"/>
    <w:rsid w:val="6241252A"/>
    <w:rsid w:val="62464E95"/>
    <w:rsid w:val="62475095"/>
    <w:rsid w:val="625377EA"/>
    <w:rsid w:val="625D49CE"/>
    <w:rsid w:val="6260455B"/>
    <w:rsid w:val="626114D6"/>
    <w:rsid w:val="6268560F"/>
    <w:rsid w:val="627C049D"/>
    <w:rsid w:val="627E327C"/>
    <w:rsid w:val="628E6DF2"/>
    <w:rsid w:val="62971DFA"/>
    <w:rsid w:val="629963D8"/>
    <w:rsid w:val="62B3642B"/>
    <w:rsid w:val="62B91CB2"/>
    <w:rsid w:val="62E05F11"/>
    <w:rsid w:val="62E70CE0"/>
    <w:rsid w:val="62F00E21"/>
    <w:rsid w:val="62F06C0E"/>
    <w:rsid w:val="62F571B6"/>
    <w:rsid w:val="62F91A8D"/>
    <w:rsid w:val="62FA0118"/>
    <w:rsid w:val="62FB5ADF"/>
    <w:rsid w:val="63016DD9"/>
    <w:rsid w:val="63060DC1"/>
    <w:rsid w:val="630B0513"/>
    <w:rsid w:val="630D5FB3"/>
    <w:rsid w:val="631D12C4"/>
    <w:rsid w:val="632F0EFF"/>
    <w:rsid w:val="633159CB"/>
    <w:rsid w:val="6332638D"/>
    <w:rsid w:val="633B2B0B"/>
    <w:rsid w:val="633C5BF9"/>
    <w:rsid w:val="633E36D1"/>
    <w:rsid w:val="6343466C"/>
    <w:rsid w:val="634A145E"/>
    <w:rsid w:val="634E753F"/>
    <w:rsid w:val="63607ED4"/>
    <w:rsid w:val="636469BD"/>
    <w:rsid w:val="63670D77"/>
    <w:rsid w:val="63685741"/>
    <w:rsid w:val="636A3942"/>
    <w:rsid w:val="636B5C5F"/>
    <w:rsid w:val="63716369"/>
    <w:rsid w:val="63767EE6"/>
    <w:rsid w:val="637919F5"/>
    <w:rsid w:val="637A710D"/>
    <w:rsid w:val="637D2E4D"/>
    <w:rsid w:val="63802ACC"/>
    <w:rsid w:val="6388225F"/>
    <w:rsid w:val="63947BA7"/>
    <w:rsid w:val="63B253E1"/>
    <w:rsid w:val="63B26566"/>
    <w:rsid w:val="63B601D2"/>
    <w:rsid w:val="63D86821"/>
    <w:rsid w:val="63D8720B"/>
    <w:rsid w:val="63DF3F98"/>
    <w:rsid w:val="63E02D15"/>
    <w:rsid w:val="63E0457C"/>
    <w:rsid w:val="63E25AFD"/>
    <w:rsid w:val="63E57666"/>
    <w:rsid w:val="63F03B38"/>
    <w:rsid w:val="63F731A5"/>
    <w:rsid w:val="63FC766C"/>
    <w:rsid w:val="63FE2454"/>
    <w:rsid w:val="64022F76"/>
    <w:rsid w:val="64084173"/>
    <w:rsid w:val="641269AD"/>
    <w:rsid w:val="641C56F8"/>
    <w:rsid w:val="64231408"/>
    <w:rsid w:val="64281DC7"/>
    <w:rsid w:val="643A7824"/>
    <w:rsid w:val="644A3F96"/>
    <w:rsid w:val="64553AA4"/>
    <w:rsid w:val="64564ED9"/>
    <w:rsid w:val="645A5737"/>
    <w:rsid w:val="646029D7"/>
    <w:rsid w:val="64603768"/>
    <w:rsid w:val="646270E8"/>
    <w:rsid w:val="6467123E"/>
    <w:rsid w:val="646E7A4D"/>
    <w:rsid w:val="64706790"/>
    <w:rsid w:val="64724898"/>
    <w:rsid w:val="647C3BBA"/>
    <w:rsid w:val="64805997"/>
    <w:rsid w:val="64813A7C"/>
    <w:rsid w:val="64823A3A"/>
    <w:rsid w:val="64855B2D"/>
    <w:rsid w:val="64867427"/>
    <w:rsid w:val="648976FB"/>
    <w:rsid w:val="648A2250"/>
    <w:rsid w:val="648B1491"/>
    <w:rsid w:val="648E1573"/>
    <w:rsid w:val="649A52C8"/>
    <w:rsid w:val="64B0747D"/>
    <w:rsid w:val="64B6071F"/>
    <w:rsid w:val="64BE2F18"/>
    <w:rsid w:val="64C004BC"/>
    <w:rsid w:val="64C03551"/>
    <w:rsid w:val="64C317B4"/>
    <w:rsid w:val="64C6530B"/>
    <w:rsid w:val="64D9451E"/>
    <w:rsid w:val="64DB77D5"/>
    <w:rsid w:val="64F31974"/>
    <w:rsid w:val="64FA5C63"/>
    <w:rsid w:val="6507069F"/>
    <w:rsid w:val="65127100"/>
    <w:rsid w:val="6532464B"/>
    <w:rsid w:val="65341AC5"/>
    <w:rsid w:val="653A34E5"/>
    <w:rsid w:val="653C6B1D"/>
    <w:rsid w:val="65433415"/>
    <w:rsid w:val="65463750"/>
    <w:rsid w:val="654E3228"/>
    <w:rsid w:val="65537C6B"/>
    <w:rsid w:val="655C685E"/>
    <w:rsid w:val="656160AB"/>
    <w:rsid w:val="65622086"/>
    <w:rsid w:val="65644A63"/>
    <w:rsid w:val="65655B02"/>
    <w:rsid w:val="65690C20"/>
    <w:rsid w:val="656E3321"/>
    <w:rsid w:val="65757B8D"/>
    <w:rsid w:val="65764BA6"/>
    <w:rsid w:val="658E776E"/>
    <w:rsid w:val="65907AC2"/>
    <w:rsid w:val="65A62A91"/>
    <w:rsid w:val="65A8734A"/>
    <w:rsid w:val="65A9185C"/>
    <w:rsid w:val="65AB43EF"/>
    <w:rsid w:val="65B430CC"/>
    <w:rsid w:val="65CC6A3A"/>
    <w:rsid w:val="65DB0A99"/>
    <w:rsid w:val="65E919BF"/>
    <w:rsid w:val="65ED7EEF"/>
    <w:rsid w:val="65F46CFC"/>
    <w:rsid w:val="65F73BB4"/>
    <w:rsid w:val="660658FA"/>
    <w:rsid w:val="660B1805"/>
    <w:rsid w:val="660C035C"/>
    <w:rsid w:val="66103D06"/>
    <w:rsid w:val="66190E3D"/>
    <w:rsid w:val="661C061C"/>
    <w:rsid w:val="6628673A"/>
    <w:rsid w:val="66300C32"/>
    <w:rsid w:val="6639596A"/>
    <w:rsid w:val="66401DD3"/>
    <w:rsid w:val="6644369D"/>
    <w:rsid w:val="66513A8B"/>
    <w:rsid w:val="66515333"/>
    <w:rsid w:val="66543F3A"/>
    <w:rsid w:val="6654755D"/>
    <w:rsid w:val="66706DA7"/>
    <w:rsid w:val="66715E7B"/>
    <w:rsid w:val="66741783"/>
    <w:rsid w:val="66847504"/>
    <w:rsid w:val="66870478"/>
    <w:rsid w:val="66892842"/>
    <w:rsid w:val="66917990"/>
    <w:rsid w:val="66941DAA"/>
    <w:rsid w:val="66972F96"/>
    <w:rsid w:val="66976DD4"/>
    <w:rsid w:val="669A7003"/>
    <w:rsid w:val="66A54376"/>
    <w:rsid w:val="66AD05F5"/>
    <w:rsid w:val="66AD1818"/>
    <w:rsid w:val="66AD4A88"/>
    <w:rsid w:val="66B4636B"/>
    <w:rsid w:val="66B93F76"/>
    <w:rsid w:val="66BE7A6E"/>
    <w:rsid w:val="66C2655F"/>
    <w:rsid w:val="66D01D1D"/>
    <w:rsid w:val="66D20F68"/>
    <w:rsid w:val="66D6103F"/>
    <w:rsid w:val="66DB5E51"/>
    <w:rsid w:val="66DC2051"/>
    <w:rsid w:val="66E77E06"/>
    <w:rsid w:val="66F861FA"/>
    <w:rsid w:val="670027A0"/>
    <w:rsid w:val="67037752"/>
    <w:rsid w:val="67050D51"/>
    <w:rsid w:val="67050D97"/>
    <w:rsid w:val="67091904"/>
    <w:rsid w:val="670E178E"/>
    <w:rsid w:val="6717419C"/>
    <w:rsid w:val="67202CFA"/>
    <w:rsid w:val="67212735"/>
    <w:rsid w:val="673611CB"/>
    <w:rsid w:val="674A450B"/>
    <w:rsid w:val="674B4E59"/>
    <w:rsid w:val="675005EC"/>
    <w:rsid w:val="675E366D"/>
    <w:rsid w:val="67635837"/>
    <w:rsid w:val="67690F3D"/>
    <w:rsid w:val="676B3A7C"/>
    <w:rsid w:val="676D52AA"/>
    <w:rsid w:val="677011BD"/>
    <w:rsid w:val="6770452E"/>
    <w:rsid w:val="67705A6F"/>
    <w:rsid w:val="67750EBE"/>
    <w:rsid w:val="67816012"/>
    <w:rsid w:val="67842D1C"/>
    <w:rsid w:val="678C278B"/>
    <w:rsid w:val="678F730B"/>
    <w:rsid w:val="67991948"/>
    <w:rsid w:val="67A850E1"/>
    <w:rsid w:val="67AB3E74"/>
    <w:rsid w:val="67B0438B"/>
    <w:rsid w:val="67B33BE3"/>
    <w:rsid w:val="67B71656"/>
    <w:rsid w:val="67B723B3"/>
    <w:rsid w:val="67B743E8"/>
    <w:rsid w:val="67BD43E0"/>
    <w:rsid w:val="67BD4993"/>
    <w:rsid w:val="67C0411D"/>
    <w:rsid w:val="67C95416"/>
    <w:rsid w:val="67D74048"/>
    <w:rsid w:val="67E041E2"/>
    <w:rsid w:val="67E51F56"/>
    <w:rsid w:val="67E97A89"/>
    <w:rsid w:val="67F27764"/>
    <w:rsid w:val="6802359C"/>
    <w:rsid w:val="68081463"/>
    <w:rsid w:val="680A257F"/>
    <w:rsid w:val="680E50C8"/>
    <w:rsid w:val="681541C3"/>
    <w:rsid w:val="681674DF"/>
    <w:rsid w:val="681D6FA0"/>
    <w:rsid w:val="68373462"/>
    <w:rsid w:val="68447B3B"/>
    <w:rsid w:val="685C0FCA"/>
    <w:rsid w:val="68650F7D"/>
    <w:rsid w:val="68655BE3"/>
    <w:rsid w:val="686926D4"/>
    <w:rsid w:val="68774A50"/>
    <w:rsid w:val="68784EDA"/>
    <w:rsid w:val="687A62EB"/>
    <w:rsid w:val="687B4F8F"/>
    <w:rsid w:val="688A20B8"/>
    <w:rsid w:val="688C0135"/>
    <w:rsid w:val="688D57D8"/>
    <w:rsid w:val="6892047F"/>
    <w:rsid w:val="6897438E"/>
    <w:rsid w:val="68A01495"/>
    <w:rsid w:val="68A27905"/>
    <w:rsid w:val="68A550D0"/>
    <w:rsid w:val="68A57A2E"/>
    <w:rsid w:val="68A7533D"/>
    <w:rsid w:val="68BD6779"/>
    <w:rsid w:val="68C02111"/>
    <w:rsid w:val="68C42BDC"/>
    <w:rsid w:val="68CE3102"/>
    <w:rsid w:val="68D015E0"/>
    <w:rsid w:val="68D33B58"/>
    <w:rsid w:val="68D824C6"/>
    <w:rsid w:val="68E24545"/>
    <w:rsid w:val="68E31D7A"/>
    <w:rsid w:val="68E71448"/>
    <w:rsid w:val="68E92B61"/>
    <w:rsid w:val="68F308C4"/>
    <w:rsid w:val="68F51C33"/>
    <w:rsid w:val="68FA62F0"/>
    <w:rsid w:val="68FE7853"/>
    <w:rsid w:val="68FF6668"/>
    <w:rsid w:val="6901117B"/>
    <w:rsid w:val="69021A4A"/>
    <w:rsid w:val="69052CE9"/>
    <w:rsid w:val="69156DDD"/>
    <w:rsid w:val="691D61F1"/>
    <w:rsid w:val="691E3879"/>
    <w:rsid w:val="69211467"/>
    <w:rsid w:val="69257A7E"/>
    <w:rsid w:val="69277662"/>
    <w:rsid w:val="69344B19"/>
    <w:rsid w:val="69345F83"/>
    <w:rsid w:val="69392613"/>
    <w:rsid w:val="69392966"/>
    <w:rsid w:val="693C2B63"/>
    <w:rsid w:val="694E1147"/>
    <w:rsid w:val="69520D7A"/>
    <w:rsid w:val="69573B6E"/>
    <w:rsid w:val="696032C7"/>
    <w:rsid w:val="696206D3"/>
    <w:rsid w:val="6967756D"/>
    <w:rsid w:val="6968644A"/>
    <w:rsid w:val="697011ED"/>
    <w:rsid w:val="69826A24"/>
    <w:rsid w:val="698B2061"/>
    <w:rsid w:val="699004F5"/>
    <w:rsid w:val="699B6DC8"/>
    <w:rsid w:val="69A97058"/>
    <w:rsid w:val="69AB6F60"/>
    <w:rsid w:val="69C8002E"/>
    <w:rsid w:val="69CF04C1"/>
    <w:rsid w:val="69D32FE1"/>
    <w:rsid w:val="69D463F2"/>
    <w:rsid w:val="69D72910"/>
    <w:rsid w:val="69D94035"/>
    <w:rsid w:val="69DC26A6"/>
    <w:rsid w:val="69E37874"/>
    <w:rsid w:val="69E56B54"/>
    <w:rsid w:val="69E96708"/>
    <w:rsid w:val="69ED002E"/>
    <w:rsid w:val="69ED6B4A"/>
    <w:rsid w:val="69EE54CD"/>
    <w:rsid w:val="69F92613"/>
    <w:rsid w:val="69FB7CD4"/>
    <w:rsid w:val="69FD723E"/>
    <w:rsid w:val="69FD7CEA"/>
    <w:rsid w:val="6A0229E5"/>
    <w:rsid w:val="6A067F83"/>
    <w:rsid w:val="6A097E59"/>
    <w:rsid w:val="6A171AFC"/>
    <w:rsid w:val="6A227A57"/>
    <w:rsid w:val="6A266159"/>
    <w:rsid w:val="6A2A2D01"/>
    <w:rsid w:val="6A3225D7"/>
    <w:rsid w:val="6A3B0B6C"/>
    <w:rsid w:val="6A3C0BF8"/>
    <w:rsid w:val="6A423E55"/>
    <w:rsid w:val="6A470981"/>
    <w:rsid w:val="6A4747AF"/>
    <w:rsid w:val="6A49294B"/>
    <w:rsid w:val="6A562B91"/>
    <w:rsid w:val="6A57299A"/>
    <w:rsid w:val="6A697946"/>
    <w:rsid w:val="6A6D6854"/>
    <w:rsid w:val="6A700CED"/>
    <w:rsid w:val="6A7017D7"/>
    <w:rsid w:val="6A980E80"/>
    <w:rsid w:val="6AA235D3"/>
    <w:rsid w:val="6AA31D3D"/>
    <w:rsid w:val="6AB02B50"/>
    <w:rsid w:val="6AB14532"/>
    <w:rsid w:val="6ABB2ED0"/>
    <w:rsid w:val="6ABD7A51"/>
    <w:rsid w:val="6AC335C4"/>
    <w:rsid w:val="6ACC0F11"/>
    <w:rsid w:val="6ADB4318"/>
    <w:rsid w:val="6ADD7DFD"/>
    <w:rsid w:val="6AE2135D"/>
    <w:rsid w:val="6AE77D3D"/>
    <w:rsid w:val="6AE93C28"/>
    <w:rsid w:val="6AF05F1A"/>
    <w:rsid w:val="6B036D80"/>
    <w:rsid w:val="6B0451AB"/>
    <w:rsid w:val="6B160110"/>
    <w:rsid w:val="6B21434C"/>
    <w:rsid w:val="6B237C36"/>
    <w:rsid w:val="6B2718FD"/>
    <w:rsid w:val="6B2A147B"/>
    <w:rsid w:val="6B2B4CFC"/>
    <w:rsid w:val="6B2C290C"/>
    <w:rsid w:val="6B33476F"/>
    <w:rsid w:val="6B352059"/>
    <w:rsid w:val="6B3B4CA2"/>
    <w:rsid w:val="6B4514F6"/>
    <w:rsid w:val="6B4A50C0"/>
    <w:rsid w:val="6B4D3CED"/>
    <w:rsid w:val="6B5C7011"/>
    <w:rsid w:val="6B6A2B7E"/>
    <w:rsid w:val="6B705893"/>
    <w:rsid w:val="6B7221D1"/>
    <w:rsid w:val="6B725A81"/>
    <w:rsid w:val="6B7D16E0"/>
    <w:rsid w:val="6B7F30F3"/>
    <w:rsid w:val="6B873558"/>
    <w:rsid w:val="6B92645D"/>
    <w:rsid w:val="6B94060D"/>
    <w:rsid w:val="6B973734"/>
    <w:rsid w:val="6B975967"/>
    <w:rsid w:val="6B9A5777"/>
    <w:rsid w:val="6BB248CC"/>
    <w:rsid w:val="6BBC0DCF"/>
    <w:rsid w:val="6BCA6179"/>
    <w:rsid w:val="6BCE3445"/>
    <w:rsid w:val="6BCF3A99"/>
    <w:rsid w:val="6BD0777F"/>
    <w:rsid w:val="6BD619EE"/>
    <w:rsid w:val="6BEA64E2"/>
    <w:rsid w:val="6BFA7E30"/>
    <w:rsid w:val="6BFB030F"/>
    <w:rsid w:val="6C016CAE"/>
    <w:rsid w:val="6C07197C"/>
    <w:rsid w:val="6C090252"/>
    <w:rsid w:val="6C0B7CD2"/>
    <w:rsid w:val="6C0D6AE8"/>
    <w:rsid w:val="6C100936"/>
    <w:rsid w:val="6C1962C3"/>
    <w:rsid w:val="6C1A6808"/>
    <w:rsid w:val="6C255AAD"/>
    <w:rsid w:val="6C2C5801"/>
    <w:rsid w:val="6C2D7320"/>
    <w:rsid w:val="6C2E3E73"/>
    <w:rsid w:val="6C3321F9"/>
    <w:rsid w:val="6C33267C"/>
    <w:rsid w:val="6C3D0F56"/>
    <w:rsid w:val="6C410CB8"/>
    <w:rsid w:val="6C452BDF"/>
    <w:rsid w:val="6C5E1CDD"/>
    <w:rsid w:val="6C62391B"/>
    <w:rsid w:val="6C660C8B"/>
    <w:rsid w:val="6C6A716D"/>
    <w:rsid w:val="6C6C6ED7"/>
    <w:rsid w:val="6C71767A"/>
    <w:rsid w:val="6C7C1F44"/>
    <w:rsid w:val="6C827094"/>
    <w:rsid w:val="6C8559E0"/>
    <w:rsid w:val="6C891188"/>
    <w:rsid w:val="6C8D26FB"/>
    <w:rsid w:val="6C996561"/>
    <w:rsid w:val="6CB01397"/>
    <w:rsid w:val="6CC25213"/>
    <w:rsid w:val="6CD76A8F"/>
    <w:rsid w:val="6CDE47C9"/>
    <w:rsid w:val="6CDF1F89"/>
    <w:rsid w:val="6CE0702D"/>
    <w:rsid w:val="6CE83295"/>
    <w:rsid w:val="6CEE220B"/>
    <w:rsid w:val="6CEE246E"/>
    <w:rsid w:val="6CF27A30"/>
    <w:rsid w:val="6CF6067E"/>
    <w:rsid w:val="6D032BD4"/>
    <w:rsid w:val="6D0535EE"/>
    <w:rsid w:val="6D077405"/>
    <w:rsid w:val="6D0A3519"/>
    <w:rsid w:val="6D133D59"/>
    <w:rsid w:val="6D175B2B"/>
    <w:rsid w:val="6D264EC5"/>
    <w:rsid w:val="6D26662C"/>
    <w:rsid w:val="6D2B3CDC"/>
    <w:rsid w:val="6D330DB7"/>
    <w:rsid w:val="6D437763"/>
    <w:rsid w:val="6D4B2385"/>
    <w:rsid w:val="6D4C07B8"/>
    <w:rsid w:val="6D5B1179"/>
    <w:rsid w:val="6D671B76"/>
    <w:rsid w:val="6D6D28AF"/>
    <w:rsid w:val="6D771293"/>
    <w:rsid w:val="6D7D0954"/>
    <w:rsid w:val="6D8153B2"/>
    <w:rsid w:val="6D876AB7"/>
    <w:rsid w:val="6D8F154F"/>
    <w:rsid w:val="6D9757D1"/>
    <w:rsid w:val="6D9C3974"/>
    <w:rsid w:val="6DA062EA"/>
    <w:rsid w:val="6DA65DBF"/>
    <w:rsid w:val="6DA76631"/>
    <w:rsid w:val="6DA77315"/>
    <w:rsid w:val="6DAA30F8"/>
    <w:rsid w:val="6DAF65CC"/>
    <w:rsid w:val="6DB157A2"/>
    <w:rsid w:val="6DB25F3D"/>
    <w:rsid w:val="6DBA586C"/>
    <w:rsid w:val="6DBE0B3F"/>
    <w:rsid w:val="6DBF7294"/>
    <w:rsid w:val="6DC53FBD"/>
    <w:rsid w:val="6DC93FE2"/>
    <w:rsid w:val="6DCA77EA"/>
    <w:rsid w:val="6DD35114"/>
    <w:rsid w:val="6DDE35E8"/>
    <w:rsid w:val="6DE65A7A"/>
    <w:rsid w:val="6DE92FA2"/>
    <w:rsid w:val="6DEE0E7D"/>
    <w:rsid w:val="6DEF6BC8"/>
    <w:rsid w:val="6DF574ED"/>
    <w:rsid w:val="6DF81839"/>
    <w:rsid w:val="6E0048DC"/>
    <w:rsid w:val="6E075019"/>
    <w:rsid w:val="6E0766A1"/>
    <w:rsid w:val="6E1419C0"/>
    <w:rsid w:val="6E166FE2"/>
    <w:rsid w:val="6E183FF4"/>
    <w:rsid w:val="6E1B11E5"/>
    <w:rsid w:val="6E1D151C"/>
    <w:rsid w:val="6E2E7D17"/>
    <w:rsid w:val="6E3323DD"/>
    <w:rsid w:val="6E3761D3"/>
    <w:rsid w:val="6E392DDA"/>
    <w:rsid w:val="6E3E2033"/>
    <w:rsid w:val="6E411943"/>
    <w:rsid w:val="6E440060"/>
    <w:rsid w:val="6E442CF5"/>
    <w:rsid w:val="6E54575C"/>
    <w:rsid w:val="6E5A2999"/>
    <w:rsid w:val="6E612C3F"/>
    <w:rsid w:val="6E650AD9"/>
    <w:rsid w:val="6E6F6D88"/>
    <w:rsid w:val="6E702FE8"/>
    <w:rsid w:val="6E706B87"/>
    <w:rsid w:val="6E766C71"/>
    <w:rsid w:val="6E7926F7"/>
    <w:rsid w:val="6E7B110F"/>
    <w:rsid w:val="6E8A2A35"/>
    <w:rsid w:val="6E915314"/>
    <w:rsid w:val="6EA04FAE"/>
    <w:rsid w:val="6EAA59A3"/>
    <w:rsid w:val="6EAA79ED"/>
    <w:rsid w:val="6EB029C1"/>
    <w:rsid w:val="6EC161BE"/>
    <w:rsid w:val="6ECD08F1"/>
    <w:rsid w:val="6ED8031D"/>
    <w:rsid w:val="6EDF2531"/>
    <w:rsid w:val="6EDF5C07"/>
    <w:rsid w:val="6EE1335D"/>
    <w:rsid w:val="6EE50FBC"/>
    <w:rsid w:val="6EEF6508"/>
    <w:rsid w:val="6EF02682"/>
    <w:rsid w:val="6EFF1809"/>
    <w:rsid w:val="6F19615F"/>
    <w:rsid w:val="6F1A60C4"/>
    <w:rsid w:val="6F231E41"/>
    <w:rsid w:val="6F244447"/>
    <w:rsid w:val="6F303DE1"/>
    <w:rsid w:val="6F331C81"/>
    <w:rsid w:val="6F331F52"/>
    <w:rsid w:val="6F362062"/>
    <w:rsid w:val="6F3C0797"/>
    <w:rsid w:val="6F4048CA"/>
    <w:rsid w:val="6F405BD0"/>
    <w:rsid w:val="6F4713C5"/>
    <w:rsid w:val="6F4734D0"/>
    <w:rsid w:val="6F4B3953"/>
    <w:rsid w:val="6F555C91"/>
    <w:rsid w:val="6F603479"/>
    <w:rsid w:val="6F680494"/>
    <w:rsid w:val="6F6B5A9E"/>
    <w:rsid w:val="6F7A07E3"/>
    <w:rsid w:val="6F7D050B"/>
    <w:rsid w:val="6F8C33B0"/>
    <w:rsid w:val="6F8D5B36"/>
    <w:rsid w:val="6F953750"/>
    <w:rsid w:val="6FA04DA3"/>
    <w:rsid w:val="6FA10B29"/>
    <w:rsid w:val="6FAA2D8A"/>
    <w:rsid w:val="6FC02217"/>
    <w:rsid w:val="6FC34E9D"/>
    <w:rsid w:val="6FC60A07"/>
    <w:rsid w:val="6FC90F86"/>
    <w:rsid w:val="6FCD3BC3"/>
    <w:rsid w:val="6FCE2BBA"/>
    <w:rsid w:val="6FDF40F5"/>
    <w:rsid w:val="6FE0165C"/>
    <w:rsid w:val="6FE05F95"/>
    <w:rsid w:val="6FF021F5"/>
    <w:rsid w:val="6FF06B6B"/>
    <w:rsid w:val="6FF97C31"/>
    <w:rsid w:val="6FFC64FF"/>
    <w:rsid w:val="7001428F"/>
    <w:rsid w:val="700E7127"/>
    <w:rsid w:val="70133236"/>
    <w:rsid w:val="70156307"/>
    <w:rsid w:val="7016485B"/>
    <w:rsid w:val="701C590F"/>
    <w:rsid w:val="702033F7"/>
    <w:rsid w:val="7021034D"/>
    <w:rsid w:val="702D10A9"/>
    <w:rsid w:val="70315D3B"/>
    <w:rsid w:val="703D58C4"/>
    <w:rsid w:val="70453D87"/>
    <w:rsid w:val="704E5E48"/>
    <w:rsid w:val="7053674B"/>
    <w:rsid w:val="7055360F"/>
    <w:rsid w:val="70642BE6"/>
    <w:rsid w:val="706F497B"/>
    <w:rsid w:val="70724AB3"/>
    <w:rsid w:val="70877819"/>
    <w:rsid w:val="70916EF8"/>
    <w:rsid w:val="709261ED"/>
    <w:rsid w:val="70A02568"/>
    <w:rsid w:val="70AD230C"/>
    <w:rsid w:val="70B91785"/>
    <w:rsid w:val="70C41020"/>
    <w:rsid w:val="70CC1017"/>
    <w:rsid w:val="70CF255C"/>
    <w:rsid w:val="70DC2C89"/>
    <w:rsid w:val="70DD041E"/>
    <w:rsid w:val="70DD743F"/>
    <w:rsid w:val="70DD7EE0"/>
    <w:rsid w:val="70E3150B"/>
    <w:rsid w:val="70E67B77"/>
    <w:rsid w:val="70F323B0"/>
    <w:rsid w:val="70FD7C9B"/>
    <w:rsid w:val="710221FA"/>
    <w:rsid w:val="71094431"/>
    <w:rsid w:val="710D3478"/>
    <w:rsid w:val="710F7585"/>
    <w:rsid w:val="711805A6"/>
    <w:rsid w:val="711A79AD"/>
    <w:rsid w:val="71217446"/>
    <w:rsid w:val="71224F32"/>
    <w:rsid w:val="7123463F"/>
    <w:rsid w:val="713B1ED6"/>
    <w:rsid w:val="71402DA5"/>
    <w:rsid w:val="714463AC"/>
    <w:rsid w:val="7144693A"/>
    <w:rsid w:val="71525708"/>
    <w:rsid w:val="71542A3C"/>
    <w:rsid w:val="71584711"/>
    <w:rsid w:val="71595F23"/>
    <w:rsid w:val="716A4C59"/>
    <w:rsid w:val="716D3AF0"/>
    <w:rsid w:val="717106F9"/>
    <w:rsid w:val="71811922"/>
    <w:rsid w:val="7184567C"/>
    <w:rsid w:val="71866C06"/>
    <w:rsid w:val="718F2568"/>
    <w:rsid w:val="718F3086"/>
    <w:rsid w:val="71910B53"/>
    <w:rsid w:val="719D1BC1"/>
    <w:rsid w:val="719E09E3"/>
    <w:rsid w:val="719F5958"/>
    <w:rsid w:val="71A33FEC"/>
    <w:rsid w:val="71A601E7"/>
    <w:rsid w:val="71AC51C8"/>
    <w:rsid w:val="71C37CE8"/>
    <w:rsid w:val="71C402EA"/>
    <w:rsid w:val="71D4132F"/>
    <w:rsid w:val="71D53676"/>
    <w:rsid w:val="71DA32B4"/>
    <w:rsid w:val="71E32E83"/>
    <w:rsid w:val="71F46D71"/>
    <w:rsid w:val="71F96411"/>
    <w:rsid w:val="71FA7506"/>
    <w:rsid w:val="72061465"/>
    <w:rsid w:val="722F766C"/>
    <w:rsid w:val="723256D8"/>
    <w:rsid w:val="72382B26"/>
    <w:rsid w:val="72385872"/>
    <w:rsid w:val="72451F4F"/>
    <w:rsid w:val="7247128C"/>
    <w:rsid w:val="72493E35"/>
    <w:rsid w:val="725B0CD8"/>
    <w:rsid w:val="7264361A"/>
    <w:rsid w:val="726822A9"/>
    <w:rsid w:val="726C3438"/>
    <w:rsid w:val="727367E8"/>
    <w:rsid w:val="72791B78"/>
    <w:rsid w:val="727C5618"/>
    <w:rsid w:val="727F3E51"/>
    <w:rsid w:val="7287073E"/>
    <w:rsid w:val="728C70E1"/>
    <w:rsid w:val="7290542B"/>
    <w:rsid w:val="72913002"/>
    <w:rsid w:val="72917F17"/>
    <w:rsid w:val="72935E6A"/>
    <w:rsid w:val="729A7834"/>
    <w:rsid w:val="72A00661"/>
    <w:rsid w:val="72AF2463"/>
    <w:rsid w:val="72B06D9D"/>
    <w:rsid w:val="72B715E4"/>
    <w:rsid w:val="72C32F53"/>
    <w:rsid w:val="72C77A8A"/>
    <w:rsid w:val="72CB7C4C"/>
    <w:rsid w:val="72D86D20"/>
    <w:rsid w:val="72DB6BCE"/>
    <w:rsid w:val="72F70D65"/>
    <w:rsid w:val="72F762C6"/>
    <w:rsid w:val="72FE3E8E"/>
    <w:rsid w:val="731B711B"/>
    <w:rsid w:val="731C3ED2"/>
    <w:rsid w:val="731E5631"/>
    <w:rsid w:val="732009B8"/>
    <w:rsid w:val="732B0C72"/>
    <w:rsid w:val="733271A4"/>
    <w:rsid w:val="73330C63"/>
    <w:rsid w:val="733863E3"/>
    <w:rsid w:val="733A3332"/>
    <w:rsid w:val="733C1D9D"/>
    <w:rsid w:val="733E46B2"/>
    <w:rsid w:val="733E586B"/>
    <w:rsid w:val="733E59D9"/>
    <w:rsid w:val="734B3969"/>
    <w:rsid w:val="73597F33"/>
    <w:rsid w:val="7375490C"/>
    <w:rsid w:val="73757E63"/>
    <w:rsid w:val="737D2F4F"/>
    <w:rsid w:val="738B029F"/>
    <w:rsid w:val="73900D21"/>
    <w:rsid w:val="739A7114"/>
    <w:rsid w:val="739F2349"/>
    <w:rsid w:val="739F6287"/>
    <w:rsid w:val="73A242CD"/>
    <w:rsid w:val="73A935F2"/>
    <w:rsid w:val="73AC333B"/>
    <w:rsid w:val="73B11DBC"/>
    <w:rsid w:val="73B1795C"/>
    <w:rsid w:val="73B51018"/>
    <w:rsid w:val="73B67CAD"/>
    <w:rsid w:val="73B86EBC"/>
    <w:rsid w:val="73C340B3"/>
    <w:rsid w:val="73C72DB3"/>
    <w:rsid w:val="73C854F0"/>
    <w:rsid w:val="73CE0B05"/>
    <w:rsid w:val="73D007EE"/>
    <w:rsid w:val="73D27A00"/>
    <w:rsid w:val="73D31801"/>
    <w:rsid w:val="73D9581C"/>
    <w:rsid w:val="73DA2FBB"/>
    <w:rsid w:val="73DC2CAB"/>
    <w:rsid w:val="73DC5744"/>
    <w:rsid w:val="73E36876"/>
    <w:rsid w:val="73E72CB9"/>
    <w:rsid w:val="74014C0C"/>
    <w:rsid w:val="740B7234"/>
    <w:rsid w:val="741B5358"/>
    <w:rsid w:val="74202F12"/>
    <w:rsid w:val="742C093F"/>
    <w:rsid w:val="742F68DF"/>
    <w:rsid w:val="7435797F"/>
    <w:rsid w:val="7442738A"/>
    <w:rsid w:val="744A0545"/>
    <w:rsid w:val="744F0653"/>
    <w:rsid w:val="744F7C70"/>
    <w:rsid w:val="74521009"/>
    <w:rsid w:val="74632A31"/>
    <w:rsid w:val="7465205B"/>
    <w:rsid w:val="746954DB"/>
    <w:rsid w:val="74743C33"/>
    <w:rsid w:val="747640DF"/>
    <w:rsid w:val="747E6036"/>
    <w:rsid w:val="74807A49"/>
    <w:rsid w:val="7482175B"/>
    <w:rsid w:val="74843F0D"/>
    <w:rsid w:val="74A67409"/>
    <w:rsid w:val="74B37F42"/>
    <w:rsid w:val="74B539F8"/>
    <w:rsid w:val="74B94875"/>
    <w:rsid w:val="74BA4FF9"/>
    <w:rsid w:val="74C311F6"/>
    <w:rsid w:val="74C53F19"/>
    <w:rsid w:val="74CA0770"/>
    <w:rsid w:val="74D52F3D"/>
    <w:rsid w:val="74D81528"/>
    <w:rsid w:val="74D96025"/>
    <w:rsid w:val="74DA07A2"/>
    <w:rsid w:val="74E1491C"/>
    <w:rsid w:val="74E67A31"/>
    <w:rsid w:val="74F61278"/>
    <w:rsid w:val="74F90505"/>
    <w:rsid w:val="74FC67D7"/>
    <w:rsid w:val="7501178C"/>
    <w:rsid w:val="75092044"/>
    <w:rsid w:val="75124563"/>
    <w:rsid w:val="751274A1"/>
    <w:rsid w:val="75190871"/>
    <w:rsid w:val="751C2143"/>
    <w:rsid w:val="75295853"/>
    <w:rsid w:val="752D2921"/>
    <w:rsid w:val="752F1869"/>
    <w:rsid w:val="752F2DAC"/>
    <w:rsid w:val="75387884"/>
    <w:rsid w:val="75475838"/>
    <w:rsid w:val="75631790"/>
    <w:rsid w:val="7566472C"/>
    <w:rsid w:val="756B1E1E"/>
    <w:rsid w:val="7578413D"/>
    <w:rsid w:val="757B64ED"/>
    <w:rsid w:val="757C232A"/>
    <w:rsid w:val="75851DCA"/>
    <w:rsid w:val="75895C6B"/>
    <w:rsid w:val="758F3A2A"/>
    <w:rsid w:val="7595284C"/>
    <w:rsid w:val="7599617F"/>
    <w:rsid w:val="759D7802"/>
    <w:rsid w:val="75A011FF"/>
    <w:rsid w:val="75A70E4F"/>
    <w:rsid w:val="75AA3F51"/>
    <w:rsid w:val="75B11420"/>
    <w:rsid w:val="75B263D3"/>
    <w:rsid w:val="75CB7A28"/>
    <w:rsid w:val="75DA0294"/>
    <w:rsid w:val="75DC2372"/>
    <w:rsid w:val="75E16CC1"/>
    <w:rsid w:val="75F22E0F"/>
    <w:rsid w:val="7600000E"/>
    <w:rsid w:val="760021B6"/>
    <w:rsid w:val="760950F4"/>
    <w:rsid w:val="76122AB3"/>
    <w:rsid w:val="76154B74"/>
    <w:rsid w:val="761C414A"/>
    <w:rsid w:val="761D237D"/>
    <w:rsid w:val="76380CDC"/>
    <w:rsid w:val="76383420"/>
    <w:rsid w:val="76411431"/>
    <w:rsid w:val="7649562B"/>
    <w:rsid w:val="764F7C59"/>
    <w:rsid w:val="76536622"/>
    <w:rsid w:val="765566B4"/>
    <w:rsid w:val="76605088"/>
    <w:rsid w:val="76636412"/>
    <w:rsid w:val="766477E2"/>
    <w:rsid w:val="7668119A"/>
    <w:rsid w:val="766966D4"/>
    <w:rsid w:val="766E17F9"/>
    <w:rsid w:val="76894FB9"/>
    <w:rsid w:val="768C1EBA"/>
    <w:rsid w:val="768E260E"/>
    <w:rsid w:val="769222A0"/>
    <w:rsid w:val="769568F8"/>
    <w:rsid w:val="76993596"/>
    <w:rsid w:val="769F0134"/>
    <w:rsid w:val="76B14AAD"/>
    <w:rsid w:val="76C118A2"/>
    <w:rsid w:val="76C32B57"/>
    <w:rsid w:val="76C63D93"/>
    <w:rsid w:val="76CB0A63"/>
    <w:rsid w:val="76CF7D93"/>
    <w:rsid w:val="76D25527"/>
    <w:rsid w:val="76D81970"/>
    <w:rsid w:val="76DD3810"/>
    <w:rsid w:val="76E451C7"/>
    <w:rsid w:val="76E472DD"/>
    <w:rsid w:val="76E8548D"/>
    <w:rsid w:val="76ED3B38"/>
    <w:rsid w:val="76F13EA7"/>
    <w:rsid w:val="76F14581"/>
    <w:rsid w:val="76F77BBD"/>
    <w:rsid w:val="76FD22EC"/>
    <w:rsid w:val="76FD6D57"/>
    <w:rsid w:val="77030B27"/>
    <w:rsid w:val="77041D95"/>
    <w:rsid w:val="77095079"/>
    <w:rsid w:val="7718408C"/>
    <w:rsid w:val="771D7BC5"/>
    <w:rsid w:val="7723073F"/>
    <w:rsid w:val="772527B2"/>
    <w:rsid w:val="772A6A8E"/>
    <w:rsid w:val="773B25F8"/>
    <w:rsid w:val="773B48CE"/>
    <w:rsid w:val="773D0C62"/>
    <w:rsid w:val="773F62E5"/>
    <w:rsid w:val="7743414C"/>
    <w:rsid w:val="774551B5"/>
    <w:rsid w:val="77523DCF"/>
    <w:rsid w:val="77606B3D"/>
    <w:rsid w:val="776870B9"/>
    <w:rsid w:val="776967FB"/>
    <w:rsid w:val="776D4583"/>
    <w:rsid w:val="7776540C"/>
    <w:rsid w:val="777A37E1"/>
    <w:rsid w:val="778100C2"/>
    <w:rsid w:val="77855EB4"/>
    <w:rsid w:val="779D35D8"/>
    <w:rsid w:val="77AA135C"/>
    <w:rsid w:val="77AB7E27"/>
    <w:rsid w:val="77AC14DA"/>
    <w:rsid w:val="77AD64CA"/>
    <w:rsid w:val="77AF3504"/>
    <w:rsid w:val="77B36F7C"/>
    <w:rsid w:val="77BE1BC2"/>
    <w:rsid w:val="77C926F0"/>
    <w:rsid w:val="77CA0362"/>
    <w:rsid w:val="77D17A81"/>
    <w:rsid w:val="77E40C30"/>
    <w:rsid w:val="77FC1B84"/>
    <w:rsid w:val="78055C6F"/>
    <w:rsid w:val="780752E6"/>
    <w:rsid w:val="780B6CC7"/>
    <w:rsid w:val="78153F77"/>
    <w:rsid w:val="78185315"/>
    <w:rsid w:val="781C67FA"/>
    <w:rsid w:val="782378AE"/>
    <w:rsid w:val="78296DAC"/>
    <w:rsid w:val="783267CC"/>
    <w:rsid w:val="783E418B"/>
    <w:rsid w:val="783F1754"/>
    <w:rsid w:val="784E3C01"/>
    <w:rsid w:val="78570849"/>
    <w:rsid w:val="78575D9F"/>
    <w:rsid w:val="78600977"/>
    <w:rsid w:val="78617AF2"/>
    <w:rsid w:val="78626899"/>
    <w:rsid w:val="786421F2"/>
    <w:rsid w:val="786616B3"/>
    <w:rsid w:val="786E5D08"/>
    <w:rsid w:val="787E7A1D"/>
    <w:rsid w:val="78812F7C"/>
    <w:rsid w:val="78975C7D"/>
    <w:rsid w:val="78A51B95"/>
    <w:rsid w:val="78AA6975"/>
    <w:rsid w:val="78BE266A"/>
    <w:rsid w:val="78C15B1C"/>
    <w:rsid w:val="78C359B3"/>
    <w:rsid w:val="78C653C1"/>
    <w:rsid w:val="78C9190A"/>
    <w:rsid w:val="78C97D4F"/>
    <w:rsid w:val="78CC0493"/>
    <w:rsid w:val="78DB3FCA"/>
    <w:rsid w:val="78EC2D52"/>
    <w:rsid w:val="78F5480C"/>
    <w:rsid w:val="79036E66"/>
    <w:rsid w:val="790945D5"/>
    <w:rsid w:val="790B5E2B"/>
    <w:rsid w:val="790E47EA"/>
    <w:rsid w:val="790E548B"/>
    <w:rsid w:val="79104E2B"/>
    <w:rsid w:val="79135CA0"/>
    <w:rsid w:val="791467F0"/>
    <w:rsid w:val="7915089E"/>
    <w:rsid w:val="791A58CD"/>
    <w:rsid w:val="791F537B"/>
    <w:rsid w:val="79344437"/>
    <w:rsid w:val="79367982"/>
    <w:rsid w:val="793D5C2F"/>
    <w:rsid w:val="793F7F0E"/>
    <w:rsid w:val="794A336F"/>
    <w:rsid w:val="79537099"/>
    <w:rsid w:val="79552D08"/>
    <w:rsid w:val="795E7ED2"/>
    <w:rsid w:val="79672E22"/>
    <w:rsid w:val="79677010"/>
    <w:rsid w:val="796E6578"/>
    <w:rsid w:val="79711579"/>
    <w:rsid w:val="797121AE"/>
    <w:rsid w:val="797E1825"/>
    <w:rsid w:val="79A7288D"/>
    <w:rsid w:val="79AA3C4E"/>
    <w:rsid w:val="79AE312A"/>
    <w:rsid w:val="79B3208C"/>
    <w:rsid w:val="79B70130"/>
    <w:rsid w:val="79BD5598"/>
    <w:rsid w:val="79C8453B"/>
    <w:rsid w:val="79CB0706"/>
    <w:rsid w:val="79CB0751"/>
    <w:rsid w:val="79CE66ED"/>
    <w:rsid w:val="79CF6E25"/>
    <w:rsid w:val="79D42664"/>
    <w:rsid w:val="79D51250"/>
    <w:rsid w:val="79DB4236"/>
    <w:rsid w:val="79E66C93"/>
    <w:rsid w:val="79F16E80"/>
    <w:rsid w:val="79F32B94"/>
    <w:rsid w:val="79F842C2"/>
    <w:rsid w:val="79FA0A29"/>
    <w:rsid w:val="79FC6E04"/>
    <w:rsid w:val="79FE2A4E"/>
    <w:rsid w:val="7A081D42"/>
    <w:rsid w:val="7A0A6E0F"/>
    <w:rsid w:val="7A0A7223"/>
    <w:rsid w:val="7A0C4EA7"/>
    <w:rsid w:val="7A12552F"/>
    <w:rsid w:val="7A1524DD"/>
    <w:rsid w:val="7A1A1772"/>
    <w:rsid w:val="7A1E1DC3"/>
    <w:rsid w:val="7A2751AD"/>
    <w:rsid w:val="7A276994"/>
    <w:rsid w:val="7A2C129F"/>
    <w:rsid w:val="7A3B034D"/>
    <w:rsid w:val="7A3F158B"/>
    <w:rsid w:val="7A4A132A"/>
    <w:rsid w:val="7A535840"/>
    <w:rsid w:val="7A646A69"/>
    <w:rsid w:val="7A6736BC"/>
    <w:rsid w:val="7A6A7B3B"/>
    <w:rsid w:val="7A7067FA"/>
    <w:rsid w:val="7A721F7E"/>
    <w:rsid w:val="7A746574"/>
    <w:rsid w:val="7A7678E5"/>
    <w:rsid w:val="7A7B24DD"/>
    <w:rsid w:val="7A7D2094"/>
    <w:rsid w:val="7A7F65CA"/>
    <w:rsid w:val="7A867241"/>
    <w:rsid w:val="7A876B11"/>
    <w:rsid w:val="7A88301C"/>
    <w:rsid w:val="7A963A48"/>
    <w:rsid w:val="7A9660A3"/>
    <w:rsid w:val="7A9861CB"/>
    <w:rsid w:val="7A986784"/>
    <w:rsid w:val="7ABB3E82"/>
    <w:rsid w:val="7AC3568E"/>
    <w:rsid w:val="7AC449C6"/>
    <w:rsid w:val="7AD71052"/>
    <w:rsid w:val="7AD9797E"/>
    <w:rsid w:val="7ADE3DB2"/>
    <w:rsid w:val="7AE5682B"/>
    <w:rsid w:val="7AEE60EE"/>
    <w:rsid w:val="7B0E060E"/>
    <w:rsid w:val="7B0F5219"/>
    <w:rsid w:val="7B177A77"/>
    <w:rsid w:val="7B193032"/>
    <w:rsid w:val="7B1B1CF8"/>
    <w:rsid w:val="7B26484C"/>
    <w:rsid w:val="7B2B13FD"/>
    <w:rsid w:val="7B3339FA"/>
    <w:rsid w:val="7B346599"/>
    <w:rsid w:val="7B44094D"/>
    <w:rsid w:val="7B460BFD"/>
    <w:rsid w:val="7B4910BE"/>
    <w:rsid w:val="7B4A7A19"/>
    <w:rsid w:val="7B5D3226"/>
    <w:rsid w:val="7B5E4EEC"/>
    <w:rsid w:val="7B674BD7"/>
    <w:rsid w:val="7B722498"/>
    <w:rsid w:val="7B782690"/>
    <w:rsid w:val="7B7F3966"/>
    <w:rsid w:val="7B80148D"/>
    <w:rsid w:val="7B821ADA"/>
    <w:rsid w:val="7B8F5DA2"/>
    <w:rsid w:val="7B926883"/>
    <w:rsid w:val="7BA4369C"/>
    <w:rsid w:val="7BA71440"/>
    <w:rsid w:val="7BAE696E"/>
    <w:rsid w:val="7BAF3C86"/>
    <w:rsid w:val="7BC23E12"/>
    <w:rsid w:val="7BC45CF4"/>
    <w:rsid w:val="7BC92A6F"/>
    <w:rsid w:val="7BD36780"/>
    <w:rsid w:val="7BD4048E"/>
    <w:rsid w:val="7BD968AC"/>
    <w:rsid w:val="7BDE524C"/>
    <w:rsid w:val="7BEA5E74"/>
    <w:rsid w:val="7BF00328"/>
    <w:rsid w:val="7BF577C1"/>
    <w:rsid w:val="7BF9001B"/>
    <w:rsid w:val="7BFE0389"/>
    <w:rsid w:val="7BFE08FA"/>
    <w:rsid w:val="7C091716"/>
    <w:rsid w:val="7C126AEB"/>
    <w:rsid w:val="7C1F2070"/>
    <w:rsid w:val="7C260105"/>
    <w:rsid w:val="7C2900A2"/>
    <w:rsid w:val="7C295D17"/>
    <w:rsid w:val="7C2A10CD"/>
    <w:rsid w:val="7C2C0E73"/>
    <w:rsid w:val="7C2D2AE7"/>
    <w:rsid w:val="7C353794"/>
    <w:rsid w:val="7C4A5A50"/>
    <w:rsid w:val="7C4B681D"/>
    <w:rsid w:val="7C4C575E"/>
    <w:rsid w:val="7C640974"/>
    <w:rsid w:val="7C643EF7"/>
    <w:rsid w:val="7C690B20"/>
    <w:rsid w:val="7C724EAE"/>
    <w:rsid w:val="7C780AD5"/>
    <w:rsid w:val="7C7A14F2"/>
    <w:rsid w:val="7C7E2FFC"/>
    <w:rsid w:val="7C7F038C"/>
    <w:rsid w:val="7C867154"/>
    <w:rsid w:val="7C8F78D5"/>
    <w:rsid w:val="7C9427B3"/>
    <w:rsid w:val="7C9E5A77"/>
    <w:rsid w:val="7CAD2B44"/>
    <w:rsid w:val="7CB74F4A"/>
    <w:rsid w:val="7CB80138"/>
    <w:rsid w:val="7CB838AF"/>
    <w:rsid w:val="7CBE6F50"/>
    <w:rsid w:val="7CC639C6"/>
    <w:rsid w:val="7CC96839"/>
    <w:rsid w:val="7CCC3CFE"/>
    <w:rsid w:val="7CCD12D3"/>
    <w:rsid w:val="7CD505D1"/>
    <w:rsid w:val="7CD534FD"/>
    <w:rsid w:val="7CD6692A"/>
    <w:rsid w:val="7CE215AC"/>
    <w:rsid w:val="7CE25B4A"/>
    <w:rsid w:val="7CE3422B"/>
    <w:rsid w:val="7CE5443B"/>
    <w:rsid w:val="7CE76B7F"/>
    <w:rsid w:val="7CED09D9"/>
    <w:rsid w:val="7CF436AD"/>
    <w:rsid w:val="7CF87323"/>
    <w:rsid w:val="7CFF2442"/>
    <w:rsid w:val="7D0115A5"/>
    <w:rsid w:val="7D017D9A"/>
    <w:rsid w:val="7D0354E2"/>
    <w:rsid w:val="7D080205"/>
    <w:rsid w:val="7D0A432A"/>
    <w:rsid w:val="7D0F2DDE"/>
    <w:rsid w:val="7D144B3C"/>
    <w:rsid w:val="7D167BA2"/>
    <w:rsid w:val="7D177687"/>
    <w:rsid w:val="7D1F5883"/>
    <w:rsid w:val="7D242066"/>
    <w:rsid w:val="7D282F0F"/>
    <w:rsid w:val="7D286550"/>
    <w:rsid w:val="7D30369D"/>
    <w:rsid w:val="7D3140B5"/>
    <w:rsid w:val="7D3874D2"/>
    <w:rsid w:val="7D405530"/>
    <w:rsid w:val="7D4241A1"/>
    <w:rsid w:val="7D452B7F"/>
    <w:rsid w:val="7D526E71"/>
    <w:rsid w:val="7D532432"/>
    <w:rsid w:val="7D5A5BFC"/>
    <w:rsid w:val="7D6518EB"/>
    <w:rsid w:val="7D6B77B5"/>
    <w:rsid w:val="7D7371E1"/>
    <w:rsid w:val="7D74008A"/>
    <w:rsid w:val="7D7862CF"/>
    <w:rsid w:val="7D7A4E9D"/>
    <w:rsid w:val="7D7B0EDB"/>
    <w:rsid w:val="7D7F0E79"/>
    <w:rsid w:val="7D851CFF"/>
    <w:rsid w:val="7DA65B7D"/>
    <w:rsid w:val="7DA72A35"/>
    <w:rsid w:val="7DA86112"/>
    <w:rsid w:val="7DAE3829"/>
    <w:rsid w:val="7DB00509"/>
    <w:rsid w:val="7DB9268E"/>
    <w:rsid w:val="7DBF3388"/>
    <w:rsid w:val="7DC71DAD"/>
    <w:rsid w:val="7DC8040C"/>
    <w:rsid w:val="7DC85A3E"/>
    <w:rsid w:val="7DCD3893"/>
    <w:rsid w:val="7DCE15A0"/>
    <w:rsid w:val="7DCF3C5F"/>
    <w:rsid w:val="7DD03D33"/>
    <w:rsid w:val="7DD410E6"/>
    <w:rsid w:val="7DD603AD"/>
    <w:rsid w:val="7DD82F1A"/>
    <w:rsid w:val="7DDA1110"/>
    <w:rsid w:val="7DE020DC"/>
    <w:rsid w:val="7DE449CE"/>
    <w:rsid w:val="7DEC05A8"/>
    <w:rsid w:val="7DED1348"/>
    <w:rsid w:val="7DEE71DF"/>
    <w:rsid w:val="7DF66186"/>
    <w:rsid w:val="7E007B1A"/>
    <w:rsid w:val="7E0A5EA4"/>
    <w:rsid w:val="7E0A72D5"/>
    <w:rsid w:val="7E0B3C08"/>
    <w:rsid w:val="7E1C2B95"/>
    <w:rsid w:val="7E1E3CF4"/>
    <w:rsid w:val="7E212526"/>
    <w:rsid w:val="7E262B03"/>
    <w:rsid w:val="7E2E765A"/>
    <w:rsid w:val="7E324C10"/>
    <w:rsid w:val="7E324D32"/>
    <w:rsid w:val="7E3B7336"/>
    <w:rsid w:val="7E3D35D7"/>
    <w:rsid w:val="7E466A84"/>
    <w:rsid w:val="7E472FFE"/>
    <w:rsid w:val="7E4A6379"/>
    <w:rsid w:val="7E5248E3"/>
    <w:rsid w:val="7E5A2EA0"/>
    <w:rsid w:val="7E66305F"/>
    <w:rsid w:val="7E6854DB"/>
    <w:rsid w:val="7E6C43B3"/>
    <w:rsid w:val="7E77762F"/>
    <w:rsid w:val="7E793E63"/>
    <w:rsid w:val="7E7B1715"/>
    <w:rsid w:val="7E8031F2"/>
    <w:rsid w:val="7E860496"/>
    <w:rsid w:val="7E956D81"/>
    <w:rsid w:val="7E9611E7"/>
    <w:rsid w:val="7E9963F8"/>
    <w:rsid w:val="7E9D0633"/>
    <w:rsid w:val="7EA82B9C"/>
    <w:rsid w:val="7EA95574"/>
    <w:rsid w:val="7EB13A3E"/>
    <w:rsid w:val="7EB16AB6"/>
    <w:rsid w:val="7EBD651F"/>
    <w:rsid w:val="7EC05F3D"/>
    <w:rsid w:val="7EC07C28"/>
    <w:rsid w:val="7ECB3BBC"/>
    <w:rsid w:val="7ED83896"/>
    <w:rsid w:val="7EDC2729"/>
    <w:rsid w:val="7EE15DD1"/>
    <w:rsid w:val="7EEB46E8"/>
    <w:rsid w:val="7EEE3759"/>
    <w:rsid w:val="7EF04016"/>
    <w:rsid w:val="7EF94F98"/>
    <w:rsid w:val="7EFB200E"/>
    <w:rsid w:val="7EFF41BF"/>
    <w:rsid w:val="7F0126E4"/>
    <w:rsid w:val="7F013802"/>
    <w:rsid w:val="7F051449"/>
    <w:rsid w:val="7F1A1324"/>
    <w:rsid w:val="7F1A4AEF"/>
    <w:rsid w:val="7F271E5F"/>
    <w:rsid w:val="7F29623C"/>
    <w:rsid w:val="7F2D4C74"/>
    <w:rsid w:val="7F341EAD"/>
    <w:rsid w:val="7F350A03"/>
    <w:rsid w:val="7F375587"/>
    <w:rsid w:val="7F3B2B2F"/>
    <w:rsid w:val="7F406D66"/>
    <w:rsid w:val="7F421AF0"/>
    <w:rsid w:val="7F516AFB"/>
    <w:rsid w:val="7F585C16"/>
    <w:rsid w:val="7F5B38C5"/>
    <w:rsid w:val="7F6566E6"/>
    <w:rsid w:val="7F6A7C64"/>
    <w:rsid w:val="7F6B0BA4"/>
    <w:rsid w:val="7F6E0CE1"/>
    <w:rsid w:val="7F6F6E86"/>
    <w:rsid w:val="7F8A3738"/>
    <w:rsid w:val="7F8B3191"/>
    <w:rsid w:val="7F8E4655"/>
    <w:rsid w:val="7F8E6809"/>
    <w:rsid w:val="7F987985"/>
    <w:rsid w:val="7F9C63C5"/>
    <w:rsid w:val="7F9E0C2E"/>
    <w:rsid w:val="7FAF35C9"/>
    <w:rsid w:val="7FAF535A"/>
    <w:rsid w:val="7FB620B9"/>
    <w:rsid w:val="7FBE4780"/>
    <w:rsid w:val="7FC07CDA"/>
    <w:rsid w:val="7FC33EC6"/>
    <w:rsid w:val="7FD30895"/>
    <w:rsid w:val="7FD52EF4"/>
    <w:rsid w:val="7FE932BA"/>
    <w:rsid w:val="7FEC3423"/>
    <w:rsid w:val="7FFD6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tLeast"/>
      <w:outlineLvl w:val="0"/>
    </w:pPr>
    <w:rPr>
      <w:rFonts w:ascii="Calibri" w:hAnsi="Calibri" w:cs="Times New Roman"/>
      <w:b/>
      <w:bCs/>
      <w:kern w:val="44"/>
      <w:sz w:val="44"/>
      <w:szCs w:val="44"/>
    </w:rPr>
  </w:style>
  <w:style w:type="character" w:default="1" w:styleId="6">
    <w:name w:val="Default Paragraph Font"/>
    <w:semiHidden/>
    <w:qFormat/>
    <w:uiPriority w:val="0"/>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sz w:val="21"/>
      <w:szCs w:val="21"/>
    </w:rPr>
  </w:style>
  <w:style w:type="character" w:styleId="8">
    <w:name w:val="FollowedHyperlink"/>
    <w:basedOn w:val="6"/>
    <w:qFormat/>
    <w:uiPriority w:val="0"/>
    <w:rPr>
      <w:color w:val="4D7AD8"/>
      <w:u w:val="none"/>
    </w:rPr>
  </w:style>
  <w:style w:type="character" w:styleId="9">
    <w:name w:val="HTML Definition"/>
    <w:basedOn w:val="6"/>
    <w:qFormat/>
    <w:uiPriority w:val="0"/>
    <w:rPr>
      <w:i/>
      <w:bdr w:val="single" w:color="D9D9D9" w:sz="6" w:space="0"/>
      <w:shd w:val="clear" w:fill="FFFFFF"/>
    </w:rPr>
  </w:style>
  <w:style w:type="character" w:styleId="10">
    <w:name w:val="Hyperlink"/>
    <w:basedOn w:val="6"/>
    <w:qFormat/>
    <w:uiPriority w:val="0"/>
    <w:rPr>
      <w:color w:val="0000FF"/>
      <w:u w:val="single"/>
    </w:rPr>
  </w:style>
  <w:style w:type="character" w:styleId="11">
    <w:name w:val="HTML Code"/>
    <w:basedOn w:val="6"/>
    <w:qFormat/>
    <w:uiPriority w:val="0"/>
    <w:rPr>
      <w:rFonts w:hint="default" w:ascii="Consolas" w:hAnsi="Consolas" w:eastAsia="Consolas" w:cs="Consolas"/>
      <w:sz w:val="21"/>
      <w:szCs w:val="21"/>
    </w:rPr>
  </w:style>
  <w:style w:type="character" w:styleId="12">
    <w:name w:val="HTML Keyboard"/>
    <w:basedOn w:val="6"/>
    <w:qFormat/>
    <w:uiPriority w:val="0"/>
    <w:rPr>
      <w:rFonts w:ascii="Consolas" w:hAnsi="Consolas" w:eastAsia="Consolas" w:cs="Consolas"/>
      <w:color w:val="666666"/>
      <w:sz w:val="21"/>
      <w:szCs w:val="21"/>
    </w:rPr>
  </w:style>
  <w:style w:type="character" w:styleId="13">
    <w:name w:val="HTML Sample"/>
    <w:basedOn w:val="6"/>
    <w:qFormat/>
    <w:uiPriority w:val="0"/>
    <w:rPr>
      <w:rFonts w:hint="default" w:ascii="Consolas" w:hAnsi="Consolas" w:eastAsia="Consolas" w:cs="Consolas"/>
      <w:sz w:val="21"/>
      <w:szCs w:val="21"/>
    </w:rPr>
  </w:style>
  <w:style w:type="table" w:styleId="15">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first-child2"/>
    <w:basedOn w:val="6"/>
    <w:qFormat/>
    <w:uiPriority w:val="0"/>
    <w:rPr>
      <w:sz w:val="13"/>
      <w:szCs w:val="13"/>
    </w:rPr>
  </w:style>
  <w:style w:type="character" w:customStyle="1" w:styleId="17">
    <w:name w:val="ant-select-tree-switcher"/>
    <w:basedOn w:val="6"/>
    <w:qFormat/>
    <w:uiPriority w:val="0"/>
  </w:style>
  <w:style w:type="character" w:customStyle="1" w:styleId="18">
    <w:name w:val="ant-tree-iconele"/>
    <w:basedOn w:val="6"/>
    <w:qFormat/>
    <w:uiPriority w:val="0"/>
  </w:style>
  <w:style w:type="character" w:customStyle="1" w:styleId="19">
    <w:name w:val="ant-radio+*"/>
    <w:basedOn w:val="6"/>
    <w:qFormat/>
    <w:uiPriority w:val="0"/>
  </w:style>
  <w:style w:type="character" w:customStyle="1" w:styleId="20">
    <w:name w:val="selected4"/>
    <w:basedOn w:val="6"/>
    <w:qFormat/>
    <w:uiPriority w:val="0"/>
  </w:style>
  <w:style w:type="character" w:customStyle="1" w:styleId="21">
    <w:name w:val="selected5"/>
    <w:basedOn w:val="6"/>
    <w:qFormat/>
    <w:uiPriority w:val="0"/>
  </w:style>
  <w:style w:type="character" w:customStyle="1" w:styleId="22">
    <w:name w:val="selected6"/>
    <w:basedOn w:val="6"/>
    <w:qFormat/>
    <w:uiPriority w:val="0"/>
  </w:style>
  <w:style w:type="character" w:customStyle="1" w:styleId="23">
    <w:name w:val="button"/>
    <w:basedOn w:val="6"/>
    <w:qFormat/>
    <w:uiPriority w:val="0"/>
  </w:style>
  <w:style w:type="character" w:customStyle="1" w:styleId="24">
    <w:name w:val="hover19"/>
    <w:basedOn w:val="6"/>
    <w:qFormat/>
    <w:uiPriority w:val="0"/>
    <w:rPr>
      <w:color w:val="009DFF"/>
    </w:rPr>
  </w:style>
  <w:style w:type="character" w:customStyle="1" w:styleId="25">
    <w:name w:val="hover20"/>
    <w:basedOn w:val="6"/>
    <w:qFormat/>
    <w:uiPriority w:val="0"/>
    <w:rPr>
      <w:color w:val="009DFF"/>
    </w:rPr>
  </w:style>
  <w:style w:type="character" w:customStyle="1" w:styleId="26">
    <w:name w:val="ant-tree-switcher"/>
    <w:basedOn w:val="6"/>
    <w:qFormat/>
    <w:uiPriority w:val="0"/>
  </w:style>
  <w:style w:type="character" w:customStyle="1" w:styleId="27">
    <w:name w:val="ant-select-tree-checkbox2"/>
    <w:basedOn w:val="6"/>
    <w:qFormat/>
    <w:uiPriority w:val="0"/>
  </w:style>
  <w:style w:type="character" w:customStyle="1" w:styleId="28">
    <w:name w:val="ant-select-tree-iconele"/>
    <w:basedOn w:val="6"/>
    <w:qFormat/>
    <w:uiPriority w:val="0"/>
  </w:style>
  <w:style w:type="character" w:customStyle="1" w:styleId="29">
    <w:name w:val="ant-tree-checkbox6"/>
    <w:basedOn w:val="6"/>
    <w:qFormat/>
    <w:uiPriority w:val="0"/>
  </w:style>
  <w:style w:type="character" w:customStyle="1" w:styleId="30">
    <w:name w:val="wea-thumbnails-doc-content-subtitle"/>
    <w:basedOn w:val="6"/>
    <w:qFormat/>
    <w:uiPriority w:val="0"/>
    <w:rPr>
      <w:color w:val="9A9A9A"/>
    </w:rPr>
  </w:style>
  <w:style w:type="character" w:customStyle="1" w:styleId="31">
    <w:name w:val="ht_nestinglevel"/>
    <w:basedOn w:val="6"/>
    <w:qFormat/>
    <w:uiPriority w:val="0"/>
  </w:style>
  <w:style w:type="character" w:customStyle="1" w:styleId="32">
    <w:name w:val="ht_nestinglevel_empty"/>
    <w:basedOn w:val="6"/>
    <w:qFormat/>
    <w:uiPriority w:val="0"/>
  </w:style>
  <w:style w:type="character" w:customStyle="1" w:styleId="33">
    <w:name w:val="colheader"/>
    <w:basedOn w:val="6"/>
    <w:qFormat/>
    <w:uiPriority w:val="0"/>
  </w:style>
  <w:style w:type="character" w:customStyle="1" w:styleId="34">
    <w:name w:val="ant-tree-checkbox"/>
    <w:basedOn w:val="6"/>
    <w:qFormat/>
    <w:uiPriority w:val="0"/>
  </w:style>
  <w:style w:type="character" w:customStyle="1" w:styleId="35">
    <w:name w:val="first-child"/>
    <w:basedOn w:val="6"/>
    <w:qFormat/>
    <w:uiPriority w:val="0"/>
    <w:rPr>
      <w:sz w:val="13"/>
      <w:szCs w:val="13"/>
    </w:rPr>
  </w:style>
  <w:style w:type="character" w:customStyle="1" w:styleId="36">
    <w:name w:val="ant-tree-switcher6"/>
    <w:basedOn w:val="6"/>
    <w:qFormat/>
    <w:uiPriority w:val="0"/>
  </w:style>
  <w:style w:type="character" w:customStyle="1" w:styleId="37">
    <w:name w:val="selected"/>
    <w:basedOn w:val="6"/>
    <w:qFormat/>
    <w:uiPriority w:val="0"/>
  </w:style>
  <w:style w:type="character" w:customStyle="1" w:styleId="38">
    <w:name w:val="selected1"/>
    <w:basedOn w:val="6"/>
    <w:qFormat/>
    <w:uiPriority w:val="0"/>
  </w:style>
  <w:style w:type="character" w:customStyle="1" w:styleId="39">
    <w:name w:val="selected2"/>
    <w:basedOn w:val="6"/>
    <w:qFormat/>
    <w:uiPriority w:val="0"/>
  </w:style>
  <w:style w:type="character" w:customStyle="1" w:styleId="40">
    <w:name w:val="ant-select-tree-checkbox"/>
    <w:basedOn w:val="6"/>
    <w:qFormat/>
    <w:uiPriority w:val="0"/>
  </w:style>
  <w:style w:type="character" w:customStyle="1" w:styleId="41">
    <w:name w:val="ant-tree-switcher5"/>
    <w:basedOn w:val="6"/>
    <w:qFormat/>
    <w:uiPriority w:val="0"/>
  </w:style>
  <w:style w:type="character" w:customStyle="1" w:styleId="42">
    <w:name w:val="selected7"/>
    <w:basedOn w:val="6"/>
    <w:qFormat/>
    <w:uiPriority w:val="0"/>
  </w:style>
  <w:style w:type="character" w:customStyle="1" w:styleId="43">
    <w:name w:val="selected11"/>
    <w:basedOn w:val="6"/>
    <w:qFormat/>
    <w:uiPriority w:val="0"/>
  </w:style>
  <w:style w:type="character" w:customStyle="1" w:styleId="44">
    <w:name w:val="selected12"/>
    <w:basedOn w:val="6"/>
    <w:qFormat/>
    <w:uiPriority w:val="0"/>
  </w:style>
  <w:style w:type="character" w:customStyle="1" w:styleId="45">
    <w:name w:val="selected13"/>
    <w:basedOn w:val="6"/>
    <w:qFormat/>
    <w:uiPriority w:val="0"/>
  </w:style>
  <w:style w:type="character" w:customStyle="1" w:styleId="46">
    <w:name w:val="selected8"/>
    <w:basedOn w:val="6"/>
    <w:qFormat/>
    <w:uiPriority w:val="0"/>
  </w:style>
  <w:style w:type="character" w:customStyle="1" w:styleId="47">
    <w:name w:val="selected9"/>
    <w:basedOn w:val="6"/>
    <w:qFormat/>
    <w:uiPriority w:val="0"/>
  </w:style>
  <w:style w:type="character" w:customStyle="1" w:styleId="48">
    <w:name w:val="selected10"/>
    <w:basedOn w:val="6"/>
    <w:qFormat/>
    <w:uiPriority w:val="0"/>
  </w:style>
  <w:style w:type="character" w:customStyle="1" w:styleId="49">
    <w:name w:val="hover18"/>
    <w:basedOn w:val="6"/>
    <w:qFormat/>
    <w:uiPriority w:val="0"/>
    <w:rPr>
      <w:color w:val="009DFF"/>
    </w:rPr>
  </w:style>
  <w:style w:type="character" w:customStyle="1" w:styleId="50">
    <w:name w:val="ant-tree-checkbox5"/>
    <w:basedOn w:val="6"/>
    <w:qFormat/>
    <w:uiPriority w:val="0"/>
  </w:style>
  <w:style w:type="character" w:customStyle="1" w:styleId="51">
    <w:name w:val="ant-tree-switcher4"/>
    <w:basedOn w:val="6"/>
    <w:qFormat/>
    <w:uiPriority w:val="0"/>
  </w:style>
  <w:style w:type="character" w:customStyle="1" w:styleId="52">
    <w:name w:val="hover"/>
    <w:basedOn w:val="6"/>
    <w:qFormat/>
    <w:uiPriority w:val="0"/>
    <w:rPr>
      <w:color w:val="009DFF"/>
    </w:rPr>
  </w:style>
  <w:style w:type="character" w:customStyle="1" w:styleId="53">
    <w:name w:val="hover1"/>
    <w:basedOn w:val="6"/>
    <w:qFormat/>
    <w:uiPriority w:val="0"/>
    <w:rPr>
      <w:color w:val="009DFF"/>
    </w:rPr>
  </w:style>
  <w:style w:type="character" w:customStyle="1" w:styleId="54">
    <w:name w:val="hover15"/>
    <w:basedOn w:val="6"/>
    <w:qFormat/>
    <w:uiPriority w:val="0"/>
    <w:rPr>
      <w:color w:val="009DFF"/>
    </w:rPr>
  </w:style>
  <w:style w:type="character" w:customStyle="1" w:styleId="55">
    <w:name w:val="hover16"/>
    <w:basedOn w:val="6"/>
    <w:qFormat/>
    <w:uiPriority w:val="0"/>
    <w:rPr>
      <w:color w:val="009DFF"/>
    </w:rPr>
  </w:style>
  <w:style w:type="character" w:customStyle="1" w:styleId="56">
    <w:name w:val="ant-tree-checkbox4"/>
    <w:basedOn w:val="6"/>
    <w:qFormat/>
    <w:uiPriority w:val="0"/>
  </w:style>
  <w:style w:type="character" w:customStyle="1" w:styleId="57">
    <w:name w:val="hover17"/>
    <w:basedOn w:val="6"/>
    <w:qFormat/>
    <w:uiPriority w:val="0"/>
    <w:rPr>
      <w:color w:val="009DFF"/>
    </w:rPr>
  </w:style>
  <w:style w:type="character" w:customStyle="1" w:styleId="58">
    <w:name w:val="hover14"/>
    <w:basedOn w:val="6"/>
    <w:qFormat/>
    <w:uiPriority w:val="0"/>
    <w:rPr>
      <w:color w:val="009DFF"/>
    </w:rPr>
  </w:style>
  <w:style w:type="character" w:customStyle="1" w:styleId="59">
    <w:name w:val="hover13"/>
    <w:basedOn w:val="6"/>
    <w:qFormat/>
    <w:uiPriority w:val="0"/>
    <w:rPr>
      <w:color w:val="009DFF"/>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56</TotalTime>
  <ScaleCrop>false</ScaleCrop>
  <LinksUpToDate>false</LinksUpToDate>
  <CharactersWithSpaces>0</CharactersWithSpaces>
  <Application>WPS Office_10.8.2.7058_F1E327BC-269C-435d-A152-05C5408002CA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admin</cp:lastModifiedBy>
  <cp:lastPrinted>2024-07-16T01:47:00Z</cp:lastPrinted>
  <dcterms:modified xsi:type="dcterms:W3CDTF">2024-07-18T07:37:22Z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2052-10.8.2.7058</vt:lpwstr>
  </property>
  <property fmtid="{D5CDD505-2E9C-101B-9397-08002B2CF9AE}" pid="3" name="ICV">
    <vt:lpwstr>2AFE29251F2D47119EA111B2B617C6AF_13</vt:lpwstr>
  </property>
</Properties>
</file>