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6</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13</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349</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eastAsia" w:ascii="方正公文黑体" w:hAnsi="方正公文黑体" w:eastAsia="方正公文黑体" w:cs="方正公文黑体"/>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6</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4</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17日</w:t>
      </w:r>
    </w:p>
    <w:p w14:paraId="1EE33D88">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6F99CE4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FF0000"/>
          <w:kern w:val="36"/>
          <w:sz w:val="24"/>
          <w:szCs w:val="24"/>
          <w:lang w:val="en-US" w:eastAsia="zh-CN"/>
        </w:rPr>
      </w:pP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eastAsia" w:ascii="方正公文黑体" w:hAnsi="方正公文黑体" w:eastAsia="方正公文黑体" w:cs="方正公文黑体"/>
          <w:b w:val="0"/>
          <w:bCs/>
          <w:color w:val="1F497D"/>
          <w:kern w:val="36"/>
          <w:sz w:val="32"/>
          <w:szCs w:val="32"/>
          <w:lang w:val="en-US" w:eastAsia="zh-CN"/>
          <w14:textFill>
            <w14:solidFill>
              <w14:srgbClr w14:val="1F497D">
                <w14:lumMod w14:val="60000"/>
                <w14:lumOff w14:val="40000"/>
              </w14:srgbClr>
            </w14:solidFill>
          </w14:textFill>
        </w:rPr>
        <w:t>全球经贸分析</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w:t>
      </w: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w:t>
      </w:r>
      <w:r>
        <w:rPr>
          <w:rFonts w:hint="default" w:ascii="Times New Roman" w:hAnsi="Times New Roman" w:eastAsia="宋体" w:cs="Times New Roman"/>
          <w:b/>
          <w:color w:val="00B0F0"/>
          <w:kern w:val="36"/>
          <w:sz w:val="36"/>
          <w:szCs w:val="36"/>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102A9E3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eastAsia"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从SpaceX的世纪IPO看：美国证券市场的监管放松与被动</w:t>
      </w:r>
    </w:p>
    <w:p w14:paraId="0B5D1FF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资金的风险演变</w:t>
      </w:r>
      <w:r>
        <w:rPr>
          <w:rFonts w:hint="eastAsia" w:ascii="Times New Roman" w:hAnsi="Times New Roman" w:eastAsia="方正楷体_GBK" w:cs="Times New Roman"/>
          <w:b/>
          <w:color w:val="auto"/>
          <w:spacing w:val="-2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02</w:t>
      </w:r>
    </w:p>
    <w:p w14:paraId="44D12007">
      <w:pPr>
        <w:keepNext w:val="0"/>
        <w:keepLines w:val="0"/>
        <w:pageBreakBefore w:val="0"/>
        <w:widowControl w:val="0"/>
        <w:kinsoku/>
        <w:wordWrap/>
        <w:overflowPunct/>
        <w:topLinePunct w:val="0"/>
        <w:autoSpaceDE/>
        <w:autoSpaceDN/>
        <w:bidi w:val="0"/>
        <w:adjustRightInd/>
        <w:snapToGrid/>
        <w:spacing w:line="500" w:lineRule="exact"/>
        <w:ind w:right="0" w:rightChars="0" w:firstLine="568" w:firstLineChars="200"/>
        <w:jc w:val="both"/>
        <w:textAlignment w:val="auto"/>
        <w:outlineLvl w:val="9"/>
        <w:rPr>
          <w:rFonts w:hint="default" w:ascii="方正黑体_GBK" w:hAnsi="方正黑体_GBK" w:eastAsia="方正黑体_GBK" w:cs="方正黑体_GBK"/>
          <w:b w:val="0"/>
          <w:bCs w:val="0"/>
          <w:sz w:val="32"/>
          <w:szCs w:val="32"/>
          <w:lang w:val="en-US" w:eastAsia="zh-CN"/>
        </w:rPr>
      </w:pPr>
      <w:r>
        <w:rPr>
          <w:rFonts w:hint="eastAsia" w:ascii="Times New Roman" w:hAnsi="Times New Roman" w:eastAsia="方正楷体_GBK" w:cs="Times New Roman"/>
          <w:b/>
          <w:color w:val="auto"/>
          <w:spacing w:val="0"/>
          <w:kern w:val="36"/>
          <w:sz w:val="30"/>
          <w:szCs w:val="30"/>
          <w:lang w:val="en-US" w:eastAsia="zh-CN"/>
        </w:rPr>
        <w:t xml:space="preserve">特朗普交易已见顶：资本市场的真实表达 </w:t>
      </w:r>
      <w:r>
        <w:rPr>
          <w:rFonts w:hint="eastAsia" w:ascii="Times New Roman" w:hAnsi="Times New Roman" w:eastAsia="方正楷体_GBK" w:cs="方正楷体_GBK"/>
          <w:b/>
          <w:color w:val="auto"/>
          <w:spacing w:val="0"/>
          <w:kern w:val="36"/>
          <w:sz w:val="30"/>
          <w:szCs w:val="30"/>
          <w:lang w:val="en-US" w:eastAsia="zh-CN"/>
        </w:rPr>
        <w:t>/ 11</w:t>
      </w:r>
    </w:p>
    <w:p w14:paraId="52BDF4C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488" w:firstLineChars="200"/>
        <w:contextualSpacing/>
        <w:jc w:val="left"/>
        <w:textAlignment w:val="auto"/>
        <w:outlineLvl w:val="1"/>
        <w:rPr>
          <w:rFonts w:hint="default" w:ascii="Times New Roman" w:hAnsi="Times New Roman" w:eastAsia="方正楷体_GBK" w:cs="Times New Roman"/>
          <w:b/>
          <w:bCs w:val="0"/>
          <w:color w:val="auto"/>
          <w:spacing w:val="-20"/>
          <w:kern w:val="36"/>
          <w:sz w:val="30"/>
          <w:szCs w:val="30"/>
          <w:lang w:val="en-US" w:eastAsia="zh-CN"/>
        </w:rPr>
      </w:pPr>
    </w:p>
    <w:p w14:paraId="121BC05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 xml:space="preserve"> </w:t>
      </w:r>
      <w:bookmarkStart w:id="0" w:name="OLE_LINK12"/>
      <w:r>
        <w:rPr>
          <w:rFonts w:hint="eastAsia" w:ascii="Times New Roman" w:hAnsi="Times New Roman" w:eastAsia="方正楷体_GBK" w:cs="Times New Roman"/>
          <w:b/>
          <w:color w:val="auto"/>
          <w:spacing w:val="-11"/>
          <w:kern w:val="36"/>
          <w:sz w:val="30"/>
          <w:szCs w:val="30"/>
          <w:lang w:val="en-US" w:eastAsia="zh-CN"/>
        </w:rPr>
        <w:t xml:space="preserve"> </w:t>
      </w:r>
      <w:bookmarkEnd w:id="0"/>
    </w:p>
    <w:p w14:paraId="6B9B46C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w:t>
      </w:r>
      <w:r>
        <w:rPr>
          <w:rFonts w:hint="eastAsia" w:ascii="方正公文黑体" w:hAnsi="方正公文黑体" w:eastAsia="方正公文黑体" w:cs="方正公文黑体"/>
          <w:b w:val="0"/>
          <w:bCs/>
          <w:color w:val="1F497D"/>
          <w:kern w:val="36"/>
          <w:sz w:val="32"/>
          <w:szCs w:val="32"/>
          <w:lang w:val="en-US" w:eastAsia="zh-CN"/>
          <w14:textFill>
            <w14:solidFill>
              <w14:srgbClr w14:val="1F497D">
                <w14:lumMod w14:val="60000"/>
                <w14:lumOff w14:val="40000"/>
              </w14:srgbClr>
            </w14:solidFill>
          </w14:textFill>
        </w:rPr>
        <w:t>会员企业风采</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 </w:t>
      </w:r>
      <w:r>
        <w:rPr>
          <w:rFonts w:hint="default" w:ascii="Times New Roman" w:hAnsi="Times New Roman" w:eastAsia="宋体" w:cs="Times New Roman"/>
          <w:b/>
          <w:color w:val="FF0000"/>
          <w:kern w:val="36"/>
          <w:sz w:val="32"/>
          <w:szCs w:val="32"/>
          <w:lang w:val="en-US" w:eastAsia="zh-CN"/>
        </w:rPr>
        <w:t>‧‧‧‧‧‧‧‧‧‧‧‧‧‧‧‧‧‧‧‧‧‧‧‧‧‧‧‧‧‧‧‧‧‧‧‧‧‧‧‧‧‧‧‧‧‧‧‧‧‧‧‧‧‧‧‧‧‧‧‧‧‧‧</w:t>
      </w:r>
    </w:p>
    <w:p w14:paraId="77C1FFD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恒力集团获评“国家级高技能人才培训基地”</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20</w:t>
      </w:r>
    </w:p>
    <w:p w14:paraId="5ED6037D">
      <w:pPr>
        <w:keepNext w:val="0"/>
        <w:keepLines w:val="0"/>
        <w:pageBreakBefore w:val="0"/>
        <w:widowControl/>
        <w:kinsoku/>
        <w:wordWrap/>
        <w:overflowPunct/>
        <w:topLinePunct w:val="0"/>
        <w:autoSpaceDE/>
        <w:autoSpaceDN/>
        <w:bidi w:val="0"/>
        <w:adjustRightInd/>
        <w:snapToGrid/>
        <w:ind w:firstLine="568" w:firstLineChars="200"/>
        <w:textAlignment w:val="auto"/>
        <w:outlineLvl w:val="9"/>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江苏银行获批数字人民币运营资质</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22</w:t>
      </w:r>
    </w:p>
    <w:p w14:paraId="302B3E09">
      <w:pPr>
        <w:keepNext w:val="0"/>
        <w:keepLines w:val="0"/>
        <w:pageBreakBefore w:val="0"/>
        <w:widowControl/>
        <w:kinsoku/>
        <w:wordWrap/>
        <w:overflowPunct/>
        <w:topLinePunct w:val="0"/>
        <w:autoSpaceDE/>
        <w:autoSpaceDN/>
        <w:bidi w:val="0"/>
        <w:adjustRightInd/>
        <w:snapToGrid/>
        <w:ind w:firstLine="568" w:firstLineChars="200"/>
        <w:textAlignment w:val="auto"/>
        <w:outlineLvl w:val="9"/>
        <w:rPr>
          <w:rFonts w:hint="default" w:ascii="Times New Roman" w:hAnsi="Times New Roman" w:eastAsia="方正楷体_GBK" w:cs="Times New Roman"/>
          <w:b/>
          <w:color w:val="auto"/>
          <w:spacing w:val="-2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绣娘丝绸：中国非遗苏绣惊艳亮相纽约时装周</w:t>
      </w:r>
      <w:r>
        <w:rPr>
          <w:rFonts w:hint="eastAsia" w:ascii="Times New Roman" w:hAnsi="Times New Roman" w:eastAsia="方正楷体_GBK" w:cs="Times New Roman"/>
          <w:b/>
          <w:color w:val="auto"/>
          <w:spacing w:val="-2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23</w:t>
      </w:r>
    </w:p>
    <w:p w14:paraId="75C95EF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p>
    <w:p w14:paraId="3A6BEFA8">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r>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全球</w:t>
      </w:r>
      <w:r>
        <w:rPr>
          <w:rFonts w:hint="eastAsia"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经贸分析</w:t>
      </w:r>
    </w:p>
    <w:p w14:paraId="5B195499">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532FEF8B">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小标宋_GBK" w:hAnsi="方正小标宋_GBK" w:eastAsia="方正小标宋_GBK" w:cs="方正小标宋_GBK"/>
          <w:b/>
          <w:bCs/>
          <w:color w:val="2E75B6" w:themeColor="accent1" w:themeShade="BF"/>
          <w:sz w:val="44"/>
          <w:szCs w:val="44"/>
          <w:highlight w:val="none"/>
          <w:lang w:val="en-US" w:eastAsia="zh-CN"/>
        </w:rPr>
        <w:t>从SpaceX的世纪IPO看：美国证券市场的监管放松与被动资金的风险演变</w:t>
      </w:r>
    </w:p>
    <w:p w14:paraId="5889EB27">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496E6AF0">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摘要</w:t>
      </w:r>
      <w:r>
        <w:rPr>
          <w:rFonts w:hint="eastAsia" w:ascii="方正楷体_GBK" w:hAnsi="方正楷体_GBK" w:eastAsia="方正楷体_GBK" w:cs="方正楷体_GBK"/>
          <w:b w:val="0"/>
          <w:bCs w:val="0"/>
          <w:sz w:val="28"/>
          <w:szCs w:val="28"/>
          <w:lang w:val="en-US" w:eastAsia="zh-CN"/>
        </w:rPr>
        <w:t>：本文以</w:t>
      </w:r>
      <w:r>
        <w:rPr>
          <w:rFonts w:hint="default" w:ascii="Times New Roman" w:hAnsi="Times New Roman" w:eastAsia="方正楷体_GBK" w:cs="Times New Roman"/>
          <w:b w:val="0"/>
          <w:bCs w:val="0"/>
          <w:sz w:val="28"/>
          <w:szCs w:val="28"/>
          <w:lang w:val="en-US" w:eastAsia="zh-CN"/>
        </w:rPr>
        <w:t>SpaceX</w:t>
      </w:r>
      <w:r>
        <w:rPr>
          <w:rFonts w:hint="eastAsia" w:ascii="方正楷体_GBK" w:hAnsi="方正楷体_GBK" w:eastAsia="方正楷体_GBK" w:cs="方正楷体_GBK"/>
          <w:b w:val="0"/>
          <w:bCs w:val="0"/>
          <w:sz w:val="28"/>
          <w:szCs w:val="28"/>
          <w:lang w:val="en-US" w:eastAsia="zh-CN"/>
        </w:rPr>
        <w:t>拟启动人类史上最大规模</w:t>
      </w:r>
      <w:r>
        <w:rPr>
          <w:rFonts w:hint="eastAsia" w:ascii="Times New Roman" w:hAnsi="Times New Roman" w:eastAsia="方正楷体_GBK" w:cs="Times New Roman"/>
          <w:b w:val="0"/>
          <w:bCs w:val="0"/>
          <w:sz w:val="28"/>
          <w:szCs w:val="28"/>
          <w:lang w:val="en-US" w:eastAsia="zh-CN"/>
        </w:rPr>
        <w:t>IPO</w:t>
      </w:r>
      <w:r>
        <w:rPr>
          <w:rFonts w:hint="eastAsia" w:ascii="方正楷体_GBK" w:hAnsi="方正楷体_GBK" w:eastAsia="方正楷体_GBK" w:cs="方正楷体_GBK"/>
          <w:b w:val="0"/>
          <w:bCs w:val="0"/>
          <w:sz w:val="28"/>
          <w:szCs w:val="28"/>
          <w:lang w:val="en-US" w:eastAsia="zh-CN"/>
        </w:rPr>
        <w:t>为核心切入点，围绕美国证券市场监管放松背景下被动资金的风险演变展开深度研究，属于美国资本市场监管、被动投资体系与证券市场结构性变革的交叉研究领域。文章首先剖析了美国公开市场上市公司数量持续萎缩的核心根源，阐释了</w:t>
      </w:r>
      <w:r>
        <w:rPr>
          <w:rFonts w:hint="eastAsia" w:ascii="Times New Roman" w:hAnsi="Times New Roman" w:eastAsia="方正楷体_GBK" w:cs="Times New Roman"/>
          <w:b w:val="0"/>
          <w:bCs w:val="0"/>
          <w:sz w:val="28"/>
          <w:szCs w:val="28"/>
          <w:lang w:val="en-US" w:eastAsia="zh-CN"/>
        </w:rPr>
        <w:t>SEC</w:t>
      </w:r>
      <w:r>
        <w:rPr>
          <w:rFonts w:hint="eastAsia" w:ascii="方正楷体_GBK" w:hAnsi="方正楷体_GBK" w:eastAsia="方正楷体_GBK" w:cs="方正楷体_GBK"/>
          <w:b w:val="0"/>
          <w:bCs w:val="0"/>
          <w:sz w:val="28"/>
          <w:szCs w:val="28"/>
          <w:lang w:val="en-US" w:eastAsia="zh-CN"/>
        </w:rPr>
        <w:t>及交易所为激活市场推出的</w:t>
      </w:r>
      <w:r>
        <w:rPr>
          <w:rFonts w:hint="eastAsia" w:ascii="Times New Roman" w:hAnsi="Times New Roman" w:eastAsia="方正楷体_GBK" w:cs="Times New Roman"/>
          <w:b w:val="0"/>
          <w:bCs w:val="0"/>
          <w:sz w:val="28"/>
          <w:szCs w:val="28"/>
          <w:lang w:val="en-US" w:eastAsia="zh-CN"/>
        </w:rPr>
        <w:t>IPO监管</w:t>
      </w:r>
      <w:r>
        <w:rPr>
          <w:rFonts w:hint="eastAsia" w:ascii="方正楷体_GBK" w:hAnsi="方正楷体_GBK" w:eastAsia="方正楷体_GBK" w:cs="方正楷体_GBK"/>
          <w:b w:val="0"/>
          <w:bCs w:val="0"/>
          <w:sz w:val="28"/>
          <w:szCs w:val="28"/>
          <w:lang w:val="en-US" w:eastAsia="zh-CN"/>
        </w:rPr>
        <w:t>松绑举措。在此基础上，重点研究了指数编制机构为争夺超级独角兽标的，大幅修改观察期、公众持股比例等市场防护机制的激进行为，揭示其形成的被动资金强制接盘机制。文章追溯了被动投资的诞生初衷与发展历程，指出当前规则调整正背离其分散风险、普惠散户的核心内核，引发公司治理真空、价格发现机制弱化等问题，最终使普通投资者暴露于超级巨头估值泡沫的系统性风险中，为理解美国资本市场规则变革与风险演化提供了完整分析框架。</w:t>
      </w:r>
    </w:p>
    <w:p w14:paraId="055FDF1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2A7D23B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lang w:val="en-US" w:eastAsia="zh-CN"/>
        </w:rPr>
        <w:t>正文</w:t>
      </w:r>
      <w:r>
        <w:rPr>
          <w:rFonts w:hint="eastAsia" w:ascii="Times New Roman" w:hAnsi="Times New Roman" w:eastAsia="方正仿宋_GBK" w:cs="Times New Roman"/>
          <w:b w:val="0"/>
          <w:bCs w:val="0"/>
          <w:sz w:val="32"/>
          <w:szCs w:val="32"/>
          <w:lang w:val="en-US" w:eastAsia="zh-CN"/>
        </w:rPr>
        <w:t>：</w:t>
      </w:r>
    </w:p>
    <w:p w14:paraId="6318B31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2013年，马斯克在一封写给SpaceX员工的内部信中斩钉截铁地说：“在人类能够安全抵达火星之前，SpaceX绝对不会考虑首次公开募股（IPO）。”</w:t>
      </w:r>
    </w:p>
    <w:p w14:paraId="3025502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这不仅是一句对短期资本市场压力的拒绝，更像是一份对长期使命的坚定宣言。因为公开市场的季度报表、股东压力和股价波动，都可能分散马斯克及其团队对火星移民这一终极目标的专注。</w:t>
      </w:r>
    </w:p>
    <w:p w14:paraId="2AD1C1E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13年过去了，情况已发生戏剧性逆转。今年2月初，SpaceX与马斯克旗下AI实验室xAI完成合并成为一家超级公司，合并后实体估值约为1.25万亿美元，其中SpaceX估值约1万亿美元，xAI估值约2500亿美元。4月初，合并后的SpaceX向美国证券交易委员会（SEC）提交了IPO申请文件。根据目前计划，公司拟募资规模高达750亿美元；若成功，这将成为人类历史上规模最庞大的IPO，远超2019年沙特阿美石油公司创下的初始约256亿美元（最终约294亿美元）募资纪录。同时，新公司整体估值将直逼1.75万亿美元，甚至有可能超过2万亿美元。</w:t>
      </w:r>
    </w:p>
    <w:p w14:paraId="71E6F49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场从“拒绝IPO”到“史上最大IPO”的转变，不仅折射出马斯克商业帝国的快速扩张，更凸显了美国资本市场正在经历的结构性剧变。除SpaceX之外，目前全球领先的AI模型开发商OpenAI和Anthropic也在积极评估今年或明年的上市计划。如果这三家超级独角兽同时或相继登陆公开市场，它们带给美股市场的初始估值总和将轻松突破3万亿美元。</w:t>
      </w:r>
    </w:p>
    <w:p w14:paraId="1B49690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一、公开市场萎缩的根源与自救计划的启动</w:t>
      </w:r>
    </w:p>
    <w:p w14:paraId="0A0015B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这笔规模庞大的资金注入美国公开市场，将产生重要影响，因为后者长期面临上市公司数量减少的问题——自</w:t>
      </w:r>
      <w:r>
        <w:rPr>
          <w:rFonts w:hint="eastAsia" w:ascii="Times New Roman" w:hAnsi="Times New Roman" w:eastAsia="方正仿宋_GBK" w:cs="Times New Roman"/>
          <w:b w:val="0"/>
          <w:bCs w:val="0"/>
          <w:sz w:val="32"/>
          <w:szCs w:val="32"/>
          <w:lang w:eastAsia="zh-CN"/>
        </w:rPr>
        <w:t>20世纪90年代</w:t>
      </w:r>
      <w:r>
        <w:rPr>
          <w:rFonts w:hint="eastAsia" w:ascii="Times New Roman" w:hAnsi="Times New Roman" w:eastAsia="方正仿宋_GBK" w:cs="Times New Roman"/>
          <w:b w:val="0"/>
          <w:bCs w:val="0"/>
          <w:sz w:val="32"/>
          <w:szCs w:val="32"/>
        </w:rPr>
        <w:t>中期以来，美国上市公司的总数已下降超过三分之一。导致这一现象的主要因素有两点：一是监管和合规成本大幅上升，使得许多企业对上市持谨慎态度；二是私募股权市场的深度和成熟度显著提升。在非公开市场上，创投机构和私募巨头能够为企业提供长期资本支持，例如Uber、Airbnb等公司在上市前长期停留在私募阶段，甚至一些原本已上市的公司如Dell（2013年被私有化）和Hilton（部分股权被私募基金收购后逐步私有化）也被私募资本直接或间接私有化。这导致大量资本长期锁定在少数专业投资者手中。标普全球数据显示，过去五年，全球前十大由创投（资金）支持的非上市公司总价值增长了约1.5倍，已接近3万亿美元。</w:t>
      </w:r>
    </w:p>
    <w:p w14:paraId="388738E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SEC前委员保罗·阿特金斯曾公开警告，公开市场萎缩削弱了美国的全球竞争力，更使普通散户投资者无法参与这些高增长企业的投资机会，从而难以分享经济增长红利。因此，一场旨在“让IPO再次伟大”的自救计划悄然启动。SEC和各大交易所联手调整上市规则，计划大幅降低企业上市的监管负担，例如将季度财报放宽为半年报、减少气候变化相关的强制披露要求，并限制代理顾问机构和集体诉讼参与者的部分权利，相当于放松了对企业高层的部分制衡。</w:t>
      </w:r>
    </w:p>
    <w:p w14:paraId="484BFE1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二、指数规则的激进调整：被动资金的强制接盘机制</w:t>
      </w:r>
    </w:p>
    <w:p w14:paraId="3C8BC27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真正掌握巨额资金流向的，是指数编制机构。所谓指数编制机构，是指负责设计、维护和调整各类股票指数的机构，例如纳斯达克、富时罗素和标普道琼斯指数公司等。这些机构编制的指数，是全球数万亿美元被动指数基金和ETF的追踪基准。由于被动基金必须严格按照指数成分股及其权重进行机械式买入，一旦某家公司被纳入指数，就会自动触发大规模的强制买盘，从而直接决定资金的流向。</w:t>
      </w:r>
    </w:p>
    <w:p w14:paraId="580DCB4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如果SpaceX被纳入纳斯达克100指数，就会吸引约6000亿美元被动资金强制买入；如果被纳入S&amp;P 500指数（由标普道琼斯指数公司负责），则可能触发约24万亿美元追踪资金的买入；富时罗素的Russell指数系列同样被大量被动基金追踪。因此，任何指数编制机构都不愿错过这个潜在的万亿级标的。</w:t>
      </w:r>
    </w:p>
    <w:p w14:paraId="40E15A7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指数纳入并不具有排他性。SpaceX无论最终选择在纳斯达克还是纽交所上市，都可以同时被纳入多个主要指数，例如纳斯达克100指数、S&amp;P 500指数以及富时罗素的Russell指数系列。绝大多数大型美国公司（如苹果、微软）都同时属于好几个重要指数。</w:t>
      </w:r>
    </w:p>
    <w:p w14:paraId="0C02EE3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在实际操作中，上市交易所的选择会显著影响指数纳入的速度和便利性。如果SpaceX选择在纳斯达克上市，纳斯达克指数编制团队能更直接、更快速地处理纳入事宜；如果选择纽交所上市，纳入纳斯达克100的流程则会相对复杂和缓慢。马斯克正是看中这一点，把“快速纳入核心指数”作为选择上市交易所的重要条件之一。他实际上是在利用交易所和指数编制机构之间的竞争，迫使各方给出最优惠的规则修改承诺。</w:t>
      </w:r>
    </w:p>
    <w:p w14:paraId="5C1F8B4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因此，纳斯达克、富时罗素和标普道琼斯等指数编制机构展开了激烈竞争。为促成这一交易，它们正考虑大幅修改两项重要的市场防护机制。</w:t>
      </w:r>
    </w:p>
    <w:p w14:paraId="2C1936A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首先是“观察期”制度。该制度原本要求新上市公司在公开市场交易数月甚至一年，让投资者有足够时间充分消化公司信息、评估基本面、等待股价趋于稳定后，才有资格被纳入指数。</w:t>
      </w:r>
    </w:p>
    <w:p w14:paraId="3BC0B09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纳斯达克已通过新规，将最低观察期大幅压缩至15个交易日；富时指数的提案则更为激进，建议仅需5个交易日。这意味着上市后短短几天或几周，几千亿美元的被动资金就可能被迫进场接盘，市场对公司的检验和价格发现时间被大幅缩短。</w:t>
      </w:r>
    </w:p>
    <w:p w14:paraId="5AC4C3B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2012年Facebook（现Meta）上市就是一个典型的反面教训。当时Facebook以每股38美元的价格上市，首日开盘后因技术故障和内部人士大量抛售，股价迅速暴跌，一度跌破发行价近50%，并在随后几个月持续低迷，花了超过一年时间才勉强回升至发行价。如果当时实施的是如今提议的15天甚至5天超短观察期，那么追踪指数的退休基金和普通散户，很可能在股价最剧烈波动、信息最不透明、泡沫风险最高的阶段就被迫大规模买入，成为内部人士高位套现的接盘方。这正是观察期制度存在的核心价值：让市场狂热冷静下来，让价格通过充分的信息披露和交易逐步回归理性。</w:t>
      </w:r>
    </w:p>
    <w:p w14:paraId="4B41EBD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其次是降低公众持股比例门槛。该制度原本要求公司在上市时必须向公众释放一定比例的股票，以保证上市后市场上有足够的流通筹码，避免股价被少数资金轻易操纵。</w:t>
      </w:r>
    </w:p>
    <w:p w14:paraId="76428D0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在当前的改革提案中，这一门槛被显著放宽。释放给公众的股票比例越低，市场上的实际流通筹码就越少，股价也就越容易出现剧烈波动和被操纵的情况。历史数据显示，从1980年以来，只要上市时公众持股比例低于5%的大型企业，其上市后三年的股价表现几乎全部落后于大盘，几乎没有例外。</w:t>
      </w:r>
    </w:p>
    <w:p w14:paraId="23EFA76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就好比一家市值上万亿美元的公司，上市后公开市场能自由交易的股票却只有很小一部分。当数千亿美元的被动指数基金必须在短时间内大量买入时，极低的流通量会导致股价被这些机械性的买盘快速推高，严重偏离公司实际基本面，市场的价格发现功能被大幅削弱。</w:t>
      </w:r>
    </w:p>
    <w:p w14:paraId="73DDC63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更令人担忧的是，纳斯达克提出的附加条款允许部分新纳入指数的企业，其权重可以直接放大到实际流通股比例的三倍。这相当于人为制造出三倍的强制买盘，让SpaceX等AI巨头在指数中获得远超其实际流通规模的影响力。普通投资者可能还来不及弄清楚1.75万亿美元的估值究竟是如何得出的，数千亿美元的被动资金就已被强制转移过去。</w:t>
      </w:r>
    </w:p>
    <w:p w14:paraId="2CC1645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三、被动投资的诞生、崛起与初衷的悄然颠覆</w:t>
      </w:r>
    </w:p>
    <w:p w14:paraId="54C10C9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被动投资的理念并非一夜之间流行，其历史可以追溯到1976年，先锋集团创始人约翰·博格推出了全球首个面向普通投资者的指数基金——Vanguard 500 Index Fund。当时，这一想法被华尔街主流蔑称为“Bogle’s Folly”（博格的愚蠢之举），首发募资仅1100万美元，远低于目标。</w:t>
      </w:r>
    </w:p>
    <w:p w14:paraId="514101C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博格的核心理念非常清晰：大多数主动管理的基金经理长期难以跑赢市场，而高昂的管理费却会持续侵蚀投资者回报。因此，他主张通过低成本、被动追踪市场指数的方式，让普通投资者以最低费用分享整个市场的平均回报，从而实现真正的风险分散。这一理念正是被动投资最初的民主化承诺——保护中小散户免受华尔街主动基金经理的高费率剥削。</w:t>
      </w:r>
    </w:p>
    <w:p w14:paraId="6664FBC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时间证明了博格的远见。到2025年底，被动管理资产规模已超过主动管理资产，达到近20万亿美元。数千万美国劳动者通过401(k</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退休账户等渠道，被动持有这些指数基金，享受了长期市场增长的红利，而无需承担选股的压力和风险。</w:t>
      </w:r>
    </w:p>
    <w:p w14:paraId="773A3A4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博格本人在晚年却对指数基金的过度扩张发出了明确警告。他担心，如果指数基金持有美国股市的比例过高——他曾预言这一比例可能达到50%以上——将会带来三重隐患：公司治理出现真空、价格发现机制弱化，以及市场过度集中于少数巨头股票。</w:t>
      </w:r>
    </w:p>
    <w:p w14:paraId="3DB3711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具体来看，当被动指数基金规模过大时，它们往往采取消极的投票策略，很少主动介入公司治理，导致股东对管理层的制衡作用大幅减弱；股价则越来越多地由指数资金的机械式买入驱动，而非投资者对公司基本面的独立判断；更严重的是，市场会出现高度集中的现象。目前，美国股市的集中度已达到令人担忧的水平，“Magnificent Seven”（苹果、微软、英伟达等七大科技与AI巨头）在S&amp;P 500指数中的权重一度超过30%，被动资金的持续买入进一步放大了这一效应。一旦这些巨头增长放缓或估值泡沫破裂，整个市场的波动幅度将远超以往，普通投资者的退休资产也将面临系统性冲击。</w:t>
      </w:r>
    </w:p>
    <w:p w14:paraId="09DC67C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如今，监管机构与指数编制机构联手推出的“IPO自救计划”，通过大幅缩短观察期、放宽公众持股比例门槛以及允许指数权重人为放大等措施，正在加速这一进程。SpaceX等AI巨头的IPO，能让早期私募投资者在高估值顺利退出，而被动指数基金则在信息不对称加剧的环境中，成为事实上的接盘方。这不仅背离了被动投资“分散风险、低成本分享市场”的原始初衷，更可能把数千万普通投资者的退休储蓄，暴露在少数超级巨头估值泡沫的风险之下。</w:t>
      </w:r>
    </w:p>
    <w:p w14:paraId="7412DA4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四、一场需要警惕的规则变革</w:t>
      </w:r>
    </w:p>
    <w:p w14:paraId="1CA51DE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美国监管机构与指数编制机构推动的这场“让IPO再次伟大”的自救计划，旨在为SpaceX、OpenAI等超级独角兽打开上市通道，缓解公开市场长期萎缩的困境。这一努力有其积极意义，但当观察期、公众持股比例和指数权重等核心防护机制被大幅放松时，潜在风险已不容小觑。</w:t>
      </w:r>
    </w:p>
    <w:p w14:paraId="4F8B8C8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在追求上市规模与速度的同时，大量被动资金可能在信息消化不足、流通筹码有限的情况下，被迫成为高估值IPO的接盘方。早期私募投资者得以在高位顺利退出，而通过401(k</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等渠道持有指数基金的普通投资者，却可能承担远超预期的系统性风险。</w:t>
      </w:r>
    </w:p>
    <w:p w14:paraId="7043ED0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资本市场的发展，始终需要在鼓励创新与维护市场透明、保护投资者利益之间寻求平衡。此次针对SpaceX等AI巨头的规则调整，究竟是真正激活公开市场，还是为少数巨头的高位套现打开方便之门，最终仍需时间检验。监管层在推动IPO复兴的同时，必须确保信息透明度和价格发现机制不被过度牺牲，否则这场变革很可能以损害广大散户利益为代价。</w:t>
      </w:r>
    </w:p>
    <w:p w14:paraId="45EBBD5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只有坚守透明、公平与风险控制的基本底线，资本市场的创新红利才能真正惠及更广泛的参与者，而非沦为少数巨头的单向提款机。</w:t>
      </w:r>
    </w:p>
    <w:p w14:paraId="3C6984D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p>
    <w:p w14:paraId="5BDC0C4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rPr>
        <w:t>附注</w:t>
      </w:r>
      <w:r>
        <w:rPr>
          <w:rFonts w:hint="eastAsia" w:ascii="Times New Roman" w:hAnsi="Times New Roman" w:eastAsia="方正仿宋_GBK" w:cs="Times New Roman"/>
          <w:b w:val="0"/>
          <w:bCs w:val="0"/>
          <w:sz w:val="32"/>
          <w:szCs w:val="32"/>
        </w:rPr>
        <w:t>：本文所称被动指数基金和ETF，均指追踪市场指数的被动投资产品，二者在交易方式上存在一定差异，但均会因指数纳入而触发机械式买入。</w:t>
      </w:r>
    </w:p>
    <w:p w14:paraId="15401C0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w:t>
      </w:r>
      <w:r>
        <w:rPr>
          <w:rFonts w:hint="eastAsia" w:ascii="Times New Roman" w:hAnsi="Times New Roman" w:eastAsia="方正楷体_GBK" w:cs="方正楷体_GBK"/>
          <w:b/>
          <w:bCs/>
          <w:color w:val="FF0000"/>
          <w:spacing w:val="0"/>
          <w:kern w:val="2"/>
          <w:sz w:val="30"/>
          <w:szCs w:val="30"/>
          <w:lang w:val="en-US" w:eastAsia="zh-CN" w:bidi="ar-SA"/>
        </w:rPr>
        <w:t>发展研究部 刘浩、左亮</w:t>
      </w:r>
      <w:r>
        <w:rPr>
          <w:rFonts w:hint="default" w:ascii="Times New Roman" w:hAnsi="Times New Roman" w:eastAsia="方正楷体_GBK" w:cs="方正楷体_GBK"/>
          <w:b/>
          <w:bCs/>
          <w:color w:val="FF0000"/>
          <w:spacing w:val="0"/>
          <w:kern w:val="2"/>
          <w:sz w:val="30"/>
          <w:szCs w:val="30"/>
          <w:lang w:val="en-US" w:eastAsia="zh-CN" w:bidi="ar-SA"/>
        </w:rPr>
        <w:t>）</w:t>
      </w:r>
    </w:p>
    <w:p w14:paraId="748737E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686683A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41B965B4">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45E52BA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3A2A0090">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b/>
          <w:bCs/>
          <w:color w:val="2E75B6" w:themeColor="accent1" w:themeShade="BF"/>
          <w:sz w:val="44"/>
          <w:szCs w:val="44"/>
          <w:highlight w:val="none"/>
          <w:lang w:val="en-US" w:eastAsia="zh-CN"/>
        </w:rPr>
      </w:pPr>
    </w:p>
    <w:p w14:paraId="558592B5">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小标宋_GBK" w:hAnsi="方正小标宋_GBK" w:eastAsia="方正小标宋_GBK" w:cs="方正小标宋_GBK"/>
          <w:b/>
          <w:bCs/>
          <w:color w:val="2E75B6" w:themeColor="accent1" w:themeShade="BF"/>
          <w:sz w:val="44"/>
          <w:szCs w:val="44"/>
          <w:highlight w:val="none"/>
          <w:lang w:val="en-US" w:eastAsia="zh-CN"/>
        </w:rPr>
        <w:t>特朗普交易已见顶：资本市场的真实表达</w:t>
      </w:r>
    </w:p>
    <w:p w14:paraId="43A00FCE">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59C6C388">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摘要</w:t>
      </w:r>
      <w:r>
        <w:rPr>
          <w:rFonts w:hint="eastAsia" w:ascii="方正楷体_GBK" w:hAnsi="方正楷体_GBK" w:eastAsia="方正楷体_GBK" w:cs="方正楷体_GBK"/>
          <w:b w:val="0"/>
          <w:bCs w:val="0"/>
          <w:sz w:val="28"/>
          <w:szCs w:val="28"/>
          <w:lang w:val="en-US" w:eastAsia="zh-CN"/>
        </w:rPr>
        <w:t>：本文围绕“特朗普交易”见顶的市场现象展开系统性研究，核心分析特朗普第二任期“美国优先”政策对美国资本市场定价逻辑的影响，属于美国政治经济、资本市场定价与宏观投资策略交叉研究领域。文章首先阐释了“特朗普交易”的内涵与演进历程，梳理了从大选前的政策乐观定价，到关税博弈阶段衍生出的“</w:t>
      </w:r>
      <w:r>
        <w:rPr>
          <w:rFonts w:hint="default" w:ascii="Times New Roman" w:hAnsi="Times New Roman" w:eastAsia="方正楷体_GBK" w:cs="Times New Roman"/>
          <w:b w:val="0"/>
          <w:bCs w:val="0"/>
          <w:sz w:val="28"/>
          <w:szCs w:val="28"/>
          <w:lang w:val="en-US" w:eastAsia="zh-CN"/>
        </w:rPr>
        <w:t>TACO</w:t>
      </w:r>
      <w:r>
        <w:rPr>
          <w:rFonts w:hint="eastAsia" w:ascii="方正楷体_GBK" w:hAnsi="方正楷体_GBK" w:eastAsia="方正楷体_GBK" w:cs="方正楷体_GBK"/>
          <w:b w:val="0"/>
          <w:bCs w:val="0"/>
          <w:sz w:val="28"/>
          <w:szCs w:val="28"/>
          <w:lang w:val="en-US" w:eastAsia="zh-CN"/>
        </w:rPr>
        <w:t>交易”子策略的完整演变。研究结合“长特朗普、短拜登”指数的走势变化，拆解了特朗普概念股的分化表现，剖析了私营监狱、本土制造业等概念落空的核心根源，同时分析了国防能源板块的韧性逻辑与美债做空交易的复杂结局。文章最终揭示，资本市场的核心定价锚是真实可验证的现金流而非政治叙事，“特朗普交易”见顶标志着市场从政策幻想回归理性现实定价，为投资者穿越政治周期提供了核心启示。</w:t>
      </w:r>
    </w:p>
    <w:p w14:paraId="5FA027E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054D8A2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lang w:val="en-US" w:eastAsia="zh-CN"/>
        </w:rPr>
        <w:t>正文</w:t>
      </w:r>
      <w:r>
        <w:rPr>
          <w:rFonts w:hint="eastAsia" w:ascii="Times New Roman" w:hAnsi="Times New Roman" w:eastAsia="方正仿宋_GBK" w:cs="Times New Roman"/>
          <w:b w:val="0"/>
          <w:bCs w:val="0"/>
          <w:sz w:val="32"/>
          <w:szCs w:val="32"/>
          <w:lang w:val="en-US" w:eastAsia="zh-CN"/>
        </w:rPr>
        <w:t>：</w:t>
      </w:r>
    </w:p>
    <w:p w14:paraId="5F41608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《经济学人》近期发表的专栏文章对“特朗普交易”（Trump Trade）进行讨论，文章认为，该交易已经见顶，且见顶的时间远比市场普遍预期的要早得多。这并非投资者对特朗普第二任期政策的突然幻灭，而是华尔街“聪明钱”早已提前充分定价、并开始大规模获利了结的冷酷信号。</w:t>
      </w:r>
    </w:p>
    <w:p w14:paraId="05A5F74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一、什么是“特朗普交易”</w:t>
      </w:r>
    </w:p>
    <w:p w14:paraId="223FC17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它并非一个单一的固定策略，而是近两年来华尔街围绕特朗普“美国优先”议程所形成的一整套市场定价与交易模式。其核心在于投资者基于特朗普政府的预期政策——包括高关税壁垒、税制改革与减税、监管放松、能源生产扩张、大规模移民执法以及谈判式外交——对相关资产进行配置。</w:t>
      </w:r>
    </w:p>
    <w:p w14:paraId="43FFA33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具体而言，早期的“特朗普交易”表现为乐观定价：投资者押注“共和党统一政府”（即特朗普担任总统，同时共和党掌控国会参众两院多数席位）将带来企业友好环境，大幅降低立法阻力，使得税改、监管放松、能源扩张等议程能快速推进，从而改善银行、金融、小盘股、能源和制造业的盈利前景，进而推升上述板块的股价；同时推高美元汇率，并抬升长期国债收益率（长期国债收益率通常反映更高的经济增长与通胀预期）。总之，市场预期特朗普政府的财政扩张政策将在短期内提振总需求，但也有可能扩大通胀风险，从而推高整体利率路径。</w:t>
      </w:r>
    </w:p>
    <w:p w14:paraId="3CA57D6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2025年4月，随着特朗普大规模“对等关税”的推出，交易焦点转向贸易战冲击，市场波动显著加剧，甚至衍生出“TACO交易”（Trump Always Chickens Out，意为“特朗普总是临阵退缩”）这一子策略：即投资者押注特朗普先通过高关税进行极限施压、引发市场恐慌，随后为“达成交易”而退让或暂停关税，市场随之出现反弹。因此，投资者纷纷采用“买跌”、期权对冲等战术，在关税公告后的下跌中低位买入，等待政策退让带来的快速回升。</w:t>
      </w:r>
    </w:p>
    <w:p w14:paraId="2EDD7E8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二、利好早已预支：“长特朗普、短拜登指数”</w:t>
      </w:r>
    </w:p>
    <w:p w14:paraId="55F6A25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早在2024年美国总统大选之前，就有机构就构建了一个名为“长特朗普、短拜登”的投资指数：做多那些预期将在特朗普政府下受益的公司股票，同时做空“拜登概念股”——即市场认为将在拜登连任或民主党延续政策下获利的公司，例如与绿色能源、清洁技术、监管密集型产业以及社会支出相关板块的企业。</w:t>
      </w:r>
    </w:p>
    <w:p w14:paraId="7CBC9FF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这一指数的峰值出现在2025年年中，至今已下跌了约20%，几乎完全跌回到2024年11月大选前后的水平。</w:t>
      </w:r>
    </w:p>
    <w:p w14:paraId="2BB1412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这表明，在特朗普真正“施展拳脚”之前，市场已将大部分政策利好预支完毕。如今，甚至开始出现系统性获利了结。最能印证这一点的，是那些与特朗普个人品牌或“右翼政治信仰”绑定最紧的资产。</w:t>
      </w:r>
    </w:p>
    <w:p w14:paraId="143098E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三、政治偏好难当饭吃</w:t>
      </w:r>
    </w:p>
    <w:p w14:paraId="7B1000B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特朗普媒体科技集团（Trump Media &amp; Technology Group，代码DJT）堪称典型。该公司运营社交媒体Truth Social，还曾高调宣称要涉足加密货币乃至核融合等领域，特朗普家族拥有绝对控制权。其股价的历史高点出现于2024年大选之前，至今市值已蒸发约80%以上，堪称特朗普概念股中最惨烈的案例之一。</w:t>
      </w:r>
    </w:p>
    <w:p w14:paraId="3612CD7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同样，右翼视频平台Rumble在特朗普当选后的最初几个月市值一度大幅翻倍，投资者热情高涨。但好景不长，随着政策落地后的实际表现不及预期，其涨幅不仅全部回吐，目前股价甚至接近或低于2024年大选投票期间的水平。</w:t>
      </w:r>
    </w:p>
    <w:p w14:paraId="5D448A7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些案例传递出一个资本市场最冷酷的讯息：政治偏好无法长期支撑股价，最终决定资产价值的，依然是企业真实可期的商业现金流与可持续盈利能力。无论多么强烈的右翼政治色彩或个人品牌加持，一旦缺乏扎实的商业模式和可验证的盈利前景，市场就会迅速用脚投票。</w:t>
      </w:r>
    </w:p>
    <w:p w14:paraId="72A5298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投资者从最初的“特朗普概念”狂热，转向冷静审视这些公司的实际商业模式、用户增长、收入质量以及政策落地效果时，幻灭便迅速显现。最典型的例子，便是那些一度被市场热捧、却最终因执行偏差或极端不确定性而大幅回调的板块——从私营监狱公司到本土制造业，无一例外地印证了这一残酷现实。资本市场从来不讲情面，它只认现金流。</w:t>
      </w:r>
    </w:p>
    <w:p w14:paraId="29C0F82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四、“私营监狱”概念为何落空</w:t>
      </w:r>
    </w:p>
    <w:p w14:paraId="226FEBF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以私营监狱公司（如GEO Group）为例，市场最初的逻辑简单而直接：特朗普在竞选中多次承诺大规模驱逐非法移民，势必需要大量拘留设施和监狱床位，私人监狱运营商将迎来订单井喷，成为最直接的“特朗普交易”受益者。2024年底至2025年初，该板块股价一度大幅上涨，投资者信心高涨。</w:t>
      </w:r>
    </w:p>
    <w:p w14:paraId="3E56DE8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现实却事与愿违。华盛顿确实拨出了巨额移民执法预算，但资金绝大部分流向ICE（美国移民及海关执法局）等政府机构，用于自身扩编、人员招聘和运营支出。真正通过外包合约释放给私人监狱公司的资金少得可怜，远远低于华尔街财务模型的乐观预估。预算分配的实际逻辑被严重误判——政府更倾向于强化自身执行能力，而非依赖私营部门。</w:t>
      </w:r>
    </w:p>
    <w:p w14:paraId="226A781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这一结果让“私营监狱”概念迅速破灭。GEO Group等公司股价从高点大幅回落，不仅回吐了全部特朗普概念溢价，甚至跌至更低水平。这一案例鲜明地说明：即使政策方向看似明确，如果好处被政府官僚体系截留，企业最终也难以从中获利，资本市场对“概念”与“真实现金流”的区分极为残酷。</w:t>
      </w:r>
    </w:p>
    <w:p w14:paraId="298E818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五、关税大棒为何伤及本土制造业</w:t>
      </w:r>
    </w:p>
    <w:p w14:paraId="2E0103A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关税一直是特朗普最钟爱的政策工具，他试图通过高关税壁垒保护美国制造业、迫使企业回流并重振本土供应链。理论上，本土制造商应该从中显著获利，股价大涨。</w:t>
      </w:r>
    </w:p>
    <w:p w14:paraId="09E5FE3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但实际情况却完全相反。本土制造业股价不仅未能上涨，反而持续疲软，甚至在最高法院判决特朗普部分关税违宪之前就已经出现明显回落。核心败因在于特朗普关税政策反复无常所带来的极端不确定性。</w:t>
      </w:r>
    </w:p>
    <w:p w14:paraId="0282A5D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企业资本支出决策（如新建工厂、采购设备）需要基于未来数年的稳定预期。然而，特朗普的关税政策往往随着其社交媒体的每日情绪剧烈波动——今天宣布50%的高关税，明天可能因谈判需要而暂停或给予豁免。企业经营者根本无法准确计算进口零部件的真实成本，许多原本计划在国内扩产的项目被迫无限期搁置，转为观望状态。这种巨大的政策不确定性彻底冻结了美国本土产业的扩张动能，成为企业投资决策的最大敌人。</w:t>
      </w:r>
    </w:p>
    <w:p w14:paraId="67205BF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这一现象再次印证：政策如果缺乏可预测性，即使初衷是保护本土产业，最终也可能适得其反，伤害的正是那些本应受益的企业。</w:t>
      </w:r>
    </w:p>
    <w:p w14:paraId="53681E8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六、并非所有概念股都失败</w:t>
      </w:r>
    </w:p>
    <w:p w14:paraId="3B25495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并非所有特朗普概念股都以失败告终，也有一些板块因与全球地缘政治现实高度契合而表现出较强韧性。</w:t>
      </w:r>
    </w:p>
    <w:p w14:paraId="0565E6C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最明显的例子是国防工业和化石燃料。特朗普对北约盟友的强势施压——包括轻忽加拿大主权、威胁夺取格陵兰——刺激欧洲国家大幅提升国防预算，直接推高美国军工企业的订单。同时，波斯湾地区的冲突推升国际油价，也为美国本土石油公司提供了实质性的获利支撑。</w:t>
      </w:r>
    </w:p>
    <w:p w14:paraId="11C67A5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在房地产金融领域，房利美（Fannie Mae）和房地美（Freddie Mac）这两家政府赞助企业也曾展现一定韧性。特朗普多次释放推动私有化信号后，两房股价在2025年一度大幅飙升，避险基金巨头比尔·阿克曼甚至公开评价其估值“便宜得离谱”，具有显著不对称回报潜力。然而，随着2026年初特朗普优先指示两房购买高达2000亿美元“抵押贷款支持证券”以降低房贷利率，私有化进程明显延迟，股价从高点大幅回撤。目前虽仍高于2024年底大选前后水平，但已远低于峰值。</w:t>
      </w:r>
    </w:p>
    <w:p w14:paraId="68732F5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归根结底，市场真正买单的是客观现实所创造的可验证现金流——无论是地缘政治冲突引发的真实需求（如欧洲军费扩张与油价上涨），还是政策执行中产生的实际财政与住房市场影响——而非单纯依赖特朗普个人政策所营造的幻想红利。特朗普的政策或许在某些时刻扮演了催化剂的角色，但真正驱动股价长期表现的，始终是这些可量化的经济结果，而非任何一届政府的政治叙事。</w:t>
      </w:r>
    </w:p>
    <w:p w14:paraId="4BC8586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七、放空美债：最复杂的宏观特朗普交易</w:t>
      </w:r>
    </w:p>
    <w:p w14:paraId="649C386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微观层面的特朗普概念股，到国防、能源与房地产金融等板块的差异化表现，资本市场已清晰展现出一套冷酷的筛选机制：只有转化为真实现金流的政策影响才能持久支撑资产价格。然而，当视角切换到宏观层面，这一检验机制变得更为复杂，也更为残酷。在债券市场，放空美国长期公债一度成为最热门的“特朗普交易”之一，其最终结局却充满了戏剧性与意外。</w:t>
      </w:r>
    </w:p>
    <w:p w14:paraId="06666AD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大选前，华尔街投资者已形成高度一致的预期：特朗普若赢得共和党统一政府，势必推行大规模减税、扩大基建与移民执法支出，同时通过高关税推高进口成本与通胀压力，甚至可能对美联储施压要求更快降息。这一“财政扩张+通胀+干预央行”的三重剧本，推动投资者提前大规模放空美债，导致30年期国债收益率在选举前数月已显著上升约0.5个百分点。债券市场实质上在为更高的财政赤字风险和货币政策不确定性提前投票。</w:t>
      </w:r>
    </w:p>
    <w:p w14:paraId="666506D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特朗普上台后，市场最初预期的剧本确实部分兑现：联邦财政赤字持续扩大，关税与能源价格波动也确实带来了阶段性通胀压力。然而，干预美联储的实际成效却远不如预期显著——美联储始终维持政策独立性，仅在数据驱动下进行适度调整，而未出现市场担忧的“政治化降息”。原本，放空美债的投资者此时应逐步回补仓位、锁定利润。</w:t>
      </w:r>
    </w:p>
    <w:p w14:paraId="32D9C2D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就在此时，一个极具戏剧性的外部变量介入——2026年初中东紧张局势升级，2月底波斯湾战争爆发，迅速推高了全球油价，点燃市场对新一轮持久通胀的恐惧。这一外部供给冲击接力了财政扩张的作用，继续驱动长期美国国债收益率上行。从2024年底至今，30年期美债收益率累计上升近0.5个百分点，目前徘徊在4.9%左右。</w:t>
      </w:r>
    </w:p>
    <w:p w14:paraId="6ACFFDD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债券投资者通过主动抛售美债、推高收益率，实质上扮演了财政纪律的“看门人”角色，迫使华盛顿在赤字扩张的力度上有所收敛。特朗普的政策虽反复无常，但在推高长期利率这一点上，却展现出一种近乎讽刺的“稳定性”——尽管这一结果更多源于地缘政治外部冲击，而非其政策执行的精准设计。</w:t>
      </w:r>
    </w:p>
    <w:p w14:paraId="5218CD0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美联储的反应则进一步放大了这一复杂性。面对油价驱动的通胀压力与债券市场传导而来的更高长期利率，美联储不得不维持比市场最初预期的更紧缩的利率路径，避免通胀预期脱锚。这也意味着，早先放空美债的投资者并未因“政策落差”而被迫平仓，反而因外部冲击与央行谨慎态度而继续获利。</w:t>
      </w:r>
    </w:p>
    <w:p w14:paraId="3972775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现象的核心在于，市场对美国长期财政可持续性的质疑会独立于短期增长预期，通过更高的风险补偿要求推高长期收益率。这种机制使得债券市场成为约束极端财政政策的重要反馈力量，也解释了为何放空美债策略的最终结局远比最初想象的复杂而曲折。</w:t>
      </w:r>
    </w:p>
    <w:p w14:paraId="74FF928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八、资本市场：永不休息的“照妖镜”</w:t>
      </w:r>
    </w:p>
    <w:p w14:paraId="5D9B883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从特朗普概念股的全面退潮，到国防、能源与两房等板块的差异化表现，再到放空美债策略的复杂结局，资本市场已用最冷酷的方式完成了一次全面检验。</w:t>
      </w:r>
    </w:p>
    <w:p w14:paraId="477FD1B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金融市场通过预期与风险溢价机制，高效传导着每一项宏观政策冲击。特朗普风格的谈判杠杆与政策灵活性，确实为市场带来了短期交易机会——例如“TACO”模式：先极限施压引发恐慌，随后退让以“达成交易”，推动股价快速反弹。然而，长期来看，高关税等贸易保护主义措施可能扭曲资源配置、降低全球效率、提高国内生产成本，其对经济增长的净效应，最终仍高度依赖实际谈判结果与美联储的货币政策回应。</w:t>
      </w:r>
    </w:p>
    <w:p w14:paraId="36C1CE8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特朗普交易”已正式见顶。这或许标志着市场正从最初的政策幻想，逐步回归到更为理性的现实定价。对投资者而言，这并非一场简单的行情结束，而是一堂代价高昂的提醒：在政策不确定性显著加剧的时代，过度押注单一政治人物或短期叙事极其脆弱。只有严格分散风险、坚守基本面现金流与可持续盈利能力，才是穿越政治周期的持久之道。</w:t>
      </w:r>
    </w:p>
    <w:p w14:paraId="3432952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在资本市场这面照妖镜的无声凝视下，任何政治光环，若无法转化为真实、可验证的商业现金流，最终都将现出原形。</w:t>
      </w:r>
    </w:p>
    <w:p w14:paraId="5DEBCD8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w:t>
      </w:r>
      <w:r>
        <w:rPr>
          <w:rFonts w:hint="eastAsia" w:ascii="Times New Roman" w:hAnsi="Times New Roman" w:eastAsia="方正楷体_GBK" w:cs="方正楷体_GBK"/>
          <w:b/>
          <w:bCs/>
          <w:color w:val="FF0000"/>
          <w:spacing w:val="0"/>
          <w:kern w:val="2"/>
          <w:sz w:val="30"/>
          <w:szCs w:val="30"/>
          <w:lang w:val="en-US" w:eastAsia="zh-CN" w:bidi="ar-SA"/>
        </w:rPr>
        <w:t>发展研究部 左亮、周斌</w:t>
      </w:r>
      <w:r>
        <w:rPr>
          <w:rFonts w:hint="default" w:ascii="Times New Roman" w:hAnsi="Times New Roman" w:eastAsia="方正楷体_GBK" w:cs="方正楷体_GBK"/>
          <w:b/>
          <w:bCs/>
          <w:color w:val="FF0000"/>
          <w:spacing w:val="0"/>
          <w:kern w:val="2"/>
          <w:sz w:val="30"/>
          <w:szCs w:val="30"/>
          <w:lang w:val="en-US" w:eastAsia="zh-CN" w:bidi="ar-SA"/>
        </w:rPr>
        <w:t>）</w:t>
      </w:r>
    </w:p>
    <w:p w14:paraId="13227F3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p>
    <w:p w14:paraId="7D61417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14:paraId="0AE3235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江苏省唯一上榜企业 恒力集团获评“国家级高技能人才培训基地”</w:t>
      </w:r>
    </w:p>
    <w:p w14:paraId="11FCC61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日，人社部公布了2025年国家级高技能人才培训基地项目单位名单，我会副会长单位——恒力集团有限公司成功上榜，成为江苏省本年度唯一获此殊荣的企业，标志着集团人才培育工作获得国家层面的权威认可，更是集团践行“人才强企”战略的重要成果。</w:t>
      </w:r>
    </w:p>
    <w:p w14:paraId="3DB955E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作为深耕实业三十余载的民营企业，恒力集团始终坚守“实业兴邦、人才强企”理念，已发展成为涵盖炼油、石化、聚酯新材料、纺织、造船和海工全产业链发展的国际型企业，并建有国家“企业技术中心”，企业竞争力和品牌价值持续位居国际行业前列，为高技能人才培育提供了坚实的产业支撑和广阔的实践平台。</w:t>
      </w:r>
    </w:p>
    <w:p w14:paraId="4050BD5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自2015年搭建技能人才公共实训基地以来，恒力集团始终秉持“干就干到极致，做就做到最好”的发展信条，基地面积超1200平方米，配备德国进口核磁含油测试仪、巴马格加弹机等先进设备，围绕恒力（苏州）产业园内六大核心岗位模块开展实训，精准对接产业需求。</w:t>
      </w:r>
    </w:p>
    <w:p w14:paraId="3E8F56E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据悉，基地已先后获评江苏省首批职业技能等级认定单位和江苏省高技能人才专项公共实训基地，也是江苏省特级技师评聘试点企业，一步步夯实人才培育根基，为集团高质量发展和行业人才梯队建设注入强劲动力。</w:t>
      </w:r>
    </w:p>
    <w:p w14:paraId="6E86C19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：恒力集团微信公众号）</w:t>
      </w:r>
    </w:p>
    <w:p w14:paraId="77E652E7">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737DF87C">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28"/>
          <w:kern w:val="36"/>
          <w:sz w:val="44"/>
          <w:szCs w:val="44"/>
          <w:lang w:val="en-US" w:eastAsia="zh-CN" w:bidi="ar-SA"/>
        </w:rPr>
      </w:pPr>
    </w:p>
    <w:p w14:paraId="036A70A3">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28"/>
          <w:kern w:val="36"/>
          <w:sz w:val="44"/>
          <w:szCs w:val="44"/>
          <w:lang w:val="en-US" w:eastAsia="zh-CN" w:bidi="ar-SA"/>
        </w:rPr>
      </w:pPr>
    </w:p>
    <w:p w14:paraId="06083BB1">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28"/>
          <w:kern w:val="36"/>
          <w:sz w:val="44"/>
          <w:szCs w:val="44"/>
          <w:lang w:val="en-US" w:eastAsia="zh-CN" w:bidi="ar-SA"/>
        </w:rPr>
      </w:pPr>
    </w:p>
    <w:p w14:paraId="1DBF6973">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28"/>
          <w:kern w:val="36"/>
          <w:sz w:val="44"/>
          <w:szCs w:val="44"/>
          <w:lang w:val="en-US" w:eastAsia="zh-CN" w:bidi="ar-SA"/>
        </w:rPr>
      </w:pPr>
    </w:p>
    <w:p w14:paraId="16DA4EAF">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28"/>
          <w:kern w:val="36"/>
          <w:sz w:val="44"/>
          <w:szCs w:val="44"/>
          <w:lang w:val="en-US" w:eastAsia="zh-CN" w:bidi="ar-SA"/>
        </w:rPr>
      </w:pPr>
    </w:p>
    <w:p w14:paraId="61040EE6">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28"/>
          <w:kern w:val="36"/>
          <w:sz w:val="44"/>
          <w:szCs w:val="44"/>
          <w:lang w:val="en-US" w:eastAsia="zh-CN" w:bidi="ar-SA"/>
        </w:rPr>
      </w:pPr>
    </w:p>
    <w:p w14:paraId="1181786C">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28"/>
          <w:kern w:val="36"/>
          <w:sz w:val="44"/>
          <w:szCs w:val="44"/>
          <w:lang w:val="en-US" w:eastAsia="zh-CN" w:bidi="ar-SA"/>
        </w:rPr>
      </w:pPr>
    </w:p>
    <w:p w14:paraId="386DB380">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28"/>
          <w:kern w:val="36"/>
          <w:sz w:val="44"/>
          <w:szCs w:val="44"/>
          <w:lang w:val="en-US" w:eastAsia="zh-CN" w:bidi="ar-SA"/>
        </w:rPr>
      </w:pPr>
    </w:p>
    <w:p w14:paraId="09C2F993">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28"/>
          <w:kern w:val="36"/>
          <w:sz w:val="44"/>
          <w:szCs w:val="44"/>
          <w:lang w:val="en-US" w:eastAsia="zh-CN" w:bidi="ar-SA"/>
        </w:rPr>
      </w:pPr>
    </w:p>
    <w:p w14:paraId="7162CF0D">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28"/>
          <w:kern w:val="36"/>
          <w:sz w:val="44"/>
          <w:szCs w:val="44"/>
          <w:lang w:val="en-US" w:eastAsia="zh-CN" w:bidi="ar-SA"/>
        </w:rPr>
      </w:pPr>
    </w:p>
    <w:p w14:paraId="386AAEE6">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28"/>
          <w:kern w:val="36"/>
          <w:sz w:val="44"/>
          <w:szCs w:val="44"/>
          <w:lang w:val="en-US" w:eastAsia="zh-CN" w:bidi="ar-SA"/>
        </w:rPr>
      </w:pPr>
    </w:p>
    <w:p w14:paraId="26515E3C">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28"/>
          <w:kern w:val="36"/>
          <w:sz w:val="44"/>
          <w:szCs w:val="44"/>
          <w:lang w:val="en-US" w:eastAsia="zh-CN" w:bidi="ar-SA"/>
        </w:rPr>
      </w:pPr>
    </w:p>
    <w:p w14:paraId="1716CCBC">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28"/>
          <w:kern w:val="36"/>
          <w:sz w:val="44"/>
          <w:szCs w:val="44"/>
          <w:lang w:val="en-US" w:eastAsia="zh-CN" w:bidi="ar-SA"/>
        </w:rPr>
      </w:pPr>
    </w:p>
    <w:p w14:paraId="6EC0E631">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28"/>
          <w:kern w:val="36"/>
          <w:sz w:val="44"/>
          <w:szCs w:val="44"/>
          <w:lang w:val="en-US" w:eastAsia="zh-CN" w:bidi="ar-SA"/>
        </w:rPr>
      </w:pPr>
    </w:p>
    <w:p w14:paraId="48C8906D">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28"/>
          <w:kern w:val="36"/>
          <w:sz w:val="44"/>
          <w:szCs w:val="44"/>
          <w:lang w:val="en-US" w:eastAsia="zh-CN" w:bidi="ar-SA"/>
        </w:rPr>
      </w:pPr>
    </w:p>
    <w:p w14:paraId="623B66C8">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28"/>
          <w:kern w:val="36"/>
          <w:sz w:val="44"/>
          <w:szCs w:val="44"/>
          <w:lang w:val="en-US" w:eastAsia="zh-CN" w:bidi="ar-SA"/>
        </w:rPr>
      </w:pPr>
    </w:p>
    <w:p w14:paraId="6DD5185B">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28"/>
          <w:kern w:val="36"/>
          <w:sz w:val="44"/>
          <w:szCs w:val="44"/>
          <w:lang w:val="en-US" w:eastAsia="zh-CN" w:bidi="ar-SA"/>
        </w:rPr>
      </w:pPr>
    </w:p>
    <w:p w14:paraId="09C84384">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方正楷体_GBK" w:cs="Times New Roman"/>
          <w:b w:val="0"/>
          <w:bCs/>
          <w:kern w:val="0"/>
          <w:sz w:val="32"/>
          <w:szCs w:val="32"/>
          <w:lang w:val="en-US" w:eastAsia="zh-CN" w:bidi="ar-SA"/>
        </w:rPr>
      </w:pPr>
      <w:r>
        <w:rPr>
          <w:rFonts w:hint="default" w:ascii="Times New Roman" w:hAnsi="Times New Roman" w:eastAsia="华文新魏" w:cs="Times New Roman"/>
          <w:b/>
          <w:bCs w:val="0"/>
          <w:color w:val="FF0000"/>
          <w:spacing w:val="-28"/>
          <w:kern w:val="36"/>
          <w:sz w:val="44"/>
          <w:szCs w:val="44"/>
          <w:lang w:val="en-US" w:eastAsia="zh-CN" w:bidi="ar-SA"/>
        </w:rPr>
        <w:t>践行数字金融战略 江苏银行获批数字人民币运营资质</w:t>
      </w:r>
    </w:p>
    <w:p w14:paraId="57322D1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w:t>
      </w:r>
      <w:r>
        <w:rPr>
          <w:rFonts w:hint="default" w:ascii="Times New Roman" w:hAnsi="Times New Roman" w:eastAsia="方正仿宋_GBK" w:cs="Times New Roman"/>
          <w:b w:val="0"/>
          <w:bCs w:val="0"/>
          <w:sz w:val="32"/>
          <w:szCs w:val="32"/>
          <w:lang w:val="en-US" w:eastAsia="zh-CN"/>
        </w:rPr>
        <w:t>日，中国人民银行正式宣布新增12家数字人民币运营机构。</w:t>
      </w:r>
      <w:r>
        <w:rPr>
          <w:rFonts w:hint="eastAsia" w:ascii="Times New Roman" w:hAnsi="Times New Roman" w:eastAsia="方正仿宋_GBK" w:cs="Times New Roman"/>
          <w:b w:val="0"/>
          <w:bCs w:val="0"/>
          <w:sz w:val="32"/>
          <w:szCs w:val="32"/>
          <w:lang w:val="en-US" w:eastAsia="zh-CN"/>
        </w:rPr>
        <w:t>我会副会长单位——江苏银行股份有限公司</w:t>
      </w:r>
      <w:r>
        <w:rPr>
          <w:rFonts w:hint="default" w:ascii="Times New Roman" w:hAnsi="Times New Roman" w:eastAsia="方正仿宋_GBK" w:cs="Times New Roman"/>
          <w:b w:val="0"/>
          <w:bCs w:val="0"/>
          <w:sz w:val="32"/>
          <w:szCs w:val="32"/>
          <w:lang w:val="en-US" w:eastAsia="zh-CN"/>
        </w:rPr>
        <w:t>成功入选，成为全国首批入选的城商行，也是本次扩容唯一入选的省属地方法人银行</w:t>
      </w:r>
      <w:r>
        <w:rPr>
          <w:rFonts w:hint="eastAsia" w:ascii="Times New Roman" w:hAnsi="Times New Roman" w:eastAsia="方正仿宋_GBK" w:cs="Times New Roman"/>
          <w:b w:val="0"/>
          <w:bCs w:val="0"/>
          <w:sz w:val="32"/>
          <w:szCs w:val="32"/>
          <w:lang w:val="en-US" w:eastAsia="zh-CN"/>
        </w:rPr>
        <w:t>。</w:t>
      </w:r>
    </w:p>
    <w:p w14:paraId="71E97C7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数字人民币作为国家法定数字形式货币，兼具安全可控、便捷高效、普惠利民的核心优势，是服务实体经济、赋能数字经济深度融合发展的重要金融基础设施。此次扩容，是中国人民银行贯彻落实“十五五”规划纲要关于“稳步发展数字人民币”决策部署的关键举措，也是完善“央行—运营机构”双层运营体系、拓展生态服务边界的重要里程碑</w:t>
      </w:r>
      <w:r>
        <w:rPr>
          <w:rFonts w:hint="eastAsia" w:ascii="Times New Roman" w:hAnsi="Times New Roman" w:eastAsia="方正仿宋_GBK" w:cs="Times New Roman"/>
          <w:b w:val="0"/>
          <w:bCs w:val="0"/>
          <w:sz w:val="32"/>
          <w:szCs w:val="32"/>
          <w:lang w:val="en-US" w:eastAsia="zh-CN"/>
        </w:rPr>
        <w:t>。</w:t>
      </w:r>
    </w:p>
    <w:p w14:paraId="7B334CC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江苏银行始终锚定国家数字金融发展方向，紧扣服务实体、普惠民生导向，深耕数字人民币业务。截至2025年末，全行数字人民币核心指标稳居省内同业前列，全年总交易量超3000亿元，新开立钱包近40万个，落地文旅、医疗、教育等重点民生场景30个，打造出具有江苏特色的数字人民币应用生态。</w:t>
      </w:r>
    </w:p>
    <w:p w14:paraId="0AD0DA5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：江苏银行微信公众号）</w:t>
      </w:r>
    </w:p>
    <w:p w14:paraId="5AA78560">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7D6D955E">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28"/>
          <w:kern w:val="36"/>
          <w:sz w:val="44"/>
          <w:szCs w:val="44"/>
          <w:lang w:val="en-US" w:eastAsia="zh-CN" w:bidi="ar-SA"/>
        </w:rPr>
      </w:pPr>
    </w:p>
    <w:p w14:paraId="43825F9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28"/>
          <w:kern w:val="36"/>
          <w:sz w:val="44"/>
          <w:szCs w:val="44"/>
          <w:lang w:val="en-US" w:eastAsia="zh-CN" w:bidi="ar-SA"/>
        </w:rPr>
      </w:pPr>
    </w:p>
    <w:p w14:paraId="0149682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28"/>
          <w:kern w:val="36"/>
          <w:sz w:val="44"/>
          <w:szCs w:val="44"/>
          <w:lang w:val="en-US" w:eastAsia="zh-CN" w:bidi="ar-SA"/>
        </w:rPr>
      </w:pPr>
    </w:p>
    <w:p w14:paraId="79469597">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28"/>
          <w:kern w:val="36"/>
          <w:sz w:val="44"/>
          <w:szCs w:val="44"/>
          <w:lang w:val="en-US" w:eastAsia="zh-CN" w:bidi="ar-SA"/>
        </w:rPr>
      </w:pPr>
    </w:p>
    <w:p w14:paraId="71464A12">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28"/>
          <w:kern w:val="36"/>
          <w:sz w:val="44"/>
          <w:szCs w:val="44"/>
          <w:lang w:val="en-US" w:eastAsia="zh-CN" w:bidi="ar-SA"/>
        </w:rPr>
        <w:t>绣娘丝绸：中国非遗苏绣惊艳亮相纽约时装周</w:t>
      </w:r>
    </w:p>
    <w:p w14:paraId="267D47B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近日</w:t>
      </w:r>
      <w:r>
        <w:rPr>
          <w:rFonts w:hint="default" w:ascii="Times New Roman" w:hAnsi="Times New Roman" w:eastAsia="方正仿宋_GBK" w:cs="Times New Roman"/>
          <w:b w:val="0"/>
          <w:bCs w:val="0"/>
          <w:sz w:val="32"/>
          <w:szCs w:val="32"/>
          <w:lang w:val="en-US" w:eastAsia="zh-CN"/>
        </w:rPr>
        <w:t>，全球时尚产业风向标与至高殿堂——纽约时装周盛大开幕，汇聚了FENDI等国际顶奢品牌与设计师。</w:t>
      </w:r>
      <w:r>
        <w:rPr>
          <w:rFonts w:hint="eastAsia" w:ascii="Times New Roman" w:hAnsi="Times New Roman" w:eastAsia="方正仿宋_GBK" w:cs="Times New Roman"/>
          <w:b w:val="0"/>
          <w:bCs w:val="0"/>
          <w:sz w:val="32"/>
          <w:szCs w:val="32"/>
          <w:lang w:val="en-US" w:eastAsia="zh-CN"/>
        </w:rPr>
        <w:t>我会副会长单位——苏州绣娘丝绸有限公司</w:t>
      </w:r>
      <w:r>
        <w:rPr>
          <w:rFonts w:hint="default" w:ascii="Times New Roman" w:hAnsi="Times New Roman" w:eastAsia="方正仿宋_GBK" w:cs="Times New Roman"/>
          <w:b w:val="0"/>
          <w:bCs w:val="0"/>
          <w:sz w:val="32"/>
          <w:szCs w:val="32"/>
          <w:lang w:val="en-US" w:eastAsia="zh-CN"/>
        </w:rPr>
        <w:t>受邀与国际品牌同台走秀，代表中国非遗苏绣惊艳登场，向世界展示中国非遗文化品牌的时尚魅力。</w:t>
      </w:r>
    </w:p>
    <w:p w14:paraId="7F7E4E1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绣娘丝绸携“皇家国韵”“华夏兰绣”两大系列开幕秀压轴登场。一场浸润东方雅致、融合非遗丝绣匠心与现代时尚的沉浸式大秀，成为纽约时装周中最具中国文化底蕴的高光时刻。</w:t>
      </w:r>
    </w:p>
    <w:p w14:paraId="2194D46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从纽约到全球，从T台到屏幕，短短数日，绣娘丝绸成功吸引了国内外百余家媒体的高</w:t>
      </w:r>
      <w:r>
        <w:rPr>
          <w:rFonts w:hint="eastAsia" w:ascii="Times New Roman" w:hAnsi="Times New Roman" w:eastAsia="方正仿宋_GBK" w:cs="Times New Roman"/>
          <w:b w:val="0"/>
          <w:bCs w:val="0"/>
          <w:sz w:val="32"/>
          <w:szCs w:val="32"/>
          <w:lang w:val="en-US" w:eastAsia="zh-CN"/>
        </w:rPr>
        <w:t>度</w:t>
      </w:r>
      <w:r>
        <w:rPr>
          <w:rFonts w:hint="default" w:ascii="Times New Roman" w:hAnsi="Times New Roman" w:eastAsia="方正仿宋_GBK" w:cs="Times New Roman"/>
          <w:b w:val="0"/>
          <w:bCs w:val="0"/>
          <w:sz w:val="32"/>
          <w:szCs w:val="32"/>
          <w:lang w:val="en-US" w:eastAsia="zh-CN"/>
        </w:rPr>
        <w:t>关注。参与报道的媒体阵容涵盖国际时尚领域的领军力量。如《时尚芭莎》《YOKA网》《时尚COSMO》《嘉人网》等全球知名时尚媒体：国内《凤凰网》《腾讯</w:t>
      </w:r>
      <w:bookmarkStart w:id="1" w:name="_GoBack"/>
      <w:bookmarkEnd w:id="1"/>
      <w:r>
        <w:rPr>
          <w:rFonts w:hint="default" w:ascii="Times New Roman" w:hAnsi="Times New Roman" w:eastAsia="方正仿宋_GBK" w:cs="Times New Roman"/>
          <w:b w:val="0"/>
          <w:bCs w:val="0"/>
          <w:sz w:val="32"/>
          <w:szCs w:val="32"/>
          <w:lang w:val="en-US" w:eastAsia="zh-CN"/>
        </w:rPr>
        <w:t>新闻》《环球网》《头条》《新浪》《搜狐》等综合性主流媒体。绣娘丝绸的纽约时装周首秀不仅在行业内引发了广泛关注，其影响力更成功突破专业圈层，向全球时尚界辐射，展现出中国非遗文化品牌强大的传播力与国际影响力。</w:t>
      </w:r>
    </w:p>
    <w:p w14:paraId="1FFAC57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：绣娘丝绸微信公众号）</w:t>
      </w:r>
    </w:p>
    <w:p w14:paraId="592ED31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p>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5D131C8-C7A6-49BD-9534-2D503BBA4653}"/>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embedRegular r:id="rId2" w:fontKey="{8B777C03-BFD6-48D2-A247-FC0DE2B7922E}"/>
  </w:font>
  <w:font w:name="方正楷体_GBK">
    <w:panose1 w:val="02000000000000000000"/>
    <w:charset w:val="86"/>
    <w:family w:val="auto"/>
    <w:pitch w:val="default"/>
    <w:sig w:usb0="800002BF" w:usb1="38CF7CFA" w:usb2="00000016" w:usb3="00000000" w:csb0="00040000" w:csb1="00000000"/>
    <w:embedRegular r:id="rId3" w:fontKey="{E40EB1CB-4D44-49AA-A98F-D062EA56EAE5}"/>
  </w:font>
  <w:font w:name="方正公文黑体">
    <w:panose1 w:val="02000500000000000000"/>
    <w:charset w:val="86"/>
    <w:family w:val="auto"/>
    <w:pitch w:val="default"/>
    <w:sig w:usb0="A00002BF" w:usb1="38CF7CFA" w:usb2="00000016" w:usb3="00000000" w:csb0="00040001" w:csb1="00000000"/>
    <w:embedRegular r:id="rId4" w:fontKey="{6CC4B994-F1B6-451E-A892-6A39198A3CA4}"/>
  </w:font>
  <w:font w:name="方正黑体_GBK">
    <w:panose1 w:val="02010600010101010101"/>
    <w:charset w:val="86"/>
    <w:family w:val="auto"/>
    <w:pitch w:val="default"/>
    <w:sig w:usb0="00000001" w:usb1="080E0000" w:usb2="00000000" w:usb3="00000000" w:csb0="00040000" w:csb1="00000000"/>
    <w:embedRegular r:id="rId5" w:fontKey="{DE9F139D-6277-489E-85D6-D1207D928CEE}"/>
  </w:font>
  <w:font w:name="方正仿宋_GBK">
    <w:panose1 w:val="03000509000000000000"/>
    <w:charset w:val="86"/>
    <w:family w:val="script"/>
    <w:pitch w:val="default"/>
    <w:sig w:usb0="00000001" w:usb1="080E0000" w:usb2="00000000" w:usb3="00000000" w:csb0="00040000" w:csb1="00000000"/>
    <w:embedRegular r:id="rId6" w:fontKey="{4578195E-A88D-4FBB-BF32-DAF1520FDA49}"/>
  </w:font>
  <w:font w:name="方正小标宋_GBK">
    <w:panose1 w:val="03000509000000000000"/>
    <w:charset w:val="86"/>
    <w:family w:val="auto"/>
    <w:pitch w:val="default"/>
    <w:sig w:usb0="00000001" w:usb1="080E0000" w:usb2="00000000" w:usb3="00000000" w:csb0="00040000" w:csb1="00000000"/>
    <w:embedRegular r:id="rId7" w:fontKey="{A8DE9AA9-1DD7-4EC3-BA8A-F127B5087EA4}"/>
  </w:font>
  <w:font w:name="华文新魏">
    <w:panose1 w:val="02010800040101010101"/>
    <w:charset w:val="86"/>
    <w:family w:val="auto"/>
    <w:pitch w:val="default"/>
    <w:sig w:usb0="00000001" w:usb1="080F0000" w:usb2="00000000" w:usb3="00000000" w:csb0="00040000" w:csb1="00000000"/>
    <w:embedRegular r:id="rId8" w:fontKey="{629FCD1D-6FBF-4244-803A-37A4581C5E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11402"/>
    <w:rsid w:val="0042623F"/>
    <w:rsid w:val="0043286B"/>
    <w:rsid w:val="00467C46"/>
    <w:rsid w:val="005279A4"/>
    <w:rsid w:val="005A092B"/>
    <w:rsid w:val="006B63D3"/>
    <w:rsid w:val="006C0C2E"/>
    <w:rsid w:val="00723B7D"/>
    <w:rsid w:val="00742E2E"/>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47659"/>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BC3316"/>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2403"/>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7F67DE"/>
    <w:rsid w:val="058647BE"/>
    <w:rsid w:val="05880374"/>
    <w:rsid w:val="05881910"/>
    <w:rsid w:val="05913966"/>
    <w:rsid w:val="05926E6B"/>
    <w:rsid w:val="059F17BF"/>
    <w:rsid w:val="05A259F9"/>
    <w:rsid w:val="05A44B94"/>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6F76FBB"/>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86B20"/>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DA121F"/>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9E21F1"/>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12BB9"/>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2750"/>
    <w:rsid w:val="0B89731E"/>
    <w:rsid w:val="0B904412"/>
    <w:rsid w:val="0B90485D"/>
    <w:rsid w:val="0B913EDA"/>
    <w:rsid w:val="0B9C76A8"/>
    <w:rsid w:val="0BA16D47"/>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07391"/>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E2C1D"/>
    <w:rsid w:val="0CBF360E"/>
    <w:rsid w:val="0CC10497"/>
    <w:rsid w:val="0CC30BC5"/>
    <w:rsid w:val="0CC42150"/>
    <w:rsid w:val="0CC45545"/>
    <w:rsid w:val="0CC71781"/>
    <w:rsid w:val="0CCB0FDF"/>
    <w:rsid w:val="0CCD2A5C"/>
    <w:rsid w:val="0CDC1817"/>
    <w:rsid w:val="0CDC515C"/>
    <w:rsid w:val="0D0167C5"/>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A6F05"/>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4FEA"/>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8E070E"/>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D6271E"/>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8B578A"/>
    <w:rsid w:val="14933736"/>
    <w:rsid w:val="149D19D1"/>
    <w:rsid w:val="14AA1497"/>
    <w:rsid w:val="14AD1F0C"/>
    <w:rsid w:val="14AD2447"/>
    <w:rsid w:val="14BD0C90"/>
    <w:rsid w:val="14BD7435"/>
    <w:rsid w:val="14D13225"/>
    <w:rsid w:val="14D41B03"/>
    <w:rsid w:val="14D63FB7"/>
    <w:rsid w:val="14E11E90"/>
    <w:rsid w:val="14EC7262"/>
    <w:rsid w:val="14F50637"/>
    <w:rsid w:val="14F56962"/>
    <w:rsid w:val="14F72E20"/>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315AE"/>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3D169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D5293"/>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461F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1B3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8115B"/>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E23EC0"/>
    <w:rsid w:val="1FF955B0"/>
    <w:rsid w:val="1FFA3EAB"/>
    <w:rsid w:val="1FFB3FF4"/>
    <w:rsid w:val="1FFC1294"/>
    <w:rsid w:val="1FFC4541"/>
    <w:rsid w:val="200B6448"/>
    <w:rsid w:val="20176E76"/>
    <w:rsid w:val="201C2D60"/>
    <w:rsid w:val="20270162"/>
    <w:rsid w:val="20347311"/>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30BD1"/>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2B85"/>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94F43"/>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BF3BC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68E"/>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186B"/>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B31A7"/>
    <w:rsid w:val="286D715D"/>
    <w:rsid w:val="286F13E7"/>
    <w:rsid w:val="28707EB9"/>
    <w:rsid w:val="28710251"/>
    <w:rsid w:val="287270BD"/>
    <w:rsid w:val="287508F6"/>
    <w:rsid w:val="28822293"/>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8F4AAD"/>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2169"/>
    <w:rsid w:val="2B165967"/>
    <w:rsid w:val="2B1A32A0"/>
    <w:rsid w:val="2B26693B"/>
    <w:rsid w:val="2B2F1FC7"/>
    <w:rsid w:val="2B2F2F22"/>
    <w:rsid w:val="2B342280"/>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33CF7"/>
    <w:rsid w:val="2C7E030A"/>
    <w:rsid w:val="2C833FFB"/>
    <w:rsid w:val="2C84380F"/>
    <w:rsid w:val="2C8F430E"/>
    <w:rsid w:val="2C970335"/>
    <w:rsid w:val="2CA21894"/>
    <w:rsid w:val="2CA4476E"/>
    <w:rsid w:val="2CAD4F6B"/>
    <w:rsid w:val="2CB17FD2"/>
    <w:rsid w:val="2CC16AFA"/>
    <w:rsid w:val="2CC95D10"/>
    <w:rsid w:val="2CC96A11"/>
    <w:rsid w:val="2CCA43FF"/>
    <w:rsid w:val="2CCB5A72"/>
    <w:rsid w:val="2CD57684"/>
    <w:rsid w:val="2CD67A0B"/>
    <w:rsid w:val="2CD75666"/>
    <w:rsid w:val="2CD83FF1"/>
    <w:rsid w:val="2CDC6591"/>
    <w:rsid w:val="2CDE08F2"/>
    <w:rsid w:val="2CE03AB0"/>
    <w:rsid w:val="2CE86737"/>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8428D"/>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8F22F9"/>
    <w:rsid w:val="329326B7"/>
    <w:rsid w:val="329426A2"/>
    <w:rsid w:val="329708DE"/>
    <w:rsid w:val="32AD1211"/>
    <w:rsid w:val="32BE0045"/>
    <w:rsid w:val="32E12F9A"/>
    <w:rsid w:val="32E87F66"/>
    <w:rsid w:val="32E97C5E"/>
    <w:rsid w:val="32EC46FB"/>
    <w:rsid w:val="32F64CAC"/>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1065"/>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7E5840"/>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C31DE"/>
    <w:rsid w:val="395E1405"/>
    <w:rsid w:val="3962425A"/>
    <w:rsid w:val="396E504E"/>
    <w:rsid w:val="396F7993"/>
    <w:rsid w:val="39734F7F"/>
    <w:rsid w:val="39741673"/>
    <w:rsid w:val="39764ECC"/>
    <w:rsid w:val="397F2866"/>
    <w:rsid w:val="39830655"/>
    <w:rsid w:val="39850A26"/>
    <w:rsid w:val="39875D3B"/>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0D3370"/>
    <w:rsid w:val="3B1752EE"/>
    <w:rsid w:val="3B1C35AC"/>
    <w:rsid w:val="3B1F0CAE"/>
    <w:rsid w:val="3B22468C"/>
    <w:rsid w:val="3B292A67"/>
    <w:rsid w:val="3B3155AA"/>
    <w:rsid w:val="3B3B4F65"/>
    <w:rsid w:val="3B3E0B10"/>
    <w:rsid w:val="3B4F1508"/>
    <w:rsid w:val="3B580D61"/>
    <w:rsid w:val="3B58455D"/>
    <w:rsid w:val="3B5908EC"/>
    <w:rsid w:val="3B64699C"/>
    <w:rsid w:val="3B696BF9"/>
    <w:rsid w:val="3B6F0DCA"/>
    <w:rsid w:val="3B754E06"/>
    <w:rsid w:val="3B7B2B0A"/>
    <w:rsid w:val="3B7C7B97"/>
    <w:rsid w:val="3B8372AE"/>
    <w:rsid w:val="3B914065"/>
    <w:rsid w:val="3B9A7EDD"/>
    <w:rsid w:val="3B9F483C"/>
    <w:rsid w:val="3BB249F7"/>
    <w:rsid w:val="3BBE3122"/>
    <w:rsid w:val="3BC20515"/>
    <w:rsid w:val="3BC53C74"/>
    <w:rsid w:val="3BC60370"/>
    <w:rsid w:val="3BC62C0D"/>
    <w:rsid w:val="3BC772AB"/>
    <w:rsid w:val="3BC812C8"/>
    <w:rsid w:val="3BD741DE"/>
    <w:rsid w:val="3BE7491F"/>
    <w:rsid w:val="3BE82033"/>
    <w:rsid w:val="3BEA0B7F"/>
    <w:rsid w:val="3BEF3F98"/>
    <w:rsid w:val="3BF01125"/>
    <w:rsid w:val="3BF1165C"/>
    <w:rsid w:val="3BF82655"/>
    <w:rsid w:val="3BF90B59"/>
    <w:rsid w:val="3C035D20"/>
    <w:rsid w:val="3C0C1C74"/>
    <w:rsid w:val="3C12184A"/>
    <w:rsid w:val="3C165216"/>
    <w:rsid w:val="3C1C65D8"/>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176B5"/>
    <w:rsid w:val="3DFD4BBE"/>
    <w:rsid w:val="3E00097B"/>
    <w:rsid w:val="3E011326"/>
    <w:rsid w:val="3E024B7B"/>
    <w:rsid w:val="3E104548"/>
    <w:rsid w:val="3E19435F"/>
    <w:rsid w:val="3E1B47C8"/>
    <w:rsid w:val="3E20393D"/>
    <w:rsid w:val="3E205773"/>
    <w:rsid w:val="3E264105"/>
    <w:rsid w:val="3E264903"/>
    <w:rsid w:val="3E2806A1"/>
    <w:rsid w:val="3E286D72"/>
    <w:rsid w:val="3E2E35CB"/>
    <w:rsid w:val="3E2F087F"/>
    <w:rsid w:val="3E31025E"/>
    <w:rsid w:val="3E342DA3"/>
    <w:rsid w:val="3E471ABE"/>
    <w:rsid w:val="3E4755F9"/>
    <w:rsid w:val="3E492A39"/>
    <w:rsid w:val="3E4B1409"/>
    <w:rsid w:val="3E556354"/>
    <w:rsid w:val="3E6336EF"/>
    <w:rsid w:val="3E660D1B"/>
    <w:rsid w:val="3E662205"/>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12022"/>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4428E"/>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8E62C2"/>
    <w:rsid w:val="4295023B"/>
    <w:rsid w:val="42A72E3E"/>
    <w:rsid w:val="42A9771E"/>
    <w:rsid w:val="42AB3CF1"/>
    <w:rsid w:val="42AF06BF"/>
    <w:rsid w:val="42AF0D80"/>
    <w:rsid w:val="42AF744D"/>
    <w:rsid w:val="42B57D24"/>
    <w:rsid w:val="42B97DE2"/>
    <w:rsid w:val="42BE1411"/>
    <w:rsid w:val="42BF0482"/>
    <w:rsid w:val="42C3638C"/>
    <w:rsid w:val="42C53EF7"/>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B215F"/>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43151"/>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1C0D"/>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1A93"/>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1C2009"/>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542E8F"/>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D15D1"/>
    <w:rsid w:val="4D2F06BA"/>
    <w:rsid w:val="4D304130"/>
    <w:rsid w:val="4D386B0D"/>
    <w:rsid w:val="4D3B3869"/>
    <w:rsid w:val="4D4330D3"/>
    <w:rsid w:val="4D4B7DCE"/>
    <w:rsid w:val="4D4D5A9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D7069"/>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2B74D5"/>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866B8"/>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4A044C"/>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01B8C"/>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9E1DC6"/>
    <w:rsid w:val="50A36924"/>
    <w:rsid w:val="50A732FC"/>
    <w:rsid w:val="50AA341E"/>
    <w:rsid w:val="50AB4E2F"/>
    <w:rsid w:val="50AC2418"/>
    <w:rsid w:val="50B421A0"/>
    <w:rsid w:val="50B70FED"/>
    <w:rsid w:val="50BA643F"/>
    <w:rsid w:val="50BC2897"/>
    <w:rsid w:val="50D2215B"/>
    <w:rsid w:val="50DA2205"/>
    <w:rsid w:val="50E534FD"/>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6D4C6C"/>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A7306"/>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50744"/>
    <w:rsid w:val="56172C84"/>
    <w:rsid w:val="56206259"/>
    <w:rsid w:val="562219AC"/>
    <w:rsid w:val="56230DC5"/>
    <w:rsid w:val="562B59B0"/>
    <w:rsid w:val="562B64D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630E0"/>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62EFD"/>
    <w:rsid w:val="57E8494C"/>
    <w:rsid w:val="57EA66D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7617F"/>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C2CEF"/>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5258C3"/>
    <w:rsid w:val="596460E9"/>
    <w:rsid w:val="59697600"/>
    <w:rsid w:val="596C25D4"/>
    <w:rsid w:val="597028E6"/>
    <w:rsid w:val="597D38D7"/>
    <w:rsid w:val="598910A1"/>
    <w:rsid w:val="598A75D0"/>
    <w:rsid w:val="59935094"/>
    <w:rsid w:val="5995496F"/>
    <w:rsid w:val="59A62A34"/>
    <w:rsid w:val="59AB1748"/>
    <w:rsid w:val="59AD1771"/>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043D4"/>
    <w:rsid w:val="5C633837"/>
    <w:rsid w:val="5C6B674F"/>
    <w:rsid w:val="5C6D560E"/>
    <w:rsid w:val="5C6F57DC"/>
    <w:rsid w:val="5C7E0DF8"/>
    <w:rsid w:val="5C7E19C7"/>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6BA"/>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4F0CAA"/>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14137"/>
    <w:rsid w:val="5DD74A14"/>
    <w:rsid w:val="5DDB163B"/>
    <w:rsid w:val="5DDC2477"/>
    <w:rsid w:val="5DDC2877"/>
    <w:rsid w:val="5DF03AB4"/>
    <w:rsid w:val="5DF11D42"/>
    <w:rsid w:val="5DFA2E17"/>
    <w:rsid w:val="5DFB0C01"/>
    <w:rsid w:val="5E006537"/>
    <w:rsid w:val="5E1D2155"/>
    <w:rsid w:val="5E2374D1"/>
    <w:rsid w:val="5E2C6CCC"/>
    <w:rsid w:val="5E2F41CB"/>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30102"/>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E4002"/>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6A09ED"/>
    <w:rsid w:val="627C049D"/>
    <w:rsid w:val="627E327C"/>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4B228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DC4ACB"/>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1536B"/>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9E6224"/>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13704"/>
    <w:rsid w:val="66E40BAD"/>
    <w:rsid w:val="66E77E06"/>
    <w:rsid w:val="66F861FA"/>
    <w:rsid w:val="670027A0"/>
    <w:rsid w:val="67037752"/>
    <w:rsid w:val="67050D51"/>
    <w:rsid w:val="67050D97"/>
    <w:rsid w:val="67051BD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02956"/>
    <w:rsid w:val="69C30046"/>
    <w:rsid w:val="69C8002E"/>
    <w:rsid w:val="69CF04C1"/>
    <w:rsid w:val="69D32FE1"/>
    <w:rsid w:val="69D457A0"/>
    <w:rsid w:val="69D463F2"/>
    <w:rsid w:val="69D72910"/>
    <w:rsid w:val="69D94035"/>
    <w:rsid w:val="69DC26A6"/>
    <w:rsid w:val="69E37874"/>
    <w:rsid w:val="69E56B54"/>
    <w:rsid w:val="69E96708"/>
    <w:rsid w:val="69ED002E"/>
    <w:rsid w:val="69ED2DB6"/>
    <w:rsid w:val="69ED6B4A"/>
    <w:rsid w:val="69EE54CD"/>
    <w:rsid w:val="69F92613"/>
    <w:rsid w:val="69FB7CD4"/>
    <w:rsid w:val="69FD723E"/>
    <w:rsid w:val="69FD7CEA"/>
    <w:rsid w:val="6A0229E5"/>
    <w:rsid w:val="6A067F83"/>
    <w:rsid w:val="6A097E59"/>
    <w:rsid w:val="6A0E4D51"/>
    <w:rsid w:val="6A171AFC"/>
    <w:rsid w:val="6A1B06CD"/>
    <w:rsid w:val="6A227A57"/>
    <w:rsid w:val="6A2A2D01"/>
    <w:rsid w:val="6A3225D7"/>
    <w:rsid w:val="6A3A620D"/>
    <w:rsid w:val="6A3B0B6C"/>
    <w:rsid w:val="6A3C0BF8"/>
    <w:rsid w:val="6A423E55"/>
    <w:rsid w:val="6A470981"/>
    <w:rsid w:val="6A4747AF"/>
    <w:rsid w:val="6A49294B"/>
    <w:rsid w:val="6A4F6A08"/>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00593"/>
    <w:rsid w:val="6AC335C4"/>
    <w:rsid w:val="6AC4035B"/>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45261"/>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9B0C75"/>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3F45D4"/>
    <w:rsid w:val="70453D87"/>
    <w:rsid w:val="704E5E48"/>
    <w:rsid w:val="7053674B"/>
    <w:rsid w:val="7055360F"/>
    <w:rsid w:val="70642BE6"/>
    <w:rsid w:val="706A4DCB"/>
    <w:rsid w:val="706F497B"/>
    <w:rsid w:val="70724AB3"/>
    <w:rsid w:val="70877819"/>
    <w:rsid w:val="70916EF8"/>
    <w:rsid w:val="709261ED"/>
    <w:rsid w:val="709605AE"/>
    <w:rsid w:val="709D31A3"/>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953B8"/>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0710"/>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D5416"/>
    <w:rsid w:val="739F2349"/>
    <w:rsid w:val="739F6287"/>
    <w:rsid w:val="73A242CD"/>
    <w:rsid w:val="73A935F2"/>
    <w:rsid w:val="73AC333B"/>
    <w:rsid w:val="73AD3C4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6E6DD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27806"/>
    <w:rsid w:val="76154B74"/>
    <w:rsid w:val="761C414A"/>
    <w:rsid w:val="761D237D"/>
    <w:rsid w:val="762721D0"/>
    <w:rsid w:val="76292CB3"/>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04CD3"/>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124A2"/>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67C5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8FA7F8E"/>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24F87"/>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241AD"/>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1585E"/>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060F"/>
    <w:rsid w:val="7BDE524C"/>
    <w:rsid w:val="7BDF5DF5"/>
    <w:rsid w:val="7BE908F3"/>
    <w:rsid w:val="7BE9784F"/>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3F3BAE"/>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4F235A"/>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44b02a40-de6b-435b-8bde-caaf90ebb0cb</errorID>
      <errorWord>免费赠阅</errorWord>
      <group>L1_Word</group>
      <groupName>字词问题</groupName>
      <ability>L2_Typo</ability>
      <abilityName>字词错误</abilityName>
      <candidateList>
        <item>赠阅</item>
      </candidateList>
      <explain/>
      <paraID>1EE33D88</paraID>
      <start>31</start>
      <end>35</end>
      <status>ignored</status>
      <modifiedWord/>
      <trackRevisions>false</trackRevisions>
    </reviewItem>
    <reviewItem>
      <errorID>5f9f84c8-0b52-49eb-808b-ff77c97a2ae3</errorID>
      <errorWord>：</errorWord>
      <group>L1_AI</group>
      <groupName>深度校对</groupName>
      <ability>L2_AI_Punc</ability>
      <abilityName>标点纠错</abilityName>
      <candidateList>
        <item>，</item>
      </candidateList>
      <explain/>
      <paraID>102A9E34</paraID>
      <start>14</start>
      <end>15</end>
      <status>ignored</status>
      <modifiedWord/>
      <trackRevisions>false</trackRevisions>
    </reviewItem>
    <reviewItem>
      <errorID>023846f7-419c-4883-9c11-8a52f5d2159a</errorID>
      <errorWord>被动</errorWord>
      <group>L1_AI</group>
      <groupName>深度校对</groupName>
      <ability>L2_AI_Grammar</ability>
      <abilityName>语法纠错</abilityName>
      <candidateList>
        <item>被动资金的风险演变</item>
      </candidateList>
      <explain/>
      <paraID>102A9E34</paraID>
      <start>27</start>
      <end>29</end>
      <status>ignored</status>
      <modifiedWord/>
      <trackRevisions>false</trackRevisions>
    </reviewItem>
    <reviewItem>
      <errorID>f841e206-3f50-40e4-85ac-dd759f10ebe0</errorID>
      <errorWord>1990年代</errorWord>
      <group>L1_Knowledge</group>
      <groupName>知识性问题</groupName>
      <ability>L2_Time</ability>
      <abilityName>日期时间</abilityName>
      <candidateList>
        <item>20世纪90年代</item>
      </candidateList>
      <explain>年代表述建议使用世纪+年代的格式。</explain>
      <paraID> A0015BD</paraID>
      <start>48</start>
      <end>56</end>
      <status>modified</status>
      <modifiedWord>20世纪90年代</modifiedWord>
      <trackRevisions>false</trackRevisions>
    </reviewItem>
    <reviewItem>
      <errorID>0752ddf3-9075-4cbd-a4a2-31e9f1b5c616</errorID>
      <errorWord> </errorWord>
      <group>L1_AI</group>
      <groupName>深度校对</groupName>
      <ability>L2_AI_Punc</ability>
      <abilityName>标点纠错</abilityName>
      <candidateList>
        <item>·</item>
      </candidateList>
      <explain/>
      <paraID>388738EC</paraID>
      <start>8</start>
      <end>9</end>
      <status>ignored</status>
      <modifiedWord/>
      <trackRevisions>false</trackRevisions>
    </reviewItem>
    <reviewItem>
      <errorID>e36397a6-b3af-4250-bbe9-7026ba1991b1</errorID>
      <errorWord>几千</errorWord>
      <group>L1_Word</group>
      <groupName>字词问题</groupName>
      <ability>L2_Typo</ability>
      <abilityName>字词错误</abilityName>
      <candidateList>
        <item>几</item>
      </candidateList>
      <explain/>
      <paraID>3BC0B09C</paraID>
      <start>67</start>
      <end>69</end>
      <status>ignored</status>
      <modifiedWord/>
      <trackRevisions>false</trackRevisions>
    </reviewItem>
    <reviewItem>
      <errorID>fcc3e264-15ad-4984-99c2-3e718f880859</errorID>
      <errorWord> </errorWord>
      <group>L1_AI</group>
      <groupName>深度校对</groupName>
      <ability>L2_AI_Punc</ability>
      <abilityName>标点纠错</abilityName>
      <candidateList>
        <item>·</item>
      </candidateList>
      <explain/>
      <paraID>54C10C94</paraID>
      <start>39</start>
      <end>40</end>
      <status>ignored</status>
      <modifiedWord/>
      <trackRevisions>false</trackRevisions>
    </reviewItem>
    <reviewItem>
      <errorID>2585c840-597e-4771-a17d-b87f8327cf68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54C10C94</paraID>
      <start>109</start>
      <end>110</end>
      <status>ignored</status>
      <modifiedWord/>
      <trackRevisions>false</trackRevisions>
    </reviewItem>
    <reviewItem>
      <errorID>f9894fac-33a9-452c-99e1-194d5775b712</errorID>
      <errorWord>)</errorWord>
      <group>L1_Format</group>
      <groupName>格式问题</groupName>
      <ability>L2_HalfPunc</ability>
      <abilityName>全半角检查</abilityName>
      <candidateList>
        <item>）</item>
      </candidateList>
      <explain>文本全半角错误。</explain>
      <paraID>6664FBC7</paraID>
      <start>62</start>
      <end>63</end>
      <status>modified</status>
      <modifiedWord>）</modifiedWord>
      <trackRevisions>false</trackRevisions>
    </reviewItem>
    <reviewItem>
      <errorID>bc85ecd8-f8e7-43af-9f8e-d8b080a54b26</errorID>
      <errorWord>)</errorWord>
      <group>L1_Format</group>
      <groupName>格式问题</groupName>
      <ability>L2_HalfPunc</ability>
      <abilityName>全半角检查</abilityName>
      <candidateList>
        <item>）</item>
      </candidateList>
      <explain>文本全半角错误。</explain>
      <paraID>4F8B8C80</paraID>
      <start>81</start>
      <end>82</end>
      <status>modified</status>
      <modifiedWord>）</modifiedWord>
      <trackRevisions>false</trackRevisions>
    </reviewItem>
    <reviewItem>
      <errorID>29bf8916-9b84-41b0-a7d7-a5707ab9e6ef</errorID>
      <errorWord>打开方便之门</errorWord>
      <group>L1_Knowledge</group>
      <groupName>知识性问题</groupName>
      <ability>L2_Idiom</ability>
      <abilityName>成语和诗歌</abilityName>
      <candidateList>
        <item>大开方便之门</item>
      </candidateList>
      <explain/>
      <paraID>7043ED0A</paraID>
      <start>84</start>
      <end>90</end>
      <status>ignored</status>
      <modifiedWord/>
      <trackRevisions>false</trackRevisions>
    </reviewItem>
    <reviewItem>
      <errorID>db9e5e86-6ac1-4f68-8f6b-87f73b362a48</errorID>
      <errorWord>析</errorWord>
      <group>L1_Word</group>
      <groupName>字词问题</groupName>
      <ability>L2_Typo</ability>
      <abilityName>字词错误</abilityName>
      <candidateList>
        <item>析了</item>
      </candidateList>
      <explain/>
      <paraID>59C6C388</paraID>
      <start>32</start>
      <end>33</end>
      <status>ignored</status>
      <modifiedWord/>
      <trackRevisions>false</trackRevisions>
    </reviewItem>
    <reviewItem>
      <errorID>e5dbd141-f318-47cc-b2a4-3713b0c8c4ab</errorID>
      <errorWord>最高法院</errorWord>
      <group>L1_Knowledge</group>
      <groupName>知识性问题</groupName>
      <ability>L2_Organization</ability>
      <abilityName>机构检查</abilityName>
      <candidateList>
        <item>最高人民法院</item>
      </candidateList>
      <explain>机关单位全简称表述错误</explain>
      <paraID> 9E5FE38</paraID>
      <start>35</start>
      <end>39</end>
      <status>ignored</status>
      <modifiedWord/>
      <trackRevisions>false</trackRevisions>
    </reviewItem>
    <reviewItem>
      <errorID>e513b5ee-c128-4be0-a9c3-e185d11a0693</errorID>
      <errorWord>高度</errorWord>
      <group>L1_Word</group>
      <groupName>字词问题</groupName>
      <ability>L2_Typo</ability>
      <abilityName>字词错误</abilityName>
      <candidateList>
        <item>度</item>
      </candidateList>
      <explain/>
      <paraID>2194D46C</paraID>
      <start>38</start>
      <end>39</end>
      <status>modified</status>
      <modifiedWord>度</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d7930-5f4b-4e22-ba81-dd65f31331f5}">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10754</Words>
  <Characters>11459</Characters>
  <Lines>1</Lines>
  <Paragraphs>1</Paragraphs>
  <TotalTime>5</TotalTime>
  <ScaleCrop>false</ScaleCrop>
  <LinksUpToDate>false</LinksUpToDate>
  <CharactersWithSpaces>11522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2026-04-09T08:22:00Z</cp:lastPrinted>
  <dcterms:modified xsi:type="dcterms:W3CDTF">2026-04-17T02:59:20Z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B20D8B5F72404B3391EBD2B4E0C81EBE_13</vt:lpwstr>
  </property>
  <property fmtid="{D5CDD505-2E9C-101B-9397-08002B2CF9AE}" pid="4" name="KSOTemplateDocerSaveRecord">
    <vt:lpwstr>eyJoZGlkIjoiZjNiNGRkNzIwNDhhZDJkNTgzN2EzNjc2NjIxOGZjZjkiLCJ1c2VySWQiOiIxNzEwMjM3NzY5In0=</vt:lpwstr>
  </property>
</Properties>
</file>