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default" w:ascii="Times New Roman" w:hAnsi="Times New Roman" w:eastAsia="经典行楷简" w:cs="Times New Roman"/>
          <w:b w:val="0"/>
          <w:bCs/>
          <w:color w:val="2E75B6" w:themeColor="accent1" w:themeShade="BF"/>
          <w:kern w:val="36"/>
          <w:sz w:val="44"/>
          <w:szCs w:val="44"/>
          <w:lang w:val="en-US" w:eastAsia="zh-CN"/>
        </w:rPr>
        <w:t>9</w:t>
      </w:r>
      <w:r>
        <w:rPr>
          <w:rFonts w:hint="default" w:ascii="Times New Roman" w:hAnsi="Times New Roman" w:eastAsia="经典行楷简" w:cs="Times New Roman"/>
          <w:b w:val="0"/>
          <w:bCs/>
          <w:color w:val="2E75B6" w:themeColor="accent1" w:themeShade="BF"/>
          <w:kern w:val="36"/>
          <w:sz w:val="44"/>
          <w:szCs w:val="44"/>
        </w:rPr>
        <w:t>期</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30</w:t>
      </w:r>
      <w:r>
        <w:rPr>
          <w:rFonts w:hint="default"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5</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default" w:ascii="Times New Roman" w:hAnsi="Times New Roman" w:eastAsia="方正楷体_GBK" w:cs="Times New Roman"/>
          <w:b w:val="0"/>
          <w:bCs/>
          <w:color w:val="000000"/>
          <w:kern w:val="36"/>
          <w:sz w:val="32"/>
          <w:szCs w:val="32"/>
          <w:highlight w:val="none"/>
          <w:lang w:val="en-US" w:eastAsia="zh-CN"/>
        </w:rPr>
        <w:t>3</w:t>
      </w:r>
      <w:r>
        <w:rPr>
          <w:rFonts w:hint="default" w:ascii="Times New Roman" w:hAnsi="Times New Roman" w:eastAsia="方正楷体_GBK" w:cs="Times New Roman"/>
          <w:b w:val="0"/>
          <w:bCs/>
          <w:color w:val="000000"/>
          <w:kern w:val="36"/>
          <w:sz w:val="32"/>
          <w:szCs w:val="32"/>
          <w:highlight w:val="none"/>
        </w:rPr>
        <w:t>月</w:t>
      </w:r>
      <w:r>
        <w:rPr>
          <w:rFonts w:hint="default" w:ascii="Times New Roman" w:hAnsi="Times New Roman" w:eastAsia="方正楷体_GBK" w:cs="Times New Roman"/>
          <w:b w:val="0"/>
          <w:bCs/>
          <w:color w:val="000000"/>
          <w:kern w:val="36"/>
          <w:sz w:val="32"/>
          <w:szCs w:val="32"/>
          <w:highlight w:val="none"/>
          <w:lang w:val="en-US" w:eastAsia="zh-CN"/>
        </w:rPr>
        <w:t>24</w:t>
      </w:r>
      <w:r>
        <w:rPr>
          <w:rFonts w:hint="eastAsia" w:ascii="Times New Roman" w:hAnsi="Times New Roman" w:eastAsia="方正楷体_GBK" w:cs="Times New Roman"/>
          <w:b w:val="0"/>
          <w:bCs/>
          <w:color w:val="000000"/>
          <w:kern w:val="36"/>
          <w:sz w:val="32"/>
          <w:szCs w:val="32"/>
          <w:highlight w:val="none"/>
          <w:lang w:val="en-US" w:eastAsia="zh-CN"/>
        </w:rPr>
        <w:t>日</w:t>
      </w:r>
    </w:p>
    <w:p>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44"/>
          <w:szCs w:val="4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宋体" w:cs="Times New Roman"/>
          <w:b/>
          <w:color w:val="1F497D"/>
          <w:kern w:val="36"/>
          <w:sz w:val="28"/>
          <w:szCs w:val="28"/>
          <w:lang w:val="en-US" w:eastAsia="zh-CN"/>
          <w14:textFill>
            <w14:solidFill>
              <w14:srgbClr w14:val="1F497D">
                <w14:lumMod w14:val="60000"/>
                <w14:lumOff w14:val="40000"/>
              </w14:srgbClr>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省贸促会领导会见大韩贸易投资振兴公社南京代表处首席</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代表金光日</w:t>
      </w:r>
      <w:r>
        <w:rPr>
          <w:rFonts w:hint="eastAsia" w:ascii="Times New Roman" w:hAnsi="Times New Roman" w:eastAsia="方正楷体_GBK" w:cs="Times New Roman"/>
          <w:b/>
          <w:color w:val="auto"/>
          <w:spacing w:val="-11"/>
          <w:kern w:val="36"/>
          <w:sz w:val="30"/>
          <w:szCs w:val="30"/>
          <w:lang w:val="en-US" w:eastAsia="zh-CN"/>
        </w:rPr>
        <w:t xml:space="preserve"> / 01</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企业赴德投资-企业家经验谈活动在苏州举行</w:t>
      </w:r>
      <w:r>
        <w:rPr>
          <w:rFonts w:hint="default" w:ascii="Times New Roman" w:hAnsi="Times New Roman" w:eastAsia="方正楷体_GBK" w:cs="Times New Roman"/>
          <w:b/>
          <w:color w:val="auto"/>
          <w:spacing w:val="-11"/>
          <w:kern w:val="36"/>
          <w:sz w:val="30"/>
          <w:szCs w:val="30"/>
          <w:lang w:val="en-US" w:eastAsia="zh-CN"/>
        </w:rPr>
        <w:t xml:space="preserve"> </w:t>
      </w:r>
      <w:bookmarkStart w:id="0" w:name="OLE_LINK4"/>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2</w:t>
      </w:r>
      <w:bookmarkEnd w:id="0"/>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11"/>
          <w:kern w:val="36"/>
          <w:sz w:val="30"/>
          <w:szCs w:val="30"/>
          <w:lang w:val="en-US" w:eastAsia="zh-CN"/>
        </w:rPr>
        <w:t>省贸促会领导走访调研南京钢铁股份有限公司</w:t>
      </w:r>
      <w:r>
        <w:rPr>
          <w:rFonts w:hint="default" w:ascii="Times New Roman" w:hAnsi="Times New Roman" w:eastAsia="方正楷体_GBK" w:cs="Times New Roman"/>
          <w:b/>
          <w:color w:val="auto"/>
          <w:spacing w:val="-11"/>
          <w:kern w:val="36"/>
          <w:sz w:val="30"/>
          <w:szCs w:val="30"/>
          <w:lang w:val="en-US" w:eastAsia="zh-CN"/>
        </w:rPr>
        <w:t xml:space="preserve"> </w:t>
      </w:r>
      <w:r>
        <w:rPr>
          <w:rFonts w:hint="eastAsia" w:ascii="Times New Roman" w:hAnsi="Times New Roman" w:eastAsia="方正楷体_GBK" w:cs="Times New Roman"/>
          <w:b/>
          <w:color w:val="auto"/>
          <w:spacing w:val="-11"/>
          <w:kern w:val="36"/>
          <w:sz w:val="30"/>
          <w:szCs w:val="30"/>
          <w:lang w:val="en-US" w:eastAsia="zh-CN"/>
        </w:rPr>
        <w:t>/ 0</w:t>
      </w:r>
      <w:r>
        <w:rPr>
          <w:rFonts w:hint="default" w:ascii="Times New Roman" w:hAnsi="Times New Roman" w:eastAsia="方正楷体_GBK" w:cs="Times New Roman"/>
          <w:b/>
          <w:color w:val="auto"/>
          <w:spacing w:val="-11"/>
          <w:kern w:val="36"/>
          <w:sz w:val="30"/>
          <w:szCs w:val="30"/>
          <w:lang w:val="en-US" w:eastAsia="zh-CN"/>
        </w:rPr>
        <w:t>4</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11"/>
          <w:kern w:val="36"/>
          <w:sz w:val="30"/>
          <w:szCs w:val="30"/>
          <w:lang w:val="en-US" w:eastAsia="zh-CN"/>
        </w:rPr>
        <w:t>全国人大监察司法委调研国际航运物流一站式解纷工作</w:t>
      </w:r>
      <w:r>
        <w:rPr>
          <w:rFonts w:hint="eastAsia" w:ascii="方正楷体_GBK" w:hAnsi="方正楷体_GBK" w:eastAsia="方正楷体_GBK" w:cs="方正楷体_GBK"/>
          <w:b/>
          <w:color w:val="auto"/>
          <w:spacing w:val="0"/>
          <w:kern w:val="36"/>
          <w:sz w:val="30"/>
          <w:szCs w:val="30"/>
          <w:lang w:val="en-US" w:eastAsia="zh-CN"/>
        </w:rPr>
        <w:t xml:space="preserve"> </w:t>
      </w:r>
      <w:bookmarkStart w:id="1" w:name="OLE_LINK1"/>
      <w:r>
        <w:rPr>
          <w:rFonts w:hint="eastAsia" w:ascii="Times New Roman" w:hAnsi="Times New Roman" w:eastAsia="方正楷体_GBK" w:cs="Times New Roman"/>
          <w:b/>
          <w:color w:val="auto"/>
          <w:spacing w:val="-11"/>
          <w:kern w:val="36"/>
          <w:sz w:val="30"/>
          <w:szCs w:val="30"/>
          <w:lang w:val="en-US" w:eastAsia="zh-CN"/>
        </w:rPr>
        <w:t>/ 0</w:t>
      </w:r>
      <w:bookmarkEnd w:id="1"/>
      <w:r>
        <w:rPr>
          <w:rFonts w:hint="default" w:ascii="Times New Roman" w:hAnsi="Times New Roman" w:eastAsia="方正楷体_GBK" w:cs="Times New Roman"/>
          <w:b/>
          <w:color w:val="auto"/>
          <w:spacing w:val="-11"/>
          <w:kern w:val="36"/>
          <w:sz w:val="30"/>
          <w:szCs w:val="30"/>
          <w:lang w:val="en-US" w:eastAsia="zh-CN"/>
        </w:rPr>
        <w:t>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苏豪中东公司进驻中阿（联酋）产能合作示范园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06</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eastAsia" w:ascii="方正楷体_GBK" w:hAnsi="方正楷体_GBK" w:eastAsia="方正楷体_GBK" w:cs="方正楷体_GBK"/>
          <w:b/>
          <w:color w:val="auto"/>
          <w:spacing w:val="0"/>
          <w:kern w:val="36"/>
          <w:sz w:val="30"/>
          <w:szCs w:val="30"/>
          <w:lang w:val="en-US" w:eastAsia="zh-CN"/>
        </w:rPr>
        <w:t xml:space="preserve">镔钢集团产品荣获“金杯优质产品”称号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07</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方正楷体_GBK" w:hAnsi="方正楷体_GBK" w:eastAsia="方正楷体_GBK" w:cs="方正楷体_GBK"/>
          <w:b/>
          <w:color w:val="auto"/>
          <w:spacing w:val="0"/>
          <w:kern w:val="36"/>
          <w:sz w:val="30"/>
          <w:szCs w:val="30"/>
          <w:lang w:val="en-US" w:eastAsia="zh-CN"/>
        </w:rPr>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pPr>
      <w:r>
        <w:rPr>
          <w:rFonts w:hint="eastAsia" w:ascii="方正楷体_GBK" w:hAnsi="方正楷体_GBK" w:eastAsia="方正楷体_GBK" w:cs="方正楷体_GBK"/>
          <w:b/>
          <w:color w:val="auto"/>
          <w:spacing w:val="0"/>
          <w:kern w:val="36"/>
          <w:sz w:val="30"/>
          <w:szCs w:val="30"/>
          <w:lang w:val="en-US" w:eastAsia="zh-CN"/>
        </w:rPr>
        <w:t xml:space="preserve">绣娘丝绸亮相联合国第69届妇女大会 </w:t>
      </w:r>
      <w:r>
        <w:rPr>
          <w:rFonts w:hint="eastAsia" w:ascii="Times New Roman" w:hAnsi="Times New Roman" w:eastAsia="方正楷体_GBK" w:cs="Times New Roman"/>
          <w:b/>
          <w:color w:val="auto"/>
          <w:spacing w:val="-11"/>
          <w:kern w:val="36"/>
          <w:sz w:val="30"/>
          <w:szCs w:val="30"/>
          <w:lang w:val="en-US" w:eastAsia="zh-CN"/>
        </w:rPr>
        <w:t>/</w:t>
      </w:r>
      <w:r>
        <w:rPr>
          <w:rFonts w:hint="default" w:ascii="Times New Roman" w:hAnsi="Times New Roman" w:eastAsia="方正楷体_GBK" w:cs="Times New Roman"/>
          <w:b/>
          <w:color w:val="auto"/>
          <w:spacing w:val="-11"/>
          <w:kern w:val="36"/>
          <w:sz w:val="30"/>
          <w:szCs w:val="30"/>
          <w:lang w:val="en-US" w:eastAsia="zh-CN"/>
        </w:rPr>
        <w:t xml:space="preserve"> 08</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省贸促会领导会见大韩贸易投资振兴公社</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南京代表处首席代表金光日</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3月18日，省贸促会会长王善华会见来访的大韩贸易投资振兴公社南京代表处首席代表金光日一行。副会长丛苏峰参加会见。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简要介绍江苏开放型经济发展情况。他表示，江苏与韩国经贸往来密切，在半导体、汽车零部件、绿色能源等领域经贸合作前景广阔。希望双方加强交流，共同搭建高质量对接平台，强化产业链供应链合作，努力为巩固发展中韩战略合作伙伴关系贡献更大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金光日感谢江苏省贸促会一直以来为推动双方经贸交流所做的努力，表示将一如既往地支持江苏开放发展，也欢迎更多江苏企业到韩国投资兴业。期待未来能够与江苏省贸促会保持更加紧密的互动交流，实现更高水平的互利共赢。</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（国际联络部）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企业赴德投资-企业家经验谈活动在苏州举行</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3月20日下午，企业赴德投资-企业家经验谈活动在苏州举行。省贸促会、省国际商会会长王善华和德国北威州国际商务署驻华首席代表封兴良出席并致辞。</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德国贸易投资机构一直以来对江苏赴德投资企业的关心支持。他表示，江苏与德国渊源深厚，德国是江苏在欧洲最大的贸易伙伴，也是江苏企业对外投资的重要目的地，双方深化产业链供应链国际合作前景广阔。江苏省贸促会将认真贯彻落实省委省政府工作要求，积极牵线搭桥，大力拓展国际合作空间，为江苏加快建设具有世界聚合力的双向开放枢纽，构筑起高水平开放的新优势贡献贸促力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封兴良表示，北威州是德国对华贸易和双向投资的重要腹地，德国的“隐形冠军”企业与江苏企业在先进技术领域拥有广泛的合作空间，德国北威州国际商务署将为企业提供一站式经贸投资咨询服务。</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会上，苏州兆特电子股份有限公司、江苏优捷供应链有限公司、法思审计事务所、讯塑科技信息咨询公司、德国大陆集团就中小企业出海德国的实战经验、德国海外仓运营实战经验、中企在德国运营的税务挑战与经验、中德文化差异与应对、德国招聘与用人指南等进行了分享。</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苏州市贸促会、国际商会相关负责同志和智能制造、高端医疗器械、信息科技、绿色环保、国际物流等行业企业代表100余人参加活动。</w:t>
      </w:r>
      <w:r>
        <w:rPr>
          <w:rFonts w:hint="default" w:asciiTheme="minorEastAsia" w:hAnsiTheme="minorEastAsia" w:cstheme="minorEastAsia"/>
          <w:color w:val="auto"/>
          <w:spacing w:val="0"/>
          <w:kern w:val="2"/>
          <w:sz w:val="32"/>
          <w:szCs w:val="32"/>
          <w:lang w:val="en-US" w:eastAsia="zh-CN" w:bidi="ar-SA"/>
        </w:rPr>
        <w:t xml:space="preserve">                              </w:t>
      </w:r>
      <w:r>
        <w:rPr>
          <w:rFonts w:hint="eastAsia" w:ascii="方正楷体_GBK" w:hAnsi="方正楷体_GBK" w:eastAsia="方正楷体_GBK" w:cs="方正楷体_GBK"/>
          <w:b/>
          <w:bCs/>
          <w:color w:val="FF0000"/>
          <w:spacing w:val="0"/>
          <w:kern w:val="2"/>
          <w:sz w:val="32"/>
          <w:szCs w:val="32"/>
          <w:lang w:val="en-US" w:eastAsia="zh-CN" w:bidi="ar-SA"/>
        </w:rPr>
        <w:t>（跨采中心）</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省贸促会领导走访调研南京钢铁股份有限公司</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19日，省贸促会（省国际商会）党组书记、会长王善华带队赴省国际商会副会长单位南京钢铁股份有限公司调研，与公司副总裁兼首席投资官林国强座谈交流。省贸促会（省国际商会）党组成员、副会长丛苏峰参加调研。</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感谢南钢一直以来对省贸促会（省国际商会）工作的关心支持，介绍2025年日本大阪世博会中国馆江苏周、第三届中国国际供应链促进博览会等重点经贸活动，表示将进一步发挥省国际商会海外联络处和专业委员会的平台优势，优化国际商事法律服务，更好助力包括南钢在内的江苏企业发展新质生产力，加快开拓国际市场。</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林国强表示将进一步加强双方合作，在数字化转型、绿色低碳发展方面持续用力，加快“走出去”步伐。</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王善华一行还参观南钢智慧运营中心等。</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4864" w:firstLineChars="16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（国际商会秘书处）</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全国人大监察司法委调研国际航运</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5"/>
          <w:kern w:val="2"/>
          <w:sz w:val="52"/>
          <w:szCs w:val="52"/>
          <w:lang w:val="en-US" w:eastAsia="zh-CN" w:bidi="ar-SA"/>
        </w:rPr>
        <w:t>物流一站式解纷工作</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3月19日上午，全国人大监察司法委司法室处长、一级调研员许灿会同南京海事法院综合办公室一级调研员李路明、立案庭庭长沈菁、法官朱思源到访江苏省贸促会，调研国际航运物流一站式解纷工作。省贸促会二级巡视员、秘书长杜培军与许灿一行座谈交流。</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国际航运物流一站式解纷中心由江苏省贸促会携手南京海事法院、江苏省国际货运代理协会、江苏船东协会于2021年11月共同设立。江苏省贸促会和南京海事法院着重从调解工作推进、人才队伍打造、域外法查明实践等方面，系统回顾介绍国际航运物流一站式解纷中心设立以来开展的卓有成效的工作，分享合作过程中的宝贵经验与感悟，并就未来如何更高效、更深入地开展相关工作进行深度探讨，力求在既有工作成果的基础上，进一步完善解纷机制，提升国际航运物流领域纠纷解决的效能与质量。</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r>
        <w:rPr>
          <w:rFonts w:hint="default" w:asciiTheme="minorEastAsia" w:hAnsiTheme="minorEastAsia" w:eastAsiaTheme="minorEastAsia" w:cstheme="minorEastAsia"/>
          <w:color w:val="auto"/>
          <w:spacing w:val="0"/>
          <w:kern w:val="2"/>
          <w:sz w:val="32"/>
          <w:szCs w:val="32"/>
          <w:lang w:val="en-US" w:eastAsia="zh-CN" w:bidi="ar-SA"/>
        </w:rPr>
        <w:t>许灿充分肯定国际航运物流一站式解纷中心开展涉外调解工作的重要意义，强调政府对于商事调解工作予以高度重视，期望中心调解工作能够朝着专业化、精细化方向持续深入推进。</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（法律事务部）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color w:val="FF0000"/>
          <w:spacing w:val="0"/>
          <w:kern w:val="36"/>
          <w:sz w:val="52"/>
          <w:szCs w:val="52"/>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bookmarkStart w:id="2" w:name="OLE_LINK7"/>
      <w:bookmarkStart w:id="3" w:name="OLE_LINK14"/>
      <w:bookmarkStart w:id="4" w:name="OLE_LINK6"/>
      <w:bookmarkStart w:id="5" w:name="OLE_LINK8"/>
      <w:bookmarkStart w:id="6" w:name="OLE_LINK2"/>
      <w:bookmarkStart w:id="7" w:name="OLE_LINK9"/>
      <w:bookmarkStart w:id="8" w:name="OLE_LINK3"/>
      <w:r>
        <w:rPr>
          <w:rFonts w:hint="eastAsia" w:ascii="Times New Roman" w:hAnsi="Times New Roman" w:eastAsia="华文新魏" w:cs="Times New Roman"/>
          <w:b/>
          <w:bCs w:val="0"/>
          <w:color w:val="FF0000"/>
          <w:spacing w:val="0"/>
          <w:kern w:val="36"/>
          <w:sz w:val="44"/>
          <w:szCs w:val="44"/>
          <w:lang w:val="en-US" w:eastAsia="zh-CN" w:bidi="ar-SA"/>
        </w:rPr>
        <w:t>苏豪中东公司进驻中阿（联酋）产能合作示范园</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w:t>
      </w:r>
      <w:bookmarkStart w:id="9" w:name="OLE_LINK5"/>
      <w:r>
        <w:rPr>
          <w:rFonts w:hint="eastAsia" w:asciiTheme="minorEastAsia" w:hAnsiTheme="minorEastAsia" w:eastAsiaTheme="minorEastAsia" w:cstheme="minorEastAsia"/>
          <w:color w:val="auto"/>
          <w:spacing w:val="0"/>
          <w:kern w:val="2"/>
          <w:sz w:val="32"/>
          <w:szCs w:val="32"/>
          <w:lang w:val="en-US" w:eastAsia="zh-CN" w:bidi="ar-SA"/>
        </w:rPr>
        <w:t>苏豪控股集团中东发展有限公司</w:t>
      </w:r>
      <w:bookmarkEnd w:id="9"/>
      <w:r>
        <w:rPr>
          <w:rFonts w:hint="eastAsia" w:asciiTheme="minorEastAsia" w:hAnsiTheme="minorEastAsia" w:eastAsiaTheme="minorEastAsia" w:cstheme="minorEastAsia"/>
          <w:color w:val="auto"/>
          <w:spacing w:val="0"/>
          <w:kern w:val="2"/>
          <w:sz w:val="32"/>
          <w:szCs w:val="32"/>
          <w:lang w:val="en-US" w:eastAsia="zh-CN" w:bidi="ar-SA"/>
        </w:rPr>
        <w:t>在阿布扎比启幕，并正式进驻中阿（联酋）产能合作示范园。</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年来，江苏与阿联酋经贸往来日益密切频繁，在全省外向型经济背景下，我会副会长单位——江苏省苏豪控股集团有限公司与阿方企业开展了诸多务实合作，对阿进出口规模增长势头强劲、前景广阔。活动现场，集团旗下苏豪天泓、苏豪云商、开元医药、汇鸿亚森等子公司分别与壹路集团、上海太元行汽车服务集团有限公司、WOLINK PTE. LTD.、北京一路智行科技有限公司、高秀国际投资集团、RONAK INTERNATIONAL、AL RAAYA DRUG STORE、NEW CESAMEX SARL等公司签署合作协议，将就汽车、医疗器械、胶合板购销等方面业务开展深层次合作。</w:t>
      </w:r>
    </w:p>
    <w:bookmarkEnd w:id="2"/>
    <w:bookmarkEnd w:id="3"/>
    <w:bookmarkEnd w:id="4"/>
    <w:bookmarkEnd w:id="5"/>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：苏豪控股集团官网）</w:t>
      </w: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right"/>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镔钢集团产品荣获“金杯优质产品”称号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近日，中国钢铁工业协会发布“2024年度冶金产品实物质量品牌培育产品名单”，我会副会长单位——江苏省镔鑫钢铁集团有限公司HRB400E规格12~32mm热轧带肋钢筋（直条）荣获“金杯优质产品”称号。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镔钢集团始终坚持以技术创新为驱动，持续加大研发投入，围绕“普转优、优转特、特转精”的发展战略，成功开发了多款高端钢材产品。HRB400E热轧带肋钢筋的研发和生产过程中，采用了先进的生产工艺和严格的质量控制体系，确保了产品的高性能和稳定性。通过持续改进和精细化管理，不断提升产品的实物质量，使产品质量达到了行业领先水平，在市场上也获得了广泛认可。产品成功应用于多个国家级重点工程项目，并远销东南亚、南亚、中东等地区，赢得了国内外客户的一致好评。此次荣获“金杯优质产品”称号，进一步增强了公司品牌的市场影响力和竞争力。</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（来源</w:t>
      </w:r>
      <w:r>
        <w:rPr>
          <w:rFonts w:hint="eastAsia" w:ascii="方正楷体_GBK" w:hAnsi="方正楷体_GBK" w:eastAsia="方正楷体_GBK" w:cs="方正楷体_GBK"/>
          <w:b/>
          <w:bCs/>
          <w:color w:val="FF0000"/>
          <w:spacing w:val="0"/>
          <w:kern w:val="2"/>
          <w:sz w:val="32"/>
          <w:szCs w:val="32"/>
          <w:lang w:val="en-US" w:eastAsia="zh-CN" w:bidi="ar-SA"/>
        </w:rPr>
        <w:t>：镔钢集团微信公众号）</w:t>
      </w:r>
    </w:p>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0"/>
          <w:kern w:val="36"/>
          <w:sz w:val="44"/>
          <w:szCs w:val="44"/>
          <w:lang w:val="en-US" w:eastAsia="zh-CN" w:bidi="ar-SA"/>
        </w:rPr>
        <w:t>绣娘丝绸亮相联合国第69届妇女大会</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近日，联合国第69届妇女大会（CSW69）在美国纽约联合国总部盛大启幕。作为中国丝绸文化的代表，我会副会长单位——苏州绣娘丝绸有限公司荣幸受邀设计此次大会国礼，赠予来自全球各国的杰出女性代表。</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r>
        <w:rPr>
          <w:rFonts w:hint="eastAsia" w:asciiTheme="minorEastAsia" w:hAnsiTheme="minorEastAsia" w:eastAsiaTheme="minorEastAsia" w:cstheme="minorEastAsia"/>
          <w:color w:val="auto"/>
          <w:spacing w:val="0"/>
          <w:kern w:val="2"/>
          <w:sz w:val="32"/>
          <w:szCs w:val="32"/>
          <w:lang w:val="en-US" w:eastAsia="zh-CN" w:bidi="ar-SA"/>
        </w:rPr>
        <w:t>作为中国丝绸行业的领军品牌，绣娘丝绸始终秉持传承与创新并重的理念，致力于将中国传统丝绸工艺与现代设计理念融合，向世界展示中国非遗丝绸文化的独特魅力。此次为CSW69设计国礼，不仅是绣娘丝绸在国际舞台上的又一次精彩亮相，更是中国文化</w:t>
      </w:r>
      <w:r>
        <w:rPr>
          <w:rFonts w:hint="eastAsia" w:asciiTheme="minorEastAsia" w:hAnsiTheme="minorEastAsia" w:cstheme="minorEastAsia"/>
          <w:color w:val="auto"/>
          <w:spacing w:val="0"/>
          <w:kern w:val="2"/>
          <w:sz w:val="32"/>
          <w:szCs w:val="32"/>
          <w:lang w:val="en-US" w:eastAsia="zh-CN" w:bidi="ar-SA"/>
        </w:rPr>
        <w:t>对外的展示推介</w:t>
      </w:r>
      <w:r>
        <w:rPr>
          <w:rFonts w:hint="eastAsia" w:asciiTheme="minorEastAsia" w:hAnsiTheme="minorEastAsia" w:eastAsiaTheme="minorEastAsia" w:cstheme="minorEastAsia"/>
          <w:color w:val="auto"/>
          <w:spacing w:val="0"/>
          <w:kern w:val="2"/>
          <w:sz w:val="32"/>
          <w:szCs w:val="32"/>
          <w:lang w:val="en-US" w:eastAsia="zh-CN" w:bidi="ar-SA"/>
        </w:rPr>
        <w:t>。</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bookmarkStart w:id="10" w:name="_GoBack"/>
      <w:bookmarkEnd w:id="10"/>
      <w:r>
        <w:rPr>
          <w:rFonts w:hint="default" w:ascii="方正楷体_GBK" w:hAnsi="方正楷体_GBK" w:eastAsia="方正楷体_GBK" w:cs="方正楷体_GBK"/>
          <w:b/>
          <w:bCs/>
          <w:color w:val="FF0000"/>
          <w:spacing w:val="0"/>
          <w:kern w:val="2"/>
          <w:sz w:val="32"/>
          <w:szCs w:val="32"/>
          <w:lang w:val="en-US" w:eastAsia="zh-CN" w:bidi="ar-SA"/>
        </w:rPr>
        <w:t>（来源</w:t>
      </w:r>
      <w:r>
        <w:rPr>
          <w:rFonts w:hint="eastAsia" w:ascii="方正楷体_GBK" w:hAnsi="方正楷体_GBK" w:eastAsia="方正楷体_GBK" w:cs="方正楷体_GBK"/>
          <w:b/>
          <w:bCs/>
          <w:color w:val="FF0000"/>
          <w:spacing w:val="0"/>
          <w:kern w:val="2"/>
          <w:sz w:val="32"/>
          <w:szCs w:val="32"/>
          <w:lang w:val="en-US" w:eastAsia="zh-CN" w:bidi="ar-SA"/>
        </w:rPr>
        <w:t>：绣娘丝绸微信公众号）</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spacing w:line="440" w:lineRule="exact"/>
        <w:ind w:firstLine="608" w:firstLineChars="200"/>
        <w:jc w:val="center"/>
        <w:rPr>
          <w:rFonts w:hint="eastAsia"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default" w:ascii="方正楷体_GBK" w:hAnsi="方正楷体_GBK" w:eastAsia="方正楷体_GBK" w:cs="方正楷体_GBK"/>
          <w:b/>
          <w:bCs/>
          <w:color w:val="FF0000"/>
          <w:spacing w:val="0"/>
          <w:kern w:val="2"/>
          <w:sz w:val="32"/>
          <w:szCs w:val="32"/>
          <w:lang w:val="en-US" w:eastAsia="zh-CN" w:bidi="ar-SA"/>
        </w:rPr>
      </w:pPr>
      <w:r>
        <w:rPr>
          <w:rFonts w:hint="default" w:ascii="方正楷体_GBK" w:hAnsi="方正楷体_GBK" w:eastAsia="方正楷体_GBK" w:cs="方正楷体_GBK"/>
          <w:b/>
          <w:bCs/>
          <w:color w:val="FF0000"/>
          <w:spacing w:val="0"/>
          <w:kern w:val="2"/>
          <w:sz w:val="32"/>
          <w:szCs w:val="32"/>
          <w:lang w:val="en-US" w:eastAsia="zh-CN" w:bidi="ar-SA"/>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heme="minorEastAsia" w:hAnsiTheme="minorEastAsia" w:eastAsiaTheme="minorEastAsia" w:cstheme="minorEastAsia"/>
          <w:color w:val="auto"/>
          <w:spacing w:val="0"/>
          <w:kern w:val="2"/>
          <w:sz w:val="32"/>
          <w:szCs w:val="32"/>
          <w:lang w:val="en-US" w:eastAsia="zh-CN" w:bidi="ar-SA"/>
        </w:rPr>
      </w:pPr>
    </w:p>
    <w:p>
      <w:pPr>
        <w:spacing w:line="440" w:lineRule="exact"/>
        <w:ind w:firstLine="608" w:firstLineChars="200"/>
        <w:jc w:val="center"/>
        <w:rPr>
          <w:rFonts w:hint="eastAsia" w:ascii="Times New Roman" w:hAnsi="Times New Roman" w:eastAsia="方正楷体_GBK" w:cs="Times New Roman"/>
          <w:b w:val="0"/>
          <w:bCs/>
          <w:kern w:val="0"/>
          <w:sz w:val="32"/>
          <w:szCs w:val="32"/>
          <w:lang w:val="en-US" w:eastAsia="zh-CN" w:bidi="ar-SA"/>
        </w:rPr>
      </w:pPr>
      <w:r>
        <w:rPr>
          <w:rFonts w:hint="eastAsia" w:ascii="方正楷体_GBK" w:hAnsi="方正楷体_GBK" w:eastAsia="方正楷体_GBK" w:cs="方正楷体_GBK"/>
          <w:b/>
          <w:bCs/>
          <w:color w:val="FF0000"/>
          <w:spacing w:val="0"/>
          <w:kern w:val="2"/>
          <w:sz w:val="32"/>
          <w:szCs w:val="32"/>
          <w:lang w:val="en-US" w:eastAsia="zh-CN" w:bidi="ar-SA"/>
        </w:rPr>
        <w:t xml:space="preserve">           </w:t>
      </w:r>
      <w:bookmarkEnd w:id="6"/>
      <w:bookmarkEnd w:id="7"/>
      <w:bookmarkEnd w:id="8"/>
    </w:p>
    <w:sectPr>
      <w:footerReference r:id="rId4"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C7639"/>
    <w:rsid w:val="05490385"/>
    <w:rsid w:val="054A7C8A"/>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283787"/>
    <w:rsid w:val="0B2D6F6E"/>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B6C90"/>
    <w:rsid w:val="0D7170F8"/>
    <w:rsid w:val="0D922931"/>
    <w:rsid w:val="0D95263C"/>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E241B0"/>
    <w:rsid w:val="0EE470B9"/>
    <w:rsid w:val="0EE51F3F"/>
    <w:rsid w:val="0EE67C37"/>
    <w:rsid w:val="0EE96C61"/>
    <w:rsid w:val="0EEF6278"/>
    <w:rsid w:val="0F043F0A"/>
    <w:rsid w:val="0F070719"/>
    <w:rsid w:val="0F0E340F"/>
    <w:rsid w:val="0F110F65"/>
    <w:rsid w:val="0F126FC2"/>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92783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4E9E"/>
    <w:rsid w:val="1468041E"/>
    <w:rsid w:val="146A5814"/>
    <w:rsid w:val="146D4E79"/>
    <w:rsid w:val="1479121F"/>
    <w:rsid w:val="147C1504"/>
    <w:rsid w:val="148112AD"/>
    <w:rsid w:val="148B2440"/>
    <w:rsid w:val="14933736"/>
    <w:rsid w:val="149D19D1"/>
    <w:rsid w:val="14AA1497"/>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2D1A"/>
    <w:rsid w:val="172E1BBE"/>
    <w:rsid w:val="17377B8C"/>
    <w:rsid w:val="173A6824"/>
    <w:rsid w:val="173B1FA1"/>
    <w:rsid w:val="173C594E"/>
    <w:rsid w:val="173D1596"/>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2FB6"/>
    <w:rsid w:val="1CAF4AE5"/>
    <w:rsid w:val="1CB21A29"/>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D4785"/>
    <w:rsid w:val="1D6E27CD"/>
    <w:rsid w:val="1D727268"/>
    <w:rsid w:val="1D747A6E"/>
    <w:rsid w:val="1D767ADA"/>
    <w:rsid w:val="1D7A0D45"/>
    <w:rsid w:val="1D845021"/>
    <w:rsid w:val="1D861B2D"/>
    <w:rsid w:val="1D896FB3"/>
    <w:rsid w:val="1D91741D"/>
    <w:rsid w:val="1D9318C5"/>
    <w:rsid w:val="1D941B55"/>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D715D"/>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A43FF"/>
    <w:rsid w:val="2CCB5A72"/>
    <w:rsid w:val="2CD57684"/>
    <w:rsid w:val="2CD67A0B"/>
    <w:rsid w:val="2CD75666"/>
    <w:rsid w:val="2CD83FF1"/>
    <w:rsid w:val="2CDC6591"/>
    <w:rsid w:val="2CDE08F2"/>
    <w:rsid w:val="2CE03AB0"/>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E23A6"/>
    <w:rsid w:val="2F2E289C"/>
    <w:rsid w:val="2F350F19"/>
    <w:rsid w:val="2F383567"/>
    <w:rsid w:val="2F3B1918"/>
    <w:rsid w:val="2F415DC8"/>
    <w:rsid w:val="2F514AAE"/>
    <w:rsid w:val="2F531FEB"/>
    <w:rsid w:val="2F5A4EA5"/>
    <w:rsid w:val="2F5B5B3B"/>
    <w:rsid w:val="2F615468"/>
    <w:rsid w:val="2F655F0E"/>
    <w:rsid w:val="2F6B73F9"/>
    <w:rsid w:val="2F6D4FA6"/>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1212B1"/>
    <w:rsid w:val="341321BE"/>
    <w:rsid w:val="34155C01"/>
    <w:rsid w:val="34293255"/>
    <w:rsid w:val="34314E1D"/>
    <w:rsid w:val="34315823"/>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F2866"/>
    <w:rsid w:val="39830655"/>
    <w:rsid w:val="39850A26"/>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971DFA"/>
    <w:rsid w:val="629963D8"/>
    <w:rsid w:val="62A62474"/>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9596A"/>
    <w:rsid w:val="663F1119"/>
    <w:rsid w:val="66401DD3"/>
    <w:rsid w:val="6644369D"/>
    <w:rsid w:val="66513A8B"/>
    <w:rsid w:val="66515333"/>
    <w:rsid w:val="66543F3A"/>
    <w:rsid w:val="6654755D"/>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54B74"/>
    <w:rsid w:val="761C414A"/>
    <w:rsid w:val="761D237D"/>
    <w:rsid w:val="762721D0"/>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71052"/>
    <w:rsid w:val="7AD9797E"/>
    <w:rsid w:val="7ADE3DB2"/>
    <w:rsid w:val="7AE5682B"/>
    <w:rsid w:val="7AEE60EE"/>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6</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zl</cp:lastModifiedBy>
  <cp:lastPrinted>2025-03-03T01:36:00Z</cp:lastPrinted>
  <dcterms:modified xsi:type="dcterms:W3CDTF">2025-03-25T02:05:51Z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2AFE29251F2D47119EA111B2B617C6AF_13</vt:lpwstr>
  </property>
</Properties>
</file>