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13</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default"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25</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9</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default" w:ascii="Times New Roman" w:hAnsi="Times New Roman" w:eastAsia="方正楷体_GBK" w:cs="Times New Roman"/>
          <w:b w:val="0"/>
          <w:bCs/>
          <w:color w:val="000000"/>
          <w:kern w:val="36"/>
          <w:sz w:val="32"/>
          <w:szCs w:val="32"/>
          <w:highlight w:val="none"/>
          <w:lang w:val="en-US"/>
        </w:rPr>
        <w:t>3</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29</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全球市场资讯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3月23日（周六）</w:t>
      </w:r>
      <w:r>
        <w:rPr>
          <w:rFonts w:hint="eastAsia" w:ascii="Times New Roman" w:hAnsi="Times New Roman" w:eastAsia="方正楷体_GBK" w:cs="Times New Roman"/>
          <w:b/>
          <w:bCs w:val="0"/>
          <w:color w:val="auto"/>
          <w:spacing w:val="0"/>
          <w:kern w:val="36"/>
          <w:sz w:val="30"/>
          <w:szCs w:val="30"/>
          <w:lang w:val="en-US" w:eastAsia="zh-CN"/>
        </w:rPr>
        <w:t xml:space="preserve">日本2月份的对外贸易与消费者物价指数 </w:t>
      </w:r>
      <w:r>
        <w:rPr>
          <w:rFonts w:hint="default" w:ascii="Times New Roman" w:hAnsi="Times New Roman" w:eastAsia="方正楷体_GBK" w:cs="Times New Roman"/>
          <w:b/>
          <w:bCs w:val="0"/>
          <w:color w:val="auto"/>
          <w:spacing w:val="0"/>
          <w:kern w:val="36"/>
          <w:sz w:val="30"/>
          <w:szCs w:val="30"/>
          <w:lang w:val="en-US" w:eastAsia="zh-CN"/>
        </w:rPr>
        <w:t>/ 01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jc w:val="left"/>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24</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日</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德国景气指数企稳，美国经常账户改善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25</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一</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阿根廷国际债券的交易价格创出高点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26日</w:t>
      </w:r>
      <w:r>
        <w:rPr>
          <w:rFonts w:hint="default" w:ascii="Times New Roman" w:hAnsi="Times New Roman" w:eastAsia="方正楷体_GBK" w:cs="Times New Roman"/>
          <w:b/>
          <w:bCs w:val="0"/>
          <w:color w:val="auto"/>
          <w:spacing w:val="0"/>
          <w:kern w:val="36"/>
          <w:sz w:val="30"/>
          <w:szCs w:val="30"/>
          <w:lang w:val="en-US" w:eastAsia="zh-CN"/>
        </w:rPr>
        <w:t>（周</w:t>
      </w:r>
      <w:r>
        <w:rPr>
          <w:rFonts w:hint="eastAsia" w:ascii="Times New Roman" w:hAnsi="Times New Roman" w:eastAsia="方正楷体_GBK" w:cs="Times New Roman"/>
          <w:b/>
          <w:bCs w:val="0"/>
          <w:color w:val="auto"/>
          <w:spacing w:val="0"/>
          <w:kern w:val="36"/>
          <w:sz w:val="30"/>
          <w:szCs w:val="30"/>
          <w:lang w:val="en-US" w:eastAsia="zh-CN"/>
        </w:rPr>
        <w:t>二</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尼日利亚汇率暴跌物价飙升，陷入货币危机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5</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27</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三</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美债发行顺利，德国增长预测被调低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6</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 xml:space="preserve">28日（周四）美股指数创下新高，减持动作开始显现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7</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 xml:space="preserve">29日（周五）美国一季度经济增长稳健，股市完美收官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第二届中国国际供应链促进博览会江苏推介会在无锡召开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10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“境外机构、跨国公司江苏行”—德企镇江行活动成功举办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11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省贸促会领导出席中国国际商会长三角国际商会联盟联席会暨</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“名企嘉善行”活动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13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省贸促会领导会见越南工贸部代表团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14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8" w:firstLineChars="200"/>
        <w:jc w:val="both"/>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bidi="ar-SA"/>
        </w:rPr>
        <w:t>省贸促会领导带队赴浙江调研</w:t>
      </w:r>
      <w:r>
        <w:rPr>
          <w:rFonts w:hint="eastAsia" w:ascii="Times New Roman" w:hAnsi="Times New Roman" w:eastAsia="方正楷体_GBK" w:cs="Times New Roman"/>
          <w:b/>
          <w:bCs w:val="0"/>
          <w:color w:val="auto"/>
          <w:spacing w:val="0"/>
          <w:kern w:val="36"/>
          <w:sz w:val="30"/>
          <w:szCs w:val="30"/>
          <w:lang w:val="en-US" w:eastAsia="zh-CN"/>
        </w:rPr>
        <w:t xml:space="preserve">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河北省贸促会来访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16 </w:t>
      </w:r>
    </w:p>
    <w:p>
      <w:pPr>
        <w:ind w:firstLine="568" w:firstLineChars="200"/>
        <w:jc w:val="both"/>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南京市贸促会赴江苏苏豪控股集团调研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16</w:t>
      </w:r>
    </w:p>
    <w:p>
      <w:pPr>
        <w:ind w:firstLine="568" w:firstLineChars="200"/>
        <w:jc w:val="both"/>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泰州贸促会组织企业参加福州、深圳跨境电商展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17 </w:t>
      </w:r>
    </w:p>
    <w:p>
      <w:pPr>
        <w:ind w:firstLine="568" w:firstLineChars="200"/>
        <w:jc w:val="both"/>
        <w:rPr>
          <w:rFonts w:hint="eastAsia" w:ascii="方正大标宋_GBK" w:hAnsi="方正大标宋_GBK" w:eastAsia="方正大标宋_GBK" w:cs="方正大标宋_GBK"/>
          <w:sz w:val="44"/>
          <w:szCs w:val="44"/>
        </w:rPr>
      </w:pPr>
      <w:r>
        <w:rPr>
          <w:rFonts w:hint="eastAsia" w:ascii="Times New Roman" w:hAnsi="Times New Roman" w:eastAsia="方正楷体_GBK" w:cs="Times New Roman"/>
          <w:b/>
          <w:bCs w:val="0"/>
          <w:color w:val="auto"/>
          <w:spacing w:val="0"/>
          <w:kern w:val="36"/>
          <w:sz w:val="30"/>
          <w:szCs w:val="30"/>
          <w:lang w:val="en-US" w:eastAsia="zh-CN"/>
        </w:rPr>
        <w:t xml:space="preserve">扬州贸促会与江苏省照明商会联合开展政策业务宣讲活动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18 </w:t>
      </w:r>
    </w:p>
    <w:p>
      <w:pPr>
        <w:ind w:firstLine="568" w:firstLineChars="200"/>
        <w:jc w:val="both"/>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宿迁市贸促会领导深入企业调研推动稳外贸工作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18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央视《朝闻天下》深度报道恒力集团新质生产力发展成果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20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雅迪实力入选江苏省制造业领航企业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21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textAlignment w:val="auto"/>
        <w:outlineLvl w:val="1"/>
        <w:rPr>
          <w:rFonts w:hint="default" w:ascii="Times New Roman" w:hAnsi="Times New Roman" w:eastAsia="方正楷体_GBK" w:cs="Times New Roman"/>
          <w:b/>
          <w:color w:val="auto"/>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eastAsia" w:ascii="Times New Roman" w:hAnsi="Times New Roman" w:eastAsia="方正楷体_GBK" w:cs="Times New Roman"/>
          <w:b/>
          <w:bCs w:val="0"/>
          <w:color w:val="auto"/>
          <w:spacing w:val="0"/>
          <w:kern w:val="36"/>
          <w:sz w:val="30"/>
          <w:szCs w:val="30"/>
          <w:lang w:val="en-US" w:eastAsia="zh-CN"/>
        </w:rPr>
        <w:t xml:space="preserve">中国制造网入驻全球跨境电商“三中心” 携inQbrands深化海外仓业务合作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w:t>
      </w:r>
      <w:bookmarkStart w:id="0" w:name="_GoBack"/>
      <w:bookmarkEnd w:id="0"/>
      <w:r>
        <w:rPr>
          <w:rFonts w:hint="eastAsia" w:ascii="Times New Roman" w:hAnsi="Times New Roman" w:eastAsia="方正楷体_GBK" w:cs="Times New Roman"/>
          <w:b/>
          <w:color w:val="auto"/>
          <w:kern w:val="36"/>
          <w:sz w:val="30"/>
          <w:szCs w:val="30"/>
          <w:lang w:val="en-US" w:eastAsia="zh-CN"/>
        </w:rPr>
        <w:t xml:space="preserve">22 </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全球市场资讯</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23</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六</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日本2月份的对外贸易与消费者物价指数</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多年以来，日本一直是全球第三大经济体，2023年因为汇率原因，排名被德国取代滑落至第四。日本经济的外向度相当高，2023年其商品和服务出口占GDP的比重为18%。</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一、3月21日（周四），日本财务省公布2月日本的贸易数据（见表格）。</w:t>
      </w:r>
    </w:p>
    <w:p>
      <w:pPr>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0225" cy="876935"/>
            <wp:effectExtent l="0" t="0" r="9525" b="18415"/>
            <wp:docPr id="2" name="图片 2" descr="微信截图_2024032714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40327143759"/>
                    <pic:cNvPicPr>
                      <a:picLocks noChangeAspect="1"/>
                    </pic:cNvPicPr>
                  </pic:nvPicPr>
                  <pic:blipFill>
                    <a:blip r:embed="rId6"/>
                    <a:stretch>
                      <a:fillRect/>
                    </a:stretch>
                  </pic:blipFill>
                  <pic:spPr>
                    <a:xfrm>
                      <a:off x="0" y="0"/>
                      <a:ext cx="5610225" cy="876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textAlignment w:val="auto"/>
        <w:outlineLvl w:val="9"/>
        <w:rPr>
          <w:rFonts w:hint="default" w:ascii="Times New Roman" w:hAnsi="Times New Roman" w:eastAsia="方正楷体_GBK" w:cs="Calibri"/>
          <w:sz w:val="24"/>
          <w:szCs w:val="24"/>
          <w:lang w:val="en-US" w:eastAsia="zh-CN"/>
        </w:rPr>
      </w:pPr>
      <w:r>
        <w:rPr>
          <w:rFonts w:hint="eastAsia" w:ascii="Times New Roman" w:hAnsi="Times New Roman" w:eastAsia="方正楷体_GBK" w:cs="Calibri"/>
          <w:sz w:val="24"/>
          <w:szCs w:val="24"/>
          <w:lang w:val="en-US" w:eastAsia="zh-CN"/>
        </w:rPr>
        <w:t>（</w:t>
      </w:r>
      <w:r>
        <w:rPr>
          <w:rFonts w:hint="eastAsia" w:ascii="方正黑体_GBK" w:hAnsi="方正黑体_GBK" w:eastAsia="方正黑体_GBK" w:cs="方正黑体_GBK"/>
          <w:b/>
          <w:bCs/>
          <w:sz w:val="24"/>
          <w:szCs w:val="24"/>
          <w:lang w:val="en-US" w:eastAsia="zh-CN"/>
        </w:rPr>
        <w:t>注：</w:t>
      </w:r>
      <w:r>
        <w:rPr>
          <w:rFonts w:hint="eastAsia" w:ascii="Times New Roman" w:hAnsi="Times New Roman" w:eastAsia="方正楷体_GBK" w:cs="Calibri"/>
          <w:sz w:val="24"/>
          <w:szCs w:val="24"/>
          <w:lang w:val="en-US" w:eastAsia="zh-CN"/>
        </w:rPr>
        <w:t>“</w:t>
      </w:r>
      <w:r>
        <w:rPr>
          <w:rFonts w:hint="default" w:ascii="Times New Roman" w:hAnsi="Times New Roman" w:eastAsia="方正楷体_GBK" w:cs="Calibri"/>
          <w:b/>
          <w:bCs/>
          <w:sz w:val="24"/>
          <w:szCs w:val="24"/>
          <w:lang w:val="en-US" w:eastAsia="zh-CN"/>
        </w:rPr>
        <w:t>贸易账</w:t>
      </w:r>
      <w:r>
        <w:rPr>
          <w:rFonts w:hint="eastAsia" w:ascii="Times New Roman" w:hAnsi="Times New Roman" w:eastAsia="方正楷体_GBK" w:cs="Calibri"/>
          <w:sz w:val="24"/>
          <w:szCs w:val="24"/>
          <w:lang w:val="en-US" w:eastAsia="zh-CN"/>
        </w:rPr>
        <w:t>”</w:t>
      </w:r>
      <w:r>
        <w:rPr>
          <w:rFonts w:hint="default" w:ascii="Times New Roman" w:hAnsi="Times New Roman" w:eastAsia="方正楷体_GBK" w:cs="Calibri"/>
          <w:sz w:val="24"/>
          <w:szCs w:val="24"/>
          <w:lang w:val="en-US" w:eastAsia="zh-CN"/>
        </w:rPr>
        <w:t>（Trade Account）</w:t>
      </w:r>
      <w:r>
        <w:rPr>
          <w:rFonts w:hint="eastAsia" w:ascii="Times New Roman" w:hAnsi="Times New Roman" w:eastAsia="方正楷体_GBK" w:cs="Calibri"/>
          <w:sz w:val="24"/>
          <w:szCs w:val="24"/>
          <w:lang w:val="en-US" w:eastAsia="zh-CN"/>
        </w:rPr>
        <w:t>，记录了</w:t>
      </w:r>
      <w:r>
        <w:rPr>
          <w:rFonts w:hint="default" w:ascii="Times New Roman" w:hAnsi="Times New Roman" w:eastAsia="方正楷体_GBK" w:cs="Calibri"/>
          <w:sz w:val="24"/>
          <w:szCs w:val="24"/>
          <w:lang w:val="en-US" w:eastAsia="zh-CN"/>
        </w:rPr>
        <w:t>一个国家</w:t>
      </w:r>
      <w:r>
        <w:rPr>
          <w:rFonts w:hint="eastAsia" w:ascii="Times New Roman" w:hAnsi="Times New Roman" w:eastAsia="方正楷体_GBK" w:cs="Calibri"/>
          <w:sz w:val="24"/>
          <w:szCs w:val="24"/>
          <w:lang w:val="en-US" w:eastAsia="zh-CN"/>
        </w:rPr>
        <w:t>（</w:t>
      </w:r>
      <w:r>
        <w:rPr>
          <w:rFonts w:hint="default" w:ascii="Times New Roman" w:hAnsi="Times New Roman" w:eastAsia="方正楷体_GBK" w:cs="Calibri"/>
          <w:sz w:val="24"/>
          <w:szCs w:val="24"/>
          <w:lang w:val="en-US" w:eastAsia="zh-CN"/>
        </w:rPr>
        <w:t>地区</w:t>
      </w:r>
      <w:r>
        <w:rPr>
          <w:rFonts w:hint="eastAsia" w:ascii="Times New Roman" w:hAnsi="Times New Roman" w:eastAsia="方正楷体_GBK" w:cs="Calibri"/>
          <w:sz w:val="24"/>
          <w:szCs w:val="24"/>
          <w:lang w:val="en-US" w:eastAsia="zh-CN"/>
        </w:rPr>
        <w:t>）在一定时期内，</w:t>
      </w:r>
      <w:r>
        <w:rPr>
          <w:rFonts w:hint="default" w:ascii="Times New Roman" w:hAnsi="Times New Roman" w:eastAsia="方正楷体_GBK" w:cs="Calibri"/>
          <w:sz w:val="24"/>
          <w:szCs w:val="24"/>
          <w:lang w:val="en-US" w:eastAsia="zh-CN"/>
        </w:rPr>
        <w:t>货物</w:t>
      </w:r>
      <w:r>
        <w:rPr>
          <w:rFonts w:hint="eastAsia" w:ascii="Times New Roman" w:hAnsi="Times New Roman" w:eastAsia="方正楷体_GBK" w:cs="Calibri"/>
          <w:sz w:val="24"/>
          <w:szCs w:val="24"/>
          <w:lang w:val="en-US" w:eastAsia="zh-CN"/>
        </w:rPr>
        <w:t>贸易</w:t>
      </w:r>
      <w:r>
        <w:rPr>
          <w:rFonts w:hint="default" w:ascii="Times New Roman" w:hAnsi="Times New Roman" w:eastAsia="方正楷体_GBK" w:cs="Calibri"/>
          <w:sz w:val="24"/>
          <w:szCs w:val="24"/>
          <w:lang w:val="en-US" w:eastAsia="zh-CN"/>
        </w:rPr>
        <w:t>和服务贸易的总体情况</w:t>
      </w:r>
      <w:r>
        <w:rPr>
          <w:rFonts w:hint="eastAsia" w:ascii="Times New Roman" w:hAnsi="Times New Roman" w:eastAsia="方正楷体_GBK" w:cs="Calibri"/>
          <w:sz w:val="24"/>
          <w:szCs w:val="24"/>
          <w:lang w:val="en-US" w:eastAsia="zh-CN"/>
        </w:rPr>
        <w:t>，当</w:t>
      </w:r>
      <w:r>
        <w:rPr>
          <w:rFonts w:hint="default" w:ascii="Times New Roman" w:hAnsi="Times New Roman" w:eastAsia="方正楷体_GBK" w:cs="Calibri"/>
          <w:sz w:val="24"/>
          <w:szCs w:val="24"/>
          <w:lang w:val="en-US" w:eastAsia="zh-CN"/>
        </w:rPr>
        <w:t>出口和进口</w:t>
      </w:r>
      <w:r>
        <w:rPr>
          <w:rFonts w:hint="eastAsia" w:ascii="Times New Roman" w:hAnsi="Times New Roman" w:eastAsia="方正楷体_GBK" w:cs="Calibri"/>
          <w:sz w:val="24"/>
          <w:szCs w:val="24"/>
          <w:lang w:val="en-US" w:eastAsia="zh-CN"/>
        </w:rPr>
        <w:t>相减</w:t>
      </w:r>
      <w:r>
        <w:rPr>
          <w:rFonts w:hint="default" w:ascii="Times New Roman" w:hAnsi="Times New Roman" w:eastAsia="方正楷体_GBK" w:cs="Calibri"/>
          <w:sz w:val="24"/>
          <w:szCs w:val="24"/>
          <w:lang w:val="en-US" w:eastAsia="zh-CN"/>
        </w:rPr>
        <w:t>差额</w:t>
      </w:r>
      <w:r>
        <w:rPr>
          <w:rFonts w:hint="eastAsia" w:ascii="Times New Roman" w:hAnsi="Times New Roman" w:eastAsia="方正楷体_GBK" w:cs="Calibri"/>
          <w:sz w:val="24"/>
          <w:szCs w:val="24"/>
          <w:lang w:val="en-US" w:eastAsia="zh-CN"/>
        </w:rPr>
        <w:t>为</w:t>
      </w:r>
      <w:r>
        <w:rPr>
          <w:rFonts w:hint="default" w:ascii="Times New Roman" w:hAnsi="Times New Roman" w:eastAsia="方正楷体_GBK" w:cs="Calibri"/>
          <w:sz w:val="24"/>
          <w:szCs w:val="24"/>
          <w:lang w:val="en-US" w:eastAsia="zh-CN"/>
        </w:rPr>
        <w:t>正值</w:t>
      </w:r>
      <w:r>
        <w:rPr>
          <w:rFonts w:hint="eastAsia" w:ascii="Times New Roman" w:hAnsi="Times New Roman" w:eastAsia="方正楷体_GBK" w:cs="Calibri"/>
          <w:sz w:val="24"/>
          <w:szCs w:val="24"/>
          <w:lang w:val="en-US" w:eastAsia="zh-CN"/>
        </w:rPr>
        <w:t>时，</w:t>
      </w:r>
      <w:r>
        <w:rPr>
          <w:rFonts w:hint="default" w:ascii="Times New Roman" w:hAnsi="Times New Roman" w:eastAsia="方正楷体_GBK" w:cs="Calibri"/>
          <w:sz w:val="24"/>
          <w:szCs w:val="24"/>
          <w:lang w:val="en-US" w:eastAsia="zh-CN"/>
        </w:rPr>
        <w:t>表示贸易顺</w:t>
      </w:r>
      <w:r>
        <w:rPr>
          <w:rFonts w:hint="eastAsia" w:ascii="Times New Roman" w:hAnsi="Times New Roman" w:eastAsia="方正楷体_GBK" w:cs="Calibri"/>
          <w:sz w:val="24"/>
          <w:szCs w:val="24"/>
          <w:lang w:val="en-US" w:eastAsia="zh-CN"/>
        </w:rPr>
        <w:t>差；</w:t>
      </w:r>
      <w:r>
        <w:rPr>
          <w:rFonts w:hint="default" w:ascii="Times New Roman" w:hAnsi="Times New Roman" w:eastAsia="方正楷体_GBK" w:cs="Calibri"/>
          <w:sz w:val="24"/>
          <w:szCs w:val="24"/>
          <w:lang w:val="en-US" w:eastAsia="zh-CN"/>
        </w:rPr>
        <w:t>负值</w:t>
      </w:r>
      <w:r>
        <w:rPr>
          <w:rFonts w:hint="eastAsia" w:ascii="Times New Roman" w:hAnsi="Times New Roman" w:eastAsia="方正楷体_GBK" w:cs="Calibri"/>
          <w:sz w:val="24"/>
          <w:szCs w:val="24"/>
          <w:lang w:val="en-US" w:eastAsia="zh-CN"/>
        </w:rPr>
        <w:t>，则</w:t>
      </w:r>
      <w:r>
        <w:rPr>
          <w:rFonts w:hint="default" w:ascii="Times New Roman" w:hAnsi="Times New Roman" w:eastAsia="方正楷体_GBK" w:cs="Calibri"/>
          <w:sz w:val="24"/>
          <w:szCs w:val="24"/>
          <w:lang w:val="en-US" w:eastAsia="zh-CN"/>
        </w:rPr>
        <w:t>表示贸易逆差。</w:t>
      </w:r>
      <w:r>
        <w:rPr>
          <w:rFonts w:hint="eastAsia" w:ascii="Times New Roman" w:hAnsi="Times New Roman" w:eastAsia="方正楷体_GBK" w:cs="Calibri"/>
          <w:sz w:val="24"/>
          <w:szCs w:val="24"/>
          <w:lang w:val="en-US" w:eastAsia="zh-CN"/>
        </w:rPr>
        <w:t>“</w:t>
      </w:r>
      <w:r>
        <w:rPr>
          <w:rFonts w:hint="eastAsia" w:ascii="Times New Roman" w:hAnsi="Times New Roman" w:eastAsia="方正楷体_GBK" w:cs="Calibri"/>
          <w:b/>
          <w:bCs/>
          <w:sz w:val="24"/>
          <w:szCs w:val="24"/>
          <w:lang w:val="en-US" w:eastAsia="zh-CN"/>
        </w:rPr>
        <w:t>商品贸易账</w:t>
      </w:r>
      <w:r>
        <w:rPr>
          <w:rFonts w:hint="eastAsia" w:ascii="Times New Roman" w:hAnsi="Times New Roman" w:eastAsia="方正楷体_GBK" w:cs="Calibri"/>
          <w:sz w:val="24"/>
          <w:szCs w:val="24"/>
          <w:lang w:val="en-US" w:eastAsia="zh-CN"/>
        </w:rPr>
        <w:t>”则指其中货物贸易出口与进口相较的差额。）</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二、3月22日（周五），日本总务省公布2月的消费者物价指数（见表格）。</w:t>
      </w:r>
    </w:p>
    <w:p>
      <w:pPr>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drawing>
          <wp:inline distT="0" distB="0" distL="114300" distR="114300">
            <wp:extent cx="5614670" cy="835660"/>
            <wp:effectExtent l="0" t="0" r="5080" b="2540"/>
            <wp:docPr id="4" name="图片 4" descr="微信截图_2024032714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40327144011"/>
                    <pic:cNvPicPr>
                      <a:picLocks noChangeAspect="1"/>
                    </pic:cNvPicPr>
                  </pic:nvPicPr>
                  <pic:blipFill>
                    <a:blip r:embed="rId7"/>
                    <a:stretch>
                      <a:fillRect/>
                    </a:stretch>
                  </pic:blipFill>
                  <pic:spPr>
                    <a:xfrm>
                      <a:off x="0" y="0"/>
                      <a:ext cx="5614670" cy="835660"/>
                    </a:xfrm>
                    <a:prstGeom prst="rect">
                      <a:avLst/>
                    </a:prstGeom>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数据显示，2月份通胀率保持在日本央行2%的目标之上，为其进一步实施“货币政策正常化”提供了有利环境。3月19日，日本央行宣布结束负利率政策，是全球最后一个结束该政策的大型经济体。</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24</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德国景气指数企稳，美国经常账户改善</w:t>
      </w:r>
    </w:p>
    <w:p>
      <w:pPr>
        <w:ind w:firstLine="608" w:firstLineChars="200"/>
        <w:jc w:val="left"/>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一、德国公布“商业气候指数”</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3月22日（周五），德国公布IFO系列指数（见表格）。</w:t>
      </w: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r>
        <w:rPr>
          <w:rFonts w:hint="eastAsia" w:ascii="Times New Roman" w:hAnsi="Times New Roman" w:eastAsia="方正小标宋_GBK" w:cs="Times New Roman"/>
          <w:b/>
          <w:bCs/>
          <w:color w:val="FF0000"/>
          <w:sz w:val="32"/>
          <w:szCs w:val="40"/>
          <w:highlight w:val="none"/>
          <w:lang w:val="en-US" w:eastAsia="zh-CN"/>
        </w:rPr>
        <w:drawing>
          <wp:inline distT="0" distB="0" distL="114300" distR="114300">
            <wp:extent cx="5610225" cy="1034415"/>
            <wp:effectExtent l="0" t="0" r="9525" b="13335"/>
            <wp:docPr id="5" name="图片 5" descr="微信截图_2024032714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40327144746"/>
                    <pic:cNvPicPr>
                      <a:picLocks noChangeAspect="1"/>
                    </pic:cNvPicPr>
                  </pic:nvPicPr>
                  <pic:blipFill>
                    <a:blip r:embed="rId8"/>
                    <a:stretch>
                      <a:fillRect/>
                    </a:stretch>
                  </pic:blipFill>
                  <pic:spPr>
                    <a:xfrm>
                      <a:off x="0" y="0"/>
                      <a:ext cx="5610225" cy="1034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Calibri"/>
          <w:sz w:val="28"/>
          <w:szCs w:val="28"/>
          <w:lang w:val="en-US" w:eastAsia="zh-CN"/>
        </w:rPr>
      </w:pPr>
      <w:r>
        <w:rPr>
          <w:rFonts w:hint="default" w:ascii="Times New Roman" w:hAnsi="Times New Roman" w:eastAsia="方正楷体_GBK" w:cs="Calibri"/>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方正黑体_GBK" w:hAnsi="方正黑体_GBK" w:eastAsia="方正黑体_GBK" w:cs="方正黑体_GBK"/>
          <w:b/>
          <w:bCs/>
          <w:sz w:val="28"/>
          <w:szCs w:val="28"/>
          <w:lang w:val="en-US" w:eastAsia="zh-CN"/>
        </w:rPr>
        <w:t>：</w:t>
      </w:r>
      <w:r>
        <w:rPr>
          <w:rFonts w:hint="default" w:ascii="Times New Roman" w:hAnsi="Times New Roman" w:eastAsia="方正楷体_GBK" w:cs="Calibri"/>
          <w:sz w:val="28"/>
          <w:szCs w:val="28"/>
          <w:lang w:val="en-US" w:eastAsia="zh-CN"/>
        </w:rPr>
        <w:t>“</w:t>
      </w:r>
      <w:r>
        <w:rPr>
          <w:rFonts w:hint="eastAsia" w:ascii="Times New Roman" w:hAnsi="Times New Roman" w:eastAsia="方正楷体_GBK" w:cs="Calibri"/>
          <w:b/>
          <w:bCs/>
          <w:sz w:val="28"/>
          <w:szCs w:val="28"/>
          <w:lang w:val="en-US" w:eastAsia="zh-CN"/>
        </w:rPr>
        <w:t>IFO</w:t>
      </w:r>
      <w:r>
        <w:rPr>
          <w:rFonts w:hint="default" w:ascii="Times New Roman" w:hAnsi="Times New Roman" w:eastAsia="方正楷体_GBK" w:cs="Calibri"/>
          <w:b/>
          <w:bCs/>
          <w:sz w:val="28"/>
          <w:szCs w:val="28"/>
          <w:lang w:val="en-US" w:eastAsia="zh-CN"/>
        </w:rPr>
        <w:t>商业气候指数</w:t>
      </w:r>
      <w:r>
        <w:rPr>
          <w:rFonts w:hint="default" w:ascii="Times New Roman" w:hAnsi="Times New Roman" w:eastAsia="方正楷体_GBK" w:cs="Calibri"/>
          <w:sz w:val="28"/>
          <w:szCs w:val="28"/>
          <w:lang w:val="en-US" w:eastAsia="zh-CN"/>
        </w:rPr>
        <w:t>”</w:t>
      </w:r>
      <w:r>
        <w:rPr>
          <w:rFonts w:hint="eastAsia" w:ascii="Times New Roman" w:hAnsi="Times New Roman" w:eastAsia="方正楷体_GBK" w:cs="Calibri"/>
          <w:sz w:val="28"/>
          <w:szCs w:val="28"/>
          <w:lang w:val="en-US" w:eastAsia="zh-CN"/>
        </w:rPr>
        <w:t>（IFO Business Climate Index），</w:t>
      </w:r>
      <w:r>
        <w:rPr>
          <w:rFonts w:hint="default" w:ascii="Times New Roman" w:hAnsi="Times New Roman" w:eastAsia="方正楷体_GBK" w:cs="Calibri"/>
          <w:sz w:val="28"/>
          <w:szCs w:val="28"/>
          <w:lang w:val="en-US" w:eastAsia="zh-CN"/>
        </w:rPr>
        <w:t>是</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德国经济研究所</w:t>
      </w:r>
      <w:r>
        <w:rPr>
          <w:rFonts w:hint="eastAsia" w:ascii="Times New Roman" w:hAnsi="Times New Roman" w:eastAsia="方正楷体_GBK" w:cs="Calibri"/>
          <w:sz w:val="28"/>
          <w:szCs w:val="28"/>
          <w:lang w:val="en-US" w:eastAsia="zh-CN"/>
        </w:rPr>
        <w:t>”（IFO</w:t>
      </w:r>
      <w:r>
        <w:rPr>
          <w:rFonts w:hint="default" w:ascii="Times New Roman" w:hAnsi="Times New Roman" w:eastAsia="方正楷体_GBK" w:cs="Calibri"/>
          <w:sz w:val="28"/>
          <w:szCs w:val="28"/>
          <w:lang w:val="en-US" w:eastAsia="zh-CN"/>
        </w:rPr>
        <w:t xml:space="preserve"> Institute</w:t>
      </w:r>
      <w:r>
        <w:rPr>
          <w:rFonts w:hint="eastAsia" w:ascii="Times New Roman" w:hAnsi="Times New Roman" w:eastAsia="方正楷体_GBK" w:cs="Calibri"/>
          <w:sz w:val="28"/>
          <w:szCs w:val="28"/>
          <w:lang w:val="en-US" w:eastAsia="zh-CN"/>
        </w:rPr>
        <w:t>）</w:t>
      </w:r>
      <w:r>
        <w:rPr>
          <w:rFonts w:hint="default" w:ascii="Times New Roman" w:hAnsi="Times New Roman" w:eastAsia="方正楷体_GBK" w:cs="Calibri"/>
          <w:sz w:val="28"/>
          <w:szCs w:val="28"/>
          <w:lang w:val="en-US" w:eastAsia="zh-CN"/>
        </w:rPr>
        <w:t>发布的一项重要经济指标，用于衡量德国企业对当前和未来经济环境的评估和预期。</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Calibri"/>
          <w:sz w:val="28"/>
          <w:szCs w:val="28"/>
          <w:lang w:val="en-US" w:eastAsia="zh-CN"/>
        </w:rPr>
      </w:pPr>
      <w:r>
        <w:rPr>
          <w:rFonts w:hint="default" w:ascii="Times New Roman" w:hAnsi="Times New Roman" w:eastAsia="方正楷体_GBK" w:cs="Calibri"/>
          <w:sz w:val="28"/>
          <w:szCs w:val="28"/>
          <w:lang w:val="en-US" w:eastAsia="zh-CN"/>
        </w:rPr>
        <w:t>该指数以调查德国企业的经理和高级主管为基础，每月收集他们对当前经济状况和未来六个月的预期的数据。调查内容涵盖了企业的销售状况、订单状况、库存情况和商业投资计划等。</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outlineLvl w:val="9"/>
        <w:rPr>
          <w:rFonts w:hint="default" w:ascii="Times New Roman" w:hAnsi="Times New Roman" w:eastAsia="方正楷体_GBK" w:cs="Calibri"/>
          <w:sz w:val="28"/>
          <w:szCs w:val="28"/>
          <w:lang w:val="en-US" w:eastAsia="zh-CN"/>
        </w:rPr>
      </w:pPr>
      <w:r>
        <w:rPr>
          <w:rFonts w:hint="eastAsia" w:ascii="Times New Roman" w:hAnsi="Times New Roman" w:eastAsia="方正楷体_GBK" w:cs="Calibri"/>
          <w:sz w:val="28"/>
          <w:szCs w:val="28"/>
          <w:lang w:val="en-US" w:eastAsia="zh-CN"/>
        </w:rPr>
        <w:t>其</w:t>
      </w:r>
      <w:r>
        <w:rPr>
          <w:rFonts w:hint="default" w:ascii="Times New Roman" w:hAnsi="Times New Roman" w:eastAsia="方正楷体_GBK" w:cs="Calibri"/>
          <w:sz w:val="28"/>
          <w:szCs w:val="28"/>
          <w:lang w:val="en-US" w:eastAsia="zh-CN"/>
        </w:rPr>
        <w:t>计算方式是通过对调查数据进行加权平均得出的。指数的</w:t>
      </w:r>
      <w:r>
        <w:rPr>
          <w:rFonts w:hint="default" w:ascii="Times New Roman" w:hAnsi="Times New Roman" w:eastAsia="方正楷体_GBK" w:cs="Calibri"/>
          <w:b/>
          <w:bCs/>
          <w:sz w:val="28"/>
          <w:szCs w:val="28"/>
          <w:lang w:val="en-US" w:eastAsia="zh-CN"/>
        </w:rPr>
        <w:t>基准值为100</w:t>
      </w:r>
      <w:r>
        <w:rPr>
          <w:rFonts w:hint="default" w:ascii="Times New Roman" w:hAnsi="Times New Roman" w:eastAsia="方正楷体_GBK" w:cs="Calibri"/>
          <w:sz w:val="28"/>
          <w:szCs w:val="28"/>
          <w:lang w:val="en-US" w:eastAsia="zh-CN"/>
        </w:rPr>
        <w:t>，数值高于100表示企业对经济环境持乐观态度，数值低于100表示企业对经济环境持悲观态度。）</w:t>
      </w:r>
    </w:p>
    <w:p>
      <w:pPr>
        <w:ind w:left="0" w:leftChars="0" w:firstLine="0" w:firstLineChars="0"/>
        <w:jc w:val="center"/>
        <w:rPr>
          <w:rFonts w:hint="eastAsia" w:ascii="Times New Roman" w:hAnsi="Times New Roman" w:eastAsia="方正小标宋_GBK" w:cs="Times New Roman"/>
          <w:b/>
          <w:bCs/>
          <w:color w:val="FF0000"/>
          <w:sz w:val="32"/>
          <w:szCs w:val="40"/>
          <w:highlight w:val="yellow"/>
          <w:lang w:val="en-US" w:eastAsia="zh-CN"/>
        </w:rPr>
      </w:pPr>
      <w:r>
        <w:drawing>
          <wp:inline distT="0" distB="0" distL="114300" distR="114300">
            <wp:extent cx="3921125" cy="2720975"/>
            <wp:effectExtent l="0" t="0" r="3175" b="31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9"/>
                    <a:stretch>
                      <a:fillRect/>
                    </a:stretch>
                  </pic:blipFill>
                  <pic:spPr>
                    <a:xfrm>
                      <a:off x="0" y="0"/>
                      <a:ext cx="3921125" cy="2720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Times New Roman" w:hAnsi="Times New Roman" w:eastAsia="方正楷体_GBK" w:cs="方正楷体_GBK"/>
          <w:sz w:val="24"/>
          <w:szCs w:val="24"/>
          <w:lang w:eastAsia="zh-CN"/>
        </w:rPr>
      </w:pPr>
      <w:r>
        <w:rPr>
          <w:rFonts w:hint="eastAsia" w:ascii="Times New Roman" w:hAnsi="Times New Roman" w:eastAsia="方正楷体_GBK" w:cs="方正楷体_GBK"/>
          <w:sz w:val="24"/>
          <w:szCs w:val="24"/>
          <w:lang w:eastAsia="zh-CN"/>
        </w:rPr>
        <w:t>（图为</w:t>
      </w:r>
      <w:r>
        <w:rPr>
          <w:rFonts w:hint="eastAsia" w:ascii="Times New Roman" w:hAnsi="Times New Roman" w:eastAsia="方正楷体_GBK" w:cs="方正楷体_GBK"/>
          <w:sz w:val="24"/>
          <w:szCs w:val="24"/>
          <w:lang w:val="en-US" w:eastAsia="zh-CN"/>
        </w:rPr>
        <w:t>2020年一季度至今的IFO指数变化，从图上看指数正在企稳。</w:t>
      </w:r>
      <w:r>
        <w:rPr>
          <w:rFonts w:hint="eastAsia" w:ascii="Times New Roman" w:hAnsi="Times New Roman" w:eastAsia="方正楷体_GBK" w:cs="方正楷体_GBK"/>
          <w:sz w:val="24"/>
          <w:szCs w:val="24"/>
          <w:lang w:eastAsia="zh-CN"/>
        </w:rPr>
        <w:t>）</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2月下旬，德国央行曾表示，德国经济很可能在2024年第一季度陷入“技术性衰退”，即GDP连续两个季度萎缩。2023年度数据显示，德国是我第七大出口目的国，位于美国、日本、韩国、越南、印度和俄罗斯之后，年出口额约为1006亿美元。</w:t>
      </w:r>
    </w:p>
    <w:p>
      <w:pPr>
        <w:ind w:firstLine="608" w:firstLineChars="200"/>
        <w:jc w:val="left"/>
        <w:rPr>
          <w:rFonts w:hint="eastAsia" w:ascii="Times New Roman" w:hAnsi="Times New Roman" w:cs="Times New Roman"/>
          <w:b/>
          <w:bCs/>
          <w:sz w:val="32"/>
          <w:szCs w:val="32"/>
          <w:lang w:val="en-US" w:eastAsia="zh-CN"/>
        </w:rPr>
      </w:pPr>
      <w:r>
        <w:rPr>
          <w:rFonts w:hint="eastAsia" w:ascii="Times New Roman" w:hAnsi="Times New Roman" w:cs="Times New Roman"/>
          <w:b/>
          <w:bCs/>
          <w:sz w:val="32"/>
          <w:szCs w:val="32"/>
          <w:lang w:val="en-US" w:eastAsia="zh-CN"/>
        </w:rPr>
        <w:t>二、美国的经常账户在改善</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同日，</w:t>
      </w:r>
      <w:r>
        <w:rPr>
          <w:rFonts w:hint="default" w:ascii="Times New Roman" w:hAnsi="Times New Roman" w:cs="Times New Roman"/>
          <w:sz w:val="32"/>
          <w:szCs w:val="32"/>
          <w:lang w:val="en-US" w:eastAsia="zh-CN"/>
        </w:rPr>
        <w:t>美国经济分析局</w:t>
      </w:r>
      <w:r>
        <w:rPr>
          <w:rFonts w:hint="eastAsia" w:ascii="Times New Roman" w:hAnsi="Times New Roman" w:cs="Times New Roman"/>
          <w:sz w:val="32"/>
          <w:szCs w:val="32"/>
          <w:lang w:val="en-US" w:eastAsia="zh-CN"/>
        </w:rPr>
        <w:t>公布了2023年第四季度的经常账户数据，差额为-1948亿美元。</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textAlignment w:val="auto"/>
        <w:outlineLvl w:val="9"/>
        <w:rPr>
          <w:rFonts w:hint="eastAsia" w:ascii="Times New Roman" w:hAnsi="Times New Roman" w:eastAsia="方正楷体_GBK" w:cs="方正楷体_GBK"/>
          <w:sz w:val="28"/>
          <w:szCs w:val="28"/>
          <w:lang w:val="en-US" w:eastAsia="zh-CN"/>
        </w:rPr>
      </w:pPr>
      <w:r>
        <w:rPr>
          <w:rFonts w:hint="eastAsia" w:ascii="Times New Roman" w:hAnsi="Times New Roman" w:eastAsia="方正楷体_GBK" w:cs="方正楷体_GBK"/>
          <w:sz w:val="28"/>
          <w:szCs w:val="28"/>
          <w:lang w:val="en-US" w:eastAsia="zh-CN"/>
        </w:rPr>
        <w:t>（</w:t>
      </w:r>
      <w:r>
        <w:rPr>
          <w:rFonts w:hint="eastAsia" w:ascii="方正黑体_GBK" w:hAnsi="方正黑体_GBK" w:eastAsia="方正黑体_GBK" w:cs="方正黑体_GBK"/>
          <w:b/>
          <w:bCs/>
          <w:sz w:val="28"/>
          <w:szCs w:val="28"/>
          <w:highlight w:val="none"/>
          <w:lang w:val="en-US" w:eastAsia="zh-CN"/>
        </w:rPr>
        <w:t>注：</w:t>
      </w:r>
      <w:r>
        <w:rPr>
          <w:rFonts w:hint="eastAsia" w:ascii="Times New Roman" w:hAnsi="Times New Roman" w:eastAsia="方正楷体_GBK" w:cs="方正楷体_GBK"/>
          <w:sz w:val="28"/>
          <w:szCs w:val="28"/>
          <w:lang w:val="en-US" w:eastAsia="zh-CN"/>
        </w:rPr>
        <w:t>经常账户包括贸易余额、要素收入（外国投资收入减去对外国投资者的支付）和净现金转移，一般来说，贸易余额在其中的占比最大。一国的对外贸易是了解其经济发展趋势的重要线索，长期的贸易差额会对其汇率产生影响。）</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由图可见，美国的经常账户有改善的趋势，逆差正在缩小，其原因有二：一是美元升值，进口成本降低；二是国内生产恢复，进口数量减少。</w:t>
      </w:r>
    </w:p>
    <w:p>
      <w:pPr>
        <w:jc w:val="center"/>
        <w:rPr>
          <w:rFonts w:hint="eastAsia" w:ascii="Times New Roman" w:hAnsi="Times New Roman" w:cs="Times New Roman"/>
          <w:sz w:val="32"/>
          <w:szCs w:val="32"/>
          <w:lang w:val="en-US" w:eastAsia="zh-CN"/>
        </w:rPr>
      </w:pPr>
      <w:r>
        <w:drawing>
          <wp:inline distT="0" distB="0" distL="114300" distR="114300">
            <wp:extent cx="4118610" cy="2857500"/>
            <wp:effectExtent l="0" t="0" r="1524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0"/>
                    <a:stretch>
                      <a:fillRect/>
                    </a:stretch>
                  </pic:blipFill>
                  <pic:spPr>
                    <a:xfrm>
                      <a:off x="0" y="0"/>
                      <a:ext cx="4118610" cy="2857500"/>
                    </a:xfrm>
                    <a:prstGeom prst="rect">
                      <a:avLst/>
                    </a:prstGeom>
                    <a:noFill/>
                    <a:ln>
                      <a:noFill/>
                    </a:ln>
                  </pic:spPr>
                </pic:pic>
              </a:graphicData>
            </a:graphic>
          </wp:inline>
        </w:drawing>
      </w:r>
    </w:p>
    <w:p>
      <w:pPr>
        <w:ind w:firstLine="608" w:firstLineChars="200"/>
        <w:jc w:val="left"/>
        <w:rPr>
          <w:rFonts w:hint="eastAsia" w:ascii="Times New Roman" w:hAnsi="Times New Roman" w:cs="Times New Roman"/>
          <w:sz w:val="32"/>
          <w:szCs w:val="32"/>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25</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一</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阿根廷国际债券的交易价格创出高点</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市场数据显示，</w:t>
      </w:r>
      <w:r>
        <w:rPr>
          <w:rFonts w:hint="default" w:ascii="Times New Roman" w:hAnsi="Times New Roman" w:cs="Times New Roman"/>
          <w:sz w:val="32"/>
          <w:szCs w:val="32"/>
          <w:lang w:val="en-US" w:eastAsia="zh-CN"/>
        </w:rPr>
        <w:t>将于2030年到期的</w:t>
      </w:r>
      <w:r>
        <w:rPr>
          <w:rFonts w:hint="eastAsia" w:ascii="Times New Roman" w:hAnsi="Times New Roman" w:cs="Times New Roman"/>
          <w:sz w:val="32"/>
          <w:szCs w:val="32"/>
          <w:lang w:val="en-US" w:eastAsia="zh-CN"/>
        </w:rPr>
        <w:t>、以美元计价的阿根廷国际债券，价格</w:t>
      </w:r>
      <w:r>
        <w:rPr>
          <w:rFonts w:hint="default" w:ascii="Times New Roman" w:hAnsi="Times New Roman" w:cs="Times New Roman"/>
          <w:sz w:val="32"/>
          <w:szCs w:val="32"/>
          <w:lang w:val="en-US" w:eastAsia="zh-CN"/>
        </w:rPr>
        <w:t>从2022年年中的18美分升至略高于51美分，创下历史最高价</w:t>
      </w:r>
      <w:r>
        <w:rPr>
          <w:rFonts w:hint="eastAsia" w:ascii="Times New Roman" w:hAnsi="Times New Roman" w:cs="Times New Roman"/>
          <w:sz w:val="32"/>
          <w:szCs w:val="32"/>
          <w:lang w:val="en-US" w:eastAsia="zh-CN"/>
        </w:rPr>
        <w:t>（见图）。</w:t>
      </w:r>
    </w:p>
    <w:p>
      <w:pPr>
        <w:jc w:val="center"/>
        <w:rPr>
          <w:rFonts w:hint="eastAsia" w:ascii="Times New Roman" w:hAnsi="Times New Roman" w:cs="Times New Roman"/>
          <w:sz w:val="32"/>
          <w:szCs w:val="32"/>
          <w:lang w:val="en-US" w:eastAsia="zh-CN"/>
        </w:rPr>
      </w:pPr>
      <w:r>
        <w:drawing>
          <wp:inline distT="0" distB="0" distL="114300" distR="114300">
            <wp:extent cx="2969895" cy="2092325"/>
            <wp:effectExtent l="0" t="0" r="190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1"/>
                    <a:stretch>
                      <a:fillRect/>
                    </a:stretch>
                  </pic:blipFill>
                  <pic:spPr>
                    <a:xfrm>
                      <a:off x="0" y="0"/>
                      <a:ext cx="2969895" cy="2092325"/>
                    </a:xfrm>
                    <a:prstGeom prst="rect">
                      <a:avLst/>
                    </a:prstGeom>
                    <a:noFill/>
                    <a:ln>
                      <a:noFill/>
                    </a:ln>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阿根廷国际</w:t>
      </w:r>
      <w:r>
        <w:rPr>
          <w:rFonts w:hint="default" w:ascii="Times New Roman" w:hAnsi="Times New Roman" w:cs="Times New Roman"/>
          <w:sz w:val="32"/>
          <w:szCs w:val="32"/>
          <w:lang w:val="en-US" w:eastAsia="zh-CN"/>
        </w:rPr>
        <w:t>债</w:t>
      </w:r>
      <w:r>
        <w:rPr>
          <w:rFonts w:hint="eastAsia" w:ascii="Times New Roman" w:hAnsi="Times New Roman" w:cs="Times New Roman"/>
          <w:sz w:val="32"/>
          <w:szCs w:val="32"/>
          <w:lang w:val="en-US" w:eastAsia="zh-CN"/>
        </w:rPr>
        <w:t>券的</w:t>
      </w:r>
      <w:r>
        <w:rPr>
          <w:rFonts w:hint="default" w:ascii="Times New Roman" w:hAnsi="Times New Roman" w:cs="Times New Roman"/>
          <w:sz w:val="32"/>
          <w:szCs w:val="32"/>
          <w:lang w:val="en-US" w:eastAsia="zh-CN"/>
        </w:rPr>
        <w:t>价格为51美分</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意味着每美元的债券面值</w:t>
      </w:r>
      <w:r>
        <w:rPr>
          <w:rFonts w:hint="eastAsia" w:ascii="Times New Roman" w:hAnsi="Times New Roman" w:cs="Times New Roman"/>
          <w:sz w:val="32"/>
          <w:szCs w:val="32"/>
          <w:lang w:val="en-US" w:eastAsia="zh-CN"/>
        </w:rPr>
        <w:t>在</w:t>
      </w:r>
      <w:r>
        <w:rPr>
          <w:rFonts w:hint="default" w:ascii="Times New Roman" w:hAnsi="Times New Roman" w:cs="Times New Roman"/>
          <w:sz w:val="32"/>
          <w:szCs w:val="32"/>
          <w:lang w:val="en-US" w:eastAsia="zh-CN"/>
        </w:rPr>
        <w:t>以51美分的价格</w:t>
      </w:r>
      <w:r>
        <w:rPr>
          <w:rFonts w:hint="eastAsia" w:ascii="Times New Roman" w:hAnsi="Times New Roman" w:cs="Times New Roman"/>
          <w:sz w:val="32"/>
          <w:szCs w:val="32"/>
          <w:lang w:val="en-US" w:eastAsia="zh-CN"/>
        </w:rPr>
        <w:t>进行</w:t>
      </w:r>
      <w:r>
        <w:rPr>
          <w:rFonts w:hint="default" w:ascii="Times New Roman" w:hAnsi="Times New Roman" w:cs="Times New Roman"/>
          <w:sz w:val="32"/>
          <w:szCs w:val="32"/>
          <w:lang w:val="en-US" w:eastAsia="zh-CN"/>
        </w:rPr>
        <w:t>交易</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具体来说，如果债券的面值为100美元，那么以51</w:t>
      </w:r>
      <w:r>
        <w:rPr>
          <w:rFonts w:hint="eastAsia" w:ascii="Times New Roman" w:hAnsi="Times New Roman" w:cs="Times New Roman"/>
          <w:sz w:val="32"/>
          <w:szCs w:val="32"/>
          <w:lang w:val="en-US" w:eastAsia="zh-CN"/>
        </w:rPr>
        <w:t>美分的</w:t>
      </w:r>
      <w:r>
        <w:rPr>
          <w:rFonts w:hint="default" w:ascii="Times New Roman" w:hAnsi="Times New Roman" w:cs="Times New Roman"/>
          <w:sz w:val="32"/>
          <w:szCs w:val="32"/>
          <w:lang w:val="en-US" w:eastAsia="zh-CN"/>
        </w:rPr>
        <w:t>价格购买该债券，实际支付的金额将是51美分乘以100，即51美元。</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美元债券的价格走高，意味着国际市场提升了对阿根廷债券的认可，投资者开始增加购买，从而推动其价格攀升</w:t>
      </w:r>
      <w:r>
        <w:rPr>
          <w:rFonts w:hint="default" w:ascii="Times New Roman" w:hAnsi="Times New Roman" w:cs="Times New Roman"/>
          <w:sz w:val="32"/>
          <w:szCs w:val="32"/>
          <w:lang w:val="en-US" w:eastAsia="zh-CN"/>
        </w:rPr>
        <w:t>。摩根大通（JP Morgan）</w:t>
      </w:r>
      <w:r>
        <w:rPr>
          <w:rFonts w:hint="eastAsia" w:ascii="Times New Roman" w:hAnsi="Times New Roman" w:cs="Times New Roman"/>
          <w:sz w:val="32"/>
          <w:szCs w:val="32"/>
          <w:lang w:val="en-US" w:eastAsia="zh-CN"/>
        </w:rPr>
        <w:t>表示</w:t>
      </w:r>
      <w:r>
        <w:rPr>
          <w:rFonts w:hint="default" w:ascii="Times New Roman" w:hAnsi="Times New Roman" w:cs="Times New Roman"/>
          <w:sz w:val="32"/>
          <w:szCs w:val="32"/>
          <w:lang w:val="en-US" w:eastAsia="zh-CN"/>
        </w:rPr>
        <w:t>，阿根廷债券</w:t>
      </w:r>
      <w:r>
        <w:rPr>
          <w:rFonts w:hint="eastAsia" w:ascii="Times New Roman" w:hAnsi="Times New Roman" w:cs="Times New Roman"/>
          <w:sz w:val="32"/>
          <w:szCs w:val="32"/>
          <w:lang w:val="en-US" w:eastAsia="zh-CN"/>
        </w:rPr>
        <w:t>的“</w:t>
      </w:r>
      <w:r>
        <w:rPr>
          <w:rFonts w:hint="default" w:ascii="Times New Roman" w:hAnsi="Times New Roman" w:cs="Times New Roman"/>
          <w:sz w:val="32"/>
          <w:szCs w:val="32"/>
          <w:lang w:val="en-US" w:eastAsia="zh-CN"/>
        </w:rPr>
        <w:t>国家风险</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现在是2021年以来最低的。</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所谓“</w:t>
      </w:r>
      <w:r>
        <w:rPr>
          <w:rFonts w:hint="default" w:ascii="Times New Roman" w:hAnsi="Times New Roman" w:cs="Times New Roman"/>
          <w:sz w:val="32"/>
          <w:szCs w:val="32"/>
          <w:lang w:val="en-US" w:eastAsia="zh-CN"/>
        </w:rPr>
        <w:t>国家风险</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指数</w:t>
      </w:r>
      <w:r>
        <w:rPr>
          <w:rFonts w:hint="eastAsia" w:ascii="Times New Roman" w:hAnsi="Times New Roman" w:cs="Times New Roman"/>
          <w:sz w:val="32"/>
          <w:szCs w:val="32"/>
          <w:lang w:val="en-US" w:eastAsia="zh-CN"/>
        </w:rPr>
        <w:t>，</w:t>
      </w:r>
      <w:r>
        <w:rPr>
          <w:rFonts w:hint="default" w:ascii="Times New Roman" w:hAnsi="Times New Roman" w:cs="Times New Roman"/>
          <w:sz w:val="32"/>
          <w:szCs w:val="32"/>
          <w:lang w:val="en-US" w:eastAsia="zh-CN"/>
        </w:rPr>
        <w:t>是评估一个国家的政治和经济环境对债券投资的风险程度。该指数显示阿根廷的国家风险</w:t>
      </w:r>
      <w:r>
        <w:rPr>
          <w:rFonts w:hint="eastAsia" w:ascii="Times New Roman" w:hAnsi="Times New Roman" w:cs="Times New Roman"/>
          <w:sz w:val="32"/>
          <w:szCs w:val="32"/>
          <w:lang w:val="en-US" w:eastAsia="zh-CN"/>
        </w:rPr>
        <w:t>已</w:t>
      </w:r>
      <w:r>
        <w:rPr>
          <w:rFonts w:hint="default" w:ascii="Times New Roman" w:hAnsi="Times New Roman" w:cs="Times New Roman"/>
          <w:sz w:val="32"/>
          <w:szCs w:val="32"/>
          <w:lang w:val="en-US" w:eastAsia="zh-CN"/>
        </w:rPr>
        <w:t>降至自2021年以来的最低水平。</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26</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二</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尼日利亚汇率暴跌物价飙升，陷入货币危机</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2022年初，美联储启动快速升息，全球美元开始回流美国，各国货币对美元贬值，美元指数上涨。2023年以来，23种非洲货币兑美元的汇率创下了历史新低。</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同期，尼日利亚</w:t>
      </w:r>
      <w:r>
        <w:rPr>
          <w:rFonts w:hint="default" w:ascii="Times New Roman" w:hAnsi="Times New Roman" w:cs="Times New Roman"/>
          <w:sz w:val="32"/>
          <w:szCs w:val="32"/>
          <w:lang w:val="en-US" w:eastAsia="zh-CN"/>
        </w:rPr>
        <w:t>正逐渐向全面浮动汇率过渡，</w:t>
      </w:r>
      <w:r>
        <w:rPr>
          <w:rFonts w:hint="eastAsia" w:ascii="Times New Roman" w:hAnsi="Times New Roman" w:cs="Times New Roman"/>
          <w:sz w:val="32"/>
          <w:szCs w:val="32"/>
          <w:lang w:val="en-US" w:eastAsia="zh-CN"/>
        </w:rPr>
        <w:t>官方汇率持续下行向黑市汇率靠拢，其货币“奈拉”（Naira）不断贬值（见图），成为世界上表现第二差的货币，仅好于黎巴嫩镑。</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28" w:firstLineChars="200"/>
        <w:jc w:val="left"/>
        <w:textAlignment w:val="auto"/>
        <w:rPr>
          <w:rFonts w:hint="eastAsia" w:ascii="Times New Roman" w:hAnsi="Times New Roman" w:eastAsia="方正楷体_GBK" w:cs="方正楷体_GBK"/>
          <w:sz w:val="28"/>
          <w:szCs w:val="28"/>
          <w:lang w:val="en-US" w:eastAsia="zh-CN"/>
        </w:rPr>
      </w:pPr>
      <w:r>
        <w:rPr>
          <w:rFonts w:hint="eastAsia" w:ascii="Times New Roman" w:hAnsi="Times New Roman" w:eastAsia="方正楷体_GBK" w:cs="方正楷体_GBK"/>
          <w:sz w:val="28"/>
          <w:szCs w:val="28"/>
          <w:lang w:val="en-US" w:eastAsia="zh-CN"/>
        </w:rPr>
        <w:t>（注：尼日利亚是非洲第一大经济体、第一人口大国和第一大产油国）</w:t>
      </w:r>
    </w:p>
    <w:p>
      <w:pPr>
        <w:jc w:val="center"/>
        <w:rPr>
          <w:rFonts w:hint="eastAsia"/>
          <w:lang w:val="en-US" w:eastAsia="zh-CN"/>
        </w:rPr>
      </w:pPr>
      <w:r>
        <w:rPr>
          <w:rFonts w:hint="eastAsia"/>
          <w:lang w:val="en-US" w:eastAsia="zh-CN"/>
        </w:rPr>
        <w:drawing>
          <wp:inline distT="0" distB="0" distL="114300" distR="114300">
            <wp:extent cx="3535045" cy="1988820"/>
            <wp:effectExtent l="0" t="0" r="8255" b="11430"/>
            <wp:docPr id="21" name="图片 14" descr="（20240326）奈拉兑美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20240326）奈拉兑美元"/>
                    <pic:cNvPicPr>
                      <a:picLocks noChangeAspect="1"/>
                    </pic:cNvPicPr>
                  </pic:nvPicPr>
                  <pic:blipFill>
                    <a:blip r:embed="rId12"/>
                    <a:stretch>
                      <a:fillRect/>
                    </a:stretch>
                  </pic:blipFill>
                  <pic:spPr>
                    <a:xfrm>
                      <a:off x="0" y="0"/>
                      <a:ext cx="3535045" cy="1988820"/>
                    </a:xfrm>
                    <a:prstGeom prst="rect">
                      <a:avLst/>
                    </a:prstGeom>
                    <a:noFill/>
                    <a:ln>
                      <a:noFill/>
                    </a:ln>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尼日利亚的货币危机有其深层次原因，四十多年来，尼日利亚通过石油出口源源不断地获取美元，推动奈拉升值，却未用好外汇收入建立起本土产业。过去20年，因种种原因，尼日利亚石油产量下滑，同时亦无其他出口收入能够替代，于是物价上涨，伴随着硬通货紧缺，尼日利亚企业和居民开始恐慌性地购买美元，给奈拉带来了更大的压力。</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新冠疫情及美联储升息，更是加重了这一困境，央行已将基准利率提到20%，但依然无法阻止货币贬值和通胀高企（见图），尼日利亚的经济结构亟需深层次改革。</w:t>
      </w:r>
    </w:p>
    <w:p>
      <w:pPr>
        <w:jc w:val="center"/>
        <w:rPr>
          <w:rFonts w:hint="eastAsia" w:ascii="Times New Roman" w:hAnsi="Times New Roman" w:cs="Times New Roman"/>
          <w:sz w:val="32"/>
          <w:szCs w:val="32"/>
          <w:lang w:val="en-US" w:eastAsia="zh-CN"/>
        </w:rPr>
      </w:pPr>
      <w:r>
        <w:drawing>
          <wp:inline distT="0" distB="0" distL="114300" distR="114300">
            <wp:extent cx="3397250" cy="1910715"/>
            <wp:effectExtent l="0" t="0" r="12700" b="1333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3"/>
                    <a:stretch>
                      <a:fillRect/>
                    </a:stretch>
                  </pic:blipFill>
                  <pic:spPr>
                    <a:xfrm>
                      <a:off x="0" y="0"/>
                      <a:ext cx="3397250" cy="1910715"/>
                    </a:xfrm>
                    <a:prstGeom prst="rect">
                      <a:avLst/>
                    </a:prstGeom>
                    <a:noFill/>
                    <a:ln>
                      <a:noFill/>
                    </a:ln>
                  </pic:spPr>
                </pic:pic>
              </a:graphicData>
            </a:graphic>
          </wp:inline>
        </w:drawing>
      </w:r>
    </w:p>
    <w:p>
      <w:pPr>
        <w:ind w:left="0" w:leftChars="0" w:firstLine="0" w:firstLineChars="0"/>
        <w:jc w:val="left"/>
        <w:rPr>
          <w:rFonts w:hint="eastAsia"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Times New Roman" w:hAnsi="Times New Roman" w:eastAsia="方正魏碑简体" w:cs="Times New Roman"/>
          <w:b/>
          <w:bCs/>
          <w:color w:val="0000FF"/>
          <w:sz w:val="32"/>
          <w:szCs w:val="40"/>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27</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三</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美债发行顺利，德国增长预测被调低</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3月26日（周二），美国财政部举行的670亿美元的5年期美债拍卖，结果好于预期，认购踊跃，从而拉低了美债收益率。</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德国主要经济研究机构修订了对今年经济增长的预测，对本国GDP的增长预测从6个月前的1.3%下调至0.1%。</w:t>
      </w:r>
    </w:p>
    <w:tbl>
      <w:tblPr>
        <w:tblStyle w:val="15"/>
        <w:tblpPr w:leftFromText="180" w:rightFromText="180" w:vertAnchor="text" w:horzAnchor="page" w:tblpX="1668" w:tblpY="181"/>
        <w:tblOverlap w:val="never"/>
        <w:tblW w:w="8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13"/>
        <w:gridCol w:w="42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61" w:hRule="atLeast"/>
        </w:trPr>
        <w:tc>
          <w:tcPr>
            <w:tcW w:w="4713" w:type="dxa"/>
            <w:tcBorders>
              <w:tl2br w:val="nil"/>
              <w:tr2bl w:val="nil"/>
            </w:tcBorders>
            <w:vAlign w:val="top"/>
          </w:tcPr>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2023年，因为国内需求疲软和出口部门不景气，德国经济萎缩了0.3%，成为全球主要经济体中表现最暗淡的一个（见图）。德国央行承认，德国经济已进入“技术性衰退”。</w:t>
            </w:r>
          </w:p>
        </w:tc>
        <w:tc>
          <w:tcPr>
            <w:tcW w:w="4227" w:type="dxa"/>
            <w:tcBorders>
              <w:tl2br w:val="nil"/>
              <w:tr2bl w:val="nil"/>
            </w:tcBorders>
            <w:vAlign w:val="top"/>
          </w:tcPr>
          <w:p>
            <w:pPr>
              <w:jc w:val="left"/>
              <w:rPr>
                <w:rFonts w:hint="default" w:ascii="Times New Roman" w:hAnsi="Times New Roman" w:cs="Times New Roman"/>
                <w:sz w:val="32"/>
                <w:szCs w:val="32"/>
                <w:vertAlign w:val="baseline"/>
              </w:rPr>
            </w:pPr>
            <w:r>
              <w:drawing>
                <wp:inline distT="0" distB="0" distL="114300" distR="114300">
                  <wp:extent cx="2583180" cy="1955165"/>
                  <wp:effectExtent l="0" t="0" r="762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583180" cy="1955165"/>
                          </a:xfrm>
                          <a:prstGeom prst="rect">
                            <a:avLst/>
                          </a:prstGeom>
                          <a:noFill/>
                          <a:ln>
                            <a:noFill/>
                          </a:ln>
                        </pic:spPr>
                      </pic:pic>
                    </a:graphicData>
                  </a:graphic>
                </wp:inline>
              </w:drawing>
            </w:r>
          </w:p>
        </w:tc>
      </w:tr>
    </w:tbl>
    <w:p>
      <w:pPr>
        <w:ind w:firstLine="608" w:firstLineChars="200"/>
        <w:jc w:val="left"/>
        <w:rPr>
          <w:rFonts w:hint="eastAsia" w:ascii="Times New Roman" w:hAnsi="Times New Roman" w:cs="Times New Roman"/>
          <w:sz w:val="32"/>
          <w:szCs w:val="32"/>
          <w:lang w:val="en-US" w:eastAsia="zh-CN"/>
        </w:rPr>
      </w:pPr>
    </w:p>
    <w:p>
      <w:pPr>
        <w:ind w:left="0" w:leftChars="0" w:firstLine="0" w:firstLineChars="0"/>
        <w:jc w:val="left"/>
        <w:rPr>
          <w:rFonts w:hint="default" w:ascii="Calibri" w:hAnsi="Calibri" w:eastAsia="宋体" w:cs="Calibri"/>
          <w:b/>
          <w:bCs/>
          <w:color w:val="0000FF"/>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28</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四</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美股指数创下新高，减持动作开始显现</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近期标普500指数不断创下历史新高（见图），华尔街的市场情绪越来越激进，但与之形成鲜明对比的是，市场的买盘开始转弱。</w:t>
      </w:r>
    </w:p>
    <w:p>
      <w:pPr>
        <w:jc w:val="center"/>
        <w:rPr>
          <w:rFonts w:hint="eastAsia" w:ascii="Times New Roman" w:hAnsi="Times New Roman" w:cs="Times New Roman"/>
          <w:sz w:val="32"/>
          <w:szCs w:val="32"/>
          <w:lang w:val="en-US" w:eastAsia="zh-CN"/>
        </w:rPr>
      </w:pPr>
      <w:r>
        <w:drawing>
          <wp:inline distT="0" distB="0" distL="114300" distR="114300">
            <wp:extent cx="3855085" cy="2152015"/>
            <wp:effectExtent l="0" t="0" r="1206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3855085" cy="2152015"/>
                    </a:xfrm>
                    <a:prstGeom prst="rect">
                      <a:avLst/>
                    </a:prstGeom>
                    <a:noFill/>
                    <a:ln>
                      <a:noFill/>
                    </a:ln>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美国银行表示，目前美股市场的买盘主要来自于企业回购，上一周其机构、散户和对冲基金的客户全都在净卖出股票，唯一的资金净流入是企业回购。</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上周企业客户回购股票的数量，已经达到美银相关记录的高点；同时，美银的个人客户已连续第七周减持美股，对冲基金客户连续第三周减持，其他机构客户们在上周首次减持美股。但上述减持动作的力度并不算强劲。</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这说明，一方面，市场开始减持是为了规避风险；一方面，美联储的降息前景，又让股价失去下跌的空间。因此标普指数依然能闯出历史新高，且在高位进行盘整，等待消息面和市场情绪的变化，以决定下一步的突破方向。</w:t>
      </w:r>
    </w:p>
    <w:p>
      <w:pPr>
        <w:ind w:firstLine="388" w:firstLineChars="200"/>
        <w:rPr>
          <w:rFonts w:hint="default"/>
          <w:lang w:val="en-US" w:eastAsia="zh-CN"/>
        </w:rPr>
      </w:pPr>
    </w:p>
    <w:p>
      <w:pPr>
        <w:ind w:firstLine="388" w:firstLineChars="200"/>
        <w:rPr>
          <w:rFonts w:hint="default"/>
          <w:lang w:val="en-US" w:eastAsia="zh-CN"/>
        </w:rPr>
      </w:pPr>
    </w:p>
    <w:p>
      <w:pPr>
        <w:ind w:left="0" w:leftChars="0" w:firstLine="0" w:firstLineChars="0"/>
        <w:jc w:val="left"/>
        <w:rPr>
          <w:rFonts w:hint="default" w:ascii="Times New Roman" w:hAnsi="Times New Roman" w:eastAsia="方正魏碑简体" w:cs="Times New Roman"/>
          <w:b/>
          <w:bCs/>
          <w:color w:val="0000FF"/>
          <w:sz w:val="32"/>
          <w:szCs w:val="40"/>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t>3</w:t>
      </w:r>
      <w:r>
        <w:rPr>
          <w:rFonts w:hint="default" w:ascii="Times New Roman" w:hAnsi="Times New Roman" w:eastAsia="方正小标宋_GBK" w:cs="Times New Roman"/>
          <w:b/>
          <w:bCs/>
          <w:color w:val="FF0000"/>
          <w:sz w:val="32"/>
          <w:szCs w:val="40"/>
          <w:highlight w:val="yellow"/>
          <w:lang w:val="en-US" w:eastAsia="zh-CN"/>
        </w:rPr>
        <w:t>月</w:t>
      </w:r>
      <w:r>
        <w:rPr>
          <w:rFonts w:hint="eastAsia" w:ascii="Times New Roman" w:hAnsi="Times New Roman" w:eastAsia="方正小标宋_GBK" w:cs="Times New Roman"/>
          <w:b/>
          <w:bCs/>
          <w:color w:val="FF0000"/>
          <w:sz w:val="32"/>
          <w:szCs w:val="40"/>
          <w:highlight w:val="yellow"/>
          <w:lang w:val="en-US" w:eastAsia="zh-CN"/>
        </w:rPr>
        <w:t>29</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五</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eastAsia" w:ascii="Times New Roman" w:hAnsi="Times New Roman" w:eastAsia="方正小标宋_GBK" w:cs="Times New Roman"/>
          <w:b/>
          <w:bCs/>
          <w:color w:val="0000FF"/>
          <w:sz w:val="36"/>
          <w:szCs w:val="44"/>
          <w:highlight w:val="yellow"/>
          <w:lang w:val="en-US" w:eastAsia="zh-CN"/>
        </w:rPr>
      </w:pPr>
      <w:r>
        <w:rPr>
          <w:rFonts w:hint="eastAsia" w:ascii="Times New Roman" w:hAnsi="Times New Roman" w:eastAsia="方正小标宋_GBK" w:cs="Times New Roman"/>
          <w:b/>
          <w:bCs/>
          <w:color w:val="0000FF"/>
          <w:sz w:val="36"/>
          <w:szCs w:val="44"/>
          <w:highlight w:val="yellow"/>
          <w:lang w:val="en-US" w:eastAsia="zh-CN"/>
        </w:rPr>
        <w:t>美国一季度经济增长稳健，股市完美收官</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3月28日（周四），美国经济分析局公布，美国实际GDP年化季环比终值为3.4%，超过预期的3.2%和前值的3.2%。</w:t>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同日，美国劳工部发布失业数据（见表格）。</w:t>
      </w:r>
    </w:p>
    <w:p>
      <w:pPr>
        <w:jc w:val="left"/>
        <w:rPr>
          <w:rFonts w:hint="eastAsia" w:ascii="Times New Roman" w:hAnsi="Times New Roman" w:eastAsia="方正小标宋_GBK" w:cs="Times New Roman"/>
          <w:b/>
          <w:bCs/>
          <w:color w:val="FF0000"/>
          <w:sz w:val="32"/>
          <w:szCs w:val="40"/>
          <w:highlight w:val="none"/>
          <w:lang w:val="en-US" w:eastAsia="zh-CN"/>
        </w:rPr>
      </w:pPr>
      <w:r>
        <w:rPr>
          <w:rFonts w:hint="eastAsia" w:ascii="Times New Roman" w:hAnsi="Times New Roman" w:eastAsia="方正小标宋_GBK" w:cs="Times New Roman"/>
          <w:b/>
          <w:bCs/>
          <w:color w:val="FF0000"/>
          <w:sz w:val="32"/>
          <w:szCs w:val="40"/>
          <w:highlight w:val="none"/>
          <w:lang w:val="en-US" w:eastAsia="zh-CN"/>
        </w:rPr>
        <w:drawing>
          <wp:inline distT="0" distB="0" distL="114300" distR="114300">
            <wp:extent cx="5612765" cy="793115"/>
            <wp:effectExtent l="0" t="0" r="6985" b="6985"/>
            <wp:docPr id="6" name="图片 6" descr="微信截图_202403291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40329123341"/>
                    <pic:cNvPicPr>
                      <a:picLocks noChangeAspect="1"/>
                    </pic:cNvPicPr>
                  </pic:nvPicPr>
                  <pic:blipFill>
                    <a:blip r:embed="rId16"/>
                    <a:stretch>
                      <a:fillRect/>
                    </a:stretch>
                  </pic:blipFill>
                  <pic:spPr>
                    <a:xfrm>
                      <a:off x="0" y="0"/>
                      <a:ext cx="5612765" cy="793115"/>
                    </a:xfrm>
                    <a:prstGeom prst="rect">
                      <a:avLst/>
                    </a:prstGeom>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同日，美国经济分析局公布四季度个人消费支出（PCE）物价指数（见表格）。</w:t>
      </w:r>
    </w:p>
    <w:p>
      <w:pPr>
        <w:jc w:val="left"/>
        <w:rPr>
          <w:rFonts w:hint="eastAsia" w:ascii="Times New Roman" w:hAnsi="Times New Roman" w:eastAsia="方正小标宋_GBK" w:cs="Times New Roman"/>
          <w:b/>
          <w:bCs/>
          <w:color w:val="FF0000"/>
          <w:sz w:val="32"/>
          <w:szCs w:val="40"/>
          <w:highlight w:val="none"/>
          <w:lang w:val="en-US" w:eastAsia="zh-CN"/>
        </w:rPr>
      </w:pPr>
      <w:r>
        <w:rPr>
          <w:rFonts w:hint="eastAsia" w:ascii="Times New Roman" w:hAnsi="Times New Roman" w:eastAsia="方正小标宋_GBK" w:cs="Times New Roman"/>
          <w:b/>
          <w:bCs/>
          <w:color w:val="FF0000"/>
          <w:sz w:val="32"/>
          <w:szCs w:val="40"/>
          <w:highlight w:val="none"/>
          <w:lang w:val="en-US" w:eastAsia="zh-CN"/>
        </w:rPr>
        <w:drawing>
          <wp:inline distT="0" distB="0" distL="114300" distR="114300">
            <wp:extent cx="5612765" cy="772795"/>
            <wp:effectExtent l="0" t="0" r="6985" b="8255"/>
            <wp:docPr id="7" name="图片 7" descr="微信截图_2024032912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40329123436"/>
                    <pic:cNvPicPr>
                      <a:picLocks noChangeAspect="1"/>
                    </pic:cNvPicPr>
                  </pic:nvPicPr>
                  <pic:blipFill>
                    <a:blip r:embed="rId17"/>
                    <a:stretch>
                      <a:fillRect/>
                    </a:stretch>
                  </pic:blipFill>
                  <pic:spPr>
                    <a:xfrm>
                      <a:off x="0" y="0"/>
                      <a:ext cx="5612765" cy="772795"/>
                    </a:xfrm>
                    <a:prstGeom prst="rect">
                      <a:avLst/>
                    </a:prstGeom>
                  </pic:spPr>
                </pic:pic>
              </a:graphicData>
            </a:graphic>
          </wp:inline>
        </w:drawing>
      </w:r>
    </w:p>
    <w:p>
      <w:pPr>
        <w:ind w:firstLine="608" w:firstLineChars="200"/>
        <w:jc w:val="left"/>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上述数据显示，美国GDP增长强劲、劳动力市场健康、物价上涨速度稳定，从而加强了美国经济“不着陆”的乐观预期；市场也由此减弱了对6月降息的押注，利率互换合约显示，6月降息的概率由70%降至60%。</w:t>
      </w:r>
    </w:p>
    <w:p>
      <w:pPr>
        <w:ind w:firstLine="608" w:firstLineChars="200"/>
        <w:jc w:val="left"/>
        <w:rPr>
          <w:rFonts w:hint="default"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3月28日（周四），也是美国股市在3月份及第一季度的</w:t>
      </w:r>
      <w:r>
        <w:rPr>
          <w:rFonts w:hint="default" w:ascii="Times New Roman" w:hAnsi="Times New Roman" w:cs="Times New Roman"/>
          <w:sz w:val="32"/>
          <w:szCs w:val="32"/>
          <w:lang w:val="en-US" w:eastAsia="zh-CN"/>
        </w:rPr>
        <w:t>最后一个交易日，</w:t>
      </w:r>
      <w:r>
        <w:rPr>
          <w:rFonts w:hint="eastAsia" w:ascii="Times New Roman" w:hAnsi="Times New Roman" w:cs="Times New Roman"/>
          <w:sz w:val="32"/>
          <w:szCs w:val="32"/>
          <w:lang w:val="en-US" w:eastAsia="zh-CN"/>
        </w:rPr>
        <w:t>三大股指都实现了连续第五个月上涨和连续第二个季度上涨。标普500</w:t>
      </w:r>
      <w:r>
        <w:rPr>
          <w:rFonts w:hint="default" w:ascii="Times New Roman" w:hAnsi="Times New Roman" w:cs="Times New Roman"/>
          <w:sz w:val="32"/>
          <w:szCs w:val="32"/>
          <w:lang w:val="en-US" w:eastAsia="zh-CN"/>
        </w:rPr>
        <w:t>指数</w:t>
      </w:r>
      <w:r>
        <w:rPr>
          <w:rFonts w:hint="eastAsia" w:ascii="Times New Roman" w:hAnsi="Times New Roman" w:cs="Times New Roman"/>
          <w:sz w:val="32"/>
          <w:szCs w:val="32"/>
          <w:lang w:val="en-US" w:eastAsia="zh-CN"/>
        </w:rPr>
        <w:t>在一</w:t>
      </w:r>
      <w:r>
        <w:rPr>
          <w:rFonts w:hint="default" w:ascii="Times New Roman" w:hAnsi="Times New Roman" w:cs="Times New Roman"/>
          <w:sz w:val="32"/>
          <w:szCs w:val="32"/>
          <w:lang w:val="en-US" w:eastAsia="zh-CN"/>
        </w:rPr>
        <w:t>季度上涨了约10%，创下了自2019年以来</w:t>
      </w:r>
      <w:r>
        <w:rPr>
          <w:rFonts w:hint="eastAsia" w:ascii="Times New Roman" w:hAnsi="Times New Roman" w:cs="Times New Roman"/>
          <w:sz w:val="32"/>
          <w:szCs w:val="32"/>
          <w:lang w:val="en-US" w:eastAsia="zh-CN"/>
        </w:rPr>
        <w:t>第</w:t>
      </w:r>
      <w:r>
        <w:rPr>
          <w:rFonts w:hint="default" w:ascii="Times New Roman" w:hAnsi="Times New Roman" w:cs="Times New Roman"/>
          <w:sz w:val="32"/>
          <w:szCs w:val="32"/>
          <w:lang w:val="en-US" w:eastAsia="zh-CN"/>
        </w:rPr>
        <w:t>一季度的最佳涨幅</w:t>
      </w:r>
      <w:r>
        <w:rPr>
          <w:rFonts w:hint="eastAsia" w:ascii="Times New Roman" w:hAnsi="Times New Roman" w:cs="Times New Roman"/>
          <w:sz w:val="32"/>
          <w:szCs w:val="32"/>
          <w:lang w:val="en-US" w:eastAsia="zh-CN"/>
        </w:rPr>
        <w:t>（见图）</w:t>
      </w:r>
      <w:r>
        <w:rPr>
          <w:rFonts w:hint="default" w:ascii="Times New Roman" w:hAnsi="Times New Roman" w:cs="Times New Roman"/>
          <w:sz w:val="32"/>
          <w:szCs w:val="32"/>
          <w:lang w:val="en-US" w:eastAsia="zh-CN"/>
        </w:rPr>
        <w:t>。与此同时，道指开始冲击4万点关口，纳指</w:t>
      </w:r>
      <w:r>
        <w:rPr>
          <w:rFonts w:hint="eastAsia" w:ascii="Times New Roman" w:hAnsi="Times New Roman" w:cs="Times New Roman"/>
          <w:sz w:val="32"/>
          <w:szCs w:val="32"/>
          <w:lang w:val="en-US" w:eastAsia="zh-CN"/>
        </w:rPr>
        <w:t>也</w:t>
      </w:r>
      <w:r>
        <w:rPr>
          <w:rFonts w:hint="default" w:ascii="Times New Roman" w:hAnsi="Times New Roman" w:cs="Times New Roman"/>
          <w:sz w:val="32"/>
          <w:szCs w:val="32"/>
          <w:lang w:val="en-US" w:eastAsia="zh-CN"/>
        </w:rPr>
        <w:t>上涨10%</w:t>
      </w:r>
      <w:r>
        <w:rPr>
          <w:rFonts w:hint="eastAsia" w:ascii="Times New Roman" w:hAnsi="Times New Roman" w:cs="Times New Roman"/>
          <w:sz w:val="32"/>
          <w:szCs w:val="32"/>
          <w:lang w:val="en-US" w:eastAsia="zh-CN"/>
        </w:rPr>
        <w:t>。美国股市龙头，AI</w:t>
      </w:r>
      <w:r>
        <w:rPr>
          <w:rFonts w:hint="default" w:ascii="Times New Roman" w:hAnsi="Times New Roman" w:cs="Times New Roman"/>
          <w:sz w:val="32"/>
          <w:szCs w:val="32"/>
          <w:lang w:val="en-US" w:eastAsia="zh-CN"/>
        </w:rPr>
        <w:t>芯片</w:t>
      </w:r>
      <w:r>
        <w:rPr>
          <w:rFonts w:hint="eastAsia" w:ascii="Times New Roman" w:hAnsi="Times New Roman" w:cs="Times New Roman"/>
          <w:sz w:val="32"/>
          <w:szCs w:val="32"/>
          <w:lang w:val="en-US" w:eastAsia="zh-CN"/>
        </w:rPr>
        <w:t>股</w:t>
      </w:r>
      <w:r>
        <w:rPr>
          <w:rFonts w:hint="default" w:ascii="Times New Roman" w:hAnsi="Times New Roman" w:cs="Times New Roman"/>
          <w:sz w:val="32"/>
          <w:szCs w:val="32"/>
          <w:lang w:val="en-US" w:eastAsia="zh-CN"/>
        </w:rPr>
        <w:t>英伟达</w:t>
      </w:r>
      <w:r>
        <w:rPr>
          <w:rFonts w:hint="eastAsia" w:ascii="Times New Roman" w:hAnsi="Times New Roman" w:cs="Times New Roman"/>
          <w:sz w:val="32"/>
          <w:szCs w:val="32"/>
          <w:lang w:val="en-US" w:eastAsia="zh-CN"/>
        </w:rPr>
        <w:t>（NVIDIA）</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仅在一</w:t>
      </w:r>
      <w:r>
        <w:rPr>
          <w:rFonts w:hint="default" w:ascii="Times New Roman" w:hAnsi="Times New Roman" w:cs="Times New Roman"/>
          <w:sz w:val="32"/>
          <w:szCs w:val="32"/>
          <w:lang w:val="en-US" w:eastAsia="zh-CN"/>
        </w:rPr>
        <w:t>季度</w:t>
      </w:r>
      <w:r>
        <w:rPr>
          <w:rFonts w:hint="eastAsia" w:ascii="Times New Roman" w:hAnsi="Times New Roman" w:cs="Times New Roman"/>
          <w:sz w:val="32"/>
          <w:szCs w:val="32"/>
          <w:lang w:val="en-US" w:eastAsia="zh-CN"/>
        </w:rPr>
        <w:t>股价就</w:t>
      </w:r>
      <w:r>
        <w:rPr>
          <w:rFonts w:hint="default" w:ascii="Times New Roman" w:hAnsi="Times New Roman" w:cs="Times New Roman"/>
          <w:sz w:val="32"/>
          <w:szCs w:val="32"/>
          <w:lang w:val="en-US" w:eastAsia="zh-CN"/>
        </w:rPr>
        <w:t>飙升了85%，</w:t>
      </w:r>
      <w:r>
        <w:rPr>
          <w:rFonts w:hint="eastAsia" w:ascii="Times New Roman" w:hAnsi="Times New Roman" w:cs="Times New Roman"/>
          <w:sz w:val="32"/>
          <w:szCs w:val="32"/>
          <w:lang w:val="en-US" w:eastAsia="zh-CN"/>
        </w:rPr>
        <w:t>其中在</w:t>
      </w:r>
      <w:r>
        <w:rPr>
          <w:rFonts w:hint="default" w:ascii="Times New Roman" w:hAnsi="Times New Roman" w:cs="Times New Roman"/>
          <w:sz w:val="32"/>
          <w:szCs w:val="32"/>
          <w:lang w:val="en-US" w:eastAsia="zh-CN"/>
        </w:rPr>
        <w:t>3月份上涨了16%。</w:t>
      </w:r>
    </w:p>
    <w:p>
      <w:pPr>
        <w:jc w:val="center"/>
        <w:rPr>
          <w:rFonts w:hint="default" w:ascii="Times New Roman" w:hAnsi="Times New Roman" w:cs="Times New Roman"/>
          <w:sz w:val="32"/>
          <w:szCs w:val="32"/>
          <w:lang w:val="en-US" w:eastAsia="zh-CN"/>
        </w:rPr>
      </w:pPr>
      <w:r>
        <w:drawing>
          <wp:inline distT="0" distB="0" distL="114300" distR="114300">
            <wp:extent cx="4193540" cy="2214880"/>
            <wp:effectExtent l="0" t="0" r="16510" b="1397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8"/>
                    <a:stretch>
                      <a:fillRect/>
                    </a:stretch>
                  </pic:blipFill>
                  <pic:spPr>
                    <a:xfrm>
                      <a:off x="0" y="0"/>
                      <a:ext cx="4193540" cy="2214880"/>
                    </a:xfrm>
                    <a:prstGeom prst="rect">
                      <a:avLst/>
                    </a:prstGeom>
                    <a:noFill/>
                    <a:ln>
                      <a:noFill/>
                    </a:ln>
                  </pic:spPr>
                </pic:pic>
              </a:graphicData>
            </a:graphic>
          </wp:inline>
        </w:drawing>
      </w:r>
    </w:p>
    <w:p>
      <w:pPr>
        <w:jc w:val="left"/>
        <w:rPr>
          <w:rFonts w:hint="eastAsia" w:ascii="Times New Roman" w:hAnsi="Times New Roman" w:eastAsia="方正小标宋_GBK" w:cs="Times New Roman"/>
          <w:b/>
          <w:bCs/>
          <w:color w:val="FF0000"/>
          <w:sz w:val="32"/>
          <w:szCs w:val="40"/>
          <w:highlight w:val="yellow"/>
          <w:lang w:val="en-US" w:eastAsia="zh-CN"/>
        </w:rPr>
      </w:pPr>
      <w:r>
        <w:rPr>
          <w:rFonts w:hint="eastAsia" w:ascii="Times New Roman" w:hAnsi="Times New Roman" w:eastAsia="方正小标宋_GBK" w:cs="Times New Roman"/>
          <w:b/>
          <w:bCs/>
          <w:color w:val="FF0000"/>
          <w:sz w:val="32"/>
          <w:szCs w:val="40"/>
          <w:highlight w:val="yellow"/>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第二届中国国际供应链促进博览会</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江苏推介会在无锡召开</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27日，第二届中国国际供应链促进博览会江苏推介会在无锡国际会议中心召开。中国贸促会副会长于健龙、江苏省贸促会会长王善华出席并致辞。中国贸促会有关部门负责同志、全省贸促系统及企业代表160余人参会。</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第二届链博会将于今年11月26日至30日在北京举行，设置先进制造链、清洁能源链、智能汽车链、数字科技链、健康生活链、绿色农业链六大链条和供应链服务展区。其中，先进制造链作为第二届链博会新增链条，将聚焦新质生产力，展示全球先进制造领域的产业链，为参展企业深入参与链博会提供更广阔空间。</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于健龙表示，中国国际供应链促进博览会是全球首个以供应链为主题的国家级展会，中国贸促会将坚持国际化、专业化、市场化、绿色化办展理念，把第二届链博会办成一届质量更高、“链”味更浓、看点更多、成效更好的全球经贸盛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王善华感谢中国贸促会对江苏工作的关心指导和与会企业的大力支持，表示将认真落实全国贸促“一盘棋”理念，把链博会作为助推江苏成为发展新质生产力重要阵地的国际平台，全力推动江苏企业参与第二届链博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中国贸促会展览管理部部长邬胜荣作第二届链博会推介，中国国际展览中心集团有限公司副总裁马力介绍第二届链博会相关事宜，阿斯利康制药有限公司、江苏天一航空工业股份有限公司、南京钢铁集团有限公司等首届链博会参展企业代表作经验交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会上举行江苏参展企业签约仪式，蜂巢能源科技股份有限公司、江苏双星彩塑新材料股份有限公司、诺得网络科技股份有限公司等18家省内企业与中展集团签订参展意向协议，希望通过链博会平台，深度融入全球产业链供应链创新链，推动江苏成为发展新质生产力的重要阵地。</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（贸易促进部）</w:t>
      </w:r>
    </w:p>
    <w:p>
      <w:pPr>
        <w:ind w:firstLine="688" w:firstLineChars="200"/>
        <w:rPr>
          <w:rFonts w:ascii="黑体" w:hAnsi="宋体" w:eastAsia="黑体" w:cs="黑体"/>
          <w:b/>
          <w:color w:val="000000"/>
          <w:sz w:val="36"/>
          <w:szCs w:val="36"/>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“境外机构、跨国公司江苏行”—德企镇江行活动成功举办</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为促进更多优质外资企业参与我省产业链供应链国际合作，更大力度吸引和利用外资，服务因地制宜发展新质生产力，</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月</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27-28</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日，我会联合德国海外商会联盟大中华区组织</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境外机构、跨国公司江苏行</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德企镇江行活动。我会会长王善华、副会长丛苏峰，镇江市委常委、常务副市长张克，镇江市副市长殷敏，德国海外商会联盟大中华区副总裁舒友涵等出席相关活动。</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32</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家德国贸促机构、跨国公司以及镇江有关部门和企业近</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150</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名代表参加活动。</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5"/>
        <w:jc w:val="left"/>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德企</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镇江行</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活动期间，还举办了镇江投资推介会、镇江新区推介交流会。王善华对德国嘉宾的到来表示欢迎，并简要介绍了江苏与德国经贸交流情况。他表示，德国是江苏在欧洲最重要的贸易伙伴、外资来源地、投资目的地之一。镇江是长三角地区重要的先进制造业基地。江苏省贸促会将一如既往支持镇江发挥自身优势，加快推进传统产业升级、新兴产业壮大、未来产业培育，集聚国内外要素资源，进一步扩大开放。</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5"/>
        <w:jc w:val="left"/>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丛苏峰表示，希望通过这次德企</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镇江行</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活动，进一步激发双方创新合作新动能，深挖绿色合作新机遇。期待德国企业不断加强新能源、人工智能、数字化等新领域的合作，依托江苏良好的营商环境，实现产业链供应链合作共赢。</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5"/>
        <w:jc w:val="left"/>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舒友涵表示，德国在科技创新、高端制造等领域的先进技术和成熟经验，通过此次活动，感受到镇江在新能源、新材料等领域优势明显，希望同镇江的交流沟通富有成效。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5"/>
        <w:jc w:val="left"/>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林德公司大中华区政府事务和大客户资深经理曾琦诚表示，林德十分看好中国市场和镇江的投资环境，将加大在镇江的投资力度，为镇江更多领域的新质生产力提供优质服务。</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5"/>
        <w:jc w:val="left"/>
        <w:textAlignment w:val="auto"/>
        <w:outlineLvl w:val="9"/>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目前，镇江与德国在高端装备制造、新能源等领域合作广泛，已有</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27</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家德资企业在镇江稳步发展，镇江的</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20</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家企业也在德国进行投资，动力电池、五金工具等产品远销德国，德国是镇江在欧洲最主要的贸易伙伴。会上，举行了镇江市招商大使聘任仪式。同时，镇江市现场还签约了</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2024</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年</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39</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个质量好、成熟度高的重点产业项目，总投资</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328.5</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亿元。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645"/>
        <w:jc w:val="left"/>
        <w:textAlignment w:val="auto"/>
        <w:outlineLvl w:val="9"/>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在镇江期间，还组织参观考察了孚能科技（镇江）有限公司、巴斯夫特种材料（江苏）有限公司等企业。</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（国际联络部）</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省贸促会领导出席</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中国国际商会长三角国际商会联盟</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联席会暨“名企嘉善行”活动</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3月25—26日，省贸促会（省国际商会）会长王善华、二级巡视员黄政出席在浙江嘉善举行的中国国际商会长三角国际商会联盟联席会暨“名企嘉善行”活动。中国国际商会秘书长孙晓到会讲话。</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王善华在长三角国际商会联盟联席会上感谢中国国际商会的大力指导和各成员单位对江苏工作的关心支持。作为长三角国际商会联盟2023年轮值主席单位，江苏省国际商会一年来围绕“一体化”“高质量”，积极推动长三角国际商会增强系统合力、加强合作交流、服务会员发展。他表示，江苏省贸促会（江苏省国际商会）将一如既往地支持联盟各项工作开展，积极配合新一届轮值主席单位加强长三角国际商会合作，在塑造开放型经济新优势的过程中发挥更大作用，以一域之光为全局添彩。</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长三角地区国际商会代表围绕各地特色品牌活动，就做好会员服务、品牌展会及重大经贸活动等方面工作进行了充分交流。浙江省国际商会当选为联盟2024年度轮值主席单位。</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孙晓充分肯定了过去三年长三角国际商会联盟工作取得的成绩，希望各单位深入学习习近平总书记在推进长三角一体化发展座谈会上的重要讲话精神，全力做好长三角国际商会联盟各项工作，积极打造长三角一体化发展的商会联盟样板。</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活动期间，黄政出席长三角国际商会联盟“名企嘉善行”暨嘉善高质量发展推介会，并与联盟发起单位共同发布《长三角国际商会联盟关于支持参与长三角生态绿色一体化发展倡议书》。</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省贸促会（省国际商会）组织苏州、无锡等地国际商会及会员企业代表参加活动，并赴园区、企业考察交流。</w:t>
      </w:r>
    </w:p>
    <w:p>
      <w:pPr>
        <w:keepNext w:val="0"/>
        <w:keepLines w:val="0"/>
        <w:pageBreakBefore w:val="0"/>
        <w:kinsoku/>
        <w:wordWrap/>
        <w:overflowPunct/>
        <w:topLinePunct w:val="0"/>
        <w:autoSpaceDE/>
        <w:autoSpaceDN/>
        <w:bidi w:val="0"/>
        <w:adjustRightInd/>
        <w:snapToGrid/>
        <w:spacing w:line="240" w:lineRule="auto"/>
        <w:ind w:firstLine="5472" w:firstLineChars="1800"/>
        <w:textAlignment w:val="auto"/>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（国际商会秘书处）</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省贸促会领导会见越南工贸部代表团</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3月26日下午，省贸促会副会长丛苏峰会见来访的越南工贸部亚洲-非洲市场司副司长苏玉山一行。双方就加强江苏与越南经贸合作进行深入交流。</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丛苏峰简要回顾彼此合作情况，表示近年来双方持续深化贸易投资往来，合作成果丰硕，互利共赢凸显，希望双方继续发挥地缘相近、产业互补的优势，支持双方企业开拓国际市场。他同时邀请越南相关机构和企业参加中国国际供应链促进博览会、中国（淮安）国际食品博览会等品牌活动。</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苏玉山感谢江苏省贸促会多年来对越南工贸部工作的支持。为落实两国领导人高层互访成果，推动政府间合作交流，他建议双方大力推进经贸合作，并重点推介越南产业链博览会、国际物流博览会等情况。</w:t>
      </w:r>
    </w:p>
    <w:p>
      <w:pPr>
        <w:ind w:firstLine="608" w:firstLineChars="200"/>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应越方要求，省贸促会邀请江苏省农业国际交流协会、江苏省农产品进出口企业协会、江苏省南通市品康商贸有限公司相关负责人围绕扩大农产品、食品和日用品进出口贸易与越南工贸部代表团进行了交流。</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（国际联络部）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caps w:val="0"/>
          <w:color w:val="333333"/>
          <w:spacing w:val="0"/>
          <w:sz w:val="27"/>
          <w:szCs w:val="27"/>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caps w:val="0"/>
          <w:color w:val="333333"/>
          <w:spacing w:val="0"/>
          <w:sz w:val="27"/>
          <w:szCs w:val="27"/>
          <w:shd w:val="clear" w:fill="FFFFFF"/>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省贸促会领导带队赴浙江调研</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3月26—27日，省贸促会秘书长杜培军带队赴浙江调研，旨在学习借鉴兄弟省市涉外法律服务经验，更好地参与江苏省涉外法律服务高质量发展先导区建设。</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浙江省贸促会副会长林炜就聚焦商事法律服务差异化发展贸促品牌、以法律服务赋能机构建设以及多点宣传提升贸促影响力等方面作了深入细致的介绍。</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在“枫桥经验”发源地绍兴，绍兴市贸促会副会长王剑文重点介绍了绍兴调解中心设立情况以及如何创新开展涉外纠纷调解、发展好新时代“枫桥经验”等工作经验。</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杜培军表示，希望两省市贸促会以此为契机，深化交流合作，互学共鉴先进经验做法，更好地以优质商事法律服务促进地方与区域经济高质量发展。</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（法律事务部）</w:t>
      </w: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河北省贸促会来访</w:t>
      </w:r>
    </w:p>
    <w:p>
      <w:pPr>
        <w:keepNext w:val="0"/>
        <w:keepLines w:val="0"/>
        <w:pageBreakBefore w:val="0"/>
        <w:kinsoku/>
        <w:wordWrap/>
        <w:overflowPunct/>
        <w:topLinePunct w:val="0"/>
        <w:autoSpaceDE/>
        <w:autoSpaceDN/>
        <w:bidi w:val="0"/>
        <w:adjustRightInd/>
        <w:snapToGrid/>
        <w:spacing w:line="240" w:lineRule="auto"/>
        <w:ind w:firstLine="608" w:firstLineChars="200"/>
        <w:textAlignment w:val="auto"/>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3月25日下午，省贸促会秘书长杜培军与到访的河北省贸促会副会长任玉坤一行座谈交流。</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任玉坤介绍了近年来河北省贸促会商事法律工作情况，重点交流2023中国国际地理标志品牌合作大会、河北省涉外商事法律服务联盟等亮点工作，希望进一步加强合作，共同推动贸促商法事业高质量发展。</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杜培军介绍了江苏省贸促会商事法律工作情况，重点就涉外商事调解、FTA宣传推广、知识产权保护以及服务自贸试验区建设等方面进行交流。</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双方表示在贸促工作“一盘棋”大格局下，两省贸促系统将进一步深化合作，持续贯彻落实习近平总书记关于加强涉外法治建设的指示精神，优化涉外商事法律服务，以更高水平对外开放促进新质生产力快速发展。</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（法律事务部）</w:t>
      </w:r>
    </w:p>
    <w:p>
      <w:pPr>
        <w:jc w:val="cente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jc w:val="center"/>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南京市贸促会赴江苏苏豪控股集团调研</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3月19日，南京市贸促会会长梁洁带队赴江苏苏豪控股集团有限公司开展调研座谈，与公司副总裁晋永甫进行深入交流。</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座谈中，双方主要围绕两个方面展开合作商洽：一是聚焦政策导向，加快培育新质生产力，扩大国际交流，发挥龙头企业优势稳定产业链供应链，抢抓新机遇塑造新动能，加速建设世界一流企业；二是聚力优势资源，加快推进会展经济，强链补链营造会展新生态，创新会展发展模式，加强投资贸易促进，推动会展生产性服务业高质量发展。</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双方表示，将紧密合作加快发展新质生产力生动实践，为打造具有世界聚合力双向枢纽城市作出积极贡献。</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（南京市贸促会）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泰州贸促会组织企业参加</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福州、深圳跨境电商展</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3月</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18</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日至</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20</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2024</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中国跨境电商交易会（春季）（简称福州展）在福州海陕国际会展中心举办，泰州市商务局、贸促会共组织</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13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家企业参展；</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月</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20</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日至</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22</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日，第三届</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CHWE</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出海网全球跨境电商展（深圳）在深圳会展中心（福田）举办，泰州市</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7</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家企业组团参展，展品涉及日用消费品、体育户外休闲用品、宠物用品、大健康产品等。展会期间，泰州企业吸引了全球各地新老客商驻足洽谈，福州展接待客商</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900</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多人次，深圳跨境电商展接待客商</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400</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多人次，现场成交订单</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60</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万美元左右。</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下一步，泰州市贸促会将继续组织企业参加中国（宁波）出口跨境电商博览会、南通跨境电商选品会、长三角跨境电商交易会等跨境电商及电商专题展会，大力支持跨境电商发展，不断推动泰州外贸量质双提升。</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（泰州市贸促会）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ascii="黑体" w:hAnsi="宋体" w:eastAsia="黑体" w:cs="黑体"/>
          <w:b/>
          <w:color w:val="000000"/>
          <w:sz w:val="36"/>
          <w:szCs w:val="36"/>
        </w:rPr>
      </w:pPr>
      <w:r>
        <w:rPr>
          <w:rFonts w:hint="eastAsia" w:ascii="Times New Roman" w:hAnsi="Times New Roman" w:eastAsia="经典行楷简" w:cs="Times New Roman"/>
          <w:color w:val="2E75B6" w:themeColor="accent1" w:themeShade="BF"/>
          <w:spacing w:val="0"/>
          <w:kern w:val="2"/>
          <w:sz w:val="52"/>
          <w:szCs w:val="52"/>
          <w:lang w:val="en-US" w:eastAsia="zh-CN" w:bidi="ar-SA"/>
        </w:rPr>
        <w:t>扬州贸促会与江苏省照明商会联合开展政策业务宣讲活动</w:t>
      </w:r>
    </w:p>
    <w:p>
      <w:pPr>
        <w:ind w:firstLine="608" w:firstLineChars="200"/>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为</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帮助江苏省照明商会常务副会长单位及部分会员企业了解全球市场发展趋势，开拓国际市场、提高产品国际竞争力，3月24日，</w:t>
      </w:r>
      <w:r>
        <w:rPr>
          <w:rFonts w:hint="eastAsia" w:ascii="Times New Roman" w:hAnsi="Times New Roman" w:cstheme="minorEastAsia"/>
          <w:i w:val="0"/>
          <w:caps w:val="0"/>
          <w:color w:val="333333"/>
          <w:spacing w:val="0"/>
          <w:kern w:val="0"/>
          <w:sz w:val="32"/>
          <w:szCs w:val="32"/>
          <w:shd w:val="clear" w:fill="FFFFFF"/>
          <w:lang w:val="en-US" w:eastAsia="zh-CN" w:bidi="ar"/>
        </w:rPr>
        <w:t>扬州市贸促会</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韩世来副会长、潘阳春秘书长率领商事认证服务中心和国际商务经贸中心负责人赴高邮高新区开展境外展政策和出证认证业务宣讲活动。</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座谈会上，韩世来副会长介绍了</w:t>
      </w:r>
      <w:r>
        <w:rPr>
          <w:rFonts w:hint="eastAsia" w:ascii="Times New Roman" w:hAnsi="Times New Roman" w:cstheme="minorEastAsia"/>
          <w:i w:val="0"/>
          <w:caps w:val="0"/>
          <w:color w:val="333333"/>
          <w:spacing w:val="0"/>
          <w:kern w:val="0"/>
          <w:sz w:val="32"/>
          <w:szCs w:val="32"/>
          <w:shd w:val="clear" w:fill="FFFFFF"/>
          <w:lang w:val="en-US" w:eastAsia="zh-CN" w:bidi="ar"/>
        </w:rPr>
        <w:t>贸促会</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主要工作职能</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，国际商务经贸中心结合企业需求详细介绍国际电力照明展</w:t>
      </w:r>
      <w:r>
        <w:rPr>
          <w:rFonts w:hint="eastAsia" w:ascii="Times New Roman" w:hAnsi="Times New Roman" w:cstheme="minorEastAsia"/>
          <w:i w:val="0"/>
          <w:caps w:val="0"/>
          <w:color w:val="333333"/>
          <w:spacing w:val="0"/>
          <w:kern w:val="0"/>
          <w:sz w:val="32"/>
          <w:szCs w:val="32"/>
          <w:shd w:val="clear" w:fill="FFFFFF"/>
          <w:lang w:val="en-US" w:eastAsia="zh-CN" w:bidi="ar"/>
        </w:rPr>
        <w:t>并就</w:t>
      </w: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境外展扶持政策做了细致说明，商事认证服务中心围绕贸促会商事认证业务如何为企业更好开拓国际市场降本增效等进行宣讲。</w:t>
      </w:r>
    </w:p>
    <w:p>
      <w:pPr>
        <w:ind w:firstLine="608" w:firstLineChars="200"/>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省照明商会会员单位星慧照明工程集团、江苏现代照明集团、宝典电气集团、江苏旭祥光伏科技发展有限公司等企业参加了此次活动。</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（扬州市贸促会）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95" w:beforeAutospacing="0" w:after="0" w:afterAutospacing="0" w:line="240" w:lineRule="auto"/>
        <w:ind w:left="0" w:right="0" w:firstLine="435"/>
        <w:jc w:val="left"/>
        <w:rPr>
          <w:rFonts w:hint="default" w:ascii="Helvetica" w:hAnsi="Helvetica" w:eastAsia="Helvetica" w:cs="Helvetica"/>
          <w:color w:val="212529"/>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宿迁市贸促会领导深入企业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调研推动稳外贸工作</w:t>
      </w:r>
    </w:p>
    <w:p>
      <w:pPr>
        <w:pStyle w:val="5"/>
        <w:keepNext w:val="0"/>
        <w:keepLines w:val="0"/>
        <w:widowControl/>
        <w:suppressLineNumbers w:val="0"/>
        <w:spacing w:before="75" w:beforeAutospacing="0" w:after="75" w:afterAutospacing="0" w:line="555" w:lineRule="atLeast"/>
        <w:ind w:left="0" w:right="0" w:firstLine="555"/>
        <w:jc w:val="left"/>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t>3月22</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日下午，宿迁市贸促会会长章程赴新亚强、逸达新材料、宙际杰等重点外贸企业开展调研，就企业生产经营、用好外贸政策、开拓国际市场等情况进行深入交流，认真倾听了企业发展中遇到的问题，并表示将发挥贸促会职能为企业提供帮助和服务。</w:t>
      </w:r>
    </w:p>
    <w:p>
      <w:pPr>
        <w:pStyle w:val="5"/>
        <w:keepNext w:val="0"/>
        <w:keepLines w:val="0"/>
        <w:widowControl/>
        <w:suppressLineNumbers w:val="0"/>
        <w:spacing w:before="75" w:beforeAutospacing="0" w:after="75" w:afterAutospacing="0" w:line="555" w:lineRule="atLeast"/>
        <w:ind w:left="0" w:right="0" w:firstLine="555"/>
        <w:jc w:val="left"/>
        <w:rPr>
          <w:rFonts w:hint="default" w:ascii="Times New Roman" w:hAnsi="Times New Roman" w:eastAsiaTheme="minorEastAsia" w:cstheme="minorEastAsia"/>
          <w:i w:val="0"/>
          <w:caps w:val="0"/>
          <w:color w:val="333333"/>
          <w:spacing w:val="0"/>
          <w:kern w:val="0"/>
          <w:sz w:val="32"/>
          <w:szCs w:val="32"/>
          <w:shd w:val="clear" w:fill="FFFFFF"/>
          <w:lang w:val="en-US" w:eastAsia="zh-CN" w:bidi="ar"/>
        </w:rPr>
      </w:pP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调研期间，章程会长了解了宿豫区申请成立贸促机构进展等情况，推动</w:t>
      </w:r>
      <w:r>
        <w:rPr>
          <w:rFonts w:hint="eastAsia" w:ascii="Times New Roman" w:hAnsi="Times New Roman" w:cstheme="minorEastAsia"/>
          <w:i w:val="0"/>
          <w:caps w:val="0"/>
          <w:color w:val="333333"/>
          <w:spacing w:val="0"/>
          <w:kern w:val="0"/>
          <w:sz w:val="32"/>
          <w:szCs w:val="32"/>
          <w:shd w:val="clear" w:fill="FFFFFF"/>
          <w:lang w:val="en-US" w:eastAsia="zh-CN" w:bidi="ar"/>
        </w:rPr>
        <w:t>宿迁</w:t>
      </w:r>
      <w:r>
        <w:rPr>
          <w:rFonts w:hint="eastAsia" w:ascii="Times New Roman" w:hAnsi="Times New Roman" w:eastAsiaTheme="minorEastAsia" w:cstheme="minorEastAsia"/>
          <w:i w:val="0"/>
          <w:caps w:val="0"/>
          <w:color w:val="333333"/>
          <w:spacing w:val="0"/>
          <w:kern w:val="0"/>
          <w:sz w:val="32"/>
          <w:szCs w:val="32"/>
          <w:shd w:val="clear" w:fill="FFFFFF"/>
          <w:lang w:val="en-US" w:eastAsia="zh-CN" w:bidi="ar"/>
        </w:rPr>
        <w:t>实现县区贸促机构全覆盖。</w:t>
      </w:r>
      <w:r>
        <w:rPr>
          <w:rFonts w:hint="eastAsia" w:ascii="Times New Roman" w:hAnsi="Times New Roman" w:cstheme="minorEastAsia"/>
          <w:i w:val="0"/>
          <w:caps w:val="0"/>
          <w:color w:val="333333"/>
          <w:spacing w:val="0"/>
          <w:kern w:val="0"/>
          <w:sz w:val="32"/>
          <w:szCs w:val="32"/>
          <w:shd w:val="clear" w:fill="FFFFFF"/>
          <w:lang w:val="en-US" w:eastAsia="zh-CN" w:bidi="ar"/>
        </w:rPr>
        <w:t xml:space="preserve">  </w:t>
      </w:r>
      <w:r>
        <w:rPr>
          <w:rFonts w:hint="eastAsia" w:ascii="方正楷体_GBK" w:hAnsi="方正楷体_GBK" w:eastAsia="方正楷体_GBK" w:cs="方正楷体_GBK"/>
          <w:b/>
          <w:bCs/>
          <w:color w:val="FF0000"/>
          <w:spacing w:val="0"/>
          <w:kern w:val="2"/>
          <w:sz w:val="32"/>
          <w:szCs w:val="32"/>
          <w:lang w:val="en-US" w:eastAsia="zh-CN" w:bidi="ar-SA"/>
        </w:rPr>
        <w:t>（宿迁市贸促会）</w:t>
      </w:r>
    </w:p>
    <w:p>
      <w:pPr>
        <w:jc w:val="cente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jc w:val="cente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jc w:val="cente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rPr>
          <w:rFonts w:hint="default"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仿宋_GB2312" w:hAnsi="宋体" w:eastAsia="仿宋_GB2312" w:cs="仿宋_GB2312"/>
          <w:color w:val="000000"/>
          <w:sz w:val="31"/>
          <w:szCs w:val="31"/>
          <w:lang w:val="en-US" w:eastAsia="zh-CN"/>
        </w:rPr>
      </w:pPr>
    </w:p>
    <w:p>
      <w:pPr>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央视《朝闻天下》深度报道恒力集团新质生产力发展成果</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w:t>
      </w:r>
      <w:r>
        <w:rPr>
          <w:rFonts w:hint="default" w:ascii="Times New Roman" w:hAnsi="Times New Roman" w:eastAsiaTheme="minorEastAsia" w:cstheme="minorEastAsia"/>
          <w:i w:val="0"/>
          <w:caps w:val="0"/>
          <w:color w:val="000000"/>
          <w:spacing w:val="0"/>
          <w:sz w:val="32"/>
          <w:szCs w:val="32"/>
          <w:lang w:val="en-US" w:eastAsia="zh-CN"/>
        </w:rPr>
        <w:t>日，中央电视台新闻频道《朝闻天下》栏目播出专题节目《发展新质生产力</w:t>
      </w:r>
      <w:r>
        <w:rPr>
          <w:rFonts w:hint="eastAsia" w:ascii="方正仿宋_GBK" w:hAnsi="方正仿宋_GBK" w:eastAsia="方正仿宋_GBK" w:cs="方正仿宋_GBK"/>
          <w:i w:val="0"/>
          <w:caps w:val="0"/>
          <w:color w:val="000000"/>
          <w:spacing w:val="0"/>
          <w:sz w:val="32"/>
          <w:szCs w:val="32"/>
          <w:lang w:val="en-US" w:eastAsia="zh-CN"/>
        </w:rPr>
        <w:t>·</w:t>
      </w:r>
      <w:r>
        <w:rPr>
          <w:rFonts w:hint="default" w:ascii="Times New Roman" w:hAnsi="Times New Roman" w:eastAsiaTheme="minorEastAsia" w:cstheme="minorEastAsia"/>
          <w:i w:val="0"/>
          <w:caps w:val="0"/>
          <w:color w:val="000000"/>
          <w:spacing w:val="0"/>
          <w:sz w:val="32"/>
          <w:szCs w:val="32"/>
          <w:lang w:val="en-US" w:eastAsia="zh-CN"/>
        </w:rPr>
        <w:t>一线观察》，对</w:t>
      </w:r>
      <w:r>
        <w:rPr>
          <w:rFonts w:hint="eastAsia" w:ascii="Times New Roman" w:hAnsi="Times New Roman" w:eastAsiaTheme="minorEastAsia" w:cstheme="minorEastAsia"/>
          <w:i w:val="0"/>
          <w:caps w:val="0"/>
          <w:color w:val="000000"/>
          <w:spacing w:val="0"/>
          <w:sz w:val="32"/>
          <w:szCs w:val="32"/>
          <w:lang w:val="en-US" w:eastAsia="zh-CN"/>
        </w:rPr>
        <w:t>我会副会长单位——</w:t>
      </w:r>
      <w:r>
        <w:rPr>
          <w:rFonts w:hint="default" w:ascii="Times New Roman" w:hAnsi="Times New Roman" w:eastAsiaTheme="minorEastAsia" w:cstheme="minorEastAsia"/>
          <w:i w:val="0"/>
          <w:caps w:val="0"/>
          <w:color w:val="000000"/>
          <w:spacing w:val="0"/>
          <w:sz w:val="32"/>
          <w:szCs w:val="32"/>
          <w:lang w:val="en-US" w:eastAsia="zh-CN"/>
        </w:rPr>
        <w:t>恒力集团有限公司将创新“因子”织进面料里，全力以赴发展新质生产力进行深度报道。</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Times New Roman" w:hAnsi="Times New Roman" w:eastAsiaTheme="minorEastAsia" w:cstheme="minorEastAsia"/>
          <w:i w:val="0"/>
          <w:caps w:val="0"/>
          <w:color w:val="000000"/>
          <w:spacing w:val="0"/>
          <w:sz w:val="32"/>
          <w:szCs w:val="32"/>
          <w:lang w:val="en-US" w:eastAsia="zh-CN"/>
        </w:rPr>
      </w:pPr>
      <w:r>
        <w:rPr>
          <w:rFonts w:hint="default" w:ascii="Times New Roman" w:hAnsi="Times New Roman" w:eastAsiaTheme="minorEastAsia" w:cstheme="minorEastAsia"/>
          <w:i w:val="0"/>
          <w:caps w:val="0"/>
          <w:color w:val="000000"/>
          <w:spacing w:val="0"/>
          <w:sz w:val="32"/>
          <w:szCs w:val="32"/>
          <w:lang w:val="en-US" w:eastAsia="zh-CN"/>
        </w:rPr>
        <w:t>在恒力集团高性能工业丝生产车间，记者了解到恒力集团40万吨/年工业丝项目正在分步投产，届时，恒力将成为全球最大的工业丝智能化生产基地之一，工业丝产量约占全球的三分之一。除了产业规模之大，恒力集团在技术创新方面也“卷”出了新赛道，是全球唯一一家可以直接生产8000旦以上超粗工业丝和7旦以下超细纤维的智能化工厂。随着创新脚步的不断加快，企业人员结构正在进行深度变化，除了纺织专业的技术岗位，企业还增加了不少信息技术、软件工程、人工智能和数据分析等新岗位，进一步推动纺织产业集群实现创新链和产业链的高度融合。</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年来，恒力集团正以融合创新为抓手，持续进行全产业链生产线智能化改造，大力发展新能源、新材料等新质生产力，进一步促进制造业高端化、智能化、绿色化发展。未来，恒力集团将围绕“新质生产力”布局产业链，积极培育战略性新兴产业，形成完善的现代化产业体系，为高质量发展持续注入澎湃动能。</w:t>
      </w:r>
    </w:p>
    <w:p>
      <w:pPr>
        <w:spacing w:line="440" w:lineRule="exact"/>
        <w:ind w:firstLine="608" w:firstLineChars="200"/>
        <w:jc w:val="right"/>
        <w:rPr>
          <w:rFonts w:hint="eastAsia" w:ascii="Times New Roman" w:hAnsi="Times New Roman" w:eastAsia="方正楷体_GBK" w:cs="Times New Roman"/>
          <w:bCs/>
          <w:sz w:val="32"/>
          <w:szCs w:val="32"/>
          <w:lang w:val="en-US" w:eastAsia="zh-CN"/>
        </w:rPr>
      </w:pP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恒力集团官网）</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华文新魏" w:cs="Times New Roman"/>
          <w:b/>
          <w:bCs w:val="0"/>
          <w:color w:val="FF0000"/>
          <w:spacing w:val="28"/>
          <w:kern w:val="36"/>
          <w:sz w:val="52"/>
          <w:szCs w:val="52"/>
          <w:lang w:val="en-US" w:eastAsia="zh-CN" w:bidi="ar-SA"/>
        </w:rPr>
      </w:pPr>
      <w:r>
        <w:rPr>
          <w:rFonts w:hint="eastAsia" w:ascii="Times New Roman" w:hAnsi="Times New Roman" w:eastAsia="华文新魏" w:cs="Times New Roman"/>
          <w:b/>
          <w:bCs w:val="0"/>
          <w:color w:val="FF0000"/>
          <w:spacing w:val="28"/>
          <w:kern w:val="36"/>
          <w:sz w:val="52"/>
          <w:szCs w:val="52"/>
          <w:lang w:val="en-US" w:eastAsia="zh-CN" w:bidi="ar-SA"/>
        </w:rPr>
        <w:t>雅迪实力入选江苏省制造业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default" w:ascii="Times New Roman" w:hAnsi="Times New Roman" w:eastAsia="华文新魏" w:cs="Times New Roman"/>
          <w:b/>
          <w:bCs w:val="0"/>
          <w:color w:val="FF0000"/>
          <w:spacing w:val="28"/>
          <w:kern w:val="36"/>
          <w:sz w:val="52"/>
          <w:szCs w:val="52"/>
          <w:lang w:val="en-US" w:eastAsia="zh-CN" w:bidi="ar-SA"/>
        </w:rPr>
      </w:pPr>
      <w:r>
        <w:rPr>
          <w:rFonts w:hint="eastAsia" w:ascii="Times New Roman" w:hAnsi="Times New Roman" w:eastAsia="华文新魏" w:cs="Times New Roman"/>
          <w:b/>
          <w:bCs w:val="0"/>
          <w:color w:val="FF0000"/>
          <w:spacing w:val="28"/>
          <w:kern w:val="36"/>
          <w:sz w:val="52"/>
          <w:szCs w:val="52"/>
          <w:lang w:val="en-US" w:eastAsia="zh-CN" w:bidi="ar-SA"/>
        </w:rPr>
        <w:t>领航企业</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default" w:ascii="Times New Roman" w:hAnsi="Times New Roman" w:eastAsiaTheme="minorEastAsia" w:cstheme="minorEastAsia"/>
          <w:i w:val="0"/>
          <w:caps w:val="0"/>
          <w:color w:val="000000"/>
          <w:spacing w:val="0"/>
          <w:sz w:val="32"/>
          <w:szCs w:val="32"/>
          <w:lang w:val="en-US" w:eastAsia="zh-CN"/>
        </w:rPr>
        <w:t>近日，江苏省工信厅公示2024首批省级制造业领航企业名单，制造业领航企业是引领产业创新发展、为加快制造业向高端化、智能化、绿色化不断攀升的发展旗帜。</w:t>
      </w:r>
      <w:r>
        <w:rPr>
          <w:rFonts w:hint="eastAsia" w:ascii="Times New Roman" w:hAnsi="Times New Roman" w:eastAsiaTheme="minorEastAsia" w:cstheme="minorEastAsia"/>
          <w:i w:val="0"/>
          <w:caps w:val="0"/>
          <w:color w:val="000000"/>
          <w:spacing w:val="0"/>
          <w:sz w:val="32"/>
          <w:szCs w:val="32"/>
          <w:lang w:val="en-US" w:eastAsia="zh-CN"/>
        </w:rPr>
        <w:t>我会副会长单位——雅迪科技集团有限公司凭借自身品牌综合硬实力成为行业唯一成功入选的电动两轮车企业，绝对领航地位获权威认证。</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default" w:ascii="Times New Roman" w:hAnsi="Times New Roman" w:eastAsiaTheme="minorEastAsia" w:cstheme="minorEastAsia"/>
          <w:i w:val="0"/>
          <w:caps w:val="0"/>
          <w:color w:val="000000"/>
          <w:spacing w:val="0"/>
          <w:sz w:val="32"/>
          <w:szCs w:val="32"/>
          <w:lang w:val="en-US" w:eastAsia="zh-CN"/>
        </w:rPr>
        <w:t>作为中国两轮电动车行业领导品牌，</w:t>
      </w:r>
      <w:r>
        <w:rPr>
          <w:rFonts w:hint="eastAsia" w:ascii="Times New Roman" w:hAnsi="Times New Roman" w:eastAsiaTheme="minorEastAsia" w:cstheme="minorEastAsia"/>
          <w:i w:val="0"/>
          <w:caps w:val="0"/>
          <w:color w:val="000000"/>
          <w:spacing w:val="0"/>
          <w:sz w:val="32"/>
          <w:szCs w:val="32"/>
          <w:lang w:val="en-US" w:eastAsia="zh-CN"/>
        </w:rPr>
        <w:t>雅迪始终致力于不断夯实科技底座，通过科技研发、数字智造、领先行业的产品和以用户为中心的服务引领行业前行。截至目前，雅迪共在全球设立8大产研基地，拥有行业规模最大的智能生产制造基地、众多汽车级生产制造工艺及设备，获得超1900项专利。</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default" w:ascii="Times New Roman" w:hAnsi="Times New Roman" w:eastAsiaTheme="minorEastAsia" w:cstheme="minorEastAsia"/>
          <w:i w:val="0"/>
          <w:caps w:val="0"/>
          <w:color w:val="000000"/>
          <w:spacing w:val="0"/>
          <w:sz w:val="32"/>
          <w:szCs w:val="32"/>
          <w:lang w:val="en-US" w:eastAsia="zh-CN"/>
        </w:rPr>
        <w:t>雅迪始终秉承以用户为中心的理念，以绿色为发展底色。在全球布局超4万家服务网点，旨为用户提供更便捷的服务。更成为行业唯一荣膺七星级服务认证体系的品牌，持续以至臻服务树立行业标杆，带动行业服务不断向上。接连获得行业首张“碳足迹”证书、“产品碳标签评价”证书。</w:t>
      </w:r>
      <w:r>
        <w:rPr>
          <w:rFonts w:hint="eastAsia" w:ascii="Times New Roman" w:hAnsi="Times New Roman" w:eastAsiaTheme="minorEastAsia" w:cstheme="minorEastAsia"/>
          <w:i w:val="0"/>
          <w:caps w:val="0"/>
          <w:color w:val="000000"/>
          <w:spacing w:val="0"/>
          <w:sz w:val="32"/>
          <w:szCs w:val="32"/>
          <w:lang w:val="en-US" w:eastAsia="zh-CN"/>
        </w:rPr>
        <w:t>积极为全球用户绘就美好绿色出行样本，为全球环保事业做出巨大贡献。</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方正楷体_GBK" w:hAnsi="方正楷体_GBK" w:eastAsia="方正楷体_GBK" w:cs="方正楷体_GBK"/>
          <w:b/>
          <w:bCs/>
          <w:color w:val="FF0000"/>
          <w:sz w:val="32"/>
          <w:szCs w:val="32"/>
          <w:lang w:val="en-US" w:eastAsia="zh-CN"/>
        </w:rPr>
      </w:pPr>
      <w:r>
        <w:rPr>
          <w:rFonts w:hint="default" w:ascii="Times New Roman" w:hAnsi="Times New Roman" w:eastAsiaTheme="minorEastAsia" w:cstheme="minorEastAsia"/>
          <w:i w:val="0"/>
          <w:caps w:val="0"/>
          <w:color w:val="000000"/>
          <w:spacing w:val="0"/>
          <w:sz w:val="32"/>
          <w:szCs w:val="32"/>
          <w:lang w:val="en-US" w:eastAsia="zh-CN"/>
        </w:rPr>
        <w:t>目前，雅迪已成为全球100个国家、超8000万用户的共同选择。此次入选“省级制造业领航企业”正是对雅迪领航实力的高度肯定。未来，雅迪将持续主动担负起领航者使命，不断在高端化、智能化、绿色化等领域推动技术革新，以创新科技赋能，让亿万人享受美好出行。</w:t>
      </w:r>
      <w:r>
        <w:rPr>
          <w:rFonts w:hint="eastAsia" w:ascii="Times New Roman" w:hAnsi="Times New Roman"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color w:val="FF0000"/>
          <w:sz w:val="32"/>
          <w:szCs w:val="32"/>
          <w:lang w:val="en-US" w:eastAsia="zh-CN"/>
        </w:rPr>
        <w:t xml:space="preserve">  </w:t>
      </w: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雅迪科技集团微信公众号</w:t>
      </w:r>
      <w:r>
        <w:rPr>
          <w:rFonts w:hint="default" w:ascii="方正楷体_GBK" w:hAnsi="方正楷体_GBK" w:eastAsia="方正楷体_GBK" w:cs="方正楷体_GBK"/>
          <w:b/>
          <w:bCs/>
          <w:color w:val="FF0000"/>
          <w:sz w:val="32"/>
          <w:szCs w:val="32"/>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color w:val="FF0000"/>
          <w:spacing w:val="0"/>
          <w:kern w:val="36"/>
          <w:sz w:val="52"/>
          <w:szCs w:val="52"/>
          <w:lang w:val="en-US" w:eastAsia="zh-CN" w:bidi="ar-SA"/>
        </w:rPr>
        <w:t>中国制造网入驻全球跨境电商“三中心” 携inQbrands深化海外仓业务合作</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近日，我会副会长单位——焦点科技股份有限公司旗下中国制造网（以下简称“MIC国际站”）受邀参与“创新融合·聚势共赢”2024全球跨境电商“三中心”（以下简称“三中心”）年会，现场与“三中心”正式签署入驻协议。同时，焦点科技股份有限公司全资子公司inQbrands Inc.与“三中心”达成海外仓业务战略合作，通过提供一站式跨境电商解决方案和海外仓服务，助力中国外贸企业进军海外市场。</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作为焦点科技旗下贸易服务生态圈中的重要品牌，inQbrands致力于为出口企业提供全面、细致的跨境落地解决方案，通过在品牌策划、供应链管理、营销推广、全渠道销售、仓储物流整合等环节的打造，为中国中小企业提供聚焦北美市场的一站式跨境出海全流程服务，助力中国企业畅行海外。值得一提的是，inQbrands不仅拥有江苏省级公共海外仓，还与北美几十家大中型连锁商超、美国本土线下中小批发商、零售商达成了合作。</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此次战略合作，“三中心”将在inQbrands位于洛杉矶的海外仓中悬挂“全球跨境电商三中心（洛杉矶）专属仓”标识，双方将充分发挥资源优势，强强联合、资源共享，助力中国制造在国际市场行稳致远。</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r>
        <w:rPr>
          <w:rFonts w:hint="eastAsia" w:ascii="Times New Roman" w:hAnsi="Times New Roman" w:eastAsiaTheme="minorEastAsia" w:cstheme="minorEastAsia"/>
          <w:i w:val="0"/>
          <w:caps w:val="0"/>
          <w:color w:val="000000"/>
          <w:spacing w:val="0"/>
          <w:sz w:val="32"/>
          <w:szCs w:val="32"/>
          <w:lang w:val="en-US" w:eastAsia="zh-CN"/>
        </w:rPr>
        <w:t>商务部数据显示，目前，我国跨境电商主体已超10万家，5年来，我国跨境电商规模增长近10倍。MIC国际站是中国最早一批帮助中国中小企业出海的跨境B2B平台，见证了中国跨境B2B从信息展示走向线上交易的转变，自身也逐渐从传统的信息平台转向外贸全链路平台。未来，MIC国际站、inQbrands将通过与“三中心”的合作，携手共进，引领更多中国企业走向世界舞台。</w:t>
      </w:r>
    </w:p>
    <w:p>
      <w:pPr>
        <w:spacing w:line="440" w:lineRule="exact"/>
        <w:jc w:val="right"/>
        <w:rPr>
          <w:rFonts w:hint="default" w:ascii="Times New Roman" w:hAnsi="Times New Roman" w:eastAsia="方正楷体_GBK" w:cs="Times New Roman"/>
          <w:bCs/>
          <w:sz w:val="32"/>
          <w:szCs w:val="32"/>
        </w:rPr>
      </w:pPr>
      <w:r>
        <w:rPr>
          <w:rFonts w:hint="default" w:ascii="方正楷体_GBK" w:hAnsi="方正楷体_GBK" w:eastAsia="方正楷体_GBK" w:cs="方正楷体_GBK"/>
          <w:b/>
          <w:bCs/>
          <w:color w:val="FF0000"/>
          <w:sz w:val="32"/>
          <w:szCs w:val="32"/>
          <w:lang w:val="en-US" w:eastAsia="zh-CN"/>
        </w:rPr>
        <w:t>（来源：</w:t>
      </w:r>
      <w:r>
        <w:rPr>
          <w:rFonts w:hint="eastAsia" w:ascii="方正楷体_GBK" w:hAnsi="方正楷体_GBK" w:eastAsia="方正楷体_GBK" w:cs="方正楷体_GBK"/>
          <w:b/>
          <w:bCs/>
          <w:color w:val="FF0000"/>
          <w:sz w:val="32"/>
          <w:szCs w:val="32"/>
          <w:lang w:val="en-US" w:eastAsia="zh-CN"/>
        </w:rPr>
        <w:t>焦点科技官网</w:t>
      </w:r>
      <w:r>
        <w:rPr>
          <w:rFonts w:hint="default" w:ascii="方正楷体_GBK" w:hAnsi="方正楷体_GBK" w:eastAsia="方正楷体_GBK" w:cs="方正楷体_GBK"/>
          <w:b/>
          <w:bCs/>
          <w:color w:val="FF0000"/>
          <w:sz w:val="32"/>
          <w:szCs w:val="32"/>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210" w:line="580" w:lineRule="exact"/>
        <w:ind w:firstLine="4256" w:firstLineChars="1400"/>
        <w:contextualSpacing/>
        <w:jc w:val="left"/>
        <w:textAlignment w:val="auto"/>
        <w:outlineLvl w:val="1"/>
        <w:rPr>
          <w:rFonts w:hint="default" w:ascii="方正楷体_GBK" w:hAnsi="方正楷体_GBK" w:eastAsia="方正楷体_GBK" w:cs="方正楷体_GBK"/>
          <w:b/>
          <w:bCs/>
          <w:color w:val="FF0000"/>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大标宋_GBK">
    <w:altName w:val="宋体"/>
    <w:panose1 w:val="02000000000000000000"/>
    <w:charset w:val="86"/>
    <w:family w:val="auto"/>
    <w:pitch w:val="default"/>
    <w:sig w:usb0="00000000" w:usb1="00000000" w:usb2="00000000" w:usb3="00000000" w:csb0="00040001" w:csb1="00000000"/>
  </w:font>
  <w:font w:name="方正小标宋_GBK">
    <w:panose1 w:val="03000509000000000000"/>
    <w:charset w:val="86"/>
    <w:family w:val="auto"/>
    <w:pitch w:val="default"/>
    <w:sig w:usb0="00000001" w:usb1="080E0000" w:usb2="00000000" w:usb3="00000000" w:csb0="00040000" w:csb1="00000000"/>
  </w:font>
  <w:font w:name="方正魏碑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18.55pt;height:144pt;width:144pt;mso-position-horizontal-relative:margin;mso-wrap-style:none;z-index:251659264;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kjYdYAAAAIAQAA&#10;DwAAAAAAAAABACAAAAAiAAAAZHJzL2Rvd25yZXYueG1sUEsBAhQAFAAAAAgAh07iQCOFi7YbAgAA&#10;IQQAAA4AAAAAAAAAAQAgAAAAJQEAAGRycy9lMm9Eb2MueG1sUEsFBgAAAAAGAAYAWQEAALIFAAAA&#10;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A092B"/>
    <w:rsid w:val="006B63D3"/>
    <w:rsid w:val="006C0C2E"/>
    <w:rsid w:val="007C2A82"/>
    <w:rsid w:val="007E11E9"/>
    <w:rsid w:val="008B2F92"/>
    <w:rsid w:val="008E3499"/>
    <w:rsid w:val="008F79A9"/>
    <w:rsid w:val="00906A61"/>
    <w:rsid w:val="00962249"/>
    <w:rsid w:val="00A0554E"/>
    <w:rsid w:val="00A55B3B"/>
    <w:rsid w:val="00B35803"/>
    <w:rsid w:val="00B45E3E"/>
    <w:rsid w:val="00C16462"/>
    <w:rsid w:val="00C66488"/>
    <w:rsid w:val="00CA656E"/>
    <w:rsid w:val="00CE04E4"/>
    <w:rsid w:val="00D0085C"/>
    <w:rsid w:val="00D9651F"/>
    <w:rsid w:val="00DB54B3"/>
    <w:rsid w:val="00DF053C"/>
    <w:rsid w:val="00E278B0"/>
    <w:rsid w:val="00FC3867"/>
    <w:rsid w:val="010007F1"/>
    <w:rsid w:val="01123C24"/>
    <w:rsid w:val="01281FA6"/>
    <w:rsid w:val="0129652A"/>
    <w:rsid w:val="012C4A94"/>
    <w:rsid w:val="0134238F"/>
    <w:rsid w:val="01434062"/>
    <w:rsid w:val="014F3F68"/>
    <w:rsid w:val="015A28DE"/>
    <w:rsid w:val="01603797"/>
    <w:rsid w:val="01614C4F"/>
    <w:rsid w:val="016607CF"/>
    <w:rsid w:val="01687C29"/>
    <w:rsid w:val="016C6133"/>
    <w:rsid w:val="016D0719"/>
    <w:rsid w:val="01730647"/>
    <w:rsid w:val="017F7312"/>
    <w:rsid w:val="0183354F"/>
    <w:rsid w:val="018A4341"/>
    <w:rsid w:val="018D1ED5"/>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277DB"/>
    <w:rsid w:val="01CB201F"/>
    <w:rsid w:val="01D01DDD"/>
    <w:rsid w:val="01D83F23"/>
    <w:rsid w:val="01DA121B"/>
    <w:rsid w:val="01E02E8A"/>
    <w:rsid w:val="01EB6FF4"/>
    <w:rsid w:val="01EC6C1A"/>
    <w:rsid w:val="01F43D5D"/>
    <w:rsid w:val="01F53962"/>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B1EF4"/>
    <w:rsid w:val="027D39C5"/>
    <w:rsid w:val="02842B55"/>
    <w:rsid w:val="02850B1B"/>
    <w:rsid w:val="028E239B"/>
    <w:rsid w:val="028E669E"/>
    <w:rsid w:val="02945151"/>
    <w:rsid w:val="02994D24"/>
    <w:rsid w:val="02AA4579"/>
    <w:rsid w:val="02B452E0"/>
    <w:rsid w:val="02B7449E"/>
    <w:rsid w:val="02B93913"/>
    <w:rsid w:val="02CA2014"/>
    <w:rsid w:val="02CE36F0"/>
    <w:rsid w:val="02D253BA"/>
    <w:rsid w:val="02D664A5"/>
    <w:rsid w:val="02D70120"/>
    <w:rsid w:val="02E746B3"/>
    <w:rsid w:val="02F04987"/>
    <w:rsid w:val="02F3072B"/>
    <w:rsid w:val="02F4686A"/>
    <w:rsid w:val="02F50E1A"/>
    <w:rsid w:val="02FC365E"/>
    <w:rsid w:val="03032EA1"/>
    <w:rsid w:val="03055083"/>
    <w:rsid w:val="030A33B2"/>
    <w:rsid w:val="0312457C"/>
    <w:rsid w:val="03173E54"/>
    <w:rsid w:val="03276EB0"/>
    <w:rsid w:val="03320DD5"/>
    <w:rsid w:val="03367B19"/>
    <w:rsid w:val="033F3094"/>
    <w:rsid w:val="033F5E23"/>
    <w:rsid w:val="0341739D"/>
    <w:rsid w:val="035906B9"/>
    <w:rsid w:val="035A07AB"/>
    <w:rsid w:val="035F7880"/>
    <w:rsid w:val="036572E0"/>
    <w:rsid w:val="036773BE"/>
    <w:rsid w:val="036B41D2"/>
    <w:rsid w:val="03745931"/>
    <w:rsid w:val="0375270B"/>
    <w:rsid w:val="0376026A"/>
    <w:rsid w:val="03763E10"/>
    <w:rsid w:val="03795E56"/>
    <w:rsid w:val="038F00BD"/>
    <w:rsid w:val="038F07EB"/>
    <w:rsid w:val="039F6B79"/>
    <w:rsid w:val="03A054FE"/>
    <w:rsid w:val="03A634A2"/>
    <w:rsid w:val="03A710E3"/>
    <w:rsid w:val="03B75E22"/>
    <w:rsid w:val="03B93704"/>
    <w:rsid w:val="03C7124D"/>
    <w:rsid w:val="03C956D7"/>
    <w:rsid w:val="03CD065E"/>
    <w:rsid w:val="03CD0F50"/>
    <w:rsid w:val="03D96519"/>
    <w:rsid w:val="03DC76EB"/>
    <w:rsid w:val="03DF3AAC"/>
    <w:rsid w:val="03DF7C94"/>
    <w:rsid w:val="03E4053E"/>
    <w:rsid w:val="03EE2D2D"/>
    <w:rsid w:val="03EE5120"/>
    <w:rsid w:val="03F95EAB"/>
    <w:rsid w:val="03FA4378"/>
    <w:rsid w:val="040E59E0"/>
    <w:rsid w:val="04177E90"/>
    <w:rsid w:val="041B3B0D"/>
    <w:rsid w:val="041F33A4"/>
    <w:rsid w:val="04227E09"/>
    <w:rsid w:val="04256881"/>
    <w:rsid w:val="042C1175"/>
    <w:rsid w:val="042E72BA"/>
    <w:rsid w:val="04361A54"/>
    <w:rsid w:val="043837D8"/>
    <w:rsid w:val="043F0FCC"/>
    <w:rsid w:val="0458216E"/>
    <w:rsid w:val="04633D2A"/>
    <w:rsid w:val="046441B2"/>
    <w:rsid w:val="0470619B"/>
    <w:rsid w:val="047264E0"/>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E16ACF"/>
    <w:rsid w:val="04E92750"/>
    <w:rsid w:val="04ED1D07"/>
    <w:rsid w:val="04F33CBA"/>
    <w:rsid w:val="05006805"/>
    <w:rsid w:val="05017788"/>
    <w:rsid w:val="05150D13"/>
    <w:rsid w:val="052054D4"/>
    <w:rsid w:val="052C7639"/>
    <w:rsid w:val="054A7C8A"/>
    <w:rsid w:val="055D26AF"/>
    <w:rsid w:val="056534E0"/>
    <w:rsid w:val="056834A8"/>
    <w:rsid w:val="05684832"/>
    <w:rsid w:val="056E79C6"/>
    <w:rsid w:val="057A799E"/>
    <w:rsid w:val="058647BE"/>
    <w:rsid w:val="05880374"/>
    <w:rsid w:val="05881910"/>
    <w:rsid w:val="05913966"/>
    <w:rsid w:val="059F17BF"/>
    <w:rsid w:val="05A259F9"/>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729E1"/>
    <w:rsid w:val="06AB1C7E"/>
    <w:rsid w:val="06AC05E7"/>
    <w:rsid w:val="06AF1D16"/>
    <w:rsid w:val="06AF3414"/>
    <w:rsid w:val="06B15237"/>
    <w:rsid w:val="06BA5EB2"/>
    <w:rsid w:val="06D17DB1"/>
    <w:rsid w:val="06E444B8"/>
    <w:rsid w:val="070615F0"/>
    <w:rsid w:val="07085235"/>
    <w:rsid w:val="07146D7A"/>
    <w:rsid w:val="071A4300"/>
    <w:rsid w:val="072C5901"/>
    <w:rsid w:val="072D6955"/>
    <w:rsid w:val="07355298"/>
    <w:rsid w:val="073633AE"/>
    <w:rsid w:val="0738618B"/>
    <w:rsid w:val="074E1705"/>
    <w:rsid w:val="074E279C"/>
    <w:rsid w:val="075268B6"/>
    <w:rsid w:val="075C0378"/>
    <w:rsid w:val="075C613A"/>
    <w:rsid w:val="0768627D"/>
    <w:rsid w:val="07774E9B"/>
    <w:rsid w:val="07886D75"/>
    <w:rsid w:val="079A77BC"/>
    <w:rsid w:val="079D6C92"/>
    <w:rsid w:val="079E20C5"/>
    <w:rsid w:val="07A757F6"/>
    <w:rsid w:val="07A92FCD"/>
    <w:rsid w:val="07AB5A16"/>
    <w:rsid w:val="07C32EAB"/>
    <w:rsid w:val="07CE7516"/>
    <w:rsid w:val="07DA5629"/>
    <w:rsid w:val="07DE3B60"/>
    <w:rsid w:val="07E54B9E"/>
    <w:rsid w:val="08010DA7"/>
    <w:rsid w:val="08033960"/>
    <w:rsid w:val="080F3123"/>
    <w:rsid w:val="08220E8F"/>
    <w:rsid w:val="08242F28"/>
    <w:rsid w:val="08252E6C"/>
    <w:rsid w:val="08275EA4"/>
    <w:rsid w:val="08294CB5"/>
    <w:rsid w:val="083036B5"/>
    <w:rsid w:val="08310F19"/>
    <w:rsid w:val="08331FC1"/>
    <w:rsid w:val="083611A9"/>
    <w:rsid w:val="083901EB"/>
    <w:rsid w:val="08394081"/>
    <w:rsid w:val="083943C5"/>
    <w:rsid w:val="08404FD2"/>
    <w:rsid w:val="084A2513"/>
    <w:rsid w:val="08515651"/>
    <w:rsid w:val="085D6EF2"/>
    <w:rsid w:val="085F59AE"/>
    <w:rsid w:val="086303CB"/>
    <w:rsid w:val="08674312"/>
    <w:rsid w:val="0875786E"/>
    <w:rsid w:val="0881684A"/>
    <w:rsid w:val="08927463"/>
    <w:rsid w:val="08991A5A"/>
    <w:rsid w:val="089C49FA"/>
    <w:rsid w:val="08AF073A"/>
    <w:rsid w:val="08BD5FE1"/>
    <w:rsid w:val="08BE7798"/>
    <w:rsid w:val="08C46A4F"/>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46DB4"/>
    <w:rsid w:val="094811BB"/>
    <w:rsid w:val="094F18C1"/>
    <w:rsid w:val="0954257E"/>
    <w:rsid w:val="095929D4"/>
    <w:rsid w:val="095A003F"/>
    <w:rsid w:val="095B02C8"/>
    <w:rsid w:val="09606CDC"/>
    <w:rsid w:val="09631FC1"/>
    <w:rsid w:val="09651D94"/>
    <w:rsid w:val="098A1F77"/>
    <w:rsid w:val="099872CF"/>
    <w:rsid w:val="09A137B2"/>
    <w:rsid w:val="09A2636C"/>
    <w:rsid w:val="09A44BA0"/>
    <w:rsid w:val="09AA495F"/>
    <w:rsid w:val="09AC53C9"/>
    <w:rsid w:val="09B630C3"/>
    <w:rsid w:val="09BD4BE0"/>
    <w:rsid w:val="09C222A5"/>
    <w:rsid w:val="09C27E4D"/>
    <w:rsid w:val="09C81C8D"/>
    <w:rsid w:val="09CB6B07"/>
    <w:rsid w:val="09CC1439"/>
    <w:rsid w:val="09CD0E22"/>
    <w:rsid w:val="09CD713D"/>
    <w:rsid w:val="09FA2B3C"/>
    <w:rsid w:val="09FA772F"/>
    <w:rsid w:val="09FB6D64"/>
    <w:rsid w:val="0A030CE9"/>
    <w:rsid w:val="0A0D0EE1"/>
    <w:rsid w:val="0A33530F"/>
    <w:rsid w:val="0A346C5C"/>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C2910"/>
    <w:rsid w:val="0ACC3151"/>
    <w:rsid w:val="0AD16821"/>
    <w:rsid w:val="0AD45A3C"/>
    <w:rsid w:val="0AD60B60"/>
    <w:rsid w:val="0ADC78D2"/>
    <w:rsid w:val="0ADF4793"/>
    <w:rsid w:val="0AE11813"/>
    <w:rsid w:val="0AE3323E"/>
    <w:rsid w:val="0AEB11A6"/>
    <w:rsid w:val="0AEC3E44"/>
    <w:rsid w:val="0AEE609E"/>
    <w:rsid w:val="0AEF478A"/>
    <w:rsid w:val="0AF51E84"/>
    <w:rsid w:val="0B041299"/>
    <w:rsid w:val="0B062542"/>
    <w:rsid w:val="0B0E47F4"/>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35FF2"/>
    <w:rsid w:val="0B792EB2"/>
    <w:rsid w:val="0B8035EB"/>
    <w:rsid w:val="0B84164E"/>
    <w:rsid w:val="0B89731E"/>
    <w:rsid w:val="0B904412"/>
    <w:rsid w:val="0B90485D"/>
    <w:rsid w:val="0B913EDA"/>
    <w:rsid w:val="0B9C76A8"/>
    <w:rsid w:val="0BA50775"/>
    <w:rsid w:val="0BA749E5"/>
    <w:rsid w:val="0BAC24A8"/>
    <w:rsid w:val="0BAE1323"/>
    <w:rsid w:val="0BB42E0A"/>
    <w:rsid w:val="0BBA3391"/>
    <w:rsid w:val="0BDC3258"/>
    <w:rsid w:val="0BDE3581"/>
    <w:rsid w:val="0BE52963"/>
    <w:rsid w:val="0BE85349"/>
    <w:rsid w:val="0BF57A28"/>
    <w:rsid w:val="0BF845E9"/>
    <w:rsid w:val="0BFA1A53"/>
    <w:rsid w:val="0C074F06"/>
    <w:rsid w:val="0C0B1E5B"/>
    <w:rsid w:val="0C146F99"/>
    <w:rsid w:val="0C1A584B"/>
    <w:rsid w:val="0C2275D5"/>
    <w:rsid w:val="0C2D70F9"/>
    <w:rsid w:val="0C342312"/>
    <w:rsid w:val="0C456335"/>
    <w:rsid w:val="0C53740C"/>
    <w:rsid w:val="0C563E70"/>
    <w:rsid w:val="0C631545"/>
    <w:rsid w:val="0C6E187C"/>
    <w:rsid w:val="0C7D4D8F"/>
    <w:rsid w:val="0C80052F"/>
    <w:rsid w:val="0C8C06D3"/>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99"/>
    <w:rsid w:val="0CB80D6E"/>
    <w:rsid w:val="0CBF360E"/>
    <w:rsid w:val="0CC10497"/>
    <w:rsid w:val="0CC30BC5"/>
    <w:rsid w:val="0CC42150"/>
    <w:rsid w:val="0CC45545"/>
    <w:rsid w:val="0CC71781"/>
    <w:rsid w:val="0CCB0FDF"/>
    <w:rsid w:val="0CDC1817"/>
    <w:rsid w:val="0CDC515C"/>
    <w:rsid w:val="0D0B2A13"/>
    <w:rsid w:val="0D112021"/>
    <w:rsid w:val="0D12133D"/>
    <w:rsid w:val="0D1F7151"/>
    <w:rsid w:val="0D200D54"/>
    <w:rsid w:val="0D2B7DB2"/>
    <w:rsid w:val="0D3152D9"/>
    <w:rsid w:val="0D384916"/>
    <w:rsid w:val="0D427E08"/>
    <w:rsid w:val="0D4A1977"/>
    <w:rsid w:val="0D511FCD"/>
    <w:rsid w:val="0D52698E"/>
    <w:rsid w:val="0D583C5F"/>
    <w:rsid w:val="0D5D658F"/>
    <w:rsid w:val="0D6029A5"/>
    <w:rsid w:val="0D6063D4"/>
    <w:rsid w:val="0D667E20"/>
    <w:rsid w:val="0D6B6C90"/>
    <w:rsid w:val="0D7170F8"/>
    <w:rsid w:val="0D922931"/>
    <w:rsid w:val="0D95263C"/>
    <w:rsid w:val="0DA81B9F"/>
    <w:rsid w:val="0DAD79F2"/>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21196E"/>
    <w:rsid w:val="0E227E98"/>
    <w:rsid w:val="0E27140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4408A"/>
    <w:rsid w:val="0ECD6BD5"/>
    <w:rsid w:val="0EDA3DE0"/>
    <w:rsid w:val="0EE241B0"/>
    <w:rsid w:val="0EE470B9"/>
    <w:rsid w:val="0EE51F3F"/>
    <w:rsid w:val="0EE67C37"/>
    <w:rsid w:val="0EE96C61"/>
    <w:rsid w:val="0EEF6278"/>
    <w:rsid w:val="0F070719"/>
    <w:rsid w:val="0F0E340F"/>
    <w:rsid w:val="0F110F65"/>
    <w:rsid w:val="0F126FC2"/>
    <w:rsid w:val="0F1821BC"/>
    <w:rsid w:val="0F1F71AB"/>
    <w:rsid w:val="0F206FE9"/>
    <w:rsid w:val="0F246E43"/>
    <w:rsid w:val="0F2F2F21"/>
    <w:rsid w:val="0F303168"/>
    <w:rsid w:val="0F3346BD"/>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4210EE"/>
    <w:rsid w:val="10444B77"/>
    <w:rsid w:val="104835D9"/>
    <w:rsid w:val="10495D6E"/>
    <w:rsid w:val="104C1069"/>
    <w:rsid w:val="10513C3F"/>
    <w:rsid w:val="10541F36"/>
    <w:rsid w:val="105D2D1E"/>
    <w:rsid w:val="10623D8F"/>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C2285B"/>
    <w:rsid w:val="10C54276"/>
    <w:rsid w:val="10D27169"/>
    <w:rsid w:val="10D309E2"/>
    <w:rsid w:val="10D621B1"/>
    <w:rsid w:val="10D81E5C"/>
    <w:rsid w:val="10DA39AB"/>
    <w:rsid w:val="10DE746C"/>
    <w:rsid w:val="10EB7A42"/>
    <w:rsid w:val="10F16967"/>
    <w:rsid w:val="10F21B48"/>
    <w:rsid w:val="10F61CDD"/>
    <w:rsid w:val="10F91FDE"/>
    <w:rsid w:val="10F941E9"/>
    <w:rsid w:val="11083015"/>
    <w:rsid w:val="110A357B"/>
    <w:rsid w:val="110D2E2E"/>
    <w:rsid w:val="1113498F"/>
    <w:rsid w:val="11145DE6"/>
    <w:rsid w:val="111A2147"/>
    <w:rsid w:val="112252CB"/>
    <w:rsid w:val="11360EF9"/>
    <w:rsid w:val="113641BB"/>
    <w:rsid w:val="113B0B58"/>
    <w:rsid w:val="113D4F12"/>
    <w:rsid w:val="113D775B"/>
    <w:rsid w:val="11410876"/>
    <w:rsid w:val="114608E7"/>
    <w:rsid w:val="114F3D65"/>
    <w:rsid w:val="115347BC"/>
    <w:rsid w:val="11545887"/>
    <w:rsid w:val="11597C64"/>
    <w:rsid w:val="116228E3"/>
    <w:rsid w:val="11631325"/>
    <w:rsid w:val="116345A4"/>
    <w:rsid w:val="11667833"/>
    <w:rsid w:val="11687433"/>
    <w:rsid w:val="1178450A"/>
    <w:rsid w:val="117B53DF"/>
    <w:rsid w:val="117B71D3"/>
    <w:rsid w:val="11845F00"/>
    <w:rsid w:val="11885DD3"/>
    <w:rsid w:val="118A58E4"/>
    <w:rsid w:val="118C56EA"/>
    <w:rsid w:val="118F0DB3"/>
    <w:rsid w:val="11916F88"/>
    <w:rsid w:val="11A51BB6"/>
    <w:rsid w:val="11AC6860"/>
    <w:rsid w:val="11B62D0B"/>
    <w:rsid w:val="11BE6E3E"/>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95D63"/>
    <w:rsid w:val="12401AD9"/>
    <w:rsid w:val="12421E9D"/>
    <w:rsid w:val="1248421F"/>
    <w:rsid w:val="12571C4D"/>
    <w:rsid w:val="125C09FF"/>
    <w:rsid w:val="12657F0C"/>
    <w:rsid w:val="126830F6"/>
    <w:rsid w:val="126B5207"/>
    <w:rsid w:val="126F57E1"/>
    <w:rsid w:val="12760E78"/>
    <w:rsid w:val="127673DB"/>
    <w:rsid w:val="127E0189"/>
    <w:rsid w:val="12810A1D"/>
    <w:rsid w:val="12854B81"/>
    <w:rsid w:val="1292783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E0F39"/>
    <w:rsid w:val="12EF155A"/>
    <w:rsid w:val="12F17350"/>
    <w:rsid w:val="12F712FB"/>
    <w:rsid w:val="12FA0E2E"/>
    <w:rsid w:val="12FF7A62"/>
    <w:rsid w:val="13037A88"/>
    <w:rsid w:val="133844CA"/>
    <w:rsid w:val="1347596A"/>
    <w:rsid w:val="13477178"/>
    <w:rsid w:val="134B5A55"/>
    <w:rsid w:val="134C0AA1"/>
    <w:rsid w:val="136041BC"/>
    <w:rsid w:val="136F4FE6"/>
    <w:rsid w:val="13713F6F"/>
    <w:rsid w:val="13762A14"/>
    <w:rsid w:val="13790756"/>
    <w:rsid w:val="137B6EE7"/>
    <w:rsid w:val="137E2E27"/>
    <w:rsid w:val="138C25C7"/>
    <w:rsid w:val="138E741D"/>
    <w:rsid w:val="138F279E"/>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211C8"/>
    <w:rsid w:val="13F57229"/>
    <w:rsid w:val="13F60043"/>
    <w:rsid w:val="13F63AC9"/>
    <w:rsid w:val="13FF4761"/>
    <w:rsid w:val="1401651E"/>
    <w:rsid w:val="14065625"/>
    <w:rsid w:val="14127CF3"/>
    <w:rsid w:val="1416357F"/>
    <w:rsid w:val="14175C6D"/>
    <w:rsid w:val="14182B9E"/>
    <w:rsid w:val="141A193D"/>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D2447"/>
    <w:rsid w:val="14BD0C90"/>
    <w:rsid w:val="14BD7435"/>
    <w:rsid w:val="14D41B03"/>
    <w:rsid w:val="14E11E90"/>
    <w:rsid w:val="14EC7262"/>
    <w:rsid w:val="14F50637"/>
    <w:rsid w:val="14F56962"/>
    <w:rsid w:val="14FD3DC3"/>
    <w:rsid w:val="15052F44"/>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839EE"/>
    <w:rsid w:val="157F4B83"/>
    <w:rsid w:val="15864057"/>
    <w:rsid w:val="158A2F64"/>
    <w:rsid w:val="158C53F6"/>
    <w:rsid w:val="15946EC2"/>
    <w:rsid w:val="1594709F"/>
    <w:rsid w:val="159B1410"/>
    <w:rsid w:val="159D2E6C"/>
    <w:rsid w:val="15A625C0"/>
    <w:rsid w:val="15A70541"/>
    <w:rsid w:val="15A7643A"/>
    <w:rsid w:val="15AD4348"/>
    <w:rsid w:val="15AD7612"/>
    <w:rsid w:val="15B96153"/>
    <w:rsid w:val="15BC619F"/>
    <w:rsid w:val="15BF618A"/>
    <w:rsid w:val="15C40EFF"/>
    <w:rsid w:val="15CA097E"/>
    <w:rsid w:val="15D9295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3C0B35"/>
    <w:rsid w:val="16405266"/>
    <w:rsid w:val="164561DB"/>
    <w:rsid w:val="1651617C"/>
    <w:rsid w:val="16672683"/>
    <w:rsid w:val="166852CC"/>
    <w:rsid w:val="16696EE3"/>
    <w:rsid w:val="16713663"/>
    <w:rsid w:val="167518D2"/>
    <w:rsid w:val="168864E9"/>
    <w:rsid w:val="16907088"/>
    <w:rsid w:val="1697702E"/>
    <w:rsid w:val="169A4327"/>
    <w:rsid w:val="169D4FCC"/>
    <w:rsid w:val="16A26D59"/>
    <w:rsid w:val="16A31912"/>
    <w:rsid w:val="16A52825"/>
    <w:rsid w:val="16A60389"/>
    <w:rsid w:val="16AC66DD"/>
    <w:rsid w:val="16AD326E"/>
    <w:rsid w:val="16B06BAD"/>
    <w:rsid w:val="16B17712"/>
    <w:rsid w:val="16B95CF7"/>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A6824"/>
    <w:rsid w:val="173B1FA1"/>
    <w:rsid w:val="173C594E"/>
    <w:rsid w:val="173D1596"/>
    <w:rsid w:val="17503F57"/>
    <w:rsid w:val="17505DD6"/>
    <w:rsid w:val="17586CB0"/>
    <w:rsid w:val="17596CA9"/>
    <w:rsid w:val="17600681"/>
    <w:rsid w:val="17665D9F"/>
    <w:rsid w:val="17696EA4"/>
    <w:rsid w:val="17795030"/>
    <w:rsid w:val="177B0627"/>
    <w:rsid w:val="177D3C16"/>
    <w:rsid w:val="178501CB"/>
    <w:rsid w:val="178A042D"/>
    <w:rsid w:val="178A1F82"/>
    <w:rsid w:val="17916104"/>
    <w:rsid w:val="17920EA7"/>
    <w:rsid w:val="1797450B"/>
    <w:rsid w:val="17985148"/>
    <w:rsid w:val="17A644BF"/>
    <w:rsid w:val="17A92F07"/>
    <w:rsid w:val="17B23E0F"/>
    <w:rsid w:val="17B31B32"/>
    <w:rsid w:val="17B80549"/>
    <w:rsid w:val="17C063A0"/>
    <w:rsid w:val="17C16366"/>
    <w:rsid w:val="17C76A67"/>
    <w:rsid w:val="17DA0F7A"/>
    <w:rsid w:val="17DC2D7F"/>
    <w:rsid w:val="17E95276"/>
    <w:rsid w:val="17EA38A1"/>
    <w:rsid w:val="17EB77A3"/>
    <w:rsid w:val="17EC5E41"/>
    <w:rsid w:val="1806537C"/>
    <w:rsid w:val="18066C18"/>
    <w:rsid w:val="181C2683"/>
    <w:rsid w:val="181E4167"/>
    <w:rsid w:val="18341D76"/>
    <w:rsid w:val="18351C27"/>
    <w:rsid w:val="18553A22"/>
    <w:rsid w:val="18607956"/>
    <w:rsid w:val="1866144B"/>
    <w:rsid w:val="186E420E"/>
    <w:rsid w:val="187A14AA"/>
    <w:rsid w:val="187B7B4F"/>
    <w:rsid w:val="1887188F"/>
    <w:rsid w:val="18935E66"/>
    <w:rsid w:val="18A35548"/>
    <w:rsid w:val="18A63203"/>
    <w:rsid w:val="18A77689"/>
    <w:rsid w:val="18A816B2"/>
    <w:rsid w:val="18B25B64"/>
    <w:rsid w:val="18B8431F"/>
    <w:rsid w:val="18B90C48"/>
    <w:rsid w:val="18BC4ADF"/>
    <w:rsid w:val="18BD1521"/>
    <w:rsid w:val="18BD2E66"/>
    <w:rsid w:val="18BE7EAB"/>
    <w:rsid w:val="18CF2450"/>
    <w:rsid w:val="18D7372F"/>
    <w:rsid w:val="18DA12E6"/>
    <w:rsid w:val="18DD12E4"/>
    <w:rsid w:val="18E62F4B"/>
    <w:rsid w:val="18E85386"/>
    <w:rsid w:val="18FC503B"/>
    <w:rsid w:val="19027C40"/>
    <w:rsid w:val="190E3326"/>
    <w:rsid w:val="190E3538"/>
    <w:rsid w:val="19164D1E"/>
    <w:rsid w:val="191C588D"/>
    <w:rsid w:val="1927395B"/>
    <w:rsid w:val="192D514C"/>
    <w:rsid w:val="193544CD"/>
    <w:rsid w:val="19443AA2"/>
    <w:rsid w:val="1945355B"/>
    <w:rsid w:val="194817FC"/>
    <w:rsid w:val="194A0D45"/>
    <w:rsid w:val="195159CB"/>
    <w:rsid w:val="195961D5"/>
    <w:rsid w:val="195C14E8"/>
    <w:rsid w:val="196515C3"/>
    <w:rsid w:val="197859DA"/>
    <w:rsid w:val="1980769C"/>
    <w:rsid w:val="19884F66"/>
    <w:rsid w:val="19917CFC"/>
    <w:rsid w:val="1997576B"/>
    <w:rsid w:val="1998697F"/>
    <w:rsid w:val="199A20B4"/>
    <w:rsid w:val="19A71B82"/>
    <w:rsid w:val="19B84C88"/>
    <w:rsid w:val="19C6694E"/>
    <w:rsid w:val="19CC0DE5"/>
    <w:rsid w:val="19D11E61"/>
    <w:rsid w:val="19D5618C"/>
    <w:rsid w:val="19E22401"/>
    <w:rsid w:val="19E23808"/>
    <w:rsid w:val="19F44B16"/>
    <w:rsid w:val="1A00532F"/>
    <w:rsid w:val="1A040FBD"/>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A3523"/>
    <w:rsid w:val="1AFD3AEA"/>
    <w:rsid w:val="1B05238D"/>
    <w:rsid w:val="1B13587B"/>
    <w:rsid w:val="1B1D44BA"/>
    <w:rsid w:val="1B2C07D2"/>
    <w:rsid w:val="1B2C5EE0"/>
    <w:rsid w:val="1B3604D3"/>
    <w:rsid w:val="1B364D11"/>
    <w:rsid w:val="1B3865C6"/>
    <w:rsid w:val="1B3E5EDE"/>
    <w:rsid w:val="1B433153"/>
    <w:rsid w:val="1B467529"/>
    <w:rsid w:val="1B4B00CA"/>
    <w:rsid w:val="1B566C78"/>
    <w:rsid w:val="1B5F1247"/>
    <w:rsid w:val="1B6307EA"/>
    <w:rsid w:val="1B79696C"/>
    <w:rsid w:val="1B7E1824"/>
    <w:rsid w:val="1B825166"/>
    <w:rsid w:val="1B890C23"/>
    <w:rsid w:val="1B9411FC"/>
    <w:rsid w:val="1B9D6CE8"/>
    <w:rsid w:val="1BA63F57"/>
    <w:rsid w:val="1BA866D1"/>
    <w:rsid w:val="1BBB422B"/>
    <w:rsid w:val="1BC600B5"/>
    <w:rsid w:val="1BCD55F8"/>
    <w:rsid w:val="1BE011AE"/>
    <w:rsid w:val="1BE30F90"/>
    <w:rsid w:val="1BE31093"/>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AF4AE5"/>
    <w:rsid w:val="1CB21A29"/>
    <w:rsid w:val="1CCB32EE"/>
    <w:rsid w:val="1CD23361"/>
    <w:rsid w:val="1CD35882"/>
    <w:rsid w:val="1CE302F7"/>
    <w:rsid w:val="1CEC4F96"/>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4B5A"/>
    <w:rsid w:val="1D584348"/>
    <w:rsid w:val="1D597DDF"/>
    <w:rsid w:val="1D5D209F"/>
    <w:rsid w:val="1D6D4785"/>
    <w:rsid w:val="1D6E27CD"/>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D11EB5"/>
    <w:rsid w:val="1DD246EC"/>
    <w:rsid w:val="1DD63079"/>
    <w:rsid w:val="1DD859F5"/>
    <w:rsid w:val="1DDA6EEA"/>
    <w:rsid w:val="1DDD63A7"/>
    <w:rsid w:val="1DE56ABE"/>
    <w:rsid w:val="1DFC4DF9"/>
    <w:rsid w:val="1E0435A0"/>
    <w:rsid w:val="1E110D2A"/>
    <w:rsid w:val="1E1247A2"/>
    <w:rsid w:val="1E155062"/>
    <w:rsid w:val="1E193E9C"/>
    <w:rsid w:val="1E1B38E9"/>
    <w:rsid w:val="1E1B7186"/>
    <w:rsid w:val="1E303EF3"/>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A0174"/>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7565"/>
    <w:rsid w:val="1F9B644E"/>
    <w:rsid w:val="1FA429B4"/>
    <w:rsid w:val="1FAC06FF"/>
    <w:rsid w:val="1FB34801"/>
    <w:rsid w:val="1FB75185"/>
    <w:rsid w:val="1FB97163"/>
    <w:rsid w:val="1FBD0EE6"/>
    <w:rsid w:val="1FC10346"/>
    <w:rsid w:val="1FC16504"/>
    <w:rsid w:val="1FDB745E"/>
    <w:rsid w:val="1FDD028C"/>
    <w:rsid w:val="1FF955B0"/>
    <w:rsid w:val="1FFA3EAB"/>
    <w:rsid w:val="1FFB3FF4"/>
    <w:rsid w:val="1FFC4541"/>
    <w:rsid w:val="20176E76"/>
    <w:rsid w:val="201C2D60"/>
    <w:rsid w:val="20270162"/>
    <w:rsid w:val="203F0CD6"/>
    <w:rsid w:val="20655E4F"/>
    <w:rsid w:val="20721F6B"/>
    <w:rsid w:val="207308C3"/>
    <w:rsid w:val="207411D3"/>
    <w:rsid w:val="20743131"/>
    <w:rsid w:val="207536DF"/>
    <w:rsid w:val="20783BF9"/>
    <w:rsid w:val="20786435"/>
    <w:rsid w:val="20802CF5"/>
    <w:rsid w:val="20811113"/>
    <w:rsid w:val="20874766"/>
    <w:rsid w:val="2088281D"/>
    <w:rsid w:val="2088475A"/>
    <w:rsid w:val="20917F9C"/>
    <w:rsid w:val="2094661E"/>
    <w:rsid w:val="20951ED4"/>
    <w:rsid w:val="20962536"/>
    <w:rsid w:val="20AF5726"/>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776EA"/>
    <w:rsid w:val="21522E38"/>
    <w:rsid w:val="2159046C"/>
    <w:rsid w:val="21592762"/>
    <w:rsid w:val="215F3A68"/>
    <w:rsid w:val="21611A31"/>
    <w:rsid w:val="21635586"/>
    <w:rsid w:val="21760888"/>
    <w:rsid w:val="217B17E2"/>
    <w:rsid w:val="218810BD"/>
    <w:rsid w:val="218D61A9"/>
    <w:rsid w:val="218F7263"/>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2539C"/>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D42BA"/>
    <w:rsid w:val="227078B0"/>
    <w:rsid w:val="2271187B"/>
    <w:rsid w:val="22833161"/>
    <w:rsid w:val="228338C8"/>
    <w:rsid w:val="22840DDA"/>
    <w:rsid w:val="22876A0D"/>
    <w:rsid w:val="22A11695"/>
    <w:rsid w:val="22A63B38"/>
    <w:rsid w:val="22A73490"/>
    <w:rsid w:val="22A8489A"/>
    <w:rsid w:val="22AA7376"/>
    <w:rsid w:val="22AB3B60"/>
    <w:rsid w:val="22AF11A1"/>
    <w:rsid w:val="22B22D1F"/>
    <w:rsid w:val="22B33D99"/>
    <w:rsid w:val="22BB4A47"/>
    <w:rsid w:val="22BC2773"/>
    <w:rsid w:val="22BE29D6"/>
    <w:rsid w:val="22C27BE8"/>
    <w:rsid w:val="22C4003E"/>
    <w:rsid w:val="22D02654"/>
    <w:rsid w:val="22D10E4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F5270"/>
    <w:rsid w:val="2311101C"/>
    <w:rsid w:val="231869B1"/>
    <w:rsid w:val="2319089C"/>
    <w:rsid w:val="231B2491"/>
    <w:rsid w:val="232515D0"/>
    <w:rsid w:val="232F45E5"/>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860612"/>
    <w:rsid w:val="24872D53"/>
    <w:rsid w:val="248E7D90"/>
    <w:rsid w:val="249321BF"/>
    <w:rsid w:val="249C0D83"/>
    <w:rsid w:val="24A033EE"/>
    <w:rsid w:val="24B51B12"/>
    <w:rsid w:val="24C434A5"/>
    <w:rsid w:val="24CA496C"/>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9114ED"/>
    <w:rsid w:val="2593720A"/>
    <w:rsid w:val="25996F48"/>
    <w:rsid w:val="259A3CB2"/>
    <w:rsid w:val="259E4C39"/>
    <w:rsid w:val="259E5828"/>
    <w:rsid w:val="25A92B92"/>
    <w:rsid w:val="25AB0A3D"/>
    <w:rsid w:val="25AC370D"/>
    <w:rsid w:val="25B22B68"/>
    <w:rsid w:val="25B5218E"/>
    <w:rsid w:val="25C15D16"/>
    <w:rsid w:val="25C55B83"/>
    <w:rsid w:val="25CD5BF1"/>
    <w:rsid w:val="25CD62C3"/>
    <w:rsid w:val="25D31208"/>
    <w:rsid w:val="25DA65CA"/>
    <w:rsid w:val="25DB6649"/>
    <w:rsid w:val="25DD0809"/>
    <w:rsid w:val="25E27416"/>
    <w:rsid w:val="25E46656"/>
    <w:rsid w:val="25E47484"/>
    <w:rsid w:val="25E92FBE"/>
    <w:rsid w:val="25F17275"/>
    <w:rsid w:val="25F31E31"/>
    <w:rsid w:val="25F70EE4"/>
    <w:rsid w:val="25F83FB0"/>
    <w:rsid w:val="25FC0B75"/>
    <w:rsid w:val="260139F3"/>
    <w:rsid w:val="260556D5"/>
    <w:rsid w:val="26080DD9"/>
    <w:rsid w:val="26082798"/>
    <w:rsid w:val="26095114"/>
    <w:rsid w:val="260E454E"/>
    <w:rsid w:val="261464EE"/>
    <w:rsid w:val="26280E6C"/>
    <w:rsid w:val="262E05B0"/>
    <w:rsid w:val="26327A25"/>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EA7605"/>
    <w:rsid w:val="26F17CAD"/>
    <w:rsid w:val="26F51567"/>
    <w:rsid w:val="26F54808"/>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841ADD"/>
    <w:rsid w:val="278B7262"/>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A5F82"/>
    <w:rsid w:val="28014303"/>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07EB9"/>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133CC"/>
    <w:rsid w:val="28F729CE"/>
    <w:rsid w:val="28F934CA"/>
    <w:rsid w:val="28FA5F7F"/>
    <w:rsid w:val="29056F59"/>
    <w:rsid w:val="2907017C"/>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712D8F"/>
    <w:rsid w:val="29736267"/>
    <w:rsid w:val="297B31D3"/>
    <w:rsid w:val="298103BD"/>
    <w:rsid w:val="298D4850"/>
    <w:rsid w:val="29966295"/>
    <w:rsid w:val="29971F57"/>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307EBE"/>
    <w:rsid w:val="2A3E413F"/>
    <w:rsid w:val="2A430F4D"/>
    <w:rsid w:val="2A5303B9"/>
    <w:rsid w:val="2A534A67"/>
    <w:rsid w:val="2A5F67A3"/>
    <w:rsid w:val="2A6151C4"/>
    <w:rsid w:val="2A664C59"/>
    <w:rsid w:val="2A6B464E"/>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54ED3"/>
    <w:rsid w:val="2D2651C9"/>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F18AD"/>
    <w:rsid w:val="2E285E19"/>
    <w:rsid w:val="2E28757C"/>
    <w:rsid w:val="2E2C723F"/>
    <w:rsid w:val="2E332EEF"/>
    <w:rsid w:val="2E3F6B8A"/>
    <w:rsid w:val="2E406C31"/>
    <w:rsid w:val="2E467FE7"/>
    <w:rsid w:val="2E527715"/>
    <w:rsid w:val="2E530660"/>
    <w:rsid w:val="2E53115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F224CD"/>
    <w:rsid w:val="2EF67D61"/>
    <w:rsid w:val="2EFA2F2B"/>
    <w:rsid w:val="2F195BDC"/>
    <w:rsid w:val="2F2E23A6"/>
    <w:rsid w:val="2F2E289C"/>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205153"/>
    <w:rsid w:val="30253FAB"/>
    <w:rsid w:val="30270D6F"/>
    <w:rsid w:val="303B3B59"/>
    <w:rsid w:val="303C0C41"/>
    <w:rsid w:val="303D6437"/>
    <w:rsid w:val="30443F81"/>
    <w:rsid w:val="305831D6"/>
    <w:rsid w:val="305A4537"/>
    <w:rsid w:val="30632880"/>
    <w:rsid w:val="3070014A"/>
    <w:rsid w:val="307B4FFA"/>
    <w:rsid w:val="308136E0"/>
    <w:rsid w:val="3095375A"/>
    <w:rsid w:val="309B2688"/>
    <w:rsid w:val="30A90B96"/>
    <w:rsid w:val="30A91070"/>
    <w:rsid w:val="30B26464"/>
    <w:rsid w:val="30B86332"/>
    <w:rsid w:val="30C91D87"/>
    <w:rsid w:val="30D10B78"/>
    <w:rsid w:val="30D251E3"/>
    <w:rsid w:val="30D36EB7"/>
    <w:rsid w:val="30D45137"/>
    <w:rsid w:val="30D51A41"/>
    <w:rsid w:val="30E7233C"/>
    <w:rsid w:val="31076B28"/>
    <w:rsid w:val="31076EFA"/>
    <w:rsid w:val="310866BC"/>
    <w:rsid w:val="31154DED"/>
    <w:rsid w:val="31215B33"/>
    <w:rsid w:val="312A36B1"/>
    <w:rsid w:val="313A2CAC"/>
    <w:rsid w:val="313E6356"/>
    <w:rsid w:val="31460C29"/>
    <w:rsid w:val="314B3239"/>
    <w:rsid w:val="315B21E9"/>
    <w:rsid w:val="315B5E62"/>
    <w:rsid w:val="31604DC0"/>
    <w:rsid w:val="31607973"/>
    <w:rsid w:val="3163108E"/>
    <w:rsid w:val="3167538F"/>
    <w:rsid w:val="317544CD"/>
    <w:rsid w:val="31765162"/>
    <w:rsid w:val="317A487D"/>
    <w:rsid w:val="317D76C8"/>
    <w:rsid w:val="31833BCE"/>
    <w:rsid w:val="318A1515"/>
    <w:rsid w:val="31944F6F"/>
    <w:rsid w:val="31963456"/>
    <w:rsid w:val="31A51052"/>
    <w:rsid w:val="31A77BCC"/>
    <w:rsid w:val="31A84B64"/>
    <w:rsid w:val="31B12D3C"/>
    <w:rsid w:val="31B2653B"/>
    <w:rsid w:val="31B266EC"/>
    <w:rsid w:val="31B45163"/>
    <w:rsid w:val="31B81D35"/>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71CC6"/>
    <w:rsid w:val="324F0134"/>
    <w:rsid w:val="32540593"/>
    <w:rsid w:val="32582CC3"/>
    <w:rsid w:val="327179A4"/>
    <w:rsid w:val="32775626"/>
    <w:rsid w:val="32835AB1"/>
    <w:rsid w:val="328A3A5F"/>
    <w:rsid w:val="328D7371"/>
    <w:rsid w:val="328E2231"/>
    <w:rsid w:val="329326B7"/>
    <w:rsid w:val="329426A2"/>
    <w:rsid w:val="329708DE"/>
    <w:rsid w:val="32AD1211"/>
    <w:rsid w:val="32BE0045"/>
    <w:rsid w:val="32E12F9A"/>
    <w:rsid w:val="32E87F66"/>
    <w:rsid w:val="32EC46FB"/>
    <w:rsid w:val="32FF12B8"/>
    <w:rsid w:val="330073AA"/>
    <w:rsid w:val="33020BF1"/>
    <w:rsid w:val="330710D7"/>
    <w:rsid w:val="331264BB"/>
    <w:rsid w:val="331E3887"/>
    <w:rsid w:val="33224534"/>
    <w:rsid w:val="332742E9"/>
    <w:rsid w:val="332A1AC1"/>
    <w:rsid w:val="332C71E1"/>
    <w:rsid w:val="332E1BC2"/>
    <w:rsid w:val="332F3B66"/>
    <w:rsid w:val="333B116B"/>
    <w:rsid w:val="333E2024"/>
    <w:rsid w:val="33427ABB"/>
    <w:rsid w:val="33616D4E"/>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751C3"/>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A238C5"/>
    <w:rsid w:val="34AC0653"/>
    <w:rsid w:val="34AC2DE9"/>
    <w:rsid w:val="34B24855"/>
    <w:rsid w:val="34B55560"/>
    <w:rsid w:val="34B84D9B"/>
    <w:rsid w:val="34BE7103"/>
    <w:rsid w:val="34C9343D"/>
    <w:rsid w:val="34CE3369"/>
    <w:rsid w:val="34DC1C67"/>
    <w:rsid w:val="34E47162"/>
    <w:rsid w:val="34E664D6"/>
    <w:rsid w:val="34F64CDD"/>
    <w:rsid w:val="34FF095B"/>
    <w:rsid w:val="3500311A"/>
    <w:rsid w:val="350B76BF"/>
    <w:rsid w:val="350C5C16"/>
    <w:rsid w:val="351710F0"/>
    <w:rsid w:val="351F4B47"/>
    <w:rsid w:val="352E435E"/>
    <w:rsid w:val="3534069E"/>
    <w:rsid w:val="353807E2"/>
    <w:rsid w:val="353D45FA"/>
    <w:rsid w:val="353F0E06"/>
    <w:rsid w:val="35422CF2"/>
    <w:rsid w:val="35505013"/>
    <w:rsid w:val="35531CAD"/>
    <w:rsid w:val="356D51F7"/>
    <w:rsid w:val="357972DF"/>
    <w:rsid w:val="357D79D3"/>
    <w:rsid w:val="35804F9D"/>
    <w:rsid w:val="35843B49"/>
    <w:rsid w:val="35884385"/>
    <w:rsid w:val="35890016"/>
    <w:rsid w:val="358B0F26"/>
    <w:rsid w:val="35924A15"/>
    <w:rsid w:val="359753B1"/>
    <w:rsid w:val="35A25468"/>
    <w:rsid w:val="35AC56FE"/>
    <w:rsid w:val="35C3354B"/>
    <w:rsid w:val="35CB283C"/>
    <w:rsid w:val="35D02A2E"/>
    <w:rsid w:val="35DF2011"/>
    <w:rsid w:val="35E1012B"/>
    <w:rsid w:val="35E1505C"/>
    <w:rsid w:val="35E328B8"/>
    <w:rsid w:val="35E3701E"/>
    <w:rsid w:val="35E420DE"/>
    <w:rsid w:val="35E607CD"/>
    <w:rsid w:val="35EB34A9"/>
    <w:rsid w:val="35EC6F4A"/>
    <w:rsid w:val="35EE6A38"/>
    <w:rsid w:val="35F5734F"/>
    <w:rsid w:val="35F65884"/>
    <w:rsid w:val="35F715DC"/>
    <w:rsid w:val="36057267"/>
    <w:rsid w:val="362131A7"/>
    <w:rsid w:val="362E1546"/>
    <w:rsid w:val="36330CA5"/>
    <w:rsid w:val="364236D7"/>
    <w:rsid w:val="3654563C"/>
    <w:rsid w:val="365763B3"/>
    <w:rsid w:val="366F70DE"/>
    <w:rsid w:val="367C0A7E"/>
    <w:rsid w:val="36856B5A"/>
    <w:rsid w:val="36883C27"/>
    <w:rsid w:val="36950061"/>
    <w:rsid w:val="36A32443"/>
    <w:rsid w:val="36A61ADA"/>
    <w:rsid w:val="36AC504E"/>
    <w:rsid w:val="36B45F51"/>
    <w:rsid w:val="36B7013F"/>
    <w:rsid w:val="36D37FB9"/>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93CF4"/>
    <w:rsid w:val="38132FDB"/>
    <w:rsid w:val="381523AC"/>
    <w:rsid w:val="3816611D"/>
    <w:rsid w:val="381A7833"/>
    <w:rsid w:val="381D6FCC"/>
    <w:rsid w:val="38255502"/>
    <w:rsid w:val="382563C3"/>
    <w:rsid w:val="382B10C6"/>
    <w:rsid w:val="384502C9"/>
    <w:rsid w:val="384757BF"/>
    <w:rsid w:val="384A568A"/>
    <w:rsid w:val="384C2E85"/>
    <w:rsid w:val="384D7A6B"/>
    <w:rsid w:val="38527F5E"/>
    <w:rsid w:val="38576EB1"/>
    <w:rsid w:val="385B78DA"/>
    <w:rsid w:val="385E7289"/>
    <w:rsid w:val="386B3647"/>
    <w:rsid w:val="386F64C6"/>
    <w:rsid w:val="38724636"/>
    <w:rsid w:val="38755246"/>
    <w:rsid w:val="38850F2D"/>
    <w:rsid w:val="388F47CD"/>
    <w:rsid w:val="3891497A"/>
    <w:rsid w:val="38921D1F"/>
    <w:rsid w:val="38934709"/>
    <w:rsid w:val="3899545E"/>
    <w:rsid w:val="389B63CB"/>
    <w:rsid w:val="389D36E7"/>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132EBE"/>
    <w:rsid w:val="3923223F"/>
    <w:rsid w:val="393F3649"/>
    <w:rsid w:val="39434B25"/>
    <w:rsid w:val="39442CC4"/>
    <w:rsid w:val="39473C95"/>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9F24322"/>
    <w:rsid w:val="39FA1859"/>
    <w:rsid w:val="3A03384A"/>
    <w:rsid w:val="3A066160"/>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D16134"/>
    <w:rsid w:val="3AD17EBD"/>
    <w:rsid w:val="3ADE382E"/>
    <w:rsid w:val="3AEA3CFC"/>
    <w:rsid w:val="3AF044A5"/>
    <w:rsid w:val="3AFC4CC9"/>
    <w:rsid w:val="3B00301D"/>
    <w:rsid w:val="3B1752EE"/>
    <w:rsid w:val="3B1C35AC"/>
    <w:rsid w:val="3B1F0CAE"/>
    <w:rsid w:val="3B22468C"/>
    <w:rsid w:val="3B292A67"/>
    <w:rsid w:val="3B3155AA"/>
    <w:rsid w:val="3B3E0B10"/>
    <w:rsid w:val="3B4F1508"/>
    <w:rsid w:val="3B580D61"/>
    <w:rsid w:val="3B696BF9"/>
    <w:rsid w:val="3B6F0DCA"/>
    <w:rsid w:val="3B754E06"/>
    <w:rsid w:val="3B7B2B0A"/>
    <w:rsid w:val="3B7C7B97"/>
    <w:rsid w:val="3B8372AE"/>
    <w:rsid w:val="3B914065"/>
    <w:rsid w:val="3B9F483C"/>
    <w:rsid w:val="3BB249F7"/>
    <w:rsid w:val="3BBE3122"/>
    <w:rsid w:val="3BC20515"/>
    <w:rsid w:val="3BC53C74"/>
    <w:rsid w:val="3BC62C0D"/>
    <w:rsid w:val="3BC772AB"/>
    <w:rsid w:val="3BC812C8"/>
    <w:rsid w:val="3BD741DE"/>
    <w:rsid w:val="3BE7491F"/>
    <w:rsid w:val="3BE82033"/>
    <w:rsid w:val="3BEF3F98"/>
    <w:rsid w:val="3BF01125"/>
    <w:rsid w:val="3BF1165C"/>
    <w:rsid w:val="3BF82655"/>
    <w:rsid w:val="3BF90B59"/>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3669"/>
    <w:rsid w:val="3C7D3E58"/>
    <w:rsid w:val="3C882BD0"/>
    <w:rsid w:val="3C94545E"/>
    <w:rsid w:val="3C975DCC"/>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04548"/>
    <w:rsid w:val="3E19435F"/>
    <w:rsid w:val="3E20393D"/>
    <w:rsid w:val="3E205773"/>
    <w:rsid w:val="3E264903"/>
    <w:rsid w:val="3E2806A1"/>
    <w:rsid w:val="3E2E35CB"/>
    <w:rsid w:val="3E31025E"/>
    <w:rsid w:val="3E342DA3"/>
    <w:rsid w:val="3E471ABE"/>
    <w:rsid w:val="3E4755F9"/>
    <w:rsid w:val="3E492A39"/>
    <w:rsid w:val="3E556354"/>
    <w:rsid w:val="3E6336EF"/>
    <w:rsid w:val="3E660D1B"/>
    <w:rsid w:val="3E6E2E9E"/>
    <w:rsid w:val="3E8222F7"/>
    <w:rsid w:val="3E8258B1"/>
    <w:rsid w:val="3E8821CE"/>
    <w:rsid w:val="3E92738B"/>
    <w:rsid w:val="3E99456A"/>
    <w:rsid w:val="3EA0570F"/>
    <w:rsid w:val="3EAD3D57"/>
    <w:rsid w:val="3EAF02B7"/>
    <w:rsid w:val="3EB1188E"/>
    <w:rsid w:val="3EB428B4"/>
    <w:rsid w:val="3EBD63D7"/>
    <w:rsid w:val="3EC07733"/>
    <w:rsid w:val="3EC334A7"/>
    <w:rsid w:val="3EC678BC"/>
    <w:rsid w:val="3ED01824"/>
    <w:rsid w:val="3EE067CA"/>
    <w:rsid w:val="3EEF26AB"/>
    <w:rsid w:val="3EF21C38"/>
    <w:rsid w:val="3EF57D05"/>
    <w:rsid w:val="3EF96B38"/>
    <w:rsid w:val="3F002CCF"/>
    <w:rsid w:val="3F0566FF"/>
    <w:rsid w:val="3F0605BE"/>
    <w:rsid w:val="3F06365D"/>
    <w:rsid w:val="3F0A3CA5"/>
    <w:rsid w:val="3F0B1DB8"/>
    <w:rsid w:val="3F0E6EA3"/>
    <w:rsid w:val="3F122278"/>
    <w:rsid w:val="3F155D82"/>
    <w:rsid w:val="3F261DEC"/>
    <w:rsid w:val="3F305E06"/>
    <w:rsid w:val="3F47737F"/>
    <w:rsid w:val="3F523976"/>
    <w:rsid w:val="3F52626A"/>
    <w:rsid w:val="3F5322DF"/>
    <w:rsid w:val="3F556A35"/>
    <w:rsid w:val="3F5867B3"/>
    <w:rsid w:val="3F5A301C"/>
    <w:rsid w:val="3F637202"/>
    <w:rsid w:val="3F65418C"/>
    <w:rsid w:val="3F664F14"/>
    <w:rsid w:val="3F6763B0"/>
    <w:rsid w:val="3F6D1D36"/>
    <w:rsid w:val="3F6D2017"/>
    <w:rsid w:val="3F7339EB"/>
    <w:rsid w:val="3F770167"/>
    <w:rsid w:val="3F7D65D1"/>
    <w:rsid w:val="3F836296"/>
    <w:rsid w:val="3F9526FD"/>
    <w:rsid w:val="3F960218"/>
    <w:rsid w:val="3F9B508E"/>
    <w:rsid w:val="3FA01128"/>
    <w:rsid w:val="3FA10F73"/>
    <w:rsid w:val="3FA51002"/>
    <w:rsid w:val="3FA5548C"/>
    <w:rsid w:val="3FB1448E"/>
    <w:rsid w:val="3FB33F0F"/>
    <w:rsid w:val="3FB56B87"/>
    <w:rsid w:val="3FB827B0"/>
    <w:rsid w:val="3FB9798A"/>
    <w:rsid w:val="3FBC4DF5"/>
    <w:rsid w:val="3FBE226E"/>
    <w:rsid w:val="3FC74EA5"/>
    <w:rsid w:val="3FC80A13"/>
    <w:rsid w:val="3FC924C5"/>
    <w:rsid w:val="3FD001E0"/>
    <w:rsid w:val="3FD35125"/>
    <w:rsid w:val="3FDD5AA3"/>
    <w:rsid w:val="3FDD60EB"/>
    <w:rsid w:val="3FE1611D"/>
    <w:rsid w:val="3FE9762E"/>
    <w:rsid w:val="3FEB7EF7"/>
    <w:rsid w:val="3FF0534A"/>
    <w:rsid w:val="3FFC6AA1"/>
    <w:rsid w:val="3FFE725C"/>
    <w:rsid w:val="400D4689"/>
    <w:rsid w:val="40171E63"/>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C87F0D"/>
    <w:rsid w:val="40E13187"/>
    <w:rsid w:val="40E4111E"/>
    <w:rsid w:val="40F110C9"/>
    <w:rsid w:val="40F71EFC"/>
    <w:rsid w:val="40FA7D3C"/>
    <w:rsid w:val="40FC6040"/>
    <w:rsid w:val="41013098"/>
    <w:rsid w:val="41046C1A"/>
    <w:rsid w:val="410A66D3"/>
    <w:rsid w:val="411252F5"/>
    <w:rsid w:val="41216561"/>
    <w:rsid w:val="4126157E"/>
    <w:rsid w:val="412E1703"/>
    <w:rsid w:val="41341D04"/>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E168E"/>
    <w:rsid w:val="41B000EA"/>
    <w:rsid w:val="41B625DB"/>
    <w:rsid w:val="41BB28C5"/>
    <w:rsid w:val="41C505B5"/>
    <w:rsid w:val="41D7643D"/>
    <w:rsid w:val="41D80DF6"/>
    <w:rsid w:val="41F41099"/>
    <w:rsid w:val="41F4144D"/>
    <w:rsid w:val="41F425A0"/>
    <w:rsid w:val="41FD1E4D"/>
    <w:rsid w:val="42004A07"/>
    <w:rsid w:val="42036CED"/>
    <w:rsid w:val="420445BE"/>
    <w:rsid w:val="42044B55"/>
    <w:rsid w:val="42106699"/>
    <w:rsid w:val="421D3532"/>
    <w:rsid w:val="422747DE"/>
    <w:rsid w:val="423D7E2C"/>
    <w:rsid w:val="4253494B"/>
    <w:rsid w:val="42563DD4"/>
    <w:rsid w:val="425F0874"/>
    <w:rsid w:val="42605991"/>
    <w:rsid w:val="42624CEC"/>
    <w:rsid w:val="426B2083"/>
    <w:rsid w:val="42745271"/>
    <w:rsid w:val="42746AFF"/>
    <w:rsid w:val="427A2426"/>
    <w:rsid w:val="428622E0"/>
    <w:rsid w:val="428740C5"/>
    <w:rsid w:val="4295023B"/>
    <w:rsid w:val="42A72E3E"/>
    <w:rsid w:val="42A9771E"/>
    <w:rsid w:val="42AF06BF"/>
    <w:rsid w:val="42AF744D"/>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3451E7"/>
    <w:rsid w:val="433454E3"/>
    <w:rsid w:val="43380FA2"/>
    <w:rsid w:val="433914CB"/>
    <w:rsid w:val="434030C7"/>
    <w:rsid w:val="434321EE"/>
    <w:rsid w:val="4357411B"/>
    <w:rsid w:val="43624524"/>
    <w:rsid w:val="436E4602"/>
    <w:rsid w:val="43773B38"/>
    <w:rsid w:val="437C303F"/>
    <w:rsid w:val="437E59F4"/>
    <w:rsid w:val="437F0235"/>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51B86"/>
    <w:rsid w:val="43D5596E"/>
    <w:rsid w:val="43D946DF"/>
    <w:rsid w:val="43DD3E84"/>
    <w:rsid w:val="43E63A35"/>
    <w:rsid w:val="43EA4AD8"/>
    <w:rsid w:val="43EA731F"/>
    <w:rsid w:val="43EF4362"/>
    <w:rsid w:val="43F5608C"/>
    <w:rsid w:val="43FA20D7"/>
    <w:rsid w:val="440433D0"/>
    <w:rsid w:val="440A1D09"/>
    <w:rsid w:val="44105FE6"/>
    <w:rsid w:val="44163757"/>
    <w:rsid w:val="442E6250"/>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B2020"/>
    <w:rsid w:val="450005C9"/>
    <w:rsid w:val="450E225C"/>
    <w:rsid w:val="450E5F3E"/>
    <w:rsid w:val="451C3C3F"/>
    <w:rsid w:val="45202195"/>
    <w:rsid w:val="45282E33"/>
    <w:rsid w:val="45361C96"/>
    <w:rsid w:val="45367180"/>
    <w:rsid w:val="453936A0"/>
    <w:rsid w:val="4555071F"/>
    <w:rsid w:val="455B027F"/>
    <w:rsid w:val="45634F36"/>
    <w:rsid w:val="456433C3"/>
    <w:rsid w:val="4566286A"/>
    <w:rsid w:val="456653F0"/>
    <w:rsid w:val="456745BB"/>
    <w:rsid w:val="45677DA7"/>
    <w:rsid w:val="45743F66"/>
    <w:rsid w:val="45761FD8"/>
    <w:rsid w:val="457B0C49"/>
    <w:rsid w:val="45864B77"/>
    <w:rsid w:val="458A06CD"/>
    <w:rsid w:val="458D3A63"/>
    <w:rsid w:val="4597177B"/>
    <w:rsid w:val="45A85821"/>
    <w:rsid w:val="45AA0EA4"/>
    <w:rsid w:val="45AC57A6"/>
    <w:rsid w:val="45AF03CF"/>
    <w:rsid w:val="45B23BD8"/>
    <w:rsid w:val="45B31674"/>
    <w:rsid w:val="45B52BBB"/>
    <w:rsid w:val="45C3178B"/>
    <w:rsid w:val="45C56C6C"/>
    <w:rsid w:val="45C81474"/>
    <w:rsid w:val="45C85D55"/>
    <w:rsid w:val="45C91BC6"/>
    <w:rsid w:val="45CD1312"/>
    <w:rsid w:val="45CE3F02"/>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304A60"/>
    <w:rsid w:val="47321070"/>
    <w:rsid w:val="47383706"/>
    <w:rsid w:val="473F3443"/>
    <w:rsid w:val="47442FEA"/>
    <w:rsid w:val="47476898"/>
    <w:rsid w:val="474825BA"/>
    <w:rsid w:val="47524966"/>
    <w:rsid w:val="475E1AB6"/>
    <w:rsid w:val="4764753D"/>
    <w:rsid w:val="47663624"/>
    <w:rsid w:val="4779594B"/>
    <w:rsid w:val="477E3FE9"/>
    <w:rsid w:val="478E58BD"/>
    <w:rsid w:val="47997ECC"/>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2080D"/>
    <w:rsid w:val="48B5518F"/>
    <w:rsid w:val="48BE6136"/>
    <w:rsid w:val="48C17060"/>
    <w:rsid w:val="48D22DB3"/>
    <w:rsid w:val="48D93445"/>
    <w:rsid w:val="48DA1D9C"/>
    <w:rsid w:val="48DC218D"/>
    <w:rsid w:val="48DF3D7D"/>
    <w:rsid w:val="48E4725A"/>
    <w:rsid w:val="48E915DE"/>
    <w:rsid w:val="48EB611E"/>
    <w:rsid w:val="48F7177C"/>
    <w:rsid w:val="490008E6"/>
    <w:rsid w:val="490425AB"/>
    <w:rsid w:val="49076238"/>
    <w:rsid w:val="49104838"/>
    <w:rsid w:val="49200C47"/>
    <w:rsid w:val="49250443"/>
    <w:rsid w:val="49267368"/>
    <w:rsid w:val="49276313"/>
    <w:rsid w:val="492F1B04"/>
    <w:rsid w:val="4930158D"/>
    <w:rsid w:val="493166F2"/>
    <w:rsid w:val="493E2578"/>
    <w:rsid w:val="4943084D"/>
    <w:rsid w:val="495B2F5A"/>
    <w:rsid w:val="49660B64"/>
    <w:rsid w:val="496E056A"/>
    <w:rsid w:val="497930F9"/>
    <w:rsid w:val="497E5F0E"/>
    <w:rsid w:val="49895BF9"/>
    <w:rsid w:val="49896889"/>
    <w:rsid w:val="498B006E"/>
    <w:rsid w:val="499C126E"/>
    <w:rsid w:val="49A20032"/>
    <w:rsid w:val="49A82756"/>
    <w:rsid w:val="49A86BF4"/>
    <w:rsid w:val="49A902DE"/>
    <w:rsid w:val="49A961CD"/>
    <w:rsid w:val="49B337E8"/>
    <w:rsid w:val="49B57903"/>
    <w:rsid w:val="49BB0B72"/>
    <w:rsid w:val="49CD3C98"/>
    <w:rsid w:val="49E27CCF"/>
    <w:rsid w:val="49F44446"/>
    <w:rsid w:val="49F543E3"/>
    <w:rsid w:val="49FA00AE"/>
    <w:rsid w:val="4A037F7B"/>
    <w:rsid w:val="4A0C3345"/>
    <w:rsid w:val="4A12511A"/>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F4D9F"/>
    <w:rsid w:val="4B2B654D"/>
    <w:rsid w:val="4B2D2A9B"/>
    <w:rsid w:val="4B313BE7"/>
    <w:rsid w:val="4B331125"/>
    <w:rsid w:val="4B3405F9"/>
    <w:rsid w:val="4B473804"/>
    <w:rsid w:val="4B5151AA"/>
    <w:rsid w:val="4B537CBF"/>
    <w:rsid w:val="4B550153"/>
    <w:rsid w:val="4B641191"/>
    <w:rsid w:val="4B694B3A"/>
    <w:rsid w:val="4B76529F"/>
    <w:rsid w:val="4B797876"/>
    <w:rsid w:val="4B7A237E"/>
    <w:rsid w:val="4B815FB3"/>
    <w:rsid w:val="4B86443F"/>
    <w:rsid w:val="4B9A0C4D"/>
    <w:rsid w:val="4B9B3B70"/>
    <w:rsid w:val="4B9E7936"/>
    <w:rsid w:val="4BB7667A"/>
    <w:rsid w:val="4BBA25CD"/>
    <w:rsid w:val="4BBB242F"/>
    <w:rsid w:val="4BC15B7C"/>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80D78"/>
    <w:rsid w:val="4C3D0756"/>
    <w:rsid w:val="4C3D5FB7"/>
    <w:rsid w:val="4C4C1686"/>
    <w:rsid w:val="4C513E4B"/>
    <w:rsid w:val="4C603F1D"/>
    <w:rsid w:val="4C635D18"/>
    <w:rsid w:val="4C670EB1"/>
    <w:rsid w:val="4C712086"/>
    <w:rsid w:val="4C7120EC"/>
    <w:rsid w:val="4C7B3D80"/>
    <w:rsid w:val="4C7C605E"/>
    <w:rsid w:val="4C7E2355"/>
    <w:rsid w:val="4C847264"/>
    <w:rsid w:val="4C970E7B"/>
    <w:rsid w:val="4CC1054F"/>
    <w:rsid w:val="4CCE079D"/>
    <w:rsid w:val="4CCE3699"/>
    <w:rsid w:val="4CEA4F4D"/>
    <w:rsid w:val="4CEC58DB"/>
    <w:rsid w:val="4CEF637A"/>
    <w:rsid w:val="4CF00FB6"/>
    <w:rsid w:val="4CF16277"/>
    <w:rsid w:val="4CF4672D"/>
    <w:rsid w:val="4CFA2AAF"/>
    <w:rsid w:val="4D035A68"/>
    <w:rsid w:val="4D0F26CE"/>
    <w:rsid w:val="4D147026"/>
    <w:rsid w:val="4D1478EC"/>
    <w:rsid w:val="4D165C91"/>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E090F"/>
    <w:rsid w:val="4DAC6E91"/>
    <w:rsid w:val="4DAE3711"/>
    <w:rsid w:val="4DB63BC4"/>
    <w:rsid w:val="4DB7591C"/>
    <w:rsid w:val="4DBB2984"/>
    <w:rsid w:val="4DCC46DA"/>
    <w:rsid w:val="4DDD5EB7"/>
    <w:rsid w:val="4DDE45A5"/>
    <w:rsid w:val="4DE5023D"/>
    <w:rsid w:val="4DEB419D"/>
    <w:rsid w:val="4DF267CF"/>
    <w:rsid w:val="4DF6484E"/>
    <w:rsid w:val="4E043A0E"/>
    <w:rsid w:val="4E0B5D31"/>
    <w:rsid w:val="4E125681"/>
    <w:rsid w:val="4E1339D8"/>
    <w:rsid w:val="4E145C86"/>
    <w:rsid w:val="4E187CF8"/>
    <w:rsid w:val="4E1A5C2E"/>
    <w:rsid w:val="4E2B3781"/>
    <w:rsid w:val="4E337E4B"/>
    <w:rsid w:val="4E365771"/>
    <w:rsid w:val="4E3C5DC0"/>
    <w:rsid w:val="4E446F8B"/>
    <w:rsid w:val="4E4D4DE2"/>
    <w:rsid w:val="4E5669BF"/>
    <w:rsid w:val="4E651EA6"/>
    <w:rsid w:val="4E6757B0"/>
    <w:rsid w:val="4E6C4048"/>
    <w:rsid w:val="4E783D17"/>
    <w:rsid w:val="4E805C19"/>
    <w:rsid w:val="4E836C4E"/>
    <w:rsid w:val="4E865BCD"/>
    <w:rsid w:val="4E957162"/>
    <w:rsid w:val="4E9E60B6"/>
    <w:rsid w:val="4EA27ACB"/>
    <w:rsid w:val="4EB379F2"/>
    <w:rsid w:val="4EB838E0"/>
    <w:rsid w:val="4EBC3167"/>
    <w:rsid w:val="4EBC6632"/>
    <w:rsid w:val="4EBD4562"/>
    <w:rsid w:val="4EBD5620"/>
    <w:rsid w:val="4EBE0F4C"/>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7041A7"/>
    <w:rsid w:val="4F7349ED"/>
    <w:rsid w:val="4F7C7D62"/>
    <w:rsid w:val="4F88390E"/>
    <w:rsid w:val="4F8865D2"/>
    <w:rsid w:val="4F9102E3"/>
    <w:rsid w:val="4F9A400D"/>
    <w:rsid w:val="4FA11827"/>
    <w:rsid w:val="4FA57761"/>
    <w:rsid w:val="4FA82F77"/>
    <w:rsid w:val="4FAB07C1"/>
    <w:rsid w:val="4FC12B67"/>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76E6F"/>
    <w:rsid w:val="50200664"/>
    <w:rsid w:val="502151EE"/>
    <w:rsid w:val="5022333C"/>
    <w:rsid w:val="50312196"/>
    <w:rsid w:val="50417E32"/>
    <w:rsid w:val="504768E3"/>
    <w:rsid w:val="504F0FB9"/>
    <w:rsid w:val="504F769B"/>
    <w:rsid w:val="50537FDD"/>
    <w:rsid w:val="50622728"/>
    <w:rsid w:val="507554C6"/>
    <w:rsid w:val="507D0063"/>
    <w:rsid w:val="508F1D63"/>
    <w:rsid w:val="508F6AC4"/>
    <w:rsid w:val="509A55F2"/>
    <w:rsid w:val="50A36924"/>
    <w:rsid w:val="50A732FC"/>
    <w:rsid w:val="50AA341E"/>
    <w:rsid w:val="50AB4E2F"/>
    <w:rsid w:val="50AC2418"/>
    <w:rsid w:val="50B421A0"/>
    <w:rsid w:val="50B70FED"/>
    <w:rsid w:val="50BA643F"/>
    <w:rsid w:val="50BC2897"/>
    <w:rsid w:val="50DA2205"/>
    <w:rsid w:val="50E57F59"/>
    <w:rsid w:val="50EA61D3"/>
    <w:rsid w:val="50FC41E2"/>
    <w:rsid w:val="510319B4"/>
    <w:rsid w:val="510A4E7D"/>
    <w:rsid w:val="51187091"/>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E4C2D"/>
    <w:rsid w:val="51A15787"/>
    <w:rsid w:val="51A23180"/>
    <w:rsid w:val="51A44533"/>
    <w:rsid w:val="51B12C2B"/>
    <w:rsid w:val="51B625E5"/>
    <w:rsid w:val="51BB3190"/>
    <w:rsid w:val="51C31AB3"/>
    <w:rsid w:val="51C50057"/>
    <w:rsid w:val="51CA6470"/>
    <w:rsid w:val="51CF3752"/>
    <w:rsid w:val="51D221A2"/>
    <w:rsid w:val="51DB590D"/>
    <w:rsid w:val="51DC7D4F"/>
    <w:rsid w:val="51E372D3"/>
    <w:rsid w:val="51E952C3"/>
    <w:rsid w:val="51F763C2"/>
    <w:rsid w:val="52082F0E"/>
    <w:rsid w:val="520A4FD4"/>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6536B"/>
    <w:rsid w:val="528D1636"/>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2EF275D"/>
    <w:rsid w:val="53035F10"/>
    <w:rsid w:val="530445BC"/>
    <w:rsid w:val="53073E74"/>
    <w:rsid w:val="53176C42"/>
    <w:rsid w:val="53184746"/>
    <w:rsid w:val="531972CB"/>
    <w:rsid w:val="53227F73"/>
    <w:rsid w:val="532342A1"/>
    <w:rsid w:val="532E4AC7"/>
    <w:rsid w:val="533E55DF"/>
    <w:rsid w:val="5360600D"/>
    <w:rsid w:val="53703765"/>
    <w:rsid w:val="5376095E"/>
    <w:rsid w:val="537A04E8"/>
    <w:rsid w:val="537D7719"/>
    <w:rsid w:val="53874180"/>
    <w:rsid w:val="53991F46"/>
    <w:rsid w:val="53A430C7"/>
    <w:rsid w:val="53B71A0D"/>
    <w:rsid w:val="53BA49C0"/>
    <w:rsid w:val="53BF11FF"/>
    <w:rsid w:val="53C2398F"/>
    <w:rsid w:val="53C92C10"/>
    <w:rsid w:val="53CF606A"/>
    <w:rsid w:val="53D111B0"/>
    <w:rsid w:val="53D73576"/>
    <w:rsid w:val="53E22364"/>
    <w:rsid w:val="53E35749"/>
    <w:rsid w:val="53EB4289"/>
    <w:rsid w:val="53F67F24"/>
    <w:rsid w:val="53FE5A9E"/>
    <w:rsid w:val="541C5A78"/>
    <w:rsid w:val="54257FE2"/>
    <w:rsid w:val="5428581F"/>
    <w:rsid w:val="542B47E5"/>
    <w:rsid w:val="54312A0A"/>
    <w:rsid w:val="54451C08"/>
    <w:rsid w:val="5450152B"/>
    <w:rsid w:val="545412A1"/>
    <w:rsid w:val="54591BCD"/>
    <w:rsid w:val="546936FE"/>
    <w:rsid w:val="546A602B"/>
    <w:rsid w:val="547034CA"/>
    <w:rsid w:val="547801F9"/>
    <w:rsid w:val="54877824"/>
    <w:rsid w:val="54967702"/>
    <w:rsid w:val="549B60CA"/>
    <w:rsid w:val="54A746D1"/>
    <w:rsid w:val="54B14984"/>
    <w:rsid w:val="54B34E33"/>
    <w:rsid w:val="54BC09E2"/>
    <w:rsid w:val="54C257FC"/>
    <w:rsid w:val="54C51C65"/>
    <w:rsid w:val="54C766D3"/>
    <w:rsid w:val="54DB3842"/>
    <w:rsid w:val="54E32310"/>
    <w:rsid w:val="54E35B83"/>
    <w:rsid w:val="54E5570D"/>
    <w:rsid w:val="54E656A9"/>
    <w:rsid w:val="54E85406"/>
    <w:rsid w:val="54EE0227"/>
    <w:rsid w:val="54EE4DEC"/>
    <w:rsid w:val="54F93AE7"/>
    <w:rsid w:val="54F97DEB"/>
    <w:rsid w:val="55012EF3"/>
    <w:rsid w:val="55022588"/>
    <w:rsid w:val="550D4E7F"/>
    <w:rsid w:val="551B3ADB"/>
    <w:rsid w:val="55252910"/>
    <w:rsid w:val="552677BE"/>
    <w:rsid w:val="55313992"/>
    <w:rsid w:val="553772EA"/>
    <w:rsid w:val="553A6D2E"/>
    <w:rsid w:val="5546635B"/>
    <w:rsid w:val="55507B46"/>
    <w:rsid w:val="55534568"/>
    <w:rsid w:val="555A0EDC"/>
    <w:rsid w:val="55677E49"/>
    <w:rsid w:val="55692EAC"/>
    <w:rsid w:val="55714147"/>
    <w:rsid w:val="557C295E"/>
    <w:rsid w:val="557C5B0B"/>
    <w:rsid w:val="55812735"/>
    <w:rsid w:val="55861EC8"/>
    <w:rsid w:val="5588140B"/>
    <w:rsid w:val="55891D85"/>
    <w:rsid w:val="5592013C"/>
    <w:rsid w:val="55A57957"/>
    <w:rsid w:val="55AA469C"/>
    <w:rsid w:val="55BC12E8"/>
    <w:rsid w:val="55BD3120"/>
    <w:rsid w:val="55BF56EA"/>
    <w:rsid w:val="55C103AC"/>
    <w:rsid w:val="55C423B5"/>
    <w:rsid w:val="55C6074D"/>
    <w:rsid w:val="55C86079"/>
    <w:rsid w:val="55CC5297"/>
    <w:rsid w:val="55DA77E0"/>
    <w:rsid w:val="55EE6E58"/>
    <w:rsid w:val="55F2238E"/>
    <w:rsid w:val="55F24132"/>
    <w:rsid w:val="55FB05FF"/>
    <w:rsid w:val="55FC794D"/>
    <w:rsid w:val="56012A7B"/>
    <w:rsid w:val="56172C84"/>
    <w:rsid w:val="56206259"/>
    <w:rsid w:val="562219AC"/>
    <w:rsid w:val="56230DC5"/>
    <w:rsid w:val="562B59B0"/>
    <w:rsid w:val="56387876"/>
    <w:rsid w:val="56391384"/>
    <w:rsid w:val="564C27AB"/>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F50794"/>
    <w:rsid w:val="56F82259"/>
    <w:rsid w:val="56FC12BF"/>
    <w:rsid w:val="570426CC"/>
    <w:rsid w:val="57103E85"/>
    <w:rsid w:val="571E4103"/>
    <w:rsid w:val="5724356E"/>
    <w:rsid w:val="573B396A"/>
    <w:rsid w:val="576019A8"/>
    <w:rsid w:val="576E1A2E"/>
    <w:rsid w:val="576F00D0"/>
    <w:rsid w:val="57780B15"/>
    <w:rsid w:val="577C7921"/>
    <w:rsid w:val="577D6052"/>
    <w:rsid w:val="578130EB"/>
    <w:rsid w:val="5781472D"/>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E359C9"/>
    <w:rsid w:val="57E8494C"/>
    <w:rsid w:val="57F75230"/>
    <w:rsid w:val="57FA5E75"/>
    <w:rsid w:val="58000E35"/>
    <w:rsid w:val="58222E9F"/>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DE296B"/>
    <w:rsid w:val="58E05B85"/>
    <w:rsid w:val="58F141D6"/>
    <w:rsid w:val="58F9654F"/>
    <w:rsid w:val="58F979E8"/>
    <w:rsid w:val="58FB6C25"/>
    <w:rsid w:val="58FE08ED"/>
    <w:rsid w:val="59061DAE"/>
    <w:rsid w:val="5914669F"/>
    <w:rsid w:val="591557DB"/>
    <w:rsid w:val="591A5C30"/>
    <w:rsid w:val="591C4B79"/>
    <w:rsid w:val="591F2957"/>
    <w:rsid w:val="592F1CE2"/>
    <w:rsid w:val="59371CA9"/>
    <w:rsid w:val="593C5853"/>
    <w:rsid w:val="593E005D"/>
    <w:rsid w:val="5940158A"/>
    <w:rsid w:val="594606CC"/>
    <w:rsid w:val="594B6D49"/>
    <w:rsid w:val="59697600"/>
    <w:rsid w:val="596C25D4"/>
    <w:rsid w:val="597028E6"/>
    <w:rsid w:val="597D38D7"/>
    <w:rsid w:val="598A75D0"/>
    <w:rsid w:val="59935094"/>
    <w:rsid w:val="5995496F"/>
    <w:rsid w:val="59A62A34"/>
    <w:rsid w:val="59AB1748"/>
    <w:rsid w:val="59B159CB"/>
    <w:rsid w:val="59B51848"/>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E6004"/>
    <w:rsid w:val="5AAB402B"/>
    <w:rsid w:val="5AAF46FD"/>
    <w:rsid w:val="5AB36954"/>
    <w:rsid w:val="5ABE401A"/>
    <w:rsid w:val="5AC526EE"/>
    <w:rsid w:val="5ACB4B14"/>
    <w:rsid w:val="5AD45224"/>
    <w:rsid w:val="5ADC6365"/>
    <w:rsid w:val="5B0A16D4"/>
    <w:rsid w:val="5B0B0FE2"/>
    <w:rsid w:val="5B1029A0"/>
    <w:rsid w:val="5B18258F"/>
    <w:rsid w:val="5B28216A"/>
    <w:rsid w:val="5B2B1ACA"/>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AB4BEE"/>
    <w:rsid w:val="5BB210AD"/>
    <w:rsid w:val="5BB47B97"/>
    <w:rsid w:val="5BB81EEF"/>
    <w:rsid w:val="5BC23198"/>
    <w:rsid w:val="5BC52C1C"/>
    <w:rsid w:val="5BCE2157"/>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674F"/>
    <w:rsid w:val="5C6F57DC"/>
    <w:rsid w:val="5C7E0DF8"/>
    <w:rsid w:val="5C7E39D8"/>
    <w:rsid w:val="5C8A31FF"/>
    <w:rsid w:val="5C9F55AA"/>
    <w:rsid w:val="5CA474D4"/>
    <w:rsid w:val="5CA84AC1"/>
    <w:rsid w:val="5CAC4293"/>
    <w:rsid w:val="5CB64B19"/>
    <w:rsid w:val="5CBD7A62"/>
    <w:rsid w:val="5CC164AE"/>
    <w:rsid w:val="5CC22998"/>
    <w:rsid w:val="5CC5766D"/>
    <w:rsid w:val="5CC829D4"/>
    <w:rsid w:val="5CD22245"/>
    <w:rsid w:val="5CD612EC"/>
    <w:rsid w:val="5CD620EF"/>
    <w:rsid w:val="5CD63CB1"/>
    <w:rsid w:val="5CD75EB0"/>
    <w:rsid w:val="5CE00BB1"/>
    <w:rsid w:val="5CE76E4E"/>
    <w:rsid w:val="5CE97CE3"/>
    <w:rsid w:val="5CF06B97"/>
    <w:rsid w:val="5CF85D55"/>
    <w:rsid w:val="5CFA67A0"/>
    <w:rsid w:val="5CFF2C7D"/>
    <w:rsid w:val="5CFF66F4"/>
    <w:rsid w:val="5D042519"/>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8E7C73"/>
    <w:rsid w:val="5D9832F3"/>
    <w:rsid w:val="5D9934EC"/>
    <w:rsid w:val="5D9C1E54"/>
    <w:rsid w:val="5DAB1E9E"/>
    <w:rsid w:val="5DB53FF3"/>
    <w:rsid w:val="5DBC3F54"/>
    <w:rsid w:val="5DC328CA"/>
    <w:rsid w:val="5DCA57DD"/>
    <w:rsid w:val="5DD74A14"/>
    <w:rsid w:val="5DDB163B"/>
    <w:rsid w:val="5DDC2477"/>
    <w:rsid w:val="5DF11D42"/>
    <w:rsid w:val="5DFA2E17"/>
    <w:rsid w:val="5DFB0C01"/>
    <w:rsid w:val="5E006537"/>
    <w:rsid w:val="5E1D2155"/>
    <w:rsid w:val="5E2374D1"/>
    <w:rsid w:val="5E401AFE"/>
    <w:rsid w:val="5E454E01"/>
    <w:rsid w:val="5E490493"/>
    <w:rsid w:val="5E4C4204"/>
    <w:rsid w:val="5E4D4054"/>
    <w:rsid w:val="5E4F4CEC"/>
    <w:rsid w:val="5E517BBA"/>
    <w:rsid w:val="5E521705"/>
    <w:rsid w:val="5E656142"/>
    <w:rsid w:val="5E680B19"/>
    <w:rsid w:val="5E7334F8"/>
    <w:rsid w:val="5E7805FF"/>
    <w:rsid w:val="5E7859D6"/>
    <w:rsid w:val="5E842B6A"/>
    <w:rsid w:val="5E875A07"/>
    <w:rsid w:val="5E8C1E30"/>
    <w:rsid w:val="5E911FAC"/>
    <w:rsid w:val="5E92137B"/>
    <w:rsid w:val="5E9373FC"/>
    <w:rsid w:val="5EA67DEF"/>
    <w:rsid w:val="5EAA11B3"/>
    <w:rsid w:val="5EB95510"/>
    <w:rsid w:val="5EB956EE"/>
    <w:rsid w:val="5EC57A3D"/>
    <w:rsid w:val="5ECB275F"/>
    <w:rsid w:val="5ECE2836"/>
    <w:rsid w:val="5EDB5813"/>
    <w:rsid w:val="5EE2308E"/>
    <w:rsid w:val="5EE35C8C"/>
    <w:rsid w:val="5EEC409E"/>
    <w:rsid w:val="5EF2448C"/>
    <w:rsid w:val="5EF442F3"/>
    <w:rsid w:val="5F051F15"/>
    <w:rsid w:val="5F222082"/>
    <w:rsid w:val="5F37319D"/>
    <w:rsid w:val="5F3A21FA"/>
    <w:rsid w:val="5F490636"/>
    <w:rsid w:val="5F4A6244"/>
    <w:rsid w:val="5F6219E5"/>
    <w:rsid w:val="5F7D5743"/>
    <w:rsid w:val="5F810563"/>
    <w:rsid w:val="5F824D0A"/>
    <w:rsid w:val="5F902061"/>
    <w:rsid w:val="5F91364B"/>
    <w:rsid w:val="5F942C15"/>
    <w:rsid w:val="5F982E68"/>
    <w:rsid w:val="5F983E6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95F65"/>
    <w:rsid w:val="60200E33"/>
    <w:rsid w:val="6023016C"/>
    <w:rsid w:val="602924AC"/>
    <w:rsid w:val="602B5AAA"/>
    <w:rsid w:val="60334B2A"/>
    <w:rsid w:val="603E7B8A"/>
    <w:rsid w:val="60420933"/>
    <w:rsid w:val="6056292C"/>
    <w:rsid w:val="6063156C"/>
    <w:rsid w:val="606502AC"/>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E02B8F"/>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4050A9"/>
    <w:rsid w:val="61465E1A"/>
    <w:rsid w:val="614B5BCE"/>
    <w:rsid w:val="614D1495"/>
    <w:rsid w:val="614D2B5A"/>
    <w:rsid w:val="6155426A"/>
    <w:rsid w:val="615755AF"/>
    <w:rsid w:val="615D6475"/>
    <w:rsid w:val="61620240"/>
    <w:rsid w:val="616730ED"/>
    <w:rsid w:val="616C2054"/>
    <w:rsid w:val="616E3976"/>
    <w:rsid w:val="617D0D60"/>
    <w:rsid w:val="618321F0"/>
    <w:rsid w:val="618563BE"/>
    <w:rsid w:val="61861C69"/>
    <w:rsid w:val="61867017"/>
    <w:rsid w:val="618B084B"/>
    <w:rsid w:val="618E1E6E"/>
    <w:rsid w:val="618F22FB"/>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A5B62"/>
    <w:rsid w:val="6203062B"/>
    <w:rsid w:val="62070260"/>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F03B38"/>
    <w:rsid w:val="63F731A5"/>
    <w:rsid w:val="63FC766C"/>
    <w:rsid w:val="63FE2454"/>
    <w:rsid w:val="64022F76"/>
    <w:rsid w:val="64084173"/>
    <w:rsid w:val="641269AD"/>
    <w:rsid w:val="641C56F8"/>
    <w:rsid w:val="64231408"/>
    <w:rsid w:val="643A7824"/>
    <w:rsid w:val="644A3F96"/>
    <w:rsid w:val="64553AA4"/>
    <w:rsid w:val="64564ED9"/>
    <w:rsid w:val="645A5737"/>
    <w:rsid w:val="646029D7"/>
    <w:rsid w:val="64603768"/>
    <w:rsid w:val="646270E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04BC"/>
    <w:rsid w:val="64C03551"/>
    <w:rsid w:val="64C6530B"/>
    <w:rsid w:val="64D9451E"/>
    <w:rsid w:val="64DB77D5"/>
    <w:rsid w:val="64F31974"/>
    <w:rsid w:val="64FA5C63"/>
    <w:rsid w:val="6507069F"/>
    <w:rsid w:val="65127100"/>
    <w:rsid w:val="6532464B"/>
    <w:rsid w:val="653A34E5"/>
    <w:rsid w:val="653C6B1D"/>
    <w:rsid w:val="65433415"/>
    <w:rsid w:val="65463750"/>
    <w:rsid w:val="654E3228"/>
    <w:rsid w:val="65537C6B"/>
    <w:rsid w:val="655C685E"/>
    <w:rsid w:val="656160AB"/>
    <w:rsid w:val="65622086"/>
    <w:rsid w:val="65644A63"/>
    <w:rsid w:val="656E3321"/>
    <w:rsid w:val="65757B8D"/>
    <w:rsid w:val="65764BA6"/>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03D06"/>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C2655F"/>
    <w:rsid w:val="66D01D1D"/>
    <w:rsid w:val="66D20F68"/>
    <w:rsid w:val="66D6103F"/>
    <w:rsid w:val="66DB5E51"/>
    <w:rsid w:val="66DC2051"/>
    <w:rsid w:val="66E77E06"/>
    <w:rsid w:val="66F861FA"/>
    <w:rsid w:val="670027A0"/>
    <w:rsid w:val="67037752"/>
    <w:rsid w:val="67050D51"/>
    <w:rsid w:val="67050D97"/>
    <w:rsid w:val="67091904"/>
    <w:rsid w:val="670E178E"/>
    <w:rsid w:val="6717419C"/>
    <w:rsid w:val="67212735"/>
    <w:rsid w:val="673611CB"/>
    <w:rsid w:val="674A450B"/>
    <w:rsid w:val="674B4E59"/>
    <w:rsid w:val="675005EC"/>
    <w:rsid w:val="675E366D"/>
    <w:rsid w:val="67635837"/>
    <w:rsid w:val="67690F3D"/>
    <w:rsid w:val="676B3A7C"/>
    <w:rsid w:val="676D52AA"/>
    <w:rsid w:val="677011BD"/>
    <w:rsid w:val="6770452E"/>
    <w:rsid w:val="67750EBE"/>
    <w:rsid w:val="67816012"/>
    <w:rsid w:val="67842D1C"/>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E97A89"/>
    <w:rsid w:val="67F27764"/>
    <w:rsid w:val="6802359C"/>
    <w:rsid w:val="68081463"/>
    <w:rsid w:val="680A257F"/>
    <w:rsid w:val="680E50C8"/>
    <w:rsid w:val="681541C3"/>
    <w:rsid w:val="681674DF"/>
    <w:rsid w:val="681D6FA0"/>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D61F1"/>
    <w:rsid w:val="691E3879"/>
    <w:rsid w:val="69211467"/>
    <w:rsid w:val="69257A7E"/>
    <w:rsid w:val="69277662"/>
    <w:rsid w:val="69344B19"/>
    <w:rsid w:val="69345F83"/>
    <w:rsid w:val="69392613"/>
    <w:rsid w:val="69392966"/>
    <w:rsid w:val="693C2B63"/>
    <w:rsid w:val="694E1147"/>
    <w:rsid w:val="69520D7A"/>
    <w:rsid w:val="69573B6E"/>
    <w:rsid w:val="696206D3"/>
    <w:rsid w:val="6967756D"/>
    <w:rsid w:val="6968644A"/>
    <w:rsid w:val="697011ED"/>
    <w:rsid w:val="69826A24"/>
    <w:rsid w:val="698B2061"/>
    <w:rsid w:val="699B6DC8"/>
    <w:rsid w:val="69A97058"/>
    <w:rsid w:val="69AB6F60"/>
    <w:rsid w:val="69C8002E"/>
    <w:rsid w:val="69CF04C1"/>
    <w:rsid w:val="69D32FE1"/>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B0B6C"/>
    <w:rsid w:val="6A3C0BF8"/>
    <w:rsid w:val="6A423E55"/>
    <w:rsid w:val="6A470981"/>
    <w:rsid w:val="6A4747AF"/>
    <w:rsid w:val="6A49294B"/>
    <w:rsid w:val="6A562B91"/>
    <w:rsid w:val="6A57299A"/>
    <w:rsid w:val="6A697946"/>
    <w:rsid w:val="6A6D6854"/>
    <w:rsid w:val="6A700CED"/>
    <w:rsid w:val="6A7017D7"/>
    <w:rsid w:val="6AA235D3"/>
    <w:rsid w:val="6AA31D3D"/>
    <w:rsid w:val="6AB02B50"/>
    <w:rsid w:val="6AB14532"/>
    <w:rsid w:val="6ABB2ED0"/>
    <w:rsid w:val="6AC335C4"/>
    <w:rsid w:val="6ACC0F11"/>
    <w:rsid w:val="6ADB4318"/>
    <w:rsid w:val="6ADD7DFD"/>
    <w:rsid w:val="6AE2135D"/>
    <w:rsid w:val="6AE77D3D"/>
    <w:rsid w:val="6AE93C28"/>
    <w:rsid w:val="6AF05F1A"/>
    <w:rsid w:val="6B036D80"/>
    <w:rsid w:val="6B0451AB"/>
    <w:rsid w:val="6B160110"/>
    <w:rsid w:val="6B21434C"/>
    <w:rsid w:val="6B237C36"/>
    <w:rsid w:val="6B2718FD"/>
    <w:rsid w:val="6B2A147B"/>
    <w:rsid w:val="6B2B4CFC"/>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B248CC"/>
    <w:rsid w:val="6BBC0DCF"/>
    <w:rsid w:val="6BCA6179"/>
    <w:rsid w:val="6BD0777F"/>
    <w:rsid w:val="6BD619EE"/>
    <w:rsid w:val="6BEA64E2"/>
    <w:rsid w:val="6BFA7E30"/>
    <w:rsid w:val="6BFB030F"/>
    <w:rsid w:val="6C016CAE"/>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2391B"/>
    <w:rsid w:val="6C660C8B"/>
    <w:rsid w:val="6C6A716D"/>
    <w:rsid w:val="6C6C6ED7"/>
    <w:rsid w:val="6C71767A"/>
    <w:rsid w:val="6C7C1F44"/>
    <w:rsid w:val="6C827094"/>
    <w:rsid w:val="6C8559E0"/>
    <w:rsid w:val="6C8D26FB"/>
    <w:rsid w:val="6CC25213"/>
    <w:rsid w:val="6CD76A8F"/>
    <w:rsid w:val="6CDE47C9"/>
    <w:rsid w:val="6CE0702D"/>
    <w:rsid w:val="6CE83295"/>
    <w:rsid w:val="6CEE220B"/>
    <w:rsid w:val="6CEE246E"/>
    <w:rsid w:val="6CF27A30"/>
    <w:rsid w:val="6CF6067E"/>
    <w:rsid w:val="6D032BD4"/>
    <w:rsid w:val="6D0535EE"/>
    <w:rsid w:val="6D077405"/>
    <w:rsid w:val="6D0A3519"/>
    <w:rsid w:val="6D133D59"/>
    <w:rsid w:val="6D175B2B"/>
    <w:rsid w:val="6D264EC5"/>
    <w:rsid w:val="6D26662C"/>
    <w:rsid w:val="6D2B3CDC"/>
    <w:rsid w:val="6D330DB7"/>
    <w:rsid w:val="6D437763"/>
    <w:rsid w:val="6D4B2385"/>
    <w:rsid w:val="6D4C07B8"/>
    <w:rsid w:val="6D5B1179"/>
    <w:rsid w:val="6D671B76"/>
    <w:rsid w:val="6D6D28AF"/>
    <w:rsid w:val="6D771293"/>
    <w:rsid w:val="6D7D0954"/>
    <w:rsid w:val="6D8153B2"/>
    <w:rsid w:val="6D876AB7"/>
    <w:rsid w:val="6D8F154F"/>
    <w:rsid w:val="6D9757D1"/>
    <w:rsid w:val="6D9C3974"/>
    <w:rsid w:val="6DA062EA"/>
    <w:rsid w:val="6DA65DBF"/>
    <w:rsid w:val="6DA76631"/>
    <w:rsid w:val="6DAF65CC"/>
    <w:rsid w:val="6DB157A2"/>
    <w:rsid w:val="6DB25F3D"/>
    <w:rsid w:val="6DBA586C"/>
    <w:rsid w:val="6DBE0B3F"/>
    <w:rsid w:val="6DBF7294"/>
    <w:rsid w:val="6DC53FBD"/>
    <w:rsid w:val="6DC93FE2"/>
    <w:rsid w:val="6DCA77EA"/>
    <w:rsid w:val="6DD35114"/>
    <w:rsid w:val="6DDE35E8"/>
    <w:rsid w:val="6DE65A7A"/>
    <w:rsid w:val="6DE92FA2"/>
    <w:rsid w:val="6DEE0E7D"/>
    <w:rsid w:val="6DEF6BC8"/>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F6D88"/>
    <w:rsid w:val="6E702FE8"/>
    <w:rsid w:val="6E706B87"/>
    <w:rsid w:val="6E766C71"/>
    <w:rsid w:val="6E7926F7"/>
    <w:rsid w:val="6E7B110F"/>
    <w:rsid w:val="6E8A2A35"/>
    <w:rsid w:val="6EA04FAE"/>
    <w:rsid w:val="6EAA59A3"/>
    <w:rsid w:val="6EAA79ED"/>
    <w:rsid w:val="6EB029C1"/>
    <w:rsid w:val="6EC161BE"/>
    <w:rsid w:val="6ECD08F1"/>
    <w:rsid w:val="6EDF2531"/>
    <w:rsid w:val="6EE1335D"/>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10B29"/>
    <w:rsid w:val="6FAA2D8A"/>
    <w:rsid w:val="6FC02217"/>
    <w:rsid w:val="6FC34E9D"/>
    <w:rsid w:val="6FC60A07"/>
    <w:rsid w:val="6FC90F86"/>
    <w:rsid w:val="6FCD3BC3"/>
    <w:rsid w:val="6FCE2BBA"/>
    <w:rsid w:val="6FDF40F5"/>
    <w:rsid w:val="6FE0165C"/>
    <w:rsid w:val="6FE05F95"/>
    <w:rsid w:val="6FF06B6B"/>
    <w:rsid w:val="6FF97C31"/>
    <w:rsid w:val="6FFC64FF"/>
    <w:rsid w:val="7001428F"/>
    <w:rsid w:val="700E7127"/>
    <w:rsid w:val="70133236"/>
    <w:rsid w:val="70156307"/>
    <w:rsid w:val="7016485B"/>
    <w:rsid w:val="701C590F"/>
    <w:rsid w:val="702033F7"/>
    <w:rsid w:val="702D10A9"/>
    <w:rsid w:val="70315D3B"/>
    <w:rsid w:val="703D58C4"/>
    <w:rsid w:val="70453D87"/>
    <w:rsid w:val="704E5E48"/>
    <w:rsid w:val="7053674B"/>
    <w:rsid w:val="7055360F"/>
    <w:rsid w:val="70642BE6"/>
    <w:rsid w:val="706F497B"/>
    <w:rsid w:val="70724AB3"/>
    <w:rsid w:val="70916EF8"/>
    <w:rsid w:val="709261ED"/>
    <w:rsid w:val="70A02568"/>
    <w:rsid w:val="70AD230C"/>
    <w:rsid w:val="70B91785"/>
    <w:rsid w:val="70C41020"/>
    <w:rsid w:val="70CC1017"/>
    <w:rsid w:val="70CF255C"/>
    <w:rsid w:val="70DC2C89"/>
    <w:rsid w:val="70DD041E"/>
    <w:rsid w:val="70DD743F"/>
    <w:rsid w:val="70DD7EE0"/>
    <w:rsid w:val="70E3150B"/>
    <w:rsid w:val="70E67B77"/>
    <w:rsid w:val="70F323B0"/>
    <w:rsid w:val="70FD7C9B"/>
    <w:rsid w:val="710221FA"/>
    <w:rsid w:val="71094431"/>
    <w:rsid w:val="710D3478"/>
    <w:rsid w:val="710F7585"/>
    <w:rsid w:val="711805A6"/>
    <w:rsid w:val="711A79AD"/>
    <w:rsid w:val="71217446"/>
    <w:rsid w:val="71224F32"/>
    <w:rsid w:val="7123463F"/>
    <w:rsid w:val="713B1ED6"/>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256D8"/>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FE3E8E"/>
    <w:rsid w:val="731B711B"/>
    <w:rsid w:val="731C3ED2"/>
    <w:rsid w:val="731E5631"/>
    <w:rsid w:val="732009B8"/>
    <w:rsid w:val="732B0C72"/>
    <w:rsid w:val="733271A4"/>
    <w:rsid w:val="73330C63"/>
    <w:rsid w:val="733863E3"/>
    <w:rsid w:val="733A3332"/>
    <w:rsid w:val="733C1D9D"/>
    <w:rsid w:val="733E46B2"/>
    <w:rsid w:val="733E586B"/>
    <w:rsid w:val="733E59D9"/>
    <w:rsid w:val="734B3969"/>
    <w:rsid w:val="73597F33"/>
    <w:rsid w:val="7375490C"/>
    <w:rsid w:val="73757E63"/>
    <w:rsid w:val="737D2F4F"/>
    <w:rsid w:val="738B029F"/>
    <w:rsid w:val="73900D21"/>
    <w:rsid w:val="739A7114"/>
    <w:rsid w:val="739F2349"/>
    <w:rsid w:val="739F6287"/>
    <w:rsid w:val="73A242CD"/>
    <w:rsid w:val="73A935F2"/>
    <w:rsid w:val="73AC333B"/>
    <w:rsid w:val="73B11DBC"/>
    <w:rsid w:val="73B1795C"/>
    <w:rsid w:val="73B51018"/>
    <w:rsid w:val="73C340B3"/>
    <w:rsid w:val="73C72DB3"/>
    <w:rsid w:val="73C854F0"/>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7C70"/>
    <w:rsid w:val="74521009"/>
    <w:rsid w:val="74632A31"/>
    <w:rsid w:val="7465205B"/>
    <w:rsid w:val="746954DB"/>
    <w:rsid w:val="74743C33"/>
    <w:rsid w:val="747640DF"/>
    <w:rsid w:val="747E6036"/>
    <w:rsid w:val="7482175B"/>
    <w:rsid w:val="74843F0D"/>
    <w:rsid w:val="74A67409"/>
    <w:rsid w:val="74B37F42"/>
    <w:rsid w:val="74B94875"/>
    <w:rsid w:val="74BA4FF9"/>
    <w:rsid w:val="74C311F6"/>
    <w:rsid w:val="74C53F19"/>
    <w:rsid w:val="74CA0770"/>
    <w:rsid w:val="74D52F3D"/>
    <w:rsid w:val="74D81528"/>
    <w:rsid w:val="74D96025"/>
    <w:rsid w:val="74DA07A2"/>
    <w:rsid w:val="74E1491C"/>
    <w:rsid w:val="74E67A31"/>
    <w:rsid w:val="74F61278"/>
    <w:rsid w:val="74F90505"/>
    <w:rsid w:val="74FC67D7"/>
    <w:rsid w:val="7501178C"/>
    <w:rsid w:val="75092044"/>
    <w:rsid w:val="75124563"/>
    <w:rsid w:val="751274A1"/>
    <w:rsid w:val="751C2143"/>
    <w:rsid w:val="75295853"/>
    <w:rsid w:val="752D2921"/>
    <w:rsid w:val="752F1869"/>
    <w:rsid w:val="752F2DAC"/>
    <w:rsid w:val="75631790"/>
    <w:rsid w:val="7566472C"/>
    <w:rsid w:val="756B1E1E"/>
    <w:rsid w:val="7578413D"/>
    <w:rsid w:val="757B64ED"/>
    <w:rsid w:val="757C232A"/>
    <w:rsid w:val="75851DCA"/>
    <w:rsid w:val="75895C6B"/>
    <w:rsid w:val="758F3A2A"/>
    <w:rsid w:val="7599617F"/>
    <w:rsid w:val="759D7802"/>
    <w:rsid w:val="75A011FF"/>
    <w:rsid w:val="75A70E4F"/>
    <w:rsid w:val="75AA3F51"/>
    <w:rsid w:val="75B11420"/>
    <w:rsid w:val="75B263D3"/>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F7C59"/>
    <w:rsid w:val="76536622"/>
    <w:rsid w:val="765566B4"/>
    <w:rsid w:val="76605088"/>
    <w:rsid w:val="766477E2"/>
    <w:rsid w:val="7668119A"/>
    <w:rsid w:val="766966D4"/>
    <w:rsid w:val="766E17F9"/>
    <w:rsid w:val="76894FB9"/>
    <w:rsid w:val="768C1EBA"/>
    <w:rsid w:val="768E260E"/>
    <w:rsid w:val="769568F8"/>
    <w:rsid w:val="76993596"/>
    <w:rsid w:val="769F0134"/>
    <w:rsid w:val="76B14AAD"/>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8408C"/>
    <w:rsid w:val="7723073F"/>
    <w:rsid w:val="772527B2"/>
    <w:rsid w:val="772A6A8E"/>
    <w:rsid w:val="773B25F8"/>
    <w:rsid w:val="773B48CE"/>
    <w:rsid w:val="773D0C62"/>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C926F0"/>
    <w:rsid w:val="77CA0362"/>
    <w:rsid w:val="77D17A81"/>
    <w:rsid w:val="77E40C30"/>
    <w:rsid w:val="77FC1B84"/>
    <w:rsid w:val="780752E6"/>
    <w:rsid w:val="780B6CC7"/>
    <w:rsid w:val="78153F77"/>
    <w:rsid w:val="78185315"/>
    <w:rsid w:val="781C67FA"/>
    <w:rsid w:val="782378AE"/>
    <w:rsid w:val="78296DAC"/>
    <w:rsid w:val="783267CC"/>
    <w:rsid w:val="783E418B"/>
    <w:rsid w:val="783F1754"/>
    <w:rsid w:val="784E3C01"/>
    <w:rsid w:val="78570849"/>
    <w:rsid w:val="78575D9F"/>
    <w:rsid w:val="78600977"/>
    <w:rsid w:val="78617AF2"/>
    <w:rsid w:val="78626899"/>
    <w:rsid w:val="786421F2"/>
    <w:rsid w:val="786616B3"/>
    <w:rsid w:val="786E5D08"/>
    <w:rsid w:val="78812F7C"/>
    <w:rsid w:val="78975C7D"/>
    <w:rsid w:val="78A51B95"/>
    <w:rsid w:val="78AA6975"/>
    <w:rsid w:val="78C15B1C"/>
    <w:rsid w:val="78C359B3"/>
    <w:rsid w:val="78C653C1"/>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F537B"/>
    <w:rsid w:val="79344437"/>
    <w:rsid w:val="79367982"/>
    <w:rsid w:val="793D5C2F"/>
    <w:rsid w:val="793F7F0E"/>
    <w:rsid w:val="794A336F"/>
    <w:rsid w:val="79537099"/>
    <w:rsid w:val="79552D08"/>
    <w:rsid w:val="795E7ED2"/>
    <w:rsid w:val="79672E22"/>
    <w:rsid w:val="79677010"/>
    <w:rsid w:val="796E6578"/>
    <w:rsid w:val="797121AE"/>
    <w:rsid w:val="797E1825"/>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66C93"/>
    <w:rsid w:val="79F16E80"/>
    <w:rsid w:val="79F842C2"/>
    <w:rsid w:val="79FA0A29"/>
    <w:rsid w:val="79FC6E04"/>
    <w:rsid w:val="79FE2A4E"/>
    <w:rsid w:val="7A081D42"/>
    <w:rsid w:val="7A0A6E0F"/>
    <w:rsid w:val="7A0A7223"/>
    <w:rsid w:val="7A0C4EA7"/>
    <w:rsid w:val="7A12552F"/>
    <w:rsid w:val="7A1524DD"/>
    <w:rsid w:val="7A1A1772"/>
    <w:rsid w:val="7A1E1DC3"/>
    <w:rsid w:val="7A2751AD"/>
    <w:rsid w:val="7A276994"/>
    <w:rsid w:val="7A2C129F"/>
    <w:rsid w:val="7A3B034D"/>
    <w:rsid w:val="7A3F158B"/>
    <w:rsid w:val="7A4A132A"/>
    <w:rsid w:val="7A535840"/>
    <w:rsid w:val="7A6736BC"/>
    <w:rsid w:val="7A6A7B3B"/>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D71052"/>
    <w:rsid w:val="7AD9797E"/>
    <w:rsid w:val="7ADE3DB2"/>
    <w:rsid w:val="7AE5682B"/>
    <w:rsid w:val="7AEE60EE"/>
    <w:rsid w:val="7B0E060E"/>
    <w:rsid w:val="7B0F5219"/>
    <w:rsid w:val="7B177A77"/>
    <w:rsid w:val="7B193032"/>
    <w:rsid w:val="7B1B1CF8"/>
    <w:rsid w:val="7B26484C"/>
    <w:rsid w:val="7B2B13FD"/>
    <w:rsid w:val="7B3339FA"/>
    <w:rsid w:val="7B346599"/>
    <w:rsid w:val="7B44094D"/>
    <w:rsid w:val="7B460BFD"/>
    <w:rsid w:val="7B4910BE"/>
    <w:rsid w:val="7B4A7A19"/>
    <w:rsid w:val="7B5D3226"/>
    <w:rsid w:val="7B5E4EEC"/>
    <w:rsid w:val="7B674BD7"/>
    <w:rsid w:val="7B722498"/>
    <w:rsid w:val="7B782690"/>
    <w:rsid w:val="7B7F3966"/>
    <w:rsid w:val="7B80148D"/>
    <w:rsid w:val="7B821ADA"/>
    <w:rsid w:val="7B8F5DA2"/>
    <w:rsid w:val="7B926883"/>
    <w:rsid w:val="7BA4369C"/>
    <w:rsid w:val="7BA71440"/>
    <w:rsid w:val="7BAE696E"/>
    <w:rsid w:val="7BAF3C86"/>
    <w:rsid w:val="7BC23E12"/>
    <w:rsid w:val="7BC92A6F"/>
    <w:rsid w:val="7BD36780"/>
    <w:rsid w:val="7BD4048E"/>
    <w:rsid w:val="7BD968AC"/>
    <w:rsid w:val="7BDE524C"/>
    <w:rsid w:val="7BEA5E74"/>
    <w:rsid w:val="7BF577C1"/>
    <w:rsid w:val="7BF9001B"/>
    <w:rsid w:val="7BFE0389"/>
    <w:rsid w:val="7BFE08FA"/>
    <w:rsid w:val="7C091716"/>
    <w:rsid w:val="7C126AEB"/>
    <w:rsid w:val="7C1F2070"/>
    <w:rsid w:val="7C260105"/>
    <w:rsid w:val="7C2900A2"/>
    <w:rsid w:val="7C295D17"/>
    <w:rsid w:val="7C2A10CD"/>
    <w:rsid w:val="7C2D2AE7"/>
    <w:rsid w:val="7C4A5A50"/>
    <w:rsid w:val="7C4B681D"/>
    <w:rsid w:val="7C4C575E"/>
    <w:rsid w:val="7C640974"/>
    <w:rsid w:val="7C643EF7"/>
    <w:rsid w:val="7C690B20"/>
    <w:rsid w:val="7C724EAE"/>
    <w:rsid w:val="7C780AD5"/>
    <w:rsid w:val="7C7A14F2"/>
    <w:rsid w:val="7C7E2FFC"/>
    <w:rsid w:val="7C7F038C"/>
    <w:rsid w:val="7C867154"/>
    <w:rsid w:val="7C8F78D5"/>
    <w:rsid w:val="7C9427B3"/>
    <w:rsid w:val="7C9E5A77"/>
    <w:rsid w:val="7CB74F4A"/>
    <w:rsid w:val="7CB80138"/>
    <w:rsid w:val="7CB838AF"/>
    <w:rsid w:val="7CBE6F50"/>
    <w:rsid w:val="7CC639C6"/>
    <w:rsid w:val="7CC96839"/>
    <w:rsid w:val="7CCC3CFE"/>
    <w:rsid w:val="7CCD12D3"/>
    <w:rsid w:val="7CD505D1"/>
    <w:rsid w:val="7CD534FD"/>
    <w:rsid w:val="7CD6692A"/>
    <w:rsid w:val="7CE215AC"/>
    <w:rsid w:val="7CE25B4A"/>
    <w:rsid w:val="7CE3422B"/>
    <w:rsid w:val="7CE5443B"/>
    <w:rsid w:val="7CE76B7F"/>
    <w:rsid w:val="7CED09D9"/>
    <w:rsid w:val="7CF436AD"/>
    <w:rsid w:val="7CF87323"/>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E15A0"/>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C2B95"/>
    <w:rsid w:val="7E1E3CF4"/>
    <w:rsid w:val="7E212526"/>
    <w:rsid w:val="7E262B03"/>
    <w:rsid w:val="7E2E765A"/>
    <w:rsid w:val="7E324C10"/>
    <w:rsid w:val="7E3B7336"/>
    <w:rsid w:val="7E3D35D7"/>
    <w:rsid w:val="7E466A84"/>
    <w:rsid w:val="7E472FFE"/>
    <w:rsid w:val="7E4A6379"/>
    <w:rsid w:val="7E5248E3"/>
    <w:rsid w:val="7E5A2EA0"/>
    <w:rsid w:val="7E66305F"/>
    <w:rsid w:val="7E6854DB"/>
    <w:rsid w:val="7E6C43B3"/>
    <w:rsid w:val="7E77762F"/>
    <w:rsid w:val="7E793E63"/>
    <w:rsid w:val="7E7B1715"/>
    <w:rsid w:val="7E8031F2"/>
    <w:rsid w:val="7E860496"/>
    <w:rsid w:val="7E956D81"/>
    <w:rsid w:val="7E9611E7"/>
    <w:rsid w:val="7E9963F8"/>
    <w:rsid w:val="7E9D0633"/>
    <w:rsid w:val="7EA82B9C"/>
    <w:rsid w:val="7EB13A3E"/>
    <w:rsid w:val="7EB16AB6"/>
    <w:rsid w:val="7EBD651F"/>
    <w:rsid w:val="7EC05F3D"/>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qFormat/>
    <w:uiPriority w:val="0"/>
  </w:style>
  <w:style w:type="character" w:customStyle="1" w:styleId="57">
    <w:name w:val="hover17"/>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17</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未定义</cp:lastModifiedBy>
  <cp:lastPrinted>2024-03-07T06:33:00Z</cp:lastPrinted>
  <dcterms:modified xsi:type="dcterms:W3CDTF">2024-03-29T06:42:25Z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