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12</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348</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13日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6F99CE4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0B5D1FF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如何看待AI时代的重资产：对高盛“HALO”报告解读</w:t>
      </w:r>
      <w:r>
        <w:rPr>
          <w:rFonts w:hint="eastAsia" w:ascii="Times New Roman" w:hAnsi="Times New Roman" w:eastAsia="方正楷体_GBK" w:cs="Times New Roman"/>
          <w:b/>
          <w:color w:val="auto"/>
          <w:spacing w:val="-20"/>
          <w:kern w:val="36"/>
          <w:sz w:val="30"/>
          <w:szCs w:val="30"/>
          <w:lang w:val="en-US" w:eastAsia="zh-CN"/>
        </w:rPr>
        <w:t xml:space="preserve">  / </w:t>
      </w:r>
      <w:r>
        <w:rPr>
          <w:rFonts w:hint="eastAsia" w:ascii="Times New Roman" w:hAnsi="Times New Roman" w:eastAsia="方正楷体_GBK" w:cs="Times New Roman"/>
          <w:b/>
          <w:bCs w:val="0"/>
          <w:color w:val="auto"/>
          <w:spacing w:val="-20"/>
          <w:kern w:val="36"/>
          <w:sz w:val="30"/>
          <w:szCs w:val="30"/>
          <w:lang w:val="en-US" w:eastAsia="zh-CN"/>
        </w:rPr>
        <w:t>02</w:t>
      </w:r>
    </w:p>
    <w:p w14:paraId="6302D35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eastAsia"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高油价的美国悖论：能源生产大国为何仍受重创</w:t>
      </w:r>
      <w:r>
        <w:rPr>
          <w:rFonts w:hint="eastAsia" w:ascii="Times New Roman" w:hAnsi="Times New Roman" w:eastAsia="方正楷体_GBK" w:cs="Times New Roman"/>
          <w:b/>
          <w:color w:val="auto"/>
          <w:spacing w:val="-28"/>
          <w:kern w:val="36"/>
          <w:sz w:val="30"/>
          <w:szCs w:val="30"/>
          <w:lang w:val="en-US" w:eastAsia="zh-CN"/>
        </w:rPr>
        <w:t xml:space="preserve">  </w:t>
      </w:r>
      <w:r>
        <w:rPr>
          <w:rFonts w:hint="eastAsia" w:ascii="Times New Roman" w:hAnsi="Times New Roman" w:eastAsia="方正楷体_GBK" w:cs="Times New Roman"/>
          <w:b/>
          <w:color w:val="auto"/>
          <w:spacing w:val="-20"/>
          <w:kern w:val="36"/>
          <w:sz w:val="30"/>
          <w:szCs w:val="30"/>
          <w:lang w:val="en-US" w:eastAsia="zh-CN"/>
        </w:rPr>
        <w:t xml:space="preserve">/ </w:t>
      </w:r>
      <w:r>
        <w:rPr>
          <w:rFonts w:hint="eastAsia" w:ascii="Times New Roman" w:hAnsi="Times New Roman" w:eastAsia="方正楷体_GBK" w:cs="Times New Roman"/>
          <w:b/>
          <w:bCs w:val="0"/>
          <w:color w:val="auto"/>
          <w:spacing w:val="-20"/>
          <w:kern w:val="36"/>
          <w:sz w:val="30"/>
          <w:szCs w:val="30"/>
          <w:lang w:val="en-US" w:eastAsia="zh-CN"/>
        </w:rPr>
        <w:t>09</w:t>
      </w:r>
    </w:p>
    <w:p w14:paraId="44D12007">
      <w:pPr>
        <w:keepNext w:val="0"/>
        <w:keepLines w:val="0"/>
        <w:pageBreakBefore w:val="0"/>
        <w:widowControl w:val="0"/>
        <w:kinsoku/>
        <w:wordWrap/>
        <w:overflowPunct/>
        <w:topLinePunct w:val="0"/>
        <w:autoSpaceDE/>
        <w:autoSpaceDN/>
        <w:bidi w:val="0"/>
        <w:adjustRightInd/>
        <w:snapToGrid/>
        <w:spacing w:line="500" w:lineRule="exact"/>
        <w:ind w:right="0" w:rightChars="0" w:firstLine="568" w:firstLineChars="200"/>
        <w:jc w:val="both"/>
        <w:textAlignment w:val="auto"/>
        <w:outlineLvl w:val="9"/>
        <w:rPr>
          <w:rFonts w:hint="default" w:ascii="方正黑体_GBK" w:hAnsi="方正黑体_GBK" w:eastAsia="方正黑体_GBK" w:cs="方正黑体_GBK"/>
          <w:b w:val="0"/>
          <w:bCs w:val="0"/>
          <w:sz w:val="32"/>
          <w:szCs w:val="32"/>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全球贸易的脆弱咽喉：从海上通道到价格体系的重构 </w:t>
      </w:r>
      <w:r>
        <w:rPr>
          <w:rFonts w:hint="eastAsia" w:ascii="Times New Roman" w:hAnsi="Times New Roman" w:eastAsia="方正楷体_GBK" w:cs="Times New Roman"/>
          <w:b/>
          <w:color w:val="auto"/>
          <w:spacing w:val="-20"/>
          <w:kern w:val="36"/>
          <w:sz w:val="30"/>
          <w:szCs w:val="30"/>
          <w:lang w:val="en-US" w:eastAsia="zh-CN"/>
        </w:rPr>
        <w:t xml:space="preserve">/ </w:t>
      </w:r>
      <w:r>
        <w:rPr>
          <w:rFonts w:hint="eastAsia" w:ascii="Times New Roman" w:hAnsi="Times New Roman" w:eastAsia="方正楷体_GBK" w:cs="Times New Roman"/>
          <w:b/>
          <w:bCs w:val="0"/>
          <w:color w:val="auto"/>
          <w:spacing w:val="-20"/>
          <w:kern w:val="36"/>
          <w:sz w:val="30"/>
          <w:szCs w:val="30"/>
          <w:lang w:val="en-US" w:eastAsia="zh-CN"/>
        </w:rPr>
        <w:t>17</w:t>
      </w:r>
    </w:p>
    <w:p w14:paraId="52BDF4C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default" w:ascii="Times New Roman" w:hAnsi="Times New Roman" w:eastAsia="方正楷体_GBK" w:cs="Times New Roman"/>
          <w:b/>
          <w:bCs w:val="0"/>
          <w:color w:val="auto"/>
          <w:spacing w:val="-20"/>
          <w:kern w:val="36"/>
          <w:sz w:val="30"/>
          <w:szCs w:val="30"/>
          <w:lang w:val="en-US" w:eastAsia="zh-CN"/>
        </w:rPr>
      </w:pPr>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0"/>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亚示照明参编国家照明标准近日实施</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28</w:t>
      </w:r>
    </w:p>
    <w:p w14:paraId="4CCA9017">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德恒南京成功入选2025年度南京律师行业专业建设</w:t>
      </w:r>
    </w:p>
    <w:p w14:paraId="5ED6037D">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成果评选团体名单</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29</w:t>
      </w:r>
    </w:p>
    <w:p w14:paraId="302B3E09">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2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苏豪会展赋能江苏企业亮相第六届跨交</w:t>
      </w:r>
      <w:r>
        <w:rPr>
          <w:rFonts w:hint="eastAsia" w:ascii="Times New Roman" w:hAnsi="Times New Roman" w:eastAsia="方正楷体_GBK" w:cs="Times New Roman"/>
          <w:b/>
          <w:color w:val="auto"/>
          <w:spacing w:val="-2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30</w:t>
      </w:r>
    </w:p>
    <w:p w14:paraId="75C95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5B19549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381CEB0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如何看待AI时代的重资产：对高盛</w:t>
      </w:r>
    </w:p>
    <w:p w14:paraId="57DA067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方正仿宋_GBK" w:cs="Times New Roman"/>
          <w:b w:val="0"/>
          <w:bCs w:val="0"/>
          <w:sz w:val="32"/>
          <w:szCs w:val="32"/>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“HALO”报告解读</w:t>
      </w:r>
    </w:p>
    <w:p w14:paraId="5A560B0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p>
    <w:p w14:paraId="572130D3">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：本文围绕高盛</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年发布的《</w:t>
      </w:r>
      <w:r>
        <w:rPr>
          <w:rFonts w:hint="eastAsia" w:ascii="Times New Roman" w:hAnsi="Times New Roman" w:eastAsia="方正楷体_GBK" w:cs="Times New Roman"/>
          <w:b w:val="0"/>
          <w:bCs w:val="0"/>
          <w:sz w:val="28"/>
          <w:szCs w:val="28"/>
          <w:lang w:val="en-US" w:eastAsia="zh-CN"/>
        </w:rPr>
        <w:t>HALO</w:t>
      </w:r>
      <w:r>
        <w:rPr>
          <w:rFonts w:hint="eastAsia" w:ascii="方正楷体_GBK" w:hAnsi="方正楷体_GBK" w:eastAsia="方正楷体_GBK" w:cs="方正楷体_GBK"/>
          <w:b w:val="0"/>
          <w:bCs w:val="0"/>
          <w:sz w:val="28"/>
          <w:szCs w:val="28"/>
          <w:lang w:val="en-US" w:eastAsia="zh-CN"/>
        </w:rPr>
        <w:t>效应：</w:t>
      </w:r>
      <w:r>
        <w:rPr>
          <w:rFonts w:hint="eastAsia" w:ascii="Times New Roman" w:hAnsi="Times New Roman" w:eastAsia="方正楷体_GBK" w:cs="Times New Roman"/>
          <w:b w:val="0"/>
          <w:bCs w:val="0"/>
          <w:sz w:val="28"/>
          <w:szCs w:val="28"/>
          <w:lang w:val="en-US" w:eastAsia="zh-CN"/>
        </w:rPr>
        <w:t>AI</w:t>
      </w:r>
      <w:r>
        <w:rPr>
          <w:rFonts w:hint="eastAsia" w:ascii="方正楷体_GBK" w:hAnsi="方正楷体_GBK" w:eastAsia="方正楷体_GBK" w:cs="方正楷体_GBK"/>
          <w:b w:val="0"/>
          <w:bCs w:val="0"/>
          <w:sz w:val="28"/>
          <w:szCs w:val="28"/>
          <w:lang w:val="en-US" w:eastAsia="zh-CN"/>
        </w:rPr>
        <w:t>时代的重资产、低淘汰》报告展开深度解读，核心研究</w:t>
      </w:r>
      <w:r>
        <w:rPr>
          <w:rFonts w:hint="eastAsia" w:ascii="Times New Roman" w:hAnsi="Times New Roman" w:eastAsia="方正楷体_GBK" w:cs="Times New Roman"/>
          <w:b w:val="0"/>
          <w:bCs w:val="0"/>
          <w:sz w:val="28"/>
          <w:szCs w:val="28"/>
          <w:lang w:val="en-US" w:eastAsia="zh-CN"/>
        </w:rPr>
        <w:t>AI</w:t>
      </w:r>
      <w:r>
        <w:rPr>
          <w:rFonts w:hint="eastAsia" w:ascii="方正楷体_GBK" w:hAnsi="方正楷体_GBK" w:eastAsia="方正楷体_GBK" w:cs="方正楷体_GBK"/>
          <w:b w:val="0"/>
          <w:bCs w:val="0"/>
          <w:sz w:val="28"/>
          <w:szCs w:val="28"/>
          <w:lang w:val="en-US" w:eastAsia="zh-CN"/>
        </w:rPr>
        <w:t>技术变革下全球资本市场定价逻辑的深层转变，属于</w:t>
      </w:r>
      <w:r>
        <w:rPr>
          <w:rFonts w:hint="eastAsia" w:ascii="Times New Roman" w:hAnsi="Times New Roman" w:eastAsia="方正楷体_GBK" w:cs="Times New Roman"/>
          <w:b w:val="0"/>
          <w:bCs w:val="0"/>
          <w:sz w:val="28"/>
          <w:szCs w:val="28"/>
          <w:lang w:val="en-US" w:eastAsia="zh-CN"/>
        </w:rPr>
        <w:t>AI</w:t>
      </w:r>
      <w:r>
        <w:rPr>
          <w:rFonts w:hint="eastAsia" w:ascii="方正楷体_GBK" w:hAnsi="方正楷体_GBK" w:eastAsia="方正楷体_GBK" w:cs="方正楷体_GBK"/>
          <w:b w:val="0"/>
          <w:bCs w:val="0"/>
          <w:sz w:val="28"/>
          <w:szCs w:val="28"/>
          <w:lang w:val="en-US" w:eastAsia="zh-CN"/>
        </w:rPr>
        <w:t>产业经济、宏观投资与资产定价交叉研究领域。文章首先阐释了</w:t>
      </w:r>
      <w:r>
        <w:rPr>
          <w:rFonts w:hint="eastAsia" w:ascii="Times New Roman" w:hAnsi="Times New Roman" w:eastAsia="方正楷体_GBK" w:cs="Times New Roman"/>
          <w:b w:val="0"/>
          <w:bCs w:val="0"/>
          <w:sz w:val="28"/>
          <w:szCs w:val="28"/>
          <w:lang w:val="en-US" w:eastAsia="zh-CN"/>
        </w:rPr>
        <w:t>HALO</w:t>
      </w:r>
      <w:r>
        <w:rPr>
          <w:rFonts w:hint="eastAsia" w:ascii="方正楷体_GBK" w:hAnsi="方正楷体_GBK" w:eastAsia="方正楷体_GBK" w:cs="方正楷体_GBK"/>
          <w:b w:val="0"/>
          <w:bCs w:val="0"/>
          <w:sz w:val="28"/>
          <w:szCs w:val="28"/>
          <w:lang w:val="en-US" w:eastAsia="zh-CN"/>
        </w:rPr>
        <w:t>的核心内涵，即重资产、低淘汰的实体资产，特指具备高进入壁垒、长经济寿命、难以被技术迭代颠覆的基础设施与长周期工业产能。文章梳理了报告的核心论证逻辑：</w:t>
      </w:r>
      <w:r>
        <w:rPr>
          <w:rFonts w:hint="eastAsia" w:ascii="Times New Roman" w:hAnsi="Times New Roman" w:eastAsia="方正楷体_GBK" w:cs="Times New Roman"/>
          <w:b w:val="0"/>
          <w:bCs w:val="0"/>
          <w:sz w:val="28"/>
          <w:szCs w:val="28"/>
          <w:lang w:val="en-US" w:eastAsia="zh-CN"/>
        </w:rPr>
        <w:t>AI</w:t>
      </w:r>
      <w:r>
        <w:rPr>
          <w:rFonts w:hint="eastAsia" w:ascii="方正楷体_GBK" w:hAnsi="方正楷体_GBK" w:eastAsia="方正楷体_GBK" w:cs="方正楷体_GBK"/>
          <w:b w:val="0"/>
          <w:bCs w:val="0"/>
          <w:sz w:val="28"/>
          <w:szCs w:val="28"/>
          <w:lang w:val="en-US" w:eastAsia="zh-CN"/>
        </w:rPr>
        <w:t>发展与高利率、地缘供应链重构等宏观环境，弱化了轻资产模式的估值溢价，而</w:t>
      </w:r>
      <w:r>
        <w:rPr>
          <w:rFonts w:hint="eastAsia" w:ascii="Times New Roman" w:hAnsi="Times New Roman" w:eastAsia="方正楷体_GBK" w:cs="Times New Roman"/>
          <w:b w:val="0"/>
          <w:bCs w:val="0"/>
          <w:sz w:val="28"/>
          <w:szCs w:val="28"/>
          <w:lang w:val="en-US" w:eastAsia="zh-CN"/>
        </w:rPr>
        <w:t>HALO</w:t>
      </w:r>
      <w:r>
        <w:rPr>
          <w:rFonts w:hint="eastAsia" w:ascii="方正楷体_GBK" w:hAnsi="方正楷体_GBK" w:eastAsia="方正楷体_GBK" w:cs="方正楷体_GBK"/>
          <w:b w:val="0"/>
          <w:bCs w:val="0"/>
          <w:sz w:val="28"/>
          <w:szCs w:val="28"/>
          <w:lang w:val="en-US" w:eastAsia="zh-CN"/>
        </w:rPr>
        <w:t>资产因</w:t>
      </w:r>
      <w:r>
        <w:rPr>
          <w:rFonts w:hint="eastAsia" w:ascii="Times New Roman" w:hAnsi="Times New Roman" w:eastAsia="方正楷体_GBK" w:cs="Times New Roman"/>
          <w:b w:val="0"/>
          <w:bCs w:val="0"/>
          <w:sz w:val="28"/>
          <w:szCs w:val="28"/>
          <w:lang w:val="en-US" w:eastAsia="zh-CN"/>
        </w:rPr>
        <w:t>AI</w:t>
      </w:r>
      <w:r>
        <w:rPr>
          <w:rFonts w:hint="eastAsia" w:ascii="方正楷体_GBK" w:hAnsi="方正楷体_GBK" w:eastAsia="方正楷体_GBK" w:cs="方正楷体_GBK"/>
          <w:b w:val="0"/>
          <w:bCs w:val="0"/>
          <w:sz w:val="28"/>
          <w:szCs w:val="28"/>
          <w:lang w:val="en-US" w:eastAsia="zh-CN"/>
        </w:rPr>
        <w:t>落地的刚性需求与稀缺物理壁垒，迎来资本市场价值重估，且市场表现已验证该逻辑。文章进一步剖析了</w:t>
      </w:r>
      <w:r>
        <w:rPr>
          <w:rFonts w:hint="eastAsia" w:ascii="Times New Roman" w:hAnsi="Times New Roman" w:eastAsia="方正楷体_GBK" w:cs="Times New Roman"/>
          <w:b w:val="0"/>
          <w:bCs w:val="0"/>
          <w:sz w:val="28"/>
          <w:szCs w:val="28"/>
          <w:lang w:val="en-US" w:eastAsia="zh-CN"/>
        </w:rPr>
        <w:t>HALO</w:t>
      </w:r>
      <w:r>
        <w:rPr>
          <w:rFonts w:hint="eastAsia" w:ascii="方正楷体_GBK" w:hAnsi="方正楷体_GBK" w:eastAsia="方正楷体_GBK" w:cs="方正楷体_GBK"/>
          <w:b w:val="0"/>
          <w:bCs w:val="0"/>
          <w:sz w:val="28"/>
          <w:szCs w:val="28"/>
          <w:lang w:val="en-US" w:eastAsia="zh-CN"/>
        </w:rPr>
        <w:t>框架对传统估值范式的挑战，揭示了“技术迭代快、物理基建升级慢”的核心产业矛盾，并提出了行业发展的开放性思考。</w:t>
      </w:r>
    </w:p>
    <w:p w14:paraId="6863327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7A2780A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2ABEA58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当大家还在热议AI大模型如何颠覆世界时，高盛全球投资研究部的一份报告，却把目光投向了那些“又笨又重”的实体资产。2月24日，高盛首席全球股票策略师纪尧姆·杰松领衔的团队发布了题为《The HALO Effect: Heavy Assets, Low Obsolescence in the AI Era》（AI时代的重资产、低淘汰效应）的报告，迅速在投资界引发广泛讨论。所谓“HALO”，正是Heavy Assets（重资产）和Low Obsolescence（低淘汰）的缩写。</w:t>
      </w:r>
    </w:p>
    <w:p w14:paraId="3452CEB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一、什么是“</w:t>
      </w:r>
      <w:r>
        <w:rPr>
          <w:rFonts w:hint="default" w:ascii="Times New Roman" w:hAnsi="Times New Roman" w:eastAsia="方正黑体_GBK" w:cs="Times New Roman"/>
          <w:b w:val="0"/>
          <w:bCs w:val="0"/>
          <w:sz w:val="32"/>
          <w:szCs w:val="32"/>
        </w:rPr>
        <w:t>HALO</w:t>
      </w:r>
      <w:r>
        <w:rPr>
          <w:rFonts w:hint="eastAsia" w:ascii="方正黑体_GBK" w:hAnsi="方正黑体_GBK" w:eastAsia="方正黑体_GBK" w:cs="方正黑体_GBK"/>
          <w:b w:val="0"/>
          <w:bCs w:val="0"/>
          <w:sz w:val="32"/>
          <w:szCs w:val="32"/>
        </w:rPr>
        <w:t>”</w:t>
      </w:r>
    </w:p>
    <w:p w14:paraId="13205C9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这份报告的核心观点很直接：股市的定价逻辑正在悄然转变。</w:t>
      </w:r>
    </w:p>
    <w:p w14:paraId="25938D3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十多年，投资市场给予最高估值溢价的是“轻资产”公司——软件、SaaS（云端软件）、数字平台（电商、社交等）等业态。这类企业依托网络效应和极低的边际成本，能在无需大规模实物资本投入的情况下快速扩张，因此长期享受估值溢价。但现在风向变了，投资者开始青睐那些建立在实物资本之上、难以复制、也不容易被新技术快速淘汰的企业。高盛把这类资产统称为“HALO”。</w:t>
      </w:r>
    </w:p>
    <w:p w14:paraId="27F9705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简单来说，重资产是指那些商业模式建立在大量实体资本基础之上的企业或项目，比如建设一座大型工厂、铺设跨区域的油气管网、架设覆盖全国的高压输电网等。其进入门槛极高：不仅需要投入巨额资金，还得耗费漫长的建造时间（有时长达数年甚至十年），工程复杂度极高，而且常常受到严格的监管审批和地理条件的限制。一旦建成，这些资产就形成了难以逾越的物理壁垒，竞争对手很难在短时间内复制。</w:t>
      </w:r>
    </w:p>
    <w:p w14:paraId="7B4122B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而低淘汰风险，则意味着这些实体资产的经济寿命很长，能够跨越好几个技术周期而持续发挥作用，不会像软件代码那样，一遇到新一代AI模型或算法升级就迅速过时。举个例子，一条横跨数千公里的油气管道，可能在几十年内依然是能源运输的核心通道；一座现代化的高压输电网，即使AI技术日新月异，也难以被“虚拟化”或轻易替代。</w:t>
      </w:r>
    </w:p>
    <w:p w14:paraId="5EC029B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报告中列举的典型HALO资产包括：输电网、油气管道、公用事业、交通基础设施（如铁路、港口和机场）、关键工业设备，以及那些更新换代周期远比数字创新缓慢的长周期产能。这些看似“老派”的实体资产，在AI时代反而成了稀缺资源。</w:t>
      </w:r>
    </w:p>
    <w:p w14:paraId="27F31F8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为什么会这样？因为AI的爆发式发展需要海量的电力供应、稳定的能源网络和庞大的物理基础设施来支撑数据中心的运行，而这些重资产正是承载AI落地的“底座”。想象一下，训练一个顶级大模型可能消耗相当于一个小城市一年的用电量，这些电力必须通过实实在在的电网输送，无法仅靠云端算法解决。与软件代码不同，重资产难以被快速复制，也很难在短时间内被新技术彻底取代，因此在市场眼中重新获得了稀缺性和长期价值。</w:t>
      </w:r>
    </w:p>
    <w:p w14:paraId="0227086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二、为什么</w:t>
      </w:r>
      <w:r>
        <w:rPr>
          <w:rFonts w:hint="default" w:ascii="Times New Roman" w:hAnsi="Times New Roman" w:eastAsia="方正黑体_GBK" w:cs="Times New Roman"/>
          <w:b w:val="0"/>
          <w:bCs w:val="0"/>
          <w:sz w:val="32"/>
          <w:szCs w:val="32"/>
        </w:rPr>
        <w:t>HALO</w:t>
      </w:r>
      <w:r>
        <w:rPr>
          <w:rFonts w:hint="eastAsia" w:ascii="方正黑体_GBK" w:hAnsi="方正黑体_GBK" w:eastAsia="方正黑体_GBK" w:cs="方正黑体_GBK"/>
          <w:b w:val="0"/>
          <w:bCs w:val="0"/>
          <w:sz w:val="32"/>
          <w:szCs w:val="32"/>
        </w:rPr>
        <w:t>现在突然火起来</w:t>
      </w:r>
    </w:p>
    <w:p w14:paraId="537D0B3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高盛认为，这股风向的转变并非偶然，而是AI发展和宏观环境共同推动的结果。</w:t>
      </w:r>
    </w:p>
    <w:p w14:paraId="27AF448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十多年，低利率环境下，资金大举涌向轻资产。投资者相信，这类公司扩张快、成本低，未来增长空间几乎无限，估值自然水涨船高。比如一家SaaS公司，可能只需招聘更多工程师、优化云端服务，就能服务全球用户，而不用担心建厂或铺设管网的巨额开支。但从2025年开始，情况发生了明显变化。</w:t>
      </w:r>
    </w:p>
    <w:p w14:paraId="0BC5EE0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方面，AI像一把双刃剑。它让轻资产的护城河越来越脆弱——软件、数字服务越来越容易被复制、被自动化，甚至被更强的AI直接取代。曾经被视为“护城河”的代码和算法，如今可能在几个月内就被开源模型或新一代工具追上；但另一方面，AI的训练和运行却对实体基础设施提出了巨大需求。一座大型数据中心每年的用电量可能相当于一个中等城市的总耗电，这些电力必须通过实实在在的输电网输送，冷却系统需要稳定的供水和工业设备支撑，而这些都离不开重资产的硬支撑。AI越强大，对“物理世界”的依赖反而越深。</w:t>
      </w:r>
    </w:p>
    <w:p w14:paraId="39D844B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另一方面，宏观环境也在推波助澜。实际利率维持在相对较高水平，地缘政治风险上升，全球供应链开始重构，制造业回流和本土化趋势持续推进，政府在基础设施和实体经济领域的财政支持力度也在加大。这些因素共同推高了新建实体资产的成本，同时让过去积累的产能显得更加稀缺，从而让“看得见、摸得着的实体产能”突然变得值钱起来。</w:t>
      </w:r>
    </w:p>
    <w:p w14:paraId="4567112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尤其在欧洲，过去十年基础设施和实体产能的投资明显不足，留下了较大的缺口。很多国家电网老化、港口产能紧张、工业设备更新缓慢。如今，随着AI需求快速上升，企业资本开支占销售收入的比例已升至十年新高。不少公司开始大手笔投资新建或升级工厂、设备和电网，比如德国的汽车巨头加大电池工厂和能源基础设施投入，法国公用事业企业加速电网现代化改造，以填补历史缺口并抓住AI带来的新增长机会。</w:t>
      </w:r>
    </w:p>
    <w:p w14:paraId="478CA29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为了证明自己的判断，高盛研究团队将股票分成资本密集型（重资产/HALO类）和资本轻型两组进行对比。结果显示，从2025年初到现在，重资产组合已经大幅跑赢轻资产组合大约35%。进入2026年，这一领先势头还在继续，两组的估值差距快速缩小。更关键的是，重资产企业的盈利预期也在改善，预计每股收益复合增长率能达到14%，明显高于轻资产的10%。市场资金明显开始偏向价值型策略，而这类策略与重资产高度重合。</w:t>
      </w:r>
    </w:p>
    <w:p w14:paraId="27D6190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简言之，市场正在从疯狂追捧“可以无限复制的代码”，转向大力奖励“实实在在的电网、管道和工厂”。HALO资产既能搭上AI需求的快车，又有实打实的物理壁垒，成了不少投资者眼中的避风港。</w:t>
      </w:r>
    </w:p>
    <w:p w14:paraId="3D1F523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w:t>
      </w:r>
      <w:r>
        <w:rPr>
          <w:rFonts w:hint="default" w:ascii="Times New Roman" w:hAnsi="Times New Roman" w:eastAsia="方正黑体_GBK" w:cs="Times New Roman"/>
          <w:b w:val="0"/>
          <w:bCs w:val="0"/>
          <w:sz w:val="32"/>
          <w:szCs w:val="32"/>
        </w:rPr>
        <w:t>HALO</w:t>
      </w:r>
      <w:r>
        <w:rPr>
          <w:rFonts w:hint="eastAsia" w:ascii="方正黑体_GBK" w:hAnsi="方正黑体_GBK" w:eastAsia="方正黑体_GBK" w:cs="方正黑体_GBK"/>
          <w:b w:val="0"/>
          <w:bCs w:val="0"/>
          <w:sz w:val="32"/>
          <w:szCs w:val="32"/>
        </w:rPr>
        <w:t>报告带来的思考</w:t>
      </w:r>
    </w:p>
    <w:p w14:paraId="2ECE6DB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高盛这份HALO报告真正的意义，不在于简单指出重资产又开始受欢迎，而在于它把AI时代的投资逻辑从“技术颠覆一切”拉回到了“物理世界仍有边界”。</w:t>
      </w:r>
    </w:p>
    <w:p w14:paraId="25E6B3E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十多年，资本市场近乎迷恋“无形资产”的扩张能力，仿佛只要代码写得够好、用户增长够快，就能实现指数级增长。许多投资者曾经相信，一家成功的科技平台公司，其价值主要来自算法和用户数据，几乎可以零边际成本服务全球市场。HALO报告却提醒大家：当AI真正走向大规模落地时，它对电力、土地、设备、工程能力和实体网络的消耗远超想象。这些需求无法通过写代码来满足，必须回到真实世界里去建造。而建造本身，就天然带有高门槛、长周期和稀缺性。</w:t>
      </w:r>
    </w:p>
    <w:p w14:paraId="4D4A279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实际上是在给当前AI热潮带来一丝冷静的思考——技术进步的速度或许惊人，但支撑技术的底层基础设施升级速度却慢得多、贵得多。这种“技术快、物理慢”的错配，正是HALO逻辑得以成立的核心矛盾。比如，AI大模型的参数规模可以每几个月翻倍，但新建一座满足其用电需求的高压变电站，却可能需要三到五年时间，还会面临土地审批、环保评估和巨额资金压力。技术迭代越快，这种时间和成本上的错位就越明显。</w:t>
      </w:r>
    </w:p>
    <w:p w14:paraId="2DD318F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深一层看，HALO框架也在挑战过去主流的估值范式。长期以来，市场习惯用“成长”或“价值”来划分资产，而高盛现在提出了一种新的维度：资产的“重度”与“耐久度”。那些能够跨越多个技术周期、难以被快速淘汰的实体资产，正在获得越来越高的关注度。这可能预示着，未来几年投资风格的切换，不只是价值股与成长股之间的轮动，而是对“资产属性”本身的重新排序。过去被视为“传统”“缓慢”的公用事业和工业基础设施，如今可能因为其难以替代的物理属性而重新获得定价权。</w:t>
      </w:r>
    </w:p>
    <w:p w14:paraId="067288D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这份报告也留下了开放式的问题：当越来越多的资本涌向重资产时，这些领域的供给瓶颈能否有效缓解？更高的建造成本最终会不会传导到AI企业的利润率上？AI带来的需求增长，究竟会让重资产企业长期受益，还是会因为过度投资而导致产能过剩？这些问题目前还没有答案，但HALO报告至少让我们看到，AI时代的故事远不止于模型参数和算力竞赛，它最终还要回到现实世界的砖头、水泥和电缆上去。</w:t>
      </w:r>
    </w:p>
    <w:p w14:paraId="3F65222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在AI狂热席卷市场的当下，高盛的HALO视角提供了一种难得的“反向思考”——有时，最前沿的技术进步，反而会让最传统的资产重新闪光。</w:t>
      </w:r>
    </w:p>
    <w:p w14:paraId="2B35880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附注：SaaS（Software as a Service，软件即服务）是一种典型的轻资产商业模式，指企业通过互联网以订阅方式向用户提供软件服务，用户无需购买和安装传统软件，也无需自行维护服务器和硬件，只需支付订阅费用即可随时使用并按需升级。典型例子包括Zoom（在线视频会议服务）、Salesforce（客户关系管理CRM系统），以及国内广泛使用的钉钉、企业微信等。这类模式的核心优势在于扩张成本低、边际成本接近于零，因此在过去低利率环境下特别受资本市场青睐。</w:t>
      </w:r>
    </w:p>
    <w:p w14:paraId="6DD3590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左亮、刘浩</w:t>
      </w:r>
      <w:r>
        <w:rPr>
          <w:rFonts w:hint="default" w:ascii="Times New Roman" w:hAnsi="Times New Roman" w:eastAsia="方正楷体_GBK" w:cs="方正楷体_GBK"/>
          <w:b/>
          <w:bCs/>
          <w:color w:val="FF0000"/>
          <w:spacing w:val="0"/>
          <w:kern w:val="2"/>
          <w:sz w:val="30"/>
          <w:szCs w:val="30"/>
          <w:lang w:val="en-US" w:eastAsia="zh-CN" w:bidi="ar-SA"/>
        </w:rPr>
        <w:t>）</w:t>
      </w:r>
    </w:p>
    <w:p w14:paraId="748737E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5E52BA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A2A009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p>
    <w:p w14:paraId="5D6E744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高油价的美国悖论：能源生产大国</w:t>
      </w:r>
    </w:p>
    <w:p w14:paraId="694C68E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方正仿宋_GBK" w:cs="Times New Roman"/>
          <w:b w:val="0"/>
          <w:bCs w:val="0"/>
          <w:sz w:val="32"/>
          <w:szCs w:val="32"/>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为何仍受重创</w:t>
      </w:r>
    </w:p>
    <w:p w14:paraId="3DCD58F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p>
    <w:p w14:paraId="16EB854E">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：本文聚焦</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波斯湾冲突引发的国际油价暴涨背景，围绕“美国作为全球最大能源生产国仍受高油价显著冲击”这一核心悖论展开系统性研究，属于能源经济、宏观经济与美国政治经济交叉研究领域。文章首先拆解了美国“能源独立”叙事的结构性幻觉，指出其炼油设施与原油产销的品种错配，是无法对冲国际油价波动的核心根源。在此基础上，文章深入分析了高油价引发的多重连锁效应：美国国内出现能源生产州与消费州的区域财富再分配；资本市场呈现能源板块与其他板块的显著分化，</w:t>
      </w:r>
      <w:r>
        <w:rPr>
          <w:rFonts w:hint="default" w:ascii="Times New Roman" w:hAnsi="Times New Roman" w:eastAsia="方正楷体_GBK" w:cs="Times New Roman"/>
          <w:b w:val="0"/>
          <w:bCs w:val="0"/>
          <w:sz w:val="28"/>
          <w:szCs w:val="28"/>
          <w:lang w:val="en-US" w:eastAsia="zh-CN"/>
        </w:rPr>
        <w:t>AI</w:t>
      </w:r>
      <w:r>
        <w:rPr>
          <w:rFonts w:hint="eastAsia" w:ascii="方正楷体_GBK" w:hAnsi="方正楷体_GBK" w:eastAsia="方正楷体_GBK" w:cs="方正楷体_GBK"/>
          <w:b w:val="0"/>
          <w:bCs w:val="0"/>
          <w:sz w:val="28"/>
          <w:szCs w:val="28"/>
          <w:lang w:val="en-US" w:eastAsia="zh-CN"/>
        </w:rPr>
        <w:t>科技巨头因电力成本刚性上涨面临成长叙事挑战；社会层面不同收入群体的成本分担严重失衡，放大了宏观经济数据与民众体感的割裂，对中期选举形成政治压力。研究揭示了悖论的本质是美国能源产能提升与多元化经济结构的内在张力，为理解美国能源安全与政策困境提供了完整分析框架。</w:t>
      </w:r>
    </w:p>
    <w:p w14:paraId="6CF1C4D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6C024CE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20B6BA1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波斯湾冲突正在美国本土形成鲜明的反差景象。</w:t>
      </w:r>
    </w:p>
    <w:p w14:paraId="6D91B5F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方面，在加州和中西部地区的洲际公路沿线，加油站的油价显示牌清晰可见，无铅汽油零售价已升至接近每加仑4美元，显著高于冲突爆发前的水平。许多驾车者加注燃油时，明显感受到成本压力的增加。另一方面，在德克萨斯州科珀斯克里斯蒂港，大型液化天然气运输船正在排队装载，准备以较高溢价运往欧洲市场。</w:t>
      </w:r>
    </w:p>
    <w:p w14:paraId="4CB1733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这两个场景并存，反映出美国当前面临的一个重要宏观经济矛盾：作为全球最大的能源生产国，美国一方面从高油价中获得部分收益，另一方面却又同时承受着能源价格上涨带来的显著成本压力。</w:t>
      </w:r>
    </w:p>
    <w:p w14:paraId="4DA9507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一、能源独立的幻觉</w:t>
      </w:r>
    </w:p>
    <w:p w14:paraId="40CF3B5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于经历过1970年代滞胀时期的美国民众来说，油价大幅飙升、加油站前排起长队的情景，是正常的集体记忆。如今的背景已发生显著变化。2010年代中期兴起的页岩油革命，极大提升了美国的石油和天然气产量。2019年，美国正式成为石油和天然气的净出口国，这一转变被广泛视为美国能源安全史上的重要里程碑。许多观察者因此认为，美国已实现“能源独立”，能够有效缓冲国际能源市场波动带来的冲击。</w:t>
      </w:r>
    </w:p>
    <w:p w14:paraId="3690DB7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需要指出的是，美国的“能源净出口”地位具有特定的结构性特征。在原油领域，美国并未实现完全自给：国内炼油厂多按加工重质原油设计，这导致美国仍需从加拿大、墨西哥等国进口重质原油，同时将国内生产的轻质页岩油出口海外。因此，美国的净出口主要体现在天然气和成品油范畴，而非原油本身。这一结构性错配意味着，当国际油价飙升时，美国本土炼油成本仍会随国际市场价格联动上涨，无法通过国内生产完全对冲——“能源独立”的幻觉，正建立在这一结构性漏洞之上。</w:t>
      </w:r>
    </w:p>
    <w:p w14:paraId="380DAE3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免疫错觉”的形成，主要源于对美国经济结构的简化理解。美国确实已成为全球最大的能源生产国之一，原油产量长期位居世界前列。但与中东一些以石油为经济支柱的国家不同，美国拥有高度多元化的经济体系。制造业、科技、服务业、农业和金融业等多个板块共同构成了其经济基础，能源产业虽然重要，但并非占据绝对主导地位。</w:t>
      </w:r>
    </w:p>
    <w:p w14:paraId="4AC8FEA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种复杂结构下，国际油价的剧烈波动依然会通过多种渠道传导至美国国内经济。高盛的最新模型分析显示，受波斯湾冲突及相关能源市场扰动影响，美国2026年GDP增长预期已被下调约0.3个百分点。这一调整幅度虽然不算剧烈，却表明即使在能源净出口的背景下，美国经济仍难以完全摆脱国际能源价格波动带来的压力。</w:t>
      </w:r>
    </w:p>
    <w:p w14:paraId="495932D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二、不同区域的财富转移</w:t>
      </w:r>
    </w:p>
    <w:p w14:paraId="5851636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0.3个百分点的GDP增长下调幅度看似温和，但掩盖了能源冲击带来的财富再分配效应。当原油价格从战前约70美元/桶快速升至110美元附近时，这些额外增加的成本并未在经济系统中凭空消失，而是通过价格传导机制，在美国国内不同经济板块之间进行了实质性的转移。</w:t>
      </w:r>
    </w:p>
    <w:p w14:paraId="1F34D15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地理维度来看，美国正经历一场显著的区域财富转移。回顾2022年俄乌冲突期间，虽然多数州的经济活动出现放缓，但德克萨斯州、阿拉斯加州、新墨西哥州以及北达科他州等能源资源富集的州，却呈现出逆势增长的态势。这些以化石燃料生产为重要支柱的州，在美国GDP中的合计占比约为13%，在当前高油价环境下已成为相对受益的区域。</w:t>
      </w:r>
    </w:p>
    <w:p w14:paraId="0C201E0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意味着，能源产出州通过较高的油气价格，对能源消费型州施加了一定的隐性成本压力。纽约的金融服务业、加州的科技与创新产业，以及中西部地区的制造业等，都在不同程度上承担了能源成本上升带来的负担。此次能源价格冲击的传导强度，可能比2022年更为显著，主要原因是当前油价上涨的速度和幅度均超过此前，且持续时间仍存在较大不确定性。</w:t>
      </w:r>
    </w:p>
    <w:p w14:paraId="43A71DC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几年，能源行业积累的丰厚利润，为这些产油州提供了较强的财政能力和投资意愿，推动其在基础设施领域进行了持续投入。目前，美国墨西哥湾沿岸的液化天然气出口基础设施较此前已有明显扩张，预计到2026年底还将继续增加新的产能。此外，过去十年间美国原油总产量增长约50%，这不仅提升了全国的能源供给能力，也使得能源富集州在全球油价高企时，能够以更快的速度和更大的规模，将经济收入从能源消费地区转移到生产地区。</w:t>
      </w:r>
    </w:p>
    <w:p w14:paraId="5224C2F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三、资本市场的分化和科技巨头的隐忧</w:t>
      </w:r>
    </w:p>
    <w:p w14:paraId="7D6CABC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这种区域间的财富转移，不仅重塑了地理经济版图，更在资本市场上得到了更为直接的体现。自波斯湾冲突爆发以来，标普500指数整体出现一定回落，这在一定程度上反映了市场对经济放缓和成本上升的担忧。</w:t>
      </w:r>
    </w:p>
    <w:p w14:paraId="677C5C7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进一步拆解美国股市的11大产业板块，可以看到明显的分化格局。多数板块在这一时期承受不同程度的压力，表现为股价调整或下跌：信息科技业的调整相对温和，原材料板块则出现较为显著的回落。与之形成对比的是能源板块，其市值出现一定上涨，其中雪佛龙等大型能源巨头股价相对强劲。</w:t>
      </w:r>
    </w:p>
    <w:p w14:paraId="735D8BC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几年，推动美股上涨的核心力量，主要来自那些被视为不受传统资源限制的科技巨头，例如英伟达和苹果。许多投资者一度认为，这些公司主要通过出售数字服务、软件以及AI算力实现增长，其业务模式应能相对免疫于原油价格的波动。</w:t>
      </w:r>
    </w:p>
    <w:p w14:paraId="791D194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这一观点存在明显的局限性。正如原油领域的结构性错配削弱了能源独立的根基，AI产业对电网的依赖同样暴露了数字经济“去物质化”叙事的盲区。云计算与AI在实际运行中高度依赖大规模的实体基础设施。AI数据中心需要消耗巨量电力用于服务器运行和冷却系统，而在美国许多地区，电网的边际发电成本与天然气价格存在密切关联。当全球供应链紧张导致天然气价格上涨时，AI运算的实际运营成本将会面临显著上升压力。</w:t>
      </w:r>
    </w:p>
    <w:p w14:paraId="244AE84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AI运算成本的上升，还只是问题的一个维度，更具结构性的是，电价上涨还可能带来地方层面的现实挑战。近年来，AI数据中心对当地电网造成的负荷增加，已逐渐成为部分地区政策制定者关注的议题。如果电价持续走高，地方政府需要在满足本地居民和企业的基本用电需求与支持数据中心扩张之间寻求平衡，这可能对数千亿美元规模的AI资本支出计划构成潜在风险。一旦这些长期投资计划被迫放缓或调整，美股长期依赖的成长叙事也将面临一定压力。</w:t>
      </w:r>
    </w:p>
    <w:p w14:paraId="734DC25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综上，能源价格波动通过成本传导和基础设施依赖，对资本市场不同板块产生了差异化的影响，科技领域的韧性并非如市场此前普遍预期的那么稳固。</w:t>
      </w:r>
    </w:p>
    <w:p w14:paraId="5F15179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四、社会与政治的裂痕</w:t>
      </w:r>
    </w:p>
    <w:p w14:paraId="587A3F4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场能源冲击中最具社会影响力的，是不同收入阶层之间成本分担的不均衡。高昂的汽油和电费，对低收入家庭造成的压力明显更高。根据消费结构数据，美国收入最低的20%家庭，其燃料与电力支出占总收入的比例，远高于收入最高20%的群体。</w:t>
      </w:r>
    </w:p>
    <w:p w14:paraId="372EB0B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于高收入阶层而言，油价上涨可能主要影响其部分非必需消费支出；而对于大量依赖开车通勤的蓝领工人和服务业从业者来说，燃油成本的增加会直接挤压食物、医疗、住房等基本生活开支。这种差异，使得能源价格上涨对不同收入群体的实际影响程度存在较大差距。</w:t>
      </w:r>
    </w:p>
    <w:p w14:paraId="02D37BF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深层的问题在于，这种成本上升进一步放大了宏观经济数据与民众实际感受之间的割裂。即使近年来劳工工资名义增速高于通胀率，许多美国人仍因物价压力而感到生活负担沉重。官方统计数据显示经济保持一定韧性，但普通家庭在日常生活中的体感却往往与之脱节。这种“数据繁荣”与“体感压力”之间的差距，已成为当前美国社会值得关注的重要现象。</w:t>
      </w:r>
    </w:p>
    <w:p w14:paraId="0583572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前，美国民众正普遍处于“负担能力危机”的焦虑状态。过去几年累积的物价涨幅，已导致民众对经济状况的满意度长期处于较低水平。如果能源冲击进一步推高通胀，将对政策制定构成更为复杂的挑战。特朗普政府目前面临明显的政策两难：若推动降息，可能加剧通胀预期；若维持或收紧货币政策，又可能增加背负较高信用卡债务和房贷的家庭负担。</w:t>
      </w:r>
    </w:p>
    <w:p w14:paraId="311E4E8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所有物价指标中，加油站的汽油价格最具心理影响力。研究显示，一旦全国平均汽油价格突破每加仑3.5美元，媒体对油价的报道频率会显著上升。目前全国平均汽油价格已接近3.98美元，较冲突爆发前有明显上升。如果霍尔木兹海峡局势持续紧张，油价进一步走高并非没有可能。历史经验显示，选举前油价大幅上涨，往往会显著影响执政党的民意支持率。</w:t>
      </w:r>
    </w:p>
    <w:p w14:paraId="1F70C53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特朗普政府试图以“美国已是能源净出口国，高油价将为整体经济带来收益”的逻辑安抚民众，但对于每日需要开车通勤的普通选民而言，加油站价格的变化往往比宏观经济论述更具直接说服力。</w:t>
      </w:r>
    </w:p>
    <w:p w14:paraId="059597E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总之，高油价的美国悖论，本质上是能源生产能力提升与经济结构多元化之间的张力体现。美国虽已成为全球重要的能源生产国，但在高度一体化的国内市场中，能源价格波动仍会通过多种渠道影响不同地区、不同产业和不同收入群体。这种内部的成本与收益再分配，既考验着美国经济的韧性，也对政策制定者提出了更高要求。在当前地缘政治环境下，如何平衡能源安全、经济增长与社会公平，仍将是美国面临的一项长期挑战。</w:t>
      </w:r>
    </w:p>
    <w:p w14:paraId="38B9183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刘浩、周斌</w:t>
      </w:r>
      <w:r>
        <w:rPr>
          <w:rFonts w:hint="default" w:ascii="Times New Roman" w:hAnsi="Times New Roman" w:eastAsia="方正楷体_GBK" w:cs="方正楷体_GBK"/>
          <w:b/>
          <w:bCs/>
          <w:color w:val="FF0000"/>
          <w:spacing w:val="0"/>
          <w:kern w:val="2"/>
          <w:sz w:val="30"/>
          <w:szCs w:val="30"/>
          <w:lang w:val="en-US" w:eastAsia="zh-CN" w:bidi="ar-SA"/>
        </w:rPr>
        <w:t>）</w:t>
      </w:r>
    </w:p>
    <w:p w14:paraId="193A9F0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F9E9C5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8DB5DB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984B15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208746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6A2EC7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B21170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C78D74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E0063D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C31E18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p>
    <w:p w14:paraId="6B0A799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p>
    <w:p w14:paraId="2EE18E3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全球贸易的脆弱咽喉：从海上通道</w:t>
      </w:r>
    </w:p>
    <w:p w14:paraId="0114670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到价格体系的重构</w:t>
      </w:r>
    </w:p>
    <w:p w14:paraId="0ABB6141">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0F0587DC">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波斯湾局势升级、霍尔木兹海峡封闭为切入点，围绕关键海上咽喉通道对全球贸易体系的结构性影响与价格体系重构展开研究，属于地缘政治、国际海运贸易与全球经济格局交叉研究领域。文章以英国海军上将费雪的“五把战略钥匙”理论为基础，指出全球化深化未弱化海上咽喉的战略价值，反而放大了其结构性风险。研究剖析了低成本技术通过保险定价形成“隐形封锁”的作用机制，结合中外历史与当代能源博弈印证咽喉点的战略持久性，揭示了咽喉点约束下全球贸易形成“低摩擦核心层”与“高风险层”的隐性分层结构。文章进一步阐释咽喉点从物理通道向“成本放大器”的功能升级，提出风险溢价、时间溢价、流动性折价三重成本机制，阐明其通过金融与物流网络重塑全球商品有效价格的核心逻辑，为理解全球贸易结构变迁与构建韧性贸易体系提供分析框架。</w:t>
      </w:r>
    </w:p>
    <w:p w14:paraId="596F18D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69BEC39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1CB7DC5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3月以来，波斯湾局势急剧升温。霍尔木兹海峡实际处于封闭状态，国际航运巨头如马士基、赫伯罗特（Hapag-Lloyd）等已暂停相关航线，大量船舶被迫在海峡两侧等待或选择绕行。石油和天然气现货价格飙升，全球能源市场受到激烈冲击。这一事件再次凸显了关键海上通道对世界经济的极端重要性。</w:t>
      </w:r>
    </w:p>
    <w:p w14:paraId="14F91DF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把视角从中东拉高，俯瞰全球贸易版图，就会发现，海洋物流体系的脆弱“咽喉”远不止霍尔木兹海峡一处。</w:t>
      </w:r>
    </w:p>
    <w:p w14:paraId="3993F55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早在1904年，英国海军上将约翰·费雪就曾直言：“五把战略钥匙足以锁住世界。”费雪是20世纪初英国海军最具改革精神的将领之一，他大力推动海军现代化进程，确立以优势压倒潜在对手的“两强标准”（英国海军≥第二和第三名海军之和），主导建造划时代的无畏舰。而且，他确信，决定全球贸易控制权与海上霸权的关键，不仅在于舰队规模本身，更重要的是对海上咽喉要道的掌控。</w:t>
      </w:r>
    </w:p>
    <w:p w14:paraId="4A15A2A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费雪提出的“五把战略钥匙”分别是：新加坡、开普敦、亚历山大港、直布罗陀和多佛海峡。这些节点在当时均处于英国直接控制或有效掌控之下，构成了一张贯通欧洲-地中海-印度洋-亚洲的全球战略网络：控制新加坡，即可扼守马六甲海峡；掌握开普敦，便能主导绕行非洲的远洋航线；亚历山大港与直布罗陀则分别控制着地中海的东西两端；而多佛海峡，则是英国本土与欧洲大陆之间最关键的近岸通道。</w:t>
      </w:r>
    </w:p>
    <w:p w14:paraId="293E26D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费雪的逻辑简单而深刻：谁掌握这些关键水道，谁就能在和平时期保障本国贸易的畅通运行，在战时切断对手的商业生命线，从而“锁住世界”。</w:t>
      </w:r>
    </w:p>
    <w:p w14:paraId="3847A41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费雪的这一理论，本质上并非出自纯粹的经济分析，而是源于地缘政治与海军战略视角。它反映了大英帝国鼎盛时期对全球海上贸易运行机制的深刻认知——当时，英国商船队运力占据全球主导地位，其经济繁荣高度依赖于从殖民地持续输入的原材料，以及通往全球各大市场的海上通道。</w:t>
      </w:r>
    </w:p>
    <w:p w14:paraId="23906BB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因此，费雪强调：海权的关键在于能否确保若干关键海上节点的安全与畅通。倘若无法掌控这些“战略钥匙”，再庞大的舰队也只得分散于全球、疲于奔命，既难以有效切断对手，也难以稳定保障自身贸易。</w:t>
      </w:r>
    </w:p>
    <w:p w14:paraId="31610E0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当今回望，这一判断依然具有启发意义。进入21世纪后，集装箱化运输、航空货运以及数字通信大幅降低了交易成本，使全球化呈现出某种“无摩擦”的表象，但事实上，支撑全球贸易体系运转的基础，依然是穿行于关键航道与狭窄水域之间的大型商船。</w:t>
      </w:r>
    </w:p>
    <w:p w14:paraId="5F1DFEC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根据“Clarksons Research 2025年”的统计，按体积计算，全球约80%-88%的贸易仍通过海运完成，全年海运总量约为12.9亿吨。即便从贸易价值角度衡量，海运同样在全球货物流动中占据主导地位。运输成本——包括距离、时间与风险——并未因技术进步而消失，而是持续作为约束条件，深刻影响着国际贸易的空间结构与流向分布。换言之，全球贸易对关键航道与枢纽的依赖，并未发生根本改变。</w:t>
      </w:r>
    </w:p>
    <w:p w14:paraId="1B30BF0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百年之后，费雪的“战略钥匙”并未过时，反而随着全球化深化被赋予新内涵：霍尔木兹海峡、曼德海峡等关键航道，愈发成为当代全球供应链体系中不可替代的咽喉节点。这些通道承载着能源与大宗商品的高密度流动，一旦受阻，便可能对区域乃至全球贸易造成连锁冲击。</w:t>
      </w:r>
    </w:p>
    <w:p w14:paraId="32BB5D5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综上所述，海上战略要道的脆弱性，并未随着技术进步而削弱，反而在全球化高度深化的背景下被进一步放大——长期以来，这种结构性风险在“效率优先”的运行逻辑中，往往被系统性低估。</w:t>
      </w:r>
    </w:p>
    <w:p w14:paraId="66DBF06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一、低成本技术放大打击半径：保险如何成为“隐形封锁”工具</w:t>
      </w:r>
    </w:p>
    <w:p w14:paraId="4784D92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传统海盗活动依赖快艇进行近距离袭扰，而现代的武装团体则借助低成本无人机与导弹，从陆基纵深直接威胁远洋商船。这种“技术下沉”显著扩展了打击半径，并通过提升不确定性，直接推高运输成本中的风险溢价。</w:t>
      </w:r>
    </w:p>
    <w:p w14:paraId="78485C6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以曼德海峡为例，该通道连接亚丁湾与红海（直至苏伊士运河），承担着全球约10%的海运贸易量，是能源与集装箱运输的重要枢纽。近年来的袭击事件显著抬升了红海航线的整体风险水平，促使部分航运企业选择绕行好望角，航程通常延长10-14天，燃料与时间成本同步上升。在高风险阶段，经由红海-苏伊士运河通道的船舶流量一度大幅下降，部分时段接近减半。</w:t>
      </w:r>
    </w:p>
    <w:p w14:paraId="7D013E8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贸易理论将运输成本抽象为“冰山成本”。这一概念的含义是：货物在运输过程中不仅要支付显性运费，还会在途中“隐性损耗”一部分价值——就像一座冰山在海上航行时不断融化，抵达目的地的货物数量只是起运量的一部分而已。</w:t>
      </w:r>
    </w:p>
    <w:p w14:paraId="5C2A07B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一意义上，当代海运保险可以被视为对这种“隐性损耗”的金融化定价机制。在常态条件下，相关航线的战争险费率通常处于船舶价值的0.2%—0.5%区间；而一旦导弹或水雷威胁上升，费率往往迅速抬升至1%以上，极端情形下甚至更高。对于一艘价值逾1亿美元的大型油轮而言，这意味着单次航程需额外承担数百万美元级别的风险成本。</w:t>
      </w:r>
    </w:p>
    <w:p w14:paraId="7371C67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严格的金融约束下，风险定价机制的结果，等同于通过市场机制对特定海域实施“选择性封锁”：当风险溢价超过商业可承受阈值时，即便航道在物理上保持畅通，也会在经济层面失去通行意义，目前霍尔木兹海峡的事实封闭正是如此。伊朗方面一再表示，非敌对方的船只可以通航，但事实上面对战争风险，船只不可能被承保，因此无法航行。</w:t>
      </w:r>
    </w:p>
    <w:p w14:paraId="0B38328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航运企业因此被迫调整航线，如绕行好望角，这拉长了航运里程，等同于减少了运力供给。于是，局部安全风险转化为全球范围内的结构性成本上升，同时放大供应链体系的脆弱性。</w:t>
      </w:r>
    </w:p>
    <w:p w14:paraId="6438C65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二、咽喉点的战略持久性：历史镜像与当代能源博弈</w:t>
      </w:r>
    </w:p>
    <w:p w14:paraId="260709D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咽喉点的战略价值并未因全球化而消减，反而在能源、粮食与其他关键大宗商品贸易中愈发凸显。历史与现实都提供了生动的镜像，表明关键通道控制对国家与贸易体系的稳定性具有长期作用。</w:t>
      </w:r>
    </w:p>
    <w:p w14:paraId="6ED5F9A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（一）中外历史的镜像</w:t>
      </w:r>
    </w:p>
    <w:p w14:paraId="200A2C2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伯罗奔尼撒战争印证了掌控粮食航运命脉的决定性作用：雅典高度依赖黑海谷物补给，一旦黑海航道被封锁，即便前线僵持，城邦民生与军事后勤也会承压，动摇作战根基。这套切断供应链的制衡逻辑，至今仍是地缘博弈的底层范式。</w:t>
      </w:r>
    </w:p>
    <w:p w14:paraId="603268F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中国历史中这一逻辑更为具象：战国函谷关、崤山扼守关中安全与粮仓；隋唐大运河漕运中断会引发中央粮食与财政危机，加速政权衰落；襄阳、剑门关等节点则诠释了“地理垄断+通道稀缺=高战略杠杆”，与当代海上咽喉内核高度同构。</w:t>
      </w:r>
    </w:p>
    <w:p w14:paraId="356E1AD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（二）当代能源通道的现实验证</w:t>
      </w:r>
    </w:p>
    <w:p w14:paraId="5CE7283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历史的通道博弈逻辑在当代能源与大宗商品贸易中得到现实复刻。俄乌冲突爆发后，黑海粮食外运航线中断，谷物、化肥流通受阻，打破全球供需平衡，引发粮价、农资价格暴涨，凸显关键航道的全球外溢效应。</w:t>
      </w:r>
    </w:p>
    <w:p w14:paraId="5E8B241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能源贸易中，欧洲收紧对俄管道油气进口，倒逼俄方将出口重心转向亚洲、依赖海运，而俄油轮必须经过土耳其海峡等少数战略隘口。这种集中化布局降低了出口弹性，使俄能源经济命脉易受外部制衡，印证了“控通道即控供给”的千年规律。</w:t>
      </w:r>
    </w:p>
    <w:p w14:paraId="4B64EBD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（三）贸易重定向与地理约束的持久性</w:t>
      </w:r>
    </w:p>
    <w:p w14:paraId="19D7853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因此，“贸易重定向”无法消除地理约束，仅能改变贸易流向，且必然伴随成本上升与效率损失。古代诸侯绕道避关、当代俄能源出口“东移”依赖海上咽喉，均体现这一点。</w:t>
      </w:r>
    </w:p>
    <w:p w14:paraId="07B58BA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关键节点的稀缺性始终存在，决定了全球贸易体系的固有脆弱性。全球化未弱化地理因素，反而让核心通道从“地理约束”逐步演变为当代贸易的“可定价、可博弈”的结构性成本。</w:t>
      </w:r>
    </w:p>
    <w:p w14:paraId="38A6155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因此，现代咽喉通道的战略意义持续凸显，其控制权不仅是地缘政治博弈的直接结果，更从本质上决定了全球贸易体系的成本结构，深刻影响着国家在全球贸易格局中的话语权。</w:t>
      </w:r>
    </w:p>
    <w:p w14:paraId="389A9A3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三、咽喉点约束下的全球贸易结构重构</w:t>
      </w:r>
    </w:p>
    <w:p w14:paraId="53805E6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咽喉点约束持续存在的条件下，全球贸易体系出现了两极化特征。一方面，全球化确实加速了商品与资本流动；另一方面，由于运输网络的物理约束，不同商品的真实流动成本正在明显分化，驱动贸易结构重构。</w:t>
      </w:r>
    </w:p>
    <w:p w14:paraId="6B1C837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（一）贸易结构的隐性分层：从“统一市场”到“成本分区”</w:t>
      </w:r>
    </w:p>
    <w:p w14:paraId="7D6A125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从贸易结构演化来看，全球市场正在形成一种隐性的分层体系，而这一分层并非由关税或制度壁垒主导，而是由运输路径的依赖程度所决定。</w:t>
      </w:r>
    </w:p>
    <w:p w14:paraId="697AED4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方面，以区域内贸易为主的商品流动，由于地理距离较短、替代路径较多、运输链条较为稳定，整体处于“低摩擦核心层”。这一层的特点是运输成本占比相对稳定，对单一通道的依赖较低，因此价格波动更多来自需求端而非物流端。</w:t>
      </w:r>
    </w:p>
    <w:p w14:paraId="1766F40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另一方面，能源、粮食、大宗矿产及基础工业原料等高度依赖跨区域海运的商品，则构成“中间层乃至高风险层”。这类商品的共同特征在于：运输链条长、路径集中度高，并且往往必须依赖少数关键航道完成跨洲流动。一旦这些节点出现扰动，其价格传导往往不是线性变化，而是呈现跳跃式上升。</w:t>
      </w:r>
    </w:p>
    <w:p w14:paraId="7073DC8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在这一意义上，全球贸易不再是一个统一市场，而更接近一个由“运输摩擦梯度”划分的多层结构系统。</w:t>
      </w:r>
    </w:p>
    <w:p w14:paraId="52A4990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（二）咽喉点的功能升级：从通道节点到成本放大器</w:t>
      </w:r>
    </w:p>
    <w:p w14:paraId="2D1DE56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在这一结构中，咽喉点的功能已经发生明显变化。它不再只是物理意义上的通行节点，而是逐渐演化为全球贸易体系中的“成本放大器”。</w:t>
      </w:r>
    </w:p>
    <w:p w14:paraId="2B52840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以海运体系为例，运输成本不仅包括燃料与时间，还包括高度动态化的风险定价因素，例如保险费率、绕行成本以及港口拥堵带来的不确定性。当某一关键航道的风险上升时，其影响并不会局限于局部运输环节，而是通过保险市场与航运定价机制迅速扩散至全球商品价格体系。</w:t>
      </w:r>
    </w:p>
    <w:p w14:paraId="2CE836F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这意味着咽喉点的变化具有明显的“非局部性”：一个局部通道的扰动，可以通过金融与物流网络放大为全球价格体系的系统性调整。</w:t>
      </w:r>
    </w:p>
    <w:p w14:paraId="7711CC0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因此，咽喉点的经济功能不再是“是否能通过”，而是“通过的成本是多少”。</w:t>
      </w:r>
    </w:p>
    <w:p w14:paraId="0A13DEE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（三）三重成本机制：风险、时间与流动性</w:t>
      </w:r>
    </w:p>
    <w:p w14:paraId="122B55A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从机制上看，这种成本变化可以进一步拆解为三个相互叠加的维度。</w:t>
      </w:r>
    </w:p>
    <w:p w14:paraId="0B93EF4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是风险溢价机制。当航道安全不确定性上升时，海运保险费率随之上调，使运输成本从“物理成本”转化为“金融成本”，且这种变化往往具有快速性和放大性。例如，霍尔木兹海峡或曼德海峡地缘冲突加剧，途经该航道的原油运输保险费率会短期内翻倍，原本每桶几美元的物理运输成本，因保险溢价额外增加数十美元，直接推高全球原油进口成本。</w:t>
      </w:r>
    </w:p>
    <w:p w14:paraId="0294658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是时间溢价机制。绕行路径的增加并不改变商品的物理可达性，但会显著延长运输周期，从而提高库存成本与资金占用成本。在现代供应链体系中，时间本身已成为重要的隐性成本变量。例如，苏伊士运河受阻、红海-地中海航道中断时，欧洲货轮不得不绕行好望角，运输周期从20天延长至35天以上，企业为避免断供需额外储备1-2个月的库存，大幅增加资金占用与仓储成本。</w:t>
      </w:r>
    </w:p>
    <w:p w14:paraId="2381781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是流动性折价机制。当运输不确定性上升时，商品的可交易性下降，市场参与者会要求更高的风险补偿，导致同一商品在不同路径条件下呈现不同的隐含价格水平。这一机制隐蔽但影响深远。例如，黑海粮食运输受阻时，乌克兰玉米在欧洲市场的到岸价，比正常航道运输的美国玉米高出15%以上，本质就是运输不确定性带来的流动性折价，其影响会渗透至下游食品加工、饲料生产等多个产业，长期改变区域粮食贸易格局。</w:t>
      </w:r>
    </w:p>
    <w:p w14:paraId="11FFD32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者叠加，使得咽喉点不仅影响物流成本，更通过金融渠道重塑商品的“有效价格”。由此可见，全球贸易成本的本质，并非单纯的运输函数，而是一个由地理约束所驱动的复合定价体系，其核心表现为风险溢价、时间溢价与流动性折价的叠加结构。</w:t>
      </w:r>
    </w:p>
    <w:p w14:paraId="3844E00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上述机制共同作用下，全球化的含义正在发生微妙变化。传统全球化叙事强调“距离的消失”，即运输与通信技术降低了地理的重要性（如《世界是平的》）。然而现实表明，地理并未消失，而是以成本结构的形式重新进入全球经济体系。</w:t>
      </w:r>
    </w:p>
    <w:p w14:paraId="7D86E17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回望2026年以来的波斯湾局势，霍尔木兹海峡的封闭正是这种结构性风险的集中爆发，它再次警示我们：在追求贸易效率的同时，必须重视海上咽喉点的脆弱性，唯有正视地理约束的持久性，才能构建更具韧性的全球贸易体系。</w:t>
      </w:r>
    </w:p>
    <w:p w14:paraId="7BC4A07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附注：</w:t>
      </w:r>
    </w:p>
    <w:p w14:paraId="6073900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1.“贸易重定向”（trade redirection），指在原有贸易路径、贸易伙伴或贸易渠道受到约束（如地缘限制、政策制裁、通道受阻等）时，贸易主体通过调整贸易流向、更换运输路径、切换贸易伙伴等方式，维持贸易活动持续开展的行为。其核心特征是无法消除原有地理、政策等约束，仅能实现贸易流量的转移，且通常会伴随运输成本上升、效率损失、风险增加等隐性成本。</w:t>
      </w:r>
    </w:p>
    <w:p w14:paraId="573312E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2.“有效到岸价格”（effective landed price）可近似表示为：有效到岸价格≈基础价格+风险溢价+时间折现成本+流动性补偿。</w:t>
      </w:r>
    </w:p>
    <w:p w14:paraId="273D1CD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其中，风险溢价指航道风险上升导致战争险费率大幅提升（常态0.2%—0.5%，高风险时可升至1%以上）；时间折现成本指绕行延长运输周期带来的库存与资金占用成本；流动性补偿指不确定性导致商品可交易性下降，市场要求更高风险补偿。</w:t>
      </w:r>
    </w:p>
    <w:p w14:paraId="17ADB33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此公式是对贸易理论中“冰山成本”的金融化扩展，在克鲁格曼《国际经济学》框架下，运输成本通过风险、时间与流动性的叠加，重塑大宗商品的有效价格与贸易流向。</w:t>
      </w:r>
    </w:p>
    <w:p w14:paraId="3FCA8A2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周斌、刘浩</w:t>
      </w:r>
      <w:r>
        <w:rPr>
          <w:rFonts w:hint="default" w:ascii="Times New Roman" w:hAnsi="Times New Roman" w:eastAsia="方正楷体_GBK" w:cs="方正楷体_GBK"/>
          <w:b/>
          <w:bCs/>
          <w:color w:val="FF0000"/>
          <w:spacing w:val="0"/>
          <w:kern w:val="2"/>
          <w:sz w:val="30"/>
          <w:szCs w:val="30"/>
          <w:lang w:val="en-US" w:eastAsia="zh-CN" w:bidi="ar-SA"/>
        </w:rPr>
        <w:t>）</w:t>
      </w:r>
    </w:p>
    <w:p w14:paraId="662AAEB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1B1399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614767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6865F7F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1507E6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26F3C9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5880C0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2A98AE2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75CE0FC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1" w:name="OLE_LINK4"/>
      <w:r>
        <w:rPr>
          <w:rFonts w:hint="eastAsia" w:ascii="Times New Roman" w:hAnsi="Times New Roman" w:eastAsia="华文新魏" w:cs="Times New Roman"/>
          <w:b/>
          <w:bCs w:val="0"/>
          <w:color w:val="FF0000"/>
          <w:spacing w:val="0"/>
          <w:kern w:val="36"/>
          <w:sz w:val="44"/>
          <w:szCs w:val="44"/>
          <w:lang w:val="en-US" w:eastAsia="zh-CN" w:bidi="ar-SA"/>
        </w:rPr>
        <w:t>亚示照明参编国家照明标准近日实施</w:t>
      </w:r>
    </w:p>
    <w:p w14:paraId="4DAE29E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近日，由国家市场监督管理总局、国家标准化管理委员会发布的中华人民共和国国家标准GB/T 30104.207-2025《数字可寻址照明接口第207部分：控制装置的特殊要求LED模块（设备类型6）》正式官宣，该标准于2026年2月1日起正式实施，替代2013年发布的旧版标准，为我国LED模块数字可寻址照明控制装置的生产、应用与检测树立全新行业规范。我会理事单位——江苏亚示照明集团有限公司作为核心起草单位之一，深度参与了该标准的编制与修订工作，以硬核研发实力助力我国智能照明产业标准化、国际化发展。</w:t>
      </w:r>
    </w:p>
    <w:p w14:paraId="5D21075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标准历经严谨编制论证，充分结合国际先进技术与国内行业实际，聚焦LED模块相关控制装置，明确了数字信号控制照明设备总线系统的电气规范、传输协议、操作方法等核心内容，还对故障状态检测、LED 模块集成、变量设置等关键技术指标作出详细规定，有效解</w:t>
      </w:r>
      <w:bookmarkStart w:id="3" w:name="_GoBack"/>
      <w:r>
        <w:rPr>
          <w:rFonts w:hint="eastAsia" w:ascii="Times New Roman" w:hAnsi="Times New Roman" w:eastAsia="方正仿宋_GBK" w:cs="Times New Roman"/>
          <w:b w:val="0"/>
          <w:bCs w:val="0"/>
          <w:sz w:val="32"/>
          <w:szCs w:val="32"/>
          <w:lang w:val="en-US" w:eastAsia="zh-CN"/>
        </w:rPr>
        <w:t>决</w:t>
      </w:r>
      <w:bookmarkEnd w:id="3"/>
      <w:r>
        <w:rPr>
          <w:rFonts w:hint="eastAsia" w:ascii="Times New Roman" w:hAnsi="Times New Roman" w:eastAsia="方正仿宋_GBK" w:cs="Times New Roman"/>
          <w:b w:val="0"/>
          <w:bCs w:val="0"/>
          <w:sz w:val="32"/>
          <w:szCs w:val="32"/>
          <w:lang w:val="en-US" w:eastAsia="zh-CN"/>
        </w:rPr>
        <w:t>行业内设备兼容问题，完善了我国智能照明标准体系。</w:t>
      </w:r>
    </w:p>
    <w:bookmarkEnd w:id="1"/>
    <w:p w14:paraId="253E808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：亚示照明微信公众号）</w:t>
      </w:r>
    </w:p>
    <w:p w14:paraId="1CA1793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FC346F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B6FE70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德恒南京成功入选2025年度南京律师</w:t>
      </w:r>
    </w:p>
    <w:p w14:paraId="7789C76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行业专业建设成果评选团体名单</w:t>
      </w:r>
    </w:p>
    <w:p w14:paraId="1A20ED0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近日，2025年度南京律师行业专业建设成果评选活动结果正式公布，我会理事单位——北京德恒（南京）律师事务所凭借扎实的专业功底、亮眼的法律服务业绩，成功入选本次评选团体名单。</w:t>
      </w:r>
    </w:p>
    <w:p w14:paraId="5B08A4A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本次评选由南京市律师协会主办，是对律所专业建设、行业贡献的权威认可，在南京律师行业极具公信力，能够入选既是对德恒律所综合实力的肯定，也是行业对其专业服务的高度认可。</w:t>
      </w:r>
    </w:p>
    <w:p w14:paraId="545B6A9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德恒南京始终坚守专业立身，深耕资本市场、公司并购、合规风控等核心领域，汇聚资深专业团队，为企业IPO、再融资、并购重组、债券发行、私募融资等提供全流程、精细化法律服务，助力众多企业对接资本市场、稳步发展，赢得了客户与行业的广泛信赖。</w:t>
      </w:r>
    </w:p>
    <w:p w14:paraId="66CAF68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：德恒南京微信公众号）</w:t>
      </w:r>
    </w:p>
    <w:p w14:paraId="4A5E90C2">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44618D9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bookmarkStart w:id="2" w:name="OLE_LINK3"/>
    </w:p>
    <w:p w14:paraId="6B12B30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D618286">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44327A5">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E42CE5C">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E63F54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08A506C">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bookmarkEnd w:id="2"/>
    <w:p w14:paraId="0178E7E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苏豪会展赋能江苏企业亮相第六届跨交会</w:t>
      </w:r>
    </w:p>
    <w:p w14:paraId="2325D81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第六届中国跨境电商交易会在福州海峡国际会展中心举行。我会理事单位——江苏苏豪国际会展股份有限公司参与协办，展会总面积达10万平方米，吸引逾3000家企业参展，专业客商超过10万人，规模与影响力再创新高。</w:t>
      </w:r>
    </w:p>
    <w:p w14:paraId="046ED81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在本次展会上，苏豪会展组织江苏150家企业集中亮相，参展面积近2000平方米，苏州工具家电、常州园艺、常熟鞋服箱包、泰州户外体育、扬州玩具、盐城宠物用品、徐州玻璃制品、宿迁节日用品等多个特色产业带统一布展、整体亮相，吸引了大量平台买家与行业专家驻足洽谈，充分展现了江苏制造的品质优势与产业实力。</w:t>
      </w:r>
    </w:p>
    <w:p w14:paraId="52B9A49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展期内，苏豪会展充分发挥桥梁纽带作用，积极组织江苏参展企业与福州市跨境电商协会、产业园区及重点平台企业开展实地考察与座谈交流，推动江苏与福建在跨境电商产业链层面的深度合作。通过一系列务实对接，两地企业在平台资源、供应链协同、人才培养等方面达成多项共识与合作意向。</w:t>
      </w:r>
    </w:p>
    <w:p w14:paraId="51A7937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：苏豪汇鸿微信公众号）</w:t>
      </w:r>
    </w:p>
    <w:p w14:paraId="592ED31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96A5EE1-421B-4D03-8629-9B734336581B}"/>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9E09F97C-EC06-4442-B645-E3702818DD1D}"/>
  </w:font>
  <w:font w:name="方正楷体_GBK">
    <w:panose1 w:val="02000000000000000000"/>
    <w:charset w:val="86"/>
    <w:family w:val="auto"/>
    <w:pitch w:val="default"/>
    <w:sig w:usb0="800002BF" w:usb1="38CF7CFA" w:usb2="00000016" w:usb3="00000000" w:csb0="00040000" w:csb1="00000000"/>
    <w:embedRegular r:id="rId3" w:fontKey="{9A502539-9B98-44CB-A170-BAD0BEC597FF}"/>
  </w:font>
  <w:font w:name="方正公文黑体">
    <w:panose1 w:val="02000500000000000000"/>
    <w:charset w:val="86"/>
    <w:family w:val="auto"/>
    <w:pitch w:val="default"/>
    <w:sig w:usb0="A00002BF" w:usb1="38CF7CFA" w:usb2="00000016" w:usb3="00000000" w:csb0="00040001" w:csb1="00000000"/>
    <w:embedRegular r:id="rId4" w:fontKey="{255711FE-B3B7-4B70-BAF5-D7AECFF16E39}"/>
  </w:font>
  <w:font w:name="方正黑体_GBK">
    <w:panose1 w:val="02010600010101010101"/>
    <w:charset w:val="86"/>
    <w:family w:val="auto"/>
    <w:pitch w:val="default"/>
    <w:sig w:usb0="00000001" w:usb1="080E0000" w:usb2="00000000" w:usb3="00000000" w:csb0="00040000" w:csb1="00000000"/>
    <w:embedRegular r:id="rId5" w:fontKey="{D12D3E6C-433F-4792-91E3-5D7FBE41FAB6}"/>
  </w:font>
  <w:font w:name="方正仿宋_GBK">
    <w:panose1 w:val="03000509000000000000"/>
    <w:charset w:val="86"/>
    <w:family w:val="script"/>
    <w:pitch w:val="default"/>
    <w:sig w:usb0="00000001" w:usb1="080E0000" w:usb2="00000000" w:usb3="00000000" w:csb0="00040000" w:csb1="00000000"/>
    <w:embedRegular r:id="rId6" w:fontKey="{4D0CFDAE-50AB-43AA-84FC-B65F63AABA0D}"/>
  </w:font>
  <w:font w:name="方正小标宋_GBK">
    <w:panose1 w:val="03000509000000000000"/>
    <w:charset w:val="86"/>
    <w:family w:val="auto"/>
    <w:pitch w:val="default"/>
    <w:sig w:usb0="00000001" w:usb1="080E0000" w:usb2="00000000" w:usb3="00000000" w:csb0="00040000" w:csb1="00000000"/>
    <w:embedRegular r:id="rId7" w:fontKey="{5E05EF9F-55D0-4284-843B-18DDAF4DC33D}"/>
  </w:font>
  <w:font w:name="华文新魏">
    <w:panose1 w:val="02010800040101010101"/>
    <w:charset w:val="86"/>
    <w:family w:val="auto"/>
    <w:pitch w:val="default"/>
    <w:sig w:usb0="00000001" w:usb1="080F0000" w:usb2="00000000" w:usb3="00000000" w:csb0="00040000" w:csb1="00000000"/>
    <w:embedRegular r:id="rId8" w:fontKey="{F43EA651-D698-4862-86CC-B9165826D7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11402"/>
    <w:rsid w:val="0042623F"/>
    <w:rsid w:val="0043286B"/>
    <w:rsid w:val="00467C46"/>
    <w:rsid w:val="005279A4"/>
    <w:rsid w:val="005A092B"/>
    <w:rsid w:val="006B63D3"/>
    <w:rsid w:val="006C0C2E"/>
    <w:rsid w:val="00723B7D"/>
    <w:rsid w:val="00742E2E"/>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BC3316"/>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2403"/>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7F67DE"/>
    <w:rsid w:val="058647BE"/>
    <w:rsid w:val="05880374"/>
    <w:rsid w:val="05881910"/>
    <w:rsid w:val="05913966"/>
    <w:rsid w:val="05926E6B"/>
    <w:rsid w:val="059F17BF"/>
    <w:rsid w:val="05A259F9"/>
    <w:rsid w:val="05A44B94"/>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86B20"/>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12BB9"/>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16D47"/>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E2C1D"/>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4FEA"/>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72E20"/>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3D169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E23EC0"/>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68E"/>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186B"/>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22293"/>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216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33CF7"/>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8428D"/>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8F22F9"/>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0D3370"/>
    <w:rsid w:val="3B1752EE"/>
    <w:rsid w:val="3B1C35AC"/>
    <w:rsid w:val="3B1F0CAE"/>
    <w:rsid w:val="3B22468C"/>
    <w:rsid w:val="3B292A67"/>
    <w:rsid w:val="3B3155AA"/>
    <w:rsid w:val="3B3E0B10"/>
    <w:rsid w:val="3B4F1508"/>
    <w:rsid w:val="3B580D61"/>
    <w:rsid w:val="3B58455D"/>
    <w:rsid w:val="3B5908EC"/>
    <w:rsid w:val="3B64699C"/>
    <w:rsid w:val="3B696BF9"/>
    <w:rsid w:val="3B6F0DCA"/>
    <w:rsid w:val="3B754E06"/>
    <w:rsid w:val="3B7B2B0A"/>
    <w:rsid w:val="3B7C7B97"/>
    <w:rsid w:val="3B8372AE"/>
    <w:rsid w:val="3B914065"/>
    <w:rsid w:val="3B9A7EDD"/>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1C65D8"/>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62205"/>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4428E"/>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8E62C2"/>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43151"/>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542E8F"/>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D15D1"/>
    <w:rsid w:val="4D2F06BA"/>
    <w:rsid w:val="4D304130"/>
    <w:rsid w:val="4D386B0D"/>
    <w:rsid w:val="4D3B3869"/>
    <w:rsid w:val="4D4330D3"/>
    <w:rsid w:val="4D4B7DCE"/>
    <w:rsid w:val="4D4D5A9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2B74D5"/>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9E1DC6"/>
    <w:rsid w:val="50A36924"/>
    <w:rsid w:val="50A732FC"/>
    <w:rsid w:val="50AA341E"/>
    <w:rsid w:val="50AB4E2F"/>
    <w:rsid w:val="50AC2418"/>
    <w:rsid w:val="50B421A0"/>
    <w:rsid w:val="50B70FED"/>
    <w:rsid w:val="50BA643F"/>
    <w:rsid w:val="50BC2897"/>
    <w:rsid w:val="50D2215B"/>
    <w:rsid w:val="50DA2205"/>
    <w:rsid w:val="50E534FD"/>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6D4C6C"/>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A7306"/>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62EFD"/>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7617F"/>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5258C3"/>
    <w:rsid w:val="596460E9"/>
    <w:rsid w:val="59697600"/>
    <w:rsid w:val="596C25D4"/>
    <w:rsid w:val="597028E6"/>
    <w:rsid w:val="597D38D7"/>
    <w:rsid w:val="598910A1"/>
    <w:rsid w:val="598A75D0"/>
    <w:rsid w:val="59935094"/>
    <w:rsid w:val="5995496F"/>
    <w:rsid w:val="59A62A34"/>
    <w:rsid w:val="59AB1748"/>
    <w:rsid w:val="59AD1771"/>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19C7"/>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30102"/>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6A09ED"/>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DC4ACB"/>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861FA"/>
    <w:rsid w:val="670027A0"/>
    <w:rsid w:val="67037752"/>
    <w:rsid w:val="67050D51"/>
    <w:rsid w:val="67050D97"/>
    <w:rsid w:val="67051BD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0295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1B06CD"/>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4035B"/>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A4DCB"/>
    <w:rsid w:val="706F497B"/>
    <w:rsid w:val="70724AB3"/>
    <w:rsid w:val="70877819"/>
    <w:rsid w:val="70916EF8"/>
    <w:rsid w:val="709261ED"/>
    <w:rsid w:val="709605AE"/>
    <w:rsid w:val="709D31A3"/>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953B8"/>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0710"/>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6E6DD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04CD3"/>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67C5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8FA7F8E"/>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24F87"/>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9784F"/>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3F3BAE"/>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4F235A"/>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13873</Words>
  <Characters>14499</Characters>
  <Lines>1</Lines>
  <Paragraphs>1</Paragraphs>
  <TotalTime>5</TotalTime>
  <ScaleCrop>false</ScaleCrop>
  <LinksUpToDate>false</LinksUpToDate>
  <CharactersWithSpaces>14565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2026-04-09T08:22:00Z</cp:lastPrinted>
  <dcterms:modified xsi:type="dcterms:W3CDTF">2026-04-14T06:30:59Z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B20D8B5F72404B3391EBD2B4E0C81EBE_13</vt:lpwstr>
  </property>
  <property fmtid="{D5CDD505-2E9C-101B-9397-08002B2CF9AE}" pid="4" name="KSOTemplateDocerSaveRecord">
    <vt:lpwstr>eyJoZGlkIjoiZjNiNGRkNzIwNDhhZDJkNTgzN2EzNjc2NjIxOGZjZjkiLCJ1c2VySWQiOiIxNzEwMjM3NzY5In0=</vt:lpwstr>
  </property>
</Properties>
</file>