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48</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294</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省贸促会组团赴尼加拉瓜、墨西哥开展经贸交流</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0</w:t>
      </w:r>
      <w:r>
        <w:rPr>
          <w:rFonts w:hint="eastAsia" w:ascii="Times New Roman" w:hAnsi="Times New Roman" w:eastAsia="方正楷体_GBK" w:cs="Times New Roman"/>
          <w:b/>
          <w:bCs w:val="0"/>
          <w:color w:val="auto"/>
          <w:spacing w:val="-11"/>
          <w:kern w:val="36"/>
          <w:sz w:val="30"/>
          <w:szCs w:val="30"/>
          <w:lang w:val="en-US" w:eastAsia="zh-CN"/>
        </w:rPr>
        <w:t>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省贸促会组织28家江苏企业参加第二届链博会</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03</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kern w:val="36"/>
          <w:sz w:val="30"/>
          <w:szCs w:val="30"/>
          <w:lang w:val="en-US" w:eastAsia="zh-CN"/>
        </w:rPr>
        <w:t>省贸促会举办中泰商务理事会江苏联络办公室企业对接交流会</w:t>
      </w:r>
      <w:r>
        <w:rPr>
          <w:rFonts w:hint="eastAsia" w:ascii="Times New Roman" w:hAnsi="Times New Roman" w:eastAsia="方正楷体_GBK" w:cs="Times New Roman"/>
          <w:b/>
          <w:color w:val="auto"/>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w:t>
      </w:r>
      <w:r>
        <w:rPr>
          <w:rFonts w:hint="eastAsia" w:ascii="Times New Roman" w:hAnsi="Times New Roman" w:eastAsia="方正楷体_GBK" w:cs="Times New Roman"/>
          <w:b/>
          <w:color w:val="auto"/>
          <w:spacing w:val="-11"/>
          <w:kern w:val="36"/>
          <w:sz w:val="30"/>
          <w:szCs w:val="30"/>
          <w:lang w:val="en-US" w:eastAsia="zh-CN"/>
        </w:rPr>
        <w:t>05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省贸促会组织境外驻宁机构等调研常州西太湖科技产业园</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中韩（盐城）产业园经贸合作交流会在盐举行 </w:t>
      </w:r>
      <w:r>
        <w:rPr>
          <w:rFonts w:hint="default" w:ascii="Times New Roman" w:hAnsi="Times New Roman" w:eastAsia="方正楷体_GBK" w:cs="Times New Roman"/>
          <w:b/>
          <w:color w:val="auto"/>
          <w:spacing w:val="-11"/>
          <w:kern w:val="36"/>
          <w:sz w:val="30"/>
          <w:szCs w:val="30"/>
          <w:lang w:val="en-US" w:eastAsia="zh-CN"/>
        </w:rPr>
        <w:t>/</w:t>
      </w:r>
      <w:r>
        <w:rPr>
          <w:rFonts w:hint="eastAsia" w:ascii="Times New Roman" w:hAnsi="Times New Roman" w:eastAsia="方正楷体_GBK" w:cs="Times New Roman"/>
          <w:b/>
          <w:color w:val="auto"/>
          <w:spacing w:val="-11"/>
          <w:kern w:val="36"/>
          <w:sz w:val="30"/>
          <w:szCs w:val="30"/>
          <w:lang w:val="en-US" w:eastAsia="zh-CN"/>
        </w:rPr>
        <w:t>08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bookmarkStart w:id="0" w:name="OLE_LINK4"/>
      <w:r>
        <w:rPr>
          <w:rFonts w:hint="eastAsia" w:ascii="Times New Roman" w:hAnsi="Times New Roman" w:eastAsia="方正楷体_GBK" w:cs="Times New Roman"/>
          <w:b/>
          <w:color w:val="auto"/>
          <w:kern w:val="36"/>
          <w:sz w:val="30"/>
          <w:szCs w:val="30"/>
          <w:lang w:val="en-US" w:eastAsia="zh-CN"/>
        </w:rPr>
        <w:t>镔钢</w:t>
      </w:r>
      <w:bookmarkEnd w:id="0"/>
      <w:r>
        <w:rPr>
          <w:rFonts w:hint="eastAsia" w:ascii="Times New Roman" w:hAnsi="Times New Roman" w:eastAsia="方正楷体_GBK" w:cs="Times New Roman"/>
          <w:b/>
          <w:color w:val="auto"/>
          <w:kern w:val="36"/>
          <w:sz w:val="30"/>
          <w:szCs w:val="30"/>
          <w:lang w:val="en-US" w:eastAsia="zh-CN"/>
        </w:rPr>
        <w:t>集团上榜“双碳最佳实践能效标杆示范厂”</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09</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kern w:val="36"/>
          <w:sz w:val="30"/>
          <w:szCs w:val="30"/>
          <w:lang w:val="en-US" w:eastAsia="zh-CN"/>
        </w:rPr>
        <w:t>中亿丰蝉联行业</w:t>
      </w:r>
      <w:r>
        <w:rPr>
          <w:rFonts w:hint="default" w:ascii="Times New Roman" w:hAnsi="Times New Roman" w:eastAsia="方正楷体_GBK" w:cs="Times New Roman"/>
          <w:b/>
          <w:color w:val="auto"/>
          <w:kern w:val="36"/>
          <w:sz w:val="30"/>
          <w:szCs w:val="30"/>
          <w:lang w:val="en-US" w:eastAsia="zh-CN"/>
        </w:rPr>
        <w:t>200强</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10</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kern w:val="36"/>
          <w:sz w:val="30"/>
          <w:szCs w:val="30"/>
          <w:lang w:val="en-US" w:eastAsia="zh-CN"/>
        </w:rPr>
      </w:pPr>
      <w:r>
        <w:rPr>
          <w:rFonts w:hint="eastAsia" w:ascii="Times New Roman" w:hAnsi="Times New Roman" w:eastAsia="方正楷体_GBK" w:cs="Times New Roman"/>
          <w:b/>
          <w:color w:val="auto"/>
          <w:kern w:val="36"/>
          <w:sz w:val="30"/>
          <w:szCs w:val="30"/>
          <w:lang w:val="en-US" w:eastAsia="zh-CN"/>
        </w:rPr>
        <w:t>宁海商标荣获“全国优秀商标代理机构”“商标代理服务能力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kern w:val="36"/>
          <w:sz w:val="30"/>
          <w:szCs w:val="30"/>
          <w:lang w:val="en-US" w:eastAsia="zh-CN"/>
        </w:rPr>
        <w:t>600强5A级机构”等多项荣誉</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/1</w:t>
      </w:r>
      <w:bookmarkStart w:id="7" w:name="_GoBack"/>
      <w:bookmarkEnd w:id="7"/>
      <w:r>
        <w:rPr>
          <w:rFonts w:hint="eastAsia" w:ascii="Times New Roman" w:hAnsi="Times New Roman" w:eastAsia="方正楷体_GBK" w:cs="Times New Roman"/>
          <w:b/>
          <w:color w:val="auto"/>
          <w:spacing w:val="-11"/>
          <w:kern w:val="36"/>
          <w:sz w:val="30"/>
          <w:szCs w:val="30"/>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省贸促会组团赴尼加拉瓜、墨西哥开展经贸交流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第十七届中国-拉美企业家高峰会前后，江苏省贸促会会长王善华率领经贸交流团访问尼加拉瓜和墨西哥，拜访两国对口机构，走访调研部分江苏投资企业，促进江苏与拉美地区经贸交流合作。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王善华与尼加拉瓜中国工商会会长谢航滨、墨西哥外贸投资和科技企业理事会中墨双边委员会副总裁阿里·本·萨克，以及尼加拉瓜中国和平统一促进会等机构负责人开展深入交流，感谢相关机构长期以来对江苏开放型经济及贸促工作的支持。他表示，拉美是发展中国家和新兴市场国家集中地区，近期习近平主席到访拉美，为推动中拉交流合作注入新的动力。当前，江苏正以建设具有世界聚合力的双向开放枢纽为牵引，着力塑造更高水平开放型经济新优势，加快打造发展新质生产力的重要阵地，希望彼此进一步发挥各自优势，加强信息共享，畅通交流渠道，深化经贸合作，共同服务好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境外相关机构负责人希望进一步加强与江苏省贸促会的沟通联系，同时欢迎江苏优势企业到当地投资兴业，他们将积极为江苏投资企业提供全方位的服务保障。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出访期间，王善华还拜会中国贸促会驻墨西哥代表处首席代表史晓初，重点就加强协同联动、支持江苏企业赴墨西哥投资进行交流，并走访亨通集团墨西哥销售代表处、中润（南通）家用纺织品有限公司墨西哥分公司等在墨江苏企业和尼加拉瓜苏籍侨领经营的外经贸企业，详细了解企业生产发展情况，就支持江苏企业更好“走出去”开展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省贸促会组织28家江苏企业参加第二届链博会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11月26日至30日，第二届中国国际供应链促进博览会在北京举行。国务院总理李强同第二届链博会参展参会代表座谈。国家副主席韩正出席开幕式并致辞。中国贸促会会长任鸿斌主持开幕式，并发布《全球产业链供应链稳定畅通北京倡议》。江苏省副省长方伟应邀出席开幕式。江苏省贸促会会长王善华参加欢迎晚宴和开幕式，副会长丛苏峰、秘书长杜培军参加相关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本届链博会，省贸促会共组织中天科技、南钢股份等28家江苏企业参展，其中盐城新能源汽车产业园、太仓中德产业园及园区企业首次以整体特装形式参展，展览面积1000多平方米，参展企业数较首届增长三成多。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开幕式后，王善华和苏州、盐城、宿迁等市贸促会负责人参观了阿斯利康、博世、比亚迪、朗新一诺等江苏参展企业和在苏投资跨国公司展台，详细了解和体验企业的前沿产品和创新技术。在与太古中国区主席蒋意达、嘉吉中国区总裁管慧丽、金拱门中国首席影响官顾磊、西门子中国副总裁战京涛等跨国公司负责人交流时，王善华表示，外资企业是江苏经济的重要组成部分，欢迎跨国公司发挥技术先进、管理高效等优势，推动更多先进产能落户江苏。在与中天科技董事长薛济萍、南钢股份常务副总裁徐晓春、中兴通讯副总裁朱林林、广东领益制造董事长曾芳勤等企业负责人交流时，王善华表示，江苏制造业基础雄厚，希望企业更好地利用链博会平台，携手深化产业链供应链合作。在与太仓中德产业园、盐城新能源汽车产业园展区负责人等交流中，王善华详细了解地方产业集群整体参展成效，表示省贸促会将发挥联通政企、融通内外、畅通供需的优势，更好服务地方优势产业国际化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链博会期间，江苏省与上海市、浙江省、安徽省贸促会共同支持举办长三角产业链高质量发展大会。中国贸促会副会长李庆霜致辞。沪苏浙皖三省一市贸促会联合发布多项成果，其中王善华代表江苏省贸促会发布《江苏省打造绿色技术国际合作案例》。该项目由国家绿色技术交易中心、南通开发区、中天科技集团共同建设，致力于构建中德绿色技术交流平台，推动绿色技术的国际转化与推广。</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期间，省贸促会领导还应邀出席中国-卢森堡商务合作交流会、中国湖北-匈牙利供应链合作大会、贸易发展与标准合作国际研讨会、中国火锅产业国际供应链促进活动、湖南省重点产业链招商推介会、宁夏优势特色产业推介会和太仓市举办的“链动中德·兴业苏州”太仓对德产业合作推介会等经贸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（贸易促进部）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color w:val="2E75B6" w:themeColor="accent1" w:themeShade="BF"/>
          <w:spacing w:val="-45"/>
          <w:kern w:val="2"/>
          <w:sz w:val="48"/>
          <w:szCs w:val="48"/>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省贸促会举办中泰商务理事会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江苏联络办公室企业对接交流会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11月28日下午，省贸促会举办中泰商务理事会江苏联络办公室企业对接交流会。泰国泰中商务委员会主席邱威功一行与江苏智能制造、人工智能、机电设备等行业16家意向“走出去”企业开展对接交流。会前，省贸促会会长王善华与邱威功就进一步加强江苏和泰国在经贸领域的合作进行了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王善华感谢泰中商务委员会长期以来对江苏开放型经济及贸促工作的支持。他表示，泰国是江苏在东盟地区重要经贸伙伴和投资目的地，明年将迎来泰中建交50周年，希望双方在中泰商务理事会框架下更好发挥江苏联络办公室作用，进一步畅通沟通渠道，共同搭建合作平台，助力江苏建设具有世界聚合力的双向开放枢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邱威功感谢省贸促会的热情接待和周到安排，希望进一步发挥各自优势，深化双方工商界合作，促进企业供应链产业链对接。</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省贸促会副会长丛苏峰主持对接交流会，邱威功介绍了泰国在东盟的区位优势和工业园区开发情况。江苏企业就园区生产要素、投资政策与泰方开展一对一互动交流。泰方表示愿为江苏企业在泰国投资兴业、拓展东南亚市场提供便利与支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heme="minorEastAsia" w:hAnsiTheme="minorEastAsia" w:eastAsiaTheme="minorEastAsia" w:cstheme="minorEastAsia"/>
          <w:color w:val="auto"/>
          <w:spacing w:val="0"/>
          <w:kern w:val="2"/>
          <w:sz w:val="44"/>
          <w:szCs w:val="44"/>
          <w:lang w:val="en-US" w:eastAsia="zh-CN" w:bidi="ar-SA"/>
        </w:rPr>
      </w:pPr>
      <w:r>
        <w:rPr>
          <w:rFonts w:hint="eastAsia" w:ascii="Times New Roman" w:hAnsi="Times New Roman" w:eastAsia="经典行楷简" w:cs="Times New Roman"/>
          <w:color w:val="2E75B6" w:themeColor="accent1" w:themeShade="BF"/>
          <w:spacing w:val="-45"/>
          <w:kern w:val="2"/>
          <w:sz w:val="44"/>
          <w:szCs w:val="44"/>
          <w:lang w:val="en-US" w:eastAsia="zh-CN" w:bidi="ar-SA"/>
        </w:rPr>
        <w:t>省贸促会组织境外驻宁机构等调研常州西太湖科技产业园</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11月21日，省贸促会组织英中贸易协会南京代表处、匈牙利出口促进局南京代表处、香港贸发局南京代表处、罗马尼亚工商联江苏代表处、德国巴符州驻华代表处等驻宁商协会机构和莱诺德包尔自动化技术（上海）有限公司赴常州西太湖科技产业园调研石墨烯新材料、细胞治疗前沿技术等新兴科技产业。副会长丛苏峰带队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代表团参观了“两湖”创新区规划展示馆和细胞治疗前沿技术研究院、石墨烯科技产业展示馆、第六元素材料科技股份有限公司，听取常州西太湖科技产业园在新兴产业培育、新能源产业发展和“两湖”创新区建设等方面的实践成果介绍，深入了解园区内最新细胞治疗技术在治疗遗传病等方面的广阔应用前景、各种石墨烯材料的广泛应用潜力。代表团与常州市武进区委常委、西太湖科技产业园党工委书记徐俊围绕产业特色、资源优势、合作意愿等开展深入交流，丛苏峰重点介绍省贸促会连接政企、衔接内外、对接供需的服务优势，双方就科技创新、产业发展、人才引进等议题进行广泛讨论并交换了意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英中贸易协会南京代表处表示可依托协会60多家英国大学会员，特别是剑桥大学石墨烯研究中心等高校研究机构，加强与常州石墨烯产业在技术转移转化、人才交流、创新中心项目等方面的务实合作，共同促进石墨烯在新能源、人工智能、6G通信、医疗健康等科技领域的运用。香港贸发局南京代表处期待在12月中旬举办的“一带一路”沙龙常州站活动期间与产业园新能源企业进行互动交流。德国巴符州驻华代表处表示，常州的中德产业创新园与巴符州联系紧密，后续将继续推动与产业园在绿色能源、高端智能装备等产业的经贸合作。匈牙利、罗马尼亚代表表示将积极引入中东欧创新企业、高校、科研机构资源，促进西太湖产业园科技创新和产业发展。莱诺德包尔自动化技术（上海）有限公司作为传感器领域的德国隐形冠军，欣喜地发现西太湖产业园拥有众多智能制造、数控机床等企业，产业链颇具规模，希望下一步深入接触和了解。</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（跨采中心）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44"/>
          <w:szCs w:val="44"/>
          <w:lang w:val="en-US" w:eastAsia="zh-CN" w:bidi="ar-SA"/>
        </w:rPr>
        <w:t>中韩（盐城）产业园经贸合作交流会在盐举行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11月29日上午，中韩（盐城）产业园经贸合作交流会在盐城市举行。盐城市委副书记、市长张明康，韩国驻上海总领事金英俊，商务部亚洲司司长王立平，韩国产业通商资源部通商协力局局长金钟喆，以及来自中韩两国政府机构、企业龙头、行业协会等嘉宾客商，再次齐聚黄海之滨，共享开放新机遇，共谋合作新未来。会议推介了盐城市投资环境和中韩（盐城）产业园、新万金韩中产业园、盐城零碳产业园发展情况。盐城经济技术开发区管委会与韩国新万金开发公社签署战略合作协议，一批重大项目成功签约。</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（盐城市贸促会）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default" w:ascii="Times New Roman" w:hAnsi="Times New Roman" w:eastAsia="华文新魏" w:cs="Times New Roman"/>
          <w:b/>
          <w:color w:val="FF0000"/>
          <w:spacing w:val="0"/>
          <w:kern w:val="36"/>
          <w:sz w:val="44"/>
          <w:szCs w:val="44"/>
          <w:lang w:val="en-US" w:eastAsia="zh-CN"/>
        </w:rPr>
      </w:pPr>
      <w:r>
        <w:rPr>
          <w:rFonts w:hint="eastAsia" w:ascii="Times New Roman" w:hAnsi="Times New Roman" w:eastAsia="华文新魏" w:cs="Times New Roman"/>
          <w:b/>
          <w:color w:val="FF0000"/>
          <w:spacing w:val="0"/>
          <w:kern w:val="36"/>
          <w:sz w:val="44"/>
          <w:szCs w:val="44"/>
          <w:lang w:val="en-US" w:eastAsia="zh-CN"/>
        </w:rPr>
        <w:t>镔钢集团上榜“双碳最佳实践能效标杆示范厂”</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近日，中国钢铁工业协会公布第三批“双碳最佳实践能效标杆示范厂”培育企业名单，我会副会长单位——江苏省镔鑫钢铁集团有限公司荣耀登榜。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镔钢集团全面贯彻新发展理念，坚决落实国家节能环保双碳重大决策部署，以绿色情怀恪守对蓝天碧水净土的承诺，坚定不移走生态优先、绿色低碳的高质量发展道路。牢固树立“绿水青山就是金山银山”的环保理念，以构建“绿色镔钢、和谐镔钢”为目标，大力推进转型升级、结构调整和节能减排，打造智慧、生态、低碳的绿色钢铁之城。耗资18亿元建造全封闭原配料综合处置中心、研发建造国内首家利用有压热闷技术的钢渣处理厂、独立研发全球首创的FCERS能源回收技术、配备废气治理设施100余套……从根本上改善生态环境，让钢铁生产更清洁、更高效，跟踪产品全生命周期，让每一卷钢材贡献最优环境绩效。</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：镔钢集团微信公众号）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bookmarkStart w:id="1" w:name="OLE_LINK7"/>
      <w:bookmarkStart w:id="2" w:name="OLE_LINK14"/>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中亿丰蝉联行业</w:t>
      </w:r>
      <w:r>
        <w:rPr>
          <w:rFonts w:hint="default" w:ascii="Times New Roman" w:hAnsi="Times New Roman" w:eastAsia="华文新魏" w:cs="Times New Roman"/>
          <w:b/>
          <w:color w:val="FF0000"/>
          <w:spacing w:val="0"/>
          <w:kern w:val="36"/>
          <w:sz w:val="48"/>
          <w:szCs w:val="48"/>
          <w:lang w:val="en-US" w:eastAsia="zh-CN"/>
        </w:rPr>
        <w:t>200强</w:t>
      </w:r>
    </w:p>
    <w:bookmarkEnd w:id="1"/>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近日，由中国建筑业协会建筑业高质量发展研究院、工程管理学报和北京中建协兴国际工程咨询公司联合组成的建筑业大数据应用研究课题组发布了2024年中国建筑业企业排行榜。我会副会长单位——</w:t>
      </w:r>
      <w:r>
        <w:rPr>
          <w:rFonts w:hint="default" w:ascii="Times New Roman" w:hAnsi="Times New Roman" w:eastAsiaTheme="minorEastAsia" w:cstheme="minorEastAsia"/>
          <w:color w:val="auto"/>
          <w:spacing w:val="0"/>
          <w:kern w:val="2"/>
          <w:sz w:val="32"/>
          <w:szCs w:val="32"/>
          <w:lang w:val="en-US" w:eastAsia="zh-CN" w:bidi="ar-SA"/>
        </w:rPr>
        <w:t>中亿丰建设集团股份有限公司位列“</w:t>
      </w:r>
      <w:bookmarkStart w:id="3" w:name="OLE_LINK5"/>
      <w:r>
        <w:rPr>
          <w:rFonts w:hint="default" w:ascii="Times New Roman" w:hAnsi="Times New Roman" w:eastAsiaTheme="minorEastAsia" w:cstheme="minorEastAsia"/>
          <w:color w:val="auto"/>
          <w:spacing w:val="0"/>
          <w:kern w:val="2"/>
          <w:sz w:val="32"/>
          <w:szCs w:val="32"/>
          <w:lang w:val="en-US" w:eastAsia="zh-CN" w:bidi="ar-SA"/>
        </w:rPr>
        <w:t>2024年中国建筑业企业200强</w:t>
      </w:r>
      <w:bookmarkEnd w:id="3"/>
      <w:r>
        <w:rPr>
          <w:rFonts w:hint="default" w:ascii="Times New Roman" w:hAnsi="Times New Roman" w:eastAsiaTheme="minorEastAsia" w:cstheme="minorEastAsia"/>
          <w:color w:val="auto"/>
          <w:spacing w:val="0"/>
          <w:kern w:val="2"/>
          <w:sz w:val="32"/>
          <w:szCs w:val="32"/>
          <w:lang w:val="en-US" w:eastAsia="zh-CN" w:bidi="ar-SA"/>
        </w:rPr>
        <w:t>”榜单第113位、“2024年中国建筑业企业盈利能力200强”榜单第125位。</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一直以来，中亿丰始终坚持改革创新发展，以匠心铸就精品工程，树立优质建造品牌，大力实施全产业联动协同和建筑全生命周期管理，后续，中亿丰将持续打造优质项目工程，积极构建产业新生态，以实干创新赋能城市建设高质量发展，努力为社会、行业和客户创造更大价值。</w:t>
      </w:r>
    </w:p>
    <w:bookmarkEnd w:id="2"/>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：中亿丰微信公众号）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bookmarkStart w:id="4" w:name="OLE_LINK2"/>
      <w:bookmarkStart w:id="5" w:name="OLE_LINK3"/>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华文新魏" w:cs="Times New Roman"/>
          <w:b/>
          <w:color w:val="FF0000"/>
          <w:spacing w:val="0"/>
          <w:kern w:val="36"/>
          <w:sz w:val="44"/>
          <w:szCs w:val="44"/>
          <w:lang w:val="en-US" w:eastAsia="zh-CN"/>
        </w:rPr>
        <w:t>宁海商标荣获“全国优秀商标代理机构”“商标代理服务能力600强5A级机构”等多项荣誉</w:t>
      </w:r>
    </w:p>
    <w:bookmarkEnd w:id="4"/>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在第十四届中国国际商标品牌节颁奖典礼上，我会理事单位——江苏省宁海商标事务所凭借卓越的业务能力和优质的服务口碑，荣获“2023年度优秀商标代理机构”和“2024年度品牌商标建设卓越贡献奖”。至此，宁海商标已连续11年获此殊荣。这些荣誉不仅是对宁海商标事务所过去一年工作的肯定，也是对其在商标代理服务领域卓越贡献的认可。</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bookmarkStart w:id="6" w:name="OLE_LINK6"/>
      <w:r>
        <w:rPr>
          <w:rFonts w:hint="eastAsia" w:ascii="Times New Roman" w:hAnsi="Times New Roman" w:eastAsiaTheme="minorEastAsia" w:cstheme="minorEastAsia"/>
          <w:color w:val="auto"/>
          <w:spacing w:val="0"/>
          <w:kern w:val="2"/>
          <w:sz w:val="32"/>
          <w:szCs w:val="32"/>
          <w:lang w:val="en-US" w:eastAsia="zh-CN" w:bidi="ar-SA"/>
        </w:rPr>
        <w:t>宁海商标事务所</w:t>
      </w:r>
      <w:bookmarkEnd w:id="6"/>
      <w:r>
        <w:rPr>
          <w:rFonts w:hint="eastAsia" w:ascii="Times New Roman" w:hAnsi="Times New Roman" w:eastAsiaTheme="minorEastAsia" w:cstheme="minorEastAsia"/>
          <w:color w:val="auto"/>
          <w:spacing w:val="0"/>
          <w:kern w:val="2"/>
          <w:sz w:val="32"/>
          <w:szCs w:val="32"/>
          <w:lang w:val="en-US" w:eastAsia="zh-CN" w:bidi="ar-SA"/>
        </w:rPr>
        <w:t>将继续携手国内外合作伙伴，共同推动知识产权事业的持续发展，为培育中国知名商标品牌贡献更多的力量。</w:t>
      </w:r>
    </w:p>
    <w:bookmarkEnd w:id="5"/>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：宁海商标事务所微信公众号）</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方正楷体_GBK" w:hAnsi="方正楷体_GBK" w:eastAsia="方正楷体_GBK" w:cs="方正楷体_GBK"/>
          <w:b/>
          <w:bCs w:val="0"/>
          <w:color w:val="FF0000"/>
          <w:sz w:val="32"/>
          <w:szCs w:val="32"/>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altName w:val="Yu Gothic UI Semilight"/>
    <w:panose1 w:val="02000000000000000000"/>
    <w:charset w:val="80"/>
    <w:family w:val="auto"/>
    <w:pitch w:val="default"/>
    <w:sig w:usb0="00000000" w:usb1="00000000"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F3D65"/>
    <w:rsid w:val="115347BC"/>
    <w:rsid w:val="11545887"/>
    <w:rsid w:val="11597C64"/>
    <w:rsid w:val="11602A9E"/>
    <w:rsid w:val="116228E3"/>
    <w:rsid w:val="11631325"/>
    <w:rsid w:val="116345A4"/>
    <w:rsid w:val="11667833"/>
    <w:rsid w:val="11687433"/>
    <w:rsid w:val="1178450A"/>
    <w:rsid w:val="117B53DF"/>
    <w:rsid w:val="117B71D3"/>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F3B66"/>
    <w:rsid w:val="333B116B"/>
    <w:rsid w:val="333E2024"/>
    <w:rsid w:val="33427ABB"/>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F65CC"/>
    <w:rsid w:val="6DB157A2"/>
    <w:rsid w:val="6DB25F3D"/>
    <w:rsid w:val="6DBA586C"/>
    <w:rsid w:val="6DBE0B3F"/>
    <w:rsid w:val="6DBF7294"/>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E133B4"/>
    <w:rsid w:val="74E1491C"/>
    <w:rsid w:val="74E67A31"/>
    <w:rsid w:val="74F61278"/>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2024-11-21T06:19:00Z</cp:lastPrinted>
  <dcterms:modified xsi:type="dcterms:W3CDTF">2024-12-02T07:21:42Z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