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338</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16日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5748581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62A33E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color w:val="auto"/>
          <w:spacing w:val="-2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1月14日（周三）</w:t>
      </w:r>
      <w:r>
        <w:rPr>
          <w:rFonts w:hint="default"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20"/>
          <w:kern w:val="36"/>
          <w:sz w:val="30"/>
          <w:szCs w:val="30"/>
          <w:lang w:val="en-US" w:eastAsia="zh-CN"/>
        </w:rPr>
        <w:t>《联合国可转让货物单证公约》：从重庆实践到</w:t>
      </w:r>
    </w:p>
    <w:p w14:paraId="71E268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88" w:firstLineChars="200"/>
        <w:jc w:val="left"/>
        <w:textAlignment w:val="auto"/>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r>
        <w:rPr>
          <w:rFonts w:hint="eastAsia" w:ascii="Times New Roman" w:hAnsi="Times New Roman" w:eastAsia="方正楷体_GBK" w:cs="Times New Roman"/>
          <w:b/>
          <w:color w:val="auto"/>
          <w:spacing w:val="-20"/>
          <w:kern w:val="36"/>
          <w:sz w:val="30"/>
          <w:szCs w:val="30"/>
          <w:lang w:val="en-US" w:eastAsia="zh-CN"/>
        </w:rPr>
        <w:t>全球规则的重塑  /</w:t>
      </w:r>
      <w:r>
        <w:rPr>
          <w:rFonts w:hint="eastAsia" w:ascii="Times New Roman" w:hAnsi="Times New Roman" w:eastAsia="方正楷体_GBK" w:cs="Times New Roman"/>
          <w:b/>
          <w:bCs w:val="0"/>
          <w:color w:val="auto"/>
          <w:spacing w:val="0"/>
          <w:kern w:val="36"/>
          <w:sz w:val="30"/>
          <w:szCs w:val="30"/>
          <w:lang w:val="en-US" w:eastAsia="zh-CN"/>
        </w:rPr>
        <w:t xml:space="preserve"> 01</w:t>
      </w:r>
    </w:p>
    <w:p w14:paraId="0B5D1FF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14:paraId="3A2628C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3CE478F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省贸促会领导赴宿迁、盐城调研外贸企业</w:t>
      </w:r>
      <w:r>
        <w:rPr>
          <w:rFonts w:hint="default" w:ascii="Times New Roman" w:hAnsi="Times New Roman" w:eastAsia="方正楷体_GBK" w:cs="Times New Roman"/>
          <w:b/>
          <w:color w:val="auto"/>
          <w:spacing w:val="0"/>
          <w:kern w:val="36"/>
          <w:sz w:val="30"/>
          <w:szCs w:val="30"/>
          <w:lang w:val="en-US" w:eastAsia="zh-CN"/>
        </w:rPr>
        <w:t xml:space="preserve"> </w:t>
      </w:r>
      <w:bookmarkStart w:id="0" w:name="OLE_LINK1"/>
      <w:r>
        <w:rPr>
          <w:rFonts w:hint="eastAsia" w:ascii="Times New Roman" w:hAnsi="Times New Roman" w:eastAsia="方正楷体_GBK" w:cs="Times New Roman"/>
          <w:b/>
          <w:color w:val="auto"/>
          <w:spacing w:val="-11"/>
          <w:kern w:val="36"/>
          <w:sz w:val="30"/>
          <w:szCs w:val="30"/>
          <w:lang w:val="en-US" w:eastAsia="zh-CN"/>
        </w:rPr>
        <w:t xml:space="preserve"> </w:t>
      </w:r>
      <w:bookmarkStart w:id="1" w:name="OLE_LINK10"/>
      <w:r>
        <w:rPr>
          <w:rFonts w:hint="eastAsia" w:ascii="Times New Roman" w:hAnsi="Times New Roman" w:eastAsia="方正楷体_GBK" w:cs="Times New Roman"/>
          <w:b/>
          <w:color w:val="auto"/>
          <w:spacing w:val="-11"/>
          <w:kern w:val="36"/>
          <w:sz w:val="30"/>
          <w:szCs w:val="30"/>
          <w:lang w:val="en-US" w:eastAsia="zh-CN"/>
        </w:rPr>
        <w:t xml:space="preserve">/ </w:t>
      </w:r>
      <w:bookmarkEnd w:id="0"/>
      <w:bookmarkEnd w:id="1"/>
      <w:r>
        <w:rPr>
          <w:rFonts w:hint="eastAsia" w:ascii="Times New Roman" w:hAnsi="Times New Roman" w:eastAsia="方正楷体_GBK" w:cs="Times New Roman"/>
          <w:b/>
          <w:color w:val="auto"/>
          <w:spacing w:val="-11"/>
          <w:kern w:val="36"/>
          <w:sz w:val="30"/>
          <w:szCs w:val="30"/>
          <w:lang w:val="en-US" w:eastAsia="zh-CN"/>
        </w:rPr>
        <w:t>10</w:t>
      </w:r>
    </w:p>
    <w:p w14:paraId="125170D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34"/>
          <w:kern w:val="36"/>
          <w:sz w:val="30"/>
          <w:szCs w:val="30"/>
          <w:lang w:val="en-US" w:eastAsia="zh-CN"/>
        </w:rPr>
        <w:t>省贸促会领导会见香港周启邦律师事务所内地联营管委会主席潘传平一行</w:t>
      </w:r>
      <w:r>
        <w:rPr>
          <w:rFonts w:hint="eastAsia" w:ascii="Times New Roman" w:hAnsi="Times New Roman" w:eastAsia="方正楷体_GBK" w:cs="Times New Roman"/>
          <w:b/>
          <w:color w:val="auto"/>
          <w:spacing w:val="-23"/>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1</w:t>
      </w:r>
      <w:r>
        <w:rPr>
          <w:rFonts w:hint="eastAsia" w:ascii="Times New Roman" w:hAnsi="Times New Roman" w:eastAsia="方正楷体_GBK" w:cs="Times New Roman"/>
          <w:b/>
          <w:color w:val="auto"/>
          <w:spacing w:val="-11"/>
          <w:kern w:val="36"/>
          <w:sz w:val="30"/>
          <w:szCs w:val="30"/>
          <w:lang w:val="en-US" w:eastAsia="zh-CN"/>
        </w:rPr>
        <w:t>1</w:t>
      </w:r>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2"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2"/>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洋河入选“中国消费名品”</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1</w:t>
      </w:r>
      <w:r>
        <w:rPr>
          <w:rFonts w:hint="eastAsia" w:ascii="Times New Roman" w:hAnsi="Times New Roman" w:eastAsia="方正楷体_GBK" w:cs="Times New Roman"/>
          <w:b/>
          <w:color w:val="auto"/>
          <w:spacing w:val="-11"/>
          <w:kern w:val="36"/>
          <w:sz w:val="30"/>
          <w:szCs w:val="30"/>
          <w:lang w:val="en-US" w:eastAsia="zh-CN"/>
        </w:rPr>
        <w:t>2</w:t>
      </w:r>
    </w:p>
    <w:p w14:paraId="5ED6037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8"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亨通光电再次填补国内空白，首个长行程拖链试验平台建成</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1</w:t>
      </w:r>
      <w:r>
        <w:rPr>
          <w:rFonts w:hint="eastAsia" w:ascii="Times New Roman" w:hAnsi="Times New Roman" w:eastAsia="方正楷体_GBK" w:cs="Times New Roman"/>
          <w:b/>
          <w:color w:val="auto"/>
          <w:spacing w:val="-11"/>
          <w:kern w:val="36"/>
          <w:sz w:val="30"/>
          <w:szCs w:val="30"/>
          <w:lang w:val="en-US" w:eastAsia="zh-CN"/>
        </w:rPr>
        <w:t>3</w:t>
      </w:r>
    </w:p>
    <w:p w14:paraId="04CF765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8" w:firstLineChars="200"/>
        <w:contextualSpacing/>
        <w:jc w:val="both"/>
        <w:textAlignment w:val="auto"/>
        <w:outlineLvl w:val="1"/>
        <w:rPr>
          <w:rFonts w:hint="default" w:ascii="Times New Roman" w:hAnsi="Times New Roman"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20"/>
          <w:kern w:val="36"/>
          <w:sz w:val="30"/>
          <w:szCs w:val="30"/>
          <w:lang w:val="en-US" w:eastAsia="zh-CN"/>
        </w:rPr>
        <w:t xml:space="preserve">国家重大专项获批，诺唯赞以“中国技术”筑牢新发传染病防控防线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1</w:t>
      </w:r>
      <w:r>
        <w:rPr>
          <w:rFonts w:hint="eastAsia" w:ascii="Times New Roman" w:hAnsi="Times New Roman" w:eastAsia="方正楷体_GBK" w:cs="Times New Roman"/>
          <w:b/>
          <w:color w:val="auto"/>
          <w:spacing w:val="-11"/>
          <w:kern w:val="36"/>
          <w:sz w:val="30"/>
          <w:szCs w:val="30"/>
          <w:lang w:val="en-US" w:eastAsia="zh-CN"/>
        </w:rPr>
        <w:t>4</w:t>
      </w:r>
      <w:bookmarkStart w:id="4" w:name="_GoBack"/>
      <w:bookmarkEnd w:id="4"/>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3DECD63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eastAsia" w:ascii="方正小标宋_GBK" w:hAnsi="方正小标宋_GBK" w:eastAsia="方正小标宋_GBK" w:cs="方正小标宋_GBK"/>
          <w:b/>
          <w:bCs/>
          <w:color w:val="0000FF"/>
          <w:sz w:val="32"/>
          <w:szCs w:val="32"/>
          <w:highlight w:val="yellow"/>
          <w:lang w:val="en-US" w:eastAsia="zh-CN"/>
        </w:rPr>
      </w:pPr>
      <w:r>
        <w:rPr>
          <w:rFonts w:hint="eastAsia" w:ascii="方正小标宋_GBK" w:hAnsi="方正小标宋_GBK" w:eastAsia="方正小标宋_GBK" w:cs="方正小标宋_GBK"/>
          <w:b/>
          <w:bCs/>
          <w:color w:val="0000FF"/>
          <w:sz w:val="32"/>
          <w:szCs w:val="32"/>
          <w:highlight w:val="yellow"/>
          <w:lang w:val="en-US" w:eastAsia="zh-CN"/>
        </w:rPr>
        <w:t>1月14日（周三）</w:t>
      </w:r>
    </w:p>
    <w:p w14:paraId="4B061E47">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方正仿宋_GBK" w:cs="Times New Roman"/>
          <w:b w:val="0"/>
          <w:bCs w:val="0"/>
          <w:sz w:val="32"/>
          <w:szCs w:val="32"/>
        </w:rPr>
      </w:pPr>
      <w:r>
        <w:rPr>
          <w:rFonts w:hint="eastAsia" w:ascii="方正小标宋_GBK" w:hAnsi="方正小标宋_GBK" w:eastAsia="方正小标宋_GBK" w:cs="方正小标宋_GBK"/>
          <w:b/>
          <w:bCs/>
          <w:color w:val="5B9BD5" w:themeColor="accent1"/>
          <w:sz w:val="32"/>
          <w:szCs w:val="32"/>
          <w:highlight w:val="none"/>
          <w:lang w:eastAsia="zh-CN"/>
          <w14:textFill>
            <w14:solidFill>
              <w14:schemeClr w14:val="accent1"/>
            </w14:solidFill>
          </w14:textFill>
        </w:rPr>
        <w:t>《联合国可转让货物单证公约》：从重庆实践到全球规则的重塑</w:t>
      </w:r>
    </w:p>
    <w:p w14:paraId="5A560B0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p>
    <w:p w14:paraId="7A9CE8C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2025年12月15日，第80届联合国大会正式审议并通过了《联合国可转让货物单证公约》（United Nations Convention on Negotiable Cargo Documents，简称NCD公约）。这一事件标志着全球贸易规则的一个重大变革，填补了国际贸易法框架中一个长期存在的结构性缺口，为铁路、公路等非</w:t>
      </w:r>
      <w:r>
        <w:rPr>
          <w:rFonts w:hint="eastAsia" w:ascii="方正仿宋_GBK" w:hAnsi="方正仿宋_GBK" w:eastAsia="方正仿宋_GBK" w:cs="方正仿宋_GBK"/>
          <w:b w:val="0"/>
          <w:bCs w:val="0"/>
          <w:sz w:val="32"/>
          <w:szCs w:val="32"/>
        </w:rPr>
        <w:t>海上运输方式引入了具备“物权凭证”属性的可转让货物</w:t>
      </w:r>
      <w:r>
        <w:rPr>
          <w:rFonts w:hint="default" w:ascii="Times New Roman" w:hAnsi="Times New Roman" w:eastAsia="方正仿宋_GBK" w:cs="Times New Roman"/>
          <w:b w:val="0"/>
          <w:bCs w:val="0"/>
          <w:sz w:val="32"/>
          <w:szCs w:val="32"/>
        </w:rPr>
        <w:t>单证（Negotiable Cargo Documents，NCD）。</w:t>
      </w:r>
    </w:p>
    <w:p w14:paraId="265AD76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NCD类似于海运中的提单（Bill of Lading），具备可转让的物权凭证属性，可用于银行融资、货物在途转让以及贸易便利化。联合国大会授权加纳于2026年下半年</w:t>
      </w:r>
      <w:r>
        <w:rPr>
          <w:rFonts w:hint="eastAsia" w:ascii="方正仿宋_GBK" w:hAnsi="方正仿宋_GBK" w:eastAsia="方正仿宋_GBK" w:cs="方正仿宋_GBK"/>
          <w:b w:val="0"/>
          <w:bCs w:val="0"/>
          <w:sz w:val="32"/>
          <w:szCs w:val="32"/>
        </w:rPr>
        <w:t>在其首都阿克拉举办开放签约仪式。从这一仪式起，《公约》将正式向国际社会全体国家开启签署通道，标志着公约从“通过”阶段正式进入“各国可签署”的新阶段，因此也被称为“阿克拉可转让货物单证公约”。</w:t>
      </w:r>
    </w:p>
    <w:p w14:paraId="035BC54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一、背景与过程</w:t>
      </w:r>
    </w:p>
    <w:p w14:paraId="3BAD355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可转让货物单证的概念最早源于中世纪的海运实践，当时商人需要一种凭证来代表在途货物所有权，以便在长途航行中进行转让或融资。这演变为现代提单，19世纪中叶得到标准化。例如，1855年的英国《提单法案》（Bills of Lading Act）正式确立了提单的可转让性和物权属性。此后，国际公约如1924年的《布鲁塞尔公约》（海牙规则）进一步强化了海运提单的全球统一框架。上述规则专为海运设计，以便利海洋贸易的需要。</w:t>
      </w:r>
    </w:p>
    <w:p w14:paraId="6A2591D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1830年代铁路开始在欧洲普及，现代陆路贸易也随之兴起，但从未发展出国际统一的、可转让的物权凭证。早期的陆路公约，如1890年的《国际铁路货物运输公约》（CIM公约）和1929年的《国际公路货物运输公约》（CMR公约），主</w:t>
      </w:r>
      <w:r>
        <w:rPr>
          <w:rFonts w:hint="eastAsia" w:ascii="方正仿宋_GBK" w:hAnsi="方正仿宋_GBK" w:eastAsia="方正仿宋_GBK" w:cs="方正仿宋_GBK"/>
          <w:b w:val="0"/>
          <w:bCs w:val="0"/>
          <w:sz w:val="32"/>
          <w:szCs w:val="32"/>
        </w:rPr>
        <w:t>要规范运输合同、责任分配和赔偿，且明确规定铁路或公路运单仅作为“运输凭证”或“收据”，不具备可转让的物权属性。</w:t>
      </w:r>
    </w:p>
    <w:p w14:paraId="418CF69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这意味着陆路货物在途时，无法像海运提单那样通过背书转让所有权或用于银行融资。自陆路贸易铁路化之初，这一国际法规空白就一直存在，并持续至今。究其原因，是海运占全球贸易的比重巨大（一度占90%），国际</w:t>
      </w:r>
      <w:r>
        <w:rPr>
          <w:rFonts w:hint="eastAsia" w:ascii="方正仿宋_GBK" w:hAnsi="方正仿宋_GBK" w:eastAsia="方正仿宋_GBK" w:cs="方正仿宋_GBK"/>
          <w:b w:val="0"/>
          <w:bCs w:val="0"/>
          <w:sz w:val="32"/>
          <w:szCs w:val="32"/>
        </w:rPr>
        <w:t>贸易法优先响应海运需求。长期以来，陆路运输被视为“本地化”或“短途”运输，并不需要复杂的可转让机制。</w:t>
      </w:r>
    </w:p>
    <w:p w14:paraId="210258C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战后，随着全球化加速，陆路贸易占比上升，但空白仍未填补。现有公约如1978年的《汉堡规则》和2008年的《鹿特丹规则》继续聚焦海运或多式联运中的海运部分。直到数字化和多式联运兴起，尤其是中欧班列的开通，该问题愈发显著。铁路运单或公路运单仅作为运输合同凭证，无法转让所有权或用于银行抵押。这造成陆路贸易融资成本增加，据联合国贸法会及相关研究估算，陆路货物因无法高效融资，贸易成本往往因此高出10-20%。而且，多式联运（海陆空联运）单证不</w:t>
      </w:r>
      <w:r>
        <w:rPr>
          <w:rFonts w:hint="eastAsia" w:ascii="方正仿宋_GBK" w:hAnsi="方正仿宋_GBK" w:eastAsia="方正仿宋_GBK" w:cs="方正仿宋_GBK"/>
          <w:b w:val="0"/>
          <w:bCs w:val="0"/>
          <w:sz w:val="32"/>
          <w:szCs w:val="32"/>
        </w:rPr>
        <w:t>兼容，增加了清关延误的时间成本。</w:t>
      </w:r>
    </w:p>
    <w:p w14:paraId="7961961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b w:val="0"/>
          <w:bCs w:val="0"/>
          <w:sz w:val="32"/>
          <w:szCs w:val="32"/>
        </w:rPr>
        <w:t>同时，在“一带一路”倡议下，全球跨境陆路贸易规模激增，这一法规空白日益成为全球贸易的瓶颈，</w:t>
      </w:r>
      <w:r>
        <w:rPr>
          <w:rFonts w:hint="default" w:ascii="Times New Roman" w:hAnsi="Times New Roman" w:eastAsia="方正仿宋_GBK" w:cs="Times New Roman"/>
          <w:b w:val="0"/>
          <w:bCs w:val="0"/>
          <w:sz w:val="32"/>
          <w:szCs w:val="32"/>
        </w:rPr>
        <w:t>因此，联合国国际贸易法委员会（UNCITRAL）开始推动新公约制订，最终在2025年通过《联合国可转让货物单证公约》（NCD公约），首次为所有运输方式（包括陆路）提供统一的可转让框架。</w:t>
      </w:r>
    </w:p>
    <w:p w14:paraId="06EBB15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在公约的制定过程中，中国发挥了关键作用，是公约的提案方和主要推动者，而且这也是中国在运输领域引领制定的第一部国际公约。其灵感来源于重庆的国际铁路运单金融创新试点：早在2017年，重庆启动了中欧班列（渝新欧）铁路运单物权化试点，通过创新机制实现铁路运单的融资功能，累计融资额超数百亿元人民币。这一地方实践逐步上升为国际共识，历经多年谈判，最终在2025年联合国大会上通过。</w:t>
      </w:r>
    </w:p>
    <w:p w14:paraId="29EA59E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二、公约的主要内容</w:t>
      </w:r>
    </w:p>
    <w:p w14:paraId="020CF4A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《公约》确立了一个统一的国际法律框架，规范NCD的签发、使用和转让，支持纸质和电子形式（eNCD），适用于所有运输方式（包括陆路、海路、空运及多式联运）。其核心是赋予NCD</w:t>
      </w:r>
      <w:r>
        <w:rPr>
          <w:rFonts w:hint="eastAsia" w:ascii="方正仿宋_GBK" w:hAnsi="方正仿宋_GBK" w:eastAsia="方正仿宋_GBK" w:cs="方正仿宋_GBK"/>
          <w:b w:val="0"/>
          <w:bCs w:val="0"/>
          <w:sz w:val="32"/>
          <w:szCs w:val="32"/>
        </w:rPr>
        <w:t>“物权凭证”属</w:t>
      </w:r>
      <w:r>
        <w:rPr>
          <w:rFonts w:hint="default" w:ascii="Times New Roman" w:hAnsi="Times New Roman" w:eastAsia="方正仿宋_GBK" w:cs="Times New Roman"/>
          <w:b w:val="0"/>
          <w:bCs w:val="0"/>
          <w:sz w:val="32"/>
          <w:szCs w:val="32"/>
        </w:rPr>
        <w:t>性，即NCD代表在途货物的所有权，可通过背书和占有转让实现货物权利的转移，与货物实际移交具有同等效力。</w:t>
      </w:r>
    </w:p>
    <w:p w14:paraId="1205F2B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NCD本质上是一</w:t>
      </w:r>
      <w:r>
        <w:rPr>
          <w:rFonts w:hint="eastAsia" w:ascii="方正仿宋_GBK" w:hAnsi="方正仿宋_GBK" w:eastAsia="方正仿宋_GBK" w:cs="方正仿宋_GBK"/>
          <w:b w:val="0"/>
          <w:bCs w:val="0"/>
          <w:sz w:val="32"/>
          <w:szCs w:val="32"/>
        </w:rPr>
        <w:t>种新型的“可转让所有权凭证”，类似于海运提单，但适用于所有运输方式。公约并不改变基础运输合同的权利义务（如承运人责任），而是补充其“商业功能”，便利贸易融资和在途转让。</w:t>
      </w:r>
    </w:p>
    <w:p w14:paraId="4DD9597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例如，一家中国出口商通过中欧班列向德国运送电子设备，签发NCD。在货物仍在途中时，出口商可将NCD背书并交付给德国买方；买方占有NCD后，即可凭此向银行申请融资，或再次背书转售给第三方，而无需等待货物抵达目的地。这大大简化了在途销售和融资流程，原本铁路运单（仅作为运输合同凭证）无法实现这一功能。</w:t>
      </w:r>
    </w:p>
    <w:p w14:paraId="65E90BE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公约的关键条款主要包括以下几个方面：</w:t>
      </w:r>
    </w:p>
    <w:p w14:paraId="36A41AF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 签发条件（第三条）：仅在运输经营人和托运人一致同意下签发，可基于现有运输单证转换，或独立签发。</w:t>
      </w:r>
    </w:p>
    <w:p w14:paraId="74D7E3C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例如，在中欧班列运输中，托运人（出口商）与铁路经营人协商同意后，在标准铁路运单上</w:t>
      </w:r>
      <w:r>
        <w:rPr>
          <w:rFonts w:hint="eastAsia" w:ascii="方正仿宋_GBK" w:hAnsi="方正仿宋_GBK" w:eastAsia="方正仿宋_GBK" w:cs="方正仿宋_GBK"/>
          <w:b w:val="0"/>
          <w:bCs w:val="0"/>
          <w:sz w:val="32"/>
          <w:szCs w:val="32"/>
        </w:rPr>
        <w:t>添加“</w:t>
      </w:r>
      <w:r>
        <w:rPr>
          <w:rFonts w:hint="default" w:ascii="Times New Roman" w:hAnsi="Times New Roman" w:eastAsia="方正仿宋_GBK" w:cs="Times New Roman"/>
          <w:b w:val="0"/>
          <w:bCs w:val="0"/>
          <w:sz w:val="32"/>
          <w:szCs w:val="32"/>
        </w:rPr>
        <w:t>NCD</w:t>
      </w:r>
      <w:r>
        <w:rPr>
          <w:rFonts w:hint="eastAsia" w:ascii="方正仿宋_GBK" w:hAnsi="方正仿宋_GBK" w:eastAsia="方正仿宋_GBK" w:cs="方正仿宋_GBK"/>
          <w:b w:val="0"/>
          <w:bCs w:val="0"/>
          <w:sz w:val="32"/>
          <w:szCs w:val="32"/>
        </w:rPr>
        <w:t>”标注</w:t>
      </w:r>
      <w:r>
        <w:rPr>
          <w:rFonts w:hint="default" w:ascii="Times New Roman" w:hAnsi="Times New Roman" w:eastAsia="方正仿宋_GBK" w:cs="Times New Roman"/>
          <w:b w:val="0"/>
          <w:bCs w:val="0"/>
          <w:sz w:val="32"/>
          <w:szCs w:val="32"/>
        </w:rPr>
        <w:t>并签名，即转换为可转让NCD。如果是纯公路运输，可直接独立签发NCD，避免额外单证。</w:t>
      </w:r>
    </w:p>
    <w:p w14:paraId="10B5657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 单证内容要求（第四条）：必须包含货物描述、运输细节、持单人信息等；缺陷可补救（第五条）。</w:t>
      </w:r>
    </w:p>
    <w:p w14:paraId="2AFB139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b w:val="0"/>
          <w:bCs w:val="0"/>
          <w:sz w:val="32"/>
          <w:szCs w:val="32"/>
        </w:rPr>
        <w:t>“缺陷可补救”机制旨</w:t>
      </w:r>
      <w:r>
        <w:rPr>
          <w:rFonts w:hint="default" w:ascii="Times New Roman" w:hAnsi="Times New Roman" w:eastAsia="方正仿宋_GBK" w:cs="Times New Roman"/>
          <w:b w:val="0"/>
          <w:bCs w:val="0"/>
          <w:sz w:val="32"/>
          <w:szCs w:val="32"/>
        </w:rPr>
        <w:t>在保护善意持有人，避免因小瑕疵导致融资失败。例如，一份NCD遗漏了货物重量描述，运输经营人可事后补正或按第五条推定规则处理，不会使整个NCD无效。再如，若NCD上未注</w:t>
      </w:r>
      <w:r>
        <w:rPr>
          <w:rFonts w:hint="eastAsia" w:ascii="方正仿宋_GBK" w:hAnsi="方正仿宋_GBK" w:eastAsia="方正仿宋_GBK" w:cs="方正仿宋_GBK"/>
          <w:b w:val="0"/>
          <w:bCs w:val="0"/>
          <w:sz w:val="32"/>
          <w:szCs w:val="32"/>
        </w:rPr>
        <w:t>明“货物已投保”，但托运人实际已投保，银行作为善意持有人仍可</w:t>
      </w:r>
      <w:r>
        <w:rPr>
          <w:rFonts w:hint="default" w:ascii="Times New Roman" w:hAnsi="Times New Roman" w:eastAsia="方正仿宋_GBK" w:cs="Times New Roman"/>
          <w:b w:val="0"/>
          <w:bCs w:val="0"/>
          <w:sz w:val="32"/>
          <w:szCs w:val="32"/>
        </w:rPr>
        <w:t>依据第五条推定规则获得保护，不会因此拒绝放贷。</w:t>
      </w:r>
    </w:p>
    <w:p w14:paraId="059552A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 权利与责任（第七条、第九条、第十条、第十一条）：权利仅由持单人行使，随单证转让一并转移；持单人有目的地交付货物的权利，并承担相应责任。</w:t>
      </w:r>
    </w:p>
    <w:p w14:paraId="16109C8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公约通过严格限制后续持单人的责任范围，确保NCD像股票或支票一样具有高度流通性，避免后续买方因承担过多潜在风险而不敢接手。</w:t>
      </w:r>
    </w:p>
    <w:p w14:paraId="5FF771A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例如，中国出口商A（原托运人）通过中欧班列运一批电子设备到德国，签发NCD。货物途中，A把NCD背书并交给德国买方B。B作为后续持单人，可行</w:t>
      </w:r>
      <w:r>
        <w:rPr>
          <w:rFonts w:hint="eastAsia" w:ascii="方正仿宋_GBK" w:hAnsi="方正仿宋_GBK" w:eastAsia="方正仿宋_GBK" w:cs="方正仿宋_GBK"/>
          <w:b w:val="0"/>
          <w:bCs w:val="0"/>
          <w:sz w:val="32"/>
          <w:szCs w:val="32"/>
        </w:rPr>
        <w:t>使处置权，比如要求“在波兰马拉舍维奇站提前卸货”或“变更收货人为第三方”，他有权</w:t>
      </w:r>
      <w:r>
        <w:rPr>
          <w:rFonts w:hint="default" w:ascii="Times New Roman" w:hAnsi="Times New Roman" w:eastAsia="方正仿宋_GBK" w:cs="Times New Roman"/>
          <w:b w:val="0"/>
          <w:bCs w:val="0"/>
          <w:sz w:val="32"/>
          <w:szCs w:val="32"/>
        </w:rPr>
        <w:t>通过NCD指示铁路公司执行。但B的责</w:t>
      </w:r>
      <w:r>
        <w:rPr>
          <w:rFonts w:hint="eastAsia" w:ascii="方正仿宋_GBK" w:hAnsi="方正仿宋_GBK" w:eastAsia="方正仿宋_GBK" w:cs="方正仿宋_GBK"/>
          <w:b w:val="0"/>
          <w:bCs w:val="0"/>
          <w:sz w:val="32"/>
          <w:szCs w:val="32"/>
        </w:rPr>
        <w:t>任有限——他只对自己行使权利直接导致的后果负责，不会“背锅”原托运人或承运人的全部历史问题。这也是公约</w:t>
      </w:r>
      <w:r>
        <w:rPr>
          <w:rFonts w:hint="default" w:ascii="Times New Roman" w:hAnsi="Times New Roman" w:eastAsia="方正仿宋_GBK" w:cs="Times New Roman"/>
          <w:b w:val="0"/>
          <w:bCs w:val="0"/>
          <w:sz w:val="32"/>
          <w:szCs w:val="32"/>
        </w:rPr>
        <w:t>让NCD</w:t>
      </w:r>
      <w:r>
        <w:rPr>
          <w:rFonts w:hint="eastAsia" w:ascii="方正仿宋_GBK" w:hAnsi="方正仿宋_GBK" w:eastAsia="方正仿宋_GBK" w:cs="方正仿宋_GBK"/>
          <w:b w:val="0"/>
          <w:bCs w:val="0"/>
          <w:sz w:val="32"/>
          <w:szCs w:val="32"/>
        </w:rPr>
        <w:t>“可流通、可融资”的关键保障。</w:t>
      </w:r>
    </w:p>
    <w:p w14:paraId="4106ADD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 保护机制（第六条第三款）：对善意依赖单证信息的第三人提供法律保护。</w:t>
      </w:r>
    </w:p>
    <w:p w14:paraId="1D7A361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保护机制增强了NCD的可信度和流通性，具体来说，运输经营人不得对善意依赖NCD信息的第三人主张相反事实（除非信息由托运人提供且已注明不实）。</w:t>
      </w:r>
    </w:p>
    <w:p w14:paraId="1039C6B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举例：银行基于NCD记载的</w:t>
      </w:r>
      <w:r>
        <w:rPr>
          <w:rFonts w:hint="eastAsia" w:ascii="方正仿宋_GBK" w:hAnsi="方正仿宋_GBK" w:eastAsia="方正仿宋_GBK" w:cs="方正仿宋_GBK"/>
          <w:b w:val="0"/>
          <w:bCs w:val="0"/>
          <w:sz w:val="32"/>
          <w:szCs w:val="32"/>
        </w:rPr>
        <w:t>货物“良好状况”向持单人放贷。若实际货物有损，银行作为善意第三人仍受保护，运输经营人不能以此拒绝银行的索赔要求</w:t>
      </w:r>
      <w:r>
        <w:rPr>
          <w:rFonts w:hint="default" w:ascii="Times New Roman" w:hAnsi="Times New Roman" w:eastAsia="方正仿宋_GBK" w:cs="Times New Roman"/>
          <w:b w:val="0"/>
          <w:bCs w:val="0"/>
          <w:sz w:val="32"/>
          <w:szCs w:val="32"/>
        </w:rPr>
        <w:t>。</w:t>
      </w:r>
    </w:p>
    <w:p w14:paraId="33C9902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 电子单证规则（第十二至十八条）：与UNCITRAL的《电子可转让记录示范法》一致，支持数字化转型，确保电子NCD的安全性和可验证性。</w:t>
      </w:r>
    </w:p>
    <w:p w14:paraId="3624B85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电子单证规则为中欧班列</w:t>
      </w:r>
      <w:r>
        <w:rPr>
          <w:rFonts w:hint="eastAsia" w:ascii="方正仿宋_GBK" w:hAnsi="方正仿宋_GBK" w:eastAsia="方正仿宋_GBK" w:cs="方正仿宋_GBK"/>
          <w:b w:val="0"/>
          <w:bCs w:val="0"/>
          <w:sz w:val="32"/>
          <w:szCs w:val="32"/>
        </w:rPr>
        <w:t>等跨境运输的数字化转型提供了法律基础，有望大幅减少纸质单证依赖，提高运营效率和防伪能力。</w:t>
      </w:r>
    </w:p>
    <w:p w14:paraId="2327465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b w:val="0"/>
          <w:bCs w:val="0"/>
          <w:sz w:val="32"/>
          <w:szCs w:val="32"/>
        </w:rPr>
        <w:t>此外，公约明确“不修改”现有运输公约（如海牙规则、蒙特利尔公约等）的责任制度，仅作</w:t>
      </w:r>
      <w:r>
        <w:rPr>
          <w:rFonts w:hint="default" w:ascii="Times New Roman" w:hAnsi="Times New Roman" w:eastAsia="方正仿宋_GBK" w:cs="Times New Roman"/>
          <w:b w:val="0"/>
          <w:bCs w:val="0"/>
          <w:sz w:val="32"/>
          <w:szCs w:val="32"/>
        </w:rPr>
        <w:t>为补充框架并行适用，支持单一NCD覆盖多式联运全程，简化清关和单证处理。</w:t>
      </w:r>
    </w:p>
    <w:p w14:paraId="0F5F825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例如，货物从江苏淮安经铁路到欧洲港口，再海运到德国，可用单一NCD全程覆盖。收货人无需多次换单，清关更快，融资更顺畅。</w:t>
      </w:r>
    </w:p>
    <w:p w14:paraId="557DF6F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三、公约的意义与影响</w:t>
      </w:r>
    </w:p>
    <w:p w14:paraId="74B5C03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《NCD公约》的</w:t>
      </w:r>
      <w:r>
        <w:rPr>
          <w:rFonts w:hint="eastAsia" w:ascii="方正仿宋_GBK" w:hAnsi="方正仿宋_GBK" w:eastAsia="方正仿宋_GBK" w:cs="方正仿宋_GBK"/>
          <w:b w:val="0"/>
          <w:bCs w:val="0"/>
          <w:sz w:val="32"/>
          <w:szCs w:val="32"/>
        </w:rPr>
        <w:t>通过被国际社会广泛视为“重塑全球贸易规则”的里程碑事件。它首次将海运提单的可转让物权功能扩展至铁路、公路、航空及多式联运等所有运输方式，填补了国际贸易法中长期存在的结构性缺口，为全球供应链注入新的灵活性、安全性和效率。</w:t>
      </w:r>
    </w:p>
    <w:p w14:paraId="4831995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根据联合国国际贸易法委员会（UNCITRAL）</w:t>
      </w:r>
      <w:r>
        <w:rPr>
          <w:rFonts w:hint="eastAsia" w:ascii="方正仿宋_GBK" w:hAnsi="方正仿宋_GBK" w:eastAsia="方正仿宋_GBK" w:cs="方正仿宋_GBK"/>
          <w:b w:val="0"/>
          <w:bCs w:val="0"/>
          <w:sz w:val="32"/>
          <w:szCs w:val="32"/>
        </w:rPr>
        <w:t>和相关权威机构的评估，这一公约有望显著降低贸易成本、弥合贸易融资缺口，并推动数字化转型，尤其对内陆国家、发展中国家及“一带一路”沿线地区的开放和开发具有革命性意义。其主要影响可归纳为以下几个方面：</w:t>
      </w:r>
    </w:p>
    <w:p w14:paraId="23BB9DC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一是填补陆路贸易法律空白，提升多式联运效率</w:t>
      </w:r>
    </w:p>
    <w:p w14:paraId="4381F03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过去百年，陆路贸易（铁路、公路）</w:t>
      </w:r>
      <w:r>
        <w:rPr>
          <w:rFonts w:hint="eastAsia" w:ascii="方正仿宋_GBK" w:hAnsi="方正仿宋_GBK" w:eastAsia="方正仿宋_GBK" w:cs="方正仿宋_GBK"/>
          <w:b w:val="0"/>
          <w:bCs w:val="0"/>
          <w:sz w:val="32"/>
          <w:szCs w:val="32"/>
        </w:rPr>
        <w:t>缺乏具备“物权凭证”属性的可转让单证，导致货物在途无法高效</w:t>
      </w:r>
      <w:r>
        <w:rPr>
          <w:rFonts w:hint="default" w:ascii="Times New Roman" w:hAnsi="Times New Roman" w:eastAsia="方正仿宋_GBK" w:cs="Times New Roman"/>
          <w:b w:val="0"/>
          <w:bCs w:val="0"/>
          <w:sz w:val="32"/>
          <w:szCs w:val="32"/>
        </w:rPr>
        <w:t>转让或融资，银行不愿接受铁路/公路运单作为抵押，贸易融资成本高企。《公约》引入NCD后，陆路货物可像海运提单一样实现背书转让、占有移交及在途销售。联合国贸法会秘书长安娜·朱宾-布雷特在2025年12月新闻发布会上表示，该</w:t>
      </w:r>
      <w:r>
        <w:rPr>
          <w:rFonts w:hint="eastAsia" w:ascii="方正仿宋_GBK" w:hAnsi="方正仿宋_GBK" w:eastAsia="方正仿宋_GBK" w:cs="方正仿宋_GBK"/>
          <w:b w:val="0"/>
          <w:bCs w:val="0"/>
          <w:sz w:val="32"/>
          <w:szCs w:val="32"/>
        </w:rPr>
        <w:t>公约“将显著减少内陆贸易路线成本”，尤其惠及内陆国和广</w:t>
      </w:r>
      <w:r>
        <w:rPr>
          <w:rFonts w:hint="default" w:ascii="Times New Roman" w:hAnsi="Times New Roman" w:eastAsia="方正仿宋_GBK" w:cs="Times New Roman"/>
          <w:b w:val="0"/>
          <w:bCs w:val="0"/>
          <w:sz w:val="32"/>
          <w:szCs w:val="32"/>
        </w:rPr>
        <w:t>大陆地国家。</w:t>
      </w:r>
    </w:p>
    <w:p w14:paraId="5F0F349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同时，支持单一NCD覆盖多式联运</w:t>
      </w:r>
      <w:r>
        <w:rPr>
          <w:rFonts w:hint="eastAsia" w:ascii="方正仿宋_GBK" w:hAnsi="方正仿宋_GBK" w:eastAsia="方正仿宋_GBK" w:cs="方正仿宋_GBK"/>
          <w:b w:val="0"/>
          <w:bCs w:val="0"/>
          <w:sz w:val="32"/>
          <w:szCs w:val="32"/>
        </w:rPr>
        <w:t>全程，减少换单次数、简化清关流程，提高供应链韧性和运营效率。这对中欧班列、泛欧亚陆路走廊等项目尤为关键，有助于打破“海运中心主义”的传统格局，推动门到门</w:t>
      </w:r>
      <w:r>
        <w:rPr>
          <w:rFonts w:hint="default" w:ascii="Times New Roman" w:hAnsi="Times New Roman" w:eastAsia="方正仿宋_GBK" w:cs="Times New Roman"/>
          <w:b w:val="0"/>
          <w:bCs w:val="0"/>
          <w:sz w:val="32"/>
          <w:szCs w:val="32"/>
        </w:rPr>
        <w:t>（door-to-door）运输发展。</w:t>
      </w:r>
    </w:p>
    <w:p w14:paraId="4261342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二是促进贸易融资便利化，特别惠及中小企业和发展中国家</w:t>
      </w:r>
    </w:p>
    <w:p w14:paraId="74369D4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NCD作为可转让物权凭证，可</w:t>
      </w:r>
      <w:r>
        <w:rPr>
          <w:rFonts w:hint="eastAsia" w:ascii="方正仿宋_GBK" w:hAnsi="方正仿宋_GBK" w:eastAsia="方正仿宋_GBK" w:cs="方正仿宋_GBK"/>
          <w:b w:val="0"/>
          <w:bCs w:val="0"/>
          <w:sz w:val="32"/>
          <w:szCs w:val="32"/>
        </w:rPr>
        <w:t>直接用于银行信贷担保、信用证议付或供应链融资，解决中小企业“融资难、融资贵”问题。联合国贸法会强调，该公约将“桥接贸易融资缺口”</w:t>
      </w:r>
      <w:r>
        <w:rPr>
          <w:rFonts w:hint="default" w:ascii="Times New Roman" w:hAnsi="Times New Roman" w:eastAsia="方正仿宋_GBK" w:cs="Times New Roman"/>
          <w:b w:val="0"/>
          <w:bCs w:val="0"/>
          <w:sz w:val="32"/>
          <w:szCs w:val="32"/>
        </w:rPr>
        <w:t>（bridge the trade finance gap），让货物在漫长运输途中即可转售、设定担保或释放流动性，而非仅限于装船前操作。</w:t>
      </w:r>
    </w:p>
    <w:p w14:paraId="03860D1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这对发展中国家和新兴</w:t>
      </w:r>
      <w:r>
        <w:rPr>
          <w:rFonts w:hint="eastAsia" w:ascii="方正仿宋_GBK" w:hAnsi="方正仿宋_GBK" w:eastAsia="方正仿宋_GBK" w:cs="方正仿宋_GBK"/>
          <w:b w:val="0"/>
          <w:bCs w:val="0"/>
          <w:sz w:val="32"/>
          <w:szCs w:val="32"/>
        </w:rPr>
        <w:t>市场尤为重要：内陆国和非洲、中亚国家可更深度融入全球价值链，降低物流金融壁垒。预计将为全球贸易融资规模带来显著增量，并间接推动贸易额增长。该公约源于重庆中欧班列铁路运单融资试点，其全球推广将进一步放大中国中小企业在“一带一路”沿线的融资便利。</w:t>
      </w:r>
    </w:p>
    <w:p w14:paraId="0642810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三是加速全球供应链数字化转型，推动电子</w:t>
      </w:r>
      <w:r>
        <w:rPr>
          <w:rFonts w:hint="default" w:ascii="Times New Roman" w:hAnsi="Times New Roman" w:eastAsia="方正楷体_GBK" w:cs="Times New Roman"/>
          <w:b w:val="0"/>
          <w:bCs w:val="0"/>
          <w:sz w:val="32"/>
          <w:szCs w:val="32"/>
        </w:rPr>
        <w:t>NCD</w:t>
      </w:r>
      <w:r>
        <w:rPr>
          <w:rFonts w:hint="eastAsia" w:ascii="方正楷体_GBK" w:hAnsi="方正楷体_GBK" w:eastAsia="方正楷体_GBK" w:cs="方正楷体_GBK"/>
          <w:b w:val="0"/>
          <w:bCs w:val="0"/>
          <w:sz w:val="32"/>
          <w:szCs w:val="32"/>
        </w:rPr>
        <w:t>普及</w:t>
      </w:r>
    </w:p>
    <w:p w14:paraId="64066DC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《公约》第12-18条与UNCITRAL《电子可转让记录示范法》（MLETR）高度一致，为电子NCD（eNCD）</w:t>
      </w:r>
      <w:r>
        <w:rPr>
          <w:rFonts w:hint="eastAsia" w:ascii="方正仿宋_GBK" w:hAnsi="方正仿宋_GBK" w:eastAsia="方正仿宋_GBK" w:cs="方正仿宋_GBK"/>
          <w:b w:val="0"/>
          <w:bCs w:val="0"/>
          <w:sz w:val="32"/>
          <w:szCs w:val="32"/>
        </w:rPr>
        <w:t>提供了可靠的法律基础，包括独占控制、电子签名、完整性验证和介质转换规则。这将大幅减少纸质单证依赖，降低防伪成本、运营延误和人为错误，支持区块链、数字平台等技术应用。</w:t>
      </w:r>
    </w:p>
    <w:p w14:paraId="4F13F94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b w:val="0"/>
          <w:bCs w:val="0"/>
          <w:sz w:val="32"/>
          <w:szCs w:val="32"/>
        </w:rPr>
        <w:t>联合国贸法会指出，《公约》“将助力全球贸易数字化转型”</w:t>
      </w:r>
      <w:r>
        <w:rPr>
          <w:rFonts w:hint="default" w:ascii="Times New Roman" w:hAnsi="Times New Roman" w:eastAsia="方正仿宋_GBK" w:cs="Times New Roman"/>
          <w:b w:val="0"/>
          <w:bCs w:val="0"/>
          <w:sz w:val="32"/>
          <w:szCs w:val="32"/>
        </w:rPr>
        <w:t>（facilitate the digitalisation of global trade），尤其在后疫情时代供应链脆弱性暴露后，更显紧迫。结合中欧班列的数字化实践（如电子运单试点），预计将显著提升跨境运输的透明度、安全性和环保性。</w:t>
      </w:r>
    </w:p>
    <w:p w14:paraId="07141A8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四是地缘经济与全球治理影响，彰显了中国制度型开放与多边主义担当</w:t>
      </w:r>
    </w:p>
    <w:p w14:paraId="2B31AE5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这是中国在运输领域引领制定的第一部国际公约，自2019年提案以来，中国全程主导并协调各方，标志着我</w:t>
      </w:r>
      <w:r>
        <w:rPr>
          <w:rFonts w:hint="eastAsia" w:ascii="方正仿宋_GBK" w:hAnsi="方正仿宋_GBK" w:eastAsia="方正仿宋_GBK" w:cs="方正仿宋_GBK"/>
          <w:b w:val="0"/>
          <w:bCs w:val="0"/>
          <w:sz w:val="32"/>
          <w:szCs w:val="32"/>
        </w:rPr>
        <w:t>国国际规则制定话语权的重大提升。它源于“一带一路”实践，最终上升为全球公共产品，完美体现了“人类命运共同体”理念与“四大全球倡议”的落实。中国将借助《公约》，进一步扩展“一带一路”陆路贸易机遇，推动沿线国家基础设施互联、贸易便利化和中小企业发展。</w:t>
      </w:r>
    </w:p>
    <w:p w14:paraId="35EEB52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对全球而言，</w:t>
      </w:r>
      <w:r>
        <w:rPr>
          <w:rFonts w:hint="eastAsia" w:ascii="方正仿宋_GBK" w:hAnsi="方正仿宋_GBK" w:eastAsia="方正仿宋_GBK" w:cs="方正仿宋_GBK"/>
          <w:b w:val="0"/>
          <w:bCs w:val="0"/>
          <w:sz w:val="32"/>
          <w:szCs w:val="32"/>
        </w:rPr>
        <w:t>《公约》统一了碎片化的运输单证规则，减少法律冲突与贸易争端，促进公平、包容的贸易环境。联合国贸法会称其为“有效多边主义的成功典范”</w:t>
      </w:r>
      <w:r>
        <w:rPr>
          <w:rFonts w:hint="default" w:ascii="Times New Roman" w:hAnsi="Times New Roman" w:eastAsia="方正仿宋_GBK" w:cs="Times New Roman"/>
          <w:b w:val="0"/>
          <w:bCs w:val="0"/>
          <w:sz w:val="32"/>
          <w:szCs w:val="32"/>
        </w:rPr>
        <w:t>（a model of effective multilateralism），在单边主义抬头、全球化逆风的当下，为后疫情时代全球供应链注入新活力。国际社会普遍欢迎《公约》，认为它将使货物运输更廉价、更快捷、更灵活，尤其惠及内陆国、发展中国家及广大中小企业。</w:t>
      </w:r>
    </w:p>
    <w:p w14:paraId="7575649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《公约》将于2026年下半年在加纳首都阿克拉举行开放签约仪式，各国代表将在仪式上正式签署。从仪式起公约向全球开放签署，待累计10个国家完成国内批</w:t>
      </w:r>
      <w:r>
        <w:rPr>
          <w:rFonts w:hint="eastAsia" w:ascii="方正仿宋_GBK" w:hAnsi="方正仿宋_GBK" w:eastAsia="方正仿宋_GBK" w:cs="方正仿宋_GBK"/>
          <w:b w:val="0"/>
          <w:bCs w:val="0"/>
          <w:sz w:val="32"/>
          <w:szCs w:val="32"/>
        </w:rPr>
        <w:t>准并交存批准书后，公约正式生效。未来，随着更多国家加入，这一“中国方案”将逐步转化为全球贸易的普遍规则，为构建更高效、更具韧性、更可持续的全球贸易体系贡献力量。</w:t>
      </w:r>
    </w:p>
    <w:p w14:paraId="4EEC045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楷体_GBK" w:cs="方正楷体_GBK"/>
          <w:b/>
          <w:bCs/>
          <w:color w:val="FF0000"/>
          <w:spacing w:val="0"/>
          <w:kern w:val="2"/>
          <w:sz w:val="32"/>
          <w:szCs w:val="32"/>
          <w:lang w:val="en-US" w:eastAsia="zh-CN" w:bidi="ar-SA"/>
        </w:rPr>
        <w:t>（</w:t>
      </w:r>
      <w:r>
        <w:rPr>
          <w:rFonts w:hint="eastAsia" w:ascii="Times New Roman" w:hAnsi="Times New Roman" w:eastAsia="方正楷体_GBK" w:cs="方正楷体_GBK"/>
          <w:b/>
          <w:bCs/>
          <w:color w:val="FF0000"/>
          <w:spacing w:val="0"/>
          <w:kern w:val="2"/>
          <w:sz w:val="32"/>
          <w:szCs w:val="32"/>
          <w:lang w:val="en-US" w:eastAsia="zh-CN" w:bidi="ar-SA"/>
        </w:rPr>
        <w:t>发展研究部 刘浩、左亮</w:t>
      </w:r>
      <w:r>
        <w:rPr>
          <w:rFonts w:hint="default" w:ascii="Times New Roman" w:hAnsi="Times New Roman" w:eastAsia="方正楷体_GBK" w:cs="方正楷体_GBK"/>
          <w:b/>
          <w:bCs/>
          <w:color w:val="FF0000"/>
          <w:spacing w:val="0"/>
          <w:kern w:val="2"/>
          <w:sz w:val="32"/>
          <w:szCs w:val="32"/>
          <w:lang w:val="en-US" w:eastAsia="zh-CN" w:bidi="ar-SA"/>
        </w:rPr>
        <w:t>）</w:t>
      </w:r>
    </w:p>
    <w:p w14:paraId="6C8CA3B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eastAsia" w:ascii="方正小标宋_GBK" w:hAnsi="方正小标宋_GBK" w:eastAsia="方正小标宋_GBK" w:cs="方正小标宋_GBK"/>
          <w:b/>
          <w:bCs/>
          <w:color w:val="0000FF"/>
          <w:sz w:val="32"/>
          <w:szCs w:val="32"/>
          <w:highlight w:val="yellow"/>
          <w:lang w:val="en-US" w:eastAsia="zh-CN"/>
        </w:rPr>
      </w:pP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6ACBD72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省贸促会领导赴宿迁、盐城调研外贸企业</w:t>
      </w:r>
    </w:p>
    <w:p w14:paraId="3E8F82F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月8日至9日，省贸促会（省国际商会）党组书记、会长王善华赴宿迁、盐城调研，走访京东智慧城、宿迁数字经济中心、江苏益和、江苏神鹤科技等企业，与宿迁市副市长李亮、泗阳县委书记范德珩和盐城市盐都区区长臧冲等座谈交流，助力外贸高质量发展。</w:t>
      </w:r>
    </w:p>
    <w:p w14:paraId="4A20F51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感谢相关单位和企业对省贸促会（省国际商会）工作的支持，重点了解企业今年开拓国际市场相关计划，并推介第四届中国国际供应链促进博览会。他表示，省贸促会（省国际商会）正深入落实省委十四届十次全会、省委经济工作会议部署，聚焦新主体、新市场、新模式、新渠道、新产品加强外贸企业服务。将充分发挥联通政企、融通内外、畅通供需功能，为企业市场开拓、国际合作、商事认证提供更加优质的服务。</w:t>
      </w:r>
    </w:p>
    <w:p w14:paraId="340B928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（办公室）</w:t>
      </w:r>
    </w:p>
    <w:p w14:paraId="3A6DC4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6076C9D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2F4E9EA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5C02AE2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463272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省贸促会领导会见香港周启邦律师事务所</w:t>
      </w:r>
    </w:p>
    <w:p w14:paraId="51687B0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内地联营管委会主席潘传平一行</w:t>
      </w:r>
    </w:p>
    <w:p w14:paraId="2E4370E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1月14日上午，省贸促会（国际商会）会长王善华会见来访的香港周启邦律师事务所内地联营管委会主席潘传平一行。副会长丛苏峰参加会见。</w:t>
      </w:r>
    </w:p>
    <w:p w14:paraId="05826AC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感谢去年访港期间律所提供的支持，并介绍省贸促会涉外商事法律服务等方面的情况。他表示，当前江苏企业“走出去”步伐加快，对专业化跨境法律服务的需求日益增长。希望双方进一步加强交流，优势互补、资源共享，共同搭建江苏与粤港澳大湾区法律服务合作桥梁，不断提升江苏企业国际化经营风险防范能力，为促进江苏与香港经贸合作贡献更多力量。</w:t>
      </w:r>
    </w:p>
    <w:p w14:paraId="5D028E5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潘传平详细介绍律所在粤港澳大湾区及共建“一带一路”国家的业务情况，希望与江苏省贸促会加强合作，为江苏企业赴境外投资贸易提供全方位法律支持。</w:t>
      </w:r>
    </w:p>
    <w:p w14:paraId="2F46C3B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w:t>
      </w:r>
    </w:p>
    <w:p w14:paraId="21A09CB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6F15118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04F08FC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1CE1204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00BB083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7C3BAD3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cstheme="minorEastAsia"/>
          <w:color w:val="auto"/>
          <w:spacing w:val="0"/>
          <w:kern w:val="2"/>
          <w:sz w:val="32"/>
          <w:szCs w:val="32"/>
          <w:lang w:val="en-US" w:eastAsia="zh-CN" w:bidi="ar-SA"/>
        </w:rPr>
        <w:t xml:space="preserve">     </w:t>
      </w: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eastAsia" w:ascii="Times New Roman" w:hAnsi="Times New Roman" w:cstheme="minorEastAsia"/>
          <w:color w:val="auto"/>
          <w:spacing w:val="0"/>
          <w:kern w:val="2"/>
          <w:sz w:val="32"/>
          <w:szCs w:val="32"/>
          <w:lang w:val="en-US" w:eastAsia="zh-CN" w:bidi="ar-SA"/>
        </w:rPr>
        <w:t xml:space="preserve">       </w:t>
      </w: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3D1A23E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洋河入选“中国消费名品”</w:t>
      </w:r>
    </w:p>
    <w:p w14:paraId="320A8F6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工业和信息化部正式公示2025年度“中国消费名品”名单。我会副会长单位——江苏洋河酒厂股份有限公司凭借着深厚的酿造底蕴、持续创新的产品体系与深入人心的品牌魅力，成功入选，与美的、TCL等众多优秀国民品牌共获殊荣。</w:t>
      </w:r>
    </w:p>
    <w:p w14:paraId="6675589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此次荣获“中国消费名品”称号，是国家权威部门对洋河股份长期坚守匠心酿造、追求极致品质、深刻洞察并引领白酒消费趋势的高度认可。作为中国老八大名酒之一、行业头部企业，洋河股份逐步构建起以“梦之蓝”“天之蓝”“海之蓝”为核心的产品矩阵，凭借着独特的绵柔风格与卓越品质风靡全国，正赢得亿万消费者的青睐与选择。</w:t>
      </w:r>
    </w:p>
    <w:p w14:paraId="419ABDB0">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：洋河股份微信公众号）</w:t>
      </w:r>
    </w:p>
    <w:p w14:paraId="53F46CA6">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5F54DFDC">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6B56AF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FBB3B0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058AA16">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50BC4D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C491FE4">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F08EF0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亨通光电再次填补国内空白</w:t>
      </w:r>
    </w:p>
    <w:p w14:paraId="1C43D9D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首个长行程拖链试验平台建成</w:t>
      </w:r>
    </w:p>
    <w:p w14:paraId="64CB653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我会副会长单位——江苏亨通光电股份有限公司（股票代码：600487）旗下江苏亨通线缆科技有限公司隆重举行了长行程拖链试验平台项目启动仪式，这标志着国内首个行程达一百米的拖链试验平台正式落地。长行程拖链试验平台的建成，不仅填补了我国在该领域试验能力上的空白，更以瞄准国际顶尖水准为定位，为我国高端装备制造业的技术突破与核心竞争力提升注入强劲动力。</w:t>
      </w:r>
    </w:p>
    <w:p w14:paraId="1A82F67D">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：亨通光电微信公众号）</w:t>
      </w:r>
    </w:p>
    <w:p w14:paraId="763FC178">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04B324FD">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469698E4">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562843D9">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100AD828">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66FDE8F9">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5494BC39">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127534E2">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389A615A">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463F92EC">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4BEDEC5D">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29186E81">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523F5374">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1918756A">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10984C3E">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方正仿宋_GBK" w:cs="Times New Roman"/>
          <w:i w:val="0"/>
          <w:caps w:val="0"/>
          <w:color w:val="000000"/>
          <w:spacing w:val="0"/>
          <w:sz w:val="31"/>
          <w:szCs w:val="31"/>
          <w:lang w:val="en-US" w:eastAsia="zh-CN"/>
        </w:rPr>
      </w:pPr>
    </w:p>
    <w:p w14:paraId="36C2006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6"/>
          <w:szCs w:val="36"/>
          <w:lang w:val="en-US" w:eastAsia="zh-CN" w:bidi="ar-SA"/>
        </w:rPr>
      </w:pPr>
      <w:bookmarkStart w:id="3" w:name="OLE_LINK4"/>
      <w:r>
        <w:rPr>
          <w:rFonts w:hint="eastAsia" w:ascii="Times New Roman" w:hAnsi="Times New Roman" w:eastAsia="华文新魏" w:cs="Times New Roman"/>
          <w:b/>
          <w:bCs w:val="0"/>
          <w:color w:val="FF0000"/>
          <w:spacing w:val="-34"/>
          <w:kern w:val="36"/>
          <w:sz w:val="36"/>
          <w:szCs w:val="36"/>
          <w:lang w:val="en-US" w:eastAsia="zh-CN" w:bidi="ar-SA"/>
        </w:rPr>
        <w:t>国家重大专项获批，诺唯赞以“中国技术”筑牢新发传染病防控防线</w:t>
      </w:r>
    </w:p>
    <w:p w14:paraId="5B9ACCE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国家卫生健康委医药卫生科技发展研究中心公布了新发突发与重大传染病防控国家科技重大专项2025年度项目立项结果。由中山大学施莽教授牵头申报的“未知病原体的高通量精准检测与风险评估关键技术研究”项目成功获批。</w:t>
      </w:r>
    </w:p>
    <w:p w14:paraId="78DFD59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我会理事单位——南京诺唯赞生物科技股份有限公司作为联合申报单位之一，将在项目中主要负责全感染组样本从提取到高通量建库的关键技术研发与产品开发，攻克检测全流程中的技术难题，助力潜在高风险新病原体的识别。</w:t>
      </w:r>
    </w:p>
    <w:p w14:paraId="5D26772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作为深耕生物医疗领域十余年的自主创新研发企业，诺唯赞在重大疾病防控方面具备实战经验，凭借深厚的研发实力与项目经验，曾在非洲猪瘟、呼吸道传染病等重大传染病防控中，第一时间快速开发提供防控解决方案，为防控贡献中国创新力量。公司将持续发挥自身优势，与项目团队协同推进项目落地，为我国传染病防控体系建设提供坚实力量。</w:t>
      </w:r>
    </w:p>
    <w:bookmarkEnd w:id="3"/>
    <w:p w14:paraId="290C8268">
      <w:pPr>
        <w:keepNext w:val="0"/>
        <w:keepLines w:val="0"/>
        <w:pageBreakBefore w:val="0"/>
        <w:widowControl/>
        <w:kinsoku/>
        <w:wordWrap/>
        <w:overflowPunct/>
        <w:topLinePunct w:val="0"/>
        <w:autoSpaceDE/>
        <w:autoSpaceDN/>
        <w:bidi w:val="0"/>
        <w:adjustRightInd/>
        <w:snapToGrid/>
        <w:ind w:firstLine="4256" w:firstLineChars="1400"/>
        <w:textAlignment w:val="auto"/>
        <w:outlineLvl w:val="9"/>
        <w:rPr>
          <w:rFonts w:hint="eastAsia" w:ascii="Times New Roman" w:hAnsi="Times New Roman" w:eastAsia="方正楷体_GBK" w:cs="Times New Roman"/>
          <w:b w:val="0"/>
          <w:bCs/>
          <w:kern w:val="0"/>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：诺唯赞微信公众号）</w:t>
      </w: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24F0FCC-DD5B-4243-B97A-3CD8EE5265A6}"/>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7E112FD6-4477-49DA-B449-5CFC555FD694}"/>
  </w:font>
  <w:font w:name="方正楷体_GBK">
    <w:panose1 w:val="02000000000000000000"/>
    <w:charset w:val="86"/>
    <w:family w:val="auto"/>
    <w:pitch w:val="default"/>
    <w:sig w:usb0="800002BF" w:usb1="38CF7CFA" w:usb2="00000016" w:usb3="00000000" w:csb0="00040000" w:csb1="00000000"/>
    <w:embedRegular r:id="rId3" w:fontKey="{21D1CDE7-6007-4248-8DE6-4CC19AC61BC5}"/>
  </w:font>
  <w:font w:name="方正黑体_GBK">
    <w:panose1 w:val="02010600010101010101"/>
    <w:charset w:val="86"/>
    <w:family w:val="auto"/>
    <w:pitch w:val="default"/>
    <w:sig w:usb0="00000001" w:usb1="080E0000" w:usb2="00000000" w:usb3="00000000" w:csb0="00040000" w:csb1="00000000"/>
    <w:embedRegular r:id="rId4" w:fontKey="{5CF5C848-E118-42ED-98C0-7DDEF07FB4F0}"/>
  </w:font>
  <w:font w:name="方正小标宋_GBK">
    <w:panose1 w:val="03000509000000000000"/>
    <w:charset w:val="86"/>
    <w:family w:val="auto"/>
    <w:pitch w:val="default"/>
    <w:sig w:usb0="00000001" w:usb1="080E0000" w:usb2="00000000" w:usb3="00000000" w:csb0="00040000" w:csb1="00000000"/>
    <w:embedRegular r:id="rId5" w:fontKey="{FEE32CF0-25A9-4073-B596-8B180EEDEE1D}"/>
  </w:font>
  <w:font w:name="华文新魏">
    <w:panose1 w:val="02010800040101010101"/>
    <w:charset w:val="86"/>
    <w:family w:val="auto"/>
    <w:pitch w:val="default"/>
    <w:sig w:usb0="00000001" w:usb1="080F0000" w:usb2="00000000" w:usb3="00000000" w:csb0="00040000" w:csb1="00000000"/>
    <w:embedRegular r:id="rId6" w:fontKey="{749A9CC3-C503-4BAD-94A3-5E220D167C02}"/>
  </w:font>
  <w:font w:name="方正仿宋_GBK">
    <w:panose1 w:val="03000509000000000000"/>
    <w:charset w:val="86"/>
    <w:family w:val="script"/>
    <w:pitch w:val="default"/>
    <w:sig w:usb0="00000001" w:usb1="080E0000" w:usb2="00000000" w:usb3="00000000" w:csb0="00040000" w:csb1="00000000"/>
    <w:embedRegular r:id="rId7" w:fontKey="{0AA1BC6A-B211-4563-AC3C-FED4FE670D2D}"/>
  </w:font>
  <w:font w:name="WPSEMBED1">
    <w:panose1 w:val="0201060001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大黑体_GBK">
    <w:panose1 w:val="02010600010101010101"/>
    <w:charset w:val="86"/>
    <w:family w:val="auto"/>
    <w:pitch w:val="default"/>
    <w:sig w:usb0="00000001" w:usb1="080E0000" w:usb2="00000000" w:usb3="00000000" w:csb0="40040001" w:csb1="C0D60000"/>
  </w:font>
  <w:font w:name="汉仪仿宋简">
    <w:panose1 w:val="02010600000101010101"/>
    <w:charset w:val="80"/>
    <w:family w:val="auto"/>
    <w:pitch w:val="default"/>
    <w:sig w:usb0="800002BF" w:usb1="184F6CF8" w:usb2="00000012" w:usb3="00000000" w:csb0="00020001" w:csb1="00000000"/>
  </w:font>
  <w:font w:name="方正公文黑体">
    <w:panose1 w:val="02000500000000000000"/>
    <w:charset w:val="86"/>
    <w:family w:val="auto"/>
    <w:pitch w:val="default"/>
    <w:sig w:usb0="A00002BF" w:usb1="38CF7CFA" w:usb2="00000016" w:usb3="00000000" w:csb0="00040001" w:csb1="00000000"/>
    <w:embedRegular r:id="rId8" w:fontKey="{3DFB334E-7A87-478F-8A8D-B0E51358F5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FF745">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14:paraId="1664028E">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8455D"/>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460E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A4DCB"/>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2240</Words>
  <Characters>2839</Characters>
  <Lines>1</Lines>
  <Paragraphs>1</Paragraphs>
  <TotalTime>4</TotalTime>
  <ScaleCrop>false</ScaleCrop>
  <LinksUpToDate>false</LinksUpToDate>
  <CharactersWithSpaces>2888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2026-01-16T01:09:35Z</cp:lastPrinted>
  <dcterms:modified xsi:type="dcterms:W3CDTF">2026-01-16T01:13:53Z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