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35</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281</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9</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2</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24" w:firstLineChars="20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8月26日</w:t>
      </w:r>
      <w:r>
        <w:rPr>
          <w:rFonts w:hint="default" w:ascii="Times New Roman" w:hAnsi="Times New Roman" w:eastAsia="方正楷体_GBK" w:cs="Times New Roman"/>
          <w:b/>
          <w:bCs w:val="0"/>
          <w:color w:val="auto"/>
          <w:spacing w:val="0"/>
          <w:kern w:val="36"/>
          <w:sz w:val="30"/>
          <w:szCs w:val="30"/>
          <w:lang w:val="en-US" w:eastAsia="zh-CN"/>
        </w:rPr>
        <w:t>（周一）日本央行的两难：如何退出QE与YCC？</w:t>
      </w:r>
      <w:r>
        <w:rPr>
          <w:rFonts w:hint="eastAsia" w:ascii="Times New Roman" w:hAnsi="Times New Roman" w:eastAsia="方正楷体_GBK" w:cs="Times New Roman"/>
          <w:b/>
          <w:bCs w:val="0"/>
          <w:color w:val="auto"/>
          <w:spacing w:val="0"/>
          <w:kern w:val="36"/>
          <w:sz w:val="30"/>
          <w:szCs w:val="30"/>
          <w:lang w:val="en-US" w:eastAsia="zh-CN"/>
        </w:rPr>
        <w:t xml:space="preserve"> / 01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0"/>
          <w:kern w:val="36"/>
          <w:sz w:val="30"/>
          <w:szCs w:val="30"/>
          <w:lang w:val="en-US" w:eastAsia="zh-CN"/>
        </w:rPr>
        <w:t>8月30日</w:t>
      </w:r>
      <w:r>
        <w:rPr>
          <w:rFonts w:hint="default" w:ascii="Times New Roman" w:hAnsi="Times New Roman" w:eastAsia="方正楷体_GBK" w:cs="Times New Roman"/>
          <w:b/>
          <w:bCs w:val="0"/>
          <w:color w:val="auto"/>
          <w:spacing w:val="-11"/>
          <w:kern w:val="36"/>
          <w:sz w:val="30"/>
          <w:szCs w:val="30"/>
          <w:lang w:val="en-US" w:eastAsia="zh-CN"/>
        </w:rPr>
        <w:t>（周五）抵近观察消费，AFFIRM、DG和Ulta Beauty</w:t>
      </w:r>
      <w:r>
        <w:rPr>
          <w:rFonts w:hint="eastAsia" w:ascii="Times New Roman" w:hAnsi="Times New Roman" w:eastAsia="方正楷体_GBK" w:cs="Times New Roman"/>
          <w:b/>
          <w:bCs w:val="0"/>
          <w:color w:val="auto"/>
          <w:spacing w:val="-11"/>
          <w:kern w:val="36"/>
          <w:sz w:val="30"/>
          <w:szCs w:val="30"/>
          <w:lang w:val="en-US" w:eastAsia="zh-CN"/>
        </w:rPr>
        <w:t xml:space="preserve"> / 07</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11"/>
          <w:kern w:val="36"/>
          <w:sz w:val="30"/>
          <w:szCs w:val="30"/>
          <w:lang w:val="en-US" w:eastAsia="zh-CN"/>
        </w:rPr>
      </w:pPr>
      <w:r>
        <w:rPr>
          <w:rFonts w:hint="default" w:ascii="Times New Roman" w:hAnsi="Times New Roman" w:eastAsia="方正楷体_GBK" w:cs="Times New Roman"/>
          <w:b/>
          <w:bCs w:val="0"/>
          <w:color w:val="auto"/>
          <w:spacing w:val="0"/>
          <w:kern w:val="36"/>
          <w:sz w:val="30"/>
          <w:szCs w:val="30"/>
          <w:lang w:val="en-US" w:eastAsia="zh-CN"/>
        </w:rPr>
        <w:t>8月31日（周六）从PCE看美国的消费与经济</w:t>
      </w:r>
      <w:r>
        <w:rPr>
          <w:rFonts w:hint="eastAsia" w:ascii="Times New Roman" w:hAnsi="Times New Roman" w:eastAsia="方正楷体_GBK" w:cs="Times New Roman"/>
          <w:b/>
          <w:bCs w:val="0"/>
          <w:color w:val="auto"/>
          <w:spacing w:val="-11"/>
          <w:kern w:val="36"/>
          <w:sz w:val="30"/>
          <w:szCs w:val="30"/>
          <w:lang w:val="en-US" w:eastAsia="zh-CN"/>
        </w:rPr>
        <w:t>/ 14</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44" w:firstLineChars="200"/>
        <w:jc w:val="left"/>
        <w:textAlignment w:val="auto"/>
        <w:rPr>
          <w:rFonts w:hint="default" w:ascii="Times New Roman" w:hAnsi="Times New Roman" w:eastAsia="方正楷体_GBK" w:cs="Times New Roman"/>
          <w:b/>
          <w:bCs w:val="0"/>
          <w:color w:val="auto"/>
          <w:spacing w:val="-6"/>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eastAsia" w:ascii="方正楷体_GBK" w:hAnsi="方正楷体_GBK" w:eastAsia="方正楷体_GBK" w:cs="方正楷体_GBK"/>
          <w:b/>
          <w:color w:val="auto"/>
          <w:kern w:val="36"/>
          <w:sz w:val="30"/>
          <w:szCs w:val="30"/>
          <w:lang w:val="en-US" w:eastAsia="zh-CN"/>
        </w:rPr>
        <w:t xml:space="preserve">SmartHK苏港高质量发展合作大会在南京举行 / </w:t>
      </w:r>
      <w:r>
        <w:rPr>
          <w:rFonts w:hint="default" w:ascii="Times New Roman" w:hAnsi="Times New Roman" w:eastAsia="方正楷体_GBK" w:cs="Times New Roman"/>
          <w:b/>
          <w:bCs w:val="0"/>
          <w:color w:val="auto"/>
          <w:kern w:val="36"/>
          <w:sz w:val="30"/>
          <w:szCs w:val="30"/>
          <w:lang w:val="en-US" w:eastAsia="zh-CN"/>
        </w:rPr>
        <w:t>2</w:t>
      </w:r>
      <w:r>
        <w:rPr>
          <w:rFonts w:hint="eastAsia" w:ascii="Times New Roman" w:hAnsi="Times New Roman" w:eastAsia="方正楷体_GBK" w:cs="Times New Roman"/>
          <w:b/>
          <w:bCs w:val="0"/>
          <w:color w:val="auto"/>
          <w:kern w:val="36"/>
          <w:sz w:val="30"/>
          <w:szCs w:val="30"/>
          <w:lang w:val="en-US" w:eastAsia="zh-CN"/>
        </w:rPr>
        <w:t>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2024进出口贸易实务与风险防范暨“贸促服务助企行”宣讲活动在南京举行</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2</w:t>
      </w:r>
      <w:r>
        <w:rPr>
          <w:rFonts w:hint="eastAsia" w:ascii="Times New Roman" w:hAnsi="Times New Roman" w:eastAsia="方正楷体_GBK" w:cs="Times New Roman"/>
          <w:b/>
          <w:color w:val="auto"/>
          <w:kern w:val="36"/>
          <w:sz w:val="30"/>
          <w:szCs w:val="30"/>
          <w:lang w:val="en-US" w:eastAsia="zh-CN"/>
        </w:rPr>
        <w:t>1</w:t>
      </w:r>
      <w:r>
        <w:rPr>
          <w:rFonts w:hint="eastAsia" w:ascii="方正楷体_GBK" w:hAnsi="方正楷体_GBK" w:eastAsia="方正楷体_GBK" w:cs="方正楷体_GBK"/>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省贸促会联合开展德企苏州行活动</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eastAsia"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南京贸促会接待全国会展工作委员会一行</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23</w:t>
      </w:r>
      <w:r>
        <w:rPr>
          <w:rFonts w:hint="eastAsia" w:ascii="方正楷体_GBK" w:hAnsi="方正楷体_GBK" w:eastAsia="方正楷体_GBK" w:cs="方正楷体_GBK"/>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方正楷体_GBK" w:hAnsi="方正楷体_GBK" w:eastAsia="方正楷体_GBK" w:cs="方正楷体_GBK"/>
          <w:b/>
          <w:color w:val="auto"/>
          <w:kern w:val="36"/>
          <w:sz w:val="30"/>
          <w:szCs w:val="30"/>
          <w:lang w:val="en-US" w:eastAsia="zh-CN"/>
        </w:rPr>
      </w:pPr>
      <w:r>
        <w:rPr>
          <w:rFonts w:hint="default" w:ascii="方正楷体_GBK" w:hAnsi="方正楷体_GBK" w:eastAsia="方正楷体_GBK" w:cs="方正楷体_GBK"/>
          <w:b/>
          <w:color w:val="auto"/>
          <w:spacing w:val="0"/>
          <w:kern w:val="36"/>
          <w:sz w:val="30"/>
          <w:szCs w:val="30"/>
          <w:lang w:val="en-US" w:eastAsia="zh-CN"/>
        </w:rPr>
        <w:t>贸促服务助企行亭湖专场活动成功举办</w:t>
      </w:r>
      <w:r>
        <w:rPr>
          <w:rFonts w:hint="eastAsia" w:ascii="方正楷体_GBK" w:hAnsi="方正楷体_GBK" w:eastAsia="方正楷体_GBK" w:cs="方正楷体_GBK"/>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23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南钢入选江苏省首批碳达峰碳中和试点名单</w:t>
      </w:r>
      <w:r>
        <w:rPr>
          <w:rFonts w:hint="eastAsia" w:ascii="Times New Roman" w:hAnsi="Times New Roman" w:eastAsia="方正楷体_GBK" w:cs="Times New Roman"/>
          <w:b/>
          <w:color w:val="auto"/>
          <w:spacing w:val="-17"/>
          <w:kern w:val="36"/>
          <w:sz w:val="30"/>
          <w:szCs w:val="30"/>
          <w:lang w:val="en-US" w:eastAsia="zh-CN"/>
        </w:rPr>
        <w:t xml:space="preserve"> / 25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乐美包装获评省级内外贸一体化试点企业 / 26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17"/>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default" w:ascii="Times New Roman" w:hAnsi="Times New Roman" w:eastAsia="方正楷体_GBK" w:cs="Times New Roman"/>
          <w:b/>
          <w:color w:val="auto"/>
          <w:spacing w:val="0"/>
          <w:kern w:val="36"/>
          <w:sz w:val="30"/>
          <w:szCs w:val="30"/>
          <w:lang w:val="en-US" w:eastAsia="zh-CN"/>
        </w:rPr>
        <w:t>工信部发布首批符合《电动自行车行业规范条件》企业名单，雅迪成功入选</w:t>
      </w:r>
      <w:r>
        <w:rPr>
          <w:rFonts w:hint="eastAsia" w:ascii="Times New Roman" w:hAnsi="Times New Roman" w:eastAsia="方正楷体_GBK" w:cs="Times New Roman"/>
          <w:b/>
          <w:color w:val="auto"/>
          <w:spacing w:val="-17"/>
          <w:kern w:val="36"/>
          <w:sz w:val="30"/>
          <w:szCs w:val="30"/>
          <w:lang w:val="en-US" w:eastAsia="zh-CN"/>
        </w:rPr>
        <w:t xml:space="preserve"> / 27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pP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8月26日（周一）</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日本央行的两难：如何退出QE与YCC？</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8月23日（周五），鲍威尔在“杰克逊霍尔全球央行年会”</w:t>
      </w:r>
      <w:r>
        <w:rPr>
          <w:rFonts w:hint="eastAsia" w:asciiTheme="minorEastAsia" w:hAnsiTheme="minorEastAsia" w:eastAsiaTheme="minorEastAsia" w:cstheme="minorEastAsia"/>
          <w:sz w:val="32"/>
          <w:szCs w:val="32"/>
          <w:lang w:eastAsia="zh-CN"/>
        </w:rPr>
        <w:t>上发言；</w:t>
      </w:r>
      <w:r>
        <w:rPr>
          <w:rFonts w:hint="eastAsia" w:asciiTheme="minorEastAsia" w:hAnsiTheme="minorEastAsia" w:eastAsiaTheme="minorEastAsia" w:cstheme="minorEastAsia"/>
          <w:sz w:val="32"/>
          <w:szCs w:val="32"/>
        </w:rPr>
        <w:t>之前</w:t>
      </w:r>
      <w:r>
        <w:rPr>
          <w:rFonts w:hint="eastAsia" w:asciiTheme="minorEastAsia" w:hAnsiTheme="minorEastAsia" w:eastAsiaTheme="minorEastAsia" w:cstheme="minorEastAsia"/>
          <w:sz w:val="32"/>
          <w:szCs w:val="32"/>
          <w:lang w:eastAsia="zh-CN"/>
        </w:rPr>
        <w:t>不久，在太平洋的另一侧，</w:t>
      </w:r>
      <w:r>
        <w:rPr>
          <w:rFonts w:hint="eastAsia" w:asciiTheme="minorEastAsia" w:hAnsiTheme="minorEastAsia" w:eastAsiaTheme="minorEastAsia" w:cstheme="minorEastAsia"/>
          <w:sz w:val="32"/>
          <w:szCs w:val="32"/>
        </w:rPr>
        <w:t>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央行行长植田和男</w:t>
      </w:r>
      <w:r>
        <w:rPr>
          <w:rFonts w:hint="eastAsia" w:asciiTheme="minorEastAsia" w:hAnsiTheme="minorEastAsia" w:eastAsiaTheme="minorEastAsia" w:cstheme="minorEastAsia"/>
          <w:sz w:val="32"/>
          <w:szCs w:val="32"/>
          <w:lang w:eastAsia="zh-CN"/>
        </w:rPr>
        <w:t>也发表了意见。</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植田和男</w:t>
      </w:r>
      <w:r>
        <w:rPr>
          <w:rFonts w:hint="eastAsia" w:asciiTheme="minorEastAsia" w:hAnsiTheme="minorEastAsia" w:eastAsiaTheme="minorEastAsia" w:cstheme="minorEastAsia"/>
          <w:sz w:val="32"/>
          <w:szCs w:val="32"/>
        </w:rPr>
        <w:t>在国会接受询</w:t>
      </w:r>
      <w:r>
        <w:rPr>
          <w:rFonts w:hint="eastAsia" w:asciiTheme="minorEastAsia" w:hAnsiTheme="minorEastAsia" w:eastAsiaTheme="minorEastAsia" w:cstheme="minorEastAsia"/>
          <w:sz w:val="32"/>
          <w:szCs w:val="32"/>
          <w:lang w:eastAsia="zh-CN"/>
        </w:rPr>
        <w:t>问</w:t>
      </w:r>
      <w:r>
        <w:rPr>
          <w:rFonts w:hint="eastAsia" w:asciiTheme="minorEastAsia" w:hAnsiTheme="minorEastAsia" w:eastAsiaTheme="minorEastAsia" w:cstheme="minorEastAsia"/>
          <w:sz w:val="32"/>
          <w:szCs w:val="32"/>
        </w:rPr>
        <w:t>时</w:t>
      </w:r>
      <w:r>
        <w:rPr>
          <w:rFonts w:hint="eastAsia" w:asciiTheme="minorEastAsia" w:hAnsiTheme="minorEastAsia" w:eastAsiaTheme="minorEastAsia" w:cstheme="minorEastAsia"/>
          <w:sz w:val="32"/>
          <w:szCs w:val="32"/>
          <w:lang w:eastAsia="zh-CN"/>
        </w:rPr>
        <w:t>表示，</w:t>
      </w:r>
      <w:r>
        <w:rPr>
          <w:rFonts w:hint="eastAsia" w:asciiTheme="minorEastAsia" w:hAnsiTheme="minorEastAsia" w:eastAsiaTheme="minorEastAsia" w:cstheme="minorEastAsia"/>
          <w:sz w:val="32"/>
          <w:szCs w:val="32"/>
        </w:rPr>
        <w:t>最近的</w:t>
      </w:r>
      <w:r>
        <w:rPr>
          <w:rFonts w:hint="eastAsia" w:asciiTheme="minorEastAsia" w:hAnsiTheme="minorEastAsia" w:eastAsiaTheme="minorEastAsia" w:cstheme="minorEastAsia"/>
          <w:sz w:val="32"/>
          <w:szCs w:val="32"/>
          <w:lang w:eastAsia="zh-CN"/>
        </w:rPr>
        <w:t>全球金融</w:t>
      </w:r>
      <w:r>
        <w:rPr>
          <w:rFonts w:hint="eastAsia" w:asciiTheme="minorEastAsia" w:hAnsiTheme="minorEastAsia" w:eastAsiaTheme="minorEastAsia" w:cstheme="minorEastAsia"/>
          <w:sz w:val="32"/>
          <w:szCs w:val="32"/>
        </w:rPr>
        <w:t>市场动荡</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是</w:t>
      </w:r>
      <w:r>
        <w:rPr>
          <w:rFonts w:hint="eastAsia" w:asciiTheme="minorEastAsia" w:hAnsiTheme="minorEastAsia" w:eastAsiaTheme="minorEastAsia" w:cstheme="minorEastAsia"/>
          <w:sz w:val="32"/>
          <w:szCs w:val="32"/>
          <w:lang w:eastAsia="zh-CN"/>
        </w:rPr>
        <w:t>因投资者</w:t>
      </w:r>
      <w:r>
        <w:rPr>
          <w:rFonts w:hint="eastAsia" w:asciiTheme="minorEastAsia" w:hAnsiTheme="minorEastAsia" w:eastAsiaTheme="minorEastAsia" w:cstheme="minorEastAsia"/>
          <w:sz w:val="32"/>
          <w:szCs w:val="32"/>
        </w:rPr>
        <w:t>对美国经济的担忧引</w:t>
      </w:r>
      <w:r>
        <w:rPr>
          <w:rFonts w:hint="eastAsia" w:asciiTheme="minorEastAsia" w:hAnsiTheme="minorEastAsia" w:eastAsiaTheme="minorEastAsia" w:cstheme="minorEastAsia"/>
          <w:sz w:val="32"/>
          <w:szCs w:val="32"/>
          <w:lang w:eastAsia="zh-CN"/>
        </w:rPr>
        <w:t>发</w:t>
      </w:r>
      <w:r>
        <w:rPr>
          <w:rFonts w:hint="eastAsia" w:asciiTheme="minorEastAsia" w:hAnsiTheme="minorEastAsia" w:eastAsiaTheme="minorEastAsia" w:cstheme="minorEastAsia"/>
          <w:sz w:val="32"/>
          <w:szCs w:val="32"/>
        </w:rPr>
        <w:t>的</w:t>
      </w:r>
      <w:r>
        <w:rPr>
          <w:rFonts w:hint="eastAsia" w:asciiTheme="minorEastAsia" w:hAnsiTheme="minorEastAsia" w:eastAsiaTheme="minorEastAsia" w:cstheme="minorEastAsia"/>
          <w:sz w:val="32"/>
          <w:szCs w:val="32"/>
          <w:lang w:eastAsia="zh-CN"/>
        </w:rPr>
        <w:t>，与</w:t>
      </w:r>
      <w:r>
        <w:rPr>
          <w:rFonts w:hint="eastAsia" w:asciiTheme="minorEastAsia" w:hAnsiTheme="minorEastAsia" w:eastAsiaTheme="minorEastAsia" w:cstheme="minorEastAsia"/>
          <w:sz w:val="32"/>
          <w:szCs w:val="32"/>
        </w:rPr>
        <w:t>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w:t>
      </w:r>
      <w:r>
        <w:rPr>
          <w:rFonts w:hint="eastAsia" w:asciiTheme="minorEastAsia" w:hAnsiTheme="minorEastAsia" w:eastAsiaTheme="minorEastAsia" w:cstheme="minorEastAsia"/>
          <w:sz w:val="32"/>
          <w:szCs w:val="32"/>
          <w:lang w:eastAsia="zh-CN"/>
        </w:rPr>
        <w:t>无甚关系。</w:t>
      </w:r>
      <w:r>
        <w:rPr>
          <w:rFonts w:hint="eastAsia" w:asciiTheme="minorEastAsia" w:hAnsiTheme="minorEastAsia" w:eastAsiaTheme="minorEastAsia" w:cstheme="minorEastAsia"/>
          <w:sz w:val="32"/>
          <w:szCs w:val="32"/>
        </w:rPr>
        <w:t>如果日本的通胀和经济数据继续符合预期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央行将进一步加息</w:t>
      </w:r>
      <w:r>
        <w:rPr>
          <w:rFonts w:hint="eastAsia" w:asciiTheme="minorEastAsia" w:hAnsiTheme="minorEastAsia" w:eastAsiaTheme="minorEastAsia" w:cstheme="minorEastAsia"/>
          <w:sz w:val="32"/>
          <w:szCs w:val="32"/>
          <w:lang w:eastAsia="zh-CN"/>
        </w:rPr>
        <w:t>。在他发言期间，</w:t>
      </w:r>
      <w:r>
        <w:rPr>
          <w:rFonts w:hint="eastAsia" w:asciiTheme="minorEastAsia" w:hAnsiTheme="minorEastAsia" w:eastAsiaTheme="minorEastAsia" w:cstheme="minorEastAsia"/>
          <w:sz w:val="32"/>
          <w:szCs w:val="32"/>
        </w:rPr>
        <w:t>日元应声走高</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植田和男的</w:t>
      </w:r>
      <w:r>
        <w:rPr>
          <w:rFonts w:hint="eastAsia" w:asciiTheme="minorEastAsia" w:hAnsiTheme="minorEastAsia" w:eastAsiaTheme="minorEastAsia" w:cstheme="minorEastAsia"/>
          <w:sz w:val="32"/>
          <w:szCs w:val="32"/>
          <w:lang w:eastAsia="zh-CN"/>
        </w:rPr>
        <w:t>表态</w:t>
      </w:r>
      <w:r>
        <w:rPr>
          <w:rFonts w:hint="eastAsia" w:asciiTheme="minorEastAsia" w:hAnsiTheme="minorEastAsia" w:eastAsiaTheme="minorEastAsia" w:cstheme="minorEastAsia"/>
          <w:sz w:val="32"/>
          <w:szCs w:val="32"/>
        </w:rPr>
        <w:t>说明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尽管日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央行加息</w:t>
      </w:r>
      <w:r>
        <w:rPr>
          <w:rFonts w:hint="eastAsia" w:asciiTheme="minorEastAsia" w:hAnsiTheme="minorEastAsia" w:eastAsiaTheme="minorEastAsia" w:cstheme="minorEastAsia"/>
          <w:sz w:val="32"/>
          <w:szCs w:val="32"/>
          <w:lang w:eastAsia="zh-CN"/>
        </w:rPr>
        <w:t>，导致日元的套利交易大范围拆仓，从而形成市场拥挤且引发了</w:t>
      </w:r>
      <w:r>
        <w:rPr>
          <w:rFonts w:hint="eastAsia" w:asciiTheme="minorEastAsia" w:hAnsiTheme="minorEastAsia" w:eastAsiaTheme="minorEastAsia" w:cstheme="minorEastAsia"/>
          <w:sz w:val="32"/>
          <w:szCs w:val="32"/>
        </w:rPr>
        <w:t>8月初</w:t>
      </w:r>
      <w:r>
        <w:rPr>
          <w:rFonts w:hint="eastAsia" w:asciiTheme="minorEastAsia" w:hAnsiTheme="minorEastAsia" w:eastAsiaTheme="minorEastAsia" w:cstheme="minorEastAsia"/>
          <w:sz w:val="32"/>
          <w:szCs w:val="32"/>
          <w:lang w:eastAsia="zh-CN"/>
        </w:rPr>
        <w:t>的金</w:t>
      </w:r>
      <w:r>
        <w:rPr>
          <w:rFonts w:hint="eastAsia" w:asciiTheme="minorEastAsia" w:hAnsiTheme="minorEastAsia" w:eastAsiaTheme="minorEastAsia" w:cstheme="minorEastAsia"/>
          <w:sz w:val="32"/>
          <w:szCs w:val="32"/>
        </w:rPr>
        <w:t>融市场巨震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但日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央行的加息决心仍未动摇</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这</w:t>
      </w:r>
      <w:r>
        <w:rPr>
          <w:rFonts w:hint="eastAsia" w:asciiTheme="minorEastAsia" w:hAnsiTheme="minorEastAsia" w:eastAsiaTheme="minorEastAsia" w:cstheme="minorEastAsia"/>
          <w:sz w:val="32"/>
          <w:szCs w:val="32"/>
        </w:rPr>
        <w:t>不仅是日</w:t>
      </w:r>
      <w:r>
        <w:rPr>
          <w:rFonts w:hint="eastAsia" w:asciiTheme="minorEastAsia" w:hAnsiTheme="minorEastAsia" w:eastAsiaTheme="minorEastAsia" w:cstheme="minorEastAsia"/>
          <w:sz w:val="32"/>
          <w:szCs w:val="32"/>
          <w:lang w:eastAsia="zh-CN"/>
        </w:rPr>
        <w:t>本</w:t>
      </w:r>
      <w:r>
        <w:rPr>
          <w:rFonts w:hint="eastAsia" w:asciiTheme="minorEastAsia" w:hAnsiTheme="minorEastAsia" w:eastAsiaTheme="minorEastAsia" w:cstheme="minorEastAsia"/>
          <w:sz w:val="32"/>
          <w:szCs w:val="32"/>
        </w:rPr>
        <w:t>央行的态度</w:t>
      </w:r>
      <w:r>
        <w:rPr>
          <w:rFonts w:hint="eastAsia" w:asciiTheme="minorEastAsia" w:hAnsiTheme="minorEastAsia" w:eastAsiaTheme="minorEastAsia" w:cstheme="minorEastAsia"/>
          <w:sz w:val="32"/>
          <w:szCs w:val="32"/>
          <w:lang w:eastAsia="zh-CN"/>
        </w:rPr>
        <w:t>，也代表了</w:t>
      </w:r>
      <w:r>
        <w:rPr>
          <w:rFonts w:hint="eastAsia" w:asciiTheme="minorEastAsia" w:hAnsiTheme="minorEastAsia" w:eastAsiaTheme="minorEastAsia" w:cstheme="minorEastAsia"/>
          <w:sz w:val="32"/>
          <w:szCs w:val="32"/>
        </w:rPr>
        <w:t>整个日本</w:t>
      </w:r>
      <w:r>
        <w:rPr>
          <w:rFonts w:hint="eastAsia" w:asciiTheme="minorEastAsia" w:hAnsiTheme="minorEastAsia" w:eastAsiaTheme="minorEastAsia" w:cstheme="minorEastAsia"/>
          <w:sz w:val="32"/>
          <w:szCs w:val="32"/>
          <w:lang w:eastAsia="zh-CN"/>
        </w:rPr>
        <w:t>政经</w:t>
      </w:r>
      <w:r>
        <w:rPr>
          <w:rFonts w:hint="eastAsia" w:asciiTheme="minorEastAsia" w:hAnsiTheme="minorEastAsia" w:eastAsiaTheme="minorEastAsia" w:cstheme="minorEastAsia"/>
          <w:sz w:val="32"/>
          <w:szCs w:val="32"/>
        </w:rPr>
        <w:t>界</w:t>
      </w:r>
      <w:r>
        <w:rPr>
          <w:rFonts w:hint="eastAsia" w:asciiTheme="minorEastAsia" w:hAnsiTheme="minorEastAsia" w:eastAsiaTheme="minorEastAsia" w:cstheme="minorEastAsia"/>
          <w:sz w:val="32"/>
          <w:szCs w:val="32"/>
          <w:lang w:eastAsia="zh-CN"/>
        </w:rPr>
        <w:t>的共识：</w:t>
      </w:r>
      <w:r>
        <w:rPr>
          <w:rFonts w:hint="eastAsia" w:asciiTheme="minorEastAsia" w:hAnsiTheme="minorEastAsia" w:eastAsiaTheme="minorEastAsia" w:cstheme="minorEastAsia"/>
          <w:sz w:val="32"/>
          <w:szCs w:val="32"/>
        </w:rPr>
        <w:t>日本</w:t>
      </w:r>
      <w:r>
        <w:rPr>
          <w:rFonts w:hint="eastAsia" w:asciiTheme="minorEastAsia" w:hAnsiTheme="minorEastAsia" w:eastAsiaTheme="minorEastAsia" w:cstheme="minorEastAsia"/>
          <w:sz w:val="32"/>
          <w:szCs w:val="32"/>
          <w:lang w:eastAsia="zh-CN"/>
        </w:rPr>
        <w:t>经济</w:t>
      </w:r>
      <w:r>
        <w:rPr>
          <w:rFonts w:hint="eastAsia" w:asciiTheme="minorEastAsia" w:hAnsiTheme="minorEastAsia" w:eastAsiaTheme="minorEastAsia" w:cstheme="minorEastAsia"/>
          <w:sz w:val="32"/>
          <w:szCs w:val="32"/>
        </w:rPr>
        <w:t>正处于加息</w:t>
      </w:r>
      <w:r>
        <w:rPr>
          <w:rFonts w:hint="eastAsia" w:asciiTheme="minorEastAsia" w:hAnsiTheme="minorEastAsia" w:eastAsiaTheme="minorEastAsia" w:cstheme="minorEastAsia"/>
          <w:sz w:val="32"/>
          <w:szCs w:val="32"/>
          <w:lang w:eastAsia="zh-CN"/>
        </w:rPr>
        <w:t>周期的开始，</w:t>
      </w:r>
      <w:r>
        <w:rPr>
          <w:rFonts w:hint="eastAsia" w:asciiTheme="minorEastAsia" w:hAnsiTheme="minorEastAsia" w:eastAsiaTheme="minorEastAsia" w:cstheme="minorEastAsia"/>
          <w:sz w:val="32"/>
          <w:szCs w:val="32"/>
        </w:rPr>
        <w:t>未来应继续上调利率</w:t>
      </w:r>
      <w:r>
        <w:rPr>
          <w:rFonts w:hint="eastAsia" w:asciiTheme="minorEastAsia" w:hAnsiTheme="minorEastAsia" w:eastAsiaTheme="minorEastAsia" w:cstheme="minorEastAsia"/>
          <w:sz w:val="32"/>
          <w:szCs w:val="32"/>
          <w:lang w:eastAsia="zh-CN"/>
        </w:rPr>
        <w:t>。市场也普遍认为，目前日本经济正在复苏（见表格），日本的货币政策已“落后”太多，应尽早恢复正常化。</w:t>
      </w: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br w:type="page"/>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color w:val="0000FF"/>
          <w:sz w:val="32"/>
          <w:szCs w:val="32"/>
          <w:highlight w:val="yellow"/>
          <w:lang w:val="en-US" w:eastAsia="zh-CN"/>
        </w:rPr>
        <w:drawing>
          <wp:anchor distT="0" distB="0" distL="114300" distR="114300" simplePos="0" relativeHeight="251658240" behindDoc="0" locked="0" layoutInCell="1" allowOverlap="1">
            <wp:simplePos x="0" y="0"/>
            <wp:positionH relativeFrom="column">
              <wp:posOffset>156845</wp:posOffset>
            </wp:positionH>
            <wp:positionV relativeFrom="paragraph">
              <wp:posOffset>183515</wp:posOffset>
            </wp:positionV>
            <wp:extent cx="5345430" cy="1128395"/>
            <wp:effectExtent l="0" t="0" r="7620" b="14605"/>
            <wp:wrapTopAndBottom/>
            <wp:docPr id="1" name="图片 1" descr="图片1-8月26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8月26日"/>
                    <pic:cNvPicPr>
                      <a:picLocks noChangeAspect="1"/>
                    </pic:cNvPicPr>
                  </pic:nvPicPr>
                  <pic:blipFill>
                    <a:blip r:embed="rId6"/>
                    <a:stretch>
                      <a:fillRect/>
                    </a:stretch>
                  </pic:blipFill>
                  <pic:spPr>
                    <a:xfrm>
                      <a:off x="0" y="0"/>
                      <a:ext cx="5345430" cy="1128395"/>
                    </a:xfrm>
                    <a:prstGeom prst="rect">
                      <a:avLst/>
                    </a:prstGeom>
                  </pic:spPr>
                </pic:pic>
              </a:graphicData>
            </a:graphic>
          </wp:anchor>
        </w:drawing>
      </w:r>
      <w:r>
        <w:rPr>
          <w:rFonts w:hint="eastAsia" w:asciiTheme="minorEastAsia" w:hAnsiTheme="minorEastAsia" w:eastAsiaTheme="minorEastAsia" w:cstheme="minorEastAsia"/>
          <w:sz w:val="32"/>
          <w:szCs w:val="32"/>
          <w:lang w:eastAsia="zh-CN"/>
        </w:rPr>
        <w:t>谓之“落后”，是因为西方经济体的货币政策已经几轮调整，而日本央行却纹丝不动。早在</w:t>
      </w:r>
      <w:r>
        <w:rPr>
          <w:rFonts w:hint="eastAsia" w:asciiTheme="minorEastAsia" w:hAnsiTheme="minorEastAsia" w:eastAsiaTheme="minorEastAsia" w:cstheme="minorEastAsia"/>
          <w:sz w:val="32"/>
          <w:szCs w:val="32"/>
          <w:lang w:val="en-US" w:eastAsia="zh-CN"/>
        </w:rPr>
        <w:t>2000年代初，日本央行就开始实施“</w:t>
      </w:r>
      <w:r>
        <w:rPr>
          <w:rFonts w:hint="eastAsia" w:asciiTheme="minorEastAsia" w:hAnsiTheme="minorEastAsia" w:eastAsiaTheme="minorEastAsia" w:cstheme="minorEastAsia"/>
          <w:b/>
          <w:bCs/>
          <w:sz w:val="32"/>
          <w:szCs w:val="32"/>
          <w:lang w:val="en-US" w:eastAsia="zh-CN"/>
        </w:rPr>
        <w:t>量化宽松</w:t>
      </w:r>
      <w:r>
        <w:rPr>
          <w:rFonts w:hint="eastAsia" w:asciiTheme="minorEastAsia" w:hAnsiTheme="minorEastAsia" w:eastAsiaTheme="minorEastAsia" w:cstheme="minorEastAsia"/>
          <w:sz w:val="32"/>
          <w:szCs w:val="32"/>
          <w:lang w:val="en-US" w:eastAsia="zh-CN"/>
        </w:rPr>
        <w:t>”的货币政策；2007-2009年全球金融危机爆发后，西方经济体的央行们才开始尝试“零利率”和“量化宽松”，日本央行比它们早了整整10年。今天，当其他国家的央行们已经开始逐步缩减自己的资产规模时，日本央行的资产规模仍处于创纪录的高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sz w:val="32"/>
          <w:szCs w:val="32"/>
          <w:lang w:val="en-US" w:eastAsia="zh-CN"/>
        </w:rPr>
        <w:t>所谓“量化宽松”</w:t>
      </w:r>
      <w:r>
        <w:rPr>
          <w:rFonts w:hint="eastAsia" w:asciiTheme="minorEastAsia" w:hAnsiTheme="minorEastAsia" w:eastAsiaTheme="minorEastAsia" w:cstheme="minorEastAsia"/>
          <w:sz w:val="32"/>
          <w:szCs w:val="32"/>
          <w:lang w:val="en-US" w:eastAsia="zh-CN"/>
        </w:rPr>
        <w:t>（QE，Quantitative Easing），是指当央行将利率降到几乎为零的极限，也未能刺激经济复苏时，不得不亲自下场，向经济体直接注入资金的行为。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为了实施“量化宽松”，央行从商业银行手中购买证券（如政府公债），以此来创造货币——因为央行购买证券时所支付的，是之前并不存在的电子现金。这些新增的货币，由央行支付给商业银行，由此扩大了后者的准备金规模——扩大的数量正是央行购买资产的数量，因此被称为“量化”宽松。</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与降低利率一样，量化宽松政策，也是通过鼓励商业银行发放更多贷款来刺激经济。具体来说，就是让银行拿着新获得的资金去购买新的资产，以取代卖给央行的资产（国债）。最终，这将推高股票价格，降低整个经济体的利率水平，进而促进投资。</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val="en-US" w:eastAsia="zh-CN"/>
        </w:rPr>
      </w:pPr>
      <w:r>
        <w:rPr>
          <w:rFonts w:hint="eastAsia" w:asciiTheme="minorEastAsia" w:hAnsiTheme="minorEastAsia" w:eastAsiaTheme="minorEastAsia" w:cstheme="minorEastAsia"/>
          <w:sz w:val="32"/>
          <w:szCs w:val="32"/>
          <w:lang w:val="en-US" w:eastAsia="zh-CN"/>
        </w:rPr>
        <w:t>“量化宽松”并非日本央行的首创，但它在2001年率先采用了大规模的量化宽松政策，以应对其长期的经济衰退和通货紧缩问题。2008年金融危机爆发后，美联储也采用了类似的量化宽松政策，这一举措在全球范围内引起了广泛关注，各大经济体的央行随后也纷纷采取了类似的政策，以应对经济危机和通货紧缩。</w:t>
      </w:r>
    </w:p>
    <w:p>
      <w:pPr>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drawing>
          <wp:anchor distT="0" distB="0" distL="114300" distR="114300" simplePos="0" relativeHeight="251659264" behindDoc="0" locked="0" layoutInCell="1" allowOverlap="1">
            <wp:simplePos x="0" y="0"/>
            <wp:positionH relativeFrom="column">
              <wp:posOffset>622300</wp:posOffset>
            </wp:positionH>
            <wp:positionV relativeFrom="paragraph">
              <wp:posOffset>35560</wp:posOffset>
            </wp:positionV>
            <wp:extent cx="4102100" cy="2479040"/>
            <wp:effectExtent l="0" t="0" r="12700" b="16510"/>
            <wp:wrapTopAndBottom/>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7"/>
                    <a:stretch>
                      <a:fillRect/>
                    </a:stretch>
                  </pic:blipFill>
                  <pic:spPr>
                    <a:xfrm>
                      <a:off x="0" y="0"/>
                      <a:ext cx="4102100" cy="2479040"/>
                    </a:xfrm>
                    <a:prstGeom prst="rect">
                      <a:avLst/>
                    </a:prstGeom>
                    <a:noFill/>
                    <a:ln>
                      <a:noFill/>
                    </a:ln>
                  </pic:spPr>
                </pic:pic>
              </a:graphicData>
            </a:graphic>
          </wp:anchor>
        </w:drawing>
      </w:r>
      <w:r>
        <w:rPr>
          <w:rFonts w:hint="eastAsia" w:ascii="方正仿宋_GBK" w:hAnsi="方正仿宋_GBK" w:eastAsia="方正仿宋_GBK" w:cs="方正仿宋_GBK"/>
          <w:sz w:val="24"/>
          <w:szCs w:val="24"/>
          <w:lang w:eastAsia="zh-CN"/>
        </w:rPr>
        <w:t>（图：日本央行</w:t>
      </w:r>
      <w:r>
        <w:rPr>
          <w:rFonts w:hint="eastAsia" w:ascii="方正仿宋_GBK" w:hAnsi="方正仿宋_GBK" w:eastAsia="方正仿宋_GBK" w:cs="方正仿宋_GBK"/>
          <w:sz w:val="24"/>
          <w:szCs w:val="24"/>
          <w:lang w:val="en-US" w:eastAsia="zh-CN"/>
        </w:rPr>
        <w:t>BOJ</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除了“量化宽松”之外，日本央行多年来控制着日本10年期国债收益率的水平，称之为“</w:t>
      </w:r>
      <w:r>
        <w:rPr>
          <w:rFonts w:hint="eastAsia" w:asciiTheme="minorEastAsia" w:hAnsiTheme="minorEastAsia" w:eastAsiaTheme="minorEastAsia" w:cstheme="minorEastAsia"/>
          <w:b/>
          <w:bCs/>
          <w:sz w:val="32"/>
          <w:szCs w:val="32"/>
          <w:lang w:eastAsia="zh-CN"/>
        </w:rPr>
        <w:t>收益率曲线控制</w:t>
      </w:r>
      <w:r>
        <w:rPr>
          <w:rFonts w:hint="eastAsia" w:asciiTheme="minorEastAsia" w:hAnsiTheme="minorEastAsia" w:eastAsiaTheme="minorEastAsia" w:cstheme="minorEastAsia"/>
          <w:sz w:val="32"/>
          <w:szCs w:val="32"/>
          <w:lang w:eastAsia="zh-CN"/>
        </w:rPr>
        <w:t>”（YCC，Yield Curve Control），即央行通过在二级市场上交易国债，</w:t>
      </w:r>
      <w:r>
        <w:rPr>
          <w:rFonts w:hint="eastAsia" w:asciiTheme="minorEastAsia" w:hAnsiTheme="minorEastAsia" w:eastAsiaTheme="minorEastAsia" w:cstheme="minorEastAsia"/>
          <w:b/>
          <w:bCs/>
          <w:sz w:val="32"/>
          <w:szCs w:val="32"/>
          <w:lang w:eastAsia="zh-CN"/>
        </w:rPr>
        <w:t>将特定期限国债的收益率控制在特定水平</w:t>
      </w:r>
      <w:r>
        <w:rPr>
          <w:rFonts w:hint="eastAsia" w:asciiTheme="minorEastAsia" w:hAnsiTheme="minorEastAsia" w:eastAsiaTheme="minorEastAsia" w:cstheme="minorEastAsia"/>
          <w:sz w:val="32"/>
          <w:szCs w:val="32"/>
          <w:lang w:eastAsia="zh-CN"/>
        </w:rPr>
        <w:t>。植田和男表示，希望把设定长期利率的任务交还给市场。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但投资者认为，这在几年内都太可能实</w:t>
      </w:r>
      <w:r>
        <w:rPr>
          <w:rFonts w:hint="eastAsia" w:asciiTheme="minorEastAsia" w:hAnsiTheme="minorEastAsia" w:eastAsiaTheme="minorEastAsia" w:cstheme="minorEastAsia"/>
          <w:sz w:val="32"/>
          <w:szCs w:val="32"/>
          <w:lang w:val="en-US" w:eastAsia="zh-CN"/>
        </w:rPr>
        <w:t>现</w:t>
      </w:r>
      <w:r>
        <w:rPr>
          <w:rFonts w:hint="eastAsia" w:asciiTheme="minorEastAsia" w:hAnsiTheme="minorEastAsia" w:eastAsiaTheme="minorEastAsia" w:cstheme="minorEastAsia"/>
          <w:sz w:val="32"/>
          <w:szCs w:val="32"/>
          <w:lang w:eastAsia="zh-CN"/>
        </w:rPr>
        <w:t>。根据日本央行在7月份宣布的计划，直至2026年3月，它每月仍将购买价值2.9万亿日元（200亿美元）的资产。相比之下，早在2022年3月，美联储就已经结束资产购买的操作，即退出了“量化宽松”。8月23日，植田和男在国会重申，日本央行确实有计划，出售其持有的金融资产，退出“量化宽松”。</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日本央行一方面表示要退出，但另一方面又保持着资产的购买水平，这反映出日本央行面临的两难局面，也可以说巨大风险。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eastAsia" w:asciiTheme="minorEastAsia" w:hAnsiTheme="minorEastAsia" w:eastAsiaTheme="minorEastAsia" w:cstheme="minorEastAsia"/>
          <w:sz w:val="32"/>
          <w:szCs w:val="32"/>
          <w:lang w:val="en-US" w:eastAsia="zh-CN"/>
        </w:rPr>
        <w:t>与其他央行相比，日本央行实施“量化宽松”的时间最长，堆积的央行资产比率也最大。目前，日本央行的总资产已达到日本GDP的126%，该比例是美联储的5倍多，日本政府发现的公债，有一半以上为日本央行所持有。（见图）</w:t>
      </w:r>
    </w:p>
    <w:p>
      <w:pPr>
        <w:jc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drawing>
          <wp:anchor distT="0" distB="0" distL="114300" distR="114300" simplePos="0" relativeHeight="251660288" behindDoc="0" locked="0" layoutInCell="1" allowOverlap="1">
            <wp:simplePos x="0" y="0"/>
            <wp:positionH relativeFrom="column">
              <wp:posOffset>498475</wp:posOffset>
            </wp:positionH>
            <wp:positionV relativeFrom="paragraph">
              <wp:posOffset>64770</wp:posOffset>
            </wp:positionV>
            <wp:extent cx="4379595" cy="3057525"/>
            <wp:effectExtent l="0" t="0" r="1905" b="9525"/>
            <wp:wrapTopAndBottom/>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8"/>
                    <a:stretch>
                      <a:fillRect/>
                    </a:stretch>
                  </pic:blipFill>
                  <pic:spPr>
                    <a:xfrm>
                      <a:off x="0" y="0"/>
                      <a:ext cx="4379595" cy="3057525"/>
                    </a:xfrm>
                    <a:prstGeom prst="rect">
                      <a:avLst/>
                    </a:prstGeom>
                    <a:noFill/>
                    <a:ln>
                      <a:noFill/>
                    </a:ln>
                  </pic:spPr>
                </pic:pic>
              </a:graphicData>
            </a:graphic>
          </wp:anchor>
        </w:drawing>
      </w:r>
      <w:r>
        <w:rPr>
          <w:rFonts w:hint="eastAsia" w:ascii="方正仿宋_GBK" w:hAnsi="方正仿宋_GBK" w:eastAsia="方正仿宋_GBK" w:cs="方正仿宋_GBK"/>
          <w:sz w:val="24"/>
          <w:szCs w:val="24"/>
          <w:lang w:eastAsia="zh-CN"/>
        </w:rPr>
        <w:t>（图：日本央行的资产，资产中国债的部分，以及日本的</w:t>
      </w:r>
      <w:r>
        <w:rPr>
          <w:rFonts w:hint="eastAsia" w:ascii="方正仿宋_GBK" w:hAnsi="方正仿宋_GBK" w:eastAsia="方正仿宋_GBK" w:cs="方正仿宋_GBK"/>
          <w:sz w:val="24"/>
          <w:szCs w:val="24"/>
          <w:lang w:val="en-US" w:eastAsia="zh-CN"/>
        </w:rPr>
        <w:t>GDP</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日本央行如此操作，让市场投资者失去了投机空间，感到</w:t>
      </w:r>
      <w:r>
        <w:rPr>
          <w:rFonts w:hint="eastAsia" w:asciiTheme="minorEastAsia" w:hAnsiTheme="minorEastAsia" w:eastAsiaTheme="minorEastAsia" w:cstheme="minorEastAsia"/>
          <w:sz w:val="32"/>
          <w:szCs w:val="32"/>
          <w:highlight w:val="none"/>
          <w:lang w:val="en-US" w:eastAsia="zh-CN"/>
        </w:rPr>
        <w:t>“昏昏欲睡”</w:t>
      </w:r>
      <w:r>
        <w:rPr>
          <w:rFonts w:hint="eastAsia" w:asciiTheme="minorEastAsia" w:hAnsiTheme="minorEastAsia" w:eastAsiaTheme="minorEastAsia" w:cstheme="minorEastAsia"/>
          <w:sz w:val="32"/>
          <w:szCs w:val="32"/>
          <w:lang w:val="en-US" w:eastAsia="zh-CN"/>
        </w:rPr>
        <w:t>。2013年，日本央行开始了一轮更加积极的债券购买操作——在此之前，日本的商业银行还拥有40%的日本政府债券，如今已不到10%了。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default" w:ascii="Calibri" w:hAnsi="Calibri" w:eastAsia="宋体" w:cs="Calibri"/>
          <w:lang w:val="en-US" w:eastAsia="zh-CN"/>
        </w:rPr>
      </w:pPr>
      <w:r>
        <w:rPr>
          <w:rFonts w:hint="eastAsia" w:asciiTheme="minorEastAsia" w:hAnsiTheme="minorEastAsia" w:eastAsiaTheme="minorEastAsia" w:cstheme="minorEastAsia"/>
          <w:sz w:val="32"/>
          <w:szCs w:val="32"/>
          <w:lang w:val="en-US" w:eastAsia="zh-CN"/>
        </w:rPr>
        <w:t>债券的投资机构们一直抱怨，日本国债市场毫无流动性，特定品种的国债还处于稀缺状态——因为都被央行收集并长期持有了。在过去10年，绝大多数市场受访者都表示，日本的国债市场功能不畅，毫无操作的空间和可能。</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但现在如果央行完全放手，由市场来对国债交易定价，可能会出现相当大的风险。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债券收益率的计算公式表示，当收益率非常低时，即使它只调整一点点，长期债券的价格也很容易出现大幅波动——这就是所谓的“期限风险”。因此，商业银行在购买长期债务的数量上受到了监管限制，以避免出现像去年美国硅谷银行倒闭那样的危机——当时，长期国债收益率上升，国债价格下跌，持有大量国债的商业银行“未实现亏损”剧增，资产负债表承压，挤兑出现……</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正在出于这个考虑，日本监管部门的规定，把市场投资机构的国债购买量限制在</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lang w:eastAsia="zh-CN"/>
        </w:rPr>
        <w:t>万亿日元，即不到日本央行持有量的五分之一。</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目前，日本10年期债券的收益率约为0.9%。据日本央行自己估算，其大量买入国债并稳定持有，将长期国债的收益率压低了约一个百分点。未来，如果收益率上升到2%以上，肯定会吸引更多的潜在投资者——当债券的收益率上升，市场投资者（如商业银行）可以获得更高的回报，自然会增加购买债券的数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而且，日本央行认为，债券的收益率上升后，债券的交易价格波动通常还会减小——较高的收益率，使投资者更倾向于长期持有债券，而非频繁买卖，从而减少了债券交易价格波动的能量。不过，这一结论值得商榷，在历史上，美国曾在这个问题上出现过波折，即2013年的“</w:t>
      </w:r>
      <w:r>
        <w:rPr>
          <w:rFonts w:hint="eastAsia" w:asciiTheme="minorEastAsia" w:hAnsiTheme="minorEastAsia" w:eastAsiaTheme="minorEastAsia" w:cstheme="minorEastAsia"/>
          <w:b/>
          <w:bCs/>
          <w:sz w:val="32"/>
          <w:szCs w:val="32"/>
          <w:lang w:eastAsia="zh-CN"/>
        </w:rPr>
        <w:t>缩减恐慌</w:t>
      </w:r>
      <w:r>
        <w:rPr>
          <w:rFonts w:hint="eastAsia" w:asciiTheme="minorEastAsia" w:hAnsiTheme="minorEastAsia" w:eastAsiaTheme="minorEastAsia" w:cstheme="minorEastAsia"/>
          <w:sz w:val="32"/>
          <w:szCs w:val="32"/>
          <w:lang w:eastAsia="zh-CN"/>
        </w:rPr>
        <w:t>”（Taper Tantrum），此处的“缩减”就指的是缩减央行购债规模。</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outlineLvl w:val="9"/>
        <w:rPr>
          <w:rFonts w:hint="eastAsia" w:asciiTheme="minorEastAsia" w:hAnsiTheme="minorEastAsia" w:eastAsiaTheme="minorEastAsia" w:cstheme="minorEastAsia"/>
          <w:sz w:val="32"/>
          <w:szCs w:val="32"/>
          <w:lang w:eastAsia="zh-CN"/>
        </w:rPr>
      </w:pPr>
      <w:r>
        <w:drawing>
          <wp:anchor distT="0" distB="0" distL="114300" distR="114300" simplePos="0" relativeHeight="251661312" behindDoc="0" locked="0" layoutInCell="1" allowOverlap="1">
            <wp:simplePos x="0" y="0"/>
            <wp:positionH relativeFrom="column">
              <wp:posOffset>2638425</wp:posOffset>
            </wp:positionH>
            <wp:positionV relativeFrom="paragraph">
              <wp:posOffset>196215</wp:posOffset>
            </wp:positionV>
            <wp:extent cx="2827655" cy="1889125"/>
            <wp:effectExtent l="0" t="0" r="10795" b="15875"/>
            <wp:wrapSquare wrapText="bothSides"/>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9"/>
                    <a:stretch>
                      <a:fillRect/>
                    </a:stretch>
                  </pic:blipFill>
                  <pic:spPr>
                    <a:xfrm>
                      <a:off x="0" y="0"/>
                      <a:ext cx="2827655" cy="188912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2013年</w:t>
      </w:r>
      <w:r>
        <w:rPr>
          <w:rFonts w:hint="eastAsia" w:asciiTheme="minorEastAsia" w:hAnsiTheme="minorEastAsia" w:eastAsiaTheme="minorEastAsia" w:cstheme="minorEastAsia"/>
          <w:sz w:val="32"/>
          <w:szCs w:val="32"/>
          <w:lang w:eastAsia="zh-CN"/>
        </w:rPr>
        <w:t>5月22日，时任美联储主席本·伯南克在国会听证会上表示，美联储可能会逐步减少其购债规模，这被视为开始缩减“量化宽松”的信号。5月29日，美国国债收益率急剧上升，10年期国债收益率飙升至2.2%，为两年来最高水平。</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在6月19日的美联储会议上，伯南克再次确认了美联储计划逐步缩减购债规模，这进一步加剧了市场的不安情绪。 6月22日，全球金融市场出现剧烈波动，新兴市场货币贬值，股市下跌，债券市场动荡。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结果，伯南克直到任期结束，也未缩减量化宽松，而是一直维持购债规模。直到珍妮特·耶伦于2014年2月接任后，才开始真正逐步缩减。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国债收益率上升，必然会带来挑战。</w:t>
      </w:r>
      <w:r>
        <w:rPr>
          <w:rFonts w:hint="eastAsia" w:asciiTheme="minorEastAsia" w:hAnsiTheme="minorEastAsia" w:eastAsiaTheme="minorEastAsia" w:cstheme="minorEastAsia"/>
          <w:sz w:val="32"/>
          <w:szCs w:val="32"/>
          <w:lang w:eastAsia="zh-CN"/>
        </w:rPr>
        <w:t>日本政府的巨额债务，是在多年的低利率条件下积累起来的。如果政府债券的平均利率翻一番，从0.8%提高到1.6%，那么债券的利息支出将占到日本政府预算支出的17%（目前这一比例不到9%），而社会保障支出占政府预算的比例，也不过才34%。即，利率支出的增加，将成为日本财政的巨大负担——只有大幅削减开支或提高税收，方能应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因此，日本央行既在口头上明确要退出“量化宽松”，但在实践中却不能立刻放松对债券市场的控制。但不尽快退出，让货币政策恢复正常化，即恢复一定的政策空间，如果经济再次遭遇衰退，日本央行将无工具可用。</w:t>
      </w:r>
    </w:p>
    <w:p>
      <w:pPr>
        <w:jc w:val="right"/>
        <w:rPr>
          <w:rFonts w:hint="eastAsia"/>
          <w:lang w:val="en-US" w:eastAsia="zh-CN"/>
        </w:rPr>
      </w:pPr>
    </w:p>
    <w:p>
      <w:pPr>
        <w:jc w:val="right"/>
        <w:rPr>
          <w:rFonts w:hint="eastAsia"/>
          <w:lang w:val="en-US" w:eastAsia="zh-CN"/>
        </w:rPr>
      </w:pPr>
    </w:p>
    <w:p>
      <w:pPr>
        <w:jc w:val="right"/>
        <w:rPr>
          <w:rFonts w:hint="eastAsia"/>
          <w:lang w:val="en-US" w:eastAsia="zh-CN"/>
        </w:rPr>
      </w:pPr>
    </w:p>
    <w:p>
      <w:pPr>
        <w:jc w:val="right"/>
        <w:rPr>
          <w:rFonts w:hint="eastAsia"/>
          <w:lang w:val="en-US" w:eastAsia="zh-CN"/>
        </w:rPr>
      </w:pPr>
    </w:p>
    <w:p>
      <w:pPr>
        <w:rPr>
          <w:rFonts w:hint="default" w:ascii="Calibri" w:hAnsi="Calibri" w:eastAsia="宋体" w:cs="Calibri"/>
          <w:b/>
          <w:bCs/>
          <w:color w:val="0000FF"/>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8月30日（周五）</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抵近观察消费，AFFIRM、DG和Ulta Beauty</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消费占美国GDP的比重高达70%，因此，消费的可持续增长对美国经济至关重要。从二季度消费类上市公司的财报可以看出，不同的收入</w:t>
      </w:r>
      <w:r>
        <w:rPr>
          <w:rFonts w:hint="eastAsia" w:asciiTheme="minorEastAsia" w:hAnsiTheme="minorEastAsia" w:eastAsiaTheme="minorEastAsia" w:cstheme="minorEastAsia"/>
          <w:sz w:val="32"/>
          <w:szCs w:val="32"/>
          <w:lang w:eastAsia="zh-CN"/>
        </w:rPr>
        <w:t>人群，其消费出现了分化。</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b/>
          <w:bCs/>
          <w:color w:val="0000FF"/>
          <w:sz w:val="32"/>
          <w:szCs w:val="32"/>
          <w:lang w:eastAsia="zh-CN"/>
        </w:rPr>
      </w:pPr>
      <w:r>
        <w:rPr>
          <w:rFonts w:hint="eastAsia" w:asciiTheme="minorEastAsia" w:hAnsiTheme="minorEastAsia" w:eastAsiaTheme="minorEastAsia" w:cstheme="minorEastAsia"/>
          <w:b/>
          <w:bCs/>
          <w:color w:val="0000FF"/>
          <w:sz w:val="32"/>
          <w:szCs w:val="32"/>
          <w:lang w:eastAsia="zh-CN"/>
        </w:rPr>
        <w:t>一、消费金融露端倪</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8月29日（周四），</w:t>
      </w:r>
      <w:r>
        <w:rPr>
          <w:rFonts w:hint="eastAsia" w:asciiTheme="minorEastAsia" w:hAnsiTheme="minorEastAsia" w:eastAsiaTheme="minorEastAsia" w:cstheme="minorEastAsia"/>
          <w:sz w:val="32"/>
          <w:szCs w:val="32"/>
        </w:rPr>
        <w:t>AFFIRM公布财报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业绩超预期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股价暴</w:t>
      </w:r>
      <w:r>
        <w:rPr>
          <w:rFonts w:hint="eastAsia" w:asciiTheme="minorEastAsia" w:hAnsiTheme="minorEastAsia" w:eastAsiaTheme="minorEastAsia" w:cstheme="minorEastAsia"/>
          <w:sz w:val="32"/>
          <w:szCs w:val="32"/>
          <w:lang w:eastAsia="zh-CN"/>
        </w:rPr>
        <w:t>涨超</w:t>
      </w:r>
      <w:r>
        <w:rPr>
          <w:rFonts w:hint="eastAsia" w:asciiTheme="minorEastAsia" w:hAnsiTheme="minorEastAsia" w:eastAsiaTheme="minorEastAsia" w:cstheme="minorEastAsia"/>
          <w:sz w:val="32"/>
          <w:szCs w:val="32"/>
        </w:rPr>
        <w:t>3</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rPr>
        <w:t>AFFIRM Holdings, Inc.是一家金融科技公司</w:t>
      </w:r>
      <w:r>
        <w:rPr>
          <w:rFonts w:hint="eastAsia" w:asciiTheme="minorEastAsia" w:hAnsiTheme="minorEastAsia" w:eastAsiaTheme="minorEastAsia" w:cstheme="minorEastAsia"/>
          <w:sz w:val="32"/>
          <w:szCs w:val="32"/>
        </w:rPr>
        <w:t>，由PayPal的联合创始人Max Levchin于2012年创立，总部位于旧金山。AFFIRM主要提供一种</w:t>
      </w:r>
      <w:r>
        <w:rPr>
          <w:rFonts w:hint="eastAsia" w:asciiTheme="minorEastAsia" w:hAnsiTheme="minorEastAsia" w:eastAsiaTheme="minorEastAsia" w:cstheme="minorEastAsia"/>
          <w:b/>
          <w:bCs/>
          <w:sz w:val="32"/>
          <w:szCs w:val="32"/>
        </w:rPr>
        <w:t>替代传统信用卡的小额贷款服务</w:t>
      </w:r>
      <w:r>
        <w:rPr>
          <w:rFonts w:hint="eastAsia" w:asciiTheme="minorEastAsia" w:hAnsiTheme="minorEastAsia" w:eastAsiaTheme="minorEastAsia" w:cstheme="minorEastAsia"/>
          <w:sz w:val="32"/>
          <w:szCs w:val="32"/>
        </w:rPr>
        <w:t>。消费者可以通过AFFIRM实现3-36个月的分期付款，最高贷款金额可达17500美元</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AFFIRM的分期付款服务可能不收取利息，特别是在某些促销或合作项目中。如果收取利息，利率会根据个人信用状况和贷款条件的不同而有所变化，可能在0%至30%的年化利率之间浮动。利率是动态的，可能会随着市场条件和个人信用状况的变化而调整。</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AFFIRM的服务特别适合那些尚未获得信用卡借款资格的消费者，例如千禧一代。它通过简化的贷款审批流程，仅需五项基础信息，就可以在几秒钟内做出贷款决策，为消费者和商家提供了便利。</w:t>
      </w:r>
    </w:p>
    <w:p>
      <w:pPr>
        <w:keepNext w:val="0"/>
        <w:keepLines w:val="0"/>
        <w:pageBreakBefore w:val="0"/>
        <w:widowControl w:val="0"/>
        <w:kinsoku/>
        <w:wordWrap/>
        <w:overflowPunct/>
        <w:topLinePunct w:val="0"/>
        <w:autoSpaceDE/>
        <w:autoSpaceDN/>
        <w:bidi w:val="0"/>
        <w:adjustRightInd/>
        <w:snapToGrid/>
        <w:ind w:firstLine="388" w:firstLineChars="200"/>
        <w:textAlignment w:val="auto"/>
        <w:outlineLvl w:val="9"/>
        <w:rPr>
          <w:rFonts w:hint="eastAsia" w:asciiTheme="minorEastAsia" w:hAnsiTheme="minorEastAsia" w:eastAsiaTheme="minorEastAsia" w:cstheme="minorEastAsia"/>
          <w:sz w:val="32"/>
          <w:szCs w:val="32"/>
          <w:lang w:eastAsia="zh-CN"/>
        </w:rPr>
      </w:pPr>
      <w:r>
        <w:drawing>
          <wp:anchor distT="0" distB="0" distL="114300" distR="114300" simplePos="0" relativeHeight="251662336" behindDoc="0" locked="0" layoutInCell="1" allowOverlap="1">
            <wp:simplePos x="0" y="0"/>
            <wp:positionH relativeFrom="column">
              <wp:posOffset>2487295</wp:posOffset>
            </wp:positionH>
            <wp:positionV relativeFrom="paragraph">
              <wp:posOffset>83185</wp:posOffset>
            </wp:positionV>
            <wp:extent cx="2861945" cy="1908810"/>
            <wp:effectExtent l="0" t="0" r="14605" b="15240"/>
            <wp:wrapSquare wrapText="bothSides"/>
            <wp:docPr id="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pic:cNvPicPr>
                      <a:picLocks noChangeAspect="1"/>
                    </pic:cNvPicPr>
                  </pic:nvPicPr>
                  <pic:blipFill>
                    <a:blip r:embed="rId10"/>
                    <a:stretch>
                      <a:fillRect/>
                    </a:stretch>
                  </pic:blipFill>
                  <pic:spPr>
                    <a:xfrm>
                      <a:off x="0" y="0"/>
                      <a:ext cx="2861945" cy="190881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rPr>
        <w:t>对于商家而言，与AFFIRM合作不仅可以扩大消费群体、提高销售业绩，还不需要承担</w:t>
      </w:r>
      <w:r>
        <w:rPr>
          <w:rFonts w:hint="eastAsia" w:asciiTheme="minorEastAsia" w:hAnsiTheme="minorEastAsia" w:eastAsiaTheme="minorEastAsia" w:cstheme="minorEastAsia"/>
          <w:sz w:val="32"/>
          <w:szCs w:val="32"/>
          <w:lang w:eastAsia="zh-CN"/>
        </w:rPr>
        <w:t>顾客</w:t>
      </w:r>
      <w:r>
        <w:rPr>
          <w:rFonts w:hint="eastAsia" w:asciiTheme="minorEastAsia" w:hAnsiTheme="minorEastAsia" w:eastAsiaTheme="minorEastAsia" w:cstheme="minorEastAsia"/>
          <w:sz w:val="32"/>
          <w:szCs w:val="32"/>
        </w:rPr>
        <w:t>违约</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风险</w:t>
      </w:r>
      <w:r>
        <w:rPr>
          <w:rFonts w:hint="eastAsia" w:asciiTheme="minorEastAsia" w:hAnsiTheme="minorEastAsia" w:eastAsiaTheme="minorEastAsia" w:cstheme="minorEastAsia"/>
          <w:sz w:val="32"/>
          <w:szCs w:val="32"/>
          <w:lang w:eastAsia="zh-CN"/>
        </w:rPr>
        <w:t>——因为AFFIRM会直接向商家支付全额交易款项。即使消费者之后未能按时还款，商家也不会因此遭受财务损失，这种风险由AFFIRM承担。</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rPr>
      </w:pPr>
      <w:r>
        <w:rPr>
          <w:rFonts w:hint="eastAsia" w:asciiTheme="minorEastAsia" w:hAnsiTheme="minorEastAsia" w:eastAsiaTheme="minorEastAsia" w:cstheme="minorEastAsia"/>
          <w:sz w:val="32"/>
          <w:szCs w:val="32"/>
        </w:rPr>
        <w:t>此外，AFFIRM还提供了储蓄服务，客户可以通过储蓄账户进行活期储蓄，AFFIRM会支付年化收益率1.3%的利息，这在美国平均储蓄利率中是相当高的。存款还受到美国联邦存款保险公司的承保，最高承保额为25万美元 。</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AFFIRM通过与</w:t>
      </w:r>
      <w:r>
        <w:rPr>
          <w:rFonts w:hint="eastAsia" w:asciiTheme="minorEastAsia" w:hAnsiTheme="minorEastAsia" w:eastAsiaTheme="minorEastAsia" w:cstheme="minorEastAsia"/>
          <w:sz w:val="32"/>
          <w:szCs w:val="32"/>
          <w:lang w:eastAsia="zh-CN"/>
        </w:rPr>
        <w:t>越来越多的</w:t>
      </w:r>
      <w:r>
        <w:rPr>
          <w:rFonts w:hint="eastAsia" w:asciiTheme="minorEastAsia" w:hAnsiTheme="minorEastAsia" w:eastAsiaTheme="minorEastAsia" w:cstheme="minorEastAsia"/>
          <w:sz w:val="32"/>
          <w:szCs w:val="32"/>
        </w:rPr>
        <w:t>商家合作，让消费者能够随时购买心仪商品，这些商品涵盖了家居、旅游、个人健身、电子、服装和美容等零售领域的知名品牌。通过提供这种支付选项，AFFIRM帮助卖家提高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highlight w:val="none"/>
        </w:rPr>
        <w:t>转换率</w:t>
      </w:r>
      <w:r>
        <w:rPr>
          <w:rFonts w:hint="eastAsia" w:asciiTheme="minorEastAsia" w:hAnsiTheme="minorEastAsia" w:eastAsiaTheme="minorEastAsia" w:cstheme="minorEastAsia"/>
          <w:sz w:val="32"/>
          <w:szCs w:val="32"/>
          <w:highlight w:val="none"/>
          <w:lang w:eastAsia="zh-CN"/>
        </w:rPr>
        <w:t>”</w:t>
      </w:r>
      <w:r>
        <w:rPr>
          <w:rFonts w:hint="eastAsia" w:asciiTheme="minorEastAsia" w:hAnsiTheme="minorEastAsia" w:eastAsiaTheme="minorEastAsia" w:cstheme="minorEastAsia"/>
          <w:sz w:val="32"/>
          <w:szCs w:val="32"/>
        </w:rPr>
        <w:t>，同时也让消费者在销售点选择分期付款，从而可能提高订单规模。</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rPr>
      </w:pPr>
      <w:r>
        <w:rPr>
          <w:rFonts w:hint="eastAsia" w:asciiTheme="minorEastAsia" w:hAnsiTheme="minorEastAsia" w:eastAsiaTheme="minorEastAsia" w:cstheme="minorEastAsia"/>
          <w:b/>
          <w:bCs/>
          <w:sz w:val="32"/>
          <w:szCs w:val="32"/>
        </w:rPr>
        <w:t>AFFIRM的商业模式主要基于两个收入来源</w:t>
      </w:r>
      <w:r>
        <w:rPr>
          <w:rFonts w:hint="eastAsia" w:asciiTheme="minorEastAsia" w:hAnsiTheme="minorEastAsia" w:eastAsiaTheme="minorEastAsia" w:cstheme="minorEastAsia"/>
          <w:sz w:val="32"/>
          <w:szCs w:val="32"/>
        </w:rPr>
        <w:t>：向商家征收一定比例的交易费和向客户提供分期付款而获得的利息收入。公司与银行合作，为这些贷款提供融资，</w:t>
      </w:r>
      <w:r>
        <w:rPr>
          <w:rFonts w:hint="eastAsia" w:asciiTheme="minorEastAsia" w:hAnsiTheme="minorEastAsia" w:eastAsiaTheme="minorEastAsia" w:cstheme="minorEastAsia"/>
          <w:sz w:val="32"/>
          <w:szCs w:val="32"/>
          <w:lang w:eastAsia="zh-CN"/>
        </w:rPr>
        <w:t>参与各方都</w:t>
      </w:r>
      <w:r>
        <w:rPr>
          <w:rFonts w:hint="eastAsia" w:asciiTheme="minorEastAsia" w:hAnsiTheme="minorEastAsia" w:eastAsiaTheme="minorEastAsia" w:cstheme="minorEastAsia"/>
          <w:sz w:val="32"/>
          <w:szCs w:val="32"/>
        </w:rPr>
        <w:t>认为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随着电子商务销售额的增加，未来</w:t>
      </w:r>
      <w:r>
        <w:rPr>
          <w:rFonts w:hint="eastAsia" w:asciiTheme="minorEastAsia" w:hAnsiTheme="minorEastAsia" w:eastAsiaTheme="minorEastAsia" w:cstheme="minorEastAsia"/>
          <w:sz w:val="32"/>
          <w:szCs w:val="32"/>
          <w:lang w:eastAsia="zh-CN"/>
        </w:rPr>
        <w:t>仍</w:t>
      </w:r>
      <w:r>
        <w:rPr>
          <w:rFonts w:hint="eastAsia" w:asciiTheme="minorEastAsia" w:hAnsiTheme="minorEastAsia" w:eastAsiaTheme="minorEastAsia" w:cstheme="minorEastAsia"/>
          <w:sz w:val="32"/>
          <w:szCs w:val="32"/>
        </w:rPr>
        <w:t>有巨大的增长机会。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AFFIRM的业绩增长主要得益于以下几个因素：</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第一，AFFIRM通过其独特的“先买后付”（BNPL）服务</w:t>
      </w:r>
      <w:r>
        <w:rPr>
          <w:rFonts w:hint="eastAsia" w:asciiTheme="minorEastAsia" w:hAnsiTheme="minorEastAsia" w:eastAsiaTheme="minorEastAsia" w:cstheme="minorEastAsia"/>
          <w:sz w:val="32"/>
          <w:szCs w:val="32"/>
          <w:lang w:eastAsia="zh-CN"/>
        </w:rPr>
        <w:t>，成功扩大了其活跃商家和消费者的数量。</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lang w:eastAsia="zh-CN"/>
        </w:rPr>
        <w:t>先买后付</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lang w:eastAsia="zh-CN"/>
        </w:rPr>
        <w:t>（Buy Now Pay Later，BNPL）服务是一种新兴的支付方式，它允许消费者先购买商品或服务，然后在交易完成后的一定期限内分期支付款项，</w:t>
      </w:r>
      <w:r>
        <w:rPr>
          <w:rFonts w:hint="eastAsia" w:asciiTheme="minorEastAsia" w:hAnsiTheme="minorEastAsia" w:eastAsiaTheme="minorEastAsia" w:cstheme="minorEastAsia"/>
          <w:sz w:val="32"/>
          <w:szCs w:val="32"/>
          <w:lang w:val="en-US" w:eastAsia="zh-CN"/>
        </w:rPr>
        <w:t>在</w:t>
      </w:r>
      <w:r>
        <w:rPr>
          <w:rFonts w:hint="eastAsia" w:asciiTheme="minorEastAsia" w:hAnsiTheme="minorEastAsia" w:eastAsiaTheme="minorEastAsia" w:cstheme="minorEastAsia"/>
          <w:sz w:val="32"/>
          <w:szCs w:val="32"/>
          <w:lang w:eastAsia="zh-CN"/>
        </w:rPr>
        <w:t>期限内通常不收取利息或手续费。</w:t>
      </w:r>
      <w:r>
        <w:rPr>
          <w:rFonts w:hint="eastAsia" w:asciiTheme="minorEastAsia" w:hAnsiTheme="minorEastAsia" w:eastAsiaTheme="minorEastAsia" w:cstheme="minorEastAsia"/>
          <w:b w:val="0"/>
          <w:bCs w:val="0"/>
          <w:sz w:val="32"/>
          <w:szCs w:val="32"/>
          <w:lang w:eastAsia="zh-CN"/>
        </w:rPr>
        <w:t>这种模式为没有信用卡或希望灵活配置资金的消费者提供了便利和选择</w:t>
      </w:r>
      <w:r>
        <w:rPr>
          <w:rFonts w:hint="eastAsia" w:asciiTheme="minorEastAsia" w:hAnsiTheme="minorEastAsia" w:eastAsiaTheme="minorEastAsia" w:cstheme="minorEastAsia"/>
          <w:b/>
          <w:bCs/>
          <w:sz w:val="32"/>
          <w:szCs w:val="32"/>
          <w:lang w:eastAsia="zh-CN"/>
        </w:rPr>
        <w:t>，增加了消费者的购买力</w:t>
      </w:r>
      <w:r>
        <w:rPr>
          <w:rFonts w:hint="eastAsia" w:asciiTheme="minorEastAsia" w:hAnsiTheme="minorEastAsia" w:eastAsiaTheme="minorEastAsia" w:cstheme="minorEastAsia"/>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第二，AFFIRM不断推出新的金融产品和服务</w:t>
      </w:r>
      <w:r>
        <w:rPr>
          <w:rFonts w:hint="eastAsia" w:asciiTheme="minorEastAsia" w:hAnsiTheme="minorEastAsia" w:eastAsiaTheme="minorEastAsia" w:cstheme="minorEastAsia"/>
          <w:sz w:val="32"/>
          <w:szCs w:val="32"/>
          <w:lang w:eastAsia="zh-CN"/>
        </w:rPr>
        <w:t>，比如Affirm卡和储蓄账户，这些创新产品吸引了更多的消费者，并提高了用户粘性。</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第三，AFFIRM与大型零售商如亚马逊和Peloton的合作</w:t>
      </w:r>
      <w:r>
        <w:rPr>
          <w:rFonts w:hint="eastAsia" w:asciiTheme="minorEastAsia" w:hAnsiTheme="minorEastAsia" w:eastAsiaTheme="minorEastAsia" w:cstheme="minorEastAsia"/>
          <w:sz w:val="32"/>
          <w:szCs w:val="32"/>
          <w:lang w:eastAsia="zh-CN"/>
        </w:rPr>
        <w:t>，为其服务的推广和用户的增加提供了有力支持。特别是在与亚马逊的合作中，AFFIRM成为亚马逊在美国唯一的第三方非信用卡“先买后付”选项。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val="en-US" w:eastAsia="zh-CN"/>
        </w:rPr>
        <w:t>AFFIRM在</w:t>
      </w:r>
      <w:r>
        <w:rPr>
          <w:rFonts w:hint="eastAsia" w:asciiTheme="minorEastAsia" w:hAnsiTheme="minorEastAsia" w:eastAsiaTheme="minorEastAsia" w:cstheme="minorEastAsia"/>
          <w:sz w:val="32"/>
          <w:szCs w:val="32"/>
          <w:lang w:eastAsia="zh-CN"/>
        </w:rPr>
        <w:t>财报中给出了积极的预期指引，表明公司对未来的增长充满信心，尤其是在消费者信贷需求持续上升的环境中。</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eastAsia" w:asciiTheme="minorEastAsia" w:hAnsiTheme="minorEastAsia" w:eastAsiaTheme="minorEastAsia" w:cstheme="minorEastAsia"/>
          <w:sz w:val="32"/>
          <w:szCs w:val="32"/>
          <w:lang w:eastAsia="zh-CN"/>
        </w:rPr>
        <w:t>但换个角度看</w:t>
      </w:r>
      <w:r>
        <w:rPr>
          <w:rFonts w:hint="eastAsia" w:asciiTheme="minorEastAsia" w:hAnsiTheme="minorEastAsia" w:eastAsiaTheme="minorEastAsia" w:cstheme="minorEastAsia"/>
          <w:b/>
          <w:bCs/>
          <w:sz w:val="32"/>
          <w:szCs w:val="32"/>
          <w:lang w:eastAsia="zh-CN"/>
        </w:rPr>
        <w:t>，消费者信贷需求持续上升，可能是一柄双刃剑</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b/>
          <w:bCs/>
          <w:color w:val="0000FF"/>
          <w:sz w:val="32"/>
          <w:szCs w:val="32"/>
          <w:lang w:val="en-US" w:eastAsia="zh-CN"/>
        </w:rPr>
      </w:pPr>
      <w:r>
        <w:rPr>
          <w:rFonts w:hint="eastAsia" w:asciiTheme="minorEastAsia" w:hAnsiTheme="minorEastAsia" w:eastAsiaTheme="minorEastAsia" w:cstheme="minorEastAsia"/>
          <w:b/>
          <w:bCs/>
          <w:color w:val="0000FF"/>
          <w:sz w:val="32"/>
          <w:szCs w:val="32"/>
          <w:lang w:eastAsia="zh-CN"/>
        </w:rPr>
        <w:t>二、下沉市场受挤压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同天，</w:t>
      </w:r>
      <w:r>
        <w:rPr>
          <w:rFonts w:hint="eastAsia" w:asciiTheme="minorEastAsia" w:hAnsiTheme="minorEastAsia" w:eastAsiaTheme="minorEastAsia" w:cstheme="minorEastAsia"/>
          <w:b/>
          <w:bCs/>
          <w:sz w:val="32"/>
          <w:szCs w:val="32"/>
          <w:lang w:eastAsia="zh-CN"/>
        </w:rPr>
        <w:t>美</w:t>
      </w:r>
      <w:r>
        <w:rPr>
          <w:rFonts w:hint="eastAsia" w:asciiTheme="minorEastAsia" w:hAnsiTheme="minorEastAsia" w:eastAsiaTheme="minorEastAsia" w:cstheme="minorEastAsia"/>
          <w:b/>
          <w:bCs/>
          <w:sz w:val="32"/>
          <w:szCs w:val="32"/>
        </w:rPr>
        <w:t>国最大的折扣零售商DG</w:t>
      </w:r>
      <w:r>
        <w:rPr>
          <w:rFonts w:hint="eastAsia" w:asciiTheme="minorEastAsia" w:hAnsiTheme="minorEastAsia" w:eastAsiaTheme="minorEastAsia" w:cstheme="minorEastAsia"/>
          <w:sz w:val="32"/>
          <w:szCs w:val="32"/>
          <w:lang w:eastAsia="zh-CN"/>
        </w:rPr>
        <w:t>也发布了财报：</w:t>
      </w:r>
      <w:r>
        <w:rPr>
          <w:rFonts w:hint="eastAsia" w:asciiTheme="minorEastAsia" w:hAnsiTheme="minorEastAsia" w:eastAsiaTheme="minorEastAsia" w:cstheme="minorEastAsia"/>
          <w:sz w:val="32"/>
          <w:szCs w:val="32"/>
        </w:rPr>
        <w:t>业绩全面不如预期</w:t>
      </w:r>
      <w:r>
        <w:rPr>
          <w:rFonts w:hint="eastAsia" w:asciiTheme="minorEastAsia" w:hAnsiTheme="minorEastAsia" w:eastAsiaTheme="minorEastAsia" w:cstheme="minorEastAsia"/>
          <w:sz w:val="32"/>
          <w:szCs w:val="32"/>
          <w:lang w:eastAsia="zh-CN"/>
        </w:rPr>
        <w:t>，并</w:t>
      </w:r>
      <w:r>
        <w:rPr>
          <w:rFonts w:hint="eastAsia" w:asciiTheme="minorEastAsia" w:hAnsiTheme="minorEastAsia" w:eastAsiaTheme="minorEastAsia" w:cstheme="minorEastAsia"/>
          <w:sz w:val="32"/>
          <w:szCs w:val="32"/>
        </w:rPr>
        <w:t>下调了全年业绩指引</w:t>
      </w:r>
      <w:r>
        <w:rPr>
          <w:rFonts w:hint="eastAsia" w:asciiTheme="minorEastAsia" w:hAnsiTheme="minorEastAsia" w:eastAsiaTheme="minorEastAsia" w:cstheme="minorEastAsia"/>
          <w:sz w:val="32"/>
          <w:szCs w:val="32"/>
          <w:lang w:eastAsia="zh-CN"/>
        </w:rPr>
        <w:t>。财报一公布，</w:t>
      </w:r>
      <w:r>
        <w:rPr>
          <w:rFonts w:hint="eastAsia" w:asciiTheme="minorEastAsia" w:hAnsiTheme="minorEastAsia" w:eastAsiaTheme="minorEastAsia" w:cstheme="minorEastAsia"/>
          <w:sz w:val="32"/>
          <w:szCs w:val="32"/>
        </w:rPr>
        <w:t>股价暴跌了超3</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创下有史以来最大单日跌幅</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跌</w:t>
      </w:r>
      <w:r>
        <w:rPr>
          <w:rFonts w:hint="eastAsia" w:asciiTheme="minorEastAsia" w:hAnsiTheme="minorEastAsia" w:eastAsiaTheme="minorEastAsia" w:cstheme="minorEastAsia"/>
          <w:sz w:val="32"/>
          <w:szCs w:val="32"/>
          <w:lang w:eastAsia="zh-CN"/>
        </w:rPr>
        <w:t>至</w:t>
      </w:r>
      <w:r>
        <w:rPr>
          <w:rFonts w:hint="eastAsia" w:asciiTheme="minorEastAsia" w:hAnsiTheme="minorEastAsia" w:eastAsiaTheme="minorEastAsia" w:cstheme="minorEastAsia"/>
          <w:sz w:val="32"/>
          <w:szCs w:val="32"/>
        </w:rPr>
        <w:t>2017年底的水平</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Dollar General Corporation（DG），创立于1939年，是美国最大的折扣（低价）零售商，以低廉的价格和优质的商品著称。公司总部位于田纳西州，全职雇员超过14</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3万人。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default"/>
          <w:lang w:val="en-US" w:eastAsia="zh-CN"/>
        </w:rPr>
      </w:pPr>
      <w:r>
        <w:rPr>
          <w:rFonts w:hint="eastAsia" w:asciiTheme="minorEastAsia" w:hAnsiTheme="minorEastAsia" w:eastAsiaTheme="minorEastAsia" w:cstheme="minorEastAsia"/>
          <w:sz w:val="32"/>
          <w:szCs w:val="32"/>
          <w:lang w:eastAsia="zh-CN"/>
        </w:rPr>
        <w:t>正如公司的名称，其门店主要销售的就是“一美元”食品和家庭用品，</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lang w:eastAsia="zh-CN"/>
        </w:rPr>
        <w:t>0%的商品定价在5美元以下，精准定位美国的下沉市场（中低收入群体）。其核心客户是年收入低于</w:t>
      </w:r>
      <w:r>
        <w:rPr>
          <w:rFonts w:hint="eastAsia" w:asciiTheme="minorEastAsia" w:hAnsiTheme="minorEastAsia" w:eastAsiaTheme="minorEastAsia" w:cstheme="minorEastAsia"/>
          <w:sz w:val="32"/>
          <w:szCs w:val="32"/>
          <w:lang w:val="en-US" w:eastAsia="zh-CN"/>
        </w:rPr>
        <w:t>3.5万美元的家庭，他们的支出占到DG营收的六成。</w:t>
      </w:r>
    </w:p>
    <w:p>
      <w:pPr>
        <w:jc w:val="center"/>
        <w:rPr>
          <w:rFonts w:hint="eastAsia" w:ascii="方正仿宋_GBK" w:hAnsi="方正仿宋_GBK" w:eastAsia="方正仿宋_GBK" w:cs="方正仿宋_GBK"/>
          <w:sz w:val="22"/>
          <w:szCs w:val="28"/>
          <w:lang w:eastAsia="zh-CN"/>
        </w:rPr>
      </w:pPr>
      <w:r>
        <w:rPr>
          <w:rFonts w:hint="eastAsia" w:ascii="方正仿宋_GBK" w:hAnsi="方正仿宋_GBK" w:eastAsia="方正仿宋_GBK" w:cs="方正仿宋_GBK"/>
          <w:sz w:val="22"/>
          <w:szCs w:val="28"/>
        </w:rPr>
        <w:drawing>
          <wp:anchor distT="0" distB="0" distL="114300" distR="114300" simplePos="0" relativeHeight="251663360" behindDoc="0" locked="0" layoutInCell="1" allowOverlap="1">
            <wp:simplePos x="0" y="0"/>
            <wp:positionH relativeFrom="column">
              <wp:posOffset>509905</wp:posOffset>
            </wp:positionH>
            <wp:positionV relativeFrom="paragraph">
              <wp:posOffset>215900</wp:posOffset>
            </wp:positionV>
            <wp:extent cx="4391660" cy="2471420"/>
            <wp:effectExtent l="0" t="0" r="8890" b="5080"/>
            <wp:wrapTopAndBottom/>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11"/>
                    <a:stretch>
                      <a:fillRect/>
                    </a:stretch>
                  </pic:blipFill>
                  <pic:spPr>
                    <a:xfrm>
                      <a:off x="0" y="0"/>
                      <a:ext cx="4391660" cy="2471420"/>
                    </a:xfrm>
                    <a:prstGeom prst="rect">
                      <a:avLst/>
                    </a:prstGeom>
                    <a:noFill/>
                    <a:ln>
                      <a:noFill/>
                    </a:ln>
                  </pic:spPr>
                </pic:pic>
              </a:graphicData>
            </a:graphic>
          </wp:anchor>
        </w:drawing>
      </w:r>
      <w:r>
        <w:rPr>
          <w:rFonts w:hint="eastAsia" w:ascii="方正仿宋_GBK" w:hAnsi="方正仿宋_GBK" w:eastAsia="方正仿宋_GBK" w:cs="方正仿宋_GBK"/>
          <w:sz w:val="22"/>
          <w:szCs w:val="28"/>
          <w:lang w:eastAsia="zh-CN"/>
        </w:rPr>
        <w:t>（图：Dollar General的门店）</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Dollar General</w:t>
      </w:r>
      <w:r>
        <w:rPr>
          <w:rFonts w:hint="eastAsia" w:asciiTheme="minorEastAsia" w:hAnsiTheme="minorEastAsia" w:eastAsiaTheme="minorEastAsia" w:cstheme="minorEastAsia"/>
          <w:sz w:val="32"/>
          <w:szCs w:val="32"/>
          <w:lang w:val="en-US" w:eastAsia="zh-CN"/>
        </w:rPr>
        <w:t>在全美48个州开设了2万多家门店</w:t>
      </w:r>
      <w:r>
        <w:rPr>
          <w:rFonts w:hint="eastAsia" w:asciiTheme="minorEastAsia" w:hAnsiTheme="minorEastAsia" w:eastAsiaTheme="minorEastAsia" w:cstheme="minorEastAsia"/>
          <w:sz w:val="32"/>
          <w:szCs w:val="32"/>
          <w:lang w:eastAsia="zh-CN"/>
        </w:rPr>
        <w:t>，主要服务农村村镇和较贫困的城市社区。公司通过规模直采和自有品牌来压缩成本，加之销售规模可观，盈利能力一直颇为优秀。2023年时，</w:t>
      </w:r>
      <w:r>
        <w:rPr>
          <w:rFonts w:hint="eastAsia" w:asciiTheme="minorEastAsia" w:hAnsiTheme="minorEastAsia" w:eastAsiaTheme="minorEastAsia" w:cstheme="minorEastAsia"/>
          <w:sz w:val="32"/>
          <w:szCs w:val="32"/>
          <w:lang w:val="en-US" w:eastAsia="zh-CN"/>
        </w:rPr>
        <w:t>DG</w:t>
      </w:r>
      <w:r>
        <w:rPr>
          <w:rFonts w:hint="eastAsia" w:asciiTheme="minorEastAsia" w:hAnsiTheme="minorEastAsia" w:eastAsiaTheme="minorEastAsia" w:cstheme="minorEastAsia"/>
          <w:sz w:val="32"/>
          <w:szCs w:val="32"/>
          <w:lang w:eastAsia="zh-CN"/>
        </w:rPr>
        <w:t>在美国企业500强中位列108名，在全球企业500强中排名第393位。</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针对本次财报业绩不佳，</w:t>
      </w:r>
      <w:r>
        <w:rPr>
          <w:rFonts w:hint="eastAsia" w:asciiTheme="minorEastAsia" w:hAnsiTheme="minorEastAsia" w:eastAsiaTheme="minorEastAsia" w:cstheme="minorEastAsia"/>
          <w:sz w:val="32"/>
          <w:szCs w:val="32"/>
        </w:rPr>
        <w:t>公司</w:t>
      </w:r>
      <w:r>
        <w:rPr>
          <w:rFonts w:hint="eastAsia" w:asciiTheme="minorEastAsia" w:hAnsiTheme="minorEastAsia" w:eastAsiaTheme="minorEastAsia" w:cstheme="minorEastAsia"/>
          <w:sz w:val="32"/>
          <w:szCs w:val="32"/>
          <w:lang w:eastAsia="zh-CN"/>
        </w:rPr>
        <w:t>解释道，是因为“公司的核心客户（低收入消费者）面临更加严峻的财务形势——他们通常是最早受到负面或经济不确定性影响的人，同时也是最后感知经济发展的人群。”</w:t>
      </w:r>
      <w:r>
        <w:rPr>
          <w:rFonts w:hint="eastAsia" w:asciiTheme="minorEastAsia" w:hAnsiTheme="minorEastAsia" w:eastAsiaTheme="minorEastAsia" w:cstheme="minorEastAsia"/>
          <w:sz w:val="32"/>
          <w:szCs w:val="32"/>
          <w:lang w:val="en-US" w:eastAsia="zh-CN"/>
        </w:rPr>
        <w:t>DG称，在</w:t>
      </w:r>
      <w:r>
        <w:rPr>
          <w:rFonts w:hint="eastAsia" w:asciiTheme="minorEastAsia" w:hAnsiTheme="minorEastAsia" w:eastAsiaTheme="minorEastAsia" w:cstheme="minorEastAsia"/>
          <w:sz w:val="32"/>
          <w:szCs w:val="32"/>
          <w:lang w:eastAsia="zh-CN"/>
        </w:rPr>
        <w:t>每个月的最后一周，都会出现营收显著疲软的情况；即，其主要客户群体，到月底连“一元店”都进不起了。</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经济学家们</w:t>
      </w:r>
      <w:r>
        <w:rPr>
          <w:rFonts w:hint="eastAsia" w:asciiTheme="minorEastAsia" w:hAnsiTheme="minorEastAsia" w:eastAsiaTheme="minorEastAsia" w:cstheme="minorEastAsia"/>
          <w:sz w:val="32"/>
          <w:szCs w:val="32"/>
        </w:rPr>
        <w:t>认为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作为美国最大的折扣零售商</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b/>
          <w:bCs/>
          <w:sz w:val="32"/>
          <w:szCs w:val="32"/>
        </w:rPr>
        <w:t>DG的业绩是观察中低收入消费者财务状况的晴雨表</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业绩</w:t>
      </w:r>
      <w:r>
        <w:rPr>
          <w:rFonts w:hint="eastAsia" w:asciiTheme="minorEastAsia" w:hAnsiTheme="minorEastAsia" w:eastAsiaTheme="minorEastAsia" w:cstheme="minorEastAsia"/>
          <w:sz w:val="32"/>
          <w:szCs w:val="32"/>
          <w:lang w:eastAsia="zh-CN"/>
        </w:rPr>
        <w:t>不振，</w:t>
      </w:r>
      <w:r>
        <w:rPr>
          <w:rFonts w:hint="eastAsia" w:asciiTheme="minorEastAsia" w:hAnsiTheme="minorEastAsia" w:eastAsiaTheme="minorEastAsia" w:cstheme="minorEastAsia"/>
          <w:sz w:val="32"/>
          <w:szCs w:val="32"/>
        </w:rPr>
        <w:t>说明美国</w:t>
      </w:r>
      <w:r>
        <w:rPr>
          <w:rFonts w:hint="eastAsia" w:asciiTheme="minorEastAsia" w:hAnsiTheme="minorEastAsia" w:eastAsiaTheme="minorEastAsia" w:cstheme="minorEastAsia"/>
          <w:sz w:val="32"/>
          <w:szCs w:val="32"/>
          <w:lang w:eastAsia="zh-CN"/>
        </w:rPr>
        <w:t>部分</w:t>
      </w:r>
      <w:r>
        <w:rPr>
          <w:rFonts w:hint="eastAsia" w:asciiTheme="minorEastAsia" w:hAnsiTheme="minorEastAsia" w:eastAsiaTheme="minorEastAsia" w:cstheme="minorEastAsia"/>
          <w:sz w:val="32"/>
          <w:szCs w:val="32"/>
        </w:rPr>
        <w:t>消费</w:t>
      </w:r>
      <w:r>
        <w:rPr>
          <w:rFonts w:hint="eastAsia" w:asciiTheme="minorEastAsia" w:hAnsiTheme="minorEastAsia" w:eastAsiaTheme="minorEastAsia" w:cstheme="minorEastAsia"/>
          <w:sz w:val="32"/>
          <w:szCs w:val="32"/>
          <w:lang w:eastAsia="zh-CN"/>
        </w:rPr>
        <w:t>者的支出</w:t>
      </w:r>
      <w:r>
        <w:rPr>
          <w:rFonts w:hint="eastAsia" w:asciiTheme="minorEastAsia" w:hAnsiTheme="minorEastAsia" w:eastAsiaTheme="minorEastAsia" w:cstheme="minorEastAsia"/>
          <w:sz w:val="32"/>
          <w:szCs w:val="32"/>
        </w:rPr>
        <w:t>下</w:t>
      </w:r>
      <w:r>
        <w:rPr>
          <w:rFonts w:hint="eastAsia" w:asciiTheme="minorEastAsia" w:hAnsiTheme="minorEastAsia" w:eastAsiaTheme="minorEastAsia" w:cstheme="minorEastAsia"/>
          <w:sz w:val="32"/>
          <w:szCs w:val="32"/>
          <w:lang w:eastAsia="zh-CN"/>
        </w:rPr>
        <w:t>滑</w:t>
      </w:r>
      <w:r>
        <w:rPr>
          <w:rFonts w:hint="eastAsia" w:asciiTheme="minorEastAsia" w:hAnsiTheme="minorEastAsia" w:eastAsiaTheme="minorEastAsia" w:cstheme="minorEastAsia"/>
          <w:sz w:val="32"/>
          <w:szCs w:val="32"/>
        </w:rPr>
        <w:t>趋势仍在持续</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并可能在未来几个月内恶化</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与此同时，市场中的高收入群体，其消费放缓的趋势明显</w:t>
      </w:r>
      <w:r>
        <w:rPr>
          <w:rFonts w:hint="eastAsia" w:asciiTheme="minorEastAsia" w:hAnsiTheme="minorEastAsia" w:eastAsiaTheme="minorEastAsia" w:cstheme="minorEastAsia"/>
          <w:sz w:val="32"/>
          <w:szCs w:val="32"/>
          <w:lang w:eastAsia="zh-CN"/>
        </w:rPr>
        <w:t>。本季度，奢侈品企业的业绩亦差强人意。就品牌而言，业绩出现严重分化，只有普拉达</w:t>
      </w:r>
      <w:r>
        <w:rPr>
          <w:rFonts w:hint="eastAsia" w:asciiTheme="minorEastAsia" w:hAnsiTheme="minorEastAsia" w:eastAsiaTheme="minorEastAsia" w:cstheme="minorEastAsia"/>
          <w:sz w:val="32"/>
          <w:szCs w:val="32"/>
          <w:lang w:val="en-US" w:eastAsia="zh-CN"/>
        </w:rPr>
        <w:t>和爱马仕表现亮眼，其余</w:t>
      </w:r>
      <w:r>
        <w:rPr>
          <w:rFonts w:hint="eastAsia" w:asciiTheme="minorEastAsia" w:hAnsiTheme="minorEastAsia" w:eastAsiaTheme="minorEastAsia" w:cstheme="minorEastAsia"/>
          <w:sz w:val="32"/>
          <w:szCs w:val="32"/>
          <w:lang w:eastAsia="zh-CN"/>
        </w:rPr>
        <w:t>大部分奢侈品牌都显示出消费疲软的态势。</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有研究机构称，对奢侈品的需求在</w:t>
      </w:r>
      <w:r>
        <w:rPr>
          <w:rFonts w:hint="eastAsia" w:asciiTheme="minorEastAsia" w:hAnsiTheme="minorEastAsia" w:eastAsiaTheme="minorEastAsia" w:cstheme="minorEastAsia"/>
          <w:sz w:val="32"/>
          <w:szCs w:val="32"/>
          <w:lang w:val="en-US" w:eastAsia="zh-CN"/>
        </w:rPr>
        <w:t>2023年一季度达到顶峰，随后恢复正常，今年二季度开始出现下滑迹象。尽管各大品牌推出多重举措，加大促销力度，但今年行业的总体增长大概率收负。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季度的上市公司财报披露已接近尾声。消费类企业的财报数据显示，美国市场上高收入阶层和低收入阶层的消费支出都在放缓，是中等收入群体在撑起消费市场的“大梁”，本财季，美国第一大零售商沃尔玛（包括其子品牌“山姆超市”）和第二大零售商塔吉特，均交出了积极的报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沃尔玛的全球电子商务销售额增长了21%，美国市场增长了22%，同时还上调了全年业绩指引，预计全年销售额增长3.75%至4.75%。塔吉特在连续四个季度销售下滑之后，恢复了季度增长。</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沃尔玛和塔吉特的营收表现说明，一方面，其核心的中产客户群体，依然维持着稳定的消费能力；另一方面，其主动积极的打折活动，开始挤压其他零售商的业绩——不但吸引了高收入群体的光顾，当推出更有性价比的商品时，还直接冲击到下沉市场。</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val="en-US" w:eastAsia="zh-CN"/>
        </w:rPr>
      </w:pPr>
      <w:r>
        <w:rPr>
          <w:rFonts w:hint="eastAsia" w:asciiTheme="minorEastAsia" w:hAnsiTheme="minorEastAsia" w:eastAsiaTheme="minorEastAsia" w:cstheme="minorEastAsia"/>
          <w:sz w:val="32"/>
          <w:szCs w:val="32"/>
          <w:lang w:eastAsia="zh-CN"/>
        </w:rPr>
        <w:t>综上所述，当前美国高低两个收入阶层的消费处于衰退期，中等收入阶层支撑整个消费数据。</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b/>
          <w:bCs/>
          <w:color w:val="0000FF"/>
          <w:sz w:val="32"/>
          <w:szCs w:val="32"/>
          <w:lang w:eastAsia="zh-CN"/>
        </w:rPr>
      </w:pPr>
      <w:r>
        <w:rPr>
          <w:rFonts w:hint="eastAsia" w:asciiTheme="minorEastAsia" w:hAnsiTheme="minorEastAsia" w:eastAsiaTheme="minorEastAsia" w:cstheme="minorEastAsia"/>
          <w:b/>
          <w:bCs/>
          <w:color w:val="0000FF"/>
          <w:sz w:val="32"/>
          <w:szCs w:val="32"/>
          <w:lang w:eastAsia="zh-CN"/>
        </w:rPr>
        <w:t>三、“口红效应”与经济周期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同天，</w:t>
      </w:r>
      <w:r>
        <w:rPr>
          <w:rFonts w:hint="eastAsia" w:asciiTheme="minorEastAsia" w:hAnsiTheme="minorEastAsia" w:eastAsiaTheme="minorEastAsia" w:cstheme="minorEastAsia"/>
          <w:sz w:val="32"/>
          <w:szCs w:val="32"/>
        </w:rPr>
        <w:t>巴菲特建仓的</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ULTA美容</w:t>
      </w:r>
      <w:r>
        <w:rPr>
          <w:rFonts w:hint="eastAsia" w:asciiTheme="minorEastAsia" w:hAnsiTheme="minorEastAsia" w:eastAsiaTheme="minorEastAsia" w:cstheme="minorEastAsia"/>
          <w:sz w:val="32"/>
          <w:szCs w:val="32"/>
          <w:lang w:eastAsia="zh-CN"/>
        </w:rPr>
        <w:t>”也公布了</w:t>
      </w:r>
      <w:r>
        <w:rPr>
          <w:rFonts w:hint="eastAsia" w:asciiTheme="minorEastAsia" w:hAnsiTheme="minorEastAsia" w:eastAsiaTheme="minorEastAsia" w:cstheme="minorEastAsia"/>
          <w:sz w:val="32"/>
          <w:szCs w:val="32"/>
        </w:rPr>
        <w:t>财报</w:t>
      </w:r>
      <w:r>
        <w:rPr>
          <w:rFonts w:hint="eastAsia" w:asciiTheme="minorEastAsia" w:hAnsiTheme="minorEastAsia" w:eastAsiaTheme="minorEastAsia" w:cstheme="minorEastAsia"/>
          <w:sz w:val="32"/>
          <w:szCs w:val="32"/>
          <w:lang w:eastAsia="zh-CN"/>
        </w:rPr>
        <w:t>，业绩</w:t>
      </w:r>
      <w:r>
        <w:rPr>
          <w:rFonts w:hint="eastAsia" w:asciiTheme="minorEastAsia" w:hAnsiTheme="minorEastAsia" w:eastAsiaTheme="minorEastAsia" w:cstheme="minorEastAsia"/>
          <w:sz w:val="32"/>
          <w:szCs w:val="32"/>
        </w:rPr>
        <w:t>不及预期</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股价下</w:t>
      </w:r>
      <w:r>
        <w:rPr>
          <w:rFonts w:hint="eastAsia" w:asciiTheme="minorEastAsia" w:hAnsiTheme="minorEastAsia" w:eastAsiaTheme="minorEastAsia" w:cstheme="minorEastAsia"/>
          <w:sz w:val="32"/>
          <w:szCs w:val="32"/>
          <w:lang w:eastAsia="zh-CN"/>
        </w:rPr>
        <w:t>挫。</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“ULTA美容”（Ulta Beauty, Inc）是一家美国大型化妆品连锁零售商</w:t>
      </w:r>
      <w:r>
        <w:rPr>
          <w:rFonts w:hint="eastAsia" w:asciiTheme="minorEastAsia" w:hAnsiTheme="minorEastAsia" w:eastAsiaTheme="minorEastAsia" w:cstheme="minorEastAsia"/>
          <w:sz w:val="32"/>
          <w:szCs w:val="32"/>
          <w:lang w:eastAsia="zh-CN"/>
        </w:rPr>
        <w:t>，创立于1990年，在美国50个州拥有超过1300家门店，覆盖高中低端500多个品牌。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lang w:eastAsia="zh-CN"/>
        </w:rPr>
      </w:pPr>
      <w:r>
        <w:rPr>
          <w:rFonts w:hint="eastAsia" w:asciiTheme="minorEastAsia" w:hAnsiTheme="minorEastAsia" w:eastAsiaTheme="minorEastAsia" w:cstheme="minorEastAsia"/>
          <w:sz w:val="32"/>
          <w:szCs w:val="32"/>
          <w:lang w:eastAsia="zh-CN"/>
        </w:rPr>
        <w:t>Ulta Beauty不仅是美国最大的一站式美容产品零售商，主营业务涵盖大众化妆品和高端品牌的销售，并提供店内美容服务。其独特的市场定位和丰富的产品线，使其在美国美妆零售市场占据了重要地位。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drawing>
          <wp:anchor distT="0" distB="0" distL="114300" distR="114300" simplePos="0" relativeHeight="251664384" behindDoc="0" locked="0" layoutInCell="1" allowOverlap="1">
            <wp:simplePos x="0" y="0"/>
            <wp:positionH relativeFrom="column">
              <wp:posOffset>2375535</wp:posOffset>
            </wp:positionH>
            <wp:positionV relativeFrom="paragraph">
              <wp:posOffset>281305</wp:posOffset>
            </wp:positionV>
            <wp:extent cx="3018790" cy="2014220"/>
            <wp:effectExtent l="0" t="0" r="10160" b="5080"/>
            <wp:wrapSquare wrapText="bothSides"/>
            <wp:docPr id="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
                    <pic:cNvPicPr>
                      <a:picLocks noChangeAspect="1"/>
                    </pic:cNvPicPr>
                  </pic:nvPicPr>
                  <pic:blipFill>
                    <a:blip r:embed="rId12"/>
                    <a:stretch>
                      <a:fillRect/>
                    </a:stretch>
                  </pic:blipFill>
                  <pic:spPr>
                    <a:xfrm>
                      <a:off x="0" y="0"/>
                      <a:ext cx="3018790" cy="201422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巴菲特旗下伯克希尔哈撒韦公司今年二季度开始建仓Ulta Beauty，持股数达69万股，市值约2.66亿美元。一度有人分析，巴菲特是从“口红效应”考虑，买入该企业股份的。</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所谓“口红效应”，指在经济不景气或经济衰退时期，消费者可能会减少在高价值商品（如房产、汽车）上的支出，转而购买一些相对便宜但能带来心理慰藉的小奢侈品，如口红。这种现象反映出，消费者在经济压力下仍然希望保持一定生活品质的心理状态。</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市场对于巴菲特购买Ulta Beauty的动机，大多是这样解释的：</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首先是经济的不确定性</w:t>
      </w:r>
      <w:r>
        <w:rPr>
          <w:rFonts w:hint="eastAsia" w:asciiTheme="minorEastAsia" w:hAnsiTheme="minorEastAsia" w:eastAsiaTheme="minorEastAsia" w:cstheme="minorEastAsia"/>
          <w:sz w:val="32"/>
          <w:szCs w:val="32"/>
          <w:lang w:eastAsia="zh-CN"/>
        </w:rPr>
        <w:t>。如果巴菲特认为，当前或未来的经济环境存在不确定性或有衰退的风险，他可能会寻找那些即使在经济不景气时期也能保持稳定需求的企业。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第二，行业特性</w:t>
      </w:r>
      <w:r>
        <w:rPr>
          <w:rFonts w:hint="eastAsia" w:asciiTheme="minorEastAsia" w:hAnsiTheme="minorEastAsia" w:eastAsiaTheme="minorEastAsia" w:cstheme="minorEastAsia"/>
          <w:sz w:val="32"/>
          <w:szCs w:val="32"/>
          <w:lang w:eastAsia="zh-CN"/>
        </w:rPr>
        <w:t>。美容产品行业被视为具有抗衰退特性的行业，因为它们提供的是能够直接提升消费者自信和幸福感的产品，而这些产品的价格相对较低，不会对家庭预算造成太大压力。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第三，企业特点。</w:t>
      </w:r>
      <w:r>
        <w:rPr>
          <w:rFonts w:hint="eastAsia" w:asciiTheme="minorEastAsia" w:hAnsiTheme="minorEastAsia" w:eastAsiaTheme="minorEastAsia" w:cstheme="minorEastAsia"/>
          <w:sz w:val="32"/>
          <w:szCs w:val="32"/>
          <w:lang w:eastAsia="zh-CN"/>
        </w:rPr>
        <w:t>Ulta Beauty作为美国最大的一站式美容产品零售商，拥有广泛的产品线和强大的市场地位，能够在经济低迷时期吸引寻求性价比的消费者。</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第四，长期增长潜力。</w:t>
      </w:r>
      <w:r>
        <w:rPr>
          <w:rFonts w:hint="eastAsia" w:asciiTheme="minorEastAsia" w:hAnsiTheme="minorEastAsia" w:eastAsiaTheme="minorEastAsia" w:cstheme="minorEastAsia"/>
          <w:sz w:val="32"/>
          <w:szCs w:val="32"/>
          <w:lang w:eastAsia="zh-CN"/>
        </w:rPr>
        <w:t>巴菲特可能还看好Ulta Beauty的长期增长潜力，尤其是在全球美容和个人护理行业持续增长的背景之下。</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总之，从大家对巴菲特购买Ulta Beauty股份的分析，我们看到了对经济周期的理解、对消费者行为的洞察，以及对行业潜在抗风险能力的判断。</w:t>
      </w:r>
    </w:p>
    <w:p>
      <w:pPr>
        <w:rPr>
          <w:rFonts w:hint="default" w:ascii="Calibri" w:hAnsi="Calibri" w:eastAsia="宋体" w:cs="Calibri"/>
          <w:b/>
          <w:bCs/>
          <w:color w:val="0000FF"/>
          <w:highlight w:val="yellow"/>
          <w:lang w:val="en-US" w:eastAsia="zh-CN"/>
        </w:rPr>
      </w:pPr>
    </w:p>
    <w:p>
      <w:pPr>
        <w:rPr>
          <w:rFonts w:hint="default" w:ascii="Calibri" w:hAnsi="Calibri" w:eastAsia="宋体" w:cs="Calibri"/>
          <w:b/>
          <w:bCs/>
          <w:color w:val="0000FF"/>
          <w:highlight w:val="yellow"/>
          <w:lang w:val="en-US" w:eastAsia="zh-CN"/>
        </w:rPr>
      </w:pPr>
    </w:p>
    <w:p>
      <w:pPr>
        <w:ind w:left="0" w:leftChars="0" w:firstLine="0" w:firstLineChars="0"/>
        <w:rPr>
          <w:rFonts w:hint="default" w:ascii="Calibri" w:hAnsi="Calibri" w:eastAsia="宋体" w:cs="Calibri"/>
          <w:b/>
          <w:bCs/>
          <w:color w:val="0000FF"/>
          <w:highlight w:val="yellow"/>
          <w:lang w:val="en-US" w:eastAsia="zh-CN"/>
        </w:rPr>
      </w:pPr>
    </w:p>
    <w:p>
      <w:pPr>
        <w:rPr>
          <w:rFonts w:hint="default" w:ascii="Calibri" w:hAnsi="Calibri" w:eastAsia="宋体" w:cs="Calibri"/>
          <w:b/>
          <w:bCs/>
          <w:color w:val="0000FF"/>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8月31日（周六）</w:t>
      </w:r>
    </w:p>
    <w:p>
      <w:pPr>
        <w:jc w:val="center"/>
        <w:rPr>
          <w:rFonts w:hint="default" w:ascii="Calibri" w:hAnsi="Calibri" w:eastAsia="宋体" w:cs="Calibri"/>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从PCE看美国的消费与经济</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8月29日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w:t>
      </w:r>
      <w:r>
        <w:rPr>
          <w:rFonts w:hint="eastAsia" w:asciiTheme="minorEastAsia" w:hAnsiTheme="minorEastAsia" w:eastAsiaTheme="minorEastAsia" w:cstheme="minorEastAsia"/>
          <w:sz w:val="32"/>
          <w:szCs w:val="32"/>
          <w:lang w:eastAsia="zh-CN"/>
        </w:rPr>
        <w:t>四），</w:t>
      </w:r>
      <w:r>
        <w:rPr>
          <w:rFonts w:hint="eastAsia" w:asciiTheme="minorEastAsia" w:hAnsiTheme="minorEastAsia" w:eastAsiaTheme="minorEastAsia" w:cstheme="minorEastAsia"/>
          <w:sz w:val="32"/>
          <w:szCs w:val="32"/>
        </w:rPr>
        <w:t>美国经济分析局</w:t>
      </w:r>
      <w:r>
        <w:rPr>
          <w:rFonts w:hint="eastAsia" w:asciiTheme="minorEastAsia" w:hAnsiTheme="minorEastAsia" w:eastAsiaTheme="minorEastAsia" w:cstheme="minorEastAsia"/>
          <w:sz w:val="32"/>
          <w:szCs w:val="32"/>
          <w:lang w:eastAsia="zh-CN"/>
        </w:rPr>
        <w:t>公布</w:t>
      </w:r>
      <w:r>
        <w:rPr>
          <w:rFonts w:hint="eastAsia" w:asciiTheme="minorEastAsia" w:hAnsiTheme="minorEastAsia" w:eastAsiaTheme="minorEastAsia" w:cstheme="minorEastAsia"/>
          <w:sz w:val="32"/>
          <w:szCs w:val="32"/>
        </w:rPr>
        <w:t>二季度GDP</w:t>
      </w:r>
      <w:r>
        <w:rPr>
          <w:rFonts w:hint="eastAsia" w:asciiTheme="minorEastAsia" w:hAnsiTheme="minorEastAsia" w:eastAsiaTheme="minorEastAsia" w:cstheme="minorEastAsia"/>
          <w:sz w:val="32"/>
          <w:szCs w:val="32"/>
          <w:lang w:eastAsia="zh-CN"/>
        </w:rPr>
        <w:t>和消费者支出相关数据（见表格一）。</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数据显示，二季度GDP被显著上修，年化环比从2.8%上修至3%，其传达的明确信号是，美国经济并未衰退。</w:t>
      </w:r>
      <w:r>
        <w:rPr>
          <w:rFonts w:hint="eastAsia" w:asciiTheme="minorEastAsia" w:hAnsiTheme="minorEastAsia" w:eastAsiaTheme="minorEastAsia" w:cstheme="minorEastAsia"/>
          <w:sz w:val="32"/>
          <w:szCs w:val="32"/>
          <w:lang w:val="en-US" w:eastAsia="zh-CN"/>
        </w:rPr>
        <w:t>美国经济分析局在其新闻稿中解释说，与一季度相比，二季度实际GDP的加速，主要反映了私人库存投资的上升和消费者支出的加速。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b/>
          <w:bCs/>
          <w:sz w:val="32"/>
          <w:szCs w:val="32"/>
          <w:lang w:eastAsia="zh-CN"/>
        </w:rPr>
        <w:t>私人库存投资</w:t>
      </w:r>
      <w:r>
        <w:rPr>
          <w:rFonts w:hint="eastAsia" w:asciiTheme="minorEastAsia" w:hAnsiTheme="minorEastAsia" w:eastAsiaTheme="minorEastAsia" w:cstheme="minorEastAsia"/>
          <w:sz w:val="32"/>
          <w:szCs w:val="32"/>
          <w:lang w:eastAsia="zh-CN"/>
        </w:rPr>
        <w:t>”是指私营企业购买和积累的商品、原材料和其他存货。这包括企业购买的商品和服务，但尚未出售给最终消费者的存货。这是一个重要的经济指标，它反映了企业对未来销售和生产的预期。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一般来说，当企业对未来经济前景持乐观态度时，它们倾向于增加库存投资，反之亦然。但</w:t>
      </w:r>
      <w:r>
        <w:rPr>
          <w:rFonts w:hint="eastAsia" w:asciiTheme="minorEastAsia" w:hAnsiTheme="minorEastAsia" w:eastAsiaTheme="minorEastAsia" w:cstheme="minorEastAsia"/>
          <w:b/>
          <w:bCs/>
          <w:sz w:val="32"/>
          <w:szCs w:val="32"/>
          <w:lang w:eastAsia="zh-CN"/>
        </w:rPr>
        <w:t>当地缘政治风险等不确定因素凸现时，企业也会主动加库存投资</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528" w:firstLineChars="200"/>
        <w:textAlignment w:val="auto"/>
        <w:outlineLvl w:val="9"/>
        <w:rPr>
          <w:rFonts w:hint="eastAsia"/>
          <w:spacing w:val="-20"/>
          <w:sz w:val="32"/>
          <w:szCs w:val="32"/>
          <w:lang w:eastAsia="zh-CN"/>
        </w:rPr>
      </w:pPr>
      <w:r>
        <w:rPr>
          <w:rFonts w:hint="eastAsia" w:ascii="方正小标宋_GBK" w:hAnsi="方正小标宋_GBK" w:eastAsia="方正小标宋_GBK" w:cs="方正小标宋_GBK"/>
          <w:b/>
          <w:bCs/>
          <w:color w:val="0000FF"/>
          <w:spacing w:val="-20"/>
          <w:sz w:val="32"/>
          <w:szCs w:val="32"/>
          <w:highlight w:val="yellow"/>
          <w:lang w:val="en-US" w:eastAsia="zh-CN"/>
        </w:rPr>
        <w:drawing>
          <wp:anchor distT="0" distB="0" distL="114300" distR="114300" simplePos="0" relativeHeight="251665408" behindDoc="0" locked="0" layoutInCell="1" allowOverlap="1">
            <wp:simplePos x="0" y="0"/>
            <wp:positionH relativeFrom="column">
              <wp:posOffset>190500</wp:posOffset>
            </wp:positionH>
            <wp:positionV relativeFrom="paragraph">
              <wp:posOffset>31115</wp:posOffset>
            </wp:positionV>
            <wp:extent cx="5081270" cy="1212850"/>
            <wp:effectExtent l="0" t="0" r="5080" b="6350"/>
            <wp:wrapTopAndBottom/>
            <wp:docPr id="2" name="图片 2" descr="图片2-8月3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8月31日"/>
                    <pic:cNvPicPr>
                      <a:picLocks noChangeAspect="1"/>
                    </pic:cNvPicPr>
                  </pic:nvPicPr>
                  <pic:blipFill>
                    <a:blip r:embed="rId13"/>
                    <a:stretch>
                      <a:fillRect/>
                    </a:stretch>
                  </pic:blipFill>
                  <pic:spPr>
                    <a:xfrm>
                      <a:off x="0" y="0"/>
                      <a:ext cx="5081270" cy="1212850"/>
                    </a:xfrm>
                    <a:prstGeom prst="rect">
                      <a:avLst/>
                    </a:prstGeom>
                  </pic:spPr>
                </pic:pic>
              </a:graphicData>
            </a:graphic>
          </wp:anchor>
        </w:drawing>
      </w:r>
      <w:r>
        <w:rPr>
          <w:rFonts w:hint="eastAsia"/>
          <w:b/>
          <w:bCs/>
          <w:spacing w:val="-20"/>
          <w:sz w:val="32"/>
          <w:szCs w:val="32"/>
          <w:lang w:eastAsia="zh-CN"/>
        </w:rPr>
        <w:t>“私人库存投资”的增加，在美国的进口数据中也有所体现</w:t>
      </w:r>
      <w:r>
        <w:rPr>
          <w:rFonts w:hint="eastAsia"/>
          <w:spacing w:val="-20"/>
          <w:sz w:val="32"/>
          <w:szCs w:val="32"/>
          <w:lang w:eastAsia="zh-CN"/>
        </w:rPr>
        <w:t>（见图）。</w:t>
      </w:r>
    </w:p>
    <w:p>
      <w:pPr>
        <w:jc w:val="center"/>
        <w:rPr>
          <w:rFonts w:hint="eastAsia" w:ascii="仿宋_GB2312" w:hAnsi="仿宋_GB2312" w:eastAsia="仿宋_GB2312" w:cs="仿宋_GB2312"/>
          <w:lang w:eastAsia="zh-CN"/>
        </w:rPr>
      </w:pPr>
      <w:r>
        <w:rPr>
          <w:rFonts w:hint="eastAsia" w:ascii="方正仿宋_GBK" w:hAnsi="方正仿宋_GBK" w:eastAsia="方正仿宋_GBK" w:cs="方正仿宋_GBK"/>
          <w:sz w:val="24"/>
          <w:szCs w:val="24"/>
        </w:rPr>
        <w:drawing>
          <wp:anchor distT="0" distB="0" distL="114300" distR="114300" simplePos="0" relativeHeight="251666432" behindDoc="0" locked="0" layoutInCell="1" allowOverlap="1">
            <wp:simplePos x="0" y="0"/>
            <wp:positionH relativeFrom="column">
              <wp:posOffset>935990</wp:posOffset>
            </wp:positionH>
            <wp:positionV relativeFrom="paragraph">
              <wp:posOffset>40005</wp:posOffset>
            </wp:positionV>
            <wp:extent cx="3362325" cy="2347595"/>
            <wp:effectExtent l="0" t="0" r="9525" b="14605"/>
            <wp:wrapTopAndBottom/>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pic:cNvPicPr>
                  </pic:nvPicPr>
                  <pic:blipFill>
                    <a:blip r:embed="rId14"/>
                    <a:stretch>
                      <a:fillRect/>
                    </a:stretch>
                  </pic:blipFill>
                  <pic:spPr>
                    <a:xfrm>
                      <a:off x="0" y="0"/>
                      <a:ext cx="3362325" cy="2347595"/>
                    </a:xfrm>
                    <a:prstGeom prst="rect">
                      <a:avLst/>
                    </a:prstGeom>
                    <a:noFill/>
                    <a:ln>
                      <a:noFill/>
                    </a:ln>
                  </pic:spPr>
                </pic:pic>
              </a:graphicData>
            </a:graphic>
          </wp:anchor>
        </w:drawing>
      </w:r>
      <w:r>
        <w:rPr>
          <w:rFonts w:hint="eastAsia" w:ascii="方正仿宋_GBK" w:hAnsi="方正仿宋_GBK" w:eastAsia="方正仿宋_GBK" w:cs="方正仿宋_GBK"/>
          <w:sz w:val="24"/>
          <w:szCs w:val="24"/>
          <w:lang w:eastAsia="zh-CN"/>
        </w:rPr>
        <w:t>（图：美国的月度进口额，其中蓝色部分为从中国进口的金额）</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数据显示，</w:t>
      </w:r>
      <w:r>
        <w:rPr>
          <w:rFonts w:hint="eastAsia" w:asciiTheme="minorEastAsia" w:hAnsiTheme="minorEastAsia" w:eastAsiaTheme="minorEastAsia" w:cstheme="minorEastAsia"/>
          <w:b/>
          <w:bCs/>
          <w:sz w:val="32"/>
          <w:szCs w:val="32"/>
        </w:rPr>
        <w:t>美国经济</w:t>
      </w: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尤其是消费</w:t>
      </w:r>
      <w:r>
        <w:rPr>
          <w:rFonts w:hint="eastAsia" w:asciiTheme="minorEastAsia" w:hAnsiTheme="minorEastAsia" w:eastAsiaTheme="minorEastAsia" w:cstheme="minorEastAsia"/>
          <w:b/>
          <w:bCs/>
          <w:sz w:val="32"/>
          <w:szCs w:val="32"/>
          <w:lang w:eastAsia="zh-CN"/>
        </w:rPr>
        <w:t>，仍具韧</w:t>
      </w:r>
      <w:r>
        <w:rPr>
          <w:rFonts w:hint="eastAsia" w:asciiTheme="minorEastAsia" w:hAnsiTheme="minorEastAsia" w:eastAsiaTheme="minorEastAsia" w:cstheme="minorEastAsia"/>
          <w:b/>
          <w:bCs/>
          <w:sz w:val="32"/>
          <w:szCs w:val="32"/>
        </w:rPr>
        <w:t>性</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PCE，即“个人消费支出”</w:t>
      </w:r>
      <w:r>
        <w:rPr>
          <w:rFonts w:hint="eastAsia" w:asciiTheme="minorEastAsia" w:hAnsiTheme="minorEastAsia" w:eastAsiaTheme="minorEastAsia" w:cstheme="minorEastAsia"/>
          <w:sz w:val="32"/>
          <w:szCs w:val="32"/>
          <w:lang w:eastAsia="zh-CN"/>
        </w:rPr>
        <w:t>（Personal Consumption Expenditures），指居民用于购买消费品和服务的总支出。包括三个主要部分：一是耐用品，即预计使用寿命超过三年的物品，如汽车、电器等；二是非耐用品，预计使用寿命不超过三年的物品，如衣物、食品等；三是服务，包括医疗保健、教育、娱乐、运输等服务性消费。</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此外，PCE还包括与住房相关的支出，即租金、自有住房的等价租金、与住房相关的服务和维修费用，以及公用事业支出，如水、电、燃气等基本费用。</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消费者支出占据美国经济活动的近70%，是美国经济增长的主要驱动力</w:t>
      </w:r>
      <w:r>
        <w:rPr>
          <w:rFonts w:hint="eastAsia" w:asciiTheme="minorEastAsia" w:hAnsiTheme="minorEastAsia" w:eastAsiaTheme="minorEastAsia" w:cstheme="minorEastAsia"/>
          <w:sz w:val="32"/>
          <w:szCs w:val="32"/>
          <w:lang w:eastAsia="zh-CN"/>
        </w:rPr>
        <w:t>。PCE完整反映了家庭在不同商品和服务上的支出情况，是衡量和监测消费者支出的重要指标。</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基于PCE产生的价格指数被称为“个人消费支出价格指数”，即“PCE物价指数”；在此基础上，再剔除食品和能源等波动较大的价格因素，便形成了“核心PCE价格指数”，能更准确地反映基本消费品和服务的价格变动。</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bCs/>
          <w:sz w:val="32"/>
          <w:szCs w:val="32"/>
          <w:lang w:eastAsia="zh-CN"/>
        </w:rPr>
        <w:t>从2012年开始，美联储将“核心PCE物价指数同比增幅2%”设定为“中期通胀目标”</w:t>
      </w:r>
      <w:r>
        <w:rPr>
          <w:rFonts w:hint="eastAsia" w:asciiTheme="minorEastAsia" w:hAnsiTheme="minorEastAsia" w:eastAsiaTheme="minorEastAsia" w:cstheme="minorEastAsia"/>
          <w:sz w:val="32"/>
          <w:szCs w:val="32"/>
          <w:lang w:eastAsia="zh-CN"/>
        </w:rPr>
        <w:t>。自此，核心PCE物价指标成为美联储最关注的通胀指标。</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方正小标宋_GBK" w:hAnsi="方正小标宋_GBK" w:eastAsia="方正小标宋_GBK" w:cs="方正小标宋_GBK"/>
          <w:b/>
          <w:bCs/>
          <w:color w:val="0000FF"/>
          <w:sz w:val="32"/>
          <w:szCs w:val="32"/>
          <w:highlight w:val="yellow"/>
          <w:lang w:val="en-US" w:eastAsia="zh-CN"/>
        </w:rPr>
      </w:pPr>
      <w:r>
        <w:rPr>
          <w:rFonts w:hint="eastAsia" w:asciiTheme="minorEastAsia" w:hAnsiTheme="minorEastAsia" w:eastAsiaTheme="minorEastAsia" w:cstheme="minorEastAsia"/>
          <w:sz w:val="32"/>
          <w:szCs w:val="32"/>
        </w:rPr>
        <w:t>8月</w:t>
      </w:r>
      <w:r>
        <w:rPr>
          <w:rFonts w:hint="eastAsia" w:asciiTheme="minorEastAsia" w:hAnsiTheme="minorEastAsia" w:eastAsiaTheme="minorEastAsia" w:cstheme="minorEastAsia"/>
          <w:sz w:val="32"/>
          <w:szCs w:val="32"/>
          <w:lang w:val="en-US" w:eastAsia="zh-CN"/>
        </w:rPr>
        <w:t>30</w:t>
      </w:r>
      <w:r>
        <w:rPr>
          <w:rFonts w:hint="eastAsia" w:asciiTheme="minorEastAsia" w:hAnsiTheme="minorEastAsia" w:eastAsiaTheme="minorEastAsia" w:cstheme="minorEastAsia"/>
          <w:sz w:val="32"/>
          <w:szCs w:val="32"/>
        </w:rPr>
        <w:t>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w:t>
      </w:r>
      <w:r>
        <w:rPr>
          <w:rFonts w:hint="eastAsia" w:asciiTheme="minorEastAsia" w:hAnsiTheme="minorEastAsia" w:eastAsiaTheme="minorEastAsia" w:cstheme="minorEastAsia"/>
          <w:sz w:val="32"/>
          <w:szCs w:val="32"/>
          <w:lang w:eastAsia="zh-CN"/>
        </w:rPr>
        <w:t>五），美国经济分析局发布了</w:t>
      </w:r>
      <w:r>
        <w:rPr>
          <w:rFonts w:hint="eastAsia" w:asciiTheme="minorEastAsia" w:hAnsiTheme="minorEastAsia" w:eastAsiaTheme="minorEastAsia" w:cstheme="minorEastAsia"/>
          <w:sz w:val="32"/>
          <w:szCs w:val="32"/>
          <w:lang w:val="en-US" w:eastAsia="zh-CN"/>
        </w:rPr>
        <w:t>7月份PCE报告（见表格二）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default"/>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68480" behindDoc="0" locked="0" layoutInCell="1" allowOverlap="1">
            <wp:simplePos x="0" y="0"/>
            <wp:positionH relativeFrom="column">
              <wp:posOffset>3002915</wp:posOffset>
            </wp:positionH>
            <wp:positionV relativeFrom="paragraph">
              <wp:posOffset>1764665</wp:posOffset>
            </wp:positionV>
            <wp:extent cx="2270125" cy="1584960"/>
            <wp:effectExtent l="0" t="0" r="15875" b="15240"/>
            <wp:wrapSquare wrapText="bothSides"/>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15"/>
                    <a:stretch>
                      <a:fillRect/>
                    </a:stretch>
                  </pic:blipFill>
                  <pic:spPr>
                    <a:xfrm>
                      <a:off x="0" y="0"/>
                      <a:ext cx="2270125" cy="1584960"/>
                    </a:xfrm>
                    <a:prstGeom prst="rect">
                      <a:avLst/>
                    </a:prstGeom>
                    <a:noFill/>
                    <a:ln>
                      <a:noFill/>
                    </a:ln>
                  </pic:spPr>
                </pic:pic>
              </a:graphicData>
            </a:graphic>
          </wp:anchor>
        </w:drawing>
      </w:r>
      <w:r>
        <w:rPr>
          <w:rFonts w:hint="eastAsia" w:asciiTheme="minorEastAsia" w:hAnsiTheme="minorEastAsia" w:eastAsiaTheme="minorEastAsia" w:cstheme="minorEastAsia"/>
          <w:b/>
          <w:bCs/>
          <w:color w:val="0000FF"/>
          <w:sz w:val="32"/>
          <w:szCs w:val="32"/>
          <w:highlight w:val="yellow"/>
          <w:lang w:val="en-US" w:eastAsia="zh-CN"/>
        </w:rPr>
        <w:drawing>
          <wp:anchor distT="0" distB="0" distL="114300" distR="114300" simplePos="0" relativeHeight="251667456" behindDoc="0" locked="0" layoutInCell="1" allowOverlap="1">
            <wp:simplePos x="0" y="0"/>
            <wp:positionH relativeFrom="column">
              <wp:posOffset>257810</wp:posOffset>
            </wp:positionH>
            <wp:positionV relativeFrom="paragraph">
              <wp:posOffset>139700</wp:posOffset>
            </wp:positionV>
            <wp:extent cx="4757420" cy="1473835"/>
            <wp:effectExtent l="0" t="0" r="5080" b="12065"/>
            <wp:wrapTopAndBottom/>
            <wp:docPr id="3" name="图片 3" descr="图片3-8月3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8月31日"/>
                    <pic:cNvPicPr>
                      <a:picLocks noChangeAspect="1"/>
                    </pic:cNvPicPr>
                  </pic:nvPicPr>
                  <pic:blipFill>
                    <a:blip r:embed="rId16"/>
                    <a:stretch>
                      <a:fillRect/>
                    </a:stretch>
                  </pic:blipFill>
                  <pic:spPr>
                    <a:xfrm>
                      <a:off x="0" y="0"/>
                      <a:ext cx="4757420" cy="147383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PCE报告显示，通胀依旧温和上升，同时美国消费者支出稳健。</w:t>
      </w:r>
      <w:r>
        <w:rPr>
          <w:rFonts w:hint="eastAsia" w:asciiTheme="minorEastAsia" w:hAnsiTheme="minorEastAsia" w:eastAsiaTheme="minorEastAsia" w:cstheme="minorEastAsia"/>
          <w:sz w:val="32"/>
          <w:szCs w:val="32"/>
          <w:lang w:eastAsia="zh-CN"/>
        </w:rPr>
        <w:t>由图可见，直至</w:t>
      </w:r>
      <w:r>
        <w:rPr>
          <w:rFonts w:hint="eastAsia" w:asciiTheme="minorEastAsia" w:hAnsiTheme="minorEastAsia" w:eastAsiaTheme="minorEastAsia" w:cstheme="minorEastAsia"/>
          <w:sz w:val="32"/>
          <w:szCs w:val="32"/>
          <w:lang w:val="en-US" w:eastAsia="zh-CN"/>
        </w:rPr>
        <w:t>当下</w:t>
      </w:r>
      <w:r>
        <w:rPr>
          <w:rFonts w:hint="eastAsia" w:asciiTheme="minorEastAsia" w:hAnsiTheme="minorEastAsia" w:eastAsiaTheme="minorEastAsia" w:cstheme="minorEastAsia"/>
          <w:sz w:val="32"/>
          <w:szCs w:val="32"/>
          <w:lang w:eastAsia="zh-CN"/>
        </w:rPr>
        <w:t>，美国实际个人消费支出仍在</w:t>
      </w:r>
      <w:r>
        <w:rPr>
          <w:rFonts w:hint="eastAsia" w:asciiTheme="minorEastAsia" w:hAnsiTheme="minorEastAsia" w:eastAsiaTheme="minorEastAsia" w:cstheme="minorEastAsia"/>
          <w:sz w:val="32"/>
          <w:szCs w:val="32"/>
          <w:lang w:val="en-US" w:eastAsia="zh-CN"/>
        </w:rPr>
        <w:t>增长，核心PCE物价指数同比在缓慢下降之中。</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方正小标宋_GBK" w:hAnsi="方正小标宋_GBK" w:eastAsia="方正小标宋_GBK" w:cs="方正小标宋_GBK"/>
          <w:b/>
          <w:bCs/>
          <w:color w:val="0000FF"/>
          <w:sz w:val="32"/>
          <w:szCs w:val="32"/>
          <w:highlight w:val="yellow"/>
          <w:lang w:val="en-US" w:eastAsia="zh-CN"/>
        </w:rPr>
      </w:pPr>
      <w:r>
        <w:rPr>
          <w:rFonts w:hint="eastAsia"/>
          <w:sz w:val="32"/>
          <w:szCs w:val="32"/>
          <w:lang w:eastAsia="zh-CN"/>
        </w:rPr>
        <w:t>周四时，美国劳工部还发布就业市场的数据，显示就业</w:t>
      </w:r>
      <w:r>
        <w:rPr>
          <w:rFonts w:hint="eastAsia"/>
          <w:sz w:val="32"/>
          <w:szCs w:val="32"/>
        </w:rPr>
        <w:t>市场企稳</w:t>
      </w:r>
      <w:r>
        <w:rPr>
          <w:rFonts w:hint="eastAsia"/>
          <w:sz w:val="32"/>
          <w:szCs w:val="32"/>
          <w:lang w:eastAsia="zh-CN"/>
        </w:rPr>
        <w:t>（见表格三），以上</w:t>
      </w:r>
      <w:r>
        <w:rPr>
          <w:rFonts w:hint="eastAsia"/>
          <w:sz w:val="32"/>
          <w:szCs w:val="32"/>
        </w:rPr>
        <w:t>数据缓解了</w:t>
      </w:r>
      <w:r>
        <w:rPr>
          <w:rFonts w:hint="eastAsia"/>
          <w:sz w:val="32"/>
          <w:szCs w:val="32"/>
          <w:lang w:eastAsia="zh-CN"/>
        </w:rPr>
        <w:t>市场</w:t>
      </w:r>
      <w:r>
        <w:rPr>
          <w:rFonts w:hint="eastAsia"/>
          <w:sz w:val="32"/>
          <w:szCs w:val="32"/>
        </w:rPr>
        <w:t>对</w:t>
      </w:r>
      <w:r>
        <w:rPr>
          <w:rFonts w:hint="eastAsia" w:asciiTheme="minorEastAsia" w:hAnsiTheme="minorEastAsia" w:eastAsiaTheme="minorEastAsia" w:cstheme="minorEastAsia"/>
          <w:sz w:val="32"/>
          <w:szCs w:val="32"/>
        </w:rPr>
        <w:t>经济衰退的担忧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增加了对</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软着陆</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的信心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这进一步强化了美国经济“软着陆”的预期，削弱了美联储在9月份降息50个基点的必要性。</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方正小标宋_GBK" w:hAnsi="方正小标宋_GBK" w:eastAsia="方正小标宋_GBK" w:cs="方正小标宋_GBK"/>
          <w:b/>
          <w:bCs/>
          <w:color w:val="0000FF"/>
          <w:sz w:val="32"/>
          <w:szCs w:val="32"/>
          <w:highlight w:val="yellow"/>
          <w:lang w:val="en-US" w:eastAsia="zh-CN"/>
        </w:rPr>
        <w:drawing>
          <wp:anchor distT="0" distB="0" distL="114300" distR="114300" simplePos="0" relativeHeight="251669504" behindDoc="0" locked="0" layoutInCell="1" allowOverlap="1">
            <wp:simplePos x="0" y="0"/>
            <wp:positionH relativeFrom="column">
              <wp:posOffset>218440</wp:posOffset>
            </wp:positionH>
            <wp:positionV relativeFrom="paragraph">
              <wp:posOffset>162560</wp:posOffset>
            </wp:positionV>
            <wp:extent cx="5135880" cy="765175"/>
            <wp:effectExtent l="0" t="0" r="7620" b="15875"/>
            <wp:wrapTopAndBottom/>
            <wp:docPr id="4" name="图片 4" descr="图片4-8月3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8月31日"/>
                    <pic:cNvPicPr>
                      <a:picLocks noChangeAspect="1"/>
                    </pic:cNvPicPr>
                  </pic:nvPicPr>
                  <pic:blipFill>
                    <a:blip r:embed="rId17"/>
                    <a:stretch>
                      <a:fillRect/>
                    </a:stretch>
                  </pic:blipFill>
                  <pic:spPr>
                    <a:xfrm>
                      <a:off x="0" y="0"/>
                      <a:ext cx="5135880" cy="76517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8月下旬的</w:t>
      </w:r>
      <w:r>
        <w:rPr>
          <w:rFonts w:hint="eastAsia" w:asciiTheme="minorEastAsia" w:hAnsiTheme="minorEastAsia" w:eastAsiaTheme="minorEastAsia" w:cstheme="minorEastAsia"/>
          <w:sz w:val="32"/>
          <w:szCs w:val="32"/>
          <w:lang w:eastAsia="zh-CN"/>
        </w:rPr>
        <w:t>“杰克逊霍尔全球央行年会”之前，金融</w:t>
      </w:r>
      <w:r>
        <w:rPr>
          <w:rFonts w:hint="eastAsia" w:asciiTheme="minorEastAsia" w:hAnsiTheme="minorEastAsia" w:eastAsiaTheme="minorEastAsia" w:cstheme="minorEastAsia"/>
          <w:sz w:val="32"/>
          <w:szCs w:val="32"/>
        </w:rPr>
        <w:t>市场</w:t>
      </w:r>
      <w:r>
        <w:rPr>
          <w:rFonts w:hint="eastAsia" w:asciiTheme="minorEastAsia" w:hAnsiTheme="minorEastAsia" w:eastAsiaTheme="minorEastAsia" w:cstheme="minorEastAsia"/>
          <w:sz w:val="32"/>
          <w:szCs w:val="32"/>
          <w:lang w:eastAsia="zh-CN"/>
        </w:rPr>
        <w:t>在“</w:t>
      </w:r>
      <w:r>
        <w:rPr>
          <w:rFonts w:hint="eastAsia" w:asciiTheme="minorEastAsia" w:hAnsiTheme="minorEastAsia" w:eastAsiaTheme="minorEastAsia" w:cstheme="minorEastAsia"/>
          <w:sz w:val="32"/>
          <w:szCs w:val="32"/>
        </w:rPr>
        <w:t>交易降息预期</w:t>
      </w:r>
      <w:r>
        <w:rPr>
          <w:rFonts w:hint="eastAsia" w:asciiTheme="minorEastAsia" w:hAnsiTheme="minorEastAsia" w:eastAsiaTheme="minorEastAsia" w:cstheme="minorEastAsia"/>
          <w:sz w:val="32"/>
          <w:szCs w:val="32"/>
          <w:lang w:eastAsia="zh-CN"/>
        </w:rPr>
        <w:t>”。年会上鲍威尔的讲话，基本明确了美联储将于</w:t>
      </w:r>
      <w:r>
        <w:rPr>
          <w:rFonts w:hint="eastAsia" w:asciiTheme="minorEastAsia" w:hAnsiTheme="minorEastAsia" w:eastAsiaTheme="minorEastAsia" w:cstheme="minorEastAsia"/>
          <w:sz w:val="32"/>
          <w:szCs w:val="32"/>
          <w:lang w:val="en-US" w:eastAsia="zh-CN"/>
        </w:rPr>
        <w:t>9月份</w:t>
      </w:r>
      <w:r>
        <w:rPr>
          <w:rFonts w:hint="eastAsia" w:asciiTheme="minorEastAsia" w:hAnsiTheme="minorEastAsia" w:eastAsiaTheme="minorEastAsia" w:cstheme="minorEastAsia"/>
          <w:sz w:val="32"/>
          <w:szCs w:val="32"/>
        </w:rPr>
        <w:t>降息</w:t>
      </w:r>
      <w:r>
        <w:rPr>
          <w:rFonts w:hint="eastAsia" w:asciiTheme="minorEastAsia" w:hAnsiTheme="minorEastAsia" w:eastAsiaTheme="minorEastAsia" w:cstheme="minorEastAsia"/>
          <w:sz w:val="32"/>
          <w:szCs w:val="32"/>
          <w:lang w:eastAsia="zh-CN"/>
        </w:rPr>
        <w:t>的可能，</w:t>
      </w:r>
      <w:r>
        <w:rPr>
          <w:rFonts w:hint="eastAsia" w:asciiTheme="minorEastAsia" w:hAnsiTheme="minorEastAsia" w:eastAsiaTheme="minorEastAsia" w:cstheme="minorEastAsia"/>
          <w:sz w:val="32"/>
          <w:szCs w:val="32"/>
        </w:rPr>
        <w:t>市场</w:t>
      </w:r>
      <w:r>
        <w:rPr>
          <w:rFonts w:hint="eastAsia" w:asciiTheme="minorEastAsia" w:hAnsiTheme="minorEastAsia" w:eastAsiaTheme="minorEastAsia" w:cstheme="minorEastAsia"/>
          <w:sz w:val="32"/>
          <w:szCs w:val="32"/>
          <w:lang w:eastAsia="zh-CN"/>
        </w:rPr>
        <w:t>便</w:t>
      </w:r>
      <w:r>
        <w:rPr>
          <w:rFonts w:hint="eastAsia" w:asciiTheme="minorEastAsia" w:hAnsiTheme="minorEastAsia" w:eastAsiaTheme="minorEastAsia" w:cstheme="minorEastAsia"/>
          <w:sz w:val="32"/>
          <w:szCs w:val="32"/>
        </w:rPr>
        <w:t>开始关注宏观经济面</w:t>
      </w:r>
      <w:r>
        <w:rPr>
          <w:rFonts w:hint="eastAsia" w:asciiTheme="minorEastAsia" w:hAnsiTheme="minorEastAsia" w:eastAsiaTheme="minorEastAsia" w:cstheme="minorEastAsia"/>
          <w:sz w:val="32"/>
          <w:szCs w:val="32"/>
          <w:lang w:eastAsia="zh-CN"/>
        </w:rPr>
        <w:t>的变化。</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所谓“</w:t>
      </w:r>
      <w:r>
        <w:rPr>
          <w:rFonts w:hint="eastAsia" w:asciiTheme="minorEastAsia" w:hAnsiTheme="minorEastAsia" w:eastAsiaTheme="minorEastAsia" w:cstheme="minorEastAsia"/>
          <w:b/>
          <w:bCs/>
          <w:sz w:val="32"/>
          <w:szCs w:val="32"/>
          <w:lang w:eastAsia="zh-CN"/>
        </w:rPr>
        <w:t>交易降息预期</w:t>
      </w:r>
      <w:r>
        <w:rPr>
          <w:rFonts w:hint="eastAsia" w:asciiTheme="minorEastAsia" w:hAnsiTheme="minorEastAsia" w:eastAsiaTheme="minorEastAsia" w:cstheme="minorEastAsia"/>
          <w:sz w:val="32"/>
          <w:szCs w:val="32"/>
          <w:lang w:eastAsia="zh-CN"/>
        </w:rPr>
        <w:t>”，指的是市场参与者在进行金融交易时，预期央行可能会降低利率，因此他们根据这种预期来做出投资决策。具体来说，如果市场普遍预期央行不久后将降息，通常会导致债券价格上升，因为新发行的债券利率较低，使得现有债券相对更有吸引力；股市上涨，因为低利率降低了企业的借贷成本，提高了其盈利能力，以及本币贬值，因为降息，与其他货币的利差缩小，降低了持有该货币的吸引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目前，美国的宏观经济面一切安好，除了制造业持续收缩，服务业和经济总体都处于扩张之中（见表格四）。</w:t>
      </w: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br w:type="page"/>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方正小标宋_GBK" w:hAnsi="方正小标宋_GBK" w:eastAsia="方正小标宋_GBK" w:cs="方正小标宋_GBK"/>
          <w:b/>
          <w:bCs/>
          <w:color w:val="0000FF"/>
          <w:sz w:val="32"/>
          <w:szCs w:val="32"/>
          <w:highlight w:val="yellow"/>
          <w:lang w:val="en-US" w:eastAsia="zh-CN"/>
        </w:rPr>
        <w:drawing>
          <wp:anchor distT="0" distB="0" distL="114300" distR="114300" simplePos="0" relativeHeight="251670528" behindDoc="0" locked="0" layoutInCell="1" allowOverlap="1">
            <wp:simplePos x="0" y="0"/>
            <wp:positionH relativeFrom="column">
              <wp:posOffset>167640</wp:posOffset>
            </wp:positionH>
            <wp:positionV relativeFrom="paragraph">
              <wp:posOffset>223520</wp:posOffset>
            </wp:positionV>
            <wp:extent cx="5165090" cy="1146175"/>
            <wp:effectExtent l="0" t="0" r="16510" b="15875"/>
            <wp:wrapTopAndBottom/>
            <wp:docPr id="5" name="图片 5" descr="图片5-8月31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5-8月31日"/>
                    <pic:cNvPicPr>
                      <a:picLocks noChangeAspect="1"/>
                    </pic:cNvPicPr>
                  </pic:nvPicPr>
                  <pic:blipFill>
                    <a:blip r:embed="rId18"/>
                    <a:stretch>
                      <a:fillRect/>
                    </a:stretch>
                  </pic:blipFill>
                  <pic:spPr>
                    <a:xfrm>
                      <a:off x="0" y="0"/>
                      <a:ext cx="5165090" cy="1146175"/>
                    </a:xfrm>
                    <a:prstGeom prst="rect">
                      <a:avLst/>
                    </a:prstGeom>
                  </pic:spPr>
                </pic:pic>
              </a:graphicData>
            </a:graphic>
          </wp:anchor>
        </w:drawing>
      </w:r>
      <w:r>
        <w:rPr>
          <w:rFonts w:hint="eastAsia" w:asciiTheme="minorEastAsia" w:hAnsiTheme="minorEastAsia" w:eastAsiaTheme="minorEastAsia" w:cstheme="minorEastAsia"/>
          <w:sz w:val="32"/>
          <w:szCs w:val="32"/>
          <w:lang w:eastAsia="zh-CN"/>
        </w:rPr>
        <w:t>值得留意的是，</w:t>
      </w:r>
      <w:r>
        <w:rPr>
          <w:rFonts w:hint="eastAsia" w:asciiTheme="minorEastAsia" w:hAnsiTheme="minorEastAsia" w:eastAsiaTheme="minorEastAsia" w:cstheme="minorEastAsia"/>
          <w:sz w:val="32"/>
          <w:szCs w:val="32"/>
        </w:rPr>
        <w:t>8月28日当周</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美国货币市场资产达到6.26万亿美元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创</w:t>
      </w:r>
      <w:r>
        <w:rPr>
          <w:rFonts w:hint="eastAsia" w:asciiTheme="minorEastAsia" w:hAnsiTheme="minorEastAsia" w:eastAsiaTheme="minorEastAsia" w:cstheme="minorEastAsia"/>
          <w:sz w:val="32"/>
          <w:szCs w:val="32"/>
          <w:lang w:eastAsia="zh-CN"/>
        </w:rPr>
        <w:t>下</w:t>
      </w:r>
      <w:r>
        <w:rPr>
          <w:rFonts w:hint="eastAsia" w:asciiTheme="minorEastAsia" w:hAnsiTheme="minorEastAsia" w:eastAsiaTheme="minorEastAsia" w:cstheme="minorEastAsia"/>
          <w:sz w:val="32"/>
          <w:szCs w:val="32"/>
        </w:rPr>
        <w:t>历史新高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降息</w:t>
      </w:r>
      <w:r>
        <w:rPr>
          <w:rFonts w:hint="eastAsia" w:asciiTheme="minorEastAsia" w:hAnsiTheme="minorEastAsia" w:eastAsiaTheme="minorEastAsia" w:cstheme="minorEastAsia"/>
          <w:sz w:val="32"/>
          <w:szCs w:val="32"/>
          <w:lang w:eastAsia="zh-CN"/>
        </w:rPr>
        <w:t>在望，</w:t>
      </w:r>
      <w:r>
        <w:rPr>
          <w:rFonts w:hint="eastAsia" w:asciiTheme="minorEastAsia" w:hAnsiTheme="minorEastAsia" w:eastAsiaTheme="minorEastAsia" w:cstheme="minorEastAsia"/>
          <w:sz w:val="32"/>
          <w:szCs w:val="32"/>
        </w:rPr>
        <w:t>资</w:t>
      </w:r>
      <w:r>
        <w:rPr>
          <w:rFonts w:hint="eastAsia" w:asciiTheme="minorEastAsia" w:hAnsiTheme="minorEastAsia" w:eastAsiaTheme="minorEastAsia" w:cstheme="minorEastAsia"/>
          <w:sz w:val="32"/>
          <w:szCs w:val="32"/>
          <w:lang w:eastAsia="zh-CN"/>
        </w:rPr>
        <w:t>金不留在股市却</w:t>
      </w:r>
      <w:r>
        <w:rPr>
          <w:rFonts w:hint="eastAsia" w:asciiTheme="minorEastAsia" w:hAnsiTheme="minorEastAsia" w:eastAsiaTheme="minorEastAsia" w:cstheme="minorEastAsia"/>
          <w:sz w:val="32"/>
          <w:szCs w:val="32"/>
        </w:rPr>
        <w:t>往货币市场里跑</w:t>
      </w:r>
      <w:r>
        <w:rPr>
          <w:rFonts w:hint="eastAsia" w:asciiTheme="minorEastAsia" w:hAnsiTheme="minorEastAsia" w:eastAsiaTheme="minorEastAsia" w:cstheme="minorEastAsia"/>
          <w:sz w:val="32"/>
          <w:szCs w:val="32"/>
          <w:lang w:eastAsia="zh-CN"/>
        </w:rPr>
        <w:t>，说明投资者感受到了其他的风险。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分析人士解释，最大的不确定性</w:t>
      </w:r>
      <w:r>
        <w:rPr>
          <w:rFonts w:hint="eastAsia" w:asciiTheme="minorEastAsia" w:hAnsiTheme="minorEastAsia" w:eastAsiaTheme="minorEastAsia" w:cstheme="minorEastAsia"/>
          <w:sz w:val="32"/>
          <w:szCs w:val="32"/>
        </w:rPr>
        <w:t>是11月的美国大选</w:t>
      </w:r>
      <w:r>
        <w:rPr>
          <w:rFonts w:hint="eastAsia" w:asciiTheme="minorEastAsia" w:hAnsiTheme="minorEastAsia" w:eastAsiaTheme="minorEastAsia" w:cstheme="minorEastAsia"/>
          <w:sz w:val="32"/>
          <w:szCs w:val="32"/>
          <w:lang w:eastAsia="zh-CN"/>
        </w:rPr>
        <w:t>，目前两党候选人</w:t>
      </w:r>
      <w:r>
        <w:rPr>
          <w:rFonts w:hint="eastAsia" w:asciiTheme="minorEastAsia" w:hAnsiTheme="minorEastAsia" w:eastAsiaTheme="minorEastAsia" w:cstheme="minorEastAsia"/>
          <w:sz w:val="32"/>
          <w:szCs w:val="32"/>
        </w:rPr>
        <w:t>之间的竞争非常激烈</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抑制了场外资金的</w:t>
      </w:r>
      <w:r>
        <w:rPr>
          <w:rFonts w:hint="eastAsia" w:asciiTheme="minorEastAsia" w:hAnsiTheme="minorEastAsia" w:eastAsiaTheme="minorEastAsia" w:cstheme="minorEastAsia"/>
          <w:sz w:val="32"/>
          <w:szCs w:val="32"/>
          <w:lang w:eastAsia="zh-CN"/>
        </w:rPr>
        <w:t>投资</w:t>
      </w:r>
      <w:r>
        <w:rPr>
          <w:rFonts w:hint="eastAsia" w:asciiTheme="minorEastAsia" w:hAnsiTheme="minorEastAsia" w:eastAsiaTheme="minorEastAsia" w:cstheme="minorEastAsia"/>
          <w:sz w:val="32"/>
          <w:szCs w:val="32"/>
        </w:rPr>
        <w:t>欲望</w:t>
      </w:r>
      <w:r>
        <w:rPr>
          <w:rFonts w:hint="eastAsia" w:asciiTheme="minorEastAsia" w:hAnsiTheme="minorEastAsia" w:eastAsiaTheme="minorEastAsia" w:cstheme="minorEastAsia"/>
          <w:sz w:val="32"/>
          <w:szCs w:val="32"/>
          <w:lang w:eastAsia="zh-CN"/>
        </w:rPr>
        <w:t>。不仅是金融市场，国际贸易、科技交流、产业发展等各个方面，都在受到该事件的影响。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对于</w:t>
      </w:r>
      <w:r>
        <w:rPr>
          <w:rFonts w:hint="eastAsia" w:asciiTheme="minorEastAsia" w:hAnsiTheme="minorEastAsia" w:eastAsiaTheme="minorEastAsia" w:cstheme="minorEastAsia"/>
          <w:sz w:val="32"/>
          <w:szCs w:val="32"/>
          <w:lang w:val="en-US" w:eastAsia="zh-CN"/>
        </w:rPr>
        <w:t>9月降息，也有分析人士</w:t>
      </w:r>
      <w:r>
        <w:rPr>
          <w:rFonts w:hint="eastAsia" w:asciiTheme="minorEastAsia" w:hAnsiTheme="minorEastAsia" w:eastAsiaTheme="minorEastAsia" w:cstheme="minorEastAsia"/>
          <w:b/>
          <w:bCs/>
          <w:sz w:val="32"/>
          <w:szCs w:val="32"/>
          <w:lang w:val="en-US" w:eastAsia="zh-CN"/>
        </w:rPr>
        <w:t>指出其不同寻常之处</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目前，</w:t>
      </w:r>
      <w:r>
        <w:rPr>
          <w:rFonts w:hint="eastAsia" w:asciiTheme="minorEastAsia" w:hAnsiTheme="minorEastAsia" w:eastAsiaTheme="minorEastAsia" w:cstheme="minorEastAsia"/>
          <w:sz w:val="32"/>
          <w:szCs w:val="32"/>
        </w:rPr>
        <w:t>美国股市处于历史最高位</w:t>
      </w:r>
      <w:r>
        <w:rPr>
          <w:rFonts w:hint="eastAsia" w:asciiTheme="minorEastAsia" w:hAnsiTheme="minorEastAsia" w:eastAsiaTheme="minorEastAsia" w:cstheme="minorEastAsia"/>
          <w:sz w:val="32"/>
          <w:szCs w:val="32"/>
          <w:lang w:eastAsia="zh-CN"/>
        </w:rPr>
        <w:t>，而</w:t>
      </w:r>
      <w:r>
        <w:rPr>
          <w:rFonts w:hint="eastAsia" w:asciiTheme="minorEastAsia" w:hAnsiTheme="minorEastAsia" w:eastAsiaTheme="minorEastAsia" w:cstheme="minorEastAsia"/>
          <w:sz w:val="32"/>
          <w:szCs w:val="32"/>
        </w:rPr>
        <w:t>美联储</w:t>
      </w:r>
      <w:r>
        <w:rPr>
          <w:rFonts w:hint="eastAsia" w:asciiTheme="minorEastAsia" w:hAnsiTheme="minorEastAsia" w:eastAsiaTheme="minorEastAsia" w:cstheme="minorEastAsia"/>
          <w:sz w:val="32"/>
          <w:szCs w:val="32"/>
          <w:lang w:eastAsia="zh-CN"/>
        </w:rPr>
        <w:t>却准备</w:t>
      </w:r>
      <w:r>
        <w:rPr>
          <w:rFonts w:hint="eastAsia" w:asciiTheme="minorEastAsia" w:hAnsiTheme="minorEastAsia" w:eastAsiaTheme="minorEastAsia" w:cstheme="minorEastAsia"/>
          <w:sz w:val="32"/>
          <w:szCs w:val="32"/>
        </w:rPr>
        <w:t>开启新一轮宽松周期</w:t>
      </w:r>
      <w:r>
        <w:rPr>
          <w:rFonts w:hint="eastAsia" w:asciiTheme="minorEastAsia" w:hAnsiTheme="minorEastAsia" w:eastAsiaTheme="minorEastAsia" w:cstheme="minorEastAsia"/>
          <w:sz w:val="32"/>
          <w:szCs w:val="32"/>
          <w:lang w:eastAsia="zh-CN"/>
        </w:rPr>
        <w:t>，这种</w:t>
      </w:r>
      <w:r>
        <w:rPr>
          <w:rFonts w:hint="eastAsia" w:asciiTheme="minorEastAsia" w:hAnsiTheme="minorEastAsia" w:eastAsiaTheme="minorEastAsia" w:cstheme="minorEastAsia"/>
          <w:sz w:val="32"/>
          <w:szCs w:val="32"/>
        </w:rPr>
        <w:t>情况</w:t>
      </w:r>
      <w:r>
        <w:rPr>
          <w:rFonts w:hint="eastAsia" w:asciiTheme="minorEastAsia" w:hAnsiTheme="minorEastAsia" w:eastAsiaTheme="minorEastAsia" w:cstheme="minorEastAsia"/>
          <w:sz w:val="32"/>
          <w:szCs w:val="32"/>
          <w:lang w:eastAsia="zh-CN"/>
        </w:rPr>
        <w:t>在</w:t>
      </w:r>
      <w:r>
        <w:rPr>
          <w:rFonts w:hint="eastAsia" w:asciiTheme="minorEastAsia" w:hAnsiTheme="minorEastAsia" w:eastAsiaTheme="minorEastAsia" w:cstheme="minorEastAsia"/>
          <w:sz w:val="32"/>
          <w:szCs w:val="32"/>
        </w:rPr>
        <w:t>历史上</w:t>
      </w:r>
      <w:r>
        <w:rPr>
          <w:rFonts w:hint="eastAsia" w:asciiTheme="minorEastAsia" w:hAnsiTheme="minorEastAsia" w:eastAsiaTheme="minorEastAsia" w:cstheme="minorEastAsia"/>
          <w:sz w:val="32"/>
          <w:szCs w:val="32"/>
          <w:lang w:eastAsia="zh-CN"/>
        </w:rPr>
        <w:t>是第一次。历史上，</w:t>
      </w:r>
      <w:r>
        <w:rPr>
          <w:rFonts w:hint="eastAsia" w:asciiTheme="minorEastAsia" w:hAnsiTheme="minorEastAsia" w:eastAsiaTheme="minorEastAsia" w:cstheme="minorEastAsia"/>
          <w:sz w:val="32"/>
          <w:szCs w:val="32"/>
        </w:rPr>
        <w:t>美联储</w:t>
      </w:r>
      <w:r>
        <w:rPr>
          <w:rFonts w:hint="eastAsia" w:asciiTheme="minorEastAsia" w:hAnsiTheme="minorEastAsia" w:eastAsiaTheme="minorEastAsia" w:cstheme="minorEastAsia"/>
          <w:sz w:val="32"/>
          <w:szCs w:val="32"/>
          <w:lang w:eastAsia="zh-CN"/>
        </w:rPr>
        <w:t>总是会</w:t>
      </w:r>
      <w:r>
        <w:rPr>
          <w:rFonts w:hint="eastAsia" w:asciiTheme="minorEastAsia" w:hAnsiTheme="minorEastAsia" w:eastAsiaTheme="minorEastAsia" w:cstheme="minorEastAsia"/>
          <w:sz w:val="32"/>
          <w:szCs w:val="32"/>
        </w:rPr>
        <w:t>等</w:t>
      </w:r>
      <w:r>
        <w:rPr>
          <w:rFonts w:hint="eastAsia" w:asciiTheme="minorEastAsia" w:hAnsiTheme="minorEastAsia" w:eastAsiaTheme="minorEastAsia" w:cstheme="minorEastAsia"/>
          <w:sz w:val="32"/>
          <w:szCs w:val="32"/>
          <w:lang w:eastAsia="zh-CN"/>
        </w:rPr>
        <w:t>到股票</w:t>
      </w:r>
      <w:r>
        <w:rPr>
          <w:rFonts w:hint="eastAsia" w:asciiTheme="minorEastAsia" w:hAnsiTheme="minorEastAsia" w:eastAsiaTheme="minorEastAsia" w:cstheme="minorEastAsia"/>
          <w:sz w:val="32"/>
          <w:szCs w:val="32"/>
        </w:rPr>
        <w:t>市场下跌、风险释放之后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在</w:t>
      </w:r>
      <w:r>
        <w:rPr>
          <w:rFonts w:hint="eastAsia" w:asciiTheme="minorEastAsia" w:hAnsiTheme="minorEastAsia" w:eastAsiaTheme="minorEastAsia" w:cstheme="minorEastAsia"/>
          <w:sz w:val="32"/>
          <w:szCs w:val="32"/>
          <w:lang w:eastAsia="zh-CN"/>
        </w:rPr>
        <w:t>股指</w:t>
      </w:r>
      <w:r>
        <w:rPr>
          <w:rFonts w:hint="eastAsia" w:asciiTheme="minorEastAsia" w:hAnsiTheme="minorEastAsia" w:eastAsiaTheme="minorEastAsia" w:cstheme="minorEastAsia"/>
          <w:sz w:val="32"/>
          <w:szCs w:val="32"/>
        </w:rPr>
        <w:t>相对低位</w:t>
      </w:r>
      <w:r>
        <w:rPr>
          <w:rFonts w:hint="eastAsia" w:asciiTheme="minorEastAsia" w:hAnsiTheme="minorEastAsia" w:eastAsiaTheme="minorEastAsia" w:cstheme="minorEastAsia"/>
          <w:sz w:val="32"/>
          <w:szCs w:val="32"/>
          <w:lang w:eastAsia="zh-CN"/>
        </w:rPr>
        <w:t>时</w:t>
      </w:r>
      <w:r>
        <w:rPr>
          <w:rFonts w:hint="eastAsia" w:asciiTheme="minorEastAsia" w:hAnsiTheme="minorEastAsia" w:eastAsiaTheme="minorEastAsia" w:cstheme="minorEastAsia"/>
          <w:sz w:val="32"/>
          <w:szCs w:val="32"/>
        </w:rPr>
        <w:t>开启宽松周期</w:t>
      </w:r>
      <w:r>
        <w:rPr>
          <w:rFonts w:hint="eastAsia" w:asciiTheme="minorEastAsia" w:hAnsiTheme="minorEastAsia" w:eastAsiaTheme="minorEastAsia" w:cstheme="minorEastAsia"/>
          <w:sz w:val="32"/>
          <w:szCs w:val="32"/>
          <w:lang w:eastAsia="zh-CN"/>
        </w:rPr>
        <w:t>。最近一次是</w:t>
      </w:r>
      <w:r>
        <w:rPr>
          <w:rFonts w:hint="eastAsia" w:asciiTheme="minorEastAsia" w:hAnsiTheme="minorEastAsia" w:eastAsiaTheme="minorEastAsia" w:cstheme="minorEastAsia"/>
          <w:sz w:val="32"/>
          <w:szCs w:val="32"/>
          <w:lang w:val="en-US" w:eastAsia="zh-CN"/>
        </w:rPr>
        <w:t>2020年美国股灾，股市多次熔断之后，美联储启动了极度宽松的货币周期。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因此，市场也在猜测，到底是什么</w:t>
      </w:r>
      <w:r>
        <w:rPr>
          <w:rFonts w:hint="eastAsia" w:asciiTheme="minorEastAsia" w:hAnsiTheme="minorEastAsia" w:eastAsiaTheme="minorEastAsia" w:cstheme="minorEastAsia"/>
          <w:sz w:val="32"/>
          <w:szCs w:val="32"/>
        </w:rPr>
        <w:t>原因</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让美联储</w:t>
      </w:r>
      <w:r>
        <w:rPr>
          <w:rFonts w:hint="eastAsia" w:asciiTheme="minorEastAsia" w:hAnsiTheme="minorEastAsia" w:eastAsiaTheme="minorEastAsia" w:cstheme="minorEastAsia"/>
          <w:sz w:val="32"/>
          <w:szCs w:val="32"/>
          <w:lang w:eastAsia="zh-CN"/>
        </w:rPr>
        <w:t>在股市处于高位时</w:t>
      </w:r>
      <w:r>
        <w:rPr>
          <w:rFonts w:hint="eastAsia" w:asciiTheme="minorEastAsia" w:hAnsiTheme="minorEastAsia" w:eastAsiaTheme="minorEastAsia" w:cstheme="minorEastAsia"/>
          <w:sz w:val="32"/>
          <w:szCs w:val="32"/>
        </w:rPr>
        <w:t>做出降息决定</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而且还</w:t>
      </w:r>
      <w:r>
        <w:rPr>
          <w:rFonts w:hint="eastAsia" w:asciiTheme="minorEastAsia" w:hAnsiTheme="minorEastAsia" w:eastAsiaTheme="minorEastAsia" w:cstheme="minorEastAsia"/>
          <w:sz w:val="32"/>
          <w:szCs w:val="32"/>
          <w:lang w:eastAsia="zh-CN"/>
        </w:rPr>
        <w:t>特地</w:t>
      </w:r>
      <w:r>
        <w:rPr>
          <w:rFonts w:hint="eastAsia" w:asciiTheme="minorEastAsia" w:hAnsiTheme="minorEastAsia" w:eastAsiaTheme="minorEastAsia" w:cstheme="minorEastAsia"/>
          <w:sz w:val="32"/>
          <w:szCs w:val="32"/>
        </w:rPr>
        <w:t>选在大选的前一个月</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这</w:t>
      </w:r>
      <w:r>
        <w:rPr>
          <w:rFonts w:hint="eastAsia" w:asciiTheme="minorEastAsia" w:hAnsiTheme="minorEastAsia" w:eastAsiaTheme="minorEastAsia" w:cstheme="minorEastAsia"/>
          <w:sz w:val="32"/>
          <w:szCs w:val="32"/>
          <w:lang w:eastAsia="zh-CN"/>
        </w:rPr>
        <w:t>种</w:t>
      </w:r>
      <w:r>
        <w:rPr>
          <w:rFonts w:hint="eastAsia" w:asciiTheme="minorEastAsia" w:hAnsiTheme="minorEastAsia" w:eastAsiaTheme="minorEastAsia" w:cstheme="minorEastAsia"/>
          <w:sz w:val="32"/>
          <w:szCs w:val="32"/>
        </w:rPr>
        <w:t>敏感时点</w:t>
      </w:r>
      <w:r>
        <w:rPr>
          <w:rFonts w:hint="eastAsia" w:asciiTheme="minorEastAsia" w:hAnsiTheme="minorEastAsia" w:eastAsiaTheme="minorEastAsia" w:cstheme="minorEastAsia"/>
          <w:sz w:val="32"/>
          <w:szCs w:val="32"/>
          <w:lang w:eastAsia="zh-CN"/>
        </w:rPr>
        <w:t>，本该保持政策静止。</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市场分析认为，</w:t>
      </w:r>
      <w:r>
        <w:rPr>
          <w:rFonts w:hint="eastAsia" w:asciiTheme="minorEastAsia" w:hAnsiTheme="minorEastAsia" w:eastAsiaTheme="minorEastAsia" w:cstheme="minorEastAsia"/>
          <w:b/>
          <w:bCs/>
          <w:sz w:val="32"/>
          <w:szCs w:val="32"/>
          <w:lang w:eastAsia="zh-CN"/>
        </w:rPr>
        <w:t>可能出于三</w:t>
      </w:r>
      <w:r>
        <w:rPr>
          <w:rFonts w:hint="eastAsia" w:asciiTheme="minorEastAsia" w:hAnsiTheme="minorEastAsia" w:eastAsiaTheme="minorEastAsia" w:cstheme="minorEastAsia"/>
          <w:b/>
          <w:bCs/>
          <w:sz w:val="32"/>
          <w:szCs w:val="32"/>
        </w:rPr>
        <w:t>个原因</w:t>
      </w:r>
      <w:r>
        <w:rPr>
          <w:rFonts w:hint="eastAsia" w:asciiTheme="minorEastAsia" w:hAnsiTheme="minorEastAsia" w:eastAsiaTheme="minorEastAsia" w:cstheme="minorEastAsia"/>
          <w:sz w:val="32"/>
          <w:szCs w:val="32"/>
          <w:lang w:eastAsia="zh-CN"/>
        </w:rPr>
        <w:t>，一是</w:t>
      </w:r>
      <w:r>
        <w:rPr>
          <w:rFonts w:hint="eastAsia" w:asciiTheme="minorEastAsia" w:hAnsiTheme="minorEastAsia" w:eastAsiaTheme="minorEastAsia" w:cstheme="minorEastAsia"/>
          <w:sz w:val="32"/>
          <w:szCs w:val="32"/>
        </w:rPr>
        <w:t>经济没有</w:t>
      </w:r>
      <w:r>
        <w:rPr>
          <w:rFonts w:hint="eastAsia" w:asciiTheme="minorEastAsia" w:hAnsiTheme="minorEastAsia" w:eastAsiaTheme="minorEastAsia" w:cstheme="minorEastAsia"/>
          <w:sz w:val="32"/>
          <w:szCs w:val="32"/>
          <w:lang w:eastAsia="zh-CN"/>
        </w:rPr>
        <w:t>宏观</w:t>
      </w:r>
      <w:r>
        <w:rPr>
          <w:rFonts w:hint="eastAsia" w:asciiTheme="minorEastAsia" w:hAnsiTheme="minorEastAsia" w:eastAsiaTheme="minorEastAsia" w:cstheme="minorEastAsia"/>
          <w:sz w:val="32"/>
          <w:szCs w:val="32"/>
        </w:rPr>
        <w:t>数据表现的那么强劲</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美联储</w:t>
      </w:r>
      <w:r>
        <w:rPr>
          <w:rFonts w:hint="eastAsia" w:asciiTheme="minorEastAsia" w:hAnsiTheme="minorEastAsia" w:eastAsiaTheme="minorEastAsia" w:cstheme="minorEastAsia"/>
          <w:sz w:val="32"/>
          <w:szCs w:val="32"/>
          <w:lang w:eastAsia="zh-CN"/>
        </w:rPr>
        <w:t>应该是</w:t>
      </w:r>
      <w:r>
        <w:rPr>
          <w:rFonts w:hint="eastAsia" w:asciiTheme="minorEastAsia" w:hAnsiTheme="minorEastAsia" w:eastAsiaTheme="minorEastAsia" w:cstheme="minorEastAsia"/>
          <w:sz w:val="32"/>
          <w:szCs w:val="32"/>
        </w:rPr>
        <w:t>看到了</w:t>
      </w:r>
      <w:r>
        <w:rPr>
          <w:rFonts w:hint="eastAsia" w:asciiTheme="minorEastAsia" w:hAnsiTheme="minorEastAsia" w:eastAsiaTheme="minorEastAsia" w:cstheme="minorEastAsia"/>
          <w:sz w:val="32"/>
          <w:szCs w:val="32"/>
          <w:lang w:eastAsia="zh-CN"/>
        </w:rPr>
        <w:t>普通人仍未了解</w:t>
      </w:r>
      <w:r>
        <w:rPr>
          <w:rFonts w:hint="eastAsia" w:asciiTheme="minorEastAsia" w:hAnsiTheme="minorEastAsia" w:eastAsiaTheme="minorEastAsia" w:cstheme="minorEastAsia"/>
          <w:sz w:val="32"/>
          <w:szCs w:val="32"/>
        </w:rPr>
        <w:t>的风险</w:t>
      </w:r>
      <w:r>
        <w:rPr>
          <w:rFonts w:hint="eastAsia" w:asciiTheme="minorEastAsia" w:hAnsiTheme="minorEastAsia" w:eastAsiaTheme="minorEastAsia" w:cstheme="minorEastAsia"/>
          <w:sz w:val="32"/>
          <w:szCs w:val="32"/>
          <w:lang w:eastAsia="zh-CN"/>
        </w:rPr>
        <w:t>，比如就业市场的降温可能远远高于公开数据的显示；二是出于大选需要，为目前执政的</w:t>
      </w:r>
      <w:r>
        <w:rPr>
          <w:rFonts w:hint="eastAsia" w:asciiTheme="minorEastAsia" w:hAnsiTheme="minorEastAsia" w:eastAsiaTheme="minorEastAsia" w:cstheme="minorEastAsia"/>
          <w:sz w:val="32"/>
          <w:szCs w:val="32"/>
        </w:rPr>
        <w:t>民主党造势</w:t>
      </w:r>
      <w:r>
        <w:rPr>
          <w:rFonts w:hint="eastAsia" w:asciiTheme="minorEastAsia" w:hAnsiTheme="minorEastAsia" w:eastAsiaTheme="minorEastAsia" w:cstheme="minorEastAsia"/>
          <w:sz w:val="32"/>
          <w:szCs w:val="32"/>
          <w:lang w:eastAsia="zh-CN"/>
        </w:rPr>
        <w:t>；三</w:t>
      </w:r>
      <w:r>
        <w:rPr>
          <w:rFonts w:hint="eastAsia" w:asciiTheme="minorEastAsia" w:hAnsiTheme="minorEastAsia" w:eastAsiaTheme="minorEastAsia" w:cstheme="minorEastAsia"/>
          <w:sz w:val="32"/>
          <w:szCs w:val="32"/>
        </w:rPr>
        <w:t>是美国</w:t>
      </w:r>
      <w:r>
        <w:rPr>
          <w:rFonts w:hint="eastAsia" w:asciiTheme="minorEastAsia" w:hAnsiTheme="minorEastAsia" w:eastAsiaTheme="minorEastAsia" w:cstheme="minorEastAsia"/>
          <w:sz w:val="32"/>
          <w:szCs w:val="32"/>
          <w:lang w:eastAsia="zh-CN"/>
        </w:rPr>
        <w:t>政府公债规模巨大，美</w:t>
      </w:r>
      <w:r>
        <w:rPr>
          <w:rFonts w:hint="eastAsia" w:asciiTheme="minorEastAsia" w:hAnsiTheme="minorEastAsia" w:eastAsiaTheme="minorEastAsia" w:cstheme="minorEastAsia"/>
          <w:sz w:val="32"/>
          <w:szCs w:val="32"/>
        </w:rPr>
        <w:t>财政部</w:t>
      </w:r>
      <w:r>
        <w:rPr>
          <w:rFonts w:hint="eastAsia" w:asciiTheme="minorEastAsia" w:hAnsiTheme="minorEastAsia" w:eastAsiaTheme="minorEastAsia" w:cstheme="minorEastAsia"/>
          <w:sz w:val="32"/>
          <w:szCs w:val="32"/>
          <w:lang w:eastAsia="zh-CN"/>
        </w:rPr>
        <w:t>的利息负担过重，因此商请美联储尽早降息，以减轻压力。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事实究竟如何，只有等未来解密了。</w:t>
      </w: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imes New Roman" w:hAnsi="Times New Roman" w:eastAsia="经典行楷简" w:cs="Times New Roman"/>
          <w:color w:val="2E75B6" w:themeColor="accent1" w:themeShade="BF"/>
          <w:spacing w:val="-40"/>
          <w:kern w:val="2"/>
          <w:sz w:val="52"/>
          <w:szCs w:val="52"/>
          <w:lang w:val="en-US" w:eastAsia="zh-CN" w:bidi="ar-SA"/>
        </w:rPr>
      </w:pPr>
      <w:r>
        <w:rPr>
          <w:rFonts w:hint="eastAsia" w:ascii="Times New Roman" w:hAnsi="Times New Roman" w:eastAsia="经典行楷简" w:cs="Times New Roman"/>
          <w:color w:val="2E75B6" w:themeColor="accent1" w:themeShade="BF"/>
          <w:spacing w:val="-40"/>
          <w:kern w:val="2"/>
          <w:sz w:val="52"/>
          <w:szCs w:val="52"/>
          <w:lang w:val="en-US" w:eastAsia="zh-CN" w:bidi="ar-SA"/>
        </w:rPr>
        <w:t>SmartHK苏港高质量发展合作大会在南京举行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28日，由香港贸易发展局主办、江苏省商务厅和江苏省港澳办合办、江苏省贸促会协办的SmartHK苏港高质量发展合作大会在南京举行。江苏省人民政府副省长方伟、香港特别行政区政府财政司司长陈茂波、香港贸易发展局主席林建岳出席开幕式并致辞。江苏省贸促会会长王善华参加开幕式暨主题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大会以“创新合作 合作创新 共同推动高质量发展”为主题，邀请约40位商界及学术界极具影响力的演讲嘉宾，围绕金融服务、科技创新、绿色可持续发展及文创授权等专题展开深入讨论，就推进苏港合作高质量发展建言献策，共吸引超过2000人参会。当日下午，香港贸易发展局、香港江苏社团总会与江苏省贸促会联合举办主题为“苏港携手，文创向新”的文创授权专题会议，探讨创意设计、IP授权、文化与科技创新融合等议题，旨在利用香港在授权、创意设计、营销等文化产业服务业领域的优势，打造江苏文化“走出去”品牌，提升江苏文化产业的创新力和创造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江苏省贸促会组织省内贸促系统相关负责同志及江苏省国际商会会员企业百余人参加会议和商贸对接活动，促进苏港两地企业创新合作，共同实现高质量发展。</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ind w:firstLine="6080" w:firstLineChars="2000"/>
        <w:jc w:val="both"/>
        <w:textAlignment w:val="auto"/>
        <w:rPr>
          <w:rFonts w:hint="eastAsia" w:asciiTheme="minorEastAsia" w:hAnsiTheme="minorEastAsia" w:eastAsiaTheme="minorEastAsia" w:cstheme="minorEastAsia"/>
          <w:b/>
          <w:color w:val="1F497D"/>
          <w:kern w:val="36"/>
          <w:sz w:val="32"/>
          <w:szCs w:val="32"/>
          <w:u w:val="none" w:color="BB120F"/>
          <w:lang w:val="en-US" w:eastAsia="zh-CN"/>
          <w14:textFill>
            <w14:solidFill>
              <w14:srgbClr w14:val="1F497D">
                <w14:lumMod w14:val="60000"/>
                <w14:lumOff w14:val="40000"/>
              </w14:srgbClr>
            </w14:solidFill>
          </w14:textFill>
        </w:rPr>
      </w:pP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imes New Roman" w:hAnsi="Times New Roman" w:eastAsia="经典行楷简" w:cs="Times New Roman"/>
          <w:color w:val="2E75B6" w:themeColor="accent1" w:themeShade="BF"/>
          <w:spacing w:val="-34"/>
          <w:kern w:val="2"/>
          <w:sz w:val="52"/>
          <w:szCs w:val="5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2024进出口贸易实务与风险防范暨</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ind w:firstLine="0" w:firstLineChars="0"/>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34"/>
          <w:kern w:val="2"/>
          <w:sz w:val="52"/>
          <w:szCs w:val="52"/>
          <w:lang w:val="en-US" w:eastAsia="zh-CN" w:bidi="ar-SA"/>
        </w:rPr>
        <w:t>“贸促服务助企行”宣讲活动在南京举行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8月20—22日，省贸促会在南京举办2024进出口贸易实务与风险防范暨“贸促服务助企行”宣讲活动。省贸促会副会长丛苏峰、宁波银行南京分行副行长陈睿出席并致辞。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活动期间，南京林业大学教授杜运苏、宁波银行跨境金融服务团队、江苏未迟数字科技有限公司副总裁吕游等先后讲解进出口贸易实务理论与实践知识、近期外汇风险及应对、宁波银行跨境服务解决方案以及如何运用大语言模型提升外贸营销效率等内容。省贸促会发展研究部专题介绍近期全球外经贸形势，并对海外热门市场进行分析。</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50余家全省国际商会会员单位、外经贸企业130余位代表参加活动，纷纷表示为期三天的宣讲活动紧扣外贸热点、痛点和难点，内容务实、专业，可有效帮助企业提升在复杂外部环境下开展进出口贸易的风险防范能力，增强开拓海外市场的能力。</w:t>
      </w:r>
      <w:r>
        <w:rPr>
          <w:rFonts w:hint="eastAsia" w:asciiTheme="minorEastAsia" w:hAnsiTheme="minorEastAsia" w:cstheme="minorEastAsia"/>
          <w:color w:val="auto"/>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64" w:firstLineChars="16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省贸促会联合开展德企苏州行活动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8月21—22日，省贸促会联合德国北威州国际商务署在苏州工业园区举办“境外机构、跨国公司江苏行”——德企苏州行活动，搭建中德经贸交流合作平台，推动江苏对德合作。省贸促会副会长丛苏峰全程出席。</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活动期间举办中德投资与产业合作交流对接活动。丛苏峰和德国海外商会联盟大中华区副总裁徐晶波、苏州工业园区投促委主任蒋卫明致辞。德国北威州国际商务署南京代表处介绍德国北威州与江苏投资合作现状，苏州工业园区投资促进局、长三角境外投资促进中心介绍苏州工业园区跨境投资生态情况，德资企业毕孚自动化设备贸易（上海）有限公司、拟赴德投资企业艾信智慧医疗科技发展（苏州）有限公司作分享发言。在圆桌讨论环节，德国北威州国际商务署华东华中西南大区首席代表徐军与罗德律师事务所、DCBC德中商务集团、德咨技术管理咨询公司等专业机构嘉宾从助力中德投资与产业合作角度围绕财税合规、文化融入、技术研发等方面进行了深入交流。14家德国企业及苏州市商务局、苏州市贸促会、苏州工业园区等相关部门和企业60余名代表参加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德企苏州行期间参观苏州工业园区人工智能产业园展厅和新质生产力产业集群，实地考察园区营商环境，了解园区在规划建设、特色产业、科技创新等领域最新发展情况。苏州工业园区高效务实的工作作风、充满创新活力和国际范的氛围给德方机构和企业留下深刻印象，跨国公司希望加强与园区企业的国际合作，共同打造新质生产力。</w:t>
      </w: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（国际联络部、跨采中心）</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28"/>
          <w:kern w:val="2"/>
          <w:sz w:val="52"/>
          <w:szCs w:val="52"/>
          <w:lang w:val="en-US" w:eastAsia="zh-CN" w:bidi="ar-SA"/>
        </w:rPr>
        <w:t>南京贸促会接待全国会展工作委员会一行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8月22日，南京贸促会梁洁会长会见全国会展工作委员会会长赵闯一行。一级调研员沈锦权和会展办负责同志参加接待。</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梁洁会长对赵闯会长的来访表示欢迎，并就将于年底召开的中国会展品牌发展大会进行了深入探讨。她指出，中国会展品牌发展大会不仅是展示我国会展业成果的窗口，也是助力中国会展品牌升级和健康持续发展的重要平台。希望通过中国会展品牌发展大会进一步汇聚行业智慧，推动南京会展业的品牌化、专业化、国际化进程。</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赵闯会长高度评价了南京市在会展业方面所取得的成就。他希望双方加强在资源共享、信息交流等方面的合作，共同为会展业的繁荣发展贡献力量。</w:t>
      </w:r>
      <w:bookmarkStart w:id="0" w:name="_GoBack"/>
      <w:bookmarkEnd w:id="0"/>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（南京贸促会）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11"/>
          <w:kern w:val="2"/>
          <w:sz w:val="52"/>
          <w:szCs w:val="52"/>
          <w:lang w:val="en-US" w:eastAsia="zh-CN" w:bidi="ar-SA"/>
        </w:rPr>
        <w:t>贸促服务助企行亭湖专场活动成功举办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8月27日，省贸促会来盐举办贸促服务助企行亭湖专场活动，省贸促会发展研究部张超部长围绕“全球市场形势分析与展望”课题作专题讲座。</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张部长深入剖析了当前全球市场的宏观格局与国际贸易的最新动态，详细阐述了企业所面临的诸多挑战与潜在机遇，为企业制定未来发展策略提供了极具价值的参考与指导。他的讲解深入浅出，既有宏观视野的广度，又不失微观分析的精度，赢得了现场听众的阵阵掌声。参会企业纷纷表示，此次培训收获满满、受益匪浅，帮助大家更好地了解全球市场形势，提升了开拓国际市场能力，希望能够进一步加大活动举办频次，为企业提供更多学习机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盐城市贸促会会长吴海燕、副会长王卉和亭湖区人民政府副区长蔡建玮等出席活动，亭湖区政府相关部门、镇（街道、园区）和重点外贸企业负责人约140人参加。</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 xml:space="preserve">（盐城贸促会）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040" w:firstLineChars="1000"/>
        <w:contextualSpacing/>
        <w:jc w:val="both"/>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华文新魏" w:cs="Times New Roman"/>
          <w:b/>
          <w:color w:val="FF0000"/>
          <w:spacing w:val="0"/>
          <w:kern w:val="36"/>
          <w:sz w:val="52"/>
          <w:szCs w:val="52"/>
          <w:lang w:val="en-US" w:eastAsia="zh-CN"/>
        </w:rPr>
      </w:pPr>
      <w:r>
        <w:rPr>
          <w:rFonts w:hint="eastAsia" w:ascii="Times New Roman" w:hAnsi="Times New Roman" w:eastAsia="华文新魏" w:cs="Times New Roman"/>
          <w:b/>
          <w:color w:val="FF0000"/>
          <w:spacing w:val="-34"/>
          <w:kern w:val="36"/>
          <w:sz w:val="52"/>
          <w:szCs w:val="52"/>
          <w:lang w:val="en-US" w:eastAsia="zh-CN"/>
        </w:rPr>
        <w:t>南钢入选江苏省首批碳达峰碳中和试点名单</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近日，江苏省发展改革委、省财政厅、省生态环境厅联合发文，确定6个县（市、区）、35个园区、30个企业为首批省级碳达峰碳中和试点，我会副会长单位——南京钢铁股份有限公司榜上有名。</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实现碳排放达峰是衡量一个国家或地区发展阶段和现代化水平的关键标志之一。为落实《江苏省碳达峰实施方案》有关部署，按照《江苏省碳达峰碳中和试点建设方案》工作安排，经组织申报，确定了首批试点名单。试点建设工作将坚持“系统谋划、双轮驱动、示范引领”的工作原则，引导减排潜力较大、低碳发展基础较好的城市、园区和企业，围绕绿色低碳转型先行先试，探索行之有效的经验做法，形成一批可操作可复制可推广的发展模式和典型经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eastAsiaTheme="minorEastAsia" w:cstheme="minorEastAsia"/>
          <w:i w:val="0"/>
          <w:caps w:val="0"/>
          <w:color w:val="000000"/>
          <w:spacing w:val="0"/>
          <w:sz w:val="32"/>
          <w:szCs w:val="32"/>
          <w:lang w:val="en-US" w:eastAsia="zh-CN"/>
        </w:rPr>
        <w:t> </w:t>
      </w: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（来源：南钢股份官网）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34"/>
          <w:kern w:val="36"/>
          <w:sz w:val="52"/>
          <w:szCs w:val="52"/>
          <w:lang w:val="en-US" w:eastAsia="zh-CN"/>
        </w:rPr>
        <w:t>乐美包装获评省级内外贸一体化试点企业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近日，省商务厅公布了第二批江苏省内外贸一体化试点企业名单。我会副会长单位——乐美包装（昆山）有限公司入选。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江苏省内外贸一体化试点工作的主要目标在于打造内外贸融合发展平台，形成具有国际竞争力、融合发展的产业集群，建立健全促进内外贸一体化发展的体制机制。本次评选重点关注企业的研发设计、生产制造、标准衔接、品牌营销、渠道布局、数字化转型等能力，并结合企业发展实际和未来规划进行综合评价。</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乐美包装于2014年成立，是全球最大规模的无菌包单体工厂之一，公司主要产品为无菌液态食品包装材料，拥有发明专利8个、实用新型专利70多个。销售网络遍布70多个国家和地区，与蒙牛、伊利、辉山等国内乳品大企业，皇家菲仕兰、恒天然、达能、可口可乐、百事可乐、好时等国外知名企业均有深度合作，是第一家获得好时卓越奖项的包装供应商。</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（来源：乐美包装微信公众号）</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华文新魏" w:cs="Times New Roman"/>
          <w:b/>
          <w:color w:val="FF0000"/>
          <w:spacing w:val="-20"/>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34"/>
          <w:kern w:val="36"/>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imes New Roman" w:hAnsi="Times New Roman" w:eastAsia="华文新魏" w:cs="Times New Roman"/>
          <w:b/>
          <w:color w:val="FF0000"/>
          <w:spacing w:val="0"/>
          <w:kern w:val="36"/>
          <w:sz w:val="52"/>
          <w:szCs w:val="52"/>
          <w:lang w:val="en-US" w:eastAsia="zh-CN"/>
        </w:rPr>
        <w:t>工信部发布首批符合《电动自行车行业规范条件》企业名单，雅迪成功入选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为加强电动自行车行业管理，推动我国电动自行车行业健康可持续发展。近日，工信部发布首批符合《电动自行车行业规范条件》的企业名单，最终仅有6家公司入选，我会副会长单位——雅迪科技集团有限公司凭借尖端科技力、高品质产品力、高质量安全生产力等全方位品牌综合硬实力，以绝对优势入选。</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方正楷体_GBK" w:hAnsi="方正楷体_GBK" w:eastAsia="方正楷体_GBK" w:cs="方正楷体_GBK"/>
          <w:b/>
          <w:bCs w:val="0"/>
          <w:color w:val="FF000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二十三年来，雅迪专注以创新技术夯实科技底座，不断突破技术的边界引领行业发展，截止目前，雅迪累计研发投入超47.8亿，专利数量超1900项，较上年增长19%，研发实力连续多年遥遥领先。布局全球拥有6家行业领先水准技术研发中心，1家国家级工业技术设计中心，拥有2大CNAS国家级企业实验室，8大全球智能产研基地。多年深耕与沉淀之下，成功实现连续七年全球销量第一，出口全球100个国家，更收获全球超8000万用户的支持与信赖。</w:t>
      </w: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（来源：雅迪科技集团微信公众号）</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IDvTPUAAAACAEAAA8A&#10;AAAAAAAAAQAgAAAAIgAAAGRycy9kb3ducmV2LnhtbFBLAQIUABQAAAAIAIdO4kAjhYu2GwIAACEE&#10;AAAOAAAAAAAAAAEAIAAAACMBAABkcnMvZTJvRG9jLnhtbFBLBQYAAAAABgAGAFkBAACw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93913"/>
    <w:rsid w:val="02C541E0"/>
    <w:rsid w:val="02C7326C"/>
    <w:rsid w:val="02C976C5"/>
    <w:rsid w:val="02CA2014"/>
    <w:rsid w:val="02CE36F0"/>
    <w:rsid w:val="02D253BA"/>
    <w:rsid w:val="02D664A5"/>
    <w:rsid w:val="02D7012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73E54"/>
    <w:rsid w:val="032626D8"/>
    <w:rsid w:val="03276EB0"/>
    <w:rsid w:val="03320DD5"/>
    <w:rsid w:val="03367B19"/>
    <w:rsid w:val="033F3094"/>
    <w:rsid w:val="033F5E23"/>
    <w:rsid w:val="0341739D"/>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A3526"/>
    <w:rsid w:val="057A799E"/>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B0B83"/>
    <w:rsid w:val="062C6587"/>
    <w:rsid w:val="062D67C8"/>
    <w:rsid w:val="06301A1B"/>
    <w:rsid w:val="0631403C"/>
    <w:rsid w:val="0633380C"/>
    <w:rsid w:val="0638362B"/>
    <w:rsid w:val="063E600A"/>
    <w:rsid w:val="06405659"/>
    <w:rsid w:val="0645654E"/>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24D7D"/>
    <w:rsid w:val="06A729E1"/>
    <w:rsid w:val="06AB1C7E"/>
    <w:rsid w:val="06AC05E7"/>
    <w:rsid w:val="06AF1D16"/>
    <w:rsid w:val="06AF3414"/>
    <w:rsid w:val="06B15237"/>
    <w:rsid w:val="06BA5EB2"/>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86D75"/>
    <w:rsid w:val="079A77BC"/>
    <w:rsid w:val="079D6C92"/>
    <w:rsid w:val="079E20C5"/>
    <w:rsid w:val="07A757F6"/>
    <w:rsid w:val="07A92FCD"/>
    <w:rsid w:val="07AB5A16"/>
    <w:rsid w:val="07C32EAB"/>
    <w:rsid w:val="07CE7516"/>
    <w:rsid w:val="07DA5629"/>
    <w:rsid w:val="07DE3B60"/>
    <w:rsid w:val="07E54B9E"/>
    <w:rsid w:val="08010DA7"/>
    <w:rsid w:val="08033960"/>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140F8D"/>
    <w:rsid w:val="09150DAF"/>
    <w:rsid w:val="09155095"/>
    <w:rsid w:val="091D10D0"/>
    <w:rsid w:val="09210482"/>
    <w:rsid w:val="092105FC"/>
    <w:rsid w:val="09222AB2"/>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A1F77"/>
    <w:rsid w:val="09915044"/>
    <w:rsid w:val="099872CF"/>
    <w:rsid w:val="09991A94"/>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1B5347"/>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C1AD5"/>
    <w:rsid w:val="0B041299"/>
    <w:rsid w:val="0B062542"/>
    <w:rsid w:val="0B0E47F4"/>
    <w:rsid w:val="0B1C17AD"/>
    <w:rsid w:val="0B283787"/>
    <w:rsid w:val="0B2D6F6E"/>
    <w:rsid w:val="0B324CD2"/>
    <w:rsid w:val="0B345DB1"/>
    <w:rsid w:val="0B363DD8"/>
    <w:rsid w:val="0B3A4657"/>
    <w:rsid w:val="0B3C5BB9"/>
    <w:rsid w:val="0B4372E2"/>
    <w:rsid w:val="0B5979A6"/>
    <w:rsid w:val="0B5A2079"/>
    <w:rsid w:val="0B5B5996"/>
    <w:rsid w:val="0B5C3E34"/>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62605"/>
    <w:rsid w:val="0BDC3258"/>
    <w:rsid w:val="0BDE3581"/>
    <w:rsid w:val="0BE52963"/>
    <w:rsid w:val="0BE85349"/>
    <w:rsid w:val="0BF57A28"/>
    <w:rsid w:val="0BF845E9"/>
    <w:rsid w:val="0BFA1A53"/>
    <w:rsid w:val="0C074F06"/>
    <w:rsid w:val="0C0B1E5B"/>
    <w:rsid w:val="0C146F99"/>
    <w:rsid w:val="0C1A584B"/>
    <w:rsid w:val="0C1F5892"/>
    <w:rsid w:val="0C2275D5"/>
    <w:rsid w:val="0C2D70F9"/>
    <w:rsid w:val="0C342312"/>
    <w:rsid w:val="0C363AA9"/>
    <w:rsid w:val="0C456335"/>
    <w:rsid w:val="0C53740C"/>
    <w:rsid w:val="0C563E70"/>
    <w:rsid w:val="0C631545"/>
    <w:rsid w:val="0C6E187C"/>
    <w:rsid w:val="0C7D4D8F"/>
    <w:rsid w:val="0C80052F"/>
    <w:rsid w:val="0C8C06D3"/>
    <w:rsid w:val="0C900DC2"/>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54A50"/>
    <w:rsid w:val="0D384916"/>
    <w:rsid w:val="0D427E08"/>
    <w:rsid w:val="0D44435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9693F"/>
    <w:rsid w:val="0DCC1715"/>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F3D65"/>
    <w:rsid w:val="115347BC"/>
    <w:rsid w:val="11545887"/>
    <w:rsid w:val="11597C64"/>
    <w:rsid w:val="11602A9E"/>
    <w:rsid w:val="116228E3"/>
    <w:rsid w:val="11631325"/>
    <w:rsid w:val="116345A4"/>
    <w:rsid w:val="11667833"/>
    <w:rsid w:val="11687433"/>
    <w:rsid w:val="1178450A"/>
    <w:rsid w:val="117B53DF"/>
    <w:rsid w:val="117B71D3"/>
    <w:rsid w:val="11845F00"/>
    <w:rsid w:val="11885DD3"/>
    <w:rsid w:val="118A58E4"/>
    <w:rsid w:val="118C56EA"/>
    <w:rsid w:val="118F0DB3"/>
    <w:rsid w:val="11916F88"/>
    <w:rsid w:val="11A51BB6"/>
    <w:rsid w:val="11AC6860"/>
    <w:rsid w:val="11B1238B"/>
    <w:rsid w:val="11B62D0B"/>
    <w:rsid w:val="11BE6E3E"/>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4F5D9B"/>
    <w:rsid w:val="135369A3"/>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E62DA6"/>
    <w:rsid w:val="13F211C8"/>
    <w:rsid w:val="13F5027E"/>
    <w:rsid w:val="13F57229"/>
    <w:rsid w:val="13F60043"/>
    <w:rsid w:val="13F63AC9"/>
    <w:rsid w:val="13FF4761"/>
    <w:rsid w:val="1401651E"/>
    <w:rsid w:val="14065625"/>
    <w:rsid w:val="14127CF3"/>
    <w:rsid w:val="1416357F"/>
    <w:rsid w:val="14175C6D"/>
    <w:rsid w:val="14182B9E"/>
    <w:rsid w:val="141A193D"/>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A1497"/>
    <w:rsid w:val="14AD2447"/>
    <w:rsid w:val="14BD0C90"/>
    <w:rsid w:val="14BD7435"/>
    <w:rsid w:val="14D13225"/>
    <w:rsid w:val="14D41B03"/>
    <w:rsid w:val="14E11E90"/>
    <w:rsid w:val="14EC7262"/>
    <w:rsid w:val="14F50637"/>
    <w:rsid w:val="14F56962"/>
    <w:rsid w:val="14FD3DC3"/>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A412DF"/>
    <w:rsid w:val="15A625C0"/>
    <w:rsid w:val="15A70541"/>
    <w:rsid w:val="15A7643A"/>
    <w:rsid w:val="15AD4348"/>
    <w:rsid w:val="15AD7612"/>
    <w:rsid w:val="15B96153"/>
    <w:rsid w:val="15BC619F"/>
    <w:rsid w:val="15BD0132"/>
    <w:rsid w:val="15BF618A"/>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77B8C"/>
    <w:rsid w:val="173A6824"/>
    <w:rsid w:val="173B1FA1"/>
    <w:rsid w:val="173C594E"/>
    <w:rsid w:val="173D1596"/>
    <w:rsid w:val="17503F57"/>
    <w:rsid w:val="17505DD6"/>
    <w:rsid w:val="17586CB0"/>
    <w:rsid w:val="17596CA9"/>
    <w:rsid w:val="17600681"/>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B23E0F"/>
    <w:rsid w:val="17B31B32"/>
    <w:rsid w:val="17B80549"/>
    <w:rsid w:val="17C063A0"/>
    <w:rsid w:val="17C16366"/>
    <w:rsid w:val="17C76A67"/>
    <w:rsid w:val="17CA22FD"/>
    <w:rsid w:val="17CF3A14"/>
    <w:rsid w:val="17DA0F7A"/>
    <w:rsid w:val="17DC2D7F"/>
    <w:rsid w:val="17E95276"/>
    <w:rsid w:val="17EA38A1"/>
    <w:rsid w:val="17EB77A3"/>
    <w:rsid w:val="17EC5E41"/>
    <w:rsid w:val="17F8667B"/>
    <w:rsid w:val="18060D81"/>
    <w:rsid w:val="1806537C"/>
    <w:rsid w:val="18066C18"/>
    <w:rsid w:val="1809630E"/>
    <w:rsid w:val="181C2683"/>
    <w:rsid w:val="181E4167"/>
    <w:rsid w:val="18324998"/>
    <w:rsid w:val="18341D76"/>
    <w:rsid w:val="18351C27"/>
    <w:rsid w:val="18553A22"/>
    <w:rsid w:val="18607956"/>
    <w:rsid w:val="1866144B"/>
    <w:rsid w:val="186E420E"/>
    <w:rsid w:val="187941B7"/>
    <w:rsid w:val="187A14AA"/>
    <w:rsid w:val="187B7B4F"/>
    <w:rsid w:val="1887188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948C3"/>
    <w:rsid w:val="190E3326"/>
    <w:rsid w:val="190E3538"/>
    <w:rsid w:val="19164D1E"/>
    <w:rsid w:val="191C588D"/>
    <w:rsid w:val="192502DE"/>
    <w:rsid w:val="1927395B"/>
    <w:rsid w:val="192D514C"/>
    <w:rsid w:val="193544CD"/>
    <w:rsid w:val="19443AA2"/>
    <w:rsid w:val="1945355B"/>
    <w:rsid w:val="194817FC"/>
    <w:rsid w:val="194A0D45"/>
    <w:rsid w:val="194A2ADB"/>
    <w:rsid w:val="195159CB"/>
    <w:rsid w:val="195961D5"/>
    <w:rsid w:val="195C14E8"/>
    <w:rsid w:val="196515C3"/>
    <w:rsid w:val="197859DA"/>
    <w:rsid w:val="1980769C"/>
    <w:rsid w:val="19884F66"/>
    <w:rsid w:val="198F181A"/>
    <w:rsid w:val="19917CFC"/>
    <w:rsid w:val="1997576B"/>
    <w:rsid w:val="1998697F"/>
    <w:rsid w:val="199A20B4"/>
    <w:rsid w:val="19A71B82"/>
    <w:rsid w:val="19B84C88"/>
    <w:rsid w:val="19C6694E"/>
    <w:rsid w:val="19CC0DE5"/>
    <w:rsid w:val="19D11E61"/>
    <w:rsid w:val="19D5618C"/>
    <w:rsid w:val="19E22401"/>
    <w:rsid w:val="19E23808"/>
    <w:rsid w:val="19F44B16"/>
    <w:rsid w:val="19F538D5"/>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86B17"/>
    <w:rsid w:val="1AFA3523"/>
    <w:rsid w:val="1AFD3AEA"/>
    <w:rsid w:val="1B05238D"/>
    <w:rsid w:val="1B13587B"/>
    <w:rsid w:val="1B1D44BA"/>
    <w:rsid w:val="1B275D4E"/>
    <w:rsid w:val="1B2C07D2"/>
    <w:rsid w:val="1B2C5EE0"/>
    <w:rsid w:val="1B33077D"/>
    <w:rsid w:val="1B3604D3"/>
    <w:rsid w:val="1B364D11"/>
    <w:rsid w:val="1B3865C6"/>
    <w:rsid w:val="1B3E5EDE"/>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4F6563"/>
    <w:rsid w:val="1C545F3D"/>
    <w:rsid w:val="1C556488"/>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94B13"/>
    <w:rsid w:val="1EF579A0"/>
    <w:rsid w:val="1F05532C"/>
    <w:rsid w:val="1F095121"/>
    <w:rsid w:val="1F0C3604"/>
    <w:rsid w:val="1F0D0383"/>
    <w:rsid w:val="1F0F4C7A"/>
    <w:rsid w:val="1F1527EE"/>
    <w:rsid w:val="1F20034A"/>
    <w:rsid w:val="1F251ABC"/>
    <w:rsid w:val="1F290391"/>
    <w:rsid w:val="1F2A2D10"/>
    <w:rsid w:val="1F304386"/>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429B4"/>
    <w:rsid w:val="1FAC06FF"/>
    <w:rsid w:val="1FB34801"/>
    <w:rsid w:val="1FB75185"/>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A496C"/>
    <w:rsid w:val="24CB78C2"/>
    <w:rsid w:val="24CC60AA"/>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8F1E2E"/>
    <w:rsid w:val="259114ED"/>
    <w:rsid w:val="2593720A"/>
    <w:rsid w:val="25996F48"/>
    <w:rsid w:val="259A3CB2"/>
    <w:rsid w:val="259E4C39"/>
    <w:rsid w:val="259E5828"/>
    <w:rsid w:val="25A45B04"/>
    <w:rsid w:val="25A92B92"/>
    <w:rsid w:val="25AB0A3D"/>
    <w:rsid w:val="25AC370D"/>
    <w:rsid w:val="25B22B68"/>
    <w:rsid w:val="25B5218E"/>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95114"/>
    <w:rsid w:val="260E454E"/>
    <w:rsid w:val="261464EE"/>
    <w:rsid w:val="26280E6C"/>
    <w:rsid w:val="262E05B0"/>
    <w:rsid w:val="26327A25"/>
    <w:rsid w:val="26331CBB"/>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09034F"/>
    <w:rsid w:val="28152D65"/>
    <w:rsid w:val="281713C1"/>
    <w:rsid w:val="28201807"/>
    <w:rsid w:val="28202089"/>
    <w:rsid w:val="28210C3B"/>
    <w:rsid w:val="282408A9"/>
    <w:rsid w:val="2833186C"/>
    <w:rsid w:val="283E3927"/>
    <w:rsid w:val="28432F7C"/>
    <w:rsid w:val="285065F4"/>
    <w:rsid w:val="28557C44"/>
    <w:rsid w:val="28564AD0"/>
    <w:rsid w:val="285E1540"/>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A16669"/>
    <w:rsid w:val="2BAE20A5"/>
    <w:rsid w:val="2BAF2381"/>
    <w:rsid w:val="2BB1376A"/>
    <w:rsid w:val="2BBA7E05"/>
    <w:rsid w:val="2BBB17D5"/>
    <w:rsid w:val="2BC3413A"/>
    <w:rsid w:val="2BC45396"/>
    <w:rsid w:val="2BD540AD"/>
    <w:rsid w:val="2BDA10DE"/>
    <w:rsid w:val="2BDA2AEC"/>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BF1693"/>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81D35"/>
    <w:rsid w:val="31C3729F"/>
    <w:rsid w:val="31CB617D"/>
    <w:rsid w:val="31CC0ECB"/>
    <w:rsid w:val="31DD2EC1"/>
    <w:rsid w:val="31DF1DB8"/>
    <w:rsid w:val="31E56082"/>
    <w:rsid w:val="31F020DC"/>
    <w:rsid w:val="31F072F8"/>
    <w:rsid w:val="32061C7F"/>
    <w:rsid w:val="320A52D8"/>
    <w:rsid w:val="320D2005"/>
    <w:rsid w:val="32136025"/>
    <w:rsid w:val="32220D79"/>
    <w:rsid w:val="32252577"/>
    <w:rsid w:val="32294648"/>
    <w:rsid w:val="322F0831"/>
    <w:rsid w:val="3238009F"/>
    <w:rsid w:val="323F5519"/>
    <w:rsid w:val="32442E52"/>
    <w:rsid w:val="32471CC6"/>
    <w:rsid w:val="324F0134"/>
    <w:rsid w:val="32540593"/>
    <w:rsid w:val="32575B7F"/>
    <w:rsid w:val="32582CC3"/>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73AA"/>
    <w:rsid w:val="33020BF1"/>
    <w:rsid w:val="330710D7"/>
    <w:rsid w:val="331264BB"/>
    <w:rsid w:val="331E3887"/>
    <w:rsid w:val="33224534"/>
    <w:rsid w:val="332742E9"/>
    <w:rsid w:val="332850C4"/>
    <w:rsid w:val="332A1AC1"/>
    <w:rsid w:val="332C71E1"/>
    <w:rsid w:val="332E1BC2"/>
    <w:rsid w:val="332F3B66"/>
    <w:rsid w:val="333B116B"/>
    <w:rsid w:val="333E2024"/>
    <w:rsid w:val="33427ABB"/>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238C5"/>
    <w:rsid w:val="34AC0653"/>
    <w:rsid w:val="34AC2DE9"/>
    <w:rsid w:val="34B24855"/>
    <w:rsid w:val="34B55560"/>
    <w:rsid w:val="34B84D9B"/>
    <w:rsid w:val="34BE7103"/>
    <w:rsid w:val="34C82B00"/>
    <w:rsid w:val="34C9343D"/>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31CAD"/>
    <w:rsid w:val="3559121F"/>
    <w:rsid w:val="356D51F7"/>
    <w:rsid w:val="35735BCB"/>
    <w:rsid w:val="357972DF"/>
    <w:rsid w:val="357D79D3"/>
    <w:rsid w:val="35804F9D"/>
    <w:rsid w:val="35843B49"/>
    <w:rsid w:val="35884385"/>
    <w:rsid w:val="35890016"/>
    <w:rsid w:val="358B0F26"/>
    <w:rsid w:val="35924A15"/>
    <w:rsid w:val="359753B1"/>
    <w:rsid w:val="35A251D2"/>
    <w:rsid w:val="35A25468"/>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F061B"/>
    <w:rsid w:val="364236D7"/>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55502"/>
    <w:rsid w:val="382563C3"/>
    <w:rsid w:val="382B10C6"/>
    <w:rsid w:val="383D4592"/>
    <w:rsid w:val="384502C9"/>
    <w:rsid w:val="384757BF"/>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024400"/>
    <w:rsid w:val="390A29CF"/>
    <w:rsid w:val="3910183F"/>
    <w:rsid w:val="39132EBE"/>
    <w:rsid w:val="39192D79"/>
    <w:rsid w:val="3923223F"/>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CF5E01"/>
    <w:rsid w:val="3AD16134"/>
    <w:rsid w:val="3AD17EB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326DEB"/>
    <w:rsid w:val="3C393537"/>
    <w:rsid w:val="3C3C1378"/>
    <w:rsid w:val="3C497D33"/>
    <w:rsid w:val="3C5A342C"/>
    <w:rsid w:val="3C5C0867"/>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2325F"/>
    <w:rsid w:val="3DAF1596"/>
    <w:rsid w:val="3DB52668"/>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B1B3B"/>
    <w:rsid w:val="40BE2CAE"/>
    <w:rsid w:val="40C87F0D"/>
    <w:rsid w:val="40E13187"/>
    <w:rsid w:val="40E4111E"/>
    <w:rsid w:val="40F110C9"/>
    <w:rsid w:val="40F71EFC"/>
    <w:rsid w:val="40FA7D3C"/>
    <w:rsid w:val="40FC6040"/>
    <w:rsid w:val="41013098"/>
    <w:rsid w:val="41046C1A"/>
    <w:rsid w:val="410A66D3"/>
    <w:rsid w:val="411252F5"/>
    <w:rsid w:val="41216561"/>
    <w:rsid w:val="4126157E"/>
    <w:rsid w:val="412E1703"/>
    <w:rsid w:val="41341D04"/>
    <w:rsid w:val="41463814"/>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05372"/>
    <w:rsid w:val="44F550F4"/>
    <w:rsid w:val="44FB2020"/>
    <w:rsid w:val="450005C9"/>
    <w:rsid w:val="450E225C"/>
    <w:rsid w:val="450E5F3E"/>
    <w:rsid w:val="45156B4C"/>
    <w:rsid w:val="451C3C3F"/>
    <w:rsid w:val="45202195"/>
    <w:rsid w:val="45282E33"/>
    <w:rsid w:val="45361C96"/>
    <w:rsid w:val="45367180"/>
    <w:rsid w:val="453936A0"/>
    <w:rsid w:val="45404081"/>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1564C"/>
    <w:rsid w:val="4943084D"/>
    <w:rsid w:val="495B2F5A"/>
    <w:rsid w:val="49660B64"/>
    <w:rsid w:val="496E056A"/>
    <w:rsid w:val="497930F9"/>
    <w:rsid w:val="497E5F0E"/>
    <w:rsid w:val="49863345"/>
    <w:rsid w:val="49895BF9"/>
    <w:rsid w:val="49896889"/>
    <w:rsid w:val="498B006E"/>
    <w:rsid w:val="499C126E"/>
    <w:rsid w:val="49A20032"/>
    <w:rsid w:val="49A82756"/>
    <w:rsid w:val="49A86BF4"/>
    <w:rsid w:val="49A902DE"/>
    <w:rsid w:val="49A961CD"/>
    <w:rsid w:val="49B337E8"/>
    <w:rsid w:val="49B57903"/>
    <w:rsid w:val="49BB0B72"/>
    <w:rsid w:val="49BD536F"/>
    <w:rsid w:val="49CD3C98"/>
    <w:rsid w:val="49E27CCF"/>
    <w:rsid w:val="49F44446"/>
    <w:rsid w:val="49F543E3"/>
    <w:rsid w:val="49FA00AE"/>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B46F9"/>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425A4D"/>
    <w:rsid w:val="4B473804"/>
    <w:rsid w:val="4B5151AA"/>
    <w:rsid w:val="4B537CBF"/>
    <w:rsid w:val="4B550153"/>
    <w:rsid w:val="4B641191"/>
    <w:rsid w:val="4B694B3A"/>
    <w:rsid w:val="4B730932"/>
    <w:rsid w:val="4B76529F"/>
    <w:rsid w:val="4B797876"/>
    <w:rsid w:val="4B7A237E"/>
    <w:rsid w:val="4B815FB3"/>
    <w:rsid w:val="4B86443F"/>
    <w:rsid w:val="4B9A0C4D"/>
    <w:rsid w:val="4B9B3B70"/>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C1686"/>
    <w:rsid w:val="4C513E4B"/>
    <w:rsid w:val="4C603F1D"/>
    <w:rsid w:val="4C6211EA"/>
    <w:rsid w:val="4C635D18"/>
    <w:rsid w:val="4C670EB1"/>
    <w:rsid w:val="4C712086"/>
    <w:rsid w:val="4C7120EC"/>
    <w:rsid w:val="4C7B3D80"/>
    <w:rsid w:val="4C7C605E"/>
    <w:rsid w:val="4C7E2355"/>
    <w:rsid w:val="4C847264"/>
    <w:rsid w:val="4C970E7B"/>
    <w:rsid w:val="4CC1054F"/>
    <w:rsid w:val="4CCB1948"/>
    <w:rsid w:val="4CCE079D"/>
    <w:rsid w:val="4CCE3699"/>
    <w:rsid w:val="4CEA4F4D"/>
    <w:rsid w:val="4CEC58DB"/>
    <w:rsid w:val="4CEF637A"/>
    <w:rsid w:val="4CF00FB6"/>
    <w:rsid w:val="4CF16277"/>
    <w:rsid w:val="4CF4672D"/>
    <w:rsid w:val="4CFA2AAF"/>
    <w:rsid w:val="4D0325CF"/>
    <w:rsid w:val="4D035A68"/>
    <w:rsid w:val="4D0F26CE"/>
    <w:rsid w:val="4D147026"/>
    <w:rsid w:val="4D1478EC"/>
    <w:rsid w:val="4D165C91"/>
    <w:rsid w:val="4D225412"/>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37E4B"/>
    <w:rsid w:val="4E365771"/>
    <w:rsid w:val="4E3C3064"/>
    <w:rsid w:val="4E3C5DC0"/>
    <w:rsid w:val="4E446F8B"/>
    <w:rsid w:val="4E4D4DE2"/>
    <w:rsid w:val="4E5669BF"/>
    <w:rsid w:val="4E651EA6"/>
    <w:rsid w:val="4E6757B0"/>
    <w:rsid w:val="4E6C4048"/>
    <w:rsid w:val="4E783D17"/>
    <w:rsid w:val="4E805C19"/>
    <w:rsid w:val="4E836C4E"/>
    <w:rsid w:val="4E865BCD"/>
    <w:rsid w:val="4E957162"/>
    <w:rsid w:val="4E9E60B6"/>
    <w:rsid w:val="4EA27ACB"/>
    <w:rsid w:val="4EA60E85"/>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664358"/>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2052F"/>
    <w:rsid w:val="504768E3"/>
    <w:rsid w:val="504F0FB9"/>
    <w:rsid w:val="504F769B"/>
    <w:rsid w:val="50537FDD"/>
    <w:rsid w:val="50622728"/>
    <w:rsid w:val="507554C6"/>
    <w:rsid w:val="507D0063"/>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A4E7D"/>
    <w:rsid w:val="51187091"/>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73E74"/>
    <w:rsid w:val="53130812"/>
    <w:rsid w:val="53176C42"/>
    <w:rsid w:val="53184746"/>
    <w:rsid w:val="531972CB"/>
    <w:rsid w:val="53227F73"/>
    <w:rsid w:val="532342A1"/>
    <w:rsid w:val="532E4AC7"/>
    <w:rsid w:val="533E55DF"/>
    <w:rsid w:val="5360600D"/>
    <w:rsid w:val="53703765"/>
    <w:rsid w:val="5376095E"/>
    <w:rsid w:val="537A04E8"/>
    <w:rsid w:val="537D7719"/>
    <w:rsid w:val="53874180"/>
    <w:rsid w:val="53910730"/>
    <w:rsid w:val="53991F4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57FE2"/>
    <w:rsid w:val="5428581F"/>
    <w:rsid w:val="542B47E5"/>
    <w:rsid w:val="54312A0A"/>
    <w:rsid w:val="54451C08"/>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E32310"/>
    <w:rsid w:val="54E35B83"/>
    <w:rsid w:val="54E5570D"/>
    <w:rsid w:val="54E656A9"/>
    <w:rsid w:val="54E85406"/>
    <w:rsid w:val="54EE0227"/>
    <w:rsid w:val="54EE4DEC"/>
    <w:rsid w:val="54F1490A"/>
    <w:rsid w:val="54F93AE7"/>
    <w:rsid w:val="54F97DEB"/>
    <w:rsid w:val="55012EF3"/>
    <w:rsid w:val="55022588"/>
    <w:rsid w:val="550D4E7F"/>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87876"/>
    <w:rsid w:val="56391384"/>
    <w:rsid w:val="563F06E3"/>
    <w:rsid w:val="564C27AB"/>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6FE5AE3"/>
    <w:rsid w:val="570255BE"/>
    <w:rsid w:val="570426CC"/>
    <w:rsid w:val="57100D05"/>
    <w:rsid w:val="57103E85"/>
    <w:rsid w:val="57167A78"/>
    <w:rsid w:val="571E4103"/>
    <w:rsid w:val="5724356E"/>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B159CB"/>
    <w:rsid w:val="59B51848"/>
    <w:rsid w:val="59B80057"/>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04EC8"/>
    <w:rsid w:val="5A02215A"/>
    <w:rsid w:val="5A0823EC"/>
    <w:rsid w:val="5A0B4999"/>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D33"/>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401AFE"/>
    <w:rsid w:val="5E454E01"/>
    <w:rsid w:val="5E490493"/>
    <w:rsid w:val="5E4C4204"/>
    <w:rsid w:val="5E4D4054"/>
    <w:rsid w:val="5E4F4CEC"/>
    <w:rsid w:val="5E517BBA"/>
    <w:rsid w:val="5E521705"/>
    <w:rsid w:val="5E650FB2"/>
    <w:rsid w:val="5E656142"/>
    <w:rsid w:val="5E680B19"/>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E05F11"/>
    <w:rsid w:val="62E70CE0"/>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41212"/>
    <w:rsid w:val="641C56F8"/>
    <w:rsid w:val="64231408"/>
    <w:rsid w:val="64263EF4"/>
    <w:rsid w:val="64281DC7"/>
    <w:rsid w:val="6432123B"/>
    <w:rsid w:val="643A7824"/>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04BC"/>
    <w:rsid w:val="64C03551"/>
    <w:rsid w:val="64C317B4"/>
    <w:rsid w:val="64C6530B"/>
    <w:rsid w:val="64CB2A33"/>
    <w:rsid w:val="64D9451E"/>
    <w:rsid w:val="64DB77D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03D06"/>
    <w:rsid w:val="66190E3D"/>
    <w:rsid w:val="661C061C"/>
    <w:rsid w:val="6628673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51F56"/>
    <w:rsid w:val="67E97A89"/>
    <w:rsid w:val="67F27764"/>
    <w:rsid w:val="6802359C"/>
    <w:rsid w:val="68081463"/>
    <w:rsid w:val="680A257F"/>
    <w:rsid w:val="680E50C8"/>
    <w:rsid w:val="681541C3"/>
    <w:rsid w:val="681674DF"/>
    <w:rsid w:val="681D6FA0"/>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F65CC"/>
    <w:rsid w:val="6DB157A2"/>
    <w:rsid w:val="6DB25F3D"/>
    <w:rsid w:val="6DBA586C"/>
    <w:rsid w:val="6DBE0B3F"/>
    <w:rsid w:val="6DBF7294"/>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915314"/>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F1809"/>
    <w:rsid w:val="6F19615F"/>
    <w:rsid w:val="6F1A3B57"/>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91844"/>
    <w:rsid w:val="6FDF40F5"/>
    <w:rsid w:val="6FE0165C"/>
    <w:rsid w:val="6FE05F95"/>
    <w:rsid w:val="6FF021F5"/>
    <w:rsid w:val="6FF06B6B"/>
    <w:rsid w:val="6FF73491"/>
    <w:rsid w:val="6FF97C31"/>
    <w:rsid w:val="6FFC64FF"/>
    <w:rsid w:val="7001428F"/>
    <w:rsid w:val="700E7127"/>
    <w:rsid w:val="70133236"/>
    <w:rsid w:val="70156307"/>
    <w:rsid w:val="7016485B"/>
    <w:rsid w:val="701C590F"/>
    <w:rsid w:val="702033F7"/>
    <w:rsid w:val="7021034D"/>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1C0759"/>
    <w:rsid w:val="722F766C"/>
    <w:rsid w:val="723256D8"/>
    <w:rsid w:val="72382B26"/>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54F0"/>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E1491C"/>
    <w:rsid w:val="74E67A31"/>
    <w:rsid w:val="74F61278"/>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606B3D"/>
    <w:rsid w:val="776870B9"/>
    <w:rsid w:val="776967FB"/>
    <w:rsid w:val="776D4583"/>
    <w:rsid w:val="7776540C"/>
    <w:rsid w:val="777A37E1"/>
    <w:rsid w:val="778100C2"/>
    <w:rsid w:val="778121B3"/>
    <w:rsid w:val="77855EB4"/>
    <w:rsid w:val="779D35D8"/>
    <w:rsid w:val="77A94947"/>
    <w:rsid w:val="77AA135C"/>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646A69"/>
    <w:rsid w:val="7A6736BC"/>
    <w:rsid w:val="7A6A7B3B"/>
    <w:rsid w:val="7A7067FA"/>
    <w:rsid w:val="7A721F7E"/>
    <w:rsid w:val="7A746574"/>
    <w:rsid w:val="7A7678E5"/>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D3226"/>
    <w:rsid w:val="7B5E4EEC"/>
    <w:rsid w:val="7B674BD7"/>
    <w:rsid w:val="7B6D1622"/>
    <w:rsid w:val="7B6E2192"/>
    <w:rsid w:val="7B722498"/>
    <w:rsid w:val="7B782690"/>
    <w:rsid w:val="7B793E87"/>
    <w:rsid w:val="7B7C50C8"/>
    <w:rsid w:val="7B7F3966"/>
    <w:rsid w:val="7B80148D"/>
    <w:rsid w:val="7B821ADA"/>
    <w:rsid w:val="7B8F5DA2"/>
    <w:rsid w:val="7B926883"/>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24EAE"/>
    <w:rsid w:val="7C780AD5"/>
    <w:rsid w:val="7C7A14F2"/>
    <w:rsid w:val="7C7E2FFC"/>
    <w:rsid w:val="7C7F038C"/>
    <w:rsid w:val="7C867154"/>
    <w:rsid w:val="7C8A49AA"/>
    <w:rsid w:val="7C8F78D5"/>
    <w:rsid w:val="7C9427B3"/>
    <w:rsid w:val="7C9E5A77"/>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24</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2024-09-02T02:41:00Z</cp:lastPrinted>
  <dcterms:modified xsi:type="dcterms:W3CDTF">2024-09-02T07:12:20Z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