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5</w:t>
      </w:r>
      <w:r>
        <w:rPr>
          <w:rFonts w:hint="default" w:ascii="Times New Roman" w:hAnsi="Times New Roman" w:eastAsia="经典行楷简" w:cs="Times New Roman"/>
          <w:b w:val="0"/>
          <w:bCs/>
          <w:color w:val="2E75B6" w:themeColor="accent1" w:themeShade="BF"/>
          <w:kern w:val="36"/>
          <w:sz w:val="44"/>
          <w:szCs w:val="44"/>
        </w:rPr>
        <w:t>年第</w:t>
      </w:r>
      <w:r>
        <w:rPr>
          <w:rFonts w:hint="default" w:ascii="Times New Roman" w:hAnsi="Times New Roman" w:eastAsia="经典行楷简" w:cs="Times New Roman"/>
          <w:b w:val="0"/>
          <w:bCs/>
          <w:color w:val="2E75B6" w:themeColor="accent1" w:themeShade="BF"/>
          <w:kern w:val="36"/>
          <w:sz w:val="44"/>
          <w:szCs w:val="44"/>
          <w:lang w:val="en-US" w:eastAsia="zh-CN"/>
        </w:rPr>
        <w:t>11</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30</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7</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5</w:t>
      </w:r>
      <w:r>
        <w:rPr>
          <w:rFonts w:hint="default" w:ascii="Times New Roman" w:hAnsi="Times New Roman" w:eastAsia="方正楷体_GBK" w:cs="Times New Roman"/>
          <w:b w:val="0"/>
          <w:bCs/>
          <w:color w:val="000000"/>
          <w:kern w:val="36"/>
          <w:sz w:val="32"/>
          <w:szCs w:val="32"/>
          <w:highlight w:val="none"/>
        </w:rPr>
        <w:t>年</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月</w:t>
      </w:r>
      <w:r>
        <w:rPr>
          <w:rFonts w:hint="default" w:ascii="Times New Roman" w:hAnsi="Times New Roman" w:eastAsia="方正楷体_GBK" w:cs="Times New Roman"/>
          <w:b w:val="0"/>
          <w:bCs/>
          <w:color w:val="000000"/>
          <w:kern w:val="36"/>
          <w:sz w:val="32"/>
          <w:szCs w:val="32"/>
          <w:highlight w:val="none"/>
          <w:lang w:val="en-US" w:eastAsia="zh-CN"/>
        </w:rPr>
        <w:t>7</w:t>
      </w:r>
      <w:r>
        <w:rPr>
          <w:rFonts w:hint="eastAsia" w:ascii="Times New Roman" w:hAnsi="Times New Roman" w:eastAsia="方正楷体_GBK" w:cs="Times New Roman"/>
          <w:b w:val="0"/>
          <w:bCs/>
          <w:color w:val="000000"/>
          <w:kern w:val="36"/>
          <w:sz w:val="32"/>
          <w:szCs w:val="32"/>
          <w:highlight w:val="none"/>
          <w:lang w:val="en-US" w:eastAsia="zh-CN"/>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省贸促会组织“跨境电商赋能产业带”苏州（太仓）专场活动</w:t>
      </w:r>
      <w:r>
        <w:rPr>
          <w:rFonts w:hint="eastAsia" w:ascii="Times New Roman" w:hAnsi="Times New Roman" w:eastAsia="方正楷体_GBK" w:cs="Times New Roman"/>
          <w:b/>
          <w:color w:val="auto"/>
          <w:spacing w:val="-11"/>
          <w:kern w:val="36"/>
          <w:sz w:val="30"/>
          <w:szCs w:val="30"/>
          <w:lang w:val="en-US" w:eastAsia="zh-CN"/>
        </w:rPr>
        <w:t xml:space="preserve"> / 01</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2025江苏省国际商会文化贸易专业委员会工作会议暨文化贸</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易企业沙龙在南京举行</w:t>
      </w: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4"/>
      <w:r>
        <w:rPr>
          <w:rFonts w:hint="eastAsia" w:ascii="Times New Roman" w:hAnsi="Times New Roman" w:eastAsia="方正楷体_GBK" w:cs="Times New Roman"/>
          <w:b/>
          <w:color w:val="auto"/>
          <w:spacing w:val="-11"/>
          <w:kern w:val="36"/>
          <w:sz w:val="30"/>
          <w:szCs w:val="30"/>
          <w:lang w:val="en-US" w:eastAsia="zh-CN"/>
        </w:rPr>
        <w:t>/ 0</w:t>
      </w:r>
      <w:bookmarkEnd w:id="0"/>
      <w:r>
        <w:rPr>
          <w:rFonts w:hint="default" w:ascii="Times New Roman" w:hAnsi="Times New Roman" w:eastAsia="方正楷体_GBK" w:cs="Times New Roman"/>
          <w:b/>
          <w:color w:val="auto"/>
          <w:spacing w:val="-11"/>
          <w:kern w:val="36"/>
          <w:sz w:val="30"/>
          <w:szCs w:val="30"/>
          <w:lang w:val="en-US" w:eastAsia="zh-CN"/>
        </w:rPr>
        <w:t>3</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企业应对欧盟碳边境调节机制（CBAM）研讨会在南京召开</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 0</w:t>
      </w:r>
      <w:r>
        <w:rPr>
          <w:rFonts w:hint="default" w:ascii="Times New Roman" w:hAnsi="Times New Roman" w:eastAsia="方正楷体_GBK" w:cs="Times New Roman"/>
          <w:b/>
          <w:color w:val="auto"/>
          <w:spacing w:val="-11"/>
          <w:kern w:val="36"/>
          <w:sz w:val="30"/>
          <w:szCs w:val="30"/>
          <w:lang w:val="en-US" w:eastAsia="zh-CN"/>
        </w:rPr>
        <w:t>4</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省贸促会举办“贸促服务助企行”商事法律专场（盐城站）宣讲活动</w:t>
      </w:r>
      <w:r>
        <w:rPr>
          <w:rFonts w:hint="eastAsia" w:ascii="方正楷体_GBK" w:hAnsi="方正楷体_GBK" w:eastAsia="方正楷体_GBK" w:cs="方正楷体_GBK"/>
          <w:b/>
          <w:color w:val="auto"/>
          <w:spacing w:val="0"/>
          <w:kern w:val="36"/>
          <w:sz w:val="30"/>
          <w:szCs w:val="30"/>
          <w:lang w:val="en-US" w:eastAsia="zh-CN"/>
        </w:rPr>
        <w:t xml:space="preserve"> </w:t>
      </w:r>
      <w:bookmarkStart w:id="1" w:name="OLE_LINK1"/>
      <w:r>
        <w:rPr>
          <w:rFonts w:hint="eastAsia" w:ascii="Times New Roman" w:hAnsi="Times New Roman" w:eastAsia="方正楷体_GBK" w:cs="Times New Roman"/>
          <w:b/>
          <w:color w:val="auto"/>
          <w:spacing w:val="-11"/>
          <w:kern w:val="36"/>
          <w:sz w:val="30"/>
          <w:szCs w:val="30"/>
          <w:lang w:val="en-US" w:eastAsia="zh-CN"/>
        </w:rPr>
        <w:t>/ 0</w:t>
      </w:r>
      <w:bookmarkEnd w:id="1"/>
      <w:r>
        <w:rPr>
          <w:rFonts w:hint="default" w:ascii="Times New Roman" w:hAnsi="Times New Roman" w:eastAsia="方正楷体_GBK" w:cs="Times New Roman"/>
          <w:b/>
          <w:color w:val="auto"/>
          <w:spacing w:val="-11"/>
          <w:kern w:val="36"/>
          <w:sz w:val="30"/>
          <w:szCs w:val="30"/>
          <w:lang w:val="en-US" w:eastAsia="zh-CN"/>
        </w:rPr>
        <w:t>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4"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11"/>
          <w:kern w:val="36"/>
          <w:sz w:val="30"/>
          <w:szCs w:val="30"/>
          <w:lang w:val="en-US" w:eastAsia="zh-CN"/>
        </w:rPr>
        <w:t>中江国际集团荣获全省2024年度高质量发展综合考核优秀项目单位</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w:t>
      </w:r>
      <w:r>
        <w:rPr>
          <w:rFonts w:hint="default" w:ascii="Times New Roman" w:hAnsi="Times New Roman" w:eastAsia="方正楷体_GBK" w:cs="Times New Roman"/>
          <w:b/>
          <w:color w:val="auto"/>
          <w:spacing w:val="-11"/>
          <w:kern w:val="36"/>
          <w:sz w:val="30"/>
          <w:szCs w:val="30"/>
          <w:lang w:val="en-US" w:eastAsia="zh-CN"/>
        </w:rPr>
        <w:t xml:space="preserve"> 06</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8"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汇鸿中锦公司荣获“江苏服装协同创新优秀成果奖”</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07</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8" w:firstLineChars="200"/>
        <w:contextualSpacing/>
        <w:jc w:val="both"/>
        <w:textAlignment w:val="auto"/>
        <w:outlineLvl w:val="1"/>
        <w:rPr>
          <w:rFonts w:hint="default" w:ascii="方正楷体_GBK" w:hAnsi="方正楷体_GBK" w:eastAsia="方正楷体_GBK" w:cs="方正楷体_GBK"/>
          <w:b/>
          <w:color w:val="auto"/>
          <w:spacing w:val="0"/>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eastAsia" w:ascii="Times New Roman" w:hAnsi="Times New Roman" w:eastAsia="方正楷体_GBK" w:cs="Times New Roman"/>
          <w:b/>
          <w:color w:val="auto"/>
          <w:spacing w:val="0"/>
          <w:kern w:val="36"/>
          <w:sz w:val="30"/>
          <w:szCs w:val="30"/>
          <w:lang w:val="en-US" w:eastAsia="zh-CN"/>
        </w:rPr>
        <w:t>灵通通过国家级服务业标准化试点验收</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w:t>
      </w:r>
      <w:r>
        <w:rPr>
          <w:rFonts w:hint="default" w:ascii="Times New Roman" w:hAnsi="Times New Roman" w:eastAsia="方正楷体_GBK" w:cs="Times New Roman"/>
          <w:b/>
          <w:color w:val="auto"/>
          <w:spacing w:val="-11"/>
          <w:kern w:val="36"/>
          <w:sz w:val="30"/>
          <w:szCs w:val="30"/>
          <w:lang w:val="en-US" w:eastAsia="zh-CN"/>
        </w:rPr>
        <w:t xml:space="preserve"> 08</w:t>
      </w:r>
      <w:bookmarkStart w:id="6" w:name="_GoBack"/>
      <w:bookmarkEnd w:id="6"/>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省贸促会组织“跨境电商赋能产业带”</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苏州（太仓）专场活动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3月28日下午，江苏省贸促会联合中国贸促会商业行业委员会、太仓市人民政府在太仓智汇谷举办“跨境电商赋能产业带”苏州（太仓）专场活动。中国贸促会商业行业委员会书记任贵英、副会长王曦和江苏省贸促会党组书记、会长王善华，党组成员、秘书长、二级巡视员杜培军，太仓市委副书记、市长徐华东，副市长盛海峰出席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任贵英在致辞中表示，中国贸促会商业行业委员会今年依旧围绕境内外展会、出海团组、标准化建设等方面与江苏企业展开交流，与江苏省政商界共同打造“源于企业、服务企业”的国际化综合服务平台。希望各位企业家充分利用本次活动，积极互动交流，深入了解跨境电商专业知识，努力探索适合自身发展的新路径，切实提高企业的综合竞争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王善华感谢中国贸促会商业行业委员会和太仓市政府一直以来对江苏贸促工作的支持。他表示，太仓是“中国德企之乡”，产业基础雄厚、创新活力迸发、开放程度高，在发展跨境电商方面具有得天独厚的优势。江苏省贸促会作为全省贸易投资促进主渠道，将大力支持包括苏州太仓在内的各地打造特色出口产业集群，聚力推动工贸企业“触网出海”，努力营造跨境电商生态氛围，着力为跨境电商出海保驾护航，为江苏跨境电商和国际贸易高质量发展贡献更多智慧和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徐华东表示，太仓一直将跨境电商作为推动高质量发展的重点领域。诚邀大家走进太仓产业带，以跨境电商为“舟”、以产业带为“舵”、以创新生态为“帆”，共同驶向开放合作的广阔蓝海。</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活动现场，一批优质跨境电商载体和项目集中签约，任贵英、王善华、徐华东等见证签约。日本乐天、韩国Coupang、大龙网、拉码会展、英国飞鸟海外仓等跨境电商服务平台结合自身优势作案例分享。</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应江苏省贸促会邀请，乐天、小红书、Xtransfer、飞鸟海外仓、瑞锦科技等10家知名跨境电商服务平台、外贸企业到场与太仓企业对接交流。在江苏省贸促会的持续推动下，中国贸促会商业行业委员会授予太仓中德双元制职教产业园“全国高校商业精英挑战赛产教融合示范基地”，英国飞鸟海外仓与太仓高新区签订落地协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在太仓期间，王善华一行还调研海瑞恩精密技术、雷勃电气等企业。</w:t>
      </w:r>
      <w:r>
        <w:rPr>
          <w:rFonts w:hint="default" w:asciiTheme="minorEastAsia" w:hAnsiTheme="minorEastAsia" w:cstheme="minorEastAsia"/>
          <w:color w:val="auto"/>
          <w:spacing w:val="0"/>
          <w:kern w:val="2"/>
          <w:sz w:val="32"/>
          <w:szCs w:val="32"/>
          <w:lang w:val="en-US" w:eastAsia="zh-CN" w:bidi="ar-SA"/>
        </w:rPr>
        <w:t xml:space="preserve">                </w:t>
      </w: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168" w:firstLineChars="1700"/>
        <w:contextualSpacing/>
        <w:jc w:val="left"/>
        <w:textAlignment w:val="auto"/>
        <w:outlineLvl w:val="1"/>
        <w:rPr>
          <w:rFonts w:hint="default"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（贸易促进部）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2025江苏省国际商会文化贸易专业委员会工作会议暨文化贸易企业沙龙在南京举行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3月28日，2025江苏省国际商会文化贸易专业委员会工作会议暨文化贸易企业沙龙在南京举行。省贸促会（国际商会）党组成员、副会长丛苏峰出席并致辞。省委宣传部、省商务厅、省文旅厅及省国际商会文化贸易专业委员会主任、秘书长、委员单位近40名代表参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丛苏峰在致辞中介绍省国际商会近年来在拓宽国际联络渠道、促进国际贸易投资、加强商事法律服务、提升企业服务效能等方面开展的工作，希望文化贸易专业委员会坚持围绕落实政策、汇集资源、强化服务三方面更好搭建政企沟通桥梁、企业间合作桥梁、国内外交流桥梁，努力为推进江苏文化产业高质量发展贡献更多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省国际商会文化贸易专业委员会通报2025年主要工作计划，相关专家就“艺商共赢圈”合作项目、江苏国际服务贸易展览会（马来西亚）参展情况、文化企业“走出去”中的知识产权保护与参会嘉宾和代表进行分享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省委宣传部、省商务厅、省文旅厅相关处室的负责同志对企业开展文化贸易等方面工作给予指导，并解读文化产业相关支持政策。</w:t>
      </w:r>
      <w:r>
        <w:rPr>
          <w:rFonts w:hint="default"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r>
        <w:rPr>
          <w:rFonts w:hint="default" w:ascii="Times New Roman" w:hAnsi="Times New Roman" w:eastAsia="经典行楷简" w:cs="Times New Roman"/>
          <w:color w:val="2E75B6" w:themeColor="accent1" w:themeShade="BF"/>
          <w:spacing w:val="-45"/>
          <w:kern w:val="2"/>
          <w:sz w:val="48"/>
          <w:szCs w:val="48"/>
          <w:lang w:val="en-US" w:eastAsia="zh-CN" w:bidi="ar-SA"/>
        </w:rPr>
        <w:t>企业应对欧盟碳边境调节机制</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48"/>
          <w:szCs w:val="48"/>
          <w:lang w:val="en-US" w:eastAsia="zh-CN" w:bidi="ar-SA"/>
        </w:rPr>
        <w:t>（CBAM）研讨会在南京召开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4月1日上午，中国贸促会贸易推广交流中心在南京召开企业应对欧盟碳边境调节机制（CBAM）研讨会。江苏省贸促会秘书长、二级巡视员杜培军出席会议。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本次研讨会由江苏省贸促会和南京市贸促会承办，江苏省国际商会双碳专业委员会协办。南京、无锡、常州、苏州、扬州等地企业和机构代表，以及江苏省国际商会双碳专业委员会专家60余人参会，共同探讨提升碳管理能力和应对策略，促进企业可持续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省发展改革委资源节约和环境保护处副处长吴燕应邀解读CBAM对本地区影响及相关绿色低碳贸易发展政策，中国贸促会贸易推广交流中心处长黄居正介绍欧盟碳边境调节机制（CBAM）背景以及对我国企业的影响，江苏擎天工业互联网公司副总经理陈妍珺分享CBAM最新政策动态，南京汽车集团有限公司、上海兰迪（南京）律师事务所、挪威船级社等相关企业代表在会上交流发言。与会企业与专家进行了深入交流互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168" w:firstLineChars="17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bookmarkStart w:id="2" w:name="OLE_LINK5"/>
      <w:r>
        <w:rPr>
          <w:rFonts w:hint="eastAsia" w:ascii="方正楷体_GBK" w:hAnsi="方正楷体_GBK" w:eastAsia="方正楷体_GBK" w:cs="方正楷体_GBK"/>
          <w:b/>
          <w:bCs/>
          <w:color w:val="FF0000"/>
          <w:spacing w:val="0"/>
          <w:kern w:val="2"/>
          <w:sz w:val="32"/>
          <w:szCs w:val="32"/>
          <w:lang w:val="en-US" w:eastAsia="zh-CN" w:bidi="ar-SA"/>
        </w:rPr>
        <w:t>（法律事务部）</w:t>
      </w:r>
      <w:bookmarkEnd w:id="2"/>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r>
        <w:rPr>
          <w:rFonts w:hint="default" w:ascii="Times New Roman" w:hAnsi="Times New Roman" w:eastAsia="经典行楷简" w:cs="Times New Roman"/>
          <w:color w:val="2E75B6" w:themeColor="accent1" w:themeShade="BF"/>
          <w:spacing w:val="-45"/>
          <w:kern w:val="2"/>
          <w:sz w:val="48"/>
          <w:szCs w:val="48"/>
          <w:lang w:val="en-US" w:eastAsia="zh-CN" w:bidi="ar-SA"/>
        </w:rPr>
        <w:t>省贸促会举办“贸促服务助企行”商事法律专场</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48"/>
          <w:szCs w:val="48"/>
          <w:lang w:val="en-US" w:eastAsia="zh-CN" w:bidi="ar-SA"/>
        </w:rPr>
        <w:t>（盐城站）宣讲活动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4月1日，由省贸促会主办、省国际商务服务中心和盐城市贸促会（盐城市国际商会）承办的“贸促服务助企行”商事法律专场宣讲活动在盐城举行。当地100多家外经贸企业参加活动。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本次宣讲活动以“合规运用国际贸易规则，提升出口竞争力”为主题，通过政策解读、实务指导与案例分析，旨在帮助企业深入理解国际贸易法律法规政策，把握自贸协定机遇，强化风险防范能力，更高效更稳健地参与国际市场竞争。</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省国际经济贸易研究所副所长刘舒亚分析我省与拉美地区经贸合作情况并深入解析我国与拉美国家签订的自贸协定，指导企业用足用好自贸协定政策红利开拓拉美市场。省贸促会法律事务工作者围绕境外参展知识产权风险防范和应对，为企业提供从预警到纠纷解决的全流程指导，帮助企业筑牢合规防线。省国际商务服务中心专业人员详细讲解原产地规则和原产地证申领实务，通过常见问题和案例演示强调合规操作要点，指导企业充分享受关税优惠，避免因规则误解导致的贸易损失。</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问卷调查显示，与会企业对本次活动的满意率达到100%，并普遍反映对政策的理解度得到显著提升。省贸促会将持续跟进企业需求，做好定制化自贸协定政策辅导、境外法律风险防控和应对、原产地证申领绿色通道等服务。</w:t>
      </w:r>
      <w:r>
        <w:rPr>
          <w:rFonts w:hint="default"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（法律事务部）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bookmarkStart w:id="3" w:name="OLE_LINK3"/>
      <w:bookmarkStart w:id="4" w:name="OLE_LINK9"/>
      <w:bookmarkStart w:id="5" w:name="OLE_LINK2"/>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中江国际集团荣获全省2024年度</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高质量发展综合考核优秀项目单位</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近日，省委办公厅、省政府办公厅通报了全省2024年度高质量发展综合考核结果，我会副会长单位——中国江苏国际经济技术合作集团有限公司荣获高质量发展综合考核优秀项目单位。</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xml:space="preserve">2024年，集团在省委、省政府的正确领导下，在省国资委的指导下，持之以恒服务国家战略、推进改革创新、提升服务质效，加快培育战略性新兴产业，推动企业高质量发展。一是高水平建设高铁科创载体，成立中江科创公司，努力打造“投融建运一体化”科创产业园区江苏模式，为全省依托高铁枢纽站网络建设科创载体体系先行探路。二是创新研发新型绿色建材，与南工大组建联合实验室，致力于生物基聚氨酯等新型绿色建材的开发生产，实现对传统石化产品的低成本替代，成功填补国内空白，核心技术国际领先。中江泰阿公司，承接5项生物基聚氨酯专利技术，与泰兴经济开发区签署年生产20万吨生物基聚氨酯涂料产业化合作协议，打造长三角生物基材料产业示范基地标志性项目。三是深化国际资源开发合作，积极拓展“海外+”业务，在埃塞俄比亚成功实施智慧路灯项目，在南非新开拓沥青采供业务，在莫桑比克取得大宗产品销售许可和对外贸易经营许可，赞比亚首个煤矿光伏电站订单已顺利落地。     </w:t>
      </w:r>
      <w:r>
        <w:rPr>
          <w:rFonts w:hint="default" w:asciiTheme="minorEastAsia" w:hAnsiTheme="minorEastAsia" w:cstheme="minorEastAsia"/>
          <w:color w:val="auto"/>
          <w:spacing w:val="0"/>
          <w:kern w:val="2"/>
          <w:sz w:val="32"/>
          <w:szCs w:val="32"/>
          <w:lang w:val="en-US" w:eastAsia="zh-CN" w:bidi="ar-SA"/>
        </w:rPr>
        <w:t xml:space="preserve">             </w:t>
      </w: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：中江国际集团官网）</w:t>
      </w:r>
    </w:p>
    <w:p>
      <w:pPr>
        <w:keepNext w:val="0"/>
        <w:keepLines w:val="0"/>
        <w:pageBreakBefore w:val="0"/>
        <w:widowControl/>
        <w:kinsoku/>
        <w:wordWrap/>
        <w:overflowPunct/>
        <w:topLinePunct w:val="0"/>
        <w:autoSpaceDE/>
        <w:autoSpaceDN/>
        <w:bidi w:val="0"/>
        <w:adjustRightInd/>
        <w:snapToGrid/>
        <w:spacing w:line="440" w:lineRule="exact"/>
        <w:jc w:val="both"/>
        <w:textAlignment w:val="auto"/>
        <w:outlineLvl w:val="9"/>
        <w:rPr>
          <w:rFonts w:hint="eastAsia" w:ascii="Times New Roman" w:hAnsi="Times New Roman" w:eastAsia="华文新魏" w:cs="Times New Roman"/>
          <w:b/>
          <w:bCs w:val="0"/>
          <w:color w:val="FF0000"/>
          <w:spacing w:val="-17"/>
          <w:kern w:val="36"/>
          <w:sz w:val="44"/>
          <w:szCs w:val="44"/>
          <w:lang w:val="en-US" w:eastAsia="zh-CN" w:bidi="ar-SA"/>
        </w:rPr>
      </w:pPr>
      <w:r>
        <w:rPr>
          <w:rFonts w:hint="eastAsia" w:ascii="Times New Roman" w:hAnsi="Times New Roman" w:eastAsia="华文新魏" w:cs="Times New Roman"/>
          <w:b/>
          <w:bCs w:val="0"/>
          <w:color w:val="FF0000"/>
          <w:spacing w:val="-17"/>
          <w:kern w:val="36"/>
          <w:sz w:val="44"/>
          <w:szCs w:val="44"/>
          <w:lang w:val="en-US" w:eastAsia="zh-CN" w:bidi="ar-SA"/>
        </w:rPr>
        <w:t>汇鸿中锦公司荣获“江苏服装协同创新优秀成果奖”</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近日，2025江苏服装品牌协同创新发展大会在常州盛大召开。我会理事单位——江苏汇鸿国际集团中锦控股有限公司研发的“100%靛蓝染色尼龙技术”荣获“2024-2025年度江苏服装协同创新优秀成果奖”。</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中锦公司获奖的“100%靛蓝染色尼龙技术”首次攻克靛蓝染色尼龙在后处理水洗过程中褪色的技术难题。其采用独特的中空纱线结构面料，能确保靛蓝的复古色泽在穿着过程中自然变化；同时运用3L/2L的复合结构，使面料具备防水25,000mm+、透气15,000g/m²/24h的卓越性能。运用该技术生产的产品兼具轻盈、美观、耐磨、防水和速干等特性，适配从山野探险到都市街头的各种场景，实现了机能性与都市时尚的无缝融合。</w:t>
      </w: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right"/>
        <w:textAlignment w:val="auto"/>
        <w:outlineLvl w:val="9"/>
        <w:rPr>
          <w:rFonts w:hint="eastAsia" w:ascii="Times New Roman" w:hAnsi="Times New Roman" w:eastAsia="方正楷体_GBK" w:cs="Times New Roman"/>
          <w:b w:val="0"/>
          <w:bCs/>
          <w:kern w:val="0"/>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：汇鸿中锦公司微信公众号）</w:t>
      </w:r>
    </w:p>
    <w:p>
      <w:pPr>
        <w:keepNext w:val="0"/>
        <w:keepLines w:val="0"/>
        <w:pageBreakBefore w:val="0"/>
        <w:widowControl/>
        <w:kinsoku/>
        <w:wordWrap/>
        <w:overflowPunct/>
        <w:topLinePunct w:val="0"/>
        <w:autoSpaceDE/>
        <w:autoSpaceDN/>
        <w:bidi w:val="0"/>
        <w:adjustRightInd/>
        <w:snapToGrid/>
        <w:spacing w:line="440" w:lineRule="exact"/>
        <w:textAlignment w:val="auto"/>
        <w:outlineLvl w:val="9"/>
        <w:rPr>
          <w:rFonts w:hint="eastAsia" w:ascii="Times New Roman" w:hAnsi="Times New Roman" w:eastAsia="方正仿宋_GBK" w:cs="Times New Roman"/>
          <w:i w:val="0"/>
          <w:caps w:val="0"/>
          <w:color w:val="000000"/>
          <w:spacing w:val="0"/>
          <w:sz w:val="31"/>
          <w:szCs w:val="31"/>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灵通通过国家级服务业标准化试点验收</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日，国家标准化试点验收评估组一行专家莅临我会理事单位——灵通展览系统股份有限公司，对国家级绿色展览服务业标准化试点项目展开全面而细致的验收评估工作。通过现场考察、听取汇报、核验材料、顾客满意度调查、分项评分等环节，经集体评议，灵通最终以优异成绩通过验收，获评“优秀”等级，为公司在标准化建设领域树立了新的里程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灵通展览系统股份有限公司在标准化道路上一直秉持着积极探索与不懈努力的精神。自1986年成立以来，公司便深耕于环保展览展示系统的开发、研制、设计、生产与销售服务领域，不仅在国内市场取得了广泛认可，更将产品和服务拓展至全球，实现了国际市场的深入布局。</w:t>
      </w:r>
    </w:p>
    <w:p>
      <w:pPr>
        <w:spacing w:line="440" w:lineRule="exact"/>
        <w:ind w:firstLine="608" w:firstLineChars="200"/>
        <w:jc w:val="center"/>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（来源</w:t>
      </w:r>
      <w:r>
        <w:rPr>
          <w:rFonts w:hint="eastAsia" w:ascii="方正楷体_GBK" w:hAnsi="方正楷体_GBK" w:eastAsia="方正楷体_GBK" w:cs="方正楷体_GBK"/>
          <w:b/>
          <w:bCs/>
          <w:color w:val="FF0000"/>
          <w:spacing w:val="0"/>
          <w:kern w:val="2"/>
          <w:sz w:val="32"/>
          <w:szCs w:val="32"/>
          <w:lang w:val="en-US" w:eastAsia="zh-CN" w:bidi="ar-SA"/>
        </w:rPr>
        <w:t>：灵通展览系统股份有限公司官网）</w:t>
      </w: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spacing w:line="440" w:lineRule="exact"/>
        <w:ind w:firstLine="608" w:firstLineChars="200"/>
        <w:jc w:val="center"/>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spacing w:line="440" w:lineRule="exact"/>
        <w:ind w:firstLine="608" w:firstLineChars="200"/>
        <w:jc w:val="center"/>
        <w:rPr>
          <w:rFonts w:hint="eastAsia" w:ascii="Times New Roman" w:hAnsi="Times New Roman" w:eastAsia="方正楷体_GBK" w:cs="Times New Roman"/>
          <w:b w:val="0"/>
          <w:bCs/>
          <w:kern w:val="0"/>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w:t>
      </w:r>
      <w:bookmarkEnd w:id="3"/>
      <w:bookmarkEnd w:id="4"/>
      <w:bookmarkEnd w:id="5"/>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65242"/>
    <w:rsid w:val="017F7312"/>
    <w:rsid w:val="0183354F"/>
    <w:rsid w:val="018A4341"/>
    <w:rsid w:val="018D1ED5"/>
    <w:rsid w:val="018E0532"/>
    <w:rsid w:val="01944C0D"/>
    <w:rsid w:val="01947605"/>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626D8"/>
    <w:rsid w:val="03276EB0"/>
    <w:rsid w:val="03320DD5"/>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4238E"/>
    <w:rsid w:val="0B1C17AD"/>
    <w:rsid w:val="0B283787"/>
    <w:rsid w:val="0B2D6F6E"/>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63337"/>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3E15"/>
    <w:rsid w:val="145F4E9E"/>
    <w:rsid w:val="14662A35"/>
    <w:rsid w:val="1468041E"/>
    <w:rsid w:val="146A5814"/>
    <w:rsid w:val="146D4E79"/>
    <w:rsid w:val="1479121F"/>
    <w:rsid w:val="147C1504"/>
    <w:rsid w:val="148112AD"/>
    <w:rsid w:val="148B2440"/>
    <w:rsid w:val="14933736"/>
    <w:rsid w:val="149D19D1"/>
    <w:rsid w:val="14AA1497"/>
    <w:rsid w:val="14AD2447"/>
    <w:rsid w:val="14BD0C90"/>
    <w:rsid w:val="14BD7435"/>
    <w:rsid w:val="14D13225"/>
    <w:rsid w:val="14D41B03"/>
    <w:rsid w:val="14D63FB7"/>
    <w:rsid w:val="14E11E90"/>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2D1A"/>
    <w:rsid w:val="172E1BBE"/>
    <w:rsid w:val="17377B8C"/>
    <w:rsid w:val="173A6824"/>
    <w:rsid w:val="173B1FA1"/>
    <w:rsid w:val="173C594E"/>
    <w:rsid w:val="173D1596"/>
    <w:rsid w:val="1748452F"/>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A93B09"/>
    <w:rsid w:val="17B23E0F"/>
    <w:rsid w:val="17B31B32"/>
    <w:rsid w:val="17B80549"/>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84C88"/>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E0868"/>
    <w:rsid w:val="1AF7489C"/>
    <w:rsid w:val="1AF86B17"/>
    <w:rsid w:val="1AFA3523"/>
    <w:rsid w:val="1AFD3AEA"/>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851C0"/>
    <w:rsid w:val="27FA5F82"/>
    <w:rsid w:val="28014303"/>
    <w:rsid w:val="280410A7"/>
    <w:rsid w:val="2809034F"/>
    <w:rsid w:val="28152D65"/>
    <w:rsid w:val="281713C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5967"/>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A4EA5"/>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F2866"/>
    <w:rsid w:val="39830655"/>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0BCD"/>
    <w:rsid w:val="3AA04C49"/>
    <w:rsid w:val="3AA54470"/>
    <w:rsid w:val="3AA913CF"/>
    <w:rsid w:val="3AB86069"/>
    <w:rsid w:val="3AC036CC"/>
    <w:rsid w:val="3AC205A6"/>
    <w:rsid w:val="3AC257A4"/>
    <w:rsid w:val="3AC334CD"/>
    <w:rsid w:val="3ACF5E01"/>
    <w:rsid w:val="3AD16134"/>
    <w:rsid w:val="3AD17EBD"/>
    <w:rsid w:val="3ADB2291"/>
    <w:rsid w:val="3ADD199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5908EC"/>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73D23"/>
    <w:rsid w:val="41216561"/>
    <w:rsid w:val="4126157E"/>
    <w:rsid w:val="412E1703"/>
    <w:rsid w:val="41341D04"/>
    <w:rsid w:val="413D1085"/>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0615"/>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37E8"/>
    <w:rsid w:val="49B57903"/>
    <w:rsid w:val="49BB0B72"/>
    <w:rsid w:val="49BD536F"/>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154062"/>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63137"/>
    <w:rsid w:val="4C4C1686"/>
    <w:rsid w:val="4C513E4B"/>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B263E"/>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04710"/>
    <w:rsid w:val="4E337E4B"/>
    <w:rsid w:val="4E365771"/>
    <w:rsid w:val="4E3C3064"/>
    <w:rsid w:val="4E3C5DC0"/>
    <w:rsid w:val="4E446F8B"/>
    <w:rsid w:val="4E4D4DE2"/>
    <w:rsid w:val="4E5669BF"/>
    <w:rsid w:val="4E651EA6"/>
    <w:rsid w:val="4E6757B0"/>
    <w:rsid w:val="4E6C4048"/>
    <w:rsid w:val="4E783D17"/>
    <w:rsid w:val="4E7F2A80"/>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471F"/>
    <w:rsid w:val="52C2744F"/>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44904"/>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186CE6"/>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A62474"/>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5CDE"/>
    <w:rsid w:val="6628673A"/>
    <w:rsid w:val="662A259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56442"/>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497FAA"/>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zl</cp:lastModifiedBy>
  <cp:lastPrinted>2025-03-28T08:45:00Z</cp:lastPrinted>
  <dcterms:modified xsi:type="dcterms:W3CDTF">2025-04-03T08:48:32Z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2AFE29251F2D47119EA111B2B617C6AF_13</vt:lpwstr>
  </property>
</Properties>
</file>