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32-33</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328-329</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11</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7日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2F048E3D">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2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省贸促会组织参加第十八届中国-拉美企业家高峰会</w:t>
      </w:r>
      <w:r>
        <w:rPr>
          <w:rFonts w:hint="eastAsia" w:ascii="Times New Roman" w:hAnsi="Times New Roman" w:eastAsia="方正楷体_GBK" w:cs="Times New Roman"/>
          <w:b/>
          <w:color w:val="auto"/>
          <w:spacing w:val="-20"/>
          <w:kern w:val="36"/>
          <w:sz w:val="30"/>
          <w:szCs w:val="30"/>
          <w:lang w:val="en-US" w:eastAsia="zh-CN"/>
        </w:rPr>
        <w:t xml:space="preserve"> / </w:t>
      </w:r>
      <w:r>
        <w:rPr>
          <w:rFonts w:hint="default" w:ascii="Times New Roman" w:hAnsi="Times New Roman" w:eastAsia="方正楷体_GBK" w:cs="Times New Roman"/>
          <w:b/>
          <w:color w:val="auto"/>
          <w:spacing w:val="-20"/>
          <w:kern w:val="36"/>
          <w:sz w:val="30"/>
          <w:szCs w:val="30"/>
          <w:lang w:val="en-US" w:eastAsia="zh-CN"/>
        </w:rPr>
        <w:t>0</w:t>
      </w:r>
      <w:r>
        <w:rPr>
          <w:rFonts w:hint="eastAsia" w:ascii="Times New Roman" w:hAnsi="Times New Roman" w:eastAsia="方正楷体_GBK" w:cs="Times New Roman"/>
          <w:b/>
          <w:color w:val="auto"/>
          <w:spacing w:val="-20"/>
          <w:kern w:val="36"/>
          <w:sz w:val="30"/>
          <w:szCs w:val="30"/>
          <w:lang w:val="en-US" w:eastAsia="zh-CN"/>
        </w:rPr>
        <w:t>2</w:t>
      </w:r>
    </w:p>
    <w:p w14:paraId="3746732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省贸促会领导出席巴西-中国商务论坛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4</w:t>
      </w:r>
    </w:p>
    <w:p w14:paraId="560DF5E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越南工贸部贸易促进局企业团到访江苏</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5</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34005E3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南钢参与制定的钢帘线领域国际标准正式发布 / 06</w:t>
      </w:r>
    </w:p>
    <w:p w14:paraId="3F421E2B">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远东助建江苏句容抽水蓄能电站 / 07</w:t>
      </w:r>
    </w:p>
    <w:p w14:paraId="34273E9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江苏格博展览携海外市场方案助力产业出海</w:t>
      </w:r>
      <w:r>
        <w:rPr>
          <w:rFonts w:hint="eastAsia" w:ascii="Times New Roman" w:hAnsi="Times New Roman" w:eastAsia="方正楷体_GBK" w:cs="Times New Roman"/>
          <w:b/>
          <w:color w:val="auto"/>
          <w:spacing w:val="0"/>
          <w:kern w:val="36"/>
          <w:sz w:val="30"/>
          <w:szCs w:val="30"/>
          <w:lang w:val="en-US" w:eastAsia="zh-CN"/>
        </w:rPr>
        <w:t xml:space="preserve"> /08</w:t>
      </w:r>
    </w:p>
    <w:p w14:paraId="6B5C258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p>
    <w:p w14:paraId="2666314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45E122B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省贸促会组织参加第十八届中国-拉美企业家高峰会</w:t>
      </w:r>
    </w:p>
    <w:p w14:paraId="0A7D2AB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11月3—4日，江苏省贸促会（国际商会）党组书记、会长王善华带队参加在河南郑州举行的第十八届中国－拉美企业家高峰会开幕式及相关活动，并在中拉贸促机构和商协会圆桌会议上交流发言。</w:t>
      </w:r>
    </w:p>
    <w:p w14:paraId="7D60A07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表示，江苏省贸促会（国际商会）愿同拉美各国相关机构一道，搭建更多平台、提供更优服务，向“新”而生，携手培育发展新动能，向“智”而动，携手提升服务新效能，向“实”而行，携手增创合作新机遇，努力成为拉美工商界“链接江苏”的桥梁纽带。</w:t>
      </w:r>
    </w:p>
    <w:p w14:paraId="1FB5667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大会期间，王善华代表江苏省国际商会分别与阿根廷亚太商会、哥伦比亚－中国贸易和投资商会签署合作备忘录，与尼加拉瓜总统投资贸易和国际合作顾问劳雷亚诺、厄瓜多尔－中国商会执行主任玛利亚·阿尔班、秘鲁－中国商会总经理郑国强、阿根廷－中国生产及工商业协会执行董事孔爱丽等拉美地区政府、机构和商协会代表进行友好交流。</w:t>
      </w:r>
    </w:p>
    <w:p w14:paraId="41A994A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本届高峰会以“向新向智 共赢未来”为主题，由中国贸促会和河南省人民政府、中国人民银行共同主办。大会发布《中国－拉美和加勒比工商界合作郑州倡议》。来自中国与拉美和加勒比各国政要、驻华使节、商协会负责人、企业家代表、知名专家学者等1000余人现场参会。江苏省贸促会（国际商会）组织苏美达机电、焦点科技、苏州广力知识产权代理事务所、南京华之旅等会员企业参会，围绕新能源汽车、智能装备制造、智慧农业、航空货运枢纽与跨境贸易等议题与拉美地区工商界展开积极交流。</w:t>
      </w:r>
    </w:p>
    <w:p w14:paraId="2672768E">
      <w:pPr>
        <w:spacing w:line="440" w:lineRule="exact"/>
        <w:ind w:firstLine="4560" w:firstLineChars="15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4515813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2E46D1F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2E2271E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75CFC91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656C6A9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4DDFE22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243C9AA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2344972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7A480DA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3EE0C16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1789AFF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624F657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560571B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1563ED1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2A7F9A4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031B98D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5406AD4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p>
    <w:p w14:paraId="3B4E268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0"/>
          <w:kern w:val="2"/>
          <w:position w:val="0"/>
          <w:sz w:val="44"/>
          <w:szCs w:val="44"/>
          <w:lang w:val="en-US" w:eastAsia="zh-CN" w:bidi="ar-SA"/>
        </w:rPr>
      </w:pPr>
      <w:r>
        <w:rPr>
          <w:rFonts w:hint="default" w:ascii="Times New Roman" w:hAnsi="Times New Roman" w:eastAsia="经典行楷简" w:cs="Times New Roman"/>
          <w:color w:val="2E75B6" w:themeColor="accent1" w:themeShade="BF"/>
          <w:spacing w:val="-20"/>
          <w:kern w:val="2"/>
          <w:position w:val="0"/>
          <w:sz w:val="48"/>
          <w:szCs w:val="48"/>
          <w:lang w:val="en-US" w:eastAsia="zh-CN" w:bidi="ar-SA"/>
        </w:rPr>
        <w:t>省贸促会领导出席巴西-中国商务论坛</w:t>
      </w:r>
    </w:p>
    <w:p w14:paraId="2D6C860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11月4日上午，省贸促会（国际商会）副会长丛苏峰应邀在上海出席巴西米纳斯吉拉斯州工业联合会（FIEMG）主办的巴西-中国商务论坛并致辞。省国际商会组织江苏悦达智能农业、瑞智中和新能源、连云港宁远物流等企业参会。</w:t>
      </w:r>
    </w:p>
    <w:p w14:paraId="5B29BA5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米纳斯吉拉斯州是江苏在南美的首个友好省州，结好近30年来，双方在经济、文化、教育等领域开展了广泛而富有成效的合作与交流。巴西是江苏在南美的重要合作伙伴，省贸促会（国际商会）作为地方对外经贸交流的桥梁纽带，长期以来与包括米纳斯州在内的巴西各界保持良好的经贸交流和合作。通过相互支持举办活动，积极推动双方企业深化农产品、矿产品等贸易往来，拓展在绿色能源、现代农业、生物医药、数字经济等新兴领域的投资与合作，构建更紧密的产业链供应链伙伴关系，促进江苏与米纳斯州友好省州经贸合作持续健康发展，为携手推动构建中巴命运共同体贡献贸促力量。</w:t>
      </w:r>
    </w:p>
    <w:p w14:paraId="6659196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在沪期间，省贸促会（国际商会）领导还应邀出席美中贸易全国委员会2025年度中国运营大会，拜会上海美国商会、美国各州在华协会等机构及部分外资企业，交流工作情况并商讨明年合作计划。</w:t>
      </w:r>
    </w:p>
    <w:p w14:paraId="0D9A52C5">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w:t>
      </w:r>
    </w:p>
    <w:p w14:paraId="574BA02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23B7659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20"/>
          <w:kern w:val="2"/>
          <w:position w:val="0"/>
          <w:sz w:val="48"/>
          <w:szCs w:val="48"/>
          <w:lang w:val="en-US" w:eastAsia="zh-CN" w:bidi="ar-SA"/>
        </w:rPr>
        <w:t>越南工贸部贸易促进局企业团到访江苏</w:t>
      </w:r>
    </w:p>
    <w:p w14:paraId="3208C85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11月5日，由越南义安省工贸厅副厅长黎德映带队、越南工贸部贸易促进局组织的越南企业代表团到访江苏，省贸促会（国际商会）组织代表团赴南京市高淳区开展实地走访与精准对接。省贸促会（国际商会）副会长王飞、高淳区副区长邵刚等陪同走访。</w:t>
      </w:r>
    </w:p>
    <w:p w14:paraId="4C814CA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越南企业代表团先后走进高淳水产交易市场和高淳国家现代农业产业园，实地考察当地特色产业发展成果，重点了解高淳水产及农产品“三码合一”全流程质量管控体系的运行机制，观摩物联网监测、智能调控等科学养殖技术的应用场景，交流农产品品牌培育、市场推广的先进经验，对园区内共享直播间等数字化创新销售模式表现出浓厚兴趣。中越双方还就农产品进出口贸易、进一步拓宽合作渠道、深化贸易往来进行了深入交流。</w:t>
      </w:r>
    </w:p>
    <w:p w14:paraId="3D0B2C8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活动是高淳区人民政府与江苏省国际商会战略合作框架协议的重要落地举措。省贸促会（国际商会）将秉承协议精神，充分发挥桥梁纽带作用，持续为高淳区提供国际联络、经贸交流、法律服务、海外参展等全方位服务支持，助力地方企业“走出去”与国际化发展，推动相关经贸合作迈向更高水平。</w:t>
      </w:r>
    </w:p>
    <w:p w14:paraId="0AB1FD64">
      <w:pPr>
        <w:spacing w:line="440" w:lineRule="exact"/>
        <w:ind w:firstLine="3952" w:firstLineChars="13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（国际联络部、商会秘书处）</w:t>
      </w:r>
    </w:p>
    <w:p w14:paraId="35DE74A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82F2BC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0" w:name="OLE_LINK3"/>
      <w:bookmarkStart w:id="1" w:name="OLE_LINK14"/>
      <w:bookmarkStart w:id="2" w:name="OLE_LINK9"/>
      <w:bookmarkStart w:id="3" w:name="OLE_LINK2"/>
      <w:bookmarkStart w:id="4" w:name="OLE_LINK8"/>
      <w:bookmarkStart w:id="5" w:name="OLE_LINK7"/>
      <w:bookmarkStart w:id="6" w:name="OLE_LINK6"/>
      <w:bookmarkStart w:id="7" w:name="OLE_LINK5"/>
    </w:p>
    <w:bookmarkEnd w:id="0"/>
    <w:bookmarkEnd w:id="1"/>
    <w:bookmarkEnd w:id="2"/>
    <w:bookmarkEnd w:id="3"/>
    <w:bookmarkEnd w:id="4"/>
    <w:bookmarkEnd w:id="5"/>
    <w:bookmarkEnd w:id="6"/>
    <w:bookmarkEnd w:id="7"/>
    <w:p w14:paraId="6BEAF6A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8" w:name="OLE_LINK12"/>
      <w:bookmarkStart w:id="9" w:name="OLE_LINK13"/>
      <w:bookmarkStart w:id="10" w:name="OLE_LINK11"/>
      <w:r>
        <w:rPr>
          <w:rFonts w:hint="eastAsia" w:ascii="Times New Roman" w:hAnsi="Times New Roman" w:eastAsia="华文新魏" w:cs="Times New Roman"/>
          <w:b/>
          <w:bCs w:val="0"/>
          <w:color w:val="FF0000"/>
          <w:spacing w:val="0"/>
          <w:kern w:val="36"/>
          <w:sz w:val="44"/>
          <w:szCs w:val="44"/>
          <w:lang w:val="en-US" w:eastAsia="zh-CN" w:bidi="ar-SA"/>
        </w:rPr>
        <w:t>南钢参与制定的钢帘线领域国际标准正式发布</w:t>
      </w:r>
    </w:p>
    <w:p w14:paraId="567C24D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近日，国际标准化组织（ISO）正式批准发布ISO 23475-2:2025《钢帘线试验方法 第2部分：粘合力测试》（Testing method for steel tyre cord—Part 2: Adhesion test）国际标准。这是我国在钢帘线领域国际标准化工作取得的又一重大突破，标志着我国在该领域的技术话语权与国际影响力显著提升。作为主要起草单位之一，我会副会长单位——南京钢铁股份有限公司全程深度参与标准制定工作，以扎实的技术积累与行业实践经验为其提供了关键支撑。</w:t>
      </w:r>
    </w:p>
    <w:p w14:paraId="761A6CB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钢帘线作为子午线轮胎的核心骨架材料，其与橡胶的粘合性能直接决定轮胎的安全性与使用寿命，是全球轮胎企业采购的核心指标。该标准的发布将有效填补钢帘线粘合力测试领域的国际标准空白，更有助于加速我国金属制品行业的国际化进程。</w:t>
      </w:r>
    </w:p>
    <w:p w14:paraId="183E935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作为线材领域的领军企业之一，南钢已成功研发出80级、86级、90级乃至97级巨高强帘线产品，其中极高强帘线实现进口替代，巨高强帘线填补国内空白，多项成果达到国际先进水平。在标准制定过程中，南钢积极参与讨论与编制工作，凭借在帘线钢领域多年的技术沉淀，针对粘合力测试中的仪器设备准备和校准、测试的程序、结果重复性验证等问题，提供了宝贵的意见，为该国际标准顺利推进和发布做出了贡献。</w:t>
      </w:r>
      <w:r>
        <w:rPr>
          <w:rFonts w:hint="default" w:ascii="Times New Roman" w:hAnsi="Times New Roman" w:eastAsia="方正楷体_GBK" w:cs="方正楷体_GBK"/>
          <w:b/>
          <w:bCs/>
          <w:color w:val="FF0000"/>
          <w:spacing w:val="0"/>
          <w:kern w:val="2"/>
          <w:sz w:val="32"/>
          <w:szCs w:val="32"/>
          <w:lang w:val="en-US" w:eastAsia="zh-CN" w:bidi="ar-SA"/>
        </w:rPr>
        <w:t>（来源</w:t>
      </w:r>
      <w:bookmarkStart w:id="11" w:name="_GoBack"/>
      <w:bookmarkEnd w:id="11"/>
      <w:r>
        <w:rPr>
          <w:rFonts w:hint="eastAsia" w:ascii="Times New Roman" w:hAnsi="Times New Roman" w:eastAsia="方正楷体_GBK" w:cs="方正楷体_GBK"/>
          <w:b/>
          <w:bCs/>
          <w:color w:val="FF0000"/>
          <w:spacing w:val="0"/>
          <w:kern w:val="2"/>
          <w:sz w:val="32"/>
          <w:szCs w:val="32"/>
          <w:lang w:val="en-US" w:eastAsia="zh-CN" w:bidi="ar-SA"/>
        </w:rPr>
        <w:t>：南京钢铁微信公众号）</w:t>
      </w:r>
    </w:p>
    <w:p w14:paraId="048C8C9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远东助建江苏句容抽水蓄能电站</w:t>
      </w:r>
    </w:p>
    <w:p w14:paraId="1DAF2041">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随着最后一台机组正式投入商业运行，国家电网新源江苏句容抽水蓄能电站宣告全面投产发电。这座隐藏在句容青山之间的“超级充电宝”，以其135万千瓦的总装机容量，为华东电网再添一座可靠的调节电源。</w:t>
      </w:r>
    </w:p>
    <w:p w14:paraId="65EAE3DD">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我会副会长单位——远东电缆有限公司提供的系列高品质电缆产品，被广泛应用于电站的关键系统和重要负荷回路。它们以其极高的导电率、卓越的机械防护性能和出色的环境适应性，确保了电能在庞大复杂的系统中高效、安全、无损耗地传输，为这座“超级充电宝”的“强心健脑”提供了底层支撑，赢得了项目方的高度认可。</w:t>
      </w:r>
    </w:p>
    <w:p w14:paraId="76631072">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此外，远东通讯还为该项目提供了关键的通讯光缆产品。其信号衰减指标至关重要，直接关系到整个电站控制指令与监测数据传输的精准性与实时性。远东通讯产品以优异的衰减性能和稳定的传输品质，为这座巨型电站构建了灵敏可靠的“神经网络”，与电力电缆一同构成了电站稳定运行的“双保险”。</w:t>
      </w:r>
    </w:p>
    <w:bookmarkEnd w:id="8"/>
    <w:p w14:paraId="0396585F">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：远东电缆微信公众号）</w:t>
      </w:r>
    </w:p>
    <w:bookmarkEnd w:id="9"/>
    <w:bookmarkEnd w:id="10"/>
    <w:p w14:paraId="63CCFA35">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4F99AF1E">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5CA20F4">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042A0D0">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8518AAE">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华文新魏" w:cs="Times New Roman"/>
          <w:b/>
          <w:bCs w:val="0"/>
          <w:color w:val="FF0000"/>
          <w:spacing w:val="0"/>
          <w:kern w:val="36"/>
          <w:sz w:val="44"/>
          <w:szCs w:val="44"/>
          <w:lang w:val="en-US" w:eastAsia="zh-CN" w:bidi="ar-SA"/>
        </w:rPr>
      </w:pPr>
      <w:r>
        <w:rPr>
          <w:rFonts w:hint="default" w:ascii="Times New Roman" w:hAnsi="Times New Roman" w:eastAsia="华文新魏" w:cs="Times New Roman"/>
          <w:b/>
          <w:bCs w:val="0"/>
          <w:color w:val="FF0000"/>
          <w:spacing w:val="0"/>
          <w:kern w:val="36"/>
          <w:sz w:val="44"/>
          <w:szCs w:val="44"/>
          <w:lang w:val="en-US" w:eastAsia="zh-CN" w:bidi="ar-SA"/>
        </w:rPr>
        <w:t>第三届江苏汽车国际贸易研讨会南京举办</w:t>
      </w:r>
    </w:p>
    <w:p w14:paraId="50F96953">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方正楷体_GBK" w:cs="Times New Roman"/>
          <w:b w:val="0"/>
          <w:bCs/>
          <w:kern w:val="0"/>
          <w:sz w:val="32"/>
          <w:szCs w:val="32"/>
          <w:lang w:val="en-US" w:eastAsia="zh-CN" w:bidi="ar-SA"/>
        </w:rPr>
      </w:pPr>
      <w:r>
        <w:rPr>
          <w:rFonts w:hint="default" w:ascii="Times New Roman" w:hAnsi="Times New Roman" w:eastAsia="华文新魏" w:cs="Times New Roman"/>
          <w:b/>
          <w:bCs w:val="0"/>
          <w:color w:val="FF0000"/>
          <w:spacing w:val="0"/>
          <w:kern w:val="36"/>
          <w:sz w:val="44"/>
          <w:szCs w:val="44"/>
          <w:lang w:val="en-US" w:eastAsia="zh-CN" w:bidi="ar-SA"/>
        </w:rPr>
        <w:t>江苏格博展览携海外市场方案助力产业出海</w:t>
      </w:r>
    </w:p>
    <w:p w14:paraId="0654F081">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2025年第三届江苏汽车国际贸易研讨会暨泛长三角汽车（二手车）汽配装备出口业务交流会在南京国际会议博览中心成功举办。我会理事单位——江苏格博展览有限公司受邀参会，与江苏省汽车流通协会、行业同仁及企业代表齐聚一堂，围绕汽车（二手车）、汽配装备出口趋势展开深度交流并结合自身国际展览服务经验与海外市场资源，分享企业出海解决方案，成为会议焦点之一。作为国际展览策划与贸易服务机构，江苏格博展览在会上重点分享了“以展会为核心，联动全链条服务”的企业出海模式。</w:t>
      </w:r>
    </w:p>
    <w:p w14:paraId="556245FF">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此次参会，江苏格博展览不仅传递了非洲汽车市场的最新机遇，更以专业展览服务与贸易对接能力，为江苏汽车企业搭建起 “出海桥梁”。未来，江苏格博展览将持续整合国际展览与贸易资源，以更精准的服务助力江苏汽车企业深耕海外市场，推动产业高质量“走出去”。</w:t>
      </w:r>
    </w:p>
    <w:p w14:paraId="15101F9A">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：江苏格博展览微信公众号）</w:t>
      </w:r>
    </w:p>
    <w:p w14:paraId="4AC6844A">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6C1F99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90C826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2D20959-225D-4A1B-9D3E-4458C706F0A7}"/>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1E4E8672-0E34-4D05-849A-897415F97A8E}"/>
  </w:font>
  <w:font w:name="方正楷体_GBK">
    <w:panose1 w:val="03000509000000000000"/>
    <w:charset w:val="86"/>
    <w:family w:val="auto"/>
    <w:pitch w:val="default"/>
    <w:sig w:usb0="00000001" w:usb1="080E0000" w:usb2="00000000" w:usb3="00000000" w:csb0="00040000" w:csb1="00000000"/>
    <w:embedRegular r:id="rId3" w:fontKey="{8DEE9010-D0F9-453A-89E1-409A9B60ADB3}"/>
  </w:font>
  <w:font w:name="方正黑体_GBK">
    <w:panose1 w:val="02010600010101010101"/>
    <w:charset w:val="86"/>
    <w:family w:val="auto"/>
    <w:pitch w:val="default"/>
    <w:sig w:usb0="00000001" w:usb1="080E0000" w:usb2="00000000" w:usb3="00000000" w:csb0="00040000" w:csb1="00000000"/>
    <w:embedRegular r:id="rId4" w:fontKey="{5D609F9C-DDB9-4EA7-B69C-40FDFE4769CF}"/>
  </w:font>
  <w:font w:name="华文新魏">
    <w:panose1 w:val="02010800040101010101"/>
    <w:charset w:val="86"/>
    <w:family w:val="auto"/>
    <w:pitch w:val="default"/>
    <w:sig w:usb0="00000001" w:usb1="080F0000" w:usb2="00000000" w:usb3="00000000" w:csb0="00040000" w:csb1="00000000"/>
    <w:embedRegular r:id="rId5" w:fontKey="{B78E6C81-96C7-4503-BD66-FB9C2DC3D0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2C6CCC"/>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15F71"/>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3047</Words>
  <Characters>3322</Characters>
  <Lines>1</Lines>
  <Paragraphs>1</Paragraphs>
  <TotalTime>0</TotalTime>
  <ScaleCrop>false</ScaleCrop>
  <LinksUpToDate>false</LinksUpToDate>
  <CharactersWithSpaces>3396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wowowo0080</cp:lastModifiedBy>
  <cp:lastPrinted>2025-10-29T07:54:00Z</cp:lastPrinted>
  <dcterms:modified xsi:type="dcterms:W3CDTF">2025-11-10T06:54:37Z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2AFE29251F2D47119EA111B2B617C6AF_13</vt:lpwstr>
  </property>
  <property fmtid="{D5CDD505-2E9C-101B-9397-08002B2CF9AE}" pid="4" name="KSOTemplateDocerSaveRecord">
    <vt:lpwstr>eyJoZGlkIjoiY2QwYzE4ODk1NjVlMzZkYjY3YjJhNDdmNzk5NjMwN2YiLCJ1c2VySWQiOiIyMTA0MDUyODgifQ==</vt:lpwstr>
  </property>
</Properties>
</file>