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default" w:ascii="Times New Roman" w:hAnsi="Times New Roman" w:eastAsia="经典行楷简" w:cs="Times New Roman"/>
          <w:b w:val="0"/>
          <w:bCs/>
          <w:color w:val="2E75B6" w:themeColor="accent1" w:themeShade="BF"/>
          <w:kern w:val="36"/>
          <w:sz w:val="44"/>
          <w:szCs w:val="44"/>
          <w:lang w:val="en-US"/>
        </w:rPr>
        <w:t>9</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255</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default" w:ascii="Times New Roman" w:hAnsi="Times New Roman" w:eastAsia="方正楷体_GBK" w:cs="Times New Roman"/>
          <w:b w:val="0"/>
          <w:bCs/>
          <w:color w:val="000000"/>
          <w:kern w:val="36"/>
          <w:sz w:val="32"/>
          <w:szCs w:val="32"/>
          <w:highlight w:val="none"/>
          <w:lang w:val="en-US"/>
        </w:rPr>
        <w:t>3</w:t>
      </w:r>
      <w:r>
        <w:rPr>
          <w:rFonts w:hint="default" w:ascii="Times New Roman" w:hAnsi="Times New Roman" w:eastAsia="方正楷体_GBK" w:cs="Times New Roman"/>
          <w:b w:val="0"/>
          <w:bCs/>
          <w:color w:val="000000"/>
          <w:kern w:val="36"/>
          <w:sz w:val="32"/>
          <w:szCs w:val="32"/>
          <w:highlight w:val="none"/>
        </w:rPr>
        <w:t>月</w:t>
      </w:r>
      <w:r>
        <w:rPr>
          <w:rFonts w:hint="default" w:ascii="Times New Roman" w:hAnsi="Times New Roman" w:eastAsia="方正楷体_GBK" w:cs="Times New Roman"/>
          <w:b w:val="0"/>
          <w:bCs/>
          <w:color w:val="000000"/>
          <w:kern w:val="36"/>
          <w:sz w:val="32"/>
          <w:szCs w:val="32"/>
          <w:highlight w:val="none"/>
          <w:lang w:val="en-US"/>
        </w:rPr>
        <w:t>1</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2月</w:t>
      </w:r>
      <w:r>
        <w:rPr>
          <w:rFonts w:hint="default" w:ascii="Times New Roman" w:hAnsi="Times New Roman" w:eastAsia="方正楷体_GBK" w:cs="Times New Roman"/>
          <w:b/>
          <w:color w:val="auto"/>
          <w:spacing w:val="0"/>
          <w:kern w:val="36"/>
          <w:sz w:val="30"/>
          <w:szCs w:val="30"/>
          <w:lang w:val="en-US" w:eastAsia="zh-CN"/>
        </w:rPr>
        <w:t>24</w:t>
      </w:r>
      <w:r>
        <w:rPr>
          <w:rFonts w:hint="eastAsia" w:ascii="Times New Roman" w:hAnsi="Times New Roman" w:eastAsia="方正楷体_GBK" w:cs="Times New Roman"/>
          <w:b/>
          <w:color w:val="auto"/>
          <w:spacing w:val="0"/>
          <w:kern w:val="36"/>
          <w:sz w:val="30"/>
          <w:szCs w:val="30"/>
          <w:lang w:val="en-US" w:eastAsia="zh-CN"/>
        </w:rPr>
        <w:t>日（周六）</w:t>
      </w:r>
      <w:r>
        <w:rPr>
          <w:rFonts w:hint="default" w:ascii="Times New Roman" w:hAnsi="Times New Roman" w:eastAsia="方正楷体_GBK" w:cs="Times New Roman"/>
          <w:b/>
          <w:color w:val="auto"/>
          <w:spacing w:val="0"/>
          <w:kern w:val="36"/>
          <w:sz w:val="30"/>
          <w:szCs w:val="30"/>
          <w:lang w:val="en-US" w:eastAsia="zh-CN"/>
        </w:rPr>
        <w:t>IHS Markit公布2月PMI初值</w:t>
      </w:r>
      <w:r>
        <w:rPr>
          <w:rFonts w:hint="eastAsia" w:ascii="Times New Roman" w:hAnsi="Times New Roman" w:eastAsia="方正楷体_GBK" w:cs="Times New Roman"/>
          <w:b/>
          <w:color w:val="auto"/>
          <w:spacing w:val="0"/>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美国领先</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欧洲疲弱 / 01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2月25日（周</w:t>
      </w:r>
      <w:r>
        <w:rPr>
          <w:rFonts w:hint="eastAsia" w:ascii="Times New Roman" w:hAnsi="Times New Roman" w:eastAsia="方正楷体_GBK" w:cs="Times New Roman"/>
          <w:b/>
          <w:color w:val="auto"/>
          <w:spacing w:val="0"/>
          <w:kern w:val="36"/>
          <w:sz w:val="30"/>
          <w:szCs w:val="30"/>
          <w:lang w:val="en-US" w:eastAsia="zh-CN"/>
        </w:rPr>
        <w:t>日</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七巨头</w:t>
      </w:r>
      <w:r>
        <w:rPr>
          <w:rFonts w:hint="eastAsia" w:ascii="Times New Roman" w:hAnsi="Times New Roman" w:eastAsia="方正楷体_GBK" w:cs="Times New Roman"/>
          <w:b/>
          <w:color w:val="auto"/>
          <w:spacing w:val="0"/>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引领产业，巴菲特信中示警 / 04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2月26日（周</w:t>
      </w:r>
      <w:r>
        <w:rPr>
          <w:rFonts w:hint="eastAsia" w:ascii="Times New Roman" w:hAnsi="Times New Roman" w:eastAsia="方正楷体_GBK" w:cs="Times New Roman"/>
          <w:b/>
          <w:color w:val="auto"/>
          <w:spacing w:val="0"/>
          <w:kern w:val="36"/>
          <w:sz w:val="30"/>
          <w:szCs w:val="30"/>
          <w:lang w:val="en-US" w:eastAsia="zh-CN"/>
        </w:rPr>
        <w:t>一</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全球通胀依旧，但趋势出现分化</w:t>
      </w:r>
      <w:r>
        <w:rPr>
          <w:rFonts w:hint="default" w:ascii="Times New Roman" w:hAnsi="Times New Roman" w:eastAsia="方正楷体_GBK" w:cs="Times New Roman"/>
          <w:b/>
          <w:color w:val="auto"/>
          <w:spacing w:val="-23"/>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 06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2月27</w:t>
      </w:r>
      <w:r>
        <w:rPr>
          <w:rFonts w:hint="eastAsia" w:ascii="Times New Roman" w:hAnsi="Times New Roman" w:eastAsia="方正楷体_GBK" w:cs="Times New Roman"/>
          <w:b/>
          <w:color w:val="auto"/>
          <w:spacing w:val="0"/>
          <w:kern w:val="36"/>
          <w:sz w:val="30"/>
          <w:szCs w:val="30"/>
          <w:lang w:val="en-US" w:eastAsia="zh-CN"/>
        </w:rPr>
        <w:t>日</w:t>
      </w:r>
      <w:r>
        <w:rPr>
          <w:rFonts w:hint="default" w:ascii="Times New Roman" w:hAnsi="Times New Roman" w:eastAsia="方正楷体_GBK" w:cs="Times New Roman"/>
          <w:b/>
          <w:color w:val="auto"/>
          <w:spacing w:val="0"/>
          <w:kern w:val="36"/>
          <w:sz w:val="30"/>
          <w:szCs w:val="30"/>
          <w:lang w:val="en-US" w:eastAsia="zh-CN"/>
        </w:rPr>
        <w:t>（周</w:t>
      </w:r>
      <w:r>
        <w:rPr>
          <w:rFonts w:hint="eastAsia" w:ascii="Times New Roman" w:hAnsi="Times New Roman" w:eastAsia="方正楷体_GBK" w:cs="Times New Roman"/>
          <w:b/>
          <w:color w:val="auto"/>
          <w:spacing w:val="0"/>
          <w:kern w:val="36"/>
          <w:sz w:val="30"/>
          <w:szCs w:val="30"/>
          <w:lang w:val="en-US" w:eastAsia="zh-CN"/>
        </w:rPr>
        <w:t>二</w:t>
      </w:r>
      <w:r>
        <w:rPr>
          <w:rFonts w:hint="default" w:ascii="Times New Roman" w:hAnsi="Times New Roman" w:eastAsia="方正楷体_GBK" w:cs="Times New Roman"/>
          <w:b/>
          <w:color w:val="auto"/>
          <w:spacing w:val="0"/>
          <w:kern w:val="36"/>
          <w:sz w:val="30"/>
          <w:szCs w:val="30"/>
          <w:lang w:val="en-US" w:eastAsia="zh-CN"/>
        </w:rPr>
        <w:t>）关注周四PCE数据，美联储或推迟降息 / 07</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2月28日（周</w:t>
      </w:r>
      <w:r>
        <w:rPr>
          <w:rFonts w:hint="eastAsia" w:ascii="Times New Roman" w:hAnsi="Times New Roman" w:eastAsia="方正楷体_GBK" w:cs="Times New Roman"/>
          <w:b/>
          <w:color w:val="auto"/>
          <w:spacing w:val="0"/>
          <w:kern w:val="36"/>
          <w:sz w:val="30"/>
          <w:szCs w:val="30"/>
          <w:lang w:val="en-US" w:eastAsia="zh-CN"/>
        </w:rPr>
        <w:t>三</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中期美债拍卖遇冷，收益率依然倒挂</w:t>
      </w:r>
      <w:r>
        <w:rPr>
          <w:rFonts w:hint="default" w:ascii="Times New Roman" w:hAnsi="Times New Roman" w:eastAsia="方正楷体_GBK" w:cs="Times New Roman"/>
          <w:b/>
          <w:color w:val="auto"/>
          <w:spacing w:val="0"/>
          <w:kern w:val="36"/>
          <w:sz w:val="30"/>
          <w:szCs w:val="30"/>
          <w:lang w:val="en-US" w:eastAsia="zh-CN"/>
        </w:rPr>
        <w:t xml:space="preserve"> /08</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2月29</w:t>
      </w:r>
      <w:r>
        <w:rPr>
          <w:rFonts w:hint="eastAsia" w:ascii="Times New Roman" w:hAnsi="Times New Roman" w:eastAsia="方正楷体_GBK" w:cs="Times New Roman"/>
          <w:b/>
          <w:color w:val="auto"/>
          <w:spacing w:val="0"/>
          <w:kern w:val="36"/>
          <w:sz w:val="30"/>
          <w:szCs w:val="30"/>
          <w:lang w:val="en-US" w:eastAsia="zh-CN"/>
        </w:rPr>
        <w:t>日（周四）</w:t>
      </w:r>
      <w:r>
        <w:rPr>
          <w:rFonts w:hint="eastAsia" w:ascii="Times New Roman" w:hAnsi="Times New Roman" w:eastAsia="方正楷体_GBK" w:cs="Times New Roman"/>
          <w:b/>
          <w:color w:val="auto"/>
          <w:spacing w:val="-11"/>
          <w:kern w:val="36"/>
          <w:sz w:val="30"/>
          <w:szCs w:val="30"/>
          <w:lang w:val="en-US" w:eastAsia="zh-CN"/>
        </w:rPr>
        <w:t>俄罗斯经济增长强劲，既超预期也超对手</w:t>
      </w:r>
      <w:r>
        <w:rPr>
          <w:rFonts w:hint="default"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/09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我会与中国贸促会商业行业委员会开展工作交流 /10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我会与建设银行江苏省分行开展工作交流 /10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南京扬子国资投资集团有限责任公司来访 /11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贸促服务助企行</w:t>
      </w:r>
      <w:r>
        <w:rPr>
          <w:rFonts w:hint="eastAsia" w:ascii="Times New Roman" w:hAnsi="Times New Roman" w:eastAsia="方正楷体_GBK" w:cs="Times New Roman"/>
          <w:b/>
          <w:color w:val="auto"/>
          <w:spacing w:val="0"/>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走进焦点科技 /12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 xml:space="preserve">贸促会为企业提供CBAM免费内测 /12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南京市贸促会赴沪拜访知名会展组展</w:t>
      </w:r>
      <w:bookmarkStart w:id="0" w:name="_GoBack"/>
      <w:bookmarkEnd w:id="0"/>
      <w:r>
        <w:rPr>
          <w:rFonts w:hint="default" w:ascii="Times New Roman" w:hAnsi="Times New Roman" w:eastAsia="方正楷体_GBK" w:cs="Times New Roman"/>
          <w:b/>
          <w:color w:val="auto"/>
          <w:spacing w:val="0"/>
          <w:kern w:val="36"/>
          <w:sz w:val="30"/>
          <w:szCs w:val="30"/>
          <w:lang w:val="en-US" w:eastAsia="zh-CN"/>
        </w:rPr>
        <w:t>企业 /13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中国盐城（首尔）产业合作交流会在韩举行 / 13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省文投集团民族舞剧《红楼梦》获全省宣传思想文化工作</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创新奖 /14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扬子国投数据产品成功挂牌</w:t>
      </w:r>
      <w:r>
        <w:rPr>
          <w:rFonts w:hint="default" w:ascii="Times New Roman" w:hAnsi="Times New Roman" w:eastAsia="方正楷体_GBK" w:cs="Times New Roman"/>
          <w:b/>
          <w:color w:val="auto"/>
          <w:spacing w:val="-28"/>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方正楷体_GBK" w:cs="Times New Roman"/>
          <w:b/>
          <w:color w:val="auto"/>
          <w:kern w:val="36"/>
          <w:sz w:val="30"/>
          <w:szCs w:val="30"/>
          <w:lang w:val="en-US" w:eastAsia="zh-CN"/>
        </w:rPr>
        <w:t>第37届非洲联盟峰会上的</w:t>
      </w:r>
      <w:r>
        <w:rPr>
          <w:rFonts w:hint="eastAsia" w:ascii="Times New Roman" w:hAnsi="Times New Roman" w:eastAsia="方正楷体_GBK" w:cs="Times New Roman"/>
          <w:b/>
          <w:color w:val="auto"/>
          <w:kern w:val="36"/>
          <w:sz w:val="30"/>
          <w:szCs w:val="30"/>
          <w:lang w:val="en-US" w:eastAsia="zh-CN"/>
        </w:rPr>
        <w:t>“</w:t>
      </w:r>
      <w:r>
        <w:rPr>
          <w:rFonts w:hint="default" w:ascii="Times New Roman" w:hAnsi="Times New Roman" w:eastAsia="方正楷体_GBK" w:cs="Times New Roman"/>
          <w:b/>
          <w:color w:val="auto"/>
          <w:kern w:val="36"/>
          <w:sz w:val="30"/>
          <w:szCs w:val="30"/>
          <w:lang w:val="en-US" w:eastAsia="zh-CN"/>
        </w:rPr>
        <w:t>中江印记</w:t>
      </w:r>
      <w:r>
        <w:rPr>
          <w:rFonts w:hint="eastAsia" w:ascii="Times New Roman" w:hAnsi="Times New Roman" w:eastAsia="方正楷体_GBK" w:cs="Times New Roman"/>
          <w:b/>
          <w:color w:val="auto"/>
          <w:kern w:val="36"/>
          <w:sz w:val="30"/>
          <w:szCs w:val="30"/>
          <w:lang w:val="en-US" w:eastAsia="zh-CN"/>
        </w:rPr>
        <w:t>”</w:t>
      </w:r>
      <w:r>
        <w:rPr>
          <w:rFonts w:hint="default" w:ascii="Times New Roman" w:hAnsi="Times New Roman" w:eastAsia="方正楷体_GBK" w:cs="Times New Roman"/>
          <w:b/>
          <w:color w:val="auto"/>
          <w:kern w:val="36"/>
          <w:sz w:val="30"/>
          <w:szCs w:val="30"/>
          <w:lang w:val="en-US" w:eastAsia="zh-CN"/>
        </w:rPr>
        <w:t xml:space="preserve">  / 15</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2月24日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六</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IHS Markit公布2月PMI初值，美国领先欧洲疲弱</w:t>
      </w:r>
    </w:p>
    <w:p>
      <w:pPr>
        <w:ind w:firstLine="608" w:firstLineChars="200"/>
        <w:jc w:val="left"/>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一、美国数据强劲，降息预期消退</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2月22日周四，IHS Markit公布美国2月PMI初值。</w:t>
      </w:r>
    </w:p>
    <w:p>
      <w:pPr>
        <w:jc w:val="center"/>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drawing>
          <wp:inline distT="0" distB="0" distL="114300" distR="114300">
            <wp:extent cx="5210175" cy="1257935"/>
            <wp:effectExtent l="0" t="0" r="952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10175" cy="1257935"/>
                    </a:xfrm>
                    <a:prstGeom prst="rect">
                      <a:avLst/>
                    </a:prstGeom>
                    <a:noFill/>
                    <a:ln>
                      <a:noFill/>
                    </a:ln>
                  </pic:spPr>
                </pic:pic>
              </a:graphicData>
            </a:graphic>
          </wp:inline>
        </w:drawing>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受益于订单增长强劲，美国制造业连续几个月实现增长，2月制造业PMI初值创17个月新高。</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美国经济在2月继续扩张，加之近期公布的就业数据依旧强劲，经济学家上调了对美国全年经济增幅的预期；也因就业市场和消费支出的热度不减，通货膨胀的预期加强，进一步影响了对美联储降息的预测。</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有经济学家预期，美联储将继续在更长时间维持高利率，今年上半年几无降息可能，三季度估计只能降息25个基点，四季度还未可知。</w:t>
      </w:r>
    </w:p>
    <w:p>
      <w:pPr>
        <w:ind w:firstLine="608" w:firstLineChars="200"/>
        <w:jc w:val="left"/>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二、欧洲数据疲弱，英法略好于德</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同日，IHS Markit也公布了欧元区、德国、法国，以及英国的2月PMI初值。</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欧元区的综合PMI有回升，但制造业PMI仍旧下行。</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drawing>
          <wp:inline distT="0" distB="0" distL="114300" distR="114300">
            <wp:extent cx="5076825" cy="1263650"/>
            <wp:effectExtent l="0" t="0" r="952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076825" cy="1263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德国的综合PMI和制造业PMI，都低于前值和预期，作为工业大国，2月份德国在制造业方面的表现依然令人担忧。</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lang w:val="en-US" w:eastAsia="zh-CN"/>
        </w:rPr>
      </w:pPr>
      <w:r>
        <w:drawing>
          <wp:inline distT="0" distB="0" distL="114300" distR="114300">
            <wp:extent cx="5161280" cy="1431925"/>
            <wp:effectExtent l="0" t="0" r="127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161280" cy="1431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英国的制造业仍在收缩，但服务业增长稳定。</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lang w:val="en-US" w:eastAsia="zh-CN"/>
        </w:rPr>
      </w:pPr>
      <w:r>
        <w:drawing>
          <wp:inline distT="0" distB="0" distL="114300" distR="114300">
            <wp:extent cx="5153025" cy="1429385"/>
            <wp:effectExtent l="0" t="0" r="952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153025" cy="14293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法国的各项指标仍处于收缩区间，但与前值相比，都有显著增长，经济可能在企稳复苏，仍需持续观察。</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lang w:val="en-US" w:eastAsia="zh-CN"/>
        </w:rPr>
      </w:pPr>
      <w:r>
        <w:drawing>
          <wp:inline distT="0" distB="0" distL="114300" distR="114300">
            <wp:extent cx="5144135" cy="1428115"/>
            <wp:effectExtent l="0" t="0" r="1841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144135" cy="1428115"/>
                    </a:xfrm>
                    <a:prstGeom prst="rect">
                      <a:avLst/>
                    </a:prstGeom>
                    <a:noFill/>
                    <a:ln>
                      <a:noFill/>
                    </a:ln>
                  </pic:spPr>
                </pic:pic>
              </a:graphicData>
            </a:graphic>
          </wp:inline>
        </w:drawing>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另，2022年，德、英、法三国在全球GDP排名中，分别位列第四、第六和第七。2023年度，我对其出口分别是1005.6亿美元、779亿美元和416亿美元。</w:t>
      </w:r>
    </w:p>
    <w:p>
      <w:pPr>
        <w:jc w:val="center"/>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rPr>
        <w:t xml:space="preserve"> </w:t>
      </w:r>
      <w:r>
        <w:rPr>
          <w:rFonts w:hint="default" w:ascii="Times New Roman" w:hAnsi="Times New Roman" w:cs="Times New Roman"/>
          <w:sz w:val="32"/>
          <w:szCs w:val="32"/>
        </w:rPr>
        <w:drawing>
          <wp:inline distT="0" distB="0" distL="114300" distR="114300">
            <wp:extent cx="4996815" cy="4560570"/>
            <wp:effectExtent l="0" t="0" r="13335" b="1143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1"/>
                    <a:stretch>
                      <a:fillRect/>
                    </a:stretch>
                  </pic:blipFill>
                  <pic:spPr>
                    <a:xfrm>
                      <a:off x="0" y="0"/>
                      <a:ext cx="4996815" cy="4560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方正黑体_GBK" w:hAnsi="方正黑体_GBK" w:eastAsia="方正黑体_GBK" w:cs="方正黑体_GBK"/>
          <w:sz w:val="28"/>
          <w:szCs w:val="28"/>
          <w:highlight w:val="none"/>
          <w:lang w:val="en-US" w:eastAsia="zh-CN"/>
        </w:rPr>
        <w:t>：</w:t>
      </w:r>
      <w:r>
        <w:rPr>
          <w:rFonts w:hint="eastAsia" w:ascii="Times New Roman" w:hAnsi="Times New Roman" w:eastAsia="方正楷体_GBK" w:cs="Times New Roman"/>
          <w:b/>
          <w:bCs/>
          <w:sz w:val="28"/>
          <w:szCs w:val="28"/>
          <w:lang w:val="en-US" w:eastAsia="zh-CN"/>
        </w:rPr>
        <w:t>“</w:t>
      </w:r>
      <w:r>
        <w:rPr>
          <w:rFonts w:hint="default" w:ascii="Times New Roman" w:hAnsi="Times New Roman" w:eastAsia="方正楷体_GBK" w:cs="Times New Roman"/>
          <w:b/>
          <w:bCs/>
          <w:sz w:val="28"/>
          <w:szCs w:val="28"/>
          <w:lang w:val="en-US" w:eastAsia="zh-CN"/>
        </w:rPr>
        <w:t>采购经理人指数</w:t>
      </w:r>
      <w:r>
        <w:rPr>
          <w:rFonts w:hint="eastAsia" w:ascii="Times New Roman" w:hAnsi="Times New Roman" w:eastAsia="方正楷体_GBK" w:cs="Times New Roman"/>
          <w:b/>
          <w:bCs/>
          <w:sz w:val="28"/>
          <w:szCs w:val="28"/>
          <w:lang w:val="en-US" w:eastAsia="zh-CN"/>
        </w:rPr>
        <w:t>”</w:t>
      </w:r>
      <w:r>
        <w:rPr>
          <w:rFonts w:hint="default" w:ascii="Times New Roman" w:hAnsi="Times New Roman" w:eastAsia="方正楷体_GBK" w:cs="Times New Roman"/>
          <w:b/>
          <w:bCs/>
          <w:sz w:val="28"/>
          <w:szCs w:val="28"/>
          <w:lang w:val="en-US" w:eastAsia="zh-CN"/>
        </w:rPr>
        <w:t>（PMI）</w:t>
      </w:r>
      <w:r>
        <w:rPr>
          <w:rFonts w:hint="default" w:ascii="Times New Roman" w:hAnsi="Times New Roman" w:eastAsia="方正楷体_GBK" w:cs="Times New Roman"/>
          <w:sz w:val="28"/>
          <w:szCs w:val="28"/>
          <w:lang w:val="en-US" w:eastAsia="zh-CN"/>
        </w:rPr>
        <w:t>是一项用于衡量制造业和服务业活动的指标，通过调查企业采购经理人的意见来反映经济状况。PMI 的指数通常在50为分界线，数值高于50表示经济活动扩张，数值低于50表示经济活动收缩。具体数值的大小反映了经济活动的增长或衰退程度。</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val="en-US" w:eastAsia="zh-CN"/>
        </w:rPr>
        <w:t>PMI</w:t>
      </w:r>
      <w:r>
        <w:rPr>
          <w:rFonts w:hint="eastAsia" w:ascii="Times New Roman" w:hAnsi="Times New Roman" w:eastAsia="方正楷体_GBK" w:cs="Times New Roman"/>
          <w:sz w:val="28"/>
          <w:szCs w:val="28"/>
          <w:lang w:val="en-US" w:eastAsia="zh-CN"/>
        </w:rPr>
        <w:t>“</w:t>
      </w:r>
      <w:r>
        <w:rPr>
          <w:rFonts w:hint="default" w:ascii="Times New Roman" w:hAnsi="Times New Roman" w:eastAsia="方正楷体_GBK" w:cs="Times New Roman"/>
          <w:sz w:val="28"/>
          <w:szCs w:val="28"/>
          <w:lang w:val="en-US" w:eastAsia="zh-CN"/>
        </w:rPr>
        <w:t>初值</w:t>
      </w:r>
      <w:r>
        <w:rPr>
          <w:rFonts w:hint="eastAsia" w:ascii="Times New Roman" w:hAnsi="Times New Roman" w:eastAsia="方正楷体_GBK" w:cs="Times New Roman"/>
          <w:sz w:val="28"/>
          <w:szCs w:val="28"/>
          <w:lang w:val="en-US" w:eastAsia="zh-CN"/>
        </w:rPr>
        <w:t>”</w:t>
      </w:r>
      <w:r>
        <w:rPr>
          <w:rFonts w:hint="default" w:ascii="Times New Roman" w:hAnsi="Times New Roman" w:eastAsia="方正楷体_GBK" w:cs="Times New Roman"/>
          <w:sz w:val="28"/>
          <w:szCs w:val="28"/>
          <w:lang w:val="en-US" w:eastAsia="zh-CN"/>
        </w:rPr>
        <w:t>可以被视为一种经济指标的预测值，是在每个月的调查期间收集并发布的第一个数据点；之后，还会发布经修正的实际值。</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default" w:ascii="Calibri" w:hAnsi="Calibri" w:cs="Calibri"/>
          <w:lang w:val="en-US" w:eastAsia="zh-CN"/>
        </w:rPr>
      </w:pPr>
      <w:r>
        <w:rPr>
          <w:rFonts w:hint="default" w:ascii="Times New Roman" w:hAnsi="Times New Roman" w:eastAsia="方正楷体_GBK" w:cs="Times New Roman"/>
          <w:sz w:val="28"/>
          <w:szCs w:val="28"/>
          <w:lang w:val="en-US" w:eastAsia="zh-CN"/>
        </w:rPr>
        <w:t>IHS Markit是一家全球领先的经济数据和信息提供商，负责编制并发布各个国家和地区的 PMI数据。欧洲央行直接使用IHS Markit 提供的数据，用于宏观经济分析和政策制定。）</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2月25日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w:t>
      </w:r>
      <w:r>
        <w:rPr>
          <w:rFonts w:hint="default" w:ascii="Times New Roman" w:hAnsi="Times New Roman" w:eastAsia="方正小标宋_GBK" w:cs="Times New Roman"/>
          <w:b/>
          <w:bCs/>
          <w:color w:val="0000FF"/>
          <w:sz w:val="36"/>
          <w:szCs w:val="44"/>
          <w:highlight w:val="yellow"/>
          <w:lang w:val="en-US" w:eastAsia="zh-CN"/>
        </w:rPr>
        <w:t>七巨头</w:t>
      </w:r>
      <w:r>
        <w:rPr>
          <w:rFonts w:hint="eastAsia" w:ascii="Times New Roman" w:hAnsi="Times New Roman" w:eastAsia="方正小标宋_GBK" w:cs="Times New Roman"/>
          <w:b/>
          <w:bCs/>
          <w:color w:val="0000FF"/>
          <w:sz w:val="36"/>
          <w:szCs w:val="44"/>
          <w:highlight w:val="yellow"/>
          <w:lang w:val="en-US" w:eastAsia="zh-CN"/>
        </w:rPr>
        <w:t>”</w:t>
      </w:r>
      <w:r>
        <w:rPr>
          <w:rFonts w:hint="default" w:ascii="Times New Roman" w:hAnsi="Times New Roman" w:eastAsia="方正小标宋_GBK" w:cs="Times New Roman"/>
          <w:b/>
          <w:bCs/>
          <w:color w:val="0000FF"/>
          <w:sz w:val="36"/>
          <w:szCs w:val="44"/>
          <w:highlight w:val="yellow"/>
          <w:lang w:val="en-US" w:eastAsia="zh-CN"/>
        </w:rPr>
        <w:t>引领产业，巴菲特信中示警</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本周美国股市持续分化，标普500指数中的</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七巨头</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和其他493个指数成员的差距仍在扩大（见图）。涨势愈发集中于</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七巨头</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，其市值已是全球第四大股市——日本股市的两倍，规模足以使之成为世界上第二大股市。从企业盈利来看，</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七巨头</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利润规模也约等于日本股市利润，这表明，投资者对</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七巨头</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的热情出于理性，并非完全空穴来风。</w:t>
      </w:r>
    </w:p>
    <w:p>
      <w:pPr>
        <w:jc w:val="center"/>
        <w:rPr>
          <w:rFonts w:hint="default" w:ascii="Times New Roman" w:hAnsi="Times New Roman" w:cs="Times New Roman"/>
          <w:sz w:val="32"/>
          <w:szCs w:val="32"/>
          <w:lang w:val="en-US" w:eastAsia="zh-CN"/>
        </w:rPr>
      </w:pPr>
      <w:r>
        <w:rPr>
          <w:rFonts w:hint="default" w:ascii="Times New Roman" w:hAnsi="Times New Roman" w:cs="Times New Roman"/>
          <w:sz w:val="32"/>
          <w:szCs w:val="32"/>
        </w:rPr>
        <w:drawing>
          <wp:inline distT="0" distB="0" distL="114300" distR="114300">
            <wp:extent cx="4838700" cy="3403600"/>
            <wp:effectExtent l="0" t="0" r="0" b="635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2"/>
                    <a:stretch>
                      <a:fillRect/>
                    </a:stretch>
                  </pic:blipFill>
                  <pic:spPr>
                    <a:xfrm>
                      <a:off x="0" y="0"/>
                      <a:ext cx="4838700" cy="3403600"/>
                    </a:xfrm>
                    <a:prstGeom prst="rect">
                      <a:avLst/>
                    </a:prstGeom>
                    <a:noFill/>
                    <a:ln>
                      <a:noFill/>
                    </a:ln>
                  </pic:spPr>
                </pic:pic>
              </a:graphicData>
            </a:graphic>
          </wp:inline>
        </w:drawing>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2023年5月，美国银行最先用</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七巨头（Magnificent 7）</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一词，来描述当时推动标普500指数上涨的7只表现最好的大型科技股，它们是：Meta（脸书）、苹果、亚马逊、谷歌、微软、特斯拉和英伟达（NVIDIA）。</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华尔街预计，2024年美国的经济增长将更强劲，上述企业的利润将更高，股价将保持上涨态势。有分析认为，当前的形势与1995年互联网开启商业时代相似，人工智能技术正推动新一轮生产力周期，引发商业和经济领域的巨大变革。</w:t>
      </w:r>
    </w:p>
    <w:p>
      <w:pPr>
        <w:jc w:val="center"/>
        <w:rPr>
          <w:rFonts w:hint="default" w:ascii="Times New Roman" w:hAnsi="Times New Roman" w:cs="Times New Roman"/>
          <w:sz w:val="32"/>
          <w:szCs w:val="32"/>
          <w:lang w:val="en-US" w:eastAsia="zh-CN"/>
        </w:rPr>
      </w:pPr>
      <w:r>
        <w:rPr>
          <w:rFonts w:hint="default" w:ascii="Times New Roman" w:hAnsi="Times New Roman" w:cs="Times New Roman"/>
          <w:sz w:val="32"/>
          <w:szCs w:val="32"/>
        </w:rPr>
        <w:drawing>
          <wp:inline distT="0" distB="0" distL="114300" distR="114300">
            <wp:extent cx="4481830" cy="2172970"/>
            <wp:effectExtent l="0" t="0" r="13970" b="177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3"/>
                    <a:stretch>
                      <a:fillRect/>
                    </a:stretch>
                  </pic:blipFill>
                  <pic:spPr>
                    <a:xfrm>
                      <a:off x="0" y="0"/>
                      <a:ext cx="4481830" cy="2172970"/>
                    </a:xfrm>
                    <a:prstGeom prst="rect">
                      <a:avLst/>
                    </a:prstGeom>
                    <a:noFill/>
                    <a:ln>
                      <a:noFill/>
                    </a:ln>
                  </pic:spPr>
                </pic:pic>
              </a:graphicData>
            </a:graphic>
          </wp:inline>
        </w:drawing>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英伟达总市值从1万亿美元扩张到2万亿美元，这一里程碑式跳跃仅用了8个月，创造了一个新的纪录。微软走过这个历程，耗时2年半，苹果也用了约2年的时间。</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七巨头</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，从微软到英伟达，每一个企业的崛起都引领了一个全球产业的诞生。</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当然，经济增长是一个系统工程，美国经济目前最大的挑战是通货膨胀，能否在今年顺利走出通胀，利率水平恢复正常，让中小企业和传统产业实现可持续的增长，仍有待观察。</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在近日写给股东的信中，巴菲特警告说，伯克希尔哈撒韦公司</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令人瞠目的业绩</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即将结束。能够复制以往成功的收购交易，已经所剩无几；在美国以外的地区，很难找到候选投资对象。由于缺乏有吸引力的投资，伯克希尔的现金储备在2023年底创下了1676亿美元的历史新高。</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2月26日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一</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全球通胀依旧，但趋势出现分化</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目前，全球工业品价格持续下跌，食品和能源价格稳定有降。因此，通胀的根源在于服务价格的上涨。而服务业的通胀与本地市场情况密切相关，无法通过国际贸易缓解。</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在过去三个月里，美国就业市场异常火热，平均每个月新增28.9万个就业岗位，是预计可持续增长率的两倍多，工资年增长率超过4.5%</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2023年下半年，美国GDP年增长率为4.1%，显示经济增长强劲。这些数据都有支持通胀的可能。最近的数据显示，美国通货膨胀确有反弹迹象。</w:t>
      </w:r>
    </w:p>
    <w:p>
      <w:pPr>
        <w:keepNext w:val="0"/>
        <w:keepLines w:val="0"/>
        <w:pageBreakBefore w:val="0"/>
        <w:widowControl w:val="0"/>
        <w:kinsoku/>
        <w:wordWrap/>
        <w:overflowPunct/>
        <w:topLinePunct w:val="0"/>
        <w:autoSpaceDE/>
        <w:autoSpaceDN/>
        <w:bidi w:val="0"/>
        <w:adjustRightInd/>
        <w:snapToGrid/>
        <w:spacing w:line="540" w:lineRule="exact"/>
        <w:ind w:firstLine="584" w:firstLineChars="200"/>
        <w:jc w:val="left"/>
        <w:textAlignment w:val="auto"/>
        <w:rPr>
          <w:rFonts w:hint="default" w:ascii="Times New Roman" w:hAnsi="Times New Roman" w:cs="Times New Roman" w:eastAsiaTheme="minorEastAsia"/>
          <w:spacing w:val="-6"/>
          <w:sz w:val="32"/>
          <w:szCs w:val="32"/>
          <w:lang w:val="en-US" w:eastAsia="zh-CN"/>
        </w:rPr>
      </w:pPr>
      <w:r>
        <w:rPr>
          <w:rFonts w:hint="default" w:ascii="Times New Roman" w:hAnsi="Times New Roman" w:cs="Times New Roman" w:eastAsiaTheme="minorEastAsia"/>
          <w:spacing w:val="-6"/>
          <w:sz w:val="32"/>
          <w:szCs w:val="32"/>
          <w:lang w:val="en-US" w:eastAsia="zh-CN"/>
        </w:rPr>
        <w:t>欧洲的情况与美国不同，虽然同样失业率偏低，通胀率高企，但经济增长相当疲弱，英国和德国都于2023年底陷入衰退，欧元区的PMI等数据都呈现经济收缩态势。天然气价格也在下降之中，减轻了通货膨胀压力。市场普遍预期，欧洲的通胀问题将很快得到缓解。</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9"/>
        <w:gridCol w:w="4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9" w:hRule="atLeast"/>
        </w:trPr>
        <w:tc>
          <w:tcPr>
            <w:tcW w:w="5019" w:type="dxa"/>
            <w:tcBorders>
              <w:tl2br w:val="nil"/>
              <w:tr2bl w:val="nil"/>
            </w:tcBorders>
            <w:vAlign w:val="top"/>
          </w:tcPr>
          <w:p>
            <w:pPr>
              <w:jc w:val="both"/>
              <w:rPr>
                <w:rFonts w:hint="default" w:ascii="Times New Roman" w:hAnsi="Times New Roman" w:cs="Times New Roman"/>
                <w:sz w:val="32"/>
                <w:szCs w:val="32"/>
                <w:vertAlign w:val="baseline"/>
              </w:rPr>
            </w:pPr>
            <w:r>
              <w:rPr>
                <w:rFonts w:hint="default" w:ascii="Times New Roman" w:hAnsi="Times New Roman" w:cs="Times New Roman"/>
                <w:sz w:val="32"/>
                <w:szCs w:val="32"/>
              </w:rPr>
              <w:drawing>
                <wp:inline distT="0" distB="0" distL="114300" distR="114300">
                  <wp:extent cx="3085465" cy="1951990"/>
                  <wp:effectExtent l="0" t="0" r="635" b="1016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4"/>
                          <a:stretch>
                            <a:fillRect/>
                          </a:stretch>
                        </pic:blipFill>
                        <pic:spPr>
                          <a:xfrm>
                            <a:off x="0" y="0"/>
                            <a:ext cx="3085465" cy="1951990"/>
                          </a:xfrm>
                          <a:prstGeom prst="rect">
                            <a:avLst/>
                          </a:prstGeom>
                          <a:noFill/>
                          <a:ln>
                            <a:noFill/>
                          </a:ln>
                        </pic:spPr>
                      </pic:pic>
                    </a:graphicData>
                  </a:graphic>
                </wp:inline>
              </w:drawing>
            </w:r>
          </w:p>
        </w:tc>
        <w:tc>
          <w:tcPr>
            <w:tcW w:w="4042"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both"/>
              <w:textAlignment w:val="auto"/>
              <w:rPr>
                <w:rFonts w:hint="default" w:ascii="Times New Roman" w:hAnsi="Times New Roman" w:cs="Times New Roman"/>
                <w:sz w:val="32"/>
                <w:szCs w:val="32"/>
                <w:vertAlign w:val="baseline"/>
              </w:rPr>
            </w:pPr>
            <w:r>
              <w:rPr>
                <w:rFonts w:hint="default" w:ascii="Times New Roman" w:hAnsi="Times New Roman" w:cs="Times New Roman"/>
                <w:sz w:val="32"/>
                <w:szCs w:val="32"/>
                <w:lang w:val="en-US" w:eastAsia="zh-CN"/>
              </w:rPr>
              <w:t>如果上述推断成立，美国将保持高利率，以抑制通胀，欧洲等经济体将进入降息周期，以刺激经济复苏。于是，美国与世界其他地区的利差扩大，非美元经济体会遭遇资金外流。美元将继续升值。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0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sz w:val="32"/>
                <w:szCs w:val="32"/>
              </w:rPr>
            </w:pPr>
            <w:r>
              <w:rPr>
                <w:rFonts w:hint="eastAsia" w:ascii="方正楷体_GBK" w:hAnsi="方正楷体_GBK" w:eastAsia="方正楷体_GBK" w:cs="方正楷体_GBK"/>
                <w:spacing w:val="-11"/>
                <w:sz w:val="28"/>
                <w:szCs w:val="28"/>
                <w:lang w:eastAsia="zh-CN"/>
              </w:rPr>
              <w:t>（图：纽约商品交易所天然气期货价格）</w:t>
            </w:r>
          </w:p>
        </w:tc>
        <w:tc>
          <w:tcPr>
            <w:tcW w:w="4042" w:type="dxa"/>
            <w:vMerge w:val="continue"/>
            <w:tcBorders>
              <w:tl2br w:val="nil"/>
              <w:tr2bl w:val="nil"/>
            </w:tcBorders>
            <w:vAlign w:val="top"/>
          </w:tcPr>
          <w:p>
            <w:pPr>
              <w:jc w:val="both"/>
              <w:rPr>
                <w:rFonts w:hint="default" w:ascii="Times New Roman" w:hAnsi="Times New Roman" w:cs="Times New Roman"/>
                <w:sz w:val="32"/>
                <w:szCs w:val="32"/>
                <w:vertAlign w:val="baseline"/>
              </w:rPr>
            </w:pPr>
          </w:p>
        </w:tc>
      </w:tr>
    </w:tbl>
    <w:p>
      <w:pPr>
        <w:keepNext w:val="0"/>
        <w:keepLines w:val="0"/>
        <w:pageBreakBefore w:val="0"/>
        <w:widowControl w:val="0"/>
        <w:kinsoku/>
        <w:wordWrap/>
        <w:overflowPunct/>
        <w:topLinePunct w:val="0"/>
        <w:autoSpaceDE/>
        <w:autoSpaceDN/>
        <w:bidi w:val="0"/>
        <w:adjustRightInd/>
        <w:snapToGrid/>
        <w:spacing w:line="480" w:lineRule="exact"/>
        <w:ind w:firstLine="608" w:firstLineChars="200"/>
        <w:jc w:val="left"/>
        <w:textAlignment w:val="auto"/>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pacing w:val="0"/>
          <w:sz w:val="32"/>
          <w:szCs w:val="32"/>
          <w:lang w:val="en-US" w:eastAsia="zh-CN"/>
        </w:rPr>
        <w:t>降息预期改变，美国市场的金融资产将被重新定价，可能会出现抛售，美国中小银行的资产负债表压力将进一步加剧，金融部门面临挑战。</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2月27日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二</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关注周四PCE数据，美联储或推迟降息</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本周市场关注的焦点，是周四将公布的美国1月PCE物价指数。鉴于此前公布的CPI和PPI报告均超预期，华尔街预计美国1月核心PCE环比涨幅将从12月的0.2%增至0.4%.</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目前，市场已经将美联储年内首次降息的时间预期推迟至6月底。PCE是美联储最重视的通胀指标，若周四PCE数据大幅高于预期，美联储可能会进一步推迟降息。</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此外，本周将有多位美联储官员密集发表讲话，预计这些官员会重申对利率持谨慎态度。</w:t>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810125" cy="2353945"/>
            <wp:effectExtent l="0" t="0" r="9525" b="825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5"/>
                    <a:stretch>
                      <a:fillRect/>
                    </a:stretch>
                  </pic:blipFill>
                  <pic:spPr>
                    <a:xfrm>
                      <a:off x="0" y="0"/>
                      <a:ext cx="4810125" cy="2353945"/>
                    </a:xfrm>
                    <a:prstGeom prst="rect">
                      <a:avLst/>
                    </a:prstGeom>
                    <a:noFill/>
                    <a:ln>
                      <a:noFill/>
                    </a:ln>
                  </pic:spPr>
                </pic:pic>
              </a:graphicData>
            </a:graphic>
          </wp:inline>
        </w:drawing>
      </w:r>
    </w:p>
    <w:p>
      <w:pPr>
        <w:ind w:firstLine="528" w:firstLineChars="200"/>
        <w:jc w:val="left"/>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（图注：1月CPI指标已于2月13日公布，PCE指标待本周四公布）</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eastAsia" w:ascii="方正楷体_GBK" w:hAnsi="方正楷体_GBK" w:eastAsia="方正楷体_GBK" w:cs="方正楷体_GBK"/>
          <w:sz w:val="28"/>
          <w:szCs w:val="28"/>
          <w:vertAlign w:val="baseline"/>
        </w:rPr>
      </w:pPr>
      <w:r>
        <w:rPr>
          <w:rFonts w:hint="eastAsia" w:ascii="方正楷体_GBK" w:hAnsi="方正楷体_GBK" w:eastAsia="方正楷体_GBK" w:cs="方正楷体_GBK"/>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方正黑体_GBK" w:hAnsi="方正黑体_GBK" w:eastAsia="方正黑体_GBK" w:cs="方正黑体_GBK"/>
          <w:sz w:val="28"/>
          <w:szCs w:val="28"/>
          <w:highlight w:val="none"/>
          <w:lang w:val="en-US" w:eastAsia="zh-CN"/>
        </w:rPr>
        <w:t>：</w:t>
      </w:r>
      <w:r>
        <w:rPr>
          <w:rFonts w:hint="eastAsia" w:ascii="方正楷体_GBK" w:hAnsi="方正楷体_GBK" w:eastAsia="方正楷体_GBK" w:cs="方正楷体_GBK"/>
          <w:sz w:val="28"/>
          <w:szCs w:val="28"/>
          <w:vertAlign w:val="baseline"/>
          <w:lang w:eastAsia="zh-CN"/>
        </w:rPr>
        <w:t>“</w:t>
      </w:r>
      <w:r>
        <w:rPr>
          <w:rFonts w:hint="eastAsia" w:ascii="方正楷体_GBK" w:hAnsi="方正楷体_GBK" w:eastAsia="方正楷体_GBK" w:cs="方正楷体_GBK"/>
          <w:b/>
          <w:bCs/>
          <w:sz w:val="28"/>
          <w:szCs w:val="28"/>
          <w:vertAlign w:val="baseline"/>
        </w:rPr>
        <w:t>个人消费支出</w:t>
      </w:r>
      <w:r>
        <w:rPr>
          <w:rFonts w:hint="eastAsia" w:ascii="方正楷体_GBK" w:hAnsi="方正楷体_GBK" w:eastAsia="方正楷体_GBK" w:cs="方正楷体_GBK"/>
          <w:sz w:val="28"/>
          <w:szCs w:val="28"/>
          <w:vertAlign w:val="baseline"/>
          <w:lang w:eastAsia="zh-CN"/>
        </w:rPr>
        <w:t>”</w:t>
      </w:r>
      <w:r>
        <w:rPr>
          <w:rFonts w:hint="eastAsia" w:ascii="方正楷体_GBK" w:hAnsi="方正楷体_GBK" w:eastAsia="方正楷体_GBK" w:cs="方正楷体_GBK"/>
          <w:sz w:val="28"/>
          <w:szCs w:val="28"/>
          <w:vertAlign w:val="baseline"/>
        </w:rPr>
        <w:t>（PCE）是个人支出的主要部分，也包括个人利息支付和转移支付。个人消费支出分为耐用品</w:t>
      </w:r>
      <w:r>
        <w:rPr>
          <w:rFonts w:hint="eastAsia" w:ascii="方正楷体_GBK" w:hAnsi="方正楷体_GBK" w:eastAsia="方正楷体_GBK" w:cs="方正楷体_GBK"/>
          <w:sz w:val="28"/>
          <w:szCs w:val="28"/>
          <w:vertAlign w:val="baseline"/>
          <w:lang w:eastAsia="zh-CN"/>
        </w:rPr>
        <w:t>、</w:t>
      </w:r>
      <w:r>
        <w:rPr>
          <w:rFonts w:hint="eastAsia" w:ascii="方正楷体_GBK" w:hAnsi="方正楷体_GBK" w:eastAsia="方正楷体_GBK" w:cs="方正楷体_GBK"/>
          <w:sz w:val="28"/>
          <w:szCs w:val="28"/>
          <w:vertAlign w:val="baseline"/>
        </w:rPr>
        <w:t>非耐用品和服务。消费者支出占据美国经济活动的近70%，是美国经济增长的主要驱动力。</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lang w:eastAsia="zh-CN"/>
        </w:rPr>
        <w:t>耐用品是指预计使用寿命超过三年的物品，如汽车、电器等。非耐用品是指预计使用寿命不超过三年的物品，如衣物、食品等。服务包括医疗服务、教育服务、旅游服务等。）</w:t>
      </w:r>
    </w:p>
    <w:p>
      <w:pPr>
        <w:ind w:left="0" w:leftChars="0" w:firstLine="0" w:firstLineChars="0"/>
        <w:jc w:val="left"/>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2月28日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三</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中期美债拍卖遇冷，收益率依然倒挂</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近日，美国财政部拍卖了创纪录规模的</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年期和</w:t>
      </w:r>
      <w:r>
        <w:rPr>
          <w:rFonts w:hint="default" w:ascii="Times New Roman" w:hAnsi="Times New Roman" w:cs="Times New Roman"/>
          <w:sz w:val="32"/>
          <w:szCs w:val="32"/>
          <w:lang w:val="en-US" w:eastAsia="zh-CN"/>
        </w:rPr>
        <w:t>5</w:t>
      </w:r>
      <w:r>
        <w:rPr>
          <w:rFonts w:hint="eastAsia" w:ascii="Times New Roman" w:hAnsi="Times New Roman" w:cs="Times New Roman"/>
          <w:sz w:val="32"/>
          <w:szCs w:val="32"/>
          <w:lang w:val="en-US" w:eastAsia="zh-CN"/>
        </w:rPr>
        <w:t>年期中期国债，拍卖结果惨淡，均出现了“尾部利差”，美债收益率从而走高。</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eastAsia" w:ascii="方正楷体_GBK" w:hAnsi="方正楷体_GBK" w:eastAsia="方正楷体_GBK" w:cs="方正楷体_GBK"/>
          <w:spacing w:val="-6"/>
          <w:sz w:val="28"/>
          <w:szCs w:val="28"/>
          <w:lang w:val="en-US" w:eastAsia="zh-CN"/>
        </w:rPr>
      </w:pPr>
      <w:r>
        <w:rPr>
          <w:rFonts w:hint="eastAsia" w:ascii="方正楷体_GBK" w:hAnsi="方正楷体_GBK" w:eastAsia="方正楷体_GBK" w:cs="方正楷体_GBK"/>
          <w:sz w:val="28"/>
          <w:szCs w:val="28"/>
          <w:lang w:val="en-US" w:eastAsia="zh-CN"/>
        </w:rPr>
        <w:t>（</w:t>
      </w:r>
      <w:r>
        <w:rPr>
          <w:rFonts w:hint="eastAsia" w:ascii="方正黑体_GBK" w:hAnsi="方正黑体_GBK" w:eastAsia="方正黑体_GBK" w:cs="方正黑体_GBK"/>
          <w:b w:val="0"/>
          <w:bCs w:val="0"/>
          <w:sz w:val="28"/>
          <w:szCs w:val="36"/>
          <w:lang w:val="en-US" w:eastAsia="zh-CN"/>
        </w:rPr>
        <w:t>注：</w:t>
      </w:r>
      <w:r>
        <w:rPr>
          <w:rFonts w:hint="eastAsia" w:ascii="方正楷体_GBK" w:hAnsi="方正楷体_GBK" w:eastAsia="方正楷体_GBK" w:cs="方正楷体_GBK"/>
          <w:b/>
          <w:bCs/>
          <w:spacing w:val="-6"/>
          <w:sz w:val="28"/>
          <w:szCs w:val="28"/>
          <w:lang w:val="en-US" w:eastAsia="zh-CN"/>
        </w:rPr>
        <w:t>“尾部利差”（tail spread）</w:t>
      </w:r>
      <w:r>
        <w:rPr>
          <w:rFonts w:hint="eastAsia" w:ascii="方正楷体_GBK" w:hAnsi="方正楷体_GBK" w:eastAsia="方正楷体_GBK" w:cs="方正楷体_GBK"/>
          <w:spacing w:val="-6"/>
          <w:sz w:val="28"/>
          <w:szCs w:val="28"/>
          <w:lang w:val="en-US" w:eastAsia="zh-CN"/>
        </w:rPr>
        <w:t>是指在债券拍卖中，最终成交的利率与预发行利率之间的差。它表示市场对于债券的需求和投资者对于债券的定价意愿。</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在债券拍卖中，发行人通常设定一个预发行利率作为参考。然而，实际拍卖过程中，由于市场需求和投标情况的影响，最终成交利率可能会与预发行利率有所不同。尾部利差是最终成交利率与预发行利率之间的差额。</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当尾部利差为正值时，表示最终成交利率高于预发行利率，说明投资者对债券的需求较低，或者他们对债券的定价要求更高。这可能表明市场对该期限的债券需求疲软。</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尾部利差的大小可以反映市场对债券的兴趣程度和风险偏好。较大的尾部利差通常被视为负面信号，表明市场对该期限的债券需求疲软，并且投资者可能要求更高的回报率才愿意购买。）</w:t>
      </w:r>
    </w:p>
    <w:p>
      <w:pPr>
        <w:keepNext w:val="0"/>
        <w:keepLines w:val="0"/>
        <w:pageBreakBefore w:val="0"/>
        <w:widowControl w:val="0"/>
        <w:kinsoku/>
        <w:wordWrap/>
        <w:overflowPunct/>
        <w:topLinePunct w:val="0"/>
        <w:autoSpaceDE/>
        <w:autoSpaceDN/>
        <w:bidi w:val="0"/>
        <w:adjustRightInd/>
        <w:snapToGrid/>
        <w:spacing w:line="540" w:lineRule="exact"/>
        <w:ind w:firstLine="540" w:firstLineChars="200"/>
        <w:jc w:val="left"/>
        <w:textAlignment w:val="auto"/>
        <w:rPr>
          <w:rFonts w:hint="eastAsia" w:ascii="Times New Roman" w:hAnsi="Times New Roman" w:cs="Times New Roman" w:eastAsiaTheme="minorEastAsia"/>
          <w:spacing w:val="-17"/>
          <w:sz w:val="32"/>
          <w:szCs w:val="32"/>
          <w:lang w:val="en-US" w:eastAsia="zh-CN"/>
        </w:rPr>
      </w:pPr>
      <w:r>
        <w:rPr>
          <w:rFonts w:hint="eastAsia" w:ascii="Times New Roman" w:hAnsi="Times New Roman" w:cs="Times New Roman" w:eastAsiaTheme="minorEastAsia"/>
          <w:spacing w:val="-17"/>
          <w:sz w:val="32"/>
          <w:szCs w:val="32"/>
          <w:lang w:val="en-US" w:eastAsia="zh-CN"/>
        </w:rPr>
        <w:t>近期美债拍卖都不太理想，上周的拍卖的</w:t>
      </w:r>
      <w:r>
        <w:rPr>
          <w:rFonts w:hint="default" w:ascii="Times New Roman" w:hAnsi="Times New Roman" w:cs="Times New Roman" w:eastAsiaTheme="minorEastAsia"/>
          <w:spacing w:val="-17"/>
          <w:sz w:val="32"/>
          <w:szCs w:val="32"/>
          <w:lang w:val="en-US" w:eastAsia="zh-CN"/>
        </w:rPr>
        <w:t>20</w:t>
      </w:r>
      <w:r>
        <w:rPr>
          <w:rFonts w:hint="eastAsia" w:ascii="Times New Roman" w:hAnsi="Times New Roman" w:cs="Times New Roman" w:eastAsiaTheme="minorEastAsia"/>
          <w:spacing w:val="-17"/>
          <w:sz w:val="32"/>
          <w:szCs w:val="32"/>
          <w:lang w:val="en-US" w:eastAsia="zh-CN"/>
        </w:rPr>
        <w:t>年期美债尤其明显。分析认为，市场意识到美债未来的供应量会愈加庞大，产生的消极情绪。</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83"/>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8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520" w:lineRule="exact"/>
              <w:ind w:firstLine="584" w:firstLineChars="200"/>
              <w:jc w:val="left"/>
              <w:textAlignment w:val="auto"/>
              <w:rPr>
                <w:rFonts w:hint="eastAsia" w:ascii="Times New Roman" w:hAnsi="Times New Roman" w:cs="Times New Roman" w:eastAsiaTheme="minorEastAsia"/>
                <w:spacing w:val="-6"/>
                <w:sz w:val="32"/>
                <w:szCs w:val="32"/>
                <w:lang w:val="en-US" w:eastAsia="zh-CN"/>
              </w:rPr>
            </w:pPr>
            <w:r>
              <w:rPr>
                <w:rFonts w:hint="eastAsia" w:ascii="Times New Roman" w:hAnsi="Times New Roman" w:cs="Times New Roman" w:eastAsiaTheme="minorEastAsia"/>
                <w:spacing w:val="-6"/>
                <w:sz w:val="32"/>
                <w:szCs w:val="32"/>
                <w:lang w:val="en-US" w:eastAsia="zh-CN"/>
              </w:rPr>
              <w:t>也有分析认为，目前的美债收益并不低，但市场承接乏力，只能说明当明市场对国债类低风险的收益不甚感兴趣，而是偏好收益率更高的风险资产，换言之，目前市场的整体风险偏好处于高位。</w:t>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default" w:ascii="Times New Roman" w:hAnsi="Times New Roman" w:cs="Times New Roman"/>
                <w:sz w:val="32"/>
                <w:szCs w:val="32"/>
                <w:vertAlign w:val="baseline"/>
                <w:lang w:val="en-US" w:eastAsia="zh-CN"/>
              </w:rPr>
            </w:pPr>
            <w:r>
              <w:rPr>
                <w:rFonts w:hint="eastAsia" w:ascii="Times New Roman" w:hAnsi="Times New Roman" w:cs="Times New Roman"/>
                <w:sz w:val="32"/>
                <w:szCs w:val="32"/>
                <w:lang w:val="en-US" w:eastAsia="zh-CN"/>
              </w:rPr>
              <w:t>目前，长中短期美债的收益率仍处于倒挂状态（见图）。</w:t>
            </w:r>
          </w:p>
        </w:tc>
        <w:tc>
          <w:tcPr>
            <w:tcW w:w="4978" w:type="dxa"/>
            <w:tcBorders>
              <w:tl2br w:val="nil"/>
              <w:tr2bl w:val="nil"/>
            </w:tcBorders>
            <w:vAlign w:val="center"/>
          </w:tcPr>
          <w:p>
            <w:pPr>
              <w:jc w:val="center"/>
              <w:rPr>
                <w:rFonts w:hint="default" w:ascii="Times New Roman" w:hAnsi="Times New Roman" w:cs="Times New Roman"/>
                <w:sz w:val="32"/>
                <w:szCs w:val="32"/>
                <w:vertAlign w:val="baseline"/>
                <w:lang w:val="en-US" w:eastAsia="zh-CN"/>
              </w:rPr>
            </w:pPr>
            <w:r>
              <w:rPr>
                <w:rFonts w:hint="default" w:ascii="Times New Roman" w:hAnsi="Times New Roman" w:cs="Times New Roman"/>
                <w:sz w:val="32"/>
                <w:szCs w:val="32"/>
                <w:vertAlign w:val="baseline"/>
                <w:lang w:val="en-US" w:eastAsia="zh-CN"/>
              </w:rPr>
              <w:drawing>
                <wp:inline distT="0" distB="0" distL="114300" distR="114300">
                  <wp:extent cx="2992755" cy="2873375"/>
                  <wp:effectExtent l="0" t="0" r="17145" b="317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6"/>
                          <a:stretch>
                            <a:fillRect/>
                          </a:stretch>
                        </pic:blipFill>
                        <pic:spPr>
                          <a:xfrm>
                            <a:off x="0" y="0"/>
                            <a:ext cx="2992755" cy="2873375"/>
                          </a:xfrm>
                          <a:prstGeom prst="rect">
                            <a:avLst/>
                          </a:prstGeom>
                          <a:noFill/>
                          <a:ln>
                            <a:noFill/>
                          </a:ln>
                        </pic:spPr>
                      </pic:pic>
                    </a:graphicData>
                  </a:graphic>
                </wp:inline>
              </w:drawing>
            </w:r>
          </w:p>
        </w:tc>
      </w:tr>
    </w:tbl>
    <w:p>
      <w:pPr>
        <w:ind w:left="0" w:leftChars="0" w:firstLine="0" w:firstLineChars="0"/>
        <w:jc w:val="left"/>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2月29日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四</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俄罗斯经济增长强劲，既超预期也超对手</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周三公布的数据表明，俄罗斯经济正在迅速增长（见图）。</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rPr>
        <w:drawing>
          <wp:inline distT="0" distB="0" distL="114300" distR="114300">
            <wp:extent cx="3646170" cy="1425575"/>
            <wp:effectExtent l="0" t="0" r="11430" b="317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7"/>
                    <a:stretch>
                      <a:fillRect/>
                    </a:stretch>
                  </pic:blipFill>
                  <pic:spPr>
                    <a:xfrm>
                      <a:off x="0" y="0"/>
                      <a:ext cx="3646170" cy="1425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俄罗斯2023年第三季度，GDP同比增长4.6%，预计全年增长为3.0%，高于经济学家们的预期，也远快于全球绝大多数发达经济体（美国2.5%、德国-0.2%、日本1.8%、英国0.2%、法国0.9%）。</w:t>
      </w:r>
    </w:p>
    <w:p>
      <w:pPr>
        <w:keepNext w:val="0"/>
        <w:keepLines w:val="0"/>
        <w:pageBreakBefore w:val="0"/>
        <w:widowControl w:val="0"/>
        <w:kinsoku/>
        <w:wordWrap/>
        <w:overflowPunct/>
        <w:topLinePunct w:val="0"/>
        <w:autoSpaceDE/>
        <w:autoSpaceDN/>
        <w:bidi w:val="0"/>
        <w:adjustRightInd/>
        <w:snapToGrid/>
        <w:spacing w:line="500" w:lineRule="exact"/>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西方制裁对俄罗斯经济的影响小于预期，部分原因是许多俄罗斯企业已将主要贸易对象转向亚洲。2023年，我与俄贸易总额为2400亿美元，其中出口1110亿美元，进口1290亿美元，同时增长分别为26.3%、46.9%和12.7%。</w:t>
      </w:r>
    </w:p>
    <w:p>
      <w:pPr>
        <w:keepNext w:val="0"/>
        <w:keepLines w:val="0"/>
        <w:pageBreakBefore w:val="0"/>
        <w:widowControl w:val="0"/>
        <w:kinsoku/>
        <w:wordWrap/>
        <w:overflowPunct/>
        <w:topLinePunct w:val="0"/>
        <w:autoSpaceDE/>
        <w:autoSpaceDN/>
        <w:bidi w:val="0"/>
        <w:adjustRightInd/>
        <w:snapToGrid/>
        <w:spacing w:line="500" w:lineRule="exact"/>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俄联邦政府还在国防生产和政府采购方面投入巨资，拉动了总需求。虽然扩张性财政政策推动通货膨胀率走高，但与2022年初俄乌冲突爆发时相比，已经好上太多（见图）。</w:t>
      </w:r>
      <w:r>
        <w:rPr>
          <w:rFonts w:hint="default" w:ascii="Times New Roman" w:hAnsi="Times New Roman" w:cs="Times New Roman"/>
          <w:sz w:val="32"/>
          <w:szCs w:val="32"/>
          <w:lang w:val="en-US"/>
        </w:rPr>
        <w:t xml:space="preserve"> </w:t>
      </w:r>
    </w:p>
    <w:tbl>
      <w:tblPr>
        <w:tblStyle w:val="6"/>
        <w:tblW w:w="0" w:type="auto"/>
        <w:tblInd w:w="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66"/>
        <w:gridCol w:w="3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66" w:type="dxa"/>
            <w:tcBorders>
              <w:tl2br w:val="nil"/>
              <w:tr2bl w:val="nil"/>
            </w:tcBorders>
            <w:vAlign w:val="center"/>
          </w:tcPr>
          <w:p>
            <w:pPr>
              <w:jc w:val="center"/>
              <w:rPr>
                <w:rFonts w:hint="default" w:ascii="Times New Roman" w:hAnsi="Times New Roman" w:cs="Times New Roman"/>
                <w:sz w:val="32"/>
                <w:szCs w:val="32"/>
                <w:vertAlign w:val="baseline"/>
                <w:lang w:val="en-US" w:eastAsia="zh-CN"/>
              </w:rPr>
            </w:pPr>
            <w:r>
              <w:rPr>
                <w:rFonts w:hint="default" w:ascii="Times New Roman" w:hAnsi="Times New Roman" w:cs="Times New Roman"/>
                <w:sz w:val="32"/>
                <w:szCs w:val="32"/>
              </w:rPr>
              <w:drawing>
                <wp:inline distT="0" distB="0" distL="114300" distR="114300">
                  <wp:extent cx="3132455" cy="1632585"/>
                  <wp:effectExtent l="0" t="0" r="10795" b="571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8"/>
                          <a:stretch>
                            <a:fillRect/>
                          </a:stretch>
                        </pic:blipFill>
                        <pic:spPr>
                          <a:xfrm>
                            <a:off x="0" y="0"/>
                            <a:ext cx="3132455" cy="1632585"/>
                          </a:xfrm>
                          <a:prstGeom prst="rect">
                            <a:avLst/>
                          </a:prstGeom>
                          <a:noFill/>
                          <a:ln>
                            <a:noFill/>
                          </a:ln>
                        </pic:spPr>
                      </pic:pic>
                    </a:graphicData>
                  </a:graphic>
                </wp:inline>
              </w:drawing>
            </w:r>
          </w:p>
        </w:tc>
        <w:tc>
          <w:tcPr>
            <w:tcW w:w="3725" w:type="dxa"/>
            <w:tcBorders>
              <w:tl2br w:val="nil"/>
              <w:tr2bl w:val="nil"/>
            </w:tcBorders>
            <w:vAlign w:val="center"/>
          </w:tcPr>
          <w:p>
            <w:pPr>
              <w:jc w:val="center"/>
              <w:rPr>
                <w:rFonts w:hint="default" w:ascii="Times New Roman" w:hAnsi="Times New Roman" w:cs="Times New Roman"/>
                <w:sz w:val="32"/>
                <w:szCs w:val="32"/>
                <w:vertAlign w:val="baseline"/>
                <w:lang w:val="en-US" w:eastAsia="zh-CN"/>
              </w:rPr>
            </w:pPr>
            <w:r>
              <w:rPr>
                <w:rFonts w:hint="default" w:ascii="Times New Roman" w:hAnsi="Times New Roman" w:cs="Times New Roman"/>
                <w:sz w:val="32"/>
                <w:szCs w:val="32"/>
                <w:vertAlign w:val="baseline"/>
                <w:lang w:val="en-US" w:eastAsia="zh-CN"/>
              </w:rPr>
              <w:drawing>
                <wp:inline distT="0" distB="0" distL="114300" distR="114300">
                  <wp:extent cx="2191385" cy="1566545"/>
                  <wp:effectExtent l="0" t="0" r="18415" b="1460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9"/>
                          <a:stretch>
                            <a:fillRect/>
                          </a:stretch>
                        </pic:blipFill>
                        <pic:spPr>
                          <a:xfrm>
                            <a:off x="0" y="0"/>
                            <a:ext cx="2191385" cy="15665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sz w:val="32"/>
                <w:szCs w:val="32"/>
                <w:vertAlign w:val="baseline"/>
                <w:lang w:val="en-US" w:eastAsia="zh-CN"/>
              </w:rPr>
            </w:pPr>
            <w:r>
              <w:rPr>
                <w:rFonts w:hint="default" w:ascii="Times New Roman" w:hAnsi="Times New Roman" w:eastAsia="方正楷体_GBK" w:cs="Times New Roman"/>
                <w:sz w:val="28"/>
                <w:szCs w:val="28"/>
                <w:lang w:val="en-US" w:eastAsia="zh-CN"/>
              </w:rPr>
              <w:t>（图示：相对于3%的失业率，与2022年初18%的通胀率，目前7.5%的通胀率已算是相当健康了）</w:t>
            </w:r>
          </w:p>
        </w:tc>
      </w:tr>
    </w:tbl>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经典行楷简" w:cs="Times New Roman"/>
          <w:color w:val="2E75B6" w:themeColor="accent1" w:themeShade="BF"/>
          <w:spacing w:val="0"/>
          <w:kern w:val="2"/>
          <w:sz w:val="52"/>
          <w:szCs w:val="52"/>
          <w:lang w:val="en-US" w:eastAsia="zh-CN" w:bidi="ar-SA"/>
        </w:rPr>
      </w:pPr>
      <w:r>
        <w:rPr>
          <w:rFonts w:hint="default" w:ascii="Times New Roman" w:hAnsi="Times New Roman" w:eastAsia="经典行楷简" w:cs="Times New Roman"/>
          <w:color w:val="2E75B6" w:themeColor="accent1" w:themeShade="BF"/>
          <w:spacing w:val="0"/>
          <w:kern w:val="2"/>
          <w:sz w:val="52"/>
          <w:szCs w:val="52"/>
          <w:lang w:val="en-US" w:eastAsia="zh-CN" w:bidi="ar-SA"/>
        </w:rPr>
        <w:t>我会与中国贸促会商业行业委员会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经典行楷简" w:cs="Times New Roman"/>
          <w:color w:val="2E75B6" w:themeColor="accent1" w:themeShade="BF"/>
          <w:spacing w:val="28"/>
          <w:kern w:val="2"/>
          <w:sz w:val="52"/>
          <w:szCs w:val="52"/>
          <w:lang w:val="en-US" w:eastAsia="zh-CN" w:bidi="ar-SA"/>
        </w:rPr>
      </w:pPr>
      <w:r>
        <w:rPr>
          <w:rFonts w:hint="default" w:ascii="Times New Roman" w:hAnsi="Times New Roman" w:eastAsia="经典行楷简" w:cs="Times New Roman"/>
          <w:color w:val="2E75B6" w:themeColor="accent1" w:themeShade="BF"/>
          <w:spacing w:val="28"/>
          <w:kern w:val="2"/>
          <w:sz w:val="52"/>
          <w:szCs w:val="52"/>
          <w:lang w:val="en-US" w:eastAsia="zh-CN" w:bidi="ar-SA"/>
        </w:rPr>
        <w:t>开展工作交流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2月28日下午，我会会长王善华、二级巡视员黄政与到访的中国贸促会商业行业委员会副会长王曦一行座谈交流。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王善华简要回顾了双方自2022年2月签署战略合作协议以来，在</w:t>
      </w:r>
      <w:r>
        <w:rPr>
          <w:rFonts w:hint="eastAsia" w:ascii="Times New Roman" w:hAnsi="Times New Roman" w:cs="Times New Roman"/>
          <w:color w:val="auto"/>
          <w:spacing w:val="0"/>
          <w:kern w:val="2"/>
          <w:sz w:val="32"/>
          <w:szCs w:val="32"/>
          <w:lang w:val="en-US" w:eastAsia="zh-CN" w:bidi="ar-SA"/>
        </w:rPr>
        <w:t>“</w:t>
      </w:r>
      <w:r>
        <w:rPr>
          <w:rFonts w:hint="default" w:ascii="Times New Roman" w:hAnsi="Times New Roman" w:cs="Times New Roman" w:eastAsiaTheme="minorEastAsia"/>
          <w:color w:val="auto"/>
          <w:spacing w:val="0"/>
          <w:kern w:val="2"/>
          <w:sz w:val="32"/>
          <w:szCs w:val="32"/>
          <w:lang w:val="en-US" w:eastAsia="zh-CN" w:bidi="ar-SA"/>
        </w:rPr>
        <w:t>江苏品牌产品丝路行</w:t>
      </w:r>
      <w:r>
        <w:rPr>
          <w:rFonts w:hint="eastAsia" w:ascii="Times New Roman" w:hAnsi="Times New Roman" w:cs="Times New Roman"/>
          <w:color w:val="auto"/>
          <w:spacing w:val="0"/>
          <w:kern w:val="2"/>
          <w:sz w:val="32"/>
          <w:szCs w:val="32"/>
          <w:lang w:val="en-US" w:eastAsia="zh-CN" w:bidi="ar-SA"/>
        </w:rPr>
        <w:t>”</w:t>
      </w:r>
      <w:r>
        <w:rPr>
          <w:rFonts w:hint="default" w:ascii="Times New Roman" w:hAnsi="Times New Roman" w:cs="Times New Roman" w:eastAsiaTheme="minorEastAsia"/>
          <w:color w:val="auto"/>
          <w:spacing w:val="0"/>
          <w:kern w:val="2"/>
          <w:sz w:val="32"/>
          <w:szCs w:val="32"/>
          <w:lang w:val="en-US" w:eastAsia="zh-CN" w:bidi="ar-SA"/>
        </w:rPr>
        <w:t>和跨境电商等方面的项目合作情况。他表示，当前江苏正全面落实</w:t>
      </w:r>
      <w:r>
        <w:rPr>
          <w:rFonts w:hint="eastAsia" w:ascii="Times New Roman" w:hAnsi="Times New Roman" w:cs="Times New Roman"/>
          <w:color w:val="auto"/>
          <w:spacing w:val="0"/>
          <w:kern w:val="2"/>
          <w:sz w:val="32"/>
          <w:szCs w:val="32"/>
          <w:lang w:val="en-US" w:eastAsia="zh-CN" w:bidi="ar-SA"/>
        </w:rPr>
        <w:t>“</w:t>
      </w:r>
      <w:r>
        <w:rPr>
          <w:rFonts w:hint="default" w:ascii="Times New Roman" w:hAnsi="Times New Roman" w:cs="Times New Roman" w:eastAsiaTheme="minorEastAsia"/>
          <w:color w:val="auto"/>
          <w:spacing w:val="0"/>
          <w:kern w:val="2"/>
          <w:sz w:val="32"/>
          <w:szCs w:val="32"/>
          <w:lang w:val="en-US" w:eastAsia="zh-CN" w:bidi="ar-SA"/>
        </w:rPr>
        <w:t>四个走在前</w:t>
      </w:r>
      <w:r>
        <w:rPr>
          <w:rFonts w:hint="eastAsia" w:ascii="Times New Roman" w:hAnsi="Times New Roman" w:cs="Times New Roman"/>
          <w:color w:val="auto"/>
          <w:spacing w:val="0"/>
          <w:kern w:val="2"/>
          <w:sz w:val="32"/>
          <w:szCs w:val="32"/>
          <w:lang w:val="en-US" w:eastAsia="zh-CN" w:bidi="ar-SA"/>
        </w:rPr>
        <w:t>”“</w:t>
      </w:r>
      <w:r>
        <w:rPr>
          <w:rFonts w:hint="default" w:ascii="Times New Roman" w:hAnsi="Times New Roman" w:cs="Times New Roman" w:eastAsiaTheme="minorEastAsia"/>
          <w:color w:val="auto"/>
          <w:spacing w:val="0"/>
          <w:kern w:val="2"/>
          <w:sz w:val="32"/>
          <w:szCs w:val="32"/>
          <w:lang w:val="en-US" w:eastAsia="zh-CN" w:bidi="ar-SA"/>
        </w:rPr>
        <w:t>四个新</w:t>
      </w:r>
      <w:r>
        <w:rPr>
          <w:rFonts w:hint="eastAsia" w:ascii="Times New Roman" w:hAnsi="Times New Roman" w:cs="Times New Roman"/>
          <w:color w:val="auto"/>
          <w:spacing w:val="0"/>
          <w:kern w:val="2"/>
          <w:sz w:val="32"/>
          <w:szCs w:val="32"/>
          <w:lang w:val="en-US" w:eastAsia="zh-CN" w:bidi="ar-SA"/>
        </w:rPr>
        <w:t>”</w:t>
      </w:r>
      <w:r>
        <w:rPr>
          <w:rFonts w:hint="default" w:ascii="Times New Roman" w:hAnsi="Times New Roman" w:cs="Times New Roman" w:eastAsiaTheme="minorEastAsia"/>
          <w:color w:val="auto"/>
          <w:spacing w:val="0"/>
          <w:kern w:val="2"/>
          <w:sz w:val="32"/>
          <w:szCs w:val="32"/>
          <w:lang w:val="en-US" w:eastAsia="zh-CN" w:bidi="ar-SA"/>
        </w:rPr>
        <w:t>重大任务，聚焦建设具有世界聚合力的双向开放枢纽，推进高水平对外开放，持续打造一流营商环境，塑造开放型经济新优势。今年，江苏省贸促会将围绕构建</w:t>
      </w:r>
      <w:r>
        <w:rPr>
          <w:rFonts w:hint="eastAsia" w:ascii="Times New Roman" w:hAnsi="Times New Roman" w:cs="Times New Roman"/>
          <w:color w:val="auto"/>
          <w:spacing w:val="0"/>
          <w:kern w:val="2"/>
          <w:sz w:val="32"/>
          <w:szCs w:val="32"/>
          <w:lang w:val="en-US" w:eastAsia="zh-CN" w:bidi="ar-SA"/>
        </w:rPr>
        <w:t>“</w:t>
      </w:r>
      <w:r>
        <w:rPr>
          <w:rFonts w:hint="default" w:ascii="Times New Roman" w:hAnsi="Times New Roman" w:cs="Times New Roman" w:eastAsiaTheme="minorEastAsia"/>
          <w:color w:val="auto"/>
          <w:spacing w:val="0"/>
          <w:kern w:val="2"/>
          <w:sz w:val="32"/>
          <w:szCs w:val="32"/>
          <w:lang w:val="en-US" w:eastAsia="zh-CN" w:bidi="ar-SA"/>
        </w:rPr>
        <w:t>1+7+3</w:t>
      </w:r>
      <w:r>
        <w:rPr>
          <w:rFonts w:hint="eastAsia" w:ascii="Times New Roman" w:hAnsi="Times New Roman" w:cs="Times New Roman"/>
          <w:color w:val="auto"/>
          <w:spacing w:val="0"/>
          <w:kern w:val="2"/>
          <w:sz w:val="32"/>
          <w:szCs w:val="32"/>
          <w:lang w:val="en-US" w:eastAsia="zh-CN" w:bidi="ar-SA"/>
        </w:rPr>
        <w:t>”</w:t>
      </w:r>
      <w:r>
        <w:rPr>
          <w:rFonts w:hint="default" w:ascii="Times New Roman" w:hAnsi="Times New Roman" w:cs="Times New Roman" w:eastAsiaTheme="minorEastAsia"/>
          <w:color w:val="auto"/>
          <w:spacing w:val="0"/>
          <w:kern w:val="2"/>
          <w:sz w:val="32"/>
          <w:szCs w:val="32"/>
          <w:lang w:val="en-US" w:eastAsia="zh-CN" w:bidi="ar-SA"/>
        </w:rPr>
        <w:t>工作格局，进一步织密服务企业网，扩大国际朋友圈，搭建高水平开放平台，希望双方在跨境电商、产业数字化和标准化、人才培养等方面拓展合作深度和广度。</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王曦介绍了商业行业贸促会2024年贸易促进计划，表示愿继续加强与江苏省贸促会的合作，发挥自身优势，助力江苏开放型经济高质量发展。</w:t>
      </w:r>
      <w:r>
        <w:rPr>
          <w:rFonts w:hint="default" w:ascii="Times New Roman" w:hAnsi="Times New Roman" w:cs="Times New Roman"/>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（贸易促进部、国际商会秘书处）</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经典行楷简" w:cs="Times New Roman"/>
          <w:color w:val="2E75B6" w:themeColor="accent1" w:themeShade="BF"/>
          <w:spacing w:val="0"/>
          <w:kern w:val="2"/>
          <w:sz w:val="52"/>
          <w:szCs w:val="52"/>
          <w:lang w:val="en-US" w:eastAsia="zh-CN" w:bidi="ar-SA"/>
        </w:rPr>
      </w:pPr>
      <w:r>
        <w:rPr>
          <w:rFonts w:hint="default" w:ascii="Times New Roman" w:hAnsi="Times New Roman" w:eastAsia="经典行楷简" w:cs="Times New Roman"/>
          <w:color w:val="2E75B6" w:themeColor="accent1" w:themeShade="BF"/>
          <w:spacing w:val="0"/>
          <w:kern w:val="2"/>
          <w:sz w:val="52"/>
          <w:szCs w:val="52"/>
          <w:lang w:val="en-US" w:eastAsia="zh-CN" w:bidi="ar-SA"/>
        </w:rPr>
        <w:t>我会与建设银行江苏省分行</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经典行楷简" w:cs="Times New Roman"/>
          <w:color w:val="2E75B6" w:themeColor="accent1" w:themeShade="BF"/>
          <w:spacing w:val="0"/>
          <w:kern w:val="2"/>
          <w:sz w:val="52"/>
          <w:szCs w:val="52"/>
          <w:lang w:val="en-US" w:eastAsia="zh-CN" w:bidi="ar-SA"/>
        </w:rPr>
      </w:pPr>
      <w:r>
        <w:rPr>
          <w:rFonts w:hint="default" w:ascii="Times New Roman" w:hAnsi="Times New Roman" w:eastAsia="经典行楷简" w:cs="Times New Roman"/>
          <w:color w:val="2E75B6" w:themeColor="accent1" w:themeShade="BF"/>
          <w:spacing w:val="0"/>
          <w:kern w:val="2"/>
          <w:sz w:val="52"/>
          <w:szCs w:val="52"/>
          <w:lang w:val="en-US" w:eastAsia="zh-CN" w:bidi="ar-SA"/>
        </w:rPr>
        <w:t>开展工作交流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3月1日上午，我会会长王善华与到访的中国建设银行江苏省分行副行长何川一行座谈交流。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王善华介绍了今年我会在江苏品牌产品丝路行、贸促服务助企行、跨境电商外贸新业态等方面的工作安排，希望双方发挥各自优势，深入贯彻省委省政府决策部署，在加快建设具有世界聚合力的双向开放枢纽、推进高水平对外开放、持续打造一流营商环境等方面加强合作，共同支持江苏企业开拓国际市场，提升国际化能力。</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color w:val="auto"/>
          <w:spacing w:val="0"/>
          <w:kern w:val="2"/>
          <w:sz w:val="32"/>
          <w:szCs w:val="32"/>
          <w:lang w:val="en-US" w:eastAsia="zh-CN" w:bidi="ar-SA"/>
        </w:rPr>
      </w:pPr>
      <w:r>
        <w:rPr>
          <w:rFonts w:hint="default" w:ascii="Times New Roman" w:hAnsi="Times New Roman" w:cs="Times New Roman" w:eastAsiaTheme="minorEastAsia"/>
          <w:color w:val="auto"/>
          <w:spacing w:val="0"/>
          <w:kern w:val="2"/>
          <w:sz w:val="32"/>
          <w:szCs w:val="32"/>
          <w:lang w:val="en-US" w:eastAsia="zh-CN" w:bidi="ar-SA"/>
        </w:rPr>
        <w:t>何川介绍了中国建设银行江苏省分行跨境金融服务功能，表示将进一步加强与贸促会合作，共同促进江苏开放型经济高质量发展。</w:t>
      </w:r>
      <w:r>
        <w:rPr>
          <w:rFonts w:hint="default" w:ascii="Times New Roman" w:hAnsi="Times New Roman" w:cs="Times New Roman"/>
          <w:color w:val="auto"/>
          <w:spacing w:val="0"/>
          <w:kern w:val="2"/>
          <w:sz w:val="32"/>
          <w:szCs w:val="32"/>
          <w:lang w:val="en-US" w:eastAsia="zh-CN" w:bidi="ar-SA"/>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384" w:firstLineChars="21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（办公室）</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34"/>
          <w:kern w:val="2"/>
          <w:sz w:val="52"/>
          <w:szCs w:val="52"/>
          <w:lang w:val="en-US" w:eastAsia="zh-CN" w:bidi="ar-SA"/>
        </w:rPr>
        <w:t>南京扬子国资投资集团</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contextualSpacing/>
        <w:jc w:val="center"/>
        <w:textAlignment w:val="auto"/>
        <w:outlineLvl w:val="1"/>
        <w:rPr>
          <w:rFonts w:hint="eastAsia" w:ascii="Times New Roman" w:hAnsi="Times New Roman" w:eastAsia="经典行楷简" w:cs="Times New Roman"/>
          <w:color w:val="2E75B6" w:themeColor="accent1" w:themeShade="BF"/>
          <w:spacing w:val="-17"/>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有限责任公司来访</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584" w:firstLineChars="200"/>
        <w:contextualSpacing/>
        <w:jc w:val="left"/>
        <w:textAlignment w:val="auto"/>
        <w:outlineLvl w:val="1"/>
        <w:rPr>
          <w:rFonts w:hint="eastAsia" w:ascii="Times New Roman" w:hAnsi="Times New Roman" w:cs="Times New Roman" w:eastAsiaTheme="minorEastAsia"/>
          <w:color w:val="auto"/>
          <w:spacing w:val="-6"/>
          <w:kern w:val="2"/>
          <w:sz w:val="32"/>
          <w:szCs w:val="32"/>
          <w:lang w:val="en-US" w:eastAsia="zh-CN" w:bidi="ar-SA"/>
        </w:rPr>
      </w:pPr>
      <w:r>
        <w:rPr>
          <w:rFonts w:hint="eastAsia" w:ascii="Times New Roman" w:hAnsi="Times New Roman" w:cs="Times New Roman" w:eastAsiaTheme="minorEastAsia"/>
          <w:color w:val="auto"/>
          <w:spacing w:val="-6"/>
          <w:kern w:val="2"/>
          <w:sz w:val="32"/>
          <w:szCs w:val="32"/>
          <w:lang w:val="en-US" w:eastAsia="zh-CN" w:bidi="ar-SA"/>
        </w:rPr>
        <w:t>2月28日，我会副会长丛苏峰与来访的省国际商会副会长单位南京扬子国资投资集团有限责任公司副总经理徐梅琴一行座谈交流。</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both"/>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丛苏峰介绍了我会相关工作职能，重点推介国际知识产权应用暨项目合作大会、境外机构和跨国公司</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江苏行</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活动、江苏贸促境外经贸交流团组以及江苏省国际商会海外联络中心，表示贸促会将充分发挥国际联络优势，推动</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引进来</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和</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走出去</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相结合，积极为南京江北新区和江苏自贸试验区南京片区建设贡献力量。</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both"/>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徐梅琴介绍了扬子国投基本情况和业务版块，希望与省贸促会围绕绿色化工、生物医药、智能制造产业领域的国际化交流进一步加强合作，并将积极融入省国际商会建设，为商会会员发展和服务添砖加瓦。</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双方还回顾了党建共建情况，就未来继续深入落实共建协议进行讨论。</w:t>
      </w:r>
      <w:r>
        <w:rPr>
          <w:rFonts w:hint="default" w:ascii="Times New Roman" w:hAnsi="Times New Roman" w:cs="Times New Roman"/>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（国际商会秘书处）</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11"/>
          <w:kern w:val="2"/>
          <w:sz w:val="52"/>
          <w:szCs w:val="52"/>
          <w:lang w:val="en-US" w:eastAsia="zh-CN" w:bidi="ar-SA"/>
        </w:rPr>
      </w:pPr>
      <w:r>
        <w:rPr>
          <w:rFonts w:hint="eastAsia" w:ascii="Times New Roman" w:hAnsi="Times New Roman" w:eastAsia="经典行楷简" w:cs="Times New Roman"/>
          <w:color w:val="2E75B6" w:themeColor="accent1" w:themeShade="BF"/>
          <w:spacing w:val="-11"/>
          <w:kern w:val="2"/>
          <w:sz w:val="52"/>
          <w:szCs w:val="52"/>
          <w:lang w:val="en-US" w:eastAsia="zh-CN" w:bidi="ar-SA"/>
        </w:rPr>
        <w:t>“贸促服务助企行”走进焦点科技</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2月26日上午，</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贸促服务助企行</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走进焦点科技股份有限公司，围绕企业关心的6个问题，结合各类详实数据，分析近年来外贸情况、成因和未来发展趋势，以及全球不同区域市场受相关事件影响带来的变化和由此带来的贸易机会，建议有条件的企业结合全球供应链调整加快国际化的步伐。</w:t>
      </w:r>
    </w:p>
    <w:p>
      <w:pPr>
        <w:keepNext w:val="0"/>
        <w:keepLines w:val="0"/>
        <w:pageBreakBefore w:val="0"/>
        <w:widowControl/>
        <w:shd w:val="clear" w:color="auto" w:fill="FFFFFF"/>
        <w:kinsoku/>
        <w:wordWrap/>
        <w:overflowPunct/>
        <w:topLinePunct w:val="0"/>
        <w:autoSpaceDE/>
        <w:autoSpaceDN/>
        <w:bidi w:val="0"/>
        <w:adjustRightInd/>
        <w:snapToGrid/>
        <w:spacing w:after="210" w:line="520" w:lineRule="exact"/>
        <w:ind w:firstLine="608" w:firstLineChars="200"/>
        <w:contextualSpacing/>
        <w:jc w:val="both"/>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焦点科技是国内领先的综合型第三方 B2B 电子商务平台运营商，旗下中国制造网（Made-in-China.com）致力于帮助中国供应商和海外采购商挖掘全球商机，为双方国际贸易的达成提供一站式解决方案。公司副总裁曹睿等70余位中高层负责人参加讲座，表示讲座内容对焦点科技更好地服务广大中小外贸企业帮助很大。</w:t>
      </w:r>
    </w:p>
    <w:p>
      <w:pPr>
        <w:keepNext w:val="0"/>
        <w:keepLines w:val="0"/>
        <w:pageBreakBefore w:val="0"/>
        <w:widowControl/>
        <w:shd w:val="clear" w:color="auto" w:fill="FFFFFF"/>
        <w:kinsoku/>
        <w:wordWrap/>
        <w:overflowPunct/>
        <w:topLinePunct w:val="0"/>
        <w:autoSpaceDE/>
        <w:autoSpaceDN/>
        <w:bidi w:val="0"/>
        <w:adjustRightInd/>
        <w:snapToGrid/>
        <w:spacing w:after="210" w:line="520" w:lineRule="exact"/>
        <w:ind w:firstLine="5776" w:firstLineChars="19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（发展研究部）</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11"/>
          <w:kern w:val="2"/>
          <w:sz w:val="52"/>
          <w:szCs w:val="52"/>
          <w:lang w:val="en-US" w:eastAsia="zh-CN" w:bidi="ar-SA"/>
        </w:rPr>
      </w:pPr>
      <w:r>
        <w:rPr>
          <w:rFonts w:hint="eastAsia" w:ascii="Times New Roman" w:hAnsi="Times New Roman" w:eastAsia="经典行楷简" w:cs="Times New Roman"/>
          <w:color w:val="2E75B6" w:themeColor="accent1" w:themeShade="BF"/>
          <w:spacing w:val="-11"/>
          <w:kern w:val="2"/>
          <w:sz w:val="52"/>
          <w:szCs w:val="52"/>
          <w:lang w:val="en-US" w:eastAsia="zh-CN" w:bidi="ar-SA"/>
        </w:rPr>
        <w:t>贸促会为企业提供CBAM免费内测</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584" w:firstLineChars="200"/>
        <w:contextualSpacing/>
        <w:jc w:val="both"/>
        <w:textAlignment w:val="auto"/>
        <w:outlineLvl w:val="1"/>
        <w:rPr>
          <w:rFonts w:hint="eastAsia" w:ascii="Times New Roman" w:hAnsi="Times New Roman" w:cs="Times New Roman" w:eastAsiaTheme="minorEastAsia"/>
          <w:color w:val="auto"/>
          <w:spacing w:val="-6"/>
          <w:kern w:val="2"/>
          <w:sz w:val="32"/>
          <w:szCs w:val="32"/>
          <w:lang w:val="en-US" w:eastAsia="zh-CN" w:bidi="ar-SA"/>
        </w:rPr>
      </w:pPr>
      <w:r>
        <w:rPr>
          <w:rFonts w:hint="eastAsia" w:ascii="Times New Roman" w:hAnsi="Times New Roman" w:cs="Times New Roman" w:eastAsiaTheme="minorEastAsia"/>
          <w:color w:val="auto"/>
          <w:spacing w:val="-6"/>
          <w:kern w:val="2"/>
          <w:sz w:val="32"/>
          <w:szCs w:val="32"/>
          <w:lang w:val="en-US" w:eastAsia="zh-CN" w:bidi="ar-SA"/>
        </w:rPr>
        <w:t>近日，我会邀请两家出口欧盟的钢铁企业参与中国贸促会CBAM填报系统内测，将由专业人员为企业提供免费填报技术指导。</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both"/>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碳边境调节机制（Carbon Border Adjustment Mechanism</w:t>
      </w:r>
      <w:r>
        <w:rPr>
          <w:rFonts w:hint="default"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简称CBAM）也称作</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欧盟碳关税</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是指在实施严格气候政策的基础上对欧盟进口的高碳产品征收相应的税费。目前，CBAM已进入过渡阶段（2023.10.1-2025.12.31），在此期间出口到欧盟的相关产品需要报告其生产过程中的温室气体排放量，过渡期只报告不收费。</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both"/>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为帮助广大企业积极有效应对CBAM带来的风险与挑战，中国贸促会开发的</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CBAM填报系统</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已经进入内测阶段。</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4256" w:firstLineChars="14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default" w:ascii="Times New Roman" w:hAnsi="Times New Roman" w:cs="Times New Roman"/>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（法律事务部、商服中心）</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11"/>
          <w:kern w:val="2"/>
          <w:sz w:val="52"/>
          <w:szCs w:val="52"/>
          <w:lang w:val="en-US" w:eastAsia="zh-CN" w:bidi="ar-SA"/>
        </w:rPr>
      </w:pPr>
      <w:r>
        <w:rPr>
          <w:rFonts w:hint="eastAsia" w:ascii="Times New Roman" w:hAnsi="Times New Roman" w:eastAsia="经典行楷简" w:cs="Times New Roman"/>
          <w:color w:val="2E75B6" w:themeColor="accent1" w:themeShade="BF"/>
          <w:spacing w:val="-28"/>
          <w:kern w:val="2"/>
          <w:sz w:val="52"/>
          <w:szCs w:val="52"/>
          <w:lang w:val="en-US" w:eastAsia="zh-CN" w:bidi="ar-SA"/>
        </w:rPr>
        <w:t>南京市贸促会赴沪拜访知名会展组展企业</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left"/>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为进一步促进国际贸易投资交流合作，发挥展览资源渠道优势，持续推动展览业健康稳定发展，2月26日至27日，南京市贸促会会长梁洁带领展览业务相关部门负责人一行，到上海拜访会展行业知名跨国公司和组展机构，就展览项目及合作方面进行交流探讨，进一步谋划并推动区域会展联动发展。</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left"/>
        <w:textAlignment w:val="auto"/>
        <w:outlineLvl w:val="1"/>
        <w:rPr>
          <w:rFonts w:hint="default" w:ascii="Times New Roman" w:hAnsi="Times New Roman" w:cs="Times New Roman"/>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在拜访活动中，梁洁表示，贸促会作为境内外工商界开展经贸交流合作的重要桥梁，将充分发挥系统资源优势，进一步加强与商务机构在商务会展投资商贸合作、会展与行业资源共享、国际展会项目双向促进等方面密切联系，务实合作。</w:t>
      </w:r>
      <w:r>
        <w:rPr>
          <w:rFonts w:hint="eastAsia" w:ascii="方正楷体_GBK" w:hAnsi="方正楷体_GBK" w:eastAsia="方正楷体_GBK" w:cs="方正楷体_GBK"/>
          <w:b/>
          <w:bCs/>
          <w:color w:val="FF0000"/>
          <w:spacing w:val="0"/>
          <w:kern w:val="2"/>
          <w:sz w:val="32"/>
          <w:szCs w:val="32"/>
          <w:lang w:val="en-US" w:eastAsia="zh-CN" w:bidi="ar-SA"/>
        </w:rPr>
        <w:t>（南京市贸促会）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中国盐城（首尔）产业合作交流会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23"/>
          <w:kern w:val="2"/>
          <w:sz w:val="52"/>
          <w:szCs w:val="52"/>
          <w:lang w:val="en-US" w:eastAsia="zh-CN" w:bidi="ar-SA"/>
        </w:rPr>
      </w:pPr>
      <w:r>
        <w:rPr>
          <w:rFonts w:hint="eastAsia" w:ascii="Times New Roman" w:hAnsi="Times New Roman" w:eastAsia="经典行楷简" w:cs="Times New Roman"/>
          <w:color w:val="2E75B6" w:themeColor="accent1" w:themeShade="BF"/>
          <w:spacing w:val="23"/>
          <w:kern w:val="2"/>
          <w:sz w:val="52"/>
          <w:szCs w:val="52"/>
          <w:lang w:val="en-US" w:eastAsia="zh-CN" w:bidi="ar-SA"/>
        </w:rPr>
        <w:t>在韩举行</w:t>
      </w:r>
    </w:p>
    <w:p>
      <w:pPr>
        <w:keepNext w:val="0"/>
        <w:keepLines w:val="0"/>
        <w:pageBreakBefore w:val="0"/>
        <w:widowControl/>
        <w:shd w:val="clear" w:color="auto" w:fill="FFFFFF"/>
        <w:kinsoku/>
        <w:wordWrap/>
        <w:overflowPunct/>
        <w:topLinePunct w:val="0"/>
        <w:autoSpaceDE/>
        <w:autoSpaceDN/>
        <w:bidi w:val="0"/>
        <w:adjustRightInd/>
        <w:snapToGrid/>
        <w:spacing w:after="210" w:line="530" w:lineRule="exact"/>
        <w:ind w:firstLine="608" w:firstLineChars="200"/>
        <w:contextualSpacing/>
        <w:jc w:val="both"/>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龙年伊始，一场跨越山海的盛会如约而至。2月26日，中国盐城（首尔）产业合作交流会在韩国首都首尔举行。中国驻韩国大使馆特命全权大使邢海明，盐城市委副书记、市长张明康，大韩贸易振兴公社全球研究院院长洪彰杓，韩国进口协会会长金炳官等出席活动并致辞。</w:t>
      </w:r>
    </w:p>
    <w:p>
      <w:pPr>
        <w:keepNext w:val="0"/>
        <w:keepLines w:val="0"/>
        <w:pageBreakBefore w:val="0"/>
        <w:widowControl/>
        <w:shd w:val="clear" w:color="auto" w:fill="FFFFFF"/>
        <w:kinsoku/>
        <w:wordWrap/>
        <w:overflowPunct/>
        <w:topLinePunct w:val="0"/>
        <w:autoSpaceDE/>
        <w:autoSpaceDN/>
        <w:bidi w:val="0"/>
        <w:adjustRightInd/>
        <w:snapToGrid/>
        <w:spacing w:after="210" w:line="530" w:lineRule="exact"/>
        <w:ind w:firstLine="608" w:firstLineChars="200"/>
        <w:contextualSpacing/>
        <w:jc w:val="both"/>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产业合作交流会吸引了现代摩比斯、格罗唯视、爱思开建设、韩国东熙株式会社、KBS、朝鲜日报、中国驻首尔旅游办事处等100家机构和知名企业的代表参加。与会嘉宾围绕共享盐城新机遇、携手共创美好未来展开深入探讨，取得积极交流合作成果。</w:t>
      </w:r>
    </w:p>
    <w:p>
      <w:pPr>
        <w:keepNext w:val="0"/>
        <w:keepLines w:val="0"/>
        <w:pageBreakBefore w:val="0"/>
        <w:widowControl/>
        <w:shd w:val="clear" w:color="auto" w:fill="FFFFFF"/>
        <w:kinsoku/>
        <w:wordWrap/>
        <w:overflowPunct/>
        <w:topLinePunct w:val="0"/>
        <w:autoSpaceDE/>
        <w:autoSpaceDN/>
        <w:bidi w:val="0"/>
        <w:adjustRightInd/>
        <w:snapToGrid/>
        <w:spacing w:after="210" w:line="530" w:lineRule="exact"/>
        <w:ind w:firstLine="608" w:firstLineChars="200"/>
        <w:contextualSpacing/>
        <w:jc w:val="left"/>
        <w:textAlignment w:val="auto"/>
        <w:outlineLvl w:val="1"/>
        <w:rPr>
          <w:rFonts w:hint="default"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会上播放了盐城文旅宣传片，介绍了盐城经济社会和中韩（盐城）产业园发展情况，一批项目成功洽谈并签约。</w:t>
      </w:r>
      <w:r>
        <w:rPr>
          <w:rFonts w:hint="eastAsia" w:ascii="方正楷体_GBK" w:hAnsi="方正楷体_GBK" w:eastAsia="方正楷体_GBK" w:cs="方正楷体_GBK"/>
          <w:b/>
          <w:bCs/>
          <w:color w:val="FF0000"/>
          <w:spacing w:val="0"/>
          <w:kern w:val="2"/>
          <w:sz w:val="32"/>
          <w:szCs w:val="32"/>
          <w:lang w:val="en-US" w:eastAsia="zh-CN" w:bidi="ar-SA"/>
        </w:rPr>
        <w:t>（盐城市贸促会）</w:t>
      </w:r>
      <w:r>
        <w:rPr>
          <w:rFonts w:hint="default" w:ascii="Times New Roman" w:hAnsi="Times New Roman" w:cs="Times New Roman"/>
          <w:color w:val="auto"/>
          <w:spacing w:val="0"/>
          <w:kern w:val="2"/>
          <w:sz w:val="32"/>
          <w:szCs w:val="32"/>
          <w:lang w:val="en-US" w:eastAsia="zh-CN" w:bidi="ar-SA"/>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default" w:ascii="Times New Roman" w:hAnsi="Times New Roman" w:eastAsia="华文新魏" w:cs="Times New Roman"/>
          <w:b/>
          <w:color w:val="FF0000"/>
          <w:spacing w:val="17"/>
          <w:kern w:val="36"/>
          <w:sz w:val="52"/>
          <w:szCs w:val="52"/>
          <w:lang w:val="en-US" w:eastAsia="zh-CN"/>
        </w:rPr>
      </w:pPr>
      <w:r>
        <w:rPr>
          <w:rFonts w:hint="default" w:ascii="Times New Roman" w:hAnsi="Times New Roman" w:eastAsia="华文新魏" w:cs="Times New Roman"/>
          <w:b/>
          <w:color w:val="FF0000"/>
          <w:spacing w:val="28"/>
          <w:kern w:val="36"/>
          <w:sz w:val="52"/>
          <w:szCs w:val="52"/>
          <w:lang w:val="en-US" w:eastAsia="zh-CN"/>
        </w:rPr>
        <w:t>省文投集团民族舞剧《红楼梦》</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r>
        <w:rPr>
          <w:rFonts w:hint="default" w:ascii="Times New Roman" w:hAnsi="Times New Roman" w:eastAsia="华文新魏" w:cs="Times New Roman"/>
          <w:b/>
          <w:color w:val="FF0000"/>
          <w:spacing w:val="0"/>
          <w:kern w:val="36"/>
          <w:sz w:val="52"/>
          <w:szCs w:val="52"/>
          <w:lang w:val="en-US" w:eastAsia="zh-CN"/>
        </w:rPr>
        <w:t>获全省宣传思想文化工作创新奖</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7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在近日召开的全省宣传部长会议上，2023年度全省宣传思想文化工作创新奖正式揭晓，我会副会长单位——江苏省文化投资管理集团有限公司</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民族舞剧《红楼梦》探索实践中华优秀传统文化创造性转化与创新性发展</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获奖。</w:t>
      </w:r>
    </w:p>
    <w:p>
      <w:pPr>
        <w:keepNext w:val="0"/>
        <w:keepLines w:val="0"/>
        <w:pageBreakBefore w:val="0"/>
        <w:widowControl/>
        <w:shd w:val="clear" w:color="auto" w:fill="FFFFFF"/>
        <w:kinsoku/>
        <w:wordWrap/>
        <w:overflowPunct/>
        <w:topLinePunct w:val="0"/>
        <w:autoSpaceDE/>
        <w:autoSpaceDN/>
        <w:bidi w:val="0"/>
        <w:adjustRightInd/>
        <w:snapToGrid/>
        <w:spacing w:after="210" w:line="7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由省委宣传部指导，省文投集团策划，江苏大剧院出品的原创民族舞剧《红楼梦》，自2021年9月首演以来，共上演148场，走过20余座城市，迎接20多万名观众，荣获第十三届中国舞蹈</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荷花奖</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舞剧奖，获评国家艺术基金2023年度资助项目，登上央视《国家舞台》和B站跨年晚会，成为</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现象级</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舞剧作品。</w:t>
      </w:r>
    </w:p>
    <w:p>
      <w:pPr>
        <w:keepNext w:val="0"/>
        <w:keepLines w:val="0"/>
        <w:pageBreakBefore w:val="0"/>
        <w:widowControl/>
        <w:shd w:val="clear" w:color="auto" w:fill="FFFFFF"/>
        <w:kinsoku/>
        <w:wordWrap/>
        <w:overflowPunct/>
        <w:topLinePunct w:val="0"/>
        <w:autoSpaceDE/>
        <w:autoSpaceDN/>
        <w:bidi w:val="0"/>
        <w:adjustRightInd/>
        <w:snapToGrid/>
        <w:spacing w:after="210" w:line="7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始终坚持</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以人民为中心</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的艺术创作导向，民族舞剧《红楼梦》是对中华优秀传统文化创造性转化与创新性发展的成功探索。</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256" w:firstLineChars="1400"/>
        <w:contextualSpacing/>
        <w:jc w:val="left"/>
        <w:textAlignment w:val="auto"/>
        <w:outlineLvl w:val="1"/>
        <w:rPr>
          <w:rFonts w:hint="default" w:ascii="Times New Roman" w:hAnsi="Times New Roman" w:eastAsia="华文新魏" w:cs="Times New Roman"/>
          <w:b/>
          <w:color w:val="FF0000"/>
          <w:spacing w:val="0"/>
          <w:kern w:val="36"/>
          <w:sz w:val="52"/>
          <w:szCs w:val="52"/>
          <w:lang w:val="en-US" w:eastAsia="zh-CN"/>
        </w:rPr>
      </w:pPr>
      <w:r>
        <w:rPr>
          <w:rFonts w:hint="default" w:ascii="方正楷体_GBK" w:hAnsi="方正楷体_GBK" w:eastAsia="方正楷体_GBK" w:cs="方正楷体_GBK"/>
          <w:b/>
          <w:bCs/>
          <w:color w:val="FF0000"/>
          <w:sz w:val="32"/>
          <w:szCs w:val="32"/>
          <w:lang w:val="en-US" w:eastAsia="zh-CN"/>
        </w:rPr>
        <w:t xml:space="preserve">（来源：省文投集团官网） </w:t>
      </w:r>
      <w:r>
        <w:rPr>
          <w:rFonts w:hint="default" w:ascii="Times New Roman" w:hAnsi="Times New Roman" w:cs="Times New Roman"/>
          <w:sz w:val="32"/>
          <w:szCs w:val="32"/>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66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6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r>
        <w:rPr>
          <w:rFonts w:hint="default" w:ascii="Times New Roman" w:hAnsi="Times New Roman" w:eastAsia="华文新魏" w:cs="Times New Roman"/>
          <w:b/>
          <w:color w:val="FF0000"/>
          <w:spacing w:val="0"/>
          <w:kern w:val="36"/>
          <w:sz w:val="52"/>
          <w:szCs w:val="52"/>
          <w:lang w:val="en-US" w:eastAsia="zh-CN"/>
        </w:rPr>
        <w:t>扬子国投数据产品成功挂牌</w:t>
      </w: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近日，我会副会长单位——南京扬子国资投资集团有限责任公司下属远古水业和数研院联合开发的数据产品——南京江北新区企业用水行为分析数据，在南京市公共资源交易中心成功挂牌，并取得数据产品登记凭证，成为南京市首单公开挂牌的数据产品。</w:t>
      </w: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今年初，远古水业依托兄弟企业数研院的技术支持，在短时间内攻坚完成了首批3000户企业用水数据资源的数据盘点、合规评估、数据脱敏、加工处理、成本分配归集等工作。1月23日成功获得江苏省知识产权保护中心颁发的数据知识产权登记证书，率先完成水务行业全国首单数据资产入表。</w:t>
      </w: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608" w:firstLineChars="200"/>
        <w:contextualSpacing/>
        <w:jc w:val="left"/>
        <w:textAlignment w:val="auto"/>
        <w:outlineLvl w:val="1"/>
        <w:rPr>
          <w:rFonts w:hint="eastAsia" w:ascii="方正楷体_GBK" w:hAnsi="方正楷体_GBK" w:eastAsia="方正楷体_GBK" w:cs="方正楷体_GBK"/>
          <w:b/>
          <w:bCs/>
          <w:color w:val="FF0000"/>
          <w:sz w:val="32"/>
          <w:szCs w:val="32"/>
          <w:lang w:val="en-US" w:eastAsia="zh-CN"/>
        </w:rPr>
      </w:pPr>
      <w:r>
        <w:rPr>
          <w:rFonts w:hint="default" w:ascii="Times New Roman" w:hAnsi="Times New Roman" w:cs="Times New Roman" w:eastAsiaTheme="minorEastAsia"/>
          <w:sz w:val="32"/>
          <w:szCs w:val="32"/>
          <w:lang w:val="en-US" w:eastAsia="zh-CN"/>
        </w:rPr>
        <w:t>此次数据产品的成功挂牌，不仅是集团积极贯彻落实习近平总书记关于新质生产力重要论述的关键举措，也标志着集团开启数据资产价值利用和创新工作的新征程。</w:t>
      </w:r>
      <w:r>
        <w:rPr>
          <w:rFonts w:hint="default" w:ascii="Times New Roman" w:hAnsi="Times New Roman" w:cs="Times New Roman"/>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（来源：扬子国投官网）</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r>
        <w:rPr>
          <w:rFonts w:hint="default" w:ascii="Times New Roman" w:hAnsi="Times New Roman" w:eastAsia="华文新魏" w:cs="Times New Roman"/>
          <w:b/>
          <w:color w:val="FF0000"/>
          <w:spacing w:val="0"/>
          <w:kern w:val="36"/>
          <w:sz w:val="52"/>
          <w:szCs w:val="52"/>
          <w:lang w:val="en-US" w:eastAsia="zh-CN"/>
        </w:rPr>
        <w:t>第37届非洲联盟峰会上的</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w:t>
      </w:r>
      <w:r>
        <w:rPr>
          <w:rFonts w:hint="default" w:ascii="Times New Roman" w:hAnsi="Times New Roman" w:eastAsia="华文新魏" w:cs="Times New Roman"/>
          <w:b/>
          <w:color w:val="FF0000"/>
          <w:spacing w:val="28"/>
          <w:kern w:val="36"/>
          <w:sz w:val="52"/>
          <w:szCs w:val="52"/>
          <w:lang w:val="en-US" w:eastAsia="zh-CN"/>
        </w:rPr>
        <w:t>中江印记</w:t>
      </w:r>
      <w:r>
        <w:rPr>
          <w:rFonts w:hint="eastAsia" w:ascii="Times New Roman" w:hAnsi="Times New Roman" w:eastAsia="华文新魏" w:cs="Times New Roman"/>
          <w:b/>
          <w:color w:val="FF0000"/>
          <w:spacing w:val="28"/>
          <w:kern w:val="36"/>
          <w:sz w:val="52"/>
          <w:szCs w:val="52"/>
          <w:lang w:val="en-US" w:eastAsia="zh-CN"/>
        </w:rPr>
        <w:t>”</w:t>
      </w:r>
      <w:r>
        <w:rPr>
          <w:rFonts w:hint="default" w:ascii="Times New Roman" w:hAnsi="Times New Roman" w:eastAsia="华文新魏" w:cs="Times New Roman"/>
          <w:b/>
          <w:color w:val="FF0000"/>
          <w:spacing w:val="0"/>
          <w:kern w:val="36"/>
          <w:sz w:val="52"/>
          <w:szCs w:val="52"/>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近日，非洲联盟（非盟）第37届首脑会议在位于埃塞俄比亚首都亚的斯亚贝巴的非盟总部开幕。会议期间，埃塞俄比亚总统萨赫勒·沃克·祖德和亚的斯亚贝巴市市长阿达尼彻·阿贝贝带领联合国工业发展组织代表团、巴西总统和第一夫人，以及非洲部长们、其他国际组织代表参观了由我会副会长单位——中国江苏国际经济技术合作集团有限公司海三公司埃塞公司承建的阿杜瓦零公里博物馆，并在博物馆举行了主题为</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非洲转型数码化</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的专题会议，同非洲部长们就扩大数码化以促进非洲转型的问题进行了讨论。</w:t>
      </w:r>
    </w:p>
    <w:p>
      <w:pPr>
        <w:keepNext w:val="0"/>
        <w:keepLines w:val="0"/>
        <w:pageBreakBefore w:val="0"/>
        <w:widowControl/>
        <w:shd w:val="clear" w:color="auto" w:fill="FFFFFF"/>
        <w:kinsoku/>
        <w:wordWrap/>
        <w:overflowPunct/>
        <w:topLinePunct w:val="0"/>
        <w:autoSpaceDE/>
        <w:autoSpaceDN/>
        <w:bidi w:val="0"/>
        <w:adjustRightInd/>
        <w:snapToGrid/>
        <w:spacing w:after="210" w:line="66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中江国际集团作为江苏省</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一带一路</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交汇点建设的排头兵企业，始终响应共建</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一带一路</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倡议，深耕埃塞市场，在当地承建了联合银行总部大楼项目、利比银行总部大楼项目、大皇宫停车场项目等一批地标性建筑。</w:t>
      </w:r>
    </w:p>
    <w:p>
      <w:pPr>
        <w:keepNext w:val="0"/>
        <w:keepLines w:val="0"/>
        <w:pageBreakBefore w:val="0"/>
        <w:widowControl/>
        <w:shd w:val="clear" w:color="auto" w:fill="FFFFFF"/>
        <w:kinsoku/>
        <w:wordWrap/>
        <w:overflowPunct/>
        <w:topLinePunct w:val="0"/>
        <w:autoSpaceDE/>
        <w:autoSpaceDN/>
        <w:bidi w:val="0"/>
        <w:adjustRightInd/>
        <w:snapToGrid/>
        <w:spacing w:after="210" w:line="66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阿杜瓦零公里博物馆的建设共历经4年半的时间，项目团队克服了时间紧、施工难度大、疫情影响等不利因素，团队人员始终坚守在海外项目一线，抢工期、推进度，很多员工已经有三四年没能回国。尤其是本次项目交付正值中国春节期间，项目团队更是选择留守一线，抢抓工期，使得项目顺利竣工，受到了埃塞总理、总统的高度评价，集团获得了亚的斯亚贝巴市市长颁发的</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杰出贡献</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表彰。</w:t>
      </w:r>
    </w:p>
    <w:p>
      <w:pPr>
        <w:keepNext w:val="0"/>
        <w:keepLines w:val="0"/>
        <w:pageBreakBefore w:val="0"/>
        <w:widowControl/>
        <w:shd w:val="clear" w:color="auto" w:fill="FFFFFF"/>
        <w:kinsoku/>
        <w:wordWrap/>
        <w:overflowPunct/>
        <w:topLinePunct w:val="0"/>
        <w:autoSpaceDE/>
        <w:autoSpaceDN/>
        <w:bidi w:val="0"/>
        <w:adjustRightInd/>
        <w:snapToGrid/>
        <w:spacing w:after="210" w:line="660" w:lineRule="exact"/>
        <w:ind w:firstLine="608" w:firstLineChars="200"/>
        <w:contextualSpacing/>
        <w:jc w:val="left"/>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default" w:ascii="Times New Roman" w:hAnsi="Times New Roman" w:cs="Times New Roman" w:eastAsiaTheme="minorEastAsia"/>
          <w:sz w:val="32"/>
          <w:szCs w:val="32"/>
          <w:lang w:val="en-US" w:eastAsia="zh-CN"/>
        </w:rPr>
        <w:t>作为埃塞亚的斯亚贝巴的一座新的地标建筑，阿杜瓦零公里博物馆不仅是埃塞历史的见证，也是中埃</w:t>
      </w:r>
      <w:r>
        <w:rPr>
          <w:rFonts w:hint="eastAsia" w:ascii="Times New Roman" w:hAnsi="Times New Roman" w:cs="Times New Roman"/>
          <w:sz w:val="32"/>
          <w:szCs w:val="32"/>
          <w:lang w:val="en-US" w:eastAsia="zh-CN"/>
        </w:rPr>
        <w:t>塞</w:t>
      </w:r>
      <w:r>
        <w:rPr>
          <w:rFonts w:hint="default" w:ascii="Times New Roman" w:hAnsi="Times New Roman" w:cs="Times New Roman" w:eastAsiaTheme="minorEastAsia"/>
          <w:sz w:val="32"/>
          <w:szCs w:val="32"/>
          <w:lang w:val="en-US" w:eastAsia="zh-CN"/>
        </w:rPr>
        <w:t>友谊的见证。集团将以此为契机，规划合作新蓝图，用中国智慧和中国方案为埃塞发展注入更多生机活力。</w:t>
      </w:r>
      <w:r>
        <w:rPr>
          <w:rFonts w:hint="default" w:ascii="Times New Roman" w:hAnsi="Times New Roman" w:cs="Times New Roman"/>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（来源：中江集团官网）</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魏碑简体">
    <w:panose1 w:val="02010601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SNh1gAAAAgBAAAPAAAAAAAAAAEAIAAAACIAAABkcnMvZG93bnJl&#10;di54bWxQSwECFAAUAAAACACHTuJAtVl6sjgCAABvBAAADgAAAAAAAAABACAAAAAlAQAAZHJzL2Uy&#10;b0RvYy54bWxQSwUGAAAAAAYABgBZAQAAz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93D01"/>
    <w:rsid w:val="00097083"/>
    <w:rsid w:val="001156B9"/>
    <w:rsid w:val="00145330"/>
    <w:rsid w:val="00154806"/>
    <w:rsid w:val="001F2C95"/>
    <w:rsid w:val="00215B64"/>
    <w:rsid w:val="002840B7"/>
    <w:rsid w:val="003208B4"/>
    <w:rsid w:val="003671B0"/>
    <w:rsid w:val="003C691D"/>
    <w:rsid w:val="003F32D7"/>
    <w:rsid w:val="0042623F"/>
    <w:rsid w:val="0043286B"/>
    <w:rsid w:val="00467C46"/>
    <w:rsid w:val="005A092B"/>
    <w:rsid w:val="006B63D3"/>
    <w:rsid w:val="006C0C2E"/>
    <w:rsid w:val="007C2A82"/>
    <w:rsid w:val="007E11E9"/>
    <w:rsid w:val="008B2F92"/>
    <w:rsid w:val="008E3499"/>
    <w:rsid w:val="008F79A9"/>
    <w:rsid w:val="00906A61"/>
    <w:rsid w:val="00A0554E"/>
    <w:rsid w:val="00A55B3B"/>
    <w:rsid w:val="00B35803"/>
    <w:rsid w:val="00B45E3E"/>
    <w:rsid w:val="00C16462"/>
    <w:rsid w:val="00C66488"/>
    <w:rsid w:val="00CA656E"/>
    <w:rsid w:val="00CE04E4"/>
    <w:rsid w:val="00D0085C"/>
    <w:rsid w:val="00DB54B3"/>
    <w:rsid w:val="00DF053C"/>
    <w:rsid w:val="00E278B0"/>
    <w:rsid w:val="00FC3867"/>
    <w:rsid w:val="010007F1"/>
    <w:rsid w:val="01123C24"/>
    <w:rsid w:val="01281FA6"/>
    <w:rsid w:val="0129652A"/>
    <w:rsid w:val="012C4A94"/>
    <w:rsid w:val="0134238F"/>
    <w:rsid w:val="01434062"/>
    <w:rsid w:val="015A28DE"/>
    <w:rsid w:val="01603797"/>
    <w:rsid w:val="01614C4F"/>
    <w:rsid w:val="016607CF"/>
    <w:rsid w:val="01687C29"/>
    <w:rsid w:val="016C6133"/>
    <w:rsid w:val="016D0719"/>
    <w:rsid w:val="01730647"/>
    <w:rsid w:val="017F7312"/>
    <w:rsid w:val="0183354F"/>
    <w:rsid w:val="018A4341"/>
    <w:rsid w:val="018D1ED5"/>
    <w:rsid w:val="01944C0D"/>
    <w:rsid w:val="019652A2"/>
    <w:rsid w:val="019A0A9C"/>
    <w:rsid w:val="019E5AF8"/>
    <w:rsid w:val="01A05888"/>
    <w:rsid w:val="01A2463C"/>
    <w:rsid w:val="01A536F0"/>
    <w:rsid w:val="01AB72AD"/>
    <w:rsid w:val="01AD0FC0"/>
    <w:rsid w:val="01B74B80"/>
    <w:rsid w:val="01B76B70"/>
    <w:rsid w:val="01BC47E4"/>
    <w:rsid w:val="01BD0D3F"/>
    <w:rsid w:val="01C277DB"/>
    <w:rsid w:val="01CB201F"/>
    <w:rsid w:val="01D01DDD"/>
    <w:rsid w:val="01D83F23"/>
    <w:rsid w:val="01DA121B"/>
    <w:rsid w:val="01EB6FF4"/>
    <w:rsid w:val="01EC6C1A"/>
    <w:rsid w:val="01F43D5D"/>
    <w:rsid w:val="01F53962"/>
    <w:rsid w:val="01FE284A"/>
    <w:rsid w:val="020C0504"/>
    <w:rsid w:val="021337A8"/>
    <w:rsid w:val="02154F00"/>
    <w:rsid w:val="022C2DDE"/>
    <w:rsid w:val="02424F98"/>
    <w:rsid w:val="024B4F65"/>
    <w:rsid w:val="02522774"/>
    <w:rsid w:val="02716397"/>
    <w:rsid w:val="027D39C5"/>
    <w:rsid w:val="02842B55"/>
    <w:rsid w:val="02850B1B"/>
    <w:rsid w:val="028E239B"/>
    <w:rsid w:val="028E669E"/>
    <w:rsid w:val="02945151"/>
    <w:rsid w:val="02994D24"/>
    <w:rsid w:val="02AA4579"/>
    <w:rsid w:val="02B7449E"/>
    <w:rsid w:val="02CA2014"/>
    <w:rsid w:val="02CE36F0"/>
    <w:rsid w:val="02D253BA"/>
    <w:rsid w:val="02D664A5"/>
    <w:rsid w:val="02D70120"/>
    <w:rsid w:val="02E746B3"/>
    <w:rsid w:val="02F04987"/>
    <w:rsid w:val="02F3072B"/>
    <w:rsid w:val="02F4686A"/>
    <w:rsid w:val="02F50E1A"/>
    <w:rsid w:val="02FC365E"/>
    <w:rsid w:val="03055083"/>
    <w:rsid w:val="030A33B2"/>
    <w:rsid w:val="0312457C"/>
    <w:rsid w:val="03173E54"/>
    <w:rsid w:val="03276EB0"/>
    <w:rsid w:val="03320DD5"/>
    <w:rsid w:val="03367B19"/>
    <w:rsid w:val="033F3094"/>
    <w:rsid w:val="0341739D"/>
    <w:rsid w:val="035906B9"/>
    <w:rsid w:val="035A07AB"/>
    <w:rsid w:val="036572E0"/>
    <w:rsid w:val="036773BE"/>
    <w:rsid w:val="03745931"/>
    <w:rsid w:val="0375270B"/>
    <w:rsid w:val="0376026A"/>
    <w:rsid w:val="03763E10"/>
    <w:rsid w:val="03795E56"/>
    <w:rsid w:val="038F00BD"/>
    <w:rsid w:val="038F07EB"/>
    <w:rsid w:val="039F6B79"/>
    <w:rsid w:val="03A054FE"/>
    <w:rsid w:val="03A710E3"/>
    <w:rsid w:val="03B75E22"/>
    <w:rsid w:val="03C7124D"/>
    <w:rsid w:val="03C956D7"/>
    <w:rsid w:val="03CD065E"/>
    <w:rsid w:val="03D96519"/>
    <w:rsid w:val="03DC76EB"/>
    <w:rsid w:val="03DF3AAC"/>
    <w:rsid w:val="03DF7C94"/>
    <w:rsid w:val="03E4053E"/>
    <w:rsid w:val="03EE2D2D"/>
    <w:rsid w:val="03EE5120"/>
    <w:rsid w:val="03F95EAB"/>
    <w:rsid w:val="03FA4378"/>
    <w:rsid w:val="040E59E0"/>
    <w:rsid w:val="04177E90"/>
    <w:rsid w:val="041B3B0D"/>
    <w:rsid w:val="04227E09"/>
    <w:rsid w:val="04256881"/>
    <w:rsid w:val="042C1175"/>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B08F7"/>
    <w:rsid w:val="04997356"/>
    <w:rsid w:val="04B3013F"/>
    <w:rsid w:val="04BA605B"/>
    <w:rsid w:val="04BB6582"/>
    <w:rsid w:val="04BF51D4"/>
    <w:rsid w:val="04C30370"/>
    <w:rsid w:val="04C369FD"/>
    <w:rsid w:val="04C87276"/>
    <w:rsid w:val="04CE7B7F"/>
    <w:rsid w:val="04D13EAB"/>
    <w:rsid w:val="04E16ACF"/>
    <w:rsid w:val="04F33CBA"/>
    <w:rsid w:val="05006805"/>
    <w:rsid w:val="05017788"/>
    <w:rsid w:val="05150D13"/>
    <w:rsid w:val="052054D4"/>
    <w:rsid w:val="052C7639"/>
    <w:rsid w:val="054A7C8A"/>
    <w:rsid w:val="055D26AF"/>
    <w:rsid w:val="056534E0"/>
    <w:rsid w:val="056834A8"/>
    <w:rsid w:val="05684832"/>
    <w:rsid w:val="056E79C6"/>
    <w:rsid w:val="057A799E"/>
    <w:rsid w:val="058647BE"/>
    <w:rsid w:val="05880374"/>
    <w:rsid w:val="05881910"/>
    <w:rsid w:val="05913966"/>
    <w:rsid w:val="059F17BF"/>
    <w:rsid w:val="05A259F9"/>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26021"/>
    <w:rsid w:val="066D2CED"/>
    <w:rsid w:val="066E2C0B"/>
    <w:rsid w:val="06700010"/>
    <w:rsid w:val="06734EB6"/>
    <w:rsid w:val="067C24CF"/>
    <w:rsid w:val="068A1FDD"/>
    <w:rsid w:val="069002BE"/>
    <w:rsid w:val="06906B8C"/>
    <w:rsid w:val="069725BC"/>
    <w:rsid w:val="069A3A7C"/>
    <w:rsid w:val="06A729E1"/>
    <w:rsid w:val="06AB1C7E"/>
    <w:rsid w:val="06AC05E7"/>
    <w:rsid w:val="06AF1D16"/>
    <w:rsid w:val="06AF3414"/>
    <w:rsid w:val="06B15237"/>
    <w:rsid w:val="06BA5EB2"/>
    <w:rsid w:val="06D17DB1"/>
    <w:rsid w:val="06E444B8"/>
    <w:rsid w:val="070615F0"/>
    <w:rsid w:val="07085235"/>
    <w:rsid w:val="07146D7A"/>
    <w:rsid w:val="071A4300"/>
    <w:rsid w:val="072C5901"/>
    <w:rsid w:val="072D6955"/>
    <w:rsid w:val="07355298"/>
    <w:rsid w:val="073633AE"/>
    <w:rsid w:val="0738618B"/>
    <w:rsid w:val="074E1705"/>
    <w:rsid w:val="074E279C"/>
    <w:rsid w:val="075268B6"/>
    <w:rsid w:val="075C0378"/>
    <w:rsid w:val="075C613A"/>
    <w:rsid w:val="0768627D"/>
    <w:rsid w:val="07774E9B"/>
    <w:rsid w:val="07886D75"/>
    <w:rsid w:val="079A77BC"/>
    <w:rsid w:val="079D6C92"/>
    <w:rsid w:val="07A92FCD"/>
    <w:rsid w:val="07AB5A16"/>
    <w:rsid w:val="07C32EAB"/>
    <w:rsid w:val="07CE7516"/>
    <w:rsid w:val="07DA5629"/>
    <w:rsid w:val="07DE3B60"/>
    <w:rsid w:val="07E54B9E"/>
    <w:rsid w:val="08010DA7"/>
    <w:rsid w:val="08033960"/>
    <w:rsid w:val="080F3123"/>
    <w:rsid w:val="08220E8F"/>
    <w:rsid w:val="08242F28"/>
    <w:rsid w:val="08252E6C"/>
    <w:rsid w:val="08275EA4"/>
    <w:rsid w:val="08294CB5"/>
    <w:rsid w:val="083036B5"/>
    <w:rsid w:val="08310F19"/>
    <w:rsid w:val="08331FC1"/>
    <w:rsid w:val="083611A9"/>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F18C1"/>
    <w:rsid w:val="0954257E"/>
    <w:rsid w:val="095929D4"/>
    <w:rsid w:val="095A003F"/>
    <w:rsid w:val="095B02C8"/>
    <w:rsid w:val="09606CDC"/>
    <w:rsid w:val="09631FC1"/>
    <w:rsid w:val="09651D94"/>
    <w:rsid w:val="098A1F77"/>
    <w:rsid w:val="099872CF"/>
    <w:rsid w:val="09A137B2"/>
    <w:rsid w:val="09A2636C"/>
    <w:rsid w:val="09A44BA0"/>
    <w:rsid w:val="09AA495F"/>
    <w:rsid w:val="09AC53C9"/>
    <w:rsid w:val="09B630C3"/>
    <w:rsid w:val="09C222A5"/>
    <w:rsid w:val="09C27E4D"/>
    <w:rsid w:val="09C81C8D"/>
    <w:rsid w:val="09CB6B07"/>
    <w:rsid w:val="09CC1439"/>
    <w:rsid w:val="09CD0E22"/>
    <w:rsid w:val="09CD713D"/>
    <w:rsid w:val="09FA2B3C"/>
    <w:rsid w:val="09FA772F"/>
    <w:rsid w:val="09FB6D64"/>
    <w:rsid w:val="0A030CE9"/>
    <w:rsid w:val="0A0D0EE1"/>
    <w:rsid w:val="0A33530F"/>
    <w:rsid w:val="0A346C5C"/>
    <w:rsid w:val="0A4707FD"/>
    <w:rsid w:val="0A486965"/>
    <w:rsid w:val="0A4B2E8D"/>
    <w:rsid w:val="0A5317DF"/>
    <w:rsid w:val="0A534D83"/>
    <w:rsid w:val="0A564C39"/>
    <w:rsid w:val="0A5B0F4C"/>
    <w:rsid w:val="0A61640A"/>
    <w:rsid w:val="0A6536D8"/>
    <w:rsid w:val="0A6A580E"/>
    <w:rsid w:val="0A7611EF"/>
    <w:rsid w:val="0A765DBA"/>
    <w:rsid w:val="0A7A1EF7"/>
    <w:rsid w:val="0A937773"/>
    <w:rsid w:val="0A987047"/>
    <w:rsid w:val="0AA05D85"/>
    <w:rsid w:val="0AAD109D"/>
    <w:rsid w:val="0ABB417A"/>
    <w:rsid w:val="0ABE47A4"/>
    <w:rsid w:val="0ACC2910"/>
    <w:rsid w:val="0ACC3151"/>
    <w:rsid w:val="0AD16821"/>
    <w:rsid w:val="0AD45A3C"/>
    <w:rsid w:val="0AD60B60"/>
    <w:rsid w:val="0ADC78D2"/>
    <w:rsid w:val="0AE11813"/>
    <w:rsid w:val="0AE3323E"/>
    <w:rsid w:val="0AEB11A6"/>
    <w:rsid w:val="0AEC3E44"/>
    <w:rsid w:val="0AEE609E"/>
    <w:rsid w:val="0AEF478A"/>
    <w:rsid w:val="0B062542"/>
    <w:rsid w:val="0B0E47F4"/>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92EB2"/>
    <w:rsid w:val="0B8035EB"/>
    <w:rsid w:val="0B84164E"/>
    <w:rsid w:val="0B89731E"/>
    <w:rsid w:val="0B904412"/>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B1E5B"/>
    <w:rsid w:val="0C146F99"/>
    <w:rsid w:val="0C1A584B"/>
    <w:rsid w:val="0C2275D5"/>
    <w:rsid w:val="0C2D70F9"/>
    <w:rsid w:val="0C342312"/>
    <w:rsid w:val="0C53740C"/>
    <w:rsid w:val="0C563E70"/>
    <w:rsid w:val="0C631545"/>
    <w:rsid w:val="0C6E187C"/>
    <w:rsid w:val="0C7D4D8F"/>
    <w:rsid w:val="0C80052F"/>
    <w:rsid w:val="0C8C06D3"/>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DC515C"/>
    <w:rsid w:val="0D0B2A13"/>
    <w:rsid w:val="0D112021"/>
    <w:rsid w:val="0D12133D"/>
    <w:rsid w:val="0D1F7151"/>
    <w:rsid w:val="0D200D54"/>
    <w:rsid w:val="0D2B7DB2"/>
    <w:rsid w:val="0D3152D9"/>
    <w:rsid w:val="0D384916"/>
    <w:rsid w:val="0D427E08"/>
    <w:rsid w:val="0D4A1977"/>
    <w:rsid w:val="0D511FCD"/>
    <w:rsid w:val="0D52698E"/>
    <w:rsid w:val="0D583C5F"/>
    <w:rsid w:val="0D5D658F"/>
    <w:rsid w:val="0D6029A5"/>
    <w:rsid w:val="0D6063D4"/>
    <w:rsid w:val="0D667E20"/>
    <w:rsid w:val="0D922931"/>
    <w:rsid w:val="0D95263C"/>
    <w:rsid w:val="0DA81B9F"/>
    <w:rsid w:val="0DAD79F2"/>
    <w:rsid w:val="0DB47CEC"/>
    <w:rsid w:val="0DBB3CA5"/>
    <w:rsid w:val="0DBB4EDD"/>
    <w:rsid w:val="0DC37BF2"/>
    <w:rsid w:val="0DC436B0"/>
    <w:rsid w:val="0DC9693F"/>
    <w:rsid w:val="0DCC1715"/>
    <w:rsid w:val="0DD82C48"/>
    <w:rsid w:val="0DDB6385"/>
    <w:rsid w:val="0DF0632D"/>
    <w:rsid w:val="0DF475E0"/>
    <w:rsid w:val="0E0E09E4"/>
    <w:rsid w:val="0E0E0AE3"/>
    <w:rsid w:val="0E184477"/>
    <w:rsid w:val="0E1A4501"/>
    <w:rsid w:val="0E21196E"/>
    <w:rsid w:val="0E227E98"/>
    <w:rsid w:val="0E27140B"/>
    <w:rsid w:val="0E2D4D70"/>
    <w:rsid w:val="0E3B2663"/>
    <w:rsid w:val="0E443DBA"/>
    <w:rsid w:val="0E465F52"/>
    <w:rsid w:val="0E576A70"/>
    <w:rsid w:val="0E6B437E"/>
    <w:rsid w:val="0E6B6A22"/>
    <w:rsid w:val="0E793535"/>
    <w:rsid w:val="0E795DEE"/>
    <w:rsid w:val="0E7B3260"/>
    <w:rsid w:val="0E804638"/>
    <w:rsid w:val="0E854758"/>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521390"/>
    <w:rsid w:val="0F551890"/>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C24482"/>
    <w:rsid w:val="0FC754B6"/>
    <w:rsid w:val="0FCD46F4"/>
    <w:rsid w:val="0FCE3065"/>
    <w:rsid w:val="0FE107E2"/>
    <w:rsid w:val="0FE336DE"/>
    <w:rsid w:val="0FED1D3E"/>
    <w:rsid w:val="10065756"/>
    <w:rsid w:val="100A69A4"/>
    <w:rsid w:val="100E17EE"/>
    <w:rsid w:val="10140347"/>
    <w:rsid w:val="101B54B3"/>
    <w:rsid w:val="101C6175"/>
    <w:rsid w:val="104210EE"/>
    <w:rsid w:val="10513C3F"/>
    <w:rsid w:val="10541F36"/>
    <w:rsid w:val="105D2D1E"/>
    <w:rsid w:val="10623D8F"/>
    <w:rsid w:val="106737C7"/>
    <w:rsid w:val="10703686"/>
    <w:rsid w:val="1075160B"/>
    <w:rsid w:val="107760A9"/>
    <w:rsid w:val="10780D89"/>
    <w:rsid w:val="107B52AA"/>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B0B58"/>
    <w:rsid w:val="113D775B"/>
    <w:rsid w:val="11410876"/>
    <w:rsid w:val="114608E7"/>
    <w:rsid w:val="114F3D65"/>
    <w:rsid w:val="115347BC"/>
    <w:rsid w:val="11545887"/>
    <w:rsid w:val="11597C64"/>
    <w:rsid w:val="116228E3"/>
    <w:rsid w:val="11631325"/>
    <w:rsid w:val="116345A4"/>
    <w:rsid w:val="11667833"/>
    <w:rsid w:val="11687433"/>
    <w:rsid w:val="1178450A"/>
    <w:rsid w:val="117B53DF"/>
    <w:rsid w:val="117B71D3"/>
    <w:rsid w:val="11845F00"/>
    <w:rsid w:val="118A58E4"/>
    <w:rsid w:val="118F0DB3"/>
    <w:rsid w:val="11916F88"/>
    <w:rsid w:val="11B62D0B"/>
    <w:rsid w:val="11BE6E3E"/>
    <w:rsid w:val="11C52A21"/>
    <w:rsid w:val="11C75474"/>
    <w:rsid w:val="11D26FDB"/>
    <w:rsid w:val="11D435B9"/>
    <w:rsid w:val="11D8409F"/>
    <w:rsid w:val="11D95083"/>
    <w:rsid w:val="11DD2AAB"/>
    <w:rsid w:val="11DE26F2"/>
    <w:rsid w:val="11DF6987"/>
    <w:rsid w:val="11EA23C8"/>
    <w:rsid w:val="11EB5C95"/>
    <w:rsid w:val="11ED6242"/>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571C4D"/>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C21464"/>
    <w:rsid w:val="12C40A29"/>
    <w:rsid w:val="12C42DA1"/>
    <w:rsid w:val="12C45CF0"/>
    <w:rsid w:val="12C948D2"/>
    <w:rsid w:val="12CB14EE"/>
    <w:rsid w:val="12CE6902"/>
    <w:rsid w:val="12D54B1A"/>
    <w:rsid w:val="12EF155A"/>
    <w:rsid w:val="12F17350"/>
    <w:rsid w:val="12F712FB"/>
    <w:rsid w:val="12FA0E2E"/>
    <w:rsid w:val="12FF7A62"/>
    <w:rsid w:val="13037A88"/>
    <w:rsid w:val="133844CA"/>
    <w:rsid w:val="1347596A"/>
    <w:rsid w:val="13477178"/>
    <w:rsid w:val="134B5A55"/>
    <w:rsid w:val="134C0AA1"/>
    <w:rsid w:val="136041BC"/>
    <w:rsid w:val="136F4FE6"/>
    <w:rsid w:val="13713F6F"/>
    <w:rsid w:val="13762A14"/>
    <w:rsid w:val="137E2E27"/>
    <w:rsid w:val="138C25C7"/>
    <w:rsid w:val="138E741D"/>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57229"/>
    <w:rsid w:val="13F60043"/>
    <w:rsid w:val="13F63AC9"/>
    <w:rsid w:val="13FF4761"/>
    <w:rsid w:val="1401651E"/>
    <w:rsid w:val="14065625"/>
    <w:rsid w:val="14127CF3"/>
    <w:rsid w:val="1416357F"/>
    <w:rsid w:val="14175C6D"/>
    <w:rsid w:val="14182B9E"/>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C1504"/>
    <w:rsid w:val="148112AD"/>
    <w:rsid w:val="14933736"/>
    <w:rsid w:val="149D19D1"/>
    <w:rsid w:val="14AD2447"/>
    <w:rsid w:val="14BD0C90"/>
    <w:rsid w:val="14BD7435"/>
    <w:rsid w:val="14D41B03"/>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F4B83"/>
    <w:rsid w:val="15864057"/>
    <w:rsid w:val="158A2F64"/>
    <w:rsid w:val="158C53F6"/>
    <w:rsid w:val="15946EC2"/>
    <w:rsid w:val="1594709F"/>
    <w:rsid w:val="159B1410"/>
    <w:rsid w:val="159D2E6C"/>
    <w:rsid w:val="15A625C0"/>
    <w:rsid w:val="15A70541"/>
    <w:rsid w:val="15A7643A"/>
    <w:rsid w:val="15AD4348"/>
    <w:rsid w:val="15AD7612"/>
    <w:rsid w:val="15B96153"/>
    <w:rsid w:val="15BC619F"/>
    <w:rsid w:val="15C40EFF"/>
    <w:rsid w:val="15CA097E"/>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405266"/>
    <w:rsid w:val="164561DB"/>
    <w:rsid w:val="1651617C"/>
    <w:rsid w:val="166852CC"/>
    <w:rsid w:val="16696EE3"/>
    <w:rsid w:val="16713663"/>
    <w:rsid w:val="167518D2"/>
    <w:rsid w:val="168864E9"/>
    <w:rsid w:val="16907088"/>
    <w:rsid w:val="1697702E"/>
    <w:rsid w:val="169A4327"/>
    <w:rsid w:val="169D4FCC"/>
    <w:rsid w:val="16A26D59"/>
    <w:rsid w:val="16A31912"/>
    <w:rsid w:val="16A52825"/>
    <w:rsid w:val="16A60389"/>
    <w:rsid w:val="16AC66DD"/>
    <w:rsid w:val="16AD326E"/>
    <w:rsid w:val="16B06BAD"/>
    <w:rsid w:val="16B17712"/>
    <w:rsid w:val="16B95CF7"/>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97EC3"/>
    <w:rsid w:val="171E2D1A"/>
    <w:rsid w:val="172E1BBE"/>
    <w:rsid w:val="173A6824"/>
    <w:rsid w:val="173B1FA1"/>
    <w:rsid w:val="173C594E"/>
    <w:rsid w:val="17503F57"/>
    <w:rsid w:val="17505DD6"/>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23E0F"/>
    <w:rsid w:val="17B31B32"/>
    <w:rsid w:val="17B80549"/>
    <w:rsid w:val="17C063A0"/>
    <w:rsid w:val="17C16366"/>
    <w:rsid w:val="17C76A67"/>
    <w:rsid w:val="17DA0F7A"/>
    <w:rsid w:val="17DC2D7F"/>
    <w:rsid w:val="17E95276"/>
    <w:rsid w:val="17EA38A1"/>
    <w:rsid w:val="17EB77A3"/>
    <w:rsid w:val="17EC5E41"/>
    <w:rsid w:val="1806537C"/>
    <w:rsid w:val="18066C18"/>
    <w:rsid w:val="181C2683"/>
    <w:rsid w:val="181E4167"/>
    <w:rsid w:val="18341D76"/>
    <w:rsid w:val="18351C27"/>
    <w:rsid w:val="18553A22"/>
    <w:rsid w:val="18607956"/>
    <w:rsid w:val="186E420E"/>
    <w:rsid w:val="187A14AA"/>
    <w:rsid w:val="187B7B4F"/>
    <w:rsid w:val="1887188F"/>
    <w:rsid w:val="18A35548"/>
    <w:rsid w:val="18A63203"/>
    <w:rsid w:val="18A77689"/>
    <w:rsid w:val="18A816B2"/>
    <w:rsid w:val="18B8431F"/>
    <w:rsid w:val="18B90C48"/>
    <w:rsid w:val="18BC4ADF"/>
    <w:rsid w:val="18BD1521"/>
    <w:rsid w:val="18BD2E66"/>
    <w:rsid w:val="18BE7EAB"/>
    <w:rsid w:val="18CF2450"/>
    <w:rsid w:val="18DA12E6"/>
    <w:rsid w:val="18E8538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D11E61"/>
    <w:rsid w:val="19D5618C"/>
    <w:rsid w:val="19E22401"/>
    <w:rsid w:val="19E23808"/>
    <w:rsid w:val="19F44B16"/>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F7489C"/>
    <w:rsid w:val="1AFA3523"/>
    <w:rsid w:val="1AFD3AEA"/>
    <w:rsid w:val="1B05238D"/>
    <w:rsid w:val="1B13587B"/>
    <w:rsid w:val="1B1D44BA"/>
    <w:rsid w:val="1B2C07D2"/>
    <w:rsid w:val="1B2C5EE0"/>
    <w:rsid w:val="1B3604D3"/>
    <w:rsid w:val="1B364D11"/>
    <w:rsid w:val="1B3865C6"/>
    <w:rsid w:val="1B3E5EDE"/>
    <w:rsid w:val="1B433153"/>
    <w:rsid w:val="1B467529"/>
    <w:rsid w:val="1B4B00CA"/>
    <w:rsid w:val="1B566C78"/>
    <w:rsid w:val="1B5F1247"/>
    <w:rsid w:val="1B6307EA"/>
    <w:rsid w:val="1B79696C"/>
    <w:rsid w:val="1B7E1824"/>
    <w:rsid w:val="1B825166"/>
    <w:rsid w:val="1B890C23"/>
    <w:rsid w:val="1B9411FC"/>
    <w:rsid w:val="1B9D6CE8"/>
    <w:rsid w:val="1BA866D1"/>
    <w:rsid w:val="1BBB422B"/>
    <w:rsid w:val="1BC600B5"/>
    <w:rsid w:val="1BCD55F8"/>
    <w:rsid w:val="1BE011AE"/>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D2EB6"/>
    <w:rsid w:val="1C805B43"/>
    <w:rsid w:val="1C852BB0"/>
    <w:rsid w:val="1C8D54A8"/>
    <w:rsid w:val="1C9651FD"/>
    <w:rsid w:val="1C9C41C6"/>
    <w:rsid w:val="1CA42FB6"/>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E30CF"/>
    <w:rsid w:val="1D3E57BA"/>
    <w:rsid w:val="1D3F5BF4"/>
    <w:rsid w:val="1D49558F"/>
    <w:rsid w:val="1D4B4B5A"/>
    <w:rsid w:val="1D584348"/>
    <w:rsid w:val="1D5D209F"/>
    <w:rsid w:val="1D6D4785"/>
    <w:rsid w:val="1D6E27CD"/>
    <w:rsid w:val="1D767ADA"/>
    <w:rsid w:val="1D845021"/>
    <w:rsid w:val="1D861B2D"/>
    <w:rsid w:val="1D896FB3"/>
    <w:rsid w:val="1D91741D"/>
    <w:rsid w:val="1D9318C5"/>
    <w:rsid w:val="1D941B55"/>
    <w:rsid w:val="1DAB7998"/>
    <w:rsid w:val="1DB01072"/>
    <w:rsid w:val="1DB2076E"/>
    <w:rsid w:val="1DB43F2E"/>
    <w:rsid w:val="1DBE6DCD"/>
    <w:rsid w:val="1DC2628A"/>
    <w:rsid w:val="1DCF57CE"/>
    <w:rsid w:val="1DD11EB5"/>
    <w:rsid w:val="1DD246EC"/>
    <w:rsid w:val="1DD63079"/>
    <w:rsid w:val="1DD859F5"/>
    <w:rsid w:val="1DDA6EEA"/>
    <w:rsid w:val="1DDD63A7"/>
    <w:rsid w:val="1DFC4DF9"/>
    <w:rsid w:val="1E0435A0"/>
    <w:rsid w:val="1E110D2A"/>
    <w:rsid w:val="1E1247A2"/>
    <w:rsid w:val="1E155062"/>
    <w:rsid w:val="1E193E9C"/>
    <w:rsid w:val="1E1B38E9"/>
    <w:rsid w:val="1E1B7186"/>
    <w:rsid w:val="1E303EF3"/>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B3888"/>
    <w:rsid w:val="1EE05F54"/>
    <w:rsid w:val="1EE332A7"/>
    <w:rsid w:val="1EF579A0"/>
    <w:rsid w:val="1F05532C"/>
    <w:rsid w:val="1F095121"/>
    <w:rsid w:val="1F0D0383"/>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7565"/>
    <w:rsid w:val="1F9B644E"/>
    <w:rsid w:val="1FA429B4"/>
    <w:rsid w:val="1FB34801"/>
    <w:rsid w:val="1FB75185"/>
    <w:rsid w:val="1FB97163"/>
    <w:rsid w:val="1FBD0EE6"/>
    <w:rsid w:val="1FC10346"/>
    <w:rsid w:val="1FC16504"/>
    <w:rsid w:val="1FDB745E"/>
    <w:rsid w:val="1FDD028C"/>
    <w:rsid w:val="1FF955B0"/>
    <w:rsid w:val="1FFA3EAB"/>
    <w:rsid w:val="1FFB3FF4"/>
    <w:rsid w:val="20176E76"/>
    <w:rsid w:val="20270162"/>
    <w:rsid w:val="203F0CD6"/>
    <w:rsid w:val="20655E4F"/>
    <w:rsid w:val="207308C3"/>
    <w:rsid w:val="207411D3"/>
    <w:rsid w:val="20743131"/>
    <w:rsid w:val="207536DF"/>
    <w:rsid w:val="20783BF9"/>
    <w:rsid w:val="20786435"/>
    <w:rsid w:val="20811113"/>
    <w:rsid w:val="20874766"/>
    <w:rsid w:val="2088281D"/>
    <w:rsid w:val="2088475A"/>
    <w:rsid w:val="20917F9C"/>
    <w:rsid w:val="2094661E"/>
    <w:rsid w:val="20951ED4"/>
    <w:rsid w:val="20962536"/>
    <w:rsid w:val="20AF5726"/>
    <w:rsid w:val="20B50E80"/>
    <w:rsid w:val="20B7483F"/>
    <w:rsid w:val="20BD02A3"/>
    <w:rsid w:val="20BE1841"/>
    <w:rsid w:val="20D078F3"/>
    <w:rsid w:val="20D200AD"/>
    <w:rsid w:val="20D95B71"/>
    <w:rsid w:val="20DA60A5"/>
    <w:rsid w:val="20DB223A"/>
    <w:rsid w:val="20E51C80"/>
    <w:rsid w:val="20EC58CB"/>
    <w:rsid w:val="20F17304"/>
    <w:rsid w:val="21014223"/>
    <w:rsid w:val="21200021"/>
    <w:rsid w:val="21257F04"/>
    <w:rsid w:val="21291A31"/>
    <w:rsid w:val="21353F50"/>
    <w:rsid w:val="2138052E"/>
    <w:rsid w:val="213C3CC5"/>
    <w:rsid w:val="214776EA"/>
    <w:rsid w:val="21522E38"/>
    <w:rsid w:val="2159046C"/>
    <w:rsid w:val="21592762"/>
    <w:rsid w:val="215F3A68"/>
    <w:rsid w:val="21611A31"/>
    <w:rsid w:val="21635586"/>
    <w:rsid w:val="217B17E2"/>
    <w:rsid w:val="218810BD"/>
    <w:rsid w:val="218D61A9"/>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91ECB"/>
    <w:rsid w:val="221E272E"/>
    <w:rsid w:val="222A1FFE"/>
    <w:rsid w:val="222B075F"/>
    <w:rsid w:val="22367DC0"/>
    <w:rsid w:val="223C2D91"/>
    <w:rsid w:val="22426753"/>
    <w:rsid w:val="224D7BB0"/>
    <w:rsid w:val="22541D32"/>
    <w:rsid w:val="225474CD"/>
    <w:rsid w:val="225E1754"/>
    <w:rsid w:val="225F0409"/>
    <w:rsid w:val="226D42BA"/>
    <w:rsid w:val="227078B0"/>
    <w:rsid w:val="2271187B"/>
    <w:rsid w:val="22833161"/>
    <w:rsid w:val="228338C8"/>
    <w:rsid w:val="22840DDA"/>
    <w:rsid w:val="22876A0D"/>
    <w:rsid w:val="22A11695"/>
    <w:rsid w:val="22A63B38"/>
    <w:rsid w:val="22A73490"/>
    <w:rsid w:val="22A8489A"/>
    <w:rsid w:val="22AB3B60"/>
    <w:rsid w:val="22AF11A1"/>
    <w:rsid w:val="22B22D1F"/>
    <w:rsid w:val="22B33D99"/>
    <w:rsid w:val="22BB4A47"/>
    <w:rsid w:val="22BC2773"/>
    <w:rsid w:val="22BE29D6"/>
    <w:rsid w:val="22C27BE8"/>
    <w:rsid w:val="22C4003E"/>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F45E5"/>
    <w:rsid w:val="23382F5D"/>
    <w:rsid w:val="233857DC"/>
    <w:rsid w:val="23443C8F"/>
    <w:rsid w:val="23561548"/>
    <w:rsid w:val="23561CD1"/>
    <w:rsid w:val="235E47B6"/>
    <w:rsid w:val="23644FB5"/>
    <w:rsid w:val="23646298"/>
    <w:rsid w:val="236B32CC"/>
    <w:rsid w:val="2372506B"/>
    <w:rsid w:val="2376691B"/>
    <w:rsid w:val="2378146C"/>
    <w:rsid w:val="238D2D50"/>
    <w:rsid w:val="238D66BE"/>
    <w:rsid w:val="239540DC"/>
    <w:rsid w:val="23965F67"/>
    <w:rsid w:val="23A02531"/>
    <w:rsid w:val="23A11F4F"/>
    <w:rsid w:val="23B41225"/>
    <w:rsid w:val="23BA6237"/>
    <w:rsid w:val="23BC048E"/>
    <w:rsid w:val="23C9616F"/>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323334"/>
    <w:rsid w:val="243336DA"/>
    <w:rsid w:val="24373DE9"/>
    <w:rsid w:val="243D6215"/>
    <w:rsid w:val="244F01D0"/>
    <w:rsid w:val="245226BE"/>
    <w:rsid w:val="245550BB"/>
    <w:rsid w:val="245A0102"/>
    <w:rsid w:val="2461318F"/>
    <w:rsid w:val="24662623"/>
    <w:rsid w:val="24673502"/>
    <w:rsid w:val="24676BCD"/>
    <w:rsid w:val="2468531E"/>
    <w:rsid w:val="24750E49"/>
    <w:rsid w:val="24860612"/>
    <w:rsid w:val="24872D53"/>
    <w:rsid w:val="248E7D90"/>
    <w:rsid w:val="249321BF"/>
    <w:rsid w:val="249C0D83"/>
    <w:rsid w:val="24A033EE"/>
    <w:rsid w:val="24B51B12"/>
    <w:rsid w:val="24C434A5"/>
    <w:rsid w:val="24CA496C"/>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9114ED"/>
    <w:rsid w:val="2593720A"/>
    <w:rsid w:val="25996F48"/>
    <w:rsid w:val="259A3CB2"/>
    <w:rsid w:val="259E5828"/>
    <w:rsid w:val="25A92B92"/>
    <w:rsid w:val="25AB0A3D"/>
    <w:rsid w:val="25AC370D"/>
    <w:rsid w:val="25B22B68"/>
    <w:rsid w:val="25B5218E"/>
    <w:rsid w:val="25C15D16"/>
    <w:rsid w:val="25C55B83"/>
    <w:rsid w:val="25CD5BF1"/>
    <w:rsid w:val="25D31208"/>
    <w:rsid w:val="25DA65CA"/>
    <w:rsid w:val="25DB6649"/>
    <w:rsid w:val="25DD0809"/>
    <w:rsid w:val="25E27416"/>
    <w:rsid w:val="25E46656"/>
    <w:rsid w:val="25E47484"/>
    <w:rsid w:val="25E92FBE"/>
    <w:rsid w:val="25F17275"/>
    <w:rsid w:val="25F31E31"/>
    <w:rsid w:val="25F70EE4"/>
    <w:rsid w:val="25FC0B75"/>
    <w:rsid w:val="260139F3"/>
    <w:rsid w:val="260556D5"/>
    <w:rsid w:val="26080DD9"/>
    <w:rsid w:val="26082798"/>
    <w:rsid w:val="26095114"/>
    <w:rsid w:val="260E454E"/>
    <w:rsid w:val="261464EE"/>
    <w:rsid w:val="26280E6C"/>
    <w:rsid w:val="262E05B0"/>
    <w:rsid w:val="26327A25"/>
    <w:rsid w:val="26372014"/>
    <w:rsid w:val="263E0859"/>
    <w:rsid w:val="263E1A96"/>
    <w:rsid w:val="26405937"/>
    <w:rsid w:val="26433FB7"/>
    <w:rsid w:val="26452DA3"/>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F17CAD"/>
    <w:rsid w:val="26F54808"/>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7D5F"/>
    <w:rsid w:val="279429E3"/>
    <w:rsid w:val="27966F4A"/>
    <w:rsid w:val="27A74D7A"/>
    <w:rsid w:val="27A91AD2"/>
    <w:rsid w:val="27AE6E2D"/>
    <w:rsid w:val="27AF57B8"/>
    <w:rsid w:val="27B25FFF"/>
    <w:rsid w:val="27BA12A7"/>
    <w:rsid w:val="27BA6BC4"/>
    <w:rsid w:val="27BC2EEA"/>
    <w:rsid w:val="27C93064"/>
    <w:rsid w:val="27C96B67"/>
    <w:rsid w:val="27CB38EC"/>
    <w:rsid w:val="27CB5FF9"/>
    <w:rsid w:val="27CC0A3D"/>
    <w:rsid w:val="27D34267"/>
    <w:rsid w:val="27D745E8"/>
    <w:rsid w:val="27E4169F"/>
    <w:rsid w:val="27E476BC"/>
    <w:rsid w:val="27EA3B97"/>
    <w:rsid w:val="27EF0430"/>
    <w:rsid w:val="27F32107"/>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712D8F"/>
    <w:rsid w:val="29736267"/>
    <w:rsid w:val="297B31D3"/>
    <w:rsid w:val="298103BD"/>
    <w:rsid w:val="298D4850"/>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307EBE"/>
    <w:rsid w:val="2A3E413F"/>
    <w:rsid w:val="2A430F4D"/>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056AF9"/>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B702A"/>
    <w:rsid w:val="2D107EBA"/>
    <w:rsid w:val="2D1B67A1"/>
    <w:rsid w:val="2D1F4BCA"/>
    <w:rsid w:val="2D221AAA"/>
    <w:rsid w:val="2D2651C9"/>
    <w:rsid w:val="2D476C62"/>
    <w:rsid w:val="2D504333"/>
    <w:rsid w:val="2D521264"/>
    <w:rsid w:val="2D567058"/>
    <w:rsid w:val="2D57290A"/>
    <w:rsid w:val="2D5D7FE8"/>
    <w:rsid w:val="2D5E7E01"/>
    <w:rsid w:val="2D6030A2"/>
    <w:rsid w:val="2D660EF9"/>
    <w:rsid w:val="2D6C2B47"/>
    <w:rsid w:val="2D820204"/>
    <w:rsid w:val="2D88024C"/>
    <w:rsid w:val="2D935488"/>
    <w:rsid w:val="2D960FB5"/>
    <w:rsid w:val="2D9B4423"/>
    <w:rsid w:val="2DAC2EF4"/>
    <w:rsid w:val="2DAD4BCD"/>
    <w:rsid w:val="2DB453FF"/>
    <w:rsid w:val="2DBE4237"/>
    <w:rsid w:val="2DCB10F0"/>
    <w:rsid w:val="2DCB38A1"/>
    <w:rsid w:val="2DD066E9"/>
    <w:rsid w:val="2DDC0ED4"/>
    <w:rsid w:val="2DE3054F"/>
    <w:rsid w:val="2DF036FB"/>
    <w:rsid w:val="2DF21CB3"/>
    <w:rsid w:val="2DFD78B4"/>
    <w:rsid w:val="2DFE083B"/>
    <w:rsid w:val="2E0708FF"/>
    <w:rsid w:val="2E11457C"/>
    <w:rsid w:val="2E1643B9"/>
    <w:rsid w:val="2E184C0F"/>
    <w:rsid w:val="2E1F18AD"/>
    <w:rsid w:val="2E28757C"/>
    <w:rsid w:val="2E2C723F"/>
    <w:rsid w:val="2E332EEF"/>
    <w:rsid w:val="2E3F6B8A"/>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7495E"/>
    <w:rsid w:val="2EC776BB"/>
    <w:rsid w:val="2ECA39AD"/>
    <w:rsid w:val="2ECC0C07"/>
    <w:rsid w:val="2ED03009"/>
    <w:rsid w:val="2EF224CD"/>
    <w:rsid w:val="2EF67D61"/>
    <w:rsid w:val="2EFA2F2B"/>
    <w:rsid w:val="2F2E23A6"/>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897AA1"/>
    <w:rsid w:val="2F8D4D67"/>
    <w:rsid w:val="2F8E2F8D"/>
    <w:rsid w:val="2F9051B8"/>
    <w:rsid w:val="2F910893"/>
    <w:rsid w:val="2F9A69D2"/>
    <w:rsid w:val="2F9C6646"/>
    <w:rsid w:val="2F9D4AA3"/>
    <w:rsid w:val="2F9F094E"/>
    <w:rsid w:val="2FB11323"/>
    <w:rsid w:val="2FBB6A2A"/>
    <w:rsid w:val="2FCB0952"/>
    <w:rsid w:val="2FD53529"/>
    <w:rsid w:val="2FD80709"/>
    <w:rsid w:val="2FDF2368"/>
    <w:rsid w:val="2FDF7CD4"/>
    <w:rsid w:val="2FEC08C6"/>
    <w:rsid w:val="2FF532B7"/>
    <w:rsid w:val="2FF674CB"/>
    <w:rsid w:val="2FF7251F"/>
    <w:rsid w:val="30007788"/>
    <w:rsid w:val="301977C7"/>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B2688"/>
    <w:rsid w:val="30A90B96"/>
    <w:rsid w:val="30A91070"/>
    <w:rsid w:val="30B86332"/>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21E9"/>
    <w:rsid w:val="315B5E62"/>
    <w:rsid w:val="31604DC0"/>
    <w:rsid w:val="31607973"/>
    <w:rsid w:val="3163108E"/>
    <w:rsid w:val="3167538F"/>
    <w:rsid w:val="317544CD"/>
    <w:rsid w:val="31765162"/>
    <w:rsid w:val="317A487D"/>
    <w:rsid w:val="31833BCE"/>
    <w:rsid w:val="318A1515"/>
    <w:rsid w:val="31944F6F"/>
    <w:rsid w:val="31963456"/>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71CC6"/>
    <w:rsid w:val="324F0134"/>
    <w:rsid w:val="32540593"/>
    <w:rsid w:val="32582CC3"/>
    <w:rsid w:val="327179A4"/>
    <w:rsid w:val="32775626"/>
    <w:rsid w:val="32835AB1"/>
    <w:rsid w:val="328A3A5F"/>
    <w:rsid w:val="328D7371"/>
    <w:rsid w:val="328E2231"/>
    <w:rsid w:val="329326B7"/>
    <w:rsid w:val="329426A2"/>
    <w:rsid w:val="329708DE"/>
    <w:rsid w:val="32AD1211"/>
    <w:rsid w:val="32E12F9A"/>
    <w:rsid w:val="32E87F66"/>
    <w:rsid w:val="32EC46FB"/>
    <w:rsid w:val="32FF12B8"/>
    <w:rsid w:val="330073AA"/>
    <w:rsid w:val="33020BF1"/>
    <w:rsid w:val="330710D7"/>
    <w:rsid w:val="33224534"/>
    <w:rsid w:val="332742E9"/>
    <w:rsid w:val="332A1AC1"/>
    <w:rsid w:val="332C71E1"/>
    <w:rsid w:val="332E1BC2"/>
    <w:rsid w:val="332F3B66"/>
    <w:rsid w:val="333B116B"/>
    <w:rsid w:val="33427ABB"/>
    <w:rsid w:val="33616D4E"/>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A0779"/>
    <w:rsid w:val="345B15DB"/>
    <w:rsid w:val="346B1ADA"/>
    <w:rsid w:val="346C4A94"/>
    <w:rsid w:val="346E7A5A"/>
    <w:rsid w:val="3477244E"/>
    <w:rsid w:val="34782617"/>
    <w:rsid w:val="347946FA"/>
    <w:rsid w:val="347A6171"/>
    <w:rsid w:val="348440EB"/>
    <w:rsid w:val="348D33D3"/>
    <w:rsid w:val="3496737A"/>
    <w:rsid w:val="34AC0653"/>
    <w:rsid w:val="34AC2DE9"/>
    <w:rsid w:val="34B24855"/>
    <w:rsid w:val="34B84D9B"/>
    <w:rsid w:val="34BE7103"/>
    <w:rsid w:val="34CE3369"/>
    <w:rsid w:val="34DC1C67"/>
    <w:rsid w:val="34E47162"/>
    <w:rsid w:val="34E664D6"/>
    <w:rsid w:val="34F64CDD"/>
    <w:rsid w:val="34FF095B"/>
    <w:rsid w:val="3500311A"/>
    <w:rsid w:val="350B76BF"/>
    <w:rsid w:val="350C5C16"/>
    <w:rsid w:val="351710F0"/>
    <w:rsid w:val="352E435E"/>
    <w:rsid w:val="3534069E"/>
    <w:rsid w:val="353807E2"/>
    <w:rsid w:val="353D45FA"/>
    <w:rsid w:val="353F0E06"/>
    <w:rsid w:val="35422CF2"/>
    <w:rsid w:val="35505013"/>
    <w:rsid w:val="356D51F7"/>
    <w:rsid w:val="357972DF"/>
    <w:rsid w:val="357D79D3"/>
    <w:rsid w:val="35804F9D"/>
    <w:rsid w:val="35843B49"/>
    <w:rsid w:val="35884385"/>
    <w:rsid w:val="35890016"/>
    <w:rsid w:val="358B0F26"/>
    <w:rsid w:val="35924A15"/>
    <w:rsid w:val="359753B1"/>
    <w:rsid w:val="35A25468"/>
    <w:rsid w:val="35AC56FE"/>
    <w:rsid w:val="35C3354B"/>
    <w:rsid w:val="35DF2011"/>
    <w:rsid w:val="35E1012B"/>
    <w:rsid w:val="35E1505C"/>
    <w:rsid w:val="35E328B8"/>
    <w:rsid w:val="35E3701E"/>
    <w:rsid w:val="35E420DE"/>
    <w:rsid w:val="35E607CD"/>
    <w:rsid w:val="35EC6F4A"/>
    <w:rsid w:val="35EE6A38"/>
    <w:rsid w:val="35F5734F"/>
    <w:rsid w:val="35F65884"/>
    <w:rsid w:val="35F715DC"/>
    <w:rsid w:val="36057267"/>
    <w:rsid w:val="362131A7"/>
    <w:rsid w:val="362E1546"/>
    <w:rsid w:val="36330CA5"/>
    <w:rsid w:val="364236D7"/>
    <w:rsid w:val="3654563C"/>
    <w:rsid w:val="365763B3"/>
    <w:rsid w:val="367C0A7E"/>
    <w:rsid w:val="36856B5A"/>
    <w:rsid w:val="36883C27"/>
    <w:rsid w:val="36950061"/>
    <w:rsid w:val="36A32443"/>
    <w:rsid w:val="36A61ADA"/>
    <w:rsid w:val="36AC504E"/>
    <w:rsid w:val="36B45F51"/>
    <w:rsid w:val="36B7013F"/>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737FCD"/>
    <w:rsid w:val="37831AFE"/>
    <w:rsid w:val="37855CA5"/>
    <w:rsid w:val="379747E4"/>
    <w:rsid w:val="37A10A3C"/>
    <w:rsid w:val="37A32862"/>
    <w:rsid w:val="37A771F1"/>
    <w:rsid w:val="37AA1FED"/>
    <w:rsid w:val="37B033F0"/>
    <w:rsid w:val="37B25951"/>
    <w:rsid w:val="37B82D37"/>
    <w:rsid w:val="37BB1880"/>
    <w:rsid w:val="37BF7DD8"/>
    <w:rsid w:val="37CF39F4"/>
    <w:rsid w:val="37DF4E44"/>
    <w:rsid w:val="38093CF4"/>
    <w:rsid w:val="38132FDB"/>
    <w:rsid w:val="381523AC"/>
    <w:rsid w:val="3816611D"/>
    <w:rsid w:val="381D6FCC"/>
    <w:rsid w:val="382563C3"/>
    <w:rsid w:val="382B10C6"/>
    <w:rsid w:val="384502C9"/>
    <w:rsid w:val="384757BF"/>
    <w:rsid w:val="384A568A"/>
    <w:rsid w:val="384D7A6B"/>
    <w:rsid w:val="38527F5E"/>
    <w:rsid w:val="38576EB1"/>
    <w:rsid w:val="385B78DA"/>
    <w:rsid w:val="386B3647"/>
    <w:rsid w:val="386F64C6"/>
    <w:rsid w:val="38755246"/>
    <w:rsid w:val="38850F2D"/>
    <w:rsid w:val="388F47CD"/>
    <w:rsid w:val="3891497A"/>
    <w:rsid w:val="38934709"/>
    <w:rsid w:val="3899545E"/>
    <w:rsid w:val="389B63CB"/>
    <w:rsid w:val="389D36E7"/>
    <w:rsid w:val="38AD0AAC"/>
    <w:rsid w:val="38AF121A"/>
    <w:rsid w:val="38B10DA8"/>
    <w:rsid w:val="38B976FB"/>
    <w:rsid w:val="38BB5EDA"/>
    <w:rsid w:val="38C6779A"/>
    <w:rsid w:val="38DC2A26"/>
    <w:rsid w:val="38DC5040"/>
    <w:rsid w:val="38EA0958"/>
    <w:rsid w:val="38EA292A"/>
    <w:rsid w:val="38EB3140"/>
    <w:rsid w:val="38F71493"/>
    <w:rsid w:val="38FC7F68"/>
    <w:rsid w:val="390150BD"/>
    <w:rsid w:val="39015BC8"/>
    <w:rsid w:val="39132EBE"/>
    <w:rsid w:val="3923223F"/>
    <w:rsid w:val="393F3649"/>
    <w:rsid w:val="39434B25"/>
    <w:rsid w:val="39442CC4"/>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A03384A"/>
    <w:rsid w:val="3A066160"/>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97F71"/>
    <w:rsid w:val="3A6A4AC7"/>
    <w:rsid w:val="3A6E26C3"/>
    <w:rsid w:val="3A6F0BDF"/>
    <w:rsid w:val="3A72622B"/>
    <w:rsid w:val="3A75769F"/>
    <w:rsid w:val="3A861E9F"/>
    <w:rsid w:val="3A897BA1"/>
    <w:rsid w:val="3A9038DA"/>
    <w:rsid w:val="3A936647"/>
    <w:rsid w:val="3A9E4B32"/>
    <w:rsid w:val="3A9F1B2C"/>
    <w:rsid w:val="3AA04C49"/>
    <w:rsid w:val="3AA54470"/>
    <w:rsid w:val="3AA913CF"/>
    <w:rsid w:val="3AC036CC"/>
    <w:rsid w:val="3AC205A6"/>
    <w:rsid w:val="3AC257A4"/>
    <w:rsid w:val="3AC334CD"/>
    <w:rsid w:val="3AD16134"/>
    <w:rsid w:val="3AD17EBD"/>
    <w:rsid w:val="3AEA3CFC"/>
    <w:rsid w:val="3AF044A5"/>
    <w:rsid w:val="3AFC4CC9"/>
    <w:rsid w:val="3B00301D"/>
    <w:rsid w:val="3B1752EE"/>
    <w:rsid w:val="3B1C35AC"/>
    <w:rsid w:val="3B22468C"/>
    <w:rsid w:val="3B3155AA"/>
    <w:rsid w:val="3B3E0B10"/>
    <w:rsid w:val="3B4F1508"/>
    <w:rsid w:val="3B580D61"/>
    <w:rsid w:val="3B696BF9"/>
    <w:rsid w:val="3B6F0DCA"/>
    <w:rsid w:val="3B7B2B0A"/>
    <w:rsid w:val="3B7C7B97"/>
    <w:rsid w:val="3B8372AE"/>
    <w:rsid w:val="3B914065"/>
    <w:rsid w:val="3B9F483C"/>
    <w:rsid w:val="3BB249F7"/>
    <w:rsid w:val="3BBE3122"/>
    <w:rsid w:val="3BC20515"/>
    <w:rsid w:val="3BC53C74"/>
    <w:rsid w:val="3BC62C0D"/>
    <w:rsid w:val="3BC772AB"/>
    <w:rsid w:val="3BC812C8"/>
    <w:rsid w:val="3BD741DE"/>
    <w:rsid w:val="3BE7491F"/>
    <w:rsid w:val="3BE82033"/>
    <w:rsid w:val="3BEF3F98"/>
    <w:rsid w:val="3BF01125"/>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3669"/>
    <w:rsid w:val="3C7D3E58"/>
    <w:rsid w:val="3C882BD0"/>
    <w:rsid w:val="3C94545E"/>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20393D"/>
    <w:rsid w:val="3E264903"/>
    <w:rsid w:val="3E2806A1"/>
    <w:rsid w:val="3E2E35CB"/>
    <w:rsid w:val="3E31025E"/>
    <w:rsid w:val="3E342DA3"/>
    <w:rsid w:val="3E471ABE"/>
    <w:rsid w:val="3E4755F9"/>
    <w:rsid w:val="3E492A39"/>
    <w:rsid w:val="3E556354"/>
    <w:rsid w:val="3E6336EF"/>
    <w:rsid w:val="3E660D1B"/>
    <w:rsid w:val="3E6E2E9E"/>
    <w:rsid w:val="3E8222F7"/>
    <w:rsid w:val="3E8258B1"/>
    <w:rsid w:val="3E8821CE"/>
    <w:rsid w:val="3E92738B"/>
    <w:rsid w:val="3E99456A"/>
    <w:rsid w:val="3EAD3D57"/>
    <w:rsid w:val="3EAF02B7"/>
    <w:rsid w:val="3EB1188E"/>
    <w:rsid w:val="3EBD63D7"/>
    <w:rsid w:val="3EC07733"/>
    <w:rsid w:val="3EC334A7"/>
    <w:rsid w:val="3EC678BC"/>
    <w:rsid w:val="3EE067CA"/>
    <w:rsid w:val="3EEF26AB"/>
    <w:rsid w:val="3EF21C38"/>
    <w:rsid w:val="3EF57D05"/>
    <w:rsid w:val="3EF96B38"/>
    <w:rsid w:val="3F002CCF"/>
    <w:rsid w:val="3F0566FF"/>
    <w:rsid w:val="3F0605BE"/>
    <w:rsid w:val="3F06365D"/>
    <w:rsid w:val="3F0A3CA5"/>
    <w:rsid w:val="3F0B1DB8"/>
    <w:rsid w:val="3F0E6EA3"/>
    <w:rsid w:val="3F122278"/>
    <w:rsid w:val="3F155D82"/>
    <w:rsid w:val="3F261DEC"/>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A10F73"/>
    <w:rsid w:val="3FA51002"/>
    <w:rsid w:val="3FB1448E"/>
    <w:rsid w:val="3FB33F0F"/>
    <w:rsid w:val="3FB56B87"/>
    <w:rsid w:val="3FB827B0"/>
    <w:rsid w:val="3FB9798A"/>
    <w:rsid w:val="3FBC4DF5"/>
    <w:rsid w:val="3FBE226E"/>
    <w:rsid w:val="3FC74EA5"/>
    <w:rsid w:val="3FC80A13"/>
    <w:rsid w:val="3FC924C5"/>
    <w:rsid w:val="3FD001E0"/>
    <w:rsid w:val="3FDD5AA3"/>
    <w:rsid w:val="3FDD60EB"/>
    <w:rsid w:val="3FE1611D"/>
    <w:rsid w:val="3FE9762E"/>
    <w:rsid w:val="3FEB7EF7"/>
    <w:rsid w:val="3FF0534A"/>
    <w:rsid w:val="3FFC6AA1"/>
    <w:rsid w:val="3FFE725C"/>
    <w:rsid w:val="400D4689"/>
    <w:rsid w:val="40171E63"/>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B1B3B"/>
    <w:rsid w:val="40C87F0D"/>
    <w:rsid w:val="40E13187"/>
    <w:rsid w:val="40E4111E"/>
    <w:rsid w:val="40F71EFC"/>
    <w:rsid w:val="40FA7D3C"/>
    <w:rsid w:val="40FC6040"/>
    <w:rsid w:val="41013098"/>
    <w:rsid w:val="410A66D3"/>
    <w:rsid w:val="411252F5"/>
    <w:rsid w:val="41216561"/>
    <w:rsid w:val="4126157E"/>
    <w:rsid w:val="412E1703"/>
    <w:rsid w:val="41341D04"/>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53494B"/>
    <w:rsid w:val="42563DD4"/>
    <w:rsid w:val="425F0874"/>
    <w:rsid w:val="42605991"/>
    <w:rsid w:val="42624CEC"/>
    <w:rsid w:val="426B2083"/>
    <w:rsid w:val="42745271"/>
    <w:rsid w:val="42746AFF"/>
    <w:rsid w:val="427A2426"/>
    <w:rsid w:val="428622E0"/>
    <w:rsid w:val="428740C5"/>
    <w:rsid w:val="42A72E3E"/>
    <w:rsid w:val="42A9771E"/>
    <w:rsid w:val="42AF06BF"/>
    <w:rsid w:val="42AF744D"/>
    <w:rsid w:val="42B97DE2"/>
    <w:rsid w:val="42BE1411"/>
    <w:rsid w:val="42BF0482"/>
    <w:rsid w:val="42C3638C"/>
    <w:rsid w:val="42CC1C77"/>
    <w:rsid w:val="42CE7CBC"/>
    <w:rsid w:val="42E67A2D"/>
    <w:rsid w:val="42EF6EDD"/>
    <w:rsid w:val="42F63370"/>
    <w:rsid w:val="4303189E"/>
    <w:rsid w:val="43043B4B"/>
    <w:rsid w:val="430C0701"/>
    <w:rsid w:val="431D662D"/>
    <w:rsid w:val="431D7413"/>
    <w:rsid w:val="43230977"/>
    <w:rsid w:val="43260906"/>
    <w:rsid w:val="4329778C"/>
    <w:rsid w:val="432A433E"/>
    <w:rsid w:val="433451E7"/>
    <w:rsid w:val="433454E3"/>
    <w:rsid w:val="43380FA2"/>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51B86"/>
    <w:rsid w:val="43D5596E"/>
    <w:rsid w:val="43D946DF"/>
    <w:rsid w:val="43E63A35"/>
    <w:rsid w:val="43EA4AD8"/>
    <w:rsid w:val="43EA731F"/>
    <w:rsid w:val="43EF4362"/>
    <w:rsid w:val="43F5608C"/>
    <w:rsid w:val="43FA20D7"/>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B2020"/>
    <w:rsid w:val="450005C9"/>
    <w:rsid w:val="450E225C"/>
    <w:rsid w:val="450E5F3E"/>
    <w:rsid w:val="451C3C3F"/>
    <w:rsid w:val="45202195"/>
    <w:rsid w:val="45282E33"/>
    <w:rsid w:val="45361C96"/>
    <w:rsid w:val="45367180"/>
    <w:rsid w:val="453936A0"/>
    <w:rsid w:val="4555071F"/>
    <w:rsid w:val="455B027F"/>
    <w:rsid w:val="45634F36"/>
    <w:rsid w:val="456433C3"/>
    <w:rsid w:val="4566286A"/>
    <w:rsid w:val="456653F0"/>
    <w:rsid w:val="456745BB"/>
    <w:rsid w:val="45677DA7"/>
    <w:rsid w:val="45743F66"/>
    <w:rsid w:val="45761FD8"/>
    <w:rsid w:val="457B0C49"/>
    <w:rsid w:val="45864B77"/>
    <w:rsid w:val="458A06CD"/>
    <w:rsid w:val="458D3A63"/>
    <w:rsid w:val="4597177B"/>
    <w:rsid w:val="45A85821"/>
    <w:rsid w:val="45AA0EA4"/>
    <w:rsid w:val="45AC57A6"/>
    <w:rsid w:val="45AF03CF"/>
    <w:rsid w:val="45B23BD8"/>
    <w:rsid w:val="45B52BBB"/>
    <w:rsid w:val="45C3178B"/>
    <w:rsid w:val="45C81474"/>
    <w:rsid w:val="45C85D55"/>
    <w:rsid w:val="45C91BC6"/>
    <w:rsid w:val="45CD1312"/>
    <w:rsid w:val="45CE3F02"/>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304A60"/>
    <w:rsid w:val="47321070"/>
    <w:rsid w:val="47383706"/>
    <w:rsid w:val="473F3443"/>
    <w:rsid w:val="47442FEA"/>
    <w:rsid w:val="47476898"/>
    <w:rsid w:val="474825BA"/>
    <w:rsid w:val="47524966"/>
    <w:rsid w:val="4764753D"/>
    <w:rsid w:val="47663624"/>
    <w:rsid w:val="4779594B"/>
    <w:rsid w:val="477E3FE9"/>
    <w:rsid w:val="478E58BD"/>
    <w:rsid w:val="47997ECC"/>
    <w:rsid w:val="47A938A8"/>
    <w:rsid w:val="47AD2393"/>
    <w:rsid w:val="47AF4DB4"/>
    <w:rsid w:val="47C05960"/>
    <w:rsid w:val="47CA211A"/>
    <w:rsid w:val="47CE6AD8"/>
    <w:rsid w:val="47D00B76"/>
    <w:rsid w:val="47D266F4"/>
    <w:rsid w:val="47EB3A88"/>
    <w:rsid w:val="47ED09EA"/>
    <w:rsid w:val="47F03825"/>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86149A"/>
    <w:rsid w:val="48870995"/>
    <w:rsid w:val="488933F6"/>
    <w:rsid w:val="488F18B7"/>
    <w:rsid w:val="489C5A7F"/>
    <w:rsid w:val="489C5B95"/>
    <w:rsid w:val="489F248C"/>
    <w:rsid w:val="48A53F58"/>
    <w:rsid w:val="48AA10E1"/>
    <w:rsid w:val="48AF1323"/>
    <w:rsid w:val="48B2080D"/>
    <w:rsid w:val="48B5518F"/>
    <w:rsid w:val="48BE6136"/>
    <w:rsid w:val="48C17060"/>
    <w:rsid w:val="48D22DB3"/>
    <w:rsid w:val="48D93445"/>
    <w:rsid w:val="48DA1D9C"/>
    <w:rsid w:val="48DC218D"/>
    <w:rsid w:val="48E915DE"/>
    <w:rsid w:val="48EB611E"/>
    <w:rsid w:val="48F7177C"/>
    <w:rsid w:val="490008E6"/>
    <w:rsid w:val="490425AB"/>
    <w:rsid w:val="49076238"/>
    <w:rsid w:val="49104838"/>
    <w:rsid w:val="49250443"/>
    <w:rsid w:val="49267368"/>
    <w:rsid w:val="49276313"/>
    <w:rsid w:val="492F1B04"/>
    <w:rsid w:val="4930158D"/>
    <w:rsid w:val="493166F2"/>
    <w:rsid w:val="4943084D"/>
    <w:rsid w:val="495B2F5A"/>
    <w:rsid w:val="49660B64"/>
    <w:rsid w:val="496E056A"/>
    <w:rsid w:val="497930F9"/>
    <w:rsid w:val="497E5F0E"/>
    <w:rsid w:val="49895BF9"/>
    <w:rsid w:val="49896889"/>
    <w:rsid w:val="498B006E"/>
    <w:rsid w:val="499C126E"/>
    <w:rsid w:val="49A20032"/>
    <w:rsid w:val="49A82756"/>
    <w:rsid w:val="49A86BF4"/>
    <w:rsid w:val="49A902DE"/>
    <w:rsid w:val="49A961CD"/>
    <w:rsid w:val="49B337E8"/>
    <w:rsid w:val="49B57903"/>
    <w:rsid w:val="49BB0B72"/>
    <w:rsid w:val="49F44446"/>
    <w:rsid w:val="49FA00AE"/>
    <w:rsid w:val="4A037F7B"/>
    <w:rsid w:val="4A0C3345"/>
    <w:rsid w:val="4A12511A"/>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F15169"/>
    <w:rsid w:val="4AF33411"/>
    <w:rsid w:val="4AFC4739"/>
    <w:rsid w:val="4AFF7966"/>
    <w:rsid w:val="4B0F4D9F"/>
    <w:rsid w:val="4B2B654D"/>
    <w:rsid w:val="4B2D2A9B"/>
    <w:rsid w:val="4B331125"/>
    <w:rsid w:val="4B3405F9"/>
    <w:rsid w:val="4B473804"/>
    <w:rsid w:val="4B5151AA"/>
    <w:rsid w:val="4B537CBF"/>
    <w:rsid w:val="4B550153"/>
    <w:rsid w:val="4B641191"/>
    <w:rsid w:val="4B694B3A"/>
    <w:rsid w:val="4B76529F"/>
    <w:rsid w:val="4B7A237E"/>
    <w:rsid w:val="4B815FB3"/>
    <w:rsid w:val="4B86443F"/>
    <w:rsid w:val="4B9A0C4D"/>
    <w:rsid w:val="4B9B3B70"/>
    <w:rsid w:val="4B9E7936"/>
    <w:rsid w:val="4BB7667A"/>
    <w:rsid w:val="4BBA25CD"/>
    <w:rsid w:val="4BBB242F"/>
    <w:rsid w:val="4BC15B7C"/>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C299D"/>
    <w:rsid w:val="4C322608"/>
    <w:rsid w:val="4C3238CA"/>
    <w:rsid w:val="4C343A7F"/>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EA4F4D"/>
    <w:rsid w:val="4CEC58DB"/>
    <w:rsid w:val="4CEF637A"/>
    <w:rsid w:val="4CF00FB6"/>
    <w:rsid w:val="4CF16277"/>
    <w:rsid w:val="4CF4672D"/>
    <w:rsid w:val="4CFA2AAF"/>
    <w:rsid w:val="4D035A68"/>
    <w:rsid w:val="4D0F26CE"/>
    <w:rsid w:val="4D147026"/>
    <w:rsid w:val="4D1478EC"/>
    <w:rsid w:val="4D165C91"/>
    <w:rsid w:val="4D235945"/>
    <w:rsid w:val="4D255F0E"/>
    <w:rsid w:val="4D2F06BA"/>
    <w:rsid w:val="4D304130"/>
    <w:rsid w:val="4D386B0D"/>
    <w:rsid w:val="4D4330D3"/>
    <w:rsid w:val="4D4B7DCE"/>
    <w:rsid w:val="4D545407"/>
    <w:rsid w:val="4D694F30"/>
    <w:rsid w:val="4D717BA1"/>
    <w:rsid w:val="4D7F56C3"/>
    <w:rsid w:val="4D855FB9"/>
    <w:rsid w:val="4D8A0B26"/>
    <w:rsid w:val="4D904FEE"/>
    <w:rsid w:val="4D910D8A"/>
    <w:rsid w:val="4D97309D"/>
    <w:rsid w:val="4D9E090F"/>
    <w:rsid w:val="4DAC6E91"/>
    <w:rsid w:val="4DB63BC4"/>
    <w:rsid w:val="4DB7591C"/>
    <w:rsid w:val="4DBB2984"/>
    <w:rsid w:val="4DCC46DA"/>
    <w:rsid w:val="4DDD5EB7"/>
    <w:rsid w:val="4DDE45A5"/>
    <w:rsid w:val="4DE5023D"/>
    <w:rsid w:val="4DEB419D"/>
    <w:rsid w:val="4DF267CF"/>
    <w:rsid w:val="4DF6484E"/>
    <w:rsid w:val="4E043A0E"/>
    <w:rsid w:val="4E0B5D31"/>
    <w:rsid w:val="4E125681"/>
    <w:rsid w:val="4E1339D8"/>
    <w:rsid w:val="4E145C86"/>
    <w:rsid w:val="4E187CF8"/>
    <w:rsid w:val="4E1A5C2E"/>
    <w:rsid w:val="4E2B3781"/>
    <w:rsid w:val="4E337E4B"/>
    <w:rsid w:val="4E365771"/>
    <w:rsid w:val="4E3C5DC0"/>
    <w:rsid w:val="4E446F8B"/>
    <w:rsid w:val="4E4D4DE2"/>
    <w:rsid w:val="4E5669BF"/>
    <w:rsid w:val="4E651EA6"/>
    <w:rsid w:val="4E6757B0"/>
    <w:rsid w:val="4E6C4048"/>
    <w:rsid w:val="4E783D17"/>
    <w:rsid w:val="4E805C19"/>
    <w:rsid w:val="4E836C4E"/>
    <w:rsid w:val="4E865BCD"/>
    <w:rsid w:val="4E957162"/>
    <w:rsid w:val="4E9E60B6"/>
    <w:rsid w:val="4EA27ACB"/>
    <w:rsid w:val="4EB379F2"/>
    <w:rsid w:val="4EBC3167"/>
    <w:rsid w:val="4EBC6632"/>
    <w:rsid w:val="4EBD4562"/>
    <w:rsid w:val="4EBD5620"/>
    <w:rsid w:val="4EBE0F4C"/>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7041A7"/>
    <w:rsid w:val="4F7349ED"/>
    <w:rsid w:val="4F7C7D62"/>
    <w:rsid w:val="4F88390E"/>
    <w:rsid w:val="4F8865D2"/>
    <w:rsid w:val="4F9A400D"/>
    <w:rsid w:val="4FA11827"/>
    <w:rsid w:val="4FA57761"/>
    <w:rsid w:val="4FAB07C1"/>
    <w:rsid w:val="4FC12B67"/>
    <w:rsid w:val="4FD409F7"/>
    <w:rsid w:val="4FD41054"/>
    <w:rsid w:val="4FD66F8D"/>
    <w:rsid w:val="4FDB5605"/>
    <w:rsid w:val="4FDF7D08"/>
    <w:rsid w:val="4FE45662"/>
    <w:rsid w:val="4FE66728"/>
    <w:rsid w:val="4FF81090"/>
    <w:rsid w:val="4FFA1BE3"/>
    <w:rsid w:val="50033BDE"/>
    <w:rsid w:val="50036BC4"/>
    <w:rsid w:val="500B0DCA"/>
    <w:rsid w:val="500C2A95"/>
    <w:rsid w:val="50133F8A"/>
    <w:rsid w:val="50140C07"/>
    <w:rsid w:val="50176E6F"/>
    <w:rsid w:val="50200664"/>
    <w:rsid w:val="50312196"/>
    <w:rsid w:val="50417E32"/>
    <w:rsid w:val="504768E3"/>
    <w:rsid w:val="504F0FB9"/>
    <w:rsid w:val="504F769B"/>
    <w:rsid w:val="50537FDD"/>
    <w:rsid w:val="50622728"/>
    <w:rsid w:val="507554C6"/>
    <w:rsid w:val="507D0063"/>
    <w:rsid w:val="508F1D63"/>
    <w:rsid w:val="508F6AC4"/>
    <w:rsid w:val="509A55F2"/>
    <w:rsid w:val="50A36924"/>
    <w:rsid w:val="50A732FC"/>
    <w:rsid w:val="50AA341E"/>
    <w:rsid w:val="50AB4E2F"/>
    <w:rsid w:val="50AC2418"/>
    <w:rsid w:val="50B421A0"/>
    <w:rsid w:val="50B70FED"/>
    <w:rsid w:val="50BA643F"/>
    <w:rsid w:val="50DA2205"/>
    <w:rsid w:val="50E57F59"/>
    <w:rsid w:val="50EA61D3"/>
    <w:rsid w:val="50FC41E2"/>
    <w:rsid w:val="510319B4"/>
    <w:rsid w:val="510A4E7D"/>
    <w:rsid w:val="51187091"/>
    <w:rsid w:val="51205217"/>
    <w:rsid w:val="51217565"/>
    <w:rsid w:val="512D5787"/>
    <w:rsid w:val="51382F84"/>
    <w:rsid w:val="513B4CBD"/>
    <w:rsid w:val="513F2A79"/>
    <w:rsid w:val="514E5DF0"/>
    <w:rsid w:val="51505C49"/>
    <w:rsid w:val="515F5E7D"/>
    <w:rsid w:val="51621B03"/>
    <w:rsid w:val="51677ABF"/>
    <w:rsid w:val="51736010"/>
    <w:rsid w:val="517F4109"/>
    <w:rsid w:val="518140E8"/>
    <w:rsid w:val="518961AE"/>
    <w:rsid w:val="518B0D8B"/>
    <w:rsid w:val="51905BB3"/>
    <w:rsid w:val="519E4C2D"/>
    <w:rsid w:val="51A15787"/>
    <w:rsid w:val="51A23180"/>
    <w:rsid w:val="51A44533"/>
    <w:rsid w:val="51B12C2B"/>
    <w:rsid w:val="51B625E5"/>
    <w:rsid w:val="51BB3190"/>
    <w:rsid w:val="51C31AB3"/>
    <w:rsid w:val="51C50057"/>
    <w:rsid w:val="51CA6470"/>
    <w:rsid w:val="51CF3752"/>
    <w:rsid w:val="51D221A2"/>
    <w:rsid w:val="51DC7D4F"/>
    <w:rsid w:val="51E372D3"/>
    <w:rsid w:val="51E952C3"/>
    <w:rsid w:val="51F763C2"/>
    <w:rsid w:val="52082F0E"/>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3035F10"/>
    <w:rsid w:val="530445BC"/>
    <w:rsid w:val="53073E74"/>
    <w:rsid w:val="53184746"/>
    <w:rsid w:val="531972CB"/>
    <w:rsid w:val="53227F73"/>
    <w:rsid w:val="532342A1"/>
    <w:rsid w:val="532E4AC7"/>
    <w:rsid w:val="533E55DF"/>
    <w:rsid w:val="5360600D"/>
    <w:rsid w:val="53703765"/>
    <w:rsid w:val="5376095E"/>
    <w:rsid w:val="537A04E8"/>
    <w:rsid w:val="537D7719"/>
    <w:rsid w:val="53874180"/>
    <w:rsid w:val="53991F46"/>
    <w:rsid w:val="53A430C7"/>
    <w:rsid w:val="53B71A0D"/>
    <w:rsid w:val="53BA49C0"/>
    <w:rsid w:val="53BF11FF"/>
    <w:rsid w:val="53C2398F"/>
    <w:rsid w:val="53C92C10"/>
    <w:rsid w:val="53CF606A"/>
    <w:rsid w:val="53D111B0"/>
    <w:rsid w:val="53D73576"/>
    <w:rsid w:val="53E22364"/>
    <w:rsid w:val="53E35749"/>
    <w:rsid w:val="53EB4289"/>
    <w:rsid w:val="53F67F24"/>
    <w:rsid w:val="53FE5A9E"/>
    <w:rsid w:val="541C5A78"/>
    <w:rsid w:val="54257FE2"/>
    <w:rsid w:val="5428581F"/>
    <w:rsid w:val="542B47E5"/>
    <w:rsid w:val="54451C08"/>
    <w:rsid w:val="5450152B"/>
    <w:rsid w:val="545412A1"/>
    <w:rsid w:val="54591BCD"/>
    <w:rsid w:val="546936FE"/>
    <w:rsid w:val="546A602B"/>
    <w:rsid w:val="547034CA"/>
    <w:rsid w:val="547801F9"/>
    <w:rsid w:val="54877824"/>
    <w:rsid w:val="54967702"/>
    <w:rsid w:val="549B60CA"/>
    <w:rsid w:val="54A746D1"/>
    <w:rsid w:val="54B14984"/>
    <w:rsid w:val="54B34E33"/>
    <w:rsid w:val="54C257FC"/>
    <w:rsid w:val="54C51C65"/>
    <w:rsid w:val="54C766D3"/>
    <w:rsid w:val="54E32310"/>
    <w:rsid w:val="54E35B83"/>
    <w:rsid w:val="54E5570D"/>
    <w:rsid w:val="54E656A9"/>
    <w:rsid w:val="54E85406"/>
    <w:rsid w:val="54EE4DEC"/>
    <w:rsid w:val="54F93AE7"/>
    <w:rsid w:val="54F97DEB"/>
    <w:rsid w:val="55012EF3"/>
    <w:rsid w:val="55022588"/>
    <w:rsid w:val="550D4E7F"/>
    <w:rsid w:val="551B3ADB"/>
    <w:rsid w:val="55252910"/>
    <w:rsid w:val="552677BE"/>
    <w:rsid w:val="55313992"/>
    <w:rsid w:val="553772EA"/>
    <w:rsid w:val="553A6D2E"/>
    <w:rsid w:val="5546635B"/>
    <w:rsid w:val="55507B46"/>
    <w:rsid w:val="55534568"/>
    <w:rsid w:val="555A0EDC"/>
    <w:rsid w:val="55677E49"/>
    <w:rsid w:val="55692EAC"/>
    <w:rsid w:val="55714147"/>
    <w:rsid w:val="557C5B0B"/>
    <w:rsid w:val="55861EC8"/>
    <w:rsid w:val="5588140B"/>
    <w:rsid w:val="55891D85"/>
    <w:rsid w:val="55A57957"/>
    <w:rsid w:val="55AA469C"/>
    <w:rsid w:val="55BC12E8"/>
    <w:rsid w:val="55BD3120"/>
    <w:rsid w:val="55BF56EA"/>
    <w:rsid w:val="55C103AC"/>
    <w:rsid w:val="55C423B5"/>
    <w:rsid w:val="55C6074D"/>
    <w:rsid w:val="55C86079"/>
    <w:rsid w:val="55EE6E58"/>
    <w:rsid w:val="55F2238E"/>
    <w:rsid w:val="55F24132"/>
    <w:rsid w:val="55FB05FF"/>
    <w:rsid w:val="55FC794D"/>
    <w:rsid w:val="56012A7B"/>
    <w:rsid w:val="56172C84"/>
    <w:rsid w:val="562219AC"/>
    <w:rsid w:val="562B59B0"/>
    <w:rsid w:val="56387876"/>
    <w:rsid w:val="56391384"/>
    <w:rsid w:val="565907FF"/>
    <w:rsid w:val="565D6940"/>
    <w:rsid w:val="566101A8"/>
    <w:rsid w:val="56666AC5"/>
    <w:rsid w:val="56701442"/>
    <w:rsid w:val="56793306"/>
    <w:rsid w:val="56797C74"/>
    <w:rsid w:val="568116C5"/>
    <w:rsid w:val="568F0B4D"/>
    <w:rsid w:val="5691640E"/>
    <w:rsid w:val="56927F4A"/>
    <w:rsid w:val="569C03A7"/>
    <w:rsid w:val="56A304C3"/>
    <w:rsid w:val="56B44FF7"/>
    <w:rsid w:val="56B76AF7"/>
    <w:rsid w:val="56BA0EDB"/>
    <w:rsid w:val="56BA5BFC"/>
    <w:rsid w:val="56D60D34"/>
    <w:rsid w:val="56DA1A1C"/>
    <w:rsid w:val="56E90EF6"/>
    <w:rsid w:val="56F50794"/>
    <w:rsid w:val="56F82259"/>
    <w:rsid w:val="56FC12BF"/>
    <w:rsid w:val="570426CC"/>
    <w:rsid w:val="57103E85"/>
    <w:rsid w:val="571E4103"/>
    <w:rsid w:val="5724356E"/>
    <w:rsid w:val="573B396A"/>
    <w:rsid w:val="576019A8"/>
    <w:rsid w:val="576E1A2E"/>
    <w:rsid w:val="576F00D0"/>
    <w:rsid w:val="57780B15"/>
    <w:rsid w:val="577C7921"/>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F75230"/>
    <w:rsid w:val="57FA5E75"/>
    <w:rsid w:val="58000E35"/>
    <w:rsid w:val="58222E9F"/>
    <w:rsid w:val="582D3231"/>
    <w:rsid w:val="58316A55"/>
    <w:rsid w:val="583F3207"/>
    <w:rsid w:val="58452DB9"/>
    <w:rsid w:val="5846017C"/>
    <w:rsid w:val="58484E27"/>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D1D42"/>
    <w:rsid w:val="58C04526"/>
    <w:rsid w:val="58C15643"/>
    <w:rsid w:val="58DE296B"/>
    <w:rsid w:val="58E05B85"/>
    <w:rsid w:val="58F141D6"/>
    <w:rsid w:val="58F9654F"/>
    <w:rsid w:val="58F979E8"/>
    <w:rsid w:val="58FB6C25"/>
    <w:rsid w:val="58FE08ED"/>
    <w:rsid w:val="59061DAE"/>
    <w:rsid w:val="5914669F"/>
    <w:rsid w:val="591557DB"/>
    <w:rsid w:val="591A5C30"/>
    <w:rsid w:val="591C4B79"/>
    <w:rsid w:val="59371CA9"/>
    <w:rsid w:val="593C5853"/>
    <w:rsid w:val="593E005D"/>
    <w:rsid w:val="5940158A"/>
    <w:rsid w:val="594606CC"/>
    <w:rsid w:val="594B6D49"/>
    <w:rsid w:val="59697600"/>
    <w:rsid w:val="596C25D4"/>
    <w:rsid w:val="597028E6"/>
    <w:rsid w:val="597D38D7"/>
    <w:rsid w:val="59935094"/>
    <w:rsid w:val="5995496F"/>
    <w:rsid w:val="59A62A34"/>
    <w:rsid w:val="59AB1748"/>
    <w:rsid w:val="59B159CB"/>
    <w:rsid w:val="59B51848"/>
    <w:rsid w:val="59BC67AC"/>
    <w:rsid w:val="59C03938"/>
    <w:rsid w:val="59C811F1"/>
    <w:rsid w:val="59C83D69"/>
    <w:rsid w:val="59CB01B4"/>
    <w:rsid w:val="59CF1C3E"/>
    <w:rsid w:val="59D87B36"/>
    <w:rsid w:val="59E57113"/>
    <w:rsid w:val="59E91981"/>
    <w:rsid w:val="59F22823"/>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B3B8F"/>
    <w:rsid w:val="5A9E6004"/>
    <w:rsid w:val="5AAB402B"/>
    <w:rsid w:val="5AAF46FD"/>
    <w:rsid w:val="5AB36954"/>
    <w:rsid w:val="5ABE401A"/>
    <w:rsid w:val="5AC526EE"/>
    <w:rsid w:val="5AD45224"/>
    <w:rsid w:val="5ADC6365"/>
    <w:rsid w:val="5B0A16D4"/>
    <w:rsid w:val="5B0B0FE2"/>
    <w:rsid w:val="5B1029A0"/>
    <w:rsid w:val="5B18258F"/>
    <w:rsid w:val="5B28216A"/>
    <w:rsid w:val="5B2B1ACA"/>
    <w:rsid w:val="5B33397C"/>
    <w:rsid w:val="5B35552C"/>
    <w:rsid w:val="5B356E68"/>
    <w:rsid w:val="5B3A4E8A"/>
    <w:rsid w:val="5B43203B"/>
    <w:rsid w:val="5B4E4DA1"/>
    <w:rsid w:val="5B5335BE"/>
    <w:rsid w:val="5B613886"/>
    <w:rsid w:val="5B6A6045"/>
    <w:rsid w:val="5B6C39BD"/>
    <w:rsid w:val="5B7B1E82"/>
    <w:rsid w:val="5B862B77"/>
    <w:rsid w:val="5B944D80"/>
    <w:rsid w:val="5B9509FD"/>
    <w:rsid w:val="5BAB4BEE"/>
    <w:rsid w:val="5BB47B97"/>
    <w:rsid w:val="5BB81EEF"/>
    <w:rsid w:val="5BC23198"/>
    <w:rsid w:val="5BC52C1C"/>
    <w:rsid w:val="5BCE2157"/>
    <w:rsid w:val="5BD2376F"/>
    <w:rsid w:val="5BEA66B7"/>
    <w:rsid w:val="5BEB4DCC"/>
    <w:rsid w:val="5BF81226"/>
    <w:rsid w:val="5C0042AF"/>
    <w:rsid w:val="5C021D5C"/>
    <w:rsid w:val="5C097E8B"/>
    <w:rsid w:val="5C0E448E"/>
    <w:rsid w:val="5C116FBD"/>
    <w:rsid w:val="5C18254C"/>
    <w:rsid w:val="5C1B2C25"/>
    <w:rsid w:val="5C1E0099"/>
    <w:rsid w:val="5C24204D"/>
    <w:rsid w:val="5C261AD7"/>
    <w:rsid w:val="5C2A4D2E"/>
    <w:rsid w:val="5C2E032C"/>
    <w:rsid w:val="5C317C76"/>
    <w:rsid w:val="5C35045C"/>
    <w:rsid w:val="5C3C5668"/>
    <w:rsid w:val="5C3C56AD"/>
    <w:rsid w:val="5C3D32DD"/>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C164AE"/>
    <w:rsid w:val="5CC22998"/>
    <w:rsid w:val="5CC5766D"/>
    <w:rsid w:val="5CC829D4"/>
    <w:rsid w:val="5CD22245"/>
    <w:rsid w:val="5CD612EC"/>
    <w:rsid w:val="5CD620EF"/>
    <w:rsid w:val="5CD63CB1"/>
    <w:rsid w:val="5CD75EB0"/>
    <w:rsid w:val="5CE00BB1"/>
    <w:rsid w:val="5CE76E4E"/>
    <w:rsid w:val="5CE97CE3"/>
    <w:rsid w:val="5CF06B97"/>
    <w:rsid w:val="5CF85D55"/>
    <w:rsid w:val="5CFF2C7D"/>
    <w:rsid w:val="5CFF66F4"/>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9832F3"/>
    <w:rsid w:val="5D9934EC"/>
    <w:rsid w:val="5D9C1E54"/>
    <w:rsid w:val="5DAB1E9E"/>
    <w:rsid w:val="5DB53FF3"/>
    <w:rsid w:val="5DBC3F54"/>
    <w:rsid w:val="5DCA57DD"/>
    <w:rsid w:val="5DD74A14"/>
    <w:rsid w:val="5DDB163B"/>
    <w:rsid w:val="5DDC2477"/>
    <w:rsid w:val="5DF11D42"/>
    <w:rsid w:val="5DFA2E17"/>
    <w:rsid w:val="5DFB0C01"/>
    <w:rsid w:val="5E006537"/>
    <w:rsid w:val="5E1D2155"/>
    <w:rsid w:val="5E2374D1"/>
    <w:rsid w:val="5E401AFE"/>
    <w:rsid w:val="5E454E01"/>
    <w:rsid w:val="5E490493"/>
    <w:rsid w:val="5E4D4054"/>
    <w:rsid w:val="5E4F4CEC"/>
    <w:rsid w:val="5E517BBA"/>
    <w:rsid w:val="5E521705"/>
    <w:rsid w:val="5E656142"/>
    <w:rsid w:val="5E680B19"/>
    <w:rsid w:val="5E7334F8"/>
    <w:rsid w:val="5E7805FF"/>
    <w:rsid w:val="5E7859D6"/>
    <w:rsid w:val="5E842B6A"/>
    <w:rsid w:val="5E875A07"/>
    <w:rsid w:val="5E8C1E30"/>
    <w:rsid w:val="5E911FAC"/>
    <w:rsid w:val="5E92137B"/>
    <w:rsid w:val="5E9373FC"/>
    <w:rsid w:val="5EA67DEF"/>
    <w:rsid w:val="5EAA11B3"/>
    <w:rsid w:val="5EB95510"/>
    <w:rsid w:val="5EB956EE"/>
    <w:rsid w:val="5EC57A3D"/>
    <w:rsid w:val="5ECB275F"/>
    <w:rsid w:val="5ECE2836"/>
    <w:rsid w:val="5EDB5813"/>
    <w:rsid w:val="5EEC409E"/>
    <w:rsid w:val="5EF2448C"/>
    <w:rsid w:val="5EF442F3"/>
    <w:rsid w:val="5F3A21FA"/>
    <w:rsid w:val="5F490636"/>
    <w:rsid w:val="5F4A6244"/>
    <w:rsid w:val="5F6219E5"/>
    <w:rsid w:val="5F7D5743"/>
    <w:rsid w:val="5F810563"/>
    <w:rsid w:val="5F902061"/>
    <w:rsid w:val="5F91364B"/>
    <w:rsid w:val="5F942C15"/>
    <w:rsid w:val="5F983E67"/>
    <w:rsid w:val="5FA57B43"/>
    <w:rsid w:val="5FB560BB"/>
    <w:rsid w:val="5FB62CD8"/>
    <w:rsid w:val="5FC20790"/>
    <w:rsid w:val="5FC91DE9"/>
    <w:rsid w:val="5FCE57F6"/>
    <w:rsid w:val="5FD820A7"/>
    <w:rsid w:val="5FDF0C33"/>
    <w:rsid w:val="5FE25D83"/>
    <w:rsid w:val="5FEC3C05"/>
    <w:rsid w:val="5FF020A1"/>
    <w:rsid w:val="5FFC5DE4"/>
    <w:rsid w:val="600F241C"/>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60530"/>
    <w:rsid w:val="6078579C"/>
    <w:rsid w:val="608159C3"/>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E02B8F"/>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65E1A"/>
    <w:rsid w:val="614B5BCE"/>
    <w:rsid w:val="614D1495"/>
    <w:rsid w:val="614D2B5A"/>
    <w:rsid w:val="6155426A"/>
    <w:rsid w:val="615755AF"/>
    <w:rsid w:val="615D6475"/>
    <w:rsid w:val="61620240"/>
    <w:rsid w:val="616C2054"/>
    <w:rsid w:val="616E3976"/>
    <w:rsid w:val="617D0D60"/>
    <w:rsid w:val="618563BE"/>
    <w:rsid w:val="61867017"/>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F00E21"/>
    <w:rsid w:val="62F06C0E"/>
    <w:rsid w:val="62F571B6"/>
    <w:rsid w:val="62F91A8D"/>
    <w:rsid w:val="62FA0118"/>
    <w:rsid w:val="62FB5ADF"/>
    <w:rsid w:val="63016DD9"/>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F03B38"/>
    <w:rsid w:val="63F731A5"/>
    <w:rsid w:val="63FC766C"/>
    <w:rsid w:val="63FE2454"/>
    <w:rsid w:val="64022F76"/>
    <w:rsid w:val="64084173"/>
    <w:rsid w:val="641269AD"/>
    <w:rsid w:val="641C56F8"/>
    <w:rsid w:val="64231408"/>
    <w:rsid w:val="643A7824"/>
    <w:rsid w:val="64553AA4"/>
    <w:rsid w:val="64564ED9"/>
    <w:rsid w:val="645A5737"/>
    <w:rsid w:val="6460376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3551"/>
    <w:rsid w:val="64C6530B"/>
    <w:rsid w:val="64D9451E"/>
    <w:rsid w:val="64DB77D5"/>
    <w:rsid w:val="64F31974"/>
    <w:rsid w:val="64FA5C63"/>
    <w:rsid w:val="65127100"/>
    <w:rsid w:val="6532464B"/>
    <w:rsid w:val="653A34E5"/>
    <w:rsid w:val="653C6B1D"/>
    <w:rsid w:val="65433415"/>
    <w:rsid w:val="65463750"/>
    <w:rsid w:val="654E3228"/>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90E3D"/>
    <w:rsid w:val="661C061C"/>
    <w:rsid w:val="6628673A"/>
    <w:rsid w:val="66300C32"/>
    <w:rsid w:val="6639596A"/>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C2655F"/>
    <w:rsid w:val="66D01D1D"/>
    <w:rsid w:val="66D20F68"/>
    <w:rsid w:val="66D6103F"/>
    <w:rsid w:val="66DB5E51"/>
    <w:rsid w:val="66DC2051"/>
    <w:rsid w:val="66E77E06"/>
    <w:rsid w:val="66F861FA"/>
    <w:rsid w:val="670027A0"/>
    <w:rsid w:val="67037752"/>
    <w:rsid w:val="67050D51"/>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F27764"/>
    <w:rsid w:val="6802359C"/>
    <w:rsid w:val="68081463"/>
    <w:rsid w:val="680A257F"/>
    <w:rsid w:val="680E50C8"/>
    <w:rsid w:val="681541C3"/>
    <w:rsid w:val="681674DF"/>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826A24"/>
    <w:rsid w:val="699B6DC8"/>
    <w:rsid w:val="69A97058"/>
    <w:rsid w:val="69AB6F60"/>
    <w:rsid w:val="69C8002E"/>
    <w:rsid w:val="69CF04C1"/>
    <w:rsid w:val="69D32FE1"/>
    <w:rsid w:val="69D463F2"/>
    <w:rsid w:val="69D72910"/>
    <w:rsid w:val="69D94035"/>
    <w:rsid w:val="69DC26A6"/>
    <w:rsid w:val="69E37874"/>
    <w:rsid w:val="69E56B54"/>
    <w:rsid w:val="69E96708"/>
    <w:rsid w:val="69ED002E"/>
    <w:rsid w:val="69EE54CD"/>
    <w:rsid w:val="69F92613"/>
    <w:rsid w:val="69FB7CD4"/>
    <w:rsid w:val="69FD723E"/>
    <w:rsid w:val="69FD7CEA"/>
    <w:rsid w:val="6A0229E5"/>
    <w:rsid w:val="6A067F83"/>
    <w:rsid w:val="6A097E59"/>
    <w:rsid w:val="6A171AFC"/>
    <w:rsid w:val="6A227A57"/>
    <w:rsid w:val="6A2A2D01"/>
    <w:rsid w:val="6A3225D7"/>
    <w:rsid w:val="6A3B0B6C"/>
    <w:rsid w:val="6A470981"/>
    <w:rsid w:val="6A4747AF"/>
    <w:rsid w:val="6A49294B"/>
    <w:rsid w:val="6A562B91"/>
    <w:rsid w:val="6A57299A"/>
    <w:rsid w:val="6A697946"/>
    <w:rsid w:val="6A6D6854"/>
    <w:rsid w:val="6A700CED"/>
    <w:rsid w:val="6A7017D7"/>
    <w:rsid w:val="6AA235D3"/>
    <w:rsid w:val="6AA31D3D"/>
    <w:rsid w:val="6AB02B50"/>
    <w:rsid w:val="6AB14532"/>
    <w:rsid w:val="6ABB2ED0"/>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D0777F"/>
    <w:rsid w:val="6BD619EE"/>
    <w:rsid w:val="6BEA64E2"/>
    <w:rsid w:val="6BFA7E30"/>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35EE"/>
    <w:rsid w:val="6D077405"/>
    <w:rsid w:val="6D0A3519"/>
    <w:rsid w:val="6D133D59"/>
    <w:rsid w:val="6D175B2B"/>
    <w:rsid w:val="6D264EC5"/>
    <w:rsid w:val="6D26662C"/>
    <w:rsid w:val="6D330DB7"/>
    <w:rsid w:val="6D437763"/>
    <w:rsid w:val="6D4C07B8"/>
    <w:rsid w:val="6D671B76"/>
    <w:rsid w:val="6D6D28AF"/>
    <w:rsid w:val="6D771293"/>
    <w:rsid w:val="6D7D0954"/>
    <w:rsid w:val="6D876AB7"/>
    <w:rsid w:val="6D8F154F"/>
    <w:rsid w:val="6D9757D1"/>
    <w:rsid w:val="6D9C3974"/>
    <w:rsid w:val="6DA062EA"/>
    <w:rsid w:val="6DA65DBF"/>
    <w:rsid w:val="6DA76631"/>
    <w:rsid w:val="6DAF65CC"/>
    <w:rsid w:val="6DB157A2"/>
    <w:rsid w:val="6DB25F3D"/>
    <w:rsid w:val="6DC53FBD"/>
    <w:rsid w:val="6DC93FE2"/>
    <w:rsid w:val="6DCA77EA"/>
    <w:rsid w:val="6DD35114"/>
    <w:rsid w:val="6DDE35E8"/>
    <w:rsid w:val="6DE92FA2"/>
    <w:rsid w:val="6DEE0E7D"/>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F6D88"/>
    <w:rsid w:val="6E702FE8"/>
    <w:rsid w:val="6E706B87"/>
    <w:rsid w:val="6E766C71"/>
    <w:rsid w:val="6E7926F7"/>
    <w:rsid w:val="6E7B110F"/>
    <w:rsid w:val="6E8A2A35"/>
    <w:rsid w:val="6EA04FAE"/>
    <w:rsid w:val="6EAA59A3"/>
    <w:rsid w:val="6EAA79ED"/>
    <w:rsid w:val="6ECD08F1"/>
    <w:rsid w:val="6EDF2531"/>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10B29"/>
    <w:rsid w:val="6FAA2D8A"/>
    <w:rsid w:val="6FC02217"/>
    <w:rsid w:val="6FC34E9D"/>
    <w:rsid w:val="6FC60A07"/>
    <w:rsid w:val="6FC90F86"/>
    <w:rsid w:val="6FCD3BC3"/>
    <w:rsid w:val="6FCE2BBA"/>
    <w:rsid w:val="6FDF40F5"/>
    <w:rsid w:val="6FE0165C"/>
    <w:rsid w:val="6FE05F95"/>
    <w:rsid w:val="6FF06B6B"/>
    <w:rsid w:val="6FF97C31"/>
    <w:rsid w:val="6FFC64FF"/>
    <w:rsid w:val="7001428F"/>
    <w:rsid w:val="70133236"/>
    <w:rsid w:val="70156307"/>
    <w:rsid w:val="701C590F"/>
    <w:rsid w:val="702033F7"/>
    <w:rsid w:val="702D10A9"/>
    <w:rsid w:val="70315D3B"/>
    <w:rsid w:val="703D58C4"/>
    <w:rsid w:val="70453D87"/>
    <w:rsid w:val="704E5E48"/>
    <w:rsid w:val="7053674B"/>
    <w:rsid w:val="7055360F"/>
    <w:rsid w:val="70642BE6"/>
    <w:rsid w:val="706F497B"/>
    <w:rsid w:val="70724AB3"/>
    <w:rsid w:val="70916EF8"/>
    <w:rsid w:val="709261ED"/>
    <w:rsid w:val="70A02568"/>
    <w:rsid w:val="70AD230C"/>
    <w:rsid w:val="70B91785"/>
    <w:rsid w:val="70C41020"/>
    <w:rsid w:val="70CC1017"/>
    <w:rsid w:val="70CF255C"/>
    <w:rsid w:val="70DC2C89"/>
    <w:rsid w:val="70DD041E"/>
    <w:rsid w:val="70DD743F"/>
    <w:rsid w:val="70E3150B"/>
    <w:rsid w:val="70E67B77"/>
    <w:rsid w:val="70F323B0"/>
    <w:rsid w:val="710221FA"/>
    <w:rsid w:val="710D3478"/>
    <w:rsid w:val="710F7585"/>
    <w:rsid w:val="711805A6"/>
    <w:rsid w:val="711A79AD"/>
    <w:rsid w:val="71217446"/>
    <w:rsid w:val="71224F32"/>
    <w:rsid w:val="7123463F"/>
    <w:rsid w:val="713B1ED6"/>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85872"/>
    <w:rsid w:val="72451F4F"/>
    <w:rsid w:val="7247128C"/>
    <w:rsid w:val="72493E35"/>
    <w:rsid w:val="725B0CD8"/>
    <w:rsid w:val="7264361A"/>
    <w:rsid w:val="726822A9"/>
    <w:rsid w:val="726C3438"/>
    <w:rsid w:val="727367E8"/>
    <w:rsid w:val="727C5618"/>
    <w:rsid w:val="727F3E51"/>
    <w:rsid w:val="7287073E"/>
    <w:rsid w:val="7290542B"/>
    <w:rsid w:val="72913002"/>
    <w:rsid w:val="72917F17"/>
    <w:rsid w:val="72935E6A"/>
    <w:rsid w:val="729A7834"/>
    <w:rsid w:val="72A00661"/>
    <w:rsid w:val="72AF2463"/>
    <w:rsid w:val="72B06D9D"/>
    <w:rsid w:val="72B715E4"/>
    <w:rsid w:val="72C32F53"/>
    <w:rsid w:val="72C77A8A"/>
    <w:rsid w:val="72CB7C4C"/>
    <w:rsid w:val="72D86D20"/>
    <w:rsid w:val="72FE3E8E"/>
    <w:rsid w:val="731B711B"/>
    <w:rsid w:val="731C3ED2"/>
    <w:rsid w:val="731E5631"/>
    <w:rsid w:val="732B0C72"/>
    <w:rsid w:val="73330C63"/>
    <w:rsid w:val="733863E3"/>
    <w:rsid w:val="733A3332"/>
    <w:rsid w:val="733C1D9D"/>
    <w:rsid w:val="733E46B2"/>
    <w:rsid w:val="733E59D9"/>
    <w:rsid w:val="73597F33"/>
    <w:rsid w:val="7375490C"/>
    <w:rsid w:val="73757E63"/>
    <w:rsid w:val="737D2F4F"/>
    <w:rsid w:val="73900D21"/>
    <w:rsid w:val="739A7114"/>
    <w:rsid w:val="739F2349"/>
    <w:rsid w:val="739F6287"/>
    <w:rsid w:val="73A242CD"/>
    <w:rsid w:val="73AC333B"/>
    <w:rsid w:val="73B11DBC"/>
    <w:rsid w:val="73B1795C"/>
    <w:rsid w:val="73B51018"/>
    <w:rsid w:val="73C340B3"/>
    <w:rsid w:val="73C72DB3"/>
    <w:rsid w:val="73C854F0"/>
    <w:rsid w:val="73CE0B05"/>
    <w:rsid w:val="73D007EE"/>
    <w:rsid w:val="73D27A00"/>
    <w:rsid w:val="73D9581C"/>
    <w:rsid w:val="73DA2FBB"/>
    <w:rsid w:val="73DC2CAB"/>
    <w:rsid w:val="73DC5744"/>
    <w:rsid w:val="73E36876"/>
    <w:rsid w:val="73E72CB9"/>
    <w:rsid w:val="741B5358"/>
    <w:rsid w:val="74202F12"/>
    <w:rsid w:val="742C093F"/>
    <w:rsid w:val="742F68DF"/>
    <w:rsid w:val="7435797F"/>
    <w:rsid w:val="744A0545"/>
    <w:rsid w:val="744F7C70"/>
    <w:rsid w:val="74521009"/>
    <w:rsid w:val="74632A31"/>
    <w:rsid w:val="7465205B"/>
    <w:rsid w:val="746954DB"/>
    <w:rsid w:val="74743C33"/>
    <w:rsid w:val="747640DF"/>
    <w:rsid w:val="747E6036"/>
    <w:rsid w:val="7482175B"/>
    <w:rsid w:val="74843F0D"/>
    <w:rsid w:val="74B37F42"/>
    <w:rsid w:val="74B94875"/>
    <w:rsid w:val="74BA4FF9"/>
    <w:rsid w:val="74C53F19"/>
    <w:rsid w:val="74CA0770"/>
    <w:rsid w:val="74D52F3D"/>
    <w:rsid w:val="74D81528"/>
    <w:rsid w:val="74D96025"/>
    <w:rsid w:val="74DA07A2"/>
    <w:rsid w:val="74E1491C"/>
    <w:rsid w:val="74E67A31"/>
    <w:rsid w:val="74F61278"/>
    <w:rsid w:val="74F90505"/>
    <w:rsid w:val="74FC67D7"/>
    <w:rsid w:val="7501178C"/>
    <w:rsid w:val="75124563"/>
    <w:rsid w:val="751274A1"/>
    <w:rsid w:val="751C2143"/>
    <w:rsid w:val="75295853"/>
    <w:rsid w:val="752D2921"/>
    <w:rsid w:val="752F1869"/>
    <w:rsid w:val="752F2DAC"/>
    <w:rsid w:val="75631790"/>
    <w:rsid w:val="7566472C"/>
    <w:rsid w:val="756B1E1E"/>
    <w:rsid w:val="7578413D"/>
    <w:rsid w:val="757B64ED"/>
    <w:rsid w:val="757C232A"/>
    <w:rsid w:val="75851DCA"/>
    <w:rsid w:val="758F3A2A"/>
    <w:rsid w:val="7599617F"/>
    <w:rsid w:val="759D7802"/>
    <w:rsid w:val="75A011FF"/>
    <w:rsid w:val="75A70E4F"/>
    <w:rsid w:val="75AA3F51"/>
    <w:rsid w:val="75B11420"/>
    <w:rsid w:val="75B263D3"/>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F7C59"/>
    <w:rsid w:val="76536622"/>
    <w:rsid w:val="765566B4"/>
    <w:rsid w:val="76605088"/>
    <w:rsid w:val="766477E2"/>
    <w:rsid w:val="7668119A"/>
    <w:rsid w:val="766966D4"/>
    <w:rsid w:val="766E17F9"/>
    <w:rsid w:val="76894FB9"/>
    <w:rsid w:val="768C1EBA"/>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18408C"/>
    <w:rsid w:val="7723073F"/>
    <w:rsid w:val="772527B2"/>
    <w:rsid w:val="772A6A8E"/>
    <w:rsid w:val="773B25F8"/>
    <w:rsid w:val="773B48CE"/>
    <w:rsid w:val="773D0C62"/>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E40C30"/>
    <w:rsid w:val="77FC1B84"/>
    <w:rsid w:val="780752E6"/>
    <w:rsid w:val="780B6CC7"/>
    <w:rsid w:val="78153F77"/>
    <w:rsid w:val="78185315"/>
    <w:rsid w:val="781C67FA"/>
    <w:rsid w:val="782378AE"/>
    <w:rsid w:val="78296DAC"/>
    <w:rsid w:val="783267CC"/>
    <w:rsid w:val="783E418B"/>
    <w:rsid w:val="783F1754"/>
    <w:rsid w:val="784E3C01"/>
    <w:rsid w:val="78570849"/>
    <w:rsid w:val="78617AF2"/>
    <w:rsid w:val="78626899"/>
    <w:rsid w:val="786421F2"/>
    <w:rsid w:val="786616B3"/>
    <w:rsid w:val="786E5D08"/>
    <w:rsid w:val="78812F7C"/>
    <w:rsid w:val="78975C7D"/>
    <w:rsid w:val="78A51B95"/>
    <w:rsid w:val="78AA6975"/>
    <w:rsid w:val="78C15B1C"/>
    <w:rsid w:val="78C359B3"/>
    <w:rsid w:val="78C9190A"/>
    <w:rsid w:val="78C97D4F"/>
    <w:rsid w:val="78CC0493"/>
    <w:rsid w:val="78DB3FCA"/>
    <w:rsid w:val="78EC2D52"/>
    <w:rsid w:val="78F5480C"/>
    <w:rsid w:val="79036E66"/>
    <w:rsid w:val="790945D5"/>
    <w:rsid w:val="790B5E2B"/>
    <w:rsid w:val="790E47EA"/>
    <w:rsid w:val="790E548B"/>
    <w:rsid w:val="79104E2B"/>
    <w:rsid w:val="79135CA0"/>
    <w:rsid w:val="791A58CD"/>
    <w:rsid w:val="791F537B"/>
    <w:rsid w:val="79344437"/>
    <w:rsid w:val="79367982"/>
    <w:rsid w:val="793D5C2F"/>
    <w:rsid w:val="793F7F0E"/>
    <w:rsid w:val="794A336F"/>
    <w:rsid w:val="79537099"/>
    <w:rsid w:val="79552D08"/>
    <w:rsid w:val="795E7ED2"/>
    <w:rsid w:val="79672E22"/>
    <w:rsid w:val="79677010"/>
    <w:rsid w:val="797121AE"/>
    <w:rsid w:val="797E1825"/>
    <w:rsid w:val="79A7288D"/>
    <w:rsid w:val="79AA3C4E"/>
    <w:rsid w:val="79AE312A"/>
    <w:rsid w:val="79B3208C"/>
    <w:rsid w:val="79B70130"/>
    <w:rsid w:val="79BD5598"/>
    <w:rsid w:val="79CB0706"/>
    <w:rsid w:val="79CB0751"/>
    <w:rsid w:val="79CE66ED"/>
    <w:rsid w:val="79CF6E25"/>
    <w:rsid w:val="79D42664"/>
    <w:rsid w:val="79D51250"/>
    <w:rsid w:val="79DB4236"/>
    <w:rsid w:val="79E66C93"/>
    <w:rsid w:val="79F16E80"/>
    <w:rsid w:val="79F842C2"/>
    <w:rsid w:val="79FA0A29"/>
    <w:rsid w:val="79FC6E04"/>
    <w:rsid w:val="79FE2A4E"/>
    <w:rsid w:val="7A081D42"/>
    <w:rsid w:val="7A0A6E0F"/>
    <w:rsid w:val="7A0A7223"/>
    <w:rsid w:val="7A0C4EA7"/>
    <w:rsid w:val="7A12552F"/>
    <w:rsid w:val="7A1524DD"/>
    <w:rsid w:val="7A1A1772"/>
    <w:rsid w:val="7A1E1DC3"/>
    <w:rsid w:val="7A276994"/>
    <w:rsid w:val="7A3B034D"/>
    <w:rsid w:val="7A3F158B"/>
    <w:rsid w:val="7A4A132A"/>
    <w:rsid w:val="7A535840"/>
    <w:rsid w:val="7A6736BC"/>
    <w:rsid w:val="7A6A7B3B"/>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E60EE"/>
    <w:rsid w:val="7B0E060E"/>
    <w:rsid w:val="7B0F5219"/>
    <w:rsid w:val="7B177A77"/>
    <w:rsid w:val="7B193032"/>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92A6F"/>
    <w:rsid w:val="7BD36780"/>
    <w:rsid w:val="7BD4048E"/>
    <w:rsid w:val="7BD968AC"/>
    <w:rsid w:val="7BDE524C"/>
    <w:rsid w:val="7BEA5E74"/>
    <w:rsid w:val="7BF577C1"/>
    <w:rsid w:val="7BF9001B"/>
    <w:rsid w:val="7BFE0389"/>
    <w:rsid w:val="7BFE08FA"/>
    <w:rsid w:val="7C126AEB"/>
    <w:rsid w:val="7C1F2070"/>
    <w:rsid w:val="7C260105"/>
    <w:rsid w:val="7C2900A2"/>
    <w:rsid w:val="7C295D17"/>
    <w:rsid w:val="7C2A10CD"/>
    <w:rsid w:val="7C2D2AE7"/>
    <w:rsid w:val="7C4A5A50"/>
    <w:rsid w:val="7C4B681D"/>
    <w:rsid w:val="7C4C575E"/>
    <w:rsid w:val="7C640974"/>
    <w:rsid w:val="7C690B20"/>
    <w:rsid w:val="7C780AD5"/>
    <w:rsid w:val="7C7A14F2"/>
    <w:rsid w:val="7C7E2FFC"/>
    <w:rsid w:val="7C867154"/>
    <w:rsid w:val="7C9427B3"/>
    <w:rsid w:val="7C9E5A77"/>
    <w:rsid w:val="7CB74F4A"/>
    <w:rsid w:val="7CB80138"/>
    <w:rsid w:val="7CB838AF"/>
    <w:rsid w:val="7CBE6F50"/>
    <w:rsid w:val="7CC639C6"/>
    <w:rsid w:val="7CC96839"/>
    <w:rsid w:val="7CCC3CFE"/>
    <w:rsid w:val="7CCD12D3"/>
    <w:rsid w:val="7CD505D1"/>
    <w:rsid w:val="7CD6692A"/>
    <w:rsid w:val="7CE215AC"/>
    <w:rsid w:val="7CE25B4A"/>
    <w:rsid w:val="7CE3422B"/>
    <w:rsid w:val="7CE5443B"/>
    <w:rsid w:val="7CE76B7F"/>
    <w:rsid w:val="7CED09D9"/>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8040C"/>
    <w:rsid w:val="7DC85A3E"/>
    <w:rsid w:val="7DCE15A0"/>
    <w:rsid w:val="7DD03D33"/>
    <w:rsid w:val="7DD410E6"/>
    <w:rsid w:val="7DD603AD"/>
    <w:rsid w:val="7DD82F1A"/>
    <w:rsid w:val="7DDA1110"/>
    <w:rsid w:val="7DE020DC"/>
    <w:rsid w:val="7DE449CE"/>
    <w:rsid w:val="7DEC05A8"/>
    <w:rsid w:val="7DED1348"/>
    <w:rsid w:val="7DEE71DF"/>
    <w:rsid w:val="7DF66186"/>
    <w:rsid w:val="7E0A5EA4"/>
    <w:rsid w:val="7E0A72D5"/>
    <w:rsid w:val="7E0B3C08"/>
    <w:rsid w:val="7E1C2B95"/>
    <w:rsid w:val="7E1E3CF4"/>
    <w:rsid w:val="7E212526"/>
    <w:rsid w:val="7E262B03"/>
    <w:rsid w:val="7E2E765A"/>
    <w:rsid w:val="7E324C10"/>
    <w:rsid w:val="7E3B7336"/>
    <w:rsid w:val="7E3D35D7"/>
    <w:rsid w:val="7E466A84"/>
    <w:rsid w:val="7E472FFE"/>
    <w:rsid w:val="7E4A6379"/>
    <w:rsid w:val="7E5248E3"/>
    <w:rsid w:val="7E6854DB"/>
    <w:rsid w:val="7E6C43B3"/>
    <w:rsid w:val="7E77762F"/>
    <w:rsid w:val="7E793E63"/>
    <w:rsid w:val="7E7B1715"/>
    <w:rsid w:val="7E8031F2"/>
    <w:rsid w:val="7E860496"/>
    <w:rsid w:val="7E956D81"/>
    <w:rsid w:val="7E9611E7"/>
    <w:rsid w:val="7E9963F8"/>
    <w:rsid w:val="7E9D0633"/>
    <w:rsid w:val="7EA82B9C"/>
    <w:rsid w:val="7EB16AB6"/>
    <w:rsid w:val="7EBD651F"/>
    <w:rsid w:val="7EC07C28"/>
    <w:rsid w:val="7ECB3BBC"/>
    <w:rsid w:val="7ED83896"/>
    <w:rsid w:val="7EDC2729"/>
    <w:rsid w:val="7EE15DD1"/>
    <w:rsid w:val="7EEB46E8"/>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E0C2E"/>
    <w:rsid w:val="7FAF35C9"/>
    <w:rsid w:val="7FAF535A"/>
    <w:rsid w:val="7FB620B9"/>
    <w:rsid w:val="7FBE4780"/>
    <w:rsid w:val="7FC07CDA"/>
    <w:rsid w:val="7FD30895"/>
    <w:rsid w:val="7FD52EF4"/>
    <w:rsid w:val="7FE932BA"/>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0</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2024-02-29T08:05:00Z</cp:lastPrinted>
  <dcterms:modified xsi:type="dcterms:W3CDTF">2024-03-01T08:46:30Z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2AFE29251F2D47119EA111B2B617C6AF_13</vt:lpwstr>
  </property>
</Properties>
</file>