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default" w:ascii="Times New Roman" w:hAnsi="Times New Roman" w:eastAsia="经典行楷简" w:cs="Times New Roman"/>
          <w:b w:val="0"/>
          <w:bCs/>
          <w:color w:val="2E75B6" w:themeColor="accent1" w:themeShade="BF"/>
          <w:kern w:val="36"/>
          <w:sz w:val="44"/>
          <w:szCs w:val="44"/>
          <w:lang w:val="en-US" w:eastAsia="zh-CN"/>
        </w:rPr>
        <w:t>4</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19</w:t>
      </w:r>
      <w:r>
        <w:rPr>
          <w:rFonts w:hint="default" w:ascii="Times New Roman" w:hAnsi="Times New Roman" w:eastAsia="经典行楷简" w:cs="Times New Roman"/>
          <w:b w:val="0"/>
          <w:bCs/>
          <w:color w:val="2E75B6" w:themeColor="accent1" w:themeShade="BF"/>
          <w:kern w:val="36"/>
          <w:sz w:val="44"/>
          <w:szCs w:val="44"/>
        </w:rPr>
        <w:t>期</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总第</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265</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rPr>
      </w:pPr>
      <w:r>
        <w:rPr>
          <w:rFonts w:hint="default" w:ascii="Times New Roman" w:hAnsi="Times New Roman" w:eastAsia="方正黑体_GBK" w:cs="Times New Roman"/>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default" w:ascii="Times New Roman" w:hAnsi="Times New Roman" w:eastAsia="方正楷体_GBK" w:cs="Times New Roman"/>
          <w:b w:val="0"/>
          <w:bCs/>
          <w:color w:val="000000"/>
          <w:kern w:val="36"/>
          <w:sz w:val="32"/>
          <w:szCs w:val="32"/>
          <w:highlight w:val="none"/>
          <w:lang w:val="en-US" w:eastAsia="zh-CN"/>
        </w:rPr>
        <w:t>4</w:t>
      </w:r>
      <w:r>
        <w:rPr>
          <w:rFonts w:hint="default" w:ascii="Times New Roman" w:hAnsi="Times New Roman" w:eastAsia="方正楷体_GBK" w:cs="Times New Roman"/>
          <w:b w:val="0"/>
          <w:bCs/>
          <w:color w:val="000000"/>
          <w:kern w:val="36"/>
          <w:sz w:val="32"/>
          <w:szCs w:val="32"/>
          <w:highlight w:val="none"/>
        </w:rPr>
        <w:t>年</w:t>
      </w:r>
      <w:r>
        <w:rPr>
          <w:rFonts w:hint="eastAsia" w:ascii="Times New Roman" w:hAnsi="Times New Roman" w:eastAsia="方正楷体_GBK" w:cs="Times New Roman"/>
          <w:b w:val="0"/>
          <w:bCs/>
          <w:color w:val="000000"/>
          <w:kern w:val="36"/>
          <w:sz w:val="32"/>
          <w:szCs w:val="32"/>
          <w:highlight w:val="none"/>
          <w:lang w:val="en-US" w:eastAsia="zh-CN"/>
        </w:rPr>
        <w:t>5</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10</w:t>
      </w:r>
      <w:r>
        <w:rPr>
          <w:rFonts w:hint="default" w:ascii="Times New Roman" w:hAnsi="Times New Roman" w:eastAsia="方正楷体_GBK" w:cs="Times New Roman"/>
          <w:b w:val="0"/>
          <w:bCs/>
          <w:color w:val="000000"/>
          <w:kern w:val="36"/>
          <w:sz w:val="32"/>
          <w:szCs w:val="32"/>
          <w:highlight w:val="none"/>
        </w:rPr>
        <w:t>日</w:t>
      </w:r>
    </w:p>
    <w:p>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44"/>
          <w:szCs w:val="4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全球市场资讯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5月5日（周日）</w:t>
      </w:r>
      <w:r>
        <w:rPr>
          <w:rFonts w:hint="default" w:ascii="Times New Roman" w:hAnsi="Times New Roman" w:eastAsia="方正楷体_GBK" w:cs="Times New Roman"/>
          <w:b/>
          <w:color w:val="auto"/>
          <w:spacing w:val="0"/>
          <w:kern w:val="36"/>
          <w:sz w:val="30"/>
          <w:szCs w:val="30"/>
          <w:lang w:val="en-US" w:eastAsia="zh-CN"/>
        </w:rPr>
        <w:t>肯尼亚洪灾，伯克希尔年会，苹果股价上涨 / 01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5</w:t>
      </w:r>
      <w:r>
        <w:rPr>
          <w:rFonts w:hint="default" w:ascii="Times New Roman" w:hAnsi="Times New Roman" w:eastAsia="方正楷体_GBK" w:cs="Times New Roman"/>
          <w:b/>
          <w:color w:val="auto"/>
          <w:spacing w:val="0"/>
          <w:kern w:val="36"/>
          <w:sz w:val="30"/>
          <w:szCs w:val="30"/>
          <w:lang w:val="en-US" w:eastAsia="zh-CN"/>
        </w:rPr>
        <w:t>月</w:t>
      </w:r>
      <w:r>
        <w:rPr>
          <w:rFonts w:hint="eastAsia" w:ascii="Times New Roman" w:hAnsi="Times New Roman" w:eastAsia="方正楷体_GBK" w:cs="Times New Roman"/>
          <w:b/>
          <w:color w:val="auto"/>
          <w:spacing w:val="0"/>
          <w:kern w:val="36"/>
          <w:sz w:val="30"/>
          <w:szCs w:val="30"/>
          <w:lang w:val="en-US" w:eastAsia="zh-CN"/>
        </w:rPr>
        <w:t>6</w:t>
      </w:r>
      <w:r>
        <w:rPr>
          <w:rFonts w:hint="default" w:ascii="Times New Roman" w:hAnsi="Times New Roman" w:eastAsia="方正楷体_GBK" w:cs="Times New Roman"/>
          <w:b/>
          <w:color w:val="auto"/>
          <w:spacing w:val="0"/>
          <w:kern w:val="36"/>
          <w:sz w:val="30"/>
          <w:szCs w:val="30"/>
          <w:lang w:val="en-US" w:eastAsia="zh-CN"/>
        </w:rPr>
        <w:t>日（周</w:t>
      </w:r>
      <w:r>
        <w:rPr>
          <w:rFonts w:hint="eastAsia" w:ascii="Times New Roman" w:hAnsi="Times New Roman" w:eastAsia="方正楷体_GBK" w:cs="Times New Roman"/>
          <w:b/>
          <w:color w:val="auto"/>
          <w:spacing w:val="0"/>
          <w:kern w:val="36"/>
          <w:sz w:val="30"/>
          <w:szCs w:val="30"/>
          <w:lang w:val="en-US" w:eastAsia="zh-CN"/>
        </w:rPr>
        <w:t>一</w:t>
      </w:r>
      <w:r>
        <w:rPr>
          <w:rFonts w:hint="default" w:ascii="Times New Roman" w:hAnsi="Times New Roman" w:eastAsia="方正楷体_GBK" w:cs="Times New Roman"/>
          <w:b/>
          <w:color w:val="auto"/>
          <w:spacing w:val="0"/>
          <w:kern w:val="36"/>
          <w:sz w:val="30"/>
          <w:szCs w:val="30"/>
          <w:lang w:val="en-US" w:eastAsia="zh-CN"/>
        </w:rPr>
        <w:t>）</w:t>
      </w:r>
      <w:r>
        <w:rPr>
          <w:rFonts w:hint="default" w:ascii="Times New Roman" w:hAnsi="Times New Roman" w:eastAsia="方正楷体_GBK" w:cs="Times New Roman"/>
          <w:b/>
          <w:color w:val="auto"/>
          <w:spacing w:val="-17"/>
          <w:kern w:val="36"/>
          <w:sz w:val="30"/>
          <w:szCs w:val="30"/>
          <w:lang w:val="en-US" w:eastAsia="zh-CN"/>
        </w:rPr>
        <w:t>极端天气不仅带来安全威胁，还会造成金融风险</w:t>
      </w:r>
      <w:r>
        <w:rPr>
          <w:rFonts w:hint="default" w:ascii="Times New Roman" w:hAnsi="Times New Roman" w:eastAsia="方正楷体_GBK" w:cs="Times New Roman"/>
          <w:b/>
          <w:color w:val="auto"/>
          <w:spacing w:val="0"/>
          <w:kern w:val="36"/>
          <w:sz w:val="30"/>
          <w:szCs w:val="30"/>
          <w:lang w:val="en-US" w:eastAsia="zh-CN"/>
        </w:rPr>
        <w:t xml:space="preserve"> / 0</w:t>
      </w:r>
      <w:r>
        <w:rPr>
          <w:rFonts w:hint="eastAsia" w:ascii="Times New Roman" w:hAnsi="Times New Roman" w:eastAsia="方正楷体_GBK" w:cs="Times New Roman"/>
          <w:b/>
          <w:color w:val="auto"/>
          <w:spacing w:val="0"/>
          <w:kern w:val="36"/>
          <w:sz w:val="30"/>
          <w:szCs w:val="30"/>
          <w:lang w:val="en-US" w:eastAsia="zh-CN"/>
        </w:rPr>
        <w:t>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5</w:t>
      </w:r>
      <w:r>
        <w:rPr>
          <w:rFonts w:hint="default" w:ascii="Times New Roman" w:hAnsi="Times New Roman" w:eastAsia="方正楷体_GBK" w:cs="Times New Roman"/>
          <w:b/>
          <w:color w:val="auto"/>
          <w:spacing w:val="0"/>
          <w:kern w:val="36"/>
          <w:sz w:val="30"/>
          <w:szCs w:val="30"/>
          <w:lang w:val="en-US" w:eastAsia="zh-CN"/>
        </w:rPr>
        <w:t>月</w:t>
      </w:r>
      <w:r>
        <w:rPr>
          <w:rFonts w:hint="eastAsia" w:ascii="Times New Roman" w:hAnsi="Times New Roman" w:eastAsia="方正楷体_GBK" w:cs="Times New Roman"/>
          <w:b/>
          <w:color w:val="auto"/>
          <w:spacing w:val="0"/>
          <w:kern w:val="36"/>
          <w:sz w:val="30"/>
          <w:szCs w:val="30"/>
          <w:lang w:val="en-US" w:eastAsia="zh-CN"/>
        </w:rPr>
        <w:t>7</w:t>
      </w:r>
      <w:r>
        <w:rPr>
          <w:rFonts w:hint="default" w:ascii="Times New Roman" w:hAnsi="Times New Roman" w:eastAsia="方正楷体_GBK" w:cs="Times New Roman"/>
          <w:b/>
          <w:color w:val="auto"/>
          <w:spacing w:val="0"/>
          <w:kern w:val="36"/>
          <w:sz w:val="30"/>
          <w:szCs w:val="30"/>
          <w:lang w:val="en-US" w:eastAsia="zh-CN"/>
        </w:rPr>
        <w:t>日（周</w:t>
      </w:r>
      <w:r>
        <w:rPr>
          <w:rFonts w:hint="eastAsia" w:ascii="Times New Roman" w:hAnsi="Times New Roman" w:eastAsia="方正楷体_GBK" w:cs="Times New Roman"/>
          <w:b/>
          <w:color w:val="auto"/>
          <w:spacing w:val="0"/>
          <w:kern w:val="36"/>
          <w:sz w:val="30"/>
          <w:szCs w:val="30"/>
          <w:lang w:val="en-US" w:eastAsia="zh-CN"/>
        </w:rPr>
        <w:t>二</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重启降息预期，美债大潮来袭，欧洲经济复苏</w:t>
      </w:r>
      <w:r>
        <w:rPr>
          <w:rFonts w:hint="default" w:ascii="Times New Roman" w:hAnsi="Times New Roman" w:eastAsia="方正楷体_GBK" w:cs="Times New Roman"/>
          <w:b/>
          <w:color w:val="auto"/>
          <w:spacing w:val="0"/>
          <w:kern w:val="36"/>
          <w:sz w:val="30"/>
          <w:szCs w:val="30"/>
          <w:lang w:val="en-US" w:eastAsia="zh-CN"/>
        </w:rPr>
        <w:t>/ 04</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5</w:t>
      </w:r>
      <w:r>
        <w:rPr>
          <w:rFonts w:hint="default" w:ascii="Times New Roman" w:hAnsi="Times New Roman" w:eastAsia="方正楷体_GBK" w:cs="Times New Roman"/>
          <w:b/>
          <w:color w:val="auto"/>
          <w:spacing w:val="0"/>
          <w:kern w:val="36"/>
          <w:sz w:val="30"/>
          <w:szCs w:val="30"/>
          <w:lang w:val="en-US" w:eastAsia="zh-CN"/>
        </w:rPr>
        <w:t>月</w:t>
      </w:r>
      <w:r>
        <w:rPr>
          <w:rFonts w:hint="eastAsia" w:ascii="Times New Roman" w:hAnsi="Times New Roman" w:eastAsia="方正楷体_GBK" w:cs="Times New Roman"/>
          <w:b/>
          <w:color w:val="auto"/>
          <w:spacing w:val="0"/>
          <w:kern w:val="36"/>
          <w:sz w:val="30"/>
          <w:szCs w:val="30"/>
          <w:lang w:val="en-US" w:eastAsia="zh-CN"/>
        </w:rPr>
        <w:t>8日</w:t>
      </w:r>
      <w:r>
        <w:rPr>
          <w:rFonts w:hint="default" w:ascii="Times New Roman" w:hAnsi="Times New Roman" w:eastAsia="方正楷体_GBK" w:cs="Times New Roman"/>
          <w:b/>
          <w:color w:val="auto"/>
          <w:spacing w:val="0"/>
          <w:kern w:val="36"/>
          <w:sz w:val="30"/>
          <w:szCs w:val="30"/>
          <w:lang w:val="en-US" w:eastAsia="zh-CN"/>
        </w:rPr>
        <w:t>（周</w:t>
      </w:r>
      <w:r>
        <w:rPr>
          <w:rFonts w:hint="eastAsia" w:ascii="Times New Roman" w:hAnsi="Times New Roman" w:eastAsia="方正楷体_GBK" w:cs="Times New Roman"/>
          <w:b/>
          <w:color w:val="auto"/>
          <w:spacing w:val="0"/>
          <w:kern w:val="36"/>
          <w:sz w:val="30"/>
          <w:szCs w:val="30"/>
          <w:lang w:val="en-US" w:eastAsia="zh-CN"/>
        </w:rPr>
        <w:t>三</w:t>
      </w:r>
      <w:r>
        <w:rPr>
          <w:rFonts w:hint="default" w:ascii="Times New Roman" w:hAnsi="Times New Roman" w:eastAsia="方正楷体_GBK" w:cs="Times New Roman"/>
          <w:b/>
          <w:color w:val="auto"/>
          <w:spacing w:val="0"/>
          <w:kern w:val="36"/>
          <w:sz w:val="30"/>
          <w:szCs w:val="30"/>
          <w:lang w:val="en-US" w:eastAsia="zh-CN"/>
        </w:rPr>
        <w:t>）日本经济稳定，汇率趋势难改 / 0</w:t>
      </w:r>
      <w:r>
        <w:rPr>
          <w:rFonts w:hint="eastAsia" w:ascii="Times New Roman" w:hAnsi="Times New Roman" w:eastAsia="方正楷体_GBK" w:cs="Times New Roman"/>
          <w:b/>
          <w:color w:val="auto"/>
          <w:spacing w:val="0"/>
          <w:kern w:val="36"/>
          <w:sz w:val="30"/>
          <w:szCs w:val="30"/>
          <w:lang w:val="en-US" w:eastAsia="zh-CN"/>
        </w:rPr>
        <w:t>6</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5</w:t>
      </w:r>
      <w:r>
        <w:rPr>
          <w:rFonts w:hint="default" w:ascii="Times New Roman" w:hAnsi="Times New Roman" w:eastAsia="方正楷体_GBK" w:cs="Times New Roman"/>
          <w:b/>
          <w:color w:val="auto"/>
          <w:spacing w:val="0"/>
          <w:kern w:val="36"/>
          <w:sz w:val="30"/>
          <w:szCs w:val="30"/>
          <w:lang w:val="en-US" w:eastAsia="zh-CN"/>
        </w:rPr>
        <w:t>月</w:t>
      </w:r>
      <w:r>
        <w:rPr>
          <w:rFonts w:hint="eastAsia" w:ascii="Times New Roman" w:hAnsi="Times New Roman" w:eastAsia="方正楷体_GBK" w:cs="Times New Roman"/>
          <w:b/>
          <w:color w:val="auto"/>
          <w:spacing w:val="0"/>
          <w:kern w:val="36"/>
          <w:sz w:val="30"/>
          <w:szCs w:val="30"/>
          <w:lang w:val="en-US" w:eastAsia="zh-CN"/>
        </w:rPr>
        <w:t>9</w:t>
      </w:r>
      <w:r>
        <w:rPr>
          <w:rFonts w:hint="default" w:ascii="Times New Roman" w:hAnsi="Times New Roman" w:eastAsia="方正楷体_GBK" w:cs="Times New Roman"/>
          <w:b/>
          <w:color w:val="auto"/>
          <w:spacing w:val="0"/>
          <w:kern w:val="36"/>
          <w:sz w:val="30"/>
          <w:szCs w:val="30"/>
          <w:lang w:val="en-US" w:eastAsia="zh-CN"/>
        </w:rPr>
        <w:t>日（周</w:t>
      </w:r>
      <w:r>
        <w:rPr>
          <w:rFonts w:hint="eastAsia" w:ascii="Times New Roman" w:hAnsi="Times New Roman" w:eastAsia="方正楷体_GBK" w:cs="Times New Roman"/>
          <w:b/>
          <w:color w:val="auto"/>
          <w:spacing w:val="0"/>
          <w:kern w:val="36"/>
          <w:sz w:val="30"/>
          <w:szCs w:val="30"/>
          <w:lang w:val="en-US" w:eastAsia="zh-CN"/>
        </w:rPr>
        <w:t>四</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美债市场呈中性，长短期收益率倒挂依旧</w:t>
      </w:r>
      <w:r>
        <w:rPr>
          <w:rFonts w:hint="default" w:ascii="Times New Roman" w:hAnsi="Times New Roman" w:eastAsia="方正楷体_GBK" w:cs="Times New Roman"/>
          <w:b/>
          <w:color w:val="auto"/>
          <w:spacing w:val="0"/>
          <w:kern w:val="36"/>
          <w:sz w:val="30"/>
          <w:szCs w:val="30"/>
          <w:lang w:val="en-US" w:eastAsia="zh-CN"/>
        </w:rPr>
        <w:t xml:space="preserve"> /0</w:t>
      </w:r>
      <w:r>
        <w:rPr>
          <w:rFonts w:hint="eastAsia" w:ascii="Times New Roman" w:hAnsi="Times New Roman" w:eastAsia="方正楷体_GBK" w:cs="Times New Roman"/>
          <w:b/>
          <w:color w:val="auto"/>
          <w:spacing w:val="0"/>
          <w:kern w:val="36"/>
          <w:sz w:val="30"/>
          <w:szCs w:val="30"/>
          <w:lang w:val="en-US" w:eastAsia="zh-CN"/>
        </w:rPr>
        <w:t>8</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5</w:t>
      </w:r>
      <w:r>
        <w:rPr>
          <w:rFonts w:hint="default" w:ascii="Times New Roman" w:hAnsi="Times New Roman" w:eastAsia="方正楷体_GBK" w:cs="Times New Roman"/>
          <w:b/>
          <w:color w:val="auto"/>
          <w:spacing w:val="0"/>
          <w:kern w:val="36"/>
          <w:sz w:val="30"/>
          <w:szCs w:val="30"/>
          <w:lang w:val="en-US" w:eastAsia="zh-CN"/>
        </w:rPr>
        <w:t>月</w:t>
      </w:r>
      <w:r>
        <w:rPr>
          <w:rFonts w:hint="eastAsia" w:ascii="Times New Roman" w:hAnsi="Times New Roman" w:eastAsia="方正楷体_GBK" w:cs="Times New Roman"/>
          <w:b/>
          <w:color w:val="auto"/>
          <w:spacing w:val="0"/>
          <w:kern w:val="36"/>
          <w:sz w:val="30"/>
          <w:szCs w:val="30"/>
          <w:lang w:val="en-US" w:eastAsia="zh-CN"/>
        </w:rPr>
        <w:t>10日（周五）</w:t>
      </w:r>
      <w:r>
        <w:rPr>
          <w:rFonts w:hint="eastAsia" w:ascii="Times New Roman" w:hAnsi="Times New Roman" w:eastAsia="方正楷体_GBK" w:cs="Times New Roman"/>
          <w:b/>
          <w:color w:val="auto"/>
          <w:spacing w:val="-11"/>
          <w:kern w:val="36"/>
          <w:sz w:val="30"/>
          <w:szCs w:val="30"/>
          <w:lang w:val="en-US" w:eastAsia="zh-CN"/>
        </w:rPr>
        <w:t>美就业市场现降温迹象，市场调高降息预期</w:t>
      </w:r>
      <w:r>
        <w:rPr>
          <w:rFonts w:hint="default" w:ascii="Times New Roman" w:hAnsi="Times New Roman" w:eastAsia="方正楷体_GBK" w:cs="Times New Roman"/>
          <w:b/>
          <w:color w:val="auto"/>
          <w:spacing w:val="-11"/>
          <w:kern w:val="36"/>
          <w:sz w:val="30"/>
          <w:szCs w:val="30"/>
          <w:lang w:val="en-US" w:eastAsia="zh-CN"/>
        </w:rPr>
        <w:t xml:space="preserve"> </w:t>
      </w:r>
      <w:r>
        <w:rPr>
          <w:rFonts w:hint="default" w:ascii="Times New Roman" w:hAnsi="Times New Roman" w:eastAsia="方正楷体_GBK" w:cs="Times New Roman"/>
          <w:b/>
          <w:color w:val="auto"/>
          <w:spacing w:val="0"/>
          <w:kern w:val="36"/>
          <w:sz w:val="30"/>
          <w:szCs w:val="30"/>
          <w:lang w:val="en-US" w:eastAsia="zh-CN"/>
        </w:rPr>
        <w:t>/09</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方正黑体_GBK" w:cs="Times New Roman"/>
          <w:b/>
          <w:color w:val="FFC000"/>
          <w:kern w:val="36"/>
          <w:sz w:val="28"/>
          <w:szCs w:val="28"/>
          <w:lang w:val="en-US" w:eastAsia="zh-CN"/>
        </w:rPr>
      </w:pP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江苏贸促动态</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00B0F0"/>
          <w:kern w:val="36"/>
          <w:sz w:val="28"/>
          <w:szCs w:val="28"/>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省贸促会领导出席第六届运河电商大会 / 1</w:t>
      </w:r>
      <w:r>
        <w:rPr>
          <w:rFonts w:hint="eastAsia" w:ascii="Times New Roman" w:hAnsi="Times New Roman" w:eastAsia="方正楷体_GBK" w:cs="Times New Roman"/>
          <w:b/>
          <w:color w:val="auto"/>
          <w:spacing w:val="0"/>
          <w:kern w:val="36"/>
          <w:sz w:val="30"/>
          <w:szCs w:val="30"/>
          <w:lang w:val="en-US" w:eastAsia="zh-CN"/>
        </w:rPr>
        <w:t>0</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省贸促会假期绿色通道保障企业对接外商 / 1</w:t>
      </w:r>
      <w:r>
        <w:rPr>
          <w:rFonts w:hint="eastAsia" w:ascii="Times New Roman" w:hAnsi="Times New Roman" w:eastAsia="方正楷体_GBK" w:cs="Times New Roman"/>
          <w:b/>
          <w:color w:val="auto"/>
          <w:spacing w:val="0"/>
          <w:kern w:val="36"/>
          <w:sz w:val="30"/>
          <w:szCs w:val="30"/>
          <w:lang w:val="en-US" w:eastAsia="zh-CN"/>
        </w:rPr>
        <w:t>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无锡市贸促会组团开展新加坡印度尼西亚市场开拓行 / 1</w:t>
      </w:r>
      <w:r>
        <w:rPr>
          <w:rFonts w:hint="eastAsia" w:ascii="Times New Roman" w:hAnsi="Times New Roman" w:eastAsia="方正楷体_GBK" w:cs="Times New Roman"/>
          <w:b/>
          <w:color w:val="auto"/>
          <w:spacing w:val="0"/>
          <w:kern w:val="36"/>
          <w:sz w:val="30"/>
          <w:szCs w:val="30"/>
          <w:lang w:val="en-US" w:eastAsia="zh-CN"/>
        </w:rPr>
        <w:t>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盐城市贸促会组团参加香港礼品及赠品展览会 / 1</w:t>
      </w:r>
      <w:r>
        <w:rPr>
          <w:rFonts w:hint="eastAsia" w:ascii="Times New Roman" w:hAnsi="Times New Roman" w:eastAsia="方正楷体_GBK" w:cs="Times New Roman"/>
          <w:b/>
          <w:color w:val="auto"/>
          <w:spacing w:val="0"/>
          <w:kern w:val="36"/>
          <w:sz w:val="30"/>
          <w:szCs w:val="30"/>
          <w:lang w:val="en-US" w:eastAsia="zh-CN"/>
        </w:rPr>
        <w:t>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第135届广交会闭幕</w:t>
      </w:r>
      <w:r>
        <w:rPr>
          <w:rFonts w:hint="eastAsia" w:ascii="Times New Roman" w:hAnsi="Times New Roman" w:eastAsia="方正楷体_GBK" w:cs="Times New Roman"/>
          <w:b/>
          <w:color w:val="auto"/>
          <w:spacing w:val="0"/>
          <w:kern w:val="36"/>
          <w:sz w:val="30"/>
          <w:szCs w:val="30"/>
          <w:lang w:val="en-US" w:eastAsia="zh-CN"/>
        </w:rPr>
        <w:t>，</w:t>
      </w:r>
      <w:r>
        <w:rPr>
          <w:rFonts w:hint="default" w:ascii="Times New Roman" w:hAnsi="Times New Roman" w:eastAsia="方正楷体_GBK" w:cs="Times New Roman"/>
          <w:b/>
          <w:color w:val="auto"/>
          <w:spacing w:val="0"/>
          <w:kern w:val="36"/>
          <w:sz w:val="30"/>
          <w:szCs w:val="30"/>
          <w:lang w:val="en-US" w:eastAsia="zh-CN"/>
        </w:rPr>
        <w:t>泰州企业累计成交约5000万美元 / 1</w:t>
      </w:r>
      <w:r>
        <w:rPr>
          <w:rFonts w:hint="eastAsia" w:ascii="Times New Roman" w:hAnsi="Times New Roman" w:eastAsia="方正楷体_GBK" w:cs="Times New Roman"/>
          <w:b/>
          <w:color w:val="auto"/>
          <w:spacing w:val="0"/>
          <w:kern w:val="36"/>
          <w:sz w:val="30"/>
          <w:szCs w:val="30"/>
          <w:lang w:val="en-US" w:eastAsia="zh-CN"/>
        </w:rPr>
        <w:t>4</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方正黑体_GBK" w:cs="Times New Roman"/>
          <w:b/>
          <w:color w:val="FFC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会员企业风采 • </w:t>
      </w:r>
      <w:r>
        <w:rPr>
          <w:rFonts w:hint="default" w:ascii="Times New Roman" w:hAnsi="Times New Roman" w:eastAsia="宋体" w:cs="Times New Roman"/>
          <w:b/>
          <w:color w:val="FF0000"/>
          <w:kern w:val="36"/>
          <w:sz w:val="32"/>
          <w:szCs w:val="32"/>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color w:val="auto"/>
          <w:kern w:val="36"/>
          <w:sz w:val="30"/>
          <w:szCs w:val="30"/>
          <w:lang w:val="en-US" w:eastAsia="zh-CN"/>
        </w:rPr>
        <w:t>雅迪领衔出海惊艳雅加达！印尼总统强势点赞 /</w:t>
      </w:r>
      <w:r>
        <w:rPr>
          <w:rFonts w:hint="eastAsia" w:ascii="Times New Roman" w:hAnsi="Times New Roman" w:eastAsia="方正楷体_GBK" w:cs="Times New Roman"/>
          <w:b/>
          <w:color w:val="auto"/>
          <w:kern w:val="36"/>
          <w:sz w:val="30"/>
          <w:szCs w:val="30"/>
          <w:lang w:val="en-US" w:eastAsia="zh-CN"/>
        </w:rPr>
        <w:t>16</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color w:val="auto"/>
          <w:kern w:val="36"/>
          <w:sz w:val="30"/>
          <w:szCs w:val="30"/>
          <w:lang w:val="en-US" w:eastAsia="zh-CN"/>
        </w:rPr>
        <w:t>远东电缆入选国家级绿色供应链管理示范企业</w:t>
      </w:r>
      <w:r>
        <w:rPr>
          <w:rFonts w:hint="default" w:ascii="Times New Roman" w:hAnsi="Times New Roman" w:eastAsia="方正楷体_GBK" w:cs="Times New Roman"/>
          <w:b/>
          <w:color w:val="auto"/>
          <w:spacing w:val="-28"/>
          <w:kern w:val="36"/>
          <w:sz w:val="30"/>
          <w:szCs w:val="30"/>
          <w:lang w:val="en-US" w:eastAsia="zh-CN"/>
        </w:rPr>
        <w:t xml:space="preserve">  </w:t>
      </w:r>
      <w:r>
        <w:rPr>
          <w:rFonts w:hint="default" w:ascii="Times New Roman" w:hAnsi="Times New Roman" w:eastAsia="方正楷体_GBK" w:cs="Times New Roman"/>
          <w:b/>
          <w:color w:val="auto"/>
          <w:kern w:val="36"/>
          <w:sz w:val="30"/>
          <w:szCs w:val="30"/>
          <w:lang w:val="en-US" w:eastAsia="zh-CN"/>
        </w:rPr>
        <w:t xml:space="preserve">/ </w:t>
      </w:r>
      <w:r>
        <w:rPr>
          <w:rFonts w:hint="eastAsia" w:ascii="Times New Roman" w:hAnsi="Times New Roman" w:eastAsia="方正楷体_GBK" w:cs="Times New Roman"/>
          <w:b/>
          <w:color w:val="auto"/>
          <w:kern w:val="36"/>
          <w:sz w:val="30"/>
          <w:szCs w:val="30"/>
          <w:lang w:val="en-US" w:eastAsia="zh-CN"/>
        </w:rPr>
        <w:t>17</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方正楷体_GBK" w:cs="Times New Roman"/>
          <w:b/>
          <w:color w:val="auto"/>
          <w:kern w:val="36"/>
          <w:sz w:val="30"/>
          <w:szCs w:val="30"/>
          <w:lang w:val="en-US" w:eastAsia="zh-CN"/>
        </w:rPr>
        <w:t xml:space="preserve">汇鸿中鼎公司跨境电商分公司获评“江苏省工人先锋号” / </w:t>
      </w:r>
      <w:r>
        <w:rPr>
          <w:rFonts w:hint="eastAsia" w:ascii="Times New Roman" w:hAnsi="Times New Roman" w:eastAsia="方正楷体_GBK" w:cs="Times New Roman"/>
          <w:b/>
          <w:color w:val="auto"/>
          <w:kern w:val="36"/>
          <w:sz w:val="30"/>
          <w:szCs w:val="30"/>
          <w:lang w:val="en-US" w:eastAsia="zh-CN"/>
        </w:rPr>
        <w:t>19</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全球市场资讯</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方正小标宋_GBK" w:hAnsi="方正小标宋_GBK" w:eastAsia="方正小标宋_GBK" w:cs="方正小标宋_GBK"/>
          <w:b/>
          <w:bCs/>
          <w:color w:val="0000FF"/>
          <w:sz w:val="32"/>
          <w:szCs w:val="32"/>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5月5日（周日）</w:t>
      </w:r>
    </w:p>
    <w:p>
      <w:pPr>
        <w:jc w:val="center"/>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肯尼亚洪灾，伯克希尔年会，苹果股价上涨</w:t>
      </w: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outlineLvl w:val="9"/>
        <w:rPr>
          <w:rFonts w:hint="eastAsia" w:asciiTheme="minorEastAsia" w:hAnsiTheme="minorEastAsia" w:eastAsiaTheme="minorEastAsia" w:cstheme="minorEastAsia"/>
          <w:sz w:val="32"/>
          <w:szCs w:val="32"/>
          <w:lang w:val="en-US" w:eastAsia="zh-CN"/>
        </w:rPr>
      </w:pPr>
      <w:r>
        <w:drawing>
          <wp:anchor distT="0" distB="0" distL="114300" distR="114300" simplePos="0" relativeHeight="251658240" behindDoc="0" locked="0" layoutInCell="1" allowOverlap="1">
            <wp:simplePos x="0" y="0"/>
            <wp:positionH relativeFrom="column">
              <wp:posOffset>234950</wp:posOffset>
            </wp:positionH>
            <wp:positionV relativeFrom="paragraph">
              <wp:posOffset>835025</wp:posOffset>
            </wp:positionV>
            <wp:extent cx="3355340" cy="1887855"/>
            <wp:effectExtent l="0" t="0" r="16510" b="1714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355340" cy="188785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近日，肯尼亚洪灾造成200多人死亡，至少20万人流离失所；据预报，已连续数周的暴雨在5月还将加剧。目前，洪水在全球各地肆虐，巴西南部的洪水导致至少55人死亡，约2.5万人流离失所；得克萨斯州的洪水导致数百人需要救援或撤离。</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5月4日至5日，伯克希尔·</w:t>
      </w:r>
      <w:r>
        <w:rPr>
          <w:rFonts w:hint="eastAsia" w:asciiTheme="minorEastAsia" w:hAnsiTheme="minorEastAsia" w:cstheme="minorEastAsia"/>
          <w:sz w:val="32"/>
          <w:szCs w:val="32"/>
          <w:lang w:val="en-US" w:eastAsia="zh-CN"/>
        </w:rPr>
        <w:t xml:space="preserve"> </w:t>
      </w:r>
      <w:r>
        <w:rPr>
          <w:rFonts w:hint="eastAsia" w:asciiTheme="minorEastAsia" w:hAnsiTheme="minorEastAsia" w:eastAsiaTheme="minorEastAsia" w:cstheme="minorEastAsia"/>
          <w:sz w:val="32"/>
          <w:szCs w:val="32"/>
          <w:lang w:val="en-US" w:eastAsia="zh-CN"/>
        </w:rPr>
        <w:t>哈撒韦公司（Berkshire Hathaway）在内布拉斯加州奥马哈市召开年度股东大会，会议由沃伦·巴菲特和其两位副手主持，CNBC进行了直播。</w:t>
      </w: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outlineLvl w:val="9"/>
        <w:rPr>
          <w:rFonts w:hint="eastAsia" w:asciiTheme="minorEastAsia" w:hAnsiTheme="minorEastAsia" w:eastAsiaTheme="minorEastAsia" w:cstheme="minorEastAsia"/>
          <w:sz w:val="32"/>
          <w:szCs w:val="32"/>
          <w:lang w:val="en-US" w:eastAsia="zh-CN"/>
        </w:rPr>
      </w:pPr>
      <w:r>
        <w:drawing>
          <wp:anchor distT="0" distB="0" distL="114300" distR="114300" simplePos="0" relativeHeight="251659264" behindDoc="0" locked="0" layoutInCell="1" allowOverlap="1">
            <wp:simplePos x="0" y="0"/>
            <wp:positionH relativeFrom="column">
              <wp:posOffset>2419350</wp:posOffset>
            </wp:positionH>
            <wp:positionV relativeFrom="paragraph">
              <wp:posOffset>97155</wp:posOffset>
            </wp:positionV>
            <wp:extent cx="2950845" cy="1967230"/>
            <wp:effectExtent l="0" t="0" r="1905" b="13970"/>
            <wp:wrapSquare wrapText="bothSides"/>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7"/>
                    <a:stretch>
                      <a:fillRect/>
                    </a:stretch>
                  </pic:blipFill>
                  <pic:spPr>
                    <a:xfrm>
                      <a:off x="0" y="0"/>
                      <a:ext cx="2950845" cy="196723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股东大会之前，伯克希尔公司宣布削减其持有的苹果股份。截至3月底，该公司仍持有价值约1,350 亿美元的苹果股票，这也是其最大的投资。</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伯克希尔公司的现金持有量在今年第一季度增至创纪录的1,890亿美元。</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lang w:val="en-US" w:eastAsia="zh-CN"/>
        </w:rPr>
      </w:pPr>
      <w:r>
        <w:rPr>
          <w:rFonts w:hint="eastAsia" w:asciiTheme="minorEastAsia" w:hAnsiTheme="minorEastAsia" w:eastAsiaTheme="minorEastAsia" w:cstheme="minorEastAsia"/>
          <w:sz w:val="32"/>
          <w:szCs w:val="32"/>
          <w:lang w:val="en-US" w:eastAsia="zh-CN"/>
        </w:rPr>
        <w:t>另，2023年12月14日，苹果的股价曾上探199.36美元，创下历史纪录，当日市值为3.08万亿美元，之后股价一路下行。5月2日，苹果公布2024财年第二季度财报：服务收入创历史新高，达到231.2亿美元，同比增长11.3%；尽管硬件销售，尤其是iPhone和iPad的销量有所下滑，但业绩总体仍远超市场预期。5月3月，股价开盘跳涨，并收于183.38美元。</w:t>
      </w:r>
    </w:p>
    <w:p>
      <w:pPr>
        <w:rPr>
          <w:rFonts w:hint="default"/>
          <w:lang w:val="en-US" w:eastAsia="zh-CN"/>
        </w:rPr>
      </w:pPr>
      <w:r>
        <w:drawing>
          <wp:anchor distT="0" distB="0" distL="114300" distR="114300" simplePos="0" relativeHeight="251660288" behindDoc="0" locked="0" layoutInCell="1" allowOverlap="1">
            <wp:simplePos x="0" y="0"/>
            <wp:positionH relativeFrom="column">
              <wp:posOffset>285750</wp:posOffset>
            </wp:positionH>
            <wp:positionV relativeFrom="paragraph">
              <wp:posOffset>3175</wp:posOffset>
            </wp:positionV>
            <wp:extent cx="4765675" cy="2570480"/>
            <wp:effectExtent l="0" t="0" r="15875" b="1270"/>
            <wp:wrapTopAndBottom/>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4765675" cy="2570480"/>
                    </a:xfrm>
                    <a:prstGeom prst="rect">
                      <a:avLst/>
                    </a:prstGeom>
                    <a:noFill/>
                    <a:ln>
                      <a:noFill/>
                    </a:ln>
                  </pic:spPr>
                </pic:pic>
              </a:graphicData>
            </a:graphic>
          </wp:anchor>
        </w:drawing>
      </w:r>
    </w:p>
    <w:p>
      <w:pPr>
        <w:rPr>
          <w:rFonts w:hint="eastAsia" w:ascii="方正小标宋_GBK" w:hAnsi="方正小标宋_GBK" w:eastAsia="方正小标宋_GBK" w:cs="方正小标宋_GBK"/>
          <w:b/>
          <w:bCs/>
          <w:color w:val="0000FF"/>
          <w:sz w:val="32"/>
          <w:szCs w:val="32"/>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5月6日（周一）</w:t>
      </w:r>
    </w:p>
    <w:p>
      <w:pPr>
        <w:jc w:val="center"/>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极端天气不仅带来安全威胁，还会造成金融风险</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全球气候变暖导致极端天气频发，给房地产带来了冲击。许多并不靠近海岸的房子，也不能幸免，从龙卷风袭击美国中西部郊区，到网球大小的冰雹砸穿意大利别墅的屋顶……，温室气体排放带来的极端天气，正在动摇房地产这个全球最重要资产类别的基础。</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lang w:val="en-US" w:eastAsia="zh-CN"/>
        </w:rPr>
      </w:pPr>
      <w:r>
        <w:rPr>
          <w:rFonts w:hint="eastAsia" w:asciiTheme="minorEastAsia" w:hAnsiTheme="minorEastAsia" w:eastAsiaTheme="minorEastAsia" w:cstheme="minorEastAsia"/>
          <w:sz w:val="32"/>
          <w:szCs w:val="32"/>
          <w:lang w:val="en-US" w:eastAsia="zh-CN"/>
        </w:rPr>
        <w:t>不论是完善房屋的防灾能力，还是减少房屋本身的二氧化碳排放，都会形成额外的成本。有机构测算，到2050年，气候变化和应对气候变化的斗争，将会使全球住宅价值的9%化为乌有——相当于25万亿美元，接近美国一年的GDP。</w:t>
      </w:r>
    </w:p>
    <w:p>
      <w:pPr>
        <w:jc w:val="center"/>
        <w:rPr>
          <w:rFonts w:hint="eastAsia" w:ascii="仿宋" w:hAnsi="仿宋" w:eastAsia="仿宋" w:cs="仿宋"/>
          <w:sz w:val="24"/>
          <w:szCs w:val="24"/>
          <w:lang w:val="en-US" w:eastAsia="zh-CN"/>
        </w:rPr>
      </w:pPr>
      <w:r>
        <w:drawing>
          <wp:anchor distT="0" distB="0" distL="114300" distR="114300" simplePos="0" relativeHeight="251661312" behindDoc="0" locked="0" layoutInCell="1" allowOverlap="1">
            <wp:simplePos x="0" y="0"/>
            <wp:positionH relativeFrom="column">
              <wp:posOffset>412750</wp:posOffset>
            </wp:positionH>
            <wp:positionV relativeFrom="paragraph">
              <wp:posOffset>82550</wp:posOffset>
            </wp:positionV>
            <wp:extent cx="4785360" cy="2392680"/>
            <wp:effectExtent l="0" t="0" r="15240" b="7620"/>
            <wp:wrapTopAndBottom/>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4785360" cy="2392680"/>
                    </a:xfrm>
                    <a:prstGeom prst="rect">
                      <a:avLst/>
                    </a:prstGeom>
                    <a:noFill/>
                    <a:ln>
                      <a:noFill/>
                    </a:ln>
                  </pic:spPr>
                </pic:pic>
              </a:graphicData>
            </a:graphic>
          </wp:anchor>
        </w:drawing>
      </w:r>
      <w:r>
        <w:rPr>
          <w:rFonts w:hint="eastAsia" w:ascii="仿宋" w:hAnsi="仿宋" w:eastAsia="仿宋" w:cs="仿宋"/>
          <w:sz w:val="24"/>
          <w:szCs w:val="24"/>
          <w:lang w:eastAsia="zh-CN"/>
        </w:rPr>
        <w:t>（图：</w:t>
      </w:r>
      <w:r>
        <w:rPr>
          <w:rFonts w:hint="eastAsia" w:ascii="仿宋" w:hAnsi="仿宋" w:eastAsia="仿宋" w:cs="仿宋"/>
          <w:sz w:val="24"/>
          <w:szCs w:val="24"/>
          <w:lang w:val="en-US" w:eastAsia="zh-CN"/>
        </w:rPr>
        <w:t>2022年7月，肯塔基州杰克逊市洪灾。</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由于气候变化的影响尚不确定，许多业主在买房时可能并不知道自己承担了多大的风险。比如在迈阿密，人们对海平面上升忧心忡忡，但房价在过去10年中上涨了五分之四，远远高于美国的平均水平。</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如果政府使用财政资金帮助解决，就等于所有纳税人掏腰包，来救助富裕的房地产业主，这一来不公平，二来抑制了房主们本该有的积极性。但政府也不能坐视不理，因为所有人都在乎居住的安全，房主们更是关心着房屋的价值。</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如果把责任交给保险机构，那么房屋的保费将会飙升，导致房价的下跌，这被称为房价的“气候保险泡沫”。而房屋定价的准确性，对于金融系统的稳定和运作至关重要。</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一方面，房屋是人们的居所，也是许多家庭最大的财产和投资；另一方面，房地产市场是金融系统的重要组成部分，与银行、贷款机构和其他金融机构紧密相连。房地产的抵押贷款是银行的重要资产，对银行业的健康和稳定具有重要影响。</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因此，由气候变化导致的房地产价格压力，从现在就要正视并着手解决。属于“集体行动”的难题，必须由政府解决；市场可以解决的问题，就让市场去消化处理。</w:t>
      </w:r>
    </w:p>
    <w:p>
      <w:pPr>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5月7日（周二）</w:t>
      </w:r>
    </w:p>
    <w:p>
      <w:pPr>
        <w:jc w:val="center"/>
        <w:rPr>
          <w:rFonts w:hint="eastAsia"/>
          <w:b/>
          <w:bCs/>
          <w:color w:val="0000FF"/>
          <w:sz w:val="36"/>
          <w:szCs w:val="36"/>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重启降息预期，美债大潮来袭，欧洲经济复苏</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一、重启降息预期，美债大潮来袭</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上周五意外走弱的</w:t>
      </w:r>
      <w:r>
        <w:rPr>
          <w:rFonts w:hint="eastAsia" w:asciiTheme="minorEastAsia" w:hAnsiTheme="minorEastAsia" w:eastAsiaTheme="minorEastAsia" w:cstheme="minorEastAsia"/>
          <w:sz w:val="32"/>
          <w:szCs w:val="32"/>
          <w:lang w:eastAsia="zh-CN"/>
        </w:rPr>
        <w:t>大</w:t>
      </w:r>
      <w:r>
        <w:rPr>
          <w:rFonts w:hint="eastAsia" w:asciiTheme="minorEastAsia" w:hAnsiTheme="minorEastAsia" w:eastAsiaTheme="minorEastAsia" w:cstheme="minorEastAsia"/>
          <w:sz w:val="32"/>
          <w:szCs w:val="32"/>
        </w:rPr>
        <w:t>非农数据</w:t>
      </w:r>
      <w:r>
        <w:rPr>
          <w:rFonts w:hint="eastAsia" w:asciiTheme="minorEastAsia" w:hAnsiTheme="minorEastAsia" w:eastAsiaTheme="minorEastAsia" w:cstheme="minorEastAsia"/>
          <w:sz w:val="32"/>
          <w:szCs w:val="32"/>
          <w:lang w:eastAsia="zh-CN"/>
        </w:rPr>
        <w:t>，让</w:t>
      </w:r>
      <w:r>
        <w:rPr>
          <w:rFonts w:hint="eastAsia" w:asciiTheme="minorEastAsia" w:hAnsiTheme="minorEastAsia" w:eastAsiaTheme="minorEastAsia" w:cstheme="minorEastAsia"/>
          <w:sz w:val="32"/>
          <w:szCs w:val="32"/>
        </w:rPr>
        <w:t>期待降息的投资者</w:t>
      </w:r>
      <w:r>
        <w:rPr>
          <w:rFonts w:hint="eastAsia" w:asciiTheme="minorEastAsia" w:hAnsiTheme="minorEastAsia" w:eastAsiaTheme="minorEastAsia" w:cstheme="minorEastAsia"/>
          <w:sz w:val="32"/>
          <w:szCs w:val="32"/>
          <w:lang w:eastAsia="zh-CN"/>
        </w:rPr>
        <w:t>产生</w:t>
      </w:r>
      <w:r>
        <w:rPr>
          <w:rFonts w:hint="eastAsia" w:asciiTheme="minorEastAsia" w:hAnsiTheme="minorEastAsia" w:eastAsiaTheme="minorEastAsia" w:cstheme="minorEastAsia"/>
          <w:sz w:val="32"/>
          <w:szCs w:val="32"/>
        </w:rPr>
        <w:t>惊喜</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就业市场的相对疲软</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缓解了对经济过热的担忧</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货币市场重新开</w:t>
      </w:r>
      <w:r>
        <w:rPr>
          <w:rFonts w:hint="eastAsia" w:asciiTheme="minorEastAsia" w:hAnsiTheme="minorEastAsia" w:eastAsiaTheme="minorEastAsia" w:cstheme="minorEastAsia"/>
          <w:sz w:val="32"/>
          <w:szCs w:val="32"/>
          <w:lang w:eastAsia="zh-CN"/>
        </w:rPr>
        <w:t>启</w:t>
      </w:r>
      <w:r>
        <w:rPr>
          <w:rFonts w:hint="eastAsia" w:asciiTheme="minorEastAsia" w:hAnsiTheme="minorEastAsia" w:eastAsiaTheme="minorEastAsia" w:cstheme="minorEastAsia"/>
          <w:sz w:val="32"/>
          <w:szCs w:val="32"/>
        </w:rPr>
        <w:t>美联储今年两次降息25个基点的预期</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5月6日</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周</w:t>
      </w:r>
      <w:r>
        <w:rPr>
          <w:rFonts w:hint="eastAsia" w:asciiTheme="minorEastAsia" w:hAnsiTheme="minorEastAsia" w:eastAsiaTheme="minorEastAsia" w:cstheme="minorEastAsia"/>
          <w:sz w:val="32"/>
          <w:szCs w:val="32"/>
          <w:lang w:eastAsia="zh-CN"/>
        </w:rPr>
        <w:t>一），在</w:t>
      </w:r>
      <w:r>
        <w:rPr>
          <w:rFonts w:hint="eastAsia" w:asciiTheme="minorEastAsia" w:hAnsiTheme="minorEastAsia" w:eastAsiaTheme="minorEastAsia" w:cstheme="minorEastAsia"/>
          <w:sz w:val="32"/>
          <w:szCs w:val="32"/>
        </w:rPr>
        <w:t>芯片股走强和降息乐观情绪的带动下</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美股延续了上周五的强劲涨势</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三大股指集体收涨</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目前</w:t>
      </w:r>
      <w:r>
        <w:rPr>
          <w:rFonts w:hint="eastAsia" w:asciiTheme="minorEastAsia" w:hAnsiTheme="minorEastAsia" w:eastAsiaTheme="minorEastAsia" w:cstheme="minorEastAsia"/>
          <w:sz w:val="32"/>
          <w:szCs w:val="32"/>
          <w:lang w:eastAsia="zh-CN"/>
        </w:rPr>
        <w:t>，美股</w:t>
      </w:r>
      <w:r>
        <w:rPr>
          <w:rFonts w:hint="eastAsia" w:asciiTheme="minorEastAsia" w:hAnsiTheme="minorEastAsia" w:eastAsiaTheme="minorEastAsia" w:cstheme="minorEastAsia"/>
          <w:sz w:val="32"/>
          <w:szCs w:val="32"/>
        </w:rPr>
        <w:t>财报季</w:t>
      </w:r>
      <w:r>
        <w:rPr>
          <w:rFonts w:hint="eastAsia" w:asciiTheme="minorEastAsia" w:hAnsiTheme="minorEastAsia" w:eastAsiaTheme="minorEastAsia" w:cstheme="minorEastAsia"/>
          <w:sz w:val="32"/>
          <w:szCs w:val="32"/>
          <w:lang w:eastAsia="zh-CN"/>
        </w:rPr>
        <w:t>已进</w:t>
      </w:r>
      <w:r>
        <w:rPr>
          <w:rFonts w:hint="eastAsia" w:asciiTheme="minorEastAsia" w:hAnsiTheme="minorEastAsia" w:eastAsiaTheme="minorEastAsia" w:cstheme="minorEastAsia"/>
          <w:sz w:val="32"/>
          <w:szCs w:val="32"/>
        </w:rPr>
        <w:t>入尾声</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已有约八成的美股</w:t>
      </w:r>
      <w:r>
        <w:rPr>
          <w:rFonts w:hint="eastAsia" w:asciiTheme="minorEastAsia" w:hAnsiTheme="minorEastAsia" w:eastAsiaTheme="minorEastAsia" w:cstheme="minorEastAsia"/>
          <w:sz w:val="32"/>
          <w:szCs w:val="32"/>
          <w:lang w:eastAsia="zh-CN"/>
        </w:rPr>
        <w:t>上市</w:t>
      </w:r>
      <w:r>
        <w:rPr>
          <w:rFonts w:hint="eastAsia" w:asciiTheme="minorEastAsia" w:hAnsiTheme="minorEastAsia" w:eastAsiaTheme="minorEastAsia" w:cstheme="minorEastAsia"/>
          <w:sz w:val="32"/>
          <w:szCs w:val="32"/>
        </w:rPr>
        <w:t>企业公布了</w:t>
      </w:r>
      <w:r>
        <w:rPr>
          <w:rFonts w:hint="eastAsia" w:asciiTheme="minorEastAsia" w:hAnsiTheme="minorEastAsia" w:eastAsiaTheme="minorEastAsia" w:cstheme="minorEastAsia"/>
          <w:sz w:val="32"/>
          <w:szCs w:val="32"/>
          <w:lang w:eastAsia="zh-CN"/>
        </w:rPr>
        <w:t>一季度财报，其中</w:t>
      </w:r>
      <w:r>
        <w:rPr>
          <w:rFonts w:hint="eastAsia" w:asciiTheme="minorEastAsia" w:hAnsiTheme="minorEastAsia" w:eastAsiaTheme="minorEastAsia" w:cstheme="minorEastAsia"/>
          <w:sz w:val="32"/>
          <w:szCs w:val="32"/>
        </w:rPr>
        <w:t>大部分公司的业绩超出市场预期</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七巨头中</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英伟达尚未公布财报</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特斯拉营收和盈利表现不及市场预期</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其他</w:t>
      </w:r>
      <w:r>
        <w:rPr>
          <w:rFonts w:hint="eastAsia" w:asciiTheme="minorEastAsia" w:hAnsiTheme="minorEastAsia" w:eastAsiaTheme="minorEastAsia" w:cstheme="minorEastAsia"/>
          <w:sz w:val="32"/>
          <w:szCs w:val="32"/>
          <w:lang w:eastAsia="zh-CN"/>
        </w:rPr>
        <w:t>五</w:t>
      </w:r>
      <w:r>
        <w:rPr>
          <w:rFonts w:hint="eastAsia" w:asciiTheme="minorEastAsia" w:hAnsiTheme="minorEastAsia" w:eastAsiaTheme="minorEastAsia" w:cstheme="minorEastAsia"/>
          <w:sz w:val="32"/>
          <w:szCs w:val="32"/>
        </w:rPr>
        <w:t>个</w:t>
      </w:r>
      <w:r>
        <w:rPr>
          <w:rFonts w:hint="eastAsia" w:asciiTheme="minorEastAsia" w:hAnsiTheme="minorEastAsia" w:eastAsiaTheme="minorEastAsia" w:cstheme="minorEastAsia"/>
          <w:sz w:val="32"/>
          <w:szCs w:val="32"/>
          <w:lang w:eastAsia="zh-CN"/>
        </w:rPr>
        <w:t>在一季度都增长</w:t>
      </w:r>
      <w:r>
        <w:rPr>
          <w:rFonts w:hint="eastAsia" w:asciiTheme="minorEastAsia" w:hAnsiTheme="minorEastAsia" w:eastAsiaTheme="minorEastAsia" w:cstheme="minorEastAsia"/>
          <w:sz w:val="32"/>
          <w:szCs w:val="32"/>
        </w:rPr>
        <w:t>强劲</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按市值排列，美股七巨头依次为微软（市值超过3万亿美元，为美股中市值最高的公司），苹果（市值为2.8万亿美元），英伟达，Alphabet（谷歌的母公司），亚马逊，然后是Meta（即Facebook），特斯拉。</w:t>
      </w:r>
    </w:p>
    <w:p>
      <w:r>
        <w:drawing>
          <wp:anchor distT="0" distB="0" distL="114300" distR="114300" simplePos="0" relativeHeight="251662336" behindDoc="0" locked="0" layoutInCell="1" allowOverlap="1">
            <wp:simplePos x="0" y="0"/>
            <wp:positionH relativeFrom="column">
              <wp:posOffset>508000</wp:posOffset>
            </wp:positionH>
            <wp:positionV relativeFrom="paragraph">
              <wp:posOffset>62865</wp:posOffset>
            </wp:positionV>
            <wp:extent cx="4267200" cy="2389505"/>
            <wp:effectExtent l="0" t="0" r="0" b="10795"/>
            <wp:wrapTopAndBottom/>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0"/>
                    <a:stretch>
                      <a:fillRect/>
                    </a:stretch>
                  </pic:blipFill>
                  <pic:spPr>
                    <a:xfrm>
                      <a:off x="0" y="0"/>
                      <a:ext cx="4267200" cy="2389505"/>
                    </a:xfrm>
                    <a:prstGeom prst="rect">
                      <a:avLst/>
                    </a:prstGeom>
                    <a:noFill/>
                    <a:ln>
                      <a:noFill/>
                    </a:ln>
                  </pic:spPr>
                </pic:pic>
              </a:graphicData>
            </a:graphic>
          </wp:anchor>
        </w:drawing>
      </w:r>
    </w:p>
    <w:p>
      <w:pPr>
        <w:jc w:val="center"/>
        <w:rPr>
          <w:rFonts w:hint="eastAsia" w:eastAsiaTheme="minorEastAsia"/>
          <w:lang w:eastAsia="zh-CN"/>
        </w:rPr>
      </w:pPr>
      <w:r>
        <w:rPr>
          <w:rFonts w:hint="eastAsia" w:ascii="仿宋" w:hAnsi="仿宋" w:eastAsia="仿宋" w:cs="仿宋"/>
          <w:sz w:val="24"/>
          <w:szCs w:val="24"/>
          <w:lang w:eastAsia="zh-CN"/>
        </w:rPr>
        <w:t>（图：七巨头占标普</w:t>
      </w:r>
      <w:r>
        <w:rPr>
          <w:rFonts w:hint="eastAsia" w:ascii="仿宋" w:hAnsi="仿宋" w:eastAsia="仿宋" w:cs="仿宋"/>
          <w:sz w:val="24"/>
          <w:szCs w:val="24"/>
          <w:lang w:val="en-US" w:eastAsia="zh-CN"/>
        </w:rPr>
        <w:t>500的比重</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t>本周美国财政部</w:t>
      </w:r>
      <w:r>
        <w:rPr>
          <w:rFonts w:hint="eastAsia" w:asciiTheme="minorEastAsia" w:hAnsiTheme="minorEastAsia" w:eastAsiaTheme="minorEastAsia" w:cstheme="minorEastAsia"/>
          <w:sz w:val="32"/>
          <w:szCs w:val="32"/>
          <w:lang w:eastAsia="zh-CN"/>
        </w:rPr>
        <w:t>计划</w:t>
      </w:r>
      <w:r>
        <w:rPr>
          <w:rFonts w:hint="eastAsia" w:asciiTheme="minorEastAsia" w:hAnsiTheme="minorEastAsia" w:eastAsiaTheme="minorEastAsia" w:cstheme="minorEastAsia"/>
          <w:sz w:val="32"/>
          <w:szCs w:val="32"/>
        </w:rPr>
        <w:t>标售670亿美元的10年期和30年期美债</w:t>
      </w:r>
      <w:r>
        <w:rPr>
          <w:rFonts w:hint="eastAsia" w:asciiTheme="minorEastAsia" w:hAnsiTheme="minorEastAsia" w:eastAsiaTheme="minorEastAsia" w:cstheme="minorEastAsia"/>
          <w:sz w:val="32"/>
          <w:szCs w:val="32"/>
          <w:lang w:eastAsia="zh-CN"/>
        </w:rPr>
        <w:t>，这将</w:t>
      </w:r>
      <w:r>
        <w:rPr>
          <w:rFonts w:hint="eastAsia" w:asciiTheme="minorEastAsia" w:hAnsiTheme="minorEastAsia" w:eastAsiaTheme="minorEastAsia" w:cstheme="minorEastAsia"/>
          <w:sz w:val="32"/>
          <w:szCs w:val="32"/>
        </w:rPr>
        <w:t>考验市场对于较长期美债的需求</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如果拍卖结果良好</w:t>
      </w:r>
      <w:r>
        <w:rPr>
          <w:rFonts w:hint="eastAsia" w:asciiTheme="minorEastAsia" w:hAnsiTheme="minorEastAsia" w:eastAsiaTheme="minorEastAsia" w:cstheme="minorEastAsia"/>
          <w:sz w:val="32"/>
          <w:szCs w:val="32"/>
          <w:lang w:eastAsia="zh-CN"/>
        </w:rPr>
        <w:t>，长期国债的</w:t>
      </w:r>
      <w:r>
        <w:rPr>
          <w:rFonts w:hint="eastAsia" w:asciiTheme="minorEastAsia" w:hAnsiTheme="minorEastAsia" w:eastAsiaTheme="minorEastAsia" w:cstheme="minorEastAsia"/>
          <w:sz w:val="32"/>
          <w:szCs w:val="32"/>
        </w:rPr>
        <w:t>收益率</w:t>
      </w:r>
      <w:r>
        <w:rPr>
          <w:rFonts w:hint="eastAsia" w:asciiTheme="minorEastAsia" w:hAnsiTheme="minorEastAsia" w:eastAsiaTheme="minorEastAsia" w:cstheme="minorEastAsia"/>
          <w:sz w:val="32"/>
          <w:szCs w:val="32"/>
          <w:lang w:eastAsia="zh-CN"/>
        </w:rPr>
        <w:t>将下行至</w:t>
      </w:r>
      <w:r>
        <w:rPr>
          <w:rFonts w:hint="eastAsia" w:asciiTheme="minorEastAsia" w:hAnsiTheme="minorEastAsia" w:eastAsiaTheme="minorEastAsia" w:cstheme="minorEastAsia"/>
          <w:sz w:val="32"/>
          <w:szCs w:val="32"/>
        </w:rPr>
        <w:t>4.2%</w:t>
      </w:r>
      <w:r>
        <w:rPr>
          <w:rFonts w:hint="eastAsia" w:asciiTheme="minorEastAsia" w:hAnsiTheme="minorEastAsia" w:eastAsiaTheme="minorEastAsia" w:cstheme="minorEastAsia"/>
          <w:sz w:val="32"/>
          <w:szCs w:val="32"/>
          <w:lang w:eastAsia="zh-CN"/>
        </w:rPr>
        <w:t>左右，反之，将上冲至</w:t>
      </w:r>
      <w:r>
        <w:rPr>
          <w:rFonts w:hint="eastAsia" w:asciiTheme="minorEastAsia" w:hAnsiTheme="minorEastAsia" w:eastAsiaTheme="minorEastAsia" w:cstheme="minorEastAsia"/>
          <w:sz w:val="32"/>
          <w:szCs w:val="32"/>
        </w:rPr>
        <w:t>4.5</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lang w:val="en-US" w:eastAsia="zh-CN"/>
        </w:rPr>
        <w:t>10年期美债收益率是全球资产价格的定锚，影响重大。</w:t>
      </w:r>
    </w:p>
    <w:p>
      <w:pPr>
        <w:keepNext w:val="0"/>
        <w:keepLines w:val="0"/>
        <w:pageBreakBefore w:val="0"/>
        <w:widowControl w:val="0"/>
        <w:kinsoku/>
        <w:wordWrap/>
        <w:overflowPunct/>
        <w:topLinePunct w:val="0"/>
        <w:autoSpaceDE/>
        <w:autoSpaceDN/>
        <w:bidi w:val="0"/>
        <w:adjustRightInd/>
        <w:snapToGrid/>
        <w:ind w:firstLine="608" w:firstLineChars="200"/>
        <w:textAlignment w:val="auto"/>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另外，作为季度再融资拍卖</w:t>
      </w:r>
      <w:r>
        <w:rPr>
          <w:rFonts w:hint="eastAsia" w:asciiTheme="minorEastAsia" w:hAnsiTheme="minorEastAsia" w:eastAsiaTheme="minorEastAsia" w:cstheme="minorEastAsia"/>
          <w:sz w:val="32"/>
          <w:szCs w:val="32"/>
          <w:lang w:eastAsia="zh-CN"/>
        </w:rPr>
        <w:t>（即借新还旧）</w:t>
      </w:r>
      <w:r>
        <w:rPr>
          <w:rFonts w:hint="eastAsia" w:asciiTheme="minorEastAsia" w:hAnsiTheme="minorEastAsia" w:eastAsiaTheme="minorEastAsia" w:cstheme="minorEastAsia"/>
          <w:sz w:val="32"/>
          <w:szCs w:val="32"/>
        </w:rPr>
        <w:t>的一部分</w:t>
      </w:r>
      <w:r>
        <w:rPr>
          <w:rFonts w:hint="eastAsia" w:asciiTheme="minorEastAsia" w:hAnsiTheme="minorEastAsia" w:eastAsiaTheme="minorEastAsia" w:cstheme="minorEastAsia"/>
          <w:sz w:val="32"/>
          <w:szCs w:val="32"/>
          <w:lang w:eastAsia="zh-CN"/>
        </w:rPr>
        <w:t>，本周美国</w:t>
      </w:r>
      <w:r>
        <w:rPr>
          <w:rFonts w:hint="eastAsia" w:asciiTheme="minorEastAsia" w:hAnsiTheme="minorEastAsia" w:eastAsiaTheme="minorEastAsia" w:cstheme="minorEastAsia"/>
          <w:sz w:val="32"/>
          <w:szCs w:val="32"/>
        </w:rPr>
        <w:t>财政部还将出售580亿美元的3年期债券</w:t>
      </w:r>
      <w:r>
        <w:rPr>
          <w:rFonts w:hint="eastAsia" w:asciiTheme="minorEastAsia" w:hAnsiTheme="minorEastAsia" w:eastAsiaTheme="minorEastAsia" w:cstheme="minorEastAsia"/>
          <w:sz w:val="32"/>
          <w:szCs w:val="32"/>
          <w:lang w:eastAsia="zh-CN"/>
        </w:rPr>
        <w:t>，因此本周</w:t>
      </w:r>
      <w:r>
        <w:rPr>
          <w:rFonts w:hint="eastAsia" w:asciiTheme="minorEastAsia" w:hAnsiTheme="minorEastAsia" w:eastAsiaTheme="minorEastAsia" w:cstheme="minorEastAsia"/>
          <w:sz w:val="32"/>
          <w:szCs w:val="32"/>
        </w:rPr>
        <w:t>共有1250亿美元的债券供应</w:t>
      </w:r>
      <w:r>
        <w:rPr>
          <w:rFonts w:hint="eastAsia" w:asciiTheme="minorEastAsia" w:hAnsiTheme="minorEastAsia" w:eastAsiaTheme="minorEastAsia" w:cstheme="minorEastAsia"/>
          <w:sz w:val="32"/>
          <w:szCs w:val="32"/>
          <w:lang w:eastAsia="zh-CN"/>
        </w:rPr>
        <w:t>上市，市场接受度如何，值得关注。</w:t>
      </w:r>
    </w:p>
    <w:p>
      <w:pPr>
        <w:keepNext w:val="0"/>
        <w:keepLines w:val="0"/>
        <w:pageBreakBefore w:val="0"/>
        <w:widowControl w:val="0"/>
        <w:kinsoku/>
        <w:wordWrap/>
        <w:overflowPunct/>
        <w:topLinePunct w:val="0"/>
        <w:autoSpaceDE/>
        <w:autoSpaceDN/>
        <w:bidi w:val="0"/>
        <w:adjustRightInd/>
        <w:snapToGrid/>
        <w:ind w:firstLine="608" w:firstLineChars="200"/>
        <w:textAlignment w:val="auto"/>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二、欧洲经济复苏，制造业仍需观察</w:t>
      </w:r>
    </w:p>
    <w:p>
      <w:pPr>
        <w:keepNext w:val="0"/>
        <w:keepLines w:val="0"/>
        <w:pageBreakBefore w:val="0"/>
        <w:widowControl w:val="0"/>
        <w:kinsoku/>
        <w:wordWrap/>
        <w:overflowPunct/>
        <w:topLinePunct w:val="0"/>
        <w:autoSpaceDE/>
        <w:autoSpaceDN/>
        <w:bidi w:val="0"/>
        <w:adjustRightInd/>
        <w:snapToGrid/>
        <w:ind w:firstLine="608" w:firstLineChars="200"/>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欧盟统计局继续公布了各大经济体的PMI数据，汇总如下（见表格一）。</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数据可见，欧元区及英国的经济开始复苏，基本已经走出衰退，但制造业仍处于荣枯线之下 ，说明当前仍处于去库存周期当中，有望在二季度能见到反转。</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34290</wp:posOffset>
            </wp:positionV>
            <wp:extent cx="5610860" cy="3919220"/>
            <wp:effectExtent l="0" t="0" r="8890" b="5080"/>
            <wp:wrapTopAndBottom/>
            <wp:docPr id="2" name="图片 2" descr="图片1-5月7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5月7日"/>
                    <pic:cNvPicPr>
                      <a:picLocks noChangeAspect="1"/>
                    </pic:cNvPicPr>
                  </pic:nvPicPr>
                  <pic:blipFill>
                    <a:blip r:embed="rId11"/>
                    <a:stretch>
                      <a:fillRect/>
                    </a:stretch>
                  </pic:blipFill>
                  <pic:spPr>
                    <a:xfrm>
                      <a:off x="0" y="0"/>
                      <a:ext cx="5610860" cy="3919220"/>
                    </a:xfrm>
                    <a:prstGeom prst="rect">
                      <a:avLst/>
                    </a:prstGeom>
                  </pic:spPr>
                </pic:pic>
              </a:graphicData>
            </a:graphic>
          </wp:anchor>
        </w:drawing>
      </w:r>
      <w:r>
        <w:rPr>
          <w:rFonts w:hint="eastAsia" w:asciiTheme="minorEastAsia" w:hAnsiTheme="minorEastAsia" w:eastAsiaTheme="minorEastAsia" w:cstheme="minorEastAsia"/>
          <w:sz w:val="32"/>
          <w:szCs w:val="32"/>
          <w:lang w:val="en-US" w:eastAsia="zh-CN"/>
        </w:rPr>
        <w:t>亚洲的三个出口型经济体，制造业PMI表现得也并不强劲（见表格二），说明全球市场的商品需求都在放缓，需要时间修复。</w:t>
      </w:r>
    </w:p>
    <w:p>
      <w:pPr>
        <w:rPr>
          <w:rFonts w:hint="eastAsia" w:ascii="方正小标宋_GBK" w:hAnsi="方正小标宋_GBK" w:eastAsia="方正小标宋_GBK" w:cs="方正小标宋_GBK"/>
          <w:b/>
          <w:bCs/>
          <w:color w:val="0000FF"/>
          <w:sz w:val="32"/>
          <w:szCs w:val="32"/>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drawing>
          <wp:anchor distT="0" distB="0" distL="114300" distR="114300" simplePos="0" relativeHeight="251668480" behindDoc="0" locked="0" layoutInCell="1" allowOverlap="1">
            <wp:simplePos x="0" y="0"/>
            <wp:positionH relativeFrom="column">
              <wp:posOffset>15875</wp:posOffset>
            </wp:positionH>
            <wp:positionV relativeFrom="paragraph">
              <wp:posOffset>98425</wp:posOffset>
            </wp:positionV>
            <wp:extent cx="5615305" cy="998220"/>
            <wp:effectExtent l="0" t="0" r="4445" b="11430"/>
            <wp:wrapTopAndBottom/>
            <wp:docPr id="5" name="图片 5" descr="图片2-5月7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5月7日"/>
                    <pic:cNvPicPr>
                      <a:picLocks noChangeAspect="1"/>
                    </pic:cNvPicPr>
                  </pic:nvPicPr>
                  <pic:blipFill>
                    <a:blip r:embed="rId12"/>
                    <a:stretch>
                      <a:fillRect/>
                    </a:stretch>
                  </pic:blipFill>
                  <pic:spPr>
                    <a:xfrm>
                      <a:off x="0" y="0"/>
                      <a:ext cx="5615305" cy="998220"/>
                    </a:xfrm>
                    <a:prstGeom prst="rect">
                      <a:avLst/>
                    </a:prstGeom>
                  </pic:spPr>
                </pic:pic>
              </a:graphicData>
            </a:graphic>
          </wp:anchor>
        </w:drawing>
      </w:r>
    </w:p>
    <w:p>
      <w:pPr>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5月8日（周三）</w:t>
      </w:r>
    </w:p>
    <w:p>
      <w:pPr>
        <w:jc w:val="center"/>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日本经济稳定，汇率趋势难改</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lang w:val="en-US" w:eastAsia="zh-CN"/>
        </w:rPr>
      </w:pPr>
      <w:r>
        <w:rPr>
          <w:rFonts w:hint="eastAsia" w:asciiTheme="minorEastAsia" w:hAnsiTheme="minorEastAsia" w:eastAsiaTheme="minorEastAsia" w:cstheme="minorEastAsia"/>
          <w:sz w:val="32"/>
          <w:szCs w:val="32"/>
          <w:lang w:val="en-US" w:eastAsia="zh-CN"/>
        </w:rPr>
        <w:t>5月7日（周二），IHS Markit完成4月份日本“采购经理人指数”（PMI）数据披露（见表格），从该指标看，日本经济处于扩张之中。目前，日本经济面临的主要挑战是汇率。</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drawing>
          <wp:anchor distT="0" distB="0" distL="114300" distR="114300" simplePos="0" relativeHeight="251664384" behindDoc="0" locked="0" layoutInCell="1" allowOverlap="1">
            <wp:simplePos x="0" y="0"/>
            <wp:positionH relativeFrom="column">
              <wp:posOffset>310515</wp:posOffset>
            </wp:positionH>
            <wp:positionV relativeFrom="paragraph">
              <wp:posOffset>50165</wp:posOffset>
            </wp:positionV>
            <wp:extent cx="4707890" cy="948690"/>
            <wp:effectExtent l="0" t="0" r="16510" b="3810"/>
            <wp:wrapTopAndBottom/>
            <wp:docPr id="4" name="图片 4" descr="图片3-5月8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5月8日"/>
                    <pic:cNvPicPr>
                      <a:picLocks noChangeAspect="1"/>
                    </pic:cNvPicPr>
                  </pic:nvPicPr>
                  <pic:blipFill>
                    <a:blip r:embed="rId13"/>
                    <a:stretch>
                      <a:fillRect/>
                    </a:stretch>
                  </pic:blipFill>
                  <pic:spPr>
                    <a:xfrm>
                      <a:off x="0" y="0"/>
                      <a:ext cx="4707890" cy="948690"/>
                    </a:xfrm>
                    <a:prstGeom prst="rect">
                      <a:avLst/>
                    </a:prstGeom>
                  </pic:spPr>
                </pic:pic>
              </a:graphicData>
            </a:graphic>
          </wp:anchor>
        </w:drawing>
      </w:r>
      <w:r>
        <w:rPr>
          <w:rFonts w:hint="eastAsia" w:asciiTheme="minorEastAsia" w:hAnsiTheme="minorEastAsia" w:eastAsiaTheme="minorEastAsia" w:cstheme="minorEastAsia"/>
          <w:sz w:val="32"/>
          <w:szCs w:val="32"/>
          <w:lang w:val="en-US" w:eastAsia="zh-CN"/>
        </w:rPr>
        <w:t>4月29日，日本央行通过直接市场操作，对汇率进行了干预，干预规模约为5.5万亿日元。此后，日元兑美元汇率大涨3.5%。</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市场分析认为，尽管日本央行采取了相关措施，但美日利差客观存在，资金外流的情况不会改变；而且，日本央行至今仍在实施部分宽松的货币政策，因此汇率走势不可能得到逆转。</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总之，由于内部和外部因素的限制，日本央行对汇率的干预效果有限。如果日元持续走贬，短期有利于日本产品的出口竞争力，但最终会诱发输入型通胀。</w:t>
      </w:r>
    </w:p>
    <w:p>
      <w:pPr>
        <w:rPr>
          <w:rFonts w:hint="eastAsia"/>
          <w:lang w:val="en-US" w:eastAsia="zh-CN"/>
        </w:rPr>
      </w:pPr>
      <w:r>
        <w:drawing>
          <wp:anchor distT="0" distB="0" distL="114300" distR="114300" simplePos="0" relativeHeight="251665408" behindDoc="0" locked="0" layoutInCell="1" allowOverlap="1">
            <wp:simplePos x="0" y="0"/>
            <wp:positionH relativeFrom="column">
              <wp:posOffset>391795</wp:posOffset>
            </wp:positionH>
            <wp:positionV relativeFrom="paragraph">
              <wp:posOffset>167005</wp:posOffset>
            </wp:positionV>
            <wp:extent cx="4408805" cy="2372995"/>
            <wp:effectExtent l="0" t="0" r="10795" b="8255"/>
            <wp:wrapTopAndBottom/>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4"/>
                    <a:stretch>
                      <a:fillRect/>
                    </a:stretch>
                  </pic:blipFill>
                  <pic:spPr>
                    <a:xfrm>
                      <a:off x="0" y="0"/>
                      <a:ext cx="4408805" cy="2372995"/>
                    </a:xfrm>
                    <a:prstGeom prst="rect">
                      <a:avLst/>
                    </a:prstGeom>
                    <a:noFill/>
                    <a:ln>
                      <a:noFill/>
                    </a:ln>
                  </pic:spPr>
                </pic:pic>
              </a:graphicData>
            </a:graphic>
          </wp:anchor>
        </w:drawing>
      </w:r>
    </w:p>
    <w:p>
      <w:pPr>
        <w:rPr>
          <w:rFonts w:hint="eastAsia" w:ascii="方正小标宋_GBK" w:hAnsi="方正小标宋_GBK" w:eastAsia="方正小标宋_GBK" w:cs="方正小标宋_GBK"/>
          <w:b/>
          <w:bCs/>
          <w:color w:val="0000FF"/>
          <w:sz w:val="32"/>
          <w:szCs w:val="32"/>
          <w:highlight w:val="yellow"/>
          <w:lang w:val="en-US" w:eastAsia="zh-CN"/>
        </w:rPr>
      </w:pPr>
    </w:p>
    <w:p>
      <w:pPr>
        <w:rPr>
          <w:rFonts w:hint="eastAsia" w:ascii="方正小标宋_GBK" w:hAnsi="方正小标宋_GBK" w:eastAsia="方正小标宋_GBK" w:cs="方正小标宋_GBK"/>
          <w:b/>
          <w:bCs/>
          <w:color w:val="0000FF"/>
          <w:sz w:val="32"/>
          <w:szCs w:val="32"/>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5月9日（周四）</w:t>
      </w:r>
    </w:p>
    <w:p>
      <w:pPr>
        <w:jc w:val="center"/>
        <w:rPr>
          <w:rFonts w:hint="eastAsia" w:ascii="方正小标宋_GBK" w:hAnsi="方正小标宋_GBK" w:eastAsia="方正小标宋_GBK" w:cs="方正小标宋_GBK"/>
          <w:b/>
          <w:bCs/>
          <w:color w:val="0000FF"/>
          <w:sz w:val="44"/>
          <w:szCs w:val="44"/>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美债市场呈中性，长</w:t>
      </w:r>
      <w:bookmarkStart w:id="0" w:name="_GoBack"/>
      <w:bookmarkEnd w:id="0"/>
      <w:r>
        <w:rPr>
          <w:rFonts w:hint="eastAsia" w:ascii="方正小标宋_GBK" w:hAnsi="方正小标宋_GBK" w:eastAsia="方正小标宋_GBK" w:cs="方正小标宋_GBK"/>
          <w:b/>
          <w:bCs/>
          <w:color w:val="0000FF"/>
          <w:sz w:val="36"/>
          <w:szCs w:val="36"/>
          <w:highlight w:val="yellow"/>
          <w:lang w:val="en-US" w:eastAsia="zh-CN"/>
        </w:rPr>
        <w:t>短期收益率倒挂依旧</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5月8日</w:t>
      </w:r>
      <w:r>
        <w:rPr>
          <w:rFonts w:hint="eastAsia" w:asciiTheme="minorEastAsia" w:hAnsiTheme="minorEastAsia" w:eastAsiaTheme="minorEastAsia" w:cstheme="minorEastAsia"/>
          <w:sz w:val="32"/>
          <w:szCs w:val="32"/>
          <w:lang w:eastAsia="zh-CN"/>
        </w:rPr>
        <w:t>（周三），</w:t>
      </w:r>
      <w:r>
        <w:rPr>
          <w:rFonts w:hint="eastAsia" w:asciiTheme="minorEastAsia" w:hAnsiTheme="minorEastAsia" w:eastAsiaTheme="minorEastAsia" w:cstheme="minorEastAsia"/>
          <w:sz w:val="32"/>
          <w:szCs w:val="32"/>
        </w:rPr>
        <w:t>10年期美债拍卖</w:t>
      </w:r>
      <w:r>
        <w:rPr>
          <w:rFonts w:hint="eastAsia" w:asciiTheme="minorEastAsia" w:hAnsiTheme="minorEastAsia" w:eastAsiaTheme="minorEastAsia" w:cstheme="minorEastAsia"/>
          <w:sz w:val="32"/>
          <w:szCs w:val="32"/>
          <w:lang w:eastAsia="zh-CN"/>
        </w:rPr>
        <w:t>结果</w:t>
      </w:r>
      <w:r>
        <w:rPr>
          <w:rFonts w:hint="eastAsia" w:asciiTheme="minorEastAsia" w:hAnsiTheme="minorEastAsia" w:eastAsiaTheme="minorEastAsia" w:cstheme="minorEastAsia"/>
          <w:sz w:val="32"/>
          <w:szCs w:val="32"/>
        </w:rPr>
        <w:t>不佳</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导致</w:t>
      </w:r>
      <w:r>
        <w:rPr>
          <w:rFonts w:hint="eastAsia" w:asciiTheme="minorEastAsia" w:hAnsiTheme="minorEastAsia" w:eastAsiaTheme="minorEastAsia" w:cstheme="minorEastAsia"/>
          <w:sz w:val="32"/>
          <w:szCs w:val="32"/>
          <w:lang w:eastAsia="zh-CN"/>
        </w:rPr>
        <w:t>其</w:t>
      </w:r>
      <w:r>
        <w:rPr>
          <w:rFonts w:hint="eastAsia" w:asciiTheme="minorEastAsia" w:hAnsiTheme="minorEastAsia" w:eastAsiaTheme="minorEastAsia" w:cstheme="minorEastAsia"/>
          <w:sz w:val="32"/>
          <w:szCs w:val="32"/>
        </w:rPr>
        <w:t>收益率回升</w:t>
      </w:r>
      <w:r>
        <w:rPr>
          <w:rFonts w:hint="eastAsia" w:asciiTheme="minorEastAsia" w:hAnsiTheme="minorEastAsia" w:eastAsiaTheme="minorEastAsia" w:cstheme="minorEastAsia"/>
          <w:sz w:val="32"/>
          <w:szCs w:val="32"/>
          <w:lang w:eastAsia="zh-CN"/>
        </w:rPr>
        <w:t>；与此同时，</w:t>
      </w:r>
      <w:r>
        <w:rPr>
          <w:rFonts w:hint="eastAsia" w:asciiTheme="minorEastAsia" w:hAnsiTheme="minorEastAsia" w:eastAsiaTheme="minorEastAsia" w:cstheme="minorEastAsia"/>
          <w:sz w:val="32"/>
          <w:szCs w:val="32"/>
          <w:lang w:val="en-US" w:eastAsia="zh-CN"/>
        </w:rPr>
        <w:t>2</w:t>
      </w:r>
      <w:r>
        <w:rPr>
          <w:rFonts w:hint="eastAsia" w:asciiTheme="minorEastAsia" w:hAnsiTheme="minorEastAsia" w:eastAsiaTheme="minorEastAsia" w:cstheme="minorEastAsia"/>
          <w:sz w:val="32"/>
          <w:szCs w:val="32"/>
        </w:rPr>
        <w:t>年期美债收益率继续从5%的水平回落</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上周五</w:t>
      </w:r>
      <w:r>
        <w:rPr>
          <w:rFonts w:hint="eastAsia" w:asciiTheme="minorEastAsia" w:hAnsiTheme="minorEastAsia" w:eastAsiaTheme="minorEastAsia" w:cstheme="minorEastAsia"/>
          <w:sz w:val="32"/>
          <w:szCs w:val="32"/>
          <w:lang w:eastAsia="zh-CN"/>
        </w:rPr>
        <w:t>“大</w:t>
      </w:r>
      <w:r>
        <w:rPr>
          <w:rFonts w:hint="eastAsia" w:asciiTheme="minorEastAsia" w:hAnsiTheme="minorEastAsia" w:eastAsiaTheme="minorEastAsia" w:cstheme="minorEastAsia"/>
          <w:sz w:val="32"/>
          <w:szCs w:val="32"/>
        </w:rPr>
        <w:t>非农</w:t>
      </w:r>
      <w:r>
        <w:rPr>
          <w:rFonts w:hint="eastAsia" w:asciiTheme="minorEastAsia" w:hAnsiTheme="minorEastAsia" w:eastAsiaTheme="minorEastAsia" w:cstheme="minorEastAsia"/>
          <w:sz w:val="32"/>
          <w:szCs w:val="32"/>
          <w:lang w:eastAsia="zh-CN"/>
        </w:rPr>
        <w:t>”数据</w:t>
      </w:r>
      <w:r>
        <w:rPr>
          <w:rFonts w:hint="eastAsia" w:asciiTheme="minorEastAsia" w:hAnsiTheme="minorEastAsia" w:eastAsiaTheme="minorEastAsia" w:cstheme="minorEastAsia"/>
          <w:sz w:val="32"/>
          <w:szCs w:val="32"/>
        </w:rPr>
        <w:t>显示就业市场</w:t>
      </w:r>
      <w:r>
        <w:rPr>
          <w:rFonts w:hint="eastAsia" w:asciiTheme="minorEastAsia" w:hAnsiTheme="minorEastAsia" w:eastAsiaTheme="minorEastAsia" w:cstheme="minorEastAsia"/>
          <w:sz w:val="32"/>
          <w:szCs w:val="32"/>
          <w:lang w:eastAsia="zh-CN"/>
        </w:rPr>
        <w:t>降温之</w:t>
      </w:r>
      <w:r>
        <w:rPr>
          <w:rFonts w:hint="eastAsia" w:asciiTheme="minorEastAsia" w:hAnsiTheme="minorEastAsia" w:eastAsiaTheme="minorEastAsia" w:cstheme="minorEastAsia"/>
          <w:sz w:val="32"/>
          <w:szCs w:val="32"/>
        </w:rPr>
        <w:t>后</w:t>
      </w:r>
      <w:r>
        <w:rPr>
          <w:rFonts w:hint="eastAsia" w:asciiTheme="minorEastAsia" w:hAnsiTheme="minorEastAsia" w:eastAsiaTheme="minorEastAsia" w:cstheme="minorEastAsia"/>
          <w:sz w:val="32"/>
          <w:szCs w:val="32"/>
          <w:lang w:eastAsia="zh-CN"/>
        </w:rPr>
        <w:t>，市场</w:t>
      </w:r>
      <w:r>
        <w:rPr>
          <w:rFonts w:hint="eastAsia" w:asciiTheme="minorEastAsia" w:hAnsiTheme="minorEastAsia" w:eastAsiaTheme="minorEastAsia" w:cstheme="minorEastAsia"/>
          <w:sz w:val="32"/>
          <w:szCs w:val="32"/>
        </w:rPr>
        <w:t>对今年的降息</w:t>
      </w:r>
      <w:r>
        <w:rPr>
          <w:rFonts w:hint="eastAsia" w:asciiTheme="minorEastAsia" w:hAnsiTheme="minorEastAsia" w:eastAsiaTheme="minorEastAsia" w:cstheme="minorEastAsia"/>
          <w:sz w:val="32"/>
          <w:szCs w:val="32"/>
          <w:lang w:eastAsia="zh-CN"/>
        </w:rPr>
        <w:t>预期进行了</w:t>
      </w:r>
      <w:r>
        <w:rPr>
          <w:rFonts w:hint="eastAsia" w:asciiTheme="minorEastAsia" w:hAnsiTheme="minorEastAsia" w:eastAsiaTheme="minorEastAsia" w:cstheme="minorEastAsia"/>
          <w:sz w:val="32"/>
          <w:szCs w:val="32"/>
        </w:rPr>
        <w:t>重新定价</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由于今年利率</w:t>
      </w:r>
      <w:r>
        <w:rPr>
          <w:rFonts w:hint="eastAsia" w:asciiTheme="minorEastAsia" w:hAnsiTheme="minorEastAsia" w:eastAsiaTheme="minorEastAsia" w:cstheme="minorEastAsia"/>
          <w:sz w:val="32"/>
          <w:szCs w:val="32"/>
          <w:lang w:eastAsia="zh-CN"/>
        </w:rPr>
        <w:t>走向存在</w:t>
      </w:r>
      <w:r>
        <w:rPr>
          <w:rFonts w:hint="eastAsia" w:asciiTheme="minorEastAsia" w:hAnsiTheme="minorEastAsia" w:eastAsiaTheme="minorEastAsia" w:cstheme="minorEastAsia"/>
          <w:sz w:val="32"/>
          <w:szCs w:val="32"/>
        </w:rPr>
        <w:t>很大争议</w:t>
      </w:r>
      <w:r>
        <w:rPr>
          <w:rFonts w:hint="eastAsia" w:asciiTheme="minorEastAsia" w:hAnsiTheme="minorEastAsia" w:eastAsiaTheme="minorEastAsia" w:cstheme="minorEastAsia"/>
          <w:sz w:val="32"/>
          <w:szCs w:val="32"/>
          <w:lang w:eastAsia="zh-CN"/>
        </w:rPr>
        <w:t>，国债市场的</w:t>
      </w:r>
      <w:r>
        <w:rPr>
          <w:rFonts w:hint="eastAsia" w:asciiTheme="minorEastAsia" w:hAnsiTheme="minorEastAsia" w:eastAsiaTheme="minorEastAsia" w:cstheme="minorEastAsia"/>
          <w:sz w:val="32"/>
          <w:szCs w:val="32"/>
        </w:rPr>
        <w:t>交易员们</w:t>
      </w:r>
      <w:r>
        <w:rPr>
          <w:rFonts w:hint="eastAsia" w:asciiTheme="minorEastAsia" w:hAnsiTheme="minorEastAsia" w:eastAsiaTheme="minorEastAsia" w:cstheme="minorEastAsia"/>
          <w:sz w:val="32"/>
          <w:szCs w:val="32"/>
          <w:lang w:eastAsia="zh-CN"/>
        </w:rPr>
        <w:t>开始观望，</w:t>
      </w:r>
      <w:r>
        <w:rPr>
          <w:rFonts w:hint="eastAsia" w:asciiTheme="minorEastAsia" w:hAnsiTheme="minorEastAsia" w:eastAsiaTheme="minorEastAsia" w:cstheme="minorEastAsia"/>
          <w:sz w:val="32"/>
          <w:szCs w:val="32"/>
        </w:rPr>
        <w:t>美债市场</w:t>
      </w:r>
      <w:r>
        <w:rPr>
          <w:rFonts w:hint="eastAsia" w:asciiTheme="minorEastAsia" w:hAnsiTheme="minorEastAsia" w:eastAsiaTheme="minorEastAsia" w:cstheme="minorEastAsia"/>
          <w:sz w:val="32"/>
          <w:szCs w:val="32"/>
          <w:lang w:eastAsia="zh-CN"/>
        </w:rPr>
        <w:t>的</w:t>
      </w:r>
      <w:r>
        <w:rPr>
          <w:rFonts w:hint="eastAsia" w:asciiTheme="minorEastAsia" w:hAnsiTheme="minorEastAsia" w:eastAsiaTheme="minorEastAsia" w:cstheme="minorEastAsia"/>
          <w:sz w:val="32"/>
          <w:szCs w:val="32"/>
        </w:rPr>
        <w:t>定位</w:t>
      </w:r>
      <w:r>
        <w:rPr>
          <w:rFonts w:hint="eastAsia" w:asciiTheme="minorEastAsia" w:hAnsiTheme="minorEastAsia" w:eastAsiaTheme="minorEastAsia" w:cstheme="minorEastAsia"/>
          <w:sz w:val="32"/>
          <w:szCs w:val="32"/>
          <w:lang w:eastAsia="zh-CN"/>
        </w:rPr>
        <w:t>因此</w:t>
      </w:r>
      <w:r>
        <w:rPr>
          <w:rFonts w:hint="eastAsia" w:asciiTheme="minorEastAsia" w:hAnsiTheme="minorEastAsia" w:eastAsiaTheme="minorEastAsia" w:cstheme="minorEastAsia"/>
          <w:sz w:val="32"/>
          <w:szCs w:val="32"/>
        </w:rPr>
        <w:t>转为中性</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看跌押注减少了</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看涨押注也没有大幅增加</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多空</w:t>
      </w:r>
      <w:r>
        <w:rPr>
          <w:rFonts w:hint="eastAsia" w:asciiTheme="minorEastAsia" w:hAnsiTheme="minorEastAsia" w:eastAsiaTheme="minorEastAsia" w:cstheme="minorEastAsia"/>
          <w:sz w:val="32"/>
          <w:szCs w:val="32"/>
          <w:lang w:eastAsia="zh-CN"/>
        </w:rPr>
        <w:t>处于暂时的平衡。</w:t>
      </w:r>
    </w:p>
    <w:p>
      <w:r>
        <w:drawing>
          <wp:anchor distT="0" distB="0" distL="114300" distR="114300" simplePos="0" relativeHeight="251666432" behindDoc="0" locked="0" layoutInCell="1" allowOverlap="1">
            <wp:simplePos x="0" y="0"/>
            <wp:positionH relativeFrom="column">
              <wp:posOffset>487045</wp:posOffset>
            </wp:positionH>
            <wp:positionV relativeFrom="paragraph">
              <wp:posOffset>55880</wp:posOffset>
            </wp:positionV>
            <wp:extent cx="4554220" cy="3178810"/>
            <wp:effectExtent l="0" t="0" r="17780" b="254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4554220" cy="317881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eastAsia="zh-CN"/>
        </w:rPr>
        <w:t>必须注意的是，自</w:t>
      </w:r>
      <w:r>
        <w:rPr>
          <w:rFonts w:hint="eastAsia" w:asciiTheme="minorEastAsia" w:hAnsiTheme="minorEastAsia" w:eastAsiaTheme="minorEastAsia" w:cstheme="minorEastAsia"/>
          <w:sz w:val="32"/>
          <w:szCs w:val="32"/>
          <w:lang w:val="en-US" w:eastAsia="zh-CN"/>
        </w:rPr>
        <w:t>2022年7月开始10年期和2年期美债收益率开始倒挂，至今倒挂仍未解除（见图），金融部门承受着巨大“账面亏损”的压力。</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lang w:eastAsia="zh-CN"/>
        </w:rPr>
      </w:pPr>
      <w:r>
        <w:rPr>
          <w:rFonts w:hint="eastAsia" w:asciiTheme="minorEastAsia" w:hAnsiTheme="minorEastAsia" w:eastAsiaTheme="minorEastAsia" w:cstheme="minorEastAsia"/>
          <w:sz w:val="32"/>
          <w:szCs w:val="32"/>
          <w:lang w:eastAsia="zh-CN"/>
        </w:rPr>
        <w:t>近日，</w:t>
      </w:r>
      <w:r>
        <w:rPr>
          <w:rFonts w:hint="eastAsia" w:asciiTheme="minorEastAsia" w:hAnsiTheme="minorEastAsia" w:eastAsiaTheme="minorEastAsia" w:cstheme="minorEastAsia"/>
          <w:sz w:val="32"/>
          <w:szCs w:val="32"/>
        </w:rPr>
        <w:t>明尼阿波利斯联邦储备银行</w:t>
      </w:r>
      <w:r>
        <w:rPr>
          <w:rFonts w:hint="eastAsia" w:asciiTheme="minorEastAsia" w:hAnsiTheme="minorEastAsia" w:eastAsiaTheme="minorEastAsia" w:cstheme="minorEastAsia"/>
          <w:sz w:val="32"/>
          <w:szCs w:val="32"/>
          <w:lang w:eastAsia="zh-CN"/>
        </w:rPr>
        <w:t>主席</w:t>
      </w:r>
      <w:r>
        <w:rPr>
          <w:rFonts w:hint="eastAsia" w:asciiTheme="minorEastAsia" w:hAnsiTheme="minorEastAsia" w:eastAsiaTheme="minorEastAsia" w:cstheme="minorEastAsia"/>
          <w:sz w:val="32"/>
          <w:szCs w:val="32"/>
        </w:rPr>
        <w:t>卡什卡里</w:t>
      </w:r>
      <w:r>
        <w:rPr>
          <w:rFonts w:hint="eastAsia" w:asciiTheme="minorEastAsia" w:hAnsiTheme="minorEastAsia" w:eastAsiaTheme="minorEastAsia" w:cstheme="minorEastAsia"/>
          <w:sz w:val="32"/>
          <w:szCs w:val="32"/>
          <w:lang w:eastAsia="zh-CN"/>
        </w:rPr>
        <w:t>和</w:t>
      </w:r>
      <w:r>
        <w:rPr>
          <w:rFonts w:hint="eastAsia" w:asciiTheme="minorEastAsia" w:hAnsiTheme="minorEastAsia" w:eastAsiaTheme="minorEastAsia" w:cstheme="minorEastAsia"/>
          <w:sz w:val="32"/>
          <w:szCs w:val="32"/>
        </w:rPr>
        <w:t>波士顿联储主席柯林斯</w:t>
      </w:r>
      <w:r>
        <w:rPr>
          <w:rFonts w:hint="eastAsia" w:asciiTheme="minorEastAsia" w:hAnsiTheme="minorEastAsia" w:eastAsiaTheme="minorEastAsia" w:cstheme="minorEastAsia"/>
          <w:sz w:val="32"/>
          <w:szCs w:val="32"/>
          <w:lang w:eastAsia="zh-CN"/>
        </w:rPr>
        <w:t>，发出相同的</w:t>
      </w:r>
      <w:r>
        <w:rPr>
          <w:rFonts w:hint="eastAsia" w:asciiTheme="minorEastAsia" w:hAnsiTheme="minorEastAsia" w:eastAsiaTheme="minorEastAsia" w:cstheme="minorEastAsia"/>
          <w:sz w:val="32"/>
          <w:szCs w:val="32"/>
        </w:rPr>
        <w:t>鹰派言论</w:t>
      </w:r>
      <w:r>
        <w:rPr>
          <w:rFonts w:hint="eastAsia" w:asciiTheme="minorEastAsia" w:hAnsiTheme="minorEastAsia" w:eastAsiaTheme="minorEastAsia" w:cstheme="minorEastAsia"/>
          <w:sz w:val="32"/>
          <w:szCs w:val="32"/>
          <w:lang w:eastAsia="zh-CN"/>
        </w:rPr>
        <w:t>，他俩表示：</w:t>
      </w:r>
      <w:r>
        <w:rPr>
          <w:rFonts w:hint="eastAsia" w:asciiTheme="minorEastAsia" w:hAnsiTheme="minorEastAsia" w:eastAsiaTheme="minorEastAsia" w:cstheme="minorEastAsia"/>
          <w:sz w:val="32"/>
          <w:szCs w:val="32"/>
        </w:rPr>
        <w:t>2024年</w:t>
      </w:r>
      <w:r>
        <w:rPr>
          <w:rFonts w:hint="eastAsia" w:asciiTheme="minorEastAsia" w:hAnsiTheme="minorEastAsia" w:eastAsiaTheme="minorEastAsia" w:cstheme="minorEastAsia"/>
          <w:sz w:val="32"/>
          <w:szCs w:val="32"/>
          <w:lang w:eastAsia="zh-CN"/>
        </w:rPr>
        <w:t>抗击</w:t>
      </w:r>
      <w:r>
        <w:rPr>
          <w:rFonts w:hint="eastAsia" w:asciiTheme="minorEastAsia" w:hAnsiTheme="minorEastAsia" w:eastAsiaTheme="minorEastAsia" w:cstheme="minorEastAsia"/>
          <w:sz w:val="32"/>
          <w:szCs w:val="32"/>
        </w:rPr>
        <w:t>通胀缺乏进展</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为了确保通胀率持续迈向美联储2%的目标</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需要将利率维持在高点更长时间</w:t>
      </w:r>
      <w:r>
        <w:rPr>
          <w:rFonts w:hint="eastAsia" w:asciiTheme="minorEastAsia" w:hAnsiTheme="minorEastAsia" w:eastAsiaTheme="minorEastAsia" w:cstheme="minorEastAsia"/>
          <w:sz w:val="32"/>
          <w:szCs w:val="32"/>
          <w:lang w:eastAsia="zh-CN"/>
        </w:rPr>
        <w:t>，这样</w:t>
      </w:r>
      <w:r>
        <w:rPr>
          <w:rFonts w:hint="eastAsia" w:asciiTheme="minorEastAsia" w:hAnsiTheme="minorEastAsia" w:eastAsiaTheme="minorEastAsia" w:cstheme="minorEastAsia"/>
          <w:sz w:val="32"/>
          <w:szCs w:val="32"/>
        </w:rPr>
        <w:t>才能抑制需求</w:t>
      </w:r>
      <w:r>
        <w:rPr>
          <w:rFonts w:hint="eastAsia" w:asciiTheme="minorEastAsia" w:hAnsiTheme="minorEastAsia" w:eastAsiaTheme="minorEastAsia" w:cstheme="minorEastAsia"/>
          <w:sz w:val="32"/>
          <w:szCs w:val="32"/>
          <w:lang w:eastAsia="zh-CN"/>
        </w:rPr>
        <w:t>从而</w:t>
      </w:r>
      <w:r>
        <w:rPr>
          <w:rFonts w:hint="eastAsia" w:asciiTheme="minorEastAsia" w:hAnsiTheme="minorEastAsia" w:eastAsiaTheme="minorEastAsia" w:cstheme="minorEastAsia"/>
          <w:sz w:val="32"/>
          <w:szCs w:val="32"/>
        </w:rPr>
        <w:t>减轻价格压力</w:t>
      </w:r>
      <w:r>
        <w:rPr>
          <w:rFonts w:hint="eastAsia" w:asciiTheme="minorEastAsia" w:hAnsiTheme="minorEastAsia" w:eastAsiaTheme="minorEastAsia" w:cstheme="minorEastAsia"/>
          <w:sz w:val="32"/>
          <w:szCs w:val="32"/>
          <w:lang w:eastAsia="zh-CN"/>
        </w:rPr>
        <w:t>。</w:t>
      </w:r>
    </w:p>
    <w:p>
      <w:pPr>
        <w:rPr>
          <w:rFonts w:hint="eastAsia" w:ascii="方正小标宋_GBK" w:hAnsi="方正小标宋_GBK" w:eastAsia="方正小标宋_GBK" w:cs="方正小标宋_GBK"/>
          <w:b/>
          <w:bCs/>
          <w:color w:val="0000FF"/>
          <w:sz w:val="32"/>
          <w:szCs w:val="32"/>
          <w:highlight w:val="yellow"/>
          <w:lang w:val="en-US" w:eastAsia="zh-CN"/>
        </w:rPr>
      </w:pPr>
    </w:p>
    <w:p>
      <w:pPr>
        <w:rPr>
          <w:rFonts w:hint="eastAsia" w:ascii="方正小标宋_GBK" w:hAnsi="方正小标宋_GBK" w:eastAsia="方正小标宋_GBK" w:cs="方正小标宋_GBK"/>
          <w:b/>
          <w:bCs/>
          <w:color w:val="0000FF"/>
          <w:sz w:val="32"/>
          <w:szCs w:val="32"/>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5月10日（周五）</w:t>
      </w:r>
    </w:p>
    <w:p>
      <w:pPr>
        <w:jc w:val="center"/>
        <w:rPr>
          <w:rFonts w:hint="eastAsia" w:ascii="方正小标宋_GBK" w:hAnsi="方正小标宋_GBK" w:eastAsia="方正小标宋_GBK" w:cs="方正小标宋_GBK"/>
          <w:b/>
          <w:bCs/>
          <w:color w:val="0000FF"/>
          <w:sz w:val="36"/>
          <w:szCs w:val="36"/>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美就业市场现降温迹象，市场调高降息预期</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5月9日（周四），美国劳工部发布最近两周申请失业救济的数据（见表格）。劳动力市场出现降温迹象：5月4日当周初请失业金人数创下去年8月以来最高，4月27日当周续请失业金人数创一个月以来的最大增长。</w:t>
      </w:r>
    </w:p>
    <w:p>
      <w:pPr>
        <w:keepNext w:val="0"/>
        <w:keepLines w:val="0"/>
        <w:pageBreakBefore w:val="0"/>
        <w:widowControl w:val="0"/>
        <w:kinsoku/>
        <w:wordWrap/>
        <w:overflowPunct/>
        <w:topLinePunct w:val="0"/>
        <w:autoSpaceDE/>
        <w:autoSpaceDN/>
        <w:bidi w:val="0"/>
        <w:adjustRightInd/>
        <w:snapToGrid/>
        <w:ind w:left="0" w:leftChars="0"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drawing>
          <wp:anchor distT="0" distB="0" distL="114300" distR="114300" simplePos="0" relativeHeight="251667456" behindDoc="0" locked="0" layoutInCell="1" allowOverlap="1">
            <wp:simplePos x="0" y="0"/>
            <wp:positionH relativeFrom="column">
              <wp:posOffset>179070</wp:posOffset>
            </wp:positionH>
            <wp:positionV relativeFrom="paragraph">
              <wp:posOffset>102870</wp:posOffset>
            </wp:positionV>
            <wp:extent cx="4984750" cy="776605"/>
            <wp:effectExtent l="0" t="0" r="6350" b="4445"/>
            <wp:wrapTopAndBottom/>
            <wp:docPr id="3" name="图片 3" descr="图片4-5月10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4-5月10日"/>
                    <pic:cNvPicPr>
                      <a:picLocks noChangeAspect="1"/>
                    </pic:cNvPicPr>
                  </pic:nvPicPr>
                  <pic:blipFill>
                    <a:blip r:embed="rId16"/>
                    <a:stretch>
                      <a:fillRect/>
                    </a:stretch>
                  </pic:blipFill>
                  <pic:spPr>
                    <a:xfrm>
                      <a:off x="0" y="0"/>
                      <a:ext cx="4984750" cy="776605"/>
                    </a:xfrm>
                    <a:prstGeom prst="rect">
                      <a:avLst/>
                    </a:prstGeom>
                  </pic:spPr>
                </pic:pic>
              </a:graphicData>
            </a:graphic>
          </wp:anchor>
        </w:drawing>
      </w:r>
      <w:r>
        <w:rPr>
          <w:rFonts w:hint="eastAsia" w:asciiTheme="minorEastAsia" w:hAnsiTheme="minorEastAsia" w:eastAsiaTheme="minorEastAsia" w:cstheme="minorEastAsia"/>
          <w:sz w:val="32"/>
          <w:szCs w:val="32"/>
          <w:lang w:val="en-US" w:eastAsia="zh-CN"/>
        </w:rPr>
        <w:t>劳动力市场降温提振了降息预期，市场对美联储在9月首次降息的押注提高至50%。</w:t>
      </w:r>
    </w:p>
    <w:p>
      <w:pPr>
        <w:keepNext w:val="0"/>
        <w:keepLines w:val="0"/>
        <w:pageBreakBefore w:val="0"/>
        <w:widowControl w:val="0"/>
        <w:kinsoku/>
        <w:wordWrap/>
        <w:overflowPunct/>
        <w:topLinePunct w:val="0"/>
        <w:autoSpaceDE/>
        <w:autoSpaceDN/>
        <w:bidi w:val="0"/>
        <w:adjustRightInd/>
        <w:snapToGrid/>
        <w:ind w:left="0" w:leftChars="0"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此外，同日英国央行行长贝利召开货币政策新闻发布会，宣布维持5.25%的利率水平不变。</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p>
    <w:p>
      <w:pPr>
        <w:rPr>
          <w:rFonts w:hint="default" w:ascii="Calibri" w:hAnsi="Calibri" w:eastAsia="宋体" w:cs="Calibri"/>
          <w:b/>
          <w:bCs/>
          <w:color w:val="0000FF"/>
          <w:highlight w:val="yellow"/>
          <w:lang w:val="en-US" w:eastAsia="zh-CN"/>
        </w:rPr>
      </w:pPr>
    </w:p>
    <w:p>
      <w:pPr>
        <w:ind w:firstLine="388" w:firstLineChars="200"/>
        <w:jc w:val="left"/>
        <w:rPr>
          <w:rFonts w:hint="default" w:ascii="Calibri" w:hAnsi="Calibri" w:eastAsia="宋体" w:cs="Calibri"/>
          <w:b/>
          <w:bCs/>
          <w:color w:val="0000FF"/>
          <w:highlight w:val="yellow"/>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r>
        <w:rPr>
          <w:rFonts w:hint="default" w:ascii="Times New Roman" w:hAnsi="Times New Roman" w:eastAsia="经典行楷简" w:cs="Times New Roman"/>
          <w:b/>
          <w:bCs/>
          <w:color w:val="FF0000"/>
          <w:sz w:val="96"/>
          <w:szCs w:val="96"/>
          <w:lang w:val="en-US" w:eastAsia="zh-CN"/>
        </w:rPr>
        <w:t>江苏贸促动态</w:t>
      </w:r>
    </w:p>
    <w:p>
      <w:pPr>
        <w:jc w:val="center"/>
        <w:rPr>
          <w:rFonts w:hint="eastAsia" w:asciiTheme="minorEastAsia" w:hAnsiTheme="minorEastAsia" w:eastAsiaTheme="minorEastAsia" w:cstheme="minorEastAsia"/>
          <w:color w:val="5784BB"/>
          <w:sz w:val="32"/>
          <w:szCs w:val="32"/>
        </w:rPr>
      </w:pPr>
      <w:r>
        <w:rPr>
          <w:rFonts w:hint="eastAsia" w:ascii="经典行楷简" w:hAnsi="经典行楷简" w:eastAsia="经典行楷简" w:cs="经典行楷简"/>
          <w:color w:val="0070C0"/>
          <w:spacing w:val="-20"/>
          <w:sz w:val="52"/>
          <w:szCs w:val="52"/>
        </w:rPr>
        <w:t>省贸促会领导出席第六届运河电商大会</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5月9日，以“链动未来、数启新篇”为主题的第六届运河电商大会在宿迁成功举办，活动共签约亿元以上制造业项目76个、协议总投资1255.74亿元，签约服务业项目36个。我会会长王善华出席开幕式并致辞，见证项目签约。我会二级巡视员黄政出席了由我会支持举办的跨境电商选品对接会。</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王善华在致辞中表示，今年以来，省贸促会认真贯彻许昆林省长在全省外贸工作会议暨跨境电商培训会上的讲话精神，积极落实江苏省推进跨境电商高质量发展行动计划，带动更多传统外贸企业“触网升级”“搭船出海”。当前，全省正深入学习贯彻习近平总书记参加江苏代表团审议时的重要讲话精神，全力打造具有世界聚合力的双向开放枢纽，持续推进高水平对外开放。省贸促会愿与宿迁共同努力、携手合作，深度融入数字经济发展浪潮，助力宿迁把“电商名城”品牌擦得更亮。</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会办公室、贸易促进部参加相关活动。</w:t>
      </w:r>
      <w:r>
        <w:rPr>
          <w:rFonts w:hint="eastAsia" w:ascii="方正楷体_GBK" w:hAnsi="方正楷体_GBK" w:eastAsia="方正楷体_GBK" w:cs="方正楷体_GBK"/>
          <w:b/>
          <w:bCs/>
          <w:color w:val="FF0000"/>
          <w:sz w:val="32"/>
          <w:szCs w:val="32"/>
          <w:lang w:eastAsia="zh-CN"/>
        </w:rPr>
        <w:t>（</w:t>
      </w:r>
      <w:r>
        <w:rPr>
          <w:rFonts w:hint="eastAsia" w:ascii="方正楷体_GBK" w:hAnsi="方正楷体_GBK" w:eastAsia="方正楷体_GBK" w:cs="方正楷体_GBK"/>
          <w:b/>
          <w:bCs/>
          <w:color w:val="FF0000"/>
          <w:sz w:val="32"/>
          <w:szCs w:val="32"/>
        </w:rPr>
        <w:t>贸易促进部</w:t>
      </w:r>
      <w:r>
        <w:rPr>
          <w:rFonts w:hint="eastAsia" w:ascii="方正楷体_GBK" w:hAnsi="方正楷体_GBK" w:eastAsia="方正楷体_GBK" w:cs="方正楷体_GBK"/>
          <w:b/>
          <w:bCs/>
          <w:color w:val="FF0000"/>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sz w:val="32"/>
          <w:szCs w:val="32"/>
          <w:lang w:eastAsia="zh-CN"/>
        </w:rPr>
      </w:pPr>
      <w:r>
        <w:rPr>
          <w:rFonts w:hint="eastAsia" w:ascii="经典行楷简" w:hAnsi="经典行楷简" w:eastAsia="经典行楷简" w:cs="经典行楷简"/>
          <w:color w:val="0070C0"/>
          <w:spacing w:val="-20"/>
          <w:sz w:val="52"/>
          <w:szCs w:val="52"/>
          <w:lang w:eastAsia="zh-CN"/>
        </w:rPr>
        <w:t>省贸促会假期绿色通道保障企业对接外商</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5月4日，南京卡罗特进出口有限公司出运的货物经中老铁路到达老挝后，急需办理中国-东盟自贸协定项下优惠原产地证。省贸促会国际商务服务中心值班工作人员接到企业咨询电话后，立即为该公司办理了中国-东盟自贸协定项下优惠原产地证书，保障企业顺利清关并享受关税优惠。</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五一”假期，省贸促会国际商务服务中心继续开通线上线下“绿色通道”，受理业务办理和咨询，方便外贸企业对接海外客商。据统计，该中心5天假期共审核原产地证书61份，其中自贸协定项下优惠原产地证书8份，涉及澳大利亚、日本、越南、韩国、印度尼西亚等国别，并及时解答企业关于ATA单证册、领事认证等方面的业务咨询。</w:t>
      </w:r>
      <w:r>
        <w:rPr>
          <w:rFonts w:hint="eastAsia" w:asciiTheme="minorEastAsia" w:hAnsiTheme="minorEastAsia" w:cstheme="minorEastAsia"/>
          <w:sz w:val="32"/>
          <w:szCs w:val="32"/>
          <w:lang w:val="en-US" w:eastAsia="zh-CN"/>
        </w:rPr>
        <w:t xml:space="preserve">      </w:t>
      </w:r>
      <w:r>
        <w:rPr>
          <w:rFonts w:hint="eastAsia" w:ascii="方正楷体_GBK" w:hAnsi="方正楷体_GBK" w:eastAsia="方正楷体_GBK" w:cs="方正楷体_GBK"/>
          <w:b/>
          <w:bCs/>
          <w:color w:val="FF0000"/>
          <w:sz w:val="32"/>
          <w:szCs w:val="32"/>
          <w:lang w:eastAsia="zh-CN"/>
        </w:rPr>
        <w:t>（法律事务部、商服中心）</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default" w:ascii="Times New Roman" w:hAnsi="Times New Roman" w:eastAsia="经典行楷简" w:cs="Times New Roman"/>
          <w:color w:val="2E75B6" w:themeColor="accent1" w:themeShade="BF"/>
          <w:spacing w:val="-11"/>
          <w:kern w:val="2"/>
          <w:sz w:val="52"/>
          <w:szCs w:val="52"/>
          <w:lang w:val="en-US" w:eastAsia="zh-CN" w:bidi="ar-SA"/>
        </w:rPr>
      </w:pPr>
      <w:r>
        <w:rPr>
          <w:rFonts w:hint="default" w:ascii="Times New Roman" w:hAnsi="Times New Roman" w:eastAsia="经典行楷简" w:cs="Times New Roman"/>
          <w:color w:val="2E75B6" w:themeColor="accent1" w:themeShade="BF"/>
          <w:spacing w:val="-11"/>
          <w:kern w:val="2"/>
          <w:sz w:val="52"/>
          <w:szCs w:val="52"/>
          <w:lang w:val="en-US" w:eastAsia="zh-CN" w:bidi="ar-SA"/>
        </w:rPr>
        <w:t>无锡市贸促会组团开展</w:t>
      </w:r>
    </w:p>
    <w:p>
      <w:pPr>
        <w:keepNext w:val="0"/>
        <w:keepLines w:val="0"/>
        <w:pageBreakBefore w:val="0"/>
        <w:widowControl/>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default" w:ascii="Times New Roman" w:hAnsi="Times New Roman" w:eastAsia="经典行楷简" w:cs="Times New Roman"/>
          <w:color w:val="2E75B6" w:themeColor="accent1" w:themeShade="BF"/>
          <w:spacing w:val="-11"/>
          <w:kern w:val="2"/>
          <w:sz w:val="52"/>
          <w:szCs w:val="52"/>
          <w:lang w:val="en-US" w:eastAsia="zh-CN" w:bidi="ar-SA"/>
        </w:rPr>
      </w:pPr>
      <w:r>
        <w:rPr>
          <w:rFonts w:hint="default" w:ascii="Times New Roman" w:hAnsi="Times New Roman" w:eastAsia="经典行楷简" w:cs="Times New Roman"/>
          <w:color w:val="2E75B6" w:themeColor="accent1" w:themeShade="BF"/>
          <w:spacing w:val="-11"/>
          <w:kern w:val="2"/>
          <w:sz w:val="52"/>
          <w:szCs w:val="52"/>
          <w:lang w:val="en-US" w:eastAsia="zh-CN" w:bidi="ar-SA"/>
        </w:rPr>
        <w:t>新加坡印度尼西亚市场开拓行</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default" w:ascii="Times New Roman" w:hAnsi="Times New Roman" w:cs="Times New Roman" w:eastAsiaTheme="minorEastAsia"/>
          <w:color w:val="auto"/>
          <w:spacing w:val="0"/>
          <w:kern w:val="2"/>
          <w:sz w:val="32"/>
          <w:szCs w:val="32"/>
          <w:lang w:val="en-US" w:eastAsia="zh-CN" w:bidi="ar-SA"/>
        </w:rPr>
      </w:pPr>
      <w:r>
        <w:rPr>
          <w:rFonts w:hint="default" w:ascii="Times New Roman" w:hAnsi="Times New Roman" w:cs="Times New Roman" w:eastAsiaTheme="minorEastAsia"/>
          <w:color w:val="auto"/>
          <w:spacing w:val="0"/>
          <w:kern w:val="2"/>
          <w:sz w:val="32"/>
          <w:szCs w:val="32"/>
          <w:lang w:val="en-US" w:eastAsia="zh-CN" w:bidi="ar-SA"/>
        </w:rPr>
        <w:t>4月27日-5月3日，为服务企业出海开拓国际市场及加强我会海外渠道资源，副会长龚智杰带队赴新加坡、印度尼西亚开展经贸交流活动。出访期间，共拜会20多家国外机构，举办1场贸易投资对接交流活动，参加3场公务活动，签署1份战略合作协议，达成合作签约项目3个，金额达626万美元。</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default" w:ascii="Times New Roman" w:hAnsi="Times New Roman" w:cs="Times New Roman" w:eastAsiaTheme="minorEastAsia"/>
          <w:color w:val="auto"/>
          <w:spacing w:val="0"/>
          <w:kern w:val="2"/>
          <w:sz w:val="32"/>
          <w:szCs w:val="32"/>
          <w:lang w:val="en-US" w:eastAsia="zh-CN" w:bidi="ar-SA"/>
        </w:rPr>
      </w:pPr>
      <w:r>
        <w:rPr>
          <w:rFonts w:hint="default" w:ascii="Times New Roman" w:hAnsi="Times New Roman" w:cs="Times New Roman" w:eastAsiaTheme="minorEastAsia"/>
          <w:color w:val="auto"/>
          <w:spacing w:val="0"/>
          <w:kern w:val="2"/>
          <w:sz w:val="32"/>
          <w:szCs w:val="32"/>
          <w:lang w:val="en-US" w:eastAsia="zh-CN" w:bidi="ar-SA"/>
        </w:rPr>
        <w:t xml:space="preserve">  4月27日，团组一行在新加坡拜访了无锡国际商会新加坡海外联络点—新加坡裕阳咨询有限公司，与裕阳咨询、中国贸促会新加坡代表处、新加坡中新集团、协鑫投资、新加坡交易所、INNOWAVE TECH PTE LTD公司等一起座谈交流。</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default" w:ascii="Times New Roman" w:hAnsi="Times New Roman" w:cs="Times New Roman" w:eastAsiaTheme="minorEastAsia"/>
          <w:color w:val="auto"/>
          <w:spacing w:val="0"/>
          <w:kern w:val="2"/>
          <w:sz w:val="32"/>
          <w:szCs w:val="32"/>
          <w:lang w:val="en-US" w:eastAsia="zh-CN" w:bidi="ar-SA"/>
        </w:rPr>
      </w:pPr>
      <w:r>
        <w:rPr>
          <w:rFonts w:hint="default" w:ascii="Times New Roman" w:hAnsi="Times New Roman" w:cs="Times New Roman" w:eastAsiaTheme="minorEastAsia"/>
          <w:color w:val="auto"/>
          <w:spacing w:val="0"/>
          <w:kern w:val="2"/>
          <w:sz w:val="32"/>
          <w:szCs w:val="32"/>
          <w:lang w:val="en-US" w:eastAsia="zh-CN" w:bidi="ar-SA"/>
        </w:rPr>
        <w:t>龚智杰对中国贸促会新加坡代表处一直以来的支持表示感谢，并希望代表处能继续支持无锡贸促会贸易投资促进工作。裕阳咨询作为无锡国际商会新加坡联系点在无锡和新加坡之间的经济、贸易、科技交流起到了积极作用，帮助无锡奥特维、无锡理奇智能装备、上能电气、无锡宸瑞新能源等无锡企业海外分部顺利落地新加坡，推动INNOWAVE TECH PTE LTD公司等新加坡科技型企业落地无锡，并多次开展两地贸易投资促进活动。</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default" w:ascii="Times New Roman" w:hAnsi="Times New Roman" w:cs="Times New Roman" w:eastAsiaTheme="minorEastAsia"/>
          <w:color w:val="auto"/>
          <w:spacing w:val="0"/>
          <w:kern w:val="2"/>
          <w:sz w:val="32"/>
          <w:szCs w:val="32"/>
          <w:lang w:val="en-US" w:eastAsia="zh-CN" w:bidi="ar-SA"/>
        </w:rPr>
      </w:pPr>
      <w:r>
        <w:rPr>
          <w:rFonts w:hint="default" w:ascii="Times New Roman" w:hAnsi="Times New Roman" w:cs="Times New Roman" w:eastAsiaTheme="minorEastAsia"/>
          <w:color w:val="auto"/>
          <w:spacing w:val="0"/>
          <w:kern w:val="2"/>
          <w:sz w:val="32"/>
          <w:szCs w:val="32"/>
          <w:lang w:val="en-US" w:eastAsia="zh-CN" w:bidi="ar-SA"/>
        </w:rPr>
        <w:t>新加坡中新集团是改革开放年代投资苏州工业园区的新加坡财团的一分子，为中国经济发展做了贡献，协鑫投资根植无锡本地，资本投向新能源、半导体、两机叶片等高端智能装备领域，新加坡交易所也在积极面向无锡开放。我会向各位与会人员介绍了无锡的产业政策和营商投资环境，并希望各机构继续积极看好无锡、投资无锡、落户无锡。裕阳咨询希望在我会指导下，联合新加坡交易所于今年下半年举办企业新加坡上市相关的经贸交流活动。</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default" w:ascii="Times New Roman" w:hAnsi="Times New Roman" w:cs="Times New Roman" w:eastAsiaTheme="minorEastAsia"/>
          <w:color w:val="auto"/>
          <w:spacing w:val="0"/>
          <w:kern w:val="2"/>
          <w:sz w:val="32"/>
          <w:szCs w:val="32"/>
          <w:lang w:val="en-US" w:eastAsia="zh-CN" w:bidi="ar-SA"/>
        </w:rPr>
      </w:pPr>
      <w:r>
        <w:rPr>
          <w:rFonts w:hint="default" w:ascii="Times New Roman" w:hAnsi="Times New Roman" w:cs="Times New Roman" w:eastAsiaTheme="minorEastAsia"/>
          <w:color w:val="auto"/>
          <w:spacing w:val="0"/>
          <w:kern w:val="2"/>
          <w:sz w:val="32"/>
          <w:szCs w:val="32"/>
          <w:lang w:val="en-US" w:eastAsia="zh-CN" w:bidi="ar-SA"/>
        </w:rPr>
        <w:t>4月28日，在新加坡，团组一行参加了Singapore Yachting Festival，参观了新加坡游艇及零配件、设施展览会，拜访了Pasaca Capital和SG Diagnostics公司。Pasaca Capital是美资股权投资机构，帮助被投企业制定和实施全球营销战略，在全球市场实现商业价值最大化。SG Diagnostics是一家在新加坡医学诊断领域中的创新企业，专注于慢性病和流感等疾病的快速测试剂盒，与无锡市医疗器械行业协会合作紧密。两家机构纷纷表达了积极投资无锡，帮助无锡相关企业开拓新加坡、东南亚，乃至全球市场的强烈意愿。</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default" w:ascii="Times New Roman" w:hAnsi="Times New Roman" w:cs="Times New Roman"/>
          <w:color w:val="auto"/>
          <w:spacing w:val="0"/>
          <w:kern w:val="2"/>
          <w:sz w:val="32"/>
          <w:szCs w:val="32"/>
          <w:lang w:val="en-US" w:eastAsia="zh-CN" w:bidi="ar-SA"/>
        </w:rPr>
      </w:pPr>
      <w:r>
        <w:rPr>
          <w:rFonts w:hint="default" w:ascii="Times New Roman" w:hAnsi="Times New Roman" w:cs="Times New Roman" w:eastAsiaTheme="minorEastAsia"/>
          <w:color w:val="auto"/>
          <w:spacing w:val="0"/>
          <w:kern w:val="2"/>
          <w:sz w:val="32"/>
          <w:szCs w:val="32"/>
          <w:lang w:val="en-US" w:eastAsia="zh-CN" w:bidi="ar-SA"/>
        </w:rPr>
        <w:t xml:space="preserve"> 4月29日，团组一行到达雅加达，拜访了无锡国际商会印度尼西亚联络点、国机集团中工国际工程股份有限公司驻印尼代表处、米奥兰特会展印尼公司、印度尼西亚江苏商会。</w:t>
      </w:r>
      <w:r>
        <w:rPr>
          <w:rFonts w:hint="eastAsia" w:ascii="方正楷体_GBK" w:hAnsi="方正楷体_GBK" w:eastAsia="方正楷体_GBK" w:cs="方正楷体_GBK"/>
          <w:b/>
          <w:bCs/>
          <w:color w:val="FF0000"/>
          <w:spacing w:val="0"/>
          <w:kern w:val="2"/>
          <w:sz w:val="32"/>
          <w:szCs w:val="32"/>
          <w:lang w:val="en-US" w:eastAsia="zh-CN" w:bidi="ar-SA"/>
        </w:rPr>
        <w:t>（无锡贸促会）</w:t>
      </w:r>
      <w:r>
        <w:rPr>
          <w:rFonts w:hint="default" w:ascii="Times New Roman" w:hAnsi="Times New Roman" w:cs="Times New Roman"/>
          <w:color w:val="auto"/>
          <w:spacing w:val="0"/>
          <w:kern w:val="2"/>
          <w:sz w:val="32"/>
          <w:szCs w:val="32"/>
          <w:lang w:val="en-US" w:eastAsia="zh-CN" w:bidi="ar-SA"/>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4864" w:firstLineChars="1600"/>
        <w:contextualSpacing/>
        <w:jc w:val="both"/>
        <w:textAlignment w:val="auto"/>
        <w:outlineLvl w:val="1"/>
        <w:rPr>
          <w:rFonts w:hint="default" w:ascii="Times New Roman" w:hAnsi="Times New Roman" w:cs="Times New Roman"/>
          <w:color w:val="auto"/>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4864" w:firstLineChars="1600"/>
        <w:contextualSpacing/>
        <w:jc w:val="both"/>
        <w:textAlignment w:val="auto"/>
        <w:outlineLvl w:val="1"/>
        <w:rPr>
          <w:rFonts w:hint="default" w:ascii="Times New Roman" w:hAnsi="Times New Roman" w:cs="Times New Roman"/>
          <w:color w:val="auto"/>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4864" w:firstLineChars="16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default" w:ascii="Times New Roman" w:hAnsi="Times New Roman" w:cs="Times New Roman"/>
          <w:color w:val="auto"/>
          <w:spacing w:val="0"/>
          <w:kern w:val="2"/>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经典行楷简" w:hAnsi="经典行楷简" w:eastAsia="经典行楷简" w:cs="经典行楷简"/>
          <w:color w:val="0070C0"/>
          <w:sz w:val="52"/>
          <w:szCs w:val="52"/>
        </w:rPr>
      </w:pPr>
      <w:r>
        <w:rPr>
          <w:rFonts w:hint="eastAsia" w:ascii="经典行楷简" w:hAnsi="经典行楷简" w:eastAsia="经典行楷简" w:cs="经典行楷简"/>
          <w:color w:val="0070C0"/>
          <w:sz w:val="52"/>
          <w:szCs w:val="52"/>
        </w:rPr>
        <w:t>盐城市贸促会组团</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rPr>
      </w:pPr>
      <w:r>
        <w:rPr>
          <w:rFonts w:hint="eastAsia" w:ascii="经典行楷简" w:hAnsi="经典行楷简" w:eastAsia="经典行楷简" w:cs="经典行楷简"/>
          <w:color w:val="0070C0"/>
          <w:sz w:val="52"/>
          <w:szCs w:val="52"/>
        </w:rPr>
        <w:t>参加香港礼品及赠品展览会</w:t>
      </w:r>
    </w:p>
    <w:p>
      <w:pPr>
        <w:rPr>
          <w:rFonts w:hint="eastAsia"/>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为深入贯彻落实省、市关于推动外贸促稳提质工作部署，更大力度支持企业开拓国际市场，盐城市贸促会组织近10家企业参加2024年香港礼品及赠品展览会。该展会于4月27日至30日在香港会议展览中心举行，共吸引来自100多个国家及地区、约35000名买家参观采购。</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香港礼品及赠品展是亚洲地区最具影响力的行业展会之一，展位“一位难求”。盐城市贸促会积极与相关组展机构对接，帮助外贸企业协调争取展位，并派专人提供全过程服务，受到参展企业的高度肯定。</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本次展会上，盐城市参展企业新结识100多名新客商，现场达成意向成交订单额270多万美元。盐城市贸促会将继续指导企业做好其他意向客户的跟进洽谈，争取更大成果。</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展会期间，盐城市贸促会还拜访了香港贸发局，围绕进一步加强两地经贸合作、支持企业赴港参展等进行交流。</w:t>
      </w:r>
      <w:r>
        <w:rPr>
          <w:rFonts w:hint="eastAsia" w:ascii="方正楷体_GBK" w:hAnsi="方正楷体_GBK" w:eastAsia="方正楷体_GBK" w:cs="方正楷体_GBK"/>
          <w:b/>
          <w:bCs/>
          <w:color w:val="FF0000"/>
          <w:sz w:val="32"/>
          <w:szCs w:val="32"/>
          <w:lang w:eastAsia="zh-CN"/>
        </w:rPr>
        <w:t>（</w:t>
      </w:r>
      <w:r>
        <w:rPr>
          <w:rFonts w:hint="eastAsia" w:ascii="方正楷体_GBK" w:hAnsi="方正楷体_GBK" w:eastAsia="方正楷体_GBK" w:cs="方正楷体_GBK"/>
          <w:b/>
          <w:bCs/>
          <w:color w:val="FF0000"/>
          <w:sz w:val="32"/>
          <w:szCs w:val="32"/>
        </w:rPr>
        <w:t>盐城贸促会</w:t>
      </w:r>
      <w:r>
        <w:rPr>
          <w:rFonts w:hint="eastAsia" w:ascii="方正楷体_GBK" w:hAnsi="方正楷体_GBK" w:eastAsia="方正楷体_GBK" w:cs="方正楷体_GBK"/>
          <w:b/>
          <w:bCs/>
          <w:color w:val="FF0000"/>
          <w:sz w:val="32"/>
          <w:szCs w:val="32"/>
          <w:lang w:eastAsia="zh-CN"/>
        </w:rPr>
        <w:t>）</w:t>
      </w:r>
    </w:p>
    <w:p>
      <w:pPr>
        <w:jc w:val="center"/>
        <w:rPr>
          <w:rFonts w:hint="eastAsia" w:ascii="经典行楷简" w:hAnsi="经典行楷简" w:eastAsia="经典行楷简" w:cs="经典行楷简"/>
          <w:color w:val="0070C0"/>
          <w:sz w:val="52"/>
          <w:szCs w:val="52"/>
        </w:rPr>
      </w:pPr>
    </w:p>
    <w:p>
      <w:pPr>
        <w:jc w:val="center"/>
        <w:rPr>
          <w:rFonts w:hint="eastAsia" w:ascii="经典行楷简" w:hAnsi="经典行楷简" w:eastAsia="经典行楷简" w:cs="经典行楷简"/>
          <w:color w:val="0070C0"/>
          <w:sz w:val="52"/>
          <w:szCs w:val="52"/>
        </w:rPr>
      </w:pPr>
    </w:p>
    <w:p>
      <w:pPr>
        <w:jc w:val="center"/>
        <w:rPr>
          <w:rFonts w:hint="eastAsia" w:ascii="经典行楷简" w:hAnsi="经典行楷简" w:eastAsia="经典行楷简" w:cs="经典行楷简"/>
          <w:color w:val="0070C0"/>
          <w:sz w:val="52"/>
          <w:szCs w:val="52"/>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经典行楷简" w:hAnsi="经典行楷简" w:eastAsia="经典行楷简" w:cs="经典行楷简"/>
          <w:color w:val="0070C0"/>
          <w:sz w:val="52"/>
          <w:szCs w:val="52"/>
        </w:rPr>
      </w:pPr>
      <w:r>
        <w:rPr>
          <w:rFonts w:hint="eastAsia" w:ascii="经典行楷简" w:hAnsi="经典行楷简" w:eastAsia="经典行楷简" w:cs="经典行楷简"/>
          <w:color w:val="0070C0"/>
          <w:sz w:val="52"/>
          <w:szCs w:val="52"/>
        </w:rPr>
        <w:t>第135届广交会闭幕</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rPr>
      </w:pPr>
      <w:r>
        <w:rPr>
          <w:rFonts w:hint="eastAsia" w:ascii="经典行楷简" w:hAnsi="经典行楷简" w:eastAsia="经典行楷简" w:cs="经典行楷简"/>
          <w:color w:val="0070C0"/>
          <w:sz w:val="52"/>
          <w:szCs w:val="52"/>
        </w:rPr>
        <w:t>泰州企业累计成交约5000万美元</w:t>
      </w:r>
    </w:p>
    <w:p>
      <w:pPr>
        <w:rPr>
          <w:rFonts w:hint="eastAsia"/>
        </w:rPr>
      </w:pPr>
    </w:p>
    <w:p>
      <w:pPr>
        <w:keepNext w:val="0"/>
        <w:keepLines w:val="0"/>
        <w:pageBreakBefore w:val="0"/>
        <w:kinsoku/>
        <w:wordWrap/>
        <w:overflowPunct/>
        <w:topLinePunct w:val="0"/>
        <w:autoSpaceDE/>
        <w:autoSpaceDN/>
        <w:bidi w:val="0"/>
        <w:adjustRightInd/>
        <w:snapToGrid/>
        <w:ind w:firstLine="388" w:firstLineChars="200"/>
        <w:textAlignment w:val="auto"/>
        <w:rPr>
          <w:rFonts w:hint="eastAsia" w:asciiTheme="minorEastAsia" w:hAnsiTheme="minorEastAsia" w:eastAsiaTheme="minorEastAsia" w:cstheme="minorEastAsia"/>
          <w:sz w:val="32"/>
          <w:szCs w:val="32"/>
        </w:rPr>
      </w:pPr>
      <w:r>
        <w:rPr>
          <w:rFonts w:hint="eastAsia"/>
        </w:rPr>
        <w:t xml:space="preserve"> </w:t>
      </w:r>
      <w:r>
        <w:rPr>
          <w:rFonts w:hint="eastAsia" w:asciiTheme="minorEastAsia" w:hAnsiTheme="minorEastAsia" w:eastAsiaTheme="minorEastAsia" w:cstheme="minorEastAsia"/>
          <w:sz w:val="32"/>
          <w:szCs w:val="32"/>
        </w:rPr>
        <w:t>5月5日，第135届广交会闭幕。本届广交会泰州共有146家企业参展，拥有展位240个，先后接待世界各地采购商约9000人次，累计成交金额（含意向）约5000万美元。</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为参加本届广交会，泰州企业不断收集最新的客户需求和市场动态，推动产业绿色升级，本届广交会带来多项绿色、环保、节能、高效的机电五金产品、家居用品等新产品，吸引大量境内外采购商驻足洽谈。企业反映，与往届相比，本届广交会国外采购商数量较多，欧美客商有所减少，亚非拉等“一带一路”国家和地区客商明显增多，成交价格相比前几届有所下降，但采购商质量较高，很多都是终端用户。企业表示，在努力保住传统欧美市场的同时，将根据市场调整战略，重点开发中亚、东南亚等“一带一路”新兴市场，积极应对贸易摩擦，防患于未然。</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方正楷体_GBK" w:hAnsi="方正楷体_GBK" w:eastAsia="方正楷体_GBK" w:cs="方正楷体_GBK"/>
          <w:b/>
          <w:bCs/>
          <w:color w:val="FF0000"/>
          <w:spacing w:val="0"/>
          <w:kern w:val="2"/>
          <w:sz w:val="32"/>
          <w:szCs w:val="32"/>
          <w:lang w:val="en-US" w:eastAsia="zh-CN" w:bidi="ar-SA"/>
        </w:rPr>
      </w:pPr>
      <w:r>
        <w:rPr>
          <w:rFonts w:hint="eastAsia" w:asciiTheme="minorEastAsia" w:hAnsiTheme="minorEastAsia" w:eastAsiaTheme="minorEastAsia" w:cstheme="minorEastAsia"/>
          <w:sz w:val="32"/>
          <w:szCs w:val="32"/>
        </w:rPr>
        <w:t>此次广交会，泰州市商务局、贸促会顺利完成企业参展服务保障和巡查督查工作，及时发现违规情形并立即要求企业整改，杜绝违规使用展位情形发生。第136届广交会出口展展位申请工作已于5月1日启动，市商务局、贸促会将继续强化服务保障，帮助企业完成参展准备工作。</w:t>
      </w:r>
      <w:r>
        <w:rPr>
          <w:rFonts w:hint="eastAsia" w:asciiTheme="minorEastAsia" w:hAnsiTheme="minorEastAsia" w:cstheme="minorEastAsia"/>
          <w:sz w:val="32"/>
          <w:szCs w:val="32"/>
          <w:lang w:val="en-US" w:eastAsia="zh-CN"/>
        </w:rPr>
        <w:t xml:space="preserve">            </w:t>
      </w:r>
      <w:r>
        <w:rPr>
          <w:rFonts w:hint="eastAsia" w:ascii="方正楷体_GBK" w:hAnsi="方正楷体_GBK" w:eastAsia="方正楷体_GBK" w:cs="方正楷体_GBK"/>
          <w:b/>
          <w:bCs/>
          <w:color w:val="FF0000"/>
          <w:sz w:val="32"/>
          <w:szCs w:val="32"/>
          <w:lang w:eastAsia="zh-CN"/>
        </w:rPr>
        <w:t>（</w:t>
      </w:r>
      <w:r>
        <w:rPr>
          <w:rFonts w:hint="eastAsia" w:ascii="方正楷体_GBK" w:hAnsi="方正楷体_GBK" w:eastAsia="方正楷体_GBK" w:cs="方正楷体_GBK"/>
          <w:b/>
          <w:bCs/>
          <w:color w:val="FF0000"/>
          <w:sz w:val="32"/>
          <w:szCs w:val="32"/>
        </w:rPr>
        <w:t>泰州贸促会</w:t>
      </w:r>
      <w:r>
        <w:rPr>
          <w:rFonts w:hint="eastAsia" w:ascii="方正楷体_GBK" w:hAnsi="方正楷体_GBK" w:eastAsia="方正楷体_GBK" w:cs="方正楷体_GBK"/>
          <w:b/>
          <w:bCs/>
          <w:color w:val="FF0000"/>
          <w:sz w:val="32"/>
          <w:szCs w:val="32"/>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center"/>
        <w:textAlignment w:val="auto"/>
        <w:outlineLvl w:val="1"/>
        <w:rPr>
          <w:rFonts w:hint="default" w:ascii="Times New Roman" w:hAnsi="Times New Roman" w:cs="Times New Roman" w:eastAsiaTheme="minorEastAsia"/>
          <w:color w:val="auto"/>
          <w:spacing w:val="0"/>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center"/>
        <w:textAlignment w:val="auto"/>
        <w:outlineLvl w:val="1"/>
        <w:rPr>
          <w:rFonts w:hint="default" w:ascii="Times New Roman" w:hAnsi="Times New Roman" w:cs="Times New Roman" w:eastAsiaTheme="minorEastAsia"/>
          <w:color w:val="auto"/>
          <w:spacing w:val="0"/>
          <w:sz w:val="32"/>
          <w:szCs w:val="32"/>
          <w:lang w:val="en-US" w:eastAsia="zh-CN"/>
        </w:rPr>
      </w:pPr>
    </w:p>
    <w:p>
      <w:pPr>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br w:type="page"/>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华文新魏" w:hAnsi="华文新魏" w:eastAsia="华文新魏" w:cs="华文新魏"/>
          <w:b/>
          <w:bCs w:val="0"/>
          <w:color w:val="FF0000"/>
          <w:sz w:val="52"/>
          <w:szCs w:val="52"/>
        </w:rPr>
      </w:pPr>
      <w:r>
        <w:rPr>
          <w:rFonts w:hint="eastAsia" w:ascii="华文新魏" w:hAnsi="华文新魏" w:eastAsia="华文新魏" w:cs="华文新魏"/>
          <w:b/>
          <w:bCs w:val="0"/>
          <w:color w:val="FF0000"/>
          <w:sz w:val="52"/>
          <w:szCs w:val="52"/>
        </w:rPr>
        <w:t>雅迪领衔出海惊艳雅加达！</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方正楷体_GBK" w:cs="Times New Roman"/>
          <w:bCs/>
          <w:sz w:val="32"/>
          <w:szCs w:val="32"/>
        </w:rPr>
      </w:pPr>
      <w:r>
        <w:rPr>
          <w:rFonts w:hint="eastAsia" w:ascii="华文新魏" w:hAnsi="华文新魏" w:eastAsia="华文新魏" w:cs="华文新魏"/>
          <w:b/>
          <w:bCs w:val="0"/>
          <w:color w:val="FF0000"/>
          <w:sz w:val="52"/>
          <w:szCs w:val="52"/>
        </w:rPr>
        <w:t>印尼总统强势点赞</w:t>
      </w:r>
    </w:p>
    <w:p>
      <w:pPr>
        <w:ind w:firstLine="608" w:firstLineChars="200"/>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近日，首届印尼国际两轮车、零配件及用品展览会于印尼雅加达国际会展中心隆重开幕。全球众多知名头部品牌齐聚于此，我会副会长单位——雅迪科技集团有限公司携全系产品与前沿创新技术受邀亮相出席，一展中国智造的非凡实力，备受全球媒体关注。</w:t>
      </w:r>
    </w:p>
    <w:p>
      <w:pPr>
        <w:ind w:firstLine="608" w:firstLineChars="200"/>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本次两轮车展是两轮车产业全面开拓印尼及周边海外市场的国际性互动交流平台，受国内外政府部门、行业企业、采购商家等强烈关注。雅迪作为全球最大两轮电动出行科技公司，携行业顶尖的尖端科技和创新产品参展亮相，瞬间成为全场瞩目焦点，更迅速吸引了印尼总统佐科·维多多一行的高度关注。</w:t>
      </w:r>
    </w:p>
    <w:p>
      <w:pPr>
        <w:ind w:firstLine="608" w:firstLineChars="200"/>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印尼总统佐科·维多多亲临雅迪展台，饶有兴致了解了现场展出的雅迪新款车型和技术。并肯定了雅迪作为全球领先的电动两轮品牌，为印尼在2060年实现零排放目标所做出的行业创新和科技突破，希望雅迪持续为印尼提供更多有效的可持续出行解决方法，共建印尼的绿色脉动。</w:t>
      </w:r>
    </w:p>
    <w:p>
      <w:pPr>
        <w:ind w:firstLine="608" w:firstLineChars="200"/>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雅迪始终坚持以科技为驱动，推动全球两轮高质量发展。本次展出的王牌产品与尖端核心科技，旨在不断推进印尼电动两轮向可持续创新发展目标转型。雅迪TTFAR石墨烯电池以硬核科技大放异彩，拥有1900多项专利，以超长寿命、超强稳定性的突破性能源技术引发现场媒体争相关注，强势征服大批国际友人。</w:t>
      </w:r>
    </w:p>
    <w:p>
      <w:pPr>
        <w:ind w:firstLine="608" w:firstLineChars="200"/>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截至目前，雅迪布局全球拥有印尼、越南北江等8大产研基地。本次印尼展上雅迪还亮相了均在雅迪印尼智能工厂开发和生产的GT30、GQ9-D和GC10车型。这些车型以印尼本地用户为中心，针对热带气候条件，全面升级关键组件提升防水等性能，从性能、颜值和产品配置上全面满足印尼用户需求，深受现场观众和印尼客商的青睐。</w:t>
      </w:r>
    </w:p>
    <w:p>
      <w:pPr>
        <w:ind w:firstLine="608" w:firstLineChars="200"/>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作为两轮出行的出海领头羊，雅迪不断开拓全球绿色智造新未来。5月13日，雅迪印尼智能工厂奠基仪式已蓄势待发，将协力推动印尼城市交通规划和出行领域新时代的开启。</w:t>
      </w:r>
    </w:p>
    <w:p>
      <w:pPr>
        <w:ind w:firstLine="3648" w:firstLineChars="1200"/>
        <w:rPr>
          <w:rFonts w:hint="eastAsia" w:ascii="方正楷体_GBK" w:hAnsi="方正楷体_GBK" w:eastAsia="方正楷体_GBK" w:cs="方正楷体_GBK"/>
          <w:b/>
          <w:bCs w:val="0"/>
          <w:color w:val="FF0000"/>
          <w:sz w:val="32"/>
          <w:szCs w:val="32"/>
        </w:rPr>
      </w:pPr>
      <w:r>
        <w:rPr>
          <w:rFonts w:hint="eastAsia" w:ascii="方正楷体_GBK" w:hAnsi="方正楷体_GBK" w:eastAsia="方正楷体_GBK" w:cs="方正楷体_GBK"/>
          <w:b/>
          <w:bCs w:val="0"/>
          <w:color w:val="FF0000"/>
          <w:sz w:val="32"/>
          <w:szCs w:val="32"/>
        </w:rPr>
        <w:t>（来源：雅迪科技集团微信公众号）</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华文新魏" w:hAnsi="华文新魏" w:eastAsia="华文新魏" w:cs="华文新魏"/>
          <w:b/>
          <w:bCs w:val="0"/>
          <w:color w:val="FF0000"/>
          <w:sz w:val="52"/>
          <w:szCs w:val="52"/>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华文新魏" w:hAnsi="华文新魏" w:eastAsia="华文新魏" w:cs="华文新魏"/>
          <w:b/>
          <w:bCs w:val="0"/>
          <w:color w:val="FF0000"/>
          <w:sz w:val="52"/>
          <w:szCs w:val="52"/>
        </w:rPr>
      </w:pPr>
      <w:r>
        <w:rPr>
          <w:rFonts w:hint="eastAsia" w:ascii="华文新魏" w:hAnsi="华文新魏" w:eastAsia="华文新魏" w:cs="华文新魏"/>
          <w:b/>
          <w:bCs w:val="0"/>
          <w:color w:val="FF0000"/>
          <w:sz w:val="52"/>
          <w:szCs w:val="52"/>
        </w:rPr>
        <w:t>远东电缆入选国家级</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华文新魏" w:hAnsi="华文新魏" w:eastAsia="华文新魏" w:cs="华文新魏"/>
          <w:b/>
          <w:bCs w:val="0"/>
          <w:color w:val="FF0000"/>
          <w:sz w:val="52"/>
          <w:szCs w:val="52"/>
        </w:rPr>
      </w:pPr>
      <w:r>
        <w:rPr>
          <w:rFonts w:hint="eastAsia" w:ascii="华文新魏" w:hAnsi="华文新魏" w:eastAsia="华文新魏" w:cs="华文新魏"/>
          <w:b/>
          <w:bCs w:val="0"/>
          <w:color w:val="FF0000"/>
          <w:sz w:val="52"/>
          <w:szCs w:val="52"/>
        </w:rPr>
        <w:t>绿色供应链管理示范企业</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近日，国家工业和信息化部正式发布2023年度绿色制造名单，我会副会长单位——远东电缆有限公司成功入选“国家绿色供应链管理示范企业”。</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绿色供应链”是将环境保护和资源节约的理念贯穿于企业从产品设计到原材料采购、生产、运输、储存、销售、使用和报废处理的全过程，使企业的经济活动与环境保护相互协调的上下游供应关系，最终实现用地集约化、生产清洁化、废物资源化、产品环保化。</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生态为底、产业向新。远东电缆以实现碳达峰碳中和目标为引领，从顶层设计入手，通过将绿色产品设计理念融入原材料的选取、产品设计、生产制造、产品销售运输、用户使用以及废品回收处理等环节，并将绿色供应链的管理纳入了公司发展战略绿色采购标准制度，全力打造绿色制造闭环系统，通过SRM平台实现对300多家主要供应商绿色供应链管理全覆盖，产品合格率由原来的99.6%提升到99.85%，制造成本下降1.7%，生产库存压降33%。</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产业“减碳”、发展“增绿”。通过实施高端化、集成化、国际化战略，优化调整产业结构，不断提高质量和效益，持续发力纵深布局，远东电缆在电网、风电、核电等市场占有率稳居行业第一，连续多年在公司营收、净利润、管理能力、市场竞争力、市场影响力、企业运营、企业战略等方面处于行业领先水平。环境污染和气候变化问题备受关注的当下，推动能源结构转型、发展绿色低碳经济已经成为全球共识。远东电缆相继荣获“工业产品绿色设计示范企业”“绿色供应链管理企业”“江苏省绿色工厂（远东复合技术）”等一系列荣誉。</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ascii="Times New Roman" w:hAnsi="Times New Roman" w:eastAsia="方正楷体_GBK" w:cs="Times New Roman"/>
          <w:b/>
          <w:bCs w:val="0"/>
          <w:color w:val="FF0000"/>
          <w:sz w:val="32"/>
          <w:szCs w:val="32"/>
        </w:rPr>
      </w:pPr>
      <w:r>
        <w:rPr>
          <w:rFonts w:hint="eastAsia" w:asciiTheme="minorEastAsia" w:hAnsiTheme="minorEastAsia" w:eastAsiaTheme="minorEastAsia" w:cstheme="minorEastAsia"/>
          <w:color w:val="000000"/>
          <w:sz w:val="32"/>
          <w:szCs w:val="32"/>
        </w:rPr>
        <w:t>为助力工业领域实现碳达峰碳中和目标，远东电缆将始终坚持生态优先、全力加速转型升级，推动产业“减碳”、发展“增绿”，进一步发挥“绿水青山就是金山银山”及行业龙头企业的引领示范作用。</w:t>
      </w:r>
      <w:r>
        <w:rPr>
          <w:rFonts w:hint="eastAsia" w:asciiTheme="minorEastAsia" w:hAnsiTheme="minorEastAsia" w:cstheme="minorEastAsia"/>
          <w:color w:val="000000"/>
          <w:sz w:val="32"/>
          <w:szCs w:val="32"/>
          <w:lang w:val="en-US" w:eastAsia="zh-CN"/>
        </w:rPr>
        <w:t xml:space="preserve">               </w:t>
      </w:r>
      <w:r>
        <w:rPr>
          <w:rFonts w:ascii="Times New Roman" w:hAnsi="Times New Roman" w:eastAsia="方正楷体_GBK" w:cs="Times New Roman"/>
          <w:b/>
          <w:bCs w:val="0"/>
          <w:color w:val="FF0000"/>
          <w:sz w:val="32"/>
          <w:szCs w:val="32"/>
        </w:rPr>
        <w:t>（来源：</w:t>
      </w:r>
      <w:r>
        <w:rPr>
          <w:rFonts w:hint="eastAsia" w:ascii="Times New Roman" w:hAnsi="Times New Roman" w:eastAsia="方正楷体_GBK" w:cs="Times New Roman"/>
          <w:b/>
          <w:bCs w:val="0"/>
          <w:color w:val="FF0000"/>
          <w:sz w:val="32"/>
          <w:szCs w:val="32"/>
        </w:rPr>
        <w:t>远东电缆微信公众号</w:t>
      </w:r>
      <w:r>
        <w:rPr>
          <w:rFonts w:ascii="Times New Roman" w:hAnsi="Times New Roman" w:eastAsia="方正楷体_GBK" w:cs="Times New Roman"/>
          <w:b/>
          <w:bCs w:val="0"/>
          <w:color w:val="FF0000"/>
          <w:sz w:val="32"/>
          <w:szCs w:val="32"/>
        </w:rPr>
        <w:t>）</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华文新魏" w:hAnsi="华文新魏" w:eastAsia="华文新魏" w:cs="华文新魏"/>
          <w:b/>
          <w:bCs w:val="0"/>
          <w:color w:val="FF0000"/>
          <w:sz w:val="52"/>
          <w:szCs w:val="52"/>
        </w:rPr>
      </w:pPr>
      <w:r>
        <w:rPr>
          <w:rFonts w:hint="eastAsia" w:ascii="华文新魏" w:hAnsi="华文新魏" w:eastAsia="华文新魏" w:cs="华文新魏"/>
          <w:b/>
          <w:bCs w:val="0"/>
          <w:color w:val="FF0000"/>
          <w:sz w:val="52"/>
          <w:szCs w:val="52"/>
        </w:rPr>
        <w:t>汇鸿中鼎公司跨境电商分公司</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ascii="Times New Roman" w:hAnsi="Times New Roman" w:eastAsia="方正楷体_GBK" w:cs="Times New Roman"/>
          <w:bCs/>
          <w:sz w:val="32"/>
          <w:szCs w:val="32"/>
        </w:rPr>
      </w:pPr>
      <w:r>
        <w:rPr>
          <w:rFonts w:hint="eastAsia" w:ascii="华文新魏" w:hAnsi="华文新魏" w:eastAsia="华文新魏" w:cs="华文新魏"/>
          <w:b/>
          <w:bCs w:val="0"/>
          <w:color w:val="FF0000"/>
          <w:sz w:val="52"/>
          <w:szCs w:val="52"/>
        </w:rPr>
        <w:t>获评“江苏省工人先锋号”</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为表彰先进、树立榜样，在全社会弘扬劳模精神、劳动精神、工匠精神。近日，江苏省总工会对一批“争创一流、勇于创新”的先进集体和个人进行了表彰，我会理事单位——江苏汇鸿国际集团中鼎控股股份有限公司跨境电商分公司被授予“江苏省工人先锋号”称号。</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自2020年成立以来，跨境电商分公司在集团战略部署下，在公司党委和总经理室的坚强领导下，聚焦整合供应链资源，运用互联网思维，搭建“小单快反”的柔性供应链体系，实现国内国际双循环发展。经专业运营团队不懈努力，跨电综合服务已形成可复制的业务模式，获得地方商务部门的肯定，并将这种模式推广打造为“南京经验”。</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方正仿宋_GBK" w:cs="Times New Roman"/>
          <w:color w:val="000000"/>
          <w:sz w:val="31"/>
          <w:szCs w:val="31"/>
        </w:rPr>
      </w:pPr>
      <w:r>
        <w:rPr>
          <w:rFonts w:hint="eastAsia" w:asciiTheme="minorEastAsia" w:hAnsiTheme="minorEastAsia" w:eastAsiaTheme="minorEastAsia" w:cstheme="minorEastAsia"/>
          <w:color w:val="000000"/>
          <w:sz w:val="32"/>
          <w:szCs w:val="32"/>
        </w:rPr>
        <w:t>当前，公司2024年各项经营工作全面展开，跨境电商分公司将以此为契机，再接再厉、紧跟时代要求，以发展新质生产力作为推动高质量发展的内在要求和重要着力点，发挥海外仓前沿阵地作用，深入开拓欧洲市场，不断提升跨境电商国际化平台实力和运营水平，为助力苏豪控股集团加快建设世界一流企业贡献力量。</w:t>
      </w:r>
    </w:p>
    <w:p>
      <w:pPr>
        <w:keepNext w:val="0"/>
        <w:keepLines w:val="0"/>
        <w:pageBreakBefore w:val="0"/>
        <w:widowControl w:val="0"/>
        <w:kinsoku/>
        <w:wordWrap/>
        <w:overflowPunct/>
        <w:topLinePunct w:val="0"/>
        <w:autoSpaceDE/>
        <w:autoSpaceDN/>
        <w:bidi w:val="0"/>
        <w:adjustRightInd/>
        <w:snapToGrid/>
        <w:spacing w:line="240" w:lineRule="auto"/>
        <w:ind w:firstLine="4256" w:firstLineChars="1400"/>
        <w:textAlignment w:val="auto"/>
        <w:outlineLvl w:val="9"/>
        <w:rPr>
          <w:rFonts w:hint="default" w:ascii="Times New Roman" w:hAnsi="Times New Roman" w:eastAsia="方正楷体_GBK" w:cs="Times New Roman"/>
          <w:b/>
          <w:bCs w:val="0"/>
          <w:color w:val="FF0000"/>
          <w:sz w:val="32"/>
          <w:szCs w:val="32"/>
          <w:lang w:val="en-US" w:eastAsia="zh-CN"/>
        </w:rPr>
      </w:pPr>
      <w:r>
        <w:rPr>
          <w:rFonts w:ascii="Times New Roman" w:hAnsi="Times New Roman" w:eastAsia="方正楷体_GBK" w:cs="Times New Roman"/>
          <w:b/>
          <w:bCs w:val="0"/>
          <w:color w:val="FF0000"/>
          <w:sz w:val="32"/>
          <w:szCs w:val="32"/>
        </w:rPr>
        <w:t>（来源：</w:t>
      </w:r>
      <w:r>
        <w:rPr>
          <w:rFonts w:hint="eastAsia" w:ascii="Times New Roman" w:hAnsi="Times New Roman" w:eastAsia="方正楷体_GBK" w:cs="Times New Roman"/>
          <w:b/>
          <w:bCs w:val="0"/>
          <w:color w:val="FF0000"/>
          <w:sz w:val="32"/>
          <w:szCs w:val="32"/>
        </w:rPr>
        <w:t>汇鸿集团官网</w:t>
      </w:r>
      <w:r>
        <w:rPr>
          <w:rFonts w:ascii="Times New Roman" w:hAnsi="Times New Roman" w:eastAsia="方正楷体_GBK" w:cs="Times New Roman"/>
          <w:b/>
          <w:bCs w:val="0"/>
          <w:color w:val="FF0000"/>
          <w:sz w:val="32"/>
          <w:szCs w:val="32"/>
        </w:rPr>
        <w:t>）</w:t>
      </w:r>
    </w:p>
    <w:sectPr>
      <w:footerReference r:id="rId4"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经典行楷简">
    <w:panose1 w:val="02010609000101010101"/>
    <w:charset w:val="86"/>
    <w:family w:val="auto"/>
    <w:pitch w:val="default"/>
    <w:sig w:usb0="A1007AEF" w:usb1="F9DF7CFB" w:usb2="0000001E" w:usb3="00000000" w:csb0="2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Calibri Light">
    <w:panose1 w:val="020F0302020204030204"/>
    <w:charset w:val="00"/>
    <w:family w:val="auto"/>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-328930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5.9pt;height:144pt;width:144pt;mso-position-horizontal:outside;mso-position-horizontal-relative:margin;mso-wrap-style:none;z-index:251659264;mso-width-relative:page;mso-height-relative:page;" filled="f" stroked="f" coordsize="21600,21600" o:gfxdata="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b8LAtYAAAAIAQAA&#10;DwAAAAAAAAABACAAAAAiAAAAZHJzL2Rvd25yZXYueG1sUEsBAhQAFAAAAAgAh07iQCOFi7YbAgAA&#10;IQQAAA4AAAAAAAAAAQAgAAAAJQEAAGRycy9lMm9Eb2MueG1sUEsFBgAAAAAGAAYAWQEAALIFAAAA&#10;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93D01"/>
    <w:rsid w:val="00097083"/>
    <w:rsid w:val="001156B9"/>
    <w:rsid w:val="00154806"/>
    <w:rsid w:val="001F2C95"/>
    <w:rsid w:val="002840B7"/>
    <w:rsid w:val="003208B4"/>
    <w:rsid w:val="003671B0"/>
    <w:rsid w:val="003C691D"/>
    <w:rsid w:val="003F32D7"/>
    <w:rsid w:val="0042623F"/>
    <w:rsid w:val="0043286B"/>
    <w:rsid w:val="00467C46"/>
    <w:rsid w:val="005A092B"/>
    <w:rsid w:val="006B63D3"/>
    <w:rsid w:val="006C0C2E"/>
    <w:rsid w:val="007C2A82"/>
    <w:rsid w:val="007E11E9"/>
    <w:rsid w:val="008B2F92"/>
    <w:rsid w:val="008E3499"/>
    <w:rsid w:val="00906A61"/>
    <w:rsid w:val="00A0554E"/>
    <w:rsid w:val="00A55B3B"/>
    <w:rsid w:val="00B35803"/>
    <w:rsid w:val="00B45E3E"/>
    <w:rsid w:val="00C16462"/>
    <w:rsid w:val="00C66488"/>
    <w:rsid w:val="00CA656E"/>
    <w:rsid w:val="00CE04E4"/>
    <w:rsid w:val="00D0085C"/>
    <w:rsid w:val="00DB54B3"/>
    <w:rsid w:val="00E278B0"/>
    <w:rsid w:val="00FC3867"/>
    <w:rsid w:val="010007F1"/>
    <w:rsid w:val="01123C24"/>
    <w:rsid w:val="01281FA6"/>
    <w:rsid w:val="0129652A"/>
    <w:rsid w:val="012C4A94"/>
    <w:rsid w:val="0134238F"/>
    <w:rsid w:val="01434062"/>
    <w:rsid w:val="015A28DE"/>
    <w:rsid w:val="01603797"/>
    <w:rsid w:val="01614C4F"/>
    <w:rsid w:val="016607CF"/>
    <w:rsid w:val="01687C29"/>
    <w:rsid w:val="016D0719"/>
    <w:rsid w:val="01730647"/>
    <w:rsid w:val="017F7312"/>
    <w:rsid w:val="0183354F"/>
    <w:rsid w:val="018A4341"/>
    <w:rsid w:val="018D1ED5"/>
    <w:rsid w:val="01944C0D"/>
    <w:rsid w:val="019652A2"/>
    <w:rsid w:val="019A0A9C"/>
    <w:rsid w:val="019E5AF8"/>
    <w:rsid w:val="01A05888"/>
    <w:rsid w:val="01A2463C"/>
    <w:rsid w:val="01A536F0"/>
    <w:rsid w:val="01AB72AD"/>
    <w:rsid w:val="01AD0FC0"/>
    <w:rsid w:val="01B74B80"/>
    <w:rsid w:val="01B76B70"/>
    <w:rsid w:val="01BC47E4"/>
    <w:rsid w:val="01BD0D3F"/>
    <w:rsid w:val="01C277DB"/>
    <w:rsid w:val="01CB201F"/>
    <w:rsid w:val="01D01DDD"/>
    <w:rsid w:val="01D83F23"/>
    <w:rsid w:val="01DA121B"/>
    <w:rsid w:val="01EB6FF4"/>
    <w:rsid w:val="01EC6C1A"/>
    <w:rsid w:val="01F43D5D"/>
    <w:rsid w:val="01F53962"/>
    <w:rsid w:val="01FE284A"/>
    <w:rsid w:val="020C0504"/>
    <w:rsid w:val="021337A8"/>
    <w:rsid w:val="02154F00"/>
    <w:rsid w:val="022C2DDE"/>
    <w:rsid w:val="02424F98"/>
    <w:rsid w:val="024B4F65"/>
    <w:rsid w:val="02522774"/>
    <w:rsid w:val="02716397"/>
    <w:rsid w:val="027D39C5"/>
    <w:rsid w:val="02842B55"/>
    <w:rsid w:val="02850B1B"/>
    <w:rsid w:val="028E239B"/>
    <w:rsid w:val="028E669E"/>
    <w:rsid w:val="02945151"/>
    <w:rsid w:val="02994D24"/>
    <w:rsid w:val="02AA4579"/>
    <w:rsid w:val="02B7449E"/>
    <w:rsid w:val="02CA2014"/>
    <w:rsid w:val="02CE36F0"/>
    <w:rsid w:val="02D253BA"/>
    <w:rsid w:val="02D664A5"/>
    <w:rsid w:val="02D70120"/>
    <w:rsid w:val="02F04987"/>
    <w:rsid w:val="02F3072B"/>
    <w:rsid w:val="02F4686A"/>
    <w:rsid w:val="02F50E1A"/>
    <w:rsid w:val="02FC2D91"/>
    <w:rsid w:val="02FC365E"/>
    <w:rsid w:val="03055083"/>
    <w:rsid w:val="030A33B2"/>
    <w:rsid w:val="0312457C"/>
    <w:rsid w:val="03173E54"/>
    <w:rsid w:val="03276EB0"/>
    <w:rsid w:val="03320DD5"/>
    <w:rsid w:val="03367B19"/>
    <w:rsid w:val="033F3094"/>
    <w:rsid w:val="0341739D"/>
    <w:rsid w:val="035906B9"/>
    <w:rsid w:val="035A07AB"/>
    <w:rsid w:val="036773BE"/>
    <w:rsid w:val="03745931"/>
    <w:rsid w:val="0375270B"/>
    <w:rsid w:val="0376026A"/>
    <w:rsid w:val="03763E10"/>
    <w:rsid w:val="03795E56"/>
    <w:rsid w:val="038F00BD"/>
    <w:rsid w:val="038F07EB"/>
    <w:rsid w:val="039F6B79"/>
    <w:rsid w:val="03A054FE"/>
    <w:rsid w:val="03A710E3"/>
    <w:rsid w:val="03B75E22"/>
    <w:rsid w:val="03C7124D"/>
    <w:rsid w:val="03C956D7"/>
    <w:rsid w:val="03CD065E"/>
    <w:rsid w:val="03D96519"/>
    <w:rsid w:val="03DC76EB"/>
    <w:rsid w:val="03DF3AAC"/>
    <w:rsid w:val="03DF7C94"/>
    <w:rsid w:val="03EE2D2D"/>
    <w:rsid w:val="03EE5120"/>
    <w:rsid w:val="03F95EAB"/>
    <w:rsid w:val="03FA4378"/>
    <w:rsid w:val="040E59E0"/>
    <w:rsid w:val="04177E90"/>
    <w:rsid w:val="04227E09"/>
    <w:rsid w:val="04256881"/>
    <w:rsid w:val="042E72BA"/>
    <w:rsid w:val="04361A54"/>
    <w:rsid w:val="043837D8"/>
    <w:rsid w:val="043F0FCC"/>
    <w:rsid w:val="0458216E"/>
    <w:rsid w:val="04633D2A"/>
    <w:rsid w:val="046441B2"/>
    <w:rsid w:val="0470619B"/>
    <w:rsid w:val="047264E0"/>
    <w:rsid w:val="047929EC"/>
    <w:rsid w:val="047931E4"/>
    <w:rsid w:val="047B754C"/>
    <w:rsid w:val="047C330E"/>
    <w:rsid w:val="04802BB2"/>
    <w:rsid w:val="048112FB"/>
    <w:rsid w:val="048B08F7"/>
    <w:rsid w:val="04997356"/>
    <w:rsid w:val="04B3013F"/>
    <w:rsid w:val="04BA605B"/>
    <w:rsid w:val="04BB6582"/>
    <w:rsid w:val="04BF51D4"/>
    <w:rsid w:val="04C30370"/>
    <w:rsid w:val="04C369FD"/>
    <w:rsid w:val="04C87276"/>
    <w:rsid w:val="04CE7B7F"/>
    <w:rsid w:val="04D13EAB"/>
    <w:rsid w:val="04E16ACF"/>
    <w:rsid w:val="04F33CBA"/>
    <w:rsid w:val="05006805"/>
    <w:rsid w:val="05017788"/>
    <w:rsid w:val="05150D13"/>
    <w:rsid w:val="052054D4"/>
    <w:rsid w:val="052C7639"/>
    <w:rsid w:val="054A7C8A"/>
    <w:rsid w:val="055D26AF"/>
    <w:rsid w:val="056534E0"/>
    <w:rsid w:val="056834A8"/>
    <w:rsid w:val="05684832"/>
    <w:rsid w:val="056E79C6"/>
    <w:rsid w:val="05770173"/>
    <w:rsid w:val="057A799E"/>
    <w:rsid w:val="058647BE"/>
    <w:rsid w:val="05880374"/>
    <w:rsid w:val="05881910"/>
    <w:rsid w:val="05913966"/>
    <w:rsid w:val="059F17BF"/>
    <w:rsid w:val="05A259F9"/>
    <w:rsid w:val="05A73DC5"/>
    <w:rsid w:val="05B336D5"/>
    <w:rsid w:val="05CC2A3B"/>
    <w:rsid w:val="05CD0D9A"/>
    <w:rsid w:val="05CF249D"/>
    <w:rsid w:val="05D14319"/>
    <w:rsid w:val="05D714EA"/>
    <w:rsid w:val="05E536E6"/>
    <w:rsid w:val="05EA1C44"/>
    <w:rsid w:val="05F2445C"/>
    <w:rsid w:val="06077942"/>
    <w:rsid w:val="060A0D89"/>
    <w:rsid w:val="060F3722"/>
    <w:rsid w:val="062B0B83"/>
    <w:rsid w:val="062C6587"/>
    <w:rsid w:val="062D67C8"/>
    <w:rsid w:val="06301A1B"/>
    <w:rsid w:val="0633380C"/>
    <w:rsid w:val="0638362B"/>
    <w:rsid w:val="063E600A"/>
    <w:rsid w:val="06405659"/>
    <w:rsid w:val="064F5725"/>
    <w:rsid w:val="065C27A8"/>
    <w:rsid w:val="065F50DA"/>
    <w:rsid w:val="06626021"/>
    <w:rsid w:val="066D2CED"/>
    <w:rsid w:val="066E2C0B"/>
    <w:rsid w:val="06700010"/>
    <w:rsid w:val="06734EB6"/>
    <w:rsid w:val="067C24CF"/>
    <w:rsid w:val="068A1FDD"/>
    <w:rsid w:val="069002BE"/>
    <w:rsid w:val="06906B8C"/>
    <w:rsid w:val="069725BC"/>
    <w:rsid w:val="069A3A7C"/>
    <w:rsid w:val="069E196C"/>
    <w:rsid w:val="06A729E1"/>
    <w:rsid w:val="06AB1C7E"/>
    <w:rsid w:val="06AC05E7"/>
    <w:rsid w:val="06AF1D16"/>
    <w:rsid w:val="06AF3414"/>
    <w:rsid w:val="06BA5EB2"/>
    <w:rsid w:val="06E444B8"/>
    <w:rsid w:val="070615F0"/>
    <w:rsid w:val="07085235"/>
    <w:rsid w:val="07146D7A"/>
    <w:rsid w:val="072C5901"/>
    <w:rsid w:val="07355298"/>
    <w:rsid w:val="073633AE"/>
    <w:rsid w:val="0738618B"/>
    <w:rsid w:val="074E1705"/>
    <w:rsid w:val="074E279C"/>
    <w:rsid w:val="075C0378"/>
    <w:rsid w:val="075C613A"/>
    <w:rsid w:val="0768627D"/>
    <w:rsid w:val="07774E9B"/>
    <w:rsid w:val="07886D75"/>
    <w:rsid w:val="079A77BC"/>
    <w:rsid w:val="079D6C92"/>
    <w:rsid w:val="07A92FCD"/>
    <w:rsid w:val="07C32EAB"/>
    <w:rsid w:val="07CE7516"/>
    <w:rsid w:val="07DA5629"/>
    <w:rsid w:val="07DE3B60"/>
    <w:rsid w:val="07E54B9E"/>
    <w:rsid w:val="08010DA7"/>
    <w:rsid w:val="080F3123"/>
    <w:rsid w:val="08220E8F"/>
    <w:rsid w:val="08242F28"/>
    <w:rsid w:val="08252E6C"/>
    <w:rsid w:val="08275EA4"/>
    <w:rsid w:val="08294CB5"/>
    <w:rsid w:val="083036B5"/>
    <w:rsid w:val="08310F19"/>
    <w:rsid w:val="08331FC1"/>
    <w:rsid w:val="083611A9"/>
    <w:rsid w:val="08394081"/>
    <w:rsid w:val="083943C5"/>
    <w:rsid w:val="08404FD2"/>
    <w:rsid w:val="084A2513"/>
    <w:rsid w:val="08515651"/>
    <w:rsid w:val="085D6EF2"/>
    <w:rsid w:val="085F59AE"/>
    <w:rsid w:val="086303CB"/>
    <w:rsid w:val="08674312"/>
    <w:rsid w:val="0875786E"/>
    <w:rsid w:val="0881684A"/>
    <w:rsid w:val="08927463"/>
    <w:rsid w:val="08991A5A"/>
    <w:rsid w:val="089C49FA"/>
    <w:rsid w:val="08AF073A"/>
    <w:rsid w:val="08BD5FE1"/>
    <w:rsid w:val="08BE7798"/>
    <w:rsid w:val="08C654F8"/>
    <w:rsid w:val="08CA79C7"/>
    <w:rsid w:val="08D54B6A"/>
    <w:rsid w:val="08D73E78"/>
    <w:rsid w:val="08DB6139"/>
    <w:rsid w:val="08DD4FAE"/>
    <w:rsid w:val="08DE001E"/>
    <w:rsid w:val="08DE502C"/>
    <w:rsid w:val="08DE7E03"/>
    <w:rsid w:val="08ED6D3B"/>
    <w:rsid w:val="08FB16E4"/>
    <w:rsid w:val="08FB2C3C"/>
    <w:rsid w:val="08FE2EDE"/>
    <w:rsid w:val="08FE5206"/>
    <w:rsid w:val="09140F8D"/>
    <w:rsid w:val="09155095"/>
    <w:rsid w:val="091D10D0"/>
    <w:rsid w:val="09210482"/>
    <w:rsid w:val="092105FC"/>
    <w:rsid w:val="09222AB2"/>
    <w:rsid w:val="09266115"/>
    <w:rsid w:val="093303B8"/>
    <w:rsid w:val="09446DB4"/>
    <w:rsid w:val="094811BB"/>
    <w:rsid w:val="094F18C1"/>
    <w:rsid w:val="0954257E"/>
    <w:rsid w:val="095929D4"/>
    <w:rsid w:val="095A003F"/>
    <w:rsid w:val="095B02C8"/>
    <w:rsid w:val="09606CDC"/>
    <w:rsid w:val="09631FC1"/>
    <w:rsid w:val="09651D94"/>
    <w:rsid w:val="098A1F77"/>
    <w:rsid w:val="099872CF"/>
    <w:rsid w:val="09A137B2"/>
    <w:rsid w:val="09A2636C"/>
    <w:rsid w:val="09A44BA0"/>
    <w:rsid w:val="09AA495F"/>
    <w:rsid w:val="09AC53C9"/>
    <w:rsid w:val="09B630C3"/>
    <w:rsid w:val="09C222A5"/>
    <w:rsid w:val="09C27E4D"/>
    <w:rsid w:val="09C81C8D"/>
    <w:rsid w:val="09CB6B07"/>
    <w:rsid w:val="09CD0E22"/>
    <w:rsid w:val="09FA2B3C"/>
    <w:rsid w:val="09FA772F"/>
    <w:rsid w:val="09FB6D64"/>
    <w:rsid w:val="0A030CE9"/>
    <w:rsid w:val="0A0D0EE1"/>
    <w:rsid w:val="0A346C5C"/>
    <w:rsid w:val="0A4707FD"/>
    <w:rsid w:val="0A486965"/>
    <w:rsid w:val="0A4B2E8D"/>
    <w:rsid w:val="0A5317DF"/>
    <w:rsid w:val="0A564C39"/>
    <w:rsid w:val="0A5B0F4C"/>
    <w:rsid w:val="0A61640A"/>
    <w:rsid w:val="0A6536D8"/>
    <w:rsid w:val="0A6A580E"/>
    <w:rsid w:val="0A7611EF"/>
    <w:rsid w:val="0A765DBA"/>
    <w:rsid w:val="0A7A1EF7"/>
    <w:rsid w:val="0A987047"/>
    <w:rsid w:val="0AA05D85"/>
    <w:rsid w:val="0AAD109D"/>
    <w:rsid w:val="0ABB417A"/>
    <w:rsid w:val="0ABE47A4"/>
    <w:rsid w:val="0ACC2910"/>
    <w:rsid w:val="0ACC3151"/>
    <w:rsid w:val="0AD16821"/>
    <w:rsid w:val="0AD45A3C"/>
    <w:rsid w:val="0AD60B60"/>
    <w:rsid w:val="0ADC78D2"/>
    <w:rsid w:val="0AE11813"/>
    <w:rsid w:val="0AE3323E"/>
    <w:rsid w:val="0AEB11A6"/>
    <w:rsid w:val="0AEC3E44"/>
    <w:rsid w:val="0AEE609E"/>
    <w:rsid w:val="0AEF478A"/>
    <w:rsid w:val="0B062542"/>
    <w:rsid w:val="0B0E47F4"/>
    <w:rsid w:val="0B1C17AD"/>
    <w:rsid w:val="0B283787"/>
    <w:rsid w:val="0B2D6F6E"/>
    <w:rsid w:val="0B345DB1"/>
    <w:rsid w:val="0B363DD8"/>
    <w:rsid w:val="0B3A4657"/>
    <w:rsid w:val="0B3C5BB9"/>
    <w:rsid w:val="0B4372E2"/>
    <w:rsid w:val="0B5A2079"/>
    <w:rsid w:val="0B5B5996"/>
    <w:rsid w:val="0B5C3E34"/>
    <w:rsid w:val="0B6075D7"/>
    <w:rsid w:val="0B627AD4"/>
    <w:rsid w:val="0B6A0BB3"/>
    <w:rsid w:val="0B792EB2"/>
    <w:rsid w:val="0B8035EB"/>
    <w:rsid w:val="0B84164E"/>
    <w:rsid w:val="0B89731E"/>
    <w:rsid w:val="0B904412"/>
    <w:rsid w:val="0B913EDA"/>
    <w:rsid w:val="0B9C76A8"/>
    <w:rsid w:val="0BA50775"/>
    <w:rsid w:val="0BA749E5"/>
    <w:rsid w:val="0BAC24A8"/>
    <w:rsid w:val="0BAE1323"/>
    <w:rsid w:val="0BB42E0A"/>
    <w:rsid w:val="0BBA3391"/>
    <w:rsid w:val="0BDC3258"/>
    <w:rsid w:val="0BDE3581"/>
    <w:rsid w:val="0BE85349"/>
    <w:rsid w:val="0BF57A28"/>
    <w:rsid w:val="0BF845E9"/>
    <w:rsid w:val="0BFA1A53"/>
    <w:rsid w:val="0C074F06"/>
    <w:rsid w:val="0C0B1E5B"/>
    <w:rsid w:val="0C146F99"/>
    <w:rsid w:val="0C1A584B"/>
    <w:rsid w:val="0C2275D5"/>
    <w:rsid w:val="0C2D70F9"/>
    <w:rsid w:val="0C342312"/>
    <w:rsid w:val="0C53740C"/>
    <w:rsid w:val="0C563E70"/>
    <w:rsid w:val="0C631545"/>
    <w:rsid w:val="0C6E187C"/>
    <w:rsid w:val="0C7D4D8F"/>
    <w:rsid w:val="0C80052F"/>
    <w:rsid w:val="0C8C06D3"/>
    <w:rsid w:val="0C980884"/>
    <w:rsid w:val="0C9961AF"/>
    <w:rsid w:val="0C9A50FF"/>
    <w:rsid w:val="0C9B3EE0"/>
    <w:rsid w:val="0C9C2E80"/>
    <w:rsid w:val="0CA20B1F"/>
    <w:rsid w:val="0CA44E41"/>
    <w:rsid w:val="0CA77405"/>
    <w:rsid w:val="0CAE5B1B"/>
    <w:rsid w:val="0CB224D8"/>
    <w:rsid w:val="0CB31FF7"/>
    <w:rsid w:val="0CB45BFD"/>
    <w:rsid w:val="0CB75099"/>
    <w:rsid w:val="0CB80D6E"/>
    <w:rsid w:val="0CBF360E"/>
    <w:rsid w:val="0CBF44B3"/>
    <w:rsid w:val="0CC10497"/>
    <w:rsid w:val="0CC30BC5"/>
    <w:rsid w:val="0CC42150"/>
    <w:rsid w:val="0CC45545"/>
    <w:rsid w:val="0CC71781"/>
    <w:rsid w:val="0CCB0FDF"/>
    <w:rsid w:val="0CDC515C"/>
    <w:rsid w:val="0D0B2A13"/>
    <w:rsid w:val="0D112021"/>
    <w:rsid w:val="0D12133D"/>
    <w:rsid w:val="0D1F7151"/>
    <w:rsid w:val="0D200D54"/>
    <w:rsid w:val="0D2B7DB2"/>
    <w:rsid w:val="0D3152D9"/>
    <w:rsid w:val="0D384916"/>
    <w:rsid w:val="0D427E08"/>
    <w:rsid w:val="0D4A1977"/>
    <w:rsid w:val="0D511FCD"/>
    <w:rsid w:val="0D52698E"/>
    <w:rsid w:val="0D583C5F"/>
    <w:rsid w:val="0D5D658F"/>
    <w:rsid w:val="0D6029A5"/>
    <w:rsid w:val="0D6063D4"/>
    <w:rsid w:val="0D667E20"/>
    <w:rsid w:val="0D922931"/>
    <w:rsid w:val="0D95263C"/>
    <w:rsid w:val="0DA81B9F"/>
    <w:rsid w:val="0DAD79F2"/>
    <w:rsid w:val="0DC436B0"/>
    <w:rsid w:val="0DC9693F"/>
    <w:rsid w:val="0DCC1715"/>
    <w:rsid w:val="0DD82C48"/>
    <w:rsid w:val="0DDB6385"/>
    <w:rsid w:val="0DF0632D"/>
    <w:rsid w:val="0DF475E0"/>
    <w:rsid w:val="0E0E09E4"/>
    <w:rsid w:val="0E184477"/>
    <w:rsid w:val="0E1A4501"/>
    <w:rsid w:val="0E21196E"/>
    <w:rsid w:val="0E227E98"/>
    <w:rsid w:val="0E27140B"/>
    <w:rsid w:val="0E2D4D70"/>
    <w:rsid w:val="0E3B2663"/>
    <w:rsid w:val="0E443DBA"/>
    <w:rsid w:val="0E465F52"/>
    <w:rsid w:val="0E576A70"/>
    <w:rsid w:val="0E6B437E"/>
    <w:rsid w:val="0E6B6A22"/>
    <w:rsid w:val="0E793535"/>
    <w:rsid w:val="0E795DEE"/>
    <w:rsid w:val="0E7B3260"/>
    <w:rsid w:val="0E804638"/>
    <w:rsid w:val="0E854758"/>
    <w:rsid w:val="0EC4408A"/>
    <w:rsid w:val="0ECD6BD5"/>
    <w:rsid w:val="0EDA3DE0"/>
    <w:rsid w:val="0EE241B0"/>
    <w:rsid w:val="0EE470B9"/>
    <w:rsid w:val="0EE51F3F"/>
    <w:rsid w:val="0EE96C61"/>
    <w:rsid w:val="0EEF6278"/>
    <w:rsid w:val="0F110F65"/>
    <w:rsid w:val="0F126FC2"/>
    <w:rsid w:val="0F1821BC"/>
    <w:rsid w:val="0F1F71AB"/>
    <w:rsid w:val="0F206FE9"/>
    <w:rsid w:val="0F246E43"/>
    <w:rsid w:val="0F2F2F21"/>
    <w:rsid w:val="0F303168"/>
    <w:rsid w:val="0F3346BD"/>
    <w:rsid w:val="0F521390"/>
    <w:rsid w:val="0F551890"/>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C24482"/>
    <w:rsid w:val="0FC754B6"/>
    <w:rsid w:val="0FCD46F4"/>
    <w:rsid w:val="0FCE3065"/>
    <w:rsid w:val="0FE107E2"/>
    <w:rsid w:val="0FE336DE"/>
    <w:rsid w:val="0FED1D3E"/>
    <w:rsid w:val="10065756"/>
    <w:rsid w:val="100A69A4"/>
    <w:rsid w:val="100E17EE"/>
    <w:rsid w:val="10140347"/>
    <w:rsid w:val="101B54B3"/>
    <w:rsid w:val="101C6175"/>
    <w:rsid w:val="104210EE"/>
    <w:rsid w:val="10513C3F"/>
    <w:rsid w:val="10541F36"/>
    <w:rsid w:val="105D2D1E"/>
    <w:rsid w:val="10623D8F"/>
    <w:rsid w:val="10703686"/>
    <w:rsid w:val="1075160B"/>
    <w:rsid w:val="107760A9"/>
    <w:rsid w:val="10780D89"/>
    <w:rsid w:val="107B52AA"/>
    <w:rsid w:val="107E75D8"/>
    <w:rsid w:val="10805AB8"/>
    <w:rsid w:val="108161A3"/>
    <w:rsid w:val="1089301A"/>
    <w:rsid w:val="108B29C7"/>
    <w:rsid w:val="10901F21"/>
    <w:rsid w:val="10974AA9"/>
    <w:rsid w:val="10A21388"/>
    <w:rsid w:val="10A60889"/>
    <w:rsid w:val="10AA391A"/>
    <w:rsid w:val="10B27075"/>
    <w:rsid w:val="10B27B37"/>
    <w:rsid w:val="10B33FFC"/>
    <w:rsid w:val="10BA25C0"/>
    <w:rsid w:val="10C02E80"/>
    <w:rsid w:val="10C121EA"/>
    <w:rsid w:val="10C2285B"/>
    <w:rsid w:val="10D27169"/>
    <w:rsid w:val="10D309E2"/>
    <w:rsid w:val="10D621B1"/>
    <w:rsid w:val="10D81E5C"/>
    <w:rsid w:val="10DA39AB"/>
    <w:rsid w:val="10DE746C"/>
    <w:rsid w:val="10EB7A42"/>
    <w:rsid w:val="10F16967"/>
    <w:rsid w:val="10F21B48"/>
    <w:rsid w:val="10F61CDD"/>
    <w:rsid w:val="10F91FDE"/>
    <w:rsid w:val="10F941E9"/>
    <w:rsid w:val="11083015"/>
    <w:rsid w:val="110A357B"/>
    <w:rsid w:val="110D2E2E"/>
    <w:rsid w:val="1113498F"/>
    <w:rsid w:val="11145DE6"/>
    <w:rsid w:val="111A2147"/>
    <w:rsid w:val="112252CB"/>
    <w:rsid w:val="11360EF9"/>
    <w:rsid w:val="113B0B58"/>
    <w:rsid w:val="113D775B"/>
    <w:rsid w:val="11410876"/>
    <w:rsid w:val="114608E7"/>
    <w:rsid w:val="114F3D65"/>
    <w:rsid w:val="115347BC"/>
    <w:rsid w:val="11545887"/>
    <w:rsid w:val="11597C64"/>
    <w:rsid w:val="116228E3"/>
    <w:rsid w:val="11631325"/>
    <w:rsid w:val="116345A4"/>
    <w:rsid w:val="11667833"/>
    <w:rsid w:val="11687433"/>
    <w:rsid w:val="117B53DF"/>
    <w:rsid w:val="117B71D3"/>
    <w:rsid w:val="11845F00"/>
    <w:rsid w:val="118A58E4"/>
    <w:rsid w:val="11916F88"/>
    <w:rsid w:val="11B62D0B"/>
    <w:rsid w:val="11C52A21"/>
    <w:rsid w:val="11C75474"/>
    <w:rsid w:val="11D26FDB"/>
    <w:rsid w:val="11D435B9"/>
    <w:rsid w:val="11D8409F"/>
    <w:rsid w:val="11D95083"/>
    <w:rsid w:val="11DE26F2"/>
    <w:rsid w:val="11DF6987"/>
    <w:rsid w:val="11EA23C8"/>
    <w:rsid w:val="11EB5C95"/>
    <w:rsid w:val="11ED6242"/>
    <w:rsid w:val="12010E7D"/>
    <w:rsid w:val="120506CD"/>
    <w:rsid w:val="12075A2C"/>
    <w:rsid w:val="120A0C4D"/>
    <w:rsid w:val="120A38DA"/>
    <w:rsid w:val="12101A57"/>
    <w:rsid w:val="12193170"/>
    <w:rsid w:val="12193813"/>
    <w:rsid w:val="121D6AE3"/>
    <w:rsid w:val="121F75CC"/>
    <w:rsid w:val="122C1A12"/>
    <w:rsid w:val="1232130B"/>
    <w:rsid w:val="12395D63"/>
    <w:rsid w:val="12401AD9"/>
    <w:rsid w:val="12421E9D"/>
    <w:rsid w:val="12571C4D"/>
    <w:rsid w:val="125C09FF"/>
    <w:rsid w:val="12657F0C"/>
    <w:rsid w:val="126830F6"/>
    <w:rsid w:val="126B5207"/>
    <w:rsid w:val="126F57E1"/>
    <w:rsid w:val="12760E78"/>
    <w:rsid w:val="127673DB"/>
    <w:rsid w:val="127E0189"/>
    <w:rsid w:val="12810A1D"/>
    <w:rsid w:val="12927837"/>
    <w:rsid w:val="12A30BAA"/>
    <w:rsid w:val="12A709D5"/>
    <w:rsid w:val="12A867C5"/>
    <w:rsid w:val="12B56515"/>
    <w:rsid w:val="12BE11B2"/>
    <w:rsid w:val="12C21464"/>
    <w:rsid w:val="12C40A29"/>
    <w:rsid w:val="12C42DA1"/>
    <w:rsid w:val="12C45CF0"/>
    <w:rsid w:val="12C948D2"/>
    <w:rsid w:val="12CB14EE"/>
    <w:rsid w:val="12CE6902"/>
    <w:rsid w:val="12D54B1A"/>
    <w:rsid w:val="12EF155A"/>
    <w:rsid w:val="12F17350"/>
    <w:rsid w:val="12F712FB"/>
    <w:rsid w:val="12FA0E2E"/>
    <w:rsid w:val="12FF7A62"/>
    <w:rsid w:val="13037A88"/>
    <w:rsid w:val="133844CA"/>
    <w:rsid w:val="1347596A"/>
    <w:rsid w:val="13477178"/>
    <w:rsid w:val="134B5A55"/>
    <w:rsid w:val="134C0AA1"/>
    <w:rsid w:val="136041BC"/>
    <w:rsid w:val="136F4FE6"/>
    <w:rsid w:val="13713F6F"/>
    <w:rsid w:val="13762A14"/>
    <w:rsid w:val="138C25C7"/>
    <w:rsid w:val="138E741D"/>
    <w:rsid w:val="1390357D"/>
    <w:rsid w:val="139670E5"/>
    <w:rsid w:val="139F1C24"/>
    <w:rsid w:val="13A023E7"/>
    <w:rsid w:val="13A04270"/>
    <w:rsid w:val="13A90344"/>
    <w:rsid w:val="13A9454D"/>
    <w:rsid w:val="13B35BBD"/>
    <w:rsid w:val="13BF3D28"/>
    <w:rsid w:val="13C32466"/>
    <w:rsid w:val="13C77F07"/>
    <w:rsid w:val="13CE4E2F"/>
    <w:rsid w:val="13CF48B4"/>
    <w:rsid w:val="13E45E4B"/>
    <w:rsid w:val="13F57229"/>
    <w:rsid w:val="13F60043"/>
    <w:rsid w:val="13F63AC9"/>
    <w:rsid w:val="13FF4761"/>
    <w:rsid w:val="14011235"/>
    <w:rsid w:val="1401651E"/>
    <w:rsid w:val="14065625"/>
    <w:rsid w:val="14127CF3"/>
    <w:rsid w:val="1416357F"/>
    <w:rsid w:val="14175C6D"/>
    <w:rsid w:val="14182B9E"/>
    <w:rsid w:val="14211963"/>
    <w:rsid w:val="142160CA"/>
    <w:rsid w:val="142E4E6B"/>
    <w:rsid w:val="14332094"/>
    <w:rsid w:val="14390732"/>
    <w:rsid w:val="143B554F"/>
    <w:rsid w:val="144128ED"/>
    <w:rsid w:val="144D721A"/>
    <w:rsid w:val="14504C78"/>
    <w:rsid w:val="14552700"/>
    <w:rsid w:val="1455301F"/>
    <w:rsid w:val="145E0ED6"/>
    <w:rsid w:val="146A5814"/>
    <w:rsid w:val="146D4E79"/>
    <w:rsid w:val="147C1504"/>
    <w:rsid w:val="148112AD"/>
    <w:rsid w:val="14933736"/>
    <w:rsid w:val="149D19D1"/>
    <w:rsid w:val="14AD2447"/>
    <w:rsid w:val="14BD7435"/>
    <w:rsid w:val="14D41B03"/>
    <w:rsid w:val="14EC7262"/>
    <w:rsid w:val="14F50637"/>
    <w:rsid w:val="14F56962"/>
    <w:rsid w:val="14FD3DC3"/>
    <w:rsid w:val="15052F44"/>
    <w:rsid w:val="152446F6"/>
    <w:rsid w:val="15274A34"/>
    <w:rsid w:val="152C74BF"/>
    <w:rsid w:val="152E54C4"/>
    <w:rsid w:val="1535555F"/>
    <w:rsid w:val="15382813"/>
    <w:rsid w:val="154B27A9"/>
    <w:rsid w:val="154B6CF6"/>
    <w:rsid w:val="15516306"/>
    <w:rsid w:val="155B06BC"/>
    <w:rsid w:val="155B6FCC"/>
    <w:rsid w:val="15620F8B"/>
    <w:rsid w:val="156514F3"/>
    <w:rsid w:val="15707694"/>
    <w:rsid w:val="157477F0"/>
    <w:rsid w:val="157F4B83"/>
    <w:rsid w:val="15864057"/>
    <w:rsid w:val="158A2F64"/>
    <w:rsid w:val="158C53F6"/>
    <w:rsid w:val="15946EC2"/>
    <w:rsid w:val="1594709F"/>
    <w:rsid w:val="159B1410"/>
    <w:rsid w:val="159D2E6C"/>
    <w:rsid w:val="15A625C0"/>
    <w:rsid w:val="15A70541"/>
    <w:rsid w:val="15A7643A"/>
    <w:rsid w:val="15AD4348"/>
    <w:rsid w:val="15AD7612"/>
    <w:rsid w:val="15B96153"/>
    <w:rsid w:val="15BC619F"/>
    <w:rsid w:val="15C40EFF"/>
    <w:rsid w:val="15CA097E"/>
    <w:rsid w:val="15D92955"/>
    <w:rsid w:val="15F5535B"/>
    <w:rsid w:val="15F569FA"/>
    <w:rsid w:val="15F656C7"/>
    <w:rsid w:val="15F85F00"/>
    <w:rsid w:val="15F969EC"/>
    <w:rsid w:val="16005D04"/>
    <w:rsid w:val="1607152F"/>
    <w:rsid w:val="160D7883"/>
    <w:rsid w:val="16104DB0"/>
    <w:rsid w:val="1613433D"/>
    <w:rsid w:val="16200AF2"/>
    <w:rsid w:val="162E2ADD"/>
    <w:rsid w:val="16313AA6"/>
    <w:rsid w:val="163267A4"/>
    <w:rsid w:val="16405266"/>
    <w:rsid w:val="164561DB"/>
    <w:rsid w:val="1651617C"/>
    <w:rsid w:val="166852CC"/>
    <w:rsid w:val="16696EE3"/>
    <w:rsid w:val="16713663"/>
    <w:rsid w:val="167518D2"/>
    <w:rsid w:val="168864E9"/>
    <w:rsid w:val="16907088"/>
    <w:rsid w:val="1697702E"/>
    <w:rsid w:val="169A4327"/>
    <w:rsid w:val="169B4121"/>
    <w:rsid w:val="169D4FCC"/>
    <w:rsid w:val="16A26D59"/>
    <w:rsid w:val="16A31912"/>
    <w:rsid w:val="16A52825"/>
    <w:rsid w:val="16A60389"/>
    <w:rsid w:val="16AC66DD"/>
    <w:rsid w:val="16B06BAD"/>
    <w:rsid w:val="16B17712"/>
    <w:rsid w:val="16B95CF7"/>
    <w:rsid w:val="16C42B77"/>
    <w:rsid w:val="16D55B33"/>
    <w:rsid w:val="16D74218"/>
    <w:rsid w:val="16DD2E8B"/>
    <w:rsid w:val="16E376E7"/>
    <w:rsid w:val="16E40C30"/>
    <w:rsid w:val="16E72981"/>
    <w:rsid w:val="16EB66D9"/>
    <w:rsid w:val="16F47BF5"/>
    <w:rsid w:val="16F872C3"/>
    <w:rsid w:val="16FA06E3"/>
    <w:rsid w:val="170167F2"/>
    <w:rsid w:val="17035AAC"/>
    <w:rsid w:val="17054499"/>
    <w:rsid w:val="170B0BD9"/>
    <w:rsid w:val="171E2D1A"/>
    <w:rsid w:val="172E1BBE"/>
    <w:rsid w:val="173A6824"/>
    <w:rsid w:val="173B1FA1"/>
    <w:rsid w:val="173C594E"/>
    <w:rsid w:val="17503F57"/>
    <w:rsid w:val="17505DD6"/>
    <w:rsid w:val="17586CB0"/>
    <w:rsid w:val="17596CA9"/>
    <w:rsid w:val="17600681"/>
    <w:rsid w:val="17665D9F"/>
    <w:rsid w:val="17696EA4"/>
    <w:rsid w:val="17795030"/>
    <w:rsid w:val="177B0627"/>
    <w:rsid w:val="177D3C16"/>
    <w:rsid w:val="178501CB"/>
    <w:rsid w:val="178A042D"/>
    <w:rsid w:val="178A1F82"/>
    <w:rsid w:val="17920EA7"/>
    <w:rsid w:val="1797450B"/>
    <w:rsid w:val="17A644BF"/>
    <w:rsid w:val="17A92F07"/>
    <w:rsid w:val="17B23E0F"/>
    <w:rsid w:val="17B31B32"/>
    <w:rsid w:val="17B80549"/>
    <w:rsid w:val="17C063A0"/>
    <w:rsid w:val="17C15DFA"/>
    <w:rsid w:val="17C76A67"/>
    <w:rsid w:val="17DA0F7A"/>
    <w:rsid w:val="17DC2D7F"/>
    <w:rsid w:val="17E95276"/>
    <w:rsid w:val="17EA38A1"/>
    <w:rsid w:val="17EB77A3"/>
    <w:rsid w:val="17EC5E41"/>
    <w:rsid w:val="1806537C"/>
    <w:rsid w:val="181C2683"/>
    <w:rsid w:val="181E4167"/>
    <w:rsid w:val="18341D76"/>
    <w:rsid w:val="18351C27"/>
    <w:rsid w:val="18553A22"/>
    <w:rsid w:val="18607956"/>
    <w:rsid w:val="186E420E"/>
    <w:rsid w:val="187A14AA"/>
    <w:rsid w:val="187B7B4F"/>
    <w:rsid w:val="1887188F"/>
    <w:rsid w:val="18A35548"/>
    <w:rsid w:val="18A63203"/>
    <w:rsid w:val="18A77689"/>
    <w:rsid w:val="18A816B2"/>
    <w:rsid w:val="18B8431F"/>
    <w:rsid w:val="18B90C48"/>
    <w:rsid w:val="18BC4ADF"/>
    <w:rsid w:val="18BD1521"/>
    <w:rsid w:val="18BD2E66"/>
    <w:rsid w:val="18CF2450"/>
    <w:rsid w:val="18DA12E6"/>
    <w:rsid w:val="18E85386"/>
    <w:rsid w:val="18FC503B"/>
    <w:rsid w:val="19027C40"/>
    <w:rsid w:val="190E3326"/>
    <w:rsid w:val="190E3538"/>
    <w:rsid w:val="19164D1E"/>
    <w:rsid w:val="192D514C"/>
    <w:rsid w:val="193544CD"/>
    <w:rsid w:val="19443AA2"/>
    <w:rsid w:val="1945355B"/>
    <w:rsid w:val="194817FC"/>
    <w:rsid w:val="194A0D45"/>
    <w:rsid w:val="195159CB"/>
    <w:rsid w:val="195961D5"/>
    <w:rsid w:val="195C14E8"/>
    <w:rsid w:val="196515C3"/>
    <w:rsid w:val="197859DA"/>
    <w:rsid w:val="1980769C"/>
    <w:rsid w:val="19884F66"/>
    <w:rsid w:val="19917CFC"/>
    <w:rsid w:val="1997576B"/>
    <w:rsid w:val="1998697F"/>
    <w:rsid w:val="199A20B4"/>
    <w:rsid w:val="19A71B82"/>
    <w:rsid w:val="19B84C88"/>
    <w:rsid w:val="19C6694E"/>
    <w:rsid w:val="19D11E61"/>
    <w:rsid w:val="19D5618C"/>
    <w:rsid w:val="19E22401"/>
    <w:rsid w:val="19E23808"/>
    <w:rsid w:val="1A00532F"/>
    <w:rsid w:val="1A040FBD"/>
    <w:rsid w:val="1A067DCA"/>
    <w:rsid w:val="1A13214F"/>
    <w:rsid w:val="1A434C13"/>
    <w:rsid w:val="1A4E18BB"/>
    <w:rsid w:val="1A5C550E"/>
    <w:rsid w:val="1A5E5759"/>
    <w:rsid w:val="1A61514E"/>
    <w:rsid w:val="1A624E9D"/>
    <w:rsid w:val="1A6F769D"/>
    <w:rsid w:val="1A712AE5"/>
    <w:rsid w:val="1A74386E"/>
    <w:rsid w:val="1A783427"/>
    <w:rsid w:val="1A7B0419"/>
    <w:rsid w:val="1A8A143B"/>
    <w:rsid w:val="1AA67BD3"/>
    <w:rsid w:val="1AC70097"/>
    <w:rsid w:val="1ACC39D6"/>
    <w:rsid w:val="1AF7489C"/>
    <w:rsid w:val="1AFA3523"/>
    <w:rsid w:val="1AFD3AEA"/>
    <w:rsid w:val="1B05238D"/>
    <w:rsid w:val="1B13587B"/>
    <w:rsid w:val="1B1D44BA"/>
    <w:rsid w:val="1B2C07D2"/>
    <w:rsid w:val="1B2C5EE0"/>
    <w:rsid w:val="1B3604D3"/>
    <w:rsid w:val="1B364D11"/>
    <w:rsid w:val="1B3865C6"/>
    <w:rsid w:val="1B3E5EDE"/>
    <w:rsid w:val="1B467529"/>
    <w:rsid w:val="1B4B00CA"/>
    <w:rsid w:val="1B566C78"/>
    <w:rsid w:val="1B5F1247"/>
    <w:rsid w:val="1B6307EA"/>
    <w:rsid w:val="1B79696C"/>
    <w:rsid w:val="1B7E1824"/>
    <w:rsid w:val="1B825166"/>
    <w:rsid w:val="1B890C23"/>
    <w:rsid w:val="1B9411FC"/>
    <w:rsid w:val="1B9D6CE8"/>
    <w:rsid w:val="1BA54728"/>
    <w:rsid w:val="1BBB422B"/>
    <w:rsid w:val="1BC600B5"/>
    <w:rsid w:val="1BCD55F8"/>
    <w:rsid w:val="1BE011AE"/>
    <w:rsid w:val="1BE956C8"/>
    <w:rsid w:val="1C022294"/>
    <w:rsid w:val="1C0B35D4"/>
    <w:rsid w:val="1C12573D"/>
    <w:rsid w:val="1C1D1EE2"/>
    <w:rsid w:val="1C234861"/>
    <w:rsid w:val="1C2E319B"/>
    <w:rsid w:val="1C3477C5"/>
    <w:rsid w:val="1C4F6563"/>
    <w:rsid w:val="1C545F3D"/>
    <w:rsid w:val="1C556488"/>
    <w:rsid w:val="1C563FE3"/>
    <w:rsid w:val="1C5A182A"/>
    <w:rsid w:val="1C62402E"/>
    <w:rsid w:val="1C62587C"/>
    <w:rsid w:val="1C6818E0"/>
    <w:rsid w:val="1C6F3BF6"/>
    <w:rsid w:val="1C7D2EB6"/>
    <w:rsid w:val="1C805B43"/>
    <w:rsid w:val="1C852BB0"/>
    <w:rsid w:val="1C8D54A8"/>
    <w:rsid w:val="1C9651FD"/>
    <w:rsid w:val="1CA42FB6"/>
    <w:rsid w:val="1CB21A29"/>
    <w:rsid w:val="1CCB32EE"/>
    <w:rsid w:val="1CD23361"/>
    <w:rsid w:val="1CE302F7"/>
    <w:rsid w:val="1CEC4F96"/>
    <w:rsid w:val="1CF13B49"/>
    <w:rsid w:val="1CF52075"/>
    <w:rsid w:val="1CF70EE3"/>
    <w:rsid w:val="1CFE7E6D"/>
    <w:rsid w:val="1D011F4C"/>
    <w:rsid w:val="1D0D1F95"/>
    <w:rsid w:val="1D1C7AC2"/>
    <w:rsid w:val="1D1D6A85"/>
    <w:rsid w:val="1D207BFC"/>
    <w:rsid w:val="1D230741"/>
    <w:rsid w:val="1D2F0DCA"/>
    <w:rsid w:val="1D3E30CF"/>
    <w:rsid w:val="1D3E57BA"/>
    <w:rsid w:val="1D3F5BF4"/>
    <w:rsid w:val="1D49558F"/>
    <w:rsid w:val="1D4B4B5A"/>
    <w:rsid w:val="1D584348"/>
    <w:rsid w:val="1D5D209F"/>
    <w:rsid w:val="1D6D4785"/>
    <w:rsid w:val="1D6E27CD"/>
    <w:rsid w:val="1D767ADA"/>
    <w:rsid w:val="1D845021"/>
    <w:rsid w:val="1D861B2D"/>
    <w:rsid w:val="1D896FB3"/>
    <w:rsid w:val="1D91741D"/>
    <w:rsid w:val="1D9318C5"/>
    <w:rsid w:val="1D941B55"/>
    <w:rsid w:val="1D9B15A6"/>
    <w:rsid w:val="1DAB7998"/>
    <w:rsid w:val="1DB01072"/>
    <w:rsid w:val="1DB2076E"/>
    <w:rsid w:val="1DB43F2E"/>
    <w:rsid w:val="1DBE6DCD"/>
    <w:rsid w:val="1DC2628A"/>
    <w:rsid w:val="1DCF57CE"/>
    <w:rsid w:val="1DD11EB5"/>
    <w:rsid w:val="1DD246EC"/>
    <w:rsid w:val="1DD63079"/>
    <w:rsid w:val="1DD859F5"/>
    <w:rsid w:val="1DDD63A7"/>
    <w:rsid w:val="1DFC4DF9"/>
    <w:rsid w:val="1E0435A0"/>
    <w:rsid w:val="1E110D2A"/>
    <w:rsid w:val="1E1247A2"/>
    <w:rsid w:val="1E155062"/>
    <w:rsid w:val="1E193E9C"/>
    <w:rsid w:val="1E1B38E9"/>
    <w:rsid w:val="1E303EF3"/>
    <w:rsid w:val="1E3F6D05"/>
    <w:rsid w:val="1E494B8A"/>
    <w:rsid w:val="1E4F0222"/>
    <w:rsid w:val="1E5C2AF3"/>
    <w:rsid w:val="1E795C41"/>
    <w:rsid w:val="1E7E640D"/>
    <w:rsid w:val="1E7F3A72"/>
    <w:rsid w:val="1E8064D3"/>
    <w:rsid w:val="1E861E21"/>
    <w:rsid w:val="1EA72270"/>
    <w:rsid w:val="1EBD6E42"/>
    <w:rsid w:val="1EC25D1C"/>
    <w:rsid w:val="1EC74AB4"/>
    <w:rsid w:val="1EC87ABC"/>
    <w:rsid w:val="1ED242FC"/>
    <w:rsid w:val="1ED56C03"/>
    <w:rsid w:val="1EDB3888"/>
    <w:rsid w:val="1EE05F54"/>
    <w:rsid w:val="1EE332A7"/>
    <w:rsid w:val="1EF579A0"/>
    <w:rsid w:val="1F05532C"/>
    <w:rsid w:val="1F095121"/>
    <w:rsid w:val="1F0F4C7A"/>
    <w:rsid w:val="1F1527EE"/>
    <w:rsid w:val="1F1E1C4B"/>
    <w:rsid w:val="1F1F37A0"/>
    <w:rsid w:val="1F20034A"/>
    <w:rsid w:val="1F251ABC"/>
    <w:rsid w:val="1F290391"/>
    <w:rsid w:val="1F2A2D10"/>
    <w:rsid w:val="1F370102"/>
    <w:rsid w:val="1F3F0073"/>
    <w:rsid w:val="1F43546C"/>
    <w:rsid w:val="1F48506F"/>
    <w:rsid w:val="1F4B10C3"/>
    <w:rsid w:val="1F5C7F87"/>
    <w:rsid w:val="1F6C1D79"/>
    <w:rsid w:val="1F792E9A"/>
    <w:rsid w:val="1F7B67F6"/>
    <w:rsid w:val="1F7C518B"/>
    <w:rsid w:val="1F881F59"/>
    <w:rsid w:val="1F977565"/>
    <w:rsid w:val="1F9B644E"/>
    <w:rsid w:val="1FA429B4"/>
    <w:rsid w:val="1FB75185"/>
    <w:rsid w:val="1FB97163"/>
    <w:rsid w:val="1FBD0EE6"/>
    <w:rsid w:val="1FC10346"/>
    <w:rsid w:val="1FC16504"/>
    <w:rsid w:val="1FDD028C"/>
    <w:rsid w:val="1FF955B0"/>
    <w:rsid w:val="1FFA3EAB"/>
    <w:rsid w:val="1FFB3FF4"/>
    <w:rsid w:val="20176E76"/>
    <w:rsid w:val="201A450C"/>
    <w:rsid w:val="20270162"/>
    <w:rsid w:val="203F0CD6"/>
    <w:rsid w:val="20591163"/>
    <w:rsid w:val="20655E4F"/>
    <w:rsid w:val="207308C3"/>
    <w:rsid w:val="207411D3"/>
    <w:rsid w:val="20743131"/>
    <w:rsid w:val="207536DF"/>
    <w:rsid w:val="20783BF9"/>
    <w:rsid w:val="20786435"/>
    <w:rsid w:val="20811113"/>
    <w:rsid w:val="20874766"/>
    <w:rsid w:val="2088281D"/>
    <w:rsid w:val="2088475A"/>
    <w:rsid w:val="20917F9C"/>
    <w:rsid w:val="2094661E"/>
    <w:rsid w:val="20951ED4"/>
    <w:rsid w:val="20962536"/>
    <w:rsid w:val="20B50E80"/>
    <w:rsid w:val="20B7483F"/>
    <w:rsid w:val="20BD02A3"/>
    <w:rsid w:val="20BE1841"/>
    <w:rsid w:val="20D078F3"/>
    <w:rsid w:val="20D200AD"/>
    <w:rsid w:val="20D95B71"/>
    <w:rsid w:val="20DA60A5"/>
    <w:rsid w:val="20DB223A"/>
    <w:rsid w:val="20EC58CB"/>
    <w:rsid w:val="21014223"/>
    <w:rsid w:val="21257F04"/>
    <w:rsid w:val="21291A31"/>
    <w:rsid w:val="21353F50"/>
    <w:rsid w:val="2138052E"/>
    <w:rsid w:val="213C3CC5"/>
    <w:rsid w:val="214776EA"/>
    <w:rsid w:val="21522E38"/>
    <w:rsid w:val="2159046C"/>
    <w:rsid w:val="21592762"/>
    <w:rsid w:val="215F3A68"/>
    <w:rsid w:val="21611A31"/>
    <w:rsid w:val="21635586"/>
    <w:rsid w:val="217B17E2"/>
    <w:rsid w:val="218D61A9"/>
    <w:rsid w:val="2190117D"/>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2539C"/>
    <w:rsid w:val="21F65A58"/>
    <w:rsid w:val="21FB61D0"/>
    <w:rsid w:val="220B3AD6"/>
    <w:rsid w:val="221E272E"/>
    <w:rsid w:val="222A1FFE"/>
    <w:rsid w:val="222B075F"/>
    <w:rsid w:val="22367DC0"/>
    <w:rsid w:val="223C2D91"/>
    <w:rsid w:val="224D7BB0"/>
    <w:rsid w:val="22541D32"/>
    <w:rsid w:val="225474CD"/>
    <w:rsid w:val="225E1754"/>
    <w:rsid w:val="225F0409"/>
    <w:rsid w:val="226D42BA"/>
    <w:rsid w:val="227078B0"/>
    <w:rsid w:val="2271187B"/>
    <w:rsid w:val="22833161"/>
    <w:rsid w:val="228338C8"/>
    <w:rsid w:val="22840DDA"/>
    <w:rsid w:val="22876A0D"/>
    <w:rsid w:val="22A11695"/>
    <w:rsid w:val="22A63B38"/>
    <w:rsid w:val="22A8489A"/>
    <w:rsid w:val="22AB3B60"/>
    <w:rsid w:val="22B22D1F"/>
    <w:rsid w:val="22B33D99"/>
    <w:rsid w:val="22BB4A47"/>
    <w:rsid w:val="22BC2773"/>
    <w:rsid w:val="22BE29D6"/>
    <w:rsid w:val="22C4003E"/>
    <w:rsid w:val="22D02654"/>
    <w:rsid w:val="22D10E4B"/>
    <w:rsid w:val="22D90210"/>
    <w:rsid w:val="22D912F9"/>
    <w:rsid w:val="22E1284D"/>
    <w:rsid w:val="22E73006"/>
    <w:rsid w:val="22EB3773"/>
    <w:rsid w:val="22EE13BE"/>
    <w:rsid w:val="22F31E85"/>
    <w:rsid w:val="22F71A54"/>
    <w:rsid w:val="22F74CC6"/>
    <w:rsid w:val="22FB2321"/>
    <w:rsid w:val="22FF6AA7"/>
    <w:rsid w:val="2306325F"/>
    <w:rsid w:val="230F5270"/>
    <w:rsid w:val="2311101C"/>
    <w:rsid w:val="2319089C"/>
    <w:rsid w:val="231B2491"/>
    <w:rsid w:val="232515D0"/>
    <w:rsid w:val="232F45E5"/>
    <w:rsid w:val="23382F5D"/>
    <w:rsid w:val="233857DC"/>
    <w:rsid w:val="23443C8F"/>
    <w:rsid w:val="23561548"/>
    <w:rsid w:val="23561CD1"/>
    <w:rsid w:val="235E47B6"/>
    <w:rsid w:val="23646298"/>
    <w:rsid w:val="236B32CC"/>
    <w:rsid w:val="2372506B"/>
    <w:rsid w:val="2376691B"/>
    <w:rsid w:val="23820000"/>
    <w:rsid w:val="238D2D50"/>
    <w:rsid w:val="238D66BE"/>
    <w:rsid w:val="239540DC"/>
    <w:rsid w:val="23965F67"/>
    <w:rsid w:val="23A02531"/>
    <w:rsid w:val="23A11F4F"/>
    <w:rsid w:val="23B41225"/>
    <w:rsid w:val="23BA6237"/>
    <w:rsid w:val="23BC048E"/>
    <w:rsid w:val="23C9616F"/>
    <w:rsid w:val="23CE659F"/>
    <w:rsid w:val="23CF7FD3"/>
    <w:rsid w:val="23D4199E"/>
    <w:rsid w:val="23DC01C4"/>
    <w:rsid w:val="23DC60E2"/>
    <w:rsid w:val="23E17EC8"/>
    <w:rsid w:val="23E47406"/>
    <w:rsid w:val="23E91B93"/>
    <w:rsid w:val="23F6160A"/>
    <w:rsid w:val="23FB72B1"/>
    <w:rsid w:val="24026C92"/>
    <w:rsid w:val="24027DBA"/>
    <w:rsid w:val="240657B6"/>
    <w:rsid w:val="240B36D8"/>
    <w:rsid w:val="240C2CCA"/>
    <w:rsid w:val="240C553C"/>
    <w:rsid w:val="24323334"/>
    <w:rsid w:val="243336DA"/>
    <w:rsid w:val="24373DE9"/>
    <w:rsid w:val="243D6215"/>
    <w:rsid w:val="244F01D0"/>
    <w:rsid w:val="245226BE"/>
    <w:rsid w:val="245550BB"/>
    <w:rsid w:val="245A0102"/>
    <w:rsid w:val="2461318F"/>
    <w:rsid w:val="24662623"/>
    <w:rsid w:val="24676BCD"/>
    <w:rsid w:val="2468531E"/>
    <w:rsid w:val="24750E49"/>
    <w:rsid w:val="24872D53"/>
    <w:rsid w:val="248B0998"/>
    <w:rsid w:val="248E7D90"/>
    <w:rsid w:val="249321BF"/>
    <w:rsid w:val="249C0D83"/>
    <w:rsid w:val="24A033EE"/>
    <w:rsid w:val="24A608F7"/>
    <w:rsid w:val="24B51B12"/>
    <w:rsid w:val="24C434A5"/>
    <w:rsid w:val="24CA496C"/>
    <w:rsid w:val="24D35568"/>
    <w:rsid w:val="24D72C44"/>
    <w:rsid w:val="24DB51FA"/>
    <w:rsid w:val="24E954E0"/>
    <w:rsid w:val="24F37FEF"/>
    <w:rsid w:val="24F82FB3"/>
    <w:rsid w:val="2504405A"/>
    <w:rsid w:val="251809ED"/>
    <w:rsid w:val="25241C4A"/>
    <w:rsid w:val="25265A8E"/>
    <w:rsid w:val="2528628B"/>
    <w:rsid w:val="252A5159"/>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B4AE4"/>
    <w:rsid w:val="259114ED"/>
    <w:rsid w:val="2593720A"/>
    <w:rsid w:val="25996F48"/>
    <w:rsid w:val="259A3CB2"/>
    <w:rsid w:val="259E5828"/>
    <w:rsid w:val="25AB0A3D"/>
    <w:rsid w:val="25AC370D"/>
    <w:rsid w:val="25B22B68"/>
    <w:rsid w:val="25B5218E"/>
    <w:rsid w:val="25C15D16"/>
    <w:rsid w:val="25C55B83"/>
    <w:rsid w:val="25CD5BF1"/>
    <w:rsid w:val="25D31208"/>
    <w:rsid w:val="25DA65CA"/>
    <w:rsid w:val="25DB6649"/>
    <w:rsid w:val="25DD0809"/>
    <w:rsid w:val="25E27416"/>
    <w:rsid w:val="25E46656"/>
    <w:rsid w:val="25E47484"/>
    <w:rsid w:val="25E92FBE"/>
    <w:rsid w:val="25F17275"/>
    <w:rsid w:val="25F31E31"/>
    <w:rsid w:val="25F70EE4"/>
    <w:rsid w:val="25FC0B75"/>
    <w:rsid w:val="260139F3"/>
    <w:rsid w:val="260556D5"/>
    <w:rsid w:val="26080DD9"/>
    <w:rsid w:val="26082798"/>
    <w:rsid w:val="26095114"/>
    <w:rsid w:val="260E454E"/>
    <w:rsid w:val="261464EE"/>
    <w:rsid w:val="26280E6C"/>
    <w:rsid w:val="262E05B0"/>
    <w:rsid w:val="26372014"/>
    <w:rsid w:val="263E0859"/>
    <w:rsid w:val="263E1A96"/>
    <w:rsid w:val="26405937"/>
    <w:rsid w:val="26433FB7"/>
    <w:rsid w:val="26452DA3"/>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E33E5B"/>
    <w:rsid w:val="26E70CA8"/>
    <w:rsid w:val="26F54808"/>
    <w:rsid w:val="26FC2F8C"/>
    <w:rsid w:val="27094F93"/>
    <w:rsid w:val="270E05C8"/>
    <w:rsid w:val="27101BFD"/>
    <w:rsid w:val="27172021"/>
    <w:rsid w:val="27190D99"/>
    <w:rsid w:val="271927EF"/>
    <w:rsid w:val="271A253D"/>
    <w:rsid w:val="271C2CE9"/>
    <w:rsid w:val="27235746"/>
    <w:rsid w:val="273E49F4"/>
    <w:rsid w:val="274321B1"/>
    <w:rsid w:val="27450C2D"/>
    <w:rsid w:val="274525DC"/>
    <w:rsid w:val="274652E6"/>
    <w:rsid w:val="27480748"/>
    <w:rsid w:val="274E0335"/>
    <w:rsid w:val="275D1356"/>
    <w:rsid w:val="275D4A89"/>
    <w:rsid w:val="27625310"/>
    <w:rsid w:val="27641213"/>
    <w:rsid w:val="277A2EC6"/>
    <w:rsid w:val="27841ADD"/>
    <w:rsid w:val="278B7262"/>
    <w:rsid w:val="278E7D5F"/>
    <w:rsid w:val="279429E3"/>
    <w:rsid w:val="27966F4A"/>
    <w:rsid w:val="27A74D7A"/>
    <w:rsid w:val="27A91AD2"/>
    <w:rsid w:val="27AE6E2D"/>
    <w:rsid w:val="27AF57B8"/>
    <w:rsid w:val="27B25FFF"/>
    <w:rsid w:val="27BA12A7"/>
    <w:rsid w:val="27BA6BC4"/>
    <w:rsid w:val="27BC2EEA"/>
    <w:rsid w:val="27C93064"/>
    <w:rsid w:val="27C96B67"/>
    <w:rsid w:val="27CB38EC"/>
    <w:rsid w:val="27CB5FF9"/>
    <w:rsid w:val="27CC0A3D"/>
    <w:rsid w:val="27D34267"/>
    <w:rsid w:val="27D745E8"/>
    <w:rsid w:val="27E4169F"/>
    <w:rsid w:val="27E476BC"/>
    <w:rsid w:val="27E8628A"/>
    <w:rsid w:val="27EA3B97"/>
    <w:rsid w:val="27EF0430"/>
    <w:rsid w:val="27FA5F82"/>
    <w:rsid w:val="280410A7"/>
    <w:rsid w:val="281713C1"/>
    <w:rsid w:val="28202089"/>
    <w:rsid w:val="28210C3B"/>
    <w:rsid w:val="283E3927"/>
    <w:rsid w:val="28432F7C"/>
    <w:rsid w:val="285065F4"/>
    <w:rsid w:val="28557C44"/>
    <w:rsid w:val="28564AD0"/>
    <w:rsid w:val="285E1540"/>
    <w:rsid w:val="28634EA7"/>
    <w:rsid w:val="2868554F"/>
    <w:rsid w:val="286A70A6"/>
    <w:rsid w:val="286D715D"/>
    <w:rsid w:val="28710251"/>
    <w:rsid w:val="287270BD"/>
    <w:rsid w:val="287508F6"/>
    <w:rsid w:val="288C7056"/>
    <w:rsid w:val="288F598A"/>
    <w:rsid w:val="289910F7"/>
    <w:rsid w:val="28A14F66"/>
    <w:rsid w:val="28A4234C"/>
    <w:rsid w:val="28A63531"/>
    <w:rsid w:val="28A773FC"/>
    <w:rsid w:val="28CA5B35"/>
    <w:rsid w:val="28D02425"/>
    <w:rsid w:val="28D527CA"/>
    <w:rsid w:val="28DB1A3D"/>
    <w:rsid w:val="28F729CE"/>
    <w:rsid w:val="28F934CA"/>
    <w:rsid w:val="29056F59"/>
    <w:rsid w:val="2907017C"/>
    <w:rsid w:val="291218C3"/>
    <w:rsid w:val="2912731C"/>
    <w:rsid w:val="29157321"/>
    <w:rsid w:val="291F35AA"/>
    <w:rsid w:val="2925391D"/>
    <w:rsid w:val="292B0670"/>
    <w:rsid w:val="292E0A29"/>
    <w:rsid w:val="29325A72"/>
    <w:rsid w:val="2938341E"/>
    <w:rsid w:val="293A6E92"/>
    <w:rsid w:val="29566904"/>
    <w:rsid w:val="29582224"/>
    <w:rsid w:val="29585835"/>
    <w:rsid w:val="29712D8F"/>
    <w:rsid w:val="29736267"/>
    <w:rsid w:val="297B31D3"/>
    <w:rsid w:val="298103BD"/>
    <w:rsid w:val="298D4850"/>
    <w:rsid w:val="299C7DCA"/>
    <w:rsid w:val="29A021A8"/>
    <w:rsid w:val="29A942FB"/>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307EBE"/>
    <w:rsid w:val="2A3E413F"/>
    <w:rsid w:val="2A430F4D"/>
    <w:rsid w:val="2A534A67"/>
    <w:rsid w:val="2A5F67A3"/>
    <w:rsid w:val="2A6151C4"/>
    <w:rsid w:val="2A664C59"/>
    <w:rsid w:val="2A6B464E"/>
    <w:rsid w:val="2A944B48"/>
    <w:rsid w:val="2A9A0F2B"/>
    <w:rsid w:val="2AA07917"/>
    <w:rsid w:val="2AA1140C"/>
    <w:rsid w:val="2AA67F8B"/>
    <w:rsid w:val="2AAA31D9"/>
    <w:rsid w:val="2AAC289A"/>
    <w:rsid w:val="2AB138BA"/>
    <w:rsid w:val="2AC51079"/>
    <w:rsid w:val="2AD05182"/>
    <w:rsid w:val="2AE47A17"/>
    <w:rsid w:val="2AEB2740"/>
    <w:rsid w:val="2AF44191"/>
    <w:rsid w:val="2AF74347"/>
    <w:rsid w:val="2B0A4D59"/>
    <w:rsid w:val="2B1A32A0"/>
    <w:rsid w:val="2B26693B"/>
    <w:rsid w:val="2B2F1FC7"/>
    <w:rsid w:val="2B2F2F22"/>
    <w:rsid w:val="2B37764D"/>
    <w:rsid w:val="2B3F6547"/>
    <w:rsid w:val="2B4F2967"/>
    <w:rsid w:val="2B5C1A7C"/>
    <w:rsid w:val="2B6525E9"/>
    <w:rsid w:val="2B6E19DB"/>
    <w:rsid w:val="2B756050"/>
    <w:rsid w:val="2B7C5660"/>
    <w:rsid w:val="2B8944AA"/>
    <w:rsid w:val="2B92679C"/>
    <w:rsid w:val="2B986BC6"/>
    <w:rsid w:val="2BA16669"/>
    <w:rsid w:val="2BAE20A5"/>
    <w:rsid w:val="2BAF2381"/>
    <w:rsid w:val="2BB1376A"/>
    <w:rsid w:val="2BBA7E05"/>
    <w:rsid w:val="2BBB17D5"/>
    <w:rsid w:val="2BC3413A"/>
    <w:rsid w:val="2BC45396"/>
    <w:rsid w:val="2BD540AD"/>
    <w:rsid w:val="2BF336C9"/>
    <w:rsid w:val="2BF33ED5"/>
    <w:rsid w:val="2BFB7405"/>
    <w:rsid w:val="2C006833"/>
    <w:rsid w:val="2C034F7B"/>
    <w:rsid w:val="2C040D89"/>
    <w:rsid w:val="2C0509D9"/>
    <w:rsid w:val="2C05481D"/>
    <w:rsid w:val="2C056AF9"/>
    <w:rsid w:val="2C247FF1"/>
    <w:rsid w:val="2C3C0030"/>
    <w:rsid w:val="2C3F3887"/>
    <w:rsid w:val="2C516E38"/>
    <w:rsid w:val="2C533A6A"/>
    <w:rsid w:val="2C560EA3"/>
    <w:rsid w:val="2C617496"/>
    <w:rsid w:val="2C62156F"/>
    <w:rsid w:val="2C6F41F6"/>
    <w:rsid w:val="2C730778"/>
    <w:rsid w:val="2C7E030A"/>
    <w:rsid w:val="2C833FFB"/>
    <w:rsid w:val="2C8F430E"/>
    <w:rsid w:val="2C970335"/>
    <w:rsid w:val="2CA21894"/>
    <w:rsid w:val="2CA4476E"/>
    <w:rsid w:val="2CAD4F6B"/>
    <w:rsid w:val="2CB17FD2"/>
    <w:rsid w:val="2CC95D10"/>
    <w:rsid w:val="2CCB5A72"/>
    <w:rsid w:val="2CD57684"/>
    <w:rsid w:val="2CD67A0B"/>
    <w:rsid w:val="2CD75666"/>
    <w:rsid w:val="2CDC6591"/>
    <w:rsid w:val="2CDE08F2"/>
    <w:rsid w:val="2CE03AB0"/>
    <w:rsid w:val="2CEF53E3"/>
    <w:rsid w:val="2CF53A56"/>
    <w:rsid w:val="2CF649A9"/>
    <w:rsid w:val="2CFC27E4"/>
    <w:rsid w:val="2D0B702A"/>
    <w:rsid w:val="2D107EBA"/>
    <w:rsid w:val="2D1F4BCA"/>
    <w:rsid w:val="2D221AAA"/>
    <w:rsid w:val="2D504333"/>
    <w:rsid w:val="2D521264"/>
    <w:rsid w:val="2D567058"/>
    <w:rsid w:val="2D57290A"/>
    <w:rsid w:val="2D5D7FE8"/>
    <w:rsid w:val="2D5E7E01"/>
    <w:rsid w:val="2D6030A2"/>
    <w:rsid w:val="2D660EF9"/>
    <w:rsid w:val="2D6C2B47"/>
    <w:rsid w:val="2D820204"/>
    <w:rsid w:val="2D88024C"/>
    <w:rsid w:val="2D935488"/>
    <w:rsid w:val="2D960FB5"/>
    <w:rsid w:val="2D9B4423"/>
    <w:rsid w:val="2DAC2EF4"/>
    <w:rsid w:val="2DAD4BCD"/>
    <w:rsid w:val="2DB453FF"/>
    <w:rsid w:val="2DBE4237"/>
    <w:rsid w:val="2DCB10F0"/>
    <w:rsid w:val="2DCB38A1"/>
    <w:rsid w:val="2DD066E9"/>
    <w:rsid w:val="2DDC0ED4"/>
    <w:rsid w:val="2DF036FB"/>
    <w:rsid w:val="2DF21CB3"/>
    <w:rsid w:val="2DFD78B4"/>
    <w:rsid w:val="2DFE083B"/>
    <w:rsid w:val="2E0708FF"/>
    <w:rsid w:val="2E11457C"/>
    <w:rsid w:val="2E1643B9"/>
    <w:rsid w:val="2E184C0F"/>
    <w:rsid w:val="2E1F18AD"/>
    <w:rsid w:val="2E28757C"/>
    <w:rsid w:val="2E2C723F"/>
    <w:rsid w:val="2E332EEF"/>
    <w:rsid w:val="2E3F6B8A"/>
    <w:rsid w:val="2E406C31"/>
    <w:rsid w:val="2E467FE7"/>
    <w:rsid w:val="2E527715"/>
    <w:rsid w:val="2E530660"/>
    <w:rsid w:val="2E531152"/>
    <w:rsid w:val="2E565287"/>
    <w:rsid w:val="2E5F1E47"/>
    <w:rsid w:val="2E682652"/>
    <w:rsid w:val="2E6B6D27"/>
    <w:rsid w:val="2E7A506F"/>
    <w:rsid w:val="2E7B273D"/>
    <w:rsid w:val="2E7D30EA"/>
    <w:rsid w:val="2E8028E0"/>
    <w:rsid w:val="2E88139A"/>
    <w:rsid w:val="2E8B051E"/>
    <w:rsid w:val="2E8F062E"/>
    <w:rsid w:val="2E905D65"/>
    <w:rsid w:val="2E9D560F"/>
    <w:rsid w:val="2E9F7EC1"/>
    <w:rsid w:val="2EB17C70"/>
    <w:rsid w:val="2EB411B5"/>
    <w:rsid w:val="2EBD49E1"/>
    <w:rsid w:val="2EBF0ED1"/>
    <w:rsid w:val="2EC7495E"/>
    <w:rsid w:val="2EC776BB"/>
    <w:rsid w:val="2ECA39AD"/>
    <w:rsid w:val="2ECC0C07"/>
    <w:rsid w:val="2ED03009"/>
    <w:rsid w:val="2EF224CD"/>
    <w:rsid w:val="2EF67D61"/>
    <w:rsid w:val="2EFA2F2B"/>
    <w:rsid w:val="2F2E23A6"/>
    <w:rsid w:val="2F350F19"/>
    <w:rsid w:val="2F383567"/>
    <w:rsid w:val="2F3B1918"/>
    <w:rsid w:val="2F415DC8"/>
    <w:rsid w:val="2F514AAE"/>
    <w:rsid w:val="2F531FEB"/>
    <w:rsid w:val="2F5B5B3B"/>
    <w:rsid w:val="2F615468"/>
    <w:rsid w:val="2F655F0E"/>
    <w:rsid w:val="2F6B73F9"/>
    <w:rsid w:val="2F6D4FA6"/>
    <w:rsid w:val="2F743486"/>
    <w:rsid w:val="2F756E65"/>
    <w:rsid w:val="2F77354F"/>
    <w:rsid w:val="2F7A7069"/>
    <w:rsid w:val="2F897AA1"/>
    <w:rsid w:val="2F8D4D67"/>
    <w:rsid w:val="2F9051B8"/>
    <w:rsid w:val="2F910893"/>
    <w:rsid w:val="2F932CC0"/>
    <w:rsid w:val="2F9A69D2"/>
    <w:rsid w:val="2F9C6646"/>
    <w:rsid w:val="2F9D4AA3"/>
    <w:rsid w:val="2F9F094E"/>
    <w:rsid w:val="2FB11323"/>
    <w:rsid w:val="2FB15C83"/>
    <w:rsid w:val="2FBB6A2A"/>
    <w:rsid w:val="2FCB0952"/>
    <w:rsid w:val="2FD53529"/>
    <w:rsid w:val="2FD80709"/>
    <w:rsid w:val="2FDF2368"/>
    <w:rsid w:val="2FDF7CD4"/>
    <w:rsid w:val="2FEC08C6"/>
    <w:rsid w:val="2FF532B7"/>
    <w:rsid w:val="2FF674CB"/>
    <w:rsid w:val="2FF7251F"/>
    <w:rsid w:val="2FFC1437"/>
    <w:rsid w:val="30007788"/>
    <w:rsid w:val="301977C7"/>
    <w:rsid w:val="30205153"/>
    <w:rsid w:val="30253FAB"/>
    <w:rsid w:val="30270D6F"/>
    <w:rsid w:val="303B3B59"/>
    <w:rsid w:val="303C0C41"/>
    <w:rsid w:val="303D6437"/>
    <w:rsid w:val="30443F81"/>
    <w:rsid w:val="30515D85"/>
    <w:rsid w:val="305831D6"/>
    <w:rsid w:val="305A4537"/>
    <w:rsid w:val="30632880"/>
    <w:rsid w:val="3070014A"/>
    <w:rsid w:val="307B4FFA"/>
    <w:rsid w:val="308136E0"/>
    <w:rsid w:val="3095375A"/>
    <w:rsid w:val="30A90B96"/>
    <w:rsid w:val="30A91070"/>
    <w:rsid w:val="30B86332"/>
    <w:rsid w:val="30C91D87"/>
    <w:rsid w:val="30D10B78"/>
    <w:rsid w:val="30D251E3"/>
    <w:rsid w:val="30D36EB7"/>
    <w:rsid w:val="30D45137"/>
    <w:rsid w:val="30D51A41"/>
    <w:rsid w:val="30E7233C"/>
    <w:rsid w:val="31076B28"/>
    <w:rsid w:val="31076EFA"/>
    <w:rsid w:val="310866BC"/>
    <w:rsid w:val="310E5012"/>
    <w:rsid w:val="31154DED"/>
    <w:rsid w:val="31215B33"/>
    <w:rsid w:val="312A36B1"/>
    <w:rsid w:val="313A2CAC"/>
    <w:rsid w:val="313E6356"/>
    <w:rsid w:val="31460C29"/>
    <w:rsid w:val="314B3239"/>
    <w:rsid w:val="315B5E62"/>
    <w:rsid w:val="3163108E"/>
    <w:rsid w:val="3167538F"/>
    <w:rsid w:val="317544CD"/>
    <w:rsid w:val="31765162"/>
    <w:rsid w:val="317A487D"/>
    <w:rsid w:val="31833BCE"/>
    <w:rsid w:val="318A1515"/>
    <w:rsid w:val="31944F6F"/>
    <w:rsid w:val="31963456"/>
    <w:rsid w:val="31A84B64"/>
    <w:rsid w:val="31B12D3C"/>
    <w:rsid w:val="31B2653B"/>
    <w:rsid w:val="31B266EC"/>
    <w:rsid w:val="31B45163"/>
    <w:rsid w:val="31B81D35"/>
    <w:rsid w:val="31C3729F"/>
    <w:rsid w:val="31CB617D"/>
    <w:rsid w:val="31CC0ECB"/>
    <w:rsid w:val="31DF1DB8"/>
    <w:rsid w:val="31F020DC"/>
    <w:rsid w:val="31F072F8"/>
    <w:rsid w:val="32061C7F"/>
    <w:rsid w:val="320A52D8"/>
    <w:rsid w:val="320D2005"/>
    <w:rsid w:val="32136025"/>
    <w:rsid w:val="32220D79"/>
    <w:rsid w:val="32252577"/>
    <w:rsid w:val="32294648"/>
    <w:rsid w:val="322F0831"/>
    <w:rsid w:val="323F5519"/>
    <w:rsid w:val="32471CC6"/>
    <w:rsid w:val="324F0134"/>
    <w:rsid w:val="32540593"/>
    <w:rsid w:val="32582CC3"/>
    <w:rsid w:val="327179A4"/>
    <w:rsid w:val="32775626"/>
    <w:rsid w:val="32835AB1"/>
    <w:rsid w:val="328A3A5F"/>
    <w:rsid w:val="328D7371"/>
    <w:rsid w:val="328E2231"/>
    <w:rsid w:val="329326B7"/>
    <w:rsid w:val="329426A2"/>
    <w:rsid w:val="329708DE"/>
    <w:rsid w:val="32AD1211"/>
    <w:rsid w:val="32E12F9A"/>
    <w:rsid w:val="32E87F66"/>
    <w:rsid w:val="32EC46FB"/>
    <w:rsid w:val="32FF12B8"/>
    <w:rsid w:val="330073AA"/>
    <w:rsid w:val="33020BF1"/>
    <w:rsid w:val="330710D7"/>
    <w:rsid w:val="33187864"/>
    <w:rsid w:val="33224534"/>
    <w:rsid w:val="332742E9"/>
    <w:rsid w:val="332A1AC1"/>
    <w:rsid w:val="332C71E1"/>
    <w:rsid w:val="332E1BC2"/>
    <w:rsid w:val="332F3B66"/>
    <w:rsid w:val="333B116B"/>
    <w:rsid w:val="33427ABB"/>
    <w:rsid w:val="33616D4E"/>
    <w:rsid w:val="33821BAB"/>
    <w:rsid w:val="338378EA"/>
    <w:rsid w:val="33885755"/>
    <w:rsid w:val="339E18BC"/>
    <w:rsid w:val="33A57822"/>
    <w:rsid w:val="33A77C3C"/>
    <w:rsid w:val="33AA7345"/>
    <w:rsid w:val="33B37087"/>
    <w:rsid w:val="33BC4D91"/>
    <w:rsid w:val="33BF4D9D"/>
    <w:rsid w:val="33C233CD"/>
    <w:rsid w:val="33C504FF"/>
    <w:rsid w:val="33C968FA"/>
    <w:rsid w:val="33D23DF5"/>
    <w:rsid w:val="33D246C3"/>
    <w:rsid w:val="33DF11C8"/>
    <w:rsid w:val="33E442C9"/>
    <w:rsid w:val="33E61B12"/>
    <w:rsid w:val="33EF44FC"/>
    <w:rsid w:val="33FE7E15"/>
    <w:rsid w:val="33FF1154"/>
    <w:rsid w:val="340074AF"/>
    <w:rsid w:val="340948E1"/>
    <w:rsid w:val="340D3904"/>
    <w:rsid w:val="341212B1"/>
    <w:rsid w:val="341321BE"/>
    <w:rsid w:val="34155C01"/>
    <w:rsid w:val="34293255"/>
    <w:rsid w:val="34314E1D"/>
    <w:rsid w:val="34374868"/>
    <w:rsid w:val="343D2D4C"/>
    <w:rsid w:val="34417702"/>
    <w:rsid w:val="34417EB0"/>
    <w:rsid w:val="3446518F"/>
    <w:rsid w:val="344A296C"/>
    <w:rsid w:val="344C25CD"/>
    <w:rsid w:val="344E045C"/>
    <w:rsid w:val="344F610D"/>
    <w:rsid w:val="345A0779"/>
    <w:rsid w:val="345B15DB"/>
    <w:rsid w:val="346B1ADA"/>
    <w:rsid w:val="346C4A94"/>
    <w:rsid w:val="346E7A5A"/>
    <w:rsid w:val="3477244E"/>
    <w:rsid w:val="34782617"/>
    <w:rsid w:val="347946FA"/>
    <w:rsid w:val="347A6171"/>
    <w:rsid w:val="348440EB"/>
    <w:rsid w:val="348D33D3"/>
    <w:rsid w:val="3496737A"/>
    <w:rsid w:val="34AC0653"/>
    <w:rsid w:val="34AC2DE9"/>
    <w:rsid w:val="34B84D9B"/>
    <w:rsid w:val="34BE7103"/>
    <w:rsid w:val="34CB642A"/>
    <w:rsid w:val="34CE3369"/>
    <w:rsid w:val="34DC1C67"/>
    <w:rsid w:val="34E47162"/>
    <w:rsid w:val="34F64CDD"/>
    <w:rsid w:val="34FF095B"/>
    <w:rsid w:val="3500311A"/>
    <w:rsid w:val="350B76BF"/>
    <w:rsid w:val="350C5C16"/>
    <w:rsid w:val="351710F0"/>
    <w:rsid w:val="352E435E"/>
    <w:rsid w:val="3534069E"/>
    <w:rsid w:val="353807E2"/>
    <w:rsid w:val="353D45FA"/>
    <w:rsid w:val="353F0E06"/>
    <w:rsid w:val="35422CF2"/>
    <w:rsid w:val="35505013"/>
    <w:rsid w:val="356D51F7"/>
    <w:rsid w:val="357D79D3"/>
    <w:rsid w:val="35804F9D"/>
    <w:rsid w:val="35843B49"/>
    <w:rsid w:val="35884385"/>
    <w:rsid w:val="35890016"/>
    <w:rsid w:val="358B0F26"/>
    <w:rsid w:val="35924A15"/>
    <w:rsid w:val="359753B1"/>
    <w:rsid w:val="35A25468"/>
    <w:rsid w:val="35AC56FE"/>
    <w:rsid w:val="35C3354B"/>
    <w:rsid w:val="35E1012B"/>
    <w:rsid w:val="35E1505C"/>
    <w:rsid w:val="35E328B8"/>
    <w:rsid w:val="35E3701E"/>
    <w:rsid w:val="35E420DE"/>
    <w:rsid w:val="35E607CD"/>
    <w:rsid w:val="35EC6F4A"/>
    <w:rsid w:val="35EE6A38"/>
    <w:rsid w:val="35F5734F"/>
    <w:rsid w:val="35F65884"/>
    <w:rsid w:val="35F715DC"/>
    <w:rsid w:val="36057267"/>
    <w:rsid w:val="362131A7"/>
    <w:rsid w:val="362E1546"/>
    <w:rsid w:val="36330CA5"/>
    <w:rsid w:val="364236D7"/>
    <w:rsid w:val="3654563C"/>
    <w:rsid w:val="365763B3"/>
    <w:rsid w:val="367C0A7E"/>
    <w:rsid w:val="36856B5A"/>
    <w:rsid w:val="36883C27"/>
    <w:rsid w:val="36950061"/>
    <w:rsid w:val="36A32443"/>
    <w:rsid w:val="36A61ADA"/>
    <w:rsid w:val="36AC504E"/>
    <w:rsid w:val="36B45F51"/>
    <w:rsid w:val="36B7013F"/>
    <w:rsid w:val="36D71D0D"/>
    <w:rsid w:val="36E17BD4"/>
    <w:rsid w:val="36E30071"/>
    <w:rsid w:val="36E31151"/>
    <w:rsid w:val="36E61D1E"/>
    <w:rsid w:val="36EF4947"/>
    <w:rsid w:val="36F76FAD"/>
    <w:rsid w:val="37060D5C"/>
    <w:rsid w:val="370F6D7D"/>
    <w:rsid w:val="3711176D"/>
    <w:rsid w:val="37113E21"/>
    <w:rsid w:val="37244D17"/>
    <w:rsid w:val="373F483B"/>
    <w:rsid w:val="37451D56"/>
    <w:rsid w:val="375C645A"/>
    <w:rsid w:val="37633810"/>
    <w:rsid w:val="37737FCD"/>
    <w:rsid w:val="37831AFE"/>
    <w:rsid w:val="37855CA5"/>
    <w:rsid w:val="379747E4"/>
    <w:rsid w:val="37A10A3C"/>
    <w:rsid w:val="37A32862"/>
    <w:rsid w:val="37A771F1"/>
    <w:rsid w:val="37AA1FED"/>
    <w:rsid w:val="37B033F0"/>
    <w:rsid w:val="37B25951"/>
    <w:rsid w:val="37B82D37"/>
    <w:rsid w:val="37BF7DD8"/>
    <w:rsid w:val="37CF39F4"/>
    <w:rsid w:val="38093CF4"/>
    <w:rsid w:val="380B1C26"/>
    <w:rsid w:val="38132FDB"/>
    <w:rsid w:val="381523AC"/>
    <w:rsid w:val="3816611D"/>
    <w:rsid w:val="381D6FCC"/>
    <w:rsid w:val="382563C3"/>
    <w:rsid w:val="382B10C6"/>
    <w:rsid w:val="384502C9"/>
    <w:rsid w:val="384757BF"/>
    <w:rsid w:val="384D7A6B"/>
    <w:rsid w:val="38527F5E"/>
    <w:rsid w:val="38576EB1"/>
    <w:rsid w:val="385B78DA"/>
    <w:rsid w:val="386F64C6"/>
    <w:rsid w:val="38755246"/>
    <w:rsid w:val="38850F2D"/>
    <w:rsid w:val="3891497A"/>
    <w:rsid w:val="38934709"/>
    <w:rsid w:val="3899545E"/>
    <w:rsid w:val="389B63CB"/>
    <w:rsid w:val="389D36E7"/>
    <w:rsid w:val="38AD0AAC"/>
    <w:rsid w:val="38AF121A"/>
    <w:rsid w:val="38B10DA8"/>
    <w:rsid w:val="38B976FB"/>
    <w:rsid w:val="38BB5EDA"/>
    <w:rsid w:val="38C6779A"/>
    <w:rsid w:val="38DC2A26"/>
    <w:rsid w:val="38DC5040"/>
    <w:rsid w:val="38EA0958"/>
    <w:rsid w:val="38EA292A"/>
    <w:rsid w:val="38EB3140"/>
    <w:rsid w:val="38FC7F68"/>
    <w:rsid w:val="390150BD"/>
    <w:rsid w:val="39015BC8"/>
    <w:rsid w:val="39132EBE"/>
    <w:rsid w:val="3923223F"/>
    <w:rsid w:val="393F3649"/>
    <w:rsid w:val="39434B25"/>
    <w:rsid w:val="39442CC4"/>
    <w:rsid w:val="394A3B36"/>
    <w:rsid w:val="394C053B"/>
    <w:rsid w:val="394E0439"/>
    <w:rsid w:val="39532D05"/>
    <w:rsid w:val="395A1855"/>
    <w:rsid w:val="395E1405"/>
    <w:rsid w:val="3962425A"/>
    <w:rsid w:val="396E504E"/>
    <w:rsid w:val="396F7993"/>
    <w:rsid w:val="39741673"/>
    <w:rsid w:val="397F2866"/>
    <w:rsid w:val="39850A26"/>
    <w:rsid w:val="39893783"/>
    <w:rsid w:val="399108C7"/>
    <w:rsid w:val="399C23C2"/>
    <w:rsid w:val="399E7C65"/>
    <w:rsid w:val="39A118CD"/>
    <w:rsid w:val="39A337DD"/>
    <w:rsid w:val="39B1002C"/>
    <w:rsid w:val="39B75345"/>
    <w:rsid w:val="39BA1CF7"/>
    <w:rsid w:val="39BA2065"/>
    <w:rsid w:val="39C83126"/>
    <w:rsid w:val="39D037AF"/>
    <w:rsid w:val="39D466BD"/>
    <w:rsid w:val="39D7158B"/>
    <w:rsid w:val="39DC1B39"/>
    <w:rsid w:val="39E03897"/>
    <w:rsid w:val="39E125BA"/>
    <w:rsid w:val="39F17FFD"/>
    <w:rsid w:val="3A03384A"/>
    <w:rsid w:val="3A066160"/>
    <w:rsid w:val="3A0D48B1"/>
    <w:rsid w:val="3A1810FA"/>
    <w:rsid w:val="3A2441B7"/>
    <w:rsid w:val="3A274488"/>
    <w:rsid w:val="3A336331"/>
    <w:rsid w:val="3A431472"/>
    <w:rsid w:val="3A474B1C"/>
    <w:rsid w:val="3A5207B4"/>
    <w:rsid w:val="3A541BF5"/>
    <w:rsid w:val="3A553D9F"/>
    <w:rsid w:val="3A5A285A"/>
    <w:rsid w:val="3A5E32B9"/>
    <w:rsid w:val="3A697F71"/>
    <w:rsid w:val="3A6A4AC7"/>
    <w:rsid w:val="3A6E26C3"/>
    <w:rsid w:val="3A6F0BDF"/>
    <w:rsid w:val="3A72622B"/>
    <w:rsid w:val="3A75769F"/>
    <w:rsid w:val="3A887C39"/>
    <w:rsid w:val="3A897BA1"/>
    <w:rsid w:val="3A9038DA"/>
    <w:rsid w:val="3A936647"/>
    <w:rsid w:val="3A9E4B32"/>
    <w:rsid w:val="3A9F1B2C"/>
    <w:rsid w:val="3AA04C49"/>
    <w:rsid w:val="3AA54470"/>
    <w:rsid w:val="3AA913CF"/>
    <w:rsid w:val="3AC036CC"/>
    <w:rsid w:val="3AC205A6"/>
    <w:rsid w:val="3AC257A4"/>
    <w:rsid w:val="3AC334CD"/>
    <w:rsid w:val="3AD16134"/>
    <w:rsid w:val="3AD17EBD"/>
    <w:rsid w:val="3AEA3CFC"/>
    <w:rsid w:val="3AF044A5"/>
    <w:rsid w:val="3AFC4CC9"/>
    <w:rsid w:val="3B00301D"/>
    <w:rsid w:val="3B1752EE"/>
    <w:rsid w:val="3B1C35AC"/>
    <w:rsid w:val="3B22468C"/>
    <w:rsid w:val="3B3155AA"/>
    <w:rsid w:val="3B3E0B10"/>
    <w:rsid w:val="3B4F1508"/>
    <w:rsid w:val="3B580D61"/>
    <w:rsid w:val="3B696BF9"/>
    <w:rsid w:val="3B6F0DCA"/>
    <w:rsid w:val="3B7B2B0A"/>
    <w:rsid w:val="3B7C7B97"/>
    <w:rsid w:val="3B8372AE"/>
    <w:rsid w:val="3B914065"/>
    <w:rsid w:val="3B9F483C"/>
    <w:rsid w:val="3BB249F7"/>
    <w:rsid w:val="3BBE3122"/>
    <w:rsid w:val="3BC20515"/>
    <w:rsid w:val="3BC53C74"/>
    <w:rsid w:val="3BC62C0D"/>
    <w:rsid w:val="3BC772AB"/>
    <w:rsid w:val="3BC812C8"/>
    <w:rsid w:val="3BD741DE"/>
    <w:rsid w:val="3BE7491F"/>
    <w:rsid w:val="3BE82033"/>
    <w:rsid w:val="3BEF3F98"/>
    <w:rsid w:val="3BF01125"/>
    <w:rsid w:val="3C035D20"/>
    <w:rsid w:val="3C0C1C74"/>
    <w:rsid w:val="3C12184A"/>
    <w:rsid w:val="3C165216"/>
    <w:rsid w:val="3C20030B"/>
    <w:rsid w:val="3C220A63"/>
    <w:rsid w:val="3C257E8D"/>
    <w:rsid w:val="3C286FD8"/>
    <w:rsid w:val="3C326DEB"/>
    <w:rsid w:val="3C3C1378"/>
    <w:rsid w:val="3C497D33"/>
    <w:rsid w:val="3C5A342C"/>
    <w:rsid w:val="3C5C0867"/>
    <w:rsid w:val="3C656EED"/>
    <w:rsid w:val="3C685003"/>
    <w:rsid w:val="3C6D452D"/>
    <w:rsid w:val="3C6E7843"/>
    <w:rsid w:val="3C727A71"/>
    <w:rsid w:val="3C732FE2"/>
    <w:rsid w:val="3C7A3669"/>
    <w:rsid w:val="3C882BD0"/>
    <w:rsid w:val="3C94545E"/>
    <w:rsid w:val="3CAE0651"/>
    <w:rsid w:val="3CBC2D9B"/>
    <w:rsid w:val="3CC5588D"/>
    <w:rsid w:val="3CCD1D16"/>
    <w:rsid w:val="3CD85D57"/>
    <w:rsid w:val="3CD87AA0"/>
    <w:rsid w:val="3CDA5112"/>
    <w:rsid w:val="3CDB62C1"/>
    <w:rsid w:val="3CE13BDF"/>
    <w:rsid w:val="3CE26359"/>
    <w:rsid w:val="3CE70364"/>
    <w:rsid w:val="3CFD4D35"/>
    <w:rsid w:val="3D064D69"/>
    <w:rsid w:val="3D0E399D"/>
    <w:rsid w:val="3D123F8D"/>
    <w:rsid w:val="3D12721E"/>
    <w:rsid w:val="3D1B45BC"/>
    <w:rsid w:val="3D27093B"/>
    <w:rsid w:val="3D351ADA"/>
    <w:rsid w:val="3D3D6CB6"/>
    <w:rsid w:val="3D444248"/>
    <w:rsid w:val="3D4B2FA5"/>
    <w:rsid w:val="3D527DA5"/>
    <w:rsid w:val="3D546058"/>
    <w:rsid w:val="3D5461A9"/>
    <w:rsid w:val="3D58650A"/>
    <w:rsid w:val="3D590765"/>
    <w:rsid w:val="3D5A6060"/>
    <w:rsid w:val="3D640E16"/>
    <w:rsid w:val="3D67132F"/>
    <w:rsid w:val="3D73019F"/>
    <w:rsid w:val="3D7B0D27"/>
    <w:rsid w:val="3D7E27A0"/>
    <w:rsid w:val="3D874F51"/>
    <w:rsid w:val="3D896CEB"/>
    <w:rsid w:val="3D9A2D6C"/>
    <w:rsid w:val="3D9D0681"/>
    <w:rsid w:val="3DAF1596"/>
    <w:rsid w:val="3DB52668"/>
    <w:rsid w:val="3DCD2BF9"/>
    <w:rsid w:val="3DD3077A"/>
    <w:rsid w:val="3DDF7A0D"/>
    <w:rsid w:val="3DFD4BBE"/>
    <w:rsid w:val="3E00097B"/>
    <w:rsid w:val="3E011326"/>
    <w:rsid w:val="3E024B7B"/>
    <w:rsid w:val="3E0E5BD4"/>
    <w:rsid w:val="3E104548"/>
    <w:rsid w:val="3E19435F"/>
    <w:rsid w:val="3E20393D"/>
    <w:rsid w:val="3E264903"/>
    <w:rsid w:val="3E2806A1"/>
    <w:rsid w:val="3E2E35CB"/>
    <w:rsid w:val="3E31025E"/>
    <w:rsid w:val="3E342DA3"/>
    <w:rsid w:val="3E4755F9"/>
    <w:rsid w:val="3E492A39"/>
    <w:rsid w:val="3E556354"/>
    <w:rsid w:val="3E6336EF"/>
    <w:rsid w:val="3E660D1B"/>
    <w:rsid w:val="3E6E2E9E"/>
    <w:rsid w:val="3E8222F7"/>
    <w:rsid w:val="3E8258B1"/>
    <w:rsid w:val="3E8821CE"/>
    <w:rsid w:val="3E92738B"/>
    <w:rsid w:val="3E99456A"/>
    <w:rsid w:val="3EAD3D57"/>
    <w:rsid w:val="3EAF02B7"/>
    <w:rsid w:val="3EB1188E"/>
    <w:rsid w:val="3EBD63D7"/>
    <w:rsid w:val="3EC07733"/>
    <w:rsid w:val="3EC334A7"/>
    <w:rsid w:val="3EC678BC"/>
    <w:rsid w:val="3EE067CA"/>
    <w:rsid w:val="3EEF26AB"/>
    <w:rsid w:val="3EF21C38"/>
    <w:rsid w:val="3EF340F1"/>
    <w:rsid w:val="3EF57D05"/>
    <w:rsid w:val="3EF96B38"/>
    <w:rsid w:val="3F002CCF"/>
    <w:rsid w:val="3F0566FF"/>
    <w:rsid w:val="3F0605BE"/>
    <w:rsid w:val="3F06365D"/>
    <w:rsid w:val="3F0A3CA5"/>
    <w:rsid w:val="3F0B1DB8"/>
    <w:rsid w:val="3F0E6EA3"/>
    <w:rsid w:val="3F122278"/>
    <w:rsid w:val="3F155D82"/>
    <w:rsid w:val="3F261DEC"/>
    <w:rsid w:val="3F47737F"/>
    <w:rsid w:val="3F523976"/>
    <w:rsid w:val="3F52626A"/>
    <w:rsid w:val="3F5322DF"/>
    <w:rsid w:val="3F556A35"/>
    <w:rsid w:val="3F5867B3"/>
    <w:rsid w:val="3F5A301C"/>
    <w:rsid w:val="3F637202"/>
    <w:rsid w:val="3F664F14"/>
    <w:rsid w:val="3F6D1D36"/>
    <w:rsid w:val="3F6D2017"/>
    <w:rsid w:val="3F7339EB"/>
    <w:rsid w:val="3F7D65D1"/>
    <w:rsid w:val="3F836296"/>
    <w:rsid w:val="3F9526FD"/>
    <w:rsid w:val="3FA10F73"/>
    <w:rsid w:val="3FA51002"/>
    <w:rsid w:val="3FB1448E"/>
    <w:rsid w:val="3FB33F0F"/>
    <w:rsid w:val="3FB56B87"/>
    <w:rsid w:val="3FB827B0"/>
    <w:rsid w:val="3FB9798A"/>
    <w:rsid w:val="3FBC4DF5"/>
    <w:rsid w:val="3FBE226E"/>
    <w:rsid w:val="3FC74EA5"/>
    <w:rsid w:val="3FC80A13"/>
    <w:rsid w:val="3FC924C5"/>
    <w:rsid w:val="3FD001E0"/>
    <w:rsid w:val="3FDD5AA3"/>
    <w:rsid w:val="3FDD60EB"/>
    <w:rsid w:val="3FE1611D"/>
    <w:rsid w:val="3FEB7EF7"/>
    <w:rsid w:val="3FF0534A"/>
    <w:rsid w:val="3FFC6AA1"/>
    <w:rsid w:val="3FFE725C"/>
    <w:rsid w:val="40031194"/>
    <w:rsid w:val="400C00BD"/>
    <w:rsid w:val="400D4689"/>
    <w:rsid w:val="40171E63"/>
    <w:rsid w:val="401C023A"/>
    <w:rsid w:val="401E624D"/>
    <w:rsid w:val="4040700B"/>
    <w:rsid w:val="40505926"/>
    <w:rsid w:val="405074F9"/>
    <w:rsid w:val="40592E1A"/>
    <w:rsid w:val="406149DB"/>
    <w:rsid w:val="40742B10"/>
    <w:rsid w:val="40851F94"/>
    <w:rsid w:val="40860806"/>
    <w:rsid w:val="408727EE"/>
    <w:rsid w:val="40881B05"/>
    <w:rsid w:val="408B015C"/>
    <w:rsid w:val="408D2092"/>
    <w:rsid w:val="40987E91"/>
    <w:rsid w:val="40AE535D"/>
    <w:rsid w:val="40B323C5"/>
    <w:rsid w:val="40BB1B3B"/>
    <w:rsid w:val="40C87F0D"/>
    <w:rsid w:val="40E13187"/>
    <w:rsid w:val="40E4111E"/>
    <w:rsid w:val="40F71EFC"/>
    <w:rsid w:val="40FA7D3C"/>
    <w:rsid w:val="40FC6040"/>
    <w:rsid w:val="41013098"/>
    <w:rsid w:val="410A66D3"/>
    <w:rsid w:val="41216561"/>
    <w:rsid w:val="4126157E"/>
    <w:rsid w:val="412E1703"/>
    <w:rsid w:val="41341D04"/>
    <w:rsid w:val="41463814"/>
    <w:rsid w:val="414E4666"/>
    <w:rsid w:val="415840E7"/>
    <w:rsid w:val="415C6645"/>
    <w:rsid w:val="415D4AA5"/>
    <w:rsid w:val="415E3F30"/>
    <w:rsid w:val="41634269"/>
    <w:rsid w:val="41661A50"/>
    <w:rsid w:val="416F185F"/>
    <w:rsid w:val="41755F8B"/>
    <w:rsid w:val="417E6FB2"/>
    <w:rsid w:val="41804E56"/>
    <w:rsid w:val="418B61F9"/>
    <w:rsid w:val="418C5064"/>
    <w:rsid w:val="41901D5A"/>
    <w:rsid w:val="41AE168E"/>
    <w:rsid w:val="41B000EA"/>
    <w:rsid w:val="41B625DB"/>
    <w:rsid w:val="41BB28C5"/>
    <w:rsid w:val="41D7643D"/>
    <w:rsid w:val="41D80DF6"/>
    <w:rsid w:val="41F41099"/>
    <w:rsid w:val="41F4144D"/>
    <w:rsid w:val="41F425A0"/>
    <w:rsid w:val="41FD1E4D"/>
    <w:rsid w:val="42004A07"/>
    <w:rsid w:val="42036CED"/>
    <w:rsid w:val="420445BE"/>
    <w:rsid w:val="42044B55"/>
    <w:rsid w:val="42106699"/>
    <w:rsid w:val="421D3532"/>
    <w:rsid w:val="422747DE"/>
    <w:rsid w:val="423B1E1A"/>
    <w:rsid w:val="423D7E2C"/>
    <w:rsid w:val="4253494B"/>
    <w:rsid w:val="42563DD4"/>
    <w:rsid w:val="425F0874"/>
    <w:rsid w:val="42605991"/>
    <w:rsid w:val="42624CEC"/>
    <w:rsid w:val="426B2083"/>
    <w:rsid w:val="42745271"/>
    <w:rsid w:val="42746AFF"/>
    <w:rsid w:val="427A2426"/>
    <w:rsid w:val="428622E0"/>
    <w:rsid w:val="42A72E3E"/>
    <w:rsid w:val="42A9771E"/>
    <w:rsid w:val="42AF06BF"/>
    <w:rsid w:val="42AF744D"/>
    <w:rsid w:val="42B97DE2"/>
    <w:rsid w:val="42BE1411"/>
    <w:rsid w:val="42BF0482"/>
    <w:rsid w:val="42C3638C"/>
    <w:rsid w:val="42CC1C77"/>
    <w:rsid w:val="42CE7CBC"/>
    <w:rsid w:val="42E67A2D"/>
    <w:rsid w:val="42EF6EDD"/>
    <w:rsid w:val="42F63370"/>
    <w:rsid w:val="4303189E"/>
    <w:rsid w:val="43043B4B"/>
    <w:rsid w:val="430C0701"/>
    <w:rsid w:val="431D662D"/>
    <w:rsid w:val="431D7413"/>
    <w:rsid w:val="43230977"/>
    <w:rsid w:val="43260906"/>
    <w:rsid w:val="4329778C"/>
    <w:rsid w:val="433451E7"/>
    <w:rsid w:val="433454E3"/>
    <w:rsid w:val="434030C7"/>
    <w:rsid w:val="434321EE"/>
    <w:rsid w:val="4357411B"/>
    <w:rsid w:val="43624524"/>
    <w:rsid w:val="436E4602"/>
    <w:rsid w:val="43773B38"/>
    <w:rsid w:val="437C303F"/>
    <w:rsid w:val="437E59F4"/>
    <w:rsid w:val="437F0235"/>
    <w:rsid w:val="438127FD"/>
    <w:rsid w:val="438C318F"/>
    <w:rsid w:val="438D2962"/>
    <w:rsid w:val="439125BA"/>
    <w:rsid w:val="439E21D0"/>
    <w:rsid w:val="43A136C2"/>
    <w:rsid w:val="43A47C8D"/>
    <w:rsid w:val="43A51CEB"/>
    <w:rsid w:val="43AE228C"/>
    <w:rsid w:val="43B03D9F"/>
    <w:rsid w:val="43B2322B"/>
    <w:rsid w:val="43B27B0F"/>
    <w:rsid w:val="43BD17B6"/>
    <w:rsid w:val="43BF433F"/>
    <w:rsid w:val="43C60D41"/>
    <w:rsid w:val="43C71A8C"/>
    <w:rsid w:val="43CB49D5"/>
    <w:rsid w:val="43CC296D"/>
    <w:rsid w:val="43D51B86"/>
    <w:rsid w:val="43D5596E"/>
    <w:rsid w:val="43D946DF"/>
    <w:rsid w:val="43E63A35"/>
    <w:rsid w:val="43EA4AD8"/>
    <w:rsid w:val="43EA731F"/>
    <w:rsid w:val="43EF4362"/>
    <w:rsid w:val="43F5608C"/>
    <w:rsid w:val="43FA20D7"/>
    <w:rsid w:val="440A1D09"/>
    <w:rsid w:val="44105FE6"/>
    <w:rsid w:val="44163757"/>
    <w:rsid w:val="442E6250"/>
    <w:rsid w:val="44336B29"/>
    <w:rsid w:val="44411D78"/>
    <w:rsid w:val="444255C8"/>
    <w:rsid w:val="44555450"/>
    <w:rsid w:val="44565401"/>
    <w:rsid w:val="445C184B"/>
    <w:rsid w:val="445C1F8C"/>
    <w:rsid w:val="445C2CEB"/>
    <w:rsid w:val="44623D2C"/>
    <w:rsid w:val="4469425C"/>
    <w:rsid w:val="446C5925"/>
    <w:rsid w:val="44715BA6"/>
    <w:rsid w:val="44744DE1"/>
    <w:rsid w:val="4480267E"/>
    <w:rsid w:val="44813BCD"/>
    <w:rsid w:val="448F333F"/>
    <w:rsid w:val="449A5595"/>
    <w:rsid w:val="44A273D7"/>
    <w:rsid w:val="44A3165A"/>
    <w:rsid w:val="44A949BB"/>
    <w:rsid w:val="44B47D28"/>
    <w:rsid w:val="44BE6AFA"/>
    <w:rsid w:val="44BE7B38"/>
    <w:rsid w:val="44C10C52"/>
    <w:rsid w:val="44C4343F"/>
    <w:rsid w:val="44CC5637"/>
    <w:rsid w:val="44CE1860"/>
    <w:rsid w:val="44D01EAB"/>
    <w:rsid w:val="44D61276"/>
    <w:rsid w:val="44FB2020"/>
    <w:rsid w:val="450E225C"/>
    <w:rsid w:val="450E5F3E"/>
    <w:rsid w:val="451C3C3F"/>
    <w:rsid w:val="45282E33"/>
    <w:rsid w:val="45361C96"/>
    <w:rsid w:val="45367180"/>
    <w:rsid w:val="453936A0"/>
    <w:rsid w:val="4555071F"/>
    <w:rsid w:val="45634F36"/>
    <w:rsid w:val="456433C3"/>
    <w:rsid w:val="4566286A"/>
    <w:rsid w:val="456653F0"/>
    <w:rsid w:val="456745BB"/>
    <w:rsid w:val="45677DA7"/>
    <w:rsid w:val="45743F66"/>
    <w:rsid w:val="45761FD8"/>
    <w:rsid w:val="457B0C49"/>
    <w:rsid w:val="45864B77"/>
    <w:rsid w:val="458D3A63"/>
    <w:rsid w:val="4597177B"/>
    <w:rsid w:val="45A85821"/>
    <w:rsid w:val="45AA0EA4"/>
    <w:rsid w:val="45AC57A6"/>
    <w:rsid w:val="45AF03CF"/>
    <w:rsid w:val="45B23BD8"/>
    <w:rsid w:val="45B52BBB"/>
    <w:rsid w:val="45C3178B"/>
    <w:rsid w:val="45C81474"/>
    <w:rsid w:val="45C85D55"/>
    <w:rsid w:val="45C91BC6"/>
    <w:rsid w:val="45CD1312"/>
    <w:rsid w:val="45CE3F02"/>
    <w:rsid w:val="45DE2684"/>
    <w:rsid w:val="45E349A9"/>
    <w:rsid w:val="45F22D7B"/>
    <w:rsid w:val="45F25B71"/>
    <w:rsid w:val="45F6092A"/>
    <w:rsid w:val="46122C2B"/>
    <w:rsid w:val="46202725"/>
    <w:rsid w:val="4622618B"/>
    <w:rsid w:val="4624768B"/>
    <w:rsid w:val="46283409"/>
    <w:rsid w:val="462E1DEC"/>
    <w:rsid w:val="462F257F"/>
    <w:rsid w:val="46316796"/>
    <w:rsid w:val="46436765"/>
    <w:rsid w:val="464C5980"/>
    <w:rsid w:val="464C598F"/>
    <w:rsid w:val="46541012"/>
    <w:rsid w:val="46595BDC"/>
    <w:rsid w:val="465B04AA"/>
    <w:rsid w:val="466467A4"/>
    <w:rsid w:val="466B7E63"/>
    <w:rsid w:val="46726232"/>
    <w:rsid w:val="46731512"/>
    <w:rsid w:val="46795DED"/>
    <w:rsid w:val="468843FE"/>
    <w:rsid w:val="469849B7"/>
    <w:rsid w:val="46991FD8"/>
    <w:rsid w:val="469D4E61"/>
    <w:rsid w:val="46BC2272"/>
    <w:rsid w:val="46D62B88"/>
    <w:rsid w:val="46D929E4"/>
    <w:rsid w:val="46DA3CDF"/>
    <w:rsid w:val="46DD3A97"/>
    <w:rsid w:val="46E122D5"/>
    <w:rsid w:val="46E47B00"/>
    <w:rsid w:val="46E51519"/>
    <w:rsid w:val="46E72217"/>
    <w:rsid w:val="46EB56D0"/>
    <w:rsid w:val="46EF6BE5"/>
    <w:rsid w:val="46F94629"/>
    <w:rsid w:val="46FE33A2"/>
    <w:rsid w:val="47034B98"/>
    <w:rsid w:val="47067487"/>
    <w:rsid w:val="470675DD"/>
    <w:rsid w:val="47102BE0"/>
    <w:rsid w:val="47115999"/>
    <w:rsid w:val="47123D8D"/>
    <w:rsid w:val="471651A2"/>
    <w:rsid w:val="47195C33"/>
    <w:rsid w:val="472322A2"/>
    <w:rsid w:val="47291018"/>
    <w:rsid w:val="472E14A0"/>
    <w:rsid w:val="47304A60"/>
    <w:rsid w:val="47321070"/>
    <w:rsid w:val="47383706"/>
    <w:rsid w:val="473F3443"/>
    <w:rsid w:val="47442FEA"/>
    <w:rsid w:val="47476898"/>
    <w:rsid w:val="474825BA"/>
    <w:rsid w:val="47524966"/>
    <w:rsid w:val="4764753D"/>
    <w:rsid w:val="47663624"/>
    <w:rsid w:val="4779594B"/>
    <w:rsid w:val="477E3FE9"/>
    <w:rsid w:val="478E58BD"/>
    <w:rsid w:val="47997ECC"/>
    <w:rsid w:val="47A938A8"/>
    <w:rsid w:val="47AD2393"/>
    <w:rsid w:val="47C05960"/>
    <w:rsid w:val="47CA211A"/>
    <w:rsid w:val="47CE6AD8"/>
    <w:rsid w:val="47D00B76"/>
    <w:rsid w:val="47D266F4"/>
    <w:rsid w:val="47EB3A88"/>
    <w:rsid w:val="47ED09EA"/>
    <w:rsid w:val="47F03825"/>
    <w:rsid w:val="47F72583"/>
    <w:rsid w:val="47FE4F97"/>
    <w:rsid w:val="48043BE9"/>
    <w:rsid w:val="48050F31"/>
    <w:rsid w:val="480B064E"/>
    <w:rsid w:val="48152A57"/>
    <w:rsid w:val="481B77EC"/>
    <w:rsid w:val="481F00E4"/>
    <w:rsid w:val="48230137"/>
    <w:rsid w:val="482A5E63"/>
    <w:rsid w:val="48357C17"/>
    <w:rsid w:val="48360F72"/>
    <w:rsid w:val="48466EDC"/>
    <w:rsid w:val="486022F2"/>
    <w:rsid w:val="486505C9"/>
    <w:rsid w:val="48717233"/>
    <w:rsid w:val="487736C7"/>
    <w:rsid w:val="4886149A"/>
    <w:rsid w:val="48870995"/>
    <w:rsid w:val="488933F6"/>
    <w:rsid w:val="488F18B7"/>
    <w:rsid w:val="489C5A7F"/>
    <w:rsid w:val="489C5B95"/>
    <w:rsid w:val="489F248C"/>
    <w:rsid w:val="48A53F58"/>
    <w:rsid w:val="48AA10E1"/>
    <w:rsid w:val="48AF1323"/>
    <w:rsid w:val="48B2080D"/>
    <w:rsid w:val="48B5518F"/>
    <w:rsid w:val="48BE6136"/>
    <w:rsid w:val="48C17060"/>
    <w:rsid w:val="48D22DB3"/>
    <w:rsid w:val="48D93445"/>
    <w:rsid w:val="48DA1D9C"/>
    <w:rsid w:val="48DC218D"/>
    <w:rsid w:val="48E915DE"/>
    <w:rsid w:val="48EB611E"/>
    <w:rsid w:val="48F7177C"/>
    <w:rsid w:val="490008E6"/>
    <w:rsid w:val="490425AB"/>
    <w:rsid w:val="49076238"/>
    <w:rsid w:val="49104838"/>
    <w:rsid w:val="49250443"/>
    <w:rsid w:val="49267368"/>
    <w:rsid w:val="49276313"/>
    <w:rsid w:val="492F1B04"/>
    <w:rsid w:val="4930158D"/>
    <w:rsid w:val="493166F2"/>
    <w:rsid w:val="4943084D"/>
    <w:rsid w:val="495B2F5A"/>
    <w:rsid w:val="49660B64"/>
    <w:rsid w:val="496E056A"/>
    <w:rsid w:val="497930F9"/>
    <w:rsid w:val="497E5F0E"/>
    <w:rsid w:val="49895BF9"/>
    <w:rsid w:val="49896889"/>
    <w:rsid w:val="498B006E"/>
    <w:rsid w:val="49A20032"/>
    <w:rsid w:val="49A82756"/>
    <w:rsid w:val="49A86BF4"/>
    <w:rsid w:val="49A902DE"/>
    <w:rsid w:val="49A961CD"/>
    <w:rsid w:val="49B337E8"/>
    <w:rsid w:val="49B57903"/>
    <w:rsid w:val="49BB0B72"/>
    <w:rsid w:val="49F44446"/>
    <w:rsid w:val="4A037F7B"/>
    <w:rsid w:val="4A0C3345"/>
    <w:rsid w:val="4A12511A"/>
    <w:rsid w:val="4A2A339F"/>
    <w:rsid w:val="4A3B0ADD"/>
    <w:rsid w:val="4A3D1213"/>
    <w:rsid w:val="4A405618"/>
    <w:rsid w:val="4A42752E"/>
    <w:rsid w:val="4A463FDD"/>
    <w:rsid w:val="4A4D6FE1"/>
    <w:rsid w:val="4A4F464E"/>
    <w:rsid w:val="4A51053D"/>
    <w:rsid w:val="4A541B9F"/>
    <w:rsid w:val="4A5B2412"/>
    <w:rsid w:val="4A603371"/>
    <w:rsid w:val="4A665A8F"/>
    <w:rsid w:val="4A6B6C00"/>
    <w:rsid w:val="4A7A1A7F"/>
    <w:rsid w:val="4A7B1C95"/>
    <w:rsid w:val="4A7C6D92"/>
    <w:rsid w:val="4A80680F"/>
    <w:rsid w:val="4A8B2BFF"/>
    <w:rsid w:val="4A8C3D45"/>
    <w:rsid w:val="4A996D58"/>
    <w:rsid w:val="4AA637CE"/>
    <w:rsid w:val="4AAA2363"/>
    <w:rsid w:val="4AAC0232"/>
    <w:rsid w:val="4AB420A2"/>
    <w:rsid w:val="4AB42562"/>
    <w:rsid w:val="4AB971E8"/>
    <w:rsid w:val="4ABC4127"/>
    <w:rsid w:val="4AC462B3"/>
    <w:rsid w:val="4AC908CA"/>
    <w:rsid w:val="4AC95E08"/>
    <w:rsid w:val="4ACC60F1"/>
    <w:rsid w:val="4ACE3D63"/>
    <w:rsid w:val="4AD13FBF"/>
    <w:rsid w:val="4AD37FB6"/>
    <w:rsid w:val="4AF15169"/>
    <w:rsid w:val="4AF33411"/>
    <w:rsid w:val="4AFC4739"/>
    <w:rsid w:val="4AFF7966"/>
    <w:rsid w:val="4B0F4D9F"/>
    <w:rsid w:val="4B2B654D"/>
    <w:rsid w:val="4B2D2A9B"/>
    <w:rsid w:val="4B331125"/>
    <w:rsid w:val="4B3405F9"/>
    <w:rsid w:val="4B473804"/>
    <w:rsid w:val="4B5151AA"/>
    <w:rsid w:val="4B537CBF"/>
    <w:rsid w:val="4B550153"/>
    <w:rsid w:val="4B641191"/>
    <w:rsid w:val="4B694B3A"/>
    <w:rsid w:val="4B76529F"/>
    <w:rsid w:val="4B7A237E"/>
    <w:rsid w:val="4B815FB3"/>
    <w:rsid w:val="4B86443F"/>
    <w:rsid w:val="4B9A0C4D"/>
    <w:rsid w:val="4B9B3B70"/>
    <w:rsid w:val="4B9E7936"/>
    <w:rsid w:val="4B9F6334"/>
    <w:rsid w:val="4BB7667A"/>
    <w:rsid w:val="4BBA25CD"/>
    <w:rsid w:val="4BBB242F"/>
    <w:rsid w:val="4BC15B7C"/>
    <w:rsid w:val="4BC3502C"/>
    <w:rsid w:val="4BCC5B3C"/>
    <w:rsid w:val="4BD06F1C"/>
    <w:rsid w:val="4BD119E3"/>
    <w:rsid w:val="4BD11B2A"/>
    <w:rsid w:val="4BD47BEF"/>
    <w:rsid w:val="4BDA74DE"/>
    <w:rsid w:val="4BE06BCD"/>
    <w:rsid w:val="4BE413D6"/>
    <w:rsid w:val="4BE86538"/>
    <w:rsid w:val="4C001FDF"/>
    <w:rsid w:val="4C040A9A"/>
    <w:rsid w:val="4C0770C1"/>
    <w:rsid w:val="4C1F0776"/>
    <w:rsid w:val="4C232063"/>
    <w:rsid w:val="4C2C299D"/>
    <w:rsid w:val="4C322608"/>
    <w:rsid w:val="4C3238CA"/>
    <w:rsid w:val="4C343A7F"/>
    <w:rsid w:val="4C380D78"/>
    <w:rsid w:val="4C3D0756"/>
    <w:rsid w:val="4C3D5FB7"/>
    <w:rsid w:val="4C4C1686"/>
    <w:rsid w:val="4C513E4B"/>
    <w:rsid w:val="4C603F1D"/>
    <w:rsid w:val="4C635D18"/>
    <w:rsid w:val="4C670EB1"/>
    <w:rsid w:val="4C712086"/>
    <w:rsid w:val="4C7120EC"/>
    <w:rsid w:val="4C7B3D80"/>
    <w:rsid w:val="4C7C605E"/>
    <w:rsid w:val="4C7E2355"/>
    <w:rsid w:val="4C847264"/>
    <w:rsid w:val="4C92325C"/>
    <w:rsid w:val="4C970E7B"/>
    <w:rsid w:val="4CC1054F"/>
    <w:rsid w:val="4CCE079D"/>
    <w:rsid w:val="4CEA4F4D"/>
    <w:rsid w:val="4CEC58DB"/>
    <w:rsid w:val="4CEF637A"/>
    <w:rsid w:val="4CF00FB6"/>
    <w:rsid w:val="4CF16277"/>
    <w:rsid w:val="4CF4672D"/>
    <w:rsid w:val="4D035A68"/>
    <w:rsid w:val="4D147026"/>
    <w:rsid w:val="4D1478EC"/>
    <w:rsid w:val="4D165C91"/>
    <w:rsid w:val="4D235945"/>
    <w:rsid w:val="4D255F0E"/>
    <w:rsid w:val="4D2F06BA"/>
    <w:rsid w:val="4D304130"/>
    <w:rsid w:val="4D386B0D"/>
    <w:rsid w:val="4D4330D3"/>
    <w:rsid w:val="4D4B7DCE"/>
    <w:rsid w:val="4D4F487E"/>
    <w:rsid w:val="4D545407"/>
    <w:rsid w:val="4D694F30"/>
    <w:rsid w:val="4D717BA1"/>
    <w:rsid w:val="4D7F56C3"/>
    <w:rsid w:val="4D855FB9"/>
    <w:rsid w:val="4D8A0B26"/>
    <w:rsid w:val="4D904FEE"/>
    <w:rsid w:val="4D910D8A"/>
    <w:rsid w:val="4D97309D"/>
    <w:rsid w:val="4D9E090F"/>
    <w:rsid w:val="4DAC6E91"/>
    <w:rsid w:val="4DB63BC4"/>
    <w:rsid w:val="4DB7591C"/>
    <w:rsid w:val="4DBB2984"/>
    <w:rsid w:val="4DCC46DA"/>
    <w:rsid w:val="4DDD5EB7"/>
    <w:rsid w:val="4DDE45A5"/>
    <w:rsid w:val="4DF267CF"/>
    <w:rsid w:val="4DF6484E"/>
    <w:rsid w:val="4E043A0E"/>
    <w:rsid w:val="4E0B5D31"/>
    <w:rsid w:val="4E125681"/>
    <w:rsid w:val="4E1339D8"/>
    <w:rsid w:val="4E145C86"/>
    <w:rsid w:val="4E1A5C2E"/>
    <w:rsid w:val="4E2B3781"/>
    <w:rsid w:val="4E337E4B"/>
    <w:rsid w:val="4E365771"/>
    <w:rsid w:val="4E3C5DC0"/>
    <w:rsid w:val="4E446F8B"/>
    <w:rsid w:val="4E4D4DE2"/>
    <w:rsid w:val="4E5669BF"/>
    <w:rsid w:val="4E651EA6"/>
    <w:rsid w:val="4E6757B0"/>
    <w:rsid w:val="4E6C4048"/>
    <w:rsid w:val="4E783D17"/>
    <w:rsid w:val="4E805C19"/>
    <w:rsid w:val="4E836C4E"/>
    <w:rsid w:val="4E865BCD"/>
    <w:rsid w:val="4E957162"/>
    <w:rsid w:val="4E9E60B6"/>
    <w:rsid w:val="4EA27ACB"/>
    <w:rsid w:val="4EB379F2"/>
    <w:rsid w:val="4EBC3167"/>
    <w:rsid w:val="4EBC6632"/>
    <w:rsid w:val="4EBD4562"/>
    <w:rsid w:val="4EBD5620"/>
    <w:rsid w:val="4EBE0F4C"/>
    <w:rsid w:val="4ECD0F14"/>
    <w:rsid w:val="4ED017E4"/>
    <w:rsid w:val="4ED03B4F"/>
    <w:rsid w:val="4EDC1716"/>
    <w:rsid w:val="4EDF6F4B"/>
    <w:rsid w:val="4EE24F10"/>
    <w:rsid w:val="4EE77077"/>
    <w:rsid w:val="4EE8461F"/>
    <w:rsid w:val="4F0206C2"/>
    <w:rsid w:val="4F1A4FD6"/>
    <w:rsid w:val="4F1C2B4C"/>
    <w:rsid w:val="4F1E1A5A"/>
    <w:rsid w:val="4F2D5479"/>
    <w:rsid w:val="4F3127D8"/>
    <w:rsid w:val="4F353521"/>
    <w:rsid w:val="4F3B798B"/>
    <w:rsid w:val="4F424396"/>
    <w:rsid w:val="4F461737"/>
    <w:rsid w:val="4F501AA5"/>
    <w:rsid w:val="4F507138"/>
    <w:rsid w:val="4F5431F2"/>
    <w:rsid w:val="4F594949"/>
    <w:rsid w:val="4F5A315B"/>
    <w:rsid w:val="4F7041A7"/>
    <w:rsid w:val="4F7349ED"/>
    <w:rsid w:val="4F7C7D62"/>
    <w:rsid w:val="4F88390E"/>
    <w:rsid w:val="4F8865D2"/>
    <w:rsid w:val="4F9A400D"/>
    <w:rsid w:val="4FA11827"/>
    <w:rsid w:val="4FA57761"/>
    <w:rsid w:val="4FAB07C1"/>
    <w:rsid w:val="4FC12B67"/>
    <w:rsid w:val="4FD409F7"/>
    <w:rsid w:val="4FD41054"/>
    <w:rsid w:val="4FD66F8D"/>
    <w:rsid w:val="4FDB5605"/>
    <w:rsid w:val="4FDF7D08"/>
    <w:rsid w:val="4FE45662"/>
    <w:rsid w:val="4FE66728"/>
    <w:rsid w:val="4FF81090"/>
    <w:rsid w:val="4FFA1BE3"/>
    <w:rsid w:val="50033BDE"/>
    <w:rsid w:val="50036BC4"/>
    <w:rsid w:val="500B0DCA"/>
    <w:rsid w:val="500C2A95"/>
    <w:rsid w:val="50133F8A"/>
    <w:rsid w:val="50140C07"/>
    <w:rsid w:val="50200664"/>
    <w:rsid w:val="50312196"/>
    <w:rsid w:val="50417E32"/>
    <w:rsid w:val="504768E3"/>
    <w:rsid w:val="504F0FB9"/>
    <w:rsid w:val="504F769B"/>
    <w:rsid w:val="50537FDD"/>
    <w:rsid w:val="50622728"/>
    <w:rsid w:val="507554C6"/>
    <w:rsid w:val="507D0063"/>
    <w:rsid w:val="508F1D63"/>
    <w:rsid w:val="508F6AC4"/>
    <w:rsid w:val="509A55F2"/>
    <w:rsid w:val="50A36924"/>
    <w:rsid w:val="50A732FC"/>
    <w:rsid w:val="50AA341E"/>
    <w:rsid w:val="50AB4E2F"/>
    <w:rsid w:val="50AC2418"/>
    <w:rsid w:val="50B421A0"/>
    <w:rsid w:val="50B70FED"/>
    <w:rsid w:val="50BA643F"/>
    <w:rsid w:val="50DA2205"/>
    <w:rsid w:val="50E57F59"/>
    <w:rsid w:val="50FC41E2"/>
    <w:rsid w:val="510319B4"/>
    <w:rsid w:val="510A4E7D"/>
    <w:rsid w:val="51187091"/>
    <w:rsid w:val="51217565"/>
    <w:rsid w:val="5129079D"/>
    <w:rsid w:val="512D5787"/>
    <w:rsid w:val="513B4CBD"/>
    <w:rsid w:val="513F2A79"/>
    <w:rsid w:val="514E5DF0"/>
    <w:rsid w:val="51505C49"/>
    <w:rsid w:val="515F5E7D"/>
    <w:rsid w:val="51621B03"/>
    <w:rsid w:val="51736010"/>
    <w:rsid w:val="518140E8"/>
    <w:rsid w:val="518961AE"/>
    <w:rsid w:val="518B0D8B"/>
    <w:rsid w:val="51905BB3"/>
    <w:rsid w:val="519E4C2D"/>
    <w:rsid w:val="51A15787"/>
    <w:rsid w:val="51A23180"/>
    <w:rsid w:val="51B12C2B"/>
    <w:rsid w:val="51B625E5"/>
    <w:rsid w:val="51BB3190"/>
    <w:rsid w:val="51C31AB3"/>
    <w:rsid w:val="51C50057"/>
    <w:rsid w:val="51CA6470"/>
    <w:rsid w:val="51D221A2"/>
    <w:rsid w:val="51DC7D4F"/>
    <w:rsid w:val="51E372D3"/>
    <w:rsid w:val="51E952C3"/>
    <w:rsid w:val="51F763C2"/>
    <w:rsid w:val="520B29B2"/>
    <w:rsid w:val="52165ED6"/>
    <w:rsid w:val="52170D68"/>
    <w:rsid w:val="521832FA"/>
    <w:rsid w:val="521B5CF1"/>
    <w:rsid w:val="521E330E"/>
    <w:rsid w:val="521F5AD2"/>
    <w:rsid w:val="52210969"/>
    <w:rsid w:val="52250331"/>
    <w:rsid w:val="52251937"/>
    <w:rsid w:val="522D32DC"/>
    <w:rsid w:val="522E032A"/>
    <w:rsid w:val="522E48FA"/>
    <w:rsid w:val="52436B21"/>
    <w:rsid w:val="52476CBE"/>
    <w:rsid w:val="52541687"/>
    <w:rsid w:val="525808AD"/>
    <w:rsid w:val="52606B21"/>
    <w:rsid w:val="526142ED"/>
    <w:rsid w:val="52675267"/>
    <w:rsid w:val="526A42D2"/>
    <w:rsid w:val="527456A0"/>
    <w:rsid w:val="52775B19"/>
    <w:rsid w:val="528F6528"/>
    <w:rsid w:val="5294173C"/>
    <w:rsid w:val="52A573D4"/>
    <w:rsid w:val="52AE3C1C"/>
    <w:rsid w:val="52B15A0B"/>
    <w:rsid w:val="52B277B6"/>
    <w:rsid w:val="52B539F6"/>
    <w:rsid w:val="52B87EDF"/>
    <w:rsid w:val="52C2744F"/>
    <w:rsid w:val="52CF2A7E"/>
    <w:rsid w:val="52D52D8A"/>
    <w:rsid w:val="52D70C29"/>
    <w:rsid w:val="52E07E6E"/>
    <w:rsid w:val="52E2403D"/>
    <w:rsid w:val="52E87FC9"/>
    <w:rsid w:val="52EA3010"/>
    <w:rsid w:val="52EE6354"/>
    <w:rsid w:val="53035F10"/>
    <w:rsid w:val="530445BC"/>
    <w:rsid w:val="53073E74"/>
    <w:rsid w:val="53184746"/>
    <w:rsid w:val="531972CB"/>
    <w:rsid w:val="53227F73"/>
    <w:rsid w:val="532342A1"/>
    <w:rsid w:val="532E4AC7"/>
    <w:rsid w:val="533E55DF"/>
    <w:rsid w:val="53703765"/>
    <w:rsid w:val="5376095E"/>
    <w:rsid w:val="537A04E8"/>
    <w:rsid w:val="53874180"/>
    <w:rsid w:val="53991F46"/>
    <w:rsid w:val="53A430C7"/>
    <w:rsid w:val="53B71A0D"/>
    <w:rsid w:val="53BA49C0"/>
    <w:rsid w:val="53C92C10"/>
    <w:rsid w:val="53CF606A"/>
    <w:rsid w:val="53D111B0"/>
    <w:rsid w:val="53D73576"/>
    <w:rsid w:val="53E35749"/>
    <w:rsid w:val="53EB4289"/>
    <w:rsid w:val="53FE5A9E"/>
    <w:rsid w:val="54257FE2"/>
    <w:rsid w:val="5428581F"/>
    <w:rsid w:val="542B47E5"/>
    <w:rsid w:val="542F4AEA"/>
    <w:rsid w:val="54451C08"/>
    <w:rsid w:val="5450152B"/>
    <w:rsid w:val="545412A1"/>
    <w:rsid w:val="54591BCD"/>
    <w:rsid w:val="546936FE"/>
    <w:rsid w:val="546A602B"/>
    <w:rsid w:val="547034CA"/>
    <w:rsid w:val="547801F9"/>
    <w:rsid w:val="54967702"/>
    <w:rsid w:val="54B14984"/>
    <w:rsid w:val="54B34E33"/>
    <w:rsid w:val="54C51C65"/>
    <w:rsid w:val="54C766D3"/>
    <w:rsid w:val="54E32310"/>
    <w:rsid w:val="54E35B83"/>
    <w:rsid w:val="54E5570D"/>
    <w:rsid w:val="54E656A9"/>
    <w:rsid w:val="54E85406"/>
    <w:rsid w:val="54EE4DEC"/>
    <w:rsid w:val="54F93AE7"/>
    <w:rsid w:val="54F97DEB"/>
    <w:rsid w:val="55012EF3"/>
    <w:rsid w:val="55022588"/>
    <w:rsid w:val="550D4E7F"/>
    <w:rsid w:val="551B3ADB"/>
    <w:rsid w:val="55252910"/>
    <w:rsid w:val="552677BE"/>
    <w:rsid w:val="55313992"/>
    <w:rsid w:val="553772EA"/>
    <w:rsid w:val="553A6D2E"/>
    <w:rsid w:val="5546635B"/>
    <w:rsid w:val="55507B46"/>
    <w:rsid w:val="55534568"/>
    <w:rsid w:val="555A0EDC"/>
    <w:rsid w:val="55677E49"/>
    <w:rsid w:val="55692EAC"/>
    <w:rsid w:val="55714147"/>
    <w:rsid w:val="557C5B0B"/>
    <w:rsid w:val="55861EC8"/>
    <w:rsid w:val="5588140B"/>
    <w:rsid w:val="55891D85"/>
    <w:rsid w:val="55A57957"/>
    <w:rsid w:val="55AA469C"/>
    <w:rsid w:val="55BC12E8"/>
    <w:rsid w:val="55BD3120"/>
    <w:rsid w:val="55BF56EA"/>
    <w:rsid w:val="55C103AC"/>
    <w:rsid w:val="55C423B5"/>
    <w:rsid w:val="55C6074D"/>
    <w:rsid w:val="55C835B5"/>
    <w:rsid w:val="55C86079"/>
    <w:rsid w:val="55EE6E58"/>
    <w:rsid w:val="55F2238E"/>
    <w:rsid w:val="55F24132"/>
    <w:rsid w:val="55FB05FF"/>
    <w:rsid w:val="55FC794D"/>
    <w:rsid w:val="56012A7B"/>
    <w:rsid w:val="56172C84"/>
    <w:rsid w:val="562219AC"/>
    <w:rsid w:val="562B59B0"/>
    <w:rsid w:val="56387876"/>
    <w:rsid w:val="56391384"/>
    <w:rsid w:val="565907FF"/>
    <w:rsid w:val="565D6940"/>
    <w:rsid w:val="566101A8"/>
    <w:rsid w:val="56666AC5"/>
    <w:rsid w:val="56701442"/>
    <w:rsid w:val="56793306"/>
    <w:rsid w:val="56797C74"/>
    <w:rsid w:val="568116C5"/>
    <w:rsid w:val="568F0B4D"/>
    <w:rsid w:val="56927F4A"/>
    <w:rsid w:val="569C03A7"/>
    <w:rsid w:val="56A304C3"/>
    <w:rsid w:val="56B44FF7"/>
    <w:rsid w:val="56B76AF7"/>
    <w:rsid w:val="56BA0EDB"/>
    <w:rsid w:val="56BA5BFC"/>
    <w:rsid w:val="56D60D34"/>
    <w:rsid w:val="56DA1A1C"/>
    <w:rsid w:val="56E90EF6"/>
    <w:rsid w:val="56F50794"/>
    <w:rsid w:val="56F82259"/>
    <w:rsid w:val="56FC12BF"/>
    <w:rsid w:val="57103E85"/>
    <w:rsid w:val="5724356E"/>
    <w:rsid w:val="576019A8"/>
    <w:rsid w:val="576E1A2E"/>
    <w:rsid w:val="576F00D0"/>
    <w:rsid w:val="57780B15"/>
    <w:rsid w:val="577C7921"/>
    <w:rsid w:val="578130EB"/>
    <w:rsid w:val="5781472D"/>
    <w:rsid w:val="57842581"/>
    <w:rsid w:val="57860B1C"/>
    <w:rsid w:val="579016BB"/>
    <w:rsid w:val="579131AA"/>
    <w:rsid w:val="57961B8E"/>
    <w:rsid w:val="579A34FF"/>
    <w:rsid w:val="57A05D52"/>
    <w:rsid w:val="57A65B21"/>
    <w:rsid w:val="57A93B1C"/>
    <w:rsid w:val="57AC71EF"/>
    <w:rsid w:val="57B30CCB"/>
    <w:rsid w:val="57B82FE8"/>
    <w:rsid w:val="57BA183B"/>
    <w:rsid w:val="57BC21E8"/>
    <w:rsid w:val="57C64CE3"/>
    <w:rsid w:val="57CF1AC2"/>
    <w:rsid w:val="57CF411E"/>
    <w:rsid w:val="57CF6469"/>
    <w:rsid w:val="57E359C9"/>
    <w:rsid w:val="57F75230"/>
    <w:rsid w:val="57FA5E75"/>
    <w:rsid w:val="58000E35"/>
    <w:rsid w:val="58222E9F"/>
    <w:rsid w:val="582D3231"/>
    <w:rsid w:val="58316A55"/>
    <w:rsid w:val="58345C47"/>
    <w:rsid w:val="583F3207"/>
    <w:rsid w:val="58452DB9"/>
    <w:rsid w:val="5846017C"/>
    <w:rsid w:val="58484E27"/>
    <w:rsid w:val="58525C17"/>
    <w:rsid w:val="58592455"/>
    <w:rsid w:val="586815ED"/>
    <w:rsid w:val="586B3009"/>
    <w:rsid w:val="58775EED"/>
    <w:rsid w:val="58790B5B"/>
    <w:rsid w:val="588D7FDD"/>
    <w:rsid w:val="58924ECC"/>
    <w:rsid w:val="5895256C"/>
    <w:rsid w:val="58965AA7"/>
    <w:rsid w:val="589D4D39"/>
    <w:rsid w:val="58A34E0C"/>
    <w:rsid w:val="58AE31F5"/>
    <w:rsid w:val="58B60FB7"/>
    <w:rsid w:val="58BD1D42"/>
    <w:rsid w:val="58C04526"/>
    <w:rsid w:val="58C15643"/>
    <w:rsid w:val="58DE296B"/>
    <w:rsid w:val="58E05B85"/>
    <w:rsid w:val="58F141D6"/>
    <w:rsid w:val="58F9654F"/>
    <w:rsid w:val="58F979E8"/>
    <w:rsid w:val="58FB6C25"/>
    <w:rsid w:val="58FE08ED"/>
    <w:rsid w:val="59061DAE"/>
    <w:rsid w:val="5914669F"/>
    <w:rsid w:val="591557DB"/>
    <w:rsid w:val="591A5C30"/>
    <w:rsid w:val="591C4B79"/>
    <w:rsid w:val="59371CA9"/>
    <w:rsid w:val="593C5853"/>
    <w:rsid w:val="593E005D"/>
    <w:rsid w:val="5940158A"/>
    <w:rsid w:val="594606CC"/>
    <w:rsid w:val="594B6D49"/>
    <w:rsid w:val="59697600"/>
    <w:rsid w:val="596C25D4"/>
    <w:rsid w:val="597028E6"/>
    <w:rsid w:val="597D38D7"/>
    <w:rsid w:val="59935094"/>
    <w:rsid w:val="5995496F"/>
    <w:rsid w:val="59A62A34"/>
    <w:rsid w:val="59AB1748"/>
    <w:rsid w:val="59B159CB"/>
    <w:rsid w:val="59B51848"/>
    <w:rsid w:val="59BC67AC"/>
    <w:rsid w:val="59C03938"/>
    <w:rsid w:val="59C811F1"/>
    <w:rsid w:val="59C83D69"/>
    <w:rsid w:val="59CB01B4"/>
    <w:rsid w:val="59CF1C3E"/>
    <w:rsid w:val="59D87B36"/>
    <w:rsid w:val="59E57113"/>
    <w:rsid w:val="59E91981"/>
    <w:rsid w:val="59F22823"/>
    <w:rsid w:val="59F42704"/>
    <w:rsid w:val="59FD1C88"/>
    <w:rsid w:val="5A0020BE"/>
    <w:rsid w:val="5A02215A"/>
    <w:rsid w:val="5A0823EC"/>
    <w:rsid w:val="5A0B4999"/>
    <w:rsid w:val="5A1219E8"/>
    <w:rsid w:val="5A1601E1"/>
    <w:rsid w:val="5A1A2003"/>
    <w:rsid w:val="5A2534E2"/>
    <w:rsid w:val="5A272110"/>
    <w:rsid w:val="5A2F52ED"/>
    <w:rsid w:val="5A307C26"/>
    <w:rsid w:val="5A341010"/>
    <w:rsid w:val="5A3A1517"/>
    <w:rsid w:val="5A4D351E"/>
    <w:rsid w:val="5A507300"/>
    <w:rsid w:val="5A51154D"/>
    <w:rsid w:val="5A523957"/>
    <w:rsid w:val="5A532CC8"/>
    <w:rsid w:val="5A612789"/>
    <w:rsid w:val="5A6543C4"/>
    <w:rsid w:val="5A6E205B"/>
    <w:rsid w:val="5A7B2C70"/>
    <w:rsid w:val="5A7C2218"/>
    <w:rsid w:val="5A7C5822"/>
    <w:rsid w:val="5A847FE5"/>
    <w:rsid w:val="5A9B3B8F"/>
    <w:rsid w:val="5A9E6004"/>
    <w:rsid w:val="5AAB402B"/>
    <w:rsid w:val="5AAF46FD"/>
    <w:rsid w:val="5ABE401A"/>
    <w:rsid w:val="5AC526EE"/>
    <w:rsid w:val="5AD45224"/>
    <w:rsid w:val="5ADC6365"/>
    <w:rsid w:val="5B0A16D4"/>
    <w:rsid w:val="5B0B0FE2"/>
    <w:rsid w:val="5B1029A0"/>
    <w:rsid w:val="5B18258F"/>
    <w:rsid w:val="5B28216A"/>
    <w:rsid w:val="5B2B1ACA"/>
    <w:rsid w:val="5B33397C"/>
    <w:rsid w:val="5B356E68"/>
    <w:rsid w:val="5B43203B"/>
    <w:rsid w:val="5B4E4DA1"/>
    <w:rsid w:val="5B5335BE"/>
    <w:rsid w:val="5B6A6045"/>
    <w:rsid w:val="5B6C39BD"/>
    <w:rsid w:val="5B7B1E82"/>
    <w:rsid w:val="5B944D80"/>
    <w:rsid w:val="5B9509FD"/>
    <w:rsid w:val="5BAB4BEE"/>
    <w:rsid w:val="5BB47B97"/>
    <w:rsid w:val="5BB81EEF"/>
    <w:rsid w:val="5BC23198"/>
    <w:rsid w:val="5BC52C1C"/>
    <w:rsid w:val="5BCE2157"/>
    <w:rsid w:val="5BD2376F"/>
    <w:rsid w:val="5BEA66B7"/>
    <w:rsid w:val="5BEB4DCC"/>
    <w:rsid w:val="5BF9391C"/>
    <w:rsid w:val="5C0042AF"/>
    <w:rsid w:val="5C021D5C"/>
    <w:rsid w:val="5C097E8B"/>
    <w:rsid w:val="5C0E448E"/>
    <w:rsid w:val="5C116FBD"/>
    <w:rsid w:val="5C18254C"/>
    <w:rsid w:val="5C1B2C25"/>
    <w:rsid w:val="5C1E0099"/>
    <w:rsid w:val="5C24204D"/>
    <w:rsid w:val="5C261AD7"/>
    <w:rsid w:val="5C2A4D2E"/>
    <w:rsid w:val="5C2E032C"/>
    <w:rsid w:val="5C317C76"/>
    <w:rsid w:val="5C35045C"/>
    <w:rsid w:val="5C3C5668"/>
    <w:rsid w:val="5C3C56AD"/>
    <w:rsid w:val="5C3D32DD"/>
    <w:rsid w:val="5C404666"/>
    <w:rsid w:val="5C422461"/>
    <w:rsid w:val="5C48686D"/>
    <w:rsid w:val="5C4F52A1"/>
    <w:rsid w:val="5C4F75E7"/>
    <w:rsid w:val="5C50319B"/>
    <w:rsid w:val="5C520197"/>
    <w:rsid w:val="5C5371DE"/>
    <w:rsid w:val="5C5F094C"/>
    <w:rsid w:val="5C603564"/>
    <w:rsid w:val="5C633837"/>
    <w:rsid w:val="5C6B674F"/>
    <w:rsid w:val="5C6F57DC"/>
    <w:rsid w:val="5C7E0DF8"/>
    <w:rsid w:val="5C7E39D8"/>
    <w:rsid w:val="5C8A31FF"/>
    <w:rsid w:val="5C9F55AA"/>
    <w:rsid w:val="5CA474D4"/>
    <w:rsid w:val="5CA84AC1"/>
    <w:rsid w:val="5CAC4293"/>
    <w:rsid w:val="5CB64B19"/>
    <w:rsid w:val="5CC22998"/>
    <w:rsid w:val="5CC5766D"/>
    <w:rsid w:val="5CC829D4"/>
    <w:rsid w:val="5CD22245"/>
    <w:rsid w:val="5CD612EC"/>
    <w:rsid w:val="5CD620EF"/>
    <w:rsid w:val="5CD63CB1"/>
    <w:rsid w:val="5CE00BB1"/>
    <w:rsid w:val="5CE76E4E"/>
    <w:rsid w:val="5CE97CE3"/>
    <w:rsid w:val="5CF06B97"/>
    <w:rsid w:val="5CF85D55"/>
    <w:rsid w:val="5CFF2C7D"/>
    <w:rsid w:val="5D042519"/>
    <w:rsid w:val="5D10070C"/>
    <w:rsid w:val="5D1077A1"/>
    <w:rsid w:val="5D193562"/>
    <w:rsid w:val="5D232DD8"/>
    <w:rsid w:val="5D2360DD"/>
    <w:rsid w:val="5D360039"/>
    <w:rsid w:val="5D3A22F4"/>
    <w:rsid w:val="5D3D681F"/>
    <w:rsid w:val="5D421B63"/>
    <w:rsid w:val="5D467576"/>
    <w:rsid w:val="5D4B2525"/>
    <w:rsid w:val="5D543240"/>
    <w:rsid w:val="5D5434CB"/>
    <w:rsid w:val="5D5A25C6"/>
    <w:rsid w:val="5D645AF7"/>
    <w:rsid w:val="5D697151"/>
    <w:rsid w:val="5D7070A0"/>
    <w:rsid w:val="5D7B2BAE"/>
    <w:rsid w:val="5D893541"/>
    <w:rsid w:val="5D8C28B4"/>
    <w:rsid w:val="5D9832F3"/>
    <w:rsid w:val="5D9934EC"/>
    <w:rsid w:val="5D9C1E54"/>
    <w:rsid w:val="5DAB1E9E"/>
    <w:rsid w:val="5DB53FF3"/>
    <w:rsid w:val="5DBC3F54"/>
    <w:rsid w:val="5DCA57DD"/>
    <w:rsid w:val="5DD7086F"/>
    <w:rsid w:val="5DD74A14"/>
    <w:rsid w:val="5DDC2477"/>
    <w:rsid w:val="5DF11D42"/>
    <w:rsid w:val="5DFA2E17"/>
    <w:rsid w:val="5DFB0C01"/>
    <w:rsid w:val="5DFF5CE4"/>
    <w:rsid w:val="5E006537"/>
    <w:rsid w:val="5E2374D1"/>
    <w:rsid w:val="5E401AFE"/>
    <w:rsid w:val="5E454E01"/>
    <w:rsid w:val="5E490493"/>
    <w:rsid w:val="5E4D4054"/>
    <w:rsid w:val="5E4F4CEC"/>
    <w:rsid w:val="5E517BBA"/>
    <w:rsid w:val="5E521705"/>
    <w:rsid w:val="5E656142"/>
    <w:rsid w:val="5E680B19"/>
    <w:rsid w:val="5E7334F8"/>
    <w:rsid w:val="5E7805FF"/>
    <w:rsid w:val="5E7859D6"/>
    <w:rsid w:val="5E842B6A"/>
    <w:rsid w:val="5E875A07"/>
    <w:rsid w:val="5E8C1E30"/>
    <w:rsid w:val="5E911FAC"/>
    <w:rsid w:val="5E92137B"/>
    <w:rsid w:val="5E9373FC"/>
    <w:rsid w:val="5EA67DEF"/>
    <w:rsid w:val="5EAA11B3"/>
    <w:rsid w:val="5EB95510"/>
    <w:rsid w:val="5EC57A3D"/>
    <w:rsid w:val="5ECB275F"/>
    <w:rsid w:val="5ECE2836"/>
    <w:rsid w:val="5EDB5813"/>
    <w:rsid w:val="5EEC409E"/>
    <w:rsid w:val="5EF2448C"/>
    <w:rsid w:val="5EF442F3"/>
    <w:rsid w:val="5F3A21FA"/>
    <w:rsid w:val="5F490636"/>
    <w:rsid w:val="5F4A6244"/>
    <w:rsid w:val="5F7D5743"/>
    <w:rsid w:val="5F810563"/>
    <w:rsid w:val="5F902061"/>
    <w:rsid w:val="5F91364B"/>
    <w:rsid w:val="5F942C15"/>
    <w:rsid w:val="5F983E67"/>
    <w:rsid w:val="5FA57B43"/>
    <w:rsid w:val="5FB560BB"/>
    <w:rsid w:val="5FB62CD8"/>
    <w:rsid w:val="5FC20790"/>
    <w:rsid w:val="5FC91DE9"/>
    <w:rsid w:val="5FCE57F6"/>
    <w:rsid w:val="5FD820A7"/>
    <w:rsid w:val="5FDF0C33"/>
    <w:rsid w:val="5FE25D83"/>
    <w:rsid w:val="5FEC3C05"/>
    <w:rsid w:val="5FF020A1"/>
    <w:rsid w:val="5FFC5DE4"/>
    <w:rsid w:val="60195F65"/>
    <w:rsid w:val="60200E33"/>
    <w:rsid w:val="6023016C"/>
    <w:rsid w:val="602924AC"/>
    <w:rsid w:val="602B5AAA"/>
    <w:rsid w:val="60334B2A"/>
    <w:rsid w:val="603E7B8A"/>
    <w:rsid w:val="60420933"/>
    <w:rsid w:val="60547AB6"/>
    <w:rsid w:val="6056292C"/>
    <w:rsid w:val="6063156C"/>
    <w:rsid w:val="606502AC"/>
    <w:rsid w:val="60660D11"/>
    <w:rsid w:val="606611B7"/>
    <w:rsid w:val="60687B01"/>
    <w:rsid w:val="606D5453"/>
    <w:rsid w:val="607044B9"/>
    <w:rsid w:val="60760530"/>
    <w:rsid w:val="6078579C"/>
    <w:rsid w:val="608159C3"/>
    <w:rsid w:val="60904724"/>
    <w:rsid w:val="60924935"/>
    <w:rsid w:val="60934023"/>
    <w:rsid w:val="60947BEA"/>
    <w:rsid w:val="609B6315"/>
    <w:rsid w:val="60AC169F"/>
    <w:rsid w:val="60AF0E29"/>
    <w:rsid w:val="60B43DFD"/>
    <w:rsid w:val="60B55179"/>
    <w:rsid w:val="60BF5745"/>
    <w:rsid w:val="60C47684"/>
    <w:rsid w:val="60C90EA4"/>
    <w:rsid w:val="60CA2396"/>
    <w:rsid w:val="60CF0514"/>
    <w:rsid w:val="60D07484"/>
    <w:rsid w:val="60D10C0F"/>
    <w:rsid w:val="60D3569F"/>
    <w:rsid w:val="60D4537B"/>
    <w:rsid w:val="60E02B8F"/>
    <w:rsid w:val="60E92E1A"/>
    <w:rsid w:val="60ED6BA8"/>
    <w:rsid w:val="60F37DA9"/>
    <w:rsid w:val="60FA110C"/>
    <w:rsid w:val="60FA46E4"/>
    <w:rsid w:val="60FD3753"/>
    <w:rsid w:val="60FE00AF"/>
    <w:rsid w:val="60FE35D0"/>
    <w:rsid w:val="6101046D"/>
    <w:rsid w:val="61047EF9"/>
    <w:rsid w:val="61064296"/>
    <w:rsid w:val="610864CC"/>
    <w:rsid w:val="610958BB"/>
    <w:rsid w:val="611558FC"/>
    <w:rsid w:val="61164EEF"/>
    <w:rsid w:val="61176A85"/>
    <w:rsid w:val="611A697F"/>
    <w:rsid w:val="61206479"/>
    <w:rsid w:val="612143A4"/>
    <w:rsid w:val="61221695"/>
    <w:rsid w:val="6124184C"/>
    <w:rsid w:val="61254671"/>
    <w:rsid w:val="612E3337"/>
    <w:rsid w:val="61465E1A"/>
    <w:rsid w:val="614B5BCE"/>
    <w:rsid w:val="614D1495"/>
    <w:rsid w:val="614D2B5A"/>
    <w:rsid w:val="6155426A"/>
    <w:rsid w:val="615755AF"/>
    <w:rsid w:val="615D6475"/>
    <w:rsid w:val="616C2054"/>
    <w:rsid w:val="616E3976"/>
    <w:rsid w:val="617D0D60"/>
    <w:rsid w:val="618563BE"/>
    <w:rsid w:val="61867017"/>
    <w:rsid w:val="618E1E6E"/>
    <w:rsid w:val="618F22FB"/>
    <w:rsid w:val="61B15149"/>
    <w:rsid w:val="61B16AF8"/>
    <w:rsid w:val="61B71C73"/>
    <w:rsid w:val="61C56900"/>
    <w:rsid w:val="61C73EC2"/>
    <w:rsid w:val="61D9528D"/>
    <w:rsid w:val="61DA6BBA"/>
    <w:rsid w:val="61E51E0F"/>
    <w:rsid w:val="61E852C9"/>
    <w:rsid w:val="61EE26FB"/>
    <w:rsid w:val="61EE28BD"/>
    <w:rsid w:val="61F0115C"/>
    <w:rsid w:val="6203062B"/>
    <w:rsid w:val="62070260"/>
    <w:rsid w:val="6222428F"/>
    <w:rsid w:val="623328EA"/>
    <w:rsid w:val="62390C34"/>
    <w:rsid w:val="6239162C"/>
    <w:rsid w:val="623D4624"/>
    <w:rsid w:val="623D5E3F"/>
    <w:rsid w:val="6241252A"/>
    <w:rsid w:val="62464E95"/>
    <w:rsid w:val="62475095"/>
    <w:rsid w:val="625377EA"/>
    <w:rsid w:val="625D49CE"/>
    <w:rsid w:val="6260455B"/>
    <w:rsid w:val="626114D6"/>
    <w:rsid w:val="627B3A31"/>
    <w:rsid w:val="627C049D"/>
    <w:rsid w:val="627E327C"/>
    <w:rsid w:val="628E6DF2"/>
    <w:rsid w:val="62971DFA"/>
    <w:rsid w:val="629963D8"/>
    <w:rsid w:val="62B3642B"/>
    <w:rsid w:val="62B91CB2"/>
    <w:rsid w:val="62E05F11"/>
    <w:rsid w:val="62F00E21"/>
    <w:rsid w:val="62F06C0E"/>
    <w:rsid w:val="62F571B6"/>
    <w:rsid w:val="62F91A8D"/>
    <w:rsid w:val="62FA0118"/>
    <w:rsid w:val="62FB5ADF"/>
    <w:rsid w:val="63016DD9"/>
    <w:rsid w:val="630B0513"/>
    <w:rsid w:val="630D5FB3"/>
    <w:rsid w:val="631D12C4"/>
    <w:rsid w:val="632F0EFF"/>
    <w:rsid w:val="633159CB"/>
    <w:rsid w:val="6332638D"/>
    <w:rsid w:val="633B2B0B"/>
    <w:rsid w:val="633E36D1"/>
    <w:rsid w:val="6343466C"/>
    <w:rsid w:val="634A145E"/>
    <w:rsid w:val="634E753F"/>
    <w:rsid w:val="63607ED4"/>
    <w:rsid w:val="636469BD"/>
    <w:rsid w:val="636A3942"/>
    <w:rsid w:val="636B5C5F"/>
    <w:rsid w:val="63716369"/>
    <w:rsid w:val="63767EE6"/>
    <w:rsid w:val="637919F5"/>
    <w:rsid w:val="637A710D"/>
    <w:rsid w:val="637D2E4D"/>
    <w:rsid w:val="63802ACC"/>
    <w:rsid w:val="6388225F"/>
    <w:rsid w:val="63B253E1"/>
    <w:rsid w:val="63B601D2"/>
    <w:rsid w:val="63D86821"/>
    <w:rsid w:val="63D8720B"/>
    <w:rsid w:val="63E02D15"/>
    <w:rsid w:val="63E0457C"/>
    <w:rsid w:val="63E25AFD"/>
    <w:rsid w:val="63F03B38"/>
    <w:rsid w:val="63F731A5"/>
    <w:rsid w:val="63FC766C"/>
    <w:rsid w:val="63FE2454"/>
    <w:rsid w:val="64022F76"/>
    <w:rsid w:val="64084173"/>
    <w:rsid w:val="641269AD"/>
    <w:rsid w:val="641C56F8"/>
    <w:rsid w:val="64231408"/>
    <w:rsid w:val="643A7824"/>
    <w:rsid w:val="64553AA4"/>
    <w:rsid w:val="64564ED9"/>
    <w:rsid w:val="645A5737"/>
    <w:rsid w:val="64603768"/>
    <w:rsid w:val="6467123E"/>
    <w:rsid w:val="64706790"/>
    <w:rsid w:val="64724898"/>
    <w:rsid w:val="647C3BBA"/>
    <w:rsid w:val="64805997"/>
    <w:rsid w:val="64823A3A"/>
    <w:rsid w:val="64855B2D"/>
    <w:rsid w:val="64867427"/>
    <w:rsid w:val="648976FB"/>
    <w:rsid w:val="648A2250"/>
    <w:rsid w:val="648B1491"/>
    <w:rsid w:val="648E1573"/>
    <w:rsid w:val="649A52C8"/>
    <w:rsid w:val="64B0747D"/>
    <w:rsid w:val="64B6071F"/>
    <w:rsid w:val="64BE2F18"/>
    <w:rsid w:val="64C03551"/>
    <w:rsid w:val="64C6530B"/>
    <w:rsid w:val="64D9451E"/>
    <w:rsid w:val="64DB77D5"/>
    <w:rsid w:val="64F31974"/>
    <w:rsid w:val="64FA5C63"/>
    <w:rsid w:val="6532464B"/>
    <w:rsid w:val="653A34E5"/>
    <w:rsid w:val="653C6B1D"/>
    <w:rsid w:val="65433415"/>
    <w:rsid w:val="65463750"/>
    <w:rsid w:val="654E3228"/>
    <w:rsid w:val="65537C6B"/>
    <w:rsid w:val="655C685E"/>
    <w:rsid w:val="656160AB"/>
    <w:rsid w:val="65622086"/>
    <w:rsid w:val="65644A63"/>
    <w:rsid w:val="656E3321"/>
    <w:rsid w:val="65757B8D"/>
    <w:rsid w:val="65764BA6"/>
    <w:rsid w:val="658E776E"/>
    <w:rsid w:val="65907AC2"/>
    <w:rsid w:val="65A62A91"/>
    <w:rsid w:val="65A8734A"/>
    <w:rsid w:val="65A9185C"/>
    <w:rsid w:val="65AB43EF"/>
    <w:rsid w:val="65B430CC"/>
    <w:rsid w:val="65CC6A3A"/>
    <w:rsid w:val="65D62AA7"/>
    <w:rsid w:val="65DB0A99"/>
    <w:rsid w:val="65E919BF"/>
    <w:rsid w:val="65ED7EEF"/>
    <w:rsid w:val="65F46CFC"/>
    <w:rsid w:val="65F73BB4"/>
    <w:rsid w:val="660658FA"/>
    <w:rsid w:val="660B1805"/>
    <w:rsid w:val="660C035C"/>
    <w:rsid w:val="66190E3D"/>
    <w:rsid w:val="661C061C"/>
    <w:rsid w:val="6628673A"/>
    <w:rsid w:val="66300C32"/>
    <w:rsid w:val="6639596A"/>
    <w:rsid w:val="6644369D"/>
    <w:rsid w:val="66513A8B"/>
    <w:rsid w:val="66515333"/>
    <w:rsid w:val="66543F3A"/>
    <w:rsid w:val="6654755D"/>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C2655F"/>
    <w:rsid w:val="66D01D1D"/>
    <w:rsid w:val="66D20F68"/>
    <w:rsid w:val="66D6103F"/>
    <w:rsid w:val="66DC2051"/>
    <w:rsid w:val="66E77E06"/>
    <w:rsid w:val="66F861FA"/>
    <w:rsid w:val="670027A0"/>
    <w:rsid w:val="67037752"/>
    <w:rsid w:val="67050D51"/>
    <w:rsid w:val="670E178E"/>
    <w:rsid w:val="6717419C"/>
    <w:rsid w:val="67212735"/>
    <w:rsid w:val="6722663E"/>
    <w:rsid w:val="672D4F87"/>
    <w:rsid w:val="673611CB"/>
    <w:rsid w:val="674A450B"/>
    <w:rsid w:val="674B4E59"/>
    <w:rsid w:val="675005EC"/>
    <w:rsid w:val="675E366D"/>
    <w:rsid w:val="67635837"/>
    <w:rsid w:val="67690F3D"/>
    <w:rsid w:val="676B3A7C"/>
    <w:rsid w:val="676D52AA"/>
    <w:rsid w:val="677011BD"/>
    <w:rsid w:val="6770452E"/>
    <w:rsid w:val="67750EBE"/>
    <w:rsid w:val="67816012"/>
    <w:rsid w:val="67842D1C"/>
    <w:rsid w:val="678C278B"/>
    <w:rsid w:val="67991948"/>
    <w:rsid w:val="67A850E1"/>
    <w:rsid w:val="67AB3E74"/>
    <w:rsid w:val="67B0438B"/>
    <w:rsid w:val="67B71656"/>
    <w:rsid w:val="67B723B3"/>
    <w:rsid w:val="67B743E8"/>
    <w:rsid w:val="67BD4993"/>
    <w:rsid w:val="67C95416"/>
    <w:rsid w:val="67D74048"/>
    <w:rsid w:val="67E041E2"/>
    <w:rsid w:val="67E51F56"/>
    <w:rsid w:val="6802359C"/>
    <w:rsid w:val="68081463"/>
    <w:rsid w:val="680A257F"/>
    <w:rsid w:val="680E50C8"/>
    <w:rsid w:val="681541C3"/>
    <w:rsid w:val="681674DF"/>
    <w:rsid w:val="68373462"/>
    <w:rsid w:val="68447B3B"/>
    <w:rsid w:val="685C0FCA"/>
    <w:rsid w:val="68650F7D"/>
    <w:rsid w:val="68655BE3"/>
    <w:rsid w:val="686926D4"/>
    <w:rsid w:val="68774A50"/>
    <w:rsid w:val="68784EDA"/>
    <w:rsid w:val="687A62EB"/>
    <w:rsid w:val="687B4F8F"/>
    <w:rsid w:val="688C0135"/>
    <w:rsid w:val="688D57D8"/>
    <w:rsid w:val="6892047F"/>
    <w:rsid w:val="6897438E"/>
    <w:rsid w:val="68A27905"/>
    <w:rsid w:val="68A550D0"/>
    <w:rsid w:val="68A57A2E"/>
    <w:rsid w:val="68A7533D"/>
    <w:rsid w:val="68BD6779"/>
    <w:rsid w:val="68C02111"/>
    <w:rsid w:val="68CE3102"/>
    <w:rsid w:val="68D015E0"/>
    <w:rsid w:val="68D33B58"/>
    <w:rsid w:val="68D824C6"/>
    <w:rsid w:val="68E24545"/>
    <w:rsid w:val="68E31D7A"/>
    <w:rsid w:val="68E71448"/>
    <w:rsid w:val="68E92B61"/>
    <w:rsid w:val="68F308C4"/>
    <w:rsid w:val="68F51C33"/>
    <w:rsid w:val="68FE7853"/>
    <w:rsid w:val="68FF6668"/>
    <w:rsid w:val="6901117B"/>
    <w:rsid w:val="69052CE9"/>
    <w:rsid w:val="691D61F1"/>
    <w:rsid w:val="691E3879"/>
    <w:rsid w:val="69211467"/>
    <w:rsid w:val="69257A7E"/>
    <w:rsid w:val="69277662"/>
    <w:rsid w:val="69345F83"/>
    <w:rsid w:val="69392613"/>
    <w:rsid w:val="69392966"/>
    <w:rsid w:val="693C2B63"/>
    <w:rsid w:val="694E1147"/>
    <w:rsid w:val="69520D7A"/>
    <w:rsid w:val="69573B6E"/>
    <w:rsid w:val="696206D3"/>
    <w:rsid w:val="6967756D"/>
    <w:rsid w:val="6968644A"/>
    <w:rsid w:val="697011ED"/>
    <w:rsid w:val="69826A24"/>
    <w:rsid w:val="698F30AB"/>
    <w:rsid w:val="699B6DC8"/>
    <w:rsid w:val="69A97058"/>
    <w:rsid w:val="69AB6F60"/>
    <w:rsid w:val="69C8002E"/>
    <w:rsid w:val="69CF04C1"/>
    <w:rsid w:val="69D32FE1"/>
    <w:rsid w:val="69D463F2"/>
    <w:rsid w:val="69D72910"/>
    <w:rsid w:val="69D94035"/>
    <w:rsid w:val="69DC26A6"/>
    <w:rsid w:val="69E37874"/>
    <w:rsid w:val="69E56B54"/>
    <w:rsid w:val="69E96708"/>
    <w:rsid w:val="69ED002E"/>
    <w:rsid w:val="69EE54CD"/>
    <w:rsid w:val="69F92613"/>
    <w:rsid w:val="69FB7CD4"/>
    <w:rsid w:val="69FD7CEA"/>
    <w:rsid w:val="6A0229E5"/>
    <w:rsid w:val="6A067F83"/>
    <w:rsid w:val="6A097E59"/>
    <w:rsid w:val="6A171AFC"/>
    <w:rsid w:val="6A227A57"/>
    <w:rsid w:val="6A2A2D01"/>
    <w:rsid w:val="6A3225D7"/>
    <w:rsid w:val="6A3B0B6C"/>
    <w:rsid w:val="6A470981"/>
    <w:rsid w:val="6A4747AF"/>
    <w:rsid w:val="6A49294B"/>
    <w:rsid w:val="6A562B91"/>
    <w:rsid w:val="6A57299A"/>
    <w:rsid w:val="6A697946"/>
    <w:rsid w:val="6A6D6854"/>
    <w:rsid w:val="6A700CED"/>
    <w:rsid w:val="6A7017D7"/>
    <w:rsid w:val="6AA235D3"/>
    <w:rsid w:val="6AB02B50"/>
    <w:rsid w:val="6AB14532"/>
    <w:rsid w:val="6ABB2ED0"/>
    <w:rsid w:val="6AC335C4"/>
    <w:rsid w:val="6ADD7DFD"/>
    <w:rsid w:val="6AE2135D"/>
    <w:rsid w:val="6AE77D3D"/>
    <w:rsid w:val="6AE93C28"/>
    <w:rsid w:val="6B036D80"/>
    <w:rsid w:val="6B160110"/>
    <w:rsid w:val="6B21434C"/>
    <w:rsid w:val="6B237C36"/>
    <w:rsid w:val="6B2C290C"/>
    <w:rsid w:val="6B33476F"/>
    <w:rsid w:val="6B352059"/>
    <w:rsid w:val="6B3B4CA2"/>
    <w:rsid w:val="6B4514F6"/>
    <w:rsid w:val="6B4A50C0"/>
    <w:rsid w:val="6B4D3CED"/>
    <w:rsid w:val="6B5C7011"/>
    <w:rsid w:val="6B6A2B7E"/>
    <w:rsid w:val="6B705893"/>
    <w:rsid w:val="6B7221D1"/>
    <w:rsid w:val="6B725A81"/>
    <w:rsid w:val="6B7F30F3"/>
    <w:rsid w:val="6B873558"/>
    <w:rsid w:val="6B92645D"/>
    <w:rsid w:val="6B94060D"/>
    <w:rsid w:val="6B973734"/>
    <w:rsid w:val="6B975967"/>
    <w:rsid w:val="6BBC0DCF"/>
    <w:rsid w:val="6BCA6179"/>
    <w:rsid w:val="6BD0777F"/>
    <w:rsid w:val="6BD619EE"/>
    <w:rsid w:val="6BEA64E2"/>
    <w:rsid w:val="6BFA7E30"/>
    <w:rsid w:val="6C016CAE"/>
    <w:rsid w:val="6C090252"/>
    <w:rsid w:val="6C0B7CD2"/>
    <w:rsid w:val="6C0D6AE8"/>
    <w:rsid w:val="6C100936"/>
    <w:rsid w:val="6C1962C3"/>
    <w:rsid w:val="6C1A6808"/>
    <w:rsid w:val="6C255AAD"/>
    <w:rsid w:val="6C2C5801"/>
    <w:rsid w:val="6C2D7320"/>
    <w:rsid w:val="6C2E3E73"/>
    <w:rsid w:val="6C3321F9"/>
    <w:rsid w:val="6C33267C"/>
    <w:rsid w:val="6C3D0F56"/>
    <w:rsid w:val="6C410CB8"/>
    <w:rsid w:val="6C452BDF"/>
    <w:rsid w:val="6C5E1CDD"/>
    <w:rsid w:val="6C660C8B"/>
    <w:rsid w:val="6C6A716D"/>
    <w:rsid w:val="6C71767A"/>
    <w:rsid w:val="6C7C1F44"/>
    <w:rsid w:val="6C827094"/>
    <w:rsid w:val="6C8559E0"/>
    <w:rsid w:val="6C8D26FB"/>
    <w:rsid w:val="6CC25213"/>
    <w:rsid w:val="6CD76A8F"/>
    <w:rsid w:val="6CE0702D"/>
    <w:rsid w:val="6CE83295"/>
    <w:rsid w:val="6CEE220B"/>
    <w:rsid w:val="6CEE246E"/>
    <w:rsid w:val="6CF27A30"/>
    <w:rsid w:val="6CF6067E"/>
    <w:rsid w:val="6D032BD4"/>
    <w:rsid w:val="6D0535EE"/>
    <w:rsid w:val="6D075719"/>
    <w:rsid w:val="6D077405"/>
    <w:rsid w:val="6D0A3519"/>
    <w:rsid w:val="6D133D59"/>
    <w:rsid w:val="6D175B2B"/>
    <w:rsid w:val="6D264EC5"/>
    <w:rsid w:val="6D26662C"/>
    <w:rsid w:val="6D437763"/>
    <w:rsid w:val="6D671B76"/>
    <w:rsid w:val="6D6D28AF"/>
    <w:rsid w:val="6D771293"/>
    <w:rsid w:val="6D7D0954"/>
    <w:rsid w:val="6D876AB7"/>
    <w:rsid w:val="6D8F154F"/>
    <w:rsid w:val="6D9757D1"/>
    <w:rsid w:val="6D9C3974"/>
    <w:rsid w:val="6DA062EA"/>
    <w:rsid w:val="6DA65DBF"/>
    <w:rsid w:val="6DA76631"/>
    <w:rsid w:val="6DAF65CC"/>
    <w:rsid w:val="6DB157A2"/>
    <w:rsid w:val="6DB25F3D"/>
    <w:rsid w:val="6DC53FBD"/>
    <w:rsid w:val="6DC93FE2"/>
    <w:rsid w:val="6DCA77EA"/>
    <w:rsid w:val="6DD35114"/>
    <w:rsid w:val="6DDE35E8"/>
    <w:rsid w:val="6DE92FA2"/>
    <w:rsid w:val="6DEE0E7D"/>
    <w:rsid w:val="6DF574ED"/>
    <w:rsid w:val="6DF81839"/>
    <w:rsid w:val="6E0048DC"/>
    <w:rsid w:val="6E075019"/>
    <w:rsid w:val="6E0766A1"/>
    <w:rsid w:val="6E1419C0"/>
    <w:rsid w:val="6E166FE2"/>
    <w:rsid w:val="6E183FF4"/>
    <w:rsid w:val="6E1B11E5"/>
    <w:rsid w:val="6E1D151C"/>
    <w:rsid w:val="6E2E7D17"/>
    <w:rsid w:val="6E3323DD"/>
    <w:rsid w:val="6E3761D3"/>
    <w:rsid w:val="6E392DDA"/>
    <w:rsid w:val="6E3E2033"/>
    <w:rsid w:val="6E411943"/>
    <w:rsid w:val="6E440060"/>
    <w:rsid w:val="6E442CF5"/>
    <w:rsid w:val="6E54575C"/>
    <w:rsid w:val="6E5A2999"/>
    <w:rsid w:val="6E612C3F"/>
    <w:rsid w:val="6E6F6D88"/>
    <w:rsid w:val="6E702FE8"/>
    <w:rsid w:val="6E766C71"/>
    <w:rsid w:val="6E7926F7"/>
    <w:rsid w:val="6E7B110F"/>
    <w:rsid w:val="6E8A2A35"/>
    <w:rsid w:val="6EA04FAE"/>
    <w:rsid w:val="6EAA79ED"/>
    <w:rsid w:val="6ECD08F1"/>
    <w:rsid w:val="6EDF2531"/>
    <w:rsid w:val="6EEF6508"/>
    <w:rsid w:val="6EFF1809"/>
    <w:rsid w:val="6F1A60C4"/>
    <w:rsid w:val="6F231E41"/>
    <w:rsid w:val="6F244447"/>
    <w:rsid w:val="6F303DE1"/>
    <w:rsid w:val="6F331C81"/>
    <w:rsid w:val="6F331F52"/>
    <w:rsid w:val="6F362062"/>
    <w:rsid w:val="6F3C0797"/>
    <w:rsid w:val="6F4048CA"/>
    <w:rsid w:val="6F4713C5"/>
    <w:rsid w:val="6F4734D0"/>
    <w:rsid w:val="6F4B3953"/>
    <w:rsid w:val="6F555C91"/>
    <w:rsid w:val="6F603479"/>
    <w:rsid w:val="6F680494"/>
    <w:rsid w:val="6F6B5A9E"/>
    <w:rsid w:val="6F7A07E3"/>
    <w:rsid w:val="6F7D050B"/>
    <w:rsid w:val="6F8C33B0"/>
    <w:rsid w:val="6F8D5B36"/>
    <w:rsid w:val="6F953750"/>
    <w:rsid w:val="6FA10B29"/>
    <w:rsid w:val="6FA30CDD"/>
    <w:rsid w:val="6FAA2D8A"/>
    <w:rsid w:val="6FC02217"/>
    <w:rsid w:val="6FC34E9D"/>
    <w:rsid w:val="6FC60A07"/>
    <w:rsid w:val="6FC90F86"/>
    <w:rsid w:val="6FCE2BBA"/>
    <w:rsid w:val="6FDF40F5"/>
    <w:rsid w:val="6FE0165C"/>
    <w:rsid w:val="6FE05F95"/>
    <w:rsid w:val="6FF06B6B"/>
    <w:rsid w:val="6FF97C31"/>
    <w:rsid w:val="6FFC64FF"/>
    <w:rsid w:val="7001428F"/>
    <w:rsid w:val="70133236"/>
    <w:rsid w:val="70156307"/>
    <w:rsid w:val="701B3A89"/>
    <w:rsid w:val="701C590F"/>
    <w:rsid w:val="702033F7"/>
    <w:rsid w:val="70315D3B"/>
    <w:rsid w:val="703D58C4"/>
    <w:rsid w:val="70453D87"/>
    <w:rsid w:val="704E5E48"/>
    <w:rsid w:val="7055360F"/>
    <w:rsid w:val="70642BE6"/>
    <w:rsid w:val="706F497B"/>
    <w:rsid w:val="70724AB3"/>
    <w:rsid w:val="70916EF8"/>
    <w:rsid w:val="709261ED"/>
    <w:rsid w:val="70982CA6"/>
    <w:rsid w:val="70A02568"/>
    <w:rsid w:val="70C41020"/>
    <w:rsid w:val="70CC1017"/>
    <w:rsid w:val="70CF255C"/>
    <w:rsid w:val="70DC2C89"/>
    <w:rsid w:val="70DD743F"/>
    <w:rsid w:val="70E3150B"/>
    <w:rsid w:val="70E67B77"/>
    <w:rsid w:val="70F323B0"/>
    <w:rsid w:val="710221FA"/>
    <w:rsid w:val="71061A60"/>
    <w:rsid w:val="710D3478"/>
    <w:rsid w:val="710F7585"/>
    <w:rsid w:val="711805A6"/>
    <w:rsid w:val="711A79AD"/>
    <w:rsid w:val="71217446"/>
    <w:rsid w:val="71224F32"/>
    <w:rsid w:val="7123463F"/>
    <w:rsid w:val="713B1ED6"/>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C51C8"/>
    <w:rsid w:val="71C37CE8"/>
    <w:rsid w:val="71C402EA"/>
    <w:rsid w:val="71D53676"/>
    <w:rsid w:val="71DA32B4"/>
    <w:rsid w:val="71E32E83"/>
    <w:rsid w:val="71F46D71"/>
    <w:rsid w:val="71F96411"/>
    <w:rsid w:val="71FA7506"/>
    <w:rsid w:val="722F766C"/>
    <w:rsid w:val="72385872"/>
    <w:rsid w:val="72451F4F"/>
    <w:rsid w:val="7247128C"/>
    <w:rsid w:val="72493E35"/>
    <w:rsid w:val="725B0CD8"/>
    <w:rsid w:val="7264361A"/>
    <w:rsid w:val="726822A9"/>
    <w:rsid w:val="726C3438"/>
    <w:rsid w:val="727367E8"/>
    <w:rsid w:val="727C5618"/>
    <w:rsid w:val="727F3E51"/>
    <w:rsid w:val="7287073E"/>
    <w:rsid w:val="7290542B"/>
    <w:rsid w:val="72913002"/>
    <w:rsid w:val="72917F17"/>
    <w:rsid w:val="72935E6A"/>
    <w:rsid w:val="729A7834"/>
    <w:rsid w:val="72A00661"/>
    <w:rsid w:val="72AF2463"/>
    <w:rsid w:val="72B06D9D"/>
    <w:rsid w:val="72B715E4"/>
    <w:rsid w:val="72C32F53"/>
    <w:rsid w:val="72C77A8A"/>
    <w:rsid w:val="72CB7C4C"/>
    <w:rsid w:val="72D86D20"/>
    <w:rsid w:val="72FE3E8E"/>
    <w:rsid w:val="731B711B"/>
    <w:rsid w:val="731C3ED2"/>
    <w:rsid w:val="731E5631"/>
    <w:rsid w:val="732B0C72"/>
    <w:rsid w:val="73330C63"/>
    <w:rsid w:val="733863E3"/>
    <w:rsid w:val="733A3332"/>
    <w:rsid w:val="733C1D9D"/>
    <w:rsid w:val="733E46B2"/>
    <w:rsid w:val="73597F33"/>
    <w:rsid w:val="7375490C"/>
    <w:rsid w:val="73757E63"/>
    <w:rsid w:val="737D2F4F"/>
    <w:rsid w:val="73900D21"/>
    <w:rsid w:val="739A7114"/>
    <w:rsid w:val="739F2349"/>
    <w:rsid w:val="739F6287"/>
    <w:rsid w:val="73A242CD"/>
    <w:rsid w:val="73AC333B"/>
    <w:rsid w:val="73B11DBC"/>
    <w:rsid w:val="73B1795C"/>
    <w:rsid w:val="73B51018"/>
    <w:rsid w:val="73C340B3"/>
    <w:rsid w:val="73C72DB3"/>
    <w:rsid w:val="73C854F0"/>
    <w:rsid w:val="73CE0B05"/>
    <w:rsid w:val="73D007EE"/>
    <w:rsid w:val="73D27A00"/>
    <w:rsid w:val="73D9581C"/>
    <w:rsid w:val="73DA2FBB"/>
    <w:rsid w:val="73DC2CAB"/>
    <w:rsid w:val="73DC5744"/>
    <w:rsid w:val="73E36876"/>
    <w:rsid w:val="73E72CB9"/>
    <w:rsid w:val="741B5358"/>
    <w:rsid w:val="74202F12"/>
    <w:rsid w:val="742C093F"/>
    <w:rsid w:val="742F68DF"/>
    <w:rsid w:val="7435797F"/>
    <w:rsid w:val="744A0545"/>
    <w:rsid w:val="744F7C70"/>
    <w:rsid w:val="74521009"/>
    <w:rsid w:val="74632A31"/>
    <w:rsid w:val="7465205B"/>
    <w:rsid w:val="746954DB"/>
    <w:rsid w:val="74743C33"/>
    <w:rsid w:val="747640DF"/>
    <w:rsid w:val="747E6036"/>
    <w:rsid w:val="7482175B"/>
    <w:rsid w:val="74843F0D"/>
    <w:rsid w:val="74B37F42"/>
    <w:rsid w:val="74BA4FF9"/>
    <w:rsid w:val="74CA0770"/>
    <w:rsid w:val="74D52F3D"/>
    <w:rsid w:val="74D81528"/>
    <w:rsid w:val="74D96025"/>
    <w:rsid w:val="74DA07A2"/>
    <w:rsid w:val="74E1491C"/>
    <w:rsid w:val="74E67A31"/>
    <w:rsid w:val="74F61278"/>
    <w:rsid w:val="74F90505"/>
    <w:rsid w:val="74FC67D7"/>
    <w:rsid w:val="7501178C"/>
    <w:rsid w:val="75124563"/>
    <w:rsid w:val="751C2143"/>
    <w:rsid w:val="75295853"/>
    <w:rsid w:val="752D2921"/>
    <w:rsid w:val="752F2DAC"/>
    <w:rsid w:val="75631790"/>
    <w:rsid w:val="7566472C"/>
    <w:rsid w:val="756B1E1E"/>
    <w:rsid w:val="7578413D"/>
    <w:rsid w:val="757B64ED"/>
    <w:rsid w:val="757C232A"/>
    <w:rsid w:val="75851DCA"/>
    <w:rsid w:val="758F3A2A"/>
    <w:rsid w:val="7599617F"/>
    <w:rsid w:val="759D7802"/>
    <w:rsid w:val="75A011FF"/>
    <w:rsid w:val="75A70E4F"/>
    <w:rsid w:val="75AA3F51"/>
    <w:rsid w:val="75B11420"/>
    <w:rsid w:val="75B263D3"/>
    <w:rsid w:val="75DC2372"/>
    <w:rsid w:val="75E16CC1"/>
    <w:rsid w:val="75F22E0F"/>
    <w:rsid w:val="760021B6"/>
    <w:rsid w:val="760950F4"/>
    <w:rsid w:val="76122AB3"/>
    <w:rsid w:val="76154B74"/>
    <w:rsid w:val="761C414A"/>
    <w:rsid w:val="76380CDC"/>
    <w:rsid w:val="76383420"/>
    <w:rsid w:val="76411431"/>
    <w:rsid w:val="7649562B"/>
    <w:rsid w:val="764F7C59"/>
    <w:rsid w:val="76536622"/>
    <w:rsid w:val="765566B4"/>
    <w:rsid w:val="76605088"/>
    <w:rsid w:val="766477E2"/>
    <w:rsid w:val="7668119A"/>
    <w:rsid w:val="766966D4"/>
    <w:rsid w:val="766C63E7"/>
    <w:rsid w:val="76894FB9"/>
    <w:rsid w:val="768C1EBA"/>
    <w:rsid w:val="769568F8"/>
    <w:rsid w:val="76993596"/>
    <w:rsid w:val="769F0134"/>
    <w:rsid w:val="76B14AAD"/>
    <w:rsid w:val="76C118A2"/>
    <w:rsid w:val="76C32B57"/>
    <w:rsid w:val="76CB0A63"/>
    <w:rsid w:val="76D25527"/>
    <w:rsid w:val="76D81970"/>
    <w:rsid w:val="76DD3810"/>
    <w:rsid w:val="76E451C7"/>
    <w:rsid w:val="76E472DD"/>
    <w:rsid w:val="76E8548D"/>
    <w:rsid w:val="76ED3B38"/>
    <w:rsid w:val="76F13EA7"/>
    <w:rsid w:val="76F14581"/>
    <w:rsid w:val="76F77BBD"/>
    <w:rsid w:val="76FD22EC"/>
    <w:rsid w:val="76FD6D57"/>
    <w:rsid w:val="77030B27"/>
    <w:rsid w:val="77041D95"/>
    <w:rsid w:val="7718408C"/>
    <w:rsid w:val="772527B2"/>
    <w:rsid w:val="772A6A8E"/>
    <w:rsid w:val="773B25F8"/>
    <w:rsid w:val="773D0C62"/>
    <w:rsid w:val="7743414C"/>
    <w:rsid w:val="774551B5"/>
    <w:rsid w:val="77523DCF"/>
    <w:rsid w:val="77606B3D"/>
    <w:rsid w:val="776870B9"/>
    <w:rsid w:val="776967FB"/>
    <w:rsid w:val="776D4583"/>
    <w:rsid w:val="7776540C"/>
    <w:rsid w:val="777A37E1"/>
    <w:rsid w:val="778100C2"/>
    <w:rsid w:val="77855EB4"/>
    <w:rsid w:val="779D35D8"/>
    <w:rsid w:val="77AA135C"/>
    <w:rsid w:val="77AB7E27"/>
    <w:rsid w:val="77AC14DA"/>
    <w:rsid w:val="77AD64CA"/>
    <w:rsid w:val="77AF3504"/>
    <w:rsid w:val="77B36F7C"/>
    <w:rsid w:val="77C926F0"/>
    <w:rsid w:val="77CA0362"/>
    <w:rsid w:val="77FC1B84"/>
    <w:rsid w:val="780752E6"/>
    <w:rsid w:val="780B6CC7"/>
    <w:rsid w:val="78153F77"/>
    <w:rsid w:val="78185315"/>
    <w:rsid w:val="781C67FA"/>
    <w:rsid w:val="782378AE"/>
    <w:rsid w:val="78296DAC"/>
    <w:rsid w:val="783267CC"/>
    <w:rsid w:val="783E418B"/>
    <w:rsid w:val="783F1754"/>
    <w:rsid w:val="784E3C01"/>
    <w:rsid w:val="78570849"/>
    <w:rsid w:val="78617AF2"/>
    <w:rsid w:val="78626899"/>
    <w:rsid w:val="786421F2"/>
    <w:rsid w:val="786616B3"/>
    <w:rsid w:val="786E5D08"/>
    <w:rsid w:val="78812F7C"/>
    <w:rsid w:val="78A51B95"/>
    <w:rsid w:val="78AA6975"/>
    <w:rsid w:val="78BB3862"/>
    <w:rsid w:val="78C15B1C"/>
    <w:rsid w:val="78C359B3"/>
    <w:rsid w:val="78C9190A"/>
    <w:rsid w:val="78C97D4F"/>
    <w:rsid w:val="78CC0493"/>
    <w:rsid w:val="78DB3FCA"/>
    <w:rsid w:val="78EC2D52"/>
    <w:rsid w:val="78F5480C"/>
    <w:rsid w:val="79036E66"/>
    <w:rsid w:val="790B5E2B"/>
    <w:rsid w:val="790E47EA"/>
    <w:rsid w:val="790E548B"/>
    <w:rsid w:val="79104E2B"/>
    <w:rsid w:val="79135CA0"/>
    <w:rsid w:val="791A58CD"/>
    <w:rsid w:val="791F537B"/>
    <w:rsid w:val="79344437"/>
    <w:rsid w:val="79367982"/>
    <w:rsid w:val="793D5C2F"/>
    <w:rsid w:val="793F7F0E"/>
    <w:rsid w:val="794A336F"/>
    <w:rsid w:val="79537099"/>
    <w:rsid w:val="79552D08"/>
    <w:rsid w:val="795E7ED2"/>
    <w:rsid w:val="79672E22"/>
    <w:rsid w:val="79677010"/>
    <w:rsid w:val="797121AE"/>
    <w:rsid w:val="797E1825"/>
    <w:rsid w:val="79A7288D"/>
    <w:rsid w:val="79AA3C4E"/>
    <w:rsid w:val="79AE312A"/>
    <w:rsid w:val="79B3208C"/>
    <w:rsid w:val="79B70130"/>
    <w:rsid w:val="79BD5598"/>
    <w:rsid w:val="79CB0706"/>
    <w:rsid w:val="79CE66ED"/>
    <w:rsid w:val="79CF6E25"/>
    <w:rsid w:val="79D42664"/>
    <w:rsid w:val="79D51250"/>
    <w:rsid w:val="79DB4236"/>
    <w:rsid w:val="79E66C93"/>
    <w:rsid w:val="79F16E80"/>
    <w:rsid w:val="79F842C2"/>
    <w:rsid w:val="79FA0A29"/>
    <w:rsid w:val="79FC6E04"/>
    <w:rsid w:val="79FE2A4E"/>
    <w:rsid w:val="7A081D42"/>
    <w:rsid w:val="7A0A6E0F"/>
    <w:rsid w:val="7A0A7223"/>
    <w:rsid w:val="7A0C4EA7"/>
    <w:rsid w:val="7A12552F"/>
    <w:rsid w:val="7A1524DD"/>
    <w:rsid w:val="7A1A1772"/>
    <w:rsid w:val="7A1E1DC3"/>
    <w:rsid w:val="7A276994"/>
    <w:rsid w:val="7A3B034D"/>
    <w:rsid w:val="7A3F158B"/>
    <w:rsid w:val="7A4A132A"/>
    <w:rsid w:val="7A535840"/>
    <w:rsid w:val="7A6736BC"/>
    <w:rsid w:val="7A6A7B3B"/>
    <w:rsid w:val="7A721F7E"/>
    <w:rsid w:val="7A746574"/>
    <w:rsid w:val="7A7678E5"/>
    <w:rsid w:val="7A7B24DD"/>
    <w:rsid w:val="7A7D2094"/>
    <w:rsid w:val="7A7F65CA"/>
    <w:rsid w:val="7A867241"/>
    <w:rsid w:val="7A876B11"/>
    <w:rsid w:val="7A88301C"/>
    <w:rsid w:val="7A963A48"/>
    <w:rsid w:val="7A9660A3"/>
    <w:rsid w:val="7A9861CB"/>
    <w:rsid w:val="7A986784"/>
    <w:rsid w:val="7ABB3E82"/>
    <w:rsid w:val="7AC3568E"/>
    <w:rsid w:val="7AD71052"/>
    <w:rsid w:val="7AD9797E"/>
    <w:rsid w:val="7ADE3DB2"/>
    <w:rsid w:val="7AEE60EE"/>
    <w:rsid w:val="7B0E060E"/>
    <w:rsid w:val="7B0F5219"/>
    <w:rsid w:val="7B177A77"/>
    <w:rsid w:val="7B193032"/>
    <w:rsid w:val="7B26484C"/>
    <w:rsid w:val="7B2B13FD"/>
    <w:rsid w:val="7B3339FA"/>
    <w:rsid w:val="7B346599"/>
    <w:rsid w:val="7B44094D"/>
    <w:rsid w:val="7B460BFD"/>
    <w:rsid w:val="7B4910BE"/>
    <w:rsid w:val="7B5E4EEC"/>
    <w:rsid w:val="7B674BD7"/>
    <w:rsid w:val="7B722498"/>
    <w:rsid w:val="7B782690"/>
    <w:rsid w:val="7B7974D2"/>
    <w:rsid w:val="7B7F3966"/>
    <w:rsid w:val="7B80148D"/>
    <w:rsid w:val="7B821ADA"/>
    <w:rsid w:val="7B8F5DA2"/>
    <w:rsid w:val="7B926883"/>
    <w:rsid w:val="7BA4369C"/>
    <w:rsid w:val="7BA71440"/>
    <w:rsid w:val="7BAE696E"/>
    <w:rsid w:val="7BAF3C86"/>
    <w:rsid w:val="7BC23E12"/>
    <w:rsid w:val="7BC92A6F"/>
    <w:rsid w:val="7BD36780"/>
    <w:rsid w:val="7BD4048E"/>
    <w:rsid w:val="7BD968AC"/>
    <w:rsid w:val="7BDE524C"/>
    <w:rsid w:val="7BEA5E74"/>
    <w:rsid w:val="7BF9001B"/>
    <w:rsid w:val="7BFE0389"/>
    <w:rsid w:val="7BFE08FA"/>
    <w:rsid w:val="7C126AEB"/>
    <w:rsid w:val="7C1F2070"/>
    <w:rsid w:val="7C260105"/>
    <w:rsid w:val="7C2900A2"/>
    <w:rsid w:val="7C295D17"/>
    <w:rsid w:val="7C2A10CD"/>
    <w:rsid w:val="7C2D2AE7"/>
    <w:rsid w:val="7C4B681D"/>
    <w:rsid w:val="7C4C575E"/>
    <w:rsid w:val="7C640974"/>
    <w:rsid w:val="7C690B20"/>
    <w:rsid w:val="7C780AD5"/>
    <w:rsid w:val="7C7A14F2"/>
    <w:rsid w:val="7C7E2FFC"/>
    <w:rsid w:val="7C867154"/>
    <w:rsid w:val="7C9427B3"/>
    <w:rsid w:val="7C9E5A77"/>
    <w:rsid w:val="7CB74F4A"/>
    <w:rsid w:val="7CB80138"/>
    <w:rsid w:val="7CB838AF"/>
    <w:rsid w:val="7CBE6F50"/>
    <w:rsid w:val="7CC639C6"/>
    <w:rsid w:val="7CCC3CFE"/>
    <w:rsid w:val="7CCD12D3"/>
    <w:rsid w:val="7CD505D1"/>
    <w:rsid w:val="7CD6692A"/>
    <w:rsid w:val="7CE215AC"/>
    <w:rsid w:val="7CE25B4A"/>
    <w:rsid w:val="7CE3422B"/>
    <w:rsid w:val="7CE5443B"/>
    <w:rsid w:val="7CE76B7F"/>
    <w:rsid w:val="7CED09D9"/>
    <w:rsid w:val="7CF87323"/>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241A1"/>
    <w:rsid w:val="7D452B7F"/>
    <w:rsid w:val="7D526E71"/>
    <w:rsid w:val="7D532432"/>
    <w:rsid w:val="7D5A5BFC"/>
    <w:rsid w:val="7D6518EB"/>
    <w:rsid w:val="7D6B77B5"/>
    <w:rsid w:val="7D7371E1"/>
    <w:rsid w:val="7D74008A"/>
    <w:rsid w:val="7D7862CF"/>
    <w:rsid w:val="7D7A4E9D"/>
    <w:rsid w:val="7D7F0E79"/>
    <w:rsid w:val="7D851CFF"/>
    <w:rsid w:val="7DA65B7D"/>
    <w:rsid w:val="7DA86112"/>
    <w:rsid w:val="7DAE3829"/>
    <w:rsid w:val="7DB00509"/>
    <w:rsid w:val="7DB9268E"/>
    <w:rsid w:val="7DBF3388"/>
    <w:rsid w:val="7DC8040C"/>
    <w:rsid w:val="7DC85A3E"/>
    <w:rsid w:val="7DD03D33"/>
    <w:rsid w:val="7DD410E6"/>
    <w:rsid w:val="7DD603AD"/>
    <w:rsid w:val="7DD82F1A"/>
    <w:rsid w:val="7DDA1110"/>
    <w:rsid w:val="7DE020DC"/>
    <w:rsid w:val="7DE449CE"/>
    <w:rsid w:val="7DEC05A8"/>
    <w:rsid w:val="7DED1348"/>
    <w:rsid w:val="7DEE71DF"/>
    <w:rsid w:val="7DF66186"/>
    <w:rsid w:val="7E0A5EA4"/>
    <w:rsid w:val="7E0A72D5"/>
    <w:rsid w:val="7E0B3C08"/>
    <w:rsid w:val="7E1C2B95"/>
    <w:rsid w:val="7E1E3CF4"/>
    <w:rsid w:val="7E212526"/>
    <w:rsid w:val="7E262B03"/>
    <w:rsid w:val="7E2E765A"/>
    <w:rsid w:val="7E324C10"/>
    <w:rsid w:val="7E3B7336"/>
    <w:rsid w:val="7E3D35D7"/>
    <w:rsid w:val="7E466A84"/>
    <w:rsid w:val="7E472FFE"/>
    <w:rsid w:val="7E4A6379"/>
    <w:rsid w:val="7E5248E3"/>
    <w:rsid w:val="7E6854DB"/>
    <w:rsid w:val="7E6C43B3"/>
    <w:rsid w:val="7E77762F"/>
    <w:rsid w:val="7E793E63"/>
    <w:rsid w:val="7E7B1715"/>
    <w:rsid w:val="7E8031F2"/>
    <w:rsid w:val="7E860496"/>
    <w:rsid w:val="7E9611E7"/>
    <w:rsid w:val="7E9963F8"/>
    <w:rsid w:val="7E9D0633"/>
    <w:rsid w:val="7EA82B9C"/>
    <w:rsid w:val="7EB16AB6"/>
    <w:rsid w:val="7EBD651F"/>
    <w:rsid w:val="7EC07C28"/>
    <w:rsid w:val="7ECB3BBC"/>
    <w:rsid w:val="7ED83896"/>
    <w:rsid w:val="7EDC2729"/>
    <w:rsid w:val="7EE15DD1"/>
    <w:rsid w:val="7EEB46E8"/>
    <w:rsid w:val="7EF04016"/>
    <w:rsid w:val="7EFB200E"/>
    <w:rsid w:val="7EFF41BF"/>
    <w:rsid w:val="7F0126E4"/>
    <w:rsid w:val="7F013802"/>
    <w:rsid w:val="7F051449"/>
    <w:rsid w:val="7F1A1324"/>
    <w:rsid w:val="7F1A4AEF"/>
    <w:rsid w:val="7F224AD6"/>
    <w:rsid w:val="7F271E5F"/>
    <w:rsid w:val="7F29623C"/>
    <w:rsid w:val="7F2D4C74"/>
    <w:rsid w:val="7F341EAD"/>
    <w:rsid w:val="7F350A03"/>
    <w:rsid w:val="7F375587"/>
    <w:rsid w:val="7F3B2B2F"/>
    <w:rsid w:val="7F406D66"/>
    <w:rsid w:val="7F421AF0"/>
    <w:rsid w:val="7F516AFB"/>
    <w:rsid w:val="7F585C16"/>
    <w:rsid w:val="7F5B38C5"/>
    <w:rsid w:val="7F6566E6"/>
    <w:rsid w:val="7F6A7C64"/>
    <w:rsid w:val="7F6B0BA4"/>
    <w:rsid w:val="7F6E0CE1"/>
    <w:rsid w:val="7F6F6E86"/>
    <w:rsid w:val="7F8A3738"/>
    <w:rsid w:val="7F8B3191"/>
    <w:rsid w:val="7F8E4655"/>
    <w:rsid w:val="7F8E6809"/>
    <w:rsid w:val="7F987985"/>
    <w:rsid w:val="7F9E0C2E"/>
    <w:rsid w:val="7FAF35C9"/>
    <w:rsid w:val="7FB620B9"/>
    <w:rsid w:val="7FBE4780"/>
    <w:rsid w:val="7FC07CDA"/>
    <w:rsid w:val="7FD30895"/>
    <w:rsid w:val="7FE932BA"/>
    <w:rsid w:val="7FEC34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qFormat/>
    <w:uiPriority w:val="0"/>
    <w:rPr>
      <w:color w:val="0000FF"/>
      <w:u w:val="single"/>
    </w:rPr>
  </w:style>
  <w:style w:type="table" w:styleId="9">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37</TotalTime>
  <ScaleCrop>false</ScaleCrop>
  <LinksUpToDate>false</LinksUpToDate>
  <CharactersWithSpaces>0</CharactersWithSpaces>
  <Application>WPS Office_10.8.2.7058_F1E327BC-269C-435d-A152-05C5408002CA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admin</cp:lastModifiedBy>
  <cp:lastPrinted>2024-05-10T08:38:19Z</cp:lastPrinted>
  <dcterms:modified xsi:type="dcterms:W3CDTF">2024-05-10T09:01:08Z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2052-10.8.2.7058</vt:lpwstr>
  </property>
  <property fmtid="{D5CDD505-2E9C-101B-9397-08002B2CF9AE}" pid="3" name="ICV">
    <vt:lpwstr>2AFE29251F2D47119EA111B2B617C6AF_13</vt:lpwstr>
  </property>
</Properties>
</file>