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9C5F">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14:paraId="0BBB31A0">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6</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24-25</w:t>
      </w:r>
      <w:r>
        <w:rPr>
          <w:rFonts w:hint="default" w:ascii="Times New Roman" w:hAnsi="Times New Roman" w:eastAsia="经典行楷简" w:cs="Times New Roman"/>
          <w:b w:val="0"/>
          <w:bCs/>
          <w:color w:val="2E75B6" w:themeColor="accent1" w:themeShade="BF"/>
          <w:kern w:val="36"/>
          <w:sz w:val="44"/>
          <w:szCs w:val="44"/>
        </w:rPr>
        <w:t>期</w:t>
      </w:r>
    </w:p>
    <w:p w14:paraId="33D75D5A">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360-361</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14:paraId="5DAE9BA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eastAsia" w:ascii="方正公文黑体" w:hAnsi="方正公文黑体" w:eastAsia="方正公文黑体" w:cs="方正公文黑体"/>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8</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20日</w:t>
      </w:r>
    </w:p>
    <w:p w14:paraId="1EE33D88">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24"/>
          <w:szCs w:val="2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14:paraId="2109D1C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全球经贸分析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14:paraId="5C96361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eastAsia"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全球管道建设热潮下的江苏机遇：上游材料制造的产业集群优势 /</w:t>
      </w:r>
      <w:r>
        <w:rPr>
          <w:rFonts w:hint="eastAsia" w:ascii="Times New Roman" w:hAnsi="Times New Roman" w:eastAsia="方正楷体_GBK" w:cs="Times New Roman"/>
          <w:b/>
          <w:bCs w:val="0"/>
          <w:color w:val="auto"/>
          <w:spacing w:val="-20"/>
          <w:kern w:val="36"/>
          <w:sz w:val="30"/>
          <w:szCs w:val="30"/>
          <w:lang w:val="en-US" w:eastAsia="zh-CN"/>
        </w:rPr>
        <w:t xml:space="preserve"> 02</w:t>
      </w:r>
    </w:p>
    <w:p w14:paraId="00D6EB9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eastAsia"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现金牛遭遇资本黑洞：从伯克希尔二季报，看AI投资竞赛中的盈利</w:t>
      </w:r>
    </w:p>
    <w:p w14:paraId="1D4E7DE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eastAsia"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难题和定价难题  /25</w:t>
      </w:r>
    </w:p>
    <w:p w14:paraId="3F6412B9">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美国，同一个押注的两个筹码  /43</w:t>
      </w:r>
    </w:p>
    <w:p w14:paraId="121BC05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12"/>
      <w:r>
        <w:rPr>
          <w:rFonts w:hint="eastAsia" w:ascii="Times New Roman" w:hAnsi="Times New Roman" w:eastAsia="方正楷体_GBK" w:cs="Times New Roman"/>
          <w:b/>
          <w:color w:val="auto"/>
          <w:spacing w:val="-11"/>
          <w:kern w:val="36"/>
          <w:sz w:val="30"/>
          <w:szCs w:val="30"/>
          <w:lang w:val="en-US" w:eastAsia="zh-CN"/>
        </w:rPr>
        <w:t xml:space="preserve"> </w:t>
      </w:r>
      <w:bookmarkEnd w:id="0"/>
    </w:p>
    <w:p w14:paraId="6B9B46C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会员企业风采</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 </w:t>
      </w:r>
      <w:r>
        <w:rPr>
          <w:rFonts w:hint="default" w:ascii="Times New Roman" w:hAnsi="Times New Roman" w:eastAsia="宋体" w:cs="Times New Roman"/>
          <w:b/>
          <w:color w:val="FF0000"/>
          <w:kern w:val="36"/>
          <w:sz w:val="32"/>
          <w:szCs w:val="32"/>
          <w:lang w:val="en-US" w:eastAsia="zh-CN"/>
        </w:rPr>
        <w:t>‧‧‧‧‧‧‧‧‧‧‧‧‧‧‧‧‧‧‧‧‧‧‧‧‧‧‧‧‧‧‧‧‧‧‧‧‧‧‧‧‧‧‧‧‧‧‧‧‧‧‧‧‧‧‧‧‧‧‧‧‧‧‧</w:t>
      </w:r>
    </w:p>
    <w:p w14:paraId="77C1FFD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8"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20"/>
          <w:kern w:val="36"/>
          <w:sz w:val="30"/>
          <w:szCs w:val="30"/>
          <w:lang w:val="en-US" w:eastAsia="zh-CN"/>
        </w:rPr>
        <w:t>华脉科技获评2026年江苏省先进级智能工厂</w:t>
      </w:r>
      <w:r>
        <w:rPr>
          <w:rFonts w:hint="eastAsia" w:ascii="Times New Roman" w:hAnsi="Times New Roman"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55</w:t>
      </w:r>
    </w:p>
    <w:p w14:paraId="0D49E606">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乐美包装荣获2026年度江苏省先进级智能工厂</w:t>
      </w:r>
      <w:r>
        <w:rPr>
          <w:rFonts w:hint="eastAsia" w:ascii="Times New Roman" w:hAnsi="Times New Roman" w:eastAsia="方正楷体_GBK" w:cs="Times New Roman"/>
          <w:b w:val="0"/>
          <w:bCs/>
          <w:kern w:val="0"/>
          <w:sz w:val="32"/>
          <w:szCs w:val="32"/>
          <w:lang w:val="en-US" w:eastAsia="zh-CN" w:bidi="ar-SA"/>
        </w:rPr>
        <w:t xml:space="preserve"> </w:t>
      </w:r>
      <w:r>
        <w:rPr>
          <w:rFonts w:hint="eastAsia" w:ascii="Times New Roman" w:hAnsi="Times New Roman" w:eastAsia="方正楷体_GBK" w:cs="Times New Roman"/>
          <w:b/>
          <w:color w:val="auto"/>
          <w:spacing w:val="-11"/>
          <w:kern w:val="36"/>
          <w:sz w:val="30"/>
          <w:szCs w:val="30"/>
          <w:lang w:val="en-US" w:eastAsia="zh-CN"/>
        </w:rPr>
        <w:t>/56</w:t>
      </w:r>
    </w:p>
    <w:p w14:paraId="7B98DE9B">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优捷荣获苏州中欧班列舱位竞价首位</w:t>
      </w:r>
      <w:r>
        <w:rPr>
          <w:rFonts w:hint="eastAsia" w:ascii="Times New Roman" w:hAnsi="Times New Roman" w:eastAsia="方正楷体_GBK" w:cs="Times New Roman"/>
          <w:b w:val="0"/>
          <w:bCs/>
          <w:kern w:val="0"/>
          <w:sz w:val="32"/>
          <w:szCs w:val="32"/>
          <w:lang w:val="en-US" w:eastAsia="zh-CN" w:bidi="ar-SA"/>
        </w:rPr>
        <w:t xml:space="preserve"> </w:t>
      </w:r>
      <w:r>
        <w:rPr>
          <w:rFonts w:hint="eastAsia" w:ascii="Times New Roman" w:hAnsi="Times New Roman" w:eastAsia="方正楷体_GBK" w:cs="Times New Roman"/>
          <w:b/>
          <w:color w:val="auto"/>
          <w:spacing w:val="-11"/>
          <w:kern w:val="36"/>
          <w:sz w:val="30"/>
          <w:szCs w:val="30"/>
          <w:lang w:val="en-US" w:eastAsia="zh-CN"/>
        </w:rPr>
        <w:t>/57</w:t>
      </w:r>
    </w:p>
    <w:p w14:paraId="05B3173F">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 xml:space="preserve">倍加洁获中国牙病防治基金会致谢  </w:t>
      </w:r>
      <w:r>
        <w:rPr>
          <w:rFonts w:hint="eastAsia" w:ascii="Times New Roman" w:hAnsi="Times New Roman" w:eastAsia="方正楷体_GBK" w:cs="Times New Roman"/>
          <w:b/>
          <w:color w:val="auto"/>
          <w:spacing w:val="-11"/>
          <w:kern w:val="36"/>
          <w:sz w:val="30"/>
          <w:szCs w:val="30"/>
          <w:lang w:val="en-US" w:eastAsia="zh-CN"/>
        </w:rPr>
        <w:t>/58</w:t>
      </w:r>
    </w:p>
    <w:p w14:paraId="5ED6037D">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085A8133">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3A6BEFA8">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14:paraId="40C5EB7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pPr>
    </w:p>
    <w:p w14:paraId="06ABA2B3">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全球管道建设热潮下的江苏机遇：</w:t>
      </w:r>
    </w:p>
    <w:p w14:paraId="2D5A6812">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Times New Roman" w:hAnsi="Times New Roman" w:eastAsia="方正仿宋_GBK" w:cs="Times New Roman"/>
          <w:b w:val="0"/>
          <w:bCs w:val="0"/>
          <w:spacing w:val="0"/>
          <w:sz w:val="32"/>
          <w:szCs w:val="32"/>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上游材料制造的产业集群优势</w:t>
      </w:r>
    </w:p>
    <w:p w14:paraId="7102DBC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68633277">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：本文以</w:t>
      </w:r>
      <w:r>
        <w:rPr>
          <w:rFonts w:hint="default" w:ascii="Times New Roman" w:hAnsi="Times New Roman" w:eastAsia="方正楷体_GBK" w:cs="Times New Roman"/>
          <w:b w:val="0"/>
          <w:bCs w:val="0"/>
          <w:sz w:val="28"/>
          <w:szCs w:val="28"/>
          <w:lang w:val="en-US" w:eastAsia="zh-CN"/>
        </w:rPr>
        <w:t>2026</w:t>
      </w:r>
      <w:r>
        <w:rPr>
          <w:rFonts w:hint="eastAsia" w:ascii="方正楷体_GBK" w:hAnsi="方正楷体_GBK" w:eastAsia="方正楷体_GBK" w:cs="方正楷体_GBK"/>
          <w:b w:val="0"/>
          <w:bCs w:val="0"/>
          <w:sz w:val="28"/>
          <w:szCs w:val="28"/>
          <w:lang w:val="en-US" w:eastAsia="zh-CN"/>
        </w:rPr>
        <w:t>年中东地缘冲突加剧霍尔木兹海峡与红海航线运输风险为背景，围绕全球石油管道建设热潮的形成动因、经济金融逻辑与区域产业机遇展开系统研究，属于能源基础设施经济、全球供应链治理与区域产业发展交叉研究领域。文章梳理了“海运咽喉危机催生陆上管道替代”的历史规律，对比三类运输方式的成本结构，阐释了管道作为风险对冲资产的“保险经济学”逻辑；剖析了私募资本通过售后回租、长期租赁模式入局管道资产的金融化趋势，指出工程审批、环保阻力与跨境地缘脆弱性是核心风险。文章最后聚焦江苏在特种管材、深海管道装备领域的产业集群与港口物流优势，评估了相关制造业的出海机遇与现实制约。</w:t>
      </w:r>
    </w:p>
    <w:p w14:paraId="7E51ABC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7D7925D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35AFF6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海湾产油国坐拥全球最富集的石油资源，但资源本身并不会自动变成收入——石油必须先运出去，才能变成现金流。而运出去的路径，长期以来高度依赖几条极其狭窄的海上通道，其中最关键的一条，就是霍尔木兹海峡。</w:t>
      </w:r>
    </w:p>
    <w:p w14:paraId="5427546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霍尔木兹海峡最窄处只有约33公里，</w:t>
      </w:r>
      <w:r>
        <w:rPr>
          <w:rFonts w:hint="eastAsia" w:ascii="方正仿宋_GBK" w:hAnsi="方正仿宋_GBK" w:eastAsia="方正仿宋_GBK" w:cs="方正仿宋_GBK"/>
          <w:b w:val="0"/>
          <w:bCs w:val="0"/>
          <w:sz w:val="32"/>
          <w:szCs w:val="32"/>
        </w:rPr>
        <w:t>却承载着全球近五分之一的石油贸易量，是名副其实的“世界能源咽喉”。</w:t>
      </w:r>
      <w:r>
        <w:rPr>
          <w:rFonts w:hint="default" w:ascii="Times New Roman" w:hAnsi="Times New Roman" w:eastAsia="方正仿宋_GBK" w:cs="Times New Roman"/>
          <w:b w:val="0"/>
          <w:bCs w:val="0"/>
          <w:sz w:val="32"/>
          <w:szCs w:val="32"/>
        </w:rPr>
        <w:t>只要这条海峡出问题——无论是战争、军事对峙，还是武装组织的骚扰——沙特、伊朗、伊拉克、科威特、阿联酋这些产油国的出口命脉就会被同时掐住。</w:t>
      </w:r>
    </w:p>
    <w:p w14:paraId="330C39C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另一条对中东石油出口至关重要的通道，是苏伊士运河及其延伸的红海航线。苏伊士运河连接红海与地中海，是海湾石油运往欧洲市场最短的海路；如果该航线受阻，油轮就必须绕道非洲最南端的好望角，航程和成本都会大幅增加。</w:t>
      </w:r>
    </w:p>
    <w:p w14:paraId="05890DD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一、管道建设的历史规律</w:t>
      </w:r>
    </w:p>
    <w:p w14:paraId="601ECB0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历史反复证明，只要这些海上咽喉出现风</w:t>
      </w:r>
      <w:r>
        <w:rPr>
          <w:rFonts w:hint="eastAsia" w:ascii="方正仿宋_GBK" w:hAnsi="方正仿宋_GBK" w:eastAsia="方正仿宋_GBK" w:cs="方正仿宋_GBK"/>
          <w:b w:val="0"/>
          <w:bCs w:val="0"/>
          <w:sz w:val="32"/>
          <w:szCs w:val="32"/>
        </w:rPr>
        <w:t>险，产油国和相关大国的第一反应几乎总是同一个：修建陆上管道，把石油“陆运化”，绕开海运的瓶颈。这不是巧合，而是一条</w:t>
      </w:r>
      <w:r>
        <w:rPr>
          <w:rFonts w:hint="default" w:ascii="Times New Roman" w:hAnsi="Times New Roman" w:eastAsia="方正仿宋_GBK" w:cs="Times New Roman"/>
          <w:b w:val="0"/>
          <w:bCs w:val="0"/>
          <w:sz w:val="32"/>
          <w:szCs w:val="32"/>
        </w:rPr>
        <w:t>清晰的历史规律——每一次海运通道的危机，都会催生一轮管道建设潮。</w:t>
      </w:r>
    </w:p>
    <w:p w14:paraId="0A3D018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第一次大规模验证这条规律的，是1967年的第三次中东战争</w:t>
      </w:r>
      <w:r>
        <w:rPr>
          <w:rFonts w:hint="eastAsia" w:ascii="方正仿宋_GBK" w:hAnsi="方正仿宋_GBK" w:eastAsia="方正仿宋_GBK" w:cs="方正仿宋_GBK"/>
          <w:b w:val="0"/>
          <w:bCs w:val="0"/>
          <w:sz w:val="32"/>
          <w:szCs w:val="32"/>
        </w:rPr>
        <w:t>（“六日战争”）。这</w:t>
      </w:r>
      <w:r>
        <w:rPr>
          <w:rFonts w:hint="default" w:ascii="Times New Roman" w:hAnsi="Times New Roman" w:eastAsia="方正仿宋_GBK" w:cs="Times New Roman"/>
          <w:b w:val="0"/>
          <w:bCs w:val="0"/>
          <w:sz w:val="32"/>
          <w:szCs w:val="32"/>
        </w:rPr>
        <w:t>场战争是以色列与埃及、约旦、叙利亚等阿拉伯国家之间爆发的短暂但影响深远的冲突，战争的直接后果之一，就是苏伊士运河被迫关闭——运河横跨埃及国境，战事爆发后运河沿岸变成了实际的军事前线，航运公司不敢冒险通行，运河从此陷入停运。这次停运持续了整整8年，直到1975年才在埃及与以色列的和平谈判框架下重新开放。对于依赖运河出口石油的埃及和海湾国家来说，8年的不确定性是一个无法承受的风险——他们必须找到一条不依赖运河的出口路径</w:t>
      </w:r>
      <w:r>
        <w:rPr>
          <w:rFonts w:hint="eastAsia" w:ascii="Times New Roman" w:hAnsi="Times New Roman" w:eastAsia="方正仿宋_GBK" w:cs="Times New Roman"/>
          <w:b w:val="0"/>
          <w:bCs w:val="0"/>
          <w:sz w:val="32"/>
          <w:szCs w:val="32"/>
        </w:rPr>
        <w:t>。</w:t>
      </w:r>
    </w:p>
    <w:p w14:paraId="07C555BA">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444875" cy="2298700"/>
            <wp:effectExtent l="0" t="0" r="317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3444875" cy="2298700"/>
                    </a:xfrm>
                    <a:prstGeom prst="rect">
                      <a:avLst/>
                    </a:prstGeom>
                    <a:noFill/>
                    <a:ln>
                      <a:noFill/>
                    </a:ln>
                  </pic:spPr>
                </pic:pic>
              </a:graphicData>
            </a:graphic>
          </wp:inline>
        </w:drawing>
      </w:r>
    </w:p>
    <w:p w14:paraId="7947E47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真正把这种焦虑变成实际工程的，是1973年的第四次中东战争（“赎罪日战争”）。这场战争由埃及和叙利亚联合发起，意图夺回被以色列占领的领土，战争本身没有直接影响运河（运河当时仍处于关闭状态），但战争引发了一个更深远的后果：阿拉伯产油国联合对支持以色列的西方国家实施石油禁运，史称“第一次石油危机”。</w:t>
      </w:r>
    </w:p>
    <w:p w14:paraId="0D61A9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国际油价在短时间内飙升数倍，西方经济遭受重创，而这场危机也让埃及和海湾国家更清楚地意识到——运输通道的单点故障，足以让整个石油出口体系陷入瘫痪。</w:t>
      </w:r>
    </w:p>
    <w:p w14:paraId="4C590A0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正是在这样的背景下，连通红海与地中海的管道项目于1974年正式动工，绕开苏伊士运河这个“卡脖子”环节，让石油可以直接从红海一端经陆路输送到地中海一端再装船出口。这条管道后来被称为“苏伊士-地中海管道”（SUMED pipeline)，至今仍是海湾石油绕行运河的关键备用通道。</w:t>
      </w:r>
    </w:p>
    <w:p w14:paraId="64212936">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015615" cy="1977390"/>
            <wp:effectExtent l="0" t="0" r="13335"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3015615" cy="1977390"/>
                    </a:xfrm>
                    <a:prstGeom prst="rect">
                      <a:avLst/>
                    </a:prstGeom>
                    <a:noFill/>
                    <a:ln>
                      <a:noFill/>
                    </a:ln>
                  </pic:spPr>
                </pic:pic>
              </a:graphicData>
            </a:graphic>
          </wp:inline>
        </w:drawing>
      </w:r>
    </w:p>
    <w:p w14:paraId="734FE57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几年之后，同样的逻辑在中东的另一端再次上演。1980年，伊拉克与伊朗爆发了长达8年的“两伊战争”，双方在波斯湾水域反复袭击对方及第三方的油轮，史称“油轮战”，波斯湾的航运安全一度降到历史最低点。</w:t>
      </w:r>
    </w:p>
    <w:p w14:paraId="13728CF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沙特阿拉伯虽非交战方，但同样依赖波斯湾出口石油，战争带来的不确定性让沙特意识到，如果继续把全部出口押注在波斯湾这一条海路上，一旦战火波及自身，后果不堪设想。于是，一条横穿沙特阿拉伯全境，长达1200多公里，从东部波斯湾油田直通西部红海海岸的输油管道，在两伊战争的压力下加速建设，并于1981年正式竣工。</w:t>
      </w:r>
    </w:p>
    <w:p w14:paraId="00495A1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这条管道后来被称为“东西向管道”（Saudi East-West pipeline)，它让沙特石油第一次拥有了完全不经过波斯湾、也不经过霍尔木兹海峡的出口选项，这也正是在当下危机中被沙特阿拉伯国家石油公司（简称沙特阿美）反复调用的那条关键管道（见图）。</w:t>
      </w:r>
    </w:p>
    <w:p w14:paraId="6795EDF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由此可见，管道从来不是未雨绸缪的产物，而是“吃过亏之后”的补救性投资——产油国和相关利益方在承受了一次真实的痛之后，才会下决心投入数十亿美元、耗时数年去修建一条昂贵的陆上替代通道。某种意义上，它更像是一份迟交的保险费。</w:t>
      </w:r>
    </w:p>
    <w:p w14:paraId="13A9534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如今，历史似乎又站在了同一个路口。</w:t>
      </w:r>
    </w:p>
    <w:p w14:paraId="4DF02BA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美国、以色列与伊朗之间爆发的战争，直接把霍尔木兹海峡卷入了战火，这条承载全球近五分之一石油贸易量的海峡，一度陷入近乎瘫痪的状态。沙特阿美的原油出口，绝</w:t>
      </w:r>
      <w:r>
        <w:rPr>
          <w:rFonts w:hint="eastAsia" w:ascii="方正仿宋_GBK" w:hAnsi="方正仿宋_GBK" w:eastAsia="方正仿宋_GBK" w:cs="方正仿宋_GBK"/>
          <w:b w:val="0"/>
          <w:bCs w:val="0"/>
          <w:sz w:val="32"/>
          <w:szCs w:val="32"/>
        </w:rPr>
        <w:t>大部分得通过“东西向管道”实</w:t>
      </w:r>
      <w:r>
        <w:rPr>
          <w:rFonts w:hint="eastAsia" w:ascii="Times New Roman" w:hAnsi="Times New Roman" w:eastAsia="方正仿宋_GBK" w:cs="Times New Roman"/>
          <w:b w:val="0"/>
          <w:bCs w:val="0"/>
          <w:sz w:val="32"/>
          <w:szCs w:val="32"/>
        </w:rPr>
        <w:t>施——将原本经波斯湾装船出口的原油，转而通过东西向管道输送至红海沿岸的延布港装船。在波斯湾沿岸出口设施近乎停摆的情况下，该管道为沙特保留了一条可用的出口通道，从而避免了产量损失的进一步恶化。</w:t>
      </w:r>
    </w:p>
    <w:p w14:paraId="2B62935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8月4日，沙特阿美公布了2026年第二季度财报。数据显示，受霍尔木兹海峡运输中断影响，沙特阿美第二季度油气总产量同比下降了约四分之一；但与此同时，由于原油价格大幅上涨——第二季度原油实现均价攀升至每桶108.1美元，较去年同期上涨超过60%——公司调整后净利润反而同比增长约33%，达到334亿美元，远超市场预期。换言之，这份财报呈现的是一个典型的“以价补量”结果：产量端遭受重创，但价格端的涨幅足以覆盖甚至超过产量损失带来的收入缺口。</w:t>
      </w:r>
    </w:p>
    <w:p w14:paraId="3EB4B74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沙特的原油供应出现了一个新的堵点：红海这条原本的“备用出口”，本身也不再安全。7月下旬，胡塞武装袭击了沙特阿美位于吉赞和延布的设施——这一袭击被普遍解读为对沙特此前空袭也门境内目标的报复。这意味着，沙特阿美原本用来规避霍尔木兹海峡风险的红海路线，如今也暴露在军事威胁之下。</w:t>
      </w:r>
    </w:p>
    <w:p w14:paraId="10426F6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市场由此开始担忧一种更棘手的情形——“双重封锁”：波斯湾航线（霍尔木兹海峡）与红海航线（曼德海峡）同时陷入不稳定，届时“东西向管道接苏伊士-地中海管道”将成为沙特阿美唯一可以依赖的出口路径，其承载压力将远超设计初期的预期。</w:t>
      </w:r>
    </w:p>
    <w:p w14:paraId="556AE308">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957320" cy="2998470"/>
            <wp:effectExtent l="0" t="0" r="508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3957320" cy="2998470"/>
                    </a:xfrm>
                    <a:prstGeom prst="rect">
                      <a:avLst/>
                    </a:prstGeom>
                    <a:noFill/>
                    <a:ln>
                      <a:noFill/>
                    </a:ln>
                  </pic:spPr>
                </pic:pic>
              </a:graphicData>
            </a:graphic>
          </wp:inline>
        </w:drawing>
      </w:r>
    </w:p>
    <w:p w14:paraId="6A29C7F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这样的压力下，中东各国迅速做出了反应，而反应方式，依然是历史规律所预示的那一条：加码管道建设。阿联酋宣布计划升级现有管线，力争将运输能力翻倍，以降低对波斯湾出口路线的依赖；美国、伊拉克与卡塔尔三方则宣布，将联合升级一条连通伊拉克与叙利亚的管道，试图为伊拉克石油打开一条绕开波斯湾、经陆路通往地中海的新出路（这类项目的具体推进细节仍在演变中，后续需持续跟踪官方公告核实进度）。</w:t>
      </w:r>
    </w:p>
    <w:p w14:paraId="1D7B4B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这些动作背后的逻辑，和1974年动工的“苏伊士-地中海管道”、1981年竣工的“东西向管道”并无本质区别：一旦决策者亲身经历了一次真实的、代价高昂的运输中断，对陆上管道的投资意愿就会显著上升。</w:t>
      </w:r>
    </w:p>
    <w:p w14:paraId="074AE98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区别只在于，这一次的供应链危机强度更大、卷入的利益主体更多、暴露出的脆弱性也更彻底——不仅波斯湾不安全，连原本被视为“安全通道”的红海也不安全了。因此，在讨论管道建设的经济账时，这种“双重不安全”的现实，会让“管道即保险”显得格外真实和紧迫。</w:t>
      </w:r>
    </w:p>
    <w:p w14:paraId="617C30E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二、全球视角下的经济账</w:t>
      </w:r>
    </w:p>
    <w:p w14:paraId="1CDC855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如果只看中东，很容易得出一个片面的结论：管道建设热潮完全是地缘冲突催生的应急反应。但把视野拉到全球范围，会发现一个更深层的规律——管道建设潮同时也是一笔精打细算的经济账，只不过这笔账在和平时期算得从容一些、在危机时期算得急迫一些。</w:t>
      </w:r>
    </w:p>
    <w:p w14:paraId="33B769C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根据能源调研机构“全球能源监测”（Global Energy Monitor）的数据，全球目前在建的石油管道总长度处于万公里量级，规划阶段的管道里程更是数倍于此（不同年份的统计口径和发布时间点存在差异，具体数字以该机构最新公开报告为准）。这个体量意味管道建设不是中东的专利，而是一场全球性的基建竞赛。</w:t>
      </w:r>
    </w:p>
    <w:p w14:paraId="2463FAA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而驱动这场竞赛的动机，大致可以分成两类。</w:t>
      </w:r>
    </w:p>
    <w:p w14:paraId="69AA223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第一类，是前文讨论的“避险型”动机——绕开海运咽喉要道。这类管道的经济价值不体现在“运得更便宜”，而体现在“运得更确定”。</w:t>
      </w:r>
    </w:p>
    <w:p w14:paraId="0DB08CF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第二类，则是“开发型”动机——为新发现或新开发的油田打通出海口，这类项目和地缘风险关系不大，纯粹是资源变现的基础设施需求。</w:t>
      </w:r>
    </w:p>
    <w:p w14:paraId="22410B1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比如，阿根廷，凭借Vaca Muerta页岩油区块产量的快速攀升，当地正在筹建一条约440公里的管道，把西部内陆油田与大西洋沿岸港口连接起来，解决“有油但运不出去”的瓶颈。</w:t>
      </w:r>
    </w:p>
    <w:p w14:paraId="631FFB7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东非则规划了一条长达约1440公里的管道（东非原油管道项目，EACOP），目标是把乌干达内陆的石油资源输送至坦桑尼亚沿海港口出口——乌干达是一个内陆国家，没有这条管道，其新发现的石油储量基本无法进入国际市场。</w:t>
      </w:r>
    </w:p>
    <w:p w14:paraId="2C59A1C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上述两个案例说明，管道建设的逻辑其实比“躲避战争”宽得多，只要一个地方有石油、却缺一条经济的出海通道，管道就有存在的理由。</w:t>
      </w:r>
    </w:p>
    <w:p w14:paraId="4D05807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无论是哪一类动机，管道都不是一项轻松的投资，这是理解全球管道热潮的关键——修管道是一笔要精确计算投入产出比的重资产投资。以一条日输送能力100万桶原油的大口径管道为例，每公里的建造成本大约在500万美元左右，这意味着一条1000公里长的管道，单纯的硬件建造成本就接近50亿美元。</w:t>
      </w:r>
    </w:p>
    <w:p w14:paraId="247300A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还只是相对理想条件下的估算。如果管道需要穿越山地、沙漠或其他复杂地形，造价往往会成倍上涨。在实际施工过程中，项目还经常遭遇审批延误、征地纠纷、地缘政治波动等各种非工程性因素的拖累，导致工期和预算双双超支。</w:t>
      </w:r>
    </w:p>
    <w:p w14:paraId="55F9E02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简言之，管道是一种“前期投入巨大、建设周期漫长、且充满不确定性”的资产。因此，若无足够强烈的动机（无论是躲避风险还是开发新油田），大多数投资者和政府都不会轻易启动这类项目。那么，管道运输的相对优势是什么呢？</w:t>
      </w:r>
    </w:p>
    <w:p w14:paraId="54A4F93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石油从产地运往市场，大体有三种路径可选：海运、管道、陆路（卡车或铁路）。三者的成本结构差异很大。海运通常是三者中最便宜的选择，尤其是长距离运输，超大型油轮的规模效应让单位运输成本被摊得很薄——这也是为什么在和平年代，海运始终是全球石油贸易的主力方式。</w:t>
      </w:r>
    </w:p>
    <w:p w14:paraId="2874B14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管道的运输成本高于海运，但远低于陆路：以1000公里的运输距离为例，用卡车或铁路运输原油的开销大约是管道运输的5倍。叙利亚是一个值得注意的反例——该国目前不得不依靠卡车运输石油，原因并非叙利亚偏好陆路运输，而是其本土的管道设施因长期战乱和维护缺失已经老化损毁，不得不退回到成本最高的运输方式，这恰恰反过来印证了管道相对于陆路运输的成本优势。</w:t>
      </w:r>
    </w:p>
    <w:p w14:paraId="61EF849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海运最便宜”有一个重要的前提条件——航线必须是安全稳定的。即，海运的成本优势，建立在“通道畅通”的假设之上，一旦这个假设被打破（战争、封锁、袭击)，海运的成本优势会瞬间转化为一种极端的脆弱性——不是变贵，而是直接断绝。</w:t>
      </w:r>
    </w:p>
    <w:p w14:paraId="4DE18EB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运不出去的原油是毫无价值的，如果一条日均运力达100万桶的出口通道遭到中断，且中断持续一年，由此造成的损失可能高达300亿美元。这个数字看起来抽象，但换算成决策逻辑就非常清楚了：如果一条耗资50亿美元建造的1000公里管道，能够在未来某次危机中保住哪怕一部分这类日均百万桶级别的出口能力，那么这笔投资在概率加权的意义上就是划算的。投资数十亿美元修建一条管道，本质上相当于花钱买入一份“保险”——保费是确定的、可计算的建造成本，而赔付则是在危机发生时避免的那部分原本会发生、但因为有了备用通道而未发生的搁浅损失。</w:t>
      </w:r>
    </w:p>
    <w:p w14:paraId="2BFABF0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正是这套“保险经济学”的逻辑，让管道从一项单纯的工程决策，变成了一项可以用金融语言来理解的风险管理决策——而这种金融化的视角，也正是资本市场近年来对管道资产表现出浓厚兴趣的原因。</w:t>
      </w:r>
    </w:p>
    <w:p w14:paraId="1F95F5C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三、金融化视角下的资本逻辑</w:t>
      </w:r>
    </w:p>
    <w:p w14:paraId="69431E7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保险经济学”解释的是石油公司和产油国为什么愿意为管道买单，但过去几年真正让管道行业发生质变的，是另一群原本与石油业务毫不相关的参与者的大举进场——华尔街的私募资本。这时，我们需要换一个角度，不再把管道看作一项石油基础设施，而是把它看作一种金融资产，一种可以被打包、定价、交易的现金流。</w:t>
      </w:r>
    </w:p>
    <w:p w14:paraId="10AE887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套逻辑的起点，是管道行业一项特殊的商业模式——“照付不议”协议（take-or-pay）。在这种安排下，使用管道的客户必须承诺采购最低额度的石油运输服务，或者即便不使用，也要支付一笔固定费用。而这笔费用的定价，通常会参考过去近十年的油价走势设定，从而（在很大程度上）把短期油价波动的风险从管道运营方转移给了客户。</w:t>
      </w:r>
    </w:p>
    <w:p w14:paraId="31A4AAE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种安排的结果，是管道项目一旦建成投运，就能获得一条相当稳定、可预测的现金流——这条现金流的稳定性，与其说像一项石油资产，不如说更像一张债券的票息。对于习惯于用现金流折现模型给资产定价的私募基金来说，一项“如债券一样稳定”的资产，恰恰是他们最偏爱的投资标的。</w:t>
      </w:r>
    </w:p>
    <w:p w14:paraId="0B11F30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正是这种资产属性，催生了近年来海湾地区一系列引人注目的“售后回租”（sale-and-leaseback）交易。其运作方式是：石油企业将部分管道资产的权益出让给外部投资者，换取一笔大额预付款，同时自己继续保留项目的运营权。这种结构对石油企业极具吸引力——它相当于把一项沉淀在资产负债表里的重资产“变现”，腾出资金投入勘探开发或股东回报等其他用途，同时又不用交出对管道的实际控制权。</w:t>
      </w:r>
    </w:p>
    <w:p w14:paraId="2FCD80D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沙特阿美是这一模式的代表性角色。过去五年里，依靠类似的资产变现操作，该公司累计套现规模接近400亿美元，是这类交易在全球范围内最大的实践案例之一。而站在外部投资者的角度，这类交易同样划算：据行业测算，投资于这类管道资产，通常能获得每年6%到8%的稳定现金收益率——在全球利率中枢下移、传统的固定收益资产回报乏力的大环境下，这样的回报率对追求“类债券”配置的机构资金极具吸引力。</w:t>
      </w:r>
    </w:p>
    <w:p w14:paraId="5C4EB4C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而且，这类交易在结构上并不总是简单的“股权出售”。以7月达成的一笔交易为例，私募巨头KKR联合黑石（Blackstone）、布鲁克菲尔德（Brookfield）与科威特石油公司，就科威特国内的原油管道网络达成了一项总额约160亿美元的协议。据公开报道，这笔交易的性质是一项“租赁安排”（leasing agreement)，即投资者通过长期租赁获得管道资产的收益权，而非直接买断股权——这个区分看似技术性，实则关系重大：租赁结构通常意味着资产的法律所有权、以及相应的政治与主权风险，仍主要留在东道国一方，这是一种折中方案，让海湾产油国既能广泛吸引外部资本，又能守住关键基础设施控制权。</w:t>
      </w:r>
    </w:p>
    <w:p w14:paraId="335D866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类交易的密集出现，并不是孤立的个案，而是一场更大规模资本迁移的一部分。近年来，全球私募基础设施基金的管理规模经历了爆发式扩张——以KKR为例，其基础设施权益管理规模已经从2019年约130亿美元，增长到目前约1200亿美元的水平，增幅接近10倍（据KKR官方披露口径）。</w:t>
      </w:r>
    </w:p>
    <w:p w14:paraId="31F97AE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8月3日，KKR宣布完成史上最大规模的基础设施基金募资——“KKR全球基础设施投资者五期基金”（KKR Global Infrastructure Investors V)，最终规模达192亿美元，主要投向北美与西欧的关键基础设施资产，这也是该公司迄今募集规模最大的一期基础设施基金。</w:t>
      </w:r>
    </w:p>
    <w:p w14:paraId="5A07FE4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该期基金的落地，叠加此前提到的科威特管道交易，共同勾勒出同一幅图景：私募资本正在把基础设施——无论是数据中心、电网，还是石油管道——当作一个独立于传统股票、债券之外的资产类别，进行系统性配置。（另有市场估算称，过去10年间全球私募基础设施基金的管理资产规模增长了三倍以上，这一宏观趋势与KKR等个案的扩张节奏大体吻合，但具体倍数因统计口径不同而存在差异，以相关咨询机构最新发布的报告为准。）</w:t>
      </w:r>
    </w:p>
    <w:p w14:paraId="3B7150B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对于海湾产油国而言，这种资本潮流的意义是双重的。一方面，它为其巨额的管道投资计划——阿联酋的管线升级、伊拉克-叙利亚管道的扩建——提供了一条不完全依赖国家财政的融资渠道：政府或国有石油公司可以通过出让部分收益权或签订长期租赁协议，提前锁定资金，而不必独自承担全部建设成本和风险。另一方面，这也意味着中东的能源基础设施，正在被更深地纳入全球资本市场的定价体系和风险偏好之中——当黑石、KKR这样的机构投资者持有科威特管道的收益权时，地区地缘局势的任何波动，都会通过这些资本的风险评估和资产定价，传导到远在纽约、伦敦的基金决策桌上。</w:t>
      </w:r>
    </w:p>
    <w:p w14:paraId="6269095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四、平衡视角下的风险与局限</w:t>
      </w:r>
    </w:p>
    <w:p w14:paraId="1F2A6D1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换言之，收益与风险永远是一体两面，投资管道资产绝非“稳赚不赔”，高回报的另一面，是这类资产实实在在的风险敞口，只不过这些风险在顺风期容易被“照付不议协议”“售后回租”这些金融结构包装得不那么显眼。落到实际操作层面，管道项目要面对的挑战，大致可以归为两大类：一类是工程与审批层面的常规风险，另一类是管道这种跨境资产特有的地缘政治脆弱性。</w:t>
      </w:r>
    </w:p>
    <w:p w14:paraId="2A0ED9D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管道从规划到投产，天然是一个漫长的过程。据高盛对多条管道项目的研究，一条管道从立项到建成投产，平均需要耗费约两年半的时间——这还是相对顺利的情形。如果项目涉及跨越多个司法管辖区，或者需要协调多个国家、多个监管部门的审批程序，时间成本会进一步累积：每多一道审批环节，就多一个可能拖延项目进度的变量。而工期的拉长，本身就是一种风险——建设成本会随时间推移而上升，原本的经济性测算也可能因为周期延长而失效。</w:t>
      </w:r>
    </w:p>
    <w:p w14:paraId="442C490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比工期更棘手的，是环保层面的阻力。管道项目往往需要穿越大片土地，涉及生态敏感区域、原住民权益、水源保护等一系列环境议题，这使其成为环保组织重点狙击的对象。一个广为人知的案例，是连接美国和加拿大的Keystone XL管道项目——这条设计用来输送加拿大油砂原油至美国炼厂的管道，历经多年争议，最终因环境隐患等因素，在拜登政府任内被正式终止（拜登在2021年就职首日即撤销了该项目所需的跨境许可，项目随后被开发方TC能源公司宣布放弃）。</w:t>
      </w:r>
    </w:p>
    <w:p w14:paraId="54B1C6B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并非个案：据全球能源监测机构的追踪，过去数年间，全球范围内已有相当规模的管道项目因各类阻力被无限期搁置（具体里程数因统计口径和年份不同而有差异，以该机构最新报告为准）——这提醒我们，管道热潮的“计划规模”和“实际落地规模”之间，始终存在一道不小的折损率，投资者在为规划中的项目定价时，不能简单假设所有项目都会顺利建成。</w:t>
      </w:r>
    </w:p>
    <w:p w14:paraId="7F08B1B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二类风险，则是管道这种资产与生俱来的地缘政治脆弱性——这一点，恰恰是管道与其他基础设施资产（比如数据中心、电网）最本质的区别。数据中心的选址和运营，大体上只需要考虑一个司法管辖区的政治稳定性；但跨境管道天然要横跨两个甚至更多主权国家的领土，这意味着它的安全性，取决于沿线所有相关国家关系的总和——只要其中任何一段关系恶化，整条管道就可能变成博弈的筹码。</w:t>
      </w:r>
    </w:p>
    <w:p w14:paraId="614F3E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历史上这样的案例并不罕见。1990年第一次海湾战争爆发期间，一条穿越沙特境内、原本用于输送伊拉克石油的管道（伊拉克-沙特管道，IPSA）就被直接切断——伊拉克入侵科威特后，沙特随即关闭了这条管道，伊拉克石油的这一出口渠道就此中断。往前追溯到1982年，两伊战争期间，叙利亚出于对伊朗的支持，关闭了另一条过境叙利亚、原本用于输送伊拉克石油的管道——伊拉克因此同时失去了两条重要的陆上出口通道。</w:t>
      </w:r>
    </w:p>
    <w:p w14:paraId="12D31AB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两个案例说明同一个道理：管道的物理基础设施可以修得再坚固，但只要它跨越的是两个不同主权国家的领土，它的安全性就永远受制于这两国关系的政治温度——今天的盟友，可能就是明天关闭阀门的一方。只要国界存在，跨境管道这种结构性脆弱性就无法从根本上消除，这是任何工程技术都无法解决的问题。</w:t>
      </w:r>
    </w:p>
    <w:p w14:paraId="3C3F4DA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那么，国际资本究竟如何为这类风险定价呢？</w:t>
      </w:r>
    </w:p>
    <w:p w14:paraId="2A0FCCF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从行业实践来看，应对手段主要有三种，但每一种都只能部分覆盖风险，而非彻底消除。</w:t>
      </w:r>
    </w:p>
    <w:p w14:paraId="0370A6E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一，保险机制可以覆盖部分冲突相关的物理损失风险，但保险公司在真正的高强度地区冲突（比如当前中东这样级别的战争)中，往往会大幅提高保费甚至直接收窄承保范围，保险的可得性本身在危机高峰期反而会下降。</w:t>
      </w:r>
    </w:p>
    <w:p w14:paraId="1F6640E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二，东道国政府为了吸引外资、维持融资渠道畅通，往往愿意为项目提供某种形式的担保，但这类担保的可信度，最终仍取决于该国自身的财政实力和政治稳定性——担保方本身如果陷入危机，担保就会失去意义。</w:t>
      </w:r>
    </w:p>
    <w:p w14:paraId="264DE91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三，从资产的物理属性看，管道相对储油罐、港口这类节点设施确实有一个相对优势：管道线性分布、埋设方式多样，遭受局部袭击后，通常只需要修复受损的一段，而不会像储罐或港口那样在遭袭后陷入长期瘫痪——这也是为什么基础设施基金的从业者普遍认为，管道的“可修复性”优于其他类型的能源基础设施。但“相对更易修复”不等于“不会被袭击”，这只是把风险的性质从“资产彻底损毁”降低为“周期性中断”，而中断本身，依然会给运营方和依赖这条通道的下游企业带来实实在在的损失。</w:t>
      </w:r>
    </w:p>
    <w:p w14:paraId="7BDC78A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把这些因素放在一起看，管道资产的高回报率，与其说是一份“稳定的债券票息”，不如说是一份为承担上述三类不完全对冲的风险而支付的风险溢价——工期与审批的不确定性、环保和社会阻力，以及跨境资产与生俱来的地缘脆弱性。私募资本愿意用6%到8%的回报去承接这份风险，本身就说明市场默认这类资产的风险水平明显高于传统的基础设施投资，比如成熟市场的电网或收费公路。而这一现实，恰恰是理解当前这场“管道投资热”时，不应被忽视的另一面。</w:t>
      </w:r>
    </w:p>
    <w:p w14:paraId="64313C3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五、全球管道建设热潮下的江苏产业机遇</w:t>
      </w:r>
    </w:p>
    <w:p w14:paraId="092D10C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在建和规划中的石油管道里程达数万公里量级，大口径管线钢管、高压阀门、深海柔性管等上游材料需求刚性释放。江苏在这一环节拥有全国乃至全球范围内都难以替代的产业集群优势——这不是潜在的可能性，而是已经在发生的订单和产能输出。</w:t>
      </w:r>
    </w:p>
    <w:p w14:paraId="4814813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（一）中国管道建设成就背后的江苏材料支撑</w:t>
      </w:r>
    </w:p>
    <w:p w14:paraId="7D7CF7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中国过去二十多年建成的长距离油气管道网络——中俄原油管道、中哈原油管道、中国-中亚天然气管道、中缅油气管道，以及国内的</w:t>
      </w:r>
      <w:r>
        <w:rPr>
          <w:rFonts w:hint="eastAsia" w:ascii="Times New Roman" w:hAnsi="Times New Roman" w:eastAsia="方正仿宋_GBK" w:cs="Times New Roman"/>
          <w:b w:val="0"/>
          <w:bCs w:val="0"/>
          <w:sz w:val="32"/>
          <w:szCs w:val="32"/>
          <w:lang w:eastAsia="zh-CN"/>
        </w:rPr>
        <w:t>“</w:t>
      </w:r>
      <w:r>
        <w:rPr>
          <w:rFonts w:hint="eastAsia" w:ascii="Times New Roman" w:hAnsi="Times New Roman" w:eastAsia="方正仿宋_GBK" w:cs="Times New Roman"/>
          <w:b w:val="0"/>
          <w:bCs w:val="0"/>
          <w:sz w:val="32"/>
          <w:szCs w:val="32"/>
        </w:rPr>
        <w:t>西气东输</w:t>
      </w:r>
      <w:r>
        <w:rPr>
          <w:rFonts w:hint="eastAsia" w:ascii="Times New Roman" w:hAnsi="Times New Roman" w:eastAsia="方正仿宋_GBK" w:cs="Times New Roman"/>
          <w:b w:val="0"/>
          <w:bCs w:val="0"/>
          <w:sz w:val="32"/>
          <w:szCs w:val="32"/>
          <w:lang w:eastAsia="zh-CN"/>
        </w:rPr>
        <w:t>”</w:t>
      </w:r>
      <w:r>
        <w:rPr>
          <w:rFonts w:hint="eastAsia" w:ascii="Times New Roman" w:hAnsi="Times New Roman" w:eastAsia="方正仿宋_GBK" w:cs="Times New Roman"/>
          <w:b w:val="0"/>
          <w:bCs w:val="0"/>
          <w:sz w:val="32"/>
          <w:szCs w:val="32"/>
        </w:rPr>
        <w:t>一、二、三线工程——共同构成了跨越国境、穿越复杂地形的超长距离管网。这些工程的实现，离不开两个基础条件：一是X80高钢级管线钢等关键材料的国产化突破，二是一批具备国际认证能力的特种管材制造企业的持续供应。</w:t>
      </w:r>
    </w:p>
    <w:p w14:paraId="76B9293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X80高钢级管线钢的国产化和大规模应用，使中国在该领域处于全球领先梯队，这背后依托的是宝钢、鞍钢、天津钢管等企业在大口径厚壁钢管冶炼和制管工艺上的长期积累。但材料的国产化只是第一步，真正把钢管变成可出口、可交付、可经受海外恶劣工况考验的最终产品的，是江苏一批深耕细分赛道的“隐形冠军”企业。</w:t>
      </w:r>
    </w:p>
    <w:p w14:paraId="47F89E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（二）江苏管道材料产业的既有优势与全球嵌入</w:t>
      </w:r>
    </w:p>
    <w:p w14:paraId="1BD1D61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江苏在油套管、管线管、深海管线等特种管材领域，已形成一批具备国际竞争力的核心企业。例如：</w:t>
      </w:r>
    </w:p>
    <w:p w14:paraId="5EBF26B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常州江苏常宝钢管深耕特种专用管材60余年，其子公司常宝普莱森的“非常规油气开采用特种油管”获评国家制造业单项冠军产品，是国内第一大油管制造商，产品通过API 5CT、API 5L等国际认证，已深度嵌入全球油气供应链。靖江靖江特殊钢是国家级专精特新“小巨人”，主营油套管、管线管、深海管线等无缝钢管。扬州江苏巨鑫石油钢管年产能达40万吨，海外项目管线供应量超过12万吨；江苏诚德钢管是无缝钢管领域的资深企业。无锡无锡法斯特管业年产能超20万吨，产品通过API等国际认证。</w:t>
      </w:r>
    </w:p>
    <w:p w14:paraId="24E3450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深海管道这一技术难度最大、附加值最高的细分领域，盐城正道海洋科技已签下1亿美元国际深海柔性复合管核心生产装备协议，投产后将具备年产超200公里深海柔性管的核心产能，正在突破3000米以上超深水管道制造能力。全球深水油气开发正处上升周期，这一赛道将为江苏提供持续增量。</w:t>
      </w:r>
    </w:p>
    <w:p w14:paraId="10F20DB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（三）产业集群与物流通道的协同效应</w:t>
      </w:r>
    </w:p>
    <w:p w14:paraId="3CA63BE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江苏的管道材料产业不是零散的企业集合，而是成体系的产业集群。建湖县油气钻采井口装备产业集群获评国家级中小企业特色产业集群，已形成从上游到终端、井上到井下、陆上到海上的全产业链条，核心产品占据国内市场70%的份额。金湖县集聚200多家石油机械相关企业，出口占比超65%。滨海县石油装备产业已形成年产值超200亿元的产业集群。集群效应意味着江苏不是单点突破，而是整条产业链协同出海。</w:t>
      </w:r>
    </w:p>
    <w:p w14:paraId="70B38BA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与此同时，江苏“通江达海”的港口物流优势为管道产品出口提供了不可替代的基础设施保障。盐城港响水港区已常态化向中东发运大型油气管桩，扬州港、南通港、连云港等港口构成了完善的出海通道。管道产品动辄数十米、数百吨，港口物流能力本身就是一种稀缺资源——中东客户选择江苏供应商，买的不仅是产品，还有“能按时运到”的确定性。</w:t>
      </w:r>
    </w:p>
    <w:p w14:paraId="601D786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（四）需要正视的制约</w:t>
      </w:r>
    </w:p>
    <w:p w14:paraId="75596BA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看到机遇的同时，也必须清醒认识到江苏企业面临的现实制约。一是中东等管道建设密集区域冲突频发，江苏企业在当地的资产和人员安全保障是需要持续投入的现实成本。二是部分国际市场对“中国制造”仍存在技术标准的质疑，尽管江苏企业已通过API等国际认证，但从“符合标准”到“被信任”仍有距离。三是国内同质化竞争加剧，企业利润空间受到挤压，如何在增量市场中保持价格与质量的平衡，考验着企业的战略定力。</w:t>
      </w:r>
    </w:p>
    <w:p w14:paraId="7B154CE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总的来看，全球管道建设热潮对江苏制造业而言，是一个供需两端高度契合的窗口期。这个窗口期能转化为多大实际收益，取决于江苏企业能否在巩固既有优势的基础上，向深海管道等更高附加值领域延伸，以及能否在产业集群协同和海外市场开拓上形成合力。真正决定这个窗口期价值的，不是需求本身有多旺盛，而是江苏企业能否把“能造”的优势，升级为“能被持续选择”的不可替代性。</w:t>
      </w:r>
    </w:p>
    <w:p w14:paraId="6DD35906">
      <w:pPr>
        <w:keepNext w:val="0"/>
        <w:keepLines w:val="0"/>
        <w:pageBreakBefore w:val="0"/>
        <w:widowControl w:val="0"/>
        <w:kinsoku/>
        <w:wordWrap/>
        <w:overflowPunct/>
        <w:topLinePunct w:val="0"/>
        <w:autoSpaceDE/>
        <w:autoSpaceDN/>
        <w:bidi w:val="0"/>
        <w:adjustRightInd/>
        <w:snapToGrid/>
        <w:spacing w:line="580" w:lineRule="exact"/>
        <w:ind w:right="0" w:rightChars="0" w:firstLine="5680" w:firstLineChars="2000"/>
        <w:jc w:val="both"/>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w:t>
      </w:r>
      <w:r>
        <w:rPr>
          <w:rFonts w:hint="default" w:ascii="Times New Roman" w:hAnsi="Times New Roman" w:eastAsia="方正楷体_GBK" w:cs="方正楷体_GBK"/>
          <w:b/>
          <w:bCs/>
          <w:color w:val="FF0000"/>
          <w:spacing w:val="0"/>
          <w:kern w:val="2"/>
          <w:sz w:val="30"/>
          <w:szCs w:val="30"/>
          <w:lang w:val="en-US" w:eastAsia="zh-CN" w:bidi="ar-SA"/>
        </w:rPr>
        <w:t>）</w:t>
      </w:r>
    </w:p>
    <w:p w14:paraId="515861D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6EF29F4A">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7A2936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全球能源监测机构.2026年全球油气管道建设追踪报告[R].旧金山: Global Energy Monitor, 2026.</w:t>
      </w:r>
    </w:p>
    <w:p w14:paraId="7239D69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对应内容：全球在建及规划阶段石油管道里程规模、受阻力搁置项目规模等行业核心数据。</w:t>
      </w:r>
    </w:p>
    <w:p w14:paraId="50CBC04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沙特阿拉伯石油公司.2026年第二季度业绩报告[R].达兰：沙特阿拉伯石油公司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2026.</w:t>
      </w:r>
    </w:p>
    <w:p w14:paraId="2E182DB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对应内容：2026年二季度油气总产量变动、原油实现均价、调整后净利润等经营数据。</w:t>
      </w:r>
    </w:p>
    <w:p w14:paraId="5740F16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KKR公司. KKR全球基础设施投资者五期基金募资完成公告[EB/OL]. (2026-08-03)[2026-08-08]. https://www.kkr.com.</w:t>
      </w:r>
    </w:p>
    <w:p w14:paraId="68829FA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对应内容：192亿美元基础设施基金募资规模、KKR基础设施权益管理规模增长数据。</w:t>
      </w:r>
    </w:p>
    <w:p w14:paraId="627289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KKR公司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黑石集团，布鲁克菲尔德资产管理公司等</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科威特原油管道网络租赁合作项目公告[EB/OL]. (2026-07)[2026-08-08]. https://www.kockw.com.</w:t>
      </w:r>
    </w:p>
    <w:p w14:paraId="63D678A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对应内容：160亿美元科威特管道租赁交易案例，管道资产</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售后回租/长期租</w:t>
      </w:r>
      <w:r>
        <w:rPr>
          <w:rFonts w:hint="eastAsia" w:ascii="方正仿宋_GBK" w:hAnsi="方正仿宋_GBK" w:eastAsia="方正仿宋_GBK" w:cs="方正仿宋_GBK"/>
          <w:b w:val="0"/>
          <w:bCs w:val="0"/>
          <w:sz w:val="32"/>
          <w:szCs w:val="32"/>
        </w:rPr>
        <w:t>赁”模</w:t>
      </w:r>
      <w:r>
        <w:rPr>
          <w:rFonts w:hint="default" w:ascii="Times New Roman" w:hAnsi="Times New Roman" w:eastAsia="方正仿宋_GBK" w:cs="Times New Roman"/>
          <w:b w:val="0"/>
          <w:bCs w:val="0"/>
          <w:sz w:val="32"/>
          <w:szCs w:val="32"/>
        </w:rPr>
        <w:t>式实践。</w:t>
      </w:r>
    </w:p>
    <w:p w14:paraId="571409E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高盛全球投资研究部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全球油气管道项目建设周期与经济性研究[R]. 纽约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高盛集团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7640AE3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对应内容：油气管道项目从立项到投产的平均建设周期研究结论。</w:t>
      </w:r>
    </w:p>
    <w:p w14:paraId="244EDAF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美国石油学会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管线钢管规范: API 5L [S].华盛顿</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美国石油学会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2022.</w:t>
      </w:r>
    </w:p>
    <w:p w14:paraId="25A23CC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对应内容：管线管国际认证标准，江苏管材企业出口产品的合规依据。</w:t>
      </w:r>
    </w:p>
    <w:p w14:paraId="2FD8751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美国石油学会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套管和油管规范: API 5CT [S].华盛顿</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美国石油学会</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2022.</w:t>
      </w:r>
    </w:p>
    <w:p w14:paraId="389713C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对应内容：油套管国际认证标准，特种油气管材产品的认证依据。</w:t>
      </w:r>
    </w:p>
    <w:p w14:paraId="1C7B7DF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江苏常宝钢管股份有限公司. 2025年年度报告[R].常州</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江苏常宝钢管股份有限公司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2026.</w:t>
      </w:r>
    </w:p>
    <w:p w14:paraId="2787802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对应内容：常宝普莱森非常规油气特种油管单项冠军资质、企业行业地位与产品认证信息。</w:t>
      </w:r>
    </w:p>
    <w:p w14:paraId="225AC92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[9] 工业和信息化部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第四批国家级中小企业特色产业集群名单[EB/OL]. (2023-10-27)[2026-08-08]. https://www.miit.gov.cn.</w:t>
      </w:r>
    </w:p>
    <w:p w14:paraId="009D39C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对应内容：建湖县油气钻采井口装备产业集群的国家级认定依据。</w:t>
      </w:r>
    </w:p>
    <w:p w14:paraId="36B7735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[10] 江苏省工业和信息化厅</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江苏省石油装备产业发展白皮书(2025)[R].南京</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江苏省工业和信息化厅</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2025.</w:t>
      </w:r>
    </w:p>
    <w:p w14:paraId="797077B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对应内容：建湖、金湖、滨海等地石油装备产业集群规模、企业数量、出口占比等产业数据。</w:t>
      </w:r>
    </w:p>
    <w:p w14:paraId="7AC976F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[11] TC能源公司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关于终止Keystone XL管道项目的官方声明 [EB/OL]. (2021-01-20)[2026-08-08]. https://www.tcenergy.com.</w:t>
      </w:r>
    </w:p>
    <w:p w14:paraId="3FCF1E3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对应内容：跨境管道项目因环保与政策阻力终止的典型案例。</w:t>
      </w:r>
    </w:p>
    <w:p w14:paraId="7E9DB40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[12] 盐城正道海洋科技有限公司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深海柔性复合管核心生产装备采购签约公告[EB/OL]. (2026)[2026-08-08].</w:t>
      </w:r>
    </w:p>
    <w:p w14:paraId="22E9791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对应内容：1亿美元深海柔性管装备协议、产能规划与超深水管道技术突破信息。</w:t>
      </w:r>
    </w:p>
    <w:p w14:paraId="475D538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补充说明</w:t>
      </w:r>
    </w:p>
    <w:p w14:paraId="037E2A7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文中关于苏伊士-地中海管道（SUMED）、沙特东西向管道等历史工程案例，以及石油运输方式成本对比、管道资产风险属性等行业共识性分析，属于能源经济领域公开常识与普遍研究结论，未单独列入正式参考文献。</w:t>
      </w:r>
    </w:p>
    <w:p w14:paraId="436546C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797E496A">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229EC16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43F2E24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3B337FC8">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1784BB2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2CE6171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2F51B8DB">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1E9223B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3AC11120">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629BA077">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38091D3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268A7AC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411EB9FA">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63C28CD5">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5AD52685">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3BB02F2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21E68A0C">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5FE9E7B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76F91607">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2301FDAF">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28"/>
          <w:sz w:val="44"/>
          <w:szCs w:val="44"/>
          <w:highlight w:val="none"/>
          <w:lang w:val="en-US" w:eastAsia="zh-CN"/>
        </w:rPr>
      </w:pPr>
    </w:p>
    <w:p w14:paraId="4F5C3E69">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default" w:ascii="方正小标宋_GBK" w:hAnsi="方正小标宋_GBK" w:eastAsia="方正小标宋_GBK" w:cs="方正小标宋_GBK"/>
          <w:b/>
          <w:bCs/>
          <w:color w:val="2E75B6" w:themeColor="accent1" w:themeShade="BF"/>
          <w:spacing w:val="-11"/>
          <w:sz w:val="44"/>
          <w:szCs w:val="44"/>
          <w:highlight w:val="none"/>
          <w:lang w:val="en-US" w:eastAsia="zh-CN"/>
        </w:rPr>
      </w:pPr>
      <w:r>
        <w:rPr>
          <w:rFonts w:hint="eastAsia" w:ascii="方正小标宋_GBK" w:hAnsi="方正小标宋_GBK" w:eastAsia="方正小标宋_GBK" w:cs="方正小标宋_GBK"/>
          <w:b/>
          <w:bCs/>
          <w:color w:val="2E75B6" w:themeColor="accent1" w:themeShade="BF"/>
          <w:spacing w:val="-11"/>
          <w:sz w:val="44"/>
          <w:szCs w:val="44"/>
          <w:highlight w:val="none"/>
          <w:lang w:val="en-US" w:eastAsia="zh-CN"/>
        </w:rPr>
        <w:t>现金牛遭遇资本黑洞：从伯克希尔二季报，看AI投资竞赛中的盈利难题和定价难题</w:t>
      </w:r>
    </w:p>
    <w:p w14:paraId="1607CA4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1C19854C">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：本文以伯克希尔・哈撒韦</w:t>
      </w:r>
      <w:r>
        <w:rPr>
          <w:rFonts w:hint="default" w:ascii="Times New Roman" w:hAnsi="Times New Roman" w:eastAsia="方正楷体_GBK" w:cs="Times New Roman"/>
          <w:b w:val="0"/>
          <w:bCs w:val="0"/>
          <w:sz w:val="28"/>
          <w:szCs w:val="28"/>
          <w:lang w:val="en-US" w:eastAsia="zh-CN"/>
        </w:rPr>
        <w:t>2026</w:t>
      </w:r>
      <w:r>
        <w:rPr>
          <w:rFonts w:hint="eastAsia" w:ascii="方正楷体_GBK" w:hAnsi="方正楷体_GBK" w:eastAsia="方正楷体_GBK" w:cs="方正楷体_GBK"/>
          <w:b w:val="0"/>
          <w:bCs w:val="0"/>
          <w:sz w:val="28"/>
          <w:szCs w:val="28"/>
          <w:lang w:val="en-US" w:eastAsia="zh-CN"/>
        </w:rPr>
        <w:t>年二季报为研究样本，围绕</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投资竞赛背景下传统价值投资的盈利逻辑与定价困境展开深度分析，属于价值投资理论、科技企业资本配置与公司金融交叉研究领域。文章拆解了</w:t>
      </w:r>
      <w:r>
        <w:rPr>
          <w:rFonts w:hint="eastAsia" w:ascii="Times New Roman" w:hAnsi="Times New Roman" w:eastAsia="方正楷体_GBK" w:cs="Times New Roman"/>
          <w:b w:val="0"/>
          <w:bCs w:val="0"/>
          <w:sz w:val="28"/>
          <w:szCs w:val="28"/>
          <w:lang w:val="en-US" w:eastAsia="zh-CN"/>
        </w:rPr>
        <w:t>GAAP</w:t>
      </w:r>
      <w:r>
        <w:rPr>
          <w:rFonts w:hint="eastAsia" w:ascii="方正楷体_GBK" w:hAnsi="方正楷体_GBK" w:eastAsia="方正楷体_GBK" w:cs="方正楷体_GBK"/>
          <w:b w:val="0"/>
          <w:bCs w:val="0"/>
          <w:sz w:val="28"/>
          <w:szCs w:val="28"/>
          <w:lang w:val="en-US" w:eastAsia="zh-CN"/>
        </w:rPr>
        <w:t>净利润的会计失真问题，以运营利润与现金储备变动为核心，解读了阿贝尔接任后“加仓优质股权、低位回购股份、逆周期并购实体产业”的资本配置新思路。研究选取谷歌、微软为典型案例，剖析了传统现金牛企业在</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基建投入下自由现金流承压、盈利结构异化的共性特征，探讨了经典现金流折现估值框架在无明确收敛周期的资本开支竞赛中面临的适用性挑战，并补充了跨货币资产负债表管理的实践参考。</w:t>
      </w:r>
    </w:p>
    <w:p w14:paraId="4DF07E7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72640EF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5C8D81E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伯克希尔·哈撒韦（Berkshire Hathaway），是全世界市值最高的公司之一，其业务版图横跨保险、铁路、能源、公用事业、制造、零售，同时还持有规模惊人的上市公司股票投资组合（其中包括苹果、美国运通、可口可乐）。</w:t>
      </w:r>
      <w:r>
        <w:rPr>
          <w:rFonts w:hint="eastAsia" w:ascii="方正仿宋_GBK" w:hAnsi="方正仿宋_GBK" w:eastAsia="方正仿宋_GBK" w:cs="方正仿宋_GBK"/>
          <w:b w:val="0"/>
          <w:bCs w:val="0"/>
          <w:sz w:val="32"/>
          <w:szCs w:val="32"/>
        </w:rPr>
        <w:t>简单说，它更像一家“控股集团”，既直接拥有几十家实体公司</w:t>
      </w:r>
      <w:r>
        <w:rPr>
          <w:rFonts w:hint="default" w:ascii="Times New Roman" w:hAnsi="Times New Roman" w:eastAsia="方正仿宋_GBK" w:cs="Times New Roman"/>
          <w:b w:val="0"/>
          <w:bCs w:val="0"/>
          <w:sz w:val="32"/>
          <w:szCs w:val="32"/>
        </w:rPr>
        <w:t>，也在二级市场上持有其他公司的股份。这种业务结构极其复杂，因此，研究其财报，不能只看净利润增长或减少，而应看背后隐藏的内容。</w:t>
      </w:r>
    </w:p>
    <w:p w14:paraId="1849AAF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沃伦·巴菲特（Warren Buffett），</w:t>
      </w:r>
      <w:r>
        <w:rPr>
          <w:rFonts w:hint="eastAsia" w:ascii="方正仿宋_GBK" w:hAnsi="方正仿宋_GBK" w:eastAsia="方正仿宋_GBK" w:cs="方正仿宋_GBK"/>
          <w:b w:val="0"/>
          <w:bCs w:val="0"/>
          <w:sz w:val="32"/>
          <w:szCs w:val="32"/>
        </w:rPr>
        <w:t>是执掌伯克希尔近六十年的传奇投资人，被市场称为“股神”，其投资哲学几十年来影响了整整几代投资者——核心理念可以简化成一句话：用合理的价格，买入拥有宽阔“护城河”（指难以被竞争对手复制的持久优势）、管理层靠谱、现金流充沛的好公司</w:t>
      </w:r>
      <w:r>
        <w:rPr>
          <w:rFonts w:hint="default" w:ascii="Times New Roman" w:hAnsi="Times New Roman" w:eastAsia="方正仿宋_GBK" w:cs="Times New Roman"/>
          <w:b w:val="0"/>
          <w:bCs w:val="0"/>
          <w:sz w:val="32"/>
          <w:szCs w:val="32"/>
        </w:rPr>
        <w:t>，然后长期持有，几乎不做短线交易。巴菲特于2025年正式退休，把集团CEO的位置交给了亲自选定的接班人格雷格·阿贝尔。</w:t>
      </w:r>
    </w:p>
    <w:p w14:paraId="3C7A9A3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格雷格·阿贝尔（Greg Abel），此前长期负责伯克希尔的非保险业务板块。2026年是他执掌伯克希尔的完整第一年，因此，这份8月发布的二季报，</w:t>
      </w:r>
      <w:r>
        <w:rPr>
          <w:rFonts w:hint="eastAsia" w:ascii="方正仿宋_GBK" w:hAnsi="方正仿宋_GBK" w:eastAsia="方正仿宋_GBK" w:cs="方正仿宋_GBK"/>
          <w:b w:val="0"/>
          <w:bCs w:val="0"/>
          <w:sz w:val="32"/>
          <w:szCs w:val="32"/>
        </w:rPr>
        <w:t>是外界观察“巴菲特之后，伯克希尔还是不是原来那个伯克希尔”的一个重要窗口</w:t>
      </w:r>
      <w:r>
        <w:rPr>
          <w:rFonts w:hint="default" w:ascii="Times New Roman" w:hAnsi="Times New Roman" w:eastAsia="方正仿宋_GBK" w:cs="Times New Roman"/>
          <w:b w:val="0"/>
          <w:bCs w:val="0"/>
          <w:sz w:val="32"/>
          <w:szCs w:val="32"/>
        </w:rPr>
        <w:t>。</w:t>
      </w:r>
    </w:p>
    <w:p w14:paraId="4C39993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一、利润数字背后的实体现金流</w:t>
      </w:r>
    </w:p>
    <w:p w14:paraId="5A11E9E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财报显示，伯克希尔二季度净利润257亿美元，远高于去年同期的124亿美元，</w:t>
      </w:r>
      <w:r>
        <w:rPr>
          <w:rFonts w:hint="eastAsia" w:ascii="方正仿宋_GBK" w:hAnsi="方正仿宋_GBK" w:eastAsia="方正仿宋_GBK" w:cs="方正仿宋_GBK"/>
          <w:b w:val="0"/>
          <w:bCs w:val="0"/>
          <w:sz w:val="32"/>
          <w:szCs w:val="32"/>
        </w:rPr>
        <w:t>涨幅接近翻倍。如果只看这一个数字，会得出“业绩爆发式增长”的结论，但对伯克希尔来说，这个数字里藏着一个美国会计准则</w:t>
      </w:r>
      <w:r>
        <w:rPr>
          <w:rFonts w:hint="default" w:ascii="Times New Roman" w:hAnsi="Times New Roman" w:eastAsia="方正仿宋_GBK" w:cs="Times New Roman"/>
          <w:b w:val="0"/>
          <w:bCs w:val="0"/>
          <w:sz w:val="32"/>
          <w:szCs w:val="32"/>
        </w:rPr>
        <w:t>（GAAP）</w:t>
      </w:r>
      <w:r>
        <w:rPr>
          <w:rFonts w:hint="eastAsia" w:ascii="方正仿宋_GBK" w:hAnsi="方正仿宋_GBK" w:eastAsia="方正仿宋_GBK" w:cs="方正仿宋_GBK"/>
          <w:b w:val="0"/>
          <w:bCs w:val="0"/>
          <w:sz w:val="32"/>
          <w:szCs w:val="32"/>
        </w:rPr>
        <w:t>带来的“失真陷阱”：</w:t>
      </w:r>
      <w:r>
        <w:rPr>
          <w:rFonts w:hint="default" w:ascii="Times New Roman" w:hAnsi="Times New Roman" w:eastAsia="方正仿宋_GBK" w:cs="Times New Roman"/>
          <w:b w:val="0"/>
          <w:bCs w:val="0"/>
          <w:sz w:val="32"/>
          <w:szCs w:val="32"/>
        </w:rPr>
        <w:t>GAAP要求，公司持有的上市公司股票，其账面浮盈或浮亏，必须计入当期净利润。也就是说，在这个季度，如果伯克希尔持有的苹果、美国运通的股票股价上涨，即便伯克希尔一股没卖，这部分纸面浮盈也会直接体现为当季利润；反之，若所持有股票的股价下跌，账面利润也会应声缩水。因此，伯克希尔的GAAP净</w:t>
      </w:r>
      <w:r>
        <w:rPr>
          <w:rFonts w:hint="eastAsia" w:ascii="方正仿宋_GBK" w:hAnsi="方正仿宋_GBK" w:eastAsia="方正仿宋_GBK" w:cs="方正仿宋_GBK"/>
          <w:b w:val="0"/>
          <w:bCs w:val="0"/>
          <w:sz w:val="32"/>
          <w:szCs w:val="32"/>
        </w:rPr>
        <w:t>利润，某种程度上更像是“股市情绪的晴雨表”，而非公司真实经营状况的准确反映。</w:t>
      </w:r>
    </w:p>
    <w:p w14:paraId="49CC540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真正能反映伯克希尔实体业务是否健康的，是运营利润（Operating Earnings），这也是巴菲特毕生最看重的一个数据。这个指标剔除了股票浮盈浮亏的干扰，只统计本集团的保险、铁路、能源、制造、零售等实体板块真实实现的经营性利润。二季度该数据为129.83亿美元，同比增长16%——这才是财报里含金量最高的数据，说明伯克希尔旗下的工厂、铁路、电厂、零售业务，在二季度确实赚到了真金白银——盈利能力不受股市涨跌的影响。</w:t>
      </w:r>
    </w:p>
    <w:p w14:paraId="35D9ED0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保险板块是二季度唯一承压的环节：承保利润因理赔频率和严重程度上升，同比下滑13%至17.3亿美元（其中GEICO车险业务是主要拖累）；保险投资收益也因美联储降息、利率走低，同比下滑9%至30.6亿美元。这两项合计的下滑，被制造服务零售业务（+24%）、伯克希尔能源（+27%）、BNSF铁路（+6%）的强劲增长完</w:t>
      </w:r>
      <w:r>
        <w:rPr>
          <w:rFonts w:hint="eastAsia" w:ascii="方正仿宋_GBK" w:hAnsi="方正仿宋_GBK" w:eastAsia="方正仿宋_GBK" w:cs="方正仿宋_GBK"/>
          <w:b w:val="0"/>
          <w:bCs w:val="0"/>
          <w:sz w:val="32"/>
          <w:szCs w:val="32"/>
        </w:rPr>
        <w:t>全覆盖。</w:t>
      </w:r>
    </w:p>
    <w:p w14:paraId="440BD9C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“实体现金流稳定增长、不靠股市情绪吃饭”的特质，是伯克希尔历经数次经济危机、加息周期依然屹立不倒的底层原因——它手里永远有源源不断的经营性现金流，不受资本市场的涨跌影响。</w:t>
      </w:r>
    </w:p>
    <w:p w14:paraId="452A106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二、现金储备：从堆积到使用</w:t>
      </w:r>
    </w:p>
    <w:p w14:paraId="78F16E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本份财报里真正的重磅信号，是现金储备的减少，一季度末，伯克希尔的现金及（高流动性的）美国国债储备，曾创下3974亿美元的历史峰值。近4000亿美元，比大多数</w:t>
      </w:r>
      <w:r>
        <w:rPr>
          <w:rFonts w:hint="eastAsia" w:ascii="方正仿宋_GBK" w:hAnsi="方正仿宋_GBK" w:eastAsia="方正仿宋_GBK" w:cs="方正仿宋_GBK"/>
          <w:b w:val="0"/>
          <w:bCs w:val="0"/>
          <w:sz w:val="32"/>
          <w:szCs w:val="32"/>
        </w:rPr>
        <w:t>国家的主权财富基金的规模还庞大，但仅能赚取货币市场和国债的低利息。因此，过去一段时间里，不少伯克希尔的股东公开抱怨“资金使用效率太低，躺在账上吃低息是一种浪费”。</w:t>
      </w:r>
    </w:p>
    <w:p w14:paraId="1AB4536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财报显示，二季度末，现金储备降至3655亿美元，即减少了319亿美元——指向三笔明确的主动支出：加仓其他公司的股票（如谷歌母公司Alphabet和日本五大商社）、回购自家股票，以及直接并购实体产业。这是阿贝尔上任以来，第一次大规模动用巴菲特留下的天量现金储备。伯克希尔此举向市场传递出明确信号：当下市场上已经出现了足够多具备长期价值的投资机会，不再需要死守现金避险。</w:t>
      </w:r>
    </w:p>
    <w:p w14:paraId="52D8A3D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三、回购：自我约束机制与增厚每股价值</w:t>
      </w:r>
    </w:p>
    <w:p w14:paraId="62CD958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对于股票回购，伯克希尔有一套自己的严格纪律。</w:t>
      </w:r>
    </w:p>
    <w:p w14:paraId="6238A82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自1967年之后，伯克希尔再也没有向股东分发过现金股息。巴菲特的逻辑是，只要公司把利润留在体内做投资、做回购的回报率，高于股东自己拿着这笔钱去理财的回报率，那么不分红、把钱留在公司里，才是对股东更负责的安排。伯克希尔的股份回购，会直接减少流通在外的股份总数，从而推高每股净资产和每股收益。</w:t>
      </w:r>
    </w:p>
    <w:p w14:paraId="5E0A03A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伯克希尔对回购设定了近乎苛刻的自我约束：只有当管理层判断当前股价显著低于企业内在价</w:t>
      </w:r>
      <w:r>
        <w:rPr>
          <w:rFonts w:hint="eastAsia" w:ascii="方正仿宋_GBK" w:hAnsi="方正仿宋_GBK" w:eastAsia="方正仿宋_GBK" w:cs="方正仿宋_GBK"/>
          <w:b w:val="0"/>
          <w:bCs w:val="0"/>
          <w:sz w:val="32"/>
          <w:szCs w:val="32"/>
        </w:rPr>
        <w:t>值的时候，才会启动回购，绝不会为了托底股价去高位接盘。正因为这套规则，回购规模的变化，就是伯克希尔管理层对“股价是否被低估”这个判断的直接体现。</w:t>
      </w:r>
    </w:p>
    <w:p w14:paraId="16F2377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季度，伯克希尔只回购了2.35亿美元，规模很小；到了二季度，直接跳升到45亿美元，创下近两年单季回购最高纪录——本次回购让公司流通股本减少了约0.4%，由于回购价格低于内在价值，这直接增厚了留存股东的每股账面价值。</w:t>
      </w:r>
    </w:p>
    <w:p w14:paraId="49704BD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阿贝尔在财报解读中给出的解释很直接：启动这轮大规模回购，唯一的底层逻辑就是——当前伯克希尔的股价，显著低于了其内在价值。</w:t>
      </w:r>
    </w:p>
    <w:p w14:paraId="58366C2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四、两笔并购：防御性买入与周期性下注</w:t>
      </w:r>
    </w:p>
    <w:p w14:paraId="544447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伯克希尔上半年完成了两笔实体产业并购，合计投资约165亿美元。两笔交易虽然都属于实体产业投资，但背后的逻辑并不相同，值得分别分析。</w:t>
      </w:r>
    </w:p>
    <w:p w14:paraId="0039B28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第一笔，是年初以约97亿美元</w:t>
      </w:r>
      <w:r>
        <w:rPr>
          <w:rFonts w:hint="eastAsia" w:ascii="方正仿宋_GBK" w:hAnsi="方正仿宋_GBK" w:eastAsia="方正仿宋_GBK" w:cs="方正仿宋_GBK"/>
          <w:b w:val="0"/>
          <w:bCs w:val="0"/>
          <w:sz w:val="32"/>
          <w:szCs w:val="32"/>
        </w:rPr>
        <w:t>收购“西方石油”</w:t>
      </w:r>
      <w:r>
        <w:rPr>
          <w:rFonts w:hint="default" w:ascii="Times New Roman" w:hAnsi="Times New Roman" w:eastAsia="方正仿宋_GBK" w:cs="Times New Roman"/>
          <w:b w:val="0"/>
          <w:bCs w:val="0"/>
          <w:sz w:val="32"/>
          <w:szCs w:val="32"/>
        </w:rPr>
        <w:t>（Occidental Petroleum）旗下的基础化工子公司OxyChem。基础化工产品应用广泛，需求具有较强的刚性，尽管行业盈利会受到经济周期和产品价格波动影响，但其市场需求并不会因为经济放缓而消失。对伯克希尔而言，这笔交易更接近一种防御性配置：通过收购一块成熟、现金流相对稳定的工业资产，进一步扩大其实体产业版图，并增强工业业务的持续盈利能力。</w:t>
      </w:r>
    </w:p>
    <w:p w14:paraId="12CFFB7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第二笔，是7月24日以约68亿美元完成对美国大型住宅建筑商Taylor Morrison Home的收购。与OxyChem不同，这笔交易具有更明显的周期性特征。当前美联储仍维持较高利率，美国住房市场受到融资成本高企、购房需求疲软等因素压制，住宅建筑商的经营和估值均面临一定压力。在这一背景下，伯克希尔选择逆周期收购一家大型住宅建筑商，实际上是在押注美国住房市场未来的周期修复：如果利率水平逐步下降、购房需求回升，Taylor Morrison的住宅销售和盈利能力有望改善，同时企业估值也可能随行业景气度回升而修复。换言之，这笔交易赚取的并不只是企业自身经营改善带来的收益，也包含了对未来住宅市场周期反转的判断。</w:t>
      </w:r>
    </w:p>
    <w:p w14:paraId="6724AB4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如果将两笔交易放在一起看，伯克希尔的资本配置思路相当清晰：一边配置OxyChem这样的成熟工业资产，获取相对稳定的长期现金流；另一边则在住宅行业低迷时期收购Taylor Morrison，押注未来的周期</w:t>
      </w:r>
      <w:r>
        <w:rPr>
          <w:rFonts w:hint="eastAsia" w:ascii="方正仿宋_GBK" w:hAnsi="方正仿宋_GBK" w:eastAsia="方正仿宋_GBK" w:cs="方正仿宋_GBK"/>
          <w:b w:val="0"/>
          <w:bCs w:val="0"/>
          <w:sz w:val="32"/>
          <w:szCs w:val="32"/>
        </w:rPr>
        <w:t>反转。一个是“在多数经济周期下都能保持较强现金创造能力”的防御型资产，一个是“押注周期拐点”的进攻型资产。两笔交易合在一起，恰恰体现出伯克希尔资本配置中一贯的平衡感：既有提供稳定现金流的“压舱石”，也敢于在市场低迷时下场配置具有周期反转潜力的资产。前者提供确定性，后者提供弹性</w:t>
      </w:r>
      <w:r>
        <w:rPr>
          <w:rFonts w:hint="default" w:ascii="Times New Roman" w:hAnsi="Times New Roman" w:eastAsia="方正仿宋_GBK" w:cs="Times New Roman"/>
          <w:b w:val="0"/>
          <w:bCs w:val="0"/>
          <w:sz w:val="32"/>
          <w:szCs w:val="32"/>
        </w:rPr>
        <w:t>——这或许正是理解伯克希尔此次实体产业投资最值得关注的地方。</w:t>
      </w:r>
    </w:p>
    <w:p w14:paraId="054B7B4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综合上述四点可以发现，伯克希尔资本配置原则出现了代际切换。巴菲特执掌的后期，风格明显偏向囤积现金、保持极高的安全边际，即便账上堆到近4000亿美元也不轻易出手，这也是过去连续十四个季度伯克希尔在二级市场净卖出股票的原因。而阿贝尔正式接棒后，思路调整为更主动的动态配置——在保留充足安全边际现金储备的前提下，同时在三条线上发力：加仓优质上市公司股票、低位回购自家股份、逆周期并购被低估的实体产业。</w:t>
      </w:r>
    </w:p>
    <w:p w14:paraId="5486FD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本份二季报是阿贝尔新思路第一次体现，其中最大的一笔单一动作，就是100亿美元买入谷歌母公司Alphabet。对于这笔交易，市场存在不同的认知与解读。</w:t>
      </w:r>
    </w:p>
    <w:p w14:paraId="3568B87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五、护城河与增长天花板</w:t>
      </w:r>
    </w:p>
    <w:p w14:paraId="4209F95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从表面看，买入谷歌完全符合巴菲特一贯的选股逻辑——</w:t>
      </w:r>
      <w:r>
        <w:rPr>
          <w:rFonts w:hint="eastAsia" w:ascii="方正仿宋_GBK" w:hAnsi="方正仿宋_GBK" w:eastAsia="方正仿宋_GBK" w:cs="方正仿宋_GBK"/>
          <w:b w:val="0"/>
          <w:bCs w:val="0"/>
          <w:sz w:val="32"/>
          <w:szCs w:val="32"/>
        </w:rPr>
        <w:t>买入一家拥有宽阔“护城河”、现金流充沛的行业龙头。这一点确实站得住脚：谷歌的搜索业务在全球市场（中国大陆之外）的占有率，几十年来没有出现过真正的挑战者，是教科书级别的护城河案例。</w:t>
      </w:r>
    </w:p>
    <w:p w14:paraId="04D25C3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b w:val="0"/>
          <w:bCs w:val="0"/>
          <w:sz w:val="32"/>
          <w:szCs w:val="32"/>
        </w:rPr>
        <w:t>但如果分析只停在“护城河”这个词上，会漏掉一个正在发生的转折——支撑谷歌整体收入维持两位数增长的引擎，已经悄然发生了变化。过去几个季度，拉动谷歌营收加速的，不再是已逼近饱和的搜索广告，而是云计算业务：</w:t>
      </w:r>
      <w:r>
        <w:rPr>
          <w:rFonts w:hint="default" w:ascii="Times New Roman" w:hAnsi="Times New Roman" w:eastAsia="方正仿宋_GBK" w:cs="Times New Roman"/>
          <w:b w:val="0"/>
          <w:bCs w:val="0"/>
          <w:sz w:val="32"/>
          <w:szCs w:val="32"/>
        </w:rPr>
        <w:t>Google Cloud收入同比增速高达82%。简言之，谷歌的护城河资产（搜索）已经进入存量博弈阶段，其当下的增长故事，讲的是另一个赛道——一个需要持续、巨额资本投入的赛道。</w:t>
      </w:r>
    </w:p>
    <w:p w14:paraId="3A352EA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六、从现金牛到资本黑洞</w:t>
      </w:r>
    </w:p>
    <w:p w14:paraId="6685552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云计算和AI基建的扩张，给谷歌带来的不是更充沛的现金流，而是相反的结果。</w:t>
      </w:r>
    </w:p>
    <w:p w14:paraId="0463551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2026年二季度，谷歌的自由现金流转为负58.5亿美元——这是它2004年上市以来第一次出现单季度负值。直接原因是资本开支飙升至449亿美元，远超当季391亿美元的经营现金流。</w:t>
      </w:r>
    </w:p>
    <w:p w14:paraId="3857D48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管理层把全年资本开支指引上调至最高2050亿美元，并明确表示2027年还会</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显著更高</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。为了填补这个缺口，谷歌通过股权增发和发债，已经融资合计近1000亿美元。市场惊讶地发现，一家过去二十二年从未依赖外部融资的现金牛公司，如今开始到外部市场到处找钱。</w:t>
      </w:r>
    </w:p>
    <w:p w14:paraId="6A1A891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这一连串数据，对巴菲特式的估值原则构成的挑战。多年以来，巴菲特偏爱的生意模式，是那种不需要持续、大规模追加资本就能源源不断产生现金的公司，他最常举的例子的喜诗糖果（See's Candies）。</w:t>
      </w:r>
      <w:r>
        <w:rPr>
          <w:rFonts w:hint="eastAsia" w:ascii="方正仿宋_GBK" w:hAnsi="方正仿宋_GBK" w:eastAsia="方正仿宋_GBK" w:cs="方正仿宋_GBK"/>
          <w:b w:val="0"/>
          <w:bCs w:val="0"/>
          <w:sz w:val="32"/>
          <w:szCs w:val="32"/>
        </w:rPr>
        <w:t>这是美国加州的一家巧克力和糖果公司，它完美展示了“轻资产、强品牌、高回报”的商业模式：公司几十年几乎不需要新建工厂、不需要大举扩张产能，只靠品牌溢价和西海岸消费者的忠诚度，就能持续提价、持续赚钱</w:t>
      </w:r>
      <w:r>
        <w:rPr>
          <w:rFonts w:hint="default" w:ascii="Times New Roman" w:hAnsi="Times New Roman" w:eastAsia="方正仿宋_GBK" w:cs="Times New Roman"/>
          <w:b w:val="0"/>
          <w:bCs w:val="0"/>
          <w:sz w:val="32"/>
          <w:szCs w:val="32"/>
        </w:rPr>
        <w:t>——巴菲特后来测算，这笔收购至今已经为伯克希尔带来超过20亿美元的税前利润，而期间追加投入的资本几乎可以忽略不计。</w:t>
      </w:r>
    </w:p>
    <w:p w14:paraId="4C1F221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巴菲特多次表示，正是喜诗糖果这笔投资，让他真正理解了“用合理价格买入一家优质企业，远胜过用便宜价格买入一家平庸企业”这个道理，并深刻影响了他此后半个世纪的投资风格。这类公司的价值（合理价格），可以用自由现金流折现模型</w:t>
      </w:r>
      <w:r>
        <w:rPr>
          <w:rFonts w:hint="default" w:ascii="Times New Roman" w:hAnsi="Times New Roman" w:eastAsia="方正仿宋_GBK" w:cs="Times New Roman"/>
          <w:b w:val="0"/>
          <w:bCs w:val="0"/>
          <w:sz w:val="32"/>
          <w:szCs w:val="32"/>
        </w:rPr>
        <w:t>（DCF）进行估算，该模型的前提是</w:t>
      </w:r>
      <w:r>
        <w:rPr>
          <w:rFonts w:hint="eastAsia" w:ascii="方正仿宋_GBK" w:hAnsi="方正仿宋_GBK" w:eastAsia="方正仿宋_GBK" w:cs="方正仿宋_GBK"/>
          <w:b w:val="0"/>
          <w:bCs w:val="0"/>
          <w:sz w:val="32"/>
          <w:szCs w:val="32"/>
        </w:rPr>
        <w:t>，未来的现金流是一条可预测、可折现的曲线。</w:t>
      </w:r>
    </w:p>
    <w:p w14:paraId="733F6D9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过去二十二年，谷歌一直是这套模型最理想的样本。而现在，其资本开支指引在一年之内被两次上调，金额是几年前的数倍，且没有给出这条曲线何时收敛的时间表——这已经不是在给一条已知形状的曲线定价，而是在给一个曲线形状本身尚未确定的东西定价。用金融的语言说，这更接近期权定价的逻辑，而不是现金流折现的逻辑，通俗地说，你买的不是“这棵树未来能长多高”，而是“这棵树能不能在这场看不见终局的资本开支竞赛里活下来”。</w:t>
      </w:r>
    </w:p>
    <w:p w14:paraId="2170039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如果谷歌的AI资本开支是一条清晰可预测的曲线，这笔投资完全可以套进巴菲特一贯的叙事——</w:t>
      </w:r>
      <w:r>
        <w:rPr>
          <w:rFonts w:hint="eastAsia" w:ascii="方正仿宋_GBK" w:hAnsi="方正仿宋_GBK" w:eastAsia="方正仿宋_GBK" w:cs="方正仿宋_GBK"/>
          <w:b w:val="0"/>
          <w:bCs w:val="0"/>
          <w:sz w:val="32"/>
          <w:szCs w:val="32"/>
        </w:rPr>
        <w:t>“市场对短期现金流恶化过度反应，内在价值被低估，（可以）逆向买入”。但谷歌管理层自己都不知道资本开支未来何时触顶，那这笔投资的性质，就已经变成了“对谷歌能否在这场竞赛中活下来、并重新产生自由现金流，进行的一个概率性判断”。这与巴菲特多年以来的估值原则相悖。</w:t>
      </w:r>
    </w:p>
    <w:p w14:paraId="779A1E0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七、如果按巴菲特的标准，阿贝尔是否应该买微软呢？</w:t>
      </w:r>
    </w:p>
    <w:p w14:paraId="14420B4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一个自然的追问随之而来：如果不选谷歌，微软是否更符合巴菲特的标准？</w:t>
      </w:r>
    </w:p>
    <w:p w14:paraId="736809C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在这场AI投资竞赛里，微软看起来是把AI最扎实地转化成产品收入的云厂商。</w:t>
      </w:r>
    </w:p>
    <w:p w14:paraId="10FF154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根据微软2026财年第二财季（对应2025年四季度）数据，当季Azure云业务整体收入同比增长约39%，管理层给出的具体拆分是：这39%的增速里，由AI相关业务贡献的部分大约是22到26个百分点，即，若把AI相关收入完全剔除，Azure原本的云计算主业（数据存储、服务器托管这类传统业务），增速大概只有13%到17%。</w:t>
      </w:r>
    </w:p>
    <w:p w14:paraId="7FA8B4D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这层拆分之所以重要，因为它说明了微软的AI</w:t>
      </w:r>
      <w:r>
        <w:rPr>
          <w:rFonts w:hint="eastAsia" w:ascii="方正仿宋_GBK" w:hAnsi="方正仿宋_GBK" w:eastAsia="方正仿宋_GBK" w:cs="方正仿宋_GBK"/>
          <w:b w:val="0"/>
          <w:bCs w:val="0"/>
          <w:sz w:val="32"/>
          <w:szCs w:val="32"/>
        </w:rPr>
        <w:t>收入已经不是一个抽象的“未来故事”，而是当季财报里就能被清楚测量、清楚归因的一块真实收入。这与谷歌“资本开支先砸下去、回报还在路上”的处境不同，微软至少能告诉投资者“</w:t>
      </w:r>
      <w:r>
        <w:rPr>
          <w:rFonts w:hint="default" w:ascii="Times New Roman" w:hAnsi="Times New Roman" w:eastAsia="方正仿宋_GBK" w:cs="Times New Roman"/>
          <w:b w:val="0"/>
          <w:bCs w:val="0"/>
          <w:sz w:val="32"/>
          <w:szCs w:val="32"/>
        </w:rPr>
        <w:t>AI</w:t>
      </w:r>
      <w:r>
        <w:rPr>
          <w:rFonts w:hint="eastAsia" w:ascii="方正仿宋_GBK" w:hAnsi="方正仿宋_GBK" w:eastAsia="方正仿宋_GBK" w:cs="方正仿宋_GBK"/>
          <w:b w:val="0"/>
          <w:bCs w:val="0"/>
          <w:sz w:val="32"/>
          <w:szCs w:val="32"/>
        </w:rPr>
        <w:t>具体贡献了多少增长”，其是一条更具体、也更容易被验证的商业化路径。</w:t>
      </w:r>
    </w:p>
    <w:p w14:paraId="34FC90B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与此同时，微软旗下AI办公助手Copilot在企业客户中的付费渗透率也在持续提升，进一步印证了，这条路径不只是云计算基础设施层面的故事，也开始渗透到面向终端用户的产品收入中。</w:t>
      </w:r>
    </w:p>
    <w:p w14:paraId="76748D8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但把微软的财报拆开细看，会发现它的问题不比谷歌更简单，只是性质不同。</w:t>
      </w:r>
    </w:p>
    <w:p w14:paraId="12DDBCC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第一，微软的资本开支同样在挤压现金流。</w:t>
      </w:r>
    </w:p>
    <w:p w14:paraId="2650754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仅在2026财年第二财季，资本开支就单季飙升至375亿美元，同比暴涨66%，导致当季自由现金流骤降至只有59亿美元，尽管经营现金流高达358亿美元，几乎全部被资本开支吞掉——财报公布后微软股价单日暴跌10%到12%，市值蒸发3500亿到4000亿美元，创下2020年3月以来最大单日跌幅。这说明微软面对的资本开支压力，和谷歌是同一种结构性压力，只是那时暂时还没有跨过自由现金流转负这条红线。</w:t>
      </w:r>
    </w:p>
    <w:p w14:paraId="0F3F407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第二个问题更隐蔽，也更值得警惕。</w:t>
      </w:r>
    </w:p>
    <w:p w14:paraId="19FC32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微软最近几个季度的利润增长，相当一部分不是Azure或Copilot销售赚回的经营利润，而是对OpenAI股权投资的公允价值波动。微软按权益法核算自己持有的OpenAI股权，这意味着OpenAI估值的浮动会直接冲击微软的净利润：某一季度这笔投资带来76亿美元净收益，直接把当季GAAP净利润拉高了60%；而再往前一年同期，同一笔投资却造成了9.39亿美元的净亏损。</w:t>
      </w:r>
    </w:p>
    <w:p w14:paraId="265B51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这正是巴</w:t>
      </w:r>
      <w:r>
        <w:rPr>
          <w:rFonts w:hint="eastAsia" w:ascii="方正仿宋_GBK" w:hAnsi="方正仿宋_GBK" w:eastAsia="方正仿宋_GBK" w:cs="方正仿宋_GBK"/>
          <w:b w:val="0"/>
          <w:bCs w:val="0"/>
          <w:sz w:val="32"/>
          <w:szCs w:val="32"/>
        </w:rPr>
        <w:t>菲特一贯最警惕的那类“利润”——被会计规则放大或扭曲的账面浮盈浮亏，而不是实打实的经营性现金流。</w:t>
      </w:r>
    </w:p>
    <w:p w14:paraId="76AF050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再进一步分析，截至2026年初，微软6250亿美元的商业待履约合同余额里，大约45%直接绑定OpenAI——而OpenAI本身至今未能持续盈利。换言之，</w:t>
      </w:r>
      <w:r>
        <w:rPr>
          <w:rFonts w:hint="eastAsia" w:ascii="方正仿宋_GBK" w:hAnsi="方正仿宋_GBK" w:eastAsia="方正仿宋_GBK" w:cs="方正仿宋_GBK"/>
          <w:b w:val="0"/>
          <w:bCs w:val="0"/>
          <w:sz w:val="32"/>
          <w:szCs w:val="32"/>
        </w:rPr>
        <w:t>如果拆开来看，“微软已经跑</w:t>
      </w:r>
      <w:r>
        <w:rPr>
          <w:rFonts w:hint="default" w:ascii="Times New Roman" w:hAnsi="Times New Roman" w:eastAsia="方正仿宋_GBK" w:cs="Times New Roman"/>
          <w:b w:val="0"/>
          <w:bCs w:val="0"/>
          <w:sz w:val="32"/>
          <w:szCs w:val="32"/>
        </w:rPr>
        <w:t>通AI变</w:t>
      </w:r>
      <w:r>
        <w:rPr>
          <w:rFonts w:hint="eastAsia" w:ascii="方正仿宋_GBK" w:hAnsi="方正仿宋_GBK" w:eastAsia="方正仿宋_GBK" w:cs="方正仿宋_GBK"/>
          <w:b w:val="0"/>
          <w:bCs w:val="0"/>
          <w:sz w:val="32"/>
          <w:szCs w:val="32"/>
        </w:rPr>
        <w:t>现”这个判断，很大一部分其实建立在“</w:t>
      </w:r>
      <w:r>
        <w:rPr>
          <w:rFonts w:hint="default" w:ascii="Times New Roman" w:hAnsi="Times New Roman" w:eastAsia="方正仿宋_GBK" w:cs="Times New Roman"/>
          <w:b w:val="0"/>
          <w:bCs w:val="0"/>
          <w:sz w:val="32"/>
          <w:szCs w:val="32"/>
        </w:rPr>
        <w:t>OpenAI</w:t>
      </w:r>
      <w:r>
        <w:rPr>
          <w:rFonts w:hint="eastAsia" w:ascii="方正仿宋_GBK" w:hAnsi="方正仿宋_GBK" w:eastAsia="方正仿宋_GBK" w:cs="方正仿宋_GBK"/>
          <w:b w:val="0"/>
          <w:bCs w:val="0"/>
          <w:sz w:val="32"/>
          <w:szCs w:val="32"/>
        </w:rPr>
        <w:t>能够持续经营、持续买单”这个尚未被验证的假设之上，而不是一个已经完全兑现的事实。</w:t>
      </w:r>
    </w:p>
    <w:p w14:paraId="0A4414A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而且，在最新一期财报里（2026财年第四财季，对应今年二季度)，Azure的增速已经进一步加速到43%，年化收入首次突破1000亿美元，但资本开支也同步攀升至约410亿美元，同比增幅达69%——增长和烧钱同步加速的态势，并没有随着时间推移而缓和，反而两头都在扩大。</w:t>
      </w:r>
    </w:p>
    <w:p w14:paraId="293C0E1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把谷歌和微软放在一起看，会发现两者呈现的其实是同一个问题的两种不同表现形式。谷歌的问</w:t>
      </w:r>
      <w:r>
        <w:rPr>
          <w:rFonts w:hint="eastAsia" w:ascii="方正仿宋_GBK" w:hAnsi="方正仿宋_GBK" w:eastAsia="方正仿宋_GBK" w:cs="方正仿宋_GBK"/>
          <w:b w:val="0"/>
          <w:bCs w:val="0"/>
          <w:sz w:val="32"/>
          <w:szCs w:val="32"/>
        </w:rPr>
        <w:t>题更“直白”——自由现金流转负，账面上没有太多需要拆解的会计层次；而微软的问题更“隐蔽”——表面利润增长亮眼，但拆开一看，增长中隐藏着对另一家未盈利公司股价涨跌的依赖，以及近一半收入承诺压在同一个交易对手身上的集中度风险。</w:t>
      </w:r>
    </w:p>
    <w:p w14:paraId="36102C8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八、无人敢先退出的竞赛</w:t>
      </w:r>
    </w:p>
    <w:p w14:paraId="46FFA62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谷歌和微软财报中所反映出的，是当下龙头科技公司同时在做的同一</w:t>
      </w:r>
      <w:r>
        <w:rPr>
          <w:rFonts w:hint="eastAsia" w:ascii="方正仿宋_GBK" w:hAnsi="方正仿宋_GBK" w:eastAsia="方正仿宋_GBK" w:cs="方正仿宋_GBK"/>
          <w:b w:val="0"/>
          <w:bCs w:val="0"/>
          <w:sz w:val="32"/>
          <w:szCs w:val="32"/>
        </w:rPr>
        <w:t>件事——用二十</w:t>
      </w:r>
      <w:r>
        <w:rPr>
          <w:rFonts w:hint="default" w:ascii="Times New Roman" w:hAnsi="Times New Roman" w:eastAsia="方正仿宋_GBK" w:cs="Times New Roman"/>
          <w:b w:val="0"/>
          <w:bCs w:val="0"/>
          <w:sz w:val="32"/>
          <w:szCs w:val="32"/>
        </w:rPr>
        <w:t>年积累下来的现金牛式利润，去填一个规模史无前例、且收敛时间未知的资本开支黑洞。谷歌、微软、亚马逊、Meta都在这条赛道上互相加码，任何一家先减速，都可能被解读为在AI竞赛中掉队，这种同行博弈本身还会持续推高整个行业资本开支</w:t>
      </w:r>
      <w:r>
        <w:rPr>
          <w:rFonts w:hint="eastAsia" w:ascii="方正仿宋_GBK" w:hAnsi="方正仿宋_GBK" w:eastAsia="方正仿宋_GBK" w:cs="方正仿宋_GBK"/>
          <w:b w:val="0"/>
          <w:bCs w:val="0"/>
          <w:sz w:val="32"/>
          <w:szCs w:val="32"/>
        </w:rPr>
        <w:t>的下限——没有人敢先退</w:t>
      </w:r>
      <w:r>
        <w:rPr>
          <w:rFonts w:hint="default" w:ascii="Times New Roman" w:hAnsi="Times New Roman" w:eastAsia="方正仿宋_GBK" w:cs="Times New Roman"/>
          <w:b w:val="0"/>
          <w:bCs w:val="0"/>
          <w:sz w:val="32"/>
          <w:szCs w:val="32"/>
        </w:rPr>
        <w:t>出这场竞赛，即便没有人能说清楚这场竞赛何时结束、以什么方式结束。</w:t>
      </w:r>
    </w:p>
    <w:p w14:paraId="532A91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回到伯克希尔这笔100亿美元投</w:t>
      </w:r>
      <w:r>
        <w:rPr>
          <w:rFonts w:hint="eastAsia" w:ascii="方正仿宋_GBK" w:hAnsi="方正仿宋_GBK" w:eastAsia="方正仿宋_GBK" w:cs="方正仿宋_GBK"/>
          <w:b w:val="0"/>
          <w:bCs w:val="0"/>
          <w:sz w:val="32"/>
          <w:szCs w:val="32"/>
        </w:rPr>
        <w:t>资本身，它留给市场的真正问题，或许不是“谷歌是不是一家好公司”，而是，当一家现金牛公司决定把自己变成资本密集型公司的那一瞬间，巴菲特的价值投资框架——现金流折现、安全边际——是否还足以给它定价；</w:t>
      </w:r>
      <w:r>
        <w:rPr>
          <w:rFonts w:hint="default" w:ascii="Times New Roman" w:hAnsi="Times New Roman" w:eastAsia="方正仿宋_GBK" w:cs="Times New Roman"/>
          <w:b w:val="0"/>
          <w:bCs w:val="0"/>
          <w:sz w:val="32"/>
          <w:szCs w:val="32"/>
        </w:rPr>
        <w:t>或者说，这类在AI基建上的押注，本质上已经变成了一种传统框架无法完全解释的、期权式的不确定性。</w:t>
      </w:r>
    </w:p>
    <w:p w14:paraId="7FDC904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伯克希尔用一笔看似寻常的股票加仓，悄悄把这个问题摆在了所有信奉价值投资纪律的人面前——而这个问题的答案，恐怕比这份财报的靓丽数据更值得被追问和思考。</w:t>
      </w:r>
    </w:p>
    <w:p w14:paraId="3A60B05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rPr>
        <w:t>补充</w:t>
      </w:r>
      <w:r>
        <w:rPr>
          <w:rFonts w:hint="default" w:ascii="Times New Roman" w:hAnsi="Times New Roman" w:eastAsia="方正仿宋_GBK" w:cs="Times New Roman"/>
          <w:b w:val="0"/>
          <w:bCs w:val="0"/>
          <w:sz w:val="32"/>
          <w:szCs w:val="32"/>
        </w:rPr>
        <w:t>：被低调处理的日元故事——五大商社与汇率对冲</w:t>
      </w:r>
    </w:p>
    <w:p w14:paraId="34D0B65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在二季报中，还有一笔5.75亿美元的汇兑收益，相较去年同期15.9亿美元的汇兑损失显著改善，这笔损益背后陷藏着一条运作了6年多、金额已经相当可观暗线——伯克希尔的日元债券和对日本五大商社的投资。</w:t>
      </w:r>
    </w:p>
    <w:p w14:paraId="21C894A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这条线看似是伯克希尔的内部财务操作，但它展现的跨货币资产负债表管理思路，其实也值得正在加速出海、日益要面对汇率敞口的中国企业留意。</w:t>
      </w:r>
    </w:p>
    <w:p w14:paraId="15BC630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一、起点：</w:t>
      </w:r>
      <w:r>
        <w:rPr>
          <w:rFonts w:hint="default" w:ascii="Times New Roman" w:hAnsi="Times New Roman" w:eastAsia="方正仿宋_GBK" w:cs="Times New Roman"/>
          <w:b w:val="0"/>
          <w:bCs w:val="0"/>
          <w:sz w:val="32"/>
          <w:szCs w:val="32"/>
        </w:rPr>
        <w:t>2019</w:t>
      </w:r>
      <w:r>
        <w:rPr>
          <w:rFonts w:hint="eastAsia" w:ascii="方正楷体_GBK" w:hAnsi="方正楷体_GBK" w:eastAsia="方正楷体_GBK" w:cs="方正楷体_GBK"/>
          <w:b w:val="0"/>
          <w:bCs w:val="0"/>
          <w:sz w:val="32"/>
          <w:szCs w:val="32"/>
        </w:rPr>
        <w:t>年的悄悄建仓</w:t>
      </w:r>
    </w:p>
    <w:p w14:paraId="70303C1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伯克希尔从2019年7月开始，悄悄买入日本五家大型综合商社的股票——伊藤忠商事、丸红、</w:t>
      </w:r>
      <w:r>
        <w:rPr>
          <w:rFonts w:hint="eastAsia" w:ascii="方正仿宋_GBK" w:hAnsi="方正仿宋_GBK" w:eastAsia="方正仿宋_GBK" w:cs="方正仿宋_GBK"/>
          <w:b w:val="0"/>
          <w:bCs w:val="0"/>
          <w:sz w:val="32"/>
          <w:szCs w:val="32"/>
        </w:rPr>
        <w:t>三菱商事、三井物产、住友商事。这五家公司在日本被称为“综合商社”</w:t>
      </w:r>
      <w:r>
        <w:rPr>
          <w:rFonts w:hint="default" w:ascii="Times New Roman" w:hAnsi="Times New Roman" w:eastAsia="方正仿宋_GBK" w:cs="Times New Roman"/>
          <w:b w:val="0"/>
          <w:bCs w:val="0"/>
          <w:sz w:val="32"/>
          <w:szCs w:val="32"/>
        </w:rPr>
        <w:t>（sogo shosha），其业务模式相当独特：它们不生产任何单一产品，而是横跨能源、金属、粮食、化工、物流等几乎所有大宗商品和基础产业领域，一手做贸易中介，一手直接参股上下游企业。</w:t>
      </w:r>
    </w:p>
    <w:p w14:paraId="2858EAA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某种意义上，它们的商业模式本身就和伯克希尔本身高度相似——都是靠多元化的实业组合、而不是单一业务，来穿越经济周期。这也是巴菲特反复公开表示欣赏这五家公司的原因：管理层稳健、资本配置纪律严明、对股东友好（愿意持续分红和回购）。</w:t>
      </w:r>
    </w:p>
    <w:p w14:paraId="7D85576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2020年8月30日，巴菲特在自己90岁生日当天，首次公开披露这笔投资，当时对五家公司的持股比例都在5%左右，合计市值约63亿美元。此后六年，伯克希尔持续、缓慢地增持——2020年最初对外承诺，在没有得到五家公司同意之前，不会把持股比例提高到10%以上。</w:t>
      </w:r>
    </w:p>
    <w:p w14:paraId="0FBBA5B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2025年2月，</w:t>
      </w:r>
      <w:r>
        <w:rPr>
          <w:rFonts w:hint="eastAsia" w:ascii="方正仿宋_GBK" w:hAnsi="方正仿宋_GBK" w:eastAsia="方正仿宋_GBK" w:cs="方正仿宋_GBK"/>
          <w:b w:val="0"/>
          <w:bCs w:val="0"/>
          <w:sz w:val="32"/>
          <w:szCs w:val="32"/>
        </w:rPr>
        <w:t>在巴菲特发布的年度股东信里，宣布五家公司已经同意“适度放宽”这个上限</w:t>
      </w:r>
      <w:r>
        <w:rPr>
          <w:rFonts w:hint="default" w:ascii="Times New Roman" w:hAnsi="Times New Roman" w:eastAsia="方正仿宋_GBK" w:cs="Times New Roman"/>
          <w:b w:val="0"/>
          <w:bCs w:val="0"/>
          <w:sz w:val="32"/>
          <w:szCs w:val="32"/>
        </w:rPr>
        <w:t>。到了2026年5月，在阿贝尔正式执掌伯克希尔之后，伯克希尔通过旗下全资保险子公司National Indemnity，正式将五家公司的持股比例全部提升至10%以上。这被外界解读为</w:t>
      </w:r>
      <w:r>
        <w:rPr>
          <w:rFonts w:hint="eastAsia" w:ascii="方正仿宋_GBK" w:hAnsi="方正仿宋_GBK" w:eastAsia="方正仿宋_GBK" w:cs="方正仿宋_GBK"/>
          <w:b w:val="0"/>
          <w:bCs w:val="0"/>
          <w:sz w:val="32"/>
          <w:szCs w:val="32"/>
        </w:rPr>
        <w:t>阿贝尔上任后，第一笔实质性的、独立于巴菲特此前框架的大额资本部署动作，某种意义上，这笔投资也成了观察“阿贝尔是否真正延续巴菲特长期思路”的一个具体样本。</w:t>
      </w:r>
    </w:p>
    <w:p w14:paraId="3213AF6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截至2024年底，这五笔持仓的市值已经达到235亿美元，而当初的建仓成本只有138亿美元；到了2025年10月，总市值进一步攀升至310亿美元，相比最初63亿美元的建仓规模，累计涨幅达到392%，五只股票各自的涨幅在227%到551%之间不等。伯克希尔每年从这五家公司获得的股息收入，预计在8</w:t>
      </w:r>
      <w:r>
        <w:rPr>
          <w:rFonts w:hint="eastAsia" w:ascii="方正仿宋_GBK" w:hAnsi="方正仿宋_GBK" w:eastAsia="方正仿宋_GBK" w:cs="方正仿宋_GBK"/>
          <w:b w:val="0"/>
          <w:bCs w:val="0"/>
          <w:sz w:val="32"/>
          <w:szCs w:val="32"/>
        </w:rPr>
        <w:t>亿美元左右——这是一笔持续、稳定、几乎不需要额外操心的现金流入，完全符合巴菲特一贯偏爱的“现金牛”标准。</w:t>
      </w:r>
    </w:p>
    <w:p w14:paraId="6E5999B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二、日元债券：一笔教科书式的货币对冲</w:t>
      </w:r>
    </w:p>
    <w:p w14:paraId="080641C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伯克希尔为了给这笔日元资产融资，同时对冲汇率风险，持续发行日元计价债券——用日元负债去匹配日元资产，让整笔投资的美元回报，尽量不受日元兑美元汇率波动的干扰。</w:t>
      </w:r>
    </w:p>
    <w:p w14:paraId="2198307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这个操作本身在财务技术上相当经典，但值得赞叹的是它实际产生的账面效果：据伯克希尔自己披露，过去几年这笔日元债务的汇率重估，累计为公司带来</w:t>
      </w:r>
      <w:r>
        <w:rPr>
          <w:rFonts w:hint="default" w:ascii="Times New Roman" w:hAnsi="Times New Roman" w:eastAsia="方正仿宋_GBK" w:cs="Times New Roman"/>
          <w:b w:val="0"/>
          <w:bCs w:val="0"/>
          <w:sz w:val="32"/>
          <w:szCs w:val="32"/>
        </w:rPr>
        <w:t>了23亿美元的税后收益，仅2024年一年就贡献了8.5亿美元——</w:t>
      </w:r>
      <w:r>
        <w:rPr>
          <w:rFonts w:hint="eastAsia" w:ascii="方正仿宋_GBK" w:hAnsi="方正仿宋_GBK" w:eastAsia="方正仿宋_GBK" w:cs="方正仿宋_GBK"/>
          <w:b w:val="0"/>
          <w:bCs w:val="0"/>
          <w:sz w:val="32"/>
          <w:szCs w:val="32"/>
        </w:rPr>
        <w:t>原因是当年美元兑日元升值了11%，伯克希尔需要偿还的日元债务，折算成美元后的价值随之下降，从而在账面上确认了这笔收益。</w:t>
      </w:r>
    </w:p>
    <w:p w14:paraId="7CF7D5D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这笔收入体现在财报的“汇兑损益”，它并不是“炒汇赚钱”，而是外币负债重估的自然结果，其金额相当可观，但与公司主营业务的经营表现没有直接关系。</w:t>
      </w:r>
    </w:p>
    <w:p w14:paraId="3F64905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汇兑损益的收入，展现出伯克希尔一个容易被忽视的侧面——全球化的资产负债表管理能力。大多数人对伯克希尔的印象，停留在“巴菲特买美股、囤现金”这个相对朴素的框架里，但投资日本五大商社，叠加发行日元债券进行汇率风险对冲，说明伯克希尔早在数年前，就已经在用一种相当精密的跨货币资产负债表操作，去布局一笔长期的海外重仓——买入的不是某一只股票，而是一个国家产业结构的核心枢纽；融资工具选择的也不是简单的美元借款，而是精确匹配资产币种的日元负债。</w:t>
      </w:r>
    </w:p>
    <w:p w14:paraId="3E51F1B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当下正在大举出海的中国企业，这套思路具有直接的借鉴意义。越来越多的中国制造业和工程企业在海外持有以当地货币计价的资产、签订当地货币结算的长期合同，却往往还是习惯用人民币或美元去做主要的融资和对冲安排，一旦当地货币出现大幅波动，账面利润就会被汇率反复冲刷。</w:t>
      </w:r>
    </w:p>
    <w:p w14:paraId="1191AC4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海外资产的货币敞口，最彻底的对冲方式，往往不是靠金融衍生品去“补救”，而是从融资端就用同一种货币去匹配，让资产和负债在货币维度上先天对齐，而不是事后用衍生工具去弥补。这或许比“这个季度买了多少股票”这类短期数字，更能说明伯克希尔这家公司真正的能力边界，也更值得中国出海企业在拓展海外布局时认真参考。</w:t>
      </w:r>
    </w:p>
    <w:p w14:paraId="7C213F4E">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Times New Roman" w:hAnsi="Times New Roman" w:eastAsia="方正仿宋_GBK" w:cs="Times New Roman"/>
          <w:b w:val="0"/>
          <w:bCs w:val="0"/>
          <w:sz w:val="32"/>
          <w:szCs w:val="32"/>
        </w:rPr>
      </w:pPr>
      <w:r>
        <w:rPr>
          <w:rFonts w:hint="eastAsia" w:ascii="Times New Roman" w:hAnsi="Times New Roman" w:eastAsia="方正楷体_GBK" w:cs="方正楷体_GBK"/>
          <w:b/>
          <w:bCs/>
          <w:color w:val="FF0000"/>
          <w:spacing w:val="0"/>
          <w:kern w:val="2"/>
          <w:sz w:val="30"/>
          <w:szCs w:val="30"/>
          <w:lang w:val="en-US" w:eastAsia="zh-CN" w:bidi="ar-SA"/>
        </w:rPr>
        <w:t xml:space="preserve">                                  </w:t>
      </w: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w:t>
      </w:r>
      <w:r>
        <w:rPr>
          <w:rFonts w:hint="default" w:ascii="Times New Roman" w:hAnsi="Times New Roman" w:eastAsia="方正楷体_GBK" w:cs="方正楷体_GBK"/>
          <w:b/>
          <w:bCs/>
          <w:color w:val="FF0000"/>
          <w:spacing w:val="0"/>
          <w:kern w:val="2"/>
          <w:sz w:val="30"/>
          <w:szCs w:val="30"/>
          <w:lang w:val="en-US" w:eastAsia="zh-CN" w:bidi="ar-SA"/>
        </w:rPr>
        <w:t>）</w:t>
      </w:r>
    </w:p>
    <w:p w14:paraId="7CA0620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734F66B5">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066DDFA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伯克希尔・哈撒韦公司（Berkshire Hathaway Inc.）. 2026 年第二季度财务报告 [R]. 奥马哈：伯克希尔・哈撒韦公司，2026.</w:t>
      </w:r>
    </w:p>
    <w:p w14:paraId="2F02FA5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对应支撑：伯克希尔二季度 GAAP 净利润、运营利润、各业务板块经营表现、现金储备规模、股票回购金额、汇兑损益等全部核心财务数据。</w:t>
      </w:r>
    </w:p>
    <w:p w14:paraId="66E2DD1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字母表公司（Alphabet Inc.）. 2026 年第二季度财务业绩报告 [R]. 山景城：字母表公司，2026.</w:t>
      </w:r>
    </w:p>
    <w:p w14:paraId="23B25A9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对应支撑：谷歌二季度经营现金流、资本开支规模、自由现金流转负情况、Google Cloud 收入增速、全年资本开支上调指引等核心经营数据。</w:t>
      </w:r>
    </w:p>
    <w:p w14:paraId="33E6400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微软公司（Microsoft Corporation）. 2026 财年第二财季财务报告 [R]. 雷德蒙德：微软公司，2026.</w:t>
      </w:r>
    </w:p>
    <w:p w14:paraId="0D2809E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对应支撑：Azure 云业务整体收入增速、AI 业务贡献拆分、单季资本开支与自由现金流、OpenAI 股权投资损益、商业待履约合同余额等数据。</w:t>
      </w:r>
    </w:p>
    <w:p w14:paraId="43A8508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微软公司（Microsoft Corporation）. 2026 财年第四财季财务报告 [R]. 雷德蒙德：微软公司，2026.</w:t>
      </w:r>
    </w:p>
    <w:p w14:paraId="3233C9D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对应支撑：Azure 最新收入增速、年化收入规模、资本开支同比增幅等最新经营数据。</w:t>
      </w:r>
    </w:p>
    <w:p w14:paraId="2BB2A8D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西方石油公司（Occidental Petroleum Corporation）.关于出售OxyChem基础化工子公司的官方公告[EB/OL]. (2026-01)[2026-08-10]. https://www.oxy.com.</w:t>
      </w:r>
    </w:p>
    <w:p w14:paraId="6E2C5D2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对应支撑：伯克希尔以约97亿美元收购OxyChem的交易背景与交易金额。</w:t>
      </w:r>
    </w:p>
    <w:p w14:paraId="171585D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泰勒・莫里森住宅公司（Taylor Morrison Home Corporation）. 关于公司被伯克希尔・哈撒韦收购的公告[EB/OL]. (2026-07-24)[2026-08-10]. https://www.taylormorrison.com.</w:t>
      </w:r>
    </w:p>
    <w:p w14:paraId="6B7C09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对应支撑：伯克希尔以约68亿美元收购美国大型住宅建筑商Taylor Morrison的交易详情。</w:t>
      </w:r>
    </w:p>
    <w:p w14:paraId="79CA7D8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伯克希尔・哈撒韦公司（Berkshire Hathaway Inc.）. 2025 年致股东的信[R]. 奥马哈：伯克希尔・哈撒韦公司，2025.</w:t>
      </w:r>
    </w:p>
    <w:p w14:paraId="787FB08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对应支撑：日本五大商社持股上限放宽的官方披露、伯克希尔历史资本配置原则、股票回购纪律等内容。</w:t>
      </w:r>
    </w:p>
    <w:p w14:paraId="6067351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伯克希尔・哈撒韦公司（Berkshire Hathaway Inc.）. 关于增持日本五大商社持股比例的公告[EB/OL]. (2026-05)[2026-08-10]. https://www.berkshirehathaway.com.</w:t>
      </w:r>
    </w:p>
    <w:p w14:paraId="2F7406F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对应支撑：伯克希尔通过全资保险子公司National Indemnity将五家日本商社持股比例提升至10%以上的官方披露。</w:t>
      </w:r>
    </w:p>
    <w:p w14:paraId="24456DC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补充说明</w:t>
      </w:r>
    </w:p>
    <w:p w14:paraId="5BB2B0F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文中关于巴菲特价值投资体系、护城河理论、自由现金流折现（DCF）模型等理论性阐述，以及喜诗糖果投资案例等行业经典内容，属于价值投资领域的公开常识与普遍研究结论，未单独列入正式参考文献。</w:t>
      </w:r>
    </w:p>
    <w:p w14:paraId="474CD0E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778A4AEF">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19C7842A">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17C2CAF">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10D23693">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15109351">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37424ADF">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bCs/>
          <w:color w:val="2E75B6" w:themeColor="accent1" w:themeShade="BF"/>
          <w:spacing w:val="-11"/>
          <w:sz w:val="44"/>
          <w:szCs w:val="44"/>
          <w:highlight w:val="none"/>
          <w:lang w:val="en-US" w:eastAsia="zh-CN"/>
        </w:rPr>
        <w:t>美国，同一个押注的两个筹码</w:t>
      </w:r>
    </w:p>
    <w:p w14:paraId="053573E7">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pacing w:val="-20"/>
          <w:sz w:val="32"/>
          <w:szCs w:val="32"/>
          <w:lang w:eastAsia="zh-CN"/>
        </w:rPr>
        <w:t>——从国债收益率到一支爆仓基金，看</w:t>
      </w:r>
      <w:r>
        <w:rPr>
          <w:rFonts w:hint="default" w:ascii="Times New Roman" w:hAnsi="Times New Roman" w:eastAsia="方正楷体_GBK" w:cs="Times New Roman"/>
          <w:b w:val="0"/>
          <w:bCs w:val="0"/>
          <w:spacing w:val="-20"/>
          <w:sz w:val="32"/>
          <w:szCs w:val="32"/>
          <w:lang w:eastAsia="zh-CN"/>
        </w:rPr>
        <w:t>AI</w:t>
      </w:r>
      <w:r>
        <w:rPr>
          <w:rFonts w:hint="eastAsia" w:ascii="方正楷体_GBK" w:hAnsi="方正楷体_GBK" w:eastAsia="方正楷体_GBK" w:cs="方正楷体_GBK"/>
          <w:b w:val="0"/>
          <w:bCs w:val="0"/>
          <w:spacing w:val="-20"/>
          <w:sz w:val="32"/>
          <w:szCs w:val="32"/>
          <w:lang w:eastAsia="zh-CN"/>
        </w:rPr>
        <w:t>叙事背后的风险定价偏差</w:t>
      </w:r>
    </w:p>
    <w:p w14:paraId="23DE1E2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51CEF8CC">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：本文以</w:t>
      </w:r>
      <w:r>
        <w:rPr>
          <w:rFonts w:hint="default" w:ascii="Times New Roman" w:hAnsi="Times New Roman" w:eastAsia="方正楷体_GBK" w:cs="Times New Roman"/>
          <w:b w:val="0"/>
          <w:bCs w:val="0"/>
          <w:sz w:val="28"/>
          <w:szCs w:val="28"/>
          <w:lang w:val="en-US" w:eastAsia="zh-CN"/>
        </w:rPr>
        <w:t>2026</w:t>
      </w:r>
      <w:r>
        <w:rPr>
          <w:rFonts w:hint="eastAsia" w:ascii="方正楷体_GBK" w:hAnsi="方正楷体_GBK" w:eastAsia="方正楷体_GBK" w:cs="方正楷体_GBK"/>
          <w:b w:val="0"/>
          <w:bCs w:val="0"/>
          <w:sz w:val="28"/>
          <w:szCs w:val="28"/>
          <w:lang w:val="en-US" w:eastAsia="zh-CN"/>
        </w:rPr>
        <w:t>年</w:t>
      </w:r>
      <w:r>
        <w:rPr>
          <w:rFonts w:hint="eastAsia" w:ascii="Times New Roman" w:hAnsi="Times New Roman" w:eastAsia="方正楷体_GBK" w:cs="Times New Roman"/>
          <w:b w:val="0"/>
          <w:bCs w:val="0"/>
          <w:sz w:val="28"/>
          <w:szCs w:val="28"/>
          <w:lang w:val="en-US" w:eastAsia="zh-CN"/>
        </w:rPr>
        <w:t>7</w:t>
      </w:r>
      <w:r>
        <w:rPr>
          <w:rFonts w:hint="eastAsia" w:ascii="方正楷体_GBK" w:hAnsi="方正楷体_GBK" w:eastAsia="方正楷体_GBK" w:cs="方正楷体_GBK"/>
          <w:b w:val="0"/>
          <w:bCs w:val="0"/>
          <w:sz w:val="28"/>
          <w:szCs w:val="28"/>
          <w:lang w:val="en-US" w:eastAsia="zh-CN"/>
        </w:rPr>
        <w:t>月</w:t>
      </w:r>
      <w:r>
        <w:rPr>
          <w:rFonts w:hint="eastAsia" w:ascii="Times New Roman" w:hAnsi="Times New Roman" w:eastAsia="方正楷体_GBK" w:cs="Times New Roman"/>
          <w:b w:val="0"/>
          <w:bCs w:val="0"/>
          <w:sz w:val="28"/>
          <w:szCs w:val="28"/>
          <w:lang w:val="en-US" w:eastAsia="zh-CN"/>
        </w:rPr>
        <w:t>SA</w:t>
      </w:r>
      <w:r>
        <w:rPr>
          <w:rFonts w:hint="eastAsia" w:ascii="方正楷体_GBK" w:hAnsi="方正楷体_GBK" w:eastAsia="方正楷体_GBK" w:cs="方正楷体_GBK"/>
          <w:b w:val="0"/>
          <w:bCs w:val="0"/>
          <w:sz w:val="28"/>
          <w:szCs w:val="28"/>
          <w:lang w:val="en-US" w:eastAsia="zh-CN"/>
        </w:rPr>
        <w:t>对冲基金爆仓与美国国债收益率攀升至</w:t>
      </w:r>
      <w:r>
        <w:rPr>
          <w:rFonts w:hint="eastAsia" w:ascii="Times New Roman" w:hAnsi="Times New Roman" w:eastAsia="方正楷体_GBK" w:cs="Times New Roman"/>
          <w:b w:val="0"/>
          <w:bCs w:val="0"/>
          <w:sz w:val="28"/>
          <w:szCs w:val="28"/>
          <w:lang w:val="en-US" w:eastAsia="zh-CN"/>
        </w:rPr>
        <w:t>19</w:t>
      </w:r>
      <w:r>
        <w:rPr>
          <w:rFonts w:hint="eastAsia" w:ascii="方正楷体_GBK" w:hAnsi="方正楷体_GBK" w:eastAsia="方正楷体_GBK" w:cs="方正楷体_GBK"/>
          <w:b w:val="0"/>
          <w:bCs w:val="0"/>
          <w:sz w:val="28"/>
          <w:szCs w:val="28"/>
          <w:lang w:val="en-US" w:eastAsia="zh-CN"/>
        </w:rPr>
        <w:t>年新高两个并行事件为研究样本，围绕</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叙事下不同主体共同的风险定价偏差展开分析，属于宏观金融、科技投资泡沫与财政可持续性交叉研究领域。文章揭示了主权与机构两个层面的同构性认知偏误：美国政府以</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未来生产率红利为当下财政扩张背书，忽视技术落地的时间滞后与收益分配错配；高杠杆基金将</w:t>
      </w:r>
      <w:r>
        <w:rPr>
          <w:rFonts w:hint="eastAsia" w:ascii="Times New Roman" w:hAnsi="Times New Roman" w:eastAsia="方正楷体_GBK" w:cs="Times New Roman"/>
          <w:b w:val="0"/>
          <w:bCs w:val="0"/>
          <w:sz w:val="28"/>
          <w:szCs w:val="28"/>
          <w:lang w:val="en-US" w:eastAsia="zh-CN"/>
        </w:rPr>
        <w:t>AI产</w:t>
      </w:r>
      <w:r>
        <w:rPr>
          <w:rFonts w:hint="eastAsia" w:ascii="方正楷体_GBK" w:hAnsi="方正楷体_GBK" w:eastAsia="方正楷体_GBK" w:cs="方正楷体_GBK"/>
          <w:b w:val="0"/>
          <w:bCs w:val="0"/>
          <w:sz w:val="28"/>
          <w:szCs w:val="28"/>
          <w:lang w:val="en-US" w:eastAsia="zh-CN"/>
        </w:rPr>
        <w:t>业长期趋势直接转化为集中重仓的交易策略，最终因短期波动与流动性约束爆仓。研究指出二者本质均是将方向正确性等同于兑现确定性，阐释了拥挤交易与杠杆叠加的系统性风险，为研判科技叙事下的资产定价与财政风险提供了双重视角。</w:t>
      </w:r>
    </w:p>
    <w:p w14:paraId="5CD29A3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5ECC8EA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18A66ED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7月底，一家名叫Situational Awareness（简称SA）的对冲基金，在短短几天内，从7月初约450亿美元的峰值规模骤降至百亿美元左右。其创立者Leopold Aschenbrenner（前OpenAI研究员）只有25岁，2年前因为一篇预言AI将如何重构全球算力格局的论文《Situational Awareness》一举成名，并用同一个名字创立了这支基金——用4倍杠杆重仓AI基础设施产业链，一度斩获超过400%的回报。</w:t>
      </w:r>
    </w:p>
    <w:p w14:paraId="668F028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从6月下旬开始，以半导体为代表的AI基础设施相关资产出现剧烈回调，费城半导体指数（SOX）从6月下旬高点到7月底最大跌幅约21%。对于采用高杠杆、集中押注AI基础设施产业链的SA基金而言，这样的市场调整迅速演变成流动性危机，导致其先后被多家主经纪商要求追加保证金，不得不大规模折价出售所持股票。</w:t>
      </w:r>
    </w:p>
    <w:p w14:paraId="0FDBC73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与对冲基金爆仓的戏剧性场面相比，同期美国国债市场的变化要安静得多，却在安静地讲述同一故事的另一个版本：2年期国债收益率报4.20%，10年期一度触及19个月高点4.75%，而30年期收益率攀升至5.24%——这是近19年来的最高水平，上一次30年期收益率站上这个位置，还是2007年金融危机爆发前夕。</w:t>
      </w:r>
    </w:p>
    <w:p w14:paraId="17D89E7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一个是25岁基金经理的杠杆豪赌，一个是全世界最大主权借款人的融资成本——</w:t>
      </w:r>
      <w:r>
        <w:rPr>
          <w:rFonts w:hint="eastAsia" w:ascii="方正仿宋_GBK" w:hAnsi="方正仿宋_GBK" w:eastAsia="方正仿宋_GBK" w:cs="方正仿宋_GBK"/>
          <w:b w:val="0"/>
          <w:bCs w:val="0"/>
          <w:sz w:val="32"/>
          <w:szCs w:val="32"/>
        </w:rPr>
        <w:t>规模、参与者、风险载体完全不在一个量级上，却在同一段时间里，共同揭示了一个值得警惕的现象：当一个足够动听的长期叙事被市场广泛接受之后，参与者很容易把“方向大概率正确”，进一步外推成“兑现路径和时间也大概率确定”</w:t>
      </w:r>
      <w:r>
        <w:rPr>
          <w:rFonts w:hint="default" w:ascii="Times New Roman" w:hAnsi="Times New Roman" w:eastAsia="方正仿宋_GBK" w:cs="Times New Roman"/>
          <w:b w:val="0"/>
          <w:bCs w:val="0"/>
          <w:sz w:val="32"/>
          <w:szCs w:val="32"/>
        </w:rPr>
        <w:t>。</w:t>
      </w:r>
    </w:p>
    <w:p w14:paraId="032C4B1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美国政府据此容忍今天不断上升的融资成本，期待未来AI带来的生产率和税收增长消化债务压力；基金经理则据此承担今天本来无法承受的杠杆和仓位风险，等待AI基础设施需求兑现。一个把未来的经济增长当成今天财政扩张的支撑，一个把未来的产业增长当成今天高杠杆仓位的底牌。</w:t>
      </w:r>
    </w:p>
    <w:p w14:paraId="79B2668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rPr>
        <w:t>第一部分：主权层面的赌注</w:t>
      </w:r>
      <w:r>
        <w:rPr>
          <w:rFonts w:hint="default" w:ascii="Times New Roman" w:hAnsi="Times New Roman" w:eastAsia="方正仿宋_GBK" w:cs="Times New Roman"/>
          <w:b w:val="0"/>
          <w:bCs w:val="0"/>
          <w:sz w:val="32"/>
          <w:szCs w:val="32"/>
        </w:rPr>
        <w:t>——</w:t>
      </w:r>
      <w:r>
        <w:rPr>
          <w:rFonts w:hint="eastAsia" w:ascii="方正黑体_GBK" w:hAnsi="方正黑体_GBK" w:eastAsia="方正黑体_GBK" w:cs="方正黑体_GBK"/>
          <w:b w:val="0"/>
          <w:bCs w:val="0"/>
          <w:sz w:val="32"/>
          <w:szCs w:val="32"/>
        </w:rPr>
        <w:t>谁在为</w:t>
      </w:r>
      <w:r>
        <w:rPr>
          <w:rFonts w:hint="default"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的故事支付利息</w:t>
      </w:r>
    </w:p>
    <w:p w14:paraId="1FBA6A1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美国国债收益率今年的走势，呈现出一个与常识相悖的现象。按照教科书逻辑，长端利率走高，通常意味着市场预期经济会加速增长——企业争相借贷扩张，资金需求推高利率，这是“好的”利率上行。但今年这一轮收益率抬升，更多呈现出的是“坏”的成分：通胀预期顽固不退、财政赤字看不到收窄的迹象、叠加市场对新任美联储主席沃什政策路径的不确定性，三者叠加，把2年期、10年期、30年期收益率同时推上了各自的阶段性高点，其中30年期收益率创下19年新高，这个位置足以让任何一个盯着国债市场的人，联想起2007年金融危机前夕的那种紧绷感。</w:t>
      </w:r>
    </w:p>
    <w:p w14:paraId="56C11D8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而这一轮利率抬升，恰好撞上了一个史无前例的资本需求缺口——今年全球数据中心资本开支预计将首次突破1万亿美元，其中美国大型科技公司的AI基础设施投入占据重要比重。这些巨额资本开支相当一部分需要通过债务和股权市场融资。比如谷歌，6月宣布总额约847.5亿美元的股权融资计划，用于支持AI基础设施和算力投资。</w:t>
      </w:r>
    </w:p>
    <w:p w14:paraId="758C3C0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当整个经济体里，最有钱、信用最好的一批企业，同时在市场上争抢资金，融资成本自然会被系统性推高——因此，即使通胀本身还没有失控到让人恐慌的地步，美国的长端利率依然在稳步走高。换言之，AI基建本身，已经变成了一台持续抽取市场流动性的抽水机。</w:t>
      </w:r>
    </w:p>
    <w:p w14:paraId="6148C2B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而这台抽水机，又恰好撞上了美国政府本就脆弱的财政状况。美国联邦政府的利息支出，已经连续多年是财政预算里增长最快的科目之一。2025财年，净利息支出进一步升至约9700亿美元，超过国防支出，成为美国联邦政府第三大的单项支出，仅次于社会保障和医疗保险（Medicare）。国债收益率每上行1个百分点，直接转化为未来10年新增的巨额利息负担。</w:t>
      </w:r>
    </w:p>
    <w:p w14:paraId="749EC5F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理论上，面对如此大的债务压力，政府应该收紧开支、缩减赤字，但现实里，美国两党在削减福利开支这类政治敏感议题上，几乎没有任何达成一致的空间——民主党不愿触碰社会保障和医疗福利，共和党不愿放弃减税和国防开支，双方都倾向于把真正的财政紧缩，留给下一届政府去处理。</w:t>
      </w:r>
    </w:p>
    <w:p w14:paraId="1D691D6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在这样的背景下，一种关于未来增长的乐观预期逐渐成为华盛顿政策讨论中的重要逻辑：只要AI能够如预期般提升全社会生产力，带来一轮新的经济增长和税收扩张，当下积累的债务压力，自然会被更快增长的经济体量所稀释——不需要动用财政紧缩这味苦药，增长本身就能治愈债务问题。</w:t>
      </w:r>
    </w:p>
    <w:p w14:paraId="0509C6A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这个逻辑听起来很有吸引力，但至少存在两层站不住脚的地方。</w:t>
      </w:r>
    </w:p>
    <w:p w14:paraId="0D80171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第一层，是时间错配</w:t>
      </w:r>
      <w:r>
        <w:rPr>
          <w:rFonts w:hint="default" w:ascii="Times New Roman" w:hAnsi="Times New Roman" w:eastAsia="方正仿宋_GBK" w:cs="Times New Roman"/>
          <w:b w:val="0"/>
          <w:bCs w:val="0"/>
          <w:sz w:val="32"/>
          <w:szCs w:val="32"/>
        </w:rPr>
        <w:t>。AI基建投资带来的融资成本，已经实实在在地反映在今天的国债收益率上，但AI真正转化为社会生产力提升、进而反映到GDP增长和税收扩张上，历史经验（电力、计算机技术的普及都耗费了几十年）告诉我们，这中间存在一个漫长且不确定的滞后期。用一句更直白的话说：账单已经寄到了，但支票还没有写出来。</w:t>
      </w:r>
    </w:p>
    <w:p w14:paraId="317EBCA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第二层，是收益分配的错配</w:t>
      </w:r>
      <w:r>
        <w:rPr>
          <w:rFonts w:hint="default" w:ascii="Times New Roman" w:hAnsi="Times New Roman" w:eastAsia="方正仿宋_GBK" w:cs="Times New Roman"/>
          <w:b w:val="0"/>
          <w:bCs w:val="0"/>
          <w:sz w:val="32"/>
          <w:szCs w:val="32"/>
        </w:rPr>
        <w:t>。即便AI红利</w:t>
      </w:r>
      <w:r>
        <w:rPr>
          <w:rFonts w:hint="eastAsia" w:ascii="方正仿宋_GBK" w:hAnsi="方正仿宋_GBK" w:eastAsia="方正仿宋_GBK" w:cs="方正仿宋_GBK"/>
          <w:b w:val="0"/>
          <w:bCs w:val="0"/>
          <w:sz w:val="32"/>
          <w:szCs w:val="32"/>
        </w:rPr>
        <w:t>如期兑现，它给财政带来的净效果也远比“技术进步</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rPr>
        <w:t>税收增长”这个</w:t>
      </w:r>
      <w:r>
        <w:rPr>
          <w:rFonts w:hint="default" w:ascii="Times New Roman" w:hAnsi="Times New Roman" w:eastAsia="方正仿宋_GBK" w:cs="Times New Roman"/>
          <w:b w:val="0"/>
          <w:bCs w:val="0"/>
          <w:sz w:val="32"/>
          <w:szCs w:val="32"/>
        </w:rPr>
        <w:t>简单等式复杂：AI对劳动力的替代效应，会推高失业救济等社会保障支出；而AI创造的收益未必会按照与GDP增长相同的比例转化为政府税收，尤其当更多收益流向资本而非劳动时，财政获得的增量收入可能低于经济总量的增幅。这意味着，即便经济蛋糕做大了，政府能从中切走的税收比例反而可能下降——一边是刚性的财政支出在AI冲击下上涨，一边是税收增速跟不上收益增速，这两股力量会实质性侵蚀AI技术进步给财政账本带来的净改善。</w:t>
      </w:r>
    </w:p>
    <w:p w14:paraId="51B2635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把这</w:t>
      </w:r>
      <w:r>
        <w:rPr>
          <w:rFonts w:hint="eastAsia" w:ascii="方正仿宋_GBK" w:hAnsi="方正仿宋_GBK" w:eastAsia="方正仿宋_GBK" w:cs="方正仿宋_GBK"/>
          <w:b w:val="0"/>
          <w:bCs w:val="0"/>
          <w:sz w:val="32"/>
          <w:szCs w:val="32"/>
        </w:rPr>
        <w:t>两层放在一起看，“用</w:t>
      </w:r>
      <w:r>
        <w:rPr>
          <w:rFonts w:hint="default" w:ascii="Times New Roman" w:hAnsi="Times New Roman" w:eastAsia="方正仿宋_GBK" w:cs="Times New Roman"/>
          <w:b w:val="0"/>
          <w:bCs w:val="0"/>
          <w:sz w:val="32"/>
          <w:szCs w:val="32"/>
        </w:rPr>
        <w:t>AI故事覆</w:t>
      </w:r>
      <w:r>
        <w:rPr>
          <w:rFonts w:hint="eastAsia" w:ascii="方正仿宋_GBK" w:hAnsi="方正仿宋_GBK" w:eastAsia="方正仿宋_GBK" w:cs="方正仿宋_GBK"/>
          <w:b w:val="0"/>
          <w:bCs w:val="0"/>
          <w:sz w:val="32"/>
          <w:szCs w:val="32"/>
        </w:rPr>
        <w:t>盖财政纪律”这条路径，本质上和杠杆过高的对冲基金犯的是同一种错</w:t>
      </w:r>
      <w:r>
        <w:rPr>
          <w:rFonts w:hint="default" w:ascii="Times New Roman" w:hAnsi="Times New Roman" w:eastAsia="方正仿宋_GBK" w:cs="Times New Roman"/>
          <w:b w:val="0"/>
          <w:bCs w:val="0"/>
          <w:sz w:val="32"/>
          <w:szCs w:val="32"/>
        </w:rPr>
        <w:t>误——把</w:t>
      </w:r>
      <w:r>
        <w:rPr>
          <w:rFonts w:hint="eastAsia" w:ascii="方正仿宋_GBK" w:hAnsi="方正仿宋_GBK" w:eastAsia="方正仿宋_GBK" w:cs="方正仿宋_GBK"/>
          <w:b w:val="0"/>
          <w:bCs w:val="0"/>
          <w:sz w:val="32"/>
          <w:szCs w:val="32"/>
        </w:rPr>
        <w:t>一个方向大概率正确的判断，当成了不需要为短期确定性买单的理由。而买单的时刻，往往不是以“叙事被证伪”的方式到来，而是以“融资成本已经无法承受、却还没等到收益兑现”这种更平淡、也更残酷的方式到来。</w:t>
      </w:r>
    </w:p>
    <w:p w14:paraId="6F4E266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第二部分：机构层面的赌注——一支基金如何用四天时间验证同一个道理</w:t>
      </w:r>
    </w:p>
    <w:p w14:paraId="1036CB0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如果说国债市场展现的是这种错配在宏观、缓慢的尺度上如何积累，Situational Awareness（SA）基金的爆仓，则是同一种错配在微观尺度上，用几天时间完成的一次完整演示。</w:t>
      </w:r>
    </w:p>
    <w:p w14:paraId="29FE106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基金的起点，本身就是这个时代特有的产物。</w:t>
      </w:r>
    </w:p>
    <w:p w14:paraId="5E2E85A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2024年6月，Leopold Aschenbrenner发表了一篇165页的论文，核心判断是10年之内超级人工智能将重构整个社会，AI硬件和电力行业将迎来指数级增长。这篇文章在硅谷广为流传，他随后用同一个名字创立了对冲基金——没有专业交易员履历，几乎完全依靠这份判断本身的说服力，就募集到了数亿美元启动资金。</w:t>
      </w:r>
    </w:p>
    <w:p w14:paraId="3BCACF0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基金的持仓结构相当集中。一边做多AI基础设施产业链，重仓存储芯片厂商（SK海力士、美光）、AI算力服务商（CoreWeave、Nebius）；另一边做空受AI冲击的传统软件企业（如Adobe）；此外，持有未上市AI公司Anthropic的一级市场股权。</w:t>
      </w:r>
    </w:p>
    <w:p w14:paraId="4684F69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从2025年8月到2026年6月的高点，SA基金净值涨幅达到约367%，在2026年上半年一度达到439%的收益率——足以让任何专业投资者艳羡，基金规模峰值一度达到450亿美元。</w:t>
      </w:r>
    </w:p>
    <w:p w14:paraId="2E03343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而真正击垮这支基金的，并不是AI长期逻辑本身被证伪，而是高杠杆让基金无法承受短期市场波动。基金公开市场股票组合的杠杆倍数最高达到约4倍，这意味着在仓位高度暴露于同一方向时，市场每波动1%，基金净值所承受的冲击可能被放大至数个百分点。</w:t>
      </w:r>
    </w:p>
    <w:p w14:paraId="315D648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月下旬开始，AI算力和存储板块出现快速回调，更棘手的是，基金的多头和空头仓位在这轮回调里同时走反向亏损——做空的软件股不但没能起到对冲效果，反而进一步侵蚀净值。高盛、摩根大通、美银三家主经纪商同步发出追加保证金通知，SA陷入了一种类似银行挤兑的负反馈循环：越是被迫卖出持仓去补充保证金，持仓价格跌得越狠，越跌就越需要卖得更多。</w:t>
      </w:r>
    </w:p>
    <w:p w14:paraId="7A562F2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月，SA部分重仓标的跌幅超过50%，受4倍杠杆放大效应影响，基金净值回撤高达67%。迫于追加保证金压力，其于7月30日被迫清仓市值约160亿美元的全部公开股票，大部分仓位由城堡投资（Citadel）接盘，成交价格约为市价的9折。交易完成后，基金总资产由峰值450亿美元回落至约100亿美元，剩余资产主要是不使用杠杆的Anthropic私募股权。</w:t>
      </w:r>
    </w:p>
    <w:p w14:paraId="739D7BB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这里有一个值得玩味的细节：平仓完成后的第二天，基金此前被迫卖出的部分重仓股，就出现了大幅反弹——SanDisk单日上涨25.99%，CoreWeave上涨21.51%。这说明基金的困境，很可能不是方向判断错了（AI基础设施需求的长期</w:t>
      </w:r>
      <w:r>
        <w:rPr>
          <w:rFonts w:hint="eastAsia" w:ascii="方正仿宋_GBK" w:hAnsi="方正仿宋_GBK" w:eastAsia="方正仿宋_GBK" w:cs="方正仿宋_GBK"/>
          <w:b w:val="0"/>
          <w:bCs w:val="0"/>
          <w:sz w:val="32"/>
          <w:szCs w:val="32"/>
        </w:rPr>
        <w:t>逻辑可能依然成立），而是在错误的时间窗口里，被杠杆和流动性约束逼着退出了一个本可以熬过去的短期波动。用一位分析师的话说：“这篇论文没有错，压垮基金的是杠杆，不是判断本身。”</w:t>
      </w:r>
    </w:p>
    <w:p w14:paraId="4C0D5F55">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这次爆仓事件常被拿来和1998年长期资本管理公司（LTCM）危机相提并论，但两者的病根其实不同。LTCM依靠复杂的量化套利模型，管理团队里有两位诺贝尔经济学奖得主，危机根源在于模型假设、极端行情和高杠杆的三重叠加。而SA的问题要简单得多——一个尚未经历完整牛熊周期的年轻管理人，把对一个产业趋势的坚定信念，直接转化成了高杠杆、高集中度的仓位，而市场给出的短期波动，恰好和这份信念的时间窗口对不上。</w:t>
      </w:r>
    </w:p>
    <w:p w14:paraId="20620F7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因此，两者真正值得比较的并不是管理团队的年龄和资历，而是同一个风险结构：把对未来的高确定性判断，转化成今天的高杠杆仓位。</w:t>
      </w:r>
    </w:p>
    <w:p w14:paraId="0D479FF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更值得深思的一点是：即便在爆仓压力出现后，SA仍曾尝试从现有投资者和机构中寻求新的资金支持，部分知名机构也被接洽以承接其私募股权资产。这至少说明，对于Aschenbrenner的长期AI判断，市场并没有简单地因为SA爆仓而完全否定。真正被这次事件暴露出来的，或许不是一个年轻人的鲁莽，而是一个更普遍的现象：当一个产业叙事足够动听、且短期业绩足够亮眼的时候，连专业投资机构自己，都会不自觉地放松对杠杆和集中度的风控约束——押注的已经不只是某个基金经理的交易能力，而是整个AI叙事</w:t>
      </w:r>
      <w:r>
        <w:rPr>
          <w:rFonts w:hint="eastAsia" w:ascii="方正仿宋_GBK" w:hAnsi="方正仿宋_GBK" w:eastAsia="方正仿宋_GBK" w:cs="方正仿宋_GBK"/>
          <w:b w:val="0"/>
          <w:bCs w:val="0"/>
          <w:sz w:val="32"/>
          <w:szCs w:val="32"/>
        </w:rPr>
        <w:t>本身“必然、且会在可预期的时间窗口内兑现”这个更宏大、也更难以验证的判断。</w:t>
      </w:r>
    </w:p>
    <w:p w14:paraId="7C2D15F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这不能不反映出热门产业叙事对资本的强大吸引力。1990至2000年代初的互联</w:t>
      </w:r>
      <w:r>
        <w:rPr>
          <w:rFonts w:hint="eastAsia" w:ascii="方正仿宋_GBK" w:hAnsi="方正仿宋_GBK" w:eastAsia="方正仿宋_GBK" w:cs="方正仿宋_GBK"/>
          <w:b w:val="0"/>
          <w:bCs w:val="0"/>
          <w:sz w:val="32"/>
          <w:szCs w:val="32"/>
        </w:rPr>
        <w:t>网泡沫时期，投资者曾经因为“互联网将改变一切”的叙事而大量涌入相关企业；今天，</w:t>
      </w:r>
      <w:r>
        <w:rPr>
          <w:rFonts w:hint="default" w:ascii="Times New Roman" w:hAnsi="Times New Roman" w:eastAsia="方正仿宋_GBK" w:cs="Times New Roman"/>
          <w:b w:val="0"/>
          <w:bCs w:val="0"/>
          <w:sz w:val="32"/>
          <w:szCs w:val="32"/>
        </w:rPr>
        <w:t>类似的情形再次出现在AI领域。当市场越来越相信AI将按照预期</w:t>
      </w:r>
      <w:r>
        <w:rPr>
          <w:rFonts w:hint="eastAsia" w:ascii="方正仿宋_GBK" w:hAnsi="方正仿宋_GBK" w:eastAsia="方正仿宋_GBK" w:cs="方正仿宋_GBK"/>
          <w:b w:val="0"/>
          <w:bCs w:val="0"/>
          <w:sz w:val="32"/>
          <w:szCs w:val="32"/>
        </w:rPr>
        <w:t>的时间表快速发展、上游企业利润将持续高速增长时，投资者容易把“产业前景”直接等同于“企业利润”，进而忽视估值、竞争格局以及兑现时间等基本问题。</w:t>
      </w:r>
    </w:p>
    <w:p w14:paraId="6A7C4A6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真正危险的并不是看好AI，而</w:t>
      </w:r>
      <w:r>
        <w:rPr>
          <w:rFonts w:hint="eastAsia" w:ascii="方正仿宋_GBK" w:hAnsi="方正仿宋_GBK" w:eastAsia="方正仿宋_GBK" w:cs="方正仿宋_GBK"/>
          <w:b w:val="0"/>
          <w:bCs w:val="0"/>
          <w:sz w:val="32"/>
          <w:szCs w:val="32"/>
        </w:rPr>
        <w:t>是当所有人都开始相信同一个故事，并据此采取高度相似的投资行为，最终出现“拥挤交易”。拥挤交易最危险的地方在于，它并不需要所有人同时看空，只需要边际买盘开始减少。当大量资金集中在同一方向，新增买盘一旦不足，原本的价格支撑就可能迅速消失；如果其中又存在大量杠杆资金，市场下跌会进一步触发保证金压力和被动平仓，形成“下跌</w:t>
      </w:r>
      <w:r>
        <w:rPr>
          <w:rFonts w:hint="default" w:ascii="Times New Roman" w:hAnsi="Times New Roman" w:eastAsia="方正仿宋_GBK" w:cs="Times New Roman"/>
          <w:b w:val="0"/>
          <w:bCs w:val="0"/>
          <w:sz w:val="32"/>
          <w:szCs w:val="32"/>
        </w:rPr>
        <w:t>-平仓-再下</w:t>
      </w:r>
      <w:r>
        <w:rPr>
          <w:rFonts w:hint="eastAsia" w:ascii="方正仿宋_GBK" w:hAnsi="方正仿宋_GBK" w:eastAsia="方正仿宋_GBK" w:cs="方正仿宋_GBK"/>
          <w:b w:val="0"/>
          <w:bCs w:val="0"/>
          <w:sz w:val="32"/>
          <w:szCs w:val="32"/>
        </w:rPr>
        <w:t>跌”的螺旋。</w:t>
      </w:r>
    </w:p>
    <w:p w14:paraId="0D52362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结论：同一张牌桌上的两种筹码</w:t>
      </w:r>
    </w:p>
    <w:p w14:paraId="4645745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此次SA爆仓不只暴露出AI热门交易背后被高杠杆和拥挤仓位掩盖的风险，与一个年轻管理人的投资失误相比，更值得警惕的是，拥有丰富经验和强大风控能力的专业投资机构，在热门产业叙事面前降低风险约束，将短期收益外推为长期能力，将产业趋势外推为确定性回报。单一基金的失败并不可怕，真正值得警惕的是群体性非理性。</w:t>
      </w:r>
    </w:p>
    <w:p w14:paraId="60B20C6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如果把国债市场和SA基金放在一起，可以看到，同一种认知偏误在两个完全不同尺度的参与者身上几乎同步上演。美国政府相信AI能够创造足够的未来生产力红利，覆盖当下不断上升的融资成本，于是在财政纪律上不断向未来延期；一个25岁的基金经理相信AI基础设施建设的长期逻辑不会错，于是用4倍杠杆把这份信念压满仓位。前者的筹码是国家信用，后者的筹码是几十亿美元的真金白银，但两者本质上赌的是同一件事——这个足够动听的故事，会在自己能够承受的时间窗口内兑现。</w:t>
      </w:r>
    </w:p>
    <w:p w14:paraId="06A50D4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国债市场目前还没有给出最终判决。30年期收益率创下19年新高，只能说明市场正在为这份不确定性索要更高的风险溢价，而不是系统性危机已经到来。但SA基金的命运已经提前给出了一个值得投资者重视的现实：方向判断正确，和能够活着等到判断被验证的那一天，是两件完全不同的事情。</w:t>
      </w:r>
    </w:p>
    <w:p w14:paraId="54805BD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谁最先看懂AI这个故事，从来不是决定胜负的关键。真正决定谁能笑到最后的，是谁在漫长的验证过程中，给自己留下了足够的杠杆余量和时间窗口。能够穿越周期活下来，永远比跑得快更重要。投资如此，财政治理亦如此</w:t>
      </w:r>
      <w:r>
        <w:rPr>
          <w:rFonts w:hint="eastAsia" w:ascii="方正仿宋_GBK" w:hAnsi="方正仿宋_GBK" w:eastAsia="方正仿宋_GBK" w:cs="方正仿宋_GBK"/>
          <w:b w:val="0"/>
          <w:bCs w:val="0"/>
          <w:sz w:val="32"/>
          <w:szCs w:val="32"/>
        </w:rPr>
        <w:t>。</w:t>
      </w:r>
    </w:p>
    <w:p w14:paraId="30B4FA6F">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eastAsia" w:ascii="Times New Roman" w:hAnsi="Times New Roman" w:eastAsia="方正仿宋_GBK" w:cs="Times New Roman"/>
          <w:b w:val="0"/>
          <w:bCs w:val="0"/>
          <w:color w:val="FF0000"/>
          <w:sz w:val="32"/>
          <w:szCs w:val="32"/>
          <w:lang w:val="en-US" w:eastAsia="zh-CN"/>
        </w:rPr>
        <w:t xml:space="preserve">                                   </w:t>
      </w:r>
      <w:r>
        <w:rPr>
          <w:rFonts w:hint="eastAsia" w:ascii="Times New Roman" w:hAnsi="Times New Roman" w:eastAsia="方正楷体_GBK" w:cs="方正楷体_GBK"/>
          <w:b/>
          <w:bCs/>
          <w:color w:val="FF0000"/>
          <w:spacing w:val="0"/>
          <w:kern w:val="2"/>
          <w:sz w:val="30"/>
          <w:szCs w:val="30"/>
          <w:lang w:val="en-US" w:eastAsia="zh-CN" w:bidi="ar-SA"/>
        </w:rPr>
        <w:t xml:space="preserve"> </w:t>
      </w: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w:t>
      </w:r>
      <w:r>
        <w:rPr>
          <w:rFonts w:hint="default" w:ascii="Times New Roman" w:hAnsi="Times New Roman" w:eastAsia="方正楷体_GBK" w:cs="方正楷体_GBK"/>
          <w:b/>
          <w:bCs/>
          <w:color w:val="FF0000"/>
          <w:spacing w:val="0"/>
          <w:kern w:val="2"/>
          <w:sz w:val="30"/>
          <w:szCs w:val="30"/>
          <w:lang w:val="en-US" w:eastAsia="zh-CN" w:bidi="ar-SA"/>
        </w:rPr>
        <w:t>）</w:t>
      </w:r>
    </w:p>
    <w:p w14:paraId="1D94E2A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rPr>
      </w:pPr>
    </w:p>
    <w:p w14:paraId="02860CB6">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参考文献</w:t>
      </w:r>
    </w:p>
    <w:p w14:paraId="46242F2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 路透社. Situational Awareness对冲基金流动性危机事件专题报道[EB/OL].(2026-07-31)[2026-08-13]. https://www.reuters.com.</w:t>
      </w:r>
    </w:p>
    <w:p w14:paraId="7E44899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对应支撑：SA基金规模变动、杠杆水平、清仓事件及市场影响等核心事实。</w:t>
      </w:r>
    </w:p>
    <w:p w14:paraId="12A2D01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 纳斯达克OMX集团</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费城半导体指数(SOX)历史行情数据库[DB/OL].费城：纳斯达克交易所，2026.</w:t>
      </w:r>
    </w:p>
    <w:p w14:paraId="00450F0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对应支撑：2026年6月下旬至7月底费城半导体指数跌幅数据。</w:t>
      </w:r>
    </w:p>
    <w:p w14:paraId="483921C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 美国财政部. 2025财年联邦政府财政收支最终报告[R].华盛顿：美国财政部，2025.</w:t>
      </w:r>
    </w:p>
    <w:p w14:paraId="117BDB06">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对应支撑：2025财年联邦净利息支出规模、财政支出结构排名等数据。</w:t>
      </w:r>
    </w:p>
    <w:p w14:paraId="54ACA53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 字母表公司(Alphabet Inc.).关于股权融资计划的官方公告[EB/OL]. (2026-06)[2026-08-13]. https://abc.xyz.</w:t>
      </w:r>
    </w:p>
    <w:p w14:paraId="3EAB17B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对应支撑：谷歌总额 847.5亿美元股权融资计划及资金用途说明。</w:t>
      </w:r>
    </w:p>
    <w:p w14:paraId="577F779C">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 美国财政部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美国国债收益率每日行情数据库[DB/OL].华盛顿：美国财政部，2026.</w:t>
      </w:r>
    </w:p>
    <w:p w14:paraId="7702C65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对应支撑：2年期、10年期、30年期美国国债收益率关键点位数据。</w:t>
      </w:r>
    </w:p>
    <w:p w14:paraId="080B47C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 彭博新闻社</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城堡投资承接SA基金持仓交易细节报道 [EB/OL]. (2026-07-30)[2026-08-13]. https://www.bloomberg.com.</w:t>
      </w:r>
    </w:p>
    <w:p w14:paraId="5D44170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对应支撑：Citadel折价接盘SA基金公开市场股票的交易详情。</w:t>
      </w:r>
    </w:p>
    <w:p w14:paraId="0DCB6A5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 国际数据公司(IDC). 2026年全球数据中心资本开支展望报告[R]. 弗雷明汉: IDC, 2026.</w:t>
      </w:r>
    </w:p>
    <w:p w14:paraId="6194129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对应支撑：全球数据中心年度资本开支首破1万亿美元的行业预测。</w:t>
      </w:r>
    </w:p>
    <w:p w14:paraId="01969DC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 美国联邦存款保险公司</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长期资本管理公司(LTCM)危机回顾与启示[R].华盛顿：联邦存款保险公司，2000.</w:t>
      </w:r>
    </w:p>
    <w:p w14:paraId="2B022F5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对应支撑：LTCM危机案例的历史参照与风险结构对比分析。</w:t>
      </w:r>
    </w:p>
    <w:p w14:paraId="4D9260AE">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补充说明：文中关于AI产业长期逻辑、杠杆交易风险机制等分析，属于资本市场研究领域的通用分析框架，未单独列示文献来源。</w:t>
      </w:r>
    </w:p>
    <w:p w14:paraId="0C5D04D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2B1744C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768B782A">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33EA62A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7C8E044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095A050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2A2328D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1C45136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1D496C5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6DAE574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7E99342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21AC986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方正仿宋_GBK" w:hAnsi="方正仿宋_GBK" w:eastAsia="方正仿宋_GBK" w:cs="方正仿宋_GBK"/>
          <w:b w:val="0"/>
          <w:bCs w:val="0"/>
          <w:sz w:val="32"/>
          <w:szCs w:val="32"/>
          <w:lang w:eastAsia="zh-CN"/>
        </w:rPr>
      </w:pPr>
    </w:p>
    <w:p w14:paraId="1CC9BCCF">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D614175">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14:paraId="57145B67">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r>
        <w:rPr>
          <w:rFonts w:hint="default" w:ascii="Times New Roman" w:hAnsi="Times New Roman" w:eastAsia="华文新魏" w:cs="Times New Roman"/>
          <w:b/>
          <w:bCs w:val="0"/>
          <w:color w:val="FF0000"/>
          <w:spacing w:val="0"/>
          <w:kern w:val="36"/>
          <w:sz w:val="44"/>
          <w:szCs w:val="44"/>
          <w:lang w:val="en-US" w:eastAsia="zh-CN" w:bidi="ar-SA"/>
        </w:rPr>
        <w:t>华脉科技获评2026年江苏省先进级智能工厂</w:t>
      </w:r>
    </w:p>
    <w:p w14:paraId="59324F6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近日，江苏省工业和信息化厅正式发布《2026年江苏省先进级智能工厂名单》，我会理事单位——南京华脉科技股份有限公司申报的“基于全流程数智化管控的高端通信装备智能工厂”成功入选。这是公司在智能制造与数字化转型领域取得的又一重要突破。</w:t>
      </w:r>
    </w:p>
    <w:p w14:paraId="3C16A0D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华脉科技长期深耕光通信及无线通信领域，本次获评的先进级智能工厂项目，围绕网络架构升级、数据闭环管控、数字孪生应用等核心环节开展系统性建设。通过异构网络融合打通IT与OT系统间的数据通路，构建起覆盖研发、采购、生产、物流、服务全链条的数字化闭环管理体系，实现生产场景的虚实协同与动态优化，全面提升了公司生产运营的智能化水平。</w:t>
      </w:r>
    </w:p>
    <w:p w14:paraId="4D6D142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经过持续的探索与实践，公司智能制造内核持续夯实，生产运营质效、产品品质及绿色生产水平实现稳步提升，降本增效成果逐步显现，为企业高质量发展注入强劲动能。</w:t>
      </w:r>
    </w:p>
    <w:p w14:paraId="307FCD9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此次获评省级先进级智能工厂，是对华脉科技数字化转型成效的高度认可。面向未来，公司将以此为契机，持续深化5G、数字孪生、工业互联网等新一代信息技术在生产运营中的融合应用，进一步巩固行业竞争优势，不断提升智能制造能力和精细化管理水平，为企业可持续发展奠定坚实基础。</w:t>
      </w:r>
    </w:p>
    <w:p w14:paraId="0079C6DF">
      <w:pPr>
        <w:keepNext w:val="0"/>
        <w:keepLines w:val="0"/>
        <w:pageBreakBefore w:val="0"/>
        <w:widowControl/>
        <w:kinsoku/>
        <w:wordWrap/>
        <w:overflowPunct/>
        <w:topLinePunct w:val="0"/>
        <w:autoSpaceDE/>
        <w:autoSpaceDN/>
        <w:bidi w:val="0"/>
        <w:adjustRightInd/>
        <w:snapToGrid/>
        <w:spacing w:line="420" w:lineRule="exact"/>
        <w:jc w:val="right"/>
        <w:textAlignment w:val="auto"/>
        <w:outlineLvl w:val="9"/>
        <w:rPr>
          <w:rFonts w:hint="eastAsia" w:ascii="Times New Roman" w:hAnsi="Times New Roman" w:eastAsia="方正楷体_GBK" w:cs="Times New Roman"/>
          <w:b w:val="0"/>
          <w:bCs/>
          <w:kern w:val="0"/>
          <w:sz w:val="32"/>
          <w:szCs w:val="32"/>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：华脉科技微信公众号）</w:t>
      </w:r>
    </w:p>
    <w:p w14:paraId="5BDD1D27">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乐美包装荣获2026年度江苏省先进级智能工厂</w:t>
      </w:r>
    </w:p>
    <w:p w14:paraId="440878B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在2026年度江苏省智能工厂评选中，我会副会长单位——乐美包装（昆山）有限公司从9000余家申报企业中脱颖而出——评审通过率不足30%，这份殊荣含金量十足。</w:t>
      </w:r>
    </w:p>
    <w:p w14:paraId="2BF71294">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乐美包装已全面部署智能制造装备、工业软件与系统，实现生产设备与信息系统的深度互联互通，数字化建设日趋成熟。</w:t>
      </w:r>
    </w:p>
    <w:p w14:paraId="3EE455F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此次获评，既是对乐美智能化、数字化阶段性成果的肯定，更彰显了乐美持续精进、向“智慧工厂标杆”迈进的坚定决心。未来，乐美将再接再厉，砥砺前行。</w:t>
      </w:r>
    </w:p>
    <w:p w14:paraId="32888476">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eastAsia"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：乐美包装微信公众号）</w:t>
      </w:r>
    </w:p>
    <w:p w14:paraId="776903F2">
      <w:pPr>
        <w:keepNext w:val="0"/>
        <w:keepLines w:val="0"/>
        <w:pageBreakBefore w:val="0"/>
        <w:widowControl/>
        <w:kinsoku/>
        <w:wordWrap/>
        <w:overflowPunct/>
        <w:topLinePunct w:val="0"/>
        <w:autoSpaceDE/>
        <w:autoSpaceDN/>
        <w:bidi w:val="0"/>
        <w:adjustRightInd/>
        <w:snapToGrid/>
        <w:spacing w:line="42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B06665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bookmarkStart w:id="1" w:name="OLE_LINK4"/>
      <w:bookmarkStart w:id="2" w:name="OLE_LINK6"/>
    </w:p>
    <w:p w14:paraId="00F4190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38337BE1">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5B911F6">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9E6E107">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578D3E5E">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AC42340">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76707F34">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831ADF8">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F09E07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49852DCC">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627A779">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38AD8E4">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31679034">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5EA81611">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4A16FF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3C2E0436">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优捷荣获苏州中欧班列舱位竞价首位</w:t>
      </w:r>
    </w:p>
    <w:bookmarkEnd w:id="1"/>
    <w:bookmarkEnd w:id="2"/>
    <w:p w14:paraId="2A0D9291">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近日，苏州市国际班列货运有限公司8月舱位竞价试点评审结果正式公示。经过多轮综合评审，我会副会长单位——江苏优捷供应链有限公司凭借成熟稳定的专线运营实力、一站式跨境全链路服务能力，在本次舱位竞价中荣获第一名。</w:t>
      </w:r>
    </w:p>
    <w:p w14:paraId="5B3E624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本次舱位竞价严格遵循本地货源比例优先、综合择优评审原则，充分印证我司在苏州中欧班列赛道中的头部竞争力，高效、稳定的铁路运输通道正式锁定，外贸货主发货通道再添强力保障。</w:t>
      </w:r>
    </w:p>
    <w:p w14:paraId="5ABB7013">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优捷将持续为出海企业提供稳定的中欧班列舱位资源、锂电危险品出口、海外仓配套等一体化供应链解决方案，助力中国制造扬帆欧洲。</w:t>
      </w:r>
    </w:p>
    <w:p w14:paraId="13D09524">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：优捷集团微信公众号）</w:t>
      </w:r>
    </w:p>
    <w:p w14:paraId="0B294C2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lang w:val="en-US" w:eastAsia="zh-CN"/>
        </w:rPr>
      </w:pPr>
    </w:p>
    <w:p w14:paraId="59D993D4">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3C9EAB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ECEF3FE">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25402B9E">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77A7878F">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3CF0CCF">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A7842A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169E18D">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1A171FCB">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F4FC8BF">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4969AEC6">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769530C2">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63EB2B43">
      <w:pPr>
        <w:keepNext w:val="0"/>
        <w:keepLines w:val="0"/>
        <w:pageBreakBefore w:val="0"/>
        <w:widowControl/>
        <w:kinsoku/>
        <w:wordWrap/>
        <w:overflowPunct/>
        <w:topLinePunct w:val="0"/>
        <w:autoSpaceDE/>
        <w:autoSpaceDN/>
        <w:bidi w:val="0"/>
        <w:adjustRightInd/>
        <w:snapToGrid/>
        <w:spacing w:line="420" w:lineRule="exact"/>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p>
    <w:p w14:paraId="01933C50">
      <w:pPr>
        <w:keepNext w:val="0"/>
        <w:keepLines w:val="0"/>
        <w:pageBreakBefore w:val="0"/>
        <w:widowControl/>
        <w:kinsoku/>
        <w:wordWrap/>
        <w:overflowPunct/>
        <w:topLinePunct w:val="0"/>
        <w:autoSpaceDE/>
        <w:autoSpaceDN/>
        <w:bidi w:val="0"/>
        <w:adjustRightInd/>
        <w:snapToGrid/>
        <w:spacing w:line="42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倍加洁获中国牙病防治基金会致谢</w:t>
      </w:r>
    </w:p>
    <w:p w14:paraId="031F97C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近日，</w:t>
      </w:r>
      <w:r>
        <w:rPr>
          <w:rFonts w:hint="eastAsia" w:ascii="Times New Roman" w:hAnsi="Times New Roman" w:eastAsia="方正仿宋_GBK" w:cs="Times New Roman"/>
          <w:b w:val="0"/>
          <w:bCs w:val="0"/>
          <w:sz w:val="32"/>
          <w:szCs w:val="32"/>
          <w:lang w:val="en-US" w:eastAsia="zh-CN"/>
        </w:rPr>
        <w:t>我会理事单位——倍加洁集团股份有限公司</w:t>
      </w:r>
      <w:r>
        <w:rPr>
          <w:rFonts w:hint="default" w:ascii="Times New Roman" w:hAnsi="Times New Roman" w:eastAsia="方正仿宋_GBK" w:cs="Times New Roman"/>
          <w:b w:val="0"/>
          <w:bCs w:val="0"/>
          <w:sz w:val="32"/>
          <w:szCs w:val="32"/>
          <w:lang w:val="en-US" w:eastAsia="zh-CN"/>
        </w:rPr>
        <w:t>收到由</w:t>
      </w:r>
      <w:r>
        <w:rPr>
          <w:rFonts w:hint="eastAsia" w:ascii="Times New Roman" w:hAnsi="Times New Roman" w:eastAsia="方正仿宋_GBK" w:cs="Times New Roman"/>
          <w:b w:val="0"/>
          <w:bCs w:val="0"/>
          <w:sz w:val="32"/>
          <w:szCs w:val="32"/>
          <w:lang w:val="en-US" w:eastAsia="zh-CN"/>
        </w:rPr>
        <w:t>中国牙病防治基金会正式颁发的感谢状（编号：20260602）。</w:t>
      </w:r>
      <w:r>
        <w:rPr>
          <w:rFonts w:hint="default" w:ascii="Times New Roman" w:hAnsi="Times New Roman" w:eastAsia="方正仿宋_GBK" w:cs="Times New Roman"/>
          <w:b w:val="0"/>
          <w:bCs w:val="0"/>
          <w:sz w:val="32"/>
          <w:szCs w:val="32"/>
          <w:lang w:val="en-US" w:eastAsia="zh-CN"/>
        </w:rPr>
        <w:t>一纸证书，一枚鲜红公章，是权威机构对倍加洁深度参与</w:t>
      </w:r>
      <w:r>
        <w:rPr>
          <w:rFonts w:hint="eastAsia" w:ascii="Times New Roman" w:hAnsi="Times New Roman" w:eastAsia="方正仿宋_GBK" w:cs="Times New Roman"/>
          <w:b w:val="0"/>
          <w:bCs w:val="0"/>
          <w:sz w:val="32"/>
          <w:szCs w:val="32"/>
          <w:lang w:val="en-US" w:eastAsia="zh-CN"/>
        </w:rPr>
        <w:t>「山中雏菊 筑梦同行」乡村儿童口腔健康公益项目的充分肯定，更是倍加洁坚守多年公益初心的最好见证。</w:t>
      </w:r>
    </w:p>
    <w:p w14:paraId="26718EC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在很多偏远乡村，口腔健康科普资源稀缺。不少孩子从小饱受蛀牙、牙敏感困扰，却从未接受过专业的牙齿护理指导，灿烂笑容因此藏起几分胆怯。“山中雏菊 筑梦同行”</w:t>
      </w:r>
      <w:bookmarkStart w:id="3" w:name="_GoBack"/>
      <w:bookmarkEnd w:id="3"/>
      <w:r>
        <w:rPr>
          <w:rFonts w:hint="eastAsia" w:ascii="Times New Roman" w:hAnsi="Times New Roman" w:eastAsia="方正仿宋_GBK" w:cs="Times New Roman"/>
          <w:b w:val="0"/>
          <w:bCs w:val="0"/>
          <w:sz w:val="32"/>
          <w:szCs w:val="32"/>
          <w:lang w:val="en-US" w:eastAsia="zh-CN"/>
        </w:rPr>
        <w:t>公益项目，正是为了填补乡村儿童口腔健康的空白。</w:t>
      </w:r>
    </w:p>
    <w:p w14:paraId="1D09464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长久以来，倍加洁以口腔护理企业的专业所长，深度投身本次公益行动：我们带着适配儿童的口腔护理物资走进乡村校园，组建专业科普团队开设护牙小课堂，手把手教孩子们正确刷牙、认识龋齿危害、学习日常牙齿防护技巧；把专业口腔健康知识，送到教育资源相对薄弱的山野之间。</w:t>
      </w:r>
    </w:p>
    <w:p w14:paraId="1E4DA428">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作为扎根本土的国货口腔品牌，倍加洁始终笃定：品牌的价值，不止于货架上的一支支牙膏、一件件护理好物，更在于能为社会带去长久、切实的正向力量。以专业护齿，以善意暖心，倍加洁会带着这份认可继续前行，守护更多国人、更多乡村孩子的灿烂笑容。</w:t>
      </w:r>
    </w:p>
    <w:p w14:paraId="05A93CC5">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eastAsia"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：倍加洁微信公众号）</w:t>
      </w:r>
    </w:p>
    <w:p w14:paraId="64D4F69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p>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9571F55-D304-4996-8F4C-3DEC315C51C6}"/>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embedRegular r:id="rId2" w:fontKey="{C41C3AE8-E548-46F6-A0BE-BDC6E4D3451C}"/>
  </w:font>
  <w:font w:name="方正楷体_GBK">
    <w:panose1 w:val="02000000000000000000"/>
    <w:charset w:val="86"/>
    <w:family w:val="auto"/>
    <w:pitch w:val="default"/>
    <w:sig w:usb0="800002BF" w:usb1="38CF7CFA" w:usb2="00000016" w:usb3="00000000" w:csb0="00040000" w:csb1="00000000"/>
    <w:embedRegular r:id="rId3" w:fontKey="{2ECDCA54-545F-40AA-B73C-BC825A36B7DD}"/>
  </w:font>
  <w:font w:name="方正公文黑体">
    <w:panose1 w:val="02000500000000000000"/>
    <w:charset w:val="86"/>
    <w:family w:val="auto"/>
    <w:pitch w:val="default"/>
    <w:sig w:usb0="A00002BF" w:usb1="38CF7CFA" w:usb2="00000016" w:usb3="00000000" w:csb0="00040001" w:csb1="00000000"/>
    <w:embedRegular r:id="rId4" w:fontKey="{F3B0E1F9-015B-46C1-921F-93ADEDA856A4}"/>
  </w:font>
  <w:font w:name="方正黑体_GBK">
    <w:panose1 w:val="02010600010101010101"/>
    <w:charset w:val="86"/>
    <w:family w:val="auto"/>
    <w:pitch w:val="default"/>
    <w:sig w:usb0="00000001" w:usb1="080E0000" w:usb2="00000000" w:usb3="00000000" w:csb0="00040000" w:csb1="00000000"/>
    <w:embedRegular r:id="rId5" w:fontKey="{106E6F2D-2B33-4792-8E2F-850C54D5371D}"/>
  </w:font>
  <w:font w:name="方正小标宋_GBK">
    <w:panose1 w:val="03000509000000000000"/>
    <w:charset w:val="86"/>
    <w:family w:val="auto"/>
    <w:pitch w:val="default"/>
    <w:sig w:usb0="00000001" w:usb1="080E0000" w:usb2="00000000" w:usb3="00000000" w:csb0="00040000" w:csb1="00000000"/>
    <w:embedRegular r:id="rId6" w:fontKey="{09DAE0CF-1F97-41B1-A32C-B2634057B8E7}"/>
  </w:font>
  <w:font w:name="方正仿宋_GBK">
    <w:panose1 w:val="03000509000000000000"/>
    <w:charset w:val="86"/>
    <w:family w:val="script"/>
    <w:pitch w:val="default"/>
    <w:sig w:usb0="00000001" w:usb1="080E0000" w:usb2="00000000" w:usb3="00000000" w:csb0="00040000" w:csb1="00000000"/>
    <w:embedRegular r:id="rId7" w:fontKey="{6ED3ACD5-72C8-405F-8A84-7FC2BEB4235F}"/>
  </w:font>
  <w:font w:name="华文新魏">
    <w:panose1 w:val="02010800040101010101"/>
    <w:charset w:val="86"/>
    <w:family w:val="auto"/>
    <w:pitch w:val="default"/>
    <w:sig w:usb0="00000001" w:usb1="080F0000" w:usb2="00000000" w:usb3="00000000" w:csb0="00040000" w:csb1="00000000"/>
    <w:embedRegular r:id="rId8" w:fontKey="{125CB7D7-CC15-4FD4-AAB8-05271F4221E8}"/>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BD11">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14:paraId="4033DA90">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A684F"/>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01EE6"/>
    <w:rsid w:val="005279A4"/>
    <w:rsid w:val="005A092B"/>
    <w:rsid w:val="006469AC"/>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6E2905"/>
    <w:rsid w:val="01730647"/>
    <w:rsid w:val="01765242"/>
    <w:rsid w:val="017F7312"/>
    <w:rsid w:val="0183354F"/>
    <w:rsid w:val="018A4341"/>
    <w:rsid w:val="018D1ED5"/>
    <w:rsid w:val="018E0532"/>
    <w:rsid w:val="01944C0D"/>
    <w:rsid w:val="01947605"/>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47659"/>
    <w:rsid w:val="032626D8"/>
    <w:rsid w:val="03276EB0"/>
    <w:rsid w:val="03320DD5"/>
    <w:rsid w:val="03326279"/>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A3C11"/>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2403"/>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779FB"/>
    <w:rsid w:val="052C7639"/>
    <w:rsid w:val="05490385"/>
    <w:rsid w:val="054A7C8A"/>
    <w:rsid w:val="054D6A6C"/>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6F76FBB"/>
    <w:rsid w:val="06FB55DC"/>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DF3A1B"/>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86B20"/>
    <w:rsid w:val="08991A5A"/>
    <w:rsid w:val="089C49FA"/>
    <w:rsid w:val="08AF073A"/>
    <w:rsid w:val="08B36F8B"/>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9B0B43"/>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DA121F"/>
    <w:rsid w:val="09F43143"/>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12BB9"/>
    <w:rsid w:val="0B14238E"/>
    <w:rsid w:val="0B1C17AD"/>
    <w:rsid w:val="0B1F62C7"/>
    <w:rsid w:val="0B283787"/>
    <w:rsid w:val="0B2D6F6E"/>
    <w:rsid w:val="0B324625"/>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2750"/>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07391"/>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167C5"/>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93967"/>
    <w:rsid w:val="0D6B6C90"/>
    <w:rsid w:val="0D7170F8"/>
    <w:rsid w:val="0D922931"/>
    <w:rsid w:val="0D95263C"/>
    <w:rsid w:val="0D9B6A6D"/>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A6F05"/>
    <w:rsid w:val="0ECD6BD5"/>
    <w:rsid w:val="0EDA3DE0"/>
    <w:rsid w:val="0EDB5829"/>
    <w:rsid w:val="0EE241B0"/>
    <w:rsid w:val="0EE470B9"/>
    <w:rsid w:val="0EE51F3F"/>
    <w:rsid w:val="0EE67C37"/>
    <w:rsid w:val="0EE96C61"/>
    <w:rsid w:val="0EEF6278"/>
    <w:rsid w:val="0F043F0A"/>
    <w:rsid w:val="0F070719"/>
    <w:rsid w:val="0F0E340F"/>
    <w:rsid w:val="0F110F65"/>
    <w:rsid w:val="0F126FC2"/>
    <w:rsid w:val="0F167114"/>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10880"/>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03F7"/>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0229D"/>
    <w:rsid w:val="12657F0C"/>
    <w:rsid w:val="126830F6"/>
    <w:rsid w:val="126B5207"/>
    <w:rsid w:val="126F57E1"/>
    <w:rsid w:val="12760E78"/>
    <w:rsid w:val="127673DB"/>
    <w:rsid w:val="127755C8"/>
    <w:rsid w:val="127E0189"/>
    <w:rsid w:val="12810A1D"/>
    <w:rsid w:val="12854B81"/>
    <w:rsid w:val="128E070E"/>
    <w:rsid w:val="12927837"/>
    <w:rsid w:val="129B0ED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63337"/>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5566A"/>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3E15"/>
    <w:rsid w:val="145F4E9E"/>
    <w:rsid w:val="14662A35"/>
    <w:rsid w:val="1468041E"/>
    <w:rsid w:val="146A5814"/>
    <w:rsid w:val="146D4E79"/>
    <w:rsid w:val="1479121F"/>
    <w:rsid w:val="147C1504"/>
    <w:rsid w:val="148112AD"/>
    <w:rsid w:val="148B2440"/>
    <w:rsid w:val="148B578A"/>
    <w:rsid w:val="14933736"/>
    <w:rsid w:val="149D19D1"/>
    <w:rsid w:val="14AA1497"/>
    <w:rsid w:val="14AD1F0C"/>
    <w:rsid w:val="14AD2447"/>
    <w:rsid w:val="14BD0C90"/>
    <w:rsid w:val="14BD7435"/>
    <w:rsid w:val="14D13225"/>
    <w:rsid w:val="14D41B03"/>
    <w:rsid w:val="14D63FB7"/>
    <w:rsid w:val="14E11E90"/>
    <w:rsid w:val="14E67B5C"/>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4D1CF1"/>
    <w:rsid w:val="15516306"/>
    <w:rsid w:val="155B06BC"/>
    <w:rsid w:val="155B6FCC"/>
    <w:rsid w:val="15620F8B"/>
    <w:rsid w:val="156514F3"/>
    <w:rsid w:val="1565702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20AEC"/>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08F7"/>
    <w:rsid w:val="171E2D1A"/>
    <w:rsid w:val="172E1BBE"/>
    <w:rsid w:val="17377B8C"/>
    <w:rsid w:val="173A6824"/>
    <w:rsid w:val="173B1FA1"/>
    <w:rsid w:val="173C594E"/>
    <w:rsid w:val="173D1596"/>
    <w:rsid w:val="173D2EC3"/>
    <w:rsid w:val="1748452F"/>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3099B"/>
    <w:rsid w:val="178501CB"/>
    <w:rsid w:val="178A042D"/>
    <w:rsid w:val="178A1F82"/>
    <w:rsid w:val="17916104"/>
    <w:rsid w:val="17920EA7"/>
    <w:rsid w:val="1797450B"/>
    <w:rsid w:val="17985148"/>
    <w:rsid w:val="17A644BF"/>
    <w:rsid w:val="17A90C9E"/>
    <w:rsid w:val="17A92F07"/>
    <w:rsid w:val="17A93B09"/>
    <w:rsid w:val="17B23E0F"/>
    <w:rsid w:val="17B31B32"/>
    <w:rsid w:val="17B80549"/>
    <w:rsid w:val="17BD6166"/>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7492C"/>
    <w:rsid w:val="19B84C88"/>
    <w:rsid w:val="19BB08C0"/>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3D169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D5293"/>
    <w:rsid w:val="1ADE0868"/>
    <w:rsid w:val="1AF7489C"/>
    <w:rsid w:val="1AF86B17"/>
    <w:rsid w:val="1AFA3523"/>
    <w:rsid w:val="1AFD3AEA"/>
    <w:rsid w:val="1B0407DF"/>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461F3"/>
    <w:rsid w:val="1BE72D92"/>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1B36"/>
    <w:rsid w:val="1CA42FB6"/>
    <w:rsid w:val="1CAF4AE5"/>
    <w:rsid w:val="1CB21A29"/>
    <w:rsid w:val="1CBA12BF"/>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5312D"/>
    <w:rsid w:val="1D6D4785"/>
    <w:rsid w:val="1D6E27CD"/>
    <w:rsid w:val="1D727268"/>
    <w:rsid w:val="1D747A6E"/>
    <w:rsid w:val="1D767ADA"/>
    <w:rsid w:val="1D7A0D45"/>
    <w:rsid w:val="1D845021"/>
    <w:rsid w:val="1D861B2D"/>
    <w:rsid w:val="1D896FB3"/>
    <w:rsid w:val="1D91741D"/>
    <w:rsid w:val="1D9318C5"/>
    <w:rsid w:val="1D941B55"/>
    <w:rsid w:val="1DA8115B"/>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47311"/>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30BD1"/>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46D4B"/>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2B85"/>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C3898"/>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94F43"/>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BF3BC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4E03C6"/>
    <w:rsid w:val="266A2AD6"/>
    <w:rsid w:val="266C2FED"/>
    <w:rsid w:val="26783498"/>
    <w:rsid w:val="267A33D1"/>
    <w:rsid w:val="268246BC"/>
    <w:rsid w:val="268850D6"/>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186B"/>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1225"/>
    <w:rsid w:val="27F32107"/>
    <w:rsid w:val="27F851C0"/>
    <w:rsid w:val="27FA5F82"/>
    <w:rsid w:val="28014303"/>
    <w:rsid w:val="280410A7"/>
    <w:rsid w:val="2809034F"/>
    <w:rsid w:val="28152D65"/>
    <w:rsid w:val="281713C1"/>
    <w:rsid w:val="281C4FE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B31A7"/>
    <w:rsid w:val="286D715D"/>
    <w:rsid w:val="286F13E7"/>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8F4AAD"/>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2169"/>
    <w:rsid w:val="2B165967"/>
    <w:rsid w:val="2B1A32A0"/>
    <w:rsid w:val="2B26693B"/>
    <w:rsid w:val="2B2F1FC7"/>
    <w:rsid w:val="2B2F2F22"/>
    <w:rsid w:val="2B342280"/>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2B564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156F3"/>
    <w:rsid w:val="2CA21894"/>
    <w:rsid w:val="2CA4476E"/>
    <w:rsid w:val="2CAD4F6B"/>
    <w:rsid w:val="2CB17FD2"/>
    <w:rsid w:val="2CC16AFA"/>
    <w:rsid w:val="2CC95D10"/>
    <w:rsid w:val="2CC96A11"/>
    <w:rsid w:val="2CCA43FF"/>
    <w:rsid w:val="2CCB5A72"/>
    <w:rsid w:val="2CD57684"/>
    <w:rsid w:val="2CD67A0B"/>
    <w:rsid w:val="2CD75666"/>
    <w:rsid w:val="2CD83FF1"/>
    <w:rsid w:val="2CDC6591"/>
    <w:rsid w:val="2CDE08F2"/>
    <w:rsid w:val="2CE03AB0"/>
    <w:rsid w:val="2CE86737"/>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AD789E"/>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D42DEC"/>
    <w:rsid w:val="2EED4C9D"/>
    <w:rsid w:val="2EF01DA9"/>
    <w:rsid w:val="2EF224CD"/>
    <w:rsid w:val="2EF67D61"/>
    <w:rsid w:val="2EFA2F2B"/>
    <w:rsid w:val="2F010C22"/>
    <w:rsid w:val="2F195BDC"/>
    <w:rsid w:val="2F2913A5"/>
    <w:rsid w:val="2F2E23A6"/>
    <w:rsid w:val="2F2E289C"/>
    <w:rsid w:val="2F350F19"/>
    <w:rsid w:val="2F383567"/>
    <w:rsid w:val="2F3B1918"/>
    <w:rsid w:val="2F415DC8"/>
    <w:rsid w:val="2F514AAE"/>
    <w:rsid w:val="2F531FEB"/>
    <w:rsid w:val="2F5A4EA5"/>
    <w:rsid w:val="2F5B5B3B"/>
    <w:rsid w:val="2F615468"/>
    <w:rsid w:val="2F655F0E"/>
    <w:rsid w:val="2F6B73F9"/>
    <w:rsid w:val="2F6D4FA6"/>
    <w:rsid w:val="2F6E6713"/>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8428D"/>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61593"/>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07322"/>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1262C"/>
    <w:rsid w:val="32835AB1"/>
    <w:rsid w:val="328A3A5F"/>
    <w:rsid w:val="328D7371"/>
    <w:rsid w:val="328E2231"/>
    <w:rsid w:val="328F22F9"/>
    <w:rsid w:val="329326B7"/>
    <w:rsid w:val="329426A2"/>
    <w:rsid w:val="329708DE"/>
    <w:rsid w:val="32AD1211"/>
    <w:rsid w:val="32BE0045"/>
    <w:rsid w:val="32E12F9A"/>
    <w:rsid w:val="32E87F66"/>
    <w:rsid w:val="32E97C5E"/>
    <w:rsid w:val="32EC46FB"/>
    <w:rsid w:val="32F64CAC"/>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35B22"/>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0F116F"/>
    <w:rsid w:val="341212B1"/>
    <w:rsid w:val="341321BE"/>
    <w:rsid w:val="34155C01"/>
    <w:rsid w:val="34293255"/>
    <w:rsid w:val="34314E1D"/>
    <w:rsid w:val="34315823"/>
    <w:rsid w:val="34346CEE"/>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7E5840"/>
    <w:rsid w:val="36856B5A"/>
    <w:rsid w:val="36883C27"/>
    <w:rsid w:val="368E76EE"/>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37BA3"/>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64ECC"/>
    <w:rsid w:val="397F2866"/>
    <w:rsid w:val="39830655"/>
    <w:rsid w:val="39850A26"/>
    <w:rsid w:val="39875D3B"/>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263ED"/>
    <w:rsid w:val="39EE1B0B"/>
    <w:rsid w:val="39F17FFD"/>
    <w:rsid w:val="39F24322"/>
    <w:rsid w:val="39FA1859"/>
    <w:rsid w:val="39FE1307"/>
    <w:rsid w:val="3A03384A"/>
    <w:rsid w:val="3A066160"/>
    <w:rsid w:val="3A083121"/>
    <w:rsid w:val="3A0C0FBD"/>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22233"/>
    <w:rsid w:val="3A936647"/>
    <w:rsid w:val="3A9E4B32"/>
    <w:rsid w:val="3A9F1B2C"/>
    <w:rsid w:val="3AA00BCD"/>
    <w:rsid w:val="3AA04C49"/>
    <w:rsid w:val="3AA54470"/>
    <w:rsid w:val="3AA913CF"/>
    <w:rsid w:val="3AB86069"/>
    <w:rsid w:val="3AC036CC"/>
    <w:rsid w:val="3AC205A6"/>
    <w:rsid w:val="3AC257A4"/>
    <w:rsid w:val="3AC334CD"/>
    <w:rsid w:val="3AC52EB9"/>
    <w:rsid w:val="3AC75562"/>
    <w:rsid w:val="3ACF5E01"/>
    <w:rsid w:val="3AD16134"/>
    <w:rsid w:val="3AD17EBD"/>
    <w:rsid w:val="3ADB2291"/>
    <w:rsid w:val="3ADD199D"/>
    <w:rsid w:val="3ADE382E"/>
    <w:rsid w:val="3AEA3CFC"/>
    <w:rsid w:val="3AF044A5"/>
    <w:rsid w:val="3AF153E6"/>
    <w:rsid w:val="3AFC4CC9"/>
    <w:rsid w:val="3B00301D"/>
    <w:rsid w:val="3B031629"/>
    <w:rsid w:val="3B0D3370"/>
    <w:rsid w:val="3B1752EE"/>
    <w:rsid w:val="3B1C35AC"/>
    <w:rsid w:val="3B1F0CAE"/>
    <w:rsid w:val="3B22468C"/>
    <w:rsid w:val="3B292A67"/>
    <w:rsid w:val="3B3155AA"/>
    <w:rsid w:val="3B345984"/>
    <w:rsid w:val="3B3E0B10"/>
    <w:rsid w:val="3B4F1508"/>
    <w:rsid w:val="3B580D61"/>
    <w:rsid w:val="3B58455D"/>
    <w:rsid w:val="3B5908EC"/>
    <w:rsid w:val="3B64699C"/>
    <w:rsid w:val="3B696BF9"/>
    <w:rsid w:val="3B6F0DCA"/>
    <w:rsid w:val="3B754E06"/>
    <w:rsid w:val="3B7B2B0A"/>
    <w:rsid w:val="3B7C7B97"/>
    <w:rsid w:val="3B8372AE"/>
    <w:rsid w:val="3B914065"/>
    <w:rsid w:val="3B9A7EDD"/>
    <w:rsid w:val="3B9F483C"/>
    <w:rsid w:val="3BB249F7"/>
    <w:rsid w:val="3BBE3122"/>
    <w:rsid w:val="3BC20515"/>
    <w:rsid w:val="3BC53C74"/>
    <w:rsid w:val="3BC60370"/>
    <w:rsid w:val="3BC62C0D"/>
    <w:rsid w:val="3BC772AB"/>
    <w:rsid w:val="3BC812C8"/>
    <w:rsid w:val="3BD741DE"/>
    <w:rsid w:val="3BE65D8D"/>
    <w:rsid w:val="3BE7491F"/>
    <w:rsid w:val="3BE82033"/>
    <w:rsid w:val="3BEA0B7F"/>
    <w:rsid w:val="3BEF3F98"/>
    <w:rsid w:val="3BF01125"/>
    <w:rsid w:val="3BF1165C"/>
    <w:rsid w:val="3BF82655"/>
    <w:rsid w:val="3BF90B59"/>
    <w:rsid w:val="3BFD046C"/>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176B5"/>
    <w:rsid w:val="3DFD4BBE"/>
    <w:rsid w:val="3E00097B"/>
    <w:rsid w:val="3E011326"/>
    <w:rsid w:val="3E024B7B"/>
    <w:rsid w:val="3E104548"/>
    <w:rsid w:val="3E19435F"/>
    <w:rsid w:val="3E1B47C8"/>
    <w:rsid w:val="3E20393D"/>
    <w:rsid w:val="3E205773"/>
    <w:rsid w:val="3E264105"/>
    <w:rsid w:val="3E264903"/>
    <w:rsid w:val="3E2806A1"/>
    <w:rsid w:val="3E286D72"/>
    <w:rsid w:val="3E2E35CB"/>
    <w:rsid w:val="3E2F087F"/>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12022"/>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B4D64"/>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456BD"/>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4428E"/>
    <w:rsid w:val="41173D23"/>
    <w:rsid w:val="411832BB"/>
    <w:rsid w:val="41216561"/>
    <w:rsid w:val="4126157E"/>
    <w:rsid w:val="412E1703"/>
    <w:rsid w:val="41341D04"/>
    <w:rsid w:val="413D1085"/>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986734"/>
    <w:rsid w:val="41A26E55"/>
    <w:rsid w:val="41A7534C"/>
    <w:rsid w:val="41AE168E"/>
    <w:rsid w:val="41B000EA"/>
    <w:rsid w:val="41B625DB"/>
    <w:rsid w:val="41B75B9A"/>
    <w:rsid w:val="41BB28C5"/>
    <w:rsid w:val="41C505B5"/>
    <w:rsid w:val="41C64DF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53EF7"/>
    <w:rsid w:val="42C8399F"/>
    <w:rsid w:val="42CC1C77"/>
    <w:rsid w:val="42CE7CBC"/>
    <w:rsid w:val="42E67A2D"/>
    <w:rsid w:val="42EF6EDD"/>
    <w:rsid w:val="42F63370"/>
    <w:rsid w:val="42FF7166"/>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8746D"/>
    <w:rsid w:val="434C3803"/>
    <w:rsid w:val="4357411B"/>
    <w:rsid w:val="43624524"/>
    <w:rsid w:val="436B215F"/>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1C0D"/>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697DC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06AA9"/>
    <w:rsid w:val="48C17060"/>
    <w:rsid w:val="48D22DB3"/>
    <w:rsid w:val="48D93445"/>
    <w:rsid w:val="48D9627C"/>
    <w:rsid w:val="48DA1D9C"/>
    <w:rsid w:val="48DC218D"/>
    <w:rsid w:val="48DF3D7D"/>
    <w:rsid w:val="48DF3DBB"/>
    <w:rsid w:val="48E4725A"/>
    <w:rsid w:val="48E90615"/>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1A93"/>
    <w:rsid w:val="49B337E8"/>
    <w:rsid w:val="49B57903"/>
    <w:rsid w:val="49BB0B72"/>
    <w:rsid w:val="49BD536F"/>
    <w:rsid w:val="49CC2660"/>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23316"/>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0F7B33"/>
    <w:rsid w:val="4B154062"/>
    <w:rsid w:val="4B1C2009"/>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12198"/>
    <w:rsid w:val="4C322608"/>
    <w:rsid w:val="4C3238CA"/>
    <w:rsid w:val="4C343A7F"/>
    <w:rsid w:val="4C3449FC"/>
    <w:rsid w:val="4C380D78"/>
    <w:rsid w:val="4C3D0756"/>
    <w:rsid w:val="4C3D5FB7"/>
    <w:rsid w:val="4C463137"/>
    <w:rsid w:val="4C4C1686"/>
    <w:rsid w:val="4C513E4B"/>
    <w:rsid w:val="4C542E8F"/>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B263E"/>
    <w:rsid w:val="4D2D15D1"/>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2B74D5"/>
    <w:rsid w:val="4E304710"/>
    <w:rsid w:val="4E337E4B"/>
    <w:rsid w:val="4E365771"/>
    <w:rsid w:val="4E3C3064"/>
    <w:rsid w:val="4E3C5DC0"/>
    <w:rsid w:val="4E446F8B"/>
    <w:rsid w:val="4E4D4DE2"/>
    <w:rsid w:val="4E5669BF"/>
    <w:rsid w:val="4E651EA6"/>
    <w:rsid w:val="4E6757B0"/>
    <w:rsid w:val="4E6C4048"/>
    <w:rsid w:val="4E783D17"/>
    <w:rsid w:val="4E7F2A80"/>
    <w:rsid w:val="4E7F6123"/>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866B8"/>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4A044C"/>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9C7F5F"/>
    <w:rsid w:val="4FA11827"/>
    <w:rsid w:val="4FA43120"/>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01B8C"/>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4954"/>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003F"/>
    <w:rsid w:val="528F6528"/>
    <w:rsid w:val="52927920"/>
    <w:rsid w:val="5294173C"/>
    <w:rsid w:val="52A573D4"/>
    <w:rsid w:val="52AE3C1C"/>
    <w:rsid w:val="52B15A0B"/>
    <w:rsid w:val="52B277B6"/>
    <w:rsid w:val="52B539F6"/>
    <w:rsid w:val="52B87EDF"/>
    <w:rsid w:val="52C2471F"/>
    <w:rsid w:val="52C2744F"/>
    <w:rsid w:val="52CE58A5"/>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A7306"/>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9770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6F587F"/>
    <w:rsid w:val="55714147"/>
    <w:rsid w:val="55744904"/>
    <w:rsid w:val="557C295E"/>
    <w:rsid w:val="557C5B0B"/>
    <w:rsid w:val="55806AF4"/>
    <w:rsid w:val="55812735"/>
    <w:rsid w:val="55861EC8"/>
    <w:rsid w:val="5588140B"/>
    <w:rsid w:val="55891D85"/>
    <w:rsid w:val="5592013C"/>
    <w:rsid w:val="559C7927"/>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50744"/>
    <w:rsid w:val="56172C84"/>
    <w:rsid w:val="56206259"/>
    <w:rsid w:val="562219AC"/>
    <w:rsid w:val="56230DC5"/>
    <w:rsid w:val="562B59B0"/>
    <w:rsid w:val="562B64D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630E0"/>
    <w:rsid w:val="568F0B4D"/>
    <w:rsid w:val="5691640E"/>
    <w:rsid w:val="56927F4A"/>
    <w:rsid w:val="569C03A7"/>
    <w:rsid w:val="569E53D6"/>
    <w:rsid w:val="56A304C3"/>
    <w:rsid w:val="56A353B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62EFD"/>
    <w:rsid w:val="57E8494C"/>
    <w:rsid w:val="57EA66DC"/>
    <w:rsid w:val="57F75230"/>
    <w:rsid w:val="57FA5E75"/>
    <w:rsid w:val="58000E35"/>
    <w:rsid w:val="58186CE6"/>
    <w:rsid w:val="58222E9F"/>
    <w:rsid w:val="58251D17"/>
    <w:rsid w:val="582D3231"/>
    <w:rsid w:val="58316A55"/>
    <w:rsid w:val="58327850"/>
    <w:rsid w:val="583F3207"/>
    <w:rsid w:val="58452DB9"/>
    <w:rsid w:val="5846017C"/>
    <w:rsid w:val="58484E27"/>
    <w:rsid w:val="58514B7B"/>
    <w:rsid w:val="58525C17"/>
    <w:rsid w:val="58592455"/>
    <w:rsid w:val="586815ED"/>
    <w:rsid w:val="586B3009"/>
    <w:rsid w:val="5875165E"/>
    <w:rsid w:val="58775EED"/>
    <w:rsid w:val="58790B5B"/>
    <w:rsid w:val="588D7FDD"/>
    <w:rsid w:val="58924ECC"/>
    <w:rsid w:val="589511CE"/>
    <w:rsid w:val="5895256C"/>
    <w:rsid w:val="58965AA7"/>
    <w:rsid w:val="5899451C"/>
    <w:rsid w:val="589C6409"/>
    <w:rsid w:val="589D4D39"/>
    <w:rsid w:val="58A34E0C"/>
    <w:rsid w:val="58AE31F5"/>
    <w:rsid w:val="58B12F4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C2CEF"/>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460E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30012"/>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344C7"/>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D560E"/>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6BA"/>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4F0CAA"/>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14137"/>
    <w:rsid w:val="5DD74A14"/>
    <w:rsid w:val="5DDB163B"/>
    <w:rsid w:val="5DDC2477"/>
    <w:rsid w:val="5DDC2877"/>
    <w:rsid w:val="5DF03AB4"/>
    <w:rsid w:val="5DF11D42"/>
    <w:rsid w:val="5DFA2E17"/>
    <w:rsid w:val="5DFB0C01"/>
    <w:rsid w:val="5E006537"/>
    <w:rsid w:val="5E1D2155"/>
    <w:rsid w:val="5E2374D1"/>
    <w:rsid w:val="5E2C6CCC"/>
    <w:rsid w:val="5E2F41CB"/>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30102"/>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E4002"/>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08DE"/>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96A92"/>
    <w:rsid w:val="628C1A7E"/>
    <w:rsid w:val="628E6DF2"/>
    <w:rsid w:val="628F77E2"/>
    <w:rsid w:val="62971DFA"/>
    <w:rsid w:val="629963D8"/>
    <w:rsid w:val="62A62474"/>
    <w:rsid w:val="62B22755"/>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569B7"/>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4B228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3564C"/>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3008"/>
    <w:rsid w:val="66235CDE"/>
    <w:rsid w:val="6628673A"/>
    <w:rsid w:val="662A259A"/>
    <w:rsid w:val="66300C32"/>
    <w:rsid w:val="6631536B"/>
    <w:rsid w:val="6639596A"/>
    <w:rsid w:val="663F1119"/>
    <w:rsid w:val="66401DD3"/>
    <w:rsid w:val="6644369D"/>
    <w:rsid w:val="66513A8B"/>
    <w:rsid w:val="66515333"/>
    <w:rsid w:val="66543F3A"/>
    <w:rsid w:val="6654755D"/>
    <w:rsid w:val="66553A9B"/>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1068E"/>
    <w:rsid w:val="66E13704"/>
    <w:rsid w:val="66E40BAD"/>
    <w:rsid w:val="66E77E06"/>
    <w:rsid w:val="66F474D0"/>
    <w:rsid w:val="66F861FA"/>
    <w:rsid w:val="670027A0"/>
    <w:rsid w:val="67037752"/>
    <w:rsid w:val="67050D51"/>
    <w:rsid w:val="67050D97"/>
    <w:rsid w:val="67051BD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BF12B5"/>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2DB6"/>
    <w:rsid w:val="69ED6B4A"/>
    <w:rsid w:val="69EE54CD"/>
    <w:rsid w:val="69F92613"/>
    <w:rsid w:val="69FB7CD4"/>
    <w:rsid w:val="69FD723E"/>
    <w:rsid w:val="69FD7CEA"/>
    <w:rsid w:val="6A0229E5"/>
    <w:rsid w:val="6A067F83"/>
    <w:rsid w:val="6A097E59"/>
    <w:rsid w:val="6A0E4D51"/>
    <w:rsid w:val="6A171AFC"/>
    <w:rsid w:val="6A1B06CD"/>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00593"/>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668D1"/>
    <w:rsid w:val="6D077405"/>
    <w:rsid w:val="6D0A3519"/>
    <w:rsid w:val="6D0B62E2"/>
    <w:rsid w:val="6D133D59"/>
    <w:rsid w:val="6D175B2B"/>
    <w:rsid w:val="6D264EC5"/>
    <w:rsid w:val="6D26662C"/>
    <w:rsid w:val="6D287D4F"/>
    <w:rsid w:val="6D2B3CDC"/>
    <w:rsid w:val="6D2C27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45261"/>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8F2730"/>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A56DA"/>
    <w:rsid w:val="6F6B5A9E"/>
    <w:rsid w:val="6F7A07E3"/>
    <w:rsid w:val="6F7D050B"/>
    <w:rsid w:val="6F8C33B0"/>
    <w:rsid w:val="6F8D5B36"/>
    <w:rsid w:val="6F953750"/>
    <w:rsid w:val="6F9B0C75"/>
    <w:rsid w:val="6FA04DA3"/>
    <w:rsid w:val="6FA10B29"/>
    <w:rsid w:val="6FAA2D8A"/>
    <w:rsid w:val="6FB62831"/>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A4DCB"/>
    <w:rsid w:val="706F497B"/>
    <w:rsid w:val="70724AB3"/>
    <w:rsid w:val="70877819"/>
    <w:rsid w:val="70916EF8"/>
    <w:rsid w:val="709261ED"/>
    <w:rsid w:val="709605AE"/>
    <w:rsid w:val="709D31A3"/>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953B8"/>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56442"/>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0710"/>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D5416"/>
    <w:rsid w:val="739F2349"/>
    <w:rsid w:val="739F6287"/>
    <w:rsid w:val="73A242CD"/>
    <w:rsid w:val="73A935F2"/>
    <w:rsid w:val="73AC333B"/>
    <w:rsid w:val="73AD3C4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6E6DD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27806"/>
    <w:rsid w:val="76154B74"/>
    <w:rsid w:val="761C414A"/>
    <w:rsid w:val="761D237D"/>
    <w:rsid w:val="762721D0"/>
    <w:rsid w:val="76292CB3"/>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04CD3"/>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3209A"/>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124A2"/>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764A7"/>
    <w:rsid w:val="780B6CC7"/>
    <w:rsid w:val="78153F77"/>
    <w:rsid w:val="78155CF2"/>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8FA7F8E"/>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079CC"/>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241AD"/>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1051"/>
    <w:rsid w:val="7A867241"/>
    <w:rsid w:val="7A876B11"/>
    <w:rsid w:val="7A88301C"/>
    <w:rsid w:val="7A963A48"/>
    <w:rsid w:val="7A9660A3"/>
    <w:rsid w:val="7A9861CB"/>
    <w:rsid w:val="7A986784"/>
    <w:rsid w:val="7ABB3E82"/>
    <w:rsid w:val="7AC3568E"/>
    <w:rsid w:val="7AC449C6"/>
    <w:rsid w:val="7AD17D6D"/>
    <w:rsid w:val="7AD71052"/>
    <w:rsid w:val="7AD9797E"/>
    <w:rsid w:val="7ADE3DB2"/>
    <w:rsid w:val="7AE5682B"/>
    <w:rsid w:val="7AEE60EE"/>
    <w:rsid w:val="7AFE6C9A"/>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1585E"/>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060F"/>
    <w:rsid w:val="7BDE524C"/>
    <w:rsid w:val="7BDF5DF5"/>
    <w:rsid w:val="7BE908F3"/>
    <w:rsid w:val="7BE9784F"/>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06A1"/>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16F55"/>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497FAA"/>
    <w:rsid w:val="7D520228"/>
    <w:rsid w:val="7D526E71"/>
    <w:rsid w:val="7D532432"/>
    <w:rsid w:val="7D592A4D"/>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311AB"/>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27810"/>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92C82"/>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 w:type="character" w:customStyle="1" w:styleId="60">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0f2ffbd3-c4ea-4182-8421-7430a54a9861</errorID>
      <errorWord>免费赠阅</errorWord>
      <group>L1_Word</group>
      <groupName>字词问题</groupName>
      <ability>L2_Typo</ability>
      <abilityName>字词错误</abilityName>
      <candidateList>
        <item>赠阅</item>
      </candidateList>
      <explain/>
      <paraID>1EE33D88</paraID>
      <start>31</start>
      <end>35</end>
      <status>ignored</status>
      <modifiedWord/>
      <trackRevisions>false</trackRevisions>
    </reviewItem>
    <reviewItem>
      <errorID>41ef7043-0a1a-4e18-9060-bed1d854f94d</errorID>
      <errorWord>35%-40%</errorWord>
      <group>L1_Knowledge</group>
      <groupName>知识性问题</groupName>
      <ability>L2_Knowledge</ability>
      <abilityName>其他知识</abilityName>
      <candidateList>
        <item>35%—40%</item>
      </candidateList>
      <explain>1. “35%-40%”中的单位“%”仅出现在后一个数字上，容易引起歧义；根据《现代汉语标点符号数字用法规范手册》，数字表示范围两边需要使用统一的格式。2. 根据标点国标 4.13 中的规则，数字、时间或地域连接符应使用（视觉上更长的）“—”或“～”。</explain>
      <paraID>57F50B25</paraID>
      <start>53</start>
      <end>60</end>
      <status>ignored</status>
      <modifiedWord/>
      <trackRevisions>false</trackRevisions>
    </reviewItem>
    <reviewItem>
      <errorID>13337a45-bb4c-4d8e-89e4-18380cd3c3fd</errorID>
      <errorWord>具</errorWord>
      <group>L1_Word</group>
      <groupName>字词问题</groupName>
      <ability>L2_Typo</ability>
      <abilityName>字词错误</abilityName>
      <candidateList>
        <item>具有</item>
      </candidateList>
      <explain>〈动〉有（多用于抽象事物）：～信心｜～伟大的意义。</explain>
      <paraID>57F50B25</paraID>
      <start>176</start>
      <end>177</end>
      <status>ignored</status>
      <modifiedWord/>
      <trackRevisions>false</trackRevisions>
    </reviewItem>
    <reviewItem>
      <errorID>c03563f0-6231-452e-863d-07d4962b10ee</errorID>
      <errorWord>13%-15%</errorWord>
      <group>L1_Knowledge</group>
      <groupName>知识性问题</groupName>
      <ability>L2_Knowledge</ability>
      <abilityName>其他知识</abilityName>
      <candidateList>
        <item>13%—15%</item>
      </candidateList>
      <explain>1. “13%-15%”中的单位“%”仅出现在后一个数字上，容易引起歧义；根据《现代汉语标点符号数字用法规范手册》，数字表示范围两边需要使用统一的格式。2. 根据标点国标 4.13 中的规则，数字、时间或地域连接符应使用（视觉上更长的）“—”或“～”。</explain>
      <paraID>4E40195B</paraID>
      <start>154</start>
      <end>161</end>
      <status>ignored</status>
      <modifiedWord/>
      <trackRevisions>false</trackRevisions>
    </reviewItem>
    <reviewItem>
      <errorID>59a6cfb4-93e4-422f-b123-a3d1dc355aa9</errorID>
      <errorWord>示</errorWord>
      <group>L1_Word</group>
      <groupName>字词问题</groupName>
      <ability>L2_Typo</ability>
      <abilityName>字词错误</abilityName>
      <candidateList>
        <item>示了</item>
      </candidateList>
      <explain/>
      <paraID>5F8127B1</paraID>
      <start>248</start>
      <end>249</end>
      <status>ignored</status>
      <modifiedWord/>
      <trackRevisions>false</trackRevisions>
    </reviewItem>
    <reviewItem>
      <errorID>10524cf3-7355-4071-b89b-b9b4cb97a67c</errorID>
      <errorWord>、也</errorWord>
      <group>L1_Punc</group>
      <groupName>标点问题</groupName>
      <ability>L2_Punc_CN</ability>
      <abilityName>标点符号问题</abilityName>
      <candidateList>
        <item>，也</item>
      </candidateList>
      <explain>连接词前后不宜使用顿号，建议使用逗号。</explain>
      <paraID>6364E5D2</paraID>
      <start>28</start>
      <end>30</end>
      <status>modified</status>
      <modifiedWord>，也</modifiedWord>
      <trackRevisions>false</trackRevisions>
    </reviewItem>
    <reviewItem>
      <errorID>8080c637-6068-4346-83f1-53f1f2c41cee</errorID>
      <errorWord>、也</errorWord>
      <group>L1_Punc</group>
      <groupName>标点问题</groupName>
      <ability>L2_Punc_CN</ability>
      <abilityName>标点符号问题</abilityName>
      <candidateList>
        <item>，也</item>
      </candidateList>
      <explain>连接词前后不宜使用顿号，建议使用逗号。</explain>
      <paraID> 24BDC34</paraID>
      <start>29</start>
      <end>31</end>
      <status>modified</status>
      <modifiedWord>，也</modifiedWord>
      <trackRevisions>false</trackRevisions>
    </reviewItem>
    <reviewItem>
      <errorID>4159209a-8a58-4b29-9700-4202cb6c9fe3</errorID>
      <errorWord>2-3年</errorWord>
      <group>L1_Word</group>
      <groupName>字词问题</groupName>
      <ability>L2_Typo</ability>
      <abilityName>字词错误</abilityName>
      <candidateList>
        <item>2～3年</item>
      </candidateList>
      <explain/>
      <paraID>6E10CFF7</paraID>
      <start>3</start>
      <end>7</end>
      <status>modified</status>
      <modifiedWord>2～3年</modifiedWord>
      <trackRevisions>false</trackRevisions>
    </reviewItem>
    <reviewItem>
      <errorID>42f7ca21-77db-4d76-8ebc-2c7309b5ba7b</errorID>
      <errorWord>矽</errorWord>
      <group>L1_Word</group>
      <groupName>字词问题</groupName>
      <ability>L2_Variant</ability>
      <abilityName>异形词</abilityName>
      <candidateList>
        <item>硅</item>
      </candidateList>
      <explain>词汇[矽]的规范词形写作[硅]。</explain>
      <paraID>25980F71</paraID>
      <start>282</start>
      <end>283</end>
      <status>ignored</status>
      <modifiedWord/>
      <trackRevisions>false</trackRevisions>
    </reviewItem>
    <reviewItem>
      <errorID>a72246f7-e039-4b79-ab44-52ee22f40e6a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16C1DAD4</paraID>
      <start>27</start>
      <end>28</end>
      <status>ignored</status>
      <modifiedWord/>
      <trackRevisions>false</trackRevisions>
    </reviewItem>
    <reviewItem>
      <errorID>665c68ce-dce3-4576-9445-21020aaedb5d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36C6BE05</paraID>
      <start>57</start>
      <end>58</end>
      <status>ignored</status>
      <modifiedWord/>
      <trackRevisions>false</trackRevisions>
    </reviewItem>
    <reviewItem>
      <errorID>5eb3d967-76dd-4686-a58a-28ba5dc8d032</errorID>
      <errorWord>)</errorWord>
      <group>L1_Format</group>
      <groupName>格式问题</groupName>
      <ability>L2_HalfPunc_CN</ability>
      <abilityName>全半角问题</abilityName>
      <candidateList>
        <item>）</item>
      </candidateList>
      <explain>文本全半角错误。</explain>
      <paraID>6942D30D</paraID>
      <start>79</start>
      <end>80</end>
      <status>modified</status>
      <modifiedWord>）</modifiedWord>
      <trackRevisions>false</trackRevisions>
    </reviewItem>
    <reviewItem>
      <errorID>412e9703-7f10-4520-9869-f5eb9dddbaad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693B425F</paraID>
      <start>117</start>
      <end>118</end>
      <status>ignored</status>
      <modifiedWord/>
      <trackRevisions>false</trackRevisions>
    </reviewItem>
    <reviewItem>
      <errorID>fe311d2c-9631-4d27-b660-43b7f92b87f5</errorID>
      <errorWord>AI大</errorWord>
      <group>L1_Word</group>
      <groupName>字词问题</groupName>
      <ability>L2_Typo</ability>
      <abilityName>字词错误</abilityName>
      <candidateList>
        <item>AI</item>
      </candidateList>
      <explain/>
      <paraID> 176F677</paraID>
      <start>88</start>
      <end>91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84fa31-f398-4214-b810-aa4acb9d40a3}">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24726</Words>
  <Characters>27055</Characters>
  <Lines>1</Lines>
  <Paragraphs>1</Paragraphs>
  <TotalTime>0</TotalTime>
  <ScaleCrop>false</ScaleCrop>
  <LinksUpToDate>false</LinksUpToDate>
  <CharactersWithSpaces>27294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左亮</cp:lastModifiedBy>
  <cp:lastPrinted>2026-08-20T08:52:23Z</cp:lastPrinted>
  <dcterms:modified xsi:type="dcterms:W3CDTF">2026-08-21T01:07:55Z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2AFE29251F2D47119EA111B2B617C6AF_13</vt:lpwstr>
  </property>
  <property fmtid="{D5CDD505-2E9C-101B-9397-08002B2CF9AE}" pid="4" name="KSOTemplateDocerSaveRecord">
    <vt:lpwstr>eyJoZGlkIjoiZjNiNGRkNzIwNDhhZDJkNTgzN2EzNjc2NjIxOGZjZjkiLCJ1c2VySWQiOiIxNzEwMjM3NzY5In0=</vt:lpwstr>
  </property>
</Properties>
</file>