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color w:val="FF0000"/>
          <w:spacing w:val="-119"/>
          <w:kern w:val="36"/>
          <w:sz w:val="144"/>
          <w:szCs w:val="144"/>
        </w:rPr>
      </w:pPr>
      <w:r>
        <w:rPr>
          <w:rFonts w:hint="default" w:ascii="Times New Roman" w:hAnsi="Times New Roman" w:eastAsia="经典行楷简" w:cs="Times New Roman"/>
          <w:b/>
          <w:color w:val="1F497D"/>
          <w:spacing w:val="-119"/>
          <w:kern w:val="36"/>
          <w:sz w:val="144"/>
          <w:szCs w:val="144"/>
          <w14:textFill>
            <w14:solidFill>
              <w14:srgbClr w14:val="1F497D">
                <w14:lumMod w14:val="60000"/>
                <w14:lumOff w14:val="40000"/>
              </w14:srgbClr>
            </w14:solidFill>
          </w14:textFill>
        </w:rPr>
        <w:t>江苏贸促周讯</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6" w:themeColor="accent1" w:themeShade="BF"/>
          <w:kern w:val="36"/>
          <w:sz w:val="44"/>
          <w:szCs w:val="44"/>
        </w:rPr>
      </w:pPr>
      <w:r>
        <w:rPr>
          <w:rFonts w:hint="default" w:ascii="Times New Roman" w:hAnsi="Times New Roman" w:eastAsia="经典行楷简" w:cs="Times New Roman"/>
          <w:b w:val="0"/>
          <w:bCs/>
          <w:color w:val="2E75B6" w:themeColor="accent1" w:themeShade="BF"/>
          <w:kern w:val="36"/>
          <w:sz w:val="44"/>
          <w:szCs w:val="44"/>
        </w:rPr>
        <w:t>202</w:t>
      </w:r>
      <w:r>
        <w:rPr>
          <w:rFonts w:hint="default" w:ascii="Times New Roman" w:hAnsi="Times New Roman" w:eastAsia="经典行楷简" w:cs="Times New Roman"/>
          <w:b w:val="0"/>
          <w:bCs/>
          <w:color w:val="2E75B6" w:themeColor="accent1" w:themeShade="BF"/>
          <w:kern w:val="36"/>
          <w:sz w:val="44"/>
          <w:szCs w:val="44"/>
          <w:lang w:val="en-US" w:eastAsia="zh-CN"/>
        </w:rPr>
        <w:t>4</w:t>
      </w:r>
      <w:r>
        <w:rPr>
          <w:rFonts w:hint="default" w:ascii="Times New Roman" w:hAnsi="Times New Roman" w:eastAsia="经典行楷简" w:cs="Times New Roman"/>
          <w:b w:val="0"/>
          <w:bCs/>
          <w:color w:val="2E75B6" w:themeColor="accent1" w:themeShade="BF"/>
          <w:kern w:val="36"/>
          <w:sz w:val="44"/>
          <w:szCs w:val="44"/>
        </w:rPr>
        <w:t>年第</w:t>
      </w:r>
      <w:r>
        <w:rPr>
          <w:rFonts w:hint="eastAsia" w:ascii="Times New Roman" w:hAnsi="Times New Roman" w:eastAsia="经典行楷简" w:cs="Times New Roman"/>
          <w:b w:val="0"/>
          <w:bCs/>
          <w:color w:val="2E75B6" w:themeColor="accent1" w:themeShade="BF"/>
          <w:kern w:val="36"/>
          <w:sz w:val="44"/>
          <w:szCs w:val="44"/>
          <w:lang w:val="en-US" w:eastAsia="zh-CN"/>
        </w:rPr>
        <w:t>24</w:t>
      </w:r>
      <w:r>
        <w:rPr>
          <w:rFonts w:hint="default" w:ascii="Times New Roman" w:hAnsi="Times New Roman" w:eastAsia="经典行楷简" w:cs="Times New Roman"/>
          <w:b w:val="0"/>
          <w:bCs/>
          <w:color w:val="2E75B6" w:themeColor="accent1" w:themeShade="BF"/>
          <w:kern w:val="36"/>
          <w:sz w:val="44"/>
          <w:szCs w:val="44"/>
        </w:rPr>
        <w:t>期</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pP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t>（</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scaled="0"/>
            </w14:gradFill>
          </w14:textFill>
        </w:rPr>
        <w:t>总第</w:t>
      </w:r>
      <w:r>
        <w:rPr>
          <w:rFonts w:hint="default" w:ascii="Times New Roman" w:hAnsi="Times New Roman" w:eastAsia="经典行楷简" w:cs="Times New Roman"/>
          <w:b w:val="0"/>
          <w:bCs/>
          <w:color w:val="2E75B5" w:themeColor="accent1" w:themeShade="BF"/>
          <w:kern w:val="36"/>
          <w:sz w:val="44"/>
          <w:szCs w:val="44"/>
          <w:lang w:val="en-US" w:eastAsia="zh-CN"/>
          <w14:textFill>
            <w14:gradFill>
              <w14:gsLst>
                <w14:gs w14:pos="0">
                  <w14:srgbClr w14:val="FE4444"/>
                </w14:gs>
                <w14:gs w14:pos="100000">
                  <w14:srgbClr w14:val="832B2B"/>
                </w14:gs>
              </w14:gsLst>
              <w14:lin w14:scaled="0"/>
            </w14:gradFill>
          </w14:textFill>
        </w:rPr>
        <w:t>2</w:t>
      </w:r>
      <w:r>
        <w:rPr>
          <w:rFonts w:hint="eastAsia" w:ascii="Times New Roman" w:hAnsi="Times New Roman" w:eastAsia="经典行楷简" w:cs="Times New Roman"/>
          <w:b w:val="0"/>
          <w:bCs/>
          <w:color w:val="2E75B5" w:themeColor="accent1" w:themeShade="BF"/>
          <w:kern w:val="36"/>
          <w:sz w:val="44"/>
          <w:szCs w:val="44"/>
          <w:lang w:val="en-US" w:eastAsia="zh-CN"/>
          <w14:textFill>
            <w14:gradFill>
              <w14:gsLst>
                <w14:gs w14:pos="0">
                  <w14:srgbClr w14:val="FE4444"/>
                </w14:gs>
                <w14:gs w14:pos="100000">
                  <w14:srgbClr w14:val="832B2B"/>
                </w14:gs>
              </w14:gsLst>
              <w14:lin w14:scaled="0"/>
            </w14:gradFill>
          </w14:textFill>
        </w:rPr>
        <w:t>70</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scaled="0"/>
            </w14:gradFill>
          </w14:textFill>
        </w:rPr>
        <w:t>期</w:t>
      </w: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t>）</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28" w:firstLineChars="200"/>
        <w:jc w:val="both"/>
        <w:textAlignment w:val="auto"/>
        <w:outlineLvl w:val="1"/>
        <w:rPr>
          <w:rFonts w:hint="default" w:ascii="Times New Roman" w:hAnsi="Times New Roman" w:eastAsia="方正楷体_GBK" w:cs="Times New Roman"/>
          <w:b w:val="0"/>
          <w:bCs/>
          <w:color w:val="000000"/>
          <w:kern w:val="36"/>
          <w:sz w:val="36"/>
          <w:szCs w:val="36"/>
          <w:highlight w:val="none"/>
        </w:rPr>
      </w:pPr>
      <w:r>
        <w:rPr>
          <w:rFonts w:hint="default" w:ascii="Times New Roman" w:hAnsi="Times New Roman" w:eastAsia="方正黑体_GBK" w:cs="Times New Roman"/>
          <w:b w:val="0"/>
          <w:bCs/>
          <w:color w:val="1F497D"/>
          <w:kern w:val="36"/>
          <w:sz w:val="28"/>
          <w:szCs w:val="28"/>
          <w:highlight w:val="none"/>
          <w14:textFill>
            <w14:solidFill>
              <w14:srgbClr w14:val="1F497D">
                <w14:lumMod w14:val="60000"/>
                <w14:lumOff w14:val="40000"/>
              </w14:srgbClr>
            </w14:solidFill>
          </w14:textFill>
        </w:rPr>
        <w:t>江苏省贸促会发展研究部</w:t>
      </w:r>
      <w:r>
        <w:rPr>
          <w:rFonts w:hint="default" w:ascii="Times New Roman" w:hAnsi="Times New Roman" w:eastAsia="宋体" w:cs="Times New Roman"/>
          <w:b/>
          <w:color w:val="00B0F0"/>
          <w:kern w:val="36"/>
          <w:sz w:val="28"/>
          <w:szCs w:val="28"/>
          <w:highlight w:val="none"/>
        </w:rPr>
        <w:t xml:space="preserve"> </w:t>
      </w:r>
      <w:r>
        <w:rPr>
          <w:rFonts w:hint="default" w:ascii="Times New Roman" w:hAnsi="Times New Roman" w:eastAsia="宋体" w:cs="Times New Roman"/>
          <w:b/>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lang w:val="en-US"/>
        </w:rPr>
        <w:t xml:space="preserve">     </w:t>
      </w:r>
      <w:r>
        <w:rPr>
          <w:rFonts w:hint="default" w:ascii="Times New Roman" w:hAnsi="Times New Roman" w:eastAsia="方正楷体_GBK" w:cs="Times New Roman"/>
          <w:b w:val="0"/>
          <w:bCs/>
          <w:color w:val="000000"/>
          <w:kern w:val="36"/>
          <w:sz w:val="32"/>
          <w:szCs w:val="32"/>
          <w:highlight w:val="none"/>
          <w:lang w:val="en-US"/>
        </w:rPr>
        <w:t xml:space="preserve"> </w:t>
      </w:r>
      <w:r>
        <w:rPr>
          <w:rFonts w:hint="default" w:ascii="Times New Roman" w:hAnsi="Times New Roman" w:eastAsia="方正楷体_GBK" w:cs="Times New Roman"/>
          <w:b w:val="0"/>
          <w:bCs/>
          <w:color w:val="000000"/>
          <w:kern w:val="36"/>
          <w:sz w:val="32"/>
          <w:szCs w:val="32"/>
          <w:highlight w:val="none"/>
        </w:rPr>
        <w:t>202</w:t>
      </w:r>
      <w:r>
        <w:rPr>
          <w:rFonts w:hint="default" w:ascii="Times New Roman" w:hAnsi="Times New Roman" w:eastAsia="方正楷体_GBK" w:cs="Times New Roman"/>
          <w:b w:val="0"/>
          <w:bCs/>
          <w:color w:val="000000"/>
          <w:kern w:val="36"/>
          <w:sz w:val="32"/>
          <w:szCs w:val="32"/>
          <w:highlight w:val="none"/>
          <w:lang w:val="en-US" w:eastAsia="zh-CN"/>
        </w:rPr>
        <w:t>4</w:t>
      </w:r>
      <w:r>
        <w:rPr>
          <w:rFonts w:hint="default" w:ascii="Times New Roman" w:hAnsi="Times New Roman" w:eastAsia="方正楷体_GBK" w:cs="Times New Roman"/>
          <w:b w:val="0"/>
          <w:bCs/>
          <w:color w:val="000000"/>
          <w:kern w:val="36"/>
          <w:sz w:val="32"/>
          <w:szCs w:val="32"/>
          <w:highlight w:val="none"/>
        </w:rPr>
        <w:t>年</w:t>
      </w:r>
      <w:r>
        <w:rPr>
          <w:rFonts w:hint="eastAsia" w:ascii="Times New Roman" w:hAnsi="Times New Roman" w:eastAsia="方正楷体_GBK" w:cs="Times New Roman"/>
          <w:b w:val="0"/>
          <w:bCs/>
          <w:color w:val="000000"/>
          <w:kern w:val="36"/>
          <w:sz w:val="32"/>
          <w:szCs w:val="32"/>
          <w:highlight w:val="none"/>
          <w:lang w:val="en-US" w:eastAsia="zh-CN"/>
        </w:rPr>
        <w:t>6</w:t>
      </w:r>
      <w:r>
        <w:rPr>
          <w:rFonts w:hint="default" w:ascii="Times New Roman" w:hAnsi="Times New Roman" w:eastAsia="方正楷体_GBK" w:cs="Times New Roman"/>
          <w:b w:val="0"/>
          <w:bCs/>
          <w:color w:val="000000"/>
          <w:kern w:val="36"/>
          <w:sz w:val="32"/>
          <w:szCs w:val="32"/>
          <w:highlight w:val="none"/>
        </w:rPr>
        <w:t>月</w:t>
      </w:r>
      <w:r>
        <w:rPr>
          <w:rFonts w:hint="eastAsia" w:ascii="Times New Roman" w:hAnsi="Times New Roman" w:eastAsia="方正楷体_GBK" w:cs="Times New Roman"/>
          <w:b w:val="0"/>
          <w:bCs/>
          <w:color w:val="000000"/>
          <w:kern w:val="36"/>
          <w:sz w:val="32"/>
          <w:szCs w:val="32"/>
          <w:highlight w:val="none"/>
          <w:lang w:val="en-US" w:eastAsia="zh-CN"/>
        </w:rPr>
        <w:t>17</w:t>
      </w:r>
      <w:bookmarkStart w:id="0" w:name="_GoBack"/>
      <w:bookmarkEnd w:id="0"/>
      <w:r>
        <w:rPr>
          <w:rFonts w:hint="default" w:ascii="Times New Roman" w:hAnsi="Times New Roman" w:eastAsia="方正楷体_GBK" w:cs="Times New Roman"/>
          <w:b w:val="0"/>
          <w:bCs/>
          <w:color w:val="000000"/>
          <w:kern w:val="36"/>
          <w:sz w:val="32"/>
          <w:szCs w:val="32"/>
          <w:highlight w:val="none"/>
        </w:rPr>
        <w:t>日</w:t>
      </w:r>
    </w:p>
    <w:p>
      <w:pPr>
        <w:keepNext w:val="0"/>
        <w:keepLines w:val="0"/>
        <w:pageBreakBefore w:val="0"/>
        <w:widowControl/>
        <w:shd w:val="clear" w:color="auto" w:fill="FFFFFF"/>
        <w:kinsoku/>
        <w:wordWrap/>
        <w:overflowPunct/>
        <w:topLinePunct w:val="0"/>
        <w:autoSpaceDE/>
        <w:autoSpaceDN/>
        <w:bidi w:val="0"/>
        <w:adjustRightInd/>
        <w:snapToGrid/>
        <w:spacing w:before="435" w:beforeLines="150" w:after="210" w:line="240" w:lineRule="auto"/>
        <w:ind w:firstLine="424" w:firstLineChars="100"/>
        <w:jc w:val="both"/>
        <w:textAlignment w:val="auto"/>
        <w:outlineLvl w:val="1"/>
        <w:rPr>
          <w:rFonts w:hint="default" w:ascii="Times New Roman" w:hAnsi="Times New Roman" w:eastAsia="方正黑体_GBK" w:cs="Times New Roman"/>
          <w:b w:val="0"/>
          <w:bCs/>
          <w:color w:val="000000"/>
          <w:kern w:val="36"/>
          <w:sz w:val="44"/>
          <w:szCs w:val="44"/>
          <w:lang w:val="en-US" w:eastAsia="zh-CN"/>
        </w:rPr>
      </w:pPr>
      <w:r>
        <w:rPr>
          <w:rFonts w:hint="default" w:ascii="Times New Roman" w:hAnsi="Times New Roman" w:eastAsia="方正黑体_GBK" w:cs="Times New Roman"/>
          <w:b w:val="0"/>
          <w:bCs/>
          <w:color w:val="000000"/>
          <w:kern w:val="36"/>
          <w:sz w:val="44"/>
          <w:szCs w:val="44"/>
        </w:rPr>
        <w:t>目录</w:t>
      </w:r>
      <w:r>
        <w:rPr>
          <w:rFonts w:hint="default" w:ascii="Times New Roman" w:hAnsi="Times New Roman" w:eastAsia="方正黑体_GBK" w:cs="Times New Roman"/>
          <w:b w:val="0"/>
          <w:bCs/>
          <w:color w:val="000000"/>
          <w:kern w:val="36"/>
          <w:sz w:val="28"/>
          <w:szCs w:val="28"/>
          <w:lang w:val="en-US"/>
        </w:rPr>
        <w:t>CONTENTS</w:t>
      </w:r>
      <w:r>
        <w:rPr>
          <w:rFonts w:hint="default" w:ascii="Times New Roman" w:hAnsi="Times New Roman" w:eastAsia="方正黑体_GBK" w:cs="Times New Roman"/>
          <w:b w:val="0"/>
          <w:bCs/>
          <w:color w:val="000000"/>
          <w:kern w:val="36"/>
          <w:sz w:val="32"/>
          <w:szCs w:val="32"/>
          <w:lang w:val="en-US"/>
        </w:rPr>
        <w:t xml:space="preserve">  </w:t>
      </w:r>
      <w:r>
        <w:rPr>
          <w:rFonts w:hint="default" w:ascii="Times New Roman" w:hAnsi="Times New Roman" w:eastAsia="方正黑体_GBK" w:cs="Times New Roman"/>
          <w:b w:val="0"/>
          <w:bCs/>
          <w:color w:val="000000"/>
          <w:kern w:val="36"/>
          <w:sz w:val="24"/>
          <w:szCs w:val="24"/>
          <w:lang w:val="en-US" w:eastAsia="zh-CN"/>
        </w:rPr>
        <w:t>——————————————内部资料 免费赠阅</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FF0000"/>
          <w:kern w:val="36"/>
          <w:sz w:val="24"/>
          <w:szCs w:val="24"/>
          <w:lang w:val="en-US" w:eastAsia="zh-CN"/>
        </w:rPr>
      </w:pP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全球市场资讯 </w:t>
      </w: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w:t>
      </w:r>
      <w:r>
        <w:rPr>
          <w:rFonts w:hint="default" w:ascii="Times New Roman" w:hAnsi="Times New Roman" w:eastAsia="宋体" w:cs="Times New Roman"/>
          <w:b/>
          <w:color w:val="00B0F0"/>
          <w:kern w:val="36"/>
          <w:sz w:val="36"/>
          <w:szCs w:val="36"/>
          <w:lang w:val="en-US" w:eastAsia="zh-CN"/>
        </w:rPr>
        <w:t xml:space="preserve"> </w:t>
      </w:r>
      <w:r>
        <w:rPr>
          <w:rFonts w:hint="default" w:ascii="Times New Roman" w:hAnsi="Times New Roman" w:eastAsia="宋体" w:cs="Times New Roman"/>
          <w:b/>
          <w:color w:val="FF0000"/>
          <w:kern w:val="36"/>
          <w:sz w:val="24"/>
          <w:szCs w:val="24"/>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left="550" w:leftChars="284" w:firstLine="0" w:firstLineChars="0"/>
        <w:contextualSpacing/>
        <w:jc w:val="left"/>
        <w:textAlignment w:val="auto"/>
        <w:outlineLvl w:val="1"/>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6月8日（周六）</w:t>
      </w:r>
      <w:r>
        <w:rPr>
          <w:rFonts w:hint="eastAsia" w:ascii="Times New Roman" w:hAnsi="Times New Roman" w:eastAsia="方正楷体_GBK" w:cs="Times New Roman"/>
          <w:b/>
          <w:bCs w:val="0"/>
          <w:color w:val="auto"/>
          <w:spacing w:val="0"/>
          <w:kern w:val="36"/>
          <w:sz w:val="30"/>
          <w:szCs w:val="30"/>
          <w:lang w:val="en-US" w:eastAsia="zh-CN"/>
        </w:rPr>
        <w:t xml:space="preserve">5月“大非农”数据骇人，细品之下希望犹存 </w:t>
      </w:r>
      <w:r>
        <w:rPr>
          <w:rFonts w:hint="default" w:ascii="Times New Roman" w:hAnsi="Times New Roman" w:eastAsia="方正楷体_GBK" w:cs="Times New Roman"/>
          <w:b/>
          <w:bCs w:val="0"/>
          <w:color w:val="auto"/>
          <w:spacing w:val="0"/>
          <w:kern w:val="36"/>
          <w:sz w:val="30"/>
          <w:szCs w:val="30"/>
          <w:lang w:val="en-US" w:eastAsia="zh-CN"/>
        </w:rPr>
        <w:t>/</w:t>
      </w:r>
      <w:r>
        <w:rPr>
          <w:rFonts w:hint="eastAsia" w:ascii="Times New Roman" w:hAnsi="Times New Roman" w:eastAsia="方正楷体_GBK" w:cs="Times New Roman"/>
          <w:b/>
          <w:bCs w:val="0"/>
          <w:color w:val="auto"/>
          <w:spacing w:val="0"/>
          <w:kern w:val="36"/>
          <w:sz w:val="30"/>
          <w:szCs w:val="30"/>
          <w:lang w:val="en-US" w:eastAsia="zh-CN"/>
        </w:rPr>
        <w:t xml:space="preserve"> 01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left="550" w:leftChars="284" w:firstLine="0" w:firstLineChars="0"/>
        <w:contextualSpacing/>
        <w:jc w:val="left"/>
        <w:textAlignment w:val="auto"/>
        <w:outlineLvl w:val="1"/>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6</w:t>
      </w:r>
      <w:r>
        <w:rPr>
          <w:rFonts w:hint="default" w:ascii="Times New Roman" w:hAnsi="Times New Roman" w:eastAsia="方正楷体_GBK" w:cs="Times New Roman"/>
          <w:b/>
          <w:bCs w:val="0"/>
          <w:color w:val="auto"/>
          <w:spacing w:val="0"/>
          <w:kern w:val="36"/>
          <w:sz w:val="30"/>
          <w:szCs w:val="30"/>
          <w:lang w:val="en-US" w:eastAsia="zh-CN"/>
        </w:rPr>
        <w:t>月</w:t>
      </w:r>
      <w:r>
        <w:rPr>
          <w:rFonts w:hint="eastAsia" w:ascii="Times New Roman" w:hAnsi="Times New Roman" w:eastAsia="方正楷体_GBK" w:cs="Times New Roman"/>
          <w:b/>
          <w:bCs w:val="0"/>
          <w:color w:val="auto"/>
          <w:spacing w:val="0"/>
          <w:kern w:val="36"/>
          <w:sz w:val="30"/>
          <w:szCs w:val="30"/>
          <w:lang w:val="en-US" w:eastAsia="zh-CN"/>
        </w:rPr>
        <w:t>9</w:t>
      </w:r>
      <w:r>
        <w:rPr>
          <w:rFonts w:hint="default" w:ascii="Times New Roman" w:hAnsi="Times New Roman" w:eastAsia="方正楷体_GBK" w:cs="Times New Roman"/>
          <w:b/>
          <w:bCs w:val="0"/>
          <w:color w:val="auto"/>
          <w:spacing w:val="0"/>
          <w:kern w:val="36"/>
          <w:sz w:val="30"/>
          <w:szCs w:val="30"/>
          <w:lang w:val="en-US" w:eastAsia="zh-CN"/>
        </w:rPr>
        <w:t>日（周</w:t>
      </w:r>
      <w:r>
        <w:rPr>
          <w:rFonts w:hint="eastAsia" w:ascii="Times New Roman" w:hAnsi="Times New Roman" w:eastAsia="方正楷体_GBK" w:cs="Times New Roman"/>
          <w:b/>
          <w:bCs w:val="0"/>
          <w:color w:val="auto"/>
          <w:spacing w:val="0"/>
          <w:kern w:val="36"/>
          <w:sz w:val="30"/>
          <w:szCs w:val="30"/>
          <w:lang w:val="en-US" w:eastAsia="zh-CN"/>
        </w:rPr>
        <w:t>日</w:t>
      </w:r>
      <w:r>
        <w:rPr>
          <w:rFonts w:hint="default" w:ascii="Times New Roman" w:hAnsi="Times New Roman" w:eastAsia="方正楷体_GBK" w:cs="Times New Roman"/>
          <w:b/>
          <w:bCs w:val="0"/>
          <w:color w:val="auto"/>
          <w:spacing w:val="0"/>
          <w:kern w:val="36"/>
          <w:sz w:val="30"/>
          <w:szCs w:val="30"/>
          <w:lang w:val="en-US" w:eastAsia="zh-CN"/>
        </w:rPr>
        <w:t>）</w:t>
      </w:r>
      <w:r>
        <w:rPr>
          <w:rFonts w:hint="eastAsia" w:ascii="Times New Roman" w:hAnsi="Times New Roman" w:eastAsia="方正楷体_GBK" w:cs="Times New Roman"/>
          <w:b/>
          <w:bCs w:val="0"/>
          <w:color w:val="auto"/>
          <w:spacing w:val="0"/>
          <w:kern w:val="36"/>
          <w:sz w:val="30"/>
          <w:szCs w:val="30"/>
          <w:lang w:val="en-US" w:eastAsia="zh-CN"/>
        </w:rPr>
        <w:t xml:space="preserve">全球贸易中的“东升西降” </w:t>
      </w:r>
      <w:r>
        <w:rPr>
          <w:rFonts w:hint="default" w:ascii="Times New Roman" w:hAnsi="Times New Roman" w:eastAsia="方正楷体_GBK" w:cs="Times New Roman"/>
          <w:b/>
          <w:bCs w:val="0"/>
          <w:color w:val="auto"/>
          <w:spacing w:val="0"/>
          <w:kern w:val="36"/>
          <w:sz w:val="30"/>
          <w:szCs w:val="30"/>
          <w:lang w:val="en-US" w:eastAsia="zh-CN"/>
        </w:rPr>
        <w:t>/</w:t>
      </w:r>
      <w:r>
        <w:rPr>
          <w:rFonts w:hint="eastAsia" w:ascii="Times New Roman" w:hAnsi="Times New Roman" w:eastAsia="方正楷体_GBK" w:cs="Times New Roman"/>
          <w:b/>
          <w:bCs w:val="0"/>
          <w:color w:val="auto"/>
          <w:spacing w:val="0"/>
          <w:kern w:val="36"/>
          <w:sz w:val="30"/>
          <w:szCs w:val="30"/>
          <w:lang w:val="en-US" w:eastAsia="zh-CN"/>
        </w:rPr>
        <w:t xml:space="preserve"> 02</w:t>
      </w:r>
      <w:r>
        <w:rPr>
          <w:rFonts w:hint="default" w:ascii="Times New Roman" w:hAnsi="Times New Roman" w:eastAsia="方正楷体_GBK" w:cs="Times New Roman"/>
          <w:b/>
          <w:bCs w:val="0"/>
          <w:color w:val="auto"/>
          <w:spacing w:val="0"/>
          <w:kern w:val="36"/>
          <w:sz w:val="30"/>
          <w:szCs w:val="30"/>
          <w:lang w:val="en-US" w:eastAsia="zh-CN"/>
        </w:rPr>
        <w:t xml:space="preserve">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left="550" w:leftChars="284" w:firstLine="0" w:firstLineChars="0"/>
        <w:contextualSpacing/>
        <w:textAlignment w:val="auto"/>
        <w:outlineLvl w:val="1"/>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6</w:t>
      </w:r>
      <w:r>
        <w:rPr>
          <w:rFonts w:hint="default" w:ascii="Times New Roman" w:hAnsi="Times New Roman" w:eastAsia="方正楷体_GBK" w:cs="Times New Roman"/>
          <w:b/>
          <w:bCs w:val="0"/>
          <w:color w:val="auto"/>
          <w:spacing w:val="0"/>
          <w:kern w:val="36"/>
          <w:sz w:val="30"/>
          <w:szCs w:val="30"/>
          <w:lang w:val="en-US" w:eastAsia="zh-CN"/>
        </w:rPr>
        <w:t>月</w:t>
      </w:r>
      <w:r>
        <w:rPr>
          <w:rFonts w:hint="eastAsia" w:ascii="Times New Roman" w:hAnsi="Times New Roman" w:eastAsia="方正楷体_GBK" w:cs="Times New Roman"/>
          <w:b/>
          <w:bCs w:val="0"/>
          <w:color w:val="auto"/>
          <w:spacing w:val="0"/>
          <w:kern w:val="36"/>
          <w:sz w:val="30"/>
          <w:szCs w:val="30"/>
          <w:lang w:val="en-US" w:eastAsia="zh-CN"/>
        </w:rPr>
        <w:t>10</w:t>
      </w:r>
      <w:r>
        <w:rPr>
          <w:rFonts w:hint="default" w:ascii="Times New Roman" w:hAnsi="Times New Roman" w:eastAsia="方正楷体_GBK" w:cs="Times New Roman"/>
          <w:b/>
          <w:bCs w:val="0"/>
          <w:color w:val="auto"/>
          <w:spacing w:val="0"/>
          <w:kern w:val="36"/>
          <w:sz w:val="30"/>
          <w:szCs w:val="30"/>
          <w:lang w:val="en-US" w:eastAsia="zh-CN"/>
        </w:rPr>
        <w:t>日（周</w:t>
      </w:r>
      <w:r>
        <w:rPr>
          <w:rFonts w:hint="eastAsia" w:ascii="Times New Roman" w:hAnsi="Times New Roman" w:eastAsia="方正楷体_GBK" w:cs="Times New Roman"/>
          <w:b/>
          <w:bCs w:val="0"/>
          <w:color w:val="auto"/>
          <w:spacing w:val="0"/>
          <w:kern w:val="36"/>
          <w:sz w:val="30"/>
          <w:szCs w:val="30"/>
          <w:lang w:val="en-US" w:eastAsia="zh-CN"/>
        </w:rPr>
        <w:t>一</w:t>
      </w:r>
      <w:r>
        <w:rPr>
          <w:rFonts w:hint="default" w:ascii="Times New Roman" w:hAnsi="Times New Roman" w:eastAsia="方正楷体_GBK" w:cs="Times New Roman"/>
          <w:b/>
          <w:bCs w:val="0"/>
          <w:color w:val="auto"/>
          <w:spacing w:val="0"/>
          <w:kern w:val="36"/>
          <w:sz w:val="30"/>
          <w:szCs w:val="30"/>
          <w:lang w:val="en-US" w:eastAsia="zh-CN"/>
        </w:rPr>
        <w:t>）</w:t>
      </w:r>
      <w:r>
        <w:rPr>
          <w:rFonts w:hint="eastAsia" w:ascii="Times New Roman" w:hAnsi="Times New Roman" w:eastAsia="方正楷体_GBK" w:cs="Times New Roman"/>
          <w:b/>
          <w:bCs w:val="0"/>
          <w:color w:val="auto"/>
          <w:spacing w:val="0"/>
          <w:kern w:val="36"/>
          <w:sz w:val="30"/>
          <w:szCs w:val="30"/>
          <w:lang w:val="en-US" w:eastAsia="zh-CN"/>
        </w:rPr>
        <w:t>加息压力终现，赤字已存危险</w:t>
      </w:r>
      <w:r>
        <w:rPr>
          <w:rFonts w:hint="default" w:ascii="Times New Roman" w:hAnsi="Times New Roman" w:eastAsia="方正楷体_GBK" w:cs="Times New Roman"/>
          <w:b/>
          <w:bCs w:val="0"/>
          <w:color w:val="auto"/>
          <w:spacing w:val="-23"/>
          <w:kern w:val="36"/>
          <w:sz w:val="30"/>
          <w:szCs w:val="30"/>
          <w:lang w:val="en-US" w:eastAsia="zh-CN"/>
        </w:rPr>
        <w:t xml:space="preserve"> </w:t>
      </w:r>
      <w:r>
        <w:rPr>
          <w:rFonts w:hint="default" w:ascii="Times New Roman" w:hAnsi="Times New Roman" w:eastAsia="方正楷体_GBK" w:cs="Times New Roman"/>
          <w:b/>
          <w:bCs w:val="0"/>
          <w:color w:val="auto"/>
          <w:spacing w:val="0"/>
          <w:kern w:val="36"/>
          <w:sz w:val="30"/>
          <w:szCs w:val="30"/>
          <w:lang w:val="en-US" w:eastAsia="zh-CN"/>
        </w:rPr>
        <w:t>/</w:t>
      </w:r>
      <w:r>
        <w:rPr>
          <w:rFonts w:hint="eastAsia" w:ascii="Times New Roman" w:hAnsi="Times New Roman" w:eastAsia="方正楷体_GBK" w:cs="Times New Roman"/>
          <w:b/>
          <w:bCs w:val="0"/>
          <w:color w:val="auto"/>
          <w:spacing w:val="0"/>
          <w:kern w:val="36"/>
          <w:sz w:val="30"/>
          <w:szCs w:val="30"/>
          <w:lang w:val="en-US" w:eastAsia="zh-CN"/>
        </w:rPr>
        <w:t xml:space="preserve"> 04</w:t>
      </w:r>
      <w:r>
        <w:rPr>
          <w:rFonts w:hint="default" w:ascii="Times New Roman" w:hAnsi="Times New Roman" w:eastAsia="方正楷体_GBK" w:cs="Times New Roman"/>
          <w:b/>
          <w:bCs w:val="0"/>
          <w:color w:val="auto"/>
          <w:spacing w:val="0"/>
          <w:kern w:val="36"/>
          <w:sz w:val="30"/>
          <w:szCs w:val="30"/>
          <w:lang w:val="en-US" w:eastAsia="zh-CN"/>
        </w:rPr>
        <w:t xml:space="preserve"> </w:t>
      </w:r>
    </w:p>
    <w:p>
      <w:pPr>
        <w:keepNext w:val="0"/>
        <w:keepLines w:val="0"/>
        <w:pageBreakBefore w:val="0"/>
        <w:kinsoku/>
        <w:wordWrap/>
        <w:overflowPunct/>
        <w:topLinePunct w:val="0"/>
        <w:autoSpaceDE/>
        <w:autoSpaceDN/>
        <w:bidi w:val="0"/>
        <w:adjustRightInd/>
        <w:snapToGrid/>
        <w:ind w:left="550" w:leftChars="284" w:firstLine="0" w:firstLineChars="0"/>
        <w:textAlignment w:val="auto"/>
        <w:rPr>
          <w:rFonts w:hint="default" w:ascii="Times New Roman" w:hAnsi="Times New Roman" w:eastAsia="方正楷体_GBK" w:cs="Times New Roman"/>
          <w:b/>
          <w:bCs w:val="0"/>
          <w:color w:val="auto"/>
          <w:spacing w:val="-6"/>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6</w:t>
      </w:r>
      <w:r>
        <w:rPr>
          <w:rFonts w:hint="default" w:ascii="Times New Roman" w:hAnsi="Times New Roman" w:eastAsia="方正楷体_GBK" w:cs="Times New Roman"/>
          <w:b/>
          <w:bCs w:val="0"/>
          <w:color w:val="auto"/>
          <w:spacing w:val="0"/>
          <w:kern w:val="36"/>
          <w:sz w:val="30"/>
          <w:szCs w:val="30"/>
          <w:lang w:val="en-US" w:eastAsia="zh-CN"/>
        </w:rPr>
        <w:t>月</w:t>
      </w:r>
      <w:r>
        <w:rPr>
          <w:rFonts w:hint="eastAsia" w:ascii="Times New Roman" w:hAnsi="Times New Roman" w:eastAsia="方正楷体_GBK" w:cs="Times New Roman"/>
          <w:b/>
          <w:bCs w:val="0"/>
          <w:color w:val="auto"/>
          <w:spacing w:val="0"/>
          <w:kern w:val="36"/>
          <w:sz w:val="30"/>
          <w:szCs w:val="30"/>
          <w:lang w:val="en-US" w:eastAsia="zh-CN"/>
        </w:rPr>
        <w:t>11日</w:t>
      </w:r>
      <w:r>
        <w:rPr>
          <w:rFonts w:hint="default" w:ascii="Times New Roman" w:hAnsi="Times New Roman" w:eastAsia="方正楷体_GBK" w:cs="Times New Roman"/>
          <w:b/>
          <w:bCs w:val="0"/>
          <w:color w:val="auto"/>
          <w:spacing w:val="0"/>
          <w:kern w:val="36"/>
          <w:sz w:val="30"/>
          <w:szCs w:val="30"/>
          <w:lang w:val="en-US" w:eastAsia="zh-CN"/>
        </w:rPr>
        <w:t>（周</w:t>
      </w:r>
      <w:r>
        <w:rPr>
          <w:rFonts w:hint="eastAsia" w:ascii="Times New Roman" w:hAnsi="Times New Roman" w:eastAsia="方正楷体_GBK" w:cs="Times New Roman"/>
          <w:b/>
          <w:bCs w:val="0"/>
          <w:color w:val="auto"/>
          <w:spacing w:val="0"/>
          <w:kern w:val="36"/>
          <w:sz w:val="30"/>
          <w:szCs w:val="30"/>
          <w:lang w:val="en-US" w:eastAsia="zh-CN"/>
        </w:rPr>
        <w:t>二</w:t>
      </w:r>
      <w:r>
        <w:rPr>
          <w:rFonts w:hint="default" w:ascii="Times New Roman" w:hAnsi="Times New Roman" w:eastAsia="方正楷体_GBK" w:cs="Times New Roman"/>
          <w:b/>
          <w:bCs w:val="0"/>
          <w:color w:val="auto"/>
          <w:spacing w:val="0"/>
          <w:kern w:val="36"/>
          <w:sz w:val="30"/>
          <w:szCs w:val="30"/>
          <w:lang w:val="en-US" w:eastAsia="zh-CN"/>
        </w:rPr>
        <w:t>）</w:t>
      </w:r>
      <w:r>
        <w:rPr>
          <w:rFonts w:hint="eastAsia" w:ascii="Times New Roman" w:hAnsi="Times New Roman" w:eastAsia="方正楷体_GBK" w:cs="Times New Roman"/>
          <w:b/>
          <w:bCs w:val="0"/>
          <w:color w:val="auto"/>
          <w:spacing w:val="-6"/>
          <w:kern w:val="36"/>
          <w:sz w:val="30"/>
          <w:szCs w:val="30"/>
          <w:lang w:val="en-US" w:eastAsia="zh-CN"/>
        </w:rPr>
        <w:t xml:space="preserve">欧元走贬美元指数攀升，美债遇冷收益率随之上行 </w:t>
      </w:r>
      <w:r>
        <w:rPr>
          <w:rFonts w:hint="default" w:ascii="Times New Roman" w:hAnsi="Times New Roman" w:eastAsia="方正楷体_GBK" w:cs="Times New Roman"/>
          <w:b/>
          <w:bCs w:val="0"/>
          <w:color w:val="auto"/>
          <w:spacing w:val="-6"/>
          <w:kern w:val="36"/>
          <w:sz w:val="30"/>
          <w:szCs w:val="30"/>
          <w:lang w:val="en-US" w:eastAsia="zh-CN"/>
        </w:rPr>
        <w:t>/</w:t>
      </w:r>
      <w:r>
        <w:rPr>
          <w:rFonts w:hint="eastAsia" w:ascii="Times New Roman" w:hAnsi="Times New Roman" w:eastAsia="方正楷体_GBK" w:cs="Times New Roman"/>
          <w:b/>
          <w:bCs w:val="0"/>
          <w:color w:val="auto"/>
          <w:spacing w:val="-6"/>
          <w:kern w:val="36"/>
          <w:sz w:val="30"/>
          <w:szCs w:val="30"/>
          <w:lang w:val="en-US" w:eastAsia="zh-CN"/>
        </w:rPr>
        <w:t xml:space="preserve"> 05</w:t>
      </w:r>
      <w:r>
        <w:rPr>
          <w:rFonts w:hint="default" w:ascii="Times New Roman" w:hAnsi="Times New Roman" w:eastAsia="方正楷体_GBK" w:cs="Times New Roman"/>
          <w:b/>
          <w:bCs w:val="0"/>
          <w:color w:val="auto"/>
          <w:spacing w:val="-6"/>
          <w:kern w:val="36"/>
          <w:sz w:val="30"/>
          <w:szCs w:val="30"/>
          <w:lang w:val="en-US" w:eastAsia="zh-CN"/>
        </w:rPr>
        <w:t xml:space="preserve"> </w:t>
      </w:r>
    </w:p>
    <w:p>
      <w:pPr>
        <w:keepNext w:val="0"/>
        <w:keepLines w:val="0"/>
        <w:pageBreakBefore w:val="0"/>
        <w:kinsoku/>
        <w:wordWrap/>
        <w:overflowPunct/>
        <w:topLinePunct w:val="0"/>
        <w:autoSpaceDE/>
        <w:autoSpaceDN/>
        <w:bidi w:val="0"/>
        <w:adjustRightInd/>
        <w:snapToGrid/>
        <w:ind w:left="550" w:leftChars="284" w:firstLine="0" w:firstLineChars="0"/>
        <w:textAlignment w:val="auto"/>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6</w:t>
      </w:r>
      <w:r>
        <w:rPr>
          <w:rFonts w:hint="default" w:ascii="Times New Roman" w:hAnsi="Times New Roman" w:eastAsia="方正楷体_GBK" w:cs="Times New Roman"/>
          <w:b/>
          <w:bCs w:val="0"/>
          <w:color w:val="auto"/>
          <w:spacing w:val="0"/>
          <w:kern w:val="36"/>
          <w:sz w:val="30"/>
          <w:szCs w:val="30"/>
          <w:lang w:val="en-US" w:eastAsia="zh-CN"/>
        </w:rPr>
        <w:t>月</w:t>
      </w:r>
      <w:r>
        <w:rPr>
          <w:rFonts w:hint="eastAsia" w:ascii="Times New Roman" w:hAnsi="Times New Roman" w:eastAsia="方正楷体_GBK" w:cs="Times New Roman"/>
          <w:b/>
          <w:bCs w:val="0"/>
          <w:color w:val="auto"/>
          <w:spacing w:val="0"/>
          <w:kern w:val="36"/>
          <w:sz w:val="30"/>
          <w:szCs w:val="30"/>
          <w:lang w:val="en-US" w:eastAsia="zh-CN"/>
        </w:rPr>
        <w:t>12</w:t>
      </w:r>
      <w:r>
        <w:rPr>
          <w:rFonts w:hint="default" w:ascii="Times New Roman" w:hAnsi="Times New Roman" w:eastAsia="方正楷体_GBK" w:cs="Times New Roman"/>
          <w:b/>
          <w:bCs w:val="0"/>
          <w:color w:val="auto"/>
          <w:spacing w:val="0"/>
          <w:kern w:val="36"/>
          <w:sz w:val="30"/>
          <w:szCs w:val="30"/>
          <w:lang w:val="en-US" w:eastAsia="zh-CN"/>
        </w:rPr>
        <w:t>日（周</w:t>
      </w:r>
      <w:r>
        <w:rPr>
          <w:rFonts w:hint="eastAsia" w:ascii="Times New Roman" w:hAnsi="Times New Roman" w:eastAsia="方正楷体_GBK" w:cs="Times New Roman"/>
          <w:b/>
          <w:bCs w:val="0"/>
          <w:color w:val="auto"/>
          <w:spacing w:val="0"/>
          <w:kern w:val="36"/>
          <w:sz w:val="30"/>
          <w:szCs w:val="30"/>
          <w:lang w:val="en-US" w:eastAsia="zh-CN"/>
        </w:rPr>
        <w:t>三</w:t>
      </w:r>
      <w:r>
        <w:rPr>
          <w:rFonts w:hint="default" w:ascii="Times New Roman" w:hAnsi="Times New Roman" w:eastAsia="方正楷体_GBK" w:cs="Times New Roman"/>
          <w:b/>
          <w:bCs w:val="0"/>
          <w:color w:val="auto"/>
          <w:spacing w:val="0"/>
          <w:kern w:val="36"/>
          <w:sz w:val="30"/>
          <w:szCs w:val="30"/>
          <w:lang w:val="en-US" w:eastAsia="zh-CN"/>
        </w:rPr>
        <w:t>）英国5月就业市场数据爆冷，降息预期强化</w:t>
      </w:r>
      <w:r>
        <w:rPr>
          <w:rFonts w:hint="eastAsia" w:ascii="Times New Roman" w:hAnsi="Times New Roman" w:eastAsia="方正楷体_GBK" w:cs="Times New Roman"/>
          <w:b/>
          <w:bCs w:val="0"/>
          <w:color w:val="auto"/>
          <w:spacing w:val="0"/>
          <w:kern w:val="36"/>
          <w:sz w:val="30"/>
          <w:szCs w:val="30"/>
          <w:lang w:val="en-US" w:eastAsia="zh-CN"/>
        </w:rPr>
        <w:t xml:space="preserve"> / 06 </w:t>
      </w:r>
    </w:p>
    <w:p>
      <w:pPr>
        <w:keepNext w:val="0"/>
        <w:keepLines w:val="0"/>
        <w:pageBreakBefore w:val="0"/>
        <w:kinsoku/>
        <w:wordWrap/>
        <w:overflowPunct/>
        <w:topLinePunct w:val="0"/>
        <w:autoSpaceDE/>
        <w:autoSpaceDN/>
        <w:bidi w:val="0"/>
        <w:adjustRightInd/>
        <w:snapToGrid/>
        <w:ind w:left="550" w:leftChars="284" w:firstLine="0" w:firstLineChars="0"/>
        <w:textAlignment w:val="auto"/>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6</w:t>
      </w:r>
      <w:r>
        <w:rPr>
          <w:rFonts w:hint="default" w:ascii="Times New Roman" w:hAnsi="Times New Roman" w:eastAsia="方正楷体_GBK" w:cs="Times New Roman"/>
          <w:b/>
          <w:bCs w:val="0"/>
          <w:color w:val="auto"/>
          <w:spacing w:val="0"/>
          <w:kern w:val="36"/>
          <w:sz w:val="30"/>
          <w:szCs w:val="30"/>
          <w:lang w:val="en-US" w:eastAsia="zh-CN"/>
        </w:rPr>
        <w:t>月</w:t>
      </w:r>
      <w:r>
        <w:rPr>
          <w:rFonts w:hint="eastAsia" w:ascii="Times New Roman" w:hAnsi="Times New Roman" w:eastAsia="方正楷体_GBK" w:cs="Times New Roman"/>
          <w:b/>
          <w:bCs w:val="0"/>
          <w:color w:val="auto"/>
          <w:spacing w:val="0"/>
          <w:kern w:val="36"/>
          <w:sz w:val="30"/>
          <w:szCs w:val="30"/>
          <w:lang w:val="en-US" w:eastAsia="zh-CN"/>
        </w:rPr>
        <w:t>13</w:t>
      </w:r>
      <w:r>
        <w:rPr>
          <w:rFonts w:hint="default" w:ascii="Times New Roman" w:hAnsi="Times New Roman" w:eastAsia="方正楷体_GBK" w:cs="Times New Roman"/>
          <w:b/>
          <w:bCs w:val="0"/>
          <w:color w:val="auto"/>
          <w:spacing w:val="0"/>
          <w:kern w:val="36"/>
          <w:sz w:val="30"/>
          <w:szCs w:val="30"/>
          <w:lang w:val="en-US" w:eastAsia="zh-CN"/>
        </w:rPr>
        <w:t>日（周</w:t>
      </w:r>
      <w:r>
        <w:rPr>
          <w:rFonts w:hint="eastAsia" w:ascii="Times New Roman" w:hAnsi="Times New Roman" w:eastAsia="方正楷体_GBK" w:cs="Times New Roman"/>
          <w:b/>
          <w:bCs w:val="0"/>
          <w:color w:val="auto"/>
          <w:spacing w:val="0"/>
          <w:kern w:val="36"/>
          <w:sz w:val="30"/>
          <w:szCs w:val="30"/>
          <w:lang w:val="en-US" w:eastAsia="zh-CN"/>
        </w:rPr>
        <w:t>四</w:t>
      </w:r>
      <w:r>
        <w:rPr>
          <w:rFonts w:hint="default" w:ascii="Times New Roman" w:hAnsi="Times New Roman" w:eastAsia="方正楷体_GBK" w:cs="Times New Roman"/>
          <w:b/>
          <w:bCs w:val="0"/>
          <w:color w:val="auto"/>
          <w:spacing w:val="0"/>
          <w:kern w:val="36"/>
          <w:sz w:val="30"/>
          <w:szCs w:val="30"/>
          <w:lang w:val="en-US" w:eastAsia="zh-CN"/>
        </w:rPr>
        <w:t>）5月CPI公布，美联储转鹰</w:t>
      </w:r>
      <w:r>
        <w:rPr>
          <w:rFonts w:hint="eastAsia" w:ascii="Times New Roman" w:hAnsi="Times New Roman" w:eastAsia="方正楷体_GBK" w:cs="Times New Roman"/>
          <w:b/>
          <w:bCs w:val="0"/>
          <w:color w:val="auto"/>
          <w:spacing w:val="0"/>
          <w:kern w:val="36"/>
          <w:sz w:val="30"/>
          <w:szCs w:val="30"/>
          <w:lang w:val="en-US" w:eastAsia="zh-CN"/>
        </w:rPr>
        <w:t xml:space="preserve"> / 08</w:t>
      </w:r>
    </w:p>
    <w:p>
      <w:pPr>
        <w:keepNext w:val="0"/>
        <w:keepLines w:val="0"/>
        <w:pageBreakBefore w:val="0"/>
        <w:kinsoku/>
        <w:wordWrap/>
        <w:overflowPunct/>
        <w:topLinePunct w:val="0"/>
        <w:autoSpaceDE/>
        <w:autoSpaceDN/>
        <w:bidi w:val="0"/>
        <w:adjustRightInd/>
        <w:snapToGrid/>
        <w:ind w:left="550" w:leftChars="284" w:firstLine="0" w:firstLineChars="0"/>
        <w:textAlignment w:val="auto"/>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6</w:t>
      </w:r>
      <w:r>
        <w:rPr>
          <w:rFonts w:hint="default" w:ascii="Times New Roman" w:hAnsi="Times New Roman" w:eastAsia="方正楷体_GBK" w:cs="Times New Roman"/>
          <w:b/>
          <w:bCs w:val="0"/>
          <w:color w:val="auto"/>
          <w:spacing w:val="0"/>
          <w:kern w:val="36"/>
          <w:sz w:val="30"/>
          <w:szCs w:val="30"/>
          <w:lang w:val="en-US" w:eastAsia="zh-CN"/>
        </w:rPr>
        <w:t>月</w:t>
      </w:r>
      <w:r>
        <w:rPr>
          <w:rFonts w:hint="eastAsia" w:ascii="Times New Roman" w:hAnsi="Times New Roman" w:eastAsia="方正楷体_GBK" w:cs="Times New Roman"/>
          <w:b/>
          <w:bCs w:val="0"/>
          <w:color w:val="auto"/>
          <w:spacing w:val="0"/>
          <w:kern w:val="36"/>
          <w:sz w:val="30"/>
          <w:szCs w:val="30"/>
          <w:lang w:val="en-US" w:eastAsia="zh-CN"/>
        </w:rPr>
        <w:t>14</w:t>
      </w:r>
      <w:r>
        <w:rPr>
          <w:rFonts w:hint="default" w:ascii="Times New Roman" w:hAnsi="Times New Roman" w:eastAsia="方正楷体_GBK" w:cs="Times New Roman"/>
          <w:b/>
          <w:bCs w:val="0"/>
          <w:color w:val="auto"/>
          <w:spacing w:val="0"/>
          <w:kern w:val="36"/>
          <w:sz w:val="30"/>
          <w:szCs w:val="30"/>
          <w:lang w:val="en-US" w:eastAsia="zh-CN"/>
        </w:rPr>
        <w:t>日（周</w:t>
      </w:r>
      <w:r>
        <w:rPr>
          <w:rFonts w:hint="eastAsia" w:ascii="Times New Roman" w:hAnsi="Times New Roman" w:eastAsia="方正楷体_GBK" w:cs="Times New Roman"/>
          <w:b/>
          <w:bCs w:val="0"/>
          <w:color w:val="auto"/>
          <w:spacing w:val="0"/>
          <w:kern w:val="36"/>
          <w:sz w:val="30"/>
          <w:szCs w:val="30"/>
          <w:lang w:val="en-US" w:eastAsia="zh-CN"/>
        </w:rPr>
        <w:t>五</w:t>
      </w:r>
      <w:r>
        <w:rPr>
          <w:rFonts w:hint="default" w:ascii="Times New Roman" w:hAnsi="Times New Roman" w:eastAsia="方正楷体_GBK" w:cs="Times New Roman"/>
          <w:b/>
          <w:bCs w:val="0"/>
          <w:color w:val="auto"/>
          <w:spacing w:val="0"/>
          <w:kern w:val="36"/>
          <w:sz w:val="30"/>
          <w:szCs w:val="30"/>
          <w:lang w:val="en-US" w:eastAsia="zh-CN"/>
        </w:rPr>
        <w:t>）美国5月PPI走缓，6月初就业市场降温</w:t>
      </w:r>
      <w:r>
        <w:rPr>
          <w:rFonts w:hint="eastAsia" w:ascii="Times New Roman" w:hAnsi="Times New Roman" w:eastAsia="方正楷体_GBK" w:cs="Times New Roman"/>
          <w:b/>
          <w:bCs w:val="0"/>
          <w:color w:val="auto"/>
          <w:spacing w:val="0"/>
          <w:kern w:val="36"/>
          <w:sz w:val="30"/>
          <w:szCs w:val="30"/>
          <w:lang w:val="en-US" w:eastAsia="zh-CN"/>
        </w:rPr>
        <w:t xml:space="preserve"> / 10</w:t>
      </w:r>
    </w:p>
    <w:p>
      <w:pPr>
        <w:keepNext w:val="0"/>
        <w:keepLines w:val="0"/>
        <w:pageBreakBefore w:val="0"/>
        <w:kinsoku/>
        <w:wordWrap/>
        <w:overflowPunct/>
        <w:topLinePunct w:val="0"/>
        <w:autoSpaceDE/>
        <w:autoSpaceDN/>
        <w:bidi w:val="0"/>
        <w:adjustRightInd/>
        <w:snapToGrid/>
        <w:ind w:left="550" w:leftChars="284" w:firstLine="0" w:firstLineChars="0"/>
        <w:textAlignment w:val="auto"/>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6</w:t>
      </w:r>
      <w:r>
        <w:rPr>
          <w:rFonts w:hint="default" w:ascii="Times New Roman" w:hAnsi="Times New Roman" w:eastAsia="方正楷体_GBK" w:cs="Times New Roman"/>
          <w:b/>
          <w:bCs w:val="0"/>
          <w:color w:val="auto"/>
          <w:spacing w:val="0"/>
          <w:kern w:val="36"/>
          <w:sz w:val="30"/>
          <w:szCs w:val="30"/>
          <w:lang w:val="en-US" w:eastAsia="zh-CN"/>
        </w:rPr>
        <w:t>月</w:t>
      </w:r>
      <w:r>
        <w:rPr>
          <w:rFonts w:hint="eastAsia" w:ascii="Times New Roman" w:hAnsi="Times New Roman" w:eastAsia="方正楷体_GBK" w:cs="Times New Roman"/>
          <w:b/>
          <w:bCs w:val="0"/>
          <w:color w:val="auto"/>
          <w:spacing w:val="0"/>
          <w:kern w:val="36"/>
          <w:sz w:val="30"/>
          <w:szCs w:val="30"/>
          <w:lang w:val="en-US" w:eastAsia="zh-CN"/>
        </w:rPr>
        <w:t>15</w:t>
      </w:r>
      <w:r>
        <w:rPr>
          <w:rFonts w:hint="default" w:ascii="Times New Roman" w:hAnsi="Times New Roman" w:eastAsia="方正楷体_GBK" w:cs="Times New Roman"/>
          <w:b/>
          <w:bCs w:val="0"/>
          <w:color w:val="auto"/>
          <w:spacing w:val="0"/>
          <w:kern w:val="36"/>
          <w:sz w:val="30"/>
          <w:szCs w:val="30"/>
          <w:lang w:val="en-US" w:eastAsia="zh-CN"/>
        </w:rPr>
        <w:t>日（周</w:t>
      </w:r>
      <w:r>
        <w:rPr>
          <w:rFonts w:hint="eastAsia" w:ascii="Times New Roman" w:hAnsi="Times New Roman" w:eastAsia="方正楷体_GBK" w:cs="Times New Roman"/>
          <w:b/>
          <w:bCs w:val="0"/>
          <w:color w:val="auto"/>
          <w:spacing w:val="0"/>
          <w:kern w:val="36"/>
          <w:sz w:val="30"/>
          <w:szCs w:val="30"/>
          <w:lang w:val="en-US" w:eastAsia="zh-CN"/>
        </w:rPr>
        <w:t>六</w:t>
      </w:r>
      <w:r>
        <w:rPr>
          <w:rFonts w:hint="default" w:ascii="Times New Roman" w:hAnsi="Times New Roman" w:eastAsia="方正楷体_GBK" w:cs="Times New Roman"/>
          <w:b/>
          <w:bCs w:val="0"/>
          <w:color w:val="auto"/>
          <w:spacing w:val="0"/>
          <w:kern w:val="36"/>
          <w:sz w:val="30"/>
          <w:szCs w:val="30"/>
          <w:lang w:val="en-US" w:eastAsia="zh-CN"/>
        </w:rPr>
        <w:t>）俄罗斯经济的表现令人惊讶</w:t>
      </w:r>
      <w:r>
        <w:rPr>
          <w:rFonts w:hint="eastAsia" w:ascii="Times New Roman" w:hAnsi="Times New Roman" w:eastAsia="方正楷体_GBK" w:cs="Times New Roman"/>
          <w:b/>
          <w:bCs w:val="0"/>
          <w:color w:val="auto"/>
          <w:spacing w:val="0"/>
          <w:kern w:val="36"/>
          <w:sz w:val="30"/>
          <w:szCs w:val="30"/>
          <w:lang w:val="en-US" w:eastAsia="zh-CN"/>
        </w:rPr>
        <w:t xml:space="preserve"> / 11</w:t>
      </w:r>
    </w:p>
    <w:p>
      <w:pPr>
        <w:keepNext w:val="0"/>
        <w:keepLines w:val="0"/>
        <w:pageBreakBefore w:val="0"/>
        <w:kinsoku/>
        <w:wordWrap/>
        <w:overflowPunct/>
        <w:topLinePunct w:val="0"/>
        <w:autoSpaceDE/>
        <w:autoSpaceDN/>
        <w:bidi w:val="0"/>
        <w:adjustRightInd/>
        <w:snapToGrid/>
        <w:ind w:left="550" w:leftChars="284" w:firstLine="0" w:firstLineChars="0"/>
        <w:textAlignment w:val="auto"/>
        <w:rPr>
          <w:rFonts w:hint="default" w:ascii="Times New Roman" w:hAnsi="Times New Roman" w:eastAsia="方正楷体_GBK" w:cs="Times New Roman"/>
          <w:b/>
          <w:bCs w:val="0"/>
          <w:color w:val="auto"/>
          <w:spacing w:val="-6"/>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6</w:t>
      </w:r>
      <w:r>
        <w:rPr>
          <w:rFonts w:hint="default" w:ascii="Times New Roman" w:hAnsi="Times New Roman" w:eastAsia="方正楷体_GBK" w:cs="Times New Roman"/>
          <w:b/>
          <w:bCs w:val="0"/>
          <w:color w:val="auto"/>
          <w:spacing w:val="0"/>
          <w:kern w:val="36"/>
          <w:sz w:val="30"/>
          <w:szCs w:val="30"/>
          <w:lang w:val="en-US" w:eastAsia="zh-CN"/>
        </w:rPr>
        <w:t>月</w:t>
      </w:r>
      <w:r>
        <w:rPr>
          <w:rFonts w:hint="eastAsia" w:ascii="Times New Roman" w:hAnsi="Times New Roman" w:eastAsia="方正楷体_GBK" w:cs="Times New Roman"/>
          <w:b/>
          <w:bCs w:val="0"/>
          <w:color w:val="auto"/>
          <w:spacing w:val="0"/>
          <w:kern w:val="36"/>
          <w:sz w:val="30"/>
          <w:szCs w:val="30"/>
          <w:lang w:val="en-US" w:eastAsia="zh-CN"/>
        </w:rPr>
        <w:t>16</w:t>
      </w:r>
      <w:r>
        <w:rPr>
          <w:rFonts w:hint="default" w:ascii="Times New Roman" w:hAnsi="Times New Roman" w:eastAsia="方正楷体_GBK" w:cs="Times New Roman"/>
          <w:b/>
          <w:bCs w:val="0"/>
          <w:color w:val="auto"/>
          <w:spacing w:val="0"/>
          <w:kern w:val="36"/>
          <w:sz w:val="30"/>
          <w:szCs w:val="30"/>
          <w:lang w:val="en-US" w:eastAsia="zh-CN"/>
        </w:rPr>
        <w:t>日（周</w:t>
      </w:r>
      <w:r>
        <w:rPr>
          <w:rFonts w:hint="eastAsia" w:ascii="Times New Roman" w:hAnsi="Times New Roman" w:eastAsia="方正楷体_GBK" w:cs="Times New Roman"/>
          <w:b/>
          <w:bCs w:val="0"/>
          <w:color w:val="auto"/>
          <w:spacing w:val="0"/>
          <w:kern w:val="36"/>
          <w:sz w:val="30"/>
          <w:szCs w:val="30"/>
          <w:lang w:val="en-US" w:eastAsia="zh-CN"/>
        </w:rPr>
        <w:t>日</w:t>
      </w:r>
      <w:r>
        <w:rPr>
          <w:rFonts w:hint="default" w:ascii="Times New Roman" w:hAnsi="Times New Roman" w:eastAsia="方正楷体_GBK" w:cs="Times New Roman"/>
          <w:b/>
          <w:bCs w:val="0"/>
          <w:color w:val="auto"/>
          <w:spacing w:val="0"/>
          <w:kern w:val="36"/>
          <w:sz w:val="30"/>
          <w:szCs w:val="30"/>
          <w:lang w:val="en-US" w:eastAsia="zh-CN"/>
        </w:rPr>
        <w:t>）沙特无通胀压力，建设有资金需求</w:t>
      </w:r>
      <w:r>
        <w:rPr>
          <w:rFonts w:hint="eastAsia" w:ascii="Times New Roman" w:hAnsi="Times New Roman" w:eastAsia="方正楷体_GBK" w:cs="Times New Roman"/>
          <w:b/>
          <w:bCs w:val="0"/>
          <w:color w:val="auto"/>
          <w:spacing w:val="0"/>
          <w:kern w:val="36"/>
          <w:sz w:val="30"/>
          <w:szCs w:val="30"/>
          <w:lang w:val="en-US" w:eastAsia="zh-CN"/>
        </w:rPr>
        <w:t xml:space="preserve"> / 13 </w:t>
      </w:r>
    </w:p>
    <w:p>
      <w:pPr>
        <w:keepNext w:val="0"/>
        <w:keepLines w:val="0"/>
        <w:pageBreakBefore w:val="0"/>
        <w:widowControl/>
        <w:numPr>
          <w:ilvl w:val="0"/>
          <w:numId w:val="0"/>
        </w:numPr>
        <w:shd w:val="clear" w:color="auto" w:fill="FFFFFF"/>
        <w:tabs>
          <w:tab w:val="left" w:pos="7915"/>
        </w:tabs>
        <w:kinsoku/>
        <w:wordWrap/>
        <w:overflowPunct/>
        <w:topLinePunct w:val="0"/>
        <w:autoSpaceDE/>
        <w:autoSpaceDN/>
        <w:bidi w:val="0"/>
        <w:adjustRightInd/>
        <w:snapToGrid/>
        <w:spacing w:line="240" w:lineRule="auto"/>
        <w:ind w:left="550" w:leftChars="284" w:firstLine="0" w:firstLineChars="0"/>
        <w:contextualSpacing/>
        <w:textAlignment w:val="auto"/>
        <w:outlineLvl w:val="1"/>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pPr>
    </w:p>
    <w:p>
      <w:pPr>
        <w:keepNext w:val="0"/>
        <w:keepLines w:val="0"/>
        <w:pageBreakBefore w:val="0"/>
        <w:widowControl/>
        <w:numPr>
          <w:ilvl w:val="0"/>
          <w:numId w:val="0"/>
        </w:numPr>
        <w:shd w:val="clear" w:color="auto" w:fill="FFFFFF"/>
        <w:tabs>
          <w:tab w:val="left" w:pos="7915"/>
        </w:tabs>
        <w:kinsoku/>
        <w:wordWrap/>
        <w:overflowPunct/>
        <w:topLinePunct w:val="0"/>
        <w:autoSpaceDE/>
        <w:autoSpaceDN/>
        <w:bidi w:val="0"/>
        <w:adjustRightInd/>
        <w:snapToGrid/>
        <w:spacing w:line="240" w:lineRule="auto"/>
        <w:ind w:left="550" w:leftChars="284" w:firstLine="0" w:firstLineChars="0"/>
        <w:contextualSpacing/>
        <w:textAlignment w:val="auto"/>
        <w:outlineLvl w:val="1"/>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pPr>
    </w:p>
    <w:p>
      <w:pPr>
        <w:keepNext w:val="0"/>
        <w:keepLines w:val="0"/>
        <w:pageBreakBefore w:val="0"/>
        <w:widowControl/>
        <w:numPr>
          <w:ilvl w:val="0"/>
          <w:numId w:val="0"/>
        </w:numPr>
        <w:shd w:val="clear" w:color="auto" w:fill="FFFFFF"/>
        <w:tabs>
          <w:tab w:val="left" w:pos="7915"/>
        </w:tabs>
        <w:kinsoku/>
        <w:wordWrap/>
        <w:overflowPunct/>
        <w:topLinePunct w:val="0"/>
        <w:autoSpaceDE/>
        <w:autoSpaceDN/>
        <w:bidi w:val="0"/>
        <w:adjustRightInd/>
        <w:snapToGrid/>
        <w:spacing w:line="240" w:lineRule="auto"/>
        <w:ind w:left="550" w:leftChars="284" w:firstLine="0" w:firstLineChars="0"/>
        <w:contextualSpacing/>
        <w:textAlignment w:val="auto"/>
        <w:outlineLvl w:val="1"/>
        <w:rPr>
          <w:rFonts w:hint="default" w:ascii="Times New Roman" w:hAnsi="Times New Roman" w:eastAsia="方正黑体_GBK" w:cs="Times New Roman"/>
          <w:b/>
          <w:color w:val="FFC000"/>
          <w:kern w:val="36"/>
          <w:sz w:val="28"/>
          <w:szCs w:val="28"/>
          <w:lang w:val="en-US" w:eastAsia="zh-CN"/>
        </w:rPr>
      </w:pP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江苏贸促动态</w:t>
      </w: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00B0F0"/>
          <w:kern w:val="36"/>
          <w:sz w:val="28"/>
          <w:szCs w:val="28"/>
          <w:lang w:val="en-US" w:eastAsia="zh-CN"/>
        </w:rPr>
        <w:t xml:space="preserve"> </w:t>
      </w:r>
      <w:r>
        <w:rPr>
          <w:rFonts w:hint="default" w:ascii="Times New Roman" w:hAnsi="Times New Roman" w:eastAsia="宋体" w:cs="Times New Roman"/>
          <w:b/>
          <w:color w:val="FF0000"/>
          <w:kern w:val="36"/>
          <w:sz w:val="24"/>
          <w:szCs w:val="24"/>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left="550" w:leftChars="284" w:firstLine="0" w:firstLineChars="0"/>
        <w:contextualSpacing/>
        <w:textAlignment w:val="auto"/>
        <w:outlineLvl w:val="1"/>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省贸促会领导出席第18届长三角贸促机构联席会议 / 15</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left="550" w:leftChars="284" w:firstLine="0" w:firstLineChars="0"/>
        <w:contextualSpacing/>
        <w:textAlignment w:val="auto"/>
        <w:outlineLvl w:val="1"/>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 xml:space="preserve">省贸促会联合举办欧盟企业常州行活动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15</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 xml:space="preserve">新加坡大华银行（中国）拜访省贸促会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16</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 xml:space="preserve">省侨联和深圳市潮汕商会、侨交会集团拜访省贸促会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17</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left="550" w:leftChars="284" w:firstLine="0" w:firstLineChars="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 xml:space="preserve">南京市贸促会领导与德国杜塞尔多夫展览集团公司执行董事总经理会面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18</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 xml:space="preserve">无锡市贸促会举办2024无锡国际商事法律业务培训班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19</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left="550" w:leftChars="284" w:firstLine="0" w:firstLineChars="0"/>
        <w:contextualSpacing/>
        <w:textAlignment w:val="auto"/>
        <w:outlineLvl w:val="1"/>
        <w:rPr>
          <w:rFonts w:hint="default" w:ascii="Times New Roman" w:hAnsi="Times New Roman" w:eastAsia="方正楷体_GBK" w:cs="Times New Roman"/>
          <w:b/>
          <w:bCs w:val="0"/>
          <w:color w:val="auto"/>
          <w:spacing w:val="-6"/>
          <w:kern w:val="36"/>
          <w:sz w:val="30"/>
          <w:szCs w:val="30"/>
          <w:lang w:val="en-US" w:eastAsia="zh-CN"/>
        </w:rPr>
      </w:pPr>
      <w:r>
        <w:rPr>
          <w:rFonts w:hint="eastAsia" w:ascii="Times New Roman" w:hAnsi="Times New Roman" w:eastAsia="方正楷体_GBK" w:cs="Times New Roman"/>
          <w:b/>
          <w:bCs w:val="0"/>
          <w:color w:val="auto"/>
          <w:spacing w:val="-6"/>
          <w:kern w:val="36"/>
          <w:sz w:val="30"/>
          <w:szCs w:val="30"/>
          <w:lang w:val="en-US" w:eastAsia="zh-CN"/>
        </w:rPr>
        <w:t xml:space="preserve">无锡市贸促会举办经贸大讲堂（收入准则和租赁准则解读）活动 </w:t>
      </w:r>
      <w:r>
        <w:rPr>
          <w:rFonts w:hint="default" w:ascii="Times New Roman" w:hAnsi="Times New Roman" w:eastAsia="方正楷体_GBK" w:cs="Times New Roman"/>
          <w:b/>
          <w:color w:val="auto"/>
          <w:spacing w:val="-6"/>
          <w:kern w:val="36"/>
          <w:sz w:val="30"/>
          <w:szCs w:val="30"/>
          <w:lang w:val="en-US" w:eastAsia="zh-CN"/>
        </w:rPr>
        <w:t>/</w:t>
      </w:r>
      <w:r>
        <w:rPr>
          <w:rFonts w:hint="eastAsia" w:ascii="Times New Roman" w:hAnsi="Times New Roman" w:eastAsia="方正楷体_GBK" w:cs="Times New Roman"/>
          <w:b/>
          <w:color w:val="auto"/>
          <w:spacing w:val="-6"/>
          <w:kern w:val="36"/>
          <w:sz w:val="30"/>
          <w:szCs w:val="30"/>
          <w:lang w:val="en-US" w:eastAsia="zh-CN"/>
        </w:rPr>
        <w:t xml:space="preserve"> 20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24" w:firstLineChars="200"/>
        <w:contextualSpacing/>
        <w:textAlignment w:val="auto"/>
        <w:outlineLvl w:val="1"/>
        <w:rPr>
          <w:rFonts w:hint="default" w:ascii="Times New Roman" w:hAnsi="Times New Roman" w:eastAsia="方正楷体_GBK" w:cs="Times New Roman"/>
          <w:b/>
          <w:color w:val="auto"/>
          <w:spacing w:val="-11"/>
          <w:kern w:val="36"/>
          <w:sz w:val="30"/>
          <w:szCs w:val="3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eastAsia="方正黑体_GBK" w:cs="Times New Roman"/>
          <w:b/>
          <w:color w:val="FFC000"/>
          <w:kern w:val="36"/>
          <w:sz w:val="32"/>
          <w:szCs w:val="32"/>
          <w:lang w:val="en-US" w:eastAsia="zh-CN"/>
        </w:rPr>
      </w:pP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会员企业风采 • </w:t>
      </w:r>
      <w:r>
        <w:rPr>
          <w:rFonts w:hint="default" w:ascii="Times New Roman" w:hAnsi="Times New Roman" w:eastAsia="宋体" w:cs="Times New Roman"/>
          <w:b/>
          <w:color w:val="FF0000"/>
          <w:kern w:val="36"/>
          <w:sz w:val="32"/>
          <w:szCs w:val="32"/>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left="589" w:leftChars="304" w:firstLine="0" w:firstLineChars="0"/>
        <w:contextualSpacing/>
        <w:textAlignment w:val="auto"/>
        <w:outlineLvl w:val="1"/>
        <w:rPr>
          <w:rFonts w:hint="default" w:ascii="Times New Roman" w:hAnsi="Times New Roman" w:eastAsia="方正楷体_GBK" w:cs="Times New Roman"/>
          <w:b/>
          <w:color w:val="auto"/>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中国信保“跨境电商+供应商”承保模式取得新突破</w:t>
      </w:r>
      <w:r>
        <w:rPr>
          <w:rFonts w:hint="eastAsia" w:ascii="Times New Roman" w:hAnsi="Times New Roman" w:eastAsia="方正楷体_GBK" w:cs="Times New Roman"/>
          <w:b w:val="0"/>
          <w:bCs/>
          <w:kern w:val="0"/>
          <w:sz w:val="32"/>
          <w:szCs w:val="32"/>
          <w:lang w:val="en-US" w:eastAsia="zh-CN" w:bidi="ar-SA"/>
        </w:rPr>
        <w:t xml:space="preserve"> </w:t>
      </w:r>
      <w:r>
        <w:rPr>
          <w:rFonts w:hint="default" w:ascii="Times New Roman" w:hAnsi="Times New Roman" w:eastAsia="方正楷体_GBK" w:cs="Times New Roman"/>
          <w:b/>
          <w:color w:val="auto"/>
          <w:kern w:val="36"/>
          <w:sz w:val="30"/>
          <w:szCs w:val="30"/>
          <w:lang w:val="en-US" w:eastAsia="zh-CN"/>
        </w:rPr>
        <w:t>/</w:t>
      </w:r>
      <w:r>
        <w:rPr>
          <w:rFonts w:hint="eastAsia" w:ascii="Times New Roman" w:hAnsi="Times New Roman" w:eastAsia="方正楷体_GBK" w:cs="Times New Roman"/>
          <w:b/>
          <w:color w:val="auto"/>
          <w:kern w:val="36"/>
          <w:sz w:val="30"/>
          <w:szCs w:val="30"/>
          <w:lang w:val="en-US" w:eastAsia="zh-CN"/>
        </w:rPr>
        <w:t xml:space="preserve"> 21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4" w:firstLineChars="200"/>
        <w:contextualSpacing/>
        <w:textAlignment w:val="auto"/>
        <w:outlineLvl w:val="1"/>
        <w:rPr>
          <w:rFonts w:hint="default" w:ascii="Times New Roman" w:hAnsi="Times New Roman" w:eastAsia="方正楷体_GBK" w:cs="Times New Roman"/>
          <w:b/>
          <w:color w:val="auto"/>
          <w:spacing w:val="-11"/>
          <w:kern w:val="36"/>
          <w:sz w:val="30"/>
          <w:szCs w:val="30"/>
          <w:lang w:val="en-US" w:eastAsia="zh-CN"/>
        </w:rPr>
      </w:pPr>
      <w:r>
        <w:rPr>
          <w:rFonts w:hint="default" w:ascii="Times New Roman" w:hAnsi="Times New Roman" w:eastAsia="方正楷体_GBK" w:cs="Times New Roman"/>
          <w:b/>
          <w:bCs w:val="0"/>
          <w:color w:val="auto"/>
          <w:spacing w:val="-11"/>
          <w:kern w:val="36"/>
          <w:sz w:val="30"/>
          <w:szCs w:val="30"/>
          <w:lang w:val="en-US" w:eastAsia="zh-CN"/>
        </w:rPr>
        <w:t>苏豪文化集团“码上识宝”文旅数字化创新平台商城板块正式上线</w:t>
      </w:r>
      <w:r>
        <w:rPr>
          <w:rFonts w:hint="eastAsia" w:ascii="Times New Roman" w:hAnsi="Times New Roman" w:eastAsia="方正楷体_GBK" w:cs="Times New Roman"/>
          <w:b/>
          <w:color w:val="auto"/>
          <w:spacing w:val="-11"/>
          <w:kern w:val="36"/>
          <w:sz w:val="30"/>
          <w:szCs w:val="30"/>
          <w:lang w:val="en-US" w:eastAsia="zh-CN"/>
        </w:rPr>
        <w:t xml:space="preserve"> </w:t>
      </w:r>
      <w:r>
        <w:rPr>
          <w:rFonts w:hint="default" w:ascii="Times New Roman" w:hAnsi="Times New Roman" w:eastAsia="方正楷体_GBK" w:cs="Times New Roman"/>
          <w:b/>
          <w:color w:val="auto"/>
          <w:spacing w:val="-11"/>
          <w:kern w:val="36"/>
          <w:sz w:val="30"/>
          <w:szCs w:val="30"/>
          <w:lang w:val="en-US" w:eastAsia="zh-CN"/>
        </w:rPr>
        <w:t xml:space="preserve">/ </w:t>
      </w:r>
      <w:r>
        <w:rPr>
          <w:rFonts w:hint="eastAsia" w:ascii="Times New Roman" w:hAnsi="Times New Roman" w:eastAsia="方正楷体_GBK" w:cs="Times New Roman"/>
          <w:b/>
          <w:color w:val="auto"/>
          <w:spacing w:val="-11"/>
          <w:kern w:val="36"/>
          <w:sz w:val="30"/>
          <w:szCs w:val="30"/>
          <w:lang w:val="en-US" w:eastAsia="zh-CN"/>
        </w:rPr>
        <w:t>22</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left="550" w:leftChars="284" w:firstLine="0" w:firstLineChars="0"/>
        <w:contextualSpacing/>
        <w:textAlignment w:val="auto"/>
        <w:outlineLvl w:val="1"/>
        <w:rPr>
          <w:rFonts w:hint="default" w:ascii="Times New Roman" w:hAnsi="Times New Roman" w:eastAsia="方正楷体_GBK" w:cs="Times New Roman"/>
          <w:b/>
          <w:color w:val="auto"/>
          <w:kern w:val="36"/>
          <w:sz w:val="30"/>
          <w:szCs w:val="30"/>
          <w:lang w:val="en-US" w:eastAsia="zh-CN"/>
        </w:rPr>
        <w:sectPr>
          <w:footerReference r:id="rId3"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pPr>
      <w:r>
        <w:rPr>
          <w:rFonts w:hint="eastAsia" w:ascii="Times New Roman" w:hAnsi="Times New Roman" w:eastAsia="方正楷体_GBK" w:cs="Times New Roman"/>
          <w:b/>
          <w:bCs w:val="0"/>
          <w:color w:val="auto"/>
          <w:spacing w:val="0"/>
          <w:kern w:val="36"/>
          <w:sz w:val="30"/>
          <w:szCs w:val="30"/>
          <w:lang w:val="en-US" w:eastAsia="zh-CN"/>
        </w:rPr>
        <w:t>奥特维于TOPCon组件设备领域斩获两项重要奖项</w:t>
      </w:r>
      <w:r>
        <w:rPr>
          <w:rFonts w:hint="eastAsia" w:ascii="Times New Roman" w:hAnsi="Times New Roman" w:eastAsia="方正楷体_GBK" w:cs="Times New Roman"/>
          <w:b/>
          <w:color w:val="auto"/>
          <w:spacing w:val="0"/>
          <w:kern w:val="36"/>
          <w:sz w:val="30"/>
          <w:szCs w:val="30"/>
          <w:lang w:val="en-US" w:eastAsia="zh-CN"/>
        </w:rPr>
        <w:t xml:space="preserve"> </w:t>
      </w:r>
      <w:r>
        <w:rPr>
          <w:rFonts w:hint="default" w:ascii="Times New Roman" w:hAnsi="Times New Roman" w:eastAsia="方正楷体_GBK" w:cs="Times New Roman"/>
          <w:b/>
          <w:color w:val="auto"/>
          <w:kern w:val="36"/>
          <w:sz w:val="30"/>
          <w:szCs w:val="30"/>
          <w:lang w:val="en-US" w:eastAsia="zh-CN"/>
        </w:rPr>
        <w:t>/</w:t>
      </w:r>
      <w:r>
        <w:rPr>
          <w:rFonts w:hint="eastAsia" w:ascii="Times New Roman" w:hAnsi="Times New Roman" w:eastAsia="方正楷体_GBK" w:cs="Times New Roman"/>
          <w:b/>
          <w:color w:val="auto"/>
          <w:kern w:val="36"/>
          <w:sz w:val="30"/>
          <w:szCs w:val="30"/>
          <w:lang w:val="en-US" w:eastAsia="zh-CN"/>
        </w:rPr>
        <w:t xml:space="preserve"> 23 </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pPr>
      <w:r>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t>全球市场资讯</w:t>
      </w:r>
    </w:p>
    <w:p>
      <w:pPr>
        <w:rPr>
          <w:rFonts w:hint="eastAsia"/>
          <w:b/>
          <w:bCs/>
          <w:color w:val="0000FF"/>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t>6月8日（周六）</w:t>
      </w:r>
    </w:p>
    <w:p>
      <w:pPr>
        <w:rPr>
          <w:rFonts w:hint="eastAsia"/>
          <w:b/>
          <w:bCs/>
          <w:color w:val="0000FF"/>
          <w:highlight w:val="yellow"/>
          <w:lang w:val="en-US" w:eastAsia="zh-CN"/>
        </w:rPr>
      </w:pPr>
      <w:r>
        <w:rPr>
          <w:rFonts w:hint="eastAsia" w:ascii="方正小标宋_GBK" w:hAnsi="方正小标宋_GBK" w:eastAsia="方正小标宋_GBK" w:cs="方正小标宋_GBK"/>
          <w:b/>
          <w:bCs/>
          <w:color w:val="0000FF"/>
          <w:sz w:val="36"/>
          <w:szCs w:val="36"/>
          <w:highlight w:val="yellow"/>
          <w:lang w:val="en-US" w:eastAsia="zh-CN"/>
        </w:rPr>
        <w:t>5月“大非农”数据骇人，细品之下希望犹存</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6月7日（周五），美国劳工部发布5月“非农就业报告”，即“大非农报告”（见表格）。</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Theme="minorEastAsia" w:hAnsiTheme="minorEastAsia" w:eastAsiaTheme="minorEastAsia" w:cstheme="minorEastAsia"/>
          <w:sz w:val="32"/>
          <w:szCs w:val="32"/>
          <w:lang w:val="en-US" w:eastAsia="zh-CN"/>
        </w:rPr>
      </w:pPr>
      <w:r>
        <w:rPr>
          <w:rFonts w:hint="default" w:ascii="Times New Roman" w:hAnsi="Times New Roman" w:eastAsia="经典行楷简" w:cs="Times New Roman"/>
          <w:b/>
          <w:bCs/>
          <w:color w:val="FF0000"/>
          <w:sz w:val="96"/>
          <w:szCs w:val="96"/>
          <w:lang w:val="en-US" w:eastAsia="zh-CN"/>
        </w:rPr>
        <w:drawing>
          <wp:anchor distT="0" distB="0" distL="114300" distR="114300" simplePos="0" relativeHeight="251659264" behindDoc="0" locked="0" layoutInCell="1" allowOverlap="1">
            <wp:simplePos x="0" y="0"/>
            <wp:positionH relativeFrom="column">
              <wp:posOffset>210820</wp:posOffset>
            </wp:positionH>
            <wp:positionV relativeFrom="paragraph">
              <wp:posOffset>198120</wp:posOffset>
            </wp:positionV>
            <wp:extent cx="4845685" cy="1931035"/>
            <wp:effectExtent l="0" t="0" r="12065" b="12065"/>
            <wp:wrapTopAndBottom/>
            <wp:docPr id="10" name="图片 10" descr="图片1-6月8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1-6月8日"/>
                    <pic:cNvPicPr>
                      <a:picLocks noChangeAspect="1"/>
                    </pic:cNvPicPr>
                  </pic:nvPicPr>
                  <pic:blipFill>
                    <a:blip r:embed="rId6"/>
                    <a:stretch>
                      <a:fillRect/>
                    </a:stretch>
                  </pic:blipFill>
                  <pic:spPr>
                    <a:xfrm>
                      <a:off x="0" y="0"/>
                      <a:ext cx="4845685" cy="193103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本周三，相对温和的ADP就业报告（“小非农”）发布后，投资者预测，周五的“大非农”走势也将相似。没料到“大非农”的“新增就业人数”飙涨，远超市场预期和前值。新增就业的岗位，主要集中在医疗保健、政府部门以及休闲酒店业。</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投资者一直期待就业市场降温，以推动通胀持续下降。周三的“小非农”报告给了市场些许希望，但周五的“大非农”却严厉打压了年内降息的预期。除新增就业人口指标外，每小时工资的同比环比均超预期，提示出生产成本的上升，对通胀形成推力。</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市场随即下调了对美联储年内降息的押注，10年期美债收益率也大幅攀升，再次回到4.5%的关口。</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但本篇就业市场报告中，也有缓和的迹象——失业率小幅升至4%。美联储主席鲍威尔曾说过：当失业率上升至4%以上时，美联储就会开始考虑降息。因此，市场对本份“大非农报告”的解读，逐渐由惊骇转变了平和，认为其并非完全利空，而是好坏参半。</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毕竟，强劲的劳动力市场，说明经济在扩张、企业营收和盈利在增长，只不过对尽早降息而言是一个负面因素。失业率的小幅上扬，又给了市场一些期盼，投资者们开始坐等下周三将公布的5月CPI数据，以及美联储议息会议（下周三至周四）结束后公布的点阵图。</w:t>
      </w:r>
    </w:p>
    <w:p>
      <w:pPr>
        <w:rPr>
          <w:rFonts w:hint="eastAsia" w:ascii="方正小标宋_GBK" w:hAnsi="方正小标宋_GBK" w:eastAsia="方正小标宋_GBK" w:cs="方正小标宋_GBK"/>
          <w:b/>
          <w:bCs/>
          <w:color w:val="0000FF"/>
          <w:sz w:val="32"/>
          <w:szCs w:val="32"/>
          <w:highlight w:val="yellow"/>
          <w:lang w:val="en-US" w:eastAsia="zh-CN"/>
        </w:rPr>
      </w:pPr>
    </w:p>
    <w:p>
      <w:pPr>
        <w:rPr>
          <w:rFonts w:hint="eastAsia"/>
          <w:b/>
          <w:bCs/>
          <w:color w:val="0000FF"/>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t>6月9日（周日）</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b/>
          <w:bCs/>
          <w:color w:val="0000FF"/>
          <w:sz w:val="36"/>
          <w:szCs w:val="36"/>
          <w:highlight w:val="yellow"/>
          <w:lang w:val="en-US" w:eastAsia="zh-CN"/>
        </w:rPr>
        <w:t>全球贸易中的“东升西降”</w:t>
      </w:r>
    </w:p>
    <w:p>
      <w:pPr>
        <w:keepNext w:val="0"/>
        <w:keepLines w:val="0"/>
        <w:pageBreakBefore w:val="0"/>
        <w:widowControl w:val="0"/>
        <w:kinsoku/>
        <w:wordWrap/>
        <w:overflowPunct/>
        <w:topLinePunct w:val="0"/>
        <w:autoSpaceDE/>
        <w:autoSpaceDN/>
        <w:bidi w:val="0"/>
        <w:adjustRightInd/>
        <w:snapToGrid/>
        <w:ind w:firstLine="388" w:firstLineChars="200"/>
        <w:jc w:val="both"/>
        <w:textAlignment w:val="auto"/>
        <w:rPr>
          <w:rFonts w:hint="eastAsia" w:ascii="Calibri" w:hAnsi="Calibri" w:eastAsia="宋体" w:cs="Calibri"/>
          <w:lang w:val="en-US" w:eastAsia="zh-CN"/>
        </w:rPr>
      </w:pPr>
      <w:r>
        <w:drawing>
          <wp:anchor distT="0" distB="0" distL="114300" distR="114300" simplePos="0" relativeHeight="251660288" behindDoc="0" locked="0" layoutInCell="1" allowOverlap="1">
            <wp:simplePos x="0" y="0"/>
            <wp:positionH relativeFrom="column">
              <wp:posOffset>2962910</wp:posOffset>
            </wp:positionH>
            <wp:positionV relativeFrom="paragraph">
              <wp:posOffset>1270</wp:posOffset>
            </wp:positionV>
            <wp:extent cx="2545715" cy="1777365"/>
            <wp:effectExtent l="0" t="0" r="6985" b="13335"/>
            <wp:wrapSquare wrapText="bothSides"/>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7"/>
                    <a:stretch>
                      <a:fillRect/>
                    </a:stretch>
                  </pic:blipFill>
                  <pic:spPr>
                    <a:xfrm>
                      <a:off x="0" y="0"/>
                      <a:ext cx="2545715" cy="1777365"/>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val="en-US" w:eastAsia="zh-CN"/>
        </w:rPr>
        <w:t>周四，美国人口调查局公布4月贸易账数据，为逆差745.58亿美元，多于前值（逆差）的693.72亿美元，近几个月以来，美国的贸易账逆差持续放大（见图）。</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不仅美国，欧盟对外贸易的表现也差强人意。目前，在全球贸易体系中，亚洲的表现总体好于欧美。以韩国为例，出口额逐月上升，5月的贸易顺差为49.6亿美元，高于4月的15.3亿美元和3月的42.9亿美元（见图）。</w:t>
      </w:r>
    </w:p>
    <w:p>
      <w:pPr>
        <w:keepNext w:val="0"/>
        <w:keepLines w:val="0"/>
        <w:pageBreakBefore w:val="0"/>
        <w:widowControl w:val="0"/>
        <w:kinsoku/>
        <w:wordWrap/>
        <w:overflowPunct/>
        <w:topLinePunct w:val="0"/>
        <w:autoSpaceDE/>
        <w:autoSpaceDN/>
        <w:bidi w:val="0"/>
        <w:adjustRightInd/>
        <w:snapToGrid/>
        <w:ind w:firstLine="388" w:firstLineChars="200"/>
        <w:jc w:val="left"/>
        <w:textAlignment w:val="auto"/>
      </w:pPr>
      <w:r>
        <w:drawing>
          <wp:anchor distT="0" distB="0" distL="114300" distR="114300" simplePos="0" relativeHeight="251661312" behindDoc="0" locked="0" layoutInCell="1" allowOverlap="1">
            <wp:simplePos x="0" y="0"/>
            <wp:positionH relativeFrom="column">
              <wp:posOffset>229870</wp:posOffset>
            </wp:positionH>
            <wp:positionV relativeFrom="paragraph">
              <wp:posOffset>170815</wp:posOffset>
            </wp:positionV>
            <wp:extent cx="2865120" cy="2000250"/>
            <wp:effectExtent l="0" t="0" r="11430" b="0"/>
            <wp:wrapSquare wrapText="bothSides"/>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8"/>
                    <a:stretch>
                      <a:fillRect/>
                    </a:stretch>
                  </pic:blipFill>
                  <pic:spPr>
                    <a:xfrm>
                      <a:off x="0" y="0"/>
                      <a:ext cx="2865120" cy="2000250"/>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今年1至5月，中韩贸易总额为1305.66亿美元，其中我对韩出口596.64亿美元，自韩进口709.02亿美元。若以单一经济体论，韩国已成为我第二大贸易伙伴，仅次于美国。日本居韩国之后，为我第三大贸易伙伴，1至5月，中日贸易总额为1238.70亿美元，其中我对日出口615.40亿美元，自日进口623.30亿美元。</w:t>
      </w:r>
    </w:p>
    <w:p>
      <w:pPr>
        <w:keepNext w:val="0"/>
        <w:keepLines w:val="0"/>
        <w:pageBreakBefore w:val="0"/>
        <w:widowControl w:val="0"/>
        <w:kinsoku/>
        <w:wordWrap/>
        <w:overflowPunct/>
        <w:topLinePunct w:val="0"/>
        <w:autoSpaceDE/>
        <w:autoSpaceDN/>
        <w:bidi w:val="0"/>
        <w:adjustRightInd/>
        <w:snapToGrid/>
        <w:ind w:firstLine="388" w:firstLineChars="200"/>
        <w:jc w:val="both"/>
        <w:textAlignment w:val="auto"/>
        <w:rPr>
          <w:rFonts w:hint="eastAsia" w:asciiTheme="minorEastAsia" w:hAnsiTheme="minorEastAsia" w:eastAsiaTheme="minorEastAsia" w:cstheme="minorEastAsia"/>
          <w:sz w:val="32"/>
          <w:szCs w:val="32"/>
          <w:lang w:val="en-US" w:eastAsia="zh-CN"/>
        </w:rPr>
      </w:pPr>
      <w:r>
        <w:drawing>
          <wp:anchor distT="0" distB="0" distL="114300" distR="114300" simplePos="0" relativeHeight="251662336" behindDoc="0" locked="0" layoutInCell="1" allowOverlap="1">
            <wp:simplePos x="0" y="0"/>
            <wp:positionH relativeFrom="column">
              <wp:posOffset>2213610</wp:posOffset>
            </wp:positionH>
            <wp:positionV relativeFrom="paragraph">
              <wp:posOffset>99060</wp:posOffset>
            </wp:positionV>
            <wp:extent cx="3245485" cy="2266950"/>
            <wp:effectExtent l="0" t="0" r="12065" b="0"/>
            <wp:wrapSquare wrapText="bothSides"/>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9"/>
                    <a:stretch>
                      <a:fillRect/>
                    </a:stretch>
                  </pic:blipFill>
                  <pic:spPr>
                    <a:xfrm>
                      <a:off x="0" y="0"/>
                      <a:ext cx="3245485" cy="2266950"/>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val="en-US" w:eastAsia="zh-CN"/>
        </w:rPr>
        <w:t>相较于亚洲，欧洲各大经济体的制造业PMI一直处于50荣枯线下方，显示工业生产持续萎缩。1至5月，中德贸易总额为802.64亿美元，其中我对德出口415.13亿美元，自德进口387.51亿美元，同比分别下降8.0%、2.9%和12.9%。</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由图可见，自2023年3月以来，德国出口处于持续下降之中。</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6月6日，欧洲央行率先决定降息，以刺激经济增长。</w:t>
      </w:r>
    </w:p>
    <w:p>
      <w:pPr>
        <w:keepNext w:val="0"/>
        <w:keepLines w:val="0"/>
        <w:pageBreakBefore w:val="0"/>
        <w:widowControl w:val="0"/>
        <w:kinsoku/>
        <w:wordWrap/>
        <w:overflowPunct/>
        <w:topLinePunct w:val="0"/>
        <w:autoSpaceDE/>
        <w:autoSpaceDN/>
        <w:bidi w:val="0"/>
        <w:adjustRightInd/>
        <w:snapToGrid/>
        <w:ind w:firstLine="388" w:firstLineChars="200"/>
        <w:jc w:val="left"/>
        <w:textAlignment w:val="auto"/>
        <w:rPr>
          <w:rFonts w:hint="default" w:ascii="Calibri" w:hAnsi="Calibri" w:eastAsia="宋体" w:cs="Calibri"/>
          <w:lang w:val="en-US" w:eastAsia="zh-CN"/>
        </w:rPr>
      </w:pPr>
    </w:p>
    <w:p>
      <w:pPr>
        <w:keepNext w:val="0"/>
        <w:keepLines w:val="0"/>
        <w:pageBreakBefore w:val="0"/>
        <w:widowControl w:val="0"/>
        <w:kinsoku/>
        <w:wordWrap/>
        <w:overflowPunct/>
        <w:topLinePunct w:val="0"/>
        <w:autoSpaceDE/>
        <w:autoSpaceDN/>
        <w:bidi w:val="0"/>
        <w:adjustRightInd/>
        <w:snapToGrid/>
        <w:ind w:firstLine="388" w:firstLineChars="200"/>
        <w:jc w:val="left"/>
        <w:textAlignment w:val="auto"/>
        <w:rPr>
          <w:rFonts w:hint="default" w:ascii="Calibri" w:hAnsi="Calibri" w:eastAsia="宋体" w:cs="Calibri"/>
          <w:lang w:val="en-US" w:eastAsia="zh-CN"/>
        </w:rPr>
      </w:pPr>
    </w:p>
    <w:p>
      <w:pPr>
        <w:keepNext w:val="0"/>
        <w:keepLines w:val="0"/>
        <w:pageBreakBefore w:val="0"/>
        <w:widowControl w:val="0"/>
        <w:kinsoku/>
        <w:wordWrap/>
        <w:overflowPunct/>
        <w:topLinePunct w:val="0"/>
        <w:autoSpaceDE/>
        <w:autoSpaceDN/>
        <w:bidi w:val="0"/>
        <w:adjustRightInd/>
        <w:snapToGrid/>
        <w:ind w:firstLine="388" w:firstLineChars="200"/>
        <w:jc w:val="left"/>
        <w:textAlignment w:val="auto"/>
        <w:rPr>
          <w:rFonts w:hint="default" w:ascii="Calibri" w:hAnsi="Calibri" w:eastAsia="宋体" w:cs="Calibri"/>
          <w:lang w:val="en-US" w:eastAsia="zh-CN"/>
        </w:rPr>
      </w:pPr>
    </w:p>
    <w:p>
      <w:pPr>
        <w:keepNext w:val="0"/>
        <w:keepLines w:val="0"/>
        <w:pageBreakBefore w:val="0"/>
        <w:widowControl w:val="0"/>
        <w:kinsoku/>
        <w:wordWrap/>
        <w:overflowPunct/>
        <w:topLinePunct w:val="0"/>
        <w:autoSpaceDE/>
        <w:autoSpaceDN/>
        <w:bidi w:val="0"/>
        <w:adjustRightInd/>
        <w:snapToGrid/>
        <w:ind w:firstLine="388" w:firstLineChars="200"/>
        <w:jc w:val="left"/>
        <w:textAlignment w:val="auto"/>
        <w:rPr>
          <w:rFonts w:hint="eastAsia" w:ascii="Calibri" w:hAnsi="Calibri" w:eastAsia="宋体" w:cs="Calibri"/>
          <w:lang w:val="en-US" w:eastAsia="zh-CN"/>
        </w:rPr>
      </w:pPr>
    </w:p>
    <w:p>
      <w:pPr>
        <w:rPr>
          <w:rFonts w:hint="eastAsia" w:ascii="方正小标宋_GBK" w:hAnsi="方正小标宋_GBK" w:eastAsia="方正小标宋_GBK" w:cs="方正小标宋_GBK"/>
          <w:b/>
          <w:bCs/>
          <w:color w:val="0000FF"/>
          <w:sz w:val="32"/>
          <w:szCs w:val="32"/>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t>6月10日（周一）</w:t>
      </w: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color w:val="0000FF"/>
          <w:highlight w:val="yellow"/>
          <w:lang w:val="en-US" w:eastAsia="zh-CN"/>
        </w:rPr>
      </w:pPr>
      <w:r>
        <w:rPr>
          <w:rFonts w:hint="eastAsia" w:ascii="方正小标宋_GBK" w:hAnsi="方正小标宋_GBK" w:eastAsia="方正小标宋_GBK" w:cs="方正小标宋_GBK"/>
          <w:b/>
          <w:bCs/>
          <w:color w:val="0000FF"/>
          <w:sz w:val="36"/>
          <w:szCs w:val="36"/>
          <w:highlight w:val="yellow"/>
          <w:lang w:val="en-US" w:eastAsia="zh-CN"/>
        </w:rPr>
        <w:t>加息压力终现，赤字已存危险</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eastAsia" w:asciiTheme="minorEastAsia" w:hAnsiTheme="minorEastAsia" w:eastAsiaTheme="minorEastAsia" w:cstheme="minorEastAsia"/>
          <w:b/>
          <w:bCs/>
          <w:color w:val="0000FF"/>
          <w:sz w:val="32"/>
          <w:szCs w:val="32"/>
          <w:highlight w:val="none"/>
          <w:lang w:val="en-US" w:eastAsia="zh-CN"/>
        </w:rPr>
      </w:pPr>
      <w:r>
        <w:rPr>
          <w:rFonts w:hint="eastAsia" w:asciiTheme="minorEastAsia" w:hAnsiTheme="minorEastAsia" w:eastAsiaTheme="minorEastAsia" w:cstheme="minorEastAsia"/>
          <w:b/>
          <w:bCs/>
          <w:color w:val="0000FF"/>
          <w:sz w:val="32"/>
          <w:szCs w:val="32"/>
          <w:highlight w:val="none"/>
          <w:lang w:val="en-US" w:eastAsia="zh-CN"/>
        </w:rPr>
        <w:t>一、加息压力终现，美国中小银行承压</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据美国联邦存款保险公司（FDIC）第一季度的报告，美国银行系统今年一季度的“未实现亏损”升至5170亿美元，“问题银行”增至63家。FDIC表示，“问题银行的数量占银行总数的1.4%，这处于正常范围内。”</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问题银行的出现，是因为美联储升息，推高了住房抵押贷款利率，导致以其为底层资产的抵押贷款支持证券（MBS）交易价格下跌，因此，大量持有此类MBS的银行“未实现亏损”增加。</w:t>
      </w:r>
    </w:p>
    <w:p>
      <w:pPr>
        <w:keepNext w:val="0"/>
        <w:keepLines w:val="0"/>
        <w:pageBreakBefore w:val="0"/>
        <w:widowControl w:val="0"/>
        <w:kinsoku/>
        <w:wordWrap/>
        <w:overflowPunct/>
        <w:topLinePunct w:val="0"/>
        <w:autoSpaceDE/>
        <w:autoSpaceDN/>
        <w:bidi w:val="0"/>
        <w:adjustRightInd/>
        <w:snapToGrid/>
        <w:ind w:firstLine="388" w:firstLineChars="200"/>
        <w:jc w:val="left"/>
        <w:textAlignment w:val="auto"/>
      </w:pPr>
      <w:r>
        <w:drawing>
          <wp:anchor distT="0" distB="0" distL="114300" distR="114300" simplePos="0" relativeHeight="251663360" behindDoc="0" locked="0" layoutInCell="1" allowOverlap="1">
            <wp:simplePos x="0" y="0"/>
            <wp:positionH relativeFrom="column">
              <wp:posOffset>826135</wp:posOffset>
            </wp:positionH>
            <wp:positionV relativeFrom="paragraph">
              <wp:posOffset>37465</wp:posOffset>
            </wp:positionV>
            <wp:extent cx="3859530" cy="2599055"/>
            <wp:effectExtent l="0" t="0" r="7620" b="10795"/>
            <wp:wrapTopAndBottom/>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10"/>
                    <a:stretch>
                      <a:fillRect/>
                    </a:stretch>
                  </pic:blipFill>
                  <pic:spPr>
                    <a:xfrm>
                      <a:off x="0" y="0"/>
                      <a:ext cx="3859530" cy="259905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Calibri" w:hAnsi="Calibri" w:eastAsia="仿宋_GB2312" w:cs="Calibri"/>
          <w:lang w:val="en-US" w:eastAsia="zh-CN"/>
        </w:rPr>
      </w:pPr>
      <w:r>
        <w:rPr>
          <w:rFonts w:hint="default" w:ascii="Calibri" w:hAnsi="Calibri" w:eastAsia="仿宋_GB2312" w:cs="Calibri"/>
          <w:lang w:eastAsia="zh-CN"/>
        </w:rPr>
        <w:t>（图：</w:t>
      </w:r>
      <w:r>
        <w:rPr>
          <w:rFonts w:hint="default" w:ascii="Calibri" w:hAnsi="Calibri" w:eastAsia="仿宋_GB2312" w:cs="Calibri"/>
          <w:lang w:val="en-US" w:eastAsia="zh-CN"/>
        </w:rPr>
        <w:t>抵押贷款支持证券（Mortgage-Backed Securities, MBS）的构成原理</w:t>
      </w:r>
      <w:r>
        <w:rPr>
          <w:rFonts w:hint="default" w:ascii="Calibri" w:hAnsi="Calibri" w:eastAsia="仿宋_GB2312" w:cs="Calibri"/>
          <w:lang w:eastAsia="zh-CN"/>
        </w:rPr>
        <w:t>）</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自今年年初以来，抵押贷款利率一直在上升，美国30年期固定抵押贷款利率已从1月初的6.6%左右升至当前的略高于7%。“未实现亏损”的增加，对中小银行造成了相当大的压力。</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eastAsia" w:asciiTheme="minorEastAsia" w:hAnsiTheme="minorEastAsia" w:eastAsiaTheme="minorEastAsia" w:cstheme="minorEastAsia"/>
          <w:b/>
          <w:bCs/>
          <w:color w:val="0000FF"/>
          <w:sz w:val="32"/>
          <w:szCs w:val="32"/>
          <w:lang w:val="en-US" w:eastAsia="zh-CN"/>
        </w:rPr>
      </w:pPr>
      <w:r>
        <w:rPr>
          <w:rFonts w:hint="eastAsia" w:asciiTheme="minorEastAsia" w:hAnsiTheme="minorEastAsia" w:eastAsiaTheme="minorEastAsia" w:cstheme="minorEastAsia"/>
          <w:b/>
          <w:bCs/>
          <w:color w:val="0000FF"/>
          <w:sz w:val="32"/>
          <w:szCs w:val="32"/>
          <w:lang w:val="en-US" w:eastAsia="zh-CN"/>
        </w:rPr>
        <w:t>二、你的赤字，大家的危险</w:t>
      </w:r>
    </w:p>
    <w:p>
      <w:pPr>
        <w:keepNext w:val="0"/>
        <w:keepLines w:val="0"/>
        <w:pageBreakBefore w:val="0"/>
        <w:widowControl w:val="0"/>
        <w:kinsoku/>
        <w:wordWrap/>
        <w:overflowPunct/>
        <w:topLinePunct w:val="0"/>
        <w:autoSpaceDE/>
        <w:autoSpaceDN/>
        <w:bidi w:val="0"/>
        <w:adjustRightInd/>
        <w:snapToGrid/>
        <w:ind w:firstLine="388" w:firstLineChars="200"/>
        <w:jc w:val="both"/>
        <w:textAlignment w:val="auto"/>
        <w:rPr>
          <w:rFonts w:hint="eastAsia" w:asciiTheme="minorEastAsia" w:hAnsiTheme="minorEastAsia" w:eastAsiaTheme="minorEastAsia" w:cstheme="minorEastAsia"/>
          <w:sz w:val="32"/>
          <w:szCs w:val="32"/>
          <w:lang w:val="en-US" w:eastAsia="zh-CN"/>
        </w:rPr>
      </w:pPr>
      <w:r>
        <w:drawing>
          <wp:anchor distT="0" distB="0" distL="114300" distR="114300" simplePos="0" relativeHeight="251664384" behindDoc="0" locked="0" layoutInCell="1" allowOverlap="1">
            <wp:simplePos x="0" y="0"/>
            <wp:positionH relativeFrom="column">
              <wp:posOffset>2621280</wp:posOffset>
            </wp:positionH>
            <wp:positionV relativeFrom="paragraph">
              <wp:posOffset>121285</wp:posOffset>
            </wp:positionV>
            <wp:extent cx="2893695" cy="1930400"/>
            <wp:effectExtent l="0" t="0" r="1905" b="12700"/>
            <wp:wrapSquare wrapText="bothSides"/>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1"/>
                    <a:stretch>
                      <a:fillRect/>
                    </a:stretch>
                  </pic:blipFill>
                  <pic:spPr>
                    <a:xfrm>
                      <a:off x="0" y="0"/>
                      <a:ext cx="2893695" cy="1930400"/>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val="en-US" w:eastAsia="zh-CN"/>
        </w:rPr>
        <w:t>国际货币基金组织（IMF）表示，美国和其他富裕国家应 “投资于财政整顿”，以减少债务。在接受《金融时报》采访时，IMF二把手、第一副总裁Gita Gopinath说，美国的经济增长为其削减开支和提高税收提供了“充足”的空间。她补充说，预计到2025年，美国联邦政府的财政赤字将达到其GDP的7.1%，这对全球经济构成了“重大风险”。</w:t>
      </w:r>
    </w:p>
    <w:p>
      <w:pPr>
        <w:keepNext w:val="0"/>
        <w:keepLines w:val="0"/>
        <w:pageBreakBefore w:val="0"/>
        <w:widowControl w:val="0"/>
        <w:kinsoku/>
        <w:wordWrap/>
        <w:overflowPunct/>
        <w:topLinePunct w:val="0"/>
        <w:autoSpaceDE/>
        <w:autoSpaceDN/>
        <w:bidi w:val="0"/>
        <w:adjustRightInd/>
        <w:snapToGrid/>
        <w:ind w:firstLine="388" w:firstLineChars="200"/>
        <w:jc w:val="left"/>
        <w:textAlignment w:val="auto"/>
      </w:pPr>
    </w:p>
    <w:p>
      <w:pPr>
        <w:keepNext w:val="0"/>
        <w:keepLines w:val="0"/>
        <w:pageBreakBefore w:val="0"/>
        <w:widowControl w:val="0"/>
        <w:kinsoku/>
        <w:wordWrap/>
        <w:overflowPunct/>
        <w:topLinePunct w:val="0"/>
        <w:autoSpaceDE/>
        <w:autoSpaceDN/>
        <w:bidi w:val="0"/>
        <w:adjustRightInd/>
        <w:snapToGrid/>
        <w:ind w:firstLine="388" w:firstLineChars="200"/>
        <w:jc w:val="left"/>
        <w:textAlignment w:val="auto"/>
      </w:pPr>
    </w:p>
    <w:p>
      <w:pPr>
        <w:rPr>
          <w:rFonts w:hint="eastAsia" w:asciiTheme="minorEastAsia" w:hAnsiTheme="minorEastAsia" w:eastAsiaTheme="minorEastAsia" w:cstheme="minorEastAsia"/>
          <w:b/>
          <w:bCs/>
          <w:color w:val="0000FF"/>
          <w:sz w:val="32"/>
          <w:szCs w:val="32"/>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t>6月11日（周二）</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Theme="minorEastAsia" w:hAnsiTheme="minorEastAsia" w:eastAsiaTheme="minorEastAsia" w:cstheme="minorEastAsia"/>
          <w:sz w:val="32"/>
          <w:szCs w:val="32"/>
          <w:lang w:val="en-US" w:eastAsia="zh-CN"/>
        </w:rPr>
      </w:pPr>
      <w:r>
        <w:rPr>
          <w:rFonts w:hint="eastAsia" w:ascii="方正小标宋_GBK" w:hAnsi="方正小标宋_GBK" w:eastAsia="方正小标宋_GBK" w:cs="方正小标宋_GBK"/>
          <w:b/>
          <w:bCs/>
          <w:color w:val="0000FF"/>
          <w:sz w:val="36"/>
          <w:szCs w:val="36"/>
          <w:highlight w:val="yellow"/>
          <w:lang w:val="en-US" w:eastAsia="zh-CN"/>
        </w:rPr>
        <w:t>欧元走贬美元指数攀升，美债遇冷收益率随之上行</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eastAsia" w:asciiTheme="minorEastAsia" w:hAnsiTheme="minorEastAsia" w:eastAsiaTheme="minorEastAsia" w:cstheme="minorEastAsia"/>
          <w:b/>
          <w:bCs/>
          <w:color w:val="0000FF"/>
          <w:sz w:val="32"/>
          <w:szCs w:val="32"/>
          <w:lang w:eastAsia="zh-CN"/>
        </w:rPr>
      </w:pPr>
      <w:r>
        <w:rPr>
          <w:rFonts w:hint="eastAsia" w:asciiTheme="minorEastAsia" w:hAnsiTheme="minorEastAsia" w:eastAsiaTheme="minorEastAsia" w:cstheme="minorEastAsia"/>
          <w:b/>
          <w:bCs/>
          <w:color w:val="0000FF"/>
          <w:sz w:val="32"/>
          <w:szCs w:val="32"/>
          <w:lang w:eastAsia="zh-CN"/>
        </w:rPr>
        <w:t>一、欧元走低，美元指数上行</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6月9日，5年一次的欧洲议会选举结束。初步选举结果显示，极右翼政党正在欧洲议会中迅速崛起。法国总统马克龙解散国民议会，并计划在6月底举行新的议会选举。</w:t>
      </w:r>
    </w:p>
    <w:p>
      <w:pPr>
        <w:keepNext w:val="0"/>
        <w:keepLines w:val="0"/>
        <w:pageBreakBefore w:val="0"/>
        <w:widowControl w:val="0"/>
        <w:kinsoku/>
        <w:wordWrap/>
        <w:overflowPunct/>
        <w:topLinePunct w:val="0"/>
        <w:autoSpaceDE/>
        <w:autoSpaceDN/>
        <w:bidi w:val="0"/>
        <w:adjustRightInd/>
        <w:snapToGrid/>
        <w:ind w:firstLine="388" w:firstLineChars="200"/>
        <w:jc w:val="both"/>
        <w:textAlignment w:val="auto"/>
        <w:rPr>
          <w:rFonts w:hint="eastAsia" w:asciiTheme="minorEastAsia" w:hAnsiTheme="minorEastAsia" w:eastAsiaTheme="minorEastAsia" w:cstheme="minorEastAsia"/>
          <w:sz w:val="32"/>
          <w:szCs w:val="32"/>
          <w:lang w:val="en-US" w:eastAsia="zh-CN"/>
        </w:rPr>
      </w:pPr>
      <w:r>
        <w:drawing>
          <wp:anchor distT="0" distB="0" distL="114300" distR="114300" simplePos="0" relativeHeight="251665408" behindDoc="0" locked="0" layoutInCell="1" allowOverlap="1">
            <wp:simplePos x="0" y="0"/>
            <wp:positionH relativeFrom="column">
              <wp:posOffset>2626995</wp:posOffset>
            </wp:positionH>
            <wp:positionV relativeFrom="paragraph">
              <wp:posOffset>130810</wp:posOffset>
            </wp:positionV>
            <wp:extent cx="2923540" cy="1583055"/>
            <wp:effectExtent l="0" t="0" r="10160" b="17145"/>
            <wp:wrapSquare wrapText="bothSides"/>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2"/>
                    <a:stretch>
                      <a:fillRect/>
                    </a:stretch>
                  </pic:blipFill>
                  <pic:spPr>
                    <a:xfrm>
                      <a:off x="0" y="0"/>
                      <a:ext cx="2923540" cy="1583055"/>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eastAsia="zh-CN"/>
        </w:rPr>
        <w:t>自年初以来，欧元兑美元已经持续贬值。欧洲议会选举后的政治焦虑，导致欧洲股汇双杀，欧元兑美元大幅下挫。上周，欧央行率先降息</w:t>
      </w:r>
      <w:r>
        <w:rPr>
          <w:rFonts w:hint="eastAsia" w:asciiTheme="minorEastAsia" w:hAnsiTheme="minorEastAsia" w:eastAsiaTheme="minorEastAsia" w:cstheme="minorEastAsia"/>
          <w:sz w:val="32"/>
          <w:szCs w:val="32"/>
          <w:lang w:val="en-US" w:eastAsia="zh-CN"/>
        </w:rPr>
        <w:t>，欧元下行压力将进一步加剧。</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eastAsia" w:asciiTheme="minorEastAsia" w:hAnsiTheme="minorEastAsia" w:eastAsiaTheme="minorEastAsia" w:cstheme="minorEastAsia"/>
          <w:b/>
          <w:bCs/>
          <w:color w:val="0000FF"/>
          <w:sz w:val="32"/>
          <w:szCs w:val="32"/>
          <w:lang w:val="en-US" w:eastAsia="zh-CN"/>
        </w:rPr>
      </w:pPr>
      <w:r>
        <w:rPr>
          <w:rFonts w:hint="eastAsia" w:asciiTheme="minorEastAsia" w:hAnsiTheme="minorEastAsia" w:eastAsiaTheme="minorEastAsia" w:cstheme="minorEastAsia"/>
          <w:b/>
          <w:bCs/>
          <w:color w:val="0000FF"/>
          <w:sz w:val="32"/>
          <w:szCs w:val="32"/>
          <w:lang w:val="en-US" w:eastAsia="zh-CN"/>
        </w:rPr>
        <w:t>二、美债收益率继续攀升</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6月10日，美国财政部拍卖580亿美元的3年期美债。海外需求低迷，拍卖结果不佳，美债收益率随即上行，10年期美债收益率迫近4.5%的关键点位。</w:t>
      </w:r>
    </w:p>
    <w:p>
      <w:pPr>
        <w:keepNext w:val="0"/>
        <w:keepLines w:val="0"/>
        <w:pageBreakBefore w:val="0"/>
        <w:widowControl w:val="0"/>
        <w:kinsoku/>
        <w:wordWrap/>
        <w:overflowPunct/>
        <w:topLinePunct w:val="0"/>
        <w:autoSpaceDE/>
        <w:autoSpaceDN/>
        <w:bidi w:val="0"/>
        <w:adjustRightInd/>
        <w:snapToGrid/>
        <w:ind w:firstLine="388" w:firstLineChars="200"/>
        <w:jc w:val="both"/>
        <w:textAlignment w:val="auto"/>
        <w:rPr>
          <w:rFonts w:hint="eastAsia" w:asciiTheme="minorEastAsia" w:hAnsiTheme="minorEastAsia" w:eastAsiaTheme="minorEastAsia" w:cstheme="minorEastAsia"/>
          <w:sz w:val="32"/>
          <w:szCs w:val="32"/>
          <w:lang w:val="en-US" w:eastAsia="zh-CN"/>
        </w:rPr>
      </w:pPr>
      <w:r>
        <w:drawing>
          <wp:anchor distT="0" distB="0" distL="114300" distR="114300" simplePos="0" relativeHeight="251666432" behindDoc="0" locked="0" layoutInCell="1" allowOverlap="1">
            <wp:simplePos x="0" y="0"/>
            <wp:positionH relativeFrom="column">
              <wp:posOffset>2486660</wp:posOffset>
            </wp:positionH>
            <wp:positionV relativeFrom="paragraph">
              <wp:posOffset>116205</wp:posOffset>
            </wp:positionV>
            <wp:extent cx="2908935" cy="2030730"/>
            <wp:effectExtent l="0" t="0" r="5715" b="7620"/>
            <wp:wrapSquare wrapText="bothSides"/>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3"/>
                    <a:stretch>
                      <a:fillRect/>
                    </a:stretch>
                  </pic:blipFill>
                  <pic:spPr>
                    <a:xfrm>
                      <a:off x="0" y="0"/>
                      <a:ext cx="2908935" cy="2030730"/>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val="en-US" w:eastAsia="zh-CN"/>
        </w:rPr>
        <w:t>美国商品期货交易委员会的数据显示，10年期美债期货净多头仓位，上周已降至约两个月来最低；同时，2年期美债期货的净多头却连续两周增加，说明机构投资者在买入短期美债、抛出长债。目前，长短期的美债到期收益率依旧倒挂。</w:t>
      </w:r>
    </w:p>
    <w:p>
      <w:pPr>
        <w:rPr>
          <w:rFonts w:hint="eastAsia" w:asciiTheme="minorEastAsia" w:hAnsiTheme="minorEastAsia" w:eastAsiaTheme="minorEastAsia" w:cstheme="minorEastAsia"/>
          <w:b/>
          <w:bCs/>
          <w:color w:val="FF0000"/>
          <w:sz w:val="32"/>
          <w:szCs w:val="32"/>
          <w:lang w:val="en-US" w:eastAsia="zh-CN"/>
        </w:rPr>
      </w:pPr>
    </w:p>
    <w:p>
      <w:pPr>
        <w:rPr>
          <w:rFonts w:hint="eastAsia" w:ascii="方正小标宋_GBK" w:hAnsi="方正小标宋_GBK" w:eastAsia="方正小标宋_GBK" w:cs="方正小标宋_GBK"/>
          <w:b/>
          <w:bCs/>
          <w:color w:val="0000FF"/>
          <w:sz w:val="32"/>
          <w:szCs w:val="32"/>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t>6月12日（周三）</w:t>
      </w:r>
    </w:p>
    <w:p>
      <w:pPr>
        <w:keepNext w:val="0"/>
        <w:keepLines w:val="0"/>
        <w:pageBreakBefore w:val="0"/>
        <w:widowControl w:val="0"/>
        <w:kinsoku/>
        <w:wordWrap/>
        <w:overflowPunct/>
        <w:topLinePunct w:val="0"/>
        <w:autoSpaceDE/>
        <w:autoSpaceDN/>
        <w:bidi w:val="0"/>
        <w:adjustRightInd/>
        <w:snapToGrid/>
        <w:jc w:val="left"/>
        <w:textAlignment w:val="auto"/>
        <w:rPr>
          <w:rFonts w:hint="default" w:eastAsiaTheme="minorEastAsia"/>
          <w:b/>
          <w:bCs/>
          <w:color w:val="0000FF"/>
          <w:highlight w:val="yellow"/>
          <w:lang w:val="en-US" w:eastAsia="zh-CN"/>
        </w:rPr>
      </w:pPr>
      <w:r>
        <w:rPr>
          <w:rFonts w:hint="eastAsia" w:ascii="方正小标宋_GBK" w:hAnsi="方正小标宋_GBK" w:eastAsia="方正小标宋_GBK" w:cs="方正小标宋_GBK"/>
          <w:b/>
          <w:bCs/>
          <w:color w:val="0000FF"/>
          <w:sz w:val="36"/>
          <w:szCs w:val="36"/>
          <w:highlight w:val="yellow"/>
          <w:lang w:eastAsia="zh-CN"/>
        </w:rPr>
        <w:t>英国</w:t>
      </w:r>
      <w:r>
        <w:rPr>
          <w:rFonts w:hint="eastAsia" w:ascii="方正小标宋_GBK" w:hAnsi="方正小标宋_GBK" w:eastAsia="方正小标宋_GBK" w:cs="方正小标宋_GBK"/>
          <w:b/>
          <w:bCs/>
          <w:color w:val="0000FF"/>
          <w:sz w:val="36"/>
          <w:szCs w:val="36"/>
          <w:highlight w:val="yellow"/>
          <w:lang w:val="en-US" w:eastAsia="zh-CN"/>
        </w:rPr>
        <w:t>5月就业市场数据爆冷，降息预期强化</w:t>
      </w:r>
    </w:p>
    <w:p>
      <w:pPr>
        <w:keepNext w:val="0"/>
        <w:keepLines w:val="0"/>
        <w:pageBreakBefore w:val="0"/>
        <w:widowControl w:val="0"/>
        <w:kinsoku/>
        <w:wordWrap/>
        <w:overflowPunct/>
        <w:topLinePunct w:val="0"/>
        <w:autoSpaceDE/>
        <w:autoSpaceDN/>
        <w:bidi w:val="0"/>
        <w:adjustRightInd/>
        <w:snapToGrid/>
        <w:ind w:firstLine="608" w:firstLineChars="200"/>
        <w:textAlignment w:val="auto"/>
        <w:rPr>
          <w:rFonts w:hint="default" w:ascii="Times New Roman" w:hAnsi="Times New Roman" w:eastAsia="经典行楷简" w:cs="Times New Roman"/>
          <w:b/>
          <w:bCs/>
          <w:color w:val="FF0000"/>
          <w:sz w:val="96"/>
          <w:szCs w:val="96"/>
          <w:lang w:val="en-US" w:eastAsia="zh-CN"/>
        </w:rPr>
      </w:pPr>
      <w:r>
        <w:rPr>
          <w:rFonts w:hint="eastAsia" w:asciiTheme="minorEastAsia" w:hAnsiTheme="minorEastAsia" w:eastAsiaTheme="minorEastAsia" w:cstheme="minorEastAsia"/>
          <w:sz w:val="32"/>
          <w:szCs w:val="32"/>
          <w:lang w:val="en-US" w:eastAsia="zh-CN"/>
        </w:rPr>
        <w:t>6月11日（周二），英国国家统计局发布就业市场相关指标（见表格一），其中5月的数据出人意料。</w:t>
      </w:r>
    </w:p>
    <w:p>
      <w:pPr>
        <w:rPr>
          <w:rFonts w:hint="eastAsia" w:asciiTheme="minorEastAsia" w:hAnsiTheme="minorEastAsia" w:eastAsiaTheme="minorEastAsia" w:cstheme="minorEastAsia"/>
          <w:b/>
          <w:bCs/>
          <w:color w:val="FF0000"/>
          <w:sz w:val="32"/>
          <w:szCs w:val="32"/>
          <w:lang w:val="en-US" w:eastAsia="zh-CN"/>
        </w:rPr>
      </w:pPr>
      <w:r>
        <w:rPr>
          <w:rFonts w:hint="eastAsia" w:asciiTheme="minorEastAsia" w:hAnsiTheme="minorEastAsia" w:eastAsiaTheme="minorEastAsia" w:cstheme="minorEastAsia"/>
          <w:b/>
          <w:bCs/>
          <w:color w:val="FF0000"/>
          <w:sz w:val="32"/>
          <w:szCs w:val="32"/>
          <w:lang w:val="en-US" w:eastAsia="zh-CN"/>
        </w:rPr>
        <w:drawing>
          <wp:anchor distT="0" distB="0" distL="114300" distR="114300" simplePos="0" relativeHeight="251667456" behindDoc="0" locked="0" layoutInCell="1" allowOverlap="1">
            <wp:simplePos x="0" y="0"/>
            <wp:positionH relativeFrom="column">
              <wp:posOffset>543560</wp:posOffset>
            </wp:positionH>
            <wp:positionV relativeFrom="paragraph">
              <wp:posOffset>50800</wp:posOffset>
            </wp:positionV>
            <wp:extent cx="4308475" cy="1087120"/>
            <wp:effectExtent l="0" t="0" r="3175" b="5080"/>
            <wp:wrapTopAndBottom/>
            <wp:docPr id="1" name="图片 1" descr="图片2-6月12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2-6月12日"/>
                    <pic:cNvPicPr>
                      <a:picLocks noChangeAspect="1"/>
                    </pic:cNvPicPr>
                  </pic:nvPicPr>
                  <pic:blipFill>
                    <a:blip r:embed="rId14"/>
                    <a:stretch>
                      <a:fillRect/>
                    </a:stretch>
                  </pic:blipFill>
                  <pic:spPr>
                    <a:xfrm>
                      <a:off x="0" y="0"/>
                      <a:ext cx="4308475" cy="108712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both"/>
        <w:textAlignment w:val="auto"/>
        <w:rPr>
          <w:rFonts w:hint="eastAsia"/>
          <w:sz w:val="28"/>
          <w:szCs w:val="28"/>
          <w:lang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both"/>
        <w:textAlignment w:val="auto"/>
        <w:rPr>
          <w:rFonts w:hint="eastAsia" w:ascii="Calibri" w:hAnsi="Calibri" w:eastAsia="仿宋_GB2312" w:cs="Calibri"/>
          <w:lang w:val="en-US" w:eastAsia="zh-CN"/>
        </w:rPr>
      </w:pPr>
      <w:r>
        <w:rPr>
          <w:rFonts w:hint="eastAsia"/>
          <w:sz w:val="28"/>
          <w:szCs w:val="28"/>
          <w:lang w:eastAsia="zh-CN"/>
        </w:rPr>
        <w:t>（</w:t>
      </w:r>
      <w:r>
        <w:rPr>
          <w:rFonts w:hint="eastAsia" w:ascii="方正黑体_GBK" w:hAnsi="方正黑体_GBK" w:eastAsia="方正黑体_GBK" w:cs="方正黑体_GBK"/>
          <w:sz w:val="28"/>
          <w:szCs w:val="28"/>
          <w:lang w:eastAsia="zh-CN"/>
        </w:rPr>
        <w:t>注</w:t>
      </w:r>
      <w:r>
        <w:rPr>
          <w:rFonts w:hint="default" w:ascii="Calibri" w:hAnsi="Calibri" w:eastAsia="仿宋_GB2312" w:cs="Calibri"/>
          <w:sz w:val="28"/>
          <w:szCs w:val="28"/>
          <w:lang w:eastAsia="zh-CN"/>
        </w:rPr>
        <w:t>：</w:t>
      </w:r>
      <w:r>
        <w:rPr>
          <w:rFonts w:hint="eastAsia" w:ascii="方正楷体_GBK" w:hAnsi="方正楷体_GBK" w:eastAsia="方正楷体_GBK" w:cs="方正楷体_GBK"/>
          <w:sz w:val="28"/>
          <w:szCs w:val="28"/>
          <w:lang w:val="en-US" w:eastAsia="zh-CN"/>
        </w:rPr>
        <w:t>ILO数据由国际劳工组织发布。“4月三个月就业人数和失业率”，指4月数据与之前连续三个月的数据相比较的结果。“4月三个月包括红利的平均工资同比”，是指以三个月为周期的，平均工资的年度变化。</w:t>
      </w:r>
      <w:r>
        <w:rPr>
          <w:rFonts w:hint="eastAsia" w:ascii="Calibri" w:hAnsi="Calibri" w:eastAsia="仿宋_GB2312" w:cs="Calibri"/>
          <w:sz w:val="28"/>
          <w:szCs w:val="28"/>
          <w:lang w:val="en-US" w:eastAsia="zh-CN"/>
        </w:rPr>
        <w:t>）</w:t>
      </w:r>
    </w:p>
    <w:p>
      <w:pPr>
        <w:keepNext w:val="0"/>
        <w:keepLines w:val="0"/>
        <w:pageBreakBefore w:val="0"/>
        <w:widowControl w:val="0"/>
        <w:kinsoku/>
        <w:wordWrap/>
        <w:overflowPunct/>
        <w:topLinePunct w:val="0"/>
        <w:autoSpaceDE/>
        <w:autoSpaceDN/>
        <w:bidi w:val="0"/>
        <w:adjustRightInd/>
        <w:snapToGrid/>
        <w:ind w:firstLine="608" w:firstLineChars="200"/>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由数据可见，英国从5月开始就业市场突然降温，失业人数暴增。但从上周IHS Markit发布的英国PMI数据看，英国经济仍处于扩张之中（见表格二），服务业表现正常，服务业是提供就业岗位的主要部门。</w:t>
      </w:r>
    </w:p>
    <w:p>
      <w:pPr>
        <w:keepNext w:val="0"/>
        <w:keepLines w:val="0"/>
        <w:pageBreakBefore w:val="0"/>
        <w:widowControl w:val="0"/>
        <w:kinsoku/>
        <w:wordWrap/>
        <w:overflowPunct/>
        <w:topLinePunct w:val="0"/>
        <w:autoSpaceDE/>
        <w:autoSpaceDN/>
        <w:bidi w:val="0"/>
        <w:adjustRightInd/>
        <w:snapToGrid/>
        <w:ind w:firstLine="608" w:firstLineChars="200"/>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drawing>
          <wp:anchor distT="0" distB="0" distL="114300" distR="114300" simplePos="0" relativeHeight="251668480" behindDoc="0" locked="0" layoutInCell="1" allowOverlap="1">
            <wp:simplePos x="0" y="0"/>
            <wp:positionH relativeFrom="column">
              <wp:posOffset>272415</wp:posOffset>
            </wp:positionH>
            <wp:positionV relativeFrom="paragraph">
              <wp:posOffset>22860</wp:posOffset>
            </wp:positionV>
            <wp:extent cx="5029200" cy="908050"/>
            <wp:effectExtent l="0" t="0" r="0" b="0"/>
            <wp:wrapTopAndBottom/>
            <wp:docPr id="2" name="图片 2" descr="图片3-6月12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3-6月12日"/>
                    <pic:cNvPicPr>
                      <a:picLocks noChangeAspect="1"/>
                    </pic:cNvPicPr>
                  </pic:nvPicPr>
                  <pic:blipFill>
                    <a:blip r:embed="rId15"/>
                    <a:stretch>
                      <a:fillRect/>
                    </a:stretch>
                  </pic:blipFill>
                  <pic:spPr>
                    <a:xfrm>
                      <a:off x="0" y="0"/>
                      <a:ext cx="5029200" cy="908050"/>
                    </a:xfrm>
                    <a:prstGeom prst="rect">
                      <a:avLst/>
                    </a:prstGeom>
                  </pic:spPr>
                </pic:pic>
              </a:graphicData>
            </a:graphic>
          </wp:anchor>
        </w:drawing>
      </w:r>
      <w:r>
        <w:rPr>
          <w:rFonts w:hint="eastAsia" w:asciiTheme="minorEastAsia" w:hAnsiTheme="minorEastAsia" w:eastAsiaTheme="minorEastAsia" w:cstheme="minorEastAsia"/>
          <w:sz w:val="32"/>
          <w:szCs w:val="32"/>
          <w:lang w:val="en-US" w:eastAsia="zh-CN"/>
        </w:rPr>
        <w:t>尤其难得的是，英国的制造业也处于扩张状态，明显好于欧盟其他主要经济体——欧元区5月制造业PMI终值为47.3，德国、法国和意大利三国分别为45.4、46.4和45.6。</w:t>
      </w:r>
    </w:p>
    <w:p>
      <w:pPr>
        <w:keepNext w:val="0"/>
        <w:keepLines w:val="0"/>
        <w:pageBreakBefore w:val="0"/>
        <w:widowControl w:val="0"/>
        <w:kinsoku/>
        <w:wordWrap/>
        <w:overflowPunct/>
        <w:topLinePunct w:val="0"/>
        <w:autoSpaceDE/>
        <w:autoSpaceDN/>
        <w:bidi w:val="0"/>
        <w:adjustRightInd/>
        <w:snapToGrid/>
        <w:ind w:firstLine="388" w:firstLineChars="200"/>
        <w:jc w:val="both"/>
        <w:textAlignment w:val="auto"/>
        <w:rPr>
          <w:rFonts w:hint="eastAsia" w:asciiTheme="minorEastAsia" w:hAnsiTheme="minorEastAsia" w:eastAsiaTheme="minorEastAsia" w:cstheme="minorEastAsia"/>
          <w:sz w:val="32"/>
          <w:szCs w:val="32"/>
          <w:lang w:val="en-US" w:eastAsia="zh-CN"/>
        </w:rPr>
      </w:pPr>
      <w:r>
        <w:drawing>
          <wp:anchor distT="0" distB="0" distL="114300" distR="114300" simplePos="0" relativeHeight="251669504" behindDoc="0" locked="0" layoutInCell="1" allowOverlap="1">
            <wp:simplePos x="0" y="0"/>
            <wp:positionH relativeFrom="column">
              <wp:posOffset>2349500</wp:posOffset>
            </wp:positionH>
            <wp:positionV relativeFrom="paragraph">
              <wp:posOffset>170815</wp:posOffset>
            </wp:positionV>
            <wp:extent cx="3161030" cy="2206625"/>
            <wp:effectExtent l="0" t="0" r="1270" b="3175"/>
            <wp:wrapSquare wrapText="bothSides"/>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16"/>
                    <a:stretch>
                      <a:fillRect/>
                    </a:stretch>
                  </pic:blipFill>
                  <pic:spPr>
                    <a:xfrm>
                      <a:off x="0" y="0"/>
                      <a:ext cx="3161030" cy="2206625"/>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val="en-US" w:eastAsia="zh-CN"/>
        </w:rPr>
        <w:t>因此，英国的就业指标与经济表现指标出现背离，需要等待更多的数据发布才能进行判断。最近英国物价指数CPI稳中略升，但同比明显下降，即通胀在降温（见图）。</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如果失业率增长，势必会影响消费需求，从而进一步减轻通胀上升的压力。如果通胀率回到英格兰银行（英国央行）设定的2%目标，它将会同欧洲央行一样，开始启动降息。</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4月CPI同比已经降至2.30%，5月就业市场降温，如果5月CPI同比继续下行，将强化央行尽快降息的决心。</w:t>
      </w:r>
    </w:p>
    <w:p>
      <w:pPr>
        <w:rPr>
          <w:rFonts w:hint="eastAsia"/>
          <w:b/>
          <w:bCs/>
          <w:color w:val="0000FF"/>
          <w:highlight w:val="yellow"/>
          <w:lang w:val="en-US" w:eastAsia="zh-CN"/>
        </w:rPr>
      </w:pPr>
    </w:p>
    <w:p>
      <w:pPr>
        <w:rPr>
          <w:rFonts w:hint="eastAsia"/>
          <w:b/>
          <w:bCs/>
          <w:color w:val="0000FF"/>
          <w:highlight w:val="yellow"/>
          <w:lang w:val="en-US" w:eastAsia="zh-CN"/>
        </w:rPr>
      </w:pPr>
    </w:p>
    <w:p>
      <w:pPr>
        <w:rPr>
          <w:rFonts w:hint="eastAsia"/>
          <w:b/>
          <w:bCs/>
          <w:color w:val="0000FF"/>
          <w:highlight w:val="yellow"/>
          <w:lang w:val="en-US" w:eastAsia="zh-CN"/>
        </w:rPr>
      </w:pPr>
    </w:p>
    <w:p>
      <w:pPr>
        <w:rPr>
          <w:rFonts w:hint="eastAsia"/>
          <w:b/>
          <w:bCs/>
          <w:color w:val="0000FF"/>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t>6月13日（周四）</w:t>
      </w:r>
    </w:p>
    <w:p>
      <w:pPr>
        <w:keepNext w:val="0"/>
        <w:keepLines w:val="0"/>
        <w:pageBreakBefore w:val="0"/>
        <w:widowControl w:val="0"/>
        <w:kinsoku/>
        <w:wordWrap/>
        <w:overflowPunct/>
        <w:topLinePunct w:val="0"/>
        <w:autoSpaceDE/>
        <w:autoSpaceDN/>
        <w:bidi w:val="0"/>
        <w:adjustRightInd/>
        <w:snapToGrid/>
        <w:jc w:val="left"/>
        <w:textAlignment w:val="auto"/>
        <w:rPr>
          <w:rFonts w:hint="default" w:eastAsiaTheme="minorEastAsia"/>
          <w:b/>
          <w:bCs/>
          <w:color w:val="0000FF"/>
          <w:highlight w:val="yellow"/>
          <w:lang w:val="en-US" w:eastAsia="zh-CN"/>
        </w:rPr>
      </w:pPr>
      <w:r>
        <w:rPr>
          <w:rFonts w:hint="eastAsia" w:ascii="方正小标宋_GBK" w:hAnsi="方正小标宋_GBK" w:eastAsia="方正小标宋_GBK" w:cs="方正小标宋_GBK"/>
          <w:b/>
          <w:bCs/>
          <w:color w:val="0000FF"/>
          <w:sz w:val="36"/>
          <w:szCs w:val="36"/>
          <w:highlight w:val="yellow"/>
          <w:lang w:val="en-US" w:eastAsia="zh-CN"/>
        </w:rPr>
        <w:t>5月CPI公布，美联储转鹰</w:t>
      </w:r>
    </w:p>
    <w:p>
      <w:pPr>
        <w:keepNext w:val="0"/>
        <w:keepLines w:val="0"/>
        <w:pageBreakBefore w:val="0"/>
        <w:widowControl w:val="0"/>
        <w:kinsoku/>
        <w:wordWrap/>
        <w:overflowPunct/>
        <w:topLinePunct w:val="0"/>
        <w:autoSpaceDE/>
        <w:autoSpaceDN/>
        <w:bidi w:val="0"/>
        <w:adjustRightInd/>
        <w:snapToGrid/>
        <w:ind w:firstLine="528" w:firstLineChars="200"/>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28"/>
          <w:szCs w:val="28"/>
          <w:lang w:val="en-US" w:eastAsia="zh-CN"/>
        </w:rPr>
        <w:drawing>
          <wp:anchor distT="0" distB="0" distL="114300" distR="114300" simplePos="0" relativeHeight="251670528" behindDoc="0" locked="0" layoutInCell="1" allowOverlap="1">
            <wp:simplePos x="0" y="0"/>
            <wp:positionH relativeFrom="column">
              <wp:posOffset>285750</wp:posOffset>
            </wp:positionH>
            <wp:positionV relativeFrom="paragraph">
              <wp:posOffset>813435</wp:posOffset>
            </wp:positionV>
            <wp:extent cx="4737100" cy="1263015"/>
            <wp:effectExtent l="0" t="0" r="0" b="635"/>
            <wp:wrapTopAndBottom/>
            <wp:docPr id="3" name="图片 3" descr="图片4-6月13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4-6月13日"/>
                    <pic:cNvPicPr>
                      <a:picLocks noChangeAspect="1"/>
                    </pic:cNvPicPr>
                  </pic:nvPicPr>
                  <pic:blipFill>
                    <a:blip r:embed="rId17"/>
                    <a:stretch>
                      <a:fillRect/>
                    </a:stretch>
                  </pic:blipFill>
                  <pic:spPr>
                    <a:xfrm>
                      <a:off x="0" y="0"/>
                      <a:ext cx="4737100" cy="1263015"/>
                    </a:xfrm>
                    <a:prstGeom prst="rect">
                      <a:avLst/>
                    </a:prstGeom>
                  </pic:spPr>
                </pic:pic>
              </a:graphicData>
            </a:graphic>
          </wp:anchor>
        </w:drawing>
      </w:r>
      <w:r>
        <w:rPr>
          <w:rFonts w:hint="eastAsia" w:asciiTheme="minorEastAsia" w:hAnsiTheme="minorEastAsia" w:eastAsiaTheme="minorEastAsia" w:cstheme="minorEastAsia"/>
          <w:sz w:val="32"/>
          <w:szCs w:val="32"/>
          <w:lang w:val="en-US" w:eastAsia="zh-CN"/>
        </w:rPr>
        <w:t>6月12日（周三）上午，美国劳工统计局公布5月CPI数据（见表格）。</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textAlignment w:val="auto"/>
        <w:rPr>
          <w:rFonts w:hint="eastAsia" w:ascii="方正楷体_GBK" w:hAnsi="方正楷体_GBK" w:eastAsia="方正楷体_GBK" w:cs="方正楷体_GBK"/>
          <w:sz w:val="28"/>
          <w:szCs w:val="28"/>
          <w:lang w:val="en-US" w:eastAsia="zh-CN"/>
        </w:rPr>
      </w:pPr>
      <w:r>
        <w:rPr>
          <w:rFonts w:hint="eastAsia" w:ascii="Calibri" w:hAnsi="Calibri" w:eastAsia="仿宋_GB2312" w:cs="Calibri"/>
          <w:sz w:val="28"/>
          <w:szCs w:val="28"/>
          <w:lang w:val="en-US" w:eastAsia="zh-CN"/>
        </w:rPr>
        <w:t>（</w:t>
      </w:r>
      <w:r>
        <w:rPr>
          <w:rFonts w:hint="eastAsia" w:ascii="方正黑体_GBK" w:hAnsi="方正黑体_GBK" w:eastAsia="方正黑体_GBK" w:cs="方正黑体_GBK"/>
          <w:b/>
          <w:bCs/>
          <w:sz w:val="28"/>
          <w:szCs w:val="28"/>
          <w:highlight w:val="none"/>
          <w:lang w:val="en-US" w:eastAsia="zh-CN"/>
        </w:rPr>
        <w:t>注：</w:t>
      </w:r>
      <w:r>
        <w:rPr>
          <w:rFonts w:hint="eastAsia" w:ascii="方正楷体_GBK" w:hAnsi="方正楷体_GBK" w:eastAsia="方正楷体_GBK" w:cs="方正楷体_GBK"/>
          <w:sz w:val="28"/>
          <w:szCs w:val="28"/>
          <w:lang w:val="en-US" w:eastAsia="zh-CN"/>
        </w:rPr>
        <w:t>在消费品中，食品和能源的价格通常波动比较大，为了更好地体现通胀趋势，将食品和能源从CPI中排除，就得到了“</w:t>
      </w:r>
      <w:r>
        <w:rPr>
          <w:rFonts w:hint="eastAsia" w:ascii="方正楷体_GBK" w:hAnsi="方正楷体_GBK" w:eastAsia="方正楷体_GBK" w:cs="方正楷体_GBK"/>
          <w:b/>
          <w:bCs/>
          <w:sz w:val="28"/>
          <w:szCs w:val="28"/>
          <w:lang w:val="en-US" w:eastAsia="zh-CN"/>
        </w:rPr>
        <w:t>核心CPI，Core CPI”</w:t>
      </w:r>
      <w:r>
        <w:rPr>
          <w:rFonts w:hint="eastAsia" w:ascii="方正楷体_GBK" w:hAnsi="方正楷体_GBK" w:eastAsia="方正楷体_GBK" w:cs="方正楷体_GBK"/>
          <w:sz w:val="28"/>
          <w:szCs w:val="28"/>
          <w:lang w:val="en-US" w:eastAsia="zh-CN"/>
        </w:rPr>
        <w:t>，即剔除了食品和能源价格的CPI。）</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同日，美联储议息会议结束，宣布利率决议并发布声明。FOMC维持基准利率不变，即自去年7月以来，一直将利率区间维持在5.25%-5.50%不变。</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本次声明有两大变化：第一，在</w:t>
      </w:r>
      <w:r>
        <w:rPr>
          <w:rFonts w:hint="eastAsia" w:asciiTheme="minorEastAsia" w:hAnsiTheme="minorEastAsia" w:eastAsiaTheme="minorEastAsia" w:cstheme="minorEastAsia"/>
          <w:sz w:val="32"/>
          <w:szCs w:val="32"/>
        </w:rPr>
        <w:t>通胀进展的措辞上</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将“缺乏</w:t>
      </w:r>
      <w:r>
        <w:rPr>
          <w:rFonts w:hint="eastAsia" w:asciiTheme="minorEastAsia" w:hAnsiTheme="minorEastAsia" w:eastAsiaTheme="minorEastAsia" w:cstheme="minorEastAsia"/>
          <w:sz w:val="32"/>
          <w:szCs w:val="32"/>
          <w:lang w:val="en-US" w:eastAsia="zh-CN"/>
        </w:rPr>
        <w:t>更</w:t>
      </w:r>
      <w:r>
        <w:rPr>
          <w:rFonts w:hint="eastAsia" w:asciiTheme="minorEastAsia" w:hAnsiTheme="minorEastAsia" w:eastAsiaTheme="minorEastAsia" w:cstheme="minorEastAsia"/>
          <w:sz w:val="32"/>
          <w:szCs w:val="32"/>
          <w:lang w:eastAsia="zh-CN"/>
        </w:rPr>
        <w:t>多</w:t>
      </w:r>
      <w:r>
        <w:rPr>
          <w:rFonts w:hint="eastAsia" w:asciiTheme="minorEastAsia" w:hAnsiTheme="minorEastAsia" w:eastAsiaTheme="minorEastAsia" w:cstheme="minorEastAsia"/>
          <w:sz w:val="32"/>
          <w:szCs w:val="32"/>
          <w:lang w:val="en-US" w:eastAsia="zh-CN"/>
        </w:rPr>
        <w:t>的</w:t>
      </w:r>
      <w:r>
        <w:rPr>
          <w:rFonts w:hint="eastAsia" w:asciiTheme="minorEastAsia" w:hAnsiTheme="minorEastAsia" w:eastAsiaTheme="minorEastAsia" w:cstheme="minorEastAsia"/>
          <w:sz w:val="32"/>
          <w:szCs w:val="32"/>
        </w:rPr>
        <w:t>进展”改为“取得了温和的进展</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；第二，删除了上次声明中有关“放缓缩表计划”的表述。</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lang w:val="en-US" w:eastAsia="zh-CN"/>
        </w:rPr>
      </w:pPr>
      <w:r>
        <w:rPr>
          <w:rFonts w:hint="eastAsia" w:asciiTheme="minorEastAsia" w:hAnsiTheme="minorEastAsia" w:eastAsiaTheme="minorEastAsia" w:cstheme="minorEastAsia"/>
          <w:sz w:val="32"/>
          <w:szCs w:val="32"/>
          <w:lang w:val="en-US" w:eastAsia="zh-CN"/>
        </w:rPr>
        <w:t>FOMC曾在4月会议的声明中表示：“从6月开始，每月对美国国债缩表的上限从600亿美元降至250亿美元，对MBS缩表的上限则维持350亿美元不变。”此次议息会议后的声明，对此却完全没有谈及。市场猜测，可能美联储取消了放缓缩表的计划，仍继续按每月950亿美元的速度进行减持（缩表）。</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left"/>
        <w:textAlignment w:val="auto"/>
        <w:rPr>
          <w:rFonts w:hint="eastAsia" w:ascii="方正楷体_GBK" w:hAnsi="方正楷体_GBK" w:eastAsia="方正楷体_GBK" w:cs="方正楷体_GBK"/>
          <w:sz w:val="28"/>
          <w:szCs w:val="28"/>
          <w:lang w:val="en-US" w:eastAsia="zh-CN"/>
        </w:rPr>
      </w:pPr>
      <w:r>
        <w:rPr>
          <w:rFonts w:hint="eastAsia" w:ascii="方正楷体_GBK" w:hAnsi="方正楷体_GBK" w:eastAsia="方正楷体_GBK" w:cs="方正楷体_GBK"/>
          <w:sz w:val="28"/>
          <w:szCs w:val="28"/>
          <w:lang w:val="en-US" w:eastAsia="zh-CN"/>
        </w:rPr>
        <w:t>（</w:t>
      </w:r>
      <w:r>
        <w:rPr>
          <w:rFonts w:hint="eastAsia" w:ascii="方正黑体_GBK" w:hAnsi="方正黑体_GBK" w:eastAsia="方正黑体_GBK" w:cs="方正黑体_GBK"/>
          <w:b/>
          <w:bCs/>
          <w:sz w:val="28"/>
          <w:szCs w:val="28"/>
          <w:highlight w:val="none"/>
          <w:lang w:val="en-US" w:eastAsia="zh-CN"/>
        </w:rPr>
        <w:t>注</w:t>
      </w:r>
      <w:r>
        <w:rPr>
          <w:rFonts w:hint="eastAsia" w:ascii="方正黑体_GBK" w:hAnsi="方正黑体_GBK" w:eastAsia="方正黑体_GBK" w:cs="方正黑体_GBK"/>
          <w:sz w:val="28"/>
          <w:szCs w:val="28"/>
          <w:lang w:val="en-US" w:eastAsia="zh-CN"/>
        </w:rPr>
        <w:t>：</w:t>
      </w:r>
      <w:r>
        <w:rPr>
          <w:rFonts w:hint="eastAsia" w:ascii="方正楷体_GBK" w:hAnsi="方正楷体_GBK" w:eastAsia="方正楷体_GBK" w:cs="方正楷体_GBK"/>
          <w:sz w:val="28"/>
          <w:szCs w:val="28"/>
          <w:lang w:val="en-US" w:eastAsia="zh-CN"/>
        </w:rPr>
        <w:t>美联储每年一般召开8次“</w:t>
      </w:r>
      <w:r>
        <w:rPr>
          <w:rFonts w:hint="eastAsia" w:ascii="方正楷体_GBK" w:hAnsi="方正楷体_GBK" w:eastAsia="方正楷体_GBK" w:cs="方正楷体_GBK"/>
          <w:b/>
          <w:bCs/>
          <w:sz w:val="28"/>
          <w:szCs w:val="28"/>
          <w:lang w:val="en-US" w:eastAsia="zh-CN"/>
        </w:rPr>
        <w:t>联邦公开市场委员会</w:t>
      </w:r>
      <w:r>
        <w:rPr>
          <w:rFonts w:hint="eastAsia" w:ascii="方正楷体_GBK" w:hAnsi="方正楷体_GBK" w:eastAsia="方正楷体_GBK" w:cs="方正楷体_GBK"/>
          <w:sz w:val="28"/>
          <w:szCs w:val="28"/>
          <w:lang w:val="en-US" w:eastAsia="zh-CN"/>
        </w:rPr>
        <w:t>”（Federal Open Market Committee，简称</w:t>
      </w:r>
      <w:r>
        <w:rPr>
          <w:rFonts w:hint="eastAsia" w:ascii="方正楷体_GBK" w:hAnsi="方正楷体_GBK" w:eastAsia="方正楷体_GBK" w:cs="方正楷体_GBK"/>
          <w:b/>
          <w:bCs/>
          <w:sz w:val="28"/>
          <w:szCs w:val="28"/>
          <w:lang w:val="en-US" w:eastAsia="zh-CN"/>
        </w:rPr>
        <w:t>FOMC</w:t>
      </w:r>
      <w:r>
        <w:rPr>
          <w:rFonts w:hint="eastAsia" w:ascii="方正楷体_GBK" w:hAnsi="方正楷体_GBK" w:eastAsia="方正楷体_GBK" w:cs="方正楷体_GBK"/>
          <w:sz w:val="28"/>
          <w:szCs w:val="28"/>
          <w:lang w:val="en-US" w:eastAsia="zh-CN"/>
        </w:rPr>
        <w:t>）会议，审议当前的经济状况、通胀水平、就业数据和其他相关指标，以及全球经济环境等因素。就是否需要调整利率水平、采取其他货币政策工具等问题进行讨论和决策，因此也被称为“</w:t>
      </w:r>
      <w:r>
        <w:rPr>
          <w:rFonts w:hint="eastAsia" w:ascii="方正楷体_GBK" w:hAnsi="方正楷体_GBK" w:eastAsia="方正楷体_GBK" w:cs="方正楷体_GBK"/>
          <w:b/>
          <w:bCs/>
          <w:sz w:val="28"/>
          <w:szCs w:val="28"/>
          <w:lang w:val="en-US" w:eastAsia="zh-CN"/>
        </w:rPr>
        <w:t>议息会议</w:t>
      </w:r>
      <w:r>
        <w:rPr>
          <w:rFonts w:hint="eastAsia" w:ascii="方正楷体_GBK" w:hAnsi="方正楷体_GBK" w:eastAsia="方正楷体_GBK" w:cs="方正楷体_GBK"/>
          <w:sz w:val="28"/>
          <w:szCs w:val="28"/>
          <w:lang w:val="en-US" w:eastAsia="zh-CN"/>
        </w:rPr>
        <w:t>”或“</w:t>
      </w:r>
      <w:r>
        <w:rPr>
          <w:rFonts w:hint="eastAsia" w:ascii="方正楷体_GBK" w:hAnsi="方正楷体_GBK" w:eastAsia="方正楷体_GBK" w:cs="方正楷体_GBK"/>
          <w:b/>
          <w:bCs/>
          <w:sz w:val="28"/>
          <w:szCs w:val="28"/>
          <w:lang w:val="en-US" w:eastAsia="zh-CN"/>
        </w:rPr>
        <w:t>利率会议</w:t>
      </w:r>
      <w:r>
        <w:rPr>
          <w:rFonts w:hint="eastAsia" w:ascii="方正楷体_GBK" w:hAnsi="方正楷体_GBK" w:eastAsia="方正楷体_GBK" w:cs="方正楷体_GBK"/>
          <w:sz w:val="28"/>
          <w:szCs w:val="28"/>
          <w:lang w:val="en-US" w:eastAsia="zh-CN"/>
        </w:rPr>
        <w:t>”。会议召开的日期根据经济和货币政策调整的需要来决定，并不固定，通常于1、3、4、6、7、9、11和12月进行。）</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left"/>
        <w:textAlignment w:val="auto"/>
        <w:rPr>
          <w:rFonts w:hint="default" w:ascii="Calibri" w:hAnsi="Calibri" w:eastAsia="仿宋_GB2312" w:cs="Calibri"/>
          <w:lang w:eastAsia="zh-CN"/>
        </w:rPr>
      </w:pPr>
      <w:r>
        <w:rPr>
          <w:rFonts w:hint="eastAsia" w:ascii="方正楷体_GBK" w:hAnsi="方正楷体_GBK" w:eastAsia="方正楷体_GBK" w:cs="方正楷体_GBK"/>
          <w:sz w:val="28"/>
          <w:szCs w:val="28"/>
          <w:lang w:eastAsia="zh-CN"/>
        </w:rPr>
        <w:t>（</w:t>
      </w:r>
      <w:r>
        <w:rPr>
          <w:rFonts w:hint="eastAsia" w:ascii="方正黑体_GBK" w:hAnsi="方正黑体_GBK" w:eastAsia="方正黑体_GBK" w:cs="方正黑体_GBK"/>
          <w:b/>
          <w:bCs/>
          <w:color w:val="auto"/>
          <w:sz w:val="28"/>
          <w:szCs w:val="28"/>
          <w:highlight w:val="none"/>
          <w:lang w:eastAsia="zh-CN"/>
        </w:rPr>
        <w:t>注：</w:t>
      </w:r>
      <w:r>
        <w:rPr>
          <w:rFonts w:hint="eastAsia" w:ascii="方正楷体_GBK" w:hAnsi="方正楷体_GBK" w:eastAsia="方正楷体_GBK" w:cs="方正楷体_GBK"/>
          <w:sz w:val="28"/>
          <w:szCs w:val="28"/>
          <w:lang w:eastAsia="zh-CN"/>
        </w:rPr>
        <w:t>“</w:t>
      </w:r>
      <w:r>
        <w:rPr>
          <w:rFonts w:hint="eastAsia" w:ascii="方正楷体_GBK" w:hAnsi="方正楷体_GBK" w:eastAsia="方正楷体_GBK" w:cs="方正楷体_GBK"/>
          <w:b/>
          <w:bCs/>
          <w:sz w:val="28"/>
          <w:szCs w:val="28"/>
          <w:lang w:eastAsia="zh-CN"/>
        </w:rPr>
        <w:t>票委</w:t>
      </w:r>
      <w:r>
        <w:rPr>
          <w:rFonts w:hint="eastAsia" w:ascii="方正楷体_GBK" w:hAnsi="方正楷体_GBK" w:eastAsia="方正楷体_GBK" w:cs="方正楷体_GBK"/>
          <w:sz w:val="28"/>
          <w:szCs w:val="28"/>
          <w:lang w:eastAsia="zh-CN"/>
        </w:rPr>
        <w:t>”：FOMC由12位成员组成，其中7位是美联储的理事（含正副主席），5位是12个地区联邦储备银行行长。这12人参加FOMC会议，并拥有对会议决策的投票权，所以被称为</w:t>
      </w:r>
      <w:r>
        <w:rPr>
          <w:rFonts w:hint="eastAsia" w:ascii="方正楷体_GBK" w:hAnsi="方正楷体_GBK" w:eastAsia="方正楷体_GBK" w:cs="方正楷体_GBK"/>
          <w:b w:val="0"/>
          <w:bCs w:val="0"/>
          <w:sz w:val="28"/>
          <w:szCs w:val="28"/>
          <w:lang w:eastAsia="zh-CN"/>
        </w:rPr>
        <w:t>“票委”</w:t>
      </w:r>
      <w:r>
        <w:rPr>
          <w:rFonts w:hint="eastAsia" w:ascii="方正楷体_GBK" w:hAnsi="方正楷体_GBK" w:eastAsia="方正楷体_GBK" w:cs="方正楷体_GBK"/>
          <w:sz w:val="28"/>
          <w:szCs w:val="28"/>
          <w:lang w:eastAsia="zh-CN"/>
        </w:rPr>
        <w:t>。在12位地区联储银行的行长中，纽约储备银行行长与美联储理事一样，是FOMC的固定成员，其他4席则按照轮值制度轮流担当。）</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388" w:firstLineChars="200"/>
        <w:jc w:val="both"/>
        <w:textAlignment w:val="auto"/>
        <w:rPr>
          <w:rFonts w:hint="eastAsia" w:asciiTheme="minorEastAsia" w:hAnsiTheme="minorEastAsia" w:eastAsiaTheme="minorEastAsia" w:cstheme="minorEastAsia"/>
          <w:sz w:val="32"/>
          <w:szCs w:val="32"/>
          <w:lang w:val="en-US" w:eastAsia="zh-CN"/>
        </w:rPr>
      </w:pPr>
      <w:r>
        <w:drawing>
          <wp:anchor distT="0" distB="0" distL="114300" distR="114300" simplePos="0" relativeHeight="251671552" behindDoc="0" locked="0" layoutInCell="1" allowOverlap="1">
            <wp:simplePos x="0" y="0"/>
            <wp:positionH relativeFrom="column">
              <wp:posOffset>2863215</wp:posOffset>
            </wp:positionH>
            <wp:positionV relativeFrom="paragraph">
              <wp:posOffset>269240</wp:posOffset>
            </wp:positionV>
            <wp:extent cx="2574290" cy="2393950"/>
            <wp:effectExtent l="0" t="0" r="3810" b="0"/>
            <wp:wrapSquare wrapText="bothSides"/>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18"/>
                    <a:stretch>
                      <a:fillRect/>
                    </a:stretch>
                  </pic:blipFill>
                  <pic:spPr>
                    <a:xfrm>
                      <a:off x="0" y="0"/>
                      <a:ext cx="2574290" cy="2393950"/>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val="en-US" w:eastAsia="zh-CN"/>
        </w:rPr>
        <w:t>本次议息会议的点阵图显示，在FOMC的19位官员中，有4位官员认为今年不应该降息，7位官员认为将降息一次，8位认为应该降息两次，没有任何一位官员认为今年将降息3次或更多，而在3月份的议息会议中，有10位认为今年将降息3次以上。</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因此，相较上次（3月份）的点阵图，6月点阵图的降息预期显著下降，预计年内降息1次以下（包括1次）的占大多数，FOMC官员们的立场出现了明显鹰派倾向（见点阵图）。噤声期过去了，美联储高官们将纷纷开启“鹰派”发言。</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both"/>
        <w:textAlignment w:val="auto"/>
        <w:rPr>
          <w:rFonts w:hint="eastAsia" w:ascii="方正楷体_GBK" w:hAnsi="方正楷体_GBK" w:eastAsia="方正楷体_GBK" w:cs="方正楷体_GBK"/>
          <w:sz w:val="28"/>
          <w:szCs w:val="28"/>
          <w:lang w:eastAsia="zh-CN"/>
        </w:rPr>
      </w:pPr>
      <w:r>
        <w:rPr>
          <w:rFonts w:hint="eastAsia" w:ascii="方正楷体_GBK" w:hAnsi="方正楷体_GBK" w:eastAsia="方正楷体_GBK" w:cs="方正楷体_GBK"/>
          <w:b/>
          <w:bCs/>
          <w:sz w:val="28"/>
          <w:szCs w:val="28"/>
          <w:lang w:eastAsia="zh-CN"/>
        </w:rPr>
        <w:t>（</w:t>
      </w:r>
      <w:r>
        <w:rPr>
          <w:rFonts w:hint="eastAsia" w:ascii="方正黑体_GBK" w:hAnsi="方正黑体_GBK" w:eastAsia="方正黑体_GBK" w:cs="方正黑体_GBK"/>
          <w:b/>
          <w:bCs/>
          <w:sz w:val="28"/>
          <w:szCs w:val="28"/>
          <w:highlight w:val="none"/>
          <w:lang w:eastAsia="zh-CN"/>
        </w:rPr>
        <w:t>注：</w:t>
      </w:r>
      <w:r>
        <w:rPr>
          <w:rFonts w:hint="eastAsia" w:ascii="方正楷体_GBK" w:hAnsi="方正楷体_GBK" w:eastAsia="方正楷体_GBK" w:cs="方正楷体_GBK"/>
          <w:b/>
          <w:bCs/>
          <w:sz w:val="28"/>
          <w:szCs w:val="28"/>
          <w:lang w:eastAsia="zh-CN"/>
        </w:rPr>
        <w:t>“点阵图”</w:t>
      </w:r>
      <w:r>
        <w:rPr>
          <w:rFonts w:hint="eastAsia" w:ascii="方正楷体_GBK" w:hAnsi="方正楷体_GBK" w:eastAsia="方正楷体_GBK" w:cs="方正楷体_GBK"/>
          <w:sz w:val="28"/>
          <w:szCs w:val="28"/>
          <w:lang w:eastAsia="zh-CN"/>
        </w:rPr>
        <w:t>（Dot Plot），在3月、6月、9月和12月的FOMC会议上，与会者对未来不同时间点的利率进行预测，预测结果以点阵图形式记录并呈现出来。</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both"/>
        <w:textAlignment w:val="auto"/>
        <w:rPr>
          <w:rFonts w:hint="eastAsia" w:ascii="方正楷体_GBK" w:hAnsi="方正楷体_GBK" w:eastAsia="方正楷体_GBK" w:cs="方正楷体_GBK"/>
          <w:sz w:val="28"/>
          <w:szCs w:val="28"/>
          <w:lang w:eastAsia="zh-CN"/>
        </w:rPr>
      </w:pPr>
      <w:r>
        <w:rPr>
          <w:rFonts w:hint="eastAsia" w:ascii="方正楷体_GBK" w:hAnsi="方正楷体_GBK" w:eastAsia="方正楷体_GBK" w:cs="方正楷体_GBK"/>
          <w:sz w:val="28"/>
          <w:szCs w:val="28"/>
          <w:lang w:eastAsia="zh-CN"/>
        </w:rPr>
        <w:t>除了“票委”外，FOMC会议还邀请其他联邦储备银行行长参加，虽然他们没有对会议决策的投票权，但他们可以在会议上发表意见并参与讨论。这些“非票委”可以对点阵图投票，表达其对未来经济走势和利率政策的预期。</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both"/>
        <w:textAlignment w:val="auto"/>
        <w:rPr>
          <w:rFonts w:hint="eastAsia" w:ascii="方正楷体_GBK" w:hAnsi="方正楷体_GBK" w:eastAsia="方正楷体_GBK" w:cs="方正楷体_GBK"/>
          <w:sz w:val="28"/>
          <w:szCs w:val="28"/>
          <w:lang w:eastAsia="zh-CN"/>
        </w:rPr>
      </w:pPr>
      <w:r>
        <w:rPr>
          <w:rFonts w:hint="eastAsia" w:ascii="方正楷体_GBK" w:hAnsi="方正楷体_GBK" w:eastAsia="方正楷体_GBK" w:cs="方正楷体_GBK"/>
          <w:sz w:val="28"/>
          <w:szCs w:val="28"/>
          <w:lang w:eastAsia="zh-CN"/>
        </w:rPr>
        <w:t>因此，FOMC点阵图上共有</w:t>
      </w:r>
      <w:r>
        <w:rPr>
          <w:rFonts w:hint="eastAsia" w:ascii="方正楷体_GBK" w:hAnsi="方正楷体_GBK" w:eastAsia="方正楷体_GBK" w:cs="方正楷体_GBK"/>
          <w:sz w:val="28"/>
          <w:szCs w:val="28"/>
          <w:lang w:val="en-US" w:eastAsia="zh-CN"/>
        </w:rPr>
        <w:t>19个预测点，</w:t>
      </w:r>
      <w:r>
        <w:rPr>
          <w:rFonts w:hint="eastAsia" w:ascii="方正楷体_GBK" w:hAnsi="方正楷体_GBK" w:eastAsia="方正楷体_GBK" w:cs="方正楷体_GBK"/>
          <w:sz w:val="28"/>
          <w:szCs w:val="28"/>
          <w:lang w:eastAsia="zh-CN"/>
        </w:rPr>
        <w:t>显示出所有票委和非票委的观点，提供了更全面的视角，反映了更广泛的意见和预期。）</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both"/>
        <w:textAlignment w:val="auto"/>
        <w:rPr>
          <w:rFonts w:hint="eastAsia" w:ascii="方正楷体_GBK" w:hAnsi="方正楷体_GBK" w:eastAsia="方正楷体_GBK" w:cs="方正楷体_GBK"/>
          <w:sz w:val="28"/>
          <w:szCs w:val="28"/>
          <w:lang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both"/>
        <w:textAlignment w:val="auto"/>
        <w:rPr>
          <w:rFonts w:hint="eastAsia" w:ascii="方正楷体_GBK" w:hAnsi="方正楷体_GBK" w:eastAsia="方正楷体_GBK" w:cs="方正楷体_GBK"/>
          <w:sz w:val="28"/>
          <w:szCs w:val="28"/>
          <w:lang w:eastAsia="zh-CN"/>
        </w:rPr>
      </w:pPr>
    </w:p>
    <w:p>
      <w:pPr>
        <w:rPr>
          <w:rFonts w:hint="eastAsia"/>
          <w:b/>
          <w:bCs/>
          <w:color w:val="0000FF"/>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t>6月14日（周五）</w:t>
      </w:r>
    </w:p>
    <w:p>
      <w:pPr>
        <w:keepNext w:val="0"/>
        <w:keepLines w:val="0"/>
        <w:pageBreakBefore w:val="0"/>
        <w:widowControl w:val="0"/>
        <w:kinsoku/>
        <w:wordWrap/>
        <w:overflowPunct/>
        <w:topLinePunct w:val="0"/>
        <w:autoSpaceDE/>
        <w:autoSpaceDN/>
        <w:bidi w:val="0"/>
        <w:adjustRightInd/>
        <w:snapToGrid/>
        <w:jc w:val="left"/>
        <w:textAlignment w:val="auto"/>
        <w:rPr>
          <w:rFonts w:hint="default" w:eastAsiaTheme="minorEastAsia"/>
          <w:b/>
          <w:bCs/>
          <w:color w:val="0000FF"/>
          <w:highlight w:val="yellow"/>
          <w:lang w:val="en-US" w:eastAsia="zh-CN"/>
        </w:rPr>
      </w:pPr>
      <w:r>
        <w:rPr>
          <w:rFonts w:hint="eastAsia" w:ascii="方正小标宋_GBK" w:hAnsi="方正小标宋_GBK" w:eastAsia="方正小标宋_GBK" w:cs="方正小标宋_GBK"/>
          <w:b/>
          <w:bCs/>
          <w:color w:val="0000FF"/>
          <w:sz w:val="36"/>
          <w:szCs w:val="36"/>
          <w:highlight w:val="yellow"/>
          <w:lang w:val="en-US" w:eastAsia="zh-CN"/>
        </w:rPr>
        <w:t>美国5月PPI走缓，6月初就业市场降温</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default"/>
          <w:lang w:val="en-US" w:eastAsia="zh-CN"/>
        </w:rPr>
      </w:pPr>
      <w:r>
        <w:rPr>
          <w:rFonts w:hint="eastAsia" w:asciiTheme="minorEastAsia" w:hAnsiTheme="minorEastAsia" w:eastAsiaTheme="minorEastAsia" w:cstheme="minorEastAsia"/>
          <w:sz w:val="32"/>
          <w:szCs w:val="32"/>
          <w:lang w:val="en-US" w:eastAsia="zh-CN"/>
        </w:rPr>
        <w:t>6月13日（周四），继CPI数据之后，美国劳工统计局发布了5月PPI数据（见表格一）。</w:t>
      </w:r>
    </w:p>
    <w:p>
      <w:pPr>
        <w:keepNext w:val="0"/>
        <w:keepLines w:val="0"/>
        <w:pageBreakBefore w:val="0"/>
        <w:widowControl w:val="0"/>
        <w:kinsoku/>
        <w:wordWrap/>
        <w:overflowPunct/>
        <w:topLinePunct w:val="0"/>
        <w:autoSpaceDE/>
        <w:autoSpaceDN/>
        <w:bidi w:val="0"/>
        <w:adjustRightInd/>
        <w:snapToGrid/>
        <w:ind w:firstLine="608" w:firstLineChars="200"/>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drawing>
          <wp:anchor distT="0" distB="0" distL="114300" distR="114300" simplePos="0" relativeHeight="251672576" behindDoc="0" locked="0" layoutInCell="1" allowOverlap="1">
            <wp:simplePos x="0" y="0"/>
            <wp:positionH relativeFrom="column">
              <wp:posOffset>371475</wp:posOffset>
            </wp:positionH>
            <wp:positionV relativeFrom="paragraph">
              <wp:posOffset>38735</wp:posOffset>
            </wp:positionV>
            <wp:extent cx="4693285" cy="1105535"/>
            <wp:effectExtent l="0" t="0" r="5715" b="5715"/>
            <wp:wrapTopAndBottom/>
            <wp:docPr id="4" name="图片 4" descr="图片5-6月14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5-6月14日"/>
                    <pic:cNvPicPr>
                      <a:picLocks noChangeAspect="1"/>
                    </pic:cNvPicPr>
                  </pic:nvPicPr>
                  <pic:blipFill>
                    <a:blip r:embed="rId19"/>
                    <a:stretch>
                      <a:fillRect/>
                    </a:stretch>
                  </pic:blipFill>
                  <pic:spPr>
                    <a:xfrm>
                      <a:off x="0" y="0"/>
                      <a:ext cx="4693285" cy="1105535"/>
                    </a:xfrm>
                    <a:prstGeom prst="rect">
                      <a:avLst/>
                    </a:prstGeom>
                  </pic:spPr>
                </pic:pic>
              </a:graphicData>
            </a:graphic>
          </wp:anchor>
        </w:drawing>
      </w:r>
      <w:r>
        <w:rPr>
          <w:rFonts w:hint="eastAsia" w:asciiTheme="minorEastAsia" w:hAnsiTheme="minorEastAsia" w:eastAsiaTheme="minorEastAsia" w:cstheme="minorEastAsia"/>
          <w:sz w:val="32"/>
          <w:szCs w:val="32"/>
          <w:lang w:val="en-US" w:eastAsia="zh-CN"/>
        </w:rPr>
        <w:t>其中，5月PPI的环比降幅为7个月来最大，进一步证明了美国的通胀压力正在放缓，促使市场加大了对今年多于一次降息的期望。</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lang w:val="en-US" w:eastAsia="zh-CN"/>
        </w:rPr>
      </w:pPr>
      <w:r>
        <w:rPr>
          <w:rFonts w:hint="eastAsia" w:asciiTheme="minorEastAsia" w:hAnsiTheme="minorEastAsia" w:eastAsiaTheme="minorEastAsia" w:cstheme="minorEastAsia"/>
          <w:sz w:val="32"/>
          <w:szCs w:val="32"/>
          <w:lang w:val="en-US" w:eastAsia="zh-CN"/>
        </w:rPr>
        <w:t>同日，美国劳工部还发布了申请失业金的相关数据（见表格二）。</w:t>
      </w:r>
    </w:p>
    <w:p>
      <w:pPr>
        <w:keepNext w:val="0"/>
        <w:keepLines w:val="0"/>
        <w:pageBreakBefore w:val="0"/>
        <w:widowControl w:val="0"/>
        <w:kinsoku/>
        <w:wordWrap/>
        <w:overflowPunct/>
        <w:topLinePunct w:val="0"/>
        <w:autoSpaceDE/>
        <w:autoSpaceDN/>
        <w:bidi w:val="0"/>
        <w:adjustRightInd/>
        <w:snapToGrid/>
        <w:ind w:firstLine="608" w:firstLineChars="200"/>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drawing>
          <wp:anchor distT="0" distB="0" distL="114300" distR="114300" simplePos="0" relativeHeight="251673600" behindDoc="0" locked="0" layoutInCell="1" allowOverlap="1">
            <wp:simplePos x="0" y="0"/>
            <wp:positionH relativeFrom="column">
              <wp:posOffset>250190</wp:posOffset>
            </wp:positionH>
            <wp:positionV relativeFrom="paragraph">
              <wp:posOffset>39370</wp:posOffset>
            </wp:positionV>
            <wp:extent cx="4982210" cy="692150"/>
            <wp:effectExtent l="0" t="0" r="2540" b="0"/>
            <wp:wrapTopAndBottom/>
            <wp:docPr id="5" name="图片 5" descr="图片6-6月14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6-6月14日"/>
                    <pic:cNvPicPr>
                      <a:picLocks noChangeAspect="1"/>
                    </pic:cNvPicPr>
                  </pic:nvPicPr>
                  <pic:blipFill>
                    <a:blip r:embed="rId20"/>
                    <a:stretch>
                      <a:fillRect/>
                    </a:stretch>
                  </pic:blipFill>
                  <pic:spPr>
                    <a:xfrm>
                      <a:off x="0" y="0"/>
                      <a:ext cx="4982210" cy="692150"/>
                    </a:xfrm>
                    <a:prstGeom prst="rect">
                      <a:avLst/>
                    </a:prstGeom>
                  </pic:spPr>
                </pic:pic>
              </a:graphicData>
            </a:graphic>
          </wp:anchor>
        </w:drawing>
      </w:r>
      <w:r>
        <w:rPr>
          <w:rFonts w:hint="eastAsia" w:asciiTheme="minorEastAsia" w:hAnsiTheme="minorEastAsia" w:eastAsiaTheme="minorEastAsia" w:cstheme="minorEastAsia"/>
          <w:sz w:val="32"/>
          <w:szCs w:val="32"/>
          <w:lang w:val="en-US" w:eastAsia="zh-CN"/>
        </w:rPr>
        <w:t>该数据显示出就业市场降温的信号，同样利好市场的降息预期。</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default"/>
          <w:lang w:val="en-US" w:eastAsia="zh-CN"/>
        </w:rPr>
      </w:pPr>
      <w:r>
        <w:rPr>
          <w:rFonts w:hint="eastAsia" w:asciiTheme="minorEastAsia" w:hAnsiTheme="minorEastAsia" w:eastAsiaTheme="minorEastAsia" w:cstheme="minorEastAsia"/>
          <w:sz w:val="32"/>
          <w:szCs w:val="32"/>
          <w:lang w:val="en-US" w:eastAsia="zh-CN"/>
        </w:rPr>
        <w:t>但从前一日公布的利率点阵图可以看出，FOMC的态度目前整体偏鹰。今年是美国大选年，随着选举日期（11月5日）的临近，调整利率的可能性越来越小。因为无论是调升还是调降政策利率，都会对选举结果产生相当大的影响。所以，有机构认为，从现在起至11月大选结束，美联储大概率会将利率一直保持不变。</w:t>
      </w:r>
    </w:p>
    <w:p>
      <w:pPr>
        <w:rPr>
          <w:rFonts w:hint="eastAsia"/>
          <w:b/>
          <w:bCs/>
          <w:color w:val="0000FF"/>
          <w:highlight w:val="yellow"/>
          <w:lang w:val="en-US" w:eastAsia="zh-CN"/>
        </w:rPr>
      </w:pPr>
    </w:p>
    <w:p>
      <w:pPr>
        <w:rPr>
          <w:rFonts w:hint="eastAsia"/>
          <w:b/>
          <w:bCs/>
          <w:color w:val="0000FF"/>
          <w:highlight w:val="yellow"/>
          <w:lang w:val="en-US" w:eastAsia="zh-CN"/>
        </w:rPr>
      </w:pPr>
    </w:p>
    <w:p>
      <w:pPr>
        <w:rPr>
          <w:rFonts w:hint="eastAsia"/>
          <w:b/>
          <w:bCs/>
          <w:color w:val="0000FF"/>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t>6月15日（周六）</w:t>
      </w: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color w:val="0000FF"/>
          <w:highlight w:val="yellow"/>
          <w:lang w:eastAsia="zh-CN"/>
        </w:rPr>
      </w:pPr>
      <w:r>
        <w:rPr>
          <w:rFonts w:hint="eastAsia" w:ascii="方正小标宋_GBK" w:hAnsi="方正小标宋_GBK" w:eastAsia="方正小标宋_GBK" w:cs="方正小标宋_GBK"/>
          <w:b/>
          <w:bCs/>
          <w:color w:val="0000FF"/>
          <w:sz w:val="36"/>
          <w:szCs w:val="36"/>
          <w:highlight w:val="yellow"/>
          <w:lang w:eastAsia="zh-CN"/>
        </w:rPr>
        <w:t>俄罗斯经济的表现令人惊讶</w:t>
      </w:r>
    </w:p>
    <w:p>
      <w:pPr>
        <w:keepNext w:val="0"/>
        <w:keepLines w:val="0"/>
        <w:pageBreakBefore w:val="0"/>
        <w:widowControl w:val="0"/>
        <w:kinsoku/>
        <w:wordWrap/>
        <w:overflowPunct/>
        <w:topLinePunct w:val="0"/>
        <w:autoSpaceDE/>
        <w:autoSpaceDN/>
        <w:bidi w:val="0"/>
        <w:adjustRightInd/>
        <w:snapToGrid/>
        <w:ind w:firstLine="608" w:firstLineChars="200"/>
        <w:jc w:val="left"/>
        <w:textAlignment w:val="auto"/>
        <w:rPr>
          <w:rFonts w:hint="eastAsia" w:asciiTheme="minorEastAsia" w:hAnsiTheme="minorEastAsia" w:eastAsiaTheme="minorEastAsia" w:cstheme="minorEastAsia"/>
          <w:b/>
          <w:bCs/>
          <w:color w:val="0000FF"/>
          <w:sz w:val="32"/>
          <w:szCs w:val="32"/>
          <w:highlight w:val="none"/>
          <w:lang w:val="en-US" w:eastAsia="zh-CN"/>
        </w:rPr>
      </w:pPr>
      <w:r>
        <w:rPr>
          <w:rFonts w:hint="eastAsia" w:asciiTheme="minorEastAsia" w:hAnsiTheme="minorEastAsia" w:eastAsiaTheme="minorEastAsia" w:cstheme="minorEastAsia"/>
          <w:b/>
          <w:bCs/>
          <w:color w:val="0000FF"/>
          <w:sz w:val="32"/>
          <w:szCs w:val="32"/>
          <w:highlight w:val="none"/>
          <w:lang w:eastAsia="zh-CN"/>
        </w:rPr>
        <w:t>一、通胀走缓、货币升值</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rPr>
        <w:drawing>
          <wp:anchor distT="0" distB="0" distL="114300" distR="114300" simplePos="0" relativeHeight="251674624" behindDoc="0" locked="0" layoutInCell="1" allowOverlap="1">
            <wp:simplePos x="0" y="0"/>
            <wp:positionH relativeFrom="column">
              <wp:posOffset>2352675</wp:posOffset>
            </wp:positionH>
            <wp:positionV relativeFrom="paragraph">
              <wp:posOffset>122555</wp:posOffset>
            </wp:positionV>
            <wp:extent cx="3199765" cy="2235200"/>
            <wp:effectExtent l="0" t="0" r="635" b="0"/>
            <wp:wrapSquare wrapText="bothSides"/>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21"/>
                    <a:stretch>
                      <a:fillRect/>
                    </a:stretch>
                  </pic:blipFill>
                  <pic:spPr>
                    <a:xfrm>
                      <a:off x="0" y="0"/>
                      <a:ext cx="3199765" cy="2235200"/>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val="en-US" w:eastAsia="zh-CN"/>
        </w:rPr>
        <w:t>近期，俄罗斯联邦统计局公布了俄罗斯4月CPI数据，同比增长7.84%；从去年11月至今年3月，该指标的读数依次为6.64%，7.42%，7.44%，7.69%和7.72%，由图可见，CPI的年增率已经开始显著走平，即通胀得到了有效控制。</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从2023年初起，俄罗斯的通货膨胀率开始上升。当时，以国防工业为龙头的制造业活动显著扩张，同时劳动力力市场紧张，大幅推高了工资水平；二者合力，引发了通胀。鉴于此，俄罗斯央行随即提高了基准利率（见图），在一年内将利率水平推高了8.5个百分点，即从2023年3月底的7.25%推至2.24年3月底的15.9%，并维持在高位，终于有效遏制住了通胀。</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利率水平上升，提高了居民储蓄率，同时减少了资金外流，卢布开始升值（图中柱状为欧元兑卢布），本币升值降低了进口成本，有利于减轻通胀压力。</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宋体" w:hAnsi="宋体" w:eastAsia="宋体" w:cs="宋体"/>
          <w:b/>
          <w:bCs/>
          <w:color w:val="0000FF"/>
          <w:sz w:val="32"/>
          <w:szCs w:val="32"/>
          <w:lang w:val="en-US" w:eastAsia="zh-CN"/>
        </w:rPr>
      </w:pPr>
      <w:r>
        <w:rPr>
          <w:rFonts w:hint="eastAsia" w:ascii="宋体" w:hAnsi="宋体" w:eastAsia="宋体" w:cs="宋体"/>
          <w:b/>
          <w:bCs/>
          <w:color w:val="0000FF"/>
          <w:sz w:val="32"/>
          <w:szCs w:val="32"/>
          <w:lang w:val="en-US" w:eastAsia="zh-CN"/>
        </w:rPr>
        <w:t>二、经济增长强劲</w:t>
      </w:r>
    </w:p>
    <w:p>
      <w:pPr>
        <w:keepNext w:val="0"/>
        <w:keepLines w:val="0"/>
        <w:pageBreakBefore w:val="0"/>
        <w:widowControl w:val="0"/>
        <w:kinsoku/>
        <w:wordWrap/>
        <w:overflowPunct/>
        <w:topLinePunct w:val="0"/>
        <w:autoSpaceDE/>
        <w:autoSpaceDN/>
        <w:bidi w:val="0"/>
        <w:adjustRightInd/>
        <w:snapToGrid/>
        <w:ind w:firstLine="388" w:firstLineChars="200"/>
        <w:jc w:val="both"/>
        <w:textAlignment w:val="auto"/>
        <w:rPr>
          <w:rFonts w:hint="eastAsia" w:ascii="宋体" w:hAnsi="宋体" w:eastAsia="宋体" w:cs="宋体"/>
          <w:sz w:val="32"/>
          <w:szCs w:val="32"/>
          <w:lang w:val="en-US" w:eastAsia="zh-CN"/>
        </w:rPr>
      </w:pPr>
      <w:r>
        <w:drawing>
          <wp:anchor distT="0" distB="0" distL="114300" distR="114300" simplePos="0" relativeHeight="251675648" behindDoc="0" locked="0" layoutInCell="1" allowOverlap="1">
            <wp:simplePos x="0" y="0"/>
            <wp:positionH relativeFrom="column">
              <wp:posOffset>2263775</wp:posOffset>
            </wp:positionH>
            <wp:positionV relativeFrom="paragraph">
              <wp:posOffset>178435</wp:posOffset>
            </wp:positionV>
            <wp:extent cx="3124835" cy="2376805"/>
            <wp:effectExtent l="0" t="0" r="5715" b="4445"/>
            <wp:wrapSquare wrapText="bothSides"/>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pic:cNvPicPr>
                      <a:picLocks noChangeAspect="1"/>
                    </pic:cNvPicPr>
                  </pic:nvPicPr>
                  <pic:blipFill>
                    <a:blip r:embed="rId22"/>
                    <a:stretch>
                      <a:fillRect/>
                    </a:stretch>
                  </pic:blipFill>
                  <pic:spPr>
                    <a:xfrm>
                      <a:off x="0" y="0"/>
                      <a:ext cx="3124835" cy="2376805"/>
                    </a:xfrm>
                    <a:prstGeom prst="rect">
                      <a:avLst/>
                    </a:prstGeom>
                    <a:noFill/>
                    <a:ln>
                      <a:noFill/>
                    </a:ln>
                  </pic:spPr>
                </pic:pic>
              </a:graphicData>
            </a:graphic>
          </wp:anchor>
        </w:drawing>
      </w:r>
      <w:r>
        <w:rPr>
          <w:rFonts w:hint="eastAsia" w:ascii="宋体" w:hAnsi="宋体" w:eastAsia="宋体" w:cs="宋体"/>
          <w:sz w:val="32"/>
          <w:szCs w:val="32"/>
          <w:lang w:val="en-US" w:eastAsia="zh-CN"/>
        </w:rPr>
        <w:t>与美国的情况相似，高利率环境并未压制其经济活动。</w:t>
      </w:r>
    </w:p>
    <w:p>
      <w:pPr>
        <w:keepNext w:val="0"/>
        <w:keepLines w:val="0"/>
        <w:pageBreakBefore w:val="0"/>
        <w:widowControl w:val="0"/>
        <w:kinsoku/>
        <w:wordWrap/>
        <w:overflowPunct/>
        <w:topLinePunct w:val="0"/>
        <w:autoSpaceDE/>
        <w:autoSpaceDN/>
        <w:bidi w:val="0"/>
        <w:adjustRightInd/>
        <w:snapToGrid/>
        <w:ind w:firstLine="608" w:firstLineChars="200"/>
        <w:jc w:val="both"/>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俄罗斯第一季度GDP同比增长5.4%（美国为2.88%），远高于欧洲其他经济体，在全球各大经济体中名列前茅。而且，2023年度，俄罗斯的GDP增长率为3.6%（美国为2.5%），即，俄罗斯经济正处于持续高速增长之中。</w:t>
      </w:r>
    </w:p>
    <w:p>
      <w:pPr>
        <w:keepNext w:val="0"/>
        <w:keepLines w:val="0"/>
        <w:pageBreakBefore w:val="0"/>
        <w:widowControl w:val="0"/>
        <w:kinsoku/>
        <w:wordWrap/>
        <w:overflowPunct/>
        <w:topLinePunct w:val="0"/>
        <w:autoSpaceDE/>
        <w:autoSpaceDN/>
        <w:bidi w:val="0"/>
        <w:adjustRightInd/>
        <w:snapToGrid/>
        <w:ind w:firstLine="388" w:firstLineChars="200"/>
        <w:jc w:val="lef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ind w:firstLine="388" w:firstLineChars="200"/>
        <w:jc w:val="lef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ind w:firstLine="388" w:firstLineChars="200"/>
        <w:jc w:val="left"/>
        <w:textAlignment w:val="auto"/>
        <w:rPr>
          <w:rFonts w:hint="eastAsia"/>
          <w:lang w:val="en-US" w:eastAsia="zh-CN"/>
        </w:rPr>
      </w:pPr>
    </w:p>
    <w:p>
      <w:pPr>
        <w:jc w:val="both"/>
        <w:rPr>
          <w:rFonts w:hint="eastAsia"/>
          <w:b/>
          <w:bCs/>
          <w:color w:val="0000FF"/>
          <w:highlight w:val="yellow"/>
          <w:lang w:val="en-US" w:eastAsia="zh-CN"/>
        </w:rPr>
      </w:pPr>
      <w:r>
        <w:rPr>
          <w:rFonts w:hint="eastAsia" w:ascii="方正小标宋_GBK" w:hAnsi="方正小标宋_GBK" w:eastAsia="方正小标宋_GBK" w:cs="方正小标宋_GBK"/>
          <w:b/>
          <w:bCs/>
          <w:color w:val="0000FF"/>
          <w:sz w:val="32"/>
          <w:szCs w:val="32"/>
          <w:highlight w:val="yellow"/>
          <w:lang w:val="en-US" w:eastAsia="zh-CN"/>
        </w:rPr>
        <w:t>6月16日（周日）</w:t>
      </w:r>
    </w:p>
    <w:p>
      <w:pPr>
        <w:keepNext w:val="0"/>
        <w:keepLines w:val="0"/>
        <w:pageBreakBefore w:val="0"/>
        <w:widowControl w:val="0"/>
        <w:kinsoku/>
        <w:wordWrap/>
        <w:overflowPunct/>
        <w:topLinePunct w:val="0"/>
        <w:autoSpaceDE/>
        <w:autoSpaceDN/>
        <w:bidi w:val="0"/>
        <w:adjustRightInd/>
        <w:snapToGrid/>
        <w:jc w:val="both"/>
        <w:textAlignment w:val="auto"/>
        <w:rPr>
          <w:rFonts w:hint="eastAsia"/>
          <w:b/>
          <w:bCs/>
          <w:color w:val="0000FF"/>
          <w:highlight w:val="yellow"/>
          <w:lang w:eastAsia="zh-CN"/>
        </w:rPr>
      </w:pPr>
      <w:r>
        <w:rPr>
          <w:rFonts w:hint="eastAsia" w:ascii="方正小标宋_GBK" w:hAnsi="方正小标宋_GBK" w:eastAsia="方正小标宋_GBK" w:cs="方正小标宋_GBK"/>
          <w:b/>
          <w:bCs/>
          <w:color w:val="0000FF"/>
          <w:sz w:val="36"/>
          <w:szCs w:val="36"/>
          <w:highlight w:val="yellow"/>
          <w:lang w:eastAsia="zh-CN"/>
        </w:rPr>
        <w:t>沙特无通胀压力，建设有资金需求</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自2022年初，全球通胀浪潮涌起，沙特阿拉伯却几乎没受什么影响，年通货膨胀率只是在2023年1月达到过3.4%的峰值，自去年8月以来一直低于2%的央行目标线（见图），今年4月更是降至1.58%的低位。因此，在大多数经济体在为高通胀烦恼时，沙特阿拉伯却在担忧滑入通缩。</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388" w:firstLineChars="200"/>
        <w:jc w:val="left"/>
        <w:textAlignment w:val="auto"/>
        <w:rPr>
          <w:rFonts w:hint="eastAsia" w:ascii="Calibri" w:hAnsi="Calibri" w:eastAsia="宋体" w:cs="Calibri"/>
          <w:lang w:val="en-US" w:eastAsia="zh-CN"/>
        </w:rPr>
      </w:pP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388" w:firstLineChars="200"/>
        <w:jc w:val="both"/>
        <w:textAlignment w:val="auto"/>
        <w:rPr>
          <w:rFonts w:hint="eastAsia" w:asciiTheme="minorEastAsia" w:hAnsiTheme="minorEastAsia" w:eastAsiaTheme="minorEastAsia" w:cstheme="minorEastAsia"/>
          <w:sz w:val="32"/>
          <w:szCs w:val="32"/>
          <w:lang w:val="en-US" w:eastAsia="zh-CN"/>
        </w:rPr>
      </w:pPr>
      <w:r>
        <w:drawing>
          <wp:anchor distT="0" distB="0" distL="114300" distR="114300" simplePos="0" relativeHeight="251676672" behindDoc="0" locked="0" layoutInCell="1" allowOverlap="1">
            <wp:simplePos x="0" y="0"/>
            <wp:positionH relativeFrom="column">
              <wp:posOffset>99060</wp:posOffset>
            </wp:positionH>
            <wp:positionV relativeFrom="paragraph">
              <wp:posOffset>159385</wp:posOffset>
            </wp:positionV>
            <wp:extent cx="3197225" cy="2232025"/>
            <wp:effectExtent l="0" t="0" r="3175" b="3175"/>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3"/>
                    <a:stretch>
                      <a:fillRect/>
                    </a:stretch>
                  </pic:blipFill>
                  <pic:spPr>
                    <a:xfrm>
                      <a:off x="0" y="0"/>
                      <a:ext cx="3197225" cy="2232025"/>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val="en-US" w:eastAsia="zh-CN"/>
        </w:rPr>
        <w:t>由图可见，沙特的GDP在2022年第四季度达到顶峰后下降，通货膨胀率也是在2022年底到2023年初达到峰值后一路走低，目前GDP数据有所回升，但通胀率依然不振，反映出经济体总需求的低迷。</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总需求走低的原因是收入的减少。目前每桶80美元的石油价格不足以支撑其庞大的经济多元化战略；同时，外国直接投资也持续低迷。因此，沙特政府开始拓展融资渠道。</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本月早些时候，国有石油巨头沙特阿美石油公司（Saudi Aramco）出售了总价值110亿美元的股票，购买者主要是外国投资者。沙特最大的主权财富基金“公共投资基金PIF”（Public Investment Fund）首次发售以英镑计价的债券，筹集了6.5亿英镑（8.29亿美元）的资金。</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近年，沙特最引人注目的是Neom（新未来城）项目，这是一个工商业新城项目，为应对人口增长、推动经济转型而设立，位于其国土的西北部。该项目由PIF提供资金。</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388" w:firstLineChars="200"/>
        <w:jc w:val="both"/>
        <w:textAlignment w:val="auto"/>
        <w:rPr>
          <w:rFonts w:hint="eastAsia" w:asciiTheme="minorEastAsia" w:hAnsiTheme="minorEastAsia" w:eastAsiaTheme="minorEastAsia" w:cstheme="minorEastAsia"/>
          <w:sz w:val="32"/>
          <w:szCs w:val="32"/>
          <w:lang w:val="en-US" w:eastAsia="zh-CN"/>
        </w:rPr>
      </w:pPr>
      <w:r>
        <w:drawing>
          <wp:anchor distT="0" distB="0" distL="114300" distR="114300" simplePos="0" relativeHeight="251677696" behindDoc="0" locked="0" layoutInCell="1" allowOverlap="1">
            <wp:simplePos x="0" y="0"/>
            <wp:positionH relativeFrom="column">
              <wp:posOffset>2303780</wp:posOffset>
            </wp:positionH>
            <wp:positionV relativeFrom="paragraph">
              <wp:posOffset>89535</wp:posOffset>
            </wp:positionV>
            <wp:extent cx="3140075" cy="2355850"/>
            <wp:effectExtent l="0" t="0" r="3175" b="0"/>
            <wp:wrapSquare wrapText="bothSides"/>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4"/>
                    <a:stretch>
                      <a:fillRect/>
                    </a:stretch>
                  </pic:blipFill>
                  <pic:spPr>
                    <a:xfrm>
                      <a:off x="0" y="0"/>
                      <a:ext cx="3140075" cy="2355850"/>
                    </a:xfrm>
                    <a:prstGeom prst="rect">
                      <a:avLst/>
                    </a:prstGeom>
                    <a:noFill/>
                    <a:ln>
                      <a:noFill/>
                    </a:ln>
                  </pic:spPr>
                </pic:pic>
              </a:graphicData>
            </a:graphic>
          </wp:anchor>
        </w:drawing>
      </w:r>
      <w:r>
        <w:rPr>
          <w:rFonts w:hint="eastAsia" w:asciiTheme="minorEastAsia" w:hAnsiTheme="minorEastAsia" w:eastAsiaTheme="minorEastAsia" w:cstheme="minorEastAsia"/>
          <w:sz w:val="32"/>
          <w:szCs w:val="32"/>
          <w:lang w:val="en-US" w:eastAsia="zh-CN"/>
        </w:rPr>
        <w:t>Neom项目包括多个区域，其中最为人熟知的是名为“The Line”的线性城市，全长约170公里，宽度仅200米，设计理念是以人而非道路为中心：所有基本日常服务如学校、诊所、休闲设施以及绿色空间都将在5分钟步行路程内可达。</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608"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除了城市外，Neom项目还包括核心工业区及港口Oxagon、度假村Sindalah等，一条57公里长的高速铁路将其The Line相连。此外，Neom还计划建设世界上最大的公用事业、商业化氢设施，以及一座总造价47亿美元的大坝项目。</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608" w:firstLineChars="200"/>
        <w:jc w:val="both"/>
        <w:textAlignment w:val="auto"/>
        <w:rPr>
          <w:rFonts w:hint="default" w:ascii="Calibri" w:hAnsi="Calibri" w:eastAsia="宋体" w:cs="Calibri"/>
          <w:lang w:val="en-US" w:eastAsia="zh-CN"/>
        </w:rPr>
      </w:pPr>
      <w:r>
        <w:rPr>
          <w:rFonts w:hint="eastAsia" w:asciiTheme="minorEastAsia" w:hAnsiTheme="minorEastAsia" w:eastAsiaTheme="minorEastAsia" w:cstheme="minorEastAsia"/>
          <w:sz w:val="32"/>
          <w:szCs w:val="32"/>
          <w:lang w:val="en-US" w:eastAsia="zh-CN"/>
        </w:rPr>
        <w:t>Neom项目总投资预计超过1.5万亿美元。尽管面临资金方面的挑战，项目仍在进展之中。</w:t>
      </w:r>
    </w:p>
    <w:p>
      <w:pPr>
        <w:keepNext w:val="0"/>
        <w:keepLines w:val="0"/>
        <w:pageBreakBefore w:val="0"/>
        <w:widowControl w:val="0"/>
        <w:kinsoku/>
        <w:wordWrap/>
        <w:overflowPunct/>
        <w:topLinePunct w:val="0"/>
        <w:autoSpaceDE/>
        <w:autoSpaceDN/>
        <w:bidi w:val="0"/>
        <w:adjustRightInd/>
        <w:snapToGrid/>
        <w:ind w:firstLine="608" w:firstLineChars="200"/>
        <w:textAlignment w:val="auto"/>
        <w:rPr>
          <w:rFonts w:hint="eastAsia" w:asciiTheme="minorEastAsia" w:hAnsiTheme="minorEastAsia" w:eastAsiaTheme="minorEastAsia" w:cstheme="minor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08" w:firstLineChars="200"/>
        <w:textAlignment w:val="auto"/>
        <w:rPr>
          <w:rFonts w:hint="eastAsia" w:asciiTheme="minorEastAsia" w:hAnsiTheme="minorEastAsia" w:eastAsiaTheme="minorEastAsia" w:cstheme="minor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08" w:firstLineChars="200"/>
        <w:textAlignment w:val="auto"/>
        <w:rPr>
          <w:rFonts w:hint="eastAsia" w:asciiTheme="minorEastAsia" w:hAnsiTheme="minorEastAsia" w:eastAsiaTheme="minorEastAsia" w:cstheme="minorEastAsia"/>
          <w:sz w:val="32"/>
          <w:szCs w:val="3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bCs/>
          <w:color w:val="FF0000"/>
          <w:sz w:val="96"/>
          <w:szCs w:val="96"/>
          <w:lang w:val="en-US" w:eastAsia="zh-CN"/>
        </w:rPr>
      </w:pPr>
      <w:r>
        <w:rPr>
          <w:rFonts w:hint="default" w:ascii="Times New Roman" w:hAnsi="Times New Roman" w:eastAsia="经典行楷简" w:cs="Times New Roman"/>
          <w:b/>
          <w:bCs/>
          <w:color w:val="FF0000"/>
          <w:sz w:val="96"/>
          <w:szCs w:val="96"/>
          <w:lang w:val="en-US" w:eastAsia="zh-CN"/>
        </w:rPr>
        <w:t>江苏贸促动态</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省贸促会领导出席第18届长三角</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贸促机构联席会议</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6月12日下午，第18届长三角贸促机构联席会议在江苏南京召开。中国贸促会发展研究部副部长卢宁应邀出席会议。江苏省贸促会会长王善华在会上作交流发言。</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王善华对各家单位长期以来给予江苏贸促工作的关心支持表示感谢。他简要介绍今年以来工作情况，围绕“因地制宜发展新质生产力，更好地推动贸促工作融入和服务长三角一体化发展大局”主题进行交流，表示江苏省贸促会将认真贯彻落实习近平总书记在深入推进长三角一体化发展座谈会上的重要讲话精神，进一步加强与长三角贸促机构的交流联动，发挥江苏贸促特色与优势，促进区域一体化发展。</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会议由轮值单位南京市贸促会承办。上海、浙江、安徽和杭州、宁波等贸促机构负责人参会交流。</w:t>
      </w:r>
    </w:p>
    <w:p>
      <w:pPr>
        <w:keepNext w:val="0"/>
        <w:keepLines w:val="0"/>
        <w:pageBreakBefore w:val="0"/>
        <w:widowControl/>
        <w:shd w:val="clear" w:color="auto" w:fill="FFFFFF"/>
        <w:kinsoku/>
        <w:wordWrap/>
        <w:overflowPunct/>
        <w:topLinePunct w:val="0"/>
        <w:autoSpaceDE/>
        <w:autoSpaceDN/>
        <w:bidi w:val="0"/>
        <w:adjustRightInd/>
        <w:snapToGrid/>
        <w:spacing w:after="210" w:line="7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7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省贸促会联合举办欧盟企业常州行活动</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6月7日，省贸促会联合中国欧盟商会南京分会举办欧盟企业常州行活动。省贸促会副会长丛苏峰和中国欧盟商会南京分会副主席单建华、总经理游海燕以及17位欧盟商会会员企业高管、德国巴符州驻江苏代表处代表参加活动。</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欧盟贸促机构和跨国公司代表参观考察了全国唯一以绿色建筑为主题的江苏省绿色建筑博览园，并调研亚洲数字能源领域头部独角兽企业万帮新能源（星星充电）。活动期间举办武进优势产业推介交流活动、中欧绿色低碳创新合作座谈交流会。常州武进区政协副主席徐宁详细介绍绿建区在推动产业绿色低碳转型上取得的积极成效并希望欧盟企业积极到常州投资兴业。扬子石化巴斯夫、德国思拓电气、采万格泄漏及功能测试系统、安百拓建筑矿山设备等德资企业高管介绍企业基本情况和合作需求。单建华表示，通过此次活动，感受到常州在新能源、新材料等领域优势明显，希望进一步深入了解，寻求合作。</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活动结束后，大多数欧盟商会企业表示不虚此行，对常州高速发展的绿色环保产业和优良的营商环境留下了深刻印象，未来将加大对常州的关注和市场研究。塔塔集团与万帮新能源（星星充电）已初步达成合作共识。</w:t>
      </w:r>
      <w:r>
        <w:rPr>
          <w:rFonts w:hint="eastAsia" w:asciiTheme="minorEastAsia" w:hAnsiTheme="minorEastAsia" w:cstheme="minorEastAsia"/>
          <w:sz w:val="32"/>
          <w:szCs w:val="32"/>
          <w:lang w:val="en-US" w:eastAsia="zh-CN"/>
        </w:rPr>
        <w:t xml:space="preserve">    </w:t>
      </w:r>
      <w:r>
        <w:rPr>
          <w:rFonts w:hint="eastAsia" w:ascii="方正楷体_GBK" w:hAnsi="方正楷体_GBK" w:eastAsia="方正楷体_GBK" w:cs="方正楷体_GBK"/>
          <w:b/>
          <w:bCs/>
          <w:color w:val="FF0000"/>
          <w:sz w:val="32"/>
          <w:szCs w:val="32"/>
          <w:lang w:eastAsia="zh-CN"/>
        </w:rPr>
        <w:t>（国际联络部、跨采中心）</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keepNext w:val="0"/>
        <w:keepLines w:val="0"/>
        <w:pageBreakBefore w:val="0"/>
        <w:widowControl/>
        <w:shd w:val="clear" w:color="auto" w:fill="FFFFFF"/>
        <w:kinsoku/>
        <w:wordWrap/>
        <w:overflowPunct/>
        <w:topLinePunct w:val="0"/>
        <w:autoSpaceDE/>
        <w:autoSpaceDN/>
        <w:bidi w:val="0"/>
        <w:adjustRightInd/>
        <w:snapToGrid/>
        <w:spacing w:after="210" w:line="7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新加坡大华银行（中国）拜访省贸促会</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6月11日下午，省贸促会副会长丛苏峰会见来访的新加坡大华银行外国直接投资咨询部执行总监张晓一行。</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丛苏峰介绍江苏省贸促会主要职能和境内外贸易投资促进主渠道优势，交流近期重要经贸活动，希望大华银行发挥东盟互联互通优势，促进双方企业在贸易、投资、特色金融等多领域加强务实合作。</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方正楷体_GBK" w:hAnsi="方正楷体_GBK" w:eastAsia="方正楷体_GBK" w:cs="方正楷体_GBK"/>
          <w:b/>
          <w:bCs/>
          <w:i w:val="0"/>
          <w:caps w:val="0"/>
          <w:color w:val="FF0000"/>
          <w:spacing w:val="0"/>
          <w:kern w:val="0"/>
          <w:sz w:val="32"/>
          <w:szCs w:val="32"/>
          <w:shd w:val="clear" w:fill="FFFFFF"/>
          <w:lang w:val="en-US" w:eastAsia="zh-CN" w:bidi="ar"/>
        </w:rPr>
      </w:pPr>
      <w:r>
        <w:rPr>
          <w:rFonts w:hint="eastAsia" w:asciiTheme="minorEastAsia" w:hAnsiTheme="minorEastAsia" w:eastAsiaTheme="minorEastAsia" w:cstheme="minorEastAsia"/>
          <w:sz w:val="32"/>
          <w:szCs w:val="32"/>
        </w:rPr>
        <w:t>张晓表示，大华银行长期关注中国与东盟经贸往来，致力服务于工商企业在江苏和新加坡、东盟的投资发展，希望未来与江苏省贸促会保持密切合作，帮助江苏企业开启东盟市场新商机，实现共赢发展。</w:t>
      </w:r>
      <w:r>
        <w:rPr>
          <w:rFonts w:hint="eastAsia" w:ascii="方正楷体_GBK" w:hAnsi="方正楷体_GBK" w:eastAsia="方正楷体_GBK" w:cs="方正楷体_GBK"/>
          <w:b/>
          <w:bCs/>
          <w:i w:val="0"/>
          <w:caps w:val="0"/>
          <w:color w:val="FF0000"/>
          <w:spacing w:val="0"/>
          <w:kern w:val="0"/>
          <w:sz w:val="32"/>
          <w:szCs w:val="32"/>
          <w:shd w:val="clear" w:fill="FFFFFF"/>
          <w:lang w:val="en-US" w:eastAsia="zh-CN" w:bidi="ar"/>
        </w:rPr>
        <w:t xml:space="preserve">                     （国际联络部）</w:t>
      </w:r>
    </w:p>
    <w:p>
      <w:pPr>
        <w:keepNext w:val="0"/>
        <w:keepLines w:val="0"/>
        <w:pageBreakBefore w:val="0"/>
        <w:widowControl w:val="0"/>
        <w:kinsoku/>
        <w:wordWrap/>
        <w:overflowPunct/>
        <w:topLinePunct w:val="0"/>
        <w:autoSpaceDE/>
        <w:autoSpaceDN/>
        <w:bidi w:val="0"/>
        <w:adjustRightInd/>
        <w:snapToGrid/>
        <w:ind w:firstLine="916" w:firstLineChars="200"/>
        <w:textAlignment w:val="auto"/>
        <w:outlineLvl w:val="9"/>
        <w:rPr>
          <w:rFonts w:hint="eastAsia" w:ascii="Times New Roman" w:hAnsi="Times New Roman" w:eastAsia="经典行楷简" w:cs="Times New Roman"/>
          <w:color w:val="2E75B6" w:themeColor="accent1" w:themeShade="BF"/>
          <w:spacing w:val="-23"/>
          <w:kern w:val="2"/>
          <w:sz w:val="52"/>
          <w:szCs w:val="52"/>
          <w:lang w:val="en-US" w:eastAsia="zh-CN" w:bidi="ar-SA"/>
        </w:rPr>
      </w:pPr>
    </w:p>
    <w:p>
      <w:pPr>
        <w:keepNext w:val="0"/>
        <w:keepLines w:val="0"/>
        <w:pageBreakBefore w:val="0"/>
        <w:widowControl w:val="0"/>
        <w:kinsoku/>
        <w:wordWrap/>
        <w:overflowPunct/>
        <w:topLinePunct w:val="0"/>
        <w:autoSpaceDE/>
        <w:autoSpaceDN/>
        <w:bidi w:val="0"/>
        <w:adjustRightInd/>
        <w:snapToGrid/>
        <w:ind w:firstLine="916" w:firstLineChars="200"/>
        <w:textAlignment w:val="auto"/>
        <w:outlineLvl w:val="9"/>
        <w:rPr>
          <w:rFonts w:hint="eastAsia" w:ascii="Times New Roman" w:hAnsi="Times New Roman" w:eastAsia="经典行楷简" w:cs="Times New Roman"/>
          <w:color w:val="2E75B6" w:themeColor="accent1" w:themeShade="BF"/>
          <w:spacing w:val="-23"/>
          <w:kern w:val="2"/>
          <w:sz w:val="52"/>
          <w:szCs w:val="52"/>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省侨联和深圳市</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方正楷体_GBK" w:hAnsi="方正楷体_GBK" w:eastAsia="方正楷体_GBK" w:cs="方正楷体_GBK"/>
          <w:b/>
          <w:bCs/>
          <w:color w:val="FF0000"/>
          <w:spacing w:val="-23"/>
          <w:kern w:val="2"/>
          <w:sz w:val="32"/>
          <w:szCs w:val="3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潮汕商会、侨交会集团拜访省贸促会</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6月12日，省贸促会副会长丛苏峰会见来访的省侨联和深圳市潮汕商会、侨交会集团一行。</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丛苏峰简要介绍江苏省贸促会（国际商会）主要职能以及在东南亚举办的贸易投资促进活动，希望深圳市潮汕商会发挥在东南亚联络渠道多、人脉广的独特优势，推动东盟国家、华人华侨机构、当地企业与江苏贸促会（国际商会）深入交往，开启双方在贸易投资和民间交往方面合作的新局面。</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eastAsiaTheme="minorEastAsia"/>
          <w:lang w:eastAsia="zh-CN"/>
        </w:rPr>
      </w:pPr>
      <w:r>
        <w:rPr>
          <w:rFonts w:hint="eastAsia" w:asciiTheme="minorEastAsia" w:hAnsiTheme="minorEastAsia" w:eastAsiaTheme="minorEastAsia" w:cstheme="minorEastAsia"/>
          <w:sz w:val="32"/>
          <w:szCs w:val="32"/>
        </w:rPr>
        <w:t>省侨联副主席兼秘书长张霓希望与省贸促会保持密切合作，促进江苏企业与深圳市潮汕商会开展务实合作，共创发展机遇。深圳市侨交会集团推介主营业务和成功案例，邀请江苏省贸促会（国际商会）组织企业参加华人华侨产业交易会（OCTF）。</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4864" w:firstLineChars="1600"/>
        <w:contextualSpacing/>
        <w:jc w:val="both"/>
        <w:textAlignment w:val="auto"/>
        <w:outlineLvl w:val="1"/>
        <w:rPr>
          <w:rFonts w:hint="eastAsia" w:asciiTheme="minorEastAsia" w:hAnsiTheme="minorEastAsia" w:eastAsiaTheme="minorEastAsia" w:cstheme="minorEastAsia"/>
          <w:color w:val="000000"/>
          <w:sz w:val="32"/>
          <w:szCs w:val="32"/>
          <w:lang w:val="en-US" w:eastAsia="zh-CN"/>
        </w:rPr>
      </w:pPr>
      <w:r>
        <w:rPr>
          <w:rFonts w:hint="eastAsia" w:asciiTheme="minorEastAsia" w:hAnsiTheme="minorEastAsia" w:cstheme="minorEastAsia"/>
          <w:color w:val="000000"/>
          <w:sz w:val="32"/>
          <w:szCs w:val="32"/>
          <w:lang w:val="en-US" w:eastAsia="zh-CN"/>
        </w:rPr>
        <w:t xml:space="preserve">   </w:t>
      </w:r>
      <w:r>
        <w:rPr>
          <w:rFonts w:hint="eastAsia" w:ascii="方正楷体_GBK" w:hAnsi="方正楷体_GBK" w:eastAsia="方正楷体_GBK" w:cs="方正楷体_GBK"/>
          <w:b/>
          <w:bCs/>
          <w:color w:val="FF0000"/>
          <w:sz w:val="32"/>
          <w:szCs w:val="32"/>
          <w:lang w:val="en-US" w:eastAsia="zh-CN"/>
        </w:rPr>
        <w:t>（国际联络部）</w:t>
      </w:r>
    </w:p>
    <w:p>
      <w:pPr>
        <w:jc w:val="center"/>
        <w:rPr>
          <w:rFonts w:hint="eastAsia" w:ascii="Times New Roman" w:hAnsi="Times New Roman" w:eastAsia="经典行楷简" w:cs="Times New Roman"/>
          <w:color w:val="2E75B6" w:themeColor="accent1" w:themeShade="BF"/>
          <w:spacing w:val="0"/>
          <w:kern w:val="2"/>
          <w:sz w:val="44"/>
          <w:szCs w:val="44"/>
          <w:lang w:val="en-US" w:eastAsia="zh-CN" w:bidi="ar-SA"/>
        </w:rPr>
      </w:pPr>
    </w:p>
    <w:p>
      <w:pPr>
        <w:jc w:val="center"/>
        <w:rPr>
          <w:rFonts w:hint="eastAsia" w:ascii="Times New Roman" w:hAnsi="Times New Roman" w:eastAsia="经典行楷简" w:cs="Times New Roman"/>
          <w:color w:val="2E75B6" w:themeColor="accent1" w:themeShade="BF"/>
          <w:spacing w:val="0"/>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南京市贸促会领导与德国杜塞尔多夫</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方正楷体_GBK" w:hAnsi="方正楷体_GBK" w:eastAsia="方正楷体_GBK" w:cs="方正楷体_GBK"/>
          <w:b/>
          <w:bCs/>
          <w:color w:val="FF0000"/>
          <w:spacing w:val="-23"/>
          <w:kern w:val="2"/>
          <w:sz w:val="32"/>
          <w:szCs w:val="3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展览集团公司执行董事总经理会面</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6月6日，南京市贸促会会长梁洁在上海与德国杜塞尔多夫展览集团公司执行董事总经理Wolfram Diener先生会面。双方围绕地区产业发展、会展项目运营管理及开发、市场化合作等方面的情况作了深入交流，并就下一步产业品牌展会、商务会展开展合作作了对接安排。</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cstheme="minorEastAsia"/>
          <w:sz w:val="32"/>
          <w:szCs w:val="32"/>
          <w:lang w:val="en-US" w:eastAsia="zh-CN"/>
        </w:rPr>
      </w:pPr>
      <w:r>
        <w:rPr>
          <w:rFonts w:hint="eastAsia" w:asciiTheme="minorEastAsia" w:hAnsiTheme="minorEastAsia" w:eastAsiaTheme="minorEastAsia" w:cstheme="minorEastAsia"/>
          <w:sz w:val="32"/>
          <w:szCs w:val="32"/>
        </w:rPr>
        <w:t xml:space="preserve">双方就Drupa（德国德鲁巴印刷技术及设备展览会）、Wire &amp; Tube（德国杜塞尔多夫国际管件、线缆及线材展览会）、EuroCIS（国际零售业通讯、信息及保安技术展览会）、CARAVAN SALON Düsseldorf（德国杜塞尔多夫国际房车展览会）、MEDICA（德国杜塞尔多夫医疗设备展览会）、REHACARE INTERNATIONAL（国际康复与护理综合展览会）等具有影响力的专业展会扩大南京企业参与空间、推进“南京一产业一品牌展会”合作交换了意见。       </w:t>
      </w:r>
      <w:r>
        <w:rPr>
          <w:rFonts w:hint="eastAsia" w:asciiTheme="minorEastAsia" w:hAnsiTheme="minorEastAsia" w:cstheme="minorEastAsia"/>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5776" w:firstLineChars="1900"/>
        <w:textAlignment w:val="auto"/>
        <w:outlineLvl w:val="9"/>
        <w:rPr>
          <w:rFonts w:hint="eastAsia" w:ascii="方正楷体_GBK" w:hAnsi="方正楷体_GBK" w:eastAsia="方正楷体_GBK" w:cs="方正楷体_GBK"/>
          <w:b/>
          <w:bCs/>
          <w:color w:val="FF0000"/>
          <w:sz w:val="32"/>
          <w:szCs w:val="32"/>
          <w:lang w:eastAsia="zh-CN"/>
        </w:rPr>
      </w:pPr>
      <w:r>
        <w:rPr>
          <w:rFonts w:hint="eastAsia" w:ascii="方正楷体_GBK" w:hAnsi="方正楷体_GBK" w:eastAsia="方正楷体_GBK" w:cs="方正楷体_GBK"/>
          <w:b/>
          <w:bCs/>
          <w:color w:val="FF0000"/>
          <w:sz w:val="32"/>
          <w:szCs w:val="32"/>
          <w:lang w:eastAsia="zh-CN"/>
        </w:rPr>
        <w:t>（</w:t>
      </w:r>
      <w:r>
        <w:rPr>
          <w:rFonts w:hint="eastAsia" w:ascii="方正楷体_GBK" w:hAnsi="方正楷体_GBK" w:eastAsia="方正楷体_GBK" w:cs="方正楷体_GBK"/>
          <w:b/>
          <w:bCs/>
          <w:color w:val="FF0000"/>
          <w:sz w:val="32"/>
          <w:szCs w:val="32"/>
          <w:lang w:val="en-US" w:eastAsia="zh-CN"/>
        </w:rPr>
        <w:t>南京贸促会</w:t>
      </w:r>
      <w:r>
        <w:rPr>
          <w:rFonts w:hint="eastAsia" w:ascii="方正楷体_GBK" w:hAnsi="方正楷体_GBK" w:eastAsia="方正楷体_GBK" w:cs="方正楷体_GBK"/>
          <w:b/>
          <w:bCs/>
          <w:color w:val="FF0000"/>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5776" w:firstLineChars="1900"/>
        <w:textAlignment w:val="auto"/>
        <w:outlineLvl w:val="9"/>
        <w:rPr>
          <w:rFonts w:hint="eastAsia" w:ascii="方正楷体_GBK" w:hAnsi="方正楷体_GBK" w:eastAsia="方正楷体_GBK" w:cs="方正楷体_GBK"/>
          <w:b/>
          <w:bCs/>
          <w:color w:val="FF0000"/>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无锡市贸促会举办2024无锡</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Theme="minorEastAsia" w:hAnsiTheme="minorEastAsia" w:eastAsiaTheme="minorEastAsia" w:cstheme="minorEastAsia"/>
          <w:sz w:val="21"/>
          <w:szCs w:val="21"/>
        </w:rPr>
      </w:pPr>
      <w:r>
        <w:rPr>
          <w:rFonts w:hint="eastAsia" w:ascii="Times New Roman" w:hAnsi="Times New Roman" w:eastAsia="经典行楷简" w:cs="Times New Roman"/>
          <w:color w:val="2E75B6" w:themeColor="accent1" w:themeShade="BF"/>
          <w:spacing w:val="0"/>
          <w:kern w:val="2"/>
          <w:sz w:val="52"/>
          <w:szCs w:val="52"/>
          <w:lang w:val="en-US" w:eastAsia="zh-CN" w:bidi="ar-SA"/>
        </w:rPr>
        <w:t>国际商事法律业务培训班</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为进一步加强企业合规建设，帮助企业防范国际贸易法律风险，营造市场化、法治化、国际化营商环境，服务我市开放型经济发展，6月5日至6日，“2024无锡国际商事法律业务培训班”在我市成功举办。中国贸促会贸易推广交流中心事业发展处处长李文明到会指导，无锡市贸促会副会长王雪松出席开班式并作动员讲话。</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王雪松在动员讲话中分析了当前我市外贸面临的形势，介绍了无锡市贸促会在推动国际交流合作、促进国际贸易投资、加强商事法律服务等方面所做的工作，他表示，贸促机构将和广大企业一道，立足主责主业，认真贯彻中央和省市关于推动外贸稳规模优结构的意见，积极服务企业抢订单拓市场，全力为企业提供国际贸易合规、出证认证、商事纠纷调解、知识产权保护等商事法律服务，努力推进无锡市进出口促稳提质。</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李文明就ATA信用评估、出口信用品牌认证和地理标志产品经贸促进工作</w:t>
      </w:r>
      <w:r>
        <w:rPr>
          <w:rFonts w:hint="eastAsia" w:asciiTheme="minorEastAsia" w:hAnsiTheme="minorEastAsia" w:cstheme="minorEastAsia"/>
          <w:sz w:val="32"/>
          <w:szCs w:val="32"/>
          <w:lang w:val="en-US" w:eastAsia="zh-CN"/>
        </w:rPr>
        <w:t>进行</w:t>
      </w:r>
      <w:r>
        <w:rPr>
          <w:rFonts w:hint="eastAsia" w:asciiTheme="minorEastAsia" w:hAnsiTheme="minorEastAsia" w:eastAsiaTheme="minorEastAsia" w:cstheme="minorEastAsia"/>
          <w:sz w:val="32"/>
          <w:szCs w:val="32"/>
        </w:rPr>
        <w:t>了详细解读。他表示，作为贸促系统服务外经贸企业的创新业务，ATA信用评估能降低担保对企事业单位现金的占用，便利ATA单证册申办。出口商品品牌证明书、地理标志产品品牌证明书是以“标准化+商事认证+贸易促进”的新发展模式，对申请企业开展品牌评价工作，能有效提升企业品牌价值和市场竞争力，为产品品牌“走出去”和“引进来”增信赋能。</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培训期间，来自北京、南京和贸促系统的专家还分别就原产地签证系统的规则与实操、原产地规则与RCEP政策、欧盟和澳大利亚“双反”调查规则及应对、国际商事证明的功能作用及申办指南、代办领事认证及海牙认证业务等内容作了分享。</w:t>
      </w:r>
    </w:p>
    <w:p>
      <w:pPr>
        <w:keepNext w:val="0"/>
        <w:keepLines w:val="0"/>
        <w:pageBreakBefore w:val="0"/>
        <w:widowControl w:val="0"/>
        <w:kinsoku/>
        <w:wordWrap/>
        <w:overflowPunct/>
        <w:topLinePunct w:val="0"/>
        <w:autoSpaceDE/>
        <w:autoSpaceDN/>
        <w:bidi w:val="0"/>
        <w:adjustRightInd/>
        <w:snapToGrid/>
        <w:ind w:firstLine="608" w:firstLineChars="200"/>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来自全市各外经贸企业的382位代表参加活动。</w:t>
      </w:r>
    </w:p>
    <w:p>
      <w:pPr>
        <w:keepNext w:val="0"/>
        <w:keepLines w:val="0"/>
        <w:pageBreakBefore w:val="0"/>
        <w:widowControl w:val="0"/>
        <w:kinsoku/>
        <w:wordWrap/>
        <w:overflowPunct/>
        <w:topLinePunct w:val="0"/>
        <w:autoSpaceDE/>
        <w:autoSpaceDN/>
        <w:bidi w:val="0"/>
        <w:adjustRightInd/>
        <w:snapToGrid/>
        <w:ind w:firstLine="5168" w:firstLineChars="1700"/>
        <w:textAlignment w:val="auto"/>
        <w:outlineLvl w:val="9"/>
        <w:rPr>
          <w:rFonts w:hint="eastAsia" w:ascii="方正楷体_GBK" w:hAnsi="方正楷体_GBK" w:eastAsia="方正楷体_GBK" w:cs="方正楷体_GBK"/>
          <w:b/>
          <w:bCs/>
          <w:color w:val="FF0000"/>
          <w:lang w:eastAsia="zh-CN"/>
        </w:rPr>
      </w:pPr>
      <w:r>
        <w:rPr>
          <w:rFonts w:hint="eastAsia" w:ascii="方正楷体_GBK" w:hAnsi="方正楷体_GBK" w:eastAsia="方正楷体_GBK" w:cs="方正楷体_GBK"/>
          <w:b/>
          <w:bCs/>
          <w:color w:val="FF0000"/>
          <w:sz w:val="32"/>
          <w:szCs w:val="32"/>
          <w:lang w:eastAsia="zh-CN"/>
        </w:rPr>
        <w:t>（</w:t>
      </w:r>
      <w:r>
        <w:rPr>
          <w:rFonts w:hint="eastAsia" w:ascii="方正楷体_GBK" w:hAnsi="方正楷体_GBK" w:eastAsia="方正楷体_GBK" w:cs="方正楷体_GBK"/>
          <w:b/>
          <w:bCs/>
          <w:color w:val="FF0000"/>
          <w:sz w:val="32"/>
          <w:szCs w:val="32"/>
          <w:lang w:val="en-US" w:eastAsia="zh-CN"/>
        </w:rPr>
        <w:t>无锡贸促会</w:t>
      </w:r>
      <w:r>
        <w:rPr>
          <w:rFonts w:hint="eastAsia" w:ascii="方正楷体_GBK" w:hAnsi="方正楷体_GBK" w:eastAsia="方正楷体_GBK" w:cs="方正楷体_GBK"/>
          <w:b/>
          <w:bCs/>
          <w:color w:val="FF0000"/>
          <w:sz w:val="32"/>
          <w:szCs w:val="32"/>
          <w:lang w:eastAsia="zh-CN"/>
        </w:rPr>
        <w:t>）</w:t>
      </w:r>
    </w:p>
    <w:p>
      <w:pPr>
        <w:rPr>
          <w:rFonts w:hint="eastAsia" w:ascii="Times New Roman" w:hAnsi="Times New Roman" w:eastAsia="经典行楷简" w:cs="Times New Roman"/>
          <w:color w:val="2E75B6" w:themeColor="accent1" w:themeShade="BF"/>
          <w:spacing w:val="0"/>
          <w:kern w:val="2"/>
          <w:sz w:val="52"/>
          <w:szCs w:val="52"/>
          <w:lang w:val="en-US" w:eastAsia="zh-CN" w:bidi="ar-SA"/>
        </w:rPr>
      </w:pPr>
    </w:p>
    <w:p>
      <w:pPr>
        <w:rPr>
          <w:rFonts w:hint="eastAsia" w:ascii="Times New Roman" w:hAnsi="Times New Roman" w:eastAsia="经典行楷简" w:cs="Times New Roman"/>
          <w:color w:val="2E75B6" w:themeColor="accent1" w:themeShade="BF"/>
          <w:spacing w:val="0"/>
          <w:kern w:val="2"/>
          <w:sz w:val="52"/>
          <w:szCs w:val="52"/>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经典行楷简" w:cs="Times New Roman"/>
          <w:color w:val="2E75B6" w:themeColor="accent1" w:themeShade="BF"/>
          <w:spacing w:val="-6"/>
          <w:kern w:val="2"/>
          <w:sz w:val="52"/>
          <w:szCs w:val="52"/>
          <w:lang w:val="en-US" w:eastAsia="zh-CN" w:bidi="ar-SA"/>
        </w:rPr>
      </w:pPr>
      <w:r>
        <w:rPr>
          <w:rFonts w:hint="eastAsia" w:ascii="Times New Roman" w:hAnsi="Times New Roman" w:eastAsia="经典行楷简" w:cs="Times New Roman"/>
          <w:color w:val="2E75B6" w:themeColor="accent1" w:themeShade="BF"/>
          <w:spacing w:val="-6"/>
          <w:kern w:val="2"/>
          <w:sz w:val="52"/>
          <w:szCs w:val="52"/>
          <w:lang w:val="en-US" w:eastAsia="zh-CN" w:bidi="ar-SA"/>
        </w:rPr>
        <w:t>无锡市贸促会举办经贸大讲堂</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Theme="minorEastAsia" w:hAnsiTheme="minorEastAsia" w:eastAsiaTheme="minorEastAsia" w:cstheme="minorEastAsia"/>
          <w:sz w:val="32"/>
          <w:szCs w:val="32"/>
        </w:rPr>
      </w:pPr>
      <w:r>
        <w:rPr>
          <w:rFonts w:hint="eastAsia" w:ascii="Times New Roman" w:hAnsi="Times New Roman" w:eastAsia="经典行楷简" w:cs="Times New Roman"/>
          <w:color w:val="2E75B6" w:themeColor="accent1" w:themeShade="BF"/>
          <w:spacing w:val="-6"/>
          <w:kern w:val="2"/>
          <w:sz w:val="52"/>
          <w:szCs w:val="52"/>
          <w:lang w:val="en-US" w:eastAsia="zh-CN" w:bidi="ar-SA"/>
        </w:rPr>
        <w:t>（收入准则和租赁准则解读）活动</w:t>
      </w:r>
    </w:p>
    <w:p>
      <w:pPr>
        <w:ind w:firstLine="608"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企业会计核算质量的高低直接决定会计信息质量的高低，以至影响利益相关者的决策；随着经济的发展，会计准则不断修订完善，新准则的执行对财务人员的专业素质提出了更高要求。为了让企业财务人员明确会计准则的最新变化以及实务中的具体操作，提升对新准则的理解和实践应用能力，更好服务经济社会高质量发展，6月11日，由无锡市贸促会主办的经贸大讲堂：收入准则和租赁准则解读顺利举行，共吸引了线上线下180余人次收看了本期讲座。</w:t>
      </w:r>
    </w:p>
    <w:p>
      <w:pPr>
        <w:ind w:firstLine="608" w:firstLineChars="200"/>
        <w:rPr>
          <w:rFonts w:hint="eastAsia" w:ascii="Times New Roman" w:hAnsi="Times New Roman" w:cs="Times New Roman" w:eastAsiaTheme="minorEastAsia"/>
          <w:color w:val="2E75B6" w:themeColor="accent1" w:themeShade="BF"/>
          <w:spacing w:val="0"/>
          <w:kern w:val="2"/>
          <w:sz w:val="52"/>
          <w:szCs w:val="52"/>
          <w:lang w:val="en-US" w:eastAsia="zh-CN" w:bidi="ar-SA"/>
        </w:rPr>
      </w:pPr>
      <w:r>
        <w:rPr>
          <w:rFonts w:hint="eastAsia" w:asciiTheme="minorEastAsia" w:hAnsiTheme="minorEastAsia" w:eastAsiaTheme="minorEastAsia" w:cstheme="minorEastAsia"/>
          <w:sz w:val="32"/>
          <w:szCs w:val="32"/>
        </w:rPr>
        <w:t>江苏悦通会计师事务所有限公司合伙人吴剑波老师向大家介绍了收入准则重要原则变化、收入准则会计处理案例、租赁准则重要原则变化、租赁准则会计处理案例等相关内容，并解答了现场和线上企业代表提出的相关问题。</w:t>
      </w:r>
      <w:r>
        <w:rPr>
          <w:rFonts w:hint="eastAsia" w:asciiTheme="minorEastAsia" w:hAnsiTheme="minorEastAsia" w:cstheme="minorEastAsia"/>
          <w:sz w:val="32"/>
          <w:szCs w:val="32"/>
          <w:lang w:val="en-US" w:eastAsia="zh-CN"/>
        </w:rPr>
        <w:t xml:space="preserve">      </w:t>
      </w:r>
      <w:r>
        <w:rPr>
          <w:rFonts w:hint="eastAsia" w:ascii="方正楷体_GBK" w:hAnsi="方正楷体_GBK" w:eastAsia="方正楷体_GBK" w:cs="方正楷体_GBK"/>
          <w:b/>
          <w:bCs/>
          <w:color w:val="FF0000"/>
          <w:sz w:val="32"/>
          <w:szCs w:val="32"/>
        </w:rPr>
        <w:t>（</w:t>
      </w:r>
      <w:r>
        <w:rPr>
          <w:rFonts w:hint="eastAsia" w:ascii="方正楷体_GBK" w:hAnsi="方正楷体_GBK" w:eastAsia="方正楷体_GBK" w:cs="方正楷体_GBK"/>
          <w:b/>
          <w:bCs/>
          <w:color w:val="FF0000"/>
          <w:sz w:val="32"/>
          <w:szCs w:val="32"/>
          <w:lang w:val="en-US" w:eastAsia="zh-CN"/>
        </w:rPr>
        <w:t>无锡</w:t>
      </w:r>
      <w:r>
        <w:rPr>
          <w:rFonts w:hint="eastAsia" w:ascii="方正楷体_GBK" w:hAnsi="方正楷体_GBK" w:eastAsia="方正楷体_GBK" w:cs="方正楷体_GBK"/>
          <w:b/>
          <w:bCs/>
          <w:color w:val="FF0000"/>
          <w:sz w:val="32"/>
          <w:szCs w:val="32"/>
        </w:rPr>
        <w:t>贸促会）</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r>
        <w:rPr>
          <w:rFonts w:hint="default" w:ascii="Times New Roman" w:hAnsi="Times New Roman" w:eastAsia="经典行楷简" w:cs="Times New Roman"/>
          <w:b/>
          <w:color w:val="2E75B6" w:themeColor="accent1" w:themeShade="BF"/>
          <w:kern w:val="36"/>
          <w:sz w:val="96"/>
          <w:szCs w:val="96"/>
          <w:u w:val="none" w:color="BB120F"/>
          <w:lang w:val="en-US" w:eastAsia="zh-CN"/>
        </w:rPr>
        <w:t>会员企业风采</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华文新魏" w:cs="Times New Roman"/>
          <w:b/>
          <w:color w:val="FF0000"/>
          <w:spacing w:val="28"/>
          <w:kern w:val="36"/>
          <w:sz w:val="52"/>
          <w:szCs w:val="52"/>
          <w:lang w:val="en-US" w:eastAsia="zh-CN"/>
        </w:rPr>
      </w:pPr>
      <w:r>
        <w:rPr>
          <w:rFonts w:hint="eastAsia" w:ascii="Times New Roman" w:hAnsi="Times New Roman" w:eastAsia="华文新魏" w:cs="Times New Roman"/>
          <w:b/>
          <w:color w:val="FF0000"/>
          <w:spacing w:val="28"/>
          <w:kern w:val="36"/>
          <w:sz w:val="52"/>
          <w:szCs w:val="52"/>
          <w:lang w:val="en-US" w:eastAsia="zh-CN"/>
        </w:rPr>
        <w:t>中国信保“跨境电商+供应商”</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华文新魏" w:cs="Times New Roman"/>
          <w:b/>
          <w:color w:val="FF0000"/>
          <w:spacing w:val="28"/>
          <w:kern w:val="36"/>
          <w:sz w:val="52"/>
          <w:szCs w:val="52"/>
          <w:lang w:val="en-US" w:eastAsia="zh-CN"/>
        </w:rPr>
      </w:pPr>
      <w:r>
        <w:rPr>
          <w:rFonts w:hint="eastAsia" w:ascii="Times New Roman" w:hAnsi="Times New Roman" w:eastAsia="华文新魏" w:cs="Times New Roman"/>
          <w:b/>
          <w:color w:val="FF0000"/>
          <w:spacing w:val="28"/>
          <w:kern w:val="36"/>
          <w:sz w:val="52"/>
          <w:szCs w:val="52"/>
          <w:lang w:val="en-US" w:eastAsia="zh-CN"/>
        </w:rPr>
        <w:t>承保模式取得新突破</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日前，我会副会长单位——中国出口信用保险公司江苏分公司创新支持江苏国泰华盛实业有限公司、南京海聆梦家居有限公司向中国跨境电商B2C平台SHEIN货物出口的应收账款提供风险保障，标志着中国信保在支持“跨境电商+供应商”新型升级模式方面注入新的活力、迈出新的步伐。</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江苏国泰华盛实业有限公司是国有控股江苏国泰国际集团核心子公司，是一家主营纺织服装、纱线、面料、配饰等出口业务的传统外贸企业。作为集团核心成员，面对跨境电商蓬勃发展带来的挑战，企业不断寻求转型，探索新的发展模式，单独创设团队承接SHEIN快销模式，在跨境电商发展中争取新红利。</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海聆梦品牌创立于1992年，30年来深耕在家纺家居行业，是中国家纺规模制造的领军企业。随着经济全球化的加速和市场竞争的日益激烈，企业积极探索借助跨境电商平台SHEIN发展趋势，助力自主品牌全球化发展已成为企业更大诉求。</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近年来，跨境电商已成为我国发展速度最快、潜力最大、带动作用最强的外贸新业态形式。新型跨境电商平台企业出于控制货物到达时效、减少物流成本、降低仓储风险等考虑，倾向于国内采购后自行完成货物跨境运输。相较于传统贸易，供应商与跨境电商国内交货后，由跨境电商自行发货出口已成为跨境电商出口业态发展新趋势。</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中国信保在“跨境电商+供应商”货物出口承保模式的创新是扎实推进贸易高质量发展，融入跨境电商生态圈新局面的重大突破。下一步，中国信保将继续锚定重点领域，为外贸质升量稳不断注入有活力的新动能。</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jc w:val="both"/>
        <w:textAlignment w:val="auto"/>
        <w:outlineLvl w:val="9"/>
        <w:rPr>
          <w:rFonts w:hint="eastAsia" w:asciiTheme="minorEastAsia" w:hAnsiTheme="minorEastAsia" w:eastAsiaTheme="minorEastAsia" w:cstheme="minorEastAsia"/>
          <w:bCs/>
          <w:sz w:val="32"/>
          <w:szCs w:val="32"/>
          <w:lang w:val="en-US" w:eastAsia="zh-CN"/>
        </w:rPr>
      </w:pPr>
      <w:r>
        <w:rPr>
          <w:rFonts w:hint="eastAsia" w:asciiTheme="minorEastAsia" w:hAnsiTheme="minorEastAsia" w:cstheme="minorEastAsia"/>
          <w:i w:val="0"/>
          <w:caps w:val="0"/>
          <w:color w:val="000000"/>
          <w:spacing w:val="0"/>
          <w:sz w:val="32"/>
          <w:szCs w:val="32"/>
          <w:lang w:val="en-US" w:eastAsia="zh-CN"/>
        </w:rPr>
        <w:t xml:space="preserve">               </w:t>
      </w:r>
      <w:r>
        <w:rPr>
          <w:rFonts w:hint="eastAsia" w:ascii="方正楷体_GBK" w:hAnsi="方正楷体_GBK" w:eastAsia="方正楷体_GBK" w:cs="方正楷体_GBK"/>
          <w:b/>
          <w:bCs w:val="0"/>
          <w:color w:val="FF0000"/>
          <w:sz w:val="32"/>
          <w:szCs w:val="32"/>
        </w:rPr>
        <w:t>（来源：中国信保江苏分公司微信公众号）</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exact"/>
        <w:ind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exact"/>
        <w:ind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exact"/>
        <w:ind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exact"/>
        <w:ind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华文新魏" w:cs="Times New Roman"/>
          <w:b/>
          <w:bCs w:val="0"/>
          <w:color w:val="FF0000"/>
          <w:spacing w:val="0"/>
          <w:kern w:val="36"/>
          <w:sz w:val="52"/>
          <w:szCs w:val="52"/>
          <w:lang w:val="en-US" w:eastAsia="zh-CN" w:bidi="ar-SA"/>
        </w:rPr>
      </w:pPr>
      <w:r>
        <w:rPr>
          <w:rFonts w:hint="default" w:ascii="Times New Roman" w:hAnsi="Times New Roman" w:eastAsia="华文新魏" w:cs="Times New Roman"/>
          <w:b/>
          <w:bCs w:val="0"/>
          <w:color w:val="FF0000"/>
          <w:spacing w:val="0"/>
          <w:kern w:val="36"/>
          <w:sz w:val="52"/>
          <w:szCs w:val="52"/>
          <w:lang w:val="en-US" w:eastAsia="zh-CN" w:bidi="ar-SA"/>
        </w:rPr>
        <w:t>苏豪文化集团“码上识宝”文旅</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华文新魏" w:cs="Times New Roman"/>
          <w:b/>
          <w:bCs w:val="0"/>
          <w:color w:val="FF0000"/>
          <w:spacing w:val="28"/>
          <w:kern w:val="36"/>
          <w:sz w:val="52"/>
          <w:szCs w:val="52"/>
          <w:lang w:val="en-US" w:eastAsia="zh-CN" w:bidi="ar-SA"/>
        </w:rPr>
      </w:pPr>
      <w:r>
        <w:rPr>
          <w:rFonts w:hint="default" w:ascii="Times New Roman" w:hAnsi="Times New Roman" w:eastAsia="华文新魏" w:cs="Times New Roman"/>
          <w:b/>
          <w:bCs w:val="0"/>
          <w:color w:val="FF0000"/>
          <w:spacing w:val="0"/>
          <w:kern w:val="36"/>
          <w:sz w:val="52"/>
          <w:szCs w:val="52"/>
          <w:lang w:val="en-US" w:eastAsia="zh-CN" w:bidi="ar-SA"/>
        </w:rPr>
        <w:t>数字化创新平台商城板块正式上线</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近日，由我会理事单位——苏豪文化集团有限公司旗下江苏万联信息科技有限公司研发的“码上识宝”文旅数字化创新平台商城板块正式上线。该平台以国家工业互联网标识解析技术为基础，集成应用XR、AI、物联网和大数据技术等，是为推动文化和旅游领域转型升级而量身打造的新型应用场景平台。</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除商城板块外，平台近期还将推出“元宇宙+文博”展陈和“人工智能+文旅”个性定制化服务。其中：在“元宇宙+文博”展陈中，用户可以通过标识进行展品索引，也可以随时随地查看文物的前世今生、艺术特点和文化价值，还可以通过VR技术构建文化三维立体影像，实现既有利于保护文物，又能让观众零距离观摩欣赏。“人工智能+文旅”集成使用了人工智能生成内容（AIGC）技术，可以通过分析用户的兴趣和行为数据，为游客提供个性化的日程规划、旅游路线和讲解内容，还可以利用算法优化旅游路线，综合考虑交通、天气等因素，避免重复和不必要的行程，确保日程安排合理，行程顺利，可以极大提升游客的体验感和满意度。</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码上识宝”文旅数字化创新平台的发展，将依托苏豪文化集团多年在文、商、旅融合发展中深耕、积淀的丰厚资源优势，以多元数字化手段，服务文化产业上下游，有效支撑企业产品供应链提质增效和数字化升级，同时，发挥工业生产融合文旅资源的聚集效应，提供可以“确权、确价、确信”的文化商品，打造“产品增值、品牌增色、企业增收、产业增效”的智慧文商旅生态。</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方正楷体_GBK" w:hAnsi="方正楷体_GBK" w:eastAsia="方正楷体_GBK" w:cs="方正楷体_GBK"/>
          <w:b/>
          <w:bCs/>
          <w:i w:val="0"/>
          <w:caps w:val="0"/>
          <w:color w:val="FF0000"/>
          <w:spacing w:val="0"/>
          <w:sz w:val="32"/>
          <w:szCs w:val="32"/>
          <w:lang w:val="en-US" w:eastAsia="zh-CN"/>
        </w:rPr>
      </w:pPr>
      <w:r>
        <w:rPr>
          <w:rFonts w:hint="eastAsia" w:ascii="Times New Roman" w:hAnsi="Times New Roman" w:cstheme="minorEastAsia"/>
          <w:i w:val="0"/>
          <w:caps w:val="0"/>
          <w:color w:val="000000"/>
          <w:spacing w:val="0"/>
          <w:sz w:val="32"/>
          <w:szCs w:val="32"/>
          <w:lang w:val="en-US" w:eastAsia="zh-CN"/>
        </w:rPr>
        <w:t xml:space="preserve">                        </w:t>
      </w:r>
      <w:r>
        <w:rPr>
          <w:rFonts w:hint="eastAsia" w:ascii="方正楷体_GBK" w:hAnsi="方正楷体_GBK" w:eastAsia="方正楷体_GBK" w:cs="方正楷体_GBK"/>
          <w:b/>
          <w:bCs/>
          <w:i w:val="0"/>
          <w:caps w:val="0"/>
          <w:color w:val="FF0000"/>
          <w:spacing w:val="0"/>
          <w:sz w:val="32"/>
          <w:szCs w:val="32"/>
          <w:lang w:val="en-US" w:eastAsia="zh-CN"/>
        </w:rPr>
        <w:t>（来源：苏豪文化集团官网）</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default" w:ascii="方正楷体_GBK" w:hAnsi="方正楷体_GBK" w:eastAsia="方正楷体_GBK" w:cs="方正楷体_GBK"/>
          <w:b/>
          <w:bCs/>
          <w:color w:val="FF0000"/>
          <w:kern w:val="2"/>
          <w:sz w:val="32"/>
          <w:szCs w:val="32"/>
          <w:lang w:val="en-US" w:eastAsia="zh-CN" w:bidi="ar-SA"/>
        </w:rPr>
      </w:pPr>
      <w:r>
        <w:rPr>
          <w:rFonts w:hint="default" w:ascii="方正楷体_GBK" w:hAnsi="方正楷体_GBK" w:eastAsia="方正楷体_GBK" w:cs="方正楷体_GBK"/>
          <w:b/>
          <w:bCs/>
          <w:color w:val="FF0000"/>
          <w:kern w:val="2"/>
          <w:sz w:val="32"/>
          <w:szCs w:val="32"/>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default" w:ascii="方正楷体_GBK" w:hAnsi="方正楷体_GBK" w:eastAsia="方正楷体_GBK" w:cs="方正楷体_GBK"/>
          <w:b/>
          <w:bCs/>
          <w:color w:val="FF000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Times New Roman" w:hAnsi="Times New Roman" w:eastAsia="华文新魏" w:cs="Times New Roman"/>
          <w:b/>
          <w:color w:val="FF0000"/>
          <w:spacing w:val="0"/>
          <w:kern w:val="36"/>
          <w:sz w:val="52"/>
          <w:szCs w:val="52"/>
          <w:lang w:val="en-US" w:eastAsia="zh-CN" w:bidi="ar-SA"/>
        </w:rPr>
      </w:pPr>
      <w:r>
        <w:rPr>
          <w:rFonts w:hint="eastAsia" w:ascii="Times New Roman" w:hAnsi="Times New Roman" w:eastAsia="华文新魏" w:cs="Times New Roman"/>
          <w:b/>
          <w:color w:val="FF0000"/>
          <w:spacing w:val="0"/>
          <w:kern w:val="36"/>
          <w:sz w:val="52"/>
          <w:szCs w:val="52"/>
          <w:lang w:val="en-US" w:eastAsia="zh-CN" w:bidi="ar-SA"/>
        </w:rPr>
        <w:t>奥特维于TOPCon组件</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Times New Roman" w:hAnsi="Times New Roman" w:eastAsia="华文新魏" w:cs="Times New Roman"/>
          <w:b/>
          <w:color w:val="FF0000"/>
          <w:spacing w:val="0"/>
          <w:kern w:val="36"/>
          <w:sz w:val="52"/>
          <w:szCs w:val="52"/>
          <w:lang w:val="en-US" w:eastAsia="zh-CN" w:bidi="ar-SA"/>
        </w:rPr>
      </w:pPr>
      <w:r>
        <w:rPr>
          <w:rFonts w:hint="eastAsia" w:ascii="Times New Roman" w:hAnsi="Times New Roman" w:eastAsia="华文新魏" w:cs="Times New Roman"/>
          <w:b/>
          <w:color w:val="FF0000"/>
          <w:spacing w:val="0"/>
          <w:kern w:val="36"/>
          <w:sz w:val="52"/>
          <w:szCs w:val="52"/>
          <w:lang w:val="en-US" w:eastAsia="zh-CN" w:bidi="ar-SA"/>
        </w:rPr>
        <w:t>设备领域斩获两项重要奖项</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近日，第二届TOPCon高效电池组件技术高峰论坛在滁州召开，探讨和分享TOPCon电池技术的最新进展，推动光伏行业向更高效、更环保的方向发展。现场，我会理事单位——无锡奥特维科技股份有限公司多主栅光伏串焊机获授“TOPCon组件设备创新技术奖”、“TOPCon组件设备TOP10供应商”，彰显企业实力。</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Theme="minorEastAsia" w:hAnsiTheme="minorEastAsia" w:eastAsiaTheme="minorEastAsia" w:cstheme="minorEastAsia"/>
          <w:i w:val="0"/>
          <w:caps w:val="0"/>
          <w:color w:val="000000"/>
          <w:spacing w:val="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奥特维多主栅光伏串焊机是公司最新型的组件端核心设备，是一款集成无损划片的多主栅光伏划焊联体串焊机。通过先进的自动化技术的运用，叠加智能制造技术，该设备实现了从电池片上料到电池串出料的全自动智能加工流程。</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both"/>
        <w:textAlignment w:val="auto"/>
        <w:outlineLvl w:val="1"/>
        <w:rPr>
          <w:rFonts w:hint="eastAsia" w:ascii="方正楷体_GBK" w:hAnsi="方正楷体_GBK" w:eastAsia="方正楷体_GBK" w:cs="方正楷体_GBK"/>
          <w:b/>
          <w:bCs w:val="0"/>
          <w:color w:val="FF0000"/>
          <w:sz w:val="32"/>
          <w:szCs w:val="32"/>
          <w:lang w:val="en-US" w:eastAsia="zh-CN"/>
        </w:rPr>
      </w:pPr>
      <w:r>
        <w:rPr>
          <w:rFonts w:hint="eastAsia" w:asciiTheme="minorEastAsia" w:hAnsiTheme="minorEastAsia" w:eastAsiaTheme="minorEastAsia" w:cstheme="minorEastAsia"/>
          <w:i w:val="0"/>
          <w:caps w:val="0"/>
          <w:color w:val="000000"/>
          <w:spacing w:val="0"/>
          <w:sz w:val="32"/>
          <w:szCs w:val="32"/>
          <w:lang w:val="en-US" w:eastAsia="zh-CN"/>
        </w:rPr>
        <w:t>除核心产品多主栅光伏串焊机外、奥特维亦拥有其他光伏行业其他具备强劲市场竞争力的产品，同时积极拓展产业链的产品布局，近年推出了增强金属化设备、排叠一体机、低压化学气相沉积设备LPCVD等新产品，具备强大的研发和生产能力。未来，奥特维将在光伏智能制造领域寻求更多突破，为全球的绿色能源事业贡献力量。</w:t>
      </w:r>
      <w:r>
        <w:rPr>
          <w:rFonts w:hint="eastAsia" w:asciiTheme="minorEastAsia" w:hAnsiTheme="minorEastAsia" w:cstheme="minorEastAsia"/>
          <w:i w:val="0"/>
          <w:caps w:val="0"/>
          <w:color w:val="000000"/>
          <w:spacing w:val="0"/>
          <w:sz w:val="32"/>
          <w:szCs w:val="32"/>
          <w:lang w:val="en-US" w:eastAsia="zh-CN"/>
        </w:rPr>
        <w:t xml:space="preserve">        </w:t>
      </w:r>
      <w:r>
        <w:rPr>
          <w:rFonts w:hint="eastAsia" w:ascii="方正楷体_GBK" w:hAnsi="方正楷体_GBK" w:eastAsia="方正楷体_GBK" w:cs="方正楷体_GBK"/>
          <w:b/>
          <w:bCs w:val="0"/>
          <w:color w:val="FF0000"/>
          <w:sz w:val="32"/>
          <w:szCs w:val="32"/>
        </w:rPr>
        <w:t>（来源：奥特维微信公众号）</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imes New Roman" w:hAnsi="Times New Roman" w:eastAsiaTheme="minorEastAsia" w:cstheme="minorEastAsia"/>
          <w:i w:val="0"/>
          <w:caps w:val="0"/>
          <w:color w:val="000000"/>
          <w:spacing w:val="0"/>
          <w:sz w:val="32"/>
          <w:szCs w:val="3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after="210" w:line="580" w:lineRule="exact"/>
        <w:ind w:firstLine="4256" w:firstLineChars="1400"/>
        <w:contextualSpacing/>
        <w:jc w:val="left"/>
        <w:textAlignment w:val="auto"/>
        <w:outlineLvl w:val="1"/>
        <w:rPr>
          <w:rFonts w:hint="default" w:ascii="方正楷体_GBK" w:hAnsi="方正楷体_GBK" w:eastAsia="方正楷体_GBK" w:cs="方正楷体_GBK"/>
          <w:b/>
          <w:bCs/>
          <w:color w:val="FF0000"/>
          <w:sz w:val="32"/>
          <w:szCs w:val="32"/>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exact"/>
        <w:contextualSpacing/>
        <w:jc w:val="center"/>
        <w:textAlignment w:val="auto"/>
        <w:outlineLvl w:val="1"/>
        <w:rPr>
          <w:rFonts w:hint="default" w:ascii="Times New Roman" w:hAnsi="Times New Roman" w:eastAsia="华文新魏" w:cs="Times New Roman"/>
          <w:b/>
          <w:color w:val="FF0000"/>
          <w:spacing w:val="0"/>
          <w:kern w:val="36"/>
          <w:sz w:val="52"/>
          <w:szCs w:val="52"/>
          <w:lang w:val="en-US" w:eastAsia="zh-CN"/>
        </w:rPr>
      </w:pPr>
    </w:p>
    <w:sectPr>
      <w:footerReference r:id="rId4"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经典行楷简">
    <w:panose1 w:val="02010609000101010101"/>
    <w:charset w:val="86"/>
    <w:family w:val="auto"/>
    <w:pitch w:val="default"/>
    <w:sig w:usb0="A1007AEF" w:usb1="F9DF7CFB" w:usb2="0000001E" w:usb3="00000000" w:csb0="2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-235585</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tabs>
                              <w:tab w:val="center" w:pos="4153"/>
                              <w:tab w:val="right" w:pos="8306"/>
                            </w:tabs>
                            <w:snapToGrid w:val="0"/>
                            <w:jc w:val="left"/>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0pt;margin-top:-18.55pt;height:144pt;width:144pt;mso-position-horizontal-relative:margin;mso-wrap-style:none;z-index:251660288;mso-width-relative:page;mso-height-relative:page;" filled="f" stroked="f" coordsize="21600,21600" o:gfxdata="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KOSNh1gAAAAgBAAAPAAAAAAAAAAEAIAAAACIAAABkcnMvZG93bnJl&#10;di54bWxQSwECFAAUAAAACACHTuJAtVl6sjgCAABvBAAADgAAAAAAAAABACAAAAAlAQAAZHJzL2Uy&#10;b0RvYy54bWxQSwUGAAAAAAYABgBZAQAAzwUAAAAA&#10;">
              <v:fill on="f" focussize="0,0"/>
              <v:stroke on="f" weight="0.5pt"/>
              <v:imagedata o:title=""/>
              <o:lock v:ext="edit" aspectratio="f"/>
              <v:textbox inset="0mm,0mm,0mm,0mm" style="mso-fit-shape-to-text:t;">
                <w:txbxContent>
                  <w:p>
                    <w:pPr>
                      <w:widowControl w:val="0"/>
                      <w:tabs>
                        <w:tab w:val="center" w:pos="4153"/>
                        <w:tab w:val="right" w:pos="8306"/>
                      </w:tabs>
                      <w:snapToGrid w:val="0"/>
                      <w:jc w:val="left"/>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v:textbox>
            </v:shape>
          </w:pict>
        </mc:Fallback>
      </mc:AlternateContent>
    </w: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lYTBmM2EzYjQ3OTQ5OTI5MTEwYTEwZDMxZTc3MzcifQ=="/>
  </w:docVars>
  <w:rsids>
    <w:rsidRoot w:val="09CD0E22"/>
    <w:rsid w:val="00030C0E"/>
    <w:rsid w:val="00043245"/>
    <w:rsid w:val="0007364F"/>
    <w:rsid w:val="00093D01"/>
    <w:rsid w:val="00097083"/>
    <w:rsid w:val="001156B9"/>
    <w:rsid w:val="00145330"/>
    <w:rsid w:val="00154806"/>
    <w:rsid w:val="001F2C95"/>
    <w:rsid w:val="00215B64"/>
    <w:rsid w:val="002840B7"/>
    <w:rsid w:val="003208B4"/>
    <w:rsid w:val="003671B0"/>
    <w:rsid w:val="003C691D"/>
    <w:rsid w:val="003F32D7"/>
    <w:rsid w:val="0042623F"/>
    <w:rsid w:val="0043286B"/>
    <w:rsid w:val="00467C46"/>
    <w:rsid w:val="005A092B"/>
    <w:rsid w:val="006B63D3"/>
    <w:rsid w:val="006C0C2E"/>
    <w:rsid w:val="007C2A82"/>
    <w:rsid w:val="007E11E9"/>
    <w:rsid w:val="008B2F92"/>
    <w:rsid w:val="008E3499"/>
    <w:rsid w:val="008F79A9"/>
    <w:rsid w:val="00906A61"/>
    <w:rsid w:val="00962249"/>
    <w:rsid w:val="00A0554E"/>
    <w:rsid w:val="00A55B3B"/>
    <w:rsid w:val="00B16790"/>
    <w:rsid w:val="00B35803"/>
    <w:rsid w:val="00B45E3E"/>
    <w:rsid w:val="00C16462"/>
    <w:rsid w:val="00C66488"/>
    <w:rsid w:val="00CA656E"/>
    <w:rsid w:val="00CE04E4"/>
    <w:rsid w:val="00D0085C"/>
    <w:rsid w:val="00D9651F"/>
    <w:rsid w:val="00DB54B3"/>
    <w:rsid w:val="00DF053C"/>
    <w:rsid w:val="00E278B0"/>
    <w:rsid w:val="00FC3867"/>
    <w:rsid w:val="010007F1"/>
    <w:rsid w:val="01123C24"/>
    <w:rsid w:val="01281FA6"/>
    <w:rsid w:val="0129652A"/>
    <w:rsid w:val="012C4A94"/>
    <w:rsid w:val="0134238F"/>
    <w:rsid w:val="01434062"/>
    <w:rsid w:val="015A28DE"/>
    <w:rsid w:val="01603797"/>
    <w:rsid w:val="01614C4F"/>
    <w:rsid w:val="016607CF"/>
    <w:rsid w:val="01687C29"/>
    <w:rsid w:val="016C6133"/>
    <w:rsid w:val="016D0719"/>
    <w:rsid w:val="01730647"/>
    <w:rsid w:val="017F7312"/>
    <w:rsid w:val="0183354F"/>
    <w:rsid w:val="018A4341"/>
    <w:rsid w:val="018D1ED5"/>
    <w:rsid w:val="01944C0D"/>
    <w:rsid w:val="019652A2"/>
    <w:rsid w:val="019A0A9C"/>
    <w:rsid w:val="019E5AF8"/>
    <w:rsid w:val="01A05888"/>
    <w:rsid w:val="01A2463C"/>
    <w:rsid w:val="01A277CA"/>
    <w:rsid w:val="01A536F0"/>
    <w:rsid w:val="01AB72AD"/>
    <w:rsid w:val="01AD0FC0"/>
    <w:rsid w:val="01AF0E83"/>
    <w:rsid w:val="01B74B80"/>
    <w:rsid w:val="01B76B70"/>
    <w:rsid w:val="01BC47E4"/>
    <w:rsid w:val="01BD0D3F"/>
    <w:rsid w:val="01C277DB"/>
    <w:rsid w:val="01CB201F"/>
    <w:rsid w:val="01D01DDD"/>
    <w:rsid w:val="01D83F23"/>
    <w:rsid w:val="01DA121B"/>
    <w:rsid w:val="01E02E8A"/>
    <w:rsid w:val="01EB6FF4"/>
    <w:rsid w:val="01EC6C1A"/>
    <w:rsid w:val="01F43D5D"/>
    <w:rsid w:val="01F53962"/>
    <w:rsid w:val="01FE284A"/>
    <w:rsid w:val="020C0504"/>
    <w:rsid w:val="020F3F82"/>
    <w:rsid w:val="021337A8"/>
    <w:rsid w:val="02154F00"/>
    <w:rsid w:val="02200558"/>
    <w:rsid w:val="022C2DDE"/>
    <w:rsid w:val="024125AD"/>
    <w:rsid w:val="02424F98"/>
    <w:rsid w:val="02451830"/>
    <w:rsid w:val="024B4F65"/>
    <w:rsid w:val="02522774"/>
    <w:rsid w:val="02594620"/>
    <w:rsid w:val="026C4E4C"/>
    <w:rsid w:val="02716397"/>
    <w:rsid w:val="027B1EF4"/>
    <w:rsid w:val="027D39C5"/>
    <w:rsid w:val="02842B55"/>
    <w:rsid w:val="02850B1B"/>
    <w:rsid w:val="028E239B"/>
    <w:rsid w:val="028E669E"/>
    <w:rsid w:val="02945151"/>
    <w:rsid w:val="02994D24"/>
    <w:rsid w:val="02AA4579"/>
    <w:rsid w:val="02B7449E"/>
    <w:rsid w:val="02B93913"/>
    <w:rsid w:val="02CA2014"/>
    <w:rsid w:val="02CE36F0"/>
    <w:rsid w:val="02D253BA"/>
    <w:rsid w:val="02D664A5"/>
    <w:rsid w:val="02D70120"/>
    <w:rsid w:val="02E746B3"/>
    <w:rsid w:val="02F04987"/>
    <w:rsid w:val="02F3072B"/>
    <w:rsid w:val="02F4686A"/>
    <w:rsid w:val="02F50E1A"/>
    <w:rsid w:val="02FC365E"/>
    <w:rsid w:val="03032EA1"/>
    <w:rsid w:val="03055083"/>
    <w:rsid w:val="030A33B2"/>
    <w:rsid w:val="0312457C"/>
    <w:rsid w:val="03173E54"/>
    <w:rsid w:val="03276EB0"/>
    <w:rsid w:val="03320DD5"/>
    <w:rsid w:val="03367B19"/>
    <w:rsid w:val="033F3094"/>
    <w:rsid w:val="033F5E23"/>
    <w:rsid w:val="0341739D"/>
    <w:rsid w:val="035906B9"/>
    <w:rsid w:val="035A07AB"/>
    <w:rsid w:val="036572E0"/>
    <w:rsid w:val="036773BE"/>
    <w:rsid w:val="036B41D2"/>
    <w:rsid w:val="03745931"/>
    <w:rsid w:val="0375270B"/>
    <w:rsid w:val="0376026A"/>
    <w:rsid w:val="03763E10"/>
    <w:rsid w:val="03795E56"/>
    <w:rsid w:val="03796DCC"/>
    <w:rsid w:val="038F00BD"/>
    <w:rsid w:val="038F07EB"/>
    <w:rsid w:val="039F6B79"/>
    <w:rsid w:val="03A054FE"/>
    <w:rsid w:val="03A710E3"/>
    <w:rsid w:val="03B75E22"/>
    <w:rsid w:val="03B93704"/>
    <w:rsid w:val="03C7124D"/>
    <w:rsid w:val="03C956D7"/>
    <w:rsid w:val="03CD065E"/>
    <w:rsid w:val="03CD0F50"/>
    <w:rsid w:val="03D96519"/>
    <w:rsid w:val="03DC76EB"/>
    <w:rsid w:val="03DF3AAC"/>
    <w:rsid w:val="03DF7C94"/>
    <w:rsid w:val="03E4053E"/>
    <w:rsid w:val="03EE2D2D"/>
    <w:rsid w:val="03EE5120"/>
    <w:rsid w:val="03F95EAB"/>
    <w:rsid w:val="03FA4378"/>
    <w:rsid w:val="040E59E0"/>
    <w:rsid w:val="04177E90"/>
    <w:rsid w:val="041B3B0D"/>
    <w:rsid w:val="041F33A4"/>
    <w:rsid w:val="04227E09"/>
    <w:rsid w:val="04256881"/>
    <w:rsid w:val="042C1175"/>
    <w:rsid w:val="042E72BA"/>
    <w:rsid w:val="04361A54"/>
    <w:rsid w:val="043837D8"/>
    <w:rsid w:val="043F0FCC"/>
    <w:rsid w:val="0458216E"/>
    <w:rsid w:val="04633D2A"/>
    <w:rsid w:val="046441B2"/>
    <w:rsid w:val="0470619B"/>
    <w:rsid w:val="047264E0"/>
    <w:rsid w:val="047929EC"/>
    <w:rsid w:val="047931E4"/>
    <w:rsid w:val="047B754C"/>
    <w:rsid w:val="047C330E"/>
    <w:rsid w:val="047E0389"/>
    <w:rsid w:val="04802BB2"/>
    <w:rsid w:val="048112FB"/>
    <w:rsid w:val="048A77DB"/>
    <w:rsid w:val="048B08F7"/>
    <w:rsid w:val="04997356"/>
    <w:rsid w:val="04B3013F"/>
    <w:rsid w:val="04BA605B"/>
    <w:rsid w:val="04BB6582"/>
    <w:rsid w:val="04BF51D4"/>
    <w:rsid w:val="04C30370"/>
    <w:rsid w:val="04C369FD"/>
    <w:rsid w:val="04C87276"/>
    <w:rsid w:val="04CE7B7F"/>
    <w:rsid w:val="04D13EAB"/>
    <w:rsid w:val="04E16ACF"/>
    <w:rsid w:val="04E92750"/>
    <w:rsid w:val="04ED1D07"/>
    <w:rsid w:val="04F33CBA"/>
    <w:rsid w:val="05006805"/>
    <w:rsid w:val="05017788"/>
    <w:rsid w:val="05150D13"/>
    <w:rsid w:val="052054D4"/>
    <w:rsid w:val="052C7639"/>
    <w:rsid w:val="054A7C8A"/>
    <w:rsid w:val="055D26AF"/>
    <w:rsid w:val="056534E0"/>
    <w:rsid w:val="056834A8"/>
    <w:rsid w:val="05684832"/>
    <w:rsid w:val="056E79C6"/>
    <w:rsid w:val="057A799E"/>
    <w:rsid w:val="058647BE"/>
    <w:rsid w:val="05880374"/>
    <w:rsid w:val="05881910"/>
    <w:rsid w:val="05913966"/>
    <w:rsid w:val="059F17BF"/>
    <w:rsid w:val="05A16093"/>
    <w:rsid w:val="05A259F9"/>
    <w:rsid w:val="05A73DC5"/>
    <w:rsid w:val="05B336D5"/>
    <w:rsid w:val="05CC2A3B"/>
    <w:rsid w:val="05CD0D9A"/>
    <w:rsid w:val="05CF249D"/>
    <w:rsid w:val="05D14319"/>
    <w:rsid w:val="05D714EA"/>
    <w:rsid w:val="05E536E6"/>
    <w:rsid w:val="05EA1C44"/>
    <w:rsid w:val="05F2445C"/>
    <w:rsid w:val="06077942"/>
    <w:rsid w:val="060A0D89"/>
    <w:rsid w:val="060C359D"/>
    <w:rsid w:val="060F3722"/>
    <w:rsid w:val="062B0B83"/>
    <w:rsid w:val="062C6587"/>
    <w:rsid w:val="062D67C8"/>
    <w:rsid w:val="06301A1B"/>
    <w:rsid w:val="0633380C"/>
    <w:rsid w:val="0638362B"/>
    <w:rsid w:val="063E600A"/>
    <w:rsid w:val="06405659"/>
    <w:rsid w:val="064F5725"/>
    <w:rsid w:val="06510CDF"/>
    <w:rsid w:val="065C27A8"/>
    <w:rsid w:val="065F50DA"/>
    <w:rsid w:val="06602F2C"/>
    <w:rsid w:val="06626021"/>
    <w:rsid w:val="066D2CED"/>
    <w:rsid w:val="066E2C0B"/>
    <w:rsid w:val="06700010"/>
    <w:rsid w:val="06734EB6"/>
    <w:rsid w:val="067C24CF"/>
    <w:rsid w:val="068A1FDD"/>
    <w:rsid w:val="069002BE"/>
    <w:rsid w:val="06906B8C"/>
    <w:rsid w:val="069725BC"/>
    <w:rsid w:val="069A3A7C"/>
    <w:rsid w:val="06A729E1"/>
    <w:rsid w:val="06AB1C7E"/>
    <w:rsid w:val="06AC05E7"/>
    <w:rsid w:val="06AF1D16"/>
    <w:rsid w:val="06AF3414"/>
    <w:rsid w:val="06B15237"/>
    <w:rsid w:val="06BA5EB2"/>
    <w:rsid w:val="06C21663"/>
    <w:rsid w:val="06D17DB1"/>
    <w:rsid w:val="06E444B8"/>
    <w:rsid w:val="070615F0"/>
    <w:rsid w:val="07085235"/>
    <w:rsid w:val="07146D7A"/>
    <w:rsid w:val="071A4300"/>
    <w:rsid w:val="072C5901"/>
    <w:rsid w:val="072D6955"/>
    <w:rsid w:val="07355298"/>
    <w:rsid w:val="073633AE"/>
    <w:rsid w:val="0738618B"/>
    <w:rsid w:val="074E1705"/>
    <w:rsid w:val="074E279C"/>
    <w:rsid w:val="075268B6"/>
    <w:rsid w:val="075C0378"/>
    <w:rsid w:val="075C613A"/>
    <w:rsid w:val="0768627D"/>
    <w:rsid w:val="07774E9B"/>
    <w:rsid w:val="07886D75"/>
    <w:rsid w:val="079A77BC"/>
    <w:rsid w:val="079D6C92"/>
    <w:rsid w:val="079E20C5"/>
    <w:rsid w:val="07A757F6"/>
    <w:rsid w:val="07A92FCD"/>
    <w:rsid w:val="07AB5A16"/>
    <w:rsid w:val="07C32EAB"/>
    <w:rsid w:val="07CE7516"/>
    <w:rsid w:val="07DA5629"/>
    <w:rsid w:val="07DE3B60"/>
    <w:rsid w:val="07E54B9E"/>
    <w:rsid w:val="07F1115C"/>
    <w:rsid w:val="08010DA7"/>
    <w:rsid w:val="08033960"/>
    <w:rsid w:val="080F3123"/>
    <w:rsid w:val="08220E8F"/>
    <w:rsid w:val="08242F28"/>
    <w:rsid w:val="08252E6C"/>
    <w:rsid w:val="08275EA4"/>
    <w:rsid w:val="08294CB5"/>
    <w:rsid w:val="083036B5"/>
    <w:rsid w:val="08310F19"/>
    <w:rsid w:val="08331FC1"/>
    <w:rsid w:val="083611A9"/>
    <w:rsid w:val="083901EB"/>
    <w:rsid w:val="08394081"/>
    <w:rsid w:val="083943C5"/>
    <w:rsid w:val="08404FD2"/>
    <w:rsid w:val="084A2513"/>
    <w:rsid w:val="08515651"/>
    <w:rsid w:val="085D6EF2"/>
    <w:rsid w:val="085F59AE"/>
    <w:rsid w:val="086303CB"/>
    <w:rsid w:val="08674312"/>
    <w:rsid w:val="0875786E"/>
    <w:rsid w:val="0881684A"/>
    <w:rsid w:val="08927463"/>
    <w:rsid w:val="08991A5A"/>
    <w:rsid w:val="089C49FA"/>
    <w:rsid w:val="08AF073A"/>
    <w:rsid w:val="08BD5FE1"/>
    <w:rsid w:val="08BE7798"/>
    <w:rsid w:val="08C46A4F"/>
    <w:rsid w:val="08C654F8"/>
    <w:rsid w:val="08CA79C7"/>
    <w:rsid w:val="08D54B6A"/>
    <w:rsid w:val="08D73E78"/>
    <w:rsid w:val="08DB6139"/>
    <w:rsid w:val="08DD4FAE"/>
    <w:rsid w:val="08DE001E"/>
    <w:rsid w:val="08DE502C"/>
    <w:rsid w:val="08DE7E03"/>
    <w:rsid w:val="08ED6D3B"/>
    <w:rsid w:val="08FB16E4"/>
    <w:rsid w:val="08FB2C3C"/>
    <w:rsid w:val="08FE2EDE"/>
    <w:rsid w:val="08FE5206"/>
    <w:rsid w:val="09140F8D"/>
    <w:rsid w:val="09155095"/>
    <w:rsid w:val="091D10D0"/>
    <w:rsid w:val="09203EB9"/>
    <w:rsid w:val="09210482"/>
    <w:rsid w:val="092105FC"/>
    <w:rsid w:val="09222AB2"/>
    <w:rsid w:val="0924510C"/>
    <w:rsid w:val="09266115"/>
    <w:rsid w:val="093303B8"/>
    <w:rsid w:val="09446DB4"/>
    <w:rsid w:val="094811BB"/>
    <w:rsid w:val="094F18C1"/>
    <w:rsid w:val="0954257E"/>
    <w:rsid w:val="095929D4"/>
    <w:rsid w:val="095A003F"/>
    <w:rsid w:val="095B02C8"/>
    <w:rsid w:val="09606CDC"/>
    <w:rsid w:val="09611686"/>
    <w:rsid w:val="09631FC1"/>
    <w:rsid w:val="09651D94"/>
    <w:rsid w:val="09747317"/>
    <w:rsid w:val="098A1F77"/>
    <w:rsid w:val="099872CF"/>
    <w:rsid w:val="09A137B2"/>
    <w:rsid w:val="09A2636C"/>
    <w:rsid w:val="09A44BA0"/>
    <w:rsid w:val="09AA495F"/>
    <w:rsid w:val="09AC53C9"/>
    <w:rsid w:val="09B630C3"/>
    <w:rsid w:val="09BD4BE0"/>
    <w:rsid w:val="09C222A5"/>
    <w:rsid w:val="09C27E4D"/>
    <w:rsid w:val="09C81C8D"/>
    <w:rsid w:val="09CB6B07"/>
    <w:rsid w:val="09CC1439"/>
    <w:rsid w:val="09CD0E22"/>
    <w:rsid w:val="09CD713D"/>
    <w:rsid w:val="09E11614"/>
    <w:rsid w:val="09FA2B3C"/>
    <w:rsid w:val="09FA772F"/>
    <w:rsid w:val="09FB6D64"/>
    <w:rsid w:val="0A030CE9"/>
    <w:rsid w:val="0A0D0EE1"/>
    <w:rsid w:val="0A145FB3"/>
    <w:rsid w:val="0A33530F"/>
    <w:rsid w:val="0A346C5C"/>
    <w:rsid w:val="0A375C0D"/>
    <w:rsid w:val="0A4707FD"/>
    <w:rsid w:val="0A486965"/>
    <w:rsid w:val="0A4B2E8D"/>
    <w:rsid w:val="0A5317DF"/>
    <w:rsid w:val="0A534D83"/>
    <w:rsid w:val="0A564C39"/>
    <w:rsid w:val="0A5B0F4C"/>
    <w:rsid w:val="0A61640A"/>
    <w:rsid w:val="0A6536D8"/>
    <w:rsid w:val="0A6A580E"/>
    <w:rsid w:val="0A6B730C"/>
    <w:rsid w:val="0A7611EF"/>
    <w:rsid w:val="0A765DBA"/>
    <w:rsid w:val="0A7A1EF7"/>
    <w:rsid w:val="0A937773"/>
    <w:rsid w:val="0A987047"/>
    <w:rsid w:val="0AA05D85"/>
    <w:rsid w:val="0AAD109D"/>
    <w:rsid w:val="0ABB417A"/>
    <w:rsid w:val="0ABE47A4"/>
    <w:rsid w:val="0ACC2910"/>
    <w:rsid w:val="0ACC3151"/>
    <w:rsid w:val="0AD16821"/>
    <w:rsid w:val="0AD45A3C"/>
    <w:rsid w:val="0AD60B60"/>
    <w:rsid w:val="0ADC78D2"/>
    <w:rsid w:val="0AE11813"/>
    <w:rsid w:val="0AE3323E"/>
    <w:rsid w:val="0AEB11A6"/>
    <w:rsid w:val="0AEC3E44"/>
    <w:rsid w:val="0AEE609E"/>
    <w:rsid w:val="0AEF478A"/>
    <w:rsid w:val="0B041299"/>
    <w:rsid w:val="0B062542"/>
    <w:rsid w:val="0B0E47F4"/>
    <w:rsid w:val="0B181D79"/>
    <w:rsid w:val="0B1C17AD"/>
    <w:rsid w:val="0B283787"/>
    <w:rsid w:val="0B2D6F6E"/>
    <w:rsid w:val="0B324CD2"/>
    <w:rsid w:val="0B345DB1"/>
    <w:rsid w:val="0B363DD8"/>
    <w:rsid w:val="0B3A4657"/>
    <w:rsid w:val="0B3C5BB9"/>
    <w:rsid w:val="0B4372E2"/>
    <w:rsid w:val="0B5A2079"/>
    <w:rsid w:val="0B5B5996"/>
    <w:rsid w:val="0B5C3E34"/>
    <w:rsid w:val="0B6075D7"/>
    <w:rsid w:val="0B627AD4"/>
    <w:rsid w:val="0B6A0BB3"/>
    <w:rsid w:val="0B785FA3"/>
    <w:rsid w:val="0B792EB2"/>
    <w:rsid w:val="0B8035EB"/>
    <w:rsid w:val="0B84164E"/>
    <w:rsid w:val="0B89731E"/>
    <w:rsid w:val="0B904412"/>
    <w:rsid w:val="0B913EDA"/>
    <w:rsid w:val="0B9C76A8"/>
    <w:rsid w:val="0BA50775"/>
    <w:rsid w:val="0BA749E5"/>
    <w:rsid w:val="0BAC24A8"/>
    <w:rsid w:val="0BAE1323"/>
    <w:rsid w:val="0BB42E0A"/>
    <w:rsid w:val="0BBA3391"/>
    <w:rsid w:val="0BDC3258"/>
    <w:rsid w:val="0BDE3581"/>
    <w:rsid w:val="0BE52963"/>
    <w:rsid w:val="0BE85349"/>
    <w:rsid w:val="0BF57A28"/>
    <w:rsid w:val="0BF845E9"/>
    <w:rsid w:val="0BFA1A53"/>
    <w:rsid w:val="0C074F06"/>
    <w:rsid w:val="0C085689"/>
    <w:rsid w:val="0C0B1E5B"/>
    <w:rsid w:val="0C146F99"/>
    <w:rsid w:val="0C1977CA"/>
    <w:rsid w:val="0C1A584B"/>
    <w:rsid w:val="0C2275D5"/>
    <w:rsid w:val="0C2D70F9"/>
    <w:rsid w:val="0C342312"/>
    <w:rsid w:val="0C456335"/>
    <w:rsid w:val="0C53740C"/>
    <w:rsid w:val="0C563E70"/>
    <w:rsid w:val="0C631545"/>
    <w:rsid w:val="0C6E187C"/>
    <w:rsid w:val="0C7D4D8F"/>
    <w:rsid w:val="0C80052F"/>
    <w:rsid w:val="0C8C06D3"/>
    <w:rsid w:val="0C980884"/>
    <w:rsid w:val="0C9961AF"/>
    <w:rsid w:val="0C9A50FF"/>
    <w:rsid w:val="0C9B3EE0"/>
    <w:rsid w:val="0C9C2E80"/>
    <w:rsid w:val="0CA0351E"/>
    <w:rsid w:val="0CA20B1F"/>
    <w:rsid w:val="0CA44E41"/>
    <w:rsid w:val="0CA77405"/>
    <w:rsid w:val="0CA83489"/>
    <w:rsid w:val="0CA96FA5"/>
    <w:rsid w:val="0CAE5B1B"/>
    <w:rsid w:val="0CB224D8"/>
    <w:rsid w:val="0CB31FF7"/>
    <w:rsid w:val="0CB45BFD"/>
    <w:rsid w:val="0CB75099"/>
    <w:rsid w:val="0CB80D6E"/>
    <w:rsid w:val="0CBF360E"/>
    <w:rsid w:val="0CC10497"/>
    <w:rsid w:val="0CC30BC5"/>
    <w:rsid w:val="0CC42150"/>
    <w:rsid w:val="0CC45545"/>
    <w:rsid w:val="0CC71781"/>
    <w:rsid w:val="0CCB0FDF"/>
    <w:rsid w:val="0CD15C3C"/>
    <w:rsid w:val="0CDC1817"/>
    <w:rsid w:val="0CDC515C"/>
    <w:rsid w:val="0D0B2A13"/>
    <w:rsid w:val="0D112021"/>
    <w:rsid w:val="0D12133D"/>
    <w:rsid w:val="0D1F7151"/>
    <w:rsid w:val="0D200D54"/>
    <w:rsid w:val="0D2B7DB2"/>
    <w:rsid w:val="0D3152D9"/>
    <w:rsid w:val="0D384916"/>
    <w:rsid w:val="0D427E08"/>
    <w:rsid w:val="0D4A1977"/>
    <w:rsid w:val="0D511FCD"/>
    <w:rsid w:val="0D52698E"/>
    <w:rsid w:val="0D583C5F"/>
    <w:rsid w:val="0D5D658F"/>
    <w:rsid w:val="0D6029A5"/>
    <w:rsid w:val="0D6063D4"/>
    <w:rsid w:val="0D667E20"/>
    <w:rsid w:val="0D6B6C90"/>
    <w:rsid w:val="0D7170F8"/>
    <w:rsid w:val="0D922931"/>
    <w:rsid w:val="0D95263C"/>
    <w:rsid w:val="0DA81B9F"/>
    <w:rsid w:val="0DAD79F2"/>
    <w:rsid w:val="0DB47CEC"/>
    <w:rsid w:val="0DBB3CA5"/>
    <w:rsid w:val="0DBB4EDD"/>
    <w:rsid w:val="0DC37BF2"/>
    <w:rsid w:val="0DC436B0"/>
    <w:rsid w:val="0DC9693F"/>
    <w:rsid w:val="0DCC1715"/>
    <w:rsid w:val="0DD82C48"/>
    <w:rsid w:val="0DDB6385"/>
    <w:rsid w:val="0DF024FC"/>
    <w:rsid w:val="0DF0632D"/>
    <w:rsid w:val="0DF475E0"/>
    <w:rsid w:val="0E0E09E4"/>
    <w:rsid w:val="0E0E0AE3"/>
    <w:rsid w:val="0E184477"/>
    <w:rsid w:val="0E1A4501"/>
    <w:rsid w:val="0E21196E"/>
    <w:rsid w:val="0E227E98"/>
    <w:rsid w:val="0E27140B"/>
    <w:rsid w:val="0E2D4D70"/>
    <w:rsid w:val="0E3B2663"/>
    <w:rsid w:val="0E443DBA"/>
    <w:rsid w:val="0E465F52"/>
    <w:rsid w:val="0E576A70"/>
    <w:rsid w:val="0E587DB8"/>
    <w:rsid w:val="0E6B437E"/>
    <w:rsid w:val="0E6B6A22"/>
    <w:rsid w:val="0E6F53AB"/>
    <w:rsid w:val="0E701F1A"/>
    <w:rsid w:val="0E793535"/>
    <w:rsid w:val="0E795DEE"/>
    <w:rsid w:val="0E7B3260"/>
    <w:rsid w:val="0E804638"/>
    <w:rsid w:val="0E854758"/>
    <w:rsid w:val="0EAB0282"/>
    <w:rsid w:val="0EC370FE"/>
    <w:rsid w:val="0EC4408A"/>
    <w:rsid w:val="0ECD6BD5"/>
    <w:rsid w:val="0EDA3DE0"/>
    <w:rsid w:val="0EE241B0"/>
    <w:rsid w:val="0EE470B9"/>
    <w:rsid w:val="0EE51F3F"/>
    <w:rsid w:val="0EE67C37"/>
    <w:rsid w:val="0EE96C61"/>
    <w:rsid w:val="0EEF6278"/>
    <w:rsid w:val="0F070719"/>
    <w:rsid w:val="0F0E340F"/>
    <w:rsid w:val="0F110F65"/>
    <w:rsid w:val="0F126FC2"/>
    <w:rsid w:val="0F1821BC"/>
    <w:rsid w:val="0F1F71AB"/>
    <w:rsid w:val="0F206FE9"/>
    <w:rsid w:val="0F246E43"/>
    <w:rsid w:val="0F2F2F21"/>
    <w:rsid w:val="0F303168"/>
    <w:rsid w:val="0F3346BD"/>
    <w:rsid w:val="0F3E6D6B"/>
    <w:rsid w:val="0F521390"/>
    <w:rsid w:val="0F551890"/>
    <w:rsid w:val="0F5B58BB"/>
    <w:rsid w:val="0F6735DF"/>
    <w:rsid w:val="0F6A4B85"/>
    <w:rsid w:val="0F716691"/>
    <w:rsid w:val="0F735DB2"/>
    <w:rsid w:val="0F7840D6"/>
    <w:rsid w:val="0F7B2D75"/>
    <w:rsid w:val="0F82322B"/>
    <w:rsid w:val="0F873A0E"/>
    <w:rsid w:val="0F883C70"/>
    <w:rsid w:val="0F8B6CB6"/>
    <w:rsid w:val="0F9177B5"/>
    <w:rsid w:val="0F9A3FA1"/>
    <w:rsid w:val="0F9E606C"/>
    <w:rsid w:val="0FA1437B"/>
    <w:rsid w:val="0FA17F55"/>
    <w:rsid w:val="0FA35FFE"/>
    <w:rsid w:val="0FA821B8"/>
    <w:rsid w:val="0FAE546F"/>
    <w:rsid w:val="0FB50512"/>
    <w:rsid w:val="0FB8781F"/>
    <w:rsid w:val="0FC24482"/>
    <w:rsid w:val="0FC754B6"/>
    <w:rsid w:val="0FCD46F4"/>
    <w:rsid w:val="0FCE3065"/>
    <w:rsid w:val="0FE107E2"/>
    <w:rsid w:val="0FE336DE"/>
    <w:rsid w:val="0FED1D3E"/>
    <w:rsid w:val="10065756"/>
    <w:rsid w:val="100A69A4"/>
    <w:rsid w:val="100E17EE"/>
    <w:rsid w:val="10140347"/>
    <w:rsid w:val="101B54B3"/>
    <w:rsid w:val="101C6175"/>
    <w:rsid w:val="104210EE"/>
    <w:rsid w:val="10444B77"/>
    <w:rsid w:val="10495D6E"/>
    <w:rsid w:val="104C1069"/>
    <w:rsid w:val="10513C3F"/>
    <w:rsid w:val="10541F36"/>
    <w:rsid w:val="105D2D1E"/>
    <w:rsid w:val="10623D8F"/>
    <w:rsid w:val="106737C7"/>
    <w:rsid w:val="10703686"/>
    <w:rsid w:val="1075160B"/>
    <w:rsid w:val="107760A9"/>
    <w:rsid w:val="10780D89"/>
    <w:rsid w:val="107B52AA"/>
    <w:rsid w:val="107D625B"/>
    <w:rsid w:val="107E75D8"/>
    <w:rsid w:val="10805AB8"/>
    <w:rsid w:val="108161A3"/>
    <w:rsid w:val="1089301A"/>
    <w:rsid w:val="108B29C7"/>
    <w:rsid w:val="10901F21"/>
    <w:rsid w:val="10974AA9"/>
    <w:rsid w:val="10A21388"/>
    <w:rsid w:val="10A60889"/>
    <w:rsid w:val="10AA391A"/>
    <w:rsid w:val="10B27075"/>
    <w:rsid w:val="10B27B37"/>
    <w:rsid w:val="10B33FFC"/>
    <w:rsid w:val="10BA25C0"/>
    <w:rsid w:val="10C02E80"/>
    <w:rsid w:val="10C121EA"/>
    <w:rsid w:val="10C2285B"/>
    <w:rsid w:val="10C54276"/>
    <w:rsid w:val="10D27169"/>
    <w:rsid w:val="10D309E2"/>
    <w:rsid w:val="10D621B1"/>
    <w:rsid w:val="10D81E5C"/>
    <w:rsid w:val="10DA39AB"/>
    <w:rsid w:val="10DE746C"/>
    <w:rsid w:val="10EB7A42"/>
    <w:rsid w:val="10F16967"/>
    <w:rsid w:val="10F21B48"/>
    <w:rsid w:val="10F61CDD"/>
    <w:rsid w:val="10F91FDE"/>
    <w:rsid w:val="10F941E9"/>
    <w:rsid w:val="11083015"/>
    <w:rsid w:val="110A357B"/>
    <w:rsid w:val="110D2E2E"/>
    <w:rsid w:val="1113498F"/>
    <w:rsid w:val="11145DE6"/>
    <w:rsid w:val="111A2147"/>
    <w:rsid w:val="112252CB"/>
    <w:rsid w:val="11360EF9"/>
    <w:rsid w:val="113641BB"/>
    <w:rsid w:val="113B0B58"/>
    <w:rsid w:val="113B4E2A"/>
    <w:rsid w:val="113D4F12"/>
    <w:rsid w:val="113D775B"/>
    <w:rsid w:val="11410876"/>
    <w:rsid w:val="114608E7"/>
    <w:rsid w:val="114F3D65"/>
    <w:rsid w:val="115347BC"/>
    <w:rsid w:val="11545887"/>
    <w:rsid w:val="11597C64"/>
    <w:rsid w:val="116228E3"/>
    <w:rsid w:val="11631325"/>
    <w:rsid w:val="116345A4"/>
    <w:rsid w:val="11667833"/>
    <w:rsid w:val="11687433"/>
    <w:rsid w:val="1178450A"/>
    <w:rsid w:val="117B53DF"/>
    <w:rsid w:val="117B71D3"/>
    <w:rsid w:val="11845F00"/>
    <w:rsid w:val="11885DD3"/>
    <w:rsid w:val="118A58E4"/>
    <w:rsid w:val="118F0DB3"/>
    <w:rsid w:val="11916F88"/>
    <w:rsid w:val="11A51BB6"/>
    <w:rsid w:val="11AC6860"/>
    <w:rsid w:val="11B62D0B"/>
    <w:rsid w:val="11BE6E3E"/>
    <w:rsid w:val="11C52A21"/>
    <w:rsid w:val="11C75474"/>
    <w:rsid w:val="11D26FDB"/>
    <w:rsid w:val="11D435B9"/>
    <w:rsid w:val="11D8409F"/>
    <w:rsid w:val="11D95083"/>
    <w:rsid w:val="11DD2AAB"/>
    <w:rsid w:val="11DE26F2"/>
    <w:rsid w:val="11DF6987"/>
    <w:rsid w:val="11EA23C8"/>
    <w:rsid w:val="11EB5C95"/>
    <w:rsid w:val="11ED6242"/>
    <w:rsid w:val="11F61160"/>
    <w:rsid w:val="12010E7D"/>
    <w:rsid w:val="120506CD"/>
    <w:rsid w:val="12075A2C"/>
    <w:rsid w:val="120A0C4D"/>
    <w:rsid w:val="120A38DA"/>
    <w:rsid w:val="12101A57"/>
    <w:rsid w:val="12193170"/>
    <w:rsid w:val="12193813"/>
    <w:rsid w:val="121D6AE3"/>
    <w:rsid w:val="121F75CC"/>
    <w:rsid w:val="12271CB0"/>
    <w:rsid w:val="122C1A12"/>
    <w:rsid w:val="1232130B"/>
    <w:rsid w:val="12395D63"/>
    <w:rsid w:val="12401AD9"/>
    <w:rsid w:val="12421E9D"/>
    <w:rsid w:val="1248421F"/>
    <w:rsid w:val="12571C4D"/>
    <w:rsid w:val="125B7063"/>
    <w:rsid w:val="125C09FF"/>
    <w:rsid w:val="12657F0C"/>
    <w:rsid w:val="126830F6"/>
    <w:rsid w:val="126B5207"/>
    <w:rsid w:val="126F57E1"/>
    <w:rsid w:val="12760E78"/>
    <w:rsid w:val="127673DB"/>
    <w:rsid w:val="127E0189"/>
    <w:rsid w:val="12810A1D"/>
    <w:rsid w:val="12854B81"/>
    <w:rsid w:val="12927837"/>
    <w:rsid w:val="12A30BAA"/>
    <w:rsid w:val="12A709D5"/>
    <w:rsid w:val="12A867C5"/>
    <w:rsid w:val="12B56515"/>
    <w:rsid w:val="12BE11B2"/>
    <w:rsid w:val="12BE1828"/>
    <w:rsid w:val="12C21464"/>
    <w:rsid w:val="12C40A29"/>
    <w:rsid w:val="12C42DA1"/>
    <w:rsid w:val="12C45CF0"/>
    <w:rsid w:val="12C948D2"/>
    <w:rsid w:val="12CB14EE"/>
    <w:rsid w:val="12CE6902"/>
    <w:rsid w:val="12D54B1A"/>
    <w:rsid w:val="12EE0F39"/>
    <w:rsid w:val="12EF155A"/>
    <w:rsid w:val="12EF53DF"/>
    <w:rsid w:val="12F17350"/>
    <w:rsid w:val="12F712FB"/>
    <w:rsid w:val="12FA0E2E"/>
    <w:rsid w:val="12FF7A62"/>
    <w:rsid w:val="13037A88"/>
    <w:rsid w:val="133844CA"/>
    <w:rsid w:val="1347596A"/>
    <w:rsid w:val="13477178"/>
    <w:rsid w:val="134B5A55"/>
    <w:rsid w:val="134C0AA1"/>
    <w:rsid w:val="13521DE4"/>
    <w:rsid w:val="136041BC"/>
    <w:rsid w:val="1365358D"/>
    <w:rsid w:val="136F4FE6"/>
    <w:rsid w:val="13713F6F"/>
    <w:rsid w:val="13762A14"/>
    <w:rsid w:val="13790756"/>
    <w:rsid w:val="137B6EE7"/>
    <w:rsid w:val="137E2E27"/>
    <w:rsid w:val="138C25C7"/>
    <w:rsid w:val="138E741D"/>
    <w:rsid w:val="1390357D"/>
    <w:rsid w:val="139670E5"/>
    <w:rsid w:val="13970D93"/>
    <w:rsid w:val="139F1C24"/>
    <w:rsid w:val="13A023E7"/>
    <w:rsid w:val="13A04270"/>
    <w:rsid w:val="13A86C77"/>
    <w:rsid w:val="13A90344"/>
    <w:rsid w:val="13A9454D"/>
    <w:rsid w:val="13B35BBD"/>
    <w:rsid w:val="13B40099"/>
    <w:rsid w:val="13BF3D28"/>
    <w:rsid w:val="13C32466"/>
    <w:rsid w:val="13C77F07"/>
    <w:rsid w:val="13CE4E2F"/>
    <w:rsid w:val="13CF48B4"/>
    <w:rsid w:val="13E45E4B"/>
    <w:rsid w:val="13E66F15"/>
    <w:rsid w:val="13F57229"/>
    <w:rsid w:val="13F60043"/>
    <w:rsid w:val="13F63AC9"/>
    <w:rsid w:val="13FF4761"/>
    <w:rsid w:val="1401651E"/>
    <w:rsid w:val="14065625"/>
    <w:rsid w:val="14127CF3"/>
    <w:rsid w:val="1416357F"/>
    <w:rsid w:val="14175C6D"/>
    <w:rsid w:val="14182B9E"/>
    <w:rsid w:val="141A193D"/>
    <w:rsid w:val="14211963"/>
    <w:rsid w:val="142160CA"/>
    <w:rsid w:val="142951DD"/>
    <w:rsid w:val="142E4E6B"/>
    <w:rsid w:val="14332094"/>
    <w:rsid w:val="143B554F"/>
    <w:rsid w:val="144128ED"/>
    <w:rsid w:val="144D721A"/>
    <w:rsid w:val="14504C78"/>
    <w:rsid w:val="14552700"/>
    <w:rsid w:val="1455301F"/>
    <w:rsid w:val="145E0ED6"/>
    <w:rsid w:val="145F4E9E"/>
    <w:rsid w:val="1468041E"/>
    <w:rsid w:val="146A5814"/>
    <w:rsid w:val="146D4E79"/>
    <w:rsid w:val="1479121F"/>
    <w:rsid w:val="147C1504"/>
    <w:rsid w:val="148112AD"/>
    <w:rsid w:val="14933736"/>
    <w:rsid w:val="149D19D1"/>
    <w:rsid w:val="14AD2447"/>
    <w:rsid w:val="14BD0C90"/>
    <w:rsid w:val="14BD7435"/>
    <w:rsid w:val="14C2089E"/>
    <w:rsid w:val="14D41B03"/>
    <w:rsid w:val="14D97120"/>
    <w:rsid w:val="14EC7262"/>
    <w:rsid w:val="14F50637"/>
    <w:rsid w:val="14F56962"/>
    <w:rsid w:val="14FD3DC3"/>
    <w:rsid w:val="15052F44"/>
    <w:rsid w:val="152446F6"/>
    <w:rsid w:val="15274A34"/>
    <w:rsid w:val="152C74BF"/>
    <w:rsid w:val="152E54C4"/>
    <w:rsid w:val="1535555F"/>
    <w:rsid w:val="15382813"/>
    <w:rsid w:val="154B27A9"/>
    <w:rsid w:val="154B6CF6"/>
    <w:rsid w:val="15516306"/>
    <w:rsid w:val="155B06BC"/>
    <w:rsid w:val="155B6FCC"/>
    <w:rsid w:val="15620F8B"/>
    <w:rsid w:val="156514F3"/>
    <w:rsid w:val="15707694"/>
    <w:rsid w:val="157477F0"/>
    <w:rsid w:val="157F4B83"/>
    <w:rsid w:val="158230BB"/>
    <w:rsid w:val="15864057"/>
    <w:rsid w:val="158A2F64"/>
    <w:rsid w:val="158C53F6"/>
    <w:rsid w:val="15946EC2"/>
    <w:rsid w:val="1594709F"/>
    <w:rsid w:val="15992987"/>
    <w:rsid w:val="159B1410"/>
    <w:rsid w:val="159D2E6C"/>
    <w:rsid w:val="15A625C0"/>
    <w:rsid w:val="15A70541"/>
    <w:rsid w:val="15A7643A"/>
    <w:rsid w:val="15A928DF"/>
    <w:rsid w:val="15AD4348"/>
    <w:rsid w:val="15AD7612"/>
    <w:rsid w:val="15B96153"/>
    <w:rsid w:val="15BC619F"/>
    <w:rsid w:val="15BF618A"/>
    <w:rsid w:val="15C40EFF"/>
    <w:rsid w:val="15CA097E"/>
    <w:rsid w:val="15D92955"/>
    <w:rsid w:val="15DA4185"/>
    <w:rsid w:val="15F5535B"/>
    <w:rsid w:val="15F569FA"/>
    <w:rsid w:val="15F656C7"/>
    <w:rsid w:val="15F85F00"/>
    <w:rsid w:val="15F969EC"/>
    <w:rsid w:val="16005D04"/>
    <w:rsid w:val="1607152F"/>
    <w:rsid w:val="160D7883"/>
    <w:rsid w:val="160E7A4D"/>
    <w:rsid w:val="16104DB0"/>
    <w:rsid w:val="1613433D"/>
    <w:rsid w:val="16200AF2"/>
    <w:rsid w:val="162E270B"/>
    <w:rsid w:val="162E2ADD"/>
    <w:rsid w:val="16313AA6"/>
    <w:rsid w:val="163267A4"/>
    <w:rsid w:val="163C0B35"/>
    <w:rsid w:val="16405266"/>
    <w:rsid w:val="164561DB"/>
    <w:rsid w:val="1651617C"/>
    <w:rsid w:val="16672683"/>
    <w:rsid w:val="166852CC"/>
    <w:rsid w:val="16696EE3"/>
    <w:rsid w:val="16713663"/>
    <w:rsid w:val="167518D2"/>
    <w:rsid w:val="168864E9"/>
    <w:rsid w:val="16907088"/>
    <w:rsid w:val="1697702E"/>
    <w:rsid w:val="169A4327"/>
    <w:rsid w:val="169D4FCC"/>
    <w:rsid w:val="16A26D59"/>
    <w:rsid w:val="16A31912"/>
    <w:rsid w:val="16A52825"/>
    <w:rsid w:val="16A60389"/>
    <w:rsid w:val="16AC66DD"/>
    <w:rsid w:val="16AD326E"/>
    <w:rsid w:val="16B06BAD"/>
    <w:rsid w:val="16B17712"/>
    <w:rsid w:val="16B95CF7"/>
    <w:rsid w:val="16C42B77"/>
    <w:rsid w:val="16C6776D"/>
    <w:rsid w:val="16D55B33"/>
    <w:rsid w:val="16D74218"/>
    <w:rsid w:val="16DD2E8B"/>
    <w:rsid w:val="16E376E7"/>
    <w:rsid w:val="16E40C30"/>
    <w:rsid w:val="16E72981"/>
    <w:rsid w:val="16EB66D9"/>
    <w:rsid w:val="16EE35CD"/>
    <w:rsid w:val="16F47BF5"/>
    <w:rsid w:val="16F500A9"/>
    <w:rsid w:val="16F872C3"/>
    <w:rsid w:val="16FA06E3"/>
    <w:rsid w:val="170167F2"/>
    <w:rsid w:val="17035AAC"/>
    <w:rsid w:val="17054499"/>
    <w:rsid w:val="170B0BD9"/>
    <w:rsid w:val="170D5EDA"/>
    <w:rsid w:val="17182913"/>
    <w:rsid w:val="17197EC3"/>
    <w:rsid w:val="171E2D1A"/>
    <w:rsid w:val="172E1BBE"/>
    <w:rsid w:val="173A6824"/>
    <w:rsid w:val="173B1FA1"/>
    <w:rsid w:val="173C594E"/>
    <w:rsid w:val="17503F57"/>
    <w:rsid w:val="17505DD6"/>
    <w:rsid w:val="17586CB0"/>
    <w:rsid w:val="17596CA9"/>
    <w:rsid w:val="17600681"/>
    <w:rsid w:val="17665D9F"/>
    <w:rsid w:val="17696EA4"/>
    <w:rsid w:val="17795030"/>
    <w:rsid w:val="177B0627"/>
    <w:rsid w:val="177D3C16"/>
    <w:rsid w:val="178501CB"/>
    <w:rsid w:val="178A042D"/>
    <w:rsid w:val="178A1F82"/>
    <w:rsid w:val="17920EA7"/>
    <w:rsid w:val="1797450B"/>
    <w:rsid w:val="17A644BF"/>
    <w:rsid w:val="17A92F07"/>
    <w:rsid w:val="17B0268E"/>
    <w:rsid w:val="17B23E0F"/>
    <w:rsid w:val="17B31B32"/>
    <w:rsid w:val="17B80549"/>
    <w:rsid w:val="17C063A0"/>
    <w:rsid w:val="17C16366"/>
    <w:rsid w:val="17C21DD8"/>
    <w:rsid w:val="17C76A67"/>
    <w:rsid w:val="17CC38C7"/>
    <w:rsid w:val="17DA0F7A"/>
    <w:rsid w:val="17DC2D7F"/>
    <w:rsid w:val="17E95276"/>
    <w:rsid w:val="17EA38A1"/>
    <w:rsid w:val="17EB77A3"/>
    <w:rsid w:val="17EC5E41"/>
    <w:rsid w:val="1806537C"/>
    <w:rsid w:val="18066C18"/>
    <w:rsid w:val="181C2683"/>
    <w:rsid w:val="181E4167"/>
    <w:rsid w:val="18341D76"/>
    <w:rsid w:val="18351C27"/>
    <w:rsid w:val="18553A22"/>
    <w:rsid w:val="18607956"/>
    <w:rsid w:val="186E420E"/>
    <w:rsid w:val="187A14AA"/>
    <w:rsid w:val="187B7B4F"/>
    <w:rsid w:val="1887188F"/>
    <w:rsid w:val="18935E66"/>
    <w:rsid w:val="18A35548"/>
    <w:rsid w:val="18A63203"/>
    <w:rsid w:val="18A77689"/>
    <w:rsid w:val="18A816B2"/>
    <w:rsid w:val="18AE5635"/>
    <w:rsid w:val="18B25B64"/>
    <w:rsid w:val="18B8431F"/>
    <w:rsid w:val="18B90C48"/>
    <w:rsid w:val="18BC4ADF"/>
    <w:rsid w:val="18BD1521"/>
    <w:rsid w:val="18BD2E66"/>
    <w:rsid w:val="18BE7EAB"/>
    <w:rsid w:val="18CF2450"/>
    <w:rsid w:val="18CF5822"/>
    <w:rsid w:val="18DA12E6"/>
    <w:rsid w:val="18E62F4B"/>
    <w:rsid w:val="18E85386"/>
    <w:rsid w:val="18FC503B"/>
    <w:rsid w:val="19027C40"/>
    <w:rsid w:val="190E3326"/>
    <w:rsid w:val="190E3538"/>
    <w:rsid w:val="19164D1E"/>
    <w:rsid w:val="192D514C"/>
    <w:rsid w:val="193544CD"/>
    <w:rsid w:val="19443AA2"/>
    <w:rsid w:val="1945355B"/>
    <w:rsid w:val="194817FC"/>
    <w:rsid w:val="194A0D45"/>
    <w:rsid w:val="195159CB"/>
    <w:rsid w:val="195961D5"/>
    <w:rsid w:val="195C14E8"/>
    <w:rsid w:val="196515C3"/>
    <w:rsid w:val="197859DA"/>
    <w:rsid w:val="1980769C"/>
    <w:rsid w:val="19884F66"/>
    <w:rsid w:val="19917CFC"/>
    <w:rsid w:val="1997576B"/>
    <w:rsid w:val="1998697F"/>
    <w:rsid w:val="199A20B4"/>
    <w:rsid w:val="19A71B82"/>
    <w:rsid w:val="19B84C88"/>
    <w:rsid w:val="19C6694E"/>
    <w:rsid w:val="19D11E61"/>
    <w:rsid w:val="19D5618C"/>
    <w:rsid w:val="19E22401"/>
    <w:rsid w:val="19E23808"/>
    <w:rsid w:val="19F44B16"/>
    <w:rsid w:val="1A00532F"/>
    <w:rsid w:val="1A040FBD"/>
    <w:rsid w:val="1A067DCA"/>
    <w:rsid w:val="1A102A1C"/>
    <w:rsid w:val="1A13214F"/>
    <w:rsid w:val="1A1470CD"/>
    <w:rsid w:val="1A167154"/>
    <w:rsid w:val="1A434C13"/>
    <w:rsid w:val="1A4E18BB"/>
    <w:rsid w:val="1A5C550E"/>
    <w:rsid w:val="1A5E5759"/>
    <w:rsid w:val="1A61514E"/>
    <w:rsid w:val="1A624E9D"/>
    <w:rsid w:val="1A6F769D"/>
    <w:rsid w:val="1A712AE5"/>
    <w:rsid w:val="1A74386E"/>
    <w:rsid w:val="1A783427"/>
    <w:rsid w:val="1A7B0419"/>
    <w:rsid w:val="1A8A143B"/>
    <w:rsid w:val="1A954C9C"/>
    <w:rsid w:val="1AA67BD3"/>
    <w:rsid w:val="1AC70097"/>
    <w:rsid w:val="1ACC39D6"/>
    <w:rsid w:val="1ADE0868"/>
    <w:rsid w:val="1AF7489C"/>
    <w:rsid w:val="1AFA3523"/>
    <w:rsid w:val="1AFD3AEA"/>
    <w:rsid w:val="1B05238D"/>
    <w:rsid w:val="1B13587B"/>
    <w:rsid w:val="1B1D44BA"/>
    <w:rsid w:val="1B2C07D2"/>
    <w:rsid w:val="1B2C5EE0"/>
    <w:rsid w:val="1B3604D3"/>
    <w:rsid w:val="1B364D11"/>
    <w:rsid w:val="1B3865C6"/>
    <w:rsid w:val="1B3E5EDE"/>
    <w:rsid w:val="1B433153"/>
    <w:rsid w:val="1B467529"/>
    <w:rsid w:val="1B4B00CA"/>
    <w:rsid w:val="1B566C78"/>
    <w:rsid w:val="1B5F1247"/>
    <w:rsid w:val="1B6307EA"/>
    <w:rsid w:val="1B79696C"/>
    <w:rsid w:val="1B7E1824"/>
    <w:rsid w:val="1B825166"/>
    <w:rsid w:val="1B890C23"/>
    <w:rsid w:val="1B9411FC"/>
    <w:rsid w:val="1B9D6CE8"/>
    <w:rsid w:val="1BA866D1"/>
    <w:rsid w:val="1BBB422B"/>
    <w:rsid w:val="1BC600B5"/>
    <w:rsid w:val="1BCD55F8"/>
    <w:rsid w:val="1BE011AE"/>
    <w:rsid w:val="1BE30F90"/>
    <w:rsid w:val="1BE31093"/>
    <w:rsid w:val="1BE956C8"/>
    <w:rsid w:val="1C022294"/>
    <w:rsid w:val="1C0B35D4"/>
    <w:rsid w:val="1C1242AF"/>
    <w:rsid w:val="1C12573D"/>
    <w:rsid w:val="1C1D1EE2"/>
    <w:rsid w:val="1C234861"/>
    <w:rsid w:val="1C2E319B"/>
    <w:rsid w:val="1C3477C5"/>
    <w:rsid w:val="1C471C9C"/>
    <w:rsid w:val="1C4F6563"/>
    <w:rsid w:val="1C545F3D"/>
    <w:rsid w:val="1C556488"/>
    <w:rsid w:val="1C563FE3"/>
    <w:rsid w:val="1C5A182A"/>
    <w:rsid w:val="1C62402E"/>
    <w:rsid w:val="1C62587C"/>
    <w:rsid w:val="1C6818E0"/>
    <w:rsid w:val="1C6F3BF6"/>
    <w:rsid w:val="1C722E7E"/>
    <w:rsid w:val="1C784A9F"/>
    <w:rsid w:val="1C7D008B"/>
    <w:rsid w:val="1C7D2EB6"/>
    <w:rsid w:val="1C805B43"/>
    <w:rsid w:val="1C852BB0"/>
    <w:rsid w:val="1C8D54A8"/>
    <w:rsid w:val="1C8D59DD"/>
    <w:rsid w:val="1C8E63A1"/>
    <w:rsid w:val="1C9651FD"/>
    <w:rsid w:val="1C9C41C6"/>
    <w:rsid w:val="1CA42FB6"/>
    <w:rsid w:val="1CB21A29"/>
    <w:rsid w:val="1CCB32EE"/>
    <w:rsid w:val="1CD23361"/>
    <w:rsid w:val="1CD35882"/>
    <w:rsid w:val="1CE302F7"/>
    <w:rsid w:val="1CEC4F96"/>
    <w:rsid w:val="1CF13B49"/>
    <w:rsid w:val="1CF52075"/>
    <w:rsid w:val="1CF70EE3"/>
    <w:rsid w:val="1CFE7E6D"/>
    <w:rsid w:val="1D011F4C"/>
    <w:rsid w:val="1D0D1F95"/>
    <w:rsid w:val="1D1C7AC2"/>
    <w:rsid w:val="1D1D6A85"/>
    <w:rsid w:val="1D207BFC"/>
    <w:rsid w:val="1D230741"/>
    <w:rsid w:val="1D2F0DCA"/>
    <w:rsid w:val="1D397D96"/>
    <w:rsid w:val="1D3A5DFA"/>
    <w:rsid w:val="1D3E30CF"/>
    <w:rsid w:val="1D3E57BA"/>
    <w:rsid w:val="1D3F5BF4"/>
    <w:rsid w:val="1D49558F"/>
    <w:rsid w:val="1D4B4B5A"/>
    <w:rsid w:val="1D584348"/>
    <w:rsid w:val="1D597DDF"/>
    <w:rsid w:val="1D5D209F"/>
    <w:rsid w:val="1D6D4785"/>
    <w:rsid w:val="1D6E27CD"/>
    <w:rsid w:val="1D767ADA"/>
    <w:rsid w:val="1D7A0D45"/>
    <w:rsid w:val="1D845021"/>
    <w:rsid w:val="1D861B2D"/>
    <w:rsid w:val="1D896FB3"/>
    <w:rsid w:val="1D91741D"/>
    <w:rsid w:val="1D9318C5"/>
    <w:rsid w:val="1D941B55"/>
    <w:rsid w:val="1DAB7998"/>
    <w:rsid w:val="1DB01072"/>
    <w:rsid w:val="1DB2076E"/>
    <w:rsid w:val="1DB43F2E"/>
    <w:rsid w:val="1DBA2DC2"/>
    <w:rsid w:val="1DBE6DCD"/>
    <w:rsid w:val="1DC2628A"/>
    <w:rsid w:val="1DCF57CE"/>
    <w:rsid w:val="1DD11EB5"/>
    <w:rsid w:val="1DD246EC"/>
    <w:rsid w:val="1DD63079"/>
    <w:rsid w:val="1DD859F5"/>
    <w:rsid w:val="1DDA6EEA"/>
    <w:rsid w:val="1DDD63A7"/>
    <w:rsid w:val="1DE56ABE"/>
    <w:rsid w:val="1DED63F7"/>
    <w:rsid w:val="1DFC4DF9"/>
    <w:rsid w:val="1E0435A0"/>
    <w:rsid w:val="1E110D2A"/>
    <w:rsid w:val="1E1247A2"/>
    <w:rsid w:val="1E155062"/>
    <w:rsid w:val="1E193E9C"/>
    <w:rsid w:val="1E1B38E9"/>
    <w:rsid w:val="1E1B7186"/>
    <w:rsid w:val="1E303EF3"/>
    <w:rsid w:val="1E3F6D05"/>
    <w:rsid w:val="1E494B8A"/>
    <w:rsid w:val="1E4F0222"/>
    <w:rsid w:val="1E5C2AF3"/>
    <w:rsid w:val="1E795C41"/>
    <w:rsid w:val="1E7E640D"/>
    <w:rsid w:val="1E7F3A72"/>
    <w:rsid w:val="1E8064D3"/>
    <w:rsid w:val="1E861E21"/>
    <w:rsid w:val="1EA72270"/>
    <w:rsid w:val="1EB64FA8"/>
    <w:rsid w:val="1EBD6E42"/>
    <w:rsid w:val="1EC25D1C"/>
    <w:rsid w:val="1EC74AB4"/>
    <w:rsid w:val="1EC87ABC"/>
    <w:rsid w:val="1ED242FC"/>
    <w:rsid w:val="1ED56C03"/>
    <w:rsid w:val="1EDA0174"/>
    <w:rsid w:val="1EDB3888"/>
    <w:rsid w:val="1EE05F54"/>
    <w:rsid w:val="1EE332A7"/>
    <w:rsid w:val="1EF579A0"/>
    <w:rsid w:val="1F05532C"/>
    <w:rsid w:val="1F095121"/>
    <w:rsid w:val="1F0C3604"/>
    <w:rsid w:val="1F0D0383"/>
    <w:rsid w:val="1F0F4C7A"/>
    <w:rsid w:val="1F1527EE"/>
    <w:rsid w:val="1F20034A"/>
    <w:rsid w:val="1F2215D9"/>
    <w:rsid w:val="1F251ABC"/>
    <w:rsid w:val="1F290391"/>
    <w:rsid w:val="1F2A2D10"/>
    <w:rsid w:val="1F370102"/>
    <w:rsid w:val="1F3F0073"/>
    <w:rsid w:val="1F43546C"/>
    <w:rsid w:val="1F48506F"/>
    <w:rsid w:val="1F4B10C3"/>
    <w:rsid w:val="1F5C7F87"/>
    <w:rsid w:val="1F6C1D79"/>
    <w:rsid w:val="1F792E9A"/>
    <w:rsid w:val="1F7B67F6"/>
    <w:rsid w:val="1F7C518B"/>
    <w:rsid w:val="1F881F59"/>
    <w:rsid w:val="1F90152E"/>
    <w:rsid w:val="1F977565"/>
    <w:rsid w:val="1F9B644E"/>
    <w:rsid w:val="1FA429B4"/>
    <w:rsid w:val="1FB34801"/>
    <w:rsid w:val="1FB75185"/>
    <w:rsid w:val="1FB97163"/>
    <w:rsid w:val="1FBD0EE6"/>
    <w:rsid w:val="1FC10346"/>
    <w:rsid w:val="1FC16504"/>
    <w:rsid w:val="1FDB745E"/>
    <w:rsid w:val="1FDD028C"/>
    <w:rsid w:val="1FF955B0"/>
    <w:rsid w:val="1FFA3EAB"/>
    <w:rsid w:val="1FFB3FF4"/>
    <w:rsid w:val="20176E76"/>
    <w:rsid w:val="201C2D60"/>
    <w:rsid w:val="20270162"/>
    <w:rsid w:val="20317681"/>
    <w:rsid w:val="203F0CD6"/>
    <w:rsid w:val="204C6AB7"/>
    <w:rsid w:val="20655E4F"/>
    <w:rsid w:val="207308C3"/>
    <w:rsid w:val="207411D3"/>
    <w:rsid w:val="20743131"/>
    <w:rsid w:val="207536DF"/>
    <w:rsid w:val="20783BF9"/>
    <w:rsid w:val="20786435"/>
    <w:rsid w:val="20811113"/>
    <w:rsid w:val="20874766"/>
    <w:rsid w:val="2088281D"/>
    <w:rsid w:val="2088475A"/>
    <w:rsid w:val="20917F9C"/>
    <w:rsid w:val="2094661E"/>
    <w:rsid w:val="20951ED4"/>
    <w:rsid w:val="20962536"/>
    <w:rsid w:val="20AF5726"/>
    <w:rsid w:val="20B50E80"/>
    <w:rsid w:val="20B71F63"/>
    <w:rsid w:val="20B7483F"/>
    <w:rsid w:val="20BD02A3"/>
    <w:rsid w:val="20BE1841"/>
    <w:rsid w:val="20D078F3"/>
    <w:rsid w:val="20D200AD"/>
    <w:rsid w:val="20D95B71"/>
    <w:rsid w:val="20DA60A5"/>
    <w:rsid w:val="20DB223A"/>
    <w:rsid w:val="20E51C80"/>
    <w:rsid w:val="20E61367"/>
    <w:rsid w:val="20E64474"/>
    <w:rsid w:val="20EC58CB"/>
    <w:rsid w:val="20F17304"/>
    <w:rsid w:val="21014223"/>
    <w:rsid w:val="21200021"/>
    <w:rsid w:val="21257F04"/>
    <w:rsid w:val="21291A31"/>
    <w:rsid w:val="21353F50"/>
    <w:rsid w:val="2138052E"/>
    <w:rsid w:val="213C3CC5"/>
    <w:rsid w:val="214776EA"/>
    <w:rsid w:val="21522E38"/>
    <w:rsid w:val="2159046C"/>
    <w:rsid w:val="21592762"/>
    <w:rsid w:val="215F3A68"/>
    <w:rsid w:val="21611A31"/>
    <w:rsid w:val="21635586"/>
    <w:rsid w:val="21760888"/>
    <w:rsid w:val="217B17E2"/>
    <w:rsid w:val="217E71E7"/>
    <w:rsid w:val="218810BD"/>
    <w:rsid w:val="218D61A9"/>
    <w:rsid w:val="2190117D"/>
    <w:rsid w:val="219140F2"/>
    <w:rsid w:val="21994057"/>
    <w:rsid w:val="219A79A2"/>
    <w:rsid w:val="219F1479"/>
    <w:rsid w:val="21A34664"/>
    <w:rsid w:val="21B80E8C"/>
    <w:rsid w:val="21B91F5E"/>
    <w:rsid w:val="21C24072"/>
    <w:rsid w:val="21C73828"/>
    <w:rsid w:val="21D55950"/>
    <w:rsid w:val="21D965A1"/>
    <w:rsid w:val="21E11782"/>
    <w:rsid w:val="21E14B35"/>
    <w:rsid w:val="21E617C0"/>
    <w:rsid w:val="21EC3E44"/>
    <w:rsid w:val="21F2539C"/>
    <w:rsid w:val="21F65A58"/>
    <w:rsid w:val="21FB61D0"/>
    <w:rsid w:val="220B3AD6"/>
    <w:rsid w:val="22191ECB"/>
    <w:rsid w:val="221E272E"/>
    <w:rsid w:val="2221560D"/>
    <w:rsid w:val="222A1FFE"/>
    <w:rsid w:val="222B075F"/>
    <w:rsid w:val="22367DC0"/>
    <w:rsid w:val="223C2D91"/>
    <w:rsid w:val="22426753"/>
    <w:rsid w:val="224D7BB0"/>
    <w:rsid w:val="22541D32"/>
    <w:rsid w:val="225474CD"/>
    <w:rsid w:val="225E1754"/>
    <w:rsid w:val="225F0409"/>
    <w:rsid w:val="225F51CF"/>
    <w:rsid w:val="226D42BA"/>
    <w:rsid w:val="227078B0"/>
    <w:rsid w:val="2271187B"/>
    <w:rsid w:val="22833161"/>
    <w:rsid w:val="228338C8"/>
    <w:rsid w:val="22840DDA"/>
    <w:rsid w:val="22876A0D"/>
    <w:rsid w:val="229676FF"/>
    <w:rsid w:val="22A11695"/>
    <w:rsid w:val="22A63B38"/>
    <w:rsid w:val="22A73490"/>
    <w:rsid w:val="22A8489A"/>
    <w:rsid w:val="22AA7376"/>
    <w:rsid w:val="22AB3B60"/>
    <w:rsid w:val="22AF11A1"/>
    <w:rsid w:val="22B22D1F"/>
    <w:rsid w:val="22B33D99"/>
    <w:rsid w:val="22B6047A"/>
    <w:rsid w:val="22BB4A47"/>
    <w:rsid w:val="22BC2773"/>
    <w:rsid w:val="22BE29D6"/>
    <w:rsid w:val="22C27BE8"/>
    <w:rsid w:val="22C4003E"/>
    <w:rsid w:val="22D02654"/>
    <w:rsid w:val="22D10E4B"/>
    <w:rsid w:val="22D90210"/>
    <w:rsid w:val="22D912F9"/>
    <w:rsid w:val="22E1284D"/>
    <w:rsid w:val="22E73006"/>
    <w:rsid w:val="22EB3773"/>
    <w:rsid w:val="22EE13BE"/>
    <w:rsid w:val="22F31E85"/>
    <w:rsid w:val="22F71A54"/>
    <w:rsid w:val="22F74CC6"/>
    <w:rsid w:val="22FB2321"/>
    <w:rsid w:val="22FC1E71"/>
    <w:rsid w:val="22FF6AA7"/>
    <w:rsid w:val="2306325F"/>
    <w:rsid w:val="230749DA"/>
    <w:rsid w:val="230753E2"/>
    <w:rsid w:val="230F5270"/>
    <w:rsid w:val="2311101C"/>
    <w:rsid w:val="231869B1"/>
    <w:rsid w:val="2319089C"/>
    <w:rsid w:val="231B2491"/>
    <w:rsid w:val="232515D0"/>
    <w:rsid w:val="232F45E5"/>
    <w:rsid w:val="23340B9D"/>
    <w:rsid w:val="23382F5D"/>
    <w:rsid w:val="233857DC"/>
    <w:rsid w:val="233E2231"/>
    <w:rsid w:val="23435461"/>
    <w:rsid w:val="23443C8F"/>
    <w:rsid w:val="23561548"/>
    <w:rsid w:val="23561CD1"/>
    <w:rsid w:val="23564902"/>
    <w:rsid w:val="235E47B6"/>
    <w:rsid w:val="23644FB5"/>
    <w:rsid w:val="23646298"/>
    <w:rsid w:val="236B32CC"/>
    <w:rsid w:val="2372506B"/>
    <w:rsid w:val="2376691B"/>
    <w:rsid w:val="2378146C"/>
    <w:rsid w:val="238D2D50"/>
    <w:rsid w:val="238D66BE"/>
    <w:rsid w:val="239540DC"/>
    <w:rsid w:val="23965F67"/>
    <w:rsid w:val="23A00272"/>
    <w:rsid w:val="23A02531"/>
    <w:rsid w:val="23A11F4F"/>
    <w:rsid w:val="23B41225"/>
    <w:rsid w:val="23BA6237"/>
    <w:rsid w:val="23BC048E"/>
    <w:rsid w:val="23C9616F"/>
    <w:rsid w:val="23CC0919"/>
    <w:rsid w:val="23CE659F"/>
    <w:rsid w:val="23CF7FD3"/>
    <w:rsid w:val="23D4199E"/>
    <w:rsid w:val="23DC01C4"/>
    <w:rsid w:val="23DC60E2"/>
    <w:rsid w:val="23E17EC8"/>
    <w:rsid w:val="23E47406"/>
    <w:rsid w:val="23E91B93"/>
    <w:rsid w:val="23F6160A"/>
    <w:rsid w:val="23FB72B1"/>
    <w:rsid w:val="24026C92"/>
    <w:rsid w:val="24027DBA"/>
    <w:rsid w:val="240657B6"/>
    <w:rsid w:val="240B36D8"/>
    <w:rsid w:val="240C2CCA"/>
    <w:rsid w:val="240C553C"/>
    <w:rsid w:val="24323334"/>
    <w:rsid w:val="243336DA"/>
    <w:rsid w:val="24371728"/>
    <w:rsid w:val="24373DE9"/>
    <w:rsid w:val="243D6215"/>
    <w:rsid w:val="244F01D0"/>
    <w:rsid w:val="245226BE"/>
    <w:rsid w:val="245550BB"/>
    <w:rsid w:val="245A0102"/>
    <w:rsid w:val="2461318F"/>
    <w:rsid w:val="24662623"/>
    <w:rsid w:val="24673502"/>
    <w:rsid w:val="24676BCD"/>
    <w:rsid w:val="24676F22"/>
    <w:rsid w:val="2468531E"/>
    <w:rsid w:val="246D7EC6"/>
    <w:rsid w:val="24741D21"/>
    <w:rsid w:val="24750E49"/>
    <w:rsid w:val="24803C4B"/>
    <w:rsid w:val="24860612"/>
    <w:rsid w:val="24872D53"/>
    <w:rsid w:val="248E7D90"/>
    <w:rsid w:val="249321BF"/>
    <w:rsid w:val="249C0D83"/>
    <w:rsid w:val="24A033EE"/>
    <w:rsid w:val="24B51B12"/>
    <w:rsid w:val="24C434A5"/>
    <w:rsid w:val="24CA496C"/>
    <w:rsid w:val="24D21E22"/>
    <w:rsid w:val="24D35568"/>
    <w:rsid w:val="24D72C44"/>
    <w:rsid w:val="24DB51FA"/>
    <w:rsid w:val="24E954E0"/>
    <w:rsid w:val="24F37FEF"/>
    <w:rsid w:val="24F82FB3"/>
    <w:rsid w:val="2504405A"/>
    <w:rsid w:val="251809ED"/>
    <w:rsid w:val="25241C4A"/>
    <w:rsid w:val="25265A8E"/>
    <w:rsid w:val="252A5159"/>
    <w:rsid w:val="25364407"/>
    <w:rsid w:val="25380B4A"/>
    <w:rsid w:val="253C2F3D"/>
    <w:rsid w:val="253C65AF"/>
    <w:rsid w:val="25410D56"/>
    <w:rsid w:val="254D55BA"/>
    <w:rsid w:val="254F6D5C"/>
    <w:rsid w:val="25644E19"/>
    <w:rsid w:val="256F1EB3"/>
    <w:rsid w:val="25720D21"/>
    <w:rsid w:val="257B7A7B"/>
    <w:rsid w:val="257C63F7"/>
    <w:rsid w:val="257E458B"/>
    <w:rsid w:val="258426BC"/>
    <w:rsid w:val="25867F54"/>
    <w:rsid w:val="258B4AE4"/>
    <w:rsid w:val="258C3B89"/>
    <w:rsid w:val="258C6B00"/>
    <w:rsid w:val="259114ED"/>
    <w:rsid w:val="2593720A"/>
    <w:rsid w:val="25996F48"/>
    <w:rsid w:val="259A3CB2"/>
    <w:rsid w:val="259E4C39"/>
    <w:rsid w:val="259E5828"/>
    <w:rsid w:val="25A92B92"/>
    <w:rsid w:val="25AB0A3D"/>
    <w:rsid w:val="25AC370D"/>
    <w:rsid w:val="25B22B68"/>
    <w:rsid w:val="25B5218E"/>
    <w:rsid w:val="25C15D16"/>
    <w:rsid w:val="25C55B83"/>
    <w:rsid w:val="25CD5BF1"/>
    <w:rsid w:val="25CD62C3"/>
    <w:rsid w:val="25D31208"/>
    <w:rsid w:val="25DA65CA"/>
    <w:rsid w:val="25DB6649"/>
    <w:rsid w:val="25DD0809"/>
    <w:rsid w:val="25E27416"/>
    <w:rsid w:val="25E46656"/>
    <w:rsid w:val="25E47484"/>
    <w:rsid w:val="25E92FBE"/>
    <w:rsid w:val="25F17275"/>
    <w:rsid w:val="25F31E31"/>
    <w:rsid w:val="25F70EE4"/>
    <w:rsid w:val="25FC0B75"/>
    <w:rsid w:val="260139F3"/>
    <w:rsid w:val="260556D5"/>
    <w:rsid w:val="26080DD9"/>
    <w:rsid w:val="26082798"/>
    <w:rsid w:val="26095114"/>
    <w:rsid w:val="260E454E"/>
    <w:rsid w:val="261464EE"/>
    <w:rsid w:val="2616691B"/>
    <w:rsid w:val="26280E6C"/>
    <w:rsid w:val="262E05B0"/>
    <w:rsid w:val="26327A25"/>
    <w:rsid w:val="26372014"/>
    <w:rsid w:val="263E0859"/>
    <w:rsid w:val="263E1A96"/>
    <w:rsid w:val="26405937"/>
    <w:rsid w:val="26433FB7"/>
    <w:rsid w:val="26452DA3"/>
    <w:rsid w:val="26474B98"/>
    <w:rsid w:val="264D3294"/>
    <w:rsid w:val="266A2AD6"/>
    <w:rsid w:val="266C2FED"/>
    <w:rsid w:val="26783498"/>
    <w:rsid w:val="267A33D1"/>
    <w:rsid w:val="268246BC"/>
    <w:rsid w:val="268B7473"/>
    <w:rsid w:val="26952295"/>
    <w:rsid w:val="269626DF"/>
    <w:rsid w:val="269B7137"/>
    <w:rsid w:val="26A265DC"/>
    <w:rsid w:val="26AE5F52"/>
    <w:rsid w:val="26AE6F7F"/>
    <w:rsid w:val="26B32654"/>
    <w:rsid w:val="26B40C48"/>
    <w:rsid w:val="26B8056C"/>
    <w:rsid w:val="26C87742"/>
    <w:rsid w:val="26E33E5B"/>
    <w:rsid w:val="26E70CA8"/>
    <w:rsid w:val="26F17CAD"/>
    <w:rsid w:val="26F51567"/>
    <w:rsid w:val="26F54808"/>
    <w:rsid w:val="26FB5D95"/>
    <w:rsid w:val="26FC2F8C"/>
    <w:rsid w:val="27094F93"/>
    <w:rsid w:val="270E05C8"/>
    <w:rsid w:val="270E103D"/>
    <w:rsid w:val="27101BFD"/>
    <w:rsid w:val="27172021"/>
    <w:rsid w:val="27190D99"/>
    <w:rsid w:val="271927EF"/>
    <w:rsid w:val="271A253D"/>
    <w:rsid w:val="271A4B23"/>
    <w:rsid w:val="271C2CE9"/>
    <w:rsid w:val="27235746"/>
    <w:rsid w:val="273E49F4"/>
    <w:rsid w:val="274321B1"/>
    <w:rsid w:val="27450C2D"/>
    <w:rsid w:val="274525DC"/>
    <w:rsid w:val="274652E6"/>
    <w:rsid w:val="27470851"/>
    <w:rsid w:val="27480748"/>
    <w:rsid w:val="274E0335"/>
    <w:rsid w:val="275D1356"/>
    <w:rsid w:val="275D4A89"/>
    <w:rsid w:val="27625310"/>
    <w:rsid w:val="27641213"/>
    <w:rsid w:val="277559D5"/>
    <w:rsid w:val="277A2EC6"/>
    <w:rsid w:val="27841ADD"/>
    <w:rsid w:val="278B7262"/>
    <w:rsid w:val="278E7D5F"/>
    <w:rsid w:val="279429E3"/>
    <w:rsid w:val="27966F4A"/>
    <w:rsid w:val="279E2E4E"/>
    <w:rsid w:val="27A74D7A"/>
    <w:rsid w:val="27A75735"/>
    <w:rsid w:val="27A91AD2"/>
    <w:rsid w:val="27AE6E2D"/>
    <w:rsid w:val="27AF57B8"/>
    <w:rsid w:val="27B24596"/>
    <w:rsid w:val="27B25FFF"/>
    <w:rsid w:val="27BA12A7"/>
    <w:rsid w:val="27BA6BC4"/>
    <w:rsid w:val="27BC2EEA"/>
    <w:rsid w:val="27C93064"/>
    <w:rsid w:val="27C96B67"/>
    <w:rsid w:val="27CB38EC"/>
    <w:rsid w:val="27CB5FF9"/>
    <w:rsid w:val="27CC0A3D"/>
    <w:rsid w:val="27D34267"/>
    <w:rsid w:val="27D62E6F"/>
    <w:rsid w:val="27D745E8"/>
    <w:rsid w:val="27E4169F"/>
    <w:rsid w:val="27E476BC"/>
    <w:rsid w:val="27E7338B"/>
    <w:rsid w:val="27EA3B97"/>
    <w:rsid w:val="27EF0430"/>
    <w:rsid w:val="27F32107"/>
    <w:rsid w:val="27F45576"/>
    <w:rsid w:val="27F51435"/>
    <w:rsid w:val="27FA5F82"/>
    <w:rsid w:val="28014303"/>
    <w:rsid w:val="280410A7"/>
    <w:rsid w:val="281713C1"/>
    <w:rsid w:val="28202089"/>
    <w:rsid w:val="28210C3B"/>
    <w:rsid w:val="283E3927"/>
    <w:rsid w:val="28432F7C"/>
    <w:rsid w:val="285065F4"/>
    <w:rsid w:val="28557C44"/>
    <w:rsid w:val="28564AD0"/>
    <w:rsid w:val="285E1540"/>
    <w:rsid w:val="28634EA7"/>
    <w:rsid w:val="2868554F"/>
    <w:rsid w:val="286A70A6"/>
    <w:rsid w:val="286D715D"/>
    <w:rsid w:val="28710251"/>
    <w:rsid w:val="287270BD"/>
    <w:rsid w:val="287508F6"/>
    <w:rsid w:val="28854507"/>
    <w:rsid w:val="288C7056"/>
    <w:rsid w:val="288F598A"/>
    <w:rsid w:val="289910F7"/>
    <w:rsid w:val="28A14F66"/>
    <w:rsid w:val="28A4234C"/>
    <w:rsid w:val="28A63531"/>
    <w:rsid w:val="28A773FC"/>
    <w:rsid w:val="28CA5B35"/>
    <w:rsid w:val="28D02425"/>
    <w:rsid w:val="28D527CA"/>
    <w:rsid w:val="28DB1A3D"/>
    <w:rsid w:val="28F133CC"/>
    <w:rsid w:val="28F729CE"/>
    <w:rsid w:val="28F934CA"/>
    <w:rsid w:val="28FA5F7F"/>
    <w:rsid w:val="29030450"/>
    <w:rsid w:val="29056F59"/>
    <w:rsid w:val="2907017C"/>
    <w:rsid w:val="291218C3"/>
    <w:rsid w:val="2912731C"/>
    <w:rsid w:val="29150A19"/>
    <w:rsid w:val="29157321"/>
    <w:rsid w:val="291F35AA"/>
    <w:rsid w:val="2925391D"/>
    <w:rsid w:val="292B0670"/>
    <w:rsid w:val="292E0A29"/>
    <w:rsid w:val="29325A72"/>
    <w:rsid w:val="29357E55"/>
    <w:rsid w:val="2938341E"/>
    <w:rsid w:val="293A6E92"/>
    <w:rsid w:val="29566904"/>
    <w:rsid w:val="29582224"/>
    <w:rsid w:val="29585835"/>
    <w:rsid w:val="296074D7"/>
    <w:rsid w:val="29712D8F"/>
    <w:rsid w:val="29736267"/>
    <w:rsid w:val="297B31D3"/>
    <w:rsid w:val="298103BD"/>
    <w:rsid w:val="298D4850"/>
    <w:rsid w:val="29966295"/>
    <w:rsid w:val="29971F57"/>
    <w:rsid w:val="299C7DCA"/>
    <w:rsid w:val="29A021A8"/>
    <w:rsid w:val="29A942FB"/>
    <w:rsid w:val="29B344DC"/>
    <w:rsid w:val="29B539E6"/>
    <w:rsid w:val="29BA1399"/>
    <w:rsid w:val="29BC2699"/>
    <w:rsid w:val="29C8428C"/>
    <w:rsid w:val="29D4298C"/>
    <w:rsid w:val="29DD7E33"/>
    <w:rsid w:val="29E31C9C"/>
    <w:rsid w:val="29E55C12"/>
    <w:rsid w:val="29E81D60"/>
    <w:rsid w:val="29F035C0"/>
    <w:rsid w:val="29F05E16"/>
    <w:rsid w:val="29F54832"/>
    <w:rsid w:val="2A043423"/>
    <w:rsid w:val="2A111075"/>
    <w:rsid w:val="2A160D87"/>
    <w:rsid w:val="2A307EBE"/>
    <w:rsid w:val="2A3E413F"/>
    <w:rsid w:val="2A430F4D"/>
    <w:rsid w:val="2A5303B9"/>
    <w:rsid w:val="2A534A67"/>
    <w:rsid w:val="2A5F67A3"/>
    <w:rsid w:val="2A6151C4"/>
    <w:rsid w:val="2A664C59"/>
    <w:rsid w:val="2A6B464E"/>
    <w:rsid w:val="2A772250"/>
    <w:rsid w:val="2A944B48"/>
    <w:rsid w:val="2A9A0F2B"/>
    <w:rsid w:val="2AA07917"/>
    <w:rsid w:val="2AA1140C"/>
    <w:rsid w:val="2AA67F8B"/>
    <w:rsid w:val="2AAA31D9"/>
    <w:rsid w:val="2AAC289A"/>
    <w:rsid w:val="2AB138BA"/>
    <w:rsid w:val="2AC51079"/>
    <w:rsid w:val="2ACA0984"/>
    <w:rsid w:val="2AD05182"/>
    <w:rsid w:val="2AE47A17"/>
    <w:rsid w:val="2AEB2740"/>
    <w:rsid w:val="2AF44191"/>
    <w:rsid w:val="2AF74347"/>
    <w:rsid w:val="2B0A4D59"/>
    <w:rsid w:val="2B1A32A0"/>
    <w:rsid w:val="2B26693B"/>
    <w:rsid w:val="2B2F1FC7"/>
    <w:rsid w:val="2B2F2F22"/>
    <w:rsid w:val="2B37764D"/>
    <w:rsid w:val="2B3F6547"/>
    <w:rsid w:val="2B4F2967"/>
    <w:rsid w:val="2B5C1A7C"/>
    <w:rsid w:val="2B6525E9"/>
    <w:rsid w:val="2B6E19DB"/>
    <w:rsid w:val="2B756050"/>
    <w:rsid w:val="2B7C5660"/>
    <w:rsid w:val="2B8944AA"/>
    <w:rsid w:val="2B92679C"/>
    <w:rsid w:val="2B96506D"/>
    <w:rsid w:val="2B986BC6"/>
    <w:rsid w:val="2BA16669"/>
    <w:rsid w:val="2BAE20A5"/>
    <w:rsid w:val="2BAF2381"/>
    <w:rsid w:val="2BB1376A"/>
    <w:rsid w:val="2BBA7E05"/>
    <w:rsid w:val="2BBB17D5"/>
    <w:rsid w:val="2BC3413A"/>
    <w:rsid w:val="2BC45396"/>
    <w:rsid w:val="2BD540AD"/>
    <w:rsid w:val="2BF336C9"/>
    <w:rsid w:val="2BF33ED5"/>
    <w:rsid w:val="2BFB7405"/>
    <w:rsid w:val="2C006833"/>
    <w:rsid w:val="2C034F7B"/>
    <w:rsid w:val="2C040D89"/>
    <w:rsid w:val="2C0509D9"/>
    <w:rsid w:val="2C05481D"/>
    <w:rsid w:val="2C056AF9"/>
    <w:rsid w:val="2C220DB4"/>
    <w:rsid w:val="2C247FF1"/>
    <w:rsid w:val="2C3C0030"/>
    <w:rsid w:val="2C3F3887"/>
    <w:rsid w:val="2C45016F"/>
    <w:rsid w:val="2C516E38"/>
    <w:rsid w:val="2C533A6A"/>
    <w:rsid w:val="2C560EA3"/>
    <w:rsid w:val="2C617496"/>
    <w:rsid w:val="2C62156F"/>
    <w:rsid w:val="2C6F41F6"/>
    <w:rsid w:val="2C730778"/>
    <w:rsid w:val="2C7E030A"/>
    <w:rsid w:val="2C833FFB"/>
    <w:rsid w:val="2C8F430E"/>
    <w:rsid w:val="2C970335"/>
    <w:rsid w:val="2CA21894"/>
    <w:rsid w:val="2CA4476E"/>
    <w:rsid w:val="2CAD4F6B"/>
    <w:rsid w:val="2CB17FD2"/>
    <w:rsid w:val="2CC16AFA"/>
    <w:rsid w:val="2CC95D10"/>
    <w:rsid w:val="2CCB5A72"/>
    <w:rsid w:val="2CD57684"/>
    <w:rsid w:val="2CD67A0B"/>
    <w:rsid w:val="2CD75666"/>
    <w:rsid w:val="2CD83FF1"/>
    <w:rsid w:val="2CDC6591"/>
    <w:rsid w:val="2CDE08F2"/>
    <w:rsid w:val="2CE03AB0"/>
    <w:rsid w:val="2CEB494F"/>
    <w:rsid w:val="2CEF53E3"/>
    <w:rsid w:val="2CF53A56"/>
    <w:rsid w:val="2CF649A9"/>
    <w:rsid w:val="2CFC27E4"/>
    <w:rsid w:val="2D0766E4"/>
    <w:rsid w:val="2D0B702A"/>
    <w:rsid w:val="2D107EBA"/>
    <w:rsid w:val="2D1B67A1"/>
    <w:rsid w:val="2D1F4BCA"/>
    <w:rsid w:val="2D221AAA"/>
    <w:rsid w:val="2D2651C9"/>
    <w:rsid w:val="2D3D74EA"/>
    <w:rsid w:val="2D476C62"/>
    <w:rsid w:val="2D504333"/>
    <w:rsid w:val="2D521264"/>
    <w:rsid w:val="2D567058"/>
    <w:rsid w:val="2D57290A"/>
    <w:rsid w:val="2D5D7FE8"/>
    <w:rsid w:val="2D5E7E01"/>
    <w:rsid w:val="2D6030A2"/>
    <w:rsid w:val="2D660EF9"/>
    <w:rsid w:val="2D6C2B47"/>
    <w:rsid w:val="2D763F45"/>
    <w:rsid w:val="2D820204"/>
    <w:rsid w:val="2D8402FC"/>
    <w:rsid w:val="2D88024C"/>
    <w:rsid w:val="2D935488"/>
    <w:rsid w:val="2D960FB5"/>
    <w:rsid w:val="2D9B4423"/>
    <w:rsid w:val="2D9E7E85"/>
    <w:rsid w:val="2DAC2EF4"/>
    <w:rsid w:val="2DAD4BCD"/>
    <w:rsid w:val="2DB453FF"/>
    <w:rsid w:val="2DBE4237"/>
    <w:rsid w:val="2DC0292D"/>
    <w:rsid w:val="2DCB10F0"/>
    <w:rsid w:val="2DCB38A1"/>
    <w:rsid w:val="2DD066E9"/>
    <w:rsid w:val="2DDC0ED4"/>
    <w:rsid w:val="2DE3054F"/>
    <w:rsid w:val="2DE7186E"/>
    <w:rsid w:val="2DF036FB"/>
    <w:rsid w:val="2DF21CB3"/>
    <w:rsid w:val="2DFD78B4"/>
    <w:rsid w:val="2DFE083B"/>
    <w:rsid w:val="2E0708FF"/>
    <w:rsid w:val="2E11457C"/>
    <w:rsid w:val="2E1643B9"/>
    <w:rsid w:val="2E184C0F"/>
    <w:rsid w:val="2E1F18AD"/>
    <w:rsid w:val="2E2643F1"/>
    <w:rsid w:val="2E28757C"/>
    <w:rsid w:val="2E2C723F"/>
    <w:rsid w:val="2E332EEF"/>
    <w:rsid w:val="2E3F6B8A"/>
    <w:rsid w:val="2E404169"/>
    <w:rsid w:val="2E406C31"/>
    <w:rsid w:val="2E467FE7"/>
    <w:rsid w:val="2E527715"/>
    <w:rsid w:val="2E530660"/>
    <w:rsid w:val="2E531152"/>
    <w:rsid w:val="2E565287"/>
    <w:rsid w:val="2E5F1E47"/>
    <w:rsid w:val="2E682652"/>
    <w:rsid w:val="2E6B6D27"/>
    <w:rsid w:val="2E7A506F"/>
    <w:rsid w:val="2E7B0600"/>
    <w:rsid w:val="2E7B273D"/>
    <w:rsid w:val="2E7D30EA"/>
    <w:rsid w:val="2E8028E0"/>
    <w:rsid w:val="2E88139A"/>
    <w:rsid w:val="2E8B051E"/>
    <w:rsid w:val="2E8F062E"/>
    <w:rsid w:val="2E905D65"/>
    <w:rsid w:val="2E9D560F"/>
    <w:rsid w:val="2E9F7EC1"/>
    <w:rsid w:val="2EA234E1"/>
    <w:rsid w:val="2EB17C70"/>
    <w:rsid w:val="2EB411B5"/>
    <w:rsid w:val="2EBC576E"/>
    <w:rsid w:val="2EBD49E1"/>
    <w:rsid w:val="2EBF0ED1"/>
    <w:rsid w:val="2EC42186"/>
    <w:rsid w:val="2EC7495E"/>
    <w:rsid w:val="2EC776BB"/>
    <w:rsid w:val="2ECA39AD"/>
    <w:rsid w:val="2ECC0C07"/>
    <w:rsid w:val="2ED03009"/>
    <w:rsid w:val="2EF224CD"/>
    <w:rsid w:val="2EF67D61"/>
    <w:rsid w:val="2EFA2F2B"/>
    <w:rsid w:val="2F2E23A6"/>
    <w:rsid w:val="2F350F19"/>
    <w:rsid w:val="2F383567"/>
    <w:rsid w:val="2F3B1918"/>
    <w:rsid w:val="2F3B69E6"/>
    <w:rsid w:val="2F415DC8"/>
    <w:rsid w:val="2F514AAE"/>
    <w:rsid w:val="2F531FEB"/>
    <w:rsid w:val="2F5B5B3B"/>
    <w:rsid w:val="2F615468"/>
    <w:rsid w:val="2F655F0E"/>
    <w:rsid w:val="2F6B73F9"/>
    <w:rsid w:val="2F6D4FA6"/>
    <w:rsid w:val="2F743486"/>
    <w:rsid w:val="2F756E65"/>
    <w:rsid w:val="2F77354F"/>
    <w:rsid w:val="2F7A7069"/>
    <w:rsid w:val="2F7B2789"/>
    <w:rsid w:val="2F8001B6"/>
    <w:rsid w:val="2F897AA1"/>
    <w:rsid w:val="2F8D4D67"/>
    <w:rsid w:val="2F8E2F8D"/>
    <w:rsid w:val="2F9051B8"/>
    <w:rsid w:val="2F910893"/>
    <w:rsid w:val="2F9A69D2"/>
    <w:rsid w:val="2F9C6646"/>
    <w:rsid w:val="2F9D4AA3"/>
    <w:rsid w:val="2F9F094E"/>
    <w:rsid w:val="2FB11323"/>
    <w:rsid w:val="2FBB6A2A"/>
    <w:rsid w:val="2FC2166F"/>
    <w:rsid w:val="2FCB0952"/>
    <w:rsid w:val="2FD53529"/>
    <w:rsid w:val="2FD80709"/>
    <w:rsid w:val="2FDF2368"/>
    <w:rsid w:val="2FDF7CD4"/>
    <w:rsid w:val="2FEC08C6"/>
    <w:rsid w:val="2FF532B7"/>
    <w:rsid w:val="2FF674CB"/>
    <w:rsid w:val="2FF7251F"/>
    <w:rsid w:val="30007788"/>
    <w:rsid w:val="30093592"/>
    <w:rsid w:val="301977C7"/>
    <w:rsid w:val="30205153"/>
    <w:rsid w:val="30253FAB"/>
    <w:rsid w:val="30270D6F"/>
    <w:rsid w:val="303B3B59"/>
    <w:rsid w:val="303C0C41"/>
    <w:rsid w:val="303D6437"/>
    <w:rsid w:val="30443F81"/>
    <w:rsid w:val="30532F8E"/>
    <w:rsid w:val="305566D8"/>
    <w:rsid w:val="305831D6"/>
    <w:rsid w:val="305A4537"/>
    <w:rsid w:val="305A5F2F"/>
    <w:rsid w:val="30632880"/>
    <w:rsid w:val="3070014A"/>
    <w:rsid w:val="307B4FFA"/>
    <w:rsid w:val="308136E0"/>
    <w:rsid w:val="3095375A"/>
    <w:rsid w:val="309B2688"/>
    <w:rsid w:val="30A86A79"/>
    <w:rsid w:val="30A90B96"/>
    <w:rsid w:val="30A91070"/>
    <w:rsid w:val="30B26464"/>
    <w:rsid w:val="30B86332"/>
    <w:rsid w:val="30C91D87"/>
    <w:rsid w:val="30D10B78"/>
    <w:rsid w:val="30D251E3"/>
    <w:rsid w:val="30D36EB7"/>
    <w:rsid w:val="30D45137"/>
    <w:rsid w:val="30D51A41"/>
    <w:rsid w:val="30E7233C"/>
    <w:rsid w:val="30F6101B"/>
    <w:rsid w:val="31076B28"/>
    <w:rsid w:val="31076EFA"/>
    <w:rsid w:val="310866BC"/>
    <w:rsid w:val="31154DED"/>
    <w:rsid w:val="31215B33"/>
    <w:rsid w:val="312A36B1"/>
    <w:rsid w:val="313A2CAC"/>
    <w:rsid w:val="313E6356"/>
    <w:rsid w:val="31460C29"/>
    <w:rsid w:val="314B3239"/>
    <w:rsid w:val="315757D1"/>
    <w:rsid w:val="315B21E9"/>
    <w:rsid w:val="315B5E62"/>
    <w:rsid w:val="31604DC0"/>
    <w:rsid w:val="31607973"/>
    <w:rsid w:val="3163108E"/>
    <w:rsid w:val="3167538F"/>
    <w:rsid w:val="317544CD"/>
    <w:rsid w:val="31765162"/>
    <w:rsid w:val="317A487D"/>
    <w:rsid w:val="31833BCE"/>
    <w:rsid w:val="318A1515"/>
    <w:rsid w:val="31944F6F"/>
    <w:rsid w:val="31963456"/>
    <w:rsid w:val="31A51052"/>
    <w:rsid w:val="31A77BCC"/>
    <w:rsid w:val="31A84B64"/>
    <w:rsid w:val="31B12D3C"/>
    <w:rsid w:val="31B2653B"/>
    <w:rsid w:val="31B266EC"/>
    <w:rsid w:val="31B45163"/>
    <w:rsid w:val="31B81D35"/>
    <w:rsid w:val="31C3729F"/>
    <w:rsid w:val="31CB617D"/>
    <w:rsid w:val="31CC0ECB"/>
    <w:rsid w:val="31DD2EC1"/>
    <w:rsid w:val="31DF1DB8"/>
    <w:rsid w:val="31F020DC"/>
    <w:rsid w:val="31F072F8"/>
    <w:rsid w:val="32061C7F"/>
    <w:rsid w:val="320A52D8"/>
    <w:rsid w:val="320D2005"/>
    <w:rsid w:val="32136025"/>
    <w:rsid w:val="32220D79"/>
    <w:rsid w:val="32252577"/>
    <w:rsid w:val="32294648"/>
    <w:rsid w:val="322F0831"/>
    <w:rsid w:val="3238009F"/>
    <w:rsid w:val="323F5519"/>
    <w:rsid w:val="32471CC6"/>
    <w:rsid w:val="324F0134"/>
    <w:rsid w:val="3250140A"/>
    <w:rsid w:val="32540593"/>
    <w:rsid w:val="32582CC3"/>
    <w:rsid w:val="327179A4"/>
    <w:rsid w:val="32775626"/>
    <w:rsid w:val="32835AB1"/>
    <w:rsid w:val="32883910"/>
    <w:rsid w:val="328A3A5F"/>
    <w:rsid w:val="328D7371"/>
    <w:rsid w:val="328E2231"/>
    <w:rsid w:val="329326B7"/>
    <w:rsid w:val="329426A2"/>
    <w:rsid w:val="329708DE"/>
    <w:rsid w:val="32AD1211"/>
    <w:rsid w:val="32E12F9A"/>
    <w:rsid w:val="32E87F66"/>
    <w:rsid w:val="32EC46FB"/>
    <w:rsid w:val="32FF12B8"/>
    <w:rsid w:val="330073AA"/>
    <w:rsid w:val="33020BF1"/>
    <w:rsid w:val="330710D7"/>
    <w:rsid w:val="331E3887"/>
    <w:rsid w:val="33224534"/>
    <w:rsid w:val="332742E9"/>
    <w:rsid w:val="332A0620"/>
    <w:rsid w:val="332A1AC1"/>
    <w:rsid w:val="332C71E1"/>
    <w:rsid w:val="332E1BC2"/>
    <w:rsid w:val="332F3B66"/>
    <w:rsid w:val="333B116B"/>
    <w:rsid w:val="333E2024"/>
    <w:rsid w:val="33427ABB"/>
    <w:rsid w:val="33616D4E"/>
    <w:rsid w:val="337E477E"/>
    <w:rsid w:val="33821BAB"/>
    <w:rsid w:val="338378EA"/>
    <w:rsid w:val="33885755"/>
    <w:rsid w:val="339E18BC"/>
    <w:rsid w:val="33A32C9C"/>
    <w:rsid w:val="33A57822"/>
    <w:rsid w:val="33A77C3C"/>
    <w:rsid w:val="33AA7345"/>
    <w:rsid w:val="33B37087"/>
    <w:rsid w:val="33BA7C82"/>
    <w:rsid w:val="33BC4D91"/>
    <w:rsid w:val="33BF4D9D"/>
    <w:rsid w:val="33C233CD"/>
    <w:rsid w:val="33C504FF"/>
    <w:rsid w:val="33C968FA"/>
    <w:rsid w:val="33D23DF5"/>
    <w:rsid w:val="33D246C3"/>
    <w:rsid w:val="33DF11C8"/>
    <w:rsid w:val="33E442C9"/>
    <w:rsid w:val="33E61B12"/>
    <w:rsid w:val="33ED6C56"/>
    <w:rsid w:val="33EF44FC"/>
    <w:rsid w:val="33FE7E15"/>
    <w:rsid w:val="33FF1154"/>
    <w:rsid w:val="340074AF"/>
    <w:rsid w:val="340948E1"/>
    <w:rsid w:val="340D3904"/>
    <w:rsid w:val="341212B1"/>
    <w:rsid w:val="341321BE"/>
    <w:rsid w:val="34155C01"/>
    <w:rsid w:val="34293255"/>
    <w:rsid w:val="34314E1D"/>
    <w:rsid w:val="34374868"/>
    <w:rsid w:val="343D2D4C"/>
    <w:rsid w:val="34417702"/>
    <w:rsid w:val="34417EB0"/>
    <w:rsid w:val="3446518F"/>
    <w:rsid w:val="344A296C"/>
    <w:rsid w:val="344C25CD"/>
    <w:rsid w:val="344E045C"/>
    <w:rsid w:val="344F610D"/>
    <w:rsid w:val="34512060"/>
    <w:rsid w:val="345232B0"/>
    <w:rsid w:val="345A0779"/>
    <w:rsid w:val="345B15DB"/>
    <w:rsid w:val="346B1ADA"/>
    <w:rsid w:val="346C4A94"/>
    <w:rsid w:val="346E7A5A"/>
    <w:rsid w:val="3477244E"/>
    <w:rsid w:val="34782617"/>
    <w:rsid w:val="347946FA"/>
    <w:rsid w:val="347A6171"/>
    <w:rsid w:val="348440EB"/>
    <w:rsid w:val="348D33D3"/>
    <w:rsid w:val="3496737A"/>
    <w:rsid w:val="34A238C5"/>
    <w:rsid w:val="34AC0653"/>
    <w:rsid w:val="34AC2DE9"/>
    <w:rsid w:val="34B24855"/>
    <w:rsid w:val="34B55560"/>
    <w:rsid w:val="34B84D9B"/>
    <w:rsid w:val="34BE7103"/>
    <w:rsid w:val="34C9343D"/>
    <w:rsid w:val="34CE3369"/>
    <w:rsid w:val="34DC1C67"/>
    <w:rsid w:val="34E47162"/>
    <w:rsid w:val="34E664D6"/>
    <w:rsid w:val="34F64CDD"/>
    <w:rsid w:val="34FF095B"/>
    <w:rsid w:val="3500311A"/>
    <w:rsid w:val="350B76BF"/>
    <w:rsid w:val="350C5C16"/>
    <w:rsid w:val="351710F0"/>
    <w:rsid w:val="351F4B47"/>
    <w:rsid w:val="352E435E"/>
    <w:rsid w:val="3534069E"/>
    <w:rsid w:val="353807E2"/>
    <w:rsid w:val="353D45FA"/>
    <w:rsid w:val="353F0E06"/>
    <w:rsid w:val="35422CF2"/>
    <w:rsid w:val="35505013"/>
    <w:rsid w:val="35531CAD"/>
    <w:rsid w:val="356D51F7"/>
    <w:rsid w:val="357972DF"/>
    <w:rsid w:val="357D79D3"/>
    <w:rsid w:val="35804F9D"/>
    <w:rsid w:val="35843B49"/>
    <w:rsid w:val="35884385"/>
    <w:rsid w:val="35890016"/>
    <w:rsid w:val="358B0F26"/>
    <w:rsid w:val="35924A15"/>
    <w:rsid w:val="359753B1"/>
    <w:rsid w:val="359B1B48"/>
    <w:rsid w:val="35A25468"/>
    <w:rsid w:val="35AC56FE"/>
    <w:rsid w:val="35C3354B"/>
    <w:rsid w:val="35CB283C"/>
    <w:rsid w:val="35D02A2E"/>
    <w:rsid w:val="35DF2011"/>
    <w:rsid w:val="35E1012B"/>
    <w:rsid w:val="35E1505C"/>
    <w:rsid w:val="35E328B8"/>
    <w:rsid w:val="35E3701E"/>
    <w:rsid w:val="35E420DE"/>
    <w:rsid w:val="35E607CD"/>
    <w:rsid w:val="35EB34A9"/>
    <w:rsid w:val="35EC6F4A"/>
    <w:rsid w:val="35EE6A38"/>
    <w:rsid w:val="35F5734F"/>
    <w:rsid w:val="35F65884"/>
    <w:rsid w:val="35F715DC"/>
    <w:rsid w:val="36057267"/>
    <w:rsid w:val="362131A7"/>
    <w:rsid w:val="362E1546"/>
    <w:rsid w:val="36330CA5"/>
    <w:rsid w:val="364236D7"/>
    <w:rsid w:val="3654563C"/>
    <w:rsid w:val="365763B3"/>
    <w:rsid w:val="366F70DE"/>
    <w:rsid w:val="367C0A7E"/>
    <w:rsid w:val="36856B5A"/>
    <w:rsid w:val="36883C27"/>
    <w:rsid w:val="36950061"/>
    <w:rsid w:val="36953205"/>
    <w:rsid w:val="36A32443"/>
    <w:rsid w:val="36A61ADA"/>
    <w:rsid w:val="36AC504E"/>
    <w:rsid w:val="36B45F51"/>
    <w:rsid w:val="36B7013F"/>
    <w:rsid w:val="36D37FB9"/>
    <w:rsid w:val="36D40D9D"/>
    <w:rsid w:val="36D71D0D"/>
    <w:rsid w:val="36E17BD4"/>
    <w:rsid w:val="36E30071"/>
    <w:rsid w:val="36E31151"/>
    <w:rsid w:val="36E61D1E"/>
    <w:rsid w:val="36EF4947"/>
    <w:rsid w:val="36F76FAD"/>
    <w:rsid w:val="37060D5C"/>
    <w:rsid w:val="370F6D7D"/>
    <w:rsid w:val="3711176D"/>
    <w:rsid w:val="37113E21"/>
    <w:rsid w:val="37244D17"/>
    <w:rsid w:val="373F483B"/>
    <w:rsid w:val="37451D56"/>
    <w:rsid w:val="375C645A"/>
    <w:rsid w:val="37633810"/>
    <w:rsid w:val="37737FCD"/>
    <w:rsid w:val="377E253E"/>
    <w:rsid w:val="377E4EC2"/>
    <w:rsid w:val="37831AFE"/>
    <w:rsid w:val="37855CA5"/>
    <w:rsid w:val="379747E4"/>
    <w:rsid w:val="37A10A3C"/>
    <w:rsid w:val="37A32862"/>
    <w:rsid w:val="37A771F1"/>
    <w:rsid w:val="37AA1FED"/>
    <w:rsid w:val="37B033F0"/>
    <w:rsid w:val="37B25951"/>
    <w:rsid w:val="37B82D37"/>
    <w:rsid w:val="37BB1880"/>
    <w:rsid w:val="37BF7DD8"/>
    <w:rsid w:val="37CA6F5D"/>
    <w:rsid w:val="37CF39F4"/>
    <w:rsid w:val="37DF4E44"/>
    <w:rsid w:val="38093CF4"/>
    <w:rsid w:val="38132FDB"/>
    <w:rsid w:val="381523AC"/>
    <w:rsid w:val="3816611D"/>
    <w:rsid w:val="381A7833"/>
    <w:rsid w:val="381D6FCC"/>
    <w:rsid w:val="38255502"/>
    <w:rsid w:val="382563C3"/>
    <w:rsid w:val="382B10C6"/>
    <w:rsid w:val="384502C9"/>
    <w:rsid w:val="384757BF"/>
    <w:rsid w:val="384A568A"/>
    <w:rsid w:val="384C2E85"/>
    <w:rsid w:val="384D7A6B"/>
    <w:rsid w:val="38527F5E"/>
    <w:rsid w:val="38576EB1"/>
    <w:rsid w:val="385B78DA"/>
    <w:rsid w:val="385E7289"/>
    <w:rsid w:val="386B3647"/>
    <w:rsid w:val="386F64C6"/>
    <w:rsid w:val="38755246"/>
    <w:rsid w:val="38850F2D"/>
    <w:rsid w:val="388F47CD"/>
    <w:rsid w:val="3891497A"/>
    <w:rsid w:val="38934709"/>
    <w:rsid w:val="3899545E"/>
    <w:rsid w:val="389B63CB"/>
    <w:rsid w:val="389D36E7"/>
    <w:rsid w:val="38AD0AAC"/>
    <w:rsid w:val="38AF121A"/>
    <w:rsid w:val="38B10DA8"/>
    <w:rsid w:val="38B94B51"/>
    <w:rsid w:val="38B976FB"/>
    <w:rsid w:val="38BB5EDA"/>
    <w:rsid w:val="38C6779A"/>
    <w:rsid w:val="38DC2A26"/>
    <w:rsid w:val="38DC5040"/>
    <w:rsid w:val="38EA0958"/>
    <w:rsid w:val="38EA292A"/>
    <w:rsid w:val="38EB3140"/>
    <w:rsid w:val="38F71493"/>
    <w:rsid w:val="38FC00B3"/>
    <w:rsid w:val="38FC7F68"/>
    <w:rsid w:val="390150BD"/>
    <w:rsid w:val="39015BC8"/>
    <w:rsid w:val="39132EBE"/>
    <w:rsid w:val="39137015"/>
    <w:rsid w:val="3923223F"/>
    <w:rsid w:val="393F3649"/>
    <w:rsid w:val="39434B25"/>
    <w:rsid w:val="39442CC4"/>
    <w:rsid w:val="394A3B36"/>
    <w:rsid w:val="394C053B"/>
    <w:rsid w:val="394E0439"/>
    <w:rsid w:val="39532D05"/>
    <w:rsid w:val="395A1855"/>
    <w:rsid w:val="395E1405"/>
    <w:rsid w:val="3962425A"/>
    <w:rsid w:val="396E504E"/>
    <w:rsid w:val="396F7993"/>
    <w:rsid w:val="39741673"/>
    <w:rsid w:val="397F2866"/>
    <w:rsid w:val="39850A26"/>
    <w:rsid w:val="39893783"/>
    <w:rsid w:val="399108C7"/>
    <w:rsid w:val="399B6654"/>
    <w:rsid w:val="399C23C2"/>
    <w:rsid w:val="399E7C65"/>
    <w:rsid w:val="39A118CD"/>
    <w:rsid w:val="39A337DD"/>
    <w:rsid w:val="39B1002C"/>
    <w:rsid w:val="39B75345"/>
    <w:rsid w:val="39BA1CF7"/>
    <w:rsid w:val="39BA2065"/>
    <w:rsid w:val="39C83126"/>
    <w:rsid w:val="39CD4753"/>
    <w:rsid w:val="39D037AF"/>
    <w:rsid w:val="39D466BD"/>
    <w:rsid w:val="39D7158B"/>
    <w:rsid w:val="39DC1B39"/>
    <w:rsid w:val="39E03897"/>
    <w:rsid w:val="39E125BA"/>
    <w:rsid w:val="39EE1B0B"/>
    <w:rsid w:val="39F17FFD"/>
    <w:rsid w:val="39FA1859"/>
    <w:rsid w:val="3A03384A"/>
    <w:rsid w:val="3A066160"/>
    <w:rsid w:val="3A0D48B1"/>
    <w:rsid w:val="3A1810FA"/>
    <w:rsid w:val="3A2441B7"/>
    <w:rsid w:val="3A274488"/>
    <w:rsid w:val="3A28048B"/>
    <w:rsid w:val="3A336331"/>
    <w:rsid w:val="3A413457"/>
    <w:rsid w:val="3A425B7A"/>
    <w:rsid w:val="3A431472"/>
    <w:rsid w:val="3A474B1C"/>
    <w:rsid w:val="3A5207B4"/>
    <w:rsid w:val="3A541BF5"/>
    <w:rsid w:val="3A553D9F"/>
    <w:rsid w:val="3A597477"/>
    <w:rsid w:val="3A5A285A"/>
    <w:rsid w:val="3A5E32B9"/>
    <w:rsid w:val="3A646A00"/>
    <w:rsid w:val="3A697F71"/>
    <w:rsid w:val="3A6A4AC7"/>
    <w:rsid w:val="3A6E26C3"/>
    <w:rsid w:val="3A6F0BDF"/>
    <w:rsid w:val="3A72622B"/>
    <w:rsid w:val="3A75769F"/>
    <w:rsid w:val="3A7E2244"/>
    <w:rsid w:val="3A861E9F"/>
    <w:rsid w:val="3A897BA1"/>
    <w:rsid w:val="3A9038DA"/>
    <w:rsid w:val="3A936647"/>
    <w:rsid w:val="3A9E4B32"/>
    <w:rsid w:val="3A9F1B2C"/>
    <w:rsid w:val="3AA04C49"/>
    <w:rsid w:val="3AA54470"/>
    <w:rsid w:val="3AA913CF"/>
    <w:rsid w:val="3AB86069"/>
    <w:rsid w:val="3AC036CC"/>
    <w:rsid w:val="3AC205A6"/>
    <w:rsid w:val="3AC257A4"/>
    <w:rsid w:val="3AC334CD"/>
    <w:rsid w:val="3AD16134"/>
    <w:rsid w:val="3AD17EBD"/>
    <w:rsid w:val="3ADE382E"/>
    <w:rsid w:val="3AEA3CFC"/>
    <w:rsid w:val="3AF044A5"/>
    <w:rsid w:val="3AFC4CC9"/>
    <w:rsid w:val="3B00301D"/>
    <w:rsid w:val="3B1752EE"/>
    <w:rsid w:val="3B1C35AC"/>
    <w:rsid w:val="3B1F0CAE"/>
    <w:rsid w:val="3B22468C"/>
    <w:rsid w:val="3B292A67"/>
    <w:rsid w:val="3B3155AA"/>
    <w:rsid w:val="3B3E0B10"/>
    <w:rsid w:val="3B4F1508"/>
    <w:rsid w:val="3B580D61"/>
    <w:rsid w:val="3B696BF9"/>
    <w:rsid w:val="3B6F0DCA"/>
    <w:rsid w:val="3B754E06"/>
    <w:rsid w:val="3B7B2B0A"/>
    <w:rsid w:val="3B7C7B97"/>
    <w:rsid w:val="3B8372AE"/>
    <w:rsid w:val="3B914065"/>
    <w:rsid w:val="3B9F483C"/>
    <w:rsid w:val="3BB249F7"/>
    <w:rsid w:val="3BBE3122"/>
    <w:rsid w:val="3BC20515"/>
    <w:rsid w:val="3BC53C74"/>
    <w:rsid w:val="3BC62C0D"/>
    <w:rsid w:val="3BC772AB"/>
    <w:rsid w:val="3BC812C8"/>
    <w:rsid w:val="3BCD0624"/>
    <w:rsid w:val="3BD741DE"/>
    <w:rsid w:val="3BE7491F"/>
    <w:rsid w:val="3BE82033"/>
    <w:rsid w:val="3BEF3F98"/>
    <w:rsid w:val="3BF01125"/>
    <w:rsid w:val="3BF82655"/>
    <w:rsid w:val="3BF90B59"/>
    <w:rsid w:val="3C015D18"/>
    <w:rsid w:val="3C035D20"/>
    <w:rsid w:val="3C0C1C74"/>
    <w:rsid w:val="3C0C65F7"/>
    <w:rsid w:val="3C12184A"/>
    <w:rsid w:val="3C165216"/>
    <w:rsid w:val="3C20030B"/>
    <w:rsid w:val="3C220A63"/>
    <w:rsid w:val="3C257E8D"/>
    <w:rsid w:val="3C286FD8"/>
    <w:rsid w:val="3C326DEB"/>
    <w:rsid w:val="3C3C1378"/>
    <w:rsid w:val="3C497D33"/>
    <w:rsid w:val="3C5A342C"/>
    <w:rsid w:val="3C5C0867"/>
    <w:rsid w:val="3C656EED"/>
    <w:rsid w:val="3C685003"/>
    <w:rsid w:val="3C6D452D"/>
    <w:rsid w:val="3C6E7843"/>
    <w:rsid w:val="3C727A71"/>
    <w:rsid w:val="3C732FE2"/>
    <w:rsid w:val="3C786DE5"/>
    <w:rsid w:val="3C7A3669"/>
    <w:rsid w:val="3C7D3E58"/>
    <w:rsid w:val="3C882BD0"/>
    <w:rsid w:val="3C8E0F1D"/>
    <w:rsid w:val="3C94545E"/>
    <w:rsid w:val="3CAE0651"/>
    <w:rsid w:val="3CBC2D9B"/>
    <w:rsid w:val="3CC5588D"/>
    <w:rsid w:val="3CCD1D16"/>
    <w:rsid w:val="3CD83C07"/>
    <w:rsid w:val="3CD85D57"/>
    <w:rsid w:val="3CD87AA0"/>
    <w:rsid w:val="3CDA5112"/>
    <w:rsid w:val="3CDB62C1"/>
    <w:rsid w:val="3CE13BDF"/>
    <w:rsid w:val="3CE26359"/>
    <w:rsid w:val="3CE70364"/>
    <w:rsid w:val="3CFD4D35"/>
    <w:rsid w:val="3D064D69"/>
    <w:rsid w:val="3D0E3667"/>
    <w:rsid w:val="3D0E399D"/>
    <w:rsid w:val="3D123F8D"/>
    <w:rsid w:val="3D12721E"/>
    <w:rsid w:val="3D1B45BC"/>
    <w:rsid w:val="3D27093B"/>
    <w:rsid w:val="3D351ADA"/>
    <w:rsid w:val="3D3D6CB6"/>
    <w:rsid w:val="3D444248"/>
    <w:rsid w:val="3D4B2FA5"/>
    <w:rsid w:val="3D527DA5"/>
    <w:rsid w:val="3D546058"/>
    <w:rsid w:val="3D5461A9"/>
    <w:rsid w:val="3D58650A"/>
    <w:rsid w:val="3D590765"/>
    <w:rsid w:val="3D5A5DDB"/>
    <w:rsid w:val="3D5A6060"/>
    <w:rsid w:val="3D640E16"/>
    <w:rsid w:val="3D67132F"/>
    <w:rsid w:val="3D7936F9"/>
    <w:rsid w:val="3D7B0D27"/>
    <w:rsid w:val="3D7E27A0"/>
    <w:rsid w:val="3D874F51"/>
    <w:rsid w:val="3D896CEB"/>
    <w:rsid w:val="3D9A2D6C"/>
    <w:rsid w:val="3D9D0681"/>
    <w:rsid w:val="3DAF1596"/>
    <w:rsid w:val="3DB52668"/>
    <w:rsid w:val="3DD3077A"/>
    <w:rsid w:val="3DDF7A0D"/>
    <w:rsid w:val="3DFD4BBE"/>
    <w:rsid w:val="3E00097B"/>
    <w:rsid w:val="3E011326"/>
    <w:rsid w:val="3E024B7B"/>
    <w:rsid w:val="3E104548"/>
    <w:rsid w:val="3E19435F"/>
    <w:rsid w:val="3E1B4013"/>
    <w:rsid w:val="3E20393D"/>
    <w:rsid w:val="3E264903"/>
    <w:rsid w:val="3E2806A1"/>
    <w:rsid w:val="3E2E35CB"/>
    <w:rsid w:val="3E31025E"/>
    <w:rsid w:val="3E342DA3"/>
    <w:rsid w:val="3E471ABE"/>
    <w:rsid w:val="3E4755F9"/>
    <w:rsid w:val="3E492A39"/>
    <w:rsid w:val="3E556354"/>
    <w:rsid w:val="3E5E766F"/>
    <w:rsid w:val="3E6336EF"/>
    <w:rsid w:val="3E660D1B"/>
    <w:rsid w:val="3E6E2E9E"/>
    <w:rsid w:val="3E8222F7"/>
    <w:rsid w:val="3E8258B1"/>
    <w:rsid w:val="3E8821CE"/>
    <w:rsid w:val="3E92738B"/>
    <w:rsid w:val="3E99456A"/>
    <w:rsid w:val="3EA0570F"/>
    <w:rsid w:val="3EAD3D57"/>
    <w:rsid w:val="3EAF02B7"/>
    <w:rsid w:val="3EB1188E"/>
    <w:rsid w:val="3EB428B4"/>
    <w:rsid w:val="3EB43094"/>
    <w:rsid w:val="3EBD63D7"/>
    <w:rsid w:val="3EC07733"/>
    <w:rsid w:val="3EC334A7"/>
    <w:rsid w:val="3EC678BC"/>
    <w:rsid w:val="3EE067CA"/>
    <w:rsid w:val="3EEF26AB"/>
    <w:rsid w:val="3EF21C38"/>
    <w:rsid w:val="3EF57D05"/>
    <w:rsid w:val="3EF96B38"/>
    <w:rsid w:val="3F002CCF"/>
    <w:rsid w:val="3F0566FF"/>
    <w:rsid w:val="3F0605BE"/>
    <w:rsid w:val="3F06365D"/>
    <w:rsid w:val="3F0A3CA5"/>
    <w:rsid w:val="3F0B1DB8"/>
    <w:rsid w:val="3F0E6EA3"/>
    <w:rsid w:val="3F122278"/>
    <w:rsid w:val="3F155D82"/>
    <w:rsid w:val="3F261DEC"/>
    <w:rsid w:val="3F305E06"/>
    <w:rsid w:val="3F4764F1"/>
    <w:rsid w:val="3F47737F"/>
    <w:rsid w:val="3F523976"/>
    <w:rsid w:val="3F52626A"/>
    <w:rsid w:val="3F5322DF"/>
    <w:rsid w:val="3F556A35"/>
    <w:rsid w:val="3F5867B3"/>
    <w:rsid w:val="3F5A301C"/>
    <w:rsid w:val="3F637202"/>
    <w:rsid w:val="3F65418C"/>
    <w:rsid w:val="3F664F14"/>
    <w:rsid w:val="3F6763B0"/>
    <w:rsid w:val="3F6B0B70"/>
    <w:rsid w:val="3F6D1D36"/>
    <w:rsid w:val="3F6D2017"/>
    <w:rsid w:val="3F7339EB"/>
    <w:rsid w:val="3F770167"/>
    <w:rsid w:val="3F7D65D1"/>
    <w:rsid w:val="3F836296"/>
    <w:rsid w:val="3F9526FD"/>
    <w:rsid w:val="3F960218"/>
    <w:rsid w:val="3F9B508E"/>
    <w:rsid w:val="3FA10F73"/>
    <w:rsid w:val="3FA51002"/>
    <w:rsid w:val="3FA5548C"/>
    <w:rsid w:val="3FB1448E"/>
    <w:rsid w:val="3FB33F0F"/>
    <w:rsid w:val="3FB56B87"/>
    <w:rsid w:val="3FB827B0"/>
    <w:rsid w:val="3FB9798A"/>
    <w:rsid w:val="3FBC4DF5"/>
    <w:rsid w:val="3FBE226E"/>
    <w:rsid w:val="3FC74EA5"/>
    <w:rsid w:val="3FC80A13"/>
    <w:rsid w:val="3FC924C5"/>
    <w:rsid w:val="3FD001E0"/>
    <w:rsid w:val="3FD35125"/>
    <w:rsid w:val="3FDD5AA3"/>
    <w:rsid w:val="3FDD60EB"/>
    <w:rsid w:val="3FDF622C"/>
    <w:rsid w:val="3FE1611D"/>
    <w:rsid w:val="3FE9762E"/>
    <w:rsid w:val="3FEB7EF7"/>
    <w:rsid w:val="3FF0534A"/>
    <w:rsid w:val="3FFC6AA1"/>
    <w:rsid w:val="3FFE725C"/>
    <w:rsid w:val="400D4689"/>
    <w:rsid w:val="40171E63"/>
    <w:rsid w:val="401C023A"/>
    <w:rsid w:val="401E624D"/>
    <w:rsid w:val="4040700B"/>
    <w:rsid w:val="40505926"/>
    <w:rsid w:val="405074F9"/>
    <w:rsid w:val="40592E1A"/>
    <w:rsid w:val="40742B10"/>
    <w:rsid w:val="40851F94"/>
    <w:rsid w:val="40860806"/>
    <w:rsid w:val="408727EE"/>
    <w:rsid w:val="40881B05"/>
    <w:rsid w:val="408B015C"/>
    <w:rsid w:val="408D2092"/>
    <w:rsid w:val="40987E91"/>
    <w:rsid w:val="40AE535D"/>
    <w:rsid w:val="40B323C5"/>
    <w:rsid w:val="40B40F93"/>
    <w:rsid w:val="40B77C21"/>
    <w:rsid w:val="40BB1B3B"/>
    <w:rsid w:val="40C87F0D"/>
    <w:rsid w:val="40E13187"/>
    <w:rsid w:val="40E4111E"/>
    <w:rsid w:val="40F110C9"/>
    <w:rsid w:val="40F71EFC"/>
    <w:rsid w:val="40FA7D3C"/>
    <w:rsid w:val="40FC6040"/>
    <w:rsid w:val="41013098"/>
    <w:rsid w:val="410A66D3"/>
    <w:rsid w:val="411252F5"/>
    <w:rsid w:val="41216561"/>
    <w:rsid w:val="4126157E"/>
    <w:rsid w:val="412E1703"/>
    <w:rsid w:val="41341D04"/>
    <w:rsid w:val="41393F1E"/>
    <w:rsid w:val="41463814"/>
    <w:rsid w:val="414E4666"/>
    <w:rsid w:val="415840E7"/>
    <w:rsid w:val="415C6645"/>
    <w:rsid w:val="415D4AA5"/>
    <w:rsid w:val="415E3F30"/>
    <w:rsid w:val="41634269"/>
    <w:rsid w:val="416F185F"/>
    <w:rsid w:val="41755F8B"/>
    <w:rsid w:val="417E6FB2"/>
    <w:rsid w:val="41804E56"/>
    <w:rsid w:val="418B61F9"/>
    <w:rsid w:val="418C5064"/>
    <w:rsid w:val="41901D5A"/>
    <w:rsid w:val="41AE168E"/>
    <w:rsid w:val="41B000EA"/>
    <w:rsid w:val="41B625DB"/>
    <w:rsid w:val="41BB28C5"/>
    <w:rsid w:val="41C505B5"/>
    <w:rsid w:val="41D7643D"/>
    <w:rsid w:val="41D80DF6"/>
    <w:rsid w:val="41F41099"/>
    <w:rsid w:val="41F4144D"/>
    <w:rsid w:val="41F425A0"/>
    <w:rsid w:val="41FD1E4D"/>
    <w:rsid w:val="42004A07"/>
    <w:rsid w:val="42036CED"/>
    <w:rsid w:val="420445BE"/>
    <w:rsid w:val="42044B55"/>
    <w:rsid w:val="42056678"/>
    <w:rsid w:val="42085473"/>
    <w:rsid w:val="42106699"/>
    <w:rsid w:val="421D3532"/>
    <w:rsid w:val="422747DE"/>
    <w:rsid w:val="423D7E2C"/>
    <w:rsid w:val="4253494B"/>
    <w:rsid w:val="42563DD4"/>
    <w:rsid w:val="425F0874"/>
    <w:rsid w:val="42605991"/>
    <w:rsid w:val="42624CEC"/>
    <w:rsid w:val="426B2083"/>
    <w:rsid w:val="42745271"/>
    <w:rsid w:val="42746AFF"/>
    <w:rsid w:val="427A2426"/>
    <w:rsid w:val="42833943"/>
    <w:rsid w:val="428622E0"/>
    <w:rsid w:val="428740C5"/>
    <w:rsid w:val="4295023B"/>
    <w:rsid w:val="42A72E3E"/>
    <w:rsid w:val="42A9771E"/>
    <w:rsid w:val="42AF06BF"/>
    <w:rsid w:val="42AF744D"/>
    <w:rsid w:val="42B97DE2"/>
    <w:rsid w:val="42BE1411"/>
    <w:rsid w:val="42BF0482"/>
    <w:rsid w:val="42C3638C"/>
    <w:rsid w:val="42C8399F"/>
    <w:rsid w:val="42CC1C77"/>
    <w:rsid w:val="42CE7CBC"/>
    <w:rsid w:val="42E67A2D"/>
    <w:rsid w:val="42EF6EDD"/>
    <w:rsid w:val="42F63370"/>
    <w:rsid w:val="4303189E"/>
    <w:rsid w:val="43043B4B"/>
    <w:rsid w:val="430C0701"/>
    <w:rsid w:val="431D662D"/>
    <w:rsid w:val="431D7413"/>
    <w:rsid w:val="43230977"/>
    <w:rsid w:val="43260906"/>
    <w:rsid w:val="4329778C"/>
    <w:rsid w:val="432A433E"/>
    <w:rsid w:val="433451E7"/>
    <w:rsid w:val="433454E3"/>
    <w:rsid w:val="43380FA2"/>
    <w:rsid w:val="433914CB"/>
    <w:rsid w:val="433D1521"/>
    <w:rsid w:val="434030C7"/>
    <w:rsid w:val="434321EE"/>
    <w:rsid w:val="4357411B"/>
    <w:rsid w:val="43624524"/>
    <w:rsid w:val="436E4602"/>
    <w:rsid w:val="43773B38"/>
    <w:rsid w:val="437C303F"/>
    <w:rsid w:val="437E59F4"/>
    <w:rsid w:val="437F0235"/>
    <w:rsid w:val="438127FD"/>
    <w:rsid w:val="438C318F"/>
    <w:rsid w:val="438D2962"/>
    <w:rsid w:val="439125BA"/>
    <w:rsid w:val="439E21D0"/>
    <w:rsid w:val="43A136C2"/>
    <w:rsid w:val="43A47C8D"/>
    <w:rsid w:val="43A51CEB"/>
    <w:rsid w:val="43A922AD"/>
    <w:rsid w:val="43AE228C"/>
    <w:rsid w:val="43B03D9F"/>
    <w:rsid w:val="43B2322B"/>
    <w:rsid w:val="43B27B0F"/>
    <w:rsid w:val="43BD17B6"/>
    <w:rsid w:val="43BF433F"/>
    <w:rsid w:val="43C60D41"/>
    <w:rsid w:val="43C71A8C"/>
    <w:rsid w:val="43CB49D5"/>
    <w:rsid w:val="43CC296D"/>
    <w:rsid w:val="43D51B86"/>
    <w:rsid w:val="43D5596E"/>
    <w:rsid w:val="43D946DF"/>
    <w:rsid w:val="43DD3E84"/>
    <w:rsid w:val="43E63A35"/>
    <w:rsid w:val="43EA4AD8"/>
    <w:rsid w:val="43EA731F"/>
    <w:rsid w:val="43EF4362"/>
    <w:rsid w:val="43F5608C"/>
    <w:rsid w:val="43FA20D7"/>
    <w:rsid w:val="440433D0"/>
    <w:rsid w:val="440A1D09"/>
    <w:rsid w:val="44105FE6"/>
    <w:rsid w:val="44163757"/>
    <w:rsid w:val="442E6250"/>
    <w:rsid w:val="44336B29"/>
    <w:rsid w:val="44411D78"/>
    <w:rsid w:val="444255C8"/>
    <w:rsid w:val="44555450"/>
    <w:rsid w:val="44565401"/>
    <w:rsid w:val="445C184B"/>
    <w:rsid w:val="445C1F8C"/>
    <w:rsid w:val="445C2CEB"/>
    <w:rsid w:val="44623D2C"/>
    <w:rsid w:val="4469425C"/>
    <w:rsid w:val="446C5925"/>
    <w:rsid w:val="44715BA6"/>
    <w:rsid w:val="44744DE1"/>
    <w:rsid w:val="4480267E"/>
    <w:rsid w:val="44813BCD"/>
    <w:rsid w:val="448F333F"/>
    <w:rsid w:val="449A5595"/>
    <w:rsid w:val="44A273D7"/>
    <w:rsid w:val="44A3165A"/>
    <w:rsid w:val="44A949BB"/>
    <w:rsid w:val="44B47D28"/>
    <w:rsid w:val="44BE6AFA"/>
    <w:rsid w:val="44BE7B38"/>
    <w:rsid w:val="44C10C52"/>
    <w:rsid w:val="44C4343F"/>
    <w:rsid w:val="44CC5637"/>
    <w:rsid w:val="44CE1860"/>
    <w:rsid w:val="44D01EAB"/>
    <w:rsid w:val="44D61276"/>
    <w:rsid w:val="44F75C51"/>
    <w:rsid w:val="44FB2020"/>
    <w:rsid w:val="450005C9"/>
    <w:rsid w:val="450E225C"/>
    <w:rsid w:val="450E5F3E"/>
    <w:rsid w:val="451C3C3F"/>
    <w:rsid w:val="45202195"/>
    <w:rsid w:val="45282E33"/>
    <w:rsid w:val="45361C96"/>
    <w:rsid w:val="45367180"/>
    <w:rsid w:val="453936A0"/>
    <w:rsid w:val="4555071F"/>
    <w:rsid w:val="455B027F"/>
    <w:rsid w:val="45634F36"/>
    <w:rsid w:val="456433C3"/>
    <w:rsid w:val="4566286A"/>
    <w:rsid w:val="456653F0"/>
    <w:rsid w:val="456745BB"/>
    <w:rsid w:val="45677DA7"/>
    <w:rsid w:val="45743F66"/>
    <w:rsid w:val="45761FD8"/>
    <w:rsid w:val="457B0C49"/>
    <w:rsid w:val="45864B77"/>
    <w:rsid w:val="458A06CD"/>
    <w:rsid w:val="458D3A63"/>
    <w:rsid w:val="4597177B"/>
    <w:rsid w:val="45A85821"/>
    <w:rsid w:val="45AA0EA4"/>
    <w:rsid w:val="45AB1735"/>
    <w:rsid w:val="45AC57A6"/>
    <w:rsid w:val="45AF03CF"/>
    <w:rsid w:val="45B23BD8"/>
    <w:rsid w:val="45B52BBB"/>
    <w:rsid w:val="45C3178B"/>
    <w:rsid w:val="45C81474"/>
    <w:rsid w:val="45C85D55"/>
    <w:rsid w:val="45C91BC6"/>
    <w:rsid w:val="45CD1312"/>
    <w:rsid w:val="45CE3F02"/>
    <w:rsid w:val="45D818F4"/>
    <w:rsid w:val="45DE2684"/>
    <w:rsid w:val="45E349A9"/>
    <w:rsid w:val="45F22D7B"/>
    <w:rsid w:val="45F25B71"/>
    <w:rsid w:val="45F6092A"/>
    <w:rsid w:val="45FD29AC"/>
    <w:rsid w:val="46122C2B"/>
    <w:rsid w:val="461E6998"/>
    <w:rsid w:val="46202725"/>
    <w:rsid w:val="4622618B"/>
    <w:rsid w:val="4624768B"/>
    <w:rsid w:val="46283409"/>
    <w:rsid w:val="462E1DEC"/>
    <w:rsid w:val="462F257F"/>
    <w:rsid w:val="46316796"/>
    <w:rsid w:val="46436765"/>
    <w:rsid w:val="464C5980"/>
    <w:rsid w:val="464C598F"/>
    <w:rsid w:val="46541012"/>
    <w:rsid w:val="46595BDC"/>
    <w:rsid w:val="465B04AA"/>
    <w:rsid w:val="466467A4"/>
    <w:rsid w:val="466B7E63"/>
    <w:rsid w:val="46726232"/>
    <w:rsid w:val="46731512"/>
    <w:rsid w:val="46795DED"/>
    <w:rsid w:val="468843FE"/>
    <w:rsid w:val="469849B7"/>
    <w:rsid w:val="46991FD8"/>
    <w:rsid w:val="469D4E61"/>
    <w:rsid w:val="46BC2272"/>
    <w:rsid w:val="46D62B88"/>
    <w:rsid w:val="46D929E4"/>
    <w:rsid w:val="46DA3CDF"/>
    <w:rsid w:val="46DD3A97"/>
    <w:rsid w:val="46E122D5"/>
    <w:rsid w:val="46E51519"/>
    <w:rsid w:val="46E72217"/>
    <w:rsid w:val="46EB56D0"/>
    <w:rsid w:val="46EF6BE5"/>
    <w:rsid w:val="46F94629"/>
    <w:rsid w:val="46FE33A2"/>
    <w:rsid w:val="47034B98"/>
    <w:rsid w:val="47067487"/>
    <w:rsid w:val="470675DD"/>
    <w:rsid w:val="47102BE0"/>
    <w:rsid w:val="47115999"/>
    <w:rsid w:val="47123D8D"/>
    <w:rsid w:val="471651A2"/>
    <w:rsid w:val="47195C33"/>
    <w:rsid w:val="472322A2"/>
    <w:rsid w:val="472E14A0"/>
    <w:rsid w:val="47304A60"/>
    <w:rsid w:val="47321070"/>
    <w:rsid w:val="47383706"/>
    <w:rsid w:val="473F3443"/>
    <w:rsid w:val="47442FEA"/>
    <w:rsid w:val="47476898"/>
    <w:rsid w:val="474825BA"/>
    <w:rsid w:val="47524966"/>
    <w:rsid w:val="475E1AB6"/>
    <w:rsid w:val="4764753D"/>
    <w:rsid w:val="47663624"/>
    <w:rsid w:val="4779594B"/>
    <w:rsid w:val="477E3FE9"/>
    <w:rsid w:val="478E58BD"/>
    <w:rsid w:val="47997ECC"/>
    <w:rsid w:val="47A938A8"/>
    <w:rsid w:val="47AD2393"/>
    <w:rsid w:val="47AF4DB4"/>
    <w:rsid w:val="47C05960"/>
    <w:rsid w:val="47CA211A"/>
    <w:rsid w:val="47CE6AD8"/>
    <w:rsid w:val="47D00B76"/>
    <w:rsid w:val="47D266F4"/>
    <w:rsid w:val="47D77CA8"/>
    <w:rsid w:val="47EB3A88"/>
    <w:rsid w:val="47ED09EA"/>
    <w:rsid w:val="47F03825"/>
    <w:rsid w:val="47F67231"/>
    <w:rsid w:val="47F72583"/>
    <w:rsid w:val="47FE4F97"/>
    <w:rsid w:val="48043BE9"/>
    <w:rsid w:val="48050F31"/>
    <w:rsid w:val="480B064E"/>
    <w:rsid w:val="48152A57"/>
    <w:rsid w:val="481B77EC"/>
    <w:rsid w:val="481F00E4"/>
    <w:rsid w:val="48230137"/>
    <w:rsid w:val="482A5E63"/>
    <w:rsid w:val="48357C17"/>
    <w:rsid w:val="483602D1"/>
    <w:rsid w:val="48360F72"/>
    <w:rsid w:val="48466EDC"/>
    <w:rsid w:val="486022F2"/>
    <w:rsid w:val="486505C9"/>
    <w:rsid w:val="48717233"/>
    <w:rsid w:val="487736C7"/>
    <w:rsid w:val="4886149A"/>
    <w:rsid w:val="48870995"/>
    <w:rsid w:val="488933F6"/>
    <w:rsid w:val="488F18B7"/>
    <w:rsid w:val="489C5A7F"/>
    <w:rsid w:val="489C5B95"/>
    <w:rsid w:val="489F248C"/>
    <w:rsid w:val="48A47128"/>
    <w:rsid w:val="48A53F58"/>
    <w:rsid w:val="48AA10E1"/>
    <w:rsid w:val="48AF1323"/>
    <w:rsid w:val="48B116DC"/>
    <w:rsid w:val="48B2080D"/>
    <w:rsid w:val="48B5518F"/>
    <w:rsid w:val="48BE6136"/>
    <w:rsid w:val="48C17060"/>
    <w:rsid w:val="48D22DB3"/>
    <w:rsid w:val="48D93445"/>
    <w:rsid w:val="48DA1D9C"/>
    <w:rsid w:val="48DC218D"/>
    <w:rsid w:val="48DF3D7D"/>
    <w:rsid w:val="48E915DE"/>
    <w:rsid w:val="48EB611E"/>
    <w:rsid w:val="48F7177C"/>
    <w:rsid w:val="490008E6"/>
    <w:rsid w:val="490425AB"/>
    <w:rsid w:val="49076238"/>
    <w:rsid w:val="49104838"/>
    <w:rsid w:val="491C6D03"/>
    <w:rsid w:val="49200C47"/>
    <w:rsid w:val="4923627E"/>
    <w:rsid w:val="49250443"/>
    <w:rsid w:val="49267368"/>
    <w:rsid w:val="49276313"/>
    <w:rsid w:val="492F1B04"/>
    <w:rsid w:val="4930158D"/>
    <w:rsid w:val="493166F2"/>
    <w:rsid w:val="4943084D"/>
    <w:rsid w:val="495B2F5A"/>
    <w:rsid w:val="49660B64"/>
    <w:rsid w:val="496E056A"/>
    <w:rsid w:val="497930F9"/>
    <w:rsid w:val="497E5F0E"/>
    <w:rsid w:val="49895BF9"/>
    <w:rsid w:val="49896889"/>
    <w:rsid w:val="498B006E"/>
    <w:rsid w:val="499C126E"/>
    <w:rsid w:val="49A20032"/>
    <w:rsid w:val="49A82756"/>
    <w:rsid w:val="49A86BF4"/>
    <w:rsid w:val="49A902DE"/>
    <w:rsid w:val="49A961CD"/>
    <w:rsid w:val="49B337E8"/>
    <w:rsid w:val="49B57903"/>
    <w:rsid w:val="49BB0B72"/>
    <w:rsid w:val="49CD3C98"/>
    <w:rsid w:val="49D32A87"/>
    <w:rsid w:val="49E27CCF"/>
    <w:rsid w:val="49F44446"/>
    <w:rsid w:val="49F543E3"/>
    <w:rsid w:val="49FA00AE"/>
    <w:rsid w:val="4A037F7B"/>
    <w:rsid w:val="4A07242A"/>
    <w:rsid w:val="4A095EB3"/>
    <w:rsid w:val="4A0C3345"/>
    <w:rsid w:val="4A12511A"/>
    <w:rsid w:val="4A2A339F"/>
    <w:rsid w:val="4A3849A0"/>
    <w:rsid w:val="4A3B0ADD"/>
    <w:rsid w:val="4A3D1213"/>
    <w:rsid w:val="4A405618"/>
    <w:rsid w:val="4A42752E"/>
    <w:rsid w:val="4A463FDD"/>
    <w:rsid w:val="4A4D2C8C"/>
    <w:rsid w:val="4A4D6FE1"/>
    <w:rsid w:val="4A4F464E"/>
    <w:rsid w:val="4A500FF5"/>
    <w:rsid w:val="4A51053D"/>
    <w:rsid w:val="4A541B9F"/>
    <w:rsid w:val="4A5B2412"/>
    <w:rsid w:val="4A603371"/>
    <w:rsid w:val="4A665A8F"/>
    <w:rsid w:val="4A6B6C00"/>
    <w:rsid w:val="4A7A1A7F"/>
    <w:rsid w:val="4A7A1EC2"/>
    <w:rsid w:val="4A7B1C95"/>
    <w:rsid w:val="4A7C6D92"/>
    <w:rsid w:val="4A80680F"/>
    <w:rsid w:val="4A8B2BFF"/>
    <w:rsid w:val="4A8C3D45"/>
    <w:rsid w:val="4A996D58"/>
    <w:rsid w:val="4AA637CE"/>
    <w:rsid w:val="4AAA2363"/>
    <w:rsid w:val="4AAC0232"/>
    <w:rsid w:val="4AB420A2"/>
    <w:rsid w:val="4AB42562"/>
    <w:rsid w:val="4AB971E8"/>
    <w:rsid w:val="4ABC4127"/>
    <w:rsid w:val="4AC14B57"/>
    <w:rsid w:val="4AC462B3"/>
    <w:rsid w:val="4AC908CA"/>
    <w:rsid w:val="4AC95E08"/>
    <w:rsid w:val="4ACC60F1"/>
    <w:rsid w:val="4ACE3D63"/>
    <w:rsid w:val="4AD13FBF"/>
    <w:rsid w:val="4AD37FB6"/>
    <w:rsid w:val="4AED546D"/>
    <w:rsid w:val="4AF15169"/>
    <w:rsid w:val="4AF33411"/>
    <w:rsid w:val="4AFC4739"/>
    <w:rsid w:val="4AFF7966"/>
    <w:rsid w:val="4B0F4D9F"/>
    <w:rsid w:val="4B2B654D"/>
    <w:rsid w:val="4B2D2A9B"/>
    <w:rsid w:val="4B313BE7"/>
    <w:rsid w:val="4B331125"/>
    <w:rsid w:val="4B3405F9"/>
    <w:rsid w:val="4B401494"/>
    <w:rsid w:val="4B473804"/>
    <w:rsid w:val="4B5151AA"/>
    <w:rsid w:val="4B537CBF"/>
    <w:rsid w:val="4B550153"/>
    <w:rsid w:val="4B641191"/>
    <w:rsid w:val="4B694B3A"/>
    <w:rsid w:val="4B76529F"/>
    <w:rsid w:val="4B7A237E"/>
    <w:rsid w:val="4B815FB3"/>
    <w:rsid w:val="4B86443F"/>
    <w:rsid w:val="4B897764"/>
    <w:rsid w:val="4B9A0C4D"/>
    <w:rsid w:val="4B9B3B70"/>
    <w:rsid w:val="4B9E7936"/>
    <w:rsid w:val="4BB7667A"/>
    <w:rsid w:val="4BBA25CD"/>
    <w:rsid w:val="4BBB242F"/>
    <w:rsid w:val="4BC15B7C"/>
    <w:rsid w:val="4BCC5B3C"/>
    <w:rsid w:val="4BD06F1C"/>
    <w:rsid w:val="4BD119E3"/>
    <w:rsid w:val="4BD11B2A"/>
    <w:rsid w:val="4BD13574"/>
    <w:rsid w:val="4BD47BEF"/>
    <w:rsid w:val="4BDA74DE"/>
    <w:rsid w:val="4BE06BCD"/>
    <w:rsid w:val="4BE413D6"/>
    <w:rsid w:val="4BE86538"/>
    <w:rsid w:val="4C001FDF"/>
    <w:rsid w:val="4C040A9A"/>
    <w:rsid w:val="4C0770C1"/>
    <w:rsid w:val="4C1F0776"/>
    <w:rsid w:val="4C232063"/>
    <w:rsid w:val="4C2503E2"/>
    <w:rsid w:val="4C2C299D"/>
    <w:rsid w:val="4C322608"/>
    <w:rsid w:val="4C3238CA"/>
    <w:rsid w:val="4C343A7F"/>
    <w:rsid w:val="4C380D78"/>
    <w:rsid w:val="4C3D0756"/>
    <w:rsid w:val="4C3D5FB7"/>
    <w:rsid w:val="4C4C1686"/>
    <w:rsid w:val="4C513E4B"/>
    <w:rsid w:val="4C603F1D"/>
    <w:rsid w:val="4C635D18"/>
    <w:rsid w:val="4C670EB1"/>
    <w:rsid w:val="4C712086"/>
    <w:rsid w:val="4C7120EC"/>
    <w:rsid w:val="4C7B3D80"/>
    <w:rsid w:val="4C7C605E"/>
    <w:rsid w:val="4C7E2355"/>
    <w:rsid w:val="4C847264"/>
    <w:rsid w:val="4C970E7B"/>
    <w:rsid w:val="4CC1054F"/>
    <w:rsid w:val="4CCE079D"/>
    <w:rsid w:val="4CCE3699"/>
    <w:rsid w:val="4CEA4F4D"/>
    <w:rsid w:val="4CEC58DB"/>
    <w:rsid w:val="4CEF637A"/>
    <w:rsid w:val="4CF00FB6"/>
    <w:rsid w:val="4CF16277"/>
    <w:rsid w:val="4CF4672D"/>
    <w:rsid w:val="4CFA2AAF"/>
    <w:rsid w:val="4D035A68"/>
    <w:rsid w:val="4D0F26CE"/>
    <w:rsid w:val="4D147026"/>
    <w:rsid w:val="4D1478EC"/>
    <w:rsid w:val="4D165C91"/>
    <w:rsid w:val="4D235945"/>
    <w:rsid w:val="4D255F0E"/>
    <w:rsid w:val="4D2F06BA"/>
    <w:rsid w:val="4D304130"/>
    <w:rsid w:val="4D386B0D"/>
    <w:rsid w:val="4D4330D3"/>
    <w:rsid w:val="4D4B7DCE"/>
    <w:rsid w:val="4D545407"/>
    <w:rsid w:val="4D665BB7"/>
    <w:rsid w:val="4D694F30"/>
    <w:rsid w:val="4D6B703C"/>
    <w:rsid w:val="4D717BA1"/>
    <w:rsid w:val="4D7F56C3"/>
    <w:rsid w:val="4D855FB9"/>
    <w:rsid w:val="4D8A0B26"/>
    <w:rsid w:val="4D904FEE"/>
    <w:rsid w:val="4D910D8A"/>
    <w:rsid w:val="4D935425"/>
    <w:rsid w:val="4D942E9D"/>
    <w:rsid w:val="4D953CDB"/>
    <w:rsid w:val="4D97309D"/>
    <w:rsid w:val="4D9E090F"/>
    <w:rsid w:val="4DAC6E91"/>
    <w:rsid w:val="4DAE3711"/>
    <w:rsid w:val="4DB63BC4"/>
    <w:rsid w:val="4DB7591C"/>
    <w:rsid w:val="4DBB2984"/>
    <w:rsid w:val="4DC2467F"/>
    <w:rsid w:val="4DCC46DA"/>
    <w:rsid w:val="4DDD5EB7"/>
    <w:rsid w:val="4DDE45A5"/>
    <w:rsid w:val="4DE5023D"/>
    <w:rsid w:val="4DEA20F7"/>
    <w:rsid w:val="4DEB419D"/>
    <w:rsid w:val="4DF267CF"/>
    <w:rsid w:val="4DF6484E"/>
    <w:rsid w:val="4E043A0E"/>
    <w:rsid w:val="4E0B5D31"/>
    <w:rsid w:val="4E0E541F"/>
    <w:rsid w:val="4E125681"/>
    <w:rsid w:val="4E1339D8"/>
    <w:rsid w:val="4E145C86"/>
    <w:rsid w:val="4E187CF8"/>
    <w:rsid w:val="4E1A5C2E"/>
    <w:rsid w:val="4E2B3781"/>
    <w:rsid w:val="4E337E4B"/>
    <w:rsid w:val="4E365771"/>
    <w:rsid w:val="4E395331"/>
    <w:rsid w:val="4E3C5DC0"/>
    <w:rsid w:val="4E446F8B"/>
    <w:rsid w:val="4E4D4DE2"/>
    <w:rsid w:val="4E5669BF"/>
    <w:rsid w:val="4E651EA6"/>
    <w:rsid w:val="4E6757B0"/>
    <w:rsid w:val="4E6C4048"/>
    <w:rsid w:val="4E783D17"/>
    <w:rsid w:val="4E805C19"/>
    <w:rsid w:val="4E836C4E"/>
    <w:rsid w:val="4E865BCD"/>
    <w:rsid w:val="4E9563D4"/>
    <w:rsid w:val="4E957162"/>
    <w:rsid w:val="4E9E60B6"/>
    <w:rsid w:val="4EA27ACB"/>
    <w:rsid w:val="4EB379F2"/>
    <w:rsid w:val="4EB838E0"/>
    <w:rsid w:val="4EBC3167"/>
    <w:rsid w:val="4EBC6632"/>
    <w:rsid w:val="4EBD4562"/>
    <w:rsid w:val="4EBD5620"/>
    <w:rsid w:val="4EBE0F4C"/>
    <w:rsid w:val="4ECD0F14"/>
    <w:rsid w:val="4ECF332F"/>
    <w:rsid w:val="4ED017E4"/>
    <w:rsid w:val="4ED03B4F"/>
    <w:rsid w:val="4ED43AE8"/>
    <w:rsid w:val="4EDC1716"/>
    <w:rsid w:val="4EDF6F4B"/>
    <w:rsid w:val="4EE24F10"/>
    <w:rsid w:val="4EE70EC7"/>
    <w:rsid w:val="4EE77077"/>
    <w:rsid w:val="4EE8461F"/>
    <w:rsid w:val="4F0206C2"/>
    <w:rsid w:val="4F06414B"/>
    <w:rsid w:val="4F154233"/>
    <w:rsid w:val="4F1A4FD6"/>
    <w:rsid w:val="4F1C2B4C"/>
    <w:rsid w:val="4F1E1A5A"/>
    <w:rsid w:val="4F2D5479"/>
    <w:rsid w:val="4F2E4FDB"/>
    <w:rsid w:val="4F3127D8"/>
    <w:rsid w:val="4F353521"/>
    <w:rsid w:val="4F3B798B"/>
    <w:rsid w:val="4F424396"/>
    <w:rsid w:val="4F430289"/>
    <w:rsid w:val="4F461737"/>
    <w:rsid w:val="4F4E50D5"/>
    <w:rsid w:val="4F501AA5"/>
    <w:rsid w:val="4F507138"/>
    <w:rsid w:val="4F5431F2"/>
    <w:rsid w:val="4F594949"/>
    <w:rsid w:val="4F5A315B"/>
    <w:rsid w:val="4F7041A7"/>
    <w:rsid w:val="4F7349ED"/>
    <w:rsid w:val="4F7C7D62"/>
    <w:rsid w:val="4F88390E"/>
    <w:rsid w:val="4F8865D2"/>
    <w:rsid w:val="4F9102E3"/>
    <w:rsid w:val="4F9A400D"/>
    <w:rsid w:val="4FA11827"/>
    <w:rsid w:val="4FA57761"/>
    <w:rsid w:val="4FA82F77"/>
    <w:rsid w:val="4FAB07C1"/>
    <w:rsid w:val="4FC12B67"/>
    <w:rsid w:val="4FD409F7"/>
    <w:rsid w:val="4FD41054"/>
    <w:rsid w:val="4FD66F8D"/>
    <w:rsid w:val="4FDB5605"/>
    <w:rsid w:val="4FDF7D08"/>
    <w:rsid w:val="4FE45662"/>
    <w:rsid w:val="4FE66728"/>
    <w:rsid w:val="4FE74DC2"/>
    <w:rsid w:val="4FE8315A"/>
    <w:rsid w:val="4FED4628"/>
    <w:rsid w:val="4FF81090"/>
    <w:rsid w:val="4FFA1BE3"/>
    <w:rsid w:val="4FFF560B"/>
    <w:rsid w:val="50033BDE"/>
    <w:rsid w:val="50036BC4"/>
    <w:rsid w:val="500B0DCA"/>
    <w:rsid w:val="500C2A95"/>
    <w:rsid w:val="50133F8A"/>
    <w:rsid w:val="50140C07"/>
    <w:rsid w:val="50176E6F"/>
    <w:rsid w:val="50200664"/>
    <w:rsid w:val="502151EE"/>
    <w:rsid w:val="5022333C"/>
    <w:rsid w:val="50241F98"/>
    <w:rsid w:val="50312196"/>
    <w:rsid w:val="50417E32"/>
    <w:rsid w:val="504768E3"/>
    <w:rsid w:val="504F0FB9"/>
    <w:rsid w:val="504F769B"/>
    <w:rsid w:val="50537FDD"/>
    <w:rsid w:val="50622728"/>
    <w:rsid w:val="507554C6"/>
    <w:rsid w:val="507D0063"/>
    <w:rsid w:val="508F1D63"/>
    <w:rsid w:val="508F6AC4"/>
    <w:rsid w:val="509A55F2"/>
    <w:rsid w:val="50A36924"/>
    <w:rsid w:val="50A732FC"/>
    <w:rsid w:val="50AA341E"/>
    <w:rsid w:val="50AB4E2F"/>
    <w:rsid w:val="50AC2418"/>
    <w:rsid w:val="50B421A0"/>
    <w:rsid w:val="50B70FED"/>
    <w:rsid w:val="50BA643F"/>
    <w:rsid w:val="50BC2897"/>
    <w:rsid w:val="50DA2205"/>
    <w:rsid w:val="50E57F59"/>
    <w:rsid w:val="50EA61D3"/>
    <w:rsid w:val="50FC41E2"/>
    <w:rsid w:val="510319B4"/>
    <w:rsid w:val="510A4E7D"/>
    <w:rsid w:val="51187091"/>
    <w:rsid w:val="51205217"/>
    <w:rsid w:val="51217565"/>
    <w:rsid w:val="512D5787"/>
    <w:rsid w:val="51371434"/>
    <w:rsid w:val="51382F84"/>
    <w:rsid w:val="513B4CBD"/>
    <w:rsid w:val="513F2A79"/>
    <w:rsid w:val="514E5DF0"/>
    <w:rsid w:val="51505C49"/>
    <w:rsid w:val="515F5290"/>
    <w:rsid w:val="515F5E7D"/>
    <w:rsid w:val="51621B03"/>
    <w:rsid w:val="51677ABF"/>
    <w:rsid w:val="51736010"/>
    <w:rsid w:val="517F4109"/>
    <w:rsid w:val="518140E8"/>
    <w:rsid w:val="518961AE"/>
    <w:rsid w:val="518B0D8B"/>
    <w:rsid w:val="51905BB3"/>
    <w:rsid w:val="51967B2D"/>
    <w:rsid w:val="519E4C2D"/>
    <w:rsid w:val="51A15787"/>
    <w:rsid w:val="51A23180"/>
    <w:rsid w:val="51A44533"/>
    <w:rsid w:val="51B12C2B"/>
    <w:rsid w:val="51B625E5"/>
    <w:rsid w:val="51BB3190"/>
    <w:rsid w:val="51C31AB3"/>
    <w:rsid w:val="51C50057"/>
    <w:rsid w:val="51CA6470"/>
    <w:rsid w:val="51CF3752"/>
    <w:rsid w:val="51D221A2"/>
    <w:rsid w:val="51D24523"/>
    <w:rsid w:val="51DC7D4F"/>
    <w:rsid w:val="51E372D3"/>
    <w:rsid w:val="51E952C3"/>
    <w:rsid w:val="51F763C2"/>
    <w:rsid w:val="52082F0E"/>
    <w:rsid w:val="520A6A40"/>
    <w:rsid w:val="520B29B2"/>
    <w:rsid w:val="52165ED6"/>
    <w:rsid w:val="52170D68"/>
    <w:rsid w:val="521832FA"/>
    <w:rsid w:val="521B5CF1"/>
    <w:rsid w:val="521E330E"/>
    <w:rsid w:val="52210969"/>
    <w:rsid w:val="52250331"/>
    <w:rsid w:val="52251937"/>
    <w:rsid w:val="52291DE3"/>
    <w:rsid w:val="522D32DC"/>
    <w:rsid w:val="522E032A"/>
    <w:rsid w:val="522E48FA"/>
    <w:rsid w:val="52436B21"/>
    <w:rsid w:val="52476CBE"/>
    <w:rsid w:val="52541687"/>
    <w:rsid w:val="525808AD"/>
    <w:rsid w:val="52606B21"/>
    <w:rsid w:val="526142ED"/>
    <w:rsid w:val="52675267"/>
    <w:rsid w:val="526A42D2"/>
    <w:rsid w:val="527456A0"/>
    <w:rsid w:val="52775B19"/>
    <w:rsid w:val="527820D3"/>
    <w:rsid w:val="5286536B"/>
    <w:rsid w:val="528F6528"/>
    <w:rsid w:val="5294173C"/>
    <w:rsid w:val="52A573D4"/>
    <w:rsid w:val="52AE3C1C"/>
    <w:rsid w:val="52B15A0B"/>
    <w:rsid w:val="52B277B6"/>
    <w:rsid w:val="52B539F6"/>
    <w:rsid w:val="52B87EDF"/>
    <w:rsid w:val="52C2744F"/>
    <w:rsid w:val="52CF2A7E"/>
    <w:rsid w:val="52D52D8A"/>
    <w:rsid w:val="52D70C29"/>
    <w:rsid w:val="52E07E6E"/>
    <w:rsid w:val="52E2403D"/>
    <w:rsid w:val="52E87FC9"/>
    <w:rsid w:val="52EA3010"/>
    <w:rsid w:val="52EE6354"/>
    <w:rsid w:val="53035F10"/>
    <w:rsid w:val="530445BC"/>
    <w:rsid w:val="53073E74"/>
    <w:rsid w:val="53184746"/>
    <w:rsid w:val="531972CB"/>
    <w:rsid w:val="53227F73"/>
    <w:rsid w:val="532342A1"/>
    <w:rsid w:val="532E4AC7"/>
    <w:rsid w:val="533E55DF"/>
    <w:rsid w:val="5360600D"/>
    <w:rsid w:val="53656705"/>
    <w:rsid w:val="53703765"/>
    <w:rsid w:val="5376095E"/>
    <w:rsid w:val="537A04E8"/>
    <w:rsid w:val="537D7719"/>
    <w:rsid w:val="53874180"/>
    <w:rsid w:val="53991F46"/>
    <w:rsid w:val="53A16AFF"/>
    <w:rsid w:val="53A430C7"/>
    <w:rsid w:val="53B71A0D"/>
    <w:rsid w:val="53BA49C0"/>
    <w:rsid w:val="53BF11FF"/>
    <w:rsid w:val="53C2398F"/>
    <w:rsid w:val="53C92C10"/>
    <w:rsid w:val="53CF606A"/>
    <w:rsid w:val="53D111B0"/>
    <w:rsid w:val="53D73576"/>
    <w:rsid w:val="53E22364"/>
    <w:rsid w:val="53E35749"/>
    <w:rsid w:val="53EB4289"/>
    <w:rsid w:val="53F67F24"/>
    <w:rsid w:val="53FE5A9E"/>
    <w:rsid w:val="541C5A78"/>
    <w:rsid w:val="54257FE2"/>
    <w:rsid w:val="5428581F"/>
    <w:rsid w:val="542B47E5"/>
    <w:rsid w:val="54312A0A"/>
    <w:rsid w:val="54451C08"/>
    <w:rsid w:val="5450152B"/>
    <w:rsid w:val="545412A1"/>
    <w:rsid w:val="54591BCD"/>
    <w:rsid w:val="546936FE"/>
    <w:rsid w:val="546A602B"/>
    <w:rsid w:val="547034CA"/>
    <w:rsid w:val="547801F9"/>
    <w:rsid w:val="54790796"/>
    <w:rsid w:val="547A6989"/>
    <w:rsid w:val="54877824"/>
    <w:rsid w:val="54895910"/>
    <w:rsid w:val="54967702"/>
    <w:rsid w:val="549B60CA"/>
    <w:rsid w:val="54A746D1"/>
    <w:rsid w:val="54B14984"/>
    <w:rsid w:val="54B34E33"/>
    <w:rsid w:val="54BC09E2"/>
    <w:rsid w:val="54C257FC"/>
    <w:rsid w:val="54C51C65"/>
    <w:rsid w:val="54C766D3"/>
    <w:rsid w:val="54D55BD0"/>
    <w:rsid w:val="54E32310"/>
    <w:rsid w:val="54E35B83"/>
    <w:rsid w:val="54E5570D"/>
    <w:rsid w:val="54E656A9"/>
    <w:rsid w:val="54E85406"/>
    <w:rsid w:val="54EE0227"/>
    <w:rsid w:val="54EE4DEC"/>
    <w:rsid w:val="54F93AE7"/>
    <w:rsid w:val="54F97DEB"/>
    <w:rsid w:val="55012EF3"/>
    <w:rsid w:val="55022588"/>
    <w:rsid w:val="550D4E7F"/>
    <w:rsid w:val="551B3ADB"/>
    <w:rsid w:val="55252910"/>
    <w:rsid w:val="552677BE"/>
    <w:rsid w:val="55313992"/>
    <w:rsid w:val="553772EA"/>
    <w:rsid w:val="553A6D2E"/>
    <w:rsid w:val="5546635B"/>
    <w:rsid w:val="55507B46"/>
    <w:rsid w:val="55534568"/>
    <w:rsid w:val="555A0EDC"/>
    <w:rsid w:val="55677E49"/>
    <w:rsid w:val="55692EAC"/>
    <w:rsid w:val="55714147"/>
    <w:rsid w:val="557C295E"/>
    <w:rsid w:val="557C5B0B"/>
    <w:rsid w:val="55812735"/>
    <w:rsid w:val="55861EC8"/>
    <w:rsid w:val="5588140B"/>
    <w:rsid w:val="55891D85"/>
    <w:rsid w:val="55905DE0"/>
    <w:rsid w:val="5592013C"/>
    <w:rsid w:val="55A57957"/>
    <w:rsid w:val="55AA469C"/>
    <w:rsid w:val="55BC12E8"/>
    <w:rsid w:val="55BD3120"/>
    <w:rsid w:val="55BF56EA"/>
    <w:rsid w:val="55C103AC"/>
    <w:rsid w:val="55C423B5"/>
    <w:rsid w:val="55C6074D"/>
    <w:rsid w:val="55C86079"/>
    <w:rsid w:val="55CC5297"/>
    <w:rsid w:val="55EE6E58"/>
    <w:rsid w:val="55F2238E"/>
    <w:rsid w:val="55F24132"/>
    <w:rsid w:val="55FB05FF"/>
    <w:rsid w:val="55FC794D"/>
    <w:rsid w:val="56012A7B"/>
    <w:rsid w:val="56172C84"/>
    <w:rsid w:val="56206259"/>
    <w:rsid w:val="562219AC"/>
    <w:rsid w:val="56230DC5"/>
    <w:rsid w:val="562B59B0"/>
    <w:rsid w:val="56387876"/>
    <w:rsid w:val="56391384"/>
    <w:rsid w:val="564C27AB"/>
    <w:rsid w:val="565907FF"/>
    <w:rsid w:val="565D6940"/>
    <w:rsid w:val="566101A8"/>
    <w:rsid w:val="56666AC5"/>
    <w:rsid w:val="56701442"/>
    <w:rsid w:val="56793306"/>
    <w:rsid w:val="56797C74"/>
    <w:rsid w:val="568116C5"/>
    <w:rsid w:val="568F0B4D"/>
    <w:rsid w:val="5691640E"/>
    <w:rsid w:val="56927F4A"/>
    <w:rsid w:val="569C03A7"/>
    <w:rsid w:val="569E53D6"/>
    <w:rsid w:val="56A304C3"/>
    <w:rsid w:val="56AD16B1"/>
    <w:rsid w:val="56B44FF7"/>
    <w:rsid w:val="56B76AF7"/>
    <w:rsid w:val="56BA0EDB"/>
    <w:rsid w:val="56BA5BFC"/>
    <w:rsid w:val="56D60D34"/>
    <w:rsid w:val="56DA1A1C"/>
    <w:rsid w:val="56E463AE"/>
    <w:rsid w:val="56E90EF6"/>
    <w:rsid w:val="56F50794"/>
    <w:rsid w:val="56F82259"/>
    <w:rsid w:val="56FC12BF"/>
    <w:rsid w:val="570426CC"/>
    <w:rsid w:val="57103E85"/>
    <w:rsid w:val="571E4103"/>
    <w:rsid w:val="5724356E"/>
    <w:rsid w:val="572A2B63"/>
    <w:rsid w:val="573B396A"/>
    <w:rsid w:val="576019A8"/>
    <w:rsid w:val="576E1A2E"/>
    <w:rsid w:val="576F00D0"/>
    <w:rsid w:val="57780B15"/>
    <w:rsid w:val="577C7921"/>
    <w:rsid w:val="578130EB"/>
    <w:rsid w:val="5781472D"/>
    <w:rsid w:val="57842581"/>
    <w:rsid w:val="57860B1C"/>
    <w:rsid w:val="579016BB"/>
    <w:rsid w:val="579131AA"/>
    <w:rsid w:val="57961B8E"/>
    <w:rsid w:val="579A34FF"/>
    <w:rsid w:val="57A05D52"/>
    <w:rsid w:val="57A65B21"/>
    <w:rsid w:val="57A93B1C"/>
    <w:rsid w:val="57AC71EF"/>
    <w:rsid w:val="57B30CCB"/>
    <w:rsid w:val="57B82FE8"/>
    <w:rsid w:val="57BA183B"/>
    <w:rsid w:val="57BC21E8"/>
    <w:rsid w:val="57C64CE3"/>
    <w:rsid w:val="57CF1AC2"/>
    <w:rsid w:val="57CF411E"/>
    <w:rsid w:val="57CF6469"/>
    <w:rsid w:val="57E359C9"/>
    <w:rsid w:val="57E8494C"/>
    <w:rsid w:val="57F75230"/>
    <w:rsid w:val="57FA5E75"/>
    <w:rsid w:val="58000E35"/>
    <w:rsid w:val="58222E9F"/>
    <w:rsid w:val="582C6290"/>
    <w:rsid w:val="582D3231"/>
    <w:rsid w:val="58316A55"/>
    <w:rsid w:val="583F3207"/>
    <w:rsid w:val="58452DB9"/>
    <w:rsid w:val="5846017C"/>
    <w:rsid w:val="58484E27"/>
    <w:rsid w:val="58514B7B"/>
    <w:rsid w:val="58525C17"/>
    <w:rsid w:val="58592455"/>
    <w:rsid w:val="586815ED"/>
    <w:rsid w:val="586B3009"/>
    <w:rsid w:val="58775EED"/>
    <w:rsid w:val="58790B5B"/>
    <w:rsid w:val="588D7FDD"/>
    <w:rsid w:val="58924ECC"/>
    <w:rsid w:val="589511CE"/>
    <w:rsid w:val="5895256C"/>
    <w:rsid w:val="58965AA7"/>
    <w:rsid w:val="5899451C"/>
    <w:rsid w:val="589C6409"/>
    <w:rsid w:val="589D4D39"/>
    <w:rsid w:val="58A34E0C"/>
    <w:rsid w:val="58AE31F5"/>
    <w:rsid w:val="58B354B8"/>
    <w:rsid w:val="58B60FB7"/>
    <w:rsid w:val="58BB01CF"/>
    <w:rsid w:val="58BD1D42"/>
    <w:rsid w:val="58C04526"/>
    <w:rsid w:val="58C15643"/>
    <w:rsid w:val="58DE296B"/>
    <w:rsid w:val="58E05B85"/>
    <w:rsid w:val="58F141D6"/>
    <w:rsid w:val="58F9654F"/>
    <w:rsid w:val="58F979E8"/>
    <w:rsid w:val="58FB6C25"/>
    <w:rsid w:val="58FE08ED"/>
    <w:rsid w:val="59061DAE"/>
    <w:rsid w:val="5914669F"/>
    <w:rsid w:val="591557DB"/>
    <w:rsid w:val="591A5C30"/>
    <w:rsid w:val="591C4B79"/>
    <w:rsid w:val="591F2957"/>
    <w:rsid w:val="592F1CE2"/>
    <w:rsid w:val="59371CA9"/>
    <w:rsid w:val="593C5853"/>
    <w:rsid w:val="593E005D"/>
    <w:rsid w:val="5940158A"/>
    <w:rsid w:val="594606CC"/>
    <w:rsid w:val="594B6D49"/>
    <w:rsid w:val="59697600"/>
    <w:rsid w:val="596C25D4"/>
    <w:rsid w:val="597028E6"/>
    <w:rsid w:val="597D38D7"/>
    <w:rsid w:val="598A75D0"/>
    <w:rsid w:val="599057E7"/>
    <w:rsid w:val="59935094"/>
    <w:rsid w:val="5995496F"/>
    <w:rsid w:val="59A62A34"/>
    <w:rsid w:val="59AB1748"/>
    <w:rsid w:val="59B159CB"/>
    <w:rsid w:val="59B25B64"/>
    <w:rsid w:val="59B51848"/>
    <w:rsid w:val="59BC67AC"/>
    <w:rsid w:val="59C03938"/>
    <w:rsid w:val="59C811F1"/>
    <w:rsid w:val="59C83D69"/>
    <w:rsid w:val="59CB01B4"/>
    <w:rsid w:val="59CC0DAD"/>
    <w:rsid w:val="59CF1C3E"/>
    <w:rsid w:val="59D87B36"/>
    <w:rsid w:val="59E57113"/>
    <w:rsid w:val="59E91981"/>
    <w:rsid w:val="59F22823"/>
    <w:rsid w:val="59F35BF5"/>
    <w:rsid w:val="59F42704"/>
    <w:rsid w:val="59FD1C88"/>
    <w:rsid w:val="5A0020BE"/>
    <w:rsid w:val="5A02215A"/>
    <w:rsid w:val="5A0823EC"/>
    <w:rsid w:val="5A0B4999"/>
    <w:rsid w:val="5A1219E8"/>
    <w:rsid w:val="5A1601E1"/>
    <w:rsid w:val="5A1A2003"/>
    <w:rsid w:val="5A2023BC"/>
    <w:rsid w:val="5A2534E2"/>
    <w:rsid w:val="5A272110"/>
    <w:rsid w:val="5A2F52ED"/>
    <w:rsid w:val="5A307C26"/>
    <w:rsid w:val="5A341010"/>
    <w:rsid w:val="5A3A1517"/>
    <w:rsid w:val="5A4D351E"/>
    <w:rsid w:val="5A500740"/>
    <w:rsid w:val="5A507300"/>
    <w:rsid w:val="5A51154D"/>
    <w:rsid w:val="5A523957"/>
    <w:rsid w:val="5A532CC8"/>
    <w:rsid w:val="5A612789"/>
    <w:rsid w:val="5A6543C4"/>
    <w:rsid w:val="5A6A5675"/>
    <w:rsid w:val="5A6E205B"/>
    <w:rsid w:val="5A7B2C70"/>
    <w:rsid w:val="5A7C2218"/>
    <w:rsid w:val="5A7C5822"/>
    <w:rsid w:val="5A847FE5"/>
    <w:rsid w:val="5A916654"/>
    <w:rsid w:val="5A9B3B8F"/>
    <w:rsid w:val="5A9E6004"/>
    <w:rsid w:val="5AAB402B"/>
    <w:rsid w:val="5AAF46FD"/>
    <w:rsid w:val="5AB36954"/>
    <w:rsid w:val="5ABE401A"/>
    <w:rsid w:val="5ABF14EF"/>
    <w:rsid w:val="5AC526EE"/>
    <w:rsid w:val="5ACB4B14"/>
    <w:rsid w:val="5AD45224"/>
    <w:rsid w:val="5ADC6365"/>
    <w:rsid w:val="5B0A16D4"/>
    <w:rsid w:val="5B0B0FE2"/>
    <w:rsid w:val="5B1029A0"/>
    <w:rsid w:val="5B18258F"/>
    <w:rsid w:val="5B28216A"/>
    <w:rsid w:val="5B2B1ACA"/>
    <w:rsid w:val="5B33397C"/>
    <w:rsid w:val="5B35552C"/>
    <w:rsid w:val="5B356E68"/>
    <w:rsid w:val="5B3A4E8A"/>
    <w:rsid w:val="5B43203B"/>
    <w:rsid w:val="5B4E4DA1"/>
    <w:rsid w:val="5B5335BE"/>
    <w:rsid w:val="5B5D1278"/>
    <w:rsid w:val="5B613886"/>
    <w:rsid w:val="5B6A6045"/>
    <w:rsid w:val="5B6C39BD"/>
    <w:rsid w:val="5B7B1E82"/>
    <w:rsid w:val="5B862B77"/>
    <w:rsid w:val="5B914DA9"/>
    <w:rsid w:val="5B944D80"/>
    <w:rsid w:val="5B9509FD"/>
    <w:rsid w:val="5BAB4BEE"/>
    <w:rsid w:val="5BB210AD"/>
    <w:rsid w:val="5BB47B97"/>
    <w:rsid w:val="5BB81EEF"/>
    <w:rsid w:val="5BC23198"/>
    <w:rsid w:val="5BC52C1C"/>
    <w:rsid w:val="5BCE2157"/>
    <w:rsid w:val="5BD2376F"/>
    <w:rsid w:val="5BEA06FD"/>
    <w:rsid w:val="5BEA66B7"/>
    <w:rsid w:val="5BEB4DCC"/>
    <w:rsid w:val="5BF81226"/>
    <w:rsid w:val="5BFB7485"/>
    <w:rsid w:val="5C0042AF"/>
    <w:rsid w:val="5C021D5C"/>
    <w:rsid w:val="5C097E8B"/>
    <w:rsid w:val="5C0E1887"/>
    <w:rsid w:val="5C0E448E"/>
    <w:rsid w:val="5C116FBD"/>
    <w:rsid w:val="5C18254C"/>
    <w:rsid w:val="5C1B2C25"/>
    <w:rsid w:val="5C1E0099"/>
    <w:rsid w:val="5C24204D"/>
    <w:rsid w:val="5C261AD7"/>
    <w:rsid w:val="5C2A4D2E"/>
    <w:rsid w:val="5C2E032C"/>
    <w:rsid w:val="5C317C76"/>
    <w:rsid w:val="5C35045C"/>
    <w:rsid w:val="5C3C5668"/>
    <w:rsid w:val="5C3C56AD"/>
    <w:rsid w:val="5C3D32DD"/>
    <w:rsid w:val="5C3E4B55"/>
    <w:rsid w:val="5C404666"/>
    <w:rsid w:val="5C422461"/>
    <w:rsid w:val="5C48686D"/>
    <w:rsid w:val="5C4F52A1"/>
    <w:rsid w:val="5C4F75E7"/>
    <w:rsid w:val="5C50319B"/>
    <w:rsid w:val="5C511614"/>
    <w:rsid w:val="5C520197"/>
    <w:rsid w:val="5C5371DE"/>
    <w:rsid w:val="5C5F094C"/>
    <w:rsid w:val="5C603564"/>
    <w:rsid w:val="5C633837"/>
    <w:rsid w:val="5C6B067B"/>
    <w:rsid w:val="5C6B674F"/>
    <w:rsid w:val="5C6F57DC"/>
    <w:rsid w:val="5C747582"/>
    <w:rsid w:val="5C7E0DF8"/>
    <w:rsid w:val="5C7E39D8"/>
    <w:rsid w:val="5C8A31FF"/>
    <w:rsid w:val="5C9F55AA"/>
    <w:rsid w:val="5CA474D4"/>
    <w:rsid w:val="5CA700DF"/>
    <w:rsid w:val="5CA84AC1"/>
    <w:rsid w:val="5CAC4293"/>
    <w:rsid w:val="5CB64B19"/>
    <w:rsid w:val="5CBD7A62"/>
    <w:rsid w:val="5CC164AE"/>
    <w:rsid w:val="5CC22998"/>
    <w:rsid w:val="5CC5766D"/>
    <w:rsid w:val="5CC829D4"/>
    <w:rsid w:val="5CD22245"/>
    <w:rsid w:val="5CD612EC"/>
    <w:rsid w:val="5CD620EF"/>
    <w:rsid w:val="5CD63CB1"/>
    <w:rsid w:val="5CD75EB0"/>
    <w:rsid w:val="5CE00BB1"/>
    <w:rsid w:val="5CE76E4E"/>
    <w:rsid w:val="5CE97CE3"/>
    <w:rsid w:val="5CF06B97"/>
    <w:rsid w:val="5CF23D5B"/>
    <w:rsid w:val="5CF73006"/>
    <w:rsid w:val="5CF85D55"/>
    <w:rsid w:val="5CFF2C7D"/>
    <w:rsid w:val="5CFF66F4"/>
    <w:rsid w:val="5D042519"/>
    <w:rsid w:val="5D0C0E3D"/>
    <w:rsid w:val="5D10070C"/>
    <w:rsid w:val="5D1077A1"/>
    <w:rsid w:val="5D193562"/>
    <w:rsid w:val="5D232DD8"/>
    <w:rsid w:val="5D2360DD"/>
    <w:rsid w:val="5D360039"/>
    <w:rsid w:val="5D3A22F4"/>
    <w:rsid w:val="5D3D681F"/>
    <w:rsid w:val="5D421B63"/>
    <w:rsid w:val="5D465419"/>
    <w:rsid w:val="5D467576"/>
    <w:rsid w:val="5D4B2525"/>
    <w:rsid w:val="5D543240"/>
    <w:rsid w:val="5D5434CB"/>
    <w:rsid w:val="5D5A25C6"/>
    <w:rsid w:val="5D645AF7"/>
    <w:rsid w:val="5D697151"/>
    <w:rsid w:val="5D7070A0"/>
    <w:rsid w:val="5D7B2BAE"/>
    <w:rsid w:val="5D893541"/>
    <w:rsid w:val="5D8C28B4"/>
    <w:rsid w:val="5D9832F3"/>
    <w:rsid w:val="5D9934EC"/>
    <w:rsid w:val="5D9C1E54"/>
    <w:rsid w:val="5DAB1E9E"/>
    <w:rsid w:val="5DB53FF3"/>
    <w:rsid w:val="5DBC3F54"/>
    <w:rsid w:val="5DC328CA"/>
    <w:rsid w:val="5DCA57DD"/>
    <w:rsid w:val="5DD74A14"/>
    <w:rsid w:val="5DDB163B"/>
    <w:rsid w:val="5DDC2477"/>
    <w:rsid w:val="5DF11D42"/>
    <w:rsid w:val="5DFA2E17"/>
    <w:rsid w:val="5DFB0C01"/>
    <w:rsid w:val="5E006537"/>
    <w:rsid w:val="5E1D2155"/>
    <w:rsid w:val="5E2374D1"/>
    <w:rsid w:val="5E401AFE"/>
    <w:rsid w:val="5E454E01"/>
    <w:rsid w:val="5E490493"/>
    <w:rsid w:val="5E4D4054"/>
    <w:rsid w:val="5E4F4CEC"/>
    <w:rsid w:val="5E517BBA"/>
    <w:rsid w:val="5E521705"/>
    <w:rsid w:val="5E632348"/>
    <w:rsid w:val="5E656142"/>
    <w:rsid w:val="5E680B19"/>
    <w:rsid w:val="5E7334F8"/>
    <w:rsid w:val="5E7805FF"/>
    <w:rsid w:val="5E7859D6"/>
    <w:rsid w:val="5E842B6A"/>
    <w:rsid w:val="5E875A07"/>
    <w:rsid w:val="5E8C1E30"/>
    <w:rsid w:val="5E911FAC"/>
    <w:rsid w:val="5E92137B"/>
    <w:rsid w:val="5E9373FC"/>
    <w:rsid w:val="5EA67DEF"/>
    <w:rsid w:val="5EAA11B3"/>
    <w:rsid w:val="5EB95510"/>
    <w:rsid w:val="5EB956EE"/>
    <w:rsid w:val="5EC57A3D"/>
    <w:rsid w:val="5ECB275F"/>
    <w:rsid w:val="5ECE2836"/>
    <w:rsid w:val="5EDB5813"/>
    <w:rsid w:val="5EE2308E"/>
    <w:rsid w:val="5EEC409E"/>
    <w:rsid w:val="5EF2448C"/>
    <w:rsid w:val="5EF442F3"/>
    <w:rsid w:val="5F051F15"/>
    <w:rsid w:val="5F222082"/>
    <w:rsid w:val="5F37319D"/>
    <w:rsid w:val="5F3A21FA"/>
    <w:rsid w:val="5F490636"/>
    <w:rsid w:val="5F4A6244"/>
    <w:rsid w:val="5F6219E5"/>
    <w:rsid w:val="5F623592"/>
    <w:rsid w:val="5F7D5743"/>
    <w:rsid w:val="5F810563"/>
    <w:rsid w:val="5F824D0A"/>
    <w:rsid w:val="5F902061"/>
    <w:rsid w:val="5F91364B"/>
    <w:rsid w:val="5F942C15"/>
    <w:rsid w:val="5F982E68"/>
    <w:rsid w:val="5F983E67"/>
    <w:rsid w:val="5FA57B43"/>
    <w:rsid w:val="5FB560BB"/>
    <w:rsid w:val="5FB62CD8"/>
    <w:rsid w:val="5FC20790"/>
    <w:rsid w:val="5FC87F8E"/>
    <w:rsid w:val="5FC91DE9"/>
    <w:rsid w:val="5FCE57F6"/>
    <w:rsid w:val="5FD820A7"/>
    <w:rsid w:val="5FDF0C33"/>
    <w:rsid w:val="5FE25D83"/>
    <w:rsid w:val="5FE5232B"/>
    <w:rsid w:val="5FEC3C05"/>
    <w:rsid w:val="5FF020A1"/>
    <w:rsid w:val="5FFC5DE4"/>
    <w:rsid w:val="600A13C6"/>
    <w:rsid w:val="600A4341"/>
    <w:rsid w:val="600F241C"/>
    <w:rsid w:val="60112156"/>
    <w:rsid w:val="60195F65"/>
    <w:rsid w:val="60200E33"/>
    <w:rsid w:val="6023016C"/>
    <w:rsid w:val="602924AC"/>
    <w:rsid w:val="602B5AAA"/>
    <w:rsid w:val="60334B2A"/>
    <w:rsid w:val="603E7B8A"/>
    <w:rsid w:val="60420933"/>
    <w:rsid w:val="6044487A"/>
    <w:rsid w:val="6056292C"/>
    <w:rsid w:val="6063156C"/>
    <w:rsid w:val="606502AC"/>
    <w:rsid w:val="60660D11"/>
    <w:rsid w:val="606611B7"/>
    <w:rsid w:val="60687B01"/>
    <w:rsid w:val="606D5453"/>
    <w:rsid w:val="607044B9"/>
    <w:rsid w:val="60760530"/>
    <w:rsid w:val="6078579C"/>
    <w:rsid w:val="608159C3"/>
    <w:rsid w:val="60841E8A"/>
    <w:rsid w:val="60904724"/>
    <w:rsid w:val="60924935"/>
    <w:rsid w:val="60934023"/>
    <w:rsid w:val="60947BEA"/>
    <w:rsid w:val="609B6315"/>
    <w:rsid w:val="60AC169F"/>
    <w:rsid w:val="60AF0E29"/>
    <w:rsid w:val="60B43DFD"/>
    <w:rsid w:val="60B55179"/>
    <w:rsid w:val="60BF5745"/>
    <w:rsid w:val="60C47684"/>
    <w:rsid w:val="60C90EA4"/>
    <w:rsid w:val="60CA2396"/>
    <w:rsid w:val="60CF0514"/>
    <w:rsid w:val="60D07484"/>
    <w:rsid w:val="60D10C0F"/>
    <w:rsid w:val="60D3569F"/>
    <w:rsid w:val="60D4537B"/>
    <w:rsid w:val="60D74889"/>
    <w:rsid w:val="60E02B8F"/>
    <w:rsid w:val="60E92E1A"/>
    <w:rsid w:val="60ED6BA8"/>
    <w:rsid w:val="60F37DA9"/>
    <w:rsid w:val="60FA110C"/>
    <w:rsid w:val="60FA46E4"/>
    <w:rsid w:val="60FD3753"/>
    <w:rsid w:val="60FE00AF"/>
    <w:rsid w:val="60FE35D0"/>
    <w:rsid w:val="6101046D"/>
    <w:rsid w:val="61047EF9"/>
    <w:rsid w:val="61064296"/>
    <w:rsid w:val="610864CC"/>
    <w:rsid w:val="610958BB"/>
    <w:rsid w:val="610A63CC"/>
    <w:rsid w:val="611558FC"/>
    <w:rsid w:val="61164EEF"/>
    <w:rsid w:val="61176A85"/>
    <w:rsid w:val="611A697F"/>
    <w:rsid w:val="61206479"/>
    <w:rsid w:val="612143A4"/>
    <w:rsid w:val="61221695"/>
    <w:rsid w:val="6124184C"/>
    <w:rsid w:val="61254671"/>
    <w:rsid w:val="612E3337"/>
    <w:rsid w:val="614050A9"/>
    <w:rsid w:val="61465E1A"/>
    <w:rsid w:val="614B5BCE"/>
    <w:rsid w:val="614D1495"/>
    <w:rsid w:val="614D2B5A"/>
    <w:rsid w:val="6155426A"/>
    <w:rsid w:val="615755AF"/>
    <w:rsid w:val="615D6475"/>
    <w:rsid w:val="61620240"/>
    <w:rsid w:val="616C2054"/>
    <w:rsid w:val="616E3976"/>
    <w:rsid w:val="617D0D60"/>
    <w:rsid w:val="618321F0"/>
    <w:rsid w:val="618563BE"/>
    <w:rsid w:val="61861C69"/>
    <w:rsid w:val="61867017"/>
    <w:rsid w:val="618B084B"/>
    <w:rsid w:val="618E1E6E"/>
    <w:rsid w:val="618F22FB"/>
    <w:rsid w:val="61B03707"/>
    <w:rsid w:val="61B15149"/>
    <w:rsid w:val="61B16AF8"/>
    <w:rsid w:val="61B71C73"/>
    <w:rsid w:val="61C56900"/>
    <w:rsid w:val="61C73EC2"/>
    <w:rsid w:val="61D32FE5"/>
    <w:rsid w:val="61D9528D"/>
    <w:rsid w:val="61DA6BBA"/>
    <w:rsid w:val="61DE7C3D"/>
    <w:rsid w:val="61E1330A"/>
    <w:rsid w:val="61E51E0F"/>
    <w:rsid w:val="61E852C9"/>
    <w:rsid w:val="61EE26FB"/>
    <w:rsid w:val="61EE28BD"/>
    <w:rsid w:val="61F0115C"/>
    <w:rsid w:val="61F74FBE"/>
    <w:rsid w:val="61FA5B62"/>
    <w:rsid w:val="6203062B"/>
    <w:rsid w:val="62070260"/>
    <w:rsid w:val="620812D2"/>
    <w:rsid w:val="62095858"/>
    <w:rsid w:val="6222428F"/>
    <w:rsid w:val="623328EA"/>
    <w:rsid w:val="62390C34"/>
    <w:rsid w:val="6239162C"/>
    <w:rsid w:val="623D4624"/>
    <w:rsid w:val="623D5E3F"/>
    <w:rsid w:val="6241252A"/>
    <w:rsid w:val="62464E95"/>
    <w:rsid w:val="62475095"/>
    <w:rsid w:val="625377EA"/>
    <w:rsid w:val="625D49CE"/>
    <w:rsid w:val="6260455B"/>
    <w:rsid w:val="626114D6"/>
    <w:rsid w:val="6268560F"/>
    <w:rsid w:val="627C049D"/>
    <w:rsid w:val="627E327C"/>
    <w:rsid w:val="628E6DF2"/>
    <w:rsid w:val="62971DFA"/>
    <w:rsid w:val="629963D8"/>
    <w:rsid w:val="62AC65A1"/>
    <w:rsid w:val="62B3642B"/>
    <w:rsid w:val="62B91CB2"/>
    <w:rsid w:val="62E05F11"/>
    <w:rsid w:val="62F00E21"/>
    <w:rsid w:val="62F06C0E"/>
    <w:rsid w:val="62F571B6"/>
    <w:rsid w:val="62F91A8D"/>
    <w:rsid w:val="62FA0118"/>
    <w:rsid w:val="62FB5ADF"/>
    <w:rsid w:val="63016DD9"/>
    <w:rsid w:val="63060DC1"/>
    <w:rsid w:val="630B0513"/>
    <w:rsid w:val="630D5FB3"/>
    <w:rsid w:val="631D12C4"/>
    <w:rsid w:val="63262F68"/>
    <w:rsid w:val="632F0EFF"/>
    <w:rsid w:val="633159CB"/>
    <w:rsid w:val="6332638D"/>
    <w:rsid w:val="633B2B0B"/>
    <w:rsid w:val="633C5BF9"/>
    <w:rsid w:val="633E36D1"/>
    <w:rsid w:val="6343466C"/>
    <w:rsid w:val="634A145E"/>
    <w:rsid w:val="634E753F"/>
    <w:rsid w:val="6358287F"/>
    <w:rsid w:val="63607ED4"/>
    <w:rsid w:val="636469BD"/>
    <w:rsid w:val="63670D77"/>
    <w:rsid w:val="63685741"/>
    <w:rsid w:val="636A3942"/>
    <w:rsid w:val="636B5C5F"/>
    <w:rsid w:val="63716369"/>
    <w:rsid w:val="63767EE6"/>
    <w:rsid w:val="637919F5"/>
    <w:rsid w:val="637A710D"/>
    <w:rsid w:val="637D2E4D"/>
    <w:rsid w:val="63802ACC"/>
    <w:rsid w:val="6388225F"/>
    <w:rsid w:val="63947BA7"/>
    <w:rsid w:val="63A70E39"/>
    <w:rsid w:val="63B253E1"/>
    <w:rsid w:val="63B26566"/>
    <w:rsid w:val="63B4415B"/>
    <w:rsid w:val="63B601D2"/>
    <w:rsid w:val="63CA2753"/>
    <w:rsid w:val="63D86821"/>
    <w:rsid w:val="63D8720B"/>
    <w:rsid w:val="63D936D2"/>
    <w:rsid w:val="63DF3F98"/>
    <w:rsid w:val="63E02D15"/>
    <w:rsid w:val="63E0457C"/>
    <w:rsid w:val="63E25AFD"/>
    <w:rsid w:val="63F00C31"/>
    <w:rsid w:val="63F03B38"/>
    <w:rsid w:val="63F731A5"/>
    <w:rsid w:val="63F851F7"/>
    <w:rsid w:val="63FC766C"/>
    <w:rsid w:val="63FE2454"/>
    <w:rsid w:val="64022F76"/>
    <w:rsid w:val="64084173"/>
    <w:rsid w:val="641269AD"/>
    <w:rsid w:val="641C56F8"/>
    <w:rsid w:val="64231408"/>
    <w:rsid w:val="643A7824"/>
    <w:rsid w:val="64553AA4"/>
    <w:rsid w:val="64564ED9"/>
    <w:rsid w:val="645A5737"/>
    <w:rsid w:val="646029D7"/>
    <w:rsid w:val="64603768"/>
    <w:rsid w:val="646270E8"/>
    <w:rsid w:val="6467123E"/>
    <w:rsid w:val="64706790"/>
    <w:rsid w:val="64724898"/>
    <w:rsid w:val="647C3BBA"/>
    <w:rsid w:val="64805997"/>
    <w:rsid w:val="64813A7C"/>
    <w:rsid w:val="64823A3A"/>
    <w:rsid w:val="64855B2D"/>
    <w:rsid w:val="64867427"/>
    <w:rsid w:val="648976FB"/>
    <w:rsid w:val="648A2250"/>
    <w:rsid w:val="648B1491"/>
    <w:rsid w:val="648E1573"/>
    <w:rsid w:val="649A52C8"/>
    <w:rsid w:val="64B0747D"/>
    <w:rsid w:val="64B6071F"/>
    <w:rsid w:val="64BE2F18"/>
    <w:rsid w:val="64C004BC"/>
    <w:rsid w:val="64C03551"/>
    <w:rsid w:val="64C6530B"/>
    <w:rsid w:val="64D9451E"/>
    <w:rsid w:val="64DB77D5"/>
    <w:rsid w:val="64F31974"/>
    <w:rsid w:val="64FA5C63"/>
    <w:rsid w:val="65127100"/>
    <w:rsid w:val="65243181"/>
    <w:rsid w:val="6532464B"/>
    <w:rsid w:val="653A34E5"/>
    <w:rsid w:val="653C6B1D"/>
    <w:rsid w:val="65433415"/>
    <w:rsid w:val="65463750"/>
    <w:rsid w:val="654E3228"/>
    <w:rsid w:val="654F2611"/>
    <w:rsid w:val="65537C6B"/>
    <w:rsid w:val="655C685E"/>
    <w:rsid w:val="656160AB"/>
    <w:rsid w:val="65622086"/>
    <w:rsid w:val="65644A63"/>
    <w:rsid w:val="656E3321"/>
    <w:rsid w:val="65757B8D"/>
    <w:rsid w:val="65764BA6"/>
    <w:rsid w:val="658E776E"/>
    <w:rsid w:val="65907AC2"/>
    <w:rsid w:val="65A62A91"/>
    <w:rsid w:val="65A8734A"/>
    <w:rsid w:val="65A9185C"/>
    <w:rsid w:val="65AB43EF"/>
    <w:rsid w:val="65B430CC"/>
    <w:rsid w:val="65CC6A3A"/>
    <w:rsid w:val="65DB0A99"/>
    <w:rsid w:val="65E919BF"/>
    <w:rsid w:val="65ED7EEF"/>
    <w:rsid w:val="65F46CFC"/>
    <w:rsid w:val="65F73BB4"/>
    <w:rsid w:val="660658FA"/>
    <w:rsid w:val="660B1805"/>
    <w:rsid w:val="660C035C"/>
    <w:rsid w:val="66190E3D"/>
    <w:rsid w:val="661C061C"/>
    <w:rsid w:val="6628673A"/>
    <w:rsid w:val="66300C32"/>
    <w:rsid w:val="6639596A"/>
    <w:rsid w:val="66401DD3"/>
    <w:rsid w:val="6644369D"/>
    <w:rsid w:val="66513A8B"/>
    <w:rsid w:val="66515333"/>
    <w:rsid w:val="66543F3A"/>
    <w:rsid w:val="6654755D"/>
    <w:rsid w:val="66706DA7"/>
    <w:rsid w:val="66715E7B"/>
    <w:rsid w:val="66741783"/>
    <w:rsid w:val="66847504"/>
    <w:rsid w:val="66870478"/>
    <w:rsid w:val="66892842"/>
    <w:rsid w:val="66917990"/>
    <w:rsid w:val="66941DAA"/>
    <w:rsid w:val="66972F96"/>
    <w:rsid w:val="66976DD4"/>
    <w:rsid w:val="669A7003"/>
    <w:rsid w:val="669E62DE"/>
    <w:rsid w:val="66A54376"/>
    <w:rsid w:val="66A808DA"/>
    <w:rsid w:val="66AD05F5"/>
    <w:rsid w:val="66AD1818"/>
    <w:rsid w:val="66AD4A88"/>
    <w:rsid w:val="66B4636B"/>
    <w:rsid w:val="66C2655F"/>
    <w:rsid w:val="66D01D1D"/>
    <w:rsid w:val="66D20F68"/>
    <w:rsid w:val="66D6103F"/>
    <w:rsid w:val="66DB5E51"/>
    <w:rsid w:val="66DC2051"/>
    <w:rsid w:val="66E77E06"/>
    <w:rsid w:val="66F861FA"/>
    <w:rsid w:val="66FA7E32"/>
    <w:rsid w:val="670027A0"/>
    <w:rsid w:val="67037752"/>
    <w:rsid w:val="67050D51"/>
    <w:rsid w:val="67050D97"/>
    <w:rsid w:val="67091904"/>
    <w:rsid w:val="670B28E2"/>
    <w:rsid w:val="670E178E"/>
    <w:rsid w:val="6717419C"/>
    <w:rsid w:val="67212735"/>
    <w:rsid w:val="673611CB"/>
    <w:rsid w:val="674A450B"/>
    <w:rsid w:val="674B4E59"/>
    <w:rsid w:val="675005EC"/>
    <w:rsid w:val="675E366D"/>
    <w:rsid w:val="67635837"/>
    <w:rsid w:val="67690F3D"/>
    <w:rsid w:val="676B3A7C"/>
    <w:rsid w:val="676D52AA"/>
    <w:rsid w:val="677011BD"/>
    <w:rsid w:val="6770452E"/>
    <w:rsid w:val="67750EBE"/>
    <w:rsid w:val="67816012"/>
    <w:rsid w:val="67842D1C"/>
    <w:rsid w:val="678C278B"/>
    <w:rsid w:val="67991948"/>
    <w:rsid w:val="67996E0A"/>
    <w:rsid w:val="67A850E1"/>
    <w:rsid w:val="67AB3E74"/>
    <w:rsid w:val="67B0438B"/>
    <w:rsid w:val="67B33BE3"/>
    <w:rsid w:val="67B71656"/>
    <w:rsid w:val="67B723B3"/>
    <w:rsid w:val="67B743E8"/>
    <w:rsid w:val="67BD43E0"/>
    <w:rsid w:val="67BD4993"/>
    <w:rsid w:val="67C0411D"/>
    <w:rsid w:val="67C95416"/>
    <w:rsid w:val="67D74048"/>
    <w:rsid w:val="67E041E2"/>
    <w:rsid w:val="67E51F56"/>
    <w:rsid w:val="67F27764"/>
    <w:rsid w:val="6802359C"/>
    <w:rsid w:val="68081463"/>
    <w:rsid w:val="680A257F"/>
    <w:rsid w:val="680E50C8"/>
    <w:rsid w:val="681541C3"/>
    <w:rsid w:val="681674DF"/>
    <w:rsid w:val="68373462"/>
    <w:rsid w:val="68447B3B"/>
    <w:rsid w:val="685C0FCA"/>
    <w:rsid w:val="68650F7D"/>
    <w:rsid w:val="68655BE3"/>
    <w:rsid w:val="686926D4"/>
    <w:rsid w:val="68774A50"/>
    <w:rsid w:val="68784EDA"/>
    <w:rsid w:val="687A62EB"/>
    <w:rsid w:val="687B4F8F"/>
    <w:rsid w:val="688A20B8"/>
    <w:rsid w:val="688C0135"/>
    <w:rsid w:val="688D57D8"/>
    <w:rsid w:val="6892047F"/>
    <w:rsid w:val="6897438E"/>
    <w:rsid w:val="689F6C88"/>
    <w:rsid w:val="68A01495"/>
    <w:rsid w:val="68A27905"/>
    <w:rsid w:val="68A34F17"/>
    <w:rsid w:val="68A550D0"/>
    <w:rsid w:val="68A57A2E"/>
    <w:rsid w:val="68A7533D"/>
    <w:rsid w:val="68BD6779"/>
    <w:rsid w:val="68C02111"/>
    <w:rsid w:val="68C03210"/>
    <w:rsid w:val="68C42BDC"/>
    <w:rsid w:val="68CE3102"/>
    <w:rsid w:val="68D015E0"/>
    <w:rsid w:val="68D33B58"/>
    <w:rsid w:val="68D824C6"/>
    <w:rsid w:val="68E24545"/>
    <w:rsid w:val="68E31D7A"/>
    <w:rsid w:val="68E71448"/>
    <w:rsid w:val="68E92B61"/>
    <w:rsid w:val="68F308C4"/>
    <w:rsid w:val="68F51C33"/>
    <w:rsid w:val="68FA62F0"/>
    <w:rsid w:val="68FE7853"/>
    <w:rsid w:val="68FF6668"/>
    <w:rsid w:val="6901117B"/>
    <w:rsid w:val="69021A4A"/>
    <w:rsid w:val="69052CE9"/>
    <w:rsid w:val="691D61F1"/>
    <w:rsid w:val="691E3879"/>
    <w:rsid w:val="69211467"/>
    <w:rsid w:val="69257A7E"/>
    <w:rsid w:val="69277662"/>
    <w:rsid w:val="69345F83"/>
    <w:rsid w:val="69392613"/>
    <w:rsid w:val="69392966"/>
    <w:rsid w:val="693C2B63"/>
    <w:rsid w:val="694E1147"/>
    <w:rsid w:val="69520D7A"/>
    <w:rsid w:val="69573B6E"/>
    <w:rsid w:val="696206D3"/>
    <w:rsid w:val="6967756D"/>
    <w:rsid w:val="6968644A"/>
    <w:rsid w:val="697011ED"/>
    <w:rsid w:val="69826A24"/>
    <w:rsid w:val="699B6DC8"/>
    <w:rsid w:val="69A44CF5"/>
    <w:rsid w:val="69A97058"/>
    <w:rsid w:val="69AB6F60"/>
    <w:rsid w:val="69C340F2"/>
    <w:rsid w:val="69C8002E"/>
    <w:rsid w:val="69CF04C1"/>
    <w:rsid w:val="69D32FE1"/>
    <w:rsid w:val="69D463F2"/>
    <w:rsid w:val="69D72910"/>
    <w:rsid w:val="69D94035"/>
    <w:rsid w:val="69DC26A6"/>
    <w:rsid w:val="69E37874"/>
    <w:rsid w:val="69E56B54"/>
    <w:rsid w:val="69E96708"/>
    <w:rsid w:val="69ED002E"/>
    <w:rsid w:val="69ED6B4A"/>
    <w:rsid w:val="69EE54CD"/>
    <w:rsid w:val="69F92613"/>
    <w:rsid w:val="69FB7CD4"/>
    <w:rsid w:val="69FD723E"/>
    <w:rsid w:val="69FD7CEA"/>
    <w:rsid w:val="6A0229E5"/>
    <w:rsid w:val="6A067F83"/>
    <w:rsid w:val="6A097E59"/>
    <w:rsid w:val="6A171AFC"/>
    <w:rsid w:val="6A227A57"/>
    <w:rsid w:val="6A2A2D01"/>
    <w:rsid w:val="6A3225D7"/>
    <w:rsid w:val="6A3B0B6C"/>
    <w:rsid w:val="6A3C0BF8"/>
    <w:rsid w:val="6A423E55"/>
    <w:rsid w:val="6A470981"/>
    <w:rsid w:val="6A4747AF"/>
    <w:rsid w:val="6A49294B"/>
    <w:rsid w:val="6A562B91"/>
    <w:rsid w:val="6A57299A"/>
    <w:rsid w:val="6A697946"/>
    <w:rsid w:val="6A6D6854"/>
    <w:rsid w:val="6A700CED"/>
    <w:rsid w:val="6A7017D7"/>
    <w:rsid w:val="6AA235D3"/>
    <w:rsid w:val="6AA31D3D"/>
    <w:rsid w:val="6AB02B50"/>
    <w:rsid w:val="6AB14532"/>
    <w:rsid w:val="6ABB2ED0"/>
    <w:rsid w:val="6AC335C4"/>
    <w:rsid w:val="6ACC0F11"/>
    <w:rsid w:val="6ADB4318"/>
    <w:rsid w:val="6ADD7DFD"/>
    <w:rsid w:val="6AE2135D"/>
    <w:rsid w:val="6AE77D3D"/>
    <w:rsid w:val="6AE93C28"/>
    <w:rsid w:val="6AF05F1A"/>
    <w:rsid w:val="6B036D80"/>
    <w:rsid w:val="6B0451AB"/>
    <w:rsid w:val="6B160110"/>
    <w:rsid w:val="6B21434C"/>
    <w:rsid w:val="6B237C36"/>
    <w:rsid w:val="6B2718FD"/>
    <w:rsid w:val="6B2A147B"/>
    <w:rsid w:val="6B2C290C"/>
    <w:rsid w:val="6B33476F"/>
    <w:rsid w:val="6B352059"/>
    <w:rsid w:val="6B3B4CA2"/>
    <w:rsid w:val="6B4514F6"/>
    <w:rsid w:val="6B4A50C0"/>
    <w:rsid w:val="6B4D3CED"/>
    <w:rsid w:val="6B5C7011"/>
    <w:rsid w:val="6B6A2B7E"/>
    <w:rsid w:val="6B705893"/>
    <w:rsid w:val="6B7221D1"/>
    <w:rsid w:val="6B725A81"/>
    <w:rsid w:val="6B7D16E0"/>
    <w:rsid w:val="6B7F30F3"/>
    <w:rsid w:val="6B873558"/>
    <w:rsid w:val="6B92645D"/>
    <w:rsid w:val="6B94060D"/>
    <w:rsid w:val="6B973734"/>
    <w:rsid w:val="6B975967"/>
    <w:rsid w:val="6B9A5777"/>
    <w:rsid w:val="6BB248CC"/>
    <w:rsid w:val="6BBC0DCF"/>
    <w:rsid w:val="6BCA6179"/>
    <w:rsid w:val="6BD0777F"/>
    <w:rsid w:val="6BD619EE"/>
    <w:rsid w:val="6BEA64E2"/>
    <w:rsid w:val="6BFA7E30"/>
    <w:rsid w:val="6BFB030F"/>
    <w:rsid w:val="6C016CAE"/>
    <w:rsid w:val="6C090252"/>
    <w:rsid w:val="6C0B7CD2"/>
    <w:rsid w:val="6C0D6AE8"/>
    <w:rsid w:val="6C100936"/>
    <w:rsid w:val="6C1962C3"/>
    <w:rsid w:val="6C1A6808"/>
    <w:rsid w:val="6C255AAD"/>
    <w:rsid w:val="6C2C5801"/>
    <w:rsid w:val="6C2D7320"/>
    <w:rsid w:val="6C2E3E73"/>
    <w:rsid w:val="6C3321F9"/>
    <w:rsid w:val="6C33267C"/>
    <w:rsid w:val="6C3D0F56"/>
    <w:rsid w:val="6C410CB8"/>
    <w:rsid w:val="6C452BDF"/>
    <w:rsid w:val="6C5E1CDD"/>
    <w:rsid w:val="6C62391B"/>
    <w:rsid w:val="6C660C8B"/>
    <w:rsid w:val="6C6A716D"/>
    <w:rsid w:val="6C71767A"/>
    <w:rsid w:val="6C7C1F44"/>
    <w:rsid w:val="6C827094"/>
    <w:rsid w:val="6C8559E0"/>
    <w:rsid w:val="6C8D26FB"/>
    <w:rsid w:val="6CC25213"/>
    <w:rsid w:val="6CD76A8F"/>
    <w:rsid w:val="6CE0702D"/>
    <w:rsid w:val="6CE83295"/>
    <w:rsid w:val="6CEE220B"/>
    <w:rsid w:val="6CEE246E"/>
    <w:rsid w:val="6CF27A30"/>
    <w:rsid w:val="6CF6067E"/>
    <w:rsid w:val="6D032BD4"/>
    <w:rsid w:val="6D050744"/>
    <w:rsid w:val="6D0535EE"/>
    <w:rsid w:val="6D077405"/>
    <w:rsid w:val="6D0A3519"/>
    <w:rsid w:val="6D133D59"/>
    <w:rsid w:val="6D175B2B"/>
    <w:rsid w:val="6D264EC5"/>
    <w:rsid w:val="6D26662C"/>
    <w:rsid w:val="6D330DB7"/>
    <w:rsid w:val="6D437763"/>
    <w:rsid w:val="6D4B2385"/>
    <w:rsid w:val="6D4C07B8"/>
    <w:rsid w:val="6D671B76"/>
    <w:rsid w:val="6D6D28AF"/>
    <w:rsid w:val="6D771293"/>
    <w:rsid w:val="6D7D0954"/>
    <w:rsid w:val="6D8153B2"/>
    <w:rsid w:val="6D876AB7"/>
    <w:rsid w:val="6D8F154F"/>
    <w:rsid w:val="6D9757D1"/>
    <w:rsid w:val="6D9C3974"/>
    <w:rsid w:val="6DA062EA"/>
    <w:rsid w:val="6DA65DBF"/>
    <w:rsid w:val="6DA76631"/>
    <w:rsid w:val="6DAF65CC"/>
    <w:rsid w:val="6DB157A2"/>
    <w:rsid w:val="6DB25F3D"/>
    <w:rsid w:val="6DBA586C"/>
    <w:rsid w:val="6DBE0B3F"/>
    <w:rsid w:val="6DBF7294"/>
    <w:rsid w:val="6DC53FBD"/>
    <w:rsid w:val="6DC93FE2"/>
    <w:rsid w:val="6DCA77EA"/>
    <w:rsid w:val="6DD35114"/>
    <w:rsid w:val="6DDE35E8"/>
    <w:rsid w:val="6DE5110F"/>
    <w:rsid w:val="6DE65A7A"/>
    <w:rsid w:val="6DE92FA2"/>
    <w:rsid w:val="6DEE0E7D"/>
    <w:rsid w:val="6DEF6BC8"/>
    <w:rsid w:val="6DF574ED"/>
    <w:rsid w:val="6DF81839"/>
    <w:rsid w:val="6E0048DC"/>
    <w:rsid w:val="6E075019"/>
    <w:rsid w:val="6E0766A1"/>
    <w:rsid w:val="6E1419C0"/>
    <w:rsid w:val="6E166FE2"/>
    <w:rsid w:val="6E183FF4"/>
    <w:rsid w:val="6E1B11E5"/>
    <w:rsid w:val="6E1D151C"/>
    <w:rsid w:val="6E2E7D17"/>
    <w:rsid w:val="6E3323DD"/>
    <w:rsid w:val="6E3761D3"/>
    <w:rsid w:val="6E392DDA"/>
    <w:rsid w:val="6E3E2033"/>
    <w:rsid w:val="6E411943"/>
    <w:rsid w:val="6E440060"/>
    <w:rsid w:val="6E442CF5"/>
    <w:rsid w:val="6E54575C"/>
    <w:rsid w:val="6E5A2999"/>
    <w:rsid w:val="6E612C3F"/>
    <w:rsid w:val="6E6F6D88"/>
    <w:rsid w:val="6E702FE8"/>
    <w:rsid w:val="6E706B87"/>
    <w:rsid w:val="6E766C71"/>
    <w:rsid w:val="6E7926F7"/>
    <w:rsid w:val="6E7B110F"/>
    <w:rsid w:val="6E8A2A35"/>
    <w:rsid w:val="6EA04FAE"/>
    <w:rsid w:val="6EAA59A3"/>
    <w:rsid w:val="6EAA79ED"/>
    <w:rsid w:val="6EB67355"/>
    <w:rsid w:val="6EC161BE"/>
    <w:rsid w:val="6ECD08F1"/>
    <w:rsid w:val="6EDF2531"/>
    <w:rsid w:val="6EE1335D"/>
    <w:rsid w:val="6EEF6508"/>
    <w:rsid w:val="6EF02682"/>
    <w:rsid w:val="6EFF1809"/>
    <w:rsid w:val="6F19615F"/>
    <w:rsid w:val="6F1A60C4"/>
    <w:rsid w:val="6F231E41"/>
    <w:rsid w:val="6F244447"/>
    <w:rsid w:val="6F303DE1"/>
    <w:rsid w:val="6F331C81"/>
    <w:rsid w:val="6F331F52"/>
    <w:rsid w:val="6F362062"/>
    <w:rsid w:val="6F3C0797"/>
    <w:rsid w:val="6F4048CA"/>
    <w:rsid w:val="6F405BD0"/>
    <w:rsid w:val="6F4713C5"/>
    <w:rsid w:val="6F4734D0"/>
    <w:rsid w:val="6F4B3953"/>
    <w:rsid w:val="6F555C91"/>
    <w:rsid w:val="6F603479"/>
    <w:rsid w:val="6F680494"/>
    <w:rsid w:val="6F6B5A9E"/>
    <w:rsid w:val="6F781E31"/>
    <w:rsid w:val="6F7A07E3"/>
    <w:rsid w:val="6F7D050B"/>
    <w:rsid w:val="6F806FD3"/>
    <w:rsid w:val="6F866FBD"/>
    <w:rsid w:val="6F8C33B0"/>
    <w:rsid w:val="6F8D5B36"/>
    <w:rsid w:val="6F953750"/>
    <w:rsid w:val="6FA10B29"/>
    <w:rsid w:val="6FAA2D8A"/>
    <w:rsid w:val="6FC02217"/>
    <w:rsid w:val="6FC34E9D"/>
    <w:rsid w:val="6FC60A07"/>
    <w:rsid w:val="6FC90F86"/>
    <w:rsid w:val="6FCD3BC3"/>
    <w:rsid w:val="6FCE2BBA"/>
    <w:rsid w:val="6FDF40F5"/>
    <w:rsid w:val="6FE0165C"/>
    <w:rsid w:val="6FE05F95"/>
    <w:rsid w:val="6FF06B6B"/>
    <w:rsid w:val="6FF97C31"/>
    <w:rsid w:val="6FFC64FF"/>
    <w:rsid w:val="7001428F"/>
    <w:rsid w:val="700E7127"/>
    <w:rsid w:val="70133236"/>
    <w:rsid w:val="70156307"/>
    <w:rsid w:val="7016485B"/>
    <w:rsid w:val="701C590F"/>
    <w:rsid w:val="702033F7"/>
    <w:rsid w:val="702D10A9"/>
    <w:rsid w:val="70315D3B"/>
    <w:rsid w:val="70356E28"/>
    <w:rsid w:val="703D58C4"/>
    <w:rsid w:val="70416B1E"/>
    <w:rsid w:val="70453D87"/>
    <w:rsid w:val="704E5E48"/>
    <w:rsid w:val="7053674B"/>
    <w:rsid w:val="7055360F"/>
    <w:rsid w:val="70642BE6"/>
    <w:rsid w:val="706F497B"/>
    <w:rsid w:val="70724AB3"/>
    <w:rsid w:val="70916EF8"/>
    <w:rsid w:val="709261ED"/>
    <w:rsid w:val="70A02568"/>
    <w:rsid w:val="70AD230C"/>
    <w:rsid w:val="70B91785"/>
    <w:rsid w:val="70C41020"/>
    <w:rsid w:val="70CC1017"/>
    <w:rsid w:val="70CF255C"/>
    <w:rsid w:val="70DC2C89"/>
    <w:rsid w:val="70DD041E"/>
    <w:rsid w:val="70DD743F"/>
    <w:rsid w:val="70E3150B"/>
    <w:rsid w:val="70E67B77"/>
    <w:rsid w:val="70F323B0"/>
    <w:rsid w:val="70FD7C9B"/>
    <w:rsid w:val="710221FA"/>
    <w:rsid w:val="7108758E"/>
    <w:rsid w:val="71094431"/>
    <w:rsid w:val="710D3478"/>
    <w:rsid w:val="710F7585"/>
    <w:rsid w:val="711805A6"/>
    <w:rsid w:val="711A79AD"/>
    <w:rsid w:val="71217446"/>
    <w:rsid w:val="71224F32"/>
    <w:rsid w:val="7123463F"/>
    <w:rsid w:val="713B1ED6"/>
    <w:rsid w:val="714113C5"/>
    <w:rsid w:val="714463AC"/>
    <w:rsid w:val="7144693A"/>
    <w:rsid w:val="71525708"/>
    <w:rsid w:val="71542A3C"/>
    <w:rsid w:val="71584711"/>
    <w:rsid w:val="71595F23"/>
    <w:rsid w:val="716438F6"/>
    <w:rsid w:val="716A4C59"/>
    <w:rsid w:val="716D3AF0"/>
    <w:rsid w:val="716F5983"/>
    <w:rsid w:val="717106F9"/>
    <w:rsid w:val="717D0F0A"/>
    <w:rsid w:val="71811922"/>
    <w:rsid w:val="7184567C"/>
    <w:rsid w:val="71866C06"/>
    <w:rsid w:val="718F2568"/>
    <w:rsid w:val="718F3086"/>
    <w:rsid w:val="71910B53"/>
    <w:rsid w:val="719D1BC1"/>
    <w:rsid w:val="719E09E3"/>
    <w:rsid w:val="719F5958"/>
    <w:rsid w:val="71A33FEC"/>
    <w:rsid w:val="71A601E7"/>
    <w:rsid w:val="71AC51C8"/>
    <w:rsid w:val="71C37CE8"/>
    <w:rsid w:val="71C402EA"/>
    <w:rsid w:val="71D4132F"/>
    <w:rsid w:val="71D53676"/>
    <w:rsid w:val="71DA32B4"/>
    <w:rsid w:val="71E32E83"/>
    <w:rsid w:val="71F46D71"/>
    <w:rsid w:val="71F96411"/>
    <w:rsid w:val="71FA7506"/>
    <w:rsid w:val="72061465"/>
    <w:rsid w:val="722F766C"/>
    <w:rsid w:val="723256D8"/>
    <w:rsid w:val="72385872"/>
    <w:rsid w:val="72451F4F"/>
    <w:rsid w:val="7247128C"/>
    <w:rsid w:val="72493E35"/>
    <w:rsid w:val="725B0CD8"/>
    <w:rsid w:val="7264361A"/>
    <w:rsid w:val="726822A9"/>
    <w:rsid w:val="726C3438"/>
    <w:rsid w:val="727367E8"/>
    <w:rsid w:val="72791B78"/>
    <w:rsid w:val="727C5618"/>
    <w:rsid w:val="727F3E51"/>
    <w:rsid w:val="7287073E"/>
    <w:rsid w:val="728C70E1"/>
    <w:rsid w:val="7290542B"/>
    <w:rsid w:val="72913002"/>
    <w:rsid w:val="72917F17"/>
    <w:rsid w:val="72935E6A"/>
    <w:rsid w:val="729A7834"/>
    <w:rsid w:val="72A00661"/>
    <w:rsid w:val="72AF2463"/>
    <w:rsid w:val="72B06D9D"/>
    <w:rsid w:val="72B715E4"/>
    <w:rsid w:val="72C32F53"/>
    <w:rsid w:val="72C77A8A"/>
    <w:rsid w:val="72CB7C4C"/>
    <w:rsid w:val="72D86D20"/>
    <w:rsid w:val="72FE1C79"/>
    <w:rsid w:val="72FE3E8E"/>
    <w:rsid w:val="731B711B"/>
    <w:rsid w:val="731C3ED2"/>
    <w:rsid w:val="731E5631"/>
    <w:rsid w:val="732009B8"/>
    <w:rsid w:val="732B0C72"/>
    <w:rsid w:val="733271A4"/>
    <w:rsid w:val="73330C63"/>
    <w:rsid w:val="733863E3"/>
    <w:rsid w:val="733A3332"/>
    <w:rsid w:val="733C1D9D"/>
    <w:rsid w:val="733E46B2"/>
    <w:rsid w:val="733E59D9"/>
    <w:rsid w:val="73597F33"/>
    <w:rsid w:val="7375490C"/>
    <w:rsid w:val="73757E63"/>
    <w:rsid w:val="737D2F4F"/>
    <w:rsid w:val="738B029F"/>
    <w:rsid w:val="73900D21"/>
    <w:rsid w:val="739815E8"/>
    <w:rsid w:val="739A7114"/>
    <w:rsid w:val="739F2349"/>
    <w:rsid w:val="739F6287"/>
    <w:rsid w:val="73A242CD"/>
    <w:rsid w:val="73A935F2"/>
    <w:rsid w:val="73AB6516"/>
    <w:rsid w:val="73AC333B"/>
    <w:rsid w:val="73B11DBC"/>
    <w:rsid w:val="73B1795C"/>
    <w:rsid w:val="73B51018"/>
    <w:rsid w:val="73C340B3"/>
    <w:rsid w:val="73C46797"/>
    <w:rsid w:val="73C72DB3"/>
    <w:rsid w:val="73C73E59"/>
    <w:rsid w:val="73C854F0"/>
    <w:rsid w:val="73CE0B05"/>
    <w:rsid w:val="73D007EE"/>
    <w:rsid w:val="73D27A00"/>
    <w:rsid w:val="73D31801"/>
    <w:rsid w:val="73D9581C"/>
    <w:rsid w:val="73DA2FBB"/>
    <w:rsid w:val="73DC2CAB"/>
    <w:rsid w:val="73DC5744"/>
    <w:rsid w:val="73E36876"/>
    <w:rsid w:val="73E72CB9"/>
    <w:rsid w:val="74014C0C"/>
    <w:rsid w:val="741B5358"/>
    <w:rsid w:val="74202F12"/>
    <w:rsid w:val="742C093F"/>
    <w:rsid w:val="742F68DF"/>
    <w:rsid w:val="7435797F"/>
    <w:rsid w:val="7442738A"/>
    <w:rsid w:val="744A0545"/>
    <w:rsid w:val="744F7C70"/>
    <w:rsid w:val="74521009"/>
    <w:rsid w:val="74632A31"/>
    <w:rsid w:val="7465205B"/>
    <w:rsid w:val="746954DB"/>
    <w:rsid w:val="74743C33"/>
    <w:rsid w:val="747640DF"/>
    <w:rsid w:val="747E6036"/>
    <w:rsid w:val="7482175B"/>
    <w:rsid w:val="74843F0D"/>
    <w:rsid w:val="74A67409"/>
    <w:rsid w:val="74B37F42"/>
    <w:rsid w:val="74B94875"/>
    <w:rsid w:val="74BA4FF9"/>
    <w:rsid w:val="74BA679D"/>
    <w:rsid w:val="74C269A8"/>
    <w:rsid w:val="74C311F6"/>
    <w:rsid w:val="74C53F19"/>
    <w:rsid w:val="74CA0770"/>
    <w:rsid w:val="74D52F3D"/>
    <w:rsid w:val="74D81528"/>
    <w:rsid w:val="74D96025"/>
    <w:rsid w:val="74DA07A2"/>
    <w:rsid w:val="74E1491C"/>
    <w:rsid w:val="74E67A31"/>
    <w:rsid w:val="74F61278"/>
    <w:rsid w:val="74F90505"/>
    <w:rsid w:val="74FC67D7"/>
    <w:rsid w:val="7501178C"/>
    <w:rsid w:val="75092044"/>
    <w:rsid w:val="75124563"/>
    <w:rsid w:val="751274A1"/>
    <w:rsid w:val="751C2143"/>
    <w:rsid w:val="75295853"/>
    <w:rsid w:val="752D2921"/>
    <w:rsid w:val="752F1869"/>
    <w:rsid w:val="752F2DAC"/>
    <w:rsid w:val="75631790"/>
    <w:rsid w:val="7566472C"/>
    <w:rsid w:val="756B1E1E"/>
    <w:rsid w:val="7578413D"/>
    <w:rsid w:val="757B64ED"/>
    <w:rsid w:val="757C232A"/>
    <w:rsid w:val="75851DCA"/>
    <w:rsid w:val="758F3A2A"/>
    <w:rsid w:val="7599617F"/>
    <w:rsid w:val="759D7802"/>
    <w:rsid w:val="75A011FF"/>
    <w:rsid w:val="75A70E4F"/>
    <w:rsid w:val="75AA3F51"/>
    <w:rsid w:val="75B11420"/>
    <w:rsid w:val="75B263D3"/>
    <w:rsid w:val="75DC2372"/>
    <w:rsid w:val="75E16CC1"/>
    <w:rsid w:val="75F22E0F"/>
    <w:rsid w:val="7600000E"/>
    <w:rsid w:val="760021B6"/>
    <w:rsid w:val="760950F4"/>
    <w:rsid w:val="76122AB3"/>
    <w:rsid w:val="76154B74"/>
    <w:rsid w:val="761C414A"/>
    <w:rsid w:val="761D237D"/>
    <w:rsid w:val="76380CDC"/>
    <w:rsid w:val="76383420"/>
    <w:rsid w:val="76411431"/>
    <w:rsid w:val="7649562B"/>
    <w:rsid w:val="764C734A"/>
    <w:rsid w:val="764F7C59"/>
    <w:rsid w:val="76536622"/>
    <w:rsid w:val="765566B4"/>
    <w:rsid w:val="76605088"/>
    <w:rsid w:val="766477E2"/>
    <w:rsid w:val="7668119A"/>
    <w:rsid w:val="766966D4"/>
    <w:rsid w:val="766E17F9"/>
    <w:rsid w:val="76894FB9"/>
    <w:rsid w:val="768C1EBA"/>
    <w:rsid w:val="768E260E"/>
    <w:rsid w:val="769568F8"/>
    <w:rsid w:val="76993596"/>
    <w:rsid w:val="769F0134"/>
    <w:rsid w:val="76B14AAD"/>
    <w:rsid w:val="76C02394"/>
    <w:rsid w:val="76C118A2"/>
    <w:rsid w:val="76C32B57"/>
    <w:rsid w:val="76C63D93"/>
    <w:rsid w:val="76CB0A63"/>
    <w:rsid w:val="76D25527"/>
    <w:rsid w:val="76D81970"/>
    <w:rsid w:val="76DD3810"/>
    <w:rsid w:val="76E451C7"/>
    <w:rsid w:val="76E472DD"/>
    <w:rsid w:val="76E8548D"/>
    <w:rsid w:val="76ED3B38"/>
    <w:rsid w:val="76F13EA7"/>
    <w:rsid w:val="76F14581"/>
    <w:rsid w:val="76F77BBD"/>
    <w:rsid w:val="76FD22EC"/>
    <w:rsid w:val="76FD6D57"/>
    <w:rsid w:val="77030B27"/>
    <w:rsid w:val="77041D95"/>
    <w:rsid w:val="77095079"/>
    <w:rsid w:val="771242EB"/>
    <w:rsid w:val="7718408C"/>
    <w:rsid w:val="7723073F"/>
    <w:rsid w:val="772527B2"/>
    <w:rsid w:val="772A6A8E"/>
    <w:rsid w:val="77327BED"/>
    <w:rsid w:val="773B25F8"/>
    <w:rsid w:val="773B48CE"/>
    <w:rsid w:val="773D0C62"/>
    <w:rsid w:val="773D6230"/>
    <w:rsid w:val="7743414C"/>
    <w:rsid w:val="774551B5"/>
    <w:rsid w:val="774E40CF"/>
    <w:rsid w:val="77523DCF"/>
    <w:rsid w:val="77606B3D"/>
    <w:rsid w:val="776870B9"/>
    <w:rsid w:val="776967FB"/>
    <w:rsid w:val="776D4583"/>
    <w:rsid w:val="7776540C"/>
    <w:rsid w:val="777A37E1"/>
    <w:rsid w:val="778100C2"/>
    <w:rsid w:val="77855EB4"/>
    <w:rsid w:val="779D35D8"/>
    <w:rsid w:val="77AA135C"/>
    <w:rsid w:val="77AB7E27"/>
    <w:rsid w:val="77AC14DA"/>
    <w:rsid w:val="77AD64CA"/>
    <w:rsid w:val="77AF3504"/>
    <w:rsid w:val="77B36F7C"/>
    <w:rsid w:val="77C926F0"/>
    <w:rsid w:val="77CA0362"/>
    <w:rsid w:val="77D17A81"/>
    <w:rsid w:val="77E40C30"/>
    <w:rsid w:val="77FC1B84"/>
    <w:rsid w:val="780752E6"/>
    <w:rsid w:val="780B6CC7"/>
    <w:rsid w:val="78153F77"/>
    <w:rsid w:val="78185315"/>
    <w:rsid w:val="781C67FA"/>
    <w:rsid w:val="782378AE"/>
    <w:rsid w:val="78296DAC"/>
    <w:rsid w:val="783267CC"/>
    <w:rsid w:val="78353805"/>
    <w:rsid w:val="783E418B"/>
    <w:rsid w:val="783F1754"/>
    <w:rsid w:val="784E3C01"/>
    <w:rsid w:val="78570849"/>
    <w:rsid w:val="78575D9F"/>
    <w:rsid w:val="78600977"/>
    <w:rsid w:val="78617AF2"/>
    <w:rsid w:val="78626899"/>
    <w:rsid w:val="786421F2"/>
    <w:rsid w:val="786616B3"/>
    <w:rsid w:val="786E5D08"/>
    <w:rsid w:val="78812F7C"/>
    <w:rsid w:val="78975C7D"/>
    <w:rsid w:val="78A51B95"/>
    <w:rsid w:val="78AA6975"/>
    <w:rsid w:val="78B23198"/>
    <w:rsid w:val="78C15B1C"/>
    <w:rsid w:val="78C359B3"/>
    <w:rsid w:val="78C9190A"/>
    <w:rsid w:val="78C97D4F"/>
    <w:rsid w:val="78CC0493"/>
    <w:rsid w:val="78DB3FCA"/>
    <w:rsid w:val="78EC2D52"/>
    <w:rsid w:val="78F5480C"/>
    <w:rsid w:val="79036E66"/>
    <w:rsid w:val="790945D5"/>
    <w:rsid w:val="790B5E2B"/>
    <w:rsid w:val="790E47EA"/>
    <w:rsid w:val="790E548B"/>
    <w:rsid w:val="79104E2B"/>
    <w:rsid w:val="79135CA0"/>
    <w:rsid w:val="791467F0"/>
    <w:rsid w:val="7915089E"/>
    <w:rsid w:val="791A58CD"/>
    <w:rsid w:val="791F537B"/>
    <w:rsid w:val="79344437"/>
    <w:rsid w:val="79367982"/>
    <w:rsid w:val="793D5C2F"/>
    <w:rsid w:val="793F7F0E"/>
    <w:rsid w:val="794A336F"/>
    <w:rsid w:val="79537099"/>
    <w:rsid w:val="79552D08"/>
    <w:rsid w:val="795E7ED2"/>
    <w:rsid w:val="79672E22"/>
    <w:rsid w:val="79677010"/>
    <w:rsid w:val="796E6578"/>
    <w:rsid w:val="797121AE"/>
    <w:rsid w:val="797E1825"/>
    <w:rsid w:val="79A7288D"/>
    <w:rsid w:val="79AA3C4E"/>
    <w:rsid w:val="79AE312A"/>
    <w:rsid w:val="79B07A23"/>
    <w:rsid w:val="79B3208C"/>
    <w:rsid w:val="79B70130"/>
    <w:rsid w:val="79BD5598"/>
    <w:rsid w:val="79C8453B"/>
    <w:rsid w:val="79CB0706"/>
    <w:rsid w:val="79CB0751"/>
    <w:rsid w:val="79CE66ED"/>
    <w:rsid w:val="79CF6E25"/>
    <w:rsid w:val="79D42664"/>
    <w:rsid w:val="79D51250"/>
    <w:rsid w:val="79DB4236"/>
    <w:rsid w:val="79E66C93"/>
    <w:rsid w:val="79F16E80"/>
    <w:rsid w:val="79F842C2"/>
    <w:rsid w:val="79FA0A29"/>
    <w:rsid w:val="79FC6E04"/>
    <w:rsid w:val="79FE2A4E"/>
    <w:rsid w:val="7A064DE1"/>
    <w:rsid w:val="7A081D42"/>
    <w:rsid w:val="7A0A6E0F"/>
    <w:rsid w:val="7A0A7223"/>
    <w:rsid w:val="7A0C4EA7"/>
    <w:rsid w:val="7A12552F"/>
    <w:rsid w:val="7A1524DD"/>
    <w:rsid w:val="7A1A1772"/>
    <w:rsid w:val="7A1E1DC3"/>
    <w:rsid w:val="7A2751AD"/>
    <w:rsid w:val="7A276994"/>
    <w:rsid w:val="7A345B9A"/>
    <w:rsid w:val="7A3B034D"/>
    <w:rsid w:val="7A3F158B"/>
    <w:rsid w:val="7A4A132A"/>
    <w:rsid w:val="7A535840"/>
    <w:rsid w:val="7A6736BC"/>
    <w:rsid w:val="7A6A7B3B"/>
    <w:rsid w:val="7A721F7E"/>
    <w:rsid w:val="7A746574"/>
    <w:rsid w:val="7A7678E5"/>
    <w:rsid w:val="7A7B24DD"/>
    <w:rsid w:val="7A7D2094"/>
    <w:rsid w:val="7A7F65CA"/>
    <w:rsid w:val="7A867241"/>
    <w:rsid w:val="7A876B11"/>
    <w:rsid w:val="7A88301C"/>
    <w:rsid w:val="7A963A48"/>
    <w:rsid w:val="7A9660A3"/>
    <w:rsid w:val="7A9861CB"/>
    <w:rsid w:val="7A986784"/>
    <w:rsid w:val="7ABB3E82"/>
    <w:rsid w:val="7AC3568E"/>
    <w:rsid w:val="7AD71052"/>
    <w:rsid w:val="7AD9797E"/>
    <w:rsid w:val="7ADE3DB2"/>
    <w:rsid w:val="7AE5682B"/>
    <w:rsid w:val="7AEE60EE"/>
    <w:rsid w:val="7B0E060E"/>
    <w:rsid w:val="7B0F5219"/>
    <w:rsid w:val="7B177A77"/>
    <w:rsid w:val="7B193032"/>
    <w:rsid w:val="7B1B1CF8"/>
    <w:rsid w:val="7B26484C"/>
    <w:rsid w:val="7B2B13FD"/>
    <w:rsid w:val="7B3339FA"/>
    <w:rsid w:val="7B346599"/>
    <w:rsid w:val="7B44094D"/>
    <w:rsid w:val="7B460BFD"/>
    <w:rsid w:val="7B4910BE"/>
    <w:rsid w:val="7B4A7A19"/>
    <w:rsid w:val="7B5D3226"/>
    <w:rsid w:val="7B5E4EEC"/>
    <w:rsid w:val="7B674BD7"/>
    <w:rsid w:val="7B722498"/>
    <w:rsid w:val="7B782690"/>
    <w:rsid w:val="7B7F3966"/>
    <w:rsid w:val="7B80148D"/>
    <w:rsid w:val="7B821ADA"/>
    <w:rsid w:val="7B8F5DA2"/>
    <w:rsid w:val="7B926883"/>
    <w:rsid w:val="7BA4369C"/>
    <w:rsid w:val="7BA71440"/>
    <w:rsid w:val="7BAE696E"/>
    <w:rsid w:val="7BAF3C86"/>
    <w:rsid w:val="7BC23E12"/>
    <w:rsid w:val="7BC92A6F"/>
    <w:rsid w:val="7BD36780"/>
    <w:rsid w:val="7BD4048E"/>
    <w:rsid w:val="7BD968AC"/>
    <w:rsid w:val="7BDE524C"/>
    <w:rsid w:val="7BEA5E74"/>
    <w:rsid w:val="7BF577C1"/>
    <w:rsid w:val="7BF9001B"/>
    <w:rsid w:val="7BFE0389"/>
    <w:rsid w:val="7BFE08FA"/>
    <w:rsid w:val="7C091716"/>
    <w:rsid w:val="7C126AEB"/>
    <w:rsid w:val="7C1F2070"/>
    <w:rsid w:val="7C1F3110"/>
    <w:rsid w:val="7C260105"/>
    <w:rsid w:val="7C2900A2"/>
    <w:rsid w:val="7C295D17"/>
    <w:rsid w:val="7C2A10CD"/>
    <w:rsid w:val="7C2D2AE7"/>
    <w:rsid w:val="7C4A5A50"/>
    <w:rsid w:val="7C4B681D"/>
    <w:rsid w:val="7C4C575E"/>
    <w:rsid w:val="7C632511"/>
    <w:rsid w:val="7C640974"/>
    <w:rsid w:val="7C643EF7"/>
    <w:rsid w:val="7C690B20"/>
    <w:rsid w:val="7C724EAE"/>
    <w:rsid w:val="7C780AD5"/>
    <w:rsid w:val="7C7A14F2"/>
    <w:rsid w:val="7C7E2FFC"/>
    <w:rsid w:val="7C867154"/>
    <w:rsid w:val="7C9427B3"/>
    <w:rsid w:val="7C9E5A77"/>
    <w:rsid w:val="7CA2570E"/>
    <w:rsid w:val="7CAD3D08"/>
    <w:rsid w:val="7CB74F4A"/>
    <w:rsid w:val="7CB80138"/>
    <w:rsid w:val="7CB838AF"/>
    <w:rsid w:val="7CBE6F50"/>
    <w:rsid w:val="7CC639C6"/>
    <w:rsid w:val="7CC96839"/>
    <w:rsid w:val="7CCC3CFE"/>
    <w:rsid w:val="7CCD12D3"/>
    <w:rsid w:val="7CD40480"/>
    <w:rsid w:val="7CD505D1"/>
    <w:rsid w:val="7CD6692A"/>
    <w:rsid w:val="7CE215AC"/>
    <w:rsid w:val="7CE25B4A"/>
    <w:rsid w:val="7CE3422B"/>
    <w:rsid w:val="7CE5443B"/>
    <w:rsid w:val="7CE76B7F"/>
    <w:rsid w:val="7CEA2559"/>
    <w:rsid w:val="7CED09D9"/>
    <w:rsid w:val="7CF87323"/>
    <w:rsid w:val="7CFF2442"/>
    <w:rsid w:val="7D0115A5"/>
    <w:rsid w:val="7D017D9A"/>
    <w:rsid w:val="7D080205"/>
    <w:rsid w:val="7D0A432A"/>
    <w:rsid w:val="7D0F2DDE"/>
    <w:rsid w:val="7D144B3C"/>
    <w:rsid w:val="7D167BA2"/>
    <w:rsid w:val="7D177687"/>
    <w:rsid w:val="7D1846AF"/>
    <w:rsid w:val="7D1F5883"/>
    <w:rsid w:val="7D242066"/>
    <w:rsid w:val="7D282F0F"/>
    <w:rsid w:val="7D286550"/>
    <w:rsid w:val="7D3140B5"/>
    <w:rsid w:val="7D3874D2"/>
    <w:rsid w:val="7D4241A1"/>
    <w:rsid w:val="7D452B7F"/>
    <w:rsid w:val="7D526E71"/>
    <w:rsid w:val="7D532432"/>
    <w:rsid w:val="7D5A5BFC"/>
    <w:rsid w:val="7D612C40"/>
    <w:rsid w:val="7D6518EB"/>
    <w:rsid w:val="7D6B77B5"/>
    <w:rsid w:val="7D7371E1"/>
    <w:rsid w:val="7D74008A"/>
    <w:rsid w:val="7D7862CF"/>
    <w:rsid w:val="7D7A4E9D"/>
    <w:rsid w:val="7D7F0E79"/>
    <w:rsid w:val="7D851CFF"/>
    <w:rsid w:val="7DA65B7D"/>
    <w:rsid w:val="7DA72A35"/>
    <w:rsid w:val="7DA86112"/>
    <w:rsid w:val="7DAE3829"/>
    <w:rsid w:val="7DB00509"/>
    <w:rsid w:val="7DB9268E"/>
    <w:rsid w:val="7DBF3388"/>
    <w:rsid w:val="7DC71DAD"/>
    <w:rsid w:val="7DC8040C"/>
    <w:rsid w:val="7DC85A3E"/>
    <w:rsid w:val="7DCE15A0"/>
    <w:rsid w:val="7DD03D33"/>
    <w:rsid w:val="7DD410E6"/>
    <w:rsid w:val="7DD603AD"/>
    <w:rsid w:val="7DD82F1A"/>
    <w:rsid w:val="7DDA1110"/>
    <w:rsid w:val="7DE020DC"/>
    <w:rsid w:val="7DE449CE"/>
    <w:rsid w:val="7DEC05A8"/>
    <w:rsid w:val="7DED1348"/>
    <w:rsid w:val="7DEE71DF"/>
    <w:rsid w:val="7DF66186"/>
    <w:rsid w:val="7E007B1A"/>
    <w:rsid w:val="7E0A5EA4"/>
    <w:rsid w:val="7E0A72D5"/>
    <w:rsid w:val="7E0B3C08"/>
    <w:rsid w:val="7E1749F2"/>
    <w:rsid w:val="7E1C2B95"/>
    <w:rsid w:val="7E1E3CF4"/>
    <w:rsid w:val="7E212526"/>
    <w:rsid w:val="7E262B03"/>
    <w:rsid w:val="7E2E765A"/>
    <w:rsid w:val="7E324C10"/>
    <w:rsid w:val="7E3B7336"/>
    <w:rsid w:val="7E3D35D7"/>
    <w:rsid w:val="7E466A84"/>
    <w:rsid w:val="7E472FFE"/>
    <w:rsid w:val="7E4A6379"/>
    <w:rsid w:val="7E4C628B"/>
    <w:rsid w:val="7E5248E3"/>
    <w:rsid w:val="7E66305F"/>
    <w:rsid w:val="7E6854DB"/>
    <w:rsid w:val="7E6C43B3"/>
    <w:rsid w:val="7E77762F"/>
    <w:rsid w:val="7E793E63"/>
    <w:rsid w:val="7E7B1715"/>
    <w:rsid w:val="7E8031F2"/>
    <w:rsid w:val="7E860496"/>
    <w:rsid w:val="7E956D81"/>
    <w:rsid w:val="7E9611E7"/>
    <w:rsid w:val="7E9963F8"/>
    <w:rsid w:val="7E9D0633"/>
    <w:rsid w:val="7EA82B9C"/>
    <w:rsid w:val="7EB13A3E"/>
    <w:rsid w:val="7EB16AB6"/>
    <w:rsid w:val="7EBD651F"/>
    <w:rsid w:val="7EC07C28"/>
    <w:rsid w:val="7ECB3BBC"/>
    <w:rsid w:val="7ED83896"/>
    <w:rsid w:val="7EDC2729"/>
    <w:rsid w:val="7EDD5F44"/>
    <w:rsid w:val="7EE15DD1"/>
    <w:rsid w:val="7EEB46E8"/>
    <w:rsid w:val="7EEE3759"/>
    <w:rsid w:val="7EF04016"/>
    <w:rsid w:val="7EF94F98"/>
    <w:rsid w:val="7EFB200E"/>
    <w:rsid w:val="7EFF0830"/>
    <w:rsid w:val="7EFF41BF"/>
    <w:rsid w:val="7F0126E4"/>
    <w:rsid w:val="7F013802"/>
    <w:rsid w:val="7F051449"/>
    <w:rsid w:val="7F1A1324"/>
    <w:rsid w:val="7F1A4AEF"/>
    <w:rsid w:val="7F271E5F"/>
    <w:rsid w:val="7F29623C"/>
    <w:rsid w:val="7F2D4C74"/>
    <w:rsid w:val="7F341EAD"/>
    <w:rsid w:val="7F350A03"/>
    <w:rsid w:val="7F375587"/>
    <w:rsid w:val="7F3B2B2F"/>
    <w:rsid w:val="7F406D66"/>
    <w:rsid w:val="7F421AF0"/>
    <w:rsid w:val="7F516AFB"/>
    <w:rsid w:val="7F585C16"/>
    <w:rsid w:val="7F5B38C5"/>
    <w:rsid w:val="7F6566E6"/>
    <w:rsid w:val="7F6A7C64"/>
    <w:rsid w:val="7F6B0BA4"/>
    <w:rsid w:val="7F6E0CE1"/>
    <w:rsid w:val="7F6F6E86"/>
    <w:rsid w:val="7F8A3738"/>
    <w:rsid w:val="7F8B3191"/>
    <w:rsid w:val="7F8E4655"/>
    <w:rsid w:val="7F8E6809"/>
    <w:rsid w:val="7F987985"/>
    <w:rsid w:val="7F9C63C5"/>
    <w:rsid w:val="7F9E0C2E"/>
    <w:rsid w:val="7FAF35C9"/>
    <w:rsid w:val="7FAF535A"/>
    <w:rsid w:val="7FB620B9"/>
    <w:rsid w:val="7FBE4780"/>
    <w:rsid w:val="7FC07CDA"/>
    <w:rsid w:val="7FC33EC6"/>
    <w:rsid w:val="7FD30895"/>
    <w:rsid w:val="7FD52EF4"/>
    <w:rsid w:val="7FE932BA"/>
    <w:rsid w:val="7FEC34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tLeast"/>
      <w:outlineLvl w:val="0"/>
    </w:pPr>
    <w:rPr>
      <w:rFonts w:ascii="Calibri" w:hAnsi="Calibri" w:cs="Times New Roman"/>
      <w:b/>
      <w:bCs/>
      <w:kern w:val="44"/>
      <w:sz w:val="44"/>
      <w:szCs w:val="44"/>
    </w:rPr>
  </w:style>
  <w:style w:type="character" w:default="1" w:styleId="8">
    <w:name w:val="Default Paragraph Font"/>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7">
    <w:name w:val="Table Grid"/>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autoRedefine/>
    <w:qFormat/>
    <w:uiPriority w:val="0"/>
    <w:rPr>
      <w:b/>
      <w:sz w:val="21"/>
      <w:szCs w:val="21"/>
    </w:rPr>
  </w:style>
  <w:style w:type="character" w:styleId="10">
    <w:name w:val="FollowedHyperlink"/>
    <w:basedOn w:val="8"/>
    <w:qFormat/>
    <w:uiPriority w:val="0"/>
    <w:rPr>
      <w:color w:val="4D7AD8"/>
      <w:u w:val="none"/>
    </w:rPr>
  </w:style>
  <w:style w:type="character" w:styleId="11">
    <w:name w:val="HTML Definition"/>
    <w:basedOn w:val="8"/>
    <w:autoRedefine/>
    <w:qFormat/>
    <w:uiPriority w:val="0"/>
    <w:rPr>
      <w:i/>
      <w:bdr w:val="single" w:color="D9D9D9" w:sz="6" w:space="0"/>
      <w:shd w:val="clear" w:fill="FFFFFF"/>
    </w:rPr>
  </w:style>
  <w:style w:type="character" w:styleId="12">
    <w:name w:val="Hyperlink"/>
    <w:basedOn w:val="8"/>
    <w:autoRedefine/>
    <w:qFormat/>
    <w:uiPriority w:val="0"/>
    <w:rPr>
      <w:color w:val="0000FF"/>
      <w:u w:val="single"/>
    </w:rPr>
  </w:style>
  <w:style w:type="character" w:styleId="13">
    <w:name w:val="HTML Code"/>
    <w:basedOn w:val="8"/>
    <w:autoRedefine/>
    <w:qFormat/>
    <w:uiPriority w:val="0"/>
    <w:rPr>
      <w:rFonts w:hint="default" w:ascii="Consolas" w:hAnsi="Consolas" w:eastAsia="Consolas" w:cs="Consolas"/>
      <w:sz w:val="21"/>
      <w:szCs w:val="21"/>
    </w:rPr>
  </w:style>
  <w:style w:type="character" w:styleId="14">
    <w:name w:val="HTML Keyboard"/>
    <w:basedOn w:val="8"/>
    <w:autoRedefine/>
    <w:qFormat/>
    <w:uiPriority w:val="0"/>
    <w:rPr>
      <w:rFonts w:ascii="Consolas" w:hAnsi="Consolas" w:eastAsia="Consolas" w:cs="Consolas"/>
      <w:color w:val="666666"/>
      <w:sz w:val="21"/>
      <w:szCs w:val="21"/>
    </w:rPr>
  </w:style>
  <w:style w:type="character" w:styleId="15">
    <w:name w:val="HTML Sample"/>
    <w:basedOn w:val="8"/>
    <w:qFormat/>
    <w:uiPriority w:val="0"/>
    <w:rPr>
      <w:rFonts w:hint="default" w:ascii="Consolas" w:hAnsi="Consolas" w:eastAsia="Consolas" w:cs="Consolas"/>
      <w:sz w:val="21"/>
      <w:szCs w:val="21"/>
    </w:rPr>
  </w:style>
  <w:style w:type="character" w:customStyle="1" w:styleId="16">
    <w:name w:val="first-child2"/>
    <w:basedOn w:val="8"/>
    <w:autoRedefine/>
    <w:qFormat/>
    <w:uiPriority w:val="0"/>
    <w:rPr>
      <w:sz w:val="13"/>
      <w:szCs w:val="13"/>
    </w:rPr>
  </w:style>
  <w:style w:type="character" w:customStyle="1" w:styleId="17">
    <w:name w:val="ant-select-tree-switcher"/>
    <w:basedOn w:val="8"/>
    <w:autoRedefine/>
    <w:qFormat/>
    <w:uiPriority w:val="0"/>
  </w:style>
  <w:style w:type="character" w:customStyle="1" w:styleId="18">
    <w:name w:val="ant-tree-iconele"/>
    <w:basedOn w:val="8"/>
    <w:autoRedefine/>
    <w:qFormat/>
    <w:uiPriority w:val="0"/>
  </w:style>
  <w:style w:type="character" w:customStyle="1" w:styleId="19">
    <w:name w:val="ant-radio+*"/>
    <w:basedOn w:val="8"/>
    <w:autoRedefine/>
    <w:qFormat/>
    <w:uiPriority w:val="0"/>
  </w:style>
  <w:style w:type="character" w:customStyle="1" w:styleId="20">
    <w:name w:val="selected4"/>
    <w:basedOn w:val="8"/>
    <w:autoRedefine/>
    <w:qFormat/>
    <w:uiPriority w:val="0"/>
  </w:style>
  <w:style w:type="character" w:customStyle="1" w:styleId="21">
    <w:name w:val="selected5"/>
    <w:basedOn w:val="8"/>
    <w:autoRedefine/>
    <w:qFormat/>
    <w:uiPriority w:val="0"/>
  </w:style>
  <w:style w:type="character" w:customStyle="1" w:styleId="22">
    <w:name w:val="selected6"/>
    <w:basedOn w:val="8"/>
    <w:autoRedefine/>
    <w:qFormat/>
    <w:uiPriority w:val="0"/>
  </w:style>
  <w:style w:type="character" w:customStyle="1" w:styleId="23">
    <w:name w:val="button"/>
    <w:basedOn w:val="8"/>
    <w:qFormat/>
    <w:uiPriority w:val="0"/>
  </w:style>
  <w:style w:type="character" w:customStyle="1" w:styleId="24">
    <w:name w:val="hover19"/>
    <w:basedOn w:val="8"/>
    <w:autoRedefine/>
    <w:qFormat/>
    <w:uiPriority w:val="0"/>
    <w:rPr>
      <w:color w:val="009DFF"/>
    </w:rPr>
  </w:style>
  <w:style w:type="character" w:customStyle="1" w:styleId="25">
    <w:name w:val="hover20"/>
    <w:basedOn w:val="8"/>
    <w:autoRedefine/>
    <w:qFormat/>
    <w:uiPriority w:val="0"/>
    <w:rPr>
      <w:color w:val="009DFF"/>
    </w:rPr>
  </w:style>
  <w:style w:type="character" w:customStyle="1" w:styleId="26">
    <w:name w:val="ant-tree-switcher"/>
    <w:basedOn w:val="8"/>
    <w:autoRedefine/>
    <w:qFormat/>
    <w:uiPriority w:val="0"/>
  </w:style>
  <w:style w:type="character" w:customStyle="1" w:styleId="27">
    <w:name w:val="ant-select-tree-checkbox2"/>
    <w:basedOn w:val="8"/>
    <w:autoRedefine/>
    <w:qFormat/>
    <w:uiPriority w:val="0"/>
  </w:style>
  <w:style w:type="character" w:customStyle="1" w:styleId="28">
    <w:name w:val="ant-select-tree-iconele"/>
    <w:basedOn w:val="8"/>
    <w:qFormat/>
    <w:uiPriority w:val="0"/>
  </w:style>
  <w:style w:type="character" w:customStyle="1" w:styleId="29">
    <w:name w:val="ant-tree-checkbox6"/>
    <w:basedOn w:val="8"/>
    <w:autoRedefine/>
    <w:qFormat/>
    <w:uiPriority w:val="0"/>
  </w:style>
  <w:style w:type="character" w:customStyle="1" w:styleId="30">
    <w:name w:val="wea-thumbnails-doc-content-subtitle"/>
    <w:basedOn w:val="8"/>
    <w:autoRedefine/>
    <w:qFormat/>
    <w:uiPriority w:val="0"/>
    <w:rPr>
      <w:color w:val="9A9A9A"/>
    </w:rPr>
  </w:style>
  <w:style w:type="character" w:customStyle="1" w:styleId="31">
    <w:name w:val="ht_nestinglevel"/>
    <w:basedOn w:val="8"/>
    <w:autoRedefine/>
    <w:qFormat/>
    <w:uiPriority w:val="0"/>
  </w:style>
  <w:style w:type="character" w:customStyle="1" w:styleId="32">
    <w:name w:val="ht_nestinglevel_empty"/>
    <w:basedOn w:val="8"/>
    <w:autoRedefine/>
    <w:qFormat/>
    <w:uiPriority w:val="0"/>
  </w:style>
  <w:style w:type="character" w:customStyle="1" w:styleId="33">
    <w:name w:val="colheader"/>
    <w:basedOn w:val="8"/>
    <w:autoRedefine/>
    <w:qFormat/>
    <w:uiPriority w:val="0"/>
  </w:style>
  <w:style w:type="character" w:customStyle="1" w:styleId="34">
    <w:name w:val="ant-tree-checkbox"/>
    <w:basedOn w:val="8"/>
    <w:autoRedefine/>
    <w:qFormat/>
    <w:uiPriority w:val="0"/>
  </w:style>
  <w:style w:type="character" w:customStyle="1" w:styleId="35">
    <w:name w:val="first-child"/>
    <w:basedOn w:val="8"/>
    <w:autoRedefine/>
    <w:qFormat/>
    <w:uiPriority w:val="0"/>
    <w:rPr>
      <w:sz w:val="13"/>
      <w:szCs w:val="13"/>
    </w:rPr>
  </w:style>
  <w:style w:type="character" w:customStyle="1" w:styleId="36">
    <w:name w:val="ant-tree-switcher6"/>
    <w:basedOn w:val="8"/>
    <w:autoRedefine/>
    <w:qFormat/>
    <w:uiPriority w:val="0"/>
  </w:style>
  <w:style w:type="character" w:customStyle="1" w:styleId="37">
    <w:name w:val="selected"/>
    <w:basedOn w:val="8"/>
    <w:autoRedefine/>
    <w:qFormat/>
    <w:uiPriority w:val="0"/>
  </w:style>
  <w:style w:type="character" w:customStyle="1" w:styleId="38">
    <w:name w:val="selected1"/>
    <w:basedOn w:val="8"/>
    <w:autoRedefine/>
    <w:qFormat/>
    <w:uiPriority w:val="0"/>
  </w:style>
  <w:style w:type="character" w:customStyle="1" w:styleId="39">
    <w:name w:val="selected2"/>
    <w:basedOn w:val="8"/>
    <w:autoRedefine/>
    <w:qFormat/>
    <w:uiPriority w:val="0"/>
  </w:style>
  <w:style w:type="character" w:customStyle="1" w:styleId="40">
    <w:name w:val="ant-select-tree-checkbox"/>
    <w:basedOn w:val="8"/>
    <w:autoRedefine/>
    <w:qFormat/>
    <w:uiPriority w:val="0"/>
  </w:style>
  <w:style w:type="character" w:customStyle="1" w:styleId="41">
    <w:name w:val="ant-tree-switcher5"/>
    <w:basedOn w:val="8"/>
    <w:autoRedefine/>
    <w:qFormat/>
    <w:uiPriority w:val="0"/>
  </w:style>
  <w:style w:type="character" w:customStyle="1" w:styleId="42">
    <w:name w:val="selected7"/>
    <w:basedOn w:val="8"/>
    <w:autoRedefine/>
    <w:qFormat/>
    <w:uiPriority w:val="0"/>
  </w:style>
  <w:style w:type="character" w:customStyle="1" w:styleId="43">
    <w:name w:val="selected11"/>
    <w:basedOn w:val="8"/>
    <w:autoRedefine/>
    <w:qFormat/>
    <w:uiPriority w:val="0"/>
  </w:style>
  <w:style w:type="character" w:customStyle="1" w:styleId="44">
    <w:name w:val="selected12"/>
    <w:basedOn w:val="8"/>
    <w:autoRedefine/>
    <w:qFormat/>
    <w:uiPriority w:val="0"/>
  </w:style>
  <w:style w:type="character" w:customStyle="1" w:styleId="45">
    <w:name w:val="selected13"/>
    <w:basedOn w:val="8"/>
    <w:qFormat/>
    <w:uiPriority w:val="0"/>
  </w:style>
  <w:style w:type="character" w:customStyle="1" w:styleId="46">
    <w:name w:val="selected8"/>
    <w:basedOn w:val="8"/>
    <w:autoRedefine/>
    <w:qFormat/>
    <w:uiPriority w:val="0"/>
  </w:style>
  <w:style w:type="character" w:customStyle="1" w:styleId="47">
    <w:name w:val="selected9"/>
    <w:basedOn w:val="8"/>
    <w:autoRedefine/>
    <w:qFormat/>
    <w:uiPriority w:val="0"/>
  </w:style>
  <w:style w:type="character" w:customStyle="1" w:styleId="48">
    <w:name w:val="selected10"/>
    <w:basedOn w:val="8"/>
    <w:autoRedefine/>
    <w:qFormat/>
    <w:uiPriority w:val="0"/>
  </w:style>
  <w:style w:type="character" w:customStyle="1" w:styleId="49">
    <w:name w:val="hover18"/>
    <w:basedOn w:val="8"/>
    <w:autoRedefine/>
    <w:qFormat/>
    <w:uiPriority w:val="0"/>
    <w:rPr>
      <w:color w:val="009DFF"/>
    </w:rPr>
  </w:style>
  <w:style w:type="character" w:customStyle="1" w:styleId="50">
    <w:name w:val="ant-tree-checkbox5"/>
    <w:basedOn w:val="8"/>
    <w:autoRedefine/>
    <w:qFormat/>
    <w:uiPriority w:val="0"/>
  </w:style>
  <w:style w:type="character" w:customStyle="1" w:styleId="51">
    <w:name w:val="ant-tree-switcher4"/>
    <w:basedOn w:val="8"/>
    <w:autoRedefine/>
    <w:qFormat/>
    <w:uiPriority w:val="0"/>
  </w:style>
  <w:style w:type="character" w:customStyle="1" w:styleId="52">
    <w:name w:val="hover"/>
    <w:basedOn w:val="8"/>
    <w:autoRedefine/>
    <w:qFormat/>
    <w:uiPriority w:val="0"/>
    <w:rPr>
      <w:color w:val="009DFF"/>
    </w:rPr>
  </w:style>
  <w:style w:type="character" w:customStyle="1" w:styleId="53">
    <w:name w:val="hover1"/>
    <w:basedOn w:val="8"/>
    <w:autoRedefine/>
    <w:qFormat/>
    <w:uiPriority w:val="0"/>
    <w:rPr>
      <w:color w:val="009DFF"/>
    </w:rPr>
  </w:style>
  <w:style w:type="character" w:customStyle="1" w:styleId="54">
    <w:name w:val="hover15"/>
    <w:basedOn w:val="8"/>
    <w:autoRedefine/>
    <w:qFormat/>
    <w:uiPriority w:val="0"/>
    <w:rPr>
      <w:color w:val="009DFF"/>
    </w:rPr>
  </w:style>
  <w:style w:type="character" w:customStyle="1" w:styleId="55">
    <w:name w:val="hover16"/>
    <w:basedOn w:val="8"/>
    <w:autoRedefine/>
    <w:qFormat/>
    <w:uiPriority w:val="0"/>
    <w:rPr>
      <w:color w:val="009DFF"/>
    </w:rPr>
  </w:style>
  <w:style w:type="character" w:customStyle="1" w:styleId="56">
    <w:name w:val="ant-tree-checkbox4"/>
    <w:basedOn w:val="8"/>
    <w:autoRedefine/>
    <w:qFormat/>
    <w:uiPriority w:val="0"/>
  </w:style>
  <w:style w:type="character" w:customStyle="1" w:styleId="57">
    <w:name w:val="hover17"/>
    <w:basedOn w:val="8"/>
    <w:autoRedefine/>
    <w:qFormat/>
    <w:uiPriority w:val="0"/>
    <w:rPr>
      <w:color w:val="009DFF"/>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13</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2023-12-15T03:58:00Z</dcterms:created>
  <dc:creator>admin</dc:creator>
  <cp:lastModifiedBy>Admin</cp:lastModifiedBy>
  <cp:lastPrinted>2024-06-14T07:05:00Z</cp:lastPrinted>
  <dcterms:modified xsi:type="dcterms:W3CDTF">2024-06-16T10:26:11Z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2AFE29251F2D47119EA111B2B617C6AF_13</vt:lpwstr>
  </property>
</Properties>
</file>