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12</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default"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25</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8</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default" w:ascii="Times New Roman" w:hAnsi="Times New Roman" w:eastAsia="方正楷体_GBK" w:cs="Times New Roman"/>
          <w:b w:val="0"/>
          <w:bCs/>
          <w:color w:val="000000"/>
          <w:kern w:val="36"/>
          <w:sz w:val="32"/>
          <w:szCs w:val="32"/>
          <w:highlight w:val="none"/>
          <w:lang w:val="en-US"/>
        </w:rPr>
        <w:t>3</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22</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全球市场资讯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3月15日（周五）</w:t>
      </w:r>
      <w:r>
        <w:rPr>
          <w:rFonts w:hint="eastAsia" w:ascii="Times New Roman" w:hAnsi="Times New Roman" w:eastAsia="方正楷体_GBK" w:cs="Times New Roman"/>
          <w:b/>
          <w:bCs w:val="0"/>
          <w:color w:val="auto"/>
          <w:spacing w:val="0"/>
          <w:kern w:val="36"/>
          <w:sz w:val="30"/>
          <w:szCs w:val="30"/>
          <w:lang w:val="en-US" w:eastAsia="zh-CN"/>
        </w:rPr>
        <w:t>美国</w:t>
      </w:r>
      <w:r>
        <w:rPr>
          <w:rFonts w:hint="default" w:ascii="Times New Roman" w:hAnsi="Times New Roman" w:eastAsia="方正楷体_GBK" w:cs="Times New Roman"/>
          <w:b/>
          <w:bCs w:val="0"/>
          <w:color w:val="auto"/>
          <w:spacing w:val="0"/>
          <w:kern w:val="36"/>
          <w:sz w:val="30"/>
          <w:szCs w:val="30"/>
          <w:lang w:val="en-US" w:eastAsia="zh-CN"/>
        </w:rPr>
        <w:t>2</w:t>
      </w:r>
      <w:r>
        <w:rPr>
          <w:rFonts w:hint="eastAsia" w:ascii="Times New Roman" w:hAnsi="Times New Roman" w:eastAsia="方正楷体_GBK" w:cs="Times New Roman"/>
          <w:b/>
          <w:bCs w:val="0"/>
          <w:color w:val="auto"/>
          <w:spacing w:val="0"/>
          <w:kern w:val="36"/>
          <w:sz w:val="30"/>
          <w:szCs w:val="30"/>
          <w:lang w:val="en-US" w:eastAsia="zh-CN"/>
        </w:rPr>
        <w:t>月</w:t>
      </w:r>
      <w:r>
        <w:rPr>
          <w:rFonts w:hint="default" w:ascii="Times New Roman" w:hAnsi="Times New Roman" w:eastAsia="方正楷体_GBK" w:cs="Times New Roman"/>
          <w:b/>
          <w:bCs w:val="0"/>
          <w:color w:val="auto"/>
          <w:spacing w:val="0"/>
          <w:kern w:val="36"/>
          <w:sz w:val="30"/>
          <w:szCs w:val="30"/>
          <w:lang w:val="en-US" w:eastAsia="zh-CN"/>
        </w:rPr>
        <w:t>PPI</w:t>
      </w:r>
      <w:r>
        <w:rPr>
          <w:rFonts w:hint="eastAsia" w:ascii="Times New Roman" w:hAnsi="Times New Roman" w:eastAsia="方正楷体_GBK" w:cs="Times New Roman"/>
          <w:b/>
          <w:bCs w:val="0"/>
          <w:color w:val="auto"/>
          <w:spacing w:val="0"/>
          <w:kern w:val="36"/>
          <w:sz w:val="30"/>
          <w:szCs w:val="30"/>
          <w:lang w:val="en-US" w:eastAsia="zh-CN"/>
        </w:rPr>
        <w:t xml:space="preserve">数据公布，显示通胀压力反弹 </w:t>
      </w:r>
      <w:r>
        <w:rPr>
          <w:rFonts w:hint="default" w:ascii="Times New Roman" w:hAnsi="Times New Roman" w:eastAsia="方正楷体_GBK" w:cs="Times New Roman"/>
          <w:b/>
          <w:bCs w:val="0"/>
          <w:color w:val="auto"/>
          <w:spacing w:val="0"/>
          <w:kern w:val="36"/>
          <w:sz w:val="30"/>
          <w:szCs w:val="30"/>
          <w:lang w:val="en-US" w:eastAsia="zh-CN"/>
        </w:rPr>
        <w:t>/ 01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jc w:val="left"/>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16</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六</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消费者情绪不乐观，下周点阵图被关注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17</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日</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法国通胀高于预期，欧央行决策难度加大</w:t>
      </w:r>
      <w:r>
        <w:rPr>
          <w:rFonts w:hint="default" w:ascii="Times New Roman" w:hAnsi="Times New Roman" w:eastAsia="方正楷体_GBK" w:cs="Times New Roman"/>
          <w:b/>
          <w:bCs w:val="0"/>
          <w:color w:val="auto"/>
          <w:spacing w:val="-23"/>
          <w:kern w:val="36"/>
          <w:sz w:val="30"/>
          <w:szCs w:val="30"/>
          <w:lang w:val="en-US" w:eastAsia="zh-CN"/>
        </w:rPr>
        <w:t xml:space="preserve">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3</w:t>
      </w:r>
    </w:p>
    <w:p>
      <w:pPr>
        <w:keepNext w:val="0"/>
        <w:keepLines w:val="0"/>
        <w:pageBreakBefore w:val="0"/>
        <w:kinsoku/>
        <w:wordWrap/>
        <w:overflowPunct/>
        <w:topLinePunct w:val="0"/>
        <w:autoSpaceDE/>
        <w:autoSpaceDN/>
        <w:bidi w:val="0"/>
        <w:adjustRightInd/>
        <w:snapToGrid/>
        <w:ind w:firstLine="568" w:firstLineChars="200"/>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18日</w:t>
      </w:r>
      <w:r>
        <w:rPr>
          <w:rFonts w:hint="default" w:ascii="Times New Roman" w:hAnsi="Times New Roman" w:eastAsia="方正楷体_GBK" w:cs="Times New Roman"/>
          <w:b/>
          <w:bCs w:val="0"/>
          <w:color w:val="auto"/>
          <w:spacing w:val="0"/>
          <w:kern w:val="36"/>
          <w:sz w:val="30"/>
          <w:szCs w:val="30"/>
          <w:lang w:val="en-US" w:eastAsia="zh-CN"/>
        </w:rPr>
        <w:t>（周</w:t>
      </w:r>
      <w:r>
        <w:rPr>
          <w:rFonts w:hint="eastAsia" w:ascii="Times New Roman" w:hAnsi="Times New Roman" w:eastAsia="方正楷体_GBK" w:cs="Times New Roman"/>
          <w:b/>
          <w:bCs w:val="0"/>
          <w:color w:val="auto"/>
          <w:spacing w:val="0"/>
          <w:kern w:val="36"/>
          <w:sz w:val="30"/>
          <w:szCs w:val="30"/>
          <w:lang w:val="en-US" w:eastAsia="zh-CN"/>
        </w:rPr>
        <w:t>一</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埃及汇率暴跌陷入债务危机，欧盟承诺相助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4</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19</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二</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日本结束负利率政策，密切关注日元走势 </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w:t>
      </w:r>
      <w:r>
        <w:rPr>
          <w:rFonts w:hint="default" w:ascii="Times New Roman" w:hAnsi="Times New Roman" w:eastAsia="方正楷体_GBK" w:cs="Times New Roman"/>
          <w:b/>
          <w:bCs w:val="0"/>
          <w:color w:val="auto"/>
          <w:spacing w:val="0"/>
          <w:kern w:val="36"/>
          <w:sz w:val="30"/>
          <w:szCs w:val="30"/>
          <w:lang w:val="en-US" w:eastAsia="zh-CN"/>
        </w:rPr>
        <w:t>0</w:t>
      </w:r>
      <w:r>
        <w:rPr>
          <w:rFonts w:hint="eastAsia" w:ascii="Times New Roman" w:hAnsi="Times New Roman" w:eastAsia="方正楷体_GBK" w:cs="Times New Roman"/>
          <w:b/>
          <w:bCs w:val="0"/>
          <w:color w:val="auto"/>
          <w:spacing w:val="0"/>
          <w:kern w:val="36"/>
          <w:sz w:val="30"/>
          <w:szCs w:val="30"/>
          <w:lang w:val="en-US" w:eastAsia="zh-CN"/>
        </w:rPr>
        <w:t>5</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 xml:space="preserve">20日（周三）美国1月资本流入减少，英国2月通胀持续，德国生产依旧疲弱 </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w:t>
      </w:r>
      <w:r>
        <w:rPr>
          <w:rFonts w:hint="default" w:ascii="Times New Roman" w:hAnsi="Times New Roman" w:eastAsia="方正楷体_GBK" w:cs="Times New Roman"/>
          <w:b/>
          <w:bCs w:val="0"/>
          <w:color w:val="auto"/>
          <w:spacing w:val="0"/>
          <w:kern w:val="36"/>
          <w:sz w:val="30"/>
          <w:szCs w:val="30"/>
          <w:lang w:val="en-US" w:eastAsia="zh-CN"/>
        </w:rPr>
        <w:t>0</w:t>
      </w:r>
      <w:r>
        <w:rPr>
          <w:rFonts w:hint="eastAsia" w:ascii="Times New Roman" w:hAnsi="Times New Roman" w:eastAsia="方正楷体_GBK" w:cs="Times New Roman"/>
          <w:b/>
          <w:bCs w:val="0"/>
          <w:color w:val="auto"/>
          <w:spacing w:val="0"/>
          <w:kern w:val="36"/>
          <w:sz w:val="30"/>
          <w:szCs w:val="30"/>
          <w:lang w:val="en-US" w:eastAsia="zh-CN"/>
        </w:rPr>
        <w:t>6</w:t>
      </w:r>
    </w:p>
    <w:p>
      <w:pPr>
        <w:keepNext w:val="0"/>
        <w:keepLines w:val="0"/>
        <w:pageBreakBefore w:val="0"/>
        <w:widowControl w:val="0"/>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 xml:space="preserve">21日（周四） FOMC维持利率水平不变，美国股市创下新    高 </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w:t>
      </w:r>
      <w:r>
        <w:rPr>
          <w:rFonts w:hint="default" w:ascii="Times New Roman" w:hAnsi="Times New Roman" w:eastAsia="方正楷体_GBK" w:cs="Times New Roman"/>
          <w:b/>
          <w:bCs w:val="0"/>
          <w:color w:val="auto"/>
          <w:spacing w:val="0"/>
          <w:kern w:val="36"/>
          <w:sz w:val="30"/>
          <w:szCs w:val="30"/>
          <w:lang w:val="en-US" w:eastAsia="zh-CN"/>
        </w:rPr>
        <w:t>0</w:t>
      </w:r>
      <w:r>
        <w:rPr>
          <w:rFonts w:hint="eastAsia" w:ascii="Times New Roman" w:hAnsi="Times New Roman" w:eastAsia="方正楷体_GBK" w:cs="Times New Roman"/>
          <w:b/>
          <w:bCs w:val="0"/>
          <w:color w:val="auto"/>
          <w:spacing w:val="0"/>
          <w:kern w:val="36"/>
          <w:sz w:val="30"/>
          <w:szCs w:val="30"/>
          <w:lang w:val="en-US" w:eastAsia="zh-CN"/>
        </w:rPr>
        <w:t>7</w:t>
      </w:r>
    </w:p>
    <w:p>
      <w:pPr>
        <w:keepNext w:val="0"/>
        <w:keepLines w:val="0"/>
        <w:pageBreakBefore w:val="0"/>
        <w:widowControl w:val="0"/>
        <w:kinsoku/>
        <w:wordWrap/>
        <w:overflowPunct/>
        <w:topLinePunct w:val="0"/>
        <w:autoSpaceDE/>
        <w:autoSpaceDN/>
        <w:bidi w:val="0"/>
        <w:adjustRightInd/>
        <w:snapToGrid/>
        <w:ind w:left="550" w:leftChars="284" w:firstLine="0" w:firstLineChars="0"/>
        <w:jc w:val="left"/>
        <w:textAlignment w:val="auto"/>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w:t>
      </w:r>
      <w:r>
        <w:rPr>
          <w:rFonts w:hint="default" w:ascii="Times New Roman" w:hAnsi="Times New Roman" w:eastAsia="方正楷体_GBK" w:cs="Times New Roman"/>
          <w:b/>
          <w:color w:val="auto"/>
          <w:spacing w:val="0"/>
          <w:kern w:val="36"/>
          <w:sz w:val="30"/>
          <w:szCs w:val="30"/>
          <w:lang w:val="en-US" w:eastAsia="zh-CN"/>
        </w:rPr>
        <w:t>月</w:t>
      </w:r>
      <w:r>
        <w:rPr>
          <w:rFonts w:hint="eastAsia" w:ascii="Times New Roman" w:hAnsi="Times New Roman" w:eastAsia="方正楷体_GBK" w:cs="Times New Roman"/>
          <w:b/>
          <w:color w:val="auto"/>
          <w:spacing w:val="0"/>
          <w:kern w:val="36"/>
          <w:sz w:val="30"/>
          <w:szCs w:val="30"/>
          <w:lang w:val="en-US" w:eastAsia="zh-CN"/>
        </w:rPr>
        <w:t>22日（周五）</w:t>
      </w:r>
      <w:r>
        <w:rPr>
          <w:rFonts w:hint="eastAsia" w:ascii="Times New Roman" w:hAnsi="Times New Roman" w:eastAsia="方正楷体_GBK" w:cs="Times New Roman"/>
          <w:b/>
          <w:bCs w:val="0"/>
          <w:color w:val="auto"/>
          <w:spacing w:val="0"/>
          <w:kern w:val="36"/>
          <w:sz w:val="30"/>
          <w:szCs w:val="30"/>
          <w:lang w:val="en-US" w:eastAsia="zh-CN"/>
        </w:rPr>
        <w:t>瑞士央行率先降息，英国央行维持不变，土耳其央行大举升息</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08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省贸促会领导赴扬州、泰州调研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省贸促会领导会见香港贸发局华东华中首席代表吕剑一行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深入企业 面对面培训指导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追光逐电 “苏州名品”组团首次亮相新加坡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排忧解难促发展 企业致谢送锦旗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“贸促服务助企行”扬州宣讲会成功举办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淮安市贸促会举办“贸促服务助企行·淮品拓展海外市场”</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宣介会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89" w:leftChars="304" w:firstLine="0" w:firstLineChars="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尚德电力获法国碳足迹PPE2证书 创行业TOPCon组件碳足迹认证数值新低</w:t>
      </w:r>
      <w:r>
        <w:rPr>
          <w:rFonts w:hint="eastAsia" w:ascii="Times New Roman" w:hAnsi="Times New Roman" w:eastAsia="方正楷体_GBK" w:cs="Times New Roman"/>
          <w:b w:val="0"/>
          <w:bCs/>
          <w:kern w:val="0"/>
          <w:sz w:val="32"/>
          <w:szCs w:val="32"/>
          <w:lang w:val="en-US" w:eastAsia="zh-CN" w:bidi="ar-SA"/>
        </w:rPr>
        <w:t xml:space="preserve">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1</w:t>
      </w:r>
      <w:r>
        <w:rPr>
          <w:rFonts w:hint="eastAsia" w:ascii="Times New Roman" w:hAnsi="Times New Roman" w:eastAsia="方正楷体_GBK" w:cs="Times New Roman"/>
          <w:b/>
          <w:color w:val="auto"/>
          <w:kern w:val="36"/>
          <w:sz w:val="30"/>
          <w:szCs w:val="30"/>
          <w:lang w:val="en-US" w:eastAsia="zh-CN"/>
        </w:rPr>
        <w:t>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江苏银行：为新质生产力注入强劲金融动力</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xml:space="preserve">/ </w:t>
      </w:r>
      <w:r>
        <w:rPr>
          <w:rFonts w:hint="eastAsia" w:ascii="Times New Roman" w:hAnsi="Times New Roman" w:eastAsia="方正楷体_GBK" w:cs="Times New Roman"/>
          <w:b/>
          <w:color w:val="auto"/>
          <w:kern w:val="36"/>
          <w:sz w:val="30"/>
          <w:szCs w:val="30"/>
          <w:lang w:val="en-US" w:eastAsia="zh-CN"/>
        </w:rPr>
        <w:t>18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textAlignment w:val="auto"/>
        <w:outlineLvl w:val="1"/>
        <w:rPr>
          <w:rFonts w:hint="default" w:ascii="Times New Roman" w:hAnsi="Times New Roman" w:eastAsia="方正楷体_GBK" w:cs="Times New Roman"/>
          <w:b/>
          <w:color w:val="auto"/>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r>
        <w:rPr>
          <w:rFonts w:hint="eastAsia" w:ascii="Times New Roman" w:hAnsi="Times New Roman" w:eastAsia="方正楷体_GBK" w:cs="Times New Roman"/>
          <w:b/>
          <w:bCs w:val="0"/>
          <w:color w:val="auto"/>
          <w:spacing w:val="0"/>
          <w:kern w:val="36"/>
          <w:sz w:val="30"/>
          <w:szCs w:val="30"/>
          <w:lang w:val="en-US" w:eastAsia="zh-CN"/>
        </w:rPr>
        <w:t>瑞祥全球购超市有限公司荣获镇江市2023年度“消费维权先进集体”称号</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w:t>
      </w:r>
      <w:bookmarkStart w:id="1" w:name="_GoBack"/>
      <w:bookmarkEnd w:id="1"/>
      <w:r>
        <w:rPr>
          <w:rFonts w:hint="eastAsia" w:ascii="Times New Roman" w:hAnsi="Times New Roman" w:eastAsia="方正楷体_GBK" w:cs="Times New Roman"/>
          <w:b/>
          <w:color w:val="auto"/>
          <w:kern w:val="36"/>
          <w:sz w:val="30"/>
          <w:szCs w:val="30"/>
          <w:lang w:val="en-US" w:eastAsia="zh-CN"/>
        </w:rPr>
        <w:t>20</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全球市场资讯</w:t>
      </w:r>
    </w:p>
    <w:p>
      <w:pPr>
        <w:ind w:left="0" w:leftChars="0" w:firstLine="0" w:firstLineChars="0"/>
        <w:jc w:val="left"/>
        <w:rPr>
          <w:rFonts w:hint="eastAsia"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15</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五</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美国</w:t>
      </w:r>
      <w:r>
        <w:rPr>
          <w:rFonts w:hint="default" w:ascii="Times New Roman" w:hAnsi="Times New Roman" w:eastAsia="方正小标宋_GBK" w:cs="Times New Roman"/>
          <w:b/>
          <w:bCs/>
          <w:color w:val="0000FF"/>
          <w:sz w:val="36"/>
          <w:szCs w:val="44"/>
          <w:highlight w:val="yellow"/>
          <w:lang w:val="en-US" w:eastAsia="zh-CN"/>
        </w:rPr>
        <w:t>2</w:t>
      </w:r>
      <w:r>
        <w:rPr>
          <w:rFonts w:hint="eastAsia" w:ascii="Times New Roman" w:hAnsi="Times New Roman" w:eastAsia="方正小标宋_GBK" w:cs="Times New Roman"/>
          <w:b/>
          <w:bCs/>
          <w:color w:val="0000FF"/>
          <w:sz w:val="36"/>
          <w:szCs w:val="44"/>
          <w:highlight w:val="yellow"/>
          <w:lang w:val="en-US" w:eastAsia="zh-CN"/>
        </w:rPr>
        <w:t>月</w:t>
      </w:r>
      <w:r>
        <w:rPr>
          <w:rFonts w:hint="default" w:ascii="Times New Roman" w:hAnsi="Times New Roman" w:eastAsia="方正小标宋_GBK" w:cs="Times New Roman"/>
          <w:b/>
          <w:bCs/>
          <w:color w:val="0000FF"/>
          <w:sz w:val="36"/>
          <w:szCs w:val="44"/>
          <w:highlight w:val="yellow"/>
          <w:lang w:val="en-US" w:eastAsia="zh-CN"/>
        </w:rPr>
        <w:t>PPI</w:t>
      </w:r>
      <w:r>
        <w:rPr>
          <w:rFonts w:hint="eastAsia" w:ascii="Times New Roman" w:hAnsi="Times New Roman" w:eastAsia="方正小标宋_GBK" w:cs="Times New Roman"/>
          <w:b/>
          <w:bCs/>
          <w:color w:val="0000FF"/>
          <w:sz w:val="36"/>
          <w:szCs w:val="44"/>
          <w:highlight w:val="yellow"/>
          <w:lang w:val="en-US" w:eastAsia="zh-CN"/>
        </w:rPr>
        <w:t>数据公布，显示通胀压力反弹</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3月14日（周四），美国公布PPI数据（见表格）。</w:t>
      </w:r>
    </w:p>
    <w:p>
      <w:pPr>
        <w:jc w:val="left"/>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drawing>
          <wp:inline distT="0" distB="0" distL="114300" distR="114300">
            <wp:extent cx="5612765" cy="1260475"/>
            <wp:effectExtent l="0" t="0" r="6985" b="15875"/>
            <wp:docPr id="6" name="图片 6" descr="微信截图_2024032208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40322083636"/>
                    <pic:cNvPicPr>
                      <a:picLocks noChangeAspect="1"/>
                    </pic:cNvPicPr>
                  </pic:nvPicPr>
                  <pic:blipFill>
                    <a:blip r:embed="rId6"/>
                    <a:stretch>
                      <a:fillRect/>
                    </a:stretch>
                  </pic:blipFill>
                  <pic:spPr>
                    <a:xfrm>
                      <a:off x="0" y="0"/>
                      <a:ext cx="5612765" cy="1260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default" w:ascii="Times New Roman" w:hAnsi="Times New Roman" w:eastAsia="方正楷体_GBK" w:cs="Calibri"/>
          <w:sz w:val="28"/>
          <w:szCs w:val="28"/>
          <w:lang w:val="en-US" w:eastAsia="zh-CN"/>
        </w:rPr>
      </w:pPr>
      <w:r>
        <w:rPr>
          <w:rFonts w:hint="default" w:ascii="Times New Roman" w:hAnsi="Times New Roman" w:eastAsia="方正楷体_GBK" w:cs="Calibri"/>
          <w:sz w:val="28"/>
          <w:szCs w:val="28"/>
          <w:lang w:val="en-US" w:eastAsia="zh-CN"/>
        </w:rPr>
        <w:t>（</w:t>
      </w:r>
      <w:r>
        <w:rPr>
          <w:rFonts w:hint="default" w:ascii="方正黑体_GBK" w:hAnsi="方正黑体_GBK" w:eastAsia="方正黑体_GBK" w:cs="方正黑体_GBK"/>
          <w:b/>
          <w:bCs/>
          <w:sz w:val="28"/>
          <w:szCs w:val="28"/>
          <w:lang w:val="en-US" w:eastAsia="zh-CN"/>
        </w:rPr>
        <w:t>注：</w:t>
      </w:r>
      <w:r>
        <w:rPr>
          <w:rFonts w:hint="eastAsia" w:ascii="Times New Roman" w:hAnsi="Times New Roman" w:eastAsia="方正楷体_GBK" w:cs="Calibri"/>
          <w:b/>
          <w:bCs/>
          <w:sz w:val="28"/>
          <w:szCs w:val="28"/>
          <w:highlight w:val="none"/>
          <w:lang w:val="en-US" w:eastAsia="zh-CN"/>
        </w:rPr>
        <w:t>“</w:t>
      </w:r>
      <w:r>
        <w:rPr>
          <w:rFonts w:hint="default" w:ascii="Times New Roman" w:hAnsi="Times New Roman" w:eastAsia="方正楷体_GBK" w:cs="Calibri"/>
          <w:b/>
          <w:bCs/>
          <w:sz w:val="28"/>
          <w:szCs w:val="28"/>
          <w:highlight w:val="none"/>
          <w:lang w:val="en-US" w:eastAsia="zh-CN"/>
        </w:rPr>
        <w:t>生产者价格指数</w:t>
      </w:r>
      <w:r>
        <w:rPr>
          <w:rFonts w:hint="eastAsia" w:ascii="Times New Roman" w:hAnsi="Times New Roman" w:eastAsia="方正楷体_GBK" w:cs="Calibri"/>
          <w:b/>
          <w:bCs/>
          <w:sz w:val="28"/>
          <w:szCs w:val="28"/>
          <w:highlight w:val="none"/>
          <w:lang w:val="en-US" w:eastAsia="zh-CN"/>
        </w:rPr>
        <w:t>”</w:t>
      </w:r>
      <w:r>
        <w:rPr>
          <w:rFonts w:hint="default" w:ascii="Times New Roman" w:hAnsi="Times New Roman" w:eastAsia="方正楷体_GBK" w:cs="Calibri"/>
          <w:b/>
          <w:bCs/>
          <w:sz w:val="28"/>
          <w:szCs w:val="28"/>
          <w:lang w:val="en-US" w:eastAsia="zh-CN"/>
        </w:rPr>
        <w:t>（PPI）</w:t>
      </w:r>
      <w:r>
        <w:rPr>
          <w:rFonts w:hint="default" w:ascii="Times New Roman" w:hAnsi="Times New Roman" w:eastAsia="方正楷体_GBK" w:cs="Calibri"/>
          <w:sz w:val="28"/>
          <w:szCs w:val="28"/>
          <w:lang w:val="en-US" w:eastAsia="zh-CN"/>
        </w:rPr>
        <w:t>是衡量一国国内商品和服务生产者价格随时间变化的指标，它反映了生产者所支付的成本和价格的变化情况。</w:t>
      </w:r>
      <w:r>
        <w:rPr>
          <w:rFonts w:hint="eastAsia" w:ascii="Times New Roman" w:hAnsi="Times New Roman" w:eastAsia="方正楷体_GBK" w:cs="Calibri"/>
          <w:b/>
          <w:bCs/>
          <w:sz w:val="28"/>
          <w:szCs w:val="28"/>
          <w:lang w:val="en-US" w:eastAsia="zh-CN"/>
        </w:rPr>
        <w:t>“</w:t>
      </w:r>
      <w:r>
        <w:rPr>
          <w:rFonts w:hint="default" w:ascii="Times New Roman" w:hAnsi="Times New Roman" w:eastAsia="方正楷体_GBK" w:cs="Calibri"/>
          <w:b/>
          <w:bCs/>
          <w:sz w:val="28"/>
          <w:szCs w:val="28"/>
          <w:lang w:val="en-US" w:eastAsia="zh-CN"/>
        </w:rPr>
        <w:t>核心PPI</w:t>
      </w:r>
      <w:r>
        <w:rPr>
          <w:rFonts w:hint="eastAsia" w:ascii="Times New Roman" w:hAnsi="Times New Roman" w:eastAsia="方正楷体_GBK" w:cs="Calibri"/>
          <w:b/>
          <w:bCs/>
          <w:sz w:val="28"/>
          <w:szCs w:val="28"/>
          <w:lang w:val="en-US" w:eastAsia="zh-CN"/>
        </w:rPr>
        <w:t>”，</w:t>
      </w:r>
      <w:r>
        <w:rPr>
          <w:rFonts w:hint="eastAsia" w:ascii="Times New Roman" w:hAnsi="Times New Roman" w:eastAsia="方正楷体_GBK" w:cs="Calibri"/>
          <w:b w:val="0"/>
          <w:bCs w:val="0"/>
          <w:sz w:val="28"/>
          <w:szCs w:val="28"/>
          <w:lang w:val="en-US" w:eastAsia="zh-CN"/>
        </w:rPr>
        <w:t>指</w:t>
      </w:r>
      <w:r>
        <w:rPr>
          <w:rFonts w:hint="default" w:ascii="Times New Roman" w:hAnsi="Times New Roman" w:eastAsia="方正楷体_GBK" w:cs="Calibri"/>
          <w:sz w:val="28"/>
          <w:szCs w:val="28"/>
          <w:lang w:val="en-US" w:eastAsia="zh-CN"/>
        </w:rPr>
        <w:t>剔除了波动较大的</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贸易服务</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、食品和能源价格的PPI</w:t>
      </w:r>
      <w:r>
        <w:rPr>
          <w:rFonts w:hint="eastAsia" w:ascii="Times New Roman" w:hAnsi="Times New Roman" w:eastAsia="方正楷体_GBK" w:cs="Calibri"/>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w:t>
      </w:r>
      <w:r>
        <w:rPr>
          <w:rFonts w:hint="eastAsia" w:ascii="Times New Roman" w:hAnsi="Times New Roman" w:eastAsia="方正楷体_GBK" w:cs="Calibri"/>
          <w:b/>
          <w:bCs/>
          <w:sz w:val="28"/>
          <w:szCs w:val="28"/>
          <w:lang w:val="en-US" w:eastAsia="zh-CN"/>
        </w:rPr>
        <w:t>贸易服务”</w:t>
      </w:r>
      <w:r>
        <w:rPr>
          <w:rFonts w:hint="eastAsia" w:ascii="Times New Roman" w:hAnsi="Times New Roman" w:eastAsia="方正楷体_GBK" w:cs="Calibri"/>
          <w:sz w:val="28"/>
          <w:szCs w:val="28"/>
          <w:lang w:val="en-US" w:eastAsia="zh-CN"/>
        </w:rPr>
        <w:t>（trade service）是指涉及商业交易和服务的部分，通常包括零售贸易服务、批发贸易服务、运输和物流服务、旅游和酒店服务、金融和保险服务，以及商业咨询和专业服务。）</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上述PPI数据都超过预期，显示美国通胀压力反弹，数据公布后，美元指数和美债收益率短线拉升，10年期美债收益率升势显著。</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市场开始担心今年的降息次数，有可能少于预期的</w:t>
      </w: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次。如果年内降息的幅度不及预期，意味着企业还得继续在高利率环境下坚持，中小企业的财务压力将越来越大。</w:t>
      </w:r>
    </w:p>
    <w:p>
      <w:pPr>
        <w:ind w:left="0" w:leftChars="0" w:firstLine="0" w:firstLineChars="0"/>
        <w:jc w:val="left"/>
        <w:rPr>
          <w:rFonts w:hint="eastAsia"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eastAsia"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16</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六</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消费者情绪不乐观，下周点阵图被关注</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3月15日（周五），反映美国消费者情绪的三大指数公布，</w:t>
      </w: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月份初值都低于前值和预期，显示美国消费增长的趋势开始放缓；但目前仅为初值，且放缓的幅度轻微，需持续观察才可得出结论。</w:t>
      </w:r>
    </w:p>
    <w:p>
      <w:pPr>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612765" cy="1016635"/>
            <wp:effectExtent l="0" t="0" r="6985" b="12065"/>
            <wp:docPr id="5" name="图片 5" descr="微信截图_2024032208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40322083148"/>
                    <pic:cNvPicPr>
                      <a:picLocks noChangeAspect="1"/>
                    </pic:cNvPicPr>
                  </pic:nvPicPr>
                  <pic:blipFill>
                    <a:blip r:embed="rId7"/>
                    <a:stretch>
                      <a:fillRect/>
                    </a:stretch>
                  </pic:blipFill>
                  <pic:spPr>
                    <a:xfrm>
                      <a:off x="0" y="0"/>
                      <a:ext cx="5612765" cy="10166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w:t>
      </w:r>
      <w:r>
        <w:rPr>
          <w:rFonts w:hint="eastAsia" w:ascii="方正黑体_GBK" w:hAnsi="方正黑体_GBK" w:eastAsia="方正黑体_GBK" w:cs="方正黑体_GBK"/>
          <w:b/>
          <w:bCs/>
          <w:sz w:val="28"/>
          <w:szCs w:val="28"/>
          <w:lang w:val="en-US" w:eastAsia="zh-CN"/>
        </w:rPr>
        <w:t>注：</w:t>
      </w:r>
      <w:r>
        <w:rPr>
          <w:rFonts w:hint="eastAsia" w:ascii="Times New Roman" w:hAnsi="Times New Roman" w:eastAsia="方正楷体_GBK" w:cs="Calibri"/>
          <w:b/>
          <w:bCs/>
          <w:sz w:val="28"/>
          <w:szCs w:val="28"/>
          <w:lang w:val="en-US" w:eastAsia="zh-CN"/>
        </w:rPr>
        <w:t>密歇根大学消费者情绪指数：</w:t>
      </w:r>
      <w:r>
        <w:rPr>
          <w:rFonts w:hint="eastAsia" w:ascii="Times New Roman" w:hAnsi="Times New Roman" w:eastAsia="方正楷体_GBK" w:cs="Calibri"/>
          <w:sz w:val="28"/>
          <w:szCs w:val="28"/>
          <w:lang w:val="en-US" w:eastAsia="zh-CN"/>
        </w:rPr>
        <w:t>密歇根大学消费者调查中心每月向600个家庭询问他们的经济状况和对经济的态度，进而编制出体现美国消费者情绪的“预期指数”“现况指数”和“信心指数”。消费者情绪直接关系到消费支出的强弱，对经济增长有着重要影响。）</w:t>
      </w:r>
    </w:p>
    <w:p>
      <w:pPr>
        <w:ind w:firstLine="608" w:firstLineChars="200"/>
        <w:jc w:val="left"/>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月以来，</w:t>
      </w:r>
      <w:r>
        <w:rPr>
          <w:rFonts w:hint="default" w:ascii="Times New Roman" w:hAnsi="Times New Roman" w:cs="Times New Roman"/>
          <w:sz w:val="32"/>
          <w:szCs w:val="32"/>
          <w:lang w:val="en-US" w:eastAsia="zh-CN"/>
        </w:rPr>
        <w:t>10</w:t>
      </w:r>
      <w:r>
        <w:rPr>
          <w:rFonts w:hint="eastAsia" w:ascii="Times New Roman" w:hAnsi="Times New Roman" w:cs="Times New Roman"/>
          <w:sz w:val="32"/>
          <w:szCs w:val="32"/>
          <w:lang w:val="en-US" w:eastAsia="zh-CN"/>
        </w:rPr>
        <w:t>年期</w:t>
      </w:r>
      <w:r>
        <w:rPr>
          <w:rFonts w:hint="default" w:ascii="Times New Roman" w:hAnsi="Times New Roman" w:cs="Times New Roman"/>
          <w:sz w:val="32"/>
          <w:szCs w:val="32"/>
          <w:lang w:val="en-US" w:eastAsia="zh-CN"/>
        </w:rPr>
        <w:t>美债收益率一直</w:t>
      </w:r>
      <w:r>
        <w:rPr>
          <w:rFonts w:hint="eastAsia" w:ascii="Times New Roman" w:hAnsi="Times New Roman" w:cs="Times New Roman"/>
          <w:sz w:val="32"/>
          <w:szCs w:val="32"/>
          <w:lang w:val="en-US" w:eastAsia="zh-CN"/>
        </w:rPr>
        <w:t>上行，市场对</w:t>
      </w:r>
      <w:r>
        <w:rPr>
          <w:rFonts w:hint="default" w:ascii="Times New Roman" w:hAnsi="Times New Roman" w:cs="Times New Roman"/>
          <w:sz w:val="32"/>
          <w:szCs w:val="32"/>
          <w:lang w:val="en-US" w:eastAsia="zh-CN"/>
        </w:rPr>
        <w:t>美国宏观经济形势</w:t>
      </w:r>
      <w:r>
        <w:rPr>
          <w:rFonts w:hint="eastAsia" w:ascii="Times New Roman" w:hAnsi="Times New Roman" w:cs="Times New Roman"/>
          <w:sz w:val="32"/>
          <w:szCs w:val="32"/>
          <w:lang w:val="en-US" w:eastAsia="zh-CN"/>
        </w:rPr>
        <w:t>的看法出现了分歧，有机构认为，美国经济正从“</w:t>
      </w:r>
      <w:r>
        <w:rPr>
          <w:rFonts w:hint="default" w:ascii="Times New Roman" w:hAnsi="Times New Roman" w:cs="Times New Roman"/>
          <w:sz w:val="32"/>
          <w:szCs w:val="32"/>
          <w:lang w:val="en-US" w:eastAsia="zh-CN"/>
        </w:rPr>
        <w:t>金发</w:t>
      </w:r>
      <w:r>
        <w:rPr>
          <w:rFonts w:hint="eastAsia" w:ascii="Times New Roman" w:hAnsi="Times New Roman" w:cs="Times New Roman"/>
          <w:sz w:val="32"/>
          <w:szCs w:val="32"/>
          <w:lang w:val="en-US" w:eastAsia="zh-CN"/>
        </w:rPr>
        <w:t>女孩”</w:t>
      </w:r>
      <w:r>
        <w:rPr>
          <w:rFonts w:hint="default" w:ascii="Times New Roman" w:hAnsi="Times New Roman" w:cs="Times New Roman"/>
          <w:sz w:val="32"/>
          <w:szCs w:val="32"/>
          <w:lang w:val="en-US" w:eastAsia="zh-CN"/>
        </w:rPr>
        <w:t>逐渐转变为滞胀</w:t>
      </w:r>
      <w:r>
        <w:rPr>
          <w:rFonts w:hint="eastAsia" w:ascii="Times New Roman" w:hAnsi="Times New Roman" w:cs="Times New Roman"/>
          <w:sz w:val="32"/>
          <w:szCs w:val="32"/>
          <w:lang w:val="en-US" w:eastAsia="zh-CN"/>
        </w:rPr>
        <w:t>。实际情况究竟如何，将在下周三美联储最新的“利率点阵图”中体现。</w:t>
      </w:r>
    </w:p>
    <w:p>
      <w:pPr>
        <w:ind w:firstLine="608" w:firstLineChars="200"/>
        <w:jc w:val="left"/>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如果点阵图显示</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FOMC大多数成员赞成今年年内只降息2次</w:t>
      </w:r>
      <w:r>
        <w:rPr>
          <w:rFonts w:hint="eastAsia" w:ascii="Times New Roman" w:hAnsi="Times New Roman" w:cs="Times New Roman"/>
          <w:sz w:val="32"/>
          <w:szCs w:val="32"/>
          <w:lang w:val="en-US" w:eastAsia="zh-CN"/>
        </w:rPr>
        <w:t>，而非目前市场普遍预期的</w:t>
      </w: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次，说明美联储高层开始担心通胀反扑；如果</w:t>
      </w:r>
      <w:r>
        <w:rPr>
          <w:rFonts w:hint="default" w:ascii="Times New Roman" w:hAnsi="Times New Roman" w:cs="Times New Roman"/>
          <w:sz w:val="32"/>
          <w:szCs w:val="32"/>
          <w:lang w:val="en-US" w:eastAsia="zh-CN"/>
        </w:rPr>
        <w:t>FOMC</w:t>
      </w:r>
      <w:r>
        <w:rPr>
          <w:rFonts w:hint="eastAsia" w:ascii="Times New Roman" w:hAnsi="Times New Roman" w:cs="Times New Roman"/>
          <w:sz w:val="32"/>
          <w:szCs w:val="32"/>
          <w:lang w:val="en-US" w:eastAsia="zh-CN"/>
        </w:rPr>
        <w:t>维持降息</w:t>
      </w: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次的偏鸽派立场，说明其更担心增长放缓而非通胀。</w:t>
      </w:r>
    </w:p>
    <w:tbl>
      <w:tblPr>
        <w:tblStyle w:val="15"/>
        <w:tblpPr w:leftFromText="180" w:rightFromText="180" w:vertAnchor="text" w:horzAnchor="page" w:tblpX="1632" w:tblpY="30"/>
        <w:tblOverlap w:val="never"/>
        <w:tblW w:w="89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60"/>
        <w:gridCol w:w="56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3260" w:type="dxa"/>
            <w:tcBorders>
              <w:tl2br w:val="nil"/>
              <w:tr2bl w:val="nil"/>
            </w:tcBorders>
            <w:vAlign w:val="top"/>
          </w:tcPr>
          <w:p>
            <w:pPr>
              <w:jc w:val="both"/>
              <w:rPr>
                <w:rFonts w:hint="default" w:ascii="Times New Roman" w:hAnsi="Times New Roman" w:cs="Times New Roman"/>
                <w:sz w:val="32"/>
                <w:szCs w:val="32"/>
                <w:vertAlign w:val="baseline"/>
              </w:rPr>
            </w:pPr>
            <w:r>
              <w:drawing>
                <wp:inline distT="0" distB="0" distL="114300" distR="114300">
                  <wp:extent cx="1936115" cy="1089025"/>
                  <wp:effectExtent l="0" t="0" r="6985" b="158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8"/>
                          <a:stretch>
                            <a:fillRect/>
                          </a:stretch>
                        </pic:blipFill>
                        <pic:spPr>
                          <a:xfrm>
                            <a:off x="0" y="0"/>
                            <a:ext cx="1936115" cy="1089025"/>
                          </a:xfrm>
                          <a:prstGeom prst="rect">
                            <a:avLst/>
                          </a:prstGeom>
                          <a:noFill/>
                          <a:ln>
                            <a:noFill/>
                          </a:ln>
                        </pic:spPr>
                      </pic:pic>
                    </a:graphicData>
                  </a:graphic>
                </wp:inline>
              </w:drawing>
            </w:r>
          </w:p>
        </w:tc>
        <w:tc>
          <w:tcPr>
            <w:tcW w:w="565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eastAsia="方正楷体_GBK" w:cs="Calibri"/>
                <w:sz w:val="21"/>
                <w:szCs w:val="21"/>
                <w:lang w:val="en-US" w:eastAsia="zh-CN"/>
              </w:rPr>
            </w:pPr>
            <w:r>
              <w:rPr>
                <w:rFonts w:hint="eastAsia" w:ascii="Calibri" w:hAnsi="Calibri" w:eastAsia="仿宋_GB2312" w:cs="Calibri"/>
                <w:sz w:val="21"/>
                <w:szCs w:val="21"/>
                <w:lang w:val="en-US" w:eastAsia="zh-CN"/>
              </w:rPr>
              <w:t>（</w:t>
            </w:r>
            <w:r>
              <w:rPr>
                <w:rFonts w:hint="eastAsia" w:ascii="方正黑体_GBK" w:hAnsi="方正黑体_GBK" w:eastAsia="方正黑体_GBK" w:cs="方正黑体_GBK"/>
                <w:b w:val="0"/>
                <w:bCs w:val="0"/>
                <w:sz w:val="21"/>
                <w:szCs w:val="21"/>
                <w:highlight w:val="none"/>
                <w:lang w:val="en-US" w:eastAsia="zh-CN"/>
              </w:rPr>
              <w:t>注：</w:t>
            </w:r>
            <w:r>
              <w:rPr>
                <w:rFonts w:hint="eastAsia" w:ascii="Times New Roman" w:hAnsi="Times New Roman" w:eastAsia="方正楷体_GBK" w:cs="Calibri"/>
                <w:sz w:val="21"/>
                <w:szCs w:val="21"/>
                <w:lang w:val="en-US" w:eastAsia="zh-CN"/>
              </w:rPr>
              <w:t>“</w:t>
            </w:r>
            <w:r>
              <w:rPr>
                <w:rFonts w:hint="default" w:ascii="Times New Roman" w:hAnsi="Times New Roman" w:eastAsia="方正楷体_GBK" w:cs="Calibri"/>
                <w:b/>
                <w:bCs/>
                <w:sz w:val="21"/>
                <w:szCs w:val="21"/>
                <w:lang w:val="en-US" w:eastAsia="zh-CN"/>
              </w:rPr>
              <w:t>金发女孩经济</w:t>
            </w:r>
            <w:r>
              <w:rPr>
                <w:rFonts w:hint="eastAsia" w:ascii="Times New Roman" w:hAnsi="Times New Roman" w:eastAsia="方正楷体_GBK" w:cs="Calibri"/>
                <w:sz w:val="21"/>
                <w:szCs w:val="21"/>
                <w:lang w:val="en-US" w:eastAsia="zh-CN"/>
              </w:rPr>
              <w:t>”（</w:t>
            </w:r>
            <w:r>
              <w:rPr>
                <w:rFonts w:hint="default" w:ascii="Times New Roman" w:hAnsi="Times New Roman" w:eastAsia="方正楷体_GBK" w:cs="Calibri"/>
                <w:sz w:val="21"/>
                <w:szCs w:val="21"/>
                <w:lang w:val="en-US" w:eastAsia="zh-CN"/>
              </w:rPr>
              <w:t>Goldilocks economy</w:t>
            </w:r>
            <w:r>
              <w:rPr>
                <w:rFonts w:hint="eastAsia" w:ascii="Times New Roman" w:hAnsi="Times New Roman" w:eastAsia="方正楷体_GBK" w:cs="Calibri"/>
                <w:sz w:val="21"/>
                <w:szCs w:val="21"/>
                <w:lang w:val="en-US" w:eastAsia="zh-CN"/>
              </w:rPr>
              <w:t>），指</w:t>
            </w:r>
            <w:r>
              <w:rPr>
                <w:rFonts w:hint="default" w:ascii="Times New Roman" w:hAnsi="Times New Roman" w:eastAsia="方正楷体_GBK" w:cs="Calibri"/>
                <w:sz w:val="21"/>
                <w:szCs w:val="21"/>
                <w:lang w:val="en-US" w:eastAsia="zh-CN"/>
              </w:rPr>
              <w:t>一种理想的经济状态</w:t>
            </w:r>
            <w:r>
              <w:rPr>
                <w:rFonts w:hint="eastAsia" w:ascii="Times New Roman" w:hAnsi="Times New Roman" w:eastAsia="方正楷体_GBK" w:cs="Calibri"/>
                <w:sz w:val="21"/>
                <w:szCs w:val="21"/>
                <w:lang w:val="en-US" w:eastAsia="zh-CN"/>
              </w:rPr>
              <w:t>，即</w:t>
            </w:r>
            <w:r>
              <w:rPr>
                <w:rFonts w:hint="default" w:ascii="Times New Roman" w:hAnsi="Times New Roman" w:eastAsia="方正楷体_GBK" w:cs="Calibri"/>
                <w:sz w:val="21"/>
                <w:szCs w:val="21"/>
                <w:lang w:val="en-US" w:eastAsia="zh-CN"/>
              </w:rPr>
              <w:t>经济增长适度、通货膨胀率稳定</w:t>
            </w:r>
            <w:r>
              <w:rPr>
                <w:rFonts w:hint="eastAsia" w:ascii="Times New Roman" w:hAnsi="Times New Roman" w:eastAsia="方正楷体_GBK" w:cs="Calibri"/>
                <w:sz w:val="21"/>
                <w:szCs w:val="21"/>
                <w:lang w:val="en-US" w:eastAsia="zh-CN"/>
              </w:rPr>
              <w:t>，</w:t>
            </w:r>
            <w:r>
              <w:rPr>
                <w:rFonts w:hint="default" w:ascii="Times New Roman" w:hAnsi="Times New Roman" w:eastAsia="方正楷体_GBK" w:cs="Calibri"/>
                <w:sz w:val="21"/>
                <w:szCs w:val="21"/>
                <w:lang w:val="en-US" w:eastAsia="zh-CN"/>
              </w:rPr>
              <w:t>且失业率</w:t>
            </w:r>
            <w:r>
              <w:rPr>
                <w:rFonts w:hint="eastAsia" w:ascii="Times New Roman" w:hAnsi="Times New Roman" w:eastAsia="方正楷体_GBK" w:cs="Calibri"/>
                <w:sz w:val="21"/>
                <w:szCs w:val="21"/>
                <w:lang w:val="en-US" w:eastAsia="zh-CN"/>
              </w:rPr>
              <w:t>处于</w:t>
            </w:r>
            <w:r>
              <w:rPr>
                <w:rFonts w:hint="default" w:ascii="Times New Roman" w:hAnsi="Times New Roman" w:eastAsia="方正楷体_GBK" w:cs="Calibri"/>
                <w:sz w:val="21"/>
                <w:szCs w:val="21"/>
                <w:lang w:val="en-US" w:eastAsia="zh-CN"/>
              </w:rPr>
              <w:t>合理水平，</w:t>
            </w:r>
            <w:r>
              <w:rPr>
                <w:rFonts w:hint="eastAsia" w:ascii="Times New Roman" w:hAnsi="Times New Roman" w:eastAsia="方正楷体_GBK" w:cs="Calibri"/>
                <w:sz w:val="21"/>
                <w:szCs w:val="21"/>
                <w:lang w:val="en-US" w:eastAsia="zh-CN"/>
              </w:rPr>
              <w:t>经济既非</w:t>
            </w:r>
            <w:r>
              <w:rPr>
                <w:rFonts w:hint="default" w:ascii="Times New Roman" w:hAnsi="Times New Roman" w:eastAsia="方正楷体_GBK" w:cs="Calibri"/>
                <w:sz w:val="21"/>
                <w:szCs w:val="21"/>
                <w:lang w:val="en-US" w:eastAsia="zh-CN"/>
              </w:rPr>
              <w:t>过热</w:t>
            </w:r>
            <w:r>
              <w:rPr>
                <w:rFonts w:hint="eastAsia" w:ascii="Times New Roman" w:hAnsi="Times New Roman" w:eastAsia="方正楷体_GBK" w:cs="Calibri"/>
                <w:sz w:val="21"/>
                <w:szCs w:val="21"/>
                <w:lang w:val="en-US" w:eastAsia="zh-CN"/>
              </w:rPr>
              <w:t>亦非冷却</w:t>
            </w:r>
            <w:r>
              <w:rPr>
                <w:rFonts w:hint="default" w:ascii="Times New Roman" w:hAnsi="Times New Roman" w:eastAsia="方正楷体_GBK" w:cs="Calibri"/>
                <w:sz w:val="21"/>
                <w:szCs w:val="21"/>
                <w:lang w:val="en-US" w:eastAsia="zh-CN"/>
              </w:rPr>
              <w:t>。</w:t>
            </w:r>
            <w:r>
              <w:rPr>
                <w:rFonts w:hint="eastAsia" w:ascii="Times New Roman" w:hAnsi="Times New Roman" w:eastAsia="方正楷体_GBK" w:cs="Calibri"/>
                <w:sz w:val="21"/>
                <w:szCs w:val="21"/>
                <w:lang w:val="en-US" w:eastAsia="zh-CN"/>
              </w:rPr>
              <w:t>该</w:t>
            </w:r>
            <w:r>
              <w:rPr>
                <w:rFonts w:hint="default" w:ascii="Times New Roman" w:hAnsi="Times New Roman" w:eastAsia="方正楷体_GBK" w:cs="Calibri"/>
                <w:sz w:val="21"/>
                <w:szCs w:val="21"/>
                <w:lang w:val="en-US" w:eastAsia="zh-CN"/>
              </w:rPr>
              <w:t>经济环境通常有利于企业的盈利、就业机会的增加以及消费者信心的提升。</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default" w:ascii="Times New Roman" w:hAnsi="Times New Roman" w:cs="Times New Roman"/>
                <w:sz w:val="32"/>
                <w:szCs w:val="32"/>
                <w:vertAlign w:val="baseline"/>
              </w:rPr>
            </w:pPr>
            <w:r>
              <w:rPr>
                <w:rFonts w:hint="eastAsia" w:ascii="Times New Roman" w:hAnsi="Times New Roman" w:eastAsia="方正楷体_GBK" w:cs="Calibri"/>
                <w:sz w:val="21"/>
                <w:szCs w:val="21"/>
                <w:lang w:val="en-US" w:eastAsia="zh-CN"/>
              </w:rPr>
              <w:t>关于</w:t>
            </w:r>
            <w:r>
              <w:rPr>
                <w:rFonts w:hint="default" w:ascii="Times New Roman" w:hAnsi="Times New Roman" w:eastAsia="方正楷体_GBK" w:cs="Calibri"/>
                <w:sz w:val="21"/>
                <w:szCs w:val="21"/>
                <w:lang w:val="en-US" w:eastAsia="zh-CN"/>
              </w:rPr>
              <w:t>FOMC</w:t>
            </w:r>
            <w:r>
              <w:rPr>
                <w:rFonts w:hint="eastAsia" w:ascii="Times New Roman" w:hAnsi="Times New Roman" w:eastAsia="方正楷体_GBK" w:cs="Calibri"/>
                <w:sz w:val="21"/>
                <w:szCs w:val="21"/>
                <w:lang w:val="en-US" w:eastAsia="zh-CN"/>
              </w:rPr>
              <w:t>与“点阵图”的简要解释，将附于下周四的资讯内容之后。）</w:t>
            </w:r>
          </w:p>
        </w:tc>
      </w:tr>
    </w:tbl>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17</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法国通胀高于预期，欧央行决策难度加大</w:t>
      </w:r>
    </w:p>
    <w:p>
      <w:pPr>
        <w:ind w:firstLine="608" w:firstLineChars="200"/>
        <w:jc w:val="left"/>
        <w:rPr>
          <w:rFonts w:hint="eastAsia" w:ascii="Times New Roman" w:hAnsi="Times New Roman" w:cs="Times New Roman"/>
          <w:sz w:val="32"/>
          <w:szCs w:val="32"/>
          <w:lang w:val="en-US" w:eastAsia="zh-CN"/>
        </w:rPr>
      </w:pPr>
      <w:r>
        <w:rPr>
          <w:rFonts w:hint="default" w:ascii="Times New Roman" w:hAnsi="Times New Roman" w:cs="Times New Roman"/>
          <w:sz w:val="32"/>
          <w:szCs w:val="32"/>
          <w:lang w:val="en-US" w:eastAsia="zh-CN"/>
        </w:rPr>
        <w:t>3</w:t>
      </w:r>
      <w:r>
        <w:rPr>
          <w:rFonts w:hint="eastAsia" w:ascii="Times New Roman" w:hAnsi="Times New Roman" w:cs="Times New Roman"/>
          <w:sz w:val="32"/>
          <w:szCs w:val="32"/>
          <w:lang w:val="en-US" w:eastAsia="zh-CN"/>
        </w:rPr>
        <w:t>月</w:t>
      </w:r>
      <w:r>
        <w:rPr>
          <w:rFonts w:hint="default" w:ascii="Times New Roman" w:hAnsi="Times New Roman" w:cs="Times New Roman"/>
          <w:sz w:val="32"/>
          <w:szCs w:val="32"/>
          <w:lang w:val="en-US" w:eastAsia="zh-CN"/>
        </w:rPr>
        <w:t>15</w:t>
      </w:r>
      <w:r>
        <w:rPr>
          <w:rFonts w:hint="eastAsia" w:ascii="Times New Roman" w:hAnsi="Times New Roman" w:cs="Times New Roman"/>
          <w:sz w:val="32"/>
          <w:szCs w:val="32"/>
          <w:lang w:val="en-US" w:eastAsia="zh-CN"/>
        </w:rPr>
        <w:t>日（周五），法国统计局和欧盟统计局公布了法国</w:t>
      </w:r>
      <w:r>
        <w:rPr>
          <w:rFonts w:hint="default" w:ascii="Times New Roman" w:hAnsi="Times New Roman" w:cs="Times New Roman"/>
          <w:sz w:val="32"/>
          <w:szCs w:val="32"/>
          <w:lang w:val="en-US" w:eastAsia="zh-CN"/>
        </w:rPr>
        <w:t>2</w:t>
      </w:r>
      <w:r>
        <w:rPr>
          <w:rFonts w:hint="eastAsia" w:ascii="Times New Roman" w:hAnsi="Times New Roman" w:cs="Times New Roman"/>
          <w:sz w:val="32"/>
          <w:szCs w:val="32"/>
          <w:lang w:val="en-US" w:eastAsia="zh-CN"/>
        </w:rPr>
        <w:t>月份的通胀数据（见下表）。与几日前公布的德国数据相比，法国的通货膨胀程度较重，数据均高于前值和预期。欧元区两大经济体的通胀走势相背，加大了欧洲央行货币政策的决策难度。</w:t>
      </w:r>
    </w:p>
    <w:p>
      <w:pPr>
        <w:rPr>
          <w:rFonts w:hint="eastAsia"/>
          <w:lang w:val="en-US" w:eastAsia="zh-CN"/>
        </w:rPr>
      </w:pPr>
      <w:r>
        <w:rPr>
          <w:rFonts w:hint="eastAsia"/>
          <w:lang w:val="en-US" w:eastAsia="zh-CN"/>
        </w:rPr>
        <w:drawing>
          <wp:inline distT="0" distB="0" distL="114300" distR="114300">
            <wp:extent cx="5610225" cy="1253490"/>
            <wp:effectExtent l="0" t="0" r="9525" b="3810"/>
            <wp:docPr id="15" name="图片 15" descr="微信截图_2024032208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40322084505"/>
                    <pic:cNvPicPr>
                      <a:picLocks noChangeAspect="1"/>
                    </pic:cNvPicPr>
                  </pic:nvPicPr>
                  <pic:blipFill>
                    <a:blip r:embed="rId9"/>
                    <a:stretch>
                      <a:fillRect/>
                    </a:stretch>
                  </pic:blipFill>
                  <pic:spPr>
                    <a:xfrm>
                      <a:off x="0" y="0"/>
                      <a:ext cx="5610225" cy="1253490"/>
                    </a:xfrm>
                    <a:prstGeom prst="rect">
                      <a:avLst/>
                    </a:prstGeom>
                  </pic:spPr>
                </pic:pic>
              </a:graphicData>
            </a:graphic>
          </wp:inline>
        </w:drawing>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欧央行官员说，欧洲正处于“竞争力危机”之中。但如何提高竞争力，存在着分歧。</w:t>
      </w:r>
    </w:p>
    <w:p>
      <w:pPr>
        <w:ind w:firstLine="608"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欧洲工业可以通过削减工资或解雇大量工人来提高竞争力</w:t>
      </w:r>
      <w:r>
        <w:rPr>
          <w:rFonts w:hint="eastAsia" w:ascii="Times New Roman" w:hAnsi="Times New Roman" w:cs="Times New Roman"/>
          <w:sz w:val="32"/>
          <w:szCs w:val="32"/>
          <w:lang w:val="en-US" w:eastAsia="zh-CN"/>
        </w:rPr>
        <w:t>，但各国政府不</w:t>
      </w:r>
      <w:r>
        <w:rPr>
          <w:rFonts w:hint="default" w:ascii="Times New Roman" w:hAnsi="Times New Roman" w:cs="Times New Roman"/>
          <w:sz w:val="32"/>
          <w:szCs w:val="32"/>
          <w:lang w:val="en-US" w:eastAsia="zh-CN"/>
        </w:rPr>
        <w:t>希望看到</w:t>
      </w:r>
      <w:r>
        <w:rPr>
          <w:rFonts w:hint="eastAsia" w:ascii="Times New Roman" w:hAnsi="Times New Roman" w:cs="Times New Roman"/>
          <w:sz w:val="32"/>
          <w:szCs w:val="32"/>
          <w:lang w:val="en-US" w:eastAsia="zh-CN"/>
        </w:rPr>
        <w:t>这种局面</w:t>
      </w:r>
      <w:r>
        <w:rPr>
          <w:rFonts w:hint="default" w:ascii="Times New Roman" w:hAnsi="Times New Roman" w:cs="Times New Roman"/>
          <w:sz w:val="32"/>
          <w:szCs w:val="32"/>
          <w:lang w:val="en-US" w:eastAsia="zh-CN"/>
        </w:rPr>
        <w:t>。企业</w:t>
      </w:r>
      <w:r>
        <w:rPr>
          <w:rFonts w:hint="eastAsia" w:ascii="Times New Roman" w:hAnsi="Times New Roman" w:cs="Times New Roman"/>
          <w:sz w:val="32"/>
          <w:szCs w:val="32"/>
          <w:lang w:val="en-US" w:eastAsia="zh-CN"/>
        </w:rPr>
        <w:t>界有呼声</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应该</w:t>
      </w:r>
      <w:r>
        <w:rPr>
          <w:rFonts w:hint="default" w:ascii="Times New Roman" w:hAnsi="Times New Roman" w:cs="Times New Roman"/>
          <w:sz w:val="32"/>
          <w:szCs w:val="32"/>
          <w:lang w:val="en-US" w:eastAsia="zh-CN"/>
        </w:rPr>
        <w:t>放</w:t>
      </w:r>
      <w:r>
        <w:rPr>
          <w:rFonts w:hint="eastAsia" w:ascii="Times New Roman" w:hAnsi="Times New Roman" w:cs="Times New Roman"/>
          <w:sz w:val="32"/>
          <w:szCs w:val="32"/>
          <w:lang w:val="en-US" w:eastAsia="zh-CN"/>
        </w:rPr>
        <w:t>松</w:t>
      </w:r>
      <w:r>
        <w:rPr>
          <w:rFonts w:hint="default" w:ascii="Times New Roman" w:hAnsi="Times New Roman" w:cs="Times New Roman"/>
          <w:sz w:val="32"/>
          <w:szCs w:val="32"/>
          <w:lang w:val="en-US" w:eastAsia="zh-CN"/>
        </w:rPr>
        <w:t>绿色</w:t>
      </w:r>
      <w:r>
        <w:rPr>
          <w:rFonts w:hint="eastAsia" w:ascii="Times New Roman" w:hAnsi="Times New Roman" w:cs="Times New Roman"/>
          <w:sz w:val="32"/>
          <w:szCs w:val="32"/>
          <w:lang w:val="en-US" w:eastAsia="zh-CN"/>
        </w:rPr>
        <w:t>法规</w:t>
      </w:r>
      <w:r>
        <w:rPr>
          <w:rFonts w:hint="default" w:ascii="Times New Roman" w:hAnsi="Times New Roman" w:cs="Times New Roman"/>
          <w:sz w:val="32"/>
          <w:szCs w:val="32"/>
          <w:lang w:val="en-US" w:eastAsia="zh-CN"/>
        </w:rPr>
        <w:t>来提高</w:t>
      </w:r>
      <w:r>
        <w:rPr>
          <w:rFonts w:hint="eastAsia" w:ascii="Times New Roman" w:hAnsi="Times New Roman" w:cs="Times New Roman"/>
          <w:sz w:val="32"/>
          <w:szCs w:val="32"/>
          <w:lang w:val="en-US" w:eastAsia="zh-CN"/>
        </w:rPr>
        <w:t>产业</w:t>
      </w:r>
      <w:r>
        <w:rPr>
          <w:rFonts w:hint="default" w:ascii="Times New Roman" w:hAnsi="Times New Roman" w:cs="Times New Roman"/>
          <w:sz w:val="32"/>
          <w:szCs w:val="32"/>
          <w:lang w:val="en-US" w:eastAsia="zh-CN"/>
        </w:rPr>
        <w:t>竞争力，</w:t>
      </w:r>
      <w:r>
        <w:rPr>
          <w:rFonts w:hint="eastAsia" w:ascii="Times New Roman" w:hAnsi="Times New Roman" w:cs="Times New Roman"/>
          <w:sz w:val="32"/>
          <w:szCs w:val="32"/>
          <w:lang w:val="en-US" w:eastAsia="zh-CN"/>
        </w:rPr>
        <w:t>但面对全球气候变化这个更大的挑战，绝不能这么做</w:t>
      </w:r>
      <w:r>
        <w:rPr>
          <w:rFonts w:hint="default" w:ascii="Times New Roman" w:hAnsi="Times New Roman" w:cs="Times New Roman"/>
          <w:sz w:val="32"/>
          <w:szCs w:val="32"/>
          <w:lang w:val="en-US" w:eastAsia="zh-CN"/>
        </w:rPr>
        <w:t>。输入大量移民</w:t>
      </w:r>
      <w:r>
        <w:rPr>
          <w:rFonts w:hint="eastAsia" w:ascii="Times New Roman" w:hAnsi="Times New Roman" w:cs="Times New Roman"/>
          <w:sz w:val="32"/>
          <w:szCs w:val="32"/>
          <w:lang w:val="en-US" w:eastAsia="zh-CN"/>
        </w:rPr>
        <w:t>，也能</w:t>
      </w:r>
      <w:r>
        <w:rPr>
          <w:rFonts w:hint="default" w:ascii="Times New Roman" w:hAnsi="Times New Roman" w:cs="Times New Roman"/>
          <w:sz w:val="32"/>
          <w:szCs w:val="32"/>
          <w:lang w:val="en-US" w:eastAsia="zh-CN"/>
        </w:rPr>
        <w:t>提高</w:t>
      </w:r>
      <w:r>
        <w:rPr>
          <w:rFonts w:hint="eastAsia" w:ascii="Times New Roman" w:hAnsi="Times New Roman" w:cs="Times New Roman"/>
          <w:sz w:val="32"/>
          <w:szCs w:val="32"/>
          <w:lang w:val="en-US" w:eastAsia="zh-CN"/>
        </w:rPr>
        <w:t>竞争力、扩大总产出</w:t>
      </w:r>
      <w:r>
        <w:rPr>
          <w:rFonts w:hint="default" w:ascii="Times New Roman" w:hAnsi="Times New Roman" w:cs="Times New Roman"/>
          <w:sz w:val="32"/>
          <w:szCs w:val="32"/>
          <w:lang w:val="en-US" w:eastAsia="zh-CN"/>
        </w:rPr>
        <w:t>，但</w:t>
      </w:r>
      <w:r>
        <w:rPr>
          <w:rFonts w:hint="eastAsia" w:ascii="Times New Roman" w:hAnsi="Times New Roman" w:cs="Times New Roman"/>
          <w:sz w:val="32"/>
          <w:szCs w:val="32"/>
          <w:lang w:val="en-US" w:eastAsia="zh-CN"/>
        </w:rPr>
        <w:t>由此</w:t>
      </w:r>
      <w:r>
        <w:rPr>
          <w:rFonts w:hint="default" w:ascii="Times New Roman" w:hAnsi="Times New Roman" w:cs="Times New Roman"/>
          <w:sz w:val="32"/>
          <w:szCs w:val="32"/>
          <w:lang w:val="en-US" w:eastAsia="zh-CN"/>
        </w:rPr>
        <w:t>产生</w:t>
      </w:r>
      <w:r>
        <w:rPr>
          <w:rFonts w:hint="eastAsia" w:ascii="Times New Roman" w:hAnsi="Times New Roman" w:cs="Times New Roman"/>
          <w:sz w:val="32"/>
          <w:szCs w:val="32"/>
          <w:lang w:val="en-US" w:eastAsia="zh-CN"/>
        </w:rPr>
        <w:t>的</w:t>
      </w:r>
      <w:r>
        <w:rPr>
          <w:rFonts w:hint="default" w:ascii="Times New Roman" w:hAnsi="Times New Roman" w:cs="Times New Roman"/>
          <w:sz w:val="32"/>
          <w:szCs w:val="32"/>
          <w:lang w:val="en-US" w:eastAsia="zh-CN"/>
        </w:rPr>
        <w:t>政治影响</w:t>
      </w:r>
      <w:r>
        <w:rPr>
          <w:rFonts w:hint="eastAsia" w:ascii="Times New Roman" w:hAnsi="Times New Roman" w:cs="Times New Roman"/>
          <w:sz w:val="32"/>
          <w:szCs w:val="32"/>
          <w:lang w:val="en-US" w:eastAsia="zh-CN"/>
        </w:rPr>
        <w:t>难以控制</w:t>
      </w:r>
      <w:r>
        <w:rPr>
          <w:rFonts w:hint="default" w:ascii="Times New Roman" w:hAnsi="Times New Roman" w:cs="Times New Roman"/>
          <w:sz w:val="32"/>
          <w:szCs w:val="32"/>
          <w:lang w:val="en-US" w:eastAsia="zh-CN"/>
        </w:rPr>
        <w:t>。</w:t>
      </w:r>
    </w:p>
    <w:tbl>
      <w:tblPr>
        <w:tblStyle w:val="15"/>
        <w:tblpPr w:leftFromText="180" w:rightFromText="180" w:vertAnchor="text" w:horzAnchor="page" w:tblpX="1668" w:tblpY="181"/>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23"/>
        <w:gridCol w:w="43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38" w:hRule="atLeast"/>
        </w:trPr>
        <w:tc>
          <w:tcPr>
            <w:tcW w:w="4623" w:type="dxa"/>
            <w:vMerge w:val="restart"/>
            <w:tcBorders>
              <w:tl2br w:val="nil"/>
              <w:tr2bl w:val="nil"/>
            </w:tcBorders>
            <w:vAlign w:val="top"/>
          </w:tcPr>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过去，欧洲某些产业是依赖廉价能源来获取竞争力并维持生产的，如果廉价的俄罗斯天然气一直无法供应，欧洲这些能源密集型的产业可能永远无法恢复了。</w:t>
            </w:r>
          </w:p>
        </w:tc>
        <w:tc>
          <w:tcPr>
            <w:tcW w:w="4317" w:type="dxa"/>
            <w:tcBorders>
              <w:tl2br w:val="nil"/>
              <w:tr2bl w:val="nil"/>
            </w:tcBorders>
            <w:vAlign w:val="top"/>
          </w:tcPr>
          <w:p>
            <w:pPr>
              <w:jc w:val="left"/>
              <w:rPr>
                <w:rFonts w:hint="default" w:ascii="Times New Roman" w:hAnsi="Times New Roman" w:cs="Times New Roman"/>
                <w:sz w:val="32"/>
                <w:szCs w:val="32"/>
                <w:vertAlign w:val="baseline"/>
              </w:rPr>
            </w:pPr>
            <w:r>
              <w:drawing>
                <wp:inline distT="0" distB="0" distL="114300" distR="114300">
                  <wp:extent cx="2517140" cy="1623060"/>
                  <wp:effectExtent l="0" t="0" r="16510"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2517140" cy="16230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6" w:hRule="atLeast"/>
        </w:trPr>
        <w:tc>
          <w:tcPr>
            <w:tcW w:w="4623" w:type="dxa"/>
            <w:vMerge w:val="continue"/>
            <w:tcBorders>
              <w:tl2br w:val="nil"/>
              <w:tr2bl w:val="nil"/>
            </w:tcBorders>
            <w:vAlign w:val="top"/>
          </w:tcPr>
          <w:p>
            <w:pPr>
              <w:jc w:val="left"/>
              <w:rPr>
                <w:rFonts w:hint="eastAsia" w:ascii="Times New Roman" w:hAnsi="Times New Roman" w:cs="Times New Roman"/>
                <w:sz w:val="32"/>
                <w:szCs w:val="32"/>
                <w:lang w:val="en-US" w:eastAsia="zh-CN"/>
              </w:rPr>
            </w:pPr>
          </w:p>
        </w:tc>
        <w:tc>
          <w:tcPr>
            <w:tcW w:w="4317"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pPr>
            <w:r>
              <w:rPr>
                <w:rFonts w:hint="eastAsia" w:ascii="方正楷体_GBK" w:hAnsi="方正楷体_GBK" w:eastAsia="方正楷体_GBK" w:cs="方正楷体_GBK"/>
                <w:sz w:val="28"/>
                <w:szCs w:val="28"/>
                <w:lang w:eastAsia="zh-CN"/>
              </w:rPr>
              <w:t>（图：</w:t>
            </w:r>
            <w:r>
              <w:rPr>
                <w:rFonts w:hint="eastAsia" w:ascii="方正楷体_GBK" w:hAnsi="方正楷体_GBK" w:eastAsia="方正楷体_GBK" w:cs="方正楷体_GBK"/>
                <w:sz w:val="28"/>
                <w:szCs w:val="28"/>
                <w:lang w:val="en-US" w:eastAsia="zh-CN"/>
              </w:rPr>
              <w:t>法国的经济增长率</w:t>
            </w:r>
            <w:r>
              <w:rPr>
                <w:rFonts w:hint="eastAsia" w:ascii="方正楷体_GBK" w:hAnsi="方正楷体_GBK" w:eastAsia="方正楷体_GBK" w:cs="方正楷体_GBK"/>
                <w:sz w:val="28"/>
                <w:szCs w:val="28"/>
                <w:lang w:eastAsia="zh-CN"/>
              </w:rPr>
              <w:t>）</w:t>
            </w:r>
          </w:p>
        </w:tc>
      </w:tr>
    </w:tbl>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18</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一</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埃及汇率暴跌陷入债务危机，欧盟承诺相助</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因俄乌战争和巴以冲突的影响，埃及粮食支出猛增，旅游收入和苏伊士运河通行收入锐减，经济遭受巨大的冲击，2023年12月份的年化通货膨胀率达到34%，埃及镑的汇率持续走低，几近崩溃（见图），货币贬值又导致埃及政府陷入债务危机。</w:t>
      </w:r>
    </w:p>
    <w:p>
      <w:pPr>
        <w:ind w:firstLine="388" w:firstLineChars="200"/>
        <w:jc w:val="center"/>
      </w:pPr>
      <w:r>
        <w:drawing>
          <wp:inline distT="0" distB="0" distL="114300" distR="114300">
            <wp:extent cx="3081655" cy="2150110"/>
            <wp:effectExtent l="0" t="0" r="4445" b="254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a:stretch>
                      <a:fillRect/>
                    </a:stretch>
                  </pic:blipFill>
                  <pic:spPr>
                    <a:xfrm>
                      <a:off x="0" y="0"/>
                      <a:ext cx="3081655" cy="2150110"/>
                    </a:xfrm>
                    <a:prstGeom prst="rect">
                      <a:avLst/>
                    </a:prstGeom>
                    <a:noFill/>
                    <a:ln>
                      <a:noFill/>
                    </a:ln>
                  </pic:spPr>
                </pic:pic>
              </a:graphicData>
            </a:graphic>
          </wp:inline>
        </w:drawing>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埃及的地缘位置极为重要，对中东地区的政治影响巨大。近日，欧盟宣布将在三年内向埃及提供74亿欧元（81亿美元）的一揽子援助。该计划旨在支撑埃及疲弱的经济，以此限制离开埃及前往欧洲的移民数量。欧盟与埃及将双边关系升级为“战略伙伴关系”，并计划在能源和贸易等多个经济领域开展合作。</w:t>
      </w:r>
    </w:p>
    <w:p>
      <w:pPr>
        <w:ind w:firstLine="388" w:firstLineChars="200"/>
        <w:jc w:val="center"/>
        <w:rPr>
          <w:rFonts w:hint="eastAsia" w:ascii="Times New Roman" w:hAnsi="Times New Roman" w:cs="Times New Roman"/>
          <w:sz w:val="32"/>
          <w:szCs w:val="32"/>
          <w:lang w:val="en-US" w:eastAsia="zh-CN"/>
        </w:rPr>
      </w:pPr>
      <w:r>
        <w:drawing>
          <wp:inline distT="0" distB="0" distL="114300" distR="114300">
            <wp:extent cx="3819525" cy="1498600"/>
            <wp:effectExtent l="0" t="0" r="9525" b="635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2"/>
                    <a:stretch>
                      <a:fillRect/>
                    </a:stretch>
                  </pic:blipFill>
                  <pic:spPr>
                    <a:xfrm>
                      <a:off x="0" y="0"/>
                      <a:ext cx="3819525" cy="1498600"/>
                    </a:xfrm>
                    <a:prstGeom prst="rect">
                      <a:avLst/>
                    </a:prstGeom>
                    <a:noFill/>
                    <a:ln>
                      <a:noFill/>
                    </a:ln>
                  </pic:spPr>
                </pic:pic>
              </a:graphicData>
            </a:graphic>
          </wp:inline>
        </w:drawing>
      </w:r>
    </w:p>
    <w:p>
      <w:pPr>
        <w:ind w:left="0" w:leftChars="0" w:firstLine="0" w:firstLineChars="0"/>
        <w:jc w:val="left"/>
        <w:rPr>
          <w:rFonts w:hint="default" w:ascii="Calibri" w:hAnsi="Calibri" w:eastAsia="宋体" w:cs="Calibri"/>
          <w:b/>
          <w:bCs/>
          <w:color w:val="0000FF"/>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19</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二</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日本结束负利率政策，密切关注日元走势</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3月19日，日本央行宣布结束负利率政策，它是全球最后一个结束该政策的大型经济体。</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17年来，日本央行首次调整利率，将利率从负0.1%上调至0%至0.1%的范围。同时，还宣布取消了“收益率曲线控制”政策，该政策旨在压低长期债券的收益率，以刺激投资。</w:t>
      </w:r>
    </w:p>
    <w:p>
      <w:pPr>
        <w:ind w:firstLine="388" w:firstLineChars="200"/>
        <w:jc w:val="center"/>
      </w:pPr>
      <w:r>
        <w:drawing>
          <wp:inline distT="0" distB="0" distL="114300" distR="114300">
            <wp:extent cx="2813685" cy="1655445"/>
            <wp:effectExtent l="0" t="0" r="5715" b="190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3"/>
                    <a:stretch>
                      <a:fillRect/>
                    </a:stretch>
                  </pic:blipFill>
                  <pic:spPr>
                    <a:xfrm>
                      <a:off x="0" y="0"/>
                      <a:ext cx="2813685" cy="16554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outlineLvl w:val="9"/>
        <w:rPr>
          <w:rFonts w:hint="eastAsia" w:ascii="Times New Roman" w:hAnsi="Times New Roman" w:eastAsia="方正楷体_GBK" w:cs="方正楷体_GBK"/>
          <w:lang w:val="en-US" w:eastAsia="zh-CN"/>
        </w:rPr>
      </w:pPr>
      <w:r>
        <w:rPr>
          <w:rFonts w:hint="eastAsia" w:ascii="Times New Roman" w:hAnsi="Times New Roman" w:eastAsia="方正楷体_GBK" w:cs="方正楷体_GBK"/>
          <w:lang w:val="en-US" w:eastAsia="zh-CN"/>
        </w:rPr>
        <w:t>（图：日本央行行长植田和男，2023年4月9日就职，任期为5年）</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日本央行的这一决策是对当前经济形势的回应。3月15日公布的2024年“春斗”（劳资双方的工资谈判）结果显示，日本最大工会争取到的年度工资涨幅达到5.28%，高于2023年的3.8%，并创下了30年来最大涨幅。</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日本通胀率连续22个月高于央行设定的2%目标，再加上工资增长强劲，表明日本经济正在复苏。因此，日本央行对经济前景的信心增强，从而着手开始“货币政策正常化”，为未来的经济发展留出更多空间。</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消息发布后，外汇市场上日元兑美元却开始走低，突破150关口，日元后续的走势仍需密切关注。</w:t>
      </w:r>
    </w:p>
    <w:p>
      <w:pPr>
        <w:ind w:left="0" w:leftChars="0" w:firstLine="0" w:firstLineChars="0"/>
        <w:jc w:val="left"/>
        <w:rPr>
          <w:rFonts w:hint="default" w:ascii="Calibri" w:hAnsi="Calibri" w:eastAsia="宋体" w:cs="Calibri"/>
          <w:b/>
          <w:bCs/>
          <w:color w:val="0000FF"/>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20</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三</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美国1月资本流入减少，英国2月通胀持续，</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德国生产依旧疲弱</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美国财政部公布，1月美国国际资本净流入为-88亿美元，远低于前值的1398亿美元；1月美国长期资本净流入361亿美元，远低于前值的1602亿美元。</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highlight w:val="none"/>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b/>
          <w:bCs/>
          <w:sz w:val="28"/>
          <w:szCs w:val="28"/>
          <w:lang w:val="en-US" w:eastAsia="zh-CN"/>
        </w:rPr>
        <w:t>国际资本净流入</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（Net International Capital Flows）是一个宏观经济指标，用于评估国际投资者对美国经济的投资状况。</w:t>
      </w:r>
      <w:r>
        <w:rPr>
          <w:rFonts w:hint="eastAsia" w:ascii="Times New Roman" w:hAnsi="Times New Roman" w:eastAsia="方正楷体_GBK" w:cs="Calibri"/>
          <w:sz w:val="28"/>
          <w:szCs w:val="28"/>
          <w:lang w:val="en-US" w:eastAsia="zh-CN"/>
        </w:rPr>
        <w:t>它是指</w:t>
      </w:r>
      <w:r>
        <w:rPr>
          <w:rFonts w:hint="default" w:ascii="Times New Roman" w:hAnsi="Times New Roman" w:eastAsia="方正楷体_GBK" w:cs="Calibri"/>
          <w:sz w:val="28"/>
          <w:szCs w:val="28"/>
          <w:lang w:val="en-US" w:eastAsia="zh-CN"/>
        </w:rPr>
        <w:t>国际资本在一定时间内（通常是一个月）流入或流出美国经济的净额</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包括各种资本形式，如股票、债券、直接投资和其他投资等。</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Calibri"/>
          <w:sz w:val="28"/>
          <w:szCs w:val="28"/>
          <w:lang w:val="en-US" w:eastAsia="zh-CN"/>
        </w:rPr>
      </w:pPr>
      <w:r>
        <w:rPr>
          <w:rFonts w:hint="eastAsia" w:ascii="Times New Roman" w:hAnsi="Times New Roman" w:eastAsia="方正楷体_GBK" w:cs="Calibri"/>
          <w:b/>
          <w:bCs/>
          <w:sz w:val="28"/>
          <w:szCs w:val="28"/>
          <w:lang w:val="en-US" w:eastAsia="zh-CN"/>
        </w:rPr>
        <w:t>“</w:t>
      </w:r>
      <w:r>
        <w:rPr>
          <w:rFonts w:hint="default" w:ascii="Times New Roman" w:hAnsi="Times New Roman" w:eastAsia="方正楷体_GBK" w:cs="Calibri"/>
          <w:b/>
          <w:bCs/>
          <w:sz w:val="28"/>
          <w:szCs w:val="28"/>
          <w:lang w:val="en-US" w:eastAsia="zh-CN"/>
        </w:rPr>
        <w:t>长期资本净流入</w:t>
      </w:r>
      <w:r>
        <w:rPr>
          <w:rFonts w:hint="eastAsia" w:ascii="Times New Roman" w:hAnsi="Times New Roman" w:eastAsia="方正楷体_GBK" w:cs="Calibri"/>
          <w:b/>
          <w:bCs/>
          <w:sz w:val="28"/>
          <w:szCs w:val="28"/>
          <w:lang w:val="en-US" w:eastAsia="zh-CN"/>
        </w:rPr>
        <w:t>”</w:t>
      </w:r>
      <w:r>
        <w:rPr>
          <w:rFonts w:hint="default" w:ascii="Times New Roman" w:hAnsi="Times New Roman" w:eastAsia="方正楷体_GBK" w:cs="Calibri"/>
          <w:sz w:val="28"/>
          <w:szCs w:val="28"/>
          <w:lang w:val="en-US" w:eastAsia="zh-CN"/>
        </w:rPr>
        <w:t>（Net Long-Term Capital Inflows）</w:t>
      </w:r>
      <w:r>
        <w:rPr>
          <w:rFonts w:hint="eastAsia" w:ascii="Times New Roman" w:hAnsi="Times New Roman" w:eastAsia="方正楷体_GBK" w:cs="Calibri"/>
          <w:sz w:val="28"/>
          <w:szCs w:val="28"/>
          <w:lang w:val="en-US" w:eastAsia="zh-CN"/>
        </w:rPr>
        <w:t>是“</w:t>
      </w:r>
      <w:r>
        <w:rPr>
          <w:rFonts w:hint="default" w:ascii="Times New Roman" w:hAnsi="Times New Roman" w:eastAsia="方正楷体_GBK" w:cs="Calibri"/>
          <w:sz w:val="28"/>
          <w:szCs w:val="28"/>
          <w:lang w:val="en-US" w:eastAsia="zh-CN"/>
        </w:rPr>
        <w:t>国际资本净流入</w:t>
      </w:r>
      <w:r>
        <w:rPr>
          <w:rFonts w:hint="eastAsia" w:ascii="Times New Roman" w:hAnsi="Times New Roman" w:eastAsia="方正楷体_GBK" w:cs="Calibri"/>
          <w:sz w:val="28"/>
          <w:szCs w:val="28"/>
          <w:lang w:val="en-US" w:eastAsia="zh-CN"/>
        </w:rPr>
        <w:t>”指标</w:t>
      </w:r>
      <w:r>
        <w:rPr>
          <w:rFonts w:hint="default" w:ascii="Times New Roman" w:hAnsi="Times New Roman" w:eastAsia="方正楷体_GBK" w:cs="Calibri"/>
          <w:sz w:val="28"/>
          <w:szCs w:val="28"/>
          <w:lang w:val="en-US" w:eastAsia="zh-CN"/>
        </w:rPr>
        <w:t>的一个特定子类别</w:t>
      </w:r>
      <w:r>
        <w:rPr>
          <w:rFonts w:hint="eastAsia" w:ascii="Times New Roman" w:hAnsi="Times New Roman" w:eastAsia="方正楷体_GBK" w:cs="Calibri"/>
          <w:sz w:val="28"/>
          <w:szCs w:val="28"/>
          <w:lang w:val="en-US" w:eastAsia="zh-CN"/>
        </w:rPr>
        <w:t>，用于衡量</w:t>
      </w:r>
      <w:r>
        <w:rPr>
          <w:rFonts w:hint="default" w:ascii="Times New Roman" w:hAnsi="Times New Roman" w:eastAsia="方正楷体_GBK" w:cs="Calibri"/>
          <w:sz w:val="28"/>
          <w:szCs w:val="28"/>
          <w:lang w:val="en-US" w:eastAsia="zh-CN"/>
        </w:rPr>
        <w:t>较长时间期间（通常是一年）内从国际投资者流入美国经济的资本净额。这些资本可以是直接投资、投资组合投资（如股票和债券）以及其他长期投资。长期资本净流入主要关注长期投资的规模和趋势。</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eastAsia" w:ascii="Times New Roman" w:hAnsi="Times New Roman" w:eastAsia="方正楷体_GBK" w:cs="Calibri"/>
          <w:sz w:val="28"/>
          <w:szCs w:val="28"/>
          <w:lang w:val="en-US" w:eastAsia="zh-CN"/>
        </w:rPr>
      </w:pPr>
      <w:r>
        <w:rPr>
          <w:rFonts w:hint="default" w:ascii="Times New Roman" w:hAnsi="Times New Roman" w:eastAsia="方正楷体_GBK" w:cs="Calibri"/>
          <w:sz w:val="28"/>
          <w:szCs w:val="28"/>
          <w:lang w:val="en-US" w:eastAsia="zh-CN"/>
        </w:rPr>
        <w:t>资本呈现净流入，对美元需求增加，利好美元；资本呈现净流出，表明投资者</w:t>
      </w:r>
      <w:r>
        <w:rPr>
          <w:rFonts w:hint="eastAsia" w:ascii="Times New Roman" w:hAnsi="Times New Roman" w:eastAsia="方正楷体_GBK" w:cs="Calibri"/>
          <w:sz w:val="28"/>
          <w:szCs w:val="28"/>
          <w:lang w:val="en-US" w:eastAsia="zh-CN"/>
        </w:rPr>
        <w:t>短线</w:t>
      </w:r>
      <w:r>
        <w:rPr>
          <w:rFonts w:hint="default" w:ascii="Times New Roman" w:hAnsi="Times New Roman" w:eastAsia="方正楷体_GBK" w:cs="Calibri"/>
          <w:sz w:val="28"/>
          <w:szCs w:val="28"/>
          <w:lang w:val="en-US" w:eastAsia="zh-CN"/>
        </w:rPr>
        <w:t>不看好美国</w:t>
      </w:r>
      <w:r>
        <w:rPr>
          <w:rFonts w:hint="eastAsia" w:ascii="Times New Roman" w:hAnsi="Times New Roman" w:eastAsia="方正楷体_GBK" w:cs="Calibri"/>
          <w:sz w:val="28"/>
          <w:szCs w:val="28"/>
          <w:lang w:val="en-US" w:eastAsia="zh-CN"/>
        </w:rPr>
        <w:t>市场</w:t>
      </w:r>
      <w:r>
        <w:rPr>
          <w:rFonts w:hint="default" w:ascii="Times New Roman" w:hAnsi="Times New Roman" w:eastAsia="方正楷体_GBK" w:cs="Calibri"/>
          <w:sz w:val="28"/>
          <w:szCs w:val="28"/>
          <w:lang w:val="en-US" w:eastAsia="zh-CN"/>
        </w:rPr>
        <w:t>，利空美元。</w:t>
      </w:r>
      <w:r>
        <w:rPr>
          <w:rFonts w:hint="eastAsia" w:ascii="Times New Roman" w:hAnsi="Times New Roman" w:eastAsia="方正楷体_GBK" w:cs="Calibri"/>
          <w:sz w:val="28"/>
          <w:szCs w:val="28"/>
          <w:lang w:val="en-US" w:eastAsia="zh-CN"/>
        </w:rPr>
        <w:t>）</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加拿大统计局和英国统计局先后公布了各自的消费者价格指数，数据显示（见表格），加拿大正进入抑制通胀的“最后一里路”阶段，但英国的通胀水平仍处高位，英国央行（英格兰银行）仍将维持高利率。</w:t>
      </w:r>
    </w:p>
    <w:p>
      <w:pPr>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614670" cy="1553210"/>
            <wp:effectExtent l="0" t="0" r="5080" b="8890"/>
            <wp:docPr id="27" name="图片 27" descr="微信截图_20240322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截图_20240322100350"/>
                    <pic:cNvPicPr>
                      <a:picLocks noChangeAspect="1"/>
                    </pic:cNvPicPr>
                  </pic:nvPicPr>
                  <pic:blipFill>
                    <a:blip r:embed="rId14"/>
                    <a:stretch>
                      <a:fillRect/>
                    </a:stretch>
                  </pic:blipFill>
                  <pic:spPr>
                    <a:xfrm>
                      <a:off x="0" y="0"/>
                      <a:ext cx="5614670" cy="1553210"/>
                    </a:xfrm>
                    <a:prstGeom prst="rect">
                      <a:avLst/>
                    </a:prstGeom>
                  </pic:spPr>
                </pic:pic>
              </a:graphicData>
            </a:graphic>
          </wp:inline>
        </w:drawing>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此外，德国联邦统计局公布，2月德国生产者价格指标（PPI）同比为-4.1%，环比为－0.4%，显示德国经济的供给侧依然疲弱不振。</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今日，美联储议息会议开始，全球市场密切关注即将公布的FOMC利率决议和点阵图。</w:t>
      </w:r>
    </w:p>
    <w:p>
      <w:pPr>
        <w:ind w:left="0" w:leftChars="0" w:firstLine="0" w:firstLineChars="0"/>
        <w:jc w:val="left"/>
        <w:rPr>
          <w:rFonts w:hint="eastAsia"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Calibri" w:hAnsi="Calibri" w:eastAsia="宋体" w:cs="Calibri"/>
          <w:b/>
          <w:bCs/>
          <w:color w:val="0000FF"/>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21</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四</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FOMC维持利率水平不变，美国股市创下新高</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美联储公布3月议息会议决议，第五次（会议）将基准利率维持在5.25%至5.5%之间（见图），符合市场预期。决议公布后，美国股市大涨，标普500指数创下5226.19点的历史新高。</w:t>
      </w:r>
    </w:p>
    <w:p>
      <w:pPr>
        <w:jc w:val="center"/>
        <w:rPr>
          <w:rFonts w:hint="eastAsia"/>
          <w:lang w:val="en-US" w:eastAsia="zh-CN"/>
        </w:rPr>
      </w:pPr>
      <w:r>
        <w:rPr>
          <w:rFonts w:hint="eastAsia"/>
          <w:lang w:val="en-US" w:eastAsia="zh-CN"/>
        </w:rPr>
        <w:drawing>
          <wp:inline distT="0" distB="0" distL="114300" distR="114300">
            <wp:extent cx="3557270" cy="2467610"/>
            <wp:effectExtent l="0" t="0" r="5080" b="8890"/>
            <wp:docPr id="29" name="图片 29" descr="（20240321）FOMC第五次维持F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40321）FOMC第五次维持FFR"/>
                    <pic:cNvPicPr>
                      <a:picLocks noChangeAspect="1"/>
                    </pic:cNvPicPr>
                  </pic:nvPicPr>
                  <pic:blipFill>
                    <a:blip r:embed="rId15"/>
                    <a:stretch>
                      <a:fillRect/>
                    </a:stretch>
                  </pic:blipFill>
                  <pic:spPr>
                    <a:xfrm>
                      <a:off x="0" y="0"/>
                      <a:ext cx="3557270" cy="24676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Calibri" w:hAnsi="Calibri" w:eastAsia="仿宋_GB2312" w:cs="Calibri"/>
          <w:lang w:eastAsia="zh-CN"/>
        </w:rPr>
      </w:pPr>
      <w:r>
        <w:rPr>
          <w:rFonts w:hint="default" w:ascii="Times New Roman" w:hAnsi="Times New Roman" w:eastAsia="方正楷体_GBK" w:cs="Calibri"/>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default" w:ascii="Times New Roman" w:hAnsi="Times New Roman" w:eastAsia="方正楷体_GBK" w:cs="Calibri"/>
          <w:sz w:val="28"/>
          <w:szCs w:val="28"/>
          <w:lang w:val="en-US" w:eastAsia="zh-CN"/>
        </w:rPr>
        <w:t>美联储每年一般召开8次</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b/>
          <w:bCs/>
          <w:sz w:val="28"/>
          <w:szCs w:val="28"/>
          <w:lang w:val="en-US" w:eastAsia="zh-CN"/>
        </w:rPr>
        <w:t>联邦公开市场委员会</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（Federal Open Market Committee，</w:t>
      </w:r>
      <w:r>
        <w:rPr>
          <w:rFonts w:hint="eastAsia" w:ascii="Times New Roman" w:hAnsi="Times New Roman" w:eastAsia="方正楷体_GBK" w:cs="Calibri"/>
          <w:sz w:val="28"/>
          <w:szCs w:val="28"/>
          <w:lang w:val="en-US" w:eastAsia="zh-CN"/>
        </w:rPr>
        <w:t>简称</w:t>
      </w:r>
      <w:r>
        <w:rPr>
          <w:rFonts w:hint="default" w:ascii="Times New Roman" w:hAnsi="Times New Roman" w:eastAsia="方正楷体_GBK" w:cs="Calibri"/>
          <w:b/>
          <w:bCs/>
          <w:sz w:val="28"/>
          <w:szCs w:val="28"/>
          <w:lang w:val="en-US" w:eastAsia="zh-CN"/>
        </w:rPr>
        <w:t>FOMC</w:t>
      </w:r>
      <w:r>
        <w:rPr>
          <w:rFonts w:hint="default" w:ascii="Times New Roman" w:hAnsi="Times New Roman" w:eastAsia="方正楷体_GBK" w:cs="Calibri"/>
          <w:sz w:val="28"/>
          <w:szCs w:val="28"/>
          <w:lang w:val="en-US" w:eastAsia="zh-CN"/>
        </w:rPr>
        <w:t>）会议</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审议当前的经济状况、通胀水平、就业数据和其他相关指标，以及全球经济环境等因素。就是否需要调整利率水平、采取其他货币政策工具等问题进行讨论和决策</w:t>
      </w:r>
      <w:r>
        <w:rPr>
          <w:rFonts w:hint="eastAsia" w:ascii="Times New Roman" w:hAnsi="Times New Roman" w:eastAsia="方正楷体_GBK" w:cs="Calibri"/>
          <w:sz w:val="28"/>
          <w:szCs w:val="28"/>
          <w:lang w:val="en-US" w:eastAsia="zh-CN"/>
        </w:rPr>
        <w:t>，因此也被称为“</w:t>
      </w:r>
      <w:r>
        <w:rPr>
          <w:rFonts w:hint="eastAsia" w:ascii="Times New Roman" w:hAnsi="Times New Roman" w:eastAsia="方正楷体_GBK" w:cs="Calibri"/>
          <w:b/>
          <w:bCs/>
          <w:sz w:val="28"/>
          <w:szCs w:val="28"/>
          <w:lang w:val="en-US" w:eastAsia="zh-CN"/>
        </w:rPr>
        <w:t>议息会议</w:t>
      </w:r>
      <w:r>
        <w:rPr>
          <w:rFonts w:hint="eastAsia" w:ascii="Times New Roman" w:hAnsi="Times New Roman" w:eastAsia="方正楷体_GBK" w:cs="Calibri"/>
          <w:sz w:val="28"/>
          <w:szCs w:val="28"/>
          <w:lang w:val="en-US" w:eastAsia="zh-CN"/>
        </w:rPr>
        <w:t>”或“</w:t>
      </w:r>
      <w:r>
        <w:rPr>
          <w:rFonts w:hint="eastAsia" w:ascii="Times New Roman" w:hAnsi="Times New Roman" w:eastAsia="方正楷体_GBK" w:cs="Calibri"/>
          <w:b/>
          <w:bCs/>
          <w:sz w:val="28"/>
          <w:szCs w:val="28"/>
          <w:lang w:val="en-US" w:eastAsia="zh-CN"/>
        </w:rPr>
        <w:t>利率会议</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eastAsia="zh-CN"/>
        </w:rPr>
        <w:t>FOMC由12位成员组成，其中7位是美联储的理事（含正副主席），5位</w:t>
      </w:r>
      <w:r>
        <w:rPr>
          <w:rFonts w:hint="eastAsia" w:ascii="Times New Roman" w:hAnsi="Times New Roman" w:eastAsia="方正楷体_GBK" w:cs="Calibri"/>
          <w:sz w:val="28"/>
          <w:szCs w:val="28"/>
          <w:lang w:eastAsia="zh-CN"/>
        </w:rPr>
        <w:t>是</w:t>
      </w:r>
      <w:r>
        <w:rPr>
          <w:rFonts w:hint="default" w:ascii="Times New Roman" w:hAnsi="Times New Roman" w:eastAsia="方正楷体_GBK" w:cs="Calibri"/>
          <w:sz w:val="28"/>
          <w:szCs w:val="28"/>
          <w:lang w:eastAsia="zh-CN"/>
        </w:rPr>
        <w:t>12个地区联邦储备银行行长。这12人参加FOMC会议，并拥有对会议决策的投票权，所以被称为</w:t>
      </w:r>
      <w:r>
        <w:rPr>
          <w:rFonts w:hint="eastAsia" w:ascii="Times New Roman" w:hAnsi="Times New Roman" w:eastAsia="方正楷体_GBK" w:cs="Calibri"/>
          <w:sz w:val="28"/>
          <w:szCs w:val="28"/>
          <w:lang w:eastAsia="zh-CN"/>
        </w:rPr>
        <w:t>“</w:t>
      </w:r>
      <w:r>
        <w:rPr>
          <w:rFonts w:hint="default" w:ascii="Times New Roman" w:hAnsi="Times New Roman" w:eastAsia="方正楷体_GBK" w:cs="Calibri"/>
          <w:b/>
          <w:bCs/>
          <w:sz w:val="28"/>
          <w:szCs w:val="28"/>
          <w:lang w:eastAsia="zh-CN"/>
        </w:rPr>
        <w:t>票委</w:t>
      </w:r>
      <w:r>
        <w:rPr>
          <w:rFonts w:hint="eastAsia" w:ascii="Times New Roman" w:hAnsi="Times New Roman" w:eastAsia="方正楷体_GBK" w:cs="Calibri"/>
          <w:sz w:val="28"/>
          <w:szCs w:val="28"/>
          <w:lang w:eastAsia="zh-CN"/>
        </w:rPr>
        <w:t>”</w:t>
      </w:r>
      <w:r>
        <w:rPr>
          <w:rFonts w:hint="default" w:ascii="Times New Roman" w:hAnsi="Times New Roman" w:eastAsia="方正楷体_GBK" w:cs="Calibri"/>
          <w:sz w:val="28"/>
          <w:szCs w:val="28"/>
          <w:lang w:eastAsia="zh-CN"/>
        </w:rPr>
        <w:t>。</w:t>
      </w:r>
      <w:r>
        <w:rPr>
          <w:rFonts w:hint="eastAsia" w:ascii="Times New Roman" w:hAnsi="Times New Roman" w:eastAsia="方正楷体_GBK" w:cs="Calibri"/>
          <w:sz w:val="28"/>
          <w:szCs w:val="28"/>
          <w:lang w:eastAsia="zh-CN"/>
        </w:rPr>
        <w:t>）</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随着经济增长放缓，美联储官员们预计今年将降息三次（见“点阵图”）。美联储主席鲍威尔会后表示，对降低通胀方面取得的进展感到满意，但没有说明何时可能开始降息。市场预计，美联储最早将于6月开始降息。</w:t>
      </w:r>
    </w:p>
    <w:p>
      <w:pPr>
        <w:ind w:firstLine="388" w:firstLineChars="200"/>
        <w:jc w:val="center"/>
      </w:pPr>
      <w:r>
        <w:drawing>
          <wp:inline distT="0" distB="0" distL="114300" distR="114300">
            <wp:extent cx="4623435" cy="2600960"/>
            <wp:effectExtent l="0" t="0" r="5715" b="889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6"/>
                    <a:stretch>
                      <a:fillRect/>
                    </a:stretch>
                  </pic:blipFill>
                  <pic:spPr>
                    <a:xfrm>
                      <a:off x="0" y="0"/>
                      <a:ext cx="4623435" cy="26009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eastAsia" w:ascii="Times New Roman" w:hAnsi="Times New Roman" w:eastAsia="方正楷体_GBK" w:cs="Calibri"/>
          <w:sz w:val="28"/>
          <w:szCs w:val="28"/>
          <w:lang w:eastAsia="zh-CN"/>
        </w:rPr>
      </w:pPr>
      <w:r>
        <w:rPr>
          <w:rFonts w:hint="eastAsia" w:ascii="Times New Roman" w:hAnsi="Times New Roman" w:eastAsia="方正楷体_GBK"/>
          <w:sz w:val="28"/>
          <w:szCs w:val="28"/>
          <w:lang w:eastAsia="zh-CN"/>
        </w:rPr>
        <w:t>（</w:t>
      </w:r>
      <w:r>
        <w:rPr>
          <w:rFonts w:hint="eastAsia" w:ascii="方正黑体_GBK" w:hAnsi="方正黑体_GBK" w:eastAsia="方正黑体_GBK" w:cs="方正黑体_GBK"/>
          <w:b/>
          <w:bCs/>
          <w:sz w:val="28"/>
          <w:szCs w:val="28"/>
          <w:highlight w:val="none"/>
          <w:lang w:eastAsia="zh-CN"/>
        </w:rPr>
        <w:t>注：</w:t>
      </w:r>
      <w:r>
        <w:rPr>
          <w:rFonts w:hint="eastAsia" w:ascii="Times New Roman" w:hAnsi="Times New Roman" w:eastAsia="方正楷体_GBK"/>
          <w:b/>
          <w:bCs/>
          <w:sz w:val="28"/>
          <w:szCs w:val="28"/>
          <w:lang w:eastAsia="zh-CN"/>
        </w:rPr>
        <w:t>“</w:t>
      </w:r>
      <w:r>
        <w:rPr>
          <w:rFonts w:hint="default" w:ascii="Times New Roman" w:hAnsi="Times New Roman" w:eastAsia="方正楷体_GBK" w:cs="Calibri"/>
          <w:b/>
          <w:bCs/>
          <w:sz w:val="28"/>
          <w:szCs w:val="28"/>
          <w:lang w:eastAsia="zh-CN"/>
        </w:rPr>
        <w:t>点阵图</w:t>
      </w:r>
      <w:r>
        <w:rPr>
          <w:rFonts w:hint="eastAsia" w:ascii="Times New Roman" w:hAnsi="Times New Roman" w:eastAsia="方正楷体_GBK" w:cs="Calibri"/>
          <w:b/>
          <w:bCs/>
          <w:sz w:val="28"/>
          <w:szCs w:val="28"/>
          <w:lang w:eastAsia="zh-CN"/>
        </w:rPr>
        <w:t>”</w:t>
      </w:r>
      <w:r>
        <w:rPr>
          <w:rFonts w:hint="default" w:ascii="Times New Roman" w:hAnsi="Times New Roman" w:eastAsia="方正楷体_GBK" w:cs="Calibri"/>
          <w:sz w:val="28"/>
          <w:szCs w:val="28"/>
          <w:lang w:eastAsia="zh-CN"/>
        </w:rPr>
        <w:t>（Dot Plot）</w:t>
      </w:r>
      <w:r>
        <w:rPr>
          <w:rFonts w:hint="eastAsia" w:ascii="Times New Roman" w:hAnsi="Times New Roman" w:eastAsia="方正楷体_GBK" w:cs="Calibri"/>
          <w:sz w:val="28"/>
          <w:szCs w:val="28"/>
          <w:lang w:eastAsia="zh-CN"/>
        </w:rPr>
        <w:t>：在</w:t>
      </w:r>
      <w:r>
        <w:rPr>
          <w:rFonts w:hint="default" w:ascii="Times New Roman" w:hAnsi="Times New Roman" w:eastAsia="方正楷体_GBK" w:cs="Calibri"/>
          <w:sz w:val="28"/>
          <w:szCs w:val="28"/>
          <w:lang w:eastAsia="zh-CN"/>
        </w:rPr>
        <w:t>3月、6月、9月和12月</w:t>
      </w:r>
      <w:r>
        <w:rPr>
          <w:rFonts w:hint="eastAsia" w:ascii="Times New Roman" w:hAnsi="Times New Roman" w:eastAsia="方正楷体_GBK" w:cs="Calibri"/>
          <w:sz w:val="28"/>
          <w:szCs w:val="28"/>
          <w:lang w:eastAsia="zh-CN"/>
        </w:rPr>
        <w:t>的</w:t>
      </w:r>
      <w:r>
        <w:rPr>
          <w:rFonts w:hint="default" w:ascii="Times New Roman" w:hAnsi="Times New Roman" w:eastAsia="方正楷体_GBK" w:cs="Calibri"/>
          <w:sz w:val="28"/>
          <w:szCs w:val="28"/>
          <w:lang w:eastAsia="zh-CN"/>
        </w:rPr>
        <w:t>FOMC会议</w:t>
      </w:r>
      <w:r>
        <w:rPr>
          <w:rFonts w:hint="eastAsia" w:ascii="Times New Roman" w:hAnsi="Times New Roman" w:eastAsia="方正楷体_GBK" w:cs="Calibri"/>
          <w:sz w:val="28"/>
          <w:szCs w:val="28"/>
          <w:lang w:eastAsia="zh-CN"/>
        </w:rPr>
        <w:t>上，与会</w:t>
      </w:r>
      <w:r>
        <w:rPr>
          <w:rFonts w:hint="default" w:ascii="Times New Roman" w:hAnsi="Times New Roman" w:eastAsia="方正楷体_GBK" w:cs="Calibri"/>
          <w:sz w:val="28"/>
          <w:szCs w:val="28"/>
          <w:lang w:eastAsia="zh-CN"/>
        </w:rPr>
        <w:t>者</w:t>
      </w:r>
      <w:r>
        <w:rPr>
          <w:rFonts w:hint="eastAsia" w:ascii="Times New Roman" w:hAnsi="Times New Roman" w:eastAsia="方正楷体_GBK" w:cs="Calibri"/>
          <w:sz w:val="28"/>
          <w:szCs w:val="28"/>
          <w:lang w:eastAsia="zh-CN"/>
        </w:rPr>
        <w:t>（包括非票委）</w:t>
      </w:r>
      <w:r>
        <w:rPr>
          <w:rFonts w:hint="default" w:ascii="Times New Roman" w:hAnsi="Times New Roman" w:eastAsia="方正楷体_GBK" w:cs="Calibri"/>
          <w:sz w:val="28"/>
          <w:szCs w:val="28"/>
          <w:lang w:eastAsia="zh-CN"/>
        </w:rPr>
        <w:t>对未来</w:t>
      </w:r>
      <w:r>
        <w:rPr>
          <w:rFonts w:hint="eastAsia" w:ascii="Times New Roman" w:hAnsi="Times New Roman" w:eastAsia="方正楷体_GBK" w:cs="Calibri"/>
          <w:sz w:val="28"/>
          <w:szCs w:val="28"/>
          <w:lang w:eastAsia="zh-CN"/>
        </w:rPr>
        <w:t>不同时间点的</w:t>
      </w:r>
      <w:r>
        <w:rPr>
          <w:rFonts w:hint="default" w:ascii="Times New Roman" w:hAnsi="Times New Roman" w:eastAsia="方正楷体_GBK" w:cs="Calibri"/>
          <w:sz w:val="28"/>
          <w:szCs w:val="28"/>
          <w:lang w:eastAsia="zh-CN"/>
        </w:rPr>
        <w:t>利率</w:t>
      </w:r>
      <w:r>
        <w:rPr>
          <w:rFonts w:hint="eastAsia" w:ascii="Times New Roman" w:hAnsi="Times New Roman" w:eastAsia="方正楷体_GBK" w:cs="Calibri"/>
          <w:sz w:val="28"/>
          <w:szCs w:val="28"/>
          <w:lang w:eastAsia="zh-CN"/>
        </w:rPr>
        <w:t>进行</w:t>
      </w:r>
      <w:r>
        <w:rPr>
          <w:rFonts w:hint="default" w:ascii="Times New Roman" w:hAnsi="Times New Roman" w:eastAsia="方正楷体_GBK" w:cs="Calibri"/>
          <w:sz w:val="28"/>
          <w:szCs w:val="28"/>
          <w:lang w:eastAsia="zh-CN"/>
        </w:rPr>
        <w:t>预测，预测</w:t>
      </w:r>
      <w:r>
        <w:rPr>
          <w:rFonts w:hint="eastAsia" w:ascii="Times New Roman" w:hAnsi="Times New Roman" w:eastAsia="方正楷体_GBK" w:cs="Calibri"/>
          <w:sz w:val="28"/>
          <w:szCs w:val="28"/>
          <w:lang w:eastAsia="zh-CN"/>
        </w:rPr>
        <w:t>结果以点阵图形式记录并</w:t>
      </w:r>
      <w:r>
        <w:rPr>
          <w:rFonts w:hint="default" w:ascii="Times New Roman" w:hAnsi="Times New Roman" w:eastAsia="方正楷体_GBK" w:cs="Calibri"/>
          <w:sz w:val="28"/>
          <w:szCs w:val="28"/>
          <w:lang w:eastAsia="zh-CN"/>
        </w:rPr>
        <w:t>呈现</w:t>
      </w:r>
      <w:r>
        <w:rPr>
          <w:rFonts w:hint="eastAsia" w:ascii="Times New Roman" w:hAnsi="Times New Roman" w:eastAsia="方正楷体_GBK" w:cs="Calibri"/>
          <w:sz w:val="28"/>
          <w:szCs w:val="28"/>
          <w:lang w:eastAsia="zh-CN"/>
        </w:rPr>
        <w:t>出来</w:t>
      </w:r>
      <w:r>
        <w:rPr>
          <w:rFonts w:hint="default" w:ascii="Times New Roman" w:hAnsi="Times New Roman" w:eastAsia="方正楷体_GBK" w:cs="Calibri"/>
          <w:sz w:val="28"/>
          <w:szCs w:val="28"/>
          <w:lang w:eastAsia="zh-CN"/>
        </w:rPr>
        <w:t>。</w:t>
      </w:r>
      <w:r>
        <w:rPr>
          <w:rFonts w:hint="eastAsia" w:ascii="Times New Roman" w:hAnsi="Times New Roman" w:eastAsia="方正楷体_GBK" w:cs="Calibri"/>
          <w:sz w:val="28"/>
          <w:szCs w:val="28"/>
          <w:lang w:eastAsia="zh-CN"/>
        </w:rPr>
        <w:t>）</w:t>
      </w:r>
    </w:p>
    <w:p>
      <w:pPr>
        <w:ind w:left="0" w:leftChars="0" w:firstLine="0" w:firstLineChars="0"/>
        <w:jc w:val="left"/>
        <w:rPr>
          <w:rFonts w:hint="eastAsia"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22</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五</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瑞士央行率先降息，英国央行维持不变，</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土耳其央行大举升息</w:t>
      </w:r>
    </w:p>
    <w:p>
      <w:pPr>
        <w:ind w:firstLine="608" w:firstLineChars="200"/>
        <w:jc w:val="left"/>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一、瑞士央行率先降息</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3月21日（周四），瑞士央行（Swiss National Bank）将其主要利率下调25个基点，至1.50%。利率下调后，利差扩大，瑞士法郎兑欧元汇率跌至8个月以来新低。</w:t>
      </w:r>
    </w:p>
    <w:tbl>
      <w:tblPr>
        <w:tblStyle w:val="15"/>
        <w:tblpPr w:leftFromText="180" w:rightFromText="180" w:vertAnchor="text" w:horzAnchor="page" w:tblpX="1668" w:tblpY="181"/>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38"/>
        <w:gridCol w:w="38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66" w:hRule="atLeast"/>
        </w:trPr>
        <w:tc>
          <w:tcPr>
            <w:tcW w:w="5138" w:type="dxa"/>
            <w:vMerge w:val="restart"/>
            <w:tcBorders>
              <w:tl2br w:val="nil"/>
              <w:tr2bl w:val="nil"/>
            </w:tcBorders>
            <w:vAlign w:val="top"/>
          </w:tcPr>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在长期的紧缩货币政策之后，瑞士央行是第一家降息的主要央行。在过去的9个月里，瑞士物价涨幅一直保持在瑞士央行 0%-2% 的目标范围内，显示其经济已回归低通胀状态，因此降息是合乎常规的政策操作。</w:t>
            </w:r>
          </w:p>
        </w:tc>
        <w:tc>
          <w:tcPr>
            <w:tcW w:w="3802" w:type="dxa"/>
            <w:tcBorders>
              <w:tl2br w:val="nil"/>
              <w:tr2bl w:val="nil"/>
            </w:tcBorders>
            <w:vAlign w:val="top"/>
          </w:tcPr>
          <w:p>
            <w:pPr>
              <w:jc w:val="left"/>
              <w:rPr>
                <w:rFonts w:hint="default" w:ascii="Times New Roman" w:hAnsi="Times New Roman" w:cs="Times New Roman"/>
                <w:sz w:val="32"/>
                <w:szCs w:val="32"/>
                <w:vertAlign w:val="baseline"/>
              </w:rPr>
            </w:pPr>
            <w:r>
              <w:drawing>
                <wp:inline distT="0" distB="0" distL="114300" distR="114300">
                  <wp:extent cx="2301240" cy="1932305"/>
                  <wp:effectExtent l="0" t="0" r="3810" b="1079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7"/>
                          <a:stretch>
                            <a:fillRect/>
                          </a:stretch>
                        </pic:blipFill>
                        <pic:spPr>
                          <a:xfrm>
                            <a:off x="0" y="0"/>
                            <a:ext cx="2301240" cy="19323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1" w:hRule="atLeast"/>
        </w:trPr>
        <w:tc>
          <w:tcPr>
            <w:tcW w:w="5138" w:type="dxa"/>
            <w:vMerge w:val="continue"/>
            <w:tcBorders>
              <w:tl2br w:val="nil"/>
              <w:tr2bl w:val="nil"/>
            </w:tcBorders>
            <w:vAlign w:val="top"/>
          </w:tcPr>
          <w:p>
            <w:pPr>
              <w:jc w:val="left"/>
              <w:rPr>
                <w:rFonts w:hint="eastAsia" w:ascii="Times New Roman" w:hAnsi="Times New Roman" w:cs="Times New Roman"/>
                <w:sz w:val="32"/>
                <w:szCs w:val="32"/>
                <w:lang w:val="en-US" w:eastAsia="zh-CN"/>
              </w:rPr>
            </w:pPr>
          </w:p>
        </w:tc>
        <w:tc>
          <w:tcPr>
            <w:tcW w:w="380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pPr>
            <w:r>
              <w:rPr>
                <w:rFonts w:hint="eastAsia" w:ascii="Times New Roman" w:hAnsi="Times New Roman" w:eastAsia="方正楷体_GBK" w:cs="方正楷体_GBK"/>
                <w:sz w:val="24"/>
                <w:szCs w:val="24"/>
                <w:lang w:eastAsia="zh-CN"/>
              </w:rPr>
              <w:t>（图：</w:t>
            </w:r>
            <w:r>
              <w:rPr>
                <w:rFonts w:hint="eastAsia" w:ascii="Times New Roman" w:hAnsi="Times New Roman" w:eastAsia="方正楷体_GBK"/>
                <w:sz w:val="24"/>
                <w:szCs w:val="24"/>
                <w:lang w:eastAsia="zh-CN"/>
              </w:rPr>
              <w:t>瑞士央行，</w:t>
            </w:r>
            <w:r>
              <w:rPr>
                <w:rFonts w:hint="eastAsia" w:ascii="Times New Roman" w:hAnsi="Times New Roman" w:eastAsia="方正楷体_GBK"/>
                <w:sz w:val="24"/>
                <w:szCs w:val="24"/>
                <w:lang w:val="en-US" w:eastAsia="zh-CN"/>
              </w:rPr>
              <w:t>Swiss National Bank，SNB</w:t>
            </w:r>
            <w:r>
              <w:rPr>
                <w:rFonts w:hint="eastAsia" w:ascii="Times New Roman" w:hAnsi="Times New Roman" w:eastAsia="方正楷体_GBK" w:cs="方正楷体_GBK"/>
                <w:sz w:val="24"/>
                <w:szCs w:val="24"/>
                <w:lang w:eastAsia="zh-CN"/>
              </w:rPr>
              <w:t>）</w:t>
            </w:r>
          </w:p>
        </w:tc>
      </w:tr>
    </w:tbl>
    <w:p>
      <w:pPr>
        <w:ind w:firstLine="608" w:firstLineChars="200"/>
        <w:jc w:val="left"/>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二、英国央行维持利率水平不变</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同日，英国央行（英格兰银行）货币政策委员会召开会议，决定利率维持在5.25%不变。但投票构成的变化表明，票委中转向降息的人数在增加。</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英国于2023 年下半年进入了“技术性衰退”（连续两个季度经济收缩），尽管数据显示今年2月份经济略有增长，但仍然显得疲弱。通胀率已从1月份的4%下降到2月份的3.4%，市场普遍预期通胀率将进一步下降，达到央行2%的目标。</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今年英国是大选年，英格兰银行必须谨慎行事：既要争取经济增长，又不能让通胀反弹。</w:t>
      </w:r>
    </w:p>
    <w:p>
      <w:pPr>
        <w:ind w:firstLine="608" w:firstLineChars="200"/>
        <w:jc w:val="left"/>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三、土耳其央行大举升息</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日，土耳其中央银行将主要利率提高了5个百分点，达到50%，以稳定土耳其里拉的汇率。2024年以来，土耳其物价飞涨，涨幅严重超预期，通货膨胀率有望超过70%。如若实现，实际利率将仍为-20%，理论上依然无法遏制住通胀（如图）。</w:t>
      </w:r>
    </w:p>
    <w:p>
      <w:pPr>
        <w:jc w:val="center"/>
        <w:rPr>
          <w:rFonts w:hint="eastAsia"/>
          <w:lang w:val="en-US" w:eastAsia="zh-CN"/>
        </w:rPr>
      </w:pPr>
      <w:r>
        <w:drawing>
          <wp:inline distT="0" distB="0" distL="114300" distR="114300">
            <wp:extent cx="3569970" cy="2494280"/>
            <wp:effectExtent l="0" t="0" r="11430" b="127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8"/>
                    <a:stretch>
                      <a:fillRect/>
                    </a:stretch>
                  </pic:blipFill>
                  <pic:spPr>
                    <a:xfrm>
                      <a:off x="0" y="0"/>
                      <a:ext cx="3569970" cy="2494280"/>
                    </a:xfrm>
                    <a:prstGeom prst="rect">
                      <a:avLst/>
                    </a:prstGeom>
                    <a:noFill/>
                    <a:ln>
                      <a:noFill/>
                    </a:ln>
                  </pic:spPr>
                </pic:pic>
              </a:graphicData>
            </a:graphic>
          </wp:inline>
        </w:drawing>
      </w:r>
    </w:p>
    <w:p>
      <w:pPr>
        <w:ind w:firstLine="388" w:firstLineChars="200"/>
        <w:rPr>
          <w:rFonts w:hint="default"/>
          <w:lang w:val="en-US" w:eastAsia="zh-CN"/>
        </w:rPr>
      </w:pPr>
    </w:p>
    <w:p>
      <w:pPr>
        <w:ind w:firstLine="388" w:firstLineChars="200"/>
        <w:rPr>
          <w:rFonts w:hint="default"/>
          <w:lang w:val="en-US" w:eastAsia="zh-CN"/>
        </w:rPr>
      </w:pPr>
    </w:p>
    <w:p>
      <w:pPr>
        <w:rPr>
          <w:rFonts w:hint="eastAsia" w:ascii="Times New Roman" w:hAnsi="Times New Roman" w:eastAsia="方正小标宋_GBK" w:cs="Times New Roman"/>
          <w:b/>
          <w:bCs/>
          <w:color w:val="FF0000"/>
          <w:sz w:val="32"/>
          <w:szCs w:val="40"/>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省贸促会领导赴扬州、泰州调研</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3月19—21日，省贸促会会长王善华带队赴扬州、泰州走访调研重点外经贸企业，推动更好发挥贸促系统合力，促进激发新质生产力的发展潜力，塑造更高水平开放型经济新优势。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调研期间，王善华实地走访江苏丰尚智能科技有限公司、扬州通利冷藏集装箱有限公司、泰兴市华诚机电制造有限公司、扬子江药业集团有限公司等企业，深入生产一线，详细了解企业生产经营情况以及在国际化市场开拓方面遇到的问题和困难，并介绍第二届中国国际供应链促进博览会有关情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他表示，江苏省贸促会、国际商会将一如既往发挥贸易投资促进、商事法律服务优势，为企业提供专业化、个性化的会员服务，支持企业深度融入全球产业链供应链，助推江苏新质生产力加快发展。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扬州市贸促会会长钱中声、泰州市贸促会会长唐驰参加调研。</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5472" w:firstLineChars="1800"/>
        <w:textAlignment w:val="auto"/>
        <w:outlineLvl w:val="9"/>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（国际商会秘书处）</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省贸促会领导会见香港贸发局华东华中首席代表吕剑一行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3月19日上午，省贸促会会长王善华会见来访的香港贸发局华东华中首席代表吕剑一行。副会长丛苏峰参加会见。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王善华感谢香港贸发局长期以来对江苏省贸促会重大经贸活动的支持和为江苏“走出去”企业提供的帮助。他表示，香港是江苏企业国际化的重要平台，江苏当前正全力打造具有世界聚合力的双向开放枢纽，推进高水平对外开放，希望双方发挥各自优势，推进更多元、更精准的经贸交流合作，为加快发展新质生产力贡献更大力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吕剑对江苏省贸促会多年来支持香港贸发局工作表示感谢。他简要介绍香港贸发局相关工作情况和今年重点经贸活动计划，表示愿进一步加强香港贸发局与江苏省贸促会合作，继续发挥苏港合作纽带作用，共同促进两地新质生产力发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（国际联络部）</w:t>
      </w:r>
    </w:p>
    <w:p>
      <w:pPr>
        <w:jc w:val="center"/>
        <w:rPr>
          <w:rFonts w:hint="eastAsia" w:ascii="Times New Roman" w:hAnsi="Times New Roman" w:eastAsia="经典行楷简" w:cs="Times New Roman"/>
          <w:color w:val="2E75B6" w:themeColor="accent1" w:themeShade="BF"/>
          <w:spacing w:val="0"/>
          <w:kern w:val="2"/>
          <w:sz w:val="52"/>
          <w:szCs w:val="52"/>
          <w:lang w:val="en-US" w:eastAsia="zh-CN" w:bidi="ar-SA"/>
        </w:rPr>
      </w:pPr>
    </w:p>
    <w:p>
      <w:pPr>
        <w:jc w:val="center"/>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深入企业 面对面培训指导</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月</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18</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日，应苏豪集团邀请，省贸促会国际商务服务中心会同省商务厅外贸处为集团下属企业进行二手车管理政策宣讲。</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省商务厅外贸处详细讲解了二手车出口试点以来我省的出口情况和放开后面临的挑战与机遇。省贸促会国际商务服务中心从二手车出口许可证申报、证书使用、报关、注销及企业合规经营等方面详细介绍了国家政策、经典案例、常见问题及管理中需避免的一些误区。培训过程中，对俄罗斯二手车进口新规对未来我国汽车出口的影响、终端服务的前景、新型市场开拓、全链条服务与单一出口模式的利弊及企业申报管理等问题进行了交流、分析和解答。</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苏豪集团贸发部总经理李炎洲主持会议，下属天泓汽车、苏豪云商、苏豪纺织和汇鸿中鼎主要负责人及业务人员参加了此次面对面培训会。</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（国际商务服务中心）</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追光逐电 “苏州名品”组团</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首次亮相新加坡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月6日-8日，首届亚洲光电博览会（APE2024）在新加坡金沙会议展览中心举行</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，展览面积达15,000平方米，吸引了来自全球350家光电企业参展。苏州中际旭创、永鼎光电子、苏驼通信、博众半导体等21家苏州光电行业知名品牌参展。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08" w:firstLineChars="200"/>
        <w:textAlignment w:val="auto"/>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中国国际商会苏州商会</w:t>
      </w:r>
      <w:bookmarkStart w:id="0" w:name="_GoBack"/>
      <w:bookmarkEnd w:id="0"/>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、苏州市光电产业商会牵头，联合苏州市光通信产业联盟、苏州市新型显示产业联盟等行业组织，在APE2024核心地段设立了主题为“Suzhou Your Branding Partner 苏州</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您的品牌合作伙伴”的“苏州名品 世界巡展”新加坡站展区，集中展示了12家优秀企业的100多项抢占国际市场创新产品。</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以本次活动为新契机，接下来，苏州市贸促会将积极组织和带领苏州光电企业依托亚洲光电博览会（APE），进一步融入亚太地区新市场、抢占“一带一路”新商机，努力为苏州光电产业全球化发展提供支撑和保障。</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（苏州市贸促会）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598" w:firstLineChars="200"/>
        <w:textAlignment w:val="auto"/>
        <w:outlineLvl w:val="9"/>
        <w:rPr>
          <w:rFonts w:hint="eastAsia" w:ascii="仿宋_GB2312" w:hAnsi="宋体" w:eastAsia="仿宋_GB2312" w:cs="仿宋_GB2312"/>
          <w:color w:val="000000"/>
          <w:sz w:val="31"/>
          <w:szCs w:val="3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排忧解难促发展 企业致谢送锦旗</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8" w:firstLineChars="200"/>
        <w:contextualSpacing/>
        <w:jc w:val="left"/>
        <w:textAlignment w:val="auto"/>
        <w:outlineLvl w:val="1"/>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3月14日上午，江苏永鼎泰富工程有限公司淦贵生总经理一行，专程赴苏州市贸促会赠送“心系企业、真诚服务、排忧解难、促领发展”锦旗，感谢市贸促会以优质服务对企业开展国际招投标业务的支持和帮助。</w:t>
      </w:r>
    </w:p>
    <w:p>
      <w:pPr>
        <w:pStyle w:val="5"/>
        <w:keepNext w:val="0"/>
        <w:keepLines w:val="0"/>
        <w:widowControl/>
        <w:suppressLineNumbers w:val="0"/>
        <w:spacing w:before="75" w:beforeAutospacing="0" w:after="75" w:afterAutospacing="0" w:line="240" w:lineRule="auto"/>
        <w:ind w:left="0" w:right="0" w:firstLine="645"/>
        <w:jc w:val="left"/>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该企业收到国际业务预中标通知后，按所在国要求，需要在今年3月初完成埃塞俄比亚使馆认证，但受春节假期因素影响，该认证无法在使馆常规的认证办理周期内完成办理程序。</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苏州</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市贸促会了解企业实际情况后，迅速采取行动，与中国贸促会取得联系，特事特办，第一时间就将办理完结的使馆认证文件顺利转交该企业。</w:t>
      </w:r>
    </w:p>
    <w:p>
      <w:pPr>
        <w:pStyle w:val="5"/>
        <w:keepNext w:val="0"/>
        <w:keepLines w:val="0"/>
        <w:widowControl/>
        <w:suppressLineNumbers w:val="0"/>
        <w:spacing w:before="75" w:beforeAutospacing="0" w:after="75" w:afterAutospacing="0" w:line="240" w:lineRule="auto"/>
        <w:ind w:left="0" w:right="0" w:firstLine="645"/>
        <w:jc w:val="left"/>
        <w:rPr>
          <w:sz w:val="27"/>
          <w:szCs w:val="27"/>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苏州</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市贸促会牢固树立“一切为了企业”理念，精准把握企业在涉外商事法律服务方面面临的新形势和新要求，不断创新工作思路，努力为全市企业进一步深化国际经贸合作提供更加优质的涉外法律服务保障。</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 xml:space="preserve"> </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（苏州市贸促会）</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“贸促服务助企行”扬州宣讲会</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成功举办</w:t>
      </w:r>
    </w:p>
    <w:p>
      <w:pPr>
        <w:pStyle w:val="5"/>
        <w:keepNext w:val="0"/>
        <w:keepLines w:val="0"/>
        <w:widowControl/>
        <w:suppressLineNumbers w:val="0"/>
        <w:spacing w:before="75" w:beforeAutospacing="0" w:after="75" w:afterAutospacing="0" w:line="240" w:lineRule="auto"/>
        <w:ind w:left="0" w:right="0" w:firstLine="645"/>
        <w:jc w:val="left"/>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月20日，由江苏省贸促会主办，扬州市贸促会、扬州市国际商会承办的“贸促服务助企行”扬州宣讲活动成功举办。扬州市近130家企业150多名企业代表参加了此次活动。</w:t>
      </w:r>
    </w:p>
    <w:p>
      <w:pPr>
        <w:pStyle w:val="5"/>
        <w:keepNext w:val="0"/>
        <w:keepLines w:val="0"/>
        <w:widowControl/>
        <w:suppressLineNumbers w:val="0"/>
        <w:spacing w:before="75" w:beforeAutospacing="0" w:after="75" w:afterAutospacing="0" w:line="240" w:lineRule="auto"/>
        <w:ind w:left="0" w:right="0" w:firstLine="645"/>
        <w:jc w:val="left"/>
        <w:rPr>
          <w:rFonts w:hint="eastAsia" w:ascii="仿宋" w:hAnsi="仿宋" w:eastAsia="仿宋" w:cs="仿宋"/>
          <w:color w:val="212529"/>
          <w:spacing w:val="0"/>
          <w:sz w:val="31"/>
          <w:szCs w:val="31"/>
          <w:shd w:val="clear" w:fill="FFFFFF"/>
          <w:lang w:val="en-US" w:eastAsia="zh-CN"/>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省贸促会工作人员为企业深度剖析了当前国际市场运行及发展趋势，并讲解了国际贸易风险防范知识和经典案例。活动还邀请了</w:t>
      </w:r>
      <w:r>
        <w:rPr>
          <w:rFonts w:hint="eastAsia" w:ascii="Times New Roman" w:hAnsi="Times New Roman" w:cstheme="minorEastAsia"/>
          <w:i w:val="0"/>
          <w:caps w:val="0"/>
          <w:color w:val="333333"/>
          <w:spacing w:val="0"/>
          <w:kern w:val="0"/>
          <w:sz w:val="32"/>
          <w:szCs w:val="32"/>
          <w:shd w:val="clear" w:fill="FFFFFF"/>
          <w:lang w:val="en-US" w:eastAsia="zh-CN" w:bidi="ar"/>
        </w:rPr>
        <w:t>银行</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、知识产权代理</w:t>
      </w:r>
      <w:r>
        <w:rPr>
          <w:rFonts w:hint="eastAsia" w:ascii="Times New Roman" w:hAnsi="Times New Roman" w:cstheme="minorEastAsia"/>
          <w:i w:val="0"/>
          <w:caps w:val="0"/>
          <w:color w:val="333333"/>
          <w:spacing w:val="0"/>
          <w:kern w:val="0"/>
          <w:sz w:val="32"/>
          <w:szCs w:val="32"/>
          <w:shd w:val="clear" w:fill="FFFFFF"/>
          <w:lang w:val="en-US" w:eastAsia="zh-CN" w:bidi="ar"/>
        </w:rPr>
        <w:t>公司</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分别为企业介绍国际结算、全球现金管理业务以及专利保护等，指导企业用好金融工具避险，帮助企业进一步增强知识产权意识。</w:t>
      </w:r>
      <w:r>
        <w:rPr>
          <w:rFonts w:hint="eastAsia" w:ascii="仿宋" w:hAnsi="仿宋" w:eastAsia="仿宋" w:cs="仿宋"/>
          <w:color w:val="212529"/>
          <w:spacing w:val="0"/>
          <w:sz w:val="31"/>
          <w:szCs w:val="31"/>
          <w:shd w:val="clear" w:fill="FFFFFF"/>
          <w:lang w:val="en-US" w:eastAsia="zh-CN"/>
        </w:rPr>
        <w:t xml:space="preserve"> </w:t>
      </w:r>
    </w:p>
    <w:p>
      <w:pPr>
        <w:pStyle w:val="5"/>
        <w:keepNext w:val="0"/>
        <w:keepLines w:val="0"/>
        <w:widowControl/>
        <w:suppressLineNumbers w:val="0"/>
        <w:spacing w:before="75" w:beforeAutospacing="0" w:after="75" w:afterAutospacing="0" w:line="240" w:lineRule="auto"/>
        <w:ind w:left="0" w:right="0" w:firstLine="5788" w:firstLineChars="1904"/>
        <w:jc w:val="left"/>
        <w:rPr>
          <w:sz w:val="27"/>
          <w:szCs w:val="27"/>
        </w:rPr>
      </w:pPr>
      <w:r>
        <w:rPr>
          <w:rFonts w:hint="eastAsia" w:ascii="方正楷体_GBK" w:hAnsi="方正楷体_GBK" w:eastAsia="方正楷体_GBK" w:cs="方正楷体_GBK"/>
          <w:b/>
          <w:bCs/>
          <w:color w:val="FF0000"/>
          <w:spacing w:val="0"/>
          <w:kern w:val="2"/>
          <w:sz w:val="32"/>
          <w:szCs w:val="32"/>
          <w:lang w:val="en-US" w:eastAsia="zh-CN" w:bidi="ar-SA"/>
        </w:rPr>
        <w:t>（扬州市贸促会）</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淮安市贸促会举办“贸促服务助企行·</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淮品拓展海外市场”宣介会</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8" w:firstLineChars="200"/>
        <w:contextualSpacing/>
        <w:jc w:val="both"/>
        <w:textAlignment w:val="auto"/>
        <w:outlineLvl w:val="1"/>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3月14日，淮安市贸促会参与主办的“贸促服务助企行·淮品拓展海外市场”宣介会成功举办。活动邀请</w:t>
      </w:r>
      <w:r>
        <w:rPr>
          <w:rFonts w:hint="eastAsia" w:ascii="Times New Roman" w:hAnsi="Times New Roman" w:cstheme="minorEastAsia"/>
          <w:i w:val="0"/>
          <w:caps w:val="0"/>
          <w:color w:val="333333"/>
          <w:spacing w:val="0"/>
          <w:kern w:val="0"/>
          <w:sz w:val="32"/>
          <w:szCs w:val="32"/>
          <w:shd w:val="clear" w:fill="FFFFFF"/>
          <w:lang w:val="en-US" w:eastAsia="zh-CN" w:bidi="ar"/>
        </w:rPr>
        <w:t>有关会展公司</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专家，围绕全球热点市场商机分析、数字化参展新模式开展宣讲，并就2024年国内外市场研判和企业海外参展技巧等内容进行交流探讨。淮安市各县区、园区商务部门有关负责人，各跨境电商产业园和孵化基地负责人，外贸企业代表等170余人参加活动。</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8" w:firstLineChars="200"/>
        <w:contextualSpacing/>
        <w:jc w:val="both"/>
        <w:textAlignment w:val="auto"/>
        <w:outlineLvl w:val="1"/>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cstheme="minorEastAsia"/>
          <w:i w:val="0"/>
          <w:caps w:val="0"/>
          <w:color w:val="333333"/>
          <w:spacing w:val="0"/>
          <w:kern w:val="0"/>
          <w:sz w:val="32"/>
          <w:szCs w:val="32"/>
          <w:shd w:val="clear" w:fill="FFFFFF"/>
          <w:lang w:val="en-US" w:eastAsia="zh-CN" w:bidi="ar"/>
        </w:rPr>
        <w:t>淮安市贸促会</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姚文钧</w:t>
      </w:r>
      <w:r>
        <w:rPr>
          <w:rFonts w:hint="eastAsia" w:ascii="Times New Roman" w:hAnsi="Times New Roman" w:cstheme="minorEastAsia"/>
          <w:i w:val="0"/>
          <w:caps w:val="0"/>
          <w:color w:val="333333"/>
          <w:spacing w:val="0"/>
          <w:kern w:val="0"/>
          <w:sz w:val="32"/>
          <w:szCs w:val="32"/>
          <w:shd w:val="clear" w:fill="FFFFFF"/>
          <w:lang w:val="en-US" w:eastAsia="zh-CN" w:bidi="ar"/>
        </w:rPr>
        <w:t>会长在</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致辞中提到，2024年外贸工作关键是要培育外贸新动能，推动外贸高质量发展，聚焦扩量提质，着力推动外贸稳规模优结构。稳定外贸基本盘，着力拓宽跨境电商、“新三样”等新业态新模式，促进贸易高质量发展。淮安市也将采稳外资稳外贸，服务企业拓市场抓订单，保经营主体发展，保产业链供应链稳定。希望大家以此次宣介活动为契机，充分交流，互学互鉴，挖掘外贸增长潜力，壮大外贸新动能，促进外贸创新发展。</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8" w:firstLineChars="200"/>
        <w:contextualSpacing/>
        <w:jc w:val="both"/>
        <w:textAlignment w:val="auto"/>
        <w:outlineLvl w:val="1"/>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 xml:space="preserve">  </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（淮安市贸促会）</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rPr>
          <w:rFonts w:hint="default"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仿宋_GB2312" w:hAnsi="宋体" w:eastAsia="仿宋_GB2312" w:cs="仿宋_GB2312"/>
          <w:color w:val="000000"/>
          <w:sz w:val="31"/>
          <w:szCs w:val="31"/>
          <w:lang w:val="en-US" w:eastAsia="zh-CN"/>
        </w:rPr>
      </w:pPr>
    </w:p>
    <w:p>
      <w:pPr>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尚德电力获法国碳足迹PPE2证书 创行业TOPCon组件碳足迹认证</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数值新低</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日前，我会副会长单位——无锡尚德太阳能电力有限公司TOPCon组件获得法国碳足迹认证，且创行业全链条国产供应链碳足迹认证数值新低(376.1kg eq CO2/kWc)。该认证是对尚德电力多年来积极构建绿色工厂的肯定，为开拓国际市场增添低碳优势，并为公司全球化战略布局注入强劲动力。</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当下，碳足迹认证已成为光伏企业进入国际高端市场的“绿色通行证”。法国光伏市场一直以准入要求严苛而闻名全球，作为准入条件之一的法国“碳足迹认证”更是极难获取，它是由法国能源监管委员会（CRE）所推行的，针对100kW以上的光伏项目产品进入法国市场最权威的碳足迹相关认证。作为一项旨在评估和减少产品生命周期的温室气体排放量的认证体系，该认证以科学、公正、透明的原则为基础，通过全程追踪产品的原材料采购、生产、运输和排放等环节，以确保产品能够得到有效评估。</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面对全新的市场门槛，具备竞争力的碳足迹产品将成为光伏企业掌握全球市场竞争主动权的关键一环。尚德电力TOPCon组件凭借领先的技术优势和强大的研发实力在国际上始终保持一流水平。作为全国较早布局N型TOPCon技术的企业，尚德电力在多年研发积累基础上，进一步在该技术领域着力发展。2022年11月，尚德电力推出基于182mm电池片打造的Ultra V Pro系列产品。该系列产品分为54、72、78三大版型，全方位涵盖了地面电站、工商业分布式、户用分布式等场景。2023年5月份，尚德电力推出可适用于屋顶光伏的全新高效轻质TOPCon双玻组件；同年11月份，在第十五届中国（无锡）国际新能源大会上，H66-Nsh+矩形硅片组件首次正式亮相，为N型高效光伏组件矩阵再添砖加瓦。尚德电力不断地通过技术研发和创新，使得产品的各方面性能实现自我超越，预计到今年，N型TOPCon电池最高量产效率可达26.5%。</w:t>
      </w:r>
    </w:p>
    <w:p>
      <w:pPr>
        <w:keepNext w:val="0"/>
        <w:keepLines w:val="0"/>
        <w:pageBreakBefore w:val="0"/>
        <w:widowControl w:val="0"/>
        <w:kinsoku/>
        <w:wordWrap/>
        <w:overflowPunct/>
        <w:topLinePunct w:val="0"/>
        <w:autoSpaceDE/>
        <w:autoSpaceDN/>
        <w:bidi w:val="0"/>
        <w:adjustRightInd/>
        <w:snapToGrid/>
        <w:spacing w:line="240" w:lineRule="auto"/>
        <w:ind w:firstLine="4864" w:firstLineChars="1600"/>
        <w:textAlignment w:val="auto"/>
        <w:outlineLvl w:val="9"/>
        <w:rPr>
          <w:rFonts w:hint="eastAsia" w:ascii="方正楷体_GBK" w:hAnsi="方正楷体_GBK" w:eastAsia="方正楷体_GBK" w:cs="方正楷体_GBK"/>
          <w:b/>
          <w:bCs/>
          <w:color w:val="FF0000"/>
          <w:sz w:val="32"/>
          <w:szCs w:val="32"/>
          <w:lang w:val="en-US" w:eastAsia="zh-CN"/>
        </w:rPr>
      </w:pP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尚德电力官网）</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default" w:ascii="Times New Roman" w:hAnsi="Times New Roman" w:eastAsia="华文新魏" w:cs="Times New Roman"/>
          <w:b/>
          <w:bCs w:val="0"/>
          <w:color w:val="FF0000"/>
          <w:spacing w:val="28"/>
          <w:kern w:val="36"/>
          <w:sz w:val="52"/>
          <w:szCs w:val="52"/>
          <w:lang w:val="en-US" w:eastAsia="zh-CN" w:bidi="ar-SA"/>
        </w:rPr>
      </w:pPr>
      <w:r>
        <w:rPr>
          <w:rFonts w:hint="default" w:ascii="Times New Roman" w:hAnsi="Times New Roman" w:eastAsia="华文新魏" w:cs="Times New Roman"/>
          <w:b/>
          <w:bCs w:val="0"/>
          <w:color w:val="FF0000"/>
          <w:spacing w:val="28"/>
          <w:kern w:val="36"/>
          <w:sz w:val="52"/>
          <w:szCs w:val="52"/>
          <w:lang w:val="en-US" w:eastAsia="zh-CN" w:bidi="ar-SA"/>
        </w:rPr>
        <w:t>江苏银行：为新质生产力</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default" w:ascii="Times New Roman" w:hAnsi="Times New Roman" w:eastAsia="华文新魏" w:cs="Times New Roman"/>
          <w:b/>
          <w:bCs w:val="0"/>
          <w:color w:val="FF0000"/>
          <w:spacing w:val="28"/>
          <w:kern w:val="36"/>
          <w:sz w:val="52"/>
          <w:szCs w:val="52"/>
          <w:lang w:val="en-US" w:eastAsia="zh-CN" w:bidi="ar-SA"/>
        </w:rPr>
      </w:pPr>
      <w:r>
        <w:rPr>
          <w:rFonts w:hint="default" w:ascii="Times New Roman" w:hAnsi="Times New Roman" w:eastAsia="华文新魏" w:cs="Times New Roman"/>
          <w:b/>
          <w:bCs w:val="0"/>
          <w:color w:val="FF0000"/>
          <w:spacing w:val="28"/>
          <w:kern w:val="36"/>
          <w:sz w:val="52"/>
          <w:szCs w:val="52"/>
          <w:lang w:val="en-US" w:eastAsia="zh-CN" w:bidi="ar-SA"/>
        </w:rPr>
        <w:t>注入强劲金融动力</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default" w:ascii="Times New Roman" w:hAnsi="Times New Roman" w:eastAsiaTheme="minorEastAsia" w:cstheme="minorEastAsia"/>
          <w:i w:val="0"/>
          <w:caps w:val="0"/>
          <w:color w:val="000000"/>
          <w:spacing w:val="0"/>
          <w:sz w:val="32"/>
          <w:szCs w:val="32"/>
          <w:lang w:val="en-US" w:eastAsia="zh-CN"/>
        </w:rPr>
        <w:t>“作为全国系统重要性银行和江苏最大法人银行，我们将坚决扛起使命担当，坚持立足江苏、服务全国，助力构建以先进制造业为骨干的现代化产业体系，以走在前的高质量金融服务助力强国建设和民族复兴伟业。”</w:t>
      </w:r>
      <w:r>
        <w:rPr>
          <w:rFonts w:hint="eastAsia" w:ascii="Times New Roman" w:hAnsi="Times New Roman" w:eastAsiaTheme="minorEastAsia" w:cstheme="minorEastAsia"/>
          <w:i w:val="0"/>
          <w:caps w:val="0"/>
          <w:color w:val="000000"/>
          <w:spacing w:val="0"/>
          <w:sz w:val="32"/>
          <w:szCs w:val="32"/>
          <w:lang w:val="en-US" w:eastAsia="zh-CN"/>
        </w:rPr>
        <w:t>我会副会长单位——</w:t>
      </w:r>
      <w:r>
        <w:rPr>
          <w:rFonts w:hint="default" w:ascii="Times New Roman" w:hAnsi="Times New Roman" w:eastAsiaTheme="minorEastAsia" w:cstheme="minorEastAsia"/>
          <w:i w:val="0"/>
          <w:caps w:val="0"/>
          <w:color w:val="000000"/>
          <w:spacing w:val="0"/>
          <w:sz w:val="32"/>
          <w:szCs w:val="32"/>
          <w:lang w:val="en-US" w:eastAsia="zh-CN"/>
        </w:rPr>
        <w:t>江苏银行股份有限公司党委书记、董事长、行长葛仁余信心满满。</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Times New Roman" w:hAnsi="Times New Roman" w:eastAsiaTheme="minorEastAsia" w:cstheme="minorEastAsia"/>
          <w:i w:val="0"/>
          <w:caps w:val="0"/>
          <w:color w:val="000000"/>
          <w:spacing w:val="0"/>
          <w:sz w:val="32"/>
          <w:szCs w:val="32"/>
          <w:lang w:val="en-US" w:eastAsia="zh-CN"/>
        </w:rPr>
      </w:pPr>
      <w:r>
        <w:rPr>
          <w:rFonts w:hint="default" w:ascii="Times New Roman" w:hAnsi="Times New Roman" w:eastAsiaTheme="minorEastAsia" w:cstheme="minorEastAsia"/>
          <w:i w:val="0"/>
          <w:caps w:val="0"/>
          <w:color w:val="000000"/>
          <w:spacing w:val="0"/>
          <w:sz w:val="32"/>
          <w:szCs w:val="32"/>
          <w:lang w:val="en-US" w:eastAsia="zh-CN"/>
        </w:rPr>
        <w:t>葛仁余表示，在因地制宜发展新质生产力上，江苏银行坚持立足江苏资源禀赋、产业基础、科研条件等，统筹推进传统产业升级、新兴产业壮大、未来产业培育等领域金融服务，助力构建以先进制造业为骨干的现代化产业体系。通过强机制、建渠道、画地图，着力打造“集群—产业—行业—区域—客户”系统拓客模式，服务链主领航、单项冠军、专精特新等产业链白名单企业，在金融服务高水平科技自立自强中推动科技创新和产业创新深度融合，助力江苏加快打造具有国际竞争力的战略性新兴产业集群，赋能产业高端化、智能化、绿色化发展。</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Times New Roman" w:hAnsi="Times New Roman" w:eastAsiaTheme="minorEastAsia" w:cstheme="minorEastAsia"/>
          <w:i w:val="0"/>
          <w:caps w:val="0"/>
          <w:color w:val="000000"/>
          <w:spacing w:val="0"/>
          <w:sz w:val="32"/>
          <w:szCs w:val="32"/>
          <w:lang w:val="en-US" w:eastAsia="zh-CN"/>
        </w:rPr>
      </w:pPr>
      <w:r>
        <w:rPr>
          <w:rFonts w:hint="default" w:ascii="Times New Roman" w:hAnsi="Times New Roman" w:eastAsiaTheme="minorEastAsia" w:cstheme="minorEastAsia"/>
          <w:i w:val="0"/>
          <w:caps w:val="0"/>
          <w:color w:val="000000"/>
          <w:spacing w:val="0"/>
          <w:sz w:val="32"/>
          <w:szCs w:val="32"/>
          <w:lang w:val="en-US" w:eastAsia="zh-CN"/>
        </w:rPr>
        <w:t>在贯彻落实“积极促进区域协调发展，不断提升发展的辐射带动力”方面，该行助力江苏联动推进长江经济带、长三角一体化发展。持续创新金融服务模式，聚力支持长三角一体化发展，不断强化绿色生态建设、科创人才发展、打造产业金融服务特色等重点领域资金支持，为加快构建新发展格局注入金融动能。</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Times New Roman" w:hAnsi="Times New Roman" w:eastAsiaTheme="minorEastAsia" w:cstheme="minorEastAsia"/>
          <w:i w:val="0"/>
          <w:caps w:val="0"/>
          <w:color w:val="000000"/>
          <w:spacing w:val="0"/>
          <w:sz w:val="32"/>
          <w:szCs w:val="32"/>
          <w:lang w:val="en-US" w:eastAsia="zh-CN"/>
        </w:rPr>
      </w:pPr>
      <w:r>
        <w:rPr>
          <w:rFonts w:hint="default" w:ascii="Times New Roman" w:hAnsi="Times New Roman" w:eastAsiaTheme="minorEastAsia" w:cstheme="minorEastAsia"/>
          <w:i w:val="0"/>
          <w:caps w:val="0"/>
          <w:color w:val="000000"/>
          <w:spacing w:val="0"/>
          <w:sz w:val="32"/>
          <w:szCs w:val="32"/>
          <w:lang w:val="en-US" w:eastAsia="zh-CN"/>
        </w:rPr>
        <w:t>围绕“全面深化改革开放，持续增强发展的内生动力和活力”，江苏银行聚焦支持自贸区建设、“一带一路”倡议、跨境贸易新业态发展等，持续提升跨境金融服务水平，助力优化外贸营商环境，为服务国家高水平对外开放和稳外贸稳外资持续贡献力量，助力江苏建设市场化、法治化、国际化一流营商环境。</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华文新魏" w:cs="Times New Roman"/>
          <w:b/>
          <w:bCs w:val="0"/>
          <w:color w:val="FF0000"/>
          <w:spacing w:val="28"/>
          <w:kern w:val="36"/>
          <w:sz w:val="52"/>
          <w:szCs w:val="52"/>
          <w:lang w:val="en-US" w:eastAsia="zh-CN" w:bidi="ar-SA"/>
        </w:rPr>
      </w:pPr>
      <w:r>
        <w:rPr>
          <w:rFonts w:hint="default" w:ascii="Times New Roman" w:hAnsi="Times New Roman" w:eastAsiaTheme="minorEastAsia" w:cstheme="minorEastAsia"/>
          <w:i w:val="0"/>
          <w:caps w:val="0"/>
          <w:color w:val="000000"/>
          <w:spacing w:val="0"/>
          <w:sz w:val="32"/>
          <w:szCs w:val="32"/>
          <w:lang w:val="en-US" w:eastAsia="zh-CN"/>
        </w:rPr>
        <w:t>下一步，江苏银行将坚持以高质量金融服务助推江苏发展新质生产力，为构建新发展格局、推动高质量发展贡献金融力量。不断厚植优质客群，塑造特色业务品牌，推动实现金融服务链与供应链、产业链、创新链的深度融合，助力江苏成为发展新质生产力的重要阵地。</w:t>
      </w:r>
      <w:r>
        <w:rPr>
          <w:rFonts w:hint="eastAsia" w:ascii="Times New Roman" w:hAnsi="Times New Roman" w:cstheme="minorEastAsia"/>
          <w:i w:val="0"/>
          <w:caps w:val="0"/>
          <w:color w:val="000000"/>
          <w:spacing w:val="0"/>
          <w:sz w:val="32"/>
          <w:szCs w:val="32"/>
          <w:lang w:val="en-US" w:eastAsia="zh-CN"/>
        </w:rPr>
        <w:t xml:space="preserve">                              </w:t>
      </w:r>
      <w:r>
        <w:rPr>
          <w:rFonts w:hint="default" w:ascii="方正楷体_GBK" w:hAnsi="方正楷体_GBK" w:eastAsia="方正楷体_GBK" w:cs="方正楷体_GBK"/>
          <w:b/>
          <w:bCs/>
          <w:color w:val="FF0000"/>
          <w:kern w:val="2"/>
          <w:sz w:val="32"/>
          <w:szCs w:val="32"/>
          <w:lang w:val="en-US" w:eastAsia="zh-CN" w:bidi="ar-SA"/>
        </w:rPr>
        <w:t>（来源：</w:t>
      </w:r>
      <w:r>
        <w:rPr>
          <w:rFonts w:hint="eastAsia" w:ascii="方正楷体_GBK" w:hAnsi="方正楷体_GBK" w:eastAsia="方正楷体_GBK" w:cs="方正楷体_GBK"/>
          <w:b/>
          <w:bCs/>
          <w:color w:val="FF0000"/>
          <w:kern w:val="2"/>
          <w:sz w:val="32"/>
          <w:szCs w:val="32"/>
          <w:lang w:val="en-US" w:eastAsia="zh-CN" w:bidi="ar-SA"/>
        </w:rPr>
        <w:t>新华日报</w:t>
      </w:r>
      <w:r>
        <w:rPr>
          <w:rFonts w:hint="default" w:ascii="方正楷体_GBK" w:hAnsi="方正楷体_GBK" w:eastAsia="方正楷体_GBK" w:cs="方正楷体_GBK"/>
          <w:b/>
          <w:bCs/>
          <w:color w:val="FF0000"/>
          <w:kern w:val="2"/>
          <w:sz w:val="32"/>
          <w:szCs w:val="32"/>
          <w:lang w:val="en-US" w:eastAsia="zh-CN" w:bidi="ar-SA"/>
        </w:rPr>
        <w:t xml:space="preserve">）  </w:t>
      </w:r>
      <w:r>
        <w:rPr>
          <w:rFonts w:hint="default" w:ascii="Times New Roman" w:hAnsi="Times New Roman" w:cs="Times New Roman"/>
          <w:sz w:val="32"/>
          <w:szCs w:val="32"/>
          <w:lang w:val="en-US" w:eastAsia="zh-CN"/>
        </w:rPr>
        <w:t xml:space="preserve">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700" w:lineRule="exact"/>
        <w:ind w:right="0"/>
        <w:jc w:val="center"/>
        <w:textAlignment w:val="auto"/>
        <w:outlineLvl w:val="0"/>
        <w:rPr>
          <w:rFonts w:hint="eastAsia" w:ascii="Times New Roman" w:hAnsi="Times New Roman" w:eastAsia="华文新魏" w:cs="Times New Roman"/>
          <w:b/>
          <w:color w:val="FF0000"/>
          <w:spacing w:val="0"/>
          <w:kern w:val="36"/>
          <w:sz w:val="52"/>
          <w:szCs w:val="52"/>
          <w:lang w:val="en-US" w:eastAsia="zh-CN" w:bidi="ar-SA"/>
        </w:rPr>
      </w:pPr>
      <w:r>
        <w:rPr>
          <w:rFonts w:hint="eastAsia" w:ascii="Times New Roman" w:hAnsi="Times New Roman" w:eastAsia="华文新魏" w:cs="Times New Roman"/>
          <w:b/>
          <w:color w:val="FF0000"/>
          <w:spacing w:val="0"/>
          <w:kern w:val="36"/>
          <w:sz w:val="52"/>
          <w:szCs w:val="52"/>
          <w:lang w:val="en-US" w:eastAsia="zh-CN" w:bidi="ar-SA"/>
        </w:rPr>
        <w:t>瑞祥全球购超市有限公司荣获镇江市2023年度“消费维权先进集体”称号</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近日，镇江市2024年“3·15”国际消费者权益日主题活动启动仪式暨消费维权重点工作部署会开幕，会上发布镇江市2023年度“消费维权先进集体”等名单，并为获奖单位授牌，我会理事单位——瑞祥全球购超市有限公司荣获镇江市2023年度“消费维权先进集体”称号。瑞祥已连续多年荣获该奖项，这是对瑞祥在消费者权益保护方面所做出积极贡献的肯定，更进一步体现了瑞祥卓越的服务质量和对消费者权益的高度重视。</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瑞祥全球购超市有限公司坚持服务和经营共进，不断完善企业合规文化，规范投诉处理流程，建立健全公开透明、高效务实的消费者权益保护制度。瑞祥一站式福利发放体验和不断提升的服务品质，全面满足消费者的多样化需求，为消费者打造了安全、舒适、便捷的购物环境，赢得了消费者的广泛赞誉和信赖。</w:t>
      </w:r>
    </w:p>
    <w:p>
      <w:pPr>
        <w:keepNext w:val="0"/>
        <w:keepLines w:val="0"/>
        <w:pageBreakBefore w:val="0"/>
        <w:widowControl/>
        <w:shd w:val="clear" w:color="auto" w:fill="FFFFFF"/>
        <w:kinsoku/>
        <w:wordWrap/>
        <w:overflowPunct/>
        <w:topLinePunct w:val="0"/>
        <w:autoSpaceDE/>
        <w:autoSpaceDN/>
        <w:bidi w:val="0"/>
        <w:adjustRightInd/>
        <w:snapToGrid/>
        <w:spacing w:after="210" w:line="580" w:lineRule="exact"/>
        <w:ind w:firstLine="3648" w:firstLineChars="1200"/>
        <w:contextualSpacing/>
        <w:jc w:val="left"/>
        <w:textAlignment w:val="auto"/>
        <w:outlineLvl w:val="1"/>
        <w:rPr>
          <w:rFonts w:hint="default" w:ascii="方正楷体_GBK" w:hAnsi="方正楷体_GBK" w:eastAsia="方正楷体_GBK" w:cs="方正楷体_GBK"/>
          <w:b/>
          <w:bCs/>
          <w:color w:val="FF0000"/>
          <w:sz w:val="32"/>
          <w:szCs w:val="32"/>
          <w:lang w:val="en-US" w:eastAsia="zh-CN"/>
        </w:rPr>
      </w:pP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瑞祥科技集团微信公众号</w:t>
      </w:r>
      <w:r>
        <w:rPr>
          <w:rFonts w:hint="default" w:ascii="方正楷体_GBK" w:hAnsi="方正楷体_GBK" w:eastAsia="方正楷体_GBK" w:cs="方正楷体_GBK"/>
          <w:b/>
          <w:bCs/>
          <w:color w:val="FF00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580" w:lineRule="exact"/>
        <w:ind w:firstLine="4256" w:firstLineChars="1400"/>
        <w:contextualSpacing/>
        <w:jc w:val="left"/>
        <w:textAlignment w:val="auto"/>
        <w:outlineLvl w:val="1"/>
        <w:rPr>
          <w:rFonts w:hint="default" w:ascii="方正楷体_GBK" w:hAnsi="方正楷体_GBK" w:eastAsia="方正楷体_GBK" w:cs="方正楷体_GBK"/>
          <w:b/>
          <w:bCs/>
          <w:color w:val="FF0000"/>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魏碑简体">
    <w:altName w:val="微软雅黑"/>
    <w:panose1 w:val="02010601030101010101"/>
    <w:charset w:val="86"/>
    <w:family w:val="auto"/>
    <w:pitch w:val="default"/>
    <w:sig w:usb0="00000000" w:usb1="00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icon-dev">
    <w:altName w:val="Segoe Print"/>
    <w:panose1 w:val="00000000000000000000"/>
    <w:charset w:val="00"/>
    <w:family w:val="auto"/>
    <w:pitch w:val="default"/>
    <w:sig w:usb0="00000000" w:usb1="00000000" w:usb2="00000000" w:usb3="00000000" w:csb0="00000000" w:csb1="00000000"/>
  </w:font>
  <w:font w:name="anticon">
    <w:altName w:val="Segoe Print"/>
    <w:panose1 w:val="00000000000000000000"/>
    <w:charset w:val="00"/>
    <w:family w:val="auto"/>
    <w:pitch w:val="default"/>
    <w:sig w:usb0="00000000" w:usb1="00000000" w:usb2="00000000" w:usb3="00000000" w:csb0="00000000" w:csb1="00000000"/>
  </w:font>
  <w:font w:name="menu">
    <w:altName w:val="Segoe Print"/>
    <w:panose1 w:val="00000000000000000000"/>
    <w:charset w:val="00"/>
    <w:family w:val="auto"/>
    <w:pitch w:val="default"/>
    <w:sig w:usb0="00000000" w:usb1="00000000" w:usb2="00000000" w:usb3="00000000" w:csb0="00000000" w:csb1="00000000"/>
  </w:font>
  <w:font w:name="icon-coms">
    <w:altName w:val="Segoe Print"/>
    <w:panose1 w:val="00000000000000000000"/>
    <w:charset w:val="00"/>
    <w:family w:val="auto"/>
    <w:pitch w:val="default"/>
    <w:sig w:usb0="00000000" w:usb1="00000000" w:usb2="00000000" w:usb3="00000000" w:csb0="00000000" w:csb1="00000000"/>
  </w:font>
  <w:font w:name="icon-doc">
    <w:altName w:val="Segoe Print"/>
    <w:panose1 w:val="00000000000000000000"/>
    <w:charset w:val="00"/>
    <w:family w:val="auto"/>
    <w:pitch w:val="default"/>
    <w:sig w:usb0="00000000" w:usb1="00000000" w:usb2="00000000" w:usb3="00000000" w:csb0="00000000" w:csb1="00000000"/>
  </w:font>
  <w:font w:name="icon-portal">
    <w:altName w:val="Segoe Print"/>
    <w:panose1 w:val="00000000000000000000"/>
    <w:charset w:val="00"/>
    <w:family w:val="auto"/>
    <w:pitch w:val="default"/>
    <w:sig w:usb0="00000000" w:usb1="00000000" w:usb2="00000000" w:usb3="00000000" w:csb0="00000000" w:csb1="00000000"/>
  </w:font>
  <w:font w:name="icon-coms02">
    <w:altName w:val="Segoe Print"/>
    <w:panose1 w:val="00000000000000000000"/>
    <w:charset w:val="00"/>
    <w:family w:val="auto"/>
    <w:pitch w:val="default"/>
    <w:sig w:usb0="00000000" w:usb1="00000000" w:usb2="00000000" w:usb3="00000000" w:csb0="00000000" w:csb1="00000000"/>
  </w:font>
  <w:font w:name="Icon-coms03">
    <w:altName w:val="Segoe Print"/>
    <w:panose1 w:val="00000000000000000000"/>
    <w:charset w:val="00"/>
    <w:family w:val="auto"/>
    <w:pitch w:val="default"/>
    <w:sig w:usb0="00000000" w:usb1="00000000" w:usb2="00000000" w:usb3="00000000" w:csb0="00000000" w:csb1="00000000"/>
  </w:font>
  <w:font w:name="wevicon">
    <w:altName w:val="Segoe Print"/>
    <w:panose1 w:val="00000000000000000000"/>
    <w:charset w:val="00"/>
    <w:family w:val="auto"/>
    <w:pitch w:val="default"/>
    <w:sig w:usb0="00000000" w:usb1="00000000" w:usb2="00000000" w:usb3="00000000" w:csb0="00000000" w:csb1="00000000"/>
  </w:font>
  <w:font w:name="icon-menu">
    <w:altName w:val="Segoe Print"/>
    <w:panose1 w:val="00000000000000000000"/>
    <w:charset w:val="00"/>
    <w:family w:val="auto"/>
    <w:pitch w:val="default"/>
    <w:sig w:usb0="00000000" w:usb1="00000000" w:usb2="00000000" w:usb3="00000000" w:csb0="00000000" w:csb1="00000000"/>
  </w:font>
  <w:font w:name="slick">
    <w:altName w:val="Segoe Print"/>
    <w:panose1 w:val="00000000000000000000"/>
    <w:charset w:val="00"/>
    <w:family w:val="auto"/>
    <w:pitch w:val="default"/>
    <w:sig w:usb0="00000000" w:usb1="00000000" w:usb2="00000000" w:usb3="00000000" w:csb0="00000000" w:csb1="00000000"/>
  </w:font>
  <w:font w:name="FontAweso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-235585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18.55pt;height:144pt;width:144pt;mso-position-horizontal-relative:margin;mso-wrap-style:none;z-index:251659264;mso-width-relative:page;mso-height-relative:page;" filled="f" stroked="f" coordsize="21600,21600" o:gfxdata="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kjYdYAAAAIAQAA&#10;DwAAAAAAAAABACAAAAAiAAAAZHJzL2Rvd25yZXYueG1sUEsBAhQAFAAAAAgAh07iQCOFi7YbAgAA&#10;IQQAAA4AAAAAAAAAAQAgAAAAJQEAAGRycy9lMm9Eb2MueG1sUEsFBgAAAAAGAAYAWQEAALIFAAAA&#10;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93D01"/>
    <w:rsid w:val="00097083"/>
    <w:rsid w:val="001156B9"/>
    <w:rsid w:val="00145330"/>
    <w:rsid w:val="00154806"/>
    <w:rsid w:val="001F2C95"/>
    <w:rsid w:val="00215B64"/>
    <w:rsid w:val="002840B7"/>
    <w:rsid w:val="003208B4"/>
    <w:rsid w:val="003671B0"/>
    <w:rsid w:val="003C691D"/>
    <w:rsid w:val="003F32D7"/>
    <w:rsid w:val="0042623F"/>
    <w:rsid w:val="0043286B"/>
    <w:rsid w:val="00467C46"/>
    <w:rsid w:val="005A092B"/>
    <w:rsid w:val="006B63D3"/>
    <w:rsid w:val="006C0C2E"/>
    <w:rsid w:val="007C2A82"/>
    <w:rsid w:val="007E11E9"/>
    <w:rsid w:val="008B2F92"/>
    <w:rsid w:val="008E3499"/>
    <w:rsid w:val="008F79A9"/>
    <w:rsid w:val="00906A61"/>
    <w:rsid w:val="00962249"/>
    <w:rsid w:val="00A0554E"/>
    <w:rsid w:val="00A55B3B"/>
    <w:rsid w:val="00B35803"/>
    <w:rsid w:val="00B45E3E"/>
    <w:rsid w:val="00C16462"/>
    <w:rsid w:val="00C66488"/>
    <w:rsid w:val="00CA656E"/>
    <w:rsid w:val="00CE04E4"/>
    <w:rsid w:val="00D0085C"/>
    <w:rsid w:val="00D9651F"/>
    <w:rsid w:val="00DB54B3"/>
    <w:rsid w:val="00DF053C"/>
    <w:rsid w:val="00E278B0"/>
    <w:rsid w:val="00FC3867"/>
    <w:rsid w:val="010007F1"/>
    <w:rsid w:val="01123C24"/>
    <w:rsid w:val="01281FA6"/>
    <w:rsid w:val="0129652A"/>
    <w:rsid w:val="012C4A94"/>
    <w:rsid w:val="0134238F"/>
    <w:rsid w:val="01434062"/>
    <w:rsid w:val="015A28DE"/>
    <w:rsid w:val="01603797"/>
    <w:rsid w:val="01614C4F"/>
    <w:rsid w:val="016607CF"/>
    <w:rsid w:val="01687C29"/>
    <w:rsid w:val="016C6133"/>
    <w:rsid w:val="016D0719"/>
    <w:rsid w:val="01730647"/>
    <w:rsid w:val="017F7312"/>
    <w:rsid w:val="0183354F"/>
    <w:rsid w:val="018A4341"/>
    <w:rsid w:val="018D1ED5"/>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277DB"/>
    <w:rsid w:val="01CB201F"/>
    <w:rsid w:val="01D01DDD"/>
    <w:rsid w:val="01D83F23"/>
    <w:rsid w:val="01DA121B"/>
    <w:rsid w:val="01E02E8A"/>
    <w:rsid w:val="01EB6FF4"/>
    <w:rsid w:val="01EC6C1A"/>
    <w:rsid w:val="01F43D5D"/>
    <w:rsid w:val="01F53962"/>
    <w:rsid w:val="01FE284A"/>
    <w:rsid w:val="020C0504"/>
    <w:rsid w:val="020F3F82"/>
    <w:rsid w:val="021337A8"/>
    <w:rsid w:val="02154F00"/>
    <w:rsid w:val="02200558"/>
    <w:rsid w:val="022C2DDE"/>
    <w:rsid w:val="024125AD"/>
    <w:rsid w:val="02424F98"/>
    <w:rsid w:val="02451830"/>
    <w:rsid w:val="024B4F65"/>
    <w:rsid w:val="02522774"/>
    <w:rsid w:val="02716397"/>
    <w:rsid w:val="027B1EF4"/>
    <w:rsid w:val="027D39C5"/>
    <w:rsid w:val="02842B55"/>
    <w:rsid w:val="02850B1B"/>
    <w:rsid w:val="028E239B"/>
    <w:rsid w:val="028E669E"/>
    <w:rsid w:val="02945151"/>
    <w:rsid w:val="02994D24"/>
    <w:rsid w:val="02AA4579"/>
    <w:rsid w:val="02B7449E"/>
    <w:rsid w:val="02B93913"/>
    <w:rsid w:val="02CA2014"/>
    <w:rsid w:val="02CE36F0"/>
    <w:rsid w:val="02D253BA"/>
    <w:rsid w:val="02D664A5"/>
    <w:rsid w:val="02D70120"/>
    <w:rsid w:val="02E746B3"/>
    <w:rsid w:val="02F04987"/>
    <w:rsid w:val="02F3072B"/>
    <w:rsid w:val="02F4686A"/>
    <w:rsid w:val="02F50E1A"/>
    <w:rsid w:val="02FC365E"/>
    <w:rsid w:val="03032EA1"/>
    <w:rsid w:val="03055083"/>
    <w:rsid w:val="030A33B2"/>
    <w:rsid w:val="0312457C"/>
    <w:rsid w:val="03173E54"/>
    <w:rsid w:val="03276EB0"/>
    <w:rsid w:val="03320DD5"/>
    <w:rsid w:val="03367B19"/>
    <w:rsid w:val="033F3094"/>
    <w:rsid w:val="033F5E23"/>
    <w:rsid w:val="0341739D"/>
    <w:rsid w:val="035906B9"/>
    <w:rsid w:val="035A07AB"/>
    <w:rsid w:val="036572E0"/>
    <w:rsid w:val="036773BE"/>
    <w:rsid w:val="036B41D2"/>
    <w:rsid w:val="03745931"/>
    <w:rsid w:val="0375270B"/>
    <w:rsid w:val="0376026A"/>
    <w:rsid w:val="03763E10"/>
    <w:rsid w:val="03795E56"/>
    <w:rsid w:val="038F00BD"/>
    <w:rsid w:val="038F07EB"/>
    <w:rsid w:val="039F6B79"/>
    <w:rsid w:val="03A054FE"/>
    <w:rsid w:val="03A710E3"/>
    <w:rsid w:val="03B75E22"/>
    <w:rsid w:val="03B93704"/>
    <w:rsid w:val="03C7124D"/>
    <w:rsid w:val="03C956D7"/>
    <w:rsid w:val="03CD065E"/>
    <w:rsid w:val="03CD0F50"/>
    <w:rsid w:val="03D96519"/>
    <w:rsid w:val="03DC76EB"/>
    <w:rsid w:val="03DF3AAC"/>
    <w:rsid w:val="03DF7C94"/>
    <w:rsid w:val="03E4053E"/>
    <w:rsid w:val="03EE2D2D"/>
    <w:rsid w:val="03EE5120"/>
    <w:rsid w:val="03F95EAB"/>
    <w:rsid w:val="03FA4378"/>
    <w:rsid w:val="040E59E0"/>
    <w:rsid w:val="04177E90"/>
    <w:rsid w:val="041B3B0D"/>
    <w:rsid w:val="041F33A4"/>
    <w:rsid w:val="04227E09"/>
    <w:rsid w:val="04256881"/>
    <w:rsid w:val="042C1175"/>
    <w:rsid w:val="042E72BA"/>
    <w:rsid w:val="04361A54"/>
    <w:rsid w:val="043837D8"/>
    <w:rsid w:val="043F0FCC"/>
    <w:rsid w:val="0458216E"/>
    <w:rsid w:val="04633D2A"/>
    <w:rsid w:val="046441B2"/>
    <w:rsid w:val="0470619B"/>
    <w:rsid w:val="047264E0"/>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E16ACF"/>
    <w:rsid w:val="04E92750"/>
    <w:rsid w:val="04ED1D07"/>
    <w:rsid w:val="04F33CBA"/>
    <w:rsid w:val="05006805"/>
    <w:rsid w:val="05017788"/>
    <w:rsid w:val="05150D13"/>
    <w:rsid w:val="052054D4"/>
    <w:rsid w:val="052C7639"/>
    <w:rsid w:val="054A7C8A"/>
    <w:rsid w:val="055D26AF"/>
    <w:rsid w:val="056534E0"/>
    <w:rsid w:val="056834A8"/>
    <w:rsid w:val="05684832"/>
    <w:rsid w:val="056E79C6"/>
    <w:rsid w:val="057A799E"/>
    <w:rsid w:val="058647BE"/>
    <w:rsid w:val="05880374"/>
    <w:rsid w:val="05881910"/>
    <w:rsid w:val="05913966"/>
    <w:rsid w:val="059F17BF"/>
    <w:rsid w:val="05A259F9"/>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3380C"/>
    <w:rsid w:val="0638362B"/>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729E1"/>
    <w:rsid w:val="06AB1C7E"/>
    <w:rsid w:val="06AC05E7"/>
    <w:rsid w:val="06AF1D16"/>
    <w:rsid w:val="06AF3414"/>
    <w:rsid w:val="06B15237"/>
    <w:rsid w:val="06BA5EB2"/>
    <w:rsid w:val="06D17DB1"/>
    <w:rsid w:val="06E444B8"/>
    <w:rsid w:val="070615F0"/>
    <w:rsid w:val="07085235"/>
    <w:rsid w:val="07146D7A"/>
    <w:rsid w:val="071A4300"/>
    <w:rsid w:val="072C5901"/>
    <w:rsid w:val="072D6955"/>
    <w:rsid w:val="07355298"/>
    <w:rsid w:val="073633AE"/>
    <w:rsid w:val="0738618B"/>
    <w:rsid w:val="074E1705"/>
    <w:rsid w:val="074E279C"/>
    <w:rsid w:val="075268B6"/>
    <w:rsid w:val="075C0378"/>
    <w:rsid w:val="075C613A"/>
    <w:rsid w:val="0768627D"/>
    <w:rsid w:val="07774E9B"/>
    <w:rsid w:val="07886D75"/>
    <w:rsid w:val="079A77BC"/>
    <w:rsid w:val="079D6C92"/>
    <w:rsid w:val="079E20C5"/>
    <w:rsid w:val="07A757F6"/>
    <w:rsid w:val="07A92FCD"/>
    <w:rsid w:val="07AB5A16"/>
    <w:rsid w:val="07C32EAB"/>
    <w:rsid w:val="07CE7516"/>
    <w:rsid w:val="07DA5629"/>
    <w:rsid w:val="07DE3B60"/>
    <w:rsid w:val="07E54B9E"/>
    <w:rsid w:val="08010DA7"/>
    <w:rsid w:val="08033960"/>
    <w:rsid w:val="080F3123"/>
    <w:rsid w:val="08220E8F"/>
    <w:rsid w:val="08242F28"/>
    <w:rsid w:val="08252E6C"/>
    <w:rsid w:val="08275EA4"/>
    <w:rsid w:val="08294CB5"/>
    <w:rsid w:val="083036B5"/>
    <w:rsid w:val="08310F19"/>
    <w:rsid w:val="08331FC1"/>
    <w:rsid w:val="083611A9"/>
    <w:rsid w:val="083901EB"/>
    <w:rsid w:val="08394081"/>
    <w:rsid w:val="083943C5"/>
    <w:rsid w:val="08404FD2"/>
    <w:rsid w:val="084A2513"/>
    <w:rsid w:val="08515651"/>
    <w:rsid w:val="085D6EF2"/>
    <w:rsid w:val="085F59AE"/>
    <w:rsid w:val="086303CB"/>
    <w:rsid w:val="08674312"/>
    <w:rsid w:val="0875786E"/>
    <w:rsid w:val="0881684A"/>
    <w:rsid w:val="08927463"/>
    <w:rsid w:val="08991A5A"/>
    <w:rsid w:val="089C49FA"/>
    <w:rsid w:val="08AF073A"/>
    <w:rsid w:val="08BD5FE1"/>
    <w:rsid w:val="08BE7798"/>
    <w:rsid w:val="08C46A4F"/>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46DB4"/>
    <w:rsid w:val="094811BB"/>
    <w:rsid w:val="094F18C1"/>
    <w:rsid w:val="0954257E"/>
    <w:rsid w:val="095929D4"/>
    <w:rsid w:val="095A003F"/>
    <w:rsid w:val="095B02C8"/>
    <w:rsid w:val="09606CDC"/>
    <w:rsid w:val="09631FC1"/>
    <w:rsid w:val="09651D94"/>
    <w:rsid w:val="098A1F77"/>
    <w:rsid w:val="099872CF"/>
    <w:rsid w:val="09A137B2"/>
    <w:rsid w:val="09A2636C"/>
    <w:rsid w:val="09A44BA0"/>
    <w:rsid w:val="09AA495F"/>
    <w:rsid w:val="09AC53C9"/>
    <w:rsid w:val="09B630C3"/>
    <w:rsid w:val="09BD4BE0"/>
    <w:rsid w:val="09C222A5"/>
    <w:rsid w:val="09C27E4D"/>
    <w:rsid w:val="09C81C8D"/>
    <w:rsid w:val="09CB6B07"/>
    <w:rsid w:val="09CC1439"/>
    <w:rsid w:val="09CD0E22"/>
    <w:rsid w:val="09CD713D"/>
    <w:rsid w:val="09FA2B3C"/>
    <w:rsid w:val="09FA772F"/>
    <w:rsid w:val="09FB6D64"/>
    <w:rsid w:val="0A030CE9"/>
    <w:rsid w:val="0A0D0EE1"/>
    <w:rsid w:val="0A33530F"/>
    <w:rsid w:val="0A346C5C"/>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C2910"/>
    <w:rsid w:val="0ACC3151"/>
    <w:rsid w:val="0AD16821"/>
    <w:rsid w:val="0AD45A3C"/>
    <w:rsid w:val="0AD60B60"/>
    <w:rsid w:val="0ADC78D2"/>
    <w:rsid w:val="0AE11813"/>
    <w:rsid w:val="0AE3323E"/>
    <w:rsid w:val="0AEB11A6"/>
    <w:rsid w:val="0AEC3E44"/>
    <w:rsid w:val="0AEE609E"/>
    <w:rsid w:val="0AEF478A"/>
    <w:rsid w:val="0B041299"/>
    <w:rsid w:val="0B062542"/>
    <w:rsid w:val="0B0E47F4"/>
    <w:rsid w:val="0B1C17AD"/>
    <w:rsid w:val="0B283787"/>
    <w:rsid w:val="0B2D6F6E"/>
    <w:rsid w:val="0B324CD2"/>
    <w:rsid w:val="0B345DB1"/>
    <w:rsid w:val="0B363DD8"/>
    <w:rsid w:val="0B3A4657"/>
    <w:rsid w:val="0B3C5BB9"/>
    <w:rsid w:val="0B4372E2"/>
    <w:rsid w:val="0B5A2079"/>
    <w:rsid w:val="0B5B5996"/>
    <w:rsid w:val="0B5C3E34"/>
    <w:rsid w:val="0B6075D7"/>
    <w:rsid w:val="0B627AD4"/>
    <w:rsid w:val="0B6A0BB3"/>
    <w:rsid w:val="0B792EB2"/>
    <w:rsid w:val="0B8035EB"/>
    <w:rsid w:val="0B84164E"/>
    <w:rsid w:val="0B89731E"/>
    <w:rsid w:val="0B904412"/>
    <w:rsid w:val="0B913EDA"/>
    <w:rsid w:val="0B9C76A8"/>
    <w:rsid w:val="0BA50775"/>
    <w:rsid w:val="0BA749E5"/>
    <w:rsid w:val="0BAC24A8"/>
    <w:rsid w:val="0BAE1323"/>
    <w:rsid w:val="0BB42E0A"/>
    <w:rsid w:val="0BBA3391"/>
    <w:rsid w:val="0BDC3258"/>
    <w:rsid w:val="0BDE3581"/>
    <w:rsid w:val="0BE52963"/>
    <w:rsid w:val="0BE85349"/>
    <w:rsid w:val="0BF57A28"/>
    <w:rsid w:val="0BF845E9"/>
    <w:rsid w:val="0BFA1A53"/>
    <w:rsid w:val="0C074F06"/>
    <w:rsid w:val="0C0B1E5B"/>
    <w:rsid w:val="0C146F99"/>
    <w:rsid w:val="0C1A584B"/>
    <w:rsid w:val="0C2275D5"/>
    <w:rsid w:val="0C2D70F9"/>
    <w:rsid w:val="0C342312"/>
    <w:rsid w:val="0C456335"/>
    <w:rsid w:val="0C53740C"/>
    <w:rsid w:val="0C563E70"/>
    <w:rsid w:val="0C631545"/>
    <w:rsid w:val="0C6E187C"/>
    <w:rsid w:val="0C7D4D8F"/>
    <w:rsid w:val="0C80052F"/>
    <w:rsid w:val="0C8C06D3"/>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99"/>
    <w:rsid w:val="0CB80D6E"/>
    <w:rsid w:val="0CBF360E"/>
    <w:rsid w:val="0CC10497"/>
    <w:rsid w:val="0CC30BC5"/>
    <w:rsid w:val="0CC42150"/>
    <w:rsid w:val="0CC45545"/>
    <w:rsid w:val="0CC71781"/>
    <w:rsid w:val="0CCB0FDF"/>
    <w:rsid w:val="0CDC1817"/>
    <w:rsid w:val="0CDC515C"/>
    <w:rsid w:val="0D0B2A13"/>
    <w:rsid w:val="0D112021"/>
    <w:rsid w:val="0D12133D"/>
    <w:rsid w:val="0D1F7151"/>
    <w:rsid w:val="0D200D54"/>
    <w:rsid w:val="0D2B7DB2"/>
    <w:rsid w:val="0D3152D9"/>
    <w:rsid w:val="0D384916"/>
    <w:rsid w:val="0D427E08"/>
    <w:rsid w:val="0D4A1977"/>
    <w:rsid w:val="0D511FCD"/>
    <w:rsid w:val="0D52698E"/>
    <w:rsid w:val="0D583C5F"/>
    <w:rsid w:val="0D5D658F"/>
    <w:rsid w:val="0D6029A5"/>
    <w:rsid w:val="0D6063D4"/>
    <w:rsid w:val="0D667E20"/>
    <w:rsid w:val="0D6B6C90"/>
    <w:rsid w:val="0D7170F8"/>
    <w:rsid w:val="0D922931"/>
    <w:rsid w:val="0D95263C"/>
    <w:rsid w:val="0DA81B9F"/>
    <w:rsid w:val="0DAD79F2"/>
    <w:rsid w:val="0DB47CEC"/>
    <w:rsid w:val="0DBB3CA5"/>
    <w:rsid w:val="0DBB4EDD"/>
    <w:rsid w:val="0DC37BF2"/>
    <w:rsid w:val="0DC436B0"/>
    <w:rsid w:val="0DC9693F"/>
    <w:rsid w:val="0DCC1715"/>
    <w:rsid w:val="0DD82C48"/>
    <w:rsid w:val="0DDB6385"/>
    <w:rsid w:val="0DF024FC"/>
    <w:rsid w:val="0DF0632D"/>
    <w:rsid w:val="0DF475E0"/>
    <w:rsid w:val="0E0E09E4"/>
    <w:rsid w:val="0E0E0AE3"/>
    <w:rsid w:val="0E184477"/>
    <w:rsid w:val="0E1A4501"/>
    <w:rsid w:val="0E21196E"/>
    <w:rsid w:val="0E227E98"/>
    <w:rsid w:val="0E27140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B0282"/>
    <w:rsid w:val="0EC370FE"/>
    <w:rsid w:val="0EC4408A"/>
    <w:rsid w:val="0ECD6BD5"/>
    <w:rsid w:val="0EDA3DE0"/>
    <w:rsid w:val="0EE241B0"/>
    <w:rsid w:val="0EE470B9"/>
    <w:rsid w:val="0EE51F3F"/>
    <w:rsid w:val="0EE67C37"/>
    <w:rsid w:val="0EE96C61"/>
    <w:rsid w:val="0EEF6278"/>
    <w:rsid w:val="0F070719"/>
    <w:rsid w:val="0F0E340F"/>
    <w:rsid w:val="0F110F65"/>
    <w:rsid w:val="0F126FC2"/>
    <w:rsid w:val="0F1821BC"/>
    <w:rsid w:val="0F1F71AB"/>
    <w:rsid w:val="0F206FE9"/>
    <w:rsid w:val="0F246E43"/>
    <w:rsid w:val="0F2F2F21"/>
    <w:rsid w:val="0F303168"/>
    <w:rsid w:val="0F3346BD"/>
    <w:rsid w:val="0F3E6D6B"/>
    <w:rsid w:val="0F521390"/>
    <w:rsid w:val="0F551890"/>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8781F"/>
    <w:rsid w:val="0FC24482"/>
    <w:rsid w:val="0FC754B6"/>
    <w:rsid w:val="0FCD46F4"/>
    <w:rsid w:val="0FCE3065"/>
    <w:rsid w:val="0FE107E2"/>
    <w:rsid w:val="0FE336DE"/>
    <w:rsid w:val="0FED1D3E"/>
    <w:rsid w:val="10065756"/>
    <w:rsid w:val="100A69A4"/>
    <w:rsid w:val="100E17EE"/>
    <w:rsid w:val="10140347"/>
    <w:rsid w:val="101B54B3"/>
    <w:rsid w:val="101C6175"/>
    <w:rsid w:val="104210EE"/>
    <w:rsid w:val="10444B77"/>
    <w:rsid w:val="10495D6E"/>
    <w:rsid w:val="104C1069"/>
    <w:rsid w:val="10513C3F"/>
    <w:rsid w:val="10541F36"/>
    <w:rsid w:val="105D2D1E"/>
    <w:rsid w:val="10623D8F"/>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C2285B"/>
    <w:rsid w:val="10C54276"/>
    <w:rsid w:val="10D27169"/>
    <w:rsid w:val="10D309E2"/>
    <w:rsid w:val="10D621B1"/>
    <w:rsid w:val="10D81E5C"/>
    <w:rsid w:val="10DA39AB"/>
    <w:rsid w:val="10DE746C"/>
    <w:rsid w:val="10EB7A42"/>
    <w:rsid w:val="10F16967"/>
    <w:rsid w:val="10F21B48"/>
    <w:rsid w:val="10F61CDD"/>
    <w:rsid w:val="10F91FDE"/>
    <w:rsid w:val="10F941E9"/>
    <w:rsid w:val="11083015"/>
    <w:rsid w:val="110A357B"/>
    <w:rsid w:val="110D2E2E"/>
    <w:rsid w:val="1113498F"/>
    <w:rsid w:val="11145DE6"/>
    <w:rsid w:val="111A2147"/>
    <w:rsid w:val="112252CB"/>
    <w:rsid w:val="11360EF9"/>
    <w:rsid w:val="113641BB"/>
    <w:rsid w:val="113B0B58"/>
    <w:rsid w:val="113D4F12"/>
    <w:rsid w:val="113D775B"/>
    <w:rsid w:val="11410876"/>
    <w:rsid w:val="114608E7"/>
    <w:rsid w:val="114F3D65"/>
    <w:rsid w:val="115347BC"/>
    <w:rsid w:val="11545887"/>
    <w:rsid w:val="11597C64"/>
    <w:rsid w:val="116228E3"/>
    <w:rsid w:val="11631325"/>
    <w:rsid w:val="116345A4"/>
    <w:rsid w:val="11667833"/>
    <w:rsid w:val="11687433"/>
    <w:rsid w:val="1178450A"/>
    <w:rsid w:val="117B53DF"/>
    <w:rsid w:val="117B71D3"/>
    <w:rsid w:val="11845F00"/>
    <w:rsid w:val="11885DD3"/>
    <w:rsid w:val="118A58E4"/>
    <w:rsid w:val="118F0DB3"/>
    <w:rsid w:val="11916F88"/>
    <w:rsid w:val="11A51BB6"/>
    <w:rsid w:val="11AC6860"/>
    <w:rsid w:val="11B62D0B"/>
    <w:rsid w:val="11BE6E3E"/>
    <w:rsid w:val="11C52A21"/>
    <w:rsid w:val="11C75474"/>
    <w:rsid w:val="11D26FDB"/>
    <w:rsid w:val="11D435B9"/>
    <w:rsid w:val="11D8409F"/>
    <w:rsid w:val="11D95083"/>
    <w:rsid w:val="11DD2AAB"/>
    <w:rsid w:val="11DE26F2"/>
    <w:rsid w:val="11DF6987"/>
    <w:rsid w:val="11EA23C8"/>
    <w:rsid w:val="11EB5C95"/>
    <w:rsid w:val="11ED6242"/>
    <w:rsid w:val="12010E7D"/>
    <w:rsid w:val="120506CD"/>
    <w:rsid w:val="12075A2C"/>
    <w:rsid w:val="120A0C4D"/>
    <w:rsid w:val="120A38DA"/>
    <w:rsid w:val="12101A57"/>
    <w:rsid w:val="12193170"/>
    <w:rsid w:val="12193813"/>
    <w:rsid w:val="121D6AE3"/>
    <w:rsid w:val="121F75CC"/>
    <w:rsid w:val="12271CB0"/>
    <w:rsid w:val="122C1A12"/>
    <w:rsid w:val="1232130B"/>
    <w:rsid w:val="12395D63"/>
    <w:rsid w:val="12401AD9"/>
    <w:rsid w:val="12421E9D"/>
    <w:rsid w:val="1248421F"/>
    <w:rsid w:val="12571C4D"/>
    <w:rsid w:val="125C09FF"/>
    <w:rsid w:val="12657F0C"/>
    <w:rsid w:val="126830F6"/>
    <w:rsid w:val="126B5207"/>
    <w:rsid w:val="126F57E1"/>
    <w:rsid w:val="12760E78"/>
    <w:rsid w:val="127673DB"/>
    <w:rsid w:val="127E0189"/>
    <w:rsid w:val="12810A1D"/>
    <w:rsid w:val="12854B81"/>
    <w:rsid w:val="12927837"/>
    <w:rsid w:val="12A30BAA"/>
    <w:rsid w:val="12A709D5"/>
    <w:rsid w:val="12A867C5"/>
    <w:rsid w:val="12B56515"/>
    <w:rsid w:val="12BE11B2"/>
    <w:rsid w:val="12BE1828"/>
    <w:rsid w:val="12C21464"/>
    <w:rsid w:val="12C40A29"/>
    <w:rsid w:val="12C42DA1"/>
    <w:rsid w:val="12C45CF0"/>
    <w:rsid w:val="12C948D2"/>
    <w:rsid w:val="12CB14EE"/>
    <w:rsid w:val="12CE6902"/>
    <w:rsid w:val="12D54B1A"/>
    <w:rsid w:val="12EE0F39"/>
    <w:rsid w:val="12EF155A"/>
    <w:rsid w:val="12F17350"/>
    <w:rsid w:val="12F712FB"/>
    <w:rsid w:val="12FA0E2E"/>
    <w:rsid w:val="12FF7A62"/>
    <w:rsid w:val="13037A88"/>
    <w:rsid w:val="133844CA"/>
    <w:rsid w:val="1347596A"/>
    <w:rsid w:val="13477178"/>
    <w:rsid w:val="134B5A55"/>
    <w:rsid w:val="134C0AA1"/>
    <w:rsid w:val="136041BC"/>
    <w:rsid w:val="136F4FE6"/>
    <w:rsid w:val="13713F6F"/>
    <w:rsid w:val="13762A14"/>
    <w:rsid w:val="13790756"/>
    <w:rsid w:val="137B6EE7"/>
    <w:rsid w:val="137E2E27"/>
    <w:rsid w:val="138C25C7"/>
    <w:rsid w:val="138E741D"/>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F57229"/>
    <w:rsid w:val="13F60043"/>
    <w:rsid w:val="13F63AC9"/>
    <w:rsid w:val="13FF4761"/>
    <w:rsid w:val="1401651E"/>
    <w:rsid w:val="14065625"/>
    <w:rsid w:val="14127CF3"/>
    <w:rsid w:val="1416357F"/>
    <w:rsid w:val="14175C6D"/>
    <w:rsid w:val="14182B9E"/>
    <w:rsid w:val="141A193D"/>
    <w:rsid w:val="14211963"/>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D2447"/>
    <w:rsid w:val="14BD0C90"/>
    <w:rsid w:val="14BD7435"/>
    <w:rsid w:val="14D41B03"/>
    <w:rsid w:val="14EC7262"/>
    <w:rsid w:val="14F50637"/>
    <w:rsid w:val="14F56962"/>
    <w:rsid w:val="14FD3DC3"/>
    <w:rsid w:val="15052F44"/>
    <w:rsid w:val="152446F6"/>
    <w:rsid w:val="15274A34"/>
    <w:rsid w:val="152C74BF"/>
    <w:rsid w:val="152E54C4"/>
    <w:rsid w:val="1535555F"/>
    <w:rsid w:val="15382813"/>
    <w:rsid w:val="154B27A9"/>
    <w:rsid w:val="154B6CF6"/>
    <w:rsid w:val="15516306"/>
    <w:rsid w:val="155B06BC"/>
    <w:rsid w:val="155B6FCC"/>
    <w:rsid w:val="15620F8B"/>
    <w:rsid w:val="156514F3"/>
    <w:rsid w:val="15707694"/>
    <w:rsid w:val="157477F0"/>
    <w:rsid w:val="157F4B83"/>
    <w:rsid w:val="15864057"/>
    <w:rsid w:val="158A2F64"/>
    <w:rsid w:val="158C53F6"/>
    <w:rsid w:val="15946EC2"/>
    <w:rsid w:val="1594709F"/>
    <w:rsid w:val="159B1410"/>
    <w:rsid w:val="159D2E6C"/>
    <w:rsid w:val="15A625C0"/>
    <w:rsid w:val="15A70541"/>
    <w:rsid w:val="15A7643A"/>
    <w:rsid w:val="15AD4348"/>
    <w:rsid w:val="15AD7612"/>
    <w:rsid w:val="15B96153"/>
    <w:rsid w:val="15BC619F"/>
    <w:rsid w:val="15BF618A"/>
    <w:rsid w:val="15C40EFF"/>
    <w:rsid w:val="15CA097E"/>
    <w:rsid w:val="15D92955"/>
    <w:rsid w:val="15F5535B"/>
    <w:rsid w:val="15F569FA"/>
    <w:rsid w:val="15F656C7"/>
    <w:rsid w:val="15F85F00"/>
    <w:rsid w:val="15F969EC"/>
    <w:rsid w:val="16005D04"/>
    <w:rsid w:val="1607152F"/>
    <w:rsid w:val="160D7883"/>
    <w:rsid w:val="160E7A4D"/>
    <w:rsid w:val="16104DB0"/>
    <w:rsid w:val="1613433D"/>
    <w:rsid w:val="16200AF2"/>
    <w:rsid w:val="162E270B"/>
    <w:rsid w:val="162E2ADD"/>
    <w:rsid w:val="16313AA6"/>
    <w:rsid w:val="163267A4"/>
    <w:rsid w:val="163C0B35"/>
    <w:rsid w:val="16405266"/>
    <w:rsid w:val="164561DB"/>
    <w:rsid w:val="1651617C"/>
    <w:rsid w:val="16672683"/>
    <w:rsid w:val="166852CC"/>
    <w:rsid w:val="16696EE3"/>
    <w:rsid w:val="16713663"/>
    <w:rsid w:val="167518D2"/>
    <w:rsid w:val="168864E9"/>
    <w:rsid w:val="16907088"/>
    <w:rsid w:val="1697702E"/>
    <w:rsid w:val="169A4327"/>
    <w:rsid w:val="169D4FCC"/>
    <w:rsid w:val="16A26D59"/>
    <w:rsid w:val="16A31912"/>
    <w:rsid w:val="16A52825"/>
    <w:rsid w:val="16A60389"/>
    <w:rsid w:val="16AC66DD"/>
    <w:rsid w:val="16AD326E"/>
    <w:rsid w:val="16B06BAD"/>
    <w:rsid w:val="16B17712"/>
    <w:rsid w:val="16B95CF7"/>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A6824"/>
    <w:rsid w:val="173B1FA1"/>
    <w:rsid w:val="173C594E"/>
    <w:rsid w:val="17503F57"/>
    <w:rsid w:val="17505DD6"/>
    <w:rsid w:val="17586CB0"/>
    <w:rsid w:val="17596CA9"/>
    <w:rsid w:val="17600681"/>
    <w:rsid w:val="17665D9F"/>
    <w:rsid w:val="17696EA4"/>
    <w:rsid w:val="17795030"/>
    <w:rsid w:val="177B0627"/>
    <w:rsid w:val="177D3C16"/>
    <w:rsid w:val="178501CB"/>
    <w:rsid w:val="178A042D"/>
    <w:rsid w:val="178A1F82"/>
    <w:rsid w:val="17920EA7"/>
    <w:rsid w:val="1797450B"/>
    <w:rsid w:val="17A644BF"/>
    <w:rsid w:val="17A92F07"/>
    <w:rsid w:val="17B23E0F"/>
    <w:rsid w:val="17B31B32"/>
    <w:rsid w:val="17B80549"/>
    <w:rsid w:val="17C063A0"/>
    <w:rsid w:val="17C16366"/>
    <w:rsid w:val="17C76A67"/>
    <w:rsid w:val="17DA0F7A"/>
    <w:rsid w:val="17DC2D7F"/>
    <w:rsid w:val="17E95276"/>
    <w:rsid w:val="17EA38A1"/>
    <w:rsid w:val="17EB77A3"/>
    <w:rsid w:val="17EC5E41"/>
    <w:rsid w:val="1806537C"/>
    <w:rsid w:val="18066C18"/>
    <w:rsid w:val="181C2683"/>
    <w:rsid w:val="181E4167"/>
    <w:rsid w:val="18341D76"/>
    <w:rsid w:val="18351C27"/>
    <w:rsid w:val="18553A22"/>
    <w:rsid w:val="18607956"/>
    <w:rsid w:val="186E420E"/>
    <w:rsid w:val="187A14AA"/>
    <w:rsid w:val="187B7B4F"/>
    <w:rsid w:val="1887188F"/>
    <w:rsid w:val="18935E66"/>
    <w:rsid w:val="18A35548"/>
    <w:rsid w:val="18A63203"/>
    <w:rsid w:val="18A77689"/>
    <w:rsid w:val="18A816B2"/>
    <w:rsid w:val="18B25B64"/>
    <w:rsid w:val="18B8431F"/>
    <w:rsid w:val="18B90C48"/>
    <w:rsid w:val="18BC4ADF"/>
    <w:rsid w:val="18BD1521"/>
    <w:rsid w:val="18BD2E66"/>
    <w:rsid w:val="18BE7EAB"/>
    <w:rsid w:val="18CF2450"/>
    <w:rsid w:val="18DA12E6"/>
    <w:rsid w:val="18E62F4B"/>
    <w:rsid w:val="18E85386"/>
    <w:rsid w:val="18FC503B"/>
    <w:rsid w:val="19027C40"/>
    <w:rsid w:val="190E3326"/>
    <w:rsid w:val="190E3538"/>
    <w:rsid w:val="19164D1E"/>
    <w:rsid w:val="192D514C"/>
    <w:rsid w:val="193544CD"/>
    <w:rsid w:val="19443AA2"/>
    <w:rsid w:val="1945355B"/>
    <w:rsid w:val="194817FC"/>
    <w:rsid w:val="194A0D45"/>
    <w:rsid w:val="195159CB"/>
    <w:rsid w:val="195961D5"/>
    <w:rsid w:val="195C14E8"/>
    <w:rsid w:val="196515C3"/>
    <w:rsid w:val="197859DA"/>
    <w:rsid w:val="1980769C"/>
    <w:rsid w:val="19884F66"/>
    <w:rsid w:val="19917CFC"/>
    <w:rsid w:val="1997576B"/>
    <w:rsid w:val="1998697F"/>
    <w:rsid w:val="199A20B4"/>
    <w:rsid w:val="19A71B82"/>
    <w:rsid w:val="19B84C88"/>
    <w:rsid w:val="19C6694E"/>
    <w:rsid w:val="19D11E61"/>
    <w:rsid w:val="19D5618C"/>
    <w:rsid w:val="19E22401"/>
    <w:rsid w:val="19E23808"/>
    <w:rsid w:val="19F44B16"/>
    <w:rsid w:val="1A00532F"/>
    <w:rsid w:val="1A040FBD"/>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A3523"/>
    <w:rsid w:val="1AFD3AEA"/>
    <w:rsid w:val="1B05238D"/>
    <w:rsid w:val="1B13587B"/>
    <w:rsid w:val="1B1D44BA"/>
    <w:rsid w:val="1B2C07D2"/>
    <w:rsid w:val="1B2C5EE0"/>
    <w:rsid w:val="1B3604D3"/>
    <w:rsid w:val="1B364D11"/>
    <w:rsid w:val="1B3865C6"/>
    <w:rsid w:val="1B3E5EDE"/>
    <w:rsid w:val="1B433153"/>
    <w:rsid w:val="1B467529"/>
    <w:rsid w:val="1B4B00CA"/>
    <w:rsid w:val="1B566C78"/>
    <w:rsid w:val="1B5F1247"/>
    <w:rsid w:val="1B6307EA"/>
    <w:rsid w:val="1B79696C"/>
    <w:rsid w:val="1B7E1824"/>
    <w:rsid w:val="1B825166"/>
    <w:rsid w:val="1B890C23"/>
    <w:rsid w:val="1B9411FC"/>
    <w:rsid w:val="1B9D6CE8"/>
    <w:rsid w:val="1BA866D1"/>
    <w:rsid w:val="1BBB422B"/>
    <w:rsid w:val="1BC600B5"/>
    <w:rsid w:val="1BCD55F8"/>
    <w:rsid w:val="1BE011AE"/>
    <w:rsid w:val="1BE30F90"/>
    <w:rsid w:val="1BE31093"/>
    <w:rsid w:val="1BE956C8"/>
    <w:rsid w:val="1C022294"/>
    <w:rsid w:val="1C0B35D4"/>
    <w:rsid w:val="1C12573D"/>
    <w:rsid w:val="1C1D1EE2"/>
    <w:rsid w:val="1C234861"/>
    <w:rsid w:val="1C2E319B"/>
    <w:rsid w:val="1C3477C5"/>
    <w:rsid w:val="1C4F6563"/>
    <w:rsid w:val="1C545F3D"/>
    <w:rsid w:val="1C556488"/>
    <w:rsid w:val="1C563FE3"/>
    <w:rsid w:val="1C5A182A"/>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B21A29"/>
    <w:rsid w:val="1CCB32EE"/>
    <w:rsid w:val="1CD23361"/>
    <w:rsid w:val="1CD35882"/>
    <w:rsid w:val="1CE302F7"/>
    <w:rsid w:val="1CEC4F96"/>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4B5A"/>
    <w:rsid w:val="1D584348"/>
    <w:rsid w:val="1D597DDF"/>
    <w:rsid w:val="1D5D209F"/>
    <w:rsid w:val="1D6D4785"/>
    <w:rsid w:val="1D6E27CD"/>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D11EB5"/>
    <w:rsid w:val="1DD246EC"/>
    <w:rsid w:val="1DD63079"/>
    <w:rsid w:val="1DD859F5"/>
    <w:rsid w:val="1DDA6EEA"/>
    <w:rsid w:val="1DDD63A7"/>
    <w:rsid w:val="1DE56ABE"/>
    <w:rsid w:val="1DFC4DF9"/>
    <w:rsid w:val="1E0435A0"/>
    <w:rsid w:val="1E110D2A"/>
    <w:rsid w:val="1E1247A2"/>
    <w:rsid w:val="1E155062"/>
    <w:rsid w:val="1E193E9C"/>
    <w:rsid w:val="1E1B38E9"/>
    <w:rsid w:val="1E1B7186"/>
    <w:rsid w:val="1E303EF3"/>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A0174"/>
    <w:rsid w:val="1EDB3888"/>
    <w:rsid w:val="1EE05F54"/>
    <w:rsid w:val="1EE332A7"/>
    <w:rsid w:val="1EF579A0"/>
    <w:rsid w:val="1F05532C"/>
    <w:rsid w:val="1F095121"/>
    <w:rsid w:val="1F0C3604"/>
    <w:rsid w:val="1F0D0383"/>
    <w:rsid w:val="1F0F4C7A"/>
    <w:rsid w:val="1F1527EE"/>
    <w:rsid w:val="1F20034A"/>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77565"/>
    <w:rsid w:val="1F9B644E"/>
    <w:rsid w:val="1FA429B4"/>
    <w:rsid w:val="1FB34801"/>
    <w:rsid w:val="1FB75185"/>
    <w:rsid w:val="1FB97163"/>
    <w:rsid w:val="1FBD0EE6"/>
    <w:rsid w:val="1FC10346"/>
    <w:rsid w:val="1FC16504"/>
    <w:rsid w:val="1FDB745E"/>
    <w:rsid w:val="1FDD028C"/>
    <w:rsid w:val="1FF955B0"/>
    <w:rsid w:val="1FFA3EAB"/>
    <w:rsid w:val="1FFB3FF4"/>
    <w:rsid w:val="20176E76"/>
    <w:rsid w:val="201C2D60"/>
    <w:rsid w:val="20270162"/>
    <w:rsid w:val="203F0CD6"/>
    <w:rsid w:val="20655E4F"/>
    <w:rsid w:val="207308C3"/>
    <w:rsid w:val="207411D3"/>
    <w:rsid w:val="20743131"/>
    <w:rsid w:val="207536DF"/>
    <w:rsid w:val="20783BF9"/>
    <w:rsid w:val="20786435"/>
    <w:rsid w:val="20811113"/>
    <w:rsid w:val="20874766"/>
    <w:rsid w:val="2088281D"/>
    <w:rsid w:val="2088475A"/>
    <w:rsid w:val="20917F9C"/>
    <w:rsid w:val="2094661E"/>
    <w:rsid w:val="20951ED4"/>
    <w:rsid w:val="20962536"/>
    <w:rsid w:val="20AF5726"/>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14223"/>
    <w:rsid w:val="21200021"/>
    <w:rsid w:val="21257F04"/>
    <w:rsid w:val="21291A31"/>
    <w:rsid w:val="21353F50"/>
    <w:rsid w:val="2138052E"/>
    <w:rsid w:val="213C3CC5"/>
    <w:rsid w:val="214776EA"/>
    <w:rsid w:val="21522E38"/>
    <w:rsid w:val="2159046C"/>
    <w:rsid w:val="21592762"/>
    <w:rsid w:val="215F3A68"/>
    <w:rsid w:val="21611A31"/>
    <w:rsid w:val="21635586"/>
    <w:rsid w:val="21760888"/>
    <w:rsid w:val="217B17E2"/>
    <w:rsid w:val="218810BD"/>
    <w:rsid w:val="218D61A9"/>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2539C"/>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D42BA"/>
    <w:rsid w:val="227078B0"/>
    <w:rsid w:val="2271187B"/>
    <w:rsid w:val="22833161"/>
    <w:rsid w:val="228338C8"/>
    <w:rsid w:val="22840DDA"/>
    <w:rsid w:val="22876A0D"/>
    <w:rsid w:val="22A11695"/>
    <w:rsid w:val="22A63B38"/>
    <w:rsid w:val="22A73490"/>
    <w:rsid w:val="22A8489A"/>
    <w:rsid w:val="22AA7376"/>
    <w:rsid w:val="22AB3B60"/>
    <w:rsid w:val="22AF11A1"/>
    <w:rsid w:val="22B22D1F"/>
    <w:rsid w:val="22B33D99"/>
    <w:rsid w:val="22BB4A47"/>
    <w:rsid w:val="22BC2773"/>
    <w:rsid w:val="22BE29D6"/>
    <w:rsid w:val="22C27BE8"/>
    <w:rsid w:val="22C4003E"/>
    <w:rsid w:val="22D02654"/>
    <w:rsid w:val="22D10E4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F5270"/>
    <w:rsid w:val="2311101C"/>
    <w:rsid w:val="231869B1"/>
    <w:rsid w:val="2319089C"/>
    <w:rsid w:val="231B2491"/>
    <w:rsid w:val="232515D0"/>
    <w:rsid w:val="232F45E5"/>
    <w:rsid w:val="23382F5D"/>
    <w:rsid w:val="233857DC"/>
    <w:rsid w:val="233E2231"/>
    <w:rsid w:val="23443C8F"/>
    <w:rsid w:val="23561548"/>
    <w:rsid w:val="23561CD1"/>
    <w:rsid w:val="235E47B6"/>
    <w:rsid w:val="23644FB5"/>
    <w:rsid w:val="23646298"/>
    <w:rsid w:val="236B32CC"/>
    <w:rsid w:val="2372506B"/>
    <w:rsid w:val="2376691B"/>
    <w:rsid w:val="2378146C"/>
    <w:rsid w:val="238D2D50"/>
    <w:rsid w:val="238D66BE"/>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860612"/>
    <w:rsid w:val="24872D53"/>
    <w:rsid w:val="248E7D90"/>
    <w:rsid w:val="249321BF"/>
    <w:rsid w:val="249C0D83"/>
    <w:rsid w:val="24A033EE"/>
    <w:rsid w:val="24B51B12"/>
    <w:rsid w:val="24C434A5"/>
    <w:rsid w:val="24CA496C"/>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9114ED"/>
    <w:rsid w:val="2593720A"/>
    <w:rsid w:val="25996F48"/>
    <w:rsid w:val="259A3CB2"/>
    <w:rsid w:val="259E4C39"/>
    <w:rsid w:val="259E5828"/>
    <w:rsid w:val="25A92B92"/>
    <w:rsid w:val="25AB0A3D"/>
    <w:rsid w:val="25AC370D"/>
    <w:rsid w:val="25B22B68"/>
    <w:rsid w:val="25B5218E"/>
    <w:rsid w:val="25C15D16"/>
    <w:rsid w:val="25C55B83"/>
    <w:rsid w:val="25CD5BF1"/>
    <w:rsid w:val="25CD62C3"/>
    <w:rsid w:val="25D31208"/>
    <w:rsid w:val="25DA65CA"/>
    <w:rsid w:val="25DB6649"/>
    <w:rsid w:val="25DD0809"/>
    <w:rsid w:val="25E27416"/>
    <w:rsid w:val="25E46656"/>
    <w:rsid w:val="25E47484"/>
    <w:rsid w:val="25E92FBE"/>
    <w:rsid w:val="25F17275"/>
    <w:rsid w:val="25F31E31"/>
    <w:rsid w:val="25F70EE4"/>
    <w:rsid w:val="25FC0B75"/>
    <w:rsid w:val="260139F3"/>
    <w:rsid w:val="260556D5"/>
    <w:rsid w:val="26080DD9"/>
    <w:rsid w:val="26082798"/>
    <w:rsid w:val="26095114"/>
    <w:rsid w:val="260E454E"/>
    <w:rsid w:val="261464EE"/>
    <w:rsid w:val="26280E6C"/>
    <w:rsid w:val="262E05B0"/>
    <w:rsid w:val="26327A25"/>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F17CAD"/>
    <w:rsid w:val="26F51567"/>
    <w:rsid w:val="26F54808"/>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A2EC6"/>
    <w:rsid w:val="27841ADD"/>
    <w:rsid w:val="278B7262"/>
    <w:rsid w:val="278E7D5F"/>
    <w:rsid w:val="279429E3"/>
    <w:rsid w:val="27966F4A"/>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A5F82"/>
    <w:rsid w:val="28014303"/>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133CC"/>
    <w:rsid w:val="28F729CE"/>
    <w:rsid w:val="28F934CA"/>
    <w:rsid w:val="28FA5F7F"/>
    <w:rsid w:val="29056F59"/>
    <w:rsid w:val="2907017C"/>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712D8F"/>
    <w:rsid w:val="29736267"/>
    <w:rsid w:val="297B31D3"/>
    <w:rsid w:val="298103BD"/>
    <w:rsid w:val="298D4850"/>
    <w:rsid w:val="29966295"/>
    <w:rsid w:val="29971F57"/>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307EBE"/>
    <w:rsid w:val="2A3E413F"/>
    <w:rsid w:val="2A430F4D"/>
    <w:rsid w:val="2A5303B9"/>
    <w:rsid w:val="2A534A67"/>
    <w:rsid w:val="2A5F67A3"/>
    <w:rsid w:val="2A6151C4"/>
    <w:rsid w:val="2A664C59"/>
    <w:rsid w:val="2A6B464E"/>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F336C9"/>
    <w:rsid w:val="2BF33ED5"/>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16AFA"/>
    <w:rsid w:val="2CC95D10"/>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651C9"/>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F18AD"/>
    <w:rsid w:val="2E28757C"/>
    <w:rsid w:val="2E2C723F"/>
    <w:rsid w:val="2E332EEF"/>
    <w:rsid w:val="2E3F6B8A"/>
    <w:rsid w:val="2E406C31"/>
    <w:rsid w:val="2E467FE7"/>
    <w:rsid w:val="2E527715"/>
    <w:rsid w:val="2E530660"/>
    <w:rsid w:val="2E53115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F224CD"/>
    <w:rsid w:val="2EF67D61"/>
    <w:rsid w:val="2EFA2F2B"/>
    <w:rsid w:val="2F2E23A6"/>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C6646"/>
    <w:rsid w:val="2F9D4AA3"/>
    <w:rsid w:val="2F9F094E"/>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205153"/>
    <w:rsid w:val="30253FAB"/>
    <w:rsid w:val="30270D6F"/>
    <w:rsid w:val="303B3B59"/>
    <w:rsid w:val="303C0C41"/>
    <w:rsid w:val="303D6437"/>
    <w:rsid w:val="30443F81"/>
    <w:rsid w:val="305831D6"/>
    <w:rsid w:val="305A4537"/>
    <w:rsid w:val="30632880"/>
    <w:rsid w:val="3070014A"/>
    <w:rsid w:val="307B4FFA"/>
    <w:rsid w:val="308136E0"/>
    <w:rsid w:val="3095375A"/>
    <w:rsid w:val="309B2688"/>
    <w:rsid w:val="30A90B96"/>
    <w:rsid w:val="30A91070"/>
    <w:rsid w:val="30B26464"/>
    <w:rsid w:val="30B86332"/>
    <w:rsid w:val="30C91D87"/>
    <w:rsid w:val="30D10B78"/>
    <w:rsid w:val="30D251E3"/>
    <w:rsid w:val="30D36EB7"/>
    <w:rsid w:val="30D45137"/>
    <w:rsid w:val="30D51A41"/>
    <w:rsid w:val="30E7233C"/>
    <w:rsid w:val="31076B28"/>
    <w:rsid w:val="31076EFA"/>
    <w:rsid w:val="310866BC"/>
    <w:rsid w:val="31154DED"/>
    <w:rsid w:val="31215B33"/>
    <w:rsid w:val="312A36B1"/>
    <w:rsid w:val="313A2CAC"/>
    <w:rsid w:val="313E6356"/>
    <w:rsid w:val="31460C29"/>
    <w:rsid w:val="314B3239"/>
    <w:rsid w:val="315B21E9"/>
    <w:rsid w:val="315B5E62"/>
    <w:rsid w:val="31604DC0"/>
    <w:rsid w:val="31607973"/>
    <w:rsid w:val="3163108E"/>
    <w:rsid w:val="3167538F"/>
    <w:rsid w:val="317544CD"/>
    <w:rsid w:val="31765162"/>
    <w:rsid w:val="317A487D"/>
    <w:rsid w:val="31833BCE"/>
    <w:rsid w:val="318A1515"/>
    <w:rsid w:val="31944F6F"/>
    <w:rsid w:val="31963456"/>
    <w:rsid w:val="31A51052"/>
    <w:rsid w:val="31A77BCC"/>
    <w:rsid w:val="31A84B64"/>
    <w:rsid w:val="31B12D3C"/>
    <w:rsid w:val="31B2653B"/>
    <w:rsid w:val="31B266EC"/>
    <w:rsid w:val="31B45163"/>
    <w:rsid w:val="31B81D35"/>
    <w:rsid w:val="31C3729F"/>
    <w:rsid w:val="31CB617D"/>
    <w:rsid w:val="31CC0ECB"/>
    <w:rsid w:val="31DD2EC1"/>
    <w:rsid w:val="31DF1DB8"/>
    <w:rsid w:val="31F020DC"/>
    <w:rsid w:val="31F072F8"/>
    <w:rsid w:val="32061C7F"/>
    <w:rsid w:val="320A52D8"/>
    <w:rsid w:val="320D2005"/>
    <w:rsid w:val="32136025"/>
    <w:rsid w:val="32220D79"/>
    <w:rsid w:val="32252577"/>
    <w:rsid w:val="32294648"/>
    <w:rsid w:val="322F0831"/>
    <w:rsid w:val="3238009F"/>
    <w:rsid w:val="323F5519"/>
    <w:rsid w:val="32471CC6"/>
    <w:rsid w:val="324F0134"/>
    <w:rsid w:val="32540593"/>
    <w:rsid w:val="32582CC3"/>
    <w:rsid w:val="327179A4"/>
    <w:rsid w:val="32775626"/>
    <w:rsid w:val="32835AB1"/>
    <w:rsid w:val="328A3A5F"/>
    <w:rsid w:val="328D7371"/>
    <w:rsid w:val="328E2231"/>
    <w:rsid w:val="329326B7"/>
    <w:rsid w:val="329426A2"/>
    <w:rsid w:val="329708DE"/>
    <w:rsid w:val="32AD1211"/>
    <w:rsid w:val="32E12F9A"/>
    <w:rsid w:val="32E87F66"/>
    <w:rsid w:val="32EC46FB"/>
    <w:rsid w:val="32FF12B8"/>
    <w:rsid w:val="330073AA"/>
    <w:rsid w:val="33020BF1"/>
    <w:rsid w:val="330710D7"/>
    <w:rsid w:val="331E3887"/>
    <w:rsid w:val="33224534"/>
    <w:rsid w:val="332742E9"/>
    <w:rsid w:val="332A1AC1"/>
    <w:rsid w:val="332C71E1"/>
    <w:rsid w:val="332E1BC2"/>
    <w:rsid w:val="332F3B66"/>
    <w:rsid w:val="333B116B"/>
    <w:rsid w:val="333E2024"/>
    <w:rsid w:val="33427ABB"/>
    <w:rsid w:val="33616D4E"/>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440EB"/>
    <w:rsid w:val="348D33D3"/>
    <w:rsid w:val="3496737A"/>
    <w:rsid w:val="34A238C5"/>
    <w:rsid w:val="34AC0653"/>
    <w:rsid w:val="34AC2DE9"/>
    <w:rsid w:val="34B24855"/>
    <w:rsid w:val="34B55560"/>
    <w:rsid w:val="34B84D9B"/>
    <w:rsid w:val="34BE7103"/>
    <w:rsid w:val="34C9343D"/>
    <w:rsid w:val="34CE3369"/>
    <w:rsid w:val="34DC1C67"/>
    <w:rsid w:val="34E47162"/>
    <w:rsid w:val="34E664D6"/>
    <w:rsid w:val="34F64CDD"/>
    <w:rsid w:val="34FF095B"/>
    <w:rsid w:val="3500311A"/>
    <w:rsid w:val="350B76BF"/>
    <w:rsid w:val="350C5C16"/>
    <w:rsid w:val="351710F0"/>
    <w:rsid w:val="351F4B47"/>
    <w:rsid w:val="352E435E"/>
    <w:rsid w:val="3534069E"/>
    <w:rsid w:val="353807E2"/>
    <w:rsid w:val="353D45FA"/>
    <w:rsid w:val="353F0E06"/>
    <w:rsid w:val="35422CF2"/>
    <w:rsid w:val="35505013"/>
    <w:rsid w:val="35531CAD"/>
    <w:rsid w:val="356D51F7"/>
    <w:rsid w:val="357972DF"/>
    <w:rsid w:val="357D79D3"/>
    <w:rsid w:val="35804F9D"/>
    <w:rsid w:val="35843B49"/>
    <w:rsid w:val="35884385"/>
    <w:rsid w:val="35890016"/>
    <w:rsid w:val="358B0F26"/>
    <w:rsid w:val="35924A15"/>
    <w:rsid w:val="359753B1"/>
    <w:rsid w:val="35A25468"/>
    <w:rsid w:val="35AC56FE"/>
    <w:rsid w:val="35C3354B"/>
    <w:rsid w:val="35CB283C"/>
    <w:rsid w:val="35D02A2E"/>
    <w:rsid w:val="35DF2011"/>
    <w:rsid w:val="35E1012B"/>
    <w:rsid w:val="35E1505C"/>
    <w:rsid w:val="35E328B8"/>
    <w:rsid w:val="35E3701E"/>
    <w:rsid w:val="35E420DE"/>
    <w:rsid w:val="35E607CD"/>
    <w:rsid w:val="35EB34A9"/>
    <w:rsid w:val="35EC6F4A"/>
    <w:rsid w:val="35EE6A38"/>
    <w:rsid w:val="35F5734F"/>
    <w:rsid w:val="35F65884"/>
    <w:rsid w:val="35F715DC"/>
    <w:rsid w:val="36057267"/>
    <w:rsid w:val="362131A7"/>
    <w:rsid w:val="362E1546"/>
    <w:rsid w:val="36330CA5"/>
    <w:rsid w:val="364236D7"/>
    <w:rsid w:val="3654563C"/>
    <w:rsid w:val="365763B3"/>
    <w:rsid w:val="366F70DE"/>
    <w:rsid w:val="367C0A7E"/>
    <w:rsid w:val="36856B5A"/>
    <w:rsid w:val="36883C27"/>
    <w:rsid w:val="36950061"/>
    <w:rsid w:val="36A32443"/>
    <w:rsid w:val="36A61ADA"/>
    <w:rsid w:val="36AC504E"/>
    <w:rsid w:val="36B45F51"/>
    <w:rsid w:val="36B7013F"/>
    <w:rsid w:val="36D37FB9"/>
    <w:rsid w:val="36D40D9D"/>
    <w:rsid w:val="36D71D0D"/>
    <w:rsid w:val="36E17BD4"/>
    <w:rsid w:val="36E30071"/>
    <w:rsid w:val="36E31151"/>
    <w:rsid w:val="36E61D1E"/>
    <w:rsid w:val="36EF4947"/>
    <w:rsid w:val="36F76FAD"/>
    <w:rsid w:val="37060D5C"/>
    <w:rsid w:val="370F6D7D"/>
    <w:rsid w:val="3711176D"/>
    <w:rsid w:val="37113E21"/>
    <w:rsid w:val="37244D17"/>
    <w:rsid w:val="373F483B"/>
    <w:rsid w:val="37451D56"/>
    <w:rsid w:val="375C645A"/>
    <w:rsid w:val="37633810"/>
    <w:rsid w:val="37737FCD"/>
    <w:rsid w:val="377E4EC2"/>
    <w:rsid w:val="37831AFE"/>
    <w:rsid w:val="37855CA5"/>
    <w:rsid w:val="379747E4"/>
    <w:rsid w:val="37A10A3C"/>
    <w:rsid w:val="37A32862"/>
    <w:rsid w:val="37A771F1"/>
    <w:rsid w:val="37AA1FED"/>
    <w:rsid w:val="37B033F0"/>
    <w:rsid w:val="37B25951"/>
    <w:rsid w:val="37B82D37"/>
    <w:rsid w:val="37BB1880"/>
    <w:rsid w:val="37BF7DD8"/>
    <w:rsid w:val="37CA6F5D"/>
    <w:rsid w:val="37CF39F4"/>
    <w:rsid w:val="37DF4E44"/>
    <w:rsid w:val="38093CF4"/>
    <w:rsid w:val="38132FDB"/>
    <w:rsid w:val="381523AC"/>
    <w:rsid w:val="3816611D"/>
    <w:rsid w:val="381A7833"/>
    <w:rsid w:val="381D6FCC"/>
    <w:rsid w:val="38255502"/>
    <w:rsid w:val="382563C3"/>
    <w:rsid w:val="382B10C6"/>
    <w:rsid w:val="384502C9"/>
    <w:rsid w:val="384757BF"/>
    <w:rsid w:val="384A568A"/>
    <w:rsid w:val="384C2E85"/>
    <w:rsid w:val="384D7A6B"/>
    <w:rsid w:val="38527F5E"/>
    <w:rsid w:val="38576EB1"/>
    <w:rsid w:val="385B78DA"/>
    <w:rsid w:val="385E7289"/>
    <w:rsid w:val="386B3647"/>
    <w:rsid w:val="386F64C6"/>
    <w:rsid w:val="38755246"/>
    <w:rsid w:val="38850F2D"/>
    <w:rsid w:val="388F47CD"/>
    <w:rsid w:val="3891497A"/>
    <w:rsid w:val="38934709"/>
    <w:rsid w:val="3899545E"/>
    <w:rsid w:val="389B63CB"/>
    <w:rsid w:val="389D36E7"/>
    <w:rsid w:val="38AD0AAC"/>
    <w:rsid w:val="38AF121A"/>
    <w:rsid w:val="38B10DA8"/>
    <w:rsid w:val="38B94B51"/>
    <w:rsid w:val="38B976FB"/>
    <w:rsid w:val="38BB5EDA"/>
    <w:rsid w:val="38C6779A"/>
    <w:rsid w:val="38DC2A26"/>
    <w:rsid w:val="38DC5040"/>
    <w:rsid w:val="38EA0958"/>
    <w:rsid w:val="38EA292A"/>
    <w:rsid w:val="38EB3140"/>
    <w:rsid w:val="38F71493"/>
    <w:rsid w:val="38FC7F68"/>
    <w:rsid w:val="390150BD"/>
    <w:rsid w:val="39015BC8"/>
    <w:rsid w:val="39132EBE"/>
    <w:rsid w:val="3923223F"/>
    <w:rsid w:val="393F3649"/>
    <w:rsid w:val="39434B25"/>
    <w:rsid w:val="39442CC4"/>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1002C"/>
    <w:rsid w:val="39B75345"/>
    <w:rsid w:val="39BA1CF7"/>
    <w:rsid w:val="39BA2065"/>
    <w:rsid w:val="39C83126"/>
    <w:rsid w:val="39CD4753"/>
    <w:rsid w:val="39D037AF"/>
    <w:rsid w:val="39D466BD"/>
    <w:rsid w:val="39D7158B"/>
    <w:rsid w:val="39DC1B39"/>
    <w:rsid w:val="39E03897"/>
    <w:rsid w:val="39E125BA"/>
    <w:rsid w:val="39EE1B0B"/>
    <w:rsid w:val="39F17FFD"/>
    <w:rsid w:val="39FA1859"/>
    <w:rsid w:val="3A03384A"/>
    <w:rsid w:val="3A066160"/>
    <w:rsid w:val="3A0D48B1"/>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D16134"/>
    <w:rsid w:val="3AD17EBD"/>
    <w:rsid w:val="3ADE382E"/>
    <w:rsid w:val="3AEA3CFC"/>
    <w:rsid w:val="3AF044A5"/>
    <w:rsid w:val="3AFC4CC9"/>
    <w:rsid w:val="3B00301D"/>
    <w:rsid w:val="3B1752EE"/>
    <w:rsid w:val="3B1C35AC"/>
    <w:rsid w:val="3B1F0CAE"/>
    <w:rsid w:val="3B22468C"/>
    <w:rsid w:val="3B292A67"/>
    <w:rsid w:val="3B3155AA"/>
    <w:rsid w:val="3B3E0B10"/>
    <w:rsid w:val="3B4F1508"/>
    <w:rsid w:val="3B580D61"/>
    <w:rsid w:val="3B696BF9"/>
    <w:rsid w:val="3B6F0DCA"/>
    <w:rsid w:val="3B754E06"/>
    <w:rsid w:val="3B7B2B0A"/>
    <w:rsid w:val="3B7C7B97"/>
    <w:rsid w:val="3B8372AE"/>
    <w:rsid w:val="3B914065"/>
    <w:rsid w:val="3B9F483C"/>
    <w:rsid w:val="3BB249F7"/>
    <w:rsid w:val="3BBE3122"/>
    <w:rsid w:val="3BC20515"/>
    <w:rsid w:val="3BC53C74"/>
    <w:rsid w:val="3BC62C0D"/>
    <w:rsid w:val="3BC772AB"/>
    <w:rsid w:val="3BC812C8"/>
    <w:rsid w:val="3BD741DE"/>
    <w:rsid w:val="3BE7491F"/>
    <w:rsid w:val="3BE82033"/>
    <w:rsid w:val="3BEF3F98"/>
    <w:rsid w:val="3BF01125"/>
    <w:rsid w:val="3BF82655"/>
    <w:rsid w:val="3BF90B59"/>
    <w:rsid w:val="3C035D20"/>
    <w:rsid w:val="3C0C1C74"/>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3669"/>
    <w:rsid w:val="3C7D3E58"/>
    <w:rsid w:val="3C882BD0"/>
    <w:rsid w:val="3C94545E"/>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F1596"/>
    <w:rsid w:val="3DB52668"/>
    <w:rsid w:val="3DD3077A"/>
    <w:rsid w:val="3DDF7A0D"/>
    <w:rsid w:val="3DFD4BBE"/>
    <w:rsid w:val="3E00097B"/>
    <w:rsid w:val="3E011326"/>
    <w:rsid w:val="3E024B7B"/>
    <w:rsid w:val="3E104548"/>
    <w:rsid w:val="3E19435F"/>
    <w:rsid w:val="3E20393D"/>
    <w:rsid w:val="3E264903"/>
    <w:rsid w:val="3E2806A1"/>
    <w:rsid w:val="3E2E35CB"/>
    <w:rsid w:val="3E31025E"/>
    <w:rsid w:val="3E342DA3"/>
    <w:rsid w:val="3E471ABE"/>
    <w:rsid w:val="3E4755F9"/>
    <w:rsid w:val="3E492A39"/>
    <w:rsid w:val="3E556354"/>
    <w:rsid w:val="3E6336EF"/>
    <w:rsid w:val="3E660D1B"/>
    <w:rsid w:val="3E6E2E9E"/>
    <w:rsid w:val="3E8222F7"/>
    <w:rsid w:val="3E8258B1"/>
    <w:rsid w:val="3E8821CE"/>
    <w:rsid w:val="3E92738B"/>
    <w:rsid w:val="3E99456A"/>
    <w:rsid w:val="3EA0570F"/>
    <w:rsid w:val="3EAD3D57"/>
    <w:rsid w:val="3EAF02B7"/>
    <w:rsid w:val="3EB1188E"/>
    <w:rsid w:val="3EB428B4"/>
    <w:rsid w:val="3EBD63D7"/>
    <w:rsid w:val="3EC07733"/>
    <w:rsid w:val="3EC334A7"/>
    <w:rsid w:val="3EC678BC"/>
    <w:rsid w:val="3EE067CA"/>
    <w:rsid w:val="3EEF26AB"/>
    <w:rsid w:val="3EF21C38"/>
    <w:rsid w:val="3EF57D05"/>
    <w:rsid w:val="3EF96B38"/>
    <w:rsid w:val="3F002CCF"/>
    <w:rsid w:val="3F0566FF"/>
    <w:rsid w:val="3F0605BE"/>
    <w:rsid w:val="3F06365D"/>
    <w:rsid w:val="3F0A3CA5"/>
    <w:rsid w:val="3F0B1DB8"/>
    <w:rsid w:val="3F0E6EA3"/>
    <w:rsid w:val="3F122278"/>
    <w:rsid w:val="3F155D82"/>
    <w:rsid w:val="3F261DEC"/>
    <w:rsid w:val="3F305E06"/>
    <w:rsid w:val="3F47737F"/>
    <w:rsid w:val="3F523976"/>
    <w:rsid w:val="3F52626A"/>
    <w:rsid w:val="3F5322DF"/>
    <w:rsid w:val="3F556A35"/>
    <w:rsid w:val="3F5867B3"/>
    <w:rsid w:val="3F5A301C"/>
    <w:rsid w:val="3F637202"/>
    <w:rsid w:val="3F65418C"/>
    <w:rsid w:val="3F664F14"/>
    <w:rsid w:val="3F6763B0"/>
    <w:rsid w:val="3F6D1D36"/>
    <w:rsid w:val="3F6D2017"/>
    <w:rsid w:val="3F7339EB"/>
    <w:rsid w:val="3F770167"/>
    <w:rsid w:val="3F7D65D1"/>
    <w:rsid w:val="3F836296"/>
    <w:rsid w:val="3F9526FD"/>
    <w:rsid w:val="3F960218"/>
    <w:rsid w:val="3F9B508E"/>
    <w:rsid w:val="3FA10F73"/>
    <w:rsid w:val="3FA51002"/>
    <w:rsid w:val="3FA5548C"/>
    <w:rsid w:val="3FB1448E"/>
    <w:rsid w:val="3FB33F0F"/>
    <w:rsid w:val="3FB56B87"/>
    <w:rsid w:val="3FB827B0"/>
    <w:rsid w:val="3FB9798A"/>
    <w:rsid w:val="3FBC4DF5"/>
    <w:rsid w:val="3FBE226E"/>
    <w:rsid w:val="3FC74EA5"/>
    <w:rsid w:val="3FC80A13"/>
    <w:rsid w:val="3FC924C5"/>
    <w:rsid w:val="3FD001E0"/>
    <w:rsid w:val="3FD35125"/>
    <w:rsid w:val="3FDD5AA3"/>
    <w:rsid w:val="3FDD60EB"/>
    <w:rsid w:val="3FE1611D"/>
    <w:rsid w:val="3FE9762E"/>
    <w:rsid w:val="3FEB7EF7"/>
    <w:rsid w:val="3FF0534A"/>
    <w:rsid w:val="3FFC6AA1"/>
    <w:rsid w:val="3FFE725C"/>
    <w:rsid w:val="400D4689"/>
    <w:rsid w:val="40171E63"/>
    <w:rsid w:val="401C023A"/>
    <w:rsid w:val="401E624D"/>
    <w:rsid w:val="4040700B"/>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77C21"/>
    <w:rsid w:val="40BB1B3B"/>
    <w:rsid w:val="40C87F0D"/>
    <w:rsid w:val="40E13187"/>
    <w:rsid w:val="40E4111E"/>
    <w:rsid w:val="40F110C9"/>
    <w:rsid w:val="40F71EFC"/>
    <w:rsid w:val="40FA7D3C"/>
    <w:rsid w:val="40FC6040"/>
    <w:rsid w:val="41013098"/>
    <w:rsid w:val="410A66D3"/>
    <w:rsid w:val="411252F5"/>
    <w:rsid w:val="41216561"/>
    <w:rsid w:val="4126157E"/>
    <w:rsid w:val="412E1703"/>
    <w:rsid w:val="41341D04"/>
    <w:rsid w:val="41463814"/>
    <w:rsid w:val="414E4666"/>
    <w:rsid w:val="415840E7"/>
    <w:rsid w:val="415C6645"/>
    <w:rsid w:val="415D4AA5"/>
    <w:rsid w:val="415E3F30"/>
    <w:rsid w:val="41634269"/>
    <w:rsid w:val="416F185F"/>
    <w:rsid w:val="41755F8B"/>
    <w:rsid w:val="417E6FB2"/>
    <w:rsid w:val="41804E56"/>
    <w:rsid w:val="418B61F9"/>
    <w:rsid w:val="418C5064"/>
    <w:rsid w:val="41901D5A"/>
    <w:rsid w:val="41AE168E"/>
    <w:rsid w:val="41B000EA"/>
    <w:rsid w:val="41B625DB"/>
    <w:rsid w:val="41BB28C5"/>
    <w:rsid w:val="41C505B5"/>
    <w:rsid w:val="41D7643D"/>
    <w:rsid w:val="41D80DF6"/>
    <w:rsid w:val="41F41099"/>
    <w:rsid w:val="41F4144D"/>
    <w:rsid w:val="41F425A0"/>
    <w:rsid w:val="41FD1E4D"/>
    <w:rsid w:val="42004A07"/>
    <w:rsid w:val="42036CED"/>
    <w:rsid w:val="420445BE"/>
    <w:rsid w:val="42044B55"/>
    <w:rsid w:val="42106699"/>
    <w:rsid w:val="421D3532"/>
    <w:rsid w:val="422747DE"/>
    <w:rsid w:val="423D7E2C"/>
    <w:rsid w:val="4253494B"/>
    <w:rsid w:val="42563DD4"/>
    <w:rsid w:val="425F0874"/>
    <w:rsid w:val="42605991"/>
    <w:rsid w:val="42624CEC"/>
    <w:rsid w:val="426B2083"/>
    <w:rsid w:val="42745271"/>
    <w:rsid w:val="42746AFF"/>
    <w:rsid w:val="427A2426"/>
    <w:rsid w:val="428622E0"/>
    <w:rsid w:val="428740C5"/>
    <w:rsid w:val="4295023B"/>
    <w:rsid w:val="42A72E3E"/>
    <w:rsid w:val="42A9771E"/>
    <w:rsid w:val="42AF06BF"/>
    <w:rsid w:val="42AF744D"/>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3451E7"/>
    <w:rsid w:val="433454E3"/>
    <w:rsid w:val="43380FA2"/>
    <w:rsid w:val="433914CB"/>
    <w:rsid w:val="434030C7"/>
    <w:rsid w:val="434321EE"/>
    <w:rsid w:val="4357411B"/>
    <w:rsid w:val="43624524"/>
    <w:rsid w:val="436E4602"/>
    <w:rsid w:val="43773B38"/>
    <w:rsid w:val="437C303F"/>
    <w:rsid w:val="437E59F4"/>
    <w:rsid w:val="437F0235"/>
    <w:rsid w:val="438127FD"/>
    <w:rsid w:val="438C318F"/>
    <w:rsid w:val="438D2962"/>
    <w:rsid w:val="439125BA"/>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51B86"/>
    <w:rsid w:val="43D5596E"/>
    <w:rsid w:val="43D946DF"/>
    <w:rsid w:val="43DD3E84"/>
    <w:rsid w:val="43E63A35"/>
    <w:rsid w:val="43EA4AD8"/>
    <w:rsid w:val="43EA731F"/>
    <w:rsid w:val="43EF4362"/>
    <w:rsid w:val="43F5608C"/>
    <w:rsid w:val="43FA20D7"/>
    <w:rsid w:val="440433D0"/>
    <w:rsid w:val="440A1D09"/>
    <w:rsid w:val="44105FE6"/>
    <w:rsid w:val="44163757"/>
    <w:rsid w:val="442E6250"/>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B2020"/>
    <w:rsid w:val="450005C9"/>
    <w:rsid w:val="450E225C"/>
    <w:rsid w:val="450E5F3E"/>
    <w:rsid w:val="451C3C3F"/>
    <w:rsid w:val="45202195"/>
    <w:rsid w:val="45282E33"/>
    <w:rsid w:val="45361C96"/>
    <w:rsid w:val="45367180"/>
    <w:rsid w:val="453936A0"/>
    <w:rsid w:val="4555071F"/>
    <w:rsid w:val="455B027F"/>
    <w:rsid w:val="45634F36"/>
    <w:rsid w:val="456433C3"/>
    <w:rsid w:val="4566286A"/>
    <w:rsid w:val="456653F0"/>
    <w:rsid w:val="456745BB"/>
    <w:rsid w:val="45677DA7"/>
    <w:rsid w:val="45743F66"/>
    <w:rsid w:val="45761FD8"/>
    <w:rsid w:val="457B0C49"/>
    <w:rsid w:val="45864B77"/>
    <w:rsid w:val="458A06CD"/>
    <w:rsid w:val="458D3A63"/>
    <w:rsid w:val="4597177B"/>
    <w:rsid w:val="45A85821"/>
    <w:rsid w:val="45AA0EA4"/>
    <w:rsid w:val="45AC57A6"/>
    <w:rsid w:val="45AF03CF"/>
    <w:rsid w:val="45B23BD8"/>
    <w:rsid w:val="45B52BBB"/>
    <w:rsid w:val="45C3178B"/>
    <w:rsid w:val="45C81474"/>
    <w:rsid w:val="45C85D55"/>
    <w:rsid w:val="45C91BC6"/>
    <w:rsid w:val="45CD1312"/>
    <w:rsid w:val="45CE3F02"/>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E14A0"/>
    <w:rsid w:val="47304A60"/>
    <w:rsid w:val="47321070"/>
    <w:rsid w:val="47383706"/>
    <w:rsid w:val="473F3443"/>
    <w:rsid w:val="47442FEA"/>
    <w:rsid w:val="47476898"/>
    <w:rsid w:val="474825BA"/>
    <w:rsid w:val="47524966"/>
    <w:rsid w:val="475E1AB6"/>
    <w:rsid w:val="4764753D"/>
    <w:rsid w:val="47663624"/>
    <w:rsid w:val="4779594B"/>
    <w:rsid w:val="477E3FE9"/>
    <w:rsid w:val="478E58BD"/>
    <w:rsid w:val="47997ECC"/>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57C17"/>
    <w:rsid w:val="483602D1"/>
    <w:rsid w:val="48360F72"/>
    <w:rsid w:val="48466EDC"/>
    <w:rsid w:val="486022F2"/>
    <w:rsid w:val="486505C9"/>
    <w:rsid w:val="48717233"/>
    <w:rsid w:val="487736C7"/>
    <w:rsid w:val="4886149A"/>
    <w:rsid w:val="48870995"/>
    <w:rsid w:val="488933F6"/>
    <w:rsid w:val="488F18B7"/>
    <w:rsid w:val="489C5A7F"/>
    <w:rsid w:val="489C5B95"/>
    <w:rsid w:val="489F248C"/>
    <w:rsid w:val="48A47128"/>
    <w:rsid w:val="48A53F58"/>
    <w:rsid w:val="48AA10E1"/>
    <w:rsid w:val="48AF1323"/>
    <w:rsid w:val="48B2080D"/>
    <w:rsid w:val="48B5518F"/>
    <w:rsid w:val="48BE6136"/>
    <w:rsid w:val="48C17060"/>
    <w:rsid w:val="48D22DB3"/>
    <w:rsid w:val="48D93445"/>
    <w:rsid w:val="48DA1D9C"/>
    <w:rsid w:val="48DC218D"/>
    <w:rsid w:val="48DF3D7D"/>
    <w:rsid w:val="48E915DE"/>
    <w:rsid w:val="48EB611E"/>
    <w:rsid w:val="48F7177C"/>
    <w:rsid w:val="490008E6"/>
    <w:rsid w:val="490425AB"/>
    <w:rsid w:val="49076238"/>
    <w:rsid w:val="49104838"/>
    <w:rsid w:val="49200C47"/>
    <w:rsid w:val="49250443"/>
    <w:rsid w:val="49267368"/>
    <w:rsid w:val="49276313"/>
    <w:rsid w:val="492F1B04"/>
    <w:rsid w:val="4930158D"/>
    <w:rsid w:val="493166F2"/>
    <w:rsid w:val="4943084D"/>
    <w:rsid w:val="495B2F5A"/>
    <w:rsid w:val="49660B64"/>
    <w:rsid w:val="496E056A"/>
    <w:rsid w:val="497930F9"/>
    <w:rsid w:val="497E5F0E"/>
    <w:rsid w:val="49895BF9"/>
    <w:rsid w:val="49896889"/>
    <w:rsid w:val="498B006E"/>
    <w:rsid w:val="499C126E"/>
    <w:rsid w:val="49A20032"/>
    <w:rsid w:val="49A82756"/>
    <w:rsid w:val="49A86BF4"/>
    <w:rsid w:val="49A902DE"/>
    <w:rsid w:val="49A961CD"/>
    <w:rsid w:val="49B337E8"/>
    <w:rsid w:val="49B57903"/>
    <w:rsid w:val="49BB0B72"/>
    <w:rsid w:val="49CD3C98"/>
    <w:rsid w:val="49E27CCF"/>
    <w:rsid w:val="49F44446"/>
    <w:rsid w:val="49F543E3"/>
    <w:rsid w:val="49FA00AE"/>
    <w:rsid w:val="4A037F7B"/>
    <w:rsid w:val="4A0C3345"/>
    <w:rsid w:val="4A12511A"/>
    <w:rsid w:val="4A2A339F"/>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F4D9F"/>
    <w:rsid w:val="4B2B654D"/>
    <w:rsid w:val="4B2D2A9B"/>
    <w:rsid w:val="4B313BE7"/>
    <w:rsid w:val="4B331125"/>
    <w:rsid w:val="4B3405F9"/>
    <w:rsid w:val="4B473804"/>
    <w:rsid w:val="4B5151AA"/>
    <w:rsid w:val="4B537CBF"/>
    <w:rsid w:val="4B550153"/>
    <w:rsid w:val="4B641191"/>
    <w:rsid w:val="4B694B3A"/>
    <w:rsid w:val="4B76529F"/>
    <w:rsid w:val="4B7A237E"/>
    <w:rsid w:val="4B815FB3"/>
    <w:rsid w:val="4B86443F"/>
    <w:rsid w:val="4B9A0C4D"/>
    <w:rsid w:val="4B9B3B70"/>
    <w:rsid w:val="4B9E7936"/>
    <w:rsid w:val="4BB7667A"/>
    <w:rsid w:val="4BBA25CD"/>
    <w:rsid w:val="4BBB242F"/>
    <w:rsid w:val="4BC15B7C"/>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80D78"/>
    <w:rsid w:val="4C3D0756"/>
    <w:rsid w:val="4C3D5FB7"/>
    <w:rsid w:val="4C4C1686"/>
    <w:rsid w:val="4C513E4B"/>
    <w:rsid w:val="4C603F1D"/>
    <w:rsid w:val="4C635D18"/>
    <w:rsid w:val="4C670EB1"/>
    <w:rsid w:val="4C712086"/>
    <w:rsid w:val="4C7120EC"/>
    <w:rsid w:val="4C7B3D80"/>
    <w:rsid w:val="4C7C605E"/>
    <w:rsid w:val="4C7E2355"/>
    <w:rsid w:val="4C847264"/>
    <w:rsid w:val="4C970E7B"/>
    <w:rsid w:val="4CC1054F"/>
    <w:rsid w:val="4CCE079D"/>
    <w:rsid w:val="4CCE3699"/>
    <w:rsid w:val="4CEA4F4D"/>
    <w:rsid w:val="4CEC58DB"/>
    <w:rsid w:val="4CEF637A"/>
    <w:rsid w:val="4CF00FB6"/>
    <w:rsid w:val="4CF16277"/>
    <w:rsid w:val="4CF4672D"/>
    <w:rsid w:val="4CFA2AAF"/>
    <w:rsid w:val="4D035A68"/>
    <w:rsid w:val="4D0F26CE"/>
    <w:rsid w:val="4D147026"/>
    <w:rsid w:val="4D1478EC"/>
    <w:rsid w:val="4D165C91"/>
    <w:rsid w:val="4D235945"/>
    <w:rsid w:val="4D255F0E"/>
    <w:rsid w:val="4D2F06BA"/>
    <w:rsid w:val="4D304130"/>
    <w:rsid w:val="4D386B0D"/>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E090F"/>
    <w:rsid w:val="4DAC6E91"/>
    <w:rsid w:val="4DAE3711"/>
    <w:rsid w:val="4DB63BC4"/>
    <w:rsid w:val="4DB7591C"/>
    <w:rsid w:val="4DBB2984"/>
    <w:rsid w:val="4DCC46DA"/>
    <w:rsid w:val="4DDD5EB7"/>
    <w:rsid w:val="4DDE45A5"/>
    <w:rsid w:val="4DE5023D"/>
    <w:rsid w:val="4DEB419D"/>
    <w:rsid w:val="4DF267CF"/>
    <w:rsid w:val="4DF6484E"/>
    <w:rsid w:val="4E043A0E"/>
    <w:rsid w:val="4E0B5D31"/>
    <w:rsid w:val="4E125681"/>
    <w:rsid w:val="4E1339D8"/>
    <w:rsid w:val="4E145C86"/>
    <w:rsid w:val="4E187CF8"/>
    <w:rsid w:val="4E1A5C2E"/>
    <w:rsid w:val="4E2B3781"/>
    <w:rsid w:val="4E337E4B"/>
    <w:rsid w:val="4E365771"/>
    <w:rsid w:val="4E3C5DC0"/>
    <w:rsid w:val="4E446F8B"/>
    <w:rsid w:val="4E4D4DE2"/>
    <w:rsid w:val="4E5669BF"/>
    <w:rsid w:val="4E651EA6"/>
    <w:rsid w:val="4E6757B0"/>
    <w:rsid w:val="4E6C4048"/>
    <w:rsid w:val="4E783D17"/>
    <w:rsid w:val="4E805C19"/>
    <w:rsid w:val="4E836C4E"/>
    <w:rsid w:val="4E865BCD"/>
    <w:rsid w:val="4E957162"/>
    <w:rsid w:val="4E9E60B6"/>
    <w:rsid w:val="4EA27ACB"/>
    <w:rsid w:val="4EB379F2"/>
    <w:rsid w:val="4EB838E0"/>
    <w:rsid w:val="4EBC3167"/>
    <w:rsid w:val="4EBC6632"/>
    <w:rsid w:val="4EBD4562"/>
    <w:rsid w:val="4EBD5620"/>
    <w:rsid w:val="4EBE0F4C"/>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7041A7"/>
    <w:rsid w:val="4F7349ED"/>
    <w:rsid w:val="4F7C7D62"/>
    <w:rsid w:val="4F88390E"/>
    <w:rsid w:val="4F8865D2"/>
    <w:rsid w:val="4F9102E3"/>
    <w:rsid w:val="4F9A400D"/>
    <w:rsid w:val="4FA11827"/>
    <w:rsid w:val="4FA57761"/>
    <w:rsid w:val="4FA82F77"/>
    <w:rsid w:val="4FAB07C1"/>
    <w:rsid w:val="4FC12B67"/>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76E6F"/>
    <w:rsid w:val="50200664"/>
    <w:rsid w:val="502151EE"/>
    <w:rsid w:val="5022333C"/>
    <w:rsid w:val="50312196"/>
    <w:rsid w:val="50417E32"/>
    <w:rsid w:val="504768E3"/>
    <w:rsid w:val="504F0FB9"/>
    <w:rsid w:val="504F769B"/>
    <w:rsid w:val="50537FDD"/>
    <w:rsid w:val="50622728"/>
    <w:rsid w:val="507554C6"/>
    <w:rsid w:val="507D0063"/>
    <w:rsid w:val="508F1D63"/>
    <w:rsid w:val="508F6AC4"/>
    <w:rsid w:val="509A55F2"/>
    <w:rsid w:val="50A36924"/>
    <w:rsid w:val="50A732FC"/>
    <w:rsid w:val="50AA341E"/>
    <w:rsid w:val="50AB4E2F"/>
    <w:rsid w:val="50AC2418"/>
    <w:rsid w:val="50B421A0"/>
    <w:rsid w:val="50B70FED"/>
    <w:rsid w:val="50BA643F"/>
    <w:rsid w:val="50BC2897"/>
    <w:rsid w:val="50DA2205"/>
    <w:rsid w:val="50E57F59"/>
    <w:rsid w:val="50EA61D3"/>
    <w:rsid w:val="50FC41E2"/>
    <w:rsid w:val="510319B4"/>
    <w:rsid w:val="510A4E7D"/>
    <w:rsid w:val="51187091"/>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E4C2D"/>
    <w:rsid w:val="51A15787"/>
    <w:rsid w:val="51A23180"/>
    <w:rsid w:val="51A44533"/>
    <w:rsid w:val="51B12C2B"/>
    <w:rsid w:val="51B625E5"/>
    <w:rsid w:val="51BB3190"/>
    <w:rsid w:val="51C31AB3"/>
    <w:rsid w:val="51C50057"/>
    <w:rsid w:val="51CA6470"/>
    <w:rsid w:val="51CF3752"/>
    <w:rsid w:val="51D221A2"/>
    <w:rsid w:val="51DC7D4F"/>
    <w:rsid w:val="51E372D3"/>
    <w:rsid w:val="51E952C3"/>
    <w:rsid w:val="51F763C2"/>
    <w:rsid w:val="52082F0E"/>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6536B"/>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3035F10"/>
    <w:rsid w:val="530445BC"/>
    <w:rsid w:val="53073E74"/>
    <w:rsid w:val="53184746"/>
    <w:rsid w:val="531972CB"/>
    <w:rsid w:val="53227F73"/>
    <w:rsid w:val="532342A1"/>
    <w:rsid w:val="532E4AC7"/>
    <w:rsid w:val="533E55DF"/>
    <w:rsid w:val="5360600D"/>
    <w:rsid w:val="53703765"/>
    <w:rsid w:val="5376095E"/>
    <w:rsid w:val="537A04E8"/>
    <w:rsid w:val="537D7719"/>
    <w:rsid w:val="53874180"/>
    <w:rsid w:val="53991F46"/>
    <w:rsid w:val="53A430C7"/>
    <w:rsid w:val="53B71A0D"/>
    <w:rsid w:val="53BA49C0"/>
    <w:rsid w:val="53BF11FF"/>
    <w:rsid w:val="53C2398F"/>
    <w:rsid w:val="53C92C10"/>
    <w:rsid w:val="53CF606A"/>
    <w:rsid w:val="53D111B0"/>
    <w:rsid w:val="53D73576"/>
    <w:rsid w:val="53E22364"/>
    <w:rsid w:val="53E35749"/>
    <w:rsid w:val="53EB4289"/>
    <w:rsid w:val="53F67F24"/>
    <w:rsid w:val="53FE5A9E"/>
    <w:rsid w:val="541C5A78"/>
    <w:rsid w:val="54257FE2"/>
    <w:rsid w:val="5428581F"/>
    <w:rsid w:val="542B47E5"/>
    <w:rsid w:val="54312A0A"/>
    <w:rsid w:val="54451C08"/>
    <w:rsid w:val="5450152B"/>
    <w:rsid w:val="545412A1"/>
    <w:rsid w:val="54591BCD"/>
    <w:rsid w:val="546936FE"/>
    <w:rsid w:val="546A602B"/>
    <w:rsid w:val="547034CA"/>
    <w:rsid w:val="547801F9"/>
    <w:rsid w:val="54877824"/>
    <w:rsid w:val="54967702"/>
    <w:rsid w:val="549B60CA"/>
    <w:rsid w:val="54A746D1"/>
    <w:rsid w:val="54B14984"/>
    <w:rsid w:val="54B34E33"/>
    <w:rsid w:val="54BC09E2"/>
    <w:rsid w:val="54C257FC"/>
    <w:rsid w:val="54C51C65"/>
    <w:rsid w:val="54C766D3"/>
    <w:rsid w:val="54E32310"/>
    <w:rsid w:val="54E35B83"/>
    <w:rsid w:val="54E5570D"/>
    <w:rsid w:val="54E656A9"/>
    <w:rsid w:val="54E85406"/>
    <w:rsid w:val="54EE0227"/>
    <w:rsid w:val="54EE4DEC"/>
    <w:rsid w:val="54F93AE7"/>
    <w:rsid w:val="54F97DEB"/>
    <w:rsid w:val="55012EF3"/>
    <w:rsid w:val="55022588"/>
    <w:rsid w:val="550D4E7F"/>
    <w:rsid w:val="551B3ADB"/>
    <w:rsid w:val="55252910"/>
    <w:rsid w:val="552677BE"/>
    <w:rsid w:val="55313992"/>
    <w:rsid w:val="553772EA"/>
    <w:rsid w:val="553A6D2E"/>
    <w:rsid w:val="5546635B"/>
    <w:rsid w:val="55507B46"/>
    <w:rsid w:val="55534568"/>
    <w:rsid w:val="555A0EDC"/>
    <w:rsid w:val="55677E49"/>
    <w:rsid w:val="55692EAC"/>
    <w:rsid w:val="55714147"/>
    <w:rsid w:val="557C295E"/>
    <w:rsid w:val="557C5B0B"/>
    <w:rsid w:val="55812735"/>
    <w:rsid w:val="55861EC8"/>
    <w:rsid w:val="5588140B"/>
    <w:rsid w:val="55891D85"/>
    <w:rsid w:val="5592013C"/>
    <w:rsid w:val="55A57957"/>
    <w:rsid w:val="55AA469C"/>
    <w:rsid w:val="55BC12E8"/>
    <w:rsid w:val="55BD3120"/>
    <w:rsid w:val="55BF56EA"/>
    <w:rsid w:val="55C103AC"/>
    <w:rsid w:val="55C423B5"/>
    <w:rsid w:val="55C6074D"/>
    <w:rsid w:val="55C86079"/>
    <w:rsid w:val="55CC5297"/>
    <w:rsid w:val="55EE6E58"/>
    <w:rsid w:val="55F2238E"/>
    <w:rsid w:val="55F24132"/>
    <w:rsid w:val="55FB05FF"/>
    <w:rsid w:val="55FC794D"/>
    <w:rsid w:val="56012A7B"/>
    <w:rsid w:val="56172C84"/>
    <w:rsid w:val="56206259"/>
    <w:rsid w:val="562219AC"/>
    <w:rsid w:val="56230DC5"/>
    <w:rsid w:val="562B59B0"/>
    <w:rsid w:val="56387876"/>
    <w:rsid w:val="56391384"/>
    <w:rsid w:val="564C27AB"/>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90EF6"/>
    <w:rsid w:val="56F50794"/>
    <w:rsid w:val="56F82259"/>
    <w:rsid w:val="56FC12BF"/>
    <w:rsid w:val="570426CC"/>
    <w:rsid w:val="57103E85"/>
    <w:rsid w:val="571E4103"/>
    <w:rsid w:val="5724356E"/>
    <w:rsid w:val="573B396A"/>
    <w:rsid w:val="576019A8"/>
    <w:rsid w:val="576E1A2E"/>
    <w:rsid w:val="576F00D0"/>
    <w:rsid w:val="57780B15"/>
    <w:rsid w:val="577C7921"/>
    <w:rsid w:val="578130EB"/>
    <w:rsid w:val="5781472D"/>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E359C9"/>
    <w:rsid w:val="57E8494C"/>
    <w:rsid w:val="57F75230"/>
    <w:rsid w:val="57FA5E75"/>
    <w:rsid w:val="58000E35"/>
    <w:rsid w:val="58222E9F"/>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DE296B"/>
    <w:rsid w:val="58E05B85"/>
    <w:rsid w:val="58F141D6"/>
    <w:rsid w:val="58F9654F"/>
    <w:rsid w:val="58F979E8"/>
    <w:rsid w:val="58FB6C25"/>
    <w:rsid w:val="58FE08ED"/>
    <w:rsid w:val="59061DAE"/>
    <w:rsid w:val="5914669F"/>
    <w:rsid w:val="591557DB"/>
    <w:rsid w:val="591A5C30"/>
    <w:rsid w:val="591C4B79"/>
    <w:rsid w:val="591F2957"/>
    <w:rsid w:val="592F1CE2"/>
    <w:rsid w:val="59371CA9"/>
    <w:rsid w:val="593C5853"/>
    <w:rsid w:val="593E005D"/>
    <w:rsid w:val="5940158A"/>
    <w:rsid w:val="594606CC"/>
    <w:rsid w:val="594B6D49"/>
    <w:rsid w:val="59697600"/>
    <w:rsid w:val="596C25D4"/>
    <w:rsid w:val="597028E6"/>
    <w:rsid w:val="597D38D7"/>
    <w:rsid w:val="598A75D0"/>
    <w:rsid w:val="59935094"/>
    <w:rsid w:val="5995496F"/>
    <w:rsid w:val="59A62A34"/>
    <w:rsid w:val="59AB1748"/>
    <w:rsid w:val="59B159CB"/>
    <w:rsid w:val="59B51848"/>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E6004"/>
    <w:rsid w:val="5AAB402B"/>
    <w:rsid w:val="5AAF46FD"/>
    <w:rsid w:val="5AB36954"/>
    <w:rsid w:val="5ABE401A"/>
    <w:rsid w:val="5AC526EE"/>
    <w:rsid w:val="5ACB4B14"/>
    <w:rsid w:val="5AD45224"/>
    <w:rsid w:val="5ADC6365"/>
    <w:rsid w:val="5B0A16D4"/>
    <w:rsid w:val="5B0B0FE2"/>
    <w:rsid w:val="5B1029A0"/>
    <w:rsid w:val="5B18258F"/>
    <w:rsid w:val="5B28216A"/>
    <w:rsid w:val="5B2B1ACA"/>
    <w:rsid w:val="5B33397C"/>
    <w:rsid w:val="5B35552C"/>
    <w:rsid w:val="5B356E68"/>
    <w:rsid w:val="5B3A4E8A"/>
    <w:rsid w:val="5B43203B"/>
    <w:rsid w:val="5B4E4DA1"/>
    <w:rsid w:val="5B5335BE"/>
    <w:rsid w:val="5B613886"/>
    <w:rsid w:val="5B6A6045"/>
    <w:rsid w:val="5B6C39BD"/>
    <w:rsid w:val="5B7B1E82"/>
    <w:rsid w:val="5B862B77"/>
    <w:rsid w:val="5B944D80"/>
    <w:rsid w:val="5B9509FD"/>
    <w:rsid w:val="5BAB4BEE"/>
    <w:rsid w:val="5BB210AD"/>
    <w:rsid w:val="5BB47B97"/>
    <w:rsid w:val="5BB81EEF"/>
    <w:rsid w:val="5BC23198"/>
    <w:rsid w:val="5BC52C1C"/>
    <w:rsid w:val="5BCE2157"/>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674F"/>
    <w:rsid w:val="5C6F57DC"/>
    <w:rsid w:val="5C7E0DF8"/>
    <w:rsid w:val="5C7E39D8"/>
    <w:rsid w:val="5C8A31FF"/>
    <w:rsid w:val="5C9F55AA"/>
    <w:rsid w:val="5CA474D4"/>
    <w:rsid w:val="5CA84AC1"/>
    <w:rsid w:val="5CAC4293"/>
    <w:rsid w:val="5CB64B19"/>
    <w:rsid w:val="5CBD7A62"/>
    <w:rsid w:val="5CC164AE"/>
    <w:rsid w:val="5CC22998"/>
    <w:rsid w:val="5CC5766D"/>
    <w:rsid w:val="5CC829D4"/>
    <w:rsid w:val="5CD22245"/>
    <w:rsid w:val="5CD612EC"/>
    <w:rsid w:val="5CD620EF"/>
    <w:rsid w:val="5CD63CB1"/>
    <w:rsid w:val="5CD75EB0"/>
    <w:rsid w:val="5CE00BB1"/>
    <w:rsid w:val="5CE76E4E"/>
    <w:rsid w:val="5CE97CE3"/>
    <w:rsid w:val="5CF06B97"/>
    <w:rsid w:val="5CF85D55"/>
    <w:rsid w:val="5CFF2C7D"/>
    <w:rsid w:val="5CFF66F4"/>
    <w:rsid w:val="5D042519"/>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45AF7"/>
    <w:rsid w:val="5D697151"/>
    <w:rsid w:val="5D7070A0"/>
    <w:rsid w:val="5D7B2BAE"/>
    <w:rsid w:val="5D893541"/>
    <w:rsid w:val="5D8C28B4"/>
    <w:rsid w:val="5D9832F3"/>
    <w:rsid w:val="5D9934EC"/>
    <w:rsid w:val="5D9C1E54"/>
    <w:rsid w:val="5DAB1E9E"/>
    <w:rsid w:val="5DB53FF3"/>
    <w:rsid w:val="5DBC3F54"/>
    <w:rsid w:val="5DC328CA"/>
    <w:rsid w:val="5DCA57DD"/>
    <w:rsid w:val="5DD74A14"/>
    <w:rsid w:val="5DDB163B"/>
    <w:rsid w:val="5DDC2477"/>
    <w:rsid w:val="5DF11D42"/>
    <w:rsid w:val="5DFA2E17"/>
    <w:rsid w:val="5DFB0C01"/>
    <w:rsid w:val="5E006537"/>
    <w:rsid w:val="5E1D2155"/>
    <w:rsid w:val="5E2374D1"/>
    <w:rsid w:val="5E401AFE"/>
    <w:rsid w:val="5E454E01"/>
    <w:rsid w:val="5E490493"/>
    <w:rsid w:val="5E4D4054"/>
    <w:rsid w:val="5E4F4CEC"/>
    <w:rsid w:val="5E517BBA"/>
    <w:rsid w:val="5E521705"/>
    <w:rsid w:val="5E656142"/>
    <w:rsid w:val="5E680B19"/>
    <w:rsid w:val="5E7334F8"/>
    <w:rsid w:val="5E7805FF"/>
    <w:rsid w:val="5E7859D6"/>
    <w:rsid w:val="5E842B6A"/>
    <w:rsid w:val="5E875A07"/>
    <w:rsid w:val="5E8C1E30"/>
    <w:rsid w:val="5E911FAC"/>
    <w:rsid w:val="5E92137B"/>
    <w:rsid w:val="5E9373FC"/>
    <w:rsid w:val="5EA67DEF"/>
    <w:rsid w:val="5EAA11B3"/>
    <w:rsid w:val="5EB95510"/>
    <w:rsid w:val="5EB956EE"/>
    <w:rsid w:val="5EC57A3D"/>
    <w:rsid w:val="5ECB275F"/>
    <w:rsid w:val="5ECE2836"/>
    <w:rsid w:val="5EDB5813"/>
    <w:rsid w:val="5EE2308E"/>
    <w:rsid w:val="5EEC409E"/>
    <w:rsid w:val="5EF2448C"/>
    <w:rsid w:val="5EF442F3"/>
    <w:rsid w:val="5F051F15"/>
    <w:rsid w:val="5F222082"/>
    <w:rsid w:val="5F37319D"/>
    <w:rsid w:val="5F3A21FA"/>
    <w:rsid w:val="5F490636"/>
    <w:rsid w:val="5F4A6244"/>
    <w:rsid w:val="5F6219E5"/>
    <w:rsid w:val="5F7D5743"/>
    <w:rsid w:val="5F810563"/>
    <w:rsid w:val="5F824D0A"/>
    <w:rsid w:val="5F902061"/>
    <w:rsid w:val="5F91364B"/>
    <w:rsid w:val="5F942C15"/>
    <w:rsid w:val="5F982E68"/>
    <w:rsid w:val="5F983E6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95F65"/>
    <w:rsid w:val="60200E33"/>
    <w:rsid w:val="6023016C"/>
    <w:rsid w:val="602924AC"/>
    <w:rsid w:val="602B5AAA"/>
    <w:rsid w:val="60334B2A"/>
    <w:rsid w:val="603E7B8A"/>
    <w:rsid w:val="60420933"/>
    <w:rsid w:val="6056292C"/>
    <w:rsid w:val="6063156C"/>
    <w:rsid w:val="606502AC"/>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D74889"/>
    <w:rsid w:val="60E02B8F"/>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21695"/>
    <w:rsid w:val="6124184C"/>
    <w:rsid w:val="61254671"/>
    <w:rsid w:val="612E3337"/>
    <w:rsid w:val="614050A9"/>
    <w:rsid w:val="61465E1A"/>
    <w:rsid w:val="614B5BCE"/>
    <w:rsid w:val="614D1495"/>
    <w:rsid w:val="614D2B5A"/>
    <w:rsid w:val="6155426A"/>
    <w:rsid w:val="615755AF"/>
    <w:rsid w:val="615D6475"/>
    <w:rsid w:val="61620240"/>
    <w:rsid w:val="616C2054"/>
    <w:rsid w:val="616E3976"/>
    <w:rsid w:val="617D0D60"/>
    <w:rsid w:val="618321F0"/>
    <w:rsid w:val="618563BE"/>
    <w:rsid w:val="61861C69"/>
    <w:rsid w:val="61867017"/>
    <w:rsid w:val="618B084B"/>
    <w:rsid w:val="618E1E6E"/>
    <w:rsid w:val="618F22FB"/>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A5B62"/>
    <w:rsid w:val="6203062B"/>
    <w:rsid w:val="62070260"/>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E05F11"/>
    <w:rsid w:val="62F00E21"/>
    <w:rsid w:val="62F06C0E"/>
    <w:rsid w:val="62F571B6"/>
    <w:rsid w:val="62F91A8D"/>
    <w:rsid w:val="62FA0118"/>
    <w:rsid w:val="62FB5ADF"/>
    <w:rsid w:val="63016DD9"/>
    <w:rsid w:val="63060DC1"/>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F03B38"/>
    <w:rsid w:val="63F731A5"/>
    <w:rsid w:val="63FC766C"/>
    <w:rsid w:val="63FE2454"/>
    <w:rsid w:val="64022F76"/>
    <w:rsid w:val="64084173"/>
    <w:rsid w:val="641269AD"/>
    <w:rsid w:val="641C56F8"/>
    <w:rsid w:val="64231408"/>
    <w:rsid w:val="643A7824"/>
    <w:rsid w:val="64553AA4"/>
    <w:rsid w:val="64564ED9"/>
    <w:rsid w:val="645A5737"/>
    <w:rsid w:val="646029D7"/>
    <w:rsid w:val="64603768"/>
    <w:rsid w:val="646270E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04BC"/>
    <w:rsid w:val="64C03551"/>
    <w:rsid w:val="64C6530B"/>
    <w:rsid w:val="64D9451E"/>
    <w:rsid w:val="64DB77D5"/>
    <w:rsid w:val="64F31974"/>
    <w:rsid w:val="64FA5C63"/>
    <w:rsid w:val="65127100"/>
    <w:rsid w:val="6532464B"/>
    <w:rsid w:val="653A34E5"/>
    <w:rsid w:val="653C6B1D"/>
    <w:rsid w:val="65433415"/>
    <w:rsid w:val="65463750"/>
    <w:rsid w:val="654E3228"/>
    <w:rsid w:val="65537C6B"/>
    <w:rsid w:val="655C685E"/>
    <w:rsid w:val="656160AB"/>
    <w:rsid w:val="65622086"/>
    <w:rsid w:val="65644A63"/>
    <w:rsid w:val="656E3321"/>
    <w:rsid w:val="65757B8D"/>
    <w:rsid w:val="65764BA6"/>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90E3D"/>
    <w:rsid w:val="661C061C"/>
    <w:rsid w:val="6628673A"/>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C2655F"/>
    <w:rsid w:val="66D01D1D"/>
    <w:rsid w:val="66D20F68"/>
    <w:rsid w:val="66D6103F"/>
    <w:rsid w:val="66DB5E51"/>
    <w:rsid w:val="66DC2051"/>
    <w:rsid w:val="66E77E06"/>
    <w:rsid w:val="66F861FA"/>
    <w:rsid w:val="670027A0"/>
    <w:rsid w:val="67037752"/>
    <w:rsid w:val="67050D51"/>
    <w:rsid w:val="67050D97"/>
    <w:rsid w:val="67091904"/>
    <w:rsid w:val="670E178E"/>
    <w:rsid w:val="6717419C"/>
    <w:rsid w:val="67212735"/>
    <w:rsid w:val="673611CB"/>
    <w:rsid w:val="674A450B"/>
    <w:rsid w:val="674B4E59"/>
    <w:rsid w:val="675005EC"/>
    <w:rsid w:val="675E366D"/>
    <w:rsid w:val="67635837"/>
    <w:rsid w:val="67690F3D"/>
    <w:rsid w:val="676B3A7C"/>
    <w:rsid w:val="676D52AA"/>
    <w:rsid w:val="677011BD"/>
    <w:rsid w:val="6770452E"/>
    <w:rsid w:val="67750EBE"/>
    <w:rsid w:val="67816012"/>
    <w:rsid w:val="67842D1C"/>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F27764"/>
    <w:rsid w:val="6802359C"/>
    <w:rsid w:val="68081463"/>
    <w:rsid w:val="680A257F"/>
    <w:rsid w:val="680E50C8"/>
    <w:rsid w:val="681541C3"/>
    <w:rsid w:val="681674DF"/>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D61F1"/>
    <w:rsid w:val="691E3879"/>
    <w:rsid w:val="69211467"/>
    <w:rsid w:val="69257A7E"/>
    <w:rsid w:val="69277662"/>
    <w:rsid w:val="69345F83"/>
    <w:rsid w:val="69392613"/>
    <w:rsid w:val="69392966"/>
    <w:rsid w:val="693C2B63"/>
    <w:rsid w:val="694E1147"/>
    <w:rsid w:val="69520D7A"/>
    <w:rsid w:val="69573B6E"/>
    <w:rsid w:val="696206D3"/>
    <w:rsid w:val="6967756D"/>
    <w:rsid w:val="6968644A"/>
    <w:rsid w:val="697011ED"/>
    <w:rsid w:val="69826A24"/>
    <w:rsid w:val="699B6DC8"/>
    <w:rsid w:val="69A97058"/>
    <w:rsid w:val="69AB6F60"/>
    <w:rsid w:val="69C8002E"/>
    <w:rsid w:val="69CF04C1"/>
    <w:rsid w:val="69D32FE1"/>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B0B6C"/>
    <w:rsid w:val="6A3C0BF8"/>
    <w:rsid w:val="6A423E55"/>
    <w:rsid w:val="6A470981"/>
    <w:rsid w:val="6A4747AF"/>
    <w:rsid w:val="6A49294B"/>
    <w:rsid w:val="6A562B91"/>
    <w:rsid w:val="6A57299A"/>
    <w:rsid w:val="6A697946"/>
    <w:rsid w:val="6A6D6854"/>
    <w:rsid w:val="6A700CED"/>
    <w:rsid w:val="6A7017D7"/>
    <w:rsid w:val="6AA235D3"/>
    <w:rsid w:val="6AA31D3D"/>
    <w:rsid w:val="6AB02B50"/>
    <w:rsid w:val="6AB14532"/>
    <w:rsid w:val="6ABB2ED0"/>
    <w:rsid w:val="6AC335C4"/>
    <w:rsid w:val="6ACC0F11"/>
    <w:rsid w:val="6ADB4318"/>
    <w:rsid w:val="6ADD7DFD"/>
    <w:rsid w:val="6AE2135D"/>
    <w:rsid w:val="6AE77D3D"/>
    <w:rsid w:val="6AE93C28"/>
    <w:rsid w:val="6AF05F1A"/>
    <w:rsid w:val="6B036D80"/>
    <w:rsid w:val="6B0451AB"/>
    <w:rsid w:val="6B160110"/>
    <w:rsid w:val="6B21434C"/>
    <w:rsid w:val="6B237C36"/>
    <w:rsid w:val="6B2718FD"/>
    <w:rsid w:val="6B2A147B"/>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B248CC"/>
    <w:rsid w:val="6BBC0DCF"/>
    <w:rsid w:val="6BCA6179"/>
    <w:rsid w:val="6BD0777F"/>
    <w:rsid w:val="6BD619EE"/>
    <w:rsid w:val="6BEA64E2"/>
    <w:rsid w:val="6BFA7E30"/>
    <w:rsid w:val="6BFB030F"/>
    <w:rsid w:val="6C016CAE"/>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2391B"/>
    <w:rsid w:val="6C660C8B"/>
    <w:rsid w:val="6C6A716D"/>
    <w:rsid w:val="6C71767A"/>
    <w:rsid w:val="6C7C1F44"/>
    <w:rsid w:val="6C827094"/>
    <w:rsid w:val="6C8559E0"/>
    <w:rsid w:val="6C8D26FB"/>
    <w:rsid w:val="6CC25213"/>
    <w:rsid w:val="6CD76A8F"/>
    <w:rsid w:val="6CE0702D"/>
    <w:rsid w:val="6CE83295"/>
    <w:rsid w:val="6CEE220B"/>
    <w:rsid w:val="6CEE246E"/>
    <w:rsid w:val="6CF27A30"/>
    <w:rsid w:val="6CF6067E"/>
    <w:rsid w:val="6D032BD4"/>
    <w:rsid w:val="6D0535EE"/>
    <w:rsid w:val="6D077405"/>
    <w:rsid w:val="6D0A3519"/>
    <w:rsid w:val="6D133D59"/>
    <w:rsid w:val="6D175B2B"/>
    <w:rsid w:val="6D264EC5"/>
    <w:rsid w:val="6D26662C"/>
    <w:rsid w:val="6D330DB7"/>
    <w:rsid w:val="6D437763"/>
    <w:rsid w:val="6D4B2385"/>
    <w:rsid w:val="6D4C07B8"/>
    <w:rsid w:val="6D671B76"/>
    <w:rsid w:val="6D6D28AF"/>
    <w:rsid w:val="6D771293"/>
    <w:rsid w:val="6D7D0954"/>
    <w:rsid w:val="6D8153B2"/>
    <w:rsid w:val="6D876AB7"/>
    <w:rsid w:val="6D8F154F"/>
    <w:rsid w:val="6D9757D1"/>
    <w:rsid w:val="6D9C3974"/>
    <w:rsid w:val="6DA062EA"/>
    <w:rsid w:val="6DA65DBF"/>
    <w:rsid w:val="6DA76631"/>
    <w:rsid w:val="6DAF65CC"/>
    <w:rsid w:val="6DB157A2"/>
    <w:rsid w:val="6DB25F3D"/>
    <w:rsid w:val="6DBA586C"/>
    <w:rsid w:val="6DBE0B3F"/>
    <w:rsid w:val="6DBF7294"/>
    <w:rsid w:val="6DC53FBD"/>
    <w:rsid w:val="6DC93FE2"/>
    <w:rsid w:val="6DCA77EA"/>
    <w:rsid w:val="6DD35114"/>
    <w:rsid w:val="6DDE35E8"/>
    <w:rsid w:val="6DE65A7A"/>
    <w:rsid w:val="6DE92FA2"/>
    <w:rsid w:val="6DEE0E7D"/>
    <w:rsid w:val="6DEF6BC8"/>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F6D88"/>
    <w:rsid w:val="6E702FE8"/>
    <w:rsid w:val="6E706B87"/>
    <w:rsid w:val="6E766C71"/>
    <w:rsid w:val="6E7926F7"/>
    <w:rsid w:val="6E7B110F"/>
    <w:rsid w:val="6E8A2A35"/>
    <w:rsid w:val="6EA04FAE"/>
    <w:rsid w:val="6EAA59A3"/>
    <w:rsid w:val="6EAA79ED"/>
    <w:rsid w:val="6EC161BE"/>
    <w:rsid w:val="6ECD08F1"/>
    <w:rsid w:val="6EDF2531"/>
    <w:rsid w:val="6EE1335D"/>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10B29"/>
    <w:rsid w:val="6FAA2D8A"/>
    <w:rsid w:val="6FC02217"/>
    <w:rsid w:val="6FC34E9D"/>
    <w:rsid w:val="6FC60A07"/>
    <w:rsid w:val="6FC90F86"/>
    <w:rsid w:val="6FCD3BC3"/>
    <w:rsid w:val="6FCE2BBA"/>
    <w:rsid w:val="6FDF40F5"/>
    <w:rsid w:val="6FE0165C"/>
    <w:rsid w:val="6FE05F95"/>
    <w:rsid w:val="6FF06B6B"/>
    <w:rsid w:val="6FF97C31"/>
    <w:rsid w:val="6FFC64FF"/>
    <w:rsid w:val="7001428F"/>
    <w:rsid w:val="700E7127"/>
    <w:rsid w:val="70133236"/>
    <w:rsid w:val="70156307"/>
    <w:rsid w:val="7016485B"/>
    <w:rsid w:val="701C590F"/>
    <w:rsid w:val="702033F7"/>
    <w:rsid w:val="702D10A9"/>
    <w:rsid w:val="70315D3B"/>
    <w:rsid w:val="703D58C4"/>
    <w:rsid w:val="70453D87"/>
    <w:rsid w:val="704E5E48"/>
    <w:rsid w:val="7053674B"/>
    <w:rsid w:val="7055360F"/>
    <w:rsid w:val="70642BE6"/>
    <w:rsid w:val="706F497B"/>
    <w:rsid w:val="70724AB3"/>
    <w:rsid w:val="70916EF8"/>
    <w:rsid w:val="709261ED"/>
    <w:rsid w:val="70A02568"/>
    <w:rsid w:val="70AD230C"/>
    <w:rsid w:val="70B91785"/>
    <w:rsid w:val="70C41020"/>
    <w:rsid w:val="70CC1017"/>
    <w:rsid w:val="70CF255C"/>
    <w:rsid w:val="70DC2C89"/>
    <w:rsid w:val="70DD041E"/>
    <w:rsid w:val="70DD743F"/>
    <w:rsid w:val="70E3150B"/>
    <w:rsid w:val="70E67B77"/>
    <w:rsid w:val="70F323B0"/>
    <w:rsid w:val="70FD7C9B"/>
    <w:rsid w:val="710221FA"/>
    <w:rsid w:val="71094431"/>
    <w:rsid w:val="710D3478"/>
    <w:rsid w:val="710F7585"/>
    <w:rsid w:val="711805A6"/>
    <w:rsid w:val="711A79AD"/>
    <w:rsid w:val="71217446"/>
    <w:rsid w:val="71224F32"/>
    <w:rsid w:val="7123463F"/>
    <w:rsid w:val="713B1ED6"/>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2F766C"/>
    <w:rsid w:val="723256D8"/>
    <w:rsid w:val="72385872"/>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FE3E8E"/>
    <w:rsid w:val="731B711B"/>
    <w:rsid w:val="731C3ED2"/>
    <w:rsid w:val="731E5631"/>
    <w:rsid w:val="732009B8"/>
    <w:rsid w:val="732B0C72"/>
    <w:rsid w:val="733271A4"/>
    <w:rsid w:val="73330C63"/>
    <w:rsid w:val="733863E3"/>
    <w:rsid w:val="733A3332"/>
    <w:rsid w:val="733C1D9D"/>
    <w:rsid w:val="733E46B2"/>
    <w:rsid w:val="733E59D9"/>
    <w:rsid w:val="73597F33"/>
    <w:rsid w:val="7375490C"/>
    <w:rsid w:val="73757E63"/>
    <w:rsid w:val="737D2F4F"/>
    <w:rsid w:val="738B029F"/>
    <w:rsid w:val="73900D21"/>
    <w:rsid w:val="739A7114"/>
    <w:rsid w:val="739F2349"/>
    <w:rsid w:val="739F6287"/>
    <w:rsid w:val="73A242CD"/>
    <w:rsid w:val="73A935F2"/>
    <w:rsid w:val="73AC333B"/>
    <w:rsid w:val="73B11DBC"/>
    <w:rsid w:val="73B1795C"/>
    <w:rsid w:val="73B51018"/>
    <w:rsid w:val="73C340B3"/>
    <w:rsid w:val="73C72DB3"/>
    <w:rsid w:val="73C854F0"/>
    <w:rsid w:val="73CE0B05"/>
    <w:rsid w:val="73D007EE"/>
    <w:rsid w:val="73D27A00"/>
    <w:rsid w:val="73D31801"/>
    <w:rsid w:val="73D9581C"/>
    <w:rsid w:val="73DA2FBB"/>
    <w:rsid w:val="73DC2CAB"/>
    <w:rsid w:val="73DC5744"/>
    <w:rsid w:val="73E36876"/>
    <w:rsid w:val="73E72CB9"/>
    <w:rsid w:val="74014C0C"/>
    <w:rsid w:val="741B5358"/>
    <w:rsid w:val="74202F12"/>
    <w:rsid w:val="742C093F"/>
    <w:rsid w:val="742F68DF"/>
    <w:rsid w:val="7435797F"/>
    <w:rsid w:val="7442738A"/>
    <w:rsid w:val="744A0545"/>
    <w:rsid w:val="744F7C70"/>
    <w:rsid w:val="74521009"/>
    <w:rsid w:val="74632A31"/>
    <w:rsid w:val="7465205B"/>
    <w:rsid w:val="746954DB"/>
    <w:rsid w:val="74743C33"/>
    <w:rsid w:val="747640DF"/>
    <w:rsid w:val="747E6036"/>
    <w:rsid w:val="7482175B"/>
    <w:rsid w:val="74843F0D"/>
    <w:rsid w:val="74A67409"/>
    <w:rsid w:val="74B37F42"/>
    <w:rsid w:val="74B94875"/>
    <w:rsid w:val="74BA4FF9"/>
    <w:rsid w:val="74C311F6"/>
    <w:rsid w:val="74C53F19"/>
    <w:rsid w:val="74CA0770"/>
    <w:rsid w:val="74D52F3D"/>
    <w:rsid w:val="74D81528"/>
    <w:rsid w:val="74D96025"/>
    <w:rsid w:val="74DA07A2"/>
    <w:rsid w:val="74E1491C"/>
    <w:rsid w:val="74E67A31"/>
    <w:rsid w:val="74F61278"/>
    <w:rsid w:val="74F90505"/>
    <w:rsid w:val="74FC67D7"/>
    <w:rsid w:val="7501178C"/>
    <w:rsid w:val="75092044"/>
    <w:rsid w:val="75124563"/>
    <w:rsid w:val="751274A1"/>
    <w:rsid w:val="751C2143"/>
    <w:rsid w:val="75295853"/>
    <w:rsid w:val="752D2921"/>
    <w:rsid w:val="752F1869"/>
    <w:rsid w:val="752F2DAC"/>
    <w:rsid w:val="75631790"/>
    <w:rsid w:val="7566472C"/>
    <w:rsid w:val="756B1E1E"/>
    <w:rsid w:val="7578413D"/>
    <w:rsid w:val="757B64ED"/>
    <w:rsid w:val="757C232A"/>
    <w:rsid w:val="75851DCA"/>
    <w:rsid w:val="758F3A2A"/>
    <w:rsid w:val="7599617F"/>
    <w:rsid w:val="759D7802"/>
    <w:rsid w:val="75A011FF"/>
    <w:rsid w:val="75A70E4F"/>
    <w:rsid w:val="75AA3F51"/>
    <w:rsid w:val="75B11420"/>
    <w:rsid w:val="75B263D3"/>
    <w:rsid w:val="75DC2372"/>
    <w:rsid w:val="75E16CC1"/>
    <w:rsid w:val="75F22E0F"/>
    <w:rsid w:val="7600000E"/>
    <w:rsid w:val="760021B6"/>
    <w:rsid w:val="760950F4"/>
    <w:rsid w:val="76122AB3"/>
    <w:rsid w:val="76154B74"/>
    <w:rsid w:val="761C414A"/>
    <w:rsid w:val="761D237D"/>
    <w:rsid w:val="76380CDC"/>
    <w:rsid w:val="76383420"/>
    <w:rsid w:val="76411431"/>
    <w:rsid w:val="7649562B"/>
    <w:rsid w:val="764F7C59"/>
    <w:rsid w:val="76536622"/>
    <w:rsid w:val="765566B4"/>
    <w:rsid w:val="76605088"/>
    <w:rsid w:val="766477E2"/>
    <w:rsid w:val="7668119A"/>
    <w:rsid w:val="766966D4"/>
    <w:rsid w:val="766E17F9"/>
    <w:rsid w:val="76894FB9"/>
    <w:rsid w:val="768C1EBA"/>
    <w:rsid w:val="768E260E"/>
    <w:rsid w:val="769568F8"/>
    <w:rsid w:val="76993596"/>
    <w:rsid w:val="769F0134"/>
    <w:rsid w:val="76B14AAD"/>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095079"/>
    <w:rsid w:val="7718408C"/>
    <w:rsid w:val="7723073F"/>
    <w:rsid w:val="772527B2"/>
    <w:rsid w:val="772A6A8E"/>
    <w:rsid w:val="773B25F8"/>
    <w:rsid w:val="773B48CE"/>
    <w:rsid w:val="773D0C62"/>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C926F0"/>
    <w:rsid w:val="77CA0362"/>
    <w:rsid w:val="77D17A81"/>
    <w:rsid w:val="77E40C30"/>
    <w:rsid w:val="77FC1B84"/>
    <w:rsid w:val="780752E6"/>
    <w:rsid w:val="780B6CC7"/>
    <w:rsid w:val="78153F77"/>
    <w:rsid w:val="78185315"/>
    <w:rsid w:val="781C67FA"/>
    <w:rsid w:val="782378AE"/>
    <w:rsid w:val="78296DAC"/>
    <w:rsid w:val="783267CC"/>
    <w:rsid w:val="783E418B"/>
    <w:rsid w:val="783F1754"/>
    <w:rsid w:val="784E3C01"/>
    <w:rsid w:val="78570849"/>
    <w:rsid w:val="78575D9F"/>
    <w:rsid w:val="78600977"/>
    <w:rsid w:val="78617AF2"/>
    <w:rsid w:val="78626899"/>
    <w:rsid w:val="786421F2"/>
    <w:rsid w:val="786616B3"/>
    <w:rsid w:val="786E5D08"/>
    <w:rsid w:val="78812F7C"/>
    <w:rsid w:val="78975C7D"/>
    <w:rsid w:val="78A51B95"/>
    <w:rsid w:val="78AA6975"/>
    <w:rsid w:val="78C15B1C"/>
    <w:rsid w:val="78C359B3"/>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F537B"/>
    <w:rsid w:val="79344437"/>
    <w:rsid w:val="79367982"/>
    <w:rsid w:val="793D5C2F"/>
    <w:rsid w:val="793F7F0E"/>
    <w:rsid w:val="794A336F"/>
    <w:rsid w:val="79537099"/>
    <w:rsid w:val="79552D08"/>
    <w:rsid w:val="795E7ED2"/>
    <w:rsid w:val="79672E22"/>
    <w:rsid w:val="79677010"/>
    <w:rsid w:val="796E6578"/>
    <w:rsid w:val="797121AE"/>
    <w:rsid w:val="797E1825"/>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66C93"/>
    <w:rsid w:val="79F16E80"/>
    <w:rsid w:val="79F842C2"/>
    <w:rsid w:val="79FA0A29"/>
    <w:rsid w:val="79FC6E04"/>
    <w:rsid w:val="79FE2A4E"/>
    <w:rsid w:val="7A081D42"/>
    <w:rsid w:val="7A0A6E0F"/>
    <w:rsid w:val="7A0A7223"/>
    <w:rsid w:val="7A0C4EA7"/>
    <w:rsid w:val="7A12552F"/>
    <w:rsid w:val="7A1524DD"/>
    <w:rsid w:val="7A1A1772"/>
    <w:rsid w:val="7A1E1DC3"/>
    <w:rsid w:val="7A2751AD"/>
    <w:rsid w:val="7A276994"/>
    <w:rsid w:val="7A3B034D"/>
    <w:rsid w:val="7A3F158B"/>
    <w:rsid w:val="7A4A132A"/>
    <w:rsid w:val="7A535840"/>
    <w:rsid w:val="7A6736BC"/>
    <w:rsid w:val="7A6A7B3B"/>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D71052"/>
    <w:rsid w:val="7AD9797E"/>
    <w:rsid w:val="7ADE3DB2"/>
    <w:rsid w:val="7AE5682B"/>
    <w:rsid w:val="7AEE60EE"/>
    <w:rsid w:val="7B0E060E"/>
    <w:rsid w:val="7B0F5219"/>
    <w:rsid w:val="7B177A77"/>
    <w:rsid w:val="7B193032"/>
    <w:rsid w:val="7B1B1CF8"/>
    <w:rsid w:val="7B26484C"/>
    <w:rsid w:val="7B2B13FD"/>
    <w:rsid w:val="7B3339FA"/>
    <w:rsid w:val="7B346599"/>
    <w:rsid w:val="7B44094D"/>
    <w:rsid w:val="7B460BFD"/>
    <w:rsid w:val="7B4910BE"/>
    <w:rsid w:val="7B4A7A19"/>
    <w:rsid w:val="7B5D3226"/>
    <w:rsid w:val="7B5E4EEC"/>
    <w:rsid w:val="7B674BD7"/>
    <w:rsid w:val="7B722498"/>
    <w:rsid w:val="7B782690"/>
    <w:rsid w:val="7B7F3966"/>
    <w:rsid w:val="7B80148D"/>
    <w:rsid w:val="7B821ADA"/>
    <w:rsid w:val="7B8F5DA2"/>
    <w:rsid w:val="7B926883"/>
    <w:rsid w:val="7BA4369C"/>
    <w:rsid w:val="7BA71440"/>
    <w:rsid w:val="7BAE696E"/>
    <w:rsid w:val="7BAF3C86"/>
    <w:rsid w:val="7BC23E12"/>
    <w:rsid w:val="7BC92A6F"/>
    <w:rsid w:val="7BD36780"/>
    <w:rsid w:val="7BD4048E"/>
    <w:rsid w:val="7BD968AC"/>
    <w:rsid w:val="7BDE524C"/>
    <w:rsid w:val="7BEA5E74"/>
    <w:rsid w:val="7BF577C1"/>
    <w:rsid w:val="7BF9001B"/>
    <w:rsid w:val="7BFE0389"/>
    <w:rsid w:val="7BFE08FA"/>
    <w:rsid w:val="7C091716"/>
    <w:rsid w:val="7C126AEB"/>
    <w:rsid w:val="7C1F2070"/>
    <w:rsid w:val="7C260105"/>
    <w:rsid w:val="7C2900A2"/>
    <w:rsid w:val="7C295D17"/>
    <w:rsid w:val="7C2A10CD"/>
    <w:rsid w:val="7C2D2AE7"/>
    <w:rsid w:val="7C4A5A50"/>
    <w:rsid w:val="7C4B681D"/>
    <w:rsid w:val="7C4C575E"/>
    <w:rsid w:val="7C640974"/>
    <w:rsid w:val="7C643EF7"/>
    <w:rsid w:val="7C690B20"/>
    <w:rsid w:val="7C724EAE"/>
    <w:rsid w:val="7C780AD5"/>
    <w:rsid w:val="7C7A14F2"/>
    <w:rsid w:val="7C7E2FFC"/>
    <w:rsid w:val="7C867154"/>
    <w:rsid w:val="7C9427B3"/>
    <w:rsid w:val="7C9E5A77"/>
    <w:rsid w:val="7CB74F4A"/>
    <w:rsid w:val="7CB80138"/>
    <w:rsid w:val="7CB838AF"/>
    <w:rsid w:val="7CBE6F50"/>
    <w:rsid w:val="7CC639C6"/>
    <w:rsid w:val="7CC96839"/>
    <w:rsid w:val="7CCC3CFE"/>
    <w:rsid w:val="7CCD12D3"/>
    <w:rsid w:val="7CD505D1"/>
    <w:rsid w:val="7CD6692A"/>
    <w:rsid w:val="7CE215AC"/>
    <w:rsid w:val="7CE25B4A"/>
    <w:rsid w:val="7CE3422B"/>
    <w:rsid w:val="7CE5443B"/>
    <w:rsid w:val="7CE76B7F"/>
    <w:rsid w:val="7CED09D9"/>
    <w:rsid w:val="7CF87323"/>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E15A0"/>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C2B95"/>
    <w:rsid w:val="7E1E3CF4"/>
    <w:rsid w:val="7E212526"/>
    <w:rsid w:val="7E262B03"/>
    <w:rsid w:val="7E2E765A"/>
    <w:rsid w:val="7E324C10"/>
    <w:rsid w:val="7E3B7336"/>
    <w:rsid w:val="7E3D35D7"/>
    <w:rsid w:val="7E466A84"/>
    <w:rsid w:val="7E472FFE"/>
    <w:rsid w:val="7E4A6379"/>
    <w:rsid w:val="7E5248E3"/>
    <w:rsid w:val="7E66305F"/>
    <w:rsid w:val="7E6854DB"/>
    <w:rsid w:val="7E6C43B3"/>
    <w:rsid w:val="7E77762F"/>
    <w:rsid w:val="7E793E63"/>
    <w:rsid w:val="7E7B1715"/>
    <w:rsid w:val="7E8031F2"/>
    <w:rsid w:val="7E860496"/>
    <w:rsid w:val="7E956D81"/>
    <w:rsid w:val="7E9611E7"/>
    <w:rsid w:val="7E9963F8"/>
    <w:rsid w:val="7E9D0633"/>
    <w:rsid w:val="7EA82B9C"/>
    <w:rsid w:val="7EB13A3E"/>
    <w:rsid w:val="7EB16AB6"/>
    <w:rsid w:val="7EBD651F"/>
    <w:rsid w:val="7EC07C28"/>
    <w:rsid w:val="7ECB3BBC"/>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 w:type="character" w:customStyle="1" w:styleId="56">
    <w:name w:val="ant-tree-checkbox4"/>
    <w:basedOn w:val="6"/>
    <w:uiPriority w:val="0"/>
  </w:style>
  <w:style w:type="character" w:customStyle="1" w:styleId="57">
    <w:name w:val="hover17"/>
    <w:basedOn w:val="6"/>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未定义</cp:lastModifiedBy>
  <cp:lastPrinted>2024-03-07T06:33:00Z</cp:lastPrinted>
  <dcterms:modified xsi:type="dcterms:W3CDTF">2024-03-22T08:15:21Z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