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val="0"/>
        <w:autoSpaceDE/>
        <w:autoSpaceDN/>
        <w:bidi w:val="0"/>
        <w:adjustRightInd/>
        <w:snapToGrid/>
        <w:spacing w:line="240" w:lineRule="auto"/>
        <w:jc w:val="center"/>
        <w:textAlignment w:val="auto"/>
        <w:outlineLvl w:val="0"/>
        <w:rPr>
          <w:rFonts w:hint="default" w:ascii="Times New Roman" w:hAnsi="Times New Roman" w:eastAsia="宋体" w:cs="Times New Roman"/>
          <w:b/>
          <w:color w:val="FF0000"/>
          <w:spacing w:val="-119"/>
          <w:kern w:val="36"/>
          <w:sz w:val="144"/>
          <w:szCs w:val="144"/>
        </w:rPr>
      </w:pPr>
      <w:r>
        <w:rPr>
          <w:rFonts w:hint="default" w:ascii="Times New Roman" w:hAnsi="Times New Roman" w:eastAsia="经典行楷简" w:cs="Times New Roman"/>
          <w:b/>
          <w:color w:val="1F497D"/>
          <w:spacing w:val="-119"/>
          <w:kern w:val="36"/>
          <w:sz w:val="144"/>
          <w:szCs w:val="144"/>
          <w14:textFill>
            <w14:solidFill>
              <w14:srgbClr w14:val="1F497D">
                <w14:lumMod w14:val="60000"/>
                <w14:lumOff w14:val="40000"/>
              </w14:srgbClr>
            </w14:solidFill>
          </w14:textFill>
        </w:rPr>
        <w:t>江苏贸促周讯</w:t>
      </w:r>
    </w:p>
    <w:p>
      <w:pPr>
        <w:keepNext w:val="0"/>
        <w:keepLines w:val="0"/>
        <w:pageBreakBefore w:val="0"/>
        <w:widowControl/>
        <w:kinsoku/>
        <w:wordWrap/>
        <w:overflowPunct/>
        <w:topLinePunct w:val="0"/>
        <w:autoSpaceDE/>
        <w:autoSpaceDN/>
        <w:bidi w:val="0"/>
        <w:adjustRightInd/>
        <w:snapToGrid/>
        <w:spacing w:line="460" w:lineRule="exact"/>
        <w:jc w:val="center"/>
        <w:textAlignment w:val="auto"/>
        <w:outlineLvl w:val="0"/>
        <w:rPr>
          <w:rFonts w:hint="default" w:ascii="Times New Roman" w:hAnsi="Times New Roman" w:eastAsia="经典行楷简" w:cs="Times New Roman"/>
          <w:b w:val="0"/>
          <w:bCs/>
          <w:color w:val="2E75B6" w:themeColor="accent1" w:themeShade="BF"/>
          <w:kern w:val="36"/>
          <w:sz w:val="44"/>
          <w:szCs w:val="44"/>
        </w:rPr>
      </w:pPr>
      <w:r>
        <w:rPr>
          <w:rFonts w:hint="default" w:ascii="Times New Roman" w:hAnsi="Times New Roman" w:eastAsia="经典行楷简" w:cs="Times New Roman"/>
          <w:b w:val="0"/>
          <w:bCs/>
          <w:color w:val="2E75B6" w:themeColor="accent1" w:themeShade="BF"/>
          <w:kern w:val="36"/>
          <w:sz w:val="44"/>
          <w:szCs w:val="44"/>
        </w:rPr>
        <w:t>202</w:t>
      </w:r>
      <w:r>
        <w:rPr>
          <w:rFonts w:hint="default" w:ascii="Times New Roman" w:hAnsi="Times New Roman" w:eastAsia="经典行楷简" w:cs="Times New Roman"/>
          <w:b w:val="0"/>
          <w:bCs/>
          <w:color w:val="2E75B6" w:themeColor="accent1" w:themeShade="BF"/>
          <w:kern w:val="36"/>
          <w:sz w:val="44"/>
          <w:szCs w:val="44"/>
          <w:lang w:val="en-US" w:eastAsia="zh-CN"/>
        </w:rPr>
        <w:t>4</w:t>
      </w:r>
      <w:r>
        <w:rPr>
          <w:rFonts w:hint="default" w:ascii="Times New Roman" w:hAnsi="Times New Roman" w:eastAsia="经典行楷简" w:cs="Times New Roman"/>
          <w:b w:val="0"/>
          <w:bCs/>
          <w:color w:val="2E75B6" w:themeColor="accent1" w:themeShade="BF"/>
          <w:kern w:val="36"/>
          <w:sz w:val="44"/>
          <w:szCs w:val="44"/>
        </w:rPr>
        <w:t>年第</w:t>
      </w:r>
      <w:r>
        <w:rPr>
          <w:rFonts w:hint="eastAsia" w:ascii="Times New Roman" w:hAnsi="Times New Roman" w:eastAsia="经典行楷简" w:cs="Times New Roman"/>
          <w:b w:val="0"/>
          <w:bCs/>
          <w:color w:val="2E75B6" w:themeColor="accent1" w:themeShade="BF"/>
          <w:kern w:val="36"/>
          <w:sz w:val="44"/>
          <w:szCs w:val="44"/>
          <w:lang w:val="en-US" w:eastAsia="zh-CN"/>
        </w:rPr>
        <w:t>12</w:t>
      </w:r>
      <w:r>
        <w:rPr>
          <w:rFonts w:hint="default" w:ascii="Times New Roman" w:hAnsi="Times New Roman" w:eastAsia="经典行楷简" w:cs="Times New Roman"/>
          <w:b w:val="0"/>
          <w:bCs/>
          <w:color w:val="2E75B6" w:themeColor="accent1" w:themeShade="BF"/>
          <w:kern w:val="36"/>
          <w:sz w:val="44"/>
          <w:szCs w:val="44"/>
        </w:rPr>
        <w:t>期</w:t>
      </w:r>
    </w:p>
    <w:p>
      <w:pPr>
        <w:keepNext w:val="0"/>
        <w:keepLines w:val="0"/>
        <w:pageBreakBefore w:val="0"/>
        <w:widowControl/>
        <w:kinsoku/>
        <w:wordWrap/>
        <w:overflowPunct/>
        <w:topLinePunct w:val="0"/>
        <w:autoSpaceDE/>
        <w:autoSpaceDN/>
        <w:bidi w:val="0"/>
        <w:adjustRightInd/>
        <w:snapToGrid/>
        <w:spacing w:line="460" w:lineRule="exact"/>
        <w:jc w:val="center"/>
        <w:textAlignment w:val="auto"/>
        <w:outlineLvl w:val="0"/>
        <w:rPr>
          <w:rFonts w:hint="default" w:ascii="Times New Roman" w:hAnsi="Times New Roman" w:eastAsia="经典行楷简" w:cs="Times New Roman"/>
          <w:b w:val="0"/>
          <w:bCs/>
          <w:color w:val="2E75B5" w:themeColor="accent1" w:themeShade="BF"/>
          <w:kern w:val="36"/>
          <w:sz w:val="44"/>
          <w:szCs w:val="44"/>
          <w:lang w:eastAsia="zh-CN"/>
          <w14:textFill>
            <w14:gradFill>
              <w14:gsLst>
                <w14:gs w14:pos="0">
                  <w14:srgbClr w14:val="FE4444"/>
                </w14:gs>
                <w14:gs w14:pos="100000">
                  <w14:srgbClr w14:val="832B2B"/>
                </w14:gs>
              </w14:gsLst>
              <w14:lin w14:scaled="0"/>
            </w14:gradFill>
          </w14:textFill>
        </w:rPr>
      </w:pPr>
      <w:r>
        <w:rPr>
          <w:rFonts w:hint="default" w:ascii="Times New Roman" w:hAnsi="Times New Roman" w:eastAsia="经典行楷简" w:cs="Times New Roman"/>
          <w:b w:val="0"/>
          <w:bCs/>
          <w:color w:val="2E75B5" w:themeColor="accent1" w:themeShade="BF"/>
          <w:kern w:val="36"/>
          <w:sz w:val="44"/>
          <w:szCs w:val="44"/>
          <w:lang w:eastAsia="zh-CN"/>
          <w14:textFill>
            <w14:gradFill>
              <w14:gsLst>
                <w14:gs w14:pos="0">
                  <w14:srgbClr w14:val="FE4444"/>
                </w14:gs>
                <w14:gs w14:pos="100000">
                  <w14:srgbClr w14:val="832B2B"/>
                </w14:gs>
              </w14:gsLst>
              <w14:lin w14:scaled="0"/>
            </w14:gradFill>
          </w14:textFill>
        </w:rPr>
        <w:t>（</w:t>
      </w:r>
      <w:r>
        <w:rPr>
          <w:rFonts w:hint="default" w:ascii="Times New Roman" w:hAnsi="Times New Roman" w:eastAsia="经典行楷简" w:cs="Times New Roman"/>
          <w:b w:val="0"/>
          <w:bCs/>
          <w:color w:val="2E75B5" w:themeColor="accent1" w:themeShade="BF"/>
          <w:kern w:val="36"/>
          <w:sz w:val="44"/>
          <w:szCs w:val="44"/>
          <w14:textFill>
            <w14:gradFill>
              <w14:gsLst>
                <w14:gs w14:pos="0">
                  <w14:srgbClr w14:val="FE4444"/>
                </w14:gs>
                <w14:gs w14:pos="100000">
                  <w14:srgbClr w14:val="832B2B"/>
                </w14:gs>
              </w14:gsLst>
              <w14:lin w14:scaled="0"/>
            </w14:gradFill>
          </w14:textFill>
        </w:rPr>
        <w:t>总第</w:t>
      </w:r>
      <w:r>
        <w:rPr>
          <w:rFonts w:hint="default" w:ascii="Times New Roman" w:hAnsi="Times New Roman" w:eastAsia="经典行楷简" w:cs="Times New Roman"/>
          <w:b w:val="0"/>
          <w:bCs/>
          <w:color w:val="2E75B5" w:themeColor="accent1" w:themeShade="BF"/>
          <w:kern w:val="36"/>
          <w:sz w:val="44"/>
          <w:szCs w:val="44"/>
          <w:lang w:val="en-US" w:eastAsia="zh-CN"/>
          <w14:textFill>
            <w14:gradFill>
              <w14:gsLst>
                <w14:gs w14:pos="0">
                  <w14:srgbClr w14:val="FE4444"/>
                </w14:gs>
                <w14:gs w14:pos="100000">
                  <w14:srgbClr w14:val="832B2B"/>
                </w14:gs>
              </w14:gsLst>
              <w14:lin w14:scaled="0"/>
            </w14:gradFill>
          </w14:textFill>
        </w:rPr>
        <w:t>25</w:t>
      </w:r>
      <w:r>
        <w:rPr>
          <w:rFonts w:hint="eastAsia" w:ascii="Times New Roman" w:hAnsi="Times New Roman" w:eastAsia="经典行楷简" w:cs="Times New Roman"/>
          <w:b w:val="0"/>
          <w:bCs/>
          <w:color w:val="2E75B5" w:themeColor="accent1" w:themeShade="BF"/>
          <w:kern w:val="36"/>
          <w:sz w:val="44"/>
          <w:szCs w:val="44"/>
          <w:lang w:val="en-US" w:eastAsia="zh-CN"/>
          <w14:textFill>
            <w14:gradFill>
              <w14:gsLst>
                <w14:gs w14:pos="0">
                  <w14:srgbClr w14:val="FE4444"/>
                </w14:gs>
                <w14:gs w14:pos="100000">
                  <w14:srgbClr w14:val="832B2B"/>
                </w14:gs>
              </w14:gsLst>
              <w14:lin w14:scaled="0"/>
            </w14:gradFill>
          </w14:textFill>
        </w:rPr>
        <w:t>8</w:t>
      </w:r>
      <w:r>
        <w:rPr>
          <w:rFonts w:hint="default" w:ascii="Times New Roman" w:hAnsi="Times New Roman" w:eastAsia="经典行楷简" w:cs="Times New Roman"/>
          <w:b w:val="0"/>
          <w:bCs/>
          <w:color w:val="2E75B5" w:themeColor="accent1" w:themeShade="BF"/>
          <w:kern w:val="36"/>
          <w:sz w:val="44"/>
          <w:szCs w:val="44"/>
          <w14:textFill>
            <w14:gradFill>
              <w14:gsLst>
                <w14:gs w14:pos="0">
                  <w14:srgbClr w14:val="FE4444"/>
                </w14:gs>
                <w14:gs w14:pos="100000">
                  <w14:srgbClr w14:val="832B2B"/>
                </w14:gs>
              </w14:gsLst>
              <w14:lin w14:scaled="0"/>
            </w14:gradFill>
          </w14:textFill>
        </w:rPr>
        <w:t>期</w:t>
      </w:r>
      <w:r>
        <w:rPr>
          <w:rFonts w:hint="default" w:ascii="Times New Roman" w:hAnsi="Times New Roman" w:eastAsia="经典行楷简" w:cs="Times New Roman"/>
          <w:b w:val="0"/>
          <w:bCs/>
          <w:color w:val="2E75B5" w:themeColor="accent1" w:themeShade="BF"/>
          <w:kern w:val="36"/>
          <w:sz w:val="44"/>
          <w:szCs w:val="44"/>
          <w:lang w:eastAsia="zh-CN"/>
          <w14:textFill>
            <w14:gradFill>
              <w14:gsLst>
                <w14:gs w14:pos="0">
                  <w14:srgbClr w14:val="FE4444"/>
                </w14:gs>
                <w14:gs w14:pos="100000">
                  <w14:srgbClr w14:val="832B2B"/>
                </w14:gs>
              </w14:gsLst>
              <w14:lin w14:scaled="0"/>
            </w14:gradFill>
          </w14:textFill>
        </w:rPr>
        <w:t>）</w:t>
      </w: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ind w:firstLine="528" w:firstLineChars="200"/>
        <w:jc w:val="both"/>
        <w:textAlignment w:val="auto"/>
        <w:outlineLvl w:val="1"/>
        <w:rPr>
          <w:rFonts w:hint="default" w:ascii="Times New Roman" w:hAnsi="Times New Roman" w:eastAsia="方正楷体_GBK" w:cs="Times New Roman"/>
          <w:b w:val="0"/>
          <w:bCs/>
          <w:color w:val="000000"/>
          <w:kern w:val="36"/>
          <w:sz w:val="36"/>
          <w:szCs w:val="36"/>
          <w:highlight w:val="none"/>
        </w:rPr>
      </w:pPr>
      <w:r>
        <w:rPr>
          <w:rFonts w:hint="default" w:ascii="Times New Roman" w:hAnsi="Times New Roman" w:eastAsia="方正黑体_GBK" w:cs="Times New Roman"/>
          <w:b w:val="0"/>
          <w:bCs/>
          <w:color w:val="1F497D"/>
          <w:kern w:val="36"/>
          <w:sz w:val="28"/>
          <w:szCs w:val="28"/>
          <w:highlight w:val="none"/>
          <w14:textFill>
            <w14:solidFill>
              <w14:srgbClr w14:val="1F497D">
                <w14:lumMod w14:val="60000"/>
                <w14:lumOff w14:val="40000"/>
              </w14:srgbClr>
            </w14:solidFill>
          </w14:textFill>
        </w:rPr>
        <w:t>江苏省贸促会发展研究部</w:t>
      </w:r>
      <w:r>
        <w:rPr>
          <w:rFonts w:hint="default" w:ascii="Times New Roman" w:hAnsi="Times New Roman" w:eastAsia="宋体" w:cs="Times New Roman"/>
          <w:b/>
          <w:color w:val="00B0F0"/>
          <w:kern w:val="36"/>
          <w:sz w:val="28"/>
          <w:szCs w:val="28"/>
          <w:highlight w:val="none"/>
        </w:rPr>
        <w:t xml:space="preserve"> </w:t>
      </w:r>
      <w:r>
        <w:rPr>
          <w:rFonts w:hint="default" w:ascii="Times New Roman" w:hAnsi="Times New Roman" w:eastAsia="宋体" w:cs="Times New Roman"/>
          <w:b/>
          <w:color w:val="000000"/>
          <w:kern w:val="36"/>
          <w:sz w:val="36"/>
          <w:szCs w:val="36"/>
          <w:highlight w:val="none"/>
        </w:rPr>
        <w:t xml:space="preserve">        </w:t>
      </w:r>
      <w:r>
        <w:rPr>
          <w:rFonts w:hint="default" w:ascii="Times New Roman" w:hAnsi="Times New Roman" w:eastAsia="方正楷体_GBK" w:cs="Times New Roman"/>
          <w:b w:val="0"/>
          <w:bCs/>
          <w:color w:val="000000"/>
          <w:kern w:val="36"/>
          <w:sz w:val="36"/>
          <w:szCs w:val="36"/>
          <w:highlight w:val="none"/>
        </w:rPr>
        <w:t xml:space="preserve"> </w:t>
      </w:r>
      <w:r>
        <w:rPr>
          <w:rFonts w:hint="default" w:ascii="Times New Roman" w:hAnsi="Times New Roman" w:eastAsia="方正楷体_GBK" w:cs="Times New Roman"/>
          <w:b w:val="0"/>
          <w:bCs/>
          <w:color w:val="000000"/>
          <w:kern w:val="36"/>
          <w:sz w:val="36"/>
          <w:szCs w:val="36"/>
          <w:highlight w:val="none"/>
          <w:lang w:val="en-US"/>
        </w:rPr>
        <w:t xml:space="preserve">     </w:t>
      </w:r>
      <w:r>
        <w:rPr>
          <w:rFonts w:hint="default" w:ascii="Times New Roman" w:hAnsi="Times New Roman" w:eastAsia="方正楷体_GBK" w:cs="Times New Roman"/>
          <w:b w:val="0"/>
          <w:bCs/>
          <w:color w:val="000000"/>
          <w:kern w:val="36"/>
          <w:sz w:val="32"/>
          <w:szCs w:val="32"/>
          <w:highlight w:val="none"/>
          <w:lang w:val="en-US"/>
        </w:rPr>
        <w:t xml:space="preserve"> </w:t>
      </w:r>
      <w:r>
        <w:rPr>
          <w:rFonts w:hint="default" w:ascii="Times New Roman" w:hAnsi="Times New Roman" w:eastAsia="方正楷体_GBK" w:cs="Times New Roman"/>
          <w:b w:val="0"/>
          <w:bCs/>
          <w:color w:val="000000"/>
          <w:kern w:val="36"/>
          <w:sz w:val="32"/>
          <w:szCs w:val="32"/>
          <w:highlight w:val="none"/>
        </w:rPr>
        <w:t>202</w:t>
      </w:r>
      <w:r>
        <w:rPr>
          <w:rFonts w:hint="default" w:ascii="Times New Roman" w:hAnsi="Times New Roman" w:eastAsia="方正楷体_GBK" w:cs="Times New Roman"/>
          <w:b w:val="0"/>
          <w:bCs/>
          <w:color w:val="000000"/>
          <w:kern w:val="36"/>
          <w:sz w:val="32"/>
          <w:szCs w:val="32"/>
          <w:highlight w:val="none"/>
          <w:lang w:val="en-US" w:eastAsia="zh-CN"/>
        </w:rPr>
        <w:t>4</w:t>
      </w:r>
      <w:r>
        <w:rPr>
          <w:rFonts w:hint="default" w:ascii="Times New Roman" w:hAnsi="Times New Roman" w:eastAsia="方正楷体_GBK" w:cs="Times New Roman"/>
          <w:b w:val="0"/>
          <w:bCs/>
          <w:color w:val="000000"/>
          <w:kern w:val="36"/>
          <w:sz w:val="32"/>
          <w:szCs w:val="32"/>
          <w:highlight w:val="none"/>
        </w:rPr>
        <w:t>年</w:t>
      </w:r>
      <w:r>
        <w:rPr>
          <w:rFonts w:hint="default" w:ascii="Times New Roman" w:hAnsi="Times New Roman" w:eastAsia="方正楷体_GBK" w:cs="Times New Roman"/>
          <w:b w:val="0"/>
          <w:bCs/>
          <w:color w:val="000000"/>
          <w:kern w:val="36"/>
          <w:sz w:val="32"/>
          <w:szCs w:val="32"/>
          <w:highlight w:val="none"/>
          <w:lang w:val="en-US"/>
        </w:rPr>
        <w:t>3</w:t>
      </w:r>
      <w:r>
        <w:rPr>
          <w:rFonts w:hint="default" w:ascii="Times New Roman" w:hAnsi="Times New Roman" w:eastAsia="方正楷体_GBK" w:cs="Times New Roman"/>
          <w:b w:val="0"/>
          <w:bCs/>
          <w:color w:val="000000"/>
          <w:kern w:val="36"/>
          <w:sz w:val="32"/>
          <w:szCs w:val="32"/>
          <w:highlight w:val="none"/>
        </w:rPr>
        <w:t>月</w:t>
      </w:r>
      <w:r>
        <w:rPr>
          <w:rFonts w:hint="eastAsia" w:ascii="Times New Roman" w:hAnsi="Times New Roman" w:eastAsia="方正楷体_GBK" w:cs="Times New Roman"/>
          <w:b w:val="0"/>
          <w:bCs/>
          <w:color w:val="000000"/>
          <w:kern w:val="36"/>
          <w:sz w:val="32"/>
          <w:szCs w:val="32"/>
          <w:highlight w:val="none"/>
          <w:lang w:val="en-US" w:eastAsia="zh-CN"/>
        </w:rPr>
        <w:t>22</w:t>
      </w:r>
      <w:r>
        <w:rPr>
          <w:rFonts w:hint="default" w:ascii="Times New Roman" w:hAnsi="Times New Roman" w:eastAsia="方正楷体_GBK" w:cs="Times New Roman"/>
          <w:b w:val="0"/>
          <w:bCs/>
          <w:color w:val="000000"/>
          <w:kern w:val="36"/>
          <w:sz w:val="32"/>
          <w:szCs w:val="32"/>
          <w:highlight w:val="none"/>
        </w:rPr>
        <w:t>日</w:t>
      </w:r>
    </w:p>
    <w:p>
      <w:pPr>
        <w:keepNext w:val="0"/>
        <w:keepLines w:val="0"/>
        <w:pageBreakBefore w:val="0"/>
        <w:widowControl/>
        <w:shd w:val="clear" w:color="auto" w:fill="FFFFFF"/>
        <w:kinsoku/>
        <w:wordWrap/>
        <w:overflowPunct/>
        <w:topLinePunct w:val="0"/>
        <w:autoSpaceDE/>
        <w:autoSpaceDN/>
        <w:bidi w:val="0"/>
        <w:adjustRightInd/>
        <w:snapToGrid/>
        <w:spacing w:before="435" w:beforeLines="150" w:after="210" w:line="240" w:lineRule="auto"/>
        <w:ind w:firstLine="424" w:firstLineChars="100"/>
        <w:jc w:val="both"/>
        <w:textAlignment w:val="auto"/>
        <w:outlineLvl w:val="1"/>
        <w:rPr>
          <w:rFonts w:hint="default" w:ascii="Times New Roman" w:hAnsi="Times New Roman" w:eastAsia="方正黑体_GBK" w:cs="Times New Roman"/>
          <w:b w:val="0"/>
          <w:bCs/>
          <w:color w:val="000000"/>
          <w:kern w:val="36"/>
          <w:sz w:val="44"/>
          <w:szCs w:val="44"/>
          <w:lang w:val="en-US" w:eastAsia="zh-CN"/>
        </w:rPr>
      </w:pPr>
      <w:r>
        <w:rPr>
          <w:rFonts w:hint="default" w:ascii="Times New Roman" w:hAnsi="Times New Roman" w:eastAsia="方正黑体_GBK" w:cs="Times New Roman"/>
          <w:b w:val="0"/>
          <w:bCs/>
          <w:color w:val="000000"/>
          <w:kern w:val="36"/>
          <w:sz w:val="44"/>
          <w:szCs w:val="44"/>
        </w:rPr>
        <w:t>目录</w:t>
      </w:r>
      <w:r>
        <w:rPr>
          <w:rFonts w:hint="default" w:ascii="Times New Roman" w:hAnsi="Times New Roman" w:eastAsia="方正黑体_GBK" w:cs="Times New Roman"/>
          <w:b w:val="0"/>
          <w:bCs/>
          <w:color w:val="000000"/>
          <w:kern w:val="36"/>
          <w:sz w:val="28"/>
          <w:szCs w:val="28"/>
          <w:lang w:val="en-US"/>
        </w:rPr>
        <w:t>CONTENTS</w:t>
      </w:r>
      <w:r>
        <w:rPr>
          <w:rFonts w:hint="default" w:ascii="Times New Roman" w:hAnsi="Times New Roman" w:eastAsia="方正黑体_GBK" w:cs="Times New Roman"/>
          <w:b w:val="0"/>
          <w:bCs/>
          <w:color w:val="000000"/>
          <w:kern w:val="36"/>
          <w:sz w:val="32"/>
          <w:szCs w:val="32"/>
          <w:lang w:val="en-US"/>
        </w:rPr>
        <w:t xml:space="preserve">  </w:t>
      </w:r>
      <w:r>
        <w:rPr>
          <w:rFonts w:hint="default" w:ascii="Times New Roman" w:hAnsi="Times New Roman" w:eastAsia="方正黑体_GBK" w:cs="Times New Roman"/>
          <w:b w:val="0"/>
          <w:bCs/>
          <w:color w:val="000000"/>
          <w:kern w:val="36"/>
          <w:sz w:val="24"/>
          <w:szCs w:val="24"/>
          <w:lang w:val="en-US" w:eastAsia="zh-CN"/>
        </w:rPr>
        <w:t>——————————————内部资料 免费赠阅</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after="210" w:line="240" w:lineRule="auto"/>
        <w:ind w:firstLine="528" w:firstLineChars="200"/>
        <w:contextualSpacing/>
        <w:jc w:val="left"/>
        <w:textAlignment w:val="auto"/>
        <w:outlineLvl w:val="1"/>
        <w:rPr>
          <w:rFonts w:hint="default" w:ascii="Times New Roman" w:hAnsi="Times New Roman" w:eastAsia="宋体" w:cs="Times New Roman"/>
          <w:b/>
          <w:color w:val="1F497D"/>
          <w:kern w:val="36"/>
          <w:sz w:val="28"/>
          <w:szCs w:val="28"/>
          <w:lang w:val="en-US" w:eastAsia="zh-CN"/>
          <w14:textFill>
            <w14:solidFill>
              <w14:srgbClr w14:val="1F497D">
                <w14:lumMod w14:val="60000"/>
                <w14:lumOff w14:val="40000"/>
              </w14:srgbClr>
            </w14:solidFill>
          </w14:textFill>
        </w:rPr>
      </w:pP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after="210" w:line="240" w:lineRule="auto"/>
        <w:ind w:firstLine="528" w:firstLineChars="200"/>
        <w:contextualSpacing/>
        <w:jc w:val="left"/>
        <w:textAlignment w:val="auto"/>
        <w:outlineLvl w:val="1"/>
        <w:rPr>
          <w:rFonts w:hint="default" w:ascii="Times New Roman" w:hAnsi="Times New Roman" w:eastAsia="宋体" w:cs="Times New Roman"/>
          <w:b/>
          <w:color w:val="FF0000"/>
          <w:kern w:val="36"/>
          <w:sz w:val="24"/>
          <w:szCs w:val="24"/>
          <w:lang w:val="en-US" w:eastAsia="zh-CN"/>
        </w:rPr>
      </w:pPr>
      <w:r>
        <w:rPr>
          <w:rFonts w:hint="default" w:ascii="Times New Roman" w:hAnsi="Times New Roman" w:eastAsia="宋体" w:cs="Times New Roman"/>
          <w:b/>
          <w:color w:val="1F497D"/>
          <w:kern w:val="36"/>
          <w:sz w:val="28"/>
          <w:szCs w:val="28"/>
          <w:lang w:val="en-US" w:eastAsia="zh-CN"/>
          <w14:textFill>
            <w14:solidFill>
              <w14:srgbClr w14:val="1F497D">
                <w14:lumMod w14:val="60000"/>
                <w14:lumOff w14:val="40000"/>
              </w14:srgbClr>
            </w14:solidFill>
          </w14:textFill>
        </w:rPr>
        <w:t xml:space="preserve">• </w:t>
      </w:r>
      <w:r>
        <w:rPr>
          <w:rFonts w:hint="default" w:ascii="Times New Roman" w:hAnsi="Times New Roman" w:eastAsia="方正黑体_GBK" w:cs="Times New Roman"/>
          <w:b/>
          <w:color w:val="1F497D"/>
          <w:kern w:val="36"/>
          <w:sz w:val="32"/>
          <w:szCs w:val="32"/>
          <w:lang w:val="en-US" w:eastAsia="zh-CN"/>
          <w14:textFill>
            <w14:solidFill>
              <w14:srgbClr w14:val="1F497D">
                <w14:lumMod w14:val="60000"/>
                <w14:lumOff w14:val="40000"/>
              </w14:srgbClr>
            </w14:solidFill>
          </w14:textFill>
        </w:rPr>
        <w:t xml:space="preserve">全球市场资讯 </w:t>
      </w:r>
      <w:r>
        <w:rPr>
          <w:rFonts w:hint="default" w:ascii="Times New Roman" w:hAnsi="Times New Roman" w:eastAsia="宋体" w:cs="Times New Roman"/>
          <w:b/>
          <w:color w:val="1F497D"/>
          <w:kern w:val="36"/>
          <w:sz w:val="28"/>
          <w:szCs w:val="28"/>
          <w:lang w:val="en-US" w:eastAsia="zh-CN"/>
          <w14:textFill>
            <w14:solidFill>
              <w14:srgbClr w14:val="1F497D">
                <w14:lumMod w14:val="60000"/>
                <w14:lumOff w14:val="40000"/>
              </w14:srgbClr>
            </w14:solidFill>
          </w14:textFill>
        </w:rPr>
        <w:t>•</w:t>
      </w:r>
      <w:r>
        <w:rPr>
          <w:rFonts w:hint="default" w:ascii="Times New Roman" w:hAnsi="Times New Roman" w:eastAsia="宋体" w:cs="Times New Roman"/>
          <w:b/>
          <w:color w:val="00B0F0"/>
          <w:kern w:val="36"/>
          <w:sz w:val="36"/>
          <w:szCs w:val="36"/>
          <w:lang w:val="en-US" w:eastAsia="zh-CN"/>
        </w:rPr>
        <w:t xml:space="preserve"> </w:t>
      </w:r>
      <w:r>
        <w:rPr>
          <w:rFonts w:hint="default" w:ascii="Times New Roman" w:hAnsi="Times New Roman" w:eastAsia="宋体" w:cs="Times New Roman"/>
          <w:b/>
          <w:color w:val="FF0000"/>
          <w:kern w:val="36"/>
          <w:sz w:val="24"/>
          <w:szCs w:val="24"/>
          <w:lang w:val="en-US" w:eastAsia="zh-CN"/>
        </w:rPr>
        <w:t>‧‧‧‧‧‧‧‧‧‧‧‧‧‧‧‧‧‧‧‧‧‧‧‧‧‧‧‧‧‧‧‧‧‧‧‧‧‧‧‧‧‧‧‧‧‧‧‧‧‧‧‧‧‧‧‧‧‧‧‧‧‧‧‧‧‧‧‧‧‧‧‧‧‧‧‧‧‧‧‧‧‧‧‧‧‧‧‧‧‧‧‧‧‧‧‧‧‧‧‧‧‧‧</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after="210" w:line="240" w:lineRule="auto"/>
        <w:ind w:firstLine="568" w:firstLineChars="200"/>
        <w:contextualSpacing/>
        <w:jc w:val="left"/>
        <w:textAlignment w:val="auto"/>
        <w:outlineLvl w:val="1"/>
        <w:rPr>
          <w:rFonts w:hint="default" w:ascii="Times New Roman" w:hAnsi="Times New Roman" w:eastAsia="方正楷体_GBK" w:cs="Times New Roman"/>
          <w:b/>
          <w:bCs w:val="0"/>
          <w:color w:val="auto"/>
          <w:spacing w:val="0"/>
          <w:kern w:val="36"/>
          <w:sz w:val="30"/>
          <w:szCs w:val="30"/>
          <w:lang w:val="en-US" w:eastAsia="zh-CN"/>
        </w:rPr>
      </w:pPr>
      <w:r>
        <w:rPr>
          <w:rFonts w:hint="eastAsia" w:ascii="Times New Roman" w:hAnsi="Times New Roman" w:eastAsia="方正楷体_GBK" w:cs="Times New Roman"/>
          <w:b/>
          <w:color w:val="auto"/>
          <w:spacing w:val="0"/>
          <w:kern w:val="36"/>
          <w:sz w:val="30"/>
          <w:szCs w:val="30"/>
          <w:lang w:val="en-US" w:eastAsia="zh-CN"/>
        </w:rPr>
        <w:t>3月15日（周五）</w:t>
      </w:r>
      <w:r>
        <w:rPr>
          <w:rFonts w:hint="eastAsia" w:ascii="Times New Roman" w:hAnsi="Times New Roman" w:eastAsia="方正楷体_GBK" w:cs="Times New Roman"/>
          <w:b/>
          <w:bCs w:val="0"/>
          <w:color w:val="auto"/>
          <w:spacing w:val="0"/>
          <w:kern w:val="36"/>
          <w:sz w:val="30"/>
          <w:szCs w:val="30"/>
          <w:lang w:val="en-US" w:eastAsia="zh-CN"/>
        </w:rPr>
        <w:t>美国</w:t>
      </w:r>
      <w:r>
        <w:rPr>
          <w:rFonts w:hint="default" w:ascii="Times New Roman" w:hAnsi="Times New Roman" w:eastAsia="方正楷体_GBK" w:cs="Times New Roman"/>
          <w:b/>
          <w:bCs w:val="0"/>
          <w:color w:val="auto"/>
          <w:spacing w:val="0"/>
          <w:kern w:val="36"/>
          <w:sz w:val="30"/>
          <w:szCs w:val="30"/>
          <w:lang w:val="en-US" w:eastAsia="zh-CN"/>
        </w:rPr>
        <w:t>2</w:t>
      </w:r>
      <w:r>
        <w:rPr>
          <w:rFonts w:hint="eastAsia" w:ascii="Times New Roman" w:hAnsi="Times New Roman" w:eastAsia="方正楷体_GBK" w:cs="Times New Roman"/>
          <w:b/>
          <w:bCs w:val="0"/>
          <w:color w:val="auto"/>
          <w:spacing w:val="0"/>
          <w:kern w:val="36"/>
          <w:sz w:val="30"/>
          <w:szCs w:val="30"/>
          <w:lang w:val="en-US" w:eastAsia="zh-CN"/>
        </w:rPr>
        <w:t>月</w:t>
      </w:r>
      <w:r>
        <w:rPr>
          <w:rFonts w:hint="default" w:ascii="Times New Roman" w:hAnsi="Times New Roman" w:eastAsia="方正楷体_GBK" w:cs="Times New Roman"/>
          <w:b/>
          <w:bCs w:val="0"/>
          <w:color w:val="auto"/>
          <w:spacing w:val="0"/>
          <w:kern w:val="36"/>
          <w:sz w:val="30"/>
          <w:szCs w:val="30"/>
          <w:lang w:val="en-US" w:eastAsia="zh-CN"/>
        </w:rPr>
        <w:t>PPI</w:t>
      </w:r>
      <w:r>
        <w:rPr>
          <w:rFonts w:hint="eastAsia" w:ascii="Times New Roman" w:hAnsi="Times New Roman" w:eastAsia="方正楷体_GBK" w:cs="Times New Roman"/>
          <w:b/>
          <w:bCs w:val="0"/>
          <w:color w:val="auto"/>
          <w:spacing w:val="0"/>
          <w:kern w:val="36"/>
          <w:sz w:val="30"/>
          <w:szCs w:val="30"/>
          <w:lang w:val="en-US" w:eastAsia="zh-CN"/>
        </w:rPr>
        <w:t xml:space="preserve">数据公布，显示通胀压力反弹 </w:t>
      </w:r>
      <w:r>
        <w:rPr>
          <w:rFonts w:hint="default" w:ascii="Times New Roman" w:hAnsi="Times New Roman" w:eastAsia="方正楷体_GBK" w:cs="Times New Roman"/>
          <w:b/>
          <w:bCs w:val="0"/>
          <w:color w:val="auto"/>
          <w:spacing w:val="0"/>
          <w:kern w:val="36"/>
          <w:sz w:val="30"/>
          <w:szCs w:val="30"/>
          <w:lang w:val="en-US" w:eastAsia="zh-CN"/>
        </w:rPr>
        <w:t>/ 01</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line="240" w:lineRule="auto"/>
        <w:ind w:firstLine="568" w:firstLineChars="200"/>
        <w:contextualSpacing/>
        <w:jc w:val="left"/>
        <w:textAlignment w:val="auto"/>
        <w:outlineLvl w:val="1"/>
        <w:rPr>
          <w:rFonts w:hint="default" w:ascii="Times New Roman" w:hAnsi="Times New Roman" w:eastAsia="方正楷体_GBK" w:cs="Times New Roman"/>
          <w:b/>
          <w:bCs w:val="0"/>
          <w:color w:val="auto"/>
          <w:spacing w:val="0"/>
          <w:kern w:val="36"/>
          <w:sz w:val="30"/>
          <w:szCs w:val="30"/>
          <w:lang w:val="en-US" w:eastAsia="zh-CN"/>
        </w:rPr>
      </w:pPr>
      <w:r>
        <w:rPr>
          <w:rFonts w:hint="eastAsia" w:ascii="Times New Roman" w:hAnsi="Times New Roman" w:eastAsia="方正楷体_GBK" w:cs="Times New Roman"/>
          <w:b/>
          <w:bCs w:val="0"/>
          <w:color w:val="auto"/>
          <w:spacing w:val="0"/>
          <w:kern w:val="36"/>
          <w:sz w:val="30"/>
          <w:szCs w:val="30"/>
          <w:lang w:val="en-US" w:eastAsia="zh-CN"/>
        </w:rPr>
        <w:t>3</w:t>
      </w:r>
      <w:r>
        <w:rPr>
          <w:rFonts w:hint="default" w:ascii="Times New Roman" w:hAnsi="Times New Roman" w:eastAsia="方正楷体_GBK" w:cs="Times New Roman"/>
          <w:b/>
          <w:bCs w:val="0"/>
          <w:color w:val="auto"/>
          <w:spacing w:val="0"/>
          <w:kern w:val="36"/>
          <w:sz w:val="30"/>
          <w:szCs w:val="30"/>
          <w:lang w:val="en-US" w:eastAsia="zh-CN"/>
        </w:rPr>
        <w:t>月</w:t>
      </w:r>
      <w:r>
        <w:rPr>
          <w:rFonts w:hint="eastAsia" w:ascii="Times New Roman" w:hAnsi="Times New Roman" w:eastAsia="方正楷体_GBK" w:cs="Times New Roman"/>
          <w:b/>
          <w:bCs w:val="0"/>
          <w:color w:val="auto"/>
          <w:spacing w:val="0"/>
          <w:kern w:val="36"/>
          <w:sz w:val="30"/>
          <w:szCs w:val="30"/>
          <w:lang w:val="en-US" w:eastAsia="zh-CN"/>
        </w:rPr>
        <w:t>16</w:t>
      </w:r>
      <w:r>
        <w:rPr>
          <w:rFonts w:hint="default" w:ascii="Times New Roman" w:hAnsi="Times New Roman" w:eastAsia="方正楷体_GBK" w:cs="Times New Roman"/>
          <w:b/>
          <w:bCs w:val="0"/>
          <w:color w:val="auto"/>
          <w:spacing w:val="0"/>
          <w:kern w:val="36"/>
          <w:sz w:val="30"/>
          <w:szCs w:val="30"/>
          <w:lang w:val="en-US" w:eastAsia="zh-CN"/>
        </w:rPr>
        <w:t>日（周</w:t>
      </w:r>
      <w:r>
        <w:rPr>
          <w:rFonts w:hint="eastAsia" w:ascii="Times New Roman" w:hAnsi="Times New Roman" w:eastAsia="方正楷体_GBK" w:cs="Times New Roman"/>
          <w:b/>
          <w:bCs w:val="0"/>
          <w:color w:val="auto"/>
          <w:spacing w:val="0"/>
          <w:kern w:val="36"/>
          <w:sz w:val="30"/>
          <w:szCs w:val="30"/>
          <w:lang w:val="en-US" w:eastAsia="zh-CN"/>
        </w:rPr>
        <w:t>六</w:t>
      </w:r>
      <w:r>
        <w:rPr>
          <w:rFonts w:hint="default" w:ascii="Times New Roman" w:hAnsi="Times New Roman" w:eastAsia="方正楷体_GBK" w:cs="Times New Roman"/>
          <w:b/>
          <w:bCs w:val="0"/>
          <w:color w:val="auto"/>
          <w:spacing w:val="0"/>
          <w:kern w:val="36"/>
          <w:sz w:val="30"/>
          <w:szCs w:val="30"/>
          <w:lang w:val="en-US" w:eastAsia="zh-CN"/>
        </w:rPr>
        <w:t>）</w:t>
      </w:r>
      <w:r>
        <w:rPr>
          <w:rFonts w:hint="eastAsia" w:ascii="Times New Roman" w:hAnsi="Times New Roman" w:eastAsia="方正楷体_GBK" w:cs="Times New Roman"/>
          <w:b/>
          <w:bCs w:val="0"/>
          <w:color w:val="auto"/>
          <w:spacing w:val="0"/>
          <w:kern w:val="36"/>
          <w:sz w:val="30"/>
          <w:szCs w:val="30"/>
          <w:lang w:val="en-US" w:eastAsia="zh-CN"/>
        </w:rPr>
        <w:t xml:space="preserve">消费者情绪不乐观，下周点阵图被关注 </w:t>
      </w:r>
      <w:r>
        <w:rPr>
          <w:rFonts w:hint="default" w:ascii="Times New Roman" w:hAnsi="Times New Roman" w:eastAsia="方正楷体_GBK" w:cs="Times New Roman"/>
          <w:b/>
          <w:bCs w:val="0"/>
          <w:color w:val="auto"/>
          <w:spacing w:val="0"/>
          <w:kern w:val="36"/>
          <w:sz w:val="30"/>
          <w:szCs w:val="30"/>
          <w:lang w:val="en-US" w:eastAsia="zh-CN"/>
        </w:rPr>
        <w:t>/ 0</w:t>
      </w:r>
      <w:r>
        <w:rPr>
          <w:rFonts w:hint="eastAsia" w:ascii="Times New Roman" w:hAnsi="Times New Roman" w:eastAsia="方正楷体_GBK" w:cs="Times New Roman"/>
          <w:b/>
          <w:bCs w:val="0"/>
          <w:color w:val="auto"/>
          <w:spacing w:val="0"/>
          <w:kern w:val="36"/>
          <w:sz w:val="30"/>
          <w:szCs w:val="30"/>
          <w:lang w:val="en-US" w:eastAsia="zh-CN"/>
        </w:rPr>
        <w:t>2</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line="240" w:lineRule="auto"/>
        <w:ind w:firstLine="568" w:firstLineChars="200"/>
        <w:contextualSpacing/>
        <w:textAlignment w:val="auto"/>
        <w:outlineLvl w:val="1"/>
        <w:rPr>
          <w:rFonts w:hint="default" w:ascii="Times New Roman" w:hAnsi="Times New Roman" w:eastAsia="方正楷体_GBK" w:cs="Times New Roman"/>
          <w:b/>
          <w:bCs w:val="0"/>
          <w:color w:val="auto"/>
          <w:spacing w:val="0"/>
          <w:kern w:val="36"/>
          <w:sz w:val="30"/>
          <w:szCs w:val="30"/>
          <w:lang w:val="en-US" w:eastAsia="zh-CN"/>
        </w:rPr>
      </w:pPr>
      <w:r>
        <w:rPr>
          <w:rFonts w:hint="eastAsia" w:ascii="Times New Roman" w:hAnsi="Times New Roman" w:eastAsia="方正楷体_GBK" w:cs="Times New Roman"/>
          <w:b/>
          <w:bCs w:val="0"/>
          <w:color w:val="auto"/>
          <w:spacing w:val="0"/>
          <w:kern w:val="36"/>
          <w:sz w:val="30"/>
          <w:szCs w:val="30"/>
          <w:lang w:val="en-US" w:eastAsia="zh-CN"/>
        </w:rPr>
        <w:t>3</w:t>
      </w:r>
      <w:r>
        <w:rPr>
          <w:rFonts w:hint="default" w:ascii="Times New Roman" w:hAnsi="Times New Roman" w:eastAsia="方正楷体_GBK" w:cs="Times New Roman"/>
          <w:b/>
          <w:bCs w:val="0"/>
          <w:color w:val="auto"/>
          <w:spacing w:val="0"/>
          <w:kern w:val="36"/>
          <w:sz w:val="30"/>
          <w:szCs w:val="30"/>
          <w:lang w:val="en-US" w:eastAsia="zh-CN"/>
        </w:rPr>
        <w:t>月</w:t>
      </w:r>
      <w:r>
        <w:rPr>
          <w:rFonts w:hint="eastAsia" w:ascii="Times New Roman" w:hAnsi="Times New Roman" w:eastAsia="方正楷体_GBK" w:cs="Times New Roman"/>
          <w:b/>
          <w:bCs w:val="0"/>
          <w:color w:val="auto"/>
          <w:spacing w:val="0"/>
          <w:kern w:val="36"/>
          <w:sz w:val="30"/>
          <w:szCs w:val="30"/>
          <w:lang w:val="en-US" w:eastAsia="zh-CN"/>
        </w:rPr>
        <w:t>17</w:t>
      </w:r>
      <w:r>
        <w:rPr>
          <w:rFonts w:hint="default" w:ascii="Times New Roman" w:hAnsi="Times New Roman" w:eastAsia="方正楷体_GBK" w:cs="Times New Roman"/>
          <w:b/>
          <w:bCs w:val="0"/>
          <w:color w:val="auto"/>
          <w:spacing w:val="0"/>
          <w:kern w:val="36"/>
          <w:sz w:val="30"/>
          <w:szCs w:val="30"/>
          <w:lang w:val="en-US" w:eastAsia="zh-CN"/>
        </w:rPr>
        <w:t>日（周</w:t>
      </w:r>
      <w:r>
        <w:rPr>
          <w:rFonts w:hint="eastAsia" w:ascii="Times New Roman" w:hAnsi="Times New Roman" w:eastAsia="方正楷体_GBK" w:cs="Times New Roman"/>
          <w:b/>
          <w:bCs w:val="0"/>
          <w:color w:val="auto"/>
          <w:spacing w:val="0"/>
          <w:kern w:val="36"/>
          <w:sz w:val="30"/>
          <w:szCs w:val="30"/>
          <w:lang w:val="en-US" w:eastAsia="zh-CN"/>
        </w:rPr>
        <w:t>日</w:t>
      </w:r>
      <w:r>
        <w:rPr>
          <w:rFonts w:hint="default" w:ascii="Times New Roman" w:hAnsi="Times New Roman" w:eastAsia="方正楷体_GBK" w:cs="Times New Roman"/>
          <w:b/>
          <w:bCs w:val="0"/>
          <w:color w:val="auto"/>
          <w:spacing w:val="0"/>
          <w:kern w:val="36"/>
          <w:sz w:val="30"/>
          <w:szCs w:val="30"/>
          <w:lang w:val="en-US" w:eastAsia="zh-CN"/>
        </w:rPr>
        <w:t>）</w:t>
      </w:r>
      <w:r>
        <w:rPr>
          <w:rFonts w:hint="eastAsia" w:ascii="Times New Roman" w:hAnsi="Times New Roman" w:eastAsia="方正楷体_GBK" w:cs="Times New Roman"/>
          <w:b/>
          <w:bCs w:val="0"/>
          <w:color w:val="auto"/>
          <w:spacing w:val="0"/>
          <w:kern w:val="36"/>
          <w:sz w:val="30"/>
          <w:szCs w:val="30"/>
          <w:lang w:val="en-US" w:eastAsia="zh-CN"/>
        </w:rPr>
        <w:t>法国通胀高于预期，欧央行决策难度加大</w:t>
      </w:r>
      <w:r>
        <w:rPr>
          <w:rFonts w:hint="default" w:ascii="Times New Roman" w:hAnsi="Times New Roman" w:eastAsia="方正楷体_GBK" w:cs="Times New Roman"/>
          <w:b/>
          <w:bCs w:val="0"/>
          <w:color w:val="auto"/>
          <w:spacing w:val="-23"/>
          <w:kern w:val="36"/>
          <w:sz w:val="30"/>
          <w:szCs w:val="30"/>
          <w:lang w:val="en-US" w:eastAsia="zh-CN"/>
        </w:rPr>
        <w:t xml:space="preserve"> </w:t>
      </w:r>
      <w:r>
        <w:rPr>
          <w:rFonts w:hint="default" w:ascii="Times New Roman" w:hAnsi="Times New Roman" w:eastAsia="方正楷体_GBK" w:cs="Times New Roman"/>
          <w:b/>
          <w:bCs w:val="0"/>
          <w:color w:val="auto"/>
          <w:spacing w:val="0"/>
          <w:kern w:val="36"/>
          <w:sz w:val="30"/>
          <w:szCs w:val="30"/>
          <w:lang w:val="en-US" w:eastAsia="zh-CN"/>
        </w:rPr>
        <w:t>/ 0</w:t>
      </w:r>
      <w:r>
        <w:rPr>
          <w:rFonts w:hint="eastAsia" w:ascii="Times New Roman" w:hAnsi="Times New Roman" w:eastAsia="方正楷体_GBK" w:cs="Times New Roman"/>
          <w:b/>
          <w:bCs w:val="0"/>
          <w:color w:val="auto"/>
          <w:spacing w:val="0"/>
          <w:kern w:val="36"/>
          <w:sz w:val="30"/>
          <w:szCs w:val="30"/>
          <w:lang w:val="en-US" w:eastAsia="zh-CN"/>
        </w:rPr>
        <w:t>3</w:t>
      </w:r>
    </w:p>
    <w:p>
      <w:pPr>
        <w:keepNext w:val="0"/>
        <w:keepLines w:val="0"/>
        <w:pageBreakBefore w:val="0"/>
        <w:kinsoku/>
        <w:wordWrap/>
        <w:overflowPunct/>
        <w:topLinePunct w:val="0"/>
        <w:autoSpaceDE/>
        <w:autoSpaceDN/>
        <w:bidi w:val="0"/>
        <w:adjustRightInd/>
        <w:snapToGrid/>
        <w:ind w:firstLine="568" w:firstLineChars="200"/>
        <w:textAlignment w:val="auto"/>
        <w:rPr>
          <w:rFonts w:hint="default" w:ascii="Times New Roman" w:hAnsi="Times New Roman" w:eastAsia="方正楷体_GBK" w:cs="Times New Roman"/>
          <w:b/>
          <w:bCs w:val="0"/>
          <w:color w:val="auto"/>
          <w:spacing w:val="0"/>
          <w:kern w:val="36"/>
          <w:sz w:val="30"/>
          <w:szCs w:val="30"/>
          <w:lang w:val="en-US" w:eastAsia="zh-CN"/>
        </w:rPr>
      </w:pPr>
      <w:r>
        <w:rPr>
          <w:rFonts w:hint="eastAsia" w:ascii="Times New Roman" w:hAnsi="Times New Roman" w:eastAsia="方正楷体_GBK" w:cs="Times New Roman"/>
          <w:b/>
          <w:bCs w:val="0"/>
          <w:color w:val="auto"/>
          <w:spacing w:val="0"/>
          <w:kern w:val="36"/>
          <w:sz w:val="30"/>
          <w:szCs w:val="30"/>
          <w:lang w:val="en-US" w:eastAsia="zh-CN"/>
        </w:rPr>
        <w:t>3</w:t>
      </w:r>
      <w:r>
        <w:rPr>
          <w:rFonts w:hint="default" w:ascii="Times New Roman" w:hAnsi="Times New Roman" w:eastAsia="方正楷体_GBK" w:cs="Times New Roman"/>
          <w:b/>
          <w:bCs w:val="0"/>
          <w:color w:val="auto"/>
          <w:spacing w:val="0"/>
          <w:kern w:val="36"/>
          <w:sz w:val="30"/>
          <w:szCs w:val="30"/>
          <w:lang w:val="en-US" w:eastAsia="zh-CN"/>
        </w:rPr>
        <w:t>月</w:t>
      </w:r>
      <w:r>
        <w:rPr>
          <w:rFonts w:hint="eastAsia" w:ascii="Times New Roman" w:hAnsi="Times New Roman" w:eastAsia="方正楷体_GBK" w:cs="Times New Roman"/>
          <w:b/>
          <w:bCs w:val="0"/>
          <w:color w:val="auto"/>
          <w:spacing w:val="0"/>
          <w:kern w:val="36"/>
          <w:sz w:val="30"/>
          <w:szCs w:val="30"/>
          <w:lang w:val="en-US" w:eastAsia="zh-CN"/>
        </w:rPr>
        <w:t>18日</w:t>
      </w:r>
      <w:r>
        <w:rPr>
          <w:rFonts w:hint="default" w:ascii="Times New Roman" w:hAnsi="Times New Roman" w:eastAsia="方正楷体_GBK" w:cs="Times New Roman"/>
          <w:b/>
          <w:bCs w:val="0"/>
          <w:color w:val="auto"/>
          <w:spacing w:val="0"/>
          <w:kern w:val="36"/>
          <w:sz w:val="30"/>
          <w:szCs w:val="30"/>
          <w:lang w:val="en-US" w:eastAsia="zh-CN"/>
        </w:rPr>
        <w:t>（周</w:t>
      </w:r>
      <w:r>
        <w:rPr>
          <w:rFonts w:hint="eastAsia" w:ascii="Times New Roman" w:hAnsi="Times New Roman" w:eastAsia="方正楷体_GBK" w:cs="Times New Roman"/>
          <w:b/>
          <w:bCs w:val="0"/>
          <w:color w:val="auto"/>
          <w:spacing w:val="0"/>
          <w:kern w:val="36"/>
          <w:sz w:val="30"/>
          <w:szCs w:val="30"/>
          <w:lang w:val="en-US" w:eastAsia="zh-CN"/>
        </w:rPr>
        <w:t>一</w:t>
      </w:r>
      <w:r>
        <w:rPr>
          <w:rFonts w:hint="default" w:ascii="Times New Roman" w:hAnsi="Times New Roman" w:eastAsia="方正楷体_GBK" w:cs="Times New Roman"/>
          <w:b/>
          <w:bCs w:val="0"/>
          <w:color w:val="auto"/>
          <w:spacing w:val="0"/>
          <w:kern w:val="36"/>
          <w:sz w:val="30"/>
          <w:szCs w:val="30"/>
          <w:lang w:val="en-US" w:eastAsia="zh-CN"/>
        </w:rPr>
        <w:t>）</w:t>
      </w:r>
      <w:r>
        <w:rPr>
          <w:rFonts w:hint="eastAsia" w:ascii="Times New Roman" w:hAnsi="Times New Roman" w:eastAsia="方正楷体_GBK" w:cs="Times New Roman"/>
          <w:b/>
          <w:bCs w:val="0"/>
          <w:color w:val="auto"/>
          <w:spacing w:val="0"/>
          <w:kern w:val="36"/>
          <w:sz w:val="30"/>
          <w:szCs w:val="30"/>
          <w:lang w:val="en-US" w:eastAsia="zh-CN"/>
        </w:rPr>
        <w:t xml:space="preserve">埃及汇率暴跌陷入债务危机，欧盟承诺相助 </w:t>
      </w:r>
      <w:r>
        <w:rPr>
          <w:rFonts w:hint="default" w:ascii="Times New Roman" w:hAnsi="Times New Roman" w:eastAsia="方正楷体_GBK" w:cs="Times New Roman"/>
          <w:b/>
          <w:bCs w:val="0"/>
          <w:color w:val="auto"/>
          <w:spacing w:val="0"/>
          <w:kern w:val="36"/>
          <w:sz w:val="30"/>
          <w:szCs w:val="30"/>
          <w:lang w:val="en-US" w:eastAsia="zh-CN"/>
        </w:rPr>
        <w:t>/ 0</w:t>
      </w:r>
      <w:r>
        <w:rPr>
          <w:rFonts w:hint="eastAsia" w:ascii="Times New Roman" w:hAnsi="Times New Roman" w:eastAsia="方正楷体_GBK" w:cs="Times New Roman"/>
          <w:b/>
          <w:bCs w:val="0"/>
          <w:color w:val="auto"/>
          <w:spacing w:val="0"/>
          <w:kern w:val="36"/>
          <w:sz w:val="30"/>
          <w:szCs w:val="30"/>
          <w:lang w:val="en-US" w:eastAsia="zh-CN"/>
        </w:rPr>
        <w:t>4</w:t>
      </w:r>
    </w:p>
    <w:p>
      <w:pPr>
        <w:keepNext w:val="0"/>
        <w:keepLines w:val="0"/>
        <w:pageBreakBefore w:val="0"/>
        <w:widowControl/>
        <w:numPr>
          <w:ilvl w:val="0"/>
          <w:numId w:val="0"/>
        </w:numPr>
        <w:shd w:val="clear" w:color="auto" w:fill="FFFFFF"/>
        <w:tabs>
          <w:tab w:val="left" w:pos="7915"/>
        </w:tabs>
        <w:kinsoku/>
        <w:wordWrap/>
        <w:overflowPunct/>
        <w:topLinePunct w:val="0"/>
        <w:autoSpaceDE/>
        <w:autoSpaceDN/>
        <w:bidi w:val="0"/>
        <w:adjustRightInd/>
        <w:snapToGrid/>
        <w:spacing w:line="240" w:lineRule="auto"/>
        <w:ind w:firstLine="568" w:firstLineChars="200"/>
        <w:contextualSpacing/>
        <w:textAlignment w:val="auto"/>
        <w:outlineLvl w:val="1"/>
        <w:rPr>
          <w:rFonts w:hint="default" w:ascii="Times New Roman" w:hAnsi="Times New Roman" w:eastAsia="方正楷体_GBK" w:cs="Times New Roman"/>
          <w:b/>
          <w:bCs w:val="0"/>
          <w:color w:val="auto"/>
          <w:spacing w:val="0"/>
          <w:kern w:val="36"/>
          <w:sz w:val="30"/>
          <w:szCs w:val="30"/>
          <w:lang w:val="en-US" w:eastAsia="zh-CN"/>
        </w:rPr>
      </w:pPr>
      <w:r>
        <w:rPr>
          <w:rFonts w:hint="eastAsia" w:ascii="Times New Roman" w:hAnsi="Times New Roman" w:eastAsia="方正楷体_GBK" w:cs="Times New Roman"/>
          <w:b/>
          <w:bCs w:val="0"/>
          <w:color w:val="auto"/>
          <w:spacing w:val="0"/>
          <w:kern w:val="36"/>
          <w:sz w:val="30"/>
          <w:szCs w:val="30"/>
          <w:lang w:val="en-US" w:eastAsia="zh-CN"/>
        </w:rPr>
        <w:t>3</w:t>
      </w:r>
      <w:r>
        <w:rPr>
          <w:rFonts w:hint="default" w:ascii="Times New Roman" w:hAnsi="Times New Roman" w:eastAsia="方正楷体_GBK" w:cs="Times New Roman"/>
          <w:b/>
          <w:bCs w:val="0"/>
          <w:color w:val="auto"/>
          <w:spacing w:val="0"/>
          <w:kern w:val="36"/>
          <w:sz w:val="30"/>
          <w:szCs w:val="30"/>
          <w:lang w:val="en-US" w:eastAsia="zh-CN"/>
        </w:rPr>
        <w:t>月</w:t>
      </w:r>
      <w:r>
        <w:rPr>
          <w:rFonts w:hint="eastAsia" w:ascii="Times New Roman" w:hAnsi="Times New Roman" w:eastAsia="方正楷体_GBK" w:cs="Times New Roman"/>
          <w:b/>
          <w:bCs w:val="0"/>
          <w:color w:val="auto"/>
          <w:spacing w:val="0"/>
          <w:kern w:val="36"/>
          <w:sz w:val="30"/>
          <w:szCs w:val="30"/>
          <w:lang w:val="en-US" w:eastAsia="zh-CN"/>
        </w:rPr>
        <w:t>19</w:t>
      </w:r>
      <w:r>
        <w:rPr>
          <w:rFonts w:hint="default" w:ascii="Times New Roman" w:hAnsi="Times New Roman" w:eastAsia="方正楷体_GBK" w:cs="Times New Roman"/>
          <w:b/>
          <w:bCs w:val="0"/>
          <w:color w:val="auto"/>
          <w:spacing w:val="0"/>
          <w:kern w:val="36"/>
          <w:sz w:val="30"/>
          <w:szCs w:val="30"/>
          <w:lang w:val="en-US" w:eastAsia="zh-CN"/>
        </w:rPr>
        <w:t>日（周</w:t>
      </w:r>
      <w:r>
        <w:rPr>
          <w:rFonts w:hint="eastAsia" w:ascii="Times New Roman" w:hAnsi="Times New Roman" w:eastAsia="方正楷体_GBK" w:cs="Times New Roman"/>
          <w:b/>
          <w:bCs w:val="0"/>
          <w:color w:val="auto"/>
          <w:spacing w:val="0"/>
          <w:kern w:val="36"/>
          <w:sz w:val="30"/>
          <w:szCs w:val="30"/>
          <w:lang w:val="en-US" w:eastAsia="zh-CN"/>
        </w:rPr>
        <w:t>二</w:t>
      </w:r>
      <w:r>
        <w:rPr>
          <w:rFonts w:hint="default" w:ascii="Times New Roman" w:hAnsi="Times New Roman" w:eastAsia="方正楷体_GBK" w:cs="Times New Roman"/>
          <w:b/>
          <w:bCs w:val="0"/>
          <w:color w:val="auto"/>
          <w:spacing w:val="0"/>
          <w:kern w:val="36"/>
          <w:sz w:val="30"/>
          <w:szCs w:val="30"/>
          <w:lang w:val="en-US" w:eastAsia="zh-CN"/>
        </w:rPr>
        <w:t>）</w:t>
      </w:r>
      <w:r>
        <w:rPr>
          <w:rFonts w:hint="eastAsia" w:ascii="Times New Roman" w:hAnsi="Times New Roman" w:eastAsia="方正楷体_GBK" w:cs="Times New Roman"/>
          <w:b/>
          <w:bCs w:val="0"/>
          <w:color w:val="auto"/>
          <w:spacing w:val="0"/>
          <w:kern w:val="36"/>
          <w:sz w:val="30"/>
          <w:szCs w:val="30"/>
          <w:lang w:val="en-US" w:eastAsia="zh-CN"/>
        </w:rPr>
        <w:t xml:space="preserve">日本结束负利率政策，密切关注日元走势 </w:t>
      </w:r>
      <w:r>
        <w:rPr>
          <w:rFonts w:hint="default" w:ascii="Times New Roman" w:hAnsi="Times New Roman" w:eastAsia="方正楷体_GBK" w:cs="Times New Roman"/>
          <w:b/>
          <w:bCs w:val="0"/>
          <w:color w:val="auto"/>
          <w:spacing w:val="0"/>
          <w:kern w:val="36"/>
          <w:sz w:val="30"/>
          <w:szCs w:val="30"/>
          <w:lang w:val="en-US" w:eastAsia="zh-CN"/>
        </w:rPr>
        <w:t>/</w:t>
      </w:r>
      <w:r>
        <w:rPr>
          <w:rFonts w:hint="eastAsia" w:ascii="Times New Roman" w:hAnsi="Times New Roman" w:eastAsia="方正楷体_GBK" w:cs="Times New Roman"/>
          <w:b/>
          <w:bCs w:val="0"/>
          <w:color w:val="auto"/>
          <w:spacing w:val="0"/>
          <w:kern w:val="36"/>
          <w:sz w:val="30"/>
          <w:szCs w:val="30"/>
          <w:lang w:val="en-US" w:eastAsia="zh-CN"/>
        </w:rPr>
        <w:t xml:space="preserve"> </w:t>
      </w:r>
      <w:r>
        <w:rPr>
          <w:rFonts w:hint="default" w:ascii="Times New Roman" w:hAnsi="Times New Roman" w:eastAsia="方正楷体_GBK" w:cs="Times New Roman"/>
          <w:b/>
          <w:bCs w:val="0"/>
          <w:color w:val="auto"/>
          <w:spacing w:val="0"/>
          <w:kern w:val="36"/>
          <w:sz w:val="30"/>
          <w:szCs w:val="30"/>
          <w:lang w:val="en-US" w:eastAsia="zh-CN"/>
        </w:rPr>
        <w:t>0</w:t>
      </w:r>
      <w:r>
        <w:rPr>
          <w:rFonts w:hint="eastAsia" w:ascii="Times New Roman" w:hAnsi="Times New Roman" w:eastAsia="方正楷体_GBK" w:cs="Times New Roman"/>
          <w:b/>
          <w:bCs w:val="0"/>
          <w:color w:val="auto"/>
          <w:spacing w:val="0"/>
          <w:kern w:val="36"/>
          <w:sz w:val="30"/>
          <w:szCs w:val="30"/>
          <w:lang w:val="en-US" w:eastAsia="zh-CN"/>
        </w:rPr>
        <w:t>5</w:t>
      </w:r>
    </w:p>
    <w:p>
      <w:pPr>
        <w:keepNext w:val="0"/>
        <w:keepLines w:val="0"/>
        <w:pageBreakBefore w:val="0"/>
        <w:widowControl/>
        <w:numPr>
          <w:ilvl w:val="0"/>
          <w:numId w:val="0"/>
        </w:numPr>
        <w:shd w:val="clear" w:color="auto" w:fill="FFFFFF"/>
        <w:tabs>
          <w:tab w:val="left" w:pos="7915"/>
        </w:tabs>
        <w:kinsoku/>
        <w:wordWrap/>
        <w:overflowPunct/>
        <w:topLinePunct w:val="0"/>
        <w:autoSpaceDE/>
        <w:autoSpaceDN/>
        <w:bidi w:val="0"/>
        <w:adjustRightInd/>
        <w:snapToGrid/>
        <w:spacing w:line="240" w:lineRule="auto"/>
        <w:ind w:left="550" w:leftChars="284" w:firstLine="0" w:firstLineChars="0"/>
        <w:contextualSpacing/>
        <w:textAlignment w:val="auto"/>
        <w:outlineLvl w:val="1"/>
        <w:rPr>
          <w:rFonts w:hint="default" w:ascii="Times New Roman" w:hAnsi="Times New Roman" w:eastAsia="方正楷体_GBK" w:cs="Times New Roman"/>
          <w:b/>
          <w:bCs w:val="0"/>
          <w:color w:val="auto"/>
          <w:spacing w:val="0"/>
          <w:kern w:val="36"/>
          <w:sz w:val="30"/>
          <w:szCs w:val="30"/>
          <w:lang w:val="en-US" w:eastAsia="zh-CN"/>
        </w:rPr>
      </w:pPr>
      <w:r>
        <w:rPr>
          <w:rFonts w:hint="eastAsia" w:ascii="Times New Roman" w:hAnsi="Times New Roman" w:eastAsia="方正楷体_GBK" w:cs="Times New Roman"/>
          <w:b/>
          <w:bCs w:val="0"/>
          <w:color w:val="auto"/>
          <w:spacing w:val="0"/>
          <w:kern w:val="36"/>
          <w:sz w:val="30"/>
          <w:szCs w:val="30"/>
          <w:lang w:val="en-US" w:eastAsia="zh-CN"/>
        </w:rPr>
        <w:t>3</w:t>
      </w:r>
      <w:r>
        <w:rPr>
          <w:rFonts w:hint="default" w:ascii="Times New Roman" w:hAnsi="Times New Roman" w:eastAsia="方正楷体_GBK" w:cs="Times New Roman"/>
          <w:b/>
          <w:bCs w:val="0"/>
          <w:color w:val="auto"/>
          <w:spacing w:val="0"/>
          <w:kern w:val="36"/>
          <w:sz w:val="30"/>
          <w:szCs w:val="30"/>
          <w:lang w:val="en-US" w:eastAsia="zh-CN"/>
        </w:rPr>
        <w:t>月</w:t>
      </w:r>
      <w:r>
        <w:rPr>
          <w:rFonts w:hint="eastAsia" w:ascii="Times New Roman" w:hAnsi="Times New Roman" w:eastAsia="方正楷体_GBK" w:cs="Times New Roman"/>
          <w:b/>
          <w:bCs w:val="0"/>
          <w:color w:val="auto"/>
          <w:spacing w:val="0"/>
          <w:kern w:val="36"/>
          <w:sz w:val="30"/>
          <w:szCs w:val="30"/>
          <w:lang w:val="en-US" w:eastAsia="zh-CN"/>
        </w:rPr>
        <w:t xml:space="preserve">20日（周三）美国1月资本流入减少，英国2月通胀持续，德国生产依旧疲弱 </w:t>
      </w:r>
      <w:r>
        <w:rPr>
          <w:rFonts w:hint="default" w:ascii="Times New Roman" w:hAnsi="Times New Roman" w:eastAsia="方正楷体_GBK" w:cs="Times New Roman"/>
          <w:b/>
          <w:bCs w:val="0"/>
          <w:color w:val="auto"/>
          <w:spacing w:val="0"/>
          <w:kern w:val="36"/>
          <w:sz w:val="30"/>
          <w:szCs w:val="30"/>
          <w:lang w:val="en-US" w:eastAsia="zh-CN"/>
        </w:rPr>
        <w:t>/</w:t>
      </w:r>
      <w:r>
        <w:rPr>
          <w:rFonts w:hint="eastAsia" w:ascii="Times New Roman" w:hAnsi="Times New Roman" w:eastAsia="方正楷体_GBK" w:cs="Times New Roman"/>
          <w:b/>
          <w:bCs w:val="0"/>
          <w:color w:val="auto"/>
          <w:spacing w:val="0"/>
          <w:kern w:val="36"/>
          <w:sz w:val="30"/>
          <w:szCs w:val="30"/>
          <w:lang w:val="en-US" w:eastAsia="zh-CN"/>
        </w:rPr>
        <w:t xml:space="preserve"> </w:t>
      </w:r>
      <w:r>
        <w:rPr>
          <w:rFonts w:hint="default" w:ascii="Times New Roman" w:hAnsi="Times New Roman" w:eastAsia="方正楷体_GBK" w:cs="Times New Roman"/>
          <w:b/>
          <w:bCs w:val="0"/>
          <w:color w:val="auto"/>
          <w:spacing w:val="0"/>
          <w:kern w:val="36"/>
          <w:sz w:val="30"/>
          <w:szCs w:val="30"/>
          <w:lang w:val="en-US" w:eastAsia="zh-CN"/>
        </w:rPr>
        <w:t>0</w:t>
      </w:r>
      <w:r>
        <w:rPr>
          <w:rFonts w:hint="eastAsia" w:ascii="Times New Roman" w:hAnsi="Times New Roman" w:eastAsia="方正楷体_GBK" w:cs="Times New Roman"/>
          <w:b/>
          <w:bCs w:val="0"/>
          <w:color w:val="auto"/>
          <w:spacing w:val="0"/>
          <w:kern w:val="36"/>
          <w:sz w:val="30"/>
          <w:szCs w:val="30"/>
          <w:lang w:val="en-US" w:eastAsia="zh-CN"/>
        </w:rPr>
        <w:t>6</w:t>
      </w:r>
    </w:p>
    <w:p>
      <w:pPr>
        <w:keepNext w:val="0"/>
        <w:keepLines w:val="0"/>
        <w:pageBreakBefore w:val="0"/>
        <w:widowControl w:val="0"/>
        <w:kinsoku/>
        <w:wordWrap/>
        <w:overflowPunct/>
        <w:topLinePunct w:val="0"/>
        <w:autoSpaceDE/>
        <w:autoSpaceDN/>
        <w:bidi w:val="0"/>
        <w:adjustRightInd/>
        <w:snapToGrid/>
        <w:ind w:left="550" w:leftChars="284" w:firstLine="0" w:firstLineChars="0"/>
        <w:jc w:val="left"/>
        <w:textAlignment w:val="auto"/>
        <w:rPr>
          <w:rFonts w:hint="default" w:ascii="Times New Roman" w:hAnsi="Times New Roman" w:eastAsia="方正楷体_GBK" w:cs="Times New Roman"/>
          <w:b/>
          <w:bCs w:val="0"/>
          <w:color w:val="auto"/>
          <w:spacing w:val="0"/>
          <w:kern w:val="36"/>
          <w:sz w:val="30"/>
          <w:szCs w:val="30"/>
          <w:lang w:val="en-US" w:eastAsia="zh-CN"/>
        </w:rPr>
      </w:pPr>
      <w:r>
        <w:rPr>
          <w:rFonts w:hint="eastAsia" w:ascii="Times New Roman" w:hAnsi="Times New Roman" w:eastAsia="方正楷体_GBK" w:cs="Times New Roman"/>
          <w:b/>
          <w:bCs w:val="0"/>
          <w:color w:val="auto"/>
          <w:spacing w:val="0"/>
          <w:kern w:val="36"/>
          <w:sz w:val="30"/>
          <w:szCs w:val="30"/>
          <w:lang w:val="en-US" w:eastAsia="zh-CN"/>
        </w:rPr>
        <w:t>3</w:t>
      </w:r>
      <w:r>
        <w:rPr>
          <w:rFonts w:hint="default" w:ascii="Times New Roman" w:hAnsi="Times New Roman" w:eastAsia="方正楷体_GBK" w:cs="Times New Roman"/>
          <w:b/>
          <w:bCs w:val="0"/>
          <w:color w:val="auto"/>
          <w:spacing w:val="0"/>
          <w:kern w:val="36"/>
          <w:sz w:val="30"/>
          <w:szCs w:val="30"/>
          <w:lang w:val="en-US" w:eastAsia="zh-CN"/>
        </w:rPr>
        <w:t>月</w:t>
      </w:r>
      <w:r>
        <w:rPr>
          <w:rFonts w:hint="eastAsia" w:ascii="Times New Roman" w:hAnsi="Times New Roman" w:eastAsia="方正楷体_GBK" w:cs="Times New Roman"/>
          <w:b/>
          <w:bCs w:val="0"/>
          <w:color w:val="auto"/>
          <w:spacing w:val="0"/>
          <w:kern w:val="36"/>
          <w:sz w:val="30"/>
          <w:szCs w:val="30"/>
          <w:lang w:val="en-US" w:eastAsia="zh-CN"/>
        </w:rPr>
        <w:t xml:space="preserve">21日（周四） FOMC维持利率水平不变，美国股市创下新    高 </w:t>
      </w:r>
      <w:r>
        <w:rPr>
          <w:rFonts w:hint="default" w:ascii="Times New Roman" w:hAnsi="Times New Roman" w:eastAsia="方正楷体_GBK" w:cs="Times New Roman"/>
          <w:b/>
          <w:bCs w:val="0"/>
          <w:color w:val="auto"/>
          <w:spacing w:val="0"/>
          <w:kern w:val="36"/>
          <w:sz w:val="30"/>
          <w:szCs w:val="30"/>
          <w:lang w:val="en-US" w:eastAsia="zh-CN"/>
        </w:rPr>
        <w:t>/</w:t>
      </w:r>
      <w:r>
        <w:rPr>
          <w:rFonts w:hint="eastAsia" w:ascii="Times New Roman" w:hAnsi="Times New Roman" w:eastAsia="方正楷体_GBK" w:cs="Times New Roman"/>
          <w:b/>
          <w:bCs w:val="0"/>
          <w:color w:val="auto"/>
          <w:spacing w:val="0"/>
          <w:kern w:val="36"/>
          <w:sz w:val="30"/>
          <w:szCs w:val="30"/>
          <w:lang w:val="en-US" w:eastAsia="zh-CN"/>
        </w:rPr>
        <w:t xml:space="preserve"> </w:t>
      </w:r>
      <w:r>
        <w:rPr>
          <w:rFonts w:hint="default" w:ascii="Times New Roman" w:hAnsi="Times New Roman" w:eastAsia="方正楷体_GBK" w:cs="Times New Roman"/>
          <w:b/>
          <w:bCs w:val="0"/>
          <w:color w:val="auto"/>
          <w:spacing w:val="0"/>
          <w:kern w:val="36"/>
          <w:sz w:val="30"/>
          <w:szCs w:val="30"/>
          <w:lang w:val="en-US" w:eastAsia="zh-CN"/>
        </w:rPr>
        <w:t>0</w:t>
      </w:r>
      <w:r>
        <w:rPr>
          <w:rFonts w:hint="eastAsia" w:ascii="Times New Roman" w:hAnsi="Times New Roman" w:eastAsia="方正楷体_GBK" w:cs="Times New Roman"/>
          <w:b/>
          <w:bCs w:val="0"/>
          <w:color w:val="auto"/>
          <w:spacing w:val="0"/>
          <w:kern w:val="36"/>
          <w:sz w:val="30"/>
          <w:szCs w:val="30"/>
          <w:lang w:val="en-US" w:eastAsia="zh-CN"/>
        </w:rPr>
        <w:t>7</w:t>
      </w:r>
    </w:p>
    <w:p>
      <w:pPr>
        <w:keepNext w:val="0"/>
        <w:keepLines w:val="0"/>
        <w:pageBreakBefore w:val="0"/>
        <w:widowControl w:val="0"/>
        <w:kinsoku/>
        <w:wordWrap/>
        <w:overflowPunct/>
        <w:topLinePunct w:val="0"/>
        <w:autoSpaceDE/>
        <w:autoSpaceDN/>
        <w:bidi w:val="0"/>
        <w:adjustRightInd/>
        <w:snapToGrid/>
        <w:ind w:left="550" w:leftChars="284" w:firstLine="0" w:firstLineChars="0"/>
        <w:jc w:val="left"/>
        <w:textAlignment w:val="auto"/>
        <w:rPr>
          <w:rFonts w:hint="eastAsia" w:ascii="Times New Roman" w:hAnsi="Times New Roman" w:eastAsia="方正楷体_GBK" w:cs="Times New Roman"/>
          <w:b/>
          <w:color w:val="auto"/>
          <w:spacing w:val="0"/>
          <w:kern w:val="36"/>
          <w:sz w:val="30"/>
          <w:szCs w:val="30"/>
          <w:lang w:val="en-US" w:eastAsia="zh-CN"/>
        </w:rPr>
      </w:pPr>
      <w:r>
        <w:rPr>
          <w:rFonts w:hint="eastAsia" w:ascii="Times New Roman" w:hAnsi="Times New Roman" w:eastAsia="方正楷体_GBK" w:cs="Times New Roman"/>
          <w:b/>
          <w:color w:val="auto"/>
          <w:spacing w:val="0"/>
          <w:kern w:val="36"/>
          <w:sz w:val="30"/>
          <w:szCs w:val="30"/>
          <w:lang w:val="en-US" w:eastAsia="zh-CN"/>
        </w:rPr>
        <w:t>3</w:t>
      </w:r>
      <w:r>
        <w:rPr>
          <w:rFonts w:hint="default" w:ascii="Times New Roman" w:hAnsi="Times New Roman" w:eastAsia="方正楷体_GBK" w:cs="Times New Roman"/>
          <w:b/>
          <w:color w:val="auto"/>
          <w:spacing w:val="0"/>
          <w:kern w:val="36"/>
          <w:sz w:val="30"/>
          <w:szCs w:val="30"/>
          <w:lang w:val="en-US" w:eastAsia="zh-CN"/>
        </w:rPr>
        <w:t>月</w:t>
      </w:r>
      <w:r>
        <w:rPr>
          <w:rFonts w:hint="eastAsia" w:ascii="Times New Roman" w:hAnsi="Times New Roman" w:eastAsia="方正楷体_GBK" w:cs="Times New Roman"/>
          <w:b/>
          <w:color w:val="auto"/>
          <w:spacing w:val="0"/>
          <w:kern w:val="36"/>
          <w:sz w:val="30"/>
          <w:szCs w:val="30"/>
          <w:lang w:val="en-US" w:eastAsia="zh-CN"/>
        </w:rPr>
        <w:t>22日（周五）</w:t>
      </w:r>
      <w:r>
        <w:rPr>
          <w:rFonts w:hint="eastAsia" w:ascii="Times New Roman" w:hAnsi="Times New Roman" w:eastAsia="方正楷体_GBK" w:cs="Times New Roman"/>
          <w:b/>
          <w:bCs w:val="0"/>
          <w:color w:val="auto"/>
          <w:spacing w:val="0"/>
          <w:kern w:val="36"/>
          <w:sz w:val="30"/>
          <w:szCs w:val="30"/>
          <w:lang w:val="en-US" w:eastAsia="zh-CN"/>
        </w:rPr>
        <w:t>瑞士央行率先降息，英国央行维持不变，土耳其央行大举升息</w:t>
      </w:r>
      <w:r>
        <w:rPr>
          <w:rFonts w:hint="eastAsia" w:ascii="Times New Roman" w:hAnsi="Times New Roman" w:eastAsia="方正楷体_GBK" w:cs="Times New Roman"/>
          <w:b/>
          <w:color w:val="auto"/>
          <w:spacing w:val="0"/>
          <w:kern w:val="36"/>
          <w:sz w:val="30"/>
          <w:szCs w:val="30"/>
          <w:lang w:val="en-US" w:eastAsia="zh-CN"/>
        </w:rPr>
        <w:t xml:space="preserve"> </w:t>
      </w:r>
      <w:r>
        <w:rPr>
          <w:rFonts w:hint="default" w:ascii="Times New Roman" w:hAnsi="Times New Roman" w:eastAsia="方正楷体_GBK" w:cs="Times New Roman"/>
          <w:b/>
          <w:color w:val="auto"/>
          <w:spacing w:val="0"/>
          <w:kern w:val="36"/>
          <w:sz w:val="30"/>
          <w:szCs w:val="30"/>
          <w:lang w:val="en-US" w:eastAsia="zh-CN"/>
        </w:rPr>
        <w:t>/</w:t>
      </w:r>
      <w:r>
        <w:rPr>
          <w:rFonts w:hint="eastAsia" w:ascii="Times New Roman" w:hAnsi="Times New Roman" w:eastAsia="方正楷体_GBK" w:cs="Times New Roman"/>
          <w:b/>
          <w:color w:val="auto"/>
          <w:spacing w:val="0"/>
          <w:kern w:val="36"/>
          <w:sz w:val="30"/>
          <w:szCs w:val="30"/>
          <w:lang w:val="en-US" w:eastAsia="zh-CN"/>
        </w:rPr>
        <w:t xml:space="preserve">08 </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after="210" w:line="240" w:lineRule="auto"/>
        <w:ind w:firstLine="528" w:firstLineChars="200"/>
        <w:contextualSpacing/>
        <w:jc w:val="left"/>
        <w:textAlignment w:val="auto"/>
        <w:outlineLvl w:val="1"/>
        <w:rPr>
          <w:rFonts w:hint="default" w:ascii="Times New Roman" w:hAnsi="Times New Roman" w:eastAsia="方正黑体_GBK" w:cs="Times New Roman"/>
          <w:b/>
          <w:color w:val="FFC000"/>
          <w:kern w:val="36"/>
          <w:sz w:val="28"/>
          <w:szCs w:val="28"/>
          <w:lang w:val="en-US" w:eastAsia="zh-CN"/>
        </w:rPr>
      </w:pPr>
      <w:r>
        <w:rPr>
          <w:rFonts w:hint="default" w:ascii="Times New Roman" w:hAnsi="Times New Roman" w:eastAsia="方正黑体_GBK" w:cs="Times New Roman"/>
          <w:b/>
          <w:color w:val="1F497D"/>
          <w:kern w:val="36"/>
          <w:sz w:val="28"/>
          <w:szCs w:val="28"/>
          <w:lang w:val="en-US" w:eastAsia="zh-CN"/>
          <w14:textFill>
            <w14:solidFill>
              <w14:srgbClr w14:val="1F497D">
                <w14:lumMod w14:val="60000"/>
                <w14:lumOff w14:val="40000"/>
              </w14:srgbClr>
            </w14:solidFill>
          </w14:textFill>
        </w:rPr>
        <w:t xml:space="preserve">• </w:t>
      </w:r>
      <w:r>
        <w:rPr>
          <w:rFonts w:hint="default" w:ascii="Times New Roman" w:hAnsi="Times New Roman" w:eastAsia="方正黑体_GBK" w:cs="Times New Roman"/>
          <w:b/>
          <w:color w:val="1F497D"/>
          <w:kern w:val="36"/>
          <w:sz w:val="32"/>
          <w:szCs w:val="32"/>
          <w:lang w:val="en-US" w:eastAsia="zh-CN"/>
          <w14:textFill>
            <w14:solidFill>
              <w14:srgbClr w14:val="1F497D">
                <w14:lumMod w14:val="60000"/>
                <w14:lumOff w14:val="40000"/>
              </w14:srgbClr>
            </w14:solidFill>
          </w14:textFill>
        </w:rPr>
        <w:t>江苏贸促动态</w:t>
      </w:r>
      <w:r>
        <w:rPr>
          <w:rFonts w:hint="default" w:ascii="Times New Roman" w:hAnsi="Times New Roman" w:eastAsia="方正黑体_GBK" w:cs="Times New Roman"/>
          <w:b/>
          <w:color w:val="1F497D"/>
          <w:kern w:val="36"/>
          <w:sz w:val="28"/>
          <w:szCs w:val="28"/>
          <w:lang w:val="en-US" w:eastAsia="zh-CN"/>
          <w14:textFill>
            <w14:solidFill>
              <w14:srgbClr w14:val="1F497D">
                <w14:lumMod w14:val="60000"/>
                <w14:lumOff w14:val="40000"/>
              </w14:srgbClr>
            </w14:solidFill>
          </w14:textFill>
        </w:rPr>
        <w:t xml:space="preserve"> •</w:t>
      </w:r>
      <w:r>
        <w:rPr>
          <w:rFonts w:hint="default" w:ascii="Times New Roman" w:hAnsi="Times New Roman" w:eastAsia="方正黑体_GBK" w:cs="Times New Roman"/>
          <w:b/>
          <w:color w:val="00B0F0"/>
          <w:kern w:val="36"/>
          <w:sz w:val="28"/>
          <w:szCs w:val="28"/>
          <w:lang w:val="en-US" w:eastAsia="zh-CN"/>
        </w:rPr>
        <w:t xml:space="preserve"> </w:t>
      </w:r>
      <w:r>
        <w:rPr>
          <w:rFonts w:hint="default" w:ascii="Times New Roman" w:hAnsi="Times New Roman" w:eastAsia="宋体" w:cs="Times New Roman"/>
          <w:b/>
          <w:color w:val="FF0000"/>
          <w:kern w:val="36"/>
          <w:sz w:val="24"/>
          <w:szCs w:val="24"/>
          <w:lang w:val="en-US" w:eastAsia="zh-CN"/>
        </w:rPr>
        <w:t>‧‧‧‧‧‧‧‧‧‧‧‧‧‧‧‧‧‧‧‧‧‧‧‧‧‧‧‧‧‧‧‧‧‧‧‧‧‧‧‧‧‧‧‧‧‧‧‧‧‧‧‧‧‧‧‧‧‧‧‧‧‧‧‧‧‧‧‧‧‧‧‧‧‧‧‧‧‧‧‧‧‧‧‧‧‧‧‧‧‧‧‧‧‧‧‧‧‧‧‧‧‧‧</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line="240" w:lineRule="auto"/>
        <w:ind w:firstLine="568" w:firstLineChars="200"/>
        <w:contextualSpacing/>
        <w:textAlignment w:val="auto"/>
        <w:outlineLvl w:val="1"/>
        <w:rPr>
          <w:rFonts w:hint="default" w:ascii="Times New Roman" w:hAnsi="Times New Roman" w:eastAsia="方正楷体_GBK" w:cs="Times New Roman"/>
          <w:b/>
          <w:bCs w:val="0"/>
          <w:color w:val="auto"/>
          <w:spacing w:val="0"/>
          <w:kern w:val="36"/>
          <w:sz w:val="30"/>
          <w:szCs w:val="30"/>
          <w:lang w:val="en-US" w:eastAsia="zh-CN"/>
        </w:rPr>
      </w:pPr>
      <w:r>
        <w:rPr>
          <w:rFonts w:hint="eastAsia" w:ascii="Times New Roman" w:hAnsi="Times New Roman" w:eastAsia="方正楷体_GBK" w:cs="Times New Roman"/>
          <w:b/>
          <w:bCs w:val="0"/>
          <w:color w:val="auto"/>
          <w:spacing w:val="0"/>
          <w:kern w:val="36"/>
          <w:sz w:val="30"/>
          <w:szCs w:val="30"/>
          <w:lang w:val="en-US" w:eastAsia="zh-CN"/>
        </w:rPr>
        <w:t xml:space="preserve">省贸促会领导赴扬州、泰州调研 </w:t>
      </w:r>
      <w:r>
        <w:rPr>
          <w:rFonts w:hint="default" w:ascii="Times New Roman" w:hAnsi="Times New Roman" w:eastAsia="方正楷体_GBK" w:cs="Times New Roman"/>
          <w:b/>
          <w:color w:val="auto"/>
          <w:spacing w:val="0"/>
          <w:kern w:val="36"/>
          <w:sz w:val="30"/>
          <w:szCs w:val="30"/>
          <w:lang w:val="en-US" w:eastAsia="zh-CN"/>
        </w:rPr>
        <w:t>/</w:t>
      </w:r>
      <w:r>
        <w:rPr>
          <w:rFonts w:hint="eastAsia" w:ascii="Times New Roman" w:hAnsi="Times New Roman" w:eastAsia="方正楷体_GBK" w:cs="Times New Roman"/>
          <w:b/>
          <w:color w:val="auto"/>
          <w:spacing w:val="0"/>
          <w:kern w:val="36"/>
          <w:sz w:val="30"/>
          <w:szCs w:val="30"/>
          <w:lang w:val="en-US" w:eastAsia="zh-CN"/>
        </w:rPr>
        <w:t xml:space="preserve"> 11</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line="240" w:lineRule="auto"/>
        <w:ind w:firstLine="568" w:firstLineChars="200"/>
        <w:contextualSpacing/>
        <w:textAlignment w:val="auto"/>
        <w:outlineLvl w:val="1"/>
        <w:rPr>
          <w:rFonts w:hint="default" w:ascii="Times New Roman" w:hAnsi="Times New Roman" w:eastAsia="方正楷体_GBK" w:cs="Times New Roman"/>
          <w:b/>
          <w:color w:val="auto"/>
          <w:spacing w:val="0"/>
          <w:kern w:val="36"/>
          <w:sz w:val="30"/>
          <w:szCs w:val="30"/>
          <w:lang w:val="en-US" w:eastAsia="zh-CN"/>
        </w:rPr>
      </w:pPr>
      <w:r>
        <w:rPr>
          <w:rFonts w:hint="eastAsia" w:ascii="Times New Roman" w:hAnsi="Times New Roman" w:eastAsia="方正楷体_GBK" w:cs="Times New Roman"/>
          <w:b/>
          <w:bCs w:val="0"/>
          <w:color w:val="auto"/>
          <w:spacing w:val="0"/>
          <w:kern w:val="36"/>
          <w:sz w:val="30"/>
          <w:szCs w:val="30"/>
          <w:lang w:val="en-US" w:eastAsia="zh-CN"/>
        </w:rPr>
        <w:t xml:space="preserve">省贸促会领导会见香港贸发局华东华中首席代表吕剑一行 </w:t>
      </w:r>
      <w:r>
        <w:rPr>
          <w:rFonts w:hint="default" w:ascii="Times New Roman" w:hAnsi="Times New Roman" w:eastAsia="方正楷体_GBK" w:cs="Times New Roman"/>
          <w:b/>
          <w:color w:val="auto"/>
          <w:spacing w:val="0"/>
          <w:kern w:val="36"/>
          <w:sz w:val="30"/>
          <w:szCs w:val="30"/>
          <w:lang w:val="en-US" w:eastAsia="zh-CN"/>
        </w:rPr>
        <w:t>/</w:t>
      </w:r>
      <w:r>
        <w:rPr>
          <w:rFonts w:hint="eastAsia" w:ascii="Times New Roman" w:hAnsi="Times New Roman" w:eastAsia="方正楷体_GBK" w:cs="Times New Roman"/>
          <w:b/>
          <w:color w:val="auto"/>
          <w:spacing w:val="0"/>
          <w:kern w:val="36"/>
          <w:sz w:val="30"/>
          <w:szCs w:val="30"/>
          <w:lang w:val="en-US" w:eastAsia="zh-CN"/>
        </w:rPr>
        <w:t xml:space="preserve"> 12</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line="240" w:lineRule="auto"/>
        <w:ind w:firstLine="568" w:firstLineChars="200"/>
        <w:contextualSpacing/>
        <w:textAlignment w:val="auto"/>
        <w:outlineLvl w:val="1"/>
        <w:rPr>
          <w:rFonts w:hint="default" w:ascii="Times New Roman" w:hAnsi="Times New Roman" w:eastAsia="方正楷体_GBK" w:cs="Times New Roman"/>
          <w:b/>
          <w:color w:val="auto"/>
          <w:spacing w:val="0"/>
          <w:kern w:val="36"/>
          <w:sz w:val="30"/>
          <w:szCs w:val="30"/>
          <w:lang w:val="en-US" w:eastAsia="zh-CN"/>
        </w:rPr>
      </w:pPr>
      <w:r>
        <w:rPr>
          <w:rFonts w:hint="eastAsia" w:ascii="Times New Roman" w:hAnsi="Times New Roman" w:eastAsia="方正楷体_GBK" w:cs="Times New Roman"/>
          <w:b/>
          <w:bCs w:val="0"/>
          <w:color w:val="auto"/>
          <w:spacing w:val="0"/>
          <w:kern w:val="36"/>
          <w:sz w:val="30"/>
          <w:szCs w:val="30"/>
          <w:lang w:val="en-US" w:eastAsia="zh-CN"/>
        </w:rPr>
        <w:t xml:space="preserve">深入企业 面对面培训指导 </w:t>
      </w:r>
      <w:r>
        <w:rPr>
          <w:rFonts w:hint="default" w:ascii="Times New Roman" w:hAnsi="Times New Roman" w:eastAsia="方正楷体_GBK" w:cs="Times New Roman"/>
          <w:b/>
          <w:color w:val="auto"/>
          <w:spacing w:val="0"/>
          <w:kern w:val="36"/>
          <w:sz w:val="30"/>
          <w:szCs w:val="30"/>
          <w:lang w:val="en-US" w:eastAsia="zh-CN"/>
        </w:rPr>
        <w:t>/</w:t>
      </w:r>
      <w:r>
        <w:rPr>
          <w:rFonts w:hint="eastAsia" w:ascii="Times New Roman" w:hAnsi="Times New Roman" w:eastAsia="方正楷体_GBK" w:cs="Times New Roman"/>
          <w:b/>
          <w:color w:val="auto"/>
          <w:spacing w:val="0"/>
          <w:kern w:val="36"/>
          <w:sz w:val="30"/>
          <w:szCs w:val="30"/>
          <w:lang w:val="en-US" w:eastAsia="zh-CN"/>
        </w:rPr>
        <w:t xml:space="preserve"> 12</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line="240" w:lineRule="auto"/>
        <w:ind w:firstLine="568" w:firstLineChars="200"/>
        <w:contextualSpacing/>
        <w:textAlignment w:val="auto"/>
        <w:outlineLvl w:val="1"/>
        <w:rPr>
          <w:rFonts w:hint="eastAsia" w:ascii="Times New Roman" w:hAnsi="Times New Roman" w:eastAsia="方正楷体_GBK" w:cs="Times New Roman"/>
          <w:b/>
          <w:bCs w:val="0"/>
          <w:color w:val="auto"/>
          <w:spacing w:val="0"/>
          <w:kern w:val="36"/>
          <w:sz w:val="30"/>
          <w:szCs w:val="30"/>
          <w:lang w:val="en-US" w:eastAsia="zh-CN"/>
        </w:rPr>
      </w:pPr>
      <w:r>
        <w:rPr>
          <w:rFonts w:hint="eastAsia" w:ascii="Times New Roman" w:hAnsi="Times New Roman" w:eastAsia="方正楷体_GBK" w:cs="Times New Roman"/>
          <w:b/>
          <w:bCs w:val="0"/>
          <w:color w:val="auto"/>
          <w:spacing w:val="0"/>
          <w:kern w:val="36"/>
          <w:sz w:val="30"/>
          <w:szCs w:val="30"/>
          <w:lang w:val="en-US" w:eastAsia="zh-CN"/>
        </w:rPr>
        <w:t xml:space="preserve">追光逐电 “苏州名品”组团首次亮相新加坡 </w:t>
      </w:r>
      <w:r>
        <w:rPr>
          <w:rFonts w:hint="default" w:ascii="Times New Roman" w:hAnsi="Times New Roman" w:eastAsia="方正楷体_GBK" w:cs="Times New Roman"/>
          <w:b/>
          <w:color w:val="auto"/>
          <w:spacing w:val="0"/>
          <w:kern w:val="36"/>
          <w:sz w:val="30"/>
          <w:szCs w:val="30"/>
          <w:lang w:val="en-US" w:eastAsia="zh-CN"/>
        </w:rPr>
        <w:t>/</w:t>
      </w:r>
      <w:r>
        <w:rPr>
          <w:rFonts w:hint="eastAsia" w:ascii="Times New Roman" w:hAnsi="Times New Roman" w:eastAsia="方正楷体_GBK" w:cs="Times New Roman"/>
          <w:b/>
          <w:color w:val="auto"/>
          <w:spacing w:val="0"/>
          <w:kern w:val="36"/>
          <w:sz w:val="30"/>
          <w:szCs w:val="30"/>
          <w:lang w:val="en-US" w:eastAsia="zh-CN"/>
        </w:rPr>
        <w:t xml:space="preserve"> 13</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line="240" w:lineRule="auto"/>
        <w:ind w:firstLine="568" w:firstLineChars="200"/>
        <w:contextualSpacing/>
        <w:textAlignment w:val="auto"/>
        <w:outlineLvl w:val="1"/>
        <w:rPr>
          <w:rFonts w:hint="default" w:ascii="Times New Roman" w:hAnsi="Times New Roman" w:eastAsia="方正楷体_GBK" w:cs="Times New Roman"/>
          <w:b/>
          <w:color w:val="auto"/>
          <w:spacing w:val="0"/>
          <w:kern w:val="36"/>
          <w:sz w:val="30"/>
          <w:szCs w:val="30"/>
          <w:lang w:val="en-US" w:eastAsia="zh-CN"/>
        </w:rPr>
      </w:pPr>
      <w:r>
        <w:rPr>
          <w:rFonts w:hint="eastAsia" w:ascii="Times New Roman" w:hAnsi="Times New Roman" w:eastAsia="方正楷体_GBK" w:cs="Times New Roman"/>
          <w:b/>
          <w:bCs w:val="0"/>
          <w:color w:val="auto"/>
          <w:spacing w:val="0"/>
          <w:kern w:val="36"/>
          <w:sz w:val="30"/>
          <w:szCs w:val="30"/>
          <w:lang w:val="en-US" w:eastAsia="zh-CN"/>
        </w:rPr>
        <w:t xml:space="preserve">排忧解难促发展 企业致谢送锦旗 </w:t>
      </w:r>
      <w:r>
        <w:rPr>
          <w:rFonts w:hint="default" w:ascii="Times New Roman" w:hAnsi="Times New Roman" w:eastAsia="方正楷体_GBK" w:cs="Times New Roman"/>
          <w:b/>
          <w:color w:val="auto"/>
          <w:spacing w:val="0"/>
          <w:kern w:val="36"/>
          <w:sz w:val="30"/>
          <w:szCs w:val="30"/>
          <w:lang w:val="en-US" w:eastAsia="zh-CN"/>
        </w:rPr>
        <w:t>/</w:t>
      </w:r>
      <w:r>
        <w:rPr>
          <w:rFonts w:hint="eastAsia" w:ascii="Times New Roman" w:hAnsi="Times New Roman" w:eastAsia="方正楷体_GBK" w:cs="Times New Roman"/>
          <w:b/>
          <w:color w:val="auto"/>
          <w:spacing w:val="0"/>
          <w:kern w:val="36"/>
          <w:sz w:val="30"/>
          <w:szCs w:val="30"/>
          <w:lang w:val="en-US" w:eastAsia="zh-CN"/>
        </w:rPr>
        <w:t xml:space="preserve"> 14</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line="240" w:lineRule="auto"/>
        <w:ind w:firstLine="568" w:firstLineChars="200"/>
        <w:contextualSpacing/>
        <w:textAlignment w:val="auto"/>
        <w:outlineLvl w:val="1"/>
        <w:rPr>
          <w:rFonts w:hint="default" w:ascii="Times New Roman" w:hAnsi="Times New Roman" w:eastAsia="方正楷体_GBK" w:cs="Times New Roman"/>
          <w:b/>
          <w:color w:val="auto"/>
          <w:spacing w:val="0"/>
          <w:kern w:val="36"/>
          <w:sz w:val="30"/>
          <w:szCs w:val="30"/>
          <w:lang w:val="en-US" w:eastAsia="zh-CN"/>
        </w:rPr>
      </w:pPr>
      <w:r>
        <w:rPr>
          <w:rFonts w:hint="eastAsia" w:ascii="Times New Roman" w:hAnsi="Times New Roman" w:eastAsia="方正楷体_GBK" w:cs="Times New Roman"/>
          <w:b/>
          <w:bCs w:val="0"/>
          <w:color w:val="auto"/>
          <w:spacing w:val="0"/>
          <w:kern w:val="36"/>
          <w:sz w:val="30"/>
          <w:szCs w:val="30"/>
          <w:lang w:val="en-US" w:eastAsia="zh-CN"/>
        </w:rPr>
        <w:t xml:space="preserve">“贸促服务助企行”扬州宣讲会成功举办 </w:t>
      </w:r>
      <w:r>
        <w:rPr>
          <w:rFonts w:hint="default" w:ascii="Times New Roman" w:hAnsi="Times New Roman" w:eastAsia="方正楷体_GBK" w:cs="Times New Roman"/>
          <w:b/>
          <w:color w:val="auto"/>
          <w:spacing w:val="0"/>
          <w:kern w:val="36"/>
          <w:sz w:val="30"/>
          <w:szCs w:val="30"/>
          <w:lang w:val="en-US" w:eastAsia="zh-CN"/>
        </w:rPr>
        <w:t>/</w:t>
      </w:r>
      <w:r>
        <w:rPr>
          <w:rFonts w:hint="eastAsia" w:ascii="Times New Roman" w:hAnsi="Times New Roman" w:eastAsia="方正楷体_GBK" w:cs="Times New Roman"/>
          <w:b/>
          <w:color w:val="auto"/>
          <w:spacing w:val="0"/>
          <w:kern w:val="36"/>
          <w:sz w:val="30"/>
          <w:szCs w:val="30"/>
          <w:lang w:val="en-US" w:eastAsia="zh-CN"/>
        </w:rPr>
        <w:t xml:space="preserve"> 15</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line="240" w:lineRule="auto"/>
        <w:ind w:firstLine="568" w:firstLineChars="200"/>
        <w:contextualSpacing/>
        <w:textAlignment w:val="auto"/>
        <w:outlineLvl w:val="1"/>
        <w:rPr>
          <w:rFonts w:hint="eastAsia" w:ascii="Times New Roman" w:hAnsi="Times New Roman" w:eastAsia="方正楷体_GBK" w:cs="Times New Roman"/>
          <w:b/>
          <w:bCs w:val="0"/>
          <w:color w:val="auto"/>
          <w:spacing w:val="0"/>
          <w:kern w:val="36"/>
          <w:sz w:val="30"/>
          <w:szCs w:val="30"/>
          <w:lang w:val="en-US" w:eastAsia="zh-CN"/>
        </w:rPr>
      </w:pPr>
      <w:r>
        <w:rPr>
          <w:rFonts w:hint="eastAsia" w:ascii="Times New Roman" w:hAnsi="Times New Roman" w:eastAsia="方正楷体_GBK" w:cs="Times New Roman"/>
          <w:b/>
          <w:bCs w:val="0"/>
          <w:color w:val="auto"/>
          <w:spacing w:val="0"/>
          <w:kern w:val="36"/>
          <w:sz w:val="30"/>
          <w:szCs w:val="30"/>
          <w:lang w:val="en-US" w:eastAsia="zh-CN"/>
        </w:rPr>
        <w:t>淮安市贸促会举办“贸促服务助企行·淮品拓展海外市场”</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line="240" w:lineRule="auto"/>
        <w:ind w:firstLine="568" w:firstLineChars="200"/>
        <w:contextualSpacing/>
        <w:textAlignment w:val="auto"/>
        <w:outlineLvl w:val="1"/>
        <w:rPr>
          <w:rFonts w:hint="default" w:ascii="Times New Roman" w:hAnsi="Times New Roman" w:eastAsia="方正楷体_GBK" w:cs="Times New Roman"/>
          <w:b/>
          <w:color w:val="auto"/>
          <w:spacing w:val="0"/>
          <w:kern w:val="36"/>
          <w:sz w:val="30"/>
          <w:szCs w:val="30"/>
          <w:lang w:val="en-US" w:eastAsia="zh-CN"/>
        </w:rPr>
      </w:pPr>
      <w:r>
        <w:rPr>
          <w:rFonts w:hint="eastAsia" w:ascii="Times New Roman" w:hAnsi="Times New Roman" w:eastAsia="方正楷体_GBK" w:cs="Times New Roman"/>
          <w:b/>
          <w:bCs w:val="0"/>
          <w:color w:val="auto"/>
          <w:spacing w:val="0"/>
          <w:kern w:val="36"/>
          <w:sz w:val="30"/>
          <w:szCs w:val="30"/>
          <w:lang w:val="en-US" w:eastAsia="zh-CN"/>
        </w:rPr>
        <w:t xml:space="preserve">宣介会 </w:t>
      </w:r>
      <w:r>
        <w:rPr>
          <w:rFonts w:hint="default" w:ascii="Times New Roman" w:hAnsi="Times New Roman" w:eastAsia="方正楷体_GBK" w:cs="Times New Roman"/>
          <w:b/>
          <w:color w:val="auto"/>
          <w:spacing w:val="0"/>
          <w:kern w:val="36"/>
          <w:sz w:val="30"/>
          <w:szCs w:val="30"/>
          <w:lang w:val="en-US" w:eastAsia="zh-CN"/>
        </w:rPr>
        <w:t>/</w:t>
      </w:r>
      <w:r>
        <w:rPr>
          <w:rFonts w:hint="eastAsia" w:ascii="Times New Roman" w:hAnsi="Times New Roman" w:eastAsia="方正楷体_GBK" w:cs="Times New Roman"/>
          <w:b/>
          <w:color w:val="auto"/>
          <w:spacing w:val="0"/>
          <w:kern w:val="36"/>
          <w:sz w:val="30"/>
          <w:szCs w:val="30"/>
          <w:lang w:val="en-US" w:eastAsia="zh-CN"/>
        </w:rPr>
        <w:t xml:space="preserve"> 15</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after="210" w:line="240" w:lineRule="auto"/>
        <w:ind w:firstLine="608" w:firstLineChars="200"/>
        <w:contextualSpacing/>
        <w:jc w:val="left"/>
        <w:textAlignment w:val="auto"/>
        <w:outlineLvl w:val="1"/>
        <w:rPr>
          <w:rFonts w:hint="default" w:ascii="Times New Roman" w:hAnsi="Times New Roman" w:eastAsia="方正黑体_GBK" w:cs="Times New Roman"/>
          <w:b/>
          <w:color w:val="FFC000"/>
          <w:kern w:val="36"/>
          <w:sz w:val="32"/>
          <w:szCs w:val="32"/>
          <w:lang w:val="en-US" w:eastAsia="zh-CN"/>
        </w:rPr>
      </w:pPr>
      <w:r>
        <w:rPr>
          <w:rFonts w:hint="default" w:ascii="Times New Roman" w:hAnsi="Times New Roman" w:eastAsia="方正黑体_GBK" w:cs="Times New Roman"/>
          <w:b/>
          <w:color w:val="1F497D"/>
          <w:kern w:val="36"/>
          <w:sz w:val="32"/>
          <w:szCs w:val="32"/>
          <w:lang w:val="en-US" w:eastAsia="zh-CN"/>
          <w14:textFill>
            <w14:solidFill>
              <w14:srgbClr w14:val="1F497D">
                <w14:lumMod w14:val="60000"/>
                <w14:lumOff w14:val="40000"/>
              </w14:srgbClr>
            </w14:solidFill>
          </w14:textFill>
        </w:rPr>
        <w:t xml:space="preserve">• 会员企业风采 • </w:t>
      </w:r>
      <w:r>
        <w:rPr>
          <w:rFonts w:hint="default" w:ascii="Times New Roman" w:hAnsi="Times New Roman" w:eastAsia="宋体" w:cs="Times New Roman"/>
          <w:b/>
          <w:color w:val="FF0000"/>
          <w:kern w:val="36"/>
          <w:sz w:val="32"/>
          <w:szCs w:val="32"/>
          <w:lang w:val="en-US" w:eastAsia="zh-CN"/>
        </w:rPr>
        <w:t>‧‧‧‧‧‧‧‧‧‧‧‧‧‧‧‧‧‧‧‧‧‧‧‧‧‧‧‧‧‧‧‧‧‧‧‧‧‧‧‧‧‧‧‧‧‧‧‧‧‧‧‧‧‧‧‧‧‧‧‧‧‧‧‧‧‧‧‧‧‧‧‧‧‧‧‧‧‧</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after="210" w:line="240" w:lineRule="auto"/>
        <w:ind w:left="589" w:leftChars="304" w:firstLine="0" w:firstLineChars="0"/>
        <w:contextualSpacing/>
        <w:textAlignment w:val="auto"/>
        <w:outlineLvl w:val="1"/>
        <w:rPr>
          <w:rFonts w:hint="default" w:ascii="Times New Roman" w:hAnsi="Times New Roman" w:eastAsia="方正楷体_GBK" w:cs="Times New Roman"/>
          <w:b/>
          <w:color w:val="auto"/>
          <w:kern w:val="36"/>
          <w:sz w:val="30"/>
          <w:szCs w:val="30"/>
          <w:lang w:val="en-US" w:eastAsia="zh-CN"/>
        </w:rPr>
      </w:pPr>
      <w:r>
        <w:rPr>
          <w:rFonts w:hint="eastAsia" w:ascii="Times New Roman" w:hAnsi="Times New Roman" w:eastAsia="方正楷体_GBK" w:cs="Times New Roman"/>
          <w:b/>
          <w:bCs w:val="0"/>
          <w:color w:val="auto"/>
          <w:spacing w:val="0"/>
          <w:kern w:val="36"/>
          <w:sz w:val="30"/>
          <w:szCs w:val="30"/>
          <w:lang w:val="en-US" w:eastAsia="zh-CN"/>
        </w:rPr>
        <w:t>尚德电力获法国碳足迹PPE2证书 创行业TOPCon组件碳足迹认证数值新低</w:t>
      </w:r>
      <w:r>
        <w:rPr>
          <w:rFonts w:hint="eastAsia" w:ascii="Times New Roman" w:hAnsi="Times New Roman" w:eastAsia="方正楷体_GBK" w:cs="Times New Roman"/>
          <w:b w:val="0"/>
          <w:bCs/>
          <w:kern w:val="0"/>
          <w:sz w:val="32"/>
          <w:szCs w:val="32"/>
          <w:lang w:val="en-US" w:eastAsia="zh-CN" w:bidi="ar-SA"/>
        </w:rPr>
        <w:t xml:space="preserve"> </w:t>
      </w:r>
      <w:r>
        <w:rPr>
          <w:rFonts w:hint="default" w:ascii="Times New Roman" w:hAnsi="Times New Roman" w:eastAsia="方正楷体_GBK" w:cs="Times New Roman"/>
          <w:b/>
          <w:color w:val="auto"/>
          <w:kern w:val="36"/>
          <w:sz w:val="30"/>
          <w:szCs w:val="30"/>
          <w:lang w:val="en-US" w:eastAsia="zh-CN"/>
        </w:rPr>
        <w:t>/</w:t>
      </w:r>
      <w:r>
        <w:rPr>
          <w:rFonts w:hint="eastAsia" w:ascii="Times New Roman" w:hAnsi="Times New Roman" w:eastAsia="方正楷体_GBK" w:cs="Times New Roman"/>
          <w:b/>
          <w:color w:val="auto"/>
          <w:kern w:val="36"/>
          <w:sz w:val="30"/>
          <w:szCs w:val="30"/>
          <w:lang w:val="en-US" w:eastAsia="zh-CN"/>
        </w:rPr>
        <w:t xml:space="preserve"> </w:t>
      </w:r>
      <w:r>
        <w:rPr>
          <w:rFonts w:hint="default" w:ascii="Times New Roman" w:hAnsi="Times New Roman" w:eastAsia="方正楷体_GBK" w:cs="Times New Roman"/>
          <w:b/>
          <w:color w:val="auto"/>
          <w:kern w:val="36"/>
          <w:sz w:val="30"/>
          <w:szCs w:val="30"/>
          <w:lang w:val="en-US" w:eastAsia="zh-CN"/>
        </w:rPr>
        <w:t>1</w:t>
      </w:r>
      <w:r>
        <w:rPr>
          <w:rFonts w:hint="eastAsia" w:ascii="Times New Roman" w:hAnsi="Times New Roman" w:eastAsia="方正楷体_GBK" w:cs="Times New Roman"/>
          <w:b/>
          <w:color w:val="auto"/>
          <w:kern w:val="36"/>
          <w:sz w:val="30"/>
          <w:szCs w:val="30"/>
          <w:lang w:val="en-US" w:eastAsia="zh-CN"/>
        </w:rPr>
        <w:t>7</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after="210" w:line="240" w:lineRule="auto"/>
        <w:ind w:firstLine="568" w:firstLineChars="200"/>
        <w:contextualSpacing/>
        <w:textAlignment w:val="auto"/>
        <w:outlineLvl w:val="1"/>
        <w:rPr>
          <w:rFonts w:hint="default" w:ascii="Times New Roman" w:hAnsi="Times New Roman" w:eastAsia="方正楷体_GBK" w:cs="Times New Roman"/>
          <w:b/>
          <w:color w:val="auto"/>
          <w:kern w:val="36"/>
          <w:sz w:val="30"/>
          <w:szCs w:val="30"/>
          <w:lang w:val="en-US" w:eastAsia="zh-CN"/>
        </w:rPr>
      </w:pPr>
      <w:r>
        <w:rPr>
          <w:rFonts w:hint="default" w:ascii="Times New Roman" w:hAnsi="Times New Roman" w:eastAsia="方正楷体_GBK" w:cs="Times New Roman"/>
          <w:b/>
          <w:bCs w:val="0"/>
          <w:color w:val="auto"/>
          <w:spacing w:val="0"/>
          <w:kern w:val="36"/>
          <w:sz w:val="30"/>
          <w:szCs w:val="30"/>
          <w:lang w:val="en-US" w:eastAsia="zh-CN"/>
        </w:rPr>
        <w:t>江苏银行：为新质生产力注入强劲金融动力</w:t>
      </w:r>
      <w:r>
        <w:rPr>
          <w:rFonts w:hint="eastAsia" w:ascii="Times New Roman" w:hAnsi="Times New Roman" w:eastAsia="方正楷体_GBK" w:cs="Times New Roman"/>
          <w:b/>
          <w:color w:val="auto"/>
          <w:spacing w:val="0"/>
          <w:kern w:val="36"/>
          <w:sz w:val="30"/>
          <w:szCs w:val="30"/>
          <w:lang w:val="en-US" w:eastAsia="zh-CN"/>
        </w:rPr>
        <w:t xml:space="preserve"> </w:t>
      </w:r>
      <w:r>
        <w:rPr>
          <w:rFonts w:hint="default" w:ascii="Times New Roman" w:hAnsi="Times New Roman" w:eastAsia="方正楷体_GBK" w:cs="Times New Roman"/>
          <w:b/>
          <w:color w:val="auto"/>
          <w:kern w:val="36"/>
          <w:sz w:val="30"/>
          <w:szCs w:val="30"/>
          <w:lang w:val="en-US" w:eastAsia="zh-CN"/>
        </w:rPr>
        <w:t xml:space="preserve">/ </w:t>
      </w:r>
      <w:r>
        <w:rPr>
          <w:rFonts w:hint="eastAsia" w:ascii="Times New Roman" w:hAnsi="Times New Roman" w:eastAsia="方正楷体_GBK" w:cs="Times New Roman"/>
          <w:b/>
          <w:color w:val="auto"/>
          <w:kern w:val="36"/>
          <w:sz w:val="30"/>
          <w:szCs w:val="30"/>
          <w:lang w:val="en-US" w:eastAsia="zh-CN"/>
        </w:rPr>
        <w:t>18</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after="210" w:line="240" w:lineRule="auto"/>
        <w:ind w:left="550" w:leftChars="284" w:firstLine="0" w:firstLineChars="0"/>
        <w:contextualSpacing/>
        <w:textAlignment w:val="auto"/>
        <w:outlineLvl w:val="1"/>
        <w:rPr>
          <w:rFonts w:hint="default" w:ascii="Times New Roman" w:hAnsi="Times New Roman" w:eastAsia="方正楷体_GBK" w:cs="Times New Roman"/>
          <w:b/>
          <w:color w:val="auto"/>
          <w:kern w:val="36"/>
          <w:sz w:val="30"/>
          <w:szCs w:val="30"/>
          <w:lang w:val="en-US" w:eastAsia="zh-CN"/>
        </w:rPr>
        <w:sectPr>
          <w:footerReference r:id="rId3" w:type="default"/>
          <w:pgSz w:w="11906" w:h="16838"/>
          <w:pgMar w:top="2098" w:right="1474" w:bottom="1984" w:left="1587" w:header="1417" w:footer="992" w:gutter="0"/>
          <w:pgBorders>
            <w:top w:val="single" w:color="F82206" w:sz="48" w:space="1"/>
            <w:left w:val="single" w:color="F82206" w:sz="48" w:space="4"/>
            <w:bottom w:val="single" w:color="F82206" w:sz="48" w:space="1"/>
            <w:right w:val="single" w:color="F82206" w:sz="48" w:space="4"/>
          </w:pgBorders>
          <w:pgNumType w:fmt="decimal" w:start="1"/>
          <w:cols w:space="425" w:num="1"/>
          <w:docGrid w:type="linesAndChars" w:linePitch="290" w:charSpace="-3420"/>
        </w:sectPr>
      </w:pPr>
      <w:r>
        <w:rPr>
          <w:rFonts w:hint="eastAsia" w:ascii="Times New Roman" w:hAnsi="Times New Roman" w:eastAsia="方正楷体_GBK" w:cs="Times New Roman"/>
          <w:b/>
          <w:bCs w:val="0"/>
          <w:color w:val="auto"/>
          <w:spacing w:val="0"/>
          <w:kern w:val="36"/>
          <w:sz w:val="30"/>
          <w:szCs w:val="30"/>
          <w:lang w:val="en-US" w:eastAsia="zh-CN"/>
        </w:rPr>
        <w:t>瑞祥全球购超市有限公司荣获镇江市2023年度“消费维权先进集体”称号</w:t>
      </w:r>
      <w:r>
        <w:rPr>
          <w:rFonts w:hint="eastAsia" w:ascii="Times New Roman" w:hAnsi="Times New Roman" w:eastAsia="方正楷体_GBK" w:cs="Times New Roman"/>
          <w:b/>
          <w:color w:val="auto"/>
          <w:spacing w:val="0"/>
          <w:kern w:val="36"/>
          <w:sz w:val="30"/>
          <w:szCs w:val="30"/>
          <w:lang w:val="en-US" w:eastAsia="zh-CN"/>
        </w:rPr>
        <w:t xml:space="preserve"> </w:t>
      </w:r>
      <w:r>
        <w:rPr>
          <w:rFonts w:hint="default" w:ascii="Times New Roman" w:hAnsi="Times New Roman" w:eastAsia="方正楷体_GBK" w:cs="Times New Roman"/>
          <w:b/>
          <w:color w:val="auto"/>
          <w:kern w:val="36"/>
          <w:sz w:val="30"/>
          <w:szCs w:val="30"/>
          <w:lang w:val="en-US" w:eastAsia="zh-CN"/>
        </w:rPr>
        <w:t>/</w:t>
      </w:r>
      <w:r>
        <w:rPr>
          <w:rFonts w:hint="eastAsia" w:ascii="Times New Roman" w:hAnsi="Times New Roman" w:eastAsia="方正楷体_GBK" w:cs="Times New Roman"/>
          <w:b/>
          <w:color w:val="auto"/>
          <w:kern w:val="36"/>
          <w:sz w:val="30"/>
          <w:szCs w:val="30"/>
          <w:lang w:val="en-US" w:eastAsia="zh-CN"/>
        </w:rPr>
        <w:t xml:space="preserve"> </w:t>
      </w:r>
      <w:bookmarkStart w:id="1" w:name="_GoBack"/>
      <w:bookmarkEnd w:id="1"/>
      <w:r>
        <w:rPr>
          <w:rFonts w:hint="eastAsia" w:ascii="Times New Roman" w:hAnsi="Times New Roman" w:eastAsia="方正楷体_GBK" w:cs="Times New Roman"/>
          <w:b/>
          <w:color w:val="auto"/>
          <w:kern w:val="36"/>
          <w:sz w:val="30"/>
          <w:szCs w:val="30"/>
          <w:lang w:val="en-US" w:eastAsia="zh-CN"/>
        </w:rPr>
        <w:t>20</w:t>
      </w:r>
    </w:p>
    <w:p>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经典行楷简" w:cs="Times New Roman"/>
          <w:b/>
          <w:color w:val="1F497D"/>
          <w:kern w:val="36"/>
          <w:sz w:val="96"/>
          <w:szCs w:val="96"/>
          <w:u w:val="none" w:color="BB120F"/>
          <w:lang w:val="en-US" w:eastAsia="zh-CN"/>
          <w14:textFill>
            <w14:solidFill>
              <w14:srgbClr w14:val="1F497D">
                <w14:lumMod w14:val="60000"/>
                <w14:lumOff w14:val="40000"/>
              </w14:srgbClr>
            </w14:solidFill>
          </w14:textFill>
        </w:rPr>
      </w:pPr>
      <w:r>
        <w:rPr>
          <w:rFonts w:hint="default" w:ascii="Times New Roman" w:hAnsi="Times New Roman" w:eastAsia="经典行楷简" w:cs="Times New Roman"/>
          <w:b/>
          <w:color w:val="1F497D"/>
          <w:kern w:val="36"/>
          <w:sz w:val="96"/>
          <w:szCs w:val="96"/>
          <w:u w:val="none" w:color="BB120F"/>
          <w:lang w:val="en-US" w:eastAsia="zh-CN"/>
          <w14:textFill>
            <w14:solidFill>
              <w14:srgbClr w14:val="1F497D">
                <w14:lumMod w14:val="60000"/>
                <w14:lumOff w14:val="40000"/>
              </w14:srgbClr>
            </w14:solidFill>
          </w14:textFill>
        </w:rPr>
        <w:t>全球市场资讯</w:t>
      </w:r>
    </w:p>
    <w:p>
      <w:pPr>
        <w:ind w:left="0" w:leftChars="0" w:firstLine="0" w:firstLineChars="0"/>
        <w:jc w:val="left"/>
        <w:rPr>
          <w:rFonts w:hint="eastAsia" w:ascii="Times New Roman" w:hAnsi="Times New Roman" w:eastAsia="方正小标宋_GBK" w:cs="Times New Roman"/>
          <w:b/>
          <w:bCs/>
          <w:color w:val="FF0000"/>
          <w:sz w:val="32"/>
          <w:szCs w:val="40"/>
          <w:highlight w:val="yellow"/>
          <w:lang w:val="en-US" w:eastAsia="zh-CN"/>
        </w:rPr>
      </w:pPr>
    </w:p>
    <w:p>
      <w:pPr>
        <w:ind w:left="0" w:leftChars="0" w:firstLine="0" w:firstLineChars="0"/>
        <w:jc w:val="left"/>
        <w:rPr>
          <w:rFonts w:hint="default" w:ascii="Times New Roman" w:hAnsi="Times New Roman" w:eastAsia="宋体" w:cs="Times New Roman"/>
          <w:b/>
          <w:bCs/>
          <w:color w:val="0000FF"/>
          <w:sz w:val="32"/>
          <w:szCs w:val="32"/>
          <w:highlight w:val="yellow"/>
          <w:lang w:val="en-US" w:eastAsia="zh-CN"/>
        </w:rPr>
      </w:pPr>
      <w:r>
        <w:rPr>
          <w:rFonts w:hint="eastAsia" w:ascii="Times New Roman" w:hAnsi="Times New Roman" w:eastAsia="方正小标宋_GBK" w:cs="Times New Roman"/>
          <w:b/>
          <w:bCs/>
          <w:color w:val="FF0000"/>
          <w:sz w:val="32"/>
          <w:szCs w:val="40"/>
          <w:highlight w:val="yellow"/>
          <w:lang w:val="en-US" w:eastAsia="zh-CN"/>
        </w:rPr>
        <w:t>3</w:t>
      </w:r>
      <w:r>
        <w:rPr>
          <w:rFonts w:hint="default" w:ascii="Times New Roman" w:hAnsi="Times New Roman" w:eastAsia="方正小标宋_GBK" w:cs="Times New Roman"/>
          <w:b/>
          <w:bCs/>
          <w:color w:val="FF0000"/>
          <w:sz w:val="32"/>
          <w:szCs w:val="40"/>
          <w:highlight w:val="yellow"/>
          <w:lang w:val="en-US" w:eastAsia="zh-CN"/>
        </w:rPr>
        <w:t>月</w:t>
      </w:r>
      <w:r>
        <w:rPr>
          <w:rFonts w:hint="eastAsia" w:ascii="Times New Roman" w:hAnsi="Times New Roman" w:eastAsia="方正小标宋_GBK" w:cs="Times New Roman"/>
          <w:b/>
          <w:bCs/>
          <w:color w:val="FF0000"/>
          <w:sz w:val="32"/>
          <w:szCs w:val="40"/>
          <w:highlight w:val="yellow"/>
          <w:lang w:val="en-US" w:eastAsia="zh-CN"/>
        </w:rPr>
        <w:t>15</w:t>
      </w:r>
      <w:r>
        <w:rPr>
          <w:rFonts w:hint="default" w:ascii="Times New Roman" w:hAnsi="Times New Roman" w:eastAsia="方正小标宋_GBK" w:cs="Times New Roman"/>
          <w:b/>
          <w:bCs/>
          <w:color w:val="FF0000"/>
          <w:sz w:val="32"/>
          <w:szCs w:val="40"/>
          <w:highlight w:val="yellow"/>
          <w:lang w:val="en-US" w:eastAsia="zh-CN"/>
        </w:rPr>
        <w:t>日</w:t>
      </w:r>
      <w:r>
        <w:rPr>
          <w:rFonts w:hint="default" w:ascii="Times New Roman" w:hAnsi="Times New Roman" w:eastAsia="方正魏碑简体" w:cs="Times New Roman"/>
          <w:b/>
          <w:bCs/>
          <w:color w:val="0000FF"/>
          <w:sz w:val="32"/>
          <w:szCs w:val="40"/>
          <w:highlight w:val="yellow"/>
          <w:lang w:val="en-US" w:eastAsia="zh-CN"/>
        </w:rPr>
        <w:t>（周</w:t>
      </w:r>
      <w:r>
        <w:rPr>
          <w:rFonts w:hint="eastAsia" w:ascii="Times New Roman" w:hAnsi="Times New Roman" w:eastAsia="方正魏碑简体" w:cs="Times New Roman"/>
          <w:b/>
          <w:bCs/>
          <w:color w:val="0000FF"/>
          <w:sz w:val="32"/>
          <w:szCs w:val="40"/>
          <w:highlight w:val="yellow"/>
          <w:lang w:val="en-US" w:eastAsia="zh-CN"/>
        </w:rPr>
        <w:t>五</w:t>
      </w:r>
      <w:r>
        <w:rPr>
          <w:rFonts w:hint="default" w:ascii="Times New Roman" w:hAnsi="Times New Roman" w:eastAsia="方正魏碑简体" w:cs="Times New Roman"/>
          <w:b/>
          <w:bCs/>
          <w:color w:val="0000FF"/>
          <w:sz w:val="32"/>
          <w:szCs w:val="40"/>
          <w:highlight w:val="yellow"/>
          <w:lang w:val="en-US" w:eastAsia="zh-CN"/>
        </w:rPr>
        <w:t>）</w:t>
      </w:r>
    </w:p>
    <w:p>
      <w:pPr>
        <w:jc w:val="center"/>
        <w:rPr>
          <w:rFonts w:hint="eastAsia" w:ascii="Times New Roman" w:hAnsi="Times New Roman" w:eastAsia="方正小标宋_GBK" w:cs="Times New Roman"/>
          <w:b/>
          <w:bCs/>
          <w:color w:val="0000FF"/>
          <w:sz w:val="36"/>
          <w:szCs w:val="44"/>
          <w:highlight w:val="yellow"/>
          <w:lang w:val="en-US" w:eastAsia="zh-CN"/>
        </w:rPr>
      </w:pPr>
      <w:r>
        <w:rPr>
          <w:rFonts w:hint="eastAsia" w:ascii="Times New Roman" w:hAnsi="Times New Roman" w:eastAsia="方正小标宋_GBK" w:cs="Times New Roman"/>
          <w:b/>
          <w:bCs/>
          <w:color w:val="0000FF"/>
          <w:sz w:val="36"/>
          <w:szCs w:val="44"/>
          <w:highlight w:val="yellow"/>
          <w:lang w:val="en-US" w:eastAsia="zh-CN"/>
        </w:rPr>
        <w:t>美国</w:t>
      </w:r>
      <w:r>
        <w:rPr>
          <w:rFonts w:hint="default" w:ascii="Times New Roman" w:hAnsi="Times New Roman" w:eastAsia="方正小标宋_GBK" w:cs="Times New Roman"/>
          <w:b/>
          <w:bCs/>
          <w:color w:val="0000FF"/>
          <w:sz w:val="36"/>
          <w:szCs w:val="44"/>
          <w:highlight w:val="yellow"/>
          <w:lang w:val="en-US" w:eastAsia="zh-CN"/>
        </w:rPr>
        <w:t>2</w:t>
      </w:r>
      <w:r>
        <w:rPr>
          <w:rFonts w:hint="eastAsia" w:ascii="Times New Roman" w:hAnsi="Times New Roman" w:eastAsia="方正小标宋_GBK" w:cs="Times New Roman"/>
          <w:b/>
          <w:bCs/>
          <w:color w:val="0000FF"/>
          <w:sz w:val="36"/>
          <w:szCs w:val="44"/>
          <w:highlight w:val="yellow"/>
          <w:lang w:val="en-US" w:eastAsia="zh-CN"/>
        </w:rPr>
        <w:t>月</w:t>
      </w:r>
      <w:r>
        <w:rPr>
          <w:rFonts w:hint="default" w:ascii="Times New Roman" w:hAnsi="Times New Roman" w:eastAsia="方正小标宋_GBK" w:cs="Times New Roman"/>
          <w:b/>
          <w:bCs/>
          <w:color w:val="0000FF"/>
          <w:sz w:val="36"/>
          <w:szCs w:val="44"/>
          <w:highlight w:val="yellow"/>
          <w:lang w:val="en-US" w:eastAsia="zh-CN"/>
        </w:rPr>
        <w:t>PPI</w:t>
      </w:r>
      <w:r>
        <w:rPr>
          <w:rFonts w:hint="eastAsia" w:ascii="Times New Roman" w:hAnsi="Times New Roman" w:eastAsia="方正小标宋_GBK" w:cs="Times New Roman"/>
          <w:b/>
          <w:bCs/>
          <w:color w:val="0000FF"/>
          <w:sz w:val="36"/>
          <w:szCs w:val="44"/>
          <w:highlight w:val="yellow"/>
          <w:lang w:val="en-US" w:eastAsia="zh-CN"/>
        </w:rPr>
        <w:t>数据公布，显示通胀压力反弹</w:t>
      </w:r>
    </w:p>
    <w:p>
      <w:pPr>
        <w:ind w:firstLine="608" w:firstLineChars="200"/>
        <w:jc w:val="left"/>
        <w:rPr>
          <w:rFonts w:hint="eastAsia" w:ascii="Times New Roman" w:hAnsi="Times New Roman" w:cs="Times New Roman"/>
          <w:sz w:val="32"/>
          <w:szCs w:val="32"/>
          <w:lang w:val="en-US" w:eastAsia="zh-CN"/>
        </w:rPr>
      </w:pPr>
      <w:r>
        <w:rPr>
          <w:rFonts w:hint="eastAsia" w:ascii="Times New Roman" w:hAnsi="Times New Roman" w:cs="Times New Roman"/>
          <w:sz w:val="32"/>
          <w:szCs w:val="32"/>
          <w:lang w:val="en-US" w:eastAsia="zh-CN"/>
        </w:rPr>
        <w:t>3月14日（周四），美国公布PPI数据（见表格）。</w:t>
      </w:r>
    </w:p>
    <w:p>
      <w:pPr>
        <w:jc w:val="left"/>
        <w:rPr>
          <w:rFonts w:hint="eastAsia" w:ascii="Times New Roman" w:hAnsi="Times New Roman" w:cs="Times New Roman"/>
          <w:b/>
          <w:bCs/>
          <w:sz w:val="32"/>
          <w:szCs w:val="32"/>
          <w:lang w:val="en-US" w:eastAsia="zh-CN"/>
        </w:rPr>
      </w:pPr>
      <w:r>
        <w:rPr>
          <w:rFonts w:hint="eastAsia" w:ascii="Times New Roman" w:hAnsi="Times New Roman" w:cs="Times New Roman"/>
          <w:b/>
          <w:bCs/>
          <w:sz w:val="32"/>
          <w:szCs w:val="32"/>
          <w:lang w:val="en-US" w:eastAsia="zh-CN"/>
        </w:rPr>
        <w:drawing>
          <wp:inline distT="0" distB="0" distL="114300" distR="114300">
            <wp:extent cx="5612765" cy="1260475"/>
            <wp:effectExtent l="0" t="0" r="6985" b="15875"/>
            <wp:docPr id="6" name="图片 6" descr="微信截图_202403220836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微信截图_20240322083636"/>
                    <pic:cNvPicPr>
                      <a:picLocks noChangeAspect="1"/>
                    </pic:cNvPicPr>
                  </pic:nvPicPr>
                  <pic:blipFill>
                    <a:blip r:embed="rId6"/>
                    <a:stretch>
                      <a:fillRect/>
                    </a:stretch>
                  </pic:blipFill>
                  <pic:spPr>
                    <a:xfrm>
                      <a:off x="0" y="0"/>
                      <a:ext cx="5612765" cy="1260475"/>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400" w:lineRule="exact"/>
        <w:ind w:firstLine="528" w:firstLineChars="200"/>
        <w:textAlignment w:val="auto"/>
        <w:outlineLvl w:val="9"/>
        <w:rPr>
          <w:rFonts w:hint="default" w:ascii="Times New Roman" w:hAnsi="Times New Roman" w:eastAsia="方正楷体_GBK" w:cs="Calibri"/>
          <w:sz w:val="28"/>
          <w:szCs w:val="28"/>
          <w:lang w:val="en-US" w:eastAsia="zh-CN"/>
        </w:rPr>
      </w:pPr>
      <w:r>
        <w:rPr>
          <w:rFonts w:hint="default" w:ascii="Times New Roman" w:hAnsi="Times New Roman" w:eastAsia="方正楷体_GBK" w:cs="Calibri"/>
          <w:sz w:val="28"/>
          <w:szCs w:val="28"/>
          <w:lang w:val="en-US" w:eastAsia="zh-CN"/>
        </w:rPr>
        <w:t>（</w:t>
      </w:r>
      <w:r>
        <w:rPr>
          <w:rFonts w:hint="default" w:ascii="方正黑体_GBK" w:hAnsi="方正黑体_GBK" w:eastAsia="方正黑体_GBK" w:cs="方正黑体_GBK"/>
          <w:b/>
          <w:bCs/>
          <w:sz w:val="28"/>
          <w:szCs w:val="28"/>
          <w:lang w:val="en-US" w:eastAsia="zh-CN"/>
        </w:rPr>
        <w:t>注：</w:t>
      </w:r>
      <w:r>
        <w:rPr>
          <w:rFonts w:hint="eastAsia" w:ascii="Times New Roman" w:hAnsi="Times New Roman" w:eastAsia="方正楷体_GBK" w:cs="Calibri"/>
          <w:b/>
          <w:bCs/>
          <w:sz w:val="28"/>
          <w:szCs w:val="28"/>
          <w:highlight w:val="none"/>
          <w:lang w:val="en-US" w:eastAsia="zh-CN"/>
        </w:rPr>
        <w:t>“</w:t>
      </w:r>
      <w:r>
        <w:rPr>
          <w:rFonts w:hint="default" w:ascii="Times New Roman" w:hAnsi="Times New Roman" w:eastAsia="方正楷体_GBK" w:cs="Calibri"/>
          <w:b/>
          <w:bCs/>
          <w:sz w:val="28"/>
          <w:szCs w:val="28"/>
          <w:highlight w:val="none"/>
          <w:lang w:val="en-US" w:eastAsia="zh-CN"/>
        </w:rPr>
        <w:t>生产者价格指数</w:t>
      </w:r>
      <w:r>
        <w:rPr>
          <w:rFonts w:hint="eastAsia" w:ascii="Times New Roman" w:hAnsi="Times New Roman" w:eastAsia="方正楷体_GBK" w:cs="Calibri"/>
          <w:b/>
          <w:bCs/>
          <w:sz w:val="28"/>
          <w:szCs w:val="28"/>
          <w:highlight w:val="none"/>
          <w:lang w:val="en-US" w:eastAsia="zh-CN"/>
        </w:rPr>
        <w:t>”</w:t>
      </w:r>
      <w:r>
        <w:rPr>
          <w:rFonts w:hint="default" w:ascii="Times New Roman" w:hAnsi="Times New Roman" w:eastAsia="方正楷体_GBK" w:cs="Calibri"/>
          <w:b/>
          <w:bCs/>
          <w:sz w:val="28"/>
          <w:szCs w:val="28"/>
          <w:lang w:val="en-US" w:eastAsia="zh-CN"/>
        </w:rPr>
        <w:t>（PPI）</w:t>
      </w:r>
      <w:r>
        <w:rPr>
          <w:rFonts w:hint="default" w:ascii="Times New Roman" w:hAnsi="Times New Roman" w:eastAsia="方正楷体_GBK" w:cs="Calibri"/>
          <w:sz w:val="28"/>
          <w:szCs w:val="28"/>
          <w:lang w:val="en-US" w:eastAsia="zh-CN"/>
        </w:rPr>
        <w:t>是衡量一国国内商品和服务生产者价格随时间变化的指标，它反映了生产者所支付的成本和价格的变化情况。</w:t>
      </w:r>
      <w:r>
        <w:rPr>
          <w:rFonts w:hint="eastAsia" w:ascii="Times New Roman" w:hAnsi="Times New Roman" w:eastAsia="方正楷体_GBK" w:cs="Calibri"/>
          <w:b/>
          <w:bCs/>
          <w:sz w:val="28"/>
          <w:szCs w:val="28"/>
          <w:lang w:val="en-US" w:eastAsia="zh-CN"/>
        </w:rPr>
        <w:t>“</w:t>
      </w:r>
      <w:r>
        <w:rPr>
          <w:rFonts w:hint="default" w:ascii="Times New Roman" w:hAnsi="Times New Roman" w:eastAsia="方正楷体_GBK" w:cs="Calibri"/>
          <w:b/>
          <w:bCs/>
          <w:sz w:val="28"/>
          <w:szCs w:val="28"/>
          <w:lang w:val="en-US" w:eastAsia="zh-CN"/>
        </w:rPr>
        <w:t>核心PPI</w:t>
      </w:r>
      <w:r>
        <w:rPr>
          <w:rFonts w:hint="eastAsia" w:ascii="Times New Roman" w:hAnsi="Times New Roman" w:eastAsia="方正楷体_GBK" w:cs="Calibri"/>
          <w:b/>
          <w:bCs/>
          <w:sz w:val="28"/>
          <w:szCs w:val="28"/>
          <w:lang w:val="en-US" w:eastAsia="zh-CN"/>
        </w:rPr>
        <w:t>”，</w:t>
      </w:r>
      <w:r>
        <w:rPr>
          <w:rFonts w:hint="eastAsia" w:ascii="Times New Roman" w:hAnsi="Times New Roman" w:eastAsia="方正楷体_GBK" w:cs="Calibri"/>
          <w:b w:val="0"/>
          <w:bCs w:val="0"/>
          <w:sz w:val="28"/>
          <w:szCs w:val="28"/>
          <w:lang w:val="en-US" w:eastAsia="zh-CN"/>
        </w:rPr>
        <w:t>指</w:t>
      </w:r>
      <w:r>
        <w:rPr>
          <w:rFonts w:hint="default" w:ascii="Times New Roman" w:hAnsi="Times New Roman" w:eastAsia="方正楷体_GBK" w:cs="Calibri"/>
          <w:sz w:val="28"/>
          <w:szCs w:val="28"/>
          <w:lang w:val="en-US" w:eastAsia="zh-CN"/>
        </w:rPr>
        <w:t>剔除了波动较大的</w:t>
      </w:r>
      <w:r>
        <w:rPr>
          <w:rFonts w:hint="eastAsia" w:ascii="Times New Roman" w:hAnsi="Times New Roman" w:eastAsia="方正楷体_GBK" w:cs="Calibri"/>
          <w:sz w:val="28"/>
          <w:szCs w:val="28"/>
          <w:lang w:val="en-US" w:eastAsia="zh-CN"/>
        </w:rPr>
        <w:t>“</w:t>
      </w:r>
      <w:r>
        <w:rPr>
          <w:rFonts w:hint="default" w:ascii="Times New Roman" w:hAnsi="Times New Roman" w:eastAsia="方正楷体_GBK" w:cs="Calibri"/>
          <w:sz w:val="28"/>
          <w:szCs w:val="28"/>
          <w:lang w:val="en-US" w:eastAsia="zh-CN"/>
        </w:rPr>
        <w:t>贸易服务</w:t>
      </w:r>
      <w:r>
        <w:rPr>
          <w:rFonts w:hint="eastAsia" w:ascii="Times New Roman" w:hAnsi="Times New Roman" w:eastAsia="方正楷体_GBK" w:cs="Calibri"/>
          <w:sz w:val="28"/>
          <w:szCs w:val="28"/>
          <w:lang w:val="en-US" w:eastAsia="zh-CN"/>
        </w:rPr>
        <w:t>”</w:t>
      </w:r>
      <w:r>
        <w:rPr>
          <w:rFonts w:hint="default" w:ascii="Times New Roman" w:hAnsi="Times New Roman" w:eastAsia="方正楷体_GBK" w:cs="Calibri"/>
          <w:sz w:val="28"/>
          <w:szCs w:val="28"/>
          <w:lang w:val="en-US" w:eastAsia="zh-CN"/>
        </w:rPr>
        <w:t>、食品和能源价格的PPI</w:t>
      </w:r>
      <w:r>
        <w:rPr>
          <w:rFonts w:hint="eastAsia" w:ascii="Times New Roman" w:hAnsi="Times New Roman" w:eastAsia="方正楷体_GBK" w:cs="Calibri"/>
          <w:sz w:val="28"/>
          <w:szCs w:val="28"/>
          <w:lang w:val="en-US" w:eastAsia="zh-CN"/>
        </w:rPr>
        <w:t>。</w:t>
      </w:r>
    </w:p>
    <w:p>
      <w:pPr>
        <w:keepNext w:val="0"/>
        <w:keepLines w:val="0"/>
        <w:pageBreakBefore w:val="0"/>
        <w:widowControl w:val="0"/>
        <w:kinsoku/>
        <w:wordWrap/>
        <w:overflowPunct/>
        <w:topLinePunct w:val="0"/>
        <w:autoSpaceDE/>
        <w:autoSpaceDN/>
        <w:bidi w:val="0"/>
        <w:adjustRightInd/>
        <w:snapToGrid/>
        <w:spacing w:line="400" w:lineRule="exact"/>
        <w:ind w:firstLine="528" w:firstLineChars="200"/>
        <w:jc w:val="left"/>
        <w:textAlignment w:val="auto"/>
        <w:outlineLvl w:val="9"/>
        <w:rPr>
          <w:rFonts w:hint="eastAsia" w:ascii="Times New Roman" w:hAnsi="Times New Roman" w:eastAsia="方正楷体_GBK" w:cs="Calibri"/>
          <w:sz w:val="28"/>
          <w:szCs w:val="28"/>
          <w:lang w:val="en-US" w:eastAsia="zh-CN"/>
        </w:rPr>
      </w:pPr>
      <w:r>
        <w:rPr>
          <w:rFonts w:hint="eastAsia" w:ascii="Times New Roman" w:hAnsi="Times New Roman" w:eastAsia="方正楷体_GBK" w:cs="Calibri"/>
          <w:sz w:val="28"/>
          <w:szCs w:val="28"/>
          <w:lang w:val="en-US" w:eastAsia="zh-CN"/>
        </w:rPr>
        <w:t>“</w:t>
      </w:r>
      <w:r>
        <w:rPr>
          <w:rFonts w:hint="eastAsia" w:ascii="Times New Roman" w:hAnsi="Times New Roman" w:eastAsia="方正楷体_GBK" w:cs="Calibri"/>
          <w:b/>
          <w:bCs/>
          <w:sz w:val="28"/>
          <w:szCs w:val="28"/>
          <w:lang w:val="en-US" w:eastAsia="zh-CN"/>
        </w:rPr>
        <w:t>贸易服务”</w:t>
      </w:r>
      <w:r>
        <w:rPr>
          <w:rFonts w:hint="eastAsia" w:ascii="Times New Roman" w:hAnsi="Times New Roman" w:eastAsia="方正楷体_GBK" w:cs="Calibri"/>
          <w:sz w:val="28"/>
          <w:szCs w:val="28"/>
          <w:lang w:val="en-US" w:eastAsia="zh-CN"/>
        </w:rPr>
        <w:t>（trade service）是指涉及商业交易和服务的部分，通常包括零售贸易服务、批发贸易服务、运输和物流服务、旅游和酒店服务、金融和保险服务，以及商业咨询和专业服务。）</w:t>
      </w:r>
    </w:p>
    <w:p>
      <w:pPr>
        <w:ind w:firstLine="608" w:firstLineChars="200"/>
        <w:jc w:val="left"/>
        <w:rPr>
          <w:rFonts w:hint="eastAsia" w:ascii="Times New Roman" w:hAnsi="Times New Roman" w:cs="Times New Roman"/>
          <w:sz w:val="32"/>
          <w:szCs w:val="32"/>
          <w:lang w:val="en-US" w:eastAsia="zh-CN"/>
        </w:rPr>
      </w:pPr>
      <w:r>
        <w:rPr>
          <w:rFonts w:hint="eastAsia" w:ascii="Times New Roman" w:hAnsi="Times New Roman" w:cs="Times New Roman"/>
          <w:sz w:val="32"/>
          <w:szCs w:val="32"/>
          <w:lang w:val="en-US" w:eastAsia="zh-CN"/>
        </w:rPr>
        <w:t>上述PPI数据都超过预期，显示美国通胀压力反弹，数据公布后，美元指数和美债收益率短线拉升，10年期美债收益率升势显著。</w:t>
      </w:r>
    </w:p>
    <w:p>
      <w:pPr>
        <w:ind w:firstLine="608" w:firstLineChars="200"/>
        <w:jc w:val="left"/>
        <w:rPr>
          <w:rFonts w:hint="eastAsia" w:ascii="Times New Roman" w:hAnsi="Times New Roman" w:cs="Times New Roman"/>
          <w:sz w:val="32"/>
          <w:szCs w:val="32"/>
          <w:lang w:val="en-US" w:eastAsia="zh-CN"/>
        </w:rPr>
      </w:pPr>
      <w:r>
        <w:rPr>
          <w:rFonts w:hint="eastAsia" w:ascii="Times New Roman" w:hAnsi="Times New Roman" w:cs="Times New Roman"/>
          <w:sz w:val="32"/>
          <w:szCs w:val="32"/>
          <w:lang w:val="en-US" w:eastAsia="zh-CN"/>
        </w:rPr>
        <w:t>市场开始担心今年的降息次数，有可能少于预期的</w:t>
      </w:r>
      <w:r>
        <w:rPr>
          <w:rFonts w:hint="default" w:ascii="Times New Roman" w:hAnsi="Times New Roman" w:cs="Times New Roman"/>
          <w:sz w:val="32"/>
          <w:szCs w:val="32"/>
          <w:lang w:val="en-US" w:eastAsia="zh-CN"/>
        </w:rPr>
        <w:t>3</w:t>
      </w:r>
      <w:r>
        <w:rPr>
          <w:rFonts w:hint="eastAsia" w:ascii="Times New Roman" w:hAnsi="Times New Roman" w:cs="Times New Roman"/>
          <w:sz w:val="32"/>
          <w:szCs w:val="32"/>
          <w:lang w:val="en-US" w:eastAsia="zh-CN"/>
        </w:rPr>
        <w:t>次。如果年内降息的幅度不及预期，意味着企业还得继续在高利率环境下坚持，中小企业的财务压力将越来越大。</w:t>
      </w:r>
    </w:p>
    <w:p>
      <w:pPr>
        <w:ind w:left="0" w:leftChars="0" w:firstLine="0" w:firstLineChars="0"/>
        <w:jc w:val="left"/>
        <w:rPr>
          <w:rFonts w:hint="eastAsia" w:ascii="Times New Roman" w:hAnsi="Times New Roman" w:eastAsia="方正小标宋_GBK" w:cs="Times New Roman"/>
          <w:b/>
          <w:bCs/>
          <w:color w:val="FF0000"/>
          <w:sz w:val="32"/>
          <w:szCs w:val="40"/>
          <w:highlight w:val="yellow"/>
          <w:lang w:val="en-US" w:eastAsia="zh-CN"/>
        </w:rPr>
      </w:pPr>
    </w:p>
    <w:p>
      <w:pPr>
        <w:ind w:left="0" w:leftChars="0" w:firstLine="0" w:firstLineChars="0"/>
        <w:jc w:val="left"/>
        <w:rPr>
          <w:rFonts w:hint="eastAsia" w:ascii="Times New Roman" w:hAnsi="Times New Roman" w:eastAsia="方正小标宋_GBK" w:cs="Times New Roman"/>
          <w:b/>
          <w:bCs/>
          <w:color w:val="FF0000"/>
          <w:sz w:val="32"/>
          <w:szCs w:val="40"/>
          <w:highlight w:val="yellow"/>
          <w:lang w:val="en-US" w:eastAsia="zh-CN"/>
        </w:rPr>
      </w:pPr>
    </w:p>
    <w:p>
      <w:pPr>
        <w:ind w:left="0" w:leftChars="0" w:firstLine="0" w:firstLineChars="0"/>
        <w:jc w:val="left"/>
        <w:rPr>
          <w:rFonts w:hint="default" w:ascii="Times New Roman" w:hAnsi="Times New Roman" w:eastAsia="宋体" w:cs="Times New Roman"/>
          <w:b/>
          <w:bCs/>
          <w:color w:val="0000FF"/>
          <w:sz w:val="32"/>
          <w:szCs w:val="32"/>
          <w:highlight w:val="yellow"/>
          <w:lang w:val="en-US" w:eastAsia="zh-CN"/>
        </w:rPr>
      </w:pPr>
      <w:r>
        <w:rPr>
          <w:rFonts w:hint="eastAsia" w:ascii="Times New Roman" w:hAnsi="Times New Roman" w:eastAsia="方正小标宋_GBK" w:cs="Times New Roman"/>
          <w:b/>
          <w:bCs/>
          <w:color w:val="FF0000"/>
          <w:sz w:val="32"/>
          <w:szCs w:val="40"/>
          <w:highlight w:val="yellow"/>
          <w:lang w:val="en-US" w:eastAsia="zh-CN"/>
        </w:rPr>
        <w:t>3</w:t>
      </w:r>
      <w:r>
        <w:rPr>
          <w:rFonts w:hint="default" w:ascii="Times New Roman" w:hAnsi="Times New Roman" w:eastAsia="方正小标宋_GBK" w:cs="Times New Roman"/>
          <w:b/>
          <w:bCs/>
          <w:color w:val="FF0000"/>
          <w:sz w:val="32"/>
          <w:szCs w:val="40"/>
          <w:highlight w:val="yellow"/>
          <w:lang w:val="en-US" w:eastAsia="zh-CN"/>
        </w:rPr>
        <w:t>月</w:t>
      </w:r>
      <w:r>
        <w:rPr>
          <w:rFonts w:hint="eastAsia" w:ascii="Times New Roman" w:hAnsi="Times New Roman" w:eastAsia="方正小标宋_GBK" w:cs="Times New Roman"/>
          <w:b/>
          <w:bCs/>
          <w:color w:val="FF0000"/>
          <w:sz w:val="32"/>
          <w:szCs w:val="40"/>
          <w:highlight w:val="yellow"/>
          <w:lang w:val="en-US" w:eastAsia="zh-CN"/>
        </w:rPr>
        <w:t>16</w:t>
      </w:r>
      <w:r>
        <w:rPr>
          <w:rFonts w:hint="default" w:ascii="Times New Roman" w:hAnsi="Times New Roman" w:eastAsia="方正小标宋_GBK" w:cs="Times New Roman"/>
          <w:b/>
          <w:bCs/>
          <w:color w:val="FF0000"/>
          <w:sz w:val="32"/>
          <w:szCs w:val="40"/>
          <w:highlight w:val="yellow"/>
          <w:lang w:val="en-US" w:eastAsia="zh-CN"/>
        </w:rPr>
        <w:t>日</w:t>
      </w:r>
      <w:r>
        <w:rPr>
          <w:rFonts w:hint="default" w:ascii="Times New Roman" w:hAnsi="Times New Roman" w:eastAsia="方正魏碑简体" w:cs="Times New Roman"/>
          <w:b/>
          <w:bCs/>
          <w:color w:val="0000FF"/>
          <w:sz w:val="32"/>
          <w:szCs w:val="40"/>
          <w:highlight w:val="yellow"/>
          <w:lang w:val="en-US" w:eastAsia="zh-CN"/>
        </w:rPr>
        <w:t>（周</w:t>
      </w:r>
      <w:r>
        <w:rPr>
          <w:rFonts w:hint="eastAsia" w:ascii="Times New Roman" w:hAnsi="Times New Roman" w:eastAsia="方正魏碑简体" w:cs="Times New Roman"/>
          <w:b/>
          <w:bCs/>
          <w:color w:val="0000FF"/>
          <w:sz w:val="32"/>
          <w:szCs w:val="40"/>
          <w:highlight w:val="yellow"/>
          <w:lang w:val="en-US" w:eastAsia="zh-CN"/>
        </w:rPr>
        <w:t>六</w:t>
      </w:r>
      <w:r>
        <w:rPr>
          <w:rFonts w:hint="default" w:ascii="Times New Roman" w:hAnsi="Times New Roman" w:eastAsia="方正魏碑简体" w:cs="Times New Roman"/>
          <w:b/>
          <w:bCs/>
          <w:color w:val="0000FF"/>
          <w:sz w:val="32"/>
          <w:szCs w:val="40"/>
          <w:highlight w:val="yellow"/>
          <w:lang w:val="en-US" w:eastAsia="zh-CN"/>
        </w:rPr>
        <w:t>）</w:t>
      </w:r>
    </w:p>
    <w:p>
      <w:pPr>
        <w:jc w:val="center"/>
        <w:rPr>
          <w:rFonts w:hint="eastAsia" w:ascii="Times New Roman" w:hAnsi="Times New Roman" w:eastAsia="方正小标宋_GBK" w:cs="Times New Roman"/>
          <w:b/>
          <w:bCs/>
          <w:color w:val="0000FF"/>
          <w:sz w:val="36"/>
          <w:szCs w:val="44"/>
          <w:highlight w:val="yellow"/>
          <w:lang w:val="en-US" w:eastAsia="zh-CN"/>
        </w:rPr>
      </w:pPr>
      <w:r>
        <w:rPr>
          <w:rFonts w:hint="eastAsia" w:ascii="Times New Roman" w:hAnsi="Times New Roman" w:eastAsia="方正小标宋_GBK" w:cs="Times New Roman"/>
          <w:b/>
          <w:bCs/>
          <w:color w:val="0000FF"/>
          <w:sz w:val="36"/>
          <w:szCs w:val="44"/>
          <w:highlight w:val="yellow"/>
          <w:lang w:val="en-US" w:eastAsia="zh-CN"/>
        </w:rPr>
        <w:t>消费者情绪不乐观，下周点阵图被关注</w:t>
      </w:r>
    </w:p>
    <w:p>
      <w:pPr>
        <w:ind w:firstLine="608" w:firstLineChars="200"/>
        <w:jc w:val="left"/>
        <w:rPr>
          <w:rFonts w:hint="default" w:ascii="Times New Roman" w:hAnsi="Times New Roman" w:cs="Times New Roman"/>
          <w:sz w:val="32"/>
          <w:szCs w:val="32"/>
          <w:lang w:val="en-US" w:eastAsia="zh-CN"/>
        </w:rPr>
      </w:pPr>
      <w:r>
        <w:rPr>
          <w:rFonts w:hint="eastAsia" w:ascii="Times New Roman" w:hAnsi="Times New Roman" w:cs="Times New Roman"/>
          <w:sz w:val="32"/>
          <w:szCs w:val="32"/>
          <w:lang w:val="en-US" w:eastAsia="zh-CN"/>
        </w:rPr>
        <w:t>3月15日（周五），反映美国消费者情绪的三大指数公布，</w:t>
      </w:r>
      <w:r>
        <w:rPr>
          <w:rFonts w:hint="default" w:ascii="Times New Roman" w:hAnsi="Times New Roman" w:cs="Times New Roman"/>
          <w:sz w:val="32"/>
          <w:szCs w:val="32"/>
          <w:lang w:val="en-US" w:eastAsia="zh-CN"/>
        </w:rPr>
        <w:t>3</w:t>
      </w:r>
      <w:r>
        <w:rPr>
          <w:rFonts w:hint="eastAsia" w:ascii="Times New Roman" w:hAnsi="Times New Roman" w:cs="Times New Roman"/>
          <w:sz w:val="32"/>
          <w:szCs w:val="32"/>
          <w:lang w:val="en-US" w:eastAsia="zh-CN"/>
        </w:rPr>
        <w:t>月份初值都低于前值和预期，显示美国消费增长的趋势开始放缓；但目前仅为初值，且放缓的幅度轻微，需持续观察才可得出结论。</w:t>
      </w:r>
    </w:p>
    <w:p>
      <w:pPr>
        <w:jc w:val="left"/>
        <w:rPr>
          <w:rFonts w:hint="eastAsia" w:ascii="Times New Roman" w:hAnsi="Times New Roman" w:cs="Times New Roman"/>
          <w:sz w:val="32"/>
          <w:szCs w:val="32"/>
          <w:lang w:val="en-US" w:eastAsia="zh-CN"/>
        </w:rPr>
      </w:pPr>
      <w:r>
        <w:rPr>
          <w:rFonts w:hint="eastAsia" w:ascii="Times New Roman" w:hAnsi="Times New Roman" w:cs="Times New Roman"/>
          <w:sz w:val="32"/>
          <w:szCs w:val="32"/>
          <w:lang w:val="en-US" w:eastAsia="zh-CN"/>
        </w:rPr>
        <w:drawing>
          <wp:inline distT="0" distB="0" distL="114300" distR="114300">
            <wp:extent cx="5612765" cy="1016635"/>
            <wp:effectExtent l="0" t="0" r="6985" b="12065"/>
            <wp:docPr id="5" name="图片 5" descr="微信截图_20240322083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微信截图_20240322083148"/>
                    <pic:cNvPicPr>
                      <a:picLocks noChangeAspect="1"/>
                    </pic:cNvPicPr>
                  </pic:nvPicPr>
                  <pic:blipFill>
                    <a:blip r:embed="rId7"/>
                    <a:stretch>
                      <a:fillRect/>
                    </a:stretch>
                  </pic:blipFill>
                  <pic:spPr>
                    <a:xfrm>
                      <a:off x="0" y="0"/>
                      <a:ext cx="5612765" cy="1016635"/>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400" w:lineRule="exact"/>
        <w:ind w:firstLine="528" w:firstLineChars="200"/>
        <w:jc w:val="left"/>
        <w:textAlignment w:val="auto"/>
        <w:outlineLvl w:val="9"/>
        <w:rPr>
          <w:rFonts w:hint="eastAsia" w:ascii="Times New Roman" w:hAnsi="Times New Roman" w:eastAsia="方正楷体_GBK" w:cs="Calibri"/>
          <w:sz w:val="28"/>
          <w:szCs w:val="28"/>
          <w:lang w:val="en-US" w:eastAsia="zh-CN"/>
        </w:rPr>
      </w:pPr>
      <w:r>
        <w:rPr>
          <w:rFonts w:hint="eastAsia" w:ascii="Times New Roman" w:hAnsi="Times New Roman" w:eastAsia="方正楷体_GBK" w:cs="Calibri"/>
          <w:sz w:val="28"/>
          <w:szCs w:val="28"/>
          <w:lang w:val="en-US" w:eastAsia="zh-CN"/>
        </w:rPr>
        <w:t>（</w:t>
      </w:r>
      <w:r>
        <w:rPr>
          <w:rFonts w:hint="eastAsia" w:ascii="方正黑体_GBK" w:hAnsi="方正黑体_GBK" w:eastAsia="方正黑体_GBK" w:cs="方正黑体_GBK"/>
          <w:b/>
          <w:bCs/>
          <w:sz w:val="28"/>
          <w:szCs w:val="28"/>
          <w:lang w:val="en-US" w:eastAsia="zh-CN"/>
        </w:rPr>
        <w:t>注：</w:t>
      </w:r>
      <w:r>
        <w:rPr>
          <w:rFonts w:hint="eastAsia" w:ascii="Times New Roman" w:hAnsi="Times New Roman" w:eastAsia="方正楷体_GBK" w:cs="Calibri"/>
          <w:b/>
          <w:bCs/>
          <w:sz w:val="28"/>
          <w:szCs w:val="28"/>
          <w:lang w:val="en-US" w:eastAsia="zh-CN"/>
        </w:rPr>
        <w:t>密歇根大学消费者情绪指数：</w:t>
      </w:r>
      <w:r>
        <w:rPr>
          <w:rFonts w:hint="eastAsia" w:ascii="Times New Roman" w:hAnsi="Times New Roman" w:eastAsia="方正楷体_GBK" w:cs="Calibri"/>
          <w:sz w:val="28"/>
          <w:szCs w:val="28"/>
          <w:lang w:val="en-US" w:eastAsia="zh-CN"/>
        </w:rPr>
        <w:t>密歇根大学消费者调查中心每月向600个家庭询问他们的经济状况和对经济的态度，进而编制出体现美国消费者情绪的“预期指数”“现况指数”和“信心指数”。消费者情绪直接关系到消费支出的强弱，对经济增长有着重要影响。）</w:t>
      </w:r>
    </w:p>
    <w:p>
      <w:pPr>
        <w:ind w:firstLine="608" w:firstLineChars="200"/>
        <w:jc w:val="left"/>
        <w:rPr>
          <w:rFonts w:hint="eastAsia" w:ascii="Times New Roman" w:hAnsi="Times New Roman" w:cs="Times New Roman"/>
          <w:sz w:val="32"/>
          <w:szCs w:val="32"/>
          <w:lang w:val="en-US" w:eastAsia="zh-CN"/>
        </w:rPr>
      </w:pPr>
      <w:r>
        <w:rPr>
          <w:rFonts w:hint="default" w:ascii="Times New Roman" w:hAnsi="Times New Roman" w:cs="Times New Roman"/>
          <w:sz w:val="32"/>
          <w:szCs w:val="32"/>
          <w:lang w:val="en-US" w:eastAsia="zh-CN"/>
        </w:rPr>
        <w:t>3</w:t>
      </w:r>
      <w:r>
        <w:rPr>
          <w:rFonts w:hint="eastAsia" w:ascii="Times New Roman" w:hAnsi="Times New Roman" w:cs="Times New Roman"/>
          <w:sz w:val="32"/>
          <w:szCs w:val="32"/>
          <w:lang w:val="en-US" w:eastAsia="zh-CN"/>
        </w:rPr>
        <w:t>月以来，</w:t>
      </w:r>
      <w:r>
        <w:rPr>
          <w:rFonts w:hint="default" w:ascii="Times New Roman" w:hAnsi="Times New Roman" w:cs="Times New Roman"/>
          <w:sz w:val="32"/>
          <w:szCs w:val="32"/>
          <w:lang w:val="en-US" w:eastAsia="zh-CN"/>
        </w:rPr>
        <w:t>10</w:t>
      </w:r>
      <w:r>
        <w:rPr>
          <w:rFonts w:hint="eastAsia" w:ascii="Times New Roman" w:hAnsi="Times New Roman" w:cs="Times New Roman"/>
          <w:sz w:val="32"/>
          <w:szCs w:val="32"/>
          <w:lang w:val="en-US" w:eastAsia="zh-CN"/>
        </w:rPr>
        <w:t>年期</w:t>
      </w:r>
      <w:r>
        <w:rPr>
          <w:rFonts w:hint="default" w:ascii="Times New Roman" w:hAnsi="Times New Roman" w:cs="Times New Roman"/>
          <w:sz w:val="32"/>
          <w:szCs w:val="32"/>
          <w:lang w:val="en-US" w:eastAsia="zh-CN"/>
        </w:rPr>
        <w:t>美债收益率一直</w:t>
      </w:r>
      <w:r>
        <w:rPr>
          <w:rFonts w:hint="eastAsia" w:ascii="Times New Roman" w:hAnsi="Times New Roman" w:cs="Times New Roman"/>
          <w:sz w:val="32"/>
          <w:szCs w:val="32"/>
          <w:lang w:val="en-US" w:eastAsia="zh-CN"/>
        </w:rPr>
        <w:t>上行，市场对</w:t>
      </w:r>
      <w:r>
        <w:rPr>
          <w:rFonts w:hint="default" w:ascii="Times New Roman" w:hAnsi="Times New Roman" w:cs="Times New Roman"/>
          <w:sz w:val="32"/>
          <w:szCs w:val="32"/>
          <w:lang w:val="en-US" w:eastAsia="zh-CN"/>
        </w:rPr>
        <w:t>美国宏观经济形势</w:t>
      </w:r>
      <w:r>
        <w:rPr>
          <w:rFonts w:hint="eastAsia" w:ascii="Times New Roman" w:hAnsi="Times New Roman" w:cs="Times New Roman"/>
          <w:sz w:val="32"/>
          <w:szCs w:val="32"/>
          <w:lang w:val="en-US" w:eastAsia="zh-CN"/>
        </w:rPr>
        <w:t>的看法出现了分歧，有机构认为，美国经济正从“</w:t>
      </w:r>
      <w:r>
        <w:rPr>
          <w:rFonts w:hint="default" w:ascii="Times New Roman" w:hAnsi="Times New Roman" w:cs="Times New Roman"/>
          <w:sz w:val="32"/>
          <w:szCs w:val="32"/>
          <w:lang w:val="en-US" w:eastAsia="zh-CN"/>
        </w:rPr>
        <w:t>金发</w:t>
      </w:r>
      <w:r>
        <w:rPr>
          <w:rFonts w:hint="eastAsia" w:ascii="Times New Roman" w:hAnsi="Times New Roman" w:cs="Times New Roman"/>
          <w:sz w:val="32"/>
          <w:szCs w:val="32"/>
          <w:lang w:val="en-US" w:eastAsia="zh-CN"/>
        </w:rPr>
        <w:t>女孩”</w:t>
      </w:r>
      <w:r>
        <w:rPr>
          <w:rFonts w:hint="default" w:ascii="Times New Roman" w:hAnsi="Times New Roman" w:cs="Times New Roman"/>
          <w:sz w:val="32"/>
          <w:szCs w:val="32"/>
          <w:lang w:val="en-US" w:eastAsia="zh-CN"/>
        </w:rPr>
        <w:t>逐渐转变为滞胀</w:t>
      </w:r>
      <w:r>
        <w:rPr>
          <w:rFonts w:hint="eastAsia" w:ascii="Times New Roman" w:hAnsi="Times New Roman" w:cs="Times New Roman"/>
          <w:sz w:val="32"/>
          <w:szCs w:val="32"/>
          <w:lang w:val="en-US" w:eastAsia="zh-CN"/>
        </w:rPr>
        <w:t>。实际情况究竟如何，将在下周三美联储最新的“利率点阵图”中体现。</w:t>
      </w:r>
    </w:p>
    <w:p>
      <w:pPr>
        <w:ind w:firstLine="608" w:firstLineChars="200"/>
        <w:jc w:val="left"/>
        <w:rPr>
          <w:rFonts w:hint="eastAsia" w:ascii="Times New Roman" w:hAnsi="Times New Roman" w:cs="Times New Roman"/>
          <w:sz w:val="32"/>
          <w:szCs w:val="32"/>
          <w:lang w:val="en-US" w:eastAsia="zh-CN"/>
        </w:rPr>
      </w:pPr>
      <w:r>
        <w:rPr>
          <w:rFonts w:hint="default" w:ascii="Times New Roman" w:hAnsi="Times New Roman" w:cs="Times New Roman"/>
          <w:sz w:val="32"/>
          <w:szCs w:val="32"/>
          <w:lang w:val="en-US" w:eastAsia="zh-CN"/>
        </w:rPr>
        <w:t>如果点阵图显示</w:t>
      </w:r>
      <w:r>
        <w:rPr>
          <w:rFonts w:hint="eastAsia" w:ascii="Times New Roman" w:hAnsi="Times New Roman" w:cs="Times New Roman"/>
          <w:sz w:val="32"/>
          <w:szCs w:val="32"/>
          <w:lang w:val="en-US" w:eastAsia="zh-CN"/>
        </w:rPr>
        <w:t>，</w:t>
      </w:r>
      <w:r>
        <w:rPr>
          <w:rFonts w:hint="default" w:ascii="Times New Roman" w:hAnsi="Times New Roman" w:cs="Times New Roman"/>
          <w:sz w:val="32"/>
          <w:szCs w:val="32"/>
          <w:lang w:val="en-US" w:eastAsia="zh-CN"/>
        </w:rPr>
        <w:t>FOMC大多数成员赞成今年年内只降息2次</w:t>
      </w:r>
      <w:r>
        <w:rPr>
          <w:rFonts w:hint="eastAsia" w:ascii="Times New Roman" w:hAnsi="Times New Roman" w:cs="Times New Roman"/>
          <w:sz w:val="32"/>
          <w:szCs w:val="32"/>
          <w:lang w:val="en-US" w:eastAsia="zh-CN"/>
        </w:rPr>
        <w:t>，而非目前市场普遍预期的</w:t>
      </w:r>
      <w:r>
        <w:rPr>
          <w:rFonts w:hint="default" w:ascii="Times New Roman" w:hAnsi="Times New Roman" w:cs="Times New Roman"/>
          <w:sz w:val="32"/>
          <w:szCs w:val="32"/>
          <w:lang w:val="en-US" w:eastAsia="zh-CN"/>
        </w:rPr>
        <w:t>3</w:t>
      </w:r>
      <w:r>
        <w:rPr>
          <w:rFonts w:hint="eastAsia" w:ascii="Times New Roman" w:hAnsi="Times New Roman" w:cs="Times New Roman"/>
          <w:sz w:val="32"/>
          <w:szCs w:val="32"/>
          <w:lang w:val="en-US" w:eastAsia="zh-CN"/>
        </w:rPr>
        <w:t>次，说明美联储高层开始担心通胀反扑；如果</w:t>
      </w:r>
      <w:r>
        <w:rPr>
          <w:rFonts w:hint="default" w:ascii="Times New Roman" w:hAnsi="Times New Roman" w:cs="Times New Roman"/>
          <w:sz w:val="32"/>
          <w:szCs w:val="32"/>
          <w:lang w:val="en-US" w:eastAsia="zh-CN"/>
        </w:rPr>
        <w:t>FOMC</w:t>
      </w:r>
      <w:r>
        <w:rPr>
          <w:rFonts w:hint="eastAsia" w:ascii="Times New Roman" w:hAnsi="Times New Roman" w:cs="Times New Roman"/>
          <w:sz w:val="32"/>
          <w:szCs w:val="32"/>
          <w:lang w:val="en-US" w:eastAsia="zh-CN"/>
        </w:rPr>
        <w:t>维持降息</w:t>
      </w:r>
      <w:r>
        <w:rPr>
          <w:rFonts w:hint="default" w:ascii="Times New Roman" w:hAnsi="Times New Roman" w:cs="Times New Roman"/>
          <w:sz w:val="32"/>
          <w:szCs w:val="32"/>
          <w:lang w:val="en-US" w:eastAsia="zh-CN"/>
        </w:rPr>
        <w:t>3</w:t>
      </w:r>
      <w:r>
        <w:rPr>
          <w:rFonts w:hint="eastAsia" w:ascii="Times New Roman" w:hAnsi="Times New Roman" w:cs="Times New Roman"/>
          <w:sz w:val="32"/>
          <w:szCs w:val="32"/>
          <w:lang w:val="en-US" w:eastAsia="zh-CN"/>
        </w:rPr>
        <w:t>次的偏鸽派立场，说明其更担心增长放缓而非通胀。</w:t>
      </w:r>
    </w:p>
    <w:tbl>
      <w:tblPr>
        <w:tblStyle w:val="15"/>
        <w:tblpPr w:leftFromText="180" w:rightFromText="180" w:vertAnchor="text" w:horzAnchor="page" w:tblpX="1632" w:tblpY="30"/>
        <w:tblOverlap w:val="never"/>
        <w:tblW w:w="8913"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3260"/>
        <w:gridCol w:w="565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90" w:hRule="atLeast"/>
        </w:trPr>
        <w:tc>
          <w:tcPr>
            <w:tcW w:w="3260" w:type="dxa"/>
            <w:tcBorders>
              <w:tl2br w:val="nil"/>
              <w:tr2bl w:val="nil"/>
            </w:tcBorders>
            <w:vAlign w:val="top"/>
          </w:tcPr>
          <w:p>
            <w:pPr>
              <w:jc w:val="both"/>
              <w:rPr>
                <w:rFonts w:hint="default" w:ascii="Times New Roman" w:hAnsi="Times New Roman" w:cs="Times New Roman"/>
                <w:sz w:val="32"/>
                <w:szCs w:val="32"/>
                <w:vertAlign w:val="baseline"/>
              </w:rPr>
            </w:pPr>
            <w:r>
              <w:drawing>
                <wp:inline distT="0" distB="0" distL="114300" distR="114300">
                  <wp:extent cx="1936115" cy="1089025"/>
                  <wp:effectExtent l="0" t="0" r="6985" b="15875"/>
                  <wp:docPr id="1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
                          <pic:cNvPicPr>
                            <a:picLocks noChangeAspect="1"/>
                          </pic:cNvPicPr>
                        </pic:nvPicPr>
                        <pic:blipFill>
                          <a:blip r:embed="rId8"/>
                          <a:stretch>
                            <a:fillRect/>
                          </a:stretch>
                        </pic:blipFill>
                        <pic:spPr>
                          <a:xfrm>
                            <a:off x="0" y="0"/>
                            <a:ext cx="1936115" cy="1089025"/>
                          </a:xfrm>
                          <a:prstGeom prst="rect">
                            <a:avLst/>
                          </a:prstGeom>
                          <a:noFill/>
                          <a:ln>
                            <a:noFill/>
                          </a:ln>
                        </pic:spPr>
                      </pic:pic>
                    </a:graphicData>
                  </a:graphic>
                </wp:inline>
              </w:drawing>
            </w:r>
          </w:p>
        </w:tc>
        <w:tc>
          <w:tcPr>
            <w:tcW w:w="5653"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300" w:lineRule="exact"/>
              <w:textAlignment w:val="auto"/>
              <w:outlineLvl w:val="9"/>
              <w:rPr>
                <w:rFonts w:hint="default" w:ascii="Times New Roman" w:hAnsi="Times New Roman" w:eastAsia="方正楷体_GBK" w:cs="Calibri"/>
                <w:sz w:val="21"/>
                <w:szCs w:val="21"/>
                <w:lang w:val="en-US" w:eastAsia="zh-CN"/>
              </w:rPr>
            </w:pPr>
            <w:r>
              <w:rPr>
                <w:rFonts w:hint="eastAsia" w:ascii="Calibri" w:hAnsi="Calibri" w:eastAsia="仿宋_GB2312" w:cs="Calibri"/>
                <w:sz w:val="21"/>
                <w:szCs w:val="21"/>
                <w:lang w:val="en-US" w:eastAsia="zh-CN"/>
              </w:rPr>
              <w:t>（</w:t>
            </w:r>
            <w:r>
              <w:rPr>
                <w:rFonts w:hint="eastAsia" w:ascii="方正黑体_GBK" w:hAnsi="方正黑体_GBK" w:eastAsia="方正黑体_GBK" w:cs="方正黑体_GBK"/>
                <w:b w:val="0"/>
                <w:bCs w:val="0"/>
                <w:sz w:val="21"/>
                <w:szCs w:val="21"/>
                <w:highlight w:val="none"/>
                <w:lang w:val="en-US" w:eastAsia="zh-CN"/>
              </w:rPr>
              <w:t>注：</w:t>
            </w:r>
            <w:r>
              <w:rPr>
                <w:rFonts w:hint="eastAsia" w:ascii="Times New Roman" w:hAnsi="Times New Roman" w:eastAsia="方正楷体_GBK" w:cs="Calibri"/>
                <w:sz w:val="21"/>
                <w:szCs w:val="21"/>
                <w:lang w:val="en-US" w:eastAsia="zh-CN"/>
              </w:rPr>
              <w:t>“</w:t>
            </w:r>
            <w:r>
              <w:rPr>
                <w:rFonts w:hint="default" w:ascii="Times New Roman" w:hAnsi="Times New Roman" w:eastAsia="方正楷体_GBK" w:cs="Calibri"/>
                <w:b/>
                <w:bCs/>
                <w:sz w:val="21"/>
                <w:szCs w:val="21"/>
                <w:lang w:val="en-US" w:eastAsia="zh-CN"/>
              </w:rPr>
              <w:t>金发女孩经济</w:t>
            </w:r>
            <w:r>
              <w:rPr>
                <w:rFonts w:hint="eastAsia" w:ascii="Times New Roman" w:hAnsi="Times New Roman" w:eastAsia="方正楷体_GBK" w:cs="Calibri"/>
                <w:sz w:val="21"/>
                <w:szCs w:val="21"/>
                <w:lang w:val="en-US" w:eastAsia="zh-CN"/>
              </w:rPr>
              <w:t>”（</w:t>
            </w:r>
            <w:r>
              <w:rPr>
                <w:rFonts w:hint="default" w:ascii="Times New Roman" w:hAnsi="Times New Roman" w:eastAsia="方正楷体_GBK" w:cs="Calibri"/>
                <w:sz w:val="21"/>
                <w:szCs w:val="21"/>
                <w:lang w:val="en-US" w:eastAsia="zh-CN"/>
              </w:rPr>
              <w:t>Goldilocks economy</w:t>
            </w:r>
            <w:r>
              <w:rPr>
                <w:rFonts w:hint="eastAsia" w:ascii="Times New Roman" w:hAnsi="Times New Roman" w:eastAsia="方正楷体_GBK" w:cs="Calibri"/>
                <w:sz w:val="21"/>
                <w:szCs w:val="21"/>
                <w:lang w:val="en-US" w:eastAsia="zh-CN"/>
              </w:rPr>
              <w:t>），指</w:t>
            </w:r>
            <w:r>
              <w:rPr>
                <w:rFonts w:hint="default" w:ascii="Times New Roman" w:hAnsi="Times New Roman" w:eastAsia="方正楷体_GBK" w:cs="Calibri"/>
                <w:sz w:val="21"/>
                <w:szCs w:val="21"/>
                <w:lang w:val="en-US" w:eastAsia="zh-CN"/>
              </w:rPr>
              <w:t>一种理想的经济状态</w:t>
            </w:r>
            <w:r>
              <w:rPr>
                <w:rFonts w:hint="eastAsia" w:ascii="Times New Roman" w:hAnsi="Times New Roman" w:eastAsia="方正楷体_GBK" w:cs="Calibri"/>
                <w:sz w:val="21"/>
                <w:szCs w:val="21"/>
                <w:lang w:val="en-US" w:eastAsia="zh-CN"/>
              </w:rPr>
              <w:t>，即</w:t>
            </w:r>
            <w:r>
              <w:rPr>
                <w:rFonts w:hint="default" w:ascii="Times New Roman" w:hAnsi="Times New Roman" w:eastAsia="方正楷体_GBK" w:cs="Calibri"/>
                <w:sz w:val="21"/>
                <w:szCs w:val="21"/>
                <w:lang w:val="en-US" w:eastAsia="zh-CN"/>
              </w:rPr>
              <w:t>经济增长适度、通货膨胀率稳定</w:t>
            </w:r>
            <w:r>
              <w:rPr>
                <w:rFonts w:hint="eastAsia" w:ascii="Times New Roman" w:hAnsi="Times New Roman" w:eastAsia="方正楷体_GBK" w:cs="Calibri"/>
                <w:sz w:val="21"/>
                <w:szCs w:val="21"/>
                <w:lang w:val="en-US" w:eastAsia="zh-CN"/>
              </w:rPr>
              <w:t>，</w:t>
            </w:r>
            <w:r>
              <w:rPr>
                <w:rFonts w:hint="default" w:ascii="Times New Roman" w:hAnsi="Times New Roman" w:eastAsia="方正楷体_GBK" w:cs="Calibri"/>
                <w:sz w:val="21"/>
                <w:szCs w:val="21"/>
                <w:lang w:val="en-US" w:eastAsia="zh-CN"/>
              </w:rPr>
              <w:t>且失业率</w:t>
            </w:r>
            <w:r>
              <w:rPr>
                <w:rFonts w:hint="eastAsia" w:ascii="Times New Roman" w:hAnsi="Times New Roman" w:eastAsia="方正楷体_GBK" w:cs="Calibri"/>
                <w:sz w:val="21"/>
                <w:szCs w:val="21"/>
                <w:lang w:val="en-US" w:eastAsia="zh-CN"/>
              </w:rPr>
              <w:t>处于</w:t>
            </w:r>
            <w:r>
              <w:rPr>
                <w:rFonts w:hint="default" w:ascii="Times New Roman" w:hAnsi="Times New Roman" w:eastAsia="方正楷体_GBK" w:cs="Calibri"/>
                <w:sz w:val="21"/>
                <w:szCs w:val="21"/>
                <w:lang w:val="en-US" w:eastAsia="zh-CN"/>
              </w:rPr>
              <w:t>合理水平，</w:t>
            </w:r>
            <w:r>
              <w:rPr>
                <w:rFonts w:hint="eastAsia" w:ascii="Times New Roman" w:hAnsi="Times New Roman" w:eastAsia="方正楷体_GBK" w:cs="Calibri"/>
                <w:sz w:val="21"/>
                <w:szCs w:val="21"/>
                <w:lang w:val="en-US" w:eastAsia="zh-CN"/>
              </w:rPr>
              <w:t>经济既非</w:t>
            </w:r>
            <w:r>
              <w:rPr>
                <w:rFonts w:hint="default" w:ascii="Times New Roman" w:hAnsi="Times New Roman" w:eastAsia="方正楷体_GBK" w:cs="Calibri"/>
                <w:sz w:val="21"/>
                <w:szCs w:val="21"/>
                <w:lang w:val="en-US" w:eastAsia="zh-CN"/>
              </w:rPr>
              <w:t>过热</w:t>
            </w:r>
            <w:r>
              <w:rPr>
                <w:rFonts w:hint="eastAsia" w:ascii="Times New Roman" w:hAnsi="Times New Roman" w:eastAsia="方正楷体_GBK" w:cs="Calibri"/>
                <w:sz w:val="21"/>
                <w:szCs w:val="21"/>
                <w:lang w:val="en-US" w:eastAsia="zh-CN"/>
              </w:rPr>
              <w:t>亦非冷却</w:t>
            </w:r>
            <w:r>
              <w:rPr>
                <w:rFonts w:hint="default" w:ascii="Times New Roman" w:hAnsi="Times New Roman" w:eastAsia="方正楷体_GBK" w:cs="Calibri"/>
                <w:sz w:val="21"/>
                <w:szCs w:val="21"/>
                <w:lang w:val="en-US" w:eastAsia="zh-CN"/>
              </w:rPr>
              <w:t>。</w:t>
            </w:r>
            <w:r>
              <w:rPr>
                <w:rFonts w:hint="eastAsia" w:ascii="Times New Roman" w:hAnsi="Times New Roman" w:eastAsia="方正楷体_GBK" w:cs="Calibri"/>
                <w:sz w:val="21"/>
                <w:szCs w:val="21"/>
                <w:lang w:val="en-US" w:eastAsia="zh-CN"/>
              </w:rPr>
              <w:t>该</w:t>
            </w:r>
            <w:r>
              <w:rPr>
                <w:rFonts w:hint="default" w:ascii="Times New Roman" w:hAnsi="Times New Roman" w:eastAsia="方正楷体_GBK" w:cs="Calibri"/>
                <w:sz w:val="21"/>
                <w:szCs w:val="21"/>
                <w:lang w:val="en-US" w:eastAsia="zh-CN"/>
              </w:rPr>
              <w:t>经济环境通常有利于企业的盈利、就业机会的增加以及消费者信心的提升。</w:t>
            </w:r>
          </w:p>
          <w:p>
            <w:pPr>
              <w:keepNext w:val="0"/>
              <w:keepLines w:val="0"/>
              <w:pageBreakBefore w:val="0"/>
              <w:widowControl w:val="0"/>
              <w:kinsoku/>
              <w:wordWrap/>
              <w:overflowPunct/>
              <w:topLinePunct w:val="0"/>
              <w:autoSpaceDE/>
              <w:autoSpaceDN/>
              <w:bidi w:val="0"/>
              <w:adjustRightInd/>
              <w:snapToGrid/>
              <w:spacing w:line="300" w:lineRule="exact"/>
              <w:jc w:val="left"/>
              <w:textAlignment w:val="auto"/>
              <w:outlineLvl w:val="9"/>
              <w:rPr>
                <w:rFonts w:hint="default" w:ascii="Times New Roman" w:hAnsi="Times New Roman" w:cs="Times New Roman"/>
                <w:sz w:val="32"/>
                <w:szCs w:val="32"/>
                <w:vertAlign w:val="baseline"/>
              </w:rPr>
            </w:pPr>
            <w:r>
              <w:rPr>
                <w:rFonts w:hint="eastAsia" w:ascii="Times New Roman" w:hAnsi="Times New Roman" w:eastAsia="方正楷体_GBK" w:cs="Calibri"/>
                <w:sz w:val="21"/>
                <w:szCs w:val="21"/>
                <w:lang w:val="en-US" w:eastAsia="zh-CN"/>
              </w:rPr>
              <w:t>关于</w:t>
            </w:r>
            <w:r>
              <w:rPr>
                <w:rFonts w:hint="default" w:ascii="Times New Roman" w:hAnsi="Times New Roman" w:eastAsia="方正楷体_GBK" w:cs="Calibri"/>
                <w:sz w:val="21"/>
                <w:szCs w:val="21"/>
                <w:lang w:val="en-US" w:eastAsia="zh-CN"/>
              </w:rPr>
              <w:t>FOMC</w:t>
            </w:r>
            <w:r>
              <w:rPr>
                <w:rFonts w:hint="eastAsia" w:ascii="Times New Roman" w:hAnsi="Times New Roman" w:eastAsia="方正楷体_GBK" w:cs="Calibri"/>
                <w:sz w:val="21"/>
                <w:szCs w:val="21"/>
                <w:lang w:val="en-US" w:eastAsia="zh-CN"/>
              </w:rPr>
              <w:t>与“点阵图”的简要解释，将附于下周四的资讯内容之后。）</w:t>
            </w:r>
          </w:p>
        </w:tc>
      </w:tr>
    </w:tbl>
    <w:p>
      <w:pPr>
        <w:ind w:left="0" w:leftChars="0" w:firstLine="0" w:firstLineChars="0"/>
        <w:jc w:val="left"/>
        <w:rPr>
          <w:rFonts w:hint="default" w:ascii="Times New Roman" w:hAnsi="Times New Roman" w:eastAsia="宋体" w:cs="Times New Roman"/>
          <w:b/>
          <w:bCs/>
          <w:color w:val="0000FF"/>
          <w:sz w:val="32"/>
          <w:szCs w:val="32"/>
          <w:highlight w:val="yellow"/>
          <w:lang w:val="en-US" w:eastAsia="zh-CN"/>
        </w:rPr>
      </w:pPr>
      <w:r>
        <w:rPr>
          <w:rFonts w:hint="eastAsia" w:ascii="Times New Roman" w:hAnsi="Times New Roman" w:eastAsia="方正小标宋_GBK" w:cs="Times New Roman"/>
          <w:b/>
          <w:bCs/>
          <w:color w:val="FF0000"/>
          <w:sz w:val="32"/>
          <w:szCs w:val="40"/>
          <w:highlight w:val="yellow"/>
          <w:lang w:val="en-US" w:eastAsia="zh-CN"/>
        </w:rPr>
        <w:t>3</w:t>
      </w:r>
      <w:r>
        <w:rPr>
          <w:rFonts w:hint="default" w:ascii="Times New Roman" w:hAnsi="Times New Roman" w:eastAsia="方正小标宋_GBK" w:cs="Times New Roman"/>
          <w:b/>
          <w:bCs/>
          <w:color w:val="FF0000"/>
          <w:sz w:val="32"/>
          <w:szCs w:val="40"/>
          <w:highlight w:val="yellow"/>
          <w:lang w:val="en-US" w:eastAsia="zh-CN"/>
        </w:rPr>
        <w:t>月</w:t>
      </w:r>
      <w:r>
        <w:rPr>
          <w:rFonts w:hint="eastAsia" w:ascii="Times New Roman" w:hAnsi="Times New Roman" w:eastAsia="方正小标宋_GBK" w:cs="Times New Roman"/>
          <w:b/>
          <w:bCs/>
          <w:color w:val="FF0000"/>
          <w:sz w:val="32"/>
          <w:szCs w:val="40"/>
          <w:highlight w:val="yellow"/>
          <w:lang w:val="en-US" w:eastAsia="zh-CN"/>
        </w:rPr>
        <w:t>17</w:t>
      </w:r>
      <w:r>
        <w:rPr>
          <w:rFonts w:hint="default" w:ascii="Times New Roman" w:hAnsi="Times New Roman" w:eastAsia="方正小标宋_GBK" w:cs="Times New Roman"/>
          <w:b/>
          <w:bCs/>
          <w:color w:val="FF0000"/>
          <w:sz w:val="32"/>
          <w:szCs w:val="40"/>
          <w:highlight w:val="yellow"/>
          <w:lang w:val="en-US" w:eastAsia="zh-CN"/>
        </w:rPr>
        <w:t>日</w:t>
      </w:r>
      <w:r>
        <w:rPr>
          <w:rFonts w:hint="default" w:ascii="Times New Roman" w:hAnsi="Times New Roman" w:eastAsia="方正魏碑简体" w:cs="Times New Roman"/>
          <w:b/>
          <w:bCs/>
          <w:color w:val="0000FF"/>
          <w:sz w:val="32"/>
          <w:szCs w:val="40"/>
          <w:highlight w:val="yellow"/>
          <w:lang w:val="en-US" w:eastAsia="zh-CN"/>
        </w:rPr>
        <w:t>（周</w:t>
      </w:r>
      <w:r>
        <w:rPr>
          <w:rFonts w:hint="eastAsia" w:ascii="Times New Roman" w:hAnsi="Times New Roman" w:eastAsia="方正魏碑简体" w:cs="Times New Roman"/>
          <w:b/>
          <w:bCs/>
          <w:color w:val="0000FF"/>
          <w:sz w:val="32"/>
          <w:szCs w:val="40"/>
          <w:highlight w:val="yellow"/>
          <w:lang w:val="en-US" w:eastAsia="zh-CN"/>
        </w:rPr>
        <w:t>日</w:t>
      </w:r>
      <w:r>
        <w:rPr>
          <w:rFonts w:hint="default" w:ascii="Times New Roman" w:hAnsi="Times New Roman" w:eastAsia="方正魏碑简体" w:cs="Times New Roman"/>
          <w:b/>
          <w:bCs/>
          <w:color w:val="0000FF"/>
          <w:sz w:val="32"/>
          <w:szCs w:val="40"/>
          <w:highlight w:val="yellow"/>
          <w:lang w:val="en-US" w:eastAsia="zh-CN"/>
        </w:rPr>
        <w:t>）</w:t>
      </w:r>
    </w:p>
    <w:p>
      <w:pPr>
        <w:jc w:val="center"/>
        <w:rPr>
          <w:rFonts w:hint="eastAsia" w:ascii="Times New Roman" w:hAnsi="Times New Roman" w:eastAsia="方正小标宋_GBK" w:cs="Times New Roman"/>
          <w:b/>
          <w:bCs/>
          <w:color w:val="0000FF"/>
          <w:sz w:val="36"/>
          <w:szCs w:val="44"/>
          <w:highlight w:val="yellow"/>
          <w:lang w:val="en-US" w:eastAsia="zh-CN"/>
        </w:rPr>
      </w:pPr>
      <w:r>
        <w:rPr>
          <w:rFonts w:hint="eastAsia" w:ascii="Times New Roman" w:hAnsi="Times New Roman" w:eastAsia="方正小标宋_GBK" w:cs="Times New Roman"/>
          <w:b/>
          <w:bCs/>
          <w:color w:val="0000FF"/>
          <w:sz w:val="36"/>
          <w:szCs w:val="44"/>
          <w:highlight w:val="yellow"/>
          <w:lang w:val="en-US" w:eastAsia="zh-CN"/>
        </w:rPr>
        <w:t>法国通胀高于预期，欧央行决策难度加大</w:t>
      </w:r>
    </w:p>
    <w:p>
      <w:pPr>
        <w:ind w:firstLine="608" w:firstLineChars="200"/>
        <w:jc w:val="left"/>
        <w:rPr>
          <w:rFonts w:hint="eastAsia" w:ascii="Times New Roman" w:hAnsi="Times New Roman" w:cs="Times New Roman"/>
          <w:sz w:val="32"/>
          <w:szCs w:val="32"/>
          <w:lang w:val="en-US" w:eastAsia="zh-CN"/>
        </w:rPr>
      </w:pPr>
      <w:r>
        <w:rPr>
          <w:rFonts w:hint="default" w:ascii="Times New Roman" w:hAnsi="Times New Roman" w:cs="Times New Roman"/>
          <w:sz w:val="32"/>
          <w:szCs w:val="32"/>
          <w:lang w:val="en-US" w:eastAsia="zh-CN"/>
        </w:rPr>
        <w:t>3</w:t>
      </w:r>
      <w:r>
        <w:rPr>
          <w:rFonts w:hint="eastAsia" w:ascii="Times New Roman" w:hAnsi="Times New Roman" w:cs="Times New Roman"/>
          <w:sz w:val="32"/>
          <w:szCs w:val="32"/>
          <w:lang w:val="en-US" w:eastAsia="zh-CN"/>
        </w:rPr>
        <w:t>月</w:t>
      </w:r>
      <w:r>
        <w:rPr>
          <w:rFonts w:hint="default" w:ascii="Times New Roman" w:hAnsi="Times New Roman" w:cs="Times New Roman"/>
          <w:sz w:val="32"/>
          <w:szCs w:val="32"/>
          <w:lang w:val="en-US" w:eastAsia="zh-CN"/>
        </w:rPr>
        <w:t>15</w:t>
      </w:r>
      <w:r>
        <w:rPr>
          <w:rFonts w:hint="eastAsia" w:ascii="Times New Roman" w:hAnsi="Times New Roman" w:cs="Times New Roman"/>
          <w:sz w:val="32"/>
          <w:szCs w:val="32"/>
          <w:lang w:val="en-US" w:eastAsia="zh-CN"/>
        </w:rPr>
        <w:t>日（周五），法国统计局和欧盟统计局公布了法国</w:t>
      </w:r>
      <w:r>
        <w:rPr>
          <w:rFonts w:hint="default" w:ascii="Times New Roman" w:hAnsi="Times New Roman" w:cs="Times New Roman"/>
          <w:sz w:val="32"/>
          <w:szCs w:val="32"/>
          <w:lang w:val="en-US" w:eastAsia="zh-CN"/>
        </w:rPr>
        <w:t>2</w:t>
      </w:r>
      <w:r>
        <w:rPr>
          <w:rFonts w:hint="eastAsia" w:ascii="Times New Roman" w:hAnsi="Times New Roman" w:cs="Times New Roman"/>
          <w:sz w:val="32"/>
          <w:szCs w:val="32"/>
          <w:lang w:val="en-US" w:eastAsia="zh-CN"/>
        </w:rPr>
        <w:t>月份的通胀数据（见下表）。与几日前公布的德国数据相比，法国的通货膨胀程度较重，数据均高于前值和预期。欧元区两大经济体的通胀走势相背，加大了欧洲央行货币政策的决策难度。</w:t>
      </w:r>
    </w:p>
    <w:p>
      <w:pPr>
        <w:rPr>
          <w:rFonts w:hint="eastAsia"/>
          <w:lang w:val="en-US" w:eastAsia="zh-CN"/>
        </w:rPr>
      </w:pPr>
      <w:r>
        <w:rPr>
          <w:rFonts w:hint="eastAsia"/>
          <w:lang w:val="en-US" w:eastAsia="zh-CN"/>
        </w:rPr>
        <w:drawing>
          <wp:inline distT="0" distB="0" distL="114300" distR="114300">
            <wp:extent cx="5610225" cy="1253490"/>
            <wp:effectExtent l="0" t="0" r="9525" b="3810"/>
            <wp:docPr id="15" name="图片 15" descr="微信截图_202403220845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微信截图_20240322084505"/>
                    <pic:cNvPicPr>
                      <a:picLocks noChangeAspect="1"/>
                    </pic:cNvPicPr>
                  </pic:nvPicPr>
                  <pic:blipFill>
                    <a:blip r:embed="rId9"/>
                    <a:stretch>
                      <a:fillRect/>
                    </a:stretch>
                  </pic:blipFill>
                  <pic:spPr>
                    <a:xfrm>
                      <a:off x="0" y="0"/>
                      <a:ext cx="5610225" cy="1253490"/>
                    </a:xfrm>
                    <a:prstGeom prst="rect">
                      <a:avLst/>
                    </a:prstGeom>
                  </pic:spPr>
                </pic:pic>
              </a:graphicData>
            </a:graphic>
          </wp:inline>
        </w:drawing>
      </w:r>
    </w:p>
    <w:p>
      <w:pPr>
        <w:ind w:firstLine="608" w:firstLineChars="200"/>
        <w:jc w:val="left"/>
        <w:rPr>
          <w:rFonts w:hint="eastAsia" w:ascii="Times New Roman" w:hAnsi="Times New Roman" w:cs="Times New Roman"/>
          <w:sz w:val="32"/>
          <w:szCs w:val="32"/>
          <w:lang w:val="en-US" w:eastAsia="zh-CN"/>
        </w:rPr>
      </w:pPr>
      <w:r>
        <w:rPr>
          <w:rFonts w:hint="eastAsia" w:ascii="Times New Roman" w:hAnsi="Times New Roman" w:cs="Times New Roman"/>
          <w:sz w:val="32"/>
          <w:szCs w:val="32"/>
          <w:lang w:val="en-US" w:eastAsia="zh-CN"/>
        </w:rPr>
        <w:t>欧央行官员说，欧洲正处于“竞争力危机”之中。但如何提高竞争力，存在着分歧。</w:t>
      </w:r>
    </w:p>
    <w:p>
      <w:pPr>
        <w:ind w:firstLine="608" w:firstLineChars="200"/>
        <w:jc w:val="left"/>
        <w:rPr>
          <w:rFonts w:hint="default" w:ascii="Times New Roman" w:hAnsi="Times New Roman" w:cs="Times New Roman"/>
          <w:sz w:val="32"/>
          <w:szCs w:val="32"/>
          <w:lang w:val="en-US" w:eastAsia="zh-CN"/>
        </w:rPr>
      </w:pPr>
      <w:r>
        <w:rPr>
          <w:rFonts w:hint="default" w:ascii="Times New Roman" w:hAnsi="Times New Roman" w:cs="Times New Roman"/>
          <w:sz w:val="32"/>
          <w:szCs w:val="32"/>
          <w:lang w:val="en-US" w:eastAsia="zh-CN"/>
        </w:rPr>
        <w:t>欧洲工业可以通过削减工资或解雇大量工人来提高竞争力</w:t>
      </w:r>
      <w:r>
        <w:rPr>
          <w:rFonts w:hint="eastAsia" w:ascii="Times New Roman" w:hAnsi="Times New Roman" w:cs="Times New Roman"/>
          <w:sz w:val="32"/>
          <w:szCs w:val="32"/>
          <w:lang w:val="en-US" w:eastAsia="zh-CN"/>
        </w:rPr>
        <w:t>，但各国政府不</w:t>
      </w:r>
      <w:r>
        <w:rPr>
          <w:rFonts w:hint="default" w:ascii="Times New Roman" w:hAnsi="Times New Roman" w:cs="Times New Roman"/>
          <w:sz w:val="32"/>
          <w:szCs w:val="32"/>
          <w:lang w:val="en-US" w:eastAsia="zh-CN"/>
        </w:rPr>
        <w:t>希望看到</w:t>
      </w:r>
      <w:r>
        <w:rPr>
          <w:rFonts w:hint="eastAsia" w:ascii="Times New Roman" w:hAnsi="Times New Roman" w:cs="Times New Roman"/>
          <w:sz w:val="32"/>
          <w:szCs w:val="32"/>
          <w:lang w:val="en-US" w:eastAsia="zh-CN"/>
        </w:rPr>
        <w:t>这种局面</w:t>
      </w:r>
      <w:r>
        <w:rPr>
          <w:rFonts w:hint="default" w:ascii="Times New Roman" w:hAnsi="Times New Roman" w:cs="Times New Roman"/>
          <w:sz w:val="32"/>
          <w:szCs w:val="32"/>
          <w:lang w:val="en-US" w:eastAsia="zh-CN"/>
        </w:rPr>
        <w:t>。企业</w:t>
      </w:r>
      <w:r>
        <w:rPr>
          <w:rFonts w:hint="eastAsia" w:ascii="Times New Roman" w:hAnsi="Times New Roman" w:cs="Times New Roman"/>
          <w:sz w:val="32"/>
          <w:szCs w:val="32"/>
          <w:lang w:val="en-US" w:eastAsia="zh-CN"/>
        </w:rPr>
        <w:t>界有呼声</w:t>
      </w:r>
      <w:r>
        <w:rPr>
          <w:rFonts w:hint="default" w:ascii="Times New Roman" w:hAnsi="Times New Roman" w:cs="Times New Roman"/>
          <w:sz w:val="32"/>
          <w:szCs w:val="32"/>
          <w:lang w:val="en-US" w:eastAsia="zh-CN"/>
        </w:rPr>
        <w:t>，</w:t>
      </w:r>
      <w:r>
        <w:rPr>
          <w:rFonts w:hint="eastAsia" w:ascii="Times New Roman" w:hAnsi="Times New Roman" w:cs="Times New Roman"/>
          <w:sz w:val="32"/>
          <w:szCs w:val="32"/>
          <w:lang w:val="en-US" w:eastAsia="zh-CN"/>
        </w:rPr>
        <w:t>应该</w:t>
      </w:r>
      <w:r>
        <w:rPr>
          <w:rFonts w:hint="default" w:ascii="Times New Roman" w:hAnsi="Times New Roman" w:cs="Times New Roman"/>
          <w:sz w:val="32"/>
          <w:szCs w:val="32"/>
          <w:lang w:val="en-US" w:eastAsia="zh-CN"/>
        </w:rPr>
        <w:t>放</w:t>
      </w:r>
      <w:r>
        <w:rPr>
          <w:rFonts w:hint="eastAsia" w:ascii="Times New Roman" w:hAnsi="Times New Roman" w:cs="Times New Roman"/>
          <w:sz w:val="32"/>
          <w:szCs w:val="32"/>
          <w:lang w:val="en-US" w:eastAsia="zh-CN"/>
        </w:rPr>
        <w:t>松</w:t>
      </w:r>
      <w:r>
        <w:rPr>
          <w:rFonts w:hint="default" w:ascii="Times New Roman" w:hAnsi="Times New Roman" w:cs="Times New Roman"/>
          <w:sz w:val="32"/>
          <w:szCs w:val="32"/>
          <w:lang w:val="en-US" w:eastAsia="zh-CN"/>
        </w:rPr>
        <w:t>绿色</w:t>
      </w:r>
      <w:r>
        <w:rPr>
          <w:rFonts w:hint="eastAsia" w:ascii="Times New Roman" w:hAnsi="Times New Roman" w:cs="Times New Roman"/>
          <w:sz w:val="32"/>
          <w:szCs w:val="32"/>
          <w:lang w:val="en-US" w:eastAsia="zh-CN"/>
        </w:rPr>
        <w:t>法规</w:t>
      </w:r>
      <w:r>
        <w:rPr>
          <w:rFonts w:hint="default" w:ascii="Times New Roman" w:hAnsi="Times New Roman" w:cs="Times New Roman"/>
          <w:sz w:val="32"/>
          <w:szCs w:val="32"/>
          <w:lang w:val="en-US" w:eastAsia="zh-CN"/>
        </w:rPr>
        <w:t>来提高</w:t>
      </w:r>
      <w:r>
        <w:rPr>
          <w:rFonts w:hint="eastAsia" w:ascii="Times New Roman" w:hAnsi="Times New Roman" w:cs="Times New Roman"/>
          <w:sz w:val="32"/>
          <w:szCs w:val="32"/>
          <w:lang w:val="en-US" w:eastAsia="zh-CN"/>
        </w:rPr>
        <w:t>产业</w:t>
      </w:r>
      <w:r>
        <w:rPr>
          <w:rFonts w:hint="default" w:ascii="Times New Roman" w:hAnsi="Times New Roman" w:cs="Times New Roman"/>
          <w:sz w:val="32"/>
          <w:szCs w:val="32"/>
          <w:lang w:val="en-US" w:eastAsia="zh-CN"/>
        </w:rPr>
        <w:t>竞争力，</w:t>
      </w:r>
      <w:r>
        <w:rPr>
          <w:rFonts w:hint="eastAsia" w:ascii="Times New Roman" w:hAnsi="Times New Roman" w:cs="Times New Roman"/>
          <w:sz w:val="32"/>
          <w:szCs w:val="32"/>
          <w:lang w:val="en-US" w:eastAsia="zh-CN"/>
        </w:rPr>
        <w:t>但面对全球气候变化这个更大的挑战，绝不能这么做</w:t>
      </w:r>
      <w:r>
        <w:rPr>
          <w:rFonts w:hint="default" w:ascii="Times New Roman" w:hAnsi="Times New Roman" w:cs="Times New Roman"/>
          <w:sz w:val="32"/>
          <w:szCs w:val="32"/>
          <w:lang w:val="en-US" w:eastAsia="zh-CN"/>
        </w:rPr>
        <w:t>。输入大量移民</w:t>
      </w:r>
      <w:r>
        <w:rPr>
          <w:rFonts w:hint="eastAsia" w:ascii="Times New Roman" w:hAnsi="Times New Roman" w:cs="Times New Roman"/>
          <w:sz w:val="32"/>
          <w:szCs w:val="32"/>
          <w:lang w:val="en-US" w:eastAsia="zh-CN"/>
        </w:rPr>
        <w:t>，也能</w:t>
      </w:r>
      <w:r>
        <w:rPr>
          <w:rFonts w:hint="default" w:ascii="Times New Roman" w:hAnsi="Times New Roman" w:cs="Times New Roman"/>
          <w:sz w:val="32"/>
          <w:szCs w:val="32"/>
          <w:lang w:val="en-US" w:eastAsia="zh-CN"/>
        </w:rPr>
        <w:t>提高</w:t>
      </w:r>
      <w:r>
        <w:rPr>
          <w:rFonts w:hint="eastAsia" w:ascii="Times New Roman" w:hAnsi="Times New Roman" w:cs="Times New Roman"/>
          <w:sz w:val="32"/>
          <w:szCs w:val="32"/>
          <w:lang w:val="en-US" w:eastAsia="zh-CN"/>
        </w:rPr>
        <w:t>竞争力、扩大总产出</w:t>
      </w:r>
      <w:r>
        <w:rPr>
          <w:rFonts w:hint="default" w:ascii="Times New Roman" w:hAnsi="Times New Roman" w:cs="Times New Roman"/>
          <w:sz w:val="32"/>
          <w:szCs w:val="32"/>
          <w:lang w:val="en-US" w:eastAsia="zh-CN"/>
        </w:rPr>
        <w:t>，但</w:t>
      </w:r>
      <w:r>
        <w:rPr>
          <w:rFonts w:hint="eastAsia" w:ascii="Times New Roman" w:hAnsi="Times New Roman" w:cs="Times New Roman"/>
          <w:sz w:val="32"/>
          <w:szCs w:val="32"/>
          <w:lang w:val="en-US" w:eastAsia="zh-CN"/>
        </w:rPr>
        <w:t>由此</w:t>
      </w:r>
      <w:r>
        <w:rPr>
          <w:rFonts w:hint="default" w:ascii="Times New Roman" w:hAnsi="Times New Roman" w:cs="Times New Roman"/>
          <w:sz w:val="32"/>
          <w:szCs w:val="32"/>
          <w:lang w:val="en-US" w:eastAsia="zh-CN"/>
        </w:rPr>
        <w:t>产生</w:t>
      </w:r>
      <w:r>
        <w:rPr>
          <w:rFonts w:hint="eastAsia" w:ascii="Times New Roman" w:hAnsi="Times New Roman" w:cs="Times New Roman"/>
          <w:sz w:val="32"/>
          <w:szCs w:val="32"/>
          <w:lang w:val="en-US" w:eastAsia="zh-CN"/>
        </w:rPr>
        <w:t>的</w:t>
      </w:r>
      <w:r>
        <w:rPr>
          <w:rFonts w:hint="default" w:ascii="Times New Roman" w:hAnsi="Times New Roman" w:cs="Times New Roman"/>
          <w:sz w:val="32"/>
          <w:szCs w:val="32"/>
          <w:lang w:val="en-US" w:eastAsia="zh-CN"/>
        </w:rPr>
        <w:t>政治影响</w:t>
      </w:r>
      <w:r>
        <w:rPr>
          <w:rFonts w:hint="eastAsia" w:ascii="Times New Roman" w:hAnsi="Times New Roman" w:cs="Times New Roman"/>
          <w:sz w:val="32"/>
          <w:szCs w:val="32"/>
          <w:lang w:val="en-US" w:eastAsia="zh-CN"/>
        </w:rPr>
        <w:t>难以控制</w:t>
      </w:r>
      <w:r>
        <w:rPr>
          <w:rFonts w:hint="default" w:ascii="Times New Roman" w:hAnsi="Times New Roman" w:cs="Times New Roman"/>
          <w:sz w:val="32"/>
          <w:szCs w:val="32"/>
          <w:lang w:val="en-US" w:eastAsia="zh-CN"/>
        </w:rPr>
        <w:t>。</w:t>
      </w:r>
    </w:p>
    <w:tbl>
      <w:tblPr>
        <w:tblStyle w:val="15"/>
        <w:tblpPr w:leftFromText="180" w:rightFromText="180" w:vertAnchor="text" w:horzAnchor="page" w:tblpX="1668" w:tblpY="181"/>
        <w:tblOverlap w:val="never"/>
        <w:tblW w:w="894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623"/>
        <w:gridCol w:w="431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438" w:hRule="atLeast"/>
        </w:trPr>
        <w:tc>
          <w:tcPr>
            <w:tcW w:w="4623" w:type="dxa"/>
            <w:vMerge w:val="restart"/>
            <w:tcBorders>
              <w:tl2br w:val="nil"/>
              <w:tr2bl w:val="nil"/>
            </w:tcBorders>
            <w:vAlign w:val="top"/>
          </w:tcPr>
          <w:p>
            <w:pPr>
              <w:ind w:firstLine="608" w:firstLineChars="200"/>
              <w:jc w:val="left"/>
              <w:rPr>
                <w:rFonts w:hint="eastAsia" w:ascii="Times New Roman" w:hAnsi="Times New Roman" w:cs="Times New Roman"/>
                <w:sz w:val="32"/>
                <w:szCs w:val="32"/>
                <w:lang w:val="en-US" w:eastAsia="zh-CN"/>
              </w:rPr>
            </w:pPr>
            <w:r>
              <w:rPr>
                <w:rFonts w:hint="eastAsia" w:ascii="Times New Roman" w:hAnsi="Times New Roman" w:cs="Times New Roman"/>
                <w:sz w:val="32"/>
                <w:szCs w:val="32"/>
                <w:lang w:val="en-US" w:eastAsia="zh-CN"/>
              </w:rPr>
              <w:t>过去，欧洲某些产业是依赖廉价能源来获取竞争力并维持生产的，如果廉价的俄罗斯天然气一直无法供应，欧洲这些能源密集型的产业可能永远无法恢复了。</w:t>
            </w:r>
          </w:p>
        </w:tc>
        <w:tc>
          <w:tcPr>
            <w:tcW w:w="4317" w:type="dxa"/>
            <w:tcBorders>
              <w:tl2br w:val="nil"/>
              <w:tr2bl w:val="nil"/>
            </w:tcBorders>
            <w:vAlign w:val="top"/>
          </w:tcPr>
          <w:p>
            <w:pPr>
              <w:jc w:val="left"/>
              <w:rPr>
                <w:rFonts w:hint="default" w:ascii="Times New Roman" w:hAnsi="Times New Roman" w:cs="Times New Roman"/>
                <w:sz w:val="32"/>
                <w:szCs w:val="32"/>
                <w:vertAlign w:val="baseline"/>
              </w:rPr>
            </w:pPr>
            <w:r>
              <w:drawing>
                <wp:inline distT="0" distB="0" distL="114300" distR="114300">
                  <wp:extent cx="2517140" cy="1623060"/>
                  <wp:effectExtent l="0" t="0" r="16510" b="15240"/>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10"/>
                          <a:stretch>
                            <a:fillRect/>
                          </a:stretch>
                        </pic:blipFill>
                        <pic:spPr>
                          <a:xfrm>
                            <a:off x="0" y="0"/>
                            <a:ext cx="2517140" cy="1623060"/>
                          </a:xfrm>
                          <a:prstGeom prst="rect">
                            <a:avLst/>
                          </a:prstGeom>
                          <a:noFill/>
                          <a:ln>
                            <a:noFill/>
                          </a:ln>
                        </pic:spPr>
                      </pic:pic>
                    </a:graphicData>
                  </a:graphic>
                </wp:inline>
              </w:drawing>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36" w:hRule="atLeast"/>
        </w:trPr>
        <w:tc>
          <w:tcPr>
            <w:tcW w:w="4623" w:type="dxa"/>
            <w:vMerge w:val="continue"/>
            <w:tcBorders>
              <w:tl2br w:val="nil"/>
              <w:tr2bl w:val="nil"/>
            </w:tcBorders>
            <w:vAlign w:val="top"/>
          </w:tcPr>
          <w:p>
            <w:pPr>
              <w:jc w:val="left"/>
              <w:rPr>
                <w:rFonts w:hint="eastAsia" w:ascii="Times New Roman" w:hAnsi="Times New Roman" w:cs="Times New Roman"/>
                <w:sz w:val="32"/>
                <w:szCs w:val="32"/>
                <w:lang w:val="en-US" w:eastAsia="zh-CN"/>
              </w:rPr>
            </w:pPr>
          </w:p>
        </w:tc>
        <w:tc>
          <w:tcPr>
            <w:tcW w:w="4317"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360" w:lineRule="exact"/>
              <w:textAlignment w:val="auto"/>
              <w:outlineLvl w:val="9"/>
            </w:pPr>
            <w:r>
              <w:rPr>
                <w:rFonts w:hint="eastAsia" w:ascii="方正楷体_GBK" w:hAnsi="方正楷体_GBK" w:eastAsia="方正楷体_GBK" w:cs="方正楷体_GBK"/>
                <w:sz w:val="28"/>
                <w:szCs w:val="28"/>
                <w:lang w:eastAsia="zh-CN"/>
              </w:rPr>
              <w:t>（图：</w:t>
            </w:r>
            <w:r>
              <w:rPr>
                <w:rFonts w:hint="eastAsia" w:ascii="方正楷体_GBK" w:hAnsi="方正楷体_GBK" w:eastAsia="方正楷体_GBK" w:cs="方正楷体_GBK"/>
                <w:sz w:val="28"/>
                <w:szCs w:val="28"/>
                <w:lang w:val="en-US" w:eastAsia="zh-CN"/>
              </w:rPr>
              <w:t>法国的经济增长率</w:t>
            </w:r>
            <w:r>
              <w:rPr>
                <w:rFonts w:hint="eastAsia" w:ascii="方正楷体_GBK" w:hAnsi="方正楷体_GBK" w:eastAsia="方正楷体_GBK" w:cs="方正楷体_GBK"/>
                <w:sz w:val="28"/>
                <w:szCs w:val="28"/>
                <w:lang w:eastAsia="zh-CN"/>
              </w:rPr>
              <w:t>）</w:t>
            </w:r>
          </w:p>
        </w:tc>
      </w:tr>
    </w:tbl>
    <w:p>
      <w:pPr>
        <w:ind w:left="0" w:leftChars="0" w:firstLine="0" w:firstLineChars="0"/>
        <w:jc w:val="left"/>
        <w:rPr>
          <w:rFonts w:hint="default" w:ascii="Times New Roman" w:hAnsi="Times New Roman" w:eastAsia="宋体" w:cs="Times New Roman"/>
          <w:b/>
          <w:bCs/>
          <w:color w:val="0000FF"/>
          <w:sz w:val="32"/>
          <w:szCs w:val="32"/>
          <w:highlight w:val="yellow"/>
          <w:lang w:val="en-US" w:eastAsia="zh-CN"/>
        </w:rPr>
      </w:pPr>
      <w:r>
        <w:rPr>
          <w:rFonts w:hint="eastAsia" w:ascii="Times New Roman" w:hAnsi="Times New Roman" w:eastAsia="方正小标宋_GBK" w:cs="Times New Roman"/>
          <w:b/>
          <w:bCs/>
          <w:color w:val="FF0000"/>
          <w:sz w:val="32"/>
          <w:szCs w:val="40"/>
          <w:highlight w:val="yellow"/>
          <w:lang w:val="en-US" w:eastAsia="zh-CN"/>
        </w:rPr>
        <w:t>3</w:t>
      </w:r>
      <w:r>
        <w:rPr>
          <w:rFonts w:hint="default" w:ascii="Times New Roman" w:hAnsi="Times New Roman" w:eastAsia="方正小标宋_GBK" w:cs="Times New Roman"/>
          <w:b/>
          <w:bCs/>
          <w:color w:val="FF0000"/>
          <w:sz w:val="32"/>
          <w:szCs w:val="40"/>
          <w:highlight w:val="yellow"/>
          <w:lang w:val="en-US" w:eastAsia="zh-CN"/>
        </w:rPr>
        <w:t>月</w:t>
      </w:r>
      <w:r>
        <w:rPr>
          <w:rFonts w:hint="eastAsia" w:ascii="Times New Roman" w:hAnsi="Times New Roman" w:eastAsia="方正小标宋_GBK" w:cs="Times New Roman"/>
          <w:b/>
          <w:bCs/>
          <w:color w:val="FF0000"/>
          <w:sz w:val="32"/>
          <w:szCs w:val="40"/>
          <w:highlight w:val="yellow"/>
          <w:lang w:val="en-US" w:eastAsia="zh-CN"/>
        </w:rPr>
        <w:t>18</w:t>
      </w:r>
      <w:r>
        <w:rPr>
          <w:rFonts w:hint="default" w:ascii="Times New Roman" w:hAnsi="Times New Roman" w:eastAsia="方正小标宋_GBK" w:cs="Times New Roman"/>
          <w:b/>
          <w:bCs/>
          <w:color w:val="FF0000"/>
          <w:sz w:val="32"/>
          <w:szCs w:val="40"/>
          <w:highlight w:val="yellow"/>
          <w:lang w:val="en-US" w:eastAsia="zh-CN"/>
        </w:rPr>
        <w:t>日</w:t>
      </w:r>
      <w:r>
        <w:rPr>
          <w:rFonts w:hint="default" w:ascii="Times New Roman" w:hAnsi="Times New Roman" w:eastAsia="方正魏碑简体" w:cs="Times New Roman"/>
          <w:b/>
          <w:bCs/>
          <w:color w:val="0000FF"/>
          <w:sz w:val="32"/>
          <w:szCs w:val="40"/>
          <w:highlight w:val="yellow"/>
          <w:lang w:val="en-US" w:eastAsia="zh-CN"/>
        </w:rPr>
        <w:t>（周</w:t>
      </w:r>
      <w:r>
        <w:rPr>
          <w:rFonts w:hint="eastAsia" w:ascii="Times New Roman" w:hAnsi="Times New Roman" w:eastAsia="方正魏碑简体" w:cs="Times New Roman"/>
          <w:b/>
          <w:bCs/>
          <w:color w:val="0000FF"/>
          <w:sz w:val="32"/>
          <w:szCs w:val="40"/>
          <w:highlight w:val="yellow"/>
          <w:lang w:val="en-US" w:eastAsia="zh-CN"/>
        </w:rPr>
        <w:t>一</w:t>
      </w:r>
      <w:r>
        <w:rPr>
          <w:rFonts w:hint="default" w:ascii="Times New Roman" w:hAnsi="Times New Roman" w:eastAsia="方正魏碑简体" w:cs="Times New Roman"/>
          <w:b/>
          <w:bCs/>
          <w:color w:val="0000FF"/>
          <w:sz w:val="32"/>
          <w:szCs w:val="40"/>
          <w:highlight w:val="yellow"/>
          <w:lang w:val="en-US" w:eastAsia="zh-CN"/>
        </w:rPr>
        <w:t>）</w:t>
      </w:r>
    </w:p>
    <w:p>
      <w:pPr>
        <w:jc w:val="center"/>
        <w:rPr>
          <w:rFonts w:hint="eastAsia" w:ascii="Times New Roman" w:hAnsi="Times New Roman" w:eastAsia="方正小标宋_GBK" w:cs="Times New Roman"/>
          <w:b/>
          <w:bCs/>
          <w:color w:val="0000FF"/>
          <w:sz w:val="36"/>
          <w:szCs w:val="44"/>
          <w:highlight w:val="yellow"/>
          <w:lang w:val="en-US" w:eastAsia="zh-CN"/>
        </w:rPr>
      </w:pPr>
      <w:r>
        <w:rPr>
          <w:rFonts w:hint="eastAsia" w:ascii="Times New Roman" w:hAnsi="Times New Roman" w:eastAsia="方正小标宋_GBK" w:cs="Times New Roman"/>
          <w:b/>
          <w:bCs/>
          <w:color w:val="0000FF"/>
          <w:sz w:val="36"/>
          <w:szCs w:val="44"/>
          <w:highlight w:val="yellow"/>
          <w:lang w:val="en-US" w:eastAsia="zh-CN"/>
        </w:rPr>
        <w:t>埃及汇率暴跌陷入债务危机，欧盟承诺相助</w:t>
      </w:r>
    </w:p>
    <w:p>
      <w:pPr>
        <w:ind w:firstLine="608" w:firstLineChars="200"/>
        <w:jc w:val="left"/>
        <w:rPr>
          <w:rFonts w:hint="eastAsia" w:ascii="Times New Roman" w:hAnsi="Times New Roman" w:cs="Times New Roman"/>
          <w:sz w:val="32"/>
          <w:szCs w:val="32"/>
          <w:lang w:val="en-US" w:eastAsia="zh-CN"/>
        </w:rPr>
      </w:pPr>
      <w:r>
        <w:rPr>
          <w:rFonts w:hint="eastAsia" w:ascii="Times New Roman" w:hAnsi="Times New Roman" w:cs="Times New Roman"/>
          <w:sz w:val="32"/>
          <w:szCs w:val="32"/>
          <w:lang w:val="en-US" w:eastAsia="zh-CN"/>
        </w:rPr>
        <w:t>因俄乌战争和巴以冲突的影响，埃及粮食支出猛增，旅游收入和苏伊士运河通行收入锐减，经济遭受巨大的冲击，2023年12月份的年化通货膨胀率达到34%，埃及镑的汇率持续走低，几近崩溃（见图），货币贬值又导致埃及政府陷入债务危机。</w:t>
      </w:r>
    </w:p>
    <w:p>
      <w:pPr>
        <w:ind w:firstLine="388" w:firstLineChars="200"/>
        <w:jc w:val="center"/>
      </w:pPr>
      <w:r>
        <w:drawing>
          <wp:inline distT="0" distB="0" distL="114300" distR="114300">
            <wp:extent cx="3081655" cy="2150110"/>
            <wp:effectExtent l="0" t="0" r="4445" b="2540"/>
            <wp:docPr id="2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
                    <pic:cNvPicPr>
                      <a:picLocks noChangeAspect="1"/>
                    </pic:cNvPicPr>
                  </pic:nvPicPr>
                  <pic:blipFill>
                    <a:blip r:embed="rId11"/>
                    <a:stretch>
                      <a:fillRect/>
                    </a:stretch>
                  </pic:blipFill>
                  <pic:spPr>
                    <a:xfrm>
                      <a:off x="0" y="0"/>
                      <a:ext cx="3081655" cy="2150110"/>
                    </a:xfrm>
                    <a:prstGeom prst="rect">
                      <a:avLst/>
                    </a:prstGeom>
                    <a:noFill/>
                    <a:ln>
                      <a:noFill/>
                    </a:ln>
                  </pic:spPr>
                </pic:pic>
              </a:graphicData>
            </a:graphic>
          </wp:inline>
        </w:drawing>
      </w:r>
    </w:p>
    <w:p>
      <w:pPr>
        <w:ind w:firstLine="608" w:firstLineChars="200"/>
        <w:jc w:val="left"/>
        <w:rPr>
          <w:rFonts w:hint="eastAsia" w:ascii="Times New Roman" w:hAnsi="Times New Roman" w:cs="Times New Roman"/>
          <w:sz w:val="32"/>
          <w:szCs w:val="32"/>
          <w:lang w:val="en-US" w:eastAsia="zh-CN"/>
        </w:rPr>
      </w:pPr>
      <w:r>
        <w:rPr>
          <w:rFonts w:hint="eastAsia" w:ascii="Times New Roman" w:hAnsi="Times New Roman" w:cs="Times New Roman"/>
          <w:sz w:val="32"/>
          <w:szCs w:val="32"/>
          <w:lang w:val="en-US" w:eastAsia="zh-CN"/>
        </w:rPr>
        <w:t>埃及的地缘位置极为重要，对中东地区的政治影响巨大。近日，欧盟宣布将在三年内向埃及提供74亿欧元（81亿美元）的一揽子援助。该计划旨在支撑埃及疲弱的经济，以此限制离开埃及前往欧洲的移民数量。欧盟与埃及将双边关系升级为“战略伙伴关系”，并计划在能源和贸易等多个经济领域开展合作。</w:t>
      </w:r>
    </w:p>
    <w:p>
      <w:pPr>
        <w:ind w:firstLine="388" w:firstLineChars="200"/>
        <w:jc w:val="center"/>
        <w:rPr>
          <w:rFonts w:hint="eastAsia" w:ascii="Times New Roman" w:hAnsi="Times New Roman" w:cs="Times New Roman"/>
          <w:sz w:val="32"/>
          <w:szCs w:val="32"/>
          <w:lang w:val="en-US" w:eastAsia="zh-CN"/>
        </w:rPr>
      </w:pPr>
      <w:r>
        <w:drawing>
          <wp:inline distT="0" distB="0" distL="114300" distR="114300">
            <wp:extent cx="3819525" cy="1498600"/>
            <wp:effectExtent l="0" t="0" r="9525" b="6350"/>
            <wp:docPr id="2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3"/>
                    <pic:cNvPicPr>
                      <a:picLocks noChangeAspect="1"/>
                    </pic:cNvPicPr>
                  </pic:nvPicPr>
                  <pic:blipFill>
                    <a:blip r:embed="rId12"/>
                    <a:stretch>
                      <a:fillRect/>
                    </a:stretch>
                  </pic:blipFill>
                  <pic:spPr>
                    <a:xfrm>
                      <a:off x="0" y="0"/>
                      <a:ext cx="3819525" cy="1498600"/>
                    </a:xfrm>
                    <a:prstGeom prst="rect">
                      <a:avLst/>
                    </a:prstGeom>
                    <a:noFill/>
                    <a:ln>
                      <a:noFill/>
                    </a:ln>
                  </pic:spPr>
                </pic:pic>
              </a:graphicData>
            </a:graphic>
          </wp:inline>
        </w:drawing>
      </w:r>
    </w:p>
    <w:p>
      <w:pPr>
        <w:ind w:left="0" w:leftChars="0" w:firstLine="0" w:firstLineChars="0"/>
        <w:jc w:val="left"/>
        <w:rPr>
          <w:rFonts w:hint="default" w:ascii="Calibri" w:hAnsi="Calibri" w:eastAsia="宋体" w:cs="Calibri"/>
          <w:b/>
          <w:bCs/>
          <w:color w:val="0000FF"/>
          <w:highlight w:val="yellow"/>
          <w:lang w:val="en-US" w:eastAsia="zh-CN"/>
        </w:rPr>
      </w:pPr>
      <w:r>
        <w:rPr>
          <w:rFonts w:hint="eastAsia" w:ascii="Times New Roman" w:hAnsi="Times New Roman" w:eastAsia="方正小标宋_GBK" w:cs="Times New Roman"/>
          <w:b/>
          <w:bCs/>
          <w:color w:val="FF0000"/>
          <w:sz w:val="32"/>
          <w:szCs w:val="40"/>
          <w:highlight w:val="yellow"/>
          <w:lang w:val="en-US" w:eastAsia="zh-CN"/>
        </w:rPr>
        <w:t>3</w:t>
      </w:r>
      <w:r>
        <w:rPr>
          <w:rFonts w:hint="default" w:ascii="Times New Roman" w:hAnsi="Times New Roman" w:eastAsia="方正小标宋_GBK" w:cs="Times New Roman"/>
          <w:b/>
          <w:bCs/>
          <w:color w:val="FF0000"/>
          <w:sz w:val="32"/>
          <w:szCs w:val="40"/>
          <w:highlight w:val="yellow"/>
          <w:lang w:val="en-US" w:eastAsia="zh-CN"/>
        </w:rPr>
        <w:t>月</w:t>
      </w:r>
      <w:r>
        <w:rPr>
          <w:rFonts w:hint="eastAsia" w:ascii="Times New Roman" w:hAnsi="Times New Roman" w:eastAsia="方正小标宋_GBK" w:cs="Times New Roman"/>
          <w:b/>
          <w:bCs/>
          <w:color w:val="FF0000"/>
          <w:sz w:val="32"/>
          <w:szCs w:val="40"/>
          <w:highlight w:val="yellow"/>
          <w:lang w:val="en-US" w:eastAsia="zh-CN"/>
        </w:rPr>
        <w:t>19</w:t>
      </w:r>
      <w:r>
        <w:rPr>
          <w:rFonts w:hint="default" w:ascii="Times New Roman" w:hAnsi="Times New Roman" w:eastAsia="方正小标宋_GBK" w:cs="Times New Roman"/>
          <w:b/>
          <w:bCs/>
          <w:color w:val="FF0000"/>
          <w:sz w:val="32"/>
          <w:szCs w:val="40"/>
          <w:highlight w:val="yellow"/>
          <w:lang w:val="en-US" w:eastAsia="zh-CN"/>
        </w:rPr>
        <w:t>日</w:t>
      </w:r>
      <w:r>
        <w:rPr>
          <w:rFonts w:hint="default" w:ascii="Times New Roman" w:hAnsi="Times New Roman" w:eastAsia="方正魏碑简体" w:cs="Times New Roman"/>
          <w:b/>
          <w:bCs/>
          <w:color w:val="0000FF"/>
          <w:sz w:val="32"/>
          <w:szCs w:val="40"/>
          <w:highlight w:val="yellow"/>
          <w:lang w:val="en-US" w:eastAsia="zh-CN"/>
        </w:rPr>
        <w:t>（周</w:t>
      </w:r>
      <w:r>
        <w:rPr>
          <w:rFonts w:hint="eastAsia" w:ascii="Times New Roman" w:hAnsi="Times New Roman" w:eastAsia="方正魏碑简体" w:cs="Times New Roman"/>
          <w:b/>
          <w:bCs/>
          <w:color w:val="0000FF"/>
          <w:sz w:val="32"/>
          <w:szCs w:val="40"/>
          <w:highlight w:val="yellow"/>
          <w:lang w:val="en-US" w:eastAsia="zh-CN"/>
        </w:rPr>
        <w:t>二</w:t>
      </w:r>
      <w:r>
        <w:rPr>
          <w:rFonts w:hint="default" w:ascii="Times New Roman" w:hAnsi="Times New Roman" w:eastAsia="方正魏碑简体" w:cs="Times New Roman"/>
          <w:b/>
          <w:bCs/>
          <w:color w:val="0000FF"/>
          <w:sz w:val="32"/>
          <w:szCs w:val="40"/>
          <w:highlight w:val="yellow"/>
          <w:lang w:val="en-US" w:eastAsia="zh-CN"/>
        </w:rPr>
        <w:t>）</w:t>
      </w:r>
    </w:p>
    <w:p>
      <w:pPr>
        <w:jc w:val="center"/>
        <w:rPr>
          <w:rFonts w:hint="eastAsia" w:ascii="Times New Roman" w:hAnsi="Times New Roman" w:eastAsia="方正小标宋_GBK" w:cs="Times New Roman"/>
          <w:b/>
          <w:bCs/>
          <w:color w:val="0000FF"/>
          <w:sz w:val="36"/>
          <w:szCs w:val="44"/>
          <w:highlight w:val="yellow"/>
          <w:lang w:val="en-US" w:eastAsia="zh-CN"/>
        </w:rPr>
      </w:pPr>
      <w:r>
        <w:rPr>
          <w:rFonts w:hint="eastAsia" w:ascii="Times New Roman" w:hAnsi="Times New Roman" w:eastAsia="方正小标宋_GBK" w:cs="Times New Roman"/>
          <w:b/>
          <w:bCs/>
          <w:color w:val="0000FF"/>
          <w:sz w:val="36"/>
          <w:szCs w:val="44"/>
          <w:highlight w:val="yellow"/>
          <w:lang w:val="en-US" w:eastAsia="zh-CN"/>
        </w:rPr>
        <w:t>日本结束负利率政策，密切关注日元走势</w:t>
      </w:r>
    </w:p>
    <w:p>
      <w:pPr>
        <w:ind w:firstLine="608" w:firstLineChars="200"/>
        <w:jc w:val="left"/>
        <w:rPr>
          <w:rFonts w:hint="eastAsia" w:ascii="Times New Roman" w:hAnsi="Times New Roman" w:cs="Times New Roman"/>
          <w:sz w:val="32"/>
          <w:szCs w:val="32"/>
          <w:lang w:val="en-US" w:eastAsia="zh-CN"/>
        </w:rPr>
      </w:pPr>
      <w:r>
        <w:rPr>
          <w:rFonts w:hint="eastAsia" w:ascii="Times New Roman" w:hAnsi="Times New Roman" w:cs="Times New Roman"/>
          <w:sz w:val="32"/>
          <w:szCs w:val="32"/>
          <w:lang w:val="en-US" w:eastAsia="zh-CN"/>
        </w:rPr>
        <w:t>3月19日，日本央行宣布结束负利率政策，它是全球最后一个结束该政策的大型经济体。</w:t>
      </w:r>
    </w:p>
    <w:p>
      <w:pPr>
        <w:ind w:firstLine="608" w:firstLineChars="200"/>
        <w:jc w:val="left"/>
        <w:rPr>
          <w:rFonts w:hint="eastAsia" w:ascii="Times New Roman" w:hAnsi="Times New Roman" w:cs="Times New Roman"/>
          <w:sz w:val="32"/>
          <w:szCs w:val="32"/>
          <w:lang w:val="en-US" w:eastAsia="zh-CN"/>
        </w:rPr>
      </w:pPr>
      <w:r>
        <w:rPr>
          <w:rFonts w:hint="eastAsia" w:ascii="Times New Roman" w:hAnsi="Times New Roman" w:cs="Times New Roman"/>
          <w:sz w:val="32"/>
          <w:szCs w:val="32"/>
          <w:lang w:val="en-US" w:eastAsia="zh-CN"/>
        </w:rPr>
        <w:t>17年来，日本央行首次调整利率，将利率从负0.1%上调至0%至0.1%的范围。同时，还宣布取消了“收益率曲线控制”政策，该政策旨在压低长期债券的收益率，以刺激投资。</w:t>
      </w:r>
    </w:p>
    <w:p>
      <w:pPr>
        <w:ind w:firstLine="388" w:firstLineChars="200"/>
        <w:jc w:val="center"/>
      </w:pPr>
      <w:r>
        <w:drawing>
          <wp:inline distT="0" distB="0" distL="114300" distR="114300">
            <wp:extent cx="2813685" cy="1655445"/>
            <wp:effectExtent l="0" t="0" r="5715" b="1905"/>
            <wp:docPr id="2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1"/>
                    <pic:cNvPicPr>
                      <a:picLocks noChangeAspect="1"/>
                    </pic:cNvPicPr>
                  </pic:nvPicPr>
                  <pic:blipFill>
                    <a:blip r:embed="rId13"/>
                    <a:stretch>
                      <a:fillRect/>
                    </a:stretch>
                  </pic:blipFill>
                  <pic:spPr>
                    <a:xfrm>
                      <a:off x="0" y="0"/>
                      <a:ext cx="2813685" cy="1655445"/>
                    </a:xfrm>
                    <a:prstGeom prst="rect">
                      <a:avLst/>
                    </a:prstGeom>
                    <a:noFill/>
                    <a:ln>
                      <a:noFill/>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340" w:lineRule="exact"/>
        <w:jc w:val="center"/>
        <w:textAlignment w:val="auto"/>
        <w:outlineLvl w:val="9"/>
        <w:rPr>
          <w:rFonts w:hint="eastAsia" w:ascii="Times New Roman" w:hAnsi="Times New Roman" w:eastAsia="方正楷体_GBK" w:cs="方正楷体_GBK"/>
          <w:lang w:val="en-US" w:eastAsia="zh-CN"/>
        </w:rPr>
      </w:pPr>
      <w:r>
        <w:rPr>
          <w:rFonts w:hint="eastAsia" w:ascii="Times New Roman" w:hAnsi="Times New Roman" w:eastAsia="方正楷体_GBK" w:cs="方正楷体_GBK"/>
          <w:lang w:val="en-US" w:eastAsia="zh-CN"/>
        </w:rPr>
        <w:t>（图：日本央行行长植田和男，2023年4月9日就职，任期为5年）</w:t>
      </w:r>
    </w:p>
    <w:p>
      <w:pPr>
        <w:ind w:firstLine="608" w:firstLineChars="200"/>
        <w:jc w:val="left"/>
        <w:rPr>
          <w:rFonts w:hint="eastAsia" w:ascii="Times New Roman" w:hAnsi="Times New Roman" w:cs="Times New Roman"/>
          <w:sz w:val="32"/>
          <w:szCs w:val="32"/>
          <w:lang w:val="en-US" w:eastAsia="zh-CN"/>
        </w:rPr>
      </w:pPr>
      <w:r>
        <w:rPr>
          <w:rFonts w:hint="eastAsia" w:ascii="Times New Roman" w:hAnsi="Times New Roman" w:cs="Times New Roman"/>
          <w:sz w:val="32"/>
          <w:szCs w:val="32"/>
          <w:lang w:val="en-US" w:eastAsia="zh-CN"/>
        </w:rPr>
        <w:t>日本央行的这一决策是对当前经济形势的回应。3月15日公布的2024年“春斗”（劳资双方的工资谈判）结果显示，日本最大工会争取到的年度工资涨幅达到5.28%，高于2023年的3.8%，并创下了30年来最大涨幅。</w:t>
      </w:r>
    </w:p>
    <w:p>
      <w:pPr>
        <w:ind w:firstLine="608" w:firstLineChars="200"/>
        <w:jc w:val="left"/>
        <w:rPr>
          <w:rFonts w:hint="eastAsia" w:ascii="Times New Roman" w:hAnsi="Times New Roman" w:cs="Times New Roman"/>
          <w:sz w:val="32"/>
          <w:szCs w:val="32"/>
          <w:lang w:val="en-US" w:eastAsia="zh-CN"/>
        </w:rPr>
      </w:pPr>
      <w:r>
        <w:rPr>
          <w:rFonts w:hint="eastAsia" w:ascii="Times New Roman" w:hAnsi="Times New Roman" w:cs="Times New Roman"/>
          <w:sz w:val="32"/>
          <w:szCs w:val="32"/>
          <w:lang w:val="en-US" w:eastAsia="zh-CN"/>
        </w:rPr>
        <w:t>日本通胀率连续22个月高于央行设定的2%目标，再加上工资增长强劲，表明日本经济正在复苏。因此，日本央行对经济前景的信心增强，从而着手开始“货币政策正常化”，为未来的经济发展留出更多空间。</w:t>
      </w:r>
    </w:p>
    <w:p>
      <w:pPr>
        <w:ind w:firstLine="608" w:firstLineChars="200"/>
        <w:jc w:val="left"/>
        <w:rPr>
          <w:rFonts w:hint="eastAsia" w:ascii="Times New Roman" w:hAnsi="Times New Roman" w:cs="Times New Roman"/>
          <w:sz w:val="32"/>
          <w:szCs w:val="32"/>
          <w:lang w:val="en-US" w:eastAsia="zh-CN"/>
        </w:rPr>
      </w:pPr>
      <w:r>
        <w:rPr>
          <w:rFonts w:hint="eastAsia" w:ascii="Times New Roman" w:hAnsi="Times New Roman" w:cs="Times New Roman"/>
          <w:sz w:val="32"/>
          <w:szCs w:val="32"/>
          <w:lang w:val="en-US" w:eastAsia="zh-CN"/>
        </w:rPr>
        <w:t>消息发布后，外汇市场上日元兑美元却开始走低，突破150关口，日元后续的走势仍需密切关注。</w:t>
      </w:r>
    </w:p>
    <w:p>
      <w:pPr>
        <w:ind w:left="0" w:leftChars="0" w:firstLine="0" w:firstLineChars="0"/>
        <w:jc w:val="left"/>
        <w:rPr>
          <w:rFonts w:hint="default" w:ascii="Calibri" w:hAnsi="Calibri" w:eastAsia="宋体" w:cs="Calibri"/>
          <w:b/>
          <w:bCs/>
          <w:color w:val="0000FF"/>
          <w:highlight w:val="yellow"/>
          <w:lang w:val="en-US" w:eastAsia="zh-CN"/>
        </w:rPr>
      </w:pPr>
      <w:r>
        <w:rPr>
          <w:rFonts w:hint="eastAsia" w:ascii="Times New Roman" w:hAnsi="Times New Roman" w:eastAsia="方正小标宋_GBK" w:cs="Times New Roman"/>
          <w:b/>
          <w:bCs/>
          <w:color w:val="FF0000"/>
          <w:sz w:val="32"/>
          <w:szCs w:val="40"/>
          <w:highlight w:val="yellow"/>
          <w:lang w:val="en-US" w:eastAsia="zh-CN"/>
        </w:rPr>
        <w:t>3</w:t>
      </w:r>
      <w:r>
        <w:rPr>
          <w:rFonts w:hint="default" w:ascii="Times New Roman" w:hAnsi="Times New Roman" w:eastAsia="方正小标宋_GBK" w:cs="Times New Roman"/>
          <w:b/>
          <w:bCs/>
          <w:color w:val="FF0000"/>
          <w:sz w:val="32"/>
          <w:szCs w:val="40"/>
          <w:highlight w:val="yellow"/>
          <w:lang w:val="en-US" w:eastAsia="zh-CN"/>
        </w:rPr>
        <w:t>月</w:t>
      </w:r>
      <w:r>
        <w:rPr>
          <w:rFonts w:hint="eastAsia" w:ascii="Times New Roman" w:hAnsi="Times New Roman" w:eastAsia="方正小标宋_GBK" w:cs="Times New Roman"/>
          <w:b/>
          <w:bCs/>
          <w:color w:val="FF0000"/>
          <w:sz w:val="32"/>
          <w:szCs w:val="40"/>
          <w:highlight w:val="yellow"/>
          <w:lang w:val="en-US" w:eastAsia="zh-CN"/>
        </w:rPr>
        <w:t>20</w:t>
      </w:r>
      <w:r>
        <w:rPr>
          <w:rFonts w:hint="default" w:ascii="Times New Roman" w:hAnsi="Times New Roman" w:eastAsia="方正小标宋_GBK" w:cs="Times New Roman"/>
          <w:b/>
          <w:bCs/>
          <w:color w:val="FF0000"/>
          <w:sz w:val="32"/>
          <w:szCs w:val="40"/>
          <w:highlight w:val="yellow"/>
          <w:lang w:val="en-US" w:eastAsia="zh-CN"/>
        </w:rPr>
        <w:t>日</w:t>
      </w:r>
      <w:r>
        <w:rPr>
          <w:rFonts w:hint="default" w:ascii="Times New Roman" w:hAnsi="Times New Roman" w:eastAsia="方正魏碑简体" w:cs="Times New Roman"/>
          <w:b/>
          <w:bCs/>
          <w:color w:val="0000FF"/>
          <w:sz w:val="32"/>
          <w:szCs w:val="40"/>
          <w:highlight w:val="yellow"/>
          <w:lang w:val="en-US" w:eastAsia="zh-CN"/>
        </w:rPr>
        <w:t>（周</w:t>
      </w:r>
      <w:r>
        <w:rPr>
          <w:rFonts w:hint="eastAsia" w:ascii="Times New Roman" w:hAnsi="Times New Roman" w:eastAsia="方正魏碑简体" w:cs="Times New Roman"/>
          <w:b/>
          <w:bCs/>
          <w:color w:val="0000FF"/>
          <w:sz w:val="32"/>
          <w:szCs w:val="40"/>
          <w:highlight w:val="yellow"/>
          <w:lang w:val="en-US" w:eastAsia="zh-CN"/>
        </w:rPr>
        <w:t>三</w:t>
      </w:r>
      <w:r>
        <w:rPr>
          <w:rFonts w:hint="default" w:ascii="Times New Roman" w:hAnsi="Times New Roman" w:eastAsia="方正魏碑简体" w:cs="Times New Roman"/>
          <w:b/>
          <w:bCs/>
          <w:color w:val="0000FF"/>
          <w:sz w:val="32"/>
          <w:szCs w:val="40"/>
          <w:highlight w:val="yellow"/>
          <w:lang w:val="en-US" w:eastAsia="zh-CN"/>
        </w:rPr>
        <w:t>）</w:t>
      </w:r>
    </w:p>
    <w:p>
      <w:pPr>
        <w:jc w:val="center"/>
        <w:rPr>
          <w:rFonts w:hint="eastAsia" w:ascii="Times New Roman" w:hAnsi="Times New Roman" w:eastAsia="方正小标宋_GBK" w:cs="Times New Roman"/>
          <w:b/>
          <w:bCs/>
          <w:color w:val="0000FF"/>
          <w:sz w:val="36"/>
          <w:szCs w:val="44"/>
          <w:highlight w:val="yellow"/>
          <w:lang w:val="en-US" w:eastAsia="zh-CN"/>
        </w:rPr>
      </w:pPr>
      <w:r>
        <w:rPr>
          <w:rFonts w:hint="eastAsia" w:ascii="Times New Roman" w:hAnsi="Times New Roman" w:eastAsia="方正小标宋_GBK" w:cs="Times New Roman"/>
          <w:b/>
          <w:bCs/>
          <w:color w:val="0000FF"/>
          <w:sz w:val="36"/>
          <w:szCs w:val="44"/>
          <w:highlight w:val="yellow"/>
          <w:lang w:val="en-US" w:eastAsia="zh-CN"/>
        </w:rPr>
        <w:t>美国1月资本流入减少，英国2月通胀持续，</w:t>
      </w:r>
    </w:p>
    <w:p>
      <w:pPr>
        <w:jc w:val="center"/>
        <w:rPr>
          <w:rFonts w:hint="eastAsia" w:ascii="Times New Roman" w:hAnsi="Times New Roman" w:eastAsia="方正小标宋_GBK" w:cs="Times New Roman"/>
          <w:b/>
          <w:bCs/>
          <w:color w:val="0000FF"/>
          <w:sz w:val="36"/>
          <w:szCs w:val="44"/>
          <w:highlight w:val="yellow"/>
          <w:lang w:val="en-US" w:eastAsia="zh-CN"/>
        </w:rPr>
      </w:pPr>
      <w:r>
        <w:rPr>
          <w:rFonts w:hint="eastAsia" w:ascii="Times New Roman" w:hAnsi="Times New Roman" w:eastAsia="方正小标宋_GBK" w:cs="Times New Roman"/>
          <w:b/>
          <w:bCs/>
          <w:color w:val="0000FF"/>
          <w:sz w:val="36"/>
          <w:szCs w:val="44"/>
          <w:highlight w:val="yellow"/>
          <w:lang w:val="en-US" w:eastAsia="zh-CN"/>
        </w:rPr>
        <w:t>德国生产依旧疲弱</w:t>
      </w:r>
    </w:p>
    <w:p>
      <w:pPr>
        <w:ind w:firstLine="608" w:firstLineChars="200"/>
        <w:jc w:val="left"/>
        <w:rPr>
          <w:rFonts w:hint="default" w:ascii="Times New Roman" w:hAnsi="Times New Roman" w:cs="Times New Roman"/>
          <w:sz w:val="32"/>
          <w:szCs w:val="32"/>
          <w:lang w:val="en-US" w:eastAsia="zh-CN"/>
        </w:rPr>
      </w:pPr>
      <w:r>
        <w:rPr>
          <w:rFonts w:hint="eastAsia" w:ascii="Times New Roman" w:hAnsi="Times New Roman" w:cs="Times New Roman"/>
          <w:sz w:val="32"/>
          <w:szCs w:val="32"/>
          <w:lang w:val="en-US" w:eastAsia="zh-CN"/>
        </w:rPr>
        <w:t>美国财政部公布，1月美国国际资本净流入为-88亿美元，远低于前值的1398亿美元；1月美国长期资本净流入361亿美元，远低于前值的1602亿美元。</w:t>
      </w:r>
    </w:p>
    <w:p>
      <w:pPr>
        <w:keepNext w:val="0"/>
        <w:keepLines w:val="0"/>
        <w:pageBreakBefore w:val="0"/>
        <w:widowControl w:val="0"/>
        <w:kinsoku/>
        <w:wordWrap/>
        <w:overflowPunct/>
        <w:topLinePunct w:val="0"/>
        <w:autoSpaceDE/>
        <w:autoSpaceDN/>
        <w:bidi w:val="0"/>
        <w:adjustRightInd/>
        <w:snapToGrid/>
        <w:spacing w:line="400" w:lineRule="exact"/>
        <w:ind w:firstLine="528" w:firstLineChars="200"/>
        <w:jc w:val="left"/>
        <w:textAlignment w:val="auto"/>
        <w:outlineLvl w:val="9"/>
        <w:rPr>
          <w:rFonts w:hint="default" w:ascii="Times New Roman" w:hAnsi="Times New Roman" w:eastAsia="方正楷体_GBK" w:cs="Calibri"/>
          <w:sz w:val="28"/>
          <w:szCs w:val="28"/>
          <w:lang w:val="en-US" w:eastAsia="zh-CN"/>
        </w:rPr>
      </w:pPr>
      <w:r>
        <w:rPr>
          <w:rFonts w:hint="eastAsia" w:ascii="Times New Roman" w:hAnsi="Times New Roman" w:eastAsia="方正楷体_GBK" w:cs="Calibri"/>
          <w:sz w:val="28"/>
          <w:szCs w:val="28"/>
          <w:highlight w:val="none"/>
          <w:lang w:val="en-US" w:eastAsia="zh-CN"/>
        </w:rPr>
        <w:t>（</w:t>
      </w:r>
      <w:r>
        <w:rPr>
          <w:rFonts w:hint="eastAsia" w:ascii="方正黑体_GBK" w:hAnsi="方正黑体_GBK" w:eastAsia="方正黑体_GBK" w:cs="方正黑体_GBK"/>
          <w:b/>
          <w:bCs/>
          <w:sz w:val="28"/>
          <w:szCs w:val="28"/>
          <w:highlight w:val="none"/>
          <w:lang w:val="en-US" w:eastAsia="zh-CN"/>
        </w:rPr>
        <w:t>注：</w:t>
      </w:r>
      <w:r>
        <w:rPr>
          <w:rFonts w:hint="eastAsia" w:ascii="Times New Roman" w:hAnsi="Times New Roman" w:eastAsia="方正楷体_GBK" w:cs="Calibri"/>
          <w:sz w:val="28"/>
          <w:szCs w:val="28"/>
          <w:lang w:val="en-US" w:eastAsia="zh-CN"/>
        </w:rPr>
        <w:t>“</w:t>
      </w:r>
      <w:r>
        <w:rPr>
          <w:rFonts w:hint="default" w:ascii="Times New Roman" w:hAnsi="Times New Roman" w:eastAsia="方正楷体_GBK" w:cs="Calibri"/>
          <w:b/>
          <w:bCs/>
          <w:sz w:val="28"/>
          <w:szCs w:val="28"/>
          <w:lang w:val="en-US" w:eastAsia="zh-CN"/>
        </w:rPr>
        <w:t>国际资本净流入</w:t>
      </w:r>
      <w:r>
        <w:rPr>
          <w:rFonts w:hint="eastAsia" w:ascii="Times New Roman" w:hAnsi="Times New Roman" w:eastAsia="方正楷体_GBK" w:cs="Calibri"/>
          <w:sz w:val="28"/>
          <w:szCs w:val="28"/>
          <w:lang w:val="en-US" w:eastAsia="zh-CN"/>
        </w:rPr>
        <w:t>”</w:t>
      </w:r>
      <w:r>
        <w:rPr>
          <w:rFonts w:hint="default" w:ascii="Times New Roman" w:hAnsi="Times New Roman" w:eastAsia="方正楷体_GBK" w:cs="Calibri"/>
          <w:sz w:val="28"/>
          <w:szCs w:val="28"/>
          <w:lang w:val="en-US" w:eastAsia="zh-CN"/>
        </w:rPr>
        <w:t>（Net International Capital Flows）是一个宏观经济指标，用于评估国际投资者对美国经济的投资状况。</w:t>
      </w:r>
      <w:r>
        <w:rPr>
          <w:rFonts w:hint="eastAsia" w:ascii="Times New Roman" w:hAnsi="Times New Roman" w:eastAsia="方正楷体_GBK" w:cs="Calibri"/>
          <w:sz w:val="28"/>
          <w:szCs w:val="28"/>
          <w:lang w:val="en-US" w:eastAsia="zh-CN"/>
        </w:rPr>
        <w:t>它是指</w:t>
      </w:r>
      <w:r>
        <w:rPr>
          <w:rFonts w:hint="default" w:ascii="Times New Roman" w:hAnsi="Times New Roman" w:eastAsia="方正楷体_GBK" w:cs="Calibri"/>
          <w:sz w:val="28"/>
          <w:szCs w:val="28"/>
          <w:lang w:val="en-US" w:eastAsia="zh-CN"/>
        </w:rPr>
        <w:t>国际资本在一定时间内（通常是一个月）流入或流出美国经济的净额</w:t>
      </w:r>
      <w:r>
        <w:rPr>
          <w:rFonts w:hint="eastAsia" w:ascii="Times New Roman" w:hAnsi="Times New Roman" w:eastAsia="方正楷体_GBK" w:cs="Calibri"/>
          <w:sz w:val="28"/>
          <w:szCs w:val="28"/>
          <w:lang w:val="en-US" w:eastAsia="zh-CN"/>
        </w:rPr>
        <w:t>，</w:t>
      </w:r>
      <w:r>
        <w:rPr>
          <w:rFonts w:hint="default" w:ascii="Times New Roman" w:hAnsi="Times New Roman" w:eastAsia="方正楷体_GBK" w:cs="Calibri"/>
          <w:sz w:val="28"/>
          <w:szCs w:val="28"/>
          <w:lang w:val="en-US" w:eastAsia="zh-CN"/>
        </w:rPr>
        <w:t>包括各种资本形式，如股票、债券、直接投资和其他投资等。</w:t>
      </w:r>
    </w:p>
    <w:p>
      <w:pPr>
        <w:keepNext w:val="0"/>
        <w:keepLines w:val="0"/>
        <w:pageBreakBefore w:val="0"/>
        <w:widowControl w:val="0"/>
        <w:kinsoku/>
        <w:wordWrap/>
        <w:overflowPunct/>
        <w:topLinePunct w:val="0"/>
        <w:autoSpaceDE/>
        <w:autoSpaceDN/>
        <w:bidi w:val="0"/>
        <w:adjustRightInd/>
        <w:snapToGrid/>
        <w:spacing w:line="400" w:lineRule="exact"/>
        <w:ind w:firstLine="528" w:firstLineChars="200"/>
        <w:jc w:val="left"/>
        <w:textAlignment w:val="auto"/>
        <w:outlineLvl w:val="9"/>
        <w:rPr>
          <w:rFonts w:hint="default" w:ascii="Times New Roman" w:hAnsi="Times New Roman" w:eastAsia="方正楷体_GBK" w:cs="Calibri"/>
          <w:sz w:val="28"/>
          <w:szCs w:val="28"/>
          <w:lang w:val="en-US" w:eastAsia="zh-CN"/>
        </w:rPr>
      </w:pPr>
      <w:r>
        <w:rPr>
          <w:rFonts w:hint="eastAsia" w:ascii="Times New Roman" w:hAnsi="Times New Roman" w:eastAsia="方正楷体_GBK" w:cs="Calibri"/>
          <w:b/>
          <w:bCs/>
          <w:sz w:val="28"/>
          <w:szCs w:val="28"/>
          <w:lang w:val="en-US" w:eastAsia="zh-CN"/>
        </w:rPr>
        <w:t>“</w:t>
      </w:r>
      <w:r>
        <w:rPr>
          <w:rFonts w:hint="default" w:ascii="Times New Roman" w:hAnsi="Times New Roman" w:eastAsia="方正楷体_GBK" w:cs="Calibri"/>
          <w:b/>
          <w:bCs/>
          <w:sz w:val="28"/>
          <w:szCs w:val="28"/>
          <w:lang w:val="en-US" w:eastAsia="zh-CN"/>
        </w:rPr>
        <w:t>长期资本净流入</w:t>
      </w:r>
      <w:r>
        <w:rPr>
          <w:rFonts w:hint="eastAsia" w:ascii="Times New Roman" w:hAnsi="Times New Roman" w:eastAsia="方正楷体_GBK" w:cs="Calibri"/>
          <w:b/>
          <w:bCs/>
          <w:sz w:val="28"/>
          <w:szCs w:val="28"/>
          <w:lang w:val="en-US" w:eastAsia="zh-CN"/>
        </w:rPr>
        <w:t>”</w:t>
      </w:r>
      <w:r>
        <w:rPr>
          <w:rFonts w:hint="default" w:ascii="Times New Roman" w:hAnsi="Times New Roman" w:eastAsia="方正楷体_GBK" w:cs="Calibri"/>
          <w:sz w:val="28"/>
          <w:szCs w:val="28"/>
          <w:lang w:val="en-US" w:eastAsia="zh-CN"/>
        </w:rPr>
        <w:t>（Net Long-Term Capital Inflows）</w:t>
      </w:r>
      <w:r>
        <w:rPr>
          <w:rFonts w:hint="eastAsia" w:ascii="Times New Roman" w:hAnsi="Times New Roman" w:eastAsia="方正楷体_GBK" w:cs="Calibri"/>
          <w:sz w:val="28"/>
          <w:szCs w:val="28"/>
          <w:lang w:val="en-US" w:eastAsia="zh-CN"/>
        </w:rPr>
        <w:t>是“</w:t>
      </w:r>
      <w:r>
        <w:rPr>
          <w:rFonts w:hint="default" w:ascii="Times New Roman" w:hAnsi="Times New Roman" w:eastAsia="方正楷体_GBK" w:cs="Calibri"/>
          <w:sz w:val="28"/>
          <w:szCs w:val="28"/>
          <w:lang w:val="en-US" w:eastAsia="zh-CN"/>
        </w:rPr>
        <w:t>国际资本净流入</w:t>
      </w:r>
      <w:r>
        <w:rPr>
          <w:rFonts w:hint="eastAsia" w:ascii="Times New Roman" w:hAnsi="Times New Roman" w:eastAsia="方正楷体_GBK" w:cs="Calibri"/>
          <w:sz w:val="28"/>
          <w:szCs w:val="28"/>
          <w:lang w:val="en-US" w:eastAsia="zh-CN"/>
        </w:rPr>
        <w:t>”指标</w:t>
      </w:r>
      <w:r>
        <w:rPr>
          <w:rFonts w:hint="default" w:ascii="Times New Roman" w:hAnsi="Times New Roman" w:eastAsia="方正楷体_GBK" w:cs="Calibri"/>
          <w:sz w:val="28"/>
          <w:szCs w:val="28"/>
          <w:lang w:val="en-US" w:eastAsia="zh-CN"/>
        </w:rPr>
        <w:t>的一个特定子类别</w:t>
      </w:r>
      <w:r>
        <w:rPr>
          <w:rFonts w:hint="eastAsia" w:ascii="Times New Roman" w:hAnsi="Times New Roman" w:eastAsia="方正楷体_GBK" w:cs="Calibri"/>
          <w:sz w:val="28"/>
          <w:szCs w:val="28"/>
          <w:lang w:val="en-US" w:eastAsia="zh-CN"/>
        </w:rPr>
        <w:t>，用于衡量</w:t>
      </w:r>
      <w:r>
        <w:rPr>
          <w:rFonts w:hint="default" w:ascii="Times New Roman" w:hAnsi="Times New Roman" w:eastAsia="方正楷体_GBK" w:cs="Calibri"/>
          <w:sz w:val="28"/>
          <w:szCs w:val="28"/>
          <w:lang w:val="en-US" w:eastAsia="zh-CN"/>
        </w:rPr>
        <w:t>较长时间期间（通常是一年）内从国际投资者流入美国经济的资本净额。这些资本可以是直接投资、投资组合投资（如股票和债券）以及其他长期投资。长期资本净流入主要关注长期投资的规模和趋势。</w:t>
      </w:r>
    </w:p>
    <w:p>
      <w:pPr>
        <w:keepNext w:val="0"/>
        <w:keepLines w:val="0"/>
        <w:pageBreakBefore w:val="0"/>
        <w:widowControl w:val="0"/>
        <w:kinsoku/>
        <w:wordWrap/>
        <w:overflowPunct/>
        <w:topLinePunct w:val="0"/>
        <w:autoSpaceDE/>
        <w:autoSpaceDN/>
        <w:bidi w:val="0"/>
        <w:adjustRightInd/>
        <w:snapToGrid/>
        <w:spacing w:line="400" w:lineRule="exact"/>
        <w:ind w:firstLine="528" w:firstLineChars="200"/>
        <w:jc w:val="left"/>
        <w:textAlignment w:val="auto"/>
        <w:outlineLvl w:val="9"/>
        <w:rPr>
          <w:rFonts w:hint="eastAsia" w:ascii="Times New Roman" w:hAnsi="Times New Roman" w:eastAsia="方正楷体_GBK" w:cs="Calibri"/>
          <w:sz w:val="28"/>
          <w:szCs w:val="28"/>
          <w:lang w:val="en-US" w:eastAsia="zh-CN"/>
        </w:rPr>
      </w:pPr>
      <w:r>
        <w:rPr>
          <w:rFonts w:hint="default" w:ascii="Times New Roman" w:hAnsi="Times New Roman" w:eastAsia="方正楷体_GBK" w:cs="Calibri"/>
          <w:sz w:val="28"/>
          <w:szCs w:val="28"/>
          <w:lang w:val="en-US" w:eastAsia="zh-CN"/>
        </w:rPr>
        <w:t>资本呈现净流入，对美元需求增加，利好美元；资本呈现净流出，表明投资者</w:t>
      </w:r>
      <w:r>
        <w:rPr>
          <w:rFonts w:hint="eastAsia" w:ascii="Times New Roman" w:hAnsi="Times New Roman" w:eastAsia="方正楷体_GBK" w:cs="Calibri"/>
          <w:sz w:val="28"/>
          <w:szCs w:val="28"/>
          <w:lang w:val="en-US" w:eastAsia="zh-CN"/>
        </w:rPr>
        <w:t>短线</w:t>
      </w:r>
      <w:r>
        <w:rPr>
          <w:rFonts w:hint="default" w:ascii="Times New Roman" w:hAnsi="Times New Roman" w:eastAsia="方正楷体_GBK" w:cs="Calibri"/>
          <w:sz w:val="28"/>
          <w:szCs w:val="28"/>
          <w:lang w:val="en-US" w:eastAsia="zh-CN"/>
        </w:rPr>
        <w:t>不看好美国</w:t>
      </w:r>
      <w:r>
        <w:rPr>
          <w:rFonts w:hint="eastAsia" w:ascii="Times New Roman" w:hAnsi="Times New Roman" w:eastAsia="方正楷体_GBK" w:cs="Calibri"/>
          <w:sz w:val="28"/>
          <w:szCs w:val="28"/>
          <w:lang w:val="en-US" w:eastAsia="zh-CN"/>
        </w:rPr>
        <w:t>市场</w:t>
      </w:r>
      <w:r>
        <w:rPr>
          <w:rFonts w:hint="default" w:ascii="Times New Roman" w:hAnsi="Times New Roman" w:eastAsia="方正楷体_GBK" w:cs="Calibri"/>
          <w:sz w:val="28"/>
          <w:szCs w:val="28"/>
          <w:lang w:val="en-US" w:eastAsia="zh-CN"/>
        </w:rPr>
        <w:t>，利空美元。</w:t>
      </w:r>
      <w:r>
        <w:rPr>
          <w:rFonts w:hint="eastAsia" w:ascii="Times New Roman" w:hAnsi="Times New Roman" w:eastAsia="方正楷体_GBK" w:cs="Calibri"/>
          <w:sz w:val="28"/>
          <w:szCs w:val="28"/>
          <w:lang w:val="en-US" w:eastAsia="zh-CN"/>
        </w:rPr>
        <w:t>）</w:t>
      </w:r>
    </w:p>
    <w:p>
      <w:pPr>
        <w:ind w:firstLine="608" w:firstLineChars="200"/>
        <w:jc w:val="left"/>
        <w:rPr>
          <w:rFonts w:hint="default" w:ascii="Times New Roman" w:hAnsi="Times New Roman" w:cs="Times New Roman"/>
          <w:sz w:val="32"/>
          <w:szCs w:val="32"/>
          <w:lang w:val="en-US" w:eastAsia="zh-CN"/>
        </w:rPr>
      </w:pPr>
      <w:r>
        <w:rPr>
          <w:rFonts w:hint="eastAsia" w:ascii="Times New Roman" w:hAnsi="Times New Roman" w:cs="Times New Roman"/>
          <w:sz w:val="32"/>
          <w:szCs w:val="32"/>
          <w:lang w:val="en-US" w:eastAsia="zh-CN"/>
        </w:rPr>
        <w:t>加拿大统计局和英国统计局先后公布了各自的消费者价格指数，数据显示（见表格），加拿大正进入抑制通胀的“最后一里路”阶段，但英国的通胀水平仍处高位，英国央行（英格兰银行）仍将维持高利率。</w:t>
      </w:r>
    </w:p>
    <w:p>
      <w:pPr>
        <w:rPr>
          <w:rFonts w:hint="eastAsia" w:ascii="Times New Roman" w:hAnsi="Times New Roman" w:cs="Times New Roman"/>
          <w:sz w:val="32"/>
          <w:szCs w:val="32"/>
          <w:lang w:val="en-US" w:eastAsia="zh-CN"/>
        </w:rPr>
      </w:pPr>
      <w:r>
        <w:rPr>
          <w:rFonts w:hint="eastAsia" w:ascii="Times New Roman" w:hAnsi="Times New Roman" w:cs="Times New Roman"/>
          <w:sz w:val="32"/>
          <w:szCs w:val="32"/>
          <w:lang w:val="en-US" w:eastAsia="zh-CN"/>
        </w:rPr>
        <w:drawing>
          <wp:inline distT="0" distB="0" distL="114300" distR="114300">
            <wp:extent cx="5614670" cy="1553210"/>
            <wp:effectExtent l="0" t="0" r="5080" b="8890"/>
            <wp:docPr id="27" name="图片 27" descr="微信截图_20240322100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微信截图_20240322100350"/>
                    <pic:cNvPicPr>
                      <a:picLocks noChangeAspect="1"/>
                    </pic:cNvPicPr>
                  </pic:nvPicPr>
                  <pic:blipFill>
                    <a:blip r:embed="rId14"/>
                    <a:stretch>
                      <a:fillRect/>
                    </a:stretch>
                  </pic:blipFill>
                  <pic:spPr>
                    <a:xfrm>
                      <a:off x="0" y="0"/>
                      <a:ext cx="5614670" cy="1553210"/>
                    </a:xfrm>
                    <a:prstGeom prst="rect">
                      <a:avLst/>
                    </a:prstGeom>
                  </pic:spPr>
                </pic:pic>
              </a:graphicData>
            </a:graphic>
          </wp:inline>
        </w:drawing>
      </w:r>
    </w:p>
    <w:p>
      <w:pPr>
        <w:ind w:firstLine="608" w:firstLineChars="200"/>
        <w:jc w:val="left"/>
        <w:rPr>
          <w:rFonts w:hint="default" w:ascii="Times New Roman" w:hAnsi="Times New Roman" w:cs="Times New Roman"/>
          <w:sz w:val="32"/>
          <w:szCs w:val="32"/>
          <w:lang w:val="en-US" w:eastAsia="zh-CN"/>
        </w:rPr>
      </w:pPr>
      <w:r>
        <w:rPr>
          <w:rFonts w:hint="eastAsia" w:ascii="Times New Roman" w:hAnsi="Times New Roman" w:cs="Times New Roman"/>
          <w:sz w:val="32"/>
          <w:szCs w:val="32"/>
          <w:lang w:val="en-US" w:eastAsia="zh-CN"/>
        </w:rPr>
        <w:t>此外，德国联邦统计局公布，2月德国生产者价格指标（PPI）同比为-4.1%，环比为－0.4%，显示德国经济的供给侧依然疲弱不振。</w:t>
      </w:r>
    </w:p>
    <w:p>
      <w:pPr>
        <w:ind w:firstLine="608" w:firstLineChars="200"/>
        <w:jc w:val="left"/>
        <w:rPr>
          <w:rFonts w:hint="eastAsia" w:ascii="Times New Roman" w:hAnsi="Times New Roman" w:cs="Times New Roman"/>
          <w:sz w:val="32"/>
          <w:szCs w:val="32"/>
          <w:lang w:val="en-US" w:eastAsia="zh-CN"/>
        </w:rPr>
      </w:pPr>
      <w:r>
        <w:rPr>
          <w:rFonts w:hint="eastAsia" w:ascii="Times New Roman" w:hAnsi="Times New Roman" w:cs="Times New Roman"/>
          <w:sz w:val="32"/>
          <w:szCs w:val="32"/>
          <w:lang w:val="en-US" w:eastAsia="zh-CN"/>
        </w:rPr>
        <w:t>今日，美联储议息会议开始，全球市场密切关注即将公布的FOMC利率决议和点阵图。</w:t>
      </w:r>
    </w:p>
    <w:p>
      <w:pPr>
        <w:ind w:left="0" w:leftChars="0" w:firstLine="0" w:firstLineChars="0"/>
        <w:jc w:val="left"/>
        <w:rPr>
          <w:rFonts w:hint="eastAsia" w:ascii="Times New Roman" w:hAnsi="Times New Roman" w:eastAsia="方正小标宋_GBK" w:cs="Times New Roman"/>
          <w:b/>
          <w:bCs/>
          <w:color w:val="FF0000"/>
          <w:sz w:val="32"/>
          <w:szCs w:val="40"/>
          <w:highlight w:val="yellow"/>
          <w:lang w:val="en-US" w:eastAsia="zh-CN"/>
        </w:rPr>
      </w:pPr>
    </w:p>
    <w:p>
      <w:pPr>
        <w:ind w:left="0" w:leftChars="0" w:firstLine="0" w:firstLineChars="0"/>
        <w:jc w:val="left"/>
        <w:rPr>
          <w:rFonts w:hint="default" w:ascii="Calibri" w:hAnsi="Calibri" w:eastAsia="宋体" w:cs="Calibri"/>
          <w:b/>
          <w:bCs/>
          <w:color w:val="0000FF"/>
          <w:highlight w:val="yellow"/>
          <w:lang w:val="en-US" w:eastAsia="zh-CN"/>
        </w:rPr>
      </w:pPr>
      <w:r>
        <w:rPr>
          <w:rFonts w:hint="eastAsia" w:ascii="Times New Roman" w:hAnsi="Times New Roman" w:eastAsia="方正小标宋_GBK" w:cs="Times New Roman"/>
          <w:b/>
          <w:bCs/>
          <w:color w:val="FF0000"/>
          <w:sz w:val="32"/>
          <w:szCs w:val="40"/>
          <w:highlight w:val="yellow"/>
          <w:lang w:val="en-US" w:eastAsia="zh-CN"/>
        </w:rPr>
        <w:t>3</w:t>
      </w:r>
      <w:r>
        <w:rPr>
          <w:rFonts w:hint="default" w:ascii="Times New Roman" w:hAnsi="Times New Roman" w:eastAsia="方正小标宋_GBK" w:cs="Times New Roman"/>
          <w:b/>
          <w:bCs/>
          <w:color w:val="FF0000"/>
          <w:sz w:val="32"/>
          <w:szCs w:val="40"/>
          <w:highlight w:val="yellow"/>
          <w:lang w:val="en-US" w:eastAsia="zh-CN"/>
        </w:rPr>
        <w:t>月</w:t>
      </w:r>
      <w:r>
        <w:rPr>
          <w:rFonts w:hint="eastAsia" w:ascii="Times New Roman" w:hAnsi="Times New Roman" w:eastAsia="方正小标宋_GBK" w:cs="Times New Roman"/>
          <w:b/>
          <w:bCs/>
          <w:color w:val="FF0000"/>
          <w:sz w:val="32"/>
          <w:szCs w:val="40"/>
          <w:highlight w:val="yellow"/>
          <w:lang w:val="en-US" w:eastAsia="zh-CN"/>
        </w:rPr>
        <w:t>21</w:t>
      </w:r>
      <w:r>
        <w:rPr>
          <w:rFonts w:hint="default" w:ascii="Times New Roman" w:hAnsi="Times New Roman" w:eastAsia="方正小标宋_GBK" w:cs="Times New Roman"/>
          <w:b/>
          <w:bCs/>
          <w:color w:val="FF0000"/>
          <w:sz w:val="32"/>
          <w:szCs w:val="40"/>
          <w:highlight w:val="yellow"/>
          <w:lang w:val="en-US" w:eastAsia="zh-CN"/>
        </w:rPr>
        <w:t>日</w:t>
      </w:r>
      <w:r>
        <w:rPr>
          <w:rFonts w:hint="default" w:ascii="Times New Roman" w:hAnsi="Times New Roman" w:eastAsia="方正魏碑简体" w:cs="Times New Roman"/>
          <w:b/>
          <w:bCs/>
          <w:color w:val="0000FF"/>
          <w:sz w:val="32"/>
          <w:szCs w:val="40"/>
          <w:highlight w:val="yellow"/>
          <w:lang w:val="en-US" w:eastAsia="zh-CN"/>
        </w:rPr>
        <w:t>（周</w:t>
      </w:r>
      <w:r>
        <w:rPr>
          <w:rFonts w:hint="eastAsia" w:ascii="Times New Roman" w:hAnsi="Times New Roman" w:eastAsia="方正魏碑简体" w:cs="Times New Roman"/>
          <w:b/>
          <w:bCs/>
          <w:color w:val="0000FF"/>
          <w:sz w:val="32"/>
          <w:szCs w:val="40"/>
          <w:highlight w:val="yellow"/>
          <w:lang w:val="en-US" w:eastAsia="zh-CN"/>
        </w:rPr>
        <w:t>四</w:t>
      </w:r>
      <w:r>
        <w:rPr>
          <w:rFonts w:hint="default" w:ascii="Times New Roman" w:hAnsi="Times New Roman" w:eastAsia="方正魏碑简体" w:cs="Times New Roman"/>
          <w:b/>
          <w:bCs/>
          <w:color w:val="0000FF"/>
          <w:sz w:val="32"/>
          <w:szCs w:val="40"/>
          <w:highlight w:val="yellow"/>
          <w:lang w:val="en-US" w:eastAsia="zh-CN"/>
        </w:rPr>
        <w:t>）</w:t>
      </w:r>
    </w:p>
    <w:p>
      <w:pPr>
        <w:jc w:val="center"/>
        <w:rPr>
          <w:rFonts w:hint="eastAsia" w:ascii="Times New Roman" w:hAnsi="Times New Roman" w:eastAsia="方正小标宋_GBK" w:cs="Times New Roman"/>
          <w:b/>
          <w:bCs/>
          <w:color w:val="0000FF"/>
          <w:sz w:val="36"/>
          <w:szCs w:val="44"/>
          <w:highlight w:val="yellow"/>
          <w:lang w:val="en-US" w:eastAsia="zh-CN"/>
        </w:rPr>
      </w:pPr>
      <w:r>
        <w:rPr>
          <w:rFonts w:hint="eastAsia" w:ascii="Times New Roman" w:hAnsi="Times New Roman" w:eastAsia="方正小标宋_GBK" w:cs="Times New Roman"/>
          <w:b/>
          <w:bCs/>
          <w:color w:val="0000FF"/>
          <w:sz w:val="36"/>
          <w:szCs w:val="44"/>
          <w:highlight w:val="yellow"/>
          <w:lang w:val="en-US" w:eastAsia="zh-CN"/>
        </w:rPr>
        <w:t>FOMC维持利率水平不变，美国股市创下新高</w:t>
      </w:r>
    </w:p>
    <w:p>
      <w:pPr>
        <w:ind w:firstLine="608" w:firstLineChars="200"/>
        <w:jc w:val="left"/>
        <w:rPr>
          <w:rFonts w:hint="eastAsia" w:ascii="Times New Roman" w:hAnsi="Times New Roman" w:cs="Times New Roman"/>
          <w:sz w:val="32"/>
          <w:szCs w:val="32"/>
          <w:lang w:val="en-US" w:eastAsia="zh-CN"/>
        </w:rPr>
      </w:pPr>
      <w:r>
        <w:rPr>
          <w:rFonts w:hint="eastAsia" w:ascii="Times New Roman" w:hAnsi="Times New Roman" w:cs="Times New Roman"/>
          <w:sz w:val="32"/>
          <w:szCs w:val="32"/>
          <w:lang w:val="en-US" w:eastAsia="zh-CN"/>
        </w:rPr>
        <w:t>美联储公布3月议息会议决议，第五次（会议）将基准利率维持在5.25%至5.5%之间（见图），符合市场预期。决议公布后，美国股市大涨，标普500指数创下5226.19点的历史新高。</w:t>
      </w:r>
    </w:p>
    <w:p>
      <w:pPr>
        <w:jc w:val="center"/>
        <w:rPr>
          <w:rFonts w:hint="eastAsia"/>
          <w:lang w:val="en-US" w:eastAsia="zh-CN"/>
        </w:rPr>
      </w:pPr>
      <w:r>
        <w:rPr>
          <w:rFonts w:hint="eastAsia"/>
          <w:lang w:val="en-US" w:eastAsia="zh-CN"/>
        </w:rPr>
        <w:drawing>
          <wp:inline distT="0" distB="0" distL="114300" distR="114300">
            <wp:extent cx="3557270" cy="2467610"/>
            <wp:effectExtent l="0" t="0" r="5080" b="8890"/>
            <wp:docPr id="29" name="图片 29" descr="（20240321）FOMC第五次维持FF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20240321）FOMC第五次维持FFR"/>
                    <pic:cNvPicPr>
                      <a:picLocks noChangeAspect="1"/>
                    </pic:cNvPicPr>
                  </pic:nvPicPr>
                  <pic:blipFill>
                    <a:blip r:embed="rId15"/>
                    <a:stretch>
                      <a:fillRect/>
                    </a:stretch>
                  </pic:blipFill>
                  <pic:spPr>
                    <a:xfrm>
                      <a:off x="0" y="0"/>
                      <a:ext cx="3557270" cy="2467610"/>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400" w:lineRule="exact"/>
        <w:ind w:firstLine="528" w:firstLineChars="200"/>
        <w:jc w:val="left"/>
        <w:textAlignment w:val="auto"/>
        <w:outlineLvl w:val="9"/>
        <w:rPr>
          <w:rFonts w:hint="default" w:ascii="Calibri" w:hAnsi="Calibri" w:eastAsia="仿宋_GB2312" w:cs="Calibri"/>
          <w:lang w:eastAsia="zh-CN"/>
        </w:rPr>
      </w:pPr>
      <w:r>
        <w:rPr>
          <w:rFonts w:hint="default" w:ascii="Times New Roman" w:hAnsi="Times New Roman" w:eastAsia="方正楷体_GBK" w:cs="Calibri"/>
          <w:sz w:val="28"/>
          <w:szCs w:val="28"/>
          <w:lang w:val="en-US" w:eastAsia="zh-CN"/>
        </w:rPr>
        <w:t>（</w:t>
      </w:r>
      <w:r>
        <w:rPr>
          <w:rFonts w:hint="eastAsia" w:ascii="方正黑体_GBK" w:hAnsi="方正黑体_GBK" w:eastAsia="方正黑体_GBK" w:cs="方正黑体_GBK"/>
          <w:b/>
          <w:bCs/>
          <w:sz w:val="28"/>
          <w:szCs w:val="28"/>
          <w:highlight w:val="none"/>
          <w:lang w:val="en-US" w:eastAsia="zh-CN"/>
        </w:rPr>
        <w:t>注：</w:t>
      </w:r>
      <w:r>
        <w:rPr>
          <w:rFonts w:hint="default" w:ascii="Times New Roman" w:hAnsi="Times New Roman" w:eastAsia="方正楷体_GBK" w:cs="Calibri"/>
          <w:sz w:val="28"/>
          <w:szCs w:val="28"/>
          <w:lang w:val="en-US" w:eastAsia="zh-CN"/>
        </w:rPr>
        <w:t>美联储每年一般召开8次</w:t>
      </w:r>
      <w:r>
        <w:rPr>
          <w:rFonts w:hint="eastAsia" w:ascii="Times New Roman" w:hAnsi="Times New Roman" w:eastAsia="方正楷体_GBK" w:cs="Calibri"/>
          <w:sz w:val="28"/>
          <w:szCs w:val="28"/>
          <w:lang w:val="en-US" w:eastAsia="zh-CN"/>
        </w:rPr>
        <w:t>“</w:t>
      </w:r>
      <w:r>
        <w:rPr>
          <w:rFonts w:hint="default" w:ascii="Times New Roman" w:hAnsi="Times New Roman" w:eastAsia="方正楷体_GBK" w:cs="Calibri"/>
          <w:b/>
          <w:bCs/>
          <w:sz w:val="28"/>
          <w:szCs w:val="28"/>
          <w:lang w:val="en-US" w:eastAsia="zh-CN"/>
        </w:rPr>
        <w:t>联邦公开市场委员会</w:t>
      </w:r>
      <w:r>
        <w:rPr>
          <w:rFonts w:hint="eastAsia" w:ascii="Times New Roman" w:hAnsi="Times New Roman" w:eastAsia="方正楷体_GBK" w:cs="Calibri"/>
          <w:sz w:val="28"/>
          <w:szCs w:val="28"/>
          <w:lang w:val="en-US" w:eastAsia="zh-CN"/>
        </w:rPr>
        <w:t>”</w:t>
      </w:r>
      <w:r>
        <w:rPr>
          <w:rFonts w:hint="default" w:ascii="Times New Roman" w:hAnsi="Times New Roman" w:eastAsia="方正楷体_GBK" w:cs="Calibri"/>
          <w:sz w:val="28"/>
          <w:szCs w:val="28"/>
          <w:lang w:val="en-US" w:eastAsia="zh-CN"/>
        </w:rPr>
        <w:t>（Federal Open Market Committee，</w:t>
      </w:r>
      <w:r>
        <w:rPr>
          <w:rFonts w:hint="eastAsia" w:ascii="Times New Roman" w:hAnsi="Times New Roman" w:eastAsia="方正楷体_GBK" w:cs="Calibri"/>
          <w:sz w:val="28"/>
          <w:szCs w:val="28"/>
          <w:lang w:val="en-US" w:eastAsia="zh-CN"/>
        </w:rPr>
        <w:t>简称</w:t>
      </w:r>
      <w:r>
        <w:rPr>
          <w:rFonts w:hint="default" w:ascii="Times New Roman" w:hAnsi="Times New Roman" w:eastAsia="方正楷体_GBK" w:cs="Calibri"/>
          <w:b/>
          <w:bCs/>
          <w:sz w:val="28"/>
          <w:szCs w:val="28"/>
          <w:lang w:val="en-US" w:eastAsia="zh-CN"/>
        </w:rPr>
        <w:t>FOMC</w:t>
      </w:r>
      <w:r>
        <w:rPr>
          <w:rFonts w:hint="default" w:ascii="Times New Roman" w:hAnsi="Times New Roman" w:eastAsia="方正楷体_GBK" w:cs="Calibri"/>
          <w:sz w:val="28"/>
          <w:szCs w:val="28"/>
          <w:lang w:val="en-US" w:eastAsia="zh-CN"/>
        </w:rPr>
        <w:t>）会议</w:t>
      </w:r>
      <w:r>
        <w:rPr>
          <w:rFonts w:hint="eastAsia" w:ascii="Times New Roman" w:hAnsi="Times New Roman" w:eastAsia="方正楷体_GBK" w:cs="Calibri"/>
          <w:sz w:val="28"/>
          <w:szCs w:val="28"/>
          <w:lang w:val="en-US" w:eastAsia="zh-CN"/>
        </w:rPr>
        <w:t>，</w:t>
      </w:r>
      <w:r>
        <w:rPr>
          <w:rFonts w:hint="default" w:ascii="Times New Roman" w:hAnsi="Times New Roman" w:eastAsia="方正楷体_GBK" w:cs="Calibri"/>
          <w:sz w:val="28"/>
          <w:szCs w:val="28"/>
          <w:lang w:val="en-US" w:eastAsia="zh-CN"/>
        </w:rPr>
        <w:t>审议当前的经济状况、通胀水平、就业数据和其他相关指标，以及全球经济环境等因素。就是否需要调整利率水平、采取其他货币政策工具等问题进行讨论和决策</w:t>
      </w:r>
      <w:r>
        <w:rPr>
          <w:rFonts w:hint="eastAsia" w:ascii="Times New Roman" w:hAnsi="Times New Roman" w:eastAsia="方正楷体_GBK" w:cs="Calibri"/>
          <w:sz w:val="28"/>
          <w:szCs w:val="28"/>
          <w:lang w:val="en-US" w:eastAsia="zh-CN"/>
        </w:rPr>
        <w:t>，因此也被称为“</w:t>
      </w:r>
      <w:r>
        <w:rPr>
          <w:rFonts w:hint="eastAsia" w:ascii="Times New Roman" w:hAnsi="Times New Roman" w:eastAsia="方正楷体_GBK" w:cs="Calibri"/>
          <w:b/>
          <w:bCs/>
          <w:sz w:val="28"/>
          <w:szCs w:val="28"/>
          <w:lang w:val="en-US" w:eastAsia="zh-CN"/>
        </w:rPr>
        <w:t>议息会议</w:t>
      </w:r>
      <w:r>
        <w:rPr>
          <w:rFonts w:hint="eastAsia" w:ascii="Times New Roman" w:hAnsi="Times New Roman" w:eastAsia="方正楷体_GBK" w:cs="Calibri"/>
          <w:sz w:val="28"/>
          <w:szCs w:val="28"/>
          <w:lang w:val="en-US" w:eastAsia="zh-CN"/>
        </w:rPr>
        <w:t>”或“</w:t>
      </w:r>
      <w:r>
        <w:rPr>
          <w:rFonts w:hint="eastAsia" w:ascii="Times New Roman" w:hAnsi="Times New Roman" w:eastAsia="方正楷体_GBK" w:cs="Calibri"/>
          <w:b/>
          <w:bCs/>
          <w:sz w:val="28"/>
          <w:szCs w:val="28"/>
          <w:lang w:val="en-US" w:eastAsia="zh-CN"/>
        </w:rPr>
        <w:t>利率会议</w:t>
      </w:r>
      <w:r>
        <w:rPr>
          <w:rFonts w:hint="eastAsia" w:ascii="Times New Roman" w:hAnsi="Times New Roman" w:eastAsia="方正楷体_GBK" w:cs="Calibri"/>
          <w:sz w:val="28"/>
          <w:szCs w:val="28"/>
          <w:lang w:val="en-US" w:eastAsia="zh-CN"/>
        </w:rPr>
        <w:t>”。</w:t>
      </w:r>
      <w:r>
        <w:rPr>
          <w:rFonts w:hint="default" w:ascii="Times New Roman" w:hAnsi="Times New Roman" w:eastAsia="方正楷体_GBK" w:cs="Calibri"/>
          <w:sz w:val="28"/>
          <w:szCs w:val="28"/>
          <w:lang w:eastAsia="zh-CN"/>
        </w:rPr>
        <w:t>FOMC由12位成员组成，其中7位是美联储的理事（含正副主席），5位</w:t>
      </w:r>
      <w:r>
        <w:rPr>
          <w:rFonts w:hint="eastAsia" w:ascii="Times New Roman" w:hAnsi="Times New Roman" w:eastAsia="方正楷体_GBK" w:cs="Calibri"/>
          <w:sz w:val="28"/>
          <w:szCs w:val="28"/>
          <w:lang w:eastAsia="zh-CN"/>
        </w:rPr>
        <w:t>是</w:t>
      </w:r>
      <w:r>
        <w:rPr>
          <w:rFonts w:hint="default" w:ascii="Times New Roman" w:hAnsi="Times New Roman" w:eastAsia="方正楷体_GBK" w:cs="Calibri"/>
          <w:sz w:val="28"/>
          <w:szCs w:val="28"/>
          <w:lang w:eastAsia="zh-CN"/>
        </w:rPr>
        <w:t>12个地区联邦储备银行行长。这12人参加FOMC会议，并拥有对会议决策的投票权，所以被称为</w:t>
      </w:r>
      <w:r>
        <w:rPr>
          <w:rFonts w:hint="eastAsia" w:ascii="Times New Roman" w:hAnsi="Times New Roman" w:eastAsia="方正楷体_GBK" w:cs="Calibri"/>
          <w:sz w:val="28"/>
          <w:szCs w:val="28"/>
          <w:lang w:eastAsia="zh-CN"/>
        </w:rPr>
        <w:t>“</w:t>
      </w:r>
      <w:r>
        <w:rPr>
          <w:rFonts w:hint="default" w:ascii="Times New Roman" w:hAnsi="Times New Roman" w:eastAsia="方正楷体_GBK" w:cs="Calibri"/>
          <w:b/>
          <w:bCs/>
          <w:sz w:val="28"/>
          <w:szCs w:val="28"/>
          <w:lang w:eastAsia="zh-CN"/>
        </w:rPr>
        <w:t>票委</w:t>
      </w:r>
      <w:r>
        <w:rPr>
          <w:rFonts w:hint="eastAsia" w:ascii="Times New Roman" w:hAnsi="Times New Roman" w:eastAsia="方正楷体_GBK" w:cs="Calibri"/>
          <w:sz w:val="28"/>
          <w:szCs w:val="28"/>
          <w:lang w:eastAsia="zh-CN"/>
        </w:rPr>
        <w:t>”</w:t>
      </w:r>
      <w:r>
        <w:rPr>
          <w:rFonts w:hint="default" w:ascii="Times New Roman" w:hAnsi="Times New Roman" w:eastAsia="方正楷体_GBK" w:cs="Calibri"/>
          <w:sz w:val="28"/>
          <w:szCs w:val="28"/>
          <w:lang w:eastAsia="zh-CN"/>
        </w:rPr>
        <w:t>。</w:t>
      </w:r>
      <w:r>
        <w:rPr>
          <w:rFonts w:hint="eastAsia" w:ascii="Times New Roman" w:hAnsi="Times New Roman" w:eastAsia="方正楷体_GBK" w:cs="Calibri"/>
          <w:sz w:val="28"/>
          <w:szCs w:val="28"/>
          <w:lang w:eastAsia="zh-CN"/>
        </w:rPr>
        <w:t>）</w:t>
      </w:r>
    </w:p>
    <w:p>
      <w:pPr>
        <w:ind w:firstLine="608" w:firstLineChars="200"/>
        <w:jc w:val="left"/>
        <w:rPr>
          <w:rFonts w:hint="eastAsia" w:ascii="Times New Roman" w:hAnsi="Times New Roman" w:cs="Times New Roman"/>
          <w:sz w:val="32"/>
          <w:szCs w:val="32"/>
          <w:lang w:val="en-US" w:eastAsia="zh-CN"/>
        </w:rPr>
      </w:pPr>
      <w:r>
        <w:rPr>
          <w:rFonts w:hint="eastAsia" w:ascii="Times New Roman" w:hAnsi="Times New Roman" w:cs="Times New Roman"/>
          <w:sz w:val="32"/>
          <w:szCs w:val="32"/>
          <w:lang w:val="en-US" w:eastAsia="zh-CN"/>
        </w:rPr>
        <w:t>随着经济增长放缓，美联储官员们预计今年将降息三次（见“点阵图”）。美联储主席鲍威尔会后表示，对降低通胀方面取得的进展感到满意，但没有说明何时可能开始降息。市场预计，美联储最早将于6月开始降息。</w:t>
      </w:r>
    </w:p>
    <w:p>
      <w:pPr>
        <w:ind w:firstLine="388" w:firstLineChars="200"/>
        <w:jc w:val="center"/>
      </w:pPr>
      <w:r>
        <w:drawing>
          <wp:inline distT="0" distB="0" distL="114300" distR="114300">
            <wp:extent cx="4623435" cy="2600960"/>
            <wp:effectExtent l="0" t="0" r="5715" b="8890"/>
            <wp:docPr id="2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
                    <pic:cNvPicPr>
                      <a:picLocks noChangeAspect="1"/>
                    </pic:cNvPicPr>
                  </pic:nvPicPr>
                  <pic:blipFill>
                    <a:blip r:embed="rId16"/>
                    <a:stretch>
                      <a:fillRect/>
                    </a:stretch>
                  </pic:blipFill>
                  <pic:spPr>
                    <a:xfrm>
                      <a:off x="0" y="0"/>
                      <a:ext cx="4623435" cy="2600960"/>
                    </a:xfrm>
                    <a:prstGeom prst="rect">
                      <a:avLst/>
                    </a:prstGeom>
                    <a:noFill/>
                    <a:ln>
                      <a:noFill/>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400" w:lineRule="exact"/>
        <w:ind w:firstLine="528" w:firstLineChars="200"/>
        <w:textAlignment w:val="auto"/>
        <w:outlineLvl w:val="9"/>
        <w:rPr>
          <w:rFonts w:hint="eastAsia" w:ascii="Times New Roman" w:hAnsi="Times New Roman" w:eastAsia="方正楷体_GBK" w:cs="Calibri"/>
          <w:sz w:val="28"/>
          <w:szCs w:val="28"/>
          <w:lang w:eastAsia="zh-CN"/>
        </w:rPr>
      </w:pPr>
      <w:r>
        <w:rPr>
          <w:rFonts w:hint="eastAsia" w:ascii="Times New Roman" w:hAnsi="Times New Roman" w:eastAsia="方正楷体_GBK"/>
          <w:sz w:val="28"/>
          <w:szCs w:val="28"/>
          <w:lang w:eastAsia="zh-CN"/>
        </w:rPr>
        <w:t>（</w:t>
      </w:r>
      <w:r>
        <w:rPr>
          <w:rFonts w:hint="eastAsia" w:ascii="方正黑体_GBK" w:hAnsi="方正黑体_GBK" w:eastAsia="方正黑体_GBK" w:cs="方正黑体_GBK"/>
          <w:b/>
          <w:bCs/>
          <w:sz w:val="28"/>
          <w:szCs w:val="28"/>
          <w:highlight w:val="none"/>
          <w:lang w:eastAsia="zh-CN"/>
        </w:rPr>
        <w:t>注：</w:t>
      </w:r>
      <w:r>
        <w:rPr>
          <w:rFonts w:hint="eastAsia" w:ascii="Times New Roman" w:hAnsi="Times New Roman" w:eastAsia="方正楷体_GBK"/>
          <w:b/>
          <w:bCs/>
          <w:sz w:val="28"/>
          <w:szCs w:val="28"/>
          <w:lang w:eastAsia="zh-CN"/>
        </w:rPr>
        <w:t>“</w:t>
      </w:r>
      <w:r>
        <w:rPr>
          <w:rFonts w:hint="default" w:ascii="Times New Roman" w:hAnsi="Times New Roman" w:eastAsia="方正楷体_GBK" w:cs="Calibri"/>
          <w:b/>
          <w:bCs/>
          <w:sz w:val="28"/>
          <w:szCs w:val="28"/>
          <w:lang w:eastAsia="zh-CN"/>
        </w:rPr>
        <w:t>点阵图</w:t>
      </w:r>
      <w:r>
        <w:rPr>
          <w:rFonts w:hint="eastAsia" w:ascii="Times New Roman" w:hAnsi="Times New Roman" w:eastAsia="方正楷体_GBK" w:cs="Calibri"/>
          <w:b/>
          <w:bCs/>
          <w:sz w:val="28"/>
          <w:szCs w:val="28"/>
          <w:lang w:eastAsia="zh-CN"/>
        </w:rPr>
        <w:t>”</w:t>
      </w:r>
      <w:r>
        <w:rPr>
          <w:rFonts w:hint="default" w:ascii="Times New Roman" w:hAnsi="Times New Roman" w:eastAsia="方正楷体_GBK" w:cs="Calibri"/>
          <w:sz w:val="28"/>
          <w:szCs w:val="28"/>
          <w:lang w:eastAsia="zh-CN"/>
        </w:rPr>
        <w:t>（Dot Plot）</w:t>
      </w:r>
      <w:r>
        <w:rPr>
          <w:rFonts w:hint="eastAsia" w:ascii="Times New Roman" w:hAnsi="Times New Roman" w:eastAsia="方正楷体_GBK" w:cs="Calibri"/>
          <w:sz w:val="28"/>
          <w:szCs w:val="28"/>
          <w:lang w:eastAsia="zh-CN"/>
        </w:rPr>
        <w:t>：在</w:t>
      </w:r>
      <w:r>
        <w:rPr>
          <w:rFonts w:hint="default" w:ascii="Times New Roman" w:hAnsi="Times New Roman" w:eastAsia="方正楷体_GBK" w:cs="Calibri"/>
          <w:sz w:val="28"/>
          <w:szCs w:val="28"/>
          <w:lang w:eastAsia="zh-CN"/>
        </w:rPr>
        <w:t>3月、6月、9月和12月</w:t>
      </w:r>
      <w:r>
        <w:rPr>
          <w:rFonts w:hint="eastAsia" w:ascii="Times New Roman" w:hAnsi="Times New Roman" w:eastAsia="方正楷体_GBK" w:cs="Calibri"/>
          <w:sz w:val="28"/>
          <w:szCs w:val="28"/>
          <w:lang w:eastAsia="zh-CN"/>
        </w:rPr>
        <w:t>的</w:t>
      </w:r>
      <w:r>
        <w:rPr>
          <w:rFonts w:hint="default" w:ascii="Times New Roman" w:hAnsi="Times New Roman" w:eastAsia="方正楷体_GBK" w:cs="Calibri"/>
          <w:sz w:val="28"/>
          <w:szCs w:val="28"/>
          <w:lang w:eastAsia="zh-CN"/>
        </w:rPr>
        <w:t>FOMC会议</w:t>
      </w:r>
      <w:r>
        <w:rPr>
          <w:rFonts w:hint="eastAsia" w:ascii="Times New Roman" w:hAnsi="Times New Roman" w:eastAsia="方正楷体_GBK" w:cs="Calibri"/>
          <w:sz w:val="28"/>
          <w:szCs w:val="28"/>
          <w:lang w:eastAsia="zh-CN"/>
        </w:rPr>
        <w:t>上，与会</w:t>
      </w:r>
      <w:r>
        <w:rPr>
          <w:rFonts w:hint="default" w:ascii="Times New Roman" w:hAnsi="Times New Roman" w:eastAsia="方正楷体_GBK" w:cs="Calibri"/>
          <w:sz w:val="28"/>
          <w:szCs w:val="28"/>
          <w:lang w:eastAsia="zh-CN"/>
        </w:rPr>
        <w:t>者</w:t>
      </w:r>
      <w:r>
        <w:rPr>
          <w:rFonts w:hint="eastAsia" w:ascii="Times New Roman" w:hAnsi="Times New Roman" w:eastAsia="方正楷体_GBK" w:cs="Calibri"/>
          <w:sz w:val="28"/>
          <w:szCs w:val="28"/>
          <w:lang w:eastAsia="zh-CN"/>
        </w:rPr>
        <w:t>（包括非票委）</w:t>
      </w:r>
      <w:r>
        <w:rPr>
          <w:rFonts w:hint="default" w:ascii="Times New Roman" w:hAnsi="Times New Roman" w:eastAsia="方正楷体_GBK" w:cs="Calibri"/>
          <w:sz w:val="28"/>
          <w:szCs w:val="28"/>
          <w:lang w:eastAsia="zh-CN"/>
        </w:rPr>
        <w:t>对未来</w:t>
      </w:r>
      <w:r>
        <w:rPr>
          <w:rFonts w:hint="eastAsia" w:ascii="Times New Roman" w:hAnsi="Times New Roman" w:eastAsia="方正楷体_GBK" w:cs="Calibri"/>
          <w:sz w:val="28"/>
          <w:szCs w:val="28"/>
          <w:lang w:eastAsia="zh-CN"/>
        </w:rPr>
        <w:t>不同时间点的</w:t>
      </w:r>
      <w:r>
        <w:rPr>
          <w:rFonts w:hint="default" w:ascii="Times New Roman" w:hAnsi="Times New Roman" w:eastAsia="方正楷体_GBK" w:cs="Calibri"/>
          <w:sz w:val="28"/>
          <w:szCs w:val="28"/>
          <w:lang w:eastAsia="zh-CN"/>
        </w:rPr>
        <w:t>利率</w:t>
      </w:r>
      <w:r>
        <w:rPr>
          <w:rFonts w:hint="eastAsia" w:ascii="Times New Roman" w:hAnsi="Times New Roman" w:eastAsia="方正楷体_GBK" w:cs="Calibri"/>
          <w:sz w:val="28"/>
          <w:szCs w:val="28"/>
          <w:lang w:eastAsia="zh-CN"/>
        </w:rPr>
        <w:t>进行</w:t>
      </w:r>
      <w:r>
        <w:rPr>
          <w:rFonts w:hint="default" w:ascii="Times New Roman" w:hAnsi="Times New Roman" w:eastAsia="方正楷体_GBK" w:cs="Calibri"/>
          <w:sz w:val="28"/>
          <w:szCs w:val="28"/>
          <w:lang w:eastAsia="zh-CN"/>
        </w:rPr>
        <w:t>预测，预测</w:t>
      </w:r>
      <w:r>
        <w:rPr>
          <w:rFonts w:hint="eastAsia" w:ascii="Times New Roman" w:hAnsi="Times New Roman" w:eastAsia="方正楷体_GBK" w:cs="Calibri"/>
          <w:sz w:val="28"/>
          <w:szCs w:val="28"/>
          <w:lang w:eastAsia="zh-CN"/>
        </w:rPr>
        <w:t>结果以点阵图形式记录并</w:t>
      </w:r>
      <w:r>
        <w:rPr>
          <w:rFonts w:hint="default" w:ascii="Times New Roman" w:hAnsi="Times New Roman" w:eastAsia="方正楷体_GBK" w:cs="Calibri"/>
          <w:sz w:val="28"/>
          <w:szCs w:val="28"/>
          <w:lang w:eastAsia="zh-CN"/>
        </w:rPr>
        <w:t>呈现</w:t>
      </w:r>
      <w:r>
        <w:rPr>
          <w:rFonts w:hint="eastAsia" w:ascii="Times New Roman" w:hAnsi="Times New Roman" w:eastAsia="方正楷体_GBK" w:cs="Calibri"/>
          <w:sz w:val="28"/>
          <w:szCs w:val="28"/>
          <w:lang w:eastAsia="zh-CN"/>
        </w:rPr>
        <w:t>出来</w:t>
      </w:r>
      <w:r>
        <w:rPr>
          <w:rFonts w:hint="default" w:ascii="Times New Roman" w:hAnsi="Times New Roman" w:eastAsia="方正楷体_GBK" w:cs="Calibri"/>
          <w:sz w:val="28"/>
          <w:szCs w:val="28"/>
          <w:lang w:eastAsia="zh-CN"/>
        </w:rPr>
        <w:t>。</w:t>
      </w:r>
      <w:r>
        <w:rPr>
          <w:rFonts w:hint="eastAsia" w:ascii="Times New Roman" w:hAnsi="Times New Roman" w:eastAsia="方正楷体_GBK" w:cs="Calibri"/>
          <w:sz w:val="28"/>
          <w:szCs w:val="28"/>
          <w:lang w:eastAsia="zh-CN"/>
        </w:rPr>
        <w:t>）</w:t>
      </w:r>
    </w:p>
    <w:p>
      <w:pPr>
        <w:ind w:left="0" w:leftChars="0" w:firstLine="0" w:firstLineChars="0"/>
        <w:jc w:val="left"/>
        <w:rPr>
          <w:rFonts w:hint="eastAsia" w:ascii="Times New Roman" w:hAnsi="Times New Roman" w:eastAsia="方正小标宋_GBK" w:cs="Times New Roman"/>
          <w:b/>
          <w:bCs/>
          <w:color w:val="FF0000"/>
          <w:sz w:val="32"/>
          <w:szCs w:val="40"/>
          <w:highlight w:val="yellow"/>
          <w:lang w:val="en-US" w:eastAsia="zh-CN"/>
        </w:rPr>
      </w:pPr>
    </w:p>
    <w:p>
      <w:pPr>
        <w:ind w:left="0" w:leftChars="0" w:firstLine="0" w:firstLineChars="0"/>
        <w:jc w:val="left"/>
        <w:rPr>
          <w:rFonts w:hint="default" w:ascii="Times New Roman" w:hAnsi="Times New Roman" w:eastAsia="宋体" w:cs="Times New Roman"/>
          <w:b/>
          <w:bCs/>
          <w:color w:val="0000FF"/>
          <w:sz w:val="32"/>
          <w:szCs w:val="32"/>
          <w:highlight w:val="yellow"/>
          <w:lang w:val="en-US" w:eastAsia="zh-CN"/>
        </w:rPr>
      </w:pPr>
      <w:r>
        <w:rPr>
          <w:rFonts w:hint="eastAsia" w:ascii="Times New Roman" w:hAnsi="Times New Roman" w:eastAsia="方正小标宋_GBK" w:cs="Times New Roman"/>
          <w:b/>
          <w:bCs/>
          <w:color w:val="FF0000"/>
          <w:sz w:val="32"/>
          <w:szCs w:val="40"/>
          <w:highlight w:val="yellow"/>
          <w:lang w:val="en-US" w:eastAsia="zh-CN"/>
        </w:rPr>
        <w:t>3</w:t>
      </w:r>
      <w:r>
        <w:rPr>
          <w:rFonts w:hint="default" w:ascii="Times New Roman" w:hAnsi="Times New Roman" w:eastAsia="方正小标宋_GBK" w:cs="Times New Roman"/>
          <w:b/>
          <w:bCs/>
          <w:color w:val="FF0000"/>
          <w:sz w:val="32"/>
          <w:szCs w:val="40"/>
          <w:highlight w:val="yellow"/>
          <w:lang w:val="en-US" w:eastAsia="zh-CN"/>
        </w:rPr>
        <w:t>月</w:t>
      </w:r>
      <w:r>
        <w:rPr>
          <w:rFonts w:hint="eastAsia" w:ascii="Times New Roman" w:hAnsi="Times New Roman" w:eastAsia="方正小标宋_GBK" w:cs="Times New Roman"/>
          <w:b/>
          <w:bCs/>
          <w:color w:val="FF0000"/>
          <w:sz w:val="32"/>
          <w:szCs w:val="40"/>
          <w:highlight w:val="yellow"/>
          <w:lang w:val="en-US" w:eastAsia="zh-CN"/>
        </w:rPr>
        <w:t>22</w:t>
      </w:r>
      <w:r>
        <w:rPr>
          <w:rFonts w:hint="default" w:ascii="Times New Roman" w:hAnsi="Times New Roman" w:eastAsia="方正小标宋_GBK" w:cs="Times New Roman"/>
          <w:b/>
          <w:bCs/>
          <w:color w:val="FF0000"/>
          <w:sz w:val="32"/>
          <w:szCs w:val="40"/>
          <w:highlight w:val="yellow"/>
          <w:lang w:val="en-US" w:eastAsia="zh-CN"/>
        </w:rPr>
        <w:t>日</w:t>
      </w:r>
      <w:r>
        <w:rPr>
          <w:rFonts w:hint="default" w:ascii="Times New Roman" w:hAnsi="Times New Roman" w:eastAsia="方正魏碑简体" w:cs="Times New Roman"/>
          <w:b/>
          <w:bCs/>
          <w:color w:val="0000FF"/>
          <w:sz w:val="32"/>
          <w:szCs w:val="40"/>
          <w:highlight w:val="yellow"/>
          <w:lang w:val="en-US" w:eastAsia="zh-CN"/>
        </w:rPr>
        <w:t>（周</w:t>
      </w:r>
      <w:r>
        <w:rPr>
          <w:rFonts w:hint="eastAsia" w:ascii="Times New Roman" w:hAnsi="Times New Roman" w:eastAsia="方正魏碑简体" w:cs="Times New Roman"/>
          <w:b/>
          <w:bCs/>
          <w:color w:val="0000FF"/>
          <w:sz w:val="32"/>
          <w:szCs w:val="40"/>
          <w:highlight w:val="yellow"/>
          <w:lang w:val="en-US" w:eastAsia="zh-CN"/>
        </w:rPr>
        <w:t>五</w:t>
      </w:r>
      <w:r>
        <w:rPr>
          <w:rFonts w:hint="default" w:ascii="Times New Roman" w:hAnsi="Times New Roman" w:eastAsia="方正魏碑简体" w:cs="Times New Roman"/>
          <w:b/>
          <w:bCs/>
          <w:color w:val="0000FF"/>
          <w:sz w:val="32"/>
          <w:szCs w:val="40"/>
          <w:highlight w:val="yellow"/>
          <w:lang w:val="en-US" w:eastAsia="zh-CN"/>
        </w:rPr>
        <w:t>）</w:t>
      </w:r>
    </w:p>
    <w:p>
      <w:pPr>
        <w:jc w:val="center"/>
        <w:rPr>
          <w:rFonts w:hint="eastAsia" w:ascii="Times New Roman" w:hAnsi="Times New Roman" w:eastAsia="方正小标宋_GBK" w:cs="Times New Roman"/>
          <w:b/>
          <w:bCs/>
          <w:color w:val="0000FF"/>
          <w:sz w:val="36"/>
          <w:szCs w:val="44"/>
          <w:highlight w:val="yellow"/>
          <w:lang w:val="en-US" w:eastAsia="zh-CN"/>
        </w:rPr>
      </w:pPr>
      <w:r>
        <w:rPr>
          <w:rFonts w:hint="eastAsia" w:ascii="Times New Roman" w:hAnsi="Times New Roman" w:eastAsia="方正小标宋_GBK" w:cs="Times New Roman"/>
          <w:b/>
          <w:bCs/>
          <w:color w:val="0000FF"/>
          <w:sz w:val="36"/>
          <w:szCs w:val="44"/>
          <w:highlight w:val="yellow"/>
          <w:lang w:val="en-US" w:eastAsia="zh-CN"/>
        </w:rPr>
        <w:t>瑞士央行率先降息，英国央行维持不变，</w:t>
      </w:r>
    </w:p>
    <w:p>
      <w:pPr>
        <w:jc w:val="center"/>
        <w:rPr>
          <w:rFonts w:hint="eastAsia" w:ascii="Times New Roman" w:hAnsi="Times New Roman" w:eastAsia="方正小标宋_GBK" w:cs="Times New Roman"/>
          <w:b/>
          <w:bCs/>
          <w:color w:val="0000FF"/>
          <w:sz w:val="36"/>
          <w:szCs w:val="44"/>
          <w:highlight w:val="yellow"/>
          <w:lang w:val="en-US" w:eastAsia="zh-CN"/>
        </w:rPr>
      </w:pPr>
      <w:r>
        <w:rPr>
          <w:rFonts w:hint="eastAsia" w:ascii="Times New Roman" w:hAnsi="Times New Roman" w:eastAsia="方正小标宋_GBK" w:cs="Times New Roman"/>
          <w:b/>
          <w:bCs/>
          <w:color w:val="0000FF"/>
          <w:sz w:val="36"/>
          <w:szCs w:val="44"/>
          <w:highlight w:val="yellow"/>
          <w:lang w:val="en-US" w:eastAsia="zh-CN"/>
        </w:rPr>
        <w:t>土耳其央行大举升息</w:t>
      </w:r>
    </w:p>
    <w:p>
      <w:pPr>
        <w:ind w:firstLine="608" w:firstLineChars="200"/>
        <w:jc w:val="left"/>
        <w:rPr>
          <w:rFonts w:hint="eastAsia" w:ascii="Times New Roman" w:hAnsi="Times New Roman" w:cs="Times New Roman"/>
          <w:b/>
          <w:bCs/>
          <w:sz w:val="32"/>
          <w:szCs w:val="32"/>
          <w:lang w:val="en-US" w:eastAsia="zh-CN"/>
        </w:rPr>
      </w:pPr>
      <w:r>
        <w:rPr>
          <w:rFonts w:hint="eastAsia" w:ascii="Times New Roman" w:hAnsi="Times New Roman" w:cs="Times New Roman"/>
          <w:b/>
          <w:bCs/>
          <w:sz w:val="32"/>
          <w:szCs w:val="32"/>
          <w:lang w:val="en-US" w:eastAsia="zh-CN"/>
        </w:rPr>
        <w:t>一、瑞士央行率先降息</w:t>
      </w:r>
    </w:p>
    <w:p>
      <w:pPr>
        <w:ind w:firstLine="608" w:firstLineChars="200"/>
        <w:jc w:val="left"/>
        <w:rPr>
          <w:rFonts w:hint="eastAsia" w:ascii="Times New Roman" w:hAnsi="Times New Roman" w:cs="Times New Roman"/>
          <w:sz w:val="32"/>
          <w:szCs w:val="32"/>
          <w:lang w:val="en-US" w:eastAsia="zh-CN"/>
        </w:rPr>
      </w:pPr>
      <w:r>
        <w:rPr>
          <w:rFonts w:hint="eastAsia" w:ascii="Times New Roman" w:hAnsi="Times New Roman" w:cs="Times New Roman"/>
          <w:sz w:val="32"/>
          <w:szCs w:val="32"/>
          <w:lang w:val="en-US" w:eastAsia="zh-CN"/>
        </w:rPr>
        <w:t>3月21日（周四），瑞士央行（Swiss National Bank）将其主要利率下调25个基点，至1.50%。利率下调后，利差扩大，瑞士法郎兑欧元汇率跌至8个月以来新低。</w:t>
      </w:r>
    </w:p>
    <w:tbl>
      <w:tblPr>
        <w:tblStyle w:val="15"/>
        <w:tblpPr w:leftFromText="180" w:rightFromText="180" w:vertAnchor="text" w:horzAnchor="page" w:tblpX="1668" w:tblpY="181"/>
        <w:tblOverlap w:val="never"/>
        <w:tblW w:w="894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5138"/>
        <w:gridCol w:w="380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66" w:hRule="atLeast"/>
        </w:trPr>
        <w:tc>
          <w:tcPr>
            <w:tcW w:w="5138" w:type="dxa"/>
            <w:vMerge w:val="restart"/>
            <w:tcBorders>
              <w:tl2br w:val="nil"/>
              <w:tr2bl w:val="nil"/>
            </w:tcBorders>
            <w:vAlign w:val="top"/>
          </w:tcPr>
          <w:p>
            <w:pPr>
              <w:ind w:firstLine="608" w:firstLineChars="200"/>
              <w:jc w:val="left"/>
              <w:rPr>
                <w:rFonts w:hint="eastAsia" w:ascii="Times New Roman" w:hAnsi="Times New Roman" w:cs="Times New Roman"/>
                <w:sz w:val="32"/>
                <w:szCs w:val="32"/>
                <w:lang w:val="en-US" w:eastAsia="zh-CN"/>
              </w:rPr>
            </w:pPr>
            <w:r>
              <w:rPr>
                <w:rFonts w:hint="eastAsia" w:ascii="Times New Roman" w:hAnsi="Times New Roman" w:cs="Times New Roman"/>
                <w:sz w:val="32"/>
                <w:szCs w:val="32"/>
                <w:lang w:val="en-US" w:eastAsia="zh-CN"/>
              </w:rPr>
              <w:t>在长期的紧缩货币政策之后，瑞士央行是第一家降息的主要央行。在过去的9个月里，瑞士物价涨幅一直保持在瑞士央行 0%-2% 的目标范围内，显示其经济已回归低通胀状态，因此降息是合乎常规的政策操作。</w:t>
            </w:r>
          </w:p>
        </w:tc>
        <w:tc>
          <w:tcPr>
            <w:tcW w:w="3802" w:type="dxa"/>
            <w:tcBorders>
              <w:tl2br w:val="nil"/>
              <w:tr2bl w:val="nil"/>
            </w:tcBorders>
            <w:vAlign w:val="top"/>
          </w:tcPr>
          <w:p>
            <w:pPr>
              <w:jc w:val="left"/>
              <w:rPr>
                <w:rFonts w:hint="default" w:ascii="Times New Roman" w:hAnsi="Times New Roman" w:cs="Times New Roman"/>
                <w:sz w:val="32"/>
                <w:szCs w:val="32"/>
                <w:vertAlign w:val="baseline"/>
              </w:rPr>
            </w:pPr>
            <w:r>
              <w:drawing>
                <wp:inline distT="0" distB="0" distL="114300" distR="114300">
                  <wp:extent cx="2301240" cy="1932305"/>
                  <wp:effectExtent l="0" t="0" r="3810" b="10795"/>
                  <wp:docPr id="3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2"/>
                          <pic:cNvPicPr>
                            <a:picLocks noChangeAspect="1"/>
                          </pic:cNvPicPr>
                        </pic:nvPicPr>
                        <pic:blipFill>
                          <a:blip r:embed="rId17"/>
                          <a:stretch>
                            <a:fillRect/>
                          </a:stretch>
                        </pic:blipFill>
                        <pic:spPr>
                          <a:xfrm>
                            <a:off x="0" y="0"/>
                            <a:ext cx="2301240" cy="1932305"/>
                          </a:xfrm>
                          <a:prstGeom prst="rect">
                            <a:avLst/>
                          </a:prstGeom>
                          <a:noFill/>
                          <a:ln>
                            <a:noFill/>
                          </a:ln>
                        </pic:spPr>
                      </pic:pic>
                    </a:graphicData>
                  </a:graphic>
                </wp:inline>
              </w:drawing>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41" w:hRule="atLeast"/>
        </w:trPr>
        <w:tc>
          <w:tcPr>
            <w:tcW w:w="5138" w:type="dxa"/>
            <w:vMerge w:val="continue"/>
            <w:tcBorders>
              <w:tl2br w:val="nil"/>
              <w:tr2bl w:val="nil"/>
            </w:tcBorders>
            <w:vAlign w:val="top"/>
          </w:tcPr>
          <w:p>
            <w:pPr>
              <w:jc w:val="left"/>
              <w:rPr>
                <w:rFonts w:hint="eastAsia" w:ascii="Times New Roman" w:hAnsi="Times New Roman" w:cs="Times New Roman"/>
                <w:sz w:val="32"/>
                <w:szCs w:val="32"/>
                <w:lang w:val="en-US" w:eastAsia="zh-CN"/>
              </w:rPr>
            </w:pPr>
          </w:p>
        </w:tc>
        <w:tc>
          <w:tcPr>
            <w:tcW w:w="3802" w:type="dxa"/>
            <w:tcBorders>
              <w:tl2br w:val="nil"/>
              <w:tr2bl w:val="nil"/>
            </w:tcBorders>
            <w:vAlign w:val="top"/>
          </w:tcPr>
          <w:p>
            <w:pPr>
              <w:keepNext w:val="0"/>
              <w:keepLines w:val="0"/>
              <w:pageBreakBefore w:val="0"/>
              <w:widowControl w:val="0"/>
              <w:kinsoku/>
              <w:wordWrap/>
              <w:overflowPunct/>
              <w:topLinePunct w:val="0"/>
              <w:autoSpaceDE/>
              <w:autoSpaceDN/>
              <w:bidi w:val="0"/>
              <w:adjustRightInd/>
              <w:snapToGrid/>
              <w:spacing w:line="360" w:lineRule="exact"/>
              <w:textAlignment w:val="auto"/>
              <w:outlineLvl w:val="9"/>
            </w:pPr>
            <w:r>
              <w:rPr>
                <w:rFonts w:hint="eastAsia" w:ascii="Times New Roman" w:hAnsi="Times New Roman" w:eastAsia="方正楷体_GBK" w:cs="方正楷体_GBK"/>
                <w:sz w:val="24"/>
                <w:szCs w:val="24"/>
                <w:lang w:eastAsia="zh-CN"/>
              </w:rPr>
              <w:t>（图：</w:t>
            </w:r>
            <w:r>
              <w:rPr>
                <w:rFonts w:hint="eastAsia" w:ascii="Times New Roman" w:hAnsi="Times New Roman" w:eastAsia="方正楷体_GBK"/>
                <w:sz w:val="24"/>
                <w:szCs w:val="24"/>
                <w:lang w:eastAsia="zh-CN"/>
              </w:rPr>
              <w:t>瑞士央行，</w:t>
            </w:r>
            <w:r>
              <w:rPr>
                <w:rFonts w:hint="eastAsia" w:ascii="Times New Roman" w:hAnsi="Times New Roman" w:eastAsia="方正楷体_GBK"/>
                <w:sz w:val="24"/>
                <w:szCs w:val="24"/>
                <w:lang w:val="en-US" w:eastAsia="zh-CN"/>
              </w:rPr>
              <w:t>Swiss National Bank，SNB</w:t>
            </w:r>
            <w:r>
              <w:rPr>
                <w:rFonts w:hint="eastAsia" w:ascii="Times New Roman" w:hAnsi="Times New Roman" w:eastAsia="方正楷体_GBK" w:cs="方正楷体_GBK"/>
                <w:sz w:val="24"/>
                <w:szCs w:val="24"/>
                <w:lang w:eastAsia="zh-CN"/>
              </w:rPr>
              <w:t>）</w:t>
            </w:r>
          </w:p>
        </w:tc>
      </w:tr>
    </w:tbl>
    <w:p>
      <w:pPr>
        <w:ind w:firstLine="608" w:firstLineChars="200"/>
        <w:jc w:val="left"/>
        <w:rPr>
          <w:rFonts w:hint="eastAsia" w:ascii="Times New Roman" w:hAnsi="Times New Roman" w:cs="Times New Roman"/>
          <w:b/>
          <w:bCs/>
          <w:sz w:val="32"/>
          <w:szCs w:val="32"/>
          <w:lang w:val="en-US" w:eastAsia="zh-CN"/>
        </w:rPr>
      </w:pPr>
      <w:r>
        <w:rPr>
          <w:rFonts w:hint="eastAsia" w:ascii="Times New Roman" w:hAnsi="Times New Roman" w:cs="Times New Roman"/>
          <w:b/>
          <w:bCs/>
          <w:sz w:val="32"/>
          <w:szCs w:val="32"/>
          <w:lang w:val="en-US" w:eastAsia="zh-CN"/>
        </w:rPr>
        <w:t>二、英国央行维持利率水平不变</w:t>
      </w:r>
    </w:p>
    <w:p>
      <w:pPr>
        <w:ind w:firstLine="608" w:firstLineChars="200"/>
        <w:jc w:val="left"/>
        <w:rPr>
          <w:rFonts w:hint="eastAsia" w:ascii="Times New Roman" w:hAnsi="Times New Roman" w:cs="Times New Roman"/>
          <w:sz w:val="32"/>
          <w:szCs w:val="32"/>
          <w:lang w:val="en-US" w:eastAsia="zh-CN"/>
        </w:rPr>
      </w:pPr>
      <w:r>
        <w:rPr>
          <w:rFonts w:hint="eastAsia" w:ascii="Times New Roman" w:hAnsi="Times New Roman" w:cs="Times New Roman"/>
          <w:sz w:val="32"/>
          <w:szCs w:val="32"/>
          <w:lang w:val="en-US" w:eastAsia="zh-CN"/>
        </w:rPr>
        <w:t>同日，英国央行（英格兰银行）货币政策委员会召开会议，决定利率维持在5.25%不变。但投票构成的变化表明，票委中转向降息的人数在增加。</w:t>
      </w:r>
    </w:p>
    <w:p>
      <w:pPr>
        <w:ind w:firstLine="608" w:firstLineChars="200"/>
        <w:jc w:val="left"/>
        <w:rPr>
          <w:rFonts w:hint="eastAsia" w:ascii="Times New Roman" w:hAnsi="Times New Roman" w:cs="Times New Roman"/>
          <w:sz w:val="32"/>
          <w:szCs w:val="32"/>
          <w:lang w:val="en-US" w:eastAsia="zh-CN"/>
        </w:rPr>
      </w:pPr>
      <w:r>
        <w:rPr>
          <w:rFonts w:hint="eastAsia" w:ascii="Times New Roman" w:hAnsi="Times New Roman" w:cs="Times New Roman"/>
          <w:sz w:val="32"/>
          <w:szCs w:val="32"/>
          <w:lang w:val="en-US" w:eastAsia="zh-CN"/>
        </w:rPr>
        <w:t>英国于2023 年下半年进入了“技术性衰退”（连续两个季度经济收缩），尽管数据显示今年2月份经济略有增长，但仍然显得疲弱。通胀率已从1月份的4%下降到2月份的3.4%，市场普遍预期通胀率将进一步下降，达到央行2%的目标。</w:t>
      </w:r>
    </w:p>
    <w:p>
      <w:pPr>
        <w:ind w:firstLine="608" w:firstLineChars="200"/>
        <w:jc w:val="left"/>
        <w:rPr>
          <w:rFonts w:hint="eastAsia" w:ascii="Times New Roman" w:hAnsi="Times New Roman" w:cs="Times New Roman"/>
          <w:sz w:val="32"/>
          <w:szCs w:val="32"/>
          <w:lang w:val="en-US" w:eastAsia="zh-CN"/>
        </w:rPr>
      </w:pPr>
      <w:r>
        <w:rPr>
          <w:rFonts w:hint="eastAsia" w:ascii="Times New Roman" w:hAnsi="Times New Roman" w:cs="Times New Roman"/>
          <w:sz w:val="32"/>
          <w:szCs w:val="32"/>
          <w:lang w:val="en-US" w:eastAsia="zh-CN"/>
        </w:rPr>
        <w:t>今年英国是大选年，英格兰银行必须谨慎行事：既要争取经济增长，又不能让通胀反弹。</w:t>
      </w:r>
    </w:p>
    <w:p>
      <w:pPr>
        <w:ind w:firstLine="608" w:firstLineChars="200"/>
        <w:jc w:val="left"/>
        <w:rPr>
          <w:rFonts w:hint="eastAsia" w:ascii="Times New Roman" w:hAnsi="Times New Roman" w:cs="Times New Roman"/>
          <w:b/>
          <w:bCs/>
          <w:sz w:val="32"/>
          <w:szCs w:val="32"/>
          <w:lang w:val="en-US" w:eastAsia="zh-CN"/>
        </w:rPr>
      </w:pPr>
      <w:r>
        <w:rPr>
          <w:rFonts w:hint="eastAsia" w:ascii="Times New Roman" w:hAnsi="Times New Roman" w:cs="Times New Roman"/>
          <w:b/>
          <w:bCs/>
          <w:sz w:val="32"/>
          <w:szCs w:val="32"/>
          <w:lang w:val="en-US" w:eastAsia="zh-CN"/>
        </w:rPr>
        <w:t>三、土耳其央行大举升息</w:t>
      </w:r>
    </w:p>
    <w:p>
      <w:pPr>
        <w:ind w:firstLine="608" w:firstLineChars="200"/>
        <w:jc w:val="left"/>
        <w:rPr>
          <w:rFonts w:hint="eastAsia" w:ascii="Times New Roman" w:hAnsi="Times New Roman" w:cs="Times New Roman"/>
          <w:sz w:val="32"/>
          <w:szCs w:val="32"/>
          <w:lang w:val="en-US" w:eastAsia="zh-CN"/>
        </w:rPr>
      </w:pPr>
      <w:r>
        <w:rPr>
          <w:rFonts w:hint="eastAsia" w:ascii="Times New Roman" w:hAnsi="Times New Roman" w:cs="Times New Roman"/>
          <w:sz w:val="32"/>
          <w:szCs w:val="32"/>
          <w:lang w:val="en-US" w:eastAsia="zh-CN"/>
        </w:rPr>
        <w:t>同日，土耳其中央银行将主要利率提高了5个百分点，达到50%，以稳定土耳其里拉的汇率。2024年以来，土耳其物价飞涨，涨幅严重超预期，通货膨胀率有望超过70%。如若实现，实际利率将仍为-20%，理论上依然无法遏制住通胀（如图）。</w:t>
      </w:r>
    </w:p>
    <w:p>
      <w:pPr>
        <w:jc w:val="center"/>
        <w:rPr>
          <w:rFonts w:hint="eastAsia"/>
          <w:lang w:val="en-US" w:eastAsia="zh-CN"/>
        </w:rPr>
      </w:pPr>
      <w:r>
        <w:drawing>
          <wp:inline distT="0" distB="0" distL="114300" distR="114300">
            <wp:extent cx="3569970" cy="2494280"/>
            <wp:effectExtent l="0" t="0" r="11430" b="1270"/>
            <wp:docPr id="3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1"/>
                    <pic:cNvPicPr>
                      <a:picLocks noChangeAspect="1"/>
                    </pic:cNvPicPr>
                  </pic:nvPicPr>
                  <pic:blipFill>
                    <a:blip r:embed="rId18"/>
                    <a:stretch>
                      <a:fillRect/>
                    </a:stretch>
                  </pic:blipFill>
                  <pic:spPr>
                    <a:xfrm>
                      <a:off x="0" y="0"/>
                      <a:ext cx="3569970" cy="2494280"/>
                    </a:xfrm>
                    <a:prstGeom prst="rect">
                      <a:avLst/>
                    </a:prstGeom>
                    <a:noFill/>
                    <a:ln>
                      <a:noFill/>
                    </a:ln>
                  </pic:spPr>
                </pic:pic>
              </a:graphicData>
            </a:graphic>
          </wp:inline>
        </w:drawing>
      </w:r>
    </w:p>
    <w:p>
      <w:pPr>
        <w:ind w:firstLine="388" w:firstLineChars="200"/>
        <w:rPr>
          <w:rFonts w:hint="default"/>
          <w:lang w:val="en-US" w:eastAsia="zh-CN"/>
        </w:rPr>
      </w:pPr>
    </w:p>
    <w:p>
      <w:pPr>
        <w:ind w:firstLine="388" w:firstLineChars="200"/>
        <w:rPr>
          <w:rFonts w:hint="default"/>
          <w:lang w:val="en-US" w:eastAsia="zh-CN"/>
        </w:rPr>
      </w:pPr>
    </w:p>
    <w:p>
      <w:pPr>
        <w:rPr>
          <w:rFonts w:hint="eastAsia" w:ascii="Times New Roman" w:hAnsi="Times New Roman" w:eastAsia="方正小标宋_GBK" w:cs="Times New Roman"/>
          <w:b/>
          <w:bCs/>
          <w:color w:val="FF0000"/>
          <w:sz w:val="32"/>
          <w:szCs w:val="40"/>
          <w:highlight w:val="yellow"/>
          <w:lang w:val="en-US" w:eastAsia="zh-CN"/>
        </w:rPr>
      </w:pPr>
      <w:r>
        <w:rPr>
          <w:rFonts w:hint="eastAsia" w:ascii="Times New Roman" w:hAnsi="Times New Roman" w:eastAsia="方正小标宋_GBK" w:cs="Times New Roman"/>
          <w:b/>
          <w:bCs/>
          <w:color w:val="FF0000"/>
          <w:sz w:val="32"/>
          <w:szCs w:val="40"/>
          <w:highlight w:val="yellow"/>
          <w:lang w:val="en-US" w:eastAsia="zh-CN"/>
        </w:rPr>
        <w:br w:type="page"/>
      </w: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contextualSpacing/>
        <w:jc w:val="center"/>
        <w:textAlignment w:val="auto"/>
        <w:outlineLvl w:val="1"/>
        <w:rPr>
          <w:rFonts w:hint="default" w:ascii="Times New Roman" w:hAnsi="Times New Roman" w:eastAsia="经典行楷简" w:cs="Times New Roman"/>
          <w:b/>
          <w:bCs/>
          <w:color w:val="FF0000"/>
          <w:sz w:val="96"/>
          <w:szCs w:val="96"/>
          <w:lang w:val="en-US" w:eastAsia="zh-CN"/>
        </w:rPr>
      </w:pPr>
      <w:r>
        <w:rPr>
          <w:rFonts w:hint="default" w:ascii="Times New Roman" w:hAnsi="Times New Roman" w:eastAsia="经典行楷简" w:cs="Times New Roman"/>
          <w:b/>
          <w:bCs/>
          <w:color w:val="FF0000"/>
          <w:sz w:val="96"/>
          <w:szCs w:val="96"/>
          <w:lang w:val="en-US" w:eastAsia="zh-CN"/>
        </w:rPr>
        <w:t>江苏贸促动态</w:t>
      </w:r>
    </w:p>
    <w:p>
      <w:pPr>
        <w:keepNext w:val="0"/>
        <w:keepLines w:val="0"/>
        <w:pageBreakBefore w:val="0"/>
        <w:widowControl/>
        <w:shd w:val="clear" w:color="auto" w:fill="FFFFFF"/>
        <w:kinsoku/>
        <w:wordWrap/>
        <w:overflowPunct/>
        <w:topLinePunct w:val="0"/>
        <w:autoSpaceDE/>
        <w:autoSpaceDN/>
        <w:bidi w:val="0"/>
        <w:adjustRightInd/>
        <w:snapToGrid/>
        <w:spacing w:after="210" w:line="600" w:lineRule="exact"/>
        <w:contextualSpacing/>
        <w:jc w:val="center"/>
        <w:textAlignment w:val="auto"/>
        <w:outlineLvl w:val="1"/>
        <w:rPr>
          <w:rFonts w:hint="eastAsia" w:ascii="Times New Roman" w:hAnsi="Times New Roman" w:eastAsia="经典行楷简" w:cs="Times New Roman"/>
          <w:color w:val="2E75B6" w:themeColor="accent1" w:themeShade="BF"/>
          <w:spacing w:val="0"/>
          <w:kern w:val="2"/>
          <w:sz w:val="52"/>
          <w:szCs w:val="52"/>
          <w:lang w:val="en-US" w:eastAsia="zh-CN" w:bidi="ar-SA"/>
        </w:rPr>
      </w:pPr>
    </w:p>
    <w:p>
      <w:pPr>
        <w:keepNext w:val="0"/>
        <w:keepLines w:val="0"/>
        <w:pageBreakBefore w:val="0"/>
        <w:widowControl/>
        <w:shd w:val="clear" w:color="auto" w:fill="FFFFFF"/>
        <w:kinsoku/>
        <w:wordWrap/>
        <w:overflowPunct/>
        <w:topLinePunct w:val="0"/>
        <w:autoSpaceDE/>
        <w:autoSpaceDN/>
        <w:bidi w:val="0"/>
        <w:adjustRightInd/>
        <w:snapToGrid/>
        <w:spacing w:after="210" w:line="600" w:lineRule="exact"/>
        <w:contextualSpacing/>
        <w:jc w:val="center"/>
        <w:textAlignment w:val="auto"/>
        <w:outlineLvl w:val="1"/>
        <w:rPr>
          <w:rFonts w:hint="eastAsia" w:ascii="Times New Roman" w:hAnsi="Times New Roman" w:eastAsia="经典行楷简" w:cs="Times New Roman"/>
          <w:color w:val="2E75B6" w:themeColor="accent1" w:themeShade="BF"/>
          <w:spacing w:val="0"/>
          <w:kern w:val="2"/>
          <w:sz w:val="52"/>
          <w:szCs w:val="52"/>
          <w:lang w:val="en-US" w:eastAsia="zh-CN" w:bidi="ar-SA"/>
        </w:rPr>
      </w:pPr>
      <w:r>
        <w:rPr>
          <w:rFonts w:hint="eastAsia" w:ascii="Times New Roman" w:hAnsi="Times New Roman" w:eastAsia="经典行楷简" w:cs="Times New Roman"/>
          <w:color w:val="2E75B6" w:themeColor="accent1" w:themeShade="BF"/>
          <w:spacing w:val="0"/>
          <w:kern w:val="2"/>
          <w:sz w:val="52"/>
          <w:szCs w:val="52"/>
          <w:lang w:val="en-US" w:eastAsia="zh-CN" w:bidi="ar-SA"/>
        </w:rPr>
        <w:t>省贸促会领导赴扬州、泰州调研</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right="0" w:firstLine="608" w:firstLineChars="200"/>
        <w:textAlignment w:val="auto"/>
        <w:outlineLvl w:val="9"/>
        <w:rPr>
          <w:rFonts w:hint="default" w:ascii="Times New Roman" w:hAnsi="Times New Roman" w:eastAsiaTheme="minorEastAsia" w:cstheme="minorEastAsia"/>
          <w:i w:val="0"/>
          <w:caps w:val="0"/>
          <w:color w:val="333333"/>
          <w:spacing w:val="0"/>
          <w:kern w:val="0"/>
          <w:sz w:val="32"/>
          <w:szCs w:val="32"/>
          <w:shd w:val="clear" w:fill="FFFFFF"/>
          <w:lang w:val="en-US" w:eastAsia="zh-CN" w:bidi="ar"/>
        </w:rPr>
      </w:pPr>
      <w:r>
        <w:rPr>
          <w:rFonts w:hint="default" w:ascii="Times New Roman" w:hAnsi="Times New Roman" w:eastAsiaTheme="minorEastAsia" w:cstheme="minorEastAsia"/>
          <w:i w:val="0"/>
          <w:caps w:val="0"/>
          <w:color w:val="333333"/>
          <w:spacing w:val="0"/>
          <w:kern w:val="0"/>
          <w:sz w:val="32"/>
          <w:szCs w:val="32"/>
          <w:shd w:val="clear" w:fill="FFFFFF"/>
          <w:lang w:val="en-US" w:eastAsia="zh-CN" w:bidi="ar"/>
        </w:rPr>
        <w:t>3月19—21日，省贸促会会长王善华带队赴扬州、泰州走访调研重点外经贸企业，推动更好发挥贸促系统合力，促进激发新质生产力的发展潜力，塑造更高水平开放型经济新优势。</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right="0" w:firstLine="608" w:firstLineChars="200"/>
        <w:textAlignment w:val="auto"/>
        <w:outlineLvl w:val="9"/>
        <w:rPr>
          <w:rFonts w:hint="eastAsia" w:ascii="Times New Roman" w:hAnsi="Times New Roman" w:eastAsiaTheme="minorEastAsia" w:cstheme="minorEastAsia"/>
          <w:i w:val="0"/>
          <w:caps w:val="0"/>
          <w:color w:val="333333"/>
          <w:spacing w:val="0"/>
          <w:kern w:val="0"/>
          <w:sz w:val="32"/>
          <w:szCs w:val="32"/>
          <w:shd w:val="clear" w:fill="FFFFFF"/>
          <w:lang w:val="en-US" w:eastAsia="zh-CN" w:bidi="ar"/>
        </w:rPr>
      </w:pPr>
      <w:r>
        <w:rPr>
          <w:rFonts w:hint="eastAsia" w:ascii="Times New Roman" w:hAnsi="Times New Roman" w:eastAsiaTheme="minorEastAsia" w:cstheme="minorEastAsia"/>
          <w:i w:val="0"/>
          <w:caps w:val="0"/>
          <w:color w:val="333333"/>
          <w:spacing w:val="0"/>
          <w:kern w:val="0"/>
          <w:sz w:val="32"/>
          <w:szCs w:val="32"/>
          <w:shd w:val="clear" w:fill="FFFFFF"/>
          <w:lang w:val="en-US" w:eastAsia="zh-CN" w:bidi="ar"/>
        </w:rPr>
        <w:t>调研期间，王善华实地走访江苏丰尚智能科技有限公司、扬州通利冷藏集装箱有限公司、泰兴市华诚机电制造有限公司、扬子江药业集团有限公司等企业，深入生产一线，详细了解企业生产经营情况以及在国际化市场开拓方面遇到的问题和困难，并介绍第二届中国国际供应链促进博览会有关情况。</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right="0" w:firstLine="608" w:firstLineChars="200"/>
        <w:textAlignment w:val="auto"/>
        <w:outlineLvl w:val="9"/>
        <w:rPr>
          <w:rFonts w:hint="eastAsia" w:ascii="Times New Roman" w:hAnsi="Times New Roman" w:eastAsiaTheme="minorEastAsia" w:cstheme="minorEastAsia"/>
          <w:i w:val="0"/>
          <w:caps w:val="0"/>
          <w:color w:val="333333"/>
          <w:spacing w:val="0"/>
          <w:kern w:val="0"/>
          <w:sz w:val="32"/>
          <w:szCs w:val="32"/>
          <w:shd w:val="clear" w:fill="FFFFFF"/>
          <w:lang w:val="en-US" w:eastAsia="zh-CN" w:bidi="ar"/>
        </w:rPr>
      </w:pPr>
      <w:r>
        <w:rPr>
          <w:rFonts w:hint="eastAsia" w:ascii="Times New Roman" w:hAnsi="Times New Roman" w:eastAsiaTheme="minorEastAsia" w:cstheme="minorEastAsia"/>
          <w:i w:val="0"/>
          <w:caps w:val="0"/>
          <w:color w:val="333333"/>
          <w:spacing w:val="0"/>
          <w:kern w:val="0"/>
          <w:sz w:val="32"/>
          <w:szCs w:val="32"/>
          <w:shd w:val="clear" w:fill="FFFFFF"/>
          <w:lang w:val="en-US" w:eastAsia="zh-CN" w:bidi="ar"/>
        </w:rPr>
        <w:t>他表示，江苏省贸促会、国际商会将一如既往发挥贸易投资促进、商事法律服务优势，为企业提供专业化、个性化的会员服务，支持企业深度融入全球产业链供应链，助推江苏新质生产力加快发展。</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right="0" w:firstLine="608" w:firstLineChars="200"/>
        <w:textAlignment w:val="auto"/>
        <w:outlineLvl w:val="9"/>
        <w:rPr>
          <w:rFonts w:hint="eastAsia" w:ascii="Times New Roman" w:hAnsi="Times New Roman" w:eastAsiaTheme="minorEastAsia" w:cstheme="minorEastAsia"/>
          <w:i w:val="0"/>
          <w:caps w:val="0"/>
          <w:color w:val="333333"/>
          <w:spacing w:val="0"/>
          <w:kern w:val="0"/>
          <w:sz w:val="32"/>
          <w:szCs w:val="32"/>
          <w:shd w:val="clear" w:fill="FFFFFF"/>
          <w:lang w:val="en-US" w:eastAsia="zh-CN" w:bidi="ar"/>
        </w:rPr>
      </w:pPr>
      <w:r>
        <w:rPr>
          <w:rFonts w:hint="eastAsia" w:ascii="Times New Roman" w:hAnsi="Times New Roman" w:eastAsiaTheme="minorEastAsia" w:cstheme="minorEastAsia"/>
          <w:i w:val="0"/>
          <w:caps w:val="0"/>
          <w:color w:val="333333"/>
          <w:spacing w:val="0"/>
          <w:kern w:val="0"/>
          <w:sz w:val="32"/>
          <w:szCs w:val="32"/>
          <w:shd w:val="clear" w:fill="FFFFFF"/>
          <w:lang w:val="en-US" w:eastAsia="zh-CN" w:bidi="ar"/>
        </w:rPr>
        <w:t>扬州市贸促会会长钱中声、泰州市贸促会会长唐驰参加调研。</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right="0" w:firstLine="5472" w:firstLineChars="1800"/>
        <w:textAlignment w:val="auto"/>
        <w:outlineLvl w:val="9"/>
        <w:rPr>
          <w:rFonts w:hint="eastAsia" w:ascii="方正楷体_GBK" w:hAnsi="方正楷体_GBK" w:eastAsia="方正楷体_GBK" w:cs="方正楷体_GBK"/>
          <w:b/>
          <w:bCs/>
          <w:color w:val="FF0000"/>
          <w:spacing w:val="0"/>
          <w:kern w:val="2"/>
          <w:sz w:val="32"/>
          <w:szCs w:val="32"/>
          <w:lang w:val="en-US" w:eastAsia="zh-CN" w:bidi="ar-SA"/>
        </w:rPr>
      </w:pPr>
      <w:r>
        <w:rPr>
          <w:rFonts w:hint="eastAsia" w:ascii="方正楷体_GBK" w:hAnsi="方正楷体_GBK" w:eastAsia="方正楷体_GBK" w:cs="方正楷体_GBK"/>
          <w:b/>
          <w:bCs/>
          <w:color w:val="FF0000"/>
          <w:spacing w:val="0"/>
          <w:kern w:val="2"/>
          <w:sz w:val="32"/>
          <w:szCs w:val="32"/>
          <w:lang w:val="en-US" w:eastAsia="zh-CN" w:bidi="ar-SA"/>
        </w:rPr>
        <w:t>（国际商会秘书处）</w:t>
      </w:r>
    </w:p>
    <w:p>
      <w:pPr>
        <w:keepNext w:val="0"/>
        <w:keepLines w:val="0"/>
        <w:pageBreakBefore w:val="0"/>
        <w:widowControl/>
        <w:shd w:val="clear" w:color="auto" w:fill="FFFFFF"/>
        <w:kinsoku/>
        <w:wordWrap/>
        <w:overflowPunct/>
        <w:topLinePunct w:val="0"/>
        <w:autoSpaceDE/>
        <w:autoSpaceDN/>
        <w:bidi w:val="0"/>
        <w:adjustRightInd/>
        <w:snapToGrid/>
        <w:spacing w:after="210" w:line="600" w:lineRule="exact"/>
        <w:contextualSpacing/>
        <w:jc w:val="center"/>
        <w:textAlignment w:val="auto"/>
        <w:outlineLvl w:val="1"/>
        <w:rPr>
          <w:rFonts w:hint="eastAsia" w:ascii="Times New Roman" w:hAnsi="Times New Roman" w:eastAsia="经典行楷简" w:cs="Times New Roman"/>
          <w:color w:val="2E75B6" w:themeColor="accent1" w:themeShade="BF"/>
          <w:spacing w:val="0"/>
          <w:kern w:val="2"/>
          <w:sz w:val="52"/>
          <w:szCs w:val="52"/>
          <w:lang w:val="en-US" w:eastAsia="zh-CN" w:bidi="ar-SA"/>
        </w:rPr>
      </w:pPr>
    </w:p>
    <w:p>
      <w:pPr>
        <w:keepNext w:val="0"/>
        <w:keepLines w:val="0"/>
        <w:pageBreakBefore w:val="0"/>
        <w:widowControl/>
        <w:shd w:val="clear" w:color="auto" w:fill="FFFFFF"/>
        <w:kinsoku/>
        <w:wordWrap/>
        <w:overflowPunct/>
        <w:topLinePunct w:val="0"/>
        <w:autoSpaceDE/>
        <w:autoSpaceDN/>
        <w:bidi w:val="0"/>
        <w:adjustRightInd/>
        <w:snapToGrid/>
        <w:spacing w:after="210" w:line="600" w:lineRule="exact"/>
        <w:contextualSpacing/>
        <w:jc w:val="center"/>
        <w:textAlignment w:val="auto"/>
        <w:outlineLvl w:val="1"/>
        <w:rPr>
          <w:rFonts w:hint="eastAsia" w:ascii="Times New Roman" w:hAnsi="Times New Roman" w:eastAsia="经典行楷简" w:cs="Times New Roman"/>
          <w:color w:val="2E75B6" w:themeColor="accent1" w:themeShade="BF"/>
          <w:spacing w:val="0"/>
          <w:kern w:val="2"/>
          <w:sz w:val="52"/>
          <w:szCs w:val="52"/>
          <w:lang w:val="en-US" w:eastAsia="zh-CN" w:bidi="ar-SA"/>
        </w:rPr>
      </w:pPr>
      <w:r>
        <w:rPr>
          <w:rFonts w:hint="eastAsia" w:ascii="Times New Roman" w:hAnsi="Times New Roman" w:eastAsia="经典行楷简" w:cs="Times New Roman"/>
          <w:color w:val="2E75B6" w:themeColor="accent1" w:themeShade="BF"/>
          <w:spacing w:val="0"/>
          <w:kern w:val="2"/>
          <w:sz w:val="52"/>
          <w:szCs w:val="52"/>
          <w:lang w:val="en-US" w:eastAsia="zh-CN" w:bidi="ar-SA"/>
        </w:rPr>
        <w:t>省贸促会领导会见香港贸发局华东华中首席代表吕剑一行</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right="0" w:firstLine="608" w:firstLineChars="200"/>
        <w:textAlignment w:val="auto"/>
        <w:outlineLvl w:val="9"/>
        <w:rPr>
          <w:rFonts w:hint="default" w:ascii="Times New Roman" w:hAnsi="Times New Roman" w:eastAsiaTheme="minorEastAsia" w:cstheme="minorEastAsia"/>
          <w:i w:val="0"/>
          <w:caps w:val="0"/>
          <w:color w:val="333333"/>
          <w:spacing w:val="0"/>
          <w:kern w:val="0"/>
          <w:sz w:val="32"/>
          <w:szCs w:val="32"/>
          <w:shd w:val="clear" w:fill="FFFFFF"/>
          <w:lang w:val="en-US" w:eastAsia="zh-CN" w:bidi="ar"/>
        </w:rPr>
      </w:pPr>
      <w:r>
        <w:rPr>
          <w:rFonts w:hint="default" w:ascii="Times New Roman" w:hAnsi="Times New Roman" w:eastAsiaTheme="minorEastAsia" w:cstheme="minorEastAsia"/>
          <w:i w:val="0"/>
          <w:caps w:val="0"/>
          <w:color w:val="333333"/>
          <w:spacing w:val="0"/>
          <w:kern w:val="0"/>
          <w:sz w:val="32"/>
          <w:szCs w:val="32"/>
          <w:shd w:val="clear" w:fill="FFFFFF"/>
          <w:lang w:val="en-US" w:eastAsia="zh-CN" w:bidi="ar"/>
        </w:rPr>
        <w:t>3月19日上午，省贸促会会长王善华会见来访的香港贸发局华东华中首席代表吕剑一行。副会长丛苏峰参加会见。</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right="0" w:firstLine="608" w:firstLineChars="200"/>
        <w:textAlignment w:val="auto"/>
        <w:outlineLvl w:val="9"/>
        <w:rPr>
          <w:rFonts w:hint="default" w:ascii="Times New Roman" w:hAnsi="Times New Roman" w:eastAsiaTheme="minorEastAsia" w:cstheme="minorEastAsia"/>
          <w:i w:val="0"/>
          <w:caps w:val="0"/>
          <w:color w:val="333333"/>
          <w:spacing w:val="0"/>
          <w:kern w:val="0"/>
          <w:sz w:val="32"/>
          <w:szCs w:val="32"/>
          <w:shd w:val="clear" w:fill="FFFFFF"/>
          <w:lang w:val="en-US" w:eastAsia="zh-CN" w:bidi="ar"/>
        </w:rPr>
      </w:pPr>
      <w:r>
        <w:rPr>
          <w:rFonts w:hint="default" w:ascii="Times New Roman" w:hAnsi="Times New Roman" w:eastAsiaTheme="minorEastAsia" w:cstheme="minorEastAsia"/>
          <w:i w:val="0"/>
          <w:caps w:val="0"/>
          <w:color w:val="333333"/>
          <w:spacing w:val="0"/>
          <w:kern w:val="0"/>
          <w:sz w:val="32"/>
          <w:szCs w:val="32"/>
          <w:shd w:val="clear" w:fill="FFFFFF"/>
          <w:lang w:val="en-US" w:eastAsia="zh-CN" w:bidi="ar"/>
        </w:rPr>
        <w:t>王善华感谢香港贸发局长期以来对江苏省贸促会重大经贸活动的支持和为江苏“走出去”企业提供的帮助。他表示，香港是江苏企业国际化的重要平台，江苏当前正全力打造具有世界聚合力的双向开放枢纽，推进高水平对外开放，希望双方发挥各自优势，推进更多元、更精准的经贸交流合作，为加快发展新质生产力贡献更大力量。</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right="0" w:firstLine="608" w:firstLineChars="200"/>
        <w:textAlignment w:val="auto"/>
        <w:outlineLvl w:val="9"/>
        <w:rPr>
          <w:rFonts w:hint="default" w:ascii="Times New Roman" w:hAnsi="Times New Roman" w:eastAsiaTheme="minorEastAsia" w:cstheme="minorEastAsia"/>
          <w:i w:val="0"/>
          <w:caps w:val="0"/>
          <w:color w:val="333333"/>
          <w:spacing w:val="0"/>
          <w:kern w:val="0"/>
          <w:sz w:val="32"/>
          <w:szCs w:val="32"/>
          <w:shd w:val="clear" w:fill="FFFFFF"/>
          <w:lang w:val="en-US" w:eastAsia="zh-CN" w:bidi="ar"/>
        </w:rPr>
      </w:pPr>
      <w:r>
        <w:rPr>
          <w:rFonts w:hint="default" w:ascii="Times New Roman" w:hAnsi="Times New Roman" w:eastAsiaTheme="minorEastAsia" w:cstheme="minorEastAsia"/>
          <w:i w:val="0"/>
          <w:caps w:val="0"/>
          <w:color w:val="333333"/>
          <w:spacing w:val="0"/>
          <w:kern w:val="0"/>
          <w:sz w:val="32"/>
          <w:szCs w:val="32"/>
          <w:shd w:val="clear" w:fill="FFFFFF"/>
          <w:lang w:val="en-US" w:eastAsia="zh-CN" w:bidi="ar"/>
        </w:rPr>
        <w:t>吕剑对江苏省贸促会多年来支持香港贸发局工作表示感谢。他简要介绍香港贸发局相关工作情况和今年重点经贸活动计划，表示愿进一步加强香港贸发局与江苏省贸促会合作，继续发挥苏港合作纽带作用，共同促进两地新质生产力发展。</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right="0" w:firstLine="608" w:firstLineChars="200"/>
        <w:textAlignment w:val="auto"/>
        <w:outlineLvl w:val="9"/>
        <w:rPr>
          <w:rFonts w:hint="eastAsia" w:ascii="Times New Roman" w:hAnsi="Times New Roman" w:eastAsiaTheme="minorEastAsia" w:cstheme="minorEastAsia"/>
          <w:i w:val="0"/>
          <w:caps w:val="0"/>
          <w:color w:val="333333"/>
          <w:spacing w:val="0"/>
          <w:kern w:val="0"/>
          <w:sz w:val="32"/>
          <w:szCs w:val="32"/>
          <w:shd w:val="clear" w:fill="FFFFFF"/>
          <w:lang w:val="en-US" w:eastAsia="zh-CN" w:bidi="ar"/>
        </w:rPr>
      </w:pPr>
      <w:r>
        <w:rPr>
          <w:rFonts w:hint="eastAsia" w:ascii="Times New Roman" w:hAnsi="Times New Roman" w:cstheme="minorEastAsia"/>
          <w:i w:val="0"/>
          <w:caps w:val="0"/>
          <w:color w:val="333333"/>
          <w:spacing w:val="0"/>
          <w:kern w:val="0"/>
          <w:sz w:val="32"/>
          <w:szCs w:val="32"/>
          <w:shd w:val="clear" w:fill="FFFFFF"/>
          <w:lang w:val="en-US" w:eastAsia="zh-CN" w:bidi="ar"/>
        </w:rPr>
        <w:t xml:space="preserve">                                  </w:t>
      </w:r>
      <w:r>
        <w:rPr>
          <w:rFonts w:hint="eastAsia" w:ascii="方正楷体_GBK" w:hAnsi="方正楷体_GBK" w:eastAsia="方正楷体_GBK" w:cs="方正楷体_GBK"/>
          <w:b/>
          <w:bCs/>
          <w:color w:val="FF0000"/>
          <w:spacing w:val="0"/>
          <w:kern w:val="2"/>
          <w:sz w:val="32"/>
          <w:szCs w:val="32"/>
          <w:lang w:val="en-US" w:eastAsia="zh-CN" w:bidi="ar-SA"/>
        </w:rPr>
        <w:t>（国际联络部）</w:t>
      </w:r>
    </w:p>
    <w:p>
      <w:pPr>
        <w:jc w:val="center"/>
        <w:rPr>
          <w:rFonts w:hint="eastAsia" w:ascii="Times New Roman" w:hAnsi="Times New Roman" w:eastAsia="经典行楷简" w:cs="Times New Roman"/>
          <w:color w:val="2E75B6" w:themeColor="accent1" w:themeShade="BF"/>
          <w:spacing w:val="0"/>
          <w:kern w:val="2"/>
          <w:sz w:val="52"/>
          <w:szCs w:val="52"/>
          <w:lang w:val="en-US" w:eastAsia="zh-CN" w:bidi="ar-SA"/>
        </w:rPr>
      </w:pPr>
    </w:p>
    <w:p>
      <w:pPr>
        <w:jc w:val="center"/>
        <w:rPr>
          <w:rFonts w:hint="eastAsia" w:ascii="Times New Roman" w:hAnsi="Times New Roman" w:eastAsia="经典行楷简" w:cs="Times New Roman"/>
          <w:color w:val="2E75B6" w:themeColor="accent1" w:themeShade="BF"/>
          <w:spacing w:val="0"/>
          <w:kern w:val="2"/>
          <w:sz w:val="52"/>
          <w:szCs w:val="52"/>
          <w:lang w:val="en-US" w:eastAsia="zh-CN" w:bidi="ar-SA"/>
        </w:rPr>
      </w:pPr>
      <w:r>
        <w:rPr>
          <w:rFonts w:hint="eastAsia" w:ascii="Times New Roman" w:hAnsi="Times New Roman" w:eastAsia="经典行楷简" w:cs="Times New Roman"/>
          <w:color w:val="2E75B6" w:themeColor="accent1" w:themeShade="BF"/>
          <w:spacing w:val="0"/>
          <w:kern w:val="2"/>
          <w:sz w:val="52"/>
          <w:szCs w:val="52"/>
          <w:lang w:val="en-US" w:eastAsia="zh-CN" w:bidi="ar-SA"/>
        </w:rPr>
        <w:t>深入企业 面对面培训指导</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right="0" w:firstLine="608" w:firstLineChars="200"/>
        <w:textAlignment w:val="auto"/>
        <w:outlineLvl w:val="9"/>
        <w:rPr>
          <w:rFonts w:hint="eastAsia" w:ascii="Times New Roman" w:hAnsi="Times New Roman" w:eastAsiaTheme="minorEastAsia" w:cstheme="minorEastAsia"/>
          <w:i w:val="0"/>
          <w:caps w:val="0"/>
          <w:color w:val="333333"/>
          <w:spacing w:val="0"/>
          <w:kern w:val="0"/>
          <w:sz w:val="32"/>
          <w:szCs w:val="32"/>
          <w:shd w:val="clear" w:fill="FFFFFF"/>
          <w:lang w:val="en-US" w:eastAsia="zh-CN" w:bidi="ar"/>
        </w:rPr>
      </w:pPr>
      <w:r>
        <w:rPr>
          <w:rFonts w:hint="default" w:ascii="Times New Roman" w:hAnsi="Times New Roman" w:eastAsiaTheme="minorEastAsia" w:cstheme="minorEastAsia"/>
          <w:i w:val="0"/>
          <w:caps w:val="0"/>
          <w:color w:val="333333"/>
          <w:spacing w:val="0"/>
          <w:kern w:val="0"/>
          <w:sz w:val="32"/>
          <w:szCs w:val="32"/>
          <w:shd w:val="clear" w:fill="FFFFFF"/>
          <w:lang w:val="en-US" w:eastAsia="zh-CN" w:bidi="ar"/>
        </w:rPr>
        <w:t>3</w:t>
      </w:r>
      <w:r>
        <w:rPr>
          <w:rFonts w:hint="eastAsia" w:ascii="Times New Roman" w:hAnsi="Times New Roman" w:eastAsiaTheme="minorEastAsia" w:cstheme="minorEastAsia"/>
          <w:i w:val="0"/>
          <w:caps w:val="0"/>
          <w:color w:val="333333"/>
          <w:spacing w:val="0"/>
          <w:kern w:val="0"/>
          <w:sz w:val="32"/>
          <w:szCs w:val="32"/>
          <w:shd w:val="clear" w:fill="FFFFFF"/>
          <w:lang w:val="en-US" w:eastAsia="zh-CN" w:bidi="ar"/>
        </w:rPr>
        <w:t>月</w:t>
      </w:r>
      <w:r>
        <w:rPr>
          <w:rFonts w:hint="default" w:ascii="Times New Roman" w:hAnsi="Times New Roman" w:eastAsiaTheme="minorEastAsia" w:cstheme="minorEastAsia"/>
          <w:i w:val="0"/>
          <w:caps w:val="0"/>
          <w:color w:val="333333"/>
          <w:spacing w:val="0"/>
          <w:kern w:val="0"/>
          <w:sz w:val="32"/>
          <w:szCs w:val="32"/>
          <w:shd w:val="clear" w:fill="FFFFFF"/>
          <w:lang w:val="en-US" w:eastAsia="zh-CN" w:bidi="ar"/>
        </w:rPr>
        <w:t>18</w:t>
      </w:r>
      <w:r>
        <w:rPr>
          <w:rFonts w:hint="eastAsia" w:ascii="Times New Roman" w:hAnsi="Times New Roman" w:eastAsiaTheme="minorEastAsia" w:cstheme="minorEastAsia"/>
          <w:i w:val="0"/>
          <w:caps w:val="0"/>
          <w:color w:val="333333"/>
          <w:spacing w:val="0"/>
          <w:kern w:val="0"/>
          <w:sz w:val="32"/>
          <w:szCs w:val="32"/>
          <w:shd w:val="clear" w:fill="FFFFFF"/>
          <w:lang w:val="en-US" w:eastAsia="zh-CN" w:bidi="ar"/>
        </w:rPr>
        <w:t>日，应苏豪集团邀请，省贸促会国际商务服务中心会同省商务厅外贸处为集团下属企业进行二手车管理政策宣讲。</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right="0" w:firstLine="608" w:firstLineChars="200"/>
        <w:textAlignment w:val="auto"/>
        <w:outlineLvl w:val="9"/>
        <w:rPr>
          <w:rFonts w:hint="eastAsia" w:ascii="Times New Roman" w:hAnsi="Times New Roman" w:eastAsiaTheme="minorEastAsia" w:cstheme="minorEastAsia"/>
          <w:i w:val="0"/>
          <w:caps w:val="0"/>
          <w:color w:val="333333"/>
          <w:spacing w:val="0"/>
          <w:kern w:val="0"/>
          <w:sz w:val="32"/>
          <w:szCs w:val="32"/>
          <w:shd w:val="clear" w:fill="FFFFFF"/>
          <w:lang w:val="en-US" w:eastAsia="zh-CN" w:bidi="ar"/>
        </w:rPr>
      </w:pPr>
      <w:r>
        <w:rPr>
          <w:rFonts w:hint="eastAsia" w:ascii="Times New Roman" w:hAnsi="Times New Roman" w:eastAsiaTheme="minorEastAsia" w:cstheme="minorEastAsia"/>
          <w:i w:val="0"/>
          <w:caps w:val="0"/>
          <w:color w:val="333333"/>
          <w:spacing w:val="0"/>
          <w:kern w:val="0"/>
          <w:sz w:val="32"/>
          <w:szCs w:val="32"/>
          <w:shd w:val="clear" w:fill="FFFFFF"/>
          <w:lang w:val="en-US" w:eastAsia="zh-CN" w:bidi="ar"/>
        </w:rPr>
        <w:t>省商务厅外贸处详细讲解了二手车出口试点以来我省的出口情况和放开后面临的挑战与机遇。省贸促会国际商务服务中心从二手车出口许可证申报、证书使用、报关、注销及企业合规经营等方面详细介绍了国家政策、经典案例、常见问题及管理中需避免的一些误区。培训过程中，对俄罗斯二手车进口新规对未来我国汽车出口的影响、终端服务的前景、新型市场开拓、全链条服务与单一出口模式的利弊及企业申报管理等问题进行了交流、分析和解答。</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right="0" w:firstLine="608" w:firstLineChars="200"/>
        <w:textAlignment w:val="auto"/>
        <w:outlineLvl w:val="9"/>
        <w:rPr>
          <w:rFonts w:hint="eastAsia" w:ascii="Times New Roman" w:hAnsi="Times New Roman" w:eastAsiaTheme="minorEastAsia" w:cstheme="minorEastAsia"/>
          <w:i w:val="0"/>
          <w:caps w:val="0"/>
          <w:color w:val="333333"/>
          <w:spacing w:val="0"/>
          <w:kern w:val="0"/>
          <w:sz w:val="32"/>
          <w:szCs w:val="32"/>
          <w:shd w:val="clear" w:fill="FFFFFF"/>
          <w:lang w:val="en-US" w:eastAsia="zh-CN" w:bidi="ar"/>
        </w:rPr>
      </w:pPr>
      <w:r>
        <w:rPr>
          <w:rFonts w:hint="eastAsia" w:ascii="Times New Roman" w:hAnsi="Times New Roman" w:eastAsiaTheme="minorEastAsia" w:cstheme="minorEastAsia"/>
          <w:i w:val="0"/>
          <w:caps w:val="0"/>
          <w:color w:val="333333"/>
          <w:spacing w:val="0"/>
          <w:kern w:val="0"/>
          <w:sz w:val="32"/>
          <w:szCs w:val="32"/>
          <w:shd w:val="clear" w:fill="FFFFFF"/>
          <w:lang w:val="en-US" w:eastAsia="zh-CN" w:bidi="ar"/>
        </w:rPr>
        <w:t>苏豪集团贸发部总经理李炎洲主持会议，下属天泓汽车、苏豪云商、苏豪纺织和汇鸿中鼎主要负责人及业务人员参加了此次面对面培训会。</w:t>
      </w:r>
      <w:r>
        <w:rPr>
          <w:rFonts w:hint="eastAsia" w:ascii="Times New Roman" w:hAnsi="Times New Roman" w:cstheme="minorEastAsia"/>
          <w:i w:val="0"/>
          <w:caps w:val="0"/>
          <w:color w:val="333333"/>
          <w:spacing w:val="0"/>
          <w:kern w:val="0"/>
          <w:sz w:val="32"/>
          <w:szCs w:val="32"/>
          <w:shd w:val="clear" w:fill="FFFFFF"/>
          <w:lang w:val="en-US" w:eastAsia="zh-CN" w:bidi="ar"/>
        </w:rPr>
        <w:t xml:space="preserve">                      </w:t>
      </w:r>
      <w:r>
        <w:rPr>
          <w:rFonts w:hint="eastAsia" w:ascii="方正楷体_GBK" w:hAnsi="方正楷体_GBK" w:eastAsia="方正楷体_GBK" w:cs="方正楷体_GBK"/>
          <w:b/>
          <w:bCs/>
          <w:color w:val="FF0000"/>
          <w:spacing w:val="0"/>
          <w:kern w:val="2"/>
          <w:sz w:val="32"/>
          <w:szCs w:val="32"/>
          <w:lang w:val="en-US" w:eastAsia="zh-CN" w:bidi="ar-SA"/>
        </w:rPr>
        <w:t>（国际商务服务中心）</w:t>
      </w:r>
    </w:p>
    <w:p>
      <w:pPr>
        <w:keepNext w:val="0"/>
        <w:keepLines w:val="0"/>
        <w:pageBreakBefore w:val="0"/>
        <w:widowControl/>
        <w:shd w:val="clear" w:color="auto" w:fill="FFFFFF"/>
        <w:kinsoku/>
        <w:wordWrap/>
        <w:overflowPunct/>
        <w:topLinePunct w:val="0"/>
        <w:autoSpaceDE/>
        <w:autoSpaceDN/>
        <w:bidi w:val="0"/>
        <w:adjustRightInd/>
        <w:snapToGrid/>
        <w:spacing w:after="210" w:line="600" w:lineRule="exact"/>
        <w:contextualSpacing/>
        <w:jc w:val="center"/>
        <w:textAlignment w:val="auto"/>
        <w:outlineLvl w:val="1"/>
        <w:rPr>
          <w:rFonts w:hint="eastAsia" w:ascii="Times New Roman" w:hAnsi="Times New Roman" w:eastAsia="经典行楷简" w:cs="Times New Roman"/>
          <w:color w:val="2E75B6" w:themeColor="accent1" w:themeShade="BF"/>
          <w:spacing w:val="0"/>
          <w:kern w:val="2"/>
          <w:sz w:val="52"/>
          <w:szCs w:val="52"/>
          <w:lang w:val="en-US" w:eastAsia="zh-CN" w:bidi="ar-SA"/>
        </w:rPr>
      </w:pPr>
    </w:p>
    <w:p>
      <w:pPr>
        <w:keepNext w:val="0"/>
        <w:keepLines w:val="0"/>
        <w:pageBreakBefore w:val="0"/>
        <w:widowControl/>
        <w:shd w:val="clear" w:color="auto" w:fill="FFFFFF"/>
        <w:kinsoku/>
        <w:wordWrap/>
        <w:overflowPunct/>
        <w:topLinePunct w:val="0"/>
        <w:autoSpaceDE/>
        <w:autoSpaceDN/>
        <w:bidi w:val="0"/>
        <w:adjustRightInd/>
        <w:snapToGrid/>
        <w:spacing w:after="210" w:line="600" w:lineRule="exact"/>
        <w:contextualSpacing/>
        <w:jc w:val="center"/>
        <w:textAlignment w:val="auto"/>
        <w:outlineLvl w:val="1"/>
        <w:rPr>
          <w:rFonts w:hint="eastAsia" w:ascii="Times New Roman" w:hAnsi="Times New Roman" w:eastAsia="经典行楷简" w:cs="Times New Roman"/>
          <w:color w:val="2E75B6" w:themeColor="accent1" w:themeShade="BF"/>
          <w:spacing w:val="0"/>
          <w:kern w:val="2"/>
          <w:sz w:val="52"/>
          <w:szCs w:val="52"/>
          <w:lang w:val="en-US" w:eastAsia="zh-CN" w:bidi="ar-SA"/>
        </w:rPr>
      </w:pPr>
      <w:r>
        <w:rPr>
          <w:rFonts w:hint="eastAsia" w:ascii="Times New Roman" w:hAnsi="Times New Roman" w:eastAsia="经典行楷简" w:cs="Times New Roman"/>
          <w:color w:val="2E75B6" w:themeColor="accent1" w:themeShade="BF"/>
          <w:spacing w:val="0"/>
          <w:kern w:val="2"/>
          <w:sz w:val="52"/>
          <w:szCs w:val="52"/>
          <w:lang w:val="en-US" w:eastAsia="zh-CN" w:bidi="ar-SA"/>
        </w:rPr>
        <w:t>追光逐电 “苏州名品”组团</w:t>
      </w:r>
    </w:p>
    <w:p>
      <w:pPr>
        <w:keepNext w:val="0"/>
        <w:keepLines w:val="0"/>
        <w:pageBreakBefore w:val="0"/>
        <w:widowControl/>
        <w:shd w:val="clear" w:color="auto" w:fill="FFFFFF"/>
        <w:kinsoku/>
        <w:wordWrap/>
        <w:overflowPunct/>
        <w:topLinePunct w:val="0"/>
        <w:autoSpaceDE/>
        <w:autoSpaceDN/>
        <w:bidi w:val="0"/>
        <w:adjustRightInd/>
        <w:snapToGrid/>
        <w:spacing w:after="210" w:line="600" w:lineRule="exact"/>
        <w:contextualSpacing/>
        <w:jc w:val="center"/>
        <w:textAlignment w:val="auto"/>
        <w:outlineLvl w:val="1"/>
        <w:rPr>
          <w:rFonts w:hint="eastAsia" w:ascii="Times New Roman" w:hAnsi="Times New Roman" w:eastAsia="经典行楷简" w:cs="Times New Roman"/>
          <w:color w:val="2E75B6" w:themeColor="accent1" w:themeShade="BF"/>
          <w:spacing w:val="0"/>
          <w:kern w:val="2"/>
          <w:sz w:val="52"/>
          <w:szCs w:val="52"/>
          <w:lang w:val="en-US" w:eastAsia="zh-CN" w:bidi="ar-SA"/>
        </w:rPr>
      </w:pPr>
      <w:r>
        <w:rPr>
          <w:rFonts w:hint="eastAsia" w:ascii="Times New Roman" w:hAnsi="Times New Roman" w:eastAsia="经典行楷简" w:cs="Times New Roman"/>
          <w:color w:val="2E75B6" w:themeColor="accent1" w:themeShade="BF"/>
          <w:spacing w:val="0"/>
          <w:kern w:val="2"/>
          <w:sz w:val="52"/>
          <w:szCs w:val="52"/>
          <w:lang w:val="en-US" w:eastAsia="zh-CN" w:bidi="ar-SA"/>
        </w:rPr>
        <w:t>首次亮相新加坡</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right="0" w:firstLine="608" w:firstLineChars="200"/>
        <w:textAlignment w:val="auto"/>
        <w:outlineLvl w:val="9"/>
        <w:rPr>
          <w:rFonts w:hint="eastAsia" w:ascii="Times New Roman" w:hAnsi="Times New Roman" w:eastAsiaTheme="minorEastAsia" w:cstheme="minorEastAsia"/>
          <w:i w:val="0"/>
          <w:caps w:val="0"/>
          <w:color w:val="333333"/>
          <w:spacing w:val="0"/>
          <w:kern w:val="0"/>
          <w:sz w:val="32"/>
          <w:szCs w:val="32"/>
          <w:shd w:val="clear" w:fill="FFFFFF"/>
          <w:lang w:val="en-US" w:eastAsia="zh-CN" w:bidi="ar"/>
        </w:rPr>
      </w:pPr>
      <w:r>
        <w:rPr>
          <w:rFonts w:hint="eastAsia" w:ascii="Times New Roman" w:hAnsi="Times New Roman" w:eastAsiaTheme="minorEastAsia" w:cstheme="minorEastAsia"/>
          <w:i w:val="0"/>
          <w:caps w:val="0"/>
          <w:color w:val="333333"/>
          <w:spacing w:val="0"/>
          <w:kern w:val="0"/>
          <w:sz w:val="32"/>
          <w:szCs w:val="32"/>
          <w:shd w:val="clear" w:fill="FFFFFF"/>
          <w:lang w:val="en-US" w:eastAsia="zh-CN" w:bidi="ar"/>
        </w:rPr>
        <w:t>3</w:t>
      </w:r>
      <w:r>
        <w:rPr>
          <w:rFonts w:hint="default" w:ascii="Times New Roman" w:hAnsi="Times New Roman" w:eastAsiaTheme="minorEastAsia" w:cstheme="minorEastAsia"/>
          <w:i w:val="0"/>
          <w:caps w:val="0"/>
          <w:color w:val="333333"/>
          <w:spacing w:val="0"/>
          <w:kern w:val="0"/>
          <w:sz w:val="32"/>
          <w:szCs w:val="32"/>
          <w:shd w:val="clear" w:fill="FFFFFF"/>
          <w:lang w:val="en-US" w:eastAsia="zh-CN" w:bidi="ar"/>
        </w:rPr>
        <w:t>月6日-8日，首届亚洲光电博览会（APE2024）在新加坡金沙会议展览中心举行</w:t>
      </w:r>
      <w:r>
        <w:rPr>
          <w:rFonts w:hint="eastAsia" w:ascii="Times New Roman" w:hAnsi="Times New Roman" w:eastAsiaTheme="minorEastAsia" w:cstheme="minorEastAsia"/>
          <w:i w:val="0"/>
          <w:caps w:val="0"/>
          <w:color w:val="333333"/>
          <w:spacing w:val="0"/>
          <w:kern w:val="0"/>
          <w:sz w:val="32"/>
          <w:szCs w:val="32"/>
          <w:shd w:val="clear" w:fill="FFFFFF"/>
          <w:lang w:val="en-US" w:eastAsia="zh-CN" w:bidi="ar"/>
        </w:rPr>
        <w:t>，展览面积达15,000平方米，吸引了来自全球350家光电企业参展。苏州中际旭创、永鼎光电子、苏驼通信、博众半导体等21家苏州光电行业知名品牌参展。</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right="0" w:firstLine="608" w:firstLineChars="200"/>
        <w:textAlignment w:val="auto"/>
        <w:rPr>
          <w:rFonts w:hint="default" w:ascii="Times New Roman" w:hAnsi="Times New Roman" w:eastAsiaTheme="minorEastAsia" w:cstheme="minorEastAsia"/>
          <w:i w:val="0"/>
          <w:caps w:val="0"/>
          <w:color w:val="333333"/>
          <w:spacing w:val="0"/>
          <w:kern w:val="0"/>
          <w:sz w:val="32"/>
          <w:szCs w:val="32"/>
          <w:shd w:val="clear" w:fill="FFFFFF"/>
          <w:lang w:val="en-US" w:eastAsia="zh-CN" w:bidi="ar"/>
        </w:rPr>
      </w:pPr>
      <w:r>
        <w:rPr>
          <w:rFonts w:hint="default" w:ascii="Times New Roman" w:hAnsi="Times New Roman" w:eastAsiaTheme="minorEastAsia" w:cstheme="minorEastAsia"/>
          <w:i w:val="0"/>
          <w:caps w:val="0"/>
          <w:color w:val="333333"/>
          <w:spacing w:val="0"/>
          <w:kern w:val="0"/>
          <w:sz w:val="32"/>
          <w:szCs w:val="32"/>
          <w:shd w:val="clear" w:fill="FFFFFF"/>
          <w:lang w:val="en-US" w:eastAsia="zh-CN" w:bidi="ar"/>
        </w:rPr>
        <w:t>中国国际商会苏州商会</w:t>
      </w:r>
      <w:bookmarkStart w:id="0" w:name="_GoBack"/>
      <w:bookmarkEnd w:id="0"/>
      <w:r>
        <w:rPr>
          <w:rFonts w:hint="default" w:ascii="Times New Roman" w:hAnsi="Times New Roman" w:eastAsiaTheme="minorEastAsia" w:cstheme="minorEastAsia"/>
          <w:i w:val="0"/>
          <w:caps w:val="0"/>
          <w:color w:val="333333"/>
          <w:spacing w:val="0"/>
          <w:kern w:val="0"/>
          <w:sz w:val="32"/>
          <w:szCs w:val="32"/>
          <w:shd w:val="clear" w:fill="FFFFFF"/>
          <w:lang w:val="en-US" w:eastAsia="zh-CN" w:bidi="ar"/>
        </w:rPr>
        <w:t>、苏州市光电产业商会牵头，联合苏州市光通信产业联盟、苏州市新型显示产业联盟等行业组织，在APE2024核心地段设立了主题为“Suzhou Your Branding Partner 苏州</w:t>
      </w:r>
      <w:r>
        <w:rPr>
          <w:rFonts w:hint="eastAsia" w:ascii="方正仿宋_GBK" w:hAnsi="方正仿宋_GBK" w:eastAsia="方正仿宋_GBK" w:cs="方正仿宋_GBK"/>
          <w:i w:val="0"/>
          <w:caps w:val="0"/>
          <w:color w:val="333333"/>
          <w:spacing w:val="0"/>
          <w:kern w:val="0"/>
          <w:sz w:val="32"/>
          <w:szCs w:val="32"/>
          <w:shd w:val="clear" w:fill="FFFFFF"/>
          <w:lang w:val="en-US" w:eastAsia="zh-CN" w:bidi="ar"/>
        </w:rPr>
        <w:t>·</w:t>
      </w:r>
      <w:r>
        <w:rPr>
          <w:rFonts w:hint="default" w:ascii="Times New Roman" w:hAnsi="Times New Roman" w:eastAsiaTheme="minorEastAsia" w:cstheme="minorEastAsia"/>
          <w:i w:val="0"/>
          <w:caps w:val="0"/>
          <w:color w:val="333333"/>
          <w:spacing w:val="0"/>
          <w:kern w:val="0"/>
          <w:sz w:val="32"/>
          <w:szCs w:val="32"/>
          <w:shd w:val="clear" w:fill="FFFFFF"/>
          <w:lang w:val="en-US" w:eastAsia="zh-CN" w:bidi="ar"/>
        </w:rPr>
        <w:t>您的品牌合作伙伴”的“苏州名品 世界巡展”新加坡站展区，集中展示了12家优秀企业的100多项抢占国际市场创新产品。</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right="0" w:firstLine="608" w:firstLineChars="200"/>
        <w:textAlignment w:val="auto"/>
        <w:rPr>
          <w:rFonts w:hint="eastAsia" w:ascii="Times New Roman" w:hAnsi="Times New Roman" w:eastAsiaTheme="minorEastAsia" w:cstheme="minorEastAsia"/>
          <w:i w:val="0"/>
          <w:caps w:val="0"/>
          <w:color w:val="333333"/>
          <w:spacing w:val="0"/>
          <w:kern w:val="0"/>
          <w:sz w:val="32"/>
          <w:szCs w:val="32"/>
          <w:shd w:val="clear" w:fill="FFFFFF"/>
          <w:lang w:val="en-US" w:eastAsia="zh-CN" w:bidi="ar"/>
        </w:rPr>
      </w:pPr>
      <w:r>
        <w:rPr>
          <w:rFonts w:hint="default" w:ascii="Times New Roman" w:hAnsi="Times New Roman" w:eastAsiaTheme="minorEastAsia" w:cstheme="minorEastAsia"/>
          <w:i w:val="0"/>
          <w:caps w:val="0"/>
          <w:color w:val="333333"/>
          <w:spacing w:val="0"/>
          <w:kern w:val="0"/>
          <w:sz w:val="32"/>
          <w:szCs w:val="32"/>
          <w:shd w:val="clear" w:fill="FFFFFF"/>
          <w:lang w:val="en-US" w:eastAsia="zh-CN" w:bidi="ar"/>
        </w:rPr>
        <w:t>以本次活动为新契机，接下来，苏州市贸促会将积极组织和带领苏州光电企业依托亚洲光电博览会（APE），进一步融入亚太地区新市场、抢占“一带一路”新商机，努力为苏州光电产业全球化发展提供支撑和保障。</w:t>
      </w:r>
      <w:r>
        <w:rPr>
          <w:rFonts w:hint="eastAsia" w:ascii="Times New Roman" w:hAnsi="Times New Roman" w:cstheme="minorEastAsia"/>
          <w:i w:val="0"/>
          <w:caps w:val="0"/>
          <w:color w:val="333333"/>
          <w:spacing w:val="0"/>
          <w:kern w:val="0"/>
          <w:sz w:val="32"/>
          <w:szCs w:val="32"/>
          <w:shd w:val="clear" w:fill="FFFFFF"/>
          <w:lang w:val="en-US" w:eastAsia="zh-CN" w:bidi="ar"/>
        </w:rPr>
        <w:t xml:space="preserve">                     </w:t>
      </w:r>
      <w:r>
        <w:rPr>
          <w:rFonts w:hint="eastAsia" w:ascii="方正楷体_GBK" w:hAnsi="方正楷体_GBK" w:eastAsia="方正楷体_GBK" w:cs="方正楷体_GBK"/>
          <w:b/>
          <w:bCs/>
          <w:color w:val="FF0000"/>
          <w:spacing w:val="0"/>
          <w:kern w:val="2"/>
          <w:sz w:val="32"/>
          <w:szCs w:val="32"/>
          <w:lang w:val="en-US" w:eastAsia="zh-CN" w:bidi="ar-SA"/>
        </w:rPr>
        <w:t>（苏州市贸促会）</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right="0" w:firstLine="598" w:firstLineChars="200"/>
        <w:textAlignment w:val="auto"/>
        <w:outlineLvl w:val="9"/>
        <w:rPr>
          <w:rFonts w:hint="eastAsia" w:ascii="仿宋_GB2312" w:hAnsi="宋体" w:eastAsia="仿宋_GB2312" w:cs="仿宋_GB2312"/>
          <w:color w:val="000000"/>
          <w:sz w:val="31"/>
          <w:szCs w:val="31"/>
          <w:lang w:val="en-US" w:eastAsia="zh-CN"/>
        </w:rPr>
      </w:pPr>
    </w:p>
    <w:p>
      <w:pPr>
        <w:keepNext w:val="0"/>
        <w:keepLines w:val="0"/>
        <w:pageBreakBefore w:val="0"/>
        <w:widowControl/>
        <w:shd w:val="clear" w:color="auto" w:fill="FFFFFF"/>
        <w:kinsoku/>
        <w:wordWrap/>
        <w:overflowPunct/>
        <w:topLinePunct w:val="0"/>
        <w:autoSpaceDE/>
        <w:autoSpaceDN/>
        <w:bidi w:val="0"/>
        <w:adjustRightInd/>
        <w:snapToGrid/>
        <w:spacing w:after="210" w:line="600" w:lineRule="exact"/>
        <w:contextualSpacing/>
        <w:jc w:val="center"/>
        <w:textAlignment w:val="auto"/>
        <w:outlineLvl w:val="1"/>
        <w:rPr>
          <w:rFonts w:hint="eastAsia" w:ascii="Times New Roman" w:hAnsi="Times New Roman" w:eastAsia="经典行楷简" w:cs="Times New Roman"/>
          <w:color w:val="2E75B6" w:themeColor="accent1" w:themeShade="BF"/>
          <w:spacing w:val="0"/>
          <w:kern w:val="2"/>
          <w:sz w:val="52"/>
          <w:szCs w:val="52"/>
          <w:lang w:val="en-US" w:eastAsia="zh-CN" w:bidi="ar-SA"/>
        </w:rPr>
      </w:pPr>
      <w:r>
        <w:rPr>
          <w:rFonts w:hint="eastAsia" w:ascii="Times New Roman" w:hAnsi="Times New Roman" w:eastAsia="经典行楷简" w:cs="Times New Roman"/>
          <w:color w:val="2E75B6" w:themeColor="accent1" w:themeShade="BF"/>
          <w:spacing w:val="0"/>
          <w:kern w:val="2"/>
          <w:sz w:val="52"/>
          <w:szCs w:val="52"/>
          <w:lang w:val="en-US" w:eastAsia="zh-CN" w:bidi="ar-SA"/>
        </w:rPr>
        <w:t>排忧解难促发展 企业致谢送锦旗</w:t>
      </w:r>
    </w:p>
    <w:p>
      <w:pPr>
        <w:keepNext w:val="0"/>
        <w:keepLines w:val="0"/>
        <w:pageBreakBefore w:val="0"/>
        <w:widowControl/>
        <w:shd w:val="clear" w:color="auto" w:fill="FFFFFF"/>
        <w:kinsoku/>
        <w:wordWrap/>
        <w:overflowPunct/>
        <w:topLinePunct w:val="0"/>
        <w:autoSpaceDE/>
        <w:autoSpaceDN/>
        <w:bidi w:val="0"/>
        <w:adjustRightInd/>
        <w:snapToGrid/>
        <w:spacing w:line="600" w:lineRule="exact"/>
        <w:ind w:firstLine="608" w:firstLineChars="200"/>
        <w:contextualSpacing/>
        <w:jc w:val="left"/>
        <w:textAlignment w:val="auto"/>
        <w:outlineLvl w:val="1"/>
        <w:rPr>
          <w:rFonts w:hint="default" w:ascii="Times New Roman" w:hAnsi="Times New Roman" w:eastAsiaTheme="minorEastAsia" w:cstheme="minorEastAsia"/>
          <w:i w:val="0"/>
          <w:caps w:val="0"/>
          <w:color w:val="333333"/>
          <w:spacing w:val="0"/>
          <w:kern w:val="0"/>
          <w:sz w:val="32"/>
          <w:szCs w:val="32"/>
          <w:shd w:val="clear" w:fill="FFFFFF"/>
          <w:lang w:val="en-US" w:eastAsia="zh-CN" w:bidi="ar"/>
        </w:rPr>
      </w:pPr>
      <w:r>
        <w:rPr>
          <w:rFonts w:hint="default" w:ascii="Times New Roman" w:hAnsi="Times New Roman" w:eastAsiaTheme="minorEastAsia" w:cstheme="minorEastAsia"/>
          <w:i w:val="0"/>
          <w:caps w:val="0"/>
          <w:color w:val="333333"/>
          <w:spacing w:val="0"/>
          <w:kern w:val="0"/>
          <w:sz w:val="32"/>
          <w:szCs w:val="32"/>
          <w:shd w:val="clear" w:fill="FFFFFF"/>
          <w:lang w:val="en-US" w:eastAsia="zh-CN" w:bidi="ar"/>
        </w:rPr>
        <w:t>3月14日上午，江苏永鼎泰富工程有限公司淦贵生总经理一行，专程赴苏州市贸促会赠送“心系企业、真诚服务、排忧解难、促领发展”锦旗，感谢市贸促会以优质服务对企业开展国际招投标业务的支持和帮助。</w:t>
      </w:r>
    </w:p>
    <w:p>
      <w:pPr>
        <w:pStyle w:val="5"/>
        <w:keepNext w:val="0"/>
        <w:keepLines w:val="0"/>
        <w:widowControl/>
        <w:suppressLineNumbers w:val="0"/>
        <w:spacing w:before="75" w:beforeAutospacing="0" w:after="75" w:afterAutospacing="0" w:line="240" w:lineRule="auto"/>
        <w:ind w:left="0" w:right="0" w:firstLine="645"/>
        <w:jc w:val="left"/>
        <w:rPr>
          <w:rFonts w:hint="default" w:ascii="Times New Roman" w:hAnsi="Times New Roman" w:eastAsiaTheme="minorEastAsia" w:cstheme="minorEastAsia"/>
          <w:i w:val="0"/>
          <w:caps w:val="0"/>
          <w:color w:val="333333"/>
          <w:spacing w:val="0"/>
          <w:kern w:val="0"/>
          <w:sz w:val="32"/>
          <w:szCs w:val="32"/>
          <w:shd w:val="clear" w:fill="FFFFFF"/>
          <w:lang w:val="en-US" w:eastAsia="zh-CN" w:bidi="ar"/>
        </w:rPr>
      </w:pPr>
      <w:r>
        <w:rPr>
          <w:rFonts w:hint="default" w:ascii="Times New Roman" w:hAnsi="Times New Roman" w:eastAsiaTheme="minorEastAsia" w:cstheme="minorEastAsia"/>
          <w:i w:val="0"/>
          <w:caps w:val="0"/>
          <w:color w:val="333333"/>
          <w:spacing w:val="0"/>
          <w:kern w:val="0"/>
          <w:sz w:val="32"/>
          <w:szCs w:val="32"/>
          <w:shd w:val="clear" w:fill="FFFFFF"/>
          <w:lang w:val="en-US" w:eastAsia="zh-CN" w:bidi="ar"/>
        </w:rPr>
        <w:t>该企业收到国际业务预中标通知后，按所在国要求，需要在今年3月初完成埃塞俄比亚使馆认证，但受春节假期因素影响，该认证无法在使馆常规的认证办理周期内完成办理程序。</w:t>
      </w:r>
      <w:r>
        <w:rPr>
          <w:rFonts w:hint="eastAsia" w:ascii="Times New Roman" w:hAnsi="Times New Roman" w:eastAsiaTheme="minorEastAsia" w:cstheme="minorEastAsia"/>
          <w:i w:val="0"/>
          <w:caps w:val="0"/>
          <w:color w:val="333333"/>
          <w:spacing w:val="0"/>
          <w:kern w:val="0"/>
          <w:sz w:val="32"/>
          <w:szCs w:val="32"/>
          <w:shd w:val="clear" w:fill="FFFFFF"/>
          <w:lang w:val="en-US" w:eastAsia="zh-CN" w:bidi="ar"/>
        </w:rPr>
        <w:t>苏州</w:t>
      </w:r>
      <w:r>
        <w:rPr>
          <w:rFonts w:hint="default" w:ascii="Times New Roman" w:hAnsi="Times New Roman" w:eastAsiaTheme="minorEastAsia" w:cstheme="minorEastAsia"/>
          <w:i w:val="0"/>
          <w:caps w:val="0"/>
          <w:color w:val="333333"/>
          <w:spacing w:val="0"/>
          <w:kern w:val="0"/>
          <w:sz w:val="32"/>
          <w:szCs w:val="32"/>
          <w:shd w:val="clear" w:fill="FFFFFF"/>
          <w:lang w:val="en-US" w:eastAsia="zh-CN" w:bidi="ar"/>
        </w:rPr>
        <w:t>市贸促会了解企业实际情况后，迅速采取行动，与中国贸促会取得联系，特事特办，第一时间就将办理完结的使馆认证文件顺利转交该企业。</w:t>
      </w:r>
    </w:p>
    <w:p>
      <w:pPr>
        <w:pStyle w:val="5"/>
        <w:keepNext w:val="0"/>
        <w:keepLines w:val="0"/>
        <w:widowControl/>
        <w:suppressLineNumbers w:val="0"/>
        <w:spacing w:before="75" w:beforeAutospacing="0" w:after="75" w:afterAutospacing="0" w:line="240" w:lineRule="auto"/>
        <w:ind w:left="0" w:right="0" w:firstLine="645"/>
        <w:jc w:val="left"/>
        <w:rPr>
          <w:sz w:val="27"/>
          <w:szCs w:val="27"/>
        </w:rPr>
      </w:pPr>
      <w:r>
        <w:rPr>
          <w:rFonts w:hint="eastAsia" w:ascii="Times New Roman" w:hAnsi="Times New Roman" w:eastAsiaTheme="minorEastAsia" w:cstheme="minorEastAsia"/>
          <w:i w:val="0"/>
          <w:caps w:val="0"/>
          <w:color w:val="333333"/>
          <w:spacing w:val="0"/>
          <w:kern w:val="0"/>
          <w:sz w:val="32"/>
          <w:szCs w:val="32"/>
          <w:shd w:val="clear" w:fill="FFFFFF"/>
          <w:lang w:val="en-US" w:eastAsia="zh-CN" w:bidi="ar"/>
        </w:rPr>
        <w:t>苏州</w:t>
      </w:r>
      <w:r>
        <w:rPr>
          <w:rFonts w:hint="default" w:ascii="Times New Roman" w:hAnsi="Times New Roman" w:eastAsiaTheme="minorEastAsia" w:cstheme="minorEastAsia"/>
          <w:i w:val="0"/>
          <w:caps w:val="0"/>
          <w:color w:val="333333"/>
          <w:spacing w:val="0"/>
          <w:kern w:val="0"/>
          <w:sz w:val="32"/>
          <w:szCs w:val="32"/>
          <w:shd w:val="clear" w:fill="FFFFFF"/>
          <w:lang w:val="en-US" w:eastAsia="zh-CN" w:bidi="ar"/>
        </w:rPr>
        <w:t>市贸促会牢固树立“一切为了企业”理念，精准把握企业在涉外商事法律服务方面面临的新形势和新要求，不断创新工作思路，努力为全市企业进一步深化国际经贸合作提供更加优质的涉外法律服务保障。</w:t>
      </w:r>
      <w:r>
        <w:rPr>
          <w:rFonts w:hint="eastAsia" w:ascii="Times New Roman" w:hAnsi="Times New Roman" w:eastAsiaTheme="minorEastAsia" w:cstheme="minorEastAsia"/>
          <w:i w:val="0"/>
          <w:caps w:val="0"/>
          <w:color w:val="333333"/>
          <w:spacing w:val="0"/>
          <w:kern w:val="0"/>
          <w:sz w:val="32"/>
          <w:szCs w:val="32"/>
          <w:shd w:val="clear" w:fill="FFFFFF"/>
          <w:lang w:val="en-US" w:eastAsia="zh-CN" w:bidi="ar"/>
        </w:rPr>
        <w:t xml:space="preserve"> </w:t>
      </w:r>
      <w:r>
        <w:rPr>
          <w:rFonts w:hint="eastAsia" w:ascii="Times New Roman" w:hAnsi="Times New Roman" w:cstheme="minorEastAsia"/>
          <w:i w:val="0"/>
          <w:caps w:val="0"/>
          <w:color w:val="333333"/>
          <w:spacing w:val="0"/>
          <w:kern w:val="0"/>
          <w:sz w:val="32"/>
          <w:szCs w:val="32"/>
          <w:shd w:val="clear" w:fill="FFFFFF"/>
          <w:lang w:val="en-US" w:eastAsia="zh-CN" w:bidi="ar"/>
        </w:rPr>
        <w:t xml:space="preserve">                    </w:t>
      </w:r>
      <w:r>
        <w:rPr>
          <w:rFonts w:hint="eastAsia" w:ascii="方正楷体_GBK" w:hAnsi="方正楷体_GBK" w:eastAsia="方正楷体_GBK" w:cs="方正楷体_GBK"/>
          <w:b/>
          <w:bCs/>
          <w:color w:val="FF0000"/>
          <w:spacing w:val="0"/>
          <w:kern w:val="2"/>
          <w:sz w:val="32"/>
          <w:szCs w:val="32"/>
          <w:lang w:val="en-US" w:eastAsia="zh-CN" w:bidi="ar-SA"/>
        </w:rPr>
        <w:t>（苏州市贸促会）</w:t>
      </w:r>
    </w:p>
    <w:p>
      <w:pPr>
        <w:keepNext w:val="0"/>
        <w:keepLines w:val="0"/>
        <w:pageBreakBefore w:val="0"/>
        <w:widowControl/>
        <w:shd w:val="clear" w:color="auto" w:fill="FFFFFF"/>
        <w:kinsoku/>
        <w:wordWrap/>
        <w:overflowPunct/>
        <w:topLinePunct w:val="0"/>
        <w:autoSpaceDE/>
        <w:autoSpaceDN/>
        <w:bidi w:val="0"/>
        <w:adjustRightInd/>
        <w:snapToGrid/>
        <w:spacing w:line="600" w:lineRule="exact"/>
        <w:contextualSpacing/>
        <w:jc w:val="center"/>
        <w:textAlignment w:val="auto"/>
        <w:outlineLvl w:val="1"/>
        <w:rPr>
          <w:rFonts w:hint="eastAsia" w:ascii="Times New Roman" w:hAnsi="Times New Roman" w:eastAsia="经典行楷简" w:cs="Times New Roman"/>
          <w:color w:val="2E75B6" w:themeColor="accent1" w:themeShade="BF"/>
          <w:spacing w:val="0"/>
          <w:kern w:val="2"/>
          <w:sz w:val="52"/>
          <w:szCs w:val="52"/>
          <w:lang w:val="en-US" w:eastAsia="zh-CN" w:bidi="ar-SA"/>
        </w:rPr>
      </w:pPr>
      <w:r>
        <w:rPr>
          <w:rFonts w:hint="eastAsia" w:ascii="Times New Roman" w:hAnsi="Times New Roman" w:eastAsia="经典行楷简" w:cs="Times New Roman"/>
          <w:color w:val="2E75B6" w:themeColor="accent1" w:themeShade="BF"/>
          <w:spacing w:val="0"/>
          <w:kern w:val="2"/>
          <w:sz w:val="52"/>
          <w:szCs w:val="52"/>
          <w:lang w:val="en-US" w:eastAsia="zh-CN" w:bidi="ar-SA"/>
        </w:rPr>
        <w:t>“贸促服务助企行”扬州宣讲会</w:t>
      </w:r>
    </w:p>
    <w:p>
      <w:pPr>
        <w:keepNext w:val="0"/>
        <w:keepLines w:val="0"/>
        <w:pageBreakBefore w:val="0"/>
        <w:widowControl/>
        <w:shd w:val="clear" w:color="auto" w:fill="FFFFFF"/>
        <w:kinsoku/>
        <w:wordWrap/>
        <w:overflowPunct/>
        <w:topLinePunct w:val="0"/>
        <w:autoSpaceDE/>
        <w:autoSpaceDN/>
        <w:bidi w:val="0"/>
        <w:adjustRightInd/>
        <w:snapToGrid/>
        <w:spacing w:line="600" w:lineRule="exact"/>
        <w:contextualSpacing/>
        <w:jc w:val="center"/>
        <w:textAlignment w:val="auto"/>
        <w:outlineLvl w:val="1"/>
        <w:rPr>
          <w:rFonts w:hint="eastAsia" w:ascii="Times New Roman" w:hAnsi="Times New Roman" w:eastAsia="经典行楷简" w:cs="Times New Roman"/>
          <w:color w:val="2E75B6" w:themeColor="accent1" w:themeShade="BF"/>
          <w:spacing w:val="0"/>
          <w:kern w:val="2"/>
          <w:sz w:val="52"/>
          <w:szCs w:val="52"/>
          <w:lang w:val="en-US" w:eastAsia="zh-CN" w:bidi="ar-SA"/>
        </w:rPr>
      </w:pPr>
      <w:r>
        <w:rPr>
          <w:rFonts w:hint="eastAsia" w:ascii="Times New Roman" w:hAnsi="Times New Roman" w:eastAsia="经典行楷简" w:cs="Times New Roman"/>
          <w:color w:val="2E75B6" w:themeColor="accent1" w:themeShade="BF"/>
          <w:spacing w:val="0"/>
          <w:kern w:val="2"/>
          <w:sz w:val="52"/>
          <w:szCs w:val="52"/>
          <w:lang w:val="en-US" w:eastAsia="zh-CN" w:bidi="ar-SA"/>
        </w:rPr>
        <w:t>成功举办</w:t>
      </w:r>
    </w:p>
    <w:p>
      <w:pPr>
        <w:pStyle w:val="5"/>
        <w:keepNext w:val="0"/>
        <w:keepLines w:val="0"/>
        <w:widowControl/>
        <w:suppressLineNumbers w:val="0"/>
        <w:spacing w:before="75" w:beforeAutospacing="0" w:after="75" w:afterAutospacing="0" w:line="240" w:lineRule="auto"/>
        <w:ind w:left="0" w:right="0" w:firstLine="645"/>
        <w:jc w:val="left"/>
        <w:rPr>
          <w:rFonts w:hint="eastAsia" w:ascii="Times New Roman" w:hAnsi="Times New Roman" w:eastAsiaTheme="minorEastAsia" w:cstheme="minorEastAsia"/>
          <w:i w:val="0"/>
          <w:caps w:val="0"/>
          <w:color w:val="333333"/>
          <w:spacing w:val="0"/>
          <w:kern w:val="0"/>
          <w:sz w:val="32"/>
          <w:szCs w:val="32"/>
          <w:shd w:val="clear" w:fill="FFFFFF"/>
          <w:lang w:val="en-US" w:eastAsia="zh-CN" w:bidi="ar"/>
        </w:rPr>
      </w:pPr>
      <w:r>
        <w:rPr>
          <w:rFonts w:hint="default" w:ascii="Times New Roman" w:hAnsi="Times New Roman" w:eastAsiaTheme="minorEastAsia" w:cstheme="minorEastAsia"/>
          <w:i w:val="0"/>
          <w:caps w:val="0"/>
          <w:color w:val="333333"/>
          <w:spacing w:val="0"/>
          <w:kern w:val="0"/>
          <w:sz w:val="32"/>
          <w:szCs w:val="32"/>
          <w:shd w:val="clear" w:fill="FFFFFF"/>
          <w:lang w:val="en-US" w:eastAsia="zh-CN" w:bidi="ar"/>
        </w:rPr>
        <w:t>3</w:t>
      </w:r>
      <w:r>
        <w:rPr>
          <w:rFonts w:hint="eastAsia" w:ascii="Times New Roman" w:hAnsi="Times New Roman" w:eastAsiaTheme="minorEastAsia" w:cstheme="minorEastAsia"/>
          <w:i w:val="0"/>
          <w:caps w:val="0"/>
          <w:color w:val="333333"/>
          <w:spacing w:val="0"/>
          <w:kern w:val="0"/>
          <w:sz w:val="32"/>
          <w:szCs w:val="32"/>
          <w:shd w:val="clear" w:fill="FFFFFF"/>
          <w:lang w:val="en-US" w:eastAsia="zh-CN" w:bidi="ar"/>
        </w:rPr>
        <w:t>月20日，由江苏省贸促会主办，扬州市贸促会、扬州市国际商会承办的“贸促服务助企行”扬州宣讲活动成功举办。扬州市近130家企业150多名企业代表参加了此次活动。</w:t>
      </w:r>
    </w:p>
    <w:p>
      <w:pPr>
        <w:pStyle w:val="5"/>
        <w:keepNext w:val="0"/>
        <w:keepLines w:val="0"/>
        <w:widowControl/>
        <w:suppressLineNumbers w:val="0"/>
        <w:spacing w:before="75" w:beforeAutospacing="0" w:after="75" w:afterAutospacing="0" w:line="240" w:lineRule="auto"/>
        <w:ind w:left="0" w:right="0" w:firstLine="645"/>
        <w:jc w:val="left"/>
        <w:rPr>
          <w:rFonts w:hint="eastAsia" w:ascii="仿宋" w:hAnsi="仿宋" w:eastAsia="仿宋" w:cs="仿宋"/>
          <w:color w:val="212529"/>
          <w:spacing w:val="0"/>
          <w:sz w:val="31"/>
          <w:szCs w:val="31"/>
          <w:shd w:val="clear" w:fill="FFFFFF"/>
          <w:lang w:val="en-US" w:eastAsia="zh-CN"/>
        </w:rPr>
      </w:pPr>
      <w:r>
        <w:rPr>
          <w:rFonts w:hint="eastAsia" w:ascii="Times New Roman" w:hAnsi="Times New Roman" w:eastAsiaTheme="minorEastAsia" w:cstheme="minorEastAsia"/>
          <w:i w:val="0"/>
          <w:caps w:val="0"/>
          <w:color w:val="333333"/>
          <w:spacing w:val="0"/>
          <w:kern w:val="0"/>
          <w:sz w:val="32"/>
          <w:szCs w:val="32"/>
          <w:shd w:val="clear" w:fill="FFFFFF"/>
          <w:lang w:val="en-US" w:eastAsia="zh-CN" w:bidi="ar"/>
        </w:rPr>
        <w:t>省贸促会工作人员为企业深度剖析了当前国际市场运行及发展趋势，并讲解了国际贸易风险防范知识和经典案例。活动还邀请了</w:t>
      </w:r>
      <w:r>
        <w:rPr>
          <w:rFonts w:hint="eastAsia" w:ascii="Times New Roman" w:hAnsi="Times New Roman" w:cstheme="minorEastAsia"/>
          <w:i w:val="0"/>
          <w:caps w:val="0"/>
          <w:color w:val="333333"/>
          <w:spacing w:val="0"/>
          <w:kern w:val="0"/>
          <w:sz w:val="32"/>
          <w:szCs w:val="32"/>
          <w:shd w:val="clear" w:fill="FFFFFF"/>
          <w:lang w:val="en-US" w:eastAsia="zh-CN" w:bidi="ar"/>
        </w:rPr>
        <w:t>银行</w:t>
      </w:r>
      <w:r>
        <w:rPr>
          <w:rFonts w:hint="eastAsia" w:ascii="Times New Roman" w:hAnsi="Times New Roman" w:eastAsiaTheme="minorEastAsia" w:cstheme="minorEastAsia"/>
          <w:i w:val="0"/>
          <w:caps w:val="0"/>
          <w:color w:val="333333"/>
          <w:spacing w:val="0"/>
          <w:kern w:val="0"/>
          <w:sz w:val="32"/>
          <w:szCs w:val="32"/>
          <w:shd w:val="clear" w:fill="FFFFFF"/>
          <w:lang w:val="en-US" w:eastAsia="zh-CN" w:bidi="ar"/>
        </w:rPr>
        <w:t>、知识产权代理</w:t>
      </w:r>
      <w:r>
        <w:rPr>
          <w:rFonts w:hint="eastAsia" w:ascii="Times New Roman" w:hAnsi="Times New Roman" w:cstheme="minorEastAsia"/>
          <w:i w:val="0"/>
          <w:caps w:val="0"/>
          <w:color w:val="333333"/>
          <w:spacing w:val="0"/>
          <w:kern w:val="0"/>
          <w:sz w:val="32"/>
          <w:szCs w:val="32"/>
          <w:shd w:val="clear" w:fill="FFFFFF"/>
          <w:lang w:val="en-US" w:eastAsia="zh-CN" w:bidi="ar"/>
        </w:rPr>
        <w:t>公司</w:t>
      </w:r>
      <w:r>
        <w:rPr>
          <w:rFonts w:hint="eastAsia" w:ascii="Times New Roman" w:hAnsi="Times New Roman" w:eastAsiaTheme="minorEastAsia" w:cstheme="minorEastAsia"/>
          <w:i w:val="0"/>
          <w:caps w:val="0"/>
          <w:color w:val="333333"/>
          <w:spacing w:val="0"/>
          <w:kern w:val="0"/>
          <w:sz w:val="32"/>
          <w:szCs w:val="32"/>
          <w:shd w:val="clear" w:fill="FFFFFF"/>
          <w:lang w:val="en-US" w:eastAsia="zh-CN" w:bidi="ar"/>
        </w:rPr>
        <w:t>分别为企业介绍国际结算、全球现金管理业务以及专利保护等，指导企业用好金融工具避险，帮助企业进一步增强知识产权意识。</w:t>
      </w:r>
      <w:r>
        <w:rPr>
          <w:rFonts w:hint="eastAsia" w:ascii="仿宋" w:hAnsi="仿宋" w:eastAsia="仿宋" w:cs="仿宋"/>
          <w:color w:val="212529"/>
          <w:spacing w:val="0"/>
          <w:sz w:val="31"/>
          <w:szCs w:val="31"/>
          <w:shd w:val="clear" w:fill="FFFFFF"/>
          <w:lang w:val="en-US" w:eastAsia="zh-CN"/>
        </w:rPr>
        <w:t xml:space="preserve"> </w:t>
      </w:r>
    </w:p>
    <w:p>
      <w:pPr>
        <w:pStyle w:val="5"/>
        <w:keepNext w:val="0"/>
        <w:keepLines w:val="0"/>
        <w:widowControl/>
        <w:suppressLineNumbers w:val="0"/>
        <w:spacing w:before="75" w:beforeAutospacing="0" w:after="75" w:afterAutospacing="0" w:line="240" w:lineRule="auto"/>
        <w:ind w:left="0" w:right="0" w:firstLine="5788" w:firstLineChars="1904"/>
        <w:jc w:val="left"/>
        <w:rPr>
          <w:sz w:val="27"/>
          <w:szCs w:val="27"/>
        </w:rPr>
      </w:pPr>
      <w:r>
        <w:rPr>
          <w:rFonts w:hint="eastAsia" w:ascii="方正楷体_GBK" w:hAnsi="方正楷体_GBK" w:eastAsia="方正楷体_GBK" w:cs="方正楷体_GBK"/>
          <w:b/>
          <w:bCs/>
          <w:color w:val="FF0000"/>
          <w:spacing w:val="0"/>
          <w:kern w:val="2"/>
          <w:sz w:val="32"/>
          <w:szCs w:val="32"/>
          <w:lang w:val="en-US" w:eastAsia="zh-CN" w:bidi="ar-SA"/>
        </w:rPr>
        <w:t>（扬州市贸促会）</w:t>
      </w:r>
    </w:p>
    <w:p>
      <w:pPr>
        <w:keepNext w:val="0"/>
        <w:keepLines w:val="0"/>
        <w:pageBreakBefore w:val="0"/>
        <w:widowControl/>
        <w:shd w:val="clear" w:color="auto" w:fill="FFFFFF"/>
        <w:kinsoku/>
        <w:wordWrap/>
        <w:overflowPunct/>
        <w:topLinePunct w:val="0"/>
        <w:autoSpaceDE/>
        <w:autoSpaceDN/>
        <w:bidi w:val="0"/>
        <w:adjustRightInd/>
        <w:snapToGrid/>
        <w:spacing w:line="600" w:lineRule="exact"/>
        <w:contextualSpacing/>
        <w:jc w:val="center"/>
        <w:textAlignment w:val="auto"/>
        <w:outlineLvl w:val="1"/>
        <w:rPr>
          <w:rFonts w:hint="eastAsia" w:ascii="Times New Roman" w:hAnsi="Times New Roman" w:eastAsia="经典行楷简" w:cs="Times New Roman"/>
          <w:color w:val="2E75B6" w:themeColor="accent1" w:themeShade="BF"/>
          <w:spacing w:val="0"/>
          <w:kern w:val="2"/>
          <w:sz w:val="52"/>
          <w:szCs w:val="52"/>
          <w:lang w:val="en-US" w:eastAsia="zh-CN" w:bidi="ar-SA"/>
        </w:rPr>
      </w:pPr>
    </w:p>
    <w:p>
      <w:pPr>
        <w:keepNext w:val="0"/>
        <w:keepLines w:val="0"/>
        <w:pageBreakBefore w:val="0"/>
        <w:widowControl/>
        <w:shd w:val="clear" w:color="auto" w:fill="FFFFFF"/>
        <w:kinsoku/>
        <w:wordWrap/>
        <w:overflowPunct/>
        <w:topLinePunct w:val="0"/>
        <w:autoSpaceDE/>
        <w:autoSpaceDN/>
        <w:bidi w:val="0"/>
        <w:adjustRightInd/>
        <w:snapToGrid/>
        <w:spacing w:line="600" w:lineRule="exact"/>
        <w:contextualSpacing/>
        <w:jc w:val="center"/>
        <w:textAlignment w:val="auto"/>
        <w:outlineLvl w:val="1"/>
        <w:rPr>
          <w:rFonts w:hint="eastAsia" w:ascii="Times New Roman" w:hAnsi="Times New Roman" w:eastAsia="经典行楷简" w:cs="Times New Roman"/>
          <w:color w:val="2E75B6" w:themeColor="accent1" w:themeShade="BF"/>
          <w:spacing w:val="0"/>
          <w:kern w:val="2"/>
          <w:sz w:val="52"/>
          <w:szCs w:val="52"/>
          <w:lang w:val="en-US" w:eastAsia="zh-CN" w:bidi="ar-SA"/>
        </w:rPr>
      </w:pPr>
      <w:r>
        <w:rPr>
          <w:rFonts w:hint="eastAsia" w:ascii="Times New Roman" w:hAnsi="Times New Roman" w:eastAsia="经典行楷简" w:cs="Times New Roman"/>
          <w:color w:val="2E75B6" w:themeColor="accent1" w:themeShade="BF"/>
          <w:spacing w:val="0"/>
          <w:kern w:val="2"/>
          <w:sz w:val="52"/>
          <w:szCs w:val="52"/>
          <w:lang w:val="en-US" w:eastAsia="zh-CN" w:bidi="ar-SA"/>
        </w:rPr>
        <w:t>淮安市贸促会举办“贸促服务助企行·</w:t>
      </w:r>
    </w:p>
    <w:p>
      <w:pPr>
        <w:keepNext w:val="0"/>
        <w:keepLines w:val="0"/>
        <w:pageBreakBefore w:val="0"/>
        <w:widowControl/>
        <w:shd w:val="clear" w:color="auto" w:fill="FFFFFF"/>
        <w:kinsoku/>
        <w:wordWrap/>
        <w:overflowPunct/>
        <w:topLinePunct w:val="0"/>
        <w:autoSpaceDE/>
        <w:autoSpaceDN/>
        <w:bidi w:val="0"/>
        <w:adjustRightInd/>
        <w:snapToGrid/>
        <w:spacing w:line="600" w:lineRule="exact"/>
        <w:contextualSpacing/>
        <w:jc w:val="center"/>
        <w:textAlignment w:val="auto"/>
        <w:outlineLvl w:val="1"/>
        <w:rPr>
          <w:rFonts w:hint="eastAsia" w:ascii="Times New Roman" w:hAnsi="Times New Roman" w:eastAsia="经典行楷简" w:cs="Times New Roman"/>
          <w:color w:val="2E75B6" w:themeColor="accent1" w:themeShade="BF"/>
          <w:spacing w:val="0"/>
          <w:kern w:val="2"/>
          <w:sz w:val="52"/>
          <w:szCs w:val="52"/>
          <w:lang w:val="en-US" w:eastAsia="zh-CN" w:bidi="ar-SA"/>
        </w:rPr>
      </w:pPr>
      <w:r>
        <w:rPr>
          <w:rFonts w:hint="eastAsia" w:ascii="Times New Roman" w:hAnsi="Times New Roman" w:eastAsia="经典行楷简" w:cs="Times New Roman"/>
          <w:color w:val="2E75B6" w:themeColor="accent1" w:themeShade="BF"/>
          <w:spacing w:val="0"/>
          <w:kern w:val="2"/>
          <w:sz w:val="52"/>
          <w:szCs w:val="52"/>
          <w:lang w:val="en-US" w:eastAsia="zh-CN" w:bidi="ar-SA"/>
        </w:rPr>
        <w:t>淮品拓展海外市场”宣介会</w:t>
      </w:r>
    </w:p>
    <w:p>
      <w:pPr>
        <w:keepNext w:val="0"/>
        <w:keepLines w:val="0"/>
        <w:pageBreakBefore w:val="0"/>
        <w:widowControl/>
        <w:shd w:val="clear" w:color="auto" w:fill="FFFFFF"/>
        <w:kinsoku/>
        <w:wordWrap/>
        <w:overflowPunct/>
        <w:topLinePunct w:val="0"/>
        <w:autoSpaceDE/>
        <w:autoSpaceDN/>
        <w:bidi w:val="0"/>
        <w:adjustRightInd/>
        <w:snapToGrid/>
        <w:spacing w:line="600" w:lineRule="exact"/>
        <w:ind w:firstLine="608" w:firstLineChars="200"/>
        <w:contextualSpacing/>
        <w:jc w:val="both"/>
        <w:textAlignment w:val="auto"/>
        <w:outlineLvl w:val="1"/>
        <w:rPr>
          <w:rFonts w:hint="eastAsia" w:ascii="Times New Roman" w:hAnsi="Times New Roman" w:eastAsiaTheme="minorEastAsia" w:cstheme="minorEastAsia"/>
          <w:i w:val="0"/>
          <w:caps w:val="0"/>
          <w:color w:val="333333"/>
          <w:spacing w:val="0"/>
          <w:kern w:val="0"/>
          <w:sz w:val="32"/>
          <w:szCs w:val="32"/>
          <w:shd w:val="clear" w:fill="FFFFFF"/>
          <w:lang w:val="en-US" w:eastAsia="zh-CN" w:bidi="ar"/>
        </w:rPr>
      </w:pPr>
      <w:r>
        <w:rPr>
          <w:rFonts w:hint="eastAsia" w:ascii="Times New Roman" w:hAnsi="Times New Roman" w:eastAsiaTheme="minorEastAsia" w:cstheme="minorEastAsia"/>
          <w:i w:val="0"/>
          <w:caps w:val="0"/>
          <w:color w:val="333333"/>
          <w:spacing w:val="0"/>
          <w:kern w:val="0"/>
          <w:sz w:val="32"/>
          <w:szCs w:val="32"/>
          <w:shd w:val="clear" w:fill="FFFFFF"/>
          <w:lang w:val="en-US" w:eastAsia="zh-CN" w:bidi="ar"/>
        </w:rPr>
        <w:t>3月14日，淮安市贸促会参与主办的“贸促服务助企行·淮品拓展海外市场”宣介会成功举办。活动邀请</w:t>
      </w:r>
      <w:r>
        <w:rPr>
          <w:rFonts w:hint="eastAsia" w:ascii="Times New Roman" w:hAnsi="Times New Roman" w:cstheme="minorEastAsia"/>
          <w:i w:val="0"/>
          <w:caps w:val="0"/>
          <w:color w:val="333333"/>
          <w:spacing w:val="0"/>
          <w:kern w:val="0"/>
          <w:sz w:val="32"/>
          <w:szCs w:val="32"/>
          <w:shd w:val="clear" w:fill="FFFFFF"/>
          <w:lang w:val="en-US" w:eastAsia="zh-CN" w:bidi="ar"/>
        </w:rPr>
        <w:t>有关会展公司</w:t>
      </w:r>
      <w:r>
        <w:rPr>
          <w:rFonts w:hint="eastAsia" w:ascii="Times New Roman" w:hAnsi="Times New Roman" w:eastAsiaTheme="minorEastAsia" w:cstheme="minorEastAsia"/>
          <w:i w:val="0"/>
          <w:caps w:val="0"/>
          <w:color w:val="333333"/>
          <w:spacing w:val="0"/>
          <w:kern w:val="0"/>
          <w:sz w:val="32"/>
          <w:szCs w:val="32"/>
          <w:shd w:val="clear" w:fill="FFFFFF"/>
          <w:lang w:val="en-US" w:eastAsia="zh-CN" w:bidi="ar"/>
        </w:rPr>
        <w:t>专家，围绕全球热点市场商机分析、数字化参展新模式开展宣讲，并就2024年国内外市场研判和企业海外参展技巧等内容进行交流探讨。淮安市各县区、园区商务部门有关负责人，各跨境电商产业园和孵化基地负责人，外贸企业代表等170余人参加活动。</w:t>
      </w:r>
    </w:p>
    <w:p>
      <w:pPr>
        <w:keepNext w:val="0"/>
        <w:keepLines w:val="0"/>
        <w:pageBreakBefore w:val="0"/>
        <w:widowControl/>
        <w:shd w:val="clear" w:color="auto" w:fill="FFFFFF"/>
        <w:kinsoku/>
        <w:wordWrap/>
        <w:overflowPunct/>
        <w:topLinePunct w:val="0"/>
        <w:autoSpaceDE/>
        <w:autoSpaceDN/>
        <w:bidi w:val="0"/>
        <w:adjustRightInd/>
        <w:snapToGrid/>
        <w:spacing w:line="600" w:lineRule="exact"/>
        <w:ind w:firstLine="608" w:firstLineChars="200"/>
        <w:contextualSpacing/>
        <w:jc w:val="both"/>
        <w:textAlignment w:val="auto"/>
        <w:outlineLvl w:val="1"/>
        <w:rPr>
          <w:rFonts w:hint="eastAsia" w:ascii="Times New Roman" w:hAnsi="Times New Roman" w:eastAsiaTheme="minorEastAsia" w:cstheme="minorEastAsia"/>
          <w:i w:val="0"/>
          <w:caps w:val="0"/>
          <w:color w:val="333333"/>
          <w:spacing w:val="0"/>
          <w:kern w:val="0"/>
          <w:sz w:val="32"/>
          <w:szCs w:val="32"/>
          <w:shd w:val="clear" w:fill="FFFFFF"/>
          <w:lang w:val="en-US" w:eastAsia="zh-CN" w:bidi="ar"/>
        </w:rPr>
      </w:pPr>
      <w:r>
        <w:rPr>
          <w:rFonts w:hint="eastAsia" w:ascii="Times New Roman" w:hAnsi="Times New Roman" w:cstheme="minorEastAsia"/>
          <w:i w:val="0"/>
          <w:caps w:val="0"/>
          <w:color w:val="333333"/>
          <w:spacing w:val="0"/>
          <w:kern w:val="0"/>
          <w:sz w:val="32"/>
          <w:szCs w:val="32"/>
          <w:shd w:val="clear" w:fill="FFFFFF"/>
          <w:lang w:val="en-US" w:eastAsia="zh-CN" w:bidi="ar"/>
        </w:rPr>
        <w:t>淮安市贸促会</w:t>
      </w:r>
      <w:r>
        <w:rPr>
          <w:rFonts w:hint="eastAsia" w:ascii="Times New Roman" w:hAnsi="Times New Roman" w:eastAsiaTheme="minorEastAsia" w:cstheme="minorEastAsia"/>
          <w:i w:val="0"/>
          <w:caps w:val="0"/>
          <w:color w:val="333333"/>
          <w:spacing w:val="0"/>
          <w:kern w:val="0"/>
          <w:sz w:val="32"/>
          <w:szCs w:val="32"/>
          <w:shd w:val="clear" w:fill="FFFFFF"/>
          <w:lang w:val="en-US" w:eastAsia="zh-CN" w:bidi="ar"/>
        </w:rPr>
        <w:t>姚文钧</w:t>
      </w:r>
      <w:r>
        <w:rPr>
          <w:rFonts w:hint="eastAsia" w:ascii="Times New Roman" w:hAnsi="Times New Roman" w:cstheme="minorEastAsia"/>
          <w:i w:val="0"/>
          <w:caps w:val="0"/>
          <w:color w:val="333333"/>
          <w:spacing w:val="0"/>
          <w:kern w:val="0"/>
          <w:sz w:val="32"/>
          <w:szCs w:val="32"/>
          <w:shd w:val="clear" w:fill="FFFFFF"/>
          <w:lang w:val="en-US" w:eastAsia="zh-CN" w:bidi="ar"/>
        </w:rPr>
        <w:t>会长在</w:t>
      </w:r>
      <w:r>
        <w:rPr>
          <w:rFonts w:hint="eastAsia" w:ascii="Times New Roman" w:hAnsi="Times New Roman" w:eastAsiaTheme="minorEastAsia" w:cstheme="minorEastAsia"/>
          <w:i w:val="0"/>
          <w:caps w:val="0"/>
          <w:color w:val="333333"/>
          <w:spacing w:val="0"/>
          <w:kern w:val="0"/>
          <w:sz w:val="32"/>
          <w:szCs w:val="32"/>
          <w:shd w:val="clear" w:fill="FFFFFF"/>
          <w:lang w:val="en-US" w:eastAsia="zh-CN" w:bidi="ar"/>
        </w:rPr>
        <w:t>致辞中提到，2024年外贸工作关键是要培育外贸新动能，推动外贸高质量发展，聚焦扩量提质，着力推动外贸稳规模优结构。稳定外贸基本盘，着力拓宽跨境电商、“新三样”等新业态新模式，促进贸易高质量发展。淮安市也将采稳外资稳外贸，服务企业拓市场抓订单，保经营主体发展，保产业链供应链稳定。希望大家以此次宣介活动为契机，充分交流，互学互鉴，挖掘外贸增长潜力，壮大外贸新动能，促进外贸创新发展。</w:t>
      </w:r>
    </w:p>
    <w:p>
      <w:pPr>
        <w:keepNext w:val="0"/>
        <w:keepLines w:val="0"/>
        <w:pageBreakBefore w:val="0"/>
        <w:widowControl/>
        <w:shd w:val="clear" w:color="auto" w:fill="FFFFFF"/>
        <w:kinsoku/>
        <w:wordWrap/>
        <w:overflowPunct/>
        <w:topLinePunct w:val="0"/>
        <w:autoSpaceDE/>
        <w:autoSpaceDN/>
        <w:bidi w:val="0"/>
        <w:adjustRightInd/>
        <w:snapToGrid/>
        <w:spacing w:line="600" w:lineRule="exact"/>
        <w:ind w:firstLine="608" w:firstLineChars="200"/>
        <w:contextualSpacing/>
        <w:jc w:val="both"/>
        <w:textAlignment w:val="auto"/>
        <w:outlineLvl w:val="1"/>
        <w:rPr>
          <w:rFonts w:hint="eastAsia" w:ascii="Times New Roman" w:hAnsi="Times New Roman" w:eastAsiaTheme="minorEastAsia" w:cstheme="minorEastAsia"/>
          <w:i w:val="0"/>
          <w:caps w:val="0"/>
          <w:color w:val="333333"/>
          <w:spacing w:val="0"/>
          <w:kern w:val="0"/>
          <w:sz w:val="32"/>
          <w:szCs w:val="32"/>
          <w:shd w:val="clear" w:fill="FFFFFF"/>
          <w:lang w:val="en-US" w:eastAsia="zh-CN" w:bidi="ar"/>
        </w:rPr>
      </w:pPr>
      <w:r>
        <w:rPr>
          <w:rFonts w:hint="eastAsia" w:ascii="Times New Roman" w:hAnsi="Times New Roman" w:eastAsiaTheme="minorEastAsia" w:cstheme="minorEastAsia"/>
          <w:i w:val="0"/>
          <w:caps w:val="0"/>
          <w:color w:val="333333"/>
          <w:spacing w:val="0"/>
          <w:kern w:val="0"/>
          <w:sz w:val="32"/>
          <w:szCs w:val="32"/>
          <w:shd w:val="clear" w:fill="FFFFFF"/>
          <w:lang w:val="en-US" w:eastAsia="zh-CN" w:bidi="ar"/>
        </w:rPr>
        <w:t xml:space="preserve">  </w:t>
      </w:r>
      <w:r>
        <w:rPr>
          <w:rFonts w:hint="eastAsia" w:ascii="Times New Roman" w:hAnsi="Times New Roman" w:cstheme="minorEastAsia"/>
          <w:i w:val="0"/>
          <w:caps w:val="0"/>
          <w:color w:val="333333"/>
          <w:spacing w:val="0"/>
          <w:kern w:val="0"/>
          <w:sz w:val="32"/>
          <w:szCs w:val="32"/>
          <w:shd w:val="clear" w:fill="FFFFFF"/>
          <w:lang w:val="en-US" w:eastAsia="zh-CN" w:bidi="ar"/>
        </w:rPr>
        <w:t xml:space="preserve">                               </w:t>
      </w:r>
      <w:r>
        <w:rPr>
          <w:rFonts w:hint="eastAsia" w:ascii="方正楷体_GBK" w:hAnsi="方正楷体_GBK" w:eastAsia="方正楷体_GBK" w:cs="方正楷体_GBK"/>
          <w:b/>
          <w:bCs/>
          <w:color w:val="FF0000"/>
          <w:spacing w:val="0"/>
          <w:kern w:val="2"/>
          <w:sz w:val="32"/>
          <w:szCs w:val="32"/>
          <w:lang w:val="en-US" w:eastAsia="zh-CN" w:bidi="ar-SA"/>
        </w:rPr>
        <w:t>（淮安市贸促会）</w:t>
      </w:r>
    </w:p>
    <w:p>
      <w:pPr>
        <w:keepNext w:val="0"/>
        <w:keepLines w:val="0"/>
        <w:pageBreakBefore w:val="0"/>
        <w:widowControl/>
        <w:shd w:val="clear" w:color="auto" w:fill="FFFFFF"/>
        <w:kinsoku/>
        <w:wordWrap/>
        <w:overflowPunct/>
        <w:topLinePunct w:val="0"/>
        <w:autoSpaceDE/>
        <w:autoSpaceDN/>
        <w:bidi w:val="0"/>
        <w:adjustRightInd/>
        <w:snapToGrid/>
        <w:spacing w:line="600" w:lineRule="exact"/>
        <w:contextualSpacing/>
        <w:jc w:val="center"/>
        <w:textAlignment w:val="auto"/>
        <w:outlineLvl w:val="1"/>
        <w:rPr>
          <w:rFonts w:hint="eastAsia" w:ascii="Times New Roman" w:hAnsi="Times New Roman" w:eastAsia="经典行楷简" w:cs="Times New Roman"/>
          <w:color w:val="2E75B6" w:themeColor="accent1" w:themeShade="BF"/>
          <w:spacing w:val="0"/>
          <w:kern w:val="2"/>
          <w:sz w:val="52"/>
          <w:szCs w:val="52"/>
          <w:lang w:val="en-US" w:eastAsia="zh-CN" w:bidi="ar-SA"/>
        </w:rPr>
      </w:pPr>
    </w:p>
    <w:p>
      <w:pPr>
        <w:rPr>
          <w:rFonts w:hint="default" w:ascii="方正楷体_GBK" w:hAnsi="方正楷体_GBK" w:eastAsia="方正楷体_GBK" w:cs="方正楷体_GBK"/>
          <w:b/>
          <w:bCs/>
          <w:color w:val="FF0000"/>
          <w:spacing w:val="0"/>
          <w:kern w:val="2"/>
          <w:sz w:val="32"/>
          <w:szCs w:val="32"/>
          <w:lang w:val="en-US" w:eastAsia="zh-CN" w:bidi="ar-SA"/>
        </w:rPr>
      </w:pP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contextualSpacing/>
        <w:jc w:val="center"/>
        <w:textAlignment w:val="auto"/>
        <w:outlineLvl w:val="1"/>
        <w:rPr>
          <w:rFonts w:hint="default" w:ascii="仿宋_GB2312" w:hAnsi="宋体" w:eastAsia="仿宋_GB2312" w:cs="仿宋_GB2312"/>
          <w:color w:val="000000"/>
          <w:sz w:val="31"/>
          <w:szCs w:val="31"/>
          <w:lang w:val="en-US" w:eastAsia="zh-CN"/>
        </w:rPr>
      </w:pPr>
    </w:p>
    <w:p>
      <w:pPr>
        <w:rPr>
          <w:rFonts w:hint="default" w:ascii="Times New Roman" w:hAnsi="Times New Roman" w:eastAsia="经典行楷简" w:cs="Times New Roman"/>
          <w:b/>
          <w:color w:val="2E75B6" w:themeColor="accent1" w:themeShade="BF"/>
          <w:kern w:val="36"/>
          <w:sz w:val="96"/>
          <w:szCs w:val="96"/>
          <w:u w:val="none" w:color="BB120F"/>
          <w:lang w:val="en-US" w:eastAsia="zh-CN"/>
        </w:rPr>
      </w:pPr>
      <w:r>
        <w:rPr>
          <w:rFonts w:hint="default" w:ascii="Times New Roman" w:hAnsi="Times New Roman" w:eastAsia="经典行楷简" w:cs="Times New Roman"/>
          <w:b/>
          <w:color w:val="2E75B6" w:themeColor="accent1" w:themeShade="BF"/>
          <w:kern w:val="36"/>
          <w:sz w:val="96"/>
          <w:szCs w:val="96"/>
          <w:u w:val="none" w:color="BB120F"/>
          <w:lang w:val="en-US" w:eastAsia="zh-CN"/>
        </w:rPr>
        <w:br w:type="page"/>
      </w:r>
    </w:p>
    <w:p>
      <w:pPr>
        <w:keepNext w:val="0"/>
        <w:keepLines w:val="0"/>
        <w:pageBreakBefore w:val="0"/>
        <w:widowControl/>
        <w:shd w:val="clear" w:color="auto" w:fill="FFFFFF"/>
        <w:kinsoku/>
        <w:wordWrap/>
        <w:overflowPunct/>
        <w:topLinePunct w:val="0"/>
        <w:autoSpaceDE/>
        <w:autoSpaceDN/>
        <w:bidi w:val="0"/>
        <w:adjustRightInd/>
        <w:snapToGrid/>
        <w:spacing w:after="210" w:line="240" w:lineRule="auto"/>
        <w:contextualSpacing/>
        <w:jc w:val="center"/>
        <w:textAlignment w:val="auto"/>
        <w:outlineLvl w:val="1"/>
        <w:rPr>
          <w:rFonts w:hint="default" w:ascii="Times New Roman" w:hAnsi="Times New Roman" w:eastAsia="经典行楷简" w:cs="Times New Roman"/>
          <w:b/>
          <w:color w:val="2E75B6" w:themeColor="accent1" w:themeShade="BF"/>
          <w:kern w:val="36"/>
          <w:sz w:val="96"/>
          <w:szCs w:val="96"/>
          <w:u w:val="none" w:color="BB120F"/>
          <w:lang w:val="en-US" w:eastAsia="zh-CN"/>
        </w:rPr>
      </w:pPr>
      <w:r>
        <w:rPr>
          <w:rFonts w:hint="default" w:ascii="Times New Roman" w:hAnsi="Times New Roman" w:eastAsia="经典行楷简" w:cs="Times New Roman"/>
          <w:b/>
          <w:color w:val="2E75B6" w:themeColor="accent1" w:themeShade="BF"/>
          <w:kern w:val="36"/>
          <w:sz w:val="96"/>
          <w:szCs w:val="96"/>
          <w:u w:val="none" w:color="BB120F"/>
          <w:lang w:val="en-US" w:eastAsia="zh-CN"/>
        </w:rPr>
        <w:t>会员企业风采</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after="210" w:line="700" w:lineRule="exact"/>
        <w:contextualSpacing/>
        <w:jc w:val="center"/>
        <w:textAlignment w:val="auto"/>
        <w:outlineLvl w:val="1"/>
        <w:rPr>
          <w:rFonts w:hint="eastAsia" w:ascii="Times New Roman" w:hAnsi="Times New Roman" w:eastAsia="华文新魏" w:cs="Times New Roman"/>
          <w:b/>
          <w:color w:val="FF0000"/>
          <w:spacing w:val="28"/>
          <w:kern w:val="36"/>
          <w:sz w:val="52"/>
          <w:szCs w:val="52"/>
          <w:lang w:val="en-US" w:eastAsia="zh-CN"/>
        </w:rPr>
      </w:pPr>
      <w:r>
        <w:rPr>
          <w:rFonts w:hint="eastAsia" w:ascii="Times New Roman" w:hAnsi="Times New Roman" w:eastAsia="华文新魏" w:cs="Times New Roman"/>
          <w:b/>
          <w:color w:val="FF0000"/>
          <w:spacing w:val="28"/>
          <w:kern w:val="36"/>
          <w:sz w:val="52"/>
          <w:szCs w:val="52"/>
          <w:lang w:val="en-US" w:eastAsia="zh-CN"/>
        </w:rPr>
        <w:t>尚德电力获法国碳足迹PPE2证书 创行业TOPCon组件碳足迹认证</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after="210" w:line="700" w:lineRule="exact"/>
        <w:contextualSpacing/>
        <w:jc w:val="center"/>
        <w:textAlignment w:val="auto"/>
        <w:outlineLvl w:val="1"/>
        <w:rPr>
          <w:rFonts w:hint="eastAsia" w:ascii="Times New Roman" w:hAnsi="Times New Roman" w:eastAsia="华文新魏" w:cs="Times New Roman"/>
          <w:b/>
          <w:color w:val="FF0000"/>
          <w:spacing w:val="28"/>
          <w:kern w:val="36"/>
          <w:sz w:val="52"/>
          <w:szCs w:val="52"/>
          <w:lang w:val="en-US" w:eastAsia="zh-CN"/>
        </w:rPr>
      </w:pPr>
      <w:r>
        <w:rPr>
          <w:rFonts w:hint="eastAsia" w:ascii="Times New Roman" w:hAnsi="Times New Roman" w:eastAsia="华文新魏" w:cs="Times New Roman"/>
          <w:b/>
          <w:color w:val="FF0000"/>
          <w:spacing w:val="28"/>
          <w:kern w:val="36"/>
          <w:sz w:val="52"/>
          <w:szCs w:val="52"/>
          <w:lang w:val="en-US" w:eastAsia="zh-CN"/>
        </w:rPr>
        <w:t>数值新低</w:t>
      </w:r>
    </w:p>
    <w:p>
      <w:pPr>
        <w:keepNext w:val="0"/>
        <w:keepLines w:val="0"/>
        <w:pageBreakBefore w:val="0"/>
        <w:widowControl w:val="0"/>
        <w:kinsoku/>
        <w:wordWrap/>
        <w:overflowPunct/>
        <w:topLinePunct w:val="0"/>
        <w:autoSpaceDE/>
        <w:autoSpaceDN/>
        <w:bidi w:val="0"/>
        <w:adjustRightInd/>
        <w:snapToGrid/>
        <w:spacing w:line="240" w:lineRule="auto"/>
        <w:ind w:firstLine="608" w:firstLineChars="200"/>
        <w:textAlignment w:val="auto"/>
        <w:outlineLvl w:val="9"/>
        <w:rPr>
          <w:rFonts w:hint="eastAsia" w:ascii="Times New Roman" w:hAnsi="Times New Roman" w:eastAsiaTheme="minorEastAsia" w:cstheme="minorEastAsia"/>
          <w:i w:val="0"/>
          <w:caps w:val="0"/>
          <w:color w:val="000000"/>
          <w:spacing w:val="0"/>
          <w:sz w:val="32"/>
          <w:szCs w:val="32"/>
          <w:lang w:val="en-US" w:eastAsia="zh-CN"/>
        </w:rPr>
      </w:pPr>
      <w:r>
        <w:rPr>
          <w:rFonts w:hint="eastAsia" w:ascii="Times New Roman" w:hAnsi="Times New Roman" w:eastAsiaTheme="minorEastAsia" w:cstheme="minorEastAsia"/>
          <w:i w:val="0"/>
          <w:caps w:val="0"/>
          <w:color w:val="000000"/>
          <w:spacing w:val="0"/>
          <w:sz w:val="32"/>
          <w:szCs w:val="32"/>
          <w:lang w:val="en-US" w:eastAsia="zh-CN"/>
        </w:rPr>
        <w:t>日前，我会副会长单位——无锡尚德太阳能电力有限公司TOPCon组件获得法国碳足迹认证，且创行业全链条国产供应链碳足迹认证数值新低(376.1kg eq CO2/kWc)。该认证是对尚德电力多年来积极构建绿色工厂的肯定，为开拓国际市场增添低碳优势，并为公司全球化战略布局注入强劲动力。</w:t>
      </w:r>
    </w:p>
    <w:p>
      <w:pPr>
        <w:keepNext w:val="0"/>
        <w:keepLines w:val="0"/>
        <w:pageBreakBefore w:val="0"/>
        <w:widowControl w:val="0"/>
        <w:kinsoku/>
        <w:wordWrap/>
        <w:overflowPunct/>
        <w:topLinePunct w:val="0"/>
        <w:autoSpaceDE/>
        <w:autoSpaceDN/>
        <w:bidi w:val="0"/>
        <w:adjustRightInd/>
        <w:snapToGrid/>
        <w:spacing w:line="240" w:lineRule="auto"/>
        <w:ind w:firstLine="608" w:firstLineChars="200"/>
        <w:textAlignment w:val="auto"/>
        <w:outlineLvl w:val="9"/>
        <w:rPr>
          <w:rFonts w:hint="eastAsia" w:ascii="Times New Roman" w:hAnsi="Times New Roman" w:eastAsiaTheme="minorEastAsia" w:cstheme="minorEastAsia"/>
          <w:i w:val="0"/>
          <w:caps w:val="0"/>
          <w:color w:val="000000"/>
          <w:spacing w:val="0"/>
          <w:sz w:val="32"/>
          <w:szCs w:val="32"/>
          <w:lang w:val="en-US" w:eastAsia="zh-CN"/>
        </w:rPr>
      </w:pPr>
      <w:r>
        <w:rPr>
          <w:rFonts w:hint="eastAsia" w:ascii="Times New Roman" w:hAnsi="Times New Roman" w:eastAsiaTheme="minorEastAsia" w:cstheme="minorEastAsia"/>
          <w:i w:val="0"/>
          <w:caps w:val="0"/>
          <w:color w:val="000000"/>
          <w:spacing w:val="0"/>
          <w:sz w:val="32"/>
          <w:szCs w:val="32"/>
          <w:lang w:val="en-US" w:eastAsia="zh-CN"/>
        </w:rPr>
        <w:t>当下，碳足迹认证已成为光伏企业进入国际高端市场的“绿色通行证”。法国光伏市场一直以准入要求严苛而闻名全球，作为准入条件之一的法国“碳足迹认证”更是极难获取，它是由法国能源监管委员会（CRE）所推行的，针对100kW以上的光伏项目产品进入法国市场最权威的碳足迹相关认证。作为一项旨在评估和减少产品生命周期的温室气体排放量的认证体系，该认证以科学、公正、透明的原则为基础，通过全程追踪产品的原材料采购、生产、运输和排放等环节，以确保产品能够得到有效评估。</w:t>
      </w:r>
    </w:p>
    <w:p>
      <w:pPr>
        <w:keepNext w:val="0"/>
        <w:keepLines w:val="0"/>
        <w:pageBreakBefore w:val="0"/>
        <w:widowControl w:val="0"/>
        <w:kinsoku/>
        <w:wordWrap/>
        <w:overflowPunct/>
        <w:topLinePunct w:val="0"/>
        <w:autoSpaceDE/>
        <w:autoSpaceDN/>
        <w:bidi w:val="0"/>
        <w:adjustRightInd/>
        <w:snapToGrid/>
        <w:spacing w:line="240" w:lineRule="auto"/>
        <w:ind w:firstLine="608" w:firstLineChars="200"/>
        <w:textAlignment w:val="auto"/>
        <w:outlineLvl w:val="9"/>
        <w:rPr>
          <w:rFonts w:hint="eastAsia" w:ascii="Times New Roman" w:hAnsi="Times New Roman" w:eastAsiaTheme="minorEastAsia" w:cstheme="minorEastAsia"/>
          <w:i w:val="0"/>
          <w:caps w:val="0"/>
          <w:color w:val="000000"/>
          <w:spacing w:val="0"/>
          <w:sz w:val="32"/>
          <w:szCs w:val="32"/>
          <w:lang w:val="en-US" w:eastAsia="zh-CN"/>
        </w:rPr>
      </w:pPr>
      <w:r>
        <w:rPr>
          <w:rFonts w:hint="eastAsia" w:ascii="Times New Roman" w:hAnsi="Times New Roman" w:eastAsiaTheme="minorEastAsia" w:cstheme="minorEastAsia"/>
          <w:i w:val="0"/>
          <w:caps w:val="0"/>
          <w:color w:val="000000"/>
          <w:spacing w:val="0"/>
          <w:sz w:val="32"/>
          <w:szCs w:val="32"/>
          <w:lang w:val="en-US" w:eastAsia="zh-CN"/>
        </w:rPr>
        <w:t>面对全新的市场门槛，具备竞争力的碳足迹产品将成为光伏企业掌握全球市场竞争主动权的关键一环。尚德电力TOPCon组件凭借领先的技术优势和强大的研发实力在国际上始终保持一流水平。作为全国较早布局N型TOPCon技术的企业，尚德电力在多年研发积累基础上，进一步在该技术领域着力发展。2022年11月，尚德电力推出基于182mm电池片打造的Ultra V Pro系列产品。该系列产品分为54、72、78三大版型，全方位涵盖了地面电站、工商业分布式、户用分布式等场景。2023年5月份，尚德电力推出可适用于屋顶光伏的全新高效轻质TOPCon双玻组件；同年11月份，在第十五届中国（无锡）国际新能源大会上，H66-Nsh+矩形硅片组件首次正式亮相，为N型高效光伏组件矩阵再添砖加瓦。尚德电力不断地通过技术研发和创新，使得产品的各方面性能实现自我超越，预计到今年，N型TOPCon电池最高量产效率可达26.5%。</w:t>
      </w:r>
    </w:p>
    <w:p>
      <w:pPr>
        <w:keepNext w:val="0"/>
        <w:keepLines w:val="0"/>
        <w:pageBreakBefore w:val="0"/>
        <w:widowControl w:val="0"/>
        <w:kinsoku/>
        <w:wordWrap/>
        <w:overflowPunct/>
        <w:topLinePunct w:val="0"/>
        <w:autoSpaceDE/>
        <w:autoSpaceDN/>
        <w:bidi w:val="0"/>
        <w:adjustRightInd/>
        <w:snapToGrid/>
        <w:spacing w:line="240" w:lineRule="auto"/>
        <w:ind w:firstLine="4864" w:firstLineChars="1600"/>
        <w:textAlignment w:val="auto"/>
        <w:outlineLvl w:val="9"/>
        <w:rPr>
          <w:rFonts w:hint="eastAsia" w:ascii="方正楷体_GBK" w:hAnsi="方正楷体_GBK" w:eastAsia="方正楷体_GBK" w:cs="方正楷体_GBK"/>
          <w:b/>
          <w:bCs/>
          <w:color w:val="FF0000"/>
          <w:sz w:val="32"/>
          <w:szCs w:val="32"/>
          <w:lang w:val="en-US" w:eastAsia="zh-CN"/>
        </w:rPr>
      </w:pPr>
      <w:r>
        <w:rPr>
          <w:rFonts w:hint="default" w:ascii="方正楷体_GBK" w:hAnsi="方正楷体_GBK" w:eastAsia="方正楷体_GBK" w:cs="方正楷体_GBK"/>
          <w:b/>
          <w:bCs/>
          <w:color w:val="FF0000"/>
          <w:sz w:val="32"/>
          <w:szCs w:val="32"/>
          <w:lang w:val="en-US" w:eastAsia="zh-CN"/>
        </w:rPr>
        <w:t>（来源：</w:t>
      </w:r>
      <w:r>
        <w:rPr>
          <w:rFonts w:hint="eastAsia" w:ascii="方正楷体_GBK" w:hAnsi="方正楷体_GBK" w:eastAsia="方正楷体_GBK" w:cs="方正楷体_GBK"/>
          <w:b/>
          <w:bCs/>
          <w:color w:val="FF0000"/>
          <w:sz w:val="32"/>
          <w:szCs w:val="32"/>
          <w:lang w:val="en-US" w:eastAsia="zh-CN"/>
        </w:rPr>
        <w:t>尚德电力官网）</w:t>
      </w:r>
    </w:p>
    <w:p>
      <w:pPr>
        <w:keepNext w:val="0"/>
        <w:keepLines w:val="0"/>
        <w:pageBreakBefore w:val="0"/>
        <w:widowControl/>
        <w:shd w:val="clear" w:color="auto" w:fill="FFFFFF"/>
        <w:kinsoku/>
        <w:wordWrap/>
        <w:overflowPunct/>
        <w:topLinePunct w:val="0"/>
        <w:autoSpaceDE/>
        <w:autoSpaceDN/>
        <w:bidi w:val="0"/>
        <w:adjustRightInd/>
        <w:snapToGrid/>
        <w:spacing w:after="210" w:line="240" w:lineRule="exact"/>
        <w:ind w:firstLine="608" w:firstLineChars="200"/>
        <w:contextualSpacing/>
        <w:jc w:val="left"/>
        <w:textAlignment w:val="auto"/>
        <w:outlineLvl w:val="1"/>
        <w:rPr>
          <w:rFonts w:hint="default" w:ascii="Times New Roman" w:hAnsi="Times New Roman" w:cs="Times New Roman" w:eastAsiaTheme="minorEastAsia"/>
          <w:sz w:val="32"/>
          <w:szCs w:val="32"/>
          <w:lang w:val="en-US" w:eastAsia="zh-CN"/>
        </w:rPr>
      </w:pPr>
    </w:p>
    <w:p>
      <w:pPr>
        <w:keepNext w:val="0"/>
        <w:keepLines w:val="0"/>
        <w:pageBreakBefore w:val="0"/>
        <w:widowControl/>
        <w:shd w:val="clear" w:color="auto" w:fill="FFFFFF"/>
        <w:kinsoku/>
        <w:wordWrap/>
        <w:overflowPunct/>
        <w:topLinePunct w:val="0"/>
        <w:autoSpaceDE/>
        <w:autoSpaceDN/>
        <w:bidi w:val="0"/>
        <w:adjustRightInd/>
        <w:snapToGrid/>
        <w:spacing w:after="210" w:line="240" w:lineRule="exact"/>
        <w:ind w:firstLine="608" w:firstLineChars="200"/>
        <w:contextualSpacing/>
        <w:jc w:val="left"/>
        <w:textAlignment w:val="auto"/>
        <w:outlineLvl w:val="1"/>
        <w:rPr>
          <w:rFonts w:hint="default" w:ascii="Times New Roman" w:hAnsi="Times New Roman" w:cs="Times New Roman" w:eastAsiaTheme="minorEastAsia"/>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700" w:lineRule="exact"/>
        <w:jc w:val="center"/>
        <w:textAlignment w:val="auto"/>
        <w:outlineLvl w:val="9"/>
        <w:rPr>
          <w:rFonts w:hint="default" w:ascii="Times New Roman" w:hAnsi="Times New Roman" w:eastAsia="华文新魏" w:cs="Times New Roman"/>
          <w:b/>
          <w:bCs w:val="0"/>
          <w:color w:val="FF0000"/>
          <w:spacing w:val="28"/>
          <w:kern w:val="36"/>
          <w:sz w:val="52"/>
          <w:szCs w:val="52"/>
          <w:lang w:val="en-US" w:eastAsia="zh-CN" w:bidi="ar-SA"/>
        </w:rPr>
      </w:pPr>
      <w:r>
        <w:rPr>
          <w:rFonts w:hint="default" w:ascii="Times New Roman" w:hAnsi="Times New Roman" w:eastAsia="华文新魏" w:cs="Times New Roman"/>
          <w:b/>
          <w:bCs w:val="0"/>
          <w:color w:val="FF0000"/>
          <w:spacing w:val="28"/>
          <w:kern w:val="36"/>
          <w:sz w:val="52"/>
          <w:szCs w:val="52"/>
          <w:lang w:val="en-US" w:eastAsia="zh-CN" w:bidi="ar-SA"/>
        </w:rPr>
        <w:t>江苏银行：为新质生产力</w:t>
      </w:r>
    </w:p>
    <w:p>
      <w:pPr>
        <w:keepNext w:val="0"/>
        <w:keepLines w:val="0"/>
        <w:pageBreakBefore w:val="0"/>
        <w:widowControl w:val="0"/>
        <w:kinsoku/>
        <w:wordWrap/>
        <w:overflowPunct/>
        <w:topLinePunct w:val="0"/>
        <w:autoSpaceDE/>
        <w:autoSpaceDN/>
        <w:bidi w:val="0"/>
        <w:adjustRightInd/>
        <w:snapToGrid/>
        <w:spacing w:line="700" w:lineRule="exact"/>
        <w:jc w:val="center"/>
        <w:textAlignment w:val="auto"/>
        <w:outlineLvl w:val="9"/>
        <w:rPr>
          <w:rFonts w:hint="default" w:ascii="Times New Roman" w:hAnsi="Times New Roman" w:eastAsia="华文新魏" w:cs="Times New Roman"/>
          <w:b/>
          <w:bCs w:val="0"/>
          <w:color w:val="FF0000"/>
          <w:spacing w:val="28"/>
          <w:kern w:val="36"/>
          <w:sz w:val="52"/>
          <w:szCs w:val="52"/>
          <w:lang w:val="en-US" w:eastAsia="zh-CN" w:bidi="ar-SA"/>
        </w:rPr>
      </w:pPr>
      <w:r>
        <w:rPr>
          <w:rFonts w:hint="default" w:ascii="Times New Roman" w:hAnsi="Times New Roman" w:eastAsia="华文新魏" w:cs="Times New Roman"/>
          <w:b/>
          <w:bCs w:val="0"/>
          <w:color w:val="FF0000"/>
          <w:spacing w:val="28"/>
          <w:kern w:val="36"/>
          <w:sz w:val="52"/>
          <w:szCs w:val="52"/>
          <w:lang w:val="en-US" w:eastAsia="zh-CN" w:bidi="ar-SA"/>
        </w:rPr>
        <w:t>注入强劲金融动力</w:t>
      </w:r>
    </w:p>
    <w:p>
      <w:pPr>
        <w:keepNext w:val="0"/>
        <w:keepLines w:val="0"/>
        <w:pageBreakBefore w:val="0"/>
        <w:widowControl w:val="0"/>
        <w:kinsoku/>
        <w:wordWrap/>
        <w:overflowPunct/>
        <w:topLinePunct w:val="0"/>
        <w:autoSpaceDE/>
        <w:autoSpaceDN/>
        <w:bidi w:val="0"/>
        <w:adjustRightInd/>
        <w:snapToGrid/>
        <w:spacing w:line="240" w:lineRule="auto"/>
        <w:ind w:firstLine="608" w:firstLineChars="200"/>
        <w:textAlignment w:val="auto"/>
        <w:outlineLvl w:val="9"/>
        <w:rPr>
          <w:rFonts w:hint="eastAsia" w:ascii="Times New Roman" w:hAnsi="Times New Roman" w:eastAsiaTheme="minorEastAsia" w:cstheme="minorEastAsia"/>
          <w:i w:val="0"/>
          <w:caps w:val="0"/>
          <w:color w:val="000000"/>
          <w:spacing w:val="0"/>
          <w:sz w:val="32"/>
          <w:szCs w:val="32"/>
          <w:lang w:val="en-US" w:eastAsia="zh-CN"/>
        </w:rPr>
      </w:pPr>
      <w:r>
        <w:rPr>
          <w:rFonts w:hint="default" w:ascii="Times New Roman" w:hAnsi="Times New Roman" w:eastAsiaTheme="minorEastAsia" w:cstheme="minorEastAsia"/>
          <w:i w:val="0"/>
          <w:caps w:val="0"/>
          <w:color w:val="000000"/>
          <w:spacing w:val="0"/>
          <w:sz w:val="32"/>
          <w:szCs w:val="32"/>
          <w:lang w:val="en-US" w:eastAsia="zh-CN"/>
        </w:rPr>
        <w:t>“作为全国系统重要性银行和江苏最大法人银行，我们将坚决扛起使命担当，坚持立足江苏、服务全国，助力构建以先进制造业为骨干的现代化产业体系，以走在前的高质量金融服务助力强国建设和民族复兴伟业。”</w:t>
      </w:r>
      <w:r>
        <w:rPr>
          <w:rFonts w:hint="eastAsia" w:ascii="Times New Roman" w:hAnsi="Times New Roman" w:eastAsiaTheme="minorEastAsia" w:cstheme="minorEastAsia"/>
          <w:i w:val="0"/>
          <w:caps w:val="0"/>
          <w:color w:val="000000"/>
          <w:spacing w:val="0"/>
          <w:sz w:val="32"/>
          <w:szCs w:val="32"/>
          <w:lang w:val="en-US" w:eastAsia="zh-CN"/>
        </w:rPr>
        <w:t>我会副会长单位——</w:t>
      </w:r>
      <w:r>
        <w:rPr>
          <w:rFonts w:hint="default" w:ascii="Times New Roman" w:hAnsi="Times New Roman" w:eastAsiaTheme="minorEastAsia" w:cstheme="minorEastAsia"/>
          <w:i w:val="0"/>
          <w:caps w:val="0"/>
          <w:color w:val="000000"/>
          <w:spacing w:val="0"/>
          <w:sz w:val="32"/>
          <w:szCs w:val="32"/>
          <w:lang w:val="en-US" w:eastAsia="zh-CN"/>
        </w:rPr>
        <w:t>江苏银行股份有限公司党委书记、董事长、行长葛仁余信心满满。</w:t>
      </w:r>
    </w:p>
    <w:p>
      <w:pPr>
        <w:keepNext w:val="0"/>
        <w:keepLines w:val="0"/>
        <w:pageBreakBefore w:val="0"/>
        <w:widowControl w:val="0"/>
        <w:kinsoku/>
        <w:wordWrap/>
        <w:overflowPunct/>
        <w:topLinePunct w:val="0"/>
        <w:autoSpaceDE/>
        <w:autoSpaceDN/>
        <w:bidi w:val="0"/>
        <w:adjustRightInd/>
        <w:snapToGrid/>
        <w:spacing w:line="240" w:lineRule="auto"/>
        <w:ind w:firstLine="608" w:firstLineChars="200"/>
        <w:textAlignment w:val="auto"/>
        <w:outlineLvl w:val="9"/>
        <w:rPr>
          <w:rFonts w:hint="default" w:ascii="Times New Roman" w:hAnsi="Times New Roman" w:eastAsiaTheme="minorEastAsia" w:cstheme="minorEastAsia"/>
          <w:i w:val="0"/>
          <w:caps w:val="0"/>
          <w:color w:val="000000"/>
          <w:spacing w:val="0"/>
          <w:sz w:val="32"/>
          <w:szCs w:val="32"/>
          <w:lang w:val="en-US" w:eastAsia="zh-CN"/>
        </w:rPr>
      </w:pPr>
      <w:r>
        <w:rPr>
          <w:rFonts w:hint="default" w:ascii="Times New Roman" w:hAnsi="Times New Roman" w:eastAsiaTheme="minorEastAsia" w:cstheme="minorEastAsia"/>
          <w:i w:val="0"/>
          <w:caps w:val="0"/>
          <w:color w:val="000000"/>
          <w:spacing w:val="0"/>
          <w:sz w:val="32"/>
          <w:szCs w:val="32"/>
          <w:lang w:val="en-US" w:eastAsia="zh-CN"/>
        </w:rPr>
        <w:t>葛仁余表示，在因地制宜发展新质生产力上，江苏银行坚持立足江苏资源禀赋、产业基础、科研条件等，统筹推进传统产业升级、新兴产业壮大、未来产业培育等领域金融服务，助力构建以先进制造业为骨干的现代化产业体系。通过强机制、建渠道、画地图，着力打造“集群—产业—行业—区域—客户”系统拓客模式，服务链主领航、单项冠军、专精特新等产业链白名单企业，在金融服务高水平科技自立自强中推动科技创新和产业创新深度融合，助力江苏加快打造具有国际竞争力的战略性新兴产业集群，赋能产业高端化、智能化、绿色化发展。</w:t>
      </w:r>
    </w:p>
    <w:p>
      <w:pPr>
        <w:keepNext w:val="0"/>
        <w:keepLines w:val="0"/>
        <w:pageBreakBefore w:val="0"/>
        <w:widowControl w:val="0"/>
        <w:kinsoku/>
        <w:wordWrap/>
        <w:overflowPunct/>
        <w:topLinePunct w:val="0"/>
        <w:autoSpaceDE/>
        <w:autoSpaceDN/>
        <w:bidi w:val="0"/>
        <w:adjustRightInd/>
        <w:snapToGrid/>
        <w:spacing w:line="240" w:lineRule="auto"/>
        <w:ind w:firstLine="608" w:firstLineChars="200"/>
        <w:textAlignment w:val="auto"/>
        <w:outlineLvl w:val="9"/>
        <w:rPr>
          <w:rFonts w:hint="default" w:ascii="Times New Roman" w:hAnsi="Times New Roman" w:eastAsiaTheme="minorEastAsia" w:cstheme="minorEastAsia"/>
          <w:i w:val="0"/>
          <w:caps w:val="0"/>
          <w:color w:val="000000"/>
          <w:spacing w:val="0"/>
          <w:sz w:val="32"/>
          <w:szCs w:val="32"/>
          <w:lang w:val="en-US" w:eastAsia="zh-CN"/>
        </w:rPr>
      </w:pPr>
      <w:r>
        <w:rPr>
          <w:rFonts w:hint="default" w:ascii="Times New Roman" w:hAnsi="Times New Roman" w:eastAsiaTheme="minorEastAsia" w:cstheme="minorEastAsia"/>
          <w:i w:val="0"/>
          <w:caps w:val="0"/>
          <w:color w:val="000000"/>
          <w:spacing w:val="0"/>
          <w:sz w:val="32"/>
          <w:szCs w:val="32"/>
          <w:lang w:val="en-US" w:eastAsia="zh-CN"/>
        </w:rPr>
        <w:t>在贯彻落实“积极促进区域协调发展，不断提升发展的辐射带动力”方面，该行助力江苏联动推进长江经济带、长三角一体化发展。持续创新金融服务模式，聚力支持长三角一体化发展，不断强化绿色生态建设、科创人才发展、打造产业金融服务特色等重点领域资金支持，为加快构建新发展格局注入金融动能。</w:t>
      </w:r>
    </w:p>
    <w:p>
      <w:pPr>
        <w:keepNext w:val="0"/>
        <w:keepLines w:val="0"/>
        <w:pageBreakBefore w:val="0"/>
        <w:widowControl w:val="0"/>
        <w:kinsoku/>
        <w:wordWrap/>
        <w:overflowPunct/>
        <w:topLinePunct w:val="0"/>
        <w:autoSpaceDE/>
        <w:autoSpaceDN/>
        <w:bidi w:val="0"/>
        <w:adjustRightInd/>
        <w:snapToGrid/>
        <w:spacing w:line="240" w:lineRule="auto"/>
        <w:ind w:firstLine="608" w:firstLineChars="200"/>
        <w:textAlignment w:val="auto"/>
        <w:outlineLvl w:val="9"/>
        <w:rPr>
          <w:rFonts w:hint="default" w:ascii="Times New Roman" w:hAnsi="Times New Roman" w:eastAsiaTheme="minorEastAsia" w:cstheme="minorEastAsia"/>
          <w:i w:val="0"/>
          <w:caps w:val="0"/>
          <w:color w:val="000000"/>
          <w:spacing w:val="0"/>
          <w:sz w:val="32"/>
          <w:szCs w:val="32"/>
          <w:lang w:val="en-US" w:eastAsia="zh-CN"/>
        </w:rPr>
      </w:pPr>
      <w:r>
        <w:rPr>
          <w:rFonts w:hint="default" w:ascii="Times New Roman" w:hAnsi="Times New Roman" w:eastAsiaTheme="minorEastAsia" w:cstheme="minorEastAsia"/>
          <w:i w:val="0"/>
          <w:caps w:val="0"/>
          <w:color w:val="000000"/>
          <w:spacing w:val="0"/>
          <w:sz w:val="32"/>
          <w:szCs w:val="32"/>
          <w:lang w:val="en-US" w:eastAsia="zh-CN"/>
        </w:rPr>
        <w:t>围绕“全面深化改革开放，持续增强发展的内生动力和活力”，江苏银行聚焦支持自贸区建设、“一带一路”倡议、跨境贸易新业态发展等，持续提升跨境金融服务水平，助力优化外贸营商环境，为服务国家高水平对外开放和稳外贸稳外资持续贡献力量，助力江苏建设市场化、法治化、国际化一流营商环境。</w:t>
      </w:r>
    </w:p>
    <w:p>
      <w:pPr>
        <w:keepNext w:val="0"/>
        <w:keepLines w:val="0"/>
        <w:pageBreakBefore w:val="0"/>
        <w:widowControl w:val="0"/>
        <w:kinsoku/>
        <w:wordWrap/>
        <w:overflowPunct/>
        <w:topLinePunct w:val="0"/>
        <w:autoSpaceDE/>
        <w:autoSpaceDN/>
        <w:bidi w:val="0"/>
        <w:adjustRightInd/>
        <w:snapToGrid/>
        <w:spacing w:line="240" w:lineRule="auto"/>
        <w:ind w:firstLine="608" w:firstLineChars="200"/>
        <w:textAlignment w:val="auto"/>
        <w:outlineLvl w:val="9"/>
        <w:rPr>
          <w:rFonts w:hint="eastAsia" w:ascii="Times New Roman" w:hAnsi="Times New Roman" w:eastAsia="华文新魏" w:cs="Times New Roman"/>
          <w:b/>
          <w:bCs w:val="0"/>
          <w:color w:val="FF0000"/>
          <w:spacing w:val="28"/>
          <w:kern w:val="36"/>
          <w:sz w:val="52"/>
          <w:szCs w:val="52"/>
          <w:lang w:val="en-US" w:eastAsia="zh-CN" w:bidi="ar-SA"/>
        </w:rPr>
      </w:pPr>
      <w:r>
        <w:rPr>
          <w:rFonts w:hint="default" w:ascii="Times New Roman" w:hAnsi="Times New Roman" w:eastAsiaTheme="minorEastAsia" w:cstheme="minorEastAsia"/>
          <w:i w:val="0"/>
          <w:caps w:val="0"/>
          <w:color w:val="000000"/>
          <w:spacing w:val="0"/>
          <w:sz w:val="32"/>
          <w:szCs w:val="32"/>
          <w:lang w:val="en-US" w:eastAsia="zh-CN"/>
        </w:rPr>
        <w:t>下一步，江苏银行将坚持以高质量金融服务助推江苏发展新质生产力，为构建新发展格局、推动高质量发展贡献金融力量。不断厚植优质客群，塑造特色业务品牌，推动实现金融服务链与供应链、产业链、创新链的深度融合，助力江苏成为发展新质生产力的重要阵地。</w:t>
      </w:r>
      <w:r>
        <w:rPr>
          <w:rFonts w:hint="eastAsia" w:ascii="Times New Roman" w:hAnsi="Times New Roman" w:cstheme="minorEastAsia"/>
          <w:i w:val="0"/>
          <w:caps w:val="0"/>
          <w:color w:val="000000"/>
          <w:spacing w:val="0"/>
          <w:sz w:val="32"/>
          <w:szCs w:val="32"/>
          <w:lang w:val="en-US" w:eastAsia="zh-CN"/>
        </w:rPr>
        <w:t xml:space="preserve">                              </w:t>
      </w:r>
      <w:r>
        <w:rPr>
          <w:rFonts w:hint="default" w:ascii="方正楷体_GBK" w:hAnsi="方正楷体_GBK" w:eastAsia="方正楷体_GBK" w:cs="方正楷体_GBK"/>
          <w:b/>
          <w:bCs/>
          <w:color w:val="FF0000"/>
          <w:kern w:val="2"/>
          <w:sz w:val="32"/>
          <w:szCs w:val="32"/>
          <w:lang w:val="en-US" w:eastAsia="zh-CN" w:bidi="ar-SA"/>
        </w:rPr>
        <w:t>（来源：</w:t>
      </w:r>
      <w:r>
        <w:rPr>
          <w:rFonts w:hint="eastAsia" w:ascii="方正楷体_GBK" w:hAnsi="方正楷体_GBK" w:eastAsia="方正楷体_GBK" w:cs="方正楷体_GBK"/>
          <w:b/>
          <w:bCs/>
          <w:color w:val="FF0000"/>
          <w:kern w:val="2"/>
          <w:sz w:val="32"/>
          <w:szCs w:val="32"/>
          <w:lang w:val="en-US" w:eastAsia="zh-CN" w:bidi="ar-SA"/>
        </w:rPr>
        <w:t>新华日报</w:t>
      </w:r>
      <w:r>
        <w:rPr>
          <w:rFonts w:hint="default" w:ascii="方正楷体_GBK" w:hAnsi="方正楷体_GBK" w:eastAsia="方正楷体_GBK" w:cs="方正楷体_GBK"/>
          <w:b/>
          <w:bCs/>
          <w:color w:val="FF0000"/>
          <w:kern w:val="2"/>
          <w:sz w:val="32"/>
          <w:szCs w:val="32"/>
          <w:lang w:val="en-US" w:eastAsia="zh-CN" w:bidi="ar-SA"/>
        </w:rPr>
        <w:t xml:space="preserve">）  </w:t>
      </w:r>
      <w:r>
        <w:rPr>
          <w:rFonts w:hint="default" w:ascii="Times New Roman" w:hAnsi="Times New Roman" w:cs="Times New Roman"/>
          <w:sz w:val="32"/>
          <w:szCs w:val="32"/>
          <w:lang w:val="en-US" w:eastAsia="zh-CN"/>
        </w:rPr>
        <w:t xml:space="preserve">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700" w:lineRule="exact"/>
        <w:ind w:right="0"/>
        <w:jc w:val="center"/>
        <w:textAlignment w:val="auto"/>
        <w:outlineLvl w:val="0"/>
        <w:rPr>
          <w:rFonts w:hint="eastAsia" w:ascii="Times New Roman" w:hAnsi="Times New Roman" w:eastAsia="华文新魏" w:cs="Times New Roman"/>
          <w:b/>
          <w:color w:val="FF0000"/>
          <w:spacing w:val="0"/>
          <w:kern w:val="36"/>
          <w:sz w:val="52"/>
          <w:szCs w:val="52"/>
          <w:lang w:val="en-US" w:eastAsia="zh-CN" w:bidi="ar-SA"/>
        </w:rPr>
      </w:pPr>
      <w:r>
        <w:rPr>
          <w:rFonts w:hint="eastAsia" w:ascii="Times New Roman" w:hAnsi="Times New Roman" w:eastAsia="华文新魏" w:cs="Times New Roman"/>
          <w:b/>
          <w:color w:val="FF0000"/>
          <w:spacing w:val="0"/>
          <w:kern w:val="36"/>
          <w:sz w:val="52"/>
          <w:szCs w:val="52"/>
          <w:lang w:val="en-US" w:eastAsia="zh-CN" w:bidi="ar-SA"/>
        </w:rPr>
        <w:t>瑞祥全球购超市有限公司荣获镇江市2023年度“消费维权先进集体”称号</w:t>
      </w:r>
    </w:p>
    <w:p>
      <w:pPr>
        <w:keepNext w:val="0"/>
        <w:keepLines w:val="0"/>
        <w:pageBreakBefore w:val="0"/>
        <w:widowControl w:val="0"/>
        <w:kinsoku/>
        <w:wordWrap/>
        <w:overflowPunct/>
        <w:topLinePunct w:val="0"/>
        <w:autoSpaceDE/>
        <w:autoSpaceDN/>
        <w:bidi w:val="0"/>
        <w:adjustRightInd/>
        <w:snapToGrid/>
        <w:spacing w:line="240" w:lineRule="auto"/>
        <w:ind w:firstLine="608" w:firstLineChars="200"/>
        <w:textAlignment w:val="auto"/>
        <w:outlineLvl w:val="9"/>
        <w:rPr>
          <w:rFonts w:hint="eastAsia" w:ascii="Times New Roman" w:hAnsi="Times New Roman" w:eastAsiaTheme="minorEastAsia" w:cstheme="minorEastAsia"/>
          <w:i w:val="0"/>
          <w:caps w:val="0"/>
          <w:color w:val="000000"/>
          <w:spacing w:val="0"/>
          <w:sz w:val="32"/>
          <w:szCs w:val="32"/>
          <w:lang w:val="en-US" w:eastAsia="zh-CN"/>
        </w:rPr>
      </w:pPr>
      <w:r>
        <w:rPr>
          <w:rFonts w:hint="eastAsia" w:ascii="Times New Roman" w:hAnsi="Times New Roman" w:eastAsiaTheme="minorEastAsia" w:cstheme="minorEastAsia"/>
          <w:i w:val="0"/>
          <w:caps w:val="0"/>
          <w:color w:val="000000"/>
          <w:spacing w:val="0"/>
          <w:sz w:val="32"/>
          <w:szCs w:val="32"/>
          <w:lang w:val="en-US" w:eastAsia="zh-CN"/>
        </w:rPr>
        <w:t>近日，镇江市2024年“3·15”国际消费者权益日主题活动启动仪式暨消费维权重点工作部署会开幕，会上发布镇江市2023年度“消费维权先进集体”等名单，并为获奖单位授牌，我会理事单位——瑞祥全球购超市有限公司荣获镇江市2023年度“消费维权先进集体”称号。瑞祥已连续多年荣获该奖项，这是对瑞祥在消费者权益保护方面所做出积极贡献的肯定，更进一步体现了瑞祥卓越的服务质量和对消费者权益的高度重视。</w:t>
      </w:r>
    </w:p>
    <w:p>
      <w:pPr>
        <w:keepNext w:val="0"/>
        <w:keepLines w:val="0"/>
        <w:pageBreakBefore w:val="0"/>
        <w:widowControl w:val="0"/>
        <w:kinsoku/>
        <w:wordWrap/>
        <w:overflowPunct/>
        <w:topLinePunct w:val="0"/>
        <w:autoSpaceDE/>
        <w:autoSpaceDN/>
        <w:bidi w:val="0"/>
        <w:adjustRightInd/>
        <w:snapToGrid/>
        <w:spacing w:line="240" w:lineRule="auto"/>
        <w:ind w:firstLine="608" w:firstLineChars="200"/>
        <w:textAlignment w:val="auto"/>
        <w:outlineLvl w:val="9"/>
        <w:rPr>
          <w:rFonts w:hint="eastAsia" w:ascii="Times New Roman" w:hAnsi="Times New Roman" w:eastAsiaTheme="minorEastAsia" w:cstheme="minorEastAsia"/>
          <w:i w:val="0"/>
          <w:caps w:val="0"/>
          <w:color w:val="000000"/>
          <w:spacing w:val="0"/>
          <w:sz w:val="32"/>
          <w:szCs w:val="32"/>
          <w:lang w:val="en-US" w:eastAsia="zh-CN"/>
        </w:rPr>
      </w:pPr>
      <w:r>
        <w:rPr>
          <w:rFonts w:hint="eastAsia" w:ascii="Times New Roman" w:hAnsi="Times New Roman" w:eastAsiaTheme="minorEastAsia" w:cstheme="minorEastAsia"/>
          <w:i w:val="0"/>
          <w:caps w:val="0"/>
          <w:color w:val="000000"/>
          <w:spacing w:val="0"/>
          <w:sz w:val="32"/>
          <w:szCs w:val="32"/>
          <w:lang w:val="en-US" w:eastAsia="zh-CN"/>
        </w:rPr>
        <w:t>瑞祥全球购超市有限公司坚持服务和经营共进，不断完善企业合规文化，规范投诉处理流程，建立健全公开透明、高效务实的消费者权益保护制度。瑞祥一站式福利发放体验和不断提升的服务品质，全面满足消费者的多样化需求，为消费者打造了安全、舒适、便捷的购物环境，赢得了消费者的广泛赞誉和信赖。</w:t>
      </w:r>
    </w:p>
    <w:p>
      <w:pPr>
        <w:keepNext w:val="0"/>
        <w:keepLines w:val="0"/>
        <w:pageBreakBefore w:val="0"/>
        <w:widowControl/>
        <w:shd w:val="clear" w:color="auto" w:fill="FFFFFF"/>
        <w:kinsoku/>
        <w:wordWrap/>
        <w:overflowPunct/>
        <w:topLinePunct w:val="0"/>
        <w:autoSpaceDE/>
        <w:autoSpaceDN/>
        <w:bidi w:val="0"/>
        <w:adjustRightInd/>
        <w:snapToGrid/>
        <w:spacing w:after="210" w:line="580" w:lineRule="exact"/>
        <w:ind w:firstLine="3648" w:firstLineChars="1200"/>
        <w:contextualSpacing/>
        <w:jc w:val="left"/>
        <w:textAlignment w:val="auto"/>
        <w:outlineLvl w:val="1"/>
        <w:rPr>
          <w:rFonts w:hint="default" w:ascii="方正楷体_GBK" w:hAnsi="方正楷体_GBK" w:eastAsia="方正楷体_GBK" w:cs="方正楷体_GBK"/>
          <w:b/>
          <w:bCs/>
          <w:color w:val="FF0000"/>
          <w:sz w:val="32"/>
          <w:szCs w:val="32"/>
          <w:lang w:val="en-US" w:eastAsia="zh-CN"/>
        </w:rPr>
      </w:pPr>
      <w:r>
        <w:rPr>
          <w:rFonts w:hint="default" w:ascii="方正楷体_GBK" w:hAnsi="方正楷体_GBK" w:eastAsia="方正楷体_GBK" w:cs="方正楷体_GBK"/>
          <w:b/>
          <w:bCs/>
          <w:color w:val="FF0000"/>
          <w:sz w:val="32"/>
          <w:szCs w:val="32"/>
          <w:lang w:val="en-US" w:eastAsia="zh-CN"/>
        </w:rPr>
        <w:t>（来源：</w:t>
      </w:r>
      <w:r>
        <w:rPr>
          <w:rFonts w:hint="eastAsia" w:ascii="方正楷体_GBK" w:hAnsi="方正楷体_GBK" w:eastAsia="方正楷体_GBK" w:cs="方正楷体_GBK"/>
          <w:b/>
          <w:bCs/>
          <w:color w:val="FF0000"/>
          <w:sz w:val="32"/>
          <w:szCs w:val="32"/>
          <w:lang w:val="en-US" w:eastAsia="zh-CN"/>
        </w:rPr>
        <w:t>瑞祥科技集团微信公众号</w:t>
      </w:r>
      <w:r>
        <w:rPr>
          <w:rFonts w:hint="default" w:ascii="方正楷体_GBK" w:hAnsi="方正楷体_GBK" w:eastAsia="方正楷体_GBK" w:cs="方正楷体_GBK"/>
          <w:b/>
          <w:bCs/>
          <w:color w:val="FF0000"/>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240" w:lineRule="auto"/>
        <w:ind w:firstLine="608" w:firstLineChars="200"/>
        <w:textAlignment w:val="auto"/>
        <w:outlineLvl w:val="9"/>
        <w:rPr>
          <w:rFonts w:hint="eastAsia" w:ascii="Times New Roman" w:hAnsi="Times New Roman" w:eastAsiaTheme="minorEastAsia" w:cstheme="minorEastAsia"/>
          <w:i w:val="0"/>
          <w:caps w:val="0"/>
          <w:color w:val="000000"/>
          <w:spacing w:val="0"/>
          <w:sz w:val="32"/>
          <w:szCs w:val="32"/>
          <w:lang w:val="en-US" w:eastAsia="zh-CN"/>
        </w:rPr>
      </w:pPr>
    </w:p>
    <w:p>
      <w:pPr>
        <w:keepNext w:val="0"/>
        <w:keepLines w:val="0"/>
        <w:pageBreakBefore w:val="0"/>
        <w:widowControl/>
        <w:shd w:val="clear" w:color="auto" w:fill="FFFFFF"/>
        <w:kinsoku/>
        <w:wordWrap/>
        <w:overflowPunct/>
        <w:topLinePunct w:val="0"/>
        <w:autoSpaceDE/>
        <w:autoSpaceDN/>
        <w:bidi w:val="0"/>
        <w:adjustRightInd/>
        <w:snapToGrid/>
        <w:spacing w:after="210" w:line="580" w:lineRule="exact"/>
        <w:ind w:firstLine="4256" w:firstLineChars="1400"/>
        <w:contextualSpacing/>
        <w:jc w:val="left"/>
        <w:textAlignment w:val="auto"/>
        <w:outlineLvl w:val="1"/>
        <w:rPr>
          <w:rFonts w:hint="default" w:ascii="方正楷体_GBK" w:hAnsi="方正楷体_GBK" w:eastAsia="方正楷体_GBK" w:cs="方正楷体_GBK"/>
          <w:b/>
          <w:bCs/>
          <w:color w:val="FF0000"/>
          <w:sz w:val="32"/>
          <w:szCs w:val="32"/>
          <w:lang w:val="en-US" w:eastAsia="zh-CN"/>
        </w:rPr>
      </w:pP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after="210" w:line="240" w:lineRule="exact"/>
        <w:contextualSpacing/>
        <w:jc w:val="center"/>
        <w:textAlignment w:val="auto"/>
        <w:outlineLvl w:val="1"/>
        <w:rPr>
          <w:rFonts w:hint="default" w:ascii="Times New Roman" w:hAnsi="Times New Roman" w:eastAsia="华文新魏" w:cs="Times New Roman"/>
          <w:b/>
          <w:color w:val="FF0000"/>
          <w:spacing w:val="0"/>
          <w:kern w:val="36"/>
          <w:sz w:val="52"/>
          <w:szCs w:val="52"/>
          <w:lang w:val="en-US" w:eastAsia="zh-CN"/>
        </w:rPr>
      </w:pPr>
    </w:p>
    <w:sectPr>
      <w:footerReference r:id="rId4" w:type="default"/>
      <w:pgSz w:w="11906" w:h="16838"/>
      <w:pgMar w:top="2098" w:right="1474" w:bottom="1984" w:left="1587" w:header="1417" w:footer="992" w:gutter="0"/>
      <w:pgBorders>
        <w:top w:val="single" w:color="F82206" w:sz="48" w:space="1"/>
        <w:left w:val="single" w:color="F82206" w:sz="48" w:space="4"/>
        <w:bottom w:val="single" w:color="F82206" w:sz="48" w:space="1"/>
        <w:right w:val="single" w:color="F82206" w:sz="48" w:space="4"/>
      </w:pgBorders>
      <w:pgNumType w:fmt="decimal" w:start="1"/>
      <w:cols w:space="425" w:num="1"/>
      <w:docGrid w:type="linesAndChars" w:linePitch="290" w:charSpace="-34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onsolas">
    <w:panose1 w:val="020B0609020204030204"/>
    <w:charset w:val="00"/>
    <w:family w:val="auto"/>
    <w:pitch w:val="default"/>
    <w:sig w:usb0="E00006FF" w:usb1="0000FCFF" w:usb2="00000001" w:usb3="00000000" w:csb0="6000019F" w:csb1="DFD70000"/>
  </w:font>
  <w:font w:name="经典行楷简">
    <w:panose1 w:val="02010609000101010101"/>
    <w:charset w:val="86"/>
    <w:family w:val="auto"/>
    <w:pitch w:val="default"/>
    <w:sig w:usb0="A1007AEF" w:usb1="F9DF7CFB" w:usb2="0000001E" w:usb3="00000000" w:csb0="20040000" w:csb1="00000000"/>
  </w:font>
  <w:font w:name="方正楷体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方正魏碑简体">
    <w:altName w:val="微软雅黑"/>
    <w:panose1 w:val="02010601030101010101"/>
    <w:charset w:val="86"/>
    <w:family w:val="auto"/>
    <w:pitch w:val="default"/>
    <w:sig w:usb0="00000000" w:usb1="00000000" w:usb2="00000000" w:usb3="00000000" w:csb0="00040000" w:csb1="00000000"/>
  </w:font>
  <w:font w:name="仿宋_GB2312">
    <w:altName w:val="仿宋"/>
    <w:panose1 w:val="00000000000000000000"/>
    <w:charset w:val="00"/>
    <w:family w:val="auto"/>
    <w:pitch w:val="default"/>
    <w:sig w:usb0="00000000" w:usb1="00000000" w:usb2="00000000" w:usb3="00000000" w:csb0="00000000" w:csb1="00000000"/>
  </w:font>
  <w:font w:name="华文新魏">
    <w:panose1 w:val="02010800040101010101"/>
    <w:charset w:val="86"/>
    <w:family w:val="auto"/>
    <w:pitch w:val="default"/>
    <w:sig w:usb0="00000001" w:usb1="080F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 w:name="方正仿宋_GBK">
    <w:panose1 w:val="03000509000000000000"/>
    <w:charset w:val="86"/>
    <w:family w:val="auto"/>
    <w:pitch w:val="default"/>
    <w:sig w:usb0="00000001" w:usb1="080E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icon-dev">
    <w:altName w:val="Segoe Print"/>
    <w:panose1 w:val="00000000000000000000"/>
    <w:charset w:val="00"/>
    <w:family w:val="auto"/>
    <w:pitch w:val="default"/>
    <w:sig w:usb0="00000000" w:usb1="00000000" w:usb2="00000000" w:usb3="00000000" w:csb0="00000000" w:csb1="00000000"/>
  </w:font>
  <w:font w:name="anticon">
    <w:altName w:val="Segoe Print"/>
    <w:panose1 w:val="00000000000000000000"/>
    <w:charset w:val="00"/>
    <w:family w:val="auto"/>
    <w:pitch w:val="default"/>
    <w:sig w:usb0="00000000" w:usb1="00000000" w:usb2="00000000" w:usb3="00000000" w:csb0="00000000" w:csb1="00000000"/>
  </w:font>
  <w:font w:name="menu">
    <w:altName w:val="Segoe Print"/>
    <w:panose1 w:val="00000000000000000000"/>
    <w:charset w:val="00"/>
    <w:family w:val="auto"/>
    <w:pitch w:val="default"/>
    <w:sig w:usb0="00000000" w:usb1="00000000" w:usb2="00000000" w:usb3="00000000" w:csb0="00000000" w:csb1="00000000"/>
  </w:font>
  <w:font w:name="icon-coms">
    <w:altName w:val="Segoe Print"/>
    <w:panose1 w:val="00000000000000000000"/>
    <w:charset w:val="00"/>
    <w:family w:val="auto"/>
    <w:pitch w:val="default"/>
    <w:sig w:usb0="00000000" w:usb1="00000000" w:usb2="00000000" w:usb3="00000000" w:csb0="00000000" w:csb1="00000000"/>
  </w:font>
  <w:font w:name="icon-doc">
    <w:altName w:val="Segoe Print"/>
    <w:panose1 w:val="00000000000000000000"/>
    <w:charset w:val="00"/>
    <w:family w:val="auto"/>
    <w:pitch w:val="default"/>
    <w:sig w:usb0="00000000" w:usb1="00000000" w:usb2="00000000" w:usb3="00000000" w:csb0="00000000" w:csb1="00000000"/>
  </w:font>
  <w:font w:name="icon-portal">
    <w:altName w:val="Segoe Print"/>
    <w:panose1 w:val="00000000000000000000"/>
    <w:charset w:val="00"/>
    <w:family w:val="auto"/>
    <w:pitch w:val="default"/>
    <w:sig w:usb0="00000000" w:usb1="00000000" w:usb2="00000000" w:usb3="00000000" w:csb0="00000000" w:csb1="00000000"/>
  </w:font>
  <w:font w:name="icon-coms02">
    <w:altName w:val="Segoe Print"/>
    <w:panose1 w:val="00000000000000000000"/>
    <w:charset w:val="00"/>
    <w:family w:val="auto"/>
    <w:pitch w:val="default"/>
    <w:sig w:usb0="00000000" w:usb1="00000000" w:usb2="00000000" w:usb3="00000000" w:csb0="00000000" w:csb1="00000000"/>
  </w:font>
  <w:font w:name="Icon-coms03">
    <w:altName w:val="Segoe Print"/>
    <w:panose1 w:val="00000000000000000000"/>
    <w:charset w:val="00"/>
    <w:family w:val="auto"/>
    <w:pitch w:val="default"/>
    <w:sig w:usb0="00000000" w:usb1="00000000" w:usb2="00000000" w:usb3="00000000" w:csb0="00000000" w:csb1="00000000"/>
  </w:font>
  <w:font w:name="wevicon">
    <w:altName w:val="Segoe Print"/>
    <w:panose1 w:val="00000000000000000000"/>
    <w:charset w:val="00"/>
    <w:family w:val="auto"/>
    <w:pitch w:val="default"/>
    <w:sig w:usb0="00000000" w:usb1="00000000" w:usb2="00000000" w:usb3="00000000" w:csb0="00000000" w:csb1="00000000"/>
  </w:font>
  <w:font w:name="icon-menu">
    <w:altName w:val="Segoe Print"/>
    <w:panose1 w:val="00000000000000000000"/>
    <w:charset w:val="00"/>
    <w:family w:val="auto"/>
    <w:pitch w:val="default"/>
    <w:sig w:usb0="00000000" w:usb1="00000000" w:usb2="00000000" w:usb3="00000000" w:csb0="00000000" w:csb1="00000000"/>
  </w:font>
  <w:font w:name="slick">
    <w:altName w:val="Segoe Print"/>
    <w:panose1 w:val="00000000000000000000"/>
    <w:charset w:val="00"/>
    <w:family w:val="auto"/>
    <w:pitch w:val="default"/>
    <w:sig w:usb0="00000000" w:usb1="00000000" w:usb2="00000000" w:usb3="00000000" w:csb0="00000000" w:csb1="00000000"/>
  </w:font>
  <w:font w:name="FontAwesom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Helvetica">
    <w:altName w:val="Arial"/>
    <w:panose1 w:val="00000000000000000000"/>
    <w:charset w:val="00"/>
    <w:family w:val="auto"/>
    <w:pitch w:val="default"/>
    <w:sig w:usb0="00000000" w:usb1="00000000" w:usb2="00000000" w:usb3="00000000" w:csb0="00000000" w:csb1="00000000"/>
  </w:font>
  <w:font w:name="Arial">
    <w:panose1 w:val="020B0604020202020204"/>
    <w:charset w:val="00"/>
    <w:family w:val="auto"/>
    <w:pitch w:val="default"/>
    <w:sig w:usb0="E0002EFF" w:usb1="C000785B" w:usb2="00000009" w:usb3="00000000" w:csb0="400001FF" w:csb1="FFFF0000"/>
  </w:font>
  <w:font w:name="Microsoft YaHei UI">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tabs>
        <w:tab w:val="center" w:pos="4153"/>
        <w:tab w:val="right" w:pos="8306"/>
      </w:tabs>
      <w:snapToGrid w:val="0"/>
      <w:jc w:val="center"/>
      <w:rPr>
        <w:rFonts w:ascii="Calibri" w:hAnsi="Calibri" w:eastAsia="宋体" w:cs="Times New Roman"/>
        <w:kern w:val="2"/>
        <w:sz w:val="18"/>
        <w:szCs w:val="18"/>
        <w:lang w:val="en-US" w:eastAsia="zh-CN" w:bidi="ar-SA"/>
      </w:rPr>
    </w:pPr>
  </w:p>
  <w:p>
    <w:pPr>
      <w:widowControl w:val="0"/>
      <w:tabs>
        <w:tab w:val="center" w:pos="4153"/>
        <w:tab w:val="right" w:pos="8306"/>
      </w:tabs>
      <w:snapToGrid w:val="0"/>
      <w:jc w:val="left"/>
      <w:rPr>
        <w:rFonts w:ascii="Calibri" w:hAnsi="Calibri" w:eastAsia="宋体" w:cs="Times New Roman"/>
        <w:kern w:val="2"/>
        <w:sz w:val="18"/>
        <w:szCs w:val="18"/>
        <w:lang w:val="en-US" w:eastAsia="zh-CN" w:bidi="ar-S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tabs>
        <w:tab w:val="center" w:pos="4153"/>
        <w:tab w:val="right" w:pos="8306"/>
      </w:tabs>
      <w:snapToGrid w:val="0"/>
      <w:jc w:val="center"/>
      <w:rPr>
        <w:rFonts w:ascii="Calibri" w:hAnsi="Calibri" w:eastAsia="宋体" w:cs="Times New Roman"/>
        <w:kern w:val="2"/>
        <w:sz w:val="18"/>
        <w:szCs w:val="18"/>
        <w:lang w:val="en-US" w:eastAsia="zh-CN" w:bidi="ar-SA"/>
      </w:rPr>
    </w:pPr>
    <w:r>
      <w:rPr>
        <w:rFonts w:ascii="Calibri" w:hAnsi="Calibri" w:eastAsia="宋体" w:cs="Times New Roman"/>
        <w:kern w:val="2"/>
        <w:sz w:val="18"/>
        <w:szCs w:val="18"/>
        <w:lang w:val="en-US" w:eastAsia="zh-CN" w:bidi="ar-SA"/>
      </w:rPr>
      <mc:AlternateContent>
        <mc:Choice Requires="wps">
          <w:drawing>
            <wp:anchor distT="0" distB="0" distL="114300" distR="114300" simplePos="0" relativeHeight="251659264" behindDoc="0" locked="0" layoutInCell="1" allowOverlap="1">
              <wp:simplePos x="0" y="0"/>
              <wp:positionH relativeFrom="margin">
                <wp:posOffset>0</wp:posOffset>
              </wp:positionH>
              <wp:positionV relativeFrom="paragraph">
                <wp:posOffset>-235585</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widowControl w:val="0"/>
                            <w:tabs>
                              <w:tab w:val="center" w:pos="4153"/>
                              <w:tab w:val="right" w:pos="8306"/>
                            </w:tabs>
                            <w:snapToGrid w:val="0"/>
                            <w:jc w:val="left"/>
                            <w:rPr>
                              <w:rFonts w:ascii="Calibri" w:hAnsi="Calibri" w:eastAsia="宋体" w:cs="Times New Roman"/>
                              <w:kern w:val="2"/>
                              <w:sz w:val="18"/>
                              <w:szCs w:val="18"/>
                              <w:highlight w:val="yellow"/>
                              <w:lang w:val="en-US" w:eastAsia="zh-CN" w:bidi="ar-SA"/>
                            </w:rPr>
                          </w:pPr>
                          <w:r>
                            <w:rPr>
                              <w:rFonts w:hint="default" w:ascii="Times New Roman" w:hAnsi="Times New Roman" w:eastAsia="宋体" w:cs="Times New Roman"/>
                              <w:color w:val="F7CAAC" w:themeColor="accent2" w:themeTint="66"/>
                              <w:kern w:val="2"/>
                              <w:sz w:val="32"/>
                              <w:szCs w:val="32"/>
                              <w:highlight w:val="yellow"/>
                              <w:lang w:val="en-US" w:eastAsia="zh-CN" w:bidi="ar-SA"/>
                              <w14:glow w14:rad="0">
                                <w14:srgbClr w14:val="000000"/>
                              </w14:glow>
                              <w14:shadow w14:blurRad="0" w14:dist="0" w14:dir="0" w14:sx="0" w14:sy="0" w14:kx="0" w14:ky="0" w14:algn="none">
                                <w14:srgbClr w14:val="000000"/>
                              </w14:shadow>
                              <w14:reflection w14:blurRad="6350" w14:stA="53000" w14:stPos="0" w14:endA="300" w14:endPos="35500" w14:dist="0" w14:dir="5400000" w14:fadeDir="5400000" w14:sx="100000" w14:sy="-90000" w14:kx="0" w14:algn="bl"/>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gradFill>
                              </w14:textFill>
                              <w14:props3d w14:extrusionH="0" w14:contourW="0" w14:prstMaterial="clear"/>
                            </w:rPr>
                            <w:t xml:space="preserve">— </w:t>
                          </w:r>
                          <w:r>
                            <w:rPr>
                              <w:rFonts w:hint="default" w:ascii="Times New Roman" w:hAnsi="Times New Roman" w:eastAsia="宋体" w:cs="Times New Roman"/>
                              <w:b w:val="0"/>
                              <w:bCs w:val="0"/>
                              <w:color w:val="FFFFFF"/>
                              <w:kern w:val="2"/>
                              <w:sz w:val="32"/>
                              <w:szCs w:val="32"/>
                              <w:highlight w:val="yellow"/>
                              <w:lang w:val="en-US" w:eastAsia="zh-CN" w:bidi="ar-SA"/>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chemeClr w14:val="accent2"/>
                                </w14:solidFill>
                                <w14:prstDash w14:val="solid"/>
                                <w14:round/>
                              </w14:textOutline>
                              <w14:props3d w14:extrusionH="0" w14:contourW="0" w14:prstMaterial="clear"/>
                            </w:rPr>
                            <w:fldChar w:fldCharType="begin"/>
                          </w:r>
                          <w:r>
                            <w:rPr>
                              <w:rFonts w:hint="default" w:ascii="Times New Roman" w:hAnsi="Times New Roman" w:eastAsia="宋体" w:cs="Times New Roman"/>
                              <w:b w:val="0"/>
                              <w:bCs w:val="0"/>
                              <w:color w:val="FFFFFF"/>
                              <w:kern w:val="2"/>
                              <w:sz w:val="32"/>
                              <w:szCs w:val="32"/>
                              <w:highlight w:val="yellow"/>
                              <w:lang w:val="en-US" w:eastAsia="zh-CN" w:bidi="ar-SA"/>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chemeClr w14:val="accent2"/>
                                </w14:solidFill>
                                <w14:prstDash w14:val="solid"/>
                                <w14:round/>
                              </w14:textOutline>
                              <w14:props3d w14:extrusionH="0" w14:contourW="0" w14:prstMaterial="clear"/>
                            </w:rPr>
                            <w:instrText xml:space="preserve"> PAGE  \* MERGEFORMAT </w:instrText>
                          </w:r>
                          <w:r>
                            <w:rPr>
                              <w:rFonts w:hint="default" w:ascii="Times New Roman" w:hAnsi="Times New Roman" w:eastAsia="宋体" w:cs="Times New Roman"/>
                              <w:b w:val="0"/>
                              <w:bCs w:val="0"/>
                              <w:color w:val="FFFFFF"/>
                              <w:kern w:val="2"/>
                              <w:sz w:val="32"/>
                              <w:szCs w:val="32"/>
                              <w:highlight w:val="yellow"/>
                              <w:lang w:val="en-US" w:eastAsia="zh-CN" w:bidi="ar-SA"/>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chemeClr w14:val="accent2"/>
                                </w14:solidFill>
                                <w14:prstDash w14:val="solid"/>
                                <w14:round/>
                              </w14:textOutline>
                              <w14:props3d w14:extrusionH="0" w14:contourW="0" w14:prstMaterial="clear"/>
                            </w:rPr>
                            <w:fldChar w:fldCharType="separate"/>
                          </w:r>
                          <w:r>
                            <w:rPr>
                              <w:rFonts w:hint="default" w:ascii="Times New Roman" w:hAnsi="Times New Roman" w:eastAsia="宋体" w:cs="Times New Roman"/>
                              <w:b w:val="0"/>
                              <w:bCs w:val="0"/>
                              <w:color w:val="FFFFFF"/>
                              <w:kern w:val="2"/>
                              <w:sz w:val="32"/>
                              <w:szCs w:val="32"/>
                              <w:highlight w:val="yellow"/>
                              <w:lang w:val="en-US" w:eastAsia="zh-CN" w:bidi="ar-SA"/>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chemeClr w14:val="accent2"/>
                                </w14:solidFill>
                                <w14:prstDash w14:val="solid"/>
                                <w14:round/>
                              </w14:textOutline>
                              <w14:props3d w14:extrusionH="0" w14:contourW="0" w14:prstMaterial="clear"/>
                            </w:rPr>
                            <w:t>1</w:t>
                          </w:r>
                          <w:r>
                            <w:rPr>
                              <w:rFonts w:hint="default" w:ascii="Times New Roman" w:hAnsi="Times New Roman" w:eastAsia="宋体" w:cs="Times New Roman"/>
                              <w:b w:val="0"/>
                              <w:bCs w:val="0"/>
                              <w:color w:val="FFFFFF"/>
                              <w:kern w:val="2"/>
                              <w:sz w:val="32"/>
                              <w:szCs w:val="32"/>
                              <w:highlight w:val="yellow"/>
                              <w:lang w:val="en-US" w:eastAsia="zh-CN" w:bidi="ar-SA"/>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chemeClr w14:val="accent2"/>
                                </w14:solidFill>
                                <w14:prstDash w14:val="solid"/>
                                <w14:round/>
                              </w14:textOutline>
                              <w14:props3d w14:extrusionH="0" w14:contourW="0" w14:prstMaterial="clear"/>
                            </w:rPr>
                            <w:fldChar w:fldCharType="end"/>
                          </w:r>
                          <w:r>
                            <w:rPr>
                              <w:rFonts w:hint="default" w:ascii="Times New Roman" w:hAnsi="Times New Roman" w:eastAsia="宋体" w:cs="Times New Roman"/>
                              <w:color w:val="FFFFFF"/>
                              <w:kern w:val="2"/>
                              <w:sz w:val="32"/>
                              <w:szCs w:val="32"/>
                              <w:highlight w:val="yellow"/>
                              <w:lang w:val="en-US" w:eastAsia="zh-CN" w:bidi="ar-SA"/>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chemeClr w14:val="accent2"/>
                                </w14:solidFill>
                                <w14:prstDash w14:val="solid"/>
                                <w14:round/>
                              </w14:textOutline>
                              <w14:props3d w14:extrusionH="0" w14:contourW="0" w14:prstMaterial="clear"/>
                            </w:rPr>
                            <w:t xml:space="preserve"> </w:t>
                          </w:r>
                          <w:r>
                            <w:rPr>
                              <w:rFonts w:hint="default" w:ascii="Times New Roman" w:hAnsi="Times New Roman" w:eastAsia="宋体" w:cs="Times New Roman"/>
                              <w:color w:val="F7CAAC" w:themeColor="accent2" w:themeTint="66"/>
                              <w:kern w:val="2"/>
                              <w:sz w:val="32"/>
                              <w:szCs w:val="32"/>
                              <w:highlight w:val="yellow"/>
                              <w:lang w:val="en-US" w:eastAsia="zh-CN" w:bidi="ar-SA"/>
                              <w14:glow w14:rad="0">
                                <w14:srgbClr w14:val="000000"/>
                              </w14:glow>
                              <w14:shadow w14:blurRad="0" w14:dist="0" w14:dir="0" w14:sx="0" w14:sy="0" w14:kx="0" w14:ky="0" w14:algn="none">
                                <w14:srgbClr w14:val="000000"/>
                              </w14:shadow>
                              <w14:reflection w14:blurRad="6350" w14:stA="53000" w14:stPos="0" w14:endA="300" w14:endPos="35500" w14:dist="0" w14:dir="5400000" w14:fadeDir="5400000" w14:sx="100000" w14:sy="-90000" w14:kx="0" w14:algn="bl"/>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gradFill>
                              </w14:textFill>
                              <w14:props3d w14:extrusionH="0" w14:contourW="0" w14:prstMaterial="clear"/>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0pt;margin-top:-18.55pt;height:144pt;width:144pt;mso-position-horizontal-relative:margin;mso-wrap-style:none;z-index:251659264;mso-width-relative:page;mso-height-relative:page;" filled="f" stroked="f" coordsize="21600,21600" o:gfxdata="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CjkjYdYAAAAIAQAA&#10;DwAAAAAAAAABACAAAAAiAAAAZHJzL2Rvd25yZXYueG1sUEsBAhQAFAAAAAgAh07iQCOFi7YbAgAA&#10;IQQAAA4AAAAAAAAAAQAgAAAAJQEAAGRycy9lMm9Eb2MueG1sUEsFBgAAAAAGAAYAWQEAALIFAAAA&#10;AA==&#10;">
              <v:fill on="f" focussize="0,0"/>
              <v:stroke on="f" weight="0.5pt"/>
              <v:imagedata o:title=""/>
              <o:lock v:ext="edit" aspectratio="f"/>
              <v:textbox inset="0mm,0mm,0mm,0mm" style="mso-fit-shape-to-text:t;">
                <w:txbxContent>
                  <w:p>
                    <w:pPr>
                      <w:widowControl w:val="0"/>
                      <w:tabs>
                        <w:tab w:val="center" w:pos="4153"/>
                        <w:tab w:val="right" w:pos="8306"/>
                      </w:tabs>
                      <w:snapToGrid w:val="0"/>
                      <w:jc w:val="left"/>
                      <w:rPr>
                        <w:rFonts w:ascii="Calibri" w:hAnsi="Calibri" w:eastAsia="宋体" w:cs="Times New Roman"/>
                        <w:kern w:val="2"/>
                        <w:sz w:val="18"/>
                        <w:szCs w:val="18"/>
                        <w:highlight w:val="yellow"/>
                        <w:lang w:val="en-US" w:eastAsia="zh-CN" w:bidi="ar-SA"/>
                      </w:rPr>
                    </w:pPr>
                    <w:r>
                      <w:rPr>
                        <w:rFonts w:hint="default" w:ascii="Times New Roman" w:hAnsi="Times New Roman" w:eastAsia="宋体" w:cs="Times New Roman"/>
                        <w:color w:val="F7CAAC" w:themeColor="accent2" w:themeTint="66"/>
                        <w:kern w:val="2"/>
                        <w:sz w:val="32"/>
                        <w:szCs w:val="32"/>
                        <w:highlight w:val="yellow"/>
                        <w:lang w:val="en-US" w:eastAsia="zh-CN" w:bidi="ar-SA"/>
                        <w14:glow w14:rad="0">
                          <w14:srgbClr w14:val="000000"/>
                        </w14:glow>
                        <w14:shadow w14:blurRad="0" w14:dist="0" w14:dir="0" w14:sx="0" w14:sy="0" w14:kx="0" w14:ky="0" w14:algn="none">
                          <w14:srgbClr w14:val="000000"/>
                        </w14:shadow>
                        <w14:reflection w14:blurRad="6350" w14:stA="53000" w14:stPos="0" w14:endA="300" w14:endPos="35500" w14:dist="0" w14:dir="5400000" w14:fadeDir="5400000" w14:sx="100000" w14:sy="-90000" w14:kx="0" w14:algn="bl"/>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gradFill>
                        </w14:textFill>
                        <w14:props3d w14:extrusionH="0" w14:contourW="0" w14:prstMaterial="clear"/>
                      </w:rPr>
                      <w:t xml:space="preserve">— </w:t>
                    </w:r>
                    <w:r>
                      <w:rPr>
                        <w:rFonts w:hint="default" w:ascii="Times New Roman" w:hAnsi="Times New Roman" w:eastAsia="宋体" w:cs="Times New Roman"/>
                        <w:b w:val="0"/>
                        <w:bCs w:val="0"/>
                        <w:color w:val="FFFFFF"/>
                        <w:kern w:val="2"/>
                        <w:sz w:val="32"/>
                        <w:szCs w:val="32"/>
                        <w:highlight w:val="yellow"/>
                        <w:lang w:val="en-US" w:eastAsia="zh-CN" w:bidi="ar-SA"/>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chemeClr w14:val="accent2"/>
                          </w14:solidFill>
                          <w14:prstDash w14:val="solid"/>
                          <w14:round/>
                        </w14:textOutline>
                        <w14:props3d w14:extrusionH="0" w14:contourW="0" w14:prstMaterial="clear"/>
                      </w:rPr>
                      <w:fldChar w:fldCharType="begin"/>
                    </w:r>
                    <w:r>
                      <w:rPr>
                        <w:rFonts w:hint="default" w:ascii="Times New Roman" w:hAnsi="Times New Roman" w:eastAsia="宋体" w:cs="Times New Roman"/>
                        <w:b w:val="0"/>
                        <w:bCs w:val="0"/>
                        <w:color w:val="FFFFFF"/>
                        <w:kern w:val="2"/>
                        <w:sz w:val="32"/>
                        <w:szCs w:val="32"/>
                        <w:highlight w:val="yellow"/>
                        <w:lang w:val="en-US" w:eastAsia="zh-CN" w:bidi="ar-SA"/>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chemeClr w14:val="accent2"/>
                          </w14:solidFill>
                          <w14:prstDash w14:val="solid"/>
                          <w14:round/>
                        </w14:textOutline>
                        <w14:props3d w14:extrusionH="0" w14:contourW="0" w14:prstMaterial="clear"/>
                      </w:rPr>
                      <w:instrText xml:space="preserve"> PAGE  \* MERGEFORMAT </w:instrText>
                    </w:r>
                    <w:r>
                      <w:rPr>
                        <w:rFonts w:hint="default" w:ascii="Times New Roman" w:hAnsi="Times New Roman" w:eastAsia="宋体" w:cs="Times New Roman"/>
                        <w:b w:val="0"/>
                        <w:bCs w:val="0"/>
                        <w:color w:val="FFFFFF"/>
                        <w:kern w:val="2"/>
                        <w:sz w:val="32"/>
                        <w:szCs w:val="32"/>
                        <w:highlight w:val="yellow"/>
                        <w:lang w:val="en-US" w:eastAsia="zh-CN" w:bidi="ar-SA"/>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chemeClr w14:val="accent2"/>
                          </w14:solidFill>
                          <w14:prstDash w14:val="solid"/>
                          <w14:round/>
                        </w14:textOutline>
                        <w14:props3d w14:extrusionH="0" w14:contourW="0" w14:prstMaterial="clear"/>
                      </w:rPr>
                      <w:fldChar w:fldCharType="separate"/>
                    </w:r>
                    <w:r>
                      <w:rPr>
                        <w:rFonts w:hint="default" w:ascii="Times New Roman" w:hAnsi="Times New Roman" w:eastAsia="宋体" w:cs="Times New Roman"/>
                        <w:b w:val="0"/>
                        <w:bCs w:val="0"/>
                        <w:color w:val="FFFFFF"/>
                        <w:kern w:val="2"/>
                        <w:sz w:val="32"/>
                        <w:szCs w:val="32"/>
                        <w:highlight w:val="yellow"/>
                        <w:lang w:val="en-US" w:eastAsia="zh-CN" w:bidi="ar-SA"/>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chemeClr w14:val="accent2"/>
                          </w14:solidFill>
                          <w14:prstDash w14:val="solid"/>
                          <w14:round/>
                        </w14:textOutline>
                        <w14:props3d w14:extrusionH="0" w14:contourW="0" w14:prstMaterial="clear"/>
                      </w:rPr>
                      <w:t>1</w:t>
                    </w:r>
                    <w:r>
                      <w:rPr>
                        <w:rFonts w:hint="default" w:ascii="Times New Roman" w:hAnsi="Times New Roman" w:eastAsia="宋体" w:cs="Times New Roman"/>
                        <w:b w:val="0"/>
                        <w:bCs w:val="0"/>
                        <w:color w:val="FFFFFF"/>
                        <w:kern w:val="2"/>
                        <w:sz w:val="32"/>
                        <w:szCs w:val="32"/>
                        <w:highlight w:val="yellow"/>
                        <w:lang w:val="en-US" w:eastAsia="zh-CN" w:bidi="ar-SA"/>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chemeClr w14:val="accent2"/>
                          </w14:solidFill>
                          <w14:prstDash w14:val="solid"/>
                          <w14:round/>
                        </w14:textOutline>
                        <w14:props3d w14:extrusionH="0" w14:contourW="0" w14:prstMaterial="clear"/>
                      </w:rPr>
                      <w:fldChar w:fldCharType="end"/>
                    </w:r>
                    <w:r>
                      <w:rPr>
                        <w:rFonts w:hint="default" w:ascii="Times New Roman" w:hAnsi="Times New Roman" w:eastAsia="宋体" w:cs="Times New Roman"/>
                        <w:color w:val="FFFFFF"/>
                        <w:kern w:val="2"/>
                        <w:sz w:val="32"/>
                        <w:szCs w:val="32"/>
                        <w:highlight w:val="yellow"/>
                        <w:lang w:val="en-US" w:eastAsia="zh-CN" w:bidi="ar-SA"/>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chemeClr w14:val="accent2"/>
                          </w14:solidFill>
                          <w14:prstDash w14:val="solid"/>
                          <w14:round/>
                        </w14:textOutline>
                        <w14:props3d w14:extrusionH="0" w14:contourW="0" w14:prstMaterial="clear"/>
                      </w:rPr>
                      <w:t xml:space="preserve"> </w:t>
                    </w:r>
                    <w:r>
                      <w:rPr>
                        <w:rFonts w:hint="default" w:ascii="Times New Roman" w:hAnsi="Times New Roman" w:eastAsia="宋体" w:cs="Times New Roman"/>
                        <w:color w:val="F7CAAC" w:themeColor="accent2" w:themeTint="66"/>
                        <w:kern w:val="2"/>
                        <w:sz w:val="32"/>
                        <w:szCs w:val="32"/>
                        <w:highlight w:val="yellow"/>
                        <w:lang w:val="en-US" w:eastAsia="zh-CN" w:bidi="ar-SA"/>
                        <w14:glow w14:rad="0">
                          <w14:srgbClr w14:val="000000"/>
                        </w14:glow>
                        <w14:shadow w14:blurRad="0" w14:dist="0" w14:dir="0" w14:sx="0" w14:sy="0" w14:kx="0" w14:ky="0" w14:algn="none">
                          <w14:srgbClr w14:val="000000"/>
                        </w14:shadow>
                        <w14:reflection w14:blurRad="6350" w14:stA="53000" w14:stPos="0" w14:endA="300" w14:endPos="35500" w14:dist="0" w14:dir="5400000" w14:fadeDir="5400000" w14:sx="100000" w14:sy="-90000" w14:kx="0" w14:algn="bl"/>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gradFill>
                        </w14:textFill>
                        <w14:props3d w14:extrusionH="0" w14:contourW="0" w14:prstMaterial="clear"/>
                      </w:rPr>
                      <w:t>—</w:t>
                    </w:r>
                  </w:p>
                </w:txbxContent>
              </v:textbox>
            </v:shape>
          </w:pict>
        </mc:Fallback>
      </mc:AlternateContent>
    </w:r>
  </w:p>
  <w:p>
    <w:pPr>
      <w:widowControl w:val="0"/>
      <w:tabs>
        <w:tab w:val="center" w:pos="4153"/>
        <w:tab w:val="right" w:pos="8306"/>
      </w:tabs>
      <w:snapToGrid w:val="0"/>
      <w:jc w:val="left"/>
      <w:rPr>
        <w:rFonts w:ascii="Calibri" w:hAnsi="Calibri" w:eastAsia="宋体" w:cs="Times New Roman"/>
        <w:kern w:val="2"/>
        <w:sz w:val="18"/>
        <w:szCs w:val="18"/>
        <w:lang w:val="en-US" w:eastAsia="zh-CN" w:bidi="ar-SA"/>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4"/>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gyY2JjZjUwZjliZTZiOTlhN2YyNWNiNDhlZDgzZjgifQ=="/>
  </w:docVars>
  <w:rsids>
    <w:rsidRoot w:val="09CD0E22"/>
    <w:rsid w:val="00030C0E"/>
    <w:rsid w:val="00043245"/>
    <w:rsid w:val="0007364F"/>
    <w:rsid w:val="00093D01"/>
    <w:rsid w:val="00097083"/>
    <w:rsid w:val="001156B9"/>
    <w:rsid w:val="00145330"/>
    <w:rsid w:val="00154806"/>
    <w:rsid w:val="001F2C95"/>
    <w:rsid w:val="00215B64"/>
    <w:rsid w:val="002840B7"/>
    <w:rsid w:val="003208B4"/>
    <w:rsid w:val="003671B0"/>
    <w:rsid w:val="003C691D"/>
    <w:rsid w:val="003F32D7"/>
    <w:rsid w:val="0042623F"/>
    <w:rsid w:val="0043286B"/>
    <w:rsid w:val="00467C46"/>
    <w:rsid w:val="005A092B"/>
    <w:rsid w:val="006B63D3"/>
    <w:rsid w:val="006C0C2E"/>
    <w:rsid w:val="007C2A82"/>
    <w:rsid w:val="007E11E9"/>
    <w:rsid w:val="008B2F92"/>
    <w:rsid w:val="008E3499"/>
    <w:rsid w:val="008F79A9"/>
    <w:rsid w:val="00906A61"/>
    <w:rsid w:val="00962249"/>
    <w:rsid w:val="00A0554E"/>
    <w:rsid w:val="00A55B3B"/>
    <w:rsid w:val="00B35803"/>
    <w:rsid w:val="00B45E3E"/>
    <w:rsid w:val="00C16462"/>
    <w:rsid w:val="00C66488"/>
    <w:rsid w:val="00CA656E"/>
    <w:rsid w:val="00CE04E4"/>
    <w:rsid w:val="00D0085C"/>
    <w:rsid w:val="00D9651F"/>
    <w:rsid w:val="00DB54B3"/>
    <w:rsid w:val="00DF053C"/>
    <w:rsid w:val="00E278B0"/>
    <w:rsid w:val="00FC3867"/>
    <w:rsid w:val="010007F1"/>
    <w:rsid w:val="01123C24"/>
    <w:rsid w:val="01281FA6"/>
    <w:rsid w:val="0129652A"/>
    <w:rsid w:val="012C4A94"/>
    <w:rsid w:val="0134238F"/>
    <w:rsid w:val="01434062"/>
    <w:rsid w:val="015A28DE"/>
    <w:rsid w:val="01603797"/>
    <w:rsid w:val="01614C4F"/>
    <w:rsid w:val="016607CF"/>
    <w:rsid w:val="01687C29"/>
    <w:rsid w:val="016C6133"/>
    <w:rsid w:val="016D0719"/>
    <w:rsid w:val="01730647"/>
    <w:rsid w:val="017F7312"/>
    <w:rsid w:val="0183354F"/>
    <w:rsid w:val="018A4341"/>
    <w:rsid w:val="018D1ED5"/>
    <w:rsid w:val="01944C0D"/>
    <w:rsid w:val="019652A2"/>
    <w:rsid w:val="019A0A9C"/>
    <w:rsid w:val="019E5AF8"/>
    <w:rsid w:val="01A05888"/>
    <w:rsid w:val="01A2463C"/>
    <w:rsid w:val="01A277CA"/>
    <w:rsid w:val="01A536F0"/>
    <w:rsid w:val="01AB72AD"/>
    <w:rsid w:val="01AD0FC0"/>
    <w:rsid w:val="01AF0E83"/>
    <w:rsid w:val="01B74B80"/>
    <w:rsid w:val="01B76B70"/>
    <w:rsid w:val="01BC47E4"/>
    <w:rsid w:val="01BD0D3F"/>
    <w:rsid w:val="01C277DB"/>
    <w:rsid w:val="01CB201F"/>
    <w:rsid w:val="01D01DDD"/>
    <w:rsid w:val="01D83F23"/>
    <w:rsid w:val="01DA121B"/>
    <w:rsid w:val="01E02E8A"/>
    <w:rsid w:val="01EB6FF4"/>
    <w:rsid w:val="01EC6C1A"/>
    <w:rsid w:val="01F43D5D"/>
    <w:rsid w:val="01F53962"/>
    <w:rsid w:val="01FE284A"/>
    <w:rsid w:val="020C0504"/>
    <w:rsid w:val="020F3F82"/>
    <w:rsid w:val="021337A8"/>
    <w:rsid w:val="02154F00"/>
    <w:rsid w:val="02200558"/>
    <w:rsid w:val="022C2DDE"/>
    <w:rsid w:val="024125AD"/>
    <w:rsid w:val="02424F98"/>
    <w:rsid w:val="02451830"/>
    <w:rsid w:val="024B4F65"/>
    <w:rsid w:val="02522774"/>
    <w:rsid w:val="02716397"/>
    <w:rsid w:val="027B1EF4"/>
    <w:rsid w:val="027D39C5"/>
    <w:rsid w:val="02842B55"/>
    <w:rsid w:val="02850B1B"/>
    <w:rsid w:val="028E239B"/>
    <w:rsid w:val="028E669E"/>
    <w:rsid w:val="02945151"/>
    <w:rsid w:val="02994D24"/>
    <w:rsid w:val="02AA4579"/>
    <w:rsid w:val="02B7449E"/>
    <w:rsid w:val="02B93913"/>
    <w:rsid w:val="02CA2014"/>
    <w:rsid w:val="02CE36F0"/>
    <w:rsid w:val="02D253BA"/>
    <w:rsid w:val="02D664A5"/>
    <w:rsid w:val="02D70120"/>
    <w:rsid w:val="02E746B3"/>
    <w:rsid w:val="02F04987"/>
    <w:rsid w:val="02F3072B"/>
    <w:rsid w:val="02F4686A"/>
    <w:rsid w:val="02F50E1A"/>
    <w:rsid w:val="02FC365E"/>
    <w:rsid w:val="03032EA1"/>
    <w:rsid w:val="03055083"/>
    <w:rsid w:val="030A33B2"/>
    <w:rsid w:val="0312457C"/>
    <w:rsid w:val="03173E54"/>
    <w:rsid w:val="03276EB0"/>
    <w:rsid w:val="03320DD5"/>
    <w:rsid w:val="03367B19"/>
    <w:rsid w:val="033F3094"/>
    <w:rsid w:val="033F5E23"/>
    <w:rsid w:val="0341739D"/>
    <w:rsid w:val="035906B9"/>
    <w:rsid w:val="035A07AB"/>
    <w:rsid w:val="036572E0"/>
    <w:rsid w:val="036773BE"/>
    <w:rsid w:val="036B41D2"/>
    <w:rsid w:val="03745931"/>
    <w:rsid w:val="0375270B"/>
    <w:rsid w:val="0376026A"/>
    <w:rsid w:val="03763E10"/>
    <w:rsid w:val="03795E56"/>
    <w:rsid w:val="038F00BD"/>
    <w:rsid w:val="038F07EB"/>
    <w:rsid w:val="039F6B79"/>
    <w:rsid w:val="03A054FE"/>
    <w:rsid w:val="03A710E3"/>
    <w:rsid w:val="03B75E22"/>
    <w:rsid w:val="03B93704"/>
    <w:rsid w:val="03C7124D"/>
    <w:rsid w:val="03C956D7"/>
    <w:rsid w:val="03CD065E"/>
    <w:rsid w:val="03CD0F50"/>
    <w:rsid w:val="03D96519"/>
    <w:rsid w:val="03DC76EB"/>
    <w:rsid w:val="03DF3AAC"/>
    <w:rsid w:val="03DF7C94"/>
    <w:rsid w:val="03E4053E"/>
    <w:rsid w:val="03EE2D2D"/>
    <w:rsid w:val="03EE5120"/>
    <w:rsid w:val="03F95EAB"/>
    <w:rsid w:val="03FA4378"/>
    <w:rsid w:val="040E59E0"/>
    <w:rsid w:val="04177E90"/>
    <w:rsid w:val="041B3B0D"/>
    <w:rsid w:val="041F33A4"/>
    <w:rsid w:val="04227E09"/>
    <w:rsid w:val="04256881"/>
    <w:rsid w:val="042C1175"/>
    <w:rsid w:val="042E72BA"/>
    <w:rsid w:val="04361A54"/>
    <w:rsid w:val="043837D8"/>
    <w:rsid w:val="043F0FCC"/>
    <w:rsid w:val="0458216E"/>
    <w:rsid w:val="04633D2A"/>
    <w:rsid w:val="046441B2"/>
    <w:rsid w:val="0470619B"/>
    <w:rsid w:val="047264E0"/>
    <w:rsid w:val="047929EC"/>
    <w:rsid w:val="047931E4"/>
    <w:rsid w:val="047B754C"/>
    <w:rsid w:val="047C330E"/>
    <w:rsid w:val="04802BB2"/>
    <w:rsid w:val="048112FB"/>
    <w:rsid w:val="048A77DB"/>
    <w:rsid w:val="048B08F7"/>
    <w:rsid w:val="04997356"/>
    <w:rsid w:val="04B3013F"/>
    <w:rsid w:val="04BA605B"/>
    <w:rsid w:val="04BB6582"/>
    <w:rsid w:val="04BF51D4"/>
    <w:rsid w:val="04C30370"/>
    <w:rsid w:val="04C369FD"/>
    <w:rsid w:val="04C87276"/>
    <w:rsid w:val="04CE7B7F"/>
    <w:rsid w:val="04D13EAB"/>
    <w:rsid w:val="04E16ACF"/>
    <w:rsid w:val="04E92750"/>
    <w:rsid w:val="04ED1D07"/>
    <w:rsid w:val="04F33CBA"/>
    <w:rsid w:val="05006805"/>
    <w:rsid w:val="05017788"/>
    <w:rsid w:val="05150D13"/>
    <w:rsid w:val="052054D4"/>
    <w:rsid w:val="052C7639"/>
    <w:rsid w:val="054A7C8A"/>
    <w:rsid w:val="055D26AF"/>
    <w:rsid w:val="056534E0"/>
    <w:rsid w:val="056834A8"/>
    <w:rsid w:val="05684832"/>
    <w:rsid w:val="056E79C6"/>
    <w:rsid w:val="057A799E"/>
    <w:rsid w:val="058647BE"/>
    <w:rsid w:val="05880374"/>
    <w:rsid w:val="05881910"/>
    <w:rsid w:val="05913966"/>
    <w:rsid w:val="059F17BF"/>
    <w:rsid w:val="05A259F9"/>
    <w:rsid w:val="05A73DC5"/>
    <w:rsid w:val="05B336D5"/>
    <w:rsid w:val="05CC2A3B"/>
    <w:rsid w:val="05CD0D9A"/>
    <w:rsid w:val="05CF249D"/>
    <w:rsid w:val="05D14319"/>
    <w:rsid w:val="05D714EA"/>
    <w:rsid w:val="05E536E6"/>
    <w:rsid w:val="05EA1C44"/>
    <w:rsid w:val="05F2445C"/>
    <w:rsid w:val="06077942"/>
    <w:rsid w:val="060A0D89"/>
    <w:rsid w:val="060C359D"/>
    <w:rsid w:val="060F3722"/>
    <w:rsid w:val="062B0B83"/>
    <w:rsid w:val="062C6587"/>
    <w:rsid w:val="062D67C8"/>
    <w:rsid w:val="06301A1B"/>
    <w:rsid w:val="0633380C"/>
    <w:rsid w:val="0638362B"/>
    <w:rsid w:val="063E600A"/>
    <w:rsid w:val="06405659"/>
    <w:rsid w:val="064F5725"/>
    <w:rsid w:val="06510CDF"/>
    <w:rsid w:val="065C27A8"/>
    <w:rsid w:val="065F50DA"/>
    <w:rsid w:val="06602F2C"/>
    <w:rsid w:val="06626021"/>
    <w:rsid w:val="066D2CED"/>
    <w:rsid w:val="066E2C0B"/>
    <w:rsid w:val="06700010"/>
    <w:rsid w:val="06734EB6"/>
    <w:rsid w:val="067C24CF"/>
    <w:rsid w:val="068A1FDD"/>
    <w:rsid w:val="069002BE"/>
    <w:rsid w:val="06906B8C"/>
    <w:rsid w:val="069725BC"/>
    <w:rsid w:val="069A3A7C"/>
    <w:rsid w:val="06A729E1"/>
    <w:rsid w:val="06AB1C7E"/>
    <w:rsid w:val="06AC05E7"/>
    <w:rsid w:val="06AF1D16"/>
    <w:rsid w:val="06AF3414"/>
    <w:rsid w:val="06B15237"/>
    <w:rsid w:val="06BA5EB2"/>
    <w:rsid w:val="06D17DB1"/>
    <w:rsid w:val="06E444B8"/>
    <w:rsid w:val="070615F0"/>
    <w:rsid w:val="07085235"/>
    <w:rsid w:val="07146D7A"/>
    <w:rsid w:val="071A4300"/>
    <w:rsid w:val="072C5901"/>
    <w:rsid w:val="072D6955"/>
    <w:rsid w:val="07355298"/>
    <w:rsid w:val="073633AE"/>
    <w:rsid w:val="0738618B"/>
    <w:rsid w:val="074E1705"/>
    <w:rsid w:val="074E279C"/>
    <w:rsid w:val="075268B6"/>
    <w:rsid w:val="075C0378"/>
    <w:rsid w:val="075C613A"/>
    <w:rsid w:val="0768627D"/>
    <w:rsid w:val="07774E9B"/>
    <w:rsid w:val="07886D75"/>
    <w:rsid w:val="079A77BC"/>
    <w:rsid w:val="079D6C92"/>
    <w:rsid w:val="079E20C5"/>
    <w:rsid w:val="07A757F6"/>
    <w:rsid w:val="07A92FCD"/>
    <w:rsid w:val="07AB5A16"/>
    <w:rsid w:val="07C32EAB"/>
    <w:rsid w:val="07CE7516"/>
    <w:rsid w:val="07DA5629"/>
    <w:rsid w:val="07DE3B60"/>
    <w:rsid w:val="07E54B9E"/>
    <w:rsid w:val="08010DA7"/>
    <w:rsid w:val="08033960"/>
    <w:rsid w:val="080F3123"/>
    <w:rsid w:val="08220E8F"/>
    <w:rsid w:val="08242F28"/>
    <w:rsid w:val="08252E6C"/>
    <w:rsid w:val="08275EA4"/>
    <w:rsid w:val="08294CB5"/>
    <w:rsid w:val="083036B5"/>
    <w:rsid w:val="08310F19"/>
    <w:rsid w:val="08331FC1"/>
    <w:rsid w:val="083611A9"/>
    <w:rsid w:val="083901EB"/>
    <w:rsid w:val="08394081"/>
    <w:rsid w:val="083943C5"/>
    <w:rsid w:val="08404FD2"/>
    <w:rsid w:val="084A2513"/>
    <w:rsid w:val="08515651"/>
    <w:rsid w:val="085D6EF2"/>
    <w:rsid w:val="085F59AE"/>
    <w:rsid w:val="086303CB"/>
    <w:rsid w:val="08674312"/>
    <w:rsid w:val="0875786E"/>
    <w:rsid w:val="0881684A"/>
    <w:rsid w:val="08927463"/>
    <w:rsid w:val="08991A5A"/>
    <w:rsid w:val="089C49FA"/>
    <w:rsid w:val="08AF073A"/>
    <w:rsid w:val="08BD5FE1"/>
    <w:rsid w:val="08BE7798"/>
    <w:rsid w:val="08C46A4F"/>
    <w:rsid w:val="08C654F8"/>
    <w:rsid w:val="08CA79C7"/>
    <w:rsid w:val="08D54B6A"/>
    <w:rsid w:val="08D73E78"/>
    <w:rsid w:val="08DB6139"/>
    <w:rsid w:val="08DD4FAE"/>
    <w:rsid w:val="08DE001E"/>
    <w:rsid w:val="08DE502C"/>
    <w:rsid w:val="08DE7E03"/>
    <w:rsid w:val="08ED6D3B"/>
    <w:rsid w:val="08FB16E4"/>
    <w:rsid w:val="08FB2C3C"/>
    <w:rsid w:val="08FE2EDE"/>
    <w:rsid w:val="08FE5206"/>
    <w:rsid w:val="09140F8D"/>
    <w:rsid w:val="09155095"/>
    <w:rsid w:val="091D10D0"/>
    <w:rsid w:val="09210482"/>
    <w:rsid w:val="092105FC"/>
    <w:rsid w:val="09222AB2"/>
    <w:rsid w:val="09266115"/>
    <w:rsid w:val="093303B8"/>
    <w:rsid w:val="09446DB4"/>
    <w:rsid w:val="094811BB"/>
    <w:rsid w:val="094F18C1"/>
    <w:rsid w:val="0954257E"/>
    <w:rsid w:val="095929D4"/>
    <w:rsid w:val="095A003F"/>
    <w:rsid w:val="095B02C8"/>
    <w:rsid w:val="09606CDC"/>
    <w:rsid w:val="09631FC1"/>
    <w:rsid w:val="09651D94"/>
    <w:rsid w:val="098A1F77"/>
    <w:rsid w:val="099872CF"/>
    <w:rsid w:val="09A137B2"/>
    <w:rsid w:val="09A2636C"/>
    <w:rsid w:val="09A44BA0"/>
    <w:rsid w:val="09AA495F"/>
    <w:rsid w:val="09AC53C9"/>
    <w:rsid w:val="09B630C3"/>
    <w:rsid w:val="09BD4BE0"/>
    <w:rsid w:val="09C222A5"/>
    <w:rsid w:val="09C27E4D"/>
    <w:rsid w:val="09C81C8D"/>
    <w:rsid w:val="09CB6B07"/>
    <w:rsid w:val="09CC1439"/>
    <w:rsid w:val="09CD0E22"/>
    <w:rsid w:val="09CD713D"/>
    <w:rsid w:val="09FA2B3C"/>
    <w:rsid w:val="09FA772F"/>
    <w:rsid w:val="09FB6D64"/>
    <w:rsid w:val="0A030CE9"/>
    <w:rsid w:val="0A0D0EE1"/>
    <w:rsid w:val="0A33530F"/>
    <w:rsid w:val="0A346C5C"/>
    <w:rsid w:val="0A4707FD"/>
    <w:rsid w:val="0A486965"/>
    <w:rsid w:val="0A4B2E8D"/>
    <w:rsid w:val="0A5317DF"/>
    <w:rsid w:val="0A534D83"/>
    <w:rsid w:val="0A564C39"/>
    <w:rsid w:val="0A5B0F4C"/>
    <w:rsid w:val="0A61640A"/>
    <w:rsid w:val="0A6536D8"/>
    <w:rsid w:val="0A6A580E"/>
    <w:rsid w:val="0A6B730C"/>
    <w:rsid w:val="0A7611EF"/>
    <w:rsid w:val="0A765DBA"/>
    <w:rsid w:val="0A7A1EF7"/>
    <w:rsid w:val="0A937773"/>
    <w:rsid w:val="0A987047"/>
    <w:rsid w:val="0AA05D85"/>
    <w:rsid w:val="0AAD109D"/>
    <w:rsid w:val="0ABB417A"/>
    <w:rsid w:val="0ABE47A4"/>
    <w:rsid w:val="0ACC2910"/>
    <w:rsid w:val="0ACC3151"/>
    <w:rsid w:val="0AD16821"/>
    <w:rsid w:val="0AD45A3C"/>
    <w:rsid w:val="0AD60B60"/>
    <w:rsid w:val="0ADC78D2"/>
    <w:rsid w:val="0AE11813"/>
    <w:rsid w:val="0AE3323E"/>
    <w:rsid w:val="0AEB11A6"/>
    <w:rsid w:val="0AEC3E44"/>
    <w:rsid w:val="0AEE609E"/>
    <w:rsid w:val="0AEF478A"/>
    <w:rsid w:val="0B041299"/>
    <w:rsid w:val="0B062542"/>
    <w:rsid w:val="0B0E47F4"/>
    <w:rsid w:val="0B1C17AD"/>
    <w:rsid w:val="0B283787"/>
    <w:rsid w:val="0B2D6F6E"/>
    <w:rsid w:val="0B324CD2"/>
    <w:rsid w:val="0B345DB1"/>
    <w:rsid w:val="0B363DD8"/>
    <w:rsid w:val="0B3A4657"/>
    <w:rsid w:val="0B3C5BB9"/>
    <w:rsid w:val="0B4372E2"/>
    <w:rsid w:val="0B5A2079"/>
    <w:rsid w:val="0B5B5996"/>
    <w:rsid w:val="0B5C3E34"/>
    <w:rsid w:val="0B6075D7"/>
    <w:rsid w:val="0B627AD4"/>
    <w:rsid w:val="0B6A0BB3"/>
    <w:rsid w:val="0B792EB2"/>
    <w:rsid w:val="0B8035EB"/>
    <w:rsid w:val="0B84164E"/>
    <w:rsid w:val="0B89731E"/>
    <w:rsid w:val="0B904412"/>
    <w:rsid w:val="0B913EDA"/>
    <w:rsid w:val="0B9C76A8"/>
    <w:rsid w:val="0BA50775"/>
    <w:rsid w:val="0BA749E5"/>
    <w:rsid w:val="0BAC24A8"/>
    <w:rsid w:val="0BAE1323"/>
    <w:rsid w:val="0BB42E0A"/>
    <w:rsid w:val="0BBA3391"/>
    <w:rsid w:val="0BDC3258"/>
    <w:rsid w:val="0BDE3581"/>
    <w:rsid w:val="0BE52963"/>
    <w:rsid w:val="0BE85349"/>
    <w:rsid w:val="0BF57A28"/>
    <w:rsid w:val="0BF845E9"/>
    <w:rsid w:val="0BFA1A53"/>
    <w:rsid w:val="0C074F06"/>
    <w:rsid w:val="0C0B1E5B"/>
    <w:rsid w:val="0C146F99"/>
    <w:rsid w:val="0C1A584B"/>
    <w:rsid w:val="0C2275D5"/>
    <w:rsid w:val="0C2D70F9"/>
    <w:rsid w:val="0C342312"/>
    <w:rsid w:val="0C456335"/>
    <w:rsid w:val="0C53740C"/>
    <w:rsid w:val="0C563E70"/>
    <w:rsid w:val="0C631545"/>
    <w:rsid w:val="0C6E187C"/>
    <w:rsid w:val="0C7D4D8F"/>
    <w:rsid w:val="0C80052F"/>
    <w:rsid w:val="0C8C06D3"/>
    <w:rsid w:val="0C980884"/>
    <w:rsid w:val="0C9961AF"/>
    <w:rsid w:val="0C9A50FF"/>
    <w:rsid w:val="0C9B3EE0"/>
    <w:rsid w:val="0C9C2E80"/>
    <w:rsid w:val="0CA20B1F"/>
    <w:rsid w:val="0CA44E41"/>
    <w:rsid w:val="0CA77405"/>
    <w:rsid w:val="0CA83489"/>
    <w:rsid w:val="0CA96FA5"/>
    <w:rsid w:val="0CAE5B1B"/>
    <w:rsid w:val="0CB224D8"/>
    <w:rsid w:val="0CB31FF7"/>
    <w:rsid w:val="0CB45BFD"/>
    <w:rsid w:val="0CB75099"/>
    <w:rsid w:val="0CB80D6E"/>
    <w:rsid w:val="0CBF360E"/>
    <w:rsid w:val="0CC10497"/>
    <w:rsid w:val="0CC30BC5"/>
    <w:rsid w:val="0CC42150"/>
    <w:rsid w:val="0CC45545"/>
    <w:rsid w:val="0CC71781"/>
    <w:rsid w:val="0CCB0FDF"/>
    <w:rsid w:val="0CDC1817"/>
    <w:rsid w:val="0CDC515C"/>
    <w:rsid w:val="0D0B2A13"/>
    <w:rsid w:val="0D112021"/>
    <w:rsid w:val="0D12133D"/>
    <w:rsid w:val="0D1F7151"/>
    <w:rsid w:val="0D200D54"/>
    <w:rsid w:val="0D2B7DB2"/>
    <w:rsid w:val="0D3152D9"/>
    <w:rsid w:val="0D384916"/>
    <w:rsid w:val="0D427E08"/>
    <w:rsid w:val="0D4A1977"/>
    <w:rsid w:val="0D511FCD"/>
    <w:rsid w:val="0D52698E"/>
    <w:rsid w:val="0D583C5F"/>
    <w:rsid w:val="0D5D658F"/>
    <w:rsid w:val="0D6029A5"/>
    <w:rsid w:val="0D6063D4"/>
    <w:rsid w:val="0D667E20"/>
    <w:rsid w:val="0D6B6C90"/>
    <w:rsid w:val="0D7170F8"/>
    <w:rsid w:val="0D922931"/>
    <w:rsid w:val="0D95263C"/>
    <w:rsid w:val="0DA81B9F"/>
    <w:rsid w:val="0DAD79F2"/>
    <w:rsid w:val="0DB47CEC"/>
    <w:rsid w:val="0DBB3CA5"/>
    <w:rsid w:val="0DBB4EDD"/>
    <w:rsid w:val="0DC37BF2"/>
    <w:rsid w:val="0DC436B0"/>
    <w:rsid w:val="0DC9693F"/>
    <w:rsid w:val="0DCC1715"/>
    <w:rsid w:val="0DD82C48"/>
    <w:rsid w:val="0DDB6385"/>
    <w:rsid w:val="0DF024FC"/>
    <w:rsid w:val="0DF0632D"/>
    <w:rsid w:val="0DF475E0"/>
    <w:rsid w:val="0E0E09E4"/>
    <w:rsid w:val="0E0E0AE3"/>
    <w:rsid w:val="0E184477"/>
    <w:rsid w:val="0E1A4501"/>
    <w:rsid w:val="0E21196E"/>
    <w:rsid w:val="0E227E98"/>
    <w:rsid w:val="0E27140B"/>
    <w:rsid w:val="0E2D4D70"/>
    <w:rsid w:val="0E3B2663"/>
    <w:rsid w:val="0E443DBA"/>
    <w:rsid w:val="0E465F52"/>
    <w:rsid w:val="0E576A70"/>
    <w:rsid w:val="0E587DB8"/>
    <w:rsid w:val="0E6B437E"/>
    <w:rsid w:val="0E6B6A22"/>
    <w:rsid w:val="0E6F53AB"/>
    <w:rsid w:val="0E701F1A"/>
    <w:rsid w:val="0E793535"/>
    <w:rsid w:val="0E795DEE"/>
    <w:rsid w:val="0E7B3260"/>
    <w:rsid w:val="0E804638"/>
    <w:rsid w:val="0E854758"/>
    <w:rsid w:val="0EAB0282"/>
    <w:rsid w:val="0EC370FE"/>
    <w:rsid w:val="0EC4408A"/>
    <w:rsid w:val="0ECD6BD5"/>
    <w:rsid w:val="0EDA3DE0"/>
    <w:rsid w:val="0EE241B0"/>
    <w:rsid w:val="0EE470B9"/>
    <w:rsid w:val="0EE51F3F"/>
    <w:rsid w:val="0EE67C37"/>
    <w:rsid w:val="0EE96C61"/>
    <w:rsid w:val="0EEF6278"/>
    <w:rsid w:val="0F070719"/>
    <w:rsid w:val="0F0E340F"/>
    <w:rsid w:val="0F110F65"/>
    <w:rsid w:val="0F126FC2"/>
    <w:rsid w:val="0F1821BC"/>
    <w:rsid w:val="0F1F71AB"/>
    <w:rsid w:val="0F206FE9"/>
    <w:rsid w:val="0F246E43"/>
    <w:rsid w:val="0F2F2F21"/>
    <w:rsid w:val="0F303168"/>
    <w:rsid w:val="0F3346BD"/>
    <w:rsid w:val="0F3E6D6B"/>
    <w:rsid w:val="0F521390"/>
    <w:rsid w:val="0F551890"/>
    <w:rsid w:val="0F5B58BB"/>
    <w:rsid w:val="0F6735DF"/>
    <w:rsid w:val="0F6A4B85"/>
    <w:rsid w:val="0F716691"/>
    <w:rsid w:val="0F735DB2"/>
    <w:rsid w:val="0F7840D6"/>
    <w:rsid w:val="0F7B2D75"/>
    <w:rsid w:val="0F873A0E"/>
    <w:rsid w:val="0F883C70"/>
    <w:rsid w:val="0F8B6CB6"/>
    <w:rsid w:val="0F9177B5"/>
    <w:rsid w:val="0F9A3FA1"/>
    <w:rsid w:val="0F9E606C"/>
    <w:rsid w:val="0FA17F55"/>
    <w:rsid w:val="0FA35FFE"/>
    <w:rsid w:val="0FA821B8"/>
    <w:rsid w:val="0FAE546F"/>
    <w:rsid w:val="0FB50512"/>
    <w:rsid w:val="0FB8781F"/>
    <w:rsid w:val="0FC24482"/>
    <w:rsid w:val="0FC754B6"/>
    <w:rsid w:val="0FCD46F4"/>
    <w:rsid w:val="0FCE3065"/>
    <w:rsid w:val="0FE107E2"/>
    <w:rsid w:val="0FE336DE"/>
    <w:rsid w:val="0FED1D3E"/>
    <w:rsid w:val="10065756"/>
    <w:rsid w:val="100A69A4"/>
    <w:rsid w:val="100E17EE"/>
    <w:rsid w:val="10140347"/>
    <w:rsid w:val="101B54B3"/>
    <w:rsid w:val="101C6175"/>
    <w:rsid w:val="104210EE"/>
    <w:rsid w:val="10444B77"/>
    <w:rsid w:val="10495D6E"/>
    <w:rsid w:val="104C1069"/>
    <w:rsid w:val="10513C3F"/>
    <w:rsid w:val="10541F36"/>
    <w:rsid w:val="105D2D1E"/>
    <w:rsid w:val="10623D8F"/>
    <w:rsid w:val="106737C7"/>
    <w:rsid w:val="10703686"/>
    <w:rsid w:val="1075160B"/>
    <w:rsid w:val="107760A9"/>
    <w:rsid w:val="10780D89"/>
    <w:rsid w:val="107B52AA"/>
    <w:rsid w:val="107D625B"/>
    <w:rsid w:val="107E75D8"/>
    <w:rsid w:val="10805AB8"/>
    <w:rsid w:val="108161A3"/>
    <w:rsid w:val="1089301A"/>
    <w:rsid w:val="108B29C7"/>
    <w:rsid w:val="10901F21"/>
    <w:rsid w:val="10974AA9"/>
    <w:rsid w:val="10A21388"/>
    <w:rsid w:val="10A60889"/>
    <w:rsid w:val="10AA391A"/>
    <w:rsid w:val="10B27075"/>
    <w:rsid w:val="10B27B37"/>
    <w:rsid w:val="10B33FFC"/>
    <w:rsid w:val="10BA25C0"/>
    <w:rsid w:val="10C02E80"/>
    <w:rsid w:val="10C121EA"/>
    <w:rsid w:val="10C2285B"/>
    <w:rsid w:val="10C54276"/>
    <w:rsid w:val="10D27169"/>
    <w:rsid w:val="10D309E2"/>
    <w:rsid w:val="10D621B1"/>
    <w:rsid w:val="10D81E5C"/>
    <w:rsid w:val="10DA39AB"/>
    <w:rsid w:val="10DE746C"/>
    <w:rsid w:val="10EB7A42"/>
    <w:rsid w:val="10F16967"/>
    <w:rsid w:val="10F21B48"/>
    <w:rsid w:val="10F61CDD"/>
    <w:rsid w:val="10F91FDE"/>
    <w:rsid w:val="10F941E9"/>
    <w:rsid w:val="11083015"/>
    <w:rsid w:val="110A357B"/>
    <w:rsid w:val="110D2E2E"/>
    <w:rsid w:val="1113498F"/>
    <w:rsid w:val="11145DE6"/>
    <w:rsid w:val="111A2147"/>
    <w:rsid w:val="112252CB"/>
    <w:rsid w:val="11360EF9"/>
    <w:rsid w:val="113641BB"/>
    <w:rsid w:val="113B0B58"/>
    <w:rsid w:val="113D4F12"/>
    <w:rsid w:val="113D775B"/>
    <w:rsid w:val="11410876"/>
    <w:rsid w:val="114608E7"/>
    <w:rsid w:val="114F3D65"/>
    <w:rsid w:val="115347BC"/>
    <w:rsid w:val="11545887"/>
    <w:rsid w:val="11597C64"/>
    <w:rsid w:val="116228E3"/>
    <w:rsid w:val="11631325"/>
    <w:rsid w:val="116345A4"/>
    <w:rsid w:val="11667833"/>
    <w:rsid w:val="11687433"/>
    <w:rsid w:val="1178450A"/>
    <w:rsid w:val="117B53DF"/>
    <w:rsid w:val="117B71D3"/>
    <w:rsid w:val="11845F00"/>
    <w:rsid w:val="11885DD3"/>
    <w:rsid w:val="118A58E4"/>
    <w:rsid w:val="118F0DB3"/>
    <w:rsid w:val="11916F88"/>
    <w:rsid w:val="11A51BB6"/>
    <w:rsid w:val="11AC6860"/>
    <w:rsid w:val="11B62D0B"/>
    <w:rsid w:val="11BE6E3E"/>
    <w:rsid w:val="11C52A21"/>
    <w:rsid w:val="11C75474"/>
    <w:rsid w:val="11D26FDB"/>
    <w:rsid w:val="11D435B9"/>
    <w:rsid w:val="11D8409F"/>
    <w:rsid w:val="11D95083"/>
    <w:rsid w:val="11DD2AAB"/>
    <w:rsid w:val="11DE26F2"/>
    <w:rsid w:val="11DF6987"/>
    <w:rsid w:val="11EA23C8"/>
    <w:rsid w:val="11EB5C95"/>
    <w:rsid w:val="11ED6242"/>
    <w:rsid w:val="12010E7D"/>
    <w:rsid w:val="120506CD"/>
    <w:rsid w:val="12075A2C"/>
    <w:rsid w:val="120A0C4D"/>
    <w:rsid w:val="120A38DA"/>
    <w:rsid w:val="12101A57"/>
    <w:rsid w:val="12193170"/>
    <w:rsid w:val="12193813"/>
    <w:rsid w:val="121D6AE3"/>
    <w:rsid w:val="121F75CC"/>
    <w:rsid w:val="12271CB0"/>
    <w:rsid w:val="122C1A12"/>
    <w:rsid w:val="1232130B"/>
    <w:rsid w:val="12395D63"/>
    <w:rsid w:val="12401AD9"/>
    <w:rsid w:val="12421E9D"/>
    <w:rsid w:val="1248421F"/>
    <w:rsid w:val="12571C4D"/>
    <w:rsid w:val="125C09FF"/>
    <w:rsid w:val="12657F0C"/>
    <w:rsid w:val="126830F6"/>
    <w:rsid w:val="126B5207"/>
    <w:rsid w:val="126F57E1"/>
    <w:rsid w:val="12760E78"/>
    <w:rsid w:val="127673DB"/>
    <w:rsid w:val="127E0189"/>
    <w:rsid w:val="12810A1D"/>
    <w:rsid w:val="12854B81"/>
    <w:rsid w:val="12927837"/>
    <w:rsid w:val="12A30BAA"/>
    <w:rsid w:val="12A709D5"/>
    <w:rsid w:val="12A867C5"/>
    <w:rsid w:val="12B56515"/>
    <w:rsid w:val="12BE11B2"/>
    <w:rsid w:val="12BE1828"/>
    <w:rsid w:val="12C21464"/>
    <w:rsid w:val="12C40A29"/>
    <w:rsid w:val="12C42DA1"/>
    <w:rsid w:val="12C45CF0"/>
    <w:rsid w:val="12C948D2"/>
    <w:rsid w:val="12CB14EE"/>
    <w:rsid w:val="12CE6902"/>
    <w:rsid w:val="12D54B1A"/>
    <w:rsid w:val="12EE0F39"/>
    <w:rsid w:val="12EF155A"/>
    <w:rsid w:val="12F17350"/>
    <w:rsid w:val="12F712FB"/>
    <w:rsid w:val="12FA0E2E"/>
    <w:rsid w:val="12FF7A62"/>
    <w:rsid w:val="13037A88"/>
    <w:rsid w:val="133844CA"/>
    <w:rsid w:val="1347596A"/>
    <w:rsid w:val="13477178"/>
    <w:rsid w:val="134B5A55"/>
    <w:rsid w:val="134C0AA1"/>
    <w:rsid w:val="136041BC"/>
    <w:rsid w:val="136F4FE6"/>
    <w:rsid w:val="13713F6F"/>
    <w:rsid w:val="13762A14"/>
    <w:rsid w:val="13790756"/>
    <w:rsid w:val="137B6EE7"/>
    <w:rsid w:val="137E2E27"/>
    <w:rsid w:val="138C25C7"/>
    <w:rsid w:val="138E741D"/>
    <w:rsid w:val="1390357D"/>
    <w:rsid w:val="139670E5"/>
    <w:rsid w:val="13970D93"/>
    <w:rsid w:val="139F1C24"/>
    <w:rsid w:val="13A023E7"/>
    <w:rsid w:val="13A04270"/>
    <w:rsid w:val="13A86C77"/>
    <w:rsid w:val="13A90344"/>
    <w:rsid w:val="13A9454D"/>
    <w:rsid w:val="13B35BBD"/>
    <w:rsid w:val="13BF3D28"/>
    <w:rsid w:val="13C32466"/>
    <w:rsid w:val="13C77F07"/>
    <w:rsid w:val="13CE4E2F"/>
    <w:rsid w:val="13CF48B4"/>
    <w:rsid w:val="13E45E4B"/>
    <w:rsid w:val="13F57229"/>
    <w:rsid w:val="13F60043"/>
    <w:rsid w:val="13F63AC9"/>
    <w:rsid w:val="13FF4761"/>
    <w:rsid w:val="1401651E"/>
    <w:rsid w:val="14065625"/>
    <w:rsid w:val="14127CF3"/>
    <w:rsid w:val="1416357F"/>
    <w:rsid w:val="14175C6D"/>
    <w:rsid w:val="14182B9E"/>
    <w:rsid w:val="141A193D"/>
    <w:rsid w:val="14211963"/>
    <w:rsid w:val="142160CA"/>
    <w:rsid w:val="142E4E6B"/>
    <w:rsid w:val="14332094"/>
    <w:rsid w:val="143B554F"/>
    <w:rsid w:val="144128ED"/>
    <w:rsid w:val="144D721A"/>
    <w:rsid w:val="14504C78"/>
    <w:rsid w:val="14552700"/>
    <w:rsid w:val="1455301F"/>
    <w:rsid w:val="145E0ED6"/>
    <w:rsid w:val="145F4E9E"/>
    <w:rsid w:val="1468041E"/>
    <w:rsid w:val="146A5814"/>
    <w:rsid w:val="146D4E79"/>
    <w:rsid w:val="1479121F"/>
    <w:rsid w:val="147C1504"/>
    <w:rsid w:val="148112AD"/>
    <w:rsid w:val="14933736"/>
    <w:rsid w:val="149D19D1"/>
    <w:rsid w:val="14AD2447"/>
    <w:rsid w:val="14BD0C90"/>
    <w:rsid w:val="14BD7435"/>
    <w:rsid w:val="14D41B03"/>
    <w:rsid w:val="14EC7262"/>
    <w:rsid w:val="14F50637"/>
    <w:rsid w:val="14F56962"/>
    <w:rsid w:val="14FD3DC3"/>
    <w:rsid w:val="15052F44"/>
    <w:rsid w:val="152446F6"/>
    <w:rsid w:val="15274A34"/>
    <w:rsid w:val="152C74BF"/>
    <w:rsid w:val="152E54C4"/>
    <w:rsid w:val="1535555F"/>
    <w:rsid w:val="15382813"/>
    <w:rsid w:val="154B27A9"/>
    <w:rsid w:val="154B6CF6"/>
    <w:rsid w:val="15516306"/>
    <w:rsid w:val="155B06BC"/>
    <w:rsid w:val="155B6FCC"/>
    <w:rsid w:val="15620F8B"/>
    <w:rsid w:val="156514F3"/>
    <w:rsid w:val="15707694"/>
    <w:rsid w:val="157477F0"/>
    <w:rsid w:val="157F4B83"/>
    <w:rsid w:val="15864057"/>
    <w:rsid w:val="158A2F64"/>
    <w:rsid w:val="158C53F6"/>
    <w:rsid w:val="15946EC2"/>
    <w:rsid w:val="1594709F"/>
    <w:rsid w:val="159B1410"/>
    <w:rsid w:val="159D2E6C"/>
    <w:rsid w:val="15A625C0"/>
    <w:rsid w:val="15A70541"/>
    <w:rsid w:val="15A7643A"/>
    <w:rsid w:val="15AD4348"/>
    <w:rsid w:val="15AD7612"/>
    <w:rsid w:val="15B96153"/>
    <w:rsid w:val="15BC619F"/>
    <w:rsid w:val="15BF618A"/>
    <w:rsid w:val="15C40EFF"/>
    <w:rsid w:val="15CA097E"/>
    <w:rsid w:val="15D92955"/>
    <w:rsid w:val="15F5535B"/>
    <w:rsid w:val="15F569FA"/>
    <w:rsid w:val="15F656C7"/>
    <w:rsid w:val="15F85F00"/>
    <w:rsid w:val="15F969EC"/>
    <w:rsid w:val="16005D04"/>
    <w:rsid w:val="1607152F"/>
    <w:rsid w:val="160D7883"/>
    <w:rsid w:val="160E7A4D"/>
    <w:rsid w:val="16104DB0"/>
    <w:rsid w:val="1613433D"/>
    <w:rsid w:val="16200AF2"/>
    <w:rsid w:val="162E270B"/>
    <w:rsid w:val="162E2ADD"/>
    <w:rsid w:val="16313AA6"/>
    <w:rsid w:val="163267A4"/>
    <w:rsid w:val="163C0B35"/>
    <w:rsid w:val="16405266"/>
    <w:rsid w:val="164561DB"/>
    <w:rsid w:val="1651617C"/>
    <w:rsid w:val="16672683"/>
    <w:rsid w:val="166852CC"/>
    <w:rsid w:val="16696EE3"/>
    <w:rsid w:val="16713663"/>
    <w:rsid w:val="167518D2"/>
    <w:rsid w:val="168864E9"/>
    <w:rsid w:val="16907088"/>
    <w:rsid w:val="1697702E"/>
    <w:rsid w:val="169A4327"/>
    <w:rsid w:val="169D4FCC"/>
    <w:rsid w:val="16A26D59"/>
    <w:rsid w:val="16A31912"/>
    <w:rsid w:val="16A52825"/>
    <w:rsid w:val="16A60389"/>
    <w:rsid w:val="16AC66DD"/>
    <w:rsid w:val="16AD326E"/>
    <w:rsid w:val="16B06BAD"/>
    <w:rsid w:val="16B17712"/>
    <w:rsid w:val="16B95CF7"/>
    <w:rsid w:val="16C42B77"/>
    <w:rsid w:val="16D55B33"/>
    <w:rsid w:val="16D74218"/>
    <w:rsid w:val="16DD2E8B"/>
    <w:rsid w:val="16E376E7"/>
    <w:rsid w:val="16E40C30"/>
    <w:rsid w:val="16E72981"/>
    <w:rsid w:val="16EB66D9"/>
    <w:rsid w:val="16EE35CD"/>
    <w:rsid w:val="16F47BF5"/>
    <w:rsid w:val="16F500A9"/>
    <w:rsid w:val="16F872C3"/>
    <w:rsid w:val="16FA06E3"/>
    <w:rsid w:val="170167F2"/>
    <w:rsid w:val="17035AAC"/>
    <w:rsid w:val="17054499"/>
    <w:rsid w:val="170B0BD9"/>
    <w:rsid w:val="170D5EDA"/>
    <w:rsid w:val="17182913"/>
    <w:rsid w:val="17197EC3"/>
    <w:rsid w:val="171E2D1A"/>
    <w:rsid w:val="172E1BBE"/>
    <w:rsid w:val="173A6824"/>
    <w:rsid w:val="173B1FA1"/>
    <w:rsid w:val="173C594E"/>
    <w:rsid w:val="17503F57"/>
    <w:rsid w:val="17505DD6"/>
    <w:rsid w:val="17586CB0"/>
    <w:rsid w:val="17596CA9"/>
    <w:rsid w:val="17600681"/>
    <w:rsid w:val="17665D9F"/>
    <w:rsid w:val="17696EA4"/>
    <w:rsid w:val="17795030"/>
    <w:rsid w:val="177B0627"/>
    <w:rsid w:val="177D3C16"/>
    <w:rsid w:val="178501CB"/>
    <w:rsid w:val="178A042D"/>
    <w:rsid w:val="178A1F82"/>
    <w:rsid w:val="17920EA7"/>
    <w:rsid w:val="1797450B"/>
    <w:rsid w:val="17A644BF"/>
    <w:rsid w:val="17A92F07"/>
    <w:rsid w:val="17B23E0F"/>
    <w:rsid w:val="17B31B32"/>
    <w:rsid w:val="17B80549"/>
    <w:rsid w:val="17C063A0"/>
    <w:rsid w:val="17C16366"/>
    <w:rsid w:val="17C76A67"/>
    <w:rsid w:val="17DA0F7A"/>
    <w:rsid w:val="17DC2D7F"/>
    <w:rsid w:val="17E95276"/>
    <w:rsid w:val="17EA38A1"/>
    <w:rsid w:val="17EB77A3"/>
    <w:rsid w:val="17EC5E41"/>
    <w:rsid w:val="1806537C"/>
    <w:rsid w:val="18066C18"/>
    <w:rsid w:val="181C2683"/>
    <w:rsid w:val="181E4167"/>
    <w:rsid w:val="18341D76"/>
    <w:rsid w:val="18351C27"/>
    <w:rsid w:val="18553A22"/>
    <w:rsid w:val="18607956"/>
    <w:rsid w:val="186E420E"/>
    <w:rsid w:val="187A14AA"/>
    <w:rsid w:val="187B7B4F"/>
    <w:rsid w:val="1887188F"/>
    <w:rsid w:val="18935E66"/>
    <w:rsid w:val="18A35548"/>
    <w:rsid w:val="18A63203"/>
    <w:rsid w:val="18A77689"/>
    <w:rsid w:val="18A816B2"/>
    <w:rsid w:val="18B25B64"/>
    <w:rsid w:val="18B8431F"/>
    <w:rsid w:val="18B90C48"/>
    <w:rsid w:val="18BC4ADF"/>
    <w:rsid w:val="18BD1521"/>
    <w:rsid w:val="18BD2E66"/>
    <w:rsid w:val="18BE7EAB"/>
    <w:rsid w:val="18CF2450"/>
    <w:rsid w:val="18DA12E6"/>
    <w:rsid w:val="18E62F4B"/>
    <w:rsid w:val="18E85386"/>
    <w:rsid w:val="18FC503B"/>
    <w:rsid w:val="19027C40"/>
    <w:rsid w:val="190E3326"/>
    <w:rsid w:val="190E3538"/>
    <w:rsid w:val="19164D1E"/>
    <w:rsid w:val="192D514C"/>
    <w:rsid w:val="193544CD"/>
    <w:rsid w:val="19443AA2"/>
    <w:rsid w:val="1945355B"/>
    <w:rsid w:val="194817FC"/>
    <w:rsid w:val="194A0D45"/>
    <w:rsid w:val="195159CB"/>
    <w:rsid w:val="195961D5"/>
    <w:rsid w:val="195C14E8"/>
    <w:rsid w:val="196515C3"/>
    <w:rsid w:val="197859DA"/>
    <w:rsid w:val="1980769C"/>
    <w:rsid w:val="19884F66"/>
    <w:rsid w:val="19917CFC"/>
    <w:rsid w:val="1997576B"/>
    <w:rsid w:val="1998697F"/>
    <w:rsid w:val="199A20B4"/>
    <w:rsid w:val="19A71B82"/>
    <w:rsid w:val="19B84C88"/>
    <w:rsid w:val="19C6694E"/>
    <w:rsid w:val="19D11E61"/>
    <w:rsid w:val="19D5618C"/>
    <w:rsid w:val="19E22401"/>
    <w:rsid w:val="19E23808"/>
    <w:rsid w:val="19F44B16"/>
    <w:rsid w:val="1A00532F"/>
    <w:rsid w:val="1A040FBD"/>
    <w:rsid w:val="1A067DCA"/>
    <w:rsid w:val="1A102A1C"/>
    <w:rsid w:val="1A13214F"/>
    <w:rsid w:val="1A434C13"/>
    <w:rsid w:val="1A4E18BB"/>
    <w:rsid w:val="1A5C550E"/>
    <w:rsid w:val="1A5E5759"/>
    <w:rsid w:val="1A61514E"/>
    <w:rsid w:val="1A624E9D"/>
    <w:rsid w:val="1A6F769D"/>
    <w:rsid w:val="1A712AE5"/>
    <w:rsid w:val="1A74386E"/>
    <w:rsid w:val="1A783427"/>
    <w:rsid w:val="1A7B0419"/>
    <w:rsid w:val="1A8A143B"/>
    <w:rsid w:val="1A954C9C"/>
    <w:rsid w:val="1AA67BD3"/>
    <w:rsid w:val="1AC70097"/>
    <w:rsid w:val="1ACC39D6"/>
    <w:rsid w:val="1ADE0868"/>
    <w:rsid w:val="1AF7489C"/>
    <w:rsid w:val="1AFA3523"/>
    <w:rsid w:val="1AFD3AEA"/>
    <w:rsid w:val="1B05238D"/>
    <w:rsid w:val="1B13587B"/>
    <w:rsid w:val="1B1D44BA"/>
    <w:rsid w:val="1B2C07D2"/>
    <w:rsid w:val="1B2C5EE0"/>
    <w:rsid w:val="1B3604D3"/>
    <w:rsid w:val="1B364D11"/>
    <w:rsid w:val="1B3865C6"/>
    <w:rsid w:val="1B3E5EDE"/>
    <w:rsid w:val="1B433153"/>
    <w:rsid w:val="1B467529"/>
    <w:rsid w:val="1B4B00CA"/>
    <w:rsid w:val="1B566C78"/>
    <w:rsid w:val="1B5F1247"/>
    <w:rsid w:val="1B6307EA"/>
    <w:rsid w:val="1B79696C"/>
    <w:rsid w:val="1B7E1824"/>
    <w:rsid w:val="1B825166"/>
    <w:rsid w:val="1B890C23"/>
    <w:rsid w:val="1B9411FC"/>
    <w:rsid w:val="1B9D6CE8"/>
    <w:rsid w:val="1BA866D1"/>
    <w:rsid w:val="1BBB422B"/>
    <w:rsid w:val="1BC600B5"/>
    <w:rsid w:val="1BCD55F8"/>
    <w:rsid w:val="1BE011AE"/>
    <w:rsid w:val="1BE30F90"/>
    <w:rsid w:val="1BE31093"/>
    <w:rsid w:val="1BE956C8"/>
    <w:rsid w:val="1C022294"/>
    <w:rsid w:val="1C0B35D4"/>
    <w:rsid w:val="1C12573D"/>
    <w:rsid w:val="1C1D1EE2"/>
    <w:rsid w:val="1C234861"/>
    <w:rsid w:val="1C2E319B"/>
    <w:rsid w:val="1C3477C5"/>
    <w:rsid w:val="1C4F6563"/>
    <w:rsid w:val="1C545F3D"/>
    <w:rsid w:val="1C556488"/>
    <w:rsid w:val="1C563FE3"/>
    <w:rsid w:val="1C5A182A"/>
    <w:rsid w:val="1C62402E"/>
    <w:rsid w:val="1C62587C"/>
    <w:rsid w:val="1C6818E0"/>
    <w:rsid w:val="1C6F3BF6"/>
    <w:rsid w:val="1C722E7E"/>
    <w:rsid w:val="1C784A9F"/>
    <w:rsid w:val="1C7D008B"/>
    <w:rsid w:val="1C7D2EB6"/>
    <w:rsid w:val="1C805B43"/>
    <w:rsid w:val="1C852BB0"/>
    <w:rsid w:val="1C8D54A8"/>
    <w:rsid w:val="1C8D59DD"/>
    <w:rsid w:val="1C8E63A1"/>
    <w:rsid w:val="1C9651FD"/>
    <w:rsid w:val="1C9C41C6"/>
    <w:rsid w:val="1CA42FB6"/>
    <w:rsid w:val="1CB21A29"/>
    <w:rsid w:val="1CCB32EE"/>
    <w:rsid w:val="1CD23361"/>
    <w:rsid w:val="1CD35882"/>
    <w:rsid w:val="1CE302F7"/>
    <w:rsid w:val="1CEC4F96"/>
    <w:rsid w:val="1CF13B49"/>
    <w:rsid w:val="1CF52075"/>
    <w:rsid w:val="1CF70EE3"/>
    <w:rsid w:val="1CFE7E6D"/>
    <w:rsid w:val="1D011F4C"/>
    <w:rsid w:val="1D0D1F95"/>
    <w:rsid w:val="1D1C7AC2"/>
    <w:rsid w:val="1D1D6A85"/>
    <w:rsid w:val="1D207BFC"/>
    <w:rsid w:val="1D230741"/>
    <w:rsid w:val="1D2F0DCA"/>
    <w:rsid w:val="1D397D96"/>
    <w:rsid w:val="1D3A5DFA"/>
    <w:rsid w:val="1D3E30CF"/>
    <w:rsid w:val="1D3E57BA"/>
    <w:rsid w:val="1D3F5BF4"/>
    <w:rsid w:val="1D49558F"/>
    <w:rsid w:val="1D4B4B5A"/>
    <w:rsid w:val="1D584348"/>
    <w:rsid w:val="1D597DDF"/>
    <w:rsid w:val="1D5D209F"/>
    <w:rsid w:val="1D6D4785"/>
    <w:rsid w:val="1D6E27CD"/>
    <w:rsid w:val="1D767ADA"/>
    <w:rsid w:val="1D7A0D45"/>
    <w:rsid w:val="1D845021"/>
    <w:rsid w:val="1D861B2D"/>
    <w:rsid w:val="1D896FB3"/>
    <w:rsid w:val="1D91741D"/>
    <w:rsid w:val="1D9318C5"/>
    <w:rsid w:val="1D941B55"/>
    <w:rsid w:val="1DAB7998"/>
    <w:rsid w:val="1DB01072"/>
    <w:rsid w:val="1DB2076E"/>
    <w:rsid w:val="1DB43F2E"/>
    <w:rsid w:val="1DBE6DCD"/>
    <w:rsid w:val="1DC2628A"/>
    <w:rsid w:val="1DCF57CE"/>
    <w:rsid w:val="1DD11EB5"/>
    <w:rsid w:val="1DD246EC"/>
    <w:rsid w:val="1DD63079"/>
    <w:rsid w:val="1DD859F5"/>
    <w:rsid w:val="1DDA6EEA"/>
    <w:rsid w:val="1DDD63A7"/>
    <w:rsid w:val="1DE56ABE"/>
    <w:rsid w:val="1DFC4DF9"/>
    <w:rsid w:val="1E0435A0"/>
    <w:rsid w:val="1E110D2A"/>
    <w:rsid w:val="1E1247A2"/>
    <w:rsid w:val="1E155062"/>
    <w:rsid w:val="1E193E9C"/>
    <w:rsid w:val="1E1B38E9"/>
    <w:rsid w:val="1E1B7186"/>
    <w:rsid w:val="1E303EF3"/>
    <w:rsid w:val="1E3F6D05"/>
    <w:rsid w:val="1E494B8A"/>
    <w:rsid w:val="1E4F0222"/>
    <w:rsid w:val="1E5C2AF3"/>
    <w:rsid w:val="1E795C41"/>
    <w:rsid w:val="1E7E640D"/>
    <w:rsid w:val="1E7F3A72"/>
    <w:rsid w:val="1E8064D3"/>
    <w:rsid w:val="1E861E21"/>
    <w:rsid w:val="1EA72270"/>
    <w:rsid w:val="1EBD6E42"/>
    <w:rsid w:val="1EC25D1C"/>
    <w:rsid w:val="1EC74AB4"/>
    <w:rsid w:val="1EC87ABC"/>
    <w:rsid w:val="1ED242FC"/>
    <w:rsid w:val="1ED56C03"/>
    <w:rsid w:val="1EDA0174"/>
    <w:rsid w:val="1EDB3888"/>
    <w:rsid w:val="1EE05F54"/>
    <w:rsid w:val="1EE332A7"/>
    <w:rsid w:val="1EF579A0"/>
    <w:rsid w:val="1F05532C"/>
    <w:rsid w:val="1F095121"/>
    <w:rsid w:val="1F0C3604"/>
    <w:rsid w:val="1F0D0383"/>
    <w:rsid w:val="1F0F4C7A"/>
    <w:rsid w:val="1F1527EE"/>
    <w:rsid w:val="1F20034A"/>
    <w:rsid w:val="1F251ABC"/>
    <w:rsid w:val="1F290391"/>
    <w:rsid w:val="1F2A2D10"/>
    <w:rsid w:val="1F370102"/>
    <w:rsid w:val="1F3F0073"/>
    <w:rsid w:val="1F43546C"/>
    <w:rsid w:val="1F48506F"/>
    <w:rsid w:val="1F4B10C3"/>
    <w:rsid w:val="1F5C7F87"/>
    <w:rsid w:val="1F6C1D79"/>
    <w:rsid w:val="1F792E9A"/>
    <w:rsid w:val="1F7B67F6"/>
    <w:rsid w:val="1F7C518B"/>
    <w:rsid w:val="1F881F59"/>
    <w:rsid w:val="1F977565"/>
    <w:rsid w:val="1F9B644E"/>
    <w:rsid w:val="1FA429B4"/>
    <w:rsid w:val="1FB34801"/>
    <w:rsid w:val="1FB75185"/>
    <w:rsid w:val="1FB97163"/>
    <w:rsid w:val="1FBD0EE6"/>
    <w:rsid w:val="1FC10346"/>
    <w:rsid w:val="1FC16504"/>
    <w:rsid w:val="1FDB745E"/>
    <w:rsid w:val="1FDD028C"/>
    <w:rsid w:val="1FF955B0"/>
    <w:rsid w:val="1FFA3EAB"/>
    <w:rsid w:val="1FFB3FF4"/>
    <w:rsid w:val="20176E76"/>
    <w:rsid w:val="201C2D60"/>
    <w:rsid w:val="20270162"/>
    <w:rsid w:val="203F0CD6"/>
    <w:rsid w:val="20655E4F"/>
    <w:rsid w:val="207308C3"/>
    <w:rsid w:val="207411D3"/>
    <w:rsid w:val="20743131"/>
    <w:rsid w:val="207536DF"/>
    <w:rsid w:val="20783BF9"/>
    <w:rsid w:val="20786435"/>
    <w:rsid w:val="20811113"/>
    <w:rsid w:val="20874766"/>
    <w:rsid w:val="2088281D"/>
    <w:rsid w:val="2088475A"/>
    <w:rsid w:val="20917F9C"/>
    <w:rsid w:val="2094661E"/>
    <w:rsid w:val="20951ED4"/>
    <w:rsid w:val="20962536"/>
    <w:rsid w:val="20AF5726"/>
    <w:rsid w:val="20B50E80"/>
    <w:rsid w:val="20B71F63"/>
    <w:rsid w:val="20B7483F"/>
    <w:rsid w:val="20BD02A3"/>
    <w:rsid w:val="20BE1841"/>
    <w:rsid w:val="20D078F3"/>
    <w:rsid w:val="20D200AD"/>
    <w:rsid w:val="20D95B71"/>
    <w:rsid w:val="20DA60A5"/>
    <w:rsid w:val="20DB223A"/>
    <w:rsid w:val="20E51C80"/>
    <w:rsid w:val="20E61367"/>
    <w:rsid w:val="20EC58CB"/>
    <w:rsid w:val="20F17304"/>
    <w:rsid w:val="21014223"/>
    <w:rsid w:val="21200021"/>
    <w:rsid w:val="21257F04"/>
    <w:rsid w:val="21291A31"/>
    <w:rsid w:val="21353F50"/>
    <w:rsid w:val="2138052E"/>
    <w:rsid w:val="213C3CC5"/>
    <w:rsid w:val="214776EA"/>
    <w:rsid w:val="21522E38"/>
    <w:rsid w:val="2159046C"/>
    <w:rsid w:val="21592762"/>
    <w:rsid w:val="215F3A68"/>
    <w:rsid w:val="21611A31"/>
    <w:rsid w:val="21635586"/>
    <w:rsid w:val="21760888"/>
    <w:rsid w:val="217B17E2"/>
    <w:rsid w:val="218810BD"/>
    <w:rsid w:val="218D61A9"/>
    <w:rsid w:val="2190117D"/>
    <w:rsid w:val="219140F2"/>
    <w:rsid w:val="21994057"/>
    <w:rsid w:val="219A79A2"/>
    <w:rsid w:val="219F1479"/>
    <w:rsid w:val="21A34664"/>
    <w:rsid w:val="21B80E8C"/>
    <w:rsid w:val="21B91F5E"/>
    <w:rsid w:val="21C24072"/>
    <w:rsid w:val="21C73828"/>
    <w:rsid w:val="21D55950"/>
    <w:rsid w:val="21D965A1"/>
    <w:rsid w:val="21E11782"/>
    <w:rsid w:val="21E14B35"/>
    <w:rsid w:val="21E617C0"/>
    <w:rsid w:val="21EC3E44"/>
    <w:rsid w:val="21F2539C"/>
    <w:rsid w:val="21F65A58"/>
    <w:rsid w:val="21FB61D0"/>
    <w:rsid w:val="220B3AD6"/>
    <w:rsid w:val="22191ECB"/>
    <w:rsid w:val="221E272E"/>
    <w:rsid w:val="2221560D"/>
    <w:rsid w:val="222A1FFE"/>
    <w:rsid w:val="222B075F"/>
    <w:rsid w:val="22367DC0"/>
    <w:rsid w:val="223C2D91"/>
    <w:rsid w:val="22426753"/>
    <w:rsid w:val="224D7BB0"/>
    <w:rsid w:val="22541D32"/>
    <w:rsid w:val="225474CD"/>
    <w:rsid w:val="225E1754"/>
    <w:rsid w:val="225F0409"/>
    <w:rsid w:val="225F51CF"/>
    <w:rsid w:val="226D42BA"/>
    <w:rsid w:val="227078B0"/>
    <w:rsid w:val="2271187B"/>
    <w:rsid w:val="22833161"/>
    <w:rsid w:val="228338C8"/>
    <w:rsid w:val="22840DDA"/>
    <w:rsid w:val="22876A0D"/>
    <w:rsid w:val="22A11695"/>
    <w:rsid w:val="22A63B38"/>
    <w:rsid w:val="22A73490"/>
    <w:rsid w:val="22A8489A"/>
    <w:rsid w:val="22AA7376"/>
    <w:rsid w:val="22AB3B60"/>
    <w:rsid w:val="22AF11A1"/>
    <w:rsid w:val="22B22D1F"/>
    <w:rsid w:val="22B33D99"/>
    <w:rsid w:val="22BB4A47"/>
    <w:rsid w:val="22BC2773"/>
    <w:rsid w:val="22BE29D6"/>
    <w:rsid w:val="22C27BE8"/>
    <w:rsid w:val="22C4003E"/>
    <w:rsid w:val="22D02654"/>
    <w:rsid w:val="22D10E4B"/>
    <w:rsid w:val="22D90210"/>
    <w:rsid w:val="22D912F9"/>
    <w:rsid w:val="22E1284D"/>
    <w:rsid w:val="22E73006"/>
    <w:rsid w:val="22EB3773"/>
    <w:rsid w:val="22EE13BE"/>
    <w:rsid w:val="22F31E85"/>
    <w:rsid w:val="22F71A54"/>
    <w:rsid w:val="22F74CC6"/>
    <w:rsid w:val="22FB2321"/>
    <w:rsid w:val="22FF6AA7"/>
    <w:rsid w:val="2306325F"/>
    <w:rsid w:val="230749DA"/>
    <w:rsid w:val="230753E2"/>
    <w:rsid w:val="230F5270"/>
    <w:rsid w:val="2311101C"/>
    <w:rsid w:val="231869B1"/>
    <w:rsid w:val="2319089C"/>
    <w:rsid w:val="231B2491"/>
    <w:rsid w:val="232515D0"/>
    <w:rsid w:val="232F45E5"/>
    <w:rsid w:val="23382F5D"/>
    <w:rsid w:val="233857DC"/>
    <w:rsid w:val="233E2231"/>
    <w:rsid w:val="23443C8F"/>
    <w:rsid w:val="23561548"/>
    <w:rsid w:val="23561CD1"/>
    <w:rsid w:val="235E47B6"/>
    <w:rsid w:val="23644FB5"/>
    <w:rsid w:val="23646298"/>
    <w:rsid w:val="236B32CC"/>
    <w:rsid w:val="2372506B"/>
    <w:rsid w:val="2376691B"/>
    <w:rsid w:val="2378146C"/>
    <w:rsid w:val="238D2D50"/>
    <w:rsid w:val="238D66BE"/>
    <w:rsid w:val="239540DC"/>
    <w:rsid w:val="23965F67"/>
    <w:rsid w:val="23A00272"/>
    <w:rsid w:val="23A02531"/>
    <w:rsid w:val="23A11F4F"/>
    <w:rsid w:val="23B41225"/>
    <w:rsid w:val="23BA6237"/>
    <w:rsid w:val="23BC048E"/>
    <w:rsid w:val="23C9616F"/>
    <w:rsid w:val="23CC0919"/>
    <w:rsid w:val="23CE659F"/>
    <w:rsid w:val="23CF7FD3"/>
    <w:rsid w:val="23D4199E"/>
    <w:rsid w:val="23DC01C4"/>
    <w:rsid w:val="23DC60E2"/>
    <w:rsid w:val="23E17EC8"/>
    <w:rsid w:val="23E47406"/>
    <w:rsid w:val="23E91B93"/>
    <w:rsid w:val="23F6160A"/>
    <w:rsid w:val="23FB72B1"/>
    <w:rsid w:val="24026C92"/>
    <w:rsid w:val="24027DBA"/>
    <w:rsid w:val="240657B6"/>
    <w:rsid w:val="240B36D8"/>
    <w:rsid w:val="240C2CCA"/>
    <w:rsid w:val="240C553C"/>
    <w:rsid w:val="24323334"/>
    <w:rsid w:val="243336DA"/>
    <w:rsid w:val="24373DE9"/>
    <w:rsid w:val="243D6215"/>
    <w:rsid w:val="244F01D0"/>
    <w:rsid w:val="245226BE"/>
    <w:rsid w:val="245550BB"/>
    <w:rsid w:val="245A0102"/>
    <w:rsid w:val="2461318F"/>
    <w:rsid w:val="24662623"/>
    <w:rsid w:val="24673502"/>
    <w:rsid w:val="24676BCD"/>
    <w:rsid w:val="24676F22"/>
    <w:rsid w:val="2468531E"/>
    <w:rsid w:val="246D7EC6"/>
    <w:rsid w:val="24741D21"/>
    <w:rsid w:val="24750E49"/>
    <w:rsid w:val="24860612"/>
    <w:rsid w:val="24872D53"/>
    <w:rsid w:val="248E7D90"/>
    <w:rsid w:val="249321BF"/>
    <w:rsid w:val="249C0D83"/>
    <w:rsid w:val="24A033EE"/>
    <w:rsid w:val="24B51B12"/>
    <w:rsid w:val="24C434A5"/>
    <w:rsid w:val="24CA496C"/>
    <w:rsid w:val="24D35568"/>
    <w:rsid w:val="24D72C44"/>
    <w:rsid w:val="24DB51FA"/>
    <w:rsid w:val="24E954E0"/>
    <w:rsid w:val="24F37FEF"/>
    <w:rsid w:val="24F82FB3"/>
    <w:rsid w:val="2504405A"/>
    <w:rsid w:val="251809ED"/>
    <w:rsid w:val="25241C4A"/>
    <w:rsid w:val="25265A8E"/>
    <w:rsid w:val="252A5159"/>
    <w:rsid w:val="25364407"/>
    <w:rsid w:val="25380B4A"/>
    <w:rsid w:val="253C2F3D"/>
    <w:rsid w:val="253C65AF"/>
    <w:rsid w:val="25410D56"/>
    <w:rsid w:val="254D55BA"/>
    <w:rsid w:val="254F6D5C"/>
    <w:rsid w:val="25644E19"/>
    <w:rsid w:val="256F1EB3"/>
    <w:rsid w:val="25720D21"/>
    <w:rsid w:val="257B7A7B"/>
    <w:rsid w:val="257C63F7"/>
    <w:rsid w:val="257E458B"/>
    <w:rsid w:val="258426BC"/>
    <w:rsid w:val="25867F54"/>
    <w:rsid w:val="258B4AE4"/>
    <w:rsid w:val="258C3B89"/>
    <w:rsid w:val="258C6B00"/>
    <w:rsid w:val="259114ED"/>
    <w:rsid w:val="2593720A"/>
    <w:rsid w:val="25996F48"/>
    <w:rsid w:val="259A3CB2"/>
    <w:rsid w:val="259E4C39"/>
    <w:rsid w:val="259E5828"/>
    <w:rsid w:val="25A92B92"/>
    <w:rsid w:val="25AB0A3D"/>
    <w:rsid w:val="25AC370D"/>
    <w:rsid w:val="25B22B68"/>
    <w:rsid w:val="25B5218E"/>
    <w:rsid w:val="25C15D16"/>
    <w:rsid w:val="25C55B83"/>
    <w:rsid w:val="25CD5BF1"/>
    <w:rsid w:val="25CD62C3"/>
    <w:rsid w:val="25D31208"/>
    <w:rsid w:val="25DA65CA"/>
    <w:rsid w:val="25DB6649"/>
    <w:rsid w:val="25DD0809"/>
    <w:rsid w:val="25E27416"/>
    <w:rsid w:val="25E46656"/>
    <w:rsid w:val="25E47484"/>
    <w:rsid w:val="25E92FBE"/>
    <w:rsid w:val="25F17275"/>
    <w:rsid w:val="25F31E31"/>
    <w:rsid w:val="25F70EE4"/>
    <w:rsid w:val="25FC0B75"/>
    <w:rsid w:val="260139F3"/>
    <w:rsid w:val="260556D5"/>
    <w:rsid w:val="26080DD9"/>
    <w:rsid w:val="26082798"/>
    <w:rsid w:val="26095114"/>
    <w:rsid w:val="260E454E"/>
    <w:rsid w:val="261464EE"/>
    <w:rsid w:val="26280E6C"/>
    <w:rsid w:val="262E05B0"/>
    <w:rsid w:val="26327A25"/>
    <w:rsid w:val="26372014"/>
    <w:rsid w:val="263E0859"/>
    <w:rsid w:val="263E1A96"/>
    <w:rsid w:val="26405937"/>
    <w:rsid w:val="26433FB7"/>
    <w:rsid w:val="26452DA3"/>
    <w:rsid w:val="26474B98"/>
    <w:rsid w:val="264D3294"/>
    <w:rsid w:val="266A2AD6"/>
    <w:rsid w:val="266C2FED"/>
    <w:rsid w:val="26783498"/>
    <w:rsid w:val="267A33D1"/>
    <w:rsid w:val="268246BC"/>
    <w:rsid w:val="268B7473"/>
    <w:rsid w:val="26952295"/>
    <w:rsid w:val="269626DF"/>
    <w:rsid w:val="269B7137"/>
    <w:rsid w:val="26A265DC"/>
    <w:rsid w:val="26AE5F52"/>
    <w:rsid w:val="26AE6F7F"/>
    <w:rsid w:val="26B32654"/>
    <w:rsid w:val="26B40C48"/>
    <w:rsid w:val="26B8056C"/>
    <w:rsid w:val="26C87742"/>
    <w:rsid w:val="26E33E5B"/>
    <w:rsid w:val="26E70CA8"/>
    <w:rsid w:val="26F17CAD"/>
    <w:rsid w:val="26F51567"/>
    <w:rsid w:val="26F54808"/>
    <w:rsid w:val="26FB5D95"/>
    <w:rsid w:val="26FC2F8C"/>
    <w:rsid w:val="27094F93"/>
    <w:rsid w:val="270E05C8"/>
    <w:rsid w:val="27101BFD"/>
    <w:rsid w:val="27172021"/>
    <w:rsid w:val="27190D99"/>
    <w:rsid w:val="271927EF"/>
    <w:rsid w:val="271A253D"/>
    <w:rsid w:val="271A4B23"/>
    <w:rsid w:val="271C2CE9"/>
    <w:rsid w:val="27235746"/>
    <w:rsid w:val="273E49F4"/>
    <w:rsid w:val="274321B1"/>
    <w:rsid w:val="27450C2D"/>
    <w:rsid w:val="274525DC"/>
    <w:rsid w:val="274652E6"/>
    <w:rsid w:val="27470851"/>
    <w:rsid w:val="27480748"/>
    <w:rsid w:val="274E0335"/>
    <w:rsid w:val="275D1356"/>
    <w:rsid w:val="275D4A89"/>
    <w:rsid w:val="27625310"/>
    <w:rsid w:val="27641213"/>
    <w:rsid w:val="277A2EC6"/>
    <w:rsid w:val="27841ADD"/>
    <w:rsid w:val="278B7262"/>
    <w:rsid w:val="278E7D5F"/>
    <w:rsid w:val="279429E3"/>
    <w:rsid w:val="27966F4A"/>
    <w:rsid w:val="27A74D7A"/>
    <w:rsid w:val="27A75735"/>
    <w:rsid w:val="27A91AD2"/>
    <w:rsid w:val="27AE6E2D"/>
    <w:rsid w:val="27AF57B8"/>
    <w:rsid w:val="27B24596"/>
    <w:rsid w:val="27B25FFF"/>
    <w:rsid w:val="27BA12A7"/>
    <w:rsid w:val="27BA6BC4"/>
    <w:rsid w:val="27BC2EEA"/>
    <w:rsid w:val="27C93064"/>
    <w:rsid w:val="27C96B67"/>
    <w:rsid w:val="27CB38EC"/>
    <w:rsid w:val="27CB5FF9"/>
    <w:rsid w:val="27CC0A3D"/>
    <w:rsid w:val="27D34267"/>
    <w:rsid w:val="27D62E6F"/>
    <w:rsid w:val="27D745E8"/>
    <w:rsid w:val="27E4169F"/>
    <w:rsid w:val="27E476BC"/>
    <w:rsid w:val="27E7338B"/>
    <w:rsid w:val="27EA3B97"/>
    <w:rsid w:val="27EF0430"/>
    <w:rsid w:val="27F32107"/>
    <w:rsid w:val="27FA5F82"/>
    <w:rsid w:val="28014303"/>
    <w:rsid w:val="280410A7"/>
    <w:rsid w:val="281713C1"/>
    <w:rsid w:val="28202089"/>
    <w:rsid w:val="28210C3B"/>
    <w:rsid w:val="283E3927"/>
    <w:rsid w:val="28432F7C"/>
    <w:rsid w:val="285065F4"/>
    <w:rsid w:val="28557C44"/>
    <w:rsid w:val="28564AD0"/>
    <w:rsid w:val="285E1540"/>
    <w:rsid w:val="28634EA7"/>
    <w:rsid w:val="2868554F"/>
    <w:rsid w:val="286A70A6"/>
    <w:rsid w:val="286D715D"/>
    <w:rsid w:val="28710251"/>
    <w:rsid w:val="287270BD"/>
    <w:rsid w:val="287508F6"/>
    <w:rsid w:val="288C7056"/>
    <w:rsid w:val="288F598A"/>
    <w:rsid w:val="289910F7"/>
    <w:rsid w:val="28A14F66"/>
    <w:rsid w:val="28A4234C"/>
    <w:rsid w:val="28A63531"/>
    <w:rsid w:val="28A773FC"/>
    <w:rsid w:val="28CA5B35"/>
    <w:rsid w:val="28D02425"/>
    <w:rsid w:val="28D527CA"/>
    <w:rsid w:val="28DB1A3D"/>
    <w:rsid w:val="28F133CC"/>
    <w:rsid w:val="28F729CE"/>
    <w:rsid w:val="28F934CA"/>
    <w:rsid w:val="28FA5F7F"/>
    <w:rsid w:val="29056F59"/>
    <w:rsid w:val="2907017C"/>
    <w:rsid w:val="291218C3"/>
    <w:rsid w:val="2912731C"/>
    <w:rsid w:val="29150A19"/>
    <w:rsid w:val="29157321"/>
    <w:rsid w:val="291F35AA"/>
    <w:rsid w:val="2925391D"/>
    <w:rsid w:val="292B0670"/>
    <w:rsid w:val="292E0A29"/>
    <w:rsid w:val="29325A72"/>
    <w:rsid w:val="2938341E"/>
    <w:rsid w:val="293A6E92"/>
    <w:rsid w:val="29566904"/>
    <w:rsid w:val="29582224"/>
    <w:rsid w:val="29585835"/>
    <w:rsid w:val="296074D7"/>
    <w:rsid w:val="29712D8F"/>
    <w:rsid w:val="29736267"/>
    <w:rsid w:val="297B31D3"/>
    <w:rsid w:val="298103BD"/>
    <w:rsid w:val="298D4850"/>
    <w:rsid w:val="29966295"/>
    <w:rsid w:val="29971F57"/>
    <w:rsid w:val="299C7DCA"/>
    <w:rsid w:val="29A021A8"/>
    <w:rsid w:val="29A942FB"/>
    <w:rsid w:val="29B344DC"/>
    <w:rsid w:val="29B539E6"/>
    <w:rsid w:val="29BA1399"/>
    <w:rsid w:val="29BC2699"/>
    <w:rsid w:val="29C8428C"/>
    <w:rsid w:val="29D4298C"/>
    <w:rsid w:val="29DD7E33"/>
    <w:rsid w:val="29E31C9C"/>
    <w:rsid w:val="29E55C12"/>
    <w:rsid w:val="29E81D60"/>
    <w:rsid w:val="29F035C0"/>
    <w:rsid w:val="29F05E16"/>
    <w:rsid w:val="29F54832"/>
    <w:rsid w:val="2A111075"/>
    <w:rsid w:val="2A160D87"/>
    <w:rsid w:val="2A307EBE"/>
    <w:rsid w:val="2A3E413F"/>
    <w:rsid w:val="2A430F4D"/>
    <w:rsid w:val="2A5303B9"/>
    <w:rsid w:val="2A534A67"/>
    <w:rsid w:val="2A5F67A3"/>
    <w:rsid w:val="2A6151C4"/>
    <w:rsid w:val="2A664C59"/>
    <w:rsid w:val="2A6B464E"/>
    <w:rsid w:val="2A944B48"/>
    <w:rsid w:val="2A9A0F2B"/>
    <w:rsid w:val="2AA07917"/>
    <w:rsid w:val="2AA1140C"/>
    <w:rsid w:val="2AA67F8B"/>
    <w:rsid w:val="2AAA31D9"/>
    <w:rsid w:val="2AAC289A"/>
    <w:rsid w:val="2AB138BA"/>
    <w:rsid w:val="2AC51079"/>
    <w:rsid w:val="2ACA0984"/>
    <w:rsid w:val="2AD05182"/>
    <w:rsid w:val="2AE47A17"/>
    <w:rsid w:val="2AEB2740"/>
    <w:rsid w:val="2AF44191"/>
    <w:rsid w:val="2AF74347"/>
    <w:rsid w:val="2B0A4D59"/>
    <w:rsid w:val="2B1A32A0"/>
    <w:rsid w:val="2B26693B"/>
    <w:rsid w:val="2B2F1FC7"/>
    <w:rsid w:val="2B2F2F22"/>
    <w:rsid w:val="2B37764D"/>
    <w:rsid w:val="2B3F6547"/>
    <w:rsid w:val="2B4F2967"/>
    <w:rsid w:val="2B5C1A7C"/>
    <w:rsid w:val="2B6525E9"/>
    <w:rsid w:val="2B6E19DB"/>
    <w:rsid w:val="2B756050"/>
    <w:rsid w:val="2B7C5660"/>
    <w:rsid w:val="2B8944AA"/>
    <w:rsid w:val="2B92679C"/>
    <w:rsid w:val="2B96506D"/>
    <w:rsid w:val="2B986BC6"/>
    <w:rsid w:val="2BA16669"/>
    <w:rsid w:val="2BAE20A5"/>
    <w:rsid w:val="2BAF2381"/>
    <w:rsid w:val="2BB1376A"/>
    <w:rsid w:val="2BBA7E05"/>
    <w:rsid w:val="2BBB17D5"/>
    <w:rsid w:val="2BC3413A"/>
    <w:rsid w:val="2BC45396"/>
    <w:rsid w:val="2BD540AD"/>
    <w:rsid w:val="2BF336C9"/>
    <w:rsid w:val="2BF33ED5"/>
    <w:rsid w:val="2BFB7405"/>
    <w:rsid w:val="2C006833"/>
    <w:rsid w:val="2C034F7B"/>
    <w:rsid w:val="2C040D89"/>
    <w:rsid w:val="2C0509D9"/>
    <w:rsid w:val="2C05481D"/>
    <w:rsid w:val="2C056AF9"/>
    <w:rsid w:val="2C220DB4"/>
    <w:rsid w:val="2C247FF1"/>
    <w:rsid w:val="2C3C0030"/>
    <w:rsid w:val="2C3F3887"/>
    <w:rsid w:val="2C45016F"/>
    <w:rsid w:val="2C516E38"/>
    <w:rsid w:val="2C533A6A"/>
    <w:rsid w:val="2C560EA3"/>
    <w:rsid w:val="2C617496"/>
    <w:rsid w:val="2C62156F"/>
    <w:rsid w:val="2C6F41F6"/>
    <w:rsid w:val="2C730778"/>
    <w:rsid w:val="2C7E030A"/>
    <w:rsid w:val="2C833FFB"/>
    <w:rsid w:val="2C8F430E"/>
    <w:rsid w:val="2C970335"/>
    <w:rsid w:val="2CA21894"/>
    <w:rsid w:val="2CA4476E"/>
    <w:rsid w:val="2CAD4F6B"/>
    <w:rsid w:val="2CB17FD2"/>
    <w:rsid w:val="2CC16AFA"/>
    <w:rsid w:val="2CC95D10"/>
    <w:rsid w:val="2CCB5A72"/>
    <w:rsid w:val="2CD57684"/>
    <w:rsid w:val="2CD67A0B"/>
    <w:rsid w:val="2CD75666"/>
    <w:rsid w:val="2CD83FF1"/>
    <w:rsid w:val="2CDC6591"/>
    <w:rsid w:val="2CDE08F2"/>
    <w:rsid w:val="2CE03AB0"/>
    <w:rsid w:val="2CEB494F"/>
    <w:rsid w:val="2CEF53E3"/>
    <w:rsid w:val="2CF53A56"/>
    <w:rsid w:val="2CF649A9"/>
    <w:rsid w:val="2CFC27E4"/>
    <w:rsid w:val="2D0766E4"/>
    <w:rsid w:val="2D0B702A"/>
    <w:rsid w:val="2D107EBA"/>
    <w:rsid w:val="2D1B67A1"/>
    <w:rsid w:val="2D1F4BCA"/>
    <w:rsid w:val="2D221AAA"/>
    <w:rsid w:val="2D2651C9"/>
    <w:rsid w:val="2D3D74EA"/>
    <w:rsid w:val="2D476C62"/>
    <w:rsid w:val="2D504333"/>
    <w:rsid w:val="2D521264"/>
    <w:rsid w:val="2D567058"/>
    <w:rsid w:val="2D57290A"/>
    <w:rsid w:val="2D5D7FE8"/>
    <w:rsid w:val="2D5E7E01"/>
    <w:rsid w:val="2D6030A2"/>
    <w:rsid w:val="2D660EF9"/>
    <w:rsid w:val="2D6C2B47"/>
    <w:rsid w:val="2D763F45"/>
    <w:rsid w:val="2D820204"/>
    <w:rsid w:val="2D8402FC"/>
    <w:rsid w:val="2D88024C"/>
    <w:rsid w:val="2D935488"/>
    <w:rsid w:val="2D960FB5"/>
    <w:rsid w:val="2D9B4423"/>
    <w:rsid w:val="2DAC2EF4"/>
    <w:rsid w:val="2DAD4BCD"/>
    <w:rsid w:val="2DB453FF"/>
    <w:rsid w:val="2DBE4237"/>
    <w:rsid w:val="2DCB10F0"/>
    <w:rsid w:val="2DCB38A1"/>
    <w:rsid w:val="2DD066E9"/>
    <w:rsid w:val="2DDC0ED4"/>
    <w:rsid w:val="2DE3054F"/>
    <w:rsid w:val="2DE7186E"/>
    <w:rsid w:val="2DF036FB"/>
    <w:rsid w:val="2DF21CB3"/>
    <w:rsid w:val="2DFD78B4"/>
    <w:rsid w:val="2DFE083B"/>
    <w:rsid w:val="2E0708FF"/>
    <w:rsid w:val="2E11457C"/>
    <w:rsid w:val="2E1643B9"/>
    <w:rsid w:val="2E184C0F"/>
    <w:rsid w:val="2E1F18AD"/>
    <w:rsid w:val="2E28757C"/>
    <w:rsid w:val="2E2C723F"/>
    <w:rsid w:val="2E332EEF"/>
    <w:rsid w:val="2E3F6B8A"/>
    <w:rsid w:val="2E406C31"/>
    <w:rsid w:val="2E467FE7"/>
    <w:rsid w:val="2E527715"/>
    <w:rsid w:val="2E530660"/>
    <w:rsid w:val="2E531152"/>
    <w:rsid w:val="2E565287"/>
    <w:rsid w:val="2E5F1E47"/>
    <w:rsid w:val="2E682652"/>
    <w:rsid w:val="2E6B6D27"/>
    <w:rsid w:val="2E7A506F"/>
    <w:rsid w:val="2E7B0600"/>
    <w:rsid w:val="2E7B273D"/>
    <w:rsid w:val="2E7D30EA"/>
    <w:rsid w:val="2E8028E0"/>
    <w:rsid w:val="2E88139A"/>
    <w:rsid w:val="2E8B051E"/>
    <w:rsid w:val="2E8F062E"/>
    <w:rsid w:val="2E905D65"/>
    <w:rsid w:val="2E9D560F"/>
    <w:rsid w:val="2E9F7EC1"/>
    <w:rsid w:val="2EA234E1"/>
    <w:rsid w:val="2EB17C70"/>
    <w:rsid w:val="2EB411B5"/>
    <w:rsid w:val="2EBD49E1"/>
    <w:rsid w:val="2EBF0ED1"/>
    <w:rsid w:val="2EC42186"/>
    <w:rsid w:val="2EC7495E"/>
    <w:rsid w:val="2EC776BB"/>
    <w:rsid w:val="2ECA39AD"/>
    <w:rsid w:val="2ECC0C07"/>
    <w:rsid w:val="2ED03009"/>
    <w:rsid w:val="2EF224CD"/>
    <w:rsid w:val="2EF67D61"/>
    <w:rsid w:val="2EFA2F2B"/>
    <w:rsid w:val="2F2E23A6"/>
    <w:rsid w:val="2F350F19"/>
    <w:rsid w:val="2F383567"/>
    <w:rsid w:val="2F3B1918"/>
    <w:rsid w:val="2F415DC8"/>
    <w:rsid w:val="2F514AAE"/>
    <w:rsid w:val="2F531FEB"/>
    <w:rsid w:val="2F5B5B3B"/>
    <w:rsid w:val="2F615468"/>
    <w:rsid w:val="2F655F0E"/>
    <w:rsid w:val="2F6B73F9"/>
    <w:rsid w:val="2F6D4FA6"/>
    <w:rsid w:val="2F743486"/>
    <w:rsid w:val="2F756E65"/>
    <w:rsid w:val="2F77354F"/>
    <w:rsid w:val="2F7A7069"/>
    <w:rsid w:val="2F7B2789"/>
    <w:rsid w:val="2F8001B6"/>
    <w:rsid w:val="2F897AA1"/>
    <w:rsid w:val="2F8D4D67"/>
    <w:rsid w:val="2F8E2F8D"/>
    <w:rsid w:val="2F9051B8"/>
    <w:rsid w:val="2F910893"/>
    <w:rsid w:val="2F9A69D2"/>
    <w:rsid w:val="2F9C6646"/>
    <w:rsid w:val="2F9D4AA3"/>
    <w:rsid w:val="2F9F094E"/>
    <w:rsid w:val="2FB11323"/>
    <w:rsid w:val="2FBB6A2A"/>
    <w:rsid w:val="2FC2166F"/>
    <w:rsid w:val="2FCB0952"/>
    <w:rsid w:val="2FD53529"/>
    <w:rsid w:val="2FD80709"/>
    <w:rsid w:val="2FDF2368"/>
    <w:rsid w:val="2FDF7CD4"/>
    <w:rsid w:val="2FEC08C6"/>
    <w:rsid w:val="2FF532B7"/>
    <w:rsid w:val="2FF674CB"/>
    <w:rsid w:val="2FF7251F"/>
    <w:rsid w:val="30007788"/>
    <w:rsid w:val="30093592"/>
    <w:rsid w:val="301977C7"/>
    <w:rsid w:val="30205153"/>
    <w:rsid w:val="30253FAB"/>
    <w:rsid w:val="30270D6F"/>
    <w:rsid w:val="303B3B59"/>
    <w:rsid w:val="303C0C41"/>
    <w:rsid w:val="303D6437"/>
    <w:rsid w:val="30443F81"/>
    <w:rsid w:val="305831D6"/>
    <w:rsid w:val="305A4537"/>
    <w:rsid w:val="30632880"/>
    <w:rsid w:val="3070014A"/>
    <w:rsid w:val="307B4FFA"/>
    <w:rsid w:val="308136E0"/>
    <w:rsid w:val="3095375A"/>
    <w:rsid w:val="309B2688"/>
    <w:rsid w:val="30A90B96"/>
    <w:rsid w:val="30A91070"/>
    <w:rsid w:val="30B26464"/>
    <w:rsid w:val="30B86332"/>
    <w:rsid w:val="30C91D87"/>
    <w:rsid w:val="30D10B78"/>
    <w:rsid w:val="30D251E3"/>
    <w:rsid w:val="30D36EB7"/>
    <w:rsid w:val="30D45137"/>
    <w:rsid w:val="30D51A41"/>
    <w:rsid w:val="30E7233C"/>
    <w:rsid w:val="31076B28"/>
    <w:rsid w:val="31076EFA"/>
    <w:rsid w:val="310866BC"/>
    <w:rsid w:val="31154DED"/>
    <w:rsid w:val="31215B33"/>
    <w:rsid w:val="312A36B1"/>
    <w:rsid w:val="313A2CAC"/>
    <w:rsid w:val="313E6356"/>
    <w:rsid w:val="31460C29"/>
    <w:rsid w:val="314B3239"/>
    <w:rsid w:val="315B21E9"/>
    <w:rsid w:val="315B5E62"/>
    <w:rsid w:val="31604DC0"/>
    <w:rsid w:val="31607973"/>
    <w:rsid w:val="3163108E"/>
    <w:rsid w:val="3167538F"/>
    <w:rsid w:val="317544CD"/>
    <w:rsid w:val="31765162"/>
    <w:rsid w:val="317A487D"/>
    <w:rsid w:val="31833BCE"/>
    <w:rsid w:val="318A1515"/>
    <w:rsid w:val="31944F6F"/>
    <w:rsid w:val="31963456"/>
    <w:rsid w:val="31A51052"/>
    <w:rsid w:val="31A77BCC"/>
    <w:rsid w:val="31A84B64"/>
    <w:rsid w:val="31B12D3C"/>
    <w:rsid w:val="31B2653B"/>
    <w:rsid w:val="31B266EC"/>
    <w:rsid w:val="31B45163"/>
    <w:rsid w:val="31B81D35"/>
    <w:rsid w:val="31C3729F"/>
    <w:rsid w:val="31CB617D"/>
    <w:rsid w:val="31CC0ECB"/>
    <w:rsid w:val="31DD2EC1"/>
    <w:rsid w:val="31DF1DB8"/>
    <w:rsid w:val="31F020DC"/>
    <w:rsid w:val="31F072F8"/>
    <w:rsid w:val="32061C7F"/>
    <w:rsid w:val="320A52D8"/>
    <w:rsid w:val="320D2005"/>
    <w:rsid w:val="32136025"/>
    <w:rsid w:val="32220D79"/>
    <w:rsid w:val="32252577"/>
    <w:rsid w:val="32294648"/>
    <w:rsid w:val="322F0831"/>
    <w:rsid w:val="3238009F"/>
    <w:rsid w:val="323F5519"/>
    <w:rsid w:val="32471CC6"/>
    <w:rsid w:val="324F0134"/>
    <w:rsid w:val="32540593"/>
    <w:rsid w:val="32582CC3"/>
    <w:rsid w:val="327179A4"/>
    <w:rsid w:val="32775626"/>
    <w:rsid w:val="32835AB1"/>
    <w:rsid w:val="328A3A5F"/>
    <w:rsid w:val="328D7371"/>
    <w:rsid w:val="328E2231"/>
    <w:rsid w:val="329326B7"/>
    <w:rsid w:val="329426A2"/>
    <w:rsid w:val="329708DE"/>
    <w:rsid w:val="32AD1211"/>
    <w:rsid w:val="32E12F9A"/>
    <w:rsid w:val="32E87F66"/>
    <w:rsid w:val="32EC46FB"/>
    <w:rsid w:val="32FF12B8"/>
    <w:rsid w:val="330073AA"/>
    <w:rsid w:val="33020BF1"/>
    <w:rsid w:val="330710D7"/>
    <w:rsid w:val="331E3887"/>
    <w:rsid w:val="33224534"/>
    <w:rsid w:val="332742E9"/>
    <w:rsid w:val="332A1AC1"/>
    <w:rsid w:val="332C71E1"/>
    <w:rsid w:val="332E1BC2"/>
    <w:rsid w:val="332F3B66"/>
    <w:rsid w:val="333B116B"/>
    <w:rsid w:val="333E2024"/>
    <w:rsid w:val="33427ABB"/>
    <w:rsid w:val="33616D4E"/>
    <w:rsid w:val="33821BAB"/>
    <w:rsid w:val="338378EA"/>
    <w:rsid w:val="33885755"/>
    <w:rsid w:val="339E18BC"/>
    <w:rsid w:val="33A57822"/>
    <w:rsid w:val="33A77C3C"/>
    <w:rsid w:val="33AA7345"/>
    <w:rsid w:val="33B37087"/>
    <w:rsid w:val="33BA7C82"/>
    <w:rsid w:val="33BC4D91"/>
    <w:rsid w:val="33BF4D9D"/>
    <w:rsid w:val="33C233CD"/>
    <w:rsid w:val="33C504FF"/>
    <w:rsid w:val="33C968FA"/>
    <w:rsid w:val="33D23DF5"/>
    <w:rsid w:val="33D246C3"/>
    <w:rsid w:val="33DF11C8"/>
    <w:rsid w:val="33E442C9"/>
    <w:rsid w:val="33E61B12"/>
    <w:rsid w:val="33EF44FC"/>
    <w:rsid w:val="33FE7E15"/>
    <w:rsid w:val="33FF1154"/>
    <w:rsid w:val="340074AF"/>
    <w:rsid w:val="340948E1"/>
    <w:rsid w:val="340D3904"/>
    <w:rsid w:val="341212B1"/>
    <w:rsid w:val="341321BE"/>
    <w:rsid w:val="34155C01"/>
    <w:rsid w:val="34293255"/>
    <w:rsid w:val="34314E1D"/>
    <w:rsid w:val="34374868"/>
    <w:rsid w:val="343D2D4C"/>
    <w:rsid w:val="34417702"/>
    <w:rsid w:val="34417EB0"/>
    <w:rsid w:val="3446518F"/>
    <w:rsid w:val="344A296C"/>
    <w:rsid w:val="344C25CD"/>
    <w:rsid w:val="344E045C"/>
    <w:rsid w:val="344F610D"/>
    <w:rsid w:val="34512060"/>
    <w:rsid w:val="345232B0"/>
    <w:rsid w:val="345A0779"/>
    <w:rsid w:val="345B15DB"/>
    <w:rsid w:val="346B1ADA"/>
    <w:rsid w:val="346C4A94"/>
    <w:rsid w:val="346E7A5A"/>
    <w:rsid w:val="3477244E"/>
    <w:rsid w:val="34782617"/>
    <w:rsid w:val="347946FA"/>
    <w:rsid w:val="347A6171"/>
    <w:rsid w:val="348440EB"/>
    <w:rsid w:val="348D33D3"/>
    <w:rsid w:val="3496737A"/>
    <w:rsid w:val="34A238C5"/>
    <w:rsid w:val="34AC0653"/>
    <w:rsid w:val="34AC2DE9"/>
    <w:rsid w:val="34B24855"/>
    <w:rsid w:val="34B55560"/>
    <w:rsid w:val="34B84D9B"/>
    <w:rsid w:val="34BE7103"/>
    <w:rsid w:val="34C9343D"/>
    <w:rsid w:val="34CE3369"/>
    <w:rsid w:val="34DC1C67"/>
    <w:rsid w:val="34E47162"/>
    <w:rsid w:val="34E664D6"/>
    <w:rsid w:val="34F64CDD"/>
    <w:rsid w:val="34FF095B"/>
    <w:rsid w:val="3500311A"/>
    <w:rsid w:val="350B76BF"/>
    <w:rsid w:val="350C5C16"/>
    <w:rsid w:val="351710F0"/>
    <w:rsid w:val="351F4B47"/>
    <w:rsid w:val="352E435E"/>
    <w:rsid w:val="3534069E"/>
    <w:rsid w:val="353807E2"/>
    <w:rsid w:val="353D45FA"/>
    <w:rsid w:val="353F0E06"/>
    <w:rsid w:val="35422CF2"/>
    <w:rsid w:val="35505013"/>
    <w:rsid w:val="35531CAD"/>
    <w:rsid w:val="356D51F7"/>
    <w:rsid w:val="357972DF"/>
    <w:rsid w:val="357D79D3"/>
    <w:rsid w:val="35804F9D"/>
    <w:rsid w:val="35843B49"/>
    <w:rsid w:val="35884385"/>
    <w:rsid w:val="35890016"/>
    <w:rsid w:val="358B0F26"/>
    <w:rsid w:val="35924A15"/>
    <w:rsid w:val="359753B1"/>
    <w:rsid w:val="35A25468"/>
    <w:rsid w:val="35AC56FE"/>
    <w:rsid w:val="35C3354B"/>
    <w:rsid w:val="35CB283C"/>
    <w:rsid w:val="35D02A2E"/>
    <w:rsid w:val="35DF2011"/>
    <w:rsid w:val="35E1012B"/>
    <w:rsid w:val="35E1505C"/>
    <w:rsid w:val="35E328B8"/>
    <w:rsid w:val="35E3701E"/>
    <w:rsid w:val="35E420DE"/>
    <w:rsid w:val="35E607CD"/>
    <w:rsid w:val="35EB34A9"/>
    <w:rsid w:val="35EC6F4A"/>
    <w:rsid w:val="35EE6A38"/>
    <w:rsid w:val="35F5734F"/>
    <w:rsid w:val="35F65884"/>
    <w:rsid w:val="35F715DC"/>
    <w:rsid w:val="36057267"/>
    <w:rsid w:val="362131A7"/>
    <w:rsid w:val="362E1546"/>
    <w:rsid w:val="36330CA5"/>
    <w:rsid w:val="364236D7"/>
    <w:rsid w:val="3654563C"/>
    <w:rsid w:val="365763B3"/>
    <w:rsid w:val="366F70DE"/>
    <w:rsid w:val="367C0A7E"/>
    <w:rsid w:val="36856B5A"/>
    <w:rsid w:val="36883C27"/>
    <w:rsid w:val="36950061"/>
    <w:rsid w:val="36A32443"/>
    <w:rsid w:val="36A61ADA"/>
    <w:rsid w:val="36AC504E"/>
    <w:rsid w:val="36B45F51"/>
    <w:rsid w:val="36B7013F"/>
    <w:rsid w:val="36D37FB9"/>
    <w:rsid w:val="36D40D9D"/>
    <w:rsid w:val="36D71D0D"/>
    <w:rsid w:val="36E17BD4"/>
    <w:rsid w:val="36E30071"/>
    <w:rsid w:val="36E31151"/>
    <w:rsid w:val="36E61D1E"/>
    <w:rsid w:val="36EF4947"/>
    <w:rsid w:val="36F76FAD"/>
    <w:rsid w:val="37060D5C"/>
    <w:rsid w:val="370F6D7D"/>
    <w:rsid w:val="3711176D"/>
    <w:rsid w:val="37113E21"/>
    <w:rsid w:val="37244D17"/>
    <w:rsid w:val="373F483B"/>
    <w:rsid w:val="37451D56"/>
    <w:rsid w:val="375C645A"/>
    <w:rsid w:val="37633810"/>
    <w:rsid w:val="37737FCD"/>
    <w:rsid w:val="377E4EC2"/>
    <w:rsid w:val="37831AFE"/>
    <w:rsid w:val="37855CA5"/>
    <w:rsid w:val="379747E4"/>
    <w:rsid w:val="37A10A3C"/>
    <w:rsid w:val="37A32862"/>
    <w:rsid w:val="37A771F1"/>
    <w:rsid w:val="37AA1FED"/>
    <w:rsid w:val="37B033F0"/>
    <w:rsid w:val="37B25951"/>
    <w:rsid w:val="37B82D37"/>
    <w:rsid w:val="37BB1880"/>
    <w:rsid w:val="37BF7DD8"/>
    <w:rsid w:val="37CA6F5D"/>
    <w:rsid w:val="37CF39F4"/>
    <w:rsid w:val="37DF4E44"/>
    <w:rsid w:val="38093CF4"/>
    <w:rsid w:val="38132FDB"/>
    <w:rsid w:val="381523AC"/>
    <w:rsid w:val="3816611D"/>
    <w:rsid w:val="381A7833"/>
    <w:rsid w:val="381D6FCC"/>
    <w:rsid w:val="38255502"/>
    <w:rsid w:val="382563C3"/>
    <w:rsid w:val="382B10C6"/>
    <w:rsid w:val="384502C9"/>
    <w:rsid w:val="384757BF"/>
    <w:rsid w:val="384A568A"/>
    <w:rsid w:val="384C2E85"/>
    <w:rsid w:val="384D7A6B"/>
    <w:rsid w:val="38527F5E"/>
    <w:rsid w:val="38576EB1"/>
    <w:rsid w:val="385B78DA"/>
    <w:rsid w:val="385E7289"/>
    <w:rsid w:val="386B3647"/>
    <w:rsid w:val="386F64C6"/>
    <w:rsid w:val="38755246"/>
    <w:rsid w:val="38850F2D"/>
    <w:rsid w:val="388F47CD"/>
    <w:rsid w:val="3891497A"/>
    <w:rsid w:val="38934709"/>
    <w:rsid w:val="3899545E"/>
    <w:rsid w:val="389B63CB"/>
    <w:rsid w:val="389D36E7"/>
    <w:rsid w:val="38AD0AAC"/>
    <w:rsid w:val="38AF121A"/>
    <w:rsid w:val="38B10DA8"/>
    <w:rsid w:val="38B94B51"/>
    <w:rsid w:val="38B976FB"/>
    <w:rsid w:val="38BB5EDA"/>
    <w:rsid w:val="38C6779A"/>
    <w:rsid w:val="38DC2A26"/>
    <w:rsid w:val="38DC5040"/>
    <w:rsid w:val="38EA0958"/>
    <w:rsid w:val="38EA292A"/>
    <w:rsid w:val="38EB3140"/>
    <w:rsid w:val="38F71493"/>
    <w:rsid w:val="38FC7F68"/>
    <w:rsid w:val="390150BD"/>
    <w:rsid w:val="39015BC8"/>
    <w:rsid w:val="39132EBE"/>
    <w:rsid w:val="3923223F"/>
    <w:rsid w:val="393F3649"/>
    <w:rsid w:val="39434B25"/>
    <w:rsid w:val="39442CC4"/>
    <w:rsid w:val="394A3B36"/>
    <w:rsid w:val="394C053B"/>
    <w:rsid w:val="394E0439"/>
    <w:rsid w:val="39532D05"/>
    <w:rsid w:val="395A1855"/>
    <w:rsid w:val="395E1405"/>
    <w:rsid w:val="3962425A"/>
    <w:rsid w:val="396E504E"/>
    <w:rsid w:val="396F7993"/>
    <w:rsid w:val="39741673"/>
    <w:rsid w:val="397F2866"/>
    <w:rsid w:val="39850A26"/>
    <w:rsid w:val="39893783"/>
    <w:rsid w:val="399108C7"/>
    <w:rsid w:val="399B6654"/>
    <w:rsid w:val="399C23C2"/>
    <w:rsid w:val="399E7C65"/>
    <w:rsid w:val="39A118CD"/>
    <w:rsid w:val="39A337DD"/>
    <w:rsid w:val="39B1002C"/>
    <w:rsid w:val="39B75345"/>
    <w:rsid w:val="39BA1CF7"/>
    <w:rsid w:val="39BA2065"/>
    <w:rsid w:val="39C83126"/>
    <w:rsid w:val="39CD4753"/>
    <w:rsid w:val="39D037AF"/>
    <w:rsid w:val="39D466BD"/>
    <w:rsid w:val="39D7158B"/>
    <w:rsid w:val="39DC1B39"/>
    <w:rsid w:val="39E03897"/>
    <w:rsid w:val="39E125BA"/>
    <w:rsid w:val="39EE1B0B"/>
    <w:rsid w:val="39F17FFD"/>
    <w:rsid w:val="39FA1859"/>
    <w:rsid w:val="3A03384A"/>
    <w:rsid w:val="3A066160"/>
    <w:rsid w:val="3A0D48B1"/>
    <w:rsid w:val="3A1810FA"/>
    <w:rsid w:val="3A2441B7"/>
    <w:rsid w:val="3A274488"/>
    <w:rsid w:val="3A28048B"/>
    <w:rsid w:val="3A336331"/>
    <w:rsid w:val="3A425B7A"/>
    <w:rsid w:val="3A431472"/>
    <w:rsid w:val="3A474B1C"/>
    <w:rsid w:val="3A5207B4"/>
    <w:rsid w:val="3A541BF5"/>
    <w:rsid w:val="3A553D9F"/>
    <w:rsid w:val="3A597477"/>
    <w:rsid w:val="3A5A285A"/>
    <w:rsid w:val="3A5E32B9"/>
    <w:rsid w:val="3A646A00"/>
    <w:rsid w:val="3A697F71"/>
    <w:rsid w:val="3A6A4AC7"/>
    <w:rsid w:val="3A6E26C3"/>
    <w:rsid w:val="3A6F0BDF"/>
    <w:rsid w:val="3A72622B"/>
    <w:rsid w:val="3A75769F"/>
    <w:rsid w:val="3A7E2244"/>
    <w:rsid w:val="3A861E9F"/>
    <w:rsid w:val="3A897BA1"/>
    <w:rsid w:val="3A9038DA"/>
    <w:rsid w:val="3A936647"/>
    <w:rsid w:val="3A9E4B32"/>
    <w:rsid w:val="3A9F1B2C"/>
    <w:rsid w:val="3AA04C49"/>
    <w:rsid w:val="3AA54470"/>
    <w:rsid w:val="3AA913CF"/>
    <w:rsid w:val="3AB86069"/>
    <w:rsid w:val="3AC036CC"/>
    <w:rsid w:val="3AC205A6"/>
    <w:rsid w:val="3AC257A4"/>
    <w:rsid w:val="3AC334CD"/>
    <w:rsid w:val="3AD16134"/>
    <w:rsid w:val="3AD17EBD"/>
    <w:rsid w:val="3ADE382E"/>
    <w:rsid w:val="3AEA3CFC"/>
    <w:rsid w:val="3AF044A5"/>
    <w:rsid w:val="3AFC4CC9"/>
    <w:rsid w:val="3B00301D"/>
    <w:rsid w:val="3B1752EE"/>
    <w:rsid w:val="3B1C35AC"/>
    <w:rsid w:val="3B1F0CAE"/>
    <w:rsid w:val="3B22468C"/>
    <w:rsid w:val="3B292A67"/>
    <w:rsid w:val="3B3155AA"/>
    <w:rsid w:val="3B3E0B10"/>
    <w:rsid w:val="3B4F1508"/>
    <w:rsid w:val="3B580D61"/>
    <w:rsid w:val="3B696BF9"/>
    <w:rsid w:val="3B6F0DCA"/>
    <w:rsid w:val="3B754E06"/>
    <w:rsid w:val="3B7B2B0A"/>
    <w:rsid w:val="3B7C7B97"/>
    <w:rsid w:val="3B8372AE"/>
    <w:rsid w:val="3B914065"/>
    <w:rsid w:val="3B9F483C"/>
    <w:rsid w:val="3BB249F7"/>
    <w:rsid w:val="3BBE3122"/>
    <w:rsid w:val="3BC20515"/>
    <w:rsid w:val="3BC53C74"/>
    <w:rsid w:val="3BC62C0D"/>
    <w:rsid w:val="3BC772AB"/>
    <w:rsid w:val="3BC812C8"/>
    <w:rsid w:val="3BD741DE"/>
    <w:rsid w:val="3BE7491F"/>
    <w:rsid w:val="3BE82033"/>
    <w:rsid w:val="3BEF3F98"/>
    <w:rsid w:val="3BF01125"/>
    <w:rsid w:val="3BF82655"/>
    <w:rsid w:val="3BF90B59"/>
    <w:rsid w:val="3C035D20"/>
    <w:rsid w:val="3C0C1C74"/>
    <w:rsid w:val="3C12184A"/>
    <w:rsid w:val="3C165216"/>
    <w:rsid w:val="3C20030B"/>
    <w:rsid w:val="3C220A63"/>
    <w:rsid w:val="3C257E8D"/>
    <w:rsid w:val="3C286FD8"/>
    <w:rsid w:val="3C326DEB"/>
    <w:rsid w:val="3C3C1378"/>
    <w:rsid w:val="3C497D33"/>
    <w:rsid w:val="3C5A342C"/>
    <w:rsid w:val="3C5C0867"/>
    <w:rsid w:val="3C656EED"/>
    <w:rsid w:val="3C685003"/>
    <w:rsid w:val="3C6D452D"/>
    <w:rsid w:val="3C6E7843"/>
    <w:rsid w:val="3C727A71"/>
    <w:rsid w:val="3C732FE2"/>
    <w:rsid w:val="3C786DE5"/>
    <w:rsid w:val="3C7A3669"/>
    <w:rsid w:val="3C7D3E58"/>
    <w:rsid w:val="3C882BD0"/>
    <w:rsid w:val="3C94545E"/>
    <w:rsid w:val="3CAE0651"/>
    <w:rsid w:val="3CBC2D9B"/>
    <w:rsid w:val="3CC5588D"/>
    <w:rsid w:val="3CCD1D16"/>
    <w:rsid w:val="3CD83C07"/>
    <w:rsid w:val="3CD85D57"/>
    <w:rsid w:val="3CD87AA0"/>
    <w:rsid w:val="3CDA5112"/>
    <w:rsid w:val="3CDB62C1"/>
    <w:rsid w:val="3CE13BDF"/>
    <w:rsid w:val="3CE26359"/>
    <w:rsid w:val="3CE70364"/>
    <w:rsid w:val="3CFD4D35"/>
    <w:rsid w:val="3D064D69"/>
    <w:rsid w:val="3D0E3667"/>
    <w:rsid w:val="3D0E399D"/>
    <w:rsid w:val="3D123F8D"/>
    <w:rsid w:val="3D12721E"/>
    <w:rsid w:val="3D1B45BC"/>
    <w:rsid w:val="3D27093B"/>
    <w:rsid w:val="3D351ADA"/>
    <w:rsid w:val="3D3D6CB6"/>
    <w:rsid w:val="3D444248"/>
    <w:rsid w:val="3D4B2FA5"/>
    <w:rsid w:val="3D527DA5"/>
    <w:rsid w:val="3D546058"/>
    <w:rsid w:val="3D5461A9"/>
    <w:rsid w:val="3D58650A"/>
    <w:rsid w:val="3D590765"/>
    <w:rsid w:val="3D5A6060"/>
    <w:rsid w:val="3D640E16"/>
    <w:rsid w:val="3D67132F"/>
    <w:rsid w:val="3D7B0D27"/>
    <w:rsid w:val="3D7E27A0"/>
    <w:rsid w:val="3D874F51"/>
    <w:rsid w:val="3D896CEB"/>
    <w:rsid w:val="3D9A2D6C"/>
    <w:rsid w:val="3D9D0681"/>
    <w:rsid w:val="3DAF1596"/>
    <w:rsid w:val="3DB52668"/>
    <w:rsid w:val="3DD3077A"/>
    <w:rsid w:val="3DDF7A0D"/>
    <w:rsid w:val="3DFD4BBE"/>
    <w:rsid w:val="3E00097B"/>
    <w:rsid w:val="3E011326"/>
    <w:rsid w:val="3E024B7B"/>
    <w:rsid w:val="3E104548"/>
    <w:rsid w:val="3E19435F"/>
    <w:rsid w:val="3E20393D"/>
    <w:rsid w:val="3E264903"/>
    <w:rsid w:val="3E2806A1"/>
    <w:rsid w:val="3E2E35CB"/>
    <w:rsid w:val="3E31025E"/>
    <w:rsid w:val="3E342DA3"/>
    <w:rsid w:val="3E471ABE"/>
    <w:rsid w:val="3E4755F9"/>
    <w:rsid w:val="3E492A39"/>
    <w:rsid w:val="3E556354"/>
    <w:rsid w:val="3E6336EF"/>
    <w:rsid w:val="3E660D1B"/>
    <w:rsid w:val="3E6E2E9E"/>
    <w:rsid w:val="3E8222F7"/>
    <w:rsid w:val="3E8258B1"/>
    <w:rsid w:val="3E8821CE"/>
    <w:rsid w:val="3E92738B"/>
    <w:rsid w:val="3E99456A"/>
    <w:rsid w:val="3EA0570F"/>
    <w:rsid w:val="3EAD3D57"/>
    <w:rsid w:val="3EAF02B7"/>
    <w:rsid w:val="3EB1188E"/>
    <w:rsid w:val="3EB428B4"/>
    <w:rsid w:val="3EBD63D7"/>
    <w:rsid w:val="3EC07733"/>
    <w:rsid w:val="3EC334A7"/>
    <w:rsid w:val="3EC678BC"/>
    <w:rsid w:val="3EE067CA"/>
    <w:rsid w:val="3EEF26AB"/>
    <w:rsid w:val="3EF21C38"/>
    <w:rsid w:val="3EF57D05"/>
    <w:rsid w:val="3EF96B38"/>
    <w:rsid w:val="3F002CCF"/>
    <w:rsid w:val="3F0566FF"/>
    <w:rsid w:val="3F0605BE"/>
    <w:rsid w:val="3F06365D"/>
    <w:rsid w:val="3F0A3CA5"/>
    <w:rsid w:val="3F0B1DB8"/>
    <w:rsid w:val="3F0E6EA3"/>
    <w:rsid w:val="3F122278"/>
    <w:rsid w:val="3F155D82"/>
    <w:rsid w:val="3F261DEC"/>
    <w:rsid w:val="3F305E06"/>
    <w:rsid w:val="3F47737F"/>
    <w:rsid w:val="3F523976"/>
    <w:rsid w:val="3F52626A"/>
    <w:rsid w:val="3F5322DF"/>
    <w:rsid w:val="3F556A35"/>
    <w:rsid w:val="3F5867B3"/>
    <w:rsid w:val="3F5A301C"/>
    <w:rsid w:val="3F637202"/>
    <w:rsid w:val="3F65418C"/>
    <w:rsid w:val="3F664F14"/>
    <w:rsid w:val="3F6763B0"/>
    <w:rsid w:val="3F6D1D36"/>
    <w:rsid w:val="3F6D2017"/>
    <w:rsid w:val="3F7339EB"/>
    <w:rsid w:val="3F770167"/>
    <w:rsid w:val="3F7D65D1"/>
    <w:rsid w:val="3F836296"/>
    <w:rsid w:val="3F9526FD"/>
    <w:rsid w:val="3F960218"/>
    <w:rsid w:val="3F9B508E"/>
    <w:rsid w:val="3FA10F73"/>
    <w:rsid w:val="3FA51002"/>
    <w:rsid w:val="3FA5548C"/>
    <w:rsid w:val="3FB1448E"/>
    <w:rsid w:val="3FB33F0F"/>
    <w:rsid w:val="3FB56B87"/>
    <w:rsid w:val="3FB827B0"/>
    <w:rsid w:val="3FB9798A"/>
    <w:rsid w:val="3FBC4DF5"/>
    <w:rsid w:val="3FBE226E"/>
    <w:rsid w:val="3FC74EA5"/>
    <w:rsid w:val="3FC80A13"/>
    <w:rsid w:val="3FC924C5"/>
    <w:rsid w:val="3FD001E0"/>
    <w:rsid w:val="3FD35125"/>
    <w:rsid w:val="3FDD5AA3"/>
    <w:rsid w:val="3FDD60EB"/>
    <w:rsid w:val="3FE1611D"/>
    <w:rsid w:val="3FE9762E"/>
    <w:rsid w:val="3FEB7EF7"/>
    <w:rsid w:val="3FF0534A"/>
    <w:rsid w:val="3FFC6AA1"/>
    <w:rsid w:val="3FFE725C"/>
    <w:rsid w:val="400D4689"/>
    <w:rsid w:val="40171E63"/>
    <w:rsid w:val="401C023A"/>
    <w:rsid w:val="401E624D"/>
    <w:rsid w:val="4040700B"/>
    <w:rsid w:val="40505926"/>
    <w:rsid w:val="405074F9"/>
    <w:rsid w:val="40592E1A"/>
    <w:rsid w:val="40742B10"/>
    <w:rsid w:val="40851F94"/>
    <w:rsid w:val="40860806"/>
    <w:rsid w:val="408727EE"/>
    <w:rsid w:val="40881B05"/>
    <w:rsid w:val="408B015C"/>
    <w:rsid w:val="408D2092"/>
    <w:rsid w:val="40987E91"/>
    <w:rsid w:val="40AE535D"/>
    <w:rsid w:val="40B323C5"/>
    <w:rsid w:val="40B40F93"/>
    <w:rsid w:val="40B77C21"/>
    <w:rsid w:val="40BB1B3B"/>
    <w:rsid w:val="40C87F0D"/>
    <w:rsid w:val="40E13187"/>
    <w:rsid w:val="40E4111E"/>
    <w:rsid w:val="40F110C9"/>
    <w:rsid w:val="40F71EFC"/>
    <w:rsid w:val="40FA7D3C"/>
    <w:rsid w:val="40FC6040"/>
    <w:rsid w:val="41013098"/>
    <w:rsid w:val="410A66D3"/>
    <w:rsid w:val="411252F5"/>
    <w:rsid w:val="41216561"/>
    <w:rsid w:val="4126157E"/>
    <w:rsid w:val="412E1703"/>
    <w:rsid w:val="41341D04"/>
    <w:rsid w:val="41463814"/>
    <w:rsid w:val="414E4666"/>
    <w:rsid w:val="415840E7"/>
    <w:rsid w:val="415C6645"/>
    <w:rsid w:val="415D4AA5"/>
    <w:rsid w:val="415E3F30"/>
    <w:rsid w:val="41634269"/>
    <w:rsid w:val="416F185F"/>
    <w:rsid w:val="41755F8B"/>
    <w:rsid w:val="417E6FB2"/>
    <w:rsid w:val="41804E56"/>
    <w:rsid w:val="418B61F9"/>
    <w:rsid w:val="418C5064"/>
    <w:rsid w:val="41901D5A"/>
    <w:rsid w:val="41AE168E"/>
    <w:rsid w:val="41B000EA"/>
    <w:rsid w:val="41B625DB"/>
    <w:rsid w:val="41BB28C5"/>
    <w:rsid w:val="41C505B5"/>
    <w:rsid w:val="41D7643D"/>
    <w:rsid w:val="41D80DF6"/>
    <w:rsid w:val="41F41099"/>
    <w:rsid w:val="41F4144D"/>
    <w:rsid w:val="41F425A0"/>
    <w:rsid w:val="41FD1E4D"/>
    <w:rsid w:val="42004A07"/>
    <w:rsid w:val="42036CED"/>
    <w:rsid w:val="420445BE"/>
    <w:rsid w:val="42044B55"/>
    <w:rsid w:val="42106699"/>
    <w:rsid w:val="421D3532"/>
    <w:rsid w:val="422747DE"/>
    <w:rsid w:val="423D7E2C"/>
    <w:rsid w:val="4253494B"/>
    <w:rsid w:val="42563DD4"/>
    <w:rsid w:val="425F0874"/>
    <w:rsid w:val="42605991"/>
    <w:rsid w:val="42624CEC"/>
    <w:rsid w:val="426B2083"/>
    <w:rsid w:val="42745271"/>
    <w:rsid w:val="42746AFF"/>
    <w:rsid w:val="427A2426"/>
    <w:rsid w:val="428622E0"/>
    <w:rsid w:val="428740C5"/>
    <w:rsid w:val="4295023B"/>
    <w:rsid w:val="42A72E3E"/>
    <w:rsid w:val="42A9771E"/>
    <w:rsid w:val="42AF06BF"/>
    <w:rsid w:val="42AF744D"/>
    <w:rsid w:val="42B97DE2"/>
    <w:rsid w:val="42BE1411"/>
    <w:rsid w:val="42BF0482"/>
    <w:rsid w:val="42C3638C"/>
    <w:rsid w:val="42C8399F"/>
    <w:rsid w:val="42CC1C77"/>
    <w:rsid w:val="42CE7CBC"/>
    <w:rsid w:val="42E67A2D"/>
    <w:rsid w:val="42EF6EDD"/>
    <w:rsid w:val="42F63370"/>
    <w:rsid w:val="4303189E"/>
    <w:rsid w:val="43043B4B"/>
    <w:rsid w:val="430C0701"/>
    <w:rsid w:val="431D662D"/>
    <w:rsid w:val="431D7413"/>
    <w:rsid w:val="43230977"/>
    <w:rsid w:val="43260906"/>
    <w:rsid w:val="4329778C"/>
    <w:rsid w:val="432A433E"/>
    <w:rsid w:val="433451E7"/>
    <w:rsid w:val="433454E3"/>
    <w:rsid w:val="43380FA2"/>
    <w:rsid w:val="433914CB"/>
    <w:rsid w:val="434030C7"/>
    <w:rsid w:val="434321EE"/>
    <w:rsid w:val="4357411B"/>
    <w:rsid w:val="43624524"/>
    <w:rsid w:val="436E4602"/>
    <w:rsid w:val="43773B38"/>
    <w:rsid w:val="437C303F"/>
    <w:rsid w:val="437E59F4"/>
    <w:rsid w:val="437F0235"/>
    <w:rsid w:val="438127FD"/>
    <w:rsid w:val="438C318F"/>
    <w:rsid w:val="438D2962"/>
    <w:rsid w:val="439125BA"/>
    <w:rsid w:val="439E21D0"/>
    <w:rsid w:val="43A136C2"/>
    <w:rsid w:val="43A47C8D"/>
    <w:rsid w:val="43A51CEB"/>
    <w:rsid w:val="43A922AD"/>
    <w:rsid w:val="43AE228C"/>
    <w:rsid w:val="43B03D9F"/>
    <w:rsid w:val="43B2322B"/>
    <w:rsid w:val="43B27B0F"/>
    <w:rsid w:val="43BD17B6"/>
    <w:rsid w:val="43BF433F"/>
    <w:rsid w:val="43C60D41"/>
    <w:rsid w:val="43C71A8C"/>
    <w:rsid w:val="43CB49D5"/>
    <w:rsid w:val="43CC296D"/>
    <w:rsid w:val="43D51B86"/>
    <w:rsid w:val="43D5596E"/>
    <w:rsid w:val="43D946DF"/>
    <w:rsid w:val="43DD3E84"/>
    <w:rsid w:val="43E63A35"/>
    <w:rsid w:val="43EA4AD8"/>
    <w:rsid w:val="43EA731F"/>
    <w:rsid w:val="43EF4362"/>
    <w:rsid w:val="43F5608C"/>
    <w:rsid w:val="43FA20D7"/>
    <w:rsid w:val="440433D0"/>
    <w:rsid w:val="440A1D09"/>
    <w:rsid w:val="44105FE6"/>
    <w:rsid w:val="44163757"/>
    <w:rsid w:val="442E6250"/>
    <w:rsid w:val="44336B29"/>
    <w:rsid w:val="44411D78"/>
    <w:rsid w:val="444255C8"/>
    <w:rsid w:val="44555450"/>
    <w:rsid w:val="44565401"/>
    <w:rsid w:val="445C184B"/>
    <w:rsid w:val="445C1F8C"/>
    <w:rsid w:val="445C2CEB"/>
    <w:rsid w:val="44623D2C"/>
    <w:rsid w:val="4469425C"/>
    <w:rsid w:val="446C5925"/>
    <w:rsid w:val="44715BA6"/>
    <w:rsid w:val="44744DE1"/>
    <w:rsid w:val="4480267E"/>
    <w:rsid w:val="44813BCD"/>
    <w:rsid w:val="448F333F"/>
    <w:rsid w:val="449A5595"/>
    <w:rsid w:val="44A273D7"/>
    <w:rsid w:val="44A3165A"/>
    <w:rsid w:val="44A949BB"/>
    <w:rsid w:val="44B47D28"/>
    <w:rsid w:val="44BE6AFA"/>
    <w:rsid w:val="44BE7B38"/>
    <w:rsid w:val="44C10C52"/>
    <w:rsid w:val="44C4343F"/>
    <w:rsid w:val="44CC5637"/>
    <w:rsid w:val="44CE1860"/>
    <w:rsid w:val="44D01EAB"/>
    <w:rsid w:val="44D61276"/>
    <w:rsid w:val="44FB2020"/>
    <w:rsid w:val="450005C9"/>
    <w:rsid w:val="450E225C"/>
    <w:rsid w:val="450E5F3E"/>
    <w:rsid w:val="451C3C3F"/>
    <w:rsid w:val="45202195"/>
    <w:rsid w:val="45282E33"/>
    <w:rsid w:val="45361C96"/>
    <w:rsid w:val="45367180"/>
    <w:rsid w:val="453936A0"/>
    <w:rsid w:val="4555071F"/>
    <w:rsid w:val="455B027F"/>
    <w:rsid w:val="45634F36"/>
    <w:rsid w:val="456433C3"/>
    <w:rsid w:val="4566286A"/>
    <w:rsid w:val="456653F0"/>
    <w:rsid w:val="456745BB"/>
    <w:rsid w:val="45677DA7"/>
    <w:rsid w:val="45743F66"/>
    <w:rsid w:val="45761FD8"/>
    <w:rsid w:val="457B0C49"/>
    <w:rsid w:val="45864B77"/>
    <w:rsid w:val="458A06CD"/>
    <w:rsid w:val="458D3A63"/>
    <w:rsid w:val="4597177B"/>
    <w:rsid w:val="45A85821"/>
    <w:rsid w:val="45AA0EA4"/>
    <w:rsid w:val="45AC57A6"/>
    <w:rsid w:val="45AF03CF"/>
    <w:rsid w:val="45B23BD8"/>
    <w:rsid w:val="45B52BBB"/>
    <w:rsid w:val="45C3178B"/>
    <w:rsid w:val="45C81474"/>
    <w:rsid w:val="45C85D55"/>
    <w:rsid w:val="45C91BC6"/>
    <w:rsid w:val="45CD1312"/>
    <w:rsid w:val="45CE3F02"/>
    <w:rsid w:val="45DE2684"/>
    <w:rsid w:val="45E349A9"/>
    <w:rsid w:val="45F22D7B"/>
    <w:rsid w:val="45F25B71"/>
    <w:rsid w:val="45F6092A"/>
    <w:rsid w:val="45FD29AC"/>
    <w:rsid w:val="46122C2B"/>
    <w:rsid w:val="461E6998"/>
    <w:rsid w:val="46202725"/>
    <w:rsid w:val="4622618B"/>
    <w:rsid w:val="4624768B"/>
    <w:rsid w:val="46283409"/>
    <w:rsid w:val="462E1DEC"/>
    <w:rsid w:val="462F257F"/>
    <w:rsid w:val="46316796"/>
    <w:rsid w:val="46436765"/>
    <w:rsid w:val="464C5980"/>
    <w:rsid w:val="464C598F"/>
    <w:rsid w:val="46541012"/>
    <w:rsid w:val="46595BDC"/>
    <w:rsid w:val="465B04AA"/>
    <w:rsid w:val="466467A4"/>
    <w:rsid w:val="466B7E63"/>
    <w:rsid w:val="46726232"/>
    <w:rsid w:val="46731512"/>
    <w:rsid w:val="46795DED"/>
    <w:rsid w:val="468843FE"/>
    <w:rsid w:val="469849B7"/>
    <w:rsid w:val="46991FD8"/>
    <w:rsid w:val="469D4E61"/>
    <w:rsid w:val="46BC2272"/>
    <w:rsid w:val="46D62B88"/>
    <w:rsid w:val="46D929E4"/>
    <w:rsid w:val="46DA3CDF"/>
    <w:rsid w:val="46DD3A97"/>
    <w:rsid w:val="46E122D5"/>
    <w:rsid w:val="46E51519"/>
    <w:rsid w:val="46E72217"/>
    <w:rsid w:val="46EB56D0"/>
    <w:rsid w:val="46EF6BE5"/>
    <w:rsid w:val="46F94629"/>
    <w:rsid w:val="46FE33A2"/>
    <w:rsid w:val="47034B98"/>
    <w:rsid w:val="47067487"/>
    <w:rsid w:val="470675DD"/>
    <w:rsid w:val="47102BE0"/>
    <w:rsid w:val="47115999"/>
    <w:rsid w:val="47123D8D"/>
    <w:rsid w:val="471651A2"/>
    <w:rsid w:val="47195C33"/>
    <w:rsid w:val="472322A2"/>
    <w:rsid w:val="472E14A0"/>
    <w:rsid w:val="47304A60"/>
    <w:rsid w:val="47321070"/>
    <w:rsid w:val="47383706"/>
    <w:rsid w:val="473F3443"/>
    <w:rsid w:val="47442FEA"/>
    <w:rsid w:val="47476898"/>
    <w:rsid w:val="474825BA"/>
    <w:rsid w:val="47524966"/>
    <w:rsid w:val="475E1AB6"/>
    <w:rsid w:val="4764753D"/>
    <w:rsid w:val="47663624"/>
    <w:rsid w:val="4779594B"/>
    <w:rsid w:val="477E3FE9"/>
    <w:rsid w:val="478E58BD"/>
    <w:rsid w:val="47997ECC"/>
    <w:rsid w:val="47A938A8"/>
    <w:rsid w:val="47AD2393"/>
    <w:rsid w:val="47AF4DB4"/>
    <w:rsid w:val="47C05960"/>
    <w:rsid w:val="47CA211A"/>
    <w:rsid w:val="47CE6AD8"/>
    <w:rsid w:val="47D00B76"/>
    <w:rsid w:val="47D266F4"/>
    <w:rsid w:val="47EB3A88"/>
    <w:rsid w:val="47ED09EA"/>
    <w:rsid w:val="47F03825"/>
    <w:rsid w:val="47F67231"/>
    <w:rsid w:val="47F72583"/>
    <w:rsid w:val="47FE4F97"/>
    <w:rsid w:val="48043BE9"/>
    <w:rsid w:val="48050F31"/>
    <w:rsid w:val="480B064E"/>
    <w:rsid w:val="48152A57"/>
    <w:rsid w:val="481B77EC"/>
    <w:rsid w:val="481F00E4"/>
    <w:rsid w:val="48230137"/>
    <w:rsid w:val="482A5E63"/>
    <w:rsid w:val="48357C17"/>
    <w:rsid w:val="483602D1"/>
    <w:rsid w:val="48360F72"/>
    <w:rsid w:val="48466EDC"/>
    <w:rsid w:val="486022F2"/>
    <w:rsid w:val="486505C9"/>
    <w:rsid w:val="48717233"/>
    <w:rsid w:val="487736C7"/>
    <w:rsid w:val="4886149A"/>
    <w:rsid w:val="48870995"/>
    <w:rsid w:val="488933F6"/>
    <w:rsid w:val="488F18B7"/>
    <w:rsid w:val="489C5A7F"/>
    <w:rsid w:val="489C5B95"/>
    <w:rsid w:val="489F248C"/>
    <w:rsid w:val="48A47128"/>
    <w:rsid w:val="48A53F58"/>
    <w:rsid w:val="48AA10E1"/>
    <w:rsid w:val="48AF1323"/>
    <w:rsid w:val="48B2080D"/>
    <w:rsid w:val="48B5518F"/>
    <w:rsid w:val="48BE6136"/>
    <w:rsid w:val="48C17060"/>
    <w:rsid w:val="48D22DB3"/>
    <w:rsid w:val="48D93445"/>
    <w:rsid w:val="48DA1D9C"/>
    <w:rsid w:val="48DC218D"/>
    <w:rsid w:val="48DF3D7D"/>
    <w:rsid w:val="48E915DE"/>
    <w:rsid w:val="48EB611E"/>
    <w:rsid w:val="48F7177C"/>
    <w:rsid w:val="490008E6"/>
    <w:rsid w:val="490425AB"/>
    <w:rsid w:val="49076238"/>
    <w:rsid w:val="49104838"/>
    <w:rsid w:val="49200C47"/>
    <w:rsid w:val="49250443"/>
    <w:rsid w:val="49267368"/>
    <w:rsid w:val="49276313"/>
    <w:rsid w:val="492F1B04"/>
    <w:rsid w:val="4930158D"/>
    <w:rsid w:val="493166F2"/>
    <w:rsid w:val="4943084D"/>
    <w:rsid w:val="495B2F5A"/>
    <w:rsid w:val="49660B64"/>
    <w:rsid w:val="496E056A"/>
    <w:rsid w:val="497930F9"/>
    <w:rsid w:val="497E5F0E"/>
    <w:rsid w:val="49895BF9"/>
    <w:rsid w:val="49896889"/>
    <w:rsid w:val="498B006E"/>
    <w:rsid w:val="499C126E"/>
    <w:rsid w:val="49A20032"/>
    <w:rsid w:val="49A82756"/>
    <w:rsid w:val="49A86BF4"/>
    <w:rsid w:val="49A902DE"/>
    <w:rsid w:val="49A961CD"/>
    <w:rsid w:val="49B337E8"/>
    <w:rsid w:val="49B57903"/>
    <w:rsid w:val="49BB0B72"/>
    <w:rsid w:val="49CD3C98"/>
    <w:rsid w:val="49E27CCF"/>
    <w:rsid w:val="49F44446"/>
    <w:rsid w:val="49F543E3"/>
    <w:rsid w:val="49FA00AE"/>
    <w:rsid w:val="4A037F7B"/>
    <w:rsid w:val="4A0C3345"/>
    <w:rsid w:val="4A12511A"/>
    <w:rsid w:val="4A2A339F"/>
    <w:rsid w:val="4A3849A0"/>
    <w:rsid w:val="4A3B0ADD"/>
    <w:rsid w:val="4A3D1213"/>
    <w:rsid w:val="4A405618"/>
    <w:rsid w:val="4A42752E"/>
    <w:rsid w:val="4A463FDD"/>
    <w:rsid w:val="4A4D2C8C"/>
    <w:rsid w:val="4A4D6FE1"/>
    <w:rsid w:val="4A4F464E"/>
    <w:rsid w:val="4A500FF5"/>
    <w:rsid w:val="4A51053D"/>
    <w:rsid w:val="4A541B9F"/>
    <w:rsid w:val="4A5B2412"/>
    <w:rsid w:val="4A603371"/>
    <w:rsid w:val="4A665A8F"/>
    <w:rsid w:val="4A6B6C00"/>
    <w:rsid w:val="4A7A1A7F"/>
    <w:rsid w:val="4A7B1C95"/>
    <w:rsid w:val="4A7C6D92"/>
    <w:rsid w:val="4A80680F"/>
    <w:rsid w:val="4A8B2BFF"/>
    <w:rsid w:val="4A8C3D45"/>
    <w:rsid w:val="4A996D58"/>
    <w:rsid w:val="4AA637CE"/>
    <w:rsid w:val="4AAA2363"/>
    <w:rsid w:val="4AAC0232"/>
    <w:rsid w:val="4AB420A2"/>
    <w:rsid w:val="4AB42562"/>
    <w:rsid w:val="4AB971E8"/>
    <w:rsid w:val="4ABC4127"/>
    <w:rsid w:val="4AC14B57"/>
    <w:rsid w:val="4AC462B3"/>
    <w:rsid w:val="4AC908CA"/>
    <w:rsid w:val="4AC95E08"/>
    <w:rsid w:val="4ACC60F1"/>
    <w:rsid w:val="4ACE3D63"/>
    <w:rsid w:val="4AD13FBF"/>
    <w:rsid w:val="4AD37FB6"/>
    <w:rsid w:val="4AED546D"/>
    <w:rsid w:val="4AF15169"/>
    <w:rsid w:val="4AF33411"/>
    <w:rsid w:val="4AFC4739"/>
    <w:rsid w:val="4AFF7966"/>
    <w:rsid w:val="4B0F4D9F"/>
    <w:rsid w:val="4B2B654D"/>
    <w:rsid w:val="4B2D2A9B"/>
    <w:rsid w:val="4B313BE7"/>
    <w:rsid w:val="4B331125"/>
    <w:rsid w:val="4B3405F9"/>
    <w:rsid w:val="4B473804"/>
    <w:rsid w:val="4B5151AA"/>
    <w:rsid w:val="4B537CBF"/>
    <w:rsid w:val="4B550153"/>
    <w:rsid w:val="4B641191"/>
    <w:rsid w:val="4B694B3A"/>
    <w:rsid w:val="4B76529F"/>
    <w:rsid w:val="4B7A237E"/>
    <w:rsid w:val="4B815FB3"/>
    <w:rsid w:val="4B86443F"/>
    <w:rsid w:val="4B9A0C4D"/>
    <w:rsid w:val="4B9B3B70"/>
    <w:rsid w:val="4B9E7936"/>
    <w:rsid w:val="4BB7667A"/>
    <w:rsid w:val="4BBA25CD"/>
    <w:rsid w:val="4BBB242F"/>
    <w:rsid w:val="4BC15B7C"/>
    <w:rsid w:val="4BCC5B3C"/>
    <w:rsid w:val="4BD06F1C"/>
    <w:rsid w:val="4BD119E3"/>
    <w:rsid w:val="4BD11B2A"/>
    <w:rsid w:val="4BD13574"/>
    <w:rsid w:val="4BD47BEF"/>
    <w:rsid w:val="4BDA74DE"/>
    <w:rsid w:val="4BE06BCD"/>
    <w:rsid w:val="4BE413D6"/>
    <w:rsid w:val="4BE86538"/>
    <w:rsid w:val="4C001FDF"/>
    <w:rsid w:val="4C040A9A"/>
    <w:rsid w:val="4C0770C1"/>
    <w:rsid w:val="4C1F0776"/>
    <w:rsid w:val="4C232063"/>
    <w:rsid w:val="4C2503E2"/>
    <w:rsid w:val="4C2C299D"/>
    <w:rsid w:val="4C322608"/>
    <w:rsid w:val="4C3238CA"/>
    <w:rsid w:val="4C343A7F"/>
    <w:rsid w:val="4C380D78"/>
    <w:rsid w:val="4C3D0756"/>
    <w:rsid w:val="4C3D5FB7"/>
    <w:rsid w:val="4C4C1686"/>
    <w:rsid w:val="4C513E4B"/>
    <w:rsid w:val="4C603F1D"/>
    <w:rsid w:val="4C635D18"/>
    <w:rsid w:val="4C670EB1"/>
    <w:rsid w:val="4C712086"/>
    <w:rsid w:val="4C7120EC"/>
    <w:rsid w:val="4C7B3D80"/>
    <w:rsid w:val="4C7C605E"/>
    <w:rsid w:val="4C7E2355"/>
    <w:rsid w:val="4C847264"/>
    <w:rsid w:val="4C970E7B"/>
    <w:rsid w:val="4CC1054F"/>
    <w:rsid w:val="4CCE079D"/>
    <w:rsid w:val="4CCE3699"/>
    <w:rsid w:val="4CEA4F4D"/>
    <w:rsid w:val="4CEC58DB"/>
    <w:rsid w:val="4CEF637A"/>
    <w:rsid w:val="4CF00FB6"/>
    <w:rsid w:val="4CF16277"/>
    <w:rsid w:val="4CF4672D"/>
    <w:rsid w:val="4CFA2AAF"/>
    <w:rsid w:val="4D035A68"/>
    <w:rsid w:val="4D0F26CE"/>
    <w:rsid w:val="4D147026"/>
    <w:rsid w:val="4D1478EC"/>
    <w:rsid w:val="4D165C91"/>
    <w:rsid w:val="4D235945"/>
    <w:rsid w:val="4D255F0E"/>
    <w:rsid w:val="4D2F06BA"/>
    <w:rsid w:val="4D304130"/>
    <w:rsid w:val="4D386B0D"/>
    <w:rsid w:val="4D4330D3"/>
    <w:rsid w:val="4D4B7DCE"/>
    <w:rsid w:val="4D545407"/>
    <w:rsid w:val="4D694F30"/>
    <w:rsid w:val="4D6B703C"/>
    <w:rsid w:val="4D717BA1"/>
    <w:rsid w:val="4D7F56C3"/>
    <w:rsid w:val="4D855FB9"/>
    <w:rsid w:val="4D8A0B26"/>
    <w:rsid w:val="4D904FEE"/>
    <w:rsid w:val="4D910D8A"/>
    <w:rsid w:val="4D935425"/>
    <w:rsid w:val="4D953CDB"/>
    <w:rsid w:val="4D97309D"/>
    <w:rsid w:val="4D9E090F"/>
    <w:rsid w:val="4DAC6E91"/>
    <w:rsid w:val="4DAE3711"/>
    <w:rsid w:val="4DB63BC4"/>
    <w:rsid w:val="4DB7591C"/>
    <w:rsid w:val="4DBB2984"/>
    <w:rsid w:val="4DCC46DA"/>
    <w:rsid w:val="4DDD5EB7"/>
    <w:rsid w:val="4DDE45A5"/>
    <w:rsid w:val="4DE5023D"/>
    <w:rsid w:val="4DEB419D"/>
    <w:rsid w:val="4DF267CF"/>
    <w:rsid w:val="4DF6484E"/>
    <w:rsid w:val="4E043A0E"/>
    <w:rsid w:val="4E0B5D31"/>
    <w:rsid w:val="4E125681"/>
    <w:rsid w:val="4E1339D8"/>
    <w:rsid w:val="4E145C86"/>
    <w:rsid w:val="4E187CF8"/>
    <w:rsid w:val="4E1A5C2E"/>
    <w:rsid w:val="4E2B3781"/>
    <w:rsid w:val="4E337E4B"/>
    <w:rsid w:val="4E365771"/>
    <w:rsid w:val="4E3C5DC0"/>
    <w:rsid w:val="4E446F8B"/>
    <w:rsid w:val="4E4D4DE2"/>
    <w:rsid w:val="4E5669BF"/>
    <w:rsid w:val="4E651EA6"/>
    <w:rsid w:val="4E6757B0"/>
    <w:rsid w:val="4E6C4048"/>
    <w:rsid w:val="4E783D17"/>
    <w:rsid w:val="4E805C19"/>
    <w:rsid w:val="4E836C4E"/>
    <w:rsid w:val="4E865BCD"/>
    <w:rsid w:val="4E957162"/>
    <w:rsid w:val="4E9E60B6"/>
    <w:rsid w:val="4EA27ACB"/>
    <w:rsid w:val="4EB379F2"/>
    <w:rsid w:val="4EB838E0"/>
    <w:rsid w:val="4EBC3167"/>
    <w:rsid w:val="4EBC6632"/>
    <w:rsid w:val="4EBD4562"/>
    <w:rsid w:val="4EBD5620"/>
    <w:rsid w:val="4EBE0F4C"/>
    <w:rsid w:val="4ECD0F14"/>
    <w:rsid w:val="4ED017E4"/>
    <w:rsid w:val="4ED03B4F"/>
    <w:rsid w:val="4ED43AE8"/>
    <w:rsid w:val="4EDC1716"/>
    <w:rsid w:val="4EDF6F4B"/>
    <w:rsid w:val="4EE24F10"/>
    <w:rsid w:val="4EE77077"/>
    <w:rsid w:val="4EE8461F"/>
    <w:rsid w:val="4F0206C2"/>
    <w:rsid w:val="4F06414B"/>
    <w:rsid w:val="4F1A4FD6"/>
    <w:rsid w:val="4F1C2B4C"/>
    <w:rsid w:val="4F1E1A5A"/>
    <w:rsid w:val="4F2D5479"/>
    <w:rsid w:val="4F2E4FDB"/>
    <w:rsid w:val="4F3127D8"/>
    <w:rsid w:val="4F353521"/>
    <w:rsid w:val="4F3B798B"/>
    <w:rsid w:val="4F424396"/>
    <w:rsid w:val="4F461737"/>
    <w:rsid w:val="4F501AA5"/>
    <w:rsid w:val="4F507138"/>
    <w:rsid w:val="4F5431F2"/>
    <w:rsid w:val="4F594949"/>
    <w:rsid w:val="4F5A315B"/>
    <w:rsid w:val="4F7041A7"/>
    <w:rsid w:val="4F7349ED"/>
    <w:rsid w:val="4F7C7D62"/>
    <w:rsid w:val="4F88390E"/>
    <w:rsid w:val="4F8865D2"/>
    <w:rsid w:val="4F9102E3"/>
    <w:rsid w:val="4F9A400D"/>
    <w:rsid w:val="4FA11827"/>
    <w:rsid w:val="4FA57761"/>
    <w:rsid w:val="4FA82F77"/>
    <w:rsid w:val="4FAB07C1"/>
    <w:rsid w:val="4FC12B67"/>
    <w:rsid w:val="4FD409F7"/>
    <w:rsid w:val="4FD41054"/>
    <w:rsid w:val="4FD66F8D"/>
    <w:rsid w:val="4FDB5605"/>
    <w:rsid w:val="4FDF7D08"/>
    <w:rsid w:val="4FE45662"/>
    <w:rsid w:val="4FE66728"/>
    <w:rsid w:val="4FE74DC2"/>
    <w:rsid w:val="4FF81090"/>
    <w:rsid w:val="4FFA1BE3"/>
    <w:rsid w:val="4FFF560B"/>
    <w:rsid w:val="50033BDE"/>
    <w:rsid w:val="50036BC4"/>
    <w:rsid w:val="500B0DCA"/>
    <w:rsid w:val="500C2A95"/>
    <w:rsid w:val="50133F8A"/>
    <w:rsid w:val="50140C07"/>
    <w:rsid w:val="50176E6F"/>
    <w:rsid w:val="50200664"/>
    <w:rsid w:val="502151EE"/>
    <w:rsid w:val="5022333C"/>
    <w:rsid w:val="50312196"/>
    <w:rsid w:val="50417E32"/>
    <w:rsid w:val="504768E3"/>
    <w:rsid w:val="504F0FB9"/>
    <w:rsid w:val="504F769B"/>
    <w:rsid w:val="50537FDD"/>
    <w:rsid w:val="50622728"/>
    <w:rsid w:val="507554C6"/>
    <w:rsid w:val="507D0063"/>
    <w:rsid w:val="508F1D63"/>
    <w:rsid w:val="508F6AC4"/>
    <w:rsid w:val="509A55F2"/>
    <w:rsid w:val="50A36924"/>
    <w:rsid w:val="50A732FC"/>
    <w:rsid w:val="50AA341E"/>
    <w:rsid w:val="50AB4E2F"/>
    <w:rsid w:val="50AC2418"/>
    <w:rsid w:val="50B421A0"/>
    <w:rsid w:val="50B70FED"/>
    <w:rsid w:val="50BA643F"/>
    <w:rsid w:val="50BC2897"/>
    <w:rsid w:val="50DA2205"/>
    <w:rsid w:val="50E57F59"/>
    <w:rsid w:val="50EA61D3"/>
    <w:rsid w:val="50FC41E2"/>
    <w:rsid w:val="510319B4"/>
    <w:rsid w:val="510A4E7D"/>
    <w:rsid w:val="51187091"/>
    <w:rsid w:val="51205217"/>
    <w:rsid w:val="51217565"/>
    <w:rsid w:val="512D5787"/>
    <w:rsid w:val="51371434"/>
    <w:rsid w:val="51382F84"/>
    <w:rsid w:val="513B4CBD"/>
    <w:rsid w:val="513F2A79"/>
    <w:rsid w:val="514E5DF0"/>
    <w:rsid w:val="51505C49"/>
    <w:rsid w:val="515F5290"/>
    <w:rsid w:val="515F5E7D"/>
    <w:rsid w:val="51621B03"/>
    <w:rsid w:val="51677ABF"/>
    <w:rsid w:val="51736010"/>
    <w:rsid w:val="517F4109"/>
    <w:rsid w:val="518140E8"/>
    <w:rsid w:val="518961AE"/>
    <w:rsid w:val="518B0D8B"/>
    <w:rsid w:val="51905BB3"/>
    <w:rsid w:val="519E4C2D"/>
    <w:rsid w:val="51A15787"/>
    <w:rsid w:val="51A23180"/>
    <w:rsid w:val="51A44533"/>
    <w:rsid w:val="51B12C2B"/>
    <w:rsid w:val="51B625E5"/>
    <w:rsid w:val="51BB3190"/>
    <w:rsid w:val="51C31AB3"/>
    <w:rsid w:val="51C50057"/>
    <w:rsid w:val="51CA6470"/>
    <w:rsid w:val="51CF3752"/>
    <w:rsid w:val="51D221A2"/>
    <w:rsid w:val="51DC7D4F"/>
    <w:rsid w:val="51E372D3"/>
    <w:rsid w:val="51E952C3"/>
    <w:rsid w:val="51F763C2"/>
    <w:rsid w:val="52082F0E"/>
    <w:rsid w:val="520A6A40"/>
    <w:rsid w:val="520B29B2"/>
    <w:rsid w:val="52165ED6"/>
    <w:rsid w:val="52170D68"/>
    <w:rsid w:val="521832FA"/>
    <w:rsid w:val="521B5CF1"/>
    <w:rsid w:val="521E330E"/>
    <w:rsid w:val="52210969"/>
    <w:rsid w:val="52250331"/>
    <w:rsid w:val="52251937"/>
    <w:rsid w:val="52291DE3"/>
    <w:rsid w:val="522D32DC"/>
    <w:rsid w:val="522E032A"/>
    <w:rsid w:val="522E48FA"/>
    <w:rsid w:val="52436B21"/>
    <w:rsid w:val="52476CBE"/>
    <w:rsid w:val="52541687"/>
    <w:rsid w:val="525808AD"/>
    <w:rsid w:val="52606B21"/>
    <w:rsid w:val="526142ED"/>
    <w:rsid w:val="52675267"/>
    <w:rsid w:val="526A42D2"/>
    <w:rsid w:val="527456A0"/>
    <w:rsid w:val="52775B19"/>
    <w:rsid w:val="527820D3"/>
    <w:rsid w:val="5286536B"/>
    <w:rsid w:val="528F6528"/>
    <w:rsid w:val="5294173C"/>
    <w:rsid w:val="52A573D4"/>
    <w:rsid w:val="52AE3C1C"/>
    <w:rsid w:val="52B15A0B"/>
    <w:rsid w:val="52B277B6"/>
    <w:rsid w:val="52B539F6"/>
    <w:rsid w:val="52B87EDF"/>
    <w:rsid w:val="52C2744F"/>
    <w:rsid w:val="52CF2A7E"/>
    <w:rsid w:val="52D52D8A"/>
    <w:rsid w:val="52D70C29"/>
    <w:rsid w:val="52E07E6E"/>
    <w:rsid w:val="52E2403D"/>
    <w:rsid w:val="52E87FC9"/>
    <w:rsid w:val="52EA3010"/>
    <w:rsid w:val="52EE6354"/>
    <w:rsid w:val="53035F10"/>
    <w:rsid w:val="530445BC"/>
    <w:rsid w:val="53073E74"/>
    <w:rsid w:val="53184746"/>
    <w:rsid w:val="531972CB"/>
    <w:rsid w:val="53227F73"/>
    <w:rsid w:val="532342A1"/>
    <w:rsid w:val="532E4AC7"/>
    <w:rsid w:val="533E55DF"/>
    <w:rsid w:val="5360600D"/>
    <w:rsid w:val="53703765"/>
    <w:rsid w:val="5376095E"/>
    <w:rsid w:val="537A04E8"/>
    <w:rsid w:val="537D7719"/>
    <w:rsid w:val="53874180"/>
    <w:rsid w:val="53991F46"/>
    <w:rsid w:val="53A430C7"/>
    <w:rsid w:val="53B71A0D"/>
    <w:rsid w:val="53BA49C0"/>
    <w:rsid w:val="53BF11FF"/>
    <w:rsid w:val="53C2398F"/>
    <w:rsid w:val="53C92C10"/>
    <w:rsid w:val="53CF606A"/>
    <w:rsid w:val="53D111B0"/>
    <w:rsid w:val="53D73576"/>
    <w:rsid w:val="53E22364"/>
    <w:rsid w:val="53E35749"/>
    <w:rsid w:val="53EB4289"/>
    <w:rsid w:val="53F67F24"/>
    <w:rsid w:val="53FE5A9E"/>
    <w:rsid w:val="541C5A78"/>
    <w:rsid w:val="54257FE2"/>
    <w:rsid w:val="5428581F"/>
    <w:rsid w:val="542B47E5"/>
    <w:rsid w:val="54312A0A"/>
    <w:rsid w:val="54451C08"/>
    <w:rsid w:val="5450152B"/>
    <w:rsid w:val="545412A1"/>
    <w:rsid w:val="54591BCD"/>
    <w:rsid w:val="546936FE"/>
    <w:rsid w:val="546A602B"/>
    <w:rsid w:val="547034CA"/>
    <w:rsid w:val="547801F9"/>
    <w:rsid w:val="54877824"/>
    <w:rsid w:val="54967702"/>
    <w:rsid w:val="549B60CA"/>
    <w:rsid w:val="54A746D1"/>
    <w:rsid w:val="54B14984"/>
    <w:rsid w:val="54B34E33"/>
    <w:rsid w:val="54BC09E2"/>
    <w:rsid w:val="54C257FC"/>
    <w:rsid w:val="54C51C65"/>
    <w:rsid w:val="54C766D3"/>
    <w:rsid w:val="54E32310"/>
    <w:rsid w:val="54E35B83"/>
    <w:rsid w:val="54E5570D"/>
    <w:rsid w:val="54E656A9"/>
    <w:rsid w:val="54E85406"/>
    <w:rsid w:val="54EE0227"/>
    <w:rsid w:val="54EE4DEC"/>
    <w:rsid w:val="54F93AE7"/>
    <w:rsid w:val="54F97DEB"/>
    <w:rsid w:val="55012EF3"/>
    <w:rsid w:val="55022588"/>
    <w:rsid w:val="550D4E7F"/>
    <w:rsid w:val="551B3ADB"/>
    <w:rsid w:val="55252910"/>
    <w:rsid w:val="552677BE"/>
    <w:rsid w:val="55313992"/>
    <w:rsid w:val="553772EA"/>
    <w:rsid w:val="553A6D2E"/>
    <w:rsid w:val="5546635B"/>
    <w:rsid w:val="55507B46"/>
    <w:rsid w:val="55534568"/>
    <w:rsid w:val="555A0EDC"/>
    <w:rsid w:val="55677E49"/>
    <w:rsid w:val="55692EAC"/>
    <w:rsid w:val="55714147"/>
    <w:rsid w:val="557C295E"/>
    <w:rsid w:val="557C5B0B"/>
    <w:rsid w:val="55812735"/>
    <w:rsid w:val="55861EC8"/>
    <w:rsid w:val="5588140B"/>
    <w:rsid w:val="55891D85"/>
    <w:rsid w:val="5592013C"/>
    <w:rsid w:val="55A57957"/>
    <w:rsid w:val="55AA469C"/>
    <w:rsid w:val="55BC12E8"/>
    <w:rsid w:val="55BD3120"/>
    <w:rsid w:val="55BF56EA"/>
    <w:rsid w:val="55C103AC"/>
    <w:rsid w:val="55C423B5"/>
    <w:rsid w:val="55C6074D"/>
    <w:rsid w:val="55C86079"/>
    <w:rsid w:val="55CC5297"/>
    <w:rsid w:val="55EE6E58"/>
    <w:rsid w:val="55F2238E"/>
    <w:rsid w:val="55F24132"/>
    <w:rsid w:val="55FB05FF"/>
    <w:rsid w:val="55FC794D"/>
    <w:rsid w:val="56012A7B"/>
    <w:rsid w:val="56172C84"/>
    <w:rsid w:val="56206259"/>
    <w:rsid w:val="562219AC"/>
    <w:rsid w:val="56230DC5"/>
    <w:rsid w:val="562B59B0"/>
    <w:rsid w:val="56387876"/>
    <w:rsid w:val="56391384"/>
    <w:rsid w:val="564C27AB"/>
    <w:rsid w:val="565907FF"/>
    <w:rsid w:val="565D6940"/>
    <w:rsid w:val="566101A8"/>
    <w:rsid w:val="56666AC5"/>
    <w:rsid w:val="56701442"/>
    <w:rsid w:val="56793306"/>
    <w:rsid w:val="56797C74"/>
    <w:rsid w:val="568116C5"/>
    <w:rsid w:val="568F0B4D"/>
    <w:rsid w:val="5691640E"/>
    <w:rsid w:val="56927F4A"/>
    <w:rsid w:val="569C03A7"/>
    <w:rsid w:val="569E53D6"/>
    <w:rsid w:val="56A304C3"/>
    <w:rsid w:val="56AD16B1"/>
    <w:rsid w:val="56B44FF7"/>
    <w:rsid w:val="56B76AF7"/>
    <w:rsid w:val="56BA0EDB"/>
    <w:rsid w:val="56BA5BFC"/>
    <w:rsid w:val="56D60D34"/>
    <w:rsid w:val="56DA1A1C"/>
    <w:rsid w:val="56E90EF6"/>
    <w:rsid w:val="56F50794"/>
    <w:rsid w:val="56F82259"/>
    <w:rsid w:val="56FC12BF"/>
    <w:rsid w:val="570426CC"/>
    <w:rsid w:val="57103E85"/>
    <w:rsid w:val="571E4103"/>
    <w:rsid w:val="5724356E"/>
    <w:rsid w:val="573B396A"/>
    <w:rsid w:val="576019A8"/>
    <w:rsid w:val="576E1A2E"/>
    <w:rsid w:val="576F00D0"/>
    <w:rsid w:val="57780B15"/>
    <w:rsid w:val="577C7921"/>
    <w:rsid w:val="578130EB"/>
    <w:rsid w:val="5781472D"/>
    <w:rsid w:val="57842581"/>
    <w:rsid w:val="57860B1C"/>
    <w:rsid w:val="579016BB"/>
    <w:rsid w:val="579131AA"/>
    <w:rsid w:val="57961B8E"/>
    <w:rsid w:val="579A34FF"/>
    <w:rsid w:val="57A05D52"/>
    <w:rsid w:val="57A65B21"/>
    <w:rsid w:val="57A93B1C"/>
    <w:rsid w:val="57AC71EF"/>
    <w:rsid w:val="57B30CCB"/>
    <w:rsid w:val="57B82FE8"/>
    <w:rsid w:val="57BA183B"/>
    <w:rsid w:val="57BC21E8"/>
    <w:rsid w:val="57C64CE3"/>
    <w:rsid w:val="57CF1AC2"/>
    <w:rsid w:val="57CF411E"/>
    <w:rsid w:val="57CF6469"/>
    <w:rsid w:val="57E359C9"/>
    <w:rsid w:val="57E8494C"/>
    <w:rsid w:val="57F75230"/>
    <w:rsid w:val="57FA5E75"/>
    <w:rsid w:val="58000E35"/>
    <w:rsid w:val="58222E9F"/>
    <w:rsid w:val="582D3231"/>
    <w:rsid w:val="58316A55"/>
    <w:rsid w:val="583F3207"/>
    <w:rsid w:val="58452DB9"/>
    <w:rsid w:val="5846017C"/>
    <w:rsid w:val="58484E27"/>
    <w:rsid w:val="58514B7B"/>
    <w:rsid w:val="58525C17"/>
    <w:rsid w:val="58592455"/>
    <w:rsid w:val="586815ED"/>
    <w:rsid w:val="586B3009"/>
    <w:rsid w:val="58775EED"/>
    <w:rsid w:val="58790B5B"/>
    <w:rsid w:val="588D7FDD"/>
    <w:rsid w:val="58924ECC"/>
    <w:rsid w:val="589511CE"/>
    <w:rsid w:val="5895256C"/>
    <w:rsid w:val="58965AA7"/>
    <w:rsid w:val="5899451C"/>
    <w:rsid w:val="589C6409"/>
    <w:rsid w:val="589D4D39"/>
    <w:rsid w:val="58A34E0C"/>
    <w:rsid w:val="58AE31F5"/>
    <w:rsid w:val="58B354B8"/>
    <w:rsid w:val="58B60FB7"/>
    <w:rsid w:val="58BB01CF"/>
    <w:rsid w:val="58BD1D42"/>
    <w:rsid w:val="58C04526"/>
    <w:rsid w:val="58C15643"/>
    <w:rsid w:val="58DE296B"/>
    <w:rsid w:val="58E05B85"/>
    <w:rsid w:val="58F141D6"/>
    <w:rsid w:val="58F9654F"/>
    <w:rsid w:val="58F979E8"/>
    <w:rsid w:val="58FB6C25"/>
    <w:rsid w:val="58FE08ED"/>
    <w:rsid w:val="59061DAE"/>
    <w:rsid w:val="5914669F"/>
    <w:rsid w:val="591557DB"/>
    <w:rsid w:val="591A5C30"/>
    <w:rsid w:val="591C4B79"/>
    <w:rsid w:val="591F2957"/>
    <w:rsid w:val="592F1CE2"/>
    <w:rsid w:val="59371CA9"/>
    <w:rsid w:val="593C5853"/>
    <w:rsid w:val="593E005D"/>
    <w:rsid w:val="5940158A"/>
    <w:rsid w:val="594606CC"/>
    <w:rsid w:val="594B6D49"/>
    <w:rsid w:val="59697600"/>
    <w:rsid w:val="596C25D4"/>
    <w:rsid w:val="597028E6"/>
    <w:rsid w:val="597D38D7"/>
    <w:rsid w:val="598A75D0"/>
    <w:rsid w:val="59935094"/>
    <w:rsid w:val="5995496F"/>
    <w:rsid w:val="59A62A34"/>
    <w:rsid w:val="59AB1748"/>
    <w:rsid w:val="59B159CB"/>
    <w:rsid w:val="59B51848"/>
    <w:rsid w:val="59BC67AC"/>
    <w:rsid w:val="59C03938"/>
    <w:rsid w:val="59C811F1"/>
    <w:rsid w:val="59C83D69"/>
    <w:rsid w:val="59CB01B4"/>
    <w:rsid w:val="59CC0DAD"/>
    <w:rsid w:val="59CF1C3E"/>
    <w:rsid w:val="59D87B36"/>
    <w:rsid w:val="59E57113"/>
    <w:rsid w:val="59E91981"/>
    <w:rsid w:val="59F22823"/>
    <w:rsid w:val="59F35BF5"/>
    <w:rsid w:val="59F42704"/>
    <w:rsid w:val="59FD1C88"/>
    <w:rsid w:val="5A0020BE"/>
    <w:rsid w:val="5A02215A"/>
    <w:rsid w:val="5A0823EC"/>
    <w:rsid w:val="5A0B4999"/>
    <w:rsid w:val="5A1219E8"/>
    <w:rsid w:val="5A1601E1"/>
    <w:rsid w:val="5A1A2003"/>
    <w:rsid w:val="5A2023BC"/>
    <w:rsid w:val="5A2534E2"/>
    <w:rsid w:val="5A272110"/>
    <w:rsid w:val="5A2F52ED"/>
    <w:rsid w:val="5A307C26"/>
    <w:rsid w:val="5A341010"/>
    <w:rsid w:val="5A3A1517"/>
    <w:rsid w:val="5A4D351E"/>
    <w:rsid w:val="5A507300"/>
    <w:rsid w:val="5A51154D"/>
    <w:rsid w:val="5A523957"/>
    <w:rsid w:val="5A532CC8"/>
    <w:rsid w:val="5A612789"/>
    <w:rsid w:val="5A6543C4"/>
    <w:rsid w:val="5A6A5675"/>
    <w:rsid w:val="5A6E205B"/>
    <w:rsid w:val="5A7B2C70"/>
    <w:rsid w:val="5A7C2218"/>
    <w:rsid w:val="5A7C5822"/>
    <w:rsid w:val="5A847FE5"/>
    <w:rsid w:val="5A916654"/>
    <w:rsid w:val="5A9B3B8F"/>
    <w:rsid w:val="5A9E6004"/>
    <w:rsid w:val="5AAB402B"/>
    <w:rsid w:val="5AAF46FD"/>
    <w:rsid w:val="5AB36954"/>
    <w:rsid w:val="5ABE401A"/>
    <w:rsid w:val="5AC526EE"/>
    <w:rsid w:val="5ACB4B14"/>
    <w:rsid w:val="5AD45224"/>
    <w:rsid w:val="5ADC6365"/>
    <w:rsid w:val="5B0A16D4"/>
    <w:rsid w:val="5B0B0FE2"/>
    <w:rsid w:val="5B1029A0"/>
    <w:rsid w:val="5B18258F"/>
    <w:rsid w:val="5B28216A"/>
    <w:rsid w:val="5B2B1ACA"/>
    <w:rsid w:val="5B33397C"/>
    <w:rsid w:val="5B35552C"/>
    <w:rsid w:val="5B356E68"/>
    <w:rsid w:val="5B3A4E8A"/>
    <w:rsid w:val="5B43203B"/>
    <w:rsid w:val="5B4E4DA1"/>
    <w:rsid w:val="5B5335BE"/>
    <w:rsid w:val="5B613886"/>
    <w:rsid w:val="5B6A6045"/>
    <w:rsid w:val="5B6C39BD"/>
    <w:rsid w:val="5B7B1E82"/>
    <w:rsid w:val="5B862B77"/>
    <w:rsid w:val="5B944D80"/>
    <w:rsid w:val="5B9509FD"/>
    <w:rsid w:val="5BAB4BEE"/>
    <w:rsid w:val="5BB210AD"/>
    <w:rsid w:val="5BB47B97"/>
    <w:rsid w:val="5BB81EEF"/>
    <w:rsid w:val="5BC23198"/>
    <w:rsid w:val="5BC52C1C"/>
    <w:rsid w:val="5BCE2157"/>
    <w:rsid w:val="5BD2376F"/>
    <w:rsid w:val="5BEA66B7"/>
    <w:rsid w:val="5BEB4DCC"/>
    <w:rsid w:val="5BF81226"/>
    <w:rsid w:val="5BFB7485"/>
    <w:rsid w:val="5C0042AF"/>
    <w:rsid w:val="5C021D5C"/>
    <w:rsid w:val="5C097E8B"/>
    <w:rsid w:val="5C0E1887"/>
    <w:rsid w:val="5C0E448E"/>
    <w:rsid w:val="5C116FBD"/>
    <w:rsid w:val="5C18254C"/>
    <w:rsid w:val="5C1B2C25"/>
    <w:rsid w:val="5C1E0099"/>
    <w:rsid w:val="5C24204D"/>
    <w:rsid w:val="5C261AD7"/>
    <w:rsid w:val="5C2A4D2E"/>
    <w:rsid w:val="5C2E032C"/>
    <w:rsid w:val="5C317C76"/>
    <w:rsid w:val="5C35045C"/>
    <w:rsid w:val="5C3C5668"/>
    <w:rsid w:val="5C3C56AD"/>
    <w:rsid w:val="5C3D32DD"/>
    <w:rsid w:val="5C3E4B55"/>
    <w:rsid w:val="5C404666"/>
    <w:rsid w:val="5C422461"/>
    <w:rsid w:val="5C48686D"/>
    <w:rsid w:val="5C4F52A1"/>
    <w:rsid w:val="5C4F75E7"/>
    <w:rsid w:val="5C50319B"/>
    <w:rsid w:val="5C511614"/>
    <w:rsid w:val="5C520197"/>
    <w:rsid w:val="5C5371DE"/>
    <w:rsid w:val="5C5F094C"/>
    <w:rsid w:val="5C603564"/>
    <w:rsid w:val="5C633837"/>
    <w:rsid w:val="5C6B674F"/>
    <w:rsid w:val="5C6F57DC"/>
    <w:rsid w:val="5C7E0DF8"/>
    <w:rsid w:val="5C7E39D8"/>
    <w:rsid w:val="5C8A31FF"/>
    <w:rsid w:val="5C9F55AA"/>
    <w:rsid w:val="5CA474D4"/>
    <w:rsid w:val="5CA84AC1"/>
    <w:rsid w:val="5CAC4293"/>
    <w:rsid w:val="5CB64B19"/>
    <w:rsid w:val="5CBD7A62"/>
    <w:rsid w:val="5CC164AE"/>
    <w:rsid w:val="5CC22998"/>
    <w:rsid w:val="5CC5766D"/>
    <w:rsid w:val="5CC829D4"/>
    <w:rsid w:val="5CD22245"/>
    <w:rsid w:val="5CD612EC"/>
    <w:rsid w:val="5CD620EF"/>
    <w:rsid w:val="5CD63CB1"/>
    <w:rsid w:val="5CD75EB0"/>
    <w:rsid w:val="5CE00BB1"/>
    <w:rsid w:val="5CE76E4E"/>
    <w:rsid w:val="5CE97CE3"/>
    <w:rsid w:val="5CF06B97"/>
    <w:rsid w:val="5CF85D55"/>
    <w:rsid w:val="5CFF2C7D"/>
    <w:rsid w:val="5CFF66F4"/>
    <w:rsid w:val="5D042519"/>
    <w:rsid w:val="5D10070C"/>
    <w:rsid w:val="5D1077A1"/>
    <w:rsid w:val="5D193562"/>
    <w:rsid w:val="5D232DD8"/>
    <w:rsid w:val="5D2360DD"/>
    <w:rsid w:val="5D360039"/>
    <w:rsid w:val="5D3A22F4"/>
    <w:rsid w:val="5D3D681F"/>
    <w:rsid w:val="5D421B63"/>
    <w:rsid w:val="5D467576"/>
    <w:rsid w:val="5D4B2525"/>
    <w:rsid w:val="5D543240"/>
    <w:rsid w:val="5D5434CB"/>
    <w:rsid w:val="5D5A25C6"/>
    <w:rsid w:val="5D645AF7"/>
    <w:rsid w:val="5D697151"/>
    <w:rsid w:val="5D7070A0"/>
    <w:rsid w:val="5D7B2BAE"/>
    <w:rsid w:val="5D893541"/>
    <w:rsid w:val="5D8C28B4"/>
    <w:rsid w:val="5D9832F3"/>
    <w:rsid w:val="5D9934EC"/>
    <w:rsid w:val="5D9C1E54"/>
    <w:rsid w:val="5DAB1E9E"/>
    <w:rsid w:val="5DB53FF3"/>
    <w:rsid w:val="5DBC3F54"/>
    <w:rsid w:val="5DC328CA"/>
    <w:rsid w:val="5DCA57DD"/>
    <w:rsid w:val="5DD74A14"/>
    <w:rsid w:val="5DDB163B"/>
    <w:rsid w:val="5DDC2477"/>
    <w:rsid w:val="5DF11D42"/>
    <w:rsid w:val="5DFA2E17"/>
    <w:rsid w:val="5DFB0C01"/>
    <w:rsid w:val="5E006537"/>
    <w:rsid w:val="5E1D2155"/>
    <w:rsid w:val="5E2374D1"/>
    <w:rsid w:val="5E401AFE"/>
    <w:rsid w:val="5E454E01"/>
    <w:rsid w:val="5E490493"/>
    <w:rsid w:val="5E4D4054"/>
    <w:rsid w:val="5E4F4CEC"/>
    <w:rsid w:val="5E517BBA"/>
    <w:rsid w:val="5E521705"/>
    <w:rsid w:val="5E656142"/>
    <w:rsid w:val="5E680B19"/>
    <w:rsid w:val="5E7334F8"/>
    <w:rsid w:val="5E7805FF"/>
    <w:rsid w:val="5E7859D6"/>
    <w:rsid w:val="5E842B6A"/>
    <w:rsid w:val="5E875A07"/>
    <w:rsid w:val="5E8C1E30"/>
    <w:rsid w:val="5E911FAC"/>
    <w:rsid w:val="5E92137B"/>
    <w:rsid w:val="5E9373FC"/>
    <w:rsid w:val="5EA67DEF"/>
    <w:rsid w:val="5EAA11B3"/>
    <w:rsid w:val="5EB95510"/>
    <w:rsid w:val="5EB956EE"/>
    <w:rsid w:val="5EC57A3D"/>
    <w:rsid w:val="5ECB275F"/>
    <w:rsid w:val="5ECE2836"/>
    <w:rsid w:val="5EDB5813"/>
    <w:rsid w:val="5EE2308E"/>
    <w:rsid w:val="5EEC409E"/>
    <w:rsid w:val="5EF2448C"/>
    <w:rsid w:val="5EF442F3"/>
    <w:rsid w:val="5F051F15"/>
    <w:rsid w:val="5F222082"/>
    <w:rsid w:val="5F37319D"/>
    <w:rsid w:val="5F3A21FA"/>
    <w:rsid w:val="5F490636"/>
    <w:rsid w:val="5F4A6244"/>
    <w:rsid w:val="5F6219E5"/>
    <w:rsid w:val="5F7D5743"/>
    <w:rsid w:val="5F810563"/>
    <w:rsid w:val="5F824D0A"/>
    <w:rsid w:val="5F902061"/>
    <w:rsid w:val="5F91364B"/>
    <w:rsid w:val="5F942C15"/>
    <w:rsid w:val="5F982E68"/>
    <w:rsid w:val="5F983E67"/>
    <w:rsid w:val="5FA57B43"/>
    <w:rsid w:val="5FB560BB"/>
    <w:rsid w:val="5FB62CD8"/>
    <w:rsid w:val="5FC20790"/>
    <w:rsid w:val="5FC87F8E"/>
    <w:rsid w:val="5FC91DE9"/>
    <w:rsid w:val="5FCE57F6"/>
    <w:rsid w:val="5FD820A7"/>
    <w:rsid w:val="5FDF0C33"/>
    <w:rsid w:val="5FE25D83"/>
    <w:rsid w:val="5FE5232B"/>
    <w:rsid w:val="5FEC3C05"/>
    <w:rsid w:val="5FF020A1"/>
    <w:rsid w:val="5FFC5DE4"/>
    <w:rsid w:val="600F241C"/>
    <w:rsid w:val="60112156"/>
    <w:rsid w:val="60195F65"/>
    <w:rsid w:val="60200E33"/>
    <w:rsid w:val="6023016C"/>
    <w:rsid w:val="602924AC"/>
    <w:rsid w:val="602B5AAA"/>
    <w:rsid w:val="60334B2A"/>
    <w:rsid w:val="603E7B8A"/>
    <w:rsid w:val="60420933"/>
    <w:rsid w:val="6056292C"/>
    <w:rsid w:val="6063156C"/>
    <w:rsid w:val="606502AC"/>
    <w:rsid w:val="60660D11"/>
    <w:rsid w:val="606611B7"/>
    <w:rsid w:val="60687B01"/>
    <w:rsid w:val="606D5453"/>
    <w:rsid w:val="607044B9"/>
    <w:rsid w:val="60760530"/>
    <w:rsid w:val="6078579C"/>
    <w:rsid w:val="608159C3"/>
    <w:rsid w:val="60841E8A"/>
    <w:rsid w:val="60904724"/>
    <w:rsid w:val="60924935"/>
    <w:rsid w:val="60934023"/>
    <w:rsid w:val="60947BEA"/>
    <w:rsid w:val="609B6315"/>
    <w:rsid w:val="60AC169F"/>
    <w:rsid w:val="60AF0E29"/>
    <w:rsid w:val="60B43DFD"/>
    <w:rsid w:val="60B55179"/>
    <w:rsid w:val="60BF5745"/>
    <w:rsid w:val="60C47684"/>
    <w:rsid w:val="60C90EA4"/>
    <w:rsid w:val="60CA2396"/>
    <w:rsid w:val="60CF0514"/>
    <w:rsid w:val="60D07484"/>
    <w:rsid w:val="60D10C0F"/>
    <w:rsid w:val="60D3569F"/>
    <w:rsid w:val="60D4537B"/>
    <w:rsid w:val="60D74889"/>
    <w:rsid w:val="60E02B8F"/>
    <w:rsid w:val="60E92E1A"/>
    <w:rsid w:val="60ED6BA8"/>
    <w:rsid w:val="60F37DA9"/>
    <w:rsid w:val="60FA110C"/>
    <w:rsid w:val="60FA46E4"/>
    <w:rsid w:val="60FD3753"/>
    <w:rsid w:val="60FE00AF"/>
    <w:rsid w:val="60FE35D0"/>
    <w:rsid w:val="6101046D"/>
    <w:rsid w:val="61047EF9"/>
    <w:rsid w:val="61064296"/>
    <w:rsid w:val="610864CC"/>
    <w:rsid w:val="610958BB"/>
    <w:rsid w:val="610A63CC"/>
    <w:rsid w:val="611558FC"/>
    <w:rsid w:val="61164EEF"/>
    <w:rsid w:val="61176A85"/>
    <w:rsid w:val="611A697F"/>
    <w:rsid w:val="61206479"/>
    <w:rsid w:val="612143A4"/>
    <w:rsid w:val="61221695"/>
    <w:rsid w:val="6124184C"/>
    <w:rsid w:val="61254671"/>
    <w:rsid w:val="612E3337"/>
    <w:rsid w:val="614050A9"/>
    <w:rsid w:val="61465E1A"/>
    <w:rsid w:val="614B5BCE"/>
    <w:rsid w:val="614D1495"/>
    <w:rsid w:val="614D2B5A"/>
    <w:rsid w:val="6155426A"/>
    <w:rsid w:val="615755AF"/>
    <w:rsid w:val="615D6475"/>
    <w:rsid w:val="61620240"/>
    <w:rsid w:val="616C2054"/>
    <w:rsid w:val="616E3976"/>
    <w:rsid w:val="617D0D60"/>
    <w:rsid w:val="618321F0"/>
    <w:rsid w:val="618563BE"/>
    <w:rsid w:val="61861C69"/>
    <w:rsid w:val="61867017"/>
    <w:rsid w:val="618B084B"/>
    <w:rsid w:val="618E1E6E"/>
    <w:rsid w:val="618F22FB"/>
    <w:rsid w:val="61B15149"/>
    <w:rsid w:val="61B16AF8"/>
    <w:rsid w:val="61B71C73"/>
    <w:rsid w:val="61C56900"/>
    <w:rsid w:val="61C73EC2"/>
    <w:rsid w:val="61D32FE5"/>
    <w:rsid w:val="61D9528D"/>
    <w:rsid w:val="61DA6BBA"/>
    <w:rsid w:val="61DE7C3D"/>
    <w:rsid w:val="61E1330A"/>
    <w:rsid w:val="61E51E0F"/>
    <w:rsid w:val="61E852C9"/>
    <w:rsid w:val="61EE26FB"/>
    <w:rsid w:val="61EE28BD"/>
    <w:rsid w:val="61F0115C"/>
    <w:rsid w:val="61FA5B62"/>
    <w:rsid w:val="6203062B"/>
    <w:rsid w:val="62070260"/>
    <w:rsid w:val="6222428F"/>
    <w:rsid w:val="623328EA"/>
    <w:rsid w:val="62390C34"/>
    <w:rsid w:val="6239162C"/>
    <w:rsid w:val="623D4624"/>
    <w:rsid w:val="623D5E3F"/>
    <w:rsid w:val="6241252A"/>
    <w:rsid w:val="62464E95"/>
    <w:rsid w:val="62475095"/>
    <w:rsid w:val="625377EA"/>
    <w:rsid w:val="625D49CE"/>
    <w:rsid w:val="6260455B"/>
    <w:rsid w:val="626114D6"/>
    <w:rsid w:val="6268560F"/>
    <w:rsid w:val="627C049D"/>
    <w:rsid w:val="627E327C"/>
    <w:rsid w:val="628E6DF2"/>
    <w:rsid w:val="62971DFA"/>
    <w:rsid w:val="629963D8"/>
    <w:rsid w:val="62B3642B"/>
    <w:rsid w:val="62B91CB2"/>
    <w:rsid w:val="62E05F11"/>
    <w:rsid w:val="62F00E21"/>
    <w:rsid w:val="62F06C0E"/>
    <w:rsid w:val="62F571B6"/>
    <w:rsid w:val="62F91A8D"/>
    <w:rsid w:val="62FA0118"/>
    <w:rsid w:val="62FB5ADF"/>
    <w:rsid w:val="63016DD9"/>
    <w:rsid w:val="63060DC1"/>
    <w:rsid w:val="630B0513"/>
    <w:rsid w:val="630D5FB3"/>
    <w:rsid w:val="631D12C4"/>
    <w:rsid w:val="632F0EFF"/>
    <w:rsid w:val="633159CB"/>
    <w:rsid w:val="6332638D"/>
    <w:rsid w:val="633B2B0B"/>
    <w:rsid w:val="633C5BF9"/>
    <w:rsid w:val="633E36D1"/>
    <w:rsid w:val="6343466C"/>
    <w:rsid w:val="634A145E"/>
    <w:rsid w:val="634E753F"/>
    <w:rsid w:val="63607ED4"/>
    <w:rsid w:val="636469BD"/>
    <w:rsid w:val="63670D77"/>
    <w:rsid w:val="63685741"/>
    <w:rsid w:val="636A3942"/>
    <w:rsid w:val="636B5C5F"/>
    <w:rsid w:val="63716369"/>
    <w:rsid w:val="63767EE6"/>
    <w:rsid w:val="637919F5"/>
    <w:rsid w:val="637A710D"/>
    <w:rsid w:val="637D2E4D"/>
    <w:rsid w:val="63802ACC"/>
    <w:rsid w:val="6388225F"/>
    <w:rsid w:val="63947BA7"/>
    <w:rsid w:val="63B253E1"/>
    <w:rsid w:val="63B26566"/>
    <w:rsid w:val="63B601D2"/>
    <w:rsid w:val="63D86821"/>
    <w:rsid w:val="63D8720B"/>
    <w:rsid w:val="63DF3F98"/>
    <w:rsid w:val="63E02D15"/>
    <w:rsid w:val="63E0457C"/>
    <w:rsid w:val="63E25AFD"/>
    <w:rsid w:val="63F03B38"/>
    <w:rsid w:val="63F731A5"/>
    <w:rsid w:val="63FC766C"/>
    <w:rsid w:val="63FE2454"/>
    <w:rsid w:val="64022F76"/>
    <w:rsid w:val="64084173"/>
    <w:rsid w:val="641269AD"/>
    <w:rsid w:val="641C56F8"/>
    <w:rsid w:val="64231408"/>
    <w:rsid w:val="643A7824"/>
    <w:rsid w:val="64553AA4"/>
    <w:rsid w:val="64564ED9"/>
    <w:rsid w:val="645A5737"/>
    <w:rsid w:val="646029D7"/>
    <w:rsid w:val="64603768"/>
    <w:rsid w:val="646270E8"/>
    <w:rsid w:val="6467123E"/>
    <w:rsid w:val="64706790"/>
    <w:rsid w:val="64724898"/>
    <w:rsid w:val="647C3BBA"/>
    <w:rsid w:val="64805997"/>
    <w:rsid w:val="64813A7C"/>
    <w:rsid w:val="64823A3A"/>
    <w:rsid w:val="64855B2D"/>
    <w:rsid w:val="64867427"/>
    <w:rsid w:val="648976FB"/>
    <w:rsid w:val="648A2250"/>
    <w:rsid w:val="648B1491"/>
    <w:rsid w:val="648E1573"/>
    <w:rsid w:val="649A52C8"/>
    <w:rsid w:val="64B0747D"/>
    <w:rsid w:val="64B6071F"/>
    <w:rsid w:val="64BE2F18"/>
    <w:rsid w:val="64C004BC"/>
    <w:rsid w:val="64C03551"/>
    <w:rsid w:val="64C6530B"/>
    <w:rsid w:val="64D9451E"/>
    <w:rsid w:val="64DB77D5"/>
    <w:rsid w:val="64F31974"/>
    <w:rsid w:val="64FA5C63"/>
    <w:rsid w:val="65127100"/>
    <w:rsid w:val="6532464B"/>
    <w:rsid w:val="653A34E5"/>
    <w:rsid w:val="653C6B1D"/>
    <w:rsid w:val="65433415"/>
    <w:rsid w:val="65463750"/>
    <w:rsid w:val="654E3228"/>
    <w:rsid w:val="65537C6B"/>
    <w:rsid w:val="655C685E"/>
    <w:rsid w:val="656160AB"/>
    <w:rsid w:val="65622086"/>
    <w:rsid w:val="65644A63"/>
    <w:rsid w:val="656E3321"/>
    <w:rsid w:val="65757B8D"/>
    <w:rsid w:val="65764BA6"/>
    <w:rsid w:val="658E776E"/>
    <w:rsid w:val="65907AC2"/>
    <w:rsid w:val="65A62A91"/>
    <w:rsid w:val="65A8734A"/>
    <w:rsid w:val="65A9185C"/>
    <w:rsid w:val="65AB43EF"/>
    <w:rsid w:val="65B430CC"/>
    <w:rsid w:val="65CC6A3A"/>
    <w:rsid w:val="65DB0A99"/>
    <w:rsid w:val="65E919BF"/>
    <w:rsid w:val="65ED7EEF"/>
    <w:rsid w:val="65F46CFC"/>
    <w:rsid w:val="65F73BB4"/>
    <w:rsid w:val="660658FA"/>
    <w:rsid w:val="660B1805"/>
    <w:rsid w:val="660C035C"/>
    <w:rsid w:val="66190E3D"/>
    <w:rsid w:val="661C061C"/>
    <w:rsid w:val="6628673A"/>
    <w:rsid w:val="66300C32"/>
    <w:rsid w:val="6639596A"/>
    <w:rsid w:val="66401DD3"/>
    <w:rsid w:val="6644369D"/>
    <w:rsid w:val="66513A8B"/>
    <w:rsid w:val="66515333"/>
    <w:rsid w:val="66543F3A"/>
    <w:rsid w:val="6654755D"/>
    <w:rsid w:val="66706DA7"/>
    <w:rsid w:val="66715E7B"/>
    <w:rsid w:val="66741783"/>
    <w:rsid w:val="66847504"/>
    <w:rsid w:val="66870478"/>
    <w:rsid w:val="66892842"/>
    <w:rsid w:val="66917990"/>
    <w:rsid w:val="66941DAA"/>
    <w:rsid w:val="66972F96"/>
    <w:rsid w:val="66976DD4"/>
    <w:rsid w:val="669A7003"/>
    <w:rsid w:val="66A54376"/>
    <w:rsid w:val="66AD05F5"/>
    <w:rsid w:val="66AD1818"/>
    <w:rsid w:val="66AD4A88"/>
    <w:rsid w:val="66B4636B"/>
    <w:rsid w:val="66C2655F"/>
    <w:rsid w:val="66D01D1D"/>
    <w:rsid w:val="66D20F68"/>
    <w:rsid w:val="66D6103F"/>
    <w:rsid w:val="66DB5E51"/>
    <w:rsid w:val="66DC2051"/>
    <w:rsid w:val="66E77E06"/>
    <w:rsid w:val="66F861FA"/>
    <w:rsid w:val="670027A0"/>
    <w:rsid w:val="67037752"/>
    <w:rsid w:val="67050D51"/>
    <w:rsid w:val="67050D97"/>
    <w:rsid w:val="67091904"/>
    <w:rsid w:val="670E178E"/>
    <w:rsid w:val="6717419C"/>
    <w:rsid w:val="67212735"/>
    <w:rsid w:val="673611CB"/>
    <w:rsid w:val="674A450B"/>
    <w:rsid w:val="674B4E59"/>
    <w:rsid w:val="675005EC"/>
    <w:rsid w:val="675E366D"/>
    <w:rsid w:val="67635837"/>
    <w:rsid w:val="67690F3D"/>
    <w:rsid w:val="676B3A7C"/>
    <w:rsid w:val="676D52AA"/>
    <w:rsid w:val="677011BD"/>
    <w:rsid w:val="6770452E"/>
    <w:rsid w:val="67750EBE"/>
    <w:rsid w:val="67816012"/>
    <w:rsid w:val="67842D1C"/>
    <w:rsid w:val="678C278B"/>
    <w:rsid w:val="67991948"/>
    <w:rsid w:val="67A850E1"/>
    <w:rsid w:val="67AB3E74"/>
    <w:rsid w:val="67B0438B"/>
    <w:rsid w:val="67B33BE3"/>
    <w:rsid w:val="67B71656"/>
    <w:rsid w:val="67B723B3"/>
    <w:rsid w:val="67B743E8"/>
    <w:rsid w:val="67BD43E0"/>
    <w:rsid w:val="67BD4993"/>
    <w:rsid w:val="67C0411D"/>
    <w:rsid w:val="67C95416"/>
    <w:rsid w:val="67D74048"/>
    <w:rsid w:val="67E041E2"/>
    <w:rsid w:val="67E51F56"/>
    <w:rsid w:val="67F27764"/>
    <w:rsid w:val="6802359C"/>
    <w:rsid w:val="68081463"/>
    <w:rsid w:val="680A257F"/>
    <w:rsid w:val="680E50C8"/>
    <w:rsid w:val="681541C3"/>
    <w:rsid w:val="681674DF"/>
    <w:rsid w:val="68373462"/>
    <w:rsid w:val="68447B3B"/>
    <w:rsid w:val="685C0FCA"/>
    <w:rsid w:val="68650F7D"/>
    <w:rsid w:val="68655BE3"/>
    <w:rsid w:val="686926D4"/>
    <w:rsid w:val="68774A50"/>
    <w:rsid w:val="68784EDA"/>
    <w:rsid w:val="687A62EB"/>
    <w:rsid w:val="687B4F8F"/>
    <w:rsid w:val="688A20B8"/>
    <w:rsid w:val="688C0135"/>
    <w:rsid w:val="688D57D8"/>
    <w:rsid w:val="6892047F"/>
    <w:rsid w:val="6897438E"/>
    <w:rsid w:val="68A01495"/>
    <w:rsid w:val="68A27905"/>
    <w:rsid w:val="68A550D0"/>
    <w:rsid w:val="68A57A2E"/>
    <w:rsid w:val="68A7533D"/>
    <w:rsid w:val="68BD6779"/>
    <w:rsid w:val="68C02111"/>
    <w:rsid w:val="68C42BDC"/>
    <w:rsid w:val="68CE3102"/>
    <w:rsid w:val="68D015E0"/>
    <w:rsid w:val="68D33B58"/>
    <w:rsid w:val="68D824C6"/>
    <w:rsid w:val="68E24545"/>
    <w:rsid w:val="68E31D7A"/>
    <w:rsid w:val="68E71448"/>
    <w:rsid w:val="68E92B61"/>
    <w:rsid w:val="68F308C4"/>
    <w:rsid w:val="68F51C33"/>
    <w:rsid w:val="68FA62F0"/>
    <w:rsid w:val="68FE7853"/>
    <w:rsid w:val="68FF6668"/>
    <w:rsid w:val="6901117B"/>
    <w:rsid w:val="69021A4A"/>
    <w:rsid w:val="69052CE9"/>
    <w:rsid w:val="691D61F1"/>
    <w:rsid w:val="691E3879"/>
    <w:rsid w:val="69211467"/>
    <w:rsid w:val="69257A7E"/>
    <w:rsid w:val="69277662"/>
    <w:rsid w:val="69345F83"/>
    <w:rsid w:val="69392613"/>
    <w:rsid w:val="69392966"/>
    <w:rsid w:val="693C2B63"/>
    <w:rsid w:val="694E1147"/>
    <w:rsid w:val="69520D7A"/>
    <w:rsid w:val="69573B6E"/>
    <w:rsid w:val="696206D3"/>
    <w:rsid w:val="6967756D"/>
    <w:rsid w:val="6968644A"/>
    <w:rsid w:val="697011ED"/>
    <w:rsid w:val="69826A24"/>
    <w:rsid w:val="699B6DC8"/>
    <w:rsid w:val="69A97058"/>
    <w:rsid w:val="69AB6F60"/>
    <w:rsid w:val="69C8002E"/>
    <w:rsid w:val="69CF04C1"/>
    <w:rsid w:val="69D32FE1"/>
    <w:rsid w:val="69D463F2"/>
    <w:rsid w:val="69D72910"/>
    <w:rsid w:val="69D94035"/>
    <w:rsid w:val="69DC26A6"/>
    <w:rsid w:val="69E37874"/>
    <w:rsid w:val="69E56B54"/>
    <w:rsid w:val="69E96708"/>
    <w:rsid w:val="69ED002E"/>
    <w:rsid w:val="69ED6B4A"/>
    <w:rsid w:val="69EE54CD"/>
    <w:rsid w:val="69F92613"/>
    <w:rsid w:val="69FB7CD4"/>
    <w:rsid w:val="69FD723E"/>
    <w:rsid w:val="69FD7CEA"/>
    <w:rsid w:val="6A0229E5"/>
    <w:rsid w:val="6A067F83"/>
    <w:rsid w:val="6A097E59"/>
    <w:rsid w:val="6A171AFC"/>
    <w:rsid w:val="6A227A57"/>
    <w:rsid w:val="6A2A2D01"/>
    <w:rsid w:val="6A3225D7"/>
    <w:rsid w:val="6A3B0B6C"/>
    <w:rsid w:val="6A3C0BF8"/>
    <w:rsid w:val="6A423E55"/>
    <w:rsid w:val="6A470981"/>
    <w:rsid w:val="6A4747AF"/>
    <w:rsid w:val="6A49294B"/>
    <w:rsid w:val="6A562B91"/>
    <w:rsid w:val="6A57299A"/>
    <w:rsid w:val="6A697946"/>
    <w:rsid w:val="6A6D6854"/>
    <w:rsid w:val="6A700CED"/>
    <w:rsid w:val="6A7017D7"/>
    <w:rsid w:val="6AA235D3"/>
    <w:rsid w:val="6AA31D3D"/>
    <w:rsid w:val="6AB02B50"/>
    <w:rsid w:val="6AB14532"/>
    <w:rsid w:val="6ABB2ED0"/>
    <w:rsid w:val="6AC335C4"/>
    <w:rsid w:val="6ACC0F11"/>
    <w:rsid w:val="6ADB4318"/>
    <w:rsid w:val="6ADD7DFD"/>
    <w:rsid w:val="6AE2135D"/>
    <w:rsid w:val="6AE77D3D"/>
    <w:rsid w:val="6AE93C28"/>
    <w:rsid w:val="6AF05F1A"/>
    <w:rsid w:val="6B036D80"/>
    <w:rsid w:val="6B0451AB"/>
    <w:rsid w:val="6B160110"/>
    <w:rsid w:val="6B21434C"/>
    <w:rsid w:val="6B237C36"/>
    <w:rsid w:val="6B2718FD"/>
    <w:rsid w:val="6B2A147B"/>
    <w:rsid w:val="6B2C290C"/>
    <w:rsid w:val="6B33476F"/>
    <w:rsid w:val="6B352059"/>
    <w:rsid w:val="6B3B4CA2"/>
    <w:rsid w:val="6B4514F6"/>
    <w:rsid w:val="6B4A50C0"/>
    <w:rsid w:val="6B4D3CED"/>
    <w:rsid w:val="6B5C7011"/>
    <w:rsid w:val="6B6A2B7E"/>
    <w:rsid w:val="6B705893"/>
    <w:rsid w:val="6B7221D1"/>
    <w:rsid w:val="6B725A81"/>
    <w:rsid w:val="6B7D16E0"/>
    <w:rsid w:val="6B7F30F3"/>
    <w:rsid w:val="6B873558"/>
    <w:rsid w:val="6B92645D"/>
    <w:rsid w:val="6B94060D"/>
    <w:rsid w:val="6B973734"/>
    <w:rsid w:val="6B975967"/>
    <w:rsid w:val="6B9A5777"/>
    <w:rsid w:val="6BB248CC"/>
    <w:rsid w:val="6BBC0DCF"/>
    <w:rsid w:val="6BCA6179"/>
    <w:rsid w:val="6BD0777F"/>
    <w:rsid w:val="6BD619EE"/>
    <w:rsid w:val="6BEA64E2"/>
    <w:rsid w:val="6BFA7E30"/>
    <w:rsid w:val="6BFB030F"/>
    <w:rsid w:val="6C016CAE"/>
    <w:rsid w:val="6C090252"/>
    <w:rsid w:val="6C0B7CD2"/>
    <w:rsid w:val="6C0D6AE8"/>
    <w:rsid w:val="6C100936"/>
    <w:rsid w:val="6C1962C3"/>
    <w:rsid w:val="6C1A6808"/>
    <w:rsid w:val="6C255AAD"/>
    <w:rsid w:val="6C2C5801"/>
    <w:rsid w:val="6C2D7320"/>
    <w:rsid w:val="6C2E3E73"/>
    <w:rsid w:val="6C3321F9"/>
    <w:rsid w:val="6C33267C"/>
    <w:rsid w:val="6C3D0F56"/>
    <w:rsid w:val="6C410CB8"/>
    <w:rsid w:val="6C452BDF"/>
    <w:rsid w:val="6C5E1CDD"/>
    <w:rsid w:val="6C62391B"/>
    <w:rsid w:val="6C660C8B"/>
    <w:rsid w:val="6C6A716D"/>
    <w:rsid w:val="6C71767A"/>
    <w:rsid w:val="6C7C1F44"/>
    <w:rsid w:val="6C827094"/>
    <w:rsid w:val="6C8559E0"/>
    <w:rsid w:val="6C8D26FB"/>
    <w:rsid w:val="6CC25213"/>
    <w:rsid w:val="6CD76A8F"/>
    <w:rsid w:val="6CE0702D"/>
    <w:rsid w:val="6CE83295"/>
    <w:rsid w:val="6CEE220B"/>
    <w:rsid w:val="6CEE246E"/>
    <w:rsid w:val="6CF27A30"/>
    <w:rsid w:val="6CF6067E"/>
    <w:rsid w:val="6D032BD4"/>
    <w:rsid w:val="6D0535EE"/>
    <w:rsid w:val="6D077405"/>
    <w:rsid w:val="6D0A3519"/>
    <w:rsid w:val="6D133D59"/>
    <w:rsid w:val="6D175B2B"/>
    <w:rsid w:val="6D264EC5"/>
    <w:rsid w:val="6D26662C"/>
    <w:rsid w:val="6D330DB7"/>
    <w:rsid w:val="6D437763"/>
    <w:rsid w:val="6D4B2385"/>
    <w:rsid w:val="6D4C07B8"/>
    <w:rsid w:val="6D671B76"/>
    <w:rsid w:val="6D6D28AF"/>
    <w:rsid w:val="6D771293"/>
    <w:rsid w:val="6D7D0954"/>
    <w:rsid w:val="6D8153B2"/>
    <w:rsid w:val="6D876AB7"/>
    <w:rsid w:val="6D8F154F"/>
    <w:rsid w:val="6D9757D1"/>
    <w:rsid w:val="6D9C3974"/>
    <w:rsid w:val="6DA062EA"/>
    <w:rsid w:val="6DA65DBF"/>
    <w:rsid w:val="6DA76631"/>
    <w:rsid w:val="6DAF65CC"/>
    <w:rsid w:val="6DB157A2"/>
    <w:rsid w:val="6DB25F3D"/>
    <w:rsid w:val="6DBA586C"/>
    <w:rsid w:val="6DBE0B3F"/>
    <w:rsid w:val="6DBF7294"/>
    <w:rsid w:val="6DC53FBD"/>
    <w:rsid w:val="6DC93FE2"/>
    <w:rsid w:val="6DCA77EA"/>
    <w:rsid w:val="6DD35114"/>
    <w:rsid w:val="6DDE35E8"/>
    <w:rsid w:val="6DE65A7A"/>
    <w:rsid w:val="6DE92FA2"/>
    <w:rsid w:val="6DEE0E7D"/>
    <w:rsid w:val="6DEF6BC8"/>
    <w:rsid w:val="6DF574ED"/>
    <w:rsid w:val="6DF81839"/>
    <w:rsid w:val="6E0048DC"/>
    <w:rsid w:val="6E075019"/>
    <w:rsid w:val="6E0766A1"/>
    <w:rsid w:val="6E1419C0"/>
    <w:rsid w:val="6E166FE2"/>
    <w:rsid w:val="6E183FF4"/>
    <w:rsid w:val="6E1B11E5"/>
    <w:rsid w:val="6E1D151C"/>
    <w:rsid w:val="6E2E7D17"/>
    <w:rsid w:val="6E3323DD"/>
    <w:rsid w:val="6E3761D3"/>
    <w:rsid w:val="6E392DDA"/>
    <w:rsid w:val="6E3E2033"/>
    <w:rsid w:val="6E411943"/>
    <w:rsid w:val="6E440060"/>
    <w:rsid w:val="6E442CF5"/>
    <w:rsid w:val="6E54575C"/>
    <w:rsid w:val="6E5A2999"/>
    <w:rsid w:val="6E612C3F"/>
    <w:rsid w:val="6E6F6D88"/>
    <w:rsid w:val="6E702FE8"/>
    <w:rsid w:val="6E706B87"/>
    <w:rsid w:val="6E766C71"/>
    <w:rsid w:val="6E7926F7"/>
    <w:rsid w:val="6E7B110F"/>
    <w:rsid w:val="6E8A2A35"/>
    <w:rsid w:val="6EA04FAE"/>
    <w:rsid w:val="6EAA59A3"/>
    <w:rsid w:val="6EAA79ED"/>
    <w:rsid w:val="6EC161BE"/>
    <w:rsid w:val="6ECD08F1"/>
    <w:rsid w:val="6EDF2531"/>
    <w:rsid w:val="6EE1335D"/>
    <w:rsid w:val="6EEF6508"/>
    <w:rsid w:val="6EF02682"/>
    <w:rsid w:val="6EFF1809"/>
    <w:rsid w:val="6F19615F"/>
    <w:rsid w:val="6F1A60C4"/>
    <w:rsid w:val="6F231E41"/>
    <w:rsid w:val="6F244447"/>
    <w:rsid w:val="6F303DE1"/>
    <w:rsid w:val="6F331C81"/>
    <w:rsid w:val="6F331F52"/>
    <w:rsid w:val="6F362062"/>
    <w:rsid w:val="6F3C0797"/>
    <w:rsid w:val="6F4048CA"/>
    <w:rsid w:val="6F405BD0"/>
    <w:rsid w:val="6F4713C5"/>
    <w:rsid w:val="6F4734D0"/>
    <w:rsid w:val="6F4B3953"/>
    <w:rsid w:val="6F555C91"/>
    <w:rsid w:val="6F603479"/>
    <w:rsid w:val="6F680494"/>
    <w:rsid w:val="6F6B5A9E"/>
    <w:rsid w:val="6F7A07E3"/>
    <w:rsid w:val="6F7D050B"/>
    <w:rsid w:val="6F8C33B0"/>
    <w:rsid w:val="6F8D5B36"/>
    <w:rsid w:val="6F953750"/>
    <w:rsid w:val="6FA10B29"/>
    <w:rsid w:val="6FAA2D8A"/>
    <w:rsid w:val="6FC02217"/>
    <w:rsid w:val="6FC34E9D"/>
    <w:rsid w:val="6FC60A07"/>
    <w:rsid w:val="6FC90F86"/>
    <w:rsid w:val="6FCD3BC3"/>
    <w:rsid w:val="6FCE2BBA"/>
    <w:rsid w:val="6FDF40F5"/>
    <w:rsid w:val="6FE0165C"/>
    <w:rsid w:val="6FE05F95"/>
    <w:rsid w:val="6FF06B6B"/>
    <w:rsid w:val="6FF97C31"/>
    <w:rsid w:val="6FFC64FF"/>
    <w:rsid w:val="7001428F"/>
    <w:rsid w:val="700E7127"/>
    <w:rsid w:val="70133236"/>
    <w:rsid w:val="70156307"/>
    <w:rsid w:val="7016485B"/>
    <w:rsid w:val="701C590F"/>
    <w:rsid w:val="702033F7"/>
    <w:rsid w:val="702D10A9"/>
    <w:rsid w:val="70315D3B"/>
    <w:rsid w:val="703D58C4"/>
    <w:rsid w:val="70453D87"/>
    <w:rsid w:val="704E5E48"/>
    <w:rsid w:val="7053674B"/>
    <w:rsid w:val="7055360F"/>
    <w:rsid w:val="70642BE6"/>
    <w:rsid w:val="706F497B"/>
    <w:rsid w:val="70724AB3"/>
    <w:rsid w:val="70916EF8"/>
    <w:rsid w:val="709261ED"/>
    <w:rsid w:val="70A02568"/>
    <w:rsid w:val="70AD230C"/>
    <w:rsid w:val="70B91785"/>
    <w:rsid w:val="70C41020"/>
    <w:rsid w:val="70CC1017"/>
    <w:rsid w:val="70CF255C"/>
    <w:rsid w:val="70DC2C89"/>
    <w:rsid w:val="70DD041E"/>
    <w:rsid w:val="70DD743F"/>
    <w:rsid w:val="70E3150B"/>
    <w:rsid w:val="70E67B77"/>
    <w:rsid w:val="70F323B0"/>
    <w:rsid w:val="70FD7C9B"/>
    <w:rsid w:val="710221FA"/>
    <w:rsid w:val="71094431"/>
    <w:rsid w:val="710D3478"/>
    <w:rsid w:val="710F7585"/>
    <w:rsid w:val="711805A6"/>
    <w:rsid w:val="711A79AD"/>
    <w:rsid w:val="71217446"/>
    <w:rsid w:val="71224F32"/>
    <w:rsid w:val="7123463F"/>
    <w:rsid w:val="713B1ED6"/>
    <w:rsid w:val="714463AC"/>
    <w:rsid w:val="7144693A"/>
    <w:rsid w:val="71525708"/>
    <w:rsid w:val="71542A3C"/>
    <w:rsid w:val="71584711"/>
    <w:rsid w:val="71595F23"/>
    <w:rsid w:val="716A4C59"/>
    <w:rsid w:val="716D3AF0"/>
    <w:rsid w:val="717106F9"/>
    <w:rsid w:val="71811922"/>
    <w:rsid w:val="7184567C"/>
    <w:rsid w:val="71866C06"/>
    <w:rsid w:val="718F2568"/>
    <w:rsid w:val="718F3086"/>
    <w:rsid w:val="71910B53"/>
    <w:rsid w:val="719D1BC1"/>
    <w:rsid w:val="719E09E3"/>
    <w:rsid w:val="719F5958"/>
    <w:rsid w:val="71A33FEC"/>
    <w:rsid w:val="71A601E7"/>
    <w:rsid w:val="71AC51C8"/>
    <w:rsid w:val="71C37CE8"/>
    <w:rsid w:val="71C402EA"/>
    <w:rsid w:val="71D4132F"/>
    <w:rsid w:val="71D53676"/>
    <w:rsid w:val="71DA32B4"/>
    <w:rsid w:val="71E32E83"/>
    <w:rsid w:val="71F46D71"/>
    <w:rsid w:val="71F96411"/>
    <w:rsid w:val="71FA7506"/>
    <w:rsid w:val="72061465"/>
    <w:rsid w:val="722F766C"/>
    <w:rsid w:val="723256D8"/>
    <w:rsid w:val="72385872"/>
    <w:rsid w:val="72451F4F"/>
    <w:rsid w:val="7247128C"/>
    <w:rsid w:val="72493E35"/>
    <w:rsid w:val="725B0CD8"/>
    <w:rsid w:val="7264361A"/>
    <w:rsid w:val="726822A9"/>
    <w:rsid w:val="726C3438"/>
    <w:rsid w:val="727367E8"/>
    <w:rsid w:val="72791B78"/>
    <w:rsid w:val="727C5618"/>
    <w:rsid w:val="727F3E51"/>
    <w:rsid w:val="7287073E"/>
    <w:rsid w:val="728C70E1"/>
    <w:rsid w:val="7290542B"/>
    <w:rsid w:val="72913002"/>
    <w:rsid w:val="72917F17"/>
    <w:rsid w:val="72935E6A"/>
    <w:rsid w:val="729A7834"/>
    <w:rsid w:val="72A00661"/>
    <w:rsid w:val="72AF2463"/>
    <w:rsid w:val="72B06D9D"/>
    <w:rsid w:val="72B715E4"/>
    <w:rsid w:val="72C32F53"/>
    <w:rsid w:val="72C77A8A"/>
    <w:rsid w:val="72CB7C4C"/>
    <w:rsid w:val="72D86D20"/>
    <w:rsid w:val="72FE3E8E"/>
    <w:rsid w:val="731B711B"/>
    <w:rsid w:val="731C3ED2"/>
    <w:rsid w:val="731E5631"/>
    <w:rsid w:val="732009B8"/>
    <w:rsid w:val="732B0C72"/>
    <w:rsid w:val="733271A4"/>
    <w:rsid w:val="73330C63"/>
    <w:rsid w:val="733863E3"/>
    <w:rsid w:val="733A3332"/>
    <w:rsid w:val="733C1D9D"/>
    <w:rsid w:val="733E46B2"/>
    <w:rsid w:val="733E59D9"/>
    <w:rsid w:val="73597F33"/>
    <w:rsid w:val="7375490C"/>
    <w:rsid w:val="73757E63"/>
    <w:rsid w:val="737D2F4F"/>
    <w:rsid w:val="738B029F"/>
    <w:rsid w:val="73900D21"/>
    <w:rsid w:val="739A7114"/>
    <w:rsid w:val="739F2349"/>
    <w:rsid w:val="739F6287"/>
    <w:rsid w:val="73A242CD"/>
    <w:rsid w:val="73A935F2"/>
    <w:rsid w:val="73AC333B"/>
    <w:rsid w:val="73B11DBC"/>
    <w:rsid w:val="73B1795C"/>
    <w:rsid w:val="73B51018"/>
    <w:rsid w:val="73C340B3"/>
    <w:rsid w:val="73C72DB3"/>
    <w:rsid w:val="73C854F0"/>
    <w:rsid w:val="73CE0B05"/>
    <w:rsid w:val="73D007EE"/>
    <w:rsid w:val="73D27A00"/>
    <w:rsid w:val="73D31801"/>
    <w:rsid w:val="73D9581C"/>
    <w:rsid w:val="73DA2FBB"/>
    <w:rsid w:val="73DC2CAB"/>
    <w:rsid w:val="73DC5744"/>
    <w:rsid w:val="73E36876"/>
    <w:rsid w:val="73E72CB9"/>
    <w:rsid w:val="74014C0C"/>
    <w:rsid w:val="741B5358"/>
    <w:rsid w:val="74202F12"/>
    <w:rsid w:val="742C093F"/>
    <w:rsid w:val="742F68DF"/>
    <w:rsid w:val="7435797F"/>
    <w:rsid w:val="7442738A"/>
    <w:rsid w:val="744A0545"/>
    <w:rsid w:val="744F7C70"/>
    <w:rsid w:val="74521009"/>
    <w:rsid w:val="74632A31"/>
    <w:rsid w:val="7465205B"/>
    <w:rsid w:val="746954DB"/>
    <w:rsid w:val="74743C33"/>
    <w:rsid w:val="747640DF"/>
    <w:rsid w:val="747E6036"/>
    <w:rsid w:val="7482175B"/>
    <w:rsid w:val="74843F0D"/>
    <w:rsid w:val="74A67409"/>
    <w:rsid w:val="74B37F42"/>
    <w:rsid w:val="74B94875"/>
    <w:rsid w:val="74BA4FF9"/>
    <w:rsid w:val="74C311F6"/>
    <w:rsid w:val="74C53F19"/>
    <w:rsid w:val="74CA0770"/>
    <w:rsid w:val="74D52F3D"/>
    <w:rsid w:val="74D81528"/>
    <w:rsid w:val="74D96025"/>
    <w:rsid w:val="74DA07A2"/>
    <w:rsid w:val="74E1491C"/>
    <w:rsid w:val="74E67A31"/>
    <w:rsid w:val="74F61278"/>
    <w:rsid w:val="74F90505"/>
    <w:rsid w:val="74FC67D7"/>
    <w:rsid w:val="7501178C"/>
    <w:rsid w:val="75092044"/>
    <w:rsid w:val="75124563"/>
    <w:rsid w:val="751274A1"/>
    <w:rsid w:val="751C2143"/>
    <w:rsid w:val="75295853"/>
    <w:rsid w:val="752D2921"/>
    <w:rsid w:val="752F1869"/>
    <w:rsid w:val="752F2DAC"/>
    <w:rsid w:val="75631790"/>
    <w:rsid w:val="7566472C"/>
    <w:rsid w:val="756B1E1E"/>
    <w:rsid w:val="7578413D"/>
    <w:rsid w:val="757B64ED"/>
    <w:rsid w:val="757C232A"/>
    <w:rsid w:val="75851DCA"/>
    <w:rsid w:val="758F3A2A"/>
    <w:rsid w:val="7599617F"/>
    <w:rsid w:val="759D7802"/>
    <w:rsid w:val="75A011FF"/>
    <w:rsid w:val="75A70E4F"/>
    <w:rsid w:val="75AA3F51"/>
    <w:rsid w:val="75B11420"/>
    <w:rsid w:val="75B263D3"/>
    <w:rsid w:val="75DC2372"/>
    <w:rsid w:val="75E16CC1"/>
    <w:rsid w:val="75F22E0F"/>
    <w:rsid w:val="7600000E"/>
    <w:rsid w:val="760021B6"/>
    <w:rsid w:val="760950F4"/>
    <w:rsid w:val="76122AB3"/>
    <w:rsid w:val="76154B74"/>
    <w:rsid w:val="761C414A"/>
    <w:rsid w:val="761D237D"/>
    <w:rsid w:val="76380CDC"/>
    <w:rsid w:val="76383420"/>
    <w:rsid w:val="76411431"/>
    <w:rsid w:val="7649562B"/>
    <w:rsid w:val="764F7C59"/>
    <w:rsid w:val="76536622"/>
    <w:rsid w:val="765566B4"/>
    <w:rsid w:val="76605088"/>
    <w:rsid w:val="766477E2"/>
    <w:rsid w:val="7668119A"/>
    <w:rsid w:val="766966D4"/>
    <w:rsid w:val="766E17F9"/>
    <w:rsid w:val="76894FB9"/>
    <w:rsid w:val="768C1EBA"/>
    <w:rsid w:val="768E260E"/>
    <w:rsid w:val="769568F8"/>
    <w:rsid w:val="76993596"/>
    <w:rsid w:val="769F0134"/>
    <w:rsid w:val="76B14AAD"/>
    <w:rsid w:val="76C118A2"/>
    <w:rsid w:val="76C32B57"/>
    <w:rsid w:val="76C63D93"/>
    <w:rsid w:val="76CB0A63"/>
    <w:rsid w:val="76D25527"/>
    <w:rsid w:val="76D81970"/>
    <w:rsid w:val="76DD3810"/>
    <w:rsid w:val="76E451C7"/>
    <w:rsid w:val="76E472DD"/>
    <w:rsid w:val="76E8548D"/>
    <w:rsid w:val="76ED3B38"/>
    <w:rsid w:val="76F13EA7"/>
    <w:rsid w:val="76F14581"/>
    <w:rsid w:val="76F77BBD"/>
    <w:rsid w:val="76FD22EC"/>
    <w:rsid w:val="76FD6D57"/>
    <w:rsid w:val="77030B27"/>
    <w:rsid w:val="77041D95"/>
    <w:rsid w:val="77095079"/>
    <w:rsid w:val="7718408C"/>
    <w:rsid w:val="7723073F"/>
    <w:rsid w:val="772527B2"/>
    <w:rsid w:val="772A6A8E"/>
    <w:rsid w:val="773B25F8"/>
    <w:rsid w:val="773B48CE"/>
    <w:rsid w:val="773D0C62"/>
    <w:rsid w:val="7743414C"/>
    <w:rsid w:val="774551B5"/>
    <w:rsid w:val="77523DCF"/>
    <w:rsid w:val="77606B3D"/>
    <w:rsid w:val="776870B9"/>
    <w:rsid w:val="776967FB"/>
    <w:rsid w:val="776D4583"/>
    <w:rsid w:val="7776540C"/>
    <w:rsid w:val="777A37E1"/>
    <w:rsid w:val="778100C2"/>
    <w:rsid w:val="77855EB4"/>
    <w:rsid w:val="779D35D8"/>
    <w:rsid w:val="77AA135C"/>
    <w:rsid w:val="77AB7E27"/>
    <w:rsid w:val="77AC14DA"/>
    <w:rsid w:val="77AD64CA"/>
    <w:rsid w:val="77AF3504"/>
    <w:rsid w:val="77B36F7C"/>
    <w:rsid w:val="77C926F0"/>
    <w:rsid w:val="77CA0362"/>
    <w:rsid w:val="77D17A81"/>
    <w:rsid w:val="77E40C30"/>
    <w:rsid w:val="77FC1B84"/>
    <w:rsid w:val="780752E6"/>
    <w:rsid w:val="780B6CC7"/>
    <w:rsid w:val="78153F77"/>
    <w:rsid w:val="78185315"/>
    <w:rsid w:val="781C67FA"/>
    <w:rsid w:val="782378AE"/>
    <w:rsid w:val="78296DAC"/>
    <w:rsid w:val="783267CC"/>
    <w:rsid w:val="783E418B"/>
    <w:rsid w:val="783F1754"/>
    <w:rsid w:val="784E3C01"/>
    <w:rsid w:val="78570849"/>
    <w:rsid w:val="78575D9F"/>
    <w:rsid w:val="78600977"/>
    <w:rsid w:val="78617AF2"/>
    <w:rsid w:val="78626899"/>
    <w:rsid w:val="786421F2"/>
    <w:rsid w:val="786616B3"/>
    <w:rsid w:val="786E5D08"/>
    <w:rsid w:val="78812F7C"/>
    <w:rsid w:val="78975C7D"/>
    <w:rsid w:val="78A51B95"/>
    <w:rsid w:val="78AA6975"/>
    <w:rsid w:val="78C15B1C"/>
    <w:rsid w:val="78C359B3"/>
    <w:rsid w:val="78C9190A"/>
    <w:rsid w:val="78C97D4F"/>
    <w:rsid w:val="78CC0493"/>
    <w:rsid w:val="78DB3FCA"/>
    <w:rsid w:val="78EC2D52"/>
    <w:rsid w:val="78F5480C"/>
    <w:rsid w:val="79036E66"/>
    <w:rsid w:val="790945D5"/>
    <w:rsid w:val="790B5E2B"/>
    <w:rsid w:val="790E47EA"/>
    <w:rsid w:val="790E548B"/>
    <w:rsid w:val="79104E2B"/>
    <w:rsid w:val="79135CA0"/>
    <w:rsid w:val="791467F0"/>
    <w:rsid w:val="7915089E"/>
    <w:rsid w:val="791A58CD"/>
    <w:rsid w:val="791F537B"/>
    <w:rsid w:val="79344437"/>
    <w:rsid w:val="79367982"/>
    <w:rsid w:val="793D5C2F"/>
    <w:rsid w:val="793F7F0E"/>
    <w:rsid w:val="794A336F"/>
    <w:rsid w:val="79537099"/>
    <w:rsid w:val="79552D08"/>
    <w:rsid w:val="795E7ED2"/>
    <w:rsid w:val="79672E22"/>
    <w:rsid w:val="79677010"/>
    <w:rsid w:val="796E6578"/>
    <w:rsid w:val="797121AE"/>
    <w:rsid w:val="797E1825"/>
    <w:rsid w:val="79A7288D"/>
    <w:rsid w:val="79AA3C4E"/>
    <w:rsid w:val="79AE312A"/>
    <w:rsid w:val="79B3208C"/>
    <w:rsid w:val="79B70130"/>
    <w:rsid w:val="79BD5598"/>
    <w:rsid w:val="79C8453B"/>
    <w:rsid w:val="79CB0706"/>
    <w:rsid w:val="79CB0751"/>
    <w:rsid w:val="79CE66ED"/>
    <w:rsid w:val="79CF6E25"/>
    <w:rsid w:val="79D42664"/>
    <w:rsid w:val="79D51250"/>
    <w:rsid w:val="79DB4236"/>
    <w:rsid w:val="79E66C93"/>
    <w:rsid w:val="79F16E80"/>
    <w:rsid w:val="79F842C2"/>
    <w:rsid w:val="79FA0A29"/>
    <w:rsid w:val="79FC6E04"/>
    <w:rsid w:val="79FE2A4E"/>
    <w:rsid w:val="7A081D42"/>
    <w:rsid w:val="7A0A6E0F"/>
    <w:rsid w:val="7A0A7223"/>
    <w:rsid w:val="7A0C4EA7"/>
    <w:rsid w:val="7A12552F"/>
    <w:rsid w:val="7A1524DD"/>
    <w:rsid w:val="7A1A1772"/>
    <w:rsid w:val="7A1E1DC3"/>
    <w:rsid w:val="7A2751AD"/>
    <w:rsid w:val="7A276994"/>
    <w:rsid w:val="7A3B034D"/>
    <w:rsid w:val="7A3F158B"/>
    <w:rsid w:val="7A4A132A"/>
    <w:rsid w:val="7A535840"/>
    <w:rsid w:val="7A6736BC"/>
    <w:rsid w:val="7A6A7B3B"/>
    <w:rsid w:val="7A721F7E"/>
    <w:rsid w:val="7A746574"/>
    <w:rsid w:val="7A7678E5"/>
    <w:rsid w:val="7A7B24DD"/>
    <w:rsid w:val="7A7D2094"/>
    <w:rsid w:val="7A7F65CA"/>
    <w:rsid w:val="7A867241"/>
    <w:rsid w:val="7A876B11"/>
    <w:rsid w:val="7A88301C"/>
    <w:rsid w:val="7A963A48"/>
    <w:rsid w:val="7A9660A3"/>
    <w:rsid w:val="7A9861CB"/>
    <w:rsid w:val="7A986784"/>
    <w:rsid w:val="7ABB3E82"/>
    <w:rsid w:val="7AC3568E"/>
    <w:rsid w:val="7AD71052"/>
    <w:rsid w:val="7AD9797E"/>
    <w:rsid w:val="7ADE3DB2"/>
    <w:rsid w:val="7AE5682B"/>
    <w:rsid w:val="7AEE60EE"/>
    <w:rsid w:val="7B0E060E"/>
    <w:rsid w:val="7B0F5219"/>
    <w:rsid w:val="7B177A77"/>
    <w:rsid w:val="7B193032"/>
    <w:rsid w:val="7B1B1CF8"/>
    <w:rsid w:val="7B26484C"/>
    <w:rsid w:val="7B2B13FD"/>
    <w:rsid w:val="7B3339FA"/>
    <w:rsid w:val="7B346599"/>
    <w:rsid w:val="7B44094D"/>
    <w:rsid w:val="7B460BFD"/>
    <w:rsid w:val="7B4910BE"/>
    <w:rsid w:val="7B4A7A19"/>
    <w:rsid w:val="7B5D3226"/>
    <w:rsid w:val="7B5E4EEC"/>
    <w:rsid w:val="7B674BD7"/>
    <w:rsid w:val="7B722498"/>
    <w:rsid w:val="7B782690"/>
    <w:rsid w:val="7B7F3966"/>
    <w:rsid w:val="7B80148D"/>
    <w:rsid w:val="7B821ADA"/>
    <w:rsid w:val="7B8F5DA2"/>
    <w:rsid w:val="7B926883"/>
    <w:rsid w:val="7BA4369C"/>
    <w:rsid w:val="7BA71440"/>
    <w:rsid w:val="7BAE696E"/>
    <w:rsid w:val="7BAF3C86"/>
    <w:rsid w:val="7BC23E12"/>
    <w:rsid w:val="7BC92A6F"/>
    <w:rsid w:val="7BD36780"/>
    <w:rsid w:val="7BD4048E"/>
    <w:rsid w:val="7BD968AC"/>
    <w:rsid w:val="7BDE524C"/>
    <w:rsid w:val="7BEA5E74"/>
    <w:rsid w:val="7BF577C1"/>
    <w:rsid w:val="7BF9001B"/>
    <w:rsid w:val="7BFE0389"/>
    <w:rsid w:val="7BFE08FA"/>
    <w:rsid w:val="7C091716"/>
    <w:rsid w:val="7C126AEB"/>
    <w:rsid w:val="7C1F2070"/>
    <w:rsid w:val="7C260105"/>
    <w:rsid w:val="7C2900A2"/>
    <w:rsid w:val="7C295D17"/>
    <w:rsid w:val="7C2A10CD"/>
    <w:rsid w:val="7C2D2AE7"/>
    <w:rsid w:val="7C4A5A50"/>
    <w:rsid w:val="7C4B681D"/>
    <w:rsid w:val="7C4C575E"/>
    <w:rsid w:val="7C640974"/>
    <w:rsid w:val="7C643EF7"/>
    <w:rsid w:val="7C690B20"/>
    <w:rsid w:val="7C724EAE"/>
    <w:rsid w:val="7C780AD5"/>
    <w:rsid w:val="7C7A14F2"/>
    <w:rsid w:val="7C7E2FFC"/>
    <w:rsid w:val="7C867154"/>
    <w:rsid w:val="7C9427B3"/>
    <w:rsid w:val="7C9E5A77"/>
    <w:rsid w:val="7CB74F4A"/>
    <w:rsid w:val="7CB80138"/>
    <w:rsid w:val="7CB838AF"/>
    <w:rsid w:val="7CBE6F50"/>
    <w:rsid w:val="7CC639C6"/>
    <w:rsid w:val="7CC96839"/>
    <w:rsid w:val="7CCC3CFE"/>
    <w:rsid w:val="7CCD12D3"/>
    <w:rsid w:val="7CD505D1"/>
    <w:rsid w:val="7CD6692A"/>
    <w:rsid w:val="7CE215AC"/>
    <w:rsid w:val="7CE25B4A"/>
    <w:rsid w:val="7CE3422B"/>
    <w:rsid w:val="7CE5443B"/>
    <w:rsid w:val="7CE76B7F"/>
    <w:rsid w:val="7CED09D9"/>
    <w:rsid w:val="7CF87323"/>
    <w:rsid w:val="7CFF2442"/>
    <w:rsid w:val="7D0115A5"/>
    <w:rsid w:val="7D017D9A"/>
    <w:rsid w:val="7D080205"/>
    <w:rsid w:val="7D0A432A"/>
    <w:rsid w:val="7D0F2DDE"/>
    <w:rsid w:val="7D144B3C"/>
    <w:rsid w:val="7D167BA2"/>
    <w:rsid w:val="7D177687"/>
    <w:rsid w:val="7D1F5883"/>
    <w:rsid w:val="7D242066"/>
    <w:rsid w:val="7D282F0F"/>
    <w:rsid w:val="7D286550"/>
    <w:rsid w:val="7D3140B5"/>
    <w:rsid w:val="7D3874D2"/>
    <w:rsid w:val="7D4241A1"/>
    <w:rsid w:val="7D452B7F"/>
    <w:rsid w:val="7D526E71"/>
    <w:rsid w:val="7D532432"/>
    <w:rsid w:val="7D5A5BFC"/>
    <w:rsid w:val="7D6518EB"/>
    <w:rsid w:val="7D6B77B5"/>
    <w:rsid w:val="7D7371E1"/>
    <w:rsid w:val="7D74008A"/>
    <w:rsid w:val="7D7862CF"/>
    <w:rsid w:val="7D7A4E9D"/>
    <w:rsid w:val="7D7F0E79"/>
    <w:rsid w:val="7D851CFF"/>
    <w:rsid w:val="7DA65B7D"/>
    <w:rsid w:val="7DA72A35"/>
    <w:rsid w:val="7DA86112"/>
    <w:rsid w:val="7DAE3829"/>
    <w:rsid w:val="7DB00509"/>
    <w:rsid w:val="7DB9268E"/>
    <w:rsid w:val="7DBF3388"/>
    <w:rsid w:val="7DC71DAD"/>
    <w:rsid w:val="7DC8040C"/>
    <w:rsid w:val="7DC85A3E"/>
    <w:rsid w:val="7DCE15A0"/>
    <w:rsid w:val="7DD03D33"/>
    <w:rsid w:val="7DD410E6"/>
    <w:rsid w:val="7DD603AD"/>
    <w:rsid w:val="7DD82F1A"/>
    <w:rsid w:val="7DDA1110"/>
    <w:rsid w:val="7DE020DC"/>
    <w:rsid w:val="7DE449CE"/>
    <w:rsid w:val="7DEC05A8"/>
    <w:rsid w:val="7DED1348"/>
    <w:rsid w:val="7DEE71DF"/>
    <w:rsid w:val="7DF66186"/>
    <w:rsid w:val="7E007B1A"/>
    <w:rsid w:val="7E0A5EA4"/>
    <w:rsid w:val="7E0A72D5"/>
    <w:rsid w:val="7E0B3C08"/>
    <w:rsid w:val="7E1C2B95"/>
    <w:rsid w:val="7E1E3CF4"/>
    <w:rsid w:val="7E212526"/>
    <w:rsid w:val="7E262B03"/>
    <w:rsid w:val="7E2E765A"/>
    <w:rsid w:val="7E324C10"/>
    <w:rsid w:val="7E3B7336"/>
    <w:rsid w:val="7E3D35D7"/>
    <w:rsid w:val="7E466A84"/>
    <w:rsid w:val="7E472FFE"/>
    <w:rsid w:val="7E4A6379"/>
    <w:rsid w:val="7E5248E3"/>
    <w:rsid w:val="7E66305F"/>
    <w:rsid w:val="7E6854DB"/>
    <w:rsid w:val="7E6C43B3"/>
    <w:rsid w:val="7E77762F"/>
    <w:rsid w:val="7E793E63"/>
    <w:rsid w:val="7E7B1715"/>
    <w:rsid w:val="7E8031F2"/>
    <w:rsid w:val="7E860496"/>
    <w:rsid w:val="7E956D81"/>
    <w:rsid w:val="7E9611E7"/>
    <w:rsid w:val="7E9963F8"/>
    <w:rsid w:val="7E9D0633"/>
    <w:rsid w:val="7EA82B9C"/>
    <w:rsid w:val="7EB13A3E"/>
    <w:rsid w:val="7EB16AB6"/>
    <w:rsid w:val="7EBD651F"/>
    <w:rsid w:val="7EC07C28"/>
    <w:rsid w:val="7ECB3BBC"/>
    <w:rsid w:val="7ED83896"/>
    <w:rsid w:val="7EDC2729"/>
    <w:rsid w:val="7EE15DD1"/>
    <w:rsid w:val="7EEB46E8"/>
    <w:rsid w:val="7EEE3759"/>
    <w:rsid w:val="7EF04016"/>
    <w:rsid w:val="7EF94F98"/>
    <w:rsid w:val="7EFB200E"/>
    <w:rsid w:val="7EFF41BF"/>
    <w:rsid w:val="7F0126E4"/>
    <w:rsid w:val="7F013802"/>
    <w:rsid w:val="7F051449"/>
    <w:rsid w:val="7F1A1324"/>
    <w:rsid w:val="7F1A4AEF"/>
    <w:rsid w:val="7F271E5F"/>
    <w:rsid w:val="7F29623C"/>
    <w:rsid w:val="7F2D4C74"/>
    <w:rsid w:val="7F341EAD"/>
    <w:rsid w:val="7F350A03"/>
    <w:rsid w:val="7F375587"/>
    <w:rsid w:val="7F3B2B2F"/>
    <w:rsid w:val="7F406D66"/>
    <w:rsid w:val="7F421AF0"/>
    <w:rsid w:val="7F516AFB"/>
    <w:rsid w:val="7F585C16"/>
    <w:rsid w:val="7F5B38C5"/>
    <w:rsid w:val="7F6566E6"/>
    <w:rsid w:val="7F6A7C64"/>
    <w:rsid w:val="7F6B0BA4"/>
    <w:rsid w:val="7F6E0CE1"/>
    <w:rsid w:val="7F6F6E86"/>
    <w:rsid w:val="7F8A3738"/>
    <w:rsid w:val="7F8B3191"/>
    <w:rsid w:val="7F8E4655"/>
    <w:rsid w:val="7F8E6809"/>
    <w:rsid w:val="7F987985"/>
    <w:rsid w:val="7F9C63C5"/>
    <w:rsid w:val="7F9E0C2E"/>
    <w:rsid w:val="7FAF35C9"/>
    <w:rsid w:val="7FAF535A"/>
    <w:rsid w:val="7FB620B9"/>
    <w:rsid w:val="7FBE4780"/>
    <w:rsid w:val="7FC07CDA"/>
    <w:rsid w:val="7FC33EC6"/>
    <w:rsid w:val="7FD30895"/>
    <w:rsid w:val="7FD52EF4"/>
    <w:rsid w:val="7FE932BA"/>
    <w:rsid w:val="7FEC342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after="330" w:line="578" w:lineRule="atLeast"/>
      <w:outlineLvl w:val="0"/>
    </w:pPr>
    <w:rPr>
      <w:rFonts w:ascii="Calibri" w:hAnsi="Calibri" w:cs="Times New Roman"/>
      <w:b/>
      <w:bCs/>
      <w:kern w:val="44"/>
      <w:sz w:val="44"/>
      <w:szCs w:val="44"/>
    </w:rPr>
  </w:style>
  <w:style w:type="character" w:default="1" w:styleId="6">
    <w:name w:val="Default Paragraph Font"/>
    <w:semiHidden/>
    <w:qFormat/>
    <w:uiPriority w:val="0"/>
  </w:style>
  <w:style w:type="table" w:default="1" w:styleId="14">
    <w:name w:val="Normal Table"/>
    <w:semiHidden/>
    <w:qFormat/>
    <w:uiPriority w:val="0"/>
    <w:tblPr>
      <w:tblLayout w:type="fixed"/>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character" w:styleId="7">
    <w:name w:val="Strong"/>
    <w:basedOn w:val="6"/>
    <w:qFormat/>
    <w:uiPriority w:val="0"/>
    <w:rPr>
      <w:b/>
      <w:sz w:val="21"/>
      <w:szCs w:val="21"/>
    </w:rPr>
  </w:style>
  <w:style w:type="character" w:styleId="8">
    <w:name w:val="FollowedHyperlink"/>
    <w:basedOn w:val="6"/>
    <w:qFormat/>
    <w:uiPriority w:val="0"/>
    <w:rPr>
      <w:color w:val="4D7AD8"/>
      <w:u w:val="none"/>
    </w:rPr>
  </w:style>
  <w:style w:type="character" w:styleId="9">
    <w:name w:val="HTML Definition"/>
    <w:basedOn w:val="6"/>
    <w:qFormat/>
    <w:uiPriority w:val="0"/>
    <w:rPr>
      <w:i/>
      <w:bdr w:val="single" w:color="D9D9D9" w:sz="6" w:space="0"/>
      <w:shd w:val="clear" w:fill="FFFFFF"/>
    </w:rPr>
  </w:style>
  <w:style w:type="character" w:styleId="10">
    <w:name w:val="Hyperlink"/>
    <w:basedOn w:val="6"/>
    <w:qFormat/>
    <w:uiPriority w:val="0"/>
    <w:rPr>
      <w:color w:val="0000FF"/>
      <w:u w:val="single"/>
    </w:rPr>
  </w:style>
  <w:style w:type="character" w:styleId="11">
    <w:name w:val="HTML Code"/>
    <w:basedOn w:val="6"/>
    <w:qFormat/>
    <w:uiPriority w:val="0"/>
    <w:rPr>
      <w:rFonts w:hint="default" w:ascii="Consolas" w:hAnsi="Consolas" w:eastAsia="Consolas" w:cs="Consolas"/>
      <w:sz w:val="21"/>
      <w:szCs w:val="21"/>
    </w:rPr>
  </w:style>
  <w:style w:type="character" w:styleId="12">
    <w:name w:val="HTML Keyboard"/>
    <w:basedOn w:val="6"/>
    <w:qFormat/>
    <w:uiPriority w:val="0"/>
    <w:rPr>
      <w:rFonts w:ascii="Consolas" w:hAnsi="Consolas" w:eastAsia="Consolas" w:cs="Consolas"/>
      <w:color w:val="666666"/>
      <w:sz w:val="21"/>
      <w:szCs w:val="21"/>
    </w:rPr>
  </w:style>
  <w:style w:type="character" w:styleId="13">
    <w:name w:val="HTML Sample"/>
    <w:basedOn w:val="6"/>
    <w:qFormat/>
    <w:uiPriority w:val="0"/>
    <w:rPr>
      <w:rFonts w:hint="default" w:ascii="Consolas" w:hAnsi="Consolas" w:eastAsia="Consolas" w:cs="Consolas"/>
      <w:sz w:val="21"/>
      <w:szCs w:val="21"/>
    </w:rPr>
  </w:style>
  <w:style w:type="table" w:styleId="15">
    <w:name w:val="Table Grid"/>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customStyle="1" w:styleId="16">
    <w:name w:val="first-child2"/>
    <w:basedOn w:val="6"/>
    <w:qFormat/>
    <w:uiPriority w:val="0"/>
    <w:rPr>
      <w:sz w:val="13"/>
      <w:szCs w:val="13"/>
    </w:rPr>
  </w:style>
  <w:style w:type="character" w:customStyle="1" w:styleId="17">
    <w:name w:val="ant-select-tree-switcher"/>
    <w:basedOn w:val="6"/>
    <w:qFormat/>
    <w:uiPriority w:val="0"/>
  </w:style>
  <w:style w:type="character" w:customStyle="1" w:styleId="18">
    <w:name w:val="ant-tree-iconele"/>
    <w:basedOn w:val="6"/>
    <w:qFormat/>
    <w:uiPriority w:val="0"/>
  </w:style>
  <w:style w:type="character" w:customStyle="1" w:styleId="19">
    <w:name w:val="ant-radio+*"/>
    <w:basedOn w:val="6"/>
    <w:qFormat/>
    <w:uiPriority w:val="0"/>
  </w:style>
  <w:style w:type="character" w:customStyle="1" w:styleId="20">
    <w:name w:val="selected4"/>
    <w:basedOn w:val="6"/>
    <w:qFormat/>
    <w:uiPriority w:val="0"/>
  </w:style>
  <w:style w:type="character" w:customStyle="1" w:styleId="21">
    <w:name w:val="selected5"/>
    <w:basedOn w:val="6"/>
    <w:qFormat/>
    <w:uiPriority w:val="0"/>
  </w:style>
  <w:style w:type="character" w:customStyle="1" w:styleId="22">
    <w:name w:val="selected6"/>
    <w:basedOn w:val="6"/>
    <w:qFormat/>
    <w:uiPriority w:val="0"/>
  </w:style>
  <w:style w:type="character" w:customStyle="1" w:styleId="23">
    <w:name w:val="button"/>
    <w:basedOn w:val="6"/>
    <w:qFormat/>
    <w:uiPriority w:val="0"/>
  </w:style>
  <w:style w:type="character" w:customStyle="1" w:styleId="24">
    <w:name w:val="hover19"/>
    <w:basedOn w:val="6"/>
    <w:qFormat/>
    <w:uiPriority w:val="0"/>
    <w:rPr>
      <w:color w:val="009DFF"/>
    </w:rPr>
  </w:style>
  <w:style w:type="character" w:customStyle="1" w:styleId="25">
    <w:name w:val="hover20"/>
    <w:basedOn w:val="6"/>
    <w:qFormat/>
    <w:uiPriority w:val="0"/>
    <w:rPr>
      <w:color w:val="009DFF"/>
    </w:rPr>
  </w:style>
  <w:style w:type="character" w:customStyle="1" w:styleId="26">
    <w:name w:val="ant-tree-switcher"/>
    <w:basedOn w:val="6"/>
    <w:qFormat/>
    <w:uiPriority w:val="0"/>
  </w:style>
  <w:style w:type="character" w:customStyle="1" w:styleId="27">
    <w:name w:val="ant-select-tree-checkbox2"/>
    <w:basedOn w:val="6"/>
    <w:qFormat/>
    <w:uiPriority w:val="0"/>
  </w:style>
  <w:style w:type="character" w:customStyle="1" w:styleId="28">
    <w:name w:val="ant-select-tree-iconele"/>
    <w:basedOn w:val="6"/>
    <w:qFormat/>
    <w:uiPriority w:val="0"/>
  </w:style>
  <w:style w:type="character" w:customStyle="1" w:styleId="29">
    <w:name w:val="ant-tree-checkbox6"/>
    <w:basedOn w:val="6"/>
    <w:qFormat/>
    <w:uiPriority w:val="0"/>
  </w:style>
  <w:style w:type="character" w:customStyle="1" w:styleId="30">
    <w:name w:val="wea-thumbnails-doc-content-subtitle"/>
    <w:basedOn w:val="6"/>
    <w:qFormat/>
    <w:uiPriority w:val="0"/>
    <w:rPr>
      <w:color w:val="9A9A9A"/>
    </w:rPr>
  </w:style>
  <w:style w:type="character" w:customStyle="1" w:styleId="31">
    <w:name w:val="ht_nestinglevel"/>
    <w:basedOn w:val="6"/>
    <w:qFormat/>
    <w:uiPriority w:val="0"/>
  </w:style>
  <w:style w:type="character" w:customStyle="1" w:styleId="32">
    <w:name w:val="ht_nestinglevel_empty"/>
    <w:basedOn w:val="6"/>
    <w:qFormat/>
    <w:uiPriority w:val="0"/>
  </w:style>
  <w:style w:type="character" w:customStyle="1" w:styleId="33">
    <w:name w:val="colheader"/>
    <w:basedOn w:val="6"/>
    <w:qFormat/>
    <w:uiPriority w:val="0"/>
  </w:style>
  <w:style w:type="character" w:customStyle="1" w:styleId="34">
    <w:name w:val="ant-tree-checkbox"/>
    <w:basedOn w:val="6"/>
    <w:qFormat/>
    <w:uiPriority w:val="0"/>
  </w:style>
  <w:style w:type="character" w:customStyle="1" w:styleId="35">
    <w:name w:val="first-child"/>
    <w:basedOn w:val="6"/>
    <w:qFormat/>
    <w:uiPriority w:val="0"/>
    <w:rPr>
      <w:sz w:val="13"/>
      <w:szCs w:val="13"/>
    </w:rPr>
  </w:style>
  <w:style w:type="character" w:customStyle="1" w:styleId="36">
    <w:name w:val="ant-tree-switcher6"/>
    <w:basedOn w:val="6"/>
    <w:qFormat/>
    <w:uiPriority w:val="0"/>
  </w:style>
  <w:style w:type="character" w:customStyle="1" w:styleId="37">
    <w:name w:val="selected"/>
    <w:basedOn w:val="6"/>
    <w:qFormat/>
    <w:uiPriority w:val="0"/>
  </w:style>
  <w:style w:type="character" w:customStyle="1" w:styleId="38">
    <w:name w:val="selected1"/>
    <w:basedOn w:val="6"/>
    <w:qFormat/>
    <w:uiPriority w:val="0"/>
  </w:style>
  <w:style w:type="character" w:customStyle="1" w:styleId="39">
    <w:name w:val="selected2"/>
    <w:basedOn w:val="6"/>
    <w:qFormat/>
    <w:uiPriority w:val="0"/>
  </w:style>
  <w:style w:type="character" w:customStyle="1" w:styleId="40">
    <w:name w:val="ant-select-tree-checkbox"/>
    <w:basedOn w:val="6"/>
    <w:qFormat/>
    <w:uiPriority w:val="0"/>
  </w:style>
  <w:style w:type="character" w:customStyle="1" w:styleId="41">
    <w:name w:val="ant-tree-switcher5"/>
    <w:basedOn w:val="6"/>
    <w:qFormat/>
    <w:uiPriority w:val="0"/>
  </w:style>
  <w:style w:type="character" w:customStyle="1" w:styleId="42">
    <w:name w:val="selected7"/>
    <w:basedOn w:val="6"/>
    <w:qFormat/>
    <w:uiPriority w:val="0"/>
  </w:style>
  <w:style w:type="character" w:customStyle="1" w:styleId="43">
    <w:name w:val="selected11"/>
    <w:basedOn w:val="6"/>
    <w:qFormat/>
    <w:uiPriority w:val="0"/>
  </w:style>
  <w:style w:type="character" w:customStyle="1" w:styleId="44">
    <w:name w:val="selected12"/>
    <w:basedOn w:val="6"/>
    <w:qFormat/>
    <w:uiPriority w:val="0"/>
  </w:style>
  <w:style w:type="character" w:customStyle="1" w:styleId="45">
    <w:name w:val="selected13"/>
    <w:basedOn w:val="6"/>
    <w:qFormat/>
    <w:uiPriority w:val="0"/>
  </w:style>
  <w:style w:type="character" w:customStyle="1" w:styleId="46">
    <w:name w:val="selected8"/>
    <w:basedOn w:val="6"/>
    <w:qFormat/>
    <w:uiPriority w:val="0"/>
  </w:style>
  <w:style w:type="character" w:customStyle="1" w:styleId="47">
    <w:name w:val="selected9"/>
    <w:basedOn w:val="6"/>
    <w:qFormat/>
    <w:uiPriority w:val="0"/>
  </w:style>
  <w:style w:type="character" w:customStyle="1" w:styleId="48">
    <w:name w:val="selected10"/>
    <w:basedOn w:val="6"/>
    <w:qFormat/>
    <w:uiPriority w:val="0"/>
  </w:style>
  <w:style w:type="character" w:customStyle="1" w:styleId="49">
    <w:name w:val="hover18"/>
    <w:basedOn w:val="6"/>
    <w:qFormat/>
    <w:uiPriority w:val="0"/>
    <w:rPr>
      <w:color w:val="009DFF"/>
    </w:rPr>
  </w:style>
  <w:style w:type="character" w:customStyle="1" w:styleId="50">
    <w:name w:val="ant-tree-checkbox5"/>
    <w:basedOn w:val="6"/>
    <w:qFormat/>
    <w:uiPriority w:val="0"/>
  </w:style>
  <w:style w:type="character" w:customStyle="1" w:styleId="51">
    <w:name w:val="ant-tree-switcher4"/>
    <w:basedOn w:val="6"/>
    <w:qFormat/>
    <w:uiPriority w:val="0"/>
  </w:style>
  <w:style w:type="character" w:customStyle="1" w:styleId="52">
    <w:name w:val="hover"/>
    <w:basedOn w:val="6"/>
    <w:qFormat/>
    <w:uiPriority w:val="0"/>
    <w:rPr>
      <w:color w:val="009DFF"/>
    </w:rPr>
  </w:style>
  <w:style w:type="character" w:customStyle="1" w:styleId="53">
    <w:name w:val="hover1"/>
    <w:basedOn w:val="6"/>
    <w:qFormat/>
    <w:uiPriority w:val="0"/>
    <w:rPr>
      <w:color w:val="009DFF"/>
    </w:rPr>
  </w:style>
  <w:style w:type="character" w:customStyle="1" w:styleId="54">
    <w:name w:val="hover15"/>
    <w:basedOn w:val="6"/>
    <w:qFormat/>
    <w:uiPriority w:val="0"/>
    <w:rPr>
      <w:color w:val="009DFF"/>
    </w:rPr>
  </w:style>
  <w:style w:type="character" w:customStyle="1" w:styleId="55">
    <w:name w:val="hover16"/>
    <w:basedOn w:val="6"/>
    <w:qFormat/>
    <w:uiPriority w:val="0"/>
    <w:rPr>
      <w:color w:val="009DFF"/>
    </w:rPr>
  </w:style>
  <w:style w:type="character" w:customStyle="1" w:styleId="56">
    <w:name w:val="ant-tree-checkbox4"/>
    <w:basedOn w:val="6"/>
    <w:uiPriority w:val="0"/>
  </w:style>
  <w:style w:type="character" w:customStyle="1" w:styleId="57">
    <w:name w:val="hover17"/>
    <w:basedOn w:val="6"/>
    <w:uiPriority w:val="0"/>
    <w:rPr>
      <w:color w:val="009DFF"/>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image" Target="media/image13.png"/><Relationship Id="rId17" Type="http://schemas.openxmlformats.org/officeDocument/2006/relationships/image" Target="media/image12.png"/><Relationship Id="rId16" Type="http://schemas.openxmlformats.org/officeDocument/2006/relationships/image" Target="media/image11.png"/><Relationship Id="rId15" Type="http://schemas.openxmlformats.org/officeDocument/2006/relationships/image" Target="media/image10.png"/><Relationship Id="rId14" Type="http://schemas.openxmlformats.org/officeDocument/2006/relationships/image" Target="media/image9.png"/><Relationship Id="rId13" Type="http://schemas.openxmlformats.org/officeDocument/2006/relationships/image" Target="media/image8.png"/><Relationship Id="rId12" Type="http://schemas.openxmlformats.org/officeDocument/2006/relationships/image" Target="media/image7.png"/><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1</Lines>
  <Paragraphs>1</Paragraphs>
  <TotalTime>1</TotalTime>
  <ScaleCrop>false</ScaleCrop>
  <LinksUpToDate>false</LinksUpToDate>
  <CharactersWithSpaces>0</CharactersWithSpaces>
  <Application>WPS Office_10.8.2.7058_F1E327BC-269C-435d-A152-05C5408002CA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2023-12-15T03:58:00Z</dcterms:created>
  <dc:creator>admin</dc:creator>
  <cp:lastModifiedBy>未定义</cp:lastModifiedBy>
  <cp:lastPrinted>2024-03-07T06:33:00Z</cp:lastPrinted>
  <dcterms:modified xsi:type="dcterms:W3CDTF">2024-03-22T08:15:21Z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2052-10.8.2.7058</vt:lpwstr>
  </property>
  <property fmtid="{D5CDD505-2E9C-101B-9397-08002B2CF9AE}" pid="3" name="ICV">
    <vt:lpwstr>2AFE29251F2D47119EA111B2B617C6AF_13</vt:lpwstr>
  </property>
</Properties>
</file>