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409C5F">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0"/>
        <w:rPr>
          <w:rFonts w:hint="default" w:ascii="Times New Roman" w:hAnsi="Times New Roman" w:eastAsia="宋体" w:cs="Times New Roman"/>
          <w:b/>
          <w:color w:val="FF0000"/>
          <w:spacing w:val="-119"/>
          <w:kern w:val="36"/>
          <w:sz w:val="144"/>
          <w:szCs w:val="144"/>
        </w:rPr>
      </w:pPr>
      <w:r>
        <w:rPr>
          <w:rFonts w:hint="default" w:ascii="Times New Roman" w:hAnsi="Times New Roman" w:eastAsia="经典行楷简" w:cs="Times New Roman"/>
          <w:b/>
          <w:color w:val="1F497D"/>
          <w:spacing w:val="-119"/>
          <w:kern w:val="36"/>
          <w:sz w:val="144"/>
          <w:szCs w:val="144"/>
          <w14:textFill>
            <w14:solidFill>
              <w14:srgbClr w14:val="1F497D">
                <w14:lumMod w14:val="60000"/>
                <w14:lumOff w14:val="40000"/>
              </w14:srgbClr>
            </w14:solidFill>
          </w14:textFill>
        </w:rPr>
        <w:t>江苏贸促周讯</w:t>
      </w:r>
    </w:p>
    <w:p w14:paraId="0BBB31A0">
      <w:pPr>
        <w:keepNext w:val="0"/>
        <w:keepLines w:val="0"/>
        <w:pageBreakBefore w:val="0"/>
        <w:widowControl/>
        <w:kinsoku/>
        <w:wordWrap/>
        <w:overflowPunct/>
        <w:topLinePunct w:val="0"/>
        <w:autoSpaceDE/>
        <w:autoSpaceDN/>
        <w:bidi w:val="0"/>
        <w:adjustRightInd/>
        <w:snapToGrid/>
        <w:spacing w:line="460" w:lineRule="exact"/>
        <w:jc w:val="center"/>
        <w:textAlignment w:val="auto"/>
        <w:outlineLvl w:val="0"/>
        <w:rPr>
          <w:rFonts w:hint="default" w:ascii="Times New Roman" w:hAnsi="Times New Roman" w:eastAsia="经典行楷简" w:cs="Times New Roman"/>
          <w:b w:val="0"/>
          <w:bCs/>
          <w:color w:val="2E75B6" w:themeColor="accent1" w:themeShade="BF"/>
          <w:kern w:val="36"/>
          <w:sz w:val="44"/>
          <w:szCs w:val="44"/>
        </w:rPr>
      </w:pPr>
      <w:r>
        <w:rPr>
          <w:rFonts w:hint="default" w:ascii="Times New Roman" w:hAnsi="Times New Roman" w:eastAsia="经典行楷简" w:cs="Times New Roman"/>
          <w:b w:val="0"/>
          <w:bCs/>
          <w:color w:val="2E75B6" w:themeColor="accent1" w:themeShade="BF"/>
          <w:kern w:val="36"/>
          <w:sz w:val="44"/>
          <w:szCs w:val="44"/>
        </w:rPr>
        <w:t>202</w:t>
      </w:r>
      <w:r>
        <w:rPr>
          <w:rFonts w:hint="eastAsia" w:ascii="Times New Roman" w:hAnsi="Times New Roman" w:eastAsia="经典行楷简" w:cs="Times New Roman"/>
          <w:b w:val="0"/>
          <w:bCs/>
          <w:color w:val="2E75B6" w:themeColor="accent1" w:themeShade="BF"/>
          <w:kern w:val="36"/>
          <w:sz w:val="44"/>
          <w:szCs w:val="44"/>
          <w:lang w:val="en-US" w:eastAsia="zh-CN"/>
        </w:rPr>
        <w:t>6</w:t>
      </w:r>
      <w:r>
        <w:rPr>
          <w:rFonts w:hint="default" w:ascii="Times New Roman" w:hAnsi="Times New Roman" w:eastAsia="经典行楷简" w:cs="Times New Roman"/>
          <w:b w:val="0"/>
          <w:bCs/>
          <w:color w:val="2E75B6" w:themeColor="accent1" w:themeShade="BF"/>
          <w:kern w:val="36"/>
          <w:sz w:val="44"/>
          <w:szCs w:val="44"/>
        </w:rPr>
        <w:t>年第</w:t>
      </w:r>
      <w:r>
        <w:rPr>
          <w:rFonts w:hint="eastAsia" w:ascii="Times New Roman" w:hAnsi="Times New Roman" w:eastAsia="经典行楷简" w:cs="Times New Roman"/>
          <w:b w:val="0"/>
          <w:bCs/>
          <w:color w:val="2E75B6" w:themeColor="accent1" w:themeShade="BF"/>
          <w:kern w:val="36"/>
          <w:sz w:val="44"/>
          <w:szCs w:val="44"/>
          <w:lang w:val="en-US" w:eastAsia="zh-CN"/>
        </w:rPr>
        <w:t>4</w:t>
      </w:r>
      <w:r>
        <w:rPr>
          <w:rFonts w:hint="default" w:ascii="Times New Roman" w:hAnsi="Times New Roman" w:eastAsia="经典行楷简" w:cs="Times New Roman"/>
          <w:b w:val="0"/>
          <w:bCs/>
          <w:color w:val="2E75B6" w:themeColor="accent1" w:themeShade="BF"/>
          <w:kern w:val="36"/>
          <w:sz w:val="44"/>
          <w:szCs w:val="44"/>
        </w:rPr>
        <w:t>期</w:t>
      </w:r>
    </w:p>
    <w:p w14:paraId="33D75D5A">
      <w:pPr>
        <w:keepNext w:val="0"/>
        <w:keepLines w:val="0"/>
        <w:pageBreakBefore w:val="0"/>
        <w:widowControl/>
        <w:kinsoku/>
        <w:wordWrap/>
        <w:overflowPunct/>
        <w:topLinePunct w:val="0"/>
        <w:autoSpaceDE/>
        <w:autoSpaceDN/>
        <w:bidi w:val="0"/>
        <w:adjustRightInd/>
        <w:snapToGrid/>
        <w:spacing w:line="460" w:lineRule="exact"/>
        <w:jc w:val="center"/>
        <w:textAlignment w:val="auto"/>
        <w:outlineLvl w:val="0"/>
        <w:rPr>
          <w:rFonts w:hint="default" w:ascii="Times New Roman" w:hAnsi="Times New Roman" w:eastAsia="经典行楷简" w:cs="Times New Roman"/>
          <w:b w:val="0"/>
          <w:bCs/>
          <w:color w:val="2E75B5" w:themeColor="accent1" w:themeShade="BF"/>
          <w:kern w:val="36"/>
          <w:sz w:val="44"/>
          <w:szCs w:val="44"/>
          <w:lang w:eastAsia="zh-CN"/>
          <w14:textFill>
            <w14:gradFill>
              <w14:gsLst>
                <w14:gs w14:pos="0">
                  <w14:srgbClr w14:val="FE4444"/>
                </w14:gs>
                <w14:gs w14:pos="100000">
                  <w14:srgbClr w14:val="832B2B"/>
                </w14:gs>
              </w14:gsLst>
              <w14:lin/>
            </w14:gradFill>
          </w14:textFill>
        </w:rPr>
      </w:pPr>
      <w:r>
        <w:rPr>
          <w:rFonts w:hint="default" w:ascii="Times New Roman" w:hAnsi="Times New Roman" w:eastAsia="经典行楷简" w:cs="Times New Roman"/>
          <w:b w:val="0"/>
          <w:bCs/>
          <w:color w:val="2E75B5" w:themeColor="accent1" w:themeShade="BF"/>
          <w:kern w:val="36"/>
          <w:sz w:val="44"/>
          <w:szCs w:val="44"/>
          <w:lang w:eastAsia="zh-CN"/>
          <w14:textFill>
            <w14:gradFill>
              <w14:gsLst>
                <w14:gs w14:pos="0">
                  <w14:srgbClr w14:val="FE4444"/>
                </w14:gs>
                <w14:gs w14:pos="100000">
                  <w14:srgbClr w14:val="832B2B"/>
                </w14:gs>
              </w14:gsLst>
              <w14:lin/>
            </w14:gradFill>
          </w14:textFill>
        </w:rPr>
        <w:t>（</w:t>
      </w:r>
      <w:r>
        <w:rPr>
          <w:rFonts w:hint="default" w:ascii="Times New Roman" w:hAnsi="Times New Roman" w:eastAsia="经典行楷简" w:cs="Times New Roman"/>
          <w:b w:val="0"/>
          <w:bCs/>
          <w:color w:val="2E75B5" w:themeColor="accent1" w:themeShade="BF"/>
          <w:kern w:val="36"/>
          <w:sz w:val="44"/>
          <w:szCs w:val="44"/>
          <w14:textFill>
            <w14:gradFill>
              <w14:gsLst>
                <w14:gs w14:pos="0">
                  <w14:srgbClr w14:val="FE4444"/>
                </w14:gs>
                <w14:gs w14:pos="100000">
                  <w14:srgbClr w14:val="832B2B"/>
                </w14:gs>
              </w14:gsLst>
              <w14:lin/>
            </w14:gradFill>
          </w14:textFill>
        </w:rPr>
        <w:t>总第</w:t>
      </w:r>
      <w:r>
        <w:rPr>
          <w:rFonts w:hint="eastAsia" w:ascii="Times New Roman" w:hAnsi="Times New Roman" w:eastAsia="经典行楷简" w:cs="Times New Roman"/>
          <w:b w:val="0"/>
          <w:bCs/>
          <w:color w:val="2E75B5" w:themeColor="accent1" w:themeShade="BF"/>
          <w:kern w:val="36"/>
          <w:sz w:val="44"/>
          <w:szCs w:val="44"/>
          <w:lang w:val="en-US" w:eastAsia="zh-CN"/>
          <w14:textFill>
            <w14:gradFill>
              <w14:gsLst>
                <w14:gs w14:pos="0">
                  <w14:srgbClr w14:val="FE4444"/>
                </w14:gs>
                <w14:gs w14:pos="100000">
                  <w14:srgbClr w14:val="832B2B"/>
                </w14:gs>
              </w14:gsLst>
              <w14:lin/>
            </w14:gradFill>
          </w14:textFill>
        </w:rPr>
        <w:t>340</w:t>
      </w:r>
      <w:r>
        <w:rPr>
          <w:rFonts w:hint="default" w:ascii="Times New Roman" w:hAnsi="Times New Roman" w:eastAsia="经典行楷简" w:cs="Times New Roman"/>
          <w:b w:val="0"/>
          <w:bCs/>
          <w:color w:val="2E75B5" w:themeColor="accent1" w:themeShade="BF"/>
          <w:kern w:val="36"/>
          <w:sz w:val="44"/>
          <w:szCs w:val="44"/>
          <w14:textFill>
            <w14:gradFill>
              <w14:gsLst>
                <w14:gs w14:pos="0">
                  <w14:srgbClr w14:val="FE4444"/>
                </w14:gs>
                <w14:gs w14:pos="100000">
                  <w14:srgbClr w14:val="832B2B"/>
                </w14:gs>
              </w14:gsLst>
              <w14:lin/>
            </w14:gradFill>
          </w14:textFill>
        </w:rPr>
        <w:t>期</w:t>
      </w:r>
      <w:r>
        <w:rPr>
          <w:rFonts w:hint="default" w:ascii="Times New Roman" w:hAnsi="Times New Roman" w:eastAsia="经典行楷简" w:cs="Times New Roman"/>
          <w:b w:val="0"/>
          <w:bCs/>
          <w:color w:val="2E75B5" w:themeColor="accent1" w:themeShade="BF"/>
          <w:kern w:val="36"/>
          <w:sz w:val="44"/>
          <w:szCs w:val="44"/>
          <w:lang w:eastAsia="zh-CN"/>
          <w14:textFill>
            <w14:gradFill>
              <w14:gsLst>
                <w14:gs w14:pos="0">
                  <w14:srgbClr w14:val="FE4444"/>
                </w14:gs>
                <w14:gs w14:pos="100000">
                  <w14:srgbClr w14:val="832B2B"/>
                </w14:gs>
              </w14:gsLst>
              <w14:lin/>
            </w14:gradFill>
          </w14:textFill>
        </w:rPr>
        <w:t>）</w:t>
      </w:r>
    </w:p>
    <w:p w14:paraId="5DAE9BA1">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528" w:firstLineChars="200"/>
        <w:jc w:val="both"/>
        <w:textAlignment w:val="auto"/>
        <w:outlineLvl w:val="1"/>
        <w:rPr>
          <w:rFonts w:hint="default" w:ascii="Times New Roman" w:hAnsi="Times New Roman" w:eastAsia="方正楷体_GBK" w:cs="Times New Roman"/>
          <w:b w:val="0"/>
          <w:bCs/>
          <w:color w:val="000000"/>
          <w:kern w:val="36"/>
          <w:sz w:val="36"/>
          <w:szCs w:val="36"/>
          <w:highlight w:val="none"/>
          <w:lang w:val="en-US"/>
        </w:rPr>
      </w:pPr>
      <w:r>
        <w:rPr>
          <w:rFonts w:hint="eastAsia" w:ascii="方正公文黑体" w:hAnsi="方正公文黑体" w:eastAsia="方正公文黑体" w:cs="方正公文黑体"/>
          <w:b w:val="0"/>
          <w:bCs/>
          <w:color w:val="1F497D"/>
          <w:kern w:val="36"/>
          <w:sz w:val="28"/>
          <w:szCs w:val="28"/>
          <w:highlight w:val="none"/>
          <w14:textFill>
            <w14:solidFill>
              <w14:srgbClr w14:val="1F497D">
                <w14:lumMod w14:val="60000"/>
                <w14:lumOff w14:val="40000"/>
              </w14:srgbClr>
            </w14:solidFill>
          </w14:textFill>
        </w:rPr>
        <w:t>江苏省贸促会发展研究部</w:t>
      </w:r>
      <w:r>
        <w:rPr>
          <w:rFonts w:hint="default" w:ascii="Times New Roman" w:hAnsi="Times New Roman" w:eastAsia="宋体" w:cs="Times New Roman"/>
          <w:b/>
          <w:color w:val="00B0F0"/>
          <w:kern w:val="36"/>
          <w:sz w:val="28"/>
          <w:szCs w:val="28"/>
          <w:highlight w:val="none"/>
        </w:rPr>
        <w:t xml:space="preserve"> </w:t>
      </w:r>
      <w:r>
        <w:rPr>
          <w:rFonts w:hint="default" w:ascii="Times New Roman" w:hAnsi="Times New Roman" w:eastAsia="宋体" w:cs="Times New Roman"/>
          <w:b/>
          <w:color w:val="000000"/>
          <w:kern w:val="36"/>
          <w:sz w:val="36"/>
          <w:szCs w:val="36"/>
          <w:highlight w:val="none"/>
        </w:rPr>
        <w:t xml:space="preserve">        </w:t>
      </w:r>
      <w:r>
        <w:rPr>
          <w:rFonts w:hint="default" w:ascii="Times New Roman" w:hAnsi="Times New Roman" w:eastAsia="方正楷体_GBK" w:cs="Times New Roman"/>
          <w:b w:val="0"/>
          <w:bCs/>
          <w:color w:val="000000"/>
          <w:kern w:val="36"/>
          <w:sz w:val="36"/>
          <w:szCs w:val="36"/>
          <w:highlight w:val="none"/>
        </w:rPr>
        <w:t xml:space="preserve"> </w:t>
      </w:r>
      <w:r>
        <w:rPr>
          <w:rFonts w:hint="default" w:ascii="Times New Roman" w:hAnsi="Times New Roman" w:eastAsia="方正楷体_GBK" w:cs="Times New Roman"/>
          <w:b w:val="0"/>
          <w:bCs/>
          <w:color w:val="000000"/>
          <w:kern w:val="36"/>
          <w:sz w:val="36"/>
          <w:szCs w:val="36"/>
          <w:highlight w:val="none"/>
          <w:lang w:val="en-US"/>
        </w:rPr>
        <w:t xml:space="preserve">     </w:t>
      </w:r>
      <w:r>
        <w:rPr>
          <w:rFonts w:hint="default" w:ascii="Times New Roman" w:hAnsi="Times New Roman" w:eastAsia="方正楷体_GBK" w:cs="Times New Roman"/>
          <w:b w:val="0"/>
          <w:bCs/>
          <w:color w:val="000000"/>
          <w:kern w:val="36"/>
          <w:sz w:val="32"/>
          <w:szCs w:val="32"/>
          <w:highlight w:val="none"/>
          <w:lang w:val="en-US"/>
        </w:rPr>
        <w:t xml:space="preserve"> </w:t>
      </w:r>
      <w:r>
        <w:rPr>
          <w:rFonts w:hint="default" w:ascii="Times New Roman" w:hAnsi="Times New Roman" w:eastAsia="方正楷体_GBK" w:cs="Times New Roman"/>
          <w:b w:val="0"/>
          <w:bCs/>
          <w:color w:val="000000"/>
          <w:kern w:val="36"/>
          <w:sz w:val="32"/>
          <w:szCs w:val="32"/>
          <w:highlight w:val="none"/>
        </w:rPr>
        <w:t>202</w:t>
      </w:r>
      <w:r>
        <w:rPr>
          <w:rFonts w:hint="eastAsia" w:ascii="Times New Roman" w:hAnsi="Times New Roman" w:eastAsia="方正楷体_GBK" w:cs="Times New Roman"/>
          <w:b w:val="0"/>
          <w:bCs/>
          <w:color w:val="000000"/>
          <w:kern w:val="36"/>
          <w:sz w:val="32"/>
          <w:szCs w:val="32"/>
          <w:highlight w:val="none"/>
          <w:lang w:val="en-US" w:eastAsia="zh-CN"/>
        </w:rPr>
        <w:t>6</w:t>
      </w:r>
      <w:r>
        <w:rPr>
          <w:rFonts w:hint="default" w:ascii="Times New Roman" w:hAnsi="Times New Roman" w:eastAsia="方正楷体_GBK" w:cs="Times New Roman"/>
          <w:b w:val="0"/>
          <w:bCs/>
          <w:color w:val="000000"/>
          <w:kern w:val="36"/>
          <w:sz w:val="32"/>
          <w:szCs w:val="32"/>
          <w:highlight w:val="none"/>
        </w:rPr>
        <w:t>年</w:t>
      </w:r>
      <w:r>
        <w:rPr>
          <w:rFonts w:hint="eastAsia" w:ascii="Times New Roman" w:hAnsi="Times New Roman" w:eastAsia="方正楷体_GBK" w:cs="Times New Roman"/>
          <w:b w:val="0"/>
          <w:bCs/>
          <w:color w:val="000000"/>
          <w:kern w:val="36"/>
          <w:sz w:val="32"/>
          <w:szCs w:val="32"/>
          <w:highlight w:val="none"/>
          <w:lang w:val="en-US" w:eastAsia="zh-CN"/>
        </w:rPr>
        <w:t>2</w:t>
      </w:r>
      <w:r>
        <w:rPr>
          <w:rFonts w:hint="default" w:ascii="Times New Roman" w:hAnsi="Times New Roman" w:eastAsia="方正楷体_GBK" w:cs="Times New Roman"/>
          <w:b w:val="0"/>
          <w:bCs/>
          <w:color w:val="000000"/>
          <w:kern w:val="36"/>
          <w:sz w:val="32"/>
          <w:szCs w:val="32"/>
          <w:highlight w:val="none"/>
        </w:rPr>
        <w:t>月</w:t>
      </w:r>
      <w:r>
        <w:rPr>
          <w:rFonts w:hint="eastAsia" w:ascii="Times New Roman" w:hAnsi="Times New Roman" w:eastAsia="方正楷体_GBK" w:cs="Times New Roman"/>
          <w:b w:val="0"/>
          <w:bCs/>
          <w:color w:val="000000"/>
          <w:kern w:val="36"/>
          <w:sz w:val="32"/>
          <w:szCs w:val="32"/>
          <w:highlight w:val="none"/>
          <w:lang w:val="en-US" w:eastAsia="zh-CN"/>
        </w:rPr>
        <w:t>2日</w:t>
      </w:r>
    </w:p>
    <w:p w14:paraId="1EE33D88">
      <w:pPr>
        <w:keepNext w:val="0"/>
        <w:keepLines w:val="0"/>
        <w:pageBreakBefore w:val="0"/>
        <w:widowControl/>
        <w:shd w:val="clear" w:color="auto" w:fill="FFFFFF"/>
        <w:kinsoku/>
        <w:wordWrap/>
        <w:overflowPunct/>
        <w:topLinePunct w:val="0"/>
        <w:autoSpaceDE/>
        <w:autoSpaceDN/>
        <w:bidi w:val="0"/>
        <w:adjustRightInd/>
        <w:snapToGrid/>
        <w:spacing w:before="435" w:beforeLines="150" w:after="210" w:line="240" w:lineRule="auto"/>
        <w:ind w:firstLine="424" w:firstLineChars="100"/>
        <w:jc w:val="both"/>
        <w:textAlignment w:val="auto"/>
        <w:outlineLvl w:val="1"/>
        <w:rPr>
          <w:rFonts w:hint="default" w:ascii="Times New Roman" w:hAnsi="Times New Roman" w:eastAsia="方正黑体_GBK" w:cs="Times New Roman"/>
          <w:b w:val="0"/>
          <w:bCs/>
          <w:color w:val="000000"/>
          <w:kern w:val="36"/>
          <w:sz w:val="24"/>
          <w:szCs w:val="24"/>
          <w:lang w:val="en-US" w:eastAsia="zh-CN"/>
        </w:rPr>
      </w:pPr>
      <w:r>
        <w:rPr>
          <w:rFonts w:hint="default" w:ascii="Times New Roman" w:hAnsi="Times New Roman" w:eastAsia="方正黑体_GBK" w:cs="Times New Roman"/>
          <w:b w:val="0"/>
          <w:bCs/>
          <w:color w:val="000000"/>
          <w:kern w:val="36"/>
          <w:sz w:val="44"/>
          <w:szCs w:val="44"/>
        </w:rPr>
        <w:t>目录</w:t>
      </w:r>
      <w:r>
        <w:rPr>
          <w:rFonts w:hint="default" w:ascii="Times New Roman" w:hAnsi="Times New Roman" w:eastAsia="方正黑体_GBK" w:cs="Times New Roman"/>
          <w:b w:val="0"/>
          <w:bCs/>
          <w:color w:val="000000"/>
          <w:kern w:val="36"/>
          <w:sz w:val="28"/>
          <w:szCs w:val="28"/>
          <w:lang w:val="en-US"/>
        </w:rPr>
        <w:t>CONTENTS</w:t>
      </w:r>
      <w:r>
        <w:rPr>
          <w:rFonts w:hint="default" w:ascii="Times New Roman" w:hAnsi="Times New Roman" w:eastAsia="方正黑体_GBK" w:cs="Times New Roman"/>
          <w:b w:val="0"/>
          <w:bCs/>
          <w:color w:val="000000"/>
          <w:kern w:val="36"/>
          <w:sz w:val="32"/>
          <w:szCs w:val="32"/>
          <w:lang w:val="en-US"/>
        </w:rPr>
        <w:t xml:space="preserve">  </w:t>
      </w:r>
      <w:r>
        <w:rPr>
          <w:rFonts w:hint="default" w:ascii="Times New Roman" w:hAnsi="Times New Roman" w:eastAsia="方正黑体_GBK" w:cs="Times New Roman"/>
          <w:b w:val="0"/>
          <w:bCs/>
          <w:color w:val="000000"/>
          <w:kern w:val="36"/>
          <w:sz w:val="24"/>
          <w:szCs w:val="24"/>
          <w:lang w:val="en-US" w:eastAsia="zh-CN"/>
        </w:rPr>
        <w:t>——————————————内部资料 免费赠阅</w:t>
      </w:r>
    </w:p>
    <w:p w14:paraId="5748581E">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28" w:firstLineChars="200"/>
        <w:contextualSpacing/>
        <w:jc w:val="left"/>
        <w:textAlignment w:val="auto"/>
        <w:outlineLvl w:val="1"/>
        <w:rPr>
          <w:rFonts w:hint="default" w:ascii="Times New Roman" w:hAnsi="Times New Roman" w:eastAsia="宋体" w:cs="Times New Roman"/>
          <w:b/>
          <w:color w:val="FF0000"/>
          <w:kern w:val="36"/>
          <w:sz w:val="24"/>
          <w:szCs w:val="24"/>
          <w:lang w:val="en-US" w:eastAsia="zh-CN"/>
        </w:rPr>
      </w:pPr>
      <w:r>
        <w:rPr>
          <w:rFonts w:hint="default" w:ascii="Times New Roman" w:hAnsi="Times New Roman" w:eastAsia="宋体" w:cs="Times New Roman"/>
          <w:b/>
          <w:color w:val="1F497D"/>
          <w:kern w:val="36"/>
          <w:sz w:val="28"/>
          <w:szCs w:val="28"/>
          <w:lang w:val="en-US" w:eastAsia="zh-CN"/>
          <w14:textFill>
            <w14:solidFill>
              <w14:srgbClr w14:val="1F497D">
                <w14:lumMod w14:val="60000"/>
                <w14:lumOff w14:val="40000"/>
              </w14:srgbClr>
            </w14:solidFill>
          </w14:textFill>
        </w:rPr>
        <w:t xml:space="preserve">• </w:t>
      </w:r>
      <w:r>
        <w:rPr>
          <w:rFonts w:hint="eastAsia" w:ascii="方正公文黑体" w:hAnsi="方正公文黑体" w:eastAsia="方正公文黑体" w:cs="方正公文黑体"/>
          <w:b w:val="0"/>
          <w:bCs/>
          <w:color w:val="1F497D"/>
          <w:kern w:val="36"/>
          <w:sz w:val="32"/>
          <w:szCs w:val="32"/>
          <w:lang w:val="en-US" w:eastAsia="zh-CN"/>
          <w14:textFill>
            <w14:solidFill>
              <w14:srgbClr w14:val="1F497D">
                <w14:lumMod w14:val="60000"/>
                <w14:lumOff w14:val="40000"/>
              </w14:srgbClr>
            </w14:solidFill>
          </w14:textFill>
        </w:rPr>
        <w:t>全球经贸分析</w:t>
      </w:r>
      <w:r>
        <w:rPr>
          <w:rFonts w:hint="default"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t xml:space="preserve"> </w:t>
      </w:r>
      <w:r>
        <w:rPr>
          <w:rFonts w:hint="default" w:ascii="Times New Roman" w:hAnsi="Times New Roman" w:eastAsia="宋体" w:cs="Times New Roman"/>
          <w:b/>
          <w:color w:val="1F497D"/>
          <w:kern w:val="36"/>
          <w:sz w:val="28"/>
          <w:szCs w:val="28"/>
          <w:lang w:val="en-US" w:eastAsia="zh-CN"/>
          <w14:textFill>
            <w14:solidFill>
              <w14:srgbClr w14:val="1F497D">
                <w14:lumMod w14:val="60000"/>
                <w14:lumOff w14:val="40000"/>
              </w14:srgbClr>
            </w14:solidFill>
          </w14:textFill>
        </w:rPr>
        <w:t>•</w:t>
      </w:r>
      <w:r>
        <w:rPr>
          <w:rFonts w:hint="default" w:ascii="Times New Roman" w:hAnsi="Times New Roman" w:eastAsia="宋体" w:cs="Times New Roman"/>
          <w:b/>
          <w:color w:val="00B0F0"/>
          <w:kern w:val="36"/>
          <w:sz w:val="36"/>
          <w:szCs w:val="36"/>
          <w:lang w:val="en-US" w:eastAsia="zh-CN"/>
        </w:rPr>
        <w:t xml:space="preserve"> </w:t>
      </w:r>
      <w:r>
        <w:rPr>
          <w:rFonts w:hint="default" w:ascii="Times New Roman" w:hAnsi="Times New Roman" w:eastAsia="宋体" w:cs="Times New Roman"/>
          <w:b/>
          <w:color w:val="FF0000"/>
          <w:kern w:val="36"/>
          <w:sz w:val="24"/>
          <w:szCs w:val="24"/>
          <w:lang w:val="en-US" w:eastAsia="zh-CN"/>
        </w:rPr>
        <w:t>‧‧‧‧‧‧‧‧‧‧‧‧‧‧‧‧‧‧‧‧‧‧‧‧‧‧‧‧‧‧‧‧‧‧‧‧‧‧‧‧‧‧‧‧‧‧‧‧‧‧‧‧‧‧‧‧‧‧‧‧‧‧‧‧‧‧‧‧‧‧‧‧‧‧‧‧‧‧‧‧‧‧‧‧‧‧‧‧‧‧‧‧‧‧‧</w:t>
      </w:r>
    </w:p>
    <w:p w14:paraId="71E268F7">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568" w:firstLineChars="200"/>
        <w:jc w:val="left"/>
        <w:textAlignment w:val="auto"/>
        <w:rPr>
          <w:rFonts w:hint="eastAsia" w:ascii="Times New Roman" w:hAnsi="Times New Roman" w:eastAsia="方正楷体_GBK" w:cs="Times New Roman"/>
          <w:b/>
          <w:bCs w:val="0"/>
          <w:color w:val="auto"/>
          <w:spacing w:val="0"/>
          <w:kern w:val="36"/>
          <w:sz w:val="30"/>
          <w:szCs w:val="30"/>
          <w:lang w:val="en-US" w:eastAsia="zh-CN"/>
        </w:rPr>
      </w:pPr>
      <w:r>
        <w:rPr>
          <w:rFonts w:hint="eastAsia" w:ascii="Times New Roman" w:hAnsi="Times New Roman" w:eastAsia="方正楷体_GBK" w:cs="Times New Roman"/>
          <w:b/>
          <w:color w:val="auto"/>
          <w:spacing w:val="0"/>
          <w:kern w:val="36"/>
          <w:sz w:val="30"/>
          <w:szCs w:val="30"/>
          <w:lang w:val="en-US" w:eastAsia="zh-CN"/>
        </w:rPr>
        <w:t>白银暴涨背后的百年国运翻转</w:t>
      </w:r>
      <w:r>
        <w:rPr>
          <w:rFonts w:hint="eastAsia" w:ascii="Times New Roman" w:hAnsi="Times New Roman" w:eastAsia="方正楷体_GBK" w:cs="Times New Roman"/>
          <w:b/>
          <w:color w:val="auto"/>
          <w:spacing w:val="-20"/>
          <w:kern w:val="36"/>
          <w:sz w:val="30"/>
          <w:szCs w:val="30"/>
          <w:lang w:val="en-US" w:eastAsia="zh-CN"/>
        </w:rPr>
        <w:t xml:space="preserve">  /</w:t>
      </w:r>
      <w:r>
        <w:rPr>
          <w:rFonts w:hint="eastAsia" w:ascii="Times New Roman" w:hAnsi="Times New Roman" w:eastAsia="方正楷体_GBK" w:cs="Times New Roman"/>
          <w:b/>
          <w:bCs w:val="0"/>
          <w:color w:val="auto"/>
          <w:spacing w:val="0"/>
          <w:kern w:val="36"/>
          <w:sz w:val="30"/>
          <w:szCs w:val="30"/>
          <w:lang w:val="en-US" w:eastAsia="zh-CN"/>
        </w:rPr>
        <w:t xml:space="preserve"> 02</w:t>
      </w:r>
    </w:p>
    <w:p w14:paraId="17E2824F">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568" w:firstLineChars="200"/>
        <w:jc w:val="left"/>
        <w:textAlignment w:val="auto"/>
        <w:rPr>
          <w:rFonts w:hint="default" w:ascii="Times New Roman" w:hAnsi="Times New Roman" w:eastAsia="方正楷体_GBK" w:cs="Times New Roman"/>
          <w:b/>
          <w:color w:val="auto"/>
          <w:spacing w:val="0"/>
          <w:kern w:val="36"/>
          <w:sz w:val="30"/>
          <w:szCs w:val="30"/>
          <w:lang w:val="en-US" w:eastAsia="zh-CN"/>
        </w:rPr>
      </w:pPr>
      <w:r>
        <w:rPr>
          <w:rFonts w:hint="eastAsia" w:ascii="Times New Roman" w:hAnsi="Times New Roman" w:eastAsia="方正楷体_GBK" w:cs="Times New Roman"/>
          <w:b/>
          <w:color w:val="auto"/>
          <w:spacing w:val="0"/>
          <w:kern w:val="36"/>
          <w:sz w:val="30"/>
          <w:szCs w:val="30"/>
          <w:lang w:val="en-US" w:eastAsia="zh-CN"/>
        </w:rPr>
        <w:t xml:space="preserve">斩杀线：美国普通人极端财务脆弱性的制度性根源 </w:t>
      </w:r>
      <w:r>
        <w:rPr>
          <w:rFonts w:hint="eastAsia" w:ascii="Times New Roman" w:hAnsi="Times New Roman" w:eastAsia="方正楷体_GBK" w:cs="Times New Roman"/>
          <w:b/>
          <w:color w:val="auto"/>
          <w:spacing w:val="-20"/>
          <w:kern w:val="36"/>
          <w:sz w:val="30"/>
          <w:szCs w:val="30"/>
          <w:lang w:val="en-US" w:eastAsia="zh-CN"/>
        </w:rPr>
        <w:t>/</w:t>
      </w:r>
      <w:r>
        <w:rPr>
          <w:rFonts w:hint="eastAsia" w:ascii="Times New Roman" w:hAnsi="Times New Roman" w:eastAsia="方正楷体_GBK" w:cs="Times New Roman"/>
          <w:b/>
          <w:bCs w:val="0"/>
          <w:color w:val="auto"/>
          <w:spacing w:val="0"/>
          <w:kern w:val="36"/>
          <w:sz w:val="30"/>
          <w:szCs w:val="30"/>
          <w:lang w:val="en-US" w:eastAsia="zh-CN"/>
        </w:rPr>
        <w:t xml:space="preserve"> 12</w:t>
      </w:r>
    </w:p>
    <w:p w14:paraId="7205D141">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88" w:firstLineChars="200"/>
        <w:jc w:val="left"/>
        <w:textAlignment w:val="auto"/>
        <w:rPr>
          <w:rFonts w:hint="default" w:ascii="Times New Roman" w:hAnsi="Times New Roman" w:eastAsia="方正楷体_GBK" w:cs="Times New Roman"/>
          <w:b/>
          <w:color w:val="auto"/>
          <w:spacing w:val="0"/>
          <w:kern w:val="36"/>
          <w:sz w:val="30"/>
          <w:szCs w:val="30"/>
          <w:lang w:val="en-US" w:eastAsia="zh-CN"/>
        </w:rPr>
      </w:pPr>
      <w:r>
        <w:rPr>
          <w:rFonts w:hint="eastAsia" w:ascii="Times New Roman" w:hAnsi="Times New Roman" w:eastAsia="方正楷体_GBK" w:cs="Times New Roman"/>
          <w:b/>
          <w:color w:val="auto"/>
          <w:spacing w:val="-20"/>
          <w:kern w:val="36"/>
          <w:sz w:val="30"/>
          <w:szCs w:val="30"/>
          <w:lang w:val="en-US" w:eastAsia="zh-CN"/>
        </w:rPr>
        <w:t xml:space="preserve">百年级拐点：工业金属定价机制的结构性转变（2025-2030） </w:t>
      </w:r>
      <w:r>
        <w:rPr>
          <w:rFonts w:hint="eastAsia" w:ascii="Times New Roman" w:hAnsi="Times New Roman" w:eastAsia="方正楷体_GBK" w:cs="Times New Roman"/>
          <w:b/>
          <w:color w:val="auto"/>
          <w:spacing w:val="-20"/>
          <w:kern w:val="36"/>
          <w:sz w:val="30"/>
          <w:szCs w:val="30"/>
          <w:lang w:val="en-US" w:eastAsia="zh-CN"/>
        </w:rPr>
        <w:t>/</w:t>
      </w:r>
      <w:r>
        <w:rPr>
          <w:rFonts w:hint="eastAsia" w:ascii="Times New Roman" w:hAnsi="Times New Roman" w:eastAsia="方正楷体_GBK" w:cs="Times New Roman"/>
          <w:b/>
          <w:bCs w:val="0"/>
          <w:color w:val="auto"/>
          <w:spacing w:val="0"/>
          <w:kern w:val="36"/>
          <w:sz w:val="30"/>
          <w:szCs w:val="30"/>
          <w:lang w:val="en-US" w:eastAsia="zh-CN"/>
        </w:rPr>
        <w:t xml:space="preserve"> 25</w:t>
      </w:r>
    </w:p>
    <w:p w14:paraId="0B5D1FF9">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28" w:firstLineChars="200"/>
        <w:contextualSpacing/>
        <w:jc w:val="left"/>
        <w:textAlignment w:val="auto"/>
        <w:outlineLvl w:val="1"/>
        <w:rPr>
          <w:rFonts w:hint="default" w:ascii="Times New Roman" w:hAnsi="Times New Roman" w:eastAsia="宋体" w:cs="Times New Roman"/>
          <w:b/>
          <w:color w:val="1F497D"/>
          <w:kern w:val="36"/>
          <w:sz w:val="28"/>
          <w:szCs w:val="28"/>
          <w:lang w:val="en-US" w:eastAsia="zh-CN"/>
          <w14:textFill>
            <w14:solidFill>
              <w14:srgbClr w14:val="1F497D">
                <w14:lumMod w14:val="60000"/>
                <w14:lumOff w14:val="40000"/>
              </w14:srgbClr>
            </w14:solidFill>
          </w14:textFill>
        </w:rPr>
      </w:pPr>
    </w:p>
    <w:p w14:paraId="3A2628CF">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28" w:firstLineChars="200"/>
        <w:contextualSpacing/>
        <w:jc w:val="left"/>
        <w:textAlignment w:val="auto"/>
        <w:outlineLvl w:val="1"/>
        <w:rPr>
          <w:rFonts w:hint="default" w:ascii="Times New Roman" w:hAnsi="Times New Roman" w:eastAsia="方正黑体_GBK" w:cs="Times New Roman"/>
          <w:b/>
          <w:color w:val="FFC000"/>
          <w:kern w:val="36"/>
          <w:sz w:val="28"/>
          <w:szCs w:val="28"/>
          <w:lang w:val="en-US" w:eastAsia="zh-CN"/>
        </w:rPr>
      </w:pPr>
      <w:r>
        <w:rPr>
          <w:rFonts w:hint="default" w:ascii="Times New Roman" w:hAnsi="Times New Roman" w:eastAsia="方正黑体_GBK" w:cs="Times New Roman"/>
          <w:b/>
          <w:color w:val="1F497D"/>
          <w:kern w:val="36"/>
          <w:sz w:val="28"/>
          <w:szCs w:val="28"/>
          <w:lang w:val="en-US" w:eastAsia="zh-CN"/>
          <w14:textFill>
            <w14:solidFill>
              <w14:srgbClr w14:val="1F497D">
                <w14:lumMod w14:val="60000"/>
                <w14:lumOff w14:val="40000"/>
              </w14:srgbClr>
            </w14:solidFill>
          </w14:textFill>
        </w:rPr>
        <w:t xml:space="preserve">• </w:t>
      </w:r>
      <w:r>
        <w:rPr>
          <w:rFonts w:hint="eastAsia" w:ascii="方正公文黑体" w:hAnsi="方正公文黑体" w:eastAsia="方正公文黑体" w:cs="方正公文黑体"/>
          <w:b w:val="0"/>
          <w:bCs/>
          <w:color w:val="1F497D"/>
          <w:kern w:val="36"/>
          <w:sz w:val="32"/>
          <w:szCs w:val="32"/>
          <w:lang w:val="en-US" w:eastAsia="zh-CN"/>
          <w14:textFill>
            <w14:solidFill>
              <w14:srgbClr w14:val="1F497D">
                <w14:lumMod w14:val="60000"/>
                <w14:lumOff w14:val="40000"/>
              </w14:srgbClr>
            </w14:solidFill>
          </w14:textFill>
        </w:rPr>
        <w:t>江苏贸促动态</w:t>
      </w:r>
      <w:r>
        <w:rPr>
          <w:rFonts w:hint="default" w:ascii="Times New Roman" w:hAnsi="Times New Roman" w:eastAsia="方正黑体_GBK" w:cs="Times New Roman"/>
          <w:b/>
          <w:color w:val="1F497D"/>
          <w:kern w:val="36"/>
          <w:sz w:val="28"/>
          <w:szCs w:val="28"/>
          <w:lang w:val="en-US" w:eastAsia="zh-CN"/>
          <w14:textFill>
            <w14:solidFill>
              <w14:srgbClr w14:val="1F497D">
                <w14:lumMod w14:val="60000"/>
                <w14:lumOff w14:val="40000"/>
              </w14:srgbClr>
            </w14:solidFill>
          </w14:textFill>
        </w:rPr>
        <w:t xml:space="preserve"> •</w:t>
      </w:r>
      <w:r>
        <w:rPr>
          <w:rFonts w:hint="default" w:ascii="Times New Roman" w:hAnsi="Times New Roman" w:eastAsia="方正黑体_GBK" w:cs="Times New Roman"/>
          <w:b/>
          <w:color w:val="00B0F0"/>
          <w:kern w:val="36"/>
          <w:sz w:val="28"/>
          <w:szCs w:val="28"/>
          <w:lang w:val="en-US" w:eastAsia="zh-CN"/>
        </w:rPr>
        <w:t xml:space="preserve"> </w:t>
      </w:r>
      <w:r>
        <w:rPr>
          <w:rFonts w:hint="default" w:ascii="Times New Roman" w:hAnsi="Times New Roman" w:eastAsia="宋体" w:cs="Times New Roman"/>
          <w:b/>
          <w:color w:val="FF0000"/>
          <w:kern w:val="36"/>
          <w:sz w:val="24"/>
          <w:szCs w:val="24"/>
          <w:lang w:val="en-US" w:eastAsia="zh-CN"/>
        </w:rPr>
        <w:t>‧‧‧‧‧‧‧‧‧‧‧‧‧‧‧‧‧‧‧‧‧‧‧‧‧‧‧‧‧‧‧‧‧‧‧‧‧‧‧‧‧‧‧‧‧‧‧‧‧‧‧‧‧‧‧‧‧‧‧‧‧‧‧‧‧‧‧‧‧‧‧‧‧‧‧‧‧‧‧‧‧‧‧‧‧‧‧‧‧‧‧‧‧</w:t>
      </w:r>
    </w:p>
    <w:p w14:paraId="3CE478F5">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566"/>
        <w:contextualSpacing/>
        <w:jc w:val="both"/>
        <w:textAlignment w:val="auto"/>
        <w:outlineLvl w:val="1"/>
        <w:rPr>
          <w:rFonts w:hint="default" w:ascii="Times New Roman" w:hAnsi="Times New Roman" w:eastAsia="方正楷体_GBK" w:cs="Times New Roman"/>
          <w:b/>
          <w:color w:val="auto"/>
          <w:spacing w:val="-11"/>
          <w:kern w:val="36"/>
          <w:sz w:val="30"/>
          <w:szCs w:val="30"/>
          <w:lang w:val="en-US" w:eastAsia="zh-CN"/>
        </w:rPr>
      </w:pPr>
      <w:r>
        <w:rPr>
          <w:rFonts w:hint="default" w:ascii="Times New Roman" w:hAnsi="Times New Roman" w:eastAsia="方正楷体_GBK" w:cs="Times New Roman"/>
          <w:b/>
          <w:color w:val="auto"/>
          <w:spacing w:val="0"/>
          <w:kern w:val="36"/>
          <w:sz w:val="30"/>
          <w:szCs w:val="30"/>
          <w:lang w:val="en-US" w:eastAsia="zh-CN"/>
        </w:rPr>
        <w:t xml:space="preserve">全省贸促工作会议在南京召开 </w:t>
      </w:r>
      <w:bookmarkStart w:id="0" w:name="OLE_LINK1"/>
      <w:r>
        <w:rPr>
          <w:rFonts w:hint="eastAsia" w:ascii="Times New Roman" w:hAnsi="Times New Roman" w:eastAsia="方正楷体_GBK" w:cs="Times New Roman"/>
          <w:b/>
          <w:color w:val="auto"/>
          <w:spacing w:val="-11"/>
          <w:kern w:val="36"/>
          <w:sz w:val="30"/>
          <w:szCs w:val="30"/>
          <w:lang w:val="en-US" w:eastAsia="zh-CN"/>
        </w:rPr>
        <w:t xml:space="preserve"> </w:t>
      </w:r>
      <w:bookmarkStart w:id="1" w:name="OLE_LINK10"/>
      <w:r>
        <w:rPr>
          <w:rFonts w:hint="eastAsia" w:ascii="Times New Roman" w:hAnsi="Times New Roman" w:eastAsia="方正楷体_GBK" w:cs="Times New Roman"/>
          <w:b/>
          <w:color w:val="auto"/>
          <w:spacing w:val="-11"/>
          <w:kern w:val="36"/>
          <w:sz w:val="30"/>
          <w:szCs w:val="30"/>
          <w:lang w:val="en-US" w:eastAsia="zh-CN"/>
        </w:rPr>
        <w:t xml:space="preserve">/ </w:t>
      </w:r>
      <w:bookmarkEnd w:id="0"/>
      <w:bookmarkEnd w:id="1"/>
      <w:r>
        <w:rPr>
          <w:rFonts w:hint="eastAsia" w:ascii="Times New Roman" w:hAnsi="Times New Roman" w:eastAsia="方正楷体_GBK" w:cs="Times New Roman"/>
          <w:b/>
          <w:color w:val="auto"/>
          <w:spacing w:val="-11"/>
          <w:kern w:val="36"/>
          <w:sz w:val="30"/>
          <w:szCs w:val="30"/>
          <w:lang w:val="en-US" w:eastAsia="zh-CN"/>
        </w:rPr>
        <w:t>35</w:t>
      </w:r>
    </w:p>
    <w:p w14:paraId="125170DF">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566"/>
        <w:contextualSpacing/>
        <w:jc w:val="both"/>
        <w:textAlignment w:val="auto"/>
        <w:outlineLvl w:val="1"/>
        <w:rPr>
          <w:rFonts w:hint="default" w:ascii="Times New Roman" w:hAnsi="Times New Roman" w:eastAsia="方正楷体_GBK" w:cs="Times New Roman"/>
          <w:b/>
          <w:color w:val="auto"/>
          <w:spacing w:val="-11"/>
          <w:kern w:val="36"/>
          <w:sz w:val="30"/>
          <w:szCs w:val="30"/>
          <w:lang w:val="en-US" w:eastAsia="zh-CN"/>
        </w:rPr>
      </w:pPr>
      <w:r>
        <w:rPr>
          <w:rFonts w:hint="eastAsia" w:ascii="Times New Roman" w:hAnsi="Times New Roman" w:eastAsia="方正楷体_GBK" w:cs="Times New Roman"/>
          <w:b/>
          <w:color w:val="auto"/>
          <w:spacing w:val="0"/>
          <w:kern w:val="36"/>
          <w:sz w:val="30"/>
          <w:szCs w:val="30"/>
          <w:lang w:val="en-US" w:eastAsia="zh-CN"/>
        </w:rPr>
        <w:t>省国际商会法律专业委员会工作会议在宁召开</w:t>
      </w:r>
      <w:r>
        <w:rPr>
          <w:rFonts w:hint="eastAsia" w:ascii="Times New Roman" w:hAnsi="Times New Roman" w:eastAsia="方正楷体_GBK" w:cs="Times New Roman"/>
          <w:b/>
          <w:color w:val="auto"/>
          <w:spacing w:val="-23"/>
          <w:kern w:val="36"/>
          <w:sz w:val="30"/>
          <w:szCs w:val="30"/>
          <w:lang w:val="en-US" w:eastAsia="zh-CN"/>
        </w:rPr>
        <w:t xml:space="preserve"> </w:t>
      </w:r>
      <w:r>
        <w:rPr>
          <w:rFonts w:hint="eastAsia" w:ascii="Times New Roman" w:hAnsi="Times New Roman" w:eastAsia="方正楷体_GBK" w:cs="Times New Roman"/>
          <w:b/>
          <w:color w:val="auto"/>
          <w:spacing w:val="-11"/>
          <w:kern w:val="36"/>
          <w:sz w:val="30"/>
          <w:szCs w:val="30"/>
          <w:lang w:val="en-US" w:eastAsia="zh-CN"/>
        </w:rPr>
        <w:t xml:space="preserve"> /38</w:t>
      </w:r>
    </w:p>
    <w:p w14:paraId="121BC05F">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566"/>
        <w:contextualSpacing/>
        <w:jc w:val="both"/>
        <w:textAlignment w:val="auto"/>
        <w:outlineLvl w:val="1"/>
        <w:rPr>
          <w:rFonts w:hint="default" w:ascii="Times New Roman" w:hAnsi="Times New Roman" w:eastAsia="方正楷体_GBK" w:cs="Times New Roman"/>
          <w:b/>
          <w:color w:val="auto"/>
          <w:kern w:val="36"/>
          <w:sz w:val="30"/>
          <w:szCs w:val="30"/>
          <w:lang w:val="en-US" w:eastAsia="zh-CN"/>
        </w:rPr>
      </w:pPr>
      <w:r>
        <w:rPr>
          <w:rFonts w:hint="default" w:ascii="Times New Roman" w:hAnsi="Times New Roman" w:eastAsia="方正楷体_GBK" w:cs="Times New Roman"/>
          <w:b/>
          <w:color w:val="auto"/>
          <w:spacing w:val="-11"/>
          <w:kern w:val="36"/>
          <w:sz w:val="30"/>
          <w:szCs w:val="30"/>
          <w:lang w:val="en-US" w:eastAsia="zh-CN"/>
        </w:rPr>
        <w:t xml:space="preserve"> </w:t>
      </w:r>
      <w:bookmarkStart w:id="2" w:name="OLE_LINK12"/>
      <w:r>
        <w:rPr>
          <w:rFonts w:hint="eastAsia" w:ascii="Times New Roman" w:hAnsi="Times New Roman" w:eastAsia="方正楷体_GBK" w:cs="Times New Roman"/>
          <w:b/>
          <w:color w:val="auto"/>
          <w:spacing w:val="-11"/>
          <w:kern w:val="36"/>
          <w:sz w:val="30"/>
          <w:szCs w:val="30"/>
          <w:lang w:val="en-US" w:eastAsia="zh-CN"/>
        </w:rPr>
        <w:t xml:space="preserve"> </w:t>
      </w:r>
      <w:bookmarkEnd w:id="2"/>
    </w:p>
    <w:p w14:paraId="6B9B46C7">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default" w:ascii="Times New Roman" w:hAnsi="Times New Roman" w:eastAsia="宋体" w:cs="Times New Roman"/>
          <w:b/>
          <w:color w:val="FF0000"/>
          <w:kern w:val="36"/>
          <w:sz w:val="32"/>
          <w:szCs w:val="32"/>
          <w:lang w:val="en-US" w:eastAsia="zh-CN"/>
        </w:rPr>
      </w:pPr>
      <w:r>
        <w:rPr>
          <w:rFonts w:hint="default"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t xml:space="preserve">• </w:t>
      </w:r>
      <w:r>
        <w:rPr>
          <w:rFonts w:hint="eastAsia" w:ascii="方正公文黑体" w:hAnsi="方正公文黑体" w:eastAsia="方正公文黑体" w:cs="方正公文黑体"/>
          <w:b w:val="0"/>
          <w:bCs/>
          <w:color w:val="1F497D"/>
          <w:kern w:val="36"/>
          <w:sz w:val="32"/>
          <w:szCs w:val="32"/>
          <w:lang w:val="en-US" w:eastAsia="zh-CN"/>
          <w14:textFill>
            <w14:solidFill>
              <w14:srgbClr w14:val="1F497D">
                <w14:lumMod w14:val="60000"/>
                <w14:lumOff w14:val="40000"/>
              </w14:srgbClr>
            </w14:solidFill>
          </w14:textFill>
        </w:rPr>
        <w:t>会员企业风采</w:t>
      </w:r>
      <w:r>
        <w:rPr>
          <w:rFonts w:hint="default"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t xml:space="preserve"> • </w:t>
      </w:r>
      <w:r>
        <w:rPr>
          <w:rFonts w:hint="default" w:ascii="Times New Roman" w:hAnsi="Times New Roman" w:eastAsia="宋体" w:cs="Times New Roman"/>
          <w:b/>
          <w:color w:val="FF0000"/>
          <w:kern w:val="36"/>
          <w:sz w:val="32"/>
          <w:szCs w:val="32"/>
          <w:lang w:val="en-US" w:eastAsia="zh-CN"/>
        </w:rPr>
        <w:t>‧‧‧‧‧‧‧‧‧‧‧‧‧‧‧‧‧‧‧‧‧‧‧‧‧‧‧‧‧‧‧‧‧‧‧‧‧‧‧‧‧‧‧‧‧‧‧‧‧‧‧‧‧‧‧‧‧‧‧‧‧‧‧</w:t>
      </w:r>
    </w:p>
    <w:p w14:paraId="77C1FFD4">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566"/>
        <w:contextualSpacing/>
        <w:jc w:val="both"/>
        <w:textAlignment w:val="auto"/>
        <w:outlineLvl w:val="1"/>
        <w:rPr>
          <w:rFonts w:hint="default" w:ascii="Times New Roman" w:hAnsi="Times New Roman" w:eastAsia="方正楷体_GBK" w:cs="Times New Roman"/>
          <w:b/>
          <w:color w:val="auto"/>
          <w:spacing w:val="-11"/>
          <w:kern w:val="36"/>
          <w:sz w:val="30"/>
          <w:szCs w:val="30"/>
          <w:lang w:val="en-US" w:eastAsia="zh-CN"/>
        </w:rPr>
      </w:pPr>
      <w:r>
        <w:rPr>
          <w:rFonts w:hint="eastAsia" w:ascii="Times New Roman" w:hAnsi="Times New Roman" w:eastAsia="方正楷体_GBK" w:cs="Times New Roman"/>
          <w:b/>
          <w:color w:val="auto"/>
          <w:spacing w:val="0"/>
          <w:kern w:val="36"/>
          <w:sz w:val="30"/>
          <w:szCs w:val="30"/>
          <w:lang w:val="en-US" w:eastAsia="zh-CN"/>
        </w:rPr>
        <w:t>南钢一举揽获5项江苏省科学技术奖</w:t>
      </w:r>
      <w:r>
        <w:rPr>
          <w:rFonts w:hint="eastAsia" w:ascii="Times New Roman" w:hAnsi="Times New Roman" w:eastAsia="方正楷体_GBK" w:cs="方正楷体_GBK"/>
          <w:b/>
          <w:color w:val="auto"/>
          <w:spacing w:val="0"/>
          <w:kern w:val="36"/>
          <w:sz w:val="30"/>
          <w:szCs w:val="30"/>
          <w:lang w:val="en-US" w:eastAsia="zh-CN"/>
        </w:rPr>
        <w:t xml:space="preserve"> </w:t>
      </w:r>
      <w:r>
        <w:rPr>
          <w:rFonts w:hint="eastAsia" w:ascii="Times New Roman" w:hAnsi="Times New Roman" w:eastAsia="方正楷体_GBK" w:cs="Times New Roman"/>
          <w:b/>
          <w:color w:val="auto"/>
          <w:spacing w:val="-11"/>
          <w:kern w:val="36"/>
          <w:sz w:val="30"/>
          <w:szCs w:val="30"/>
          <w:lang w:val="en-US" w:eastAsia="zh-CN"/>
        </w:rPr>
        <w:t>/</w:t>
      </w:r>
      <w:r>
        <w:rPr>
          <w:rFonts w:hint="default" w:ascii="Times New Roman" w:hAnsi="Times New Roman" w:eastAsia="方正楷体_GBK" w:cs="Times New Roman"/>
          <w:b/>
          <w:color w:val="auto"/>
          <w:spacing w:val="-11"/>
          <w:kern w:val="36"/>
          <w:sz w:val="30"/>
          <w:szCs w:val="30"/>
          <w:lang w:val="en-US" w:eastAsia="zh-CN"/>
        </w:rPr>
        <w:t xml:space="preserve"> </w:t>
      </w:r>
      <w:r>
        <w:rPr>
          <w:rFonts w:hint="eastAsia" w:ascii="Times New Roman" w:hAnsi="Times New Roman" w:eastAsia="方正楷体_GBK" w:cs="Times New Roman"/>
          <w:b/>
          <w:color w:val="auto"/>
          <w:spacing w:val="-11"/>
          <w:kern w:val="36"/>
          <w:sz w:val="30"/>
          <w:szCs w:val="30"/>
          <w:lang w:val="en-US" w:eastAsia="zh-CN"/>
        </w:rPr>
        <w:t>40</w:t>
      </w:r>
    </w:p>
    <w:p w14:paraId="5ED6037D">
      <w:pPr>
        <w:keepNext w:val="0"/>
        <w:keepLines w:val="0"/>
        <w:pageBreakBefore w:val="0"/>
        <w:widowControl/>
        <w:kinsoku/>
        <w:wordWrap/>
        <w:overflowPunct/>
        <w:topLinePunct w:val="0"/>
        <w:autoSpaceDE/>
        <w:autoSpaceDN/>
        <w:bidi w:val="0"/>
        <w:adjustRightInd/>
        <w:snapToGrid/>
        <w:ind w:firstLine="568" w:firstLineChars="200"/>
        <w:textAlignment w:val="auto"/>
        <w:outlineLvl w:val="9"/>
        <w:rPr>
          <w:rFonts w:hint="default" w:ascii="Times New Roman" w:hAnsi="Times New Roman" w:eastAsia="方正楷体_GBK" w:cs="Times New Roman"/>
          <w:b/>
          <w:color w:val="auto"/>
          <w:spacing w:val="-11"/>
          <w:kern w:val="36"/>
          <w:sz w:val="30"/>
          <w:szCs w:val="30"/>
          <w:lang w:val="en-US" w:eastAsia="zh-CN"/>
        </w:rPr>
      </w:pPr>
      <w:r>
        <w:rPr>
          <w:rFonts w:hint="eastAsia" w:ascii="Times New Roman" w:hAnsi="Times New Roman" w:eastAsia="方正楷体_GBK" w:cs="Times New Roman"/>
          <w:b/>
          <w:color w:val="auto"/>
          <w:spacing w:val="0"/>
          <w:kern w:val="36"/>
          <w:sz w:val="30"/>
          <w:szCs w:val="30"/>
          <w:lang w:val="en-US" w:eastAsia="zh-CN"/>
        </w:rPr>
        <w:t>上上电缆获评“国家知识产权示范企业”</w:t>
      </w:r>
      <w:r>
        <w:rPr>
          <w:rFonts w:hint="eastAsia" w:ascii="Times New Roman" w:hAnsi="Times New Roman" w:eastAsia="方正楷体_GBK" w:cs="方正楷体_GBK"/>
          <w:b/>
          <w:color w:val="auto"/>
          <w:spacing w:val="0"/>
          <w:kern w:val="36"/>
          <w:sz w:val="30"/>
          <w:szCs w:val="30"/>
          <w:lang w:val="en-US" w:eastAsia="zh-CN"/>
        </w:rPr>
        <w:t xml:space="preserve"> </w:t>
      </w:r>
      <w:r>
        <w:rPr>
          <w:rFonts w:hint="eastAsia" w:ascii="Times New Roman" w:hAnsi="Times New Roman" w:eastAsia="方正楷体_GBK" w:cs="Times New Roman"/>
          <w:b/>
          <w:color w:val="auto"/>
          <w:spacing w:val="-11"/>
          <w:kern w:val="36"/>
          <w:sz w:val="30"/>
          <w:szCs w:val="30"/>
          <w:lang w:val="en-US" w:eastAsia="zh-CN"/>
        </w:rPr>
        <w:t>/ 41</w:t>
      </w:r>
    </w:p>
    <w:p w14:paraId="27839ACC">
      <w:pPr>
        <w:keepNext w:val="0"/>
        <w:keepLines w:val="0"/>
        <w:pageBreakBefore w:val="0"/>
        <w:widowControl/>
        <w:kinsoku/>
        <w:wordWrap/>
        <w:overflowPunct/>
        <w:topLinePunct w:val="0"/>
        <w:autoSpaceDE/>
        <w:autoSpaceDN/>
        <w:bidi w:val="0"/>
        <w:adjustRightInd/>
        <w:snapToGrid/>
        <w:ind w:firstLine="568" w:firstLineChars="200"/>
        <w:textAlignment w:val="auto"/>
        <w:outlineLvl w:val="9"/>
        <w:rPr>
          <w:rFonts w:hint="default" w:ascii="Times New Roman" w:hAnsi="Times New Roman" w:eastAsia="经典行楷简" w:cs="Times New Roman"/>
          <w:b/>
          <w:color w:val="1F497D"/>
          <w:kern w:val="36"/>
          <w:sz w:val="96"/>
          <w:szCs w:val="96"/>
          <w:u w:val="none" w:color="BB120F"/>
          <w:lang w:val="en-US" w:eastAsia="zh-CN"/>
          <w14:textFill>
            <w14:solidFill>
              <w14:srgbClr w14:val="1F497D">
                <w14:lumMod w14:val="60000"/>
                <w14:lumOff w14:val="40000"/>
              </w14:srgbClr>
            </w14:solidFill>
          </w14:textFill>
        </w:rPr>
      </w:pPr>
      <w:r>
        <w:rPr>
          <w:rFonts w:hint="eastAsia" w:ascii="Times New Roman" w:hAnsi="Times New Roman" w:eastAsia="方正楷体_GBK" w:cs="Times New Roman"/>
          <w:b/>
          <w:color w:val="auto"/>
          <w:spacing w:val="0"/>
          <w:kern w:val="36"/>
          <w:sz w:val="30"/>
          <w:szCs w:val="30"/>
          <w:lang w:val="en-US" w:eastAsia="zh-CN"/>
        </w:rPr>
        <w:t xml:space="preserve">亚星客车双“星”斩获大奖 领跑细分市场 </w:t>
      </w:r>
      <w:r>
        <w:rPr>
          <w:rFonts w:hint="eastAsia" w:ascii="Times New Roman" w:hAnsi="Times New Roman" w:eastAsia="方正楷体_GBK" w:cs="Times New Roman"/>
          <w:b/>
          <w:color w:val="auto"/>
          <w:spacing w:val="-11"/>
          <w:kern w:val="36"/>
          <w:sz w:val="30"/>
          <w:szCs w:val="30"/>
          <w:lang w:val="en-US" w:eastAsia="zh-CN"/>
        </w:rPr>
        <w:t>/ 42</w:t>
      </w:r>
    </w:p>
    <w:p w14:paraId="3A6BEFA8">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eastAsia" w:ascii="Times New Roman" w:hAnsi="Times New Roman" w:eastAsia="经典行楷简" w:cs="Times New Roman"/>
          <w:b/>
          <w:color w:val="1F497D"/>
          <w:kern w:val="36"/>
          <w:sz w:val="96"/>
          <w:szCs w:val="96"/>
          <w:u w:val="none" w:color="BB120F"/>
          <w:lang w:val="en-US" w:eastAsia="zh-CN"/>
          <w14:textFill>
            <w14:solidFill>
              <w14:srgbClr w14:val="1F497D">
                <w14:lumMod w14:val="60000"/>
                <w14:lumOff w14:val="40000"/>
              </w14:srgbClr>
            </w14:solidFill>
          </w14:textFill>
        </w:rPr>
      </w:pPr>
      <w:r>
        <w:rPr>
          <w:rFonts w:hint="default" w:ascii="Times New Roman" w:hAnsi="Times New Roman" w:eastAsia="经典行楷简" w:cs="Times New Roman"/>
          <w:b/>
          <w:color w:val="1F497D"/>
          <w:kern w:val="36"/>
          <w:sz w:val="96"/>
          <w:szCs w:val="96"/>
          <w:u w:val="none" w:color="BB120F"/>
          <w:lang w:val="en-US" w:eastAsia="zh-CN"/>
          <w14:textFill>
            <w14:solidFill>
              <w14:srgbClr w14:val="1F497D">
                <w14:lumMod w14:val="60000"/>
                <w14:lumOff w14:val="40000"/>
              </w14:srgbClr>
            </w14:solidFill>
          </w14:textFill>
        </w:rPr>
        <w:t>全球</w:t>
      </w:r>
      <w:r>
        <w:rPr>
          <w:rFonts w:hint="eastAsia" w:ascii="Times New Roman" w:hAnsi="Times New Roman" w:eastAsia="经典行楷简" w:cs="Times New Roman"/>
          <w:b/>
          <w:color w:val="1F497D"/>
          <w:kern w:val="36"/>
          <w:sz w:val="96"/>
          <w:szCs w:val="96"/>
          <w:u w:val="none" w:color="BB120F"/>
          <w:lang w:val="en-US" w:eastAsia="zh-CN"/>
          <w14:textFill>
            <w14:solidFill>
              <w14:srgbClr w14:val="1F497D">
                <w14:lumMod w14:val="60000"/>
                <w14:lumOff w14:val="40000"/>
              </w14:srgbClr>
            </w14:solidFill>
          </w14:textFill>
        </w:rPr>
        <w:t>经贸分析</w:t>
      </w:r>
    </w:p>
    <w:p w14:paraId="61DCED8B">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both"/>
        <w:textAlignment w:val="auto"/>
        <w:outlineLvl w:val="1"/>
        <w:rPr>
          <w:rFonts w:hint="eastAsia" w:ascii="方正小标宋_GBK" w:hAnsi="方正小标宋_GBK" w:eastAsia="方正小标宋_GBK" w:cs="方正小标宋_GBK"/>
          <w:b/>
          <w:bCs/>
          <w:color w:val="0000FF"/>
          <w:sz w:val="32"/>
          <w:szCs w:val="32"/>
          <w:highlight w:val="yellow"/>
          <w:lang w:val="en-US" w:eastAsia="zh-CN"/>
        </w:rPr>
      </w:pPr>
      <w:r>
        <w:rPr>
          <w:rFonts w:hint="eastAsia" w:ascii="方正小标宋_GBK" w:hAnsi="方正小标宋_GBK" w:eastAsia="方正小标宋_GBK" w:cs="方正小标宋_GBK"/>
          <w:b/>
          <w:bCs/>
          <w:color w:val="0000FF"/>
          <w:sz w:val="32"/>
          <w:szCs w:val="32"/>
          <w:highlight w:val="yellow"/>
          <w:lang w:val="en-US" w:eastAsia="zh-CN"/>
        </w:rPr>
        <w:t>1月28日（周三）</w:t>
      </w:r>
    </w:p>
    <w:p w14:paraId="765CD4B2">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08" w:firstLineChars="200"/>
        <w:jc w:val="both"/>
        <w:textAlignment w:val="auto"/>
        <w:outlineLvl w:val="9"/>
        <w:rPr>
          <w:rFonts w:hint="default" w:ascii="Times New Roman" w:hAnsi="Times New Roman" w:eastAsia="方正仿宋_GBK" w:cs="Times New Roman"/>
          <w:b w:val="0"/>
          <w:bCs w:val="0"/>
          <w:sz w:val="32"/>
          <w:szCs w:val="32"/>
        </w:rPr>
      </w:pPr>
    </w:p>
    <w:p w14:paraId="684DCABD">
      <w:pPr>
        <w:keepNext w:val="0"/>
        <w:keepLines w:val="0"/>
        <w:pageBreakBefore w:val="0"/>
        <w:widowControl w:val="0"/>
        <w:kinsoku/>
        <w:wordWrap/>
        <w:overflowPunct/>
        <w:topLinePunct w:val="0"/>
        <w:autoSpaceDE/>
        <w:autoSpaceDN/>
        <w:bidi w:val="0"/>
        <w:adjustRightInd/>
        <w:snapToGrid/>
        <w:spacing w:line="580" w:lineRule="exact"/>
        <w:ind w:right="0" w:rightChars="0"/>
        <w:jc w:val="center"/>
        <w:textAlignment w:val="auto"/>
        <w:outlineLvl w:val="9"/>
        <w:rPr>
          <w:rFonts w:hint="default" w:ascii="Times New Roman" w:hAnsi="Times New Roman" w:eastAsia="方正仿宋_GBK" w:cs="Times New Roman"/>
          <w:b w:val="0"/>
          <w:bCs w:val="0"/>
          <w:sz w:val="32"/>
          <w:szCs w:val="32"/>
        </w:rPr>
      </w:pPr>
      <w:r>
        <w:rPr>
          <w:rFonts w:hint="eastAsia" w:ascii="方正小标宋_GBK" w:hAnsi="方正小标宋_GBK" w:eastAsia="方正小标宋_GBK" w:cs="方正小标宋_GBK"/>
          <w:b w:val="0"/>
          <w:bCs w:val="0"/>
          <w:color w:val="5B9BD5" w:themeColor="accent1"/>
          <w:sz w:val="44"/>
          <w:szCs w:val="44"/>
          <w:highlight w:val="none"/>
          <w:lang w:eastAsia="zh-CN"/>
          <w14:textFill>
            <w14:solidFill>
              <w14:schemeClr w14:val="accent1"/>
            </w14:solidFill>
          </w14:textFill>
        </w:rPr>
        <w:t>白银暴涨背后的百年国运翻转</w:t>
      </w:r>
    </w:p>
    <w:p w14:paraId="5A560B03">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08" w:firstLineChars="200"/>
        <w:jc w:val="both"/>
        <w:textAlignment w:val="auto"/>
        <w:outlineLvl w:val="9"/>
        <w:rPr>
          <w:rFonts w:hint="default" w:ascii="Times New Roman" w:hAnsi="Times New Roman" w:eastAsia="方正仿宋_GBK" w:cs="Times New Roman"/>
          <w:b w:val="0"/>
          <w:bCs w:val="0"/>
          <w:sz w:val="32"/>
          <w:szCs w:val="32"/>
        </w:rPr>
      </w:pPr>
    </w:p>
    <w:p w14:paraId="6C0FB7CA">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2026年1月以来，国际市场白银价格经历了极为剧烈的上涨行情，在不到一个月时间，国际银价累计涨幅已接近50%。</w:t>
      </w:r>
    </w:p>
    <w:p w14:paraId="1F3C75D0">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元旦前后，白银现货价格处在70-80美元/盎司区间，随后迅速发力，上旬快速突破80美元并站上90美元关口，中旬进一步加速，涨幅显著超过同期黄金和其他贵金属</w:t>
      </w:r>
      <w:r>
        <w:rPr>
          <w:rFonts w:hint="eastAsia" w:ascii="Times New Roman" w:hAnsi="Times New Roman" w:eastAsia="方正仿宋_GBK" w:cs="Times New Roman"/>
          <w:b w:val="0"/>
          <w:bCs w:val="0"/>
          <w:sz w:val="32"/>
          <w:szCs w:val="32"/>
          <w:lang w:eastAsia="zh-CN"/>
        </w:rPr>
        <w:t>。</w:t>
      </w:r>
      <w:r>
        <w:rPr>
          <w:rFonts w:hint="default" w:ascii="Times New Roman" w:hAnsi="Times New Roman" w:eastAsia="方正仿宋_GBK" w:cs="Times New Roman"/>
          <w:b w:val="0"/>
          <w:bCs w:val="0"/>
          <w:sz w:val="32"/>
          <w:szCs w:val="32"/>
        </w:rPr>
        <w:t>1月23日，白银价格历史性地突破100美元/盎司的心理大关，创下46年来新高。之后继续震荡上行，至1月27日最新报价已达到约110美元/盎司左右（日内涨幅一度接近14%）。</w:t>
      </w:r>
    </w:p>
    <w:p w14:paraId="4C20DFCA">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default" w:ascii="Times New Roman" w:hAnsi="Times New Roman" w:eastAsia="方正仿宋_GBK" w:cs="Times New Roman"/>
          <w:b w:val="0"/>
          <w:bCs w:val="0"/>
          <w:sz w:val="32"/>
          <w:szCs w:val="32"/>
        </w:rPr>
      </w:pPr>
    </w:p>
    <w:p w14:paraId="0F0DA8AC">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eastAsia" w:ascii="Times New Roman" w:hAnsi="Times New Roman" w:eastAsia="方正仿宋_GBK" w:cs="Times New Roman"/>
          <w:b w:val="0"/>
          <w:bCs w:val="0"/>
          <w:sz w:val="32"/>
          <w:szCs w:val="32"/>
          <w:lang w:eastAsia="zh-CN"/>
        </w:rPr>
      </w:pPr>
      <w:r>
        <w:rPr>
          <w:rFonts w:hint="eastAsia" w:ascii="Times New Roman" w:hAnsi="Times New Roman" w:eastAsia="方正仿宋_GBK" w:cs="Times New Roman"/>
          <w:b w:val="0"/>
          <w:bCs w:val="0"/>
          <w:sz w:val="32"/>
          <w:szCs w:val="32"/>
          <w:lang w:eastAsia="zh-CN"/>
        </w:rPr>
        <w:drawing>
          <wp:inline distT="0" distB="0" distL="114300" distR="114300">
            <wp:extent cx="5575935" cy="4092575"/>
            <wp:effectExtent l="0" t="0" r="5715" b="3175"/>
            <wp:docPr id="2" name="图片 2" descr="微信图片_20260128141007_534_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60128141007_534_76"/>
                    <pic:cNvPicPr>
                      <a:picLocks noChangeAspect="1"/>
                    </pic:cNvPicPr>
                  </pic:nvPicPr>
                  <pic:blipFill>
                    <a:blip r:embed="rId5"/>
                    <a:stretch>
                      <a:fillRect/>
                    </a:stretch>
                  </pic:blipFill>
                  <pic:spPr>
                    <a:xfrm>
                      <a:off x="0" y="0"/>
                      <a:ext cx="5575935" cy="4092575"/>
                    </a:xfrm>
                    <a:prstGeom prst="rect">
                      <a:avLst/>
                    </a:prstGeom>
                  </pic:spPr>
                </pic:pic>
              </a:graphicData>
            </a:graphic>
          </wp:inline>
        </w:drawing>
      </w:r>
    </w:p>
    <w:p w14:paraId="5E05A852">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若从去年11月底起算，两个月以来白银价格的总涨幅已超过100%。这一波暴涨主要受到工业需求强劲（光伏、电子行业等消耗激增）、实物供应持续紧张、库存持续下降、投资需求爆发（抗通胀的避险买盘）以及市场出现阶段性挤空迹象等多重因素共同推动。</w:t>
      </w:r>
    </w:p>
    <w:p w14:paraId="79C49F6D">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白银价格的这一轮暴涨，不仅源于当前的工业需求和供给短缺，更唤醒了其深藏的历史金融属性——作为货币和价值储存手段的古老角色。在全球货币史上，白银曾长期充当主要货币形式，其金融属性在现代信用货币时代虽已淡化，却在经济不确定性或去美元化浪潮中复苏，推动投资者将其视为避险资产和对冲工具。</w:t>
      </w:r>
    </w:p>
    <w:p w14:paraId="6AD3F813">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仿宋_GBK" w:hAnsi="方正仿宋_GBK" w:eastAsia="方正仿宋_GBK" w:cs="方正仿宋_GBK"/>
          <w:b w:val="0"/>
          <w:bCs w:val="0"/>
          <w:sz w:val="32"/>
          <w:szCs w:val="32"/>
        </w:rPr>
      </w:pPr>
      <w:r>
        <w:rPr>
          <w:rFonts w:hint="default" w:ascii="Times New Roman" w:hAnsi="Times New Roman" w:eastAsia="方正仿宋_GBK" w:cs="Times New Roman"/>
          <w:b w:val="0"/>
          <w:bCs w:val="0"/>
          <w:sz w:val="32"/>
          <w:szCs w:val="32"/>
        </w:rPr>
        <w:t>中国在很长一</w:t>
      </w:r>
      <w:r>
        <w:rPr>
          <w:rFonts w:hint="eastAsia" w:ascii="方正仿宋_GBK" w:hAnsi="方正仿宋_GBK" w:eastAsia="方正仿宋_GBK" w:cs="方正仿宋_GBK"/>
          <w:b w:val="0"/>
          <w:bCs w:val="0"/>
          <w:sz w:val="32"/>
          <w:szCs w:val="32"/>
        </w:rPr>
        <w:t>段历史时期内，货币体系事实上执行的是以白银为核心的广义“银两本位制”，或者说，是以白银为主导的货币体系。这一格局从明代中后期</w:t>
      </w:r>
      <w:r>
        <w:rPr>
          <w:rFonts w:hint="default" w:ascii="Times New Roman" w:hAnsi="Times New Roman" w:eastAsia="方正仿宋_GBK" w:cs="Times New Roman"/>
          <w:b w:val="0"/>
          <w:bCs w:val="0"/>
          <w:sz w:val="32"/>
          <w:szCs w:val="32"/>
        </w:rPr>
        <w:t>开始逐步形成。16世纪中后期，也就是嘉靖、万历年间，通过国际贸易，美洲（特别是西班牙殖民地）和日本等地的大量白银流入中国；1581年，</w:t>
      </w:r>
      <w:r>
        <w:rPr>
          <w:rFonts w:hint="eastAsia" w:ascii="方正仿宋_GBK" w:hAnsi="方正仿宋_GBK" w:eastAsia="方正仿宋_GBK" w:cs="方正仿宋_GBK"/>
          <w:b w:val="0"/>
          <w:bCs w:val="0"/>
          <w:sz w:val="32"/>
          <w:szCs w:val="32"/>
        </w:rPr>
        <w:t>张居正开始推行财税改革，将各种赋役、徭役和田赋统一折征白银，史称“一条鞭法”，极大地推动了白银的货币化进程。</w:t>
      </w:r>
    </w:p>
    <w:p w14:paraId="0FF768EF">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中国逐步从以往以铜钱为主、纸币（宝钞）严重衰落后的货币格局，转变为以白银为主导、铜钱为辅的“银钱复本位”制度。白银逐渐成为价值尺度、主要支付手段和大宗交易的计价单位，而铜钱则更多退居小额零售和日常交易的辅币角色。</w:t>
      </w:r>
    </w:p>
    <w:p w14:paraId="676D6BFC">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进入清代后，这一以白银为核心的货币格局进一步得到强化。特别是雍正、乾隆时期以后，白银在国家赋税征收、大宗商品贸易、民间财富储藏以及官民债务清偿中占据绝对主导地位。虽然官方长期维持“银钱并行”的名义格局，并通过“制钱一千文合银一两”的官定比价试图调控银铜关系，但实际市场上的银钱比价长期浮动，常年出现“钱贵银贱”或“银贵钱贱”的交替现象，但白银的实际主导地位从未动摇。</w:t>
      </w:r>
    </w:p>
    <w:p w14:paraId="7A3FDEAE">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中国以白银为核心的广义银两本位，主要表现为各种称量银两，如库平两、关平两、漕平两</w:t>
      </w:r>
      <w:r>
        <w:rPr>
          <w:rFonts w:hint="default" w:ascii="Times New Roman" w:hAnsi="Times New Roman" w:eastAsia="方正仿宋_GBK" w:cs="Times New Roman"/>
          <w:b w:val="0"/>
          <w:bCs w:val="0"/>
          <w:sz w:val="32"/>
          <w:szCs w:val="32"/>
        </w:rPr>
        <w:t>，以及后期出现的机制银元，一直延续到20世纪30年代中期。1933年，国民政</w:t>
      </w:r>
      <w:r>
        <w:rPr>
          <w:rFonts w:hint="eastAsia" w:ascii="方正仿宋_GBK" w:hAnsi="方正仿宋_GBK" w:eastAsia="方正仿宋_GBK" w:cs="方正仿宋_GBK"/>
          <w:b w:val="0"/>
          <w:bCs w:val="0"/>
          <w:sz w:val="32"/>
          <w:szCs w:val="32"/>
        </w:rPr>
        <w:t>府实施“废两改元”，正式废除传统的称量银两制度，统一以标准银元（重量七钱二分、成色</w:t>
      </w:r>
      <w:r>
        <w:rPr>
          <w:rFonts w:hint="default" w:ascii="Times New Roman" w:hAnsi="Times New Roman" w:eastAsia="方正仿宋_GBK" w:cs="Times New Roman"/>
          <w:b w:val="0"/>
          <w:bCs w:val="0"/>
          <w:sz w:val="32"/>
          <w:szCs w:val="32"/>
        </w:rPr>
        <w:t>89%</w:t>
      </w:r>
      <w:r>
        <w:rPr>
          <w:rFonts w:hint="eastAsia" w:ascii="方正仿宋_GBK" w:hAnsi="方正仿宋_GBK" w:eastAsia="方正仿宋_GBK" w:cs="方正仿宋_GBK"/>
          <w:b w:val="0"/>
          <w:bCs w:val="0"/>
          <w:sz w:val="32"/>
          <w:szCs w:val="32"/>
        </w:rPr>
        <w:t>，如“袁大头”等）作为本位币，并配以辅币制度，中国由此短暂进入现代意义上的严格银本位制。这一阶段仅维持约两年半。</w:t>
      </w:r>
    </w:p>
    <w:p w14:paraId="3A340ED9">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1935年11月，国民政府推行法币改革，废除银本位，发行不与贵金属挂钩的法币（以中央银行、中国银行、交通银行三行钞票为法定货币），并通过与英镑、美元外汇挂钩的管理通货制度，正式终结了中国延续数百年的银本位传统。</w:t>
      </w:r>
    </w:p>
    <w:p w14:paraId="22A37FB9">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仿宋_GBK" w:hAnsi="方正仿宋_GBK" w:eastAsia="方正仿宋_GBK" w:cs="方正仿宋_GBK"/>
          <w:b w:val="0"/>
          <w:bCs w:val="0"/>
          <w:sz w:val="32"/>
          <w:szCs w:val="32"/>
        </w:rPr>
      </w:pPr>
      <w:r>
        <w:rPr>
          <w:rFonts w:hint="default" w:ascii="Times New Roman" w:hAnsi="Times New Roman" w:eastAsia="方正仿宋_GBK" w:cs="Times New Roman"/>
          <w:b w:val="0"/>
          <w:bCs w:val="0"/>
          <w:sz w:val="32"/>
          <w:szCs w:val="32"/>
        </w:rPr>
        <w:t>1901年，清政府与列强签订不平等的《辛丑条约》</w:t>
      </w:r>
      <w:r>
        <w:rPr>
          <w:rFonts w:hint="eastAsia" w:ascii="Times New Roman" w:hAnsi="Times New Roman" w:eastAsia="方正仿宋_GBK" w:cs="Times New Roman"/>
          <w:b w:val="0"/>
          <w:bCs w:val="0"/>
          <w:sz w:val="32"/>
          <w:szCs w:val="32"/>
          <w:lang w:eastAsia="zh-CN"/>
        </w:rPr>
        <w:t>。《</w:t>
      </w:r>
      <w:r>
        <w:rPr>
          <w:rFonts w:hint="default" w:ascii="Times New Roman" w:hAnsi="Times New Roman" w:eastAsia="方正仿宋_GBK" w:cs="Times New Roman"/>
          <w:b w:val="0"/>
          <w:bCs w:val="0"/>
          <w:sz w:val="32"/>
          <w:szCs w:val="32"/>
        </w:rPr>
        <w:t>条约</w:t>
      </w:r>
      <w:r>
        <w:rPr>
          <w:rFonts w:hint="eastAsia" w:ascii="Times New Roman" w:hAnsi="Times New Roman" w:eastAsia="方正仿宋_GBK" w:cs="Times New Roman"/>
          <w:b w:val="0"/>
          <w:bCs w:val="0"/>
          <w:sz w:val="32"/>
          <w:szCs w:val="32"/>
          <w:lang w:eastAsia="zh-CN"/>
        </w:rPr>
        <w:t>》</w:t>
      </w:r>
      <w:r>
        <w:rPr>
          <w:rFonts w:hint="default" w:ascii="Times New Roman" w:hAnsi="Times New Roman" w:eastAsia="方正仿宋_GBK" w:cs="Times New Roman"/>
          <w:b w:val="0"/>
          <w:bCs w:val="0"/>
          <w:sz w:val="32"/>
          <w:szCs w:val="32"/>
        </w:rPr>
        <w:t>规定，清政府承担的赔款本金为4.5亿两白银。这4.5亿两白银按比例分配给11个列</w:t>
      </w:r>
      <w:r>
        <w:rPr>
          <w:rFonts w:hint="eastAsia" w:ascii="方正仿宋_GBK" w:hAnsi="方正仿宋_GBK" w:eastAsia="方正仿宋_GBK" w:cs="方正仿宋_GBK"/>
          <w:b w:val="0"/>
          <w:bCs w:val="0"/>
          <w:sz w:val="32"/>
          <w:szCs w:val="32"/>
        </w:rPr>
        <w:t>强国家（八国联军加未直接出兵的比、西、荷），史称“庚子赔款”。</w:t>
      </w:r>
    </w:p>
    <w:p w14:paraId="40F1D1F1">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仿宋_GBK" w:hAnsi="方正仿宋_GBK" w:eastAsia="方正仿宋_GBK" w:cs="方正仿宋_GBK"/>
          <w:b w:val="0"/>
          <w:bCs w:val="0"/>
          <w:sz w:val="32"/>
          <w:szCs w:val="32"/>
          <w:lang w:eastAsia="zh-CN"/>
        </w:rPr>
      </w:pPr>
      <w:r>
        <w:rPr>
          <w:rFonts w:hint="eastAsia" w:ascii="方正仿宋_GBK" w:hAnsi="方正仿宋_GBK" w:eastAsia="方正仿宋_GBK" w:cs="方正仿宋_GBK"/>
          <w:b w:val="0"/>
          <w:bCs w:val="0"/>
          <w:sz w:val="32"/>
          <w:szCs w:val="32"/>
        </w:rPr>
        <w:t>当时，因为战争与灾荒，清政府的财政已濒临崩溃</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rPr>
        <w:t>据史料记载，一年财政收入仅</w:t>
      </w:r>
      <w:r>
        <w:rPr>
          <w:rFonts w:hint="default" w:ascii="Times New Roman" w:hAnsi="Times New Roman" w:eastAsia="方正仿宋_GBK" w:cs="Times New Roman"/>
          <w:b w:val="0"/>
          <w:bCs w:val="0"/>
          <w:sz w:val="32"/>
          <w:szCs w:val="32"/>
        </w:rPr>
        <w:t>约8000万至1亿两白银左右，而4.5亿两白银相当于清政府4至5年的全部收入。如果要求一次性付清，清政府根本拿不出这么多现银，</w:t>
      </w:r>
      <w:r>
        <w:rPr>
          <w:rFonts w:hint="eastAsia" w:ascii="方正仿宋_GBK" w:hAnsi="方正仿宋_GBK" w:eastAsia="方正仿宋_GBK" w:cs="方正仿宋_GBK"/>
          <w:b w:val="0"/>
          <w:bCs w:val="0"/>
          <w:sz w:val="32"/>
          <w:szCs w:val="32"/>
        </w:rPr>
        <w:t>必然立即破产或引发更大动乱。为了继续控制和榨取中国，列强也不希望中国彻底崩溃，所以采用“分期还款”方式，让中国“慢慢还”</w:t>
      </w:r>
      <w:r>
        <w:rPr>
          <w:rFonts w:hint="eastAsia" w:ascii="方正仿宋_GBK" w:hAnsi="方正仿宋_GBK" w:eastAsia="方正仿宋_GBK" w:cs="方正仿宋_GBK"/>
          <w:b w:val="0"/>
          <w:bCs w:val="0"/>
          <w:sz w:val="32"/>
          <w:szCs w:val="32"/>
          <w:lang w:eastAsia="zh-CN"/>
        </w:rPr>
        <w:t>。</w:t>
      </w:r>
    </w:p>
    <w:p w14:paraId="0A785FB7">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于是在</w:t>
      </w:r>
      <w:r>
        <w:rPr>
          <w:rFonts w:hint="eastAsia" w:ascii="Times New Roman" w:hAnsi="Times New Roman" w:eastAsia="方正仿宋_GBK" w:cs="Times New Roman"/>
          <w:b w:val="0"/>
          <w:bCs w:val="0"/>
          <w:sz w:val="32"/>
          <w:szCs w:val="32"/>
          <w:lang w:eastAsia="zh-CN"/>
        </w:rPr>
        <w:t>《</w:t>
      </w:r>
      <w:r>
        <w:rPr>
          <w:rFonts w:hint="default" w:ascii="Times New Roman" w:hAnsi="Times New Roman" w:eastAsia="方正仿宋_GBK" w:cs="Times New Roman"/>
          <w:b w:val="0"/>
          <w:bCs w:val="0"/>
          <w:sz w:val="32"/>
          <w:szCs w:val="32"/>
        </w:rPr>
        <w:t>条约</w:t>
      </w:r>
      <w:r>
        <w:rPr>
          <w:rFonts w:hint="eastAsia" w:ascii="Times New Roman" w:hAnsi="Times New Roman" w:eastAsia="方正仿宋_GBK" w:cs="Times New Roman"/>
          <w:b w:val="0"/>
          <w:bCs w:val="0"/>
          <w:sz w:val="32"/>
          <w:szCs w:val="32"/>
          <w:lang w:eastAsia="zh-CN"/>
        </w:rPr>
        <w:t>》</w:t>
      </w:r>
      <w:r>
        <w:rPr>
          <w:rFonts w:hint="default" w:ascii="Times New Roman" w:hAnsi="Times New Roman" w:eastAsia="方正仿宋_GBK" w:cs="Times New Roman"/>
          <w:b w:val="0"/>
          <w:bCs w:val="0"/>
          <w:sz w:val="32"/>
          <w:szCs w:val="32"/>
        </w:rPr>
        <w:t>中规定，这4.5亿两的赔款，分39年偿还期，年息4%，最终本息合计约9.8亿两白银。</w:t>
      </w:r>
    </w:p>
    <w:p w14:paraId="56D30F51">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default"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lang w:eastAsia="zh-CN"/>
        </w:rPr>
        <w:t>《</w:t>
      </w:r>
      <w:r>
        <w:rPr>
          <w:rFonts w:hint="default" w:ascii="Times New Roman" w:hAnsi="Times New Roman" w:eastAsia="方正仿宋_GBK" w:cs="Times New Roman"/>
          <w:b w:val="0"/>
          <w:bCs w:val="0"/>
          <w:sz w:val="32"/>
          <w:szCs w:val="32"/>
        </w:rPr>
        <w:t>条约</w:t>
      </w:r>
      <w:r>
        <w:rPr>
          <w:rFonts w:hint="eastAsia" w:ascii="Times New Roman" w:hAnsi="Times New Roman" w:eastAsia="方正仿宋_GBK" w:cs="Times New Roman"/>
          <w:b w:val="0"/>
          <w:bCs w:val="0"/>
          <w:sz w:val="32"/>
          <w:szCs w:val="32"/>
          <w:lang w:eastAsia="zh-CN"/>
        </w:rPr>
        <w:t>》</w:t>
      </w:r>
      <w:r>
        <w:rPr>
          <w:rFonts w:hint="default" w:ascii="Times New Roman" w:hAnsi="Times New Roman" w:eastAsia="方正仿宋_GBK" w:cs="Times New Roman"/>
          <w:b w:val="0"/>
          <w:bCs w:val="0"/>
          <w:sz w:val="32"/>
          <w:szCs w:val="32"/>
        </w:rPr>
        <w:t>还规定，赔款以海关税（当时中国最可靠的税收来源，由外国人控制的税务司管理）、常关税、盐税作抵押。这一抵押条款绝非简单的财政担保，而是列强在摧毁清政府军事与政治主权后，对中华民族经济生命实施的一次精密解剖与长期接管。</w:t>
      </w:r>
    </w:p>
    <w:p w14:paraId="59328775">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仿宋_GBK" w:hAnsi="方正仿宋_GBK" w:eastAsia="方正仿宋_GBK" w:cs="方正仿宋_GBK"/>
          <w:b w:val="0"/>
          <w:bCs w:val="0"/>
          <w:sz w:val="32"/>
          <w:szCs w:val="32"/>
        </w:rPr>
      </w:pPr>
      <w:r>
        <w:rPr>
          <w:rFonts w:hint="eastAsia" w:ascii="Times New Roman" w:hAnsi="Times New Roman" w:eastAsia="方正仿宋_GBK" w:cs="Times New Roman"/>
          <w:b w:val="0"/>
          <w:bCs w:val="0"/>
          <w:sz w:val="32"/>
          <w:szCs w:val="32"/>
        </w:rPr>
        <w:t>首先，抵押的三大税源构成了一个无死角的财政收入控制网</w:t>
      </w:r>
      <w:r>
        <w:rPr>
          <w:rFonts w:hint="default" w:ascii="Times New Roman" w:hAnsi="Times New Roman" w:eastAsia="方正仿宋_GBK" w:cs="Times New Roman"/>
          <w:b w:val="0"/>
          <w:bCs w:val="0"/>
          <w:sz w:val="32"/>
          <w:szCs w:val="32"/>
        </w:rPr>
        <w:t>。海关税作为进出口贸易的咽喉，自1854</w:t>
      </w:r>
      <w:r>
        <w:rPr>
          <w:rFonts w:hint="eastAsia" w:ascii="方正仿宋_GBK" w:hAnsi="方正仿宋_GBK" w:eastAsia="方正仿宋_GBK" w:cs="方正仿宋_GBK"/>
          <w:b w:val="0"/>
          <w:bCs w:val="0"/>
          <w:sz w:val="32"/>
          <w:szCs w:val="32"/>
        </w:rPr>
        <w:t>年上海海关由外籍税务司管理后，实际上已成为由外国主导运行的“国际共管”税收。其收入被《条约》强制规定须优先偿付外债、赔款及海关自身运营费用，之后所产生的“关余”才是在理论上可供中国政府申请领用的部分。这一机制意味着，清政府及之后的北洋政府不仅失去了税率的自主制定权（关税须协定），更在实际上丧失了对关税收入的自由支配权——国家最重要的财政源泉之一，其闸门由外人执掌。</w:t>
      </w:r>
    </w:p>
    <w:p w14:paraId="1412D963">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常关税是指在国内水陆交通要道、商品集散地（如运河、码头、集镇）对过往货物征收的一种国内通过税。它与“海关税”（对进出口货物征收的国境关税）相对应，是“关”之“常”税。常关遍布运河、陆路等国内商道，是内地商品流通的血管。</w:t>
      </w:r>
    </w:p>
    <w:p w14:paraId="26D7B0B8">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default"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lang w:eastAsia="zh-CN"/>
        </w:rPr>
        <w:t>《</w:t>
      </w:r>
      <w:r>
        <w:rPr>
          <w:rFonts w:hint="default" w:ascii="Times New Roman" w:hAnsi="Times New Roman" w:eastAsia="方正仿宋_GBK" w:cs="Times New Roman"/>
          <w:b w:val="0"/>
          <w:bCs w:val="0"/>
          <w:sz w:val="32"/>
          <w:szCs w:val="32"/>
        </w:rPr>
        <w:t>条约</w:t>
      </w:r>
      <w:r>
        <w:rPr>
          <w:rFonts w:hint="eastAsia" w:ascii="Times New Roman" w:hAnsi="Times New Roman" w:eastAsia="方正仿宋_GBK" w:cs="Times New Roman"/>
          <w:b w:val="0"/>
          <w:bCs w:val="0"/>
          <w:sz w:val="32"/>
          <w:szCs w:val="32"/>
          <w:lang w:eastAsia="zh-CN"/>
        </w:rPr>
        <w:t>》</w:t>
      </w:r>
      <w:r>
        <w:rPr>
          <w:rFonts w:hint="eastAsia" w:ascii="方正仿宋_GBK" w:hAnsi="方正仿宋_GBK" w:eastAsia="方正仿宋_GBK" w:cs="方正仿宋_GBK"/>
          <w:b w:val="0"/>
          <w:bCs w:val="0"/>
          <w:sz w:val="32"/>
          <w:szCs w:val="32"/>
        </w:rPr>
        <w:t>将常关税作为赔款抵押后，其征收和管理权在很大程度上被列强攫取。</w:t>
      </w:r>
      <w:r>
        <w:rPr>
          <w:rFonts w:hint="eastAsia" w:ascii="Times New Roman" w:hAnsi="Times New Roman" w:eastAsia="方正仿宋_GBK" w:cs="Times New Roman"/>
          <w:b w:val="0"/>
          <w:bCs w:val="0"/>
          <w:sz w:val="32"/>
          <w:szCs w:val="32"/>
          <w:lang w:eastAsia="zh-CN"/>
        </w:rPr>
        <w:t>《</w:t>
      </w:r>
      <w:r>
        <w:rPr>
          <w:rFonts w:hint="default" w:ascii="Times New Roman" w:hAnsi="Times New Roman" w:eastAsia="方正仿宋_GBK" w:cs="Times New Roman"/>
          <w:b w:val="0"/>
          <w:bCs w:val="0"/>
          <w:sz w:val="32"/>
          <w:szCs w:val="32"/>
        </w:rPr>
        <w:t>条约</w:t>
      </w:r>
      <w:r>
        <w:rPr>
          <w:rFonts w:hint="eastAsia" w:ascii="Times New Roman" w:hAnsi="Times New Roman" w:eastAsia="方正仿宋_GBK" w:cs="Times New Roman"/>
          <w:b w:val="0"/>
          <w:bCs w:val="0"/>
          <w:sz w:val="32"/>
          <w:szCs w:val="32"/>
          <w:lang w:eastAsia="zh-CN"/>
        </w:rPr>
        <w:t>》</w:t>
      </w:r>
      <w:r>
        <w:rPr>
          <w:rFonts w:hint="eastAsia" w:ascii="方正仿宋_GBK" w:hAnsi="方正仿宋_GBK" w:eastAsia="方正仿宋_GBK" w:cs="方正仿宋_GBK"/>
          <w:b w:val="0"/>
          <w:bCs w:val="0"/>
          <w:sz w:val="32"/>
          <w:szCs w:val="32"/>
        </w:rPr>
        <w:t>规定，通商口岸五</w:t>
      </w:r>
      <w:r>
        <w:rPr>
          <w:rFonts w:hint="default" w:ascii="Times New Roman" w:hAnsi="Times New Roman" w:eastAsia="方正仿宋_GBK" w:cs="Times New Roman"/>
          <w:b w:val="0"/>
          <w:bCs w:val="0"/>
          <w:sz w:val="32"/>
          <w:szCs w:val="32"/>
        </w:rPr>
        <w:t>十里内的常关划归外国人管理的海关税务司兼管。这首先意味着主权的丧失，中国最重要的国内税收之一，其控制权部分转移到了外国人手中；其次，将常关税抵押，等于允许列强在清政府内部税源上建立直接留置权，国内商业活力被转化为对列强的现金流输送。</w:t>
      </w:r>
    </w:p>
    <w:p w14:paraId="0ABB250A">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仿宋_GBK" w:hAnsi="方正仿宋_GBK" w:eastAsia="方正仿宋_GBK" w:cs="方正仿宋_GBK"/>
          <w:b w:val="0"/>
          <w:bCs w:val="0"/>
          <w:sz w:val="32"/>
          <w:szCs w:val="32"/>
        </w:rPr>
      </w:pPr>
      <w:r>
        <w:rPr>
          <w:rFonts w:hint="default" w:ascii="Times New Roman" w:hAnsi="Times New Roman" w:eastAsia="方正仿宋_GBK" w:cs="Times New Roman"/>
          <w:b w:val="0"/>
          <w:bCs w:val="0"/>
          <w:sz w:val="32"/>
          <w:szCs w:val="32"/>
        </w:rPr>
        <w:t>盐税的抵押，是其中最致命</w:t>
      </w:r>
      <w:r>
        <w:rPr>
          <w:rFonts w:hint="eastAsia" w:ascii="方正仿宋_GBK" w:hAnsi="方正仿宋_GBK" w:eastAsia="方正仿宋_GBK" w:cs="方正仿宋_GBK"/>
          <w:b w:val="0"/>
          <w:bCs w:val="0"/>
          <w:sz w:val="32"/>
          <w:szCs w:val="32"/>
        </w:rPr>
        <w:t>的一环。食盐专卖制度（盐法）是中国延续千年的核心财政支柱，其收入规模庞大且极其稳定，一直是历代王朝最重要的中央财政支柱之一，被称为“天下第一税”。将盐税拱手让出作为抵押，相当于主动交出自家国库的钥匙。</w:t>
      </w:r>
    </w:p>
    <w:p w14:paraId="5DD65768">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仿宋_GBK" w:hAnsi="方正仿宋_GBK" w:eastAsia="方正仿宋_GBK" w:cs="方正仿宋_GBK"/>
          <w:b w:val="0"/>
          <w:bCs w:val="0"/>
          <w:sz w:val="32"/>
          <w:szCs w:val="32"/>
        </w:rPr>
      </w:pPr>
      <w:r>
        <w:rPr>
          <w:rFonts w:hint="default" w:ascii="Times New Roman" w:hAnsi="Times New Roman" w:eastAsia="方正仿宋_GBK" w:cs="Times New Roman"/>
          <w:b w:val="0"/>
          <w:bCs w:val="0"/>
          <w:sz w:val="32"/>
          <w:szCs w:val="32"/>
        </w:rPr>
        <w:t>1913年，</w:t>
      </w:r>
      <w:r>
        <w:rPr>
          <w:rFonts w:hint="eastAsia" w:ascii="方正仿宋_GBK" w:hAnsi="方正仿宋_GBK" w:eastAsia="方正仿宋_GBK" w:cs="方正仿宋_GBK"/>
          <w:b w:val="0"/>
          <w:bCs w:val="0"/>
          <w:sz w:val="32"/>
          <w:szCs w:val="32"/>
        </w:rPr>
        <w:t>列强更是推动成立了“盐务稽核总所”，由外籍的“稽核会办”掌握实权，所有盐税收入直存外国银行，优先支付赔款。中国政府能动用的仅是支付后的余额（称为“盐余”），至此，中国历史最悠久、最稳定的中央税源彻底被列强掌控，中国政府动用自己税收的自主权完全丧失。</w:t>
      </w:r>
    </w:p>
    <w:p w14:paraId="0478A374">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此外，列强银行经收赔款的机制，完成了金融层面的闭环控制。条约规定赔款由汇丰、德华、道胜等外国银行经理收存与汇划。这意味着：</w:t>
      </w:r>
    </w:p>
    <w:p w14:paraId="4B0235CC">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第一，巨额资金从征收、储存到汇出国外的全过程，完全脱离了中国本土银钱体系，在中国境内创造了一个由外国资本主导的“金融飞地”。</w:t>
      </w:r>
    </w:p>
    <w:p w14:paraId="6E6A9015">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第二，这些银行借此积累了巨额营运资本，极大地增强了它们在中国金融市场上的垄断地位，反而进一步挤压了中国本土金融机构的生存空间。</w:t>
      </w:r>
    </w:p>
    <w:p w14:paraId="3986BCD1">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第三，清政府乃至后来的北洋政府，为获取维持运转所必需的“关余”、“盐余”，不得不与这些银行及背后的公使团频繁磋商，财政甚至行政自主权在无形中被进一步侵蚀。</w:t>
      </w:r>
    </w:p>
    <w:p w14:paraId="549CC725">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所以，《辛丑条约》的赔款担保条款，通过将中国从外贸到内贸、从商品税到必需品专卖税的整套核心财政体系层层质押，并交由外国行政与金融机构直接经手，实现了从“征税权”到“存放权”的全程掌控。这不仅仅是一次天文数字的勒索，更是一套设计精密、影响深远的“财政-金融”殖民体系。它确保了中国在未来数十年里，其国家资源的流向将被持续导向西方，而自身现代化转型所需的资本积累则被彻底抽空与扼制。</w:t>
      </w:r>
    </w:p>
    <w:p w14:paraId="7C801430">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辛亥革命后，清王朝虽已覆灭，但新生的中华民国政府在国际列强的强大压力和不平等条约的束缚下，仍不得不继续承认并支付庚子赔款的剩余部分——北洋政府和后来的国民政府在财政极端困难、军阀混战、内忧外患交织的局面中，多次被迫维持“债信”，甚至在抗日战争爆发后仍继续向日本等国支付部分赔款，直至</w:t>
      </w:r>
      <w:r>
        <w:rPr>
          <w:rFonts w:hint="default" w:ascii="Times New Roman" w:hAnsi="Times New Roman" w:eastAsia="方正仿宋_GBK" w:cs="Times New Roman"/>
          <w:b w:val="0"/>
          <w:bCs w:val="0"/>
          <w:sz w:val="32"/>
          <w:szCs w:val="32"/>
        </w:rPr>
        <w:t>1939</w:t>
      </w:r>
      <w:r>
        <w:rPr>
          <w:rFonts w:hint="eastAsia" w:ascii="方正仿宋_GBK" w:hAnsi="方正仿宋_GBK" w:eastAsia="方正仿宋_GBK" w:cs="方正仿宋_GBK"/>
          <w:b w:val="0"/>
          <w:bCs w:val="0"/>
          <w:sz w:val="32"/>
          <w:szCs w:val="32"/>
        </w:rPr>
        <w:t>年初才正式全面停止。</w:t>
      </w:r>
    </w:p>
    <w:p w14:paraId="3ABE1277">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这种无奈的延续，不仅源于条约本身的国际法效力与列强的集体强权，更反映了半殖民地中国在主权尚未完全恢复前的深刻屈辱与无力回天：革命推翻了帝制，却难以立即挣脱帝国主义强加的经济枷锁，这笔沉重债务直至二战期间才在盟国框架下被彻底废除。</w:t>
      </w:r>
    </w:p>
    <w:p w14:paraId="4DC60DAA">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default" w:ascii="Times New Roman" w:hAnsi="Times New Roman" w:eastAsia="方正仿宋_GBK" w:cs="Times New Roman"/>
          <w:b w:val="0"/>
          <w:bCs w:val="0"/>
          <w:sz w:val="32"/>
          <w:szCs w:val="32"/>
        </w:rPr>
      </w:pPr>
      <w:r>
        <w:rPr>
          <w:rFonts w:hint="eastAsia" w:ascii="方正仿宋_GBK" w:hAnsi="方正仿宋_GBK" w:eastAsia="方正仿宋_GBK" w:cs="方正仿宋_GBK"/>
          <w:b w:val="0"/>
          <w:bCs w:val="0"/>
          <w:sz w:val="32"/>
          <w:szCs w:val="32"/>
        </w:rPr>
        <w:t>庚子赔款在实际支付过程中，因汇率（“付金付银”争议）、退款（如美国部分用于清华建校）、一战后部分豁免等，最终中国共支付了约</w:t>
      </w:r>
      <w:r>
        <w:rPr>
          <w:rFonts w:hint="default" w:ascii="Times New Roman" w:hAnsi="Times New Roman" w:eastAsia="方正仿宋_GBK" w:cs="Times New Roman"/>
          <w:b w:val="0"/>
          <w:bCs w:val="0"/>
          <w:sz w:val="32"/>
          <w:szCs w:val="32"/>
        </w:rPr>
        <w:t>6.5亿两左右（至1938年左右）。</w:t>
      </w:r>
    </w:p>
    <w:p w14:paraId="21DA5268">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简言之，分期偿还是列强“榨而不死”的精明设计，既最大化经济收益，又维持中国作为“半殖民地”的长期可控状态。这笔庚子赔款成为中国近代史上最沉重的财政负担之一，每年的偿付赔款，大约占到中国</w:t>
      </w:r>
      <w:r>
        <w:rPr>
          <w:rFonts w:hint="default" w:ascii="Times New Roman" w:hAnsi="Times New Roman" w:eastAsia="方正仿宋_GBK" w:cs="Times New Roman"/>
          <w:b w:val="0"/>
          <w:bCs w:val="0"/>
          <w:sz w:val="32"/>
          <w:szCs w:val="32"/>
        </w:rPr>
        <w:t>30%以上的财政收入，直接加剧了中国的经济和</w:t>
      </w:r>
      <w:r>
        <w:rPr>
          <w:rFonts w:hint="eastAsia" w:ascii="方正仿宋_GBK" w:hAnsi="方正仿宋_GBK" w:eastAsia="方正仿宋_GBK" w:cs="方正仿宋_GBK"/>
          <w:b w:val="0"/>
          <w:bCs w:val="0"/>
          <w:sz w:val="32"/>
          <w:szCs w:val="32"/>
        </w:rPr>
        <w:t>社会危机。</w:t>
      </w:r>
    </w:p>
    <w:p w14:paraId="6E28F186">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明清时期，中国的货币制度极为复杂，尤其在白银流通领域，全国各地存在着数十种成色、重量不一的实银两（如上海的“规元银”、天津的“行化银”、汉口的“洋例银”），以及由此衍生出的用于记账的不同银两标准。这种“两”制林立、折算繁琐的局面，不仅严重阻碍国内商业，更让试图从中国稳定获取赔款与贸易利益的列强深感头痛。</w:t>
      </w:r>
    </w:p>
    <w:p w14:paraId="44517329">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仿宋_GBK" w:hAnsi="方正仿宋_GBK" w:eastAsia="方正仿宋_GBK" w:cs="方正仿宋_GBK"/>
          <w:b w:val="0"/>
          <w:bCs w:val="0"/>
          <w:sz w:val="32"/>
          <w:szCs w:val="32"/>
        </w:rPr>
      </w:pPr>
      <w:r>
        <w:rPr>
          <w:rFonts w:hint="default" w:ascii="Times New Roman" w:hAnsi="Times New Roman" w:eastAsia="方正仿宋_GBK" w:cs="Times New Roman"/>
          <w:b w:val="0"/>
          <w:bCs w:val="0"/>
          <w:sz w:val="32"/>
          <w:szCs w:val="32"/>
        </w:rPr>
        <w:t>正因如此，当庚子赔款的担保和主要支付来源被锁定为中国海关税收后，列强便在《辛丑条约》中直接指定</w:t>
      </w:r>
      <w:r>
        <w:rPr>
          <w:rFonts w:hint="eastAsia" w:ascii="方正仿宋_GBK" w:hAnsi="方正仿宋_GBK" w:eastAsia="方正仿宋_GBK" w:cs="方正仿宋_GBK"/>
          <w:b w:val="0"/>
          <w:bCs w:val="0"/>
          <w:sz w:val="32"/>
          <w:szCs w:val="32"/>
        </w:rPr>
        <w:t>赔款以“海关两”</w:t>
      </w:r>
      <w:r>
        <w:rPr>
          <w:rFonts w:hint="default" w:ascii="Times New Roman" w:hAnsi="Times New Roman" w:eastAsia="方正仿宋_GBK" w:cs="Times New Roman"/>
          <w:b w:val="0"/>
          <w:bCs w:val="0"/>
          <w:sz w:val="32"/>
          <w:szCs w:val="32"/>
        </w:rPr>
        <w:t>（Haikwan Tael，</w:t>
      </w:r>
      <w:r>
        <w:rPr>
          <w:rFonts w:hint="eastAsia" w:ascii="方正仿宋_GBK" w:hAnsi="方正仿宋_GBK" w:eastAsia="方正仿宋_GBK" w:cs="方正仿宋_GBK"/>
          <w:b w:val="0"/>
          <w:bCs w:val="0"/>
          <w:sz w:val="32"/>
          <w:szCs w:val="32"/>
        </w:rPr>
        <w:t>也称关平两、关平银）这一海关专用记账单位来计算和支付。</w:t>
      </w:r>
    </w:p>
    <w:p w14:paraId="3CB13817">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“海关两”是</w:t>
      </w:r>
      <w:r>
        <w:rPr>
          <w:rFonts w:hint="default" w:ascii="Times New Roman" w:hAnsi="Times New Roman" w:eastAsia="方正仿宋_GBK" w:cs="Times New Roman"/>
          <w:b w:val="0"/>
          <w:bCs w:val="0"/>
          <w:sz w:val="32"/>
          <w:szCs w:val="32"/>
        </w:rPr>
        <w:t>19世纪70年</w:t>
      </w:r>
      <w:r>
        <w:rPr>
          <w:rFonts w:hint="eastAsia" w:ascii="方正仿宋_GBK" w:hAnsi="方正仿宋_GBK" w:eastAsia="方正仿宋_GBK" w:cs="方正仿宋_GBK"/>
          <w:b w:val="0"/>
          <w:bCs w:val="0"/>
          <w:sz w:val="32"/>
          <w:szCs w:val="32"/>
        </w:rPr>
        <w:t>代后，由外籍总税务司赫德主导，为统一各通商口岸混乱的银两折算标准而制定的“虚银两”记账单位。它并非实体货币，而是专用于海关征税、国际贸易以及以关税为担保的外债与赔款结算的核心标准，实际支付时再按约定比率兑换成当地实银。</w:t>
      </w:r>
    </w:p>
    <w:p w14:paraId="73182860">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通过将赔款绑定于这一由外国人控制的海关体系内部生成的技术标准，列强进一步确保了赔款计算与支付的“精确”、“统一”与“可靠”——这实质上是从计量单位层面，将中国的对外债务结算更深地嵌入了由列强主导的国际贸易与金融规则体系之中。</w:t>
      </w:r>
    </w:p>
    <w:p w14:paraId="11208168">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default" w:ascii="Times New Roman" w:hAnsi="Times New Roman" w:eastAsia="方正仿宋_GBK" w:cs="Times New Roman"/>
          <w:b w:val="0"/>
          <w:bCs w:val="0"/>
          <w:sz w:val="32"/>
          <w:szCs w:val="32"/>
        </w:rPr>
      </w:pPr>
      <w:r>
        <w:rPr>
          <w:rFonts w:hint="eastAsia" w:ascii="方正仿宋_GBK" w:hAnsi="方正仿宋_GBK" w:eastAsia="方正仿宋_GBK" w:cs="方正仿宋_GBK"/>
          <w:b w:val="0"/>
          <w:bCs w:val="0"/>
          <w:sz w:val="32"/>
          <w:szCs w:val="32"/>
        </w:rPr>
        <w:t>清代的“海关两”</w:t>
      </w:r>
      <w:r>
        <w:rPr>
          <w:rFonts w:hint="default" w:ascii="Times New Roman" w:hAnsi="Times New Roman" w:eastAsia="方正仿宋_GBK" w:cs="Times New Roman"/>
          <w:b w:val="0"/>
          <w:bCs w:val="0"/>
          <w:sz w:val="32"/>
          <w:szCs w:val="32"/>
        </w:rPr>
        <w:t>（Haikwan Tael）约为37.8克，国际贵金</w:t>
      </w:r>
      <w:r>
        <w:rPr>
          <w:rFonts w:hint="eastAsia" w:ascii="方正仿宋_GBK" w:hAnsi="方正仿宋_GBK" w:eastAsia="方正仿宋_GBK" w:cs="方正仿宋_GBK"/>
          <w:b w:val="0"/>
          <w:bCs w:val="0"/>
          <w:sz w:val="32"/>
          <w:szCs w:val="32"/>
        </w:rPr>
        <w:t>属交易市场上使用的“金衡盎司”</w:t>
      </w:r>
      <w:r>
        <w:rPr>
          <w:rFonts w:hint="default" w:ascii="Times New Roman" w:hAnsi="Times New Roman" w:eastAsia="方正仿宋_GBK" w:cs="Times New Roman"/>
          <w:b w:val="0"/>
          <w:bCs w:val="0"/>
          <w:sz w:val="32"/>
          <w:szCs w:val="32"/>
        </w:rPr>
        <w:t>（troy ounce）约为31.10克。因此，1海关两约等于1.216金衡盎司（37.8÷31.1035≈1.216）。由此可以推算出，庚子的4.5亿两白银，相当于5.47亿金衡盎司白银；而含利息的9.8亿两，则相当于11.95亿金衡盎司。</w:t>
      </w:r>
    </w:p>
    <w:p w14:paraId="7FF60C92">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以近日大涨后的110美元/盎司的白银现货价格计算，目前，这4.5亿两和9.8亿两白银，市场价值分别为602亿美元和1315亿美元</w:t>
      </w:r>
      <w:r>
        <w:rPr>
          <w:rFonts w:hint="eastAsia" w:ascii="Times New Roman" w:hAnsi="Times New Roman" w:eastAsia="方正仿宋_GBK" w:cs="Times New Roman"/>
          <w:b w:val="0"/>
          <w:bCs w:val="0"/>
          <w:sz w:val="32"/>
          <w:szCs w:val="32"/>
          <w:lang w:eastAsia="zh-CN"/>
        </w:rPr>
        <w:t>（</w:t>
      </w:r>
      <w:r>
        <w:rPr>
          <w:rFonts w:hint="eastAsia" w:ascii="Times New Roman" w:hAnsi="Times New Roman" w:eastAsia="方正仿宋_GBK" w:cs="Times New Roman"/>
          <w:b w:val="0"/>
          <w:bCs w:val="0"/>
          <w:sz w:val="32"/>
          <w:szCs w:val="32"/>
          <w:lang w:val="en-US" w:eastAsia="zh-CN"/>
        </w:rPr>
        <w:t>注：若按照清末购买力换算价值，则分别约为1380亿美元和3000亿美元</w:t>
      </w:r>
      <w:r>
        <w:rPr>
          <w:rFonts w:hint="eastAsia" w:ascii="Times New Roman" w:hAnsi="Times New Roman" w:eastAsia="方正仿宋_GBK" w:cs="Times New Roman"/>
          <w:b w:val="0"/>
          <w:bCs w:val="0"/>
          <w:sz w:val="32"/>
          <w:szCs w:val="32"/>
          <w:lang w:eastAsia="zh-CN"/>
        </w:rPr>
        <w:t>）</w:t>
      </w:r>
      <w:r>
        <w:rPr>
          <w:rFonts w:hint="default" w:ascii="Times New Roman" w:hAnsi="Times New Roman" w:eastAsia="方正仿宋_GBK" w:cs="Times New Roman"/>
          <w:b w:val="0"/>
          <w:bCs w:val="0"/>
          <w:sz w:val="32"/>
          <w:szCs w:val="32"/>
        </w:rPr>
        <w:t>。</w:t>
      </w:r>
    </w:p>
    <w:p w14:paraId="7552A01F">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1月14日，中国海关总署发布全年数据：2025年中国大陆（货物贸易）全年贸易顺差创历史新高，达到约1.2万亿美元。换言之，</w:t>
      </w:r>
      <w:r>
        <w:rPr>
          <w:rFonts w:hint="eastAsia" w:ascii="Times New Roman" w:hAnsi="Times New Roman" w:eastAsia="方正仿宋_GBK" w:cs="Times New Roman"/>
          <w:b w:val="0"/>
          <w:bCs w:val="0"/>
          <w:color w:val="auto"/>
          <w:sz w:val="32"/>
          <w:szCs w:val="32"/>
          <w:lang w:val="en-US" w:eastAsia="zh-CN"/>
        </w:rPr>
        <w:t>2025</w:t>
      </w:r>
      <w:r>
        <w:rPr>
          <w:rFonts w:hint="default" w:ascii="Times New Roman" w:hAnsi="Times New Roman" w:eastAsia="方正仿宋_GBK" w:cs="Times New Roman"/>
          <w:b w:val="0"/>
          <w:bCs w:val="0"/>
          <w:color w:val="auto"/>
          <w:sz w:val="32"/>
          <w:szCs w:val="32"/>
        </w:rPr>
        <w:t>年</w:t>
      </w:r>
      <w:r>
        <w:rPr>
          <w:rFonts w:hint="default" w:ascii="Times New Roman" w:hAnsi="Times New Roman" w:eastAsia="方正仿宋_GBK" w:cs="Times New Roman"/>
          <w:b w:val="0"/>
          <w:bCs w:val="0"/>
          <w:sz w:val="32"/>
          <w:szCs w:val="32"/>
        </w:rPr>
        <w:t>中国的贸易顺差规模，已相当于庚子赔款本息合计的10倍以上。</w:t>
      </w:r>
    </w:p>
    <w:p w14:paraId="452F5958">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eastAsia" w:ascii="Times New Roman" w:hAnsi="Times New Roman" w:eastAsia="方正仿宋_GBK" w:cs="Times New Roman"/>
          <w:b w:val="0"/>
          <w:bCs w:val="0"/>
          <w:sz w:val="32"/>
          <w:szCs w:val="32"/>
          <w:lang w:eastAsia="zh-CN"/>
        </w:rPr>
      </w:pPr>
      <w:r>
        <w:rPr>
          <w:rFonts w:hint="eastAsia" w:ascii="Times New Roman" w:hAnsi="Times New Roman" w:eastAsia="方正仿宋_GBK" w:cs="Times New Roman"/>
          <w:b w:val="0"/>
          <w:bCs w:val="0"/>
          <w:sz w:val="32"/>
          <w:szCs w:val="32"/>
          <w:lang w:eastAsia="zh-CN"/>
        </w:rPr>
        <w:drawing>
          <wp:inline distT="0" distB="0" distL="114300" distR="114300">
            <wp:extent cx="5607685" cy="2392045"/>
            <wp:effectExtent l="0" t="0" r="12065" b="8255"/>
            <wp:docPr id="3" name="图片 3" descr="微信图片_20260128171452_541_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60128171452_541_76"/>
                    <pic:cNvPicPr>
                      <a:picLocks noChangeAspect="1"/>
                    </pic:cNvPicPr>
                  </pic:nvPicPr>
                  <pic:blipFill>
                    <a:blip r:embed="rId6"/>
                    <a:stretch>
                      <a:fillRect/>
                    </a:stretch>
                  </pic:blipFill>
                  <pic:spPr>
                    <a:xfrm>
                      <a:off x="0" y="0"/>
                      <a:ext cx="5607685" cy="2392045"/>
                    </a:xfrm>
                    <a:prstGeom prst="rect">
                      <a:avLst/>
                    </a:prstGeom>
                  </pic:spPr>
                </pic:pic>
              </a:graphicData>
            </a:graphic>
          </wp:inline>
        </w:drawing>
      </w:r>
    </w:p>
    <w:p w14:paraId="3D4CB9DB">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这番跨越世纪的换算，如同一把冰冷而精准的尺，丈量出两段截然不同的国运。这把尺，量出的不仅是财富的盈缩，更是发展道路与历史主动权的天渊之别。</w:t>
      </w:r>
    </w:p>
    <w:p w14:paraId="6D4CDAAB">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仿宋_GBK" w:hAnsi="方正仿宋_GBK" w:eastAsia="方正仿宋_GBK" w:cs="方正仿宋_GBK"/>
          <w:b w:val="0"/>
          <w:bCs w:val="0"/>
          <w:sz w:val="32"/>
          <w:szCs w:val="32"/>
        </w:rPr>
      </w:pPr>
      <w:r>
        <w:rPr>
          <w:rFonts w:hint="default" w:ascii="Times New Roman" w:hAnsi="Times New Roman" w:eastAsia="方正仿宋_GBK" w:cs="Times New Roman"/>
          <w:b w:val="0"/>
          <w:bCs w:val="0"/>
          <w:sz w:val="32"/>
          <w:szCs w:val="32"/>
        </w:rPr>
        <w:t>昔日那座几乎压垮民族的、高达11.95亿盎</w:t>
      </w:r>
      <w:r>
        <w:rPr>
          <w:rFonts w:hint="eastAsia" w:ascii="方正仿宋_GBK" w:hAnsi="方正仿宋_GBK" w:eastAsia="方正仿宋_GBK" w:cs="方正仿宋_GBK"/>
          <w:b w:val="0"/>
          <w:bCs w:val="0"/>
          <w:sz w:val="32"/>
          <w:szCs w:val="32"/>
        </w:rPr>
        <w:t>司白银的债务山峰，其价值在今天中国一年的贸易顺差面前，已不过十分之一。这绝非简单的数字游戏，而是从“天价罚单”到“世界工厂”的史诗位移。当年那笔赔款，是列强用枪炮在条约上刻下的国力差值——农业帝国在全球工业文明前的脆弱，被折算成白银，分</w:t>
      </w:r>
      <w:r>
        <w:rPr>
          <w:rFonts w:hint="default" w:ascii="Times New Roman" w:hAnsi="Times New Roman" w:eastAsia="方正仿宋_GBK" w:cs="Times New Roman"/>
          <w:b w:val="0"/>
          <w:bCs w:val="0"/>
          <w:sz w:val="32"/>
          <w:szCs w:val="32"/>
        </w:rPr>
        <w:t>39年偿付。</w:t>
      </w:r>
      <w:r>
        <w:rPr>
          <w:rFonts w:hint="eastAsia" w:ascii="方正仿宋_GBK" w:hAnsi="方正仿宋_GBK" w:eastAsia="方正仿宋_GBK" w:cs="方正仿宋_GBK"/>
          <w:b w:val="0"/>
          <w:bCs w:val="0"/>
          <w:sz w:val="32"/>
          <w:szCs w:val="32"/>
        </w:rPr>
        <w:t>今天这贸易顺差，则是中国在全球化市场中凭竞争力挣得的国力盈余。</w:t>
      </w:r>
    </w:p>
    <w:p w14:paraId="537AC34E">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这盈与亏的翻转，背后是人间正道的沧桑：从被嵌入他人的金融规则，到掌握自身的经济命脉；从海关税收被抵押一空，到货物通衢四海，财富奔涌归流；从以“两”为单位的白银被迫流向西方，到以“元”为锚的货币体系在东方崛起。</w:t>
      </w:r>
    </w:p>
    <w:p w14:paraId="724C857C">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“往事越千年，魏武挥鞭，东临碣石有遗篇。萧瑟秋风今又是，换了人间。”</w:t>
      </w:r>
    </w:p>
    <w:p w14:paraId="6DD35906">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3952" w:firstLineChars="1300"/>
        <w:jc w:val="both"/>
        <w:textAlignment w:val="auto"/>
        <w:outlineLvl w:val="9"/>
        <w:rPr>
          <w:rFonts w:hint="default" w:ascii="Times New Roman" w:hAnsi="Times New Roman" w:eastAsia="方正楷体_GBK" w:cs="方正楷体_GBK"/>
          <w:b/>
          <w:bCs/>
          <w:color w:val="FF0000"/>
          <w:spacing w:val="0"/>
          <w:kern w:val="2"/>
          <w:sz w:val="32"/>
          <w:szCs w:val="32"/>
          <w:lang w:val="en-US" w:eastAsia="zh-CN" w:bidi="ar-SA"/>
        </w:rPr>
      </w:pPr>
      <w:r>
        <w:rPr>
          <w:rFonts w:hint="default" w:ascii="Times New Roman" w:hAnsi="Times New Roman" w:eastAsia="方正楷体_GBK" w:cs="方正楷体_GBK"/>
          <w:b/>
          <w:bCs/>
          <w:color w:val="FF0000"/>
          <w:spacing w:val="0"/>
          <w:kern w:val="2"/>
          <w:sz w:val="32"/>
          <w:szCs w:val="32"/>
          <w:lang w:val="en-US" w:eastAsia="zh-CN" w:bidi="ar-SA"/>
        </w:rPr>
        <w:t>（</w:t>
      </w:r>
      <w:r>
        <w:rPr>
          <w:rFonts w:hint="eastAsia" w:ascii="Times New Roman" w:hAnsi="Times New Roman" w:eastAsia="方正楷体_GBK" w:cs="方正楷体_GBK"/>
          <w:b/>
          <w:bCs/>
          <w:color w:val="FF0000"/>
          <w:spacing w:val="0"/>
          <w:kern w:val="2"/>
          <w:sz w:val="32"/>
          <w:szCs w:val="32"/>
          <w:lang w:val="en-US" w:eastAsia="zh-CN" w:bidi="ar-SA"/>
        </w:rPr>
        <w:t>发展研究部 周斌、左亮</w:t>
      </w:r>
      <w:r>
        <w:rPr>
          <w:rFonts w:hint="default" w:ascii="Times New Roman" w:hAnsi="Times New Roman" w:eastAsia="方正楷体_GBK" w:cs="方正楷体_GBK"/>
          <w:b/>
          <w:bCs/>
          <w:color w:val="FF0000"/>
          <w:spacing w:val="0"/>
          <w:kern w:val="2"/>
          <w:sz w:val="32"/>
          <w:szCs w:val="32"/>
          <w:lang w:val="en-US" w:eastAsia="zh-CN" w:bidi="ar-SA"/>
        </w:rPr>
        <w:t>）</w:t>
      </w:r>
    </w:p>
    <w:p w14:paraId="4EEC045A">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08" w:firstLineChars="200"/>
        <w:jc w:val="both"/>
        <w:textAlignment w:val="auto"/>
        <w:outlineLvl w:val="9"/>
        <w:rPr>
          <w:rFonts w:hint="default" w:ascii="Times New Roman" w:hAnsi="Times New Roman" w:eastAsia="方正楷体_GBK" w:cs="方正楷体_GBK"/>
          <w:b/>
          <w:bCs/>
          <w:color w:val="FF0000"/>
          <w:spacing w:val="0"/>
          <w:kern w:val="2"/>
          <w:sz w:val="32"/>
          <w:szCs w:val="32"/>
          <w:lang w:val="en-US" w:eastAsia="zh-CN" w:bidi="ar-SA"/>
        </w:rPr>
      </w:pPr>
      <w:r>
        <w:rPr>
          <w:rFonts w:hint="eastAsia" w:ascii="Times New Roman" w:hAnsi="Times New Roman" w:eastAsia="方正仿宋_GBK" w:cs="Times New Roman"/>
          <w:b w:val="0"/>
          <w:bCs w:val="0"/>
          <w:sz w:val="32"/>
          <w:szCs w:val="32"/>
          <w:lang w:val="en-US" w:eastAsia="zh-CN"/>
        </w:rPr>
        <w:t xml:space="preserve">                       </w:t>
      </w:r>
    </w:p>
    <w:p w14:paraId="6C8CA3BB">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both"/>
        <w:textAlignment w:val="auto"/>
        <w:outlineLvl w:val="1"/>
        <w:rPr>
          <w:rFonts w:hint="eastAsia" w:ascii="方正小标宋_GBK" w:hAnsi="方正小标宋_GBK" w:eastAsia="方正小标宋_GBK" w:cs="方正小标宋_GBK"/>
          <w:b/>
          <w:bCs/>
          <w:color w:val="0000FF"/>
          <w:sz w:val="32"/>
          <w:szCs w:val="32"/>
          <w:highlight w:val="yellow"/>
          <w:lang w:val="en-US" w:eastAsia="zh-CN"/>
        </w:rPr>
      </w:pPr>
    </w:p>
    <w:p w14:paraId="09537323">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both"/>
        <w:textAlignment w:val="auto"/>
        <w:outlineLvl w:val="1"/>
        <w:rPr>
          <w:rFonts w:hint="eastAsia" w:ascii="方正小标宋_GBK" w:hAnsi="方正小标宋_GBK" w:eastAsia="方正小标宋_GBK" w:cs="方正小标宋_GBK"/>
          <w:b/>
          <w:bCs/>
          <w:color w:val="0000FF"/>
          <w:sz w:val="32"/>
          <w:szCs w:val="32"/>
          <w:highlight w:val="yellow"/>
          <w:lang w:val="en-US" w:eastAsia="zh-CN"/>
        </w:rPr>
      </w:pPr>
    </w:p>
    <w:p w14:paraId="0E696B8D">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both"/>
        <w:textAlignment w:val="auto"/>
        <w:outlineLvl w:val="1"/>
        <w:rPr>
          <w:rFonts w:hint="eastAsia" w:ascii="方正小标宋_GBK" w:hAnsi="方正小标宋_GBK" w:eastAsia="方正小标宋_GBK" w:cs="方正小标宋_GBK"/>
          <w:b/>
          <w:bCs/>
          <w:color w:val="0000FF"/>
          <w:sz w:val="32"/>
          <w:szCs w:val="32"/>
          <w:highlight w:val="yellow"/>
          <w:lang w:val="en-US" w:eastAsia="zh-CN"/>
        </w:rPr>
      </w:pPr>
    </w:p>
    <w:p w14:paraId="065AC45B">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both"/>
        <w:textAlignment w:val="auto"/>
        <w:outlineLvl w:val="1"/>
        <w:rPr>
          <w:rFonts w:hint="eastAsia" w:ascii="方正小标宋_GBK" w:hAnsi="方正小标宋_GBK" w:eastAsia="方正小标宋_GBK" w:cs="方正小标宋_GBK"/>
          <w:b/>
          <w:bCs/>
          <w:color w:val="0000FF"/>
          <w:sz w:val="32"/>
          <w:szCs w:val="32"/>
          <w:highlight w:val="yellow"/>
          <w:lang w:val="en-US" w:eastAsia="zh-CN"/>
        </w:rPr>
      </w:pPr>
    </w:p>
    <w:p w14:paraId="3EEDF897">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both"/>
        <w:textAlignment w:val="auto"/>
        <w:outlineLvl w:val="1"/>
        <w:rPr>
          <w:rFonts w:hint="eastAsia" w:ascii="方正小标宋_GBK" w:hAnsi="方正小标宋_GBK" w:eastAsia="方正小标宋_GBK" w:cs="方正小标宋_GBK"/>
          <w:b/>
          <w:bCs/>
          <w:color w:val="0000FF"/>
          <w:sz w:val="32"/>
          <w:szCs w:val="32"/>
          <w:highlight w:val="yellow"/>
          <w:lang w:val="en-US" w:eastAsia="zh-CN"/>
        </w:rPr>
      </w:pPr>
    </w:p>
    <w:p w14:paraId="12624A70">
      <w:pPr>
        <w:keepNext w:val="0"/>
        <w:keepLines w:val="0"/>
        <w:pageBreakBefore w:val="0"/>
        <w:widowControl w:val="0"/>
        <w:kinsoku/>
        <w:wordWrap/>
        <w:overflowPunct/>
        <w:topLinePunct w:val="0"/>
        <w:autoSpaceDE/>
        <w:autoSpaceDN/>
        <w:bidi w:val="0"/>
        <w:adjustRightInd/>
        <w:snapToGrid/>
        <w:spacing w:line="580" w:lineRule="exact"/>
        <w:ind w:right="0" w:rightChars="0"/>
        <w:jc w:val="center"/>
        <w:textAlignment w:val="auto"/>
        <w:outlineLvl w:val="9"/>
        <w:rPr>
          <w:rFonts w:hint="default" w:ascii="Times New Roman" w:hAnsi="Times New Roman" w:eastAsia="方正仿宋_GBK" w:cs="Times New Roman"/>
          <w:b w:val="0"/>
          <w:bCs w:val="0"/>
          <w:sz w:val="32"/>
          <w:szCs w:val="32"/>
        </w:rPr>
      </w:pPr>
      <w:r>
        <w:rPr>
          <w:rFonts w:hint="eastAsia" w:ascii="方正小标宋_GBK" w:hAnsi="方正小标宋_GBK" w:eastAsia="方正小标宋_GBK" w:cs="方正小标宋_GBK"/>
          <w:b w:val="0"/>
          <w:bCs w:val="0"/>
          <w:color w:val="5B9BD5" w:themeColor="accent1"/>
          <w:spacing w:val="-20"/>
          <w:sz w:val="44"/>
          <w:szCs w:val="44"/>
          <w:highlight w:val="none"/>
          <w:lang w:eastAsia="zh-CN"/>
          <w14:textFill>
            <w14:solidFill>
              <w14:schemeClr w14:val="accent1"/>
            </w14:solidFill>
          </w14:textFill>
        </w:rPr>
        <w:t>斩杀线：美国普通人极端财务脆弱性的制度性根源</w:t>
      </w:r>
    </w:p>
    <w:p w14:paraId="34E48A96">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08" w:firstLineChars="200"/>
        <w:jc w:val="both"/>
        <w:textAlignment w:val="auto"/>
        <w:outlineLvl w:val="9"/>
        <w:rPr>
          <w:rFonts w:hint="default" w:ascii="Times New Roman" w:hAnsi="Times New Roman" w:eastAsia="方正仿宋_GBK" w:cs="Times New Roman"/>
          <w:b w:val="0"/>
          <w:bCs w:val="0"/>
          <w:sz w:val="32"/>
          <w:szCs w:val="32"/>
        </w:rPr>
      </w:pPr>
    </w:p>
    <w:p w14:paraId="62D3E97E">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default"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“斩杀线”一词，原本是电子游戏（如《英雄联盟》或《</w:t>
      </w:r>
      <w:r>
        <w:rPr>
          <w:rFonts w:hint="default" w:ascii="Times New Roman" w:hAnsi="Times New Roman" w:eastAsia="方正仿宋_GBK" w:cs="Times New Roman"/>
          <w:b w:val="0"/>
          <w:bCs w:val="0"/>
          <w:sz w:val="32"/>
          <w:szCs w:val="32"/>
        </w:rPr>
        <w:t>Dota</w:t>
      </w:r>
      <w:r>
        <w:rPr>
          <w:rFonts w:hint="default" w:ascii="方正仿宋_GBK" w:hAnsi="方正仿宋_GBK" w:eastAsia="方正仿宋_GBK" w:cs="方正仿宋_GBK"/>
          <w:b w:val="0"/>
          <w:bCs w:val="0"/>
          <w:sz w:val="32"/>
          <w:szCs w:val="32"/>
        </w:rPr>
        <w:t>》）中的术语，指玩家角色血量降到某个临界值以下时，会被对手玩家“一击必杀”。该术语从游戏圈进入经济社会领域，源于</w:t>
      </w:r>
      <w:r>
        <w:rPr>
          <w:rFonts w:hint="default" w:ascii="Times New Roman" w:hAnsi="Times New Roman" w:eastAsia="方正仿宋_GBK" w:cs="Times New Roman"/>
          <w:b w:val="0"/>
          <w:bCs w:val="0"/>
          <w:sz w:val="32"/>
          <w:szCs w:val="32"/>
        </w:rPr>
        <w:t>B站UP</w:t>
      </w:r>
      <w:r>
        <w:rPr>
          <w:rFonts w:hint="default" w:ascii="方正仿宋_GBK" w:hAnsi="方正仿宋_GBK" w:eastAsia="方正仿宋_GBK" w:cs="方正仿宋_GBK"/>
          <w:b w:val="0"/>
          <w:bCs w:val="0"/>
          <w:sz w:val="32"/>
          <w:szCs w:val="32"/>
        </w:rPr>
        <w:t>主“斯奎奇大王”</w:t>
      </w:r>
      <w:bookmarkStart w:id="4" w:name="_GoBack"/>
      <w:bookmarkEnd w:id="4"/>
      <w:r>
        <w:rPr>
          <w:rFonts w:hint="default" w:ascii="方正仿宋_GBK" w:hAnsi="方正仿宋_GBK" w:eastAsia="方正仿宋_GBK" w:cs="方正仿宋_GBK"/>
          <w:b w:val="0"/>
          <w:bCs w:val="0"/>
          <w:sz w:val="32"/>
          <w:szCs w:val="32"/>
        </w:rPr>
        <w:t>（网称“牢</w:t>
      </w:r>
      <w:r>
        <w:rPr>
          <w:rFonts w:hint="default" w:ascii="Times New Roman" w:hAnsi="Times New Roman" w:eastAsia="方正仿宋_GBK" w:cs="Times New Roman"/>
          <w:b w:val="0"/>
          <w:bCs w:val="0"/>
          <w:sz w:val="32"/>
          <w:szCs w:val="32"/>
        </w:rPr>
        <w:t>A</w:t>
      </w:r>
      <w:r>
        <w:rPr>
          <w:rFonts w:hint="default" w:ascii="方正仿宋_GBK" w:hAnsi="方正仿宋_GBK" w:eastAsia="方正仿宋_GBK" w:cs="方正仿宋_GBK"/>
          <w:b w:val="0"/>
          <w:bCs w:val="0"/>
          <w:sz w:val="32"/>
          <w:szCs w:val="32"/>
        </w:rPr>
        <w:t>”）的视频，他是一名在美留学生，常在网上分享对美国底层的社会观察，如处理无家可归者遗体、西雅图流浪汉故事等。</w:t>
      </w:r>
      <w:r>
        <w:rPr>
          <w:rFonts w:hint="default" w:ascii="Times New Roman" w:hAnsi="Times New Roman" w:eastAsia="方正仿宋_GBK" w:cs="Times New Roman"/>
          <w:b w:val="0"/>
          <w:bCs w:val="0"/>
          <w:sz w:val="32"/>
          <w:szCs w:val="32"/>
        </w:rPr>
        <w:t>2025年12月</w:t>
      </w:r>
      <w:r>
        <w:rPr>
          <w:rFonts w:hint="default" w:ascii="方正仿宋_GBK" w:hAnsi="方正仿宋_GBK" w:eastAsia="方正仿宋_GBK" w:cs="方正仿宋_GBK"/>
          <w:b w:val="0"/>
          <w:bCs w:val="0"/>
          <w:sz w:val="32"/>
          <w:szCs w:val="32"/>
        </w:rPr>
        <w:t>，感叹于程序员失业后半年变流浪汉真实案例，他在视频和直播中引入“斩杀线”一词，后被迅速传播并在中国国内引发广泛讨论。</w:t>
      </w:r>
    </w:p>
    <w:p w14:paraId="07071623">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default" w:ascii="方正仿宋_GBK" w:hAnsi="方正仿宋_GBK" w:eastAsia="方正仿宋_GBK" w:cs="方正仿宋_GBK"/>
          <w:b w:val="0"/>
          <w:bCs w:val="0"/>
          <w:sz w:val="32"/>
          <w:szCs w:val="32"/>
        </w:rPr>
      </w:pPr>
      <w:r>
        <w:rPr>
          <w:rFonts w:hint="default" w:ascii="方正仿宋_GBK" w:hAnsi="方正仿宋_GBK" w:eastAsia="方正仿宋_GBK" w:cs="方正仿宋_GBK"/>
          <w:b w:val="0"/>
          <w:bCs w:val="0"/>
          <w:sz w:val="32"/>
          <w:szCs w:val="32"/>
        </w:rPr>
        <w:t>“斩杀线”反映的并不是渐进式的贫困过程，而是美国社会普通人在经济上的一种极端脆弱状态。许多人表面生活体面、拥有工作和住房，但其财务结构高度紧绷，长期背负房贷、医疗债、学生贷款和信用卡债务，几乎没有任何缓冲空间。一旦遭遇失业、大病或意外等突发冲击，财务“血量”迅速下滑，跌破某个关键阈值后，便会触发连锁反应：信用评分崩盘、房屋被法拍或驱逐、无法租房、失去就业机会、医疗保障中断，最终在极短时间内滑向无家可归甚至更严重的生存危机，几乎难以逆转。</w:t>
      </w:r>
    </w:p>
    <w:p w14:paraId="06466AF8">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default" w:ascii="方正仿宋_GBK" w:hAnsi="方正仿宋_GBK" w:eastAsia="方正仿宋_GBK" w:cs="方正仿宋_GBK"/>
          <w:b w:val="0"/>
          <w:bCs w:val="0"/>
          <w:sz w:val="32"/>
          <w:szCs w:val="32"/>
        </w:rPr>
      </w:pPr>
      <w:r>
        <w:rPr>
          <w:rFonts w:hint="default" w:ascii="方正仿宋_GBK" w:hAnsi="方正仿宋_GBK" w:eastAsia="方正仿宋_GBK" w:cs="方正仿宋_GBK"/>
          <w:b w:val="0"/>
          <w:bCs w:val="0"/>
          <w:sz w:val="32"/>
          <w:szCs w:val="32"/>
        </w:rPr>
        <w:t>从这个意义上说，“斩杀线”并不是一条收入线，而是一条制度阈值线：当个人的财务、信用或保障状态越过这些制度设定的临界点，社会运行机制便不再提供缓冲，而是通过信用体系、住房市场、就业筛选和医疗制度等渠道，对个体形成加速性的“清场”，使其坠落过程呈现出类似游戏机制中的“一击必杀”。</w:t>
      </w:r>
    </w:p>
    <w:p w14:paraId="0D1AF80E">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default" w:ascii="Times New Roman" w:hAnsi="Times New Roman" w:eastAsia="方正仿宋_GBK" w:cs="Times New Roman"/>
          <w:b w:val="0"/>
          <w:bCs w:val="0"/>
          <w:sz w:val="32"/>
          <w:szCs w:val="32"/>
        </w:rPr>
      </w:pPr>
      <w:r>
        <w:rPr>
          <w:rFonts w:hint="default" w:ascii="方正仿宋_GBK" w:hAnsi="方正仿宋_GBK" w:eastAsia="方正仿宋_GBK" w:cs="方正仿宋_GBK"/>
          <w:b w:val="0"/>
          <w:bCs w:val="0"/>
          <w:sz w:val="32"/>
          <w:szCs w:val="32"/>
        </w:rPr>
        <w:t>美国的经济统计数据也支撑“斩杀线”这一现象。美联储的《美国家庭经济福祉报告》称，约</w:t>
      </w:r>
      <w:r>
        <w:rPr>
          <w:rFonts w:hint="default" w:ascii="Times New Roman" w:hAnsi="Times New Roman" w:eastAsia="方正仿宋_GBK" w:cs="Times New Roman"/>
          <w:b w:val="0"/>
          <w:bCs w:val="0"/>
          <w:sz w:val="32"/>
          <w:szCs w:val="32"/>
        </w:rPr>
        <w:t>37%-40%的美国成年人拿不出400美元的应急现金。美国金融媒体机构Bankrate</w:t>
      </w:r>
      <w:r>
        <w:rPr>
          <w:rFonts w:hint="default" w:ascii="方正仿宋_GBK" w:hAnsi="方正仿宋_GBK" w:eastAsia="方正仿宋_GBK" w:cs="方正仿宋_GBK"/>
          <w:b w:val="0"/>
          <w:bCs w:val="0"/>
          <w:sz w:val="32"/>
          <w:szCs w:val="32"/>
        </w:rPr>
        <w:t>的“紧急储蓄调查”显示，约</w:t>
      </w:r>
      <w:r>
        <w:rPr>
          <w:rFonts w:hint="default" w:ascii="Times New Roman" w:hAnsi="Times New Roman" w:eastAsia="方正仿宋_GBK" w:cs="Times New Roman"/>
          <w:b w:val="0"/>
          <w:bCs w:val="0"/>
          <w:sz w:val="32"/>
          <w:szCs w:val="32"/>
        </w:rPr>
        <w:t>59%</w:t>
      </w:r>
      <w:r>
        <w:rPr>
          <w:rFonts w:hint="default" w:ascii="方正仿宋_GBK" w:hAnsi="方正仿宋_GBK" w:eastAsia="方正仿宋_GBK" w:cs="方正仿宋_GBK"/>
          <w:b w:val="0"/>
          <w:bCs w:val="0"/>
          <w:sz w:val="32"/>
          <w:szCs w:val="32"/>
        </w:rPr>
        <w:t>的美国成年人“无法用储蓄支付</w:t>
      </w:r>
      <w:r>
        <w:rPr>
          <w:rFonts w:hint="default" w:ascii="Times New Roman" w:hAnsi="Times New Roman" w:eastAsia="方正仿宋_GBK" w:cs="Times New Roman"/>
          <w:b w:val="0"/>
          <w:bCs w:val="0"/>
          <w:sz w:val="32"/>
          <w:szCs w:val="32"/>
        </w:rPr>
        <w:t>1000</w:t>
      </w:r>
      <w:r>
        <w:rPr>
          <w:rFonts w:hint="default" w:ascii="方正仿宋_GBK" w:hAnsi="方正仿宋_GBK" w:eastAsia="方正仿宋_GBK" w:cs="方正仿宋_GBK"/>
          <w:b w:val="0"/>
          <w:bCs w:val="0"/>
          <w:sz w:val="32"/>
          <w:szCs w:val="32"/>
        </w:rPr>
        <w:t>美元紧急支出”。《美国公共卫生杂志》在其报告中称，个人破产申请者中约有</w:t>
      </w:r>
      <w:r>
        <w:rPr>
          <w:rFonts w:hint="default" w:ascii="Times New Roman" w:hAnsi="Times New Roman" w:eastAsia="方正仿宋_GBK" w:cs="Times New Roman"/>
          <w:b w:val="0"/>
          <w:bCs w:val="0"/>
          <w:sz w:val="32"/>
          <w:szCs w:val="32"/>
        </w:rPr>
        <w:t>66.5%</w:t>
      </w:r>
      <w:r>
        <w:rPr>
          <w:rFonts w:hint="default" w:ascii="方正仿宋_GBK" w:hAnsi="方正仿宋_GBK" w:eastAsia="方正仿宋_GBK" w:cs="方正仿宋_GBK"/>
          <w:b w:val="0"/>
          <w:bCs w:val="0"/>
          <w:sz w:val="32"/>
          <w:szCs w:val="32"/>
        </w:rPr>
        <w:t>表示，医疗相关的财务问题（包括直接医疗费用和因病失去工作收入）是其破产的原因之一。</w:t>
      </w:r>
    </w:p>
    <w:p w14:paraId="3AB2AE78">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default" w:ascii="Times New Roman" w:hAnsi="Times New Roman" w:eastAsia="方正仿宋_GBK" w:cs="Times New Roman"/>
          <w:b w:val="0"/>
          <w:bCs w:val="0"/>
          <w:sz w:val="32"/>
          <w:szCs w:val="32"/>
        </w:rPr>
      </w:pPr>
      <w:r>
        <w:rPr>
          <w:rFonts w:hint="default" w:ascii="方正仿宋_GBK" w:hAnsi="方正仿宋_GBK" w:eastAsia="方正仿宋_GBK" w:cs="方正仿宋_GBK"/>
          <w:b w:val="0"/>
          <w:bCs w:val="0"/>
          <w:sz w:val="32"/>
          <w:szCs w:val="32"/>
        </w:rPr>
        <w:t>根据“联合之路”</w:t>
      </w:r>
      <w:r>
        <w:rPr>
          <w:rFonts w:hint="default" w:ascii="Times New Roman" w:hAnsi="Times New Roman" w:eastAsia="方正仿宋_GBK" w:cs="Times New Roman"/>
          <w:b w:val="0"/>
          <w:bCs w:val="0"/>
          <w:sz w:val="32"/>
          <w:szCs w:val="32"/>
        </w:rPr>
        <w:t>（United Way）的《United For ALICE 2025》报告，估计当前约29%的美</w:t>
      </w:r>
      <w:r>
        <w:rPr>
          <w:rFonts w:hint="default" w:ascii="方正仿宋_GBK" w:hAnsi="方正仿宋_GBK" w:eastAsia="方正仿宋_GBK" w:cs="方正仿宋_GBK"/>
          <w:b w:val="0"/>
          <w:bCs w:val="0"/>
          <w:sz w:val="32"/>
          <w:szCs w:val="32"/>
        </w:rPr>
        <w:t>国家庭属于“</w:t>
      </w:r>
      <w:r>
        <w:rPr>
          <w:rFonts w:hint="default" w:ascii="Times New Roman" w:hAnsi="Times New Roman" w:eastAsia="方正仿宋_GBK" w:cs="Times New Roman"/>
          <w:b w:val="0"/>
          <w:bCs w:val="0"/>
          <w:sz w:val="32"/>
          <w:szCs w:val="32"/>
        </w:rPr>
        <w:t>ALICE</w:t>
      </w:r>
      <w:r>
        <w:rPr>
          <w:rFonts w:hint="default" w:ascii="方正仿宋_GBK" w:hAnsi="方正仿宋_GBK" w:eastAsia="方正仿宋_GBK" w:cs="方正仿宋_GBK"/>
          <w:b w:val="0"/>
          <w:bCs w:val="0"/>
          <w:sz w:val="32"/>
          <w:szCs w:val="32"/>
        </w:rPr>
        <w:t>家庭”（即收入高于官方贫困线但不足以负担基本生活成本的家庭），</w:t>
      </w:r>
      <w:r>
        <w:rPr>
          <w:rFonts w:hint="default" w:ascii="Times New Roman" w:hAnsi="Times New Roman" w:eastAsia="方正仿宋_GBK" w:cs="Times New Roman"/>
          <w:b w:val="0"/>
          <w:bCs w:val="0"/>
          <w:sz w:val="32"/>
          <w:szCs w:val="32"/>
        </w:rPr>
        <w:t>另有约13%的家庭收入低于联邦贫困线，合计约42%的美国家庭生活在ALICE阈值以下。</w:t>
      </w:r>
    </w:p>
    <w:p w14:paraId="66009257">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default" w:ascii="方正仿宋_GBK" w:hAnsi="方正仿宋_GBK" w:eastAsia="方正仿宋_GBK" w:cs="方正仿宋_GBK"/>
          <w:b w:val="0"/>
          <w:bCs w:val="0"/>
          <w:sz w:val="32"/>
          <w:szCs w:val="32"/>
        </w:rPr>
      </w:pPr>
      <w:r>
        <w:rPr>
          <w:rFonts w:hint="default" w:ascii="方正仿宋_GBK" w:hAnsi="方正仿宋_GBK" w:eastAsia="方正仿宋_GBK" w:cs="方正仿宋_GBK"/>
          <w:b w:val="0"/>
          <w:bCs w:val="0"/>
          <w:sz w:val="32"/>
          <w:szCs w:val="32"/>
        </w:rPr>
        <w:t>“</w:t>
      </w:r>
      <w:r>
        <w:rPr>
          <w:rFonts w:hint="default" w:ascii="Times New Roman" w:hAnsi="Times New Roman" w:eastAsia="方正仿宋_GBK" w:cs="Times New Roman"/>
          <w:b w:val="0"/>
          <w:bCs w:val="0"/>
          <w:sz w:val="32"/>
          <w:szCs w:val="32"/>
        </w:rPr>
        <w:t>ALICE</w:t>
      </w:r>
      <w:r>
        <w:rPr>
          <w:rFonts w:hint="default" w:ascii="方正仿宋_GBK" w:hAnsi="方正仿宋_GBK" w:eastAsia="方正仿宋_GBK" w:cs="方正仿宋_GBK"/>
          <w:b w:val="0"/>
          <w:bCs w:val="0"/>
          <w:sz w:val="32"/>
          <w:szCs w:val="32"/>
        </w:rPr>
        <w:t>”是一个重要的指标框架，其全</w:t>
      </w:r>
      <w:r>
        <w:rPr>
          <w:rFonts w:hint="default" w:ascii="Times New Roman" w:hAnsi="Times New Roman" w:eastAsia="方正仿宋_GBK" w:cs="Times New Roman"/>
          <w:b w:val="0"/>
          <w:bCs w:val="0"/>
          <w:sz w:val="32"/>
          <w:szCs w:val="32"/>
        </w:rPr>
        <w:t>称为Asset Limited, Income Constrained, Employed</w:t>
      </w:r>
      <w:r>
        <w:rPr>
          <w:rFonts w:hint="default" w:ascii="方正仿宋_GBK" w:hAnsi="方正仿宋_GBK" w:eastAsia="方正仿宋_GBK" w:cs="方正仿宋_GBK"/>
          <w:b w:val="0"/>
          <w:bCs w:val="0"/>
          <w:sz w:val="32"/>
          <w:szCs w:val="32"/>
        </w:rPr>
        <w:t>，用于描述“资产有限、收入受限、且主要依赖劳动收入”的社会群体；“</w:t>
      </w:r>
      <w:r>
        <w:rPr>
          <w:rFonts w:hint="default" w:ascii="Times New Roman" w:hAnsi="Times New Roman" w:eastAsia="方正仿宋_GBK" w:cs="Times New Roman"/>
          <w:b w:val="0"/>
          <w:bCs w:val="0"/>
          <w:sz w:val="32"/>
          <w:szCs w:val="32"/>
        </w:rPr>
        <w:t>ALICE</w:t>
      </w:r>
      <w:r>
        <w:rPr>
          <w:rFonts w:hint="default" w:ascii="方正仿宋_GBK" w:hAnsi="方正仿宋_GBK" w:eastAsia="方正仿宋_GBK" w:cs="方正仿宋_GBK"/>
          <w:b w:val="0"/>
          <w:bCs w:val="0"/>
          <w:sz w:val="32"/>
          <w:szCs w:val="32"/>
        </w:rPr>
        <w:t>阈值”则指家庭收入刚好能覆盖住房、食物、医疗、交通等基本生活必需开销的最低标准。生活在</w:t>
      </w:r>
      <w:r>
        <w:rPr>
          <w:rFonts w:hint="default" w:ascii="Times New Roman" w:hAnsi="Times New Roman" w:eastAsia="方正仿宋_GBK" w:cs="Times New Roman"/>
          <w:b w:val="0"/>
          <w:bCs w:val="0"/>
          <w:sz w:val="32"/>
          <w:szCs w:val="32"/>
        </w:rPr>
        <w:t>ALICE</w:t>
      </w:r>
      <w:r>
        <w:rPr>
          <w:rFonts w:hint="default" w:ascii="方正仿宋_GBK" w:hAnsi="方正仿宋_GBK" w:eastAsia="方正仿宋_GBK" w:cs="方正仿宋_GBK"/>
          <w:b w:val="0"/>
          <w:bCs w:val="0"/>
          <w:sz w:val="32"/>
          <w:szCs w:val="32"/>
        </w:rPr>
        <w:t>阈值以下的群体，正是濒临“斩杀线”的人群：他们并非传统意义上的“贫困人口”，却因极低的容错空间而随时可能因单一事件（如突发医疗支出或失业）触发不可逆的生存危机。</w:t>
      </w:r>
    </w:p>
    <w:p w14:paraId="3203E683">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default" w:ascii="方正仿宋_GBK" w:hAnsi="方正仿宋_GBK" w:eastAsia="方正仿宋_GBK" w:cs="方正仿宋_GBK"/>
          <w:b w:val="0"/>
          <w:bCs w:val="0"/>
          <w:sz w:val="32"/>
          <w:szCs w:val="32"/>
        </w:rPr>
      </w:pPr>
      <w:r>
        <w:rPr>
          <w:rFonts w:hint="default" w:ascii="Times New Roman" w:hAnsi="Times New Roman" w:eastAsia="方正仿宋_GBK" w:cs="Times New Roman"/>
          <w:b w:val="0"/>
          <w:bCs w:val="0"/>
          <w:sz w:val="32"/>
          <w:szCs w:val="32"/>
        </w:rPr>
        <w:t>此外，根据美国住房与城市发展部（HUD）发布的《年度无家可归者评估报告》，在2024年1月的官方统计中，美国无家可归人口约为77.1万人，创下该项统计以来的最高纪录。这一数字较2023年增加18%</w:t>
      </w:r>
      <w:r>
        <w:rPr>
          <w:rFonts w:hint="default" w:ascii="方正仿宋_GBK" w:hAnsi="方正仿宋_GBK" w:eastAsia="方正仿宋_GBK" w:cs="方正仿宋_GBK"/>
          <w:b w:val="0"/>
          <w:bCs w:val="0"/>
          <w:sz w:val="32"/>
          <w:szCs w:val="32"/>
        </w:rPr>
        <w:t>，反映出在住房成本持续上升、可负担住房长期短缺的背景下，无家可归问题正在进一步加剧。</w:t>
      </w:r>
    </w:p>
    <w:p w14:paraId="71938515">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default" w:ascii="方正仿宋_GBK" w:hAnsi="方正仿宋_GBK" w:eastAsia="方正仿宋_GBK" w:cs="方正仿宋_GBK"/>
          <w:b w:val="0"/>
          <w:bCs w:val="0"/>
          <w:sz w:val="32"/>
          <w:szCs w:val="32"/>
        </w:rPr>
      </w:pPr>
      <w:r>
        <w:rPr>
          <w:rFonts w:hint="default" w:ascii="方正仿宋_GBK" w:hAnsi="方正仿宋_GBK" w:eastAsia="方正仿宋_GBK" w:cs="方正仿宋_GBK"/>
          <w:b w:val="0"/>
          <w:bCs w:val="0"/>
          <w:sz w:val="32"/>
          <w:szCs w:val="32"/>
        </w:rPr>
        <w:t>从表面上看，“斩杀线”的存在源于一套相互强化的社会运行机制，将许多普通美国人置于走钢丝般的财务状态：收入看似稳定，却几乎没有缓冲空间，一旦遭遇冲击，便迅速滑向不可逆的危机。</w:t>
      </w:r>
    </w:p>
    <w:p w14:paraId="3936D071">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首先，刚性支出对收入的吞噬尤为严重。根据美国劳工统计局（BLS）2024年《消费者支出调查》，全国家庭平均年支出为78,535美元，其中住房占比33.4%、交通17%、食品12.9%、医疗保健7.9%，加上个人保险与养老金12.5%，这些基本刚需合计往往占收入的60%-80%以上。</w:t>
      </w:r>
      <w:r>
        <w:rPr>
          <w:rFonts w:hint="default" w:ascii="方正仿宋_GBK" w:hAnsi="方正仿宋_GBK" w:eastAsia="方正仿宋_GBK" w:cs="方正仿宋_GBK"/>
          <w:b w:val="0"/>
          <w:bCs w:val="0"/>
          <w:sz w:val="32"/>
          <w:szCs w:val="32"/>
        </w:rPr>
        <w:t>对于中低收入或有孩/老年家庭，住房、医疗、儿童护理、交通及税费等“生存预算”更可能超出收入本身，</w:t>
      </w:r>
      <w:r>
        <w:rPr>
          <w:rFonts w:hint="default" w:ascii="Times New Roman" w:hAnsi="Times New Roman" w:eastAsia="方正仿宋_GBK" w:cs="Times New Roman"/>
          <w:b w:val="0"/>
          <w:bCs w:val="0"/>
          <w:sz w:val="32"/>
          <w:szCs w:val="32"/>
        </w:rPr>
        <w:t>《United For ALICE 2025》报告显示，许多ALICE家庭的基本开支已超过其收入水平。</w:t>
      </w:r>
    </w:p>
    <w:p w14:paraId="4AF7873A">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default" w:ascii="方正仿宋_GBK" w:hAnsi="方正仿宋_GBK" w:eastAsia="方正仿宋_GBK" w:cs="方正仿宋_GBK"/>
          <w:b w:val="0"/>
          <w:bCs w:val="0"/>
          <w:sz w:val="32"/>
          <w:szCs w:val="32"/>
        </w:rPr>
      </w:pPr>
      <w:r>
        <w:rPr>
          <w:rFonts w:hint="default" w:ascii="方正仿宋_GBK" w:hAnsi="方正仿宋_GBK" w:eastAsia="方正仿宋_GBK" w:cs="方正仿宋_GBK"/>
          <w:b w:val="0"/>
          <w:bCs w:val="0"/>
          <w:sz w:val="32"/>
          <w:szCs w:val="32"/>
        </w:rPr>
        <w:t>结果是家庭储蓄率极低，许多人接近零甚至负储蓄，财务缓冲垫几近消失——任何意外（如失业或医疗事件）都可能成为致命一击。</w:t>
      </w:r>
    </w:p>
    <w:p w14:paraId="77EFC63C">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default" w:ascii="方正仿宋_GBK" w:hAnsi="方正仿宋_GBK" w:eastAsia="方正仿宋_GBK" w:cs="方正仿宋_GBK"/>
          <w:b w:val="0"/>
          <w:bCs w:val="0"/>
          <w:sz w:val="32"/>
          <w:szCs w:val="32"/>
        </w:rPr>
      </w:pPr>
      <w:r>
        <w:rPr>
          <w:rFonts w:hint="default" w:ascii="方正仿宋_GBK" w:hAnsi="方正仿宋_GBK" w:eastAsia="方正仿宋_GBK" w:cs="方正仿宋_GBK"/>
          <w:b w:val="0"/>
          <w:bCs w:val="0"/>
          <w:sz w:val="32"/>
          <w:szCs w:val="32"/>
        </w:rPr>
        <w:t>其次，美国的保障体系昂贵且覆盖范围有限，进一步放大了脆弱性。医疗费用是典型“斩杀”触发器：一次阑尾炎手术（无保险或高免赔额自付部分）平均可达</w:t>
      </w:r>
      <w:r>
        <w:rPr>
          <w:rFonts w:hint="default" w:ascii="Times New Roman" w:hAnsi="Times New Roman" w:eastAsia="方正仿宋_GBK" w:cs="Times New Roman"/>
          <w:b w:val="0"/>
          <w:bCs w:val="0"/>
          <w:sz w:val="32"/>
          <w:szCs w:val="32"/>
        </w:rPr>
        <w:t>10,000-30,000美元（Sidecar Health 2025数据），一次救护车呼叫平均1,200-2,000美元（CareCredit 2025</w:t>
      </w:r>
      <w:r>
        <w:rPr>
          <w:rFonts w:hint="default" w:ascii="方正仿宋_GBK" w:hAnsi="方正仿宋_GBK" w:eastAsia="方正仿宋_GBK" w:cs="方正仿宋_GBK"/>
          <w:b w:val="0"/>
          <w:bCs w:val="0"/>
          <w:sz w:val="32"/>
          <w:szCs w:val="32"/>
        </w:rPr>
        <w:t>估算）。即使有保险，高免赔额计划下自付额仍可数千至上万美元，足以让中产家庭瞬间陷入债务。</w:t>
      </w:r>
    </w:p>
    <w:p w14:paraId="5690B436">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default" w:ascii="方正仿宋_GBK" w:hAnsi="方正仿宋_GBK" w:eastAsia="方正仿宋_GBK" w:cs="方正仿宋_GBK"/>
          <w:b w:val="0"/>
          <w:bCs w:val="0"/>
          <w:sz w:val="32"/>
          <w:szCs w:val="32"/>
        </w:rPr>
      </w:pPr>
      <w:r>
        <w:rPr>
          <w:rFonts w:hint="default" w:ascii="方正仿宋_GBK" w:hAnsi="方正仿宋_GBK" w:eastAsia="方正仿宋_GBK" w:cs="方正仿宋_GBK"/>
          <w:b w:val="0"/>
          <w:bCs w:val="0"/>
          <w:sz w:val="32"/>
          <w:szCs w:val="32"/>
        </w:rPr>
        <w:t>而失业时，失业保险金的平均工资替代率仅为</w:t>
      </w:r>
      <w:r>
        <w:rPr>
          <w:rFonts w:hint="default" w:ascii="Times New Roman" w:hAnsi="Times New Roman" w:eastAsia="方正仿宋_GBK" w:cs="Times New Roman"/>
          <w:b w:val="0"/>
          <w:bCs w:val="0"/>
          <w:sz w:val="32"/>
          <w:szCs w:val="32"/>
        </w:rPr>
        <w:t>原工资的40%左右（DOL/ETA数据，2025年</w:t>
      </w:r>
      <w:r>
        <w:rPr>
          <w:rFonts w:hint="default" w:ascii="方正仿宋_GBK" w:hAnsi="方正仿宋_GBK" w:eastAsia="方正仿宋_GBK" w:cs="方正仿宋_GBK"/>
          <w:b w:val="0"/>
          <w:bCs w:val="0"/>
          <w:sz w:val="32"/>
          <w:szCs w:val="32"/>
        </w:rPr>
        <w:t>全国平均水平），远低于维持正常生活成本所需；此外，领取期限通常</w:t>
      </w:r>
      <w:r>
        <w:rPr>
          <w:rFonts w:hint="default" w:ascii="Times New Roman" w:hAnsi="Times New Roman" w:eastAsia="方正仿宋_GBK" w:cs="Times New Roman"/>
          <w:b w:val="0"/>
          <w:bCs w:val="0"/>
          <w:sz w:val="32"/>
          <w:szCs w:val="32"/>
        </w:rPr>
        <w:t>限于最多26周</w:t>
      </w:r>
      <w:r>
        <w:rPr>
          <w:rFonts w:hint="default" w:ascii="方正仿宋_GBK" w:hAnsi="方正仿宋_GBK" w:eastAsia="方正仿宋_GBK" w:cs="方正仿宋_GBK"/>
          <w:b w:val="0"/>
          <w:bCs w:val="0"/>
          <w:sz w:val="32"/>
          <w:szCs w:val="32"/>
        </w:rPr>
        <w:t>（多数州标准，少数州更短），一旦耗尽，家庭将完全失去这一缓冲，迅速触发断供房租或房贷的连锁反应：驱逐、信用分数暴跌、信用黑历史导致更难就业、更难租房或获得信贷，形成难以打破的恶性循环。</w:t>
      </w:r>
    </w:p>
    <w:p w14:paraId="68F38EC7">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default" w:ascii="方正仿宋_GBK" w:hAnsi="方正仿宋_GBK" w:eastAsia="方正仿宋_GBK" w:cs="方正仿宋_GBK"/>
          <w:b w:val="0"/>
          <w:bCs w:val="0"/>
          <w:sz w:val="32"/>
          <w:szCs w:val="32"/>
        </w:rPr>
      </w:pPr>
      <w:r>
        <w:rPr>
          <w:rFonts w:hint="default" w:ascii="方正仿宋_GBK" w:hAnsi="方正仿宋_GBK" w:eastAsia="方正仿宋_GBK" w:cs="方正仿宋_GBK"/>
          <w:b w:val="0"/>
          <w:bCs w:val="0"/>
          <w:sz w:val="32"/>
          <w:szCs w:val="32"/>
        </w:rPr>
        <w:t>第三，资源分配的结构性倾斜加剧了这一问题。大量社会资源——包括风险投资、科研经费、政策红利——高度集中于前沿领域（如人工智能）和精英阶层，形成典型的“赢家通吃”模式。</w:t>
      </w:r>
      <w:r>
        <w:rPr>
          <w:rFonts w:hint="default" w:ascii="Times New Roman" w:hAnsi="Times New Roman" w:eastAsia="方正仿宋_GBK" w:cs="Times New Roman"/>
          <w:b w:val="0"/>
          <w:bCs w:val="0"/>
          <w:sz w:val="32"/>
          <w:szCs w:val="32"/>
        </w:rPr>
        <w:t>2025年风险投资中AI占比已超50%</w:t>
      </w:r>
      <w:r>
        <w:rPr>
          <w:rFonts w:hint="default" w:ascii="方正仿宋_GBK" w:hAnsi="方正仿宋_GBK" w:eastAsia="方正仿宋_GBK" w:cs="方正仿宋_GBK"/>
          <w:b w:val="0"/>
          <w:bCs w:val="0"/>
          <w:sz w:val="32"/>
          <w:szCs w:val="32"/>
        </w:rPr>
        <w:t>，而传统行业和服务业劳动者的工资增长滞后，向上流动渠道被挤压，普通人难以通过努力积累足够缓冲。</w:t>
      </w:r>
    </w:p>
    <w:p w14:paraId="7D1273FE">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default" w:ascii="方正仿宋_GBK" w:hAnsi="方正仿宋_GBK" w:eastAsia="方正仿宋_GBK" w:cs="方正仿宋_GBK"/>
          <w:b w:val="0"/>
          <w:bCs w:val="0"/>
          <w:sz w:val="32"/>
          <w:szCs w:val="32"/>
        </w:rPr>
      </w:pPr>
      <w:r>
        <w:rPr>
          <w:rFonts w:hint="default" w:ascii="方正仿宋_GBK" w:hAnsi="方正仿宋_GBK" w:eastAsia="方正仿宋_GBK" w:cs="方正仿宋_GBK"/>
          <w:b w:val="0"/>
          <w:bCs w:val="0"/>
          <w:sz w:val="32"/>
          <w:szCs w:val="32"/>
        </w:rPr>
        <w:t>美国经济，一方面呈现出强劲的消费与增长，另一方面却存在着极低的容错率，这背后的直接原因是什么呢？</w:t>
      </w:r>
    </w:p>
    <w:p w14:paraId="000EEB09">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default" w:ascii="Times New Roman" w:hAnsi="Times New Roman" w:eastAsia="方正仿宋_GBK" w:cs="Times New Roman"/>
          <w:b w:val="0"/>
          <w:bCs w:val="0"/>
          <w:sz w:val="32"/>
          <w:szCs w:val="32"/>
        </w:rPr>
      </w:pPr>
      <w:r>
        <w:rPr>
          <w:rFonts w:hint="default" w:ascii="方正仿宋_GBK" w:hAnsi="方正仿宋_GBK" w:eastAsia="方正仿宋_GBK" w:cs="方正仿宋_GBK"/>
          <w:b w:val="0"/>
          <w:bCs w:val="0"/>
          <w:sz w:val="32"/>
          <w:szCs w:val="32"/>
        </w:rPr>
        <w:t>美国的“经济政策研究所”</w:t>
      </w:r>
      <w:r>
        <w:rPr>
          <w:rFonts w:hint="default" w:ascii="Times New Roman" w:hAnsi="Times New Roman" w:eastAsia="方正仿宋_GBK" w:cs="Times New Roman"/>
          <w:b w:val="0"/>
          <w:bCs w:val="0"/>
          <w:sz w:val="32"/>
          <w:szCs w:val="32"/>
        </w:rPr>
        <w:t>（Economic Policy Institute，EPI）是一个非营利性公共政策智库，总部在华盛顿特区。EPI成立于 1986 年，主要进行关于劳工、工资、就业、经济增长和不平等的研究与政策分析。</w:t>
      </w:r>
    </w:p>
    <w:p w14:paraId="40E62BDE">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方正仿宋_GBK" w:cs="Times New Roman"/>
          <w:b w:val="0"/>
          <w:bCs w:val="0"/>
          <w:sz w:val="32"/>
          <w:szCs w:val="32"/>
        </w:rPr>
      </w:pPr>
      <w:r>
        <w:drawing>
          <wp:inline distT="0" distB="0" distL="114300" distR="114300">
            <wp:extent cx="4682490" cy="3140075"/>
            <wp:effectExtent l="0" t="0" r="381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
                    <a:stretch>
                      <a:fillRect/>
                    </a:stretch>
                  </pic:blipFill>
                  <pic:spPr>
                    <a:xfrm>
                      <a:off x="0" y="0"/>
                      <a:ext cx="4682490" cy="3140075"/>
                    </a:xfrm>
                    <a:prstGeom prst="rect">
                      <a:avLst/>
                    </a:prstGeom>
                    <a:noFill/>
                    <a:ln>
                      <a:noFill/>
                    </a:ln>
                  </pic:spPr>
                </pic:pic>
              </a:graphicData>
            </a:graphic>
          </wp:inline>
        </w:drawing>
      </w:r>
    </w:p>
    <w:p w14:paraId="49E9FC12">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default" w:ascii="Times New Roman" w:hAnsi="Times New Roman" w:eastAsia="方正仿宋_GBK" w:cs="Times New Roman"/>
          <w:b w:val="0"/>
          <w:bCs w:val="0"/>
          <w:sz w:val="32"/>
          <w:szCs w:val="32"/>
        </w:rPr>
      </w:pPr>
      <w:r>
        <w:rPr>
          <w:rFonts w:hint="default" w:ascii="方正仿宋_GBK" w:hAnsi="方正仿宋_GBK" w:eastAsia="方正仿宋_GBK" w:cs="方正仿宋_GBK"/>
          <w:b w:val="0"/>
          <w:bCs w:val="0"/>
          <w:sz w:val="32"/>
          <w:szCs w:val="32"/>
        </w:rPr>
        <w:t>“生产率薪酬差距跟踪器”</w:t>
      </w:r>
      <w:r>
        <w:rPr>
          <w:rFonts w:hint="default" w:ascii="Times New Roman" w:hAnsi="Times New Roman" w:eastAsia="方正仿宋_GBK" w:cs="Times New Roman"/>
          <w:b w:val="0"/>
          <w:bCs w:val="0"/>
          <w:sz w:val="32"/>
          <w:szCs w:val="32"/>
        </w:rPr>
        <w:t>（Productivity-Pay Tracker）是一个时间序列数据追踪工具，是EPI开发用来追踪和对比生产率与工人薪酬相对变化的经济学统计模型，目的是直观展示二者是否同步增长。</w:t>
      </w:r>
    </w:p>
    <w:p w14:paraId="6787D8AA">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default" w:ascii="Times New Roman" w:hAnsi="Times New Roman" w:eastAsia="方正仿宋_GBK" w:cs="Times New Roman"/>
          <w:b w:val="0"/>
          <w:bCs w:val="0"/>
          <w:sz w:val="32"/>
          <w:szCs w:val="32"/>
        </w:rPr>
      </w:pPr>
      <w:r>
        <w:rPr>
          <w:rFonts w:hint="default" w:ascii="方正仿宋_GBK" w:hAnsi="方正仿宋_GBK" w:eastAsia="方正仿宋_GBK" w:cs="方正仿宋_GBK"/>
          <w:b w:val="0"/>
          <w:bCs w:val="0"/>
          <w:sz w:val="32"/>
          <w:szCs w:val="32"/>
        </w:rPr>
        <w:t>生产率指标，是总经济产出除以总工作小时，扣除折旧，并根据价格通胀调整。工人薪酬，是生产及非管理岗位工人的平均小时工资（含福利），经过通胀调整。模型则是以指数化展示生产率与工资的累计增长轨迹，计算两者的比值和差距——例如，以某一年为基期，若干年后，生产率增长了</w:t>
      </w:r>
      <w:r>
        <w:rPr>
          <w:rFonts w:hint="default" w:ascii="Times New Roman" w:hAnsi="Times New Roman" w:eastAsia="方正仿宋_GBK" w:cs="Times New Roman"/>
          <w:b w:val="0"/>
          <w:bCs w:val="0"/>
          <w:sz w:val="32"/>
          <w:szCs w:val="32"/>
        </w:rPr>
        <w:t>90%，而工人薪酬增长只有33%，说明这些年里二者显著脱钩。模型所用数据都来自美国劳工统计局（BLS）和美国经济分析局（BEA）。</w:t>
      </w:r>
    </w:p>
    <w:p w14:paraId="35618D1A">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default" w:ascii="方正仿宋_GBK" w:hAnsi="方正仿宋_GBK" w:eastAsia="方正仿宋_GBK" w:cs="方正仿宋_GBK"/>
          <w:b w:val="0"/>
          <w:bCs w:val="0"/>
          <w:sz w:val="32"/>
          <w:szCs w:val="32"/>
        </w:rPr>
      </w:pPr>
      <w:r>
        <w:rPr>
          <w:rFonts w:hint="default" w:ascii="方正仿宋_GBK" w:hAnsi="方正仿宋_GBK" w:eastAsia="方正仿宋_GBK" w:cs="方正仿宋_GBK"/>
          <w:b w:val="0"/>
          <w:bCs w:val="0"/>
          <w:sz w:val="32"/>
          <w:szCs w:val="32"/>
        </w:rPr>
        <w:t>“生产率薪酬差距跟踪器”的计算显示，</w:t>
      </w:r>
      <w:r>
        <w:rPr>
          <w:rFonts w:hint="default" w:ascii="Times New Roman" w:hAnsi="Times New Roman" w:eastAsia="方正仿宋_GBK" w:cs="Times New Roman"/>
          <w:b w:val="0"/>
          <w:bCs w:val="0"/>
          <w:sz w:val="32"/>
          <w:szCs w:val="32"/>
        </w:rPr>
        <w:t>自1979年以来，美国经济整体生产率增长了约87.3%，而工人的小时薪酬仅增长了32.7%，生产率增长约为薪酬增长的2.7倍</w:t>
      </w:r>
      <w:r>
        <w:rPr>
          <w:rFonts w:hint="default" w:ascii="方正仿宋_GBK" w:hAnsi="方正仿宋_GBK" w:eastAsia="方正仿宋_GBK" w:cs="方正仿宋_GBK"/>
          <w:b w:val="0"/>
          <w:bCs w:val="0"/>
          <w:sz w:val="32"/>
          <w:szCs w:val="32"/>
        </w:rPr>
        <w:t>。这种脱钩现象并非源于生产率本身停滞，而是一系列政策选择的合成结果，在制度层面弱化了工资与生产率之间的传导机制，客观上压制了工资增长，使经济扩张所创造的红利主要流向顶级薪酬群体和资本所有者，而未能惠及大多数劳动者。</w:t>
      </w:r>
    </w:p>
    <w:p w14:paraId="1C36EA39">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default" w:ascii="方正仿宋_GBK" w:hAnsi="方正仿宋_GBK" w:eastAsia="方正仿宋_GBK" w:cs="方正仿宋_GBK"/>
          <w:b w:val="0"/>
          <w:bCs w:val="0"/>
          <w:sz w:val="32"/>
          <w:szCs w:val="32"/>
        </w:rPr>
      </w:pPr>
      <w:r>
        <w:rPr>
          <w:rFonts w:hint="default" w:ascii="Times New Roman" w:hAnsi="Times New Roman" w:eastAsia="方正仿宋_GBK" w:cs="Times New Roman"/>
          <w:b w:val="0"/>
          <w:bCs w:val="0"/>
          <w:sz w:val="32"/>
          <w:szCs w:val="32"/>
        </w:rPr>
        <w:t>该模型中的工人群体，指生产和非管理岗位工人，占私营部门劳动力约80%，他们的</w:t>
      </w:r>
      <w:r>
        <w:rPr>
          <w:rFonts w:hint="default" w:ascii="方正仿宋_GBK" w:hAnsi="方正仿宋_GBK" w:eastAsia="方正仿宋_GBK" w:cs="方正仿宋_GBK"/>
          <w:b w:val="0"/>
          <w:bCs w:val="0"/>
          <w:sz w:val="32"/>
          <w:szCs w:val="32"/>
        </w:rPr>
        <w:t>薪酬包括工资和福利，但长期以来未能分享经济扩张的成果。这直接解释了斩杀线现象的宏观根源：表面上经济在增长，但普通人的实际收入和购买力被系统性卡在低位，缺乏积累缓冲的空间，一旦遭遇冲击就迅速滑向危机。</w:t>
      </w:r>
    </w:p>
    <w:p w14:paraId="3BA327AF">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方正仿宋_GBK" w:cs="Times New Roman"/>
          <w:b w:val="0"/>
          <w:bCs w:val="0"/>
          <w:sz w:val="32"/>
          <w:szCs w:val="32"/>
        </w:rPr>
      </w:pPr>
      <w:r>
        <w:drawing>
          <wp:inline distT="0" distB="0" distL="114300" distR="114300">
            <wp:extent cx="4144010" cy="2864485"/>
            <wp:effectExtent l="0" t="0" r="8890" b="1206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4144010" cy="2864485"/>
                    </a:xfrm>
                    <a:prstGeom prst="rect">
                      <a:avLst/>
                    </a:prstGeom>
                    <a:noFill/>
                    <a:ln>
                      <a:noFill/>
                    </a:ln>
                  </pic:spPr>
                </pic:pic>
              </a:graphicData>
            </a:graphic>
          </wp:inline>
        </w:drawing>
      </w:r>
    </w:p>
    <w:p w14:paraId="23E0C014">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default" w:ascii="Times New Roman" w:hAnsi="Times New Roman" w:eastAsia="方正仿宋_GBK" w:cs="Times New Roman"/>
          <w:b w:val="0"/>
          <w:bCs w:val="0"/>
          <w:sz w:val="32"/>
          <w:szCs w:val="32"/>
        </w:rPr>
      </w:pPr>
      <w:r>
        <w:rPr>
          <w:rFonts w:hint="default" w:ascii="方正仿宋_GBK" w:hAnsi="方正仿宋_GBK" w:eastAsia="方正仿宋_GBK" w:cs="方正仿宋_GBK"/>
          <w:b w:val="0"/>
          <w:bCs w:val="0"/>
          <w:sz w:val="32"/>
          <w:szCs w:val="32"/>
        </w:rPr>
        <w:t>由图可见，从</w:t>
      </w:r>
      <w:r>
        <w:rPr>
          <w:rFonts w:hint="default" w:ascii="Times New Roman" w:hAnsi="Times New Roman" w:eastAsia="方正仿宋_GBK" w:cs="Times New Roman"/>
          <w:b w:val="0"/>
          <w:bCs w:val="0"/>
          <w:sz w:val="32"/>
          <w:szCs w:val="32"/>
        </w:rPr>
        <w:t>1945年到1973年</w:t>
      </w:r>
      <w:r>
        <w:rPr>
          <w:rFonts w:hint="default" w:ascii="方正仿宋_GBK" w:hAnsi="方正仿宋_GBK" w:eastAsia="方正仿宋_GBK" w:cs="方正仿宋_GBK"/>
          <w:b w:val="0"/>
          <w:bCs w:val="0"/>
          <w:sz w:val="32"/>
          <w:szCs w:val="32"/>
        </w:rPr>
        <w:t>，美国的劳动生产率增长了近一倍，普通工人的薪酬增长与之相近，这意味着在</w:t>
      </w:r>
      <w:r>
        <w:rPr>
          <w:rFonts w:hint="default" w:ascii="Times New Roman" w:hAnsi="Times New Roman" w:eastAsia="方正仿宋_GBK" w:cs="Times New Roman"/>
          <w:b w:val="0"/>
          <w:bCs w:val="0"/>
          <w:sz w:val="32"/>
          <w:szCs w:val="32"/>
        </w:rPr>
        <w:t>这30年间，劳动者享受到了经</w:t>
      </w:r>
      <w:r>
        <w:rPr>
          <w:rFonts w:hint="default" w:ascii="方正仿宋_GBK" w:hAnsi="方正仿宋_GBK" w:eastAsia="方正仿宋_GBK" w:cs="方正仿宋_GBK"/>
          <w:b w:val="0"/>
          <w:bCs w:val="0"/>
          <w:sz w:val="32"/>
          <w:szCs w:val="32"/>
        </w:rPr>
        <w:t>济增长的成果，即生产率提升带来的经济增长成果，基本同比回馈给了劳动者。但</w:t>
      </w:r>
      <w:r>
        <w:rPr>
          <w:rFonts w:hint="default" w:ascii="Times New Roman" w:hAnsi="Times New Roman" w:eastAsia="方正仿宋_GBK" w:cs="Times New Roman"/>
          <w:b w:val="0"/>
          <w:bCs w:val="0"/>
          <w:sz w:val="32"/>
          <w:szCs w:val="32"/>
        </w:rPr>
        <w:t>是在1973年之后，两条线发生了明显的分歧，生产率继续大幅提升，但是工人的薪酬增长明显滞后。1973年到2014年，生产率增长约为72%，而工人薪酬增长仅为9%左右。</w:t>
      </w:r>
    </w:p>
    <w:p w14:paraId="12C51838">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default" w:ascii="方正仿宋_GBK" w:hAnsi="方正仿宋_GBK" w:eastAsia="方正仿宋_GBK" w:cs="方正仿宋_GBK"/>
          <w:b w:val="0"/>
          <w:bCs w:val="0"/>
          <w:sz w:val="32"/>
          <w:szCs w:val="32"/>
        </w:rPr>
      </w:pPr>
      <w:r>
        <w:rPr>
          <w:rFonts w:hint="default" w:ascii="Times New Roman" w:hAnsi="Times New Roman" w:eastAsia="方正仿宋_GBK" w:cs="Times New Roman"/>
          <w:b w:val="0"/>
          <w:bCs w:val="0"/>
          <w:sz w:val="32"/>
          <w:szCs w:val="32"/>
        </w:rPr>
        <w:t>EPI 的分</w:t>
      </w:r>
      <w:r>
        <w:rPr>
          <w:rFonts w:hint="default" w:ascii="方正仿宋_GBK" w:hAnsi="方正仿宋_GBK" w:eastAsia="方正仿宋_GBK" w:cs="方正仿宋_GBK"/>
          <w:b w:val="0"/>
          <w:bCs w:val="0"/>
          <w:sz w:val="32"/>
          <w:szCs w:val="32"/>
        </w:rPr>
        <w:t>析认为，生产率与薪酬之间的脱钩，并非偶然现象，而是工资形成机制在制度层面被持续削弱的结果。其核心在于，一系列政策变化拆解了原本能够将经济增长转化为劳动者收入的传导渠道，使工资不再随生产率同步上升。</w:t>
      </w:r>
    </w:p>
    <w:p w14:paraId="1560A855">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default" w:ascii="Times New Roman" w:hAnsi="Times New Roman" w:eastAsia="方正仿宋_GBK" w:cs="Times New Roman"/>
          <w:b w:val="0"/>
          <w:bCs w:val="0"/>
          <w:sz w:val="32"/>
          <w:szCs w:val="32"/>
        </w:rPr>
      </w:pPr>
      <w:r>
        <w:rPr>
          <w:rFonts w:hint="default" w:ascii="方正仿宋_GBK" w:hAnsi="方正仿宋_GBK" w:eastAsia="方正仿宋_GBK" w:cs="方正仿宋_GBK"/>
          <w:b w:val="0"/>
          <w:bCs w:val="0"/>
          <w:sz w:val="32"/>
          <w:szCs w:val="32"/>
        </w:rPr>
        <w:t>首先，在宏观层面，长期容忍较高失业率以抑制通胀，削弱了劳动力市场的议价能力，使工资在经济扩张期也难以形成有效上涨压力。其次，在制度层面，联邦最低工资的涨幅长期滞后于生产率和物价水平，且调整频率不断下降，使其对工资分布底部的“托底”作用显著减弱。与此同时，劳动法未能应对雇主对工会的系统性打压，工会覆盖率持续下降，劳动者集体谈判能力被削弱，进一步切断了工资与生产率之间的制度性联系。在收入分配层面，顶级收入税率的持续下调，使高收入和资本收益在税后层面更具吸引力，强化了企业将新增产出优先分配给高管薪酬和股东回报的激励。再加上金融和部分行业的放松管制，资本回报渠道被进一步拓宽，而劳动收入在制度竞争中处于不利位置。</w:t>
      </w:r>
    </w:p>
    <w:p w14:paraId="0B0440B5">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default" w:ascii="方正仿宋_GBK" w:hAnsi="方正仿宋_GBK" w:eastAsia="方正仿宋_GBK" w:cs="方正仿宋_GBK"/>
          <w:b w:val="0"/>
          <w:bCs w:val="0"/>
          <w:sz w:val="32"/>
          <w:szCs w:val="32"/>
        </w:rPr>
      </w:pPr>
      <w:r>
        <w:rPr>
          <w:rFonts w:hint="default" w:ascii="方正仿宋_GBK" w:hAnsi="方正仿宋_GBK" w:eastAsia="方正仿宋_GBK" w:cs="方正仿宋_GBK"/>
          <w:b w:val="0"/>
          <w:bCs w:val="0"/>
          <w:sz w:val="32"/>
          <w:szCs w:val="32"/>
        </w:rPr>
        <w:t>上述政策共同作用的结果是，潜在的薪酬增长——即由生产率提升所创造的新增经济价值——未能转化为大多数劳动者的实际收入，生产率与薪酬之间由此出现持续扩大的缺口，收入分配格局也随之向少数高收入群体和资本所有者倾斜。这种收入的不平等加剧了财富（家庭资产）的不均，进一步压缩了普通人的财务弹性。</w:t>
      </w:r>
    </w:p>
    <w:p w14:paraId="62A746DD">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default" w:ascii="方正仿宋_GBK" w:hAnsi="方正仿宋_GBK" w:eastAsia="方正仿宋_GBK" w:cs="方正仿宋_GBK"/>
          <w:b w:val="0"/>
          <w:bCs w:val="0"/>
          <w:sz w:val="32"/>
          <w:szCs w:val="32"/>
        </w:rPr>
      </w:pPr>
      <w:r>
        <w:rPr>
          <w:rFonts w:hint="default" w:ascii="方正仿宋_GBK" w:hAnsi="方正仿宋_GBK" w:eastAsia="方正仿宋_GBK" w:cs="方正仿宋_GBK"/>
          <w:b w:val="0"/>
          <w:bCs w:val="0"/>
          <w:sz w:val="32"/>
          <w:szCs w:val="32"/>
        </w:rPr>
        <w:t>同时，服务业价格和税费的快速上涨，进一步放大了个人的财务脆弱性。一方面，劳动者薪酬长期滞后于生产率，另一方面生活成本激增，导致住房、医疗、儿童护理、交通和税费等刚性支出吞噬掉劳动者收入的</w:t>
      </w:r>
      <w:r>
        <w:rPr>
          <w:rFonts w:hint="default" w:ascii="Times New Roman" w:hAnsi="Times New Roman" w:eastAsia="方正仿宋_GBK" w:cs="Times New Roman"/>
          <w:b w:val="0"/>
          <w:bCs w:val="0"/>
          <w:sz w:val="32"/>
          <w:szCs w:val="32"/>
        </w:rPr>
        <w:t>60%到80%</w:t>
      </w:r>
      <w:r>
        <w:rPr>
          <w:rFonts w:hint="default" w:ascii="方正仿宋_GBK" w:hAnsi="方正仿宋_GBK" w:eastAsia="方正仿宋_GBK" w:cs="方正仿宋_GBK"/>
          <w:b w:val="0"/>
          <w:bCs w:val="0"/>
          <w:sz w:val="32"/>
          <w:szCs w:val="32"/>
        </w:rPr>
        <w:t>以上，许多家庭的储蓄率接近零甚至为负值，财务缓冲垫几乎不存在。任何意外冲击，如失业或医疗事件，都可能成为致命一击。</w:t>
      </w:r>
    </w:p>
    <w:p w14:paraId="59EBAAE6">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default" w:ascii="方正仿宋_GBK" w:hAnsi="方正仿宋_GBK" w:eastAsia="方正仿宋_GBK" w:cs="方正仿宋_GBK"/>
          <w:b w:val="0"/>
          <w:bCs w:val="0"/>
          <w:sz w:val="32"/>
          <w:szCs w:val="32"/>
        </w:rPr>
      </w:pPr>
      <w:r>
        <w:rPr>
          <w:rFonts w:hint="default" w:ascii="方正仿宋_GBK" w:hAnsi="方正仿宋_GBK" w:eastAsia="方正仿宋_GBK" w:cs="方正仿宋_GBK"/>
          <w:b w:val="0"/>
          <w:bCs w:val="0"/>
          <w:sz w:val="32"/>
          <w:szCs w:val="32"/>
        </w:rPr>
        <w:t>也有学者将“斩杀线”现象归咎于“经济租”，认为“斩杀线”的本质是受制度保护的“经济租”对劳动收入形成的系统性挤压。</w:t>
      </w:r>
    </w:p>
    <w:p w14:paraId="66E15670">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default" w:ascii="方正仿宋_GBK" w:hAnsi="方正仿宋_GBK" w:eastAsia="方正仿宋_GBK" w:cs="方正仿宋_GBK"/>
          <w:b w:val="0"/>
          <w:bCs w:val="0"/>
          <w:sz w:val="32"/>
          <w:szCs w:val="32"/>
        </w:rPr>
      </w:pPr>
      <w:r>
        <w:rPr>
          <w:rFonts w:hint="default" w:ascii="方正仿宋_GBK" w:hAnsi="方正仿宋_GBK" w:eastAsia="方正仿宋_GBK" w:cs="方正仿宋_GBK"/>
          <w:b w:val="0"/>
          <w:bCs w:val="0"/>
          <w:sz w:val="32"/>
          <w:szCs w:val="32"/>
        </w:rPr>
        <w:t>“经济租”这一概念源于古典经济学，指价格超过真实生产成本的部分收入，通常来自稀缺资源或特权占有，而非劳动或生产效率贡献。在古典经济学中，价格并不等于价值，价值源于劳动投入，包括直接劳动和间接劳动如机器制造成本。价格高于价值的差额，既包括利润，也包括经济租。古典经济学认为，利润是工业资本家通过组织生产获得的合理回报，因为这也是一种劳动形式；而经济租是不劳而获的收入，典型如地租，土地并非劳动产品，而是自然禀赋，却被占有者收取费用。这种收入不创造新价值，却推高社会成本，阻碍了生产力发展。</w:t>
      </w:r>
    </w:p>
    <w:p w14:paraId="597CBA2F">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default" w:ascii="方正仿宋_GBK" w:hAnsi="方正仿宋_GBK" w:eastAsia="方正仿宋_GBK" w:cs="方正仿宋_GBK"/>
          <w:b w:val="0"/>
          <w:bCs w:val="0"/>
          <w:sz w:val="32"/>
          <w:szCs w:val="32"/>
        </w:rPr>
      </w:pPr>
      <w:r>
        <w:rPr>
          <w:rFonts w:hint="default" w:ascii="方正仿宋_GBK" w:hAnsi="方正仿宋_GBK" w:eastAsia="方正仿宋_GBK" w:cs="方正仿宋_GBK"/>
          <w:b w:val="0"/>
          <w:bCs w:val="0"/>
          <w:sz w:val="32"/>
          <w:szCs w:val="32"/>
        </w:rPr>
        <w:t>古典经济学家（如亚当·斯密和大卫·李嘉图）批评经济租，因为它源于封建遗留，如世袭地主占有土地，收取租金却不参与生产。这推高新兴资产阶级的生产成本，导致太多人获得远超劳动贡献的收入，不是因为更聪明或更勤奋，而是占有别人必须使用的资源。他们认为，这种占有被法律保护，基于历史征服或继承的错误假设，最终引发法国大革命等变革，资产阶级革命旨在打破地主阶级对土地和劳动的束缚。</w:t>
      </w:r>
    </w:p>
    <w:p w14:paraId="6DB14342">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default" w:ascii="方正仿宋_GBK" w:hAnsi="方正仿宋_GBK" w:eastAsia="方正仿宋_GBK" w:cs="方正仿宋_GBK"/>
          <w:b w:val="0"/>
          <w:bCs w:val="0"/>
          <w:sz w:val="32"/>
          <w:szCs w:val="32"/>
        </w:rPr>
      </w:pPr>
      <w:r>
        <w:rPr>
          <w:rFonts w:hint="default" w:ascii="方正仿宋_GBK" w:hAnsi="方正仿宋_GBK" w:eastAsia="方正仿宋_GBK" w:cs="方正仿宋_GBK"/>
          <w:b w:val="0"/>
          <w:bCs w:val="0"/>
          <w:sz w:val="32"/>
          <w:szCs w:val="32"/>
        </w:rPr>
        <w:t>在当代经济中，经济租已从土地扩展到更广泛领域，但其本质不变，即并非来自新增价值创造，而是来自对制度性垄断或人为稀缺的占有。正是在这一意义上，现代经济学提出了租寻理论：它强调，一些个人或集团并不是通过提高效率或创新来获得收入，而是通过影响规则、获取特权、设置壁垒，从既有财富中攫取超额收益。这类行为消耗社会资源，却不增加总产出。</w:t>
      </w:r>
    </w:p>
    <w:p w14:paraId="0C7F73DF">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default" w:ascii="方正仿宋_GBK" w:hAnsi="方正仿宋_GBK" w:eastAsia="方正仿宋_GBK" w:cs="方正仿宋_GBK"/>
          <w:b w:val="0"/>
          <w:bCs w:val="0"/>
          <w:sz w:val="32"/>
          <w:szCs w:val="32"/>
        </w:rPr>
      </w:pPr>
      <w:r>
        <w:rPr>
          <w:rFonts w:hint="default" w:ascii="方正仿宋_GBK" w:hAnsi="方正仿宋_GBK" w:eastAsia="方正仿宋_GBK" w:cs="方正仿宋_GBK"/>
          <w:b w:val="0"/>
          <w:bCs w:val="0"/>
          <w:sz w:val="32"/>
          <w:szCs w:val="32"/>
        </w:rPr>
        <w:t>因此，尽管现代经济学在分析中弱化了价值与价格的区分，往往将超额收入统称为利润，但仍承认经济租广泛存在。现实中的经济租并不限于房租，凡是源于稀缺性或特权、而非可复制生产能力的收入都属于其范畴，既包括天然稀缺的优质地段资产，也包括制度制造的专利、牌照和准入壁垒。这些机制赋予特定主体他人无法绕开的收费权，并最终体现在商品和服务价格中，对劳动收入形成持续挤压。</w:t>
      </w:r>
    </w:p>
    <w:p w14:paraId="53D00A9B">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default" w:ascii="方正仿宋_GBK" w:hAnsi="方正仿宋_GBK" w:eastAsia="方正仿宋_GBK" w:cs="方正仿宋_GBK"/>
          <w:b w:val="0"/>
          <w:bCs w:val="0"/>
          <w:sz w:val="32"/>
          <w:szCs w:val="32"/>
        </w:rPr>
      </w:pPr>
      <w:r>
        <w:rPr>
          <w:rFonts w:hint="default" w:ascii="方正仿宋_GBK" w:hAnsi="方正仿宋_GBK" w:eastAsia="方正仿宋_GBK" w:cs="方正仿宋_GBK"/>
          <w:b w:val="0"/>
          <w:bCs w:val="0"/>
          <w:sz w:val="32"/>
          <w:szCs w:val="32"/>
        </w:rPr>
        <w:t>以房地产为例，当代经济租最明显形式是房租和房价上涨。房东收入提升并非靠自身劳动，而是公共投资如政府建地铁、学校、医院或公园，这些改善交通和公共服务，推动区域价值上升。但这些投入来自公共资金，即全民劳动和税收贡献，最终收益却被私人房东、地产资本和银行捕获。房价和租金上涨的差额，就是经济租。它不创造新价值，却直接推高生活成本，普通人必须支付更高比例收入用于住房，压缩其他支出空间。这在高成本城市如纽约或旧金山尤为明显，租金占</w:t>
      </w:r>
      <w:r>
        <w:rPr>
          <w:rFonts w:hint="default" w:ascii="Times New Roman" w:hAnsi="Times New Roman" w:eastAsia="方正仿宋_GBK" w:cs="Times New Roman"/>
          <w:b w:val="0"/>
          <w:bCs w:val="0"/>
          <w:sz w:val="32"/>
          <w:szCs w:val="32"/>
        </w:rPr>
        <w:t>收入30%</w:t>
      </w:r>
      <w:r>
        <w:rPr>
          <w:rFonts w:hint="default" w:ascii="方正仿宋_GBK" w:hAnsi="方正仿宋_GBK" w:eastAsia="方正仿宋_GBK" w:cs="方正仿宋_GBK"/>
          <w:b w:val="0"/>
          <w:bCs w:val="0"/>
          <w:sz w:val="32"/>
          <w:szCs w:val="32"/>
        </w:rPr>
        <w:t>以上，导致许多人月光或负储蓄。</w:t>
      </w:r>
    </w:p>
    <w:p w14:paraId="39F4A6D8">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default" w:ascii="Times New Roman" w:hAnsi="Times New Roman" w:eastAsia="方正仿宋_GBK" w:cs="Times New Roman"/>
          <w:b w:val="0"/>
          <w:bCs w:val="0"/>
          <w:sz w:val="32"/>
          <w:szCs w:val="32"/>
        </w:rPr>
      </w:pPr>
      <w:r>
        <w:rPr>
          <w:rFonts w:hint="default" w:ascii="方正仿宋_GBK" w:hAnsi="方正仿宋_GBK" w:eastAsia="方正仿宋_GBK" w:cs="方正仿宋_GBK"/>
          <w:b w:val="0"/>
          <w:bCs w:val="0"/>
          <w:sz w:val="32"/>
          <w:szCs w:val="32"/>
        </w:rPr>
        <w:t>金融领域的经济租同样显著。银行利息收入中，部分是运营成本和风险补偿，但系统性高于必要水平的利息是经济租。在美国，借款往往是不得不为，如购房或大学教育贷款，没有选择余地。超过成本的部分利息，就是基于信用垄断的租。当前，美国的家庭债务已达</w:t>
      </w:r>
      <w:r>
        <w:rPr>
          <w:rFonts w:hint="default" w:ascii="Times New Roman" w:hAnsi="Times New Roman" w:eastAsia="方正仿宋_GBK" w:cs="Times New Roman"/>
          <w:b w:val="0"/>
          <w:bCs w:val="0"/>
          <w:sz w:val="32"/>
          <w:szCs w:val="32"/>
        </w:rPr>
        <w:t>18.6</w:t>
      </w:r>
      <w:r>
        <w:rPr>
          <w:rFonts w:hint="default" w:ascii="方正仿宋_GBK" w:hAnsi="方正仿宋_GBK" w:eastAsia="方正仿宋_GBK" w:cs="方正仿宋_GBK"/>
          <w:b w:val="0"/>
          <w:bCs w:val="0"/>
          <w:sz w:val="32"/>
          <w:szCs w:val="32"/>
        </w:rPr>
        <w:t>万亿美元，创历史新高，这些债务利息流向银行体系，进一步挤压劳动收入。人们不断借债支付上涨房价和租金，形成恶性循环，债务负担进一步削弱了财务缓冲。</w:t>
      </w:r>
    </w:p>
    <w:p w14:paraId="0369F398">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default" w:ascii="Times New Roman" w:hAnsi="Times New Roman" w:eastAsia="方正仿宋_GBK" w:cs="Times New Roman"/>
          <w:b w:val="0"/>
          <w:bCs w:val="0"/>
          <w:sz w:val="32"/>
          <w:szCs w:val="32"/>
        </w:rPr>
      </w:pPr>
      <w:r>
        <w:rPr>
          <w:rFonts w:hint="default" w:ascii="方正仿宋_GBK" w:hAnsi="方正仿宋_GBK" w:eastAsia="方正仿宋_GBK" w:cs="方正仿宋_GBK"/>
          <w:b w:val="0"/>
          <w:bCs w:val="0"/>
          <w:sz w:val="32"/>
          <w:szCs w:val="32"/>
        </w:rPr>
        <w:t>医疗领域是当代经济租最直观、最集中的体现。医疗具有不可替代的刚需属性，同时高度依赖专业知识，信息不对称尤为严重；再叠加严格的制度准入限制——无论是行医、办医还是售药，均需政府许可——使得该领域天然具备强烈的垄断色彩。在这一结构下，药企和私立医疗机构的高收入，很大程度并非源于单纯的劳动或效率提升，而是来自制度性稀缺所带来的经济租。</w:t>
      </w:r>
    </w:p>
    <w:p w14:paraId="01CC04A3">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公开数据显示，2025</w:t>
      </w:r>
      <w:r>
        <w:rPr>
          <w:rFonts w:hint="default" w:ascii="方正仿宋_GBK" w:hAnsi="方正仿宋_GBK" w:eastAsia="方正仿宋_GBK" w:cs="方正仿宋_GBK"/>
          <w:b w:val="0"/>
          <w:bCs w:val="0"/>
          <w:sz w:val="32"/>
          <w:szCs w:val="32"/>
        </w:rPr>
        <w:t>年美国制药行业的游说支出创下历史新高，仅“制药研究与制造商协会”一家的游说费用就接近</w:t>
      </w:r>
      <w:r>
        <w:rPr>
          <w:rFonts w:hint="default" w:ascii="Times New Roman" w:hAnsi="Times New Roman" w:eastAsia="方正仿宋_GBK" w:cs="Times New Roman"/>
          <w:b w:val="0"/>
          <w:bCs w:val="0"/>
          <w:sz w:val="32"/>
          <w:szCs w:val="32"/>
        </w:rPr>
        <w:t>3800万美元，行业前三季度合计已超过 3.34 亿美元，全年预计突破4亿美元；其中约52%的游说人员为前政府雇员。这一现象清晰地反映了典型的寻租行为，即通过政治游说维护专利壁垒和市场准入限制，以巩固超额利润。医院体系亦是如此，2025年前三季度其游说支出约1.15亿美元，所雇佣说客中过半同样具有政府背景。</w:t>
      </w:r>
    </w:p>
    <w:p w14:paraId="47A806E6">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以胰岛素为例，这种救命药发明已逾百年，配方和工艺无本质变化，三位发明者当初以1美元出售专利，希望这种救命药能尽可能广泛、廉价地被制造和使用。但如今一瓶最高售价达300美元，比20年前上涨6至7倍，远超通胀。这并非研发成本驱动，而是专利垄断和市场壁垒的经济租。药企无需新投入，仅靠制度保护持续收割。2010至2019年美国食品药品管理局批准的356种新药中354种依赖国家卫生研究院成果，即99.4%新药背后有纳税人资金承担基础研究风险，但上市后天价利润流向私人药企。这些经济租反过来成为普通人医疗负担，突发账单足以触发个人债务危机。</w:t>
      </w:r>
    </w:p>
    <w:p w14:paraId="661F4872">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教育领域亦如此。全美的学生贷款债务已超1.65万亿美元（纽约联储2025年第三季度数据），学生贷款利息和学费的上涨源于制度准入壁垒和教育刚需的垄断性。</w:t>
      </w:r>
    </w:p>
    <w:p w14:paraId="1C22625B">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default" w:ascii="方正仿宋_GBK" w:hAnsi="方正仿宋_GBK" w:eastAsia="方正仿宋_GBK" w:cs="方正仿宋_GBK"/>
          <w:b w:val="0"/>
          <w:bCs w:val="0"/>
          <w:sz w:val="32"/>
          <w:szCs w:val="32"/>
        </w:rPr>
      </w:pPr>
      <w:r>
        <w:rPr>
          <w:rFonts w:hint="default" w:ascii="方正仿宋_GBK" w:hAnsi="方正仿宋_GBK" w:eastAsia="方正仿宋_GBK" w:cs="方正仿宋_GBK"/>
          <w:b w:val="0"/>
          <w:bCs w:val="0"/>
          <w:sz w:val="32"/>
          <w:szCs w:val="32"/>
        </w:rPr>
        <w:t>这些经济租的共同点是，它们通过刚需和垄断推高价格天花板，劳动收入增长速度长期低于经济租增长，当经济租上涨渗透到商品和服务价格中，劳动收入的实际购买力被侵蚀，劳动者的财务弹性消失。因此，在美国现在的分配制度下，工人工资高不代表生活水平高，只代表他们的生活成本高。</w:t>
      </w:r>
    </w:p>
    <w:p w14:paraId="085E8B8B">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default" w:ascii="方正仿宋_GBK" w:hAnsi="方正仿宋_GBK" w:eastAsia="方正仿宋_GBK" w:cs="方正仿宋_GBK"/>
          <w:b w:val="0"/>
          <w:bCs w:val="0"/>
          <w:sz w:val="32"/>
          <w:szCs w:val="32"/>
        </w:rPr>
      </w:pPr>
      <w:r>
        <w:rPr>
          <w:rFonts w:hint="default" w:ascii="方正仿宋_GBK" w:hAnsi="方正仿宋_GBK" w:eastAsia="方正仿宋_GBK" w:cs="方正仿宋_GBK"/>
          <w:b w:val="0"/>
          <w:bCs w:val="0"/>
          <w:sz w:val="32"/>
          <w:szCs w:val="32"/>
        </w:rPr>
        <w:t>经济租的制度保护是关键。古典经济学曾批评封建法律保护地租，当代亦如是——通过游说维持专利、金融放松管制和税制倾斜。比如，美国的税制对商业地产和金融租金征税轻，对劳动和生产重税，导致人们借债支付上涨租，债务流向银行。</w:t>
      </w:r>
    </w:p>
    <w:p w14:paraId="596D4568">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default" w:ascii="方正仿宋_GBK" w:hAnsi="方正仿宋_GBK" w:eastAsia="方正仿宋_GBK" w:cs="方正仿宋_GBK"/>
          <w:b w:val="0"/>
          <w:bCs w:val="0"/>
          <w:sz w:val="32"/>
          <w:szCs w:val="32"/>
        </w:rPr>
      </w:pPr>
      <w:r>
        <w:rPr>
          <w:rFonts w:hint="default" w:ascii="方正仿宋_GBK" w:hAnsi="方正仿宋_GBK" w:eastAsia="方正仿宋_GBK" w:cs="方正仿宋_GBK"/>
          <w:b w:val="0"/>
          <w:bCs w:val="0"/>
          <w:sz w:val="32"/>
          <w:szCs w:val="32"/>
        </w:rPr>
        <w:t>尽管经济租具有明显的社会成本，但在医疗、教育、金融等民生领域，完全消除经济租在现实中并不可行，因为这些行业本身需要监管与准入，以保障公共安全与服务质量。问题的关键并不在于是否存在准入制度，而在于这些制度是否被转化为保护既得利益、排斥竞争的工具。当准入权被私有化、资本化，经济租便从公共治理手段演变为少数主体的长期利润来源。相较之下，一些国家通过更强的公共介入，在一定程度上压低或重新分配民生领域中的经济租，使其不完全转化为私人收益，从而缓解劳动者在住房、医疗和教育等方面的成本压力。这种做法有助于提高社会整体的财务容错率，降低个体因单一冲击而迅速滑落的风险，但同时也可能带来效率损失、创新激励不足或财政负担上升等代价。</w:t>
      </w:r>
    </w:p>
    <w:p w14:paraId="61FDFE7A">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仿宋_GBK" w:hAnsi="方正仿宋_GBK" w:eastAsia="方正仿宋_GBK" w:cs="方正仿宋_GBK"/>
          <w:b w:val="0"/>
          <w:bCs w:val="0"/>
          <w:sz w:val="32"/>
          <w:szCs w:val="32"/>
        </w:rPr>
      </w:pPr>
      <w:r>
        <w:rPr>
          <w:rFonts w:hint="default" w:ascii="方正仿宋_GBK" w:hAnsi="方正仿宋_GBK" w:eastAsia="方正仿宋_GBK" w:cs="方正仿宋_GBK"/>
          <w:b w:val="0"/>
          <w:bCs w:val="0"/>
          <w:sz w:val="32"/>
          <w:szCs w:val="32"/>
        </w:rPr>
        <w:t>从经济租的角度看，美国现行的许多公共经济政策，其实际效果并不只是推动总量增长，而是在既有制度框架下，持续放大不同群体对经济租的占有差异。结果是，一部分群体可以通过制度性稀缺和准入壁垒，长期分享经济扩张带来的超额收益，而多数劳动者则在高成本环境中承受不断被压缩的财务缓冲空间。从这一意义上说，“斩杀线”并非偶发性的制度失灵，而是经济租在分配结构中长期累积的结果；单纯依赖经济增长，难以自动消解这一脆弱性。是否、以及如何通过政策调整重新约束经济租的规模与分配方式，本质上是一种制度取舍，其代价与收益需要在效率、创新激励与社会稳定之间进行权衡。</w:t>
      </w:r>
    </w:p>
    <w:p w14:paraId="12DFEFD8">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952" w:firstLineChars="1300"/>
        <w:contextualSpacing/>
        <w:jc w:val="left"/>
        <w:textAlignment w:val="auto"/>
        <w:outlineLvl w:val="1"/>
        <w:rPr>
          <w:rFonts w:hint="default" w:ascii="Times New Roman" w:hAnsi="Times New Roman" w:eastAsia="方正楷体_GBK" w:cs="方正楷体_GBK"/>
          <w:b/>
          <w:bCs/>
          <w:color w:val="FF0000"/>
          <w:spacing w:val="0"/>
          <w:kern w:val="2"/>
          <w:sz w:val="32"/>
          <w:szCs w:val="32"/>
          <w:lang w:val="en-US" w:eastAsia="zh-CN" w:bidi="ar-SA"/>
        </w:rPr>
      </w:pPr>
      <w:r>
        <w:rPr>
          <w:rFonts w:hint="default" w:ascii="Times New Roman" w:hAnsi="Times New Roman" w:eastAsia="方正楷体_GBK" w:cs="方正楷体_GBK"/>
          <w:b/>
          <w:bCs/>
          <w:color w:val="FF0000"/>
          <w:spacing w:val="0"/>
          <w:kern w:val="2"/>
          <w:sz w:val="32"/>
          <w:szCs w:val="32"/>
          <w:lang w:val="en-US" w:eastAsia="zh-CN" w:bidi="ar-SA"/>
        </w:rPr>
        <w:t>（</w:t>
      </w:r>
      <w:r>
        <w:rPr>
          <w:rFonts w:hint="eastAsia" w:ascii="Times New Roman" w:hAnsi="Times New Roman" w:eastAsia="方正楷体_GBK" w:cs="方正楷体_GBK"/>
          <w:b/>
          <w:bCs/>
          <w:color w:val="FF0000"/>
          <w:spacing w:val="0"/>
          <w:kern w:val="2"/>
          <w:sz w:val="32"/>
          <w:szCs w:val="32"/>
          <w:lang w:val="en-US" w:eastAsia="zh-CN" w:bidi="ar-SA"/>
        </w:rPr>
        <w:t>发展研究部 左亮、刘浩</w:t>
      </w:r>
      <w:r>
        <w:rPr>
          <w:rFonts w:hint="default" w:ascii="Times New Roman" w:hAnsi="Times New Roman" w:eastAsia="方正楷体_GBK" w:cs="方正楷体_GBK"/>
          <w:b/>
          <w:bCs/>
          <w:color w:val="FF0000"/>
          <w:spacing w:val="0"/>
          <w:kern w:val="2"/>
          <w:sz w:val="32"/>
          <w:szCs w:val="32"/>
          <w:lang w:val="en-US" w:eastAsia="zh-CN" w:bidi="ar-SA"/>
        </w:rPr>
        <w:t>）</w:t>
      </w:r>
    </w:p>
    <w:p w14:paraId="146E68A1">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952" w:firstLineChars="1300"/>
        <w:contextualSpacing/>
        <w:jc w:val="left"/>
        <w:textAlignment w:val="auto"/>
        <w:outlineLvl w:val="1"/>
        <w:rPr>
          <w:rFonts w:hint="default" w:ascii="Times New Roman" w:hAnsi="Times New Roman" w:eastAsia="方正楷体_GBK" w:cs="方正楷体_GBK"/>
          <w:b/>
          <w:bCs/>
          <w:color w:val="FF0000"/>
          <w:spacing w:val="0"/>
          <w:kern w:val="2"/>
          <w:sz w:val="32"/>
          <w:szCs w:val="32"/>
          <w:lang w:val="en-US" w:eastAsia="zh-CN" w:bidi="ar-SA"/>
        </w:rPr>
      </w:pPr>
    </w:p>
    <w:p w14:paraId="51BE6CEB">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952" w:firstLineChars="1300"/>
        <w:contextualSpacing/>
        <w:jc w:val="left"/>
        <w:textAlignment w:val="auto"/>
        <w:outlineLvl w:val="1"/>
        <w:rPr>
          <w:rFonts w:hint="default" w:ascii="Times New Roman" w:hAnsi="Times New Roman" w:eastAsia="方正楷体_GBK" w:cs="方正楷体_GBK"/>
          <w:b/>
          <w:bCs/>
          <w:color w:val="FF0000"/>
          <w:spacing w:val="0"/>
          <w:kern w:val="2"/>
          <w:sz w:val="32"/>
          <w:szCs w:val="32"/>
          <w:lang w:val="en-US" w:eastAsia="zh-CN" w:bidi="ar-SA"/>
        </w:rPr>
      </w:pPr>
    </w:p>
    <w:p w14:paraId="2880D6B4">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952" w:firstLineChars="1300"/>
        <w:contextualSpacing/>
        <w:jc w:val="left"/>
        <w:textAlignment w:val="auto"/>
        <w:outlineLvl w:val="1"/>
        <w:rPr>
          <w:rFonts w:hint="default" w:ascii="Times New Roman" w:hAnsi="Times New Roman" w:eastAsia="方正楷体_GBK" w:cs="方正楷体_GBK"/>
          <w:b/>
          <w:bCs/>
          <w:color w:val="FF0000"/>
          <w:spacing w:val="0"/>
          <w:kern w:val="2"/>
          <w:sz w:val="32"/>
          <w:szCs w:val="32"/>
          <w:lang w:val="en-US" w:eastAsia="zh-CN" w:bidi="ar-SA"/>
        </w:rPr>
      </w:pPr>
    </w:p>
    <w:p w14:paraId="162C0F17">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952" w:firstLineChars="1300"/>
        <w:contextualSpacing/>
        <w:jc w:val="left"/>
        <w:textAlignment w:val="auto"/>
        <w:outlineLvl w:val="1"/>
        <w:rPr>
          <w:rFonts w:hint="default" w:ascii="Times New Roman" w:hAnsi="Times New Roman" w:eastAsia="方正楷体_GBK" w:cs="方正楷体_GBK"/>
          <w:b/>
          <w:bCs/>
          <w:color w:val="FF0000"/>
          <w:spacing w:val="0"/>
          <w:kern w:val="2"/>
          <w:sz w:val="32"/>
          <w:szCs w:val="32"/>
          <w:lang w:val="en-US" w:eastAsia="zh-CN" w:bidi="ar-SA"/>
        </w:rPr>
      </w:pPr>
    </w:p>
    <w:p w14:paraId="3B54719E">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952" w:firstLineChars="1300"/>
        <w:contextualSpacing/>
        <w:jc w:val="left"/>
        <w:textAlignment w:val="auto"/>
        <w:outlineLvl w:val="1"/>
        <w:rPr>
          <w:rFonts w:hint="default" w:ascii="Times New Roman" w:hAnsi="Times New Roman" w:eastAsia="方正楷体_GBK" w:cs="方正楷体_GBK"/>
          <w:b/>
          <w:bCs/>
          <w:color w:val="FF0000"/>
          <w:spacing w:val="0"/>
          <w:kern w:val="2"/>
          <w:sz w:val="32"/>
          <w:szCs w:val="32"/>
          <w:lang w:val="en-US" w:eastAsia="zh-CN" w:bidi="ar-SA"/>
        </w:rPr>
      </w:pPr>
    </w:p>
    <w:p w14:paraId="06CE2A4F">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952" w:firstLineChars="1300"/>
        <w:contextualSpacing/>
        <w:jc w:val="left"/>
        <w:textAlignment w:val="auto"/>
        <w:outlineLvl w:val="1"/>
        <w:rPr>
          <w:rFonts w:hint="default" w:ascii="Times New Roman" w:hAnsi="Times New Roman" w:eastAsia="方正楷体_GBK" w:cs="方正楷体_GBK"/>
          <w:b/>
          <w:bCs/>
          <w:color w:val="FF0000"/>
          <w:spacing w:val="0"/>
          <w:kern w:val="2"/>
          <w:sz w:val="32"/>
          <w:szCs w:val="32"/>
          <w:lang w:val="en-US" w:eastAsia="zh-CN" w:bidi="ar-SA"/>
        </w:rPr>
      </w:pPr>
    </w:p>
    <w:p w14:paraId="02B456BC">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952" w:firstLineChars="1300"/>
        <w:contextualSpacing/>
        <w:jc w:val="left"/>
        <w:textAlignment w:val="auto"/>
        <w:outlineLvl w:val="1"/>
        <w:rPr>
          <w:rFonts w:hint="default" w:ascii="Times New Roman" w:hAnsi="Times New Roman" w:eastAsia="方正楷体_GBK" w:cs="方正楷体_GBK"/>
          <w:b/>
          <w:bCs/>
          <w:color w:val="FF0000"/>
          <w:spacing w:val="0"/>
          <w:kern w:val="2"/>
          <w:sz w:val="32"/>
          <w:szCs w:val="32"/>
          <w:lang w:val="en-US" w:eastAsia="zh-CN" w:bidi="ar-SA"/>
        </w:rPr>
      </w:pPr>
    </w:p>
    <w:p w14:paraId="0148D05C">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952" w:firstLineChars="1300"/>
        <w:contextualSpacing/>
        <w:jc w:val="left"/>
        <w:textAlignment w:val="auto"/>
        <w:outlineLvl w:val="1"/>
        <w:rPr>
          <w:rFonts w:hint="default" w:ascii="Times New Roman" w:hAnsi="Times New Roman" w:eastAsia="方正楷体_GBK" w:cs="方正楷体_GBK"/>
          <w:b/>
          <w:bCs/>
          <w:color w:val="FF0000"/>
          <w:spacing w:val="0"/>
          <w:kern w:val="2"/>
          <w:sz w:val="32"/>
          <w:szCs w:val="32"/>
          <w:lang w:val="en-US" w:eastAsia="zh-CN" w:bidi="ar-SA"/>
        </w:rPr>
      </w:pPr>
    </w:p>
    <w:p w14:paraId="6565D8D5">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952" w:firstLineChars="1300"/>
        <w:contextualSpacing/>
        <w:jc w:val="left"/>
        <w:textAlignment w:val="auto"/>
        <w:outlineLvl w:val="1"/>
        <w:rPr>
          <w:rFonts w:hint="default" w:ascii="Times New Roman" w:hAnsi="Times New Roman" w:eastAsia="方正楷体_GBK" w:cs="方正楷体_GBK"/>
          <w:b/>
          <w:bCs/>
          <w:color w:val="FF0000"/>
          <w:spacing w:val="0"/>
          <w:kern w:val="2"/>
          <w:sz w:val="32"/>
          <w:szCs w:val="32"/>
          <w:lang w:val="en-US" w:eastAsia="zh-CN" w:bidi="ar-SA"/>
        </w:rPr>
      </w:pPr>
    </w:p>
    <w:p w14:paraId="202E19E7">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952" w:firstLineChars="1300"/>
        <w:contextualSpacing/>
        <w:jc w:val="left"/>
        <w:textAlignment w:val="auto"/>
        <w:outlineLvl w:val="1"/>
        <w:rPr>
          <w:rFonts w:hint="default" w:ascii="Times New Roman" w:hAnsi="Times New Roman" w:eastAsia="方正楷体_GBK" w:cs="方正楷体_GBK"/>
          <w:b/>
          <w:bCs/>
          <w:color w:val="FF0000"/>
          <w:spacing w:val="0"/>
          <w:kern w:val="2"/>
          <w:sz w:val="32"/>
          <w:szCs w:val="32"/>
          <w:lang w:val="en-US" w:eastAsia="zh-CN" w:bidi="ar-SA"/>
        </w:rPr>
      </w:pPr>
    </w:p>
    <w:p w14:paraId="58FD6C90">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952" w:firstLineChars="1300"/>
        <w:contextualSpacing/>
        <w:jc w:val="left"/>
        <w:textAlignment w:val="auto"/>
        <w:outlineLvl w:val="1"/>
        <w:rPr>
          <w:rFonts w:hint="default" w:ascii="Times New Roman" w:hAnsi="Times New Roman" w:eastAsia="方正楷体_GBK" w:cs="方正楷体_GBK"/>
          <w:b/>
          <w:bCs/>
          <w:color w:val="FF0000"/>
          <w:spacing w:val="0"/>
          <w:kern w:val="2"/>
          <w:sz w:val="32"/>
          <w:szCs w:val="32"/>
          <w:lang w:val="en-US" w:eastAsia="zh-CN" w:bidi="ar-SA"/>
        </w:rPr>
      </w:pPr>
    </w:p>
    <w:p w14:paraId="68DEC438">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952" w:firstLineChars="1300"/>
        <w:contextualSpacing/>
        <w:jc w:val="left"/>
        <w:textAlignment w:val="auto"/>
        <w:outlineLvl w:val="1"/>
        <w:rPr>
          <w:rFonts w:hint="default" w:ascii="Times New Roman" w:hAnsi="Times New Roman" w:eastAsia="方正楷体_GBK" w:cs="方正楷体_GBK"/>
          <w:b/>
          <w:bCs/>
          <w:color w:val="FF0000"/>
          <w:spacing w:val="0"/>
          <w:kern w:val="2"/>
          <w:sz w:val="32"/>
          <w:szCs w:val="32"/>
          <w:lang w:val="en-US" w:eastAsia="zh-CN" w:bidi="ar-SA"/>
        </w:rPr>
      </w:pPr>
    </w:p>
    <w:p w14:paraId="5E219D2B">
      <w:pPr>
        <w:keepNext w:val="0"/>
        <w:keepLines w:val="0"/>
        <w:pageBreakBefore w:val="0"/>
        <w:widowControl w:val="0"/>
        <w:kinsoku/>
        <w:wordWrap/>
        <w:overflowPunct/>
        <w:topLinePunct w:val="0"/>
        <w:autoSpaceDE/>
        <w:autoSpaceDN/>
        <w:bidi w:val="0"/>
        <w:adjustRightInd/>
        <w:snapToGrid/>
        <w:spacing w:line="580" w:lineRule="exact"/>
        <w:ind w:right="0" w:rightChars="0"/>
        <w:jc w:val="center"/>
        <w:textAlignment w:val="auto"/>
        <w:outlineLvl w:val="9"/>
        <w:rPr>
          <w:rFonts w:hint="default" w:ascii="Times New Roman" w:hAnsi="Times New Roman" w:eastAsia="方正仿宋_GBK" w:cs="Times New Roman"/>
          <w:b w:val="0"/>
          <w:bCs w:val="0"/>
          <w:sz w:val="32"/>
          <w:szCs w:val="32"/>
        </w:rPr>
      </w:pPr>
      <w:r>
        <w:rPr>
          <w:rFonts w:hint="eastAsia" w:ascii="方正小标宋_GBK" w:hAnsi="方正小标宋_GBK" w:eastAsia="方正小标宋_GBK" w:cs="方正小标宋_GBK"/>
          <w:b w:val="0"/>
          <w:bCs w:val="0"/>
          <w:color w:val="5B9BD5" w:themeColor="accent1"/>
          <w:spacing w:val="0"/>
          <w:sz w:val="44"/>
          <w:szCs w:val="44"/>
          <w:highlight w:val="none"/>
          <w:lang w:eastAsia="zh-CN"/>
          <w14:textFill>
            <w14:solidFill>
              <w14:schemeClr w14:val="accent1"/>
            </w14:solidFill>
          </w14:textFill>
        </w:rPr>
        <w:t>百年级拐点：工业金属定价机制的结构性转变（2025-2030）</w:t>
      </w:r>
    </w:p>
    <w:p w14:paraId="35B4AA17">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08" w:firstLineChars="200"/>
        <w:jc w:val="both"/>
        <w:textAlignment w:val="auto"/>
        <w:outlineLvl w:val="9"/>
        <w:rPr>
          <w:rFonts w:hint="default" w:ascii="Times New Roman" w:hAnsi="Times New Roman" w:eastAsia="方正仿宋_GBK" w:cs="Times New Roman"/>
          <w:b w:val="0"/>
          <w:bCs w:val="0"/>
          <w:sz w:val="32"/>
          <w:szCs w:val="32"/>
        </w:rPr>
      </w:pPr>
    </w:p>
    <w:p w14:paraId="319C6D97">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从</w:t>
      </w:r>
      <w:r>
        <w:rPr>
          <w:rFonts w:hint="default" w:ascii="Times New Roman" w:hAnsi="Times New Roman" w:eastAsia="方正仿宋_GBK" w:cs="Times New Roman"/>
          <w:b w:val="0"/>
          <w:bCs w:val="0"/>
          <w:sz w:val="32"/>
          <w:szCs w:val="32"/>
        </w:rPr>
        <w:t>2025</w:t>
      </w:r>
      <w:r>
        <w:rPr>
          <w:rFonts w:hint="eastAsia" w:ascii="方正仿宋_GBK" w:hAnsi="方正仿宋_GBK" w:eastAsia="方正仿宋_GBK" w:cs="方正仿宋_GBK"/>
          <w:b w:val="0"/>
          <w:bCs w:val="0"/>
          <w:sz w:val="32"/>
          <w:szCs w:val="32"/>
        </w:rPr>
        <w:t>年至今，全球工业金属走出了一波牛市行情，其中有色金属板块平均上涨约</w:t>
      </w:r>
      <w:r>
        <w:rPr>
          <w:rFonts w:hint="eastAsia" w:ascii="Times New Roman" w:hAnsi="Times New Roman" w:eastAsia="方正仿宋_GBK" w:cs="Times New Roman"/>
          <w:b w:val="0"/>
          <w:bCs w:val="0"/>
          <w:sz w:val="32"/>
          <w:szCs w:val="32"/>
        </w:rPr>
        <w:t>20-25%</w:t>
      </w:r>
      <w:r>
        <w:rPr>
          <w:rFonts w:hint="eastAsia" w:ascii="方正仿宋_GBK" w:hAnsi="方正仿宋_GBK" w:eastAsia="方正仿宋_GBK" w:cs="方正仿宋_GBK"/>
          <w:b w:val="0"/>
          <w:bCs w:val="0"/>
          <w:sz w:val="32"/>
          <w:szCs w:val="32"/>
        </w:rPr>
        <w:t>，铜价涨幅约</w:t>
      </w:r>
      <w:r>
        <w:rPr>
          <w:rFonts w:hint="eastAsia" w:ascii="Times New Roman" w:hAnsi="Times New Roman" w:eastAsia="方正仿宋_GBK" w:cs="Times New Roman"/>
          <w:b w:val="0"/>
          <w:bCs w:val="0"/>
          <w:sz w:val="32"/>
          <w:szCs w:val="32"/>
        </w:rPr>
        <w:t>25-50%</w:t>
      </w:r>
      <w:r>
        <w:rPr>
          <w:rFonts w:hint="eastAsia" w:ascii="方正仿宋_GBK" w:hAnsi="方正仿宋_GBK" w:eastAsia="方正仿宋_GBK" w:cs="方正仿宋_GBK"/>
          <w:b w:val="0"/>
          <w:bCs w:val="0"/>
          <w:sz w:val="32"/>
          <w:szCs w:val="32"/>
        </w:rPr>
        <w:t>、铝价约</w:t>
      </w:r>
      <w:r>
        <w:rPr>
          <w:rFonts w:hint="eastAsia" w:ascii="Times New Roman" w:hAnsi="Times New Roman" w:eastAsia="方正仿宋_GBK" w:cs="Times New Roman"/>
          <w:b w:val="0"/>
          <w:bCs w:val="0"/>
          <w:sz w:val="32"/>
          <w:szCs w:val="32"/>
        </w:rPr>
        <w:t>15-20%</w:t>
      </w:r>
      <w:r>
        <w:rPr>
          <w:rFonts w:hint="eastAsia" w:ascii="方正仿宋_GBK" w:hAnsi="方正仿宋_GBK" w:eastAsia="方正仿宋_GBK" w:cs="方正仿宋_GBK"/>
          <w:b w:val="0"/>
          <w:bCs w:val="0"/>
          <w:sz w:val="32"/>
          <w:szCs w:val="32"/>
        </w:rPr>
        <w:t>、镍价约</w:t>
      </w:r>
      <w:r>
        <w:rPr>
          <w:rFonts w:hint="eastAsia" w:ascii="Times New Roman" w:hAnsi="Times New Roman" w:eastAsia="方正仿宋_GBK" w:cs="Times New Roman"/>
          <w:b w:val="0"/>
          <w:bCs w:val="0"/>
          <w:sz w:val="32"/>
          <w:szCs w:val="32"/>
        </w:rPr>
        <w:t>8-15%</w:t>
      </w:r>
      <w:r>
        <w:rPr>
          <w:rFonts w:hint="eastAsia" w:ascii="方正仿宋_GBK" w:hAnsi="方正仿宋_GBK" w:eastAsia="方正仿宋_GBK" w:cs="方正仿宋_GBK"/>
          <w:b w:val="0"/>
          <w:bCs w:val="0"/>
          <w:sz w:val="32"/>
          <w:szCs w:val="32"/>
        </w:rPr>
        <w:t>、钴价从低谷反弹逾</w:t>
      </w:r>
      <w:r>
        <w:rPr>
          <w:rFonts w:hint="eastAsia" w:ascii="Times New Roman" w:hAnsi="Times New Roman" w:eastAsia="方正仿宋_GBK" w:cs="Times New Roman"/>
          <w:b w:val="0"/>
          <w:bCs w:val="0"/>
          <w:sz w:val="32"/>
          <w:szCs w:val="32"/>
        </w:rPr>
        <w:t>100%</w:t>
      </w:r>
      <w:r>
        <w:rPr>
          <w:rFonts w:hint="eastAsia" w:ascii="方正仿宋_GBK" w:hAnsi="方正仿宋_GBK" w:eastAsia="方正仿宋_GBK" w:cs="方正仿宋_GBK"/>
          <w:b w:val="0"/>
          <w:bCs w:val="0"/>
          <w:sz w:val="32"/>
          <w:szCs w:val="32"/>
        </w:rPr>
        <w:t>；黑色系金属也上涨了约</w:t>
      </w:r>
      <w:r>
        <w:rPr>
          <w:rFonts w:hint="eastAsia" w:ascii="Times New Roman" w:hAnsi="Times New Roman" w:eastAsia="方正仿宋_GBK" w:cs="Times New Roman"/>
          <w:b w:val="0"/>
          <w:bCs w:val="0"/>
          <w:sz w:val="32"/>
          <w:szCs w:val="32"/>
        </w:rPr>
        <w:t>10-15%</w:t>
      </w:r>
      <w:r>
        <w:rPr>
          <w:rFonts w:hint="eastAsia" w:ascii="方正仿宋_GBK" w:hAnsi="方正仿宋_GBK" w:eastAsia="方正仿宋_GBK" w:cs="方正仿宋_GBK"/>
          <w:b w:val="0"/>
          <w:bCs w:val="0"/>
          <w:sz w:val="32"/>
          <w:szCs w:val="32"/>
        </w:rPr>
        <w:t>，铁矿石价格涨幅约</w:t>
      </w:r>
      <w:r>
        <w:rPr>
          <w:rFonts w:hint="eastAsia" w:ascii="Times New Roman" w:hAnsi="Times New Roman" w:eastAsia="方正仿宋_GBK" w:cs="Times New Roman"/>
          <w:b w:val="0"/>
          <w:bCs w:val="0"/>
          <w:sz w:val="32"/>
          <w:szCs w:val="32"/>
        </w:rPr>
        <w:t>11%</w:t>
      </w:r>
      <w:r>
        <w:rPr>
          <w:rFonts w:hint="eastAsia" w:ascii="方正仿宋_GBK" w:hAnsi="方正仿宋_GBK" w:eastAsia="方正仿宋_GBK" w:cs="方正仿宋_GBK"/>
          <w:b w:val="0"/>
          <w:bCs w:val="0"/>
          <w:sz w:val="32"/>
          <w:szCs w:val="32"/>
        </w:rPr>
        <w:t>。</w:t>
      </w:r>
    </w:p>
    <w:p w14:paraId="317766CD">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eastAsia" w:ascii="方正仿宋_GBK" w:hAnsi="方正仿宋_GBK" w:eastAsia="方正仿宋_GBK" w:cs="方正仿宋_GBK"/>
          <w:b w:val="0"/>
          <w:bCs w:val="0"/>
          <w:sz w:val="32"/>
          <w:szCs w:val="32"/>
          <w:lang w:eastAsia="zh-CN"/>
        </w:rPr>
      </w:pPr>
      <w:r>
        <w:rPr>
          <w:rFonts w:hint="eastAsia" w:ascii="方正仿宋_GBK" w:hAnsi="方正仿宋_GBK" w:eastAsia="方正仿宋_GBK" w:cs="方正仿宋_GBK"/>
          <w:b w:val="0"/>
          <w:bCs w:val="0"/>
          <w:sz w:val="32"/>
          <w:szCs w:val="32"/>
          <w:lang w:eastAsia="zh-CN"/>
        </w:rPr>
        <w:drawing>
          <wp:inline distT="0" distB="0" distL="114300" distR="114300">
            <wp:extent cx="5614035" cy="2350135"/>
            <wp:effectExtent l="0" t="0" r="5715" b="12065"/>
            <wp:docPr id="10" name="图片 10" descr="55780b6a-98c4-4c42-8048-e5285d798a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55780b6a-98c4-4c42-8048-e5285d798a0b"/>
                    <pic:cNvPicPr>
                      <a:picLocks noChangeAspect="1"/>
                    </pic:cNvPicPr>
                  </pic:nvPicPr>
                  <pic:blipFill>
                    <a:blip r:embed="rId9"/>
                    <a:stretch>
                      <a:fillRect/>
                    </a:stretch>
                  </pic:blipFill>
                  <pic:spPr>
                    <a:xfrm>
                      <a:off x="0" y="0"/>
                      <a:ext cx="5614035" cy="2350135"/>
                    </a:xfrm>
                    <a:prstGeom prst="rect">
                      <a:avLst/>
                    </a:prstGeom>
                  </pic:spPr>
                </pic:pic>
              </a:graphicData>
            </a:graphic>
          </wp:inline>
        </w:drawing>
      </w:r>
    </w:p>
    <w:p w14:paraId="13FAAB3E">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按以往的经验，</w:t>
      </w:r>
      <w:r>
        <w:rPr>
          <w:rFonts w:hint="eastAsia" w:ascii="Times New Roman" w:hAnsi="Times New Roman" w:eastAsia="方正仿宋_GBK" w:cs="Times New Roman"/>
          <w:b w:val="0"/>
          <w:bCs w:val="0"/>
          <w:sz w:val="32"/>
          <w:szCs w:val="32"/>
        </w:rPr>
        <w:t>2025</w:t>
      </w:r>
      <w:r>
        <w:rPr>
          <w:rFonts w:hint="eastAsia" w:ascii="方正仿宋_GBK" w:hAnsi="方正仿宋_GBK" w:eastAsia="方正仿宋_GBK" w:cs="方正仿宋_GBK"/>
          <w:b w:val="0"/>
          <w:bCs w:val="0"/>
          <w:sz w:val="32"/>
          <w:szCs w:val="32"/>
        </w:rPr>
        <w:t>年本应该是一个工业金属行业的“小年”，因为全球经济增长放缓、中国房地产市场疲软等因素，需求本应遇冷。以往判断铜、铝、钢铁这些工业金属的价格走势，最直接的办法就是观察基建行业，但</w:t>
      </w:r>
      <w:r>
        <w:rPr>
          <w:rFonts w:hint="eastAsia" w:ascii="Times New Roman" w:hAnsi="Times New Roman" w:eastAsia="方正仿宋_GBK" w:cs="Times New Roman"/>
          <w:b w:val="0"/>
          <w:bCs w:val="0"/>
          <w:sz w:val="32"/>
          <w:szCs w:val="32"/>
        </w:rPr>
        <w:t>2025</w:t>
      </w:r>
      <w:r>
        <w:rPr>
          <w:rFonts w:hint="eastAsia" w:ascii="方正仿宋_GBK" w:hAnsi="方正仿宋_GBK" w:eastAsia="方正仿宋_GBK" w:cs="方正仿宋_GBK"/>
          <w:b w:val="0"/>
          <w:bCs w:val="0"/>
          <w:sz w:val="32"/>
          <w:szCs w:val="32"/>
        </w:rPr>
        <w:t>年的市场走势完全颠覆了过去的经验。在传统的地产基建仍无起色的前提下，工业金属价格却一路飙升——铜价一度触及历史新高逾</w:t>
      </w:r>
      <w:r>
        <w:rPr>
          <w:rFonts w:hint="eastAsia" w:ascii="Times New Roman" w:hAnsi="Times New Roman" w:eastAsia="方正仿宋_GBK" w:cs="Times New Roman"/>
          <w:b w:val="0"/>
          <w:bCs w:val="0"/>
          <w:sz w:val="32"/>
          <w:szCs w:val="32"/>
        </w:rPr>
        <w:t>13,000</w:t>
      </w:r>
      <w:r>
        <w:rPr>
          <w:rFonts w:hint="eastAsia" w:ascii="方正仿宋_GBK" w:hAnsi="方正仿宋_GBK" w:eastAsia="方正仿宋_GBK" w:cs="方正仿宋_GBK"/>
          <w:b w:val="0"/>
          <w:bCs w:val="0"/>
          <w:sz w:val="32"/>
          <w:szCs w:val="32"/>
        </w:rPr>
        <w:t>美元/吨，铝价逼近多年峰值，镍和钴等关键矿产也逆转过剩局面。</w:t>
      </w:r>
    </w:p>
    <w:p w14:paraId="079FEDDD">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仿宋_GBK" w:hAnsi="方正仿宋_GBK" w:eastAsia="方正仿宋_GBK" w:cs="方正仿宋_GBK"/>
          <w:b w:val="0"/>
          <w:bCs w:val="0"/>
          <w:sz w:val="32"/>
          <w:szCs w:val="32"/>
        </w:rPr>
      </w:pPr>
      <w:r>
        <w:rPr>
          <w:rFonts w:hint="eastAsia" w:ascii="Times New Roman" w:hAnsi="Times New Roman" w:eastAsia="方正仿宋_GBK" w:cs="Times New Roman"/>
          <w:b w:val="0"/>
          <w:bCs w:val="0"/>
          <w:sz w:val="32"/>
          <w:szCs w:val="32"/>
        </w:rPr>
        <w:t>2025</w:t>
      </w:r>
      <w:r>
        <w:rPr>
          <w:rFonts w:hint="eastAsia" w:ascii="方正仿宋_GBK" w:hAnsi="方正仿宋_GBK" w:eastAsia="方正仿宋_GBK" w:cs="方正仿宋_GBK"/>
          <w:b w:val="0"/>
          <w:bCs w:val="0"/>
          <w:sz w:val="32"/>
          <w:szCs w:val="32"/>
        </w:rPr>
        <w:t>年，有三个看似没关联的“意外”揭示了全球金属市场的现实：印尼</w:t>
      </w:r>
      <w:r>
        <w:rPr>
          <w:rFonts w:hint="eastAsia" w:ascii="Times New Roman" w:hAnsi="Times New Roman" w:eastAsia="方正仿宋_GBK" w:cs="Times New Roman"/>
          <w:b w:val="0"/>
          <w:bCs w:val="0"/>
          <w:sz w:val="32"/>
          <w:szCs w:val="32"/>
        </w:rPr>
        <w:t>Grasberg</w:t>
      </w:r>
      <w:r>
        <w:rPr>
          <w:rFonts w:hint="eastAsia" w:ascii="方正仿宋_GBK" w:hAnsi="方正仿宋_GBK" w:eastAsia="方正仿宋_GBK" w:cs="方正仿宋_GBK"/>
          <w:b w:val="0"/>
          <w:bCs w:val="0"/>
          <w:sz w:val="32"/>
          <w:szCs w:val="32"/>
        </w:rPr>
        <w:t>铜矿突发严重事故导致停产，造成数十万吨级铜供应损失并显著放大全球缺口；刚果（金）钴出口从</w:t>
      </w:r>
      <w:r>
        <w:rPr>
          <w:rFonts w:hint="default" w:ascii="Times New Roman" w:hAnsi="Times New Roman" w:eastAsia="方正仿宋_GBK" w:cs="Times New Roman"/>
          <w:b w:val="0"/>
          <w:bCs w:val="0"/>
          <w:sz w:val="32"/>
          <w:szCs w:val="32"/>
        </w:rPr>
        <w:t>2</w:t>
      </w:r>
      <w:r>
        <w:rPr>
          <w:rFonts w:hint="eastAsia" w:ascii="方正仿宋_GBK" w:hAnsi="方正仿宋_GBK" w:eastAsia="方正仿宋_GBK" w:cs="方正仿宋_GBK"/>
          <w:b w:val="0"/>
          <w:bCs w:val="0"/>
          <w:sz w:val="32"/>
          <w:szCs w:val="32"/>
        </w:rPr>
        <w:t>月禁令转为严格配额，直接逆转市场过剩、推动价格翻倍；中国启动稀土出口管制，让美国等国紧急囤货，规模达数十亿美元。</w:t>
      </w:r>
    </w:p>
    <w:p w14:paraId="74C6124B">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这些事件并非偶然，而是全球资源格局加速重构的缩影。过去依赖全球化分工带来的廉价、稳定供应时代，正在逐步终结；工业金属的定价机制，正从传统的周期性波动，转向由地缘风险、政策干预与长期结构性需求共同主导的新常态。这场转变，堪称大宗商品市场的百年级拐点。</w:t>
      </w:r>
    </w:p>
    <w:p w14:paraId="295C0730">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在这一过程中，工业金属正在完成一次角色转变：它们不再仅仅是可以自由交易、价格由边际供需决定的“商品”，而是逐步演化为在国家安全、产业政策和地缘博弈中具有杠杆意义的“准战略资源”。如果仍用“观察经济周期，预测需求反弹”的老办法分析工业金属，极可能会误判市场方向。</w:t>
      </w:r>
    </w:p>
    <w:p w14:paraId="4898FFF6">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本轮金属牛市的动力，主要来自于以下三个方面。</w:t>
      </w:r>
    </w:p>
    <w:p w14:paraId="69F5B937">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仿宋_GBK" w:hAnsi="方正仿宋_GBK" w:eastAsia="方正仿宋_GBK" w:cs="方正仿宋_GBK"/>
          <w:b w:val="0"/>
          <w:bCs w:val="0"/>
          <w:sz w:val="32"/>
          <w:szCs w:val="32"/>
        </w:rPr>
      </w:pPr>
      <w:r>
        <w:rPr>
          <w:rFonts w:hint="eastAsia" w:ascii="方正楷体_GBK" w:hAnsi="方正楷体_GBK" w:eastAsia="方正楷体_GBK" w:cs="方正楷体_GBK"/>
          <w:b w:val="0"/>
          <w:bCs w:val="0"/>
          <w:sz w:val="32"/>
          <w:szCs w:val="32"/>
        </w:rPr>
        <w:t>首先，全球货币宽松与美元弱势，驱动实物资产价值重估</w:t>
      </w:r>
      <w:r>
        <w:rPr>
          <w:rFonts w:hint="eastAsia" w:ascii="方正仿宋_GBK" w:hAnsi="方正仿宋_GBK" w:eastAsia="方正仿宋_GBK" w:cs="方正仿宋_GBK"/>
          <w:b w:val="0"/>
          <w:bCs w:val="0"/>
          <w:sz w:val="32"/>
          <w:szCs w:val="32"/>
        </w:rPr>
        <w:t>。</w:t>
      </w:r>
    </w:p>
    <w:p w14:paraId="415FBEFF">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仿宋_GBK" w:hAnsi="方正仿宋_GBK" w:eastAsia="方正仿宋_GBK" w:cs="方正仿宋_GBK"/>
          <w:b w:val="0"/>
          <w:bCs w:val="0"/>
          <w:sz w:val="32"/>
          <w:szCs w:val="32"/>
        </w:rPr>
      </w:pPr>
      <w:r>
        <w:rPr>
          <w:rFonts w:hint="eastAsia" w:ascii="Times New Roman" w:hAnsi="Times New Roman" w:eastAsia="方正仿宋_GBK" w:cs="Times New Roman"/>
          <w:b w:val="0"/>
          <w:bCs w:val="0"/>
          <w:sz w:val="32"/>
          <w:szCs w:val="32"/>
        </w:rPr>
        <w:t>2025</w:t>
      </w:r>
      <w:r>
        <w:rPr>
          <w:rFonts w:hint="eastAsia" w:ascii="方正仿宋_GBK" w:hAnsi="方正仿宋_GBK" w:eastAsia="方正仿宋_GBK" w:cs="方正仿宋_GBK"/>
          <w:b w:val="0"/>
          <w:bCs w:val="0"/>
          <w:sz w:val="32"/>
          <w:szCs w:val="32"/>
        </w:rPr>
        <w:t>年以来，全球主要央行转向宽松货币政策。美联储从高利率水平连续降息，累计超过</w:t>
      </w:r>
      <w:r>
        <w:rPr>
          <w:rFonts w:hint="eastAsia" w:ascii="Times New Roman" w:hAnsi="Times New Roman" w:eastAsia="方正仿宋_GBK" w:cs="Times New Roman"/>
          <w:b w:val="0"/>
          <w:bCs w:val="0"/>
          <w:sz w:val="32"/>
          <w:szCs w:val="32"/>
        </w:rPr>
        <w:t>150</w:t>
      </w:r>
      <w:r>
        <w:rPr>
          <w:rFonts w:hint="eastAsia" w:ascii="方正仿宋_GBK" w:hAnsi="方正仿宋_GBK" w:eastAsia="方正仿宋_GBK" w:cs="方正仿宋_GBK"/>
          <w:b w:val="0"/>
          <w:bCs w:val="0"/>
          <w:sz w:val="32"/>
          <w:szCs w:val="32"/>
        </w:rPr>
        <w:t>基点，</w:t>
      </w:r>
      <w:r>
        <w:rPr>
          <w:rFonts w:hint="eastAsia" w:ascii="Times New Roman" w:hAnsi="Times New Roman" w:eastAsia="方正仿宋_GBK" w:cs="Times New Roman"/>
          <w:b w:val="0"/>
          <w:bCs w:val="0"/>
          <w:sz w:val="32"/>
          <w:szCs w:val="32"/>
        </w:rPr>
        <w:t>2026</w:t>
      </w:r>
      <w:r>
        <w:rPr>
          <w:rFonts w:hint="eastAsia" w:ascii="方正仿宋_GBK" w:hAnsi="方正仿宋_GBK" w:eastAsia="方正仿宋_GBK" w:cs="方正仿宋_GBK"/>
          <w:b w:val="0"/>
          <w:bCs w:val="0"/>
          <w:sz w:val="32"/>
          <w:szCs w:val="32"/>
        </w:rPr>
        <w:t>年仍持续降息预期。欧元区和日本等主要经济体也同步放松政策，导致全球实际利率大幅下降，美国实际收益率显著降低。与此同时，美元指数从</w:t>
      </w:r>
      <w:r>
        <w:rPr>
          <w:rFonts w:hint="eastAsia" w:ascii="Times New Roman" w:hAnsi="Times New Roman" w:eastAsia="方正仿宋_GBK" w:cs="Times New Roman"/>
          <w:b w:val="0"/>
          <w:bCs w:val="0"/>
          <w:sz w:val="32"/>
          <w:szCs w:val="32"/>
        </w:rPr>
        <w:t>2025</w:t>
      </w:r>
      <w:r>
        <w:rPr>
          <w:rFonts w:hint="eastAsia" w:ascii="方正仿宋_GBK" w:hAnsi="方正仿宋_GBK" w:eastAsia="方正仿宋_GBK" w:cs="方正仿宋_GBK"/>
          <w:b w:val="0"/>
          <w:bCs w:val="0"/>
          <w:sz w:val="32"/>
          <w:szCs w:val="32"/>
        </w:rPr>
        <w:t>年初高位下跌超过</w:t>
      </w:r>
      <w:r>
        <w:rPr>
          <w:rFonts w:hint="eastAsia" w:ascii="Times New Roman" w:hAnsi="Times New Roman" w:eastAsia="方正仿宋_GBK" w:cs="Times New Roman"/>
          <w:b w:val="0"/>
          <w:bCs w:val="0"/>
          <w:sz w:val="32"/>
          <w:szCs w:val="32"/>
        </w:rPr>
        <w:t>10%</w:t>
      </w:r>
      <w:r>
        <w:rPr>
          <w:rFonts w:hint="eastAsia" w:ascii="方正仿宋_GBK" w:hAnsi="方正仿宋_GBK" w:eastAsia="方正仿宋_GBK" w:cs="方正仿宋_GBK"/>
          <w:b w:val="0"/>
          <w:bCs w:val="0"/>
          <w:sz w:val="32"/>
          <w:szCs w:val="32"/>
        </w:rPr>
        <w:t>，一度跌破关键支撑，创下近年低点。这一弱势源于美国财政赤字持续扩大，</w:t>
      </w:r>
      <w:r>
        <w:rPr>
          <w:rFonts w:hint="eastAsia" w:ascii="Times New Roman" w:hAnsi="Times New Roman" w:eastAsia="方正仿宋_GBK" w:cs="Times New Roman"/>
          <w:b w:val="0"/>
          <w:bCs w:val="0"/>
          <w:sz w:val="32"/>
          <w:szCs w:val="32"/>
        </w:rPr>
        <w:t>2025</w:t>
      </w:r>
      <w:r>
        <w:rPr>
          <w:rFonts w:hint="eastAsia" w:ascii="方正仿宋_GBK" w:hAnsi="方正仿宋_GBK" w:eastAsia="方正仿宋_GBK" w:cs="方正仿宋_GBK"/>
          <w:b w:val="0"/>
          <w:bCs w:val="0"/>
          <w:sz w:val="32"/>
          <w:szCs w:val="32"/>
        </w:rPr>
        <w:t>财年赤字占</w:t>
      </w:r>
      <w:r>
        <w:rPr>
          <w:rFonts w:hint="eastAsia" w:ascii="Times New Roman" w:hAnsi="Times New Roman" w:eastAsia="方正仿宋_GBK" w:cs="Times New Roman"/>
          <w:b w:val="0"/>
          <w:bCs w:val="0"/>
          <w:sz w:val="32"/>
          <w:szCs w:val="32"/>
        </w:rPr>
        <w:t>GDP</w:t>
      </w:r>
      <w:r>
        <w:rPr>
          <w:rFonts w:hint="eastAsia" w:ascii="方正仿宋_GBK" w:hAnsi="方正仿宋_GBK" w:eastAsia="方正仿宋_GBK" w:cs="方正仿宋_GBK"/>
          <w:b w:val="0"/>
          <w:bCs w:val="0"/>
          <w:sz w:val="32"/>
          <w:szCs w:val="32"/>
        </w:rPr>
        <w:t>比重超过</w:t>
      </w:r>
      <w:r>
        <w:rPr>
          <w:rFonts w:hint="eastAsia" w:ascii="Times New Roman" w:hAnsi="Times New Roman" w:eastAsia="方正仿宋_GBK" w:cs="Times New Roman"/>
          <w:b w:val="0"/>
          <w:bCs w:val="0"/>
          <w:sz w:val="32"/>
          <w:szCs w:val="32"/>
        </w:rPr>
        <w:t>6%</w:t>
      </w:r>
      <w:r>
        <w:rPr>
          <w:rFonts w:hint="eastAsia" w:ascii="方正仿宋_GBK" w:hAnsi="方正仿宋_GBK" w:eastAsia="方正仿宋_GBK" w:cs="方正仿宋_GBK"/>
          <w:b w:val="0"/>
          <w:bCs w:val="0"/>
          <w:sz w:val="32"/>
          <w:szCs w:val="32"/>
        </w:rPr>
        <w:t>至</w:t>
      </w:r>
      <w:r>
        <w:rPr>
          <w:rFonts w:hint="eastAsia" w:ascii="Times New Roman" w:hAnsi="Times New Roman" w:eastAsia="方正仿宋_GBK" w:cs="Times New Roman"/>
          <w:b w:val="0"/>
          <w:bCs w:val="0"/>
          <w:sz w:val="32"/>
          <w:szCs w:val="32"/>
        </w:rPr>
        <w:t>7%</w:t>
      </w:r>
      <w:r>
        <w:rPr>
          <w:rFonts w:hint="eastAsia" w:ascii="方正仿宋_GBK" w:hAnsi="方正仿宋_GBK" w:eastAsia="方正仿宋_GBK" w:cs="方正仿宋_GBK"/>
          <w:b w:val="0"/>
          <w:bCs w:val="0"/>
          <w:sz w:val="32"/>
          <w:szCs w:val="32"/>
        </w:rPr>
        <w:t>，贸易政策不确定性加剧，以及全球去美元化趋势加速。各国央行增加黄金等硬资产储备，进一步削弱美元信用。</w:t>
      </w:r>
    </w:p>
    <w:p w14:paraId="09BC0E27">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国际大宗商品以美元计价。当美元指数持续走低时，即使金属内在价值保持不变，其美元标价也会相应上涨。这一机制直接放大价格涨幅，美元每贬值</w:t>
      </w:r>
      <w:r>
        <w:rPr>
          <w:rFonts w:hint="eastAsia" w:ascii="Times New Roman" w:hAnsi="Times New Roman" w:eastAsia="方正仿宋_GBK" w:cs="Times New Roman"/>
          <w:b w:val="0"/>
          <w:bCs w:val="0"/>
          <w:sz w:val="32"/>
          <w:szCs w:val="32"/>
        </w:rPr>
        <w:t>1%</w:t>
      </w:r>
      <w:r>
        <w:rPr>
          <w:rFonts w:hint="eastAsia" w:ascii="方正仿宋_GBK" w:hAnsi="方正仿宋_GBK" w:eastAsia="方正仿宋_GBK" w:cs="方正仿宋_GBK"/>
          <w:b w:val="0"/>
          <w:bCs w:val="0"/>
          <w:sz w:val="32"/>
          <w:szCs w:val="32"/>
        </w:rPr>
        <w:t>，工业金属指数历史平均上涨</w:t>
      </w:r>
      <w:r>
        <w:rPr>
          <w:rFonts w:hint="eastAsia" w:ascii="Times New Roman" w:hAnsi="Times New Roman" w:eastAsia="方正仿宋_GBK" w:cs="Times New Roman"/>
          <w:b w:val="0"/>
          <w:bCs w:val="0"/>
          <w:sz w:val="32"/>
          <w:szCs w:val="32"/>
        </w:rPr>
        <w:t>2%</w:t>
      </w:r>
      <w:r>
        <w:rPr>
          <w:rFonts w:hint="eastAsia" w:ascii="方正仿宋_GBK" w:hAnsi="方正仿宋_GBK" w:eastAsia="方正仿宋_GBK" w:cs="方正仿宋_GBK"/>
          <w:b w:val="0"/>
          <w:bCs w:val="0"/>
          <w:sz w:val="32"/>
          <w:szCs w:val="32"/>
        </w:rPr>
        <w:t>至</w:t>
      </w:r>
      <w:r>
        <w:rPr>
          <w:rFonts w:hint="eastAsia" w:ascii="Times New Roman" w:hAnsi="Times New Roman" w:eastAsia="方正仿宋_GBK" w:cs="Times New Roman"/>
          <w:b w:val="0"/>
          <w:bCs w:val="0"/>
          <w:sz w:val="32"/>
          <w:szCs w:val="32"/>
        </w:rPr>
        <w:t>4%</w:t>
      </w:r>
      <w:r>
        <w:rPr>
          <w:rFonts w:hint="eastAsia" w:ascii="方正仿宋_GBK" w:hAnsi="方正仿宋_GBK" w:eastAsia="方正仿宋_GBK" w:cs="方正仿宋_GBK"/>
          <w:b w:val="0"/>
          <w:bCs w:val="0"/>
          <w:sz w:val="32"/>
          <w:szCs w:val="32"/>
        </w:rPr>
        <w:t>。</w:t>
      </w:r>
      <w:r>
        <w:rPr>
          <w:rFonts w:hint="eastAsia" w:ascii="Times New Roman" w:hAnsi="Times New Roman" w:eastAsia="方正仿宋_GBK" w:cs="Times New Roman"/>
          <w:b w:val="0"/>
          <w:bCs w:val="0"/>
          <w:sz w:val="32"/>
          <w:szCs w:val="32"/>
        </w:rPr>
        <w:t>2025</w:t>
      </w:r>
      <w:r>
        <w:rPr>
          <w:rFonts w:hint="eastAsia" w:ascii="方正仿宋_GBK" w:hAnsi="方正仿宋_GBK" w:eastAsia="方正仿宋_GBK" w:cs="方正仿宋_GBK"/>
          <w:b w:val="0"/>
          <w:bCs w:val="0"/>
          <w:sz w:val="32"/>
          <w:szCs w:val="32"/>
        </w:rPr>
        <w:t>年至</w:t>
      </w:r>
      <w:r>
        <w:rPr>
          <w:rFonts w:hint="eastAsia" w:ascii="Times New Roman" w:hAnsi="Times New Roman" w:eastAsia="方正仿宋_GBK" w:cs="Times New Roman"/>
          <w:b w:val="0"/>
          <w:bCs w:val="0"/>
          <w:sz w:val="32"/>
          <w:szCs w:val="32"/>
        </w:rPr>
        <w:t>2026</w:t>
      </w:r>
      <w:r>
        <w:rPr>
          <w:rFonts w:hint="eastAsia" w:ascii="方正仿宋_GBK" w:hAnsi="方正仿宋_GBK" w:eastAsia="方正仿宋_GBK" w:cs="方正仿宋_GBK"/>
          <w:b w:val="0"/>
          <w:bCs w:val="0"/>
          <w:sz w:val="32"/>
          <w:szCs w:val="32"/>
        </w:rPr>
        <w:t>年，美元弱势直接贡献了金属价格</w:t>
      </w:r>
      <w:r>
        <w:rPr>
          <w:rFonts w:hint="eastAsia" w:ascii="Times New Roman" w:hAnsi="Times New Roman" w:eastAsia="方正仿宋_GBK" w:cs="Times New Roman"/>
          <w:b w:val="0"/>
          <w:bCs w:val="0"/>
          <w:sz w:val="32"/>
          <w:szCs w:val="32"/>
        </w:rPr>
        <w:t>20%</w:t>
      </w:r>
      <w:r>
        <w:rPr>
          <w:rFonts w:hint="eastAsia" w:ascii="方正仿宋_GBK" w:hAnsi="方正仿宋_GBK" w:eastAsia="方正仿宋_GBK" w:cs="方正仿宋_GBK"/>
          <w:b w:val="0"/>
          <w:bCs w:val="0"/>
          <w:sz w:val="32"/>
          <w:szCs w:val="32"/>
        </w:rPr>
        <w:t>至</w:t>
      </w:r>
      <w:r>
        <w:rPr>
          <w:rFonts w:hint="eastAsia" w:ascii="Times New Roman" w:hAnsi="Times New Roman" w:eastAsia="方正仿宋_GBK" w:cs="Times New Roman"/>
          <w:b w:val="0"/>
          <w:bCs w:val="0"/>
          <w:sz w:val="32"/>
          <w:szCs w:val="32"/>
        </w:rPr>
        <w:t>30%</w:t>
      </w:r>
      <w:r>
        <w:rPr>
          <w:rFonts w:hint="eastAsia" w:ascii="方正仿宋_GBK" w:hAnsi="方正仿宋_GBK" w:eastAsia="方正仿宋_GBK" w:cs="方正仿宋_GBK"/>
          <w:b w:val="0"/>
          <w:bCs w:val="0"/>
          <w:sz w:val="32"/>
          <w:szCs w:val="32"/>
        </w:rPr>
        <w:t>的涨幅。</w:t>
      </w:r>
    </w:p>
    <w:p w14:paraId="19C34CD9">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更深层的原因在于全球资金对纸币信用的信任度下降。投资者不再无条件接受法定货币的长期稳定性，转而寻求不可随意增发的硬资产作为价值储存。黄金暴涨突破</w:t>
      </w:r>
      <w:r>
        <w:rPr>
          <w:rFonts w:hint="eastAsia" w:ascii="Times New Roman" w:hAnsi="Times New Roman" w:eastAsia="方正仿宋_GBK" w:cs="Times New Roman"/>
          <w:b w:val="0"/>
          <w:bCs w:val="0"/>
          <w:sz w:val="32"/>
          <w:szCs w:val="32"/>
        </w:rPr>
        <w:t>5000</w:t>
      </w:r>
      <w:r>
        <w:rPr>
          <w:rFonts w:hint="eastAsia" w:ascii="方正仿宋_GBK" w:hAnsi="方正仿宋_GBK" w:eastAsia="方正仿宋_GBK" w:cs="方正仿宋_GBK"/>
          <w:b w:val="0"/>
          <w:bCs w:val="0"/>
          <w:sz w:val="32"/>
          <w:szCs w:val="32"/>
        </w:rPr>
        <w:t>美元/盎司，白银创纪录高点，铜、铝等工业金属价格中枢整体上移，这些现象本质相同。资金集体转向实物资产，以对冲货币贬值风险和购买力侵蚀。在货币信用走弱的环境下，实物资产在长期资产配置中的相对吸引力显著上升。</w:t>
      </w:r>
    </w:p>
    <w:p w14:paraId="4D5A85A5">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工业金属因此获得双重支撑。一方面，它们作为工业原料受益于需求；另一方面，它们作为硬资产参与实物重估过程。不同于传统经济周期拉动，本轮牛市的底层逻辑正是货币宽松与美元弱势引发的价值重估。金属不再单纯是生产资料，而是全球资金避险配置的核心标的。</w:t>
      </w:r>
    </w:p>
    <w:p w14:paraId="05255ED8">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仿宋_GBK" w:hAnsi="方正仿宋_GBK" w:eastAsia="方正仿宋_GBK" w:cs="方正仿宋_GBK"/>
          <w:b w:val="0"/>
          <w:bCs w:val="0"/>
          <w:sz w:val="32"/>
          <w:szCs w:val="32"/>
        </w:rPr>
      </w:pPr>
      <w:r>
        <w:rPr>
          <w:rFonts w:hint="eastAsia" w:ascii="方正楷体_GBK" w:hAnsi="方正楷体_GBK" w:eastAsia="方正楷体_GBK" w:cs="方正楷体_GBK"/>
          <w:b w:val="0"/>
          <w:bCs w:val="0"/>
          <w:sz w:val="32"/>
          <w:szCs w:val="32"/>
        </w:rPr>
        <w:t>第二，地缘政治风险与政策干预，驱动全球供应链结构性重构</w:t>
      </w:r>
      <w:r>
        <w:rPr>
          <w:rFonts w:hint="eastAsia" w:ascii="方正仿宋_GBK" w:hAnsi="方正仿宋_GBK" w:eastAsia="方正仿宋_GBK" w:cs="方正仿宋_GBK"/>
          <w:b w:val="0"/>
          <w:bCs w:val="0"/>
          <w:sz w:val="32"/>
          <w:szCs w:val="32"/>
        </w:rPr>
        <w:t>。</w:t>
      </w:r>
    </w:p>
    <w:p w14:paraId="745CB867">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仿宋_GBK" w:hAnsi="方正仿宋_GBK" w:eastAsia="方正仿宋_GBK" w:cs="方正仿宋_GBK"/>
          <w:b w:val="0"/>
          <w:bCs w:val="0"/>
          <w:sz w:val="32"/>
          <w:szCs w:val="32"/>
        </w:rPr>
      </w:pPr>
      <w:r>
        <w:rPr>
          <w:rFonts w:hint="eastAsia" w:ascii="Times New Roman" w:hAnsi="Times New Roman" w:eastAsia="方正仿宋_GBK" w:cs="Times New Roman"/>
          <w:b w:val="0"/>
          <w:bCs w:val="0"/>
          <w:sz w:val="32"/>
          <w:szCs w:val="32"/>
        </w:rPr>
        <w:t>2022</w:t>
      </w:r>
      <w:r>
        <w:rPr>
          <w:rFonts w:hint="eastAsia" w:ascii="方正仿宋_GBK" w:hAnsi="方正仿宋_GBK" w:eastAsia="方正仿宋_GBK" w:cs="方正仿宋_GBK"/>
          <w:b w:val="0"/>
          <w:bCs w:val="0"/>
          <w:sz w:val="32"/>
          <w:szCs w:val="32"/>
        </w:rPr>
        <w:t>年俄乌战争爆发以来，地缘政治紧张加剧，叠加各国资源民族主义和本土化政策，导致全球工业金属供应链发生深刻变化。过去依赖全球化分工的廉价高效模式，正被安全优先、分散化和本土控制的结构性重构所取代。主要经济体通过出口限制、配额管理、生产干预和投资转移，重新塑造供应链格局。这些举措并非短期冲击，而是长期趋势，旨在降低对单一来源的依赖，同时提升本国产业价值链地位。</w:t>
      </w:r>
    </w:p>
    <w:p w14:paraId="1B5ADBD2">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典型案例包括印尼镍矿、刚果（金）钴出口和中国的稀土管制。印尼作为全球最大镍生产国，</w:t>
      </w:r>
      <w:r>
        <w:rPr>
          <w:rFonts w:hint="eastAsia" w:ascii="Times New Roman" w:hAnsi="Times New Roman" w:eastAsia="方正仿宋_GBK" w:cs="Times New Roman"/>
          <w:b w:val="0"/>
          <w:bCs w:val="0"/>
          <w:sz w:val="32"/>
          <w:szCs w:val="32"/>
        </w:rPr>
        <w:t>2025</w:t>
      </w:r>
      <w:r>
        <w:rPr>
          <w:rFonts w:hint="eastAsia" w:ascii="方正仿宋_GBK" w:hAnsi="方正仿宋_GBK" w:eastAsia="方正仿宋_GBK" w:cs="方正仿宋_GBK"/>
          <w:b w:val="0"/>
          <w:bCs w:val="0"/>
          <w:sz w:val="32"/>
          <w:szCs w:val="32"/>
        </w:rPr>
        <w:t>年持续执行矿石出口禁令，并于年底宣布</w:t>
      </w:r>
      <w:r>
        <w:rPr>
          <w:rFonts w:hint="eastAsia" w:ascii="Times New Roman" w:hAnsi="Times New Roman" w:eastAsia="方正仿宋_GBK" w:cs="Times New Roman"/>
          <w:b w:val="0"/>
          <w:bCs w:val="0"/>
          <w:sz w:val="32"/>
          <w:szCs w:val="32"/>
        </w:rPr>
        <w:t>2026</w:t>
      </w:r>
      <w:r>
        <w:rPr>
          <w:rFonts w:hint="eastAsia" w:ascii="方正仿宋_GBK" w:hAnsi="方正仿宋_GBK" w:eastAsia="方正仿宋_GBK" w:cs="方正仿宋_GBK"/>
          <w:b w:val="0"/>
          <w:bCs w:val="0"/>
          <w:sz w:val="32"/>
          <w:szCs w:val="32"/>
        </w:rPr>
        <w:t>年镍矿生产配额大幅削减约三分之一，从</w:t>
      </w:r>
      <w:r>
        <w:rPr>
          <w:rFonts w:hint="eastAsia" w:ascii="Times New Roman" w:hAnsi="Times New Roman" w:eastAsia="方正仿宋_GBK" w:cs="Times New Roman"/>
          <w:b w:val="0"/>
          <w:bCs w:val="0"/>
          <w:sz w:val="32"/>
          <w:szCs w:val="32"/>
        </w:rPr>
        <w:t>2025</w:t>
      </w:r>
      <w:r>
        <w:rPr>
          <w:rFonts w:hint="eastAsia" w:ascii="方正仿宋_GBK" w:hAnsi="方正仿宋_GBK" w:eastAsia="方正仿宋_GBK" w:cs="方正仿宋_GBK"/>
          <w:b w:val="0"/>
          <w:bCs w:val="0"/>
          <w:sz w:val="32"/>
          <w:szCs w:val="32"/>
        </w:rPr>
        <w:t>年的约</w:t>
      </w:r>
      <w:r>
        <w:rPr>
          <w:rFonts w:hint="eastAsia" w:ascii="Times New Roman" w:hAnsi="Times New Roman" w:eastAsia="方正仿宋_GBK" w:cs="Times New Roman"/>
          <w:b w:val="0"/>
          <w:bCs w:val="0"/>
          <w:sz w:val="32"/>
          <w:szCs w:val="32"/>
        </w:rPr>
        <w:t>379</w:t>
      </w:r>
      <w:r>
        <w:rPr>
          <w:rFonts w:hint="eastAsia" w:ascii="方正仿宋_GBK" w:hAnsi="方正仿宋_GBK" w:eastAsia="方正仿宋_GBK" w:cs="方正仿宋_GBK"/>
          <w:b w:val="0"/>
          <w:bCs w:val="0"/>
          <w:sz w:val="32"/>
          <w:szCs w:val="32"/>
        </w:rPr>
        <w:t>百万吨降至</w:t>
      </w:r>
      <w:r>
        <w:rPr>
          <w:rFonts w:hint="eastAsia" w:ascii="Times New Roman" w:hAnsi="Times New Roman" w:eastAsia="方正仿宋_GBK" w:cs="Times New Roman"/>
          <w:b w:val="0"/>
          <w:bCs w:val="0"/>
          <w:sz w:val="32"/>
          <w:szCs w:val="32"/>
        </w:rPr>
        <w:t>250-260</w:t>
      </w:r>
      <w:r>
        <w:rPr>
          <w:rFonts w:hint="eastAsia" w:ascii="方正仿宋_GBK" w:hAnsi="方正仿宋_GBK" w:eastAsia="方正仿宋_GBK" w:cs="方正仿宋_GBK"/>
          <w:b w:val="0"/>
          <w:bCs w:val="0"/>
          <w:sz w:val="32"/>
          <w:szCs w:val="32"/>
        </w:rPr>
        <w:t>百万吨左右。这一政策旨在打击低效和高污染产能，支持价格稳定，并推动下游加工增值。结果，镍价在</w:t>
      </w:r>
      <w:r>
        <w:rPr>
          <w:rFonts w:hint="eastAsia" w:ascii="Times New Roman" w:hAnsi="Times New Roman" w:eastAsia="方正仿宋_GBK" w:cs="Times New Roman"/>
          <w:b w:val="0"/>
          <w:bCs w:val="0"/>
          <w:sz w:val="32"/>
          <w:szCs w:val="32"/>
        </w:rPr>
        <w:t>2025</w:t>
      </w:r>
      <w:r>
        <w:rPr>
          <w:rFonts w:hint="eastAsia" w:ascii="方正仿宋_GBK" w:hAnsi="方正仿宋_GBK" w:eastAsia="方正仿宋_GBK" w:cs="方正仿宋_GBK"/>
          <w:b w:val="0"/>
          <w:bCs w:val="0"/>
          <w:sz w:val="32"/>
          <w:szCs w:val="32"/>
        </w:rPr>
        <w:t>年底至</w:t>
      </w:r>
      <w:r>
        <w:rPr>
          <w:rFonts w:hint="eastAsia" w:ascii="Times New Roman" w:hAnsi="Times New Roman" w:eastAsia="方正仿宋_GBK" w:cs="Times New Roman"/>
          <w:b w:val="0"/>
          <w:bCs w:val="0"/>
          <w:sz w:val="32"/>
          <w:szCs w:val="32"/>
        </w:rPr>
        <w:t>2026</w:t>
      </w:r>
      <w:r>
        <w:rPr>
          <w:rFonts w:hint="eastAsia" w:ascii="方正仿宋_GBK" w:hAnsi="方正仿宋_GBK" w:eastAsia="方正仿宋_GBK" w:cs="方正仿宋_GBK"/>
          <w:b w:val="0"/>
          <w:bCs w:val="0"/>
          <w:sz w:val="32"/>
          <w:szCs w:val="32"/>
        </w:rPr>
        <w:t>年初出现显著反弹，市场从过剩转向紧平衡。</w:t>
      </w:r>
    </w:p>
    <w:p w14:paraId="3F6E49F5">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刚果（金）作为钴供应主导国（占全球约</w:t>
      </w:r>
      <w:r>
        <w:rPr>
          <w:rFonts w:hint="eastAsia" w:ascii="Times New Roman" w:hAnsi="Times New Roman" w:eastAsia="方正仿宋_GBK" w:cs="Times New Roman"/>
          <w:b w:val="0"/>
          <w:bCs w:val="0"/>
          <w:sz w:val="32"/>
          <w:szCs w:val="32"/>
        </w:rPr>
        <w:t>70%</w:t>
      </w:r>
      <w:r>
        <w:rPr>
          <w:rFonts w:hint="eastAsia" w:ascii="方正仿宋_GBK" w:hAnsi="方正仿宋_GBK" w:eastAsia="方正仿宋_GBK" w:cs="方正仿宋_GBK"/>
          <w:b w:val="0"/>
          <w:bCs w:val="0"/>
          <w:sz w:val="32"/>
          <w:szCs w:val="32"/>
        </w:rPr>
        <w:t>），</w:t>
      </w:r>
      <w:r>
        <w:rPr>
          <w:rFonts w:hint="eastAsia" w:ascii="Times New Roman" w:hAnsi="Times New Roman" w:eastAsia="方正仿宋_GBK" w:cs="Times New Roman"/>
          <w:b w:val="0"/>
          <w:bCs w:val="0"/>
          <w:sz w:val="32"/>
          <w:szCs w:val="32"/>
        </w:rPr>
        <w:t>2025</w:t>
      </w:r>
      <w:r>
        <w:rPr>
          <w:rFonts w:hint="eastAsia" w:ascii="方正仿宋_GBK" w:hAnsi="方正仿宋_GBK" w:eastAsia="方正仿宋_GBK" w:cs="方正仿宋_GBK"/>
          <w:b w:val="0"/>
          <w:bCs w:val="0"/>
          <w:sz w:val="32"/>
          <w:szCs w:val="32"/>
        </w:rPr>
        <w:t>年</w:t>
      </w:r>
      <w:r>
        <w:rPr>
          <w:rFonts w:hint="eastAsia" w:ascii="Times New Roman" w:hAnsi="Times New Roman" w:eastAsia="方正仿宋_GBK" w:cs="Times New Roman"/>
          <w:b w:val="0"/>
          <w:bCs w:val="0"/>
          <w:sz w:val="32"/>
          <w:szCs w:val="32"/>
        </w:rPr>
        <w:t>2</w:t>
      </w:r>
      <w:r>
        <w:rPr>
          <w:rFonts w:hint="eastAsia" w:ascii="方正仿宋_GBK" w:hAnsi="方正仿宋_GBK" w:eastAsia="方正仿宋_GBK" w:cs="方正仿宋_GBK"/>
          <w:b w:val="0"/>
          <w:bCs w:val="0"/>
          <w:sz w:val="32"/>
          <w:szCs w:val="32"/>
        </w:rPr>
        <w:t>月实施全面出口禁令，后转为严格配额制度。</w:t>
      </w:r>
      <w:r>
        <w:rPr>
          <w:rFonts w:hint="eastAsia" w:ascii="Times New Roman" w:hAnsi="Times New Roman" w:eastAsia="方正仿宋_GBK" w:cs="Times New Roman"/>
          <w:b w:val="0"/>
          <w:bCs w:val="0"/>
          <w:sz w:val="32"/>
          <w:szCs w:val="32"/>
        </w:rPr>
        <w:t>2025</w:t>
      </w:r>
      <w:r>
        <w:rPr>
          <w:rFonts w:hint="eastAsia" w:ascii="方正仿宋_GBK" w:hAnsi="方正仿宋_GBK" w:eastAsia="方正仿宋_GBK" w:cs="方正仿宋_GBK"/>
          <w:b w:val="0"/>
          <w:bCs w:val="0"/>
          <w:sz w:val="32"/>
          <w:szCs w:val="32"/>
        </w:rPr>
        <w:t>年剩余期限出口上限约</w:t>
      </w:r>
      <w:r>
        <w:rPr>
          <w:rFonts w:hint="eastAsia" w:ascii="Times New Roman" w:hAnsi="Times New Roman" w:eastAsia="方正仿宋_GBK" w:cs="Times New Roman"/>
          <w:b w:val="0"/>
          <w:bCs w:val="0"/>
          <w:sz w:val="32"/>
          <w:szCs w:val="32"/>
        </w:rPr>
        <w:t>1.8</w:t>
      </w:r>
      <w:r>
        <w:rPr>
          <w:rFonts w:hint="eastAsia" w:ascii="方正仿宋_GBK" w:hAnsi="方正仿宋_GBK" w:eastAsia="方正仿宋_GBK" w:cs="方正仿宋_GBK"/>
          <w:b w:val="0"/>
          <w:bCs w:val="0"/>
          <w:sz w:val="32"/>
          <w:szCs w:val="32"/>
        </w:rPr>
        <w:t>万吨，</w:t>
      </w:r>
      <w:r>
        <w:rPr>
          <w:rFonts w:hint="eastAsia" w:ascii="Times New Roman" w:hAnsi="Times New Roman" w:eastAsia="方正仿宋_GBK" w:cs="Times New Roman"/>
          <w:b w:val="0"/>
          <w:bCs w:val="0"/>
          <w:sz w:val="32"/>
          <w:szCs w:val="32"/>
        </w:rPr>
        <w:t>2026-2027</w:t>
      </w:r>
      <w:r>
        <w:rPr>
          <w:rFonts w:hint="eastAsia" w:ascii="方正仿宋_GBK" w:hAnsi="方正仿宋_GBK" w:eastAsia="方正仿宋_GBK" w:cs="方正仿宋_GBK"/>
          <w:b w:val="0"/>
          <w:bCs w:val="0"/>
          <w:sz w:val="32"/>
          <w:szCs w:val="32"/>
        </w:rPr>
        <w:t>年年度上限约</w:t>
      </w:r>
      <w:r>
        <w:rPr>
          <w:rFonts w:hint="eastAsia" w:ascii="Times New Roman" w:hAnsi="Times New Roman" w:eastAsia="方正仿宋_GBK" w:cs="Times New Roman"/>
          <w:b w:val="0"/>
          <w:bCs w:val="0"/>
          <w:sz w:val="32"/>
          <w:szCs w:val="32"/>
        </w:rPr>
        <w:t>9.66</w:t>
      </w:r>
      <w:r>
        <w:rPr>
          <w:rFonts w:hint="eastAsia" w:ascii="方正仿宋_GBK" w:hAnsi="方正仿宋_GBK" w:eastAsia="方正仿宋_GBK" w:cs="方正仿宋_GBK"/>
          <w:b w:val="0"/>
          <w:bCs w:val="0"/>
          <w:sz w:val="32"/>
          <w:szCs w:val="32"/>
        </w:rPr>
        <w:t>万吨，较此前大幅砍半。这一转变直接逆转市场过剩局面，钴价从低谷反弹逾</w:t>
      </w:r>
      <w:r>
        <w:rPr>
          <w:rFonts w:hint="eastAsia" w:ascii="Times New Roman" w:hAnsi="Times New Roman" w:eastAsia="方正仿宋_GBK" w:cs="Times New Roman"/>
          <w:b w:val="0"/>
          <w:bCs w:val="0"/>
          <w:sz w:val="32"/>
          <w:szCs w:val="32"/>
        </w:rPr>
        <w:t>100%</w:t>
      </w:r>
      <w:r>
        <w:rPr>
          <w:rFonts w:hint="eastAsia" w:ascii="方正仿宋_GBK" w:hAnsi="方正仿宋_GBK" w:eastAsia="方正仿宋_GBK" w:cs="方正仿宋_GBK"/>
          <w:b w:val="0"/>
          <w:bCs w:val="0"/>
          <w:sz w:val="32"/>
          <w:szCs w:val="32"/>
        </w:rPr>
        <w:t>，部分时期翻倍。配额机制优先保障本土加工和战略储备，进一步强化供应链控制。</w:t>
      </w:r>
    </w:p>
    <w:p w14:paraId="6F21F073">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中国对稀土出口的管制同样关键。</w:t>
      </w:r>
      <w:r>
        <w:rPr>
          <w:rFonts w:hint="eastAsia" w:ascii="Times New Roman" w:hAnsi="Times New Roman" w:eastAsia="方正仿宋_GBK" w:cs="Times New Roman"/>
          <w:b w:val="0"/>
          <w:bCs w:val="0"/>
          <w:sz w:val="32"/>
          <w:szCs w:val="32"/>
        </w:rPr>
        <w:t>2025</w:t>
      </w:r>
      <w:r>
        <w:rPr>
          <w:rFonts w:hint="eastAsia" w:ascii="方正仿宋_GBK" w:hAnsi="方正仿宋_GBK" w:eastAsia="方正仿宋_GBK" w:cs="方正仿宋_GBK"/>
          <w:b w:val="0"/>
          <w:bCs w:val="0"/>
          <w:sz w:val="32"/>
          <w:szCs w:val="32"/>
        </w:rPr>
        <w:t>年</w:t>
      </w:r>
      <w:r>
        <w:rPr>
          <w:rFonts w:hint="eastAsia" w:ascii="Times New Roman" w:hAnsi="Times New Roman" w:eastAsia="方正仿宋_GBK" w:cs="Times New Roman"/>
          <w:b w:val="0"/>
          <w:bCs w:val="0"/>
          <w:sz w:val="32"/>
          <w:szCs w:val="32"/>
        </w:rPr>
        <w:t>4</w:t>
      </w:r>
      <w:r>
        <w:rPr>
          <w:rFonts w:hint="eastAsia" w:ascii="方正仿宋_GBK" w:hAnsi="方正仿宋_GBK" w:eastAsia="方正仿宋_GBK" w:cs="方正仿宋_GBK"/>
          <w:b w:val="0"/>
          <w:bCs w:val="0"/>
          <w:sz w:val="32"/>
          <w:szCs w:val="32"/>
        </w:rPr>
        <w:t>月起，对中重稀土等七类元素实施许可制</w:t>
      </w:r>
      <w:r>
        <w:rPr>
          <w:rFonts w:hint="eastAsia" w:ascii="方正仿宋_GBK" w:hAnsi="方正仿宋_GBK" w:eastAsia="方正仿宋_GBK" w:cs="方正仿宋_GBK"/>
          <w:b w:val="0"/>
          <w:bCs w:val="0"/>
          <w:sz w:val="32"/>
          <w:szCs w:val="32"/>
          <w:lang w:eastAsia="zh-CN"/>
        </w:rPr>
        <w:t>，</w:t>
      </w:r>
      <w:r>
        <w:rPr>
          <w:rFonts w:hint="eastAsia" w:ascii="Times New Roman" w:hAnsi="Times New Roman" w:eastAsia="方正仿宋_GBK" w:cs="Times New Roman"/>
          <w:b w:val="0"/>
          <w:bCs w:val="0"/>
          <w:sz w:val="32"/>
          <w:szCs w:val="32"/>
        </w:rPr>
        <w:t>10</w:t>
      </w:r>
      <w:r>
        <w:rPr>
          <w:rFonts w:hint="eastAsia" w:ascii="方正仿宋_GBK" w:hAnsi="方正仿宋_GBK" w:eastAsia="方正仿宋_GBK" w:cs="方正仿宋_GBK"/>
          <w:b w:val="0"/>
          <w:bCs w:val="0"/>
          <w:sz w:val="32"/>
          <w:szCs w:val="32"/>
        </w:rPr>
        <w:t>月进一步扩展至更多元素、化合物、磁体和技术。虽部分措施于</w:t>
      </w:r>
      <w:r>
        <w:rPr>
          <w:rFonts w:hint="eastAsia" w:ascii="Times New Roman" w:hAnsi="Times New Roman" w:eastAsia="方正仿宋_GBK" w:cs="Times New Roman"/>
          <w:b w:val="0"/>
          <w:bCs w:val="0"/>
          <w:sz w:val="32"/>
          <w:szCs w:val="32"/>
        </w:rPr>
        <w:t>11</w:t>
      </w:r>
      <w:r>
        <w:rPr>
          <w:rFonts w:hint="eastAsia" w:ascii="方正仿宋_GBK" w:hAnsi="方正仿宋_GBK" w:eastAsia="方正仿宋_GBK" w:cs="方正仿宋_GBK"/>
          <w:b w:val="0"/>
          <w:bCs w:val="0"/>
          <w:sz w:val="32"/>
          <w:szCs w:val="32"/>
        </w:rPr>
        <w:t>月临时暂停至</w:t>
      </w:r>
      <w:r>
        <w:rPr>
          <w:rFonts w:hint="eastAsia" w:ascii="Times New Roman" w:hAnsi="Times New Roman" w:eastAsia="方正仿宋_GBK" w:cs="Times New Roman"/>
          <w:b w:val="0"/>
          <w:bCs w:val="0"/>
          <w:sz w:val="32"/>
          <w:szCs w:val="32"/>
        </w:rPr>
        <w:t>2026</w:t>
      </w:r>
      <w:r>
        <w:rPr>
          <w:rFonts w:hint="eastAsia" w:ascii="方正仿宋_GBK" w:hAnsi="方正仿宋_GBK" w:eastAsia="方正仿宋_GBK" w:cs="方正仿宋_GBK"/>
          <w:b w:val="0"/>
          <w:bCs w:val="0"/>
          <w:sz w:val="32"/>
          <w:szCs w:val="32"/>
        </w:rPr>
        <w:t>年</w:t>
      </w:r>
      <w:r>
        <w:rPr>
          <w:rFonts w:hint="eastAsia" w:ascii="Times New Roman" w:hAnsi="Times New Roman" w:eastAsia="方正仿宋_GBK" w:cs="Times New Roman"/>
          <w:b w:val="0"/>
          <w:bCs w:val="0"/>
          <w:sz w:val="32"/>
          <w:szCs w:val="32"/>
        </w:rPr>
        <w:t>11</w:t>
      </w:r>
      <w:r>
        <w:rPr>
          <w:rFonts w:hint="eastAsia" w:ascii="方正仿宋_GBK" w:hAnsi="方正仿宋_GBK" w:eastAsia="方正仿宋_GBK" w:cs="方正仿宋_GBK"/>
          <w:b w:val="0"/>
          <w:bCs w:val="0"/>
          <w:sz w:val="32"/>
          <w:szCs w:val="32"/>
        </w:rPr>
        <w:t>月，但许可流程的严格性和不确定性已引发美国等国紧急囤货，规模达数十亿美元。中国控制全球稀土精炼</w:t>
      </w:r>
      <w:r>
        <w:rPr>
          <w:rFonts w:hint="eastAsia" w:ascii="Times New Roman" w:hAnsi="Times New Roman" w:eastAsia="方正仿宋_GBK" w:cs="Times New Roman"/>
          <w:b w:val="0"/>
          <w:bCs w:val="0"/>
          <w:sz w:val="32"/>
          <w:szCs w:val="32"/>
        </w:rPr>
        <w:t>90%</w:t>
      </w:r>
      <w:r>
        <w:rPr>
          <w:rFonts w:hint="eastAsia" w:ascii="方正仿宋_GBK" w:hAnsi="方正仿宋_GBK" w:eastAsia="方正仿宋_GBK" w:cs="方正仿宋_GBK"/>
          <w:b w:val="0"/>
          <w:bCs w:val="0"/>
          <w:sz w:val="32"/>
          <w:szCs w:val="32"/>
        </w:rPr>
        <w:t>以上，这一政策凸显地缘杠杆作用。</w:t>
      </w:r>
    </w:p>
    <w:p w14:paraId="28F85F93">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此外，世界第二大铜矿</w:t>
      </w:r>
      <w:r>
        <w:rPr>
          <w:rFonts w:hint="eastAsia" w:ascii="Times New Roman" w:hAnsi="Times New Roman" w:eastAsia="方正仿宋_GBK" w:cs="Times New Roman"/>
          <w:b w:val="0"/>
          <w:bCs w:val="0"/>
          <w:sz w:val="32"/>
          <w:szCs w:val="32"/>
        </w:rPr>
        <w:t>Grasberg</w:t>
      </w:r>
      <w:r>
        <w:rPr>
          <w:rFonts w:hint="eastAsia" w:ascii="方正仿宋_GBK" w:hAnsi="方正仿宋_GBK" w:eastAsia="方正仿宋_GBK" w:cs="方正仿宋_GBK"/>
          <w:b w:val="0"/>
          <w:bCs w:val="0"/>
          <w:sz w:val="32"/>
          <w:szCs w:val="32"/>
        </w:rPr>
        <w:t>铜矿事件进一步暴露了全球铜供应的脆弱性。</w:t>
      </w:r>
      <w:r>
        <w:rPr>
          <w:rFonts w:hint="eastAsia" w:ascii="Times New Roman" w:hAnsi="Times New Roman" w:eastAsia="方正仿宋_GBK" w:cs="Times New Roman"/>
          <w:b w:val="0"/>
          <w:bCs w:val="0"/>
          <w:sz w:val="32"/>
          <w:szCs w:val="32"/>
        </w:rPr>
        <w:t>2025</w:t>
      </w:r>
      <w:r>
        <w:rPr>
          <w:rFonts w:hint="eastAsia" w:ascii="方正仿宋_GBK" w:hAnsi="方正仿宋_GBK" w:eastAsia="方正仿宋_GBK" w:cs="方正仿宋_GBK"/>
          <w:b w:val="0"/>
          <w:bCs w:val="0"/>
          <w:sz w:val="32"/>
          <w:szCs w:val="32"/>
        </w:rPr>
        <w:t>年</w:t>
      </w:r>
      <w:r>
        <w:rPr>
          <w:rFonts w:hint="eastAsia" w:ascii="Times New Roman" w:hAnsi="Times New Roman" w:eastAsia="方正仿宋_GBK" w:cs="Times New Roman"/>
          <w:b w:val="0"/>
          <w:bCs w:val="0"/>
          <w:sz w:val="32"/>
          <w:szCs w:val="32"/>
        </w:rPr>
        <w:t>9</w:t>
      </w:r>
      <w:r>
        <w:rPr>
          <w:rFonts w:hint="eastAsia" w:ascii="方正仿宋_GBK" w:hAnsi="方正仿宋_GBK" w:eastAsia="方正仿宋_GBK" w:cs="方正仿宋_GBK"/>
          <w:b w:val="0"/>
          <w:bCs w:val="0"/>
          <w:sz w:val="32"/>
          <w:szCs w:val="32"/>
        </w:rPr>
        <w:t>月突发严重事故：大约</w:t>
      </w:r>
      <w:r>
        <w:rPr>
          <w:rFonts w:hint="eastAsia" w:ascii="Times New Roman" w:hAnsi="Times New Roman" w:eastAsia="方正仿宋_GBK" w:cs="Times New Roman"/>
          <w:b w:val="0"/>
          <w:bCs w:val="0"/>
          <w:sz w:val="32"/>
          <w:szCs w:val="32"/>
        </w:rPr>
        <w:t>80</w:t>
      </w:r>
      <w:r>
        <w:rPr>
          <w:rFonts w:hint="eastAsia" w:ascii="方正仿宋_GBK" w:hAnsi="方正仿宋_GBK" w:eastAsia="方正仿宋_GBK" w:cs="方正仿宋_GBK"/>
          <w:b w:val="0"/>
          <w:bCs w:val="0"/>
          <w:sz w:val="32"/>
          <w:szCs w:val="32"/>
        </w:rPr>
        <w:t>万吨湿物料（泥浆和水饱和的岩石混合物）突然涌入地下矿区，导致多层作业区域被堵塞，矿井全面停产。事故直接导致铜产量大幅减少，累计减产量相当于全球铜矿产量的</w:t>
      </w:r>
      <w:r>
        <w:rPr>
          <w:rFonts w:hint="eastAsia" w:ascii="Times New Roman" w:hAnsi="Times New Roman" w:eastAsia="方正仿宋_GBK" w:cs="Times New Roman"/>
          <w:b w:val="0"/>
          <w:bCs w:val="0"/>
          <w:sz w:val="32"/>
          <w:szCs w:val="32"/>
        </w:rPr>
        <w:t>2-3%</w:t>
      </w:r>
      <w:r>
        <w:rPr>
          <w:rFonts w:hint="eastAsia" w:ascii="方正仿宋_GBK" w:hAnsi="方正仿宋_GBK" w:eastAsia="方正仿宋_GBK" w:cs="方正仿宋_GBK"/>
          <w:b w:val="0"/>
          <w:bCs w:val="0"/>
          <w:sz w:val="32"/>
          <w:szCs w:val="32"/>
        </w:rPr>
        <w:t>左右，全球供应平衡因此被打破，结构性短缺推动铜价快速上涨。</w:t>
      </w:r>
    </w:p>
    <w:p w14:paraId="246BBB14">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这些事件共同推动供应链重构。各国加强本土产业诉求（如印尼发展下游加工、中国反内卷减少低端产能过剩、刚果（金）资源民族主义），叠加关税壁垒和投资不足，全球金属供应增长放缓。矿业资本支出长期低迷，新项目开发滞后，无法匹配需求扩张。</w:t>
      </w:r>
    </w:p>
    <w:p w14:paraId="307E4DBE">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更为关键的是，当资源国开始通过行政手段主动管理价格区间、配额和产业链分布，而非单纯追求产量最大化时，工业金属的供给弹性将长期低于市场的线性预期。这意味着，即便价格上行，新增供给的释放速度也将显著慢于传统周期阶段。</w:t>
      </w:r>
    </w:p>
    <w:p w14:paraId="4A37C5E9">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多家机构（如</w:t>
      </w:r>
      <w:r>
        <w:rPr>
          <w:rFonts w:hint="eastAsia" w:ascii="Times New Roman" w:hAnsi="Times New Roman" w:eastAsia="方正仿宋_GBK" w:cs="Times New Roman"/>
          <w:b w:val="0"/>
          <w:bCs w:val="0"/>
          <w:sz w:val="32"/>
          <w:szCs w:val="32"/>
        </w:rPr>
        <w:t>Benchmark Minerals</w:t>
      </w:r>
      <w:r>
        <w:rPr>
          <w:rFonts w:hint="eastAsia" w:ascii="方正仿宋_GBK" w:hAnsi="方正仿宋_GBK" w:eastAsia="方正仿宋_GBK" w:cs="方正仿宋_GBK"/>
          <w:b w:val="0"/>
          <w:bCs w:val="0"/>
          <w:sz w:val="32"/>
          <w:szCs w:val="32"/>
        </w:rPr>
        <w:t>和高盛）指出，</w:t>
      </w:r>
      <w:r>
        <w:rPr>
          <w:rFonts w:hint="eastAsia" w:ascii="Times New Roman" w:hAnsi="Times New Roman" w:eastAsia="方正仿宋_GBK" w:cs="Times New Roman"/>
          <w:b w:val="0"/>
          <w:bCs w:val="0"/>
          <w:sz w:val="32"/>
          <w:szCs w:val="32"/>
        </w:rPr>
        <w:t>2025-2026</w:t>
      </w:r>
      <w:r>
        <w:rPr>
          <w:rFonts w:hint="eastAsia" w:ascii="方正仿宋_GBK" w:hAnsi="方正仿宋_GBK" w:eastAsia="方正仿宋_GBK" w:cs="方正仿宋_GBK"/>
          <w:b w:val="0"/>
          <w:bCs w:val="0"/>
          <w:sz w:val="32"/>
          <w:szCs w:val="32"/>
        </w:rPr>
        <w:t>年供应链中断和政策干预贡献了工业金属价格上涨的关键部分，铜、镍、钴等关键矿产价格中枢整体上移。</w:t>
      </w:r>
    </w:p>
    <w:p w14:paraId="38F64AFD">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这一因素是非周期性的结构性约束，供应链结构性重构可能延续多年，形成供应端长期紧缩格局。</w:t>
      </w:r>
    </w:p>
    <w:p w14:paraId="571C262F">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仿宋_GBK" w:hAnsi="方正仿宋_GBK" w:eastAsia="方正仿宋_GBK" w:cs="方正仿宋_GBK"/>
          <w:b w:val="0"/>
          <w:bCs w:val="0"/>
          <w:sz w:val="32"/>
          <w:szCs w:val="32"/>
        </w:rPr>
      </w:pPr>
      <w:r>
        <w:rPr>
          <w:rFonts w:hint="eastAsia" w:ascii="方正楷体_GBK" w:hAnsi="方正楷体_GBK" w:eastAsia="方正楷体_GBK" w:cs="方正楷体_GBK"/>
          <w:b w:val="0"/>
          <w:bCs w:val="0"/>
          <w:sz w:val="32"/>
          <w:szCs w:val="32"/>
        </w:rPr>
        <w:t>第三，</w:t>
      </w:r>
      <w:r>
        <w:rPr>
          <w:rFonts w:hint="default" w:ascii="Times New Roman" w:hAnsi="Times New Roman" w:eastAsia="方正楷体_GBK" w:cs="Times New Roman"/>
          <w:b w:val="0"/>
          <w:bCs w:val="0"/>
          <w:sz w:val="32"/>
          <w:szCs w:val="32"/>
        </w:rPr>
        <w:t>AI</w:t>
      </w:r>
      <w:r>
        <w:rPr>
          <w:rFonts w:hint="eastAsia" w:ascii="方正楷体_GBK" w:hAnsi="方正楷体_GBK" w:eastAsia="方正楷体_GBK" w:cs="方正楷体_GBK"/>
          <w:b w:val="0"/>
          <w:bCs w:val="0"/>
          <w:sz w:val="32"/>
          <w:szCs w:val="32"/>
        </w:rPr>
        <w:t>、电气化与新能源转型，驱动需求的结构性增长</w:t>
      </w:r>
      <w:r>
        <w:rPr>
          <w:rFonts w:hint="eastAsia" w:ascii="方正仿宋_GBK" w:hAnsi="方正仿宋_GBK" w:eastAsia="方正仿宋_GBK" w:cs="方正仿宋_GBK"/>
          <w:b w:val="0"/>
          <w:bCs w:val="0"/>
          <w:sz w:val="32"/>
          <w:szCs w:val="32"/>
        </w:rPr>
        <w:t>。</w:t>
      </w:r>
    </w:p>
    <w:p w14:paraId="12F5B3A7">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仿宋_GBK" w:hAnsi="方正仿宋_GBK" w:eastAsia="方正仿宋_GBK" w:cs="方正仿宋_GBK"/>
          <w:b w:val="0"/>
          <w:bCs w:val="0"/>
          <w:sz w:val="32"/>
          <w:szCs w:val="32"/>
        </w:rPr>
      </w:pPr>
      <w:r>
        <w:rPr>
          <w:rFonts w:hint="eastAsia" w:ascii="Times New Roman" w:hAnsi="Times New Roman" w:eastAsia="方正仿宋_GBK" w:cs="Times New Roman"/>
          <w:b w:val="0"/>
          <w:bCs w:val="0"/>
          <w:sz w:val="32"/>
          <w:szCs w:val="32"/>
        </w:rPr>
        <w:t>AI</w:t>
      </w:r>
      <w:r>
        <w:rPr>
          <w:rFonts w:hint="eastAsia" w:ascii="方正仿宋_GBK" w:hAnsi="方正仿宋_GBK" w:eastAsia="方正仿宋_GBK" w:cs="方正仿宋_GBK"/>
          <w:b w:val="0"/>
          <w:bCs w:val="0"/>
          <w:sz w:val="32"/>
          <w:szCs w:val="32"/>
        </w:rPr>
        <w:t>基础设施爆发和新能源转型带来的长期刚性需求，不同于过去依赖经济周期的波动性拉动，而是由技术革命和能源结构变革驱动的结构性增长，具有指数级扩张特征，且高度依赖铜、铝、镍、钴、银等关键金属。</w:t>
      </w:r>
    </w:p>
    <w:p w14:paraId="2BAEB7D8">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仿宋_GBK" w:hAnsi="方正仿宋_GBK" w:eastAsia="方正仿宋_GBK" w:cs="方正仿宋_GBK"/>
          <w:b w:val="0"/>
          <w:bCs w:val="0"/>
          <w:sz w:val="32"/>
          <w:szCs w:val="32"/>
        </w:rPr>
      </w:pPr>
      <w:r>
        <w:rPr>
          <w:rFonts w:hint="eastAsia" w:ascii="Times New Roman" w:hAnsi="Times New Roman" w:eastAsia="方正仿宋_GBK" w:cs="Times New Roman"/>
          <w:b w:val="0"/>
          <w:bCs w:val="0"/>
          <w:sz w:val="32"/>
          <w:szCs w:val="32"/>
        </w:rPr>
        <w:t>AI</w:t>
      </w:r>
      <w:r>
        <w:rPr>
          <w:rFonts w:hint="eastAsia" w:ascii="方正仿宋_GBK" w:hAnsi="方正仿宋_GBK" w:eastAsia="方正仿宋_GBK" w:cs="方正仿宋_GBK"/>
          <w:b w:val="0"/>
          <w:bCs w:val="0"/>
          <w:sz w:val="32"/>
          <w:szCs w:val="32"/>
        </w:rPr>
        <w:t>数据中心的快速扩张是需求端最显著的新力量。大型语言模型训练和推理需要海量算力，全球数据中心电力消耗激增。铜作为电力传输和散热的核心材料，每座超大规模</w:t>
      </w:r>
      <w:r>
        <w:rPr>
          <w:rFonts w:hint="eastAsia" w:ascii="Times New Roman" w:hAnsi="Times New Roman" w:eastAsia="方正仿宋_GBK" w:cs="Times New Roman"/>
          <w:b w:val="0"/>
          <w:bCs w:val="0"/>
          <w:sz w:val="32"/>
          <w:szCs w:val="32"/>
        </w:rPr>
        <w:t>AI</w:t>
      </w:r>
      <w:r>
        <w:rPr>
          <w:rFonts w:hint="eastAsia" w:ascii="方正仿宋_GBK" w:hAnsi="方正仿宋_GBK" w:eastAsia="方正仿宋_GBK" w:cs="方正仿宋_GBK"/>
          <w:b w:val="0"/>
          <w:bCs w:val="0"/>
          <w:sz w:val="32"/>
          <w:szCs w:val="32"/>
        </w:rPr>
        <w:t>数据中心需要数千吨铜用于电缆、变压器和冷却系统。</w:t>
      </w:r>
      <w:r>
        <w:rPr>
          <w:rFonts w:hint="eastAsia" w:ascii="Times New Roman" w:hAnsi="Times New Roman" w:eastAsia="方正仿宋_GBK" w:cs="Times New Roman"/>
          <w:b w:val="0"/>
          <w:bCs w:val="0"/>
          <w:sz w:val="32"/>
          <w:szCs w:val="32"/>
        </w:rPr>
        <w:t>2025</w:t>
      </w:r>
      <w:r>
        <w:rPr>
          <w:rFonts w:hint="eastAsia" w:ascii="方正仿宋_GBK" w:hAnsi="方正仿宋_GBK" w:eastAsia="方正仿宋_GBK" w:cs="方正仿宋_GBK"/>
          <w:b w:val="0"/>
          <w:bCs w:val="0"/>
          <w:sz w:val="32"/>
          <w:szCs w:val="32"/>
        </w:rPr>
        <w:t>年全球新增</w:t>
      </w:r>
      <w:r>
        <w:rPr>
          <w:rFonts w:hint="eastAsia" w:ascii="Times New Roman" w:hAnsi="Times New Roman" w:eastAsia="方正仿宋_GBK" w:cs="Times New Roman"/>
          <w:b w:val="0"/>
          <w:bCs w:val="0"/>
          <w:sz w:val="32"/>
          <w:szCs w:val="32"/>
        </w:rPr>
        <w:t>AI</w:t>
      </w:r>
      <w:r>
        <w:rPr>
          <w:rFonts w:hint="eastAsia" w:ascii="方正仿宋_GBK" w:hAnsi="方正仿宋_GBK" w:eastAsia="方正仿宋_GBK" w:cs="方正仿宋_GBK"/>
          <w:b w:val="0"/>
          <w:bCs w:val="0"/>
          <w:sz w:val="32"/>
          <w:szCs w:val="32"/>
        </w:rPr>
        <w:t>相关数据中心用电需求相当于新增一座中等规模城市，铜需求因此额外增加数十万吨。国际能源署和铜业协会估算，到</w:t>
      </w:r>
      <w:r>
        <w:rPr>
          <w:rFonts w:hint="eastAsia" w:ascii="Times New Roman" w:hAnsi="Times New Roman" w:eastAsia="方正仿宋_GBK" w:cs="Times New Roman"/>
          <w:b w:val="0"/>
          <w:bCs w:val="0"/>
          <w:sz w:val="32"/>
          <w:szCs w:val="32"/>
        </w:rPr>
        <w:t>2030</w:t>
      </w:r>
      <w:r>
        <w:rPr>
          <w:rFonts w:hint="eastAsia" w:ascii="方正仿宋_GBK" w:hAnsi="方正仿宋_GBK" w:eastAsia="方正仿宋_GBK" w:cs="方正仿宋_GBK"/>
          <w:b w:val="0"/>
          <w:bCs w:val="0"/>
          <w:sz w:val="32"/>
          <w:szCs w:val="32"/>
        </w:rPr>
        <w:t>年，</w:t>
      </w:r>
      <w:r>
        <w:rPr>
          <w:rFonts w:hint="eastAsia" w:ascii="Times New Roman" w:hAnsi="Times New Roman" w:eastAsia="方正仿宋_GBK" w:cs="Times New Roman"/>
          <w:b w:val="0"/>
          <w:bCs w:val="0"/>
          <w:sz w:val="32"/>
          <w:szCs w:val="32"/>
        </w:rPr>
        <w:t>AI</w:t>
      </w:r>
      <w:r>
        <w:rPr>
          <w:rFonts w:hint="eastAsia" w:ascii="方正仿宋_GBK" w:hAnsi="方正仿宋_GBK" w:eastAsia="方正仿宋_GBK" w:cs="方正仿宋_GBK"/>
          <w:b w:val="0"/>
          <w:bCs w:val="0"/>
          <w:sz w:val="32"/>
          <w:szCs w:val="32"/>
        </w:rPr>
        <w:t>数据中心将贡献全球铜需求的</w:t>
      </w:r>
      <w:r>
        <w:rPr>
          <w:rFonts w:hint="eastAsia" w:ascii="Times New Roman" w:hAnsi="Times New Roman" w:eastAsia="方正仿宋_GBK" w:cs="Times New Roman"/>
          <w:b w:val="0"/>
          <w:bCs w:val="0"/>
          <w:sz w:val="32"/>
          <w:szCs w:val="32"/>
        </w:rPr>
        <w:t>5-8%</w:t>
      </w:r>
      <w:r>
        <w:rPr>
          <w:rFonts w:hint="eastAsia" w:ascii="方正仿宋_GBK" w:hAnsi="方正仿宋_GBK" w:eastAsia="方正仿宋_GBK" w:cs="方正仿宋_GBK"/>
          <w:b w:val="0"/>
          <w:bCs w:val="0"/>
          <w:sz w:val="32"/>
          <w:szCs w:val="32"/>
        </w:rPr>
        <w:t>增量，远高于传统行业的周期波动。</w:t>
      </w:r>
    </w:p>
    <w:p w14:paraId="663D41A5">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新能源转型进一步放大需求刚性。电动汽车、风电、太阳能、储能电池和智能电网的全面铺开，对工业金属形成多点支撑。电动汽车每辆平均需要约</w:t>
      </w:r>
      <w:r>
        <w:rPr>
          <w:rFonts w:hint="eastAsia" w:ascii="Times New Roman" w:hAnsi="Times New Roman" w:eastAsia="方正仿宋_GBK" w:cs="Times New Roman"/>
          <w:b w:val="0"/>
          <w:bCs w:val="0"/>
          <w:sz w:val="32"/>
          <w:szCs w:val="32"/>
        </w:rPr>
        <w:t>80-100</w:t>
      </w:r>
      <w:r>
        <w:rPr>
          <w:rFonts w:hint="eastAsia" w:ascii="方正仿宋_GBK" w:hAnsi="方正仿宋_GBK" w:eastAsia="方正仿宋_GBK" w:cs="方正仿宋_GBK"/>
          <w:b w:val="0"/>
          <w:bCs w:val="0"/>
          <w:sz w:val="32"/>
          <w:szCs w:val="32"/>
        </w:rPr>
        <w:t>公斤铜（电机、电池连接、充电桩），远高于传统燃油车的</w:t>
      </w:r>
      <w:r>
        <w:rPr>
          <w:rFonts w:hint="eastAsia" w:ascii="Times New Roman" w:hAnsi="Times New Roman" w:eastAsia="方正仿宋_GBK" w:cs="Times New Roman"/>
          <w:b w:val="0"/>
          <w:bCs w:val="0"/>
          <w:sz w:val="32"/>
          <w:szCs w:val="32"/>
        </w:rPr>
        <w:t>20-30</w:t>
      </w:r>
      <w:r>
        <w:rPr>
          <w:rFonts w:hint="eastAsia" w:ascii="方正仿宋_GBK" w:hAnsi="方正仿宋_GBK" w:eastAsia="方正仿宋_GBK" w:cs="方正仿宋_GBK"/>
          <w:b w:val="0"/>
          <w:bCs w:val="0"/>
          <w:sz w:val="32"/>
          <w:szCs w:val="32"/>
        </w:rPr>
        <w:t>公斤。</w:t>
      </w:r>
      <w:r>
        <w:rPr>
          <w:rFonts w:hint="eastAsia" w:ascii="Times New Roman" w:hAnsi="Times New Roman" w:eastAsia="方正仿宋_GBK" w:cs="Times New Roman"/>
          <w:b w:val="0"/>
          <w:bCs w:val="0"/>
          <w:sz w:val="32"/>
          <w:szCs w:val="32"/>
        </w:rPr>
        <w:t>2025</w:t>
      </w:r>
      <w:r>
        <w:rPr>
          <w:rFonts w:hint="eastAsia" w:ascii="方正仿宋_GBK" w:hAnsi="方正仿宋_GBK" w:eastAsia="方正仿宋_GBK" w:cs="方正仿宋_GBK"/>
          <w:b w:val="0"/>
          <w:bCs w:val="0"/>
          <w:sz w:val="32"/>
          <w:szCs w:val="32"/>
        </w:rPr>
        <w:t>年全球电动车销量突破</w:t>
      </w:r>
      <w:r>
        <w:rPr>
          <w:rFonts w:hint="eastAsia" w:ascii="Times New Roman" w:hAnsi="Times New Roman" w:eastAsia="方正仿宋_GBK" w:cs="Times New Roman"/>
          <w:b w:val="0"/>
          <w:bCs w:val="0"/>
          <w:sz w:val="32"/>
          <w:szCs w:val="32"/>
        </w:rPr>
        <w:t>1800</w:t>
      </w:r>
      <w:r>
        <w:rPr>
          <w:rFonts w:hint="eastAsia" w:ascii="方正仿宋_GBK" w:hAnsi="方正仿宋_GBK" w:eastAsia="方正仿宋_GBK" w:cs="方正仿宋_GBK"/>
          <w:b w:val="0"/>
          <w:bCs w:val="0"/>
          <w:sz w:val="32"/>
          <w:szCs w:val="32"/>
        </w:rPr>
        <w:t>万辆，电池用镍和钴需求随之大幅上升。尽管短期内锂价和钴价波动，但新能源电池链对镍（高镍三元）和钴（稳定性需求）的长期依赖未变。风电和太阳能装机加速，每吉瓦风电需要约</w:t>
      </w:r>
      <w:r>
        <w:rPr>
          <w:rFonts w:hint="eastAsia" w:ascii="Times New Roman" w:hAnsi="Times New Roman" w:eastAsia="方正仿宋_GBK" w:cs="Times New Roman"/>
          <w:b w:val="0"/>
          <w:bCs w:val="0"/>
          <w:sz w:val="32"/>
          <w:szCs w:val="32"/>
        </w:rPr>
        <w:t>4-5</w:t>
      </w:r>
      <w:r>
        <w:rPr>
          <w:rFonts w:hint="eastAsia" w:ascii="方正仿宋_GBK" w:hAnsi="方正仿宋_GBK" w:eastAsia="方正仿宋_GBK" w:cs="方正仿宋_GBK"/>
          <w:b w:val="0"/>
          <w:bCs w:val="0"/>
          <w:sz w:val="32"/>
          <w:szCs w:val="32"/>
        </w:rPr>
        <w:t>千吨铜，光伏组件则大量消耗铝和银。银作为光伏导电浆料的关键材料，</w:t>
      </w:r>
      <w:r>
        <w:rPr>
          <w:rFonts w:hint="eastAsia" w:ascii="Times New Roman" w:hAnsi="Times New Roman" w:eastAsia="方正仿宋_GBK" w:cs="Times New Roman"/>
          <w:b w:val="0"/>
          <w:bCs w:val="0"/>
          <w:sz w:val="32"/>
          <w:szCs w:val="32"/>
        </w:rPr>
        <w:t>2025</w:t>
      </w:r>
      <w:r>
        <w:rPr>
          <w:rFonts w:hint="eastAsia" w:ascii="方正仿宋_GBK" w:hAnsi="方正仿宋_GBK" w:eastAsia="方正仿宋_GBK" w:cs="方正仿宋_GBK"/>
          <w:b w:val="0"/>
          <w:bCs w:val="0"/>
          <w:sz w:val="32"/>
          <w:szCs w:val="32"/>
        </w:rPr>
        <w:t>年工业消费量已占全球银需求的</w:t>
      </w:r>
      <w:r>
        <w:rPr>
          <w:rFonts w:hint="eastAsia" w:ascii="Times New Roman" w:hAnsi="Times New Roman" w:eastAsia="方正仿宋_GBK" w:cs="Times New Roman"/>
          <w:b w:val="0"/>
          <w:bCs w:val="0"/>
          <w:sz w:val="32"/>
          <w:szCs w:val="32"/>
        </w:rPr>
        <w:t>50%</w:t>
      </w:r>
      <w:r>
        <w:rPr>
          <w:rFonts w:hint="eastAsia" w:ascii="方正仿宋_GBK" w:hAnsi="方正仿宋_GBK" w:eastAsia="方正仿宋_GBK" w:cs="方正仿宋_GBK"/>
          <w:b w:val="0"/>
          <w:bCs w:val="0"/>
          <w:sz w:val="32"/>
          <w:szCs w:val="32"/>
        </w:rPr>
        <w:t>以上，创历史新高。</w:t>
      </w:r>
    </w:p>
    <w:p w14:paraId="1496E231">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这些需求具有几个鲜明特征。首先是非周期性，即使宏观经济放缓，</w:t>
      </w:r>
      <w:r>
        <w:rPr>
          <w:rFonts w:hint="eastAsia" w:ascii="Times New Roman" w:hAnsi="Times New Roman" w:eastAsia="方正仿宋_GBK" w:cs="Times New Roman"/>
          <w:b w:val="0"/>
          <w:bCs w:val="0"/>
          <w:sz w:val="32"/>
          <w:szCs w:val="32"/>
        </w:rPr>
        <w:t>AI</w:t>
      </w:r>
      <w:r>
        <w:rPr>
          <w:rFonts w:hint="eastAsia" w:ascii="方正仿宋_GBK" w:hAnsi="方正仿宋_GBK" w:eastAsia="方正仿宋_GBK" w:cs="方正仿宋_GBK"/>
          <w:b w:val="0"/>
          <w:bCs w:val="0"/>
          <w:sz w:val="32"/>
          <w:szCs w:val="32"/>
        </w:rPr>
        <w:t>算力和碳中和目标仍按既定路径推进。其次是刚性且不可替代，铜在高压输电和电机中的地位短期内难以被其他材料取代，镍和钴在高性能电池中的作用同样关键。第三是指数级增长，国际能源署预测，到</w:t>
      </w:r>
      <w:r>
        <w:rPr>
          <w:rFonts w:hint="eastAsia" w:ascii="Times New Roman" w:hAnsi="Times New Roman" w:eastAsia="方正仿宋_GBK" w:cs="Times New Roman"/>
          <w:b w:val="0"/>
          <w:bCs w:val="0"/>
          <w:sz w:val="32"/>
          <w:szCs w:val="32"/>
        </w:rPr>
        <w:t>2030</w:t>
      </w:r>
      <w:r>
        <w:rPr>
          <w:rFonts w:hint="eastAsia" w:ascii="方正仿宋_GBK" w:hAnsi="方正仿宋_GBK" w:eastAsia="方正仿宋_GBK" w:cs="方正仿宋_GBK"/>
          <w:b w:val="0"/>
          <w:bCs w:val="0"/>
          <w:sz w:val="32"/>
          <w:szCs w:val="32"/>
        </w:rPr>
        <w:t>年，清洁能源转型将使全球铜年需求增加约</w:t>
      </w:r>
      <w:r>
        <w:rPr>
          <w:rFonts w:hint="eastAsia" w:ascii="Times New Roman" w:hAnsi="Times New Roman" w:eastAsia="方正仿宋_GBK" w:cs="Times New Roman"/>
          <w:b w:val="0"/>
          <w:bCs w:val="0"/>
          <w:sz w:val="32"/>
          <w:szCs w:val="32"/>
        </w:rPr>
        <w:t>20-25%</w:t>
      </w:r>
      <w:r>
        <w:rPr>
          <w:rFonts w:hint="eastAsia" w:ascii="方正仿宋_GBK" w:hAnsi="方正仿宋_GBK" w:eastAsia="方正仿宋_GBK" w:cs="方正仿宋_GBK"/>
          <w:b w:val="0"/>
          <w:bCs w:val="0"/>
          <w:sz w:val="32"/>
          <w:szCs w:val="32"/>
        </w:rPr>
        <w:t>，铝需求增长</w:t>
      </w:r>
      <w:r>
        <w:rPr>
          <w:rFonts w:hint="eastAsia" w:ascii="Times New Roman" w:hAnsi="Times New Roman" w:eastAsia="方正仿宋_GBK" w:cs="Times New Roman"/>
          <w:b w:val="0"/>
          <w:bCs w:val="0"/>
          <w:sz w:val="32"/>
          <w:szCs w:val="32"/>
        </w:rPr>
        <w:t>15-20%</w:t>
      </w:r>
      <w:r>
        <w:rPr>
          <w:rFonts w:hint="eastAsia" w:ascii="方正仿宋_GBK" w:hAnsi="方正仿宋_GBK" w:eastAsia="方正仿宋_GBK" w:cs="方正仿宋_GBK"/>
          <w:b w:val="0"/>
          <w:bCs w:val="0"/>
          <w:sz w:val="32"/>
          <w:szCs w:val="32"/>
        </w:rPr>
        <w:t>，镍需求翻倍以上，远超传统矿业新增产能速度。</w:t>
      </w:r>
    </w:p>
    <w:p w14:paraId="73B751F8">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仿宋_GBK" w:hAnsi="方正仿宋_GBK" w:eastAsia="方正仿宋_GBK" w:cs="方正仿宋_GBK"/>
          <w:b w:val="0"/>
          <w:bCs w:val="0"/>
          <w:sz w:val="32"/>
          <w:szCs w:val="32"/>
        </w:rPr>
      </w:pPr>
      <w:r>
        <w:rPr>
          <w:rFonts w:hint="eastAsia" w:ascii="Times New Roman" w:hAnsi="Times New Roman" w:eastAsia="方正仿宋_GBK" w:cs="Times New Roman"/>
          <w:b w:val="0"/>
          <w:bCs w:val="0"/>
          <w:sz w:val="32"/>
          <w:szCs w:val="32"/>
        </w:rPr>
        <w:t>2025-2026</w:t>
      </w:r>
      <w:r>
        <w:rPr>
          <w:rFonts w:hint="eastAsia" w:ascii="方正仿宋_GBK" w:hAnsi="方正仿宋_GBK" w:eastAsia="方正仿宋_GBK" w:cs="方正仿宋_GBK"/>
          <w:b w:val="0"/>
          <w:bCs w:val="0"/>
          <w:sz w:val="32"/>
          <w:szCs w:val="32"/>
        </w:rPr>
        <w:t>年市场数据印证了这一逻辑。尽管中国房地产投资持续低迷，但绿色电力投资和</w:t>
      </w:r>
      <w:r>
        <w:rPr>
          <w:rFonts w:hint="eastAsia" w:ascii="Times New Roman" w:hAnsi="Times New Roman" w:eastAsia="方正仿宋_GBK" w:cs="Times New Roman"/>
          <w:b w:val="0"/>
          <w:bCs w:val="0"/>
          <w:sz w:val="32"/>
          <w:szCs w:val="32"/>
        </w:rPr>
        <w:t>AI</w:t>
      </w:r>
      <w:r>
        <w:rPr>
          <w:rFonts w:hint="eastAsia" w:ascii="方正仿宋_GBK" w:hAnsi="方正仿宋_GBK" w:eastAsia="方正仿宋_GBK" w:cs="方正仿宋_GBK"/>
          <w:b w:val="0"/>
          <w:bCs w:val="0"/>
          <w:sz w:val="32"/>
          <w:szCs w:val="32"/>
        </w:rPr>
        <w:t>相关基础设施支出逆势高增，抵消了部分传统需求下滑。铜价中枢上移至</w:t>
      </w:r>
      <w:r>
        <w:rPr>
          <w:rFonts w:hint="eastAsia" w:ascii="Times New Roman" w:hAnsi="Times New Roman" w:eastAsia="方正仿宋_GBK" w:cs="Times New Roman"/>
          <w:b w:val="0"/>
          <w:bCs w:val="0"/>
          <w:sz w:val="32"/>
          <w:szCs w:val="32"/>
        </w:rPr>
        <w:t>13,000</w:t>
      </w:r>
      <w:r>
        <w:rPr>
          <w:rFonts w:hint="eastAsia" w:ascii="方正仿宋_GBK" w:hAnsi="方正仿宋_GBK" w:eastAsia="方正仿宋_GBK" w:cs="方正仿宋_GBK"/>
          <w:b w:val="0"/>
          <w:bCs w:val="0"/>
          <w:sz w:val="32"/>
          <w:szCs w:val="32"/>
        </w:rPr>
        <w:t>美元/吨以上，铝价突破多年高点，镍和钴价格从过剩低谷反弹，均反映出结构性需求已开始主导定价。</w:t>
      </w:r>
      <w:r>
        <w:rPr>
          <w:rFonts w:hint="eastAsia" w:ascii="Times New Roman" w:hAnsi="Times New Roman" w:eastAsia="方正仿宋_GBK" w:cs="Times New Roman"/>
          <w:b w:val="0"/>
          <w:bCs w:val="0"/>
          <w:sz w:val="32"/>
          <w:szCs w:val="32"/>
        </w:rPr>
        <w:t>Benchmark Minerals</w:t>
      </w:r>
      <w:r>
        <w:rPr>
          <w:rFonts w:hint="eastAsia" w:ascii="方正仿宋_GBK" w:hAnsi="方正仿宋_GBK" w:eastAsia="方正仿宋_GBK" w:cs="方正仿宋_GBK"/>
          <w:b w:val="0"/>
          <w:bCs w:val="0"/>
          <w:sz w:val="32"/>
          <w:szCs w:val="32"/>
        </w:rPr>
        <w:t>、高盛和世界银行报告一致指出，新能源与</w:t>
      </w:r>
      <w:r>
        <w:rPr>
          <w:rFonts w:hint="eastAsia" w:ascii="Times New Roman" w:hAnsi="Times New Roman" w:eastAsia="方正仿宋_GBK" w:cs="Times New Roman"/>
          <w:b w:val="0"/>
          <w:bCs w:val="0"/>
          <w:sz w:val="32"/>
          <w:szCs w:val="32"/>
        </w:rPr>
        <w:t>AI</w:t>
      </w:r>
      <w:r>
        <w:rPr>
          <w:rFonts w:hint="eastAsia" w:ascii="方正仿宋_GBK" w:hAnsi="方正仿宋_GBK" w:eastAsia="方正仿宋_GBK" w:cs="方正仿宋_GBK"/>
          <w:b w:val="0"/>
          <w:bCs w:val="0"/>
          <w:sz w:val="32"/>
          <w:szCs w:val="32"/>
        </w:rPr>
        <w:t>双轮驱动已成为工业金属牛市最持久的动力来源，预计这一需求增长将持续到</w:t>
      </w:r>
      <w:r>
        <w:rPr>
          <w:rFonts w:hint="eastAsia" w:ascii="Times New Roman" w:hAnsi="Times New Roman" w:eastAsia="方正仿宋_GBK" w:cs="Times New Roman"/>
          <w:b w:val="0"/>
          <w:bCs w:val="0"/>
          <w:sz w:val="32"/>
          <w:szCs w:val="32"/>
        </w:rPr>
        <w:t>2030</w:t>
      </w:r>
      <w:r>
        <w:rPr>
          <w:rFonts w:hint="eastAsia" w:ascii="方正仿宋_GBK" w:hAnsi="方正仿宋_GBK" w:eastAsia="方正仿宋_GBK" w:cs="方正仿宋_GBK"/>
          <w:b w:val="0"/>
          <w:bCs w:val="0"/>
          <w:sz w:val="32"/>
          <w:szCs w:val="32"/>
        </w:rPr>
        <w:t>年以后。</w:t>
      </w:r>
    </w:p>
    <w:p w14:paraId="06076A87">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这一因素是非周期性的结构性扩张。即使短期经济波动，</w:t>
      </w:r>
      <w:r>
        <w:rPr>
          <w:rFonts w:hint="eastAsia" w:ascii="Times New Roman" w:hAnsi="Times New Roman" w:eastAsia="方正仿宋_GBK" w:cs="Times New Roman"/>
          <w:b w:val="0"/>
          <w:bCs w:val="0"/>
          <w:sz w:val="32"/>
          <w:szCs w:val="32"/>
        </w:rPr>
        <w:t>AI</w:t>
      </w:r>
      <w:r>
        <w:rPr>
          <w:rFonts w:hint="eastAsia" w:ascii="方正仿宋_GBK" w:hAnsi="方正仿宋_GBK" w:eastAsia="方正仿宋_GBK" w:cs="方正仿宋_GBK"/>
          <w:b w:val="0"/>
          <w:bCs w:val="0"/>
          <w:sz w:val="32"/>
          <w:szCs w:val="32"/>
        </w:rPr>
        <w:t>算力和能源转型的刚需仍将持续推升消费。它与货币信用下行共同作用，使硬资产配置更具吸引力；同时在供应端紧缩背景下，进一步放大价格弹性，形成需求拉动与供给约束的双向共振。</w:t>
      </w:r>
    </w:p>
    <w:p w14:paraId="4DE10D81">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总之，本轮工业金属牛市并非传统周期反弹，而是全球货币信用重估、供应链结构性重构与需求端长期刚性增长三股力量共同作用的结果。这一组合在</w:t>
      </w:r>
      <w:r>
        <w:rPr>
          <w:rFonts w:hint="eastAsia" w:ascii="Times New Roman" w:hAnsi="Times New Roman" w:eastAsia="方正仿宋_GBK" w:cs="Times New Roman"/>
          <w:b w:val="0"/>
          <w:bCs w:val="0"/>
          <w:sz w:val="32"/>
          <w:szCs w:val="32"/>
        </w:rPr>
        <w:t>2025-2026</w:t>
      </w:r>
      <w:r>
        <w:rPr>
          <w:rFonts w:hint="eastAsia" w:ascii="方正仿宋_GBK" w:hAnsi="方正仿宋_GBK" w:eastAsia="方正仿宋_GBK" w:cs="方正仿宋_GBK"/>
          <w:b w:val="0"/>
          <w:bCs w:val="0"/>
          <w:sz w:val="32"/>
          <w:szCs w:val="32"/>
        </w:rPr>
        <w:t>年形成合力，推动价格中枢整体抬升，并将延续至</w:t>
      </w:r>
      <w:r>
        <w:rPr>
          <w:rFonts w:hint="eastAsia" w:ascii="Times New Roman" w:hAnsi="Times New Roman" w:eastAsia="方正仿宋_GBK" w:cs="Times New Roman"/>
          <w:b w:val="0"/>
          <w:bCs w:val="0"/>
          <w:sz w:val="32"/>
          <w:szCs w:val="32"/>
        </w:rPr>
        <w:t>2027-2030</w:t>
      </w:r>
      <w:r>
        <w:rPr>
          <w:rFonts w:hint="eastAsia" w:ascii="方正仿宋_GBK" w:hAnsi="方正仿宋_GBK" w:eastAsia="方正仿宋_GBK" w:cs="方正仿宋_GBK"/>
          <w:b w:val="0"/>
          <w:bCs w:val="0"/>
          <w:sz w:val="32"/>
          <w:szCs w:val="32"/>
        </w:rPr>
        <w:t>年，形成大宗商品市场的结构性新周期。</w:t>
      </w:r>
    </w:p>
    <w:p w14:paraId="3354E2D3">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在上述结构性变化背景下，下游企业若仍沿用过去以“低库存、快周转、赌价格回落”为核心的经营策略，将面临明显上升的成本波动风险和供应不确定性风险。不同类型企业在产业链中的地位、现金流状况和议价能力差异显著，其应对方式亦不宜一概而论，而应采取分层、差异化的策略组合。</w:t>
      </w:r>
    </w:p>
    <w:p w14:paraId="2AA95A1E">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对于现金流相对充裕、在产业链中具备一定议价能力或规模优势的企业而言，应更加主动地将关键工业金属视为“战略性生产要素”而非单纯的可替代原材料。在价格中枢系统性抬升、供应弹性受限的环境下，适度提高核心金属（如铜、铝、镍等）的战略库存水平，有助于平滑成本波动并增强生产连续性。同时，这类企业更适合通过长期采购合同、年度或多年度锁价协议，与上游矿商或冶炼企业建立相对稳定的供给关系，在一定区间内锁定成本、降低对现货市场剧烈波动的暴露度。这种策略并非追求短期套利，而是以牺牲部分价格灵活性换取中长期经营确定性，在“高波动、低弹性”的新周期中具有更高的性价比。</w:t>
      </w:r>
    </w:p>
    <w:p w14:paraId="0814BC4E">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处于中游环节的加工制造企业，通常面临利润率较薄、现金流约束较强、上下游双向挤压的现实处境，其风险管理重点应从“囤货博弈”转向“价格风险对冲”。在供给受限、价格中枢上移的背景下，盲目扩大实物库存不仅可能加重资金压力，还可能在需求阶段性回落时放大经营风险。相较之下，更为稳健的策略是在维持相对轻库存甚至准零库存运行的同时，合理运用期货、期权等金融工具，对原材料价格波动进行对冲管理。通过建立与实际采购节奏相匹配的套期保值机制，中游企业可以在不显著占用现金流的情况下，将成本波动控制在可承受范围内，从而提升经营韧性而非单纯追逐价格判断的准确性。</w:t>
      </w:r>
    </w:p>
    <w:p w14:paraId="69A34E3F">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对于终端制造企业而言，其面临的核心挑战已不完全是“价格高低”，而是“能否持续、稳定地获得关键原材料”。在工业金属逐步向准战略资源转变的背景下，单一来源、单一区域的供应链结构将放大地缘政治与政策干预带来的系统性风险。因此，相较于在价格层面与上游反复博弈，终端企业更应将资源投入到供应链多元化和安全性建设之中，包括拓展不同国家和地区的供应来源、培育备选材料与工艺路线、以及在必要时参与上游环节的战略性投资或合作。这种布局短期内可能抬高显性成本，但从中长期看，有助于降低因供应中断或政策冲击造成的隐性损失，是在新资源格局下提升抗风险能力的重要手段。</w:t>
      </w:r>
    </w:p>
    <w:p w14:paraId="16F1D52E">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总体而言，在本轮由货币信用重估、供应链结构性收紧和需求端长期刚性增长共同塑造的工业金属新周期中，下游企业的竞争优势将不再仅仅体现在成本控制能力上，更体现在对不确定性的管理能力上。能够根据自身所处环节和资源禀赋，灵活运用库存管理、金融工具与供应链重构等多种手段的企业，将更有可能在高波动、高不确定性的环境中保持相对稳定的发展节奏。在这一新周期中，工业金属价格不仅要回答“经济增长有多快”，更要回答“全球体系如何配置风险与安全”。</w:t>
      </w:r>
    </w:p>
    <w:p w14:paraId="18455BC6">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952" w:firstLineChars="1300"/>
        <w:contextualSpacing/>
        <w:jc w:val="left"/>
        <w:textAlignment w:val="auto"/>
        <w:outlineLvl w:val="1"/>
        <w:rPr>
          <w:rFonts w:hint="default" w:ascii="Times New Roman" w:hAnsi="Times New Roman" w:eastAsia="方正楷体_GBK" w:cs="方正楷体_GBK"/>
          <w:b/>
          <w:bCs/>
          <w:color w:val="FF0000"/>
          <w:spacing w:val="0"/>
          <w:kern w:val="2"/>
          <w:sz w:val="32"/>
          <w:szCs w:val="32"/>
          <w:lang w:val="en-US" w:eastAsia="zh-CN" w:bidi="ar-SA"/>
        </w:rPr>
      </w:pPr>
      <w:r>
        <w:rPr>
          <w:rFonts w:hint="default" w:ascii="Times New Roman" w:hAnsi="Times New Roman" w:eastAsia="方正楷体_GBK" w:cs="方正楷体_GBK"/>
          <w:b/>
          <w:bCs/>
          <w:color w:val="FF0000"/>
          <w:spacing w:val="0"/>
          <w:kern w:val="2"/>
          <w:sz w:val="32"/>
          <w:szCs w:val="32"/>
          <w:lang w:val="en-US" w:eastAsia="zh-CN" w:bidi="ar-SA"/>
        </w:rPr>
        <w:t>（</w:t>
      </w:r>
      <w:r>
        <w:rPr>
          <w:rFonts w:hint="eastAsia" w:ascii="Times New Roman" w:hAnsi="Times New Roman" w:eastAsia="方正楷体_GBK" w:cs="方正楷体_GBK"/>
          <w:b/>
          <w:bCs/>
          <w:color w:val="FF0000"/>
          <w:spacing w:val="0"/>
          <w:kern w:val="2"/>
          <w:sz w:val="32"/>
          <w:szCs w:val="32"/>
          <w:lang w:val="en-US" w:eastAsia="zh-CN" w:bidi="ar-SA"/>
        </w:rPr>
        <w:t>发展研究部 刘浩、周斌</w:t>
      </w:r>
      <w:r>
        <w:rPr>
          <w:rFonts w:hint="default" w:ascii="Times New Roman" w:hAnsi="Times New Roman" w:eastAsia="方正楷体_GBK" w:cs="方正楷体_GBK"/>
          <w:b/>
          <w:bCs/>
          <w:color w:val="FF0000"/>
          <w:spacing w:val="0"/>
          <w:kern w:val="2"/>
          <w:sz w:val="32"/>
          <w:szCs w:val="32"/>
          <w:lang w:val="en-US" w:eastAsia="zh-CN" w:bidi="ar-SA"/>
        </w:rPr>
        <w:t>）</w:t>
      </w:r>
    </w:p>
    <w:p w14:paraId="5626BC61">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952" w:firstLineChars="1300"/>
        <w:contextualSpacing/>
        <w:jc w:val="left"/>
        <w:textAlignment w:val="auto"/>
        <w:outlineLvl w:val="1"/>
        <w:rPr>
          <w:rFonts w:hint="default" w:ascii="Times New Roman" w:hAnsi="Times New Roman" w:eastAsia="方正楷体_GBK" w:cs="方正楷体_GBK"/>
          <w:b/>
          <w:bCs/>
          <w:color w:val="FF0000"/>
          <w:spacing w:val="0"/>
          <w:kern w:val="2"/>
          <w:sz w:val="32"/>
          <w:szCs w:val="32"/>
          <w:lang w:val="en-US" w:eastAsia="zh-CN" w:bidi="ar-SA"/>
        </w:rPr>
      </w:pPr>
    </w:p>
    <w:p w14:paraId="17D7DCC4">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bCs/>
          <w:color w:val="FF0000"/>
          <w:sz w:val="96"/>
          <w:szCs w:val="96"/>
          <w:lang w:val="en-US" w:eastAsia="zh-CN"/>
        </w:rPr>
      </w:pPr>
    </w:p>
    <w:p w14:paraId="1ED4C9E8">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bCs/>
          <w:color w:val="FF0000"/>
          <w:sz w:val="96"/>
          <w:szCs w:val="96"/>
          <w:lang w:val="en-US" w:eastAsia="zh-CN"/>
        </w:rPr>
      </w:pPr>
    </w:p>
    <w:p w14:paraId="5825F971">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bCs/>
          <w:color w:val="FF0000"/>
          <w:sz w:val="96"/>
          <w:szCs w:val="96"/>
          <w:lang w:val="en-US" w:eastAsia="zh-CN"/>
        </w:rPr>
      </w:pPr>
    </w:p>
    <w:p w14:paraId="4DF4330A">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bCs/>
          <w:color w:val="FF0000"/>
          <w:sz w:val="96"/>
          <w:szCs w:val="96"/>
          <w:lang w:val="en-US" w:eastAsia="zh-CN"/>
        </w:rPr>
      </w:pPr>
    </w:p>
    <w:p w14:paraId="380EDDAD">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bCs/>
          <w:color w:val="FF0000"/>
          <w:sz w:val="96"/>
          <w:szCs w:val="96"/>
          <w:lang w:val="en-US" w:eastAsia="zh-CN"/>
        </w:rPr>
      </w:pPr>
    </w:p>
    <w:p w14:paraId="03F3C7C9">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bCs/>
          <w:color w:val="FF0000"/>
          <w:sz w:val="96"/>
          <w:szCs w:val="96"/>
          <w:lang w:val="en-US" w:eastAsia="zh-CN"/>
        </w:rPr>
      </w:pPr>
    </w:p>
    <w:p w14:paraId="45015F4F">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bCs/>
          <w:color w:val="FF0000"/>
          <w:sz w:val="96"/>
          <w:szCs w:val="96"/>
          <w:lang w:val="en-US" w:eastAsia="zh-CN"/>
        </w:rPr>
      </w:pPr>
    </w:p>
    <w:p w14:paraId="4C09196E">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color w:val="2E75B6" w:themeColor="accent1" w:themeShade="BF"/>
          <w:spacing w:val="-45"/>
          <w:kern w:val="2"/>
          <w:sz w:val="52"/>
          <w:szCs w:val="52"/>
          <w:lang w:val="en-US" w:eastAsia="zh-CN" w:bidi="ar-SA"/>
        </w:rPr>
      </w:pPr>
      <w:r>
        <w:rPr>
          <w:rFonts w:hint="default" w:ascii="Times New Roman" w:hAnsi="Times New Roman" w:eastAsia="经典行楷简" w:cs="Times New Roman"/>
          <w:b/>
          <w:bCs/>
          <w:color w:val="FF0000"/>
          <w:sz w:val="96"/>
          <w:szCs w:val="96"/>
          <w:lang w:val="en-US" w:eastAsia="zh-CN"/>
        </w:rPr>
        <w:t>江苏贸促动态</w:t>
      </w:r>
    </w:p>
    <w:p w14:paraId="4742C749">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Theme="minorEastAsia" w:cstheme="minorEastAsia"/>
          <w:color w:val="auto"/>
          <w:spacing w:val="0"/>
          <w:kern w:val="2"/>
          <w:sz w:val="32"/>
          <w:szCs w:val="32"/>
          <w:lang w:val="en-US" w:eastAsia="zh-CN" w:bidi="ar-SA"/>
        </w:rPr>
      </w:pPr>
      <w:r>
        <w:rPr>
          <w:rFonts w:hint="default" w:ascii="Times New Roman" w:hAnsi="Times New Roman" w:eastAsia="经典行楷简" w:cs="Times New Roman"/>
          <w:color w:val="2E75B6" w:themeColor="accent1" w:themeShade="BF"/>
          <w:spacing w:val="-40"/>
          <w:kern w:val="2"/>
          <w:position w:val="0"/>
          <w:sz w:val="52"/>
          <w:szCs w:val="52"/>
          <w:lang w:val="en-US" w:eastAsia="zh-CN" w:bidi="ar-SA"/>
        </w:rPr>
        <w:t>全省贸促工作会议在南京召开</w:t>
      </w:r>
    </w:p>
    <w:p w14:paraId="6C2264F5">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default" w:ascii="Times New Roman" w:hAnsi="Times New Roman" w:eastAsiaTheme="minorEastAsia" w:cstheme="minorEastAsia"/>
          <w:color w:val="auto"/>
          <w:spacing w:val="0"/>
          <w:kern w:val="2"/>
          <w:sz w:val="32"/>
          <w:szCs w:val="32"/>
          <w:lang w:val="en-US" w:eastAsia="zh-CN" w:bidi="ar-SA"/>
        </w:rPr>
      </w:pPr>
      <w:r>
        <w:rPr>
          <w:rFonts w:hint="default" w:ascii="Times New Roman" w:hAnsi="Times New Roman" w:eastAsiaTheme="minorEastAsia" w:cstheme="minorEastAsia"/>
          <w:color w:val="auto"/>
          <w:spacing w:val="0"/>
          <w:kern w:val="2"/>
          <w:sz w:val="32"/>
          <w:szCs w:val="32"/>
          <w:lang w:val="en-US" w:eastAsia="zh-CN" w:bidi="ar-SA"/>
        </w:rPr>
        <w:t>1月30日下午，全省贸促工作会议在南京召开。会议坚持以习近平新时代中国特色社会主义思想为指导，深入学习贯彻党的二十大和二十届历次全会精神以及习近平总书记对江苏工作重要讲话精神，认真落实中央经济工作会议和全国贸促工作会议部署，结合省委十四届十次全会、省委经济工作会议等要求，总结2025年及“十四五”时期全省贸促工作，分析当前形势，部署2026年任务，谋划“十五五”江苏贸促事业发展。省贸促会党组书记、会长王善华作工作报告，党组成员、副会长丛苏峰主持会议，党组成员、副会长魏杰钢传达全国贸促工作会议、第四届链博会筹备工作座谈会精神。省纪委监委派驻省商务厅纪检监察组有关同志参加会议。</w:t>
      </w:r>
    </w:p>
    <w:p w14:paraId="07E859E9">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default" w:ascii="Times New Roman" w:hAnsi="Times New Roman" w:eastAsiaTheme="minorEastAsia" w:cstheme="minorEastAsia"/>
          <w:color w:val="auto"/>
          <w:spacing w:val="0"/>
          <w:kern w:val="2"/>
          <w:sz w:val="32"/>
          <w:szCs w:val="32"/>
          <w:lang w:val="en-US" w:eastAsia="zh-CN" w:bidi="ar-SA"/>
        </w:rPr>
      </w:pPr>
      <w:r>
        <w:rPr>
          <w:rFonts w:hint="default" w:ascii="Times New Roman" w:hAnsi="Times New Roman" w:eastAsiaTheme="minorEastAsia" w:cstheme="minorEastAsia"/>
          <w:color w:val="auto"/>
          <w:spacing w:val="0"/>
          <w:kern w:val="2"/>
          <w:sz w:val="32"/>
          <w:szCs w:val="32"/>
          <w:lang w:val="en-US" w:eastAsia="zh-CN" w:bidi="ar-SA"/>
        </w:rPr>
        <w:t>会议认为，过去一年，在省委、省政府坚强领导和中国贸促会有力指导下，全省贸促系统扎实推进“一大展示、两项任务、三种资源、四个服务”落地见效，全省贸促工作高质量发展取得新成效。一是成功举办2025年大阪世博会中国馆“江苏周”活动，生动展示江苏开放形象；二是主动服务稳外贸稳外资两项任务；三是积极争取上级资源赋能发展，不断提升联络资源合作效能，联动法律资源实现全域覆盖；四是“走出去”服务稳妥有序，经贸摩擦应对服务靠前发力，商事认证服务量质齐升，会员企业服务效能提升。“十四五”时期，全省贸促系统持续打造“江苏品牌产品丝路行”“境外机构跨国公司江苏行”“贸促服务助企行”等工作品牌，“江苏周”活动成为世博会中国馆靓丽的“江苏名片”，RCEP优惠原产地证签证数量与金额持续保持全国贸促系统首位，贸促工作网络更加健全，贸促系统干事创业的氛围更浓、成效更好。</w:t>
      </w:r>
    </w:p>
    <w:p w14:paraId="63D506BF">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default" w:ascii="Times New Roman" w:hAnsi="Times New Roman" w:eastAsiaTheme="minorEastAsia" w:cstheme="minorEastAsia"/>
          <w:color w:val="auto"/>
          <w:spacing w:val="0"/>
          <w:kern w:val="2"/>
          <w:sz w:val="32"/>
          <w:szCs w:val="32"/>
          <w:lang w:val="en-US" w:eastAsia="zh-CN" w:bidi="ar-SA"/>
        </w:rPr>
      </w:pPr>
      <w:r>
        <w:rPr>
          <w:rFonts w:hint="default" w:ascii="Times New Roman" w:hAnsi="Times New Roman" w:eastAsiaTheme="minorEastAsia" w:cstheme="minorEastAsia"/>
          <w:color w:val="auto"/>
          <w:spacing w:val="0"/>
          <w:kern w:val="2"/>
          <w:sz w:val="32"/>
          <w:szCs w:val="32"/>
          <w:lang w:val="en-US" w:eastAsia="zh-CN" w:bidi="ar-SA"/>
        </w:rPr>
        <w:t>会议指出，2026年是“十五五”规划开局之年，做好贸促工作意义重大。全省贸促系统要以习近平新时代中国特色社会主义思想为指导，全面贯彻党的二十大和二十届历次全会精神，深入贯彻习近平总书记对江苏工作重要讲话精神，认真落实中央经济工作会议、全国贸促工作会议部署，按照省委十四届十次全会、省委经济工作会议要求，坚持压紧压实管党治党政治责任，织密服务企业网，扩大国际朋友圈，聚焦建设具有世界聚合力的双向开放枢纽，更好地服务江苏高水平对外开放和高质量发展，奋力实现“十五五”贸促高质量发展良好开局。</w:t>
      </w:r>
    </w:p>
    <w:p w14:paraId="1932B123">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default" w:ascii="Times New Roman" w:hAnsi="Times New Roman" w:eastAsiaTheme="minorEastAsia" w:cstheme="minorEastAsia"/>
          <w:color w:val="auto"/>
          <w:spacing w:val="0"/>
          <w:kern w:val="2"/>
          <w:sz w:val="32"/>
          <w:szCs w:val="32"/>
          <w:lang w:val="en-US" w:eastAsia="zh-CN" w:bidi="ar-SA"/>
        </w:rPr>
      </w:pPr>
      <w:r>
        <w:rPr>
          <w:rFonts w:hint="default" w:ascii="Times New Roman" w:hAnsi="Times New Roman" w:eastAsiaTheme="minorEastAsia" w:cstheme="minorEastAsia"/>
          <w:color w:val="auto"/>
          <w:spacing w:val="0"/>
          <w:kern w:val="2"/>
          <w:sz w:val="32"/>
          <w:szCs w:val="32"/>
          <w:lang w:val="en-US" w:eastAsia="zh-CN" w:bidi="ar-SA"/>
        </w:rPr>
        <w:t>会议强调，2026年全省贸促系统要锚定“奋进开局年”定位，着力构建“点、链、网、圈”协同发力工作格局。要聚焦发力“点”，在开拓多元市场、培育新兴业态、助力服务贸易上精准破题；要融通产业“链”，通过集聚国际资源强链、服务企业出海延链、促进优势产业补链，提升产业链韧性；要织密服务“网”，筑牢风险防线、优化商事认证和健全多元解纷服务，护航企业安全发展；要拓展联动“圈”，不断扩大国际经贸朋友圈、搭建企业发展互动圈、健全多方协同合作圈，助力构建开放共生生态。</w:t>
      </w:r>
    </w:p>
    <w:p w14:paraId="68A41391">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default" w:ascii="Times New Roman" w:hAnsi="Times New Roman" w:eastAsiaTheme="minorEastAsia" w:cstheme="minorEastAsia"/>
          <w:color w:val="auto"/>
          <w:spacing w:val="0"/>
          <w:kern w:val="2"/>
          <w:sz w:val="32"/>
          <w:szCs w:val="32"/>
          <w:lang w:val="en-US" w:eastAsia="zh-CN" w:bidi="ar-SA"/>
        </w:rPr>
      </w:pPr>
      <w:r>
        <w:rPr>
          <w:rFonts w:hint="default" w:ascii="Times New Roman" w:hAnsi="Times New Roman" w:eastAsiaTheme="minorEastAsia" w:cstheme="minorEastAsia"/>
          <w:color w:val="auto"/>
          <w:spacing w:val="0"/>
          <w:kern w:val="2"/>
          <w:sz w:val="32"/>
          <w:szCs w:val="32"/>
          <w:lang w:val="en-US" w:eastAsia="zh-CN" w:bidi="ar-SA"/>
        </w:rPr>
        <w:t>会议要求，全省贸促系统要更加紧密地团结在以习近平同志为核心的党中央周围，深刻领悟“两个确立”的决定性意义，增强“四个意识”、坚定“四个自信”、做到“两个维护”。要坚持和加强党的全面领导，巩固拓展深入贯彻中央八项规定精神学习教育成果，牢固树立和践行正确政绩观，进一步提升贸促工作质量水平，为谱写“强富美高”新江苏现代化建设新篇章作出新的更大贡献。</w:t>
      </w:r>
    </w:p>
    <w:p w14:paraId="16F63C23">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default" w:ascii="Times New Roman" w:hAnsi="Times New Roman" w:eastAsiaTheme="minorEastAsia" w:cstheme="minorEastAsia"/>
          <w:color w:val="auto"/>
          <w:spacing w:val="0"/>
          <w:kern w:val="2"/>
          <w:sz w:val="32"/>
          <w:szCs w:val="32"/>
          <w:lang w:val="en-US" w:eastAsia="zh-CN" w:bidi="ar-SA"/>
        </w:rPr>
      </w:pPr>
      <w:r>
        <w:rPr>
          <w:rFonts w:hint="default" w:ascii="Times New Roman" w:hAnsi="Times New Roman" w:eastAsiaTheme="minorEastAsia" w:cstheme="minorEastAsia"/>
          <w:color w:val="auto"/>
          <w:spacing w:val="0"/>
          <w:kern w:val="2"/>
          <w:sz w:val="32"/>
          <w:szCs w:val="32"/>
          <w:lang w:val="en-US" w:eastAsia="zh-CN" w:bidi="ar-SA"/>
        </w:rPr>
        <w:t>无锡、常州、苏州、连云港市贸促会和省国际商会驻沙特联络处作交流发言。各设区市贸促会主要负责同志，省贸促会机关各部室、所属单位主要负责同志，省国际商会驻海外联络处部分代表参加会议。</w:t>
      </w:r>
    </w:p>
    <w:p w14:paraId="487692E5">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688" w:firstLineChars="2200"/>
        <w:contextualSpacing/>
        <w:jc w:val="left"/>
        <w:textAlignment w:val="auto"/>
        <w:outlineLvl w:val="1"/>
        <w:rPr>
          <w:rFonts w:hint="default" w:ascii="Times New Roman" w:hAnsi="Times New Roman" w:eastAsia="方正楷体_GBK" w:cs="方正楷体_GBK"/>
          <w:b/>
          <w:bCs/>
          <w:color w:val="FF0000"/>
          <w:spacing w:val="0"/>
          <w:kern w:val="2"/>
          <w:sz w:val="32"/>
          <w:szCs w:val="32"/>
          <w:lang w:val="en-US" w:eastAsia="zh-CN" w:bidi="ar-SA"/>
        </w:rPr>
      </w:pPr>
      <w:r>
        <w:rPr>
          <w:rFonts w:hint="default" w:ascii="Times New Roman" w:hAnsi="Times New Roman" w:eastAsia="方正楷体_GBK" w:cs="方正楷体_GBK"/>
          <w:b/>
          <w:bCs/>
          <w:color w:val="FF0000"/>
          <w:spacing w:val="0"/>
          <w:kern w:val="2"/>
          <w:sz w:val="32"/>
          <w:szCs w:val="32"/>
          <w:lang w:val="en-US" w:eastAsia="zh-CN" w:bidi="ar-SA"/>
        </w:rPr>
        <w:t>（办公室）</w:t>
      </w:r>
    </w:p>
    <w:p w14:paraId="2BCAF342">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5472" w:firstLineChars="1800"/>
        <w:contextualSpacing/>
        <w:jc w:val="left"/>
        <w:textAlignment w:val="auto"/>
        <w:outlineLvl w:val="1"/>
        <w:rPr>
          <w:rFonts w:hint="default" w:ascii="Times New Roman" w:hAnsi="Times New Roman" w:eastAsiaTheme="minorEastAsia" w:cstheme="minorEastAsia"/>
          <w:color w:val="auto"/>
          <w:spacing w:val="0"/>
          <w:kern w:val="2"/>
          <w:sz w:val="32"/>
          <w:szCs w:val="32"/>
          <w:lang w:val="en-US" w:eastAsia="zh-CN" w:bidi="ar-SA"/>
        </w:rPr>
      </w:pPr>
    </w:p>
    <w:p w14:paraId="33864102">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5472" w:firstLineChars="1800"/>
        <w:contextualSpacing/>
        <w:jc w:val="left"/>
        <w:textAlignment w:val="auto"/>
        <w:outlineLvl w:val="1"/>
        <w:rPr>
          <w:rFonts w:hint="default" w:ascii="Times New Roman" w:hAnsi="Times New Roman" w:eastAsiaTheme="minorEastAsia" w:cstheme="minorEastAsia"/>
          <w:color w:val="auto"/>
          <w:spacing w:val="0"/>
          <w:kern w:val="2"/>
          <w:sz w:val="32"/>
          <w:szCs w:val="32"/>
          <w:lang w:val="en-US" w:eastAsia="zh-CN" w:bidi="ar-SA"/>
        </w:rPr>
      </w:pPr>
    </w:p>
    <w:p w14:paraId="1F27F4C2">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5472" w:firstLineChars="1800"/>
        <w:contextualSpacing/>
        <w:jc w:val="left"/>
        <w:textAlignment w:val="auto"/>
        <w:outlineLvl w:val="1"/>
        <w:rPr>
          <w:rFonts w:hint="default" w:ascii="Times New Roman" w:hAnsi="Times New Roman" w:eastAsiaTheme="minorEastAsia" w:cstheme="minorEastAsia"/>
          <w:color w:val="auto"/>
          <w:spacing w:val="0"/>
          <w:kern w:val="2"/>
          <w:sz w:val="32"/>
          <w:szCs w:val="32"/>
          <w:lang w:val="en-US" w:eastAsia="zh-CN" w:bidi="ar-SA"/>
        </w:rPr>
      </w:pPr>
    </w:p>
    <w:p w14:paraId="3F5E3854">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5472" w:firstLineChars="1800"/>
        <w:contextualSpacing/>
        <w:jc w:val="left"/>
        <w:textAlignment w:val="auto"/>
        <w:outlineLvl w:val="1"/>
        <w:rPr>
          <w:rFonts w:hint="default" w:ascii="Times New Roman" w:hAnsi="Times New Roman" w:eastAsiaTheme="minorEastAsia" w:cstheme="minorEastAsia"/>
          <w:color w:val="auto"/>
          <w:spacing w:val="0"/>
          <w:kern w:val="2"/>
          <w:sz w:val="32"/>
          <w:szCs w:val="32"/>
          <w:lang w:val="en-US" w:eastAsia="zh-CN" w:bidi="ar-SA"/>
        </w:rPr>
      </w:pPr>
    </w:p>
    <w:p w14:paraId="656276C9">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5472" w:firstLineChars="1800"/>
        <w:contextualSpacing/>
        <w:jc w:val="left"/>
        <w:textAlignment w:val="auto"/>
        <w:outlineLvl w:val="1"/>
        <w:rPr>
          <w:rFonts w:hint="default" w:ascii="Times New Roman" w:hAnsi="Times New Roman" w:eastAsiaTheme="minorEastAsia" w:cstheme="minorEastAsia"/>
          <w:color w:val="auto"/>
          <w:spacing w:val="0"/>
          <w:kern w:val="2"/>
          <w:sz w:val="32"/>
          <w:szCs w:val="32"/>
          <w:lang w:val="en-US" w:eastAsia="zh-CN" w:bidi="ar-SA"/>
        </w:rPr>
      </w:pPr>
    </w:p>
    <w:p w14:paraId="31EAF93E">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5472" w:firstLineChars="1800"/>
        <w:contextualSpacing/>
        <w:jc w:val="left"/>
        <w:textAlignment w:val="auto"/>
        <w:outlineLvl w:val="1"/>
        <w:rPr>
          <w:rFonts w:hint="default" w:ascii="Times New Roman" w:hAnsi="Times New Roman" w:eastAsiaTheme="minorEastAsia" w:cstheme="minorEastAsia"/>
          <w:color w:val="auto"/>
          <w:spacing w:val="0"/>
          <w:kern w:val="2"/>
          <w:sz w:val="32"/>
          <w:szCs w:val="32"/>
          <w:lang w:val="en-US" w:eastAsia="zh-CN" w:bidi="ar-SA"/>
        </w:rPr>
      </w:pPr>
    </w:p>
    <w:p w14:paraId="68DA31C8">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5472" w:firstLineChars="1800"/>
        <w:contextualSpacing/>
        <w:jc w:val="left"/>
        <w:textAlignment w:val="auto"/>
        <w:outlineLvl w:val="1"/>
        <w:rPr>
          <w:rFonts w:hint="default" w:ascii="Times New Roman" w:hAnsi="Times New Roman" w:eastAsiaTheme="minorEastAsia" w:cstheme="minorEastAsia"/>
          <w:color w:val="auto"/>
          <w:spacing w:val="0"/>
          <w:kern w:val="2"/>
          <w:sz w:val="32"/>
          <w:szCs w:val="32"/>
          <w:lang w:val="en-US" w:eastAsia="zh-CN" w:bidi="ar-SA"/>
        </w:rPr>
      </w:pPr>
    </w:p>
    <w:p w14:paraId="2ED0C569">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5472" w:firstLineChars="1800"/>
        <w:contextualSpacing/>
        <w:jc w:val="left"/>
        <w:textAlignment w:val="auto"/>
        <w:outlineLvl w:val="1"/>
        <w:rPr>
          <w:rFonts w:hint="default" w:ascii="Times New Roman" w:hAnsi="Times New Roman" w:eastAsiaTheme="minorEastAsia" w:cstheme="minorEastAsia"/>
          <w:color w:val="auto"/>
          <w:spacing w:val="0"/>
          <w:kern w:val="2"/>
          <w:sz w:val="32"/>
          <w:szCs w:val="32"/>
          <w:lang w:val="en-US" w:eastAsia="zh-CN" w:bidi="ar-SA"/>
        </w:rPr>
      </w:pPr>
    </w:p>
    <w:p w14:paraId="134CA536">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5472" w:firstLineChars="1800"/>
        <w:contextualSpacing/>
        <w:jc w:val="left"/>
        <w:textAlignment w:val="auto"/>
        <w:outlineLvl w:val="1"/>
        <w:rPr>
          <w:rFonts w:hint="default" w:ascii="Times New Roman" w:hAnsi="Times New Roman" w:eastAsiaTheme="minorEastAsia" w:cstheme="minorEastAsia"/>
          <w:color w:val="auto"/>
          <w:spacing w:val="0"/>
          <w:kern w:val="2"/>
          <w:sz w:val="32"/>
          <w:szCs w:val="32"/>
          <w:lang w:val="en-US" w:eastAsia="zh-CN" w:bidi="ar-SA"/>
        </w:rPr>
      </w:pPr>
    </w:p>
    <w:p w14:paraId="4D1F5129">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5472" w:firstLineChars="1800"/>
        <w:contextualSpacing/>
        <w:jc w:val="left"/>
        <w:textAlignment w:val="auto"/>
        <w:outlineLvl w:val="1"/>
        <w:rPr>
          <w:rFonts w:hint="default" w:ascii="Times New Roman" w:hAnsi="Times New Roman" w:eastAsiaTheme="minorEastAsia" w:cstheme="minorEastAsia"/>
          <w:color w:val="auto"/>
          <w:spacing w:val="0"/>
          <w:kern w:val="2"/>
          <w:sz w:val="32"/>
          <w:szCs w:val="32"/>
          <w:lang w:val="en-US" w:eastAsia="zh-CN" w:bidi="ar-SA"/>
        </w:rPr>
      </w:pPr>
    </w:p>
    <w:p w14:paraId="3C225AE8">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5472" w:firstLineChars="1800"/>
        <w:contextualSpacing/>
        <w:jc w:val="left"/>
        <w:textAlignment w:val="auto"/>
        <w:outlineLvl w:val="1"/>
        <w:rPr>
          <w:rFonts w:hint="default" w:ascii="Times New Roman" w:hAnsi="Times New Roman" w:eastAsiaTheme="minorEastAsia" w:cstheme="minorEastAsia"/>
          <w:color w:val="auto"/>
          <w:spacing w:val="0"/>
          <w:kern w:val="2"/>
          <w:sz w:val="32"/>
          <w:szCs w:val="32"/>
          <w:lang w:val="en-US" w:eastAsia="zh-CN" w:bidi="ar-SA"/>
        </w:rPr>
      </w:pPr>
    </w:p>
    <w:p w14:paraId="4A3862F1">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left"/>
        <w:textAlignment w:val="auto"/>
        <w:outlineLvl w:val="1"/>
        <w:rPr>
          <w:rFonts w:hint="default" w:ascii="Times New Roman" w:hAnsi="Times New Roman" w:eastAsiaTheme="minorEastAsia" w:cstheme="minorEastAsia"/>
          <w:color w:val="auto"/>
          <w:spacing w:val="0"/>
          <w:kern w:val="2"/>
          <w:sz w:val="32"/>
          <w:szCs w:val="32"/>
          <w:lang w:val="en-US" w:eastAsia="zh-CN" w:bidi="ar-SA"/>
        </w:rPr>
      </w:pPr>
      <w:r>
        <w:rPr>
          <w:rFonts w:hint="default" w:ascii="Times New Roman" w:hAnsi="Times New Roman" w:eastAsia="经典行楷简" w:cs="Times New Roman"/>
          <w:color w:val="2E75B6" w:themeColor="accent1" w:themeShade="BF"/>
          <w:spacing w:val="-40"/>
          <w:kern w:val="2"/>
          <w:position w:val="0"/>
          <w:sz w:val="52"/>
          <w:szCs w:val="52"/>
          <w:lang w:val="en-US" w:eastAsia="zh-CN" w:bidi="ar-SA"/>
        </w:rPr>
        <w:t>省国际商会法律专业委员会工作会议在宁召开</w:t>
      </w:r>
    </w:p>
    <w:p w14:paraId="60FB7C8E">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default" w:ascii="Times New Roman" w:hAnsi="Times New Roman" w:eastAsiaTheme="minorEastAsia" w:cstheme="minorEastAsia"/>
          <w:color w:val="auto"/>
          <w:spacing w:val="0"/>
          <w:kern w:val="2"/>
          <w:sz w:val="32"/>
          <w:szCs w:val="32"/>
          <w:lang w:val="en-US" w:eastAsia="zh-CN" w:bidi="ar-SA"/>
        </w:rPr>
      </w:pPr>
      <w:r>
        <w:rPr>
          <w:rFonts w:hint="default" w:ascii="Times New Roman" w:hAnsi="Times New Roman" w:eastAsiaTheme="minorEastAsia" w:cstheme="minorEastAsia"/>
          <w:color w:val="auto"/>
          <w:spacing w:val="0"/>
          <w:kern w:val="2"/>
          <w:sz w:val="32"/>
          <w:szCs w:val="32"/>
          <w:lang w:val="en-US" w:eastAsia="zh-CN" w:bidi="ar-SA"/>
        </w:rPr>
        <w:t>1月29日上午，省国际商会法律专业委员会工作会议在南京召开。省贸促会（国际商会）党组成员、副会长丛苏峰出席会议并讲话。省国际商会法专委主任、顾问、秘书长、副秘书长及相关委员代表20人参加会议。</w:t>
      </w:r>
    </w:p>
    <w:p w14:paraId="59822FC5">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default" w:ascii="Times New Roman" w:hAnsi="Times New Roman" w:eastAsiaTheme="minorEastAsia" w:cstheme="minorEastAsia"/>
          <w:color w:val="auto"/>
          <w:spacing w:val="0"/>
          <w:kern w:val="2"/>
          <w:sz w:val="32"/>
          <w:szCs w:val="32"/>
          <w:lang w:val="en-US" w:eastAsia="zh-CN" w:bidi="ar-SA"/>
        </w:rPr>
      </w:pPr>
      <w:r>
        <w:rPr>
          <w:rFonts w:hint="default" w:ascii="Times New Roman" w:hAnsi="Times New Roman" w:eastAsiaTheme="minorEastAsia" w:cstheme="minorEastAsia"/>
          <w:color w:val="auto"/>
          <w:spacing w:val="0"/>
          <w:kern w:val="2"/>
          <w:sz w:val="32"/>
          <w:szCs w:val="32"/>
          <w:lang w:val="en-US" w:eastAsia="zh-CN" w:bidi="ar-SA"/>
        </w:rPr>
        <w:t>会上，省国际商会法专委当值联席主任姚彬总结2025年工作完成情况，系统梳理过去一年在涉外法律服务、行业交流协作等方面取得的成果，介绍2026年工作规划。各主任、委员及副秘书长围绕2026年法专委工作计划展开深入交流讨论，结合自身专业领域和行业实践，提出具有针对性和可操作性的意见建议。</w:t>
      </w:r>
    </w:p>
    <w:p w14:paraId="20D9C5F1">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default" w:ascii="Times New Roman" w:hAnsi="Times New Roman" w:eastAsiaTheme="minorEastAsia" w:cstheme="minorEastAsia"/>
          <w:color w:val="auto"/>
          <w:spacing w:val="0"/>
          <w:kern w:val="2"/>
          <w:sz w:val="32"/>
          <w:szCs w:val="32"/>
          <w:lang w:val="en-US" w:eastAsia="zh-CN" w:bidi="ar-SA"/>
        </w:rPr>
      </w:pPr>
      <w:r>
        <w:rPr>
          <w:rFonts w:hint="default" w:ascii="Times New Roman" w:hAnsi="Times New Roman" w:eastAsiaTheme="minorEastAsia" w:cstheme="minorEastAsia"/>
          <w:color w:val="auto"/>
          <w:spacing w:val="0"/>
          <w:kern w:val="2"/>
          <w:sz w:val="32"/>
          <w:szCs w:val="32"/>
          <w:lang w:val="en-US" w:eastAsia="zh-CN" w:bidi="ar-SA"/>
        </w:rPr>
        <w:t>丛苏峰在讲话中表示，当前全球涉华经济贸易摩擦形势日趋严峻，加之新修订的仲裁法即将于2026年3月正式施行，商事调解条例同步落地，进一步加强涉外法治体系建设、提升涉外法律服务能力显得尤为迫切和重要。希望省国际商会法专委深入学习领会全国贸促工作会议关于涉外法治体系和能力建设的新部署、新要求，积极助力打造国际商事法律纠纷解决首选地，推动江苏仲裁事业与国际通行规则接轨。同时要认真落实省司法厅关于做优生产型法律服务新业态的工作要求，聚焦产业布局优化、产业链强链补链、知识产权保护、涉外法律服务中心建设等重点领域，精准对接企业需求，提升法律服务与产业发展的融合度。省国际商会法专委作为汇聚行业力量的重要平台，要强化联动协作意识，主动联合会员企业、知名律所、高等院校等多方资源，搭建协同发力的涉外法律服务体系，推动法律服务升级提质，切实为江苏投资贸易高质量发展、消费市场持续扩容、产业链供应链稳定安全提供坚实有力的法治支撑，为全省“十五五”高质量发展开好局、起好步贡献法治力量。</w:t>
      </w:r>
    </w:p>
    <w:p w14:paraId="74B56CD0">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default" w:ascii="Times New Roman" w:hAnsi="Times New Roman" w:eastAsiaTheme="minorEastAsia" w:cstheme="minorEastAsia"/>
          <w:color w:val="auto"/>
          <w:spacing w:val="0"/>
          <w:kern w:val="2"/>
          <w:sz w:val="32"/>
          <w:szCs w:val="32"/>
          <w:lang w:val="en-US" w:eastAsia="zh-CN" w:bidi="ar-SA"/>
        </w:rPr>
      </w:pPr>
      <w:r>
        <w:rPr>
          <w:rFonts w:hint="default" w:ascii="Times New Roman" w:hAnsi="Times New Roman" w:eastAsiaTheme="minorEastAsia" w:cstheme="minorEastAsia"/>
          <w:color w:val="auto"/>
          <w:spacing w:val="0"/>
          <w:kern w:val="2"/>
          <w:sz w:val="32"/>
          <w:szCs w:val="32"/>
          <w:lang w:val="en-US" w:eastAsia="zh-CN" w:bidi="ar-SA"/>
        </w:rPr>
        <w:t>省国际商会法专委将立足职能定位，细化工作举措，以更优涉外法律服务护航企业国际化发展，为江苏构建更高水平开放型经济新体制保驾护航。</w:t>
      </w:r>
    </w:p>
    <w:p w14:paraId="2F46C3BE">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5472" w:firstLineChars="1800"/>
        <w:contextualSpacing/>
        <w:jc w:val="left"/>
        <w:textAlignment w:val="auto"/>
        <w:outlineLvl w:val="1"/>
        <w:rPr>
          <w:rFonts w:hint="default" w:ascii="Times New Roman" w:hAnsi="Times New Roman" w:eastAsia="方正楷体_GBK" w:cs="方正楷体_GBK"/>
          <w:b/>
          <w:bCs/>
          <w:color w:val="FF0000"/>
          <w:spacing w:val="0"/>
          <w:kern w:val="2"/>
          <w:sz w:val="32"/>
          <w:szCs w:val="32"/>
          <w:lang w:val="en-US" w:eastAsia="zh-CN" w:bidi="ar-SA"/>
        </w:rPr>
      </w:pPr>
      <w:r>
        <w:rPr>
          <w:rFonts w:hint="default" w:ascii="Times New Roman" w:hAnsi="Times New Roman" w:eastAsia="方正楷体_GBK" w:cs="方正楷体_GBK"/>
          <w:b/>
          <w:bCs/>
          <w:color w:val="FF0000"/>
          <w:spacing w:val="0"/>
          <w:kern w:val="2"/>
          <w:sz w:val="32"/>
          <w:szCs w:val="32"/>
          <w:lang w:val="en-US" w:eastAsia="zh-CN" w:bidi="ar-SA"/>
        </w:rPr>
        <w:t>（国际商会秘书处）</w:t>
      </w:r>
    </w:p>
    <w:p w14:paraId="21A09CB4">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eastAsia" w:ascii="Times New Roman" w:hAnsi="Times New Roman" w:cstheme="minorEastAsia"/>
          <w:color w:val="auto"/>
          <w:spacing w:val="0"/>
          <w:kern w:val="2"/>
          <w:sz w:val="32"/>
          <w:szCs w:val="32"/>
          <w:lang w:val="en-US" w:eastAsia="zh-CN" w:bidi="ar-SA"/>
        </w:rPr>
      </w:pPr>
    </w:p>
    <w:p w14:paraId="10570CB6">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eastAsia" w:ascii="Times New Roman" w:hAnsi="Times New Roman" w:cstheme="minorEastAsia"/>
          <w:color w:val="auto"/>
          <w:spacing w:val="0"/>
          <w:kern w:val="2"/>
          <w:sz w:val="32"/>
          <w:szCs w:val="32"/>
          <w:lang w:val="en-US" w:eastAsia="zh-CN" w:bidi="ar-SA"/>
        </w:rPr>
      </w:pPr>
    </w:p>
    <w:p w14:paraId="76D8725B">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eastAsia" w:ascii="Times New Roman" w:hAnsi="Times New Roman" w:cstheme="minorEastAsia"/>
          <w:color w:val="auto"/>
          <w:spacing w:val="0"/>
          <w:kern w:val="2"/>
          <w:sz w:val="32"/>
          <w:szCs w:val="32"/>
          <w:lang w:val="en-US" w:eastAsia="zh-CN" w:bidi="ar-SA"/>
        </w:rPr>
      </w:pPr>
    </w:p>
    <w:p w14:paraId="0E235E84">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eastAsia" w:ascii="Times New Roman" w:hAnsi="Times New Roman" w:cstheme="minorEastAsia"/>
          <w:color w:val="auto"/>
          <w:spacing w:val="0"/>
          <w:kern w:val="2"/>
          <w:sz w:val="32"/>
          <w:szCs w:val="32"/>
          <w:lang w:val="en-US" w:eastAsia="zh-CN" w:bidi="ar-SA"/>
        </w:rPr>
      </w:pPr>
    </w:p>
    <w:p w14:paraId="7D47FC79">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eastAsia" w:ascii="Times New Roman" w:hAnsi="Times New Roman" w:cstheme="minorEastAsia"/>
          <w:color w:val="auto"/>
          <w:spacing w:val="0"/>
          <w:kern w:val="2"/>
          <w:sz w:val="32"/>
          <w:szCs w:val="32"/>
          <w:lang w:val="en-US" w:eastAsia="zh-CN" w:bidi="ar-SA"/>
        </w:rPr>
      </w:pPr>
    </w:p>
    <w:p w14:paraId="3261FEB8">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eastAsia" w:ascii="Times New Roman" w:hAnsi="Times New Roman" w:cstheme="minorEastAsia"/>
          <w:color w:val="auto"/>
          <w:spacing w:val="0"/>
          <w:kern w:val="2"/>
          <w:sz w:val="32"/>
          <w:szCs w:val="32"/>
          <w:lang w:val="en-US" w:eastAsia="zh-CN" w:bidi="ar-SA"/>
        </w:rPr>
      </w:pPr>
    </w:p>
    <w:p w14:paraId="63E82C7F">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eastAsia" w:ascii="Times New Roman" w:hAnsi="Times New Roman" w:cstheme="minorEastAsia"/>
          <w:color w:val="auto"/>
          <w:spacing w:val="0"/>
          <w:kern w:val="2"/>
          <w:sz w:val="32"/>
          <w:szCs w:val="32"/>
          <w:lang w:val="en-US" w:eastAsia="zh-CN" w:bidi="ar-SA"/>
        </w:rPr>
      </w:pPr>
    </w:p>
    <w:p w14:paraId="3305294C">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eastAsia" w:ascii="Times New Roman" w:hAnsi="Times New Roman" w:cstheme="minorEastAsia"/>
          <w:color w:val="auto"/>
          <w:spacing w:val="0"/>
          <w:kern w:val="2"/>
          <w:sz w:val="32"/>
          <w:szCs w:val="32"/>
          <w:lang w:val="en-US" w:eastAsia="zh-CN" w:bidi="ar-SA"/>
        </w:rPr>
      </w:pPr>
    </w:p>
    <w:p w14:paraId="600ABC89">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eastAsia" w:ascii="Times New Roman" w:hAnsi="Times New Roman" w:cstheme="minorEastAsia"/>
          <w:color w:val="auto"/>
          <w:spacing w:val="0"/>
          <w:kern w:val="2"/>
          <w:sz w:val="32"/>
          <w:szCs w:val="32"/>
          <w:lang w:val="en-US" w:eastAsia="zh-CN" w:bidi="ar-SA"/>
        </w:rPr>
      </w:pPr>
    </w:p>
    <w:p w14:paraId="2D6B1EBA">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eastAsia" w:ascii="Times New Roman" w:hAnsi="Times New Roman" w:cstheme="minorEastAsia"/>
          <w:color w:val="auto"/>
          <w:spacing w:val="0"/>
          <w:kern w:val="2"/>
          <w:sz w:val="32"/>
          <w:szCs w:val="32"/>
          <w:lang w:val="en-US" w:eastAsia="zh-CN" w:bidi="ar-SA"/>
        </w:rPr>
      </w:pPr>
    </w:p>
    <w:p w14:paraId="120EADAA">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eastAsia" w:ascii="Times New Roman" w:hAnsi="Times New Roman" w:cstheme="minorEastAsia"/>
          <w:color w:val="auto"/>
          <w:spacing w:val="0"/>
          <w:kern w:val="2"/>
          <w:sz w:val="32"/>
          <w:szCs w:val="32"/>
          <w:lang w:val="en-US" w:eastAsia="zh-CN" w:bidi="ar-SA"/>
        </w:rPr>
      </w:pPr>
    </w:p>
    <w:p w14:paraId="4F984DC7">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eastAsia" w:ascii="Times New Roman" w:hAnsi="Times New Roman" w:cstheme="minorEastAsia"/>
          <w:color w:val="auto"/>
          <w:spacing w:val="0"/>
          <w:kern w:val="2"/>
          <w:sz w:val="32"/>
          <w:szCs w:val="32"/>
          <w:lang w:val="en-US" w:eastAsia="zh-CN" w:bidi="ar-SA"/>
        </w:rPr>
      </w:pPr>
    </w:p>
    <w:p w14:paraId="72C18671">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eastAsia" w:ascii="Times New Roman" w:hAnsi="Times New Roman" w:cstheme="minorEastAsia"/>
          <w:color w:val="auto"/>
          <w:spacing w:val="0"/>
          <w:kern w:val="2"/>
          <w:sz w:val="32"/>
          <w:szCs w:val="32"/>
          <w:lang w:val="en-US" w:eastAsia="zh-CN" w:bidi="ar-SA"/>
        </w:rPr>
      </w:pPr>
    </w:p>
    <w:p w14:paraId="3EA12297">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eastAsia" w:ascii="Times New Roman" w:hAnsi="Times New Roman" w:cstheme="minorEastAsia"/>
          <w:color w:val="auto"/>
          <w:spacing w:val="0"/>
          <w:kern w:val="2"/>
          <w:sz w:val="32"/>
          <w:szCs w:val="32"/>
          <w:lang w:val="en-US" w:eastAsia="zh-CN" w:bidi="ar-SA"/>
        </w:rPr>
      </w:pPr>
    </w:p>
    <w:p w14:paraId="7D614175">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color w:val="2E75B6" w:themeColor="accent1" w:themeShade="BF"/>
          <w:kern w:val="36"/>
          <w:sz w:val="96"/>
          <w:szCs w:val="96"/>
          <w:u w:val="none" w:color="BB120F"/>
          <w:lang w:val="en-US" w:eastAsia="zh-CN"/>
        </w:rPr>
      </w:pPr>
      <w:r>
        <w:rPr>
          <w:rFonts w:hint="default" w:ascii="Times New Roman" w:hAnsi="Times New Roman" w:eastAsia="经典行楷简" w:cs="Times New Roman"/>
          <w:b/>
          <w:color w:val="2E75B6" w:themeColor="accent1" w:themeShade="BF"/>
          <w:kern w:val="36"/>
          <w:sz w:val="96"/>
          <w:szCs w:val="96"/>
          <w:u w:val="none" w:color="BB120F"/>
          <w:lang w:val="en-US" w:eastAsia="zh-CN"/>
        </w:rPr>
        <w:t>会员企业风采</w:t>
      </w:r>
    </w:p>
    <w:p w14:paraId="1F4A5A51">
      <w:pPr>
        <w:keepNext w:val="0"/>
        <w:keepLines w:val="0"/>
        <w:pageBreakBefore w:val="0"/>
        <w:widowControl/>
        <w:kinsoku/>
        <w:wordWrap/>
        <w:overflowPunct/>
        <w:topLinePunct w:val="0"/>
        <w:autoSpaceDE/>
        <w:autoSpaceDN/>
        <w:bidi w:val="0"/>
        <w:adjustRightInd/>
        <w:snapToGrid/>
        <w:jc w:val="center"/>
        <w:textAlignment w:val="auto"/>
        <w:outlineLvl w:val="9"/>
        <w:rPr>
          <w:rFonts w:hint="eastAsia" w:ascii="Times New Roman" w:hAnsi="Times New Roman" w:eastAsia="方正楷体_GBK" w:cs="Times New Roman"/>
          <w:b w:val="0"/>
          <w:bCs/>
          <w:kern w:val="0"/>
          <w:sz w:val="32"/>
          <w:szCs w:val="32"/>
          <w:lang w:val="en-US" w:eastAsia="zh-CN" w:bidi="ar-SA"/>
        </w:rPr>
      </w:pPr>
      <w:r>
        <w:rPr>
          <w:rFonts w:hint="eastAsia" w:ascii="Times New Roman" w:hAnsi="Times New Roman" w:eastAsia="华文新魏" w:cs="Times New Roman"/>
          <w:b/>
          <w:bCs w:val="0"/>
          <w:color w:val="FF0000"/>
          <w:spacing w:val="-34"/>
          <w:kern w:val="36"/>
          <w:sz w:val="44"/>
          <w:szCs w:val="44"/>
          <w:lang w:val="en-US" w:eastAsia="zh-CN" w:bidi="ar-SA"/>
        </w:rPr>
        <w:t>南钢一举揽获5项江苏省科学技术奖</w:t>
      </w:r>
    </w:p>
    <w:p w14:paraId="2127243B">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eastAsia" w:ascii="Times New Roman" w:hAnsi="Times New Roman" w:eastAsiaTheme="minorEastAsia" w:cstheme="minorEastAsia"/>
          <w:color w:val="auto"/>
          <w:spacing w:val="0"/>
          <w:kern w:val="2"/>
          <w:sz w:val="32"/>
          <w:szCs w:val="32"/>
          <w:lang w:val="en-US" w:eastAsia="zh-CN" w:bidi="ar-SA"/>
        </w:rPr>
      </w:pPr>
      <w:r>
        <w:rPr>
          <w:rFonts w:hint="eastAsia" w:ascii="Times New Roman" w:hAnsi="Times New Roman" w:eastAsiaTheme="minorEastAsia" w:cstheme="minorEastAsia"/>
          <w:color w:val="auto"/>
          <w:spacing w:val="0"/>
          <w:kern w:val="2"/>
          <w:sz w:val="32"/>
          <w:szCs w:val="32"/>
          <w:lang w:val="en-US" w:eastAsia="zh-CN" w:bidi="ar-SA"/>
        </w:rPr>
        <w:t>近日，江苏省人民政府发布江苏省科学技术奖励决定，我会副会长单位——南京钢铁股份有限公司5个项目获科技进步奖，其中“超（超）临界煤电机组深度快速调峰智能控制关键技术及应用”项目获一等奖，“高强高韧钢铁材料复合氧化物冶金关键共性技术创新与应用”“光声电磁多场融合的大型特种装备安全检测关键技术及应用”2个项目获二等奖，“低碳能源产业链用节镍型超低温容器钢研发及产业化”“低温韧性优异的宽厚规格管线钢板研制开发及产业化应用”2个项目获三等奖。获奖项目数量为历年之最。</w:t>
      </w:r>
    </w:p>
    <w:p w14:paraId="345DEC43">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eastAsia" w:ascii="Times New Roman" w:hAnsi="Times New Roman" w:eastAsiaTheme="minorEastAsia" w:cstheme="minorEastAsia"/>
          <w:color w:val="auto"/>
          <w:spacing w:val="0"/>
          <w:kern w:val="2"/>
          <w:sz w:val="32"/>
          <w:szCs w:val="32"/>
          <w:lang w:val="en-US" w:eastAsia="zh-CN" w:bidi="ar-SA"/>
        </w:rPr>
      </w:pPr>
      <w:r>
        <w:rPr>
          <w:rFonts w:hint="eastAsia" w:ascii="Times New Roman" w:hAnsi="Times New Roman" w:eastAsiaTheme="minorEastAsia" w:cstheme="minorEastAsia"/>
          <w:color w:val="auto"/>
          <w:spacing w:val="0"/>
          <w:kern w:val="2"/>
          <w:sz w:val="32"/>
          <w:szCs w:val="32"/>
          <w:lang w:val="en-US" w:eastAsia="zh-CN" w:bidi="ar-SA"/>
        </w:rPr>
        <w:t>江苏省科学技术奖作为全省科技领域的最高荣誉，评审标准严苛、竞争激烈，获奖成果需经多轮严格筛选，是衡量区域科技创新实力的重要标尺。本次奖项，全省仅遴选出自然科学奖52项、科技进步奖通用项目243项、青年科技杰出贡献奖10名和国际科技合作奖4名，奖项含金量与行业认可度极高。</w:t>
      </w:r>
    </w:p>
    <w:p w14:paraId="119C6BB6">
      <w:pPr>
        <w:keepNext w:val="0"/>
        <w:keepLines w:val="0"/>
        <w:pageBreakBefore w:val="0"/>
        <w:widowControl/>
        <w:kinsoku/>
        <w:wordWrap/>
        <w:overflowPunct/>
        <w:topLinePunct w:val="0"/>
        <w:autoSpaceDE/>
        <w:autoSpaceDN/>
        <w:bidi w:val="0"/>
        <w:adjustRightInd/>
        <w:snapToGrid/>
        <w:ind w:firstLine="4256" w:firstLineChars="1400"/>
        <w:textAlignment w:val="auto"/>
        <w:outlineLvl w:val="9"/>
        <w:rPr>
          <w:rFonts w:hint="eastAsia" w:ascii="Times New Roman" w:hAnsi="Times New Roman" w:eastAsia="方正楷体_GBK" w:cs="方正楷体_GBK"/>
          <w:b/>
          <w:bCs/>
          <w:color w:val="FF0000"/>
          <w:spacing w:val="0"/>
          <w:kern w:val="2"/>
          <w:sz w:val="32"/>
          <w:szCs w:val="32"/>
          <w:lang w:val="en-US" w:eastAsia="zh-CN" w:bidi="ar-SA"/>
        </w:rPr>
      </w:pPr>
      <w:r>
        <w:rPr>
          <w:rFonts w:hint="default" w:ascii="Times New Roman" w:hAnsi="Times New Roman" w:eastAsia="方正楷体_GBK" w:cs="方正楷体_GBK"/>
          <w:b/>
          <w:bCs/>
          <w:color w:val="FF0000"/>
          <w:spacing w:val="0"/>
          <w:kern w:val="2"/>
          <w:sz w:val="32"/>
          <w:szCs w:val="32"/>
          <w:lang w:val="en-US" w:eastAsia="zh-CN" w:bidi="ar-SA"/>
        </w:rPr>
        <w:t>（来源</w:t>
      </w:r>
      <w:r>
        <w:rPr>
          <w:rFonts w:hint="eastAsia" w:ascii="Times New Roman" w:hAnsi="Times New Roman" w:eastAsia="方正楷体_GBK" w:cs="方正楷体_GBK"/>
          <w:b/>
          <w:bCs/>
          <w:color w:val="FF0000"/>
          <w:spacing w:val="0"/>
          <w:kern w:val="2"/>
          <w:sz w:val="32"/>
          <w:szCs w:val="32"/>
          <w:lang w:val="en-US" w:eastAsia="zh-CN" w:bidi="ar-SA"/>
        </w:rPr>
        <w:t>：南钢微信公众号）</w:t>
      </w:r>
    </w:p>
    <w:p w14:paraId="3DB475ED">
      <w:pPr>
        <w:keepNext w:val="0"/>
        <w:keepLines w:val="0"/>
        <w:pageBreakBefore w:val="0"/>
        <w:widowControl/>
        <w:kinsoku/>
        <w:wordWrap/>
        <w:overflowPunct/>
        <w:topLinePunct w:val="0"/>
        <w:autoSpaceDE/>
        <w:autoSpaceDN/>
        <w:bidi w:val="0"/>
        <w:adjustRightInd/>
        <w:snapToGrid/>
        <w:spacing w:line="440" w:lineRule="exact"/>
        <w:jc w:val="both"/>
        <w:textAlignment w:val="auto"/>
        <w:outlineLvl w:val="9"/>
        <w:rPr>
          <w:rFonts w:hint="eastAsia" w:ascii="Times New Roman" w:hAnsi="Times New Roman" w:eastAsia="方正楷体_GBK" w:cs="Times New Roman"/>
          <w:b w:val="0"/>
          <w:bCs/>
          <w:kern w:val="0"/>
          <w:sz w:val="32"/>
          <w:szCs w:val="32"/>
          <w:lang w:val="en-US" w:eastAsia="zh-CN" w:bidi="ar-SA"/>
        </w:rPr>
      </w:pPr>
    </w:p>
    <w:p w14:paraId="2B81267C">
      <w:pPr>
        <w:keepNext w:val="0"/>
        <w:keepLines w:val="0"/>
        <w:pageBreakBefore w:val="0"/>
        <w:widowControl/>
        <w:kinsoku/>
        <w:wordWrap/>
        <w:overflowPunct/>
        <w:topLinePunct w:val="0"/>
        <w:autoSpaceDE/>
        <w:autoSpaceDN/>
        <w:bidi w:val="0"/>
        <w:adjustRightInd/>
        <w:snapToGrid/>
        <w:ind w:firstLine="608" w:firstLineChars="200"/>
        <w:textAlignment w:val="auto"/>
        <w:outlineLvl w:val="9"/>
        <w:rPr>
          <w:rFonts w:hint="eastAsia" w:ascii="Times New Roman" w:hAnsi="Times New Roman" w:eastAsia="方正楷体_GBK" w:cs="Times New Roman"/>
          <w:b w:val="0"/>
          <w:bCs/>
          <w:kern w:val="0"/>
          <w:sz w:val="32"/>
          <w:szCs w:val="32"/>
          <w:lang w:val="en-US" w:eastAsia="zh-CN" w:bidi="ar-SA"/>
        </w:rPr>
      </w:pPr>
    </w:p>
    <w:p w14:paraId="61432260">
      <w:pPr>
        <w:keepNext w:val="0"/>
        <w:keepLines w:val="0"/>
        <w:pageBreakBefore w:val="0"/>
        <w:widowControl/>
        <w:kinsoku/>
        <w:wordWrap/>
        <w:overflowPunct/>
        <w:topLinePunct w:val="0"/>
        <w:autoSpaceDE/>
        <w:autoSpaceDN/>
        <w:bidi w:val="0"/>
        <w:adjustRightInd/>
        <w:snapToGrid/>
        <w:ind w:firstLine="608" w:firstLineChars="200"/>
        <w:textAlignment w:val="auto"/>
        <w:outlineLvl w:val="9"/>
        <w:rPr>
          <w:rFonts w:hint="eastAsia" w:ascii="Times New Roman" w:hAnsi="Times New Roman" w:eastAsia="方正楷体_GBK" w:cs="Times New Roman"/>
          <w:b w:val="0"/>
          <w:bCs/>
          <w:kern w:val="0"/>
          <w:sz w:val="32"/>
          <w:szCs w:val="32"/>
          <w:lang w:val="en-US" w:eastAsia="zh-CN" w:bidi="ar-SA"/>
        </w:rPr>
      </w:pPr>
    </w:p>
    <w:p w14:paraId="65505973">
      <w:pPr>
        <w:keepNext w:val="0"/>
        <w:keepLines w:val="0"/>
        <w:pageBreakBefore w:val="0"/>
        <w:widowControl/>
        <w:kinsoku/>
        <w:wordWrap/>
        <w:overflowPunct/>
        <w:topLinePunct w:val="0"/>
        <w:autoSpaceDE/>
        <w:autoSpaceDN/>
        <w:bidi w:val="0"/>
        <w:adjustRightInd/>
        <w:snapToGrid/>
        <w:ind w:firstLine="608" w:firstLineChars="200"/>
        <w:textAlignment w:val="auto"/>
        <w:outlineLvl w:val="9"/>
        <w:rPr>
          <w:rFonts w:hint="eastAsia" w:ascii="Times New Roman" w:hAnsi="Times New Roman" w:eastAsia="方正楷体_GBK" w:cs="Times New Roman"/>
          <w:b w:val="0"/>
          <w:bCs/>
          <w:kern w:val="0"/>
          <w:sz w:val="32"/>
          <w:szCs w:val="32"/>
          <w:lang w:val="en-US" w:eastAsia="zh-CN" w:bidi="ar-SA"/>
        </w:rPr>
      </w:pPr>
    </w:p>
    <w:p w14:paraId="7B304D99">
      <w:pPr>
        <w:keepNext w:val="0"/>
        <w:keepLines w:val="0"/>
        <w:pageBreakBefore w:val="0"/>
        <w:widowControl/>
        <w:kinsoku/>
        <w:wordWrap/>
        <w:overflowPunct/>
        <w:topLinePunct w:val="0"/>
        <w:autoSpaceDE/>
        <w:autoSpaceDN/>
        <w:bidi w:val="0"/>
        <w:adjustRightInd/>
        <w:snapToGrid/>
        <w:jc w:val="center"/>
        <w:textAlignment w:val="auto"/>
        <w:outlineLvl w:val="9"/>
        <w:rPr>
          <w:rFonts w:hint="eastAsia" w:ascii="Times New Roman" w:hAnsi="Times New Roman" w:eastAsia="方正楷体_GBK" w:cs="Times New Roman"/>
          <w:b w:val="0"/>
          <w:bCs/>
          <w:kern w:val="0"/>
          <w:sz w:val="32"/>
          <w:szCs w:val="32"/>
          <w:lang w:val="en-US" w:eastAsia="zh-CN" w:bidi="ar-SA"/>
        </w:rPr>
      </w:pPr>
      <w:bookmarkStart w:id="3" w:name="OLE_LINK4"/>
      <w:r>
        <w:rPr>
          <w:rFonts w:hint="eastAsia" w:ascii="Times New Roman" w:hAnsi="Times New Roman" w:eastAsia="华文新魏" w:cs="Times New Roman"/>
          <w:b/>
          <w:bCs w:val="0"/>
          <w:color w:val="FF0000"/>
          <w:spacing w:val="-34"/>
          <w:kern w:val="36"/>
          <w:sz w:val="44"/>
          <w:szCs w:val="44"/>
          <w:lang w:val="en-US" w:eastAsia="zh-CN" w:bidi="ar-SA"/>
        </w:rPr>
        <w:t>上上电缆获评“国家知识产权示范企业”</w:t>
      </w:r>
    </w:p>
    <w:p w14:paraId="7030383E">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eastAsia" w:ascii="Times New Roman" w:hAnsi="Times New Roman" w:eastAsiaTheme="minorEastAsia" w:cstheme="minorEastAsia"/>
          <w:color w:val="auto"/>
          <w:spacing w:val="0"/>
          <w:kern w:val="2"/>
          <w:sz w:val="32"/>
          <w:szCs w:val="32"/>
          <w:lang w:val="en-US" w:eastAsia="zh-CN" w:bidi="ar-SA"/>
        </w:rPr>
      </w:pPr>
      <w:r>
        <w:rPr>
          <w:rFonts w:hint="eastAsia" w:ascii="Times New Roman" w:hAnsi="Times New Roman" w:eastAsiaTheme="minorEastAsia" w:cstheme="minorEastAsia"/>
          <w:color w:val="auto"/>
          <w:spacing w:val="0"/>
          <w:kern w:val="2"/>
          <w:sz w:val="32"/>
          <w:szCs w:val="32"/>
          <w:lang w:val="en-US" w:eastAsia="zh-CN" w:bidi="ar-SA"/>
        </w:rPr>
        <w:t>近日，我会理事单位——江苏上上电缆集团有限公司凭借卓越的知识产权创造能力、完善的保护体系及显著的成果转化成效，成功入选“国家知识产权示范企业”。</w:t>
      </w:r>
    </w:p>
    <w:p w14:paraId="4757A953">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eastAsia" w:ascii="Times New Roman" w:hAnsi="Times New Roman" w:eastAsiaTheme="minorEastAsia" w:cstheme="minorEastAsia"/>
          <w:color w:val="auto"/>
          <w:spacing w:val="0"/>
          <w:kern w:val="2"/>
          <w:sz w:val="32"/>
          <w:szCs w:val="32"/>
          <w:lang w:val="en-US" w:eastAsia="zh-CN" w:bidi="ar-SA"/>
        </w:rPr>
      </w:pPr>
      <w:r>
        <w:rPr>
          <w:rFonts w:hint="eastAsia" w:ascii="Times New Roman" w:hAnsi="Times New Roman" w:eastAsiaTheme="minorEastAsia" w:cstheme="minorEastAsia"/>
          <w:color w:val="auto"/>
          <w:spacing w:val="0"/>
          <w:kern w:val="2"/>
          <w:sz w:val="32"/>
          <w:szCs w:val="32"/>
          <w:lang w:val="en-US" w:eastAsia="zh-CN" w:bidi="ar-SA"/>
        </w:rPr>
        <w:t>作为国内电线电缆行业的领军企业，上上电缆始终将知识产权视为技术创新的核心支撑。上上坚持“创新引领、专利护航”的战略方针，依托特种电缆、新能源电缆、高端装备电缆等核心技术领域，构建了覆盖研发立项、专利布局、风险防控到运营转化的全流程管理体系。通过将自主创新成果转化为高价值专利，为技术创新筑牢“防护网”，为市场拓展铺就“通行证”。</w:t>
      </w:r>
    </w:p>
    <w:p w14:paraId="3C47C3E2">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eastAsia" w:ascii="Times New Roman" w:hAnsi="Times New Roman" w:eastAsiaTheme="minorEastAsia" w:cstheme="minorEastAsia"/>
          <w:color w:val="auto"/>
          <w:spacing w:val="0"/>
          <w:kern w:val="2"/>
          <w:sz w:val="32"/>
          <w:szCs w:val="32"/>
          <w:lang w:val="en-US" w:eastAsia="zh-CN" w:bidi="ar-SA"/>
        </w:rPr>
      </w:pPr>
      <w:r>
        <w:rPr>
          <w:rFonts w:hint="eastAsia" w:ascii="Times New Roman" w:hAnsi="Times New Roman" w:eastAsiaTheme="minorEastAsia" w:cstheme="minorEastAsia"/>
          <w:color w:val="auto"/>
          <w:spacing w:val="0"/>
          <w:kern w:val="2"/>
          <w:sz w:val="32"/>
          <w:szCs w:val="32"/>
          <w:lang w:val="en-US" w:eastAsia="zh-CN" w:bidi="ar-SA"/>
        </w:rPr>
        <w:t>近年来，上上电缆在知识产权领域取得多项突破，累计获得专利授权超500项，并主导或参与多项国家标准、行标和团标的制修订工作。公司先后荣获“国家知识产权优势企业”、“中国专利优秀奖”等荣誉，自主研发的750kV交联聚乙烯绝缘电力电缆、核电站80年寿期核安全级电缆、600km/h高速磁悬浮长定子绕组电缆等产品技术达到国际领先水平，广泛应用于输配电、新能源、轨道交通等领域。此次获评“示范企业”，标志着上上实现了从“优势积累”向“标杆示范”的全面升级。</w:t>
      </w:r>
    </w:p>
    <w:bookmarkEnd w:id="3"/>
    <w:p w14:paraId="6D65020C">
      <w:pPr>
        <w:keepNext w:val="0"/>
        <w:keepLines w:val="0"/>
        <w:pageBreakBefore w:val="0"/>
        <w:widowControl/>
        <w:kinsoku/>
        <w:wordWrap/>
        <w:overflowPunct/>
        <w:topLinePunct w:val="0"/>
        <w:autoSpaceDE/>
        <w:autoSpaceDN/>
        <w:bidi w:val="0"/>
        <w:adjustRightInd/>
        <w:snapToGrid/>
        <w:ind w:firstLine="4256" w:firstLineChars="1400"/>
        <w:textAlignment w:val="auto"/>
        <w:outlineLvl w:val="9"/>
        <w:rPr>
          <w:rFonts w:hint="eastAsia" w:ascii="Times New Roman" w:hAnsi="Times New Roman" w:eastAsia="方正楷体_GBK" w:cs="方正楷体_GBK"/>
          <w:b/>
          <w:bCs/>
          <w:color w:val="FF0000"/>
          <w:spacing w:val="0"/>
          <w:kern w:val="2"/>
          <w:sz w:val="32"/>
          <w:szCs w:val="32"/>
          <w:lang w:val="en-US" w:eastAsia="zh-CN" w:bidi="ar-SA"/>
        </w:rPr>
      </w:pPr>
      <w:r>
        <w:rPr>
          <w:rFonts w:hint="default" w:ascii="Times New Roman" w:hAnsi="Times New Roman" w:eastAsia="方正楷体_GBK" w:cs="方正楷体_GBK"/>
          <w:b/>
          <w:bCs/>
          <w:color w:val="FF0000"/>
          <w:spacing w:val="0"/>
          <w:kern w:val="2"/>
          <w:sz w:val="32"/>
          <w:szCs w:val="32"/>
          <w:lang w:val="en-US" w:eastAsia="zh-CN" w:bidi="ar-SA"/>
        </w:rPr>
        <w:t>（来源</w:t>
      </w:r>
      <w:r>
        <w:rPr>
          <w:rFonts w:hint="eastAsia" w:ascii="Times New Roman" w:hAnsi="Times New Roman" w:eastAsia="方正楷体_GBK" w:cs="方正楷体_GBK"/>
          <w:b/>
          <w:bCs/>
          <w:color w:val="FF0000"/>
          <w:spacing w:val="0"/>
          <w:kern w:val="2"/>
          <w:sz w:val="32"/>
          <w:szCs w:val="32"/>
          <w:lang w:val="en-US" w:eastAsia="zh-CN" w:bidi="ar-SA"/>
        </w:rPr>
        <w:t>：上上电缆微信公众号）</w:t>
      </w:r>
    </w:p>
    <w:p w14:paraId="4982AB37">
      <w:pPr>
        <w:keepNext w:val="0"/>
        <w:keepLines w:val="0"/>
        <w:pageBreakBefore w:val="0"/>
        <w:widowControl/>
        <w:kinsoku/>
        <w:wordWrap/>
        <w:overflowPunct/>
        <w:topLinePunct w:val="0"/>
        <w:autoSpaceDE/>
        <w:autoSpaceDN/>
        <w:bidi w:val="0"/>
        <w:adjustRightInd/>
        <w:snapToGrid/>
        <w:spacing w:line="440" w:lineRule="exact"/>
        <w:ind w:firstLine="608" w:firstLineChars="200"/>
        <w:jc w:val="right"/>
        <w:textAlignment w:val="auto"/>
        <w:outlineLvl w:val="9"/>
        <w:rPr>
          <w:rFonts w:hint="eastAsia" w:ascii="Times New Roman" w:hAnsi="Times New Roman" w:eastAsia="方正楷体_GBK" w:cs="Times New Roman"/>
          <w:b w:val="0"/>
          <w:bCs/>
          <w:kern w:val="0"/>
          <w:sz w:val="32"/>
          <w:szCs w:val="32"/>
          <w:lang w:val="en-US" w:eastAsia="zh-CN" w:bidi="ar-SA"/>
        </w:rPr>
      </w:pPr>
    </w:p>
    <w:p w14:paraId="2A18B6FB">
      <w:pPr>
        <w:keepNext w:val="0"/>
        <w:keepLines w:val="0"/>
        <w:pageBreakBefore w:val="0"/>
        <w:widowControl/>
        <w:kinsoku/>
        <w:wordWrap/>
        <w:overflowPunct/>
        <w:topLinePunct w:val="0"/>
        <w:autoSpaceDE/>
        <w:autoSpaceDN/>
        <w:bidi w:val="0"/>
        <w:adjustRightInd/>
        <w:snapToGrid/>
        <w:spacing w:line="440" w:lineRule="exact"/>
        <w:ind w:firstLine="608" w:firstLineChars="200"/>
        <w:jc w:val="right"/>
        <w:textAlignment w:val="auto"/>
        <w:outlineLvl w:val="9"/>
        <w:rPr>
          <w:rFonts w:hint="eastAsia" w:ascii="Times New Roman" w:hAnsi="Times New Roman" w:eastAsia="方正楷体_GBK" w:cs="Times New Roman"/>
          <w:b w:val="0"/>
          <w:bCs/>
          <w:kern w:val="0"/>
          <w:sz w:val="32"/>
          <w:szCs w:val="32"/>
          <w:lang w:val="en-US" w:eastAsia="zh-CN" w:bidi="ar-SA"/>
        </w:rPr>
      </w:pPr>
    </w:p>
    <w:p w14:paraId="38BF1603">
      <w:pPr>
        <w:keepNext w:val="0"/>
        <w:keepLines w:val="0"/>
        <w:pageBreakBefore w:val="0"/>
        <w:widowControl/>
        <w:kinsoku/>
        <w:wordWrap/>
        <w:overflowPunct/>
        <w:topLinePunct w:val="0"/>
        <w:autoSpaceDE/>
        <w:autoSpaceDN/>
        <w:bidi w:val="0"/>
        <w:adjustRightInd/>
        <w:snapToGrid/>
        <w:spacing w:line="440" w:lineRule="exact"/>
        <w:ind w:firstLine="608" w:firstLineChars="200"/>
        <w:jc w:val="right"/>
        <w:textAlignment w:val="auto"/>
        <w:outlineLvl w:val="9"/>
        <w:rPr>
          <w:rFonts w:hint="eastAsia" w:ascii="Times New Roman" w:hAnsi="Times New Roman" w:eastAsia="方正楷体_GBK" w:cs="Times New Roman"/>
          <w:b w:val="0"/>
          <w:bCs/>
          <w:kern w:val="0"/>
          <w:sz w:val="32"/>
          <w:szCs w:val="32"/>
          <w:lang w:val="en-US" w:eastAsia="zh-CN" w:bidi="ar-SA"/>
        </w:rPr>
      </w:pPr>
    </w:p>
    <w:p w14:paraId="2CFF33C0">
      <w:pPr>
        <w:keepNext w:val="0"/>
        <w:keepLines w:val="0"/>
        <w:pageBreakBefore w:val="0"/>
        <w:widowControl/>
        <w:kinsoku/>
        <w:wordWrap/>
        <w:overflowPunct/>
        <w:topLinePunct w:val="0"/>
        <w:autoSpaceDE/>
        <w:autoSpaceDN/>
        <w:bidi w:val="0"/>
        <w:adjustRightInd/>
        <w:snapToGrid/>
        <w:jc w:val="center"/>
        <w:textAlignment w:val="auto"/>
        <w:outlineLvl w:val="9"/>
        <w:rPr>
          <w:rFonts w:hint="eastAsia" w:ascii="Times New Roman" w:hAnsi="Times New Roman" w:eastAsia="方正楷体_GBK" w:cs="Times New Roman"/>
          <w:b w:val="0"/>
          <w:bCs/>
          <w:kern w:val="0"/>
          <w:sz w:val="32"/>
          <w:szCs w:val="32"/>
          <w:lang w:val="en-US" w:eastAsia="zh-CN" w:bidi="ar-SA"/>
        </w:rPr>
      </w:pPr>
      <w:r>
        <w:rPr>
          <w:rFonts w:hint="eastAsia" w:ascii="Times New Roman" w:hAnsi="Times New Roman" w:eastAsia="华文新魏" w:cs="Times New Roman"/>
          <w:b/>
          <w:bCs w:val="0"/>
          <w:color w:val="FF0000"/>
          <w:spacing w:val="-34"/>
          <w:kern w:val="36"/>
          <w:sz w:val="44"/>
          <w:szCs w:val="44"/>
          <w:lang w:val="en-US" w:eastAsia="zh-CN" w:bidi="ar-SA"/>
        </w:rPr>
        <w:t>亚星客车双“星”斩获大奖 领跑细分市场</w:t>
      </w:r>
    </w:p>
    <w:p w14:paraId="2EE5BAF5">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eastAsia" w:ascii="Times New Roman" w:hAnsi="Times New Roman" w:eastAsiaTheme="minorEastAsia" w:cstheme="minorEastAsia"/>
          <w:color w:val="auto"/>
          <w:spacing w:val="0"/>
          <w:kern w:val="2"/>
          <w:sz w:val="32"/>
          <w:szCs w:val="32"/>
          <w:lang w:val="en-US" w:eastAsia="zh-CN" w:bidi="ar-SA"/>
        </w:rPr>
      </w:pPr>
      <w:r>
        <w:rPr>
          <w:rFonts w:hint="eastAsia" w:ascii="Times New Roman" w:hAnsi="Times New Roman" w:eastAsiaTheme="minorEastAsia" w:cstheme="minorEastAsia"/>
          <w:color w:val="auto"/>
          <w:spacing w:val="0"/>
          <w:kern w:val="2"/>
          <w:sz w:val="32"/>
          <w:szCs w:val="32"/>
          <w:lang w:val="en-US" w:eastAsia="zh-CN" w:bidi="ar-SA"/>
        </w:rPr>
        <w:t>近日，由中国土木工程学会城市公共交通分会、中国客车网联合主办的“第二十届影响客车业年度盘点新质生产力创新发展论坛暨公交客车科技交流对话”活动在北京举行。来自行业协会、科研专家、整车及配套企业的嘉宾齐聚一堂，共同见证年度行业标杆的诞生。</w:t>
      </w:r>
    </w:p>
    <w:p w14:paraId="24F6E945">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eastAsia" w:ascii="Times New Roman" w:hAnsi="Times New Roman" w:eastAsiaTheme="minorEastAsia" w:cstheme="minorEastAsia"/>
          <w:color w:val="auto"/>
          <w:spacing w:val="0"/>
          <w:kern w:val="2"/>
          <w:sz w:val="32"/>
          <w:szCs w:val="32"/>
          <w:lang w:val="en-US" w:eastAsia="zh-CN" w:bidi="ar-SA"/>
        </w:rPr>
      </w:pPr>
      <w:r>
        <w:rPr>
          <w:rFonts w:hint="eastAsia" w:ascii="Times New Roman" w:hAnsi="Times New Roman" w:eastAsiaTheme="minorEastAsia" w:cstheme="minorEastAsia"/>
          <w:color w:val="auto"/>
          <w:spacing w:val="0"/>
          <w:kern w:val="2"/>
          <w:sz w:val="32"/>
          <w:szCs w:val="32"/>
          <w:lang w:val="en-US" w:eastAsia="zh-CN" w:bidi="ar-SA"/>
        </w:rPr>
        <w:t>凭借在产品设计、技术创新与市场应用方面的卓越表现，我会理事单位——扬州亚星客车股份有限公司斩获两项重磅荣誉——X15系列客车荣膺“高端公商务车之星”，X12PRO系列客车获评“定制旅游客车之星”，彰显了亚星客车在高端团体客车领域的深厚技术积淀与精准市场洞察力。此次亚星客车两款核心产品同时获奖，不仅是对其产品实力的高度认可，更是对其持续深耕高端出行细分市场的充分肯定。</w:t>
      </w:r>
    </w:p>
    <w:p w14:paraId="01ED022A">
      <w:pPr>
        <w:keepNext w:val="0"/>
        <w:keepLines w:val="0"/>
        <w:pageBreakBefore w:val="0"/>
        <w:widowControl/>
        <w:kinsoku/>
        <w:wordWrap/>
        <w:overflowPunct/>
        <w:topLinePunct w:val="0"/>
        <w:autoSpaceDE/>
        <w:autoSpaceDN/>
        <w:bidi w:val="0"/>
        <w:adjustRightInd/>
        <w:snapToGrid/>
        <w:ind w:firstLine="4256" w:firstLineChars="1400"/>
        <w:textAlignment w:val="auto"/>
        <w:outlineLvl w:val="9"/>
        <w:rPr>
          <w:rFonts w:hint="eastAsia" w:ascii="Times New Roman" w:hAnsi="Times New Roman" w:eastAsia="方正楷体_GBK" w:cs="方正楷体_GBK"/>
          <w:b/>
          <w:bCs/>
          <w:color w:val="FF0000"/>
          <w:spacing w:val="0"/>
          <w:kern w:val="2"/>
          <w:sz w:val="32"/>
          <w:szCs w:val="32"/>
          <w:lang w:val="en-US" w:eastAsia="zh-CN" w:bidi="ar-SA"/>
        </w:rPr>
      </w:pPr>
      <w:r>
        <w:rPr>
          <w:rFonts w:hint="default" w:ascii="Times New Roman" w:hAnsi="Times New Roman" w:eastAsia="方正楷体_GBK" w:cs="方正楷体_GBK"/>
          <w:b/>
          <w:bCs/>
          <w:color w:val="FF0000"/>
          <w:spacing w:val="0"/>
          <w:kern w:val="2"/>
          <w:sz w:val="32"/>
          <w:szCs w:val="32"/>
          <w:lang w:val="en-US" w:eastAsia="zh-CN" w:bidi="ar-SA"/>
        </w:rPr>
        <w:t>（来源</w:t>
      </w:r>
      <w:r>
        <w:rPr>
          <w:rFonts w:hint="eastAsia" w:ascii="Times New Roman" w:hAnsi="Times New Roman" w:eastAsia="方正楷体_GBK" w:cs="方正楷体_GBK"/>
          <w:b/>
          <w:bCs/>
          <w:color w:val="FF0000"/>
          <w:spacing w:val="0"/>
          <w:kern w:val="2"/>
          <w:sz w:val="32"/>
          <w:szCs w:val="32"/>
          <w:lang w:val="en-US" w:eastAsia="zh-CN" w:bidi="ar-SA"/>
        </w:rPr>
        <w:t>：亚星客车微信公众号）</w:t>
      </w:r>
    </w:p>
    <w:p w14:paraId="6C165E0D">
      <w:pPr>
        <w:keepNext w:val="0"/>
        <w:keepLines w:val="0"/>
        <w:pageBreakBefore w:val="0"/>
        <w:widowControl/>
        <w:kinsoku/>
        <w:wordWrap/>
        <w:overflowPunct/>
        <w:topLinePunct w:val="0"/>
        <w:autoSpaceDE/>
        <w:autoSpaceDN/>
        <w:bidi w:val="0"/>
        <w:adjustRightInd/>
        <w:snapToGrid/>
        <w:spacing w:line="440" w:lineRule="exact"/>
        <w:textAlignment w:val="auto"/>
        <w:outlineLvl w:val="9"/>
        <w:rPr>
          <w:rFonts w:hint="eastAsia" w:ascii="Times New Roman" w:hAnsi="Times New Roman" w:eastAsia="方正仿宋_GBK" w:cs="Times New Roman"/>
          <w:i w:val="0"/>
          <w:caps w:val="0"/>
          <w:color w:val="000000"/>
          <w:spacing w:val="0"/>
          <w:sz w:val="31"/>
          <w:szCs w:val="31"/>
          <w:lang w:val="en-US" w:eastAsia="zh-CN"/>
        </w:rPr>
      </w:pPr>
    </w:p>
    <w:p w14:paraId="3D100B01">
      <w:pPr>
        <w:keepNext w:val="0"/>
        <w:keepLines w:val="0"/>
        <w:pageBreakBefore w:val="0"/>
        <w:widowControl/>
        <w:kinsoku/>
        <w:wordWrap/>
        <w:overflowPunct/>
        <w:topLinePunct w:val="0"/>
        <w:autoSpaceDE/>
        <w:autoSpaceDN/>
        <w:bidi w:val="0"/>
        <w:adjustRightInd/>
        <w:snapToGrid/>
        <w:ind w:firstLine="608" w:firstLineChars="200"/>
        <w:textAlignment w:val="auto"/>
        <w:outlineLvl w:val="9"/>
        <w:rPr>
          <w:rFonts w:hint="eastAsia" w:ascii="Times New Roman" w:hAnsi="Times New Roman" w:eastAsia="方正楷体_GBK" w:cs="Times New Roman"/>
          <w:b w:val="0"/>
          <w:bCs/>
          <w:kern w:val="0"/>
          <w:sz w:val="32"/>
          <w:szCs w:val="32"/>
          <w:lang w:val="en-US" w:eastAsia="zh-CN" w:bidi="ar-SA"/>
        </w:rPr>
      </w:pPr>
    </w:p>
    <w:p w14:paraId="64D4F69D">
      <w:pPr>
        <w:spacing w:line="440" w:lineRule="exact"/>
        <w:ind w:firstLine="608" w:firstLineChars="200"/>
        <w:jc w:val="center"/>
        <w:rPr>
          <w:rFonts w:hint="eastAsia" w:ascii="Times New Roman" w:hAnsi="Times New Roman" w:eastAsiaTheme="minorEastAsia" w:cstheme="minorEastAsia"/>
          <w:color w:val="auto"/>
          <w:spacing w:val="0"/>
          <w:kern w:val="2"/>
          <w:sz w:val="32"/>
          <w:szCs w:val="32"/>
          <w:lang w:val="en-US" w:eastAsia="zh-CN" w:bidi="ar-SA"/>
        </w:rPr>
      </w:pPr>
      <w:r>
        <w:rPr>
          <w:rFonts w:hint="eastAsia" w:ascii="Times New Roman" w:hAnsi="Times New Roman" w:eastAsia="方正楷体_GBK" w:cs="方正楷体_GBK"/>
          <w:b/>
          <w:bCs/>
          <w:color w:val="FF0000"/>
          <w:spacing w:val="0"/>
          <w:kern w:val="2"/>
          <w:sz w:val="32"/>
          <w:szCs w:val="32"/>
          <w:lang w:val="en-US" w:eastAsia="zh-CN" w:bidi="ar-SA"/>
        </w:rPr>
        <w:t xml:space="preserve">           </w:t>
      </w:r>
    </w:p>
    <w:sectPr>
      <w:footerReference r:id="rId3" w:type="default"/>
      <w:pgSz w:w="11906" w:h="16838"/>
      <w:pgMar w:top="2098" w:right="1474" w:bottom="1984" w:left="1587" w:header="1417" w:footer="992" w:gutter="0"/>
      <w:pgBorders>
        <w:top w:val="single" w:color="F82206" w:sz="48" w:space="1"/>
        <w:left w:val="single" w:color="F82206" w:sz="48" w:space="4"/>
        <w:bottom w:val="single" w:color="F82206" w:sz="48" w:space="1"/>
        <w:right w:val="single" w:color="F82206" w:sz="48" w:space="4"/>
      </w:pgBorders>
      <w:pgNumType w:fmt="decimal" w:start="1"/>
      <w:cols w:space="425" w:num="1"/>
      <w:docGrid w:type="linesAndChars" w:linePitch="290" w:charSpace="-34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1" w:fontKey="{F96F043B-3279-4523-8D73-48D3030F18B9}"/>
  </w:font>
  <w:font w:name="Consolas">
    <w:panose1 w:val="020B0609020204030204"/>
    <w:charset w:val="00"/>
    <w:family w:val="auto"/>
    <w:pitch w:val="default"/>
    <w:sig w:usb0="E00006FF" w:usb1="0000FCFF" w:usb2="00000001" w:usb3="00000000" w:csb0="6000019F" w:csb1="DFD70000"/>
  </w:font>
  <w:font w:name="经典行楷简">
    <w:panose1 w:val="02010609000101010101"/>
    <w:charset w:val="86"/>
    <w:family w:val="auto"/>
    <w:pitch w:val="default"/>
    <w:sig w:usb0="A1007AEF" w:usb1="F9DF7CFB" w:usb2="0000001E" w:usb3="00000000" w:csb0="20040000" w:csb1="00000000"/>
    <w:embedRegular r:id="rId2" w:fontKey="{85541DC2-07BD-4CAA-9CB0-0020DD3D27C9}"/>
  </w:font>
  <w:font w:name="方正楷体_GBK">
    <w:panose1 w:val="02000000000000000000"/>
    <w:charset w:val="86"/>
    <w:family w:val="auto"/>
    <w:pitch w:val="default"/>
    <w:sig w:usb0="800002BF" w:usb1="38CF7CFA" w:usb2="00000016" w:usb3="00000000" w:csb0="00040000" w:csb1="00000000"/>
    <w:embedRegular r:id="rId3" w:fontKey="{ECCB8E72-ED5B-4DBE-8546-A5DC2B6ABAB8}"/>
  </w:font>
  <w:font w:name="方正公文黑体">
    <w:panose1 w:val="02000500000000000000"/>
    <w:charset w:val="86"/>
    <w:family w:val="auto"/>
    <w:pitch w:val="default"/>
    <w:sig w:usb0="A00002BF" w:usb1="38CF7CFA" w:usb2="00000016" w:usb3="00000000" w:csb0="00040001" w:csb1="00000000"/>
    <w:embedRegular r:id="rId4" w:fontKey="{99D7D669-43B3-4D0E-B417-7EAE4FB3FCC3}"/>
  </w:font>
  <w:font w:name="方正黑体_GBK">
    <w:panose1 w:val="02010600010101010101"/>
    <w:charset w:val="86"/>
    <w:family w:val="auto"/>
    <w:pitch w:val="default"/>
    <w:sig w:usb0="00000001" w:usb1="080E0000" w:usb2="00000000" w:usb3="00000000" w:csb0="00040000" w:csb1="00000000"/>
    <w:embedRegular r:id="rId5" w:fontKey="{E46DEB46-D998-4E4C-9276-1E9C3A7E5CE7}"/>
  </w:font>
  <w:font w:name="方正小标宋_GBK">
    <w:panose1 w:val="03000509000000000000"/>
    <w:charset w:val="86"/>
    <w:family w:val="auto"/>
    <w:pitch w:val="default"/>
    <w:sig w:usb0="00000001" w:usb1="080E0000" w:usb2="00000000" w:usb3="00000000" w:csb0="00040000" w:csb1="00000000"/>
    <w:embedRegular r:id="rId6" w:fontKey="{3649D8D5-28B3-4D51-BA01-9BD29BEE4F48}"/>
  </w:font>
  <w:font w:name="方正仿宋_GBK">
    <w:panose1 w:val="03000509000000000000"/>
    <w:charset w:val="86"/>
    <w:family w:val="script"/>
    <w:pitch w:val="default"/>
    <w:sig w:usb0="00000001" w:usb1="080E0000" w:usb2="00000000" w:usb3="00000000" w:csb0="00040000" w:csb1="00000000"/>
    <w:embedRegular r:id="rId7" w:fontKey="{C666050C-950D-4502-A9EF-C818C9897F35}"/>
  </w:font>
  <w:font w:name="华文新魏">
    <w:panose1 w:val="02010800040101010101"/>
    <w:charset w:val="86"/>
    <w:family w:val="auto"/>
    <w:pitch w:val="default"/>
    <w:sig w:usb0="00000001" w:usb1="080F0000" w:usb2="00000000" w:usb3="00000000" w:csb0="00040000" w:csb1="00000000"/>
    <w:embedRegular r:id="rId8" w:fontKey="{A6759FAF-44FA-4E5F-9174-ADFED5DCE69B}"/>
  </w:font>
  <w:font w:name="WPSEMBED1">
    <w:panose1 w:val="0201060001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C1BD11">
    <w:pPr>
      <w:widowControl w:val="0"/>
      <w:tabs>
        <w:tab w:val="center" w:pos="4153"/>
        <w:tab w:val="right" w:pos="8306"/>
      </w:tabs>
      <w:snapToGrid w:val="0"/>
      <w:jc w:val="center"/>
      <w:rPr>
        <w:rFonts w:ascii="Calibri" w:hAnsi="Calibri" w:eastAsia="宋体" w:cs="Times New Roman"/>
        <w:kern w:val="2"/>
        <w:sz w:val="18"/>
        <w:szCs w:val="18"/>
        <w:lang w:val="en-US" w:eastAsia="zh-CN" w:bidi="ar-SA"/>
      </w:rPr>
    </w:pPr>
    <w:r>
      <w:rPr>
        <w:rFonts w:ascii="Calibri" w:hAnsi="Calibri" w:eastAsia="宋体" w:cs="Times New Roman"/>
        <w:kern w:val="2"/>
        <w:sz w:val="18"/>
        <w:szCs w:val="18"/>
        <w:lang w:val="en-US" w:eastAsia="zh-CN" w:bidi="ar-SA"/>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-304800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9740C4">
                          <w:pPr>
                            <w:widowControl w:val="0"/>
                            <w:tabs>
                              <w:tab w:val="center" w:pos="4153"/>
                              <w:tab w:val="right" w:pos="8306"/>
                            </w:tabs>
                            <w:snapToGrid w:val="0"/>
                            <w:jc w:val="center"/>
                            <w:rPr>
                              <w:rFonts w:ascii="Calibri" w:hAnsi="Calibri" w:eastAsia="宋体" w:cs="Times New Roman"/>
                              <w:kern w:val="2"/>
                              <w:sz w:val="18"/>
                              <w:szCs w:val="18"/>
                              <w:highlight w:val="yellow"/>
                              <w:lang w:val="en-US" w:eastAsia="zh-CN" w:bidi="ar-SA"/>
                            </w:rPr>
                          </w:pP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 xml:space="preserve">— </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begin"/>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instrText xml:space="preserve"> PAGE  \* MERGEFORMAT </w:instrTex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separate"/>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1</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end"/>
                          </w:r>
                          <w:r>
                            <w:rPr>
                              <w:rFonts w:hint="default" w:ascii="Times New Roman" w:hAnsi="Times New Roman" w:eastAsia="宋体" w:cs="Times New Roman"/>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 xml:space="preserve"> </w:t>
                          </w: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24pt;height:144pt;width:144pt;mso-position-horizontal:center;mso-position-horizontal-relative:margin;mso-wrap-style:none;z-index:251659264;mso-width-relative:page;mso-height-relative:page;" filled="f" stroked="f" coordsize="21600,21600" o:gfxdata="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8gO9M9QAAAAIAQAADwAAAAAAAAABACAAAAAiAAAAZHJzL2Rvd25yZXYu&#10;eG1sUEsBAhQAFAAAAAgAh07iQLVZerI4AgAAbwQAAA4AAAAAAAAAAQAgAAAAIwEAAGRycy9lMm9E&#10;b2MueG1sUEsFBgAAAAAGAAYAWQEAAM0FAAAAAA==&#10;">
              <v:fill on="f" focussize="0,0"/>
              <v:stroke on="f" weight="0.5pt"/>
              <v:imagedata o:title=""/>
              <o:lock v:ext="edit" aspectratio="f"/>
              <v:textbox inset="0mm,0mm,0mm,0mm" style="mso-fit-shape-to-text:t;">
                <w:txbxContent>
                  <w:p w14:paraId="149740C4">
                    <w:pPr>
                      <w:widowControl w:val="0"/>
                      <w:tabs>
                        <w:tab w:val="center" w:pos="4153"/>
                        <w:tab w:val="right" w:pos="8306"/>
                      </w:tabs>
                      <w:snapToGrid w:val="0"/>
                      <w:jc w:val="center"/>
                      <w:rPr>
                        <w:rFonts w:ascii="Calibri" w:hAnsi="Calibri" w:eastAsia="宋体" w:cs="Times New Roman"/>
                        <w:kern w:val="2"/>
                        <w:sz w:val="18"/>
                        <w:szCs w:val="18"/>
                        <w:highlight w:val="yellow"/>
                        <w:lang w:val="en-US" w:eastAsia="zh-CN" w:bidi="ar-SA"/>
                      </w:rPr>
                    </w:pP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 xml:space="preserve">— </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begin"/>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instrText xml:space="preserve"> PAGE  \* MERGEFORMAT </w:instrTex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separate"/>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1</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end"/>
                    </w:r>
                    <w:r>
                      <w:rPr>
                        <w:rFonts w:hint="default" w:ascii="Times New Roman" w:hAnsi="Times New Roman" w:eastAsia="宋体" w:cs="Times New Roman"/>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 xml:space="preserve"> </w:t>
                    </w: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w:t>
                    </w:r>
                  </w:p>
                </w:txbxContent>
              </v:textbox>
            </v:shape>
          </w:pict>
        </mc:Fallback>
      </mc:AlternateContent>
    </w:r>
  </w:p>
  <w:p w14:paraId="4033DA90">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NotDisplayPageBoundaries w:val="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gyY2JjZjUwZjliZTZiOTlhN2YyNWNiNDhlZDgzZjgifQ=="/>
  </w:docVars>
  <w:rsids>
    <w:rsidRoot w:val="09CD0E22"/>
    <w:rsid w:val="00030C0E"/>
    <w:rsid w:val="00043245"/>
    <w:rsid w:val="0007364F"/>
    <w:rsid w:val="000800B0"/>
    <w:rsid w:val="00093D01"/>
    <w:rsid w:val="00097083"/>
    <w:rsid w:val="000C6CC2"/>
    <w:rsid w:val="001156B9"/>
    <w:rsid w:val="00145330"/>
    <w:rsid w:val="00154806"/>
    <w:rsid w:val="001F2C95"/>
    <w:rsid w:val="00215B64"/>
    <w:rsid w:val="002840B7"/>
    <w:rsid w:val="003208B4"/>
    <w:rsid w:val="003671B0"/>
    <w:rsid w:val="003C691D"/>
    <w:rsid w:val="003F32D7"/>
    <w:rsid w:val="0042623F"/>
    <w:rsid w:val="0043286B"/>
    <w:rsid w:val="00467C46"/>
    <w:rsid w:val="005279A4"/>
    <w:rsid w:val="005A092B"/>
    <w:rsid w:val="006B63D3"/>
    <w:rsid w:val="006C0C2E"/>
    <w:rsid w:val="00723B7D"/>
    <w:rsid w:val="007C2A82"/>
    <w:rsid w:val="007E11E9"/>
    <w:rsid w:val="008B2F92"/>
    <w:rsid w:val="008E3499"/>
    <w:rsid w:val="008F79A9"/>
    <w:rsid w:val="00906A61"/>
    <w:rsid w:val="00962249"/>
    <w:rsid w:val="00984AC6"/>
    <w:rsid w:val="00A0554E"/>
    <w:rsid w:val="00A55B3B"/>
    <w:rsid w:val="00B1496F"/>
    <w:rsid w:val="00B35803"/>
    <w:rsid w:val="00B45E3E"/>
    <w:rsid w:val="00B528B9"/>
    <w:rsid w:val="00C16462"/>
    <w:rsid w:val="00C66488"/>
    <w:rsid w:val="00CA656E"/>
    <w:rsid w:val="00CE04E4"/>
    <w:rsid w:val="00D0085C"/>
    <w:rsid w:val="00D9651F"/>
    <w:rsid w:val="00DB54B3"/>
    <w:rsid w:val="00DF053C"/>
    <w:rsid w:val="00E278B0"/>
    <w:rsid w:val="00E76B4E"/>
    <w:rsid w:val="00EA6FD6"/>
    <w:rsid w:val="00FC3867"/>
    <w:rsid w:val="010007F1"/>
    <w:rsid w:val="010F41FD"/>
    <w:rsid w:val="01123C24"/>
    <w:rsid w:val="01281FA6"/>
    <w:rsid w:val="0129652A"/>
    <w:rsid w:val="012C4A94"/>
    <w:rsid w:val="0134238F"/>
    <w:rsid w:val="01434062"/>
    <w:rsid w:val="014F3F68"/>
    <w:rsid w:val="015A28DE"/>
    <w:rsid w:val="01603797"/>
    <w:rsid w:val="01607B5B"/>
    <w:rsid w:val="01614C4F"/>
    <w:rsid w:val="016607CF"/>
    <w:rsid w:val="01687C29"/>
    <w:rsid w:val="016C6133"/>
    <w:rsid w:val="016D0719"/>
    <w:rsid w:val="016E2905"/>
    <w:rsid w:val="01730647"/>
    <w:rsid w:val="01765242"/>
    <w:rsid w:val="017F7312"/>
    <w:rsid w:val="0183354F"/>
    <w:rsid w:val="018A4341"/>
    <w:rsid w:val="018D1ED5"/>
    <w:rsid w:val="018E0532"/>
    <w:rsid w:val="01944C0D"/>
    <w:rsid w:val="01947605"/>
    <w:rsid w:val="019652A2"/>
    <w:rsid w:val="019A0A9C"/>
    <w:rsid w:val="019E5AF8"/>
    <w:rsid w:val="01A05888"/>
    <w:rsid w:val="01A2463C"/>
    <w:rsid w:val="01A277CA"/>
    <w:rsid w:val="01A536F0"/>
    <w:rsid w:val="01AB72AD"/>
    <w:rsid w:val="01AD0FC0"/>
    <w:rsid w:val="01AF0E83"/>
    <w:rsid w:val="01B74B80"/>
    <w:rsid w:val="01B76B70"/>
    <w:rsid w:val="01BC47E4"/>
    <w:rsid w:val="01BD0D3F"/>
    <w:rsid w:val="01C17E07"/>
    <w:rsid w:val="01C277DB"/>
    <w:rsid w:val="01C5785D"/>
    <w:rsid w:val="01CB201F"/>
    <w:rsid w:val="01D01DDD"/>
    <w:rsid w:val="01D83F23"/>
    <w:rsid w:val="01DA121B"/>
    <w:rsid w:val="01E02E8A"/>
    <w:rsid w:val="01EB6FF4"/>
    <w:rsid w:val="01EC6C1A"/>
    <w:rsid w:val="01F43D5D"/>
    <w:rsid w:val="01F53962"/>
    <w:rsid w:val="01F739C6"/>
    <w:rsid w:val="01FE284A"/>
    <w:rsid w:val="0202118C"/>
    <w:rsid w:val="020C0504"/>
    <w:rsid w:val="020F3F82"/>
    <w:rsid w:val="021337A8"/>
    <w:rsid w:val="02154F00"/>
    <w:rsid w:val="02200558"/>
    <w:rsid w:val="022C2DDE"/>
    <w:rsid w:val="024125AD"/>
    <w:rsid w:val="02424F98"/>
    <w:rsid w:val="02451830"/>
    <w:rsid w:val="024B4F65"/>
    <w:rsid w:val="02522774"/>
    <w:rsid w:val="02716397"/>
    <w:rsid w:val="02742027"/>
    <w:rsid w:val="027B1EF4"/>
    <w:rsid w:val="027D39C5"/>
    <w:rsid w:val="02836A31"/>
    <w:rsid w:val="02842B55"/>
    <w:rsid w:val="02850B1B"/>
    <w:rsid w:val="028D4134"/>
    <w:rsid w:val="028E239B"/>
    <w:rsid w:val="028E669E"/>
    <w:rsid w:val="02925D70"/>
    <w:rsid w:val="02945151"/>
    <w:rsid w:val="02994D24"/>
    <w:rsid w:val="02AA4579"/>
    <w:rsid w:val="02B452E0"/>
    <w:rsid w:val="02B7449E"/>
    <w:rsid w:val="02B81004"/>
    <w:rsid w:val="02B93913"/>
    <w:rsid w:val="02BB7BC5"/>
    <w:rsid w:val="02C541E0"/>
    <w:rsid w:val="02C7326C"/>
    <w:rsid w:val="02C976C5"/>
    <w:rsid w:val="02CA2014"/>
    <w:rsid w:val="02CB3941"/>
    <w:rsid w:val="02CE36F0"/>
    <w:rsid w:val="02D253BA"/>
    <w:rsid w:val="02D664A5"/>
    <w:rsid w:val="02D70120"/>
    <w:rsid w:val="02DA08C0"/>
    <w:rsid w:val="02E746B3"/>
    <w:rsid w:val="02EA0804"/>
    <w:rsid w:val="02F03F7A"/>
    <w:rsid w:val="02F04987"/>
    <w:rsid w:val="02F15A26"/>
    <w:rsid w:val="02F3072B"/>
    <w:rsid w:val="02F35039"/>
    <w:rsid w:val="02F4686A"/>
    <w:rsid w:val="02F50E1A"/>
    <w:rsid w:val="02FC365E"/>
    <w:rsid w:val="03032EA1"/>
    <w:rsid w:val="03055083"/>
    <w:rsid w:val="030A33B2"/>
    <w:rsid w:val="0312457C"/>
    <w:rsid w:val="03146293"/>
    <w:rsid w:val="03173E54"/>
    <w:rsid w:val="03247659"/>
    <w:rsid w:val="032626D8"/>
    <w:rsid w:val="03276EB0"/>
    <w:rsid w:val="03320DD5"/>
    <w:rsid w:val="03367B19"/>
    <w:rsid w:val="033F3094"/>
    <w:rsid w:val="033F5E23"/>
    <w:rsid w:val="0341739D"/>
    <w:rsid w:val="03441AE0"/>
    <w:rsid w:val="034A5312"/>
    <w:rsid w:val="035906B9"/>
    <w:rsid w:val="035A07AB"/>
    <w:rsid w:val="035F7880"/>
    <w:rsid w:val="036572E0"/>
    <w:rsid w:val="036773BE"/>
    <w:rsid w:val="036B41D2"/>
    <w:rsid w:val="03745931"/>
    <w:rsid w:val="0375270B"/>
    <w:rsid w:val="0376026A"/>
    <w:rsid w:val="03763E10"/>
    <w:rsid w:val="03795E56"/>
    <w:rsid w:val="038A3C11"/>
    <w:rsid w:val="038F00BD"/>
    <w:rsid w:val="038F07EB"/>
    <w:rsid w:val="039F6B79"/>
    <w:rsid w:val="03A054FE"/>
    <w:rsid w:val="03A634A2"/>
    <w:rsid w:val="03A710E3"/>
    <w:rsid w:val="03AB7076"/>
    <w:rsid w:val="03B75E22"/>
    <w:rsid w:val="03B93704"/>
    <w:rsid w:val="03C7124D"/>
    <w:rsid w:val="03C956D7"/>
    <w:rsid w:val="03CD065E"/>
    <w:rsid w:val="03CD0F50"/>
    <w:rsid w:val="03D96519"/>
    <w:rsid w:val="03DC76EB"/>
    <w:rsid w:val="03DD4156"/>
    <w:rsid w:val="03DF3AAC"/>
    <w:rsid w:val="03DF7C94"/>
    <w:rsid w:val="03E4053E"/>
    <w:rsid w:val="03EE2D2D"/>
    <w:rsid w:val="03EE5120"/>
    <w:rsid w:val="03F95EAB"/>
    <w:rsid w:val="03FA4378"/>
    <w:rsid w:val="040D5A59"/>
    <w:rsid w:val="040E59E0"/>
    <w:rsid w:val="04177E90"/>
    <w:rsid w:val="041B3B0D"/>
    <w:rsid w:val="041F33A4"/>
    <w:rsid w:val="04227E09"/>
    <w:rsid w:val="04256881"/>
    <w:rsid w:val="04257D27"/>
    <w:rsid w:val="042C1175"/>
    <w:rsid w:val="042E72BA"/>
    <w:rsid w:val="04361A54"/>
    <w:rsid w:val="043837D8"/>
    <w:rsid w:val="043F0FCC"/>
    <w:rsid w:val="0458216E"/>
    <w:rsid w:val="04633D2A"/>
    <w:rsid w:val="046441B2"/>
    <w:rsid w:val="0470619B"/>
    <w:rsid w:val="047264E0"/>
    <w:rsid w:val="04732D97"/>
    <w:rsid w:val="047929EC"/>
    <w:rsid w:val="047931E4"/>
    <w:rsid w:val="047B754C"/>
    <w:rsid w:val="047C330E"/>
    <w:rsid w:val="04802BB2"/>
    <w:rsid w:val="048112FB"/>
    <w:rsid w:val="048A77DB"/>
    <w:rsid w:val="048B08F7"/>
    <w:rsid w:val="04997356"/>
    <w:rsid w:val="04B3013F"/>
    <w:rsid w:val="04BA605B"/>
    <w:rsid w:val="04BB6582"/>
    <w:rsid w:val="04BF51D4"/>
    <w:rsid w:val="04C30370"/>
    <w:rsid w:val="04C369FD"/>
    <w:rsid w:val="04C87276"/>
    <w:rsid w:val="04CE7B7F"/>
    <w:rsid w:val="04D13EAB"/>
    <w:rsid w:val="04D81CE8"/>
    <w:rsid w:val="04E16ACF"/>
    <w:rsid w:val="04E81C0B"/>
    <w:rsid w:val="04E92750"/>
    <w:rsid w:val="04ED1D07"/>
    <w:rsid w:val="04F33CBA"/>
    <w:rsid w:val="04FB0B72"/>
    <w:rsid w:val="05006805"/>
    <w:rsid w:val="05017788"/>
    <w:rsid w:val="050A0F30"/>
    <w:rsid w:val="051142A3"/>
    <w:rsid w:val="05150D13"/>
    <w:rsid w:val="052054D4"/>
    <w:rsid w:val="052779FB"/>
    <w:rsid w:val="052C7639"/>
    <w:rsid w:val="05490385"/>
    <w:rsid w:val="054A7C8A"/>
    <w:rsid w:val="054D6A6C"/>
    <w:rsid w:val="055D26AF"/>
    <w:rsid w:val="056534E0"/>
    <w:rsid w:val="056834A8"/>
    <w:rsid w:val="05684832"/>
    <w:rsid w:val="056C0F36"/>
    <w:rsid w:val="056E79C6"/>
    <w:rsid w:val="05763BC9"/>
    <w:rsid w:val="057A3526"/>
    <w:rsid w:val="057A799E"/>
    <w:rsid w:val="057E6F65"/>
    <w:rsid w:val="058647BE"/>
    <w:rsid w:val="05880374"/>
    <w:rsid w:val="05881910"/>
    <w:rsid w:val="05913966"/>
    <w:rsid w:val="05926E6B"/>
    <w:rsid w:val="059F17BF"/>
    <w:rsid w:val="05A259F9"/>
    <w:rsid w:val="05A72CCC"/>
    <w:rsid w:val="05A73DC5"/>
    <w:rsid w:val="05B336D5"/>
    <w:rsid w:val="05CC2A3B"/>
    <w:rsid w:val="05CD0D9A"/>
    <w:rsid w:val="05CF249D"/>
    <w:rsid w:val="05D14319"/>
    <w:rsid w:val="05D714EA"/>
    <w:rsid w:val="05E536E6"/>
    <w:rsid w:val="05EA1C44"/>
    <w:rsid w:val="05F2445C"/>
    <w:rsid w:val="05F84C68"/>
    <w:rsid w:val="06077942"/>
    <w:rsid w:val="060A0D89"/>
    <w:rsid w:val="060C359D"/>
    <w:rsid w:val="060F3722"/>
    <w:rsid w:val="062847B3"/>
    <w:rsid w:val="062B0B83"/>
    <w:rsid w:val="062C6587"/>
    <w:rsid w:val="062D67C8"/>
    <w:rsid w:val="06301A1B"/>
    <w:rsid w:val="0631403C"/>
    <w:rsid w:val="0633380C"/>
    <w:rsid w:val="0638362B"/>
    <w:rsid w:val="063E600A"/>
    <w:rsid w:val="06405659"/>
    <w:rsid w:val="064327CF"/>
    <w:rsid w:val="0645654E"/>
    <w:rsid w:val="064F5725"/>
    <w:rsid w:val="06510CDF"/>
    <w:rsid w:val="065C27A8"/>
    <w:rsid w:val="065F50DA"/>
    <w:rsid w:val="06602F2C"/>
    <w:rsid w:val="06626021"/>
    <w:rsid w:val="066D2CED"/>
    <w:rsid w:val="066E2C0B"/>
    <w:rsid w:val="06700010"/>
    <w:rsid w:val="06734EB6"/>
    <w:rsid w:val="067C24CF"/>
    <w:rsid w:val="068731B8"/>
    <w:rsid w:val="068A1FDD"/>
    <w:rsid w:val="069002BE"/>
    <w:rsid w:val="06906B8C"/>
    <w:rsid w:val="069725BC"/>
    <w:rsid w:val="069A3A7C"/>
    <w:rsid w:val="06A24D7D"/>
    <w:rsid w:val="06A6750E"/>
    <w:rsid w:val="06A729E1"/>
    <w:rsid w:val="06A94232"/>
    <w:rsid w:val="06AB1C7E"/>
    <w:rsid w:val="06AC05E7"/>
    <w:rsid w:val="06AF1D16"/>
    <w:rsid w:val="06AF3414"/>
    <w:rsid w:val="06B15237"/>
    <w:rsid w:val="06BA5EB2"/>
    <w:rsid w:val="06CF1EF4"/>
    <w:rsid w:val="06D17DB1"/>
    <w:rsid w:val="06E444B8"/>
    <w:rsid w:val="06F76FBB"/>
    <w:rsid w:val="070615F0"/>
    <w:rsid w:val="07085235"/>
    <w:rsid w:val="07146D7A"/>
    <w:rsid w:val="071A4300"/>
    <w:rsid w:val="0724090E"/>
    <w:rsid w:val="072C5901"/>
    <w:rsid w:val="072D6955"/>
    <w:rsid w:val="07355298"/>
    <w:rsid w:val="073633AE"/>
    <w:rsid w:val="0738618B"/>
    <w:rsid w:val="074E1705"/>
    <w:rsid w:val="074E279C"/>
    <w:rsid w:val="075268B6"/>
    <w:rsid w:val="075C0378"/>
    <w:rsid w:val="075C613A"/>
    <w:rsid w:val="07616A73"/>
    <w:rsid w:val="0768627D"/>
    <w:rsid w:val="07774E9B"/>
    <w:rsid w:val="07852CE2"/>
    <w:rsid w:val="07886D75"/>
    <w:rsid w:val="079A77BC"/>
    <w:rsid w:val="079D6C92"/>
    <w:rsid w:val="079E20C5"/>
    <w:rsid w:val="07A36583"/>
    <w:rsid w:val="07A757F6"/>
    <w:rsid w:val="07A92FCD"/>
    <w:rsid w:val="07AB5A16"/>
    <w:rsid w:val="07C32EAB"/>
    <w:rsid w:val="07CE7516"/>
    <w:rsid w:val="07DA5629"/>
    <w:rsid w:val="07DE3B60"/>
    <w:rsid w:val="07E54B9E"/>
    <w:rsid w:val="08010DA7"/>
    <w:rsid w:val="08033960"/>
    <w:rsid w:val="080954A3"/>
    <w:rsid w:val="080F3123"/>
    <w:rsid w:val="082209F5"/>
    <w:rsid w:val="08220E8F"/>
    <w:rsid w:val="08242F28"/>
    <w:rsid w:val="08252E6C"/>
    <w:rsid w:val="08275EA4"/>
    <w:rsid w:val="08294CB5"/>
    <w:rsid w:val="083036B5"/>
    <w:rsid w:val="08310F19"/>
    <w:rsid w:val="08331FC1"/>
    <w:rsid w:val="083611A9"/>
    <w:rsid w:val="083901EB"/>
    <w:rsid w:val="08394081"/>
    <w:rsid w:val="083943C5"/>
    <w:rsid w:val="08395DAB"/>
    <w:rsid w:val="08404FD2"/>
    <w:rsid w:val="084A2513"/>
    <w:rsid w:val="08515651"/>
    <w:rsid w:val="08587D37"/>
    <w:rsid w:val="085D6EF2"/>
    <w:rsid w:val="085F59AE"/>
    <w:rsid w:val="086303CB"/>
    <w:rsid w:val="08674312"/>
    <w:rsid w:val="086B17B3"/>
    <w:rsid w:val="0875786E"/>
    <w:rsid w:val="0881684A"/>
    <w:rsid w:val="088C3E25"/>
    <w:rsid w:val="08927463"/>
    <w:rsid w:val="08991A5A"/>
    <w:rsid w:val="089C49FA"/>
    <w:rsid w:val="08AF073A"/>
    <w:rsid w:val="08BD5FE1"/>
    <w:rsid w:val="08BE7798"/>
    <w:rsid w:val="08C333B4"/>
    <w:rsid w:val="08C46A4F"/>
    <w:rsid w:val="08C654F8"/>
    <w:rsid w:val="08CA79C7"/>
    <w:rsid w:val="08D54B6A"/>
    <w:rsid w:val="08D73E78"/>
    <w:rsid w:val="08DB6139"/>
    <w:rsid w:val="08DD4FAE"/>
    <w:rsid w:val="08DE001E"/>
    <w:rsid w:val="08DE502C"/>
    <w:rsid w:val="08DE7E03"/>
    <w:rsid w:val="08EB2EDB"/>
    <w:rsid w:val="08ED6D3B"/>
    <w:rsid w:val="08FB16E4"/>
    <w:rsid w:val="08FB2C3C"/>
    <w:rsid w:val="08FE2EDE"/>
    <w:rsid w:val="08FE5206"/>
    <w:rsid w:val="090E2C7F"/>
    <w:rsid w:val="09140F8D"/>
    <w:rsid w:val="09150DAF"/>
    <w:rsid w:val="09155095"/>
    <w:rsid w:val="091D10D0"/>
    <w:rsid w:val="09210482"/>
    <w:rsid w:val="092105FC"/>
    <w:rsid w:val="09222AB2"/>
    <w:rsid w:val="092629C0"/>
    <w:rsid w:val="09266115"/>
    <w:rsid w:val="093303B8"/>
    <w:rsid w:val="094318A6"/>
    <w:rsid w:val="09446DB4"/>
    <w:rsid w:val="094811BB"/>
    <w:rsid w:val="094F18C1"/>
    <w:rsid w:val="0954257E"/>
    <w:rsid w:val="09583F76"/>
    <w:rsid w:val="095929D4"/>
    <w:rsid w:val="095A003F"/>
    <w:rsid w:val="095B02C8"/>
    <w:rsid w:val="09606CDC"/>
    <w:rsid w:val="09631FC1"/>
    <w:rsid w:val="09651D94"/>
    <w:rsid w:val="096F5B71"/>
    <w:rsid w:val="097F0134"/>
    <w:rsid w:val="098601E8"/>
    <w:rsid w:val="098A1F77"/>
    <w:rsid w:val="09915044"/>
    <w:rsid w:val="099872CF"/>
    <w:rsid w:val="09991A94"/>
    <w:rsid w:val="099B0B43"/>
    <w:rsid w:val="09A07C38"/>
    <w:rsid w:val="09A137B2"/>
    <w:rsid w:val="09A2636C"/>
    <w:rsid w:val="09A44BA0"/>
    <w:rsid w:val="09AA495F"/>
    <w:rsid w:val="09AC53C9"/>
    <w:rsid w:val="09B630C3"/>
    <w:rsid w:val="09BD4BE0"/>
    <w:rsid w:val="09C222A5"/>
    <w:rsid w:val="09C27E4D"/>
    <w:rsid w:val="09C81C8D"/>
    <w:rsid w:val="09CB6B07"/>
    <w:rsid w:val="09CC1439"/>
    <w:rsid w:val="09CD0E22"/>
    <w:rsid w:val="09CD713D"/>
    <w:rsid w:val="09DA121F"/>
    <w:rsid w:val="09F43143"/>
    <w:rsid w:val="09FA2B3C"/>
    <w:rsid w:val="09FA772F"/>
    <w:rsid w:val="09FB6D64"/>
    <w:rsid w:val="09FD0F85"/>
    <w:rsid w:val="0A030CE9"/>
    <w:rsid w:val="0A0D0EE1"/>
    <w:rsid w:val="0A1B5347"/>
    <w:rsid w:val="0A33530F"/>
    <w:rsid w:val="0A346C5C"/>
    <w:rsid w:val="0A451ABA"/>
    <w:rsid w:val="0A4707FD"/>
    <w:rsid w:val="0A486965"/>
    <w:rsid w:val="0A4B2E8D"/>
    <w:rsid w:val="0A5317DF"/>
    <w:rsid w:val="0A534D83"/>
    <w:rsid w:val="0A564C39"/>
    <w:rsid w:val="0A5B0F4C"/>
    <w:rsid w:val="0A61640A"/>
    <w:rsid w:val="0A6536D8"/>
    <w:rsid w:val="0A6A580E"/>
    <w:rsid w:val="0A6B730C"/>
    <w:rsid w:val="0A7611EF"/>
    <w:rsid w:val="0A765DBA"/>
    <w:rsid w:val="0A7A1EF7"/>
    <w:rsid w:val="0A937773"/>
    <w:rsid w:val="0A987047"/>
    <w:rsid w:val="0AA05D85"/>
    <w:rsid w:val="0AAD109D"/>
    <w:rsid w:val="0ABB417A"/>
    <w:rsid w:val="0ABE47A4"/>
    <w:rsid w:val="0AC71E05"/>
    <w:rsid w:val="0ACC2910"/>
    <w:rsid w:val="0ACC3151"/>
    <w:rsid w:val="0AD014F5"/>
    <w:rsid w:val="0AD16821"/>
    <w:rsid w:val="0AD45A3C"/>
    <w:rsid w:val="0AD60B60"/>
    <w:rsid w:val="0ADC78D2"/>
    <w:rsid w:val="0ADF4793"/>
    <w:rsid w:val="0AE11813"/>
    <w:rsid w:val="0AE3323E"/>
    <w:rsid w:val="0AE3404E"/>
    <w:rsid w:val="0AEB11A6"/>
    <w:rsid w:val="0AEC3E44"/>
    <w:rsid w:val="0AEE609E"/>
    <w:rsid w:val="0AEF478A"/>
    <w:rsid w:val="0AF51E84"/>
    <w:rsid w:val="0AFA1E0F"/>
    <w:rsid w:val="0AFC1AD5"/>
    <w:rsid w:val="0B041299"/>
    <w:rsid w:val="0B062542"/>
    <w:rsid w:val="0B0E47F4"/>
    <w:rsid w:val="0B14238E"/>
    <w:rsid w:val="0B1C17AD"/>
    <w:rsid w:val="0B1F62C7"/>
    <w:rsid w:val="0B283787"/>
    <w:rsid w:val="0B2D6F6E"/>
    <w:rsid w:val="0B324625"/>
    <w:rsid w:val="0B324CD2"/>
    <w:rsid w:val="0B345DB1"/>
    <w:rsid w:val="0B363DD8"/>
    <w:rsid w:val="0B3A4657"/>
    <w:rsid w:val="0B3C5BB9"/>
    <w:rsid w:val="0B4372E2"/>
    <w:rsid w:val="0B48487F"/>
    <w:rsid w:val="0B5979A6"/>
    <w:rsid w:val="0B5A2079"/>
    <w:rsid w:val="0B5B5996"/>
    <w:rsid w:val="0B5C3E34"/>
    <w:rsid w:val="0B5F7467"/>
    <w:rsid w:val="0B6075D7"/>
    <w:rsid w:val="0B627AD4"/>
    <w:rsid w:val="0B6A0BB3"/>
    <w:rsid w:val="0B735FF2"/>
    <w:rsid w:val="0B792EB2"/>
    <w:rsid w:val="0B8035EB"/>
    <w:rsid w:val="0B84164E"/>
    <w:rsid w:val="0B892750"/>
    <w:rsid w:val="0B89731E"/>
    <w:rsid w:val="0B904412"/>
    <w:rsid w:val="0B90485D"/>
    <w:rsid w:val="0B913EDA"/>
    <w:rsid w:val="0B9C76A8"/>
    <w:rsid w:val="0BA50775"/>
    <w:rsid w:val="0BA749E5"/>
    <w:rsid w:val="0BAC24A8"/>
    <w:rsid w:val="0BAE1323"/>
    <w:rsid w:val="0BB42E0A"/>
    <w:rsid w:val="0BBA3391"/>
    <w:rsid w:val="0BD05C8A"/>
    <w:rsid w:val="0BD62605"/>
    <w:rsid w:val="0BDC3258"/>
    <w:rsid w:val="0BDE3581"/>
    <w:rsid w:val="0BE52963"/>
    <w:rsid w:val="0BE57BC8"/>
    <w:rsid w:val="0BE85349"/>
    <w:rsid w:val="0BF57A28"/>
    <w:rsid w:val="0BF845E9"/>
    <w:rsid w:val="0BFA1A53"/>
    <w:rsid w:val="0C074F06"/>
    <w:rsid w:val="0C0B1E5B"/>
    <w:rsid w:val="0C146F99"/>
    <w:rsid w:val="0C163DCB"/>
    <w:rsid w:val="0C1A584B"/>
    <w:rsid w:val="0C1F5892"/>
    <w:rsid w:val="0C207391"/>
    <w:rsid w:val="0C2275D5"/>
    <w:rsid w:val="0C2D70F9"/>
    <w:rsid w:val="0C342312"/>
    <w:rsid w:val="0C363AA9"/>
    <w:rsid w:val="0C373B19"/>
    <w:rsid w:val="0C3F7E0B"/>
    <w:rsid w:val="0C456335"/>
    <w:rsid w:val="0C53740C"/>
    <w:rsid w:val="0C563E70"/>
    <w:rsid w:val="0C631545"/>
    <w:rsid w:val="0C6E187C"/>
    <w:rsid w:val="0C7D4D8F"/>
    <w:rsid w:val="0C80052F"/>
    <w:rsid w:val="0C8C06D3"/>
    <w:rsid w:val="0C900DC2"/>
    <w:rsid w:val="0C980884"/>
    <w:rsid w:val="0C9961AF"/>
    <w:rsid w:val="0C9A18AD"/>
    <w:rsid w:val="0C9A50FF"/>
    <w:rsid w:val="0C9B3EE0"/>
    <w:rsid w:val="0C9C2E80"/>
    <w:rsid w:val="0CA20B1F"/>
    <w:rsid w:val="0CA44E41"/>
    <w:rsid w:val="0CA77405"/>
    <w:rsid w:val="0CA83489"/>
    <w:rsid w:val="0CA96FA5"/>
    <w:rsid w:val="0CAE5B1B"/>
    <w:rsid w:val="0CB224D8"/>
    <w:rsid w:val="0CB31FF7"/>
    <w:rsid w:val="0CB45BFD"/>
    <w:rsid w:val="0CB7503A"/>
    <w:rsid w:val="0CB75099"/>
    <w:rsid w:val="0CB80D6E"/>
    <w:rsid w:val="0CBF360E"/>
    <w:rsid w:val="0CC10497"/>
    <w:rsid w:val="0CC30BC5"/>
    <w:rsid w:val="0CC42150"/>
    <w:rsid w:val="0CC45545"/>
    <w:rsid w:val="0CC71781"/>
    <w:rsid w:val="0CCB0FDF"/>
    <w:rsid w:val="0CCD2A5C"/>
    <w:rsid w:val="0CDC1817"/>
    <w:rsid w:val="0CDC515C"/>
    <w:rsid w:val="0D0167C5"/>
    <w:rsid w:val="0D0B2A13"/>
    <w:rsid w:val="0D112021"/>
    <w:rsid w:val="0D12133D"/>
    <w:rsid w:val="0D1F7151"/>
    <w:rsid w:val="0D200D54"/>
    <w:rsid w:val="0D2B7DB2"/>
    <w:rsid w:val="0D3152D9"/>
    <w:rsid w:val="0D354A50"/>
    <w:rsid w:val="0D384916"/>
    <w:rsid w:val="0D427E08"/>
    <w:rsid w:val="0D444358"/>
    <w:rsid w:val="0D4775E8"/>
    <w:rsid w:val="0D4A1977"/>
    <w:rsid w:val="0D4B602E"/>
    <w:rsid w:val="0D511FCD"/>
    <w:rsid w:val="0D52698E"/>
    <w:rsid w:val="0D583C5F"/>
    <w:rsid w:val="0D5D658F"/>
    <w:rsid w:val="0D6029A5"/>
    <w:rsid w:val="0D6063D4"/>
    <w:rsid w:val="0D665CD7"/>
    <w:rsid w:val="0D667E20"/>
    <w:rsid w:val="0D693967"/>
    <w:rsid w:val="0D6B6C90"/>
    <w:rsid w:val="0D7170F8"/>
    <w:rsid w:val="0D922931"/>
    <w:rsid w:val="0D95263C"/>
    <w:rsid w:val="0D9B6A6D"/>
    <w:rsid w:val="0DA81B9F"/>
    <w:rsid w:val="0DAD79F2"/>
    <w:rsid w:val="0DB403B1"/>
    <w:rsid w:val="0DB47CEC"/>
    <w:rsid w:val="0DBB3CA5"/>
    <w:rsid w:val="0DBB4EDD"/>
    <w:rsid w:val="0DC37BF2"/>
    <w:rsid w:val="0DC436B0"/>
    <w:rsid w:val="0DC62A65"/>
    <w:rsid w:val="0DC9693F"/>
    <w:rsid w:val="0DCC1715"/>
    <w:rsid w:val="0DCE4BC6"/>
    <w:rsid w:val="0DD82C48"/>
    <w:rsid w:val="0DDB6385"/>
    <w:rsid w:val="0DE057D2"/>
    <w:rsid w:val="0DF024FC"/>
    <w:rsid w:val="0DF0632D"/>
    <w:rsid w:val="0DF475E0"/>
    <w:rsid w:val="0E0E09E4"/>
    <w:rsid w:val="0E0E0AE3"/>
    <w:rsid w:val="0E184477"/>
    <w:rsid w:val="0E1A4501"/>
    <w:rsid w:val="0E1A78B5"/>
    <w:rsid w:val="0E21196E"/>
    <w:rsid w:val="0E227E98"/>
    <w:rsid w:val="0E27140B"/>
    <w:rsid w:val="0E275D7B"/>
    <w:rsid w:val="0E2D4D70"/>
    <w:rsid w:val="0E3B2663"/>
    <w:rsid w:val="0E443DBA"/>
    <w:rsid w:val="0E465F52"/>
    <w:rsid w:val="0E4C7DA3"/>
    <w:rsid w:val="0E576A70"/>
    <w:rsid w:val="0E587DB8"/>
    <w:rsid w:val="0E6B437E"/>
    <w:rsid w:val="0E6B6A22"/>
    <w:rsid w:val="0E6F53AB"/>
    <w:rsid w:val="0E701F1A"/>
    <w:rsid w:val="0E793535"/>
    <w:rsid w:val="0E795DEE"/>
    <w:rsid w:val="0E7B3260"/>
    <w:rsid w:val="0E804638"/>
    <w:rsid w:val="0E854758"/>
    <w:rsid w:val="0EA50BFC"/>
    <w:rsid w:val="0EAB0282"/>
    <w:rsid w:val="0EC370FE"/>
    <w:rsid w:val="0EC37F14"/>
    <w:rsid w:val="0EC4408A"/>
    <w:rsid w:val="0ECA6F05"/>
    <w:rsid w:val="0ECD6BD5"/>
    <w:rsid w:val="0EDA3DE0"/>
    <w:rsid w:val="0EDB5829"/>
    <w:rsid w:val="0EE241B0"/>
    <w:rsid w:val="0EE470B9"/>
    <w:rsid w:val="0EE51F3F"/>
    <w:rsid w:val="0EE67C37"/>
    <w:rsid w:val="0EE96C61"/>
    <w:rsid w:val="0EEF6278"/>
    <w:rsid w:val="0F043F0A"/>
    <w:rsid w:val="0F070719"/>
    <w:rsid w:val="0F0E340F"/>
    <w:rsid w:val="0F110F65"/>
    <w:rsid w:val="0F126FC2"/>
    <w:rsid w:val="0F167114"/>
    <w:rsid w:val="0F1821BC"/>
    <w:rsid w:val="0F1F71AB"/>
    <w:rsid w:val="0F206FE9"/>
    <w:rsid w:val="0F246E43"/>
    <w:rsid w:val="0F2F2F21"/>
    <w:rsid w:val="0F303168"/>
    <w:rsid w:val="0F3346BD"/>
    <w:rsid w:val="0F356B4F"/>
    <w:rsid w:val="0F3E6D6B"/>
    <w:rsid w:val="0F521390"/>
    <w:rsid w:val="0F551890"/>
    <w:rsid w:val="0F5A4BDF"/>
    <w:rsid w:val="0F5B58BB"/>
    <w:rsid w:val="0F6735DF"/>
    <w:rsid w:val="0F6A4B85"/>
    <w:rsid w:val="0F716691"/>
    <w:rsid w:val="0F735DB2"/>
    <w:rsid w:val="0F7840D6"/>
    <w:rsid w:val="0F7B2D75"/>
    <w:rsid w:val="0F873A0E"/>
    <w:rsid w:val="0F883C70"/>
    <w:rsid w:val="0F8B6CB6"/>
    <w:rsid w:val="0F9177B5"/>
    <w:rsid w:val="0F9A3FA1"/>
    <w:rsid w:val="0F9E606C"/>
    <w:rsid w:val="0FA17F55"/>
    <w:rsid w:val="0FA35FFE"/>
    <w:rsid w:val="0FA821B8"/>
    <w:rsid w:val="0FAE546F"/>
    <w:rsid w:val="0FB50512"/>
    <w:rsid w:val="0FB57FA4"/>
    <w:rsid w:val="0FB8781F"/>
    <w:rsid w:val="0FC24482"/>
    <w:rsid w:val="0FC754B6"/>
    <w:rsid w:val="0FCD46F4"/>
    <w:rsid w:val="0FCE3065"/>
    <w:rsid w:val="0FE107E2"/>
    <w:rsid w:val="0FE336DE"/>
    <w:rsid w:val="0FED1D3E"/>
    <w:rsid w:val="10026084"/>
    <w:rsid w:val="10065756"/>
    <w:rsid w:val="100A69A4"/>
    <w:rsid w:val="100E17EE"/>
    <w:rsid w:val="10140347"/>
    <w:rsid w:val="101B54B3"/>
    <w:rsid w:val="101C6175"/>
    <w:rsid w:val="102E7ECD"/>
    <w:rsid w:val="104210EE"/>
    <w:rsid w:val="10444B77"/>
    <w:rsid w:val="10447AF9"/>
    <w:rsid w:val="104835D9"/>
    <w:rsid w:val="10495D6E"/>
    <w:rsid w:val="104C1069"/>
    <w:rsid w:val="10513C3F"/>
    <w:rsid w:val="10541F36"/>
    <w:rsid w:val="105D2D1E"/>
    <w:rsid w:val="10623D8F"/>
    <w:rsid w:val="10625663"/>
    <w:rsid w:val="106737C7"/>
    <w:rsid w:val="10703686"/>
    <w:rsid w:val="1075160B"/>
    <w:rsid w:val="107760A9"/>
    <w:rsid w:val="10780D89"/>
    <w:rsid w:val="107B52AA"/>
    <w:rsid w:val="107D625B"/>
    <w:rsid w:val="107E75D8"/>
    <w:rsid w:val="10805AB8"/>
    <w:rsid w:val="108161A3"/>
    <w:rsid w:val="1089301A"/>
    <w:rsid w:val="108B29C7"/>
    <w:rsid w:val="10901F21"/>
    <w:rsid w:val="10974AA9"/>
    <w:rsid w:val="10A21388"/>
    <w:rsid w:val="10A60889"/>
    <w:rsid w:val="10AA391A"/>
    <w:rsid w:val="10B27075"/>
    <w:rsid w:val="10B27B37"/>
    <w:rsid w:val="10B33FFC"/>
    <w:rsid w:val="10BA25C0"/>
    <w:rsid w:val="10BE4FAA"/>
    <w:rsid w:val="10C02E80"/>
    <w:rsid w:val="10C121EA"/>
    <w:rsid w:val="10C2285B"/>
    <w:rsid w:val="10C54276"/>
    <w:rsid w:val="10D27169"/>
    <w:rsid w:val="10D309E2"/>
    <w:rsid w:val="10D621B1"/>
    <w:rsid w:val="10D81E5C"/>
    <w:rsid w:val="10DA39AB"/>
    <w:rsid w:val="10DE746C"/>
    <w:rsid w:val="10E154B4"/>
    <w:rsid w:val="10E35E53"/>
    <w:rsid w:val="10E657ED"/>
    <w:rsid w:val="10EB7A42"/>
    <w:rsid w:val="10F16967"/>
    <w:rsid w:val="10F21B48"/>
    <w:rsid w:val="10F61CDD"/>
    <w:rsid w:val="10F91FDE"/>
    <w:rsid w:val="10F941E9"/>
    <w:rsid w:val="10FD39C4"/>
    <w:rsid w:val="11083015"/>
    <w:rsid w:val="110A357B"/>
    <w:rsid w:val="110D2E2E"/>
    <w:rsid w:val="1113498F"/>
    <w:rsid w:val="11145DE6"/>
    <w:rsid w:val="111A2147"/>
    <w:rsid w:val="112252CB"/>
    <w:rsid w:val="11360EF9"/>
    <w:rsid w:val="113641BB"/>
    <w:rsid w:val="11390D90"/>
    <w:rsid w:val="113B0B58"/>
    <w:rsid w:val="113D4F12"/>
    <w:rsid w:val="113D775B"/>
    <w:rsid w:val="11410876"/>
    <w:rsid w:val="114608E7"/>
    <w:rsid w:val="11470C68"/>
    <w:rsid w:val="114F3D65"/>
    <w:rsid w:val="115347BC"/>
    <w:rsid w:val="11545887"/>
    <w:rsid w:val="11597C64"/>
    <w:rsid w:val="11602A9E"/>
    <w:rsid w:val="116228E3"/>
    <w:rsid w:val="11631325"/>
    <w:rsid w:val="116345A4"/>
    <w:rsid w:val="11667833"/>
    <w:rsid w:val="11687433"/>
    <w:rsid w:val="1178450A"/>
    <w:rsid w:val="117B53DF"/>
    <w:rsid w:val="117B71D3"/>
    <w:rsid w:val="117F3E6E"/>
    <w:rsid w:val="11814B86"/>
    <w:rsid w:val="11821F79"/>
    <w:rsid w:val="11845F00"/>
    <w:rsid w:val="11885DD3"/>
    <w:rsid w:val="118A58E4"/>
    <w:rsid w:val="118C56EA"/>
    <w:rsid w:val="118F0DB3"/>
    <w:rsid w:val="11916F88"/>
    <w:rsid w:val="11A51BB6"/>
    <w:rsid w:val="11AC6860"/>
    <w:rsid w:val="11B1238B"/>
    <w:rsid w:val="11B62D0B"/>
    <w:rsid w:val="11BB2EE7"/>
    <w:rsid w:val="11BE6E3E"/>
    <w:rsid w:val="11BF32D9"/>
    <w:rsid w:val="11C01746"/>
    <w:rsid w:val="11C24AE6"/>
    <w:rsid w:val="11C52A21"/>
    <w:rsid w:val="11C75474"/>
    <w:rsid w:val="11D26FDB"/>
    <w:rsid w:val="11D435B9"/>
    <w:rsid w:val="11D8409F"/>
    <w:rsid w:val="11D95083"/>
    <w:rsid w:val="11DD2AAB"/>
    <w:rsid w:val="11DE26F2"/>
    <w:rsid w:val="11DF6987"/>
    <w:rsid w:val="11EA23C8"/>
    <w:rsid w:val="11EB5C95"/>
    <w:rsid w:val="11ED6242"/>
    <w:rsid w:val="11F27C95"/>
    <w:rsid w:val="12010E7D"/>
    <w:rsid w:val="120506CD"/>
    <w:rsid w:val="12075A2C"/>
    <w:rsid w:val="120A0C4D"/>
    <w:rsid w:val="120A38DA"/>
    <w:rsid w:val="12101A57"/>
    <w:rsid w:val="12193170"/>
    <w:rsid w:val="12193813"/>
    <w:rsid w:val="121D6AE3"/>
    <w:rsid w:val="121F75CC"/>
    <w:rsid w:val="12271CB0"/>
    <w:rsid w:val="122C1A12"/>
    <w:rsid w:val="1232130B"/>
    <w:rsid w:val="12330478"/>
    <w:rsid w:val="123338D3"/>
    <w:rsid w:val="12395D63"/>
    <w:rsid w:val="12401AD9"/>
    <w:rsid w:val="124038C8"/>
    <w:rsid w:val="12421E9D"/>
    <w:rsid w:val="1248421F"/>
    <w:rsid w:val="12571C4D"/>
    <w:rsid w:val="125C09FF"/>
    <w:rsid w:val="12657F0C"/>
    <w:rsid w:val="126830F6"/>
    <w:rsid w:val="126B5207"/>
    <w:rsid w:val="126F57E1"/>
    <w:rsid w:val="12760E78"/>
    <w:rsid w:val="127673DB"/>
    <w:rsid w:val="127755C8"/>
    <w:rsid w:val="127E0189"/>
    <w:rsid w:val="12810A1D"/>
    <w:rsid w:val="12854B81"/>
    <w:rsid w:val="128E070E"/>
    <w:rsid w:val="12927837"/>
    <w:rsid w:val="129B0ED7"/>
    <w:rsid w:val="12A30BAA"/>
    <w:rsid w:val="12A709D5"/>
    <w:rsid w:val="12A867C5"/>
    <w:rsid w:val="12B56515"/>
    <w:rsid w:val="12BE11B2"/>
    <w:rsid w:val="12BE1828"/>
    <w:rsid w:val="12C10F70"/>
    <w:rsid w:val="12C21464"/>
    <w:rsid w:val="12C40A29"/>
    <w:rsid w:val="12C42DA1"/>
    <w:rsid w:val="12C45CF0"/>
    <w:rsid w:val="12C948D2"/>
    <w:rsid w:val="12CB14EE"/>
    <w:rsid w:val="12CE6902"/>
    <w:rsid w:val="12D54B1A"/>
    <w:rsid w:val="12E93B89"/>
    <w:rsid w:val="12EE0F39"/>
    <w:rsid w:val="12EF155A"/>
    <w:rsid w:val="12F17350"/>
    <w:rsid w:val="12F712FB"/>
    <w:rsid w:val="12FA0E2E"/>
    <w:rsid w:val="12FF7A62"/>
    <w:rsid w:val="13037A88"/>
    <w:rsid w:val="1318450B"/>
    <w:rsid w:val="133844CA"/>
    <w:rsid w:val="1347596A"/>
    <w:rsid w:val="13477178"/>
    <w:rsid w:val="134B5A55"/>
    <w:rsid w:val="134C0AA1"/>
    <w:rsid w:val="134F5D9B"/>
    <w:rsid w:val="135369A3"/>
    <w:rsid w:val="13576E97"/>
    <w:rsid w:val="136041BC"/>
    <w:rsid w:val="13663337"/>
    <w:rsid w:val="136F4FE6"/>
    <w:rsid w:val="13713F6F"/>
    <w:rsid w:val="13762A14"/>
    <w:rsid w:val="13790756"/>
    <w:rsid w:val="137B6EE7"/>
    <w:rsid w:val="137E2E27"/>
    <w:rsid w:val="138C25C7"/>
    <w:rsid w:val="138E61F6"/>
    <w:rsid w:val="138E741D"/>
    <w:rsid w:val="138F279E"/>
    <w:rsid w:val="1390357D"/>
    <w:rsid w:val="139670E5"/>
    <w:rsid w:val="13970D93"/>
    <w:rsid w:val="139F1C24"/>
    <w:rsid w:val="13A023E7"/>
    <w:rsid w:val="13A04270"/>
    <w:rsid w:val="13A86C77"/>
    <w:rsid w:val="13A90344"/>
    <w:rsid w:val="13A9454D"/>
    <w:rsid w:val="13AA7C1A"/>
    <w:rsid w:val="13B35BBD"/>
    <w:rsid w:val="13BF3D28"/>
    <w:rsid w:val="13C32466"/>
    <w:rsid w:val="13C5566A"/>
    <w:rsid w:val="13C77F07"/>
    <w:rsid w:val="13CE4E2F"/>
    <w:rsid w:val="13CF48B4"/>
    <w:rsid w:val="13E45E4B"/>
    <w:rsid w:val="13E62DA6"/>
    <w:rsid w:val="13EE5B08"/>
    <w:rsid w:val="13F211C8"/>
    <w:rsid w:val="13F5027E"/>
    <w:rsid w:val="13F57229"/>
    <w:rsid w:val="13F60043"/>
    <w:rsid w:val="13F63AC9"/>
    <w:rsid w:val="13FE1F68"/>
    <w:rsid w:val="13FF4761"/>
    <w:rsid w:val="1401651E"/>
    <w:rsid w:val="14065625"/>
    <w:rsid w:val="14127CF3"/>
    <w:rsid w:val="1416357F"/>
    <w:rsid w:val="14175C6D"/>
    <w:rsid w:val="14182B9E"/>
    <w:rsid w:val="141A193D"/>
    <w:rsid w:val="141E08F4"/>
    <w:rsid w:val="14211963"/>
    <w:rsid w:val="14213028"/>
    <w:rsid w:val="142160CA"/>
    <w:rsid w:val="142E4E6B"/>
    <w:rsid w:val="14332094"/>
    <w:rsid w:val="143B554F"/>
    <w:rsid w:val="144128ED"/>
    <w:rsid w:val="144D721A"/>
    <w:rsid w:val="14504C78"/>
    <w:rsid w:val="14552700"/>
    <w:rsid w:val="1455301F"/>
    <w:rsid w:val="145E0ED6"/>
    <w:rsid w:val="145F3E15"/>
    <w:rsid w:val="145F4E9E"/>
    <w:rsid w:val="14662A35"/>
    <w:rsid w:val="1468041E"/>
    <w:rsid w:val="146A5814"/>
    <w:rsid w:val="146D4E79"/>
    <w:rsid w:val="1479121F"/>
    <w:rsid w:val="147C1504"/>
    <w:rsid w:val="148112AD"/>
    <w:rsid w:val="148B2440"/>
    <w:rsid w:val="148B578A"/>
    <w:rsid w:val="14933736"/>
    <w:rsid w:val="149D19D1"/>
    <w:rsid w:val="14AA1497"/>
    <w:rsid w:val="14AD1F0C"/>
    <w:rsid w:val="14AD2447"/>
    <w:rsid w:val="14BD0C90"/>
    <w:rsid w:val="14BD7435"/>
    <w:rsid w:val="14D13225"/>
    <w:rsid w:val="14D41B03"/>
    <w:rsid w:val="14D63FB7"/>
    <w:rsid w:val="14E11E90"/>
    <w:rsid w:val="14EC7262"/>
    <w:rsid w:val="14F50637"/>
    <w:rsid w:val="14F56962"/>
    <w:rsid w:val="14FD3DC3"/>
    <w:rsid w:val="14FE4181"/>
    <w:rsid w:val="15052F44"/>
    <w:rsid w:val="1513143F"/>
    <w:rsid w:val="152446F6"/>
    <w:rsid w:val="15274A34"/>
    <w:rsid w:val="152C74BF"/>
    <w:rsid w:val="152E54C4"/>
    <w:rsid w:val="1535555F"/>
    <w:rsid w:val="15382813"/>
    <w:rsid w:val="154B27A9"/>
    <w:rsid w:val="154B6CF6"/>
    <w:rsid w:val="15516306"/>
    <w:rsid w:val="155B06BC"/>
    <w:rsid w:val="155B6FCC"/>
    <w:rsid w:val="15620F8B"/>
    <w:rsid w:val="156514F3"/>
    <w:rsid w:val="15657023"/>
    <w:rsid w:val="156B264F"/>
    <w:rsid w:val="15707694"/>
    <w:rsid w:val="157477F0"/>
    <w:rsid w:val="157839EE"/>
    <w:rsid w:val="157F4B83"/>
    <w:rsid w:val="15862A25"/>
    <w:rsid w:val="15864057"/>
    <w:rsid w:val="158A2F64"/>
    <w:rsid w:val="158C53F6"/>
    <w:rsid w:val="15946EC2"/>
    <w:rsid w:val="1594709F"/>
    <w:rsid w:val="159B1410"/>
    <w:rsid w:val="159D2E6C"/>
    <w:rsid w:val="159E4A3E"/>
    <w:rsid w:val="15A412DF"/>
    <w:rsid w:val="15A625C0"/>
    <w:rsid w:val="15A70541"/>
    <w:rsid w:val="15A7643A"/>
    <w:rsid w:val="15AD4348"/>
    <w:rsid w:val="15AD7612"/>
    <w:rsid w:val="15B96153"/>
    <w:rsid w:val="15BC619F"/>
    <w:rsid w:val="15BD0132"/>
    <w:rsid w:val="15BF618A"/>
    <w:rsid w:val="15C256BE"/>
    <w:rsid w:val="15C40EFF"/>
    <w:rsid w:val="15CA097E"/>
    <w:rsid w:val="15D33940"/>
    <w:rsid w:val="15D92955"/>
    <w:rsid w:val="15F5535B"/>
    <w:rsid w:val="15F569FA"/>
    <w:rsid w:val="15F656C7"/>
    <w:rsid w:val="15F85F00"/>
    <w:rsid w:val="15F969EC"/>
    <w:rsid w:val="16005D04"/>
    <w:rsid w:val="160628EA"/>
    <w:rsid w:val="1607152F"/>
    <w:rsid w:val="160D7883"/>
    <w:rsid w:val="160E7A4D"/>
    <w:rsid w:val="16104DB0"/>
    <w:rsid w:val="16120AEC"/>
    <w:rsid w:val="1613433D"/>
    <w:rsid w:val="16200AF2"/>
    <w:rsid w:val="162A2BA0"/>
    <w:rsid w:val="162E270B"/>
    <w:rsid w:val="162E2ADD"/>
    <w:rsid w:val="16313AA6"/>
    <w:rsid w:val="163267A4"/>
    <w:rsid w:val="163C0B35"/>
    <w:rsid w:val="16405266"/>
    <w:rsid w:val="164561DB"/>
    <w:rsid w:val="1651617C"/>
    <w:rsid w:val="165A2EC2"/>
    <w:rsid w:val="16672683"/>
    <w:rsid w:val="166852CC"/>
    <w:rsid w:val="16696EE3"/>
    <w:rsid w:val="16713663"/>
    <w:rsid w:val="167518D2"/>
    <w:rsid w:val="167B69FF"/>
    <w:rsid w:val="168864E9"/>
    <w:rsid w:val="16900241"/>
    <w:rsid w:val="16907088"/>
    <w:rsid w:val="1697702E"/>
    <w:rsid w:val="169A4327"/>
    <w:rsid w:val="169D4FCC"/>
    <w:rsid w:val="16A26D59"/>
    <w:rsid w:val="16A31912"/>
    <w:rsid w:val="16A52825"/>
    <w:rsid w:val="16A56817"/>
    <w:rsid w:val="16A60389"/>
    <w:rsid w:val="16AC66DD"/>
    <w:rsid w:val="16AD326E"/>
    <w:rsid w:val="16B06BAD"/>
    <w:rsid w:val="16B17712"/>
    <w:rsid w:val="16B95CF7"/>
    <w:rsid w:val="16BC6189"/>
    <w:rsid w:val="16C42B77"/>
    <w:rsid w:val="16D55B33"/>
    <w:rsid w:val="16D74218"/>
    <w:rsid w:val="16DD2E8B"/>
    <w:rsid w:val="16E376E7"/>
    <w:rsid w:val="16E40C30"/>
    <w:rsid w:val="16E72981"/>
    <w:rsid w:val="16EA1CE7"/>
    <w:rsid w:val="16EB66D9"/>
    <w:rsid w:val="16EE35CD"/>
    <w:rsid w:val="16F47BF5"/>
    <w:rsid w:val="16F500A9"/>
    <w:rsid w:val="16F872C3"/>
    <w:rsid w:val="16FA06E3"/>
    <w:rsid w:val="1701047D"/>
    <w:rsid w:val="170167F2"/>
    <w:rsid w:val="17035AAC"/>
    <w:rsid w:val="17054499"/>
    <w:rsid w:val="170B0BD9"/>
    <w:rsid w:val="170D5EDA"/>
    <w:rsid w:val="17182913"/>
    <w:rsid w:val="17197EC3"/>
    <w:rsid w:val="171E08F7"/>
    <w:rsid w:val="171E2D1A"/>
    <w:rsid w:val="172E1BBE"/>
    <w:rsid w:val="17377B8C"/>
    <w:rsid w:val="173A6824"/>
    <w:rsid w:val="173B1FA1"/>
    <w:rsid w:val="173C594E"/>
    <w:rsid w:val="173D1596"/>
    <w:rsid w:val="173D2EC3"/>
    <w:rsid w:val="1748452F"/>
    <w:rsid w:val="17503F57"/>
    <w:rsid w:val="17505DD6"/>
    <w:rsid w:val="17586CB0"/>
    <w:rsid w:val="17596CA9"/>
    <w:rsid w:val="17600681"/>
    <w:rsid w:val="176142CC"/>
    <w:rsid w:val="176522E6"/>
    <w:rsid w:val="17665D9F"/>
    <w:rsid w:val="17694484"/>
    <w:rsid w:val="176958FE"/>
    <w:rsid w:val="17696EA4"/>
    <w:rsid w:val="17795030"/>
    <w:rsid w:val="177B0627"/>
    <w:rsid w:val="177D3C16"/>
    <w:rsid w:val="178501CB"/>
    <w:rsid w:val="178A042D"/>
    <w:rsid w:val="178A1F82"/>
    <w:rsid w:val="17916104"/>
    <w:rsid w:val="17920EA7"/>
    <w:rsid w:val="1797450B"/>
    <w:rsid w:val="17985148"/>
    <w:rsid w:val="17A644BF"/>
    <w:rsid w:val="17A90C9E"/>
    <w:rsid w:val="17A92F07"/>
    <w:rsid w:val="17A93B09"/>
    <w:rsid w:val="17B23E0F"/>
    <w:rsid w:val="17B31B32"/>
    <w:rsid w:val="17B80549"/>
    <w:rsid w:val="17C063A0"/>
    <w:rsid w:val="17C16366"/>
    <w:rsid w:val="17C76A67"/>
    <w:rsid w:val="17CA22FD"/>
    <w:rsid w:val="17CF3A14"/>
    <w:rsid w:val="17DA0F7A"/>
    <w:rsid w:val="17DC2D7F"/>
    <w:rsid w:val="17E95276"/>
    <w:rsid w:val="17E963D1"/>
    <w:rsid w:val="17EA38A1"/>
    <w:rsid w:val="17EB77A3"/>
    <w:rsid w:val="17EC5E41"/>
    <w:rsid w:val="17F8667B"/>
    <w:rsid w:val="17FC7C84"/>
    <w:rsid w:val="18060D81"/>
    <w:rsid w:val="1806537C"/>
    <w:rsid w:val="18066C18"/>
    <w:rsid w:val="1809630E"/>
    <w:rsid w:val="181A7494"/>
    <w:rsid w:val="181C2683"/>
    <w:rsid w:val="181E4167"/>
    <w:rsid w:val="18324998"/>
    <w:rsid w:val="18341D76"/>
    <w:rsid w:val="18351C27"/>
    <w:rsid w:val="18553A22"/>
    <w:rsid w:val="18590E01"/>
    <w:rsid w:val="18607956"/>
    <w:rsid w:val="1866144B"/>
    <w:rsid w:val="186E420E"/>
    <w:rsid w:val="187941B7"/>
    <w:rsid w:val="187A14AA"/>
    <w:rsid w:val="187B7B4F"/>
    <w:rsid w:val="1887188F"/>
    <w:rsid w:val="188900DF"/>
    <w:rsid w:val="18935E66"/>
    <w:rsid w:val="18A35548"/>
    <w:rsid w:val="18A63203"/>
    <w:rsid w:val="18A77689"/>
    <w:rsid w:val="18A816B2"/>
    <w:rsid w:val="18AC4CDE"/>
    <w:rsid w:val="18B25B64"/>
    <w:rsid w:val="18B8431F"/>
    <w:rsid w:val="18B90C48"/>
    <w:rsid w:val="18BC4ADF"/>
    <w:rsid w:val="18BD1521"/>
    <w:rsid w:val="18BD2E66"/>
    <w:rsid w:val="18BE7EAB"/>
    <w:rsid w:val="18CF2450"/>
    <w:rsid w:val="18D7372F"/>
    <w:rsid w:val="18DA12E6"/>
    <w:rsid w:val="18DD12E4"/>
    <w:rsid w:val="18E261B8"/>
    <w:rsid w:val="18E62F4B"/>
    <w:rsid w:val="18E85386"/>
    <w:rsid w:val="18FC503B"/>
    <w:rsid w:val="1901626E"/>
    <w:rsid w:val="19027C40"/>
    <w:rsid w:val="19087B90"/>
    <w:rsid w:val="190948C3"/>
    <w:rsid w:val="190E3326"/>
    <w:rsid w:val="190E3538"/>
    <w:rsid w:val="19164D1E"/>
    <w:rsid w:val="191C588D"/>
    <w:rsid w:val="192152C2"/>
    <w:rsid w:val="192502DE"/>
    <w:rsid w:val="1927395B"/>
    <w:rsid w:val="192D514C"/>
    <w:rsid w:val="193544CD"/>
    <w:rsid w:val="19443AA2"/>
    <w:rsid w:val="1945355B"/>
    <w:rsid w:val="194817FC"/>
    <w:rsid w:val="194A0D45"/>
    <w:rsid w:val="194A2ADB"/>
    <w:rsid w:val="195159CB"/>
    <w:rsid w:val="195961D5"/>
    <w:rsid w:val="195C14E8"/>
    <w:rsid w:val="195D3491"/>
    <w:rsid w:val="196515C3"/>
    <w:rsid w:val="197859DA"/>
    <w:rsid w:val="1980769C"/>
    <w:rsid w:val="19884F66"/>
    <w:rsid w:val="198F181A"/>
    <w:rsid w:val="198F1E18"/>
    <w:rsid w:val="19917CFC"/>
    <w:rsid w:val="199624F4"/>
    <w:rsid w:val="1997576B"/>
    <w:rsid w:val="1998697F"/>
    <w:rsid w:val="199A20B4"/>
    <w:rsid w:val="19A71B82"/>
    <w:rsid w:val="19B84C88"/>
    <w:rsid w:val="19C6694E"/>
    <w:rsid w:val="19CC0DE5"/>
    <w:rsid w:val="19D11E61"/>
    <w:rsid w:val="19D5618C"/>
    <w:rsid w:val="19E22401"/>
    <w:rsid w:val="19E23808"/>
    <w:rsid w:val="19F44B16"/>
    <w:rsid w:val="19F538D5"/>
    <w:rsid w:val="19FF0B74"/>
    <w:rsid w:val="1A00532F"/>
    <w:rsid w:val="1A040FBD"/>
    <w:rsid w:val="1A067DCA"/>
    <w:rsid w:val="1A0A198C"/>
    <w:rsid w:val="1A102A1C"/>
    <w:rsid w:val="1A13214F"/>
    <w:rsid w:val="1A3D169F"/>
    <w:rsid w:val="1A434C13"/>
    <w:rsid w:val="1A4E18BB"/>
    <w:rsid w:val="1A5C550E"/>
    <w:rsid w:val="1A5E5759"/>
    <w:rsid w:val="1A61514E"/>
    <w:rsid w:val="1A624E9D"/>
    <w:rsid w:val="1A6F769D"/>
    <w:rsid w:val="1A712AE5"/>
    <w:rsid w:val="1A74386E"/>
    <w:rsid w:val="1A783427"/>
    <w:rsid w:val="1A7B0419"/>
    <w:rsid w:val="1A8A143B"/>
    <w:rsid w:val="1A954C9C"/>
    <w:rsid w:val="1AA67BD3"/>
    <w:rsid w:val="1AB617F5"/>
    <w:rsid w:val="1AC70097"/>
    <w:rsid w:val="1ACC39D6"/>
    <w:rsid w:val="1ADD5293"/>
    <w:rsid w:val="1ADE0868"/>
    <w:rsid w:val="1AF7489C"/>
    <w:rsid w:val="1AF86B17"/>
    <w:rsid w:val="1AFA3523"/>
    <w:rsid w:val="1AFD3AEA"/>
    <w:rsid w:val="1B05238D"/>
    <w:rsid w:val="1B0C44A5"/>
    <w:rsid w:val="1B13587B"/>
    <w:rsid w:val="1B1D44BA"/>
    <w:rsid w:val="1B275D4E"/>
    <w:rsid w:val="1B2C07D2"/>
    <w:rsid w:val="1B2C5EE0"/>
    <w:rsid w:val="1B33077D"/>
    <w:rsid w:val="1B3604D3"/>
    <w:rsid w:val="1B364D11"/>
    <w:rsid w:val="1B3865C6"/>
    <w:rsid w:val="1B3E5EDE"/>
    <w:rsid w:val="1B420F74"/>
    <w:rsid w:val="1B433153"/>
    <w:rsid w:val="1B467529"/>
    <w:rsid w:val="1B4B00CA"/>
    <w:rsid w:val="1B566C78"/>
    <w:rsid w:val="1B5F1247"/>
    <w:rsid w:val="1B6307EA"/>
    <w:rsid w:val="1B717940"/>
    <w:rsid w:val="1B79696C"/>
    <w:rsid w:val="1B7E1824"/>
    <w:rsid w:val="1B825166"/>
    <w:rsid w:val="1B890C23"/>
    <w:rsid w:val="1B9411FC"/>
    <w:rsid w:val="1B972987"/>
    <w:rsid w:val="1B9D6CE8"/>
    <w:rsid w:val="1BA63F57"/>
    <w:rsid w:val="1BA866D1"/>
    <w:rsid w:val="1BBB422B"/>
    <w:rsid w:val="1BC600B5"/>
    <w:rsid w:val="1BCC6C51"/>
    <w:rsid w:val="1BCD55F8"/>
    <w:rsid w:val="1BD1784D"/>
    <w:rsid w:val="1BE011AE"/>
    <w:rsid w:val="1BE02AAF"/>
    <w:rsid w:val="1BE30F90"/>
    <w:rsid w:val="1BE31093"/>
    <w:rsid w:val="1BE461F3"/>
    <w:rsid w:val="1BE956C8"/>
    <w:rsid w:val="1C022294"/>
    <w:rsid w:val="1C0B35D4"/>
    <w:rsid w:val="1C12573D"/>
    <w:rsid w:val="1C1D1EE2"/>
    <w:rsid w:val="1C1E2D21"/>
    <w:rsid w:val="1C234861"/>
    <w:rsid w:val="1C2E319B"/>
    <w:rsid w:val="1C3477C5"/>
    <w:rsid w:val="1C350829"/>
    <w:rsid w:val="1C4F6563"/>
    <w:rsid w:val="1C545F3D"/>
    <w:rsid w:val="1C556488"/>
    <w:rsid w:val="1C56072A"/>
    <w:rsid w:val="1C563FE3"/>
    <w:rsid w:val="1C5A182A"/>
    <w:rsid w:val="1C612884"/>
    <w:rsid w:val="1C62402E"/>
    <w:rsid w:val="1C62587C"/>
    <w:rsid w:val="1C6818E0"/>
    <w:rsid w:val="1C6F3BF6"/>
    <w:rsid w:val="1C722E7E"/>
    <w:rsid w:val="1C784A9F"/>
    <w:rsid w:val="1C7D008B"/>
    <w:rsid w:val="1C7D2EB6"/>
    <w:rsid w:val="1C805B43"/>
    <w:rsid w:val="1C852BB0"/>
    <w:rsid w:val="1C8D54A8"/>
    <w:rsid w:val="1C8D59DD"/>
    <w:rsid w:val="1C8E63A1"/>
    <w:rsid w:val="1C9651FD"/>
    <w:rsid w:val="1C9C41C6"/>
    <w:rsid w:val="1CA41B36"/>
    <w:rsid w:val="1CA42FB6"/>
    <w:rsid w:val="1CAF4AE5"/>
    <w:rsid w:val="1CB21A29"/>
    <w:rsid w:val="1CBA12BF"/>
    <w:rsid w:val="1CCB32EE"/>
    <w:rsid w:val="1CCD4A46"/>
    <w:rsid w:val="1CD23361"/>
    <w:rsid w:val="1CD35882"/>
    <w:rsid w:val="1CE302F7"/>
    <w:rsid w:val="1CEC4F96"/>
    <w:rsid w:val="1CF139EE"/>
    <w:rsid w:val="1CF13B49"/>
    <w:rsid w:val="1CF52075"/>
    <w:rsid w:val="1CF70EE3"/>
    <w:rsid w:val="1CFE7E6D"/>
    <w:rsid w:val="1D011F4C"/>
    <w:rsid w:val="1D0D1F95"/>
    <w:rsid w:val="1D1C7AC2"/>
    <w:rsid w:val="1D1D6A85"/>
    <w:rsid w:val="1D207BFC"/>
    <w:rsid w:val="1D230741"/>
    <w:rsid w:val="1D2F0DCA"/>
    <w:rsid w:val="1D397D96"/>
    <w:rsid w:val="1D3A5DFA"/>
    <w:rsid w:val="1D3E30CF"/>
    <w:rsid w:val="1D3E57BA"/>
    <w:rsid w:val="1D3F5BF4"/>
    <w:rsid w:val="1D49558F"/>
    <w:rsid w:val="1D4A5741"/>
    <w:rsid w:val="1D4B1AFF"/>
    <w:rsid w:val="1D4B4B5A"/>
    <w:rsid w:val="1D5350C2"/>
    <w:rsid w:val="1D584348"/>
    <w:rsid w:val="1D597DDF"/>
    <w:rsid w:val="1D5D209F"/>
    <w:rsid w:val="1D65312D"/>
    <w:rsid w:val="1D6D4785"/>
    <w:rsid w:val="1D6E27CD"/>
    <w:rsid w:val="1D727268"/>
    <w:rsid w:val="1D747A6E"/>
    <w:rsid w:val="1D767ADA"/>
    <w:rsid w:val="1D7A0D45"/>
    <w:rsid w:val="1D845021"/>
    <w:rsid w:val="1D861B2D"/>
    <w:rsid w:val="1D896FB3"/>
    <w:rsid w:val="1D91741D"/>
    <w:rsid w:val="1D9318C5"/>
    <w:rsid w:val="1D941B55"/>
    <w:rsid w:val="1DA8115B"/>
    <w:rsid w:val="1DAB7998"/>
    <w:rsid w:val="1DB01072"/>
    <w:rsid w:val="1DB2076E"/>
    <w:rsid w:val="1DB43F2E"/>
    <w:rsid w:val="1DBE6DCD"/>
    <w:rsid w:val="1DC2628A"/>
    <w:rsid w:val="1DCF57CE"/>
    <w:rsid w:val="1DCF7FF5"/>
    <w:rsid w:val="1DD11EB5"/>
    <w:rsid w:val="1DD246EC"/>
    <w:rsid w:val="1DD63079"/>
    <w:rsid w:val="1DD859F5"/>
    <w:rsid w:val="1DDA6EEA"/>
    <w:rsid w:val="1DDB37BE"/>
    <w:rsid w:val="1DDD63A7"/>
    <w:rsid w:val="1DE56ABE"/>
    <w:rsid w:val="1DFC4DF9"/>
    <w:rsid w:val="1E0435A0"/>
    <w:rsid w:val="1E110D2A"/>
    <w:rsid w:val="1E1247A2"/>
    <w:rsid w:val="1E155062"/>
    <w:rsid w:val="1E193E9C"/>
    <w:rsid w:val="1E1B38E9"/>
    <w:rsid w:val="1E1B7186"/>
    <w:rsid w:val="1E303EF3"/>
    <w:rsid w:val="1E3065F6"/>
    <w:rsid w:val="1E3303CE"/>
    <w:rsid w:val="1E3835D5"/>
    <w:rsid w:val="1E3F6D05"/>
    <w:rsid w:val="1E494B8A"/>
    <w:rsid w:val="1E4F0222"/>
    <w:rsid w:val="1E5C2AF3"/>
    <w:rsid w:val="1E795C41"/>
    <w:rsid w:val="1E7E640D"/>
    <w:rsid w:val="1E7F3A72"/>
    <w:rsid w:val="1E8064D3"/>
    <w:rsid w:val="1E861E21"/>
    <w:rsid w:val="1EA72270"/>
    <w:rsid w:val="1EBD6E42"/>
    <w:rsid w:val="1EBF2B2C"/>
    <w:rsid w:val="1EC25D1C"/>
    <w:rsid w:val="1EC74AB4"/>
    <w:rsid w:val="1EC87ABC"/>
    <w:rsid w:val="1ED242FC"/>
    <w:rsid w:val="1ED56C03"/>
    <w:rsid w:val="1EDA0174"/>
    <w:rsid w:val="1EDA3DBE"/>
    <w:rsid w:val="1EDB3888"/>
    <w:rsid w:val="1EE05F54"/>
    <w:rsid w:val="1EE332A7"/>
    <w:rsid w:val="1EE45C8A"/>
    <w:rsid w:val="1EE94B13"/>
    <w:rsid w:val="1EF579A0"/>
    <w:rsid w:val="1F05532C"/>
    <w:rsid w:val="1F095121"/>
    <w:rsid w:val="1F0C3604"/>
    <w:rsid w:val="1F0D0383"/>
    <w:rsid w:val="1F0F4C7A"/>
    <w:rsid w:val="1F1527EE"/>
    <w:rsid w:val="1F20034A"/>
    <w:rsid w:val="1F251ABC"/>
    <w:rsid w:val="1F290391"/>
    <w:rsid w:val="1F2A2D10"/>
    <w:rsid w:val="1F304386"/>
    <w:rsid w:val="1F330402"/>
    <w:rsid w:val="1F370102"/>
    <w:rsid w:val="1F3F0073"/>
    <w:rsid w:val="1F43546C"/>
    <w:rsid w:val="1F48506F"/>
    <w:rsid w:val="1F4B10C3"/>
    <w:rsid w:val="1F5C7F87"/>
    <w:rsid w:val="1F6C1D79"/>
    <w:rsid w:val="1F792E9A"/>
    <w:rsid w:val="1F7B67F6"/>
    <w:rsid w:val="1F7C518B"/>
    <w:rsid w:val="1F881F59"/>
    <w:rsid w:val="1F8941F6"/>
    <w:rsid w:val="1F971B7F"/>
    <w:rsid w:val="1F977565"/>
    <w:rsid w:val="1F9B644E"/>
    <w:rsid w:val="1FA22246"/>
    <w:rsid w:val="1FA30C43"/>
    <w:rsid w:val="1FA429B4"/>
    <w:rsid w:val="1FAC06FF"/>
    <w:rsid w:val="1FB34801"/>
    <w:rsid w:val="1FB75185"/>
    <w:rsid w:val="1FB758D9"/>
    <w:rsid w:val="1FB9068D"/>
    <w:rsid w:val="1FB97163"/>
    <w:rsid w:val="1FBD0EE6"/>
    <w:rsid w:val="1FC10346"/>
    <w:rsid w:val="1FC16504"/>
    <w:rsid w:val="1FDB745E"/>
    <w:rsid w:val="1FDD028C"/>
    <w:rsid w:val="1FE218C2"/>
    <w:rsid w:val="1FF955B0"/>
    <w:rsid w:val="1FFA3EAB"/>
    <w:rsid w:val="1FFB3FF4"/>
    <w:rsid w:val="1FFC1294"/>
    <w:rsid w:val="1FFC4541"/>
    <w:rsid w:val="200B6448"/>
    <w:rsid w:val="20176E76"/>
    <w:rsid w:val="201C2D60"/>
    <w:rsid w:val="20270162"/>
    <w:rsid w:val="20347311"/>
    <w:rsid w:val="203F0CD6"/>
    <w:rsid w:val="20421E9D"/>
    <w:rsid w:val="204439A4"/>
    <w:rsid w:val="20655E4F"/>
    <w:rsid w:val="20721F6B"/>
    <w:rsid w:val="207308C3"/>
    <w:rsid w:val="207411D3"/>
    <w:rsid w:val="20743131"/>
    <w:rsid w:val="207536DF"/>
    <w:rsid w:val="20783BF9"/>
    <w:rsid w:val="20786435"/>
    <w:rsid w:val="20802CF5"/>
    <w:rsid w:val="20811113"/>
    <w:rsid w:val="208315A1"/>
    <w:rsid w:val="20874766"/>
    <w:rsid w:val="2088281D"/>
    <w:rsid w:val="2088475A"/>
    <w:rsid w:val="20917F9C"/>
    <w:rsid w:val="20930BD1"/>
    <w:rsid w:val="2094661E"/>
    <w:rsid w:val="20951ED4"/>
    <w:rsid w:val="20962536"/>
    <w:rsid w:val="20AF5726"/>
    <w:rsid w:val="20AF5A47"/>
    <w:rsid w:val="20B50E80"/>
    <w:rsid w:val="20B71F63"/>
    <w:rsid w:val="20B7483F"/>
    <w:rsid w:val="20BD02A3"/>
    <w:rsid w:val="20BE1841"/>
    <w:rsid w:val="20D078F3"/>
    <w:rsid w:val="20D200AD"/>
    <w:rsid w:val="20D95B71"/>
    <w:rsid w:val="20DA60A5"/>
    <w:rsid w:val="20DB223A"/>
    <w:rsid w:val="20E51C80"/>
    <w:rsid w:val="20E61367"/>
    <w:rsid w:val="20EC58CB"/>
    <w:rsid w:val="20F17304"/>
    <w:rsid w:val="21007C49"/>
    <w:rsid w:val="21014223"/>
    <w:rsid w:val="21200021"/>
    <w:rsid w:val="21257F04"/>
    <w:rsid w:val="21291A31"/>
    <w:rsid w:val="213445FE"/>
    <w:rsid w:val="21353F50"/>
    <w:rsid w:val="2138052E"/>
    <w:rsid w:val="213C3CC5"/>
    <w:rsid w:val="21404767"/>
    <w:rsid w:val="214776EA"/>
    <w:rsid w:val="21522E38"/>
    <w:rsid w:val="2159046C"/>
    <w:rsid w:val="21592762"/>
    <w:rsid w:val="215E62F3"/>
    <w:rsid w:val="215F3A68"/>
    <w:rsid w:val="21611A31"/>
    <w:rsid w:val="21635586"/>
    <w:rsid w:val="21760888"/>
    <w:rsid w:val="217B17E2"/>
    <w:rsid w:val="218810BD"/>
    <w:rsid w:val="218D61A9"/>
    <w:rsid w:val="218F2B85"/>
    <w:rsid w:val="218F6B13"/>
    <w:rsid w:val="218F7263"/>
    <w:rsid w:val="2190117D"/>
    <w:rsid w:val="219015DB"/>
    <w:rsid w:val="219140F2"/>
    <w:rsid w:val="21994057"/>
    <w:rsid w:val="219A79A2"/>
    <w:rsid w:val="219F1479"/>
    <w:rsid w:val="21A34664"/>
    <w:rsid w:val="21B80E8C"/>
    <w:rsid w:val="21B91F5E"/>
    <w:rsid w:val="21C24072"/>
    <w:rsid w:val="21C73828"/>
    <w:rsid w:val="21D55950"/>
    <w:rsid w:val="21D965A1"/>
    <w:rsid w:val="21E11782"/>
    <w:rsid w:val="21E14B35"/>
    <w:rsid w:val="21E617C0"/>
    <w:rsid w:val="21EC3E44"/>
    <w:rsid w:val="21F002DA"/>
    <w:rsid w:val="21F2539C"/>
    <w:rsid w:val="21F533B9"/>
    <w:rsid w:val="21F65A58"/>
    <w:rsid w:val="21FB61D0"/>
    <w:rsid w:val="22034BF9"/>
    <w:rsid w:val="220B3AD6"/>
    <w:rsid w:val="22191ECB"/>
    <w:rsid w:val="221E272E"/>
    <w:rsid w:val="2221560D"/>
    <w:rsid w:val="222A1FFE"/>
    <w:rsid w:val="222B075F"/>
    <w:rsid w:val="22367DC0"/>
    <w:rsid w:val="223C2D91"/>
    <w:rsid w:val="22426753"/>
    <w:rsid w:val="224D7BB0"/>
    <w:rsid w:val="22541D32"/>
    <w:rsid w:val="225474CD"/>
    <w:rsid w:val="225E1754"/>
    <w:rsid w:val="225F0409"/>
    <w:rsid w:val="225F51CF"/>
    <w:rsid w:val="226A54A8"/>
    <w:rsid w:val="226D42BA"/>
    <w:rsid w:val="226D7A71"/>
    <w:rsid w:val="227078B0"/>
    <w:rsid w:val="2271187B"/>
    <w:rsid w:val="22833161"/>
    <w:rsid w:val="228338C8"/>
    <w:rsid w:val="22840DDA"/>
    <w:rsid w:val="22876A0D"/>
    <w:rsid w:val="229C7857"/>
    <w:rsid w:val="22A11695"/>
    <w:rsid w:val="22A63B38"/>
    <w:rsid w:val="22A73490"/>
    <w:rsid w:val="22A8489A"/>
    <w:rsid w:val="22AA7376"/>
    <w:rsid w:val="22AB3B60"/>
    <w:rsid w:val="22AF11A1"/>
    <w:rsid w:val="22B2134F"/>
    <w:rsid w:val="22B22D1F"/>
    <w:rsid w:val="22B33D99"/>
    <w:rsid w:val="22B83EF7"/>
    <w:rsid w:val="22BB4A47"/>
    <w:rsid w:val="22BC2773"/>
    <w:rsid w:val="22BE29D6"/>
    <w:rsid w:val="22C27BE8"/>
    <w:rsid w:val="22C4003E"/>
    <w:rsid w:val="22CB2F4B"/>
    <w:rsid w:val="22D02654"/>
    <w:rsid w:val="22D10E4B"/>
    <w:rsid w:val="22D41929"/>
    <w:rsid w:val="22D7363B"/>
    <w:rsid w:val="22D90210"/>
    <w:rsid w:val="22D912F9"/>
    <w:rsid w:val="22E1284D"/>
    <w:rsid w:val="22E73006"/>
    <w:rsid w:val="22EB3773"/>
    <w:rsid w:val="22EE13BE"/>
    <w:rsid w:val="22F31E85"/>
    <w:rsid w:val="22F71A54"/>
    <w:rsid w:val="22F74CC6"/>
    <w:rsid w:val="22FB2321"/>
    <w:rsid w:val="22FF6AA7"/>
    <w:rsid w:val="2306325F"/>
    <w:rsid w:val="230749DA"/>
    <w:rsid w:val="230753E2"/>
    <w:rsid w:val="230E2CD5"/>
    <w:rsid w:val="230F5270"/>
    <w:rsid w:val="2311101C"/>
    <w:rsid w:val="231869B1"/>
    <w:rsid w:val="2319089C"/>
    <w:rsid w:val="231B2491"/>
    <w:rsid w:val="232515D0"/>
    <w:rsid w:val="232F45E5"/>
    <w:rsid w:val="23382F5D"/>
    <w:rsid w:val="233857DC"/>
    <w:rsid w:val="233E2231"/>
    <w:rsid w:val="23443C8F"/>
    <w:rsid w:val="235578EA"/>
    <w:rsid w:val="23561548"/>
    <w:rsid w:val="23561CD1"/>
    <w:rsid w:val="235E47B6"/>
    <w:rsid w:val="23644FB5"/>
    <w:rsid w:val="23646298"/>
    <w:rsid w:val="236B32CC"/>
    <w:rsid w:val="2372506B"/>
    <w:rsid w:val="2376691B"/>
    <w:rsid w:val="2378146C"/>
    <w:rsid w:val="238D2D50"/>
    <w:rsid w:val="238D66BE"/>
    <w:rsid w:val="2390261F"/>
    <w:rsid w:val="23950A55"/>
    <w:rsid w:val="239540DC"/>
    <w:rsid w:val="23965F67"/>
    <w:rsid w:val="23A00272"/>
    <w:rsid w:val="23A02531"/>
    <w:rsid w:val="23A11F4F"/>
    <w:rsid w:val="23A963A4"/>
    <w:rsid w:val="23B41225"/>
    <w:rsid w:val="23BA6237"/>
    <w:rsid w:val="23BC048E"/>
    <w:rsid w:val="23C9616F"/>
    <w:rsid w:val="23CC0919"/>
    <w:rsid w:val="23CE659F"/>
    <w:rsid w:val="23CF7FD3"/>
    <w:rsid w:val="23D4199E"/>
    <w:rsid w:val="23D94F43"/>
    <w:rsid w:val="23DC01C4"/>
    <w:rsid w:val="23DC60E2"/>
    <w:rsid w:val="23E17EC8"/>
    <w:rsid w:val="23E47406"/>
    <w:rsid w:val="23E91B93"/>
    <w:rsid w:val="23F6160A"/>
    <w:rsid w:val="23FA4415"/>
    <w:rsid w:val="23FB72B1"/>
    <w:rsid w:val="24026C92"/>
    <w:rsid w:val="24027DBA"/>
    <w:rsid w:val="240657B6"/>
    <w:rsid w:val="240B36D8"/>
    <w:rsid w:val="240C2CCA"/>
    <w:rsid w:val="240C553C"/>
    <w:rsid w:val="241722EB"/>
    <w:rsid w:val="24193E65"/>
    <w:rsid w:val="241B2B4F"/>
    <w:rsid w:val="242B021E"/>
    <w:rsid w:val="24323334"/>
    <w:rsid w:val="243336DA"/>
    <w:rsid w:val="24373DE9"/>
    <w:rsid w:val="243D6215"/>
    <w:rsid w:val="244F01D0"/>
    <w:rsid w:val="245226BE"/>
    <w:rsid w:val="245550BB"/>
    <w:rsid w:val="245A0102"/>
    <w:rsid w:val="2461318F"/>
    <w:rsid w:val="24662623"/>
    <w:rsid w:val="24673502"/>
    <w:rsid w:val="24676BCD"/>
    <w:rsid w:val="24676F22"/>
    <w:rsid w:val="2468531E"/>
    <w:rsid w:val="246D7EC6"/>
    <w:rsid w:val="24741D21"/>
    <w:rsid w:val="24750E49"/>
    <w:rsid w:val="2479502B"/>
    <w:rsid w:val="2479597F"/>
    <w:rsid w:val="247D3C6E"/>
    <w:rsid w:val="24860612"/>
    <w:rsid w:val="24872D53"/>
    <w:rsid w:val="248E7D90"/>
    <w:rsid w:val="249321BF"/>
    <w:rsid w:val="249C0D83"/>
    <w:rsid w:val="24A033EE"/>
    <w:rsid w:val="24B51B12"/>
    <w:rsid w:val="24C434A5"/>
    <w:rsid w:val="24C92612"/>
    <w:rsid w:val="24CA496C"/>
    <w:rsid w:val="24CB78C2"/>
    <w:rsid w:val="24CC60AA"/>
    <w:rsid w:val="24D35568"/>
    <w:rsid w:val="24D72C44"/>
    <w:rsid w:val="24DB51FA"/>
    <w:rsid w:val="24E954E0"/>
    <w:rsid w:val="24F37FEF"/>
    <w:rsid w:val="24F82FB3"/>
    <w:rsid w:val="2501080F"/>
    <w:rsid w:val="2504405A"/>
    <w:rsid w:val="251809ED"/>
    <w:rsid w:val="251B27EB"/>
    <w:rsid w:val="25241C4A"/>
    <w:rsid w:val="25265A8E"/>
    <w:rsid w:val="252A5159"/>
    <w:rsid w:val="25364407"/>
    <w:rsid w:val="25380B4A"/>
    <w:rsid w:val="253C2F3D"/>
    <w:rsid w:val="253C65AF"/>
    <w:rsid w:val="25410D56"/>
    <w:rsid w:val="254D55BA"/>
    <w:rsid w:val="254F6D5C"/>
    <w:rsid w:val="25644E19"/>
    <w:rsid w:val="256F1EB3"/>
    <w:rsid w:val="25720D21"/>
    <w:rsid w:val="257B7A7B"/>
    <w:rsid w:val="257C63F7"/>
    <w:rsid w:val="257E458B"/>
    <w:rsid w:val="258426BC"/>
    <w:rsid w:val="25867F54"/>
    <w:rsid w:val="25873766"/>
    <w:rsid w:val="258B4AE4"/>
    <w:rsid w:val="258C3B89"/>
    <w:rsid w:val="258C6B00"/>
    <w:rsid w:val="258F1E2E"/>
    <w:rsid w:val="259114ED"/>
    <w:rsid w:val="2593720A"/>
    <w:rsid w:val="25996F48"/>
    <w:rsid w:val="259A3CB2"/>
    <w:rsid w:val="259E4C39"/>
    <w:rsid w:val="259E5828"/>
    <w:rsid w:val="25A035EC"/>
    <w:rsid w:val="25A24497"/>
    <w:rsid w:val="25A45B04"/>
    <w:rsid w:val="25A92B92"/>
    <w:rsid w:val="25AB0A3D"/>
    <w:rsid w:val="25AC370D"/>
    <w:rsid w:val="25B22B68"/>
    <w:rsid w:val="25B5218E"/>
    <w:rsid w:val="25B824AD"/>
    <w:rsid w:val="25BF3BCD"/>
    <w:rsid w:val="25C15D16"/>
    <w:rsid w:val="25C55B83"/>
    <w:rsid w:val="25CD5BF1"/>
    <w:rsid w:val="25CD62C3"/>
    <w:rsid w:val="25D31208"/>
    <w:rsid w:val="25DA65CA"/>
    <w:rsid w:val="25DB6649"/>
    <w:rsid w:val="25DC1D12"/>
    <w:rsid w:val="25DD0809"/>
    <w:rsid w:val="25E27416"/>
    <w:rsid w:val="25E46656"/>
    <w:rsid w:val="25E47484"/>
    <w:rsid w:val="25E92FBE"/>
    <w:rsid w:val="25F17275"/>
    <w:rsid w:val="25F31E31"/>
    <w:rsid w:val="25F70EE4"/>
    <w:rsid w:val="25F83FB0"/>
    <w:rsid w:val="25FC0B75"/>
    <w:rsid w:val="26006C23"/>
    <w:rsid w:val="260139F3"/>
    <w:rsid w:val="260556D5"/>
    <w:rsid w:val="26080DD9"/>
    <w:rsid w:val="26082798"/>
    <w:rsid w:val="260830B3"/>
    <w:rsid w:val="26095114"/>
    <w:rsid w:val="260E454E"/>
    <w:rsid w:val="26132277"/>
    <w:rsid w:val="261464EE"/>
    <w:rsid w:val="26280E6C"/>
    <w:rsid w:val="262E05B0"/>
    <w:rsid w:val="26327A25"/>
    <w:rsid w:val="26331CBB"/>
    <w:rsid w:val="26372014"/>
    <w:rsid w:val="263C3D6D"/>
    <w:rsid w:val="263E0859"/>
    <w:rsid w:val="263E1A96"/>
    <w:rsid w:val="26405937"/>
    <w:rsid w:val="26433FB7"/>
    <w:rsid w:val="26452DA3"/>
    <w:rsid w:val="26474B98"/>
    <w:rsid w:val="264D3294"/>
    <w:rsid w:val="266A2AD6"/>
    <w:rsid w:val="266C2FED"/>
    <w:rsid w:val="26783498"/>
    <w:rsid w:val="267A33D1"/>
    <w:rsid w:val="268246BC"/>
    <w:rsid w:val="268B7473"/>
    <w:rsid w:val="26952295"/>
    <w:rsid w:val="269626DF"/>
    <w:rsid w:val="269B7137"/>
    <w:rsid w:val="26A265DC"/>
    <w:rsid w:val="26AE5F52"/>
    <w:rsid w:val="26AE6F7F"/>
    <w:rsid w:val="26B32654"/>
    <w:rsid w:val="26B40C48"/>
    <w:rsid w:val="26B8056C"/>
    <w:rsid w:val="26C87742"/>
    <w:rsid w:val="26D00BF3"/>
    <w:rsid w:val="26E272BC"/>
    <w:rsid w:val="26E33E5B"/>
    <w:rsid w:val="26E70CA8"/>
    <w:rsid w:val="26EA7605"/>
    <w:rsid w:val="26EB47D6"/>
    <w:rsid w:val="26F17CAD"/>
    <w:rsid w:val="26F51567"/>
    <w:rsid w:val="26F54808"/>
    <w:rsid w:val="26F81366"/>
    <w:rsid w:val="26FB5D95"/>
    <w:rsid w:val="26FC2F8C"/>
    <w:rsid w:val="27094F93"/>
    <w:rsid w:val="270E05C8"/>
    <w:rsid w:val="27101BFD"/>
    <w:rsid w:val="27172021"/>
    <w:rsid w:val="27190D99"/>
    <w:rsid w:val="271927EF"/>
    <w:rsid w:val="271A253D"/>
    <w:rsid w:val="271A4B23"/>
    <w:rsid w:val="271C2CE9"/>
    <w:rsid w:val="27235746"/>
    <w:rsid w:val="273E49F4"/>
    <w:rsid w:val="274321B1"/>
    <w:rsid w:val="27450C2D"/>
    <w:rsid w:val="274525DC"/>
    <w:rsid w:val="274652E6"/>
    <w:rsid w:val="27470851"/>
    <w:rsid w:val="27480748"/>
    <w:rsid w:val="274900F9"/>
    <w:rsid w:val="274E0335"/>
    <w:rsid w:val="275D1356"/>
    <w:rsid w:val="275D186B"/>
    <w:rsid w:val="275D4A89"/>
    <w:rsid w:val="27625310"/>
    <w:rsid w:val="27641213"/>
    <w:rsid w:val="277A2EC6"/>
    <w:rsid w:val="277E3D2C"/>
    <w:rsid w:val="27841ADD"/>
    <w:rsid w:val="278B7262"/>
    <w:rsid w:val="278E7D5F"/>
    <w:rsid w:val="279429E3"/>
    <w:rsid w:val="27966F4A"/>
    <w:rsid w:val="27A74D7A"/>
    <w:rsid w:val="27A75735"/>
    <w:rsid w:val="27A91AD2"/>
    <w:rsid w:val="27AE6E2D"/>
    <w:rsid w:val="27AF57B8"/>
    <w:rsid w:val="27B24596"/>
    <w:rsid w:val="27B25FFF"/>
    <w:rsid w:val="27B82A21"/>
    <w:rsid w:val="27BA12A7"/>
    <w:rsid w:val="27BA6BC4"/>
    <w:rsid w:val="27BC2EEA"/>
    <w:rsid w:val="27C93064"/>
    <w:rsid w:val="27C96B67"/>
    <w:rsid w:val="27CB38EC"/>
    <w:rsid w:val="27CB5FF9"/>
    <w:rsid w:val="27CC0A3D"/>
    <w:rsid w:val="27D34267"/>
    <w:rsid w:val="27D62E6F"/>
    <w:rsid w:val="27D745E8"/>
    <w:rsid w:val="27E4169F"/>
    <w:rsid w:val="27E476BC"/>
    <w:rsid w:val="27E7338B"/>
    <w:rsid w:val="27EA3B97"/>
    <w:rsid w:val="27EF0430"/>
    <w:rsid w:val="27F32107"/>
    <w:rsid w:val="27F851C0"/>
    <w:rsid w:val="27FA5F82"/>
    <w:rsid w:val="28014303"/>
    <w:rsid w:val="280410A7"/>
    <w:rsid w:val="2809034F"/>
    <w:rsid w:val="28152D65"/>
    <w:rsid w:val="281713C1"/>
    <w:rsid w:val="281C4FE1"/>
    <w:rsid w:val="28201807"/>
    <w:rsid w:val="28202089"/>
    <w:rsid w:val="28210C3B"/>
    <w:rsid w:val="282136DB"/>
    <w:rsid w:val="282408A9"/>
    <w:rsid w:val="2833186C"/>
    <w:rsid w:val="283E3927"/>
    <w:rsid w:val="28432F7C"/>
    <w:rsid w:val="285065F4"/>
    <w:rsid w:val="28557C44"/>
    <w:rsid w:val="28564AD0"/>
    <w:rsid w:val="285E1540"/>
    <w:rsid w:val="285E4E49"/>
    <w:rsid w:val="28634EA7"/>
    <w:rsid w:val="2868554F"/>
    <w:rsid w:val="286A70A6"/>
    <w:rsid w:val="286B31A7"/>
    <w:rsid w:val="286D715D"/>
    <w:rsid w:val="286F13E7"/>
    <w:rsid w:val="28707EB9"/>
    <w:rsid w:val="28710251"/>
    <w:rsid w:val="287270BD"/>
    <w:rsid w:val="287508F6"/>
    <w:rsid w:val="288C7056"/>
    <w:rsid w:val="288F598A"/>
    <w:rsid w:val="289910F7"/>
    <w:rsid w:val="28A14F66"/>
    <w:rsid w:val="28A4234C"/>
    <w:rsid w:val="28A63531"/>
    <w:rsid w:val="28A773FC"/>
    <w:rsid w:val="28CA5B35"/>
    <w:rsid w:val="28D02425"/>
    <w:rsid w:val="28D36FD2"/>
    <w:rsid w:val="28D527CA"/>
    <w:rsid w:val="28DB1A3D"/>
    <w:rsid w:val="28F133CC"/>
    <w:rsid w:val="28F729CE"/>
    <w:rsid w:val="28F934CA"/>
    <w:rsid w:val="28FA5F7F"/>
    <w:rsid w:val="29056F59"/>
    <w:rsid w:val="2907017C"/>
    <w:rsid w:val="29094B16"/>
    <w:rsid w:val="291218C3"/>
    <w:rsid w:val="2912731C"/>
    <w:rsid w:val="29150A19"/>
    <w:rsid w:val="29157321"/>
    <w:rsid w:val="291F35AA"/>
    <w:rsid w:val="2925391D"/>
    <w:rsid w:val="292B0670"/>
    <w:rsid w:val="292E0A29"/>
    <w:rsid w:val="29325A72"/>
    <w:rsid w:val="2938341E"/>
    <w:rsid w:val="293A10FF"/>
    <w:rsid w:val="293A6E92"/>
    <w:rsid w:val="29566904"/>
    <w:rsid w:val="29582224"/>
    <w:rsid w:val="29585835"/>
    <w:rsid w:val="296074D7"/>
    <w:rsid w:val="29692EBD"/>
    <w:rsid w:val="29712D8F"/>
    <w:rsid w:val="29736267"/>
    <w:rsid w:val="297B31D3"/>
    <w:rsid w:val="298103BD"/>
    <w:rsid w:val="298412A3"/>
    <w:rsid w:val="298D4850"/>
    <w:rsid w:val="29966295"/>
    <w:rsid w:val="29971F57"/>
    <w:rsid w:val="299C7DCA"/>
    <w:rsid w:val="29A021A8"/>
    <w:rsid w:val="29A942FB"/>
    <w:rsid w:val="29A94F7F"/>
    <w:rsid w:val="29B344DC"/>
    <w:rsid w:val="29B539E6"/>
    <w:rsid w:val="29BA1399"/>
    <w:rsid w:val="29BC2699"/>
    <w:rsid w:val="29C8428C"/>
    <w:rsid w:val="29D4298C"/>
    <w:rsid w:val="29DD7E33"/>
    <w:rsid w:val="29E31C9C"/>
    <w:rsid w:val="29E55C12"/>
    <w:rsid w:val="29E81D60"/>
    <w:rsid w:val="29F035C0"/>
    <w:rsid w:val="29F05E16"/>
    <w:rsid w:val="29F54832"/>
    <w:rsid w:val="2A111075"/>
    <w:rsid w:val="2A160D87"/>
    <w:rsid w:val="2A22248B"/>
    <w:rsid w:val="2A2351F4"/>
    <w:rsid w:val="2A307EBE"/>
    <w:rsid w:val="2A3E413F"/>
    <w:rsid w:val="2A430F4D"/>
    <w:rsid w:val="2A5303B9"/>
    <w:rsid w:val="2A534A67"/>
    <w:rsid w:val="2A5F67A3"/>
    <w:rsid w:val="2A6151C4"/>
    <w:rsid w:val="2A664C59"/>
    <w:rsid w:val="2A6B464E"/>
    <w:rsid w:val="2A722830"/>
    <w:rsid w:val="2A8F4AAD"/>
    <w:rsid w:val="2A944B48"/>
    <w:rsid w:val="2A9A0F2B"/>
    <w:rsid w:val="2AA07917"/>
    <w:rsid w:val="2AA1140C"/>
    <w:rsid w:val="2AA67F8B"/>
    <w:rsid w:val="2AAA31D9"/>
    <w:rsid w:val="2AAC289A"/>
    <w:rsid w:val="2AB138BA"/>
    <w:rsid w:val="2AC51079"/>
    <w:rsid w:val="2ACA0984"/>
    <w:rsid w:val="2AD05182"/>
    <w:rsid w:val="2AE47A17"/>
    <w:rsid w:val="2AEB2740"/>
    <w:rsid w:val="2AF44191"/>
    <w:rsid w:val="2AF74347"/>
    <w:rsid w:val="2B0A4D59"/>
    <w:rsid w:val="2B162169"/>
    <w:rsid w:val="2B165967"/>
    <w:rsid w:val="2B1A32A0"/>
    <w:rsid w:val="2B26693B"/>
    <w:rsid w:val="2B2F1FC7"/>
    <w:rsid w:val="2B2F2F22"/>
    <w:rsid w:val="2B342280"/>
    <w:rsid w:val="2B37764D"/>
    <w:rsid w:val="2B3F6547"/>
    <w:rsid w:val="2B430D5F"/>
    <w:rsid w:val="2B4F2967"/>
    <w:rsid w:val="2B5C1A7C"/>
    <w:rsid w:val="2B5C469F"/>
    <w:rsid w:val="2B6525E9"/>
    <w:rsid w:val="2B6E19DB"/>
    <w:rsid w:val="2B756050"/>
    <w:rsid w:val="2B7C5660"/>
    <w:rsid w:val="2B8944AA"/>
    <w:rsid w:val="2B92679C"/>
    <w:rsid w:val="2B96506D"/>
    <w:rsid w:val="2B986BC6"/>
    <w:rsid w:val="2B9C0A86"/>
    <w:rsid w:val="2B9D451B"/>
    <w:rsid w:val="2BA16669"/>
    <w:rsid w:val="2BAE20A5"/>
    <w:rsid w:val="2BAE6BB7"/>
    <w:rsid w:val="2BAF2381"/>
    <w:rsid w:val="2BB1376A"/>
    <w:rsid w:val="2BB60AD9"/>
    <w:rsid w:val="2BBA7E05"/>
    <w:rsid w:val="2BBB17D5"/>
    <w:rsid w:val="2BBD6DA0"/>
    <w:rsid w:val="2BC3413A"/>
    <w:rsid w:val="2BC45396"/>
    <w:rsid w:val="2BD540AD"/>
    <w:rsid w:val="2BDA10DE"/>
    <w:rsid w:val="2BDA2AEC"/>
    <w:rsid w:val="2BF336C9"/>
    <w:rsid w:val="2BF33ED5"/>
    <w:rsid w:val="2BFB7405"/>
    <w:rsid w:val="2C006833"/>
    <w:rsid w:val="2C034F7B"/>
    <w:rsid w:val="2C040D89"/>
    <w:rsid w:val="2C0509D9"/>
    <w:rsid w:val="2C05481D"/>
    <w:rsid w:val="2C056AF9"/>
    <w:rsid w:val="2C096EF6"/>
    <w:rsid w:val="2C220DB4"/>
    <w:rsid w:val="2C247FF1"/>
    <w:rsid w:val="2C3C0030"/>
    <w:rsid w:val="2C3F3887"/>
    <w:rsid w:val="2C45016F"/>
    <w:rsid w:val="2C516E38"/>
    <w:rsid w:val="2C533A6A"/>
    <w:rsid w:val="2C560EA3"/>
    <w:rsid w:val="2C617496"/>
    <w:rsid w:val="2C62156F"/>
    <w:rsid w:val="2C6A047D"/>
    <w:rsid w:val="2C6F41F6"/>
    <w:rsid w:val="2C730778"/>
    <w:rsid w:val="2C7E030A"/>
    <w:rsid w:val="2C833FFB"/>
    <w:rsid w:val="2C84380F"/>
    <w:rsid w:val="2C8F430E"/>
    <w:rsid w:val="2C970335"/>
    <w:rsid w:val="2CA21894"/>
    <w:rsid w:val="2CA4476E"/>
    <w:rsid w:val="2CAD4F6B"/>
    <w:rsid w:val="2CB17FD2"/>
    <w:rsid w:val="2CC16AFA"/>
    <w:rsid w:val="2CC95D10"/>
    <w:rsid w:val="2CC96A11"/>
    <w:rsid w:val="2CCA43FF"/>
    <w:rsid w:val="2CCB5A72"/>
    <w:rsid w:val="2CD57684"/>
    <w:rsid w:val="2CD67A0B"/>
    <w:rsid w:val="2CD75666"/>
    <w:rsid w:val="2CD83FF1"/>
    <w:rsid w:val="2CDC6591"/>
    <w:rsid w:val="2CDE08F2"/>
    <w:rsid w:val="2CE03AB0"/>
    <w:rsid w:val="2CE86737"/>
    <w:rsid w:val="2CEB494F"/>
    <w:rsid w:val="2CEF53E3"/>
    <w:rsid w:val="2CF53A56"/>
    <w:rsid w:val="2CF649A9"/>
    <w:rsid w:val="2CF9444D"/>
    <w:rsid w:val="2CFC27E4"/>
    <w:rsid w:val="2D061051"/>
    <w:rsid w:val="2D0766E4"/>
    <w:rsid w:val="2D0B702A"/>
    <w:rsid w:val="2D107EBA"/>
    <w:rsid w:val="2D12609F"/>
    <w:rsid w:val="2D1B67A1"/>
    <w:rsid w:val="2D1F4BCA"/>
    <w:rsid w:val="2D221AAA"/>
    <w:rsid w:val="2D254ED3"/>
    <w:rsid w:val="2D2651C9"/>
    <w:rsid w:val="2D397977"/>
    <w:rsid w:val="2D3D74EA"/>
    <w:rsid w:val="2D476C62"/>
    <w:rsid w:val="2D504333"/>
    <w:rsid w:val="2D521264"/>
    <w:rsid w:val="2D567058"/>
    <w:rsid w:val="2D57290A"/>
    <w:rsid w:val="2D5D7FE8"/>
    <w:rsid w:val="2D5E7E01"/>
    <w:rsid w:val="2D6030A2"/>
    <w:rsid w:val="2D660EF9"/>
    <w:rsid w:val="2D6A677C"/>
    <w:rsid w:val="2D6C2B47"/>
    <w:rsid w:val="2D763F45"/>
    <w:rsid w:val="2D820204"/>
    <w:rsid w:val="2D8402FC"/>
    <w:rsid w:val="2D88024C"/>
    <w:rsid w:val="2D935488"/>
    <w:rsid w:val="2D960FB5"/>
    <w:rsid w:val="2D9B4423"/>
    <w:rsid w:val="2DAC2EF4"/>
    <w:rsid w:val="2DAD4BCD"/>
    <w:rsid w:val="2DAD789E"/>
    <w:rsid w:val="2DB453FF"/>
    <w:rsid w:val="2DB72446"/>
    <w:rsid w:val="2DBE4237"/>
    <w:rsid w:val="2DBF1693"/>
    <w:rsid w:val="2DCA22C7"/>
    <w:rsid w:val="2DCB10F0"/>
    <w:rsid w:val="2DCB38A1"/>
    <w:rsid w:val="2DD066E9"/>
    <w:rsid w:val="2DDC0ED4"/>
    <w:rsid w:val="2DE3054F"/>
    <w:rsid w:val="2DE7186E"/>
    <w:rsid w:val="2DF036FB"/>
    <w:rsid w:val="2DF21CB3"/>
    <w:rsid w:val="2DFD78B4"/>
    <w:rsid w:val="2DFE083B"/>
    <w:rsid w:val="2E0708FF"/>
    <w:rsid w:val="2E11457C"/>
    <w:rsid w:val="2E1643B9"/>
    <w:rsid w:val="2E184C0F"/>
    <w:rsid w:val="2E187142"/>
    <w:rsid w:val="2E1F18AD"/>
    <w:rsid w:val="2E282709"/>
    <w:rsid w:val="2E285E19"/>
    <w:rsid w:val="2E28757C"/>
    <w:rsid w:val="2E2C723F"/>
    <w:rsid w:val="2E332EEF"/>
    <w:rsid w:val="2E3D0855"/>
    <w:rsid w:val="2E3F6B8A"/>
    <w:rsid w:val="2E406C31"/>
    <w:rsid w:val="2E467FE7"/>
    <w:rsid w:val="2E527715"/>
    <w:rsid w:val="2E530660"/>
    <w:rsid w:val="2E531152"/>
    <w:rsid w:val="2E5448E2"/>
    <w:rsid w:val="2E565287"/>
    <w:rsid w:val="2E5F1E47"/>
    <w:rsid w:val="2E682652"/>
    <w:rsid w:val="2E6B6D27"/>
    <w:rsid w:val="2E7A506F"/>
    <w:rsid w:val="2E7B0600"/>
    <w:rsid w:val="2E7B273D"/>
    <w:rsid w:val="2E7D30EA"/>
    <w:rsid w:val="2E8028E0"/>
    <w:rsid w:val="2E88139A"/>
    <w:rsid w:val="2E8B051E"/>
    <w:rsid w:val="2E8F062E"/>
    <w:rsid w:val="2E905D65"/>
    <w:rsid w:val="2E916275"/>
    <w:rsid w:val="2E9D560F"/>
    <w:rsid w:val="2E9F7EC1"/>
    <w:rsid w:val="2EA234E1"/>
    <w:rsid w:val="2EB17C70"/>
    <w:rsid w:val="2EB411B5"/>
    <w:rsid w:val="2EBD49E1"/>
    <w:rsid w:val="2EBF0ED1"/>
    <w:rsid w:val="2EC42186"/>
    <w:rsid w:val="2EC7495E"/>
    <w:rsid w:val="2EC776BB"/>
    <w:rsid w:val="2ECA39AD"/>
    <w:rsid w:val="2ECC0C07"/>
    <w:rsid w:val="2ED03009"/>
    <w:rsid w:val="2EED4C9D"/>
    <w:rsid w:val="2EF01DA9"/>
    <w:rsid w:val="2EF224CD"/>
    <w:rsid w:val="2EF67D61"/>
    <w:rsid w:val="2EFA2F2B"/>
    <w:rsid w:val="2F010C22"/>
    <w:rsid w:val="2F195BDC"/>
    <w:rsid w:val="2F2913A5"/>
    <w:rsid w:val="2F2E23A6"/>
    <w:rsid w:val="2F2E289C"/>
    <w:rsid w:val="2F350F19"/>
    <w:rsid w:val="2F383567"/>
    <w:rsid w:val="2F3B1918"/>
    <w:rsid w:val="2F415DC8"/>
    <w:rsid w:val="2F514AAE"/>
    <w:rsid w:val="2F531FEB"/>
    <w:rsid w:val="2F5A4EA5"/>
    <w:rsid w:val="2F5B5B3B"/>
    <w:rsid w:val="2F615468"/>
    <w:rsid w:val="2F655F0E"/>
    <w:rsid w:val="2F6B73F9"/>
    <w:rsid w:val="2F6D4FA6"/>
    <w:rsid w:val="2F6E6713"/>
    <w:rsid w:val="2F743486"/>
    <w:rsid w:val="2F756E65"/>
    <w:rsid w:val="2F77354F"/>
    <w:rsid w:val="2F7A7069"/>
    <w:rsid w:val="2F7B2789"/>
    <w:rsid w:val="2F8001B6"/>
    <w:rsid w:val="2F897AA1"/>
    <w:rsid w:val="2F8D4D67"/>
    <w:rsid w:val="2F8E2F8D"/>
    <w:rsid w:val="2F9051B8"/>
    <w:rsid w:val="2F910893"/>
    <w:rsid w:val="2F9A69D2"/>
    <w:rsid w:val="2F9A7210"/>
    <w:rsid w:val="2F9C6646"/>
    <w:rsid w:val="2F9D4AA3"/>
    <w:rsid w:val="2F9F094E"/>
    <w:rsid w:val="2FA213D6"/>
    <w:rsid w:val="2FA5152D"/>
    <w:rsid w:val="2FA96250"/>
    <w:rsid w:val="2FAA31BA"/>
    <w:rsid w:val="2FB11323"/>
    <w:rsid w:val="2FBB6A2A"/>
    <w:rsid w:val="2FC2166F"/>
    <w:rsid w:val="2FCB0952"/>
    <w:rsid w:val="2FD53529"/>
    <w:rsid w:val="2FD80709"/>
    <w:rsid w:val="2FDF2368"/>
    <w:rsid w:val="2FDF7CD4"/>
    <w:rsid w:val="2FEC08C6"/>
    <w:rsid w:val="2FF532B7"/>
    <w:rsid w:val="2FF674CB"/>
    <w:rsid w:val="2FF7251F"/>
    <w:rsid w:val="30007788"/>
    <w:rsid w:val="30093592"/>
    <w:rsid w:val="301977C7"/>
    <w:rsid w:val="301E3E25"/>
    <w:rsid w:val="30205153"/>
    <w:rsid w:val="30253FAB"/>
    <w:rsid w:val="30270D6F"/>
    <w:rsid w:val="303B3B59"/>
    <w:rsid w:val="303C0C41"/>
    <w:rsid w:val="303D6437"/>
    <w:rsid w:val="30443F81"/>
    <w:rsid w:val="304F6AE3"/>
    <w:rsid w:val="305831D6"/>
    <w:rsid w:val="3058428D"/>
    <w:rsid w:val="305A4537"/>
    <w:rsid w:val="30632880"/>
    <w:rsid w:val="3070014A"/>
    <w:rsid w:val="307B4FFA"/>
    <w:rsid w:val="308136E0"/>
    <w:rsid w:val="308719BC"/>
    <w:rsid w:val="3095375A"/>
    <w:rsid w:val="30977E19"/>
    <w:rsid w:val="309B2688"/>
    <w:rsid w:val="30A90B96"/>
    <w:rsid w:val="30A91070"/>
    <w:rsid w:val="30B26464"/>
    <w:rsid w:val="30B420CD"/>
    <w:rsid w:val="30B86332"/>
    <w:rsid w:val="30C91D87"/>
    <w:rsid w:val="30D10B78"/>
    <w:rsid w:val="30D251E3"/>
    <w:rsid w:val="30D36EB7"/>
    <w:rsid w:val="30D45137"/>
    <w:rsid w:val="30D51A41"/>
    <w:rsid w:val="30E7233C"/>
    <w:rsid w:val="30F3215C"/>
    <w:rsid w:val="30FB3BF4"/>
    <w:rsid w:val="31061593"/>
    <w:rsid w:val="31076B28"/>
    <w:rsid w:val="31076EFA"/>
    <w:rsid w:val="310866BC"/>
    <w:rsid w:val="31154DED"/>
    <w:rsid w:val="3120790D"/>
    <w:rsid w:val="31215B33"/>
    <w:rsid w:val="312A36B1"/>
    <w:rsid w:val="31337532"/>
    <w:rsid w:val="313A1C55"/>
    <w:rsid w:val="313A2CAC"/>
    <w:rsid w:val="313E6356"/>
    <w:rsid w:val="31460C29"/>
    <w:rsid w:val="314B3239"/>
    <w:rsid w:val="31596E9F"/>
    <w:rsid w:val="315B21E9"/>
    <w:rsid w:val="315B5E62"/>
    <w:rsid w:val="31604DC0"/>
    <w:rsid w:val="31607973"/>
    <w:rsid w:val="3163108E"/>
    <w:rsid w:val="3167538F"/>
    <w:rsid w:val="316A2AFE"/>
    <w:rsid w:val="317544CD"/>
    <w:rsid w:val="31765162"/>
    <w:rsid w:val="317A487D"/>
    <w:rsid w:val="317D76C8"/>
    <w:rsid w:val="31833BCE"/>
    <w:rsid w:val="318A1515"/>
    <w:rsid w:val="31944F6F"/>
    <w:rsid w:val="31963456"/>
    <w:rsid w:val="31A47F00"/>
    <w:rsid w:val="31A51052"/>
    <w:rsid w:val="31A77BCC"/>
    <w:rsid w:val="31A84B64"/>
    <w:rsid w:val="31B12D3C"/>
    <w:rsid w:val="31B2653B"/>
    <w:rsid w:val="31B266EC"/>
    <w:rsid w:val="31B45163"/>
    <w:rsid w:val="31B4700F"/>
    <w:rsid w:val="31B81D35"/>
    <w:rsid w:val="31C3729F"/>
    <w:rsid w:val="31CB617D"/>
    <w:rsid w:val="31CC0ECB"/>
    <w:rsid w:val="31DD2EC1"/>
    <w:rsid w:val="31DF1DB8"/>
    <w:rsid w:val="31E56082"/>
    <w:rsid w:val="31F020DC"/>
    <w:rsid w:val="31F072F8"/>
    <w:rsid w:val="31FE06B9"/>
    <w:rsid w:val="32007322"/>
    <w:rsid w:val="32061C7F"/>
    <w:rsid w:val="320A52D8"/>
    <w:rsid w:val="320D2005"/>
    <w:rsid w:val="32136025"/>
    <w:rsid w:val="32220D79"/>
    <w:rsid w:val="32252577"/>
    <w:rsid w:val="3228412F"/>
    <w:rsid w:val="32294648"/>
    <w:rsid w:val="322F0831"/>
    <w:rsid w:val="3238009F"/>
    <w:rsid w:val="323F5519"/>
    <w:rsid w:val="32442E52"/>
    <w:rsid w:val="32471CC6"/>
    <w:rsid w:val="324F0134"/>
    <w:rsid w:val="32540593"/>
    <w:rsid w:val="32575B7F"/>
    <w:rsid w:val="32582CC3"/>
    <w:rsid w:val="3269055E"/>
    <w:rsid w:val="326F43FE"/>
    <w:rsid w:val="327179A4"/>
    <w:rsid w:val="32775626"/>
    <w:rsid w:val="3281262C"/>
    <w:rsid w:val="32835AB1"/>
    <w:rsid w:val="328A3A5F"/>
    <w:rsid w:val="328D7371"/>
    <w:rsid w:val="328E2231"/>
    <w:rsid w:val="329326B7"/>
    <w:rsid w:val="329426A2"/>
    <w:rsid w:val="329708DE"/>
    <w:rsid w:val="32AD1211"/>
    <w:rsid w:val="32BE0045"/>
    <w:rsid w:val="32E12F9A"/>
    <w:rsid w:val="32E87F66"/>
    <w:rsid w:val="32E97C5E"/>
    <w:rsid w:val="32EC46FB"/>
    <w:rsid w:val="32F64CAC"/>
    <w:rsid w:val="32FF12B8"/>
    <w:rsid w:val="33000B4D"/>
    <w:rsid w:val="330073AA"/>
    <w:rsid w:val="33020BF1"/>
    <w:rsid w:val="330710D7"/>
    <w:rsid w:val="331264BB"/>
    <w:rsid w:val="331A102D"/>
    <w:rsid w:val="331E3887"/>
    <w:rsid w:val="33224534"/>
    <w:rsid w:val="332742E9"/>
    <w:rsid w:val="332850C4"/>
    <w:rsid w:val="332A1AC1"/>
    <w:rsid w:val="332C71E1"/>
    <w:rsid w:val="332E1BC2"/>
    <w:rsid w:val="332E224E"/>
    <w:rsid w:val="332F3B66"/>
    <w:rsid w:val="333B116B"/>
    <w:rsid w:val="333E2024"/>
    <w:rsid w:val="33427ABB"/>
    <w:rsid w:val="33501AF9"/>
    <w:rsid w:val="33616D4E"/>
    <w:rsid w:val="338134D4"/>
    <w:rsid w:val="33821BAB"/>
    <w:rsid w:val="338378EA"/>
    <w:rsid w:val="33885755"/>
    <w:rsid w:val="339E18BC"/>
    <w:rsid w:val="33A57822"/>
    <w:rsid w:val="33A77C3C"/>
    <w:rsid w:val="33AA7345"/>
    <w:rsid w:val="33B37087"/>
    <w:rsid w:val="33BA7C82"/>
    <w:rsid w:val="33BC4D91"/>
    <w:rsid w:val="33BF4D9D"/>
    <w:rsid w:val="33C233CD"/>
    <w:rsid w:val="33C35B22"/>
    <w:rsid w:val="33C504FF"/>
    <w:rsid w:val="33C968FA"/>
    <w:rsid w:val="33D23DF5"/>
    <w:rsid w:val="33D246C3"/>
    <w:rsid w:val="33DF11C8"/>
    <w:rsid w:val="33E442C9"/>
    <w:rsid w:val="33E61B12"/>
    <w:rsid w:val="33EF44FC"/>
    <w:rsid w:val="33F751C3"/>
    <w:rsid w:val="33FB4B21"/>
    <w:rsid w:val="33FE7E15"/>
    <w:rsid w:val="33FF1154"/>
    <w:rsid w:val="340074AF"/>
    <w:rsid w:val="340948E1"/>
    <w:rsid w:val="340D3904"/>
    <w:rsid w:val="340F116F"/>
    <w:rsid w:val="341212B1"/>
    <w:rsid w:val="341321BE"/>
    <w:rsid w:val="34155C01"/>
    <w:rsid w:val="34293255"/>
    <w:rsid w:val="34314E1D"/>
    <w:rsid w:val="34315823"/>
    <w:rsid w:val="34346CEE"/>
    <w:rsid w:val="34374868"/>
    <w:rsid w:val="34376C25"/>
    <w:rsid w:val="343D2D4C"/>
    <w:rsid w:val="34417702"/>
    <w:rsid w:val="34417EB0"/>
    <w:rsid w:val="3446518F"/>
    <w:rsid w:val="344A296C"/>
    <w:rsid w:val="344C25CD"/>
    <w:rsid w:val="344E045C"/>
    <w:rsid w:val="344F610D"/>
    <w:rsid w:val="34512060"/>
    <w:rsid w:val="345232B0"/>
    <w:rsid w:val="345A0779"/>
    <w:rsid w:val="345B15DB"/>
    <w:rsid w:val="346B1ADA"/>
    <w:rsid w:val="346C4A94"/>
    <w:rsid w:val="346E7A5A"/>
    <w:rsid w:val="3477244E"/>
    <w:rsid w:val="34782617"/>
    <w:rsid w:val="347946FA"/>
    <w:rsid w:val="347A6171"/>
    <w:rsid w:val="348146D7"/>
    <w:rsid w:val="348440EB"/>
    <w:rsid w:val="348D33D3"/>
    <w:rsid w:val="3496737A"/>
    <w:rsid w:val="349C03F2"/>
    <w:rsid w:val="34A152D5"/>
    <w:rsid w:val="34A238C5"/>
    <w:rsid w:val="34AC0653"/>
    <w:rsid w:val="34AC2DE9"/>
    <w:rsid w:val="34B24855"/>
    <w:rsid w:val="34B3070C"/>
    <w:rsid w:val="34B55560"/>
    <w:rsid w:val="34B84D9B"/>
    <w:rsid w:val="34BE7103"/>
    <w:rsid w:val="34C82B00"/>
    <w:rsid w:val="34C9343D"/>
    <w:rsid w:val="34CC0600"/>
    <w:rsid w:val="34CE3369"/>
    <w:rsid w:val="34DC1C67"/>
    <w:rsid w:val="34E416EC"/>
    <w:rsid w:val="34E47162"/>
    <w:rsid w:val="34E664D6"/>
    <w:rsid w:val="34F64CDD"/>
    <w:rsid w:val="34FF095B"/>
    <w:rsid w:val="3500311A"/>
    <w:rsid w:val="350B76BF"/>
    <w:rsid w:val="350C5C16"/>
    <w:rsid w:val="351710F0"/>
    <w:rsid w:val="351F4B47"/>
    <w:rsid w:val="352B4097"/>
    <w:rsid w:val="352E435E"/>
    <w:rsid w:val="3534069E"/>
    <w:rsid w:val="353807E2"/>
    <w:rsid w:val="353D45FA"/>
    <w:rsid w:val="353F0E06"/>
    <w:rsid w:val="35422CF2"/>
    <w:rsid w:val="354933C6"/>
    <w:rsid w:val="35505013"/>
    <w:rsid w:val="35522298"/>
    <w:rsid w:val="35531CAD"/>
    <w:rsid w:val="3559121F"/>
    <w:rsid w:val="355A18A2"/>
    <w:rsid w:val="35652ACF"/>
    <w:rsid w:val="356D51F7"/>
    <w:rsid w:val="35735BCB"/>
    <w:rsid w:val="357972DF"/>
    <w:rsid w:val="357D79D3"/>
    <w:rsid w:val="35804F9D"/>
    <w:rsid w:val="35843B49"/>
    <w:rsid w:val="35884385"/>
    <w:rsid w:val="35890016"/>
    <w:rsid w:val="358B0F26"/>
    <w:rsid w:val="35924A15"/>
    <w:rsid w:val="359753B1"/>
    <w:rsid w:val="35991DF7"/>
    <w:rsid w:val="35A251D2"/>
    <w:rsid w:val="35A25468"/>
    <w:rsid w:val="35A82DEE"/>
    <w:rsid w:val="35AC56FE"/>
    <w:rsid w:val="35C3354B"/>
    <w:rsid w:val="35C635D8"/>
    <w:rsid w:val="35C8705E"/>
    <w:rsid w:val="35CB283C"/>
    <w:rsid w:val="35D02A2E"/>
    <w:rsid w:val="35D16387"/>
    <w:rsid w:val="35DF2011"/>
    <w:rsid w:val="35E1012B"/>
    <w:rsid w:val="35E1505C"/>
    <w:rsid w:val="35E328B8"/>
    <w:rsid w:val="35E3701E"/>
    <w:rsid w:val="35E420DE"/>
    <w:rsid w:val="35E607CD"/>
    <w:rsid w:val="35EB34A9"/>
    <w:rsid w:val="35EC6F4A"/>
    <w:rsid w:val="35EE6A38"/>
    <w:rsid w:val="35F5734F"/>
    <w:rsid w:val="35F65884"/>
    <w:rsid w:val="35F715DC"/>
    <w:rsid w:val="36023BFE"/>
    <w:rsid w:val="36057267"/>
    <w:rsid w:val="360632C2"/>
    <w:rsid w:val="362131A7"/>
    <w:rsid w:val="362E1546"/>
    <w:rsid w:val="36330CA5"/>
    <w:rsid w:val="363828C2"/>
    <w:rsid w:val="363F061B"/>
    <w:rsid w:val="364236D7"/>
    <w:rsid w:val="3645509F"/>
    <w:rsid w:val="3654563C"/>
    <w:rsid w:val="365763B3"/>
    <w:rsid w:val="366F70DE"/>
    <w:rsid w:val="367C0A7E"/>
    <w:rsid w:val="367E5840"/>
    <w:rsid w:val="36856B5A"/>
    <w:rsid w:val="36883C27"/>
    <w:rsid w:val="36950061"/>
    <w:rsid w:val="36A32443"/>
    <w:rsid w:val="36A61ADA"/>
    <w:rsid w:val="36AC504E"/>
    <w:rsid w:val="36AE7AB6"/>
    <w:rsid w:val="36B45F51"/>
    <w:rsid w:val="36B7013F"/>
    <w:rsid w:val="36D37FB9"/>
    <w:rsid w:val="36D40D9D"/>
    <w:rsid w:val="36D71D0D"/>
    <w:rsid w:val="36DC4984"/>
    <w:rsid w:val="36E17BD4"/>
    <w:rsid w:val="36E30071"/>
    <w:rsid w:val="36E31151"/>
    <w:rsid w:val="36E61D1E"/>
    <w:rsid w:val="36EF4947"/>
    <w:rsid w:val="36F76FAD"/>
    <w:rsid w:val="37060D5C"/>
    <w:rsid w:val="370F6D7D"/>
    <w:rsid w:val="3711176D"/>
    <w:rsid w:val="37113E21"/>
    <w:rsid w:val="37137BA3"/>
    <w:rsid w:val="3715441F"/>
    <w:rsid w:val="37244D17"/>
    <w:rsid w:val="373F483B"/>
    <w:rsid w:val="37451D56"/>
    <w:rsid w:val="374A1080"/>
    <w:rsid w:val="375C645A"/>
    <w:rsid w:val="37633810"/>
    <w:rsid w:val="376A27F4"/>
    <w:rsid w:val="37737FCD"/>
    <w:rsid w:val="377E4EC2"/>
    <w:rsid w:val="37831AFE"/>
    <w:rsid w:val="37855CA5"/>
    <w:rsid w:val="379747E4"/>
    <w:rsid w:val="37A10A3C"/>
    <w:rsid w:val="37A32862"/>
    <w:rsid w:val="37A771F1"/>
    <w:rsid w:val="37A83EE9"/>
    <w:rsid w:val="37AA1FED"/>
    <w:rsid w:val="37B033F0"/>
    <w:rsid w:val="37B25951"/>
    <w:rsid w:val="37B82D37"/>
    <w:rsid w:val="37BB1880"/>
    <w:rsid w:val="37BF7DD8"/>
    <w:rsid w:val="37CA6F5D"/>
    <w:rsid w:val="37CF39F4"/>
    <w:rsid w:val="37DE142C"/>
    <w:rsid w:val="37DF4E44"/>
    <w:rsid w:val="38074D9E"/>
    <w:rsid w:val="38093CF4"/>
    <w:rsid w:val="38132FDB"/>
    <w:rsid w:val="381523AC"/>
    <w:rsid w:val="3816611D"/>
    <w:rsid w:val="381A7833"/>
    <w:rsid w:val="381D6FCC"/>
    <w:rsid w:val="382276D7"/>
    <w:rsid w:val="38255502"/>
    <w:rsid w:val="382563C3"/>
    <w:rsid w:val="382B10C6"/>
    <w:rsid w:val="383D4592"/>
    <w:rsid w:val="384502C9"/>
    <w:rsid w:val="384757BF"/>
    <w:rsid w:val="38493B62"/>
    <w:rsid w:val="384A568A"/>
    <w:rsid w:val="384C2E85"/>
    <w:rsid w:val="384D7A6B"/>
    <w:rsid w:val="38527F5E"/>
    <w:rsid w:val="38576EB1"/>
    <w:rsid w:val="385B78DA"/>
    <w:rsid w:val="385E7289"/>
    <w:rsid w:val="386B3647"/>
    <w:rsid w:val="386E60E1"/>
    <w:rsid w:val="386F64C6"/>
    <w:rsid w:val="38724636"/>
    <w:rsid w:val="38755246"/>
    <w:rsid w:val="38850F2D"/>
    <w:rsid w:val="388A7003"/>
    <w:rsid w:val="388F47CD"/>
    <w:rsid w:val="3891497A"/>
    <w:rsid w:val="38921D1F"/>
    <w:rsid w:val="38934709"/>
    <w:rsid w:val="3899545E"/>
    <w:rsid w:val="389B63CB"/>
    <w:rsid w:val="389D36E7"/>
    <w:rsid w:val="38A039DA"/>
    <w:rsid w:val="38AD0AAC"/>
    <w:rsid w:val="38AF121A"/>
    <w:rsid w:val="38B10DA8"/>
    <w:rsid w:val="38B94B51"/>
    <w:rsid w:val="38B976FB"/>
    <w:rsid w:val="38BB5EDA"/>
    <w:rsid w:val="38C6779A"/>
    <w:rsid w:val="38D26097"/>
    <w:rsid w:val="38DC2A26"/>
    <w:rsid w:val="38DC5040"/>
    <w:rsid w:val="38EA0958"/>
    <w:rsid w:val="38EA292A"/>
    <w:rsid w:val="38EB3140"/>
    <w:rsid w:val="38F71493"/>
    <w:rsid w:val="38FC7F68"/>
    <w:rsid w:val="390150BD"/>
    <w:rsid w:val="39015BC8"/>
    <w:rsid w:val="39024400"/>
    <w:rsid w:val="390A29CF"/>
    <w:rsid w:val="390D7AA7"/>
    <w:rsid w:val="3910183F"/>
    <w:rsid w:val="39132EBE"/>
    <w:rsid w:val="39183836"/>
    <w:rsid w:val="39192D79"/>
    <w:rsid w:val="3923223F"/>
    <w:rsid w:val="39271D8A"/>
    <w:rsid w:val="392C3404"/>
    <w:rsid w:val="393D3E8F"/>
    <w:rsid w:val="393F3649"/>
    <w:rsid w:val="39434B25"/>
    <w:rsid w:val="39442CC4"/>
    <w:rsid w:val="39473C95"/>
    <w:rsid w:val="394A3B36"/>
    <w:rsid w:val="394C053B"/>
    <w:rsid w:val="394E0439"/>
    <w:rsid w:val="39532D05"/>
    <w:rsid w:val="395A1855"/>
    <w:rsid w:val="395E1405"/>
    <w:rsid w:val="3962425A"/>
    <w:rsid w:val="396E504E"/>
    <w:rsid w:val="396F7993"/>
    <w:rsid w:val="39734F7F"/>
    <w:rsid w:val="39741673"/>
    <w:rsid w:val="39764ECC"/>
    <w:rsid w:val="397F2866"/>
    <w:rsid w:val="39830655"/>
    <w:rsid w:val="39850A26"/>
    <w:rsid w:val="39875D3B"/>
    <w:rsid w:val="39893783"/>
    <w:rsid w:val="399108C7"/>
    <w:rsid w:val="399B6654"/>
    <w:rsid w:val="399C23C2"/>
    <w:rsid w:val="399E7C65"/>
    <w:rsid w:val="39A118CD"/>
    <w:rsid w:val="39A337DD"/>
    <w:rsid w:val="39B0295E"/>
    <w:rsid w:val="39B1002C"/>
    <w:rsid w:val="39B75345"/>
    <w:rsid w:val="39BA1CF7"/>
    <w:rsid w:val="39BA2065"/>
    <w:rsid w:val="39C83126"/>
    <w:rsid w:val="39CD4753"/>
    <w:rsid w:val="39D037AF"/>
    <w:rsid w:val="39D466BD"/>
    <w:rsid w:val="39D7158B"/>
    <w:rsid w:val="39D9675C"/>
    <w:rsid w:val="39DC1B39"/>
    <w:rsid w:val="39DE503F"/>
    <w:rsid w:val="39E03897"/>
    <w:rsid w:val="39E125BA"/>
    <w:rsid w:val="39EE1B0B"/>
    <w:rsid w:val="39F17FFD"/>
    <w:rsid w:val="39F24322"/>
    <w:rsid w:val="39FA1859"/>
    <w:rsid w:val="39FE1307"/>
    <w:rsid w:val="3A03384A"/>
    <w:rsid w:val="3A066160"/>
    <w:rsid w:val="3A083121"/>
    <w:rsid w:val="3A0D48B1"/>
    <w:rsid w:val="3A1810FA"/>
    <w:rsid w:val="3A1C5E08"/>
    <w:rsid w:val="3A2441B7"/>
    <w:rsid w:val="3A274488"/>
    <w:rsid w:val="3A28048B"/>
    <w:rsid w:val="3A336331"/>
    <w:rsid w:val="3A425B7A"/>
    <w:rsid w:val="3A431472"/>
    <w:rsid w:val="3A474B1C"/>
    <w:rsid w:val="3A5207B4"/>
    <w:rsid w:val="3A541BF5"/>
    <w:rsid w:val="3A553D9F"/>
    <w:rsid w:val="3A597477"/>
    <w:rsid w:val="3A5A285A"/>
    <w:rsid w:val="3A5E32B9"/>
    <w:rsid w:val="3A646A00"/>
    <w:rsid w:val="3A697F71"/>
    <w:rsid w:val="3A6A4AC7"/>
    <w:rsid w:val="3A6E26C3"/>
    <w:rsid w:val="3A6F0BDF"/>
    <w:rsid w:val="3A72622B"/>
    <w:rsid w:val="3A75769F"/>
    <w:rsid w:val="3A7A025B"/>
    <w:rsid w:val="3A7E2244"/>
    <w:rsid w:val="3A861E9F"/>
    <w:rsid w:val="3A897BA1"/>
    <w:rsid w:val="3A9038DA"/>
    <w:rsid w:val="3A922233"/>
    <w:rsid w:val="3A936647"/>
    <w:rsid w:val="3A9E4B32"/>
    <w:rsid w:val="3A9F1B2C"/>
    <w:rsid w:val="3AA00BCD"/>
    <w:rsid w:val="3AA04C49"/>
    <w:rsid w:val="3AA54470"/>
    <w:rsid w:val="3AA913CF"/>
    <w:rsid w:val="3AB86069"/>
    <w:rsid w:val="3AC036CC"/>
    <w:rsid w:val="3AC205A6"/>
    <w:rsid w:val="3AC257A4"/>
    <w:rsid w:val="3AC334CD"/>
    <w:rsid w:val="3ACF5E01"/>
    <w:rsid w:val="3AD16134"/>
    <w:rsid w:val="3AD17EBD"/>
    <w:rsid w:val="3ADB2291"/>
    <w:rsid w:val="3ADD199D"/>
    <w:rsid w:val="3ADE382E"/>
    <w:rsid w:val="3AEA3CFC"/>
    <w:rsid w:val="3AF044A5"/>
    <w:rsid w:val="3AF153E6"/>
    <w:rsid w:val="3AFC4CC9"/>
    <w:rsid w:val="3B00301D"/>
    <w:rsid w:val="3B031629"/>
    <w:rsid w:val="3B1752EE"/>
    <w:rsid w:val="3B1C35AC"/>
    <w:rsid w:val="3B1F0CAE"/>
    <w:rsid w:val="3B22468C"/>
    <w:rsid w:val="3B292A67"/>
    <w:rsid w:val="3B3155AA"/>
    <w:rsid w:val="3B3E0B10"/>
    <w:rsid w:val="3B4F1508"/>
    <w:rsid w:val="3B580D61"/>
    <w:rsid w:val="3B58455D"/>
    <w:rsid w:val="3B5908EC"/>
    <w:rsid w:val="3B64699C"/>
    <w:rsid w:val="3B696BF9"/>
    <w:rsid w:val="3B6F0DCA"/>
    <w:rsid w:val="3B754E06"/>
    <w:rsid w:val="3B7B2B0A"/>
    <w:rsid w:val="3B7C7B97"/>
    <w:rsid w:val="3B8372AE"/>
    <w:rsid w:val="3B914065"/>
    <w:rsid w:val="3B9F483C"/>
    <w:rsid w:val="3BB249F7"/>
    <w:rsid w:val="3BBE3122"/>
    <w:rsid w:val="3BC20515"/>
    <w:rsid w:val="3BC53C74"/>
    <w:rsid w:val="3BC60370"/>
    <w:rsid w:val="3BC62C0D"/>
    <w:rsid w:val="3BC772AB"/>
    <w:rsid w:val="3BC812C8"/>
    <w:rsid w:val="3BD741DE"/>
    <w:rsid w:val="3BE7491F"/>
    <w:rsid w:val="3BE82033"/>
    <w:rsid w:val="3BEA0B7F"/>
    <w:rsid w:val="3BEF3F98"/>
    <w:rsid w:val="3BF01125"/>
    <w:rsid w:val="3BF1165C"/>
    <w:rsid w:val="3BF82655"/>
    <w:rsid w:val="3BF90B59"/>
    <w:rsid w:val="3C035D20"/>
    <w:rsid w:val="3C0C1C74"/>
    <w:rsid w:val="3C12184A"/>
    <w:rsid w:val="3C165216"/>
    <w:rsid w:val="3C20030B"/>
    <w:rsid w:val="3C220A63"/>
    <w:rsid w:val="3C257E8D"/>
    <w:rsid w:val="3C286FD8"/>
    <w:rsid w:val="3C2D0C4A"/>
    <w:rsid w:val="3C326DEB"/>
    <w:rsid w:val="3C393537"/>
    <w:rsid w:val="3C3C1378"/>
    <w:rsid w:val="3C497D33"/>
    <w:rsid w:val="3C5A342C"/>
    <w:rsid w:val="3C5C0867"/>
    <w:rsid w:val="3C5E33A6"/>
    <w:rsid w:val="3C656EED"/>
    <w:rsid w:val="3C685003"/>
    <w:rsid w:val="3C6D452D"/>
    <w:rsid w:val="3C6E7843"/>
    <w:rsid w:val="3C727A71"/>
    <w:rsid w:val="3C732FE2"/>
    <w:rsid w:val="3C786DE5"/>
    <w:rsid w:val="3C7A20C3"/>
    <w:rsid w:val="3C7A3669"/>
    <w:rsid w:val="3C7D3E58"/>
    <w:rsid w:val="3C882BD0"/>
    <w:rsid w:val="3C94545E"/>
    <w:rsid w:val="3C975DCC"/>
    <w:rsid w:val="3C9912FB"/>
    <w:rsid w:val="3CAE0651"/>
    <w:rsid w:val="3CBC2D9B"/>
    <w:rsid w:val="3CC5588D"/>
    <w:rsid w:val="3CCD1D16"/>
    <w:rsid w:val="3CD83C07"/>
    <w:rsid w:val="3CD85D57"/>
    <w:rsid w:val="3CD87AA0"/>
    <w:rsid w:val="3CDA5112"/>
    <w:rsid w:val="3CDB62C1"/>
    <w:rsid w:val="3CE13BDF"/>
    <w:rsid w:val="3CE26359"/>
    <w:rsid w:val="3CE70364"/>
    <w:rsid w:val="3CE83CD2"/>
    <w:rsid w:val="3CFD4D35"/>
    <w:rsid w:val="3D064D69"/>
    <w:rsid w:val="3D0E3667"/>
    <w:rsid w:val="3D0E399D"/>
    <w:rsid w:val="3D123F8D"/>
    <w:rsid w:val="3D12721E"/>
    <w:rsid w:val="3D1B45BC"/>
    <w:rsid w:val="3D27093B"/>
    <w:rsid w:val="3D351ADA"/>
    <w:rsid w:val="3D3D6CB6"/>
    <w:rsid w:val="3D444248"/>
    <w:rsid w:val="3D4B2FA5"/>
    <w:rsid w:val="3D4C7BDB"/>
    <w:rsid w:val="3D527DA5"/>
    <w:rsid w:val="3D546058"/>
    <w:rsid w:val="3D5461A9"/>
    <w:rsid w:val="3D58650A"/>
    <w:rsid w:val="3D590765"/>
    <w:rsid w:val="3D5A6060"/>
    <w:rsid w:val="3D640E16"/>
    <w:rsid w:val="3D67132F"/>
    <w:rsid w:val="3D76421C"/>
    <w:rsid w:val="3D7B0D27"/>
    <w:rsid w:val="3D7E27A0"/>
    <w:rsid w:val="3D874F51"/>
    <w:rsid w:val="3D896CEB"/>
    <w:rsid w:val="3D9A2D6C"/>
    <w:rsid w:val="3D9D0681"/>
    <w:rsid w:val="3DA2325F"/>
    <w:rsid w:val="3DAF1596"/>
    <w:rsid w:val="3DB52668"/>
    <w:rsid w:val="3DB63F51"/>
    <w:rsid w:val="3DC60A0C"/>
    <w:rsid w:val="3DD3077A"/>
    <w:rsid w:val="3DDF7A0D"/>
    <w:rsid w:val="3DF176B5"/>
    <w:rsid w:val="3DFD4BBE"/>
    <w:rsid w:val="3E00097B"/>
    <w:rsid w:val="3E011326"/>
    <w:rsid w:val="3E024B7B"/>
    <w:rsid w:val="3E104548"/>
    <w:rsid w:val="3E19435F"/>
    <w:rsid w:val="3E1B47C8"/>
    <w:rsid w:val="3E20393D"/>
    <w:rsid w:val="3E205773"/>
    <w:rsid w:val="3E264105"/>
    <w:rsid w:val="3E264903"/>
    <w:rsid w:val="3E2806A1"/>
    <w:rsid w:val="3E286D72"/>
    <w:rsid w:val="3E2E35CB"/>
    <w:rsid w:val="3E2F087F"/>
    <w:rsid w:val="3E31025E"/>
    <w:rsid w:val="3E342DA3"/>
    <w:rsid w:val="3E471ABE"/>
    <w:rsid w:val="3E4755F9"/>
    <w:rsid w:val="3E492A39"/>
    <w:rsid w:val="3E4B1409"/>
    <w:rsid w:val="3E556354"/>
    <w:rsid w:val="3E6336EF"/>
    <w:rsid w:val="3E660D1B"/>
    <w:rsid w:val="3E6E2E9E"/>
    <w:rsid w:val="3E8222F7"/>
    <w:rsid w:val="3E8258B1"/>
    <w:rsid w:val="3E8821CE"/>
    <w:rsid w:val="3E92738B"/>
    <w:rsid w:val="3E944E87"/>
    <w:rsid w:val="3E99456A"/>
    <w:rsid w:val="3EA0570F"/>
    <w:rsid w:val="3EA2409C"/>
    <w:rsid w:val="3EA758E3"/>
    <w:rsid w:val="3EAD3D57"/>
    <w:rsid w:val="3EAF02B7"/>
    <w:rsid w:val="3EB1188E"/>
    <w:rsid w:val="3EB428B4"/>
    <w:rsid w:val="3EBD63D7"/>
    <w:rsid w:val="3EC07733"/>
    <w:rsid w:val="3EC172CA"/>
    <w:rsid w:val="3EC334A7"/>
    <w:rsid w:val="3EC678BC"/>
    <w:rsid w:val="3ECC70B0"/>
    <w:rsid w:val="3ED01824"/>
    <w:rsid w:val="3EE067CA"/>
    <w:rsid w:val="3EE919E0"/>
    <w:rsid w:val="3EEF26AB"/>
    <w:rsid w:val="3EF21C38"/>
    <w:rsid w:val="3EF57D05"/>
    <w:rsid w:val="3EF96B38"/>
    <w:rsid w:val="3F002CCF"/>
    <w:rsid w:val="3F012022"/>
    <w:rsid w:val="3F0566FF"/>
    <w:rsid w:val="3F0605BE"/>
    <w:rsid w:val="3F06365D"/>
    <w:rsid w:val="3F0A3CA5"/>
    <w:rsid w:val="3F0B1DB8"/>
    <w:rsid w:val="3F0C44E7"/>
    <w:rsid w:val="3F0E6EA3"/>
    <w:rsid w:val="3F122278"/>
    <w:rsid w:val="3F155D82"/>
    <w:rsid w:val="3F1B7922"/>
    <w:rsid w:val="3F261DEC"/>
    <w:rsid w:val="3F305E06"/>
    <w:rsid w:val="3F3737F8"/>
    <w:rsid w:val="3F453E8A"/>
    <w:rsid w:val="3F47737F"/>
    <w:rsid w:val="3F523976"/>
    <w:rsid w:val="3F52626A"/>
    <w:rsid w:val="3F5322DF"/>
    <w:rsid w:val="3F556A35"/>
    <w:rsid w:val="3F5867B3"/>
    <w:rsid w:val="3F595294"/>
    <w:rsid w:val="3F5A301C"/>
    <w:rsid w:val="3F637202"/>
    <w:rsid w:val="3F65418C"/>
    <w:rsid w:val="3F664F14"/>
    <w:rsid w:val="3F6763B0"/>
    <w:rsid w:val="3F6D1D36"/>
    <w:rsid w:val="3F6D2017"/>
    <w:rsid w:val="3F7339EB"/>
    <w:rsid w:val="3F770167"/>
    <w:rsid w:val="3F7D65D1"/>
    <w:rsid w:val="3F8157CB"/>
    <w:rsid w:val="3F836296"/>
    <w:rsid w:val="3F9526FD"/>
    <w:rsid w:val="3F960218"/>
    <w:rsid w:val="3F9956BA"/>
    <w:rsid w:val="3F9B508E"/>
    <w:rsid w:val="3FA01128"/>
    <w:rsid w:val="3FA10F73"/>
    <w:rsid w:val="3FA51002"/>
    <w:rsid w:val="3FA5548C"/>
    <w:rsid w:val="3FAE5C18"/>
    <w:rsid w:val="3FB1448E"/>
    <w:rsid w:val="3FB33F0F"/>
    <w:rsid w:val="3FB56B87"/>
    <w:rsid w:val="3FB827B0"/>
    <w:rsid w:val="3FB9798A"/>
    <w:rsid w:val="3FBB4D64"/>
    <w:rsid w:val="3FBC4DF5"/>
    <w:rsid w:val="3FBE226E"/>
    <w:rsid w:val="3FC74EA5"/>
    <w:rsid w:val="3FC80A13"/>
    <w:rsid w:val="3FC924C5"/>
    <w:rsid w:val="3FD001E0"/>
    <w:rsid w:val="3FD35125"/>
    <w:rsid w:val="3FD436D8"/>
    <w:rsid w:val="3FDD5AA3"/>
    <w:rsid w:val="3FDD60EB"/>
    <w:rsid w:val="3FE1611D"/>
    <w:rsid w:val="3FE9762E"/>
    <w:rsid w:val="3FEB7EF7"/>
    <w:rsid w:val="3FF0534A"/>
    <w:rsid w:val="3FF07D9D"/>
    <w:rsid w:val="3FFC6AA1"/>
    <w:rsid w:val="3FFE725C"/>
    <w:rsid w:val="400D4689"/>
    <w:rsid w:val="40171E63"/>
    <w:rsid w:val="401B305E"/>
    <w:rsid w:val="401C023A"/>
    <w:rsid w:val="401E624D"/>
    <w:rsid w:val="403C6E09"/>
    <w:rsid w:val="403E0A98"/>
    <w:rsid w:val="4040700B"/>
    <w:rsid w:val="4049653A"/>
    <w:rsid w:val="40505926"/>
    <w:rsid w:val="405074F9"/>
    <w:rsid w:val="40592E1A"/>
    <w:rsid w:val="40742B10"/>
    <w:rsid w:val="40807B7F"/>
    <w:rsid w:val="40851F94"/>
    <w:rsid w:val="40860806"/>
    <w:rsid w:val="408727EE"/>
    <w:rsid w:val="40881B05"/>
    <w:rsid w:val="408B015C"/>
    <w:rsid w:val="408D2092"/>
    <w:rsid w:val="40987E91"/>
    <w:rsid w:val="40A456BD"/>
    <w:rsid w:val="40AE535D"/>
    <w:rsid w:val="40B323C5"/>
    <w:rsid w:val="40B40F93"/>
    <w:rsid w:val="40B4759E"/>
    <w:rsid w:val="40B77C21"/>
    <w:rsid w:val="40BB1B3B"/>
    <w:rsid w:val="40BE2CAE"/>
    <w:rsid w:val="40C87F0D"/>
    <w:rsid w:val="40CE6434"/>
    <w:rsid w:val="40E13187"/>
    <w:rsid w:val="40E4111E"/>
    <w:rsid w:val="40F110C9"/>
    <w:rsid w:val="40F71EFC"/>
    <w:rsid w:val="40FA7D3C"/>
    <w:rsid w:val="40FC6040"/>
    <w:rsid w:val="41013098"/>
    <w:rsid w:val="41046C1A"/>
    <w:rsid w:val="410A66D3"/>
    <w:rsid w:val="411252F5"/>
    <w:rsid w:val="41173D23"/>
    <w:rsid w:val="41216561"/>
    <w:rsid w:val="4126157E"/>
    <w:rsid w:val="412E1703"/>
    <w:rsid w:val="41341D04"/>
    <w:rsid w:val="413D1085"/>
    <w:rsid w:val="41463814"/>
    <w:rsid w:val="414934AE"/>
    <w:rsid w:val="414E4666"/>
    <w:rsid w:val="415840E7"/>
    <w:rsid w:val="415C6645"/>
    <w:rsid w:val="415D4AA5"/>
    <w:rsid w:val="415E3F30"/>
    <w:rsid w:val="41634269"/>
    <w:rsid w:val="416D1041"/>
    <w:rsid w:val="416F185F"/>
    <w:rsid w:val="41755F8B"/>
    <w:rsid w:val="417E6FB2"/>
    <w:rsid w:val="41804E56"/>
    <w:rsid w:val="418B61F9"/>
    <w:rsid w:val="418C5064"/>
    <w:rsid w:val="41901D5A"/>
    <w:rsid w:val="41A26E55"/>
    <w:rsid w:val="41A7534C"/>
    <w:rsid w:val="41AE168E"/>
    <w:rsid w:val="41B000EA"/>
    <w:rsid w:val="41B625DB"/>
    <w:rsid w:val="41B75B9A"/>
    <w:rsid w:val="41BB28C5"/>
    <w:rsid w:val="41C505B5"/>
    <w:rsid w:val="41C64DF5"/>
    <w:rsid w:val="41D7643D"/>
    <w:rsid w:val="41D80DF6"/>
    <w:rsid w:val="41F41099"/>
    <w:rsid w:val="41F4144D"/>
    <w:rsid w:val="41F425A0"/>
    <w:rsid w:val="41FD1E4D"/>
    <w:rsid w:val="42004A07"/>
    <w:rsid w:val="42036CED"/>
    <w:rsid w:val="420445BE"/>
    <w:rsid w:val="42044B55"/>
    <w:rsid w:val="4210342F"/>
    <w:rsid w:val="42106699"/>
    <w:rsid w:val="4213466A"/>
    <w:rsid w:val="421D3532"/>
    <w:rsid w:val="422747DE"/>
    <w:rsid w:val="423D7E2C"/>
    <w:rsid w:val="42405192"/>
    <w:rsid w:val="4253494B"/>
    <w:rsid w:val="42563DD4"/>
    <w:rsid w:val="425F0874"/>
    <w:rsid w:val="42605991"/>
    <w:rsid w:val="42624CEC"/>
    <w:rsid w:val="42667AD5"/>
    <w:rsid w:val="42672F11"/>
    <w:rsid w:val="426B2083"/>
    <w:rsid w:val="42745271"/>
    <w:rsid w:val="42746AFF"/>
    <w:rsid w:val="427A2426"/>
    <w:rsid w:val="428622E0"/>
    <w:rsid w:val="428740C5"/>
    <w:rsid w:val="4295023B"/>
    <w:rsid w:val="42A72E3E"/>
    <w:rsid w:val="42A9771E"/>
    <w:rsid w:val="42AB3CF1"/>
    <w:rsid w:val="42AF06BF"/>
    <w:rsid w:val="42AF0D80"/>
    <w:rsid w:val="42AF744D"/>
    <w:rsid w:val="42B57D24"/>
    <w:rsid w:val="42B97DE2"/>
    <w:rsid w:val="42BE1411"/>
    <w:rsid w:val="42BF0482"/>
    <w:rsid w:val="42C3638C"/>
    <w:rsid w:val="42C53EF7"/>
    <w:rsid w:val="42C8399F"/>
    <w:rsid w:val="42CC1C77"/>
    <w:rsid w:val="42CE7CBC"/>
    <w:rsid w:val="42E67A2D"/>
    <w:rsid w:val="42EF6EDD"/>
    <w:rsid w:val="42F63370"/>
    <w:rsid w:val="42FF7166"/>
    <w:rsid w:val="4303189E"/>
    <w:rsid w:val="43043B4B"/>
    <w:rsid w:val="430C0701"/>
    <w:rsid w:val="431D662D"/>
    <w:rsid w:val="431D7413"/>
    <w:rsid w:val="43230977"/>
    <w:rsid w:val="43260906"/>
    <w:rsid w:val="4329778C"/>
    <w:rsid w:val="432A433E"/>
    <w:rsid w:val="432F48E4"/>
    <w:rsid w:val="433451E7"/>
    <w:rsid w:val="433454E3"/>
    <w:rsid w:val="43380FA2"/>
    <w:rsid w:val="433824BE"/>
    <w:rsid w:val="433914CB"/>
    <w:rsid w:val="433B21AA"/>
    <w:rsid w:val="434030C7"/>
    <w:rsid w:val="43413F90"/>
    <w:rsid w:val="434321EE"/>
    <w:rsid w:val="434C3803"/>
    <w:rsid w:val="4357411B"/>
    <w:rsid w:val="43624524"/>
    <w:rsid w:val="436B215F"/>
    <w:rsid w:val="436E4602"/>
    <w:rsid w:val="43773B38"/>
    <w:rsid w:val="437C303F"/>
    <w:rsid w:val="437E59F4"/>
    <w:rsid w:val="437F0235"/>
    <w:rsid w:val="438108B1"/>
    <w:rsid w:val="438127FD"/>
    <w:rsid w:val="438C318F"/>
    <w:rsid w:val="438D2962"/>
    <w:rsid w:val="439125BA"/>
    <w:rsid w:val="439B6E00"/>
    <w:rsid w:val="439E21D0"/>
    <w:rsid w:val="43A136C2"/>
    <w:rsid w:val="43A47C8D"/>
    <w:rsid w:val="43A51CEB"/>
    <w:rsid w:val="43A922AD"/>
    <w:rsid w:val="43AE228C"/>
    <w:rsid w:val="43B03D9F"/>
    <w:rsid w:val="43B2322B"/>
    <w:rsid w:val="43B27B0F"/>
    <w:rsid w:val="43BD17B6"/>
    <w:rsid w:val="43BF433F"/>
    <w:rsid w:val="43C60D41"/>
    <w:rsid w:val="43C71A8C"/>
    <w:rsid w:val="43CB49D5"/>
    <w:rsid w:val="43CC296D"/>
    <w:rsid w:val="43D10BA3"/>
    <w:rsid w:val="43D51B86"/>
    <w:rsid w:val="43D5596E"/>
    <w:rsid w:val="43D946DF"/>
    <w:rsid w:val="43DD3E84"/>
    <w:rsid w:val="43E63A35"/>
    <w:rsid w:val="43EA4AD8"/>
    <w:rsid w:val="43EA731F"/>
    <w:rsid w:val="43EF4362"/>
    <w:rsid w:val="43F5608C"/>
    <w:rsid w:val="43F67648"/>
    <w:rsid w:val="43FA20D7"/>
    <w:rsid w:val="440433D0"/>
    <w:rsid w:val="44081998"/>
    <w:rsid w:val="440A1D09"/>
    <w:rsid w:val="44105FE6"/>
    <w:rsid w:val="44163757"/>
    <w:rsid w:val="442C57B9"/>
    <w:rsid w:val="442E6250"/>
    <w:rsid w:val="44304862"/>
    <w:rsid w:val="44336B29"/>
    <w:rsid w:val="44411D78"/>
    <w:rsid w:val="444255C8"/>
    <w:rsid w:val="44555450"/>
    <w:rsid w:val="44565401"/>
    <w:rsid w:val="445C184B"/>
    <w:rsid w:val="445C1F8C"/>
    <w:rsid w:val="445C2CEB"/>
    <w:rsid w:val="44623D2C"/>
    <w:rsid w:val="4469425C"/>
    <w:rsid w:val="446A38D3"/>
    <w:rsid w:val="446C5925"/>
    <w:rsid w:val="44715BA6"/>
    <w:rsid w:val="44744DE1"/>
    <w:rsid w:val="4480267E"/>
    <w:rsid w:val="44813BCD"/>
    <w:rsid w:val="44825908"/>
    <w:rsid w:val="448F333F"/>
    <w:rsid w:val="449A5595"/>
    <w:rsid w:val="44A273D7"/>
    <w:rsid w:val="44A3165A"/>
    <w:rsid w:val="44A472F3"/>
    <w:rsid w:val="44A949BB"/>
    <w:rsid w:val="44B47D28"/>
    <w:rsid w:val="44BE6AFA"/>
    <w:rsid w:val="44BE7B38"/>
    <w:rsid w:val="44C10C52"/>
    <w:rsid w:val="44C4343F"/>
    <w:rsid w:val="44CC5637"/>
    <w:rsid w:val="44CE1860"/>
    <w:rsid w:val="44D01EAB"/>
    <w:rsid w:val="44D61276"/>
    <w:rsid w:val="44D842C0"/>
    <w:rsid w:val="44F05372"/>
    <w:rsid w:val="44F550F4"/>
    <w:rsid w:val="44FB2020"/>
    <w:rsid w:val="450005C9"/>
    <w:rsid w:val="45076069"/>
    <w:rsid w:val="450E225C"/>
    <w:rsid w:val="450E5F3E"/>
    <w:rsid w:val="45156B4C"/>
    <w:rsid w:val="451C3C3F"/>
    <w:rsid w:val="45202195"/>
    <w:rsid w:val="45206477"/>
    <w:rsid w:val="45282E33"/>
    <w:rsid w:val="45361C96"/>
    <w:rsid w:val="45367180"/>
    <w:rsid w:val="453936A0"/>
    <w:rsid w:val="45404081"/>
    <w:rsid w:val="454174EC"/>
    <w:rsid w:val="454B27CA"/>
    <w:rsid w:val="4555071F"/>
    <w:rsid w:val="455B027F"/>
    <w:rsid w:val="45634F36"/>
    <w:rsid w:val="45642839"/>
    <w:rsid w:val="456433C3"/>
    <w:rsid w:val="4566286A"/>
    <w:rsid w:val="456653F0"/>
    <w:rsid w:val="456745BB"/>
    <w:rsid w:val="45677DA7"/>
    <w:rsid w:val="45736E48"/>
    <w:rsid w:val="45743F66"/>
    <w:rsid w:val="45761FD8"/>
    <w:rsid w:val="457B0C49"/>
    <w:rsid w:val="45825E81"/>
    <w:rsid w:val="45864B77"/>
    <w:rsid w:val="458A06CD"/>
    <w:rsid w:val="458D3A63"/>
    <w:rsid w:val="4597177B"/>
    <w:rsid w:val="45A85821"/>
    <w:rsid w:val="45AA0EA4"/>
    <w:rsid w:val="45AC57A6"/>
    <w:rsid w:val="45AF03CF"/>
    <w:rsid w:val="45B23BD8"/>
    <w:rsid w:val="45B31674"/>
    <w:rsid w:val="45B52BBB"/>
    <w:rsid w:val="45C3178B"/>
    <w:rsid w:val="45C56C6C"/>
    <w:rsid w:val="45C67344"/>
    <w:rsid w:val="45C81474"/>
    <w:rsid w:val="45C85D55"/>
    <w:rsid w:val="45C91BC6"/>
    <w:rsid w:val="45CD1312"/>
    <w:rsid w:val="45CE3F02"/>
    <w:rsid w:val="45D15325"/>
    <w:rsid w:val="45DE2684"/>
    <w:rsid w:val="45E349A9"/>
    <w:rsid w:val="45F22D7B"/>
    <w:rsid w:val="45F25B71"/>
    <w:rsid w:val="45F6092A"/>
    <w:rsid w:val="45FD29AC"/>
    <w:rsid w:val="46122C2B"/>
    <w:rsid w:val="461E6998"/>
    <w:rsid w:val="46202725"/>
    <w:rsid w:val="4622618B"/>
    <w:rsid w:val="4624768B"/>
    <w:rsid w:val="46283409"/>
    <w:rsid w:val="462E1DEC"/>
    <w:rsid w:val="462F257F"/>
    <w:rsid w:val="46316796"/>
    <w:rsid w:val="46436765"/>
    <w:rsid w:val="464C35D1"/>
    <w:rsid w:val="464C5980"/>
    <w:rsid w:val="464C598F"/>
    <w:rsid w:val="46541012"/>
    <w:rsid w:val="46595BDC"/>
    <w:rsid w:val="465B04AA"/>
    <w:rsid w:val="466467A4"/>
    <w:rsid w:val="466B7E63"/>
    <w:rsid w:val="46726232"/>
    <w:rsid w:val="46731512"/>
    <w:rsid w:val="46795DED"/>
    <w:rsid w:val="468843FE"/>
    <w:rsid w:val="469849B7"/>
    <w:rsid w:val="46991FD8"/>
    <w:rsid w:val="469D4E61"/>
    <w:rsid w:val="46A36DFD"/>
    <w:rsid w:val="46AF4C2E"/>
    <w:rsid w:val="46BC2272"/>
    <w:rsid w:val="46C45DEE"/>
    <w:rsid w:val="46D62B88"/>
    <w:rsid w:val="46D929E4"/>
    <w:rsid w:val="46DA3CDF"/>
    <w:rsid w:val="46DD3A97"/>
    <w:rsid w:val="46E122D5"/>
    <w:rsid w:val="46E51519"/>
    <w:rsid w:val="46E72217"/>
    <w:rsid w:val="46EB56D0"/>
    <w:rsid w:val="46EF6BE5"/>
    <w:rsid w:val="46F94629"/>
    <w:rsid w:val="46FE33A2"/>
    <w:rsid w:val="47001C0D"/>
    <w:rsid w:val="4700310A"/>
    <w:rsid w:val="47034B98"/>
    <w:rsid w:val="47067487"/>
    <w:rsid w:val="470675DD"/>
    <w:rsid w:val="47102BE0"/>
    <w:rsid w:val="47115999"/>
    <w:rsid w:val="47123D8D"/>
    <w:rsid w:val="471651A2"/>
    <w:rsid w:val="47195C33"/>
    <w:rsid w:val="47200180"/>
    <w:rsid w:val="472322A2"/>
    <w:rsid w:val="472E14A0"/>
    <w:rsid w:val="472F2F47"/>
    <w:rsid w:val="47304A60"/>
    <w:rsid w:val="47321070"/>
    <w:rsid w:val="47383706"/>
    <w:rsid w:val="473F3443"/>
    <w:rsid w:val="47442FEA"/>
    <w:rsid w:val="47476898"/>
    <w:rsid w:val="474825BA"/>
    <w:rsid w:val="474D1ED5"/>
    <w:rsid w:val="47524966"/>
    <w:rsid w:val="475E1AB6"/>
    <w:rsid w:val="4764753D"/>
    <w:rsid w:val="47663624"/>
    <w:rsid w:val="4779594B"/>
    <w:rsid w:val="477E3FE9"/>
    <w:rsid w:val="47861281"/>
    <w:rsid w:val="478E58BD"/>
    <w:rsid w:val="478E7E15"/>
    <w:rsid w:val="47933AFC"/>
    <w:rsid w:val="47946581"/>
    <w:rsid w:val="47997ECC"/>
    <w:rsid w:val="479C04C3"/>
    <w:rsid w:val="47A938A8"/>
    <w:rsid w:val="47AD2393"/>
    <w:rsid w:val="47AF4DB4"/>
    <w:rsid w:val="47C05960"/>
    <w:rsid w:val="47CA211A"/>
    <w:rsid w:val="47CE6AD8"/>
    <w:rsid w:val="47D00B76"/>
    <w:rsid w:val="47D266F4"/>
    <w:rsid w:val="47EB3A88"/>
    <w:rsid w:val="47ED09EA"/>
    <w:rsid w:val="47F03825"/>
    <w:rsid w:val="47F67231"/>
    <w:rsid w:val="47F72583"/>
    <w:rsid w:val="47FE4F97"/>
    <w:rsid w:val="48043BE9"/>
    <w:rsid w:val="48050F31"/>
    <w:rsid w:val="480A49CF"/>
    <w:rsid w:val="480B064E"/>
    <w:rsid w:val="48152A57"/>
    <w:rsid w:val="481B77EC"/>
    <w:rsid w:val="481F00E4"/>
    <w:rsid w:val="48230137"/>
    <w:rsid w:val="482A5E63"/>
    <w:rsid w:val="48324267"/>
    <w:rsid w:val="48357C17"/>
    <w:rsid w:val="483602D1"/>
    <w:rsid w:val="48360F72"/>
    <w:rsid w:val="48466EDC"/>
    <w:rsid w:val="486022F2"/>
    <w:rsid w:val="486505C9"/>
    <w:rsid w:val="48717233"/>
    <w:rsid w:val="487736C7"/>
    <w:rsid w:val="48794416"/>
    <w:rsid w:val="4886149A"/>
    <w:rsid w:val="48870995"/>
    <w:rsid w:val="488933F6"/>
    <w:rsid w:val="488F18B7"/>
    <w:rsid w:val="489C5A7F"/>
    <w:rsid w:val="489C5B95"/>
    <w:rsid w:val="489F248C"/>
    <w:rsid w:val="48A47128"/>
    <w:rsid w:val="48A53F58"/>
    <w:rsid w:val="48AA10E1"/>
    <w:rsid w:val="48AF1323"/>
    <w:rsid w:val="48B010C7"/>
    <w:rsid w:val="48B2080D"/>
    <w:rsid w:val="48B5518F"/>
    <w:rsid w:val="48BA7016"/>
    <w:rsid w:val="48BE6136"/>
    <w:rsid w:val="48C17060"/>
    <w:rsid w:val="48D22DB3"/>
    <w:rsid w:val="48D93445"/>
    <w:rsid w:val="48D9627C"/>
    <w:rsid w:val="48DA1D9C"/>
    <w:rsid w:val="48DC218D"/>
    <w:rsid w:val="48DF3D7D"/>
    <w:rsid w:val="48DF3DBB"/>
    <w:rsid w:val="48E4725A"/>
    <w:rsid w:val="48E90615"/>
    <w:rsid w:val="48E915DE"/>
    <w:rsid w:val="48EB611E"/>
    <w:rsid w:val="48F7177C"/>
    <w:rsid w:val="48F9720D"/>
    <w:rsid w:val="490008E6"/>
    <w:rsid w:val="490425AB"/>
    <w:rsid w:val="49047124"/>
    <w:rsid w:val="49076238"/>
    <w:rsid w:val="49104838"/>
    <w:rsid w:val="49200C47"/>
    <w:rsid w:val="49250443"/>
    <w:rsid w:val="49267368"/>
    <w:rsid w:val="49276313"/>
    <w:rsid w:val="492F1B04"/>
    <w:rsid w:val="492F25A6"/>
    <w:rsid w:val="4930158D"/>
    <w:rsid w:val="493166F2"/>
    <w:rsid w:val="493E2578"/>
    <w:rsid w:val="4941564C"/>
    <w:rsid w:val="4943084D"/>
    <w:rsid w:val="495B2F5A"/>
    <w:rsid w:val="49660B64"/>
    <w:rsid w:val="496E056A"/>
    <w:rsid w:val="497930F9"/>
    <w:rsid w:val="497E5F0E"/>
    <w:rsid w:val="49863345"/>
    <w:rsid w:val="49895BF9"/>
    <w:rsid w:val="49896889"/>
    <w:rsid w:val="498B006E"/>
    <w:rsid w:val="498F2FB2"/>
    <w:rsid w:val="499C126E"/>
    <w:rsid w:val="49A20032"/>
    <w:rsid w:val="49A82756"/>
    <w:rsid w:val="49A86BF4"/>
    <w:rsid w:val="49A902DE"/>
    <w:rsid w:val="49A961CD"/>
    <w:rsid w:val="49B31A93"/>
    <w:rsid w:val="49B337E8"/>
    <w:rsid w:val="49B57903"/>
    <w:rsid w:val="49BB0B72"/>
    <w:rsid w:val="49BD536F"/>
    <w:rsid w:val="49CD3C98"/>
    <w:rsid w:val="49D903D2"/>
    <w:rsid w:val="49E27CCF"/>
    <w:rsid w:val="49F44446"/>
    <w:rsid w:val="49F543E3"/>
    <w:rsid w:val="49FA00AE"/>
    <w:rsid w:val="4A03365C"/>
    <w:rsid w:val="4A037F7B"/>
    <w:rsid w:val="4A0C3345"/>
    <w:rsid w:val="4A12511A"/>
    <w:rsid w:val="4A1C6B3C"/>
    <w:rsid w:val="4A272B59"/>
    <w:rsid w:val="4A2A339F"/>
    <w:rsid w:val="4A2A4742"/>
    <w:rsid w:val="4A3849A0"/>
    <w:rsid w:val="4A3B0ADD"/>
    <w:rsid w:val="4A3D1213"/>
    <w:rsid w:val="4A405618"/>
    <w:rsid w:val="4A42752E"/>
    <w:rsid w:val="4A463FDD"/>
    <w:rsid w:val="4A4D2C8C"/>
    <w:rsid w:val="4A4D6FE1"/>
    <w:rsid w:val="4A4F464E"/>
    <w:rsid w:val="4A500FF5"/>
    <w:rsid w:val="4A51053D"/>
    <w:rsid w:val="4A541B9F"/>
    <w:rsid w:val="4A565C2E"/>
    <w:rsid w:val="4A5B2412"/>
    <w:rsid w:val="4A603371"/>
    <w:rsid w:val="4A665A8F"/>
    <w:rsid w:val="4A6B6C00"/>
    <w:rsid w:val="4A7A1A7F"/>
    <w:rsid w:val="4A7B1C95"/>
    <w:rsid w:val="4A7C6D92"/>
    <w:rsid w:val="4A80680F"/>
    <w:rsid w:val="4A8141FB"/>
    <w:rsid w:val="4A8758F1"/>
    <w:rsid w:val="4A8B2BFF"/>
    <w:rsid w:val="4A8B46F9"/>
    <w:rsid w:val="4A8C3D45"/>
    <w:rsid w:val="4A923316"/>
    <w:rsid w:val="4A996D58"/>
    <w:rsid w:val="4A9D364F"/>
    <w:rsid w:val="4AA637CE"/>
    <w:rsid w:val="4AAA2363"/>
    <w:rsid w:val="4AAC0232"/>
    <w:rsid w:val="4AB420A2"/>
    <w:rsid w:val="4AB42562"/>
    <w:rsid w:val="4AB971E8"/>
    <w:rsid w:val="4ABC4127"/>
    <w:rsid w:val="4ABE3518"/>
    <w:rsid w:val="4AC14B57"/>
    <w:rsid w:val="4AC462B3"/>
    <w:rsid w:val="4AC908CA"/>
    <w:rsid w:val="4AC95E08"/>
    <w:rsid w:val="4ACC60F1"/>
    <w:rsid w:val="4ACE3D63"/>
    <w:rsid w:val="4AD13FBF"/>
    <w:rsid w:val="4AD37FB6"/>
    <w:rsid w:val="4AED546D"/>
    <w:rsid w:val="4AF15169"/>
    <w:rsid w:val="4AF33411"/>
    <w:rsid w:val="4AFC4739"/>
    <w:rsid w:val="4AFF7966"/>
    <w:rsid w:val="4B08211A"/>
    <w:rsid w:val="4B0F4D9F"/>
    <w:rsid w:val="4B0F7B33"/>
    <w:rsid w:val="4B154062"/>
    <w:rsid w:val="4B1C2009"/>
    <w:rsid w:val="4B2B654D"/>
    <w:rsid w:val="4B2D2A9B"/>
    <w:rsid w:val="4B313BE7"/>
    <w:rsid w:val="4B331125"/>
    <w:rsid w:val="4B3405F9"/>
    <w:rsid w:val="4B3B6A66"/>
    <w:rsid w:val="4B3F276A"/>
    <w:rsid w:val="4B425A4D"/>
    <w:rsid w:val="4B473804"/>
    <w:rsid w:val="4B5151AA"/>
    <w:rsid w:val="4B537CBF"/>
    <w:rsid w:val="4B545E28"/>
    <w:rsid w:val="4B550153"/>
    <w:rsid w:val="4B625E90"/>
    <w:rsid w:val="4B641191"/>
    <w:rsid w:val="4B694B3A"/>
    <w:rsid w:val="4B730932"/>
    <w:rsid w:val="4B76529F"/>
    <w:rsid w:val="4B797876"/>
    <w:rsid w:val="4B7A237E"/>
    <w:rsid w:val="4B815FB3"/>
    <w:rsid w:val="4B86443F"/>
    <w:rsid w:val="4B9A0C4D"/>
    <w:rsid w:val="4B9B3B70"/>
    <w:rsid w:val="4B9E74F5"/>
    <w:rsid w:val="4B9E7936"/>
    <w:rsid w:val="4BA62ACE"/>
    <w:rsid w:val="4BAC176A"/>
    <w:rsid w:val="4BAF7A14"/>
    <w:rsid w:val="4BB7667A"/>
    <w:rsid w:val="4BBA25CD"/>
    <w:rsid w:val="4BBB242F"/>
    <w:rsid w:val="4BBB66CC"/>
    <w:rsid w:val="4BC15B7C"/>
    <w:rsid w:val="4BC22308"/>
    <w:rsid w:val="4BCC5B3C"/>
    <w:rsid w:val="4BD06F1C"/>
    <w:rsid w:val="4BD119E3"/>
    <w:rsid w:val="4BD11B2A"/>
    <w:rsid w:val="4BD13574"/>
    <w:rsid w:val="4BD47BEF"/>
    <w:rsid w:val="4BDA74DE"/>
    <w:rsid w:val="4BE06BCD"/>
    <w:rsid w:val="4BE413D6"/>
    <w:rsid w:val="4BE86538"/>
    <w:rsid w:val="4C001FDF"/>
    <w:rsid w:val="4C040A9A"/>
    <w:rsid w:val="4C0770C1"/>
    <w:rsid w:val="4C1F0776"/>
    <w:rsid w:val="4C232063"/>
    <w:rsid w:val="4C2503E2"/>
    <w:rsid w:val="4C2C299D"/>
    <w:rsid w:val="4C322608"/>
    <w:rsid w:val="4C3238CA"/>
    <w:rsid w:val="4C343A7F"/>
    <w:rsid w:val="4C3449FC"/>
    <w:rsid w:val="4C380D78"/>
    <w:rsid w:val="4C3D0756"/>
    <w:rsid w:val="4C3D5FB7"/>
    <w:rsid w:val="4C463137"/>
    <w:rsid w:val="4C4C1686"/>
    <w:rsid w:val="4C513E4B"/>
    <w:rsid w:val="4C603F1D"/>
    <w:rsid w:val="4C6211EA"/>
    <w:rsid w:val="4C635D18"/>
    <w:rsid w:val="4C670EB1"/>
    <w:rsid w:val="4C712086"/>
    <w:rsid w:val="4C7120EC"/>
    <w:rsid w:val="4C7B3D80"/>
    <w:rsid w:val="4C7C605E"/>
    <w:rsid w:val="4C7E2355"/>
    <w:rsid w:val="4C847264"/>
    <w:rsid w:val="4C922A6A"/>
    <w:rsid w:val="4C970E7B"/>
    <w:rsid w:val="4CA371A5"/>
    <w:rsid w:val="4CC1054F"/>
    <w:rsid w:val="4CCB1948"/>
    <w:rsid w:val="4CCE079D"/>
    <w:rsid w:val="4CCE3699"/>
    <w:rsid w:val="4CEA4F4D"/>
    <w:rsid w:val="4CEC58DB"/>
    <w:rsid w:val="4CED4981"/>
    <w:rsid w:val="4CEF637A"/>
    <w:rsid w:val="4CF00FB6"/>
    <w:rsid w:val="4CF16277"/>
    <w:rsid w:val="4CF4672D"/>
    <w:rsid w:val="4CFA2AAF"/>
    <w:rsid w:val="4CFE26B6"/>
    <w:rsid w:val="4D0325CF"/>
    <w:rsid w:val="4D035A68"/>
    <w:rsid w:val="4D0F26CE"/>
    <w:rsid w:val="4D147026"/>
    <w:rsid w:val="4D1478EC"/>
    <w:rsid w:val="4D165C91"/>
    <w:rsid w:val="4D225412"/>
    <w:rsid w:val="4D235945"/>
    <w:rsid w:val="4D255F0E"/>
    <w:rsid w:val="4D2B263E"/>
    <w:rsid w:val="4D2F06BA"/>
    <w:rsid w:val="4D304130"/>
    <w:rsid w:val="4D386B0D"/>
    <w:rsid w:val="4D3B3869"/>
    <w:rsid w:val="4D4330D3"/>
    <w:rsid w:val="4D4B7DCE"/>
    <w:rsid w:val="4D545407"/>
    <w:rsid w:val="4D694F30"/>
    <w:rsid w:val="4D6B703C"/>
    <w:rsid w:val="4D717BA1"/>
    <w:rsid w:val="4D7F56C3"/>
    <w:rsid w:val="4D855FB9"/>
    <w:rsid w:val="4D8A0B26"/>
    <w:rsid w:val="4D904FEE"/>
    <w:rsid w:val="4D910D8A"/>
    <w:rsid w:val="4D935425"/>
    <w:rsid w:val="4D953CDB"/>
    <w:rsid w:val="4D97309D"/>
    <w:rsid w:val="4D9B559E"/>
    <w:rsid w:val="4D9E090F"/>
    <w:rsid w:val="4DAC6E91"/>
    <w:rsid w:val="4DAE3711"/>
    <w:rsid w:val="4DB63BC4"/>
    <w:rsid w:val="4DB7591C"/>
    <w:rsid w:val="4DBB2984"/>
    <w:rsid w:val="4DCC46DA"/>
    <w:rsid w:val="4DDD5EB7"/>
    <w:rsid w:val="4DDE45A5"/>
    <w:rsid w:val="4DE265E9"/>
    <w:rsid w:val="4DE5023D"/>
    <w:rsid w:val="4DEB419D"/>
    <w:rsid w:val="4DF267CF"/>
    <w:rsid w:val="4DF6484E"/>
    <w:rsid w:val="4E043A0E"/>
    <w:rsid w:val="4E0B5D31"/>
    <w:rsid w:val="4E125681"/>
    <w:rsid w:val="4E1339D8"/>
    <w:rsid w:val="4E145C86"/>
    <w:rsid w:val="4E187CF8"/>
    <w:rsid w:val="4E1A5C2E"/>
    <w:rsid w:val="4E1D303B"/>
    <w:rsid w:val="4E2B3781"/>
    <w:rsid w:val="4E304710"/>
    <w:rsid w:val="4E337E4B"/>
    <w:rsid w:val="4E365771"/>
    <w:rsid w:val="4E3C3064"/>
    <w:rsid w:val="4E3C5DC0"/>
    <w:rsid w:val="4E446F8B"/>
    <w:rsid w:val="4E4D4DE2"/>
    <w:rsid w:val="4E5669BF"/>
    <w:rsid w:val="4E651EA6"/>
    <w:rsid w:val="4E6757B0"/>
    <w:rsid w:val="4E6C4048"/>
    <w:rsid w:val="4E783D17"/>
    <w:rsid w:val="4E7F2A80"/>
    <w:rsid w:val="4E805C19"/>
    <w:rsid w:val="4E836C4E"/>
    <w:rsid w:val="4E865BCD"/>
    <w:rsid w:val="4E8A6771"/>
    <w:rsid w:val="4E957162"/>
    <w:rsid w:val="4E9E60B6"/>
    <w:rsid w:val="4EA27ACB"/>
    <w:rsid w:val="4EA449D7"/>
    <w:rsid w:val="4EA60E85"/>
    <w:rsid w:val="4EA753EE"/>
    <w:rsid w:val="4EAE3E03"/>
    <w:rsid w:val="4EB379F2"/>
    <w:rsid w:val="4EB838E0"/>
    <w:rsid w:val="4EBC3167"/>
    <w:rsid w:val="4EBC6632"/>
    <w:rsid w:val="4EBD4562"/>
    <w:rsid w:val="4EBD5620"/>
    <w:rsid w:val="4EBE0F4C"/>
    <w:rsid w:val="4EC258F4"/>
    <w:rsid w:val="4EC866B8"/>
    <w:rsid w:val="4ECD0F14"/>
    <w:rsid w:val="4ED017E4"/>
    <w:rsid w:val="4ED03B4F"/>
    <w:rsid w:val="4ED43AE8"/>
    <w:rsid w:val="4EDC1716"/>
    <w:rsid w:val="4EDF6F4B"/>
    <w:rsid w:val="4EE24F10"/>
    <w:rsid w:val="4EE77077"/>
    <w:rsid w:val="4EE8461F"/>
    <w:rsid w:val="4F0206C2"/>
    <w:rsid w:val="4F06414B"/>
    <w:rsid w:val="4F19542F"/>
    <w:rsid w:val="4F1A4FD6"/>
    <w:rsid w:val="4F1C2B4C"/>
    <w:rsid w:val="4F1E1A5A"/>
    <w:rsid w:val="4F2D5479"/>
    <w:rsid w:val="4F2E4FDB"/>
    <w:rsid w:val="4F3127D8"/>
    <w:rsid w:val="4F353521"/>
    <w:rsid w:val="4F3B798B"/>
    <w:rsid w:val="4F424396"/>
    <w:rsid w:val="4F461737"/>
    <w:rsid w:val="4F4937A7"/>
    <w:rsid w:val="4F4A044C"/>
    <w:rsid w:val="4F501AA5"/>
    <w:rsid w:val="4F507138"/>
    <w:rsid w:val="4F5431F2"/>
    <w:rsid w:val="4F594949"/>
    <w:rsid w:val="4F5A315B"/>
    <w:rsid w:val="4F664358"/>
    <w:rsid w:val="4F664D4A"/>
    <w:rsid w:val="4F701C5E"/>
    <w:rsid w:val="4F7041A7"/>
    <w:rsid w:val="4F7349ED"/>
    <w:rsid w:val="4F7C7D62"/>
    <w:rsid w:val="4F8366CD"/>
    <w:rsid w:val="4F88390E"/>
    <w:rsid w:val="4F8865D2"/>
    <w:rsid w:val="4F9102E3"/>
    <w:rsid w:val="4F9A400D"/>
    <w:rsid w:val="4FA11827"/>
    <w:rsid w:val="4FA43120"/>
    <w:rsid w:val="4FA57761"/>
    <w:rsid w:val="4FA82F77"/>
    <w:rsid w:val="4FAB07C1"/>
    <w:rsid w:val="4FC12B67"/>
    <w:rsid w:val="4FC87D84"/>
    <w:rsid w:val="4FD33643"/>
    <w:rsid w:val="4FD409F7"/>
    <w:rsid w:val="4FD41054"/>
    <w:rsid w:val="4FD66F8D"/>
    <w:rsid w:val="4FDB5605"/>
    <w:rsid w:val="4FDF7D08"/>
    <w:rsid w:val="4FE45662"/>
    <w:rsid w:val="4FE66728"/>
    <w:rsid w:val="4FE74DC2"/>
    <w:rsid w:val="4FF81090"/>
    <w:rsid w:val="4FFA1BE3"/>
    <w:rsid w:val="4FFF560B"/>
    <w:rsid w:val="50001B8C"/>
    <w:rsid w:val="50033BDE"/>
    <w:rsid w:val="50036BC4"/>
    <w:rsid w:val="500B0DCA"/>
    <w:rsid w:val="500C2A95"/>
    <w:rsid w:val="50133F8A"/>
    <w:rsid w:val="50140C07"/>
    <w:rsid w:val="50176E6F"/>
    <w:rsid w:val="50200664"/>
    <w:rsid w:val="502151EE"/>
    <w:rsid w:val="5022333C"/>
    <w:rsid w:val="50312196"/>
    <w:rsid w:val="503C506C"/>
    <w:rsid w:val="50417E32"/>
    <w:rsid w:val="5042052F"/>
    <w:rsid w:val="504768E3"/>
    <w:rsid w:val="504F0FB9"/>
    <w:rsid w:val="504F769B"/>
    <w:rsid w:val="50537FDD"/>
    <w:rsid w:val="50622728"/>
    <w:rsid w:val="507554C6"/>
    <w:rsid w:val="507D0063"/>
    <w:rsid w:val="50803340"/>
    <w:rsid w:val="50871317"/>
    <w:rsid w:val="508F1D63"/>
    <w:rsid w:val="508F6AC4"/>
    <w:rsid w:val="509631CF"/>
    <w:rsid w:val="509A55F2"/>
    <w:rsid w:val="509B6BFA"/>
    <w:rsid w:val="50A36924"/>
    <w:rsid w:val="50A732FC"/>
    <w:rsid w:val="50AA341E"/>
    <w:rsid w:val="50AB4E2F"/>
    <w:rsid w:val="50AC2418"/>
    <w:rsid w:val="50B421A0"/>
    <w:rsid w:val="50B70FED"/>
    <w:rsid w:val="50BA643F"/>
    <w:rsid w:val="50BC2897"/>
    <w:rsid w:val="50D2215B"/>
    <w:rsid w:val="50DA2205"/>
    <w:rsid w:val="50E57F59"/>
    <w:rsid w:val="50EA61D3"/>
    <w:rsid w:val="50FC41E2"/>
    <w:rsid w:val="510319B4"/>
    <w:rsid w:val="5109098F"/>
    <w:rsid w:val="510A4E7D"/>
    <w:rsid w:val="51187091"/>
    <w:rsid w:val="51190722"/>
    <w:rsid w:val="511E5EB5"/>
    <w:rsid w:val="51205217"/>
    <w:rsid w:val="51217565"/>
    <w:rsid w:val="512D5787"/>
    <w:rsid w:val="51371434"/>
    <w:rsid w:val="51382F84"/>
    <w:rsid w:val="513B4CBD"/>
    <w:rsid w:val="513F2A79"/>
    <w:rsid w:val="514E5DF0"/>
    <w:rsid w:val="51505C49"/>
    <w:rsid w:val="515F5290"/>
    <w:rsid w:val="515F5E7D"/>
    <w:rsid w:val="51621B03"/>
    <w:rsid w:val="51677ABF"/>
    <w:rsid w:val="51736010"/>
    <w:rsid w:val="517F4109"/>
    <w:rsid w:val="518140E8"/>
    <w:rsid w:val="518961AE"/>
    <w:rsid w:val="518B0D8B"/>
    <w:rsid w:val="51905BB3"/>
    <w:rsid w:val="519D2A82"/>
    <w:rsid w:val="519E4C2D"/>
    <w:rsid w:val="51A15787"/>
    <w:rsid w:val="51A23180"/>
    <w:rsid w:val="51A44533"/>
    <w:rsid w:val="51B12C2B"/>
    <w:rsid w:val="51B625E5"/>
    <w:rsid w:val="51BB3190"/>
    <w:rsid w:val="51C31AB3"/>
    <w:rsid w:val="51C50057"/>
    <w:rsid w:val="51C83A24"/>
    <w:rsid w:val="51CA6470"/>
    <w:rsid w:val="51CC0195"/>
    <w:rsid w:val="51CF3752"/>
    <w:rsid w:val="51D221A2"/>
    <w:rsid w:val="51DB590D"/>
    <w:rsid w:val="51DC7D4F"/>
    <w:rsid w:val="51E372D3"/>
    <w:rsid w:val="51E952C3"/>
    <w:rsid w:val="51F763C2"/>
    <w:rsid w:val="52082F0E"/>
    <w:rsid w:val="520A4FD4"/>
    <w:rsid w:val="520A6A40"/>
    <w:rsid w:val="520B29B2"/>
    <w:rsid w:val="52165ED6"/>
    <w:rsid w:val="52170D68"/>
    <w:rsid w:val="521752D9"/>
    <w:rsid w:val="521832FA"/>
    <w:rsid w:val="521B5CF1"/>
    <w:rsid w:val="521E330E"/>
    <w:rsid w:val="52210969"/>
    <w:rsid w:val="5224158C"/>
    <w:rsid w:val="52250331"/>
    <w:rsid w:val="52251937"/>
    <w:rsid w:val="52291DE3"/>
    <w:rsid w:val="522D32DC"/>
    <w:rsid w:val="522E032A"/>
    <w:rsid w:val="522E48FA"/>
    <w:rsid w:val="52436B21"/>
    <w:rsid w:val="52476CBE"/>
    <w:rsid w:val="52486521"/>
    <w:rsid w:val="52541687"/>
    <w:rsid w:val="525808AD"/>
    <w:rsid w:val="52606B21"/>
    <w:rsid w:val="526142ED"/>
    <w:rsid w:val="5261554B"/>
    <w:rsid w:val="52675267"/>
    <w:rsid w:val="526A42D2"/>
    <w:rsid w:val="527456A0"/>
    <w:rsid w:val="52775B19"/>
    <w:rsid w:val="527820D3"/>
    <w:rsid w:val="527925C0"/>
    <w:rsid w:val="5286536B"/>
    <w:rsid w:val="528D1636"/>
    <w:rsid w:val="528F6528"/>
    <w:rsid w:val="52927920"/>
    <w:rsid w:val="5294173C"/>
    <w:rsid w:val="52A573D4"/>
    <w:rsid w:val="52AE3C1C"/>
    <w:rsid w:val="52B15A0B"/>
    <w:rsid w:val="52B277B6"/>
    <w:rsid w:val="52B539F6"/>
    <w:rsid w:val="52B87EDF"/>
    <w:rsid w:val="52C2471F"/>
    <w:rsid w:val="52C2744F"/>
    <w:rsid w:val="52CF2A7E"/>
    <w:rsid w:val="52D52D8A"/>
    <w:rsid w:val="52D70C29"/>
    <w:rsid w:val="52E07E6E"/>
    <w:rsid w:val="52E2403D"/>
    <w:rsid w:val="52E87FC9"/>
    <w:rsid w:val="52EA3010"/>
    <w:rsid w:val="52EE6354"/>
    <w:rsid w:val="52EF275D"/>
    <w:rsid w:val="52F87188"/>
    <w:rsid w:val="53035F10"/>
    <w:rsid w:val="530445BC"/>
    <w:rsid w:val="530646FD"/>
    <w:rsid w:val="53073E74"/>
    <w:rsid w:val="53130812"/>
    <w:rsid w:val="53176C42"/>
    <w:rsid w:val="53184746"/>
    <w:rsid w:val="531972CB"/>
    <w:rsid w:val="53227F73"/>
    <w:rsid w:val="532342A1"/>
    <w:rsid w:val="532E4AC7"/>
    <w:rsid w:val="533E55DF"/>
    <w:rsid w:val="5360600D"/>
    <w:rsid w:val="53703765"/>
    <w:rsid w:val="537149ED"/>
    <w:rsid w:val="5376095E"/>
    <w:rsid w:val="537A04E8"/>
    <w:rsid w:val="537D7719"/>
    <w:rsid w:val="53874180"/>
    <w:rsid w:val="53910730"/>
    <w:rsid w:val="53991F46"/>
    <w:rsid w:val="539D00C0"/>
    <w:rsid w:val="53A34926"/>
    <w:rsid w:val="53A430C7"/>
    <w:rsid w:val="53B10861"/>
    <w:rsid w:val="53B71A0D"/>
    <w:rsid w:val="53BA49C0"/>
    <w:rsid w:val="53BF11FF"/>
    <w:rsid w:val="53C2398F"/>
    <w:rsid w:val="53C92C10"/>
    <w:rsid w:val="53CF606A"/>
    <w:rsid w:val="53D111B0"/>
    <w:rsid w:val="53D73576"/>
    <w:rsid w:val="53E22364"/>
    <w:rsid w:val="53E35749"/>
    <w:rsid w:val="53EB4289"/>
    <w:rsid w:val="53EE07E8"/>
    <w:rsid w:val="53F67F24"/>
    <w:rsid w:val="53FE5A9E"/>
    <w:rsid w:val="540B221A"/>
    <w:rsid w:val="54193A5D"/>
    <w:rsid w:val="541C5A78"/>
    <w:rsid w:val="54210A3D"/>
    <w:rsid w:val="54257FE2"/>
    <w:rsid w:val="5428581F"/>
    <w:rsid w:val="542A7306"/>
    <w:rsid w:val="542B47E5"/>
    <w:rsid w:val="54312A0A"/>
    <w:rsid w:val="54451C08"/>
    <w:rsid w:val="54456D76"/>
    <w:rsid w:val="5450152B"/>
    <w:rsid w:val="545412A1"/>
    <w:rsid w:val="54591BCD"/>
    <w:rsid w:val="545A1A3D"/>
    <w:rsid w:val="546936FE"/>
    <w:rsid w:val="546A602B"/>
    <w:rsid w:val="547034CA"/>
    <w:rsid w:val="54724933"/>
    <w:rsid w:val="547801F9"/>
    <w:rsid w:val="54877824"/>
    <w:rsid w:val="54967702"/>
    <w:rsid w:val="549B60CA"/>
    <w:rsid w:val="54A746D1"/>
    <w:rsid w:val="54B14984"/>
    <w:rsid w:val="54B34E33"/>
    <w:rsid w:val="54BC09E2"/>
    <w:rsid w:val="54C257FC"/>
    <w:rsid w:val="54C51C65"/>
    <w:rsid w:val="54C649FB"/>
    <w:rsid w:val="54C766D3"/>
    <w:rsid w:val="54DB3842"/>
    <w:rsid w:val="54DB74B3"/>
    <w:rsid w:val="54DF4A41"/>
    <w:rsid w:val="54E32310"/>
    <w:rsid w:val="54E35B83"/>
    <w:rsid w:val="54E5570D"/>
    <w:rsid w:val="54E656A9"/>
    <w:rsid w:val="54E85406"/>
    <w:rsid w:val="54EE0227"/>
    <w:rsid w:val="54EE4DEC"/>
    <w:rsid w:val="54F1490A"/>
    <w:rsid w:val="54F93AE7"/>
    <w:rsid w:val="54F97DEB"/>
    <w:rsid w:val="5500459A"/>
    <w:rsid w:val="55012EF3"/>
    <w:rsid w:val="55022588"/>
    <w:rsid w:val="5507319C"/>
    <w:rsid w:val="550D4E7F"/>
    <w:rsid w:val="55147F46"/>
    <w:rsid w:val="55197706"/>
    <w:rsid w:val="551B3ADB"/>
    <w:rsid w:val="551F7D03"/>
    <w:rsid w:val="55252910"/>
    <w:rsid w:val="552677BE"/>
    <w:rsid w:val="552E2F45"/>
    <w:rsid w:val="55313992"/>
    <w:rsid w:val="553772EA"/>
    <w:rsid w:val="553A6D2E"/>
    <w:rsid w:val="5546635B"/>
    <w:rsid w:val="55507B46"/>
    <w:rsid w:val="55534568"/>
    <w:rsid w:val="555A0EDC"/>
    <w:rsid w:val="55677E49"/>
    <w:rsid w:val="55692EAC"/>
    <w:rsid w:val="55714147"/>
    <w:rsid w:val="55744904"/>
    <w:rsid w:val="557C295E"/>
    <w:rsid w:val="557C5B0B"/>
    <w:rsid w:val="55806AF4"/>
    <w:rsid w:val="55812735"/>
    <w:rsid w:val="55861EC8"/>
    <w:rsid w:val="5588140B"/>
    <w:rsid w:val="55891D85"/>
    <w:rsid w:val="5592013C"/>
    <w:rsid w:val="55A445F2"/>
    <w:rsid w:val="55A57957"/>
    <w:rsid w:val="55AA469C"/>
    <w:rsid w:val="55BC12E8"/>
    <w:rsid w:val="55BD3120"/>
    <w:rsid w:val="55BF56EA"/>
    <w:rsid w:val="55C103AC"/>
    <w:rsid w:val="55C423B5"/>
    <w:rsid w:val="55C6074D"/>
    <w:rsid w:val="55C86079"/>
    <w:rsid w:val="55CA75BB"/>
    <w:rsid w:val="55CC5297"/>
    <w:rsid w:val="55D31938"/>
    <w:rsid w:val="55DA77E0"/>
    <w:rsid w:val="55EE6E58"/>
    <w:rsid w:val="55F2238E"/>
    <w:rsid w:val="55F24132"/>
    <w:rsid w:val="55FB05FF"/>
    <w:rsid w:val="55FC794D"/>
    <w:rsid w:val="56012A7B"/>
    <w:rsid w:val="56150744"/>
    <w:rsid w:val="56172C84"/>
    <w:rsid w:val="56206259"/>
    <w:rsid w:val="562219AC"/>
    <w:rsid w:val="56230DC5"/>
    <w:rsid w:val="562B59B0"/>
    <w:rsid w:val="562B64D0"/>
    <w:rsid w:val="56351882"/>
    <w:rsid w:val="56387876"/>
    <w:rsid w:val="56391384"/>
    <w:rsid w:val="563F06E3"/>
    <w:rsid w:val="564C27AB"/>
    <w:rsid w:val="565078DE"/>
    <w:rsid w:val="565222DD"/>
    <w:rsid w:val="565907FF"/>
    <w:rsid w:val="565D6940"/>
    <w:rsid w:val="566101A8"/>
    <w:rsid w:val="56666AC5"/>
    <w:rsid w:val="56701442"/>
    <w:rsid w:val="56793306"/>
    <w:rsid w:val="56797C74"/>
    <w:rsid w:val="568116C5"/>
    <w:rsid w:val="568630E0"/>
    <w:rsid w:val="568F0B4D"/>
    <w:rsid w:val="5691640E"/>
    <w:rsid w:val="56927F4A"/>
    <w:rsid w:val="569C03A7"/>
    <w:rsid w:val="569E53D6"/>
    <w:rsid w:val="56A304C3"/>
    <w:rsid w:val="56AD16B1"/>
    <w:rsid w:val="56B44FF7"/>
    <w:rsid w:val="56B76AF7"/>
    <w:rsid w:val="56BA0EDB"/>
    <w:rsid w:val="56BA5BFC"/>
    <w:rsid w:val="56C6377A"/>
    <w:rsid w:val="56D60D34"/>
    <w:rsid w:val="56D76BB3"/>
    <w:rsid w:val="56DA1A1C"/>
    <w:rsid w:val="56E90EF6"/>
    <w:rsid w:val="56F50794"/>
    <w:rsid w:val="56F82259"/>
    <w:rsid w:val="56FC12BF"/>
    <w:rsid w:val="56FE5AE3"/>
    <w:rsid w:val="570255BE"/>
    <w:rsid w:val="570426CC"/>
    <w:rsid w:val="57100D05"/>
    <w:rsid w:val="57100E69"/>
    <w:rsid w:val="57103E85"/>
    <w:rsid w:val="57167A78"/>
    <w:rsid w:val="571E4103"/>
    <w:rsid w:val="5724356E"/>
    <w:rsid w:val="573B1E04"/>
    <w:rsid w:val="573B396A"/>
    <w:rsid w:val="576019A8"/>
    <w:rsid w:val="576E1A2E"/>
    <w:rsid w:val="576F00D0"/>
    <w:rsid w:val="57780B15"/>
    <w:rsid w:val="577C7921"/>
    <w:rsid w:val="577D6052"/>
    <w:rsid w:val="578130EB"/>
    <w:rsid w:val="5781472D"/>
    <w:rsid w:val="57842581"/>
    <w:rsid w:val="57860B1C"/>
    <w:rsid w:val="578F1CC6"/>
    <w:rsid w:val="579016BB"/>
    <w:rsid w:val="579131AA"/>
    <w:rsid w:val="57961B8E"/>
    <w:rsid w:val="579A34FF"/>
    <w:rsid w:val="57A05D52"/>
    <w:rsid w:val="57A65B21"/>
    <w:rsid w:val="57A93B1C"/>
    <w:rsid w:val="57AC3C72"/>
    <w:rsid w:val="57AC71EF"/>
    <w:rsid w:val="57B30CCB"/>
    <w:rsid w:val="57B82FE8"/>
    <w:rsid w:val="57BA183B"/>
    <w:rsid w:val="57BC21E8"/>
    <w:rsid w:val="57C563BF"/>
    <w:rsid w:val="57C64CE3"/>
    <w:rsid w:val="57CF1AC2"/>
    <w:rsid w:val="57CF411E"/>
    <w:rsid w:val="57CF6469"/>
    <w:rsid w:val="57D20F94"/>
    <w:rsid w:val="57E359C9"/>
    <w:rsid w:val="57E8494C"/>
    <w:rsid w:val="57EA66DC"/>
    <w:rsid w:val="57F75230"/>
    <w:rsid w:val="57FA5E75"/>
    <w:rsid w:val="58000E35"/>
    <w:rsid w:val="58186CE6"/>
    <w:rsid w:val="58222E9F"/>
    <w:rsid w:val="58251D17"/>
    <w:rsid w:val="582D3231"/>
    <w:rsid w:val="58316A55"/>
    <w:rsid w:val="58327850"/>
    <w:rsid w:val="583F3207"/>
    <w:rsid w:val="58452DB9"/>
    <w:rsid w:val="5846017C"/>
    <w:rsid w:val="58484E27"/>
    <w:rsid w:val="58514B7B"/>
    <w:rsid w:val="58525C17"/>
    <w:rsid w:val="58592455"/>
    <w:rsid w:val="586815ED"/>
    <w:rsid w:val="586B3009"/>
    <w:rsid w:val="58775EED"/>
    <w:rsid w:val="58790B5B"/>
    <w:rsid w:val="588D7FDD"/>
    <w:rsid w:val="58924ECC"/>
    <w:rsid w:val="589511CE"/>
    <w:rsid w:val="5895256C"/>
    <w:rsid w:val="58965AA7"/>
    <w:rsid w:val="5899451C"/>
    <w:rsid w:val="589C6409"/>
    <w:rsid w:val="589D4D39"/>
    <w:rsid w:val="58A34E0C"/>
    <w:rsid w:val="58AE31F5"/>
    <w:rsid w:val="58B354B8"/>
    <w:rsid w:val="58B545E6"/>
    <w:rsid w:val="58B60FB7"/>
    <w:rsid w:val="58BB01CF"/>
    <w:rsid w:val="58BD1D42"/>
    <w:rsid w:val="58C04526"/>
    <w:rsid w:val="58C15643"/>
    <w:rsid w:val="58C25B98"/>
    <w:rsid w:val="58C925C7"/>
    <w:rsid w:val="58D215DA"/>
    <w:rsid w:val="58DE296B"/>
    <w:rsid w:val="58E05B85"/>
    <w:rsid w:val="58F141D6"/>
    <w:rsid w:val="58F9654F"/>
    <w:rsid w:val="58F979E8"/>
    <w:rsid w:val="58FB6C25"/>
    <w:rsid w:val="58FE08ED"/>
    <w:rsid w:val="59061DAE"/>
    <w:rsid w:val="590C2CEF"/>
    <w:rsid w:val="590E4EED"/>
    <w:rsid w:val="5914669F"/>
    <w:rsid w:val="591557DB"/>
    <w:rsid w:val="591A5C30"/>
    <w:rsid w:val="591C4B79"/>
    <w:rsid w:val="591F2957"/>
    <w:rsid w:val="59262A74"/>
    <w:rsid w:val="592F1CE2"/>
    <w:rsid w:val="59371CA9"/>
    <w:rsid w:val="593C5853"/>
    <w:rsid w:val="593E005D"/>
    <w:rsid w:val="5940158A"/>
    <w:rsid w:val="59454372"/>
    <w:rsid w:val="594606CC"/>
    <w:rsid w:val="594B6D49"/>
    <w:rsid w:val="596460E9"/>
    <w:rsid w:val="59697600"/>
    <w:rsid w:val="596C25D4"/>
    <w:rsid w:val="597028E6"/>
    <w:rsid w:val="597D38D7"/>
    <w:rsid w:val="598910A1"/>
    <w:rsid w:val="598A75D0"/>
    <w:rsid w:val="59935094"/>
    <w:rsid w:val="5995496F"/>
    <w:rsid w:val="59A62A34"/>
    <w:rsid w:val="59AB1748"/>
    <w:rsid w:val="59AF2059"/>
    <w:rsid w:val="59B159CB"/>
    <w:rsid w:val="59B51848"/>
    <w:rsid w:val="59B80057"/>
    <w:rsid w:val="59BC67AC"/>
    <w:rsid w:val="59C03938"/>
    <w:rsid w:val="59C811F1"/>
    <w:rsid w:val="59C83D69"/>
    <w:rsid w:val="59CB01B4"/>
    <w:rsid w:val="59CC0DAD"/>
    <w:rsid w:val="59CF1C3E"/>
    <w:rsid w:val="59D76A58"/>
    <w:rsid w:val="59D87B36"/>
    <w:rsid w:val="59E57113"/>
    <w:rsid w:val="59E91981"/>
    <w:rsid w:val="59F22823"/>
    <w:rsid w:val="59F35BF5"/>
    <w:rsid w:val="59F42704"/>
    <w:rsid w:val="59FD1C88"/>
    <w:rsid w:val="5A0020BE"/>
    <w:rsid w:val="5A004EC8"/>
    <w:rsid w:val="5A02215A"/>
    <w:rsid w:val="5A0823EC"/>
    <w:rsid w:val="5A0B4999"/>
    <w:rsid w:val="5A0C5C1F"/>
    <w:rsid w:val="5A1219E8"/>
    <w:rsid w:val="5A1601E1"/>
    <w:rsid w:val="5A1A2003"/>
    <w:rsid w:val="5A2023BC"/>
    <w:rsid w:val="5A2534E2"/>
    <w:rsid w:val="5A272110"/>
    <w:rsid w:val="5A2F52ED"/>
    <w:rsid w:val="5A307C26"/>
    <w:rsid w:val="5A307F73"/>
    <w:rsid w:val="5A341010"/>
    <w:rsid w:val="5A3A1517"/>
    <w:rsid w:val="5A4D351E"/>
    <w:rsid w:val="5A507300"/>
    <w:rsid w:val="5A51154D"/>
    <w:rsid w:val="5A523957"/>
    <w:rsid w:val="5A532CC8"/>
    <w:rsid w:val="5A612789"/>
    <w:rsid w:val="5A6543C4"/>
    <w:rsid w:val="5A6A5675"/>
    <w:rsid w:val="5A6E205B"/>
    <w:rsid w:val="5A7B2C70"/>
    <w:rsid w:val="5A7C2218"/>
    <w:rsid w:val="5A7C5822"/>
    <w:rsid w:val="5A847FE5"/>
    <w:rsid w:val="5A916654"/>
    <w:rsid w:val="5A9B3B8F"/>
    <w:rsid w:val="5A9D6553"/>
    <w:rsid w:val="5A9E6004"/>
    <w:rsid w:val="5AA206E2"/>
    <w:rsid w:val="5AAB402B"/>
    <w:rsid w:val="5AAF46FD"/>
    <w:rsid w:val="5AB36954"/>
    <w:rsid w:val="5ABB0D66"/>
    <w:rsid w:val="5ABE401A"/>
    <w:rsid w:val="5AC526EE"/>
    <w:rsid w:val="5ACB4B14"/>
    <w:rsid w:val="5AD45224"/>
    <w:rsid w:val="5ADA5032"/>
    <w:rsid w:val="5ADC6365"/>
    <w:rsid w:val="5AED2A7F"/>
    <w:rsid w:val="5B0A16D4"/>
    <w:rsid w:val="5B0B0FE2"/>
    <w:rsid w:val="5B1029A0"/>
    <w:rsid w:val="5B18258F"/>
    <w:rsid w:val="5B28216A"/>
    <w:rsid w:val="5B2B1ACA"/>
    <w:rsid w:val="5B302C2D"/>
    <w:rsid w:val="5B33397C"/>
    <w:rsid w:val="5B35552C"/>
    <w:rsid w:val="5B356E68"/>
    <w:rsid w:val="5B3A4E8A"/>
    <w:rsid w:val="5B43203B"/>
    <w:rsid w:val="5B485D9E"/>
    <w:rsid w:val="5B4E4DA1"/>
    <w:rsid w:val="5B5335BE"/>
    <w:rsid w:val="5B613886"/>
    <w:rsid w:val="5B6A6045"/>
    <w:rsid w:val="5B6C39BD"/>
    <w:rsid w:val="5B7B1E82"/>
    <w:rsid w:val="5B862B77"/>
    <w:rsid w:val="5B944D80"/>
    <w:rsid w:val="5B9509FD"/>
    <w:rsid w:val="5B957A5E"/>
    <w:rsid w:val="5BAB4BEE"/>
    <w:rsid w:val="5BB210AD"/>
    <w:rsid w:val="5BB47B97"/>
    <w:rsid w:val="5BB81EEF"/>
    <w:rsid w:val="5BC23198"/>
    <w:rsid w:val="5BC3049A"/>
    <w:rsid w:val="5BC52C1C"/>
    <w:rsid w:val="5BCE2157"/>
    <w:rsid w:val="5BD14762"/>
    <w:rsid w:val="5BD2376F"/>
    <w:rsid w:val="5BEA66B7"/>
    <w:rsid w:val="5BEB4DCC"/>
    <w:rsid w:val="5BF81226"/>
    <w:rsid w:val="5BFB7485"/>
    <w:rsid w:val="5C0042AF"/>
    <w:rsid w:val="5C021D5C"/>
    <w:rsid w:val="5C097E8B"/>
    <w:rsid w:val="5C0E1887"/>
    <w:rsid w:val="5C0E448E"/>
    <w:rsid w:val="5C116FBD"/>
    <w:rsid w:val="5C18254C"/>
    <w:rsid w:val="5C1B2C25"/>
    <w:rsid w:val="5C1E0099"/>
    <w:rsid w:val="5C24204D"/>
    <w:rsid w:val="5C261AD7"/>
    <w:rsid w:val="5C2A4D2E"/>
    <w:rsid w:val="5C2E032C"/>
    <w:rsid w:val="5C317C76"/>
    <w:rsid w:val="5C3344C7"/>
    <w:rsid w:val="5C35045C"/>
    <w:rsid w:val="5C3B0435"/>
    <w:rsid w:val="5C3C5668"/>
    <w:rsid w:val="5C3C56AD"/>
    <w:rsid w:val="5C3D32DD"/>
    <w:rsid w:val="5C3E4B55"/>
    <w:rsid w:val="5C404666"/>
    <w:rsid w:val="5C422461"/>
    <w:rsid w:val="5C48686D"/>
    <w:rsid w:val="5C4E616C"/>
    <w:rsid w:val="5C4F52A1"/>
    <w:rsid w:val="5C4F75E7"/>
    <w:rsid w:val="5C50319B"/>
    <w:rsid w:val="5C511614"/>
    <w:rsid w:val="5C520197"/>
    <w:rsid w:val="5C5371DE"/>
    <w:rsid w:val="5C5D4ED4"/>
    <w:rsid w:val="5C5F094C"/>
    <w:rsid w:val="5C603564"/>
    <w:rsid w:val="5C633837"/>
    <w:rsid w:val="5C6B674F"/>
    <w:rsid w:val="5C6D560E"/>
    <w:rsid w:val="5C6F57DC"/>
    <w:rsid w:val="5C7E0DF8"/>
    <w:rsid w:val="5C7E39D8"/>
    <w:rsid w:val="5C8A31FF"/>
    <w:rsid w:val="5C9C7108"/>
    <w:rsid w:val="5C9F55AA"/>
    <w:rsid w:val="5CA474D4"/>
    <w:rsid w:val="5CA84AC1"/>
    <w:rsid w:val="5CAC4293"/>
    <w:rsid w:val="5CB64B19"/>
    <w:rsid w:val="5CBD7A62"/>
    <w:rsid w:val="5CBF1A37"/>
    <w:rsid w:val="5CC164AE"/>
    <w:rsid w:val="5CC22998"/>
    <w:rsid w:val="5CC5766D"/>
    <w:rsid w:val="5CC829D4"/>
    <w:rsid w:val="5CD22245"/>
    <w:rsid w:val="5CD612EC"/>
    <w:rsid w:val="5CD620EF"/>
    <w:rsid w:val="5CD63CB1"/>
    <w:rsid w:val="5CD75EB0"/>
    <w:rsid w:val="5CE00BB1"/>
    <w:rsid w:val="5CE37D5E"/>
    <w:rsid w:val="5CE76E4E"/>
    <w:rsid w:val="5CE97CE3"/>
    <w:rsid w:val="5CF06B97"/>
    <w:rsid w:val="5CF85D55"/>
    <w:rsid w:val="5CFA67A0"/>
    <w:rsid w:val="5CFF26BA"/>
    <w:rsid w:val="5CFF2C7D"/>
    <w:rsid w:val="5CFF66F4"/>
    <w:rsid w:val="5D042519"/>
    <w:rsid w:val="5D0731E2"/>
    <w:rsid w:val="5D073D33"/>
    <w:rsid w:val="5D0A1CA8"/>
    <w:rsid w:val="5D0E09BF"/>
    <w:rsid w:val="5D10070C"/>
    <w:rsid w:val="5D1077A1"/>
    <w:rsid w:val="5D193562"/>
    <w:rsid w:val="5D232DD8"/>
    <w:rsid w:val="5D2360DD"/>
    <w:rsid w:val="5D360039"/>
    <w:rsid w:val="5D3A22F4"/>
    <w:rsid w:val="5D3D681F"/>
    <w:rsid w:val="5D421B63"/>
    <w:rsid w:val="5D435C8A"/>
    <w:rsid w:val="5D467576"/>
    <w:rsid w:val="5D4B2525"/>
    <w:rsid w:val="5D4F0CAA"/>
    <w:rsid w:val="5D543240"/>
    <w:rsid w:val="5D5434CB"/>
    <w:rsid w:val="5D5A25C6"/>
    <w:rsid w:val="5D645AF7"/>
    <w:rsid w:val="5D697151"/>
    <w:rsid w:val="5D7070A0"/>
    <w:rsid w:val="5D79361A"/>
    <w:rsid w:val="5D7B2BAE"/>
    <w:rsid w:val="5D87359C"/>
    <w:rsid w:val="5D893541"/>
    <w:rsid w:val="5D8C28B4"/>
    <w:rsid w:val="5D8E7C73"/>
    <w:rsid w:val="5D974515"/>
    <w:rsid w:val="5D9832F3"/>
    <w:rsid w:val="5D9934EC"/>
    <w:rsid w:val="5D9A7256"/>
    <w:rsid w:val="5D9C1E54"/>
    <w:rsid w:val="5DAB1E9E"/>
    <w:rsid w:val="5DB53FF3"/>
    <w:rsid w:val="5DB81F70"/>
    <w:rsid w:val="5DBC3F54"/>
    <w:rsid w:val="5DC328CA"/>
    <w:rsid w:val="5DCA57DD"/>
    <w:rsid w:val="5DD14137"/>
    <w:rsid w:val="5DD74A14"/>
    <w:rsid w:val="5DDB163B"/>
    <w:rsid w:val="5DDC2477"/>
    <w:rsid w:val="5DDC2877"/>
    <w:rsid w:val="5DF03AB4"/>
    <w:rsid w:val="5DF11D42"/>
    <w:rsid w:val="5DFA2E17"/>
    <w:rsid w:val="5DFB0C01"/>
    <w:rsid w:val="5E006537"/>
    <w:rsid w:val="5E1D2155"/>
    <w:rsid w:val="5E2374D1"/>
    <w:rsid w:val="5E2C6CCC"/>
    <w:rsid w:val="5E2F41CB"/>
    <w:rsid w:val="5E3A68B5"/>
    <w:rsid w:val="5E401AFE"/>
    <w:rsid w:val="5E454E01"/>
    <w:rsid w:val="5E490493"/>
    <w:rsid w:val="5E4C4204"/>
    <w:rsid w:val="5E4D4054"/>
    <w:rsid w:val="5E4F4CEC"/>
    <w:rsid w:val="5E517BBA"/>
    <w:rsid w:val="5E521705"/>
    <w:rsid w:val="5E650FB2"/>
    <w:rsid w:val="5E656142"/>
    <w:rsid w:val="5E680B19"/>
    <w:rsid w:val="5E6C40A3"/>
    <w:rsid w:val="5E6C53A1"/>
    <w:rsid w:val="5E7334F8"/>
    <w:rsid w:val="5E7805FF"/>
    <w:rsid w:val="5E7859D6"/>
    <w:rsid w:val="5E842B6A"/>
    <w:rsid w:val="5E875A07"/>
    <w:rsid w:val="5E8C1E30"/>
    <w:rsid w:val="5E911FAC"/>
    <w:rsid w:val="5E92137B"/>
    <w:rsid w:val="5E9373FC"/>
    <w:rsid w:val="5EA67DEF"/>
    <w:rsid w:val="5EA736D1"/>
    <w:rsid w:val="5EAA11B3"/>
    <w:rsid w:val="5EB30716"/>
    <w:rsid w:val="5EB70697"/>
    <w:rsid w:val="5EB95510"/>
    <w:rsid w:val="5EB956EE"/>
    <w:rsid w:val="5EC57A3D"/>
    <w:rsid w:val="5ECB275F"/>
    <w:rsid w:val="5ECE2836"/>
    <w:rsid w:val="5EDB5813"/>
    <w:rsid w:val="5EDE3A55"/>
    <w:rsid w:val="5EE2308E"/>
    <w:rsid w:val="5EE35C8C"/>
    <w:rsid w:val="5EEC409E"/>
    <w:rsid w:val="5EF2448C"/>
    <w:rsid w:val="5EF442F3"/>
    <w:rsid w:val="5F051F15"/>
    <w:rsid w:val="5F222082"/>
    <w:rsid w:val="5F37319D"/>
    <w:rsid w:val="5F3A21FA"/>
    <w:rsid w:val="5F490636"/>
    <w:rsid w:val="5F4A6244"/>
    <w:rsid w:val="5F555F58"/>
    <w:rsid w:val="5F6219E5"/>
    <w:rsid w:val="5F7C4F33"/>
    <w:rsid w:val="5F7D5743"/>
    <w:rsid w:val="5F810563"/>
    <w:rsid w:val="5F824D0A"/>
    <w:rsid w:val="5F85207D"/>
    <w:rsid w:val="5F902061"/>
    <w:rsid w:val="5F91364B"/>
    <w:rsid w:val="5F942C15"/>
    <w:rsid w:val="5F982E68"/>
    <w:rsid w:val="5F983E67"/>
    <w:rsid w:val="5F9F2897"/>
    <w:rsid w:val="5FA57B43"/>
    <w:rsid w:val="5FB560BB"/>
    <w:rsid w:val="5FB62CD8"/>
    <w:rsid w:val="5FC20790"/>
    <w:rsid w:val="5FC87F8E"/>
    <w:rsid w:val="5FC91DE9"/>
    <w:rsid w:val="5FCE57F6"/>
    <w:rsid w:val="5FD820A7"/>
    <w:rsid w:val="5FDF0C33"/>
    <w:rsid w:val="5FE25D83"/>
    <w:rsid w:val="5FE5232B"/>
    <w:rsid w:val="5FEC3C05"/>
    <w:rsid w:val="5FF020A1"/>
    <w:rsid w:val="5FFC5DE4"/>
    <w:rsid w:val="600F241C"/>
    <w:rsid w:val="60112156"/>
    <w:rsid w:val="6012207B"/>
    <w:rsid w:val="601270E4"/>
    <w:rsid w:val="60127ACF"/>
    <w:rsid w:val="60195F65"/>
    <w:rsid w:val="601A6881"/>
    <w:rsid w:val="60200E33"/>
    <w:rsid w:val="6023016C"/>
    <w:rsid w:val="602924AC"/>
    <w:rsid w:val="602B5AAA"/>
    <w:rsid w:val="60334B2A"/>
    <w:rsid w:val="603E7B8A"/>
    <w:rsid w:val="60415FF4"/>
    <w:rsid w:val="60420933"/>
    <w:rsid w:val="6056292C"/>
    <w:rsid w:val="6063156C"/>
    <w:rsid w:val="606502AC"/>
    <w:rsid w:val="60656D53"/>
    <w:rsid w:val="60660D11"/>
    <w:rsid w:val="606611B7"/>
    <w:rsid w:val="60687B01"/>
    <w:rsid w:val="606D5453"/>
    <w:rsid w:val="607044B9"/>
    <w:rsid w:val="60760530"/>
    <w:rsid w:val="6078579C"/>
    <w:rsid w:val="608159C3"/>
    <w:rsid w:val="60841E8A"/>
    <w:rsid w:val="60904724"/>
    <w:rsid w:val="60924935"/>
    <w:rsid w:val="60934023"/>
    <w:rsid w:val="60947BEA"/>
    <w:rsid w:val="609B6315"/>
    <w:rsid w:val="60AC169F"/>
    <w:rsid w:val="60AF0E29"/>
    <w:rsid w:val="60B316F2"/>
    <w:rsid w:val="60B43DFD"/>
    <w:rsid w:val="60B55179"/>
    <w:rsid w:val="60B84522"/>
    <w:rsid w:val="60BF5745"/>
    <w:rsid w:val="60C47684"/>
    <w:rsid w:val="60C90EA4"/>
    <w:rsid w:val="60CA2396"/>
    <w:rsid w:val="60CE4002"/>
    <w:rsid w:val="60CF0514"/>
    <w:rsid w:val="60D07484"/>
    <w:rsid w:val="60D10C0F"/>
    <w:rsid w:val="60D3569F"/>
    <w:rsid w:val="60D4537B"/>
    <w:rsid w:val="60D74889"/>
    <w:rsid w:val="60E02B8F"/>
    <w:rsid w:val="60E26F48"/>
    <w:rsid w:val="60E92E1A"/>
    <w:rsid w:val="60ED6BA8"/>
    <w:rsid w:val="60F37DA9"/>
    <w:rsid w:val="60FA110C"/>
    <w:rsid w:val="60FA46E4"/>
    <w:rsid w:val="60FD3753"/>
    <w:rsid w:val="60FE00AF"/>
    <w:rsid w:val="60FE35D0"/>
    <w:rsid w:val="6101046D"/>
    <w:rsid w:val="61047EF9"/>
    <w:rsid w:val="61064296"/>
    <w:rsid w:val="610864CC"/>
    <w:rsid w:val="610958BB"/>
    <w:rsid w:val="610A63CC"/>
    <w:rsid w:val="611558FC"/>
    <w:rsid w:val="61163F01"/>
    <w:rsid w:val="61164EEF"/>
    <w:rsid w:val="61176A85"/>
    <w:rsid w:val="611A697F"/>
    <w:rsid w:val="61206479"/>
    <w:rsid w:val="612143A4"/>
    <w:rsid w:val="61216CB5"/>
    <w:rsid w:val="61221695"/>
    <w:rsid w:val="6124184C"/>
    <w:rsid w:val="61254671"/>
    <w:rsid w:val="612C0280"/>
    <w:rsid w:val="612E3337"/>
    <w:rsid w:val="61331CD5"/>
    <w:rsid w:val="614050A9"/>
    <w:rsid w:val="61465E1A"/>
    <w:rsid w:val="614B5BCE"/>
    <w:rsid w:val="614D1495"/>
    <w:rsid w:val="614D2B5A"/>
    <w:rsid w:val="61524121"/>
    <w:rsid w:val="6155426A"/>
    <w:rsid w:val="615755AF"/>
    <w:rsid w:val="615D6475"/>
    <w:rsid w:val="61620240"/>
    <w:rsid w:val="6166594C"/>
    <w:rsid w:val="616730ED"/>
    <w:rsid w:val="616C2054"/>
    <w:rsid w:val="616E3976"/>
    <w:rsid w:val="617D0D60"/>
    <w:rsid w:val="618321F0"/>
    <w:rsid w:val="618563BE"/>
    <w:rsid w:val="61861C69"/>
    <w:rsid w:val="61867017"/>
    <w:rsid w:val="618B084B"/>
    <w:rsid w:val="618E1E6E"/>
    <w:rsid w:val="618F22FB"/>
    <w:rsid w:val="61B15149"/>
    <w:rsid w:val="61B16AF8"/>
    <w:rsid w:val="61B66611"/>
    <w:rsid w:val="61B71C73"/>
    <w:rsid w:val="61B867C3"/>
    <w:rsid w:val="61C1068B"/>
    <w:rsid w:val="61C56900"/>
    <w:rsid w:val="61C73EC2"/>
    <w:rsid w:val="61D32FE5"/>
    <w:rsid w:val="61D9528D"/>
    <w:rsid w:val="61DA6BBA"/>
    <w:rsid w:val="61DE7C3D"/>
    <w:rsid w:val="61E1330A"/>
    <w:rsid w:val="61E51E0F"/>
    <w:rsid w:val="61E852C9"/>
    <w:rsid w:val="61E93953"/>
    <w:rsid w:val="61EE26FB"/>
    <w:rsid w:val="61EE28BD"/>
    <w:rsid w:val="61F0115C"/>
    <w:rsid w:val="61FA5B62"/>
    <w:rsid w:val="6203062B"/>
    <w:rsid w:val="62070260"/>
    <w:rsid w:val="620A5E09"/>
    <w:rsid w:val="62164CFF"/>
    <w:rsid w:val="6222428F"/>
    <w:rsid w:val="6226324A"/>
    <w:rsid w:val="623328EA"/>
    <w:rsid w:val="62390C34"/>
    <w:rsid w:val="6239162C"/>
    <w:rsid w:val="623D4624"/>
    <w:rsid w:val="623D5E3F"/>
    <w:rsid w:val="6241252A"/>
    <w:rsid w:val="62464E95"/>
    <w:rsid w:val="62475095"/>
    <w:rsid w:val="625377EA"/>
    <w:rsid w:val="625D49CE"/>
    <w:rsid w:val="6260455B"/>
    <w:rsid w:val="626114D6"/>
    <w:rsid w:val="6268560F"/>
    <w:rsid w:val="627C049D"/>
    <w:rsid w:val="627E327C"/>
    <w:rsid w:val="628E6DF2"/>
    <w:rsid w:val="628F77E2"/>
    <w:rsid w:val="62971DFA"/>
    <w:rsid w:val="629963D8"/>
    <w:rsid w:val="62A62474"/>
    <w:rsid w:val="62B22755"/>
    <w:rsid w:val="62B3642B"/>
    <w:rsid w:val="62B91CB2"/>
    <w:rsid w:val="62C3578D"/>
    <w:rsid w:val="62D000C9"/>
    <w:rsid w:val="62E05F11"/>
    <w:rsid w:val="62E70CE0"/>
    <w:rsid w:val="62F00E21"/>
    <w:rsid w:val="62F06C0E"/>
    <w:rsid w:val="62F571B6"/>
    <w:rsid w:val="62F91A8D"/>
    <w:rsid w:val="62FA0118"/>
    <w:rsid w:val="62FB5ADF"/>
    <w:rsid w:val="62FE0FE5"/>
    <w:rsid w:val="63016DD9"/>
    <w:rsid w:val="63026153"/>
    <w:rsid w:val="63060DC1"/>
    <w:rsid w:val="630B0513"/>
    <w:rsid w:val="630D5FB3"/>
    <w:rsid w:val="631D12C4"/>
    <w:rsid w:val="632A6383"/>
    <w:rsid w:val="632C6BDE"/>
    <w:rsid w:val="632F0EFF"/>
    <w:rsid w:val="633159CB"/>
    <w:rsid w:val="6332638D"/>
    <w:rsid w:val="633B2B0B"/>
    <w:rsid w:val="633C5BF9"/>
    <w:rsid w:val="633E36D1"/>
    <w:rsid w:val="6343466C"/>
    <w:rsid w:val="634A145E"/>
    <w:rsid w:val="634E753F"/>
    <w:rsid w:val="63607ED4"/>
    <w:rsid w:val="636469BD"/>
    <w:rsid w:val="63657E3D"/>
    <w:rsid w:val="63670D77"/>
    <w:rsid w:val="63685741"/>
    <w:rsid w:val="636A3942"/>
    <w:rsid w:val="636B5C5F"/>
    <w:rsid w:val="63716369"/>
    <w:rsid w:val="63767EE6"/>
    <w:rsid w:val="637919F5"/>
    <w:rsid w:val="637A710D"/>
    <w:rsid w:val="637D2E4D"/>
    <w:rsid w:val="63802ACC"/>
    <w:rsid w:val="6388225F"/>
    <w:rsid w:val="63947BA7"/>
    <w:rsid w:val="63B253E1"/>
    <w:rsid w:val="63B26566"/>
    <w:rsid w:val="63B601D2"/>
    <w:rsid w:val="63BD7E99"/>
    <w:rsid w:val="63D86821"/>
    <w:rsid w:val="63D8720B"/>
    <w:rsid w:val="63DF3F98"/>
    <w:rsid w:val="63E02D15"/>
    <w:rsid w:val="63E0457C"/>
    <w:rsid w:val="63E25AFD"/>
    <w:rsid w:val="63E57666"/>
    <w:rsid w:val="63F03B38"/>
    <w:rsid w:val="63F731A5"/>
    <w:rsid w:val="63FC766C"/>
    <w:rsid w:val="63FE2454"/>
    <w:rsid w:val="64022F76"/>
    <w:rsid w:val="64084173"/>
    <w:rsid w:val="640D3356"/>
    <w:rsid w:val="641269AD"/>
    <w:rsid w:val="64141212"/>
    <w:rsid w:val="641C56F8"/>
    <w:rsid w:val="64231408"/>
    <w:rsid w:val="64263EF4"/>
    <w:rsid w:val="64281DC7"/>
    <w:rsid w:val="6432123B"/>
    <w:rsid w:val="643A7824"/>
    <w:rsid w:val="644376F5"/>
    <w:rsid w:val="644A3F96"/>
    <w:rsid w:val="644B2286"/>
    <w:rsid w:val="64553AA4"/>
    <w:rsid w:val="64564ED9"/>
    <w:rsid w:val="645A5737"/>
    <w:rsid w:val="646029D7"/>
    <w:rsid w:val="64603768"/>
    <w:rsid w:val="646270E8"/>
    <w:rsid w:val="6467123E"/>
    <w:rsid w:val="646B1681"/>
    <w:rsid w:val="64706790"/>
    <w:rsid w:val="64724898"/>
    <w:rsid w:val="647C3BBA"/>
    <w:rsid w:val="64805997"/>
    <w:rsid w:val="64813A7C"/>
    <w:rsid w:val="64823A3A"/>
    <w:rsid w:val="64855B2D"/>
    <w:rsid w:val="64866B4F"/>
    <w:rsid w:val="64867427"/>
    <w:rsid w:val="648976FB"/>
    <w:rsid w:val="648A2250"/>
    <w:rsid w:val="648B1491"/>
    <w:rsid w:val="648B5259"/>
    <w:rsid w:val="648E1573"/>
    <w:rsid w:val="649A52C8"/>
    <w:rsid w:val="64AB4F48"/>
    <w:rsid w:val="64B0747D"/>
    <w:rsid w:val="64B6071F"/>
    <w:rsid w:val="64B73B84"/>
    <w:rsid w:val="64BE2F18"/>
    <w:rsid w:val="64C004BC"/>
    <w:rsid w:val="64C03551"/>
    <w:rsid w:val="64C317B4"/>
    <w:rsid w:val="64C6530B"/>
    <w:rsid w:val="64CB2A33"/>
    <w:rsid w:val="64D9451E"/>
    <w:rsid w:val="64DB77D5"/>
    <w:rsid w:val="64E105D2"/>
    <w:rsid w:val="64E37405"/>
    <w:rsid w:val="64F31974"/>
    <w:rsid w:val="64FA5C63"/>
    <w:rsid w:val="64FA6AE2"/>
    <w:rsid w:val="6507069F"/>
    <w:rsid w:val="65127100"/>
    <w:rsid w:val="6532464B"/>
    <w:rsid w:val="65341AC5"/>
    <w:rsid w:val="653A34E5"/>
    <w:rsid w:val="653C6B1D"/>
    <w:rsid w:val="65433415"/>
    <w:rsid w:val="65463750"/>
    <w:rsid w:val="654E3228"/>
    <w:rsid w:val="65537C6B"/>
    <w:rsid w:val="655C685E"/>
    <w:rsid w:val="656160AB"/>
    <w:rsid w:val="65622086"/>
    <w:rsid w:val="65644A63"/>
    <w:rsid w:val="65655B02"/>
    <w:rsid w:val="656E3321"/>
    <w:rsid w:val="65757B8D"/>
    <w:rsid w:val="65764BA6"/>
    <w:rsid w:val="6578354B"/>
    <w:rsid w:val="658E776E"/>
    <w:rsid w:val="65907AC2"/>
    <w:rsid w:val="65A3564C"/>
    <w:rsid w:val="65A62A91"/>
    <w:rsid w:val="65A8734A"/>
    <w:rsid w:val="65A9185C"/>
    <w:rsid w:val="65AB43EF"/>
    <w:rsid w:val="65B430CC"/>
    <w:rsid w:val="65CC6A3A"/>
    <w:rsid w:val="65DB0A99"/>
    <w:rsid w:val="65E919BF"/>
    <w:rsid w:val="65ED7EEF"/>
    <w:rsid w:val="65F46CFC"/>
    <w:rsid w:val="65F73BB4"/>
    <w:rsid w:val="65FB6DFE"/>
    <w:rsid w:val="660658FA"/>
    <w:rsid w:val="660B1805"/>
    <w:rsid w:val="660C035C"/>
    <w:rsid w:val="66103D06"/>
    <w:rsid w:val="66190E3D"/>
    <w:rsid w:val="661C061C"/>
    <w:rsid w:val="66235CDE"/>
    <w:rsid w:val="6628673A"/>
    <w:rsid w:val="662A259A"/>
    <w:rsid w:val="66300C32"/>
    <w:rsid w:val="6631536B"/>
    <w:rsid w:val="6639596A"/>
    <w:rsid w:val="663F1119"/>
    <w:rsid w:val="66401DD3"/>
    <w:rsid w:val="6644369D"/>
    <w:rsid w:val="66513A8B"/>
    <w:rsid w:val="66515333"/>
    <w:rsid w:val="66543F3A"/>
    <w:rsid w:val="6654755D"/>
    <w:rsid w:val="66553A9B"/>
    <w:rsid w:val="66706DA7"/>
    <w:rsid w:val="66715E7B"/>
    <w:rsid w:val="66741783"/>
    <w:rsid w:val="66847504"/>
    <w:rsid w:val="66870478"/>
    <w:rsid w:val="66892842"/>
    <w:rsid w:val="66917990"/>
    <w:rsid w:val="66941DAA"/>
    <w:rsid w:val="66972F96"/>
    <w:rsid w:val="66976DD4"/>
    <w:rsid w:val="669A7003"/>
    <w:rsid w:val="66A54376"/>
    <w:rsid w:val="66AD05F5"/>
    <w:rsid w:val="66AD1818"/>
    <w:rsid w:val="66AD4A88"/>
    <w:rsid w:val="66B4636B"/>
    <w:rsid w:val="66B93F76"/>
    <w:rsid w:val="66BE7A6E"/>
    <w:rsid w:val="66C2655F"/>
    <w:rsid w:val="66D01D1D"/>
    <w:rsid w:val="66D20F68"/>
    <w:rsid w:val="66D6103F"/>
    <w:rsid w:val="66DB5E51"/>
    <w:rsid w:val="66DC2051"/>
    <w:rsid w:val="66E1068E"/>
    <w:rsid w:val="66E13704"/>
    <w:rsid w:val="66E40BAD"/>
    <w:rsid w:val="66E77E06"/>
    <w:rsid w:val="66F861FA"/>
    <w:rsid w:val="670027A0"/>
    <w:rsid w:val="67037752"/>
    <w:rsid w:val="67050D51"/>
    <w:rsid w:val="67050D97"/>
    <w:rsid w:val="67051BD7"/>
    <w:rsid w:val="67091904"/>
    <w:rsid w:val="670E178E"/>
    <w:rsid w:val="6717419C"/>
    <w:rsid w:val="67212735"/>
    <w:rsid w:val="673611CB"/>
    <w:rsid w:val="67412B2B"/>
    <w:rsid w:val="674A450B"/>
    <w:rsid w:val="674B4E59"/>
    <w:rsid w:val="675005EC"/>
    <w:rsid w:val="675E366D"/>
    <w:rsid w:val="67635837"/>
    <w:rsid w:val="67690F3D"/>
    <w:rsid w:val="676B3A7C"/>
    <w:rsid w:val="676D52AA"/>
    <w:rsid w:val="677011BD"/>
    <w:rsid w:val="6770452E"/>
    <w:rsid w:val="67705A6F"/>
    <w:rsid w:val="67750EBE"/>
    <w:rsid w:val="67816012"/>
    <w:rsid w:val="67842D1C"/>
    <w:rsid w:val="678C278B"/>
    <w:rsid w:val="67991948"/>
    <w:rsid w:val="67A850E1"/>
    <w:rsid w:val="67AB3E74"/>
    <w:rsid w:val="67B0438B"/>
    <w:rsid w:val="67B33BE3"/>
    <w:rsid w:val="67B71656"/>
    <w:rsid w:val="67B723B3"/>
    <w:rsid w:val="67B743E8"/>
    <w:rsid w:val="67BD43E0"/>
    <w:rsid w:val="67BD4993"/>
    <w:rsid w:val="67BF12B5"/>
    <w:rsid w:val="67C0411D"/>
    <w:rsid w:val="67C95416"/>
    <w:rsid w:val="67D74048"/>
    <w:rsid w:val="67E041E2"/>
    <w:rsid w:val="67E164A0"/>
    <w:rsid w:val="67E51F56"/>
    <w:rsid w:val="67E97A89"/>
    <w:rsid w:val="67ED16B7"/>
    <w:rsid w:val="67F27764"/>
    <w:rsid w:val="67F94D8A"/>
    <w:rsid w:val="6802359C"/>
    <w:rsid w:val="68081463"/>
    <w:rsid w:val="680A257F"/>
    <w:rsid w:val="680E50C8"/>
    <w:rsid w:val="681541C3"/>
    <w:rsid w:val="681674DF"/>
    <w:rsid w:val="681D6FA0"/>
    <w:rsid w:val="682E4AF2"/>
    <w:rsid w:val="68373462"/>
    <w:rsid w:val="68447B3B"/>
    <w:rsid w:val="684F580A"/>
    <w:rsid w:val="685C0FCA"/>
    <w:rsid w:val="68650F7D"/>
    <w:rsid w:val="68655BE3"/>
    <w:rsid w:val="686926D4"/>
    <w:rsid w:val="68774A50"/>
    <w:rsid w:val="68784EDA"/>
    <w:rsid w:val="687A62EB"/>
    <w:rsid w:val="687B4F8F"/>
    <w:rsid w:val="688A20B8"/>
    <w:rsid w:val="688C0135"/>
    <w:rsid w:val="688D57D8"/>
    <w:rsid w:val="6892047F"/>
    <w:rsid w:val="689403A7"/>
    <w:rsid w:val="6897438E"/>
    <w:rsid w:val="68A01495"/>
    <w:rsid w:val="68A27905"/>
    <w:rsid w:val="68A550D0"/>
    <w:rsid w:val="68A57A2E"/>
    <w:rsid w:val="68A7533D"/>
    <w:rsid w:val="68BD6779"/>
    <w:rsid w:val="68C02111"/>
    <w:rsid w:val="68C42BDC"/>
    <w:rsid w:val="68CE3102"/>
    <w:rsid w:val="68D015E0"/>
    <w:rsid w:val="68D33B58"/>
    <w:rsid w:val="68D824C6"/>
    <w:rsid w:val="68E24545"/>
    <w:rsid w:val="68E31D7A"/>
    <w:rsid w:val="68E52DC7"/>
    <w:rsid w:val="68E71448"/>
    <w:rsid w:val="68E92B61"/>
    <w:rsid w:val="68F308C4"/>
    <w:rsid w:val="68F47E39"/>
    <w:rsid w:val="68F51C33"/>
    <w:rsid w:val="68FA62F0"/>
    <w:rsid w:val="68FE7853"/>
    <w:rsid w:val="68FF6668"/>
    <w:rsid w:val="6901117B"/>
    <w:rsid w:val="69021A4A"/>
    <w:rsid w:val="69052CE9"/>
    <w:rsid w:val="690F4CC7"/>
    <w:rsid w:val="69156DDD"/>
    <w:rsid w:val="691D61F1"/>
    <w:rsid w:val="691E3879"/>
    <w:rsid w:val="69211467"/>
    <w:rsid w:val="69214564"/>
    <w:rsid w:val="69257A7E"/>
    <w:rsid w:val="69277662"/>
    <w:rsid w:val="69344B19"/>
    <w:rsid w:val="69345F83"/>
    <w:rsid w:val="69356146"/>
    <w:rsid w:val="69392613"/>
    <w:rsid w:val="69392966"/>
    <w:rsid w:val="693C2B63"/>
    <w:rsid w:val="694E1147"/>
    <w:rsid w:val="69520D7A"/>
    <w:rsid w:val="69573B6E"/>
    <w:rsid w:val="696032C7"/>
    <w:rsid w:val="696206D3"/>
    <w:rsid w:val="6967756D"/>
    <w:rsid w:val="6968644A"/>
    <w:rsid w:val="697011ED"/>
    <w:rsid w:val="69826A24"/>
    <w:rsid w:val="698B2061"/>
    <w:rsid w:val="699004F5"/>
    <w:rsid w:val="699B6DC8"/>
    <w:rsid w:val="69A97058"/>
    <w:rsid w:val="69AB6F60"/>
    <w:rsid w:val="69B96524"/>
    <w:rsid w:val="69BE66B6"/>
    <w:rsid w:val="69C30046"/>
    <w:rsid w:val="69C8002E"/>
    <w:rsid w:val="69CF04C1"/>
    <w:rsid w:val="69D32FE1"/>
    <w:rsid w:val="69D457A0"/>
    <w:rsid w:val="69D463F2"/>
    <w:rsid w:val="69D72910"/>
    <w:rsid w:val="69D94035"/>
    <w:rsid w:val="69DC26A6"/>
    <w:rsid w:val="69E37874"/>
    <w:rsid w:val="69E56B54"/>
    <w:rsid w:val="69E96708"/>
    <w:rsid w:val="69ED002E"/>
    <w:rsid w:val="69ED2DB6"/>
    <w:rsid w:val="69ED6B4A"/>
    <w:rsid w:val="69EE54CD"/>
    <w:rsid w:val="69F92613"/>
    <w:rsid w:val="69FB7CD4"/>
    <w:rsid w:val="69FD723E"/>
    <w:rsid w:val="69FD7CEA"/>
    <w:rsid w:val="6A0229E5"/>
    <w:rsid w:val="6A067F83"/>
    <w:rsid w:val="6A097E59"/>
    <w:rsid w:val="6A0E4D51"/>
    <w:rsid w:val="6A171AFC"/>
    <w:rsid w:val="6A227A57"/>
    <w:rsid w:val="6A2A2D01"/>
    <w:rsid w:val="6A3225D7"/>
    <w:rsid w:val="6A3A620D"/>
    <w:rsid w:val="6A3B0B6C"/>
    <w:rsid w:val="6A3C0BF8"/>
    <w:rsid w:val="6A423E55"/>
    <w:rsid w:val="6A470981"/>
    <w:rsid w:val="6A4747AF"/>
    <w:rsid w:val="6A49294B"/>
    <w:rsid w:val="6A562B91"/>
    <w:rsid w:val="6A57299A"/>
    <w:rsid w:val="6A697946"/>
    <w:rsid w:val="6A6D6854"/>
    <w:rsid w:val="6A700CED"/>
    <w:rsid w:val="6A7017D7"/>
    <w:rsid w:val="6A7350A3"/>
    <w:rsid w:val="6A7F6B5C"/>
    <w:rsid w:val="6A984CE6"/>
    <w:rsid w:val="6AA235D3"/>
    <w:rsid w:val="6AA31D3D"/>
    <w:rsid w:val="6AB02B50"/>
    <w:rsid w:val="6AB14532"/>
    <w:rsid w:val="6ABB2ED0"/>
    <w:rsid w:val="6ABD7A51"/>
    <w:rsid w:val="6AC00593"/>
    <w:rsid w:val="6AC335C4"/>
    <w:rsid w:val="6AC55EC6"/>
    <w:rsid w:val="6ACC0F11"/>
    <w:rsid w:val="6ADB4318"/>
    <w:rsid w:val="6ADD7DFD"/>
    <w:rsid w:val="6AE2135D"/>
    <w:rsid w:val="6AE77D3D"/>
    <w:rsid w:val="6AE93C28"/>
    <w:rsid w:val="6AF05F1A"/>
    <w:rsid w:val="6B036D80"/>
    <w:rsid w:val="6B0451AB"/>
    <w:rsid w:val="6B0D42E2"/>
    <w:rsid w:val="6B110B6C"/>
    <w:rsid w:val="6B160110"/>
    <w:rsid w:val="6B167467"/>
    <w:rsid w:val="6B1A338E"/>
    <w:rsid w:val="6B21434C"/>
    <w:rsid w:val="6B237C36"/>
    <w:rsid w:val="6B2600DB"/>
    <w:rsid w:val="6B2718FD"/>
    <w:rsid w:val="6B2A147B"/>
    <w:rsid w:val="6B2B4CFC"/>
    <w:rsid w:val="6B2C290C"/>
    <w:rsid w:val="6B33476F"/>
    <w:rsid w:val="6B352059"/>
    <w:rsid w:val="6B3B4CA2"/>
    <w:rsid w:val="6B402B26"/>
    <w:rsid w:val="6B4514F6"/>
    <w:rsid w:val="6B4A50C0"/>
    <w:rsid w:val="6B4D3CED"/>
    <w:rsid w:val="6B5C7011"/>
    <w:rsid w:val="6B6A2B7E"/>
    <w:rsid w:val="6B705893"/>
    <w:rsid w:val="6B7221D1"/>
    <w:rsid w:val="6B725A81"/>
    <w:rsid w:val="6B7D16E0"/>
    <w:rsid w:val="6B7F30F3"/>
    <w:rsid w:val="6B873558"/>
    <w:rsid w:val="6B92645D"/>
    <w:rsid w:val="6B94060D"/>
    <w:rsid w:val="6B973734"/>
    <w:rsid w:val="6B975967"/>
    <w:rsid w:val="6B9A5777"/>
    <w:rsid w:val="6BA8277A"/>
    <w:rsid w:val="6BB248CC"/>
    <w:rsid w:val="6BBA4F60"/>
    <w:rsid w:val="6BBC0DCF"/>
    <w:rsid w:val="6BCA6179"/>
    <w:rsid w:val="6BCE3445"/>
    <w:rsid w:val="6BD0777F"/>
    <w:rsid w:val="6BD619EE"/>
    <w:rsid w:val="6BEA64E2"/>
    <w:rsid w:val="6BFA7E30"/>
    <w:rsid w:val="6BFB030F"/>
    <w:rsid w:val="6C016CAE"/>
    <w:rsid w:val="6C07197C"/>
    <w:rsid w:val="6C090252"/>
    <w:rsid w:val="6C0B7CD2"/>
    <w:rsid w:val="6C0D6AE8"/>
    <w:rsid w:val="6C100936"/>
    <w:rsid w:val="6C1962C3"/>
    <w:rsid w:val="6C1A6808"/>
    <w:rsid w:val="6C255AAD"/>
    <w:rsid w:val="6C276EFC"/>
    <w:rsid w:val="6C2C5801"/>
    <w:rsid w:val="6C2D7320"/>
    <w:rsid w:val="6C2E3E73"/>
    <w:rsid w:val="6C3321F9"/>
    <w:rsid w:val="6C33267C"/>
    <w:rsid w:val="6C3D0F56"/>
    <w:rsid w:val="6C410CB8"/>
    <w:rsid w:val="6C452BDF"/>
    <w:rsid w:val="6C593A56"/>
    <w:rsid w:val="6C5E1CDD"/>
    <w:rsid w:val="6C62391B"/>
    <w:rsid w:val="6C660C8B"/>
    <w:rsid w:val="6C6A716D"/>
    <w:rsid w:val="6C6C6ED7"/>
    <w:rsid w:val="6C71767A"/>
    <w:rsid w:val="6C7C1F44"/>
    <w:rsid w:val="6C827094"/>
    <w:rsid w:val="6C8559E0"/>
    <w:rsid w:val="6C891188"/>
    <w:rsid w:val="6C8D26FB"/>
    <w:rsid w:val="6C996561"/>
    <w:rsid w:val="6CB01397"/>
    <w:rsid w:val="6CC25213"/>
    <w:rsid w:val="6CD76A8F"/>
    <w:rsid w:val="6CDE47C9"/>
    <w:rsid w:val="6CDF1F89"/>
    <w:rsid w:val="6CE0702D"/>
    <w:rsid w:val="6CE83295"/>
    <w:rsid w:val="6CEE220B"/>
    <w:rsid w:val="6CEE246E"/>
    <w:rsid w:val="6CF27A30"/>
    <w:rsid w:val="6CF6067E"/>
    <w:rsid w:val="6D032BD4"/>
    <w:rsid w:val="6D0535EE"/>
    <w:rsid w:val="6D0565AF"/>
    <w:rsid w:val="6D077405"/>
    <w:rsid w:val="6D0A3519"/>
    <w:rsid w:val="6D0B62E2"/>
    <w:rsid w:val="6D133D59"/>
    <w:rsid w:val="6D175B2B"/>
    <w:rsid w:val="6D264EC5"/>
    <w:rsid w:val="6D26662C"/>
    <w:rsid w:val="6D287D4F"/>
    <w:rsid w:val="6D2B3CDC"/>
    <w:rsid w:val="6D330DB7"/>
    <w:rsid w:val="6D437763"/>
    <w:rsid w:val="6D47364D"/>
    <w:rsid w:val="6D4B2385"/>
    <w:rsid w:val="6D4C07B8"/>
    <w:rsid w:val="6D500E33"/>
    <w:rsid w:val="6D5B1179"/>
    <w:rsid w:val="6D671B76"/>
    <w:rsid w:val="6D6D28AF"/>
    <w:rsid w:val="6D6E5E4C"/>
    <w:rsid w:val="6D771293"/>
    <w:rsid w:val="6D78135E"/>
    <w:rsid w:val="6D7D0954"/>
    <w:rsid w:val="6D8153B2"/>
    <w:rsid w:val="6D876AB7"/>
    <w:rsid w:val="6D8A27B4"/>
    <w:rsid w:val="6D8F154F"/>
    <w:rsid w:val="6D9757D1"/>
    <w:rsid w:val="6D9C3974"/>
    <w:rsid w:val="6DA062EA"/>
    <w:rsid w:val="6DA65DBF"/>
    <w:rsid w:val="6DA76631"/>
    <w:rsid w:val="6DA77315"/>
    <w:rsid w:val="6DAE65DB"/>
    <w:rsid w:val="6DAF65CC"/>
    <w:rsid w:val="6DB157A2"/>
    <w:rsid w:val="6DB25F3D"/>
    <w:rsid w:val="6DBA586C"/>
    <w:rsid w:val="6DBE0B3F"/>
    <w:rsid w:val="6DBF7294"/>
    <w:rsid w:val="6DC2555F"/>
    <w:rsid w:val="6DC53FBD"/>
    <w:rsid w:val="6DC84395"/>
    <w:rsid w:val="6DC93FE2"/>
    <w:rsid w:val="6DCA77EA"/>
    <w:rsid w:val="6DD35114"/>
    <w:rsid w:val="6DDE35E8"/>
    <w:rsid w:val="6DE47135"/>
    <w:rsid w:val="6DE65A7A"/>
    <w:rsid w:val="6DE92FA2"/>
    <w:rsid w:val="6DEE0E7D"/>
    <w:rsid w:val="6DEF6BC8"/>
    <w:rsid w:val="6DF3002F"/>
    <w:rsid w:val="6DF574ED"/>
    <w:rsid w:val="6DF81839"/>
    <w:rsid w:val="6E0048DC"/>
    <w:rsid w:val="6E075019"/>
    <w:rsid w:val="6E0766A1"/>
    <w:rsid w:val="6E1419C0"/>
    <w:rsid w:val="6E166FE2"/>
    <w:rsid w:val="6E183FF4"/>
    <w:rsid w:val="6E1B11E5"/>
    <w:rsid w:val="6E1D151C"/>
    <w:rsid w:val="6E1D7756"/>
    <w:rsid w:val="6E245261"/>
    <w:rsid w:val="6E2E7D17"/>
    <w:rsid w:val="6E3323DD"/>
    <w:rsid w:val="6E3761D3"/>
    <w:rsid w:val="6E392DDA"/>
    <w:rsid w:val="6E3E2033"/>
    <w:rsid w:val="6E411943"/>
    <w:rsid w:val="6E440060"/>
    <w:rsid w:val="6E442CF5"/>
    <w:rsid w:val="6E54575C"/>
    <w:rsid w:val="6E5A2999"/>
    <w:rsid w:val="6E612C3F"/>
    <w:rsid w:val="6E650AD9"/>
    <w:rsid w:val="6E6F6D88"/>
    <w:rsid w:val="6E702FE8"/>
    <w:rsid w:val="6E706B87"/>
    <w:rsid w:val="6E766C71"/>
    <w:rsid w:val="6E7926F7"/>
    <w:rsid w:val="6E7B110F"/>
    <w:rsid w:val="6E8A2A35"/>
    <w:rsid w:val="6E8E20B5"/>
    <w:rsid w:val="6E8F2730"/>
    <w:rsid w:val="6E915314"/>
    <w:rsid w:val="6E991DD0"/>
    <w:rsid w:val="6EA04FAE"/>
    <w:rsid w:val="6EAA59A3"/>
    <w:rsid w:val="6EAA79ED"/>
    <w:rsid w:val="6EB029C1"/>
    <w:rsid w:val="6EB330A4"/>
    <w:rsid w:val="6EC161BE"/>
    <w:rsid w:val="6EC53240"/>
    <w:rsid w:val="6ECD08F1"/>
    <w:rsid w:val="6ED8031D"/>
    <w:rsid w:val="6EDF2531"/>
    <w:rsid w:val="6EE1335D"/>
    <w:rsid w:val="6EE50FBC"/>
    <w:rsid w:val="6EEF6508"/>
    <w:rsid w:val="6EF02682"/>
    <w:rsid w:val="6EFA4C0C"/>
    <w:rsid w:val="6EFF1809"/>
    <w:rsid w:val="6F19615F"/>
    <w:rsid w:val="6F1A3B57"/>
    <w:rsid w:val="6F1A60C4"/>
    <w:rsid w:val="6F231E41"/>
    <w:rsid w:val="6F244447"/>
    <w:rsid w:val="6F303DE1"/>
    <w:rsid w:val="6F331C81"/>
    <w:rsid w:val="6F331F52"/>
    <w:rsid w:val="6F362062"/>
    <w:rsid w:val="6F3815D3"/>
    <w:rsid w:val="6F3C0797"/>
    <w:rsid w:val="6F4048CA"/>
    <w:rsid w:val="6F405BD0"/>
    <w:rsid w:val="6F4713C5"/>
    <w:rsid w:val="6F4734D0"/>
    <w:rsid w:val="6F4B3953"/>
    <w:rsid w:val="6F555C91"/>
    <w:rsid w:val="6F603479"/>
    <w:rsid w:val="6F680494"/>
    <w:rsid w:val="6F6B5A9E"/>
    <w:rsid w:val="6F7A07E3"/>
    <w:rsid w:val="6F7D050B"/>
    <w:rsid w:val="6F8C33B0"/>
    <w:rsid w:val="6F8D5B36"/>
    <w:rsid w:val="6F953750"/>
    <w:rsid w:val="6F9B0C75"/>
    <w:rsid w:val="6FA04DA3"/>
    <w:rsid w:val="6FA10B29"/>
    <w:rsid w:val="6FAA2D8A"/>
    <w:rsid w:val="6FC02217"/>
    <w:rsid w:val="6FC34E9D"/>
    <w:rsid w:val="6FC60A07"/>
    <w:rsid w:val="6FC90F86"/>
    <w:rsid w:val="6FCD3BC3"/>
    <w:rsid w:val="6FCE2BBA"/>
    <w:rsid w:val="6FD656A8"/>
    <w:rsid w:val="6FD91844"/>
    <w:rsid w:val="6FDF40F5"/>
    <w:rsid w:val="6FE0165C"/>
    <w:rsid w:val="6FE05F95"/>
    <w:rsid w:val="6FE944E1"/>
    <w:rsid w:val="6FF021F5"/>
    <w:rsid w:val="6FF06B6B"/>
    <w:rsid w:val="6FF47B7F"/>
    <w:rsid w:val="6FF73491"/>
    <w:rsid w:val="6FF97C31"/>
    <w:rsid w:val="6FFC64FF"/>
    <w:rsid w:val="7001428F"/>
    <w:rsid w:val="700E7127"/>
    <w:rsid w:val="70133236"/>
    <w:rsid w:val="70156307"/>
    <w:rsid w:val="7016485B"/>
    <w:rsid w:val="701C590F"/>
    <w:rsid w:val="702033F7"/>
    <w:rsid w:val="7021034D"/>
    <w:rsid w:val="70252DA7"/>
    <w:rsid w:val="702D10A9"/>
    <w:rsid w:val="70315D3B"/>
    <w:rsid w:val="703D58C4"/>
    <w:rsid w:val="70453D87"/>
    <w:rsid w:val="704E5E48"/>
    <w:rsid w:val="7053674B"/>
    <w:rsid w:val="7055360F"/>
    <w:rsid w:val="70642BE6"/>
    <w:rsid w:val="706A4DCB"/>
    <w:rsid w:val="706F497B"/>
    <w:rsid w:val="70724AB3"/>
    <w:rsid w:val="70877819"/>
    <w:rsid w:val="70916EF8"/>
    <w:rsid w:val="709261ED"/>
    <w:rsid w:val="709605AE"/>
    <w:rsid w:val="709D31A3"/>
    <w:rsid w:val="70A02568"/>
    <w:rsid w:val="70AD230C"/>
    <w:rsid w:val="70B4798A"/>
    <w:rsid w:val="70B91785"/>
    <w:rsid w:val="70C41020"/>
    <w:rsid w:val="70C671BA"/>
    <w:rsid w:val="70CC1017"/>
    <w:rsid w:val="70CF255C"/>
    <w:rsid w:val="70D5454C"/>
    <w:rsid w:val="70DC2C89"/>
    <w:rsid w:val="70DD041E"/>
    <w:rsid w:val="70DD743F"/>
    <w:rsid w:val="70DD7EE0"/>
    <w:rsid w:val="70E3150B"/>
    <w:rsid w:val="70E67B77"/>
    <w:rsid w:val="70F323B0"/>
    <w:rsid w:val="70FA4DD2"/>
    <w:rsid w:val="70FD7C9B"/>
    <w:rsid w:val="70FE0735"/>
    <w:rsid w:val="710221FA"/>
    <w:rsid w:val="71094431"/>
    <w:rsid w:val="710D3478"/>
    <w:rsid w:val="710F7585"/>
    <w:rsid w:val="711805A6"/>
    <w:rsid w:val="711A79AD"/>
    <w:rsid w:val="71217446"/>
    <w:rsid w:val="71224F32"/>
    <w:rsid w:val="7123463F"/>
    <w:rsid w:val="713B1ED6"/>
    <w:rsid w:val="71402DA5"/>
    <w:rsid w:val="714463AC"/>
    <w:rsid w:val="7144693A"/>
    <w:rsid w:val="71525708"/>
    <w:rsid w:val="71542A3C"/>
    <w:rsid w:val="71584711"/>
    <w:rsid w:val="71595F23"/>
    <w:rsid w:val="716A4C59"/>
    <w:rsid w:val="716D3AF0"/>
    <w:rsid w:val="717106F9"/>
    <w:rsid w:val="71811922"/>
    <w:rsid w:val="7184567C"/>
    <w:rsid w:val="71866C06"/>
    <w:rsid w:val="718F2568"/>
    <w:rsid w:val="718F3086"/>
    <w:rsid w:val="71910B53"/>
    <w:rsid w:val="719D1BC1"/>
    <w:rsid w:val="719E09E3"/>
    <w:rsid w:val="719F5958"/>
    <w:rsid w:val="71A33FEC"/>
    <w:rsid w:val="71A601E7"/>
    <w:rsid w:val="71A953B8"/>
    <w:rsid w:val="71AC51C8"/>
    <w:rsid w:val="71C37CE8"/>
    <w:rsid w:val="71C402EA"/>
    <w:rsid w:val="71D4132F"/>
    <w:rsid w:val="71D53676"/>
    <w:rsid w:val="71DA32B4"/>
    <w:rsid w:val="71E32E83"/>
    <w:rsid w:val="71E83969"/>
    <w:rsid w:val="71F1228B"/>
    <w:rsid w:val="71F46D71"/>
    <w:rsid w:val="71F61946"/>
    <w:rsid w:val="71F96411"/>
    <w:rsid w:val="71FA7506"/>
    <w:rsid w:val="72061465"/>
    <w:rsid w:val="720F1ACD"/>
    <w:rsid w:val="721C0759"/>
    <w:rsid w:val="722F766C"/>
    <w:rsid w:val="723256D8"/>
    <w:rsid w:val="72382B26"/>
    <w:rsid w:val="72385872"/>
    <w:rsid w:val="723A6B6E"/>
    <w:rsid w:val="723B470E"/>
    <w:rsid w:val="72451F4F"/>
    <w:rsid w:val="72456442"/>
    <w:rsid w:val="7247128C"/>
    <w:rsid w:val="72493E35"/>
    <w:rsid w:val="725B0CD8"/>
    <w:rsid w:val="7264361A"/>
    <w:rsid w:val="726822A9"/>
    <w:rsid w:val="726C3438"/>
    <w:rsid w:val="727367E8"/>
    <w:rsid w:val="72791B78"/>
    <w:rsid w:val="727C5618"/>
    <w:rsid w:val="727F3E51"/>
    <w:rsid w:val="7287073E"/>
    <w:rsid w:val="728C70E1"/>
    <w:rsid w:val="7290542B"/>
    <w:rsid w:val="72913002"/>
    <w:rsid w:val="72917F17"/>
    <w:rsid w:val="72935E6A"/>
    <w:rsid w:val="729A7834"/>
    <w:rsid w:val="72A00661"/>
    <w:rsid w:val="72AF2463"/>
    <w:rsid w:val="72B05336"/>
    <w:rsid w:val="72B06D9D"/>
    <w:rsid w:val="72B715E4"/>
    <w:rsid w:val="72C32F53"/>
    <w:rsid w:val="72C77A8A"/>
    <w:rsid w:val="72CB7C4C"/>
    <w:rsid w:val="72D86D20"/>
    <w:rsid w:val="72DB6BCE"/>
    <w:rsid w:val="72F70D65"/>
    <w:rsid w:val="72F762C6"/>
    <w:rsid w:val="72FA1D93"/>
    <w:rsid w:val="72FE3E8E"/>
    <w:rsid w:val="731B711B"/>
    <w:rsid w:val="731C3ED2"/>
    <w:rsid w:val="731E5631"/>
    <w:rsid w:val="732009B8"/>
    <w:rsid w:val="732B0C72"/>
    <w:rsid w:val="733271A4"/>
    <w:rsid w:val="73330C63"/>
    <w:rsid w:val="733863E3"/>
    <w:rsid w:val="733A3332"/>
    <w:rsid w:val="733C1D9D"/>
    <w:rsid w:val="733E3B7F"/>
    <w:rsid w:val="733E46B2"/>
    <w:rsid w:val="733E586B"/>
    <w:rsid w:val="733E59D9"/>
    <w:rsid w:val="734B3969"/>
    <w:rsid w:val="73597F33"/>
    <w:rsid w:val="7375490C"/>
    <w:rsid w:val="73757E63"/>
    <w:rsid w:val="737D2F4F"/>
    <w:rsid w:val="738B029F"/>
    <w:rsid w:val="73900D21"/>
    <w:rsid w:val="739A7114"/>
    <w:rsid w:val="739D5416"/>
    <w:rsid w:val="739F2349"/>
    <w:rsid w:val="739F6287"/>
    <w:rsid w:val="73A242CD"/>
    <w:rsid w:val="73A935F2"/>
    <w:rsid w:val="73AC333B"/>
    <w:rsid w:val="73AD3C4B"/>
    <w:rsid w:val="73B11DBC"/>
    <w:rsid w:val="73B1795C"/>
    <w:rsid w:val="73B51018"/>
    <w:rsid w:val="73B67CAD"/>
    <w:rsid w:val="73B86EBC"/>
    <w:rsid w:val="73C340B3"/>
    <w:rsid w:val="73C72DB3"/>
    <w:rsid w:val="73C81AA9"/>
    <w:rsid w:val="73C854F0"/>
    <w:rsid w:val="73CC2F38"/>
    <w:rsid w:val="73CE0B05"/>
    <w:rsid w:val="73D007EE"/>
    <w:rsid w:val="73D27A00"/>
    <w:rsid w:val="73D31801"/>
    <w:rsid w:val="73D9581C"/>
    <w:rsid w:val="73DA2FBB"/>
    <w:rsid w:val="73DC2CAB"/>
    <w:rsid w:val="73DC5744"/>
    <w:rsid w:val="73E36876"/>
    <w:rsid w:val="73E72CB9"/>
    <w:rsid w:val="74014C0C"/>
    <w:rsid w:val="740B7234"/>
    <w:rsid w:val="741B5358"/>
    <w:rsid w:val="74202F12"/>
    <w:rsid w:val="742C093F"/>
    <w:rsid w:val="742F68DF"/>
    <w:rsid w:val="7435797F"/>
    <w:rsid w:val="7442738A"/>
    <w:rsid w:val="744A0545"/>
    <w:rsid w:val="744F0653"/>
    <w:rsid w:val="744F7C70"/>
    <w:rsid w:val="74521009"/>
    <w:rsid w:val="74532888"/>
    <w:rsid w:val="745C54BA"/>
    <w:rsid w:val="74632A31"/>
    <w:rsid w:val="7465205B"/>
    <w:rsid w:val="746954DB"/>
    <w:rsid w:val="74743C33"/>
    <w:rsid w:val="747640DF"/>
    <w:rsid w:val="747E6036"/>
    <w:rsid w:val="74807A49"/>
    <w:rsid w:val="7482175B"/>
    <w:rsid w:val="74843F0D"/>
    <w:rsid w:val="74A67409"/>
    <w:rsid w:val="74B37F42"/>
    <w:rsid w:val="74B539F8"/>
    <w:rsid w:val="74B94875"/>
    <w:rsid w:val="74BA4FF9"/>
    <w:rsid w:val="74C311F6"/>
    <w:rsid w:val="74C53F19"/>
    <w:rsid w:val="74C579E1"/>
    <w:rsid w:val="74CA0770"/>
    <w:rsid w:val="74D52F3D"/>
    <w:rsid w:val="74D81528"/>
    <w:rsid w:val="74D96025"/>
    <w:rsid w:val="74DA07A2"/>
    <w:rsid w:val="74DF39E4"/>
    <w:rsid w:val="74E133B4"/>
    <w:rsid w:val="74E1491C"/>
    <w:rsid w:val="74E67A31"/>
    <w:rsid w:val="74F61278"/>
    <w:rsid w:val="74F65697"/>
    <w:rsid w:val="74F90505"/>
    <w:rsid w:val="74FC67D7"/>
    <w:rsid w:val="7501178C"/>
    <w:rsid w:val="75092044"/>
    <w:rsid w:val="7510516D"/>
    <w:rsid w:val="75124563"/>
    <w:rsid w:val="751274A1"/>
    <w:rsid w:val="75190871"/>
    <w:rsid w:val="751C2143"/>
    <w:rsid w:val="75295853"/>
    <w:rsid w:val="752D2921"/>
    <w:rsid w:val="752F1869"/>
    <w:rsid w:val="752F2DAC"/>
    <w:rsid w:val="75387884"/>
    <w:rsid w:val="75475838"/>
    <w:rsid w:val="755D7E3D"/>
    <w:rsid w:val="75631790"/>
    <w:rsid w:val="7566472C"/>
    <w:rsid w:val="756B1E1E"/>
    <w:rsid w:val="756B62BD"/>
    <w:rsid w:val="7578413D"/>
    <w:rsid w:val="757B64ED"/>
    <w:rsid w:val="757C232A"/>
    <w:rsid w:val="75851DCA"/>
    <w:rsid w:val="75895C6B"/>
    <w:rsid w:val="758F3A2A"/>
    <w:rsid w:val="7595284C"/>
    <w:rsid w:val="759638CA"/>
    <w:rsid w:val="7599617F"/>
    <w:rsid w:val="759A19E2"/>
    <w:rsid w:val="759D7802"/>
    <w:rsid w:val="75A011FF"/>
    <w:rsid w:val="75A70E4F"/>
    <w:rsid w:val="75AA3F51"/>
    <w:rsid w:val="75B11420"/>
    <w:rsid w:val="75B263D3"/>
    <w:rsid w:val="75CB7A28"/>
    <w:rsid w:val="75DA0294"/>
    <w:rsid w:val="75DC2372"/>
    <w:rsid w:val="75E16CC1"/>
    <w:rsid w:val="75F22E0F"/>
    <w:rsid w:val="7600000E"/>
    <w:rsid w:val="760021B6"/>
    <w:rsid w:val="760950F4"/>
    <w:rsid w:val="76122AB3"/>
    <w:rsid w:val="76127806"/>
    <w:rsid w:val="76154B74"/>
    <w:rsid w:val="761C414A"/>
    <w:rsid w:val="761D237D"/>
    <w:rsid w:val="762721D0"/>
    <w:rsid w:val="76292CB3"/>
    <w:rsid w:val="76380CDC"/>
    <w:rsid w:val="76383420"/>
    <w:rsid w:val="76411431"/>
    <w:rsid w:val="7649562B"/>
    <w:rsid w:val="764F7C59"/>
    <w:rsid w:val="76536622"/>
    <w:rsid w:val="765566B4"/>
    <w:rsid w:val="76605088"/>
    <w:rsid w:val="76617C2E"/>
    <w:rsid w:val="76636412"/>
    <w:rsid w:val="766477E2"/>
    <w:rsid w:val="7668119A"/>
    <w:rsid w:val="766966D4"/>
    <w:rsid w:val="766E17F9"/>
    <w:rsid w:val="76804CD3"/>
    <w:rsid w:val="76894FB9"/>
    <w:rsid w:val="768C1EBA"/>
    <w:rsid w:val="768E260E"/>
    <w:rsid w:val="769222A0"/>
    <w:rsid w:val="769568F8"/>
    <w:rsid w:val="76993596"/>
    <w:rsid w:val="769F0134"/>
    <w:rsid w:val="76A65C22"/>
    <w:rsid w:val="76B14AAD"/>
    <w:rsid w:val="76B44C21"/>
    <w:rsid w:val="76C118A2"/>
    <w:rsid w:val="76C32B57"/>
    <w:rsid w:val="76C63D93"/>
    <w:rsid w:val="76CB0A63"/>
    <w:rsid w:val="76D25527"/>
    <w:rsid w:val="76D81970"/>
    <w:rsid w:val="76DD3810"/>
    <w:rsid w:val="76E451C7"/>
    <w:rsid w:val="76E472DD"/>
    <w:rsid w:val="76E8548D"/>
    <w:rsid w:val="76ED3B38"/>
    <w:rsid w:val="76F13EA7"/>
    <w:rsid w:val="76F14581"/>
    <w:rsid w:val="76F3209A"/>
    <w:rsid w:val="76F77BBD"/>
    <w:rsid w:val="76FD22EC"/>
    <w:rsid w:val="76FD6D57"/>
    <w:rsid w:val="77030B27"/>
    <w:rsid w:val="77034D41"/>
    <w:rsid w:val="77041D95"/>
    <w:rsid w:val="77095079"/>
    <w:rsid w:val="7718408C"/>
    <w:rsid w:val="771D7BC5"/>
    <w:rsid w:val="7723073F"/>
    <w:rsid w:val="772527B2"/>
    <w:rsid w:val="772A6A8E"/>
    <w:rsid w:val="773B25F8"/>
    <w:rsid w:val="773B48CE"/>
    <w:rsid w:val="773D0C62"/>
    <w:rsid w:val="773F62E5"/>
    <w:rsid w:val="7743414C"/>
    <w:rsid w:val="774551B5"/>
    <w:rsid w:val="775124A2"/>
    <w:rsid w:val="77523DCF"/>
    <w:rsid w:val="77591191"/>
    <w:rsid w:val="77606B3D"/>
    <w:rsid w:val="776870B9"/>
    <w:rsid w:val="776967FB"/>
    <w:rsid w:val="776D4583"/>
    <w:rsid w:val="7776540C"/>
    <w:rsid w:val="777A37E1"/>
    <w:rsid w:val="778100C2"/>
    <w:rsid w:val="778121B3"/>
    <w:rsid w:val="77855EB4"/>
    <w:rsid w:val="779D35D8"/>
    <w:rsid w:val="77A94947"/>
    <w:rsid w:val="77AA135C"/>
    <w:rsid w:val="77AB510D"/>
    <w:rsid w:val="77AB7E27"/>
    <w:rsid w:val="77AC14DA"/>
    <w:rsid w:val="77AD64CA"/>
    <w:rsid w:val="77AF3504"/>
    <w:rsid w:val="77B36F7C"/>
    <w:rsid w:val="77BC6B30"/>
    <w:rsid w:val="77BE1BC2"/>
    <w:rsid w:val="77C75FA5"/>
    <w:rsid w:val="77C926F0"/>
    <w:rsid w:val="77CA0362"/>
    <w:rsid w:val="77D17A81"/>
    <w:rsid w:val="77D2359F"/>
    <w:rsid w:val="77E40C30"/>
    <w:rsid w:val="77FC1B84"/>
    <w:rsid w:val="77FF3177"/>
    <w:rsid w:val="780254EB"/>
    <w:rsid w:val="78055C6F"/>
    <w:rsid w:val="780752E6"/>
    <w:rsid w:val="780B6CC7"/>
    <w:rsid w:val="78153F77"/>
    <w:rsid w:val="78155CF2"/>
    <w:rsid w:val="78185315"/>
    <w:rsid w:val="781C67FA"/>
    <w:rsid w:val="782378AE"/>
    <w:rsid w:val="78296DAC"/>
    <w:rsid w:val="783267CC"/>
    <w:rsid w:val="783E418B"/>
    <w:rsid w:val="783F1754"/>
    <w:rsid w:val="784A7790"/>
    <w:rsid w:val="784E3C01"/>
    <w:rsid w:val="78570849"/>
    <w:rsid w:val="78575D9F"/>
    <w:rsid w:val="785B5DBF"/>
    <w:rsid w:val="78600977"/>
    <w:rsid w:val="78617AF2"/>
    <w:rsid w:val="78626899"/>
    <w:rsid w:val="786421F2"/>
    <w:rsid w:val="786616B3"/>
    <w:rsid w:val="786E5D08"/>
    <w:rsid w:val="787D41E5"/>
    <w:rsid w:val="787E7A1D"/>
    <w:rsid w:val="78812F7C"/>
    <w:rsid w:val="789054AC"/>
    <w:rsid w:val="789469EF"/>
    <w:rsid w:val="78975C7D"/>
    <w:rsid w:val="78A51B95"/>
    <w:rsid w:val="78AA6975"/>
    <w:rsid w:val="78B15E1D"/>
    <w:rsid w:val="78C15B1C"/>
    <w:rsid w:val="78C359B3"/>
    <w:rsid w:val="78C653C1"/>
    <w:rsid w:val="78C9190A"/>
    <w:rsid w:val="78C97D4F"/>
    <w:rsid w:val="78CC0493"/>
    <w:rsid w:val="78DB3FCA"/>
    <w:rsid w:val="78EC2D52"/>
    <w:rsid w:val="78F5480C"/>
    <w:rsid w:val="78FA7F8E"/>
    <w:rsid w:val="79036E66"/>
    <w:rsid w:val="790945D5"/>
    <w:rsid w:val="790B5E2B"/>
    <w:rsid w:val="790E47EA"/>
    <w:rsid w:val="790E548B"/>
    <w:rsid w:val="79104E2B"/>
    <w:rsid w:val="79135CA0"/>
    <w:rsid w:val="791467F0"/>
    <w:rsid w:val="7915089E"/>
    <w:rsid w:val="791A58CD"/>
    <w:rsid w:val="791D6D3A"/>
    <w:rsid w:val="791F537B"/>
    <w:rsid w:val="79344437"/>
    <w:rsid w:val="79367982"/>
    <w:rsid w:val="793D5C2F"/>
    <w:rsid w:val="793E1D3B"/>
    <w:rsid w:val="793F7F0E"/>
    <w:rsid w:val="794A336F"/>
    <w:rsid w:val="794B6C37"/>
    <w:rsid w:val="79537099"/>
    <w:rsid w:val="79552D08"/>
    <w:rsid w:val="7957124C"/>
    <w:rsid w:val="795E7ED2"/>
    <w:rsid w:val="79672E22"/>
    <w:rsid w:val="79677010"/>
    <w:rsid w:val="796E6578"/>
    <w:rsid w:val="79711579"/>
    <w:rsid w:val="797121AE"/>
    <w:rsid w:val="797761C6"/>
    <w:rsid w:val="797E1825"/>
    <w:rsid w:val="79994E18"/>
    <w:rsid w:val="79A7288D"/>
    <w:rsid w:val="79AA3C4E"/>
    <w:rsid w:val="79AE312A"/>
    <w:rsid w:val="79B3208C"/>
    <w:rsid w:val="79B70130"/>
    <w:rsid w:val="79BD5598"/>
    <w:rsid w:val="79C8453B"/>
    <w:rsid w:val="79CB0706"/>
    <w:rsid w:val="79CB0751"/>
    <w:rsid w:val="79CE66ED"/>
    <w:rsid w:val="79CF6E25"/>
    <w:rsid w:val="79D42664"/>
    <w:rsid w:val="79D51250"/>
    <w:rsid w:val="79DB4236"/>
    <w:rsid w:val="79E46B39"/>
    <w:rsid w:val="79E66C93"/>
    <w:rsid w:val="79F16E80"/>
    <w:rsid w:val="79F32B94"/>
    <w:rsid w:val="79F842C2"/>
    <w:rsid w:val="79FA0A29"/>
    <w:rsid w:val="79FC6E04"/>
    <w:rsid w:val="79FE2A4E"/>
    <w:rsid w:val="7A0241AD"/>
    <w:rsid w:val="7A081D42"/>
    <w:rsid w:val="7A0A6E0F"/>
    <w:rsid w:val="7A0A7223"/>
    <w:rsid w:val="7A0C4EA7"/>
    <w:rsid w:val="7A12552F"/>
    <w:rsid w:val="7A1524DD"/>
    <w:rsid w:val="7A1A1772"/>
    <w:rsid w:val="7A1E1DC3"/>
    <w:rsid w:val="7A2751AD"/>
    <w:rsid w:val="7A276994"/>
    <w:rsid w:val="7A2C129F"/>
    <w:rsid w:val="7A3B034D"/>
    <w:rsid w:val="7A3B1C6C"/>
    <w:rsid w:val="7A3F158B"/>
    <w:rsid w:val="7A4A132A"/>
    <w:rsid w:val="7A535840"/>
    <w:rsid w:val="7A5566EE"/>
    <w:rsid w:val="7A646A69"/>
    <w:rsid w:val="7A6736BC"/>
    <w:rsid w:val="7A6A7B3B"/>
    <w:rsid w:val="7A7060B4"/>
    <w:rsid w:val="7A7067FA"/>
    <w:rsid w:val="7A721F7E"/>
    <w:rsid w:val="7A746574"/>
    <w:rsid w:val="7A7678E5"/>
    <w:rsid w:val="7A7A585C"/>
    <w:rsid w:val="7A7B24DD"/>
    <w:rsid w:val="7A7D2094"/>
    <w:rsid w:val="7A7F65CA"/>
    <w:rsid w:val="7A844954"/>
    <w:rsid w:val="7A867241"/>
    <w:rsid w:val="7A876B11"/>
    <w:rsid w:val="7A88301C"/>
    <w:rsid w:val="7A963A48"/>
    <w:rsid w:val="7A9660A3"/>
    <w:rsid w:val="7A9861CB"/>
    <w:rsid w:val="7A986784"/>
    <w:rsid w:val="7ABB3E82"/>
    <w:rsid w:val="7AC3568E"/>
    <w:rsid w:val="7AC449C6"/>
    <w:rsid w:val="7AD17D6D"/>
    <w:rsid w:val="7AD71052"/>
    <w:rsid w:val="7AD9797E"/>
    <w:rsid w:val="7ADE3DB2"/>
    <w:rsid w:val="7AE5682B"/>
    <w:rsid w:val="7AEE60EE"/>
    <w:rsid w:val="7AFE6C9A"/>
    <w:rsid w:val="7B0E060E"/>
    <w:rsid w:val="7B0F5219"/>
    <w:rsid w:val="7B177A77"/>
    <w:rsid w:val="7B193032"/>
    <w:rsid w:val="7B1B1CF8"/>
    <w:rsid w:val="7B26484C"/>
    <w:rsid w:val="7B2B13FD"/>
    <w:rsid w:val="7B3339FA"/>
    <w:rsid w:val="7B346599"/>
    <w:rsid w:val="7B3C25E5"/>
    <w:rsid w:val="7B44094D"/>
    <w:rsid w:val="7B460BFD"/>
    <w:rsid w:val="7B4910BE"/>
    <w:rsid w:val="7B4A7A19"/>
    <w:rsid w:val="7B50325A"/>
    <w:rsid w:val="7B5D3226"/>
    <w:rsid w:val="7B5E4EEC"/>
    <w:rsid w:val="7B624A61"/>
    <w:rsid w:val="7B674BD7"/>
    <w:rsid w:val="7B6D1622"/>
    <w:rsid w:val="7B6E2192"/>
    <w:rsid w:val="7B71585E"/>
    <w:rsid w:val="7B722498"/>
    <w:rsid w:val="7B782690"/>
    <w:rsid w:val="7B793E87"/>
    <w:rsid w:val="7B7C50C8"/>
    <w:rsid w:val="7B7F3966"/>
    <w:rsid w:val="7B80148D"/>
    <w:rsid w:val="7B821ADA"/>
    <w:rsid w:val="7B8F5DA2"/>
    <w:rsid w:val="7B926883"/>
    <w:rsid w:val="7BA34FB1"/>
    <w:rsid w:val="7BA4369C"/>
    <w:rsid w:val="7BA71440"/>
    <w:rsid w:val="7BAE696E"/>
    <w:rsid w:val="7BAF3C86"/>
    <w:rsid w:val="7BC23E12"/>
    <w:rsid w:val="7BC45CF4"/>
    <w:rsid w:val="7BC92A6F"/>
    <w:rsid w:val="7BD36780"/>
    <w:rsid w:val="7BD4048E"/>
    <w:rsid w:val="7BD968AC"/>
    <w:rsid w:val="7BDE060F"/>
    <w:rsid w:val="7BDE524C"/>
    <w:rsid w:val="7BDF5DF5"/>
    <w:rsid w:val="7BE908F3"/>
    <w:rsid w:val="7BE9784F"/>
    <w:rsid w:val="7BEA5E74"/>
    <w:rsid w:val="7BF00328"/>
    <w:rsid w:val="7BF577C1"/>
    <w:rsid w:val="7BF9001B"/>
    <w:rsid w:val="7BFE0389"/>
    <w:rsid w:val="7BFE08FA"/>
    <w:rsid w:val="7C091716"/>
    <w:rsid w:val="7C126AEB"/>
    <w:rsid w:val="7C1F2070"/>
    <w:rsid w:val="7C260105"/>
    <w:rsid w:val="7C2900A2"/>
    <w:rsid w:val="7C295D17"/>
    <w:rsid w:val="7C2A10CD"/>
    <w:rsid w:val="7C2C0E73"/>
    <w:rsid w:val="7C2D2AE7"/>
    <w:rsid w:val="7C2E5247"/>
    <w:rsid w:val="7C4A06A1"/>
    <w:rsid w:val="7C4A5A50"/>
    <w:rsid w:val="7C4B681D"/>
    <w:rsid w:val="7C4C575E"/>
    <w:rsid w:val="7C640974"/>
    <w:rsid w:val="7C643EF7"/>
    <w:rsid w:val="7C690B20"/>
    <w:rsid w:val="7C71523C"/>
    <w:rsid w:val="7C724EAE"/>
    <w:rsid w:val="7C780AD5"/>
    <w:rsid w:val="7C7A14F2"/>
    <w:rsid w:val="7C7E2FFC"/>
    <w:rsid w:val="7C7F038C"/>
    <w:rsid w:val="7C867154"/>
    <w:rsid w:val="7C8A49AA"/>
    <w:rsid w:val="7C8F78D5"/>
    <w:rsid w:val="7C9427B3"/>
    <w:rsid w:val="7C9E5A77"/>
    <w:rsid w:val="7CA777DA"/>
    <w:rsid w:val="7CAD2B44"/>
    <w:rsid w:val="7CB74F4A"/>
    <w:rsid w:val="7CB80138"/>
    <w:rsid w:val="7CB838AF"/>
    <w:rsid w:val="7CBE6F50"/>
    <w:rsid w:val="7CC639C6"/>
    <w:rsid w:val="7CC96839"/>
    <w:rsid w:val="7CCC3CFE"/>
    <w:rsid w:val="7CCD12D3"/>
    <w:rsid w:val="7CD505D1"/>
    <w:rsid w:val="7CD534FD"/>
    <w:rsid w:val="7CD6692A"/>
    <w:rsid w:val="7CDE11DF"/>
    <w:rsid w:val="7CE215AC"/>
    <w:rsid w:val="7CE25B4A"/>
    <w:rsid w:val="7CE3422B"/>
    <w:rsid w:val="7CE5443B"/>
    <w:rsid w:val="7CE76B7F"/>
    <w:rsid w:val="7CED09D9"/>
    <w:rsid w:val="7CF436AD"/>
    <w:rsid w:val="7CF87323"/>
    <w:rsid w:val="7CFC65E9"/>
    <w:rsid w:val="7CFD1F2F"/>
    <w:rsid w:val="7CFF2442"/>
    <w:rsid w:val="7D0115A5"/>
    <w:rsid w:val="7D017D9A"/>
    <w:rsid w:val="7D080205"/>
    <w:rsid w:val="7D0A432A"/>
    <w:rsid w:val="7D0F2DDE"/>
    <w:rsid w:val="7D144B3C"/>
    <w:rsid w:val="7D167BA2"/>
    <w:rsid w:val="7D177687"/>
    <w:rsid w:val="7D1F5883"/>
    <w:rsid w:val="7D242066"/>
    <w:rsid w:val="7D282F0F"/>
    <w:rsid w:val="7D286550"/>
    <w:rsid w:val="7D3140B5"/>
    <w:rsid w:val="7D3874D2"/>
    <w:rsid w:val="7D405530"/>
    <w:rsid w:val="7D4241A1"/>
    <w:rsid w:val="7D452B7F"/>
    <w:rsid w:val="7D497FAA"/>
    <w:rsid w:val="7D526E71"/>
    <w:rsid w:val="7D532432"/>
    <w:rsid w:val="7D5A5BFC"/>
    <w:rsid w:val="7D6518EB"/>
    <w:rsid w:val="7D6B77B5"/>
    <w:rsid w:val="7D7371E1"/>
    <w:rsid w:val="7D74008A"/>
    <w:rsid w:val="7D7862CF"/>
    <w:rsid w:val="7D7A4E9D"/>
    <w:rsid w:val="7D7F0E79"/>
    <w:rsid w:val="7D851CFF"/>
    <w:rsid w:val="7DA65B7D"/>
    <w:rsid w:val="7DA72A35"/>
    <w:rsid w:val="7DA86112"/>
    <w:rsid w:val="7DAE3829"/>
    <w:rsid w:val="7DB00509"/>
    <w:rsid w:val="7DB9268E"/>
    <w:rsid w:val="7DBF3388"/>
    <w:rsid w:val="7DC71DAD"/>
    <w:rsid w:val="7DC8040C"/>
    <w:rsid w:val="7DC85A3E"/>
    <w:rsid w:val="7DCD3893"/>
    <w:rsid w:val="7DCE15A0"/>
    <w:rsid w:val="7DCF3C5F"/>
    <w:rsid w:val="7DD03D33"/>
    <w:rsid w:val="7DD410E6"/>
    <w:rsid w:val="7DD603AD"/>
    <w:rsid w:val="7DD82F1A"/>
    <w:rsid w:val="7DDA1110"/>
    <w:rsid w:val="7DE020DC"/>
    <w:rsid w:val="7DE449CE"/>
    <w:rsid w:val="7DE7722C"/>
    <w:rsid w:val="7DEC05A8"/>
    <w:rsid w:val="7DED1348"/>
    <w:rsid w:val="7DEE71DF"/>
    <w:rsid w:val="7DF66186"/>
    <w:rsid w:val="7E007B1A"/>
    <w:rsid w:val="7E0A5EA4"/>
    <w:rsid w:val="7E0A72D5"/>
    <w:rsid w:val="7E0B3C08"/>
    <w:rsid w:val="7E154422"/>
    <w:rsid w:val="7E1C2B95"/>
    <w:rsid w:val="7E1E3CF4"/>
    <w:rsid w:val="7E212526"/>
    <w:rsid w:val="7E262B03"/>
    <w:rsid w:val="7E29766E"/>
    <w:rsid w:val="7E2E765A"/>
    <w:rsid w:val="7E324C10"/>
    <w:rsid w:val="7E324D32"/>
    <w:rsid w:val="7E3B7336"/>
    <w:rsid w:val="7E3D35D7"/>
    <w:rsid w:val="7E466A84"/>
    <w:rsid w:val="7E472FFE"/>
    <w:rsid w:val="7E4A6379"/>
    <w:rsid w:val="7E5248E3"/>
    <w:rsid w:val="7E5A2EA0"/>
    <w:rsid w:val="7E66305F"/>
    <w:rsid w:val="7E6854DB"/>
    <w:rsid w:val="7E6C43B3"/>
    <w:rsid w:val="7E7311AB"/>
    <w:rsid w:val="7E77762F"/>
    <w:rsid w:val="7E793E63"/>
    <w:rsid w:val="7E7B1715"/>
    <w:rsid w:val="7E8031F2"/>
    <w:rsid w:val="7E860496"/>
    <w:rsid w:val="7E956D81"/>
    <w:rsid w:val="7E9611E7"/>
    <w:rsid w:val="7E9963F8"/>
    <w:rsid w:val="7E9D0633"/>
    <w:rsid w:val="7EA82B9C"/>
    <w:rsid w:val="7EA95574"/>
    <w:rsid w:val="7EB13A3E"/>
    <w:rsid w:val="7EB16AB6"/>
    <w:rsid w:val="7EBD651F"/>
    <w:rsid w:val="7EC05F3D"/>
    <w:rsid w:val="7EC07C28"/>
    <w:rsid w:val="7ECB3BBC"/>
    <w:rsid w:val="7ED27810"/>
    <w:rsid w:val="7ED83896"/>
    <w:rsid w:val="7EDC2729"/>
    <w:rsid w:val="7EE15DD1"/>
    <w:rsid w:val="7EEB46E8"/>
    <w:rsid w:val="7EEE3759"/>
    <w:rsid w:val="7EF04016"/>
    <w:rsid w:val="7EF94F98"/>
    <w:rsid w:val="7EFB200E"/>
    <w:rsid w:val="7EFF41BF"/>
    <w:rsid w:val="7F0126E4"/>
    <w:rsid w:val="7F013802"/>
    <w:rsid w:val="7F051449"/>
    <w:rsid w:val="7F1A1324"/>
    <w:rsid w:val="7F1A4AEF"/>
    <w:rsid w:val="7F271E5F"/>
    <w:rsid w:val="7F29623C"/>
    <w:rsid w:val="7F2D4C74"/>
    <w:rsid w:val="7F341EAD"/>
    <w:rsid w:val="7F350A03"/>
    <w:rsid w:val="7F375587"/>
    <w:rsid w:val="7F3B2B2F"/>
    <w:rsid w:val="7F406D66"/>
    <w:rsid w:val="7F421AF0"/>
    <w:rsid w:val="7F516AFB"/>
    <w:rsid w:val="7F585C16"/>
    <w:rsid w:val="7F5B38C5"/>
    <w:rsid w:val="7F5C5B37"/>
    <w:rsid w:val="7F6566E6"/>
    <w:rsid w:val="7F6A7C64"/>
    <w:rsid w:val="7F6B0BA4"/>
    <w:rsid w:val="7F6E0CE1"/>
    <w:rsid w:val="7F6F6E86"/>
    <w:rsid w:val="7F8A3738"/>
    <w:rsid w:val="7F8B3191"/>
    <w:rsid w:val="7F8C0C31"/>
    <w:rsid w:val="7F8E4655"/>
    <w:rsid w:val="7F8E6809"/>
    <w:rsid w:val="7F987985"/>
    <w:rsid w:val="7F992C82"/>
    <w:rsid w:val="7F9C63C5"/>
    <w:rsid w:val="7F9E0C2E"/>
    <w:rsid w:val="7FA23301"/>
    <w:rsid w:val="7FAF35C9"/>
    <w:rsid w:val="7FAF535A"/>
    <w:rsid w:val="7FB620B9"/>
    <w:rsid w:val="7FBE4780"/>
    <w:rsid w:val="7FC07CDA"/>
    <w:rsid w:val="7FC33EC6"/>
    <w:rsid w:val="7FD30895"/>
    <w:rsid w:val="7FD52EF4"/>
    <w:rsid w:val="7FE932BA"/>
    <w:rsid w:val="7FEC3423"/>
    <w:rsid w:val="7FFD6B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8" w:lineRule="atLeast"/>
      <w:outlineLvl w:val="0"/>
    </w:pPr>
    <w:rPr>
      <w:rFonts w:ascii="Calibri" w:hAnsi="Calibri" w:cs="Times New Roman"/>
      <w:b/>
      <w:bCs/>
      <w:kern w:val="44"/>
      <w:sz w:val="44"/>
      <w:szCs w:val="44"/>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table" w:styleId="7">
    <w:name w:val="Table Gri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Strong"/>
    <w:basedOn w:val="8"/>
    <w:qFormat/>
    <w:uiPriority w:val="0"/>
    <w:rPr>
      <w:b/>
      <w:sz w:val="21"/>
      <w:szCs w:val="21"/>
    </w:rPr>
  </w:style>
  <w:style w:type="character" w:styleId="10">
    <w:name w:val="FollowedHyperlink"/>
    <w:basedOn w:val="8"/>
    <w:qFormat/>
    <w:uiPriority w:val="0"/>
    <w:rPr>
      <w:color w:val="4D7AD8"/>
      <w:u w:val="none"/>
    </w:rPr>
  </w:style>
  <w:style w:type="character" w:styleId="11">
    <w:name w:val="HTML Definition"/>
    <w:basedOn w:val="8"/>
    <w:qFormat/>
    <w:uiPriority w:val="0"/>
    <w:rPr>
      <w:i/>
      <w:bdr w:val="single" w:color="D9D9D9" w:sz="6" w:space="0"/>
      <w:shd w:val="clear" w:fill="FFFFFF"/>
    </w:rPr>
  </w:style>
  <w:style w:type="character" w:styleId="12">
    <w:name w:val="Hyperlink"/>
    <w:basedOn w:val="8"/>
    <w:qFormat/>
    <w:uiPriority w:val="0"/>
    <w:rPr>
      <w:color w:val="0000FF"/>
      <w:u w:val="single"/>
    </w:rPr>
  </w:style>
  <w:style w:type="character" w:styleId="13">
    <w:name w:val="HTML Code"/>
    <w:basedOn w:val="8"/>
    <w:qFormat/>
    <w:uiPriority w:val="0"/>
    <w:rPr>
      <w:rFonts w:hint="default" w:ascii="Consolas" w:hAnsi="Consolas" w:eastAsia="Consolas" w:cs="Consolas"/>
      <w:sz w:val="21"/>
      <w:szCs w:val="21"/>
    </w:rPr>
  </w:style>
  <w:style w:type="character" w:styleId="14">
    <w:name w:val="HTML Keyboard"/>
    <w:basedOn w:val="8"/>
    <w:qFormat/>
    <w:uiPriority w:val="0"/>
    <w:rPr>
      <w:rFonts w:ascii="Consolas" w:hAnsi="Consolas" w:eastAsia="Consolas" w:cs="Consolas"/>
      <w:color w:val="666666"/>
      <w:sz w:val="21"/>
      <w:szCs w:val="21"/>
    </w:rPr>
  </w:style>
  <w:style w:type="character" w:styleId="15">
    <w:name w:val="HTML Sample"/>
    <w:basedOn w:val="8"/>
    <w:qFormat/>
    <w:uiPriority w:val="0"/>
    <w:rPr>
      <w:rFonts w:hint="default" w:ascii="Consolas" w:hAnsi="Consolas" w:eastAsia="Consolas" w:cs="Consolas"/>
      <w:sz w:val="21"/>
      <w:szCs w:val="21"/>
    </w:rPr>
  </w:style>
  <w:style w:type="character" w:customStyle="1" w:styleId="16">
    <w:name w:val="first-child2"/>
    <w:basedOn w:val="8"/>
    <w:qFormat/>
    <w:uiPriority w:val="0"/>
    <w:rPr>
      <w:sz w:val="13"/>
      <w:szCs w:val="13"/>
    </w:rPr>
  </w:style>
  <w:style w:type="character" w:customStyle="1" w:styleId="17">
    <w:name w:val="ant-select-tree-switcher"/>
    <w:basedOn w:val="8"/>
    <w:qFormat/>
    <w:uiPriority w:val="0"/>
  </w:style>
  <w:style w:type="character" w:customStyle="1" w:styleId="18">
    <w:name w:val="ant-tree-iconele"/>
    <w:basedOn w:val="8"/>
    <w:qFormat/>
    <w:uiPriority w:val="0"/>
  </w:style>
  <w:style w:type="character" w:customStyle="1" w:styleId="19">
    <w:name w:val="ant-radio+*"/>
    <w:basedOn w:val="8"/>
    <w:qFormat/>
    <w:uiPriority w:val="0"/>
  </w:style>
  <w:style w:type="character" w:customStyle="1" w:styleId="20">
    <w:name w:val="selected4"/>
    <w:basedOn w:val="8"/>
    <w:qFormat/>
    <w:uiPriority w:val="0"/>
  </w:style>
  <w:style w:type="character" w:customStyle="1" w:styleId="21">
    <w:name w:val="selected5"/>
    <w:basedOn w:val="8"/>
    <w:qFormat/>
    <w:uiPriority w:val="0"/>
  </w:style>
  <w:style w:type="character" w:customStyle="1" w:styleId="22">
    <w:name w:val="selected6"/>
    <w:basedOn w:val="8"/>
    <w:qFormat/>
    <w:uiPriority w:val="0"/>
  </w:style>
  <w:style w:type="character" w:customStyle="1" w:styleId="23">
    <w:name w:val="button"/>
    <w:basedOn w:val="8"/>
    <w:qFormat/>
    <w:uiPriority w:val="0"/>
  </w:style>
  <w:style w:type="character" w:customStyle="1" w:styleId="24">
    <w:name w:val="hover19"/>
    <w:basedOn w:val="8"/>
    <w:qFormat/>
    <w:uiPriority w:val="0"/>
    <w:rPr>
      <w:color w:val="009DFF"/>
    </w:rPr>
  </w:style>
  <w:style w:type="character" w:customStyle="1" w:styleId="25">
    <w:name w:val="hover20"/>
    <w:basedOn w:val="8"/>
    <w:qFormat/>
    <w:uiPriority w:val="0"/>
    <w:rPr>
      <w:color w:val="009DFF"/>
    </w:rPr>
  </w:style>
  <w:style w:type="character" w:customStyle="1" w:styleId="26">
    <w:name w:val="ant-tree-switcher"/>
    <w:basedOn w:val="8"/>
    <w:qFormat/>
    <w:uiPriority w:val="0"/>
  </w:style>
  <w:style w:type="character" w:customStyle="1" w:styleId="27">
    <w:name w:val="ant-select-tree-checkbox2"/>
    <w:basedOn w:val="8"/>
    <w:qFormat/>
    <w:uiPriority w:val="0"/>
  </w:style>
  <w:style w:type="character" w:customStyle="1" w:styleId="28">
    <w:name w:val="ant-select-tree-iconele"/>
    <w:basedOn w:val="8"/>
    <w:qFormat/>
    <w:uiPriority w:val="0"/>
  </w:style>
  <w:style w:type="character" w:customStyle="1" w:styleId="29">
    <w:name w:val="ant-tree-checkbox6"/>
    <w:basedOn w:val="8"/>
    <w:qFormat/>
    <w:uiPriority w:val="0"/>
  </w:style>
  <w:style w:type="character" w:customStyle="1" w:styleId="30">
    <w:name w:val="wea-thumbnails-doc-content-subtitle"/>
    <w:basedOn w:val="8"/>
    <w:qFormat/>
    <w:uiPriority w:val="0"/>
    <w:rPr>
      <w:color w:val="9A9A9A"/>
    </w:rPr>
  </w:style>
  <w:style w:type="character" w:customStyle="1" w:styleId="31">
    <w:name w:val="ht_nestinglevel"/>
    <w:basedOn w:val="8"/>
    <w:qFormat/>
    <w:uiPriority w:val="0"/>
  </w:style>
  <w:style w:type="character" w:customStyle="1" w:styleId="32">
    <w:name w:val="ht_nestinglevel_empty"/>
    <w:basedOn w:val="8"/>
    <w:qFormat/>
    <w:uiPriority w:val="0"/>
  </w:style>
  <w:style w:type="character" w:customStyle="1" w:styleId="33">
    <w:name w:val="colheader"/>
    <w:basedOn w:val="8"/>
    <w:qFormat/>
    <w:uiPriority w:val="0"/>
  </w:style>
  <w:style w:type="character" w:customStyle="1" w:styleId="34">
    <w:name w:val="ant-tree-checkbox"/>
    <w:basedOn w:val="8"/>
    <w:qFormat/>
    <w:uiPriority w:val="0"/>
  </w:style>
  <w:style w:type="character" w:customStyle="1" w:styleId="35">
    <w:name w:val="first-child"/>
    <w:basedOn w:val="8"/>
    <w:qFormat/>
    <w:uiPriority w:val="0"/>
    <w:rPr>
      <w:sz w:val="13"/>
      <w:szCs w:val="13"/>
    </w:rPr>
  </w:style>
  <w:style w:type="character" w:customStyle="1" w:styleId="36">
    <w:name w:val="ant-tree-switcher6"/>
    <w:basedOn w:val="8"/>
    <w:qFormat/>
    <w:uiPriority w:val="0"/>
  </w:style>
  <w:style w:type="character" w:customStyle="1" w:styleId="37">
    <w:name w:val="selected"/>
    <w:basedOn w:val="8"/>
    <w:qFormat/>
    <w:uiPriority w:val="0"/>
  </w:style>
  <w:style w:type="character" w:customStyle="1" w:styleId="38">
    <w:name w:val="selected1"/>
    <w:basedOn w:val="8"/>
    <w:qFormat/>
    <w:uiPriority w:val="0"/>
  </w:style>
  <w:style w:type="character" w:customStyle="1" w:styleId="39">
    <w:name w:val="selected2"/>
    <w:basedOn w:val="8"/>
    <w:qFormat/>
    <w:uiPriority w:val="0"/>
  </w:style>
  <w:style w:type="character" w:customStyle="1" w:styleId="40">
    <w:name w:val="ant-select-tree-checkbox"/>
    <w:basedOn w:val="8"/>
    <w:qFormat/>
    <w:uiPriority w:val="0"/>
  </w:style>
  <w:style w:type="character" w:customStyle="1" w:styleId="41">
    <w:name w:val="ant-tree-switcher5"/>
    <w:basedOn w:val="8"/>
    <w:qFormat/>
    <w:uiPriority w:val="0"/>
  </w:style>
  <w:style w:type="character" w:customStyle="1" w:styleId="42">
    <w:name w:val="selected7"/>
    <w:basedOn w:val="8"/>
    <w:qFormat/>
    <w:uiPriority w:val="0"/>
  </w:style>
  <w:style w:type="character" w:customStyle="1" w:styleId="43">
    <w:name w:val="selected11"/>
    <w:basedOn w:val="8"/>
    <w:qFormat/>
    <w:uiPriority w:val="0"/>
  </w:style>
  <w:style w:type="character" w:customStyle="1" w:styleId="44">
    <w:name w:val="selected12"/>
    <w:basedOn w:val="8"/>
    <w:qFormat/>
    <w:uiPriority w:val="0"/>
  </w:style>
  <w:style w:type="character" w:customStyle="1" w:styleId="45">
    <w:name w:val="selected13"/>
    <w:basedOn w:val="8"/>
    <w:qFormat/>
    <w:uiPriority w:val="0"/>
  </w:style>
  <w:style w:type="character" w:customStyle="1" w:styleId="46">
    <w:name w:val="selected8"/>
    <w:basedOn w:val="8"/>
    <w:qFormat/>
    <w:uiPriority w:val="0"/>
  </w:style>
  <w:style w:type="character" w:customStyle="1" w:styleId="47">
    <w:name w:val="selected9"/>
    <w:basedOn w:val="8"/>
    <w:qFormat/>
    <w:uiPriority w:val="0"/>
  </w:style>
  <w:style w:type="character" w:customStyle="1" w:styleId="48">
    <w:name w:val="selected10"/>
    <w:basedOn w:val="8"/>
    <w:qFormat/>
    <w:uiPriority w:val="0"/>
  </w:style>
  <w:style w:type="character" w:customStyle="1" w:styleId="49">
    <w:name w:val="hover18"/>
    <w:basedOn w:val="8"/>
    <w:qFormat/>
    <w:uiPriority w:val="0"/>
    <w:rPr>
      <w:color w:val="009DFF"/>
    </w:rPr>
  </w:style>
  <w:style w:type="character" w:customStyle="1" w:styleId="50">
    <w:name w:val="ant-tree-checkbox5"/>
    <w:basedOn w:val="8"/>
    <w:qFormat/>
    <w:uiPriority w:val="0"/>
  </w:style>
  <w:style w:type="character" w:customStyle="1" w:styleId="51">
    <w:name w:val="ant-tree-switcher4"/>
    <w:basedOn w:val="8"/>
    <w:qFormat/>
    <w:uiPriority w:val="0"/>
  </w:style>
  <w:style w:type="character" w:customStyle="1" w:styleId="52">
    <w:name w:val="hover"/>
    <w:basedOn w:val="8"/>
    <w:qFormat/>
    <w:uiPriority w:val="0"/>
    <w:rPr>
      <w:color w:val="009DFF"/>
    </w:rPr>
  </w:style>
  <w:style w:type="character" w:customStyle="1" w:styleId="53">
    <w:name w:val="hover1"/>
    <w:basedOn w:val="8"/>
    <w:qFormat/>
    <w:uiPriority w:val="0"/>
    <w:rPr>
      <w:color w:val="009DFF"/>
    </w:rPr>
  </w:style>
  <w:style w:type="character" w:customStyle="1" w:styleId="54">
    <w:name w:val="hover15"/>
    <w:basedOn w:val="8"/>
    <w:qFormat/>
    <w:uiPriority w:val="0"/>
    <w:rPr>
      <w:color w:val="009DFF"/>
    </w:rPr>
  </w:style>
  <w:style w:type="character" w:customStyle="1" w:styleId="55">
    <w:name w:val="hover16"/>
    <w:basedOn w:val="8"/>
    <w:qFormat/>
    <w:uiPriority w:val="0"/>
    <w:rPr>
      <w:color w:val="009DFF"/>
    </w:rPr>
  </w:style>
  <w:style w:type="character" w:customStyle="1" w:styleId="56">
    <w:name w:val="ant-tree-checkbox4"/>
    <w:basedOn w:val="8"/>
    <w:qFormat/>
    <w:uiPriority w:val="0"/>
  </w:style>
  <w:style w:type="character" w:customStyle="1" w:styleId="57">
    <w:name w:val="hover17"/>
    <w:basedOn w:val="8"/>
    <w:qFormat/>
    <w:uiPriority w:val="0"/>
    <w:rPr>
      <w:color w:val="009DFF"/>
    </w:rPr>
  </w:style>
  <w:style w:type="character" w:customStyle="1" w:styleId="58">
    <w:name w:val="hover14"/>
    <w:basedOn w:val="8"/>
    <w:qFormat/>
    <w:uiPriority w:val="0"/>
    <w:rPr>
      <w:color w:val="009DFF"/>
    </w:rPr>
  </w:style>
  <w:style w:type="character" w:customStyle="1" w:styleId="59">
    <w:name w:val="hover13"/>
    <w:basedOn w:val="8"/>
    <w:qFormat/>
    <w:uiPriority w:val="0"/>
    <w:rPr>
      <w:color w:val="009DFF"/>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42</Pages>
  <Words>5467</Words>
  <Characters>6105</Characters>
  <Lines>1</Lines>
  <Paragraphs>1</Paragraphs>
  <TotalTime>2</TotalTime>
  <ScaleCrop>false</ScaleCrop>
  <LinksUpToDate>false</LinksUpToDate>
  <CharactersWithSpaces>6189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2023-12-15T03:58:00Z</dcterms:created>
  <dc:creator>admin</dc:creator>
  <cp:lastModifiedBy>左亮</cp:lastModifiedBy>
  <cp:lastPrinted>2026-01-23T07:29:00Z</cp:lastPrinted>
  <dcterms:modified xsi:type="dcterms:W3CDTF">2026-02-02T05:22:24Z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2AFE29251F2D47119EA111B2B617C6AF_13</vt:lpwstr>
  </property>
  <property fmtid="{D5CDD505-2E9C-101B-9397-08002B2CF9AE}" pid="4" name="KSOTemplateDocerSaveRecord">
    <vt:lpwstr>eyJoZGlkIjoiZjNiNGRkNzIwNDhhZDJkNTgzN2EzNjc2NjIxOGZjZjkiLCJ1c2VySWQiOiIxNzEwMjM3NzY5In0=</vt:lpwstr>
  </property>
</Properties>
</file>