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09C5F">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14:paraId="0BBB31A0">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eastAsia" w:ascii="Times New Roman" w:hAnsi="Times New Roman" w:eastAsia="经典行楷简" w:cs="Times New Roman"/>
          <w:b w:val="0"/>
          <w:bCs/>
          <w:color w:val="2E75B6" w:themeColor="accent1" w:themeShade="BF"/>
          <w:kern w:val="36"/>
          <w:sz w:val="44"/>
          <w:szCs w:val="44"/>
          <w:lang w:val="en-US" w:eastAsia="zh-CN"/>
        </w:rPr>
        <w:t>6</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9-10</w:t>
      </w:r>
      <w:r>
        <w:rPr>
          <w:rFonts w:hint="default" w:ascii="Times New Roman" w:hAnsi="Times New Roman" w:eastAsia="经典行楷简" w:cs="Times New Roman"/>
          <w:b w:val="0"/>
          <w:bCs/>
          <w:color w:val="2E75B6" w:themeColor="accent1" w:themeShade="BF"/>
          <w:kern w:val="36"/>
          <w:sz w:val="44"/>
          <w:szCs w:val="44"/>
        </w:rPr>
        <w:t>期</w:t>
      </w:r>
    </w:p>
    <w:p w14:paraId="33D75D5A">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gradFill>
          </w14:textFill>
        </w:rPr>
        <w:t>345-346</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p>
    <w:p w14:paraId="5DAE9BA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lang w:val="en-US"/>
        </w:rPr>
      </w:pPr>
      <w:r>
        <w:rPr>
          <w:rFonts w:hint="eastAsia" w:ascii="方正公文黑体" w:hAnsi="方正公文黑体" w:eastAsia="方正公文黑体" w:cs="方正公文黑体"/>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eastAsia" w:ascii="Times New Roman" w:hAnsi="Times New Roman" w:eastAsia="方正楷体_GBK" w:cs="Times New Roman"/>
          <w:b w:val="0"/>
          <w:bCs/>
          <w:color w:val="000000"/>
          <w:kern w:val="36"/>
          <w:sz w:val="32"/>
          <w:szCs w:val="32"/>
          <w:highlight w:val="none"/>
          <w:lang w:val="en-US" w:eastAsia="zh-CN"/>
        </w:rPr>
        <w:t>6</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3</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27日</w:t>
      </w:r>
    </w:p>
    <w:p w14:paraId="1EE33D88">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24"/>
          <w:szCs w:val="2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14:paraId="5748581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全球经贸分析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14:paraId="0B5D1FF9">
      <w:pPr>
        <w:keepNext w:val="0"/>
        <w:keepLines w:val="0"/>
        <w:pageBreakBefore w:val="0"/>
        <w:widowControl w:val="0"/>
        <w:kinsoku/>
        <w:wordWrap/>
        <w:overflowPunct/>
        <w:topLinePunct w:val="0"/>
        <w:autoSpaceDE/>
        <w:autoSpaceDN/>
        <w:bidi w:val="0"/>
        <w:adjustRightInd/>
        <w:snapToGrid/>
        <w:spacing w:line="580" w:lineRule="exact"/>
        <w:ind w:right="0" w:rightChars="0" w:firstLine="456" w:firstLineChars="200"/>
        <w:jc w:val="both"/>
        <w:textAlignment w:val="auto"/>
        <w:outlineLvl w:val="9"/>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28"/>
          <w:kern w:val="36"/>
          <w:sz w:val="30"/>
          <w:szCs w:val="30"/>
          <w:lang w:val="en-US" w:eastAsia="zh-CN"/>
        </w:rPr>
        <w:t>波斯湾战火将重创全球粮食生产：从美国农田到非洲餐桌的连锁危机</w:t>
      </w:r>
      <w:r>
        <w:rPr>
          <w:rFonts w:hint="eastAsia" w:ascii="Times New Roman" w:hAnsi="Times New Roman" w:eastAsia="方正楷体_GBK" w:cs="Times New Roman"/>
          <w:b/>
          <w:color w:val="auto"/>
          <w:spacing w:val="-20"/>
          <w:kern w:val="36"/>
          <w:sz w:val="30"/>
          <w:szCs w:val="30"/>
          <w:lang w:val="en-US" w:eastAsia="zh-CN"/>
        </w:rPr>
        <w:t xml:space="preserve">  / </w:t>
      </w:r>
      <w:r>
        <w:rPr>
          <w:rFonts w:hint="eastAsia" w:ascii="Times New Roman" w:hAnsi="Times New Roman" w:eastAsia="方正楷体_GBK" w:cs="Times New Roman"/>
          <w:b/>
          <w:bCs w:val="0"/>
          <w:color w:val="auto"/>
          <w:spacing w:val="-20"/>
          <w:kern w:val="36"/>
          <w:sz w:val="30"/>
          <w:szCs w:val="30"/>
          <w:lang w:val="en-US" w:eastAsia="zh-CN"/>
        </w:rPr>
        <w:t>02</w:t>
      </w:r>
    </w:p>
    <w:p w14:paraId="60016084">
      <w:pPr>
        <w:keepNext w:val="0"/>
        <w:keepLines w:val="0"/>
        <w:pageBreakBefore w:val="0"/>
        <w:widowControl w:val="0"/>
        <w:kinsoku/>
        <w:wordWrap/>
        <w:overflowPunct/>
        <w:topLinePunct w:val="0"/>
        <w:autoSpaceDE/>
        <w:autoSpaceDN/>
        <w:bidi w:val="0"/>
        <w:adjustRightInd/>
        <w:snapToGrid/>
        <w:spacing w:line="580" w:lineRule="exact"/>
        <w:ind w:right="0" w:rightChars="0" w:firstLine="456" w:firstLineChars="200"/>
        <w:jc w:val="both"/>
        <w:textAlignment w:val="auto"/>
        <w:outlineLvl w:val="9"/>
        <w:rPr>
          <w:rFonts w:hint="eastAsia"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28"/>
          <w:kern w:val="36"/>
          <w:sz w:val="30"/>
          <w:szCs w:val="30"/>
          <w:lang w:val="en-US" w:eastAsia="zh-CN"/>
        </w:rPr>
        <w:t>波斯湾战火：不止原油，全球大宗商品供应链的“超级断链”</w:t>
      </w:r>
      <w:r>
        <w:rPr>
          <w:rFonts w:hint="eastAsia" w:ascii="Times New Roman" w:hAnsi="Times New Roman" w:eastAsia="方正楷体_GBK" w:cs="Times New Roman"/>
          <w:b/>
          <w:color w:val="auto"/>
          <w:spacing w:val="-20"/>
          <w:kern w:val="36"/>
          <w:sz w:val="30"/>
          <w:szCs w:val="30"/>
          <w:lang w:val="en-US" w:eastAsia="zh-CN"/>
        </w:rPr>
        <w:t xml:space="preserve">  /</w:t>
      </w:r>
      <w:r>
        <w:rPr>
          <w:rFonts w:hint="eastAsia" w:ascii="Times New Roman" w:hAnsi="Times New Roman" w:eastAsia="方正楷体_GBK" w:cs="Times New Roman"/>
          <w:b/>
          <w:bCs w:val="0"/>
          <w:color w:val="auto"/>
          <w:spacing w:val="-20"/>
          <w:kern w:val="36"/>
          <w:sz w:val="30"/>
          <w:szCs w:val="30"/>
          <w:lang w:val="en-US" w:eastAsia="zh-CN"/>
        </w:rPr>
        <w:t xml:space="preserve"> 16</w:t>
      </w:r>
    </w:p>
    <w:p w14:paraId="6302D357">
      <w:pPr>
        <w:keepNext w:val="0"/>
        <w:keepLines w:val="0"/>
        <w:pageBreakBefore w:val="0"/>
        <w:widowControl w:val="0"/>
        <w:kinsoku/>
        <w:wordWrap/>
        <w:overflowPunct/>
        <w:topLinePunct w:val="0"/>
        <w:autoSpaceDE/>
        <w:autoSpaceDN/>
        <w:bidi w:val="0"/>
        <w:adjustRightInd/>
        <w:snapToGrid/>
        <w:spacing w:line="580" w:lineRule="exact"/>
        <w:ind w:right="0" w:rightChars="0" w:firstLine="456" w:firstLineChars="200"/>
        <w:jc w:val="both"/>
        <w:textAlignment w:val="auto"/>
        <w:outlineLvl w:val="9"/>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28"/>
          <w:kern w:val="36"/>
          <w:sz w:val="30"/>
          <w:szCs w:val="30"/>
          <w:lang w:val="en-US" w:eastAsia="zh-CN"/>
        </w:rPr>
        <w:t xml:space="preserve">美国禁止石油出口可能的经济后果  </w:t>
      </w:r>
      <w:r>
        <w:rPr>
          <w:rFonts w:hint="eastAsia" w:ascii="Times New Roman" w:hAnsi="Times New Roman" w:eastAsia="方正楷体_GBK" w:cs="Times New Roman"/>
          <w:b/>
          <w:color w:val="auto"/>
          <w:spacing w:val="-20"/>
          <w:kern w:val="36"/>
          <w:sz w:val="30"/>
          <w:szCs w:val="30"/>
          <w:lang w:val="en-US" w:eastAsia="zh-CN"/>
        </w:rPr>
        <w:t xml:space="preserve">/ </w:t>
      </w:r>
      <w:r>
        <w:rPr>
          <w:rFonts w:hint="eastAsia" w:ascii="Times New Roman" w:hAnsi="Times New Roman" w:eastAsia="方正楷体_GBK" w:cs="Times New Roman"/>
          <w:b/>
          <w:bCs w:val="0"/>
          <w:color w:val="auto"/>
          <w:spacing w:val="-20"/>
          <w:kern w:val="36"/>
          <w:sz w:val="30"/>
          <w:szCs w:val="30"/>
          <w:lang w:val="en-US" w:eastAsia="zh-CN"/>
        </w:rPr>
        <w:t>28</w:t>
      </w:r>
    </w:p>
    <w:p w14:paraId="121BC05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spacing w:val="-11"/>
          <w:kern w:val="36"/>
          <w:sz w:val="30"/>
          <w:szCs w:val="30"/>
          <w:lang w:val="en-US" w:eastAsia="zh-CN"/>
        </w:rPr>
        <w:t xml:space="preserve"> </w:t>
      </w:r>
      <w:bookmarkStart w:id="0" w:name="OLE_LINK12"/>
      <w:r>
        <w:rPr>
          <w:rFonts w:hint="eastAsia" w:ascii="Times New Roman" w:hAnsi="Times New Roman" w:eastAsia="方正楷体_GBK" w:cs="Times New Roman"/>
          <w:b/>
          <w:color w:val="auto"/>
          <w:spacing w:val="-11"/>
          <w:kern w:val="36"/>
          <w:sz w:val="30"/>
          <w:szCs w:val="30"/>
          <w:lang w:val="en-US" w:eastAsia="zh-CN"/>
        </w:rPr>
        <w:t xml:space="preserve"> </w:t>
      </w:r>
      <w:bookmarkEnd w:id="0"/>
    </w:p>
    <w:p w14:paraId="6B9B46C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宋体" w:cs="Times New Roman"/>
          <w:b/>
          <w:color w:val="FF0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会员企业风采</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 </w:t>
      </w:r>
      <w:r>
        <w:rPr>
          <w:rFonts w:hint="default" w:ascii="Times New Roman" w:hAnsi="Times New Roman" w:eastAsia="宋体" w:cs="Times New Roman"/>
          <w:b/>
          <w:color w:val="FF0000"/>
          <w:kern w:val="36"/>
          <w:sz w:val="32"/>
          <w:szCs w:val="32"/>
          <w:lang w:val="en-US" w:eastAsia="zh-CN"/>
        </w:rPr>
        <w:t>‧‧‧‧‧‧‧‧‧‧‧‧‧‧‧‧‧‧‧‧‧‧‧‧‧‧‧‧‧‧‧‧‧‧‧‧‧‧‧‧‧‧‧‧‧‧‧‧‧‧‧‧‧‧‧‧‧‧‧‧‧‧‧</w:t>
      </w:r>
    </w:p>
    <w:p w14:paraId="77C1FFD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南钢多个项目入选《钢铁行业智能制造解决方案推荐目录（2025年）》</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0"/>
          <w:kern w:val="36"/>
          <w:sz w:val="30"/>
          <w:szCs w:val="30"/>
          <w:lang w:val="en-US" w:eastAsia="zh-CN"/>
        </w:rPr>
        <w:t>/ 37</w:t>
      </w:r>
    </w:p>
    <w:p w14:paraId="5ED6037D">
      <w:pPr>
        <w:keepNext w:val="0"/>
        <w:keepLines w:val="0"/>
        <w:pageBreakBefore w:val="0"/>
        <w:widowControl/>
        <w:kinsoku/>
        <w:wordWrap/>
        <w:overflowPunct/>
        <w:topLinePunct w:val="0"/>
        <w:autoSpaceDE/>
        <w:autoSpaceDN/>
        <w:bidi w:val="0"/>
        <w:adjustRightInd/>
        <w:snapToGrid/>
        <w:ind w:firstLine="488" w:firstLineChars="200"/>
        <w:textAlignment w:val="auto"/>
        <w:outlineLvl w:val="9"/>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协鑫集成聚焦稳定性攻关，夯实叠层电池商业化基石</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0"/>
          <w:kern w:val="36"/>
          <w:sz w:val="30"/>
          <w:szCs w:val="30"/>
          <w:lang w:val="en-US" w:eastAsia="zh-CN"/>
        </w:rPr>
        <w:t>/ 39</w:t>
      </w:r>
    </w:p>
    <w:p w14:paraId="13F82952">
      <w:pPr>
        <w:keepNext w:val="0"/>
        <w:keepLines w:val="0"/>
        <w:pageBreakBefore w:val="0"/>
        <w:widowControl/>
        <w:kinsoku/>
        <w:wordWrap/>
        <w:overflowPunct/>
        <w:topLinePunct w:val="0"/>
        <w:autoSpaceDE/>
        <w:autoSpaceDN/>
        <w:bidi w:val="0"/>
        <w:adjustRightInd/>
        <w:snapToGrid/>
        <w:ind w:firstLine="488" w:firstLineChars="200"/>
        <w:textAlignment w:val="auto"/>
        <w:outlineLvl w:val="9"/>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江苏银行金融服务赋能OPC企业创业创新</w:t>
      </w:r>
      <w:r>
        <w:rPr>
          <w:rFonts w:hint="eastAsia" w:ascii="Times New Roman" w:hAnsi="Times New Roman" w:eastAsia="方正楷体_GBK" w:cs="Times New Roman"/>
          <w:b/>
          <w:color w:val="auto"/>
          <w:spacing w:val="0"/>
          <w:kern w:val="36"/>
          <w:sz w:val="30"/>
          <w:szCs w:val="30"/>
          <w:lang w:val="en-US" w:eastAsia="zh-CN"/>
        </w:rPr>
        <w:t xml:space="preserve"> / 40</w:t>
      </w:r>
    </w:p>
    <w:p w14:paraId="302B3E09">
      <w:pPr>
        <w:keepNext w:val="0"/>
        <w:keepLines w:val="0"/>
        <w:pageBreakBefore w:val="0"/>
        <w:widowControl/>
        <w:kinsoku/>
        <w:wordWrap/>
        <w:overflowPunct/>
        <w:topLinePunct w:val="0"/>
        <w:autoSpaceDE/>
        <w:autoSpaceDN/>
        <w:bidi w:val="0"/>
        <w:adjustRightInd/>
        <w:snapToGrid/>
        <w:ind w:firstLine="488" w:firstLineChars="200"/>
        <w:textAlignment w:val="auto"/>
        <w:outlineLvl w:val="9"/>
        <w:rPr>
          <w:rFonts w:hint="default" w:ascii="Times New Roman" w:hAnsi="Times New Roman" w:eastAsia="方正楷体_GBK" w:cs="Times New Roman"/>
          <w:b/>
          <w:color w:val="auto"/>
          <w:spacing w:val="-2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 xml:space="preserve">苏豪中天焕新亮相2026上海春季面料展 </w:t>
      </w:r>
      <w:r>
        <w:rPr>
          <w:rFonts w:hint="eastAsia" w:ascii="Times New Roman" w:hAnsi="Times New Roman" w:eastAsia="方正楷体_GBK" w:cs="Times New Roman"/>
          <w:b/>
          <w:color w:val="auto"/>
          <w:spacing w:val="0"/>
          <w:kern w:val="36"/>
          <w:sz w:val="30"/>
          <w:szCs w:val="30"/>
          <w:lang w:val="en-US" w:eastAsia="zh-CN"/>
        </w:rPr>
        <w:t>/ 41</w:t>
      </w:r>
      <w:bookmarkStart w:id="2" w:name="_GoBack"/>
      <w:bookmarkEnd w:id="2"/>
    </w:p>
    <w:p w14:paraId="75C95EF9">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p>
    <w:p w14:paraId="3A6BEFA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14:paraId="5B195499">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3D79F8F6">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Times New Roman" w:hAnsi="Times New Roman" w:eastAsia="方正仿宋_GBK" w:cs="Times New Roman"/>
          <w:b w:val="0"/>
          <w:bCs w:val="0"/>
          <w:sz w:val="32"/>
          <w:szCs w:val="32"/>
        </w:rPr>
      </w:pPr>
      <w:r>
        <w:rPr>
          <w:rFonts w:hint="eastAsia" w:ascii="方正小标宋_GBK" w:hAnsi="方正小标宋_GBK" w:eastAsia="方正小标宋_GBK" w:cs="方正小标宋_GBK"/>
          <w:b/>
          <w:bCs/>
          <w:color w:val="2E75B6" w:themeColor="accent1" w:themeShade="BF"/>
          <w:sz w:val="44"/>
          <w:szCs w:val="44"/>
          <w:highlight w:val="none"/>
          <w:lang w:val="en-US" w:eastAsia="zh-CN"/>
        </w:rPr>
        <w:t>波斯湾战</w:t>
      </w:r>
      <w:r>
        <w:rPr>
          <w:rFonts w:hint="eastAsia" w:ascii="方正小标宋_GBK" w:hAnsi="方正小标宋_GBK" w:eastAsia="方正小标宋_GBK" w:cs="方正小标宋_GBK"/>
          <w:b/>
          <w:bCs/>
          <w:color w:val="2E75B6" w:themeColor="accent1" w:themeShade="BF"/>
          <w:sz w:val="44"/>
          <w:szCs w:val="44"/>
          <w:highlight w:val="none"/>
          <w:lang w:val="en-US" w:eastAsia="zh-CN"/>
        </w:rPr>
        <w:t>火将重创</w:t>
      </w:r>
      <w:r>
        <w:rPr>
          <w:rFonts w:hint="eastAsia" w:ascii="方正小标宋_GBK" w:hAnsi="方正小标宋_GBK" w:eastAsia="方正小标宋_GBK" w:cs="方正小标宋_GBK"/>
          <w:b/>
          <w:bCs/>
          <w:color w:val="2E75B6" w:themeColor="accent1" w:themeShade="BF"/>
          <w:sz w:val="44"/>
          <w:szCs w:val="44"/>
          <w:highlight w:val="none"/>
          <w:lang w:val="en-US" w:eastAsia="zh-CN"/>
        </w:rPr>
        <w:t>全球粮食生产：从美国农田到非洲餐桌的连锁危机</w:t>
      </w:r>
    </w:p>
    <w:p w14:paraId="5A560B03">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68633277">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方正楷体_GBK" w:hAnsi="方正楷体_GBK" w:eastAsia="方正楷体_GBK" w:cs="方正楷体_GBK"/>
          <w:b w:val="0"/>
          <w:bCs w:val="0"/>
          <w:sz w:val="28"/>
          <w:szCs w:val="28"/>
          <w:lang w:val="en-US" w:eastAsia="zh-CN"/>
        </w:rPr>
      </w:pPr>
      <w:r>
        <w:rPr>
          <w:rFonts w:hint="eastAsia" w:ascii="方正黑体_GBK" w:hAnsi="方正黑体_GBK" w:eastAsia="方正黑体_GBK" w:cs="方正黑体_GBK"/>
          <w:b w:val="0"/>
          <w:bCs w:val="0"/>
          <w:sz w:val="32"/>
          <w:szCs w:val="32"/>
          <w:lang w:val="en-US" w:eastAsia="zh-CN"/>
        </w:rPr>
        <w:t>摘要</w:t>
      </w:r>
      <w:r>
        <w:rPr>
          <w:rFonts w:hint="eastAsia" w:ascii="方正楷体_GBK" w:hAnsi="方正楷体_GBK" w:eastAsia="方正楷体_GBK" w:cs="方正楷体_GBK"/>
          <w:b w:val="0"/>
          <w:bCs w:val="0"/>
          <w:sz w:val="28"/>
          <w:szCs w:val="28"/>
          <w:lang w:val="en-US" w:eastAsia="zh-CN"/>
        </w:rPr>
        <w:t>：本文聚焦</w:t>
      </w:r>
      <w:r>
        <w:rPr>
          <w:rFonts w:hint="default" w:ascii="Times New Roman" w:hAnsi="Times New Roman" w:eastAsia="方正楷体_GBK" w:cs="Times New Roman"/>
          <w:b w:val="0"/>
          <w:bCs w:val="0"/>
          <w:sz w:val="28"/>
          <w:szCs w:val="28"/>
          <w:lang w:val="en-US" w:eastAsia="zh-CN"/>
        </w:rPr>
        <w:t>2026</w:t>
      </w:r>
      <w:r>
        <w:rPr>
          <w:rFonts w:hint="eastAsia" w:ascii="方正楷体_GBK" w:hAnsi="方正楷体_GBK" w:eastAsia="方正楷体_GBK" w:cs="方正楷体_GBK"/>
          <w:b w:val="0"/>
          <w:bCs w:val="0"/>
          <w:sz w:val="28"/>
          <w:szCs w:val="28"/>
          <w:lang w:val="en-US" w:eastAsia="zh-CN"/>
        </w:rPr>
        <w:t>年</w:t>
      </w:r>
      <w:r>
        <w:rPr>
          <w:rFonts w:hint="eastAsia" w:ascii="Times New Roman" w:hAnsi="Times New Roman" w:eastAsia="方正楷体_GBK" w:cs="Times New Roman"/>
          <w:b w:val="0"/>
          <w:bCs w:val="0"/>
          <w:sz w:val="28"/>
          <w:szCs w:val="28"/>
          <w:lang w:val="en-US" w:eastAsia="zh-CN"/>
        </w:rPr>
        <w:t>3</w:t>
      </w:r>
      <w:r>
        <w:rPr>
          <w:rFonts w:hint="eastAsia" w:ascii="方正楷体_GBK" w:hAnsi="方正楷体_GBK" w:eastAsia="方正楷体_GBK" w:cs="方正楷体_GBK"/>
          <w:b w:val="0"/>
          <w:bCs w:val="0"/>
          <w:sz w:val="28"/>
          <w:szCs w:val="28"/>
          <w:lang w:val="en-US" w:eastAsia="zh-CN"/>
        </w:rPr>
        <w:t>月霍尔木兹海峡实质性封锁事件，围绕波斯湾军事冲突通过化肥供应链断裂对全球粮食安全的传导机制与系统性冲击展开研究，属于地缘政治与全球农业安全交叉研究领域。文章首先剖析了封锁对美国农业的直接影响：尿素等化肥价格暴涨推高春耕成本，叠加本就承压的行业现状，美国主粮单产面临大幅下滑风险，同时危机将通过食品通胀传导至美国</w:t>
      </w:r>
      <w:r>
        <w:rPr>
          <w:rFonts w:hint="eastAsia" w:ascii="Times New Roman" w:hAnsi="Times New Roman" w:eastAsia="方正楷体_GBK" w:cs="Times New Roman"/>
          <w:b w:val="0"/>
          <w:bCs w:val="0"/>
          <w:sz w:val="28"/>
          <w:szCs w:val="28"/>
          <w:lang w:val="en-US" w:eastAsia="zh-CN"/>
        </w:rPr>
        <w:t>2026</w:t>
      </w:r>
      <w:r>
        <w:rPr>
          <w:rFonts w:hint="eastAsia" w:ascii="方正楷体_GBK" w:hAnsi="方正楷体_GBK" w:eastAsia="方正楷体_GBK" w:cs="方正楷体_GBK"/>
          <w:b w:val="0"/>
          <w:bCs w:val="0"/>
          <w:sz w:val="28"/>
          <w:szCs w:val="28"/>
          <w:lang w:val="en-US" w:eastAsia="zh-CN"/>
        </w:rPr>
        <w:t>年中期选举，动摇共和党农业州核心票仓。文章以</w:t>
      </w:r>
      <w:r>
        <w:rPr>
          <w:rFonts w:hint="eastAsia" w:ascii="Times New Roman" w:hAnsi="Times New Roman" w:eastAsia="方正楷体_GBK" w:cs="Times New Roman"/>
          <w:b w:val="0"/>
          <w:bCs w:val="0"/>
          <w:sz w:val="28"/>
          <w:szCs w:val="28"/>
          <w:lang w:val="en-US" w:eastAsia="zh-CN"/>
        </w:rPr>
        <w:t>1973</w:t>
      </w:r>
      <w:r>
        <w:rPr>
          <w:rFonts w:hint="eastAsia" w:ascii="方正楷体_GBK" w:hAnsi="方正楷体_GBK" w:eastAsia="方正楷体_GBK" w:cs="方正楷体_GBK"/>
          <w:b w:val="0"/>
          <w:bCs w:val="0"/>
          <w:sz w:val="28"/>
          <w:szCs w:val="28"/>
          <w:lang w:val="en-US" w:eastAsia="zh-CN"/>
        </w:rPr>
        <w:t>年石油危机为历史镜鉴，指出本次危机冲击强度远超历史先例，将重创低收入粮食进口国，引发全球主粮种植结构失衡、粮食库存跌破安全线，最终触发全球性粮食危机，并提出供应链多元化与战略储备的应对方向。</w:t>
      </w:r>
    </w:p>
    <w:p w14:paraId="1611050C">
      <w:pPr>
        <w:keepNext w:val="0"/>
        <w:keepLines w:val="0"/>
        <w:pageBreakBefore w:val="0"/>
        <w:widowControl w:val="0"/>
        <w:kinsoku/>
        <w:wordWrap/>
        <w:overflowPunct/>
        <w:topLinePunct w:val="0"/>
        <w:autoSpaceDE/>
        <w:autoSpaceDN/>
        <w:bidi w:val="0"/>
        <w:adjustRightInd/>
        <w:snapToGrid/>
        <w:spacing w:line="500" w:lineRule="exact"/>
        <w:ind w:right="0" w:rightChars="0" w:firstLine="528" w:firstLineChars="200"/>
        <w:jc w:val="both"/>
        <w:textAlignment w:val="auto"/>
        <w:outlineLvl w:val="9"/>
        <w:rPr>
          <w:rFonts w:hint="eastAsia" w:ascii="方正楷体_GBK" w:hAnsi="方正楷体_GBK" w:eastAsia="方正楷体_GBK" w:cs="方正楷体_GBK"/>
          <w:b w:val="0"/>
          <w:bCs w:val="0"/>
          <w:sz w:val="28"/>
          <w:szCs w:val="28"/>
          <w:lang w:val="en-US" w:eastAsia="zh-CN"/>
        </w:rPr>
      </w:pPr>
    </w:p>
    <w:p w14:paraId="1AC9CB3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正文</w:t>
      </w:r>
      <w:r>
        <w:rPr>
          <w:rFonts w:hint="eastAsia" w:ascii="Times New Roman" w:hAnsi="Times New Roman" w:eastAsia="方正仿宋_GBK" w:cs="Times New Roman"/>
          <w:b w:val="0"/>
          <w:bCs w:val="0"/>
          <w:sz w:val="32"/>
          <w:szCs w:val="32"/>
          <w:lang w:val="en-US" w:eastAsia="zh-CN"/>
        </w:rPr>
        <w:t>：</w:t>
      </w:r>
    </w:p>
    <w:p w14:paraId="1CC04F0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2026年3月，霍尔木兹海峡实质性封锁已进入第三周。华尔街的目光还停留在油价跳动上，但真正的战火早已越过海岸线，烧进了全球农业的心脏地带。这场爆发在波斯湾的军事冲突，正在通过化肥供应链的断裂，直接威胁着80亿人的饭碗。</w:t>
      </w:r>
    </w:p>
    <w:p w14:paraId="360BEDA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rPr>
        <w:t>一、从霍尔木兹海峡到美国中西部农田：美国农业的“隐形伤口”</w:t>
      </w:r>
    </w:p>
    <w:p w14:paraId="56B4321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先来看美国本土。中西部农业州——伊利诺伊、爱荷华、阿肯色、内布拉斯加——是全球玉米、大豆、小麦的粮仓。这些州的农民们原本就背负着高企的成本和低迷的国际粮价，如今又面临一场“化肥断供”风暴。</w:t>
      </w:r>
    </w:p>
    <w:p w14:paraId="7486AA2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尿素价格的“温度计”</w:t>
      </w:r>
    </w:p>
    <w:p w14:paraId="2F0BFBB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自封锁开始不到三周，根据Argus Media 3月20日最新报价，新奥尔良港尿素现货价格已从每吨约320美元垂直飙升至超过380美元，涨幅超过20%。尿素是全球最主要的氮肥品种，占氮肥贸易量的60%以上，而美国农业高度依赖进口尿素（尤其是春耕季）。</w:t>
      </w:r>
    </w:p>
    <w:p w14:paraId="3392583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阿肯色州的一位种植水稻的农场主算了一笔账：他每年种植约800英亩水稻，正常年份每英亩氮肥成本约150-180美元。今年春耕前，化肥价格上涨导致每英亩额外支出50美元左右，全年账面直接多出4万美元以上。更别提种子、农药、柴油机油同步上涨，他的春耕预算已超支30%。他说：“种子还没下地，账本就先红（浮亏）了。”</w:t>
      </w:r>
    </w:p>
    <w:p w14:paraId="58FDFF4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石油航道封锁会伤及化肥供应</w:t>
      </w:r>
    </w:p>
    <w:p w14:paraId="3AA0377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答案藏在现代化学工业的核心工艺中：尿素的生产依赖“哈伯-博世法”合成氨——天然气（或石油伴生气）先裂解产生氢气，再与氮气在高温高压下合成氨，最后氨与二氧化碳反应生成尿素。全球海运尿素贸易中，中东地区（伊朗、卡塔尔、沙特、阿曼）贡献约35%的份额，其中伊朗作为全球第三大尿素出口国，年出口超700万吨，占全球贸易量的13%。</w:t>
      </w:r>
    </w:p>
    <w:p w14:paraId="7F0C260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霍尔木兹海峡的通行中断后，不仅石油运输受阻，化肥船队也几乎停摆。美国农民无法及时拿到中东尿素，只能转向美国国内或俄罗斯、特立尼达等替代来源，但这些来源产能有限、运距更长、价格更高。期货市场已开始反映恐慌： 芝加哥期货交易所（CBOT）尿素期货连续拉涨，部分合约涨幅超过25%。</w:t>
      </w:r>
    </w:p>
    <w:p w14:paraId="2481A79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方正仿宋_GBK" w:cs="Times New Roman"/>
          <w:b w:val="0"/>
          <w:bCs w:val="0"/>
          <w:sz w:val="32"/>
          <w:szCs w:val="32"/>
        </w:rPr>
      </w:pPr>
      <w:r>
        <w:drawing>
          <wp:inline distT="0" distB="0" distL="114300" distR="114300">
            <wp:extent cx="3796030" cy="2153285"/>
            <wp:effectExtent l="0" t="0" r="13970"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3796030" cy="2153285"/>
                    </a:xfrm>
                    <a:prstGeom prst="rect">
                      <a:avLst/>
                    </a:prstGeom>
                    <a:noFill/>
                    <a:ln>
                      <a:noFill/>
                    </a:ln>
                  </pic:spPr>
                </pic:pic>
              </a:graphicData>
            </a:graphic>
          </wp:inline>
        </w:drawing>
      </w:r>
    </w:p>
    <w:p w14:paraId="74A04C3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短期冲击：成本暴增+避险失效</w:t>
      </w:r>
    </w:p>
    <w:p w14:paraId="6EA1F5D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大部分美国农场主并非华尔街交易员，他们没有能力在入冬前锁定全年化肥期货合约。极少数资金雄厚的大型农场提前锁价，但中小农场（美国农业主力）普遍暴露在现货价格波动中。伊利诺伊州一位种植玉米农场主直言：“我们已经被极端天气、高</w:t>
      </w:r>
      <w:r>
        <w:rPr>
          <w:rFonts w:hint="eastAsia" w:ascii="Times New Roman" w:hAnsi="Times New Roman" w:eastAsia="方正仿宋_GBK" w:cs="Times New Roman"/>
          <w:b w:val="0"/>
          <w:bCs w:val="0"/>
          <w:sz w:val="32"/>
          <w:szCs w:val="32"/>
          <w:lang w:val="en-US" w:eastAsia="zh-CN"/>
        </w:rPr>
        <w:t>价</w:t>
      </w:r>
      <w:r>
        <w:rPr>
          <w:rFonts w:hint="eastAsia" w:ascii="Times New Roman" w:hAnsi="Times New Roman" w:eastAsia="方正仿宋_GBK" w:cs="Times New Roman"/>
          <w:b w:val="0"/>
          <w:bCs w:val="0"/>
          <w:sz w:val="32"/>
          <w:szCs w:val="32"/>
        </w:rPr>
        <w:t>饲料、机具折旧压得喘不过气，现在还要为特朗普政府的伊朗政策买单？”</w:t>
      </w:r>
    </w:p>
    <w:p w14:paraId="052A6CC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美国农业本已积重难返</w:t>
      </w:r>
    </w:p>
    <w:p w14:paraId="67E313F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波斯湾战火爆发之前，美国农场主就已经面临多重压力。在成本端，通胀推高了农机具、土地租金和柴油价格。在收入端，2018年以来中美贸易战遗留的对美大豆关税压力仍未完全消退；同时，巴西、阿根廷、俄罗斯等国粮食丰收，国际粮价持续低迷，多重压力致使大面积种植玉米、大豆的美国农场主连续数年利润微薄甚至亏损。</w:t>
      </w:r>
    </w:p>
    <w:p w14:paraId="3C237C8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化肥成本失控更是雪上加霜。国际肥料协会（IFA）数据显示，氮肥施用量减少10%，小麦单产下降5%-8%；磷肥减少10%，单产下降4%-6%。如果化肥供应缺口达到30%，美国玉米、大豆、小麦单产可能整体下滑12%-20%。</w:t>
      </w:r>
    </w:p>
    <w:p w14:paraId="2E5625C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二、政治传导：从春耕账本到</w:t>
      </w:r>
      <w:r>
        <w:rPr>
          <w:rFonts w:hint="default" w:ascii="Times New Roman" w:hAnsi="Times New Roman" w:eastAsia="方正黑体_GBK" w:cs="Times New Roman"/>
          <w:b w:val="0"/>
          <w:bCs w:val="0"/>
          <w:sz w:val="32"/>
          <w:szCs w:val="32"/>
        </w:rPr>
        <w:t>11</w:t>
      </w:r>
      <w:r>
        <w:rPr>
          <w:rFonts w:hint="eastAsia" w:ascii="方正黑体_GBK" w:hAnsi="方正黑体_GBK" w:eastAsia="方正黑体_GBK" w:cs="方正黑体_GBK"/>
          <w:b w:val="0"/>
          <w:bCs w:val="0"/>
          <w:sz w:val="32"/>
          <w:szCs w:val="32"/>
        </w:rPr>
        <w:t>月选票</w:t>
      </w:r>
    </w:p>
    <w:p w14:paraId="46523E5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化肥断链的最终受害者是消费者。经济模型显示，美国食品零售价格将上涨2%-4%，但递延效应长达3-6个月，即，2026年秋收后，玉米加工的饲料、玉米油、乙醇，大豆压榨的豆油、豆粕，小麦制成的面包、面食，都会在夏季到秋季陆续涨价——刚好对上11月中期选举。美国选民在投票前先在超市感受到通胀带来的痛苦，投票倾向可想而知。</w:t>
      </w:r>
    </w:p>
    <w:p w14:paraId="248362F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其传导的杀伤力在于其时间节点的精确性：</w:t>
      </w:r>
    </w:p>
    <w:p w14:paraId="2D00D94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3月：春耕成本暴增，农场主预算超支30%以上；</w:t>
      </w:r>
    </w:p>
    <w:p w14:paraId="429F29B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4-5月：中小农场主（占比65%以上）要么减少施肥量，要么举债采购；</w:t>
      </w:r>
    </w:p>
    <w:p w14:paraId="7EDF50D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6-7月：农业贷款违约率攀升，部分农场破产；</w:t>
      </w:r>
    </w:p>
    <w:p w14:paraId="7BF83EA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8-9月：玉米、小麦减产预期兑现，食品价格全面上涨；</w:t>
      </w:r>
    </w:p>
    <w:p w14:paraId="4CBE9D3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10月：选民每次去超市都看到涨价标签，距离投票日仅剩4周；</w:t>
      </w:r>
    </w:p>
    <w:p w14:paraId="390E26A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11月：美国中期选举投票日。</w:t>
      </w:r>
    </w:p>
    <w:p w14:paraId="385FDF4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此外，化肥危机的破坏力还在于它精准打击了决定中期选举结果的关键州。</w:t>
      </w:r>
    </w:p>
    <w:p w14:paraId="193E8DE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美国玉米带——伊利诺伊州、爱荷华州、内布拉斯加州、堪萨斯州、密苏里州、印第安纳州、俄亥俄州——合计拥有83张选举人票和73个众议院席位。在这73个众议院选区中，有34个是“摇摆选区”（2024年胜负差距小于5%）。在2024年总统大选中，农业产值占本地收入25%以上的郡县，特朗普的支持率高达78%。但他在这些州的优势极其脆弱：在爱荷华州特朗普仅以3.4个百分点获胜，在威斯康星州其优势仅0.6%，是“胜者通吃”的选举制度帮助特朗普拿下了这两州的全部选举人票。</w:t>
      </w:r>
    </w:p>
    <w:p w14:paraId="2DFCEE4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化肥危机对农业州选民的冲击是双重的：春耕时农场主承受成本暴增，秋季后普通消费者承受食品涨价。更致命的是时间错配——成本冲击是即时的（3-5月），但粮价上涨带来的收益要到秋收后才能体现（9-10月），而化肥短缺导致的减产可能让这点收益完全被抵消。因此，如果化肥危机真导致食品价格上涨4-6%，爱荷华州可能翻盘，威斯康星州几乎确定变蓝，俄亥俄州从“安全州”变为“摇摆州”。玉米带的34个摇摆选区中，共和党可能失去12-15个席位，足以让民主党夺回众议院控制权。</w:t>
      </w:r>
    </w:p>
    <w:p w14:paraId="3610D78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更致命的是，化肥危机直接打击了特朗普的铁杆支持者。农业州选民——白人为主、农村或小城镇居民、宗教保守派——传统上是共和党的“铁票仓”。但2026年，这个“铁票仓”正在松动。</w:t>
      </w:r>
    </w:p>
    <w:p w14:paraId="4F94434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3月，代表25万农场主的“全美农民联盟”发表声明：“我们支持强硬外交，但不能让美国农民为中东政策买单。”“全美小麦种植者协会”要求国会举行听证会，质询“为什么一边让扫雷舰退役，另一边却在海湾发动战争？”内布拉斯加州农业局致信特朗普：“如果政府不能在4月前稳定化肥价格，我们将重新考虑对共和党的支持。”</w:t>
      </w:r>
    </w:p>
    <w:p w14:paraId="1BF20E9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爱荷华州小镇集会上，农场主举着标语：”Trump's War, Farmer's Bill”（特朗普的战争，农场主的账单）。一位三代共和党的农场主接受采访：“我投了特朗普两次，但他这次让我失望了。我的儿子可能要卖掉爷爷留下的地。”</w:t>
      </w:r>
    </w:p>
    <w:p w14:paraId="09A162A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最新民调（3月15-18日，玉米带6州抽样）显示：68%的受访者认为“特朗普政府应该优先结束中东战争”，59%认为“即使伊朗不完全投降，也应该尽快停火”，23%的传统共和党农业选民表示如果化肥价格持续高企，会“考虑改投民主党”。这个23%是致命的——玉米带的选举差距通常在3-7个百分点，如果共和党基本盘流失23%，整个中西部政治版图将被重绘。</w:t>
      </w:r>
    </w:p>
    <w:p w14:paraId="4845E2D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如今，全美农民联盟、全美小麦种植者协会等组织已公开表达焦虑，甚至要求白宫派遣海军护航化肥船——但这在军事上几乎不可行。霍尔木兹海峡通道狭窄，护航等于是将美舰送进伊朗反舰导弹的射击范围。</w:t>
      </w:r>
    </w:p>
    <w:p w14:paraId="6843E44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幕似曾相识。1980年，吉米·卡特在连任竞选中惨败，核心原因之一就是通胀失控叠加农业危机：第二次石油危机导致化肥价格暴涨，对苏粮食禁运让美国农民失去苏联市场，农产品价格下跌与成本上涨的双重挤压引发破产潮，玉米带州集体倒向里根。2026年的特朗普，正在重演1980年的卡特悲剧——唯一的区别是，霍尔木兹海峡的封锁比当年的石油危机影响更直接，化肥断供规模更大。</w:t>
      </w:r>
    </w:p>
    <w:p w14:paraId="4B4A8CC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此外，还可能导致严重的产业伤害。最新调查显示，高达12%的美国农民正在认真考虑今年退出农业经营。这不是正常景气循环淘汰，而是世代性衰退：拥有土地知识、大型机具操作经验的老一代一旦集体退场，美国农业产能将面临不可逆的永久性下滑。</w:t>
      </w:r>
    </w:p>
    <w:p w14:paraId="07D5129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特朗普政府很清楚这一点。这也是为什么财长贝森特在3月中旬就急于安抚市场，宣称“油价和化肥价格很快会恢复正常”——他们等不起6个月。而距离11月投票日，只剩下7个半月。当一场地缘冲突通过化肥供应链，把中东的战火精准地烧到美国中西部的农田和超市货架上时，政治后果是不可避免的。这不是抽象的经济数据，而是每个农场主的生存账本，每个家庭的购物小票，每个选民的投票理由。</w:t>
      </w:r>
    </w:p>
    <w:p w14:paraId="0682B92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rPr>
        <w:t>三、历史镜鉴：</w:t>
      </w:r>
      <w:r>
        <w:rPr>
          <w:rFonts w:hint="default" w:ascii="Times New Roman" w:hAnsi="Times New Roman" w:eastAsia="方正黑体_GBK" w:cs="Times New Roman"/>
          <w:b w:val="0"/>
          <w:bCs w:val="0"/>
          <w:sz w:val="32"/>
          <w:szCs w:val="32"/>
        </w:rPr>
        <w:t>1973</w:t>
      </w:r>
      <w:r>
        <w:rPr>
          <w:rFonts w:hint="eastAsia" w:ascii="方正黑体_GBK" w:hAnsi="方正黑体_GBK" w:eastAsia="方正黑体_GBK" w:cs="方正黑体_GBK"/>
          <w:b w:val="0"/>
          <w:bCs w:val="0"/>
          <w:sz w:val="32"/>
          <w:szCs w:val="32"/>
        </w:rPr>
        <w:t>年石油危机——化肥断供的“前车之鉴”</w:t>
      </w:r>
    </w:p>
    <w:p w14:paraId="571F266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如果说当前霍尔木兹封锁让美国农民措手不及，那么1970年代石油危机早已上演过几乎同样的剧本。那场危机源于1973年10月爆发的第四次中东战争（也称“赎罪日战争”），其地缘政治背景极为复杂且直接指向能源武器化。</w:t>
      </w:r>
    </w:p>
    <w:p w14:paraId="1363DBD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1973年10月6日，埃及和叙利亚在犹太教赎罪日对以色列发动突袭，试图收复1967年“六日战争”中失去的西奈半岛和戈兰高地。以色列在战争初期陷入被动，但随后得到美国大规模军事援助，一举扭转战局。这一援助激怒了阿拉伯产油国集团OPEC（石油输出国组织），尤其是沙特阿拉伯、科威特、伊拉克等成员国。</w:t>
      </w:r>
    </w:p>
    <w:p w14:paraId="0D46172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10月17日，OPEC宣布对支持以色列的国家实施石油禁运，对象包括美国、荷兰、葡萄牙、加拿大、南非等。禁运政策的核心是将石油作为地缘政治武器：OPEC决定将原油日产量削减5%，并对不同国家实施分级禁运——美国和荷兰被列为“完全禁运”对象，其他亲以国家（如日本）则面临大幅减供。同时，OPEC宣布将基准原油价格从每桶3.01美元一次性上调至5.11美元，随后在1974年1月进一步提至11.65美元（涨幅近300%）。</w:t>
      </w:r>
    </w:p>
    <w:p w14:paraId="6CB09FC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组合拳直接击穿了西方国家的能源命脉。当时全球石油消费高度依赖中东供应（OPEC占全球出口的80%以上），美国虽然是产油大国，但进口占比已达35%，且战略储备体系尚未成熟。禁运持续至1974年3月，短短5个月内，美国汽油价格翻倍，加油站出现长队，尼克松政府被迫实施“奇偶数日加油”限购令以及全国限速55英里/小时节油政策。</w:t>
      </w:r>
    </w:p>
    <w:p w14:paraId="5066726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更致命的是，石油危机迅速传导至化肥供应链。当时全球氮肥生产几乎完全依赖石油伴生气和天然气作为原料（哈伯-博世法合成氨），中东油气副产品是尿素和氨肥的主要来源。因此，化肥价格在1973-1974年间平均上涨近3倍，尿素从约60-80美元/吨飙升至160-220美元/吨，部分地区更高。磷肥和钾肥也同步暴涨，因为硫磺（磷肥核心原料）同样受石油产业链影响。</w:t>
      </w:r>
    </w:p>
    <w:p w14:paraId="56626B2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发展中国家首先感受到冲击。印度、孟加拉国、埃及、巴基斯坦等粮食进口大国化肥几乎100%依赖国际贸易，价格暴涨导致施肥量锐减10%-20%，小麦、玉米、水稻单产普遍下降5%-15%。1974年全球粮食产量增速大幅放缓，部分地区出现严重短缺：印度被迫动用外汇储备紧急进口小麦，埃及面包价格翻倍引发社会动荡，西非萨赫勒地区因干旱叠加化肥断供，饥荒波及数百万人。美国本土也未能幸免：1974年食品价格同比上涨14%以上（创二战后最高纪录之一），超市货架空荡，消费者排队抢购面包和肉类。</w:t>
      </w:r>
    </w:p>
    <w:p w14:paraId="6E295FD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四、从美国农田到全球餐桌：化肥断供的全球连锁反应</w:t>
      </w:r>
    </w:p>
    <w:p w14:paraId="2CE6481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当前霍尔木兹海峡封锁的化肥断供冲击，与1973年高度相似：中东仍是全球尿素和硫磺的主要出口源，价格传导路径几乎相同。但当前的风险远超1973年——全球化程度更高、供应链更脆弱、全球人口规模更大。一旦封锁持续，全球粮食单产下滑15%-25%的风险远非1973年可比，潜在的饥饿和通胀冲击将以指数级放大。美国农业的困境只是冰山一角，霍尔木兹海峡封锁对全球粮食生产的冲击，其深度、广度和持续时间远超能源波动本身。</w:t>
      </w:r>
    </w:p>
    <w:p w14:paraId="5491E00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化肥是“粮食的粮食”</w:t>
      </w:r>
    </w:p>
    <w:p w14:paraId="4889DD1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全球粮食生产高度依赖化肥，尤其是氮肥和磷肥。</w:t>
      </w:r>
    </w:p>
    <w:p w14:paraId="3791CE8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氮肥（主要是尿素）决定作物茎叶生长和籽粒产量。全球尿素年海运贸易量约5200万吨，中东出口占比超35%。伊朗年出口700万吨以上，全球排名第三。</w:t>
      </w:r>
    </w:p>
    <w:p w14:paraId="4600431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磷肥保障根系发育、增强作物抗逆性（抵抗旱涝病虫害）。全球90%的磷肥生产依赖硫磺，生产流程为：硫磺制成硫酸→硫酸与磷矿反应生成磷酸→加工成磷肥。全球硫磺年海运贸易量约5000万吨，中东出口占比70%以上，沙特、伊朗、阿联酋合计占全球的50%。</w:t>
      </w:r>
    </w:p>
    <w:p w14:paraId="43D8AD2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霍尔木兹海峡被封锁后，尿素价格大概率从当前380美元/吨继续飙升至1000美元/吨以上，硫磺从100美元/吨涨至500美元/吨以上，带动磷肥价格同步暴涨3-4倍。2022年俄乌战争曾导致尿素价格暴涨3倍、硫磺涨2倍；本次冲击强度更高，因为霍尔木兹海峡的化肥运量占比更大，且封锁导致的是物理断供而非仅仅价格上涨。</w:t>
      </w:r>
    </w:p>
    <w:p w14:paraId="53CF73D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国际肥料协会（IFA）数据显示，氮肥施用量减少10%，小麦单产下降5%-8%；磷肥减少10%，单产下降4%-6%。如果化肥供应缺口达30%以上，全球小麦、玉米、水稻单产普遍下降15%-25%，相当于全球主粮年产量直接减少1/5。这不是局部减产，而是系统性供应收缩。</w:t>
      </w:r>
    </w:p>
    <w:p w14:paraId="363BB7A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最脆弱的经济体首当其冲</w:t>
      </w:r>
    </w:p>
    <w:p w14:paraId="77856BC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非洲、南亚、中东的低收入经济体受创最重。埃及、尼日利亚、肯尼亚、巴基斯坦、孟加拉国等国粮食自给率低，几乎100%依赖进口化肥。这些国家的尿素进口60%以上、硫磺进口80%以上来自中东。海峡封锁后，它们既买不到化肥，也承担不起暴涨的价格，本国粮食种植将直接崩盘，从勉强自给转为严重缺口国。</w:t>
      </w:r>
    </w:p>
    <w:p w14:paraId="2E51942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埃及是全球最大的小麦进口国之一，化肥短缺将导致小麦种植面积锐减，面包价格暴涨可能引发社会动荡——2011年“阿拉伯之春”的导火索之一就是面包价格飙升。巴基斯坦和孟加拉国是全球主要的水稻生产国，化肥断供将使水稻产量大幅萎缩，这两个人口合计超过4.2亿的国家可能从口粮基本自给转为大规模进口，进一步推高全球粮价。</w:t>
      </w:r>
    </w:p>
    <w:p w14:paraId="74839F5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肯尼亚和尼日利亚等撒哈拉以南非洲国家的情况更为严峻。这些国家不仅化肥100%依赖进口，外汇储备也极其有限。化肥价格暴涨意味着它们根本买不起，只能大幅削减施肥量。联合国粮农组织（FAO）警告，如果化肥供应持续短缺，撒哈拉以南非洲可能在2026年下半年面临大规模粮食危机，影响人口可能达到5000万-8000万。</w:t>
      </w:r>
    </w:p>
    <w:p w14:paraId="618A37B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种植结构调整加剧主粮短缺</w:t>
      </w:r>
    </w:p>
    <w:p w14:paraId="03212BB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玉米、小麦是高需肥品种，受化肥短缺冲击最严重；水稻次之；大豆等豆科作物可通过根瘤菌自身固氮，受影响相对较小，但仍需磷肥，无法完全规避化肥供应链波动的风险。</w:t>
      </w:r>
    </w:p>
    <w:p w14:paraId="53264FD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化肥价格暴涨后，高需肥作物（玉米、小麦）的种植利润断崖式下跌，全球农民被迫调整种植结构，转向低需肥、经济价值更高的作物：首先是大豆和油料作物，其次是经济作物（如棉花、糖料、水果）。这将导致全球主粮种植面积下降，进一步收缩供应。2022年俄乌战争后，全球玉米种植面积已明显下滑，本次冲击强度更大、持续时间可能更长。</w:t>
      </w:r>
    </w:p>
    <w:p w14:paraId="4297BD5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以美国为例，如果玉米种植成本上升30%而价格上涨滞后，部分农场主可能在2026年春耕时选择改种大豆（需肥量仅为玉米的60%左右）。如果美国玉米种植面积减少10%，全球玉米供应将减少约3500万吨——这相当于墨西哥全年的玉米消费量。</w:t>
      </w:r>
    </w:p>
    <w:p w14:paraId="7B8CDF3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巴西、阿根廷等南美国家也面临同样的选择。这些国家是全球主要的大豆出口国，但也是玉米和小麦的重要生产国。化肥短缺将促使农民进一步向大豆倾斜，挤压玉米和小麦面积。联合国粮农组织预测，如果化肥危机持续到2026年下半年，全球玉米和小麦种植面积可能分别下降8%-12%和5%-8%。</w:t>
      </w:r>
    </w:p>
    <w:p w14:paraId="404DAF1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全球粮食安全的系统性风险</w:t>
      </w:r>
    </w:p>
    <w:p w14:paraId="12F8C2D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霍尔木兹海峡封锁造成的化肥断供，从最上游冲击了粮食生产的基础。低收入国家首当其冲，高收入国家（如美国、欧盟）虽有一定缓冲能力，但食品通胀仍会传导至全社会。</w:t>
      </w:r>
    </w:p>
    <w:p w14:paraId="4F6DB2C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更严重的是，化肥短缺的影响具有滞后性和累积性。2026年春耕时施肥不足，影响将在秋季收获时显现；如果封锁持续到2026年下半年，2027年的春耕也将受到影响——种子供应、土壤肥力、农民信心都需要时间恢复。这意味着即使战争在2026年中期结束，全球粮食供应紧张的状态可能持续到2027年甚至更久。</w:t>
      </w:r>
    </w:p>
    <w:p w14:paraId="33A4691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当前全球粮食库存消费比（结转库存占年消费量的比例）约为26%-28%，已经接近FAO设定的18%安全线的上限。如果2026-2027年连续两年减产，库存消费比可能跌破安全线，引发全球性粮食危机。1973-1974年，全球库存消费比曾跌至17%，引发粮价暴涨和多国饥荒；2007-2008年全球粮食危机时，库存消费比也仅为19%。</w:t>
      </w:r>
    </w:p>
    <w:p w14:paraId="42F1C8D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历史经验显示，一旦粮食库存消费比跌破安全线，粮食出口国往往会实施出口管制以保障国内供应，这将进一步加剧国际市场供应短缺。2022年俄乌战争爆发后，印度禁止小麦出口，多个东南亚国家限制大米出口，导致国际粮价进一步飙升。如果2026年下半年全球粮食形势恶化，类似的贸易保护主义可能卷土重来，将区域性短缺升级为全球性危机。</w:t>
      </w:r>
    </w:p>
    <w:p w14:paraId="0BA8889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从波斯湾到全球餐桌</w:t>
      </w:r>
    </w:p>
    <w:p w14:paraId="2C826C0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波斯湾的战火看似遥远，却已通过化肥供应链，把中东的地缘冲突直接映射到全球每一个餐桌上。美国中西部农民的账本赤字，只是这场危机的开端；非洲和南亚数千万人的饥饿风险，才是它最残酷的结局。</w:t>
      </w:r>
    </w:p>
    <w:p w14:paraId="25299CC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能源安全与粮食安全之间，从来没有真正的隔离墙。当前局势提醒所有人：全球化时代，任何供应链的咽喉受阻，都会让整个系统付出沉重代价。1973年石油危机已经演练过一次化肥断供的破坏力，但这一次，规模更大、时间更紧、后果更严重。</w:t>
      </w:r>
    </w:p>
    <w:p w14:paraId="6B303F8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各国政府和投资者必须重新审视化肥供应链的多元化与战略储备建设。在能源与粮食安全高度交织的时代，多元化供应链、战略储备体系和国际合作，或许是应对下一场地缘危机的唯一防御线。</w:t>
      </w:r>
    </w:p>
    <w:p w14:paraId="6DD35906">
      <w:pPr>
        <w:keepNext w:val="0"/>
        <w:keepLines w:val="0"/>
        <w:pageBreakBefore w:val="0"/>
        <w:widowControl w:val="0"/>
        <w:kinsoku/>
        <w:wordWrap/>
        <w:overflowPunct/>
        <w:topLinePunct w:val="0"/>
        <w:autoSpaceDE/>
        <w:autoSpaceDN/>
        <w:bidi w:val="0"/>
        <w:adjustRightInd/>
        <w:snapToGrid/>
        <w:spacing w:line="580" w:lineRule="exact"/>
        <w:ind w:right="0" w:rightChars="0" w:firstLine="4256" w:firstLineChars="1400"/>
        <w:jc w:val="both"/>
        <w:textAlignment w:val="auto"/>
        <w:outlineLvl w:val="9"/>
        <w:rPr>
          <w:rFonts w:hint="default" w:ascii="Times New Roman" w:hAnsi="Times New Roman" w:eastAsia="方正仿宋_GBK" w:cs="Times New Roman"/>
          <w:b w:val="0"/>
          <w:bCs w:val="0"/>
          <w:sz w:val="32"/>
          <w:szCs w:val="32"/>
          <w:lang w:eastAsia="zh-CN"/>
        </w:rPr>
      </w:pPr>
      <w:r>
        <w:rPr>
          <w:rFonts w:hint="default" w:ascii="Times New Roman" w:hAnsi="Times New Roman" w:eastAsia="方正楷体_GBK" w:cs="方正楷体_GBK"/>
          <w:b/>
          <w:bCs/>
          <w:color w:val="FF0000"/>
          <w:spacing w:val="0"/>
          <w:kern w:val="2"/>
          <w:sz w:val="32"/>
          <w:szCs w:val="32"/>
          <w:lang w:val="en-US" w:eastAsia="zh-CN" w:bidi="ar-SA"/>
        </w:rPr>
        <w:t>（</w:t>
      </w:r>
      <w:r>
        <w:rPr>
          <w:rFonts w:hint="eastAsia" w:ascii="Times New Roman" w:hAnsi="Times New Roman" w:eastAsia="方正楷体_GBK" w:cs="方正楷体_GBK"/>
          <w:b/>
          <w:bCs/>
          <w:color w:val="FF0000"/>
          <w:spacing w:val="0"/>
          <w:kern w:val="2"/>
          <w:sz w:val="32"/>
          <w:szCs w:val="32"/>
          <w:lang w:val="en-US" w:eastAsia="zh-CN" w:bidi="ar-SA"/>
        </w:rPr>
        <w:t>发展研究部 周斌、左亮</w:t>
      </w:r>
      <w:r>
        <w:rPr>
          <w:rFonts w:hint="default" w:ascii="Times New Roman" w:hAnsi="Times New Roman" w:eastAsia="方正楷体_GBK" w:cs="方正楷体_GBK"/>
          <w:b/>
          <w:bCs/>
          <w:color w:val="FF0000"/>
          <w:spacing w:val="0"/>
          <w:kern w:val="2"/>
          <w:sz w:val="32"/>
          <w:szCs w:val="32"/>
          <w:lang w:val="en-US" w:eastAsia="zh-CN" w:bidi="ar-SA"/>
        </w:rPr>
        <w:t>）</w:t>
      </w:r>
    </w:p>
    <w:p w14:paraId="3C9D935E">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3142C17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61EC8EDB">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459B0276">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3E70A3B9">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pacing w:val="-20"/>
          <w:sz w:val="44"/>
          <w:szCs w:val="44"/>
          <w:highlight w:val="none"/>
          <w:lang w:val="en-US" w:eastAsia="zh-CN"/>
        </w:rPr>
      </w:pPr>
    </w:p>
    <w:p w14:paraId="477B685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方正小标宋_GBK" w:cs="方正小标宋_GBK"/>
          <w:b w:val="0"/>
          <w:bCs w:val="0"/>
          <w:color w:val="auto"/>
          <w:sz w:val="36"/>
          <w:szCs w:val="36"/>
          <w:highlight w:val="none"/>
        </w:rPr>
      </w:pPr>
    </w:p>
    <w:p w14:paraId="4DE0654D">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pacing w:val="-20"/>
          <w:sz w:val="44"/>
          <w:szCs w:val="44"/>
          <w:highlight w:val="none"/>
          <w:lang w:val="en-US" w:eastAsia="zh-CN"/>
        </w:rPr>
      </w:pPr>
    </w:p>
    <w:p w14:paraId="66B05A72">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pacing w:val="-20"/>
          <w:sz w:val="44"/>
          <w:szCs w:val="44"/>
          <w:highlight w:val="none"/>
          <w:lang w:val="en-US" w:eastAsia="zh-CN"/>
        </w:rPr>
      </w:pPr>
      <w:r>
        <w:rPr>
          <w:rFonts w:hint="eastAsia" w:ascii="方正小标宋_GBK" w:hAnsi="方正小标宋_GBK" w:eastAsia="方正小标宋_GBK" w:cs="方正小标宋_GBK"/>
          <w:b/>
          <w:bCs/>
          <w:color w:val="2E75B6" w:themeColor="accent1" w:themeShade="BF"/>
          <w:spacing w:val="-20"/>
          <w:sz w:val="44"/>
          <w:szCs w:val="44"/>
          <w:highlight w:val="none"/>
          <w:lang w:val="en-US" w:eastAsia="zh-CN"/>
        </w:rPr>
        <w:t>波斯湾战火：不止原油，全球大宗商品</w:t>
      </w:r>
    </w:p>
    <w:p w14:paraId="49417E0A">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Times New Roman" w:hAnsi="Times New Roman" w:eastAsia="方正仿宋_GBK" w:cs="Times New Roman"/>
          <w:b w:val="0"/>
          <w:bCs w:val="0"/>
          <w:sz w:val="32"/>
          <w:szCs w:val="32"/>
        </w:rPr>
      </w:pPr>
      <w:r>
        <w:rPr>
          <w:rFonts w:hint="eastAsia" w:ascii="方正小标宋_GBK" w:hAnsi="方正小标宋_GBK" w:eastAsia="方正小标宋_GBK" w:cs="方正小标宋_GBK"/>
          <w:b/>
          <w:bCs/>
          <w:color w:val="2E75B6" w:themeColor="accent1" w:themeShade="BF"/>
          <w:spacing w:val="-20"/>
          <w:sz w:val="44"/>
          <w:szCs w:val="44"/>
          <w:highlight w:val="none"/>
          <w:lang w:val="en-US" w:eastAsia="zh-CN"/>
        </w:rPr>
        <w:t>供应链的“超级断链”</w:t>
      </w:r>
    </w:p>
    <w:p w14:paraId="5FD1411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1B6D5D06">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lang w:val="en-US" w:eastAsia="zh-CN"/>
        </w:rPr>
        <w:t>摘要</w:t>
      </w:r>
      <w:r>
        <w:rPr>
          <w:rFonts w:hint="eastAsia" w:ascii="方正楷体_GBK" w:hAnsi="方正楷体_GBK" w:eastAsia="方正楷体_GBK" w:cs="方正楷体_GBK"/>
          <w:b w:val="0"/>
          <w:bCs w:val="0"/>
          <w:sz w:val="28"/>
          <w:szCs w:val="28"/>
          <w:lang w:val="en-US" w:eastAsia="zh-CN"/>
        </w:rPr>
        <w:t>：本文聚焦</w:t>
      </w:r>
      <w:r>
        <w:rPr>
          <w:rFonts w:hint="default" w:ascii="Times New Roman" w:hAnsi="Times New Roman" w:eastAsia="方正楷体_GBK" w:cs="Times New Roman"/>
          <w:b w:val="0"/>
          <w:bCs w:val="0"/>
          <w:sz w:val="28"/>
          <w:szCs w:val="28"/>
          <w:lang w:val="en-US" w:eastAsia="zh-CN"/>
        </w:rPr>
        <w:t>2026</w:t>
      </w:r>
      <w:r>
        <w:rPr>
          <w:rFonts w:hint="eastAsia" w:ascii="方正楷体_GBK" w:hAnsi="方正楷体_GBK" w:eastAsia="方正楷体_GBK" w:cs="方正楷体_GBK"/>
          <w:b w:val="0"/>
          <w:bCs w:val="0"/>
          <w:sz w:val="28"/>
          <w:szCs w:val="28"/>
          <w:lang w:val="en-US" w:eastAsia="zh-CN"/>
        </w:rPr>
        <w:t>年</w:t>
      </w:r>
      <w:r>
        <w:rPr>
          <w:rFonts w:hint="eastAsia" w:ascii="Times New Roman" w:hAnsi="Times New Roman" w:eastAsia="方正楷体_GBK" w:cs="Times New Roman"/>
          <w:b w:val="0"/>
          <w:bCs w:val="0"/>
          <w:sz w:val="28"/>
          <w:szCs w:val="28"/>
          <w:lang w:val="en-US" w:eastAsia="zh-CN"/>
        </w:rPr>
        <w:t>3</w:t>
      </w:r>
      <w:r>
        <w:rPr>
          <w:rFonts w:hint="eastAsia" w:ascii="方正楷体_GBK" w:hAnsi="方正楷体_GBK" w:eastAsia="方正楷体_GBK" w:cs="方正楷体_GBK"/>
          <w:b w:val="0"/>
          <w:bCs w:val="0"/>
          <w:sz w:val="28"/>
          <w:szCs w:val="28"/>
          <w:lang w:val="en-US" w:eastAsia="zh-CN"/>
        </w:rPr>
        <w:t>月霍尔木兹海峡实质性封锁事件，围绕地缘军事冲突对全球大宗商品及全产业链的系统性冲击展开研究，属于地缘政治与全球工业供应链安全交叉研究领域。文章突破市场仅关注原油价格波动的局限，指出波斯湾作为全球核心石化、冶炼与化工加工集群，海峡封锁引发了远超能源领域的供应链“超级断链”。文章系统剖析了危机的多维度传导路径：亚洲炼油厂因原油原料错配出现利润崩塌与产能收缩；氦气、铝、石脑油断供分别冲击半导体先进制程、基础制造业与全球医药供应链；硫磺短缺同时威胁粮食生产与有色金属矿业，拖累绿色能源转型。研究揭示了全球化极致效率下供应链的深层脆弱性，阐明区域性冲突可通过产业链传导形成对全球实体经济的全面冲击。</w:t>
      </w:r>
    </w:p>
    <w:p w14:paraId="0484BBB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3ECA347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lang w:val="en-US" w:eastAsia="zh-CN"/>
        </w:rPr>
        <w:t>正文</w:t>
      </w:r>
      <w:r>
        <w:rPr>
          <w:rFonts w:hint="eastAsia" w:ascii="Times New Roman" w:hAnsi="Times New Roman" w:eastAsia="方正仿宋_GBK" w:cs="Times New Roman"/>
          <w:b w:val="0"/>
          <w:bCs w:val="0"/>
          <w:sz w:val="32"/>
          <w:szCs w:val="32"/>
          <w:lang w:val="en-US" w:eastAsia="zh-CN"/>
        </w:rPr>
        <w:t>：</w:t>
      </w:r>
    </w:p>
    <w:p w14:paraId="39C4C74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当世界盯着油价跳动时，真正的危机正在悄然逼近——不是加油站的价格牌，而是半导体工厂的停产通知、医院的药品短缺警报、超市货架上消失的面包。</w:t>
      </w:r>
    </w:p>
    <w:p w14:paraId="24A4ED9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2026年3月下旬，霍尔木兹海峡实质性封锁已进入第三周。全球金融市场和主流媒体的目光，几乎全部被原油价格的剧烈波动所吸引：截至3月2日（周五）收盘，英国布伦特原油现货突破每桶120美元，WTI逼近115美元，迪拜市场的原油现货价格更是飙升至160美元，新加坡燃料交易市场的汽柴油报价连续创下单日最大涨幅纪录。然而，油价的暴涨并不能体现这场危机的真实广度和深度。</w:t>
      </w:r>
    </w:p>
    <w:p w14:paraId="4E34343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波斯湾地区早已不再是单纯的“石油输出地”，而是掌控全球工业命脉的“超级加工厂”。过去20年，该地区利用极低廉的天然气和能源成本，建成了世界上规模最大、效率最高的石化、冶炼和化工加工集群。这里出口的不仅是原油，更是全球海运贸易中约20-25%的尿素、约25%的铝、约30%的氦气、超过40%的硫磺，以及大量苯乙烯、聚乙烯、甲醇等石化原料。</w:t>
      </w:r>
    </w:p>
    <w:p w14:paraId="7FD2B92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当这条咽喉被掐住时，首当其冲的不是加油站，而是从基础制造业到高科技产业的全面断链：亚洲炼油厂因原料错配利润崩塌、半导体极紫外光刻机冷却剂氦气断供、塑料与医药原料供应中断、硫磺与化肥短缺引发的粮食安全危机……四处爆发的供应链断裂，正将一场区域性军事冲突，放大为瘫痪全球实体经济的系统性灾难。</w:t>
      </w:r>
    </w:p>
    <w:p w14:paraId="2BEB3B8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一、炼油与燃料的化学错配</w:t>
      </w:r>
    </w:p>
    <w:p w14:paraId="45366A0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波斯湾爆发战火，大众最直观的感受是油价上涨，但现实远比“原油贵了”复杂得多。亚洲炼油厂当前正经历一场“原料规格错配”的劫难，这或许是当前危机中最直接、最急迫的冲击。</w:t>
      </w:r>
    </w:p>
    <w:p w14:paraId="70C0EB5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波斯湾出口的原油以含硫量高的重质原油为主（API重力通常在28o-34o之间，硫含量1.5%-4%），因此亚洲炼油厂过去20年投入数百亿美元，专门建造复杂裂解、加氢脱硫、焦化、延迟焦化装置，以高效处理这种重质原油，提炼出高价值的柴油（占炼油产品40%-50%）、航空煤油（占15%-20%）和石脑油（占20%）。这些装置的设计目标是最大化柴油和航煤收率，以满足亚洲快速增长的卡车运输、航空和工业动力需求。</w:t>
      </w:r>
    </w:p>
    <w:p w14:paraId="5142345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波斯湾战端开启之后，这些重质原油无法获取，炼厂被迫转向其他产地的轻质低硫原油，如美国Permian盆地页岩油、北海布伦特、挪威原油、西非原油等。轻质原油裂解后汽油收率过高（可达55-65%），但柴油和航空煤油收率显著下降（仅15-25%），而亚洲市场最缺的恰恰是柴油（卡车、发电、工业动力）和航空煤油（航空公司库存告急）。</w:t>
      </w:r>
    </w:p>
    <w:p w14:paraId="038D959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对于亚洲炼油厂而言，经济后果是灾难性的：裂解价差（3-2-1 spread，即汽油+柴油+航煤的成品油售价减去原油的价格差）从正值转为负值，炼油利润直接崩塌，部分炼厂甚至出现“炼一桶亏一桶”的极端情况。印度、日本、韩国、泰国等国的炼油厂已陆续宣布削减5%-15%产能（部分已达20%）。</w:t>
      </w:r>
    </w:p>
    <w:p w14:paraId="0D845C8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波斯湾自身巨型炼油厂（如沙特阿美Ras Tanura、阿联酋阿布扎比、卡塔尔Ras Laffan）出口几乎停滞，大量载满高附加值成品油的油轮被困在海峡内。根据船舶跟踪平台Kpler和Vortexa数据，目前有约125-140艘成品油轮滞留波斯湾，相当于全球成品油海运舰队的5%-6%。</w:t>
      </w:r>
    </w:p>
    <w:p w14:paraId="62AC474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新加坡作为亚洲燃料交易枢纽，汽柴油和航空煤油价格垂直飙升，部分合约单日涨幅超过15%。欧洲同样无法幸免，2025年，其69%的航空燃料依赖波斯湾或亚洲中转。</w:t>
      </w:r>
    </w:p>
    <w:p w14:paraId="488A597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燃料短缺的倒计时已启动：大洋洲将在36天内耗尽80%航空燃料库存；非洲将在23天内面临严重燃油短缺；中日韩以外的亚洲经济体，大多在12天内爆发汽油危机。12天，意味着几乎没有缓冲空间。</w:t>
      </w:r>
    </w:p>
    <w:p w14:paraId="569C3FD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即使海峡在未来数日内重开，航运公司也需时间重新排定船期，全球燃料市场极度紧张状态短期内无法缓解。燃料短缺不仅推高物流成本，还直接威胁航空公司运营、发电厂备用燃料、工业锅炉用油，实体经济停摆的风险正在逼近。</w:t>
      </w:r>
    </w:p>
    <w:p w14:paraId="2BC7B44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二、高科技与基础材料的供应断裂</w:t>
      </w:r>
    </w:p>
    <w:p w14:paraId="2ED2ACA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波斯湾的战略布局远不止原油出口。过去20年，该地区利用极低廉的天然气和能源成本，打造了全球规模最大、效率最高的石化与冶炼加工枢纽，成为欧亚大陆的“超级加工厂”。当海峡被封锁时，冲击迅速蔓延到高科技与基础材料领域。</w:t>
      </w:r>
    </w:p>
    <w:p w14:paraId="3B36295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氦气：“绝对零度”的半导体生命线</w:t>
      </w:r>
    </w:p>
    <w:p w14:paraId="2A31E68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氦气是天然气开采的伴生产物，在天然气液化（LNG）过程中通过深冷分离技术提取。卡塔尔拥有世界最大的天然气田和LNG出口基地，拉斯拉凡工业区因此成为全球氦气生产的绝对核心，控制全球约30%的供应。该园区已全面关闭，液态氦出口瞬间归零。</w:t>
      </w:r>
    </w:p>
    <w:p w14:paraId="17EE970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氦气是所有元素中沸点最低的（-268.9oC），在极紫外光（EUV）光刻机中，唯一能将超导磁铁冷却至接近绝对零度的介质就是液态氦。没有它，ASML的EUV设备无法运转，而EUV是制造5nm以下先进芯片的唯一技术路径。目前全球仅有ASML一家公司能生产商用EUV光刻机，台积电、三星、英特尔、GlobalFoundries等巨头全部依赖其设备。</w:t>
      </w:r>
    </w:p>
    <w:p w14:paraId="339FD04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这形同全球半导体产业被“拔掉电源”。台积电、三星、英特尔已紧急评估库存，短期内可支撑2-3个月，但长期缺口无法从美国（全球第二大氦气产地，约占25%）或俄罗斯补齐——扩张产能需要3-5年时间。</w:t>
      </w:r>
    </w:p>
    <w:p w14:paraId="0DDCA53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氦气危机将直接冻结先进芯片制造进度，影响AI服务器、5G基站、汽车电子、新能源电池管理芯片、量子计算等全产业链。行业分析师警告：若缺口持续半年，全球先进芯片产能可能收缩15%-25%，推高所有电子产品价格，延缓AI革命和电动车普及。</w:t>
      </w:r>
    </w:p>
    <w:p w14:paraId="40E0AD7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铝：基础工业的“价格风暴”</w:t>
      </w:r>
    </w:p>
    <w:p w14:paraId="01C3692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铝冶炼属于高耗能产业，电力成本占生产成本的40%以上。卡塔尔、巴林、阿联酋凭借廉价天然气发电优势，成为全球重要的铝生产基地，三国合计占全球海运铝贸易量的约24%。近期霍尔木兹海峡封锁导致出口通道受阻，大量铝锭和半成品无法出海，同时本地天然气供应因战火不确定性而出现紧张，叠加这些因素，当地铝冶炼厂被迫减产甚至停工。</w:t>
      </w:r>
    </w:p>
    <w:p w14:paraId="391DA2A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作为高耗能产业，铝冶炼对天然气高度依赖，一旦原料和出口双重受限，全球供应预期立即收紧。伦敦金属交易所（LME）铝价因此应声上涨，3月中旬，LME铝价一度触及3546美元/吨的高位，逼近四年来的高点。</w:t>
      </w:r>
    </w:p>
    <w:p w14:paraId="04C499E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欧美工业对中东铝进口存在高度依赖——欧洲14%的铝进口来自中东，美国这一比例更是高达21%。随着供应紧张局势加剧，实物交割的铝溢价已攀升至历史新高。铝作为基础工业材料，广泛应用于汽车制造（车身、发动机部件）、航空领域（机身、翼梁）、包装行业（易拉罐、食品箔）以及绿色能源产业（铝制电池壳、光伏支架）等多个关键领域。</w:t>
      </w:r>
    </w:p>
    <w:p w14:paraId="4ADA310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铝价上涨的连锁反应正沿着产业链全面传导，特斯拉、波音、空客、大众、比亚迪等全球头部企业的供应链成本已普遍上涨8%-12%，利润空间受到明显挤压，部分成本压力或将逐步传导至终端产品价格。</w:t>
      </w:r>
    </w:p>
    <w:p w14:paraId="53D4B19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石脑油：塑料与医药的“上游断裂”</w:t>
      </w:r>
    </w:p>
    <w:p w14:paraId="049046A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石脑油是原油炼制过程中的轻质馏分，是现代石化工业的最上游原料——通过蒸汽裂解产生乙烯、丙烯、丁二烯等基础单体，再聚合生成聚乙烯（PE）、聚丙烯（PP）、聚苯乙烯（PS）等塑料。这一裂解过程需要大量天然气作为燃料和原料，波斯湾（尤其是沙特、卡塔尔、阿联酋）凭借极低廉的天然气和伴生气成本优势，建成了全球最大的石脑油裂解中心，年出口石脑油约4000-5000万吨，占全球贸易的45%左右。</w:t>
      </w:r>
    </w:p>
    <w:p w14:paraId="0014CFB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海峡封锁后，这些石脑油无法出海，亚洲（尤其是中国和韩国）的乙烯裂解装置原料短缺。韩国乐天化学、三星石化等巨头已宣布部分生产线停工或减产。中国作为全球最大塑料消费国，石脑油进口依赖度高达40%，一旦缺口持续，塑料薄膜、管材、包装、汽车零部件、电子外壳等下游产品价格将快速上涨。</w:t>
      </w:r>
    </w:p>
    <w:p w14:paraId="00F81B0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不是“少几个塑料袋”的小事，而是直接威胁现代医药供应链。阿斯匹林、布洛芬、扑热息痛等常用药物的核心化合物合成，以及输液袋、注射器外壳、手术器械包装等医疗耗材的生产，都高度依赖石化中间体（如苯乙烯衍生物、聚丙烯单体、聚乙烯辅料）。</w:t>
      </w:r>
    </w:p>
    <w:p w14:paraId="04E60D6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中国和印度是全球最大仿制药生产国。中国从波斯湾进口大量苯乙烯、甲苯等中间体，用于合成布洛芬、阿莫西林等原料药。印度作为全球最重要的仿制药供应国之一，同样依赖中东石脑油裂解产物，一旦断供，原料药和制剂生产将面临停摆风险。</w:t>
      </w:r>
    </w:p>
    <w:p w14:paraId="7411379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印度制药协会（IPD）已发出警告：若封锁持续3个月，全球仿制药供应可能减少20%-30%，许多基础药（如抗生素、心血管药）价格将上涨50%-100%。欧美医药巨头（如辉瑞、诺华、默沙东）已将供应链高度外包至印度和中国，药品短缺风险将迅速传导至发达国家医院和药店。</w:t>
      </w:r>
    </w:p>
    <w:p w14:paraId="7E4B66B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更深层的影响是，塑料包装短缺将放大医药物流难题。疫苗冷链运输依赖聚乙烯/聚丙烯保温材料，输液袋、注射器外壳短缺将直接影响医院急救和慢性病治疗。2022年俄乌战争期间，石化原料价格上涨已导致全球药品价格平均上涨5%-10%，本次冲击强度更高。</w:t>
      </w:r>
    </w:p>
    <w:p w14:paraId="3604DB2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简言之，波斯湾石脑油断供，从上游掐住了塑料与医药原料的“生命线”，将区域冲突的影响迅速放大到全球的药柜和病床。</w:t>
      </w:r>
    </w:p>
    <w:p w14:paraId="25FA076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三、硫磺：粮食与矿业的共同生命线</w:t>
      </w:r>
    </w:p>
    <w:p w14:paraId="7CF9532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硫磺是石油和天然气开采的副产品——原油和天然气中含有的硫化氢经脱硫处理后转化为固体硫磺。波斯湾油气田的含硫量普遍较高，叠加该地区庞大的油气开采规模，使其成为全球最大的硫磺产地，占全球海运硫磺贸易量的70%以上。如果说氦气断供冻结了半导体产业，石脑油短缺威胁了医药供应链，那么硫磺的断供则是一把双刃剑：它既掐住了全球粮食生产的咽喉，又切断了现代矿业的生命线。</w:t>
      </w:r>
    </w:p>
    <w:p w14:paraId="334CF03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从化肥到矿业的双重依赖</w:t>
      </w:r>
    </w:p>
    <w:p w14:paraId="08AFE4A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硫磺断供对化肥和粮食生产的冲击已广为人知——全球90%的磷肥生产依赖硫磺（详见专题报道《波斯湾战火将重创全球粮食生产》）。但被市场严重低估的是：硫磺同样是现代矿业不可或缺的核心原料。</w:t>
      </w:r>
    </w:p>
    <w:p w14:paraId="535C748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湿法冶金是提取铜、镍、钴、锌等有色金属的主要工艺——矿石通过硫酸浸出，金属离子溶解后再电解提纯。没有硫酸，矿石就是一堆无法利用的石头。而硫酸的唯一大规模工业化生产路径，就是硫磺燃烧氧化。</w:t>
      </w:r>
    </w:p>
    <w:p w14:paraId="683C46C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印尼（全球最大镍产地）、刚果（金）（钴的主要来源）、智利（铜的主要产地）等矿业大国高度依赖进口硫磺。霍尔木兹海峡封锁后，这些国家的矿业公司陷入混乱，四处寻找替代溶剂或紧急进口硫磺，但全球替代产能极其有限。</w:t>
      </w:r>
    </w:p>
    <w:p w14:paraId="37B9EA5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矿业供应链的连锁崩塌</w:t>
      </w:r>
    </w:p>
    <w:p w14:paraId="0B43D30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硫磺短缺的影响正沿着矿业产业链快速传导：首先是产量收缩。印尼镍矿冶炼厂已有部分生产线因硫酸短缺被迫减产，智利铜矿公司宣布将二季度产量目标下调5%-8%。刚果（金）的钴矿开采同样面临硫酸供应紧张，部分中小矿企已停工待料。</w:t>
      </w:r>
    </w:p>
    <w:p w14:paraId="277F94E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其次是价格暴涨。3月下旬，伦敦金属交易所（LME）铜价较2月底上涨18%，镍价波动加剧，钴价同样飙升。这些金属是全球绿色能源转型的核心材料——电动车电池（镍、钴、锂）、风电设备（铜）、太阳能光伏（银、铜）、电网升级（铜电缆）。</w:t>
      </w:r>
    </w:p>
    <w:p w14:paraId="0CD1696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绿色能源转型的“意外刹车”</w:t>
      </w:r>
    </w:p>
    <w:p w14:paraId="1AE7CCA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硫磺断供对绿色能源产业链的打击是双重的：一方面，上游原料涨价。特斯拉、比亚迪等电动车企业的电池成本上涨12%-18%，利润空间被严重挤压。维斯塔斯、西门子歌美飒等风电巨头的铜材采购成本同样大幅上升。</w:t>
      </w:r>
    </w:p>
    <w:p w14:paraId="7A97089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另一方面，产能扩张受阻。全球电动车产业原本计划2026年产能扩张20%以上，但镍、钴供应紧张将直接拖累扩产进度。国际能源署（IEA）警告，如果关键矿物供应短缺持续半年以上，全球电动车产量可能比基准情景减少15%-20%，绿色能源转型进程将被推迟1-2年。</w:t>
      </w:r>
    </w:p>
    <w:p w14:paraId="2E31558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矿业危机的跨产业传导</w:t>
      </w:r>
    </w:p>
    <w:p w14:paraId="3DF570D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矿业不是孤立的产业，它的震荡会迅速传导至整个制造业。</w:t>
      </w:r>
    </w:p>
    <w:p w14:paraId="4A77A05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汽车行业：铜价上涨推高线束、电机成本；镍、钴短缺威胁电动车电池供应；</w:t>
      </w:r>
    </w:p>
    <w:p w14:paraId="0701036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电子行业：铜箔、铜线上涨推高印刷电路板（PCB）成本；</w:t>
      </w:r>
    </w:p>
    <w:p w14:paraId="6458289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建筑行业：铜管、铜线缆价格上涨，推高建筑成本；</w:t>
      </w:r>
    </w:p>
    <w:p w14:paraId="19F67C9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电力行业：电网升级所需的铜电缆供应紧张，智能电网建设放缓。</w:t>
      </w:r>
    </w:p>
    <w:p w14:paraId="7E61BA0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更隐蔽的影响是资本支出收缩。矿业公司面对原料（硫磺）短缺和产量下降，将推迟或取消新项目投资。这意味着未来2-3年，全球铜、镍、钴的新增产能将显著低于预期，供应紧张状态可能长期化。</w:t>
      </w:r>
    </w:p>
    <w:p w14:paraId="01CA25E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硫磺断供揭示了一个残酷的事实：现代文明的两大支柱——粮食生产和工业制造——都建立在同一个脆弱的化学原料之上。波斯湾的战火不仅威胁着全球的餐桌，也在动摇着绿色能源转型的根基。当一场区域性冲突能够同时掐住农业和矿业的咽喉时，“超级断链”不再是危言耸听，而是正在发生的现实。</w:t>
      </w:r>
    </w:p>
    <w:p w14:paraId="412DBFC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从“石油咽喉”到“文明动脉”</w:t>
      </w:r>
    </w:p>
    <w:p w14:paraId="08994A8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霍尔木兹海峡封锁进入第三周，全球市场终于意识到：这不是一场简单的能源危机，而是对现代工业文明的系统性冲击。</w:t>
      </w:r>
    </w:p>
    <w:p w14:paraId="54158E6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从亚洲炼油厂的“原料错配”到半导体工厂的“氦气告罄”，从医药供应链的“石脑油断裂”到全球粮食生产的“化肥荒”，从矿业冶炼的“硫酸短缺”到绿色能源转型的“意外刹车”——波斯湾地区控制的，远不止全球20%的石油供应，而是掌控着现代工业文明最核心的化学原料和加工节点。</w:t>
      </w:r>
    </w:p>
    <w:p w14:paraId="3C664C8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过去20年，全球化追求极致的效率优化和成本最小化。波斯湾凭借廉价天然气和规模经济，成为全球最大的石化、冶炼、化肥加工中心。但效率的代价是脆弱——当这个“超级加工厂”因地缘冲突停摆时，全球发现：没有备份，没有缓冲，没有B计划。</w:t>
      </w:r>
    </w:p>
    <w:p w14:paraId="69AE6C0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场危机最残酷的启示是：地缘政治的震荡不再局限于能源价格，而是会通过供应链的“超级传导”，同时打击粮食安全、工业生产、科技创新。从波斯湾到全球每一个加油站、超市货架、工厂车间、芯片实验室——当一个区域能够同时掐住能源、粮食、工业、科技的咽喉时，"超级断链"不再是理论推演，而是全球共同面对的生存挑战。</w:t>
      </w:r>
    </w:p>
    <w:p w14:paraId="0B29075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附注：API重力（API Gravity）是石油行业用来衡量原油密度的一个标准指标，由美国石油学会（American Petroleum Institute）制定，单位是“度”（o）。简单说：数值越大，原油越“轻”；数值越小，原油越“重”。轻质原油：API &gt; 31.1o，如美国WTI（约39o-42o）、北海布伦特（约38o-39o）、西非Bonny Light（约35o）；中质原油：API 22.3o-31.1o，如部分中东出口原油（如阿曼、迪拜）；重质原油：API &lt; 22.3o，如加拿大油砂（10o-20o）、委内瑞拉Orinoco重油（&lt;10o）、墨西哥Maya（约22o）</w:t>
      </w:r>
    </w:p>
    <w:p w14:paraId="383753FB">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w:t>
      </w:r>
      <w:r>
        <w:rPr>
          <w:rFonts w:hint="eastAsia" w:ascii="Times New Roman" w:hAnsi="Times New Roman" w:eastAsia="方正楷体_GBK" w:cs="方正楷体_GBK"/>
          <w:b/>
          <w:bCs/>
          <w:color w:val="FF0000"/>
          <w:spacing w:val="0"/>
          <w:kern w:val="2"/>
          <w:sz w:val="30"/>
          <w:szCs w:val="30"/>
          <w:lang w:val="en-US" w:eastAsia="zh-CN" w:bidi="ar-SA"/>
        </w:rPr>
        <w:t>发展研究部 左亮、刘浩</w:t>
      </w:r>
      <w:r>
        <w:rPr>
          <w:rFonts w:hint="default" w:ascii="Times New Roman" w:hAnsi="Times New Roman" w:eastAsia="方正楷体_GBK" w:cs="方正楷体_GBK"/>
          <w:b/>
          <w:bCs/>
          <w:color w:val="FF0000"/>
          <w:spacing w:val="0"/>
          <w:kern w:val="2"/>
          <w:sz w:val="30"/>
          <w:szCs w:val="30"/>
          <w:lang w:val="en-US" w:eastAsia="zh-CN" w:bidi="ar-SA"/>
        </w:rPr>
        <w:t>）</w:t>
      </w:r>
    </w:p>
    <w:p w14:paraId="24D346FB">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0696684A">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22B87B1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3C7A7E9C">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6BF4D3A0">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3F793E9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56EF312B">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14002F9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69A02316">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751E9C6C">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62C9AA9A">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5EFE49E4">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4E8300A7">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2783AE2C">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z w:val="44"/>
          <w:szCs w:val="44"/>
          <w:lang w:val="en-US" w:eastAsia="zh-CN"/>
        </w:rPr>
      </w:pPr>
    </w:p>
    <w:p w14:paraId="65F3F2F5">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Times New Roman" w:hAnsi="Times New Roman" w:eastAsia="方正仿宋_GBK" w:cs="Times New Roman"/>
          <w:b w:val="0"/>
          <w:bCs w:val="0"/>
          <w:sz w:val="32"/>
          <w:szCs w:val="32"/>
        </w:rPr>
      </w:pPr>
      <w:r>
        <w:rPr>
          <w:rFonts w:hint="eastAsia" w:ascii="方正小标宋_GBK" w:hAnsi="方正小标宋_GBK" w:eastAsia="方正小标宋_GBK" w:cs="方正小标宋_GBK"/>
          <w:b/>
          <w:bCs/>
          <w:color w:val="2E75B6" w:themeColor="accent1" w:themeShade="BF"/>
          <w:sz w:val="44"/>
          <w:szCs w:val="44"/>
          <w:lang w:val="en-US" w:eastAsia="zh-CN"/>
        </w:rPr>
        <w:t>美国禁止石油出口可能的经济后果</w:t>
      </w:r>
    </w:p>
    <w:p w14:paraId="0F249B49">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45CE9413">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摘要</w:t>
      </w:r>
      <w:r>
        <w:rPr>
          <w:rFonts w:hint="eastAsia" w:ascii="方正楷体_GBK" w:hAnsi="方正楷体_GBK" w:eastAsia="方正楷体_GBK" w:cs="方正楷体_GBK"/>
          <w:b w:val="0"/>
          <w:bCs w:val="0"/>
          <w:sz w:val="28"/>
          <w:szCs w:val="28"/>
          <w:lang w:val="en-US" w:eastAsia="zh-CN"/>
        </w:rPr>
        <w:t>：本文聚焦</w:t>
      </w:r>
      <w:r>
        <w:rPr>
          <w:rFonts w:hint="default" w:ascii="Times New Roman" w:hAnsi="Times New Roman" w:eastAsia="方正楷体_GBK" w:cs="Times New Roman"/>
          <w:b w:val="0"/>
          <w:bCs w:val="0"/>
          <w:sz w:val="28"/>
          <w:szCs w:val="28"/>
          <w:lang w:val="en-US" w:eastAsia="zh-CN"/>
        </w:rPr>
        <w:t>2026</w:t>
      </w:r>
      <w:r>
        <w:rPr>
          <w:rFonts w:hint="eastAsia" w:ascii="方正楷体_GBK" w:hAnsi="方正楷体_GBK" w:eastAsia="方正楷体_GBK" w:cs="方正楷体_GBK"/>
          <w:b w:val="0"/>
          <w:bCs w:val="0"/>
          <w:sz w:val="28"/>
          <w:szCs w:val="28"/>
          <w:lang w:val="en-US" w:eastAsia="zh-CN"/>
        </w:rPr>
        <w:t>年霍尔木兹海峡封锁引发的美国油价暴涨、通胀失控与中期选举政治压力背景，围绕美国全面禁止石油出口这一极端政策选项的经济后果与政策可行性展开研究，属于能源经济、地缘政治与选举政治交叉研究领域。文章梳理了特朗普政府护航联盟、战略石油储备释放等常规能源调控手段相继失效的现实困境，系统推演了原油与成品油出口禁令两大方案的连锁冲击：核心矛盾在于美国炼油设施与页岩油供给的结构性错配，禁令将引发国内成品油供需失衡、区域价格分化，同时触发外交反噬、贸易报复与全球原油定价体系撕裂。研究指出出口禁令是饮鸩止渴的短视政策，将重创美国能源长期信誉与产能潜力，并提出改革琼斯法案等提升能源供应链韧性的应对方向。</w:t>
      </w:r>
    </w:p>
    <w:p w14:paraId="1B64D71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2B33899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正文</w:t>
      </w:r>
      <w:r>
        <w:rPr>
          <w:rFonts w:hint="eastAsia" w:ascii="Times New Roman" w:hAnsi="Times New Roman" w:eastAsia="方正仿宋_GBK" w:cs="Times New Roman"/>
          <w:b w:val="0"/>
          <w:bCs w:val="0"/>
          <w:sz w:val="32"/>
          <w:szCs w:val="32"/>
          <w:lang w:val="en-US" w:eastAsia="zh-CN"/>
        </w:rPr>
        <w:t>：</w:t>
      </w:r>
    </w:p>
    <w:p w14:paraId="557C393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2026年3月，美国正经历一场自1973年石油危机以来最严峻的能源压力测试。3月19日美东时间收盘，布伦特原油期货价格报108.65美元/桶，美国WTI原油期货价格报96.14美元/桶，均较2月底大幅上涨。美国全国平均汽油零售价从2月底的每加仑2.90美元飙升至接近4美元，加州部分地区甚至逼近5美元。通胀数据再度失控，2月核心PCE物价指数同比涨幅重回4%以上。</w:t>
      </w:r>
    </w:p>
    <w:p w14:paraId="78D6DE7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油价飙升的政治后果正在显现。中期选举前夕的民调显示，超过68%的独立选民将“汽油价格”列为首要关切议题。独立选民不明确归属于共和党或民主党，其投票倾向取决于具体议题而非党派忠诚。共和党和民主党的基本盘相对固定，因此独立选民群体在美国选举中具有决定性作用。他们通常根据汽油价格、通胀、就业等直接影响生活的议题做出选择，能左右最终结果。目前，随着这一关键群体因油价问题转向，共和党支持率出现明显下滑。</w:t>
      </w:r>
    </w:p>
    <w:p w14:paraId="6D69721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面对汽油价格上涨的压力，特朗普政府几乎穷尽了常规政策工具箱：</w:t>
      </w:r>
    </w:p>
    <w:p w14:paraId="100564D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第一步，试图联合北约盟友和海湾国家组建“霍尔木兹护航联盟”，重开全球最关键的石油咽喉。但沙特、阿联酋态度暧昧，欧洲国家因自身能源短缺不愿卷入，亚洲国家则明确拒绝军事介入，护航计划事实上流产。</w:t>
      </w:r>
    </w:p>
    <w:p w14:paraId="2954B4C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第二步，以史无前例的规模释放战略石油储备（SPR）。自2025年10月起，美国已累计释放超过2.1亿桶，创下历史上最大规模单次释放纪录。白宫甚至动用行政命令，授权财政部直接在期货市场做空布伦特合约，试图通过金融杠杆压制现货价格。然而，市场对这些干预的反应越来越麻木：每次SPR释放公告后，油价最多下跌2-3天，随后因地缘风险溢价重新回升。</w:t>
      </w:r>
    </w:p>
    <w:p w14:paraId="51EAB41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据多家机构估算，如果与伊朗的军事冲突持续升级，霍尔木兹海峡实质性封锁延续至3月底，布伦特原油极有可能触及120-130美元警戒线。美国本土汽油零售价将轻松突破每加仑4.5美元，甚至逼近5美元大关。这对每天平均通勤里程超过40英里的美国中产家庭而言，意味着每月额外支出150-250美元，这将直接侵蚀家庭可支配收入。经济学家测算，高油价将使2026年美国GDP增速下修0.6-1.2个百分点，通胀率额外上行0.8-1.5个百分点。</w:t>
      </w:r>
    </w:p>
    <w:p w14:paraId="68D32B0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常规手段失效、选情危急的背景下，华盛顿内部开始流传一种看似诱人实则危险的极端方案：全面禁止美国原油出口。这一想法并非全新——2014年俄罗斯吞并克里米亚后，奥巴马政府就曾短暂讨论过类似选项；2022年俄乌冲突初期，拜登政府也考虑过“出口限额”。但特朗普团队如今的讨论已远超以往：不止是限额，而是彻底关闭出口阀门，将美国每天约400-450万桶的原油出口全部截留在本土。</w:t>
      </w:r>
    </w:p>
    <w:p w14:paraId="1A7E548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表面上看，这似乎是“美国优先”的完美体现：作为全球第三大石油出口国（仅次于沙特和俄罗斯），美国日出口约400-450万桶。如果把这些原油留在国内，美国加油站的油价岂不立竿见影地下降？然而，真实的炼油与市场机制远非如此简单的加减法。</w:t>
      </w:r>
    </w:p>
    <w:p w14:paraId="05DF9F3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一、炼油基础设施的结构性错配</w:t>
      </w:r>
    </w:p>
    <w:p w14:paraId="656D275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看似简单的“截留出口”方案，在技术层面就存在致命缺陷。过去15年，美国页岩油革命彻底改变了原油供给结构。得克萨斯州和新墨西哥州的Permian盆地每天产出超过600万桶轻质低硫原油，而墨西哥湾沿岸的炼油厂（美国炼油产能的近50%）绝大多数建于20世纪70-90年代，主要为处理来自委内瑞拉、墨西哥、加拿大油砂的重质高硫原油而设计。这些重质原油需要复杂的焦化、加氢裂化、催化裂化装置才能高效转化为汽油、柴油和航空煤油。</w:t>
      </w:r>
    </w:p>
    <w:p w14:paraId="0569F20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如果突然实施出口禁令，这400多万桶轻质原油将被迫进入现有炼厂系统，结果将是灾难性的“原料-设备不匹配”：</w:t>
      </w:r>
    </w:p>
    <w:p w14:paraId="3A6A5A9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首先，轻质原油裂解后汽油收率极高（可达55-65%），而柴油收率下降至20-30%，航空煤油收率仅10-15%</w:t>
      </w:r>
    </w:p>
    <w:p w14:paraId="08DCC02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第二，许多老旧炼厂缺乏足够的加氢处理能力，轻质原油中的硫含量虽低，但仍需额外处理，设备超负荷运转会导致频繁停工检修。</w:t>
      </w:r>
    </w:p>
    <w:p w14:paraId="77C985B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第三，副产物（如石脑油、轻质馏分）过剩，而重质馏分短缺，炼厂整体运行效率下降10-20%。</w:t>
      </w:r>
    </w:p>
    <w:p w14:paraId="50F1CDD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短期内，美国汽油市场确实会出现供过于求，零售价可能回落0.30-0.60美元/加仑。但柴油和航空燃料将出现严重短缺。美国是全球最大的航空燃料消费国（日均消费约170万桶）。柴油则是农业机械和长途卡车运输的支柱，柴油短缺将直接推高物流成本——美国卡车运输协会估算，柴油价格每上涨10美分/加仑，全国货运成本年增约80亿美元，最终传导至食品、日用品和制造业价格，形成新的通胀压力。</w:t>
      </w:r>
    </w:p>
    <w:p w14:paraId="4DDB0AA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二、成品油出口禁令：次优方案的更大隐患</w:t>
      </w:r>
    </w:p>
    <w:p w14:paraId="550EAB6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面对原油出口禁令的明显副作用，有白宫经济顾问建议“退而求其次”——只禁止成品油出口（美国每天出口约270-300万桶汽油、柴油、航空煤油等）。表面看，这能把更多成品直接留在本土，缓解通胀压力。但细究之下，后果可能更严重。</w:t>
      </w:r>
    </w:p>
    <w:p w14:paraId="1FBB4C7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首先，国际反弹不可避免。拉丁美洲是美国成品油出口的最大买家（占出口总量的40%以上），墨西哥、巴西、哥伦比亚等国高度依赖美国汽油和柴油供应。一旦切断出口，这些国家将迅速陷入燃料短缺，可能引发社会动荡和对美外交反弹。2008年墨西哥曾因汽油供应中断引发全国性抗议，如今重演类似场景，将严重损害美墨关系。美国在中南美洲的能源影响力将遭受重创，而俄罗斯、中国等其他成品油供应国将趁机填补真空。</w:t>
      </w:r>
    </w:p>
    <w:p w14:paraId="4A16434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其次，美国国内将出现严重的区域性失衡。墨西哥湾沿岸和中西部炼厂密集区成品油供应过剩，价格可能大幅回落；但大西洋沿岸（尤其是纽约港、新泽西）的炼厂长期依赖从欧洲进口特定规格的低硫汽油（符合严格环保标准）来满足本地需求；太平洋沿岸（加州、华盛顿州）则高度依赖亚洲和中东进口的航空煤油和柴油。同时，美国炼油厂之间缺乏足够的跨区管网联通（尤其是东西海岸之间），成品油难以高效调运。其结果将是得州居民享受每加仑2美元的低油价，而纽约和洛杉矶居民面临5-6美元的高价和供应紧张——这种“同一个国家，两种油价”的局面将引发严重的政治不满。</w:t>
      </w:r>
    </w:p>
    <w:p w14:paraId="6B4F390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第三，此举还会招致贸易报复。欧盟、加拿大、墨西哥等可能迅速启动反制措施：提高对美国化工品、农产品、汽车零部件的关税，或限制美国LNG和原油进口。2024年美国对欧盟的商品出口额约为3600亿美元，一旦贸易战升级，美国制造业将遭受双重打击：既要承受高油价推高的生产成本，又要面对出口市场萎缩带来的需求下滑。</w:t>
      </w:r>
    </w:p>
    <w:p w14:paraId="4AE8614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三、全球定价机制撕裂与长期信誉崩塌的危险</w:t>
      </w:r>
    </w:p>
    <w:p w14:paraId="431E825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出口禁令一旦实施，美国西德克萨斯中质原油（WTI）将因国内“无处可去”而供应过剩、价格暴跌（市场分析估算可能跌至80美元以下）；国际市场则因失去美国原油供应而导致布伦特（Brent）原油价格进一步上涨（可能突破130-140美元）。二者价差（Brent - WTI）将从当前的10-15美元/桶迅速扩大至30-50美元/桶，甚至更高。</w:t>
      </w:r>
    </w:p>
    <w:p w14:paraId="149D528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正常情况下，价差扩大会吸引交易者通过油轮运输进行跨区套利，从而自然收窄价差并维持全球定价相对统一。但在出口禁令之下，套利窗口被人为关闭，价差无法通过市场力量自动修复，导致WTI和Brent两个基准各自独立运行、定价碎片化。同时，出于对未来出口政策不确定性和全球供应碎片化的担忧，交易者将要求更高的风险溢价，尤其体现在Brent等海运基准上，这将进一步推高全球能源贸易成本和波动性，最终严重破坏全球原油定价的稳定性。</w:t>
      </w:r>
    </w:p>
    <w:p w14:paraId="590DE1B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更深远的伤害在于信誉。美国页岩油革命自2008-2010年间启动后，原油产量实现了爆炸式增长，从2010年的约500万桶/日迅速攀升至2025年的1360万桶/日以上，这一产量跃升，使美国从长期的石油净进口国转变为全球最大的石油生产国和重要的原油出口国。基于页岩革命的实际成果，2015年美国正式解除长达40年的原油出口禁令。此后，通过连续多年的稳定出口政策，美国成功重建了“可靠能源供应国”的国际形象。</w:t>
      </w:r>
    </w:p>
    <w:p w14:paraId="660A654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油气产业的投资决策高度依赖可预测的法规环境，一旦美国将原油出口当作地缘政治武器，未来10-20年的油气资本支出将急剧萎缩。国际能源署（IEA）估算，若信誉崩塌，美国页岩油产量可能在2030年前比基准情景减少60-80%，相当于损失数百万桶/日的潜在产能。</w:t>
      </w:r>
    </w:p>
    <w:p w14:paraId="622602F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前白宫能源顾问阿莫斯·霍克斯坦（Amos Hochstein）公开警告：“这不是保护消费者，这是摧毁美国能源未来的短视行为。资本最害怕不确定性。一旦投资者认定美国政策不可预测，他们会把资金转向加拿大、圭亚那、巴西甚至中东。”</w:t>
      </w:r>
    </w:p>
    <w:p w14:paraId="3C2222C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石油出口禁令，是一个会让几代人努力付诸东流的危险决策。从上述推演来看，任何试图通过封闭贸易边界解决国内通胀的政策，最终都会遭到经济规律的反噬——短期“解渴”往往换来更深刻的结构性伤害和长期代价。</w:t>
      </w:r>
    </w:p>
    <w:p w14:paraId="2021858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对投资者而言，应密切监控WTI与Brent价差这一最敏感的政策风险指标，同时重新评估炼油企业的供应链韧性和资产负债表。对特朗普政府而言，与其推出破坏性禁令，不如加速管网建设、改革琼斯法案（限制外国船只在美国港口间运输的保护主义法规）等不合时宜的海运限制，从根本上提升能源供应的弹性与韧性。</w:t>
      </w:r>
    </w:p>
    <w:p w14:paraId="0C89398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历史上，美国页岩革命的成功正是源于基础设施扩张和市场稳定预期。如果反其道而行，不仅无法平息民众怒火，反而会引发全球供应链震荡、投资信心崩塌，最终让美国重陷能源脆弱。</w:t>
      </w:r>
    </w:p>
    <w:p w14:paraId="1A7857B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能源政策从来不是零和游戏。真正的能源安全与经济韧性，来自于开放、高效、可预测的市场环境，而不是饮鸩止渴式的短期保护主义。在当前地缘冲突与通胀双重压力下，理性克制、着眼长远，或许才是将危机转化为重塑美国能源领导力的唯一路径。</w:t>
      </w:r>
    </w:p>
    <w:p w14:paraId="6561AD4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p>
    <w:p w14:paraId="3051768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rPr>
        <w:t>附注</w:t>
      </w:r>
      <w:r>
        <w:rPr>
          <w:rFonts w:hint="eastAsia" w:ascii="Times New Roman" w:hAnsi="Times New Roman" w:eastAsia="方正仿宋_GBK" w:cs="Times New Roman"/>
          <w:b w:val="0"/>
          <w:bCs w:val="0"/>
          <w:sz w:val="32"/>
          <w:szCs w:val="32"/>
        </w:rPr>
        <w:t>：琼斯法案（Jones Act）简介</w:t>
      </w:r>
    </w:p>
    <w:p w14:paraId="161A57C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琼斯法案（正式名称为1920年商船法第27条）旨在保护美国本土的造船业、航运业以及国家安全利益。该法案要求在美国本土港口之间运输任何货物，包括原油、成品油和液化天然气等能源产品，必须使用完全符合以下条件的船舶：船舶在美国建造、由美国公民拥有、在美国注册，并且船员中至少75%为美国公民。</w:t>
      </w:r>
    </w:p>
    <w:p w14:paraId="31C2EB5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严格的规定确实为美国本土航运产业提供了长期保护，但同时也带来了显著的负面经济后果。最直接的影响是，美国本土海运成本远高于国际市场水平。据多项独立研究和行业估算，美国沿海运输的单位成本通常是国际同类航线的3到5倍。这种高成本主要源于美国船舶建造价格昂贵、劳动力成本高企、船舶维护和运营标准严格，以及船队规模相对较小导致的规模经济不足。</w:t>
      </w:r>
    </w:p>
    <w:p w14:paraId="6E798A8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能源领域，琼斯法案的限制效果表现得尤为突出。它显著阻碍了美国东海岸和西海岸之间原油及成品油的高效运输。例如，从墨西哥湾地区生产的轻质低硫页岩原油，本应通过海运便捷地输送到东北部或加州的需求旺盛地区，却因必须使用高成本的美国籍船舶而变得不经济。</w:t>
      </w:r>
    </w:p>
    <w:p w14:paraId="2BCFE8C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许多炼厂和终端用户因此被迫转向其他替代方案：要么依赖从国外进口的原油或成品油，要么使用成本更高、运量有限的陆路管道、铁路或卡车运输。这些替代方式不仅增加了物流费用，还降低了运输的灵活性和可靠性，最终削弱了美国整体能源供应的韧性和响应速度。</w:t>
      </w:r>
    </w:p>
    <w:p w14:paraId="69FE15C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页岩油革命后，美国轻质原油产量大幅增加，但沿海炼厂的配置和需求分布却未随之优化。琼斯法案的存在加剧了这种结构性失衡，使得国内能源资源难以通过最经济的方式实现区域平衡，进一步放大了能源价格波动和局部供应紧张的风险。</w:t>
      </w:r>
    </w:p>
    <w:p w14:paraId="1ACF98C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近年来，这一法案已成为能源政策辩论中的焦点，许多分析人士认为，琼斯法案的部分豁免或改革——如允许特定能源货物使用外国船舶，或降低船员国籍比例要求——将是提升美国能源供应弹性的务实路径。</w:t>
      </w:r>
    </w:p>
    <w:p w14:paraId="6B8EB176">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4544" w:firstLineChars="16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w:t>
      </w:r>
      <w:r>
        <w:rPr>
          <w:rFonts w:hint="eastAsia" w:ascii="Times New Roman" w:hAnsi="Times New Roman" w:eastAsia="方正楷体_GBK" w:cs="方正楷体_GBK"/>
          <w:b/>
          <w:bCs/>
          <w:color w:val="FF0000"/>
          <w:spacing w:val="0"/>
          <w:kern w:val="2"/>
          <w:sz w:val="30"/>
          <w:szCs w:val="30"/>
          <w:lang w:val="en-US" w:eastAsia="zh-CN" w:bidi="ar-SA"/>
        </w:rPr>
        <w:t>发展研究部 刘浩、周斌</w:t>
      </w:r>
      <w:r>
        <w:rPr>
          <w:rFonts w:hint="default" w:ascii="Times New Roman" w:hAnsi="Times New Roman" w:eastAsia="方正楷体_GBK" w:cs="方正楷体_GBK"/>
          <w:b/>
          <w:bCs/>
          <w:color w:val="FF0000"/>
          <w:spacing w:val="0"/>
          <w:kern w:val="2"/>
          <w:sz w:val="30"/>
          <w:szCs w:val="30"/>
          <w:lang w:val="en-US" w:eastAsia="zh-CN" w:bidi="ar-SA"/>
        </w:rPr>
        <w:t>）</w:t>
      </w:r>
    </w:p>
    <w:p w14:paraId="0D6DE5FF">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1BD4A0E6">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7D61417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14:paraId="132CDD1B">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45"/>
          <w:kern w:val="36"/>
          <w:sz w:val="44"/>
          <w:szCs w:val="44"/>
          <w:lang w:val="en-US" w:eastAsia="zh-CN" w:bidi="ar-SA"/>
        </w:rPr>
      </w:pPr>
      <w:r>
        <w:rPr>
          <w:rFonts w:hint="eastAsia" w:ascii="Times New Roman" w:hAnsi="Times New Roman" w:eastAsia="华文新魏" w:cs="Times New Roman"/>
          <w:b/>
          <w:bCs w:val="0"/>
          <w:color w:val="FF0000"/>
          <w:spacing w:val="-45"/>
          <w:kern w:val="36"/>
          <w:sz w:val="44"/>
          <w:szCs w:val="44"/>
          <w:lang w:val="en-US" w:eastAsia="zh-CN" w:bidi="ar-SA"/>
        </w:rPr>
        <w:t>南钢多个项目入选《钢铁行业智能制造解决</w:t>
      </w:r>
    </w:p>
    <w:p w14:paraId="1B45ADFB">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45"/>
          <w:kern w:val="36"/>
          <w:sz w:val="44"/>
          <w:szCs w:val="44"/>
          <w:lang w:val="en-US" w:eastAsia="zh-CN" w:bidi="ar-SA"/>
        </w:rPr>
        <w:t>方案推荐目录（2025年）》</w:t>
      </w:r>
    </w:p>
    <w:p w14:paraId="507A5EBD">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val="en-US" w:eastAsia="zh-CN"/>
        </w:rPr>
      </w:pPr>
      <w:r>
        <w:rPr>
          <w:rFonts w:hint="eastAsia" w:ascii="Times New Roman" w:hAnsi="Times New Roman" w:eastAsia="方正仿宋_GBK" w:cs="方正仿宋_GBK"/>
          <w:sz w:val="30"/>
          <w:szCs w:val="30"/>
          <w:lang w:val="en-US" w:eastAsia="zh-CN"/>
        </w:rPr>
        <w:t>近日，中国钢铁工业协会发布《钢铁行业智能制造解决方案推荐目录（2025年）》，我会副会长单位——南京钢铁股份有限公司申报的多个解决方案和项目成功入选。</w:t>
      </w:r>
    </w:p>
    <w:p w14:paraId="2CFE79F0">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val="en-US" w:eastAsia="zh-CN"/>
        </w:rPr>
      </w:pPr>
      <w:r>
        <w:rPr>
          <w:rFonts w:hint="eastAsia" w:ascii="Times New Roman" w:hAnsi="Times New Roman" w:eastAsia="黑体" w:cs="黑体"/>
          <w:sz w:val="30"/>
          <w:szCs w:val="30"/>
          <w:lang w:val="en-US" w:eastAsia="zh-CN"/>
        </w:rPr>
        <w:t>炼钢全流程数字化智能工厂解决方案</w:t>
      </w:r>
    </w:p>
    <w:p w14:paraId="5DA8B191">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val="en-US" w:eastAsia="zh-CN"/>
        </w:rPr>
      </w:pPr>
      <w:r>
        <w:rPr>
          <w:rFonts w:hint="eastAsia" w:ascii="Times New Roman" w:hAnsi="Times New Roman" w:eastAsia="方正仿宋_GBK" w:cs="方正仿宋_GBK"/>
          <w:sz w:val="30"/>
          <w:szCs w:val="30"/>
          <w:lang w:val="en-US" w:eastAsia="zh-CN"/>
        </w:rPr>
        <w:t>针对现有炼钢智能化建设单点式、弱协同、浅智能的模式不能有效满足高效转型的问题，以统一平台、智能模型集群和协同智能设计，打造兼顾模块化和整体性可快速复制的全流程智能工厂解决方案，赋能炼钢厂数智化高效升级。</w:t>
      </w:r>
    </w:p>
    <w:p w14:paraId="15A1CCED">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val="en-US" w:eastAsia="zh-CN"/>
        </w:rPr>
      </w:pPr>
      <w:r>
        <w:rPr>
          <w:rFonts w:hint="eastAsia" w:ascii="Times New Roman" w:hAnsi="Times New Roman" w:eastAsia="黑体" w:cs="黑体"/>
          <w:sz w:val="30"/>
          <w:szCs w:val="30"/>
          <w:lang w:val="en-US" w:eastAsia="zh-CN"/>
        </w:rPr>
        <w:t>优特钢棒材生产线数字工厂项目</w:t>
      </w:r>
    </w:p>
    <w:p w14:paraId="69033806">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val="en-US" w:eastAsia="zh-CN"/>
        </w:rPr>
      </w:pPr>
      <w:r>
        <w:rPr>
          <w:rFonts w:hint="eastAsia" w:ascii="Times New Roman" w:hAnsi="Times New Roman" w:eastAsia="方正仿宋_GBK" w:cs="方正仿宋_GBK"/>
          <w:sz w:val="30"/>
          <w:szCs w:val="30"/>
          <w:lang w:val="en-US" w:eastAsia="zh-CN"/>
        </w:rPr>
        <w:t>针对优特钢棒材生产线存在产品质量稳定性低、订单小批量及多规格影响高效率制造等问题，依托全栈式工业互联网平台，综合运用数据采集与集成应用、数字孪生、大数据分析、人工智能等新一代数字技术，实现制造系统各层级全流程优化，显著提升了企业的竞争力。</w:t>
      </w:r>
    </w:p>
    <w:p w14:paraId="2B3E8301">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val="en-US" w:eastAsia="zh-CN"/>
        </w:rPr>
      </w:pPr>
      <w:r>
        <w:rPr>
          <w:rFonts w:hint="eastAsia" w:ascii="Times New Roman" w:hAnsi="Times New Roman" w:eastAsia="黑体" w:cs="黑体"/>
          <w:sz w:val="30"/>
          <w:szCs w:val="30"/>
          <w:lang w:val="en-US" w:eastAsia="zh-CN"/>
        </w:rPr>
        <w:t>南钢智慧能源一体化管控项目</w:t>
      </w:r>
    </w:p>
    <w:p w14:paraId="59830FC5">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val="en-US" w:eastAsia="zh-CN"/>
        </w:rPr>
      </w:pPr>
      <w:r>
        <w:rPr>
          <w:rFonts w:hint="eastAsia" w:ascii="Times New Roman" w:hAnsi="Times New Roman" w:eastAsia="方正仿宋_GBK" w:cs="方正仿宋_GBK"/>
          <w:sz w:val="30"/>
          <w:szCs w:val="30"/>
          <w:lang w:val="en-US" w:eastAsia="zh-CN"/>
        </w:rPr>
        <w:t>针对能源仪表数据分散、采集难、易缺失、管控手段有限等痛点，通过对能源管理、生产调度、设备监控、操作执行等多个环节进行数据共享和协同，打通生产环节与能源管理之间的信息壁垒，实现能源消耗的可视化监控、精准化分析及闭环管理，促进生产节能降耗。</w:t>
      </w:r>
    </w:p>
    <w:p w14:paraId="68488D15">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黑体" w:cs="黑体"/>
          <w:sz w:val="30"/>
          <w:szCs w:val="30"/>
          <w:lang w:val="en-US" w:eastAsia="zh-CN"/>
        </w:rPr>
      </w:pPr>
      <w:r>
        <w:rPr>
          <w:rFonts w:hint="eastAsia" w:ascii="Times New Roman" w:hAnsi="Times New Roman" w:eastAsia="黑体" w:cs="黑体"/>
          <w:sz w:val="30"/>
          <w:szCs w:val="30"/>
          <w:lang w:val="en-US" w:eastAsia="zh-CN"/>
        </w:rPr>
        <w:t>基于AI机器学习与运筹双引的市场洞察及智慧采购决策平台</w:t>
      </w:r>
    </w:p>
    <w:p w14:paraId="2A53BAB7">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lang w:val="en-US" w:eastAsia="zh-CN"/>
        </w:rPr>
        <w:t>针对大宗原燃料市场影响因素多、价格波动大、决策质量亟需提升的问题，以“数据驱动+智能决策”为核心，实现采购业务100%数字化。通过流程整合、智能决策、数据筑基和赋能生态，显著提升业务效率与风险管控能力，为钢铁行业数字化转型树立了新标杆。</w:t>
      </w:r>
    </w:p>
    <w:p w14:paraId="304E731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：南京钢铁微信公众号）</w:t>
      </w:r>
    </w:p>
    <w:p w14:paraId="34FBE2B6">
      <w:pPr>
        <w:keepNext w:val="0"/>
        <w:keepLines w:val="0"/>
        <w:pageBreakBefore w:val="0"/>
        <w:widowControl/>
        <w:kinsoku/>
        <w:wordWrap/>
        <w:overflowPunct/>
        <w:topLinePunct w:val="0"/>
        <w:autoSpaceDE/>
        <w:autoSpaceDN/>
        <w:bidi w:val="0"/>
        <w:adjustRightInd/>
        <w:snapToGrid/>
        <w:spacing w:line="440" w:lineRule="exact"/>
        <w:jc w:val="both"/>
        <w:textAlignment w:val="auto"/>
        <w:outlineLvl w:val="9"/>
        <w:rPr>
          <w:rFonts w:hint="eastAsia" w:ascii="Times New Roman" w:hAnsi="Times New Roman" w:eastAsia="方正楷体_GBK" w:cs="Times New Roman"/>
          <w:b w:val="0"/>
          <w:bCs/>
          <w:kern w:val="0"/>
          <w:sz w:val="32"/>
          <w:szCs w:val="32"/>
          <w:lang w:val="en-US" w:eastAsia="zh-CN" w:bidi="ar-SA"/>
        </w:rPr>
      </w:pPr>
    </w:p>
    <w:p w14:paraId="37ABFDD4">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6756A079">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084AC670">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5CF21716">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51F1D5C4">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4A789413">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19184AE9">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1875D74D">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3A41B2A8">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626C4B2B">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7CBA72EF">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6E8B082D">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6ECAB2B8">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23B6FF7C">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lang w:val="en-US" w:eastAsia="zh-CN"/>
        </w:rPr>
      </w:pPr>
      <w:bookmarkStart w:id="1" w:name="OLE_LINK4"/>
      <w:r>
        <w:rPr>
          <w:rFonts w:hint="eastAsia" w:ascii="Times New Roman" w:hAnsi="Times New Roman" w:eastAsia="华文新魏" w:cs="Times New Roman"/>
          <w:b/>
          <w:bCs w:val="0"/>
          <w:color w:val="FF0000"/>
          <w:spacing w:val="-45"/>
          <w:kern w:val="36"/>
          <w:sz w:val="44"/>
          <w:szCs w:val="44"/>
          <w:lang w:val="en-US" w:eastAsia="zh-CN" w:bidi="ar-SA"/>
        </w:rPr>
        <w:t>协鑫集成聚焦稳定性攻关，夯实叠层电池商业化基石</w:t>
      </w:r>
    </w:p>
    <w:bookmarkEnd w:id="1"/>
    <w:p w14:paraId="12553C90">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val="en-US" w:eastAsia="zh-CN"/>
        </w:rPr>
      </w:pPr>
      <w:r>
        <w:rPr>
          <w:rFonts w:hint="eastAsia" w:ascii="Times New Roman" w:hAnsi="Times New Roman" w:eastAsia="方正仿宋_GBK" w:cs="方正仿宋_GBK"/>
          <w:sz w:val="30"/>
          <w:szCs w:val="30"/>
          <w:lang w:val="en-US" w:eastAsia="zh-CN"/>
        </w:rPr>
        <w:t>近日，我会副会长单位——协鑫集成科技股份有限公司联合扬州大学在国际知名期刊SCI《Solar RRL》上连发两篇突破性研究成果论文。此前，公司在钙钛矿叠层效率方面已取得显著突破，而今年则将重点聚焦于提升钙钛矿叠层电池的长期稳定性。为此，协鑫集成研究团队重点从钙钛矿材料的稳定性入手，针对制约商业化的核心顽疾，从环境和分子调控的新思路中，探寻出了多个契合材料特性的工艺应用策略，为高效钙钛矿叠层产品的规模化应用扫清障碍。</w:t>
      </w:r>
    </w:p>
    <w:p w14:paraId="64D4F69D">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：协鑫集成微信公众号）</w:t>
      </w:r>
    </w:p>
    <w:p w14:paraId="5B3372E6">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1F02247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00952602">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43AF1D6E">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0B048F2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0055DA4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657DB95D">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7A68C48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1FF59ADB">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44F1B72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0143861A">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0EF5969A">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7A6E5505">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45"/>
          <w:kern w:val="36"/>
          <w:sz w:val="44"/>
          <w:szCs w:val="44"/>
          <w:lang w:val="en-US" w:eastAsia="zh-CN" w:bidi="ar-SA"/>
        </w:rPr>
        <w:t>江苏银行金融服务赋能OPC企业创业创新</w:t>
      </w:r>
    </w:p>
    <w:p w14:paraId="6A5F14DA">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val="en-US" w:eastAsia="zh-CN"/>
        </w:rPr>
      </w:pPr>
      <w:r>
        <w:rPr>
          <w:rFonts w:hint="default" w:ascii="Times New Roman" w:hAnsi="Times New Roman" w:eastAsia="方正仿宋_GBK" w:cs="方正仿宋_GBK"/>
          <w:sz w:val="30"/>
          <w:szCs w:val="30"/>
          <w:lang w:val="en-US" w:eastAsia="zh-CN"/>
        </w:rPr>
        <w:t>OPC（One Person Company）的资金需求，亟需“一站式、轻量化、综合化”的金融服务支撑。日前，</w:t>
      </w:r>
      <w:r>
        <w:rPr>
          <w:rFonts w:hint="eastAsia" w:ascii="Times New Roman" w:hAnsi="Times New Roman" w:eastAsia="方正仿宋_GBK" w:cs="方正仿宋_GBK"/>
          <w:sz w:val="30"/>
          <w:szCs w:val="30"/>
          <w:lang w:val="en-US" w:eastAsia="zh-CN"/>
        </w:rPr>
        <w:t>我会副会长单位——</w:t>
      </w:r>
      <w:r>
        <w:rPr>
          <w:rFonts w:hint="default" w:ascii="Times New Roman" w:hAnsi="Times New Roman" w:eastAsia="方正仿宋_GBK" w:cs="方正仿宋_GBK"/>
          <w:sz w:val="30"/>
          <w:szCs w:val="30"/>
          <w:lang w:val="en-US" w:eastAsia="zh-CN"/>
        </w:rPr>
        <w:t>江苏银行股份有限公司与省科担共建金融服务生态，支持江苏OPC企业创业创新，推出一套整合账户管理、支付结算、财税发票、融资支持、生态链接等多元化服务的综合解决方案，转变银行单纯的资金供给方角色，成为OPC的数字财务室、经营中台与成长伙伴，真正实现“开户即服务、经营即数据、周转即信用、成长即生态”的闭环支撑，为OPC发展注入强劲金融动能。</w:t>
      </w:r>
    </w:p>
    <w:p w14:paraId="0DBB4FC8">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仿宋_GBK" w:cs="方正仿宋_GBK"/>
          <w:sz w:val="30"/>
          <w:szCs w:val="30"/>
          <w:lang w:val="en-US" w:eastAsia="zh-CN"/>
        </w:rPr>
      </w:pPr>
      <w:r>
        <w:rPr>
          <w:rFonts w:hint="default" w:ascii="Times New Roman" w:hAnsi="Times New Roman" w:eastAsia="方正仿宋_GBK" w:cs="方正仿宋_GBK"/>
          <w:sz w:val="30"/>
          <w:szCs w:val="30"/>
          <w:lang w:val="en-US" w:eastAsia="zh-CN"/>
        </w:rPr>
        <w:t>随着数字平台、AI工具与灵活就业生态的快速发展，大量知识型、技术型、创意型个体以OPC形式投身创业。这类主体普遍具有轻资产、无抵押、运营灵活的特点，同时存在高频结算、快速周转的经营需求，融资难成为制约其发展的首要痛点。有数据显示，2025年OPC企业平均融资成功率仅为12%，传统金融服务模式已难以匹配其发展需求。</w:t>
      </w:r>
    </w:p>
    <w:p w14:paraId="5BA04F0A">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仿宋_GBK" w:cs="方正仿宋_GBK"/>
          <w:sz w:val="30"/>
          <w:szCs w:val="30"/>
          <w:lang w:val="en-US" w:eastAsia="zh-CN"/>
        </w:rPr>
      </w:pPr>
      <w:r>
        <w:rPr>
          <w:rFonts w:hint="default" w:ascii="Times New Roman" w:hAnsi="Times New Roman" w:eastAsia="方正仿宋_GBK" w:cs="方正仿宋_GBK"/>
          <w:sz w:val="30"/>
          <w:szCs w:val="30"/>
          <w:lang w:val="en-US" w:eastAsia="zh-CN"/>
        </w:rPr>
        <w:t>在数字化技术赋能下，江苏银行依托苏银金管家平台的大数据优势，推出OPC专属融资产品，打破传统抵押物依赖，以行业趋势、核心技术、订单信息、创新积分等为授信依据，实现秒批快贷、随借随还，真正让技术转化为信用，让信用变现为发展资金。江苏的服务探索为具备核心竞争力与可持续发展潜力的OPC提供了一条破解轻资产创业主体融资困局的有效路径。</w:t>
      </w:r>
    </w:p>
    <w:p w14:paraId="0384E3CB">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：江苏银行官网、交汇点）</w:t>
      </w:r>
    </w:p>
    <w:p w14:paraId="17446991">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45"/>
          <w:kern w:val="36"/>
          <w:sz w:val="44"/>
          <w:szCs w:val="44"/>
          <w:lang w:val="en-US" w:eastAsia="zh-CN" w:bidi="ar-SA"/>
        </w:rPr>
      </w:pPr>
      <w:r>
        <w:rPr>
          <w:rFonts w:hint="eastAsia" w:ascii="Times New Roman" w:hAnsi="Times New Roman" w:eastAsia="华文新魏" w:cs="Times New Roman"/>
          <w:b/>
          <w:bCs w:val="0"/>
          <w:color w:val="FF0000"/>
          <w:spacing w:val="-45"/>
          <w:kern w:val="36"/>
          <w:sz w:val="44"/>
          <w:szCs w:val="44"/>
          <w:lang w:val="en-US" w:eastAsia="zh-CN" w:bidi="ar-SA"/>
        </w:rPr>
        <w:t>苏豪中天焕新亮相2026上海春季面料展：</w:t>
      </w:r>
    </w:p>
    <w:p w14:paraId="5B92C5CA">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45"/>
          <w:kern w:val="36"/>
          <w:sz w:val="44"/>
          <w:szCs w:val="44"/>
          <w:lang w:val="en-US" w:eastAsia="zh-CN" w:bidi="ar-SA"/>
        </w:rPr>
        <w:t>四大系列织就可持续时尚新图景</w:t>
      </w:r>
    </w:p>
    <w:p w14:paraId="2D152C09">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val="en-US" w:eastAsia="zh-CN"/>
        </w:rPr>
      </w:pPr>
      <w:r>
        <w:rPr>
          <w:rFonts w:hint="eastAsia" w:ascii="Times New Roman" w:hAnsi="Times New Roman" w:eastAsia="方正仿宋_GBK" w:cs="方正仿宋_GBK"/>
          <w:sz w:val="30"/>
          <w:szCs w:val="30"/>
          <w:lang w:val="en-US" w:eastAsia="zh-CN"/>
        </w:rPr>
        <w:t>近日</w:t>
      </w:r>
      <w:r>
        <w:rPr>
          <w:rFonts w:hint="default" w:ascii="Times New Roman" w:hAnsi="Times New Roman" w:eastAsia="方正仿宋_GBK" w:cs="方正仿宋_GBK"/>
          <w:sz w:val="30"/>
          <w:szCs w:val="30"/>
          <w:lang w:val="en-US" w:eastAsia="zh-CN"/>
        </w:rPr>
        <w:t>，2026中国国际纺织面料及辅料（春夏）博览会于</w:t>
      </w:r>
      <w:r>
        <w:rPr>
          <w:rFonts w:hint="eastAsia" w:ascii="Times New Roman" w:hAnsi="Times New Roman" w:eastAsia="方正仿宋_GBK" w:cs="方正仿宋_GBK"/>
          <w:sz w:val="30"/>
          <w:szCs w:val="30"/>
          <w:lang w:val="en-US" w:eastAsia="zh-CN"/>
        </w:rPr>
        <w:t>上海国家会展中心启幕，我会理事单位——江苏苏豪中天控股有限公司携30款重磅新品登场，以“自然共生、智享未来、时光织语、轻氧通勤”四大主题系列构建面料创新矩阵，展现企业在绿色可持续、智能功能科技、东方美学表达领域的积淀，为春夏面料市场注入低碳、智能、时尚活力，彰显东方纺织企业的创新实力与行业担当。本次参展，苏豪中天集结八大业务组研发成果，精准卡位2026年纺织面料“可持续、科技化、美学化、场景化”流行趋势，实现原料到设计的全链条突破。</w:t>
      </w:r>
    </w:p>
    <w:p w14:paraId="3B5336B3">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：苏豪中天微信公众号）</w:t>
      </w:r>
    </w:p>
    <w:p w14:paraId="7746652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p w14:paraId="592ED31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78D2350-D904-49BB-8FB1-784B38E16E5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6AC15EF-3CD6-40FB-BF4B-5ED0502F9D87}"/>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embedRegular r:id="rId3" w:fontKey="{6F792C01-8AF4-4AE9-B8AE-D3C42D18886D}"/>
  </w:font>
  <w:font w:name="方正楷体_GBK">
    <w:panose1 w:val="02000000000000000000"/>
    <w:charset w:val="86"/>
    <w:family w:val="auto"/>
    <w:pitch w:val="default"/>
    <w:sig w:usb0="800002BF" w:usb1="38CF7CFA" w:usb2="00000016" w:usb3="00000000" w:csb0="00040000" w:csb1="00000000"/>
    <w:embedRegular r:id="rId4" w:fontKey="{09F4978E-272F-4A86-A9AC-4EED13158DB5}"/>
  </w:font>
  <w:font w:name="方正公文黑体">
    <w:panose1 w:val="02000500000000000000"/>
    <w:charset w:val="86"/>
    <w:family w:val="auto"/>
    <w:pitch w:val="default"/>
    <w:sig w:usb0="A00002BF" w:usb1="38CF7CFA" w:usb2="00000016" w:usb3="00000000" w:csb0="00040001" w:csb1="00000000"/>
    <w:embedRegular r:id="rId5" w:fontKey="{7E9396F1-B9A7-439D-9F26-3C286E59A5DA}"/>
  </w:font>
  <w:font w:name="方正黑体_GBK">
    <w:panose1 w:val="02010600010101010101"/>
    <w:charset w:val="86"/>
    <w:family w:val="auto"/>
    <w:pitch w:val="default"/>
    <w:sig w:usb0="00000001" w:usb1="080E0000" w:usb2="00000000" w:usb3="00000000" w:csb0="00040000" w:csb1="00000000"/>
    <w:embedRegular r:id="rId6" w:fontKey="{80490571-0C77-413C-AFB0-0335E616EE00}"/>
  </w:font>
  <w:font w:name="方正仿宋_GBK">
    <w:panose1 w:val="03000509000000000000"/>
    <w:charset w:val="86"/>
    <w:family w:val="script"/>
    <w:pitch w:val="default"/>
    <w:sig w:usb0="00000001" w:usb1="080E0000" w:usb2="00000000" w:usb3="00000000" w:csb0="00040000" w:csb1="00000000"/>
    <w:embedRegular r:id="rId7" w:fontKey="{FDC653D5-9228-4D36-9C88-E10A81C76E07}"/>
  </w:font>
  <w:font w:name="方正小标宋_GBK">
    <w:panose1 w:val="03000509000000000000"/>
    <w:charset w:val="86"/>
    <w:family w:val="auto"/>
    <w:pitch w:val="default"/>
    <w:sig w:usb0="00000001" w:usb1="080E0000" w:usb2="00000000" w:usb3="00000000" w:csb0="00040000" w:csb1="00000000"/>
    <w:embedRegular r:id="rId8" w:fontKey="{0F1FA698-80C4-4B0E-801B-1197776CE6E5}"/>
  </w:font>
  <w:font w:name="方正楷体_GB2312">
    <w:panose1 w:val="02000000000000000000"/>
    <w:charset w:val="86"/>
    <w:family w:val="auto"/>
    <w:pitch w:val="default"/>
    <w:sig w:usb0="A00002BF" w:usb1="184F6CFA" w:usb2="00000012" w:usb3="00000000" w:csb0="00040001" w:csb1="00000000"/>
  </w:font>
  <w:font w:name="华文新魏">
    <w:panose1 w:val="02010800040101010101"/>
    <w:charset w:val="86"/>
    <w:family w:val="auto"/>
    <w:pitch w:val="default"/>
    <w:sig w:usb0="00000001" w:usb1="080F0000" w:usb2="00000000" w:usb3="00000000" w:csb0="00040000" w:csb1="00000000"/>
    <w:embedRegular r:id="rId9" w:fontKey="{44065060-03BB-4E59-810A-8F5FDFE87DAA}"/>
  </w:font>
  <w:font w:name="Source Han Sans CN Normal">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1BD11">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-304800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pt;height:144pt;width:144pt;mso-position-horizontal:center;mso-position-horizontal-relative:margin;mso-wrap-style:none;z-index:251660288;mso-width-relative:page;mso-height-relative:page;" filled="f" stroked="f" coordsize="21600,21600" o:gfxdata="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gO9M9QAAAAIAQAADwAAAAAAAAABACAAAAAiAAAAZHJzL2Rvd25yZXYu&#10;eG1sUEsBAhQAFAAAAAgAh07iQLVZerI4AgAAbwQAAA4AAAAAAAAAAQAgAAAAIwEAAGRycy9lMm9E&#10;b2MueG1sUEsFBgAAAAAGAAYAWQEAAM0FAAAAAA==&#10;">
              <v:fill on="f" focussize="0,0"/>
              <v:stroke on="f" weight="0.5pt"/>
              <v:imagedata o:title=""/>
              <o:lock v:ext="edit" aspectratio="f"/>
              <v:textbox inset="0mm,0mm,0mm,0mm" style="mso-fit-shape-to-text:t;">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14:paraId="4033DA90">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42E2E"/>
    <w:rsid w:val="007C2A82"/>
    <w:rsid w:val="007E11E9"/>
    <w:rsid w:val="008B2F92"/>
    <w:rsid w:val="008E3499"/>
    <w:rsid w:val="008F79A9"/>
    <w:rsid w:val="00906A61"/>
    <w:rsid w:val="00962249"/>
    <w:rsid w:val="00984AC6"/>
    <w:rsid w:val="00A0554E"/>
    <w:rsid w:val="00A55B3B"/>
    <w:rsid w:val="00B1496F"/>
    <w:rsid w:val="00B35803"/>
    <w:rsid w:val="00B45E3E"/>
    <w:rsid w:val="00B528B9"/>
    <w:rsid w:val="00C16462"/>
    <w:rsid w:val="00C66488"/>
    <w:rsid w:val="00CA656E"/>
    <w:rsid w:val="00CE04E4"/>
    <w:rsid w:val="00D0085C"/>
    <w:rsid w:val="00D9651F"/>
    <w:rsid w:val="00DB54B3"/>
    <w:rsid w:val="00DF053C"/>
    <w:rsid w:val="00E278B0"/>
    <w:rsid w:val="00E76B4E"/>
    <w:rsid w:val="00EA6FD6"/>
    <w:rsid w:val="00FC3867"/>
    <w:rsid w:val="010007F1"/>
    <w:rsid w:val="010F41FD"/>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6E2905"/>
    <w:rsid w:val="01730647"/>
    <w:rsid w:val="01765242"/>
    <w:rsid w:val="017F7312"/>
    <w:rsid w:val="0183354F"/>
    <w:rsid w:val="018A4341"/>
    <w:rsid w:val="018D1ED5"/>
    <w:rsid w:val="018E0532"/>
    <w:rsid w:val="01944C0D"/>
    <w:rsid w:val="01947605"/>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17E07"/>
    <w:rsid w:val="01C277DB"/>
    <w:rsid w:val="01C5785D"/>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42027"/>
    <w:rsid w:val="027B1EF4"/>
    <w:rsid w:val="027D39C5"/>
    <w:rsid w:val="02836A31"/>
    <w:rsid w:val="02842B55"/>
    <w:rsid w:val="02850B1B"/>
    <w:rsid w:val="028D4134"/>
    <w:rsid w:val="028E239B"/>
    <w:rsid w:val="028E669E"/>
    <w:rsid w:val="02925D70"/>
    <w:rsid w:val="02945151"/>
    <w:rsid w:val="02994D24"/>
    <w:rsid w:val="02AA4579"/>
    <w:rsid w:val="02B452E0"/>
    <w:rsid w:val="02B7449E"/>
    <w:rsid w:val="02B81004"/>
    <w:rsid w:val="02B93913"/>
    <w:rsid w:val="02BB7BC5"/>
    <w:rsid w:val="02C541E0"/>
    <w:rsid w:val="02C7326C"/>
    <w:rsid w:val="02C976C5"/>
    <w:rsid w:val="02CA2014"/>
    <w:rsid w:val="02CB3941"/>
    <w:rsid w:val="02CE36F0"/>
    <w:rsid w:val="02D253BA"/>
    <w:rsid w:val="02D664A5"/>
    <w:rsid w:val="02D70120"/>
    <w:rsid w:val="02DA08C0"/>
    <w:rsid w:val="02E746B3"/>
    <w:rsid w:val="02EA0804"/>
    <w:rsid w:val="02F03F7A"/>
    <w:rsid w:val="02F04987"/>
    <w:rsid w:val="02F15A26"/>
    <w:rsid w:val="02F3072B"/>
    <w:rsid w:val="02F35039"/>
    <w:rsid w:val="02F4686A"/>
    <w:rsid w:val="02F50E1A"/>
    <w:rsid w:val="02FC365E"/>
    <w:rsid w:val="03032EA1"/>
    <w:rsid w:val="03055083"/>
    <w:rsid w:val="030A33B2"/>
    <w:rsid w:val="0312457C"/>
    <w:rsid w:val="03146293"/>
    <w:rsid w:val="03173E54"/>
    <w:rsid w:val="03247659"/>
    <w:rsid w:val="032626D8"/>
    <w:rsid w:val="03276EB0"/>
    <w:rsid w:val="03320DD5"/>
    <w:rsid w:val="03367B19"/>
    <w:rsid w:val="033F3094"/>
    <w:rsid w:val="033F5E23"/>
    <w:rsid w:val="0341739D"/>
    <w:rsid w:val="03441AE0"/>
    <w:rsid w:val="034A5312"/>
    <w:rsid w:val="035906B9"/>
    <w:rsid w:val="035A07AB"/>
    <w:rsid w:val="035F7880"/>
    <w:rsid w:val="036572E0"/>
    <w:rsid w:val="036773BE"/>
    <w:rsid w:val="036B41D2"/>
    <w:rsid w:val="03745931"/>
    <w:rsid w:val="0375270B"/>
    <w:rsid w:val="0376026A"/>
    <w:rsid w:val="03763E10"/>
    <w:rsid w:val="03795E56"/>
    <w:rsid w:val="038A3C11"/>
    <w:rsid w:val="038F00BD"/>
    <w:rsid w:val="038F07EB"/>
    <w:rsid w:val="039F6B79"/>
    <w:rsid w:val="03A054FE"/>
    <w:rsid w:val="03A634A2"/>
    <w:rsid w:val="03A710E3"/>
    <w:rsid w:val="03AB7076"/>
    <w:rsid w:val="03B75E22"/>
    <w:rsid w:val="03B93704"/>
    <w:rsid w:val="03BC3316"/>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57D27"/>
    <w:rsid w:val="042C1175"/>
    <w:rsid w:val="042E72BA"/>
    <w:rsid w:val="04361A54"/>
    <w:rsid w:val="043837D8"/>
    <w:rsid w:val="043F0FCC"/>
    <w:rsid w:val="0458216E"/>
    <w:rsid w:val="04633D2A"/>
    <w:rsid w:val="04642403"/>
    <w:rsid w:val="046441B2"/>
    <w:rsid w:val="0470619B"/>
    <w:rsid w:val="047264E0"/>
    <w:rsid w:val="04732D97"/>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81C0B"/>
    <w:rsid w:val="04E92750"/>
    <w:rsid w:val="04ED1D07"/>
    <w:rsid w:val="04F33CBA"/>
    <w:rsid w:val="04FB0B72"/>
    <w:rsid w:val="05006805"/>
    <w:rsid w:val="05017788"/>
    <w:rsid w:val="050A0F30"/>
    <w:rsid w:val="051142A3"/>
    <w:rsid w:val="05150D13"/>
    <w:rsid w:val="052054D4"/>
    <w:rsid w:val="052779FB"/>
    <w:rsid w:val="052C7639"/>
    <w:rsid w:val="05490385"/>
    <w:rsid w:val="054A7C8A"/>
    <w:rsid w:val="054D6A6C"/>
    <w:rsid w:val="055D26AF"/>
    <w:rsid w:val="056534E0"/>
    <w:rsid w:val="056834A8"/>
    <w:rsid w:val="05684832"/>
    <w:rsid w:val="056C0F36"/>
    <w:rsid w:val="056E79C6"/>
    <w:rsid w:val="05763BC9"/>
    <w:rsid w:val="057A3526"/>
    <w:rsid w:val="057A799E"/>
    <w:rsid w:val="057E6F65"/>
    <w:rsid w:val="058647BE"/>
    <w:rsid w:val="05880374"/>
    <w:rsid w:val="05881910"/>
    <w:rsid w:val="05913966"/>
    <w:rsid w:val="05926E6B"/>
    <w:rsid w:val="059F17BF"/>
    <w:rsid w:val="05A259F9"/>
    <w:rsid w:val="05A44B94"/>
    <w:rsid w:val="05A72CCC"/>
    <w:rsid w:val="05A73DC5"/>
    <w:rsid w:val="05B336D5"/>
    <w:rsid w:val="05CC2A3B"/>
    <w:rsid w:val="05CD0D9A"/>
    <w:rsid w:val="05CF249D"/>
    <w:rsid w:val="05D14319"/>
    <w:rsid w:val="05D714EA"/>
    <w:rsid w:val="05E536E6"/>
    <w:rsid w:val="05EA1C44"/>
    <w:rsid w:val="05F2445C"/>
    <w:rsid w:val="05F84C68"/>
    <w:rsid w:val="06077942"/>
    <w:rsid w:val="060A0D89"/>
    <w:rsid w:val="060C359D"/>
    <w:rsid w:val="060F3722"/>
    <w:rsid w:val="062847B3"/>
    <w:rsid w:val="062B0B83"/>
    <w:rsid w:val="062C6587"/>
    <w:rsid w:val="062D67C8"/>
    <w:rsid w:val="06301A1B"/>
    <w:rsid w:val="0631403C"/>
    <w:rsid w:val="0633380C"/>
    <w:rsid w:val="0638362B"/>
    <w:rsid w:val="063E600A"/>
    <w:rsid w:val="06405659"/>
    <w:rsid w:val="064327CF"/>
    <w:rsid w:val="0645654E"/>
    <w:rsid w:val="064F5725"/>
    <w:rsid w:val="06510CDF"/>
    <w:rsid w:val="065C27A8"/>
    <w:rsid w:val="065F50DA"/>
    <w:rsid w:val="06602F2C"/>
    <w:rsid w:val="06626021"/>
    <w:rsid w:val="066D2CED"/>
    <w:rsid w:val="066E2C0B"/>
    <w:rsid w:val="06700010"/>
    <w:rsid w:val="06734EB6"/>
    <w:rsid w:val="067C24CF"/>
    <w:rsid w:val="068731B8"/>
    <w:rsid w:val="068A1FDD"/>
    <w:rsid w:val="069002BE"/>
    <w:rsid w:val="06906B8C"/>
    <w:rsid w:val="069725BC"/>
    <w:rsid w:val="069A3A7C"/>
    <w:rsid w:val="06A24D7D"/>
    <w:rsid w:val="06A6750E"/>
    <w:rsid w:val="06A729E1"/>
    <w:rsid w:val="06A94232"/>
    <w:rsid w:val="06AB1C7E"/>
    <w:rsid w:val="06AC05E7"/>
    <w:rsid w:val="06AF1D16"/>
    <w:rsid w:val="06AF3414"/>
    <w:rsid w:val="06B15237"/>
    <w:rsid w:val="06BA5EB2"/>
    <w:rsid w:val="06CF1EF4"/>
    <w:rsid w:val="06D17DB1"/>
    <w:rsid w:val="06E444B8"/>
    <w:rsid w:val="06F76FBB"/>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52CE2"/>
    <w:rsid w:val="07886D75"/>
    <w:rsid w:val="079A77BC"/>
    <w:rsid w:val="079D6C92"/>
    <w:rsid w:val="079E20C5"/>
    <w:rsid w:val="07A36583"/>
    <w:rsid w:val="07A757F6"/>
    <w:rsid w:val="07A92FCD"/>
    <w:rsid w:val="07AB5A16"/>
    <w:rsid w:val="07C32EAB"/>
    <w:rsid w:val="07CE7516"/>
    <w:rsid w:val="07DA5629"/>
    <w:rsid w:val="07DE3B60"/>
    <w:rsid w:val="07E54B9E"/>
    <w:rsid w:val="08010DA7"/>
    <w:rsid w:val="08033960"/>
    <w:rsid w:val="080954A3"/>
    <w:rsid w:val="080F3123"/>
    <w:rsid w:val="082209F5"/>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6B17B3"/>
    <w:rsid w:val="0875786E"/>
    <w:rsid w:val="0881684A"/>
    <w:rsid w:val="088C3E25"/>
    <w:rsid w:val="08927463"/>
    <w:rsid w:val="08986B20"/>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B2EDB"/>
    <w:rsid w:val="08ED6D3B"/>
    <w:rsid w:val="08FB16E4"/>
    <w:rsid w:val="08FB2C3C"/>
    <w:rsid w:val="08FE2EDE"/>
    <w:rsid w:val="08FE5206"/>
    <w:rsid w:val="090E2C7F"/>
    <w:rsid w:val="09140F8D"/>
    <w:rsid w:val="09150DAF"/>
    <w:rsid w:val="09155095"/>
    <w:rsid w:val="091D10D0"/>
    <w:rsid w:val="09210482"/>
    <w:rsid w:val="092105FC"/>
    <w:rsid w:val="09222AB2"/>
    <w:rsid w:val="092629C0"/>
    <w:rsid w:val="09266115"/>
    <w:rsid w:val="093303B8"/>
    <w:rsid w:val="094318A6"/>
    <w:rsid w:val="09446DB4"/>
    <w:rsid w:val="094811BB"/>
    <w:rsid w:val="094F18C1"/>
    <w:rsid w:val="0954257E"/>
    <w:rsid w:val="09583F76"/>
    <w:rsid w:val="095929D4"/>
    <w:rsid w:val="095A003F"/>
    <w:rsid w:val="095B02C8"/>
    <w:rsid w:val="09606CDC"/>
    <w:rsid w:val="09631FC1"/>
    <w:rsid w:val="09651D94"/>
    <w:rsid w:val="096F5B71"/>
    <w:rsid w:val="097F0134"/>
    <w:rsid w:val="098601E8"/>
    <w:rsid w:val="098A1F77"/>
    <w:rsid w:val="09915044"/>
    <w:rsid w:val="099872CF"/>
    <w:rsid w:val="09991A94"/>
    <w:rsid w:val="099B0B43"/>
    <w:rsid w:val="09A07C38"/>
    <w:rsid w:val="09A137B2"/>
    <w:rsid w:val="09A2636C"/>
    <w:rsid w:val="09A44BA0"/>
    <w:rsid w:val="09AA495F"/>
    <w:rsid w:val="09AC53C9"/>
    <w:rsid w:val="09B630C3"/>
    <w:rsid w:val="09BD4BE0"/>
    <w:rsid w:val="09C222A5"/>
    <w:rsid w:val="09C27E4D"/>
    <w:rsid w:val="09C81C8D"/>
    <w:rsid w:val="09CB6B07"/>
    <w:rsid w:val="09CC1439"/>
    <w:rsid w:val="09CD0E22"/>
    <w:rsid w:val="09CD713D"/>
    <w:rsid w:val="09DA121F"/>
    <w:rsid w:val="09F43143"/>
    <w:rsid w:val="09FA2B3C"/>
    <w:rsid w:val="09FA772F"/>
    <w:rsid w:val="09FB6D64"/>
    <w:rsid w:val="09FD0F85"/>
    <w:rsid w:val="0A030CE9"/>
    <w:rsid w:val="0A0D0EE1"/>
    <w:rsid w:val="0A1B5347"/>
    <w:rsid w:val="0A33530F"/>
    <w:rsid w:val="0A346C5C"/>
    <w:rsid w:val="0A451ABA"/>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71E05"/>
    <w:rsid w:val="0ACC2910"/>
    <w:rsid w:val="0ACC3151"/>
    <w:rsid w:val="0AD014F5"/>
    <w:rsid w:val="0AD16821"/>
    <w:rsid w:val="0AD45A3C"/>
    <w:rsid w:val="0AD60B60"/>
    <w:rsid w:val="0ADC78D2"/>
    <w:rsid w:val="0ADF4793"/>
    <w:rsid w:val="0AE11813"/>
    <w:rsid w:val="0AE3323E"/>
    <w:rsid w:val="0AE3404E"/>
    <w:rsid w:val="0AEB11A6"/>
    <w:rsid w:val="0AEC3E44"/>
    <w:rsid w:val="0AEE609E"/>
    <w:rsid w:val="0AEF478A"/>
    <w:rsid w:val="0AF51E84"/>
    <w:rsid w:val="0AFA1E0F"/>
    <w:rsid w:val="0AFC1AD5"/>
    <w:rsid w:val="0B041299"/>
    <w:rsid w:val="0B062542"/>
    <w:rsid w:val="0B0E47F4"/>
    <w:rsid w:val="0B112BB9"/>
    <w:rsid w:val="0B14238E"/>
    <w:rsid w:val="0B1C17AD"/>
    <w:rsid w:val="0B1F62C7"/>
    <w:rsid w:val="0B283787"/>
    <w:rsid w:val="0B2D6F6E"/>
    <w:rsid w:val="0B324625"/>
    <w:rsid w:val="0B324CD2"/>
    <w:rsid w:val="0B345DB1"/>
    <w:rsid w:val="0B363DD8"/>
    <w:rsid w:val="0B3A4657"/>
    <w:rsid w:val="0B3C5BB9"/>
    <w:rsid w:val="0B4372E2"/>
    <w:rsid w:val="0B48487F"/>
    <w:rsid w:val="0B5979A6"/>
    <w:rsid w:val="0B5A2079"/>
    <w:rsid w:val="0B5B5996"/>
    <w:rsid w:val="0B5C3E34"/>
    <w:rsid w:val="0B5F7467"/>
    <w:rsid w:val="0B6075D7"/>
    <w:rsid w:val="0B627AD4"/>
    <w:rsid w:val="0B6A0BB3"/>
    <w:rsid w:val="0B735FF2"/>
    <w:rsid w:val="0B792EB2"/>
    <w:rsid w:val="0B8035EB"/>
    <w:rsid w:val="0B84164E"/>
    <w:rsid w:val="0B892750"/>
    <w:rsid w:val="0B89731E"/>
    <w:rsid w:val="0B904412"/>
    <w:rsid w:val="0B90485D"/>
    <w:rsid w:val="0B913EDA"/>
    <w:rsid w:val="0B9C76A8"/>
    <w:rsid w:val="0BA50775"/>
    <w:rsid w:val="0BA749E5"/>
    <w:rsid w:val="0BAC24A8"/>
    <w:rsid w:val="0BAE1323"/>
    <w:rsid w:val="0BB42E0A"/>
    <w:rsid w:val="0BBA3391"/>
    <w:rsid w:val="0BD05C8A"/>
    <w:rsid w:val="0BD62605"/>
    <w:rsid w:val="0BDC3258"/>
    <w:rsid w:val="0BDE3581"/>
    <w:rsid w:val="0BE52963"/>
    <w:rsid w:val="0BE57BC8"/>
    <w:rsid w:val="0BE85349"/>
    <w:rsid w:val="0BF57A28"/>
    <w:rsid w:val="0BF845E9"/>
    <w:rsid w:val="0BFA1A53"/>
    <w:rsid w:val="0C074F06"/>
    <w:rsid w:val="0C0B1E5B"/>
    <w:rsid w:val="0C146F99"/>
    <w:rsid w:val="0C163DCB"/>
    <w:rsid w:val="0C1A584B"/>
    <w:rsid w:val="0C1F5892"/>
    <w:rsid w:val="0C207391"/>
    <w:rsid w:val="0C2275D5"/>
    <w:rsid w:val="0C2D70F9"/>
    <w:rsid w:val="0C342312"/>
    <w:rsid w:val="0C363AA9"/>
    <w:rsid w:val="0C373B19"/>
    <w:rsid w:val="0C3F7E0B"/>
    <w:rsid w:val="0C456335"/>
    <w:rsid w:val="0C53740C"/>
    <w:rsid w:val="0C563E70"/>
    <w:rsid w:val="0C631545"/>
    <w:rsid w:val="0C6E187C"/>
    <w:rsid w:val="0C7D4D8F"/>
    <w:rsid w:val="0C80052F"/>
    <w:rsid w:val="0C8C06D3"/>
    <w:rsid w:val="0C900DC2"/>
    <w:rsid w:val="0C980884"/>
    <w:rsid w:val="0C9961AF"/>
    <w:rsid w:val="0C9A18AD"/>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E2C1D"/>
    <w:rsid w:val="0CBF360E"/>
    <w:rsid w:val="0CC10497"/>
    <w:rsid w:val="0CC30BC5"/>
    <w:rsid w:val="0CC42150"/>
    <w:rsid w:val="0CC45545"/>
    <w:rsid w:val="0CC71781"/>
    <w:rsid w:val="0CCB0FDF"/>
    <w:rsid w:val="0CCD2A5C"/>
    <w:rsid w:val="0CDC1817"/>
    <w:rsid w:val="0CDC515C"/>
    <w:rsid w:val="0D0167C5"/>
    <w:rsid w:val="0D0B2A13"/>
    <w:rsid w:val="0D112021"/>
    <w:rsid w:val="0D12133D"/>
    <w:rsid w:val="0D1F7151"/>
    <w:rsid w:val="0D200D54"/>
    <w:rsid w:val="0D2B7DB2"/>
    <w:rsid w:val="0D3152D9"/>
    <w:rsid w:val="0D354A50"/>
    <w:rsid w:val="0D384916"/>
    <w:rsid w:val="0D427E08"/>
    <w:rsid w:val="0D444358"/>
    <w:rsid w:val="0D4775E8"/>
    <w:rsid w:val="0D4A1977"/>
    <w:rsid w:val="0D4B602E"/>
    <w:rsid w:val="0D511FCD"/>
    <w:rsid w:val="0D52698E"/>
    <w:rsid w:val="0D583C5F"/>
    <w:rsid w:val="0D5D658F"/>
    <w:rsid w:val="0D6029A5"/>
    <w:rsid w:val="0D6063D4"/>
    <w:rsid w:val="0D665CD7"/>
    <w:rsid w:val="0D667E20"/>
    <w:rsid w:val="0D693967"/>
    <w:rsid w:val="0D6B6C90"/>
    <w:rsid w:val="0D7170F8"/>
    <w:rsid w:val="0D922931"/>
    <w:rsid w:val="0D95263C"/>
    <w:rsid w:val="0D9B6A6D"/>
    <w:rsid w:val="0DA81B9F"/>
    <w:rsid w:val="0DAD79F2"/>
    <w:rsid w:val="0DB403B1"/>
    <w:rsid w:val="0DB47CEC"/>
    <w:rsid w:val="0DBB3CA5"/>
    <w:rsid w:val="0DBB4EDD"/>
    <w:rsid w:val="0DC37BF2"/>
    <w:rsid w:val="0DC436B0"/>
    <w:rsid w:val="0DC62A65"/>
    <w:rsid w:val="0DC9693F"/>
    <w:rsid w:val="0DCC1715"/>
    <w:rsid w:val="0DCE4BC6"/>
    <w:rsid w:val="0DD82C48"/>
    <w:rsid w:val="0DDB6385"/>
    <w:rsid w:val="0DE057D2"/>
    <w:rsid w:val="0DF024FC"/>
    <w:rsid w:val="0DF0632D"/>
    <w:rsid w:val="0DF475E0"/>
    <w:rsid w:val="0E0E09E4"/>
    <w:rsid w:val="0E0E0AE3"/>
    <w:rsid w:val="0E184477"/>
    <w:rsid w:val="0E1A4501"/>
    <w:rsid w:val="0E1A78B5"/>
    <w:rsid w:val="0E21196E"/>
    <w:rsid w:val="0E227E98"/>
    <w:rsid w:val="0E27140B"/>
    <w:rsid w:val="0E275D7B"/>
    <w:rsid w:val="0E2D4D70"/>
    <w:rsid w:val="0E3B2663"/>
    <w:rsid w:val="0E443DBA"/>
    <w:rsid w:val="0E465F52"/>
    <w:rsid w:val="0E4C7DA3"/>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37F14"/>
    <w:rsid w:val="0EC4408A"/>
    <w:rsid w:val="0ECA6F05"/>
    <w:rsid w:val="0ECD6BD5"/>
    <w:rsid w:val="0EDA3DE0"/>
    <w:rsid w:val="0EDB5829"/>
    <w:rsid w:val="0EE241B0"/>
    <w:rsid w:val="0EE470B9"/>
    <w:rsid w:val="0EE51F3F"/>
    <w:rsid w:val="0EE67C37"/>
    <w:rsid w:val="0EE96C61"/>
    <w:rsid w:val="0EEF6278"/>
    <w:rsid w:val="0F043F0A"/>
    <w:rsid w:val="0F070719"/>
    <w:rsid w:val="0F0E340F"/>
    <w:rsid w:val="0F110F65"/>
    <w:rsid w:val="0F126FC2"/>
    <w:rsid w:val="0F167114"/>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154B4"/>
    <w:rsid w:val="10E35E53"/>
    <w:rsid w:val="10E657ED"/>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90D90"/>
    <w:rsid w:val="113B0B58"/>
    <w:rsid w:val="113D4F12"/>
    <w:rsid w:val="113D775B"/>
    <w:rsid w:val="11410876"/>
    <w:rsid w:val="114608E7"/>
    <w:rsid w:val="11470C68"/>
    <w:rsid w:val="114F3D65"/>
    <w:rsid w:val="115347BC"/>
    <w:rsid w:val="11545887"/>
    <w:rsid w:val="11597C64"/>
    <w:rsid w:val="11602A9E"/>
    <w:rsid w:val="116228E3"/>
    <w:rsid w:val="11631325"/>
    <w:rsid w:val="116345A4"/>
    <w:rsid w:val="11667833"/>
    <w:rsid w:val="11687433"/>
    <w:rsid w:val="1178450A"/>
    <w:rsid w:val="117B53DF"/>
    <w:rsid w:val="117B71D3"/>
    <w:rsid w:val="117F3E6E"/>
    <w:rsid w:val="11814B86"/>
    <w:rsid w:val="11821F79"/>
    <w:rsid w:val="11845F00"/>
    <w:rsid w:val="11885DD3"/>
    <w:rsid w:val="118A58E4"/>
    <w:rsid w:val="118C56EA"/>
    <w:rsid w:val="118F0DB3"/>
    <w:rsid w:val="11916F88"/>
    <w:rsid w:val="11A51BB6"/>
    <w:rsid w:val="11AC6860"/>
    <w:rsid w:val="11B1238B"/>
    <w:rsid w:val="11B62D0B"/>
    <w:rsid w:val="11BB2EE7"/>
    <w:rsid w:val="11BE6E3E"/>
    <w:rsid w:val="11BF32D9"/>
    <w:rsid w:val="11C01746"/>
    <w:rsid w:val="11C24AE6"/>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30478"/>
    <w:rsid w:val="123338D3"/>
    <w:rsid w:val="12395D63"/>
    <w:rsid w:val="12401AD9"/>
    <w:rsid w:val="124038C8"/>
    <w:rsid w:val="12421E9D"/>
    <w:rsid w:val="1248421F"/>
    <w:rsid w:val="12571C4D"/>
    <w:rsid w:val="125C09FF"/>
    <w:rsid w:val="12657F0C"/>
    <w:rsid w:val="126830F6"/>
    <w:rsid w:val="126B5207"/>
    <w:rsid w:val="126F57E1"/>
    <w:rsid w:val="12760E78"/>
    <w:rsid w:val="127673DB"/>
    <w:rsid w:val="127755C8"/>
    <w:rsid w:val="127E0189"/>
    <w:rsid w:val="12810A1D"/>
    <w:rsid w:val="12854B81"/>
    <w:rsid w:val="128E070E"/>
    <w:rsid w:val="12927837"/>
    <w:rsid w:val="129B0ED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93B89"/>
    <w:rsid w:val="12EE0F39"/>
    <w:rsid w:val="12EF155A"/>
    <w:rsid w:val="12F17350"/>
    <w:rsid w:val="12F712FB"/>
    <w:rsid w:val="12FA0E2E"/>
    <w:rsid w:val="12FF7A62"/>
    <w:rsid w:val="13037A88"/>
    <w:rsid w:val="1318450B"/>
    <w:rsid w:val="133844CA"/>
    <w:rsid w:val="1347596A"/>
    <w:rsid w:val="13477178"/>
    <w:rsid w:val="134B5A55"/>
    <w:rsid w:val="134C0AA1"/>
    <w:rsid w:val="134F5D9B"/>
    <w:rsid w:val="135369A3"/>
    <w:rsid w:val="13576E97"/>
    <w:rsid w:val="136041BC"/>
    <w:rsid w:val="13663337"/>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AA7C1A"/>
    <w:rsid w:val="13B35BBD"/>
    <w:rsid w:val="13BF3D28"/>
    <w:rsid w:val="13C32466"/>
    <w:rsid w:val="13C5566A"/>
    <w:rsid w:val="13C77F07"/>
    <w:rsid w:val="13CE4E2F"/>
    <w:rsid w:val="13CF48B4"/>
    <w:rsid w:val="13E45E4B"/>
    <w:rsid w:val="13E62DA6"/>
    <w:rsid w:val="13EE5B08"/>
    <w:rsid w:val="13F211C8"/>
    <w:rsid w:val="13F5027E"/>
    <w:rsid w:val="13F57229"/>
    <w:rsid w:val="13F60043"/>
    <w:rsid w:val="13F63AC9"/>
    <w:rsid w:val="13FE1F68"/>
    <w:rsid w:val="13FF4761"/>
    <w:rsid w:val="1401651E"/>
    <w:rsid w:val="14065625"/>
    <w:rsid w:val="14127CF3"/>
    <w:rsid w:val="1416357F"/>
    <w:rsid w:val="14175C6D"/>
    <w:rsid w:val="14182B9E"/>
    <w:rsid w:val="141A193D"/>
    <w:rsid w:val="141E08F4"/>
    <w:rsid w:val="14211963"/>
    <w:rsid w:val="14213028"/>
    <w:rsid w:val="142160CA"/>
    <w:rsid w:val="142E4E6B"/>
    <w:rsid w:val="14332094"/>
    <w:rsid w:val="143B554F"/>
    <w:rsid w:val="144128ED"/>
    <w:rsid w:val="144D721A"/>
    <w:rsid w:val="14504C78"/>
    <w:rsid w:val="14552700"/>
    <w:rsid w:val="1455301F"/>
    <w:rsid w:val="145E0ED6"/>
    <w:rsid w:val="145F3E15"/>
    <w:rsid w:val="145F4E9E"/>
    <w:rsid w:val="14662A35"/>
    <w:rsid w:val="1468041E"/>
    <w:rsid w:val="146A5814"/>
    <w:rsid w:val="146D4E79"/>
    <w:rsid w:val="1479121F"/>
    <w:rsid w:val="147C1504"/>
    <w:rsid w:val="148112AD"/>
    <w:rsid w:val="148B2440"/>
    <w:rsid w:val="148B578A"/>
    <w:rsid w:val="14933736"/>
    <w:rsid w:val="149D19D1"/>
    <w:rsid w:val="14AA1497"/>
    <w:rsid w:val="14AD1F0C"/>
    <w:rsid w:val="14AD2447"/>
    <w:rsid w:val="14BD0C90"/>
    <w:rsid w:val="14BD7435"/>
    <w:rsid w:val="14D13225"/>
    <w:rsid w:val="14D41B03"/>
    <w:rsid w:val="14D63FB7"/>
    <w:rsid w:val="14E11E90"/>
    <w:rsid w:val="14EC7262"/>
    <w:rsid w:val="14F50637"/>
    <w:rsid w:val="14F56962"/>
    <w:rsid w:val="14F72E20"/>
    <w:rsid w:val="14FD3DC3"/>
    <w:rsid w:val="14FE4181"/>
    <w:rsid w:val="15052F44"/>
    <w:rsid w:val="1513143F"/>
    <w:rsid w:val="152446F6"/>
    <w:rsid w:val="15274A34"/>
    <w:rsid w:val="152C74BF"/>
    <w:rsid w:val="152E54C4"/>
    <w:rsid w:val="1535555F"/>
    <w:rsid w:val="15382813"/>
    <w:rsid w:val="154B27A9"/>
    <w:rsid w:val="154B6CF6"/>
    <w:rsid w:val="15516306"/>
    <w:rsid w:val="155B06BC"/>
    <w:rsid w:val="155B6FCC"/>
    <w:rsid w:val="15620F8B"/>
    <w:rsid w:val="156514F3"/>
    <w:rsid w:val="15657023"/>
    <w:rsid w:val="156B264F"/>
    <w:rsid w:val="15707694"/>
    <w:rsid w:val="157477F0"/>
    <w:rsid w:val="157839EE"/>
    <w:rsid w:val="157F4B83"/>
    <w:rsid w:val="15862A25"/>
    <w:rsid w:val="15864057"/>
    <w:rsid w:val="158A2F64"/>
    <w:rsid w:val="158C53F6"/>
    <w:rsid w:val="15946EC2"/>
    <w:rsid w:val="1594709F"/>
    <w:rsid w:val="159B1410"/>
    <w:rsid w:val="159D2E6C"/>
    <w:rsid w:val="159E4A3E"/>
    <w:rsid w:val="15A412DF"/>
    <w:rsid w:val="15A625C0"/>
    <w:rsid w:val="15A70541"/>
    <w:rsid w:val="15A7643A"/>
    <w:rsid w:val="15AD4348"/>
    <w:rsid w:val="15AD7612"/>
    <w:rsid w:val="15B96153"/>
    <w:rsid w:val="15BC619F"/>
    <w:rsid w:val="15BD0132"/>
    <w:rsid w:val="15BF618A"/>
    <w:rsid w:val="15C256BE"/>
    <w:rsid w:val="15C40EFF"/>
    <w:rsid w:val="15CA097E"/>
    <w:rsid w:val="15D33940"/>
    <w:rsid w:val="15D92955"/>
    <w:rsid w:val="15F5535B"/>
    <w:rsid w:val="15F569FA"/>
    <w:rsid w:val="15F656C7"/>
    <w:rsid w:val="15F85F00"/>
    <w:rsid w:val="15F969EC"/>
    <w:rsid w:val="16005D04"/>
    <w:rsid w:val="160628EA"/>
    <w:rsid w:val="1607152F"/>
    <w:rsid w:val="160D7883"/>
    <w:rsid w:val="160E7A4D"/>
    <w:rsid w:val="16104DB0"/>
    <w:rsid w:val="16120AEC"/>
    <w:rsid w:val="1613433D"/>
    <w:rsid w:val="16200AF2"/>
    <w:rsid w:val="162A2BA0"/>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A1CE7"/>
    <w:rsid w:val="16EB66D9"/>
    <w:rsid w:val="16EE35CD"/>
    <w:rsid w:val="16F47BF5"/>
    <w:rsid w:val="16F500A9"/>
    <w:rsid w:val="16F872C3"/>
    <w:rsid w:val="16FA06E3"/>
    <w:rsid w:val="1701047D"/>
    <w:rsid w:val="170167F2"/>
    <w:rsid w:val="17035AAC"/>
    <w:rsid w:val="17054499"/>
    <w:rsid w:val="170B0BD9"/>
    <w:rsid w:val="170D5EDA"/>
    <w:rsid w:val="17182913"/>
    <w:rsid w:val="17197EC3"/>
    <w:rsid w:val="171E08F7"/>
    <w:rsid w:val="171E2D1A"/>
    <w:rsid w:val="172E1BBE"/>
    <w:rsid w:val="17377B8C"/>
    <w:rsid w:val="173A6824"/>
    <w:rsid w:val="173B1FA1"/>
    <w:rsid w:val="173C594E"/>
    <w:rsid w:val="173D1596"/>
    <w:rsid w:val="173D2EC3"/>
    <w:rsid w:val="1748452F"/>
    <w:rsid w:val="17503F57"/>
    <w:rsid w:val="17505DD6"/>
    <w:rsid w:val="17586CB0"/>
    <w:rsid w:val="17596CA9"/>
    <w:rsid w:val="17600681"/>
    <w:rsid w:val="176142CC"/>
    <w:rsid w:val="176522E6"/>
    <w:rsid w:val="17665D9F"/>
    <w:rsid w:val="17694484"/>
    <w:rsid w:val="176958FE"/>
    <w:rsid w:val="17696EA4"/>
    <w:rsid w:val="17795030"/>
    <w:rsid w:val="177B0627"/>
    <w:rsid w:val="177D3C16"/>
    <w:rsid w:val="178501CB"/>
    <w:rsid w:val="178A042D"/>
    <w:rsid w:val="178A1F82"/>
    <w:rsid w:val="17916104"/>
    <w:rsid w:val="17920EA7"/>
    <w:rsid w:val="1797450B"/>
    <w:rsid w:val="17985148"/>
    <w:rsid w:val="17A644BF"/>
    <w:rsid w:val="17A90C9E"/>
    <w:rsid w:val="17A92F07"/>
    <w:rsid w:val="17A93B09"/>
    <w:rsid w:val="17B23E0F"/>
    <w:rsid w:val="17B31B32"/>
    <w:rsid w:val="17B80549"/>
    <w:rsid w:val="17C063A0"/>
    <w:rsid w:val="17C16366"/>
    <w:rsid w:val="17C76A67"/>
    <w:rsid w:val="17CA22FD"/>
    <w:rsid w:val="17CF3A14"/>
    <w:rsid w:val="17DA0F7A"/>
    <w:rsid w:val="17DC2D7F"/>
    <w:rsid w:val="17E95276"/>
    <w:rsid w:val="17E963D1"/>
    <w:rsid w:val="17EA38A1"/>
    <w:rsid w:val="17EB77A3"/>
    <w:rsid w:val="17EC5E41"/>
    <w:rsid w:val="17F8667B"/>
    <w:rsid w:val="17FC7C84"/>
    <w:rsid w:val="18060D81"/>
    <w:rsid w:val="1806537C"/>
    <w:rsid w:val="18066C18"/>
    <w:rsid w:val="1809630E"/>
    <w:rsid w:val="181A7494"/>
    <w:rsid w:val="181C2683"/>
    <w:rsid w:val="181E4167"/>
    <w:rsid w:val="18324998"/>
    <w:rsid w:val="18341D76"/>
    <w:rsid w:val="18351C27"/>
    <w:rsid w:val="18553A22"/>
    <w:rsid w:val="18590E01"/>
    <w:rsid w:val="18607956"/>
    <w:rsid w:val="1866144B"/>
    <w:rsid w:val="186E420E"/>
    <w:rsid w:val="187941B7"/>
    <w:rsid w:val="187A14AA"/>
    <w:rsid w:val="187B7B4F"/>
    <w:rsid w:val="1887188F"/>
    <w:rsid w:val="188900DF"/>
    <w:rsid w:val="18935E66"/>
    <w:rsid w:val="18A35548"/>
    <w:rsid w:val="18A63203"/>
    <w:rsid w:val="18A77689"/>
    <w:rsid w:val="18A816B2"/>
    <w:rsid w:val="18AC4CDE"/>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1626E"/>
    <w:rsid w:val="19027C40"/>
    <w:rsid w:val="19087B90"/>
    <w:rsid w:val="190948C3"/>
    <w:rsid w:val="190E3326"/>
    <w:rsid w:val="190E3538"/>
    <w:rsid w:val="19164D1E"/>
    <w:rsid w:val="191C588D"/>
    <w:rsid w:val="192152C2"/>
    <w:rsid w:val="192502DE"/>
    <w:rsid w:val="1927395B"/>
    <w:rsid w:val="192D514C"/>
    <w:rsid w:val="193544CD"/>
    <w:rsid w:val="19443AA2"/>
    <w:rsid w:val="1945355B"/>
    <w:rsid w:val="194817FC"/>
    <w:rsid w:val="194A0D45"/>
    <w:rsid w:val="194A2ADB"/>
    <w:rsid w:val="195159CB"/>
    <w:rsid w:val="195961D5"/>
    <w:rsid w:val="195C14E8"/>
    <w:rsid w:val="195D3491"/>
    <w:rsid w:val="196515C3"/>
    <w:rsid w:val="197859DA"/>
    <w:rsid w:val="1980769C"/>
    <w:rsid w:val="19884F66"/>
    <w:rsid w:val="198F181A"/>
    <w:rsid w:val="198F1E18"/>
    <w:rsid w:val="19917CFC"/>
    <w:rsid w:val="199624F4"/>
    <w:rsid w:val="1997576B"/>
    <w:rsid w:val="1998697F"/>
    <w:rsid w:val="199A20B4"/>
    <w:rsid w:val="19A71B82"/>
    <w:rsid w:val="19B84C88"/>
    <w:rsid w:val="19C6694E"/>
    <w:rsid w:val="19CC0DE5"/>
    <w:rsid w:val="19D11E61"/>
    <w:rsid w:val="19D5618C"/>
    <w:rsid w:val="19E22401"/>
    <w:rsid w:val="19E23808"/>
    <w:rsid w:val="19F44B16"/>
    <w:rsid w:val="19F538D5"/>
    <w:rsid w:val="19FF0B74"/>
    <w:rsid w:val="1A00532F"/>
    <w:rsid w:val="1A040FBD"/>
    <w:rsid w:val="1A067DCA"/>
    <w:rsid w:val="1A0A198C"/>
    <w:rsid w:val="1A102A1C"/>
    <w:rsid w:val="1A13214F"/>
    <w:rsid w:val="1A3D169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B617F5"/>
    <w:rsid w:val="1AC70097"/>
    <w:rsid w:val="1ACC39D6"/>
    <w:rsid w:val="1ADD5293"/>
    <w:rsid w:val="1ADE0868"/>
    <w:rsid w:val="1AF7489C"/>
    <w:rsid w:val="1AF86B17"/>
    <w:rsid w:val="1AFA3523"/>
    <w:rsid w:val="1AFD3AEA"/>
    <w:rsid w:val="1B05238D"/>
    <w:rsid w:val="1B0C44A5"/>
    <w:rsid w:val="1B13587B"/>
    <w:rsid w:val="1B1D44BA"/>
    <w:rsid w:val="1B275D4E"/>
    <w:rsid w:val="1B2C07D2"/>
    <w:rsid w:val="1B2C5EE0"/>
    <w:rsid w:val="1B33077D"/>
    <w:rsid w:val="1B3604D3"/>
    <w:rsid w:val="1B364D11"/>
    <w:rsid w:val="1B3865C6"/>
    <w:rsid w:val="1B3E5EDE"/>
    <w:rsid w:val="1B420F74"/>
    <w:rsid w:val="1B433153"/>
    <w:rsid w:val="1B467529"/>
    <w:rsid w:val="1B4B00CA"/>
    <w:rsid w:val="1B566C78"/>
    <w:rsid w:val="1B5F1247"/>
    <w:rsid w:val="1B6307EA"/>
    <w:rsid w:val="1B717940"/>
    <w:rsid w:val="1B79696C"/>
    <w:rsid w:val="1B7E1824"/>
    <w:rsid w:val="1B825166"/>
    <w:rsid w:val="1B890C23"/>
    <w:rsid w:val="1B9411FC"/>
    <w:rsid w:val="1B972987"/>
    <w:rsid w:val="1B9D6CE8"/>
    <w:rsid w:val="1BA63F57"/>
    <w:rsid w:val="1BA866D1"/>
    <w:rsid w:val="1BBB422B"/>
    <w:rsid w:val="1BC600B5"/>
    <w:rsid w:val="1BCC6C51"/>
    <w:rsid w:val="1BCD55F8"/>
    <w:rsid w:val="1BD1784D"/>
    <w:rsid w:val="1BE011AE"/>
    <w:rsid w:val="1BE02AAF"/>
    <w:rsid w:val="1BE30F90"/>
    <w:rsid w:val="1BE31093"/>
    <w:rsid w:val="1BE461F3"/>
    <w:rsid w:val="1BE956C8"/>
    <w:rsid w:val="1C022294"/>
    <w:rsid w:val="1C0B35D4"/>
    <w:rsid w:val="1C12573D"/>
    <w:rsid w:val="1C1D1EE2"/>
    <w:rsid w:val="1C1E2D21"/>
    <w:rsid w:val="1C234861"/>
    <w:rsid w:val="1C2E319B"/>
    <w:rsid w:val="1C3477C5"/>
    <w:rsid w:val="1C350829"/>
    <w:rsid w:val="1C4F6563"/>
    <w:rsid w:val="1C545F3D"/>
    <w:rsid w:val="1C556488"/>
    <w:rsid w:val="1C56072A"/>
    <w:rsid w:val="1C563FE3"/>
    <w:rsid w:val="1C5A182A"/>
    <w:rsid w:val="1C612884"/>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1B36"/>
    <w:rsid w:val="1CA42FB6"/>
    <w:rsid w:val="1CAF4AE5"/>
    <w:rsid w:val="1CB21A29"/>
    <w:rsid w:val="1CBA12BF"/>
    <w:rsid w:val="1CCB32EE"/>
    <w:rsid w:val="1CCD4A46"/>
    <w:rsid w:val="1CD23361"/>
    <w:rsid w:val="1CD35882"/>
    <w:rsid w:val="1CE302F7"/>
    <w:rsid w:val="1CEC4F96"/>
    <w:rsid w:val="1CF139EE"/>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A5741"/>
    <w:rsid w:val="1D4B1AFF"/>
    <w:rsid w:val="1D4B4B5A"/>
    <w:rsid w:val="1D5350C2"/>
    <w:rsid w:val="1D584348"/>
    <w:rsid w:val="1D597DDF"/>
    <w:rsid w:val="1D5D209F"/>
    <w:rsid w:val="1D65312D"/>
    <w:rsid w:val="1D6D4785"/>
    <w:rsid w:val="1D6E27CD"/>
    <w:rsid w:val="1D727268"/>
    <w:rsid w:val="1D747A6E"/>
    <w:rsid w:val="1D767ADA"/>
    <w:rsid w:val="1D7A0D45"/>
    <w:rsid w:val="1D845021"/>
    <w:rsid w:val="1D861B2D"/>
    <w:rsid w:val="1D896FB3"/>
    <w:rsid w:val="1D91741D"/>
    <w:rsid w:val="1D9318C5"/>
    <w:rsid w:val="1D941B55"/>
    <w:rsid w:val="1DA8115B"/>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065F6"/>
    <w:rsid w:val="1E3303CE"/>
    <w:rsid w:val="1E3835D5"/>
    <w:rsid w:val="1E3F6D05"/>
    <w:rsid w:val="1E494B8A"/>
    <w:rsid w:val="1E4F0222"/>
    <w:rsid w:val="1E5C2AF3"/>
    <w:rsid w:val="1E795C41"/>
    <w:rsid w:val="1E7E640D"/>
    <w:rsid w:val="1E7F3A72"/>
    <w:rsid w:val="1E8064D3"/>
    <w:rsid w:val="1E861E21"/>
    <w:rsid w:val="1EA72270"/>
    <w:rsid w:val="1EBD6E42"/>
    <w:rsid w:val="1EBF2B2C"/>
    <w:rsid w:val="1EC25D1C"/>
    <w:rsid w:val="1EC74AB4"/>
    <w:rsid w:val="1EC87ABC"/>
    <w:rsid w:val="1ED242FC"/>
    <w:rsid w:val="1ED56C03"/>
    <w:rsid w:val="1EDA0174"/>
    <w:rsid w:val="1EDA3DBE"/>
    <w:rsid w:val="1EDB3888"/>
    <w:rsid w:val="1EE05F54"/>
    <w:rsid w:val="1EE332A7"/>
    <w:rsid w:val="1EE45C8A"/>
    <w:rsid w:val="1EE94B13"/>
    <w:rsid w:val="1EF579A0"/>
    <w:rsid w:val="1F05532C"/>
    <w:rsid w:val="1F095121"/>
    <w:rsid w:val="1F0C3604"/>
    <w:rsid w:val="1F0D0383"/>
    <w:rsid w:val="1F0F4C7A"/>
    <w:rsid w:val="1F1527EE"/>
    <w:rsid w:val="1F20034A"/>
    <w:rsid w:val="1F251ABC"/>
    <w:rsid w:val="1F290391"/>
    <w:rsid w:val="1F2A2D10"/>
    <w:rsid w:val="1F304386"/>
    <w:rsid w:val="1F330402"/>
    <w:rsid w:val="1F370102"/>
    <w:rsid w:val="1F3F0073"/>
    <w:rsid w:val="1F43546C"/>
    <w:rsid w:val="1F48506F"/>
    <w:rsid w:val="1F4B10C3"/>
    <w:rsid w:val="1F5C7F87"/>
    <w:rsid w:val="1F6C1D79"/>
    <w:rsid w:val="1F792E9A"/>
    <w:rsid w:val="1F7B67F6"/>
    <w:rsid w:val="1F7C518B"/>
    <w:rsid w:val="1F881F59"/>
    <w:rsid w:val="1F8941F6"/>
    <w:rsid w:val="1F971B7F"/>
    <w:rsid w:val="1F977565"/>
    <w:rsid w:val="1F9B644E"/>
    <w:rsid w:val="1FA22246"/>
    <w:rsid w:val="1FA30C43"/>
    <w:rsid w:val="1FA429B4"/>
    <w:rsid w:val="1FAC06FF"/>
    <w:rsid w:val="1FB34801"/>
    <w:rsid w:val="1FB75185"/>
    <w:rsid w:val="1FB758D9"/>
    <w:rsid w:val="1FB9068D"/>
    <w:rsid w:val="1FB97163"/>
    <w:rsid w:val="1FBD0EE6"/>
    <w:rsid w:val="1FC10346"/>
    <w:rsid w:val="1FC16504"/>
    <w:rsid w:val="1FDB745E"/>
    <w:rsid w:val="1FDD028C"/>
    <w:rsid w:val="1FE218C2"/>
    <w:rsid w:val="1FF955B0"/>
    <w:rsid w:val="1FFA3EAB"/>
    <w:rsid w:val="1FFB3FF4"/>
    <w:rsid w:val="1FFC1294"/>
    <w:rsid w:val="1FFC4541"/>
    <w:rsid w:val="200B6448"/>
    <w:rsid w:val="20176E76"/>
    <w:rsid w:val="201C2D60"/>
    <w:rsid w:val="20270162"/>
    <w:rsid w:val="20347311"/>
    <w:rsid w:val="203F0CD6"/>
    <w:rsid w:val="20421E9D"/>
    <w:rsid w:val="204439A4"/>
    <w:rsid w:val="20655E4F"/>
    <w:rsid w:val="20721F6B"/>
    <w:rsid w:val="207308C3"/>
    <w:rsid w:val="207411D3"/>
    <w:rsid w:val="20743131"/>
    <w:rsid w:val="207536DF"/>
    <w:rsid w:val="20783BF9"/>
    <w:rsid w:val="20786435"/>
    <w:rsid w:val="20802CF5"/>
    <w:rsid w:val="20811113"/>
    <w:rsid w:val="208315A1"/>
    <w:rsid w:val="20874766"/>
    <w:rsid w:val="2088281D"/>
    <w:rsid w:val="2088475A"/>
    <w:rsid w:val="20917F9C"/>
    <w:rsid w:val="20930BD1"/>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04767"/>
    <w:rsid w:val="214776EA"/>
    <w:rsid w:val="21522E38"/>
    <w:rsid w:val="2159046C"/>
    <w:rsid w:val="21592762"/>
    <w:rsid w:val="215E62F3"/>
    <w:rsid w:val="215F3A68"/>
    <w:rsid w:val="21611A31"/>
    <w:rsid w:val="21635586"/>
    <w:rsid w:val="21760888"/>
    <w:rsid w:val="217B17E2"/>
    <w:rsid w:val="218810BD"/>
    <w:rsid w:val="218D61A9"/>
    <w:rsid w:val="218F2B85"/>
    <w:rsid w:val="218F6B13"/>
    <w:rsid w:val="218F7263"/>
    <w:rsid w:val="2190117D"/>
    <w:rsid w:val="219015DB"/>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34BF9"/>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9C7857"/>
    <w:rsid w:val="22A11695"/>
    <w:rsid w:val="22A63B38"/>
    <w:rsid w:val="22A73490"/>
    <w:rsid w:val="22A8489A"/>
    <w:rsid w:val="22AA7376"/>
    <w:rsid w:val="22AB3B60"/>
    <w:rsid w:val="22AF11A1"/>
    <w:rsid w:val="22B2134F"/>
    <w:rsid w:val="22B22D1F"/>
    <w:rsid w:val="22B33D99"/>
    <w:rsid w:val="22B83EF7"/>
    <w:rsid w:val="22BB4A47"/>
    <w:rsid w:val="22BC2773"/>
    <w:rsid w:val="22BE29D6"/>
    <w:rsid w:val="22C27BE8"/>
    <w:rsid w:val="22C4003E"/>
    <w:rsid w:val="22CB2F4B"/>
    <w:rsid w:val="22D02654"/>
    <w:rsid w:val="22D10E4B"/>
    <w:rsid w:val="22D41929"/>
    <w:rsid w:val="22D7363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E2CD5"/>
    <w:rsid w:val="230F5270"/>
    <w:rsid w:val="2311101C"/>
    <w:rsid w:val="231869B1"/>
    <w:rsid w:val="2319089C"/>
    <w:rsid w:val="231B2491"/>
    <w:rsid w:val="232515D0"/>
    <w:rsid w:val="232F45E5"/>
    <w:rsid w:val="23382F5D"/>
    <w:rsid w:val="233857DC"/>
    <w:rsid w:val="233E2231"/>
    <w:rsid w:val="23443C8F"/>
    <w:rsid w:val="235578EA"/>
    <w:rsid w:val="23561548"/>
    <w:rsid w:val="23561CD1"/>
    <w:rsid w:val="235E47B6"/>
    <w:rsid w:val="23644FB5"/>
    <w:rsid w:val="23646298"/>
    <w:rsid w:val="236B32CC"/>
    <w:rsid w:val="2372506B"/>
    <w:rsid w:val="2376691B"/>
    <w:rsid w:val="2378146C"/>
    <w:rsid w:val="238D2D50"/>
    <w:rsid w:val="238D66BE"/>
    <w:rsid w:val="2390261F"/>
    <w:rsid w:val="23950A55"/>
    <w:rsid w:val="239540DC"/>
    <w:rsid w:val="23965F67"/>
    <w:rsid w:val="23A00272"/>
    <w:rsid w:val="23A02531"/>
    <w:rsid w:val="23A11F4F"/>
    <w:rsid w:val="23A963A4"/>
    <w:rsid w:val="23B41225"/>
    <w:rsid w:val="23BA6237"/>
    <w:rsid w:val="23BC048E"/>
    <w:rsid w:val="23C9616F"/>
    <w:rsid w:val="23CC0919"/>
    <w:rsid w:val="23CE659F"/>
    <w:rsid w:val="23CF7FD3"/>
    <w:rsid w:val="23D4199E"/>
    <w:rsid w:val="23D94F43"/>
    <w:rsid w:val="23DC01C4"/>
    <w:rsid w:val="23DC60E2"/>
    <w:rsid w:val="23E17EC8"/>
    <w:rsid w:val="23E47406"/>
    <w:rsid w:val="23E91B93"/>
    <w:rsid w:val="23F6160A"/>
    <w:rsid w:val="23FA4415"/>
    <w:rsid w:val="23FB72B1"/>
    <w:rsid w:val="24026C92"/>
    <w:rsid w:val="24027DBA"/>
    <w:rsid w:val="240657B6"/>
    <w:rsid w:val="240B36D8"/>
    <w:rsid w:val="240C2CCA"/>
    <w:rsid w:val="240C553C"/>
    <w:rsid w:val="241722EB"/>
    <w:rsid w:val="24193E65"/>
    <w:rsid w:val="241B2B4F"/>
    <w:rsid w:val="242B021E"/>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9502B"/>
    <w:rsid w:val="2479597F"/>
    <w:rsid w:val="247D3C6E"/>
    <w:rsid w:val="24860612"/>
    <w:rsid w:val="24872D53"/>
    <w:rsid w:val="248E7D90"/>
    <w:rsid w:val="249321BF"/>
    <w:rsid w:val="249C0D83"/>
    <w:rsid w:val="24A033EE"/>
    <w:rsid w:val="24B51B12"/>
    <w:rsid w:val="24C434A5"/>
    <w:rsid w:val="24C92612"/>
    <w:rsid w:val="24CA496C"/>
    <w:rsid w:val="24CB78C2"/>
    <w:rsid w:val="24CC60AA"/>
    <w:rsid w:val="24D35568"/>
    <w:rsid w:val="24D72C44"/>
    <w:rsid w:val="24DB51FA"/>
    <w:rsid w:val="24E954E0"/>
    <w:rsid w:val="24F37FEF"/>
    <w:rsid w:val="24F82FB3"/>
    <w:rsid w:val="2501080F"/>
    <w:rsid w:val="2504405A"/>
    <w:rsid w:val="251809ED"/>
    <w:rsid w:val="251B27EB"/>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73766"/>
    <w:rsid w:val="258B4AE4"/>
    <w:rsid w:val="258C3B89"/>
    <w:rsid w:val="258C6B00"/>
    <w:rsid w:val="258F1E2E"/>
    <w:rsid w:val="259114ED"/>
    <w:rsid w:val="2593720A"/>
    <w:rsid w:val="25996F48"/>
    <w:rsid w:val="259A3CB2"/>
    <w:rsid w:val="259E4C39"/>
    <w:rsid w:val="259E5828"/>
    <w:rsid w:val="25A035EC"/>
    <w:rsid w:val="25A24497"/>
    <w:rsid w:val="25A45B04"/>
    <w:rsid w:val="25A92B92"/>
    <w:rsid w:val="25AB0A3D"/>
    <w:rsid w:val="25AC370D"/>
    <w:rsid w:val="25B22B68"/>
    <w:rsid w:val="25B5218E"/>
    <w:rsid w:val="25B824AD"/>
    <w:rsid w:val="25BF3BCD"/>
    <w:rsid w:val="25C15D16"/>
    <w:rsid w:val="25C55B83"/>
    <w:rsid w:val="25CD5BF1"/>
    <w:rsid w:val="25CD62C3"/>
    <w:rsid w:val="25D31208"/>
    <w:rsid w:val="25DA65CA"/>
    <w:rsid w:val="25DB6649"/>
    <w:rsid w:val="25DC1D12"/>
    <w:rsid w:val="25DD0809"/>
    <w:rsid w:val="25E27416"/>
    <w:rsid w:val="25E46656"/>
    <w:rsid w:val="25E47484"/>
    <w:rsid w:val="25E92FBE"/>
    <w:rsid w:val="25F17275"/>
    <w:rsid w:val="25F31E31"/>
    <w:rsid w:val="25F70EE4"/>
    <w:rsid w:val="25F83FB0"/>
    <w:rsid w:val="25FC0B75"/>
    <w:rsid w:val="26006C23"/>
    <w:rsid w:val="260139F3"/>
    <w:rsid w:val="260556D5"/>
    <w:rsid w:val="26080DD9"/>
    <w:rsid w:val="26082798"/>
    <w:rsid w:val="260830B3"/>
    <w:rsid w:val="26095114"/>
    <w:rsid w:val="260E454E"/>
    <w:rsid w:val="26132277"/>
    <w:rsid w:val="261464EE"/>
    <w:rsid w:val="26280E6C"/>
    <w:rsid w:val="262E05B0"/>
    <w:rsid w:val="26327A25"/>
    <w:rsid w:val="26331CBB"/>
    <w:rsid w:val="26372014"/>
    <w:rsid w:val="263C3D6D"/>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D00BF3"/>
    <w:rsid w:val="26E272BC"/>
    <w:rsid w:val="26E33E5B"/>
    <w:rsid w:val="26E70CA8"/>
    <w:rsid w:val="26EA7605"/>
    <w:rsid w:val="26EB47D6"/>
    <w:rsid w:val="26F17CAD"/>
    <w:rsid w:val="26F51567"/>
    <w:rsid w:val="26F54808"/>
    <w:rsid w:val="26F81366"/>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900F9"/>
    <w:rsid w:val="274E0335"/>
    <w:rsid w:val="275D1356"/>
    <w:rsid w:val="275D186B"/>
    <w:rsid w:val="275D4A89"/>
    <w:rsid w:val="27625310"/>
    <w:rsid w:val="27641213"/>
    <w:rsid w:val="277A2EC6"/>
    <w:rsid w:val="277E3D2C"/>
    <w:rsid w:val="27841ADD"/>
    <w:rsid w:val="278B7262"/>
    <w:rsid w:val="278E7D5F"/>
    <w:rsid w:val="279429E3"/>
    <w:rsid w:val="27966F4A"/>
    <w:rsid w:val="27A74D7A"/>
    <w:rsid w:val="27A75735"/>
    <w:rsid w:val="27A91AD2"/>
    <w:rsid w:val="27AE6E2D"/>
    <w:rsid w:val="27AF57B8"/>
    <w:rsid w:val="27B24596"/>
    <w:rsid w:val="27B25FFF"/>
    <w:rsid w:val="27B82A21"/>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851C0"/>
    <w:rsid w:val="27FA5F82"/>
    <w:rsid w:val="28014303"/>
    <w:rsid w:val="280410A7"/>
    <w:rsid w:val="2809034F"/>
    <w:rsid w:val="28152D65"/>
    <w:rsid w:val="281713C1"/>
    <w:rsid w:val="281C4FE1"/>
    <w:rsid w:val="28201807"/>
    <w:rsid w:val="28202089"/>
    <w:rsid w:val="28210C3B"/>
    <w:rsid w:val="282136DB"/>
    <w:rsid w:val="282408A9"/>
    <w:rsid w:val="2833186C"/>
    <w:rsid w:val="283E3927"/>
    <w:rsid w:val="28432F7C"/>
    <w:rsid w:val="285065F4"/>
    <w:rsid w:val="28557C44"/>
    <w:rsid w:val="28564AD0"/>
    <w:rsid w:val="285E1540"/>
    <w:rsid w:val="285E4E49"/>
    <w:rsid w:val="28634EA7"/>
    <w:rsid w:val="2868554F"/>
    <w:rsid w:val="286A70A6"/>
    <w:rsid w:val="286B31A7"/>
    <w:rsid w:val="286D715D"/>
    <w:rsid w:val="286F13E7"/>
    <w:rsid w:val="28707EB9"/>
    <w:rsid w:val="28710251"/>
    <w:rsid w:val="287270BD"/>
    <w:rsid w:val="287508F6"/>
    <w:rsid w:val="288C7056"/>
    <w:rsid w:val="288F598A"/>
    <w:rsid w:val="289910F7"/>
    <w:rsid w:val="28A14F66"/>
    <w:rsid w:val="28A4234C"/>
    <w:rsid w:val="28A63531"/>
    <w:rsid w:val="28A773FC"/>
    <w:rsid w:val="28CA5B35"/>
    <w:rsid w:val="28D02425"/>
    <w:rsid w:val="28D36FD2"/>
    <w:rsid w:val="28D527CA"/>
    <w:rsid w:val="28DB1A3D"/>
    <w:rsid w:val="28F133CC"/>
    <w:rsid w:val="28F729CE"/>
    <w:rsid w:val="28F934CA"/>
    <w:rsid w:val="28FA5F7F"/>
    <w:rsid w:val="29056F59"/>
    <w:rsid w:val="2907017C"/>
    <w:rsid w:val="29094B16"/>
    <w:rsid w:val="291218C3"/>
    <w:rsid w:val="2912731C"/>
    <w:rsid w:val="29150A19"/>
    <w:rsid w:val="29157321"/>
    <w:rsid w:val="291F35AA"/>
    <w:rsid w:val="2925391D"/>
    <w:rsid w:val="292B0670"/>
    <w:rsid w:val="292E0A29"/>
    <w:rsid w:val="29325A72"/>
    <w:rsid w:val="2938341E"/>
    <w:rsid w:val="293A10FF"/>
    <w:rsid w:val="293A6E92"/>
    <w:rsid w:val="29566904"/>
    <w:rsid w:val="29582224"/>
    <w:rsid w:val="29585835"/>
    <w:rsid w:val="296074D7"/>
    <w:rsid w:val="29692EBD"/>
    <w:rsid w:val="29712D8F"/>
    <w:rsid w:val="29736267"/>
    <w:rsid w:val="297B31D3"/>
    <w:rsid w:val="298103BD"/>
    <w:rsid w:val="298412A3"/>
    <w:rsid w:val="298D4850"/>
    <w:rsid w:val="29966295"/>
    <w:rsid w:val="29971F57"/>
    <w:rsid w:val="299C7DCA"/>
    <w:rsid w:val="29A021A8"/>
    <w:rsid w:val="29A942FB"/>
    <w:rsid w:val="29A94F7F"/>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2351F4"/>
    <w:rsid w:val="2A307EBE"/>
    <w:rsid w:val="2A3E413F"/>
    <w:rsid w:val="2A430F4D"/>
    <w:rsid w:val="2A5303B9"/>
    <w:rsid w:val="2A534A67"/>
    <w:rsid w:val="2A5F67A3"/>
    <w:rsid w:val="2A6151C4"/>
    <w:rsid w:val="2A664C59"/>
    <w:rsid w:val="2A6B464E"/>
    <w:rsid w:val="2A722830"/>
    <w:rsid w:val="2A8F4AAD"/>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62169"/>
    <w:rsid w:val="2B165967"/>
    <w:rsid w:val="2B1A32A0"/>
    <w:rsid w:val="2B26693B"/>
    <w:rsid w:val="2B2F1FC7"/>
    <w:rsid w:val="2B2F2F22"/>
    <w:rsid w:val="2B342280"/>
    <w:rsid w:val="2B37764D"/>
    <w:rsid w:val="2B3F6547"/>
    <w:rsid w:val="2B430D5F"/>
    <w:rsid w:val="2B4F2967"/>
    <w:rsid w:val="2B5C1A7C"/>
    <w:rsid w:val="2B5C469F"/>
    <w:rsid w:val="2B6525E9"/>
    <w:rsid w:val="2B6E19DB"/>
    <w:rsid w:val="2B756050"/>
    <w:rsid w:val="2B7C5660"/>
    <w:rsid w:val="2B8944AA"/>
    <w:rsid w:val="2B92679C"/>
    <w:rsid w:val="2B96506D"/>
    <w:rsid w:val="2B986BC6"/>
    <w:rsid w:val="2B9C0A86"/>
    <w:rsid w:val="2B9D451B"/>
    <w:rsid w:val="2BA16669"/>
    <w:rsid w:val="2BAE20A5"/>
    <w:rsid w:val="2BAE6BB7"/>
    <w:rsid w:val="2BAF2381"/>
    <w:rsid w:val="2BB1376A"/>
    <w:rsid w:val="2BB60AD9"/>
    <w:rsid w:val="2BBA7E05"/>
    <w:rsid w:val="2BBB17D5"/>
    <w:rsid w:val="2BBD6DA0"/>
    <w:rsid w:val="2BC3413A"/>
    <w:rsid w:val="2BC45396"/>
    <w:rsid w:val="2BD540AD"/>
    <w:rsid w:val="2BDA10DE"/>
    <w:rsid w:val="2BDA2AEC"/>
    <w:rsid w:val="2BF336C9"/>
    <w:rsid w:val="2BF33ED5"/>
    <w:rsid w:val="2BFB7405"/>
    <w:rsid w:val="2C006833"/>
    <w:rsid w:val="2C034F7B"/>
    <w:rsid w:val="2C040D89"/>
    <w:rsid w:val="2C0509D9"/>
    <w:rsid w:val="2C05481D"/>
    <w:rsid w:val="2C056AF9"/>
    <w:rsid w:val="2C096EF6"/>
    <w:rsid w:val="2C220DB4"/>
    <w:rsid w:val="2C247FF1"/>
    <w:rsid w:val="2C3C0030"/>
    <w:rsid w:val="2C3F3887"/>
    <w:rsid w:val="2C45016F"/>
    <w:rsid w:val="2C516E38"/>
    <w:rsid w:val="2C533A6A"/>
    <w:rsid w:val="2C560EA3"/>
    <w:rsid w:val="2C617496"/>
    <w:rsid w:val="2C62156F"/>
    <w:rsid w:val="2C6A047D"/>
    <w:rsid w:val="2C6F41F6"/>
    <w:rsid w:val="2C730778"/>
    <w:rsid w:val="2C7E030A"/>
    <w:rsid w:val="2C833FFB"/>
    <w:rsid w:val="2C84380F"/>
    <w:rsid w:val="2C8F430E"/>
    <w:rsid w:val="2C970335"/>
    <w:rsid w:val="2CA21894"/>
    <w:rsid w:val="2CA4476E"/>
    <w:rsid w:val="2CAD4F6B"/>
    <w:rsid w:val="2CB17FD2"/>
    <w:rsid w:val="2CC16AFA"/>
    <w:rsid w:val="2CC95D10"/>
    <w:rsid w:val="2CC96A11"/>
    <w:rsid w:val="2CCA43FF"/>
    <w:rsid w:val="2CCB5A72"/>
    <w:rsid w:val="2CD57684"/>
    <w:rsid w:val="2CD67A0B"/>
    <w:rsid w:val="2CD75666"/>
    <w:rsid w:val="2CD83FF1"/>
    <w:rsid w:val="2CDC6591"/>
    <w:rsid w:val="2CDE08F2"/>
    <w:rsid w:val="2CE03AB0"/>
    <w:rsid w:val="2CE86737"/>
    <w:rsid w:val="2CEB494F"/>
    <w:rsid w:val="2CEF53E3"/>
    <w:rsid w:val="2CF53A56"/>
    <w:rsid w:val="2CF649A9"/>
    <w:rsid w:val="2CF9444D"/>
    <w:rsid w:val="2CFC27E4"/>
    <w:rsid w:val="2D061051"/>
    <w:rsid w:val="2D0766E4"/>
    <w:rsid w:val="2D0B702A"/>
    <w:rsid w:val="2D107EBA"/>
    <w:rsid w:val="2D12609F"/>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A677C"/>
    <w:rsid w:val="2D6C2B47"/>
    <w:rsid w:val="2D763F45"/>
    <w:rsid w:val="2D820204"/>
    <w:rsid w:val="2D8402FC"/>
    <w:rsid w:val="2D88024C"/>
    <w:rsid w:val="2D935488"/>
    <w:rsid w:val="2D960FB5"/>
    <w:rsid w:val="2D9B4423"/>
    <w:rsid w:val="2DAC2EF4"/>
    <w:rsid w:val="2DAD4BCD"/>
    <w:rsid w:val="2DAD789E"/>
    <w:rsid w:val="2DB453FF"/>
    <w:rsid w:val="2DB72446"/>
    <w:rsid w:val="2DBE4237"/>
    <w:rsid w:val="2DBF1693"/>
    <w:rsid w:val="2DCA22C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2709"/>
    <w:rsid w:val="2E285E19"/>
    <w:rsid w:val="2E28757C"/>
    <w:rsid w:val="2E2C723F"/>
    <w:rsid w:val="2E332EEF"/>
    <w:rsid w:val="2E3D0855"/>
    <w:rsid w:val="2E3F6B8A"/>
    <w:rsid w:val="2E406C31"/>
    <w:rsid w:val="2E467FE7"/>
    <w:rsid w:val="2E527715"/>
    <w:rsid w:val="2E530660"/>
    <w:rsid w:val="2E531152"/>
    <w:rsid w:val="2E5448E2"/>
    <w:rsid w:val="2E565287"/>
    <w:rsid w:val="2E5F1E47"/>
    <w:rsid w:val="2E682652"/>
    <w:rsid w:val="2E6B6D27"/>
    <w:rsid w:val="2E7A506F"/>
    <w:rsid w:val="2E7B0600"/>
    <w:rsid w:val="2E7B273D"/>
    <w:rsid w:val="2E7D30EA"/>
    <w:rsid w:val="2E8028E0"/>
    <w:rsid w:val="2E88139A"/>
    <w:rsid w:val="2E8B051E"/>
    <w:rsid w:val="2E8F062E"/>
    <w:rsid w:val="2E905D65"/>
    <w:rsid w:val="2E916275"/>
    <w:rsid w:val="2E9D560F"/>
    <w:rsid w:val="2E9F7EC1"/>
    <w:rsid w:val="2EA234E1"/>
    <w:rsid w:val="2EB17C70"/>
    <w:rsid w:val="2EB411B5"/>
    <w:rsid w:val="2EBD49E1"/>
    <w:rsid w:val="2EBF0ED1"/>
    <w:rsid w:val="2EC42186"/>
    <w:rsid w:val="2EC7495E"/>
    <w:rsid w:val="2EC776BB"/>
    <w:rsid w:val="2ECA39AD"/>
    <w:rsid w:val="2ECC0C07"/>
    <w:rsid w:val="2ED03009"/>
    <w:rsid w:val="2EED4C9D"/>
    <w:rsid w:val="2EF01DA9"/>
    <w:rsid w:val="2EF224CD"/>
    <w:rsid w:val="2EF67D61"/>
    <w:rsid w:val="2EFA2F2B"/>
    <w:rsid w:val="2F010C22"/>
    <w:rsid w:val="2F195BDC"/>
    <w:rsid w:val="2F2913A5"/>
    <w:rsid w:val="2F2E23A6"/>
    <w:rsid w:val="2F2E289C"/>
    <w:rsid w:val="2F350F19"/>
    <w:rsid w:val="2F383567"/>
    <w:rsid w:val="2F3B1918"/>
    <w:rsid w:val="2F415DC8"/>
    <w:rsid w:val="2F514AAE"/>
    <w:rsid w:val="2F531FEB"/>
    <w:rsid w:val="2F5A4EA5"/>
    <w:rsid w:val="2F5B5B3B"/>
    <w:rsid w:val="2F615468"/>
    <w:rsid w:val="2F655F0E"/>
    <w:rsid w:val="2F6B73F9"/>
    <w:rsid w:val="2F6D4FA6"/>
    <w:rsid w:val="2F6E6713"/>
    <w:rsid w:val="2F743486"/>
    <w:rsid w:val="2F756E65"/>
    <w:rsid w:val="2F77354F"/>
    <w:rsid w:val="2F7A7069"/>
    <w:rsid w:val="2F7B2789"/>
    <w:rsid w:val="2F8001B6"/>
    <w:rsid w:val="2F897AA1"/>
    <w:rsid w:val="2F8D4D67"/>
    <w:rsid w:val="2F8E2F8D"/>
    <w:rsid w:val="2F9051B8"/>
    <w:rsid w:val="2F910893"/>
    <w:rsid w:val="2F9A69D2"/>
    <w:rsid w:val="2F9A7210"/>
    <w:rsid w:val="2F9C6646"/>
    <w:rsid w:val="2F9D4AA3"/>
    <w:rsid w:val="2F9F094E"/>
    <w:rsid w:val="2FA213D6"/>
    <w:rsid w:val="2FA5152D"/>
    <w:rsid w:val="2FA96250"/>
    <w:rsid w:val="2FAA31BA"/>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4F6AE3"/>
    <w:rsid w:val="305831D6"/>
    <w:rsid w:val="3058428D"/>
    <w:rsid w:val="305A4537"/>
    <w:rsid w:val="30632880"/>
    <w:rsid w:val="3070014A"/>
    <w:rsid w:val="307B4FFA"/>
    <w:rsid w:val="308136E0"/>
    <w:rsid w:val="308719BC"/>
    <w:rsid w:val="3095375A"/>
    <w:rsid w:val="30977E19"/>
    <w:rsid w:val="309B2688"/>
    <w:rsid w:val="30A90B96"/>
    <w:rsid w:val="30A91070"/>
    <w:rsid w:val="30B26464"/>
    <w:rsid w:val="30B420CD"/>
    <w:rsid w:val="30B86332"/>
    <w:rsid w:val="30C91D87"/>
    <w:rsid w:val="30D10B78"/>
    <w:rsid w:val="30D251E3"/>
    <w:rsid w:val="30D36EB7"/>
    <w:rsid w:val="30D45137"/>
    <w:rsid w:val="30D51A41"/>
    <w:rsid w:val="30E7233C"/>
    <w:rsid w:val="30F3215C"/>
    <w:rsid w:val="30FB3BF4"/>
    <w:rsid w:val="31061593"/>
    <w:rsid w:val="31076B28"/>
    <w:rsid w:val="31076EFA"/>
    <w:rsid w:val="310866BC"/>
    <w:rsid w:val="31154DED"/>
    <w:rsid w:val="3120790D"/>
    <w:rsid w:val="31215B33"/>
    <w:rsid w:val="312A36B1"/>
    <w:rsid w:val="31337532"/>
    <w:rsid w:val="313A1C55"/>
    <w:rsid w:val="313A2CAC"/>
    <w:rsid w:val="313E6356"/>
    <w:rsid w:val="31460C29"/>
    <w:rsid w:val="314B3239"/>
    <w:rsid w:val="31596E9F"/>
    <w:rsid w:val="315B21E9"/>
    <w:rsid w:val="315B5E62"/>
    <w:rsid w:val="31604DC0"/>
    <w:rsid w:val="31607973"/>
    <w:rsid w:val="3163108E"/>
    <w:rsid w:val="3167538F"/>
    <w:rsid w:val="316A2AFE"/>
    <w:rsid w:val="317544CD"/>
    <w:rsid w:val="31765162"/>
    <w:rsid w:val="317A487D"/>
    <w:rsid w:val="317D76C8"/>
    <w:rsid w:val="31833BCE"/>
    <w:rsid w:val="318A1515"/>
    <w:rsid w:val="31944F6F"/>
    <w:rsid w:val="31963456"/>
    <w:rsid w:val="31A47F00"/>
    <w:rsid w:val="31A51052"/>
    <w:rsid w:val="31A77BCC"/>
    <w:rsid w:val="31A84B64"/>
    <w:rsid w:val="31B12D3C"/>
    <w:rsid w:val="31B2653B"/>
    <w:rsid w:val="31B266EC"/>
    <w:rsid w:val="31B45163"/>
    <w:rsid w:val="31B4700F"/>
    <w:rsid w:val="31B81D35"/>
    <w:rsid w:val="31C3729F"/>
    <w:rsid w:val="31CB617D"/>
    <w:rsid w:val="31CC0ECB"/>
    <w:rsid w:val="31DD2EC1"/>
    <w:rsid w:val="31DF1DB8"/>
    <w:rsid w:val="31E56082"/>
    <w:rsid w:val="31F020DC"/>
    <w:rsid w:val="31F072F8"/>
    <w:rsid w:val="31FE06B9"/>
    <w:rsid w:val="32007322"/>
    <w:rsid w:val="32061C7F"/>
    <w:rsid w:val="320A52D8"/>
    <w:rsid w:val="320D2005"/>
    <w:rsid w:val="32136025"/>
    <w:rsid w:val="32220D79"/>
    <w:rsid w:val="32252577"/>
    <w:rsid w:val="3228412F"/>
    <w:rsid w:val="32294648"/>
    <w:rsid w:val="322F0831"/>
    <w:rsid w:val="3238009F"/>
    <w:rsid w:val="323F5519"/>
    <w:rsid w:val="32442E52"/>
    <w:rsid w:val="32471CC6"/>
    <w:rsid w:val="324F0134"/>
    <w:rsid w:val="32540593"/>
    <w:rsid w:val="32575B7F"/>
    <w:rsid w:val="32582CC3"/>
    <w:rsid w:val="3269055E"/>
    <w:rsid w:val="326F43FE"/>
    <w:rsid w:val="327179A4"/>
    <w:rsid w:val="32775626"/>
    <w:rsid w:val="3281262C"/>
    <w:rsid w:val="32835AB1"/>
    <w:rsid w:val="328A3A5F"/>
    <w:rsid w:val="328D7371"/>
    <w:rsid w:val="328E2231"/>
    <w:rsid w:val="328F22F9"/>
    <w:rsid w:val="329326B7"/>
    <w:rsid w:val="329426A2"/>
    <w:rsid w:val="329708DE"/>
    <w:rsid w:val="32AD1211"/>
    <w:rsid w:val="32BE0045"/>
    <w:rsid w:val="32E12F9A"/>
    <w:rsid w:val="32E87F66"/>
    <w:rsid w:val="32E97C5E"/>
    <w:rsid w:val="32EC46FB"/>
    <w:rsid w:val="32F64CAC"/>
    <w:rsid w:val="32FF12B8"/>
    <w:rsid w:val="33000B4D"/>
    <w:rsid w:val="330073AA"/>
    <w:rsid w:val="33020BF1"/>
    <w:rsid w:val="330710D7"/>
    <w:rsid w:val="331264BB"/>
    <w:rsid w:val="331A102D"/>
    <w:rsid w:val="331E3887"/>
    <w:rsid w:val="33224534"/>
    <w:rsid w:val="332742E9"/>
    <w:rsid w:val="332850C4"/>
    <w:rsid w:val="332A1AC1"/>
    <w:rsid w:val="332C71E1"/>
    <w:rsid w:val="332E1BC2"/>
    <w:rsid w:val="332E224E"/>
    <w:rsid w:val="332F3B66"/>
    <w:rsid w:val="333B116B"/>
    <w:rsid w:val="333E2024"/>
    <w:rsid w:val="33427ABB"/>
    <w:rsid w:val="33501AF9"/>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35B22"/>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0F116F"/>
    <w:rsid w:val="341212B1"/>
    <w:rsid w:val="341321BE"/>
    <w:rsid w:val="34155C01"/>
    <w:rsid w:val="34293255"/>
    <w:rsid w:val="34314E1D"/>
    <w:rsid w:val="34315823"/>
    <w:rsid w:val="34346CEE"/>
    <w:rsid w:val="34374868"/>
    <w:rsid w:val="34376C25"/>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146D7"/>
    <w:rsid w:val="348440EB"/>
    <w:rsid w:val="348D33D3"/>
    <w:rsid w:val="3496737A"/>
    <w:rsid w:val="349C03F2"/>
    <w:rsid w:val="34A152D5"/>
    <w:rsid w:val="34A238C5"/>
    <w:rsid w:val="34AC0653"/>
    <w:rsid w:val="34AC2DE9"/>
    <w:rsid w:val="34B24855"/>
    <w:rsid w:val="34B3070C"/>
    <w:rsid w:val="34B55560"/>
    <w:rsid w:val="34B84D9B"/>
    <w:rsid w:val="34BE7103"/>
    <w:rsid w:val="34C82B00"/>
    <w:rsid w:val="34C9343D"/>
    <w:rsid w:val="34CC0600"/>
    <w:rsid w:val="34CE3369"/>
    <w:rsid w:val="34DC1C67"/>
    <w:rsid w:val="34E416EC"/>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4933C6"/>
    <w:rsid w:val="35505013"/>
    <w:rsid w:val="35522298"/>
    <w:rsid w:val="35531CAD"/>
    <w:rsid w:val="3559121F"/>
    <w:rsid w:val="355A18A2"/>
    <w:rsid w:val="35652ACF"/>
    <w:rsid w:val="356D51F7"/>
    <w:rsid w:val="35735BCB"/>
    <w:rsid w:val="357972DF"/>
    <w:rsid w:val="357D79D3"/>
    <w:rsid w:val="35804F9D"/>
    <w:rsid w:val="35843B49"/>
    <w:rsid w:val="35884385"/>
    <w:rsid w:val="35890016"/>
    <w:rsid w:val="358B0F26"/>
    <w:rsid w:val="35924A15"/>
    <w:rsid w:val="359753B1"/>
    <w:rsid w:val="35991DF7"/>
    <w:rsid w:val="35A251D2"/>
    <w:rsid w:val="35A25468"/>
    <w:rsid w:val="35A82DEE"/>
    <w:rsid w:val="35AC56FE"/>
    <w:rsid w:val="35C3354B"/>
    <w:rsid w:val="35C635D8"/>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23BFE"/>
    <w:rsid w:val="36057267"/>
    <w:rsid w:val="360632C2"/>
    <w:rsid w:val="362131A7"/>
    <w:rsid w:val="362E1546"/>
    <w:rsid w:val="36330CA5"/>
    <w:rsid w:val="363828C2"/>
    <w:rsid w:val="363F061B"/>
    <w:rsid w:val="364236D7"/>
    <w:rsid w:val="3645509F"/>
    <w:rsid w:val="3654563C"/>
    <w:rsid w:val="365763B3"/>
    <w:rsid w:val="366F70DE"/>
    <w:rsid w:val="367C0A7E"/>
    <w:rsid w:val="367E5840"/>
    <w:rsid w:val="36856B5A"/>
    <w:rsid w:val="36883C27"/>
    <w:rsid w:val="36950061"/>
    <w:rsid w:val="36A32443"/>
    <w:rsid w:val="36A61ADA"/>
    <w:rsid w:val="36AC504E"/>
    <w:rsid w:val="36AE7AB6"/>
    <w:rsid w:val="36B45F51"/>
    <w:rsid w:val="36B7013F"/>
    <w:rsid w:val="36D37FB9"/>
    <w:rsid w:val="36D40D9D"/>
    <w:rsid w:val="36D71D0D"/>
    <w:rsid w:val="36DC4984"/>
    <w:rsid w:val="36E17BD4"/>
    <w:rsid w:val="36E30071"/>
    <w:rsid w:val="36E31151"/>
    <w:rsid w:val="36E61D1E"/>
    <w:rsid w:val="36EF4947"/>
    <w:rsid w:val="36F76FAD"/>
    <w:rsid w:val="37060D5C"/>
    <w:rsid w:val="370F6D7D"/>
    <w:rsid w:val="3711176D"/>
    <w:rsid w:val="37113E21"/>
    <w:rsid w:val="37137BA3"/>
    <w:rsid w:val="3715441F"/>
    <w:rsid w:val="37244D17"/>
    <w:rsid w:val="373F483B"/>
    <w:rsid w:val="37451D56"/>
    <w:rsid w:val="374A1080"/>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74D9E"/>
    <w:rsid w:val="38093CF4"/>
    <w:rsid w:val="38132FDB"/>
    <w:rsid w:val="381523AC"/>
    <w:rsid w:val="3816611D"/>
    <w:rsid w:val="381A7833"/>
    <w:rsid w:val="381D6FCC"/>
    <w:rsid w:val="382276D7"/>
    <w:rsid w:val="38255502"/>
    <w:rsid w:val="382563C3"/>
    <w:rsid w:val="382B10C6"/>
    <w:rsid w:val="383D4592"/>
    <w:rsid w:val="384502C9"/>
    <w:rsid w:val="384757BF"/>
    <w:rsid w:val="38493B62"/>
    <w:rsid w:val="384A568A"/>
    <w:rsid w:val="384C2E85"/>
    <w:rsid w:val="384D7A6B"/>
    <w:rsid w:val="38527F5E"/>
    <w:rsid w:val="38576EB1"/>
    <w:rsid w:val="385B78DA"/>
    <w:rsid w:val="385E7289"/>
    <w:rsid w:val="386B3647"/>
    <w:rsid w:val="386E60E1"/>
    <w:rsid w:val="386F64C6"/>
    <w:rsid w:val="38724636"/>
    <w:rsid w:val="38755246"/>
    <w:rsid w:val="38850F2D"/>
    <w:rsid w:val="388A7003"/>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26097"/>
    <w:rsid w:val="38DC2A26"/>
    <w:rsid w:val="38DC5040"/>
    <w:rsid w:val="38EA0958"/>
    <w:rsid w:val="38EA292A"/>
    <w:rsid w:val="38EB3140"/>
    <w:rsid w:val="38F71493"/>
    <w:rsid w:val="38FC7F68"/>
    <w:rsid w:val="390150BD"/>
    <w:rsid w:val="39015BC8"/>
    <w:rsid w:val="39024400"/>
    <w:rsid w:val="390A29CF"/>
    <w:rsid w:val="390D7AA7"/>
    <w:rsid w:val="3910183F"/>
    <w:rsid w:val="39132EBE"/>
    <w:rsid w:val="39183836"/>
    <w:rsid w:val="39192D79"/>
    <w:rsid w:val="3923223F"/>
    <w:rsid w:val="39271D8A"/>
    <w:rsid w:val="392C3404"/>
    <w:rsid w:val="393D3E8F"/>
    <w:rsid w:val="393F3649"/>
    <w:rsid w:val="39434B25"/>
    <w:rsid w:val="39442CC4"/>
    <w:rsid w:val="39473C95"/>
    <w:rsid w:val="394A3B36"/>
    <w:rsid w:val="394C053B"/>
    <w:rsid w:val="394E0439"/>
    <w:rsid w:val="39532D05"/>
    <w:rsid w:val="395A1855"/>
    <w:rsid w:val="395E1405"/>
    <w:rsid w:val="3962425A"/>
    <w:rsid w:val="396E504E"/>
    <w:rsid w:val="396F7993"/>
    <w:rsid w:val="39734F7F"/>
    <w:rsid w:val="39741673"/>
    <w:rsid w:val="39764ECC"/>
    <w:rsid w:val="397F2866"/>
    <w:rsid w:val="39830655"/>
    <w:rsid w:val="39850A26"/>
    <w:rsid w:val="39875D3B"/>
    <w:rsid w:val="39893783"/>
    <w:rsid w:val="399108C7"/>
    <w:rsid w:val="399B6654"/>
    <w:rsid w:val="399C23C2"/>
    <w:rsid w:val="399E7C65"/>
    <w:rsid w:val="39A118CD"/>
    <w:rsid w:val="39A337DD"/>
    <w:rsid w:val="39B0295E"/>
    <w:rsid w:val="39B1002C"/>
    <w:rsid w:val="39B75345"/>
    <w:rsid w:val="39BA1CF7"/>
    <w:rsid w:val="39BA2065"/>
    <w:rsid w:val="39C83126"/>
    <w:rsid w:val="39CD4753"/>
    <w:rsid w:val="39D037AF"/>
    <w:rsid w:val="39D466BD"/>
    <w:rsid w:val="39D7158B"/>
    <w:rsid w:val="39D9675C"/>
    <w:rsid w:val="39DC1B39"/>
    <w:rsid w:val="39DE503F"/>
    <w:rsid w:val="39E03897"/>
    <w:rsid w:val="39E125BA"/>
    <w:rsid w:val="39EE1B0B"/>
    <w:rsid w:val="39F17FFD"/>
    <w:rsid w:val="39F24322"/>
    <w:rsid w:val="39FA1859"/>
    <w:rsid w:val="39FE1307"/>
    <w:rsid w:val="3A03384A"/>
    <w:rsid w:val="3A066160"/>
    <w:rsid w:val="3A083121"/>
    <w:rsid w:val="3A0D48B1"/>
    <w:rsid w:val="3A1810FA"/>
    <w:rsid w:val="3A1C5E08"/>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22233"/>
    <w:rsid w:val="3A936647"/>
    <w:rsid w:val="3A9E4B32"/>
    <w:rsid w:val="3A9F1B2C"/>
    <w:rsid w:val="3AA00BCD"/>
    <w:rsid w:val="3AA04C49"/>
    <w:rsid w:val="3AA54470"/>
    <w:rsid w:val="3AA913CF"/>
    <w:rsid w:val="3AB86069"/>
    <w:rsid w:val="3AC036CC"/>
    <w:rsid w:val="3AC205A6"/>
    <w:rsid w:val="3AC257A4"/>
    <w:rsid w:val="3AC334CD"/>
    <w:rsid w:val="3ACF5E01"/>
    <w:rsid w:val="3AD16134"/>
    <w:rsid w:val="3AD17EBD"/>
    <w:rsid w:val="3ADB2291"/>
    <w:rsid w:val="3ADD199D"/>
    <w:rsid w:val="3ADE382E"/>
    <w:rsid w:val="3AEA3CFC"/>
    <w:rsid w:val="3AF044A5"/>
    <w:rsid w:val="3AF153E6"/>
    <w:rsid w:val="3AFC4CC9"/>
    <w:rsid w:val="3B00301D"/>
    <w:rsid w:val="3B031629"/>
    <w:rsid w:val="3B0D3370"/>
    <w:rsid w:val="3B1752EE"/>
    <w:rsid w:val="3B1C35AC"/>
    <w:rsid w:val="3B1F0CAE"/>
    <w:rsid w:val="3B22468C"/>
    <w:rsid w:val="3B292A67"/>
    <w:rsid w:val="3B3155AA"/>
    <w:rsid w:val="3B3E0B10"/>
    <w:rsid w:val="3B4F1508"/>
    <w:rsid w:val="3B580D61"/>
    <w:rsid w:val="3B58455D"/>
    <w:rsid w:val="3B5908EC"/>
    <w:rsid w:val="3B64699C"/>
    <w:rsid w:val="3B696BF9"/>
    <w:rsid w:val="3B6F0DCA"/>
    <w:rsid w:val="3B754E06"/>
    <w:rsid w:val="3B7B2B0A"/>
    <w:rsid w:val="3B7C7B97"/>
    <w:rsid w:val="3B8372AE"/>
    <w:rsid w:val="3B914065"/>
    <w:rsid w:val="3B9A7EDD"/>
    <w:rsid w:val="3B9F483C"/>
    <w:rsid w:val="3BB249F7"/>
    <w:rsid w:val="3BBE3122"/>
    <w:rsid w:val="3BC20515"/>
    <w:rsid w:val="3BC53C74"/>
    <w:rsid w:val="3BC60370"/>
    <w:rsid w:val="3BC62C0D"/>
    <w:rsid w:val="3BC772AB"/>
    <w:rsid w:val="3BC812C8"/>
    <w:rsid w:val="3BD741DE"/>
    <w:rsid w:val="3BE7491F"/>
    <w:rsid w:val="3BE82033"/>
    <w:rsid w:val="3BEA0B7F"/>
    <w:rsid w:val="3BEF3F98"/>
    <w:rsid w:val="3BF01125"/>
    <w:rsid w:val="3BF1165C"/>
    <w:rsid w:val="3BF82655"/>
    <w:rsid w:val="3BF90B59"/>
    <w:rsid w:val="3C035D20"/>
    <w:rsid w:val="3C0C1C74"/>
    <w:rsid w:val="3C12184A"/>
    <w:rsid w:val="3C165216"/>
    <w:rsid w:val="3C1C65D8"/>
    <w:rsid w:val="3C20030B"/>
    <w:rsid w:val="3C220A63"/>
    <w:rsid w:val="3C257E8D"/>
    <w:rsid w:val="3C286FD8"/>
    <w:rsid w:val="3C2D0C4A"/>
    <w:rsid w:val="3C326DEB"/>
    <w:rsid w:val="3C393537"/>
    <w:rsid w:val="3C3C1378"/>
    <w:rsid w:val="3C497D33"/>
    <w:rsid w:val="3C5A342C"/>
    <w:rsid w:val="3C5C0867"/>
    <w:rsid w:val="3C5E33A6"/>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E83CD2"/>
    <w:rsid w:val="3CFD4D35"/>
    <w:rsid w:val="3D064D69"/>
    <w:rsid w:val="3D0E3667"/>
    <w:rsid w:val="3D0E399D"/>
    <w:rsid w:val="3D123F8D"/>
    <w:rsid w:val="3D12721E"/>
    <w:rsid w:val="3D1B45BC"/>
    <w:rsid w:val="3D27093B"/>
    <w:rsid w:val="3D351ADA"/>
    <w:rsid w:val="3D3D6CB6"/>
    <w:rsid w:val="3D444248"/>
    <w:rsid w:val="3D4B2FA5"/>
    <w:rsid w:val="3D4C7BDB"/>
    <w:rsid w:val="3D527DA5"/>
    <w:rsid w:val="3D546058"/>
    <w:rsid w:val="3D5461A9"/>
    <w:rsid w:val="3D58650A"/>
    <w:rsid w:val="3D590765"/>
    <w:rsid w:val="3D5A6060"/>
    <w:rsid w:val="3D640E16"/>
    <w:rsid w:val="3D67132F"/>
    <w:rsid w:val="3D76421C"/>
    <w:rsid w:val="3D7B0D27"/>
    <w:rsid w:val="3D7E27A0"/>
    <w:rsid w:val="3D874F51"/>
    <w:rsid w:val="3D896CEB"/>
    <w:rsid w:val="3D9A2D6C"/>
    <w:rsid w:val="3D9D0681"/>
    <w:rsid w:val="3DA2325F"/>
    <w:rsid w:val="3DAF1596"/>
    <w:rsid w:val="3DB52668"/>
    <w:rsid w:val="3DB63F51"/>
    <w:rsid w:val="3DC60A0C"/>
    <w:rsid w:val="3DD3077A"/>
    <w:rsid w:val="3DDF7A0D"/>
    <w:rsid w:val="3DF176B5"/>
    <w:rsid w:val="3DFD4BBE"/>
    <w:rsid w:val="3E00097B"/>
    <w:rsid w:val="3E011326"/>
    <w:rsid w:val="3E024B7B"/>
    <w:rsid w:val="3E104548"/>
    <w:rsid w:val="3E19435F"/>
    <w:rsid w:val="3E1B47C8"/>
    <w:rsid w:val="3E20393D"/>
    <w:rsid w:val="3E205773"/>
    <w:rsid w:val="3E264105"/>
    <w:rsid w:val="3E264903"/>
    <w:rsid w:val="3E2806A1"/>
    <w:rsid w:val="3E286D72"/>
    <w:rsid w:val="3E2E35CB"/>
    <w:rsid w:val="3E2F087F"/>
    <w:rsid w:val="3E31025E"/>
    <w:rsid w:val="3E342DA3"/>
    <w:rsid w:val="3E471ABE"/>
    <w:rsid w:val="3E4755F9"/>
    <w:rsid w:val="3E492A39"/>
    <w:rsid w:val="3E4B1409"/>
    <w:rsid w:val="3E556354"/>
    <w:rsid w:val="3E6336EF"/>
    <w:rsid w:val="3E660D1B"/>
    <w:rsid w:val="3E6E2E9E"/>
    <w:rsid w:val="3E8222F7"/>
    <w:rsid w:val="3E8258B1"/>
    <w:rsid w:val="3E8821CE"/>
    <w:rsid w:val="3E92738B"/>
    <w:rsid w:val="3E944E87"/>
    <w:rsid w:val="3E99456A"/>
    <w:rsid w:val="3EA0570F"/>
    <w:rsid w:val="3EA2409C"/>
    <w:rsid w:val="3EA758E3"/>
    <w:rsid w:val="3EAD3D57"/>
    <w:rsid w:val="3EAF02B7"/>
    <w:rsid w:val="3EB1188E"/>
    <w:rsid w:val="3EB428B4"/>
    <w:rsid w:val="3EBD63D7"/>
    <w:rsid w:val="3EC07733"/>
    <w:rsid w:val="3EC172CA"/>
    <w:rsid w:val="3EC334A7"/>
    <w:rsid w:val="3EC678BC"/>
    <w:rsid w:val="3ECC70B0"/>
    <w:rsid w:val="3ED01824"/>
    <w:rsid w:val="3EE067CA"/>
    <w:rsid w:val="3EE919E0"/>
    <w:rsid w:val="3EEF26AB"/>
    <w:rsid w:val="3EF21C38"/>
    <w:rsid w:val="3EF57D05"/>
    <w:rsid w:val="3EF96B38"/>
    <w:rsid w:val="3F002CCF"/>
    <w:rsid w:val="3F012022"/>
    <w:rsid w:val="3F0566FF"/>
    <w:rsid w:val="3F0605BE"/>
    <w:rsid w:val="3F06365D"/>
    <w:rsid w:val="3F0A3CA5"/>
    <w:rsid w:val="3F0B1DB8"/>
    <w:rsid w:val="3F0C44E7"/>
    <w:rsid w:val="3F0E6EA3"/>
    <w:rsid w:val="3F122278"/>
    <w:rsid w:val="3F155D82"/>
    <w:rsid w:val="3F1B7922"/>
    <w:rsid w:val="3F261DEC"/>
    <w:rsid w:val="3F305E06"/>
    <w:rsid w:val="3F3737F8"/>
    <w:rsid w:val="3F453E8A"/>
    <w:rsid w:val="3F47737F"/>
    <w:rsid w:val="3F523976"/>
    <w:rsid w:val="3F52626A"/>
    <w:rsid w:val="3F5322DF"/>
    <w:rsid w:val="3F556A35"/>
    <w:rsid w:val="3F5867B3"/>
    <w:rsid w:val="3F595294"/>
    <w:rsid w:val="3F5A301C"/>
    <w:rsid w:val="3F637202"/>
    <w:rsid w:val="3F65418C"/>
    <w:rsid w:val="3F664F14"/>
    <w:rsid w:val="3F6763B0"/>
    <w:rsid w:val="3F6D1D36"/>
    <w:rsid w:val="3F6D2017"/>
    <w:rsid w:val="3F7339EB"/>
    <w:rsid w:val="3F770167"/>
    <w:rsid w:val="3F7D65D1"/>
    <w:rsid w:val="3F8157CB"/>
    <w:rsid w:val="3F836296"/>
    <w:rsid w:val="3F9526FD"/>
    <w:rsid w:val="3F960218"/>
    <w:rsid w:val="3F9956BA"/>
    <w:rsid w:val="3F9B508E"/>
    <w:rsid w:val="3FA01128"/>
    <w:rsid w:val="3FA10F73"/>
    <w:rsid w:val="3FA51002"/>
    <w:rsid w:val="3FA5548C"/>
    <w:rsid w:val="3FAE5C18"/>
    <w:rsid w:val="3FB1448E"/>
    <w:rsid w:val="3FB33F0F"/>
    <w:rsid w:val="3FB56B87"/>
    <w:rsid w:val="3FB827B0"/>
    <w:rsid w:val="3FB9798A"/>
    <w:rsid w:val="3FBB4D64"/>
    <w:rsid w:val="3FBC4DF5"/>
    <w:rsid w:val="3FBE226E"/>
    <w:rsid w:val="3FC74EA5"/>
    <w:rsid w:val="3FC80A13"/>
    <w:rsid w:val="3FC924C5"/>
    <w:rsid w:val="3FD001E0"/>
    <w:rsid w:val="3FD35125"/>
    <w:rsid w:val="3FD436D8"/>
    <w:rsid w:val="3FDD5AA3"/>
    <w:rsid w:val="3FDD60EB"/>
    <w:rsid w:val="3FE1611D"/>
    <w:rsid w:val="3FE9762E"/>
    <w:rsid w:val="3FEB7EF7"/>
    <w:rsid w:val="3FF0534A"/>
    <w:rsid w:val="3FF07D9D"/>
    <w:rsid w:val="3FFC6AA1"/>
    <w:rsid w:val="3FFE725C"/>
    <w:rsid w:val="400D4689"/>
    <w:rsid w:val="40171E63"/>
    <w:rsid w:val="401B305E"/>
    <w:rsid w:val="401C023A"/>
    <w:rsid w:val="401E624D"/>
    <w:rsid w:val="403C6E09"/>
    <w:rsid w:val="403E0A98"/>
    <w:rsid w:val="4040700B"/>
    <w:rsid w:val="4049653A"/>
    <w:rsid w:val="40505926"/>
    <w:rsid w:val="405074F9"/>
    <w:rsid w:val="40592E1A"/>
    <w:rsid w:val="40742B10"/>
    <w:rsid w:val="40807B7F"/>
    <w:rsid w:val="40851F94"/>
    <w:rsid w:val="40860806"/>
    <w:rsid w:val="408727EE"/>
    <w:rsid w:val="40881B05"/>
    <w:rsid w:val="408B015C"/>
    <w:rsid w:val="408D2092"/>
    <w:rsid w:val="40987E91"/>
    <w:rsid w:val="40A456BD"/>
    <w:rsid w:val="40AE535D"/>
    <w:rsid w:val="40B323C5"/>
    <w:rsid w:val="40B40F93"/>
    <w:rsid w:val="40B4759E"/>
    <w:rsid w:val="40B77C21"/>
    <w:rsid w:val="40BB1B3B"/>
    <w:rsid w:val="40BE2CAE"/>
    <w:rsid w:val="40C87F0D"/>
    <w:rsid w:val="40CE6434"/>
    <w:rsid w:val="40E13187"/>
    <w:rsid w:val="40E4111E"/>
    <w:rsid w:val="40F110C9"/>
    <w:rsid w:val="40F71EFC"/>
    <w:rsid w:val="40FA7D3C"/>
    <w:rsid w:val="40FC6040"/>
    <w:rsid w:val="41013098"/>
    <w:rsid w:val="41046C1A"/>
    <w:rsid w:val="410A66D3"/>
    <w:rsid w:val="411252F5"/>
    <w:rsid w:val="4114428E"/>
    <w:rsid w:val="41173D23"/>
    <w:rsid w:val="41216561"/>
    <w:rsid w:val="4126157E"/>
    <w:rsid w:val="412E1703"/>
    <w:rsid w:val="41341D04"/>
    <w:rsid w:val="413D1085"/>
    <w:rsid w:val="41463814"/>
    <w:rsid w:val="414934AE"/>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7534C"/>
    <w:rsid w:val="41AE168E"/>
    <w:rsid w:val="41B000EA"/>
    <w:rsid w:val="41B625DB"/>
    <w:rsid w:val="41B75B9A"/>
    <w:rsid w:val="41BB28C5"/>
    <w:rsid w:val="41C505B5"/>
    <w:rsid w:val="41C64DF5"/>
    <w:rsid w:val="41D7643D"/>
    <w:rsid w:val="41D80DF6"/>
    <w:rsid w:val="41F41099"/>
    <w:rsid w:val="41F4144D"/>
    <w:rsid w:val="41F425A0"/>
    <w:rsid w:val="41FD1E4D"/>
    <w:rsid w:val="42004A07"/>
    <w:rsid w:val="42036CED"/>
    <w:rsid w:val="420445BE"/>
    <w:rsid w:val="42044B55"/>
    <w:rsid w:val="4210342F"/>
    <w:rsid w:val="42106699"/>
    <w:rsid w:val="4213466A"/>
    <w:rsid w:val="421D3532"/>
    <w:rsid w:val="422747DE"/>
    <w:rsid w:val="423D7E2C"/>
    <w:rsid w:val="42405192"/>
    <w:rsid w:val="4253494B"/>
    <w:rsid w:val="42563DD4"/>
    <w:rsid w:val="425F0874"/>
    <w:rsid w:val="42605991"/>
    <w:rsid w:val="42624CEC"/>
    <w:rsid w:val="42667AD5"/>
    <w:rsid w:val="42672F11"/>
    <w:rsid w:val="426B2083"/>
    <w:rsid w:val="42745271"/>
    <w:rsid w:val="42746AFF"/>
    <w:rsid w:val="427A2426"/>
    <w:rsid w:val="428622E0"/>
    <w:rsid w:val="428740C5"/>
    <w:rsid w:val="4295023B"/>
    <w:rsid w:val="42A72E3E"/>
    <w:rsid w:val="42A9771E"/>
    <w:rsid w:val="42AB3CF1"/>
    <w:rsid w:val="42AF06BF"/>
    <w:rsid w:val="42AF0D80"/>
    <w:rsid w:val="42AF744D"/>
    <w:rsid w:val="42B57D24"/>
    <w:rsid w:val="42B97DE2"/>
    <w:rsid w:val="42BE1411"/>
    <w:rsid w:val="42BF0482"/>
    <w:rsid w:val="42C3638C"/>
    <w:rsid w:val="42C53EF7"/>
    <w:rsid w:val="42C8399F"/>
    <w:rsid w:val="42CC1C77"/>
    <w:rsid w:val="42CE7CBC"/>
    <w:rsid w:val="42E67A2D"/>
    <w:rsid w:val="42EF6EDD"/>
    <w:rsid w:val="42F63370"/>
    <w:rsid w:val="42FF7166"/>
    <w:rsid w:val="4303189E"/>
    <w:rsid w:val="43043B4B"/>
    <w:rsid w:val="430C0701"/>
    <w:rsid w:val="431D662D"/>
    <w:rsid w:val="431D7413"/>
    <w:rsid w:val="43230977"/>
    <w:rsid w:val="43260906"/>
    <w:rsid w:val="4329778C"/>
    <w:rsid w:val="432A433E"/>
    <w:rsid w:val="432F48E4"/>
    <w:rsid w:val="433451E7"/>
    <w:rsid w:val="433454E3"/>
    <w:rsid w:val="43380FA2"/>
    <w:rsid w:val="433824BE"/>
    <w:rsid w:val="433914CB"/>
    <w:rsid w:val="433B21AA"/>
    <w:rsid w:val="434030C7"/>
    <w:rsid w:val="43413F90"/>
    <w:rsid w:val="434321EE"/>
    <w:rsid w:val="434C3803"/>
    <w:rsid w:val="4357411B"/>
    <w:rsid w:val="43624524"/>
    <w:rsid w:val="436B215F"/>
    <w:rsid w:val="436E4602"/>
    <w:rsid w:val="43773B38"/>
    <w:rsid w:val="437C303F"/>
    <w:rsid w:val="437E59F4"/>
    <w:rsid w:val="437F0235"/>
    <w:rsid w:val="438108B1"/>
    <w:rsid w:val="438127FD"/>
    <w:rsid w:val="438C318F"/>
    <w:rsid w:val="438D2962"/>
    <w:rsid w:val="439125BA"/>
    <w:rsid w:val="439B6E00"/>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67648"/>
    <w:rsid w:val="43FA20D7"/>
    <w:rsid w:val="440433D0"/>
    <w:rsid w:val="44081998"/>
    <w:rsid w:val="440A1D09"/>
    <w:rsid w:val="44105FE6"/>
    <w:rsid w:val="44163757"/>
    <w:rsid w:val="442C57B9"/>
    <w:rsid w:val="442E6250"/>
    <w:rsid w:val="44304862"/>
    <w:rsid w:val="44336B29"/>
    <w:rsid w:val="44411D78"/>
    <w:rsid w:val="444255C8"/>
    <w:rsid w:val="44555450"/>
    <w:rsid w:val="44565401"/>
    <w:rsid w:val="445C184B"/>
    <w:rsid w:val="445C1F8C"/>
    <w:rsid w:val="445C2CEB"/>
    <w:rsid w:val="44623D2C"/>
    <w:rsid w:val="4469425C"/>
    <w:rsid w:val="446A38D3"/>
    <w:rsid w:val="446C5925"/>
    <w:rsid w:val="44715BA6"/>
    <w:rsid w:val="44744DE1"/>
    <w:rsid w:val="4480267E"/>
    <w:rsid w:val="44813BCD"/>
    <w:rsid w:val="44825908"/>
    <w:rsid w:val="448F333F"/>
    <w:rsid w:val="449A5595"/>
    <w:rsid w:val="44A273D7"/>
    <w:rsid w:val="44A3165A"/>
    <w:rsid w:val="44A472F3"/>
    <w:rsid w:val="44A949BB"/>
    <w:rsid w:val="44B47D28"/>
    <w:rsid w:val="44BE6AFA"/>
    <w:rsid w:val="44BE7B38"/>
    <w:rsid w:val="44C10C52"/>
    <w:rsid w:val="44C4343F"/>
    <w:rsid w:val="44CC5637"/>
    <w:rsid w:val="44CE1860"/>
    <w:rsid w:val="44D01EAB"/>
    <w:rsid w:val="44D61276"/>
    <w:rsid w:val="44D842C0"/>
    <w:rsid w:val="44F05372"/>
    <w:rsid w:val="44F550F4"/>
    <w:rsid w:val="44FB2020"/>
    <w:rsid w:val="450005C9"/>
    <w:rsid w:val="45076069"/>
    <w:rsid w:val="450E225C"/>
    <w:rsid w:val="450E5F3E"/>
    <w:rsid w:val="45156B4C"/>
    <w:rsid w:val="451C3C3F"/>
    <w:rsid w:val="45202195"/>
    <w:rsid w:val="45206477"/>
    <w:rsid w:val="45282E33"/>
    <w:rsid w:val="45343151"/>
    <w:rsid w:val="45361C96"/>
    <w:rsid w:val="45367180"/>
    <w:rsid w:val="453936A0"/>
    <w:rsid w:val="45404081"/>
    <w:rsid w:val="454174EC"/>
    <w:rsid w:val="454B27CA"/>
    <w:rsid w:val="4555071F"/>
    <w:rsid w:val="455B027F"/>
    <w:rsid w:val="45634F36"/>
    <w:rsid w:val="45642839"/>
    <w:rsid w:val="456433C3"/>
    <w:rsid w:val="4566286A"/>
    <w:rsid w:val="456653F0"/>
    <w:rsid w:val="456745BB"/>
    <w:rsid w:val="45677DA7"/>
    <w:rsid w:val="45736E48"/>
    <w:rsid w:val="45743F66"/>
    <w:rsid w:val="45761FD8"/>
    <w:rsid w:val="457B0C49"/>
    <w:rsid w:val="45825E81"/>
    <w:rsid w:val="45864B77"/>
    <w:rsid w:val="458A06CD"/>
    <w:rsid w:val="458D3A63"/>
    <w:rsid w:val="4597177B"/>
    <w:rsid w:val="45A85821"/>
    <w:rsid w:val="45AA0EA4"/>
    <w:rsid w:val="45AC57A6"/>
    <w:rsid w:val="45AF03CF"/>
    <w:rsid w:val="45B23BD8"/>
    <w:rsid w:val="45B31674"/>
    <w:rsid w:val="45B52BBB"/>
    <w:rsid w:val="45C3178B"/>
    <w:rsid w:val="45C56C6C"/>
    <w:rsid w:val="45C67344"/>
    <w:rsid w:val="45C81474"/>
    <w:rsid w:val="45C85D55"/>
    <w:rsid w:val="45C91BC6"/>
    <w:rsid w:val="45CD1312"/>
    <w:rsid w:val="45CE3F02"/>
    <w:rsid w:val="45D15325"/>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35D1"/>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AF4C2E"/>
    <w:rsid w:val="46BC2272"/>
    <w:rsid w:val="46C45DEE"/>
    <w:rsid w:val="46D62B88"/>
    <w:rsid w:val="46D929E4"/>
    <w:rsid w:val="46DA3CDF"/>
    <w:rsid w:val="46DD3A97"/>
    <w:rsid w:val="46E122D5"/>
    <w:rsid w:val="46E51519"/>
    <w:rsid w:val="46E72217"/>
    <w:rsid w:val="46EB56D0"/>
    <w:rsid w:val="46EF6BE5"/>
    <w:rsid w:val="46F94629"/>
    <w:rsid w:val="46FE33A2"/>
    <w:rsid w:val="47001C0D"/>
    <w:rsid w:val="4700310A"/>
    <w:rsid w:val="47034B98"/>
    <w:rsid w:val="47067487"/>
    <w:rsid w:val="470675DD"/>
    <w:rsid w:val="47102BE0"/>
    <w:rsid w:val="47115999"/>
    <w:rsid w:val="47123D8D"/>
    <w:rsid w:val="471651A2"/>
    <w:rsid w:val="47195C33"/>
    <w:rsid w:val="47200180"/>
    <w:rsid w:val="472322A2"/>
    <w:rsid w:val="472E14A0"/>
    <w:rsid w:val="472F2F47"/>
    <w:rsid w:val="47304A60"/>
    <w:rsid w:val="47321070"/>
    <w:rsid w:val="47383706"/>
    <w:rsid w:val="473F3443"/>
    <w:rsid w:val="47442FEA"/>
    <w:rsid w:val="47476898"/>
    <w:rsid w:val="474825BA"/>
    <w:rsid w:val="474D1ED5"/>
    <w:rsid w:val="47524966"/>
    <w:rsid w:val="475E1AB6"/>
    <w:rsid w:val="4764753D"/>
    <w:rsid w:val="47663624"/>
    <w:rsid w:val="4779594B"/>
    <w:rsid w:val="477E3FE9"/>
    <w:rsid w:val="47861281"/>
    <w:rsid w:val="478E58BD"/>
    <w:rsid w:val="478E7E15"/>
    <w:rsid w:val="47933AFC"/>
    <w:rsid w:val="47946581"/>
    <w:rsid w:val="47997ECC"/>
    <w:rsid w:val="479C04C3"/>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A49CF"/>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010C7"/>
    <w:rsid w:val="48B2080D"/>
    <w:rsid w:val="48B5518F"/>
    <w:rsid w:val="48BA7016"/>
    <w:rsid w:val="48BE6136"/>
    <w:rsid w:val="48C17060"/>
    <w:rsid w:val="48D22DB3"/>
    <w:rsid w:val="48D93445"/>
    <w:rsid w:val="48D9627C"/>
    <w:rsid w:val="48DA1D9C"/>
    <w:rsid w:val="48DC218D"/>
    <w:rsid w:val="48DF3D7D"/>
    <w:rsid w:val="48DF3DBB"/>
    <w:rsid w:val="48E4725A"/>
    <w:rsid w:val="48E90615"/>
    <w:rsid w:val="48E915DE"/>
    <w:rsid w:val="48EB611E"/>
    <w:rsid w:val="48F7177C"/>
    <w:rsid w:val="48F9720D"/>
    <w:rsid w:val="490008E6"/>
    <w:rsid w:val="490425AB"/>
    <w:rsid w:val="49047124"/>
    <w:rsid w:val="49076238"/>
    <w:rsid w:val="49104838"/>
    <w:rsid w:val="49200C47"/>
    <w:rsid w:val="49250443"/>
    <w:rsid w:val="49267368"/>
    <w:rsid w:val="49276313"/>
    <w:rsid w:val="492F1B04"/>
    <w:rsid w:val="492F25A6"/>
    <w:rsid w:val="4930158D"/>
    <w:rsid w:val="493166F2"/>
    <w:rsid w:val="493E2578"/>
    <w:rsid w:val="4941564C"/>
    <w:rsid w:val="4943084D"/>
    <w:rsid w:val="495B2F5A"/>
    <w:rsid w:val="49660B64"/>
    <w:rsid w:val="496E056A"/>
    <w:rsid w:val="497930F9"/>
    <w:rsid w:val="497E5F0E"/>
    <w:rsid w:val="49863345"/>
    <w:rsid w:val="49895BF9"/>
    <w:rsid w:val="49896889"/>
    <w:rsid w:val="498B006E"/>
    <w:rsid w:val="498F2FB2"/>
    <w:rsid w:val="499C126E"/>
    <w:rsid w:val="49A20032"/>
    <w:rsid w:val="49A82756"/>
    <w:rsid w:val="49A86BF4"/>
    <w:rsid w:val="49A902DE"/>
    <w:rsid w:val="49A961CD"/>
    <w:rsid w:val="49B31A93"/>
    <w:rsid w:val="49B337E8"/>
    <w:rsid w:val="49B57903"/>
    <w:rsid w:val="49BB0B72"/>
    <w:rsid w:val="49BD536F"/>
    <w:rsid w:val="49CD3C98"/>
    <w:rsid w:val="49D903D2"/>
    <w:rsid w:val="49E27CCF"/>
    <w:rsid w:val="49F44446"/>
    <w:rsid w:val="49F543E3"/>
    <w:rsid w:val="49FA00AE"/>
    <w:rsid w:val="4A03365C"/>
    <w:rsid w:val="4A037F7B"/>
    <w:rsid w:val="4A0C3345"/>
    <w:rsid w:val="4A12511A"/>
    <w:rsid w:val="4A1C6B3C"/>
    <w:rsid w:val="4A272B59"/>
    <w:rsid w:val="4A2A339F"/>
    <w:rsid w:val="4A2A4742"/>
    <w:rsid w:val="4A3849A0"/>
    <w:rsid w:val="4A3B0ADD"/>
    <w:rsid w:val="4A3D1213"/>
    <w:rsid w:val="4A405618"/>
    <w:rsid w:val="4A42752E"/>
    <w:rsid w:val="4A463FDD"/>
    <w:rsid w:val="4A4D2C8C"/>
    <w:rsid w:val="4A4D6FE1"/>
    <w:rsid w:val="4A4F464E"/>
    <w:rsid w:val="4A500FF5"/>
    <w:rsid w:val="4A51053D"/>
    <w:rsid w:val="4A541B9F"/>
    <w:rsid w:val="4A565C2E"/>
    <w:rsid w:val="4A5B2412"/>
    <w:rsid w:val="4A603371"/>
    <w:rsid w:val="4A665A8F"/>
    <w:rsid w:val="4A6B6C00"/>
    <w:rsid w:val="4A7A1A7F"/>
    <w:rsid w:val="4A7B1C95"/>
    <w:rsid w:val="4A7C6D92"/>
    <w:rsid w:val="4A80680F"/>
    <w:rsid w:val="4A8141FB"/>
    <w:rsid w:val="4A8758F1"/>
    <w:rsid w:val="4A8B2BFF"/>
    <w:rsid w:val="4A8B46F9"/>
    <w:rsid w:val="4A8C3D45"/>
    <w:rsid w:val="4A923316"/>
    <w:rsid w:val="4A996D58"/>
    <w:rsid w:val="4A9D364F"/>
    <w:rsid w:val="4AA637CE"/>
    <w:rsid w:val="4AAA2363"/>
    <w:rsid w:val="4AAC0232"/>
    <w:rsid w:val="4AB420A2"/>
    <w:rsid w:val="4AB42562"/>
    <w:rsid w:val="4AB971E8"/>
    <w:rsid w:val="4ABC4127"/>
    <w:rsid w:val="4ABE3518"/>
    <w:rsid w:val="4AC14B57"/>
    <w:rsid w:val="4AC462B3"/>
    <w:rsid w:val="4AC908CA"/>
    <w:rsid w:val="4AC95E08"/>
    <w:rsid w:val="4ACC60F1"/>
    <w:rsid w:val="4ACE3D63"/>
    <w:rsid w:val="4AD13FBF"/>
    <w:rsid w:val="4AD37FB6"/>
    <w:rsid w:val="4AED546D"/>
    <w:rsid w:val="4AF15169"/>
    <w:rsid w:val="4AF33411"/>
    <w:rsid w:val="4AFC4739"/>
    <w:rsid w:val="4AFF7966"/>
    <w:rsid w:val="4B08211A"/>
    <w:rsid w:val="4B0F4D9F"/>
    <w:rsid w:val="4B0F7B33"/>
    <w:rsid w:val="4B154062"/>
    <w:rsid w:val="4B1C2009"/>
    <w:rsid w:val="4B2B654D"/>
    <w:rsid w:val="4B2D2A9B"/>
    <w:rsid w:val="4B313BE7"/>
    <w:rsid w:val="4B331125"/>
    <w:rsid w:val="4B3405F9"/>
    <w:rsid w:val="4B3B6A66"/>
    <w:rsid w:val="4B3F276A"/>
    <w:rsid w:val="4B425A4D"/>
    <w:rsid w:val="4B473804"/>
    <w:rsid w:val="4B5151AA"/>
    <w:rsid w:val="4B537CBF"/>
    <w:rsid w:val="4B545E28"/>
    <w:rsid w:val="4B550153"/>
    <w:rsid w:val="4B625E90"/>
    <w:rsid w:val="4B641191"/>
    <w:rsid w:val="4B694B3A"/>
    <w:rsid w:val="4B730932"/>
    <w:rsid w:val="4B76529F"/>
    <w:rsid w:val="4B797876"/>
    <w:rsid w:val="4B7A237E"/>
    <w:rsid w:val="4B815FB3"/>
    <w:rsid w:val="4B86443F"/>
    <w:rsid w:val="4B9A0C4D"/>
    <w:rsid w:val="4B9B3B70"/>
    <w:rsid w:val="4B9E74F5"/>
    <w:rsid w:val="4B9E7936"/>
    <w:rsid w:val="4BA62ACE"/>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449FC"/>
    <w:rsid w:val="4C380D78"/>
    <w:rsid w:val="4C3D0756"/>
    <w:rsid w:val="4C3D5FB7"/>
    <w:rsid w:val="4C463137"/>
    <w:rsid w:val="4C4C1686"/>
    <w:rsid w:val="4C513E4B"/>
    <w:rsid w:val="4C542E8F"/>
    <w:rsid w:val="4C603F1D"/>
    <w:rsid w:val="4C6211EA"/>
    <w:rsid w:val="4C635D18"/>
    <w:rsid w:val="4C670EB1"/>
    <w:rsid w:val="4C712086"/>
    <w:rsid w:val="4C7120EC"/>
    <w:rsid w:val="4C7B3D80"/>
    <w:rsid w:val="4C7C605E"/>
    <w:rsid w:val="4C7E2355"/>
    <w:rsid w:val="4C847264"/>
    <w:rsid w:val="4C922A6A"/>
    <w:rsid w:val="4C970E7B"/>
    <w:rsid w:val="4CA371A5"/>
    <w:rsid w:val="4CC1054F"/>
    <w:rsid w:val="4CCB1948"/>
    <w:rsid w:val="4CCE079D"/>
    <w:rsid w:val="4CCE3699"/>
    <w:rsid w:val="4CEA4F4D"/>
    <w:rsid w:val="4CEC58DB"/>
    <w:rsid w:val="4CED4981"/>
    <w:rsid w:val="4CEF637A"/>
    <w:rsid w:val="4CF00FB6"/>
    <w:rsid w:val="4CF16277"/>
    <w:rsid w:val="4CF4672D"/>
    <w:rsid w:val="4CFA2AAF"/>
    <w:rsid w:val="4CFE26B6"/>
    <w:rsid w:val="4D0325CF"/>
    <w:rsid w:val="4D035A68"/>
    <w:rsid w:val="4D0F26CE"/>
    <w:rsid w:val="4D147026"/>
    <w:rsid w:val="4D1478EC"/>
    <w:rsid w:val="4D165C91"/>
    <w:rsid w:val="4D225412"/>
    <w:rsid w:val="4D235945"/>
    <w:rsid w:val="4D255F0E"/>
    <w:rsid w:val="4D2B263E"/>
    <w:rsid w:val="4D2D15D1"/>
    <w:rsid w:val="4D2F06BA"/>
    <w:rsid w:val="4D304130"/>
    <w:rsid w:val="4D386B0D"/>
    <w:rsid w:val="4D3B3869"/>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1D303B"/>
    <w:rsid w:val="4E2B3781"/>
    <w:rsid w:val="4E2B74D5"/>
    <w:rsid w:val="4E304710"/>
    <w:rsid w:val="4E337E4B"/>
    <w:rsid w:val="4E365771"/>
    <w:rsid w:val="4E3C3064"/>
    <w:rsid w:val="4E3C5DC0"/>
    <w:rsid w:val="4E446F8B"/>
    <w:rsid w:val="4E4D4DE2"/>
    <w:rsid w:val="4E5669BF"/>
    <w:rsid w:val="4E651EA6"/>
    <w:rsid w:val="4E6757B0"/>
    <w:rsid w:val="4E6C4048"/>
    <w:rsid w:val="4E783D17"/>
    <w:rsid w:val="4E7F2A80"/>
    <w:rsid w:val="4E805C19"/>
    <w:rsid w:val="4E836C4E"/>
    <w:rsid w:val="4E865BCD"/>
    <w:rsid w:val="4E8A6771"/>
    <w:rsid w:val="4E957162"/>
    <w:rsid w:val="4E9E60B6"/>
    <w:rsid w:val="4EA27ACB"/>
    <w:rsid w:val="4EA449D7"/>
    <w:rsid w:val="4EA60E85"/>
    <w:rsid w:val="4EA753EE"/>
    <w:rsid w:val="4EAE3E03"/>
    <w:rsid w:val="4EB379F2"/>
    <w:rsid w:val="4EB838E0"/>
    <w:rsid w:val="4EBC3167"/>
    <w:rsid w:val="4EBC6632"/>
    <w:rsid w:val="4EBD4562"/>
    <w:rsid w:val="4EBD5620"/>
    <w:rsid w:val="4EBE0F4C"/>
    <w:rsid w:val="4EC258F4"/>
    <w:rsid w:val="4EC866B8"/>
    <w:rsid w:val="4ECD0F14"/>
    <w:rsid w:val="4ED017E4"/>
    <w:rsid w:val="4ED03B4F"/>
    <w:rsid w:val="4ED43AE8"/>
    <w:rsid w:val="4EDC1716"/>
    <w:rsid w:val="4EDF6F4B"/>
    <w:rsid w:val="4EE24F10"/>
    <w:rsid w:val="4EE77077"/>
    <w:rsid w:val="4EE8461F"/>
    <w:rsid w:val="4F0206C2"/>
    <w:rsid w:val="4F06414B"/>
    <w:rsid w:val="4F19542F"/>
    <w:rsid w:val="4F1A4FD6"/>
    <w:rsid w:val="4F1C2B4C"/>
    <w:rsid w:val="4F1E1A5A"/>
    <w:rsid w:val="4F2D5479"/>
    <w:rsid w:val="4F2E4FDB"/>
    <w:rsid w:val="4F3127D8"/>
    <w:rsid w:val="4F353521"/>
    <w:rsid w:val="4F3B798B"/>
    <w:rsid w:val="4F424396"/>
    <w:rsid w:val="4F461737"/>
    <w:rsid w:val="4F4937A7"/>
    <w:rsid w:val="4F4A044C"/>
    <w:rsid w:val="4F501AA5"/>
    <w:rsid w:val="4F507138"/>
    <w:rsid w:val="4F5431F2"/>
    <w:rsid w:val="4F594949"/>
    <w:rsid w:val="4F5A315B"/>
    <w:rsid w:val="4F664358"/>
    <w:rsid w:val="4F664D4A"/>
    <w:rsid w:val="4F701C5E"/>
    <w:rsid w:val="4F7041A7"/>
    <w:rsid w:val="4F7349ED"/>
    <w:rsid w:val="4F7C7D62"/>
    <w:rsid w:val="4F8366CD"/>
    <w:rsid w:val="4F88390E"/>
    <w:rsid w:val="4F8865D2"/>
    <w:rsid w:val="4F9102E3"/>
    <w:rsid w:val="4F9A400D"/>
    <w:rsid w:val="4FA11827"/>
    <w:rsid w:val="4FA43120"/>
    <w:rsid w:val="4FA57761"/>
    <w:rsid w:val="4FA82F77"/>
    <w:rsid w:val="4FAB07C1"/>
    <w:rsid w:val="4FC12B67"/>
    <w:rsid w:val="4FC87D84"/>
    <w:rsid w:val="4FD33643"/>
    <w:rsid w:val="4FD409F7"/>
    <w:rsid w:val="4FD41054"/>
    <w:rsid w:val="4FD66F8D"/>
    <w:rsid w:val="4FDB5605"/>
    <w:rsid w:val="4FDF7D08"/>
    <w:rsid w:val="4FE45662"/>
    <w:rsid w:val="4FE66728"/>
    <w:rsid w:val="4FE74DC2"/>
    <w:rsid w:val="4FF81090"/>
    <w:rsid w:val="4FFA1BE3"/>
    <w:rsid w:val="4FFF560B"/>
    <w:rsid w:val="50001B8C"/>
    <w:rsid w:val="50033BDE"/>
    <w:rsid w:val="50036BC4"/>
    <w:rsid w:val="500B0DCA"/>
    <w:rsid w:val="500C2A95"/>
    <w:rsid w:val="50133F8A"/>
    <w:rsid w:val="50140C07"/>
    <w:rsid w:val="50176E6F"/>
    <w:rsid w:val="50200664"/>
    <w:rsid w:val="502151EE"/>
    <w:rsid w:val="5022333C"/>
    <w:rsid w:val="50312196"/>
    <w:rsid w:val="503C506C"/>
    <w:rsid w:val="50417E32"/>
    <w:rsid w:val="5042052F"/>
    <w:rsid w:val="504768E3"/>
    <w:rsid w:val="504F0FB9"/>
    <w:rsid w:val="504F769B"/>
    <w:rsid w:val="50537FDD"/>
    <w:rsid w:val="50622728"/>
    <w:rsid w:val="507554C6"/>
    <w:rsid w:val="507D0063"/>
    <w:rsid w:val="50803340"/>
    <w:rsid w:val="50871317"/>
    <w:rsid w:val="508F1D63"/>
    <w:rsid w:val="508F6AC4"/>
    <w:rsid w:val="509631CF"/>
    <w:rsid w:val="509A55F2"/>
    <w:rsid w:val="509B6BFA"/>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9098F"/>
    <w:rsid w:val="510A4E7D"/>
    <w:rsid w:val="51187091"/>
    <w:rsid w:val="51190722"/>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D2A82"/>
    <w:rsid w:val="519E4C2D"/>
    <w:rsid w:val="51A15787"/>
    <w:rsid w:val="51A23180"/>
    <w:rsid w:val="51A44533"/>
    <w:rsid w:val="51B12C2B"/>
    <w:rsid w:val="51B625E5"/>
    <w:rsid w:val="51BB3190"/>
    <w:rsid w:val="51C31AB3"/>
    <w:rsid w:val="51C50057"/>
    <w:rsid w:val="51C83A24"/>
    <w:rsid w:val="51CA6470"/>
    <w:rsid w:val="51CC0195"/>
    <w:rsid w:val="51CF3752"/>
    <w:rsid w:val="51D221A2"/>
    <w:rsid w:val="51DB590D"/>
    <w:rsid w:val="51DC7D4F"/>
    <w:rsid w:val="51E372D3"/>
    <w:rsid w:val="51E952C3"/>
    <w:rsid w:val="51F763C2"/>
    <w:rsid w:val="52082F0E"/>
    <w:rsid w:val="520A4FD4"/>
    <w:rsid w:val="520A6A40"/>
    <w:rsid w:val="520B29B2"/>
    <w:rsid w:val="52165ED6"/>
    <w:rsid w:val="52170D68"/>
    <w:rsid w:val="521752D9"/>
    <w:rsid w:val="521832FA"/>
    <w:rsid w:val="521B5CF1"/>
    <w:rsid w:val="521E330E"/>
    <w:rsid w:val="52210969"/>
    <w:rsid w:val="5224158C"/>
    <w:rsid w:val="52250331"/>
    <w:rsid w:val="52251937"/>
    <w:rsid w:val="52291DE3"/>
    <w:rsid w:val="522D32DC"/>
    <w:rsid w:val="522E032A"/>
    <w:rsid w:val="522E48FA"/>
    <w:rsid w:val="52436B21"/>
    <w:rsid w:val="52476CBE"/>
    <w:rsid w:val="52486521"/>
    <w:rsid w:val="52541687"/>
    <w:rsid w:val="525808AD"/>
    <w:rsid w:val="52606B21"/>
    <w:rsid w:val="526142ED"/>
    <w:rsid w:val="5261554B"/>
    <w:rsid w:val="52675267"/>
    <w:rsid w:val="526A42D2"/>
    <w:rsid w:val="527456A0"/>
    <w:rsid w:val="52775B19"/>
    <w:rsid w:val="527820D3"/>
    <w:rsid w:val="527925C0"/>
    <w:rsid w:val="5286536B"/>
    <w:rsid w:val="528D1636"/>
    <w:rsid w:val="528F6528"/>
    <w:rsid w:val="52927920"/>
    <w:rsid w:val="5294173C"/>
    <w:rsid w:val="52A573D4"/>
    <w:rsid w:val="52AE3C1C"/>
    <w:rsid w:val="52B15A0B"/>
    <w:rsid w:val="52B277B6"/>
    <w:rsid w:val="52B539F6"/>
    <w:rsid w:val="52B87EDF"/>
    <w:rsid w:val="52C2471F"/>
    <w:rsid w:val="52C2744F"/>
    <w:rsid w:val="52CF2A7E"/>
    <w:rsid w:val="52D52D8A"/>
    <w:rsid w:val="52D70C29"/>
    <w:rsid w:val="52E07E6E"/>
    <w:rsid w:val="52E2403D"/>
    <w:rsid w:val="52E87FC9"/>
    <w:rsid w:val="52EA3010"/>
    <w:rsid w:val="52EE6354"/>
    <w:rsid w:val="52EF275D"/>
    <w:rsid w:val="52F87188"/>
    <w:rsid w:val="53035F10"/>
    <w:rsid w:val="530445BC"/>
    <w:rsid w:val="530646FD"/>
    <w:rsid w:val="53073E74"/>
    <w:rsid w:val="53130812"/>
    <w:rsid w:val="53176C42"/>
    <w:rsid w:val="53184746"/>
    <w:rsid w:val="531972CB"/>
    <w:rsid w:val="53227F73"/>
    <w:rsid w:val="532342A1"/>
    <w:rsid w:val="532E4AC7"/>
    <w:rsid w:val="533E55DF"/>
    <w:rsid w:val="5360600D"/>
    <w:rsid w:val="53703765"/>
    <w:rsid w:val="537149ED"/>
    <w:rsid w:val="5376095E"/>
    <w:rsid w:val="537A04E8"/>
    <w:rsid w:val="537D7719"/>
    <w:rsid w:val="53874180"/>
    <w:rsid w:val="53910730"/>
    <w:rsid w:val="53991F46"/>
    <w:rsid w:val="539D00C0"/>
    <w:rsid w:val="53A34926"/>
    <w:rsid w:val="53A430C7"/>
    <w:rsid w:val="53B10861"/>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10A3D"/>
    <w:rsid w:val="54257FE2"/>
    <w:rsid w:val="5428581F"/>
    <w:rsid w:val="542A7306"/>
    <w:rsid w:val="542B47E5"/>
    <w:rsid w:val="54312A0A"/>
    <w:rsid w:val="54451C08"/>
    <w:rsid w:val="54456D76"/>
    <w:rsid w:val="5450152B"/>
    <w:rsid w:val="545412A1"/>
    <w:rsid w:val="54591BCD"/>
    <w:rsid w:val="545A1A3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649FB"/>
    <w:rsid w:val="54C766D3"/>
    <w:rsid w:val="54DB3842"/>
    <w:rsid w:val="54DB74B3"/>
    <w:rsid w:val="54DF4A41"/>
    <w:rsid w:val="54E32310"/>
    <w:rsid w:val="54E35B83"/>
    <w:rsid w:val="54E5570D"/>
    <w:rsid w:val="54E656A9"/>
    <w:rsid w:val="54E85406"/>
    <w:rsid w:val="54EE0227"/>
    <w:rsid w:val="54EE4DEC"/>
    <w:rsid w:val="54F1490A"/>
    <w:rsid w:val="54F93AE7"/>
    <w:rsid w:val="54F97DEB"/>
    <w:rsid w:val="5500459A"/>
    <w:rsid w:val="55012EF3"/>
    <w:rsid w:val="55022588"/>
    <w:rsid w:val="5507319C"/>
    <w:rsid w:val="550D4E7F"/>
    <w:rsid w:val="55147F46"/>
    <w:rsid w:val="55197706"/>
    <w:rsid w:val="551B3ADB"/>
    <w:rsid w:val="551F7D03"/>
    <w:rsid w:val="55252910"/>
    <w:rsid w:val="552677BE"/>
    <w:rsid w:val="552E2F45"/>
    <w:rsid w:val="55313992"/>
    <w:rsid w:val="553772EA"/>
    <w:rsid w:val="553A6D2E"/>
    <w:rsid w:val="5546635B"/>
    <w:rsid w:val="55507B46"/>
    <w:rsid w:val="55534568"/>
    <w:rsid w:val="555A0EDC"/>
    <w:rsid w:val="55677E49"/>
    <w:rsid w:val="55692EAC"/>
    <w:rsid w:val="55714147"/>
    <w:rsid w:val="55744904"/>
    <w:rsid w:val="557C295E"/>
    <w:rsid w:val="557C5B0B"/>
    <w:rsid w:val="55806AF4"/>
    <w:rsid w:val="55812735"/>
    <w:rsid w:val="55861EC8"/>
    <w:rsid w:val="5588140B"/>
    <w:rsid w:val="55891D85"/>
    <w:rsid w:val="5592013C"/>
    <w:rsid w:val="55A445F2"/>
    <w:rsid w:val="55A57957"/>
    <w:rsid w:val="55AA469C"/>
    <w:rsid w:val="55BC12E8"/>
    <w:rsid w:val="55BD3120"/>
    <w:rsid w:val="55BF56EA"/>
    <w:rsid w:val="55C103AC"/>
    <w:rsid w:val="55C423B5"/>
    <w:rsid w:val="55C6074D"/>
    <w:rsid w:val="55C86079"/>
    <w:rsid w:val="55CA75BB"/>
    <w:rsid w:val="55CC5297"/>
    <w:rsid w:val="55D31938"/>
    <w:rsid w:val="55DA77E0"/>
    <w:rsid w:val="55EE6E58"/>
    <w:rsid w:val="55F2238E"/>
    <w:rsid w:val="55F24132"/>
    <w:rsid w:val="55FB05FF"/>
    <w:rsid w:val="55FC794D"/>
    <w:rsid w:val="56012A7B"/>
    <w:rsid w:val="56150744"/>
    <w:rsid w:val="56172C84"/>
    <w:rsid w:val="56206259"/>
    <w:rsid w:val="562219AC"/>
    <w:rsid w:val="56230DC5"/>
    <w:rsid w:val="562B59B0"/>
    <w:rsid w:val="562B64D0"/>
    <w:rsid w:val="56351882"/>
    <w:rsid w:val="56387876"/>
    <w:rsid w:val="56391384"/>
    <w:rsid w:val="563F06E3"/>
    <w:rsid w:val="564C27AB"/>
    <w:rsid w:val="565078DE"/>
    <w:rsid w:val="565222DD"/>
    <w:rsid w:val="565907FF"/>
    <w:rsid w:val="565D6940"/>
    <w:rsid w:val="566101A8"/>
    <w:rsid w:val="56666AC5"/>
    <w:rsid w:val="56701442"/>
    <w:rsid w:val="56793306"/>
    <w:rsid w:val="56797C74"/>
    <w:rsid w:val="568116C5"/>
    <w:rsid w:val="568630E0"/>
    <w:rsid w:val="568F0B4D"/>
    <w:rsid w:val="5691640E"/>
    <w:rsid w:val="56927F4A"/>
    <w:rsid w:val="569C03A7"/>
    <w:rsid w:val="569E53D6"/>
    <w:rsid w:val="56A304C3"/>
    <w:rsid w:val="56AD16B1"/>
    <w:rsid w:val="56B44FF7"/>
    <w:rsid w:val="56B76AF7"/>
    <w:rsid w:val="56BA0EDB"/>
    <w:rsid w:val="56BA5BFC"/>
    <w:rsid w:val="56C6377A"/>
    <w:rsid w:val="56D60D34"/>
    <w:rsid w:val="56D76BB3"/>
    <w:rsid w:val="56DA1A1C"/>
    <w:rsid w:val="56E90EF6"/>
    <w:rsid w:val="56F50794"/>
    <w:rsid w:val="56F82259"/>
    <w:rsid w:val="56FC12BF"/>
    <w:rsid w:val="56FE5AE3"/>
    <w:rsid w:val="570255BE"/>
    <w:rsid w:val="570426CC"/>
    <w:rsid w:val="57100D05"/>
    <w:rsid w:val="57100E69"/>
    <w:rsid w:val="57103E85"/>
    <w:rsid w:val="57167A78"/>
    <w:rsid w:val="571E4103"/>
    <w:rsid w:val="5724356E"/>
    <w:rsid w:val="573B1E04"/>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3C72"/>
    <w:rsid w:val="57AC71EF"/>
    <w:rsid w:val="57B30CCB"/>
    <w:rsid w:val="57B82FE8"/>
    <w:rsid w:val="57BA183B"/>
    <w:rsid w:val="57BC21E8"/>
    <w:rsid w:val="57C563BF"/>
    <w:rsid w:val="57C64CE3"/>
    <w:rsid w:val="57CF1AC2"/>
    <w:rsid w:val="57CF411E"/>
    <w:rsid w:val="57CF6469"/>
    <w:rsid w:val="57D20F94"/>
    <w:rsid w:val="57E359C9"/>
    <w:rsid w:val="57E62EFD"/>
    <w:rsid w:val="57E8494C"/>
    <w:rsid w:val="57EA66DC"/>
    <w:rsid w:val="57F75230"/>
    <w:rsid w:val="57FA5E75"/>
    <w:rsid w:val="58000E35"/>
    <w:rsid w:val="58186CE6"/>
    <w:rsid w:val="58222E9F"/>
    <w:rsid w:val="58251D17"/>
    <w:rsid w:val="582D3231"/>
    <w:rsid w:val="58316A55"/>
    <w:rsid w:val="58327850"/>
    <w:rsid w:val="583F3207"/>
    <w:rsid w:val="58452DB9"/>
    <w:rsid w:val="5846017C"/>
    <w:rsid w:val="58484E27"/>
    <w:rsid w:val="58514B7B"/>
    <w:rsid w:val="58525C17"/>
    <w:rsid w:val="58592455"/>
    <w:rsid w:val="586815ED"/>
    <w:rsid w:val="586B3009"/>
    <w:rsid w:val="58775EED"/>
    <w:rsid w:val="58790B5B"/>
    <w:rsid w:val="5887617F"/>
    <w:rsid w:val="588D7FDD"/>
    <w:rsid w:val="58924ECC"/>
    <w:rsid w:val="589511CE"/>
    <w:rsid w:val="5895256C"/>
    <w:rsid w:val="58965AA7"/>
    <w:rsid w:val="5899451C"/>
    <w:rsid w:val="589C6409"/>
    <w:rsid w:val="589D4D39"/>
    <w:rsid w:val="58A34E0C"/>
    <w:rsid w:val="58AE31F5"/>
    <w:rsid w:val="58B354B8"/>
    <w:rsid w:val="58B545E6"/>
    <w:rsid w:val="58B60FB7"/>
    <w:rsid w:val="58BB01CF"/>
    <w:rsid w:val="58BD1D42"/>
    <w:rsid w:val="58C04526"/>
    <w:rsid w:val="58C15643"/>
    <w:rsid w:val="58C25B98"/>
    <w:rsid w:val="58C925C7"/>
    <w:rsid w:val="58D215DA"/>
    <w:rsid w:val="58DE296B"/>
    <w:rsid w:val="58E05B85"/>
    <w:rsid w:val="58F141D6"/>
    <w:rsid w:val="58F9654F"/>
    <w:rsid w:val="58F979E8"/>
    <w:rsid w:val="58FB6C25"/>
    <w:rsid w:val="58FE08ED"/>
    <w:rsid w:val="59061DAE"/>
    <w:rsid w:val="590C2CEF"/>
    <w:rsid w:val="590E4EED"/>
    <w:rsid w:val="5914669F"/>
    <w:rsid w:val="591557DB"/>
    <w:rsid w:val="591A5C30"/>
    <w:rsid w:val="591C4B79"/>
    <w:rsid w:val="591F2957"/>
    <w:rsid w:val="59262A74"/>
    <w:rsid w:val="592F1CE2"/>
    <w:rsid w:val="59371CA9"/>
    <w:rsid w:val="593C5853"/>
    <w:rsid w:val="593E005D"/>
    <w:rsid w:val="5940158A"/>
    <w:rsid w:val="59454372"/>
    <w:rsid w:val="594606CC"/>
    <w:rsid w:val="594B6D49"/>
    <w:rsid w:val="595258C3"/>
    <w:rsid w:val="596460E9"/>
    <w:rsid w:val="59697600"/>
    <w:rsid w:val="596C25D4"/>
    <w:rsid w:val="597028E6"/>
    <w:rsid w:val="597D38D7"/>
    <w:rsid w:val="598910A1"/>
    <w:rsid w:val="598A75D0"/>
    <w:rsid w:val="59935094"/>
    <w:rsid w:val="5995496F"/>
    <w:rsid w:val="59A62A34"/>
    <w:rsid w:val="59AB1748"/>
    <w:rsid w:val="59AD1771"/>
    <w:rsid w:val="59AF2059"/>
    <w:rsid w:val="59B159CB"/>
    <w:rsid w:val="59B51848"/>
    <w:rsid w:val="59B80057"/>
    <w:rsid w:val="59BC67AC"/>
    <w:rsid w:val="59C03938"/>
    <w:rsid w:val="59C811F1"/>
    <w:rsid w:val="59C83D69"/>
    <w:rsid w:val="59CB01B4"/>
    <w:rsid w:val="59CC0DAD"/>
    <w:rsid w:val="59CF1C3E"/>
    <w:rsid w:val="59D76A58"/>
    <w:rsid w:val="59D87B36"/>
    <w:rsid w:val="59E57113"/>
    <w:rsid w:val="59E91981"/>
    <w:rsid w:val="59F22823"/>
    <w:rsid w:val="59F35BF5"/>
    <w:rsid w:val="59F42704"/>
    <w:rsid w:val="59FD1C88"/>
    <w:rsid w:val="5A0020BE"/>
    <w:rsid w:val="5A004EC8"/>
    <w:rsid w:val="5A02215A"/>
    <w:rsid w:val="5A0823EC"/>
    <w:rsid w:val="5A0B4999"/>
    <w:rsid w:val="5A0C5C1F"/>
    <w:rsid w:val="5A1219E8"/>
    <w:rsid w:val="5A1601E1"/>
    <w:rsid w:val="5A1A2003"/>
    <w:rsid w:val="5A2023BC"/>
    <w:rsid w:val="5A2534E2"/>
    <w:rsid w:val="5A272110"/>
    <w:rsid w:val="5A2F52ED"/>
    <w:rsid w:val="5A307C26"/>
    <w:rsid w:val="5A307F73"/>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D6553"/>
    <w:rsid w:val="5A9E6004"/>
    <w:rsid w:val="5AA206E2"/>
    <w:rsid w:val="5AAB402B"/>
    <w:rsid w:val="5AAF46FD"/>
    <w:rsid w:val="5AB36954"/>
    <w:rsid w:val="5ABB0D66"/>
    <w:rsid w:val="5ABE401A"/>
    <w:rsid w:val="5AC526EE"/>
    <w:rsid w:val="5ACB4B14"/>
    <w:rsid w:val="5AD45224"/>
    <w:rsid w:val="5ADA5032"/>
    <w:rsid w:val="5ADC6365"/>
    <w:rsid w:val="5AED2A7F"/>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957A5E"/>
    <w:rsid w:val="5BAB4BEE"/>
    <w:rsid w:val="5BB210AD"/>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344C7"/>
    <w:rsid w:val="5C35045C"/>
    <w:rsid w:val="5C3B0435"/>
    <w:rsid w:val="5C3C5668"/>
    <w:rsid w:val="5C3C56AD"/>
    <w:rsid w:val="5C3D32DD"/>
    <w:rsid w:val="5C3E4B55"/>
    <w:rsid w:val="5C404666"/>
    <w:rsid w:val="5C422461"/>
    <w:rsid w:val="5C48686D"/>
    <w:rsid w:val="5C4E616C"/>
    <w:rsid w:val="5C4F52A1"/>
    <w:rsid w:val="5C4F75E7"/>
    <w:rsid w:val="5C50319B"/>
    <w:rsid w:val="5C511614"/>
    <w:rsid w:val="5C520197"/>
    <w:rsid w:val="5C5371DE"/>
    <w:rsid w:val="5C5D4ED4"/>
    <w:rsid w:val="5C5F094C"/>
    <w:rsid w:val="5C603564"/>
    <w:rsid w:val="5C633837"/>
    <w:rsid w:val="5C6B674F"/>
    <w:rsid w:val="5C6D560E"/>
    <w:rsid w:val="5C6F57DC"/>
    <w:rsid w:val="5C7E0DF8"/>
    <w:rsid w:val="5C7E39D8"/>
    <w:rsid w:val="5C8A31FF"/>
    <w:rsid w:val="5C9C7108"/>
    <w:rsid w:val="5C9F55AA"/>
    <w:rsid w:val="5CA474D4"/>
    <w:rsid w:val="5CA84AC1"/>
    <w:rsid w:val="5CAC4293"/>
    <w:rsid w:val="5CB64B19"/>
    <w:rsid w:val="5CBD7A62"/>
    <w:rsid w:val="5CBF1A37"/>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6BA"/>
    <w:rsid w:val="5CFF2C7D"/>
    <w:rsid w:val="5CFF66F4"/>
    <w:rsid w:val="5D042519"/>
    <w:rsid w:val="5D0731E2"/>
    <w:rsid w:val="5D073D33"/>
    <w:rsid w:val="5D0A1CA8"/>
    <w:rsid w:val="5D0E09BF"/>
    <w:rsid w:val="5D10070C"/>
    <w:rsid w:val="5D1077A1"/>
    <w:rsid w:val="5D193562"/>
    <w:rsid w:val="5D232DD8"/>
    <w:rsid w:val="5D2360DD"/>
    <w:rsid w:val="5D360039"/>
    <w:rsid w:val="5D3A22F4"/>
    <w:rsid w:val="5D3D681F"/>
    <w:rsid w:val="5D421B63"/>
    <w:rsid w:val="5D435C8A"/>
    <w:rsid w:val="5D467576"/>
    <w:rsid w:val="5D4B2525"/>
    <w:rsid w:val="5D4F0CAA"/>
    <w:rsid w:val="5D543240"/>
    <w:rsid w:val="5D5434CB"/>
    <w:rsid w:val="5D5A25C6"/>
    <w:rsid w:val="5D645AF7"/>
    <w:rsid w:val="5D697151"/>
    <w:rsid w:val="5D7070A0"/>
    <w:rsid w:val="5D79361A"/>
    <w:rsid w:val="5D7B2BAE"/>
    <w:rsid w:val="5D87359C"/>
    <w:rsid w:val="5D893541"/>
    <w:rsid w:val="5D8C28B4"/>
    <w:rsid w:val="5D8E7C73"/>
    <w:rsid w:val="5D974515"/>
    <w:rsid w:val="5D9832F3"/>
    <w:rsid w:val="5D9934EC"/>
    <w:rsid w:val="5D9A7256"/>
    <w:rsid w:val="5D9C1E54"/>
    <w:rsid w:val="5DAB1E9E"/>
    <w:rsid w:val="5DB53FF3"/>
    <w:rsid w:val="5DB81F70"/>
    <w:rsid w:val="5DBC3F54"/>
    <w:rsid w:val="5DC328CA"/>
    <w:rsid w:val="5DCA57DD"/>
    <w:rsid w:val="5DD14137"/>
    <w:rsid w:val="5DD74A14"/>
    <w:rsid w:val="5DDB163B"/>
    <w:rsid w:val="5DDC2477"/>
    <w:rsid w:val="5DDC2877"/>
    <w:rsid w:val="5DF03AB4"/>
    <w:rsid w:val="5DF11D42"/>
    <w:rsid w:val="5DFA2E17"/>
    <w:rsid w:val="5DFB0C01"/>
    <w:rsid w:val="5E006537"/>
    <w:rsid w:val="5E1D2155"/>
    <w:rsid w:val="5E2374D1"/>
    <w:rsid w:val="5E2C6CCC"/>
    <w:rsid w:val="5E2F41CB"/>
    <w:rsid w:val="5E3A68B5"/>
    <w:rsid w:val="5E401AFE"/>
    <w:rsid w:val="5E454E01"/>
    <w:rsid w:val="5E490493"/>
    <w:rsid w:val="5E4C4204"/>
    <w:rsid w:val="5E4D4054"/>
    <w:rsid w:val="5E4F4CEC"/>
    <w:rsid w:val="5E517BBA"/>
    <w:rsid w:val="5E521705"/>
    <w:rsid w:val="5E650FB2"/>
    <w:rsid w:val="5E656142"/>
    <w:rsid w:val="5E680B19"/>
    <w:rsid w:val="5E6C40A3"/>
    <w:rsid w:val="5E6C53A1"/>
    <w:rsid w:val="5E7334F8"/>
    <w:rsid w:val="5E7805FF"/>
    <w:rsid w:val="5E7859D6"/>
    <w:rsid w:val="5E842B6A"/>
    <w:rsid w:val="5E875A07"/>
    <w:rsid w:val="5E8C1E30"/>
    <w:rsid w:val="5E911FAC"/>
    <w:rsid w:val="5E92137B"/>
    <w:rsid w:val="5E9373FC"/>
    <w:rsid w:val="5EA67DEF"/>
    <w:rsid w:val="5EA736D1"/>
    <w:rsid w:val="5EAA11B3"/>
    <w:rsid w:val="5EB30716"/>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555F58"/>
    <w:rsid w:val="5F6219E5"/>
    <w:rsid w:val="5F7C4F33"/>
    <w:rsid w:val="5F7D5743"/>
    <w:rsid w:val="5F810563"/>
    <w:rsid w:val="5F824D0A"/>
    <w:rsid w:val="5F85207D"/>
    <w:rsid w:val="5F902061"/>
    <w:rsid w:val="5F91364B"/>
    <w:rsid w:val="5F930102"/>
    <w:rsid w:val="5F942C15"/>
    <w:rsid w:val="5F982E68"/>
    <w:rsid w:val="5F983E67"/>
    <w:rsid w:val="5F9F289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207B"/>
    <w:rsid w:val="601270E4"/>
    <w:rsid w:val="60127ACF"/>
    <w:rsid w:val="60195F65"/>
    <w:rsid w:val="601A6881"/>
    <w:rsid w:val="60200E33"/>
    <w:rsid w:val="6023016C"/>
    <w:rsid w:val="602924AC"/>
    <w:rsid w:val="602B5AAA"/>
    <w:rsid w:val="60334B2A"/>
    <w:rsid w:val="603E7B8A"/>
    <w:rsid w:val="60415FF4"/>
    <w:rsid w:val="60420933"/>
    <w:rsid w:val="6056292C"/>
    <w:rsid w:val="6063156C"/>
    <w:rsid w:val="606502AC"/>
    <w:rsid w:val="60656D53"/>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316F2"/>
    <w:rsid w:val="60B43DFD"/>
    <w:rsid w:val="60B55179"/>
    <w:rsid w:val="60B84522"/>
    <w:rsid w:val="60BF5745"/>
    <w:rsid w:val="60C47684"/>
    <w:rsid w:val="60C90EA4"/>
    <w:rsid w:val="60CA2396"/>
    <w:rsid w:val="60CE4002"/>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3F01"/>
    <w:rsid w:val="61164EEF"/>
    <w:rsid w:val="61176A85"/>
    <w:rsid w:val="611A697F"/>
    <w:rsid w:val="61206479"/>
    <w:rsid w:val="612143A4"/>
    <w:rsid w:val="61216CB5"/>
    <w:rsid w:val="61221695"/>
    <w:rsid w:val="6124184C"/>
    <w:rsid w:val="61254671"/>
    <w:rsid w:val="612C0280"/>
    <w:rsid w:val="612E3337"/>
    <w:rsid w:val="61331CD5"/>
    <w:rsid w:val="614050A9"/>
    <w:rsid w:val="61465E1A"/>
    <w:rsid w:val="614B5BCE"/>
    <w:rsid w:val="614D1495"/>
    <w:rsid w:val="614D2B5A"/>
    <w:rsid w:val="61524121"/>
    <w:rsid w:val="6155426A"/>
    <w:rsid w:val="615755AF"/>
    <w:rsid w:val="615D6475"/>
    <w:rsid w:val="61620240"/>
    <w:rsid w:val="6166594C"/>
    <w:rsid w:val="616730ED"/>
    <w:rsid w:val="616C2054"/>
    <w:rsid w:val="616E3976"/>
    <w:rsid w:val="617D0D60"/>
    <w:rsid w:val="618321F0"/>
    <w:rsid w:val="618563BE"/>
    <w:rsid w:val="61861C69"/>
    <w:rsid w:val="61867017"/>
    <w:rsid w:val="618B084B"/>
    <w:rsid w:val="618E1E6E"/>
    <w:rsid w:val="618F22FB"/>
    <w:rsid w:val="61B15149"/>
    <w:rsid w:val="61B16AF8"/>
    <w:rsid w:val="61B66611"/>
    <w:rsid w:val="61B71C73"/>
    <w:rsid w:val="61B867C3"/>
    <w:rsid w:val="61C1068B"/>
    <w:rsid w:val="61C56900"/>
    <w:rsid w:val="61C73EC2"/>
    <w:rsid w:val="61D32FE5"/>
    <w:rsid w:val="61D9528D"/>
    <w:rsid w:val="61DA6BBA"/>
    <w:rsid w:val="61DE7C3D"/>
    <w:rsid w:val="61E1330A"/>
    <w:rsid w:val="61E51E0F"/>
    <w:rsid w:val="61E852C9"/>
    <w:rsid w:val="61E93953"/>
    <w:rsid w:val="61EE26FB"/>
    <w:rsid w:val="61EE28BD"/>
    <w:rsid w:val="61F0115C"/>
    <w:rsid w:val="61FA5B62"/>
    <w:rsid w:val="6203062B"/>
    <w:rsid w:val="62070260"/>
    <w:rsid w:val="620A5E09"/>
    <w:rsid w:val="62164CFF"/>
    <w:rsid w:val="6222428F"/>
    <w:rsid w:val="6226324A"/>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8F77E2"/>
    <w:rsid w:val="62971DFA"/>
    <w:rsid w:val="629963D8"/>
    <w:rsid w:val="62A62474"/>
    <w:rsid w:val="62B22755"/>
    <w:rsid w:val="62B3642B"/>
    <w:rsid w:val="62B91CB2"/>
    <w:rsid w:val="62C3578D"/>
    <w:rsid w:val="62D000C9"/>
    <w:rsid w:val="62E05F11"/>
    <w:rsid w:val="62E70CE0"/>
    <w:rsid w:val="62F00E21"/>
    <w:rsid w:val="62F06C0E"/>
    <w:rsid w:val="62F571B6"/>
    <w:rsid w:val="62F91A8D"/>
    <w:rsid w:val="62FA0118"/>
    <w:rsid w:val="62FB5ADF"/>
    <w:rsid w:val="62FE0FE5"/>
    <w:rsid w:val="63016DD9"/>
    <w:rsid w:val="63026153"/>
    <w:rsid w:val="63060DC1"/>
    <w:rsid w:val="630B0513"/>
    <w:rsid w:val="630D5FB3"/>
    <w:rsid w:val="631D12C4"/>
    <w:rsid w:val="632A6383"/>
    <w:rsid w:val="632C6BDE"/>
    <w:rsid w:val="632F0EFF"/>
    <w:rsid w:val="633159CB"/>
    <w:rsid w:val="6332638D"/>
    <w:rsid w:val="633B2B0B"/>
    <w:rsid w:val="633C5BF9"/>
    <w:rsid w:val="633E36D1"/>
    <w:rsid w:val="6343466C"/>
    <w:rsid w:val="634A145E"/>
    <w:rsid w:val="634E753F"/>
    <w:rsid w:val="63607ED4"/>
    <w:rsid w:val="636469BD"/>
    <w:rsid w:val="63657E3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BD7E99"/>
    <w:rsid w:val="63D86821"/>
    <w:rsid w:val="63D8720B"/>
    <w:rsid w:val="63DF3F98"/>
    <w:rsid w:val="63E02D15"/>
    <w:rsid w:val="63E0457C"/>
    <w:rsid w:val="63E25AFD"/>
    <w:rsid w:val="63E57666"/>
    <w:rsid w:val="63F03B38"/>
    <w:rsid w:val="63F731A5"/>
    <w:rsid w:val="63FC766C"/>
    <w:rsid w:val="63FE2454"/>
    <w:rsid w:val="64022F76"/>
    <w:rsid w:val="64084173"/>
    <w:rsid w:val="640D3356"/>
    <w:rsid w:val="641269AD"/>
    <w:rsid w:val="64141212"/>
    <w:rsid w:val="641C56F8"/>
    <w:rsid w:val="64231408"/>
    <w:rsid w:val="64263EF4"/>
    <w:rsid w:val="64281DC7"/>
    <w:rsid w:val="6432123B"/>
    <w:rsid w:val="643A7824"/>
    <w:rsid w:val="644376F5"/>
    <w:rsid w:val="644A3F96"/>
    <w:rsid w:val="644B2286"/>
    <w:rsid w:val="64553AA4"/>
    <w:rsid w:val="64564ED9"/>
    <w:rsid w:val="645A5737"/>
    <w:rsid w:val="646029D7"/>
    <w:rsid w:val="64603768"/>
    <w:rsid w:val="646270E8"/>
    <w:rsid w:val="6467123E"/>
    <w:rsid w:val="646B1681"/>
    <w:rsid w:val="64706790"/>
    <w:rsid w:val="64724898"/>
    <w:rsid w:val="647C3BBA"/>
    <w:rsid w:val="64805997"/>
    <w:rsid w:val="64813A7C"/>
    <w:rsid w:val="64823A3A"/>
    <w:rsid w:val="64855B2D"/>
    <w:rsid w:val="64866B4F"/>
    <w:rsid w:val="64867427"/>
    <w:rsid w:val="648976FB"/>
    <w:rsid w:val="648A2250"/>
    <w:rsid w:val="648B1491"/>
    <w:rsid w:val="648B5259"/>
    <w:rsid w:val="648E1573"/>
    <w:rsid w:val="649A52C8"/>
    <w:rsid w:val="64AB4F48"/>
    <w:rsid w:val="64B0747D"/>
    <w:rsid w:val="64B6071F"/>
    <w:rsid w:val="64B73B84"/>
    <w:rsid w:val="64BE2F18"/>
    <w:rsid w:val="64C004BC"/>
    <w:rsid w:val="64C03551"/>
    <w:rsid w:val="64C317B4"/>
    <w:rsid w:val="64C6530B"/>
    <w:rsid w:val="64CB2A33"/>
    <w:rsid w:val="64D9451E"/>
    <w:rsid w:val="64DB77D5"/>
    <w:rsid w:val="64E105D2"/>
    <w:rsid w:val="64E3740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78354B"/>
    <w:rsid w:val="658E776E"/>
    <w:rsid w:val="65907AC2"/>
    <w:rsid w:val="65A3564C"/>
    <w:rsid w:val="65A62A91"/>
    <w:rsid w:val="65A8734A"/>
    <w:rsid w:val="65A9185C"/>
    <w:rsid w:val="65AB43EF"/>
    <w:rsid w:val="65B430CC"/>
    <w:rsid w:val="65CC6A3A"/>
    <w:rsid w:val="65DB0A99"/>
    <w:rsid w:val="65DC4ACB"/>
    <w:rsid w:val="65E919BF"/>
    <w:rsid w:val="65ED7EEF"/>
    <w:rsid w:val="65F46CFC"/>
    <w:rsid w:val="65F73BB4"/>
    <w:rsid w:val="65FB6DFE"/>
    <w:rsid w:val="660658FA"/>
    <w:rsid w:val="660B1805"/>
    <w:rsid w:val="660C035C"/>
    <w:rsid w:val="66103D06"/>
    <w:rsid w:val="66190E3D"/>
    <w:rsid w:val="661C061C"/>
    <w:rsid w:val="66235CDE"/>
    <w:rsid w:val="6628673A"/>
    <w:rsid w:val="662A259A"/>
    <w:rsid w:val="66300C32"/>
    <w:rsid w:val="6631536B"/>
    <w:rsid w:val="6639596A"/>
    <w:rsid w:val="663F1119"/>
    <w:rsid w:val="66401DD3"/>
    <w:rsid w:val="6644369D"/>
    <w:rsid w:val="66513A8B"/>
    <w:rsid w:val="66515333"/>
    <w:rsid w:val="66543F3A"/>
    <w:rsid w:val="6654755D"/>
    <w:rsid w:val="66553A9B"/>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1068E"/>
    <w:rsid w:val="66E13704"/>
    <w:rsid w:val="66E40BAD"/>
    <w:rsid w:val="66E77E06"/>
    <w:rsid w:val="66F861FA"/>
    <w:rsid w:val="670027A0"/>
    <w:rsid w:val="67037752"/>
    <w:rsid w:val="67050D51"/>
    <w:rsid w:val="67050D97"/>
    <w:rsid w:val="67051BD7"/>
    <w:rsid w:val="67091904"/>
    <w:rsid w:val="670E178E"/>
    <w:rsid w:val="6717419C"/>
    <w:rsid w:val="67212735"/>
    <w:rsid w:val="673611CB"/>
    <w:rsid w:val="67412B2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BF12B5"/>
    <w:rsid w:val="67C0411D"/>
    <w:rsid w:val="67C95416"/>
    <w:rsid w:val="67D74048"/>
    <w:rsid w:val="67E041E2"/>
    <w:rsid w:val="67E164A0"/>
    <w:rsid w:val="67E51F56"/>
    <w:rsid w:val="67E97A89"/>
    <w:rsid w:val="67ED16B7"/>
    <w:rsid w:val="67F27764"/>
    <w:rsid w:val="67F94D8A"/>
    <w:rsid w:val="6802359C"/>
    <w:rsid w:val="68081463"/>
    <w:rsid w:val="680A257F"/>
    <w:rsid w:val="680E50C8"/>
    <w:rsid w:val="681541C3"/>
    <w:rsid w:val="681674DF"/>
    <w:rsid w:val="681D6FA0"/>
    <w:rsid w:val="682E4AF2"/>
    <w:rsid w:val="68373462"/>
    <w:rsid w:val="68447B3B"/>
    <w:rsid w:val="684F580A"/>
    <w:rsid w:val="685C0FCA"/>
    <w:rsid w:val="68650F7D"/>
    <w:rsid w:val="68655BE3"/>
    <w:rsid w:val="686926D4"/>
    <w:rsid w:val="68774A50"/>
    <w:rsid w:val="68784EDA"/>
    <w:rsid w:val="687A62EB"/>
    <w:rsid w:val="687B4F8F"/>
    <w:rsid w:val="688A20B8"/>
    <w:rsid w:val="688C0135"/>
    <w:rsid w:val="688D57D8"/>
    <w:rsid w:val="6892047F"/>
    <w:rsid w:val="689403A7"/>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52DC7"/>
    <w:rsid w:val="68E71448"/>
    <w:rsid w:val="68E92B61"/>
    <w:rsid w:val="68F308C4"/>
    <w:rsid w:val="68F47E39"/>
    <w:rsid w:val="68F51C33"/>
    <w:rsid w:val="68FA62F0"/>
    <w:rsid w:val="68FE7853"/>
    <w:rsid w:val="68FF6668"/>
    <w:rsid w:val="6901117B"/>
    <w:rsid w:val="69021A4A"/>
    <w:rsid w:val="69052CE9"/>
    <w:rsid w:val="690F4CC7"/>
    <w:rsid w:val="69156DDD"/>
    <w:rsid w:val="691D61F1"/>
    <w:rsid w:val="691E3879"/>
    <w:rsid w:val="69211467"/>
    <w:rsid w:val="69214564"/>
    <w:rsid w:val="69257A7E"/>
    <w:rsid w:val="69277662"/>
    <w:rsid w:val="69344B19"/>
    <w:rsid w:val="69345F83"/>
    <w:rsid w:val="69356146"/>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B96524"/>
    <w:rsid w:val="69BE66B6"/>
    <w:rsid w:val="69C30046"/>
    <w:rsid w:val="69C8002E"/>
    <w:rsid w:val="69CF04C1"/>
    <w:rsid w:val="69D32FE1"/>
    <w:rsid w:val="69D457A0"/>
    <w:rsid w:val="69D463F2"/>
    <w:rsid w:val="69D72910"/>
    <w:rsid w:val="69D94035"/>
    <w:rsid w:val="69DC26A6"/>
    <w:rsid w:val="69E37874"/>
    <w:rsid w:val="69E56B54"/>
    <w:rsid w:val="69E96708"/>
    <w:rsid w:val="69ED002E"/>
    <w:rsid w:val="69ED2DB6"/>
    <w:rsid w:val="69ED6B4A"/>
    <w:rsid w:val="69EE54CD"/>
    <w:rsid w:val="69F92613"/>
    <w:rsid w:val="69FB7CD4"/>
    <w:rsid w:val="69FD723E"/>
    <w:rsid w:val="69FD7CEA"/>
    <w:rsid w:val="6A0229E5"/>
    <w:rsid w:val="6A067F83"/>
    <w:rsid w:val="6A097E59"/>
    <w:rsid w:val="6A0E4D51"/>
    <w:rsid w:val="6A171AFC"/>
    <w:rsid w:val="6A1B06CD"/>
    <w:rsid w:val="6A227A57"/>
    <w:rsid w:val="6A2A2D01"/>
    <w:rsid w:val="6A3225D7"/>
    <w:rsid w:val="6A3A620D"/>
    <w:rsid w:val="6A3B0B6C"/>
    <w:rsid w:val="6A3C0BF8"/>
    <w:rsid w:val="6A423E55"/>
    <w:rsid w:val="6A470981"/>
    <w:rsid w:val="6A4747AF"/>
    <w:rsid w:val="6A49294B"/>
    <w:rsid w:val="6A562B91"/>
    <w:rsid w:val="6A57299A"/>
    <w:rsid w:val="6A697946"/>
    <w:rsid w:val="6A6D6854"/>
    <w:rsid w:val="6A700CED"/>
    <w:rsid w:val="6A7017D7"/>
    <w:rsid w:val="6A7350A3"/>
    <w:rsid w:val="6A7F6B5C"/>
    <w:rsid w:val="6A984CE6"/>
    <w:rsid w:val="6AA235D3"/>
    <w:rsid w:val="6AA31D3D"/>
    <w:rsid w:val="6AB02B50"/>
    <w:rsid w:val="6AB14532"/>
    <w:rsid w:val="6ABB2ED0"/>
    <w:rsid w:val="6ABD7A51"/>
    <w:rsid w:val="6AC00593"/>
    <w:rsid w:val="6AC335C4"/>
    <w:rsid w:val="6AC55EC6"/>
    <w:rsid w:val="6ACC0F11"/>
    <w:rsid w:val="6ADB4318"/>
    <w:rsid w:val="6ADD7DFD"/>
    <w:rsid w:val="6AE2135D"/>
    <w:rsid w:val="6AE77D3D"/>
    <w:rsid w:val="6AE93C28"/>
    <w:rsid w:val="6AF05F1A"/>
    <w:rsid w:val="6B036D80"/>
    <w:rsid w:val="6B0451AB"/>
    <w:rsid w:val="6B0D42E2"/>
    <w:rsid w:val="6B110B6C"/>
    <w:rsid w:val="6B160110"/>
    <w:rsid w:val="6B167467"/>
    <w:rsid w:val="6B1A338E"/>
    <w:rsid w:val="6B21434C"/>
    <w:rsid w:val="6B237C36"/>
    <w:rsid w:val="6B2600DB"/>
    <w:rsid w:val="6B2718FD"/>
    <w:rsid w:val="6B2A147B"/>
    <w:rsid w:val="6B2B4CFC"/>
    <w:rsid w:val="6B2C290C"/>
    <w:rsid w:val="6B33476F"/>
    <w:rsid w:val="6B352059"/>
    <w:rsid w:val="6B3B4CA2"/>
    <w:rsid w:val="6B402B26"/>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8277A"/>
    <w:rsid w:val="6BB248CC"/>
    <w:rsid w:val="6BBA4F60"/>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76EFC"/>
    <w:rsid w:val="6C2C5801"/>
    <w:rsid w:val="6C2D7320"/>
    <w:rsid w:val="6C2E3E73"/>
    <w:rsid w:val="6C3321F9"/>
    <w:rsid w:val="6C33267C"/>
    <w:rsid w:val="6C3D0F56"/>
    <w:rsid w:val="6C410CB8"/>
    <w:rsid w:val="6C452BDF"/>
    <w:rsid w:val="6C593A56"/>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565AF"/>
    <w:rsid w:val="6D077405"/>
    <w:rsid w:val="6D0A3519"/>
    <w:rsid w:val="6D0B62E2"/>
    <w:rsid w:val="6D133D59"/>
    <w:rsid w:val="6D175B2B"/>
    <w:rsid w:val="6D264EC5"/>
    <w:rsid w:val="6D26662C"/>
    <w:rsid w:val="6D287D4F"/>
    <w:rsid w:val="6D2B3CDC"/>
    <w:rsid w:val="6D330DB7"/>
    <w:rsid w:val="6D437763"/>
    <w:rsid w:val="6D47364D"/>
    <w:rsid w:val="6D4B2385"/>
    <w:rsid w:val="6D4C07B8"/>
    <w:rsid w:val="6D500E33"/>
    <w:rsid w:val="6D5B1179"/>
    <w:rsid w:val="6D671B76"/>
    <w:rsid w:val="6D6D28AF"/>
    <w:rsid w:val="6D6E5E4C"/>
    <w:rsid w:val="6D771293"/>
    <w:rsid w:val="6D78135E"/>
    <w:rsid w:val="6D7D0954"/>
    <w:rsid w:val="6D8153B2"/>
    <w:rsid w:val="6D876AB7"/>
    <w:rsid w:val="6D8A27B4"/>
    <w:rsid w:val="6D8F154F"/>
    <w:rsid w:val="6D9757D1"/>
    <w:rsid w:val="6D9C3974"/>
    <w:rsid w:val="6DA062EA"/>
    <w:rsid w:val="6DA65DBF"/>
    <w:rsid w:val="6DA76631"/>
    <w:rsid w:val="6DA77315"/>
    <w:rsid w:val="6DAE65DB"/>
    <w:rsid w:val="6DAF65CC"/>
    <w:rsid w:val="6DB157A2"/>
    <w:rsid w:val="6DB25F3D"/>
    <w:rsid w:val="6DBA586C"/>
    <w:rsid w:val="6DBE0B3F"/>
    <w:rsid w:val="6DBF7294"/>
    <w:rsid w:val="6DC2555F"/>
    <w:rsid w:val="6DC53FBD"/>
    <w:rsid w:val="6DC84395"/>
    <w:rsid w:val="6DC93FE2"/>
    <w:rsid w:val="6DCA77EA"/>
    <w:rsid w:val="6DD35114"/>
    <w:rsid w:val="6DDE35E8"/>
    <w:rsid w:val="6DE47135"/>
    <w:rsid w:val="6DE65A7A"/>
    <w:rsid w:val="6DE92FA2"/>
    <w:rsid w:val="6DEE0E7D"/>
    <w:rsid w:val="6DEF6BC8"/>
    <w:rsid w:val="6DF3002F"/>
    <w:rsid w:val="6DF574ED"/>
    <w:rsid w:val="6DF81839"/>
    <w:rsid w:val="6E0048DC"/>
    <w:rsid w:val="6E075019"/>
    <w:rsid w:val="6E0766A1"/>
    <w:rsid w:val="6E1419C0"/>
    <w:rsid w:val="6E166FE2"/>
    <w:rsid w:val="6E183FF4"/>
    <w:rsid w:val="6E1B11E5"/>
    <w:rsid w:val="6E1D151C"/>
    <w:rsid w:val="6E1D7756"/>
    <w:rsid w:val="6E245261"/>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8E20B5"/>
    <w:rsid w:val="6E8F2730"/>
    <w:rsid w:val="6E915314"/>
    <w:rsid w:val="6E991DD0"/>
    <w:rsid w:val="6EA04FAE"/>
    <w:rsid w:val="6EAA59A3"/>
    <w:rsid w:val="6EAA79ED"/>
    <w:rsid w:val="6EB029C1"/>
    <w:rsid w:val="6EB330A4"/>
    <w:rsid w:val="6EC161BE"/>
    <w:rsid w:val="6EC53240"/>
    <w:rsid w:val="6ECD08F1"/>
    <w:rsid w:val="6ED8031D"/>
    <w:rsid w:val="6EDF2531"/>
    <w:rsid w:val="6EE1335D"/>
    <w:rsid w:val="6EE50FBC"/>
    <w:rsid w:val="6EEF6508"/>
    <w:rsid w:val="6EF02682"/>
    <w:rsid w:val="6EFA4C0C"/>
    <w:rsid w:val="6EFF1809"/>
    <w:rsid w:val="6F19615F"/>
    <w:rsid w:val="6F1A3B57"/>
    <w:rsid w:val="6F1A60C4"/>
    <w:rsid w:val="6F231E41"/>
    <w:rsid w:val="6F244447"/>
    <w:rsid w:val="6F303DE1"/>
    <w:rsid w:val="6F331C81"/>
    <w:rsid w:val="6F331F52"/>
    <w:rsid w:val="6F362062"/>
    <w:rsid w:val="6F3815D3"/>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9B0C75"/>
    <w:rsid w:val="6FA04DA3"/>
    <w:rsid w:val="6FA10B29"/>
    <w:rsid w:val="6FAA2D8A"/>
    <w:rsid w:val="6FC02217"/>
    <w:rsid w:val="6FC34E9D"/>
    <w:rsid w:val="6FC60A07"/>
    <w:rsid w:val="6FC90F86"/>
    <w:rsid w:val="6FCD3BC3"/>
    <w:rsid w:val="6FCE2BBA"/>
    <w:rsid w:val="6FD656A8"/>
    <w:rsid w:val="6FD91844"/>
    <w:rsid w:val="6FDF40F5"/>
    <w:rsid w:val="6FE0165C"/>
    <w:rsid w:val="6FE05F95"/>
    <w:rsid w:val="6FE944E1"/>
    <w:rsid w:val="6FF021F5"/>
    <w:rsid w:val="6FF06B6B"/>
    <w:rsid w:val="6FF47B7F"/>
    <w:rsid w:val="6FF73491"/>
    <w:rsid w:val="6FF97C31"/>
    <w:rsid w:val="6FFC64FF"/>
    <w:rsid w:val="7001428F"/>
    <w:rsid w:val="700E7127"/>
    <w:rsid w:val="70133236"/>
    <w:rsid w:val="70156307"/>
    <w:rsid w:val="7016485B"/>
    <w:rsid w:val="701C590F"/>
    <w:rsid w:val="702033F7"/>
    <w:rsid w:val="7021034D"/>
    <w:rsid w:val="70252DA7"/>
    <w:rsid w:val="702D10A9"/>
    <w:rsid w:val="70315D3B"/>
    <w:rsid w:val="703D58C4"/>
    <w:rsid w:val="70453D87"/>
    <w:rsid w:val="704E5E48"/>
    <w:rsid w:val="7053674B"/>
    <w:rsid w:val="7055360F"/>
    <w:rsid w:val="70642BE6"/>
    <w:rsid w:val="706A4DCB"/>
    <w:rsid w:val="706F497B"/>
    <w:rsid w:val="70724AB3"/>
    <w:rsid w:val="70877819"/>
    <w:rsid w:val="70916EF8"/>
    <w:rsid w:val="709261ED"/>
    <w:rsid w:val="709605AE"/>
    <w:rsid w:val="709D31A3"/>
    <w:rsid w:val="70A02568"/>
    <w:rsid w:val="70AD230C"/>
    <w:rsid w:val="70B4798A"/>
    <w:rsid w:val="70B91785"/>
    <w:rsid w:val="70C41020"/>
    <w:rsid w:val="70C671BA"/>
    <w:rsid w:val="70CC1017"/>
    <w:rsid w:val="70CF255C"/>
    <w:rsid w:val="70D5454C"/>
    <w:rsid w:val="70DC2C89"/>
    <w:rsid w:val="70DD041E"/>
    <w:rsid w:val="70DD743F"/>
    <w:rsid w:val="70DD7EE0"/>
    <w:rsid w:val="70E3150B"/>
    <w:rsid w:val="70E67B77"/>
    <w:rsid w:val="70F323B0"/>
    <w:rsid w:val="70FA4DD2"/>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953B8"/>
    <w:rsid w:val="71AC51C8"/>
    <w:rsid w:val="71C37CE8"/>
    <w:rsid w:val="71C402EA"/>
    <w:rsid w:val="71D4132F"/>
    <w:rsid w:val="71D53676"/>
    <w:rsid w:val="71DA32B4"/>
    <w:rsid w:val="71E32E83"/>
    <w:rsid w:val="71E83969"/>
    <w:rsid w:val="71F1228B"/>
    <w:rsid w:val="71F46D71"/>
    <w:rsid w:val="71F61946"/>
    <w:rsid w:val="71F96411"/>
    <w:rsid w:val="71FA7506"/>
    <w:rsid w:val="72061465"/>
    <w:rsid w:val="720F1ACD"/>
    <w:rsid w:val="721C0759"/>
    <w:rsid w:val="722F766C"/>
    <w:rsid w:val="723256D8"/>
    <w:rsid w:val="72382B26"/>
    <w:rsid w:val="72385872"/>
    <w:rsid w:val="723A6B6E"/>
    <w:rsid w:val="723B470E"/>
    <w:rsid w:val="72451F4F"/>
    <w:rsid w:val="72456442"/>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0710"/>
    <w:rsid w:val="72AF2463"/>
    <w:rsid w:val="72B05336"/>
    <w:rsid w:val="72B06D9D"/>
    <w:rsid w:val="72B715E4"/>
    <w:rsid w:val="72C32F53"/>
    <w:rsid w:val="72C77A8A"/>
    <w:rsid w:val="72CB7C4C"/>
    <w:rsid w:val="72D86D20"/>
    <w:rsid w:val="72DB6BCE"/>
    <w:rsid w:val="72F70D65"/>
    <w:rsid w:val="72F762C6"/>
    <w:rsid w:val="72FA1D93"/>
    <w:rsid w:val="72FE3E8E"/>
    <w:rsid w:val="731B711B"/>
    <w:rsid w:val="731C3ED2"/>
    <w:rsid w:val="731E5631"/>
    <w:rsid w:val="732009B8"/>
    <w:rsid w:val="732B0C72"/>
    <w:rsid w:val="733271A4"/>
    <w:rsid w:val="73330C63"/>
    <w:rsid w:val="733863E3"/>
    <w:rsid w:val="733A3332"/>
    <w:rsid w:val="733C1D9D"/>
    <w:rsid w:val="733E3B7F"/>
    <w:rsid w:val="733E46B2"/>
    <w:rsid w:val="733E586B"/>
    <w:rsid w:val="733E59D9"/>
    <w:rsid w:val="734B3969"/>
    <w:rsid w:val="73597F33"/>
    <w:rsid w:val="7375490C"/>
    <w:rsid w:val="73757E63"/>
    <w:rsid w:val="737D2F4F"/>
    <w:rsid w:val="738B029F"/>
    <w:rsid w:val="73900D21"/>
    <w:rsid w:val="739A7114"/>
    <w:rsid w:val="739D5416"/>
    <w:rsid w:val="739F2349"/>
    <w:rsid w:val="739F6287"/>
    <w:rsid w:val="73A242CD"/>
    <w:rsid w:val="73A935F2"/>
    <w:rsid w:val="73AC333B"/>
    <w:rsid w:val="73AD3C4B"/>
    <w:rsid w:val="73B11DBC"/>
    <w:rsid w:val="73B1795C"/>
    <w:rsid w:val="73B51018"/>
    <w:rsid w:val="73B67CAD"/>
    <w:rsid w:val="73B86EBC"/>
    <w:rsid w:val="73C340B3"/>
    <w:rsid w:val="73C72DB3"/>
    <w:rsid w:val="73C81AA9"/>
    <w:rsid w:val="73C854F0"/>
    <w:rsid w:val="73CC2F38"/>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532888"/>
    <w:rsid w:val="745C54BA"/>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DF39E4"/>
    <w:rsid w:val="74E133B4"/>
    <w:rsid w:val="74E1491C"/>
    <w:rsid w:val="74E67A31"/>
    <w:rsid w:val="74F61278"/>
    <w:rsid w:val="74F65697"/>
    <w:rsid w:val="74F90505"/>
    <w:rsid w:val="74FC67D7"/>
    <w:rsid w:val="7501178C"/>
    <w:rsid w:val="75092044"/>
    <w:rsid w:val="7510516D"/>
    <w:rsid w:val="75124563"/>
    <w:rsid w:val="751274A1"/>
    <w:rsid w:val="75190871"/>
    <w:rsid w:val="751C2143"/>
    <w:rsid w:val="75295853"/>
    <w:rsid w:val="752D2921"/>
    <w:rsid w:val="752F1869"/>
    <w:rsid w:val="752F2DAC"/>
    <w:rsid w:val="75387884"/>
    <w:rsid w:val="75475838"/>
    <w:rsid w:val="755D7E3D"/>
    <w:rsid w:val="75631790"/>
    <w:rsid w:val="7566472C"/>
    <w:rsid w:val="756B1E1E"/>
    <w:rsid w:val="756B62BD"/>
    <w:rsid w:val="756E6DDD"/>
    <w:rsid w:val="7578413D"/>
    <w:rsid w:val="757B64ED"/>
    <w:rsid w:val="757C232A"/>
    <w:rsid w:val="75851DCA"/>
    <w:rsid w:val="75895C6B"/>
    <w:rsid w:val="758F3A2A"/>
    <w:rsid w:val="7595284C"/>
    <w:rsid w:val="759638CA"/>
    <w:rsid w:val="7599617F"/>
    <w:rsid w:val="759A19E2"/>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27806"/>
    <w:rsid w:val="76154B74"/>
    <w:rsid w:val="761C414A"/>
    <w:rsid w:val="761D237D"/>
    <w:rsid w:val="762721D0"/>
    <w:rsid w:val="76292CB3"/>
    <w:rsid w:val="76380CDC"/>
    <w:rsid w:val="76383420"/>
    <w:rsid w:val="76411431"/>
    <w:rsid w:val="7649562B"/>
    <w:rsid w:val="764F7C59"/>
    <w:rsid w:val="76536622"/>
    <w:rsid w:val="765566B4"/>
    <w:rsid w:val="76605088"/>
    <w:rsid w:val="76617C2E"/>
    <w:rsid w:val="76636412"/>
    <w:rsid w:val="766477E2"/>
    <w:rsid w:val="7668119A"/>
    <w:rsid w:val="766966D4"/>
    <w:rsid w:val="766E17F9"/>
    <w:rsid w:val="76804CD3"/>
    <w:rsid w:val="76894FB9"/>
    <w:rsid w:val="768C1EBA"/>
    <w:rsid w:val="768E260E"/>
    <w:rsid w:val="769222A0"/>
    <w:rsid w:val="769568F8"/>
    <w:rsid w:val="76993596"/>
    <w:rsid w:val="769F0134"/>
    <w:rsid w:val="76A65C22"/>
    <w:rsid w:val="76B14AAD"/>
    <w:rsid w:val="76B44C21"/>
    <w:rsid w:val="76C118A2"/>
    <w:rsid w:val="76C32B57"/>
    <w:rsid w:val="76C63D93"/>
    <w:rsid w:val="76CB0A63"/>
    <w:rsid w:val="76D25527"/>
    <w:rsid w:val="76D81970"/>
    <w:rsid w:val="76DD3810"/>
    <w:rsid w:val="76E451C7"/>
    <w:rsid w:val="76E472DD"/>
    <w:rsid w:val="76E8548D"/>
    <w:rsid w:val="76ED3B38"/>
    <w:rsid w:val="76F13EA7"/>
    <w:rsid w:val="76F14581"/>
    <w:rsid w:val="76F3209A"/>
    <w:rsid w:val="76F77BBD"/>
    <w:rsid w:val="76FD22EC"/>
    <w:rsid w:val="76FD6D57"/>
    <w:rsid w:val="77030B27"/>
    <w:rsid w:val="77034D41"/>
    <w:rsid w:val="77041D95"/>
    <w:rsid w:val="77095079"/>
    <w:rsid w:val="7718408C"/>
    <w:rsid w:val="771D7BC5"/>
    <w:rsid w:val="7723073F"/>
    <w:rsid w:val="772527B2"/>
    <w:rsid w:val="772A6A8E"/>
    <w:rsid w:val="773B25F8"/>
    <w:rsid w:val="773B48CE"/>
    <w:rsid w:val="773D0C62"/>
    <w:rsid w:val="773F62E5"/>
    <w:rsid w:val="7743414C"/>
    <w:rsid w:val="774551B5"/>
    <w:rsid w:val="775124A2"/>
    <w:rsid w:val="77523DCF"/>
    <w:rsid w:val="77591191"/>
    <w:rsid w:val="77606B3D"/>
    <w:rsid w:val="776870B9"/>
    <w:rsid w:val="776967FB"/>
    <w:rsid w:val="776D4583"/>
    <w:rsid w:val="7776540C"/>
    <w:rsid w:val="777A37E1"/>
    <w:rsid w:val="778100C2"/>
    <w:rsid w:val="778121B3"/>
    <w:rsid w:val="77855EB4"/>
    <w:rsid w:val="779D35D8"/>
    <w:rsid w:val="77A94947"/>
    <w:rsid w:val="77AA135C"/>
    <w:rsid w:val="77AB510D"/>
    <w:rsid w:val="77AB7E27"/>
    <w:rsid w:val="77AC14DA"/>
    <w:rsid w:val="77AD64CA"/>
    <w:rsid w:val="77AF3504"/>
    <w:rsid w:val="77B36F7C"/>
    <w:rsid w:val="77BC6B30"/>
    <w:rsid w:val="77BE1BC2"/>
    <w:rsid w:val="77C75FA5"/>
    <w:rsid w:val="77C926F0"/>
    <w:rsid w:val="77CA0362"/>
    <w:rsid w:val="77D17A81"/>
    <w:rsid w:val="77D2359F"/>
    <w:rsid w:val="77E40C30"/>
    <w:rsid w:val="77FC1B84"/>
    <w:rsid w:val="77FF3177"/>
    <w:rsid w:val="780254EB"/>
    <w:rsid w:val="78055C6F"/>
    <w:rsid w:val="780752E6"/>
    <w:rsid w:val="780B6CC7"/>
    <w:rsid w:val="78153F77"/>
    <w:rsid w:val="78155CF2"/>
    <w:rsid w:val="78185315"/>
    <w:rsid w:val="781C67FA"/>
    <w:rsid w:val="782378AE"/>
    <w:rsid w:val="78296DAC"/>
    <w:rsid w:val="783267CC"/>
    <w:rsid w:val="783E418B"/>
    <w:rsid w:val="783F1754"/>
    <w:rsid w:val="784A7790"/>
    <w:rsid w:val="784E3C01"/>
    <w:rsid w:val="78570849"/>
    <w:rsid w:val="78575D9F"/>
    <w:rsid w:val="785B5DBF"/>
    <w:rsid w:val="78600977"/>
    <w:rsid w:val="78617AF2"/>
    <w:rsid w:val="78626899"/>
    <w:rsid w:val="786421F2"/>
    <w:rsid w:val="786616B3"/>
    <w:rsid w:val="786E5D08"/>
    <w:rsid w:val="787D41E5"/>
    <w:rsid w:val="787E7A1D"/>
    <w:rsid w:val="78812F7C"/>
    <w:rsid w:val="789054AC"/>
    <w:rsid w:val="789469EF"/>
    <w:rsid w:val="78975C7D"/>
    <w:rsid w:val="78A51B95"/>
    <w:rsid w:val="78AA6975"/>
    <w:rsid w:val="78B15E1D"/>
    <w:rsid w:val="78C15B1C"/>
    <w:rsid w:val="78C359B3"/>
    <w:rsid w:val="78C653C1"/>
    <w:rsid w:val="78C9190A"/>
    <w:rsid w:val="78C97D4F"/>
    <w:rsid w:val="78CC0493"/>
    <w:rsid w:val="78DB3FCA"/>
    <w:rsid w:val="78EC2D52"/>
    <w:rsid w:val="78F5480C"/>
    <w:rsid w:val="78FA7F8E"/>
    <w:rsid w:val="79036E66"/>
    <w:rsid w:val="790945D5"/>
    <w:rsid w:val="790B5E2B"/>
    <w:rsid w:val="790E47EA"/>
    <w:rsid w:val="790E548B"/>
    <w:rsid w:val="79104E2B"/>
    <w:rsid w:val="79135CA0"/>
    <w:rsid w:val="791467F0"/>
    <w:rsid w:val="7915089E"/>
    <w:rsid w:val="791A58CD"/>
    <w:rsid w:val="791D6D3A"/>
    <w:rsid w:val="791F537B"/>
    <w:rsid w:val="79344437"/>
    <w:rsid w:val="79367982"/>
    <w:rsid w:val="793D5C2F"/>
    <w:rsid w:val="793E1D3B"/>
    <w:rsid w:val="793F7F0E"/>
    <w:rsid w:val="794A336F"/>
    <w:rsid w:val="794B6C37"/>
    <w:rsid w:val="79537099"/>
    <w:rsid w:val="79552D08"/>
    <w:rsid w:val="7957124C"/>
    <w:rsid w:val="795E7ED2"/>
    <w:rsid w:val="79672E22"/>
    <w:rsid w:val="79677010"/>
    <w:rsid w:val="796E6578"/>
    <w:rsid w:val="79711579"/>
    <w:rsid w:val="797121AE"/>
    <w:rsid w:val="797761C6"/>
    <w:rsid w:val="797E1825"/>
    <w:rsid w:val="79994E18"/>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46B39"/>
    <w:rsid w:val="79E66C93"/>
    <w:rsid w:val="79F16E80"/>
    <w:rsid w:val="79F32B94"/>
    <w:rsid w:val="79F842C2"/>
    <w:rsid w:val="79FA0A29"/>
    <w:rsid w:val="79FC6E04"/>
    <w:rsid w:val="79FE2A4E"/>
    <w:rsid w:val="7A0241AD"/>
    <w:rsid w:val="7A081D42"/>
    <w:rsid w:val="7A0A6E0F"/>
    <w:rsid w:val="7A0A7223"/>
    <w:rsid w:val="7A0C4EA7"/>
    <w:rsid w:val="7A12552F"/>
    <w:rsid w:val="7A1524DD"/>
    <w:rsid w:val="7A1A1772"/>
    <w:rsid w:val="7A1E1DC3"/>
    <w:rsid w:val="7A2751AD"/>
    <w:rsid w:val="7A276994"/>
    <w:rsid w:val="7A2C129F"/>
    <w:rsid w:val="7A3B034D"/>
    <w:rsid w:val="7A3B1C6C"/>
    <w:rsid w:val="7A3F158B"/>
    <w:rsid w:val="7A4A132A"/>
    <w:rsid w:val="7A535840"/>
    <w:rsid w:val="7A5566EE"/>
    <w:rsid w:val="7A646A69"/>
    <w:rsid w:val="7A6736BC"/>
    <w:rsid w:val="7A6A7B3B"/>
    <w:rsid w:val="7A7060B4"/>
    <w:rsid w:val="7A7067FA"/>
    <w:rsid w:val="7A721F7E"/>
    <w:rsid w:val="7A746574"/>
    <w:rsid w:val="7A7678E5"/>
    <w:rsid w:val="7A7A585C"/>
    <w:rsid w:val="7A7B24DD"/>
    <w:rsid w:val="7A7D2094"/>
    <w:rsid w:val="7A7F65CA"/>
    <w:rsid w:val="7A844954"/>
    <w:rsid w:val="7A867241"/>
    <w:rsid w:val="7A876B11"/>
    <w:rsid w:val="7A88301C"/>
    <w:rsid w:val="7A963A48"/>
    <w:rsid w:val="7A9660A3"/>
    <w:rsid w:val="7A9861CB"/>
    <w:rsid w:val="7A986784"/>
    <w:rsid w:val="7ABB3E82"/>
    <w:rsid w:val="7AC3568E"/>
    <w:rsid w:val="7AC449C6"/>
    <w:rsid w:val="7AD17D6D"/>
    <w:rsid w:val="7AD71052"/>
    <w:rsid w:val="7AD9797E"/>
    <w:rsid w:val="7ADE3DB2"/>
    <w:rsid w:val="7AE5682B"/>
    <w:rsid w:val="7AEE60EE"/>
    <w:rsid w:val="7AFE6C9A"/>
    <w:rsid w:val="7B0E060E"/>
    <w:rsid w:val="7B0F5219"/>
    <w:rsid w:val="7B177A77"/>
    <w:rsid w:val="7B193032"/>
    <w:rsid w:val="7B1B1CF8"/>
    <w:rsid w:val="7B26484C"/>
    <w:rsid w:val="7B2B13FD"/>
    <w:rsid w:val="7B3339FA"/>
    <w:rsid w:val="7B346599"/>
    <w:rsid w:val="7B3C25E5"/>
    <w:rsid w:val="7B44094D"/>
    <w:rsid w:val="7B460BFD"/>
    <w:rsid w:val="7B4910BE"/>
    <w:rsid w:val="7B4A7A19"/>
    <w:rsid w:val="7B50325A"/>
    <w:rsid w:val="7B5D3226"/>
    <w:rsid w:val="7B5E4EEC"/>
    <w:rsid w:val="7B624A61"/>
    <w:rsid w:val="7B674BD7"/>
    <w:rsid w:val="7B6D1622"/>
    <w:rsid w:val="7B6E2192"/>
    <w:rsid w:val="7B71585E"/>
    <w:rsid w:val="7B722498"/>
    <w:rsid w:val="7B782690"/>
    <w:rsid w:val="7B793E87"/>
    <w:rsid w:val="7B7C50C8"/>
    <w:rsid w:val="7B7F3966"/>
    <w:rsid w:val="7B80148D"/>
    <w:rsid w:val="7B821ADA"/>
    <w:rsid w:val="7B8F5DA2"/>
    <w:rsid w:val="7B926883"/>
    <w:rsid w:val="7BA34FB1"/>
    <w:rsid w:val="7BA4369C"/>
    <w:rsid w:val="7BA71440"/>
    <w:rsid w:val="7BAE696E"/>
    <w:rsid w:val="7BAF3C86"/>
    <w:rsid w:val="7BC23E12"/>
    <w:rsid w:val="7BC45CF4"/>
    <w:rsid w:val="7BC92A6F"/>
    <w:rsid w:val="7BD36780"/>
    <w:rsid w:val="7BD4048E"/>
    <w:rsid w:val="7BD968AC"/>
    <w:rsid w:val="7BDE060F"/>
    <w:rsid w:val="7BDE524C"/>
    <w:rsid w:val="7BDF5DF5"/>
    <w:rsid w:val="7BE908F3"/>
    <w:rsid w:val="7BE9784F"/>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2E5247"/>
    <w:rsid w:val="7C4A06A1"/>
    <w:rsid w:val="7C4A5A50"/>
    <w:rsid w:val="7C4B681D"/>
    <w:rsid w:val="7C4C575E"/>
    <w:rsid w:val="7C640974"/>
    <w:rsid w:val="7C643EF7"/>
    <w:rsid w:val="7C690B20"/>
    <w:rsid w:val="7C71523C"/>
    <w:rsid w:val="7C724EAE"/>
    <w:rsid w:val="7C780AD5"/>
    <w:rsid w:val="7C7A14F2"/>
    <w:rsid w:val="7C7E2FFC"/>
    <w:rsid w:val="7C7F038C"/>
    <w:rsid w:val="7C867154"/>
    <w:rsid w:val="7C8A49AA"/>
    <w:rsid w:val="7C8F78D5"/>
    <w:rsid w:val="7C9427B3"/>
    <w:rsid w:val="7C9E5A77"/>
    <w:rsid w:val="7CA777DA"/>
    <w:rsid w:val="7CAD2B44"/>
    <w:rsid w:val="7CB74F4A"/>
    <w:rsid w:val="7CB80138"/>
    <w:rsid w:val="7CB838AF"/>
    <w:rsid w:val="7CBE6F50"/>
    <w:rsid w:val="7CC639C6"/>
    <w:rsid w:val="7CC96839"/>
    <w:rsid w:val="7CCC3CFE"/>
    <w:rsid w:val="7CCD12D3"/>
    <w:rsid w:val="7CD505D1"/>
    <w:rsid w:val="7CD534FD"/>
    <w:rsid w:val="7CD6692A"/>
    <w:rsid w:val="7CDE11DF"/>
    <w:rsid w:val="7CE215AC"/>
    <w:rsid w:val="7CE25B4A"/>
    <w:rsid w:val="7CE3422B"/>
    <w:rsid w:val="7CE5443B"/>
    <w:rsid w:val="7CE76B7F"/>
    <w:rsid w:val="7CED09D9"/>
    <w:rsid w:val="7CF436AD"/>
    <w:rsid w:val="7CF87323"/>
    <w:rsid w:val="7CFC65E9"/>
    <w:rsid w:val="7CFD1F2F"/>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497FAA"/>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7722C"/>
    <w:rsid w:val="7DEC05A8"/>
    <w:rsid w:val="7DED1348"/>
    <w:rsid w:val="7DEE71DF"/>
    <w:rsid w:val="7DF66186"/>
    <w:rsid w:val="7E007B1A"/>
    <w:rsid w:val="7E0A5EA4"/>
    <w:rsid w:val="7E0A72D5"/>
    <w:rsid w:val="7E0B3C08"/>
    <w:rsid w:val="7E154422"/>
    <w:rsid w:val="7E1C2B95"/>
    <w:rsid w:val="7E1E3CF4"/>
    <w:rsid w:val="7E212526"/>
    <w:rsid w:val="7E262B03"/>
    <w:rsid w:val="7E29766E"/>
    <w:rsid w:val="7E2E765A"/>
    <w:rsid w:val="7E324C10"/>
    <w:rsid w:val="7E324D32"/>
    <w:rsid w:val="7E3B7336"/>
    <w:rsid w:val="7E3D35D7"/>
    <w:rsid w:val="7E466A84"/>
    <w:rsid w:val="7E472FFE"/>
    <w:rsid w:val="7E4A6379"/>
    <w:rsid w:val="7E5248E3"/>
    <w:rsid w:val="7E5A2EA0"/>
    <w:rsid w:val="7E66305F"/>
    <w:rsid w:val="7E6854DB"/>
    <w:rsid w:val="7E6C43B3"/>
    <w:rsid w:val="7E7311AB"/>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27810"/>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5C5B37"/>
    <w:rsid w:val="7F6566E6"/>
    <w:rsid w:val="7F6A7C64"/>
    <w:rsid w:val="7F6B0BA4"/>
    <w:rsid w:val="7F6E0CE1"/>
    <w:rsid w:val="7F6F6E86"/>
    <w:rsid w:val="7F8A3738"/>
    <w:rsid w:val="7F8B3191"/>
    <w:rsid w:val="7F8C0C31"/>
    <w:rsid w:val="7F8E4655"/>
    <w:rsid w:val="7F8E6809"/>
    <w:rsid w:val="7F987985"/>
    <w:rsid w:val="7F992C82"/>
    <w:rsid w:val="7F9C63C5"/>
    <w:rsid w:val="7F9E0C2E"/>
    <w:rsid w:val="7FA23301"/>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sz w:val="21"/>
      <w:szCs w:val="21"/>
    </w:rPr>
  </w:style>
  <w:style w:type="character" w:styleId="10">
    <w:name w:val="FollowedHyperlink"/>
    <w:basedOn w:val="8"/>
    <w:qFormat/>
    <w:uiPriority w:val="0"/>
    <w:rPr>
      <w:color w:val="4D7AD8"/>
      <w:u w:val="none"/>
    </w:rPr>
  </w:style>
  <w:style w:type="character" w:styleId="11">
    <w:name w:val="HTML Definition"/>
    <w:basedOn w:val="8"/>
    <w:qFormat/>
    <w:uiPriority w:val="0"/>
    <w:rPr>
      <w:i/>
      <w:bdr w:val="single" w:color="D9D9D9" w:sz="6" w:space="0"/>
      <w:shd w:val="clear" w:fill="FFFFFF"/>
    </w:rPr>
  </w:style>
  <w:style w:type="character" w:styleId="12">
    <w:name w:val="Hyperlink"/>
    <w:basedOn w:val="8"/>
    <w:qFormat/>
    <w:uiPriority w:val="0"/>
    <w:rPr>
      <w:color w:val="0000FF"/>
      <w:u w:val="single"/>
    </w:rPr>
  </w:style>
  <w:style w:type="character" w:styleId="13">
    <w:name w:val="HTML Code"/>
    <w:basedOn w:val="8"/>
    <w:qFormat/>
    <w:uiPriority w:val="0"/>
    <w:rPr>
      <w:rFonts w:hint="default" w:ascii="Consolas" w:hAnsi="Consolas" w:eastAsia="Consolas" w:cs="Consolas"/>
      <w:sz w:val="21"/>
      <w:szCs w:val="21"/>
    </w:rPr>
  </w:style>
  <w:style w:type="character" w:styleId="14">
    <w:name w:val="HTML Keyboard"/>
    <w:basedOn w:val="8"/>
    <w:qFormat/>
    <w:uiPriority w:val="0"/>
    <w:rPr>
      <w:rFonts w:ascii="Consolas" w:hAnsi="Consolas" w:eastAsia="Consolas" w:cs="Consolas"/>
      <w:color w:val="666666"/>
      <w:sz w:val="21"/>
      <w:szCs w:val="21"/>
    </w:rPr>
  </w:style>
  <w:style w:type="character" w:styleId="15">
    <w:name w:val="HTML Sample"/>
    <w:basedOn w:val="8"/>
    <w:qFormat/>
    <w:uiPriority w:val="0"/>
    <w:rPr>
      <w:rFonts w:hint="default" w:ascii="Consolas" w:hAnsi="Consolas" w:eastAsia="Consolas" w:cs="Consolas"/>
      <w:sz w:val="21"/>
      <w:szCs w:val="21"/>
    </w:rPr>
  </w:style>
  <w:style w:type="character" w:customStyle="1" w:styleId="16">
    <w:name w:val="first-child2"/>
    <w:basedOn w:val="8"/>
    <w:qFormat/>
    <w:uiPriority w:val="0"/>
    <w:rPr>
      <w:sz w:val="13"/>
      <w:szCs w:val="13"/>
    </w:rPr>
  </w:style>
  <w:style w:type="character" w:customStyle="1" w:styleId="17">
    <w:name w:val="ant-select-tree-switcher"/>
    <w:basedOn w:val="8"/>
    <w:qFormat/>
    <w:uiPriority w:val="0"/>
  </w:style>
  <w:style w:type="character" w:customStyle="1" w:styleId="18">
    <w:name w:val="ant-tree-iconele"/>
    <w:basedOn w:val="8"/>
    <w:qFormat/>
    <w:uiPriority w:val="0"/>
  </w:style>
  <w:style w:type="character" w:customStyle="1" w:styleId="19">
    <w:name w:val="ant-radio+*"/>
    <w:basedOn w:val="8"/>
    <w:qFormat/>
    <w:uiPriority w:val="0"/>
  </w:style>
  <w:style w:type="character" w:customStyle="1" w:styleId="20">
    <w:name w:val="selected4"/>
    <w:basedOn w:val="8"/>
    <w:qFormat/>
    <w:uiPriority w:val="0"/>
  </w:style>
  <w:style w:type="character" w:customStyle="1" w:styleId="21">
    <w:name w:val="selected5"/>
    <w:basedOn w:val="8"/>
    <w:qFormat/>
    <w:uiPriority w:val="0"/>
  </w:style>
  <w:style w:type="character" w:customStyle="1" w:styleId="22">
    <w:name w:val="selected6"/>
    <w:basedOn w:val="8"/>
    <w:qFormat/>
    <w:uiPriority w:val="0"/>
  </w:style>
  <w:style w:type="character" w:customStyle="1" w:styleId="23">
    <w:name w:val="button"/>
    <w:basedOn w:val="8"/>
    <w:qFormat/>
    <w:uiPriority w:val="0"/>
  </w:style>
  <w:style w:type="character" w:customStyle="1" w:styleId="24">
    <w:name w:val="hover19"/>
    <w:basedOn w:val="8"/>
    <w:qFormat/>
    <w:uiPriority w:val="0"/>
    <w:rPr>
      <w:color w:val="009DFF"/>
    </w:rPr>
  </w:style>
  <w:style w:type="character" w:customStyle="1" w:styleId="25">
    <w:name w:val="hover20"/>
    <w:basedOn w:val="8"/>
    <w:qFormat/>
    <w:uiPriority w:val="0"/>
    <w:rPr>
      <w:color w:val="009DFF"/>
    </w:rPr>
  </w:style>
  <w:style w:type="character" w:customStyle="1" w:styleId="26">
    <w:name w:val="ant-tree-switcher"/>
    <w:basedOn w:val="8"/>
    <w:qFormat/>
    <w:uiPriority w:val="0"/>
  </w:style>
  <w:style w:type="character" w:customStyle="1" w:styleId="27">
    <w:name w:val="ant-select-tree-checkbox2"/>
    <w:basedOn w:val="8"/>
    <w:qFormat/>
    <w:uiPriority w:val="0"/>
  </w:style>
  <w:style w:type="character" w:customStyle="1" w:styleId="28">
    <w:name w:val="ant-select-tree-iconele"/>
    <w:basedOn w:val="8"/>
    <w:qFormat/>
    <w:uiPriority w:val="0"/>
  </w:style>
  <w:style w:type="character" w:customStyle="1" w:styleId="29">
    <w:name w:val="ant-tree-checkbox6"/>
    <w:basedOn w:val="8"/>
    <w:qFormat/>
    <w:uiPriority w:val="0"/>
  </w:style>
  <w:style w:type="character" w:customStyle="1" w:styleId="30">
    <w:name w:val="wea-thumbnails-doc-content-subtitle"/>
    <w:basedOn w:val="8"/>
    <w:qFormat/>
    <w:uiPriority w:val="0"/>
    <w:rPr>
      <w:color w:val="9A9A9A"/>
    </w:rPr>
  </w:style>
  <w:style w:type="character" w:customStyle="1" w:styleId="31">
    <w:name w:val="ht_nestinglevel"/>
    <w:basedOn w:val="8"/>
    <w:qFormat/>
    <w:uiPriority w:val="0"/>
  </w:style>
  <w:style w:type="character" w:customStyle="1" w:styleId="32">
    <w:name w:val="ht_nestinglevel_empty"/>
    <w:basedOn w:val="8"/>
    <w:qFormat/>
    <w:uiPriority w:val="0"/>
  </w:style>
  <w:style w:type="character" w:customStyle="1" w:styleId="33">
    <w:name w:val="colheader"/>
    <w:basedOn w:val="8"/>
    <w:qFormat/>
    <w:uiPriority w:val="0"/>
  </w:style>
  <w:style w:type="character" w:customStyle="1" w:styleId="34">
    <w:name w:val="ant-tree-checkbox"/>
    <w:basedOn w:val="8"/>
    <w:qFormat/>
    <w:uiPriority w:val="0"/>
  </w:style>
  <w:style w:type="character" w:customStyle="1" w:styleId="35">
    <w:name w:val="first-child"/>
    <w:basedOn w:val="8"/>
    <w:qFormat/>
    <w:uiPriority w:val="0"/>
    <w:rPr>
      <w:sz w:val="13"/>
      <w:szCs w:val="13"/>
    </w:rPr>
  </w:style>
  <w:style w:type="character" w:customStyle="1" w:styleId="36">
    <w:name w:val="ant-tree-switcher6"/>
    <w:basedOn w:val="8"/>
    <w:qFormat/>
    <w:uiPriority w:val="0"/>
  </w:style>
  <w:style w:type="character" w:customStyle="1" w:styleId="37">
    <w:name w:val="selected"/>
    <w:basedOn w:val="8"/>
    <w:qFormat/>
    <w:uiPriority w:val="0"/>
  </w:style>
  <w:style w:type="character" w:customStyle="1" w:styleId="38">
    <w:name w:val="selected1"/>
    <w:basedOn w:val="8"/>
    <w:qFormat/>
    <w:uiPriority w:val="0"/>
  </w:style>
  <w:style w:type="character" w:customStyle="1" w:styleId="39">
    <w:name w:val="selected2"/>
    <w:basedOn w:val="8"/>
    <w:qFormat/>
    <w:uiPriority w:val="0"/>
  </w:style>
  <w:style w:type="character" w:customStyle="1" w:styleId="40">
    <w:name w:val="ant-select-tree-checkbox"/>
    <w:basedOn w:val="8"/>
    <w:qFormat/>
    <w:uiPriority w:val="0"/>
  </w:style>
  <w:style w:type="character" w:customStyle="1" w:styleId="41">
    <w:name w:val="ant-tree-switcher5"/>
    <w:basedOn w:val="8"/>
    <w:qFormat/>
    <w:uiPriority w:val="0"/>
  </w:style>
  <w:style w:type="character" w:customStyle="1" w:styleId="42">
    <w:name w:val="selected7"/>
    <w:basedOn w:val="8"/>
    <w:qFormat/>
    <w:uiPriority w:val="0"/>
  </w:style>
  <w:style w:type="character" w:customStyle="1" w:styleId="43">
    <w:name w:val="selected11"/>
    <w:basedOn w:val="8"/>
    <w:qFormat/>
    <w:uiPriority w:val="0"/>
  </w:style>
  <w:style w:type="character" w:customStyle="1" w:styleId="44">
    <w:name w:val="selected12"/>
    <w:basedOn w:val="8"/>
    <w:qFormat/>
    <w:uiPriority w:val="0"/>
  </w:style>
  <w:style w:type="character" w:customStyle="1" w:styleId="45">
    <w:name w:val="selected13"/>
    <w:basedOn w:val="8"/>
    <w:qFormat/>
    <w:uiPriority w:val="0"/>
  </w:style>
  <w:style w:type="character" w:customStyle="1" w:styleId="46">
    <w:name w:val="selected8"/>
    <w:basedOn w:val="8"/>
    <w:qFormat/>
    <w:uiPriority w:val="0"/>
  </w:style>
  <w:style w:type="character" w:customStyle="1" w:styleId="47">
    <w:name w:val="selected9"/>
    <w:basedOn w:val="8"/>
    <w:qFormat/>
    <w:uiPriority w:val="0"/>
  </w:style>
  <w:style w:type="character" w:customStyle="1" w:styleId="48">
    <w:name w:val="selected10"/>
    <w:basedOn w:val="8"/>
    <w:qFormat/>
    <w:uiPriority w:val="0"/>
  </w:style>
  <w:style w:type="character" w:customStyle="1" w:styleId="49">
    <w:name w:val="hover18"/>
    <w:basedOn w:val="8"/>
    <w:qFormat/>
    <w:uiPriority w:val="0"/>
    <w:rPr>
      <w:color w:val="009DFF"/>
    </w:rPr>
  </w:style>
  <w:style w:type="character" w:customStyle="1" w:styleId="50">
    <w:name w:val="ant-tree-checkbox5"/>
    <w:basedOn w:val="8"/>
    <w:qFormat/>
    <w:uiPriority w:val="0"/>
  </w:style>
  <w:style w:type="character" w:customStyle="1" w:styleId="51">
    <w:name w:val="ant-tree-switcher4"/>
    <w:basedOn w:val="8"/>
    <w:qFormat/>
    <w:uiPriority w:val="0"/>
  </w:style>
  <w:style w:type="character" w:customStyle="1" w:styleId="52">
    <w:name w:val="hover"/>
    <w:basedOn w:val="8"/>
    <w:qFormat/>
    <w:uiPriority w:val="0"/>
    <w:rPr>
      <w:color w:val="009DFF"/>
    </w:rPr>
  </w:style>
  <w:style w:type="character" w:customStyle="1" w:styleId="53">
    <w:name w:val="hover1"/>
    <w:basedOn w:val="8"/>
    <w:qFormat/>
    <w:uiPriority w:val="0"/>
    <w:rPr>
      <w:color w:val="009DFF"/>
    </w:rPr>
  </w:style>
  <w:style w:type="character" w:customStyle="1" w:styleId="54">
    <w:name w:val="hover15"/>
    <w:basedOn w:val="8"/>
    <w:qFormat/>
    <w:uiPriority w:val="0"/>
    <w:rPr>
      <w:color w:val="009DFF"/>
    </w:rPr>
  </w:style>
  <w:style w:type="character" w:customStyle="1" w:styleId="55">
    <w:name w:val="hover16"/>
    <w:basedOn w:val="8"/>
    <w:qFormat/>
    <w:uiPriority w:val="0"/>
    <w:rPr>
      <w:color w:val="009DFF"/>
    </w:rPr>
  </w:style>
  <w:style w:type="character" w:customStyle="1" w:styleId="56">
    <w:name w:val="ant-tree-checkbox4"/>
    <w:basedOn w:val="8"/>
    <w:qFormat/>
    <w:uiPriority w:val="0"/>
  </w:style>
  <w:style w:type="character" w:customStyle="1" w:styleId="57">
    <w:name w:val="hover17"/>
    <w:basedOn w:val="8"/>
    <w:qFormat/>
    <w:uiPriority w:val="0"/>
    <w:rPr>
      <w:color w:val="009DFF"/>
    </w:rPr>
  </w:style>
  <w:style w:type="character" w:customStyle="1" w:styleId="58">
    <w:name w:val="hover14"/>
    <w:basedOn w:val="8"/>
    <w:qFormat/>
    <w:uiPriority w:val="0"/>
    <w:rPr>
      <w:color w:val="009DFF"/>
    </w:rPr>
  </w:style>
  <w:style w:type="character" w:customStyle="1" w:styleId="59">
    <w:name w:val="hover13"/>
    <w:basedOn w:val="8"/>
    <w:qFormat/>
    <w:uiPriority w:val="0"/>
    <w:rPr>
      <w:color w:val="009DFF"/>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12820</Words>
  <Characters>13786</Characters>
  <Lines>1</Lines>
  <Paragraphs>1</Paragraphs>
  <TotalTime>2</TotalTime>
  <ScaleCrop>false</ScaleCrop>
  <LinksUpToDate>false</LinksUpToDate>
  <CharactersWithSpaces>13845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左亮</cp:lastModifiedBy>
  <cp:lastPrinted>2026-02-06T07:18:00Z</cp:lastPrinted>
  <dcterms:modified xsi:type="dcterms:W3CDTF">2026-03-27T01:16:39Z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B20D8B5F72404B3391EBD2B4E0C81EBE_13</vt:lpwstr>
  </property>
  <property fmtid="{D5CDD505-2E9C-101B-9397-08002B2CF9AE}" pid="4" name="KSOTemplateDocerSaveRecord">
    <vt:lpwstr>eyJoZGlkIjoiZjNiNGRkNzIwNDhhZDJkNTgzN2EzNjc2NjIxOGZjZjkiLCJ1c2VySWQiOiIxNzEwMjM3NzY5In0=</vt:lpwstr>
  </property>
</Properties>
</file>