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23</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69</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7</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6月1日（周六）</w:t>
      </w:r>
      <w:r>
        <w:rPr>
          <w:rFonts w:hint="eastAsia" w:ascii="Times New Roman" w:hAnsi="Times New Roman" w:eastAsia="方正楷体_GBK" w:cs="Times New Roman"/>
          <w:b/>
          <w:bCs w:val="0"/>
          <w:color w:val="auto"/>
          <w:spacing w:val="0"/>
          <w:kern w:val="36"/>
          <w:sz w:val="30"/>
          <w:szCs w:val="30"/>
          <w:lang w:val="en-US" w:eastAsia="zh-CN"/>
        </w:rPr>
        <w:t xml:space="preserve">美国4月通胀稳定，欧洲5月通胀反弹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01</w:t>
      </w:r>
      <w:r>
        <w:rPr>
          <w:rFonts w:hint="default" w:ascii="Times New Roman" w:hAnsi="Times New Roman" w:eastAsia="方正楷体_GBK" w:cs="Times New Roman"/>
          <w:b/>
          <w:bCs w:val="0"/>
          <w:color w:val="auto"/>
          <w:spacing w:val="0"/>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jc w:val="left"/>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2</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日</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美国发现人感染禽流感，新宿主是奶牛 </w:t>
      </w:r>
      <w:r>
        <w:rPr>
          <w:rFonts w:hint="default" w:ascii="Times New Roman" w:hAnsi="Times New Roman" w:eastAsia="方正楷体_GBK" w:cs="Times New Roman"/>
          <w:b/>
          <w:bCs w:val="0"/>
          <w:color w:val="auto"/>
          <w:spacing w:val="0"/>
          <w:kern w:val="36"/>
          <w:sz w:val="30"/>
          <w:szCs w:val="30"/>
          <w:lang w:val="en-US" w:eastAsia="zh-CN"/>
        </w:rPr>
        <w:t xml:space="preserve">/ </w:t>
      </w:r>
      <w:r>
        <w:rPr>
          <w:rFonts w:hint="eastAsia" w:ascii="Times New Roman" w:hAnsi="Times New Roman" w:eastAsia="方正楷体_GBK" w:cs="Times New Roman"/>
          <w:b/>
          <w:bCs w:val="0"/>
          <w:color w:val="auto"/>
          <w:spacing w:val="0"/>
          <w:kern w:val="36"/>
          <w:sz w:val="30"/>
          <w:szCs w:val="30"/>
          <w:lang w:val="en-US" w:eastAsia="zh-CN"/>
        </w:rPr>
        <w:t>02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3</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一</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芝加哥PMI数据惊人，欧央行降息箭在弦上</w:t>
      </w:r>
      <w:r>
        <w:rPr>
          <w:rFonts w:hint="default" w:ascii="Times New Roman" w:hAnsi="Times New Roman" w:eastAsia="方正楷体_GBK" w:cs="Times New Roman"/>
          <w:b/>
          <w:bCs w:val="0"/>
          <w:color w:val="auto"/>
          <w:spacing w:val="-23"/>
          <w:kern w:val="36"/>
          <w:sz w:val="30"/>
          <w:szCs w:val="30"/>
          <w:lang w:val="en-US" w:eastAsia="zh-CN"/>
        </w:rPr>
        <w:t xml:space="preserve">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06</w:t>
      </w:r>
      <w:r>
        <w:rPr>
          <w:rFonts w:hint="default" w:ascii="Times New Roman" w:hAnsi="Times New Roman" w:eastAsia="方正楷体_GBK" w:cs="Times New Roman"/>
          <w:b/>
          <w:bCs w:val="0"/>
          <w:color w:val="auto"/>
          <w:spacing w:val="0"/>
          <w:kern w:val="36"/>
          <w:sz w:val="30"/>
          <w:szCs w:val="30"/>
          <w:lang w:val="en-US" w:eastAsia="zh-CN"/>
        </w:rPr>
        <w:t xml:space="preserve"> </w:t>
      </w:r>
    </w:p>
    <w:p>
      <w:pPr>
        <w:keepNext w:val="0"/>
        <w:keepLines w:val="0"/>
        <w:pageBreakBefore w:val="0"/>
        <w:kinsoku/>
        <w:wordWrap/>
        <w:overflowPunct/>
        <w:topLinePunct w:val="0"/>
        <w:autoSpaceDE/>
        <w:autoSpaceDN/>
        <w:bidi w:val="0"/>
        <w:adjustRightInd/>
        <w:snapToGrid/>
        <w:ind w:firstLine="568" w:firstLineChars="200"/>
        <w:textAlignment w:val="auto"/>
        <w:rPr>
          <w:rFonts w:hint="eastAsia" w:ascii="Times New Roman" w:hAnsi="Times New Roman" w:eastAsia="方正楷体_GBK" w:cs="Times New Roman"/>
          <w:b/>
          <w:bCs w:val="0"/>
          <w:color w:val="auto"/>
          <w:spacing w:val="-6"/>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4日</w:t>
      </w:r>
      <w:r>
        <w:rPr>
          <w:rFonts w:hint="default" w:ascii="Times New Roman" w:hAnsi="Times New Roman" w:eastAsia="方正楷体_GBK" w:cs="Times New Roman"/>
          <w:b/>
          <w:bCs w:val="0"/>
          <w:color w:val="auto"/>
          <w:spacing w:val="0"/>
          <w:kern w:val="36"/>
          <w:sz w:val="30"/>
          <w:szCs w:val="30"/>
          <w:lang w:val="en-US" w:eastAsia="zh-CN"/>
        </w:rPr>
        <w:t>（周</w:t>
      </w:r>
      <w:r>
        <w:rPr>
          <w:rFonts w:hint="eastAsia" w:ascii="Times New Roman" w:hAnsi="Times New Roman" w:eastAsia="方正楷体_GBK" w:cs="Times New Roman"/>
          <w:b/>
          <w:bCs w:val="0"/>
          <w:color w:val="auto"/>
          <w:spacing w:val="0"/>
          <w:kern w:val="36"/>
          <w:sz w:val="30"/>
          <w:szCs w:val="30"/>
          <w:lang w:val="en-US" w:eastAsia="zh-CN"/>
        </w:rPr>
        <w:t>二</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6"/>
          <w:kern w:val="36"/>
          <w:sz w:val="30"/>
          <w:szCs w:val="30"/>
          <w:lang w:val="en-US" w:eastAsia="zh-CN"/>
        </w:rPr>
        <w:t xml:space="preserve">5月制造业PMI亚欧冷热不均，美国扑朔迷离 </w:t>
      </w:r>
      <w:r>
        <w:rPr>
          <w:rFonts w:hint="default" w:ascii="Times New Roman" w:hAnsi="Times New Roman" w:eastAsia="方正楷体_GBK" w:cs="Times New Roman"/>
          <w:b/>
          <w:bCs w:val="0"/>
          <w:color w:val="auto"/>
          <w:spacing w:val="-6"/>
          <w:kern w:val="36"/>
          <w:sz w:val="30"/>
          <w:szCs w:val="30"/>
          <w:lang w:val="en-US" w:eastAsia="zh-CN"/>
        </w:rPr>
        <w:t>/</w:t>
      </w:r>
      <w:r>
        <w:rPr>
          <w:rFonts w:hint="eastAsia" w:ascii="Times New Roman" w:hAnsi="Times New Roman" w:eastAsia="方正楷体_GBK" w:cs="Times New Roman"/>
          <w:b/>
          <w:bCs w:val="0"/>
          <w:color w:val="auto"/>
          <w:spacing w:val="-6"/>
          <w:kern w:val="36"/>
          <w:sz w:val="30"/>
          <w:szCs w:val="30"/>
          <w:lang w:val="en-US" w:eastAsia="zh-CN"/>
        </w:rPr>
        <w:t xml:space="preserve"> 08</w:t>
      </w:r>
      <w:r>
        <w:rPr>
          <w:rFonts w:hint="default" w:ascii="Times New Roman" w:hAnsi="Times New Roman" w:eastAsia="方正楷体_GBK" w:cs="Times New Roman"/>
          <w:b/>
          <w:bCs w:val="0"/>
          <w:color w:val="auto"/>
          <w:spacing w:val="-6"/>
          <w:kern w:val="36"/>
          <w:sz w:val="30"/>
          <w:szCs w:val="30"/>
          <w:lang w:val="en-US" w:eastAsia="zh-CN"/>
        </w:rPr>
        <w:t xml:space="preserve"> </w:t>
      </w:r>
    </w:p>
    <w:p>
      <w:pPr>
        <w:keepNext w:val="0"/>
        <w:keepLines w:val="0"/>
        <w:pageBreakBefore w:val="0"/>
        <w:kinsoku/>
        <w:wordWrap/>
        <w:overflowPunct/>
        <w:topLinePunct w:val="0"/>
        <w:autoSpaceDE/>
        <w:autoSpaceDN/>
        <w:bidi w:val="0"/>
        <w:adjustRightInd/>
        <w:snapToGrid/>
        <w:ind w:firstLine="568" w:firstLineChars="200"/>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5</w:t>
      </w:r>
      <w:r>
        <w:rPr>
          <w:rFonts w:hint="default" w:ascii="Times New Roman" w:hAnsi="Times New Roman" w:eastAsia="方正楷体_GBK" w:cs="Times New Roman"/>
          <w:b/>
          <w:bCs w:val="0"/>
          <w:color w:val="auto"/>
          <w:spacing w:val="0"/>
          <w:kern w:val="36"/>
          <w:sz w:val="30"/>
          <w:szCs w:val="30"/>
          <w:lang w:val="en-US" w:eastAsia="zh-CN"/>
        </w:rPr>
        <w:t>日（周</w:t>
      </w:r>
      <w:r>
        <w:rPr>
          <w:rFonts w:hint="eastAsia" w:ascii="Times New Roman" w:hAnsi="Times New Roman" w:eastAsia="方正楷体_GBK" w:cs="Times New Roman"/>
          <w:b/>
          <w:bCs w:val="0"/>
          <w:color w:val="auto"/>
          <w:spacing w:val="0"/>
          <w:kern w:val="36"/>
          <w:sz w:val="30"/>
          <w:szCs w:val="30"/>
          <w:lang w:val="en-US" w:eastAsia="zh-CN"/>
        </w:rPr>
        <w:t>三</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美国就业市场有降温迹象，降息预期随之产生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10 </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6日（周四）“小非农”降温，加拿大率先降息，欧央行应将随行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11</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6</w:t>
      </w:r>
      <w:r>
        <w:rPr>
          <w:rFonts w:hint="default" w:ascii="Times New Roman" w:hAnsi="Times New Roman" w:eastAsia="方正楷体_GBK" w:cs="Times New Roman"/>
          <w:b/>
          <w:bCs w:val="0"/>
          <w:color w:val="auto"/>
          <w:spacing w:val="0"/>
          <w:kern w:val="36"/>
          <w:sz w:val="30"/>
          <w:szCs w:val="30"/>
          <w:lang w:val="en-US" w:eastAsia="zh-CN"/>
        </w:rPr>
        <w:t>月</w:t>
      </w:r>
      <w:r>
        <w:rPr>
          <w:rFonts w:hint="eastAsia" w:ascii="Times New Roman" w:hAnsi="Times New Roman" w:eastAsia="方正楷体_GBK" w:cs="Times New Roman"/>
          <w:b/>
          <w:bCs w:val="0"/>
          <w:color w:val="auto"/>
          <w:spacing w:val="0"/>
          <w:kern w:val="36"/>
          <w:sz w:val="30"/>
          <w:szCs w:val="30"/>
          <w:lang w:val="en-US" w:eastAsia="zh-CN"/>
        </w:rPr>
        <w:t xml:space="preserve">7日（周五）欧央行如期降息，美联储仍需观察 </w:t>
      </w:r>
      <w:r>
        <w:rPr>
          <w:rFonts w:hint="default" w:ascii="Times New Roman" w:hAnsi="Times New Roman" w:eastAsia="方正楷体_GBK" w:cs="Times New Roman"/>
          <w:b/>
          <w:bCs w:val="0"/>
          <w:color w:val="auto"/>
          <w:spacing w:val="0"/>
          <w:kern w:val="36"/>
          <w:sz w:val="30"/>
          <w:szCs w:val="30"/>
          <w:lang w:val="en-US" w:eastAsia="zh-CN"/>
        </w:rPr>
        <w:t>/</w:t>
      </w:r>
      <w:r>
        <w:rPr>
          <w:rFonts w:hint="eastAsia" w:ascii="Times New Roman" w:hAnsi="Times New Roman" w:eastAsia="方正楷体_GBK" w:cs="Times New Roman"/>
          <w:b/>
          <w:bCs w:val="0"/>
          <w:color w:val="auto"/>
          <w:spacing w:val="0"/>
          <w:kern w:val="36"/>
          <w:sz w:val="30"/>
          <w:szCs w:val="30"/>
          <w:lang w:val="en-US" w:eastAsia="zh-CN"/>
        </w:rPr>
        <w:t xml:space="preserve"> 13</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省委第十巡视组巡视中国国际贸易促进委员会江苏省分会党组工作动员会召开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省贸促会组织经贸法律交流团访问新加坡、泰国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省贸促会领导会见日本国际贸易促进协会事务局长泉川友树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省贸促会组团出访韩国参加第八届中日韩工商峰会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19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“境外机构、跨国公司江苏行”—德企泰州行活动成功举办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南京市贸促会与张家界市贸促会开展对口合作交流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bCs w:val="0"/>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南京市贸促会走访南京旅游集团 / 24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无锡市贸促会组团赴港澳开展经贸交流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第四十六期经贸大讲堂（无锡）顺利举办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新西兰中国国际贸易促进委员会经贸文化投资代表团拜访扬州市贸促会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27</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 xml:space="preserve">“贸促服务助企行”扬中宣讲活动成功举办 </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 xml:space="preserve"> 28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24" w:firstLineChars="200"/>
        <w:contextualSpacing/>
        <w:textAlignment w:val="auto"/>
        <w:outlineLvl w:val="1"/>
        <w:rPr>
          <w:rFonts w:hint="default" w:ascii="Times New Roman" w:hAnsi="Times New Roman" w:eastAsia="方正楷体_GBK" w:cs="Times New Roman"/>
          <w:b/>
          <w:color w:val="auto"/>
          <w:spacing w:val="-11"/>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FFC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89" w:leftChars="30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eastAsia" w:ascii="Times New Roman" w:hAnsi="Times New Roman" w:eastAsia="方正楷体_GBK" w:cs="Times New Roman"/>
          <w:b/>
          <w:bCs w:val="0"/>
          <w:color w:val="auto"/>
          <w:spacing w:val="0"/>
          <w:kern w:val="36"/>
          <w:sz w:val="30"/>
          <w:szCs w:val="30"/>
          <w:lang w:val="en-US" w:eastAsia="zh-CN"/>
        </w:rPr>
        <w:t>苏蒙两省区首个重大能源合作项目进展顺利</w:t>
      </w:r>
      <w:r>
        <w:rPr>
          <w:rFonts w:hint="eastAsia" w:ascii="Times New Roman" w:hAnsi="Times New Roman" w:eastAsia="方正楷体_GBK" w:cs="Times New Roman"/>
          <w:b w:val="0"/>
          <w:bCs/>
          <w:kern w:val="0"/>
          <w:sz w:val="32"/>
          <w:szCs w:val="32"/>
          <w:lang w:val="en-US" w:eastAsia="zh-CN" w:bidi="ar-SA"/>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南微医学新生产基地落成启用，开启创新发展新篇章</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31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textAlignment w:val="auto"/>
        <w:outlineLvl w:val="1"/>
        <w:rPr>
          <w:rFonts w:hint="default" w:ascii="Times New Roman" w:hAnsi="Times New Roman" w:eastAsia="方正楷体_GBK" w:cs="Times New Roman"/>
          <w:b/>
          <w:color w:val="auto"/>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eastAsia" w:ascii="Times New Roman" w:hAnsi="Times New Roman" w:eastAsia="方正楷体_GBK" w:cs="Times New Roman"/>
          <w:b/>
          <w:bCs w:val="0"/>
          <w:color w:val="auto"/>
          <w:spacing w:val="0"/>
          <w:kern w:val="36"/>
          <w:sz w:val="30"/>
          <w:szCs w:val="30"/>
          <w:lang w:val="en-US" w:eastAsia="zh-CN"/>
        </w:rPr>
        <w:t>瑞途获得2024《MOZLEN 500》中国涉外商标代理机构榜单特别推荐</w:t>
      </w:r>
      <w:r>
        <w:rPr>
          <w:rFonts w:hint="eastAsia" w:ascii="Times New Roman" w:hAnsi="Times New Roman" w:eastAsia="方正楷体_GBK" w:cs="Times New Roman"/>
          <w:b/>
          <w:color w:val="auto"/>
          <w:spacing w:val="0"/>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w:t>
      </w:r>
      <w:r>
        <w:rPr>
          <w:rFonts w:hint="eastAsia" w:ascii="Times New Roman" w:hAnsi="Times New Roman" w:eastAsia="方正楷体_GBK" w:cs="Times New Roman"/>
          <w:b/>
          <w:color w:val="auto"/>
          <w:kern w:val="36"/>
          <w:sz w:val="30"/>
          <w:szCs w:val="30"/>
          <w:lang w:val="en-US" w:eastAsia="zh-CN"/>
        </w:rPr>
        <w:t xml:space="preserve"> 32</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6月1日（周六）</w:t>
      </w:r>
    </w:p>
    <w:p>
      <w:pPr>
        <w:rPr>
          <w:rFonts w:hint="default"/>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美国4月通胀稳定，欧洲5月通胀反弹</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5月31日（周五），美国经济分析局公布4月份个人收入和支出指标（见表格一）。值得注意的是，4月的实际消费支出环比下降，这对遏制通胀来说，是一个正面的信号。</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ascii="Calibri" w:hAnsi="Calibri" w:eastAsia="仿宋_GB2312" w:cs="Calibri"/>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58240" behindDoc="0" locked="0" layoutInCell="1" allowOverlap="1">
            <wp:simplePos x="0" y="0"/>
            <wp:positionH relativeFrom="column">
              <wp:posOffset>324485</wp:posOffset>
            </wp:positionH>
            <wp:positionV relativeFrom="paragraph">
              <wp:posOffset>80645</wp:posOffset>
            </wp:positionV>
            <wp:extent cx="4907280" cy="908685"/>
            <wp:effectExtent l="0" t="0" r="7620" b="5715"/>
            <wp:wrapTopAndBottom/>
            <wp:docPr id="10" name="图片 10" descr="图片1-6月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6月1日"/>
                    <pic:cNvPicPr>
                      <a:picLocks noChangeAspect="1"/>
                    </pic:cNvPicPr>
                  </pic:nvPicPr>
                  <pic:blipFill>
                    <a:blip r:embed="rId6"/>
                    <a:stretch>
                      <a:fillRect/>
                    </a:stretch>
                  </pic:blipFill>
                  <pic:spPr>
                    <a:xfrm>
                      <a:off x="0" y="0"/>
                      <a:ext cx="4907280" cy="908685"/>
                    </a:xfrm>
                    <a:prstGeom prst="rect">
                      <a:avLst/>
                    </a:prstGeom>
                  </pic:spPr>
                </pic:pic>
              </a:graphicData>
            </a:graphic>
          </wp:anchor>
        </w:drawing>
      </w:r>
      <w:r>
        <w:rPr>
          <w:rFonts w:hint="default" w:ascii="Calibri" w:hAnsi="Calibri" w:eastAsia="仿宋_GB2312" w:cs="Calibri"/>
          <w:lang w:val="en-US" w:eastAsia="zh-CN"/>
        </w:rPr>
        <w:t>（</w:t>
      </w:r>
      <w:r>
        <w:rPr>
          <w:rFonts w:hint="eastAsia" w:ascii="方正黑体_GBK" w:hAnsi="方正黑体_GBK" w:eastAsia="方正黑体_GBK" w:cs="方正黑体_GBK"/>
          <w:b/>
          <w:bCs/>
          <w:lang w:val="en-US" w:eastAsia="zh-CN"/>
        </w:rPr>
        <w:t>注</w:t>
      </w:r>
      <w:r>
        <w:rPr>
          <w:rFonts w:hint="default" w:ascii="Calibri" w:hAnsi="Calibri" w:eastAsia="仿宋_GB2312" w:cs="Calibri"/>
          <w:lang w:val="en-US" w:eastAsia="zh-CN"/>
        </w:rPr>
        <w:t>：</w:t>
      </w:r>
      <w:r>
        <w:rPr>
          <w:rFonts w:hint="eastAsia" w:ascii="方正楷体_GBK" w:hAnsi="方正楷体_GBK" w:eastAsia="方正楷体_GBK" w:cs="方正楷体_GBK"/>
          <w:sz w:val="24"/>
          <w:szCs w:val="24"/>
          <w:vertAlign w:val="baseline"/>
          <w:lang w:val="en-US" w:eastAsia="zh-CN"/>
        </w:rPr>
        <w:t>实际个人消费支出PCE，是指扣除通胀因素之后的实际PCE</w:t>
      </w:r>
      <w:r>
        <w:rPr>
          <w:rFonts w:hint="default" w:ascii="Calibri" w:hAnsi="Calibri" w:eastAsia="仿宋_GB2312" w:cs="Calibri"/>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同日，美国经济分析局也发布了PCE物价指数（见表格二），与市场预期基本相同，核心PCE物价指数的环比和同比都略低于前值，呈现出通胀放缓的微弱信号。</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59264" behindDoc="0" locked="0" layoutInCell="1" allowOverlap="1">
            <wp:simplePos x="0" y="0"/>
            <wp:positionH relativeFrom="column">
              <wp:posOffset>290195</wp:posOffset>
            </wp:positionH>
            <wp:positionV relativeFrom="paragraph">
              <wp:posOffset>109855</wp:posOffset>
            </wp:positionV>
            <wp:extent cx="5008880" cy="1109345"/>
            <wp:effectExtent l="0" t="0" r="1270" b="14605"/>
            <wp:wrapTopAndBottom/>
            <wp:docPr id="11" name="图片 11" descr="图片2-6月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6月1日"/>
                    <pic:cNvPicPr>
                      <a:picLocks noChangeAspect="1"/>
                    </pic:cNvPicPr>
                  </pic:nvPicPr>
                  <pic:blipFill>
                    <a:blip r:embed="rId7"/>
                    <a:stretch>
                      <a:fillRect/>
                    </a:stretch>
                  </pic:blipFill>
                  <pic:spPr>
                    <a:xfrm>
                      <a:off x="0" y="0"/>
                      <a:ext cx="5008880" cy="110934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以上数据公布后，美债收益率显著下行，利率互换市场定价保持稳定。市场仍预计2024年美联储至少会有一次降息，但6月份按兵不动的可能性接近100%，9月份开始降息的可能性也不到50%，即第一次降息有可能在10月以后启动。</w:t>
      </w:r>
    </w:p>
    <w:p>
      <w:pPr>
        <w:keepNext w:val="0"/>
        <w:keepLines w:val="0"/>
        <w:pageBreakBefore w:val="0"/>
        <w:widowControl w:val="0"/>
        <w:kinsoku/>
        <w:wordWrap/>
        <w:overflowPunct/>
        <w:topLinePunct w:val="0"/>
        <w:autoSpaceDE/>
        <w:autoSpaceDN/>
        <w:bidi w:val="0"/>
        <w:adjustRightInd/>
        <w:snapToGrid/>
        <w:spacing w:line="300" w:lineRule="exact"/>
        <w:ind w:firstLine="388" w:firstLineChars="200"/>
        <w:jc w:val="left"/>
        <w:textAlignment w:val="auto"/>
        <w:outlineLvl w:val="9"/>
        <w:rPr>
          <w:rFonts w:hint="eastAsia" w:ascii="方正楷体_GBK" w:hAnsi="方正楷体_GBK" w:eastAsia="方正楷体_GBK" w:cs="方正楷体_GBK"/>
          <w:sz w:val="24"/>
          <w:szCs w:val="24"/>
          <w:lang w:val="en-US" w:eastAsia="zh-CN"/>
        </w:rPr>
      </w:pPr>
      <w:r>
        <w:rPr>
          <w:rFonts w:hint="default" w:ascii="Calibri" w:hAnsi="Calibri" w:eastAsia="仿宋_GB2312" w:cs="Calibri"/>
          <w:lang w:val="en-US" w:eastAsia="zh-CN"/>
        </w:rPr>
        <w:t>（</w:t>
      </w:r>
      <w:r>
        <w:rPr>
          <w:rFonts w:hint="eastAsia" w:ascii="方正黑体_GBK" w:hAnsi="方正黑体_GBK" w:eastAsia="方正黑体_GBK" w:cs="方正黑体_GBK"/>
          <w:b/>
          <w:bCs/>
          <w:lang w:val="en-US" w:eastAsia="zh-CN"/>
        </w:rPr>
        <w:t>注</w:t>
      </w:r>
      <w:r>
        <w:rPr>
          <w:rFonts w:hint="default" w:ascii="Calibri" w:hAnsi="Calibri" w:eastAsia="仿宋_GB2312" w:cs="Calibri"/>
          <w:lang w:val="en-US" w:eastAsia="zh-CN"/>
        </w:rPr>
        <w:t>：</w:t>
      </w: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互换市场”</w:t>
      </w:r>
      <w:r>
        <w:rPr>
          <w:rFonts w:hint="eastAsia" w:ascii="方正楷体_GBK" w:hAnsi="方正楷体_GBK" w:eastAsia="方正楷体_GBK" w:cs="方正楷体_GBK"/>
          <w:sz w:val="24"/>
          <w:szCs w:val="24"/>
          <w:lang w:val="en-US" w:eastAsia="zh-CN"/>
        </w:rPr>
        <w:t>（Swap market），指的是交易参与者进行利率互换（Interest Rate Swap）等衍生品交易的市场。在互换市场中，交易员可以进行利率互换，即交换不同类型的利率支付流的合同，以满足各自的资金需求和风险管理策略。</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互换市场能够显示美联储降息的概率，是因为市场参与者通过交易互换市场上的衍生品合约来表达他们对未来利率变动的观点和预期。例如，交易员可以购买或出售利率互换合约，以赚取或避免与利率变动相关的风险。</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rPr>
          <w:rFonts w:hint="default"/>
          <w:lang w:val="en-US" w:eastAsia="zh-CN"/>
        </w:rPr>
      </w:pPr>
      <w:r>
        <w:rPr>
          <w:rFonts w:hint="eastAsia" w:ascii="方正楷体_GBK" w:hAnsi="方正楷体_GBK" w:eastAsia="方正楷体_GBK" w:cs="方正楷体_GBK"/>
          <w:sz w:val="24"/>
          <w:szCs w:val="24"/>
          <w:lang w:val="en-US" w:eastAsia="zh-CN"/>
        </w:rPr>
        <w:t>当然，互换市场只是市场参与者的一种表达方式，它并不是直接决定利率变动的因素。最终的决策权还在美联储手中。互换市场只是提供了一个反映市场预期的参考指标。</w:t>
      </w:r>
      <w:r>
        <w:rPr>
          <w:rFonts w:hint="eastAsia" w:ascii="Calibri" w:hAnsi="Calibri" w:eastAsia="仿宋_GB2312" w:cs="Calibri"/>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0288" behindDoc="0" locked="0" layoutInCell="1" allowOverlap="1">
            <wp:simplePos x="0" y="0"/>
            <wp:positionH relativeFrom="column">
              <wp:posOffset>125095</wp:posOffset>
            </wp:positionH>
            <wp:positionV relativeFrom="paragraph">
              <wp:posOffset>1156970</wp:posOffset>
            </wp:positionV>
            <wp:extent cx="5151755" cy="930275"/>
            <wp:effectExtent l="0" t="0" r="10795" b="3175"/>
            <wp:wrapTopAndBottom/>
            <wp:docPr id="12" name="图片 12" descr="图片3-6月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6月1日"/>
                    <pic:cNvPicPr>
                      <a:picLocks noChangeAspect="1"/>
                    </pic:cNvPicPr>
                  </pic:nvPicPr>
                  <pic:blipFill>
                    <a:blip r:embed="rId8"/>
                    <a:stretch>
                      <a:fillRect/>
                    </a:stretch>
                  </pic:blipFill>
                  <pic:spPr>
                    <a:xfrm>
                      <a:off x="0" y="0"/>
                      <a:ext cx="5151755" cy="93027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同日，欧盟统计局公布了欧元区5月CPI数据（见表格三）。由于服务业通胀顽固，5月欧元区“调和CPI”的读数上行，这是今年欧元区通胀首次反弹，超出了市场预期。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多年以来，欧元区的工资涨幅一直低于通胀涨幅，而今年第一季度的工资涨幅提升了消费者的可支配收入，有机构分析认为，这是导致欧元区5月通胀反弹的主要原因。同时，市场担心，若物价压力居高不下，欧央行降息步伐可能将放缓。</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小标宋_GBK" w:hAnsi="方正小标宋_GBK" w:eastAsia="方正小标宋_GBK" w:cs="方正小标宋_GBK"/>
          <w:b/>
          <w:bCs/>
          <w:color w:val="0000FF"/>
          <w:sz w:val="32"/>
          <w:szCs w:val="32"/>
          <w:highlight w:val="yellow"/>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6月2日（周日）</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美国发现人感染禽流感，新宿主是奶牛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截至5月底，美国疾病控制和预防中心确认了3起新的人类感染H5禽流感病毒的病例。三人都是农场工人，只有轻微症状，可能是接触受感染的动物而被传染的。最近，该病毒在美国的奶牛（群）中迅速传播。虽然目前还无证据表明，存在人与人之间的传播，但具有潜在的疫情可能。美国公共卫生当局已进入高度戒备状态，H5N1疫苗的库存已准备投入使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流感病毒会感染许多物种，时不时会有某种病毒跨物种感染，感染非其特定宿主的物种，这对于新宿主物种来说，可能是极具致命性的。H5N1是一种禽流感病毒，现已跨越多种鸟类和部分哺乳动物物种；人类对其没有免疫力，因此具有发展为疫情的潜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自从H5N1首次被发现以来的近三十年里，全球已知的人类感染病例约有900例，通常是通过接触受感染的家禽或其他鸟类传染的，其中近一半病例是致命的。然而，轻微或无症状感染可能未被察觉，因此实际的致死率应该没那么高。</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但</w:t>
      </w:r>
      <w:r>
        <w:rPr>
          <w:rFonts w:hint="eastAsia" w:asciiTheme="minorEastAsia" w:hAnsiTheme="minorEastAsia" w:eastAsiaTheme="minorEastAsia" w:cstheme="minorEastAsia"/>
          <w:sz w:val="32"/>
          <w:szCs w:val="32"/>
        </w:rPr>
        <w:t>这种病毒对家禽的致死率很高，鸟类将病毒带到世界各地，因此欧洲、美洲和亚洲的农场都不得不扑杀数以亿计的家禽，以阻止病毒的传播。</w:t>
      </w:r>
      <w:r>
        <w:rPr>
          <w:rFonts w:hint="eastAsia" w:asciiTheme="minorEastAsia" w:hAnsiTheme="minorEastAsia" w:eastAsiaTheme="minorEastAsia" w:cstheme="minorEastAsia"/>
          <w:sz w:val="32"/>
          <w:szCs w:val="32"/>
          <w:lang w:val="en-US" w:eastAsia="zh-CN"/>
        </w:rPr>
        <w:t>今年早春，美国德克萨斯州一家农场的奶牛体内发现了H5N1病毒。此后，至少有九个州的奶牛群中发现了这种病毒。</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1312" behindDoc="0" locked="0" layoutInCell="1" allowOverlap="1">
            <wp:simplePos x="0" y="0"/>
            <wp:positionH relativeFrom="column">
              <wp:posOffset>2511425</wp:posOffset>
            </wp:positionH>
            <wp:positionV relativeFrom="paragraph">
              <wp:posOffset>73660</wp:posOffset>
            </wp:positionV>
            <wp:extent cx="3041015" cy="2028190"/>
            <wp:effectExtent l="0" t="0" r="6985" b="10160"/>
            <wp:wrapSquare wrapText="bothSides"/>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
                    <a:stretch>
                      <a:fillRect/>
                    </a:stretch>
                  </pic:blipFill>
                  <pic:spPr>
                    <a:xfrm>
                      <a:off x="0" y="0"/>
                      <a:ext cx="3041015" cy="20281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5月初，美国食品和药物管理局发现，全美商店货架上约20%的牛奶样本中含有H5N1病毒（巴氏杀菌法可杀死H5N1病毒）。这表明，奶牛（群）中H5N1病毒的传播范围，比已经实施的（有限的）动物检测所证实的更广。</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由于</w:t>
      </w:r>
      <w:r>
        <w:rPr>
          <w:rFonts w:hint="eastAsia" w:asciiTheme="minorEastAsia" w:hAnsiTheme="minorEastAsia" w:eastAsiaTheme="minorEastAsia" w:cstheme="minorEastAsia"/>
          <w:sz w:val="32"/>
          <w:szCs w:val="32"/>
          <w:lang w:eastAsia="zh-CN"/>
        </w:rPr>
        <w:t>担忧经济损失</w:t>
      </w:r>
      <w:r>
        <w:rPr>
          <w:rFonts w:hint="eastAsia" w:asciiTheme="minorEastAsia" w:hAnsiTheme="minorEastAsia" w:eastAsiaTheme="minorEastAsia" w:cstheme="minorEastAsia"/>
          <w:sz w:val="32"/>
          <w:szCs w:val="32"/>
        </w:rPr>
        <w:t>，农场主们不</w:t>
      </w:r>
      <w:r>
        <w:rPr>
          <w:rFonts w:hint="eastAsia" w:asciiTheme="minorEastAsia" w:hAnsiTheme="minorEastAsia" w:eastAsiaTheme="minorEastAsia" w:cstheme="minorEastAsia"/>
          <w:sz w:val="32"/>
          <w:szCs w:val="32"/>
          <w:lang w:eastAsia="zh-CN"/>
        </w:rPr>
        <w:t>太愿意</w:t>
      </w:r>
      <w:r>
        <w:rPr>
          <w:rFonts w:hint="eastAsia" w:asciiTheme="minorEastAsia" w:hAnsiTheme="minorEastAsia" w:eastAsiaTheme="minorEastAsia" w:cstheme="minorEastAsia"/>
          <w:sz w:val="32"/>
          <w:szCs w:val="32"/>
        </w:rPr>
        <w:t>报告疫情或对奶牛进行检测。对农场工人感染情况的监测</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也远比专家</w:t>
      </w:r>
      <w:r>
        <w:rPr>
          <w:rFonts w:hint="eastAsia" w:asciiTheme="minorEastAsia" w:hAnsiTheme="minorEastAsia" w:eastAsiaTheme="minorEastAsia" w:cstheme="minorEastAsia"/>
          <w:sz w:val="32"/>
          <w:szCs w:val="32"/>
          <w:lang w:eastAsia="zh-CN"/>
        </w:rPr>
        <w:t>想像的</w:t>
      </w:r>
      <w:r>
        <w:rPr>
          <w:rFonts w:hint="eastAsia" w:asciiTheme="minorEastAsia" w:hAnsiTheme="minorEastAsia" w:eastAsiaTheme="minorEastAsia" w:cstheme="minorEastAsia"/>
          <w:sz w:val="32"/>
          <w:szCs w:val="32"/>
        </w:rPr>
        <w:t>要</w:t>
      </w:r>
      <w:r>
        <w:rPr>
          <w:rFonts w:hint="eastAsia" w:asciiTheme="minorEastAsia" w:hAnsiTheme="minorEastAsia" w:eastAsiaTheme="minorEastAsia" w:cstheme="minorEastAsia"/>
          <w:sz w:val="32"/>
          <w:szCs w:val="32"/>
          <w:lang w:eastAsia="zh-CN"/>
        </w:rPr>
        <w:t>松散</w:t>
      </w:r>
      <w:r>
        <w:rPr>
          <w:rFonts w:hint="eastAsia" w:asciiTheme="minorEastAsia" w:hAnsiTheme="minorEastAsia" w:eastAsiaTheme="minorEastAsia" w:cstheme="minorEastAsia"/>
          <w:sz w:val="32"/>
          <w:szCs w:val="32"/>
        </w:rPr>
        <w:t>得多，专家认为，要了解奶牛感染H5N1病毒</w:t>
      </w:r>
      <w:r>
        <w:rPr>
          <w:rFonts w:hint="eastAsia" w:asciiTheme="minorEastAsia" w:hAnsiTheme="minorEastAsia" w:eastAsiaTheme="minorEastAsia" w:cstheme="minorEastAsia"/>
          <w:sz w:val="32"/>
          <w:szCs w:val="32"/>
          <w:lang w:eastAsia="zh-CN"/>
        </w:rPr>
        <w:t>后</w:t>
      </w:r>
      <w:r>
        <w:rPr>
          <w:rFonts w:hint="eastAsia" w:asciiTheme="minorEastAsia" w:hAnsiTheme="minorEastAsia" w:eastAsiaTheme="minorEastAsia" w:cstheme="minorEastAsia"/>
          <w:sz w:val="32"/>
          <w:szCs w:val="32"/>
        </w:rPr>
        <w:t>对人类的危害有多大，就必须对农场工人进行监测。</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但</w:t>
      </w:r>
      <w:r>
        <w:rPr>
          <w:rFonts w:hint="eastAsia" w:asciiTheme="minorEastAsia" w:hAnsiTheme="minorEastAsia" w:eastAsiaTheme="minorEastAsia" w:cstheme="minorEastAsia"/>
          <w:sz w:val="32"/>
          <w:szCs w:val="32"/>
        </w:rPr>
        <w:t>许多农场工人都是</w:t>
      </w:r>
      <w:r>
        <w:rPr>
          <w:rFonts w:hint="eastAsia" w:asciiTheme="minorEastAsia" w:hAnsiTheme="minorEastAsia" w:eastAsiaTheme="minorEastAsia" w:cstheme="minorEastAsia"/>
          <w:sz w:val="32"/>
          <w:szCs w:val="32"/>
          <w:lang w:eastAsia="zh-CN"/>
        </w:rPr>
        <w:t>非法</w:t>
      </w:r>
      <w:r>
        <w:rPr>
          <w:rFonts w:hint="eastAsia" w:asciiTheme="minorEastAsia" w:hAnsiTheme="minorEastAsia" w:eastAsiaTheme="minorEastAsia" w:cstheme="minorEastAsia"/>
          <w:sz w:val="32"/>
          <w:szCs w:val="32"/>
        </w:rPr>
        <w:t>移民，他们不会说英语，而且</w:t>
      </w:r>
      <w:r>
        <w:rPr>
          <w:rFonts w:hint="eastAsia" w:asciiTheme="minorEastAsia" w:hAnsiTheme="minorEastAsia" w:eastAsiaTheme="minorEastAsia" w:cstheme="minorEastAsia"/>
          <w:sz w:val="32"/>
          <w:szCs w:val="32"/>
          <w:lang w:eastAsia="zh-CN"/>
        </w:rPr>
        <w:t>是</w:t>
      </w:r>
      <w:r>
        <w:rPr>
          <w:rFonts w:hint="eastAsia" w:asciiTheme="minorEastAsia" w:hAnsiTheme="minorEastAsia" w:eastAsiaTheme="minorEastAsia" w:cstheme="minorEastAsia"/>
          <w:sz w:val="32"/>
          <w:szCs w:val="32"/>
        </w:rPr>
        <w:t>按日计酬</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如果必须隔离，他们</w:t>
      </w:r>
      <w:r>
        <w:rPr>
          <w:rFonts w:hint="eastAsia" w:asciiTheme="minorEastAsia" w:hAnsiTheme="minorEastAsia" w:eastAsiaTheme="minorEastAsia" w:cstheme="minorEastAsia"/>
          <w:sz w:val="32"/>
          <w:szCs w:val="32"/>
          <w:lang w:eastAsia="zh-CN"/>
        </w:rPr>
        <w:t>情愿放弃这一天的</w:t>
      </w:r>
      <w:r>
        <w:rPr>
          <w:rFonts w:hint="eastAsia" w:asciiTheme="minorEastAsia" w:hAnsiTheme="minorEastAsia" w:eastAsiaTheme="minorEastAsia" w:cstheme="minorEastAsia"/>
          <w:sz w:val="32"/>
          <w:szCs w:val="32"/>
        </w:rPr>
        <w:t>工资</w:t>
      </w:r>
      <w:r>
        <w:rPr>
          <w:rFonts w:hint="eastAsia" w:asciiTheme="minorEastAsia" w:hAnsiTheme="minorEastAsia" w:eastAsiaTheme="minorEastAsia" w:cstheme="minorEastAsia"/>
          <w:sz w:val="32"/>
          <w:szCs w:val="32"/>
          <w:lang w:eastAsia="zh-CN"/>
        </w:rPr>
        <w:t>……这使得对农场工人的监测异常困难</w:t>
      </w:r>
      <w:r>
        <w:rPr>
          <w:rFonts w:hint="eastAsia" w:asciiTheme="minorEastAsia" w:hAnsiTheme="minorEastAsia" w:eastAsiaTheme="minorEastAsia" w:cstheme="minorEastAsia"/>
          <w:sz w:val="32"/>
          <w:szCs w:val="32"/>
        </w:rPr>
        <w:t>。截至5月22日，只有40名疑似H5N1</w:t>
      </w:r>
      <w:r>
        <w:rPr>
          <w:rFonts w:hint="eastAsia" w:asciiTheme="minorEastAsia" w:hAnsiTheme="minorEastAsia" w:eastAsiaTheme="minorEastAsia" w:cstheme="minorEastAsia"/>
          <w:sz w:val="32"/>
          <w:szCs w:val="32"/>
          <w:lang w:eastAsia="zh-CN"/>
        </w:rPr>
        <w:t>感染</w:t>
      </w:r>
      <w:r>
        <w:rPr>
          <w:rFonts w:hint="eastAsia" w:asciiTheme="minorEastAsia" w:hAnsiTheme="minorEastAsia" w:eastAsiaTheme="minorEastAsia" w:cstheme="minorEastAsia"/>
          <w:sz w:val="32"/>
          <w:szCs w:val="32"/>
        </w:rPr>
        <w:t>者接受了检测。</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流行病学家担心，因为几乎没有采取任何措施来阻止这种病毒在奶牛（群）中传播，农场工人因接触患病动物而感染的人数也就无法确定。除非大规模发生人传人的感染，否则无法掌握具体的实际情况。</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2336" behindDoc="0" locked="0" layoutInCell="1" allowOverlap="1">
            <wp:simplePos x="0" y="0"/>
            <wp:positionH relativeFrom="column">
              <wp:posOffset>145415</wp:posOffset>
            </wp:positionH>
            <wp:positionV relativeFrom="paragraph">
              <wp:posOffset>138430</wp:posOffset>
            </wp:positionV>
            <wp:extent cx="3077210" cy="2053590"/>
            <wp:effectExtent l="0" t="0" r="8890" b="3810"/>
            <wp:wrapSquare wrapText="bothSides"/>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0"/>
                    <a:stretch>
                      <a:fillRect/>
                    </a:stretch>
                  </pic:blipFill>
                  <pic:spPr>
                    <a:xfrm>
                      <a:off x="0" y="0"/>
                      <a:ext cx="3077210" cy="20535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到目前为止，只有3例人类病例被证实与奶牛的禽流感疫情有关，而农场中的许多人通常都会接触到受感染的奶牛，这说明其对人的感染性并不是特别强，而且症状也不是很严重——如果这种感染导致的严重症状很常见，那么现在应该出现更多病例，早引起医生的注意了。</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发现的受感染的农场工人都只有一种症状：结膜炎（俗称“红眼病”）。人眼中的细胞具有与鸟类细胞相同的特定受体，这些受体类似于“停靠站”，病毒通过它们进入细胞。这意味着H5N1进入人眼后就能感染人，而无需先发生特殊变异。人类肺部细胞的情况也类似，因此在过去的疫情中，许多被鸟类感染病毒的人，都会出现严重的肺部感染。</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人类的上呼吸道，是人与人之间传播时的重要部位——病毒可以通过咳嗽和打喷嚏传播。好在人类上呼吸道的细胞中，没有这些类似鸟类的受体；因此，要想在人与人之间轻松传播，病毒必需要获得基因突变，才能感染上呼吸道的这些细胞。</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迄今为止，对来自美国农场的H5N1病毒样本进行的基因组分析，尚未发现任何具有这些关键变异。</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但专家们还是有些</w:t>
      </w:r>
      <w:r>
        <w:rPr>
          <w:rFonts w:hint="eastAsia" w:asciiTheme="minorEastAsia" w:hAnsiTheme="minorEastAsia" w:eastAsiaTheme="minorEastAsia" w:cstheme="minorEastAsia"/>
          <w:sz w:val="32"/>
          <w:szCs w:val="32"/>
        </w:rPr>
        <w:t>担忧</w:t>
      </w:r>
      <w:r>
        <w:rPr>
          <w:rFonts w:hint="eastAsia" w:asciiTheme="minorEastAsia" w:hAnsiTheme="minorEastAsia" w:eastAsiaTheme="minorEastAsia" w:cstheme="minorEastAsia"/>
          <w:sz w:val="32"/>
          <w:szCs w:val="32"/>
          <w:lang w:eastAsia="zh-CN"/>
        </w:rPr>
        <w:t>，一是因为</w:t>
      </w:r>
      <w:r>
        <w:rPr>
          <w:rFonts w:hint="eastAsia" w:asciiTheme="minorEastAsia" w:hAnsiTheme="minorEastAsia" w:eastAsiaTheme="minorEastAsia" w:cstheme="minorEastAsia"/>
          <w:sz w:val="32"/>
          <w:szCs w:val="32"/>
        </w:rPr>
        <w:t>H5N1病毒广泛存在于与人类有密切接触的哺乳动物中，这增加了在某时</w:t>
      </w:r>
      <w:r>
        <w:rPr>
          <w:rFonts w:hint="eastAsia" w:asciiTheme="minorEastAsia" w:hAnsiTheme="minorEastAsia" w:eastAsiaTheme="minorEastAsia" w:cstheme="minorEastAsia"/>
          <w:sz w:val="32"/>
          <w:szCs w:val="32"/>
          <w:lang w:eastAsia="zh-CN"/>
        </w:rPr>
        <w:t>突然</w:t>
      </w:r>
      <w:r>
        <w:rPr>
          <w:rFonts w:hint="eastAsia" w:asciiTheme="minorEastAsia" w:hAnsiTheme="minorEastAsia" w:eastAsiaTheme="minorEastAsia" w:cstheme="minorEastAsia"/>
          <w:sz w:val="32"/>
          <w:szCs w:val="32"/>
        </w:rPr>
        <w:t>出现适应人类</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版本的可能性。病毒在牛群中传播时会发生变异，因此可能会发生适应人类的突变。</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二是可能</w:t>
      </w:r>
      <w:r>
        <w:rPr>
          <w:rFonts w:hint="eastAsia" w:asciiTheme="minorEastAsia" w:hAnsiTheme="minorEastAsia" w:eastAsiaTheme="minorEastAsia" w:cstheme="minorEastAsia"/>
          <w:sz w:val="32"/>
          <w:szCs w:val="32"/>
        </w:rPr>
        <w:t>出现H5N1病毒的重组版本，当</w:t>
      </w:r>
      <w:r>
        <w:rPr>
          <w:rFonts w:hint="eastAsia" w:asciiTheme="minorEastAsia" w:hAnsiTheme="minorEastAsia" w:eastAsiaTheme="minorEastAsia" w:cstheme="minorEastAsia"/>
          <w:sz w:val="32"/>
          <w:szCs w:val="32"/>
          <w:lang w:eastAsia="zh-CN"/>
        </w:rPr>
        <w:t>一个</w:t>
      </w:r>
      <w:r>
        <w:rPr>
          <w:rFonts w:hint="eastAsia" w:asciiTheme="minorEastAsia" w:hAnsiTheme="minorEastAsia" w:eastAsiaTheme="minorEastAsia" w:cstheme="minorEastAsia"/>
          <w:sz w:val="32"/>
          <w:szCs w:val="32"/>
        </w:rPr>
        <w:t>人同时感染了奶牛</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H5N1病毒和人类季节性流感病毒时，就会出现这种情况。</w:t>
      </w:r>
      <w:r>
        <w:rPr>
          <w:rFonts w:hint="eastAsia" w:asciiTheme="minorEastAsia" w:hAnsiTheme="minorEastAsia" w:eastAsiaTheme="minorEastAsia" w:cstheme="minorEastAsia"/>
          <w:sz w:val="32"/>
          <w:szCs w:val="32"/>
          <w:lang w:eastAsia="zh-CN"/>
        </w:rPr>
        <w:t>因为，</w:t>
      </w:r>
      <w:r>
        <w:rPr>
          <w:rFonts w:hint="eastAsia" w:asciiTheme="minorEastAsia" w:hAnsiTheme="minorEastAsia" w:eastAsiaTheme="minorEastAsia" w:cstheme="minorEastAsia"/>
          <w:sz w:val="32"/>
          <w:szCs w:val="32"/>
        </w:rPr>
        <w:t>流感病毒在感染细胞时，会交换它们之间</w:t>
      </w:r>
      <w:r>
        <w:rPr>
          <w:rFonts w:hint="eastAsia" w:asciiTheme="minorEastAsia" w:hAnsiTheme="minorEastAsia" w:eastAsiaTheme="minorEastAsia" w:cstheme="minorEastAsia"/>
          <w:sz w:val="32"/>
          <w:szCs w:val="32"/>
          <w:lang w:eastAsia="zh-CN"/>
        </w:rPr>
        <w:t>小</w:t>
      </w:r>
      <w:r>
        <w:rPr>
          <w:rFonts w:hint="eastAsia" w:asciiTheme="minorEastAsia" w:hAnsiTheme="minorEastAsia" w:eastAsiaTheme="minorEastAsia" w:cstheme="minorEastAsia"/>
          <w:sz w:val="32"/>
          <w:szCs w:val="32"/>
        </w:rPr>
        <w:t>的基因编码。通过这种方式</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奶牛</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H5N1病毒可以获得季节性流感</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基因</w:t>
      </w:r>
      <w:r>
        <w:rPr>
          <w:rFonts w:hint="eastAsia" w:asciiTheme="minorEastAsia" w:hAnsiTheme="minorEastAsia" w:eastAsiaTheme="minorEastAsia" w:cstheme="minorEastAsia"/>
          <w:sz w:val="32"/>
          <w:szCs w:val="32"/>
          <w:lang w:eastAsia="zh-CN"/>
        </w:rPr>
        <w:t>，即</w:t>
      </w:r>
      <w:r>
        <w:rPr>
          <w:rFonts w:hint="eastAsia" w:asciiTheme="minorEastAsia" w:hAnsiTheme="minorEastAsia" w:eastAsiaTheme="minorEastAsia" w:cstheme="minorEastAsia"/>
          <w:sz w:val="32"/>
          <w:szCs w:val="32"/>
        </w:rPr>
        <w:t>具有在人</w:t>
      </w:r>
      <w:r>
        <w:rPr>
          <w:rFonts w:hint="eastAsia" w:asciiTheme="minorEastAsia" w:hAnsiTheme="minorEastAsia" w:eastAsiaTheme="minorEastAsia" w:cstheme="minorEastAsia"/>
          <w:sz w:val="32"/>
          <w:szCs w:val="32"/>
          <w:lang w:eastAsia="zh-CN"/>
        </w:rPr>
        <w:t>群</w:t>
      </w:r>
      <w:r>
        <w:rPr>
          <w:rFonts w:hint="eastAsia" w:asciiTheme="minorEastAsia" w:hAnsiTheme="minorEastAsia" w:eastAsiaTheme="minorEastAsia" w:cstheme="minorEastAsia"/>
          <w:sz w:val="32"/>
          <w:szCs w:val="32"/>
        </w:rPr>
        <w:t>中高传染性的</w:t>
      </w:r>
      <w:r>
        <w:rPr>
          <w:rFonts w:hint="eastAsia" w:asciiTheme="minorEastAsia" w:hAnsiTheme="minorEastAsia" w:eastAsiaTheme="minorEastAsia" w:cstheme="minorEastAsia"/>
          <w:sz w:val="32"/>
          <w:szCs w:val="32"/>
          <w:lang w:eastAsia="zh-CN"/>
        </w:rPr>
        <w:t>基因</w:t>
      </w:r>
      <w:r>
        <w:rPr>
          <w:rFonts w:hint="eastAsia" w:asciiTheme="minorEastAsia" w:hAnsiTheme="minorEastAsia" w:eastAsiaTheme="minorEastAsia" w:cstheme="minorEastAsia"/>
          <w:sz w:val="32"/>
          <w:szCs w:val="32"/>
        </w:rPr>
        <w:t>。</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的传染病专家认为，“通过奶牛这个全新宿主，H5N1疫情在我们眼皮底下传播了数月之久才被发现，这本身就够令人担忧了。”一个能够发觉、追踪并限制（在动物饲养中）新病原体传播的监测系统，是预防未来大流行病的关键。</w:t>
      </w:r>
    </w:p>
    <w:p>
      <w:pPr>
        <w:rPr>
          <w:rFonts w:hint="eastAsia"/>
          <w:b/>
          <w:bCs/>
          <w:color w:val="0000FF"/>
          <w:highlight w:val="yellow"/>
          <w:lang w:val="en-US" w:eastAsia="zh-CN"/>
        </w:rPr>
      </w:pPr>
    </w:p>
    <w:p>
      <w:pPr>
        <w:rPr>
          <w:rFonts w:hint="eastAsia"/>
          <w:b/>
          <w:bCs/>
          <w:color w:val="0000FF"/>
          <w:highlight w:val="yellow"/>
          <w:lang w:val="en-US" w:eastAsia="zh-CN"/>
        </w:rPr>
      </w:pP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6月3日（周一）</w:t>
      </w:r>
    </w:p>
    <w:p>
      <w:pPr>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芝加哥PMI数据惊人，欧央行降息箭在弦上</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b/>
          <w:bCs/>
          <w:color w:val="0000FF"/>
          <w:highlight w:val="none"/>
          <w:lang w:val="en-US" w:eastAsia="zh-CN"/>
        </w:rPr>
      </w:pPr>
      <w:r>
        <w:rPr>
          <w:rFonts w:hint="eastAsia" w:asciiTheme="minorEastAsia" w:hAnsiTheme="minorEastAsia" w:eastAsiaTheme="minorEastAsia" w:cstheme="minorEastAsia"/>
          <w:b/>
          <w:bCs/>
          <w:color w:val="0000FF"/>
          <w:sz w:val="32"/>
          <w:szCs w:val="32"/>
          <w:highlight w:val="none"/>
          <w:lang w:val="en-US" w:eastAsia="zh-CN"/>
        </w:rPr>
        <w:t>一、芝加哥PMI数据惊人</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上周五，美联储芝加哥银行公布“美国芝加哥PMI”数据。这是一般商业活动的地方性指标，反映了芝加哥地区的整体经济活动。</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default" w:ascii="Calibri" w:hAnsi="Calibri" w:cs="Calibri"/>
          <w:lang w:val="en-US" w:eastAsia="zh-CN"/>
        </w:rPr>
      </w:pPr>
      <w:r>
        <w:drawing>
          <wp:anchor distT="0" distB="0" distL="114300" distR="114300" simplePos="0" relativeHeight="251663360" behindDoc="0" locked="0" layoutInCell="1" allowOverlap="1">
            <wp:simplePos x="0" y="0"/>
            <wp:positionH relativeFrom="column">
              <wp:posOffset>2395855</wp:posOffset>
            </wp:positionH>
            <wp:positionV relativeFrom="paragraph">
              <wp:posOffset>236855</wp:posOffset>
            </wp:positionV>
            <wp:extent cx="3148965" cy="2286635"/>
            <wp:effectExtent l="0" t="0" r="13335" b="184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148965" cy="228663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芝加哥PMI的5月份读数为35.4，远低于预期的41.1，也低于前值的37.9。该数据引起起了市场强烈关注，因为前两次该数据低于36，分别是2008年金融海啸和2020年新冠疫情（见图中阴影部分）。</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rPr>
          <w:rFonts w:hint="default" w:ascii="Calibri" w:hAnsi="Calibri" w:eastAsia="仿宋_GB2312" w:cs="Calibri"/>
          <w:b/>
          <w:bCs/>
          <w:lang w:val="en-US" w:eastAsia="zh-CN"/>
        </w:rPr>
      </w:pPr>
      <w:r>
        <w:rPr>
          <w:rFonts w:hint="eastAsia" w:ascii="方正楷体_GBK" w:hAnsi="方正楷体_GBK" w:eastAsia="方正楷体_GBK" w:cs="方正楷体_GBK"/>
          <w:b/>
          <w:bCs/>
          <w:sz w:val="24"/>
          <w:szCs w:val="24"/>
          <w:lang w:val="en-US" w:eastAsia="zh-CN"/>
        </w:rPr>
        <w:t>（</w:t>
      </w:r>
      <w:r>
        <w:rPr>
          <w:rFonts w:hint="eastAsia" w:ascii="方正黑体_GBK" w:hAnsi="方正黑体_GBK" w:eastAsia="方正黑体_GBK" w:cs="方正黑体_GBK"/>
          <w:b/>
          <w:bCs/>
          <w:sz w:val="24"/>
          <w:szCs w:val="24"/>
          <w:lang w:val="en-US" w:eastAsia="zh-CN"/>
        </w:rPr>
        <w:t>注：</w:t>
      </w:r>
      <w:r>
        <w:rPr>
          <w:rFonts w:hint="eastAsia" w:ascii="方正楷体_GBK" w:hAnsi="方正楷体_GBK" w:eastAsia="方正楷体_GBK" w:cs="方正楷体_GBK"/>
          <w:b/>
          <w:bCs/>
          <w:sz w:val="24"/>
          <w:szCs w:val="24"/>
          <w:lang w:val="en-US" w:eastAsia="zh-CN"/>
        </w:rPr>
        <w:t>“采购经理人指数”（PMI）</w:t>
      </w:r>
      <w:r>
        <w:rPr>
          <w:rFonts w:hint="eastAsia" w:ascii="方正楷体_GBK" w:hAnsi="方正楷体_GBK" w:eastAsia="方正楷体_GBK" w:cs="方正楷体_GBK"/>
          <w:sz w:val="24"/>
          <w:szCs w:val="24"/>
          <w:lang w:val="en-US" w:eastAsia="zh-CN"/>
        </w:rPr>
        <w:t>是一项用于衡量制造业和服务业活动的指标，通过调查企业采购经理人的意见来反映经济状况。PMI指数以50为分界线，数值高于50表示经济活动扩张，数值低于50表示经济活动收缩。具体数值的大小反映了经济活动的增长或衰退程度。</w:t>
      </w:r>
      <w:r>
        <w:rPr>
          <w:rFonts w:hint="eastAsia" w:ascii="Calibri" w:hAnsi="Calibri" w:eastAsia="仿宋_GB2312" w:cs="Calibri"/>
          <w:b/>
          <w:bCs/>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本周，美联储官员进入货币政策会议（即“议息会议”）前的静默期。本周将发布“非农就业”数据，若劳动力市场继续放缓，将进一步支持降息前景。</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月初（5月3日），美国劳工统计局公布的相关数据显示，就业市场出现降温迹象：4月新增的非农就业人口，从3月的31.5万人大幅降至17.5万人；失业率从3月的3.8%上升至3.9%；同时，薪资（每小时工资）同比增长3.9%、环比0.2%，均低于预期和前值。</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ascii="Calibri" w:hAnsi="Calibri" w:cs="Calibri"/>
          <w:lang w:val="en-US" w:eastAsia="zh-CN"/>
        </w:rPr>
      </w:pPr>
      <w:r>
        <w:rPr>
          <w:rFonts w:hint="eastAsia" w:asciiTheme="minorEastAsia" w:hAnsiTheme="minorEastAsia" w:eastAsiaTheme="minorEastAsia" w:cstheme="minorEastAsia"/>
          <w:sz w:val="32"/>
          <w:szCs w:val="32"/>
          <w:lang w:val="en-US" w:eastAsia="zh-CN"/>
        </w:rPr>
        <w:t>而且，5月底公布的失业金申请人数，也创下阶段高点，这从另一个角度显示出美国劳动力市场的降温。</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w:t>
      </w:r>
      <w:r>
        <w:rPr>
          <w:rFonts w:hint="eastAsia" w:ascii="方正黑体_GBK" w:hAnsi="方正黑体_GBK" w:eastAsia="方正黑体_GBK" w:cs="方正黑体_GBK"/>
          <w:b/>
          <w:bCs/>
          <w:sz w:val="24"/>
          <w:szCs w:val="24"/>
          <w:lang w:val="en-US" w:eastAsia="zh-CN"/>
        </w:rPr>
        <w:t>注：</w:t>
      </w: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美国非农就业人口变动</w:t>
      </w:r>
      <w:r>
        <w:rPr>
          <w:rFonts w:hint="eastAsia" w:ascii="方正楷体_GBK" w:hAnsi="方正楷体_GBK" w:eastAsia="方正楷体_GBK" w:cs="方正楷体_GBK"/>
          <w:sz w:val="24"/>
          <w:szCs w:val="24"/>
          <w:lang w:val="en-US" w:eastAsia="zh-CN"/>
        </w:rPr>
        <w:t>”（Nonfarm Payrolls），是美国劳工部每月公布的一个重要经济指标，衡量美国非农部门（不包括农业部门）在特定月份内新增的就业岗位数量，因此也称为“</w:t>
      </w:r>
      <w:r>
        <w:rPr>
          <w:rFonts w:hint="eastAsia" w:ascii="方正楷体_GBK" w:hAnsi="方正楷体_GBK" w:eastAsia="方正楷体_GBK" w:cs="方正楷体_GBK"/>
          <w:b/>
          <w:bCs/>
          <w:sz w:val="24"/>
          <w:szCs w:val="24"/>
          <w:lang w:val="en-US" w:eastAsia="zh-CN"/>
        </w:rPr>
        <w:t>新增非农就业岗位</w:t>
      </w:r>
      <w:r>
        <w:rPr>
          <w:rFonts w:hint="eastAsia" w:ascii="方正楷体_GBK" w:hAnsi="方正楷体_GBK" w:eastAsia="方正楷体_GBK" w:cs="方正楷体_GBK"/>
          <w:sz w:val="24"/>
          <w:szCs w:val="24"/>
          <w:lang w:val="en-US" w:eastAsia="zh-CN"/>
        </w:rPr>
        <w:t>”。同时，市场亦称之为“</w:t>
      </w:r>
      <w:r>
        <w:rPr>
          <w:rFonts w:hint="eastAsia" w:ascii="方正楷体_GBK" w:hAnsi="方正楷体_GBK" w:eastAsia="方正楷体_GBK" w:cs="方正楷体_GBK"/>
          <w:b/>
          <w:bCs/>
          <w:sz w:val="24"/>
          <w:szCs w:val="24"/>
          <w:lang w:val="en-US" w:eastAsia="zh-CN"/>
        </w:rPr>
        <w:t>大非农数据</w:t>
      </w:r>
      <w:r>
        <w:rPr>
          <w:rFonts w:hint="eastAsia" w:ascii="方正楷体_GBK" w:hAnsi="方正楷体_GBK" w:eastAsia="方正楷体_GBK" w:cs="方正楷体_GBK"/>
          <w:sz w:val="24"/>
          <w:szCs w:val="24"/>
          <w:lang w:val="en-US" w:eastAsia="zh-CN"/>
        </w:rPr>
        <w:t>”，以区别ADP编制发布的非农数据（即“小非农数据”）。</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outlineLvl w:val="9"/>
        <w:rPr>
          <w:rFonts w:hint="eastAsia" w:ascii="Calibri" w:hAnsi="Calibri" w:eastAsia="仿宋_GB2312" w:cs="Calibri"/>
          <w:lang w:val="en-US" w:eastAsia="zh-CN"/>
        </w:rPr>
      </w:pP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非农就业人口变动</w:t>
      </w:r>
      <w:r>
        <w:rPr>
          <w:rFonts w:hint="eastAsia" w:ascii="方正楷体_GBK" w:hAnsi="方正楷体_GBK" w:eastAsia="方正楷体_GBK" w:cs="方正楷体_GBK"/>
          <w:sz w:val="24"/>
          <w:szCs w:val="24"/>
          <w:lang w:val="en-US" w:eastAsia="zh-CN"/>
        </w:rPr>
        <w:t>”反映一个国家的就业情况和经济增长的强度。通常情况下，就业岗位增加，意味着更多的人获得了工作机会和收入来源，是经济增长和繁荣的标志。）</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大非农数据之前，一些经济数据将先一步公开，比如ISM制造业和服务业的PMI、JOLTS职位空缺数、ADP就业报告等。这些数据从其他侧面提供决策参考，但经济数据会不停地修正，且数据彼此之间还会出现矛盾，这都加大了分析和预测的难度。</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b/>
          <w:bCs/>
          <w:color w:val="0000FF"/>
          <w:sz w:val="32"/>
          <w:szCs w:val="32"/>
          <w:lang w:val="en-US" w:eastAsia="zh-CN"/>
        </w:rPr>
      </w:pPr>
      <w:r>
        <w:rPr>
          <w:rFonts w:hint="eastAsia" w:asciiTheme="minorEastAsia" w:hAnsiTheme="minorEastAsia" w:eastAsiaTheme="minorEastAsia" w:cstheme="minorEastAsia"/>
          <w:b/>
          <w:bCs/>
          <w:color w:val="0000FF"/>
          <w:sz w:val="32"/>
          <w:szCs w:val="32"/>
          <w:lang w:val="en-US" w:eastAsia="zh-CN"/>
        </w:rPr>
        <w:t>二、欧加两央行降息在即</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来，欧央行官员们频繁释放强烈的鸽派信号。经济学家们认为，欧央行将在本周四（6月6日）的议息会议上降息25个基点，结束连续22个月升息周期，打响全球主要央行降息的第一枪。大部分经济学家认为，欧央行将在9月和12月的议息会议上再各降息一次。</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过，欧央行降息步伐必将非常审慎，具体节奏需视实时数据而定。目前，欧元区工资增速超预期，服务业通胀粘性显现，通胀并非没有卷土重来的可能。如果欧央行降息且通胀未见反弹，必然会加强美联储尽快降息的信心，反之亦然。</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此外，在美联储维持高利率的环境中，欧央行先行降息，必须权衡利差对汇率的冲击，因此，欧元区降息的步伐不会太快。</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4384" behindDoc="0" locked="0" layoutInCell="1" allowOverlap="1">
            <wp:simplePos x="0" y="0"/>
            <wp:positionH relativeFrom="column">
              <wp:posOffset>2066925</wp:posOffset>
            </wp:positionH>
            <wp:positionV relativeFrom="paragraph">
              <wp:posOffset>151130</wp:posOffset>
            </wp:positionV>
            <wp:extent cx="3340735" cy="2332990"/>
            <wp:effectExtent l="0" t="0" r="12065" b="1016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340735" cy="23329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本周，如不出意外，加拿大央行也将降息。数据显示，一季度加拿大经济增长放缓，3月份GDP环比增长仅为0，整个一季度的同比增长也只有0.53%（见图）。当然，加拿大央行也不愿与美联储的动作分歧过大，以免利差扩大引发加元贬值。</w:t>
      </w:r>
    </w:p>
    <w:p>
      <w:pPr>
        <w:rPr>
          <w:rFonts w:hint="default" w:ascii="Calibri" w:hAnsi="Calibri" w:cs="Calibri"/>
          <w:lang w:val="en-US" w:eastAsia="zh-CN"/>
        </w:rPr>
      </w:pPr>
    </w:p>
    <w:p>
      <w:pPr>
        <w:rPr>
          <w:rFonts w:hint="default" w:ascii="Calibri" w:hAnsi="Calibri" w:cs="Calibri"/>
          <w:lang w:val="en-US" w:eastAsia="zh-CN"/>
        </w:rPr>
      </w:pPr>
    </w:p>
    <w:p>
      <w:pPr>
        <w:rPr>
          <w:rFonts w:hint="default" w:ascii="Calibri" w:hAnsi="Calibri" w:cs="Calibri"/>
          <w:lang w:val="en-US" w:eastAsia="zh-CN"/>
        </w:rPr>
      </w:pP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6月4日（周二）</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5月制造业PMI亚欧冷热不均，美国扑朔迷离</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6月3日（周一），各统计机构发布5月制造业PMI，其中亚洲各经济体表现出色（见表格一），尤其韩国，相较4月数值有显著扩张。</w:t>
      </w:r>
    </w:p>
    <w:p>
      <w:r>
        <w:rPr>
          <w:rFonts w:hint="eastAsia" w:asciiTheme="minorEastAsia" w:hAnsiTheme="minorEastAsia" w:eastAsiaTheme="minorEastAsia" w:cstheme="minorEastAsia"/>
          <w:sz w:val="32"/>
          <w:szCs w:val="32"/>
          <w:lang w:val="en-US" w:eastAsia="zh-CN"/>
        </w:rPr>
        <w:drawing>
          <wp:anchor distT="0" distB="0" distL="114300" distR="114300" simplePos="0" relativeHeight="251665408" behindDoc="0" locked="0" layoutInCell="1" allowOverlap="1">
            <wp:simplePos x="0" y="0"/>
            <wp:positionH relativeFrom="column">
              <wp:posOffset>269240</wp:posOffset>
            </wp:positionH>
            <wp:positionV relativeFrom="paragraph">
              <wp:posOffset>50800</wp:posOffset>
            </wp:positionV>
            <wp:extent cx="4913630" cy="1163320"/>
            <wp:effectExtent l="0" t="0" r="1270" b="17780"/>
            <wp:wrapTopAndBottom/>
            <wp:docPr id="2" name="图片 2" descr="图片4-6月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6月4日"/>
                    <pic:cNvPicPr>
                      <a:picLocks noChangeAspect="1"/>
                    </pic:cNvPicPr>
                  </pic:nvPicPr>
                  <pic:blipFill>
                    <a:blip r:embed="rId13"/>
                    <a:stretch>
                      <a:fillRect/>
                    </a:stretch>
                  </pic:blipFill>
                  <pic:spPr>
                    <a:xfrm>
                      <a:off x="0" y="0"/>
                      <a:ext cx="4913630" cy="1163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5月韩国出口581亿美元，贸易顺差49.6亿美元，均</w:t>
      </w:r>
      <w:r>
        <w:rPr>
          <w:rFonts w:hint="eastAsia" w:asciiTheme="minorEastAsia" w:hAnsiTheme="minorEastAsia" w:eastAsiaTheme="minorEastAsia" w:cstheme="minorEastAsia"/>
          <w:b/>
          <w:bCs/>
          <w:sz w:val="32"/>
          <w:szCs w:val="32"/>
          <w:lang w:val="en-US" w:eastAsia="zh-CN"/>
        </w:rPr>
        <w:t>创下月度数据的历史新高</w:t>
      </w:r>
      <w:r>
        <w:rPr>
          <w:rFonts w:hint="eastAsia" w:asciiTheme="minorEastAsia" w:hAnsiTheme="minorEastAsia" w:eastAsiaTheme="minorEastAsia" w:cstheme="minorEastAsia"/>
          <w:sz w:val="32"/>
          <w:szCs w:val="32"/>
          <w:lang w:val="en-US" w:eastAsia="zh-CN"/>
        </w:rPr>
        <w:t>。而且，韩国一季度GDP环比初值为1.3%，同比初值为3.3%，均与前值相等。</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6432" behindDoc="0" locked="0" layoutInCell="1" allowOverlap="1">
            <wp:simplePos x="0" y="0"/>
            <wp:positionH relativeFrom="column">
              <wp:posOffset>304800</wp:posOffset>
            </wp:positionH>
            <wp:positionV relativeFrom="paragraph">
              <wp:posOffset>800735</wp:posOffset>
            </wp:positionV>
            <wp:extent cx="4632325" cy="1702435"/>
            <wp:effectExtent l="0" t="0" r="15875" b="12065"/>
            <wp:wrapTopAndBottom/>
            <wp:docPr id="5" name="图片 5" descr="图片5-6月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6月4日"/>
                    <pic:cNvPicPr>
                      <a:picLocks noChangeAspect="1"/>
                    </pic:cNvPicPr>
                  </pic:nvPicPr>
                  <pic:blipFill>
                    <a:blip r:embed="rId14"/>
                    <a:stretch>
                      <a:fillRect/>
                    </a:stretch>
                  </pic:blipFill>
                  <pic:spPr>
                    <a:xfrm>
                      <a:off x="0" y="0"/>
                      <a:ext cx="4632325" cy="170243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相比亚洲各经济体，</w:t>
      </w:r>
      <w:r>
        <w:rPr>
          <w:rFonts w:hint="eastAsia" w:asciiTheme="minorEastAsia" w:hAnsiTheme="minorEastAsia" w:eastAsiaTheme="minorEastAsia" w:cstheme="minorEastAsia"/>
          <w:b/>
          <w:bCs/>
          <w:sz w:val="32"/>
          <w:szCs w:val="32"/>
          <w:lang w:val="en-US" w:eastAsia="zh-CN"/>
        </w:rPr>
        <w:t>欧洲的制造业复苏显得相当困难</w:t>
      </w:r>
      <w:r>
        <w:rPr>
          <w:rFonts w:hint="eastAsia" w:asciiTheme="minorEastAsia" w:hAnsiTheme="minorEastAsia" w:eastAsiaTheme="minorEastAsia" w:cstheme="minorEastAsia"/>
          <w:sz w:val="32"/>
          <w:szCs w:val="32"/>
          <w:lang w:val="en-US" w:eastAsia="zh-CN"/>
        </w:rPr>
        <w:t>（见表格二）。</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不同机构统计的美国5月PMI数据出现分歧（见表格三），联系前一日公布的“芝加哥PMI”数据，美国经济现状呈现出一定的复杂性</w:t>
      </w:r>
      <w:r>
        <w:rPr>
          <w:rFonts w:hint="eastAsia" w:ascii="Calibri" w:hAnsi="Calibri" w:cs="Calibri"/>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608" w:firstLineChars="200"/>
        <w:textAlignment w:val="auto"/>
        <w:outlineLvl w:val="9"/>
        <w:rPr>
          <w:rFonts w:hint="eastAsia" w:ascii="方正楷体_GBK" w:hAnsi="方正楷体_GBK" w:eastAsia="方正楷体_GBK" w:cs="方正楷体_GBK"/>
          <w:b/>
          <w:bCs/>
          <w:sz w:val="24"/>
          <w:szCs w:val="24"/>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67456" behindDoc="0" locked="0" layoutInCell="1" allowOverlap="1">
            <wp:simplePos x="0" y="0"/>
            <wp:positionH relativeFrom="column">
              <wp:posOffset>139065</wp:posOffset>
            </wp:positionH>
            <wp:positionV relativeFrom="paragraph">
              <wp:posOffset>135890</wp:posOffset>
            </wp:positionV>
            <wp:extent cx="5284470" cy="811530"/>
            <wp:effectExtent l="0" t="0" r="11430" b="7620"/>
            <wp:wrapTopAndBottom/>
            <wp:docPr id="6" name="图片 6" descr="图片6-6月4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6月4日"/>
                    <pic:cNvPicPr>
                      <a:picLocks noChangeAspect="1"/>
                    </pic:cNvPicPr>
                  </pic:nvPicPr>
                  <pic:blipFill>
                    <a:blip r:embed="rId15"/>
                    <a:stretch>
                      <a:fillRect/>
                    </a:stretch>
                  </pic:blipFill>
                  <pic:spPr>
                    <a:xfrm>
                      <a:off x="0" y="0"/>
                      <a:ext cx="5284470" cy="8115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bCs/>
          <w:sz w:val="24"/>
          <w:szCs w:val="24"/>
          <w:lang w:val="en-US" w:eastAsia="zh-CN"/>
        </w:rPr>
        <w:t>（</w:t>
      </w:r>
      <w:r>
        <w:rPr>
          <w:rFonts w:hint="eastAsia" w:ascii="方正黑体_GBK" w:hAnsi="方正黑体_GBK" w:eastAsia="方正黑体_GBK" w:cs="方正黑体_GBK"/>
          <w:b/>
          <w:bCs/>
          <w:sz w:val="24"/>
          <w:szCs w:val="24"/>
          <w:lang w:val="en-US" w:eastAsia="zh-CN"/>
        </w:rPr>
        <w:t>注：</w:t>
      </w:r>
      <w:r>
        <w:rPr>
          <w:rFonts w:hint="eastAsia" w:ascii="方正楷体_GBK" w:hAnsi="方正楷体_GBK" w:eastAsia="方正楷体_GBK" w:cs="方正楷体_GBK"/>
          <w:b/>
          <w:bCs/>
          <w:sz w:val="24"/>
          <w:szCs w:val="24"/>
          <w:lang w:val="en-US" w:eastAsia="zh-CN"/>
        </w:rPr>
        <w:t>IHS Markit</w:t>
      </w:r>
      <w:r>
        <w:rPr>
          <w:rFonts w:hint="eastAsia" w:ascii="方正楷体_GBK" w:hAnsi="方正楷体_GBK" w:eastAsia="方正楷体_GBK" w:cs="方正楷体_GBK"/>
          <w:sz w:val="24"/>
          <w:szCs w:val="24"/>
          <w:lang w:val="en-US" w:eastAsia="zh-CN"/>
        </w:rPr>
        <w:t>是一家全球领先的经济数据和信息提供商，负责编制并发布各个国家和地区的 PMI数据。欧洲各国和欧洲央行直接使用IHS Markit 提供的数据，用于宏观经济分析和政策制定。</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left"/>
        <w:textAlignment w:val="auto"/>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bCs/>
          <w:sz w:val="24"/>
          <w:szCs w:val="24"/>
          <w:lang w:val="en-US" w:eastAsia="zh-CN"/>
        </w:rPr>
        <w:t>ISM PMI</w:t>
      </w:r>
      <w:r>
        <w:rPr>
          <w:rFonts w:hint="eastAsia" w:ascii="方正楷体_GBK" w:hAnsi="方正楷体_GBK" w:eastAsia="方正楷体_GBK" w:cs="方正楷体_GBK"/>
          <w:sz w:val="24"/>
          <w:szCs w:val="24"/>
          <w:lang w:val="en-US" w:eastAsia="zh-CN"/>
        </w:rPr>
        <w:t>由“美国供应管理学会”（</w:t>
      </w:r>
      <w:r>
        <w:rPr>
          <w:rFonts w:hint="eastAsia" w:ascii="方正楷体_GBK" w:hAnsi="方正楷体_GBK" w:eastAsia="方正楷体_GBK" w:cs="方正楷体_GBK"/>
          <w:b/>
          <w:bCs/>
          <w:sz w:val="24"/>
          <w:szCs w:val="24"/>
          <w:lang w:val="en-US" w:eastAsia="zh-CN"/>
        </w:rPr>
        <w:t>ISM，</w:t>
      </w:r>
      <w:r>
        <w:rPr>
          <w:rFonts w:hint="eastAsia" w:ascii="方正楷体_GBK" w:hAnsi="方正楷体_GBK" w:eastAsia="方正楷体_GBK" w:cs="方正楷体_GBK"/>
          <w:b w:val="0"/>
          <w:bCs w:val="0"/>
          <w:sz w:val="24"/>
          <w:szCs w:val="24"/>
          <w:lang w:val="en-US" w:eastAsia="zh-CN"/>
        </w:rPr>
        <w:t>Institute for Supply Management</w:t>
      </w:r>
      <w:r>
        <w:rPr>
          <w:rFonts w:hint="eastAsia" w:ascii="方正楷体_GBK" w:hAnsi="方正楷体_GBK" w:eastAsia="方正楷体_GBK" w:cs="方正楷体_GBK"/>
          <w:sz w:val="24"/>
          <w:szCs w:val="24"/>
          <w:lang w:val="en-US" w:eastAsia="zh-CN"/>
        </w:rPr>
        <w:t>）发布，是其对全美数百家制造企业进行调查编制而成的。在美国，供应管理学会（ISM）和IHS Markit都发布“采购经理人指数”（PMI）数据，二者采集数据的方法和覆盖范围略有不同。</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ISM PMI倾向于本土特征，IHS Markit的数据则更倾向于全球标准。研究机构会同时参考两个指标，互相印证。此外，“标普全球”也会发布自己的PMI数据。）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此外，G7集团中的加拿大表现不佳，5月制造业PMI为49.3，为二月份以来的最低值。</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sz w:val="24"/>
          <w:szCs w:val="24"/>
          <w:lang w:val="en-US" w:eastAsia="zh-CN"/>
        </w:rPr>
        <w:t>（注：G7集团成员国包括美国、德国、英国、法国、日本、意大利和加拿大共7个发达的工业经济体。）</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sz w:val="24"/>
          <w:szCs w:val="24"/>
          <w:lang w:val="en-US" w:eastAsia="zh-CN"/>
        </w:rPr>
      </w:pP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6月5日（周三）</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美国就业市场有降温迹象，降息预期随之产生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6月4日（周二），美国美国劳工统计局公布，4月JOLTS职位空缺数为805.9万人，低于预计的835万人，也低于前值的848.8万人，表明劳动力市场正在降温。</w:t>
      </w:r>
    </w:p>
    <w:p>
      <w:pPr>
        <w:keepNext w:val="0"/>
        <w:keepLines w:val="0"/>
        <w:pageBreakBefore w:val="0"/>
        <w:widowControl w:val="0"/>
        <w:kinsoku/>
        <w:wordWrap/>
        <w:overflowPunct/>
        <w:topLinePunct w:val="0"/>
        <w:autoSpaceDE/>
        <w:autoSpaceDN/>
        <w:bidi w:val="0"/>
        <w:adjustRightInd/>
        <w:snapToGrid/>
        <w:spacing w:line="300" w:lineRule="exact"/>
        <w:ind w:firstLine="388" w:firstLineChars="200"/>
        <w:jc w:val="left"/>
        <w:textAlignment w:val="auto"/>
        <w:outlineLvl w:val="9"/>
        <w:rPr>
          <w:rFonts w:hint="default" w:ascii="Calibri" w:hAnsi="Calibri" w:eastAsia="仿宋_GB2312" w:cs="Calibri"/>
          <w:lang w:val="en-US" w:eastAsia="zh-CN"/>
        </w:rPr>
      </w:pPr>
      <w:r>
        <w:rPr>
          <w:rFonts w:hint="default" w:ascii="Calibri" w:hAnsi="Calibri" w:eastAsia="仿宋_GB2312" w:cs="Calibri"/>
          <w:lang w:val="en-US" w:eastAsia="zh-CN"/>
        </w:rPr>
        <w:t>（</w:t>
      </w:r>
      <w:r>
        <w:rPr>
          <w:rFonts w:hint="eastAsia" w:ascii="方正黑体_GBK" w:hAnsi="方正黑体_GBK" w:eastAsia="方正黑体_GBK" w:cs="方正黑体_GBK"/>
          <w:b/>
          <w:bCs/>
          <w:color w:val="auto"/>
          <w:highlight w:val="none"/>
          <w:lang w:val="en-US" w:eastAsia="zh-CN"/>
        </w:rPr>
        <w:t>注</w:t>
      </w:r>
      <w:r>
        <w:rPr>
          <w:rFonts w:hint="default" w:ascii="Calibri" w:hAnsi="Calibri" w:eastAsia="仿宋_GB2312" w:cs="Calibri"/>
          <w:lang w:val="en-US" w:eastAsia="zh-CN"/>
        </w:rPr>
        <w:t>：</w:t>
      </w:r>
      <w:r>
        <w:rPr>
          <w:rFonts w:hint="eastAsia" w:ascii="方正楷体_GBK" w:hAnsi="方正楷体_GBK" w:eastAsia="方正楷体_GBK" w:cs="方正楷体_GBK"/>
          <w:sz w:val="24"/>
          <w:szCs w:val="24"/>
          <w:lang w:val="en-US" w:eastAsia="zh-CN"/>
        </w:rPr>
        <w:t>“</w:t>
      </w:r>
      <w:r>
        <w:rPr>
          <w:rFonts w:hint="eastAsia" w:ascii="方正楷体_GBK" w:hAnsi="方正楷体_GBK" w:eastAsia="方正楷体_GBK" w:cs="方正楷体_GBK"/>
          <w:b/>
          <w:bCs/>
          <w:sz w:val="24"/>
          <w:szCs w:val="24"/>
          <w:lang w:val="en-US" w:eastAsia="zh-CN"/>
        </w:rPr>
        <w:t>JOLTS职位空缺数</w:t>
      </w:r>
      <w:r>
        <w:rPr>
          <w:rFonts w:hint="eastAsia" w:ascii="方正楷体_GBK" w:hAnsi="方正楷体_GBK" w:eastAsia="方正楷体_GBK" w:cs="方正楷体_GBK"/>
          <w:sz w:val="24"/>
          <w:szCs w:val="24"/>
          <w:lang w:val="en-US" w:eastAsia="zh-CN"/>
        </w:rPr>
        <w:t>”是美国劳工部发布的一个宏观经济指标。JOLTS，是“职位空缺和劳动力流动调查”（Job Openings and Labor Turnover Survey）的缩写。该指标提供了美国劳动力市场的一系列关键信息，包括职位空缺数量、新聘人数、离职率等，以了解劳动力市场的紧张程度和就业趋势。该指标通常比非农就业数据滞后一个月。）</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ascii="Calibri" w:hAnsi="Calibri" w:cs="Calibri"/>
          <w:lang w:val="en-US" w:eastAsia="zh-CN"/>
        </w:rPr>
      </w:pPr>
      <w:r>
        <w:rPr>
          <w:rFonts w:hint="eastAsia" w:asciiTheme="minorEastAsia" w:hAnsiTheme="minorEastAsia" w:eastAsiaTheme="minorEastAsia" w:cstheme="minorEastAsia"/>
          <w:sz w:val="32"/>
          <w:szCs w:val="32"/>
          <w:lang w:val="en-US" w:eastAsia="zh-CN"/>
        </w:rPr>
        <w:t>而且，目前就业市场降温，是通过放缓招聘而不是直接裁员逐步实现的，这也正是美联储喜欢的场景。JOLTS数据公布后，美债收益率下行，市场开始为11月或12月降息25个基点定价，9月降息的可能性升至50%以上（见表格）。</w:t>
      </w:r>
    </w:p>
    <w:p>
      <w:r>
        <w:drawing>
          <wp:anchor distT="0" distB="0" distL="114300" distR="114300" simplePos="0" relativeHeight="251668480" behindDoc="0" locked="0" layoutInCell="1" allowOverlap="1">
            <wp:simplePos x="0" y="0"/>
            <wp:positionH relativeFrom="column">
              <wp:posOffset>666750</wp:posOffset>
            </wp:positionH>
            <wp:positionV relativeFrom="paragraph">
              <wp:posOffset>190500</wp:posOffset>
            </wp:positionV>
            <wp:extent cx="4257675" cy="1999615"/>
            <wp:effectExtent l="0" t="0" r="9525"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257675" cy="19996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exact"/>
        <w:ind w:firstLine="388" w:firstLineChars="200"/>
        <w:jc w:val="left"/>
        <w:textAlignment w:val="auto"/>
        <w:outlineLvl w:val="9"/>
        <w:rPr>
          <w:rFonts w:hint="default" w:ascii="Calibri" w:hAnsi="Calibri" w:eastAsia="仿宋_GB2312" w:cs="Calibri"/>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388" w:firstLineChars="200"/>
        <w:jc w:val="left"/>
        <w:textAlignment w:val="auto"/>
        <w:outlineLvl w:val="9"/>
        <w:rPr>
          <w:rFonts w:hint="default"/>
          <w:lang w:val="en-US" w:eastAsia="zh-CN"/>
        </w:rPr>
      </w:pPr>
      <w:r>
        <w:rPr>
          <w:rFonts w:hint="default" w:ascii="Calibri" w:hAnsi="Calibri" w:eastAsia="仿宋_GB2312" w:cs="Calibri"/>
          <w:lang w:val="en-US" w:eastAsia="zh-CN"/>
        </w:rPr>
        <w:t>（</w:t>
      </w:r>
      <w:r>
        <w:rPr>
          <w:rFonts w:hint="eastAsia" w:ascii="方正黑体_GBK" w:hAnsi="方正黑体_GBK" w:eastAsia="方正黑体_GBK" w:cs="方正黑体_GBK"/>
          <w:lang w:val="en-US" w:eastAsia="zh-CN"/>
        </w:rPr>
        <w:t>注：</w:t>
      </w:r>
      <w:r>
        <w:rPr>
          <w:rFonts w:hint="eastAsia" w:ascii="方正楷体_GBK" w:hAnsi="方正楷体_GBK" w:eastAsia="方正楷体_GBK" w:cs="方正楷体_GBK"/>
          <w:b/>
          <w:bCs/>
          <w:sz w:val="24"/>
          <w:szCs w:val="24"/>
          <w:lang w:val="en-US" w:eastAsia="zh-CN"/>
        </w:rPr>
        <w:t>CME FEDWATCH TOOL，</w:t>
      </w:r>
      <w:r>
        <w:rPr>
          <w:rFonts w:hint="eastAsia" w:ascii="方正楷体_GBK" w:hAnsi="方正楷体_GBK" w:eastAsia="方正楷体_GBK" w:cs="方正楷体_GBK"/>
          <w:sz w:val="24"/>
          <w:szCs w:val="24"/>
          <w:lang w:val="en-US" w:eastAsia="zh-CN"/>
        </w:rPr>
        <w:t>是芝加哥商品交易所（CME）提供的一种工具，用于估计美联储一年8次的议息会议中决定加息或降息的概率。这些概率是基于市场上对未来利率走势的预期和交易者对于相关期货合约的定价。当然，这些概率只是市场预期的一种指示，并不保证实际利率决策会与之完全一致，因为决策取决于多种因素和数据的综合分析。</w:t>
      </w:r>
      <w:r>
        <w:rPr>
          <w:rFonts w:hint="eastAsia"/>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6月6日（周四）</w:t>
      </w:r>
    </w:p>
    <w:p>
      <w:pPr>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“小非农”降温，加拿大率先降息，欧央行应将随行</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b/>
          <w:bCs/>
          <w:color w:val="0000FF"/>
          <w:sz w:val="32"/>
          <w:szCs w:val="32"/>
          <w:highlight w:val="none"/>
          <w:lang w:val="en-US" w:eastAsia="zh-CN"/>
        </w:rPr>
      </w:pPr>
      <w:r>
        <w:rPr>
          <w:rFonts w:hint="eastAsia" w:asciiTheme="minorEastAsia" w:hAnsiTheme="minorEastAsia" w:eastAsiaTheme="minorEastAsia" w:cstheme="minorEastAsia"/>
          <w:b/>
          <w:bCs/>
          <w:color w:val="0000FF"/>
          <w:sz w:val="32"/>
          <w:szCs w:val="32"/>
          <w:highlight w:val="none"/>
          <w:lang w:val="en-US" w:eastAsia="zh-CN"/>
        </w:rPr>
        <w:t>一、“小非农”数据显示美就业市场降温</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6月5日（周三），美国“小非农”数据发布。5月ADP就业人数新增15.2万人，低于预期的17.5万人和前值的19.2万人，为今年1月以来的最小增幅。</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sz w:val="24"/>
          <w:szCs w:val="24"/>
          <w:lang w:eastAsia="zh-CN"/>
        </w:rPr>
      </w:pPr>
      <w:r>
        <w:rPr>
          <w:rFonts w:hint="default" w:ascii="Calibri" w:hAnsi="Calibri" w:eastAsia="仿宋_GB2312" w:cs="Calibri"/>
          <w:sz w:val="24"/>
          <w:szCs w:val="24"/>
          <w:lang w:eastAsia="zh-CN"/>
        </w:rPr>
        <w:t>（</w:t>
      </w:r>
      <w:r>
        <w:rPr>
          <w:rFonts w:hint="eastAsia" w:ascii="方正黑体_GBK" w:hAnsi="方正黑体_GBK" w:eastAsia="方正黑体_GBK" w:cs="方正黑体_GBK"/>
          <w:b/>
          <w:bCs/>
          <w:sz w:val="24"/>
          <w:szCs w:val="24"/>
          <w:highlight w:val="none"/>
          <w:lang w:eastAsia="zh-CN"/>
        </w:rPr>
        <w:t>注</w:t>
      </w:r>
      <w:r>
        <w:rPr>
          <w:rFonts w:hint="eastAsia" w:ascii="方正黑体_GBK" w:hAnsi="方正黑体_GBK" w:eastAsia="方正黑体_GBK" w:cs="方正黑体_GBK"/>
          <w:sz w:val="24"/>
          <w:szCs w:val="24"/>
          <w:lang w:eastAsia="zh-CN"/>
        </w:rPr>
        <w:t>：</w:t>
      </w:r>
      <w:r>
        <w:rPr>
          <w:rFonts w:hint="eastAsia" w:ascii="方正楷体_GBK" w:hAnsi="方正楷体_GBK" w:eastAsia="方正楷体_GBK" w:cs="方正楷体_GBK"/>
          <w:sz w:val="24"/>
          <w:szCs w:val="24"/>
          <w:lang w:eastAsia="zh-CN"/>
        </w:rPr>
        <w:t>“</w:t>
      </w:r>
      <w:r>
        <w:rPr>
          <w:rFonts w:hint="eastAsia" w:ascii="方正楷体_GBK" w:hAnsi="方正楷体_GBK" w:eastAsia="方正楷体_GBK" w:cs="方正楷体_GBK"/>
          <w:b/>
          <w:bCs/>
          <w:sz w:val="24"/>
          <w:szCs w:val="24"/>
          <w:lang w:eastAsia="zh-CN"/>
        </w:rPr>
        <w:t>小非农</w:t>
      </w:r>
      <w:r>
        <w:rPr>
          <w:rFonts w:hint="eastAsia" w:ascii="方正楷体_GBK" w:hAnsi="方正楷体_GBK" w:eastAsia="方正楷体_GBK" w:cs="方正楷体_GBK"/>
          <w:sz w:val="24"/>
          <w:szCs w:val="24"/>
          <w:lang w:eastAsia="zh-CN"/>
        </w:rPr>
        <w:t>”</w:t>
      </w:r>
      <w:r>
        <w:rPr>
          <w:rFonts w:hint="eastAsia" w:ascii="方正楷体_GBK" w:hAnsi="方正楷体_GBK" w:eastAsia="方正楷体_GBK" w:cs="方正楷体_GBK"/>
          <w:b/>
          <w:bCs/>
          <w:sz w:val="24"/>
          <w:szCs w:val="24"/>
          <w:lang w:eastAsia="zh-CN"/>
        </w:rPr>
        <w:t>数据</w:t>
      </w:r>
      <w:r>
        <w:rPr>
          <w:rFonts w:hint="eastAsia" w:ascii="方正楷体_GBK" w:hAnsi="方正楷体_GBK" w:eastAsia="方正楷体_GBK" w:cs="方正楷体_GBK"/>
          <w:sz w:val="24"/>
          <w:szCs w:val="24"/>
          <w:lang w:eastAsia="zh-CN"/>
        </w:rPr>
        <w:t>，是指由“自动数据处理公司”（Automatic Data Processing, Inc.，简称“</w:t>
      </w:r>
      <w:r>
        <w:rPr>
          <w:rFonts w:hint="eastAsia" w:ascii="方正楷体_GBK" w:hAnsi="方正楷体_GBK" w:eastAsia="方正楷体_GBK" w:cs="方正楷体_GBK"/>
          <w:b/>
          <w:bCs/>
          <w:sz w:val="24"/>
          <w:szCs w:val="24"/>
          <w:lang w:val="en-US" w:eastAsia="zh-CN"/>
        </w:rPr>
        <w:t>ADP</w:t>
      </w:r>
      <w:r>
        <w:rPr>
          <w:rFonts w:hint="eastAsia" w:ascii="方正楷体_GBK" w:hAnsi="方正楷体_GBK" w:eastAsia="方正楷体_GBK" w:cs="方正楷体_GBK"/>
          <w:sz w:val="24"/>
          <w:szCs w:val="24"/>
          <w:lang w:eastAsia="zh-CN"/>
        </w:rPr>
        <w:t>”）发布的，关于美国非农部门就业人口的变化情况指标（ADP Nonfarm Employment Change）。该指标是</w:t>
      </w:r>
      <w:r>
        <w:rPr>
          <w:rFonts w:hint="eastAsia" w:ascii="方正楷体_GBK" w:hAnsi="方正楷体_GBK" w:eastAsia="方正楷体_GBK" w:cs="方正楷体_GBK"/>
          <w:sz w:val="24"/>
          <w:szCs w:val="24"/>
          <w:lang w:val="en-US" w:eastAsia="zh-CN"/>
        </w:rPr>
        <w:t>ADP</w:t>
      </w:r>
      <w:r>
        <w:rPr>
          <w:rFonts w:hint="eastAsia" w:ascii="方正楷体_GBK" w:hAnsi="方正楷体_GBK" w:eastAsia="方正楷体_GBK" w:cs="方正楷体_GBK"/>
          <w:sz w:val="24"/>
          <w:szCs w:val="24"/>
          <w:lang w:eastAsia="zh-CN"/>
        </w:rPr>
        <w:t>通过对美国境内众多企业的雇佣情况进行调查和数据收集得出的。</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Calibri" w:hAnsi="Calibri" w:eastAsia="仿宋_GB2312" w:cs="Calibri"/>
          <w:sz w:val="24"/>
          <w:szCs w:val="24"/>
          <w:lang w:eastAsia="zh-CN"/>
        </w:rPr>
      </w:pPr>
      <w:r>
        <w:rPr>
          <w:rFonts w:hint="eastAsia" w:ascii="方正楷体_GBK" w:hAnsi="方正楷体_GBK" w:eastAsia="方正楷体_GBK" w:cs="方正楷体_GBK"/>
          <w:sz w:val="24"/>
          <w:szCs w:val="24"/>
          <w:lang w:val="en-US" w:eastAsia="zh-CN"/>
        </w:rPr>
        <w:t>ADP的</w:t>
      </w:r>
      <w:r>
        <w:rPr>
          <w:rFonts w:hint="eastAsia" w:ascii="方正楷体_GBK" w:hAnsi="方正楷体_GBK" w:eastAsia="方正楷体_GBK" w:cs="方正楷体_GBK"/>
          <w:sz w:val="24"/>
          <w:szCs w:val="24"/>
          <w:lang w:eastAsia="zh-CN"/>
        </w:rPr>
        <w:t>非农数据可以与美国劳工部发布的官方非农数据（简称“大非农数据”）进行比较和对照，所以被市场称为“小非农数据”。该数据发布的时间比美国劳工部发布的日期稍早，因此具有前瞻指引的作用，被市场广泛关注。</w:t>
      </w:r>
      <w:r>
        <w:rPr>
          <w:rFonts w:hint="eastAsia" w:ascii="Calibri" w:hAnsi="Calibri" w:eastAsia="仿宋_GB2312" w:cs="Calibri"/>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ADP</w:t>
      </w:r>
      <w:r>
        <w:rPr>
          <w:rFonts w:hint="eastAsia" w:asciiTheme="minorEastAsia" w:hAnsiTheme="minorEastAsia" w:eastAsiaTheme="minorEastAsia" w:cstheme="minorEastAsia"/>
          <w:sz w:val="32"/>
          <w:szCs w:val="32"/>
          <w:lang w:eastAsia="zh-CN"/>
        </w:rPr>
        <w:t>的报告称，</w:t>
      </w:r>
      <w:r>
        <w:rPr>
          <w:rFonts w:hint="eastAsia" w:asciiTheme="minorEastAsia" w:hAnsiTheme="minorEastAsia" w:eastAsiaTheme="minorEastAsia" w:cstheme="minorEastAsia"/>
          <w:sz w:val="32"/>
          <w:szCs w:val="32"/>
        </w:rPr>
        <w:t>制造业急剧下滑</w:t>
      </w:r>
      <w:r>
        <w:rPr>
          <w:rFonts w:hint="eastAsia" w:asciiTheme="minorEastAsia" w:hAnsiTheme="minorEastAsia" w:eastAsiaTheme="minorEastAsia" w:cstheme="minorEastAsia"/>
          <w:sz w:val="32"/>
          <w:szCs w:val="32"/>
          <w:lang w:eastAsia="zh-CN"/>
        </w:rPr>
        <w:t>，其</w:t>
      </w:r>
      <w:r>
        <w:rPr>
          <w:rFonts w:hint="eastAsia" w:asciiTheme="minorEastAsia" w:hAnsiTheme="minorEastAsia" w:eastAsiaTheme="minorEastAsia" w:cstheme="minorEastAsia"/>
          <w:sz w:val="32"/>
          <w:szCs w:val="32"/>
        </w:rPr>
        <w:t>就业增长和薪资增长正在放缓</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几乎所有的招聘都来自服务业</w:t>
      </w:r>
      <w:r>
        <w:rPr>
          <w:rFonts w:hint="eastAsia" w:asciiTheme="minorEastAsia" w:hAnsiTheme="minorEastAsia" w:eastAsiaTheme="minorEastAsia" w:cstheme="minorEastAsia"/>
          <w:sz w:val="32"/>
          <w:szCs w:val="32"/>
          <w:lang w:eastAsia="zh-CN"/>
        </w:rPr>
        <w:t>，但其中</w:t>
      </w:r>
      <w:r>
        <w:rPr>
          <w:rFonts w:hint="eastAsia" w:asciiTheme="minorEastAsia" w:hAnsiTheme="minorEastAsia" w:eastAsiaTheme="minorEastAsia" w:cstheme="minorEastAsia"/>
          <w:sz w:val="32"/>
          <w:szCs w:val="32"/>
        </w:rPr>
        <w:t>休闲和酒店业的招聘</w:t>
      </w:r>
      <w:r>
        <w:rPr>
          <w:rFonts w:hint="eastAsia" w:asciiTheme="minorEastAsia" w:hAnsiTheme="minorEastAsia" w:eastAsiaTheme="minorEastAsia" w:cstheme="minorEastAsia"/>
          <w:sz w:val="32"/>
          <w:szCs w:val="32"/>
          <w:lang w:eastAsia="zh-CN"/>
        </w:rPr>
        <w:t>开始</w:t>
      </w:r>
      <w:r>
        <w:rPr>
          <w:rFonts w:hint="eastAsia" w:asciiTheme="minorEastAsia" w:hAnsiTheme="minorEastAsia" w:eastAsiaTheme="minorEastAsia" w:cstheme="minorEastAsia"/>
          <w:sz w:val="32"/>
          <w:szCs w:val="32"/>
        </w:rPr>
        <w:t>疲软</w:t>
      </w:r>
      <w:r>
        <w:rPr>
          <w:rFonts w:hint="eastAsia" w:asciiTheme="minorEastAsia" w:hAnsiTheme="minorEastAsia" w:eastAsiaTheme="minorEastAsia" w:cstheme="minorEastAsia"/>
          <w:sz w:val="32"/>
          <w:szCs w:val="32"/>
          <w:lang w:eastAsia="zh-CN"/>
        </w:rPr>
        <w:t>。因此，“小非农</w:t>
      </w:r>
      <w:r>
        <w:rPr>
          <w:rFonts w:hint="eastAsia" w:asciiTheme="minorEastAsia" w:hAnsiTheme="minorEastAsia" w:eastAsiaTheme="minorEastAsia" w:cstheme="minorEastAsia"/>
          <w:sz w:val="32"/>
          <w:szCs w:val="32"/>
        </w:rPr>
        <w:t>数据</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公布后，市场</w:t>
      </w:r>
      <w:r>
        <w:rPr>
          <w:rFonts w:hint="eastAsia" w:asciiTheme="minorEastAsia" w:hAnsiTheme="minorEastAsia" w:eastAsiaTheme="minorEastAsia" w:cstheme="minorEastAsia"/>
          <w:sz w:val="32"/>
          <w:szCs w:val="32"/>
          <w:lang w:eastAsia="zh-CN"/>
        </w:rPr>
        <w:t>对</w:t>
      </w:r>
      <w:r>
        <w:rPr>
          <w:rFonts w:hint="eastAsia" w:asciiTheme="minorEastAsia" w:hAnsiTheme="minorEastAsia" w:eastAsiaTheme="minorEastAsia" w:cstheme="minorEastAsia"/>
          <w:sz w:val="32"/>
          <w:szCs w:val="32"/>
        </w:rPr>
        <w:t>降息</w:t>
      </w:r>
      <w:r>
        <w:rPr>
          <w:rFonts w:hint="eastAsia" w:asciiTheme="minorEastAsia" w:hAnsiTheme="minorEastAsia" w:eastAsiaTheme="minorEastAsia" w:cstheme="minorEastAsia"/>
          <w:sz w:val="32"/>
          <w:szCs w:val="32"/>
          <w:lang w:eastAsia="zh-CN"/>
        </w:rPr>
        <w:t>的</w:t>
      </w:r>
      <w:r>
        <w:rPr>
          <w:rFonts w:hint="eastAsia" w:asciiTheme="minorEastAsia" w:hAnsiTheme="minorEastAsia" w:eastAsiaTheme="minorEastAsia" w:cstheme="minorEastAsia"/>
          <w:sz w:val="32"/>
          <w:szCs w:val="32"/>
        </w:rPr>
        <w:t>押注增加</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10年期美债收益率连续第5天下降</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b/>
          <w:bCs/>
          <w:color w:val="0000FF"/>
          <w:sz w:val="32"/>
          <w:szCs w:val="32"/>
          <w:highlight w:val="none"/>
          <w:lang w:val="en-US" w:eastAsia="zh-CN"/>
        </w:rPr>
      </w:pPr>
      <w:r>
        <w:rPr>
          <w:rFonts w:hint="eastAsia" w:asciiTheme="minorEastAsia" w:hAnsiTheme="minorEastAsia" w:eastAsiaTheme="minorEastAsia" w:cstheme="minorEastAsia"/>
          <w:b/>
          <w:bCs/>
          <w:color w:val="0000FF"/>
          <w:sz w:val="32"/>
          <w:szCs w:val="32"/>
          <w:highlight w:val="none"/>
          <w:lang w:val="en-US" w:eastAsia="zh-CN"/>
        </w:rPr>
        <w:t>二、加拿大央行率先降息</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lang w:eastAsia="zh-CN"/>
        </w:rPr>
      </w:pPr>
      <w:r>
        <w:rPr>
          <w:rFonts w:hint="eastAsia" w:asciiTheme="minorEastAsia" w:hAnsiTheme="minorEastAsia" w:eastAsiaTheme="minorEastAsia" w:cstheme="minorEastAsia"/>
          <w:sz w:val="32"/>
          <w:szCs w:val="32"/>
          <w:lang w:val="en-US" w:eastAsia="zh-CN"/>
        </w:rPr>
        <w:t>6月5日（周三），</w:t>
      </w:r>
      <w:r>
        <w:rPr>
          <w:rFonts w:hint="eastAsia" w:asciiTheme="minorEastAsia" w:hAnsiTheme="minorEastAsia" w:eastAsiaTheme="minorEastAsia" w:cstheme="minorEastAsia"/>
          <w:sz w:val="32"/>
          <w:szCs w:val="32"/>
        </w:rPr>
        <w:t>如市场预期</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加拿大央行宣布降息</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自2020年以来首次降息25个基点</w:t>
      </w:r>
      <w:r>
        <w:rPr>
          <w:rFonts w:hint="eastAsia" w:asciiTheme="minorEastAsia" w:hAnsiTheme="minorEastAsia" w:eastAsiaTheme="minorEastAsia" w:cstheme="minorEastAsia"/>
          <w:sz w:val="32"/>
          <w:szCs w:val="32"/>
          <w:lang w:eastAsia="zh-CN"/>
        </w:rPr>
        <w:t>，政策利率</w:t>
      </w:r>
      <w:r>
        <w:rPr>
          <w:rFonts w:hint="eastAsia" w:asciiTheme="minorEastAsia" w:hAnsiTheme="minorEastAsia" w:eastAsiaTheme="minorEastAsia" w:cstheme="minorEastAsia"/>
          <w:sz w:val="32"/>
          <w:szCs w:val="32"/>
          <w:lang w:val="en-US" w:eastAsia="zh-CN"/>
        </w:rPr>
        <w:t>由5%下调至4.75%。加拿大是G7</w:t>
      </w:r>
      <w:r>
        <w:rPr>
          <w:rFonts w:hint="eastAsia" w:asciiTheme="minorEastAsia" w:hAnsiTheme="minorEastAsia" w:eastAsiaTheme="minorEastAsia" w:cstheme="minorEastAsia"/>
          <w:sz w:val="32"/>
          <w:szCs w:val="32"/>
        </w:rPr>
        <w:t>集团中首家启动宽松周期的</w:t>
      </w:r>
      <w:r>
        <w:rPr>
          <w:rFonts w:hint="eastAsia" w:asciiTheme="minorEastAsia" w:hAnsiTheme="minorEastAsia" w:eastAsiaTheme="minorEastAsia" w:cstheme="minorEastAsia"/>
          <w:sz w:val="32"/>
          <w:szCs w:val="32"/>
          <w:lang w:eastAsia="zh-CN"/>
        </w:rPr>
        <w:t>经济体，其</w:t>
      </w:r>
      <w:r>
        <w:rPr>
          <w:rFonts w:hint="eastAsia" w:asciiTheme="minorEastAsia" w:hAnsiTheme="minorEastAsia" w:eastAsiaTheme="minorEastAsia" w:cstheme="minorEastAsia"/>
          <w:sz w:val="32"/>
          <w:szCs w:val="32"/>
        </w:rPr>
        <w:t>央行官员称</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对通胀率向2%的目标迈进更有信心</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如果</w:t>
      </w:r>
      <w:r>
        <w:rPr>
          <w:rFonts w:hint="eastAsia" w:asciiTheme="minorEastAsia" w:hAnsiTheme="minorEastAsia" w:eastAsiaTheme="minorEastAsia" w:cstheme="minorEastAsia"/>
          <w:sz w:val="32"/>
          <w:szCs w:val="32"/>
          <w:lang w:eastAsia="zh-CN"/>
        </w:rPr>
        <w:t>抗通胀</w:t>
      </w:r>
      <w:r>
        <w:rPr>
          <w:rFonts w:hint="eastAsia" w:asciiTheme="minorEastAsia" w:hAnsiTheme="minorEastAsia" w:eastAsiaTheme="minorEastAsia" w:cstheme="minorEastAsia"/>
          <w:sz w:val="32"/>
          <w:szCs w:val="32"/>
        </w:rPr>
        <w:t>进展</w:t>
      </w:r>
      <w:r>
        <w:rPr>
          <w:rFonts w:hint="eastAsia" w:asciiTheme="minorEastAsia" w:hAnsiTheme="minorEastAsia" w:eastAsiaTheme="minorEastAsia" w:cstheme="minorEastAsia"/>
          <w:sz w:val="32"/>
          <w:szCs w:val="32"/>
          <w:lang w:eastAsia="zh-CN"/>
        </w:rPr>
        <w:t>顺利，</w:t>
      </w:r>
      <w:r>
        <w:rPr>
          <w:rFonts w:hint="eastAsia" w:asciiTheme="minorEastAsia" w:hAnsiTheme="minorEastAsia" w:eastAsiaTheme="minorEastAsia" w:cstheme="minorEastAsia"/>
          <w:sz w:val="32"/>
          <w:szCs w:val="32"/>
        </w:rPr>
        <w:t>有理由期待进一步降息</w:t>
      </w:r>
      <w:r>
        <w:rPr>
          <w:rFonts w:hint="eastAsia" w:asciiTheme="minorEastAsia" w:hAnsiTheme="minorEastAsia" w:eastAsiaTheme="minorEastAsia" w:cstheme="minorEastAsia"/>
          <w:sz w:val="32"/>
          <w:szCs w:val="32"/>
          <w:lang w:eastAsia="zh-CN"/>
        </w:rPr>
        <w:t>。</w:t>
      </w:r>
    </w:p>
    <w:p>
      <w:r>
        <w:drawing>
          <wp:anchor distT="0" distB="0" distL="114300" distR="114300" simplePos="0" relativeHeight="251669504" behindDoc="0" locked="0" layoutInCell="1" allowOverlap="1">
            <wp:simplePos x="0" y="0"/>
            <wp:positionH relativeFrom="column">
              <wp:posOffset>516890</wp:posOffset>
            </wp:positionH>
            <wp:positionV relativeFrom="paragraph">
              <wp:posOffset>74930</wp:posOffset>
            </wp:positionV>
            <wp:extent cx="4298315" cy="2865120"/>
            <wp:effectExtent l="0" t="0" r="6985" b="1143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4298315" cy="2865120"/>
                    </a:xfrm>
                    <a:prstGeom prst="rect">
                      <a:avLst/>
                    </a:prstGeom>
                    <a:noFill/>
                    <a:ln>
                      <a:noFill/>
                    </a:ln>
                  </pic:spPr>
                </pic:pic>
              </a:graphicData>
            </a:graphic>
          </wp:anchor>
        </w:drawing>
      </w:r>
    </w:p>
    <w:p>
      <w:pPr>
        <w:jc w:val="center"/>
        <w:rPr>
          <w:rFonts w:hint="default" w:ascii="Calibri" w:hAnsi="Calibri" w:eastAsia="仿宋_GB2312" w:cs="Calibri"/>
          <w:lang w:eastAsia="zh-CN"/>
        </w:rPr>
      </w:pPr>
      <w:r>
        <w:rPr>
          <w:rFonts w:hint="default" w:ascii="Calibri" w:hAnsi="Calibri" w:eastAsia="仿宋_GB2312" w:cs="Calibri"/>
          <w:lang w:eastAsia="zh-CN"/>
        </w:rPr>
        <w:t>（图：</w:t>
      </w:r>
      <w:r>
        <w:rPr>
          <w:rFonts w:hint="default" w:ascii="Calibri" w:hAnsi="Calibri" w:eastAsia="仿宋_GB2312" w:cs="Calibri"/>
          <w:lang w:val="en-US" w:eastAsia="zh-CN"/>
        </w:rPr>
        <w:t>6月5日，</w:t>
      </w:r>
      <w:r>
        <w:rPr>
          <w:rFonts w:hint="default" w:ascii="Calibri" w:hAnsi="Calibri" w:eastAsia="仿宋_GB2312" w:cs="Calibri"/>
          <w:lang w:eastAsia="zh-CN"/>
        </w:rPr>
        <w:t>加拿大央行的行长Tiff Macklem宣布降息）</w:t>
      </w:r>
    </w:p>
    <w:p>
      <w:pPr>
        <w:keepNext w:val="0"/>
        <w:keepLines w:val="0"/>
        <w:pageBreakBefore w:val="0"/>
        <w:widowControl w:val="0"/>
        <w:kinsoku/>
        <w:wordWrap/>
        <w:overflowPunct/>
        <w:topLinePunct w:val="0"/>
        <w:autoSpaceDE/>
        <w:autoSpaceDN/>
        <w:bidi w:val="0"/>
        <w:adjustRightInd/>
        <w:snapToGrid/>
        <w:ind w:firstLine="608" w:firstLineChars="200"/>
        <w:textAlignment w:val="auto"/>
        <w:rPr>
          <w:rFonts w:hint="eastAsia" w:asciiTheme="minorEastAsia" w:hAnsiTheme="minorEastAsia" w:eastAsiaTheme="minorEastAsia" w:cstheme="minorEastAsia"/>
          <w:b/>
          <w:bCs/>
          <w:color w:val="0000FF"/>
          <w:sz w:val="32"/>
          <w:szCs w:val="32"/>
          <w:highlight w:val="none"/>
          <w:lang w:val="en-US" w:eastAsia="zh-CN"/>
        </w:rPr>
      </w:pPr>
      <w:r>
        <w:rPr>
          <w:rFonts w:hint="eastAsia" w:asciiTheme="minorEastAsia" w:hAnsiTheme="minorEastAsia" w:eastAsiaTheme="minorEastAsia" w:cstheme="minorEastAsia"/>
          <w:b/>
          <w:bCs/>
          <w:color w:val="0000FF"/>
          <w:sz w:val="32"/>
          <w:szCs w:val="32"/>
          <w:highlight w:val="none"/>
          <w:lang w:val="en-US" w:eastAsia="zh-CN"/>
        </w:rPr>
        <w:t>三、欧盟应将降息</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同日，欧盟统计局发布4月份欧元区的“生产者价格指数”（PPI）。数据显示，PPI下行同比超预期，环比相较于前值扩大，说明欧元区生产端的成本在加速下降之中（见表格）。</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textAlignment w:val="auto"/>
        <w:outlineLvl w:val="9"/>
        <w:rPr>
          <w:rFonts w:hint="eastAsia" w:ascii="方正楷体_GBK" w:hAnsi="方正楷体_GBK" w:eastAsia="方正楷体_GBK" w:cs="方正楷体_GBK"/>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70528" behindDoc="0" locked="0" layoutInCell="1" allowOverlap="1">
            <wp:simplePos x="0" y="0"/>
            <wp:positionH relativeFrom="column">
              <wp:posOffset>254635</wp:posOffset>
            </wp:positionH>
            <wp:positionV relativeFrom="paragraph">
              <wp:posOffset>31115</wp:posOffset>
            </wp:positionV>
            <wp:extent cx="5069840" cy="867410"/>
            <wp:effectExtent l="0" t="0" r="16510" b="8890"/>
            <wp:wrapTopAndBottom/>
            <wp:docPr id="8" name="图片 8" descr="图片7-6月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7-6月6日"/>
                    <pic:cNvPicPr>
                      <a:picLocks noChangeAspect="1"/>
                    </pic:cNvPicPr>
                  </pic:nvPicPr>
                  <pic:blipFill>
                    <a:blip r:embed="rId18"/>
                    <a:stretch>
                      <a:fillRect/>
                    </a:stretch>
                  </pic:blipFill>
                  <pic:spPr>
                    <a:xfrm>
                      <a:off x="0" y="0"/>
                      <a:ext cx="5069840" cy="867410"/>
                    </a:xfrm>
                    <a:prstGeom prst="rect">
                      <a:avLst/>
                    </a:prstGeom>
                  </pic:spPr>
                </pic:pic>
              </a:graphicData>
            </a:graphic>
          </wp:anchor>
        </w:drawing>
      </w:r>
      <w:r>
        <w:rPr>
          <w:rFonts w:hint="eastAsia" w:ascii="方正楷体_GBK" w:hAnsi="方正楷体_GBK" w:eastAsia="方正楷体_GBK" w:cs="方正楷体_GBK"/>
          <w:sz w:val="24"/>
          <w:szCs w:val="24"/>
          <w:lang w:val="en-US" w:eastAsia="zh-CN"/>
        </w:rPr>
        <w:t>（</w:t>
      </w:r>
      <w:r>
        <w:rPr>
          <w:rFonts w:hint="eastAsia" w:ascii="方正黑体_GBK" w:hAnsi="方正黑体_GBK" w:eastAsia="方正黑体_GBK" w:cs="方正黑体_GBK"/>
          <w:b/>
          <w:bCs/>
          <w:sz w:val="24"/>
          <w:szCs w:val="24"/>
          <w:highlight w:val="none"/>
          <w:lang w:val="en-US" w:eastAsia="zh-CN"/>
        </w:rPr>
        <w:t>注：</w:t>
      </w:r>
      <w:r>
        <w:rPr>
          <w:rFonts w:hint="eastAsia" w:ascii="方正楷体_GBK" w:hAnsi="方正楷体_GBK" w:eastAsia="方正楷体_GBK" w:cs="方正楷体_GBK"/>
          <w:b/>
          <w:bCs/>
          <w:sz w:val="24"/>
          <w:szCs w:val="24"/>
          <w:lang w:val="en-US" w:eastAsia="zh-CN"/>
        </w:rPr>
        <w:t>“生产者价格指数”（PPI）</w:t>
      </w:r>
      <w:r>
        <w:rPr>
          <w:rFonts w:hint="eastAsia" w:ascii="方正楷体_GBK" w:hAnsi="方正楷体_GBK" w:eastAsia="方正楷体_GBK" w:cs="方正楷体_GBK"/>
          <w:sz w:val="24"/>
          <w:szCs w:val="24"/>
          <w:lang w:val="en-US" w:eastAsia="zh-CN"/>
        </w:rPr>
        <w:t>衡量的是生产者所面对的成本变化，通常包括生产领域的原材料、能源、劳动力等价格的变动情况。）</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导致PPI下行的常见因素包括原材料价格下降、能源价格下降、劳动力成本下降、生产效率提高、需求疲软，以及产能过剩等。</w:t>
      </w:r>
      <w:r>
        <w:rPr>
          <w:rFonts w:hint="eastAsia" w:asciiTheme="minorEastAsia" w:hAnsiTheme="minorEastAsia" w:eastAsiaTheme="minorEastAsia" w:cstheme="minorEastAsia"/>
          <w:b/>
          <w:bCs/>
          <w:sz w:val="32"/>
          <w:szCs w:val="32"/>
          <w:lang w:val="en-US" w:eastAsia="zh-CN"/>
        </w:rPr>
        <w:t>欧元区的现况应主要归因于需求疲软</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因此，市场普遍认为，</w:t>
      </w:r>
      <w:r>
        <w:rPr>
          <w:rFonts w:hint="eastAsia" w:asciiTheme="minorEastAsia" w:hAnsiTheme="minorEastAsia" w:eastAsiaTheme="minorEastAsia" w:cstheme="minorEastAsia"/>
          <w:sz w:val="32"/>
          <w:szCs w:val="32"/>
          <w:lang w:eastAsia="zh-CN"/>
        </w:rPr>
        <w:t>鉴于欧元区</w:t>
      </w:r>
      <w:r>
        <w:rPr>
          <w:rFonts w:hint="eastAsia" w:asciiTheme="minorEastAsia" w:hAnsiTheme="minorEastAsia" w:eastAsiaTheme="minorEastAsia" w:cstheme="minorEastAsia"/>
          <w:sz w:val="32"/>
          <w:szCs w:val="32"/>
        </w:rPr>
        <w:t>经济</w:t>
      </w:r>
      <w:r>
        <w:rPr>
          <w:rFonts w:hint="eastAsia" w:asciiTheme="minorEastAsia" w:hAnsiTheme="minorEastAsia" w:eastAsiaTheme="minorEastAsia" w:cstheme="minorEastAsia"/>
          <w:sz w:val="32"/>
          <w:szCs w:val="32"/>
          <w:lang w:eastAsia="zh-CN"/>
        </w:rPr>
        <w:t>衰退的</w:t>
      </w:r>
      <w:r>
        <w:rPr>
          <w:rFonts w:hint="eastAsia" w:asciiTheme="minorEastAsia" w:hAnsiTheme="minorEastAsia" w:eastAsiaTheme="minorEastAsia" w:cstheme="minorEastAsia"/>
          <w:sz w:val="32"/>
          <w:szCs w:val="32"/>
        </w:rPr>
        <w:t>压力</w:t>
      </w:r>
      <w:r>
        <w:rPr>
          <w:rFonts w:hint="eastAsia" w:asciiTheme="minorEastAsia" w:hAnsiTheme="minorEastAsia" w:eastAsiaTheme="minorEastAsia" w:cstheme="minorEastAsia"/>
          <w:sz w:val="32"/>
          <w:szCs w:val="32"/>
          <w:lang w:eastAsia="zh-CN"/>
        </w:rPr>
        <w:t>开始明显，</w:t>
      </w:r>
      <w:r>
        <w:rPr>
          <w:rFonts w:hint="eastAsia" w:asciiTheme="minorEastAsia" w:hAnsiTheme="minorEastAsia" w:eastAsiaTheme="minorEastAsia" w:cstheme="minorEastAsia"/>
          <w:sz w:val="32"/>
          <w:szCs w:val="32"/>
        </w:rPr>
        <w:t>欧洲央行</w:t>
      </w:r>
      <w:r>
        <w:rPr>
          <w:rFonts w:hint="eastAsia" w:asciiTheme="minorEastAsia" w:hAnsiTheme="minorEastAsia" w:eastAsiaTheme="minorEastAsia" w:cstheme="minorEastAsia"/>
          <w:sz w:val="32"/>
          <w:szCs w:val="32"/>
          <w:lang w:eastAsia="zh-CN"/>
        </w:rPr>
        <w:t>本周</w:t>
      </w:r>
      <w:r>
        <w:rPr>
          <w:rFonts w:hint="eastAsia" w:asciiTheme="minorEastAsia" w:hAnsiTheme="minorEastAsia" w:eastAsiaTheme="minorEastAsia" w:cstheme="minorEastAsia"/>
          <w:sz w:val="32"/>
          <w:szCs w:val="32"/>
        </w:rPr>
        <w:t>也</w:t>
      </w:r>
      <w:r>
        <w:rPr>
          <w:rFonts w:hint="eastAsia" w:asciiTheme="minorEastAsia" w:hAnsiTheme="minorEastAsia" w:eastAsiaTheme="minorEastAsia" w:cstheme="minorEastAsia"/>
          <w:sz w:val="32"/>
          <w:szCs w:val="32"/>
          <w:lang w:eastAsia="zh-CN"/>
        </w:rPr>
        <w:t>将开始</w:t>
      </w:r>
      <w:r>
        <w:rPr>
          <w:rFonts w:hint="eastAsia" w:asciiTheme="minorEastAsia" w:hAnsiTheme="minorEastAsia" w:eastAsiaTheme="minorEastAsia" w:cstheme="minorEastAsia"/>
          <w:sz w:val="32"/>
          <w:szCs w:val="32"/>
        </w:rPr>
        <w:t>降息</w:t>
      </w:r>
      <w:r>
        <w:rPr>
          <w:rFonts w:hint="eastAsia" w:asciiTheme="minorEastAsia" w:hAnsiTheme="minorEastAsia" w:eastAsiaTheme="minorEastAsia" w:cstheme="minorEastAsia"/>
          <w:sz w:val="32"/>
          <w:szCs w:val="32"/>
          <w:lang w:eastAsia="zh-CN"/>
        </w:rPr>
        <w:t>。当前，遏制</w:t>
      </w:r>
      <w:r>
        <w:rPr>
          <w:rFonts w:hint="eastAsia" w:asciiTheme="minorEastAsia" w:hAnsiTheme="minorEastAsia" w:eastAsiaTheme="minorEastAsia" w:cstheme="minorEastAsia"/>
          <w:sz w:val="32"/>
          <w:szCs w:val="32"/>
        </w:rPr>
        <w:t>通胀</w:t>
      </w:r>
      <w:r>
        <w:rPr>
          <w:rFonts w:hint="eastAsia" w:asciiTheme="minorEastAsia" w:hAnsiTheme="minorEastAsia" w:eastAsiaTheme="minorEastAsia" w:cstheme="minorEastAsia"/>
          <w:sz w:val="32"/>
          <w:szCs w:val="32"/>
          <w:lang w:eastAsia="zh-CN"/>
        </w:rPr>
        <w:t>的优先级已退至第二位，避免经济衰退则居于首位。</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6月7日（周五）</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欧央行如期降息，美联储仍需观察</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1552" behindDoc="0" locked="0" layoutInCell="1" allowOverlap="1">
            <wp:simplePos x="0" y="0"/>
            <wp:positionH relativeFrom="column">
              <wp:posOffset>148590</wp:posOffset>
            </wp:positionH>
            <wp:positionV relativeFrom="paragraph">
              <wp:posOffset>762000</wp:posOffset>
            </wp:positionV>
            <wp:extent cx="5123815" cy="1066800"/>
            <wp:effectExtent l="0" t="0" r="635" b="0"/>
            <wp:wrapTopAndBottom/>
            <wp:docPr id="13" name="图片 13" descr="图片8-6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8-6月7日"/>
                    <pic:cNvPicPr>
                      <a:picLocks noChangeAspect="1"/>
                    </pic:cNvPicPr>
                  </pic:nvPicPr>
                  <pic:blipFill>
                    <a:blip r:embed="rId19"/>
                    <a:stretch>
                      <a:fillRect/>
                    </a:stretch>
                  </pic:blipFill>
                  <pic:spPr>
                    <a:xfrm>
                      <a:off x="0" y="0"/>
                      <a:ext cx="5123815" cy="106680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6月6日（周四），在加拿大央行之后，欧洲央行降息25个基点（见表格一），成为G7集团中第二个降息的央行。</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val="0"/>
          <w:bCs w:val="0"/>
          <w:sz w:val="24"/>
          <w:szCs w:val="24"/>
          <w:highlight w:val="none"/>
          <w:lang w:val="en-US" w:eastAsia="zh-CN"/>
        </w:rPr>
        <w:t>（</w:t>
      </w:r>
      <w:r>
        <w:rPr>
          <w:rFonts w:hint="eastAsia" w:ascii="方正黑体_GBK" w:hAnsi="方正黑体_GBK" w:eastAsia="方正黑体_GBK" w:cs="方正黑体_GBK"/>
          <w:b/>
          <w:bCs/>
          <w:sz w:val="24"/>
          <w:szCs w:val="24"/>
          <w:highlight w:val="none"/>
          <w:lang w:val="en-US" w:eastAsia="zh-CN"/>
        </w:rPr>
        <w:t>注</w:t>
      </w:r>
      <w:r>
        <w:rPr>
          <w:rFonts w:hint="eastAsia" w:ascii="方正黑体_GBK" w:hAnsi="方正黑体_GBK" w:eastAsia="方正黑体_GBK" w:cs="方正黑体_GBK"/>
          <w:sz w:val="24"/>
          <w:szCs w:val="24"/>
          <w:lang w:val="en-US" w:eastAsia="zh-CN"/>
        </w:rPr>
        <w:t>：</w:t>
      </w:r>
      <w:r>
        <w:rPr>
          <w:rFonts w:hint="eastAsia" w:ascii="方正楷体_GBK" w:hAnsi="方正楷体_GBK" w:eastAsia="方正楷体_GBK" w:cs="方正楷体_GBK"/>
          <w:b/>
          <w:bCs/>
          <w:sz w:val="24"/>
          <w:szCs w:val="24"/>
          <w:lang w:val="en-US" w:eastAsia="zh-CN"/>
        </w:rPr>
        <w:t>欧洲央行三大基准利率</w:t>
      </w:r>
      <w:r>
        <w:rPr>
          <w:rFonts w:hint="eastAsia" w:ascii="方正楷体_GBK" w:hAnsi="方正楷体_GBK" w:eastAsia="方正楷体_GBK" w:cs="方正楷体_GBK"/>
          <w:sz w:val="24"/>
          <w:szCs w:val="24"/>
          <w:lang w:val="en-US" w:eastAsia="zh-CN"/>
        </w:rPr>
        <w:t>，分别是存款便利利率（Deposit Facility Rate）、边际贷款利率（Marginal Lending Facility Rate）以及主要再融资利率（Main Refinancing Operations Rate）。</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bCs/>
          <w:sz w:val="24"/>
          <w:szCs w:val="24"/>
          <w:lang w:val="en-US" w:eastAsia="zh-CN"/>
        </w:rPr>
        <w:t>存款便利利率</w:t>
      </w:r>
      <w:r>
        <w:rPr>
          <w:rFonts w:hint="eastAsia" w:ascii="方正楷体_GBK" w:hAnsi="方正楷体_GBK" w:eastAsia="方正楷体_GBK" w:cs="方正楷体_GBK"/>
          <w:sz w:val="24"/>
          <w:szCs w:val="24"/>
          <w:lang w:val="en-US" w:eastAsia="zh-CN"/>
        </w:rPr>
        <w:t>：是欧央行向商业银行提供存款便利的利率。它是央行存款利率的下限，商业银行可以超出其最低准备金要求，将更多的资金存放在欧央行中，从而获取利息，其利率就是存款便利利率。</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bCs/>
          <w:sz w:val="24"/>
          <w:szCs w:val="24"/>
          <w:lang w:val="en-US" w:eastAsia="zh-CN"/>
        </w:rPr>
        <w:t>边际贷款利率</w:t>
      </w:r>
      <w:r>
        <w:rPr>
          <w:rFonts w:hint="eastAsia" w:ascii="方正楷体_GBK" w:hAnsi="方正楷体_GBK" w:eastAsia="方正楷体_GBK" w:cs="方正楷体_GBK"/>
          <w:sz w:val="24"/>
          <w:szCs w:val="24"/>
          <w:lang w:val="en-US" w:eastAsia="zh-CN"/>
        </w:rPr>
        <w:t>：是欧央行向商业银行提供的临时性、紧急性贷款的利率。这种短期借款，通常用于满足商业银行的流动性需求，应对可能的短期资金压力。其利率往往较高，反映了紧急借款的成本。。</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方正楷体_GBK" w:hAnsi="方正楷体_GBK" w:eastAsia="方正楷体_GBK" w:cs="方正楷体_GBK"/>
          <w:sz w:val="24"/>
          <w:szCs w:val="24"/>
          <w:lang w:val="en-US" w:eastAsia="zh-CN"/>
        </w:rPr>
      </w:pPr>
      <w:r>
        <w:rPr>
          <w:rFonts w:hint="eastAsia" w:ascii="方正楷体_GBK" w:hAnsi="方正楷体_GBK" w:eastAsia="方正楷体_GBK" w:cs="方正楷体_GBK"/>
          <w:b/>
          <w:bCs/>
          <w:sz w:val="24"/>
          <w:szCs w:val="24"/>
          <w:lang w:val="en-US" w:eastAsia="zh-CN"/>
        </w:rPr>
        <w:t>主要再融资利率</w:t>
      </w:r>
      <w:r>
        <w:rPr>
          <w:rFonts w:hint="eastAsia" w:ascii="方正楷体_GBK" w:hAnsi="方正楷体_GBK" w:eastAsia="方正楷体_GBK" w:cs="方正楷体_GBK"/>
          <w:sz w:val="24"/>
          <w:szCs w:val="24"/>
          <w:lang w:val="en-US" w:eastAsia="zh-CN"/>
        </w:rPr>
        <w:t>：是欧央行对商业银行提供的主要融资操作的利率。这是欧洲央行提供给商业银行的主要长期流动性，用于满足银行体系的整体融资需求。</w:t>
      </w:r>
    </w:p>
    <w:p>
      <w:pPr>
        <w:keepNext w:val="0"/>
        <w:keepLines w:val="0"/>
        <w:pageBreakBefore w:val="0"/>
        <w:widowControl w:val="0"/>
        <w:kinsoku/>
        <w:wordWrap/>
        <w:overflowPunct/>
        <w:topLinePunct w:val="0"/>
        <w:autoSpaceDE/>
        <w:autoSpaceDN/>
        <w:bidi w:val="0"/>
        <w:adjustRightInd/>
        <w:snapToGrid/>
        <w:spacing w:line="300" w:lineRule="exact"/>
        <w:ind w:firstLine="448" w:firstLineChars="200"/>
        <w:jc w:val="both"/>
        <w:textAlignment w:val="auto"/>
        <w:outlineLvl w:val="9"/>
        <w:rPr>
          <w:rFonts w:hint="eastAsia" w:ascii="Calibri" w:hAnsi="Calibri" w:eastAsia="仿宋_GB2312" w:cs="Calibri"/>
          <w:lang w:val="en-US" w:eastAsia="zh-CN"/>
        </w:rPr>
      </w:pPr>
      <w:r>
        <w:rPr>
          <w:rFonts w:hint="eastAsia" w:ascii="方正楷体_GBK" w:hAnsi="方正楷体_GBK" w:eastAsia="方正楷体_GBK" w:cs="方正楷体_GBK"/>
          <w:sz w:val="24"/>
          <w:szCs w:val="24"/>
          <w:lang w:val="en-US" w:eastAsia="zh-CN"/>
        </w:rPr>
        <w:t>这三个利率在欧洲央行的货币政策中起着重要的作用，通过调整这些利率，欧洲央行可以影响市场上的短期利率、银行间流动性和长期借贷成本，以达到稳定通胀和促进经济增长的目标。）</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default" w:ascii="Calibri" w:hAnsi="Calibri" w:eastAsia="宋体" w:cs="Calibri"/>
          <w:lang w:val="en-US" w:eastAsia="zh-CN"/>
        </w:rPr>
      </w:pPr>
      <w:r>
        <w:drawing>
          <wp:anchor distT="0" distB="0" distL="114300" distR="114300" simplePos="0" relativeHeight="251672576" behindDoc="0" locked="0" layoutInCell="1" allowOverlap="1">
            <wp:simplePos x="0" y="0"/>
            <wp:positionH relativeFrom="column">
              <wp:posOffset>3264535</wp:posOffset>
            </wp:positionH>
            <wp:positionV relativeFrom="paragraph">
              <wp:posOffset>35560</wp:posOffset>
            </wp:positionV>
            <wp:extent cx="2037715" cy="1148080"/>
            <wp:effectExtent l="0" t="0" r="635" b="1397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2037715" cy="114808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同日，欧盟统计局还公布了4月欧元区的零售数据（见表格二），从数据上看，欧元区的消费需求依然偏弱，因此降息后通胀反弹的可能性应该不大。欧央行选择在此时开始降息，是比较安全和合理的。</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3600" behindDoc="0" locked="0" layoutInCell="1" allowOverlap="1">
            <wp:simplePos x="0" y="0"/>
            <wp:positionH relativeFrom="column">
              <wp:posOffset>154305</wp:posOffset>
            </wp:positionH>
            <wp:positionV relativeFrom="paragraph">
              <wp:posOffset>19685</wp:posOffset>
            </wp:positionV>
            <wp:extent cx="5264150" cy="729615"/>
            <wp:effectExtent l="0" t="0" r="12700" b="13335"/>
            <wp:wrapTopAndBottom/>
            <wp:docPr id="15" name="图片 15" descr="图片9-6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9-6月7日"/>
                    <pic:cNvPicPr>
                      <a:picLocks noChangeAspect="1"/>
                    </pic:cNvPicPr>
                  </pic:nvPicPr>
                  <pic:blipFill>
                    <a:blip r:embed="rId21"/>
                    <a:stretch>
                      <a:fillRect/>
                    </a:stretch>
                  </pic:blipFill>
                  <pic:spPr>
                    <a:xfrm>
                      <a:off x="0" y="0"/>
                      <a:ext cx="5264150" cy="72961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6月6日（周四），美国劳工统计局发布就业市场相关数据（见表格三），首请失业金人数略超预期和前值，这被华尔街解读为劳动力市场降温，从而强化对美联储的降息预期，美股应声而涨。</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4624" behindDoc="0" locked="0" layoutInCell="1" allowOverlap="1">
            <wp:simplePos x="0" y="0"/>
            <wp:positionH relativeFrom="column">
              <wp:posOffset>170180</wp:posOffset>
            </wp:positionH>
            <wp:positionV relativeFrom="paragraph">
              <wp:posOffset>63500</wp:posOffset>
            </wp:positionV>
            <wp:extent cx="5226050" cy="1188720"/>
            <wp:effectExtent l="0" t="0" r="12700" b="11430"/>
            <wp:wrapTopAndBottom/>
            <wp:docPr id="16" name="图片 16" descr="图片10-6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0-6月7日"/>
                    <pic:cNvPicPr>
                      <a:picLocks noChangeAspect="1"/>
                    </pic:cNvPicPr>
                  </pic:nvPicPr>
                  <pic:blipFill>
                    <a:blip r:embed="rId22"/>
                    <a:stretch>
                      <a:fillRect/>
                    </a:stretch>
                  </pic:blipFill>
                  <pic:spPr>
                    <a:xfrm>
                      <a:off x="0" y="0"/>
                      <a:ext cx="5226050" cy="118872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但从劳动力成本和产出的指标看，收入增长（即“劳动力成本”）推动通胀上行的压力还是存在的。换言之，目前美联储降息的条件并不如欧元区成熟。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省委第十巡视组巡视中国国际贸易促进委员会江苏省分会党组工作动员会召开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根据省委关于巡视工作统一部署，2024年6月5日，省委第十巡视组巡视中国国际贸易促进委员会江苏省分会（以下简称省贸促会）党组工作动员会召开。省委第十巡视组组长李圣华作了动员讲话，对深入学习贯彻习近平总书记关于党的自我革命的重要思想和关于巡视工作的重要论述，扎实开展巡视工作提出要求。省贸促会党组书记、会长王善华主持会议并作表态发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省委第十巡视组副组长顾鸿飞及有关同志，省纪委监委驻省商务厅纪检监察组组长，省贸促会党组领导班子成员出席会议；省贸促会领导班子中除出席人员以外的其他负责同志，各内设机构和下一级单位负责人，纪检监察机构、组织人事部门负责人，近三年来退休的领导班子成员等列席会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李圣华指出，巡视是推进党的自我革命、全面从严治党的战略性制度安排。习近平总书记高度重视巡视工作，多次发表重要讲话，作出系列重要论述。省贸促会党组和各级党员领导干部，要进一步提高政治站位，从深入践行“九个以”实践要求的高度、从扎实稳健推进中国式现代化江苏新实践的高度、从推动全面从严治党向纵深发展的高度深刻认识政治巡视的重大意义，切实把思想和行动统一到中央和省委部署要求上来。</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李圣华强调，省委巡视组将聚焦“两个维护”根本任务和推进党的自我革命“九个以”的实践要求，立足破解“六个如何始终”大党独有难题，紧扣总书记赋予江苏的“四个走在前”“四个新”和“4+1”重大任务，围绕政治巡视“四个落实”，突出“三个紧盯”，加强对省贸促会党组履行党的领导职能责任的政治监督。重点监督检查四个方面情况：一是落实党的理论和路线方针政策、党中央重大决策部署情况；二是落实全面从严治党主体责任和监督责任情况；三是落实新时代党的组织路线情况；四是落实巡视监督以及审计、财会、统计等其他监督发现问题整改的情况。</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李圣华要求，这次开展巡视，是对省贸促会党组坚持党的全面领导、加强党的建设、全面从严治党工作的全面体检和有力促进。省贸促会党组和广大党员干部要本着对党的事业高度负责的态度，敢于直面问题，自觉接受监督。省委巡视组将紧紧依靠省贸促会党组开展工作，加强沟通协调，密切联系群众，广泛听取各方面意见，做到同向发力、同频共振、同题共答。</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表示，省贸促会党组将提高政治站位，深刻领悟习近平总书记关于巡视工作的重要论述和重要指示批示精神，全面落实省委巡视工作部署要求，将巡视作为推进全面从严治党和履行管党治党责任的一次“政治体检”。强化政治自觉，把接受省委巡视作为重大政治任务，服从巡视安排，提前谋划、精心组织、做好准备，配合省委巡视组高质量完成巡视任务。扛起政治责任，将巡视工作与全面落实各项重点工作任务结合起来，坚持问题导向、聚焦薄弱环节，采取更加有力有效举措，以巡促改、以巡促建、以巡促治。</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省委巡视组在省贸促会巡视期间（2024年6月5日—7月31日），设值班电话：025—52209099，接收短信手机：17714354987，专门邮政信箱：江苏省南京市A375号信箱，电子信箱：xs10zb52@xsmail.jssjw.gov.cn，同时在南京市秦淮区中华路50号国际经贸大厦9楼设置联系信箱。每天受理电话时间为：8:00—18:00。巡视组受理信访时间截止到2024年7月28日。根据有关规定，省委巡视组主要受理反映省贸促会党组领导班子及其成员、省委管理的其他干部以及下一级主要负责人、相关重点岗位干部（含已离退休、已调离）问题的来信来电来访，重点是关于违反政治纪律、组织纪律、廉洁纪律、群众纪律、工作纪律和生活纪律等方面的举报和反映。其他不属于巡视受理范围的信访问题，将按规定由省贸促会党组和有关部门认真处理。</w:t>
      </w:r>
    </w:p>
    <w:p>
      <w:pPr>
        <w:rPr>
          <w:rFonts w:hint="eastAsia"/>
        </w:rPr>
      </w:pP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省贸促会组织经贸法律交流团</w:t>
      </w:r>
    </w:p>
    <w:p>
      <w:pPr>
        <w:keepNext w:val="0"/>
        <w:keepLines w:val="0"/>
        <w:pageBreakBefore w:val="0"/>
        <w:widowControl/>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访问新加坡、泰国</w:t>
      </w:r>
    </w:p>
    <w:p>
      <w:pPr>
        <w:rPr>
          <w:rFonts w:hint="eastAsia"/>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18—25日，省贸促会（国际商会）党组书记、会长王善华率江苏经贸法律交流团访问新加坡和泰国，参观调研2024泰国曼谷农业机械展览会，拜访多家经贸、法律机构，并同当地商会及部分江苏境外投资企业座谈交流，进一步了解企业服务需求，拓宽贸促系统涉外商事法律域外合作渠道，更好服务江苏涉外法律服务高质量发展先导区建设。</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在新加坡，交流团拜访新加坡企业发展局，介绍江苏省贸促会（国际商会）职能，就加强双方合作开展座谈交流；与新加坡调解中心开展业务交流并签署合作备忘录；拜访新加坡律明律师事务所，探索建立江苏企业海外法律保护渠道；会同新加坡江苏会组织当地部分江苏籍企业家和江苏在新投资企业代表座谈交流，鼓励海外苏商回乡投资兴业。</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在泰国，交流团与江苏省国际商会泰国联络中心有关负责人进行座谈交流，调研2024泰国曼谷农业机械展览会江苏参展企业，拜访泰国仲裁中心和泰国仲裁协会，与泰国仲裁中心签署合作备忘录；拜访泰国投资促进委员会和泰国鲲鹏律师事务所，详细了解泰国当地贸易投资政策及法律法规；分别会见泰国中华总商会、泰国江苏商会、泰国江苏青年总商会和泰国浙江商会有关负责人，与当地江苏籍企业家和江苏在泰投资企业代表座谈交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出访期间，交流团还拜会中国贸促会驻泰国代表处首席代表、中国贸促会驻新加坡代表处有关负责人和江苏省驻新加坡经贸代表处主任代表，深入了解江苏企业在新加坡、泰国贸易投资状况和法律服务需求，进一步密切与各驻外代表处的交流合作。</w:t>
      </w:r>
    </w:p>
    <w:p>
      <w:pPr>
        <w:keepNext w:val="0"/>
        <w:keepLines w:val="0"/>
        <w:pageBreakBefore w:val="0"/>
        <w:widowControl/>
        <w:shd w:val="clear" w:color="auto" w:fill="FFFFFF"/>
        <w:kinsoku/>
        <w:wordWrap/>
        <w:overflowPunct/>
        <w:topLinePunct w:val="0"/>
        <w:autoSpaceDE/>
        <w:autoSpaceDN/>
        <w:bidi w:val="0"/>
        <w:adjustRightInd/>
        <w:snapToGrid/>
        <w:spacing w:line="600" w:lineRule="exact"/>
        <w:contextualSpacing/>
        <w:jc w:val="center"/>
        <w:textAlignment w:val="auto"/>
        <w:outlineLvl w:val="1"/>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pPr>
      <w:r>
        <w:rPr>
          <w:rFonts w:hint="eastAsia" w:ascii="方正楷体_GBK" w:hAnsi="方正楷体_GBK" w:eastAsia="方正楷体_GBK" w:cs="方正楷体_GBK"/>
          <w:b/>
          <w:bCs/>
          <w:i w:val="0"/>
          <w:caps w:val="0"/>
          <w:color w:val="FF0000"/>
          <w:spacing w:val="0"/>
          <w:kern w:val="0"/>
          <w:sz w:val="32"/>
          <w:szCs w:val="32"/>
          <w:shd w:val="clear" w:fill="FFFFFF"/>
          <w:lang w:val="en-US" w:eastAsia="zh-CN" w:bidi="ar"/>
        </w:rPr>
        <w:t xml:space="preserve">                     （法律事务部）</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23"/>
          <w:kern w:val="2"/>
          <w:sz w:val="52"/>
          <w:szCs w:val="5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省贸促会领导会见日本</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方正楷体_GBK" w:hAnsi="方正楷体_GBK" w:eastAsia="方正楷体_GBK" w:cs="方正楷体_GBK"/>
          <w:b/>
          <w:bCs/>
          <w:color w:val="FF0000"/>
          <w:spacing w:val="-23"/>
          <w:kern w:val="2"/>
          <w:sz w:val="32"/>
          <w:szCs w:val="3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国际贸易促进协会事务局长泉川友树</w:t>
      </w:r>
    </w:p>
    <w:p>
      <w:pPr>
        <w:keepNext w:val="0"/>
        <w:keepLines w:val="0"/>
        <w:pageBreakBefore w:val="0"/>
        <w:widowControl w:val="0"/>
        <w:kinsoku/>
        <w:wordWrap/>
        <w:overflowPunct/>
        <w:topLinePunct w:val="0"/>
        <w:autoSpaceDE/>
        <w:autoSpaceDN/>
        <w:bidi w:val="0"/>
        <w:adjustRightInd/>
        <w:snapToGrid/>
        <w:spacing w:line="400" w:lineRule="exact"/>
        <w:ind w:firstLine="608" w:firstLineChars="200"/>
        <w:textAlignment w:val="auto"/>
        <w:outlineLvl w:val="9"/>
        <w:rPr>
          <w:rFonts w:hint="eastAsia" w:asciiTheme="minorEastAsia" w:hAnsiTheme="minorEastAsia" w:eastAsiaTheme="minorEastAsia" w:cstheme="minorEastAsia"/>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5月31日下午，省贸促会会长王善华会见来访的日本国际贸易促进协会事务局长泉川友树。双方就今年7月日本国际贸易促进协会第47届访华团来访事宜进行了深入交流。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王善华表示，江苏与日本的经贸互访是合作共赢的双向奔赴，省贸促会将积极发挥桥梁纽带作用，加强与省有关部门和地市沟通，全力配合做好日本访华团来访经贸交流等工作。希望在2025年日本大阪世博会江苏周期间，进一步加强与日本企业的经贸合作。</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eastAsiaTheme="minorEastAsia"/>
          <w:lang w:eastAsia="zh-CN"/>
        </w:rPr>
      </w:pPr>
      <w:r>
        <w:rPr>
          <w:rFonts w:hint="eastAsia" w:asciiTheme="minorEastAsia" w:hAnsiTheme="minorEastAsia" w:eastAsiaTheme="minorEastAsia" w:cstheme="minorEastAsia"/>
          <w:sz w:val="32"/>
          <w:szCs w:val="32"/>
        </w:rPr>
        <w:t>泉川友树介绍了访华团初步日程安排，希望进一步加强与江苏省贸促会的交流合作，为促进中日经贸交流作出更大贡献。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64" w:firstLineChars="1600"/>
        <w:contextualSpacing/>
        <w:jc w:val="both"/>
        <w:textAlignment w:val="auto"/>
        <w:outlineLvl w:val="1"/>
        <w:rPr>
          <w:rFonts w:hint="eastAsia" w:asciiTheme="minorEastAsia" w:hAnsiTheme="minorEastAsia" w:eastAsiaTheme="minorEastAsia" w:cstheme="minorEastAsia"/>
          <w:color w:val="000000"/>
          <w:sz w:val="32"/>
          <w:szCs w:val="32"/>
          <w:lang w:val="en-US" w:eastAsia="zh-CN"/>
        </w:rPr>
      </w:pPr>
      <w:r>
        <w:rPr>
          <w:rFonts w:hint="eastAsia" w:asciiTheme="minorEastAsia" w:hAnsiTheme="minorEastAsia" w:cstheme="minorEastAsia"/>
          <w:color w:val="000000"/>
          <w:sz w:val="32"/>
          <w:szCs w:val="32"/>
          <w:lang w:val="en-US" w:eastAsia="zh-CN"/>
        </w:rPr>
        <w:t xml:space="preserve">   </w:t>
      </w:r>
      <w:r>
        <w:rPr>
          <w:rFonts w:hint="eastAsia" w:ascii="方正楷体_GBK" w:hAnsi="方正楷体_GBK" w:eastAsia="方正楷体_GBK" w:cs="方正楷体_GBK"/>
          <w:b/>
          <w:bCs/>
          <w:color w:val="FF0000"/>
          <w:sz w:val="32"/>
          <w:szCs w:val="32"/>
          <w:lang w:val="en-US" w:eastAsia="zh-CN"/>
        </w:rPr>
        <w:t>（国际联络部）</w:t>
      </w:r>
    </w:p>
    <w:p>
      <w:pPr>
        <w:jc w:val="cente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省贸促会组团出访韩国</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方正楷体_GBK" w:hAnsi="方正楷体_GBK" w:eastAsia="方正楷体_GBK" w:cs="方正楷体_GBK"/>
          <w:b/>
          <w:bCs/>
          <w:color w:val="FF0000"/>
          <w:spacing w:val="-23"/>
          <w:kern w:val="2"/>
          <w:sz w:val="32"/>
          <w:szCs w:val="3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参加第八届中日韩工商峰会</w:t>
      </w:r>
    </w:p>
    <w:p>
      <w:pPr>
        <w:rPr>
          <w:rFonts w:hint="eastAsia"/>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26—29日，应大韩商工会议所邀请，省贸促会委派副会长丛苏峰率江苏企业家代表团出访韩国，参加第八届中日韩工商峰会及相关经贸交流活动，拜访韩国有关贸易投资促进机构、商协会和企业，进一步推动江苏与日韩在人文、科技和数字化转型、可持续发展、气候变化、环境和绿色转型、公共卫生和老龄化、经贸等领域务实交流合作。</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第八届中日韩工商峰会由中国贸促会、大韩商工会议所、日本经济团体联合会共同主办，恒力集团有限公司董事长、总裁陈建华作为中方企业家代表在峰会全体会议上交流发言。江苏企业家代表团应邀参加峰会期间举行的中韩经济界交流会暨第二届链博会路演、中韩产业合作对话会等配套活动。江苏悦达集团有限公司党委书记、董事长张乃文在中韩经济界交流会全体会议上发言，就加强中韩经贸和新能源合作，推动中韩（盐城）产业园建设等议题进行交流分享。江苏省贸促会与韩国贸易协会、韩中民间经济合作论坛（机构）、韩国中国商会等韩国贸易投资促进机构、商协会及中韩企业代表围绕进一步深化中韩经贸合作，促进产业链供应链协同联动进行深入交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会后，省贸促会陪同中国贸促会会长任鸿斌一行拜会大韩贸易投资振兴公社，与大韩贸易投资振兴公社社长刘正悦交流座谈。丛苏峰介绍江苏省基本情况和近年来江苏与韩国经贸合作情况，邀请刘正悦社长出席6月20日拟在首尔举办的江苏与韩国经贸交流会。他表示，江苏省贸促会将发挥地方贸易投资促进主渠道作用，依托中国贸促会搭建的贸易投资促进和国际商事法律服务平台，聚焦江苏优势产业和细分领域，助力江苏与韩国的经贸交流合作进一步走深走实。</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r>
        <w:rPr>
          <w:rFonts w:hint="eastAsia" w:asciiTheme="minorEastAsia" w:hAnsiTheme="minorEastAsia" w:eastAsiaTheme="minorEastAsia" w:cstheme="minorEastAsia"/>
          <w:sz w:val="32"/>
          <w:szCs w:val="32"/>
        </w:rPr>
        <w:t>访韩期间，省贸促会还拜会韩国贸易协会，与协会中国业务最高负责人朴珍佑深入交流，并拜访南京钢铁集团国际经济贸易有限公司韩国办，深度了解企业在韩投资经营情况和海外市场开拓需求等。</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（国际联络部、国际商会秘书处）</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方正楷体_GBK" w:hAnsi="方正楷体_GBK" w:eastAsia="方正楷体_GBK" w:cs="方正楷体_GBK"/>
          <w:b/>
          <w:bCs/>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“境外机构、跨国公司江苏行”</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—德企泰州行活动成功举办</w:t>
      </w:r>
    </w:p>
    <w:p>
      <w:pPr>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加强我省地方产业与德国的经贸交流合作，促进中外优势产业合作交流，服务因地制宜发展新质生产力，5月30-31日，我会联合泰州市商务局、泰州市贸促会、德国海外商会联盟大中华区，共同举办“境外机构、跨国公司江苏行”—德企泰州行活动。我会丛苏峰副会长、泰州市政府副秘书长申兵、泰州市商务局局长耿晓利、泰州市贸促会会长唐驰等出席相关活动。13家德国贸促机构、跨国公司以及泰州有关部门、产业园区和企业近50名代表参加活动。</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德企“泰州行”活动期间举办了“探索产业集群—泰州”经贸交流对接会。丛苏峰在致辞中对与会德国嘉宾表示欢迎，他表示，德国是江苏在欧盟最大的贸易伙伴，是欧盟在江苏投资最多的国家，也是江苏企业在欧盟投资最多的国家。泰州产业基础扎实，近三年GDP平均增幅全省第一，目前正全力推动产业转型。省贸促会将一如既往地支持泰州发挥自身优势，加快推进传统产业升级、新兴产业壮大、未来产业培育。</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对接会上，与会嘉宾观看了关于泰州产业的宣传短片，泰州医药高新区、黄桥经济开发区、兴化高新技术产业开发区等进行了产业推介，勃林格殷格翰、林德气体等德国在泰州投资企业、境外机构和德企代表团嘉宾、高泰汽车、唐刘兴东不锈钢、康泰环保等泰州有意向合作企业分别作了交流发言。对接会现场氛围热烈，与会嘉宾热情高涨，活动成效显著，参加活动的德企必辛格医疗技术有限公司与扬子江药业现场进行了需求对接，并积极谋求后续合作，专注于传感器研制的德国莱诺德包尔公司总经理当场提出拟在泰州投资选址的意向。</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保障此次对接活动顺利进行，我会于4月23-24日会同德国海外商会联盟大中华区专门赴泰州开展需求调研，与泰州市贸促会、泰州市商务局共同组织需求调研座谈会，面对面同泰州市相关部门、重点园区和相关企业代表进行交流，广泛听取了各方在产业、项目合作上的具体需求和意见。同时我会也与德方现场考察多家泰州企业，了解泰州本地企业与德方对接意向。经过实地需求调研以及与德方、泰州方面多次沟通交流，并结合地方产业发展方向和企业实际诉求，将此次德企“泰州行”对接会方向瞄准生物医药、不锈钢、新能源三项产业，有针对性地开展企业邀请及精准定制活动方案，务求各方资源有效整合与需求实现无缝对接。</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活动期间，德国企业与机构嘉宾参观考察了扬子江药业集团、泰州医药博览馆、新能源产业园、营商环境体验馆、一道新能源科技（泰州）有限公司等机构和企业。</w:t>
      </w:r>
    </w:p>
    <w:p>
      <w:pPr>
        <w:keepNext w:val="0"/>
        <w:keepLines w:val="0"/>
        <w:pageBreakBefore w:val="0"/>
        <w:widowControl w:val="0"/>
        <w:kinsoku/>
        <w:wordWrap/>
        <w:overflowPunct/>
        <w:topLinePunct w:val="0"/>
        <w:autoSpaceDE/>
        <w:autoSpaceDN/>
        <w:bidi w:val="0"/>
        <w:adjustRightInd/>
        <w:snapToGrid/>
        <w:ind w:firstLine="3952" w:firstLineChars="1300"/>
        <w:textAlignment w:val="auto"/>
        <w:outlineLvl w:val="9"/>
        <w:rPr>
          <w:rFonts w:hint="eastAsia" w:ascii="方正楷体_GBK" w:hAnsi="方正楷体_GBK" w:eastAsia="方正楷体_GBK" w:cs="方正楷体_GBK"/>
          <w:b/>
          <w:bCs/>
          <w:color w:val="FF0000"/>
          <w:lang w:eastAsia="zh-CN"/>
        </w:rPr>
      </w:pPr>
      <w:r>
        <w:rPr>
          <w:rFonts w:hint="eastAsia" w:ascii="方正楷体_GBK" w:hAnsi="方正楷体_GBK" w:eastAsia="方正楷体_GBK" w:cs="方正楷体_GBK"/>
          <w:b/>
          <w:bCs/>
          <w:color w:val="FF0000"/>
          <w:sz w:val="32"/>
          <w:szCs w:val="32"/>
          <w:lang w:eastAsia="zh-CN"/>
        </w:rPr>
        <w:t>（国际联络部、跨采中心）</w:t>
      </w: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6"/>
          <w:kern w:val="2"/>
          <w:sz w:val="52"/>
          <w:szCs w:val="52"/>
          <w:lang w:val="en-US" w:eastAsia="zh-CN" w:bidi="ar-SA"/>
        </w:rPr>
      </w:pPr>
      <w:r>
        <w:rPr>
          <w:rFonts w:hint="eastAsia" w:ascii="Times New Roman" w:hAnsi="Times New Roman" w:eastAsia="经典行楷简" w:cs="Times New Roman"/>
          <w:color w:val="2E75B6" w:themeColor="accent1" w:themeShade="BF"/>
          <w:spacing w:val="-6"/>
          <w:kern w:val="2"/>
          <w:sz w:val="52"/>
          <w:szCs w:val="52"/>
          <w:lang w:val="en-US" w:eastAsia="zh-CN" w:bidi="ar-SA"/>
        </w:rPr>
        <w:t>南京市贸促会与张家界市贸促会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6"/>
          <w:kern w:val="2"/>
          <w:sz w:val="52"/>
          <w:szCs w:val="52"/>
          <w:lang w:val="en-US" w:eastAsia="zh-CN" w:bidi="ar-SA"/>
        </w:rPr>
      </w:pPr>
      <w:r>
        <w:rPr>
          <w:rFonts w:hint="eastAsia" w:ascii="Times New Roman" w:hAnsi="Times New Roman" w:eastAsia="经典行楷简" w:cs="Times New Roman"/>
          <w:color w:val="2E75B6" w:themeColor="accent1" w:themeShade="BF"/>
          <w:spacing w:val="-6"/>
          <w:kern w:val="2"/>
          <w:sz w:val="52"/>
          <w:szCs w:val="52"/>
          <w:lang w:val="en-US" w:eastAsia="zh-CN" w:bidi="ar-SA"/>
        </w:rPr>
        <w:t>开展对口合作交流</w:t>
      </w:r>
    </w:p>
    <w:p>
      <w:pPr>
        <w:rPr>
          <w:rFonts w:hint="eastAsia" w:asciiTheme="minorEastAsia" w:hAnsiTheme="minorEastAsia" w:eastAsiaTheme="minorEastAsia" w:cstheme="minorEastAsia"/>
          <w:sz w:val="32"/>
          <w:szCs w:val="32"/>
        </w:rPr>
      </w:pPr>
    </w:p>
    <w:p>
      <w:pPr>
        <w:ind w:firstLine="608"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5月27日，</w:t>
      </w:r>
      <w:r>
        <w:rPr>
          <w:rFonts w:hint="eastAsia" w:asciiTheme="minorEastAsia" w:hAnsiTheme="minorEastAsia" w:eastAsiaTheme="minorEastAsia" w:cstheme="minorEastAsia"/>
          <w:sz w:val="32"/>
          <w:szCs w:val="32"/>
          <w:lang w:eastAsia="zh-CN"/>
        </w:rPr>
        <w:t>南京</w:t>
      </w:r>
      <w:r>
        <w:rPr>
          <w:rFonts w:hint="eastAsia" w:asciiTheme="minorEastAsia" w:hAnsiTheme="minorEastAsia" w:eastAsiaTheme="minorEastAsia" w:cstheme="minorEastAsia"/>
          <w:sz w:val="32"/>
          <w:szCs w:val="32"/>
        </w:rPr>
        <w:t>市贸促会党组书记陈乙华接待了来访的张家界市贸促会党组书记、会长陈贤德一行，双方就进一步推动南京市和张家界市对口合作，实现两地优势互补、互惠互利、共谋发展进行了深入交流。</w:t>
      </w:r>
    </w:p>
    <w:p>
      <w:pPr>
        <w:ind w:firstLine="608"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陈乙华对张家界市贸促会一行来访表示热烈欢迎，并介绍了近年来南京市经济社会发展情况和南京市贸促会与张家界市贸促会对口合作工作情况。她指出，自去年两市对口合作工作全面启动以来，双方贸促会密切联系，加强交流互动，推动对口合作工作实现良好开局。下一步，</w:t>
      </w:r>
      <w:r>
        <w:rPr>
          <w:rFonts w:hint="eastAsia" w:asciiTheme="minorEastAsia" w:hAnsiTheme="minorEastAsia" w:eastAsiaTheme="minorEastAsia" w:cstheme="minorEastAsia"/>
          <w:sz w:val="32"/>
          <w:szCs w:val="32"/>
          <w:lang w:eastAsia="zh-CN"/>
        </w:rPr>
        <w:t>南京</w:t>
      </w:r>
      <w:r>
        <w:rPr>
          <w:rFonts w:hint="eastAsia" w:asciiTheme="minorEastAsia" w:hAnsiTheme="minorEastAsia" w:eastAsiaTheme="minorEastAsia" w:cstheme="minorEastAsia"/>
          <w:sz w:val="32"/>
          <w:szCs w:val="32"/>
        </w:rPr>
        <w:t>市贸促会将深入贯彻落实党中央、国务院关于支持革命老区振兴发展的决策部署，按照省委市委关于对口合作的工作要求，进一步深化对口合作工作机制，不断拓展合作空间，重点在招商引资、贸易促进、会展活动、红色教育、商会交流等领域搭建平台，持续扩大合作成果，共同助推两市对口合作工作走深走实。</w:t>
      </w:r>
    </w:p>
    <w:p>
      <w:pPr>
        <w:ind w:firstLine="608"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陈贤德重点介绍了张家界市独有的旅游资源、浓厚的红色文化、良好的生态环境和便利的交通条件等情况。他希望宁张两地贸促会进一步加强沟通对接，紧扣贸促特色优势，链接优质资源，在贸易促进、参展参会、招商引资、红色文旅等方面深化务实合作，为商会会员企业间的经济合作创造更多有利条件，为促进两地经贸往来牵线搭桥。</w:t>
      </w:r>
    </w:p>
    <w:p>
      <w:pPr>
        <w:ind w:firstLine="608"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南京</w:t>
      </w:r>
      <w:r>
        <w:rPr>
          <w:rFonts w:hint="eastAsia" w:asciiTheme="minorEastAsia" w:hAnsiTheme="minorEastAsia" w:eastAsiaTheme="minorEastAsia" w:cstheme="minorEastAsia"/>
          <w:sz w:val="32"/>
          <w:szCs w:val="32"/>
        </w:rPr>
        <w:t>市贸促会党组成员、一级调研员李名军，</w:t>
      </w:r>
      <w:r>
        <w:rPr>
          <w:rFonts w:hint="eastAsia" w:asciiTheme="minorEastAsia" w:hAnsiTheme="minorEastAsia" w:eastAsiaTheme="minorEastAsia" w:cstheme="minorEastAsia"/>
          <w:sz w:val="32"/>
          <w:szCs w:val="32"/>
          <w:lang w:eastAsia="zh-CN"/>
        </w:rPr>
        <w:t>以及</w:t>
      </w:r>
      <w:r>
        <w:rPr>
          <w:rFonts w:hint="eastAsia" w:asciiTheme="minorEastAsia" w:hAnsiTheme="minorEastAsia" w:eastAsiaTheme="minorEastAsia" w:cstheme="minorEastAsia"/>
          <w:sz w:val="32"/>
          <w:szCs w:val="32"/>
        </w:rPr>
        <w:t>相关部室负责同志参加了座谈。秦淮、建邺等区贸促</w:t>
      </w:r>
      <w:r>
        <w:rPr>
          <w:rFonts w:hint="eastAsia" w:asciiTheme="minorEastAsia" w:hAnsiTheme="minorEastAsia" w:eastAsiaTheme="minorEastAsia" w:cstheme="minorEastAsia"/>
          <w:sz w:val="32"/>
          <w:szCs w:val="32"/>
          <w:lang w:eastAsia="zh-CN"/>
        </w:rPr>
        <w:t>支</w:t>
      </w:r>
      <w:r>
        <w:rPr>
          <w:rFonts w:hint="eastAsia" w:asciiTheme="minorEastAsia" w:hAnsiTheme="minorEastAsia" w:eastAsiaTheme="minorEastAsia" w:cstheme="minorEastAsia"/>
          <w:sz w:val="32"/>
          <w:szCs w:val="32"/>
        </w:rPr>
        <w:t>会（国际商会）和南京宇漾高科技有限公司、丝路之舟科技有限公司、拓扑丝路（南京）科技有限公司的参会</w:t>
      </w:r>
      <w:r>
        <w:rPr>
          <w:rFonts w:hint="eastAsia" w:asciiTheme="minorEastAsia" w:hAnsiTheme="minorEastAsia" w:eastAsiaTheme="minorEastAsia" w:cstheme="minorEastAsia"/>
          <w:sz w:val="32"/>
          <w:szCs w:val="32"/>
          <w:lang w:eastAsia="zh-CN"/>
        </w:rPr>
        <w:t>企业</w:t>
      </w:r>
      <w:r>
        <w:rPr>
          <w:rFonts w:hint="eastAsia" w:asciiTheme="minorEastAsia" w:hAnsiTheme="minorEastAsia" w:eastAsiaTheme="minorEastAsia" w:cstheme="minorEastAsia"/>
          <w:sz w:val="32"/>
          <w:szCs w:val="32"/>
        </w:rPr>
        <w:t>代表分别作了交流发言和业务对接。</w:t>
      </w:r>
    </w:p>
    <w:p>
      <w:pPr>
        <w:ind w:firstLine="608" w:firstLineChars="200"/>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在宁期间，张家界市贸促会一行还实地走访考察了江苏未迟数字科技有限公司，调研跨境电商孵化项目</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参加了2024中国（南京）国际矿物宝石化石博览会开幕式，考察南京国际展览中心，交流办展经验</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与相关企业进行了对接洽谈。</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auto"/>
        <w:outlineLvl w:val="9"/>
        <w:rPr>
          <w:rFonts w:hint="eastAsia" w:ascii="Times New Roman" w:hAnsi="Times New Roman" w:cs="Times New Roman" w:eastAsiaTheme="minorEastAsia"/>
          <w:color w:val="2E75B6" w:themeColor="accent1" w:themeShade="BF"/>
          <w:spacing w:val="0"/>
          <w:kern w:val="2"/>
          <w:sz w:val="52"/>
          <w:szCs w:val="52"/>
          <w:lang w:val="en-US" w:eastAsia="zh-CN" w:bidi="ar-SA"/>
        </w:rPr>
      </w:pPr>
      <w:r>
        <w:rPr>
          <w:rFonts w:hint="eastAsia" w:asciiTheme="minorEastAsia" w:hAnsiTheme="minorEastAsia" w:eastAsiaTheme="minorEastAsia" w:cstheme="minorEastAsia"/>
          <w:sz w:val="32"/>
          <w:szCs w:val="32"/>
        </w:rPr>
        <w:t xml:space="preserve">                 </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rPr>
        <w:t>（南京贸促会）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6"/>
          <w:kern w:val="2"/>
          <w:sz w:val="52"/>
          <w:szCs w:val="52"/>
          <w:lang w:val="en-US" w:eastAsia="zh-CN" w:bidi="ar-SA"/>
        </w:rPr>
        <w:t>南京市贸促会走访南京旅游集团</w:t>
      </w:r>
    </w:p>
    <w:p>
      <w:pPr>
        <w:ind w:firstLine="388" w:firstLineChars="200"/>
        <w:rPr>
          <w:rFonts w:hint="eastAsia" w:asciiTheme="minorEastAsia" w:hAnsiTheme="minorEastAsia" w:eastAsiaTheme="minorEastAsia" w:cstheme="minorEastAsia"/>
          <w:sz w:val="21"/>
          <w:szCs w:val="21"/>
        </w:rPr>
      </w:pPr>
    </w:p>
    <w:p>
      <w:pPr>
        <w:ind w:firstLine="608" w:firstLineChars="20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近日，</w:t>
      </w:r>
      <w:r>
        <w:rPr>
          <w:rFonts w:hint="eastAsia" w:asciiTheme="minorEastAsia" w:hAnsiTheme="minorEastAsia" w:eastAsiaTheme="minorEastAsia" w:cstheme="minorEastAsia"/>
          <w:sz w:val="32"/>
          <w:szCs w:val="32"/>
          <w:lang w:eastAsia="zh-CN"/>
        </w:rPr>
        <w:t>南京</w:t>
      </w:r>
      <w:r>
        <w:rPr>
          <w:rFonts w:hint="eastAsia" w:asciiTheme="minorEastAsia" w:hAnsiTheme="minorEastAsia" w:eastAsiaTheme="minorEastAsia" w:cstheme="minorEastAsia"/>
          <w:sz w:val="32"/>
          <w:szCs w:val="32"/>
        </w:rPr>
        <w:t>市贸促会会长梁洁带队走访南京旅游集团，与集团董事长葛飞会面交流。双方就进一步推进《南京市会展业高质量发展两年行动计划 (2024—2025年)》，落实南京国际展览中心建设“展产融合多元化会展平台”，助力南京国际消费中心城市建设，打造旅游休闲、文化艺术、教育科技等优质品牌展会，围绕时尚品鉴、智慧体验、文化创意、特色空间等需求，深化“会展+文旅”，建设综合性会展旅游目的地等方面具体工作情况和相关问题建议进行了座谈。</w:t>
      </w:r>
    </w:p>
    <w:p>
      <w:pPr>
        <w:ind w:firstLine="608" w:firstLineChars="200"/>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heme="minorEastAsia" w:hAnsiTheme="minorEastAsia" w:eastAsiaTheme="minorEastAsia" w:cstheme="minorEastAsia"/>
          <w:sz w:val="32"/>
          <w:szCs w:val="32"/>
        </w:rPr>
        <w:t>2023年，南京国际展览中心在展会项目量、质双提升和保障服务等方面取得了良好成绩，为全市会展业稳定发展，积极发挥会展引擎作用，促进经济率先复苏做出了应有贡献。南京国际展览中心作为会展旅游综合体，下一步将持续提升会展市场化、专业化、国际化、数字化、绿色化发展水平，锚定高质量发展首要任务和产业强市目标，加快推进“一产业集群一品牌展会”展产融合布局，着力推动新质生产力上下游产业链紧密合作，加速品牌展、特色展、规模展集聚，不断优化会展业发展生态。</w:t>
      </w:r>
      <w:r>
        <w:rPr>
          <w:rFonts w:hint="eastAsia" w:ascii="方正楷体_GBK" w:hAnsi="方正楷体_GBK" w:eastAsia="方正楷体_GBK" w:cs="方正楷体_GBK"/>
          <w:b/>
          <w:bCs/>
          <w:color w:val="FF0000"/>
          <w:sz w:val="32"/>
          <w:szCs w:val="32"/>
          <w:lang w:val="en-US" w:eastAsia="zh-CN"/>
        </w:rPr>
        <w:t xml:space="preserve">     </w:t>
      </w:r>
      <w:r>
        <w:rPr>
          <w:rFonts w:hint="eastAsia" w:ascii="方正楷体_GBK" w:hAnsi="方正楷体_GBK" w:eastAsia="方正楷体_GBK" w:cs="方正楷体_GBK"/>
          <w:b/>
          <w:bCs/>
          <w:color w:val="FF0000"/>
          <w:sz w:val="32"/>
          <w:szCs w:val="32"/>
        </w:rPr>
        <w:t>（南京贸促会）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无锡市贸促会组团赴港澳开展经贸交流</w:t>
      </w: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受香港贸发局和澳门新经济协会邀请，5月14-20日，无锡市贸促会（无锡国际商会）副会长邹惠之带队赴港澳开展系列经贸活动。出访团相继拜访了港澳经贸机构、商协会组织、科研院所，参加了亚洲医疗健康高峰论坛，观摩了香港国际医疗及保健展，宣传推介了无锡会展综合发展环境。</w:t>
      </w:r>
    </w:p>
    <w:p>
      <w:pPr>
        <w:ind w:firstLine="608" w:firstLineChars="20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t>此次出访是无锡市贸促会积极主动融入粤港澳大湾区建设，深化与港澳地区交流合作的重要举措。通过参加知名展会、拜访商务机构和深入交流，不仅加强了无锡与港澳商务机构的联络，也为我会服务地方经济发展和促进国际合作开辟了新的渠道。下一步，无锡市贸促会将继续发挥桥梁纽带作用，落实出访成果，搭建无锡与港澳的贸易投资促进平台，加强无锡与港澳的经贸互联互通，共同开创区域经济合作的新篇章。</w:t>
      </w: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（无锡贸促会）</w:t>
      </w: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6"/>
          <w:kern w:val="2"/>
          <w:sz w:val="52"/>
          <w:szCs w:val="52"/>
          <w:lang w:val="en-US" w:eastAsia="zh-CN" w:bidi="ar-SA"/>
        </w:rPr>
        <w:t>第四十六期经贸大讲堂（无锡）顺利举办</w:t>
      </w:r>
    </w:p>
    <w:p>
      <w:pPr>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为更好服务高质量发展，帮助企业深入了解最新税务相关政策及合规安排，近日，由无锡市贸促会主办的经贸大讲堂第四十六期顺利举行。本期大讲堂主题为：2023年度所得税汇算清缴最新政策&amp;关联方转让定价及跨境服务贸易税务相关政策及合规安排，共吸引了线上线下130余人次收看了本期讲座。</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无锡市税务局所得税科张晓馨向大家介绍了企业所得税扣除凭证管理、2023年出台税收新政、科技创新税收优惠中的合规性等2023年企业所得税汇算清缴热门问题；江苏悦通会计师事务所有限公司董事长蒋薇倩向大家分享了关联方转让定价方法、关联方交易定价案例、跨境服务贸易收支的商业模型、跨境服务贸易税收政策等方面的内容。随后，主讲嘉宾解答了现场和线上企业代表提出的相关问题。</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经贸大讲堂自开办以来已连续举办46期，采取线上线下相结合的方式，围绕跨国投资、绿色双碳、商业秘密、研发费监管、海关主动披露制度、跨境电商、“走出去”企业境外所得税收政策、碳边界调整机制、新《公司法》、美欧出口管制、AEO政策等热点话题开展互动交流，助推无锡市开放型经济高质量发展。</w:t>
      </w:r>
    </w:p>
    <w:p>
      <w:pPr>
        <w:keepNext w:val="0"/>
        <w:keepLines w:val="0"/>
        <w:pageBreakBefore w:val="0"/>
        <w:widowControl w:val="0"/>
        <w:kinsoku/>
        <w:wordWrap/>
        <w:overflowPunct/>
        <w:topLinePunct w:val="0"/>
        <w:autoSpaceDE/>
        <w:autoSpaceDN/>
        <w:bidi w:val="0"/>
        <w:adjustRightInd/>
        <w:snapToGrid/>
        <w:ind w:firstLine="4864" w:firstLineChars="16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（无锡贸促会）</w:t>
      </w: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20"/>
          <w:kern w:val="2"/>
          <w:sz w:val="52"/>
          <w:szCs w:val="52"/>
          <w:lang w:val="en-US" w:eastAsia="zh-CN" w:bidi="ar-SA"/>
        </w:rPr>
      </w:pPr>
      <w:r>
        <w:rPr>
          <w:rFonts w:hint="eastAsia" w:ascii="Times New Roman" w:hAnsi="Times New Roman" w:eastAsia="经典行楷简" w:cs="Times New Roman"/>
          <w:color w:val="2E75B6" w:themeColor="accent1" w:themeShade="BF"/>
          <w:spacing w:val="-20"/>
          <w:kern w:val="2"/>
          <w:sz w:val="52"/>
          <w:szCs w:val="52"/>
          <w:lang w:val="en-US" w:eastAsia="zh-CN" w:bidi="ar-SA"/>
        </w:rPr>
        <w:t>新西兰中国国际贸易促进委员会</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20"/>
          <w:kern w:val="2"/>
          <w:sz w:val="52"/>
          <w:szCs w:val="52"/>
          <w:lang w:val="en-US" w:eastAsia="zh-CN" w:bidi="ar-SA"/>
        </w:rPr>
        <w:t>经贸文化投资代表团拜访扬州市贸促会</w:t>
      </w:r>
    </w:p>
    <w:p>
      <w:pPr>
        <w:rPr>
          <w:rFonts w:hint="eastAsia"/>
        </w:rPr>
      </w:pPr>
    </w:p>
    <w:p>
      <w:pPr>
        <w:keepNext w:val="0"/>
        <w:keepLines w:val="0"/>
        <w:pageBreakBefore w:val="0"/>
        <w:widowControl w:val="0"/>
        <w:kinsoku/>
        <w:wordWrap/>
        <w:overflowPunct/>
        <w:topLinePunct w:val="0"/>
        <w:autoSpaceDE/>
        <w:autoSpaceDN/>
        <w:bidi w:val="0"/>
        <w:adjustRightInd/>
        <w:snapToGrid/>
        <w:ind w:firstLine="388" w:firstLineChars="200"/>
        <w:textAlignment w:val="auto"/>
        <w:outlineLvl w:val="9"/>
        <w:rPr>
          <w:rFonts w:hint="eastAsia" w:asciiTheme="minorEastAsia" w:hAnsiTheme="minorEastAsia" w:eastAsiaTheme="minorEastAsia" w:cstheme="minorEastAsia"/>
          <w:sz w:val="32"/>
          <w:szCs w:val="32"/>
          <w:lang w:eastAsia="zh-CN"/>
        </w:rPr>
      </w:pPr>
      <w:r>
        <w:rPr>
          <w:rFonts w:hint="eastAsia"/>
        </w:rPr>
        <w:t xml:space="preserve">   </w:t>
      </w:r>
      <w:r>
        <w:rPr>
          <w:rFonts w:hint="eastAsia" w:asciiTheme="minorEastAsia" w:hAnsiTheme="minorEastAsia" w:eastAsiaTheme="minorEastAsia" w:cstheme="minorEastAsia"/>
          <w:sz w:val="32"/>
          <w:szCs w:val="32"/>
        </w:rPr>
        <w:t xml:space="preserve"> 5月27日上午，新西兰中国国际贸易促进委员会会长和志耘一行在市外办陪同下拜访了我会，我会会长钱中声对代表团一行表示热烈欢迎。座谈会上，我会详细介绍了我市重点产业分布以及与新西兰贸易投资基本情况，和志耘会长介绍了新西兰中国国际贸易促进委员会在国内的联络机构、主要业务以及中新贸易协定对两国贸易的积极影响。双方就文化创意、境外展会、商务考察等方面进行深入的交流，希望通过双方合作进一步推动经贸文化交流。</w:t>
      </w:r>
    </w:p>
    <w:p>
      <w:pPr>
        <w:keepNext w:val="0"/>
        <w:keepLines w:val="0"/>
        <w:pageBreakBefore w:val="0"/>
        <w:widowControl w:val="0"/>
        <w:kinsoku/>
        <w:wordWrap/>
        <w:overflowPunct/>
        <w:topLinePunct w:val="0"/>
        <w:autoSpaceDE/>
        <w:autoSpaceDN/>
        <w:bidi w:val="0"/>
        <w:adjustRightInd/>
        <w:snapToGrid/>
        <w:ind w:firstLine="5472" w:firstLineChars="1800"/>
        <w:textAlignment w:val="auto"/>
        <w:outlineLvl w:val="9"/>
        <w:rPr>
          <w:rFonts w:hint="eastAsia" w:eastAsiaTheme="minorEastAsia"/>
          <w:lang w:eastAsia="zh-CN"/>
        </w:rPr>
      </w:pPr>
      <w:r>
        <w:rPr>
          <w:rFonts w:hint="eastAsia" w:ascii="方正楷体_GBK" w:hAnsi="方正楷体_GBK" w:eastAsia="方正楷体_GBK" w:cs="方正楷体_GBK"/>
          <w:b/>
          <w:bCs/>
          <w:color w:val="FF0000"/>
          <w:sz w:val="32"/>
          <w:szCs w:val="32"/>
          <w:lang w:eastAsia="zh-CN"/>
        </w:rPr>
        <w:t>（扬州贸促会）</w:t>
      </w: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23"/>
          <w:kern w:val="2"/>
          <w:sz w:val="52"/>
          <w:szCs w:val="52"/>
          <w:lang w:val="en-US" w:eastAsia="zh-CN" w:bidi="ar-SA"/>
        </w:rPr>
        <w:t>“贸促服务助企行”扬中宣讲活动成功举办</w:t>
      </w:r>
    </w:p>
    <w:p>
      <w:pPr>
        <w:rPr>
          <w:rFonts w:hint="eastAsia"/>
        </w:rPr>
      </w:pPr>
    </w:p>
    <w:p>
      <w:pPr>
        <w:rPr>
          <w:rFonts w:hint="eastAsia"/>
        </w:rPr>
      </w:pPr>
      <w:r>
        <w:rPr>
          <w:rFonts w:hint="eastAsia"/>
        </w:rPr>
        <w:t xml:space="preserve"> </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5月30日，江苏省贸促会联合镇江市贸促会（国际商会）、扬中市商务局举办“贸促服务助企行”扬中专场宣讲活动，帮助扬中企业更好地了解重点国际市场情况，引导企业有效开拓国际市场，同时帮助企业增强国际贸易风险防范能力，提升企业国际化经营水平，百余家企业和乡镇招商办工作人员参加本次宣讲培训。</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我国新能源产业发展面临“卡脖子”核心技术封锁、资源端控制和原料垄断、国际市场排挤、标准规则制约、供应端结盟和“去市场化”趋势加剧、贸易保护政策等宏观方面的风险，企业自身在进行国际贸易时也会面临合同、运输、收汇、代理、知识产权等方面的风险，针对此类问题，省贸促会商法中心汤寅宏主管围绕“企业涉外经贸风险防范与争议解决”主题，分享了如何在签订合同中尽量避免一些常见的风险、涉外商事纠纷的解决方式、贸促会提供的多元化纠纷解决服务等，帮助提升企业国际贸易风险防范能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省贸促会发展研究部张超部长围绕供给侧、需求侧、金融资本等方面的变化对国际经贸形势的影响进行了详细解读，对美国、欧盟等地区国际市场需求情况进行了分析说明，结合今年以来全球经贸往来新情况、国内外经济发展趋势等方面，对当前全球供应链和产业集聚形势进行深入浅出地讲解，并</w:t>
      </w:r>
      <w:r>
        <w:rPr>
          <w:rFonts w:hint="eastAsia" w:asciiTheme="minorEastAsia" w:hAnsiTheme="minorEastAsia" w:cstheme="minorEastAsia"/>
          <w:sz w:val="32"/>
          <w:szCs w:val="32"/>
          <w:lang w:val="en-US" w:eastAsia="zh-CN"/>
        </w:rPr>
        <w:t>与</w:t>
      </w:r>
      <w:r>
        <w:rPr>
          <w:rFonts w:hint="eastAsia" w:asciiTheme="minorEastAsia" w:hAnsiTheme="minorEastAsia" w:eastAsiaTheme="minorEastAsia" w:cstheme="minorEastAsia"/>
          <w:sz w:val="32"/>
          <w:szCs w:val="32"/>
        </w:rPr>
        <w:t>企业</w:t>
      </w:r>
      <w:r>
        <w:rPr>
          <w:rFonts w:hint="eastAsia" w:asciiTheme="minorEastAsia" w:hAnsiTheme="minorEastAsia" w:cstheme="minorEastAsia"/>
          <w:sz w:val="32"/>
          <w:szCs w:val="32"/>
          <w:lang w:val="en-US" w:eastAsia="zh-CN"/>
        </w:rPr>
        <w:t>互动交流，就</w:t>
      </w:r>
      <w:bookmarkStart w:id="0" w:name="_GoBack"/>
      <w:bookmarkEnd w:id="0"/>
      <w:r>
        <w:rPr>
          <w:rFonts w:hint="eastAsia" w:asciiTheme="minorEastAsia" w:hAnsiTheme="minorEastAsia" w:eastAsiaTheme="minorEastAsia" w:cstheme="minorEastAsia"/>
          <w:sz w:val="32"/>
          <w:szCs w:val="32"/>
        </w:rPr>
        <w:t>如何采取应对措施、拓展国际市场给出建议。</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rPr>
        <w:t>本次宣讲活动通过对国际经贸形势、欧美等重点国际市场、国际贸易纠纷化解等进行详细解读，帮助企业尽快了解、熟悉主要贸易伙伴市场最新的发展动态，提升了应对当前外贸困境的能力和国际市场竞争力，获得了与会企业代表的一致好评。</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cstheme="minorEastAsia"/>
          <w:sz w:val="32"/>
          <w:szCs w:val="32"/>
          <w:lang w:val="en-US" w:eastAsia="zh-CN"/>
        </w:rPr>
        <w:t xml:space="preserve">                              </w:t>
      </w:r>
      <w:r>
        <w:rPr>
          <w:rFonts w:hint="eastAsia" w:ascii="方正楷体_GBK" w:hAnsi="方正楷体_GBK" w:eastAsia="方正楷体_GBK" w:cs="方正楷体_GBK"/>
          <w:b/>
          <w:bCs/>
          <w:color w:val="FF0000"/>
          <w:sz w:val="32"/>
          <w:szCs w:val="32"/>
          <w:lang w:eastAsia="zh-CN"/>
        </w:rPr>
        <w:t>（镇江贸促会）</w:t>
      </w:r>
    </w:p>
    <w:p>
      <w:pPr>
        <w:rPr>
          <w:rFonts w:hint="eastAsia" w:ascii="Times New Roman" w:hAnsi="Times New Roman" w:eastAsia="经典行楷简" w:cs="Times New Roman"/>
          <w:color w:val="2E75B6" w:themeColor="accent1" w:themeShade="BF"/>
          <w:spacing w:val="0"/>
          <w:kern w:val="2"/>
          <w:sz w:val="52"/>
          <w:szCs w:val="5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苏蒙两省区首个重大能源</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7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8"/>
          <w:kern w:val="36"/>
          <w:sz w:val="52"/>
          <w:szCs w:val="52"/>
          <w:lang w:val="en-US" w:eastAsia="zh-CN"/>
        </w:rPr>
        <w:t>合作项目进展顺利</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我会副会长单位——徐州矿务集团有限公司旗下的苏能股份在内蒙古锡林郭勒的发电项目——乌拉盖2×1000MW高效超超临界燃煤发电机组，建设进度突破70%，预计首台机组年内建成并投入运营。该项目不仅是国内首台百万级褐煤发电工程，更是智慧电厂建设的典范，标志着苏蒙两省区首个重大能源合作项目迈向新的里程碑。</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b w:val="0"/>
          <w:bCs/>
          <w:kern w:val="0"/>
          <w:sz w:val="32"/>
          <w:szCs w:val="32"/>
          <w:lang w:val="en-US" w:eastAsia="zh-CN" w:bidi="ar-SA"/>
        </w:rPr>
      </w:pPr>
      <w:r>
        <w:rPr>
          <w:rFonts w:hint="eastAsia" w:asciiTheme="minorEastAsia" w:hAnsiTheme="minorEastAsia" w:eastAsiaTheme="minorEastAsia" w:cstheme="minorEastAsia"/>
          <w:i w:val="0"/>
          <w:caps w:val="0"/>
          <w:color w:val="000000"/>
          <w:spacing w:val="0"/>
          <w:sz w:val="32"/>
          <w:szCs w:val="32"/>
          <w:lang w:val="en-US" w:eastAsia="zh-CN"/>
        </w:rPr>
        <w:t>该项目以数字化、智能化、绿色化“三化”协同为核心，全力打造行业领先、国内一流的智慧电厂。通过数字化赋能，电厂的生产运营情况一目了然，运营效率、安全性能及环境影响等各方面数据均得到有效监控与管理。该项目采用超超临界燃煤发电技术，具有国际领先的能耗和环保标准，通过国内首创锅炉辅助系统和先进节水技术，电厂在燃用低热值褐煤的同时，实现全厂“日零补水”，显著减少了对草原生态环境的影响。</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both"/>
        <w:textAlignment w:val="auto"/>
        <w:outlineLvl w:val="9"/>
        <w:rPr>
          <w:rFonts w:hint="eastAsia" w:asciiTheme="minorEastAsia" w:hAnsiTheme="minorEastAsia" w:eastAsiaTheme="minorEastAsia" w:cstheme="minorEastAsia"/>
          <w:bCs/>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（来源：江苏省人民政府官网）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exact"/>
        <w:ind w:firstLine="608" w:firstLineChars="200"/>
        <w:contextualSpacing/>
        <w:jc w:val="left"/>
        <w:textAlignment w:val="auto"/>
        <w:outlineLvl w:val="1"/>
        <w:rPr>
          <w:rFonts w:hint="default" w:ascii="Times New Roman" w:hAnsi="Times New Roman" w:cs="Times New Roman" w:eastAsia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Times New Roman" w:hAnsi="Times New Roman" w:eastAsia="华文新魏" w:cs="Times New Roman"/>
          <w:b/>
          <w:bCs w:val="0"/>
          <w:color w:val="FF0000"/>
          <w:spacing w:val="-6"/>
          <w:kern w:val="36"/>
          <w:sz w:val="52"/>
          <w:szCs w:val="52"/>
          <w:lang w:val="en-US" w:eastAsia="zh-CN" w:bidi="ar-SA"/>
        </w:rPr>
      </w:pPr>
      <w:r>
        <w:rPr>
          <w:rFonts w:hint="default" w:ascii="Times New Roman" w:hAnsi="Times New Roman" w:eastAsia="华文新魏" w:cs="Times New Roman"/>
          <w:b/>
          <w:bCs w:val="0"/>
          <w:color w:val="FF0000"/>
          <w:spacing w:val="-6"/>
          <w:kern w:val="36"/>
          <w:sz w:val="52"/>
          <w:szCs w:val="52"/>
          <w:lang w:val="en-US" w:eastAsia="zh-CN" w:bidi="ar-SA"/>
        </w:rPr>
        <w:t>南微医学新生产基地落成启用，</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default" w:ascii="Times New Roman" w:hAnsi="Times New Roman" w:eastAsia="华文新魏" w:cs="Times New Roman"/>
          <w:b/>
          <w:bCs w:val="0"/>
          <w:color w:val="FF0000"/>
          <w:spacing w:val="28"/>
          <w:kern w:val="36"/>
          <w:sz w:val="52"/>
          <w:szCs w:val="52"/>
          <w:lang w:val="en-US" w:eastAsia="zh-CN" w:bidi="ar-SA"/>
        </w:rPr>
      </w:pPr>
      <w:r>
        <w:rPr>
          <w:rFonts w:hint="default" w:ascii="Times New Roman" w:hAnsi="Times New Roman" w:eastAsia="华文新魏" w:cs="Times New Roman"/>
          <w:b/>
          <w:bCs w:val="0"/>
          <w:color w:val="FF0000"/>
          <w:spacing w:val="-6"/>
          <w:kern w:val="36"/>
          <w:sz w:val="52"/>
          <w:szCs w:val="52"/>
          <w:lang w:val="en-US" w:eastAsia="zh-CN" w:bidi="ar-SA"/>
        </w:rPr>
        <w:t>开启创新发展新篇章</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理事单位——南微医学科技股份有限公司新生产基地正式落成启用。南微医学新生产基地位于南京生物医药谷园区产业区，建筑面积约12万平方米，主要建设内容包括生产设备空间、新建库房、共享公共空间、厂房、其他功能用房、预备生产用房等。这一项目的落成，标志着南微医学在扩大生产规模、提升产品质量和增强市场竞争力方面迈出了坚实的一步。</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作为全市首家、全国首批科创板上市企业，南微医学主要从事微创医疗器械的研发、制造和销售。公司凭借支架、和谐夹、黄金刀、胆道镜等诸多明星产品，在行业内和临床端实现了多次国产替代，充分展示了国人的创新创造能力。目前，南微医学已经服务全国超过6000家医院，覆盖55%以上的三甲医院，同时还将业务扩展至90多个国家和地区，构建了深耕全球主要市场的销售和服务体系。</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新生产基地的落成启用，是南微医学自5年前登陆科创板以来又一个重要里程碑。“新大楼更是新起点。”隆晓辉认为，大楼并不是可持续发展实力的象征，南微真正的创新发展还在于大楼里工作的人，在于大家是不是具有理想追求、富有创新创造能力、敢于也能够应对各种挑战的高素质人才。</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default" w:ascii="方正楷体_GBK" w:hAnsi="方正楷体_GBK" w:eastAsia="方正楷体_GBK" w:cs="方正楷体_GBK"/>
          <w:b/>
          <w:bCs/>
          <w:color w:val="FF0000"/>
          <w:kern w:val="2"/>
          <w:sz w:val="32"/>
          <w:szCs w:val="32"/>
          <w:lang w:val="en-US" w:eastAsia="zh-CN" w:bidi="ar-SA"/>
        </w:rPr>
      </w:pPr>
      <w:r>
        <w:rPr>
          <w:rFonts w:hint="eastAsia" w:ascii="Times New Roman" w:hAnsi="Times New Roman"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i w:val="0"/>
          <w:caps w:val="0"/>
          <w:color w:val="FF0000"/>
          <w:spacing w:val="0"/>
          <w:sz w:val="32"/>
          <w:szCs w:val="32"/>
          <w:lang w:val="en-US" w:eastAsia="zh-CN"/>
        </w:rPr>
        <w:t>（来源：南微医学官网）</w:t>
      </w:r>
      <w:r>
        <w:rPr>
          <w:rFonts w:hint="default" w:ascii="方正楷体_GBK" w:hAnsi="方正楷体_GBK" w:eastAsia="方正楷体_GBK" w:cs="方正楷体_GBK"/>
          <w:b/>
          <w:bCs/>
          <w:color w:val="FF0000"/>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9"/>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瑞途获得2024《MOZLEN 500》</w:t>
      </w:r>
    </w:p>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9"/>
        <w:rPr>
          <w:rFonts w:hint="eastAsia" w:ascii="Times New Roman" w:hAnsi="Times New Roman" w:eastAsia="华文新魏" w:cs="Times New Roman"/>
          <w:b/>
          <w:color w:val="FF0000"/>
          <w:spacing w:val="0"/>
          <w:kern w:val="36"/>
          <w:sz w:val="52"/>
          <w:szCs w:val="52"/>
          <w:lang w:val="en-US" w:eastAsia="zh-CN" w:bidi="ar-SA"/>
        </w:rPr>
      </w:pPr>
      <w:r>
        <w:rPr>
          <w:rFonts w:hint="eastAsia" w:ascii="Times New Roman" w:hAnsi="Times New Roman" w:eastAsia="华文新魏" w:cs="Times New Roman"/>
          <w:b/>
          <w:color w:val="FF0000"/>
          <w:spacing w:val="0"/>
          <w:kern w:val="36"/>
          <w:sz w:val="52"/>
          <w:szCs w:val="52"/>
          <w:lang w:val="en-US" w:eastAsia="zh-CN" w:bidi="ar-SA"/>
        </w:rPr>
        <w:t>中国涉外商标代理机构榜单特别推荐</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近日，业内知名商标AI检索分析及管理平台摩知轮在第146届国际商标协会（INTA）年会期间发布了2024《MOZLEN 500》中国涉外商标代理机构全球榜单。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凭借多年来优质的专业服务、丰富的国际客户商标代理经验、扎实的业务综合实力和良好的国际影响力，我会理事单位——江苏瑞途律师事务所在一众涉外商标代理机构中获得重点推荐。</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2024《MOZLEN500》手册评价规则设置了入围条件、综合评价考量指标及专家组等。综合评价的维度主要包括：商标大数据和国内外影响力。其中，大数据包括中国商标网已公开的商标申请及评审裁定数据，评价指标包括团队规模、代理申请量及确权质量、代理行程程序维权业务量及质量、代理客户获得驰名商标保护数量、代理客户规模及质量、行业荣誉及影响力等多个维度。</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52" w:firstLineChars="1300"/>
        <w:contextualSpacing/>
        <w:jc w:val="left"/>
        <w:textAlignment w:val="auto"/>
        <w:outlineLvl w:val="1"/>
        <w:rPr>
          <w:rFonts w:hint="eastAsia" w:ascii="方正楷体_GBK" w:hAnsi="方正楷体_GBK" w:eastAsia="方正楷体_GBK" w:cs="方正楷体_GBK"/>
          <w:b/>
          <w:bCs w:val="0"/>
          <w:color w:val="FF0000"/>
          <w:sz w:val="32"/>
          <w:szCs w:val="32"/>
          <w:lang w:val="en-US" w:eastAsia="zh-CN"/>
        </w:rPr>
      </w:pPr>
      <w:r>
        <w:rPr>
          <w:rFonts w:hint="eastAsia" w:ascii="方正楷体_GBK" w:hAnsi="方正楷体_GBK" w:eastAsia="方正楷体_GBK" w:cs="方正楷体_GBK"/>
          <w:b/>
          <w:bCs w:val="0"/>
          <w:color w:val="FF0000"/>
          <w:sz w:val="32"/>
          <w:szCs w:val="32"/>
        </w:rPr>
        <w:t>（来源：瑞途律师事务所官网）</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outlineLvl w:val="9"/>
        <w:rPr>
          <w:rFonts w:hint="eastAsia" w:ascii="Times New Roman" w:hAnsi="Times New Roman" w:eastAsiaTheme="minorEastAsia" w:cstheme="minorEastAsia"/>
          <w:i w:val="0"/>
          <w:caps w:val="0"/>
          <w:color w:val="000000"/>
          <w:spacing w:val="0"/>
          <w:sz w:val="32"/>
          <w:szCs w:val="32"/>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spacing w:after="210" w:line="580" w:lineRule="exact"/>
        <w:ind w:firstLine="4256" w:firstLineChars="1400"/>
        <w:contextualSpacing/>
        <w:jc w:val="left"/>
        <w:textAlignment w:val="auto"/>
        <w:outlineLvl w:val="1"/>
        <w:rPr>
          <w:rFonts w:hint="default" w:ascii="方正楷体_GBK" w:hAnsi="方正楷体_GBK" w:eastAsia="方正楷体_GBK" w:cs="方正楷体_GBK"/>
          <w:b/>
          <w:bCs/>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exact"/>
        <w:contextualSpacing/>
        <w:jc w:val="center"/>
        <w:textAlignment w:val="auto"/>
        <w:outlineLvl w:val="1"/>
        <w:rPr>
          <w:rFonts w:hint="default" w:ascii="Times New Roman" w:hAnsi="Times New Roman" w:eastAsia="华文新魏" w:cs="Times New Roman"/>
          <w:b/>
          <w:color w:val="FF0000"/>
          <w:spacing w:val="0"/>
          <w:kern w:val="36"/>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-235585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18.55pt;height:144pt;width:144pt;mso-position-horizontal-relative:margin;mso-wrap-style:none;z-index:251659264;mso-width-relative:page;mso-height-relative:page;" filled="f" stroked="f" coordsize="21600,21600" o:gfxdata="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jkjYdYAAAAIAQAA&#10;DwAAAAAAAAABACAAAAAiAAAAZHJzL2Rvd25yZXYueG1sUEsBAhQAFAAAAAgAh07iQCOFi7YbAgAA&#10;IQQAAA4AAAAAAAAAAQAgAAAAJQEAAGRycy9lMm9Eb2MueG1sUEsFBgAAAAAGAAYAWQEAALIFAAAA&#10;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3D01"/>
    <w:rsid w:val="00097083"/>
    <w:rsid w:val="001156B9"/>
    <w:rsid w:val="00145330"/>
    <w:rsid w:val="00154806"/>
    <w:rsid w:val="001F2C95"/>
    <w:rsid w:val="00215B64"/>
    <w:rsid w:val="002840B7"/>
    <w:rsid w:val="003208B4"/>
    <w:rsid w:val="003671B0"/>
    <w:rsid w:val="003C691D"/>
    <w:rsid w:val="003F32D7"/>
    <w:rsid w:val="0042623F"/>
    <w:rsid w:val="0043286B"/>
    <w:rsid w:val="00467C46"/>
    <w:rsid w:val="005A092B"/>
    <w:rsid w:val="006B63D3"/>
    <w:rsid w:val="006C0C2E"/>
    <w:rsid w:val="007C2A82"/>
    <w:rsid w:val="007E11E9"/>
    <w:rsid w:val="008B2F92"/>
    <w:rsid w:val="008E3499"/>
    <w:rsid w:val="008F79A9"/>
    <w:rsid w:val="00906A61"/>
    <w:rsid w:val="00962249"/>
    <w:rsid w:val="00A0554E"/>
    <w:rsid w:val="00A55B3B"/>
    <w:rsid w:val="00B16790"/>
    <w:rsid w:val="00B35803"/>
    <w:rsid w:val="00B45E3E"/>
    <w:rsid w:val="00C16462"/>
    <w:rsid w:val="00C66488"/>
    <w:rsid w:val="00CA656E"/>
    <w:rsid w:val="00CE04E4"/>
    <w:rsid w:val="00D0085C"/>
    <w:rsid w:val="00D9651F"/>
    <w:rsid w:val="00DB54B3"/>
    <w:rsid w:val="00DF053C"/>
    <w:rsid w:val="00E278B0"/>
    <w:rsid w:val="00FC3867"/>
    <w:rsid w:val="010007F1"/>
    <w:rsid w:val="01123C24"/>
    <w:rsid w:val="01281FA6"/>
    <w:rsid w:val="0129652A"/>
    <w:rsid w:val="012C4A94"/>
    <w:rsid w:val="0134238F"/>
    <w:rsid w:val="01434062"/>
    <w:rsid w:val="015A28DE"/>
    <w:rsid w:val="01603797"/>
    <w:rsid w:val="01614C4F"/>
    <w:rsid w:val="016607CF"/>
    <w:rsid w:val="01687C29"/>
    <w:rsid w:val="016C6133"/>
    <w:rsid w:val="016D0719"/>
    <w:rsid w:val="01730647"/>
    <w:rsid w:val="017F7312"/>
    <w:rsid w:val="0183354F"/>
    <w:rsid w:val="018A4341"/>
    <w:rsid w:val="018D1ED5"/>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277DB"/>
    <w:rsid w:val="01CB201F"/>
    <w:rsid w:val="01D01DDD"/>
    <w:rsid w:val="01D83F23"/>
    <w:rsid w:val="01DA121B"/>
    <w:rsid w:val="01E02E8A"/>
    <w:rsid w:val="01EB6FF4"/>
    <w:rsid w:val="01EC6C1A"/>
    <w:rsid w:val="01F43D5D"/>
    <w:rsid w:val="01F53962"/>
    <w:rsid w:val="01FE284A"/>
    <w:rsid w:val="020C0504"/>
    <w:rsid w:val="020F3F82"/>
    <w:rsid w:val="021337A8"/>
    <w:rsid w:val="02154F00"/>
    <w:rsid w:val="02200558"/>
    <w:rsid w:val="022C2DDE"/>
    <w:rsid w:val="024125AD"/>
    <w:rsid w:val="02424F98"/>
    <w:rsid w:val="02451830"/>
    <w:rsid w:val="024B4F65"/>
    <w:rsid w:val="02522774"/>
    <w:rsid w:val="02594620"/>
    <w:rsid w:val="02716397"/>
    <w:rsid w:val="027B1EF4"/>
    <w:rsid w:val="027D39C5"/>
    <w:rsid w:val="02842B55"/>
    <w:rsid w:val="02850B1B"/>
    <w:rsid w:val="028E239B"/>
    <w:rsid w:val="028E669E"/>
    <w:rsid w:val="02945151"/>
    <w:rsid w:val="02994D24"/>
    <w:rsid w:val="02AA4579"/>
    <w:rsid w:val="02B7449E"/>
    <w:rsid w:val="02B93913"/>
    <w:rsid w:val="02CA2014"/>
    <w:rsid w:val="02CE36F0"/>
    <w:rsid w:val="02D253BA"/>
    <w:rsid w:val="02D664A5"/>
    <w:rsid w:val="02D70120"/>
    <w:rsid w:val="02E746B3"/>
    <w:rsid w:val="02F04987"/>
    <w:rsid w:val="02F3072B"/>
    <w:rsid w:val="02F4686A"/>
    <w:rsid w:val="02F50E1A"/>
    <w:rsid w:val="02FC365E"/>
    <w:rsid w:val="03032EA1"/>
    <w:rsid w:val="03055083"/>
    <w:rsid w:val="030A33B2"/>
    <w:rsid w:val="0312457C"/>
    <w:rsid w:val="03173E54"/>
    <w:rsid w:val="03276EB0"/>
    <w:rsid w:val="03320DD5"/>
    <w:rsid w:val="03367B19"/>
    <w:rsid w:val="033F3094"/>
    <w:rsid w:val="033F5E23"/>
    <w:rsid w:val="0341739D"/>
    <w:rsid w:val="035906B9"/>
    <w:rsid w:val="035A07AB"/>
    <w:rsid w:val="036572E0"/>
    <w:rsid w:val="036773BE"/>
    <w:rsid w:val="036B41D2"/>
    <w:rsid w:val="03745931"/>
    <w:rsid w:val="0375270B"/>
    <w:rsid w:val="0376026A"/>
    <w:rsid w:val="03763E10"/>
    <w:rsid w:val="03795E56"/>
    <w:rsid w:val="038F00BD"/>
    <w:rsid w:val="038F07EB"/>
    <w:rsid w:val="039F6B79"/>
    <w:rsid w:val="03A054FE"/>
    <w:rsid w:val="03A710E3"/>
    <w:rsid w:val="03B75E22"/>
    <w:rsid w:val="03B93704"/>
    <w:rsid w:val="03C7124D"/>
    <w:rsid w:val="03C956D7"/>
    <w:rsid w:val="03CD065E"/>
    <w:rsid w:val="03CD0F50"/>
    <w:rsid w:val="03D96519"/>
    <w:rsid w:val="03DC76EB"/>
    <w:rsid w:val="03DF3AAC"/>
    <w:rsid w:val="03DF7C94"/>
    <w:rsid w:val="03E4053E"/>
    <w:rsid w:val="03EE2D2D"/>
    <w:rsid w:val="03EE5120"/>
    <w:rsid w:val="03F95EAB"/>
    <w:rsid w:val="03FA4378"/>
    <w:rsid w:val="040E59E0"/>
    <w:rsid w:val="04177E90"/>
    <w:rsid w:val="041B3B0D"/>
    <w:rsid w:val="041F33A4"/>
    <w:rsid w:val="04227E09"/>
    <w:rsid w:val="04256881"/>
    <w:rsid w:val="042C1175"/>
    <w:rsid w:val="042E72BA"/>
    <w:rsid w:val="04361A54"/>
    <w:rsid w:val="043837D8"/>
    <w:rsid w:val="043F0FCC"/>
    <w:rsid w:val="0458216E"/>
    <w:rsid w:val="04633D2A"/>
    <w:rsid w:val="046441B2"/>
    <w:rsid w:val="0470619B"/>
    <w:rsid w:val="047264E0"/>
    <w:rsid w:val="047929EC"/>
    <w:rsid w:val="047931E4"/>
    <w:rsid w:val="047B754C"/>
    <w:rsid w:val="047C330E"/>
    <w:rsid w:val="047E0389"/>
    <w:rsid w:val="04802BB2"/>
    <w:rsid w:val="048112FB"/>
    <w:rsid w:val="048A77DB"/>
    <w:rsid w:val="048B08F7"/>
    <w:rsid w:val="04997356"/>
    <w:rsid w:val="04B3013F"/>
    <w:rsid w:val="04BA605B"/>
    <w:rsid w:val="04BB6582"/>
    <w:rsid w:val="04BF51D4"/>
    <w:rsid w:val="04C30370"/>
    <w:rsid w:val="04C369FD"/>
    <w:rsid w:val="04C87276"/>
    <w:rsid w:val="04CE7B7F"/>
    <w:rsid w:val="04D13EAB"/>
    <w:rsid w:val="04E16ACF"/>
    <w:rsid w:val="04E92750"/>
    <w:rsid w:val="04ED1D07"/>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16093"/>
    <w:rsid w:val="05A259F9"/>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729E1"/>
    <w:rsid w:val="06AB1C7E"/>
    <w:rsid w:val="06AC05E7"/>
    <w:rsid w:val="06AF1D16"/>
    <w:rsid w:val="06AF3414"/>
    <w:rsid w:val="06B15237"/>
    <w:rsid w:val="06BA5EB2"/>
    <w:rsid w:val="06D17DB1"/>
    <w:rsid w:val="06E444B8"/>
    <w:rsid w:val="070615F0"/>
    <w:rsid w:val="07085235"/>
    <w:rsid w:val="07146D7A"/>
    <w:rsid w:val="071A4300"/>
    <w:rsid w:val="072C5901"/>
    <w:rsid w:val="072D6955"/>
    <w:rsid w:val="07355298"/>
    <w:rsid w:val="073633AE"/>
    <w:rsid w:val="0738618B"/>
    <w:rsid w:val="074E1705"/>
    <w:rsid w:val="074E279C"/>
    <w:rsid w:val="075268B6"/>
    <w:rsid w:val="075C0378"/>
    <w:rsid w:val="075C613A"/>
    <w:rsid w:val="0768627D"/>
    <w:rsid w:val="07774E9B"/>
    <w:rsid w:val="07886D75"/>
    <w:rsid w:val="079A77BC"/>
    <w:rsid w:val="079D6C92"/>
    <w:rsid w:val="079E20C5"/>
    <w:rsid w:val="07A757F6"/>
    <w:rsid w:val="07A92FCD"/>
    <w:rsid w:val="07AB5A16"/>
    <w:rsid w:val="07C32EAB"/>
    <w:rsid w:val="07CE7516"/>
    <w:rsid w:val="07DA5629"/>
    <w:rsid w:val="07DE3B60"/>
    <w:rsid w:val="07E54B9E"/>
    <w:rsid w:val="07F1115C"/>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46A4F"/>
    <w:rsid w:val="08C654F8"/>
    <w:rsid w:val="08CA79C7"/>
    <w:rsid w:val="08D54B6A"/>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11686"/>
    <w:rsid w:val="09631FC1"/>
    <w:rsid w:val="09651D94"/>
    <w:rsid w:val="09747317"/>
    <w:rsid w:val="098A1F77"/>
    <w:rsid w:val="099872CF"/>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16821"/>
    <w:rsid w:val="0AD45A3C"/>
    <w:rsid w:val="0AD60B60"/>
    <w:rsid w:val="0ADC78D2"/>
    <w:rsid w:val="0AE11813"/>
    <w:rsid w:val="0AE3323E"/>
    <w:rsid w:val="0AEB11A6"/>
    <w:rsid w:val="0AEC3E44"/>
    <w:rsid w:val="0AEE609E"/>
    <w:rsid w:val="0AEF478A"/>
    <w:rsid w:val="0B041299"/>
    <w:rsid w:val="0B062542"/>
    <w:rsid w:val="0B0E47F4"/>
    <w:rsid w:val="0B181D79"/>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85FA3"/>
    <w:rsid w:val="0B792EB2"/>
    <w:rsid w:val="0B8035EB"/>
    <w:rsid w:val="0B84164E"/>
    <w:rsid w:val="0B89731E"/>
    <w:rsid w:val="0B904412"/>
    <w:rsid w:val="0B913EDA"/>
    <w:rsid w:val="0B9C76A8"/>
    <w:rsid w:val="0BA50775"/>
    <w:rsid w:val="0BA749E5"/>
    <w:rsid w:val="0BAC24A8"/>
    <w:rsid w:val="0BAE1323"/>
    <w:rsid w:val="0BB42E0A"/>
    <w:rsid w:val="0BBA3391"/>
    <w:rsid w:val="0BDC3258"/>
    <w:rsid w:val="0BDE3581"/>
    <w:rsid w:val="0BE52963"/>
    <w:rsid w:val="0BE85349"/>
    <w:rsid w:val="0BF57A28"/>
    <w:rsid w:val="0BF845E9"/>
    <w:rsid w:val="0BFA1A53"/>
    <w:rsid w:val="0C074F06"/>
    <w:rsid w:val="0C085689"/>
    <w:rsid w:val="0C0B1E5B"/>
    <w:rsid w:val="0C146F99"/>
    <w:rsid w:val="0C1A584B"/>
    <w:rsid w:val="0C2275D5"/>
    <w:rsid w:val="0C2D70F9"/>
    <w:rsid w:val="0C342312"/>
    <w:rsid w:val="0C456335"/>
    <w:rsid w:val="0C53740C"/>
    <w:rsid w:val="0C563E70"/>
    <w:rsid w:val="0C631545"/>
    <w:rsid w:val="0C6E187C"/>
    <w:rsid w:val="0C7D4D8F"/>
    <w:rsid w:val="0C80052F"/>
    <w:rsid w:val="0C8C06D3"/>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99"/>
    <w:rsid w:val="0CB80D6E"/>
    <w:rsid w:val="0CBF360E"/>
    <w:rsid w:val="0CC10497"/>
    <w:rsid w:val="0CC30BC5"/>
    <w:rsid w:val="0CC42150"/>
    <w:rsid w:val="0CC45545"/>
    <w:rsid w:val="0CC71781"/>
    <w:rsid w:val="0CCB0FDF"/>
    <w:rsid w:val="0CD15C3C"/>
    <w:rsid w:val="0CDC1817"/>
    <w:rsid w:val="0CDC515C"/>
    <w:rsid w:val="0D0B2A13"/>
    <w:rsid w:val="0D112021"/>
    <w:rsid w:val="0D12133D"/>
    <w:rsid w:val="0D1F7151"/>
    <w:rsid w:val="0D200D54"/>
    <w:rsid w:val="0D2B7DB2"/>
    <w:rsid w:val="0D3152D9"/>
    <w:rsid w:val="0D384916"/>
    <w:rsid w:val="0D427E08"/>
    <w:rsid w:val="0D4A1977"/>
    <w:rsid w:val="0D511FCD"/>
    <w:rsid w:val="0D52698E"/>
    <w:rsid w:val="0D583C5F"/>
    <w:rsid w:val="0D5D658F"/>
    <w:rsid w:val="0D6029A5"/>
    <w:rsid w:val="0D6063D4"/>
    <w:rsid w:val="0D667E20"/>
    <w:rsid w:val="0D6B6C90"/>
    <w:rsid w:val="0D7170F8"/>
    <w:rsid w:val="0D922931"/>
    <w:rsid w:val="0D95263C"/>
    <w:rsid w:val="0DA81B9F"/>
    <w:rsid w:val="0DAD79F2"/>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21196E"/>
    <w:rsid w:val="0E227E98"/>
    <w:rsid w:val="0E27140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B0282"/>
    <w:rsid w:val="0EC370FE"/>
    <w:rsid w:val="0EC4408A"/>
    <w:rsid w:val="0ECD6BD5"/>
    <w:rsid w:val="0EDA3DE0"/>
    <w:rsid w:val="0EE241B0"/>
    <w:rsid w:val="0EE470B9"/>
    <w:rsid w:val="0EE51F3F"/>
    <w:rsid w:val="0EE67C37"/>
    <w:rsid w:val="0EE96C61"/>
    <w:rsid w:val="0EEF6278"/>
    <w:rsid w:val="0F070719"/>
    <w:rsid w:val="0F0E340F"/>
    <w:rsid w:val="0F110F65"/>
    <w:rsid w:val="0F126FC2"/>
    <w:rsid w:val="0F1821BC"/>
    <w:rsid w:val="0F1F71AB"/>
    <w:rsid w:val="0F206FE9"/>
    <w:rsid w:val="0F246E43"/>
    <w:rsid w:val="0F2F2F21"/>
    <w:rsid w:val="0F303168"/>
    <w:rsid w:val="0F3346BD"/>
    <w:rsid w:val="0F3E6D6B"/>
    <w:rsid w:val="0F521390"/>
    <w:rsid w:val="0F551890"/>
    <w:rsid w:val="0F5B58BB"/>
    <w:rsid w:val="0F6735DF"/>
    <w:rsid w:val="0F6A4B85"/>
    <w:rsid w:val="0F716691"/>
    <w:rsid w:val="0F735DB2"/>
    <w:rsid w:val="0F7840D6"/>
    <w:rsid w:val="0F7B2D75"/>
    <w:rsid w:val="0F82322B"/>
    <w:rsid w:val="0F873A0E"/>
    <w:rsid w:val="0F883C70"/>
    <w:rsid w:val="0F8B6CB6"/>
    <w:rsid w:val="0F9177B5"/>
    <w:rsid w:val="0F9A3FA1"/>
    <w:rsid w:val="0F9E606C"/>
    <w:rsid w:val="0FA1437B"/>
    <w:rsid w:val="0FA17F55"/>
    <w:rsid w:val="0FA35FFE"/>
    <w:rsid w:val="0FA821B8"/>
    <w:rsid w:val="0FAE546F"/>
    <w:rsid w:val="0FB50512"/>
    <w:rsid w:val="0FB8781F"/>
    <w:rsid w:val="0FC24482"/>
    <w:rsid w:val="0FC754B6"/>
    <w:rsid w:val="0FCD46F4"/>
    <w:rsid w:val="0FCE3065"/>
    <w:rsid w:val="0FE107E2"/>
    <w:rsid w:val="0FE336DE"/>
    <w:rsid w:val="0FED1D3E"/>
    <w:rsid w:val="10065756"/>
    <w:rsid w:val="100A69A4"/>
    <w:rsid w:val="100E17EE"/>
    <w:rsid w:val="10140347"/>
    <w:rsid w:val="101B54B3"/>
    <w:rsid w:val="101C6175"/>
    <w:rsid w:val="104210EE"/>
    <w:rsid w:val="10444B77"/>
    <w:rsid w:val="10495D6E"/>
    <w:rsid w:val="104C1069"/>
    <w:rsid w:val="10513C3F"/>
    <w:rsid w:val="10541F36"/>
    <w:rsid w:val="105D2D1E"/>
    <w:rsid w:val="10623D8F"/>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C2285B"/>
    <w:rsid w:val="10C54276"/>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641BB"/>
    <w:rsid w:val="113B0B58"/>
    <w:rsid w:val="113B4E2A"/>
    <w:rsid w:val="113D4F12"/>
    <w:rsid w:val="113D775B"/>
    <w:rsid w:val="11410876"/>
    <w:rsid w:val="114608E7"/>
    <w:rsid w:val="114F3D65"/>
    <w:rsid w:val="115347BC"/>
    <w:rsid w:val="11545887"/>
    <w:rsid w:val="11597C64"/>
    <w:rsid w:val="116228E3"/>
    <w:rsid w:val="11631325"/>
    <w:rsid w:val="116345A4"/>
    <w:rsid w:val="11667833"/>
    <w:rsid w:val="11687433"/>
    <w:rsid w:val="1178450A"/>
    <w:rsid w:val="117B53DF"/>
    <w:rsid w:val="117B71D3"/>
    <w:rsid w:val="11845F00"/>
    <w:rsid w:val="11885DD3"/>
    <w:rsid w:val="118A58E4"/>
    <w:rsid w:val="118F0DB3"/>
    <w:rsid w:val="11916F88"/>
    <w:rsid w:val="11A51BB6"/>
    <w:rsid w:val="11AC6860"/>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61160"/>
    <w:rsid w:val="12010E7D"/>
    <w:rsid w:val="120506CD"/>
    <w:rsid w:val="12075A2C"/>
    <w:rsid w:val="120A0C4D"/>
    <w:rsid w:val="120A38DA"/>
    <w:rsid w:val="12101A57"/>
    <w:rsid w:val="12193170"/>
    <w:rsid w:val="12193813"/>
    <w:rsid w:val="121D6AE3"/>
    <w:rsid w:val="121F75CC"/>
    <w:rsid w:val="12271CB0"/>
    <w:rsid w:val="122C1A12"/>
    <w:rsid w:val="1232130B"/>
    <w:rsid w:val="12395D63"/>
    <w:rsid w:val="12401AD9"/>
    <w:rsid w:val="12421E9D"/>
    <w:rsid w:val="1248421F"/>
    <w:rsid w:val="12571C4D"/>
    <w:rsid w:val="125B7063"/>
    <w:rsid w:val="125C09FF"/>
    <w:rsid w:val="12657F0C"/>
    <w:rsid w:val="126830F6"/>
    <w:rsid w:val="126B5207"/>
    <w:rsid w:val="126F57E1"/>
    <w:rsid w:val="12760E78"/>
    <w:rsid w:val="127673DB"/>
    <w:rsid w:val="127E0189"/>
    <w:rsid w:val="12810A1D"/>
    <w:rsid w:val="12854B81"/>
    <w:rsid w:val="12927837"/>
    <w:rsid w:val="12A30BAA"/>
    <w:rsid w:val="12A709D5"/>
    <w:rsid w:val="12A867C5"/>
    <w:rsid w:val="12B56515"/>
    <w:rsid w:val="12BE11B2"/>
    <w:rsid w:val="12BE1828"/>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521DE4"/>
    <w:rsid w:val="136041BC"/>
    <w:rsid w:val="1365358D"/>
    <w:rsid w:val="136F4FE6"/>
    <w:rsid w:val="13713F6F"/>
    <w:rsid w:val="13762A14"/>
    <w:rsid w:val="13790756"/>
    <w:rsid w:val="137B6EE7"/>
    <w:rsid w:val="137E2E27"/>
    <w:rsid w:val="138C25C7"/>
    <w:rsid w:val="138E741D"/>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1A193D"/>
    <w:rsid w:val="14211963"/>
    <w:rsid w:val="142160CA"/>
    <w:rsid w:val="142951DD"/>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D2447"/>
    <w:rsid w:val="14BD0C90"/>
    <w:rsid w:val="14BD7435"/>
    <w:rsid w:val="14C2089E"/>
    <w:rsid w:val="14D41B03"/>
    <w:rsid w:val="14D97120"/>
    <w:rsid w:val="14EC7262"/>
    <w:rsid w:val="14F50637"/>
    <w:rsid w:val="14F56962"/>
    <w:rsid w:val="14FD3DC3"/>
    <w:rsid w:val="15052F44"/>
    <w:rsid w:val="152446F6"/>
    <w:rsid w:val="15274A34"/>
    <w:rsid w:val="152C74BF"/>
    <w:rsid w:val="152E54C4"/>
    <w:rsid w:val="1535555F"/>
    <w:rsid w:val="15382813"/>
    <w:rsid w:val="154B27A9"/>
    <w:rsid w:val="154B6CF6"/>
    <w:rsid w:val="15516306"/>
    <w:rsid w:val="155B06BC"/>
    <w:rsid w:val="155B6FCC"/>
    <w:rsid w:val="15620F8B"/>
    <w:rsid w:val="156514F3"/>
    <w:rsid w:val="15707694"/>
    <w:rsid w:val="157477F0"/>
    <w:rsid w:val="157F4B83"/>
    <w:rsid w:val="158230BB"/>
    <w:rsid w:val="15864057"/>
    <w:rsid w:val="158A2F64"/>
    <w:rsid w:val="158C53F6"/>
    <w:rsid w:val="15946EC2"/>
    <w:rsid w:val="1594709F"/>
    <w:rsid w:val="159B1410"/>
    <w:rsid w:val="159D2E6C"/>
    <w:rsid w:val="15A625C0"/>
    <w:rsid w:val="15A70541"/>
    <w:rsid w:val="15A7643A"/>
    <w:rsid w:val="15A928DF"/>
    <w:rsid w:val="15AD4348"/>
    <w:rsid w:val="15AD7612"/>
    <w:rsid w:val="15B96153"/>
    <w:rsid w:val="15BC619F"/>
    <w:rsid w:val="15BF618A"/>
    <w:rsid w:val="15C40EFF"/>
    <w:rsid w:val="15CA097E"/>
    <w:rsid w:val="15D92955"/>
    <w:rsid w:val="15DA418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672683"/>
    <w:rsid w:val="166852CC"/>
    <w:rsid w:val="16696EE3"/>
    <w:rsid w:val="16713663"/>
    <w:rsid w:val="167518D2"/>
    <w:rsid w:val="168864E9"/>
    <w:rsid w:val="16907088"/>
    <w:rsid w:val="1697702E"/>
    <w:rsid w:val="169A4327"/>
    <w:rsid w:val="169D4FCC"/>
    <w:rsid w:val="16A26D59"/>
    <w:rsid w:val="16A31912"/>
    <w:rsid w:val="16A52825"/>
    <w:rsid w:val="16A60389"/>
    <w:rsid w:val="16AC66DD"/>
    <w:rsid w:val="16AD326E"/>
    <w:rsid w:val="16B06BAD"/>
    <w:rsid w:val="16B17712"/>
    <w:rsid w:val="16B95CF7"/>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16366"/>
    <w:rsid w:val="17C21DD8"/>
    <w:rsid w:val="17C76A67"/>
    <w:rsid w:val="17DA0F7A"/>
    <w:rsid w:val="17DC2D7F"/>
    <w:rsid w:val="17E95276"/>
    <w:rsid w:val="17EA38A1"/>
    <w:rsid w:val="17EB77A3"/>
    <w:rsid w:val="17EC5E41"/>
    <w:rsid w:val="1806537C"/>
    <w:rsid w:val="18066C18"/>
    <w:rsid w:val="181C2683"/>
    <w:rsid w:val="181E4167"/>
    <w:rsid w:val="18341D76"/>
    <w:rsid w:val="18351C27"/>
    <w:rsid w:val="18553A22"/>
    <w:rsid w:val="18607956"/>
    <w:rsid w:val="186E420E"/>
    <w:rsid w:val="187A14AA"/>
    <w:rsid w:val="187B7B4F"/>
    <w:rsid w:val="1887188F"/>
    <w:rsid w:val="18935E66"/>
    <w:rsid w:val="18A35548"/>
    <w:rsid w:val="18A63203"/>
    <w:rsid w:val="18A77689"/>
    <w:rsid w:val="18A816B2"/>
    <w:rsid w:val="18B25B64"/>
    <w:rsid w:val="18B8431F"/>
    <w:rsid w:val="18B90C48"/>
    <w:rsid w:val="18BC4ADF"/>
    <w:rsid w:val="18BD1521"/>
    <w:rsid w:val="18BD2E66"/>
    <w:rsid w:val="18BE7EAB"/>
    <w:rsid w:val="18CF2450"/>
    <w:rsid w:val="18CF5822"/>
    <w:rsid w:val="18DA12E6"/>
    <w:rsid w:val="18E62F4B"/>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9F44B16"/>
    <w:rsid w:val="1A00532F"/>
    <w:rsid w:val="1A040FBD"/>
    <w:rsid w:val="1A067DCA"/>
    <w:rsid w:val="1A102A1C"/>
    <w:rsid w:val="1A13214F"/>
    <w:rsid w:val="1A167154"/>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A3523"/>
    <w:rsid w:val="1AFD3AEA"/>
    <w:rsid w:val="1B05238D"/>
    <w:rsid w:val="1B13587B"/>
    <w:rsid w:val="1B1D44BA"/>
    <w:rsid w:val="1B2C07D2"/>
    <w:rsid w:val="1B2C5EE0"/>
    <w:rsid w:val="1B3604D3"/>
    <w:rsid w:val="1B364D11"/>
    <w:rsid w:val="1B3865C6"/>
    <w:rsid w:val="1B3E5EDE"/>
    <w:rsid w:val="1B433153"/>
    <w:rsid w:val="1B467529"/>
    <w:rsid w:val="1B4B00CA"/>
    <w:rsid w:val="1B566C78"/>
    <w:rsid w:val="1B5F1247"/>
    <w:rsid w:val="1B6307EA"/>
    <w:rsid w:val="1B79696C"/>
    <w:rsid w:val="1B7E1824"/>
    <w:rsid w:val="1B825166"/>
    <w:rsid w:val="1B890C23"/>
    <w:rsid w:val="1B9411FC"/>
    <w:rsid w:val="1B9D6CE8"/>
    <w:rsid w:val="1BA866D1"/>
    <w:rsid w:val="1BBB422B"/>
    <w:rsid w:val="1BC600B5"/>
    <w:rsid w:val="1BCD55F8"/>
    <w:rsid w:val="1BE011AE"/>
    <w:rsid w:val="1BE30F90"/>
    <w:rsid w:val="1BE31093"/>
    <w:rsid w:val="1BE956C8"/>
    <w:rsid w:val="1C022294"/>
    <w:rsid w:val="1C0B35D4"/>
    <w:rsid w:val="1C12573D"/>
    <w:rsid w:val="1C1D1EE2"/>
    <w:rsid w:val="1C234861"/>
    <w:rsid w:val="1C2E319B"/>
    <w:rsid w:val="1C3477C5"/>
    <w:rsid w:val="1C471C9C"/>
    <w:rsid w:val="1C4F6563"/>
    <w:rsid w:val="1C545F3D"/>
    <w:rsid w:val="1C556488"/>
    <w:rsid w:val="1C563FE3"/>
    <w:rsid w:val="1C5A182A"/>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B21A29"/>
    <w:rsid w:val="1CCB32EE"/>
    <w:rsid w:val="1CD23361"/>
    <w:rsid w:val="1CD35882"/>
    <w:rsid w:val="1CE302F7"/>
    <w:rsid w:val="1CEC4F96"/>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4B5A"/>
    <w:rsid w:val="1D584348"/>
    <w:rsid w:val="1D597DDF"/>
    <w:rsid w:val="1D5D209F"/>
    <w:rsid w:val="1D6D4785"/>
    <w:rsid w:val="1D6E27CD"/>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A6EEA"/>
    <w:rsid w:val="1DDD63A7"/>
    <w:rsid w:val="1DE56ABE"/>
    <w:rsid w:val="1DED63F7"/>
    <w:rsid w:val="1DFC4DF9"/>
    <w:rsid w:val="1E0435A0"/>
    <w:rsid w:val="1E110D2A"/>
    <w:rsid w:val="1E1247A2"/>
    <w:rsid w:val="1E155062"/>
    <w:rsid w:val="1E193E9C"/>
    <w:rsid w:val="1E1B38E9"/>
    <w:rsid w:val="1E1B7186"/>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34801"/>
    <w:rsid w:val="1FB75185"/>
    <w:rsid w:val="1FB97163"/>
    <w:rsid w:val="1FBD0EE6"/>
    <w:rsid w:val="1FC10346"/>
    <w:rsid w:val="1FC16504"/>
    <w:rsid w:val="1FDB745E"/>
    <w:rsid w:val="1FDD028C"/>
    <w:rsid w:val="1FF955B0"/>
    <w:rsid w:val="1FFA3EAB"/>
    <w:rsid w:val="1FFB3FF4"/>
    <w:rsid w:val="20176E76"/>
    <w:rsid w:val="201C2D60"/>
    <w:rsid w:val="20270162"/>
    <w:rsid w:val="20317681"/>
    <w:rsid w:val="203F0CD6"/>
    <w:rsid w:val="204C6AB7"/>
    <w:rsid w:val="20655E4F"/>
    <w:rsid w:val="207308C3"/>
    <w:rsid w:val="207411D3"/>
    <w:rsid w:val="20743131"/>
    <w:rsid w:val="207536DF"/>
    <w:rsid w:val="20783BF9"/>
    <w:rsid w:val="20786435"/>
    <w:rsid w:val="20811113"/>
    <w:rsid w:val="20874766"/>
    <w:rsid w:val="2088281D"/>
    <w:rsid w:val="2088475A"/>
    <w:rsid w:val="20917F9C"/>
    <w:rsid w:val="2094661E"/>
    <w:rsid w:val="20951ED4"/>
    <w:rsid w:val="20962536"/>
    <w:rsid w:val="20AF5726"/>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14223"/>
    <w:rsid w:val="21200021"/>
    <w:rsid w:val="21257F04"/>
    <w:rsid w:val="21291A31"/>
    <w:rsid w:val="21353F50"/>
    <w:rsid w:val="2138052E"/>
    <w:rsid w:val="213C3CC5"/>
    <w:rsid w:val="214776EA"/>
    <w:rsid w:val="21522E38"/>
    <w:rsid w:val="2159046C"/>
    <w:rsid w:val="21592762"/>
    <w:rsid w:val="215F3A68"/>
    <w:rsid w:val="21611A31"/>
    <w:rsid w:val="21635586"/>
    <w:rsid w:val="21760888"/>
    <w:rsid w:val="217B17E2"/>
    <w:rsid w:val="217E71E7"/>
    <w:rsid w:val="218810BD"/>
    <w:rsid w:val="218D61A9"/>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D42BA"/>
    <w:rsid w:val="227078B0"/>
    <w:rsid w:val="2271187B"/>
    <w:rsid w:val="22833161"/>
    <w:rsid w:val="228338C8"/>
    <w:rsid w:val="22840DDA"/>
    <w:rsid w:val="22876A0D"/>
    <w:rsid w:val="229676FF"/>
    <w:rsid w:val="22A11695"/>
    <w:rsid w:val="22A63B38"/>
    <w:rsid w:val="22A73490"/>
    <w:rsid w:val="22A8489A"/>
    <w:rsid w:val="22AA7376"/>
    <w:rsid w:val="22AB3B60"/>
    <w:rsid w:val="22AF11A1"/>
    <w:rsid w:val="22B22D1F"/>
    <w:rsid w:val="22B33D99"/>
    <w:rsid w:val="22B6047A"/>
    <w:rsid w:val="22BB4A47"/>
    <w:rsid w:val="22BC2773"/>
    <w:rsid w:val="22BE29D6"/>
    <w:rsid w:val="22C27BE8"/>
    <w:rsid w:val="22C4003E"/>
    <w:rsid w:val="22D02654"/>
    <w:rsid w:val="22D10E4B"/>
    <w:rsid w:val="22D90210"/>
    <w:rsid w:val="22D912F9"/>
    <w:rsid w:val="22E1284D"/>
    <w:rsid w:val="22E73006"/>
    <w:rsid w:val="22EB3773"/>
    <w:rsid w:val="22EE13BE"/>
    <w:rsid w:val="22F31E85"/>
    <w:rsid w:val="22F71A54"/>
    <w:rsid w:val="22F74CC6"/>
    <w:rsid w:val="22FB2321"/>
    <w:rsid w:val="22FC1E71"/>
    <w:rsid w:val="22FF6AA7"/>
    <w:rsid w:val="2306325F"/>
    <w:rsid w:val="230749DA"/>
    <w:rsid w:val="230753E2"/>
    <w:rsid w:val="230F5270"/>
    <w:rsid w:val="2311101C"/>
    <w:rsid w:val="231869B1"/>
    <w:rsid w:val="2319089C"/>
    <w:rsid w:val="231B2491"/>
    <w:rsid w:val="232515D0"/>
    <w:rsid w:val="232F45E5"/>
    <w:rsid w:val="23340B9D"/>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323334"/>
    <w:rsid w:val="243336DA"/>
    <w:rsid w:val="24371728"/>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803C4B"/>
    <w:rsid w:val="24860612"/>
    <w:rsid w:val="24872D53"/>
    <w:rsid w:val="248E7D90"/>
    <w:rsid w:val="249321BF"/>
    <w:rsid w:val="249C0D83"/>
    <w:rsid w:val="24A033EE"/>
    <w:rsid w:val="24B51B12"/>
    <w:rsid w:val="24C434A5"/>
    <w:rsid w:val="24CA496C"/>
    <w:rsid w:val="24D21E22"/>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9114ED"/>
    <w:rsid w:val="2593720A"/>
    <w:rsid w:val="25996F48"/>
    <w:rsid w:val="259A3CB2"/>
    <w:rsid w:val="259E4C39"/>
    <w:rsid w:val="259E5828"/>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C0B75"/>
    <w:rsid w:val="260139F3"/>
    <w:rsid w:val="260556D5"/>
    <w:rsid w:val="26080DD9"/>
    <w:rsid w:val="26082798"/>
    <w:rsid w:val="26095114"/>
    <w:rsid w:val="260E454E"/>
    <w:rsid w:val="261464EE"/>
    <w:rsid w:val="2616691B"/>
    <w:rsid w:val="26280E6C"/>
    <w:rsid w:val="262E05B0"/>
    <w:rsid w:val="26327A25"/>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F17CAD"/>
    <w:rsid w:val="26F51567"/>
    <w:rsid w:val="26F54808"/>
    <w:rsid w:val="26FB5D95"/>
    <w:rsid w:val="26FC2F8C"/>
    <w:rsid w:val="27094F93"/>
    <w:rsid w:val="270E05C8"/>
    <w:rsid w:val="270E103D"/>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559D5"/>
    <w:rsid w:val="277A2EC6"/>
    <w:rsid w:val="27841ADD"/>
    <w:rsid w:val="278B7262"/>
    <w:rsid w:val="278E7D5F"/>
    <w:rsid w:val="279429E3"/>
    <w:rsid w:val="27966F4A"/>
    <w:rsid w:val="279E2E4E"/>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51435"/>
    <w:rsid w:val="27FA5F82"/>
    <w:rsid w:val="28014303"/>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54507"/>
    <w:rsid w:val="288C7056"/>
    <w:rsid w:val="288F598A"/>
    <w:rsid w:val="289910F7"/>
    <w:rsid w:val="28A14F66"/>
    <w:rsid w:val="28A4234C"/>
    <w:rsid w:val="28A63531"/>
    <w:rsid w:val="28A773FC"/>
    <w:rsid w:val="28CA5B35"/>
    <w:rsid w:val="28D02425"/>
    <w:rsid w:val="28D527CA"/>
    <w:rsid w:val="28DB1A3D"/>
    <w:rsid w:val="28F133CC"/>
    <w:rsid w:val="28F729CE"/>
    <w:rsid w:val="28F934CA"/>
    <w:rsid w:val="28FA5F7F"/>
    <w:rsid w:val="29056F59"/>
    <w:rsid w:val="2907017C"/>
    <w:rsid w:val="291218C3"/>
    <w:rsid w:val="2912731C"/>
    <w:rsid w:val="29150A19"/>
    <w:rsid w:val="29157321"/>
    <w:rsid w:val="291F35AA"/>
    <w:rsid w:val="2925391D"/>
    <w:rsid w:val="292B0670"/>
    <w:rsid w:val="292E0A29"/>
    <w:rsid w:val="29325A72"/>
    <w:rsid w:val="29357E55"/>
    <w:rsid w:val="2938341E"/>
    <w:rsid w:val="293A6E92"/>
    <w:rsid w:val="29566904"/>
    <w:rsid w:val="29582224"/>
    <w:rsid w:val="29585835"/>
    <w:rsid w:val="296074D7"/>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651C9"/>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F18AD"/>
    <w:rsid w:val="2E2643F1"/>
    <w:rsid w:val="2E28757C"/>
    <w:rsid w:val="2E2C723F"/>
    <w:rsid w:val="2E332EEF"/>
    <w:rsid w:val="2E3F6B8A"/>
    <w:rsid w:val="2E404169"/>
    <w:rsid w:val="2E406C31"/>
    <w:rsid w:val="2E467FE7"/>
    <w:rsid w:val="2E527715"/>
    <w:rsid w:val="2E530660"/>
    <w:rsid w:val="2E53115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C576E"/>
    <w:rsid w:val="2EBD49E1"/>
    <w:rsid w:val="2EBF0ED1"/>
    <w:rsid w:val="2EC42186"/>
    <w:rsid w:val="2EC7495E"/>
    <w:rsid w:val="2EC776BB"/>
    <w:rsid w:val="2ECA39AD"/>
    <w:rsid w:val="2ECC0C07"/>
    <w:rsid w:val="2ED03009"/>
    <w:rsid w:val="2EF224CD"/>
    <w:rsid w:val="2EF67D61"/>
    <w:rsid w:val="2EFA2F2B"/>
    <w:rsid w:val="2F2E23A6"/>
    <w:rsid w:val="2F350F19"/>
    <w:rsid w:val="2F383567"/>
    <w:rsid w:val="2F3B1918"/>
    <w:rsid w:val="2F3B69E6"/>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205153"/>
    <w:rsid w:val="30253FAB"/>
    <w:rsid w:val="30270D6F"/>
    <w:rsid w:val="303B3B59"/>
    <w:rsid w:val="303C0C41"/>
    <w:rsid w:val="303D6437"/>
    <w:rsid w:val="30443F81"/>
    <w:rsid w:val="305566D8"/>
    <w:rsid w:val="305831D6"/>
    <w:rsid w:val="305A4537"/>
    <w:rsid w:val="305A5F2F"/>
    <w:rsid w:val="30632880"/>
    <w:rsid w:val="3070014A"/>
    <w:rsid w:val="307B4FFA"/>
    <w:rsid w:val="308136E0"/>
    <w:rsid w:val="3095375A"/>
    <w:rsid w:val="309B2688"/>
    <w:rsid w:val="30A86A79"/>
    <w:rsid w:val="30A90B96"/>
    <w:rsid w:val="30A91070"/>
    <w:rsid w:val="30B26464"/>
    <w:rsid w:val="30B86332"/>
    <w:rsid w:val="30C91D87"/>
    <w:rsid w:val="30D10B78"/>
    <w:rsid w:val="30D251E3"/>
    <w:rsid w:val="30D36EB7"/>
    <w:rsid w:val="30D45137"/>
    <w:rsid w:val="30D51A41"/>
    <w:rsid w:val="30E7233C"/>
    <w:rsid w:val="30F6101B"/>
    <w:rsid w:val="31076B28"/>
    <w:rsid w:val="31076EFA"/>
    <w:rsid w:val="310866BC"/>
    <w:rsid w:val="31154DED"/>
    <w:rsid w:val="31215B33"/>
    <w:rsid w:val="312A36B1"/>
    <w:rsid w:val="313A2CAC"/>
    <w:rsid w:val="313E6356"/>
    <w:rsid w:val="31460C29"/>
    <w:rsid w:val="314B3239"/>
    <w:rsid w:val="315757D1"/>
    <w:rsid w:val="315B21E9"/>
    <w:rsid w:val="315B5E62"/>
    <w:rsid w:val="31604DC0"/>
    <w:rsid w:val="31607973"/>
    <w:rsid w:val="3163108E"/>
    <w:rsid w:val="3167538F"/>
    <w:rsid w:val="317544CD"/>
    <w:rsid w:val="31765162"/>
    <w:rsid w:val="317A487D"/>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71CC6"/>
    <w:rsid w:val="324F0134"/>
    <w:rsid w:val="3250140A"/>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1E3887"/>
    <w:rsid w:val="33224534"/>
    <w:rsid w:val="332742E9"/>
    <w:rsid w:val="332A0620"/>
    <w:rsid w:val="332A1AC1"/>
    <w:rsid w:val="332C71E1"/>
    <w:rsid w:val="332E1BC2"/>
    <w:rsid w:val="332F3B66"/>
    <w:rsid w:val="333B116B"/>
    <w:rsid w:val="333E2024"/>
    <w:rsid w:val="33427ABB"/>
    <w:rsid w:val="33616D4E"/>
    <w:rsid w:val="33821BAB"/>
    <w:rsid w:val="338378EA"/>
    <w:rsid w:val="33885755"/>
    <w:rsid w:val="339E18BC"/>
    <w:rsid w:val="33A32C9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A238C5"/>
    <w:rsid w:val="34AC0653"/>
    <w:rsid w:val="34AC2DE9"/>
    <w:rsid w:val="34B24855"/>
    <w:rsid w:val="34B55560"/>
    <w:rsid w:val="34B84D9B"/>
    <w:rsid w:val="34BE7103"/>
    <w:rsid w:val="34C9343D"/>
    <w:rsid w:val="34CE3369"/>
    <w:rsid w:val="34DC1C67"/>
    <w:rsid w:val="34E47162"/>
    <w:rsid w:val="34E664D6"/>
    <w:rsid w:val="34F64CDD"/>
    <w:rsid w:val="34FF095B"/>
    <w:rsid w:val="3500311A"/>
    <w:rsid w:val="350B76BF"/>
    <w:rsid w:val="350C5C16"/>
    <w:rsid w:val="351710F0"/>
    <w:rsid w:val="351F4B47"/>
    <w:rsid w:val="352E435E"/>
    <w:rsid w:val="3534069E"/>
    <w:rsid w:val="353807E2"/>
    <w:rsid w:val="353D45FA"/>
    <w:rsid w:val="353F0E06"/>
    <w:rsid w:val="35422CF2"/>
    <w:rsid w:val="35505013"/>
    <w:rsid w:val="35531CAD"/>
    <w:rsid w:val="356D51F7"/>
    <w:rsid w:val="357972DF"/>
    <w:rsid w:val="357D79D3"/>
    <w:rsid w:val="35804F9D"/>
    <w:rsid w:val="35843B49"/>
    <w:rsid w:val="35884385"/>
    <w:rsid w:val="35890016"/>
    <w:rsid w:val="358B0F26"/>
    <w:rsid w:val="35924A15"/>
    <w:rsid w:val="359753B1"/>
    <w:rsid w:val="359B1B48"/>
    <w:rsid w:val="35A25468"/>
    <w:rsid w:val="35AC56FE"/>
    <w:rsid w:val="35C3354B"/>
    <w:rsid w:val="35CB283C"/>
    <w:rsid w:val="35D02A2E"/>
    <w:rsid w:val="35DF2011"/>
    <w:rsid w:val="35E1012B"/>
    <w:rsid w:val="35E1505C"/>
    <w:rsid w:val="35E328B8"/>
    <w:rsid w:val="35E3701E"/>
    <w:rsid w:val="35E420DE"/>
    <w:rsid w:val="35E607CD"/>
    <w:rsid w:val="35EB34A9"/>
    <w:rsid w:val="35EC6F4A"/>
    <w:rsid w:val="35EE6A38"/>
    <w:rsid w:val="35F5734F"/>
    <w:rsid w:val="35F65884"/>
    <w:rsid w:val="35F715DC"/>
    <w:rsid w:val="36057267"/>
    <w:rsid w:val="362131A7"/>
    <w:rsid w:val="362E1546"/>
    <w:rsid w:val="36330CA5"/>
    <w:rsid w:val="364236D7"/>
    <w:rsid w:val="3654563C"/>
    <w:rsid w:val="365763B3"/>
    <w:rsid w:val="366F70DE"/>
    <w:rsid w:val="367C0A7E"/>
    <w:rsid w:val="36856B5A"/>
    <w:rsid w:val="36883C27"/>
    <w:rsid w:val="36950061"/>
    <w:rsid w:val="36A32443"/>
    <w:rsid w:val="36A61ADA"/>
    <w:rsid w:val="36AC504E"/>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5C645A"/>
    <w:rsid w:val="37633810"/>
    <w:rsid w:val="37737FCD"/>
    <w:rsid w:val="377E253E"/>
    <w:rsid w:val="377E4EC2"/>
    <w:rsid w:val="37831AFE"/>
    <w:rsid w:val="37855CA5"/>
    <w:rsid w:val="379747E4"/>
    <w:rsid w:val="37A10A3C"/>
    <w:rsid w:val="37A32862"/>
    <w:rsid w:val="37A771F1"/>
    <w:rsid w:val="37AA1FED"/>
    <w:rsid w:val="37B033F0"/>
    <w:rsid w:val="37B25951"/>
    <w:rsid w:val="37B82D37"/>
    <w:rsid w:val="37BB1880"/>
    <w:rsid w:val="37BF7DD8"/>
    <w:rsid w:val="37CA6F5D"/>
    <w:rsid w:val="37CF39F4"/>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F64C6"/>
    <w:rsid w:val="38755246"/>
    <w:rsid w:val="38850F2D"/>
    <w:rsid w:val="388F47CD"/>
    <w:rsid w:val="3891497A"/>
    <w:rsid w:val="38934709"/>
    <w:rsid w:val="3899545E"/>
    <w:rsid w:val="389B63CB"/>
    <w:rsid w:val="389D36E7"/>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132EBE"/>
    <w:rsid w:val="39137015"/>
    <w:rsid w:val="3923223F"/>
    <w:rsid w:val="393F3649"/>
    <w:rsid w:val="39434B25"/>
    <w:rsid w:val="39442CC4"/>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1002C"/>
    <w:rsid w:val="39B75345"/>
    <w:rsid w:val="39BA1CF7"/>
    <w:rsid w:val="39BA2065"/>
    <w:rsid w:val="39C83126"/>
    <w:rsid w:val="39CD4753"/>
    <w:rsid w:val="39D037AF"/>
    <w:rsid w:val="39D466BD"/>
    <w:rsid w:val="39D7158B"/>
    <w:rsid w:val="39DC1B39"/>
    <w:rsid w:val="39E03897"/>
    <w:rsid w:val="39E125BA"/>
    <w:rsid w:val="39EE1B0B"/>
    <w:rsid w:val="39F17FFD"/>
    <w:rsid w:val="39FA1859"/>
    <w:rsid w:val="3A03384A"/>
    <w:rsid w:val="3A066160"/>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C4CC9"/>
    <w:rsid w:val="3B00301D"/>
    <w:rsid w:val="3B1752EE"/>
    <w:rsid w:val="3B1C35AC"/>
    <w:rsid w:val="3B1F0CAE"/>
    <w:rsid w:val="3B22468C"/>
    <w:rsid w:val="3B292A67"/>
    <w:rsid w:val="3B3155AA"/>
    <w:rsid w:val="3B3E0B10"/>
    <w:rsid w:val="3B4F1508"/>
    <w:rsid w:val="3B580D61"/>
    <w:rsid w:val="3B696BF9"/>
    <w:rsid w:val="3B6F0DCA"/>
    <w:rsid w:val="3B754E06"/>
    <w:rsid w:val="3B7B2B0A"/>
    <w:rsid w:val="3B7C7B97"/>
    <w:rsid w:val="3B8372AE"/>
    <w:rsid w:val="3B914065"/>
    <w:rsid w:val="3B9F483C"/>
    <w:rsid w:val="3BB249F7"/>
    <w:rsid w:val="3BBE3122"/>
    <w:rsid w:val="3BC20515"/>
    <w:rsid w:val="3BC53C74"/>
    <w:rsid w:val="3BC62C0D"/>
    <w:rsid w:val="3BC772AB"/>
    <w:rsid w:val="3BC812C8"/>
    <w:rsid w:val="3BCD0624"/>
    <w:rsid w:val="3BD741DE"/>
    <w:rsid w:val="3BE7491F"/>
    <w:rsid w:val="3BE82033"/>
    <w:rsid w:val="3BEF3F98"/>
    <w:rsid w:val="3BF01125"/>
    <w:rsid w:val="3BF82655"/>
    <w:rsid w:val="3BF90B59"/>
    <w:rsid w:val="3C015D18"/>
    <w:rsid w:val="3C035D20"/>
    <w:rsid w:val="3C0C1C74"/>
    <w:rsid w:val="3C0C65F7"/>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3669"/>
    <w:rsid w:val="3C7D3E58"/>
    <w:rsid w:val="3C882BD0"/>
    <w:rsid w:val="3C8E0F1D"/>
    <w:rsid w:val="3C94545E"/>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5DDB"/>
    <w:rsid w:val="3D5A6060"/>
    <w:rsid w:val="3D640E16"/>
    <w:rsid w:val="3D67132F"/>
    <w:rsid w:val="3D7936F9"/>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04548"/>
    <w:rsid w:val="3E19435F"/>
    <w:rsid w:val="3E1B4013"/>
    <w:rsid w:val="3E20393D"/>
    <w:rsid w:val="3E264903"/>
    <w:rsid w:val="3E2806A1"/>
    <w:rsid w:val="3E2E35CB"/>
    <w:rsid w:val="3E31025E"/>
    <w:rsid w:val="3E342DA3"/>
    <w:rsid w:val="3E471ABE"/>
    <w:rsid w:val="3E4755F9"/>
    <w:rsid w:val="3E492A39"/>
    <w:rsid w:val="3E556354"/>
    <w:rsid w:val="3E5E766F"/>
    <w:rsid w:val="3E6336EF"/>
    <w:rsid w:val="3E660D1B"/>
    <w:rsid w:val="3E6E2E9E"/>
    <w:rsid w:val="3E8222F7"/>
    <w:rsid w:val="3E8258B1"/>
    <w:rsid w:val="3E8821CE"/>
    <w:rsid w:val="3E92738B"/>
    <w:rsid w:val="3E99456A"/>
    <w:rsid w:val="3EA0570F"/>
    <w:rsid w:val="3EAD3D57"/>
    <w:rsid w:val="3EAF02B7"/>
    <w:rsid w:val="3EB1188E"/>
    <w:rsid w:val="3EB428B4"/>
    <w:rsid w:val="3EB43094"/>
    <w:rsid w:val="3EBD63D7"/>
    <w:rsid w:val="3EC07733"/>
    <w:rsid w:val="3EC334A7"/>
    <w:rsid w:val="3EC678BC"/>
    <w:rsid w:val="3EE067CA"/>
    <w:rsid w:val="3EEF26AB"/>
    <w:rsid w:val="3EF21C38"/>
    <w:rsid w:val="3EF57D05"/>
    <w:rsid w:val="3EF96B38"/>
    <w:rsid w:val="3F002CCF"/>
    <w:rsid w:val="3F0566FF"/>
    <w:rsid w:val="3F0605BE"/>
    <w:rsid w:val="3F06365D"/>
    <w:rsid w:val="3F0A3CA5"/>
    <w:rsid w:val="3F0B1DB8"/>
    <w:rsid w:val="3F0E6EA3"/>
    <w:rsid w:val="3F122278"/>
    <w:rsid w:val="3F155D82"/>
    <w:rsid w:val="3F261DEC"/>
    <w:rsid w:val="3F305E06"/>
    <w:rsid w:val="3F4764F1"/>
    <w:rsid w:val="3F47737F"/>
    <w:rsid w:val="3F523976"/>
    <w:rsid w:val="3F52626A"/>
    <w:rsid w:val="3F5322DF"/>
    <w:rsid w:val="3F556A35"/>
    <w:rsid w:val="3F5867B3"/>
    <w:rsid w:val="3F5A301C"/>
    <w:rsid w:val="3F637202"/>
    <w:rsid w:val="3F65418C"/>
    <w:rsid w:val="3F664F14"/>
    <w:rsid w:val="3F6763B0"/>
    <w:rsid w:val="3F6B0B70"/>
    <w:rsid w:val="3F6D1D36"/>
    <w:rsid w:val="3F6D2017"/>
    <w:rsid w:val="3F7339EB"/>
    <w:rsid w:val="3F770167"/>
    <w:rsid w:val="3F7D65D1"/>
    <w:rsid w:val="3F836296"/>
    <w:rsid w:val="3F9526FD"/>
    <w:rsid w:val="3F960218"/>
    <w:rsid w:val="3F9B508E"/>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C87F0D"/>
    <w:rsid w:val="40E13187"/>
    <w:rsid w:val="40E4111E"/>
    <w:rsid w:val="40F110C9"/>
    <w:rsid w:val="40F71EFC"/>
    <w:rsid w:val="40FA7D3C"/>
    <w:rsid w:val="40FC6040"/>
    <w:rsid w:val="41013098"/>
    <w:rsid w:val="410A66D3"/>
    <w:rsid w:val="411252F5"/>
    <w:rsid w:val="41216561"/>
    <w:rsid w:val="4126157E"/>
    <w:rsid w:val="412E1703"/>
    <w:rsid w:val="41341D04"/>
    <w:rsid w:val="41393F1E"/>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33943"/>
    <w:rsid w:val="428622E0"/>
    <w:rsid w:val="428740C5"/>
    <w:rsid w:val="4295023B"/>
    <w:rsid w:val="42A72E3E"/>
    <w:rsid w:val="42A9771E"/>
    <w:rsid w:val="42AF06BF"/>
    <w:rsid w:val="42AF744D"/>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3451E7"/>
    <w:rsid w:val="433454E3"/>
    <w:rsid w:val="43380FA2"/>
    <w:rsid w:val="433914CB"/>
    <w:rsid w:val="433D1521"/>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51B86"/>
    <w:rsid w:val="43D5596E"/>
    <w:rsid w:val="43D946DF"/>
    <w:rsid w:val="43DD3E84"/>
    <w:rsid w:val="43E63A35"/>
    <w:rsid w:val="43EA4AD8"/>
    <w:rsid w:val="43EA731F"/>
    <w:rsid w:val="43EF4362"/>
    <w:rsid w:val="43F5608C"/>
    <w:rsid w:val="43FA20D7"/>
    <w:rsid w:val="440433D0"/>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B2020"/>
    <w:rsid w:val="450005C9"/>
    <w:rsid w:val="450E225C"/>
    <w:rsid w:val="450E5F3E"/>
    <w:rsid w:val="451C3C3F"/>
    <w:rsid w:val="45202195"/>
    <w:rsid w:val="45282E33"/>
    <w:rsid w:val="45361C96"/>
    <w:rsid w:val="45367180"/>
    <w:rsid w:val="453936A0"/>
    <w:rsid w:val="4555071F"/>
    <w:rsid w:val="455B027F"/>
    <w:rsid w:val="45634F36"/>
    <w:rsid w:val="456433C3"/>
    <w:rsid w:val="4566286A"/>
    <w:rsid w:val="456653F0"/>
    <w:rsid w:val="456745BB"/>
    <w:rsid w:val="45677DA7"/>
    <w:rsid w:val="45743F66"/>
    <w:rsid w:val="45761FD8"/>
    <w:rsid w:val="457B0C49"/>
    <w:rsid w:val="45864B77"/>
    <w:rsid w:val="458A06CD"/>
    <w:rsid w:val="458D3A63"/>
    <w:rsid w:val="4597177B"/>
    <w:rsid w:val="45A85821"/>
    <w:rsid w:val="45AA0EA4"/>
    <w:rsid w:val="45AB1735"/>
    <w:rsid w:val="45AC57A6"/>
    <w:rsid w:val="45AF03CF"/>
    <w:rsid w:val="45B23BD8"/>
    <w:rsid w:val="45B52BBB"/>
    <w:rsid w:val="45C3178B"/>
    <w:rsid w:val="45C81474"/>
    <w:rsid w:val="45C85D55"/>
    <w:rsid w:val="45C91BC6"/>
    <w:rsid w:val="45CD1312"/>
    <w:rsid w:val="45CE3F02"/>
    <w:rsid w:val="45D818F4"/>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304A60"/>
    <w:rsid w:val="47321070"/>
    <w:rsid w:val="47383706"/>
    <w:rsid w:val="473F3443"/>
    <w:rsid w:val="47442FEA"/>
    <w:rsid w:val="47476898"/>
    <w:rsid w:val="474825BA"/>
    <w:rsid w:val="47524966"/>
    <w:rsid w:val="475E1AB6"/>
    <w:rsid w:val="4764753D"/>
    <w:rsid w:val="47663624"/>
    <w:rsid w:val="4779594B"/>
    <w:rsid w:val="477E3FE9"/>
    <w:rsid w:val="478E58BD"/>
    <w:rsid w:val="47997ECC"/>
    <w:rsid w:val="47A938A8"/>
    <w:rsid w:val="47AD2393"/>
    <w:rsid w:val="47AF4DB4"/>
    <w:rsid w:val="47C05960"/>
    <w:rsid w:val="47CA211A"/>
    <w:rsid w:val="47CE6AD8"/>
    <w:rsid w:val="47D00B76"/>
    <w:rsid w:val="47D266F4"/>
    <w:rsid w:val="47D77CA8"/>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57C17"/>
    <w:rsid w:val="483602D1"/>
    <w:rsid w:val="48360F72"/>
    <w:rsid w:val="48466EDC"/>
    <w:rsid w:val="486022F2"/>
    <w:rsid w:val="486505C9"/>
    <w:rsid w:val="48717233"/>
    <w:rsid w:val="487736C7"/>
    <w:rsid w:val="4886149A"/>
    <w:rsid w:val="48870995"/>
    <w:rsid w:val="488933F6"/>
    <w:rsid w:val="488F18B7"/>
    <w:rsid w:val="489C5A7F"/>
    <w:rsid w:val="489C5B95"/>
    <w:rsid w:val="489F248C"/>
    <w:rsid w:val="48A47128"/>
    <w:rsid w:val="48A53F58"/>
    <w:rsid w:val="48AA10E1"/>
    <w:rsid w:val="48AF1323"/>
    <w:rsid w:val="48B116DC"/>
    <w:rsid w:val="48B2080D"/>
    <w:rsid w:val="48B5518F"/>
    <w:rsid w:val="48BE6136"/>
    <w:rsid w:val="48C17060"/>
    <w:rsid w:val="48D22DB3"/>
    <w:rsid w:val="48D93445"/>
    <w:rsid w:val="48DA1D9C"/>
    <w:rsid w:val="48DC218D"/>
    <w:rsid w:val="48DF3D7D"/>
    <w:rsid w:val="48E915DE"/>
    <w:rsid w:val="48EB611E"/>
    <w:rsid w:val="48F7177C"/>
    <w:rsid w:val="490008E6"/>
    <w:rsid w:val="490425AB"/>
    <w:rsid w:val="49076238"/>
    <w:rsid w:val="49104838"/>
    <w:rsid w:val="491C6D03"/>
    <w:rsid w:val="49200C47"/>
    <w:rsid w:val="4923627E"/>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9C126E"/>
    <w:rsid w:val="49A20032"/>
    <w:rsid w:val="49A82756"/>
    <w:rsid w:val="49A86BF4"/>
    <w:rsid w:val="49A902DE"/>
    <w:rsid w:val="49A961CD"/>
    <w:rsid w:val="49B337E8"/>
    <w:rsid w:val="49B57903"/>
    <w:rsid w:val="49BB0B72"/>
    <w:rsid w:val="49CD3C98"/>
    <w:rsid w:val="49D32A87"/>
    <w:rsid w:val="49E27CCF"/>
    <w:rsid w:val="49F44446"/>
    <w:rsid w:val="49F543E3"/>
    <w:rsid w:val="49FA00AE"/>
    <w:rsid w:val="4A037F7B"/>
    <w:rsid w:val="4A07242A"/>
    <w:rsid w:val="4A095EB3"/>
    <w:rsid w:val="4A0C3345"/>
    <w:rsid w:val="4A12511A"/>
    <w:rsid w:val="4A2A339F"/>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A1EC2"/>
    <w:rsid w:val="4A7B1C95"/>
    <w:rsid w:val="4A7C6D92"/>
    <w:rsid w:val="4A80680F"/>
    <w:rsid w:val="4A8B2BFF"/>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73804"/>
    <w:rsid w:val="4B5151AA"/>
    <w:rsid w:val="4B537CBF"/>
    <w:rsid w:val="4B550153"/>
    <w:rsid w:val="4B641191"/>
    <w:rsid w:val="4B694B3A"/>
    <w:rsid w:val="4B76529F"/>
    <w:rsid w:val="4B7A237E"/>
    <w:rsid w:val="4B815FB3"/>
    <w:rsid w:val="4B86443F"/>
    <w:rsid w:val="4B897764"/>
    <w:rsid w:val="4B9A0C4D"/>
    <w:rsid w:val="4B9B3B70"/>
    <w:rsid w:val="4B9E7936"/>
    <w:rsid w:val="4BB7667A"/>
    <w:rsid w:val="4BBA25CD"/>
    <w:rsid w:val="4BBB242F"/>
    <w:rsid w:val="4BC15B7C"/>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CE3699"/>
    <w:rsid w:val="4CEA4F4D"/>
    <w:rsid w:val="4CEC58DB"/>
    <w:rsid w:val="4CEF637A"/>
    <w:rsid w:val="4CF00FB6"/>
    <w:rsid w:val="4CF16277"/>
    <w:rsid w:val="4CF4672D"/>
    <w:rsid w:val="4CFA2AAF"/>
    <w:rsid w:val="4D035A68"/>
    <w:rsid w:val="4D0F26CE"/>
    <w:rsid w:val="4D147026"/>
    <w:rsid w:val="4D1478EC"/>
    <w:rsid w:val="4D165C91"/>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42E9D"/>
    <w:rsid w:val="4D953CDB"/>
    <w:rsid w:val="4D97309D"/>
    <w:rsid w:val="4D9E090F"/>
    <w:rsid w:val="4DAC6E91"/>
    <w:rsid w:val="4DAE3711"/>
    <w:rsid w:val="4DB63BC4"/>
    <w:rsid w:val="4DB7591C"/>
    <w:rsid w:val="4DBB2984"/>
    <w:rsid w:val="4DCC46DA"/>
    <w:rsid w:val="4DDD5EB7"/>
    <w:rsid w:val="4DDE45A5"/>
    <w:rsid w:val="4DE5023D"/>
    <w:rsid w:val="4DEA20F7"/>
    <w:rsid w:val="4DEB419D"/>
    <w:rsid w:val="4DF267CF"/>
    <w:rsid w:val="4DF6484E"/>
    <w:rsid w:val="4E043A0E"/>
    <w:rsid w:val="4E0B5D31"/>
    <w:rsid w:val="4E0E541F"/>
    <w:rsid w:val="4E125681"/>
    <w:rsid w:val="4E1339D8"/>
    <w:rsid w:val="4E145C86"/>
    <w:rsid w:val="4E187CF8"/>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63D4"/>
    <w:rsid w:val="4E957162"/>
    <w:rsid w:val="4E9E60B6"/>
    <w:rsid w:val="4EA27ACB"/>
    <w:rsid w:val="4EB379F2"/>
    <w:rsid w:val="4EB838E0"/>
    <w:rsid w:val="4EBC3167"/>
    <w:rsid w:val="4EBC6632"/>
    <w:rsid w:val="4EBD4562"/>
    <w:rsid w:val="4EBD5620"/>
    <w:rsid w:val="4EBE0F4C"/>
    <w:rsid w:val="4ECD0F14"/>
    <w:rsid w:val="4ED017E4"/>
    <w:rsid w:val="4ED03B4F"/>
    <w:rsid w:val="4ED43AE8"/>
    <w:rsid w:val="4EDC1716"/>
    <w:rsid w:val="4EDF6F4B"/>
    <w:rsid w:val="4EE24F10"/>
    <w:rsid w:val="4EE70EC7"/>
    <w:rsid w:val="4EE77077"/>
    <w:rsid w:val="4EE8461F"/>
    <w:rsid w:val="4F0206C2"/>
    <w:rsid w:val="4F06414B"/>
    <w:rsid w:val="4F154233"/>
    <w:rsid w:val="4F1A4FD6"/>
    <w:rsid w:val="4F1C2B4C"/>
    <w:rsid w:val="4F1E1A5A"/>
    <w:rsid w:val="4F2D5479"/>
    <w:rsid w:val="4F2E4FDB"/>
    <w:rsid w:val="4F3127D8"/>
    <w:rsid w:val="4F353521"/>
    <w:rsid w:val="4F3B798B"/>
    <w:rsid w:val="4F424396"/>
    <w:rsid w:val="4F430289"/>
    <w:rsid w:val="4F461737"/>
    <w:rsid w:val="4F4E50D5"/>
    <w:rsid w:val="4F501AA5"/>
    <w:rsid w:val="4F507138"/>
    <w:rsid w:val="4F5431F2"/>
    <w:rsid w:val="4F594949"/>
    <w:rsid w:val="4F5A315B"/>
    <w:rsid w:val="4F7041A7"/>
    <w:rsid w:val="4F7349ED"/>
    <w:rsid w:val="4F7C7D62"/>
    <w:rsid w:val="4F88390E"/>
    <w:rsid w:val="4F8865D2"/>
    <w:rsid w:val="4F9102E3"/>
    <w:rsid w:val="4F9A400D"/>
    <w:rsid w:val="4FA11827"/>
    <w:rsid w:val="4FA57761"/>
    <w:rsid w:val="4FA82F77"/>
    <w:rsid w:val="4FAB07C1"/>
    <w:rsid w:val="4FC12B67"/>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241F98"/>
    <w:rsid w:val="50312196"/>
    <w:rsid w:val="50417E32"/>
    <w:rsid w:val="504768E3"/>
    <w:rsid w:val="504F0FB9"/>
    <w:rsid w:val="504F769B"/>
    <w:rsid w:val="50537FDD"/>
    <w:rsid w:val="50622728"/>
    <w:rsid w:val="507554C6"/>
    <w:rsid w:val="507D0063"/>
    <w:rsid w:val="508F1D63"/>
    <w:rsid w:val="508F6AC4"/>
    <w:rsid w:val="509A55F2"/>
    <w:rsid w:val="50A36924"/>
    <w:rsid w:val="50A732FC"/>
    <w:rsid w:val="50AA341E"/>
    <w:rsid w:val="50AB4E2F"/>
    <w:rsid w:val="50AC2418"/>
    <w:rsid w:val="50B421A0"/>
    <w:rsid w:val="50B70FED"/>
    <w:rsid w:val="50BA643F"/>
    <w:rsid w:val="50BC2897"/>
    <w:rsid w:val="50DA2205"/>
    <w:rsid w:val="50E57F59"/>
    <w:rsid w:val="50EA61D3"/>
    <w:rsid w:val="50FC41E2"/>
    <w:rsid w:val="510319B4"/>
    <w:rsid w:val="510A4E7D"/>
    <w:rsid w:val="51187091"/>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67B2D"/>
    <w:rsid w:val="519E4C2D"/>
    <w:rsid w:val="51A15787"/>
    <w:rsid w:val="51A23180"/>
    <w:rsid w:val="51A44533"/>
    <w:rsid w:val="51B12C2B"/>
    <w:rsid w:val="51B625E5"/>
    <w:rsid w:val="51BB3190"/>
    <w:rsid w:val="51C31AB3"/>
    <w:rsid w:val="51C50057"/>
    <w:rsid w:val="51CA6470"/>
    <w:rsid w:val="51CF3752"/>
    <w:rsid w:val="51D221A2"/>
    <w:rsid w:val="51D24523"/>
    <w:rsid w:val="51DC7D4F"/>
    <w:rsid w:val="51E372D3"/>
    <w:rsid w:val="51E952C3"/>
    <w:rsid w:val="51F763C2"/>
    <w:rsid w:val="52082F0E"/>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86536B"/>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342A1"/>
    <w:rsid w:val="532E4AC7"/>
    <w:rsid w:val="533E55DF"/>
    <w:rsid w:val="5360600D"/>
    <w:rsid w:val="53656705"/>
    <w:rsid w:val="53703765"/>
    <w:rsid w:val="5376095E"/>
    <w:rsid w:val="537A04E8"/>
    <w:rsid w:val="537D7719"/>
    <w:rsid w:val="53874180"/>
    <w:rsid w:val="53991F46"/>
    <w:rsid w:val="53A430C7"/>
    <w:rsid w:val="53B71A0D"/>
    <w:rsid w:val="53BA49C0"/>
    <w:rsid w:val="53BF11FF"/>
    <w:rsid w:val="53C2398F"/>
    <w:rsid w:val="53C92C10"/>
    <w:rsid w:val="53CF606A"/>
    <w:rsid w:val="53D111B0"/>
    <w:rsid w:val="53D73576"/>
    <w:rsid w:val="53E22364"/>
    <w:rsid w:val="53E35749"/>
    <w:rsid w:val="53EB4289"/>
    <w:rsid w:val="53F67F24"/>
    <w:rsid w:val="53FE5A9E"/>
    <w:rsid w:val="541C5A78"/>
    <w:rsid w:val="54257FE2"/>
    <w:rsid w:val="5428581F"/>
    <w:rsid w:val="542B47E5"/>
    <w:rsid w:val="54312A0A"/>
    <w:rsid w:val="54451C08"/>
    <w:rsid w:val="5450152B"/>
    <w:rsid w:val="545412A1"/>
    <w:rsid w:val="54591BCD"/>
    <w:rsid w:val="546936FE"/>
    <w:rsid w:val="546A602B"/>
    <w:rsid w:val="547034CA"/>
    <w:rsid w:val="547801F9"/>
    <w:rsid w:val="54790796"/>
    <w:rsid w:val="547A6989"/>
    <w:rsid w:val="54877824"/>
    <w:rsid w:val="54895910"/>
    <w:rsid w:val="54967702"/>
    <w:rsid w:val="549B60CA"/>
    <w:rsid w:val="54A746D1"/>
    <w:rsid w:val="54B14984"/>
    <w:rsid w:val="54B34E33"/>
    <w:rsid w:val="54BC09E2"/>
    <w:rsid w:val="54C257FC"/>
    <w:rsid w:val="54C51C65"/>
    <w:rsid w:val="54C766D3"/>
    <w:rsid w:val="54D55BD0"/>
    <w:rsid w:val="54E32310"/>
    <w:rsid w:val="54E35B83"/>
    <w:rsid w:val="54E5570D"/>
    <w:rsid w:val="54E656A9"/>
    <w:rsid w:val="54E85406"/>
    <w:rsid w:val="54EE0227"/>
    <w:rsid w:val="54EE4DEC"/>
    <w:rsid w:val="54F93AE7"/>
    <w:rsid w:val="54F97DEB"/>
    <w:rsid w:val="55012EF3"/>
    <w:rsid w:val="55022588"/>
    <w:rsid w:val="550D4E7F"/>
    <w:rsid w:val="551B3ADB"/>
    <w:rsid w:val="55252910"/>
    <w:rsid w:val="552677BE"/>
    <w:rsid w:val="55313992"/>
    <w:rsid w:val="553772EA"/>
    <w:rsid w:val="553A6D2E"/>
    <w:rsid w:val="5546635B"/>
    <w:rsid w:val="55507B46"/>
    <w:rsid w:val="55534568"/>
    <w:rsid w:val="555A0EDC"/>
    <w:rsid w:val="55677E49"/>
    <w:rsid w:val="55692EAC"/>
    <w:rsid w:val="55714147"/>
    <w:rsid w:val="557C295E"/>
    <w:rsid w:val="557C5B0B"/>
    <w:rsid w:val="55812735"/>
    <w:rsid w:val="55861EC8"/>
    <w:rsid w:val="5588140B"/>
    <w:rsid w:val="55891D85"/>
    <w:rsid w:val="55905DE0"/>
    <w:rsid w:val="5592013C"/>
    <w:rsid w:val="55A57957"/>
    <w:rsid w:val="55AA469C"/>
    <w:rsid w:val="55BC12E8"/>
    <w:rsid w:val="55BD3120"/>
    <w:rsid w:val="55BF56EA"/>
    <w:rsid w:val="55C103AC"/>
    <w:rsid w:val="55C423B5"/>
    <w:rsid w:val="55C6074D"/>
    <w:rsid w:val="55C86079"/>
    <w:rsid w:val="55CC5297"/>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463AE"/>
    <w:rsid w:val="56E90EF6"/>
    <w:rsid w:val="56F50794"/>
    <w:rsid w:val="56F82259"/>
    <w:rsid w:val="56FC12BF"/>
    <w:rsid w:val="570426CC"/>
    <w:rsid w:val="57103E85"/>
    <w:rsid w:val="571E4103"/>
    <w:rsid w:val="5724356E"/>
    <w:rsid w:val="573B396A"/>
    <w:rsid w:val="576019A8"/>
    <w:rsid w:val="576E1A2E"/>
    <w:rsid w:val="576F00D0"/>
    <w:rsid w:val="57780B15"/>
    <w:rsid w:val="577C7921"/>
    <w:rsid w:val="578130EB"/>
    <w:rsid w:val="5781472D"/>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DE296B"/>
    <w:rsid w:val="58E05B85"/>
    <w:rsid w:val="58F141D6"/>
    <w:rsid w:val="58F9654F"/>
    <w:rsid w:val="58F979E8"/>
    <w:rsid w:val="58FB6C25"/>
    <w:rsid w:val="58FE08ED"/>
    <w:rsid w:val="59061DAE"/>
    <w:rsid w:val="5914669F"/>
    <w:rsid w:val="591557DB"/>
    <w:rsid w:val="591A5C30"/>
    <w:rsid w:val="591C4B79"/>
    <w:rsid w:val="591F2957"/>
    <w:rsid w:val="592F1CE2"/>
    <w:rsid w:val="59371CA9"/>
    <w:rsid w:val="593C5853"/>
    <w:rsid w:val="593E005D"/>
    <w:rsid w:val="5940158A"/>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E401A"/>
    <w:rsid w:val="5AC526EE"/>
    <w:rsid w:val="5ACB4B14"/>
    <w:rsid w:val="5AD45224"/>
    <w:rsid w:val="5ADC6365"/>
    <w:rsid w:val="5B0A16D4"/>
    <w:rsid w:val="5B0B0FE2"/>
    <w:rsid w:val="5B1029A0"/>
    <w:rsid w:val="5B18258F"/>
    <w:rsid w:val="5B28216A"/>
    <w:rsid w:val="5B2B1ACA"/>
    <w:rsid w:val="5B33397C"/>
    <w:rsid w:val="5B35552C"/>
    <w:rsid w:val="5B356E68"/>
    <w:rsid w:val="5B3A4E8A"/>
    <w:rsid w:val="5B43203B"/>
    <w:rsid w:val="5B4E4DA1"/>
    <w:rsid w:val="5B5335BE"/>
    <w:rsid w:val="5B5D1278"/>
    <w:rsid w:val="5B613886"/>
    <w:rsid w:val="5B6A6045"/>
    <w:rsid w:val="5B6C39BD"/>
    <w:rsid w:val="5B7B1E82"/>
    <w:rsid w:val="5B862B77"/>
    <w:rsid w:val="5B914DA9"/>
    <w:rsid w:val="5B944D80"/>
    <w:rsid w:val="5B9509FD"/>
    <w:rsid w:val="5BAB4BEE"/>
    <w:rsid w:val="5BB210AD"/>
    <w:rsid w:val="5BB47B97"/>
    <w:rsid w:val="5BB81EEF"/>
    <w:rsid w:val="5BC23198"/>
    <w:rsid w:val="5BC52C1C"/>
    <w:rsid w:val="5BCE2157"/>
    <w:rsid w:val="5BD2376F"/>
    <w:rsid w:val="5BEA06FD"/>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067B"/>
    <w:rsid w:val="5C6B674F"/>
    <w:rsid w:val="5C6F57DC"/>
    <w:rsid w:val="5C7E0DF8"/>
    <w:rsid w:val="5C7E39D8"/>
    <w:rsid w:val="5C8A31FF"/>
    <w:rsid w:val="5C9F55AA"/>
    <w:rsid w:val="5CA474D4"/>
    <w:rsid w:val="5CA700DF"/>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76E4E"/>
    <w:rsid w:val="5CE97CE3"/>
    <w:rsid w:val="5CF06B97"/>
    <w:rsid w:val="5CF23D5B"/>
    <w:rsid w:val="5CF73006"/>
    <w:rsid w:val="5CF85D55"/>
    <w:rsid w:val="5CFF2C7D"/>
    <w:rsid w:val="5CFF66F4"/>
    <w:rsid w:val="5D042519"/>
    <w:rsid w:val="5D0C0E3D"/>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45AF7"/>
    <w:rsid w:val="5D697151"/>
    <w:rsid w:val="5D7070A0"/>
    <w:rsid w:val="5D7B2BAE"/>
    <w:rsid w:val="5D893541"/>
    <w:rsid w:val="5D8C28B4"/>
    <w:rsid w:val="5D9832F3"/>
    <w:rsid w:val="5D9934EC"/>
    <w:rsid w:val="5D9C1E54"/>
    <w:rsid w:val="5DAB1E9E"/>
    <w:rsid w:val="5DB53FF3"/>
    <w:rsid w:val="5DBC3F54"/>
    <w:rsid w:val="5DC328CA"/>
    <w:rsid w:val="5DCA57DD"/>
    <w:rsid w:val="5DD74A14"/>
    <w:rsid w:val="5DDB163B"/>
    <w:rsid w:val="5DDC2477"/>
    <w:rsid w:val="5DF11D42"/>
    <w:rsid w:val="5DFA2E17"/>
    <w:rsid w:val="5DFB0C01"/>
    <w:rsid w:val="5E006537"/>
    <w:rsid w:val="5E1D2155"/>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B956EE"/>
    <w:rsid w:val="5EC57A3D"/>
    <w:rsid w:val="5ECB275F"/>
    <w:rsid w:val="5ECE2836"/>
    <w:rsid w:val="5EDB5813"/>
    <w:rsid w:val="5EE2308E"/>
    <w:rsid w:val="5EEC409E"/>
    <w:rsid w:val="5EF2448C"/>
    <w:rsid w:val="5EF442F3"/>
    <w:rsid w:val="5F051F15"/>
    <w:rsid w:val="5F222082"/>
    <w:rsid w:val="5F37319D"/>
    <w:rsid w:val="5F3A21FA"/>
    <w:rsid w:val="5F490636"/>
    <w:rsid w:val="5F4A6244"/>
    <w:rsid w:val="5F6219E5"/>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A13C6"/>
    <w:rsid w:val="600F241C"/>
    <w:rsid w:val="60112156"/>
    <w:rsid w:val="60195F65"/>
    <w:rsid w:val="60200E33"/>
    <w:rsid w:val="6023016C"/>
    <w:rsid w:val="602924AC"/>
    <w:rsid w:val="602B5AAA"/>
    <w:rsid w:val="60334B2A"/>
    <w:rsid w:val="603E7B8A"/>
    <w:rsid w:val="60420933"/>
    <w:rsid w:val="6044487A"/>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10C0F"/>
    <w:rsid w:val="60D3569F"/>
    <w:rsid w:val="60D4537B"/>
    <w:rsid w:val="60D74889"/>
    <w:rsid w:val="60E02B8F"/>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21695"/>
    <w:rsid w:val="6124184C"/>
    <w:rsid w:val="61254671"/>
    <w:rsid w:val="612E3337"/>
    <w:rsid w:val="614050A9"/>
    <w:rsid w:val="61465E1A"/>
    <w:rsid w:val="614B5BCE"/>
    <w:rsid w:val="614D1495"/>
    <w:rsid w:val="614D2B5A"/>
    <w:rsid w:val="6155426A"/>
    <w:rsid w:val="615755AF"/>
    <w:rsid w:val="615D6475"/>
    <w:rsid w:val="61620240"/>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74FBE"/>
    <w:rsid w:val="61FA5B62"/>
    <w:rsid w:val="6203062B"/>
    <w:rsid w:val="62070260"/>
    <w:rsid w:val="62095858"/>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58287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A70E39"/>
    <w:rsid w:val="63B253E1"/>
    <w:rsid w:val="63B26566"/>
    <w:rsid w:val="63B4415B"/>
    <w:rsid w:val="63B601D2"/>
    <w:rsid w:val="63CA2753"/>
    <w:rsid w:val="63D86821"/>
    <w:rsid w:val="63D8720B"/>
    <w:rsid w:val="63D936D2"/>
    <w:rsid w:val="63DF3F98"/>
    <w:rsid w:val="63E02D15"/>
    <w:rsid w:val="63E0457C"/>
    <w:rsid w:val="63E25AFD"/>
    <w:rsid w:val="63F00C31"/>
    <w:rsid w:val="63F03B38"/>
    <w:rsid w:val="63F731A5"/>
    <w:rsid w:val="63F851F7"/>
    <w:rsid w:val="63FC766C"/>
    <w:rsid w:val="63FE2454"/>
    <w:rsid w:val="64022F76"/>
    <w:rsid w:val="64084173"/>
    <w:rsid w:val="641269AD"/>
    <w:rsid w:val="641C56F8"/>
    <w:rsid w:val="64231408"/>
    <w:rsid w:val="643A7824"/>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6530B"/>
    <w:rsid w:val="64D9451E"/>
    <w:rsid w:val="64DB77D5"/>
    <w:rsid w:val="64F31974"/>
    <w:rsid w:val="64FA5C63"/>
    <w:rsid w:val="65127100"/>
    <w:rsid w:val="65243181"/>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9E62DE"/>
    <w:rsid w:val="66A54376"/>
    <w:rsid w:val="66A808DA"/>
    <w:rsid w:val="66AD05F5"/>
    <w:rsid w:val="66AD1818"/>
    <w:rsid w:val="66AD4A88"/>
    <w:rsid w:val="66B4636B"/>
    <w:rsid w:val="66C2655F"/>
    <w:rsid w:val="66D01D1D"/>
    <w:rsid w:val="66D20F68"/>
    <w:rsid w:val="66D6103F"/>
    <w:rsid w:val="66DB5E51"/>
    <w:rsid w:val="66DC2051"/>
    <w:rsid w:val="66E77E06"/>
    <w:rsid w:val="66F861FA"/>
    <w:rsid w:val="670027A0"/>
    <w:rsid w:val="67037752"/>
    <w:rsid w:val="67050D51"/>
    <w:rsid w:val="67050D97"/>
    <w:rsid w:val="67091904"/>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996E0A"/>
    <w:rsid w:val="67A850E1"/>
    <w:rsid w:val="67AB3E74"/>
    <w:rsid w:val="67B0438B"/>
    <w:rsid w:val="67B33BE3"/>
    <w:rsid w:val="67B71656"/>
    <w:rsid w:val="67B723B3"/>
    <w:rsid w:val="67B743E8"/>
    <w:rsid w:val="67BD43E0"/>
    <w:rsid w:val="67BD4993"/>
    <w:rsid w:val="67C0411D"/>
    <w:rsid w:val="67C95416"/>
    <w:rsid w:val="67D74048"/>
    <w:rsid w:val="67E041E2"/>
    <w:rsid w:val="67E51F56"/>
    <w:rsid w:val="67F27764"/>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34F17"/>
    <w:rsid w:val="68A550D0"/>
    <w:rsid w:val="68A57A2E"/>
    <w:rsid w:val="68A7533D"/>
    <w:rsid w:val="68BD6779"/>
    <w:rsid w:val="68C02111"/>
    <w:rsid w:val="68C03210"/>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826A24"/>
    <w:rsid w:val="699B6DC8"/>
    <w:rsid w:val="69A44CF5"/>
    <w:rsid w:val="69A97058"/>
    <w:rsid w:val="69AB6F60"/>
    <w:rsid w:val="69C8002E"/>
    <w:rsid w:val="69CF04C1"/>
    <w:rsid w:val="69D32FE1"/>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A235D3"/>
    <w:rsid w:val="6AA31D3D"/>
    <w:rsid w:val="6AB02B50"/>
    <w:rsid w:val="6AB14532"/>
    <w:rsid w:val="6ABB2ED0"/>
    <w:rsid w:val="6AC335C4"/>
    <w:rsid w:val="6ACC0F11"/>
    <w:rsid w:val="6ADB4318"/>
    <w:rsid w:val="6ADD7DFD"/>
    <w:rsid w:val="6AE2135D"/>
    <w:rsid w:val="6AE77D3D"/>
    <w:rsid w:val="6AE93C28"/>
    <w:rsid w:val="6AF05F1A"/>
    <w:rsid w:val="6B036D80"/>
    <w:rsid w:val="6B0451AB"/>
    <w:rsid w:val="6B160110"/>
    <w:rsid w:val="6B21434C"/>
    <w:rsid w:val="6B237C36"/>
    <w:rsid w:val="6B2718FD"/>
    <w:rsid w:val="6B2A147B"/>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B248CC"/>
    <w:rsid w:val="6BBC0DCF"/>
    <w:rsid w:val="6BCA6179"/>
    <w:rsid w:val="6BD0777F"/>
    <w:rsid w:val="6BD619EE"/>
    <w:rsid w:val="6BEA64E2"/>
    <w:rsid w:val="6BFA7E30"/>
    <w:rsid w:val="6BFB030F"/>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2391B"/>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330DB7"/>
    <w:rsid w:val="6D437763"/>
    <w:rsid w:val="6D4B2385"/>
    <w:rsid w:val="6D4C07B8"/>
    <w:rsid w:val="6D671B76"/>
    <w:rsid w:val="6D6D28AF"/>
    <w:rsid w:val="6D771293"/>
    <w:rsid w:val="6D7D0954"/>
    <w:rsid w:val="6D8153B2"/>
    <w:rsid w:val="6D876AB7"/>
    <w:rsid w:val="6D8F154F"/>
    <w:rsid w:val="6D9757D1"/>
    <w:rsid w:val="6D9C3974"/>
    <w:rsid w:val="6DA062EA"/>
    <w:rsid w:val="6DA65DBF"/>
    <w:rsid w:val="6DA76631"/>
    <w:rsid w:val="6DAF65CC"/>
    <w:rsid w:val="6DB157A2"/>
    <w:rsid w:val="6DB25F3D"/>
    <w:rsid w:val="6DBA586C"/>
    <w:rsid w:val="6DBE0B3F"/>
    <w:rsid w:val="6DBF7294"/>
    <w:rsid w:val="6DC53FBD"/>
    <w:rsid w:val="6DC93FE2"/>
    <w:rsid w:val="6DCA77EA"/>
    <w:rsid w:val="6DD35114"/>
    <w:rsid w:val="6DDE35E8"/>
    <w:rsid w:val="6DE65A7A"/>
    <w:rsid w:val="6DE92FA2"/>
    <w:rsid w:val="6DEE0E7D"/>
    <w:rsid w:val="6DEF6BC8"/>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06B87"/>
    <w:rsid w:val="6E766C71"/>
    <w:rsid w:val="6E7926F7"/>
    <w:rsid w:val="6E7B110F"/>
    <w:rsid w:val="6E8A2A35"/>
    <w:rsid w:val="6EA04FAE"/>
    <w:rsid w:val="6EAA59A3"/>
    <w:rsid w:val="6EAA79ED"/>
    <w:rsid w:val="6EC161BE"/>
    <w:rsid w:val="6ECD08F1"/>
    <w:rsid w:val="6EDF2531"/>
    <w:rsid w:val="6EE1335D"/>
    <w:rsid w:val="6EEF6508"/>
    <w:rsid w:val="6EF02682"/>
    <w:rsid w:val="6EFF1809"/>
    <w:rsid w:val="6F19615F"/>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06FD3"/>
    <w:rsid w:val="6F8C33B0"/>
    <w:rsid w:val="6F8D5B36"/>
    <w:rsid w:val="6F953750"/>
    <w:rsid w:val="6FA10B29"/>
    <w:rsid w:val="6FAA2D8A"/>
    <w:rsid w:val="6FC02217"/>
    <w:rsid w:val="6FC34E9D"/>
    <w:rsid w:val="6FC60A07"/>
    <w:rsid w:val="6FC90F86"/>
    <w:rsid w:val="6FCD3BC3"/>
    <w:rsid w:val="6FCE2BBA"/>
    <w:rsid w:val="6FDF40F5"/>
    <w:rsid w:val="6FE0165C"/>
    <w:rsid w:val="6FE05F95"/>
    <w:rsid w:val="6FF06B6B"/>
    <w:rsid w:val="6FF97C31"/>
    <w:rsid w:val="6FFC64FF"/>
    <w:rsid w:val="7001428F"/>
    <w:rsid w:val="700E7127"/>
    <w:rsid w:val="70133236"/>
    <w:rsid w:val="70156307"/>
    <w:rsid w:val="7016485B"/>
    <w:rsid w:val="701C590F"/>
    <w:rsid w:val="702033F7"/>
    <w:rsid w:val="702D10A9"/>
    <w:rsid w:val="70315D3B"/>
    <w:rsid w:val="70356E28"/>
    <w:rsid w:val="703D58C4"/>
    <w:rsid w:val="70453D87"/>
    <w:rsid w:val="704E5E48"/>
    <w:rsid w:val="7053674B"/>
    <w:rsid w:val="7055360F"/>
    <w:rsid w:val="70642BE6"/>
    <w:rsid w:val="706F497B"/>
    <w:rsid w:val="70724AB3"/>
    <w:rsid w:val="70916EF8"/>
    <w:rsid w:val="709261ED"/>
    <w:rsid w:val="70A02568"/>
    <w:rsid w:val="70AD230C"/>
    <w:rsid w:val="70B91785"/>
    <w:rsid w:val="70C41020"/>
    <w:rsid w:val="70CC1017"/>
    <w:rsid w:val="70CF255C"/>
    <w:rsid w:val="70DC2C89"/>
    <w:rsid w:val="70DD041E"/>
    <w:rsid w:val="70DD743F"/>
    <w:rsid w:val="70E3150B"/>
    <w:rsid w:val="70E67B77"/>
    <w:rsid w:val="70F323B0"/>
    <w:rsid w:val="70FD7C9B"/>
    <w:rsid w:val="710221FA"/>
    <w:rsid w:val="71094431"/>
    <w:rsid w:val="710D3478"/>
    <w:rsid w:val="710F7585"/>
    <w:rsid w:val="711805A6"/>
    <w:rsid w:val="711A79AD"/>
    <w:rsid w:val="71217446"/>
    <w:rsid w:val="71224F32"/>
    <w:rsid w:val="7123463F"/>
    <w:rsid w:val="713B1ED6"/>
    <w:rsid w:val="714113C5"/>
    <w:rsid w:val="714463AC"/>
    <w:rsid w:val="7144693A"/>
    <w:rsid w:val="71525708"/>
    <w:rsid w:val="71542A3C"/>
    <w:rsid w:val="71584711"/>
    <w:rsid w:val="71595F23"/>
    <w:rsid w:val="716438F6"/>
    <w:rsid w:val="716A4C59"/>
    <w:rsid w:val="716D3AF0"/>
    <w:rsid w:val="716F5983"/>
    <w:rsid w:val="717106F9"/>
    <w:rsid w:val="717D0F0A"/>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FE1C79"/>
    <w:rsid w:val="72FE3E8E"/>
    <w:rsid w:val="731B711B"/>
    <w:rsid w:val="731C3ED2"/>
    <w:rsid w:val="731E5631"/>
    <w:rsid w:val="732009B8"/>
    <w:rsid w:val="732B0C72"/>
    <w:rsid w:val="733271A4"/>
    <w:rsid w:val="73330C63"/>
    <w:rsid w:val="733863E3"/>
    <w:rsid w:val="733A3332"/>
    <w:rsid w:val="733C1D9D"/>
    <w:rsid w:val="733E46B2"/>
    <w:rsid w:val="733E59D9"/>
    <w:rsid w:val="73597F33"/>
    <w:rsid w:val="7375490C"/>
    <w:rsid w:val="73757E63"/>
    <w:rsid w:val="737D2F4F"/>
    <w:rsid w:val="738B029F"/>
    <w:rsid w:val="73900D21"/>
    <w:rsid w:val="739815E8"/>
    <w:rsid w:val="739A7114"/>
    <w:rsid w:val="739F2349"/>
    <w:rsid w:val="739F6287"/>
    <w:rsid w:val="73A242CD"/>
    <w:rsid w:val="73A935F2"/>
    <w:rsid w:val="73AB6516"/>
    <w:rsid w:val="73AC333B"/>
    <w:rsid w:val="73B11DBC"/>
    <w:rsid w:val="73B1795C"/>
    <w:rsid w:val="73B51018"/>
    <w:rsid w:val="73C340B3"/>
    <w:rsid w:val="73C46797"/>
    <w:rsid w:val="73C72DB3"/>
    <w:rsid w:val="73C73E59"/>
    <w:rsid w:val="73C854F0"/>
    <w:rsid w:val="73CE0B05"/>
    <w:rsid w:val="73D007EE"/>
    <w:rsid w:val="73D27A00"/>
    <w:rsid w:val="73D31801"/>
    <w:rsid w:val="73D9581C"/>
    <w:rsid w:val="73DA2FBB"/>
    <w:rsid w:val="73DC2CAB"/>
    <w:rsid w:val="73DC5744"/>
    <w:rsid w:val="73E36876"/>
    <w:rsid w:val="73E72CB9"/>
    <w:rsid w:val="74014C0C"/>
    <w:rsid w:val="741B5358"/>
    <w:rsid w:val="74202F12"/>
    <w:rsid w:val="742C093F"/>
    <w:rsid w:val="742F68DF"/>
    <w:rsid w:val="7435797F"/>
    <w:rsid w:val="7442738A"/>
    <w:rsid w:val="744A0545"/>
    <w:rsid w:val="744F7C70"/>
    <w:rsid w:val="74521009"/>
    <w:rsid w:val="74632A31"/>
    <w:rsid w:val="7465205B"/>
    <w:rsid w:val="746954DB"/>
    <w:rsid w:val="74743C33"/>
    <w:rsid w:val="747640DF"/>
    <w:rsid w:val="747E6036"/>
    <w:rsid w:val="7482175B"/>
    <w:rsid w:val="74843F0D"/>
    <w:rsid w:val="74A67409"/>
    <w:rsid w:val="74B37F42"/>
    <w:rsid w:val="74B94875"/>
    <w:rsid w:val="74BA4FF9"/>
    <w:rsid w:val="74BA679D"/>
    <w:rsid w:val="74C311F6"/>
    <w:rsid w:val="74C53F19"/>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C2143"/>
    <w:rsid w:val="75295853"/>
    <w:rsid w:val="752D2921"/>
    <w:rsid w:val="752F1869"/>
    <w:rsid w:val="752F2DAC"/>
    <w:rsid w:val="75631790"/>
    <w:rsid w:val="7566472C"/>
    <w:rsid w:val="756B1E1E"/>
    <w:rsid w:val="7578413D"/>
    <w:rsid w:val="757B64ED"/>
    <w:rsid w:val="757C232A"/>
    <w:rsid w:val="75851DCA"/>
    <w:rsid w:val="758F3A2A"/>
    <w:rsid w:val="7599617F"/>
    <w:rsid w:val="759D7802"/>
    <w:rsid w:val="75A011FF"/>
    <w:rsid w:val="75A70E4F"/>
    <w:rsid w:val="75AA3F51"/>
    <w:rsid w:val="75B11420"/>
    <w:rsid w:val="75B263D3"/>
    <w:rsid w:val="75DC2372"/>
    <w:rsid w:val="75E16CC1"/>
    <w:rsid w:val="75F22E0F"/>
    <w:rsid w:val="7600000E"/>
    <w:rsid w:val="760021B6"/>
    <w:rsid w:val="760950F4"/>
    <w:rsid w:val="76122AB3"/>
    <w:rsid w:val="76154B74"/>
    <w:rsid w:val="761C414A"/>
    <w:rsid w:val="761D237D"/>
    <w:rsid w:val="76380CDC"/>
    <w:rsid w:val="76383420"/>
    <w:rsid w:val="76411431"/>
    <w:rsid w:val="7649562B"/>
    <w:rsid w:val="764C734A"/>
    <w:rsid w:val="764F7C59"/>
    <w:rsid w:val="76536622"/>
    <w:rsid w:val="765566B4"/>
    <w:rsid w:val="76605088"/>
    <w:rsid w:val="766477E2"/>
    <w:rsid w:val="7668119A"/>
    <w:rsid w:val="766966D4"/>
    <w:rsid w:val="766E17F9"/>
    <w:rsid w:val="76894FB9"/>
    <w:rsid w:val="768C1EBA"/>
    <w:rsid w:val="768E260E"/>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23073F"/>
    <w:rsid w:val="772527B2"/>
    <w:rsid w:val="772A6A8E"/>
    <w:rsid w:val="77327BED"/>
    <w:rsid w:val="773B25F8"/>
    <w:rsid w:val="773B48CE"/>
    <w:rsid w:val="773D0C62"/>
    <w:rsid w:val="773D6230"/>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D17A81"/>
    <w:rsid w:val="77E40C30"/>
    <w:rsid w:val="77FC1B84"/>
    <w:rsid w:val="780752E6"/>
    <w:rsid w:val="780B6CC7"/>
    <w:rsid w:val="78153F77"/>
    <w:rsid w:val="78185315"/>
    <w:rsid w:val="781C67FA"/>
    <w:rsid w:val="782378AE"/>
    <w:rsid w:val="78296DAC"/>
    <w:rsid w:val="783267CC"/>
    <w:rsid w:val="78353805"/>
    <w:rsid w:val="783E418B"/>
    <w:rsid w:val="783F1754"/>
    <w:rsid w:val="784E3C01"/>
    <w:rsid w:val="78570849"/>
    <w:rsid w:val="78575D9F"/>
    <w:rsid w:val="78600977"/>
    <w:rsid w:val="78617AF2"/>
    <w:rsid w:val="78626899"/>
    <w:rsid w:val="786421F2"/>
    <w:rsid w:val="786616B3"/>
    <w:rsid w:val="786E5D08"/>
    <w:rsid w:val="78812F7C"/>
    <w:rsid w:val="78975C7D"/>
    <w:rsid w:val="78A51B95"/>
    <w:rsid w:val="78AA6975"/>
    <w:rsid w:val="78C15B1C"/>
    <w:rsid w:val="78C359B3"/>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537099"/>
    <w:rsid w:val="79552D08"/>
    <w:rsid w:val="795E7ED2"/>
    <w:rsid w:val="79672E22"/>
    <w:rsid w:val="79677010"/>
    <w:rsid w:val="796E6578"/>
    <w:rsid w:val="797121AE"/>
    <w:rsid w:val="797E1825"/>
    <w:rsid w:val="79A7288D"/>
    <w:rsid w:val="79AA3C4E"/>
    <w:rsid w:val="79AE312A"/>
    <w:rsid w:val="79B07A23"/>
    <w:rsid w:val="79B3208C"/>
    <w:rsid w:val="79B70130"/>
    <w:rsid w:val="79BD5598"/>
    <w:rsid w:val="79C8453B"/>
    <w:rsid w:val="79CB0706"/>
    <w:rsid w:val="79CB0751"/>
    <w:rsid w:val="79CE66ED"/>
    <w:rsid w:val="79CF6E25"/>
    <w:rsid w:val="79D42664"/>
    <w:rsid w:val="79D51250"/>
    <w:rsid w:val="79DB4236"/>
    <w:rsid w:val="79E66C93"/>
    <w:rsid w:val="79F16E80"/>
    <w:rsid w:val="79F842C2"/>
    <w:rsid w:val="79FA0A29"/>
    <w:rsid w:val="79FC6E04"/>
    <w:rsid w:val="79FE2A4E"/>
    <w:rsid w:val="7A064DE1"/>
    <w:rsid w:val="7A081D42"/>
    <w:rsid w:val="7A0A6E0F"/>
    <w:rsid w:val="7A0A7223"/>
    <w:rsid w:val="7A0C4EA7"/>
    <w:rsid w:val="7A12552F"/>
    <w:rsid w:val="7A1524DD"/>
    <w:rsid w:val="7A1A1772"/>
    <w:rsid w:val="7A1E1DC3"/>
    <w:rsid w:val="7A2751AD"/>
    <w:rsid w:val="7A276994"/>
    <w:rsid w:val="7A3B034D"/>
    <w:rsid w:val="7A3F158B"/>
    <w:rsid w:val="7A4A132A"/>
    <w:rsid w:val="7A535840"/>
    <w:rsid w:val="7A6736BC"/>
    <w:rsid w:val="7A6A7B3B"/>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577C1"/>
    <w:rsid w:val="7BF9001B"/>
    <w:rsid w:val="7BFE0389"/>
    <w:rsid w:val="7BFE08FA"/>
    <w:rsid w:val="7C091716"/>
    <w:rsid w:val="7C126AEB"/>
    <w:rsid w:val="7C1F2070"/>
    <w:rsid w:val="7C1F3110"/>
    <w:rsid w:val="7C260105"/>
    <w:rsid w:val="7C2900A2"/>
    <w:rsid w:val="7C295D17"/>
    <w:rsid w:val="7C2A10CD"/>
    <w:rsid w:val="7C2D2AE7"/>
    <w:rsid w:val="7C4A5A50"/>
    <w:rsid w:val="7C4B681D"/>
    <w:rsid w:val="7C4C575E"/>
    <w:rsid w:val="7C632511"/>
    <w:rsid w:val="7C640974"/>
    <w:rsid w:val="7C643EF7"/>
    <w:rsid w:val="7C690B20"/>
    <w:rsid w:val="7C724EAE"/>
    <w:rsid w:val="7C780AD5"/>
    <w:rsid w:val="7C7A14F2"/>
    <w:rsid w:val="7C7E2FFC"/>
    <w:rsid w:val="7C867154"/>
    <w:rsid w:val="7C9427B3"/>
    <w:rsid w:val="7C9E5A77"/>
    <w:rsid w:val="7CA2570E"/>
    <w:rsid w:val="7CB74F4A"/>
    <w:rsid w:val="7CB80138"/>
    <w:rsid w:val="7CB838AF"/>
    <w:rsid w:val="7CBE6F50"/>
    <w:rsid w:val="7CC639C6"/>
    <w:rsid w:val="7CC96839"/>
    <w:rsid w:val="7CCC3CFE"/>
    <w:rsid w:val="7CCD12D3"/>
    <w:rsid w:val="7CD40480"/>
    <w:rsid w:val="7CD505D1"/>
    <w:rsid w:val="7CD6692A"/>
    <w:rsid w:val="7CE215AC"/>
    <w:rsid w:val="7CE25B4A"/>
    <w:rsid w:val="7CE3422B"/>
    <w:rsid w:val="7CE5443B"/>
    <w:rsid w:val="7CE76B7F"/>
    <w:rsid w:val="7CED09D9"/>
    <w:rsid w:val="7CF87323"/>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12C40"/>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E15A0"/>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749F2"/>
    <w:rsid w:val="7E1C2B95"/>
    <w:rsid w:val="7E1E3CF4"/>
    <w:rsid w:val="7E212526"/>
    <w:rsid w:val="7E262B03"/>
    <w:rsid w:val="7E2E765A"/>
    <w:rsid w:val="7E324C10"/>
    <w:rsid w:val="7E3B7336"/>
    <w:rsid w:val="7E3D35D7"/>
    <w:rsid w:val="7E466A84"/>
    <w:rsid w:val="7E472FFE"/>
    <w:rsid w:val="7E4A6379"/>
    <w:rsid w:val="7E4C628B"/>
    <w:rsid w:val="7E5248E3"/>
    <w:rsid w:val="7E66305F"/>
    <w:rsid w:val="7E6854DB"/>
    <w:rsid w:val="7E6C43B3"/>
    <w:rsid w:val="7E77762F"/>
    <w:rsid w:val="7E793E63"/>
    <w:rsid w:val="7E7B1715"/>
    <w:rsid w:val="7E8031F2"/>
    <w:rsid w:val="7E860496"/>
    <w:rsid w:val="7E956D81"/>
    <w:rsid w:val="7E9611E7"/>
    <w:rsid w:val="7E9963F8"/>
    <w:rsid w:val="7E9D0633"/>
    <w:rsid w:val="7EA82B9C"/>
    <w:rsid w:val="7EB13A3E"/>
    <w:rsid w:val="7EB16AB6"/>
    <w:rsid w:val="7EBD651F"/>
    <w:rsid w:val="7EC07C28"/>
    <w:rsid w:val="7ECB3BBC"/>
    <w:rsid w:val="7ED83896"/>
    <w:rsid w:val="7EDC2729"/>
    <w:rsid w:val="7EDD5F44"/>
    <w:rsid w:val="7EE15DD1"/>
    <w:rsid w:val="7EEB46E8"/>
    <w:rsid w:val="7EEE3759"/>
    <w:rsid w:val="7EF04016"/>
    <w:rsid w:val="7EF94F98"/>
    <w:rsid w:val="7EFB200E"/>
    <w:rsid w:val="7EFF0830"/>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49</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2024-06-07T01:08:00Z</cp:lastPrinted>
  <dcterms:modified xsi:type="dcterms:W3CDTF">2024-06-07T07:00:10Z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