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240" w:lineRule="auto"/>
        <w:jc w:val="center"/>
        <w:textAlignment w:val="auto"/>
        <w:outlineLvl w:val="0"/>
        <w:rPr>
          <w:rFonts w:hint="default" w:ascii="Times New Roman" w:hAnsi="Times New Roman" w:eastAsia="宋体" w:cs="Times New Roman"/>
          <w:b/>
          <w:color w:val="FF0000"/>
          <w:spacing w:val="-119"/>
          <w:kern w:val="36"/>
          <w:sz w:val="144"/>
          <w:szCs w:val="144"/>
        </w:rPr>
      </w:pPr>
      <w:r>
        <w:rPr>
          <w:rFonts w:hint="default" w:ascii="Times New Roman" w:hAnsi="Times New Roman" w:eastAsia="经典行楷简" w:cs="Times New Roman"/>
          <w:b/>
          <w:color w:val="1F497D"/>
          <w:spacing w:val="-119"/>
          <w:kern w:val="36"/>
          <w:sz w:val="144"/>
          <w:szCs w:val="144"/>
          <w14:textFill>
            <w14:solidFill>
              <w14:srgbClr w14:val="1F497D">
                <w14:lumMod w14:val="60000"/>
                <w14:lumOff w14:val="40000"/>
              </w14:srgbClr>
            </w14:solidFill>
          </w14:textFill>
        </w:rPr>
        <w:t>江苏贸促周讯</w:t>
      </w:r>
    </w:p>
    <w:p>
      <w:pPr>
        <w:keepNext w:val="0"/>
        <w:keepLines w:val="0"/>
        <w:pageBreakBefore w:val="0"/>
        <w:widowControl/>
        <w:kinsoku/>
        <w:wordWrap/>
        <w:overflowPunct/>
        <w:topLinePunct w:val="0"/>
        <w:autoSpaceDE/>
        <w:autoSpaceDN/>
        <w:bidi w:val="0"/>
        <w:adjustRightInd/>
        <w:snapToGrid/>
        <w:spacing w:line="460" w:lineRule="exact"/>
        <w:jc w:val="center"/>
        <w:textAlignment w:val="auto"/>
        <w:outlineLvl w:val="0"/>
        <w:rPr>
          <w:rFonts w:hint="default" w:ascii="Times New Roman" w:hAnsi="Times New Roman" w:eastAsia="经典行楷简" w:cs="Times New Roman"/>
          <w:b w:val="0"/>
          <w:bCs/>
          <w:color w:val="2E75B6" w:themeColor="accent1" w:themeShade="BF"/>
          <w:kern w:val="36"/>
          <w:sz w:val="44"/>
          <w:szCs w:val="44"/>
        </w:rPr>
      </w:pPr>
      <w:r>
        <w:rPr>
          <w:rFonts w:hint="default" w:ascii="Times New Roman" w:hAnsi="Times New Roman" w:eastAsia="经典行楷简" w:cs="Times New Roman"/>
          <w:b w:val="0"/>
          <w:bCs/>
          <w:color w:val="2E75B6" w:themeColor="accent1" w:themeShade="BF"/>
          <w:kern w:val="36"/>
          <w:sz w:val="44"/>
          <w:szCs w:val="44"/>
        </w:rPr>
        <w:t>202</w:t>
      </w:r>
      <w:r>
        <w:rPr>
          <w:rFonts w:hint="default" w:ascii="Times New Roman" w:hAnsi="Times New Roman" w:eastAsia="经典行楷简" w:cs="Times New Roman"/>
          <w:b w:val="0"/>
          <w:bCs/>
          <w:color w:val="2E75B6" w:themeColor="accent1" w:themeShade="BF"/>
          <w:kern w:val="36"/>
          <w:sz w:val="44"/>
          <w:szCs w:val="44"/>
          <w:lang w:val="en-US" w:eastAsia="zh-CN"/>
        </w:rPr>
        <w:t>4</w:t>
      </w:r>
      <w:r>
        <w:rPr>
          <w:rFonts w:hint="default" w:ascii="Times New Roman" w:hAnsi="Times New Roman" w:eastAsia="经典行楷简" w:cs="Times New Roman"/>
          <w:b w:val="0"/>
          <w:bCs/>
          <w:color w:val="2E75B6" w:themeColor="accent1" w:themeShade="BF"/>
          <w:kern w:val="36"/>
          <w:sz w:val="44"/>
          <w:szCs w:val="44"/>
        </w:rPr>
        <w:t>年第</w:t>
      </w:r>
      <w:r>
        <w:rPr>
          <w:rFonts w:hint="eastAsia" w:ascii="Times New Roman" w:hAnsi="Times New Roman" w:eastAsia="经典行楷简" w:cs="Times New Roman"/>
          <w:b w:val="0"/>
          <w:bCs/>
          <w:color w:val="2E75B6" w:themeColor="accent1" w:themeShade="BF"/>
          <w:kern w:val="36"/>
          <w:sz w:val="44"/>
          <w:szCs w:val="44"/>
          <w:lang w:val="en-US" w:eastAsia="zh-CN"/>
        </w:rPr>
        <w:t>10</w:t>
      </w:r>
      <w:r>
        <w:rPr>
          <w:rFonts w:hint="default" w:ascii="Times New Roman" w:hAnsi="Times New Roman" w:eastAsia="经典行楷简" w:cs="Times New Roman"/>
          <w:b w:val="0"/>
          <w:bCs/>
          <w:color w:val="2E75B6" w:themeColor="accent1" w:themeShade="BF"/>
          <w:kern w:val="36"/>
          <w:sz w:val="44"/>
          <w:szCs w:val="44"/>
        </w:rPr>
        <w:t>期</w:t>
      </w:r>
    </w:p>
    <w:p>
      <w:pPr>
        <w:keepNext w:val="0"/>
        <w:keepLines w:val="0"/>
        <w:pageBreakBefore w:val="0"/>
        <w:widowControl/>
        <w:kinsoku/>
        <w:wordWrap/>
        <w:overflowPunct/>
        <w:topLinePunct w:val="0"/>
        <w:autoSpaceDE/>
        <w:autoSpaceDN/>
        <w:bidi w:val="0"/>
        <w:adjustRightInd/>
        <w:snapToGrid/>
        <w:spacing w:line="460" w:lineRule="exact"/>
        <w:jc w:val="center"/>
        <w:textAlignment w:val="auto"/>
        <w:outlineLvl w:val="0"/>
        <w:rPr>
          <w:rFonts w:hint="default" w:ascii="Times New Roman" w:hAnsi="Times New Roman" w:eastAsia="经典行楷简" w:cs="Times New Roman"/>
          <w:b w:val="0"/>
          <w:bCs/>
          <w:color w:val="2E75B5" w:themeColor="accent1" w:themeShade="BF"/>
          <w:kern w:val="36"/>
          <w:sz w:val="44"/>
          <w:szCs w:val="44"/>
          <w:lang w:eastAsia="zh-CN"/>
          <w14:textFill>
            <w14:gradFill>
              <w14:gsLst>
                <w14:gs w14:pos="0">
                  <w14:srgbClr w14:val="FE4444"/>
                </w14:gs>
                <w14:gs w14:pos="100000">
                  <w14:srgbClr w14:val="832B2B"/>
                </w14:gs>
              </w14:gsLst>
              <w14:lin w14:scaled="0"/>
            </w14:gradFill>
          </w14:textFill>
        </w:rPr>
      </w:pPr>
      <w:r>
        <w:rPr>
          <w:rFonts w:hint="default" w:ascii="Times New Roman" w:hAnsi="Times New Roman" w:eastAsia="经典行楷简" w:cs="Times New Roman"/>
          <w:b w:val="0"/>
          <w:bCs/>
          <w:color w:val="2E75B5" w:themeColor="accent1" w:themeShade="BF"/>
          <w:kern w:val="36"/>
          <w:sz w:val="44"/>
          <w:szCs w:val="44"/>
          <w:lang w:eastAsia="zh-CN"/>
          <w14:textFill>
            <w14:gradFill>
              <w14:gsLst>
                <w14:gs w14:pos="0">
                  <w14:srgbClr w14:val="FE4444"/>
                </w14:gs>
                <w14:gs w14:pos="100000">
                  <w14:srgbClr w14:val="832B2B"/>
                </w14:gs>
              </w14:gsLst>
              <w14:lin w14:scaled="0"/>
            </w14:gradFill>
          </w14:textFill>
        </w:rPr>
        <w:t>（</w:t>
      </w:r>
      <w:r>
        <w:rPr>
          <w:rFonts w:hint="default" w:ascii="Times New Roman" w:hAnsi="Times New Roman" w:eastAsia="经典行楷简" w:cs="Times New Roman"/>
          <w:b w:val="0"/>
          <w:bCs/>
          <w:color w:val="2E75B5" w:themeColor="accent1" w:themeShade="BF"/>
          <w:kern w:val="36"/>
          <w:sz w:val="44"/>
          <w:szCs w:val="44"/>
          <w14:textFill>
            <w14:gradFill>
              <w14:gsLst>
                <w14:gs w14:pos="0">
                  <w14:srgbClr w14:val="FE4444"/>
                </w14:gs>
                <w14:gs w14:pos="100000">
                  <w14:srgbClr w14:val="832B2B"/>
                </w14:gs>
              </w14:gsLst>
              <w14:lin w14:scaled="0"/>
            </w14:gradFill>
          </w14:textFill>
        </w:rPr>
        <w:t>总第</w:t>
      </w:r>
      <w:r>
        <w:rPr>
          <w:rFonts w:hint="default" w:ascii="Times New Roman" w:hAnsi="Times New Roman" w:eastAsia="经典行楷简" w:cs="Times New Roman"/>
          <w:b w:val="0"/>
          <w:bCs/>
          <w:color w:val="2E75B5" w:themeColor="accent1" w:themeShade="BF"/>
          <w:kern w:val="36"/>
          <w:sz w:val="44"/>
          <w:szCs w:val="44"/>
          <w:lang w:val="en-US" w:eastAsia="zh-CN"/>
          <w14:textFill>
            <w14:gradFill>
              <w14:gsLst>
                <w14:gs w14:pos="0">
                  <w14:srgbClr w14:val="FE4444"/>
                </w14:gs>
                <w14:gs w14:pos="100000">
                  <w14:srgbClr w14:val="832B2B"/>
                </w14:gs>
              </w14:gsLst>
              <w14:lin w14:scaled="0"/>
            </w14:gradFill>
          </w14:textFill>
        </w:rPr>
        <w:t>25</w:t>
      </w:r>
      <w:r>
        <w:rPr>
          <w:rFonts w:hint="eastAsia" w:ascii="Times New Roman" w:hAnsi="Times New Roman" w:eastAsia="经典行楷简" w:cs="Times New Roman"/>
          <w:b w:val="0"/>
          <w:bCs/>
          <w:color w:val="2E75B5" w:themeColor="accent1" w:themeShade="BF"/>
          <w:kern w:val="36"/>
          <w:sz w:val="44"/>
          <w:szCs w:val="44"/>
          <w:lang w:val="en-US" w:eastAsia="zh-CN"/>
          <w14:textFill>
            <w14:gradFill>
              <w14:gsLst>
                <w14:gs w14:pos="0">
                  <w14:srgbClr w14:val="FE4444"/>
                </w14:gs>
                <w14:gs w14:pos="100000">
                  <w14:srgbClr w14:val="832B2B"/>
                </w14:gs>
              </w14:gsLst>
              <w14:lin w14:scaled="0"/>
            </w14:gradFill>
          </w14:textFill>
        </w:rPr>
        <w:t>6</w:t>
      </w:r>
      <w:r>
        <w:rPr>
          <w:rFonts w:hint="default" w:ascii="Times New Roman" w:hAnsi="Times New Roman" w:eastAsia="经典行楷简" w:cs="Times New Roman"/>
          <w:b w:val="0"/>
          <w:bCs/>
          <w:color w:val="2E75B5" w:themeColor="accent1" w:themeShade="BF"/>
          <w:kern w:val="36"/>
          <w:sz w:val="44"/>
          <w:szCs w:val="44"/>
          <w14:textFill>
            <w14:gradFill>
              <w14:gsLst>
                <w14:gs w14:pos="0">
                  <w14:srgbClr w14:val="FE4444"/>
                </w14:gs>
                <w14:gs w14:pos="100000">
                  <w14:srgbClr w14:val="832B2B"/>
                </w14:gs>
              </w14:gsLst>
              <w14:lin w14:scaled="0"/>
            </w14:gradFill>
          </w14:textFill>
        </w:rPr>
        <w:t>期</w:t>
      </w:r>
      <w:r>
        <w:rPr>
          <w:rFonts w:hint="default" w:ascii="Times New Roman" w:hAnsi="Times New Roman" w:eastAsia="经典行楷简" w:cs="Times New Roman"/>
          <w:b w:val="0"/>
          <w:bCs/>
          <w:color w:val="2E75B5" w:themeColor="accent1" w:themeShade="BF"/>
          <w:kern w:val="36"/>
          <w:sz w:val="44"/>
          <w:szCs w:val="44"/>
          <w:lang w:eastAsia="zh-CN"/>
          <w14:textFill>
            <w14:gradFill>
              <w14:gsLst>
                <w14:gs w14:pos="0">
                  <w14:srgbClr w14:val="FE4444"/>
                </w14:gs>
                <w14:gs w14:pos="100000">
                  <w14:srgbClr w14:val="832B2B"/>
                </w14:gs>
              </w14:gsLst>
              <w14:lin w14:scaled="0"/>
            </w14:gradFill>
          </w14:textFill>
        </w:rPr>
        <w:t>）</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528" w:firstLineChars="200"/>
        <w:jc w:val="both"/>
        <w:textAlignment w:val="auto"/>
        <w:outlineLvl w:val="1"/>
        <w:rPr>
          <w:rFonts w:hint="default" w:ascii="Times New Roman" w:hAnsi="Times New Roman" w:eastAsia="方正楷体_GBK" w:cs="Times New Roman"/>
          <w:b w:val="0"/>
          <w:bCs/>
          <w:color w:val="000000"/>
          <w:kern w:val="36"/>
          <w:sz w:val="36"/>
          <w:szCs w:val="36"/>
          <w:highlight w:val="none"/>
        </w:rPr>
      </w:pPr>
      <w:r>
        <w:rPr>
          <w:rFonts w:hint="default" w:ascii="Times New Roman" w:hAnsi="Times New Roman" w:eastAsia="方正黑体_GBK" w:cs="Times New Roman"/>
          <w:b w:val="0"/>
          <w:bCs/>
          <w:color w:val="1F497D"/>
          <w:kern w:val="36"/>
          <w:sz w:val="28"/>
          <w:szCs w:val="28"/>
          <w:highlight w:val="none"/>
          <w14:textFill>
            <w14:solidFill>
              <w14:srgbClr w14:val="1F497D">
                <w14:lumMod w14:val="60000"/>
                <w14:lumOff w14:val="40000"/>
              </w14:srgbClr>
            </w14:solidFill>
          </w14:textFill>
        </w:rPr>
        <w:t>江苏省贸促会发展研究部</w:t>
      </w:r>
      <w:r>
        <w:rPr>
          <w:rFonts w:hint="default" w:ascii="Times New Roman" w:hAnsi="Times New Roman" w:eastAsia="宋体" w:cs="Times New Roman"/>
          <w:b/>
          <w:color w:val="00B0F0"/>
          <w:kern w:val="36"/>
          <w:sz w:val="28"/>
          <w:szCs w:val="28"/>
          <w:highlight w:val="none"/>
        </w:rPr>
        <w:t xml:space="preserve"> </w:t>
      </w:r>
      <w:r>
        <w:rPr>
          <w:rFonts w:hint="default" w:ascii="Times New Roman" w:hAnsi="Times New Roman" w:eastAsia="宋体" w:cs="Times New Roman"/>
          <w:b/>
          <w:color w:val="000000"/>
          <w:kern w:val="36"/>
          <w:sz w:val="36"/>
          <w:szCs w:val="36"/>
          <w:highlight w:val="none"/>
        </w:rPr>
        <w:t xml:space="preserve">        </w:t>
      </w:r>
      <w:r>
        <w:rPr>
          <w:rFonts w:hint="default" w:ascii="Times New Roman" w:hAnsi="Times New Roman" w:eastAsia="方正楷体_GBK" w:cs="Times New Roman"/>
          <w:b w:val="0"/>
          <w:bCs/>
          <w:color w:val="000000"/>
          <w:kern w:val="36"/>
          <w:sz w:val="36"/>
          <w:szCs w:val="36"/>
          <w:highlight w:val="none"/>
        </w:rPr>
        <w:t xml:space="preserve"> </w:t>
      </w:r>
      <w:r>
        <w:rPr>
          <w:rFonts w:hint="default" w:ascii="Times New Roman" w:hAnsi="Times New Roman" w:eastAsia="方正楷体_GBK" w:cs="Times New Roman"/>
          <w:b w:val="0"/>
          <w:bCs/>
          <w:color w:val="000000"/>
          <w:kern w:val="36"/>
          <w:sz w:val="36"/>
          <w:szCs w:val="36"/>
          <w:highlight w:val="none"/>
          <w:lang w:val="en-US"/>
        </w:rPr>
        <w:t xml:space="preserve">     </w:t>
      </w:r>
      <w:r>
        <w:rPr>
          <w:rFonts w:hint="default" w:ascii="Times New Roman" w:hAnsi="Times New Roman" w:eastAsia="方正楷体_GBK" w:cs="Times New Roman"/>
          <w:b w:val="0"/>
          <w:bCs/>
          <w:color w:val="000000"/>
          <w:kern w:val="36"/>
          <w:sz w:val="32"/>
          <w:szCs w:val="32"/>
          <w:highlight w:val="none"/>
          <w:lang w:val="en-US"/>
        </w:rPr>
        <w:t xml:space="preserve"> </w:t>
      </w:r>
      <w:r>
        <w:rPr>
          <w:rFonts w:hint="default" w:ascii="Times New Roman" w:hAnsi="Times New Roman" w:eastAsia="方正楷体_GBK" w:cs="Times New Roman"/>
          <w:b w:val="0"/>
          <w:bCs/>
          <w:color w:val="000000"/>
          <w:kern w:val="36"/>
          <w:sz w:val="32"/>
          <w:szCs w:val="32"/>
          <w:highlight w:val="none"/>
        </w:rPr>
        <w:t>202</w:t>
      </w:r>
      <w:r>
        <w:rPr>
          <w:rFonts w:hint="default" w:ascii="Times New Roman" w:hAnsi="Times New Roman" w:eastAsia="方正楷体_GBK" w:cs="Times New Roman"/>
          <w:b w:val="0"/>
          <w:bCs/>
          <w:color w:val="000000"/>
          <w:kern w:val="36"/>
          <w:sz w:val="32"/>
          <w:szCs w:val="32"/>
          <w:highlight w:val="none"/>
          <w:lang w:val="en-US" w:eastAsia="zh-CN"/>
        </w:rPr>
        <w:t>4</w:t>
      </w:r>
      <w:r>
        <w:rPr>
          <w:rFonts w:hint="default" w:ascii="Times New Roman" w:hAnsi="Times New Roman" w:eastAsia="方正楷体_GBK" w:cs="Times New Roman"/>
          <w:b w:val="0"/>
          <w:bCs/>
          <w:color w:val="000000"/>
          <w:kern w:val="36"/>
          <w:sz w:val="32"/>
          <w:szCs w:val="32"/>
          <w:highlight w:val="none"/>
        </w:rPr>
        <w:t>年</w:t>
      </w:r>
      <w:r>
        <w:rPr>
          <w:rFonts w:hint="default" w:ascii="Times New Roman" w:hAnsi="Times New Roman" w:eastAsia="方正楷体_GBK" w:cs="Times New Roman"/>
          <w:b w:val="0"/>
          <w:bCs/>
          <w:color w:val="000000"/>
          <w:kern w:val="36"/>
          <w:sz w:val="32"/>
          <w:szCs w:val="32"/>
          <w:highlight w:val="none"/>
          <w:lang w:val="en-US"/>
        </w:rPr>
        <w:t>3</w:t>
      </w:r>
      <w:r>
        <w:rPr>
          <w:rFonts w:hint="default" w:ascii="Times New Roman" w:hAnsi="Times New Roman" w:eastAsia="方正楷体_GBK" w:cs="Times New Roman"/>
          <w:b w:val="0"/>
          <w:bCs/>
          <w:color w:val="000000"/>
          <w:kern w:val="36"/>
          <w:sz w:val="32"/>
          <w:szCs w:val="32"/>
          <w:highlight w:val="none"/>
        </w:rPr>
        <w:t>月</w:t>
      </w:r>
      <w:r>
        <w:rPr>
          <w:rFonts w:hint="eastAsia" w:ascii="Times New Roman" w:hAnsi="Times New Roman" w:eastAsia="方正楷体_GBK" w:cs="Times New Roman"/>
          <w:b w:val="0"/>
          <w:bCs/>
          <w:color w:val="000000"/>
          <w:kern w:val="36"/>
          <w:sz w:val="32"/>
          <w:szCs w:val="32"/>
          <w:highlight w:val="none"/>
          <w:lang w:val="en-US" w:eastAsia="zh-CN"/>
        </w:rPr>
        <w:t>8</w:t>
      </w:r>
      <w:r>
        <w:rPr>
          <w:rFonts w:hint="default" w:ascii="Times New Roman" w:hAnsi="Times New Roman" w:eastAsia="方正楷体_GBK" w:cs="Times New Roman"/>
          <w:b w:val="0"/>
          <w:bCs/>
          <w:color w:val="000000"/>
          <w:kern w:val="36"/>
          <w:sz w:val="32"/>
          <w:szCs w:val="32"/>
          <w:highlight w:val="none"/>
        </w:rPr>
        <w:t>日</w:t>
      </w:r>
    </w:p>
    <w:p>
      <w:pPr>
        <w:keepNext w:val="0"/>
        <w:keepLines w:val="0"/>
        <w:pageBreakBefore w:val="0"/>
        <w:widowControl/>
        <w:shd w:val="clear" w:color="auto" w:fill="FFFFFF"/>
        <w:kinsoku/>
        <w:wordWrap/>
        <w:overflowPunct/>
        <w:topLinePunct w:val="0"/>
        <w:autoSpaceDE/>
        <w:autoSpaceDN/>
        <w:bidi w:val="0"/>
        <w:adjustRightInd/>
        <w:snapToGrid/>
        <w:spacing w:before="435" w:beforeLines="150" w:after="210" w:line="240" w:lineRule="auto"/>
        <w:ind w:firstLine="424" w:firstLineChars="100"/>
        <w:jc w:val="both"/>
        <w:textAlignment w:val="auto"/>
        <w:outlineLvl w:val="1"/>
        <w:rPr>
          <w:rFonts w:hint="default" w:ascii="Times New Roman" w:hAnsi="Times New Roman" w:eastAsia="方正黑体_GBK" w:cs="Times New Roman"/>
          <w:b w:val="0"/>
          <w:bCs/>
          <w:color w:val="000000"/>
          <w:kern w:val="36"/>
          <w:sz w:val="44"/>
          <w:szCs w:val="44"/>
          <w:lang w:val="en-US" w:eastAsia="zh-CN"/>
        </w:rPr>
      </w:pPr>
      <w:r>
        <w:rPr>
          <w:rFonts w:hint="default" w:ascii="Times New Roman" w:hAnsi="Times New Roman" w:eastAsia="方正黑体_GBK" w:cs="Times New Roman"/>
          <w:b w:val="0"/>
          <w:bCs/>
          <w:color w:val="000000"/>
          <w:kern w:val="36"/>
          <w:sz w:val="44"/>
          <w:szCs w:val="44"/>
        </w:rPr>
        <w:t>目录</w:t>
      </w:r>
      <w:r>
        <w:rPr>
          <w:rFonts w:hint="default" w:ascii="Times New Roman" w:hAnsi="Times New Roman" w:eastAsia="方正黑体_GBK" w:cs="Times New Roman"/>
          <w:b w:val="0"/>
          <w:bCs/>
          <w:color w:val="000000"/>
          <w:kern w:val="36"/>
          <w:sz w:val="28"/>
          <w:szCs w:val="28"/>
          <w:lang w:val="en-US"/>
        </w:rPr>
        <w:t>CONTENTS</w:t>
      </w:r>
      <w:r>
        <w:rPr>
          <w:rFonts w:hint="default" w:ascii="Times New Roman" w:hAnsi="Times New Roman" w:eastAsia="方正黑体_GBK" w:cs="Times New Roman"/>
          <w:b w:val="0"/>
          <w:bCs/>
          <w:color w:val="000000"/>
          <w:kern w:val="36"/>
          <w:sz w:val="32"/>
          <w:szCs w:val="32"/>
          <w:lang w:val="en-US"/>
        </w:rPr>
        <w:t xml:space="preserve">  </w:t>
      </w:r>
      <w:r>
        <w:rPr>
          <w:rFonts w:hint="default" w:ascii="Times New Roman" w:hAnsi="Times New Roman" w:eastAsia="方正黑体_GBK" w:cs="Times New Roman"/>
          <w:b w:val="0"/>
          <w:bCs/>
          <w:color w:val="000000"/>
          <w:kern w:val="36"/>
          <w:sz w:val="24"/>
          <w:szCs w:val="24"/>
          <w:lang w:val="en-US" w:eastAsia="zh-CN"/>
        </w:rPr>
        <w:t>——————————————内部资料 免费赠阅</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28" w:firstLineChars="200"/>
        <w:contextualSpacing/>
        <w:jc w:val="left"/>
        <w:textAlignment w:val="auto"/>
        <w:outlineLvl w:val="1"/>
        <w:rPr>
          <w:rFonts w:hint="default" w:ascii="Times New Roman" w:hAnsi="Times New Roman" w:eastAsia="宋体" w:cs="Times New Roman"/>
          <w:b/>
          <w:color w:val="1F497D"/>
          <w:kern w:val="36"/>
          <w:sz w:val="28"/>
          <w:szCs w:val="28"/>
          <w:lang w:val="en-US" w:eastAsia="zh-CN"/>
          <w14:textFill>
            <w14:solidFill>
              <w14:srgbClr w14:val="1F497D">
                <w14:lumMod w14:val="60000"/>
                <w14:lumOff w14:val="40000"/>
              </w14:srgbClr>
            </w14:solidFill>
          </w14:textFill>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28" w:firstLineChars="200"/>
        <w:contextualSpacing/>
        <w:jc w:val="left"/>
        <w:textAlignment w:val="auto"/>
        <w:outlineLvl w:val="1"/>
        <w:rPr>
          <w:rFonts w:hint="default" w:ascii="Times New Roman" w:hAnsi="Times New Roman" w:eastAsia="宋体" w:cs="Times New Roman"/>
          <w:b/>
          <w:color w:val="FF0000"/>
          <w:kern w:val="36"/>
          <w:sz w:val="24"/>
          <w:szCs w:val="24"/>
          <w:lang w:val="en-US" w:eastAsia="zh-CN"/>
        </w:rPr>
      </w:pPr>
      <w:r>
        <w:rPr>
          <w:rFonts w:hint="default" w:ascii="Times New Roman" w:hAnsi="Times New Roman" w:eastAsia="宋体" w:cs="Times New Roman"/>
          <w:b/>
          <w:color w:val="1F497D"/>
          <w:kern w:val="36"/>
          <w:sz w:val="28"/>
          <w:szCs w:val="28"/>
          <w:lang w:val="en-US" w:eastAsia="zh-CN"/>
          <w14:textFill>
            <w14:solidFill>
              <w14:srgbClr w14:val="1F497D">
                <w14:lumMod w14:val="60000"/>
                <w14:lumOff w14:val="40000"/>
              </w14:srgbClr>
            </w14:solidFill>
          </w14:textFill>
        </w:rPr>
        <w:t xml:space="preserve">• </w:t>
      </w: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 xml:space="preserve">全球市场资讯 </w:t>
      </w:r>
      <w:r>
        <w:rPr>
          <w:rFonts w:hint="default" w:ascii="Times New Roman" w:hAnsi="Times New Roman" w:eastAsia="宋体" w:cs="Times New Roman"/>
          <w:b/>
          <w:color w:val="1F497D"/>
          <w:kern w:val="36"/>
          <w:sz w:val="28"/>
          <w:szCs w:val="28"/>
          <w:lang w:val="en-US" w:eastAsia="zh-CN"/>
          <w14:textFill>
            <w14:solidFill>
              <w14:srgbClr w14:val="1F497D">
                <w14:lumMod w14:val="60000"/>
                <w14:lumOff w14:val="40000"/>
              </w14:srgbClr>
            </w14:solidFill>
          </w14:textFill>
        </w:rPr>
        <w:t>•</w:t>
      </w:r>
      <w:r>
        <w:rPr>
          <w:rFonts w:hint="default" w:ascii="Times New Roman" w:hAnsi="Times New Roman" w:eastAsia="宋体" w:cs="Times New Roman"/>
          <w:b/>
          <w:color w:val="00B0F0"/>
          <w:kern w:val="36"/>
          <w:sz w:val="36"/>
          <w:szCs w:val="36"/>
          <w:lang w:val="en-US" w:eastAsia="zh-CN"/>
        </w:rPr>
        <w:t xml:space="preserve"> </w:t>
      </w:r>
      <w:r>
        <w:rPr>
          <w:rFonts w:hint="default" w:ascii="Times New Roman" w:hAnsi="Times New Roman" w:eastAsia="宋体" w:cs="Times New Roman"/>
          <w:b/>
          <w:color w:val="FF0000"/>
          <w:kern w:val="36"/>
          <w:sz w:val="24"/>
          <w:szCs w:val="24"/>
          <w:lang w:val="en-US" w:eastAsia="zh-CN"/>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left="550" w:leftChars="284" w:firstLine="0" w:firstLineChars="0"/>
        <w:contextualSpacing/>
        <w:jc w:val="left"/>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3月1日（周五）美国</w:t>
      </w:r>
      <w:r>
        <w:rPr>
          <w:rFonts w:hint="default" w:ascii="Times New Roman" w:hAnsi="Times New Roman" w:eastAsia="方正楷体_GBK" w:cs="Times New Roman"/>
          <w:b/>
          <w:color w:val="auto"/>
          <w:spacing w:val="0"/>
          <w:kern w:val="36"/>
          <w:sz w:val="30"/>
          <w:szCs w:val="30"/>
          <w:lang w:val="en-US" w:eastAsia="zh-CN"/>
        </w:rPr>
        <w:t>1</w:t>
      </w:r>
      <w:r>
        <w:rPr>
          <w:rFonts w:hint="eastAsia" w:ascii="Times New Roman" w:hAnsi="Times New Roman" w:eastAsia="方正楷体_GBK" w:cs="Times New Roman"/>
          <w:b/>
          <w:color w:val="auto"/>
          <w:spacing w:val="0"/>
          <w:kern w:val="36"/>
          <w:sz w:val="30"/>
          <w:szCs w:val="30"/>
          <w:lang w:val="en-US" w:eastAsia="zh-CN"/>
        </w:rPr>
        <w:t>月</w:t>
      </w:r>
      <w:r>
        <w:rPr>
          <w:rFonts w:hint="default" w:ascii="Times New Roman" w:hAnsi="Times New Roman" w:eastAsia="方正楷体_GBK" w:cs="Times New Roman"/>
          <w:b/>
          <w:color w:val="auto"/>
          <w:spacing w:val="0"/>
          <w:kern w:val="36"/>
          <w:sz w:val="30"/>
          <w:szCs w:val="30"/>
          <w:lang w:val="en-US" w:eastAsia="zh-CN"/>
        </w:rPr>
        <w:t>PCE</w:t>
      </w:r>
      <w:r>
        <w:rPr>
          <w:rFonts w:hint="eastAsia" w:ascii="Times New Roman" w:hAnsi="Times New Roman" w:eastAsia="方正楷体_GBK" w:cs="Times New Roman"/>
          <w:b/>
          <w:color w:val="auto"/>
          <w:spacing w:val="0"/>
          <w:kern w:val="36"/>
          <w:sz w:val="30"/>
          <w:szCs w:val="30"/>
          <w:lang w:val="en-US" w:eastAsia="zh-CN"/>
        </w:rPr>
        <w:t>符合预期，欧洲</w:t>
      </w:r>
      <w:r>
        <w:rPr>
          <w:rFonts w:hint="default" w:ascii="Times New Roman" w:hAnsi="Times New Roman" w:eastAsia="方正楷体_GBK" w:cs="Times New Roman"/>
          <w:b/>
          <w:color w:val="auto"/>
          <w:spacing w:val="0"/>
          <w:kern w:val="36"/>
          <w:sz w:val="30"/>
          <w:szCs w:val="30"/>
          <w:lang w:val="en-US" w:eastAsia="zh-CN"/>
        </w:rPr>
        <w:t>2</w:t>
      </w:r>
      <w:r>
        <w:rPr>
          <w:rFonts w:hint="eastAsia" w:ascii="Times New Roman" w:hAnsi="Times New Roman" w:eastAsia="方正楷体_GBK" w:cs="Times New Roman"/>
          <w:b/>
          <w:color w:val="auto"/>
          <w:spacing w:val="0"/>
          <w:kern w:val="36"/>
          <w:sz w:val="30"/>
          <w:szCs w:val="30"/>
          <w:lang w:val="en-US" w:eastAsia="zh-CN"/>
        </w:rPr>
        <w:t>月</w:t>
      </w:r>
      <w:r>
        <w:rPr>
          <w:rFonts w:hint="default" w:ascii="Times New Roman" w:hAnsi="Times New Roman" w:eastAsia="方正楷体_GBK" w:cs="Times New Roman"/>
          <w:b/>
          <w:color w:val="auto"/>
          <w:spacing w:val="0"/>
          <w:kern w:val="36"/>
          <w:sz w:val="30"/>
          <w:szCs w:val="30"/>
          <w:lang w:val="en-US" w:eastAsia="zh-CN"/>
        </w:rPr>
        <w:t>CPI</w:t>
      </w:r>
      <w:r>
        <w:rPr>
          <w:rFonts w:hint="eastAsia" w:ascii="Times New Roman" w:hAnsi="Times New Roman" w:eastAsia="方正楷体_GBK" w:cs="Times New Roman"/>
          <w:b/>
          <w:color w:val="auto"/>
          <w:spacing w:val="0"/>
          <w:kern w:val="36"/>
          <w:sz w:val="30"/>
          <w:szCs w:val="30"/>
          <w:lang w:val="en-US" w:eastAsia="zh-CN"/>
        </w:rPr>
        <w:t>初值显示通胀放缓</w:t>
      </w:r>
      <w:r>
        <w:rPr>
          <w:rFonts w:hint="default" w:ascii="Times New Roman" w:hAnsi="Times New Roman" w:eastAsia="方正楷体_GBK" w:cs="Times New Roman"/>
          <w:b/>
          <w:color w:val="auto"/>
          <w:spacing w:val="0"/>
          <w:kern w:val="36"/>
          <w:sz w:val="30"/>
          <w:szCs w:val="30"/>
          <w:lang w:val="en-US" w:eastAsia="zh-CN"/>
        </w:rPr>
        <w:t xml:space="preserve"> / 01</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jc w:val="left"/>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3</w:t>
      </w:r>
      <w:r>
        <w:rPr>
          <w:rFonts w:hint="default" w:ascii="Times New Roman" w:hAnsi="Times New Roman" w:eastAsia="方正楷体_GBK" w:cs="Times New Roman"/>
          <w:b/>
          <w:color w:val="auto"/>
          <w:spacing w:val="0"/>
          <w:kern w:val="36"/>
          <w:sz w:val="30"/>
          <w:szCs w:val="30"/>
          <w:lang w:val="en-US" w:eastAsia="zh-CN"/>
        </w:rPr>
        <w:t>月2日（周</w:t>
      </w:r>
      <w:r>
        <w:rPr>
          <w:rFonts w:hint="eastAsia" w:ascii="Times New Roman" w:hAnsi="Times New Roman" w:eastAsia="方正楷体_GBK" w:cs="Times New Roman"/>
          <w:b/>
          <w:color w:val="auto"/>
          <w:spacing w:val="0"/>
          <w:kern w:val="36"/>
          <w:sz w:val="30"/>
          <w:szCs w:val="30"/>
          <w:lang w:val="en-US" w:eastAsia="zh-CN"/>
        </w:rPr>
        <w:t>六</w:t>
      </w:r>
      <w:r>
        <w:rPr>
          <w:rFonts w:hint="default" w:ascii="Times New Roman" w:hAnsi="Times New Roman" w:eastAsia="方正楷体_GBK" w:cs="Times New Roman"/>
          <w:b/>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肥胖呈“双重压力”，解决须“多管齐下”</w:t>
      </w:r>
      <w:r>
        <w:rPr>
          <w:rFonts w:hint="default" w:ascii="Times New Roman" w:hAnsi="Times New Roman" w:eastAsia="方正楷体_GBK" w:cs="Times New Roman"/>
          <w:b/>
          <w:color w:val="auto"/>
          <w:spacing w:val="0"/>
          <w:kern w:val="36"/>
          <w:sz w:val="30"/>
          <w:szCs w:val="30"/>
          <w:lang w:val="en-US" w:eastAsia="zh-CN"/>
        </w:rPr>
        <w:t>/ 0</w:t>
      </w:r>
      <w:r>
        <w:rPr>
          <w:rFonts w:hint="eastAsia" w:ascii="Times New Roman" w:hAnsi="Times New Roman" w:eastAsia="方正楷体_GBK" w:cs="Times New Roman"/>
          <w:b/>
          <w:color w:val="auto"/>
          <w:spacing w:val="0"/>
          <w:kern w:val="36"/>
          <w:sz w:val="30"/>
          <w:szCs w:val="30"/>
          <w:lang w:val="en-US" w:eastAsia="zh-CN"/>
        </w:rPr>
        <w:t>3</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3</w:t>
      </w:r>
      <w:r>
        <w:rPr>
          <w:rFonts w:hint="default" w:ascii="Times New Roman" w:hAnsi="Times New Roman" w:eastAsia="方正楷体_GBK" w:cs="Times New Roman"/>
          <w:b/>
          <w:color w:val="auto"/>
          <w:spacing w:val="0"/>
          <w:kern w:val="36"/>
          <w:sz w:val="30"/>
          <w:szCs w:val="30"/>
          <w:lang w:val="en-US" w:eastAsia="zh-CN"/>
        </w:rPr>
        <w:t>月</w:t>
      </w:r>
      <w:r>
        <w:rPr>
          <w:rFonts w:hint="eastAsia" w:ascii="Times New Roman" w:hAnsi="Times New Roman" w:eastAsia="方正楷体_GBK" w:cs="Times New Roman"/>
          <w:b/>
          <w:color w:val="auto"/>
          <w:spacing w:val="0"/>
          <w:kern w:val="36"/>
          <w:sz w:val="30"/>
          <w:szCs w:val="30"/>
          <w:lang w:val="en-US" w:eastAsia="zh-CN"/>
        </w:rPr>
        <w:t>3</w:t>
      </w:r>
      <w:r>
        <w:rPr>
          <w:rFonts w:hint="default" w:ascii="Times New Roman" w:hAnsi="Times New Roman" w:eastAsia="方正楷体_GBK" w:cs="Times New Roman"/>
          <w:b/>
          <w:color w:val="auto"/>
          <w:spacing w:val="0"/>
          <w:kern w:val="36"/>
          <w:sz w:val="30"/>
          <w:szCs w:val="30"/>
          <w:lang w:val="en-US" w:eastAsia="zh-CN"/>
        </w:rPr>
        <w:t>日（周</w:t>
      </w:r>
      <w:r>
        <w:rPr>
          <w:rFonts w:hint="eastAsia" w:ascii="Times New Roman" w:hAnsi="Times New Roman" w:eastAsia="方正楷体_GBK" w:cs="Times New Roman"/>
          <w:b/>
          <w:color w:val="auto"/>
          <w:spacing w:val="0"/>
          <w:kern w:val="36"/>
          <w:sz w:val="30"/>
          <w:szCs w:val="30"/>
          <w:lang w:val="en-US" w:eastAsia="zh-CN"/>
        </w:rPr>
        <w:t>日</w:t>
      </w:r>
      <w:r>
        <w:rPr>
          <w:rFonts w:hint="default" w:ascii="Times New Roman" w:hAnsi="Times New Roman" w:eastAsia="方正楷体_GBK" w:cs="Times New Roman"/>
          <w:b/>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德国公交罢工，财政压力显现</w:t>
      </w:r>
      <w:r>
        <w:rPr>
          <w:rFonts w:hint="default" w:ascii="Times New Roman" w:hAnsi="Times New Roman" w:eastAsia="方正楷体_GBK" w:cs="Times New Roman"/>
          <w:b/>
          <w:color w:val="auto"/>
          <w:spacing w:val="-23"/>
          <w:kern w:val="36"/>
          <w:sz w:val="30"/>
          <w:szCs w:val="30"/>
          <w:lang w:val="en-US" w:eastAsia="zh-CN"/>
        </w:rPr>
        <w:t xml:space="preserve">  </w:t>
      </w:r>
      <w:r>
        <w:rPr>
          <w:rFonts w:hint="default" w:ascii="Times New Roman" w:hAnsi="Times New Roman" w:eastAsia="方正楷体_GBK" w:cs="Times New Roman"/>
          <w:b/>
          <w:color w:val="auto"/>
          <w:spacing w:val="0"/>
          <w:kern w:val="36"/>
          <w:sz w:val="30"/>
          <w:szCs w:val="30"/>
          <w:lang w:val="en-US" w:eastAsia="zh-CN"/>
        </w:rPr>
        <w:t>/ 0</w:t>
      </w:r>
      <w:r>
        <w:rPr>
          <w:rFonts w:hint="eastAsia" w:ascii="Times New Roman" w:hAnsi="Times New Roman" w:eastAsia="方正楷体_GBK" w:cs="Times New Roman"/>
          <w:b/>
          <w:color w:val="auto"/>
          <w:spacing w:val="0"/>
          <w:kern w:val="36"/>
          <w:sz w:val="30"/>
          <w:szCs w:val="30"/>
          <w:lang w:val="en-US" w:eastAsia="zh-CN"/>
        </w:rPr>
        <w:t>5</w:t>
      </w:r>
    </w:p>
    <w:p>
      <w:pPr>
        <w:keepNext w:val="0"/>
        <w:keepLines w:val="0"/>
        <w:pageBreakBefore w:val="0"/>
        <w:kinsoku/>
        <w:wordWrap/>
        <w:overflowPunct/>
        <w:topLinePunct w:val="0"/>
        <w:autoSpaceDE/>
        <w:autoSpaceDN/>
        <w:bidi w:val="0"/>
        <w:adjustRightInd/>
        <w:snapToGrid/>
        <w:ind w:firstLine="568" w:firstLineChars="200"/>
        <w:textAlignment w:val="auto"/>
        <w:rPr>
          <w:rFonts w:hint="default"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3</w:t>
      </w:r>
      <w:r>
        <w:rPr>
          <w:rFonts w:hint="default" w:ascii="Times New Roman" w:hAnsi="Times New Roman" w:eastAsia="方正楷体_GBK" w:cs="Times New Roman"/>
          <w:b/>
          <w:color w:val="auto"/>
          <w:spacing w:val="0"/>
          <w:kern w:val="36"/>
          <w:sz w:val="30"/>
          <w:szCs w:val="30"/>
          <w:lang w:val="en-US" w:eastAsia="zh-CN"/>
        </w:rPr>
        <w:t>月</w:t>
      </w:r>
      <w:r>
        <w:rPr>
          <w:rFonts w:hint="eastAsia" w:ascii="Times New Roman" w:hAnsi="Times New Roman" w:eastAsia="方正楷体_GBK" w:cs="Times New Roman"/>
          <w:b/>
          <w:color w:val="auto"/>
          <w:spacing w:val="0"/>
          <w:kern w:val="36"/>
          <w:sz w:val="30"/>
          <w:szCs w:val="30"/>
          <w:lang w:val="en-US" w:eastAsia="zh-CN"/>
        </w:rPr>
        <w:t>4日</w:t>
      </w:r>
      <w:r>
        <w:rPr>
          <w:rFonts w:hint="default" w:ascii="Times New Roman" w:hAnsi="Times New Roman" w:eastAsia="方正楷体_GBK" w:cs="Times New Roman"/>
          <w:b/>
          <w:color w:val="auto"/>
          <w:spacing w:val="0"/>
          <w:kern w:val="36"/>
          <w:sz w:val="30"/>
          <w:szCs w:val="30"/>
          <w:lang w:val="en-US" w:eastAsia="zh-CN"/>
        </w:rPr>
        <w:t>（周</w:t>
      </w:r>
      <w:r>
        <w:rPr>
          <w:rFonts w:hint="eastAsia" w:ascii="Times New Roman" w:hAnsi="Times New Roman" w:eastAsia="方正楷体_GBK" w:cs="Times New Roman"/>
          <w:b/>
          <w:color w:val="auto"/>
          <w:spacing w:val="0"/>
          <w:kern w:val="36"/>
          <w:sz w:val="30"/>
          <w:szCs w:val="30"/>
          <w:lang w:val="en-US" w:eastAsia="zh-CN"/>
        </w:rPr>
        <w:t>一</w:t>
      </w:r>
      <w:r>
        <w:rPr>
          <w:rFonts w:hint="default" w:ascii="Times New Roman" w:hAnsi="Times New Roman" w:eastAsia="方正楷体_GBK" w:cs="Times New Roman"/>
          <w:b/>
          <w:color w:val="auto"/>
          <w:spacing w:val="0"/>
          <w:kern w:val="36"/>
          <w:sz w:val="30"/>
          <w:szCs w:val="30"/>
          <w:lang w:val="en-US" w:eastAsia="zh-CN"/>
        </w:rPr>
        <w:t>）NYCB</w:t>
      </w:r>
      <w:r>
        <w:rPr>
          <w:rFonts w:hint="eastAsia" w:ascii="Times New Roman" w:hAnsi="Times New Roman" w:eastAsia="方正楷体_GBK" w:cs="Times New Roman"/>
          <w:b/>
          <w:color w:val="auto"/>
          <w:spacing w:val="0"/>
          <w:kern w:val="36"/>
          <w:sz w:val="30"/>
          <w:szCs w:val="30"/>
          <w:lang w:val="en-US" w:eastAsia="zh-CN"/>
        </w:rPr>
        <w:t>遇困，金丝雀出数据，</w:t>
      </w:r>
      <w:r>
        <w:rPr>
          <w:rFonts w:hint="default" w:ascii="Times New Roman" w:hAnsi="Times New Roman" w:eastAsia="方正楷体_GBK" w:cs="Times New Roman"/>
          <w:b/>
          <w:color w:val="auto"/>
          <w:spacing w:val="0"/>
          <w:kern w:val="36"/>
          <w:sz w:val="30"/>
          <w:szCs w:val="30"/>
          <w:lang w:val="en-US" w:eastAsia="zh-CN"/>
        </w:rPr>
        <w:t>OPEC+</w:t>
      </w:r>
      <w:r>
        <w:rPr>
          <w:rFonts w:hint="eastAsia" w:ascii="Times New Roman" w:hAnsi="Times New Roman" w:eastAsia="方正楷体_GBK" w:cs="Times New Roman"/>
          <w:b/>
          <w:color w:val="auto"/>
          <w:spacing w:val="0"/>
          <w:kern w:val="36"/>
          <w:sz w:val="30"/>
          <w:szCs w:val="30"/>
          <w:lang w:val="en-US" w:eastAsia="zh-CN"/>
        </w:rPr>
        <w:t xml:space="preserve">减产 </w:t>
      </w:r>
      <w:r>
        <w:rPr>
          <w:rFonts w:hint="default" w:ascii="Times New Roman" w:hAnsi="Times New Roman" w:eastAsia="方正楷体_GBK" w:cs="Times New Roman"/>
          <w:b/>
          <w:color w:val="auto"/>
          <w:spacing w:val="0"/>
          <w:kern w:val="36"/>
          <w:sz w:val="30"/>
          <w:szCs w:val="30"/>
          <w:lang w:val="en-US" w:eastAsia="zh-CN"/>
        </w:rPr>
        <w:t>/ 0</w:t>
      </w:r>
      <w:r>
        <w:rPr>
          <w:rFonts w:hint="eastAsia" w:ascii="Times New Roman" w:hAnsi="Times New Roman" w:eastAsia="方正楷体_GBK" w:cs="Times New Roman"/>
          <w:b/>
          <w:color w:val="auto"/>
          <w:spacing w:val="0"/>
          <w:kern w:val="36"/>
          <w:sz w:val="30"/>
          <w:szCs w:val="30"/>
          <w:lang w:val="en-US" w:eastAsia="zh-CN"/>
        </w:rPr>
        <w:t>6</w:t>
      </w:r>
    </w:p>
    <w:p>
      <w:pPr>
        <w:keepNext w:val="0"/>
        <w:keepLines w:val="0"/>
        <w:pageBreakBefore w:val="0"/>
        <w:widowControl/>
        <w:numPr>
          <w:ilvl w:val="0"/>
          <w:numId w:val="0"/>
        </w:numPr>
        <w:shd w:val="clear" w:color="auto" w:fill="FFFFFF"/>
        <w:tabs>
          <w:tab w:val="left" w:pos="7915"/>
        </w:tabs>
        <w:kinsoku/>
        <w:wordWrap/>
        <w:overflowPunct/>
        <w:topLinePunct w:val="0"/>
        <w:autoSpaceDE/>
        <w:autoSpaceDN/>
        <w:bidi w:val="0"/>
        <w:adjustRightInd/>
        <w:snapToGrid/>
        <w:spacing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3</w:t>
      </w:r>
      <w:r>
        <w:rPr>
          <w:rFonts w:hint="default" w:ascii="Times New Roman" w:hAnsi="Times New Roman" w:eastAsia="方正楷体_GBK" w:cs="Times New Roman"/>
          <w:b/>
          <w:color w:val="auto"/>
          <w:spacing w:val="0"/>
          <w:kern w:val="36"/>
          <w:sz w:val="30"/>
          <w:szCs w:val="30"/>
          <w:lang w:val="en-US" w:eastAsia="zh-CN"/>
        </w:rPr>
        <w:t>月</w:t>
      </w:r>
      <w:r>
        <w:rPr>
          <w:rFonts w:hint="eastAsia" w:ascii="Times New Roman" w:hAnsi="Times New Roman" w:eastAsia="方正楷体_GBK" w:cs="Times New Roman"/>
          <w:b/>
          <w:color w:val="auto"/>
          <w:spacing w:val="0"/>
          <w:kern w:val="36"/>
          <w:sz w:val="30"/>
          <w:szCs w:val="30"/>
          <w:lang w:val="en-US" w:eastAsia="zh-CN"/>
        </w:rPr>
        <w:t>5</w:t>
      </w:r>
      <w:r>
        <w:rPr>
          <w:rFonts w:hint="default" w:ascii="Times New Roman" w:hAnsi="Times New Roman" w:eastAsia="方正楷体_GBK" w:cs="Times New Roman"/>
          <w:b/>
          <w:color w:val="auto"/>
          <w:spacing w:val="0"/>
          <w:kern w:val="36"/>
          <w:sz w:val="30"/>
          <w:szCs w:val="30"/>
          <w:lang w:val="en-US" w:eastAsia="zh-CN"/>
        </w:rPr>
        <w:t>日（周</w:t>
      </w:r>
      <w:r>
        <w:rPr>
          <w:rFonts w:hint="eastAsia" w:ascii="Times New Roman" w:hAnsi="Times New Roman" w:eastAsia="方正楷体_GBK" w:cs="Times New Roman"/>
          <w:b/>
          <w:color w:val="auto"/>
          <w:spacing w:val="0"/>
          <w:kern w:val="36"/>
          <w:sz w:val="30"/>
          <w:szCs w:val="30"/>
          <w:lang w:val="en-US" w:eastAsia="zh-CN"/>
        </w:rPr>
        <w:t>二</w:t>
      </w:r>
      <w:r>
        <w:rPr>
          <w:rFonts w:hint="default" w:ascii="Times New Roman" w:hAnsi="Times New Roman" w:eastAsia="方正楷体_GBK" w:cs="Times New Roman"/>
          <w:b/>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高通胀与高利率并存的土耳其经济</w:t>
      </w:r>
      <w:r>
        <w:rPr>
          <w:rFonts w:hint="default" w:ascii="Times New Roman" w:hAnsi="Times New Roman" w:eastAsia="方正楷体_GBK" w:cs="Times New Roman"/>
          <w:b/>
          <w:color w:val="auto"/>
          <w:spacing w:val="0"/>
          <w:kern w:val="36"/>
          <w:sz w:val="30"/>
          <w:szCs w:val="30"/>
          <w:lang w:val="en-US" w:eastAsia="zh-CN"/>
        </w:rPr>
        <w:t xml:space="preserve"> /</w:t>
      </w:r>
      <w:r>
        <w:rPr>
          <w:rFonts w:hint="eastAsia" w:ascii="Times New Roman" w:hAnsi="Times New Roman" w:eastAsia="方正楷体_GBK" w:cs="Times New Roman"/>
          <w:b/>
          <w:color w:val="auto"/>
          <w:spacing w:val="0"/>
          <w:kern w:val="36"/>
          <w:sz w:val="30"/>
          <w:szCs w:val="30"/>
          <w:lang w:val="en-US" w:eastAsia="zh-CN"/>
        </w:rPr>
        <w:t xml:space="preserve"> </w:t>
      </w:r>
      <w:r>
        <w:rPr>
          <w:rFonts w:hint="default" w:ascii="Times New Roman" w:hAnsi="Times New Roman" w:eastAsia="方正楷体_GBK" w:cs="Times New Roman"/>
          <w:b/>
          <w:color w:val="auto"/>
          <w:spacing w:val="0"/>
          <w:kern w:val="36"/>
          <w:sz w:val="30"/>
          <w:szCs w:val="30"/>
          <w:lang w:val="en-US" w:eastAsia="zh-CN"/>
        </w:rPr>
        <w:t>0</w:t>
      </w:r>
      <w:r>
        <w:rPr>
          <w:rFonts w:hint="eastAsia" w:ascii="Times New Roman" w:hAnsi="Times New Roman" w:eastAsia="方正楷体_GBK" w:cs="Times New Roman"/>
          <w:b/>
          <w:color w:val="auto"/>
          <w:spacing w:val="0"/>
          <w:kern w:val="36"/>
          <w:sz w:val="30"/>
          <w:szCs w:val="30"/>
          <w:lang w:val="en-US" w:eastAsia="zh-CN"/>
        </w:rPr>
        <w:t>8</w:t>
      </w:r>
    </w:p>
    <w:p>
      <w:pPr>
        <w:keepNext w:val="0"/>
        <w:keepLines w:val="0"/>
        <w:pageBreakBefore w:val="0"/>
        <w:widowControl/>
        <w:numPr>
          <w:ilvl w:val="0"/>
          <w:numId w:val="0"/>
        </w:numPr>
        <w:shd w:val="clear" w:color="auto" w:fill="FFFFFF"/>
        <w:tabs>
          <w:tab w:val="left" w:pos="7915"/>
        </w:tabs>
        <w:kinsoku/>
        <w:wordWrap/>
        <w:overflowPunct/>
        <w:topLinePunct w:val="0"/>
        <w:autoSpaceDE/>
        <w:autoSpaceDN/>
        <w:bidi w:val="0"/>
        <w:adjustRightInd/>
        <w:snapToGrid/>
        <w:spacing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3</w:t>
      </w:r>
      <w:r>
        <w:rPr>
          <w:rFonts w:hint="default" w:ascii="Times New Roman" w:hAnsi="Times New Roman" w:eastAsia="方正楷体_GBK" w:cs="Times New Roman"/>
          <w:b/>
          <w:color w:val="auto"/>
          <w:spacing w:val="0"/>
          <w:kern w:val="36"/>
          <w:sz w:val="30"/>
          <w:szCs w:val="30"/>
          <w:lang w:val="en-US" w:eastAsia="zh-CN"/>
        </w:rPr>
        <w:t>月</w:t>
      </w:r>
      <w:r>
        <w:rPr>
          <w:rFonts w:hint="eastAsia" w:ascii="Times New Roman" w:hAnsi="Times New Roman" w:eastAsia="方正楷体_GBK" w:cs="Times New Roman"/>
          <w:b/>
          <w:color w:val="auto"/>
          <w:spacing w:val="0"/>
          <w:kern w:val="36"/>
          <w:sz w:val="30"/>
          <w:szCs w:val="30"/>
          <w:lang w:val="en-US" w:eastAsia="zh-CN"/>
        </w:rPr>
        <w:t>6日（周三）</w:t>
      </w:r>
      <w:r>
        <w:rPr>
          <w:rFonts w:hint="eastAsia" w:ascii="Times New Roman" w:hAnsi="Times New Roman" w:eastAsia="方正楷体_GBK" w:cs="Times New Roman"/>
          <w:b/>
          <w:color w:val="auto"/>
          <w:spacing w:val="-11"/>
          <w:kern w:val="36"/>
          <w:sz w:val="30"/>
          <w:szCs w:val="30"/>
          <w:lang w:val="en-US" w:eastAsia="zh-CN"/>
        </w:rPr>
        <w:t>黄金价格挑战前高、各地经济表现各异</w:t>
      </w:r>
      <w:r>
        <w:rPr>
          <w:rFonts w:hint="default" w:ascii="Times New Roman" w:hAnsi="Times New Roman" w:eastAsia="方正楷体_GBK" w:cs="Times New Roman"/>
          <w:b/>
          <w:color w:val="auto"/>
          <w:spacing w:val="-11"/>
          <w:kern w:val="36"/>
          <w:sz w:val="30"/>
          <w:szCs w:val="30"/>
          <w:lang w:val="en-US" w:eastAsia="zh-CN"/>
        </w:rPr>
        <w:t xml:space="preserve"> </w:t>
      </w:r>
      <w:r>
        <w:rPr>
          <w:rFonts w:hint="default" w:ascii="Times New Roman" w:hAnsi="Times New Roman" w:eastAsia="方正楷体_GBK" w:cs="Times New Roman"/>
          <w:b/>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 xml:space="preserve"> </w:t>
      </w:r>
      <w:r>
        <w:rPr>
          <w:rFonts w:hint="default" w:ascii="Times New Roman" w:hAnsi="Times New Roman" w:eastAsia="方正楷体_GBK" w:cs="Times New Roman"/>
          <w:b/>
          <w:color w:val="auto"/>
          <w:spacing w:val="0"/>
          <w:kern w:val="36"/>
          <w:sz w:val="30"/>
          <w:szCs w:val="30"/>
          <w:lang w:val="en-US" w:eastAsia="zh-CN"/>
        </w:rPr>
        <w:t>0</w:t>
      </w:r>
      <w:r>
        <w:rPr>
          <w:rFonts w:hint="eastAsia" w:ascii="Times New Roman" w:hAnsi="Times New Roman" w:eastAsia="方正楷体_GBK" w:cs="Times New Roman"/>
          <w:b/>
          <w:color w:val="auto"/>
          <w:spacing w:val="0"/>
          <w:kern w:val="36"/>
          <w:sz w:val="30"/>
          <w:szCs w:val="30"/>
          <w:lang w:val="en-US" w:eastAsia="zh-CN"/>
        </w:rPr>
        <w:t>9</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28" w:firstLineChars="200"/>
        <w:contextualSpacing/>
        <w:jc w:val="left"/>
        <w:textAlignment w:val="auto"/>
        <w:outlineLvl w:val="1"/>
        <w:rPr>
          <w:rFonts w:hint="default" w:ascii="Times New Roman" w:hAnsi="Times New Roman" w:eastAsia="方正黑体_GBK" w:cs="Times New Roman"/>
          <w:b/>
          <w:color w:val="FFC000"/>
          <w:kern w:val="36"/>
          <w:sz w:val="28"/>
          <w:szCs w:val="28"/>
          <w:lang w:val="en-US" w:eastAsia="zh-CN"/>
        </w:rPr>
      </w:pPr>
      <w:r>
        <w:rPr>
          <w:rFonts w:hint="default" w:ascii="Times New Roman" w:hAnsi="Times New Roman" w:eastAsia="方正黑体_GBK" w:cs="Times New Roman"/>
          <w:b/>
          <w:color w:val="1F497D"/>
          <w:kern w:val="36"/>
          <w:sz w:val="28"/>
          <w:szCs w:val="28"/>
          <w:lang w:val="en-US" w:eastAsia="zh-CN"/>
          <w14:textFill>
            <w14:solidFill>
              <w14:srgbClr w14:val="1F497D">
                <w14:lumMod w14:val="60000"/>
                <w14:lumOff w14:val="40000"/>
              </w14:srgbClr>
            </w14:solidFill>
          </w14:textFill>
        </w:rPr>
        <w:t xml:space="preserve">• </w:t>
      </w: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江苏贸促动态</w:t>
      </w:r>
      <w:r>
        <w:rPr>
          <w:rFonts w:hint="default" w:ascii="Times New Roman" w:hAnsi="Times New Roman" w:eastAsia="方正黑体_GBK" w:cs="Times New Roman"/>
          <w:b/>
          <w:color w:val="1F497D"/>
          <w:kern w:val="36"/>
          <w:sz w:val="28"/>
          <w:szCs w:val="28"/>
          <w:lang w:val="en-US" w:eastAsia="zh-CN"/>
          <w14:textFill>
            <w14:solidFill>
              <w14:srgbClr w14:val="1F497D">
                <w14:lumMod w14:val="60000"/>
                <w14:lumOff w14:val="40000"/>
              </w14:srgbClr>
            </w14:solidFill>
          </w14:textFill>
        </w:rPr>
        <w:t xml:space="preserve"> •</w:t>
      </w:r>
      <w:r>
        <w:rPr>
          <w:rFonts w:hint="default" w:ascii="Times New Roman" w:hAnsi="Times New Roman" w:eastAsia="方正黑体_GBK" w:cs="Times New Roman"/>
          <w:b/>
          <w:color w:val="00B0F0"/>
          <w:kern w:val="36"/>
          <w:sz w:val="28"/>
          <w:szCs w:val="28"/>
          <w:lang w:val="en-US" w:eastAsia="zh-CN"/>
        </w:rPr>
        <w:t xml:space="preserve"> </w:t>
      </w:r>
      <w:r>
        <w:rPr>
          <w:rFonts w:hint="default" w:ascii="Times New Roman" w:hAnsi="Times New Roman" w:eastAsia="宋体" w:cs="Times New Roman"/>
          <w:b/>
          <w:color w:val="FF0000"/>
          <w:kern w:val="36"/>
          <w:sz w:val="24"/>
          <w:szCs w:val="24"/>
          <w:lang w:val="en-US" w:eastAsia="zh-CN"/>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省贸促会领导参与德国海外商会联盟大中华区2024上海对话</w:t>
      </w:r>
      <w:r>
        <w:rPr>
          <w:rFonts w:hint="default" w:ascii="Times New Roman" w:hAnsi="Times New Roman" w:eastAsia="方正楷体_GBK" w:cs="Times New Roman"/>
          <w:b/>
          <w:color w:val="auto"/>
          <w:spacing w:val="0"/>
          <w:kern w:val="36"/>
          <w:sz w:val="30"/>
          <w:szCs w:val="30"/>
          <w:lang w:val="en-US" w:eastAsia="zh-CN"/>
        </w:rPr>
        <w:t xml:space="preserve"> /</w:t>
      </w:r>
      <w:r>
        <w:rPr>
          <w:rFonts w:hint="eastAsia" w:ascii="Times New Roman" w:hAnsi="Times New Roman" w:eastAsia="方正楷体_GBK" w:cs="Times New Roman"/>
          <w:b/>
          <w:color w:val="auto"/>
          <w:spacing w:val="0"/>
          <w:kern w:val="36"/>
          <w:sz w:val="30"/>
          <w:szCs w:val="30"/>
          <w:lang w:val="en-US" w:eastAsia="zh-CN"/>
        </w:rPr>
        <w:t xml:space="preserve"> 12</w:t>
      </w:r>
    </w:p>
    <w:p>
      <w:pPr>
        <w:keepNext w:val="0"/>
        <w:keepLines w:val="0"/>
        <w:pageBreakBefore w:val="0"/>
        <w:kinsoku/>
        <w:wordWrap/>
        <w:overflowPunct/>
        <w:topLinePunct w:val="0"/>
        <w:autoSpaceDE/>
        <w:autoSpaceDN/>
        <w:bidi w:val="0"/>
        <w:adjustRightInd/>
        <w:snapToGrid/>
        <w:ind w:left="550" w:leftChars="284" w:firstLine="0" w:firstLineChars="0"/>
        <w:textAlignment w:val="auto"/>
        <w:rPr>
          <w:rFonts w:hint="eastAsia"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 xml:space="preserve">省贸促会领导带队赴广州参加 SPSG广州国际智能制造技术与装备展览会和亚洲国际模具展 </w:t>
      </w:r>
      <w:r>
        <w:rPr>
          <w:rFonts w:hint="default" w:ascii="Times New Roman" w:hAnsi="Times New Roman" w:eastAsia="方正楷体_GBK" w:cs="Times New Roman"/>
          <w:b/>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 xml:space="preserve"> 13</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会领导走访省国际商会副会长单位</w:t>
      </w:r>
      <w:r>
        <w:rPr>
          <w:rFonts w:hint="default" w:ascii="Times New Roman" w:hAnsi="Times New Roman" w:eastAsia="方正楷体_GBK" w:cs="Times New Roman"/>
          <w:b/>
          <w:color w:val="auto"/>
          <w:spacing w:val="0"/>
          <w:kern w:val="36"/>
          <w:sz w:val="30"/>
          <w:szCs w:val="30"/>
          <w:lang w:val="en-US" w:eastAsia="zh-CN"/>
        </w:rPr>
        <w:t xml:space="preserve"> /</w:t>
      </w:r>
      <w:r>
        <w:rPr>
          <w:rFonts w:hint="eastAsia" w:ascii="Times New Roman" w:hAnsi="Times New Roman" w:eastAsia="方正楷体_GBK" w:cs="Times New Roman"/>
          <w:b/>
          <w:color w:val="auto"/>
          <w:spacing w:val="0"/>
          <w:kern w:val="36"/>
          <w:sz w:val="30"/>
          <w:szCs w:val="30"/>
          <w:lang w:val="en-US" w:eastAsia="zh-CN"/>
        </w:rPr>
        <w:t xml:space="preserve"> 14</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 xml:space="preserve">我会与苏美达轻纺公司开展支部共建活动 </w:t>
      </w:r>
      <w:r>
        <w:rPr>
          <w:rFonts w:hint="default" w:ascii="Times New Roman" w:hAnsi="Times New Roman" w:eastAsia="方正楷体_GBK" w:cs="Times New Roman"/>
          <w:b/>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 xml:space="preserve"> 14</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left="550" w:leftChars="284" w:firstLine="0" w:firstLineChars="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 xml:space="preserve">南京市贸促会率团赴广州参展并开展会展工作交流 </w:t>
      </w:r>
      <w:r>
        <w:rPr>
          <w:rFonts w:hint="default" w:ascii="Times New Roman" w:hAnsi="Times New Roman" w:eastAsia="方正楷体_GBK" w:cs="Times New Roman"/>
          <w:b/>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 xml:space="preserve"> </w:t>
      </w:r>
      <w:r>
        <w:rPr>
          <w:rFonts w:hint="default" w:ascii="Times New Roman" w:hAnsi="Times New Roman" w:eastAsia="方正楷体_GBK" w:cs="Times New Roman"/>
          <w:b/>
          <w:color w:val="auto"/>
          <w:spacing w:val="0"/>
          <w:kern w:val="36"/>
          <w:sz w:val="30"/>
          <w:szCs w:val="30"/>
          <w:lang w:val="en-US" w:eastAsia="zh-CN"/>
        </w:rPr>
        <w:t>1</w:t>
      </w:r>
      <w:r>
        <w:rPr>
          <w:rFonts w:hint="eastAsia" w:ascii="Times New Roman" w:hAnsi="Times New Roman" w:eastAsia="方正楷体_GBK" w:cs="Times New Roman"/>
          <w:b/>
          <w:color w:val="auto"/>
          <w:spacing w:val="0"/>
          <w:kern w:val="36"/>
          <w:sz w:val="30"/>
          <w:szCs w:val="30"/>
          <w:lang w:val="en-US" w:eastAsia="zh-CN"/>
        </w:rPr>
        <w:t>5</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 xml:space="preserve">澳门新经济协会到访无锡 </w:t>
      </w:r>
      <w:r>
        <w:rPr>
          <w:rFonts w:hint="default" w:ascii="Times New Roman" w:hAnsi="Times New Roman" w:eastAsia="方正楷体_GBK" w:cs="Times New Roman"/>
          <w:b/>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 xml:space="preserve"> </w:t>
      </w:r>
      <w:r>
        <w:rPr>
          <w:rFonts w:hint="default" w:ascii="Times New Roman" w:hAnsi="Times New Roman" w:eastAsia="方正楷体_GBK" w:cs="Times New Roman"/>
          <w:b/>
          <w:color w:val="auto"/>
          <w:spacing w:val="0"/>
          <w:kern w:val="36"/>
          <w:sz w:val="30"/>
          <w:szCs w:val="30"/>
          <w:lang w:val="en-US" w:eastAsia="zh-CN"/>
        </w:rPr>
        <w:t>1</w:t>
      </w:r>
      <w:r>
        <w:rPr>
          <w:rFonts w:hint="eastAsia" w:ascii="Times New Roman" w:hAnsi="Times New Roman" w:eastAsia="方正楷体_GBK" w:cs="Times New Roman"/>
          <w:b/>
          <w:color w:val="auto"/>
          <w:spacing w:val="0"/>
          <w:kern w:val="36"/>
          <w:sz w:val="30"/>
          <w:szCs w:val="30"/>
          <w:lang w:val="en-US" w:eastAsia="zh-CN"/>
        </w:rPr>
        <w:t>6</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left="550" w:leftChars="284" w:firstLine="0" w:firstLineChars="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default" w:ascii="Times New Roman" w:hAnsi="Times New Roman" w:eastAsia="方正楷体_GBK" w:cs="Times New Roman"/>
          <w:b/>
          <w:color w:val="auto"/>
          <w:spacing w:val="0"/>
          <w:kern w:val="36"/>
          <w:sz w:val="30"/>
          <w:szCs w:val="30"/>
          <w:lang w:val="en-US" w:eastAsia="zh-CN"/>
        </w:rPr>
        <w:t>第四十三期经贸大讲堂（无锡）成功举办</w:t>
      </w:r>
      <w:r>
        <w:rPr>
          <w:rFonts w:hint="eastAsia" w:ascii="Times New Roman" w:hAnsi="Times New Roman" w:eastAsia="方正楷体_GBK" w:cs="Times New Roman"/>
          <w:b/>
          <w:color w:val="auto"/>
          <w:spacing w:val="0"/>
          <w:kern w:val="36"/>
          <w:sz w:val="30"/>
          <w:szCs w:val="30"/>
          <w:lang w:val="en-US" w:eastAsia="zh-CN"/>
        </w:rPr>
        <w:t xml:space="preserve"> </w:t>
      </w:r>
      <w:r>
        <w:rPr>
          <w:rFonts w:hint="default" w:ascii="Times New Roman" w:hAnsi="Times New Roman" w:eastAsia="方正楷体_GBK" w:cs="Times New Roman"/>
          <w:b/>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 xml:space="preserve"> </w:t>
      </w:r>
      <w:r>
        <w:rPr>
          <w:rFonts w:hint="default" w:ascii="Times New Roman" w:hAnsi="Times New Roman" w:eastAsia="方正楷体_GBK" w:cs="Times New Roman"/>
          <w:b/>
          <w:color w:val="auto"/>
          <w:spacing w:val="0"/>
          <w:kern w:val="36"/>
          <w:sz w:val="30"/>
          <w:szCs w:val="30"/>
          <w:lang w:val="en-US" w:eastAsia="zh-CN"/>
        </w:rPr>
        <w:t>1</w:t>
      </w:r>
      <w:r>
        <w:rPr>
          <w:rFonts w:hint="eastAsia" w:ascii="Times New Roman" w:hAnsi="Times New Roman" w:eastAsia="方正楷体_GBK" w:cs="Times New Roman"/>
          <w:b/>
          <w:color w:val="auto"/>
          <w:spacing w:val="0"/>
          <w:kern w:val="36"/>
          <w:sz w:val="30"/>
          <w:szCs w:val="30"/>
          <w:lang w:val="en-US" w:eastAsia="zh-CN"/>
        </w:rPr>
        <w:t>6</w:t>
      </w:r>
      <w:r>
        <w:rPr>
          <w:rFonts w:hint="default" w:ascii="Times New Roman" w:hAnsi="Times New Roman" w:eastAsia="方正楷体_GBK" w:cs="Times New Roman"/>
          <w:b/>
          <w:color w:val="auto"/>
          <w:spacing w:val="0"/>
          <w:kern w:val="36"/>
          <w:sz w:val="30"/>
          <w:szCs w:val="30"/>
          <w:lang w:val="en-US" w:eastAsia="zh-CN"/>
        </w:rPr>
        <w:t xml:space="preserve"> </w:t>
      </w:r>
    </w:p>
    <w:p>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568" w:firstLineChars="200"/>
        <w:contextualSpacing/>
        <w:jc w:val="both"/>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泰州</w:t>
      </w:r>
      <w:r>
        <w:rPr>
          <w:rFonts w:hint="default" w:ascii="Times New Roman" w:hAnsi="Times New Roman" w:eastAsia="方正楷体_GBK" w:cs="Times New Roman"/>
          <w:b/>
          <w:color w:val="auto"/>
          <w:spacing w:val="0"/>
          <w:kern w:val="36"/>
          <w:sz w:val="30"/>
          <w:szCs w:val="30"/>
          <w:lang w:val="en-US" w:eastAsia="zh-CN"/>
        </w:rPr>
        <w:t>市贸促会</w:t>
      </w:r>
      <w:r>
        <w:rPr>
          <w:rFonts w:hint="eastAsia" w:ascii="Times New Roman" w:hAnsi="Times New Roman" w:eastAsia="方正楷体_GBK" w:cs="Times New Roman"/>
          <w:b/>
          <w:color w:val="auto"/>
          <w:spacing w:val="0"/>
          <w:kern w:val="36"/>
          <w:sz w:val="30"/>
          <w:szCs w:val="30"/>
          <w:lang w:val="en-US" w:eastAsia="zh-CN"/>
        </w:rPr>
        <w:t>积极服务第32届华交会</w:t>
      </w:r>
      <w:r>
        <w:rPr>
          <w:rFonts w:hint="default" w:ascii="Times New Roman" w:hAnsi="Times New Roman" w:eastAsia="方正楷体_GBK" w:cs="Times New Roman"/>
          <w:b/>
          <w:color w:val="auto"/>
          <w:spacing w:val="0"/>
          <w:kern w:val="36"/>
          <w:sz w:val="30"/>
          <w:szCs w:val="30"/>
          <w:lang w:val="en-US" w:eastAsia="zh-CN"/>
        </w:rPr>
        <w:t xml:space="preserve"> /</w:t>
      </w:r>
      <w:r>
        <w:rPr>
          <w:rFonts w:hint="eastAsia" w:ascii="Times New Roman" w:hAnsi="Times New Roman" w:eastAsia="方正楷体_GBK" w:cs="Times New Roman"/>
          <w:b/>
          <w:color w:val="auto"/>
          <w:spacing w:val="0"/>
          <w:kern w:val="36"/>
          <w:sz w:val="30"/>
          <w:szCs w:val="30"/>
          <w:lang w:val="en-US" w:eastAsia="zh-CN"/>
        </w:rPr>
        <w:t xml:space="preserve"> </w:t>
      </w:r>
      <w:r>
        <w:rPr>
          <w:rFonts w:hint="default" w:ascii="Times New Roman" w:hAnsi="Times New Roman" w:eastAsia="方正楷体_GBK" w:cs="Times New Roman"/>
          <w:b/>
          <w:color w:val="auto"/>
          <w:spacing w:val="0"/>
          <w:kern w:val="36"/>
          <w:sz w:val="30"/>
          <w:szCs w:val="30"/>
          <w:lang w:val="en-US" w:eastAsia="zh-CN"/>
        </w:rPr>
        <w:t>1</w:t>
      </w:r>
      <w:r>
        <w:rPr>
          <w:rFonts w:hint="eastAsia" w:ascii="Times New Roman" w:hAnsi="Times New Roman" w:eastAsia="方正楷体_GBK" w:cs="Times New Roman"/>
          <w:b/>
          <w:color w:val="auto"/>
          <w:spacing w:val="0"/>
          <w:kern w:val="36"/>
          <w:sz w:val="30"/>
          <w:szCs w:val="30"/>
          <w:lang w:val="en-US" w:eastAsia="zh-CN"/>
        </w:rPr>
        <w:t>7</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 xml:space="preserve">贸促服务助企行镇江宣讲会顺利举办 </w:t>
      </w:r>
      <w:r>
        <w:rPr>
          <w:rFonts w:hint="default" w:ascii="Times New Roman" w:hAnsi="Times New Roman" w:eastAsia="方正楷体_GBK" w:cs="Times New Roman"/>
          <w:b/>
          <w:color w:val="auto"/>
          <w:spacing w:val="0"/>
          <w:kern w:val="36"/>
          <w:sz w:val="30"/>
          <w:szCs w:val="30"/>
          <w:lang w:val="en-US" w:eastAsia="zh-CN"/>
        </w:rPr>
        <w:t>/ 1</w:t>
      </w:r>
      <w:r>
        <w:rPr>
          <w:rFonts w:hint="eastAsia" w:ascii="Times New Roman" w:hAnsi="Times New Roman" w:eastAsia="方正楷体_GBK" w:cs="Times New Roman"/>
          <w:b/>
          <w:color w:val="auto"/>
          <w:spacing w:val="0"/>
          <w:kern w:val="36"/>
          <w:sz w:val="30"/>
          <w:szCs w:val="30"/>
          <w:lang w:val="en-US" w:eastAsia="zh-CN"/>
        </w:rPr>
        <w:t>7</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default" w:ascii="Times New Roman" w:hAnsi="Times New Roman" w:eastAsia="方正黑体_GBK" w:cs="Times New Roman"/>
          <w:b/>
          <w:color w:val="FFC000"/>
          <w:kern w:val="36"/>
          <w:sz w:val="32"/>
          <w:szCs w:val="32"/>
          <w:lang w:val="en-US" w:eastAsia="zh-CN"/>
        </w:rPr>
      </w:pP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 xml:space="preserve">• 会员企业风采 • </w:t>
      </w:r>
      <w:r>
        <w:rPr>
          <w:rFonts w:hint="default" w:ascii="Times New Roman" w:hAnsi="Times New Roman" w:eastAsia="宋体" w:cs="Times New Roman"/>
          <w:b/>
          <w:color w:val="FF0000"/>
          <w:kern w:val="36"/>
          <w:sz w:val="32"/>
          <w:szCs w:val="32"/>
          <w:lang w:val="en-US" w:eastAsia="zh-CN"/>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left="550" w:leftChars="284" w:firstLine="0" w:firstLineChars="0"/>
        <w:contextualSpacing/>
        <w:textAlignment w:val="auto"/>
        <w:outlineLvl w:val="1"/>
        <w:rPr>
          <w:rFonts w:hint="default" w:ascii="Times New Roman" w:hAnsi="Times New Roman" w:eastAsia="方正楷体_GBK" w:cs="Times New Roman"/>
          <w:b/>
          <w:color w:val="auto"/>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跨境电商新动能蓄势聚力——苏豪控股集团亮相外贸“新春第一展”</w:t>
      </w:r>
      <w:r>
        <w:rPr>
          <w:rFonts w:hint="default" w:ascii="Times New Roman" w:hAnsi="Times New Roman" w:eastAsia="方正楷体_GBK" w:cs="Times New Roman"/>
          <w:b/>
          <w:color w:val="auto"/>
          <w:kern w:val="36"/>
          <w:sz w:val="30"/>
          <w:szCs w:val="30"/>
          <w:lang w:val="en-US" w:eastAsia="zh-CN"/>
        </w:rPr>
        <w:t>/</w:t>
      </w:r>
      <w:r>
        <w:rPr>
          <w:rFonts w:hint="eastAsia" w:ascii="Times New Roman" w:hAnsi="Times New Roman" w:eastAsia="方正楷体_GBK" w:cs="Times New Roman"/>
          <w:b/>
          <w:color w:val="auto"/>
          <w:kern w:val="36"/>
          <w:sz w:val="30"/>
          <w:szCs w:val="30"/>
          <w:lang w:val="en-US" w:eastAsia="zh-CN"/>
        </w:rPr>
        <w:t xml:space="preserve"> </w:t>
      </w:r>
      <w:r>
        <w:rPr>
          <w:rFonts w:hint="default" w:ascii="Times New Roman" w:hAnsi="Times New Roman" w:eastAsia="方正楷体_GBK" w:cs="Times New Roman"/>
          <w:b/>
          <w:color w:val="auto"/>
          <w:kern w:val="36"/>
          <w:sz w:val="30"/>
          <w:szCs w:val="30"/>
          <w:lang w:val="en-US" w:eastAsia="zh-CN"/>
        </w:rPr>
        <w:t>1</w:t>
      </w:r>
      <w:r>
        <w:rPr>
          <w:rFonts w:hint="eastAsia" w:ascii="Times New Roman" w:hAnsi="Times New Roman" w:eastAsia="方正楷体_GBK" w:cs="Times New Roman"/>
          <w:b/>
          <w:color w:val="auto"/>
          <w:kern w:val="36"/>
          <w:sz w:val="30"/>
          <w:szCs w:val="30"/>
          <w:lang w:val="en-US" w:eastAsia="zh-CN"/>
        </w:rPr>
        <w:t>8</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焦点科技受邀出席全国外贸工作会议</w:t>
      </w:r>
      <w:r>
        <w:rPr>
          <w:rFonts w:hint="default" w:ascii="Times New Roman" w:hAnsi="Times New Roman" w:eastAsia="方正楷体_GBK" w:cs="Times New Roman"/>
          <w:b/>
          <w:color w:val="auto"/>
          <w:spacing w:val="-28"/>
          <w:kern w:val="36"/>
          <w:sz w:val="30"/>
          <w:szCs w:val="30"/>
          <w:lang w:val="en-US" w:eastAsia="zh-CN"/>
        </w:rPr>
        <w:t xml:space="preserve"> </w:t>
      </w:r>
      <w:r>
        <w:rPr>
          <w:rFonts w:hint="default" w:ascii="Times New Roman" w:hAnsi="Times New Roman" w:eastAsia="方正楷体_GBK" w:cs="Times New Roman"/>
          <w:b/>
          <w:color w:val="auto"/>
          <w:kern w:val="36"/>
          <w:sz w:val="30"/>
          <w:szCs w:val="30"/>
          <w:lang w:val="en-US" w:eastAsia="zh-CN"/>
        </w:rPr>
        <w:t>/ 1</w:t>
      </w:r>
      <w:r>
        <w:rPr>
          <w:rFonts w:hint="eastAsia" w:ascii="Times New Roman" w:hAnsi="Times New Roman" w:eastAsia="方正楷体_GBK" w:cs="Times New Roman"/>
          <w:b/>
          <w:color w:val="auto"/>
          <w:kern w:val="36"/>
          <w:sz w:val="30"/>
          <w:szCs w:val="30"/>
          <w:lang w:val="en-US" w:eastAsia="zh-CN"/>
        </w:rPr>
        <w:t>9</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pPr>
      <w:r>
        <w:rPr>
          <w:rFonts w:hint="eastAsia" w:ascii="Times New Roman" w:hAnsi="Times New Roman" w:eastAsia="方正楷体_GBK" w:cs="Times New Roman"/>
          <w:b/>
          <w:color w:val="auto"/>
          <w:spacing w:val="0"/>
          <w:kern w:val="36"/>
          <w:sz w:val="30"/>
          <w:szCs w:val="30"/>
          <w:lang w:val="en-US" w:eastAsia="zh-CN"/>
        </w:rPr>
        <w:t>上能电气入选2024年Q1彭博全球一级光伏逆变器制造商榜单</w:t>
      </w:r>
      <w:r>
        <w:rPr>
          <w:rFonts w:hint="default" w:ascii="Times New Roman" w:hAnsi="Times New Roman" w:eastAsia="方正楷体_GBK" w:cs="Times New Roman"/>
          <w:b/>
          <w:color w:val="auto"/>
          <w:kern w:val="36"/>
          <w:sz w:val="30"/>
          <w:szCs w:val="30"/>
          <w:lang w:val="en-US" w:eastAsia="zh-CN"/>
        </w:rPr>
        <w:t xml:space="preserve"> /</w:t>
      </w:r>
      <w:r>
        <w:rPr>
          <w:rFonts w:hint="eastAsia" w:ascii="Times New Roman" w:hAnsi="Times New Roman" w:eastAsia="方正楷体_GBK" w:cs="Times New Roman"/>
          <w:b/>
          <w:color w:val="auto"/>
          <w:kern w:val="36"/>
          <w:sz w:val="30"/>
          <w:szCs w:val="30"/>
          <w:lang w:val="en-US" w:eastAsia="zh-CN"/>
        </w:rPr>
        <w:t>20</w:t>
      </w:r>
      <w:bookmarkStart w:id="0" w:name="_GoBack"/>
      <w:bookmarkEnd w:id="0"/>
    </w:p>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sectPr>
          <w:footerReference r:id="rId3" w:type="default"/>
          <w:pgSz w:w="11906" w:h="16838"/>
          <w:pgMar w:top="2098" w:right="1474" w:bottom="1984" w:left="1587" w:header="1417" w:footer="992" w:gutter="0"/>
          <w:pgBorders>
            <w:top w:val="single" w:color="F82206" w:sz="48" w:space="1"/>
            <w:left w:val="single" w:color="F82206" w:sz="48" w:space="4"/>
            <w:bottom w:val="single" w:color="F82206" w:sz="48" w:space="1"/>
            <w:right w:val="single" w:color="F82206" w:sz="48" w:space="4"/>
          </w:pgBorders>
          <w:pgNumType w:fmt="decimal" w:start="1"/>
          <w:cols w:space="425" w:num="1"/>
          <w:docGrid w:type="linesAndChars" w:linePitch="290" w:charSpace="-3420"/>
        </w:sectPr>
      </w:pP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pPr>
      <w:r>
        <w:rPr>
          <w:rFonts w:hint="default"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t>全球市场资讯</w:t>
      </w:r>
    </w:p>
    <w:p>
      <w:pPr>
        <w:ind w:left="0" w:leftChars="0" w:firstLine="0" w:firstLineChars="0"/>
        <w:jc w:val="left"/>
        <w:rPr>
          <w:rFonts w:hint="default" w:ascii="Times New Roman" w:hAnsi="Times New Roman" w:eastAsia="宋体" w:cs="Times New Roman"/>
          <w:b/>
          <w:bCs/>
          <w:color w:val="0000FF"/>
          <w:sz w:val="32"/>
          <w:szCs w:val="32"/>
          <w:highlight w:val="yellow"/>
          <w:lang w:val="en-US" w:eastAsia="zh-CN"/>
        </w:rPr>
      </w:pPr>
      <w:r>
        <w:rPr>
          <w:rFonts w:hint="eastAsia" w:ascii="Times New Roman" w:hAnsi="Times New Roman" w:eastAsia="方正小标宋_GBK" w:cs="Times New Roman"/>
          <w:b/>
          <w:bCs/>
          <w:color w:val="FF0000"/>
          <w:sz w:val="32"/>
          <w:szCs w:val="40"/>
          <w:highlight w:val="yellow"/>
          <w:lang w:val="en-US" w:eastAsia="zh-CN"/>
        </w:rPr>
        <w:t>3</w:t>
      </w:r>
      <w:r>
        <w:rPr>
          <w:rFonts w:hint="default" w:ascii="Times New Roman" w:hAnsi="Times New Roman" w:eastAsia="方正小标宋_GBK" w:cs="Times New Roman"/>
          <w:b/>
          <w:bCs/>
          <w:color w:val="FF0000"/>
          <w:sz w:val="32"/>
          <w:szCs w:val="40"/>
          <w:highlight w:val="yellow"/>
          <w:lang w:val="en-US" w:eastAsia="zh-CN"/>
        </w:rPr>
        <w:t>月</w:t>
      </w:r>
      <w:r>
        <w:rPr>
          <w:rFonts w:hint="eastAsia" w:ascii="Times New Roman" w:hAnsi="Times New Roman" w:eastAsia="方正小标宋_GBK" w:cs="Times New Roman"/>
          <w:b/>
          <w:bCs/>
          <w:color w:val="FF0000"/>
          <w:sz w:val="32"/>
          <w:szCs w:val="40"/>
          <w:highlight w:val="yellow"/>
          <w:lang w:val="en-US" w:eastAsia="zh-CN"/>
        </w:rPr>
        <w:t>1</w:t>
      </w:r>
      <w:r>
        <w:rPr>
          <w:rFonts w:hint="default" w:ascii="Times New Roman" w:hAnsi="Times New Roman" w:eastAsia="方正小标宋_GBK" w:cs="Times New Roman"/>
          <w:b/>
          <w:bCs/>
          <w:color w:val="FF0000"/>
          <w:sz w:val="32"/>
          <w:szCs w:val="40"/>
          <w:highlight w:val="yellow"/>
          <w:lang w:val="en-US" w:eastAsia="zh-CN"/>
        </w:rPr>
        <w:t>日</w:t>
      </w:r>
      <w:r>
        <w:rPr>
          <w:rFonts w:hint="default" w:ascii="Times New Roman" w:hAnsi="Times New Roman" w:eastAsia="方正魏碑简体" w:cs="Times New Roman"/>
          <w:b/>
          <w:bCs/>
          <w:color w:val="0000FF"/>
          <w:sz w:val="32"/>
          <w:szCs w:val="40"/>
          <w:highlight w:val="yellow"/>
          <w:lang w:val="en-US" w:eastAsia="zh-CN"/>
        </w:rPr>
        <w:t>（周</w:t>
      </w:r>
      <w:r>
        <w:rPr>
          <w:rFonts w:hint="eastAsia" w:ascii="Times New Roman" w:hAnsi="Times New Roman" w:eastAsia="方正魏碑简体" w:cs="Times New Roman"/>
          <w:b/>
          <w:bCs/>
          <w:color w:val="0000FF"/>
          <w:sz w:val="32"/>
          <w:szCs w:val="40"/>
          <w:highlight w:val="yellow"/>
          <w:lang w:val="en-US" w:eastAsia="zh-CN"/>
        </w:rPr>
        <w:t>五</w:t>
      </w:r>
      <w:r>
        <w:rPr>
          <w:rFonts w:hint="default" w:ascii="Times New Roman" w:hAnsi="Times New Roman" w:eastAsia="方正魏碑简体" w:cs="Times New Roman"/>
          <w:b/>
          <w:bCs/>
          <w:color w:val="0000FF"/>
          <w:sz w:val="32"/>
          <w:szCs w:val="40"/>
          <w:highlight w:val="yellow"/>
          <w:lang w:val="en-US" w:eastAsia="zh-CN"/>
        </w:rPr>
        <w:t>）</w:t>
      </w:r>
    </w:p>
    <w:p>
      <w:pPr>
        <w:jc w:val="center"/>
        <w:rPr>
          <w:rFonts w:hint="eastAsia" w:ascii="Times New Roman" w:hAnsi="Times New Roman" w:eastAsia="方正小标宋_GBK" w:cs="Times New Roman"/>
          <w:b/>
          <w:bCs/>
          <w:color w:val="0000FF"/>
          <w:sz w:val="36"/>
          <w:szCs w:val="44"/>
          <w:highlight w:val="yellow"/>
          <w:lang w:val="en-US" w:eastAsia="zh-CN"/>
        </w:rPr>
      </w:pPr>
      <w:r>
        <w:rPr>
          <w:rFonts w:hint="eastAsia" w:ascii="Times New Roman" w:hAnsi="Times New Roman" w:eastAsia="方正小标宋_GBK" w:cs="Times New Roman"/>
          <w:b/>
          <w:bCs/>
          <w:color w:val="0000FF"/>
          <w:sz w:val="36"/>
          <w:szCs w:val="44"/>
          <w:highlight w:val="yellow"/>
          <w:lang w:val="en-US" w:eastAsia="zh-CN"/>
        </w:rPr>
        <w:t>美国</w:t>
      </w:r>
      <w:r>
        <w:rPr>
          <w:rFonts w:hint="default" w:ascii="Times New Roman" w:hAnsi="Times New Roman" w:eastAsia="方正小标宋_GBK" w:cs="Times New Roman"/>
          <w:b/>
          <w:bCs/>
          <w:color w:val="0000FF"/>
          <w:sz w:val="36"/>
          <w:szCs w:val="44"/>
          <w:highlight w:val="yellow"/>
          <w:lang w:val="en-US" w:eastAsia="zh-CN"/>
        </w:rPr>
        <w:t>1</w:t>
      </w:r>
      <w:r>
        <w:rPr>
          <w:rFonts w:hint="eastAsia" w:ascii="Times New Roman" w:hAnsi="Times New Roman" w:eastAsia="方正小标宋_GBK" w:cs="Times New Roman"/>
          <w:b/>
          <w:bCs/>
          <w:color w:val="0000FF"/>
          <w:sz w:val="36"/>
          <w:szCs w:val="44"/>
          <w:highlight w:val="yellow"/>
          <w:lang w:val="en-US" w:eastAsia="zh-CN"/>
        </w:rPr>
        <w:t>月</w:t>
      </w:r>
      <w:r>
        <w:rPr>
          <w:rFonts w:hint="default" w:ascii="Times New Roman" w:hAnsi="Times New Roman" w:eastAsia="方正小标宋_GBK" w:cs="Times New Roman"/>
          <w:b/>
          <w:bCs/>
          <w:color w:val="0000FF"/>
          <w:sz w:val="36"/>
          <w:szCs w:val="44"/>
          <w:highlight w:val="yellow"/>
          <w:lang w:val="en-US" w:eastAsia="zh-CN"/>
        </w:rPr>
        <w:t>PCE</w:t>
      </w:r>
      <w:r>
        <w:rPr>
          <w:rFonts w:hint="eastAsia" w:ascii="Times New Roman" w:hAnsi="Times New Roman" w:eastAsia="方正小标宋_GBK" w:cs="Times New Roman"/>
          <w:b/>
          <w:bCs/>
          <w:color w:val="0000FF"/>
          <w:sz w:val="36"/>
          <w:szCs w:val="44"/>
          <w:highlight w:val="yellow"/>
          <w:lang w:val="en-US" w:eastAsia="zh-CN"/>
        </w:rPr>
        <w:t>符合预期，</w:t>
      </w:r>
    </w:p>
    <w:p>
      <w:pPr>
        <w:jc w:val="center"/>
        <w:rPr>
          <w:rFonts w:hint="default" w:ascii="Times New Roman" w:hAnsi="Times New Roman" w:eastAsia="方正小标宋_GBK" w:cs="Times New Roman"/>
          <w:b/>
          <w:bCs/>
          <w:color w:val="0000FF"/>
          <w:sz w:val="36"/>
          <w:szCs w:val="44"/>
          <w:highlight w:val="yellow"/>
          <w:lang w:val="en-US" w:eastAsia="zh-CN"/>
        </w:rPr>
      </w:pPr>
      <w:r>
        <w:rPr>
          <w:rFonts w:hint="eastAsia" w:ascii="Times New Roman" w:hAnsi="Times New Roman" w:eastAsia="方正小标宋_GBK" w:cs="Times New Roman"/>
          <w:b/>
          <w:bCs/>
          <w:color w:val="0000FF"/>
          <w:sz w:val="36"/>
          <w:szCs w:val="44"/>
          <w:highlight w:val="yellow"/>
          <w:lang w:val="en-US" w:eastAsia="zh-CN"/>
        </w:rPr>
        <w:t>欧洲</w:t>
      </w:r>
      <w:r>
        <w:rPr>
          <w:rFonts w:hint="default" w:ascii="Times New Roman" w:hAnsi="Times New Roman" w:eastAsia="方正小标宋_GBK" w:cs="Times New Roman"/>
          <w:b/>
          <w:bCs/>
          <w:color w:val="0000FF"/>
          <w:sz w:val="36"/>
          <w:szCs w:val="44"/>
          <w:highlight w:val="yellow"/>
          <w:lang w:val="en-US" w:eastAsia="zh-CN"/>
        </w:rPr>
        <w:t>2</w:t>
      </w:r>
      <w:r>
        <w:rPr>
          <w:rFonts w:hint="eastAsia" w:ascii="Times New Roman" w:hAnsi="Times New Roman" w:eastAsia="方正小标宋_GBK" w:cs="Times New Roman"/>
          <w:b/>
          <w:bCs/>
          <w:color w:val="0000FF"/>
          <w:sz w:val="36"/>
          <w:szCs w:val="44"/>
          <w:highlight w:val="yellow"/>
          <w:lang w:val="en-US" w:eastAsia="zh-CN"/>
        </w:rPr>
        <w:t>月</w:t>
      </w:r>
      <w:r>
        <w:rPr>
          <w:rFonts w:hint="default" w:ascii="Times New Roman" w:hAnsi="Times New Roman" w:eastAsia="方正小标宋_GBK" w:cs="Times New Roman"/>
          <w:b/>
          <w:bCs/>
          <w:color w:val="0000FF"/>
          <w:sz w:val="36"/>
          <w:szCs w:val="44"/>
          <w:highlight w:val="yellow"/>
          <w:lang w:val="en-US" w:eastAsia="zh-CN"/>
        </w:rPr>
        <w:t>CPI</w:t>
      </w:r>
      <w:r>
        <w:rPr>
          <w:rFonts w:hint="eastAsia" w:ascii="Times New Roman" w:hAnsi="Times New Roman" w:eastAsia="方正小标宋_GBK" w:cs="Times New Roman"/>
          <w:b/>
          <w:bCs/>
          <w:color w:val="0000FF"/>
          <w:sz w:val="36"/>
          <w:szCs w:val="44"/>
          <w:highlight w:val="yellow"/>
          <w:lang w:val="en-US" w:eastAsia="zh-CN"/>
        </w:rPr>
        <w:t>初值显示通胀放缓</w:t>
      </w:r>
    </w:p>
    <w:p>
      <w:pPr>
        <w:ind w:firstLine="608" w:firstLineChars="200"/>
        <w:jc w:val="left"/>
        <w:rPr>
          <w:rFonts w:hint="default"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一、美国</w:t>
      </w:r>
      <w:r>
        <w:rPr>
          <w:rFonts w:hint="default" w:ascii="Times New Roman" w:hAnsi="Times New Roman" w:cs="Times New Roman"/>
          <w:b/>
          <w:bCs/>
          <w:sz w:val="32"/>
          <w:szCs w:val="32"/>
          <w:lang w:val="en-US" w:eastAsia="zh-CN"/>
        </w:rPr>
        <w:t>1</w:t>
      </w:r>
      <w:r>
        <w:rPr>
          <w:rFonts w:hint="eastAsia" w:ascii="Times New Roman" w:hAnsi="Times New Roman" w:cs="Times New Roman"/>
          <w:b/>
          <w:bCs/>
          <w:sz w:val="32"/>
          <w:szCs w:val="32"/>
          <w:lang w:val="en-US" w:eastAsia="zh-CN"/>
        </w:rPr>
        <w:t>月份通胀率符合预期</w:t>
      </w:r>
    </w:p>
    <w:p>
      <w:pPr>
        <w:ind w:firstLine="608" w:firstLineChars="200"/>
        <w:jc w:val="left"/>
        <w:rPr>
          <w:rFonts w:hint="eastAsia" w:ascii="Times New Roman" w:hAnsi="Times New Roman" w:cs="Times New Roman"/>
          <w:sz w:val="32"/>
          <w:szCs w:val="32"/>
          <w:lang w:val="en-US" w:eastAsia="zh-CN"/>
        </w:rPr>
      </w:pPr>
      <w:r>
        <w:rPr>
          <w:rFonts w:hint="default" w:ascii="Times New Roman" w:hAnsi="Times New Roman" w:cs="Times New Roman"/>
          <w:sz w:val="32"/>
          <w:szCs w:val="32"/>
          <w:lang w:val="en-US" w:eastAsia="zh-CN"/>
        </w:rPr>
        <w:t>2</w:t>
      </w:r>
      <w:r>
        <w:rPr>
          <w:rFonts w:hint="eastAsia" w:ascii="Times New Roman" w:hAnsi="Times New Roman" w:cs="Times New Roman"/>
          <w:sz w:val="32"/>
          <w:szCs w:val="32"/>
          <w:lang w:val="en-US" w:eastAsia="zh-CN"/>
        </w:rPr>
        <w:t>月</w:t>
      </w:r>
      <w:r>
        <w:rPr>
          <w:rFonts w:hint="default" w:ascii="Times New Roman" w:hAnsi="Times New Roman" w:cs="Times New Roman"/>
          <w:sz w:val="32"/>
          <w:szCs w:val="32"/>
          <w:lang w:val="en-US" w:eastAsia="zh-CN"/>
        </w:rPr>
        <w:t>29</w:t>
      </w:r>
      <w:r>
        <w:rPr>
          <w:rFonts w:hint="eastAsia" w:ascii="Times New Roman" w:hAnsi="Times New Roman" w:cs="Times New Roman"/>
          <w:sz w:val="32"/>
          <w:szCs w:val="32"/>
          <w:lang w:val="en-US" w:eastAsia="zh-CN"/>
        </w:rPr>
        <w:t>日（周四），美国商务部公布最新的物价指数。</w:t>
      </w:r>
    </w:p>
    <w:p>
      <w:pPr>
        <w:ind w:firstLine="608" w:firstLineChars="200"/>
        <w:jc w:val="left"/>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个人消费支出（PCE）价格指数的同比涨幅创近三年来最低：“</w:t>
      </w:r>
      <w:r>
        <w:rPr>
          <w:rFonts w:hint="default" w:ascii="Times New Roman" w:hAnsi="Times New Roman" w:cs="Times New Roman"/>
          <w:sz w:val="32"/>
          <w:szCs w:val="32"/>
          <w:lang w:val="en-US" w:eastAsia="zh-CN"/>
        </w:rPr>
        <w:t>PCE</w:t>
      </w:r>
      <w:r>
        <w:rPr>
          <w:rFonts w:hint="eastAsia" w:ascii="Times New Roman" w:hAnsi="Times New Roman" w:cs="Times New Roman"/>
          <w:sz w:val="32"/>
          <w:szCs w:val="32"/>
          <w:lang w:val="en-US" w:eastAsia="zh-CN"/>
        </w:rPr>
        <w:t>物价指数”同比，从12月份的2.6%降至1月份的2.4%（见图中橙色实线）。美联储首选的通胀指标“核心</w:t>
      </w:r>
      <w:r>
        <w:rPr>
          <w:rFonts w:hint="default" w:ascii="Times New Roman" w:hAnsi="Times New Roman" w:cs="Times New Roman"/>
          <w:sz w:val="32"/>
          <w:szCs w:val="32"/>
          <w:lang w:val="en-US" w:eastAsia="zh-CN"/>
        </w:rPr>
        <w:t>PCE</w:t>
      </w:r>
      <w:r>
        <w:rPr>
          <w:rFonts w:hint="eastAsia" w:ascii="Times New Roman" w:hAnsi="Times New Roman" w:cs="Times New Roman"/>
          <w:sz w:val="32"/>
          <w:szCs w:val="32"/>
          <w:lang w:val="en-US" w:eastAsia="zh-CN"/>
        </w:rPr>
        <w:t>物价指数”同比为</w:t>
      </w:r>
      <w:r>
        <w:rPr>
          <w:rFonts w:hint="default" w:ascii="Times New Roman" w:hAnsi="Times New Roman" w:cs="Times New Roman"/>
          <w:sz w:val="32"/>
          <w:szCs w:val="32"/>
          <w:lang w:val="en-US" w:eastAsia="zh-CN"/>
        </w:rPr>
        <w:t>2.8%</w:t>
      </w:r>
      <w:r>
        <w:rPr>
          <w:rFonts w:hint="eastAsia" w:ascii="Times New Roman" w:hAnsi="Times New Roman" w:cs="Times New Roman"/>
          <w:sz w:val="32"/>
          <w:szCs w:val="32"/>
          <w:lang w:val="en-US" w:eastAsia="zh-CN"/>
        </w:rPr>
        <w:t>，也低于前值，符合预期（见表格）。</w:t>
      </w:r>
    </w:p>
    <w:p>
      <w:pPr>
        <w:ind w:firstLine="388" w:firstLineChars="200"/>
        <w:jc w:val="center"/>
        <w:rPr>
          <w:rFonts w:hint="default" w:ascii="Times New Roman" w:hAnsi="Times New Roman" w:cs="Times New Roman"/>
          <w:b/>
          <w:bCs/>
          <w:sz w:val="32"/>
          <w:szCs w:val="32"/>
          <w:lang w:val="en-US" w:eastAsia="zh-CN"/>
        </w:rPr>
      </w:pPr>
      <w:r>
        <w:drawing>
          <wp:inline distT="0" distB="0" distL="114300" distR="114300">
            <wp:extent cx="3145790" cy="2195195"/>
            <wp:effectExtent l="0" t="0" r="16510" b="14605"/>
            <wp:docPr id="5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2"/>
                    <pic:cNvPicPr>
                      <a:picLocks noChangeAspect="1"/>
                    </pic:cNvPicPr>
                  </pic:nvPicPr>
                  <pic:blipFill>
                    <a:blip r:embed="rId6"/>
                    <a:stretch>
                      <a:fillRect/>
                    </a:stretch>
                  </pic:blipFill>
                  <pic:spPr>
                    <a:xfrm>
                      <a:off x="0" y="0"/>
                      <a:ext cx="3145790" cy="2195195"/>
                    </a:xfrm>
                    <a:prstGeom prst="rect">
                      <a:avLst/>
                    </a:prstGeom>
                    <a:noFill/>
                    <a:ln>
                      <a:noFill/>
                    </a:ln>
                  </pic:spPr>
                </pic:pic>
              </a:graphicData>
            </a:graphic>
          </wp:inline>
        </w:drawing>
      </w:r>
    </w:p>
    <w:p>
      <w:pPr>
        <w:jc w:val="center"/>
        <w:rPr>
          <w:rFonts w:hint="eastAsia" w:ascii="方正楷体_GBK" w:hAnsi="方正楷体_GBK" w:eastAsia="方正楷体_GBK" w:cs="方正楷体_GBK"/>
          <w:sz w:val="28"/>
          <w:szCs w:val="28"/>
          <w:lang w:val="en-US" w:eastAsia="zh-CN"/>
        </w:rPr>
      </w:pPr>
      <w:r>
        <w:rPr>
          <w:rFonts w:hint="eastAsia" w:ascii="方正楷体_GBK" w:hAnsi="方正楷体_GBK" w:eastAsia="方正楷体_GBK" w:cs="方正楷体_GBK"/>
          <w:sz w:val="28"/>
          <w:szCs w:val="28"/>
          <w:lang w:val="en-US" w:eastAsia="zh-CN"/>
        </w:rPr>
        <w:t>（图示：联邦基金利率与通胀率之间的缺口，可视为“实际利率”）</w:t>
      </w:r>
    </w:p>
    <w:p>
      <w:pPr>
        <w:jc w:val="left"/>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drawing>
          <wp:inline distT="0" distB="0" distL="114300" distR="114300">
            <wp:extent cx="5614670" cy="1263650"/>
            <wp:effectExtent l="0" t="0" r="5080" b="12700"/>
            <wp:docPr id="7" name="图片 7" descr="微信截图_20240306090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截图_20240306090949"/>
                    <pic:cNvPicPr>
                      <a:picLocks noChangeAspect="1"/>
                    </pic:cNvPicPr>
                  </pic:nvPicPr>
                  <pic:blipFill>
                    <a:blip r:embed="rId7"/>
                    <a:stretch>
                      <a:fillRect/>
                    </a:stretch>
                  </pic:blipFill>
                  <pic:spPr>
                    <a:xfrm>
                      <a:off x="0" y="0"/>
                      <a:ext cx="5614670" cy="1263650"/>
                    </a:xfrm>
                    <a:prstGeom prst="rect">
                      <a:avLst/>
                    </a:prstGeom>
                  </pic:spPr>
                </pic:pic>
              </a:graphicData>
            </a:graphic>
          </wp:inline>
        </w:drawing>
      </w:r>
    </w:p>
    <w:p>
      <w:pPr>
        <w:ind w:firstLine="608" w:firstLineChars="200"/>
        <w:jc w:val="left"/>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通胀下降，增强了美联储今年降息的预期，但</w:t>
      </w:r>
      <w:r>
        <w:rPr>
          <w:rFonts w:hint="default" w:ascii="Times New Roman" w:hAnsi="Times New Roman" w:cs="Times New Roman"/>
          <w:sz w:val="32"/>
          <w:szCs w:val="32"/>
          <w:lang w:val="en-US" w:eastAsia="zh-CN"/>
        </w:rPr>
        <w:t>2.8%</w:t>
      </w:r>
      <w:r>
        <w:rPr>
          <w:rFonts w:hint="eastAsia" w:ascii="Times New Roman" w:hAnsi="Times New Roman" w:cs="Times New Roman"/>
          <w:sz w:val="32"/>
          <w:szCs w:val="32"/>
          <w:lang w:val="en-US" w:eastAsia="zh-CN"/>
        </w:rPr>
        <w:t>的数值距离其中期通胀目标（</w:t>
      </w:r>
      <w:r>
        <w:rPr>
          <w:rFonts w:hint="default" w:ascii="Times New Roman" w:hAnsi="Times New Roman" w:cs="Times New Roman"/>
          <w:sz w:val="32"/>
          <w:szCs w:val="32"/>
          <w:lang w:val="en-US" w:eastAsia="zh-CN"/>
        </w:rPr>
        <w:t>2%</w:t>
      </w:r>
      <w:r>
        <w:rPr>
          <w:rFonts w:hint="eastAsia" w:ascii="Times New Roman" w:hAnsi="Times New Roman" w:cs="Times New Roman"/>
          <w:sz w:val="32"/>
          <w:szCs w:val="32"/>
          <w:lang w:val="en-US" w:eastAsia="zh-CN"/>
        </w:rPr>
        <w:t>）仍有距离，需要持续观察。</w:t>
      </w:r>
    </w:p>
    <w:p>
      <w:pPr>
        <w:ind w:firstLine="608" w:firstLineChars="200"/>
        <w:jc w:val="left"/>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目前美国经济表现强劲，就业市场紧绷，通货膨胀仍具反弹可能，近期降息的可能性较小。</w:t>
      </w:r>
    </w:p>
    <w:p>
      <w:pPr>
        <w:keepNext w:val="0"/>
        <w:keepLines w:val="0"/>
        <w:pageBreakBefore w:val="0"/>
        <w:widowControl w:val="0"/>
        <w:kinsoku/>
        <w:wordWrap/>
        <w:overflowPunct/>
        <w:topLinePunct w:val="0"/>
        <w:autoSpaceDE/>
        <w:autoSpaceDN/>
        <w:bidi w:val="0"/>
        <w:adjustRightInd/>
        <w:snapToGrid/>
        <w:spacing w:line="400" w:lineRule="exact"/>
        <w:ind w:firstLine="528" w:firstLineChars="200"/>
        <w:textAlignment w:val="auto"/>
        <w:outlineLvl w:val="9"/>
        <w:rPr>
          <w:rFonts w:hint="default" w:ascii="Times New Roman" w:hAnsi="Times New Roman" w:eastAsia="方正楷体_GBK" w:cs="Calibri"/>
          <w:sz w:val="28"/>
          <w:szCs w:val="28"/>
          <w:vertAlign w:val="baseline"/>
        </w:rPr>
      </w:pPr>
      <w:r>
        <w:rPr>
          <w:rFonts w:hint="default" w:ascii="Times New Roman" w:hAnsi="Times New Roman" w:eastAsia="方正楷体_GBK" w:cs="Times New Roman"/>
          <w:sz w:val="28"/>
          <w:szCs w:val="28"/>
          <w:lang w:val="en-US" w:eastAsia="zh-CN"/>
        </w:rPr>
        <w:t>（</w:t>
      </w:r>
      <w:r>
        <w:rPr>
          <w:rFonts w:hint="eastAsia" w:ascii="方正黑体_GBK" w:hAnsi="方正黑体_GBK" w:eastAsia="方正黑体_GBK" w:cs="方正黑体_GBK"/>
          <w:b/>
          <w:bCs/>
          <w:sz w:val="28"/>
          <w:szCs w:val="28"/>
          <w:lang w:val="en-US" w:eastAsia="zh-CN"/>
        </w:rPr>
        <w:t>注</w:t>
      </w:r>
      <w:r>
        <w:rPr>
          <w:rFonts w:hint="default" w:ascii="Times New Roman" w:hAnsi="Times New Roman" w:eastAsia="方正楷体_GBK" w:cs="Times New Roman"/>
          <w:sz w:val="28"/>
          <w:szCs w:val="28"/>
          <w:lang w:val="en-US" w:eastAsia="zh-CN"/>
        </w:rPr>
        <w:t>：</w:t>
      </w:r>
      <w:r>
        <w:rPr>
          <w:rFonts w:hint="default" w:ascii="Times New Roman" w:hAnsi="Times New Roman" w:eastAsia="方正楷体_GBK" w:cs="Times New Roman"/>
          <w:b/>
          <w:bCs/>
          <w:sz w:val="28"/>
          <w:szCs w:val="28"/>
          <w:lang w:val="en-US" w:eastAsia="zh-CN"/>
        </w:rPr>
        <w:t>“个人消费支出”（Personal Consumption Expenditures</w:t>
      </w:r>
      <w:r>
        <w:rPr>
          <w:rFonts w:hint="eastAsia" w:ascii="Times New Roman" w:hAnsi="Times New Roman" w:eastAsia="方正楷体_GBK" w:cs="Times New Roman"/>
          <w:b/>
          <w:bCs/>
          <w:sz w:val="28"/>
          <w:szCs w:val="28"/>
          <w:lang w:val="en-US" w:eastAsia="zh-CN"/>
        </w:rPr>
        <w:t>，</w:t>
      </w:r>
      <w:r>
        <w:rPr>
          <w:rFonts w:hint="default" w:ascii="Times New Roman" w:hAnsi="Times New Roman" w:eastAsia="方正楷体_GBK" w:cs="Times New Roman"/>
          <w:b/>
          <w:bCs/>
          <w:sz w:val="28"/>
          <w:szCs w:val="28"/>
          <w:lang w:val="en-US" w:eastAsia="zh-CN"/>
        </w:rPr>
        <w:t>PCE）</w:t>
      </w:r>
      <w:r>
        <w:rPr>
          <w:rFonts w:hint="default" w:ascii="Times New Roman" w:hAnsi="Times New Roman" w:eastAsia="方正楷体_GBK" w:cs="Calibri"/>
          <w:sz w:val="28"/>
          <w:szCs w:val="28"/>
          <w:vertAlign w:val="baseline"/>
        </w:rPr>
        <w:t>是个人支出的主要部分，也包括个人利息支付和转移支付。个人消费支出分为耐用品，非耐用品和服务。</w:t>
      </w:r>
    </w:p>
    <w:p>
      <w:pPr>
        <w:keepNext w:val="0"/>
        <w:keepLines w:val="0"/>
        <w:pageBreakBefore w:val="0"/>
        <w:widowControl w:val="0"/>
        <w:kinsoku/>
        <w:wordWrap/>
        <w:overflowPunct/>
        <w:topLinePunct w:val="0"/>
        <w:autoSpaceDE/>
        <w:autoSpaceDN/>
        <w:bidi w:val="0"/>
        <w:adjustRightInd/>
        <w:snapToGrid/>
        <w:spacing w:line="400" w:lineRule="exact"/>
        <w:ind w:firstLine="528" w:firstLineChars="200"/>
        <w:textAlignment w:val="auto"/>
        <w:outlineLvl w:val="9"/>
        <w:rPr>
          <w:rFonts w:hint="default" w:ascii="Times New Roman" w:hAnsi="Times New Roman" w:eastAsia="方正楷体_GBK" w:cs="Calibri"/>
          <w:sz w:val="28"/>
          <w:szCs w:val="28"/>
          <w:lang w:eastAsia="zh-CN"/>
        </w:rPr>
      </w:pPr>
      <w:r>
        <w:rPr>
          <w:rFonts w:hint="default" w:ascii="Times New Roman" w:hAnsi="Times New Roman" w:eastAsia="方正楷体_GBK" w:cs="Calibri"/>
          <w:sz w:val="28"/>
          <w:szCs w:val="28"/>
          <w:vertAlign w:val="baseline"/>
        </w:rPr>
        <w:t>消费者支出占据美国经济活动的近70%，是美国经济增长的主要驱动力。</w:t>
      </w:r>
      <w:r>
        <w:rPr>
          <w:rFonts w:hint="eastAsia" w:ascii="Times New Roman" w:hAnsi="Times New Roman" w:eastAsia="方正楷体_GBK" w:cs="Calibri"/>
          <w:sz w:val="28"/>
          <w:szCs w:val="28"/>
          <w:lang w:eastAsia="zh-CN"/>
        </w:rPr>
        <w:t>由此产生的物价指数为“</w:t>
      </w:r>
      <w:r>
        <w:rPr>
          <w:rFonts w:hint="default" w:ascii="Times New Roman" w:hAnsi="Times New Roman" w:eastAsia="方正楷体_GBK" w:cs="Calibri"/>
          <w:sz w:val="28"/>
          <w:szCs w:val="28"/>
          <w:lang w:eastAsia="zh-CN"/>
        </w:rPr>
        <w:t>个人消费支出物价指数</w:t>
      </w:r>
      <w:r>
        <w:rPr>
          <w:rFonts w:hint="eastAsia" w:ascii="Times New Roman" w:hAnsi="Times New Roman" w:eastAsia="方正楷体_GBK" w:cs="Calibri"/>
          <w:sz w:val="28"/>
          <w:szCs w:val="28"/>
          <w:lang w:eastAsia="zh-CN"/>
        </w:rPr>
        <w:t>”，</w:t>
      </w:r>
      <w:r>
        <w:rPr>
          <w:rFonts w:hint="default" w:ascii="Times New Roman" w:hAnsi="Times New Roman" w:eastAsia="方正楷体_GBK" w:cs="Calibri"/>
          <w:sz w:val="28"/>
          <w:szCs w:val="28"/>
          <w:lang w:eastAsia="zh-CN"/>
        </w:rPr>
        <w:t>简称</w:t>
      </w:r>
      <w:r>
        <w:rPr>
          <w:rFonts w:hint="eastAsia" w:ascii="Times New Roman" w:hAnsi="Times New Roman" w:eastAsia="方正楷体_GBK" w:cs="Calibri"/>
          <w:sz w:val="28"/>
          <w:szCs w:val="28"/>
          <w:lang w:eastAsia="zh-CN"/>
        </w:rPr>
        <w:t>“</w:t>
      </w:r>
      <w:r>
        <w:rPr>
          <w:rFonts w:hint="default" w:ascii="Times New Roman" w:hAnsi="Times New Roman" w:eastAsia="方正楷体_GBK" w:cs="Calibri"/>
          <w:sz w:val="28"/>
          <w:szCs w:val="28"/>
          <w:lang w:eastAsia="zh-CN"/>
        </w:rPr>
        <w:t>PCE指数</w:t>
      </w:r>
      <w:r>
        <w:rPr>
          <w:rFonts w:hint="eastAsia" w:ascii="Times New Roman" w:hAnsi="Times New Roman" w:eastAsia="方正楷体_GBK" w:cs="Calibri"/>
          <w:sz w:val="28"/>
          <w:szCs w:val="28"/>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firstLine="528" w:firstLineChars="200"/>
        <w:textAlignment w:val="auto"/>
        <w:outlineLvl w:val="9"/>
        <w:rPr>
          <w:rFonts w:hint="default" w:ascii="Times New Roman" w:hAnsi="Times New Roman" w:eastAsia="方正楷体_GBK" w:cs="Calibri"/>
          <w:sz w:val="28"/>
          <w:szCs w:val="28"/>
          <w:lang w:eastAsia="zh-CN"/>
        </w:rPr>
      </w:pPr>
      <w:r>
        <w:rPr>
          <w:rFonts w:hint="eastAsia" w:ascii="Times New Roman" w:hAnsi="Times New Roman" w:eastAsia="方正楷体_GBK" w:cs="Calibri"/>
          <w:sz w:val="28"/>
          <w:szCs w:val="28"/>
          <w:lang w:eastAsia="zh-CN"/>
        </w:rPr>
        <w:t>“</w:t>
      </w:r>
      <w:r>
        <w:rPr>
          <w:rFonts w:hint="default" w:ascii="Times New Roman" w:hAnsi="Times New Roman" w:eastAsia="方正楷体_GBK" w:cs="Calibri"/>
          <w:b/>
          <w:bCs/>
          <w:sz w:val="28"/>
          <w:szCs w:val="28"/>
          <w:lang w:eastAsia="zh-CN"/>
        </w:rPr>
        <w:t>核心PCE指数</w:t>
      </w:r>
      <w:r>
        <w:rPr>
          <w:rFonts w:hint="eastAsia" w:ascii="Times New Roman" w:hAnsi="Times New Roman" w:eastAsia="方正楷体_GBK" w:cs="Calibri"/>
          <w:sz w:val="28"/>
          <w:szCs w:val="28"/>
          <w:lang w:eastAsia="zh-CN"/>
        </w:rPr>
        <w:t>”</w:t>
      </w:r>
      <w:r>
        <w:rPr>
          <w:rFonts w:hint="default" w:ascii="Times New Roman" w:hAnsi="Times New Roman" w:eastAsia="方正楷体_GBK" w:cs="Calibri"/>
          <w:sz w:val="28"/>
          <w:szCs w:val="28"/>
          <w:lang w:eastAsia="zh-CN"/>
        </w:rPr>
        <w:t>是</w:t>
      </w:r>
      <w:r>
        <w:rPr>
          <w:rFonts w:hint="eastAsia" w:ascii="Times New Roman" w:hAnsi="Times New Roman" w:eastAsia="方正楷体_GBK" w:cs="Calibri"/>
          <w:sz w:val="28"/>
          <w:szCs w:val="28"/>
          <w:lang w:eastAsia="zh-CN"/>
        </w:rPr>
        <w:t>“</w:t>
      </w:r>
      <w:r>
        <w:rPr>
          <w:rFonts w:hint="default" w:ascii="Times New Roman" w:hAnsi="Times New Roman" w:eastAsia="方正楷体_GBK" w:cs="Calibri"/>
          <w:sz w:val="28"/>
          <w:szCs w:val="28"/>
          <w:lang w:eastAsia="zh-CN"/>
        </w:rPr>
        <w:t>PCE指数</w:t>
      </w:r>
      <w:r>
        <w:rPr>
          <w:rFonts w:hint="eastAsia" w:ascii="Times New Roman" w:hAnsi="Times New Roman" w:eastAsia="方正楷体_GBK" w:cs="Calibri"/>
          <w:sz w:val="28"/>
          <w:szCs w:val="28"/>
          <w:lang w:eastAsia="zh-CN"/>
        </w:rPr>
        <w:t>”</w:t>
      </w:r>
      <w:r>
        <w:rPr>
          <w:rFonts w:hint="default" w:ascii="Times New Roman" w:hAnsi="Times New Roman" w:eastAsia="方正楷体_GBK" w:cs="Calibri"/>
          <w:sz w:val="28"/>
          <w:szCs w:val="28"/>
          <w:lang w:eastAsia="zh-CN"/>
        </w:rPr>
        <w:t>的衍生。与总体PCE指数相比，核心PCE指数剔除了食品和能源等波动较大的价格因素，以更准确地反映基本消费品和服务的价格变动。</w:t>
      </w:r>
    </w:p>
    <w:p>
      <w:pPr>
        <w:keepNext w:val="0"/>
        <w:keepLines w:val="0"/>
        <w:pageBreakBefore w:val="0"/>
        <w:widowControl w:val="0"/>
        <w:kinsoku/>
        <w:wordWrap/>
        <w:overflowPunct/>
        <w:topLinePunct w:val="0"/>
        <w:autoSpaceDE/>
        <w:autoSpaceDN/>
        <w:bidi w:val="0"/>
        <w:adjustRightInd/>
        <w:snapToGrid/>
        <w:spacing w:line="400" w:lineRule="exact"/>
        <w:ind w:firstLine="528" w:firstLineChars="200"/>
        <w:textAlignment w:val="auto"/>
        <w:outlineLvl w:val="9"/>
        <w:rPr>
          <w:rFonts w:hint="default" w:ascii="Times New Roman" w:hAnsi="Times New Roman" w:eastAsia="方正楷体_GBK" w:cs="Calibri"/>
          <w:sz w:val="28"/>
          <w:szCs w:val="28"/>
          <w:lang w:eastAsia="zh-CN"/>
        </w:rPr>
      </w:pPr>
      <w:r>
        <w:rPr>
          <w:rFonts w:hint="eastAsia" w:ascii="Times New Roman" w:hAnsi="Times New Roman" w:eastAsia="方正楷体_GBK" w:cs="Calibri"/>
          <w:sz w:val="28"/>
          <w:szCs w:val="28"/>
          <w:lang w:eastAsia="zh-CN"/>
        </w:rPr>
        <w:t>从</w:t>
      </w:r>
      <w:r>
        <w:rPr>
          <w:rFonts w:hint="default" w:ascii="Times New Roman" w:hAnsi="Times New Roman" w:eastAsia="方正楷体_GBK" w:cs="Calibri"/>
          <w:sz w:val="28"/>
          <w:szCs w:val="28"/>
          <w:lang w:eastAsia="zh-CN"/>
        </w:rPr>
        <w:t>2012年</w:t>
      </w:r>
      <w:r>
        <w:rPr>
          <w:rFonts w:hint="eastAsia" w:ascii="Times New Roman" w:hAnsi="Times New Roman" w:eastAsia="方正楷体_GBK" w:cs="Calibri"/>
          <w:sz w:val="28"/>
          <w:szCs w:val="28"/>
          <w:lang w:eastAsia="zh-CN"/>
        </w:rPr>
        <w:t>开始，</w:t>
      </w:r>
      <w:r>
        <w:rPr>
          <w:rFonts w:hint="default" w:ascii="Times New Roman" w:hAnsi="Times New Roman" w:eastAsia="方正楷体_GBK" w:cs="Calibri"/>
          <w:sz w:val="28"/>
          <w:szCs w:val="28"/>
          <w:lang w:eastAsia="zh-CN"/>
        </w:rPr>
        <w:t>美联储将</w:t>
      </w:r>
      <w:r>
        <w:rPr>
          <w:rFonts w:hint="eastAsia" w:ascii="Times New Roman" w:hAnsi="Times New Roman" w:eastAsia="方正楷体_GBK" w:cs="Calibri"/>
          <w:sz w:val="28"/>
          <w:szCs w:val="28"/>
          <w:lang w:eastAsia="zh-CN"/>
        </w:rPr>
        <w:t>“</w:t>
      </w:r>
      <w:r>
        <w:rPr>
          <w:rFonts w:hint="default" w:ascii="Times New Roman" w:hAnsi="Times New Roman" w:eastAsia="方正楷体_GBK" w:cs="Calibri"/>
          <w:sz w:val="28"/>
          <w:szCs w:val="28"/>
          <w:lang w:eastAsia="zh-CN"/>
        </w:rPr>
        <w:t>核心PCE同比增幅2%</w:t>
      </w:r>
      <w:r>
        <w:rPr>
          <w:rFonts w:hint="eastAsia" w:ascii="Times New Roman" w:hAnsi="Times New Roman" w:eastAsia="方正楷体_GBK" w:cs="Calibri"/>
          <w:sz w:val="28"/>
          <w:szCs w:val="28"/>
          <w:lang w:eastAsia="zh-CN"/>
        </w:rPr>
        <w:t>”</w:t>
      </w:r>
      <w:r>
        <w:rPr>
          <w:rFonts w:hint="default" w:ascii="Times New Roman" w:hAnsi="Times New Roman" w:eastAsia="方正楷体_GBK" w:cs="Calibri"/>
          <w:sz w:val="28"/>
          <w:szCs w:val="28"/>
          <w:lang w:eastAsia="zh-CN"/>
        </w:rPr>
        <w:t>作为</w:t>
      </w:r>
      <w:r>
        <w:rPr>
          <w:rFonts w:hint="default" w:ascii="Times New Roman" w:hAnsi="Times New Roman" w:eastAsia="方正楷体_GBK" w:cs="Calibri"/>
          <w:b/>
          <w:bCs/>
          <w:sz w:val="28"/>
          <w:szCs w:val="28"/>
          <w:lang w:eastAsia="zh-CN"/>
        </w:rPr>
        <w:t>中期通胀目标</w:t>
      </w:r>
      <w:r>
        <w:rPr>
          <w:rFonts w:hint="default" w:ascii="Times New Roman" w:hAnsi="Times New Roman" w:eastAsia="方正楷体_GBK" w:cs="Calibri"/>
          <w:sz w:val="28"/>
          <w:szCs w:val="28"/>
          <w:lang w:eastAsia="zh-CN"/>
        </w:rPr>
        <w:t>。</w:t>
      </w:r>
      <w:r>
        <w:rPr>
          <w:rFonts w:hint="eastAsia" w:ascii="Times New Roman" w:hAnsi="Times New Roman" w:eastAsia="方正楷体_GBK" w:cs="Calibri"/>
          <w:sz w:val="28"/>
          <w:szCs w:val="28"/>
          <w:lang w:eastAsia="zh-CN"/>
        </w:rPr>
        <w:t>设定该</w:t>
      </w:r>
      <w:r>
        <w:rPr>
          <w:rFonts w:hint="default" w:ascii="Times New Roman" w:hAnsi="Times New Roman" w:eastAsia="方正楷体_GBK" w:cs="Calibri"/>
          <w:sz w:val="28"/>
          <w:szCs w:val="28"/>
          <w:lang w:eastAsia="zh-CN"/>
        </w:rPr>
        <w:t>目标是为了促进经济增长、价格稳定和就业市场的稳定。</w:t>
      </w:r>
      <w:r>
        <w:rPr>
          <w:rFonts w:hint="eastAsia" w:ascii="Times New Roman" w:hAnsi="Times New Roman" w:eastAsia="方正楷体_GBK" w:cs="Calibri"/>
          <w:sz w:val="28"/>
          <w:szCs w:val="28"/>
          <w:lang w:eastAsia="zh-CN"/>
        </w:rPr>
        <w:t>）</w:t>
      </w:r>
    </w:p>
    <w:p>
      <w:pPr>
        <w:ind w:firstLine="608" w:firstLineChars="200"/>
        <w:jc w:val="left"/>
        <w:rPr>
          <w:rFonts w:hint="default"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二、欧洲</w:t>
      </w:r>
      <w:r>
        <w:rPr>
          <w:rFonts w:hint="default" w:ascii="Times New Roman" w:hAnsi="Times New Roman" w:cs="Times New Roman"/>
          <w:b/>
          <w:bCs/>
          <w:sz w:val="32"/>
          <w:szCs w:val="32"/>
          <w:lang w:val="en-US" w:eastAsia="zh-CN"/>
        </w:rPr>
        <w:t>2</w:t>
      </w:r>
      <w:r>
        <w:rPr>
          <w:rFonts w:hint="eastAsia" w:ascii="Times New Roman" w:hAnsi="Times New Roman" w:cs="Times New Roman"/>
          <w:b/>
          <w:bCs/>
          <w:sz w:val="32"/>
          <w:szCs w:val="32"/>
          <w:lang w:val="en-US" w:eastAsia="zh-CN"/>
        </w:rPr>
        <w:t>月通胀初值下行</w:t>
      </w:r>
    </w:p>
    <w:p>
      <w:pPr>
        <w:ind w:firstLine="608" w:firstLineChars="200"/>
        <w:jc w:val="left"/>
        <w:rPr>
          <w:rFonts w:hint="eastAsia" w:ascii="Times New Roman" w:hAnsi="Times New Roman" w:cs="Times New Roman"/>
          <w:sz w:val="32"/>
          <w:szCs w:val="32"/>
          <w:lang w:val="en-US" w:eastAsia="zh-CN"/>
        </w:rPr>
      </w:pPr>
      <w:r>
        <w:rPr>
          <w:rFonts w:hint="default" w:ascii="Times New Roman" w:hAnsi="Times New Roman" w:cs="Times New Roman"/>
          <w:sz w:val="32"/>
          <w:szCs w:val="32"/>
          <w:lang w:val="en-US" w:eastAsia="zh-CN"/>
        </w:rPr>
        <w:t>2</w:t>
      </w:r>
      <w:r>
        <w:rPr>
          <w:rFonts w:hint="eastAsia" w:ascii="Times New Roman" w:hAnsi="Times New Roman" w:cs="Times New Roman"/>
          <w:sz w:val="32"/>
          <w:szCs w:val="32"/>
          <w:lang w:val="en-US" w:eastAsia="zh-CN"/>
        </w:rPr>
        <w:t>月</w:t>
      </w:r>
      <w:r>
        <w:rPr>
          <w:rFonts w:hint="default" w:ascii="Times New Roman" w:hAnsi="Times New Roman" w:cs="Times New Roman"/>
          <w:sz w:val="32"/>
          <w:szCs w:val="32"/>
          <w:lang w:val="en-US" w:eastAsia="zh-CN"/>
        </w:rPr>
        <w:t>29</w:t>
      </w:r>
      <w:r>
        <w:rPr>
          <w:rFonts w:hint="eastAsia" w:ascii="Times New Roman" w:hAnsi="Times New Roman" w:cs="Times New Roman"/>
          <w:sz w:val="32"/>
          <w:szCs w:val="32"/>
          <w:lang w:val="en-US" w:eastAsia="zh-CN"/>
        </w:rPr>
        <w:t>日（周四），欧盟与法、德统计机构公布了</w:t>
      </w:r>
      <w:r>
        <w:rPr>
          <w:rFonts w:hint="default" w:ascii="Times New Roman" w:hAnsi="Times New Roman" w:cs="Times New Roman"/>
          <w:sz w:val="32"/>
          <w:szCs w:val="32"/>
          <w:lang w:val="en-US" w:eastAsia="zh-CN"/>
        </w:rPr>
        <w:t>2月份的通货膨胀率</w:t>
      </w:r>
      <w:r>
        <w:rPr>
          <w:rFonts w:hint="eastAsia" w:ascii="Times New Roman" w:hAnsi="Times New Roman" w:cs="Times New Roman"/>
          <w:sz w:val="32"/>
          <w:szCs w:val="32"/>
          <w:lang w:val="en-US" w:eastAsia="zh-CN"/>
        </w:rPr>
        <w:t>初值。初值显示，</w:t>
      </w:r>
      <w:r>
        <w:rPr>
          <w:rFonts w:hint="default" w:ascii="Times New Roman" w:hAnsi="Times New Roman" w:cs="Times New Roman"/>
          <w:sz w:val="32"/>
          <w:szCs w:val="32"/>
          <w:lang w:val="en-US" w:eastAsia="zh-CN"/>
        </w:rPr>
        <w:t>2</w:t>
      </w:r>
      <w:r>
        <w:rPr>
          <w:rFonts w:hint="eastAsia" w:ascii="Times New Roman" w:hAnsi="Times New Roman" w:cs="Times New Roman"/>
          <w:sz w:val="32"/>
          <w:szCs w:val="32"/>
          <w:lang w:val="en-US" w:eastAsia="zh-CN"/>
        </w:rPr>
        <w:t>月间法国的物价</w:t>
      </w:r>
      <w:r>
        <w:rPr>
          <w:rFonts w:hint="default" w:ascii="Times New Roman" w:hAnsi="Times New Roman" w:cs="Times New Roman"/>
          <w:sz w:val="32"/>
          <w:szCs w:val="32"/>
          <w:lang w:val="en-US" w:eastAsia="zh-CN"/>
        </w:rPr>
        <w:t>上涨幅度</w:t>
      </w:r>
      <w:r>
        <w:rPr>
          <w:rFonts w:hint="eastAsia" w:ascii="Times New Roman" w:hAnsi="Times New Roman" w:cs="Times New Roman"/>
          <w:sz w:val="32"/>
          <w:szCs w:val="32"/>
          <w:lang w:val="en-US" w:eastAsia="zh-CN"/>
        </w:rPr>
        <w:t>为</w:t>
      </w:r>
      <w:r>
        <w:rPr>
          <w:rFonts w:hint="default" w:ascii="Times New Roman" w:hAnsi="Times New Roman" w:cs="Times New Roman"/>
          <w:sz w:val="32"/>
          <w:szCs w:val="32"/>
          <w:lang w:val="en-US" w:eastAsia="zh-CN"/>
        </w:rPr>
        <w:t>2021年9月以来最弱</w:t>
      </w:r>
      <w:r>
        <w:rPr>
          <w:rFonts w:hint="eastAsia" w:ascii="Times New Roman" w:hAnsi="Times New Roman" w:cs="Times New Roman"/>
          <w:sz w:val="32"/>
          <w:szCs w:val="32"/>
          <w:lang w:val="en-US" w:eastAsia="zh-CN"/>
        </w:rPr>
        <w:t>，通胀率</w:t>
      </w:r>
      <w:r>
        <w:rPr>
          <w:rFonts w:hint="default" w:ascii="Times New Roman" w:hAnsi="Times New Roman" w:cs="Times New Roman"/>
          <w:sz w:val="32"/>
          <w:szCs w:val="32"/>
          <w:lang w:val="en-US" w:eastAsia="zh-CN"/>
        </w:rPr>
        <w:t>放缓至3.1%</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德国的通胀率也有所放缓</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2</w:t>
      </w:r>
      <w:r>
        <w:rPr>
          <w:rFonts w:hint="eastAsia" w:ascii="Times New Roman" w:hAnsi="Times New Roman" w:cs="Times New Roman"/>
          <w:sz w:val="32"/>
          <w:szCs w:val="32"/>
          <w:lang w:val="en-US" w:eastAsia="zh-CN"/>
        </w:rPr>
        <w:t>月初值为</w:t>
      </w:r>
      <w:r>
        <w:rPr>
          <w:rFonts w:hint="default" w:ascii="Times New Roman" w:hAnsi="Times New Roman" w:cs="Times New Roman"/>
          <w:sz w:val="32"/>
          <w:szCs w:val="32"/>
          <w:lang w:val="en-US" w:eastAsia="zh-CN"/>
        </w:rPr>
        <w:t>2.7%，低于1月</w:t>
      </w:r>
      <w:r>
        <w:rPr>
          <w:rFonts w:hint="eastAsia" w:ascii="Times New Roman" w:hAnsi="Times New Roman" w:cs="Times New Roman"/>
          <w:sz w:val="32"/>
          <w:szCs w:val="32"/>
          <w:lang w:val="en-US" w:eastAsia="zh-CN"/>
        </w:rPr>
        <w:t>份</w:t>
      </w:r>
      <w:r>
        <w:rPr>
          <w:rFonts w:hint="default" w:ascii="Times New Roman" w:hAnsi="Times New Roman" w:cs="Times New Roman"/>
          <w:sz w:val="32"/>
          <w:szCs w:val="32"/>
          <w:lang w:val="en-US" w:eastAsia="zh-CN"/>
        </w:rPr>
        <w:t>的3.1%</w:t>
      </w:r>
      <w:r>
        <w:rPr>
          <w:rFonts w:hint="eastAsia" w:ascii="Times New Roman" w:hAnsi="Times New Roman" w:cs="Times New Roman"/>
          <w:sz w:val="32"/>
          <w:szCs w:val="32"/>
          <w:lang w:val="en-US" w:eastAsia="zh-CN"/>
        </w:rPr>
        <w:t>（见图）。</w:t>
      </w:r>
    </w:p>
    <w:p>
      <w:pPr>
        <w:ind w:firstLine="388" w:firstLineChars="200"/>
        <w:jc w:val="center"/>
        <w:rPr>
          <w:rFonts w:hint="eastAsia" w:ascii="Times New Roman" w:hAnsi="Times New Roman" w:cs="Times New Roman"/>
          <w:sz w:val="32"/>
          <w:szCs w:val="32"/>
          <w:lang w:val="en-US" w:eastAsia="zh-CN"/>
        </w:rPr>
      </w:pPr>
      <w:r>
        <w:drawing>
          <wp:inline distT="0" distB="0" distL="114300" distR="114300">
            <wp:extent cx="3048635" cy="2127250"/>
            <wp:effectExtent l="0" t="0" r="18415" b="6350"/>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8"/>
                    <a:stretch>
                      <a:fillRect/>
                    </a:stretch>
                  </pic:blipFill>
                  <pic:spPr>
                    <a:xfrm>
                      <a:off x="0" y="0"/>
                      <a:ext cx="3048635" cy="2127250"/>
                    </a:xfrm>
                    <a:prstGeom prst="rect">
                      <a:avLst/>
                    </a:prstGeom>
                    <a:noFill/>
                    <a:ln>
                      <a:noFill/>
                    </a:ln>
                  </pic:spPr>
                </pic:pic>
              </a:graphicData>
            </a:graphic>
          </wp:inline>
        </w:drawing>
      </w:r>
    </w:p>
    <w:p>
      <w:pPr>
        <w:ind w:firstLine="608" w:firstLineChars="200"/>
        <w:jc w:val="left"/>
        <w:rPr>
          <w:rFonts w:hint="default"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目前，欧洲经济仍处衰退边缘，</w:t>
      </w:r>
      <w:r>
        <w:rPr>
          <w:rFonts w:hint="default" w:ascii="Times New Roman" w:hAnsi="Times New Roman" w:cs="Times New Roman"/>
          <w:sz w:val="32"/>
          <w:szCs w:val="32"/>
          <w:lang w:val="en-US" w:eastAsia="zh-CN"/>
        </w:rPr>
        <w:t>未来几个月</w:t>
      </w:r>
      <w:r>
        <w:rPr>
          <w:rFonts w:hint="eastAsia" w:ascii="Times New Roman" w:hAnsi="Times New Roman" w:cs="Times New Roman"/>
          <w:sz w:val="32"/>
          <w:szCs w:val="32"/>
          <w:lang w:val="en-US" w:eastAsia="zh-CN"/>
        </w:rPr>
        <w:t>物价上涨将进一步放缓，通胀指标将接近欧洲央行（European Central Bank，ECB）的中期目标</w:t>
      </w:r>
      <w:r>
        <w:rPr>
          <w:rFonts w:hint="default" w:ascii="Times New Roman" w:hAnsi="Times New Roman" w:cs="Times New Roman"/>
          <w:sz w:val="32"/>
          <w:szCs w:val="32"/>
          <w:lang w:val="en-US" w:eastAsia="zh-CN"/>
        </w:rPr>
        <w:t>。</w:t>
      </w:r>
      <w:r>
        <w:rPr>
          <w:rFonts w:hint="eastAsia" w:ascii="Times New Roman" w:hAnsi="Times New Roman" w:cs="Times New Roman"/>
          <w:sz w:val="32"/>
          <w:szCs w:val="32"/>
          <w:lang w:val="en-US" w:eastAsia="zh-CN"/>
        </w:rPr>
        <w:t>市场普遍预期，欧洲央行将比美联储更早降息。</w:t>
      </w:r>
    </w:p>
    <w:p>
      <w:pPr>
        <w:keepNext w:val="0"/>
        <w:keepLines w:val="0"/>
        <w:pageBreakBefore w:val="0"/>
        <w:widowControl w:val="0"/>
        <w:kinsoku/>
        <w:wordWrap/>
        <w:overflowPunct/>
        <w:topLinePunct w:val="0"/>
        <w:autoSpaceDE/>
        <w:autoSpaceDN/>
        <w:bidi w:val="0"/>
        <w:adjustRightInd/>
        <w:snapToGrid/>
        <w:spacing w:line="240" w:lineRule="auto"/>
        <w:ind w:firstLine="528" w:firstLineChars="200"/>
        <w:textAlignment w:val="auto"/>
        <w:outlineLvl w:val="9"/>
        <w:rPr>
          <w:rFonts w:hint="eastAsia" w:ascii="方正楷体_GBK" w:hAnsi="方正楷体_GBK" w:eastAsia="方正楷体_GBK" w:cs="方正楷体_GBK"/>
          <w:sz w:val="28"/>
          <w:szCs w:val="28"/>
          <w:lang w:eastAsia="zh-CN"/>
        </w:rPr>
      </w:pPr>
      <w:r>
        <w:rPr>
          <w:rFonts w:hint="default" w:ascii="Times New Roman" w:hAnsi="Times New Roman" w:eastAsia="方正楷体_GBK" w:cs="Times New Roman"/>
          <w:sz w:val="28"/>
          <w:szCs w:val="28"/>
          <w:lang w:val="en-US" w:eastAsia="zh-CN"/>
        </w:rPr>
        <w:t>（</w:t>
      </w:r>
      <w:r>
        <w:rPr>
          <w:rFonts w:hint="eastAsia" w:ascii="方正黑体_GBK" w:hAnsi="方正黑体_GBK" w:eastAsia="方正黑体_GBK" w:cs="方正黑体_GBK"/>
          <w:b/>
          <w:bCs/>
          <w:sz w:val="28"/>
          <w:szCs w:val="28"/>
          <w:highlight w:val="none"/>
          <w:lang w:val="en-US" w:eastAsia="zh-CN"/>
        </w:rPr>
        <w:t>注</w:t>
      </w:r>
      <w:r>
        <w:rPr>
          <w:rFonts w:hint="eastAsia" w:ascii="方正黑体_GBK" w:hAnsi="方正黑体_GBK" w:eastAsia="方正黑体_GBK" w:cs="方正黑体_GBK"/>
          <w:sz w:val="28"/>
          <w:szCs w:val="28"/>
          <w:highlight w:val="none"/>
          <w:lang w:val="en-US" w:eastAsia="zh-CN"/>
        </w:rPr>
        <w:t>：</w:t>
      </w:r>
      <w:r>
        <w:rPr>
          <w:rFonts w:hint="eastAsia" w:ascii="方正楷体_GBK" w:hAnsi="方正楷体_GBK" w:eastAsia="方正楷体_GBK" w:cs="方正楷体_GBK"/>
          <w:sz w:val="28"/>
          <w:szCs w:val="28"/>
          <w:lang w:eastAsia="zh-CN"/>
        </w:rPr>
        <w:t>与美联储的中期通胀目标略有不同，欧洲央行</w:t>
      </w:r>
      <w:r>
        <w:rPr>
          <w:rFonts w:hint="eastAsia" w:ascii="方正楷体_GBK" w:hAnsi="方正楷体_GBK" w:eastAsia="方正楷体_GBK" w:cs="方正楷体_GBK"/>
          <w:b/>
          <w:bCs/>
          <w:sz w:val="28"/>
          <w:szCs w:val="28"/>
          <w:lang w:eastAsia="zh-CN"/>
        </w:rPr>
        <w:t>的中期通胀目标</w:t>
      </w:r>
      <w:r>
        <w:rPr>
          <w:rFonts w:hint="eastAsia" w:ascii="方正楷体_GBK" w:hAnsi="方正楷体_GBK" w:eastAsia="方正楷体_GBK" w:cs="方正楷体_GBK"/>
          <w:sz w:val="28"/>
          <w:szCs w:val="28"/>
          <w:lang w:eastAsia="zh-CN"/>
        </w:rPr>
        <w:t>是“低于但接近2%”。而且，欧洲央行使用的主要通胀指标是“消费者价格指数”（Consumer Price Index，CPI），而非“个人消费支出物价指数”（Personal Consumption Expenditures Price Index，PCE指数）。</w:t>
      </w:r>
    </w:p>
    <w:p>
      <w:pPr>
        <w:keepNext w:val="0"/>
        <w:keepLines w:val="0"/>
        <w:pageBreakBefore w:val="0"/>
        <w:widowControl w:val="0"/>
        <w:kinsoku/>
        <w:wordWrap/>
        <w:overflowPunct/>
        <w:topLinePunct w:val="0"/>
        <w:autoSpaceDE/>
        <w:autoSpaceDN/>
        <w:bidi w:val="0"/>
        <w:adjustRightInd/>
        <w:snapToGrid/>
        <w:spacing w:line="240" w:lineRule="auto"/>
        <w:ind w:firstLine="528" w:firstLineChars="200"/>
        <w:textAlignment w:val="auto"/>
        <w:outlineLvl w:val="9"/>
        <w:rPr>
          <w:rFonts w:hint="eastAsia" w:ascii="方正楷体_GBK" w:hAnsi="方正楷体_GBK" w:eastAsia="方正楷体_GBK" w:cs="方正楷体_GBK"/>
          <w:sz w:val="28"/>
          <w:szCs w:val="28"/>
          <w:lang w:eastAsia="zh-CN"/>
        </w:rPr>
      </w:pPr>
      <w:r>
        <w:rPr>
          <w:rFonts w:hint="eastAsia" w:ascii="方正楷体_GBK" w:hAnsi="方正楷体_GBK" w:eastAsia="方正楷体_GBK" w:cs="方正楷体_GBK"/>
          <w:b/>
          <w:bCs/>
          <w:sz w:val="28"/>
          <w:szCs w:val="28"/>
          <w:lang w:eastAsia="zh-CN"/>
        </w:rPr>
        <w:t>PCE指数与CPI有一些区别</w:t>
      </w:r>
      <w:r>
        <w:rPr>
          <w:rFonts w:hint="eastAsia" w:ascii="方正楷体_GBK" w:hAnsi="方正楷体_GBK" w:eastAsia="方正楷体_GBK" w:cs="方正楷体_GBK"/>
          <w:sz w:val="28"/>
          <w:szCs w:val="28"/>
          <w:lang w:eastAsia="zh-CN"/>
        </w:rPr>
        <w:t>，在商品篮子的构成和价格测算方法上略有不同。）</w:t>
      </w:r>
    </w:p>
    <w:p>
      <w:pPr>
        <w:keepNext w:val="0"/>
        <w:keepLines w:val="0"/>
        <w:pageBreakBefore w:val="0"/>
        <w:widowControl w:val="0"/>
        <w:kinsoku/>
        <w:wordWrap/>
        <w:overflowPunct/>
        <w:topLinePunct w:val="0"/>
        <w:autoSpaceDE/>
        <w:autoSpaceDN/>
        <w:bidi w:val="0"/>
        <w:adjustRightInd/>
        <w:snapToGrid/>
        <w:spacing w:line="400" w:lineRule="exact"/>
        <w:ind w:firstLine="388" w:firstLineChars="200"/>
        <w:jc w:val="left"/>
        <w:textAlignment w:val="auto"/>
        <w:rPr>
          <w:rFonts w:hint="default" w:ascii="Calibri" w:hAnsi="Calibri" w:cs="Calibri"/>
          <w:lang w:val="en-US" w:eastAsia="zh-CN"/>
        </w:rPr>
      </w:pPr>
    </w:p>
    <w:p>
      <w:pPr>
        <w:ind w:left="0" w:leftChars="0" w:firstLine="0" w:firstLineChars="0"/>
        <w:jc w:val="left"/>
        <w:rPr>
          <w:rFonts w:hint="default" w:ascii="Times New Roman" w:hAnsi="Times New Roman" w:eastAsia="宋体" w:cs="Times New Roman"/>
          <w:b/>
          <w:bCs/>
          <w:color w:val="0000FF"/>
          <w:sz w:val="32"/>
          <w:szCs w:val="32"/>
          <w:highlight w:val="yellow"/>
          <w:lang w:val="en-US" w:eastAsia="zh-CN"/>
        </w:rPr>
      </w:pPr>
      <w:r>
        <w:rPr>
          <w:rFonts w:hint="eastAsia" w:ascii="Times New Roman" w:hAnsi="Times New Roman" w:eastAsia="方正小标宋_GBK" w:cs="Times New Roman"/>
          <w:b/>
          <w:bCs/>
          <w:color w:val="FF0000"/>
          <w:sz w:val="32"/>
          <w:szCs w:val="40"/>
          <w:highlight w:val="yellow"/>
          <w:lang w:val="en-US" w:eastAsia="zh-CN"/>
        </w:rPr>
        <w:t>3</w:t>
      </w:r>
      <w:r>
        <w:rPr>
          <w:rFonts w:hint="default" w:ascii="Times New Roman" w:hAnsi="Times New Roman" w:eastAsia="方正小标宋_GBK" w:cs="Times New Roman"/>
          <w:b/>
          <w:bCs/>
          <w:color w:val="FF0000"/>
          <w:sz w:val="32"/>
          <w:szCs w:val="40"/>
          <w:highlight w:val="yellow"/>
          <w:lang w:val="en-US" w:eastAsia="zh-CN"/>
        </w:rPr>
        <w:t>月2日</w:t>
      </w:r>
      <w:r>
        <w:rPr>
          <w:rFonts w:hint="default" w:ascii="Times New Roman" w:hAnsi="Times New Roman" w:eastAsia="方正魏碑简体" w:cs="Times New Roman"/>
          <w:b/>
          <w:bCs/>
          <w:color w:val="0000FF"/>
          <w:sz w:val="32"/>
          <w:szCs w:val="40"/>
          <w:highlight w:val="yellow"/>
          <w:lang w:val="en-US" w:eastAsia="zh-CN"/>
        </w:rPr>
        <w:t>（周</w:t>
      </w:r>
      <w:r>
        <w:rPr>
          <w:rFonts w:hint="eastAsia" w:ascii="Times New Roman" w:hAnsi="Times New Roman" w:eastAsia="方正魏碑简体" w:cs="Times New Roman"/>
          <w:b/>
          <w:bCs/>
          <w:color w:val="0000FF"/>
          <w:sz w:val="32"/>
          <w:szCs w:val="40"/>
          <w:highlight w:val="yellow"/>
          <w:lang w:val="en-US" w:eastAsia="zh-CN"/>
        </w:rPr>
        <w:t>六</w:t>
      </w:r>
      <w:r>
        <w:rPr>
          <w:rFonts w:hint="default" w:ascii="Times New Roman" w:hAnsi="Times New Roman" w:eastAsia="方正魏碑简体" w:cs="Times New Roman"/>
          <w:b/>
          <w:bCs/>
          <w:color w:val="0000FF"/>
          <w:sz w:val="32"/>
          <w:szCs w:val="40"/>
          <w:highlight w:val="yellow"/>
          <w:lang w:val="en-US" w:eastAsia="zh-CN"/>
        </w:rPr>
        <w:t>）</w:t>
      </w:r>
    </w:p>
    <w:p>
      <w:pPr>
        <w:jc w:val="center"/>
        <w:rPr>
          <w:rFonts w:hint="eastAsia" w:ascii="Times New Roman" w:hAnsi="Times New Roman" w:eastAsia="方正小标宋_GBK" w:cs="Times New Roman"/>
          <w:b/>
          <w:bCs/>
          <w:color w:val="0000FF"/>
          <w:sz w:val="36"/>
          <w:szCs w:val="44"/>
          <w:highlight w:val="yellow"/>
          <w:lang w:val="en-US" w:eastAsia="zh-CN"/>
        </w:rPr>
      </w:pPr>
      <w:r>
        <w:rPr>
          <w:rFonts w:hint="eastAsia" w:ascii="Times New Roman" w:hAnsi="Times New Roman" w:eastAsia="方正小标宋_GBK" w:cs="Times New Roman"/>
          <w:b/>
          <w:bCs/>
          <w:color w:val="0000FF"/>
          <w:sz w:val="36"/>
          <w:szCs w:val="44"/>
          <w:highlight w:val="yellow"/>
          <w:lang w:val="en-US" w:eastAsia="zh-CN"/>
        </w:rPr>
        <w:t>肥胖呈“双重压力”，解决须“多管齐下”</w:t>
      </w:r>
    </w:p>
    <w:p>
      <w:pPr>
        <w:ind w:firstLine="608" w:firstLineChars="200"/>
        <w:jc w:val="left"/>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近日，根据《柳叶刀》</w:t>
      </w:r>
      <w:r>
        <w:rPr>
          <w:rFonts w:hint="eastAsia" w:ascii="Times New Roman" w:hAnsi="Times New Roman" w:cs="Times New Roman"/>
          <w:sz w:val="32"/>
          <w:szCs w:val="32"/>
          <w:lang w:val="en-US" w:eastAsia="zh-CN"/>
        </w:rPr>
        <w:t>报道，</w:t>
      </w:r>
      <w:r>
        <w:rPr>
          <w:rFonts w:hint="default" w:ascii="Times New Roman" w:hAnsi="Times New Roman" w:cs="Times New Roman"/>
          <w:sz w:val="32"/>
          <w:szCs w:val="32"/>
          <w:lang w:val="en-US" w:eastAsia="zh-CN"/>
        </w:rPr>
        <w:t>2022年，全球肥胖症患者人数已</w:t>
      </w:r>
      <w:r>
        <w:rPr>
          <w:rFonts w:hint="default" w:ascii="Times New Roman" w:hAnsi="Times New Roman" w:cs="Times New Roman"/>
          <w:b/>
          <w:bCs/>
          <w:sz w:val="32"/>
          <w:szCs w:val="32"/>
          <w:lang w:val="en-US" w:eastAsia="zh-CN"/>
        </w:rPr>
        <w:t>突破10亿</w:t>
      </w:r>
      <w:r>
        <w:rPr>
          <w:rFonts w:hint="default" w:ascii="Times New Roman" w:hAnsi="Times New Roman" w:cs="Times New Roman"/>
          <w:sz w:val="32"/>
          <w:szCs w:val="32"/>
          <w:lang w:val="en-US" w:eastAsia="zh-CN"/>
        </w:rPr>
        <w:t>。自1990年以来，全球成年人的肥胖人数增长幅度</w:t>
      </w:r>
      <w:r>
        <w:rPr>
          <w:rFonts w:hint="eastAsia" w:ascii="Times New Roman" w:hAnsi="Times New Roman" w:cs="Times New Roman"/>
          <w:sz w:val="32"/>
          <w:szCs w:val="32"/>
          <w:lang w:val="en-US" w:eastAsia="zh-CN"/>
        </w:rPr>
        <w:t>翻了</w:t>
      </w:r>
      <w:r>
        <w:rPr>
          <w:rFonts w:hint="default" w:ascii="Times New Roman" w:hAnsi="Times New Roman" w:cs="Times New Roman"/>
          <w:sz w:val="32"/>
          <w:szCs w:val="32"/>
          <w:lang w:val="en-US" w:eastAsia="zh-CN"/>
        </w:rPr>
        <w:t>一倍，而5至19岁的儿童和青少年肥胖人数</w:t>
      </w:r>
      <w:r>
        <w:rPr>
          <w:rFonts w:hint="eastAsia" w:ascii="Times New Roman" w:hAnsi="Times New Roman" w:cs="Times New Roman"/>
          <w:sz w:val="32"/>
          <w:szCs w:val="32"/>
          <w:lang w:val="en-US" w:eastAsia="zh-CN"/>
        </w:rPr>
        <w:t>翻了四</w:t>
      </w:r>
      <w:r>
        <w:rPr>
          <w:rFonts w:hint="default" w:ascii="Times New Roman" w:hAnsi="Times New Roman" w:cs="Times New Roman"/>
          <w:sz w:val="32"/>
          <w:szCs w:val="32"/>
          <w:lang w:val="en-US" w:eastAsia="zh-CN"/>
        </w:rPr>
        <w:t>倍。高达43%的成年人处于超重状态。</w:t>
      </w:r>
    </w:p>
    <w:p>
      <w:pPr>
        <w:ind w:firstLine="608" w:firstLineChars="200"/>
        <w:jc w:val="left"/>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肥胖</w:t>
      </w:r>
      <w:r>
        <w:rPr>
          <w:rFonts w:hint="eastAsia" w:ascii="Times New Roman" w:hAnsi="Times New Roman" w:cs="Times New Roman"/>
          <w:sz w:val="32"/>
          <w:szCs w:val="32"/>
          <w:lang w:val="en-US" w:eastAsia="zh-CN"/>
        </w:rPr>
        <w:t>是一种</w:t>
      </w:r>
      <w:r>
        <w:rPr>
          <w:rFonts w:hint="default" w:ascii="Times New Roman" w:hAnsi="Times New Roman" w:cs="Times New Roman"/>
          <w:sz w:val="32"/>
          <w:szCs w:val="32"/>
          <w:lang w:val="en-US" w:eastAsia="zh-CN"/>
        </w:rPr>
        <w:t>复杂的慢性疾病，会显著增加患心脏病、糖尿病和某些癌症的风险。</w:t>
      </w:r>
    </w:p>
    <w:p>
      <w:pPr>
        <w:ind w:firstLine="608" w:firstLineChars="200"/>
        <w:jc w:val="left"/>
        <w:rPr>
          <w:rFonts w:hint="default"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目前，</w:t>
      </w:r>
      <w:r>
        <w:rPr>
          <w:rFonts w:hint="default" w:ascii="Times New Roman" w:hAnsi="Times New Roman" w:cs="Times New Roman"/>
          <w:b/>
          <w:bCs/>
          <w:sz w:val="32"/>
          <w:szCs w:val="32"/>
          <w:lang w:val="en-US" w:eastAsia="zh-CN"/>
        </w:rPr>
        <w:t>肥胖问题在全球范围内呈现出不均衡的分布态势</w:t>
      </w:r>
      <w:r>
        <w:rPr>
          <w:rFonts w:hint="default" w:ascii="Times New Roman" w:hAnsi="Times New Roman" w:cs="Times New Roman"/>
          <w:sz w:val="32"/>
          <w:szCs w:val="32"/>
          <w:lang w:val="en-US" w:eastAsia="zh-CN"/>
        </w:rPr>
        <w:t>。在许多富裕国家，肥胖率已趋于稳定，但在其他地区，尤其是太平洋和加勒比地区的岛国，以及中东和北非国家，肥胖率仍在迅速攀升</w:t>
      </w:r>
      <w:r>
        <w:rPr>
          <w:rFonts w:hint="eastAsia" w:ascii="Times New Roman" w:hAnsi="Times New Roman" w:cs="Times New Roman"/>
          <w:sz w:val="32"/>
          <w:szCs w:val="32"/>
          <w:lang w:val="en-US" w:eastAsia="zh-CN"/>
        </w:rPr>
        <w:t>（见图）</w:t>
      </w:r>
      <w:r>
        <w:rPr>
          <w:rFonts w:hint="default" w:ascii="Times New Roman" w:hAnsi="Times New Roman" w:cs="Times New Roman"/>
          <w:sz w:val="32"/>
          <w:szCs w:val="32"/>
          <w:lang w:val="en-US" w:eastAsia="zh-CN"/>
        </w:rPr>
        <w:t>。</w:t>
      </w:r>
    </w:p>
    <w:p>
      <w:pPr>
        <w:ind w:firstLine="388" w:firstLineChars="200"/>
        <w:jc w:val="center"/>
        <w:rPr>
          <w:rFonts w:hint="default" w:ascii="Times New Roman" w:hAnsi="Times New Roman" w:cs="Times New Roman"/>
          <w:sz w:val="32"/>
          <w:szCs w:val="32"/>
          <w:lang w:val="en-US" w:eastAsia="zh-CN"/>
        </w:rPr>
      </w:pPr>
      <w:r>
        <w:drawing>
          <wp:inline distT="0" distB="0" distL="114300" distR="114300">
            <wp:extent cx="3164840" cy="1936115"/>
            <wp:effectExtent l="0" t="0" r="16510" b="698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9"/>
                    <a:srcRect l="4230" r="3785"/>
                    <a:stretch>
                      <a:fillRect/>
                    </a:stretch>
                  </pic:blipFill>
                  <pic:spPr>
                    <a:xfrm>
                      <a:off x="0" y="0"/>
                      <a:ext cx="3164840" cy="1936115"/>
                    </a:xfrm>
                    <a:prstGeom prst="rect">
                      <a:avLst/>
                    </a:prstGeom>
                    <a:noFill/>
                    <a:ln>
                      <a:noFill/>
                    </a:ln>
                  </pic:spPr>
                </pic:pic>
              </a:graphicData>
            </a:graphic>
          </wp:inline>
        </w:drawing>
      </w:r>
    </w:p>
    <w:p>
      <w:pPr>
        <w:ind w:firstLine="608" w:firstLineChars="200"/>
        <w:jc w:val="left"/>
        <w:rPr>
          <w:rFonts w:hint="default"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同时</w:t>
      </w:r>
      <w:r>
        <w:rPr>
          <w:rFonts w:hint="default" w:ascii="Times New Roman" w:hAnsi="Times New Roman" w:cs="Times New Roman"/>
          <w:sz w:val="32"/>
          <w:szCs w:val="32"/>
          <w:lang w:val="en-US" w:eastAsia="zh-CN"/>
        </w:rPr>
        <w:t>，尽管全球营养不足率有所下降，但在东南亚和撒哈拉以南非洲等地区，营养不良问题依然严峻</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这表明全球正面临着</w:t>
      </w:r>
      <w:r>
        <w:rPr>
          <w:rFonts w:hint="default" w:ascii="Times New Roman" w:hAnsi="Times New Roman" w:cs="Times New Roman"/>
          <w:b/>
          <w:bCs/>
          <w:sz w:val="32"/>
          <w:szCs w:val="32"/>
          <w:lang w:val="en-US" w:eastAsia="zh-CN"/>
        </w:rPr>
        <w:t>营养不良和肥胖并存的</w:t>
      </w:r>
      <w:r>
        <w:rPr>
          <w:rFonts w:hint="eastAsia" w:ascii="Times New Roman" w:hAnsi="Times New Roman" w:cs="Times New Roman"/>
          <w:b/>
          <w:bCs/>
          <w:sz w:val="32"/>
          <w:szCs w:val="32"/>
          <w:lang w:val="en-US" w:eastAsia="zh-CN"/>
        </w:rPr>
        <w:t>“</w:t>
      </w:r>
      <w:r>
        <w:rPr>
          <w:rFonts w:hint="default" w:ascii="Times New Roman" w:hAnsi="Times New Roman" w:cs="Times New Roman"/>
          <w:b/>
          <w:bCs/>
          <w:sz w:val="32"/>
          <w:szCs w:val="32"/>
          <w:lang w:val="en-US" w:eastAsia="zh-CN"/>
        </w:rPr>
        <w:t>双重负担</w:t>
      </w:r>
      <w:r>
        <w:rPr>
          <w:rFonts w:hint="eastAsia" w:ascii="Times New Roman" w:hAnsi="Times New Roman" w:cs="Times New Roman"/>
          <w:b/>
          <w:bCs/>
          <w:sz w:val="32"/>
          <w:szCs w:val="32"/>
          <w:lang w:val="en-US" w:eastAsia="zh-CN"/>
        </w:rPr>
        <w:t>”</w:t>
      </w:r>
      <w:r>
        <w:rPr>
          <w:rFonts w:hint="default" w:ascii="Times New Roman" w:hAnsi="Times New Roman" w:cs="Times New Roman"/>
          <w:sz w:val="32"/>
          <w:szCs w:val="32"/>
          <w:lang w:val="en-US" w:eastAsia="zh-CN"/>
        </w:rPr>
        <w:t>。</w:t>
      </w:r>
    </w:p>
    <w:p>
      <w:pPr>
        <w:ind w:firstLine="608" w:firstLineChars="200"/>
        <w:jc w:val="left"/>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世界卫生组织（WHO）指出，诺和诺德</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Novo Nordisk</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礼来</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Eli Lilly</w:t>
      </w:r>
      <w:r>
        <w:rPr>
          <w:rFonts w:hint="eastAsia" w:ascii="Times New Roman" w:hAnsi="Times New Roman" w:cs="Times New Roman"/>
          <w:sz w:val="32"/>
          <w:szCs w:val="32"/>
          <w:lang w:val="en-US" w:eastAsia="zh-CN"/>
        </w:rPr>
        <w:t>）等开发的</w:t>
      </w:r>
      <w:r>
        <w:rPr>
          <w:rFonts w:hint="default" w:ascii="Times New Roman" w:hAnsi="Times New Roman" w:cs="Times New Roman"/>
          <w:sz w:val="32"/>
          <w:szCs w:val="32"/>
          <w:lang w:val="en-US" w:eastAsia="zh-CN"/>
        </w:rPr>
        <w:t>减肥药物，在解决肥胖问题方面具有</w:t>
      </w:r>
      <w:r>
        <w:rPr>
          <w:rFonts w:hint="eastAsia" w:ascii="Times New Roman" w:hAnsi="Times New Roman" w:cs="Times New Roman"/>
          <w:sz w:val="32"/>
          <w:szCs w:val="32"/>
          <w:lang w:val="en-US" w:eastAsia="zh-CN"/>
        </w:rPr>
        <w:t>显著效果</w:t>
      </w:r>
      <w:r>
        <w:rPr>
          <w:rFonts w:hint="default" w:ascii="Times New Roman" w:hAnsi="Times New Roman" w:cs="Times New Roman"/>
          <w:sz w:val="32"/>
          <w:szCs w:val="32"/>
          <w:lang w:val="en-US" w:eastAsia="zh-CN"/>
        </w:rPr>
        <w:t>。然而，这些药物的高昂成本和有限的可得性会加剧社会不平等现象。因此，各国政府和国际社会需要共同努力，提高</w:t>
      </w:r>
      <w:r>
        <w:rPr>
          <w:rFonts w:hint="eastAsia" w:ascii="Times New Roman" w:hAnsi="Times New Roman" w:cs="Times New Roman"/>
          <w:sz w:val="32"/>
          <w:szCs w:val="32"/>
          <w:lang w:val="en-US" w:eastAsia="zh-CN"/>
        </w:rPr>
        <w:t>此类</w:t>
      </w:r>
      <w:r>
        <w:rPr>
          <w:rFonts w:hint="default" w:ascii="Times New Roman" w:hAnsi="Times New Roman" w:cs="Times New Roman"/>
          <w:sz w:val="32"/>
          <w:szCs w:val="32"/>
          <w:lang w:val="en-US" w:eastAsia="zh-CN"/>
        </w:rPr>
        <w:t>药物的</w:t>
      </w:r>
      <w:r>
        <w:rPr>
          <w:rFonts w:hint="default" w:ascii="Times New Roman" w:hAnsi="Times New Roman" w:cs="Times New Roman"/>
          <w:b/>
          <w:bCs/>
          <w:sz w:val="32"/>
          <w:szCs w:val="32"/>
          <w:lang w:val="en-US" w:eastAsia="zh-CN"/>
        </w:rPr>
        <w:t>可负担性</w:t>
      </w:r>
      <w:r>
        <w:rPr>
          <w:rFonts w:hint="eastAsia" w:ascii="Times New Roman" w:hAnsi="Times New Roman" w:cs="Times New Roman"/>
          <w:b/>
          <w:bCs/>
          <w:sz w:val="32"/>
          <w:szCs w:val="32"/>
          <w:lang w:val="en-US" w:eastAsia="zh-CN"/>
        </w:rPr>
        <w:t>和可获得性</w:t>
      </w:r>
      <w:r>
        <w:rPr>
          <w:rFonts w:hint="default" w:ascii="Times New Roman" w:hAnsi="Times New Roman" w:cs="Times New Roman"/>
          <w:sz w:val="32"/>
          <w:szCs w:val="32"/>
          <w:lang w:val="en-US" w:eastAsia="zh-CN"/>
        </w:rPr>
        <w:t>。</w:t>
      </w:r>
    </w:p>
    <w:p>
      <w:pPr>
        <w:ind w:firstLine="388" w:firstLineChars="200"/>
        <w:jc w:val="left"/>
      </w:pPr>
      <w:r>
        <w:rPr>
          <w:rFonts w:hint="eastAsia"/>
          <w:lang w:val="en-US" w:eastAsia="zh-CN"/>
        </w:rPr>
        <w:t xml:space="preserve">     </w:t>
      </w:r>
      <w:r>
        <w:drawing>
          <wp:inline distT="0" distB="0" distL="114300" distR="114300">
            <wp:extent cx="4312920" cy="2560955"/>
            <wp:effectExtent l="0" t="0" r="11430" b="1079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0"/>
                    <a:stretch>
                      <a:fillRect/>
                    </a:stretch>
                  </pic:blipFill>
                  <pic:spPr>
                    <a:xfrm>
                      <a:off x="0" y="0"/>
                      <a:ext cx="4312920" cy="2560955"/>
                    </a:xfrm>
                    <a:prstGeom prst="rect">
                      <a:avLst/>
                    </a:prstGeom>
                    <a:noFill/>
                    <a:ln>
                      <a:noFill/>
                    </a:ln>
                  </pic:spPr>
                </pic:pic>
              </a:graphicData>
            </a:graphic>
          </wp:inline>
        </w:drawing>
      </w:r>
    </w:p>
    <w:p>
      <w:pPr>
        <w:jc w:val="center"/>
        <w:rPr>
          <w:rFonts w:hint="eastAsia" w:ascii="方正楷体_GBK" w:hAnsi="方正楷体_GBK" w:eastAsia="方正楷体_GBK" w:cs="方正楷体_GBK"/>
          <w:sz w:val="28"/>
          <w:szCs w:val="28"/>
          <w:lang w:val="en-US" w:eastAsia="zh-CN"/>
        </w:rPr>
      </w:pPr>
      <w:r>
        <w:rPr>
          <w:rFonts w:hint="eastAsia" w:ascii="方正楷体_GBK" w:hAnsi="方正楷体_GBK" w:eastAsia="方正楷体_GBK" w:cs="方正楷体_GBK"/>
          <w:sz w:val="28"/>
          <w:szCs w:val="28"/>
          <w:lang w:eastAsia="zh-CN"/>
        </w:rPr>
        <w:t>（图：减肥药龙头企业收益增长，获投资者青睐）</w:t>
      </w:r>
    </w:p>
    <w:p>
      <w:pPr>
        <w:ind w:firstLine="608" w:firstLineChars="200"/>
        <w:jc w:val="left"/>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此外，解决肥胖问题需要从多方面入手</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改善饮食习惯、增加体育锻炼、加强健康教育等。政府、企业、社会和个人都应积极参与，共同构建</w:t>
      </w:r>
      <w:r>
        <w:rPr>
          <w:rFonts w:hint="default" w:ascii="Times New Roman" w:hAnsi="Times New Roman" w:cs="Times New Roman"/>
          <w:b/>
          <w:bCs/>
          <w:sz w:val="32"/>
          <w:szCs w:val="32"/>
          <w:lang w:val="en-US" w:eastAsia="zh-CN"/>
        </w:rPr>
        <w:t>可持续的</w:t>
      </w:r>
      <w:r>
        <w:rPr>
          <w:rFonts w:hint="eastAsia" w:ascii="Times New Roman" w:hAnsi="Times New Roman" w:cs="Times New Roman"/>
          <w:b/>
          <w:bCs/>
          <w:sz w:val="32"/>
          <w:szCs w:val="32"/>
          <w:lang w:val="en-US" w:eastAsia="zh-CN"/>
        </w:rPr>
        <w:t>“大</w:t>
      </w:r>
      <w:r>
        <w:rPr>
          <w:rFonts w:hint="default" w:ascii="Times New Roman" w:hAnsi="Times New Roman" w:cs="Times New Roman"/>
          <w:b/>
          <w:bCs/>
          <w:sz w:val="32"/>
          <w:szCs w:val="32"/>
          <w:lang w:val="en-US" w:eastAsia="zh-CN"/>
        </w:rPr>
        <w:t>健康</w:t>
      </w:r>
      <w:r>
        <w:rPr>
          <w:rFonts w:hint="eastAsia" w:ascii="Times New Roman" w:hAnsi="Times New Roman" w:cs="Times New Roman"/>
          <w:b/>
          <w:bCs/>
          <w:sz w:val="32"/>
          <w:szCs w:val="32"/>
          <w:lang w:val="en-US" w:eastAsia="zh-CN"/>
        </w:rPr>
        <w:t>”</w:t>
      </w:r>
      <w:r>
        <w:rPr>
          <w:rFonts w:hint="default" w:ascii="Times New Roman" w:hAnsi="Times New Roman" w:cs="Times New Roman"/>
          <w:b/>
          <w:bCs/>
          <w:sz w:val="32"/>
          <w:szCs w:val="32"/>
          <w:lang w:val="en-US" w:eastAsia="zh-CN"/>
        </w:rPr>
        <w:t>环境</w:t>
      </w:r>
      <w:r>
        <w:rPr>
          <w:rFonts w:hint="default" w:ascii="Times New Roman" w:hAnsi="Times New Roman" w:cs="Times New Roman"/>
          <w:sz w:val="32"/>
          <w:szCs w:val="32"/>
          <w:lang w:val="en-US" w:eastAsia="zh-CN"/>
        </w:rPr>
        <w:t>。</w:t>
      </w:r>
    </w:p>
    <w:p>
      <w:pPr>
        <w:jc w:val="center"/>
        <w:rPr>
          <w:rFonts w:hint="default" w:ascii="Times New Roman" w:hAnsi="Times New Roman" w:cs="Times New Roman"/>
          <w:sz w:val="32"/>
          <w:szCs w:val="32"/>
          <w:lang w:val="en-US" w:eastAsia="zh-CN"/>
        </w:rPr>
      </w:pPr>
    </w:p>
    <w:p>
      <w:pPr>
        <w:ind w:left="0" w:leftChars="0" w:firstLine="0" w:firstLineChars="0"/>
        <w:jc w:val="left"/>
        <w:rPr>
          <w:rFonts w:hint="default" w:ascii="Times New Roman" w:hAnsi="Times New Roman" w:eastAsia="宋体" w:cs="Times New Roman"/>
          <w:b/>
          <w:bCs/>
          <w:color w:val="0000FF"/>
          <w:sz w:val="32"/>
          <w:szCs w:val="32"/>
          <w:highlight w:val="yellow"/>
          <w:lang w:val="en-US" w:eastAsia="zh-CN"/>
        </w:rPr>
      </w:pPr>
      <w:r>
        <w:rPr>
          <w:rFonts w:hint="eastAsia" w:ascii="Times New Roman" w:hAnsi="Times New Roman" w:eastAsia="方正小标宋_GBK" w:cs="Times New Roman"/>
          <w:b/>
          <w:bCs/>
          <w:color w:val="FF0000"/>
          <w:sz w:val="32"/>
          <w:szCs w:val="40"/>
          <w:highlight w:val="yellow"/>
          <w:lang w:val="en-US" w:eastAsia="zh-CN"/>
        </w:rPr>
        <w:t>3</w:t>
      </w:r>
      <w:r>
        <w:rPr>
          <w:rFonts w:hint="default" w:ascii="Times New Roman" w:hAnsi="Times New Roman" w:eastAsia="方正小标宋_GBK" w:cs="Times New Roman"/>
          <w:b/>
          <w:bCs/>
          <w:color w:val="FF0000"/>
          <w:sz w:val="32"/>
          <w:szCs w:val="40"/>
          <w:highlight w:val="yellow"/>
          <w:lang w:val="en-US" w:eastAsia="zh-CN"/>
        </w:rPr>
        <w:t>月</w:t>
      </w:r>
      <w:r>
        <w:rPr>
          <w:rFonts w:hint="eastAsia" w:ascii="Times New Roman" w:hAnsi="Times New Roman" w:eastAsia="方正小标宋_GBK" w:cs="Times New Roman"/>
          <w:b/>
          <w:bCs/>
          <w:color w:val="FF0000"/>
          <w:sz w:val="32"/>
          <w:szCs w:val="40"/>
          <w:highlight w:val="yellow"/>
          <w:lang w:val="en-US" w:eastAsia="zh-CN"/>
        </w:rPr>
        <w:t>3</w:t>
      </w:r>
      <w:r>
        <w:rPr>
          <w:rFonts w:hint="default" w:ascii="Times New Roman" w:hAnsi="Times New Roman" w:eastAsia="方正小标宋_GBK" w:cs="Times New Roman"/>
          <w:b/>
          <w:bCs/>
          <w:color w:val="FF0000"/>
          <w:sz w:val="32"/>
          <w:szCs w:val="40"/>
          <w:highlight w:val="yellow"/>
          <w:lang w:val="en-US" w:eastAsia="zh-CN"/>
        </w:rPr>
        <w:t>日</w:t>
      </w:r>
      <w:r>
        <w:rPr>
          <w:rFonts w:hint="default" w:ascii="Times New Roman" w:hAnsi="Times New Roman" w:eastAsia="方正魏碑简体" w:cs="Times New Roman"/>
          <w:b/>
          <w:bCs/>
          <w:color w:val="0000FF"/>
          <w:sz w:val="32"/>
          <w:szCs w:val="40"/>
          <w:highlight w:val="yellow"/>
          <w:lang w:val="en-US" w:eastAsia="zh-CN"/>
        </w:rPr>
        <w:t>（周</w:t>
      </w:r>
      <w:r>
        <w:rPr>
          <w:rFonts w:hint="eastAsia" w:ascii="Times New Roman" w:hAnsi="Times New Roman" w:eastAsia="方正魏碑简体" w:cs="Times New Roman"/>
          <w:b/>
          <w:bCs/>
          <w:color w:val="0000FF"/>
          <w:sz w:val="32"/>
          <w:szCs w:val="40"/>
          <w:highlight w:val="yellow"/>
          <w:lang w:val="en-US" w:eastAsia="zh-CN"/>
        </w:rPr>
        <w:t>日</w:t>
      </w:r>
      <w:r>
        <w:rPr>
          <w:rFonts w:hint="default" w:ascii="Times New Roman" w:hAnsi="Times New Roman" w:eastAsia="方正魏碑简体" w:cs="Times New Roman"/>
          <w:b/>
          <w:bCs/>
          <w:color w:val="0000FF"/>
          <w:sz w:val="32"/>
          <w:szCs w:val="40"/>
          <w:highlight w:val="yellow"/>
          <w:lang w:val="en-US" w:eastAsia="zh-CN"/>
        </w:rPr>
        <w:t>）</w:t>
      </w:r>
    </w:p>
    <w:tbl>
      <w:tblPr>
        <w:tblStyle w:val="14"/>
        <w:tblpPr w:leftFromText="180" w:rightFromText="180" w:vertAnchor="text" w:horzAnchor="page" w:tblpX="1615" w:tblpY="777"/>
        <w:tblOverlap w:val="never"/>
        <w:tblW w:w="89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126"/>
        <w:gridCol w:w="481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100" w:hRule="atLeast"/>
        </w:trPr>
        <w:tc>
          <w:tcPr>
            <w:tcW w:w="4126" w:type="dxa"/>
            <w:tcBorders>
              <w:tl2br w:val="nil"/>
              <w:tr2bl w:val="nil"/>
            </w:tcBorders>
            <w:vAlign w:val="top"/>
          </w:tcPr>
          <w:p>
            <w:pPr>
              <w:jc w:val="both"/>
              <w:rPr>
                <w:rFonts w:hint="default" w:ascii="Times New Roman" w:hAnsi="Times New Roman" w:cs="Times New Roman"/>
                <w:sz w:val="32"/>
                <w:szCs w:val="32"/>
                <w:vertAlign w:val="baseline"/>
              </w:rPr>
            </w:pPr>
            <w:r>
              <w:drawing>
                <wp:inline distT="0" distB="0" distL="114300" distR="114300">
                  <wp:extent cx="2504440" cy="2504440"/>
                  <wp:effectExtent l="0" t="0" r="10160" b="1016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1"/>
                          <a:stretch>
                            <a:fillRect/>
                          </a:stretch>
                        </pic:blipFill>
                        <pic:spPr>
                          <a:xfrm>
                            <a:off x="0" y="0"/>
                            <a:ext cx="2504440" cy="2504440"/>
                          </a:xfrm>
                          <a:prstGeom prst="rect">
                            <a:avLst/>
                          </a:prstGeom>
                          <a:noFill/>
                          <a:ln>
                            <a:noFill/>
                          </a:ln>
                        </pic:spPr>
                      </pic:pic>
                    </a:graphicData>
                  </a:graphic>
                </wp:inline>
              </w:drawing>
            </w:r>
          </w:p>
        </w:tc>
        <w:tc>
          <w:tcPr>
            <w:tcW w:w="4814" w:type="dxa"/>
            <w:tcBorders>
              <w:tl2br w:val="nil"/>
              <w:tr2bl w:val="nil"/>
            </w:tcBorders>
            <w:vAlign w:val="top"/>
          </w:tcPr>
          <w:p>
            <w:pPr>
              <w:ind w:firstLine="608" w:firstLineChars="200"/>
              <w:jc w:val="left"/>
              <w:rPr>
                <w:rFonts w:hint="default" w:ascii="Times New Roman" w:hAnsi="Times New Roman" w:cs="Times New Roman"/>
                <w:sz w:val="32"/>
                <w:szCs w:val="32"/>
                <w:vertAlign w:val="baseline"/>
              </w:rPr>
            </w:pPr>
            <w:r>
              <w:rPr>
                <w:rFonts w:hint="eastAsia" w:ascii="Times New Roman" w:hAnsi="Times New Roman" w:cs="Times New Roman"/>
                <w:sz w:val="32"/>
                <w:szCs w:val="32"/>
                <w:lang w:val="en-US" w:eastAsia="zh-CN"/>
              </w:rPr>
              <w:t>下周，德国的市政交通工人将举行罢工。本次罢工由跨行业的服务业工会组织“Ver.di”发起，它成立于2001年，是德国最大的工会之一。Ver.di代表的服务行业包括公共服务、交通运输、邮政、媒体、电信、金融、医疗保健和社会福利等。</w:t>
            </w:r>
          </w:p>
        </w:tc>
      </w:tr>
    </w:tbl>
    <w:p>
      <w:pPr>
        <w:jc w:val="center"/>
        <w:rPr>
          <w:rFonts w:hint="default" w:ascii="Times New Roman" w:hAnsi="Times New Roman" w:eastAsia="方正小标宋_GBK" w:cs="Times New Roman"/>
          <w:b/>
          <w:bCs/>
          <w:color w:val="0000FF"/>
          <w:sz w:val="36"/>
          <w:szCs w:val="44"/>
          <w:highlight w:val="yellow"/>
          <w:lang w:val="en-US" w:eastAsia="zh-CN"/>
        </w:rPr>
      </w:pPr>
      <w:r>
        <w:rPr>
          <w:rFonts w:hint="eastAsia" w:ascii="Times New Roman" w:hAnsi="Times New Roman" w:eastAsia="方正小标宋_GBK" w:cs="Times New Roman"/>
          <w:b/>
          <w:bCs/>
          <w:color w:val="0000FF"/>
          <w:sz w:val="36"/>
          <w:szCs w:val="44"/>
          <w:highlight w:val="yellow"/>
          <w:lang w:val="en-US" w:eastAsia="zh-CN"/>
        </w:rPr>
        <w:t>德国公交罢工，财政压力显现</w:t>
      </w:r>
    </w:p>
    <w:p>
      <w:pPr>
        <w:ind w:firstLine="608" w:firstLineChars="200"/>
        <w:jc w:val="left"/>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Ver.di的大约9万名成员，下周将在包括柏林、法兰克福和汉堡在内的数十个城市停工。届时，公交车、有轨电车和地铁将停运，停运时间从几个小时到两天不等。</w:t>
      </w:r>
    </w:p>
    <w:p>
      <w:pPr>
        <w:ind w:firstLine="608" w:firstLineChars="200"/>
        <w:jc w:val="left"/>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本次罢工不影响城际列车运行，但汉莎航空公司地勤人员的罢工可能会影响航空交通。</w:t>
      </w:r>
    </w:p>
    <w:p>
      <w:pPr>
        <w:ind w:firstLine="608" w:firstLineChars="200"/>
        <w:jc w:val="left"/>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Ver.di拟通过罢工改善公共交通部门工人的工资和工作条件，同时敦促政府增加对公共交通的投资。但是，随着德国经济停滞不前，联邦政府又在其他方面支出甚多（如援助乌克兰），财政支出与收入的缺口越来越大，财政预算开始捉襟见肘（见图）。</w:t>
      </w:r>
    </w:p>
    <w:p>
      <w:pPr>
        <w:jc w:val="center"/>
        <w:rPr>
          <w:rFonts w:hint="eastAsia"/>
          <w:lang w:val="en-US" w:eastAsia="zh-CN"/>
        </w:rPr>
      </w:pPr>
      <w:r>
        <w:drawing>
          <wp:inline distT="0" distB="0" distL="114300" distR="114300">
            <wp:extent cx="3458210" cy="2413000"/>
            <wp:effectExtent l="0" t="0" r="8890" b="635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2"/>
                    <a:stretch>
                      <a:fillRect/>
                    </a:stretch>
                  </pic:blipFill>
                  <pic:spPr>
                    <a:xfrm>
                      <a:off x="0" y="0"/>
                      <a:ext cx="3458210" cy="2413000"/>
                    </a:xfrm>
                    <a:prstGeom prst="rect">
                      <a:avLst/>
                    </a:prstGeom>
                    <a:noFill/>
                    <a:ln>
                      <a:noFill/>
                    </a:ln>
                  </pic:spPr>
                </pic:pic>
              </a:graphicData>
            </a:graphic>
          </wp:inline>
        </w:drawing>
      </w:r>
    </w:p>
    <w:p>
      <w:pPr>
        <w:rPr>
          <w:rFonts w:hint="eastAsia"/>
          <w:lang w:val="en-US" w:eastAsia="zh-CN"/>
        </w:rPr>
      </w:pPr>
    </w:p>
    <w:p>
      <w:pPr>
        <w:ind w:left="0" w:leftChars="0" w:firstLine="0" w:firstLineChars="0"/>
        <w:jc w:val="left"/>
        <w:rPr>
          <w:rFonts w:hint="default" w:ascii="Times New Roman" w:hAnsi="Times New Roman" w:eastAsia="宋体" w:cs="Times New Roman"/>
          <w:b/>
          <w:bCs/>
          <w:color w:val="0000FF"/>
          <w:sz w:val="32"/>
          <w:szCs w:val="32"/>
          <w:highlight w:val="yellow"/>
          <w:lang w:val="en-US" w:eastAsia="zh-CN"/>
        </w:rPr>
      </w:pPr>
      <w:r>
        <w:rPr>
          <w:rFonts w:hint="eastAsia" w:ascii="Times New Roman" w:hAnsi="Times New Roman" w:eastAsia="方正小标宋_GBK" w:cs="Times New Roman"/>
          <w:b/>
          <w:bCs/>
          <w:color w:val="FF0000"/>
          <w:sz w:val="32"/>
          <w:szCs w:val="40"/>
          <w:highlight w:val="yellow"/>
          <w:lang w:val="en-US" w:eastAsia="zh-CN"/>
        </w:rPr>
        <w:t>3</w:t>
      </w:r>
      <w:r>
        <w:rPr>
          <w:rFonts w:hint="default" w:ascii="Times New Roman" w:hAnsi="Times New Roman" w:eastAsia="方正小标宋_GBK" w:cs="Times New Roman"/>
          <w:b/>
          <w:bCs/>
          <w:color w:val="FF0000"/>
          <w:sz w:val="32"/>
          <w:szCs w:val="40"/>
          <w:highlight w:val="yellow"/>
          <w:lang w:val="en-US" w:eastAsia="zh-CN"/>
        </w:rPr>
        <w:t>月</w:t>
      </w:r>
      <w:r>
        <w:rPr>
          <w:rFonts w:hint="eastAsia" w:ascii="Times New Roman" w:hAnsi="Times New Roman" w:eastAsia="方正小标宋_GBK" w:cs="Times New Roman"/>
          <w:b/>
          <w:bCs/>
          <w:color w:val="FF0000"/>
          <w:sz w:val="32"/>
          <w:szCs w:val="40"/>
          <w:highlight w:val="yellow"/>
          <w:lang w:val="en-US" w:eastAsia="zh-CN"/>
        </w:rPr>
        <w:t>4</w:t>
      </w:r>
      <w:r>
        <w:rPr>
          <w:rFonts w:hint="default" w:ascii="Times New Roman" w:hAnsi="Times New Roman" w:eastAsia="方正小标宋_GBK" w:cs="Times New Roman"/>
          <w:b/>
          <w:bCs/>
          <w:color w:val="FF0000"/>
          <w:sz w:val="32"/>
          <w:szCs w:val="40"/>
          <w:highlight w:val="yellow"/>
          <w:lang w:val="en-US" w:eastAsia="zh-CN"/>
        </w:rPr>
        <w:t>日</w:t>
      </w:r>
      <w:r>
        <w:rPr>
          <w:rFonts w:hint="default" w:ascii="Times New Roman" w:hAnsi="Times New Roman" w:eastAsia="方正魏碑简体" w:cs="Times New Roman"/>
          <w:b/>
          <w:bCs/>
          <w:color w:val="0000FF"/>
          <w:sz w:val="32"/>
          <w:szCs w:val="40"/>
          <w:highlight w:val="yellow"/>
          <w:lang w:val="en-US" w:eastAsia="zh-CN"/>
        </w:rPr>
        <w:t>（周</w:t>
      </w:r>
      <w:r>
        <w:rPr>
          <w:rFonts w:hint="eastAsia" w:ascii="Times New Roman" w:hAnsi="Times New Roman" w:eastAsia="方正魏碑简体" w:cs="Times New Roman"/>
          <w:b/>
          <w:bCs/>
          <w:color w:val="0000FF"/>
          <w:sz w:val="32"/>
          <w:szCs w:val="40"/>
          <w:highlight w:val="yellow"/>
          <w:lang w:val="en-US" w:eastAsia="zh-CN"/>
        </w:rPr>
        <w:t>一</w:t>
      </w:r>
      <w:r>
        <w:rPr>
          <w:rFonts w:hint="default" w:ascii="Times New Roman" w:hAnsi="Times New Roman" w:eastAsia="方正魏碑简体" w:cs="Times New Roman"/>
          <w:b/>
          <w:bCs/>
          <w:color w:val="0000FF"/>
          <w:sz w:val="32"/>
          <w:szCs w:val="40"/>
          <w:highlight w:val="yellow"/>
          <w:lang w:val="en-US" w:eastAsia="zh-CN"/>
        </w:rPr>
        <w:t>）</w:t>
      </w:r>
    </w:p>
    <w:p>
      <w:pPr>
        <w:jc w:val="center"/>
        <w:rPr>
          <w:rFonts w:hint="default" w:ascii="Times New Roman" w:hAnsi="Times New Roman" w:eastAsia="方正小标宋_GBK" w:cs="Times New Roman"/>
          <w:b/>
          <w:bCs/>
          <w:color w:val="0000FF"/>
          <w:sz w:val="36"/>
          <w:szCs w:val="44"/>
          <w:highlight w:val="yellow"/>
          <w:lang w:val="en-US" w:eastAsia="zh-CN"/>
        </w:rPr>
      </w:pPr>
      <w:r>
        <w:rPr>
          <w:rFonts w:hint="default" w:ascii="Times New Roman" w:hAnsi="Times New Roman" w:eastAsia="方正小标宋_GBK" w:cs="Times New Roman"/>
          <w:b/>
          <w:bCs/>
          <w:color w:val="0000FF"/>
          <w:sz w:val="36"/>
          <w:szCs w:val="44"/>
          <w:highlight w:val="yellow"/>
          <w:lang w:val="en-US" w:eastAsia="zh-CN"/>
        </w:rPr>
        <w:t>NYCB</w:t>
      </w:r>
      <w:r>
        <w:rPr>
          <w:rFonts w:hint="eastAsia" w:ascii="Times New Roman" w:hAnsi="Times New Roman" w:eastAsia="方正小标宋_GBK" w:cs="Times New Roman"/>
          <w:b/>
          <w:bCs/>
          <w:color w:val="0000FF"/>
          <w:sz w:val="36"/>
          <w:szCs w:val="44"/>
          <w:highlight w:val="yellow"/>
          <w:lang w:val="en-US" w:eastAsia="zh-CN"/>
        </w:rPr>
        <w:t>遇困，金丝雀出数据，</w:t>
      </w:r>
      <w:r>
        <w:rPr>
          <w:rFonts w:hint="default" w:ascii="Times New Roman" w:hAnsi="Times New Roman" w:eastAsia="方正小标宋_GBK" w:cs="Times New Roman"/>
          <w:b/>
          <w:bCs/>
          <w:color w:val="0000FF"/>
          <w:sz w:val="36"/>
          <w:szCs w:val="44"/>
          <w:highlight w:val="yellow"/>
          <w:lang w:val="en-US" w:eastAsia="zh-CN"/>
        </w:rPr>
        <w:t>OPEC+</w:t>
      </w:r>
      <w:r>
        <w:rPr>
          <w:rFonts w:hint="eastAsia" w:ascii="Times New Roman" w:hAnsi="Times New Roman" w:eastAsia="方正小标宋_GBK" w:cs="Times New Roman"/>
          <w:b/>
          <w:bCs/>
          <w:color w:val="0000FF"/>
          <w:sz w:val="36"/>
          <w:szCs w:val="44"/>
          <w:highlight w:val="yellow"/>
          <w:lang w:val="en-US" w:eastAsia="zh-CN"/>
        </w:rPr>
        <w:t>减产</w:t>
      </w:r>
    </w:p>
    <w:tbl>
      <w:tblPr>
        <w:tblStyle w:val="14"/>
        <w:tblpPr w:leftFromText="180" w:rightFromText="180" w:vertAnchor="text" w:horzAnchor="page" w:tblpX="1600" w:tblpY="666"/>
        <w:tblOverlap w:val="never"/>
        <w:tblW w:w="89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025"/>
        <w:gridCol w:w="39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85" w:hRule="atLeast"/>
        </w:trPr>
        <w:tc>
          <w:tcPr>
            <w:tcW w:w="5025" w:type="dxa"/>
            <w:tcBorders>
              <w:tl2br w:val="nil"/>
              <w:tr2bl w:val="nil"/>
            </w:tcBorders>
            <w:vAlign w:val="top"/>
          </w:tcPr>
          <w:p>
            <w:pPr>
              <w:ind w:firstLine="608" w:firstLineChars="200"/>
              <w:jc w:val="left"/>
              <w:rPr>
                <w:rFonts w:hint="default" w:ascii="Times New Roman" w:hAnsi="Times New Roman" w:cs="Times New Roman"/>
                <w:sz w:val="32"/>
                <w:szCs w:val="32"/>
                <w:vertAlign w:val="baseline"/>
              </w:rPr>
            </w:pPr>
            <w:r>
              <w:rPr>
                <w:rFonts w:hint="eastAsia" w:ascii="Times New Roman" w:hAnsi="Times New Roman" w:cs="Times New Roman"/>
                <w:sz w:val="32"/>
                <w:szCs w:val="32"/>
                <w:lang w:val="en-US" w:eastAsia="zh-CN"/>
              </w:rPr>
              <w:t>上周，惠誉（Fitch）将纽约社区银行（New York Community Bancorp）的评级下调至“垃圾级”，原因是该行最近承认其审查贷款风险的方式存在“重大缺陷”，并更换了首席执行官。纽约社区银行的股价周五下跌了26%，今年迄今已下跌了65%。</w:t>
            </w:r>
          </w:p>
        </w:tc>
        <w:tc>
          <w:tcPr>
            <w:tcW w:w="3915" w:type="dxa"/>
            <w:tcBorders>
              <w:tl2br w:val="nil"/>
              <w:tr2bl w:val="nil"/>
            </w:tcBorders>
            <w:vAlign w:val="top"/>
          </w:tcPr>
          <w:p>
            <w:pPr>
              <w:jc w:val="left"/>
              <w:rPr>
                <w:rFonts w:hint="default" w:ascii="Times New Roman" w:hAnsi="Times New Roman" w:cs="Times New Roman"/>
                <w:sz w:val="32"/>
                <w:szCs w:val="32"/>
                <w:vertAlign w:val="baseline"/>
              </w:rPr>
            </w:pPr>
            <w:r>
              <w:drawing>
                <wp:inline distT="0" distB="0" distL="114300" distR="114300">
                  <wp:extent cx="2447925" cy="2470150"/>
                  <wp:effectExtent l="0" t="0" r="9525" b="6350"/>
                  <wp:docPr id="1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
                          <pic:cNvPicPr>
                            <a:picLocks noChangeAspect="1"/>
                          </pic:cNvPicPr>
                        </pic:nvPicPr>
                        <pic:blipFill>
                          <a:blip r:embed="rId13"/>
                          <a:stretch>
                            <a:fillRect/>
                          </a:stretch>
                        </pic:blipFill>
                        <pic:spPr>
                          <a:xfrm>
                            <a:off x="0" y="0"/>
                            <a:ext cx="2447925" cy="2470150"/>
                          </a:xfrm>
                          <a:prstGeom prst="rect">
                            <a:avLst/>
                          </a:prstGeom>
                          <a:noFill/>
                          <a:ln>
                            <a:noFill/>
                          </a:ln>
                        </pic:spPr>
                      </pic:pic>
                    </a:graphicData>
                  </a:graphic>
                </wp:inline>
              </w:drawing>
            </w:r>
          </w:p>
        </w:tc>
      </w:tr>
    </w:tbl>
    <w:p>
      <w:pPr>
        <w:ind w:firstLine="608" w:firstLineChars="200"/>
        <w:jc w:val="left"/>
        <w:rPr>
          <w:rFonts w:hint="eastAsia"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一、办公楼地产价跌，拖累地区性银行</w:t>
      </w:r>
    </w:p>
    <w:p>
      <w:pPr>
        <w:ind w:firstLine="608" w:firstLineChars="200"/>
        <w:jc w:val="left"/>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该行是美国地区性银行，也是一家中等规模银行，本次困境由美国办公楼地产价格大幅下跌导致；美国商业地产的抵押贷款通常由地区性中小银行发放，由此受累较深。办公楼地产在美国房地产中占比不大，目前尚无引发银行业危机的迹象。</w:t>
      </w:r>
    </w:p>
    <w:p>
      <w:pPr>
        <w:keepNext w:val="0"/>
        <w:keepLines w:val="0"/>
        <w:pageBreakBefore w:val="0"/>
        <w:widowControl w:val="0"/>
        <w:kinsoku/>
        <w:wordWrap/>
        <w:overflowPunct/>
        <w:topLinePunct w:val="0"/>
        <w:autoSpaceDE/>
        <w:autoSpaceDN/>
        <w:bidi w:val="0"/>
        <w:adjustRightInd/>
        <w:snapToGrid/>
        <w:spacing w:line="400" w:lineRule="exact"/>
        <w:ind w:firstLine="528" w:firstLineChars="200"/>
        <w:textAlignment w:val="auto"/>
        <w:outlineLvl w:val="9"/>
        <w:rPr>
          <w:rFonts w:hint="default" w:ascii="Times New Roman" w:hAnsi="Times New Roman" w:eastAsia="方正楷体_GBK" w:cs="Calibri"/>
          <w:sz w:val="28"/>
          <w:szCs w:val="28"/>
          <w:lang w:val="en-US" w:eastAsia="zh-CN"/>
        </w:rPr>
      </w:pPr>
      <w:r>
        <w:rPr>
          <w:rFonts w:hint="default" w:ascii="Times New Roman" w:hAnsi="Times New Roman" w:eastAsia="方正楷体_GBK" w:cs="Calibri"/>
          <w:sz w:val="28"/>
          <w:szCs w:val="28"/>
          <w:lang w:val="en-US" w:eastAsia="zh-CN"/>
        </w:rPr>
        <w:t>（</w:t>
      </w:r>
      <w:r>
        <w:rPr>
          <w:rFonts w:hint="eastAsia" w:ascii="方正黑体_GBK" w:hAnsi="方正黑体_GBK" w:eastAsia="方正黑体_GBK" w:cs="方正黑体_GBK"/>
          <w:b/>
          <w:bCs/>
          <w:sz w:val="28"/>
          <w:szCs w:val="28"/>
          <w:lang w:val="en-US" w:eastAsia="zh-CN"/>
        </w:rPr>
        <w:t>注</w:t>
      </w:r>
      <w:r>
        <w:rPr>
          <w:rFonts w:hint="default" w:ascii="Times New Roman" w:hAnsi="Times New Roman" w:eastAsia="方正楷体_GBK" w:cs="Calibri"/>
          <w:sz w:val="28"/>
          <w:szCs w:val="28"/>
          <w:lang w:val="en-US" w:eastAsia="zh-CN"/>
        </w:rPr>
        <w:t>：三大评级机构，标准普尔全球评级（Standard &amp; Poor's）、穆迪投资者服务（Moody's Investors Service）和惠誉评级（Fitch Ratings））</w:t>
      </w:r>
    </w:p>
    <w:p>
      <w:pPr>
        <w:ind w:firstLine="608" w:firstLineChars="200"/>
        <w:jc w:val="left"/>
        <w:rPr>
          <w:rFonts w:hint="default"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二、金丝雀出数据，全球贸易平淡</w:t>
      </w:r>
    </w:p>
    <w:p>
      <w:pPr>
        <w:ind w:firstLine="608" w:firstLineChars="200"/>
        <w:jc w:val="left"/>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韩国出口数据被视作全球贸易的金丝雀（预警）数据，</w:t>
      </w:r>
      <w:r>
        <w:rPr>
          <w:rFonts w:hint="default" w:ascii="Times New Roman" w:hAnsi="Times New Roman" w:cs="Times New Roman"/>
          <w:sz w:val="32"/>
          <w:szCs w:val="32"/>
          <w:lang w:val="en-US" w:eastAsia="zh-CN"/>
        </w:rPr>
        <w:t>3</w:t>
      </w:r>
      <w:r>
        <w:rPr>
          <w:rFonts w:hint="eastAsia" w:ascii="Times New Roman" w:hAnsi="Times New Roman" w:cs="Times New Roman"/>
          <w:sz w:val="32"/>
          <w:szCs w:val="32"/>
          <w:lang w:val="en-US" w:eastAsia="zh-CN"/>
        </w:rPr>
        <w:t>月</w:t>
      </w:r>
      <w:r>
        <w:rPr>
          <w:rFonts w:hint="default" w:ascii="Times New Roman" w:hAnsi="Times New Roman" w:cs="Times New Roman"/>
          <w:sz w:val="32"/>
          <w:szCs w:val="32"/>
          <w:lang w:val="en-US" w:eastAsia="zh-CN"/>
        </w:rPr>
        <w:t>1</w:t>
      </w:r>
      <w:r>
        <w:rPr>
          <w:rFonts w:hint="eastAsia" w:ascii="Times New Roman" w:hAnsi="Times New Roman" w:cs="Times New Roman"/>
          <w:sz w:val="32"/>
          <w:szCs w:val="32"/>
          <w:lang w:val="en-US" w:eastAsia="zh-CN"/>
        </w:rPr>
        <w:t>日，韩国海关总署公布</w:t>
      </w:r>
      <w:r>
        <w:rPr>
          <w:rFonts w:hint="default" w:ascii="Times New Roman" w:hAnsi="Times New Roman" w:cs="Times New Roman"/>
          <w:sz w:val="32"/>
          <w:szCs w:val="32"/>
          <w:lang w:val="en-US" w:eastAsia="zh-CN"/>
        </w:rPr>
        <w:t>2</w:t>
      </w:r>
      <w:r>
        <w:rPr>
          <w:rFonts w:hint="eastAsia" w:ascii="Times New Roman" w:hAnsi="Times New Roman" w:cs="Times New Roman"/>
          <w:sz w:val="32"/>
          <w:szCs w:val="32"/>
          <w:lang w:val="en-US" w:eastAsia="zh-CN"/>
        </w:rPr>
        <w:t>月出口数据，为</w:t>
      </w:r>
      <w:r>
        <w:rPr>
          <w:rFonts w:hint="default" w:ascii="Times New Roman" w:hAnsi="Times New Roman" w:cs="Times New Roman"/>
          <w:sz w:val="32"/>
          <w:szCs w:val="32"/>
          <w:lang w:val="en-US" w:eastAsia="zh-CN"/>
        </w:rPr>
        <w:t>524</w:t>
      </w:r>
      <w:r>
        <w:rPr>
          <w:rFonts w:hint="eastAsia" w:ascii="Times New Roman" w:hAnsi="Times New Roman" w:cs="Times New Roman"/>
          <w:sz w:val="32"/>
          <w:szCs w:val="32"/>
          <w:lang w:val="en-US" w:eastAsia="zh-CN"/>
        </w:rPr>
        <w:t>亿美元，同比增长</w:t>
      </w:r>
      <w:r>
        <w:rPr>
          <w:rFonts w:hint="default" w:ascii="Times New Roman" w:hAnsi="Times New Roman" w:cs="Times New Roman"/>
          <w:sz w:val="32"/>
          <w:szCs w:val="32"/>
          <w:lang w:val="en-US" w:eastAsia="zh-CN"/>
        </w:rPr>
        <w:t>4.8%</w:t>
      </w:r>
      <w:r>
        <w:rPr>
          <w:rFonts w:hint="eastAsia" w:ascii="Times New Roman" w:hAnsi="Times New Roman" w:cs="Times New Roman"/>
          <w:sz w:val="32"/>
          <w:szCs w:val="32"/>
          <w:lang w:val="en-US" w:eastAsia="zh-CN"/>
        </w:rPr>
        <w:t>，低于</w:t>
      </w:r>
      <w:r>
        <w:rPr>
          <w:rFonts w:hint="default" w:ascii="Times New Roman" w:hAnsi="Times New Roman" w:cs="Times New Roman"/>
          <w:sz w:val="32"/>
          <w:szCs w:val="32"/>
          <w:lang w:val="en-US" w:eastAsia="zh-CN"/>
        </w:rPr>
        <w:t>1</w:t>
      </w:r>
      <w:r>
        <w:rPr>
          <w:rFonts w:hint="eastAsia" w:ascii="Times New Roman" w:hAnsi="Times New Roman" w:cs="Times New Roman"/>
          <w:sz w:val="32"/>
          <w:szCs w:val="32"/>
          <w:lang w:val="en-US" w:eastAsia="zh-CN"/>
        </w:rPr>
        <w:t>月的</w:t>
      </w:r>
      <w:r>
        <w:rPr>
          <w:rFonts w:hint="default" w:ascii="Times New Roman" w:hAnsi="Times New Roman" w:cs="Times New Roman"/>
          <w:sz w:val="32"/>
          <w:szCs w:val="32"/>
          <w:lang w:val="en-US" w:eastAsia="zh-CN"/>
        </w:rPr>
        <w:t>547</w:t>
      </w:r>
      <w:r>
        <w:rPr>
          <w:rFonts w:hint="eastAsia" w:ascii="Times New Roman" w:hAnsi="Times New Roman" w:cs="Times New Roman"/>
          <w:sz w:val="32"/>
          <w:szCs w:val="32"/>
          <w:lang w:val="en-US" w:eastAsia="zh-CN"/>
        </w:rPr>
        <w:t>亿美元（同比</w:t>
      </w:r>
      <w:r>
        <w:rPr>
          <w:rFonts w:hint="default" w:ascii="Times New Roman" w:hAnsi="Times New Roman" w:cs="Times New Roman"/>
          <w:sz w:val="32"/>
          <w:szCs w:val="32"/>
          <w:lang w:val="en-US" w:eastAsia="zh-CN"/>
        </w:rPr>
        <w:t>18%</w:t>
      </w:r>
      <w:r>
        <w:rPr>
          <w:rFonts w:hint="eastAsia" w:ascii="Times New Roman" w:hAnsi="Times New Roman" w:cs="Times New Roman"/>
          <w:sz w:val="32"/>
          <w:szCs w:val="32"/>
          <w:lang w:val="en-US" w:eastAsia="zh-CN"/>
        </w:rPr>
        <w:t>增长），为近</w:t>
      </w:r>
      <w:r>
        <w:rPr>
          <w:rFonts w:hint="default" w:ascii="Times New Roman" w:hAnsi="Times New Roman" w:cs="Times New Roman"/>
          <w:sz w:val="32"/>
          <w:szCs w:val="32"/>
          <w:lang w:val="en-US" w:eastAsia="zh-CN"/>
        </w:rPr>
        <w:t>6</w:t>
      </w:r>
      <w:r>
        <w:rPr>
          <w:rFonts w:hint="eastAsia" w:ascii="Times New Roman" w:hAnsi="Times New Roman" w:cs="Times New Roman"/>
          <w:sz w:val="32"/>
          <w:szCs w:val="32"/>
          <w:lang w:val="en-US" w:eastAsia="zh-CN"/>
        </w:rPr>
        <w:t>个月来最低（见图）。</w:t>
      </w:r>
    </w:p>
    <w:p>
      <w:pPr>
        <w:jc w:val="center"/>
      </w:pPr>
      <w:r>
        <w:drawing>
          <wp:inline distT="0" distB="0" distL="114300" distR="114300">
            <wp:extent cx="4103370" cy="2862580"/>
            <wp:effectExtent l="0" t="0" r="11430" b="139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4"/>
                    <a:stretch>
                      <a:fillRect/>
                    </a:stretch>
                  </pic:blipFill>
                  <pic:spPr>
                    <a:xfrm>
                      <a:off x="0" y="0"/>
                      <a:ext cx="4103370" cy="2862580"/>
                    </a:xfrm>
                    <a:prstGeom prst="rect">
                      <a:avLst/>
                    </a:prstGeom>
                    <a:noFill/>
                    <a:ln>
                      <a:noFill/>
                    </a:ln>
                  </pic:spPr>
                </pic:pic>
              </a:graphicData>
            </a:graphic>
          </wp:inline>
        </w:drawing>
      </w:r>
    </w:p>
    <w:p>
      <w:pPr>
        <w:ind w:firstLine="608" w:firstLineChars="200"/>
        <w:jc w:val="left"/>
        <w:rPr>
          <w:rFonts w:hint="default"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三、</w:t>
      </w:r>
      <w:r>
        <w:rPr>
          <w:rFonts w:hint="default" w:ascii="Times New Roman" w:hAnsi="Times New Roman" w:cs="Times New Roman"/>
          <w:b/>
          <w:bCs/>
          <w:sz w:val="32"/>
          <w:szCs w:val="32"/>
          <w:lang w:val="en-US" w:eastAsia="zh-CN"/>
        </w:rPr>
        <w:t>OPEC+</w:t>
      </w:r>
      <w:r>
        <w:rPr>
          <w:rFonts w:hint="eastAsia" w:ascii="Times New Roman" w:hAnsi="Times New Roman" w:cs="Times New Roman"/>
          <w:b/>
          <w:bCs/>
          <w:sz w:val="32"/>
          <w:szCs w:val="32"/>
          <w:lang w:val="en-US" w:eastAsia="zh-CN"/>
        </w:rPr>
        <w:t>减产，油价缓慢上升</w:t>
      </w:r>
    </w:p>
    <w:p>
      <w:pPr>
        <w:ind w:firstLine="608" w:firstLineChars="200"/>
        <w:jc w:val="left"/>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包括俄罗斯在内的大型产油国联盟</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OPEC+</w:t>
      </w:r>
      <w:r>
        <w:rPr>
          <w:rFonts w:hint="eastAsia" w:ascii="Times New Roman" w:hAnsi="Times New Roman" w:cs="Times New Roman"/>
          <w:sz w:val="32"/>
          <w:szCs w:val="32"/>
          <w:lang w:val="en-US" w:eastAsia="zh-CN"/>
        </w:rPr>
        <w:t>”宣布，其部分成员国</w:t>
      </w:r>
      <w:r>
        <w:rPr>
          <w:rFonts w:hint="default" w:ascii="Times New Roman" w:hAnsi="Times New Roman" w:cs="Times New Roman"/>
          <w:sz w:val="32"/>
          <w:szCs w:val="32"/>
          <w:lang w:val="en-US" w:eastAsia="zh-CN"/>
        </w:rPr>
        <w:t>将延长</w:t>
      </w:r>
      <w:r>
        <w:rPr>
          <w:rFonts w:hint="eastAsia" w:ascii="Times New Roman" w:hAnsi="Times New Roman" w:cs="Times New Roman"/>
          <w:sz w:val="32"/>
          <w:szCs w:val="32"/>
          <w:lang w:val="en-US" w:eastAsia="zh-CN"/>
        </w:rPr>
        <w:t>原油</w:t>
      </w:r>
      <w:r>
        <w:rPr>
          <w:rFonts w:hint="default" w:ascii="Times New Roman" w:hAnsi="Times New Roman" w:cs="Times New Roman"/>
          <w:sz w:val="32"/>
          <w:szCs w:val="32"/>
          <w:lang w:val="en-US" w:eastAsia="zh-CN"/>
        </w:rPr>
        <w:t>减产</w:t>
      </w:r>
      <w:r>
        <w:rPr>
          <w:rFonts w:hint="eastAsia" w:ascii="Times New Roman" w:hAnsi="Times New Roman" w:cs="Times New Roman"/>
          <w:sz w:val="32"/>
          <w:szCs w:val="32"/>
          <w:lang w:val="en-US" w:eastAsia="zh-CN"/>
        </w:rPr>
        <w:t>计划</w:t>
      </w:r>
      <w:r>
        <w:rPr>
          <w:rFonts w:hint="default" w:ascii="Times New Roman" w:hAnsi="Times New Roman" w:cs="Times New Roman"/>
          <w:sz w:val="32"/>
          <w:szCs w:val="32"/>
          <w:lang w:val="en-US" w:eastAsia="zh-CN"/>
        </w:rPr>
        <w:t>，以避免出现</w:t>
      </w:r>
      <w:r>
        <w:rPr>
          <w:rFonts w:hint="eastAsia" w:ascii="Times New Roman" w:hAnsi="Times New Roman" w:cs="Times New Roman"/>
          <w:sz w:val="32"/>
          <w:szCs w:val="32"/>
          <w:lang w:val="en-US" w:eastAsia="zh-CN"/>
        </w:rPr>
        <w:t>供应</w:t>
      </w:r>
      <w:r>
        <w:rPr>
          <w:rFonts w:hint="default" w:ascii="Times New Roman" w:hAnsi="Times New Roman" w:cs="Times New Roman"/>
          <w:sz w:val="32"/>
          <w:szCs w:val="32"/>
          <w:lang w:val="en-US" w:eastAsia="zh-CN"/>
        </w:rPr>
        <w:t>过剩</w:t>
      </w:r>
      <w:r>
        <w:rPr>
          <w:rFonts w:hint="eastAsia" w:ascii="Times New Roman" w:hAnsi="Times New Roman" w:cs="Times New Roman"/>
          <w:sz w:val="32"/>
          <w:szCs w:val="32"/>
          <w:lang w:val="en-US" w:eastAsia="zh-CN"/>
        </w:rPr>
        <w:t>。该组织认为，目前</w:t>
      </w:r>
      <w:r>
        <w:rPr>
          <w:rFonts w:hint="default" w:ascii="Times New Roman" w:hAnsi="Times New Roman" w:cs="Times New Roman"/>
          <w:sz w:val="32"/>
          <w:szCs w:val="32"/>
          <w:lang w:val="en-US" w:eastAsia="zh-CN"/>
        </w:rPr>
        <w:t>全球经济增长令人担忧</w:t>
      </w:r>
      <w:r>
        <w:rPr>
          <w:rFonts w:hint="eastAsia" w:ascii="Times New Roman" w:hAnsi="Times New Roman" w:cs="Times New Roman"/>
          <w:sz w:val="32"/>
          <w:szCs w:val="32"/>
          <w:lang w:val="en-US" w:eastAsia="zh-CN"/>
        </w:rPr>
        <w:t>，原油需求的增长有限</w:t>
      </w:r>
      <w:r>
        <w:rPr>
          <w:rFonts w:hint="default" w:ascii="Times New Roman" w:hAnsi="Times New Roman" w:cs="Times New Roman"/>
          <w:sz w:val="32"/>
          <w:szCs w:val="32"/>
          <w:lang w:val="en-US" w:eastAsia="zh-CN"/>
        </w:rPr>
        <w:t>。</w:t>
      </w:r>
      <w:r>
        <w:rPr>
          <w:rFonts w:hint="eastAsia" w:ascii="Times New Roman" w:hAnsi="Times New Roman" w:cs="Times New Roman"/>
          <w:sz w:val="32"/>
          <w:szCs w:val="32"/>
          <w:lang w:val="en-US" w:eastAsia="zh-CN"/>
        </w:rPr>
        <w:t>去年</w:t>
      </w:r>
      <w:r>
        <w:rPr>
          <w:rFonts w:hint="default" w:ascii="Times New Roman" w:hAnsi="Times New Roman" w:cs="Times New Roman"/>
          <w:sz w:val="32"/>
          <w:szCs w:val="32"/>
          <w:lang w:val="en-US" w:eastAsia="zh-CN"/>
        </w:rPr>
        <w:t>11月，该组织</w:t>
      </w:r>
      <w:r>
        <w:rPr>
          <w:rFonts w:hint="eastAsia" w:ascii="Times New Roman" w:hAnsi="Times New Roman" w:cs="Times New Roman"/>
          <w:sz w:val="32"/>
          <w:szCs w:val="32"/>
          <w:lang w:val="en-US" w:eastAsia="zh-CN"/>
        </w:rPr>
        <w:t>达成了</w:t>
      </w:r>
      <w:r>
        <w:rPr>
          <w:rFonts w:hint="default" w:ascii="Times New Roman" w:hAnsi="Times New Roman" w:cs="Times New Roman"/>
          <w:sz w:val="32"/>
          <w:szCs w:val="32"/>
          <w:lang w:val="en-US" w:eastAsia="zh-CN"/>
        </w:rPr>
        <w:t>每天减产220万桶</w:t>
      </w:r>
      <w:r>
        <w:rPr>
          <w:rFonts w:hint="eastAsia" w:ascii="Times New Roman" w:hAnsi="Times New Roman" w:cs="Times New Roman"/>
          <w:sz w:val="32"/>
          <w:szCs w:val="32"/>
          <w:lang w:val="en-US" w:eastAsia="zh-CN"/>
        </w:rPr>
        <w:t>的协议</w:t>
      </w:r>
      <w:r>
        <w:rPr>
          <w:rFonts w:hint="default" w:ascii="Times New Roman" w:hAnsi="Times New Roman" w:cs="Times New Roman"/>
          <w:sz w:val="32"/>
          <w:szCs w:val="32"/>
          <w:lang w:val="en-US" w:eastAsia="zh-CN"/>
        </w:rPr>
        <w:t>。</w:t>
      </w:r>
    </w:p>
    <w:p>
      <w:pPr>
        <w:ind w:firstLine="608" w:firstLineChars="200"/>
        <w:jc w:val="left"/>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今年</w:t>
      </w:r>
      <w:r>
        <w:rPr>
          <w:rFonts w:hint="eastAsia" w:ascii="Times New Roman" w:hAnsi="Times New Roman" w:cs="Times New Roman"/>
          <w:sz w:val="32"/>
          <w:szCs w:val="32"/>
          <w:lang w:val="en-US" w:eastAsia="zh-CN"/>
        </w:rPr>
        <w:t>以来，因为巴以冲突导致的</w:t>
      </w:r>
      <w:r>
        <w:rPr>
          <w:rFonts w:hint="default" w:ascii="Times New Roman" w:hAnsi="Times New Roman" w:cs="Times New Roman"/>
          <w:sz w:val="32"/>
          <w:szCs w:val="32"/>
          <w:lang w:val="en-US" w:eastAsia="zh-CN"/>
        </w:rPr>
        <w:t>红海</w:t>
      </w:r>
      <w:r>
        <w:rPr>
          <w:rFonts w:hint="eastAsia" w:ascii="Times New Roman" w:hAnsi="Times New Roman" w:cs="Times New Roman"/>
          <w:sz w:val="32"/>
          <w:szCs w:val="32"/>
          <w:lang w:val="en-US" w:eastAsia="zh-CN"/>
        </w:rPr>
        <w:t>危机，已经引发原油价格上涨（见</w:t>
      </w:r>
      <w:r>
        <w:rPr>
          <w:rFonts w:hint="default" w:ascii="Times New Roman" w:hAnsi="Times New Roman" w:cs="Times New Roman"/>
          <w:sz w:val="32"/>
          <w:szCs w:val="32"/>
          <w:lang w:val="en-US" w:eastAsia="zh-CN"/>
        </w:rPr>
        <w:t>WTI</w:t>
      </w:r>
      <w:r>
        <w:rPr>
          <w:rFonts w:hint="eastAsia" w:ascii="Times New Roman" w:hAnsi="Times New Roman" w:cs="Times New Roman"/>
          <w:sz w:val="32"/>
          <w:szCs w:val="32"/>
          <w:lang w:val="en-US" w:eastAsia="zh-CN"/>
        </w:rPr>
        <w:t>周线图）</w:t>
      </w:r>
      <w:r>
        <w:rPr>
          <w:rFonts w:hint="default" w:ascii="Times New Roman" w:hAnsi="Times New Roman" w:cs="Times New Roman"/>
          <w:sz w:val="32"/>
          <w:szCs w:val="32"/>
          <w:lang w:val="en-US" w:eastAsia="zh-CN"/>
        </w:rPr>
        <w:t>。</w:t>
      </w:r>
      <w:r>
        <w:rPr>
          <w:rFonts w:hint="eastAsia" w:ascii="Times New Roman" w:hAnsi="Times New Roman" w:cs="Times New Roman"/>
          <w:sz w:val="32"/>
          <w:szCs w:val="32"/>
          <w:lang w:val="en-US" w:eastAsia="zh-CN"/>
        </w:rPr>
        <w:t>目前油价刚刚突破</w:t>
      </w:r>
      <w:r>
        <w:rPr>
          <w:rFonts w:hint="default" w:ascii="Times New Roman" w:hAnsi="Times New Roman" w:cs="Times New Roman"/>
          <w:sz w:val="32"/>
          <w:szCs w:val="32"/>
          <w:lang w:val="en-US" w:eastAsia="zh-CN"/>
        </w:rPr>
        <w:t>80</w:t>
      </w:r>
      <w:r>
        <w:rPr>
          <w:rFonts w:hint="eastAsia" w:ascii="Times New Roman" w:hAnsi="Times New Roman" w:cs="Times New Roman"/>
          <w:sz w:val="32"/>
          <w:szCs w:val="32"/>
          <w:lang w:val="en-US" w:eastAsia="zh-CN"/>
        </w:rPr>
        <w:t>美元，仍处于低位，因此，</w:t>
      </w:r>
      <w:r>
        <w:rPr>
          <w:rFonts w:hint="default" w:ascii="Times New Roman" w:hAnsi="Times New Roman" w:cs="Times New Roman"/>
          <w:sz w:val="32"/>
          <w:szCs w:val="32"/>
          <w:lang w:val="en-US" w:eastAsia="zh-CN"/>
        </w:rPr>
        <w:t>OPEC+</w:t>
      </w:r>
      <w:r>
        <w:rPr>
          <w:rFonts w:hint="eastAsia" w:ascii="Times New Roman" w:hAnsi="Times New Roman" w:cs="Times New Roman"/>
          <w:sz w:val="32"/>
          <w:szCs w:val="32"/>
          <w:lang w:val="en-US" w:eastAsia="zh-CN"/>
        </w:rPr>
        <w:t>作出减产决定。市场预计，油价将继续缓慢上行。</w:t>
      </w:r>
    </w:p>
    <w:p>
      <w:pPr>
        <w:jc w:val="center"/>
        <w:rPr>
          <w:rFonts w:hint="default"/>
          <w:lang w:val="en-US" w:eastAsia="zh-CN"/>
        </w:rPr>
      </w:pPr>
      <w:r>
        <w:drawing>
          <wp:inline distT="0" distB="0" distL="114300" distR="114300">
            <wp:extent cx="3571875" cy="2106930"/>
            <wp:effectExtent l="0" t="0" r="9525" b="7620"/>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1"/>
                    </pic:cNvPicPr>
                  </pic:nvPicPr>
                  <pic:blipFill>
                    <a:blip r:embed="rId15"/>
                    <a:stretch>
                      <a:fillRect/>
                    </a:stretch>
                  </pic:blipFill>
                  <pic:spPr>
                    <a:xfrm>
                      <a:off x="0" y="0"/>
                      <a:ext cx="3571875" cy="2106930"/>
                    </a:xfrm>
                    <a:prstGeom prst="rect">
                      <a:avLst/>
                    </a:prstGeom>
                    <a:noFill/>
                    <a:ln>
                      <a:noFill/>
                    </a:ln>
                  </pic:spPr>
                </pic:pic>
              </a:graphicData>
            </a:graphic>
          </wp:inline>
        </w:drawing>
      </w:r>
    </w:p>
    <w:p>
      <w:pPr>
        <w:ind w:left="0" w:leftChars="0" w:firstLine="0" w:firstLineChars="0"/>
        <w:jc w:val="left"/>
        <w:rPr>
          <w:rFonts w:hint="default" w:ascii="Times New Roman" w:hAnsi="Times New Roman" w:eastAsia="方正小标宋_GBK" w:cs="Times New Roman"/>
          <w:b/>
          <w:bCs/>
          <w:color w:val="FF0000"/>
          <w:sz w:val="32"/>
          <w:szCs w:val="40"/>
          <w:highlight w:val="yellow"/>
          <w:lang w:val="en-US" w:eastAsia="zh-CN"/>
        </w:rPr>
      </w:pPr>
    </w:p>
    <w:p>
      <w:pPr>
        <w:ind w:left="0" w:leftChars="0" w:firstLine="0" w:firstLineChars="0"/>
        <w:jc w:val="left"/>
        <w:rPr>
          <w:rFonts w:hint="default" w:ascii="Calibri" w:hAnsi="Calibri" w:eastAsia="宋体" w:cs="Calibri"/>
          <w:b/>
          <w:bCs/>
          <w:color w:val="0000FF"/>
          <w:highlight w:val="yellow"/>
          <w:lang w:val="en-US" w:eastAsia="zh-CN"/>
        </w:rPr>
      </w:pPr>
      <w:r>
        <w:rPr>
          <w:rFonts w:hint="eastAsia" w:ascii="Times New Roman" w:hAnsi="Times New Roman" w:eastAsia="方正小标宋_GBK" w:cs="Times New Roman"/>
          <w:b/>
          <w:bCs/>
          <w:color w:val="FF0000"/>
          <w:sz w:val="32"/>
          <w:szCs w:val="40"/>
          <w:highlight w:val="yellow"/>
          <w:lang w:val="en-US" w:eastAsia="zh-CN"/>
        </w:rPr>
        <w:t>3</w:t>
      </w:r>
      <w:r>
        <w:rPr>
          <w:rFonts w:hint="default" w:ascii="Times New Roman" w:hAnsi="Times New Roman" w:eastAsia="方正小标宋_GBK" w:cs="Times New Roman"/>
          <w:b/>
          <w:bCs/>
          <w:color w:val="FF0000"/>
          <w:sz w:val="32"/>
          <w:szCs w:val="40"/>
          <w:highlight w:val="yellow"/>
          <w:lang w:val="en-US" w:eastAsia="zh-CN"/>
        </w:rPr>
        <w:t>月</w:t>
      </w:r>
      <w:r>
        <w:rPr>
          <w:rFonts w:hint="eastAsia" w:ascii="Times New Roman" w:hAnsi="Times New Roman" w:eastAsia="方正小标宋_GBK" w:cs="Times New Roman"/>
          <w:b/>
          <w:bCs/>
          <w:color w:val="FF0000"/>
          <w:sz w:val="32"/>
          <w:szCs w:val="40"/>
          <w:highlight w:val="yellow"/>
          <w:lang w:val="en-US" w:eastAsia="zh-CN"/>
        </w:rPr>
        <w:t>5</w:t>
      </w:r>
      <w:r>
        <w:rPr>
          <w:rFonts w:hint="default" w:ascii="Times New Roman" w:hAnsi="Times New Roman" w:eastAsia="方正小标宋_GBK" w:cs="Times New Roman"/>
          <w:b/>
          <w:bCs/>
          <w:color w:val="FF0000"/>
          <w:sz w:val="32"/>
          <w:szCs w:val="40"/>
          <w:highlight w:val="yellow"/>
          <w:lang w:val="en-US" w:eastAsia="zh-CN"/>
        </w:rPr>
        <w:t>日</w:t>
      </w:r>
      <w:r>
        <w:rPr>
          <w:rFonts w:hint="default" w:ascii="Times New Roman" w:hAnsi="Times New Roman" w:eastAsia="方正魏碑简体" w:cs="Times New Roman"/>
          <w:b/>
          <w:bCs/>
          <w:color w:val="0000FF"/>
          <w:sz w:val="32"/>
          <w:szCs w:val="40"/>
          <w:highlight w:val="yellow"/>
          <w:lang w:val="en-US" w:eastAsia="zh-CN"/>
        </w:rPr>
        <w:t>（周</w:t>
      </w:r>
      <w:r>
        <w:rPr>
          <w:rFonts w:hint="eastAsia" w:ascii="Times New Roman" w:hAnsi="Times New Roman" w:eastAsia="方正魏碑简体" w:cs="Times New Roman"/>
          <w:b/>
          <w:bCs/>
          <w:color w:val="0000FF"/>
          <w:sz w:val="32"/>
          <w:szCs w:val="40"/>
          <w:highlight w:val="yellow"/>
          <w:lang w:val="en-US" w:eastAsia="zh-CN"/>
        </w:rPr>
        <w:t>二</w:t>
      </w:r>
      <w:r>
        <w:rPr>
          <w:rFonts w:hint="default" w:ascii="Times New Roman" w:hAnsi="Times New Roman" w:eastAsia="方正魏碑简体" w:cs="Times New Roman"/>
          <w:b/>
          <w:bCs/>
          <w:color w:val="0000FF"/>
          <w:sz w:val="32"/>
          <w:szCs w:val="40"/>
          <w:highlight w:val="yellow"/>
          <w:lang w:val="en-US" w:eastAsia="zh-CN"/>
        </w:rPr>
        <w:t>）</w:t>
      </w:r>
    </w:p>
    <w:p>
      <w:pPr>
        <w:jc w:val="center"/>
        <w:rPr>
          <w:rFonts w:hint="eastAsia" w:ascii="Times New Roman" w:hAnsi="Times New Roman" w:eastAsia="方正小标宋_GBK" w:cs="Times New Roman"/>
          <w:b/>
          <w:bCs/>
          <w:color w:val="0000FF"/>
          <w:sz w:val="36"/>
          <w:szCs w:val="44"/>
          <w:highlight w:val="yellow"/>
          <w:lang w:val="en-US" w:eastAsia="zh-CN"/>
        </w:rPr>
      </w:pPr>
      <w:r>
        <w:rPr>
          <w:rFonts w:hint="eastAsia" w:ascii="Times New Roman" w:hAnsi="Times New Roman" w:eastAsia="方正小标宋_GBK" w:cs="Times New Roman"/>
          <w:b/>
          <w:bCs/>
          <w:color w:val="0000FF"/>
          <w:sz w:val="36"/>
          <w:szCs w:val="44"/>
          <w:highlight w:val="yellow"/>
          <w:lang w:val="en-US" w:eastAsia="zh-CN"/>
        </w:rPr>
        <w:t>高通胀与高利率并存的土耳其经济</w:t>
      </w:r>
    </w:p>
    <w:tbl>
      <w:tblPr>
        <w:tblStyle w:val="14"/>
        <w:tblpPr w:leftFromText="180" w:rightFromText="180" w:vertAnchor="text" w:horzAnchor="page" w:tblpX="1720" w:tblpY="1962"/>
        <w:tblOverlap w:val="never"/>
        <w:tblW w:w="88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147"/>
        <w:gridCol w:w="47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5" w:hRule="atLeast"/>
        </w:trPr>
        <w:tc>
          <w:tcPr>
            <w:tcW w:w="4147" w:type="dxa"/>
            <w:tcBorders>
              <w:tl2br w:val="nil"/>
              <w:tr2bl w:val="nil"/>
            </w:tcBorders>
            <w:vAlign w:val="top"/>
          </w:tcPr>
          <w:p>
            <w:pPr>
              <w:jc w:val="both"/>
              <w:rPr>
                <w:rFonts w:hint="default" w:ascii="Times New Roman" w:hAnsi="Times New Roman" w:cs="Times New Roman"/>
                <w:sz w:val="32"/>
                <w:szCs w:val="32"/>
                <w:vertAlign w:val="baseline"/>
              </w:rPr>
            </w:pPr>
            <w:r>
              <w:drawing>
                <wp:inline distT="0" distB="0" distL="114300" distR="114300">
                  <wp:extent cx="2543175" cy="1885315"/>
                  <wp:effectExtent l="0" t="0" r="9525" b="635"/>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pic:cNvPicPr>
                        </pic:nvPicPr>
                        <pic:blipFill>
                          <a:blip r:embed="rId16"/>
                          <a:stretch>
                            <a:fillRect/>
                          </a:stretch>
                        </pic:blipFill>
                        <pic:spPr>
                          <a:xfrm>
                            <a:off x="0" y="0"/>
                            <a:ext cx="2543175" cy="1885315"/>
                          </a:xfrm>
                          <a:prstGeom prst="rect">
                            <a:avLst/>
                          </a:prstGeom>
                          <a:noFill/>
                          <a:ln>
                            <a:noFill/>
                          </a:ln>
                        </pic:spPr>
                      </pic:pic>
                    </a:graphicData>
                  </a:graphic>
                </wp:inline>
              </w:drawing>
            </w:r>
          </w:p>
        </w:tc>
        <w:tc>
          <w:tcPr>
            <w:tcW w:w="4713" w:type="dxa"/>
            <w:tcBorders>
              <w:tl2br w:val="nil"/>
              <w:tr2bl w:val="nil"/>
            </w:tcBorders>
            <w:vAlign w:val="top"/>
          </w:tcPr>
          <w:p>
            <w:pPr>
              <w:jc w:val="left"/>
              <w:rPr>
                <w:rFonts w:hint="default" w:ascii="Times New Roman" w:hAnsi="Times New Roman" w:cs="Times New Roman"/>
                <w:sz w:val="32"/>
                <w:szCs w:val="32"/>
                <w:vertAlign w:val="baseline"/>
              </w:rPr>
            </w:pPr>
            <w:r>
              <w:drawing>
                <wp:inline distT="0" distB="0" distL="114300" distR="114300">
                  <wp:extent cx="2856230" cy="1993265"/>
                  <wp:effectExtent l="0" t="0" r="1270" b="6985"/>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17"/>
                          <a:stretch>
                            <a:fillRect/>
                          </a:stretch>
                        </pic:blipFill>
                        <pic:spPr>
                          <a:xfrm>
                            <a:off x="0" y="0"/>
                            <a:ext cx="2856230" cy="1993265"/>
                          </a:xfrm>
                          <a:prstGeom prst="rect">
                            <a:avLst/>
                          </a:prstGeom>
                          <a:noFill/>
                          <a:ln>
                            <a:noFill/>
                          </a:ln>
                        </pic:spPr>
                      </pic:pic>
                    </a:graphicData>
                  </a:graphic>
                </wp:inline>
              </w:drawing>
            </w:r>
          </w:p>
        </w:tc>
      </w:tr>
    </w:tbl>
    <w:p>
      <w:pPr>
        <w:ind w:firstLine="608" w:firstLineChars="200"/>
        <w:jc w:val="left"/>
      </w:pPr>
      <w:r>
        <w:rPr>
          <w:rFonts w:hint="eastAsia" w:ascii="Times New Roman" w:hAnsi="Times New Roman" w:cs="Times New Roman"/>
          <w:sz w:val="32"/>
          <w:szCs w:val="32"/>
          <w:lang w:val="en-US" w:eastAsia="zh-CN"/>
        </w:rPr>
        <w:t>面对长期高企的通胀率，</w:t>
      </w:r>
      <w:r>
        <w:rPr>
          <w:rFonts w:hint="default" w:ascii="Times New Roman" w:hAnsi="Times New Roman" w:cs="Times New Roman"/>
          <w:sz w:val="32"/>
          <w:szCs w:val="32"/>
          <w:lang w:val="en-US" w:eastAsia="zh-CN"/>
        </w:rPr>
        <w:t>土耳其央行</w:t>
      </w:r>
      <w:r>
        <w:rPr>
          <w:rFonts w:hint="eastAsia" w:ascii="Times New Roman" w:hAnsi="Times New Roman" w:cs="Times New Roman"/>
          <w:sz w:val="32"/>
          <w:szCs w:val="32"/>
          <w:lang w:val="en-US" w:eastAsia="zh-CN"/>
        </w:rPr>
        <w:t>实施了本国历史上</w:t>
      </w:r>
      <w:r>
        <w:rPr>
          <w:rFonts w:hint="default" w:ascii="Times New Roman" w:hAnsi="Times New Roman" w:cs="Times New Roman"/>
          <w:sz w:val="32"/>
          <w:szCs w:val="32"/>
          <w:lang w:val="en-US" w:eastAsia="zh-CN"/>
        </w:rPr>
        <w:t>最激进的紧缩周期</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在八个月内将利率提高</w:t>
      </w:r>
      <w:r>
        <w:rPr>
          <w:rFonts w:hint="eastAsia" w:ascii="Times New Roman" w:hAnsi="Times New Roman" w:cs="Times New Roman"/>
          <w:sz w:val="32"/>
          <w:szCs w:val="32"/>
          <w:lang w:val="en-US" w:eastAsia="zh-CN"/>
        </w:rPr>
        <w:t>了</w:t>
      </w:r>
      <w:r>
        <w:rPr>
          <w:rFonts w:hint="default" w:ascii="Times New Roman" w:hAnsi="Times New Roman" w:cs="Times New Roman"/>
          <w:sz w:val="32"/>
          <w:szCs w:val="32"/>
          <w:lang w:val="en-US" w:eastAsia="zh-CN"/>
        </w:rPr>
        <w:t>36.5个百分</w:t>
      </w:r>
      <w:r>
        <w:rPr>
          <w:rFonts w:hint="eastAsia" w:ascii="Times New Roman" w:hAnsi="Times New Roman" w:cs="Times New Roman"/>
          <w:sz w:val="32"/>
          <w:szCs w:val="32"/>
          <w:lang w:val="en-US" w:eastAsia="zh-CN"/>
        </w:rPr>
        <w:t>点，但依然无法</w:t>
      </w:r>
      <w:r>
        <w:rPr>
          <w:rFonts w:hint="default" w:ascii="Times New Roman" w:hAnsi="Times New Roman" w:cs="Times New Roman"/>
          <w:sz w:val="32"/>
          <w:szCs w:val="32"/>
          <w:lang w:val="en-US" w:eastAsia="zh-CN"/>
        </w:rPr>
        <w:t>抑制通货膨胀。</w:t>
      </w:r>
    </w:p>
    <w:p>
      <w:pPr>
        <w:ind w:firstLine="608" w:firstLineChars="200"/>
        <w:jc w:val="left"/>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3</w:t>
      </w:r>
      <w:r>
        <w:rPr>
          <w:rFonts w:hint="eastAsia" w:ascii="Times New Roman" w:hAnsi="Times New Roman" w:cs="Times New Roman"/>
          <w:sz w:val="32"/>
          <w:szCs w:val="32"/>
          <w:lang w:val="en-US" w:eastAsia="zh-CN"/>
        </w:rPr>
        <w:t>月</w:t>
      </w:r>
      <w:r>
        <w:rPr>
          <w:rFonts w:hint="default" w:ascii="Times New Roman" w:hAnsi="Times New Roman" w:cs="Times New Roman"/>
          <w:sz w:val="32"/>
          <w:szCs w:val="32"/>
          <w:lang w:val="en-US" w:eastAsia="zh-CN"/>
        </w:rPr>
        <w:t>4</w:t>
      </w:r>
      <w:r>
        <w:rPr>
          <w:rFonts w:hint="eastAsia" w:ascii="Times New Roman" w:hAnsi="Times New Roman" w:cs="Times New Roman"/>
          <w:sz w:val="32"/>
          <w:szCs w:val="32"/>
          <w:lang w:val="en-US" w:eastAsia="zh-CN"/>
        </w:rPr>
        <w:t>日（周一）</w:t>
      </w:r>
      <w:r>
        <w:rPr>
          <w:rFonts w:hint="default" w:ascii="Times New Roman" w:hAnsi="Times New Roman" w:cs="Times New Roman"/>
          <w:sz w:val="32"/>
          <w:szCs w:val="32"/>
          <w:lang w:val="en-US" w:eastAsia="zh-CN"/>
        </w:rPr>
        <w:t>公布的数据显示，</w:t>
      </w:r>
      <w:r>
        <w:rPr>
          <w:rFonts w:hint="eastAsia" w:ascii="Times New Roman" w:hAnsi="Times New Roman" w:cs="Times New Roman"/>
          <w:sz w:val="32"/>
          <w:szCs w:val="32"/>
          <w:lang w:val="en-US" w:eastAsia="zh-CN"/>
        </w:rPr>
        <w:t>土耳其</w:t>
      </w:r>
      <w:r>
        <w:rPr>
          <w:rFonts w:hint="default" w:ascii="Times New Roman" w:hAnsi="Times New Roman" w:cs="Times New Roman"/>
          <w:sz w:val="32"/>
          <w:szCs w:val="32"/>
          <w:lang w:val="en-US" w:eastAsia="zh-CN"/>
        </w:rPr>
        <w:t>1月</w:t>
      </w:r>
      <w:r>
        <w:rPr>
          <w:rFonts w:hint="eastAsia" w:ascii="Times New Roman" w:hAnsi="Times New Roman" w:cs="Times New Roman"/>
          <w:sz w:val="32"/>
          <w:szCs w:val="32"/>
          <w:lang w:val="en-US" w:eastAsia="zh-CN"/>
        </w:rPr>
        <w:t>份的通胀率已高达</w:t>
      </w:r>
      <w:r>
        <w:rPr>
          <w:rFonts w:hint="default" w:ascii="Times New Roman" w:hAnsi="Times New Roman" w:cs="Times New Roman"/>
          <w:sz w:val="32"/>
          <w:szCs w:val="32"/>
          <w:lang w:val="en-US" w:eastAsia="zh-CN"/>
        </w:rPr>
        <w:t>64.9%</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2</w:t>
      </w:r>
      <w:r>
        <w:rPr>
          <w:rFonts w:hint="eastAsia" w:ascii="Times New Roman" w:hAnsi="Times New Roman" w:cs="Times New Roman"/>
          <w:sz w:val="32"/>
          <w:szCs w:val="32"/>
          <w:lang w:val="en-US" w:eastAsia="zh-CN"/>
        </w:rPr>
        <w:t>月继续攀</w:t>
      </w:r>
      <w:r>
        <w:rPr>
          <w:rFonts w:hint="default" w:ascii="Times New Roman" w:hAnsi="Times New Roman" w:cs="Times New Roman"/>
          <w:sz w:val="32"/>
          <w:szCs w:val="32"/>
          <w:lang w:val="en-US" w:eastAsia="zh-CN"/>
        </w:rPr>
        <w:t>升</w:t>
      </w:r>
      <w:r>
        <w:rPr>
          <w:rFonts w:hint="eastAsia" w:ascii="Times New Roman" w:hAnsi="Times New Roman" w:cs="Times New Roman"/>
          <w:sz w:val="32"/>
          <w:szCs w:val="32"/>
          <w:lang w:val="en-US" w:eastAsia="zh-CN"/>
        </w:rPr>
        <w:t>至</w:t>
      </w:r>
      <w:r>
        <w:rPr>
          <w:rFonts w:hint="default" w:ascii="Times New Roman" w:hAnsi="Times New Roman" w:cs="Times New Roman"/>
          <w:sz w:val="32"/>
          <w:szCs w:val="32"/>
          <w:lang w:val="en-US" w:eastAsia="zh-CN"/>
        </w:rPr>
        <w:t>67.1%。</w:t>
      </w:r>
      <w:r>
        <w:rPr>
          <w:rFonts w:hint="eastAsia" w:ascii="Times New Roman" w:hAnsi="Times New Roman" w:cs="Times New Roman"/>
          <w:sz w:val="32"/>
          <w:szCs w:val="32"/>
          <w:lang w:val="en-US" w:eastAsia="zh-CN"/>
        </w:rPr>
        <w:t>如图所示</w:t>
      </w:r>
      <w:r>
        <w:rPr>
          <w:rFonts w:hint="default" w:ascii="Times New Roman" w:hAnsi="Times New Roman" w:cs="Times New Roman"/>
          <w:sz w:val="32"/>
          <w:szCs w:val="32"/>
          <w:lang w:val="en-US" w:eastAsia="zh-CN"/>
        </w:rPr>
        <w:t>，</w:t>
      </w:r>
      <w:r>
        <w:rPr>
          <w:rFonts w:hint="eastAsia" w:ascii="Times New Roman" w:hAnsi="Times New Roman" w:cs="Times New Roman"/>
          <w:sz w:val="32"/>
          <w:szCs w:val="32"/>
          <w:lang w:val="en-US" w:eastAsia="zh-CN"/>
        </w:rPr>
        <w:t>目前土耳其</w:t>
      </w:r>
      <w:r>
        <w:rPr>
          <w:rFonts w:hint="default" w:ascii="Times New Roman" w:hAnsi="Times New Roman" w:cs="Times New Roman"/>
          <w:sz w:val="32"/>
          <w:szCs w:val="32"/>
          <w:lang w:val="en-US" w:eastAsia="zh-CN"/>
        </w:rPr>
        <w:t>的基准利率</w:t>
      </w:r>
      <w:r>
        <w:rPr>
          <w:rFonts w:hint="eastAsia" w:ascii="Times New Roman" w:hAnsi="Times New Roman" w:cs="Times New Roman"/>
          <w:sz w:val="32"/>
          <w:szCs w:val="32"/>
          <w:lang w:val="en-US" w:eastAsia="zh-CN"/>
        </w:rPr>
        <w:t>已经高达</w:t>
      </w:r>
      <w:r>
        <w:rPr>
          <w:rFonts w:hint="default" w:ascii="Times New Roman" w:hAnsi="Times New Roman" w:cs="Times New Roman"/>
          <w:sz w:val="32"/>
          <w:szCs w:val="32"/>
          <w:lang w:val="en-US" w:eastAsia="zh-CN"/>
        </w:rPr>
        <w:t>45%</w:t>
      </w:r>
      <w:r>
        <w:rPr>
          <w:rFonts w:hint="eastAsia" w:ascii="Times New Roman" w:hAnsi="Times New Roman" w:cs="Times New Roman"/>
          <w:sz w:val="32"/>
          <w:szCs w:val="32"/>
          <w:lang w:val="en-US" w:eastAsia="zh-CN"/>
        </w:rPr>
        <w:t>，但其中央政府实施的积极财政政策，抵消了央行货币紧缩</w:t>
      </w:r>
      <w:r>
        <w:rPr>
          <w:rFonts w:hint="default" w:ascii="Times New Roman" w:hAnsi="Times New Roman" w:cs="Times New Roman"/>
          <w:sz w:val="32"/>
          <w:szCs w:val="32"/>
          <w:lang w:val="en-US" w:eastAsia="zh-CN"/>
        </w:rPr>
        <w:t>的影响。</w:t>
      </w:r>
    </w:p>
    <w:p>
      <w:pPr>
        <w:ind w:firstLine="608" w:firstLineChars="200"/>
        <w:jc w:val="left"/>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土耳其央行预计，通胀率将在未来几个月达到峰值，并在年底前放缓至36%。</w:t>
      </w:r>
      <w:r>
        <w:rPr>
          <w:rFonts w:hint="eastAsia" w:ascii="Times New Roman" w:hAnsi="Times New Roman" w:cs="Times New Roman"/>
          <w:sz w:val="32"/>
          <w:szCs w:val="32"/>
          <w:lang w:val="en-US" w:eastAsia="zh-CN"/>
        </w:rPr>
        <w:t>但其他经济学家持不同意见</w:t>
      </w:r>
      <w:r>
        <w:rPr>
          <w:rFonts w:hint="default" w:ascii="Times New Roman" w:hAnsi="Times New Roman" w:cs="Times New Roman"/>
          <w:sz w:val="32"/>
          <w:szCs w:val="32"/>
          <w:lang w:val="en-US" w:eastAsia="zh-CN"/>
        </w:rPr>
        <w:t>，预测到</w:t>
      </w:r>
      <w:r>
        <w:rPr>
          <w:rFonts w:hint="eastAsia" w:ascii="Times New Roman" w:hAnsi="Times New Roman" w:cs="Times New Roman"/>
          <w:sz w:val="32"/>
          <w:szCs w:val="32"/>
          <w:lang w:val="en-US" w:eastAsia="zh-CN"/>
        </w:rPr>
        <w:t>今年</w:t>
      </w:r>
      <w:r>
        <w:rPr>
          <w:rFonts w:hint="default" w:ascii="Times New Roman" w:hAnsi="Times New Roman" w:cs="Times New Roman"/>
          <w:sz w:val="32"/>
          <w:szCs w:val="32"/>
          <w:lang w:val="en-US" w:eastAsia="zh-CN"/>
        </w:rPr>
        <w:t>年底</w:t>
      </w:r>
      <w:r>
        <w:rPr>
          <w:rFonts w:hint="eastAsia" w:ascii="Times New Roman" w:hAnsi="Times New Roman" w:cs="Times New Roman"/>
          <w:sz w:val="32"/>
          <w:szCs w:val="32"/>
          <w:lang w:val="en-US" w:eastAsia="zh-CN"/>
        </w:rPr>
        <w:t>土耳其的</w:t>
      </w:r>
      <w:r>
        <w:rPr>
          <w:rFonts w:hint="default" w:ascii="Times New Roman" w:hAnsi="Times New Roman" w:cs="Times New Roman"/>
          <w:sz w:val="32"/>
          <w:szCs w:val="32"/>
          <w:lang w:val="en-US" w:eastAsia="zh-CN"/>
        </w:rPr>
        <w:t>通胀率仍将超过40%。</w:t>
      </w:r>
    </w:p>
    <w:p>
      <w:pPr>
        <w:ind w:firstLine="608" w:firstLineChars="200"/>
        <w:jc w:val="left"/>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高通胀严重削弱了土耳其货币的币值，汇率一路走低，从</w:t>
      </w:r>
      <w:r>
        <w:rPr>
          <w:rFonts w:hint="default" w:ascii="Times New Roman" w:hAnsi="Times New Roman" w:cs="Times New Roman"/>
          <w:sz w:val="32"/>
          <w:szCs w:val="32"/>
          <w:lang w:val="en-US" w:eastAsia="zh-CN"/>
        </w:rPr>
        <w:t>2021</w:t>
      </w:r>
      <w:r>
        <w:rPr>
          <w:rFonts w:hint="eastAsia" w:ascii="Times New Roman" w:hAnsi="Times New Roman" w:cs="Times New Roman"/>
          <w:sz w:val="32"/>
          <w:szCs w:val="32"/>
          <w:lang w:val="en-US" w:eastAsia="zh-CN"/>
        </w:rPr>
        <w:t>年初的</w:t>
      </w:r>
      <w:r>
        <w:rPr>
          <w:rFonts w:hint="default" w:ascii="Times New Roman" w:hAnsi="Times New Roman" w:cs="Times New Roman"/>
          <w:sz w:val="32"/>
          <w:szCs w:val="32"/>
          <w:lang w:val="en-US" w:eastAsia="zh-CN"/>
        </w:rPr>
        <w:t>1</w:t>
      </w:r>
      <w:r>
        <w:rPr>
          <w:rFonts w:hint="eastAsia" w:ascii="Times New Roman" w:hAnsi="Times New Roman" w:cs="Times New Roman"/>
          <w:sz w:val="32"/>
          <w:szCs w:val="32"/>
          <w:lang w:val="en-US" w:eastAsia="zh-CN"/>
        </w:rPr>
        <w:t>美元兑</w:t>
      </w:r>
      <w:r>
        <w:rPr>
          <w:rFonts w:hint="default" w:ascii="Times New Roman" w:hAnsi="Times New Roman" w:cs="Times New Roman"/>
          <w:sz w:val="32"/>
          <w:szCs w:val="32"/>
          <w:lang w:val="en-US" w:eastAsia="zh-CN"/>
        </w:rPr>
        <w:t>7</w:t>
      </w:r>
      <w:r>
        <w:rPr>
          <w:rFonts w:hint="eastAsia" w:ascii="Times New Roman" w:hAnsi="Times New Roman" w:cs="Times New Roman"/>
          <w:sz w:val="32"/>
          <w:szCs w:val="32"/>
          <w:lang w:val="en-US" w:eastAsia="zh-CN"/>
        </w:rPr>
        <w:t>里拉贬值到近日的</w:t>
      </w:r>
      <w:r>
        <w:rPr>
          <w:rFonts w:hint="default" w:ascii="Times New Roman" w:hAnsi="Times New Roman" w:cs="Times New Roman"/>
          <w:sz w:val="32"/>
          <w:szCs w:val="32"/>
          <w:lang w:val="en-US" w:eastAsia="zh-CN"/>
        </w:rPr>
        <w:t>31</w:t>
      </w:r>
      <w:r>
        <w:rPr>
          <w:rFonts w:hint="eastAsia" w:ascii="Times New Roman" w:hAnsi="Times New Roman" w:cs="Times New Roman"/>
          <w:sz w:val="32"/>
          <w:szCs w:val="32"/>
          <w:lang w:val="en-US" w:eastAsia="zh-CN"/>
        </w:rPr>
        <w:t>里拉。</w:t>
      </w:r>
    </w:p>
    <w:p>
      <w:pPr>
        <w:ind w:firstLine="608" w:firstLineChars="200"/>
        <w:jc w:val="left"/>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土耳其官方数据显示，2023年土耳其</w:t>
      </w:r>
      <w:r>
        <w:rPr>
          <w:rFonts w:hint="default" w:ascii="Times New Roman" w:hAnsi="Times New Roman" w:cs="Times New Roman"/>
          <w:sz w:val="32"/>
          <w:szCs w:val="32"/>
          <w:lang w:val="en-US" w:eastAsia="zh-CN"/>
        </w:rPr>
        <w:t>GDP</w:t>
      </w:r>
      <w:r>
        <w:rPr>
          <w:rFonts w:hint="eastAsia" w:ascii="Times New Roman" w:hAnsi="Times New Roman" w:cs="Times New Roman"/>
          <w:sz w:val="32"/>
          <w:szCs w:val="32"/>
          <w:lang w:val="en-US" w:eastAsia="zh-CN"/>
        </w:rPr>
        <w:t>达到1.12万亿美元，增长率4.5%，高于预期。</w:t>
      </w:r>
      <w:r>
        <w:rPr>
          <w:rFonts w:hint="default" w:ascii="Times New Roman" w:hAnsi="Times New Roman" w:cs="Times New Roman"/>
          <w:sz w:val="32"/>
          <w:szCs w:val="32"/>
          <w:lang w:val="en-US" w:eastAsia="zh-CN"/>
        </w:rPr>
        <w:t>2024</w:t>
      </w:r>
      <w:r>
        <w:rPr>
          <w:rFonts w:hint="eastAsia" w:ascii="Times New Roman" w:hAnsi="Times New Roman" w:cs="Times New Roman"/>
          <w:sz w:val="32"/>
          <w:szCs w:val="32"/>
          <w:lang w:val="en-US" w:eastAsia="zh-CN"/>
        </w:rPr>
        <w:t>年情况如何，需持续观察。</w:t>
      </w:r>
    </w:p>
    <w:p>
      <w:pPr>
        <w:ind w:firstLine="608" w:firstLineChars="200"/>
        <w:jc w:val="left"/>
        <w:rPr>
          <w:rFonts w:hint="eastAsia" w:ascii="Times New Roman" w:hAnsi="Times New Roman" w:cs="Times New Roman"/>
          <w:sz w:val="32"/>
          <w:szCs w:val="32"/>
          <w:lang w:val="en-US" w:eastAsia="zh-CN"/>
        </w:rPr>
      </w:pPr>
    </w:p>
    <w:p>
      <w:pPr>
        <w:ind w:left="0" w:leftChars="0" w:firstLine="0" w:firstLineChars="0"/>
        <w:jc w:val="left"/>
        <w:rPr>
          <w:rFonts w:hint="default" w:ascii="Calibri" w:hAnsi="Calibri" w:eastAsia="宋体" w:cs="Calibri"/>
          <w:b/>
          <w:bCs/>
          <w:color w:val="0000FF"/>
          <w:highlight w:val="yellow"/>
          <w:lang w:val="en-US" w:eastAsia="zh-CN"/>
        </w:rPr>
      </w:pPr>
      <w:r>
        <w:rPr>
          <w:rFonts w:hint="eastAsia" w:ascii="Times New Roman" w:hAnsi="Times New Roman" w:eastAsia="方正小标宋_GBK" w:cs="Times New Roman"/>
          <w:b/>
          <w:bCs/>
          <w:color w:val="FF0000"/>
          <w:sz w:val="32"/>
          <w:szCs w:val="40"/>
          <w:highlight w:val="yellow"/>
          <w:lang w:val="en-US" w:eastAsia="zh-CN"/>
        </w:rPr>
        <w:t>3</w:t>
      </w:r>
      <w:r>
        <w:rPr>
          <w:rFonts w:hint="default" w:ascii="Times New Roman" w:hAnsi="Times New Roman" w:eastAsia="方正小标宋_GBK" w:cs="Times New Roman"/>
          <w:b/>
          <w:bCs/>
          <w:color w:val="FF0000"/>
          <w:sz w:val="32"/>
          <w:szCs w:val="40"/>
          <w:highlight w:val="yellow"/>
          <w:lang w:val="en-US" w:eastAsia="zh-CN"/>
        </w:rPr>
        <w:t>月</w:t>
      </w:r>
      <w:r>
        <w:rPr>
          <w:rFonts w:hint="eastAsia" w:ascii="Times New Roman" w:hAnsi="Times New Roman" w:eastAsia="方正小标宋_GBK" w:cs="Times New Roman"/>
          <w:b/>
          <w:bCs/>
          <w:color w:val="FF0000"/>
          <w:sz w:val="32"/>
          <w:szCs w:val="40"/>
          <w:highlight w:val="yellow"/>
          <w:lang w:val="en-US" w:eastAsia="zh-CN"/>
        </w:rPr>
        <w:t>6</w:t>
      </w:r>
      <w:r>
        <w:rPr>
          <w:rFonts w:hint="default" w:ascii="Times New Roman" w:hAnsi="Times New Roman" w:eastAsia="方正小标宋_GBK" w:cs="Times New Roman"/>
          <w:b/>
          <w:bCs/>
          <w:color w:val="FF0000"/>
          <w:sz w:val="32"/>
          <w:szCs w:val="40"/>
          <w:highlight w:val="yellow"/>
          <w:lang w:val="en-US" w:eastAsia="zh-CN"/>
        </w:rPr>
        <w:t>日</w:t>
      </w:r>
      <w:r>
        <w:rPr>
          <w:rFonts w:hint="default" w:ascii="Times New Roman" w:hAnsi="Times New Roman" w:eastAsia="方正魏碑简体" w:cs="Times New Roman"/>
          <w:b/>
          <w:bCs/>
          <w:color w:val="0000FF"/>
          <w:sz w:val="32"/>
          <w:szCs w:val="40"/>
          <w:highlight w:val="yellow"/>
          <w:lang w:val="en-US" w:eastAsia="zh-CN"/>
        </w:rPr>
        <w:t>（周</w:t>
      </w:r>
      <w:r>
        <w:rPr>
          <w:rFonts w:hint="eastAsia" w:ascii="Times New Roman" w:hAnsi="Times New Roman" w:eastAsia="方正魏碑简体" w:cs="Times New Roman"/>
          <w:b/>
          <w:bCs/>
          <w:color w:val="0000FF"/>
          <w:sz w:val="32"/>
          <w:szCs w:val="40"/>
          <w:highlight w:val="yellow"/>
          <w:lang w:val="en-US" w:eastAsia="zh-CN"/>
        </w:rPr>
        <w:t>三</w:t>
      </w:r>
      <w:r>
        <w:rPr>
          <w:rFonts w:hint="default" w:ascii="Times New Roman" w:hAnsi="Times New Roman" w:eastAsia="方正魏碑简体" w:cs="Times New Roman"/>
          <w:b/>
          <w:bCs/>
          <w:color w:val="0000FF"/>
          <w:sz w:val="32"/>
          <w:szCs w:val="40"/>
          <w:highlight w:val="yellow"/>
          <w:lang w:val="en-US" w:eastAsia="zh-CN"/>
        </w:rPr>
        <w:t>）</w:t>
      </w:r>
    </w:p>
    <w:p>
      <w:pPr>
        <w:jc w:val="center"/>
        <w:rPr>
          <w:rFonts w:hint="eastAsia" w:ascii="Times New Roman" w:hAnsi="Times New Roman" w:eastAsia="方正小标宋_GBK" w:cs="Times New Roman"/>
          <w:b/>
          <w:bCs/>
          <w:color w:val="0000FF"/>
          <w:sz w:val="36"/>
          <w:szCs w:val="44"/>
          <w:highlight w:val="yellow"/>
          <w:lang w:val="en-US" w:eastAsia="zh-CN"/>
        </w:rPr>
      </w:pPr>
      <w:r>
        <w:rPr>
          <w:rFonts w:hint="eastAsia" w:ascii="Times New Roman" w:hAnsi="Times New Roman" w:eastAsia="方正小标宋_GBK" w:cs="Times New Roman"/>
          <w:b/>
          <w:bCs/>
          <w:color w:val="0000FF"/>
          <w:sz w:val="36"/>
          <w:szCs w:val="44"/>
          <w:highlight w:val="yellow"/>
          <w:lang w:val="en-US" w:eastAsia="zh-CN"/>
        </w:rPr>
        <w:t>黄金价格挑战前高、各地经济表现各异</w:t>
      </w:r>
    </w:p>
    <w:p>
      <w:pPr>
        <w:ind w:firstLine="608" w:firstLineChars="200"/>
        <w:jc w:val="left"/>
        <w:rPr>
          <w:rFonts w:hint="default"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一、黄金价格有望挑战前高</w:t>
      </w:r>
    </w:p>
    <w:p>
      <w:pPr>
        <w:ind w:firstLine="608" w:firstLineChars="20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近日，</w:t>
      </w:r>
      <w:r>
        <w:rPr>
          <w:rFonts w:hint="default" w:ascii="Times New Roman" w:hAnsi="Times New Roman" w:cs="Times New Roman"/>
          <w:sz w:val="32"/>
          <w:szCs w:val="32"/>
          <w:lang w:val="en-US" w:eastAsia="zh-CN"/>
        </w:rPr>
        <w:t>COMEX</w:t>
      </w:r>
      <w:r>
        <w:rPr>
          <w:rFonts w:hint="eastAsia" w:ascii="Times New Roman" w:hAnsi="Times New Roman" w:cs="Times New Roman"/>
          <w:sz w:val="32"/>
          <w:szCs w:val="32"/>
          <w:lang w:val="en-US" w:eastAsia="zh-CN"/>
        </w:rPr>
        <w:t>黄金期货价格持续上行，有望挑战前高。目前的纪录是去年</w:t>
      </w:r>
      <w:r>
        <w:rPr>
          <w:rFonts w:hint="default" w:ascii="Times New Roman" w:hAnsi="Times New Roman" w:cs="Times New Roman"/>
          <w:sz w:val="32"/>
          <w:szCs w:val="32"/>
          <w:lang w:val="en-US" w:eastAsia="zh-CN"/>
        </w:rPr>
        <w:t>12</w:t>
      </w:r>
      <w:r>
        <w:rPr>
          <w:rFonts w:hint="eastAsia" w:ascii="Times New Roman" w:hAnsi="Times New Roman" w:cs="Times New Roman"/>
          <w:sz w:val="32"/>
          <w:szCs w:val="32"/>
          <w:lang w:val="en-US" w:eastAsia="zh-CN"/>
        </w:rPr>
        <w:t>月</w:t>
      </w:r>
      <w:r>
        <w:rPr>
          <w:rFonts w:hint="default" w:ascii="Times New Roman" w:hAnsi="Times New Roman" w:cs="Times New Roman"/>
          <w:sz w:val="32"/>
          <w:szCs w:val="32"/>
          <w:lang w:val="en-US" w:eastAsia="zh-CN"/>
        </w:rPr>
        <w:t>4</w:t>
      </w:r>
      <w:r>
        <w:rPr>
          <w:rFonts w:hint="eastAsia" w:ascii="Times New Roman" w:hAnsi="Times New Roman" w:cs="Times New Roman"/>
          <w:sz w:val="32"/>
          <w:szCs w:val="32"/>
          <w:lang w:val="en-US" w:eastAsia="zh-CN"/>
        </w:rPr>
        <w:t>日刚刚创下的2</w:t>
      </w:r>
      <w:r>
        <w:rPr>
          <w:rFonts w:hint="default" w:ascii="Times New Roman" w:hAnsi="Times New Roman" w:cs="Times New Roman"/>
          <w:sz w:val="32"/>
          <w:szCs w:val="32"/>
          <w:lang w:val="en-US" w:eastAsia="zh-CN"/>
        </w:rPr>
        <w:t>152.3</w:t>
      </w:r>
      <w:r>
        <w:rPr>
          <w:rFonts w:hint="eastAsia" w:ascii="Times New Roman" w:hAnsi="Times New Roman" w:cs="Times New Roman"/>
          <w:sz w:val="32"/>
          <w:szCs w:val="32"/>
          <w:lang w:val="en-US" w:eastAsia="zh-CN"/>
        </w:rPr>
        <w:t>美元</w:t>
      </w:r>
      <w:r>
        <w:rPr>
          <w:rFonts w:hint="default" w:ascii="Times New Roman" w:hAnsi="Times New Roman" w:cs="Times New Roman"/>
          <w:sz w:val="32"/>
          <w:szCs w:val="32"/>
          <w:lang w:val="en-US" w:eastAsia="zh-CN"/>
        </w:rPr>
        <w:t>/</w:t>
      </w:r>
      <w:r>
        <w:rPr>
          <w:rFonts w:hint="eastAsia" w:ascii="Times New Roman" w:hAnsi="Times New Roman" w:cs="Times New Roman"/>
          <w:sz w:val="32"/>
          <w:szCs w:val="32"/>
          <w:lang w:val="en-US" w:eastAsia="zh-CN"/>
        </w:rPr>
        <w:t>盎司（见图）。</w:t>
      </w:r>
    </w:p>
    <w:p>
      <w:pPr>
        <w:ind w:firstLine="388" w:firstLineChars="200"/>
        <w:jc w:val="center"/>
        <w:rPr>
          <w:rFonts w:hint="eastAsia" w:ascii="Times New Roman" w:hAnsi="Times New Roman" w:cs="Times New Roman"/>
          <w:sz w:val="32"/>
          <w:szCs w:val="32"/>
          <w:lang w:val="en-US" w:eastAsia="zh-CN"/>
        </w:rPr>
      </w:pPr>
      <w:r>
        <w:drawing>
          <wp:inline distT="0" distB="0" distL="114300" distR="114300">
            <wp:extent cx="4186555" cy="2250440"/>
            <wp:effectExtent l="0" t="0" r="4445" b="16510"/>
            <wp:docPr id="2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0"/>
                    <pic:cNvPicPr>
                      <a:picLocks noChangeAspect="1"/>
                    </pic:cNvPicPr>
                  </pic:nvPicPr>
                  <pic:blipFill>
                    <a:blip r:embed="rId18"/>
                    <a:stretch>
                      <a:fillRect/>
                    </a:stretch>
                  </pic:blipFill>
                  <pic:spPr>
                    <a:xfrm>
                      <a:off x="0" y="0"/>
                      <a:ext cx="4186555" cy="2250440"/>
                    </a:xfrm>
                    <a:prstGeom prst="rect">
                      <a:avLst/>
                    </a:prstGeom>
                    <a:noFill/>
                    <a:ln>
                      <a:noFill/>
                    </a:ln>
                  </pic:spPr>
                </pic:pic>
              </a:graphicData>
            </a:graphic>
          </wp:inline>
        </w:drawing>
      </w:r>
    </w:p>
    <w:p>
      <w:pPr>
        <w:ind w:firstLine="608" w:firstLineChars="200"/>
        <w:rPr>
          <w:rFonts w:hint="default"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相关数据显示，近期各国央行一直在购买贵金属，各国投资者也蜂拥而入，以对冲本国风险资产的价格波动，二者合力，推高了黄金价格。</w:t>
      </w:r>
    </w:p>
    <w:p>
      <w:pPr>
        <w:keepNext w:val="0"/>
        <w:keepLines w:val="0"/>
        <w:pageBreakBefore w:val="0"/>
        <w:widowControl w:val="0"/>
        <w:kinsoku/>
        <w:wordWrap/>
        <w:overflowPunct/>
        <w:topLinePunct w:val="0"/>
        <w:autoSpaceDE/>
        <w:autoSpaceDN/>
        <w:bidi w:val="0"/>
        <w:adjustRightInd/>
        <w:snapToGrid/>
        <w:spacing w:line="400" w:lineRule="exact"/>
        <w:ind w:firstLine="528" w:firstLineChars="200"/>
        <w:textAlignment w:val="auto"/>
        <w:outlineLvl w:val="9"/>
        <w:rPr>
          <w:rFonts w:hint="eastAsia" w:ascii="Times New Roman" w:hAnsi="Times New Roman" w:eastAsia="方正楷体_GBK" w:cs="方正楷体_GBK"/>
          <w:sz w:val="28"/>
          <w:szCs w:val="28"/>
          <w:lang w:val="en-US" w:eastAsia="zh-CN"/>
        </w:rPr>
      </w:pPr>
      <w:r>
        <w:rPr>
          <w:rFonts w:hint="eastAsia" w:ascii="Times New Roman" w:hAnsi="Times New Roman" w:eastAsia="方正楷体_GBK" w:cs="方正楷体_GBK"/>
          <w:sz w:val="28"/>
          <w:szCs w:val="28"/>
          <w:lang w:val="en-US" w:eastAsia="zh-CN"/>
        </w:rPr>
        <w:t>（</w:t>
      </w:r>
      <w:r>
        <w:rPr>
          <w:rFonts w:hint="eastAsia" w:ascii="方正黑体_GBK" w:hAnsi="方正黑体_GBK" w:eastAsia="方正黑体_GBK" w:cs="方正黑体_GBK"/>
          <w:b/>
          <w:bCs/>
          <w:sz w:val="28"/>
          <w:szCs w:val="28"/>
          <w:lang w:val="en-US" w:eastAsia="zh-CN"/>
        </w:rPr>
        <w:t>注</w:t>
      </w:r>
      <w:r>
        <w:rPr>
          <w:rFonts w:hint="eastAsia" w:ascii="Times New Roman" w:hAnsi="Times New Roman" w:eastAsia="方正楷体_GBK" w:cs="方正楷体_GBK"/>
          <w:sz w:val="28"/>
          <w:szCs w:val="28"/>
          <w:lang w:val="en-US" w:eastAsia="zh-CN"/>
        </w:rPr>
        <w:t>：</w:t>
      </w:r>
      <w:r>
        <w:rPr>
          <w:rFonts w:hint="eastAsia" w:ascii="Times New Roman" w:hAnsi="Times New Roman" w:eastAsia="方正楷体_GBK" w:cs="方正楷体_GBK"/>
          <w:b/>
          <w:bCs/>
          <w:sz w:val="28"/>
          <w:szCs w:val="28"/>
          <w:lang w:val="en-US" w:eastAsia="zh-CN"/>
        </w:rPr>
        <w:t>COMEX</w:t>
      </w:r>
      <w:r>
        <w:rPr>
          <w:rFonts w:hint="eastAsia" w:ascii="Times New Roman" w:hAnsi="Times New Roman" w:eastAsia="方正楷体_GBK" w:cs="方正楷体_GBK"/>
          <w:sz w:val="28"/>
          <w:szCs w:val="28"/>
          <w:lang w:val="en-US" w:eastAsia="zh-CN"/>
        </w:rPr>
        <w:t>，指“纽约商品交易所”（Commodity Exchange），它是美国最大的期货交易所之一，成立于1933年。COMEX最初以贵金属期货交易为主，特别是黄金和白银，黄金期货合约是该交易所最著名和最活跃的合约之一。随着时间推移，COMEX也扩展了其他金属商品的交易，包括铜、铝、铅、镍、锌等。）</w:t>
      </w:r>
    </w:p>
    <w:p>
      <w:pPr>
        <w:ind w:firstLine="608" w:firstLineChars="200"/>
        <w:jc w:val="left"/>
        <w:rPr>
          <w:rFonts w:hint="default"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二、从</w:t>
      </w:r>
      <w:r>
        <w:rPr>
          <w:rFonts w:hint="default" w:ascii="Times New Roman" w:hAnsi="Times New Roman" w:cs="Times New Roman"/>
          <w:b/>
          <w:bCs/>
          <w:sz w:val="32"/>
          <w:szCs w:val="32"/>
          <w:lang w:val="en-US" w:eastAsia="zh-CN"/>
        </w:rPr>
        <w:t>PMI</w:t>
      </w:r>
      <w:r>
        <w:rPr>
          <w:rFonts w:hint="eastAsia" w:ascii="Times New Roman" w:hAnsi="Times New Roman" w:cs="Times New Roman"/>
          <w:b/>
          <w:bCs/>
          <w:sz w:val="32"/>
          <w:szCs w:val="32"/>
          <w:lang w:val="en-US" w:eastAsia="zh-CN"/>
        </w:rPr>
        <w:t>看经济强弱</w:t>
      </w:r>
    </w:p>
    <w:p>
      <w:pPr>
        <w:ind w:firstLine="608" w:firstLineChars="20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各大经济体</w:t>
      </w:r>
      <w:r>
        <w:rPr>
          <w:rFonts w:hint="default" w:ascii="Times New Roman" w:hAnsi="Times New Roman" w:cs="Times New Roman"/>
          <w:sz w:val="32"/>
          <w:szCs w:val="32"/>
          <w:lang w:val="en-US" w:eastAsia="zh-CN"/>
        </w:rPr>
        <w:t>2</w:t>
      </w:r>
      <w:r>
        <w:rPr>
          <w:rFonts w:hint="eastAsia" w:ascii="Times New Roman" w:hAnsi="Times New Roman" w:cs="Times New Roman"/>
          <w:sz w:val="32"/>
          <w:szCs w:val="32"/>
          <w:lang w:val="en-US" w:eastAsia="zh-CN"/>
        </w:rPr>
        <w:t>月</w:t>
      </w:r>
      <w:r>
        <w:rPr>
          <w:rFonts w:hint="default" w:ascii="Times New Roman" w:hAnsi="Times New Roman" w:cs="Times New Roman"/>
          <w:sz w:val="32"/>
          <w:szCs w:val="32"/>
          <w:lang w:val="en-US" w:eastAsia="zh-CN"/>
        </w:rPr>
        <w:t>PMI</w:t>
      </w:r>
      <w:r>
        <w:rPr>
          <w:rFonts w:hint="eastAsia" w:ascii="Times New Roman" w:hAnsi="Times New Roman" w:cs="Times New Roman"/>
          <w:sz w:val="32"/>
          <w:szCs w:val="32"/>
          <w:lang w:val="en-US" w:eastAsia="zh-CN"/>
        </w:rPr>
        <w:t>数据出炉，美、日、印表现强劲，欧元区整体依然疲弱，令人担心。欧洲经济体中只有英国和意大利表现尚可（见表格）。</w:t>
      </w:r>
    </w:p>
    <w:p>
      <w:pPr>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drawing>
          <wp:inline distT="0" distB="0" distL="114300" distR="114300">
            <wp:extent cx="5616575" cy="3937635"/>
            <wp:effectExtent l="0" t="0" r="3175" b="5715"/>
            <wp:docPr id="25" name="图片 25" descr="微信截图_20240306143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微信截图_20240306143613"/>
                    <pic:cNvPicPr>
                      <a:picLocks noChangeAspect="1"/>
                    </pic:cNvPicPr>
                  </pic:nvPicPr>
                  <pic:blipFill>
                    <a:blip r:embed="rId19"/>
                    <a:stretch>
                      <a:fillRect/>
                    </a:stretch>
                  </pic:blipFill>
                  <pic:spPr>
                    <a:xfrm>
                      <a:off x="0" y="0"/>
                      <a:ext cx="5616575" cy="393763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400" w:lineRule="exact"/>
        <w:ind w:firstLine="528" w:firstLineChars="200"/>
        <w:jc w:val="left"/>
        <w:textAlignment w:val="auto"/>
        <w:outlineLvl w:val="9"/>
        <w:rPr>
          <w:rFonts w:hint="eastAsia" w:ascii="Times New Roman" w:hAnsi="Times New Roman" w:eastAsia="方正楷体_GBK" w:cs="Calibri"/>
          <w:sz w:val="28"/>
          <w:szCs w:val="28"/>
          <w:lang w:val="en-US" w:eastAsia="zh-CN"/>
        </w:rPr>
      </w:pPr>
      <w:r>
        <w:rPr>
          <w:rFonts w:hint="eastAsia" w:ascii="Times New Roman" w:hAnsi="Times New Roman" w:eastAsia="方正楷体_GBK" w:cs="Calibri"/>
          <w:sz w:val="28"/>
          <w:szCs w:val="28"/>
          <w:lang w:val="en-US" w:eastAsia="zh-CN"/>
        </w:rPr>
        <w:t>（</w:t>
      </w:r>
      <w:r>
        <w:rPr>
          <w:rFonts w:hint="eastAsia" w:ascii="方正黑体_GBK" w:hAnsi="方正黑体_GBK" w:eastAsia="方正黑体_GBK" w:cs="方正黑体_GBK"/>
          <w:b/>
          <w:bCs/>
          <w:sz w:val="28"/>
          <w:szCs w:val="28"/>
          <w:highlight w:val="none"/>
          <w:lang w:val="en-US" w:eastAsia="zh-CN"/>
        </w:rPr>
        <w:t>注</w:t>
      </w:r>
      <w:r>
        <w:rPr>
          <w:rFonts w:hint="default" w:ascii="Times New Roman" w:hAnsi="Times New Roman" w:eastAsia="方正楷体_GBK" w:cs="Calibri"/>
          <w:sz w:val="28"/>
          <w:szCs w:val="28"/>
          <w:lang w:val="en-US" w:eastAsia="zh-CN"/>
        </w:rPr>
        <w:t>：</w:t>
      </w:r>
      <w:r>
        <w:rPr>
          <w:rFonts w:hint="default" w:ascii="Times New Roman" w:hAnsi="Times New Roman" w:eastAsia="方正楷体_GBK" w:cs="Calibri"/>
          <w:b/>
          <w:bCs/>
          <w:sz w:val="28"/>
          <w:szCs w:val="28"/>
          <w:lang w:val="en-US" w:eastAsia="zh-CN"/>
        </w:rPr>
        <w:t>“采购经理人指数”（PMI）</w:t>
      </w:r>
      <w:r>
        <w:rPr>
          <w:rFonts w:hint="default" w:ascii="Times New Roman" w:hAnsi="Times New Roman" w:eastAsia="方正楷体_GBK" w:cs="Calibri"/>
          <w:sz w:val="28"/>
          <w:szCs w:val="28"/>
          <w:lang w:val="en-US" w:eastAsia="zh-CN"/>
        </w:rPr>
        <w:t>是一项用于衡量制造业和服务业活动的指标，通过调查企业采购经理人的意见来反映经济状况</w:t>
      </w:r>
      <w:r>
        <w:rPr>
          <w:rFonts w:hint="eastAsia" w:ascii="Times New Roman" w:hAnsi="Times New Roman" w:eastAsia="方正楷体_GBK" w:cs="Calibri"/>
          <w:sz w:val="28"/>
          <w:szCs w:val="28"/>
          <w:lang w:val="en-US" w:eastAsia="zh-CN"/>
        </w:rPr>
        <w:t>。</w:t>
      </w:r>
      <w:r>
        <w:rPr>
          <w:rFonts w:hint="default" w:ascii="Times New Roman" w:hAnsi="Times New Roman" w:eastAsia="方正楷体_GBK" w:cs="Calibri"/>
          <w:sz w:val="28"/>
          <w:szCs w:val="28"/>
          <w:lang w:val="en-US" w:eastAsia="zh-CN"/>
        </w:rPr>
        <w:t>PMI 的指数通常</w:t>
      </w:r>
      <w:r>
        <w:rPr>
          <w:rFonts w:hint="eastAsia" w:ascii="Times New Roman" w:hAnsi="Times New Roman" w:eastAsia="方正楷体_GBK" w:cs="Calibri"/>
          <w:sz w:val="28"/>
          <w:szCs w:val="28"/>
          <w:lang w:val="en-US" w:eastAsia="zh-CN"/>
        </w:rPr>
        <w:t>以</w:t>
      </w:r>
      <w:r>
        <w:rPr>
          <w:rFonts w:hint="default" w:ascii="Times New Roman" w:hAnsi="Times New Roman" w:eastAsia="方正楷体_GBK" w:cs="Calibri"/>
          <w:sz w:val="28"/>
          <w:szCs w:val="28"/>
          <w:lang w:val="en-US" w:eastAsia="zh-CN"/>
        </w:rPr>
        <w:t>50为分界线，数值高于50表示经济活动扩张，数值低于50表示经济活动收缩。具体数值的大小反映了经济活动的增长或衰退程度。</w:t>
      </w:r>
      <w:r>
        <w:rPr>
          <w:rFonts w:hint="eastAsia" w:ascii="Times New Roman" w:hAnsi="Times New Roman" w:eastAsia="方正楷体_GBK" w:cs="Calibri"/>
          <w:sz w:val="28"/>
          <w:szCs w:val="28"/>
          <w:lang w:val="en-US" w:eastAsia="zh-CN"/>
        </w:rPr>
        <w:t>）</w:t>
      </w:r>
    </w:p>
    <w:p>
      <w:pPr>
        <w:ind w:firstLine="608" w:firstLineChars="20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此外，欧元区的“</w:t>
      </w:r>
      <w:r>
        <w:rPr>
          <w:rFonts w:hint="default" w:ascii="Times New Roman" w:hAnsi="Times New Roman" w:cs="Times New Roman"/>
          <w:sz w:val="32"/>
          <w:szCs w:val="32"/>
          <w:lang w:val="en-US" w:eastAsia="zh-CN"/>
        </w:rPr>
        <w:t>生产者价格指数</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（PPI）</w:t>
      </w:r>
      <w:r>
        <w:rPr>
          <w:rFonts w:hint="eastAsia" w:ascii="Times New Roman" w:hAnsi="Times New Roman" w:cs="Times New Roman"/>
          <w:sz w:val="32"/>
          <w:szCs w:val="32"/>
          <w:lang w:val="en-US" w:eastAsia="zh-CN"/>
        </w:rPr>
        <w:t>同比和环比为负，预示需求近期仍无反弹可能。</w:t>
      </w:r>
    </w:p>
    <w:p>
      <w:pPr>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drawing>
          <wp:inline distT="0" distB="0" distL="114300" distR="114300">
            <wp:extent cx="5616575" cy="739775"/>
            <wp:effectExtent l="0" t="0" r="3175" b="3175"/>
            <wp:docPr id="27" name="图片 27" descr="微信截图_20240306143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微信截图_20240306143457"/>
                    <pic:cNvPicPr>
                      <a:picLocks noChangeAspect="1"/>
                    </pic:cNvPicPr>
                  </pic:nvPicPr>
                  <pic:blipFill>
                    <a:blip r:embed="rId20"/>
                    <a:stretch>
                      <a:fillRect/>
                    </a:stretch>
                  </pic:blipFill>
                  <pic:spPr>
                    <a:xfrm>
                      <a:off x="0" y="0"/>
                      <a:ext cx="5616575" cy="73977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400" w:lineRule="exact"/>
        <w:ind w:firstLine="528" w:firstLineChars="200"/>
        <w:jc w:val="left"/>
        <w:textAlignment w:val="auto"/>
        <w:outlineLvl w:val="9"/>
        <w:rPr>
          <w:rFonts w:hint="default" w:ascii="Times New Roman" w:hAnsi="Times New Roman" w:eastAsia="方正楷体_GBK" w:cs="Calibri"/>
          <w:b/>
          <w:bCs/>
          <w:sz w:val="28"/>
          <w:szCs w:val="28"/>
          <w:lang w:val="en-US" w:eastAsia="zh-CN"/>
        </w:rPr>
      </w:pPr>
      <w:r>
        <w:rPr>
          <w:rFonts w:hint="default" w:ascii="Times New Roman" w:hAnsi="Times New Roman" w:eastAsia="方正楷体_GBK" w:cs="Calibri"/>
          <w:b/>
          <w:bCs/>
          <w:sz w:val="28"/>
          <w:szCs w:val="28"/>
          <w:lang w:val="en-US" w:eastAsia="zh-CN"/>
        </w:rPr>
        <w:t>（</w:t>
      </w:r>
      <w:r>
        <w:rPr>
          <w:rFonts w:hint="eastAsia" w:ascii="方正黑体_GBK" w:hAnsi="方正黑体_GBK" w:eastAsia="方正黑体_GBK" w:cs="方正黑体_GBK"/>
          <w:b/>
          <w:bCs/>
          <w:sz w:val="28"/>
          <w:szCs w:val="28"/>
          <w:lang w:val="en-US" w:eastAsia="zh-CN"/>
        </w:rPr>
        <w:t>注</w:t>
      </w:r>
      <w:r>
        <w:rPr>
          <w:rFonts w:hint="default" w:ascii="Times New Roman" w:hAnsi="Times New Roman" w:eastAsia="方正楷体_GBK" w:cs="Calibri"/>
          <w:b/>
          <w:bCs/>
          <w:sz w:val="28"/>
          <w:szCs w:val="28"/>
          <w:lang w:val="en-US" w:eastAsia="zh-CN"/>
        </w:rPr>
        <w:t>：</w:t>
      </w:r>
      <w:r>
        <w:rPr>
          <w:rFonts w:hint="eastAsia" w:ascii="Times New Roman" w:hAnsi="Times New Roman" w:eastAsia="方正楷体_GBK" w:cs="Calibri"/>
          <w:b/>
          <w:bCs/>
          <w:sz w:val="28"/>
          <w:szCs w:val="28"/>
          <w:lang w:val="en-US" w:eastAsia="zh-CN"/>
        </w:rPr>
        <w:t>“</w:t>
      </w:r>
      <w:r>
        <w:rPr>
          <w:rFonts w:hint="default" w:ascii="Times New Roman" w:hAnsi="Times New Roman" w:eastAsia="方正楷体_GBK" w:cs="Calibri"/>
          <w:b/>
          <w:bCs/>
          <w:sz w:val="28"/>
          <w:szCs w:val="28"/>
          <w:lang w:val="en-US" w:eastAsia="zh-CN"/>
        </w:rPr>
        <w:t>生产者价格指数</w:t>
      </w:r>
      <w:r>
        <w:rPr>
          <w:rFonts w:hint="eastAsia" w:ascii="Times New Roman" w:hAnsi="Times New Roman" w:eastAsia="方正楷体_GBK" w:cs="Calibri"/>
          <w:b/>
          <w:bCs/>
          <w:sz w:val="28"/>
          <w:szCs w:val="28"/>
          <w:lang w:val="en-US" w:eastAsia="zh-CN"/>
        </w:rPr>
        <w:t>”</w:t>
      </w:r>
      <w:r>
        <w:rPr>
          <w:rFonts w:hint="default" w:ascii="Times New Roman" w:hAnsi="Times New Roman" w:eastAsia="方正楷体_GBK" w:cs="Calibri"/>
          <w:b/>
          <w:bCs/>
          <w:sz w:val="28"/>
          <w:szCs w:val="28"/>
          <w:lang w:val="en-US" w:eastAsia="zh-CN"/>
        </w:rPr>
        <w:t>（PPI）</w:t>
      </w:r>
      <w:r>
        <w:rPr>
          <w:rFonts w:hint="default" w:ascii="Times New Roman" w:hAnsi="Times New Roman" w:eastAsia="方正楷体_GBK" w:cs="Calibri"/>
          <w:b w:val="0"/>
          <w:bCs w:val="0"/>
          <w:sz w:val="28"/>
          <w:szCs w:val="28"/>
          <w:lang w:val="en-US" w:eastAsia="zh-CN"/>
        </w:rPr>
        <w:t>是衡量一国国内商品和服务生产者价格随时间变化的指标，它反映了生产者所支付的成本和价格的变化情况</w:t>
      </w:r>
      <w:r>
        <w:rPr>
          <w:rFonts w:hint="eastAsia" w:ascii="Times New Roman" w:hAnsi="Times New Roman" w:eastAsia="方正楷体_GBK" w:cs="Calibri"/>
          <w:b w:val="0"/>
          <w:bCs w:val="0"/>
          <w:sz w:val="28"/>
          <w:szCs w:val="28"/>
          <w:lang w:val="en-US" w:eastAsia="zh-CN"/>
        </w:rPr>
        <w:t>，</w:t>
      </w:r>
      <w:r>
        <w:rPr>
          <w:rFonts w:hint="default" w:ascii="Times New Roman" w:hAnsi="Times New Roman" w:eastAsia="方正楷体_GBK" w:cs="Calibri"/>
          <w:b w:val="0"/>
          <w:bCs w:val="0"/>
          <w:sz w:val="28"/>
          <w:szCs w:val="28"/>
          <w:lang w:val="en-US" w:eastAsia="zh-CN"/>
        </w:rPr>
        <w:t>被视为消费价格上涨和企业利润变化的先行指标。）</w:t>
      </w:r>
    </w:p>
    <w:p>
      <w:r>
        <w:br w:type="page"/>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经典行楷简" w:cs="Times New Roman"/>
          <w:b/>
          <w:bCs/>
          <w:color w:val="FF0000"/>
          <w:sz w:val="96"/>
          <w:szCs w:val="96"/>
          <w:lang w:val="en-US" w:eastAsia="zh-CN"/>
        </w:rPr>
      </w:pPr>
      <w:r>
        <w:rPr>
          <w:rFonts w:hint="default" w:ascii="Times New Roman" w:hAnsi="Times New Roman" w:eastAsia="经典行楷简" w:cs="Times New Roman"/>
          <w:b/>
          <w:bCs/>
          <w:color w:val="FF0000"/>
          <w:sz w:val="96"/>
          <w:szCs w:val="96"/>
          <w:lang w:val="en-US" w:eastAsia="zh-CN"/>
        </w:rPr>
        <w:t>江苏贸促动态</w:t>
      </w: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省贸促会领导参与德国海外商会联盟</w:t>
      </w: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大中华区2024上海对话</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08" w:firstLineChars="200"/>
        <w:textAlignment w:val="auto"/>
        <w:outlineLvl w:val="9"/>
        <w:rPr>
          <w:rFonts w:hint="eastAsia" w:ascii="Times New Roman" w:hAnsi="Times New Roman" w:eastAsiaTheme="minorEastAsia" w:cstheme="minorEastAsia"/>
          <w:i w:val="0"/>
          <w:caps w:val="0"/>
          <w:color w:val="333333"/>
          <w:spacing w:val="0"/>
          <w:sz w:val="32"/>
          <w:szCs w:val="32"/>
        </w:rPr>
      </w:pPr>
      <w:r>
        <w:rPr>
          <w:rFonts w:hint="eastAsia" w:ascii="Times New Roman" w:hAnsi="Times New Roman" w:eastAsiaTheme="minorEastAsia" w:cstheme="minorEastAsia"/>
          <w:i w:val="0"/>
          <w:caps w:val="0"/>
          <w:color w:val="333333"/>
          <w:spacing w:val="0"/>
          <w:sz w:val="32"/>
          <w:szCs w:val="32"/>
          <w:shd w:val="clear" w:fill="FFFFFF"/>
        </w:rPr>
        <w:t>3月1日下午，省贸促会会长王善华应邀参加德国海外商会联盟大中华区举办的2024上海对话。</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08" w:firstLineChars="200"/>
        <w:textAlignment w:val="auto"/>
        <w:outlineLvl w:val="9"/>
        <w:rPr>
          <w:rFonts w:hint="eastAsia" w:ascii="Times New Roman" w:hAnsi="Times New Roman" w:eastAsiaTheme="minorEastAsia" w:cstheme="minorEastAsia"/>
          <w:i w:val="0"/>
          <w:caps w:val="0"/>
          <w:color w:val="333333"/>
          <w:spacing w:val="0"/>
          <w:sz w:val="32"/>
          <w:szCs w:val="32"/>
        </w:rPr>
      </w:pPr>
      <w:r>
        <w:rPr>
          <w:rFonts w:hint="eastAsia" w:ascii="Times New Roman" w:hAnsi="Times New Roman" w:eastAsiaTheme="minorEastAsia" w:cstheme="minorEastAsia"/>
          <w:i w:val="0"/>
          <w:caps w:val="0"/>
          <w:color w:val="333333"/>
          <w:spacing w:val="0"/>
          <w:sz w:val="32"/>
          <w:szCs w:val="32"/>
          <w:shd w:val="clear" w:fill="FFFFFF"/>
        </w:rPr>
        <w:t>上海对话活动旨在为德国会员企业及驻华机构与长三角地区政府积极对话搭建直接高效的平台，160多位中外嘉宾参加本届活动。</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08" w:firstLineChars="200"/>
        <w:textAlignment w:val="auto"/>
        <w:outlineLvl w:val="9"/>
        <w:rPr>
          <w:rFonts w:hint="default" w:ascii="Times New Roman" w:hAnsi="Times New Roman" w:cs="Times New Roman" w:eastAsiaTheme="minorEastAsia"/>
          <w:color w:val="auto"/>
          <w:spacing w:val="0"/>
          <w:kern w:val="2"/>
          <w:sz w:val="32"/>
          <w:szCs w:val="32"/>
          <w:lang w:val="en-US" w:eastAsia="zh-CN" w:bidi="ar-SA"/>
        </w:rPr>
      </w:pPr>
      <w:r>
        <w:rPr>
          <w:rFonts w:hint="eastAsia" w:ascii="Times New Roman" w:hAnsi="Times New Roman" w:eastAsiaTheme="minorEastAsia" w:cstheme="minorEastAsia"/>
          <w:i w:val="0"/>
          <w:caps w:val="0"/>
          <w:color w:val="333333"/>
          <w:spacing w:val="0"/>
          <w:sz w:val="32"/>
          <w:szCs w:val="32"/>
          <w:shd w:val="clear" w:fill="FFFFFF"/>
        </w:rPr>
        <w:t>王善华在对话中感谢与会嘉宾长期以来对江苏开放发展和贸促工作的关心支持，介绍江苏省贸促会（国际商会）主要职能，并结合两家德企在江苏发展的故事，简要介绍江苏与德国贸易投资情况。他表示，江苏当前正全力打造具有世界聚合力的双向开放枢纽，推进高水平对外开放，持续打造市场化、法治化、国际化一流营商环境，欢迎更多德资企业进一步扩大在江苏投资，期待更多德资企业参与江苏产业链供应链国际合作，希望德资企业为江苏营商环境积极建言献策。</w:t>
      </w:r>
      <w:r>
        <w:rPr>
          <w:rFonts w:hint="default" w:ascii="Times New Roman" w:hAnsi="Times New Roman" w:cs="Times New Roman"/>
          <w:color w:val="auto"/>
          <w:spacing w:val="0"/>
          <w:kern w:val="2"/>
          <w:sz w:val="32"/>
          <w:szCs w:val="32"/>
          <w:lang w:val="en-US" w:eastAsia="zh-CN" w:bidi="ar-SA"/>
        </w:rPr>
        <w:t xml:space="preserve">        </w:t>
      </w:r>
      <w:r>
        <w:rPr>
          <w:rFonts w:hint="eastAsia" w:ascii="Times New Roman" w:hAnsi="Times New Roman" w:cs="Times New Roman"/>
          <w:color w:val="auto"/>
          <w:spacing w:val="0"/>
          <w:kern w:val="2"/>
          <w:sz w:val="32"/>
          <w:szCs w:val="32"/>
          <w:lang w:val="en-US" w:eastAsia="zh-CN" w:bidi="ar-SA"/>
        </w:rPr>
        <w:t xml:space="preserve">                  </w:t>
      </w:r>
      <w:r>
        <w:rPr>
          <w:rFonts w:hint="eastAsia" w:ascii="方正楷体_GBK" w:hAnsi="方正楷体_GBK" w:eastAsia="方正楷体_GBK" w:cs="方正楷体_GBK"/>
          <w:b/>
          <w:bCs/>
          <w:color w:val="FF0000"/>
          <w:spacing w:val="0"/>
          <w:kern w:val="2"/>
          <w:sz w:val="32"/>
          <w:szCs w:val="32"/>
          <w:lang w:val="en-US" w:eastAsia="zh-CN" w:bidi="ar-SA"/>
        </w:rPr>
        <w:t>（国际联络部）</w:t>
      </w:r>
    </w:p>
    <w:p>
      <w:pPr>
        <w:keepNext w:val="0"/>
        <w:keepLines w:val="0"/>
        <w:pageBreakBefore w:val="0"/>
        <w:widowControl/>
        <w:shd w:val="clear" w:color="auto" w:fill="FFFFFF"/>
        <w:kinsoku/>
        <w:wordWrap/>
        <w:overflowPunct/>
        <w:topLinePunct w:val="0"/>
        <w:autoSpaceDE/>
        <w:autoSpaceDN/>
        <w:bidi w:val="0"/>
        <w:adjustRightInd/>
        <w:snapToGrid/>
        <w:spacing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省贸促会领导带队赴广州参加SPSG</w:t>
      </w:r>
    </w:p>
    <w:p>
      <w:pPr>
        <w:keepNext w:val="0"/>
        <w:keepLines w:val="0"/>
        <w:pageBreakBefore w:val="0"/>
        <w:widowControl/>
        <w:shd w:val="clear" w:color="auto" w:fill="FFFFFF"/>
        <w:kinsoku/>
        <w:wordWrap/>
        <w:overflowPunct/>
        <w:topLinePunct w:val="0"/>
        <w:autoSpaceDE/>
        <w:autoSpaceDN/>
        <w:bidi w:val="0"/>
        <w:adjustRightInd/>
        <w:snapToGrid/>
        <w:spacing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广州国际智能制造技术与装备展览会</w:t>
      </w:r>
    </w:p>
    <w:p>
      <w:pPr>
        <w:keepNext w:val="0"/>
        <w:keepLines w:val="0"/>
        <w:pageBreakBefore w:val="0"/>
        <w:widowControl/>
        <w:shd w:val="clear" w:color="auto" w:fill="FFFFFF"/>
        <w:kinsoku/>
        <w:wordWrap/>
        <w:overflowPunct/>
        <w:topLinePunct w:val="0"/>
        <w:autoSpaceDE/>
        <w:autoSpaceDN/>
        <w:bidi w:val="0"/>
        <w:adjustRightInd/>
        <w:snapToGrid/>
        <w:spacing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和亚洲国际模具展</w:t>
      </w:r>
    </w:p>
    <w:p>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608" w:firstLineChars="200"/>
        <w:contextualSpacing/>
        <w:jc w:val="left"/>
        <w:textAlignment w:val="auto"/>
        <w:outlineLvl w:val="1"/>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default" w:ascii="Times New Roman" w:hAnsi="Times New Roman" w:eastAsiaTheme="minorEastAsia" w:cstheme="minorEastAsia"/>
          <w:i w:val="0"/>
          <w:caps w:val="0"/>
          <w:color w:val="333333"/>
          <w:spacing w:val="0"/>
          <w:kern w:val="0"/>
          <w:sz w:val="32"/>
          <w:szCs w:val="32"/>
          <w:shd w:val="clear" w:fill="FFFFFF"/>
          <w:lang w:val="en-US" w:eastAsia="zh-CN" w:bidi="ar"/>
        </w:rPr>
        <w:t>3</w:t>
      </w: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月</w:t>
      </w:r>
      <w:r>
        <w:rPr>
          <w:rFonts w:hint="default" w:ascii="Times New Roman" w:hAnsi="Times New Roman" w:eastAsiaTheme="minorEastAsia" w:cstheme="minorEastAsia"/>
          <w:i w:val="0"/>
          <w:caps w:val="0"/>
          <w:color w:val="333333"/>
          <w:spacing w:val="0"/>
          <w:kern w:val="0"/>
          <w:sz w:val="32"/>
          <w:szCs w:val="32"/>
          <w:shd w:val="clear" w:fill="FFFFFF"/>
          <w:lang w:val="en-US" w:eastAsia="zh-CN" w:bidi="ar"/>
        </w:rPr>
        <w:t>4</w:t>
      </w: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日，由广州光亚法兰克福展览有限公司主办的</w:t>
      </w:r>
      <w:r>
        <w:rPr>
          <w:rFonts w:hint="default" w:ascii="Times New Roman" w:hAnsi="Times New Roman" w:eastAsiaTheme="minorEastAsia" w:cstheme="minorEastAsia"/>
          <w:i w:val="0"/>
          <w:caps w:val="0"/>
          <w:color w:val="333333"/>
          <w:spacing w:val="0"/>
          <w:kern w:val="0"/>
          <w:sz w:val="32"/>
          <w:szCs w:val="32"/>
          <w:shd w:val="clear" w:fill="FFFFFF"/>
          <w:lang w:val="en-US" w:eastAsia="zh-CN" w:bidi="ar"/>
        </w:rPr>
        <w:t>SPSG</w:t>
      </w: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广州国际智能制造技术与装备展览会（下称</w:t>
      </w:r>
      <w:r>
        <w:rPr>
          <w:rFonts w:hint="default" w:ascii="Times New Roman" w:hAnsi="Times New Roman" w:eastAsiaTheme="minorEastAsia" w:cstheme="minorEastAsia"/>
          <w:i w:val="0"/>
          <w:caps w:val="0"/>
          <w:color w:val="333333"/>
          <w:spacing w:val="0"/>
          <w:kern w:val="0"/>
          <w:sz w:val="32"/>
          <w:szCs w:val="32"/>
          <w:shd w:val="clear" w:fill="FFFFFF"/>
          <w:lang w:val="en-US" w:eastAsia="zh-CN" w:bidi="ar"/>
        </w:rPr>
        <w:t>“SPSG”</w:t>
      </w: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）和亚洲国际模具展在广州广交会展馆同期启幕，我会二级巡视员黄政率团参展并出席开幕式。</w:t>
      </w:r>
    </w:p>
    <w:p>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608" w:firstLineChars="200"/>
        <w:contextualSpacing/>
        <w:jc w:val="left"/>
        <w:textAlignment w:val="auto"/>
        <w:outlineLvl w:val="1"/>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我会依托</w:t>
      </w:r>
      <w:r>
        <w:rPr>
          <w:rFonts w:hint="default" w:ascii="Times New Roman" w:hAnsi="Times New Roman" w:eastAsiaTheme="minorEastAsia" w:cstheme="minorEastAsia"/>
          <w:i w:val="0"/>
          <w:caps w:val="0"/>
          <w:color w:val="333333"/>
          <w:spacing w:val="0"/>
          <w:kern w:val="0"/>
          <w:sz w:val="32"/>
          <w:szCs w:val="32"/>
          <w:shd w:val="clear" w:fill="FFFFFF"/>
          <w:lang w:val="en-US" w:eastAsia="zh-CN" w:bidi="ar"/>
        </w:rPr>
        <w:t>“</w:t>
      </w: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江苏品牌产品丝路行</w:t>
      </w:r>
      <w:r>
        <w:rPr>
          <w:rFonts w:hint="default" w:ascii="Times New Roman" w:hAnsi="Times New Roman" w:eastAsiaTheme="minorEastAsia" w:cstheme="minorEastAsia"/>
          <w:i w:val="0"/>
          <w:caps w:val="0"/>
          <w:color w:val="333333"/>
          <w:spacing w:val="0"/>
          <w:kern w:val="0"/>
          <w:sz w:val="32"/>
          <w:szCs w:val="32"/>
          <w:shd w:val="clear" w:fill="FFFFFF"/>
          <w:lang w:val="en-US" w:eastAsia="zh-CN" w:bidi="ar"/>
        </w:rPr>
        <w:t>”</w:t>
      </w: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活动，联合南京、无锡、徐州、常州、苏州、淮安、镇江、泰州等地市贸促会共组织</w:t>
      </w:r>
      <w:r>
        <w:rPr>
          <w:rFonts w:hint="default" w:ascii="Times New Roman" w:hAnsi="Times New Roman" w:eastAsiaTheme="minorEastAsia" w:cstheme="minorEastAsia"/>
          <w:i w:val="0"/>
          <w:caps w:val="0"/>
          <w:color w:val="333333"/>
          <w:spacing w:val="0"/>
          <w:kern w:val="0"/>
          <w:sz w:val="32"/>
          <w:szCs w:val="32"/>
          <w:shd w:val="clear" w:fill="FFFFFF"/>
          <w:lang w:val="en-US" w:eastAsia="zh-CN" w:bidi="ar"/>
        </w:rPr>
        <w:t>24</w:t>
      </w: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家关键零部件、核心原材料、高端仪器设备、工业基础软件等行业领域的江苏品牌企业组团参展。开幕式当日，昆山市模具工业行业协会与广东省模具工业协会签署战略合作协议，深化双方互利共赢，共同推动两地模具制造行业转型升级。开展首日，昆山嘉华电子、无锡夏尔科技、徐州光鼎塑业等参展商与多家外商达成了意向订单。</w:t>
      </w:r>
    </w:p>
    <w:p>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608" w:firstLineChars="200"/>
        <w:contextualSpacing/>
        <w:jc w:val="left"/>
        <w:textAlignment w:val="auto"/>
        <w:outlineLvl w:val="1"/>
        <w:rPr>
          <w:rFonts w:hint="eastAsia" w:ascii="方正仿宋_GBK" w:hAnsi="方正仿宋_GBK" w:eastAsia="方正仿宋_GBK" w:cs="方正仿宋_GBK"/>
          <w:color w:val="222222"/>
          <w:sz w:val="31"/>
          <w:szCs w:val="31"/>
          <w:shd w:val="clear" w:fill="FFFFFF"/>
          <w:lang w:val="en-US" w:eastAsia="zh-CN"/>
        </w:rPr>
      </w:pPr>
      <w:r>
        <w:rPr>
          <w:rFonts w:hint="default" w:ascii="Times New Roman" w:hAnsi="Times New Roman" w:eastAsiaTheme="minorEastAsia" w:cstheme="minorEastAsia"/>
          <w:i w:val="0"/>
          <w:caps w:val="0"/>
          <w:color w:val="333333"/>
          <w:spacing w:val="0"/>
          <w:kern w:val="0"/>
          <w:sz w:val="32"/>
          <w:szCs w:val="32"/>
          <w:shd w:val="clear" w:fill="FFFFFF"/>
          <w:lang w:val="en-US" w:eastAsia="zh-CN" w:bidi="ar"/>
        </w:rPr>
        <w:t>3</w:t>
      </w: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月</w:t>
      </w:r>
      <w:r>
        <w:rPr>
          <w:rFonts w:hint="default" w:ascii="Times New Roman" w:hAnsi="Times New Roman" w:eastAsiaTheme="minorEastAsia" w:cstheme="minorEastAsia"/>
          <w:i w:val="0"/>
          <w:caps w:val="0"/>
          <w:color w:val="333333"/>
          <w:spacing w:val="0"/>
          <w:kern w:val="0"/>
          <w:sz w:val="32"/>
          <w:szCs w:val="32"/>
          <w:shd w:val="clear" w:fill="FFFFFF"/>
          <w:lang w:val="en-US" w:eastAsia="zh-CN" w:bidi="ar"/>
        </w:rPr>
        <w:t>5</w:t>
      </w: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日，由我会和主办方联合主办的数字化底座与零碳工厂建设主题沙龙活动在展馆举办。此次沙龙活动以</w:t>
      </w:r>
      <w:r>
        <w:rPr>
          <w:rFonts w:hint="default" w:ascii="Times New Roman" w:hAnsi="Times New Roman" w:eastAsiaTheme="minorEastAsia" w:cstheme="minorEastAsia"/>
          <w:i w:val="0"/>
          <w:caps w:val="0"/>
          <w:color w:val="333333"/>
          <w:spacing w:val="0"/>
          <w:kern w:val="0"/>
          <w:sz w:val="32"/>
          <w:szCs w:val="32"/>
          <w:shd w:val="clear" w:fill="FFFFFF"/>
          <w:lang w:val="en-US" w:eastAsia="zh-CN" w:bidi="ar"/>
        </w:rPr>
        <w:t>“</w:t>
      </w: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数字赋能 共筑零碳</w:t>
      </w:r>
      <w:r>
        <w:rPr>
          <w:rFonts w:hint="default" w:ascii="Times New Roman" w:hAnsi="Times New Roman" w:eastAsiaTheme="minorEastAsia" w:cstheme="minorEastAsia"/>
          <w:i w:val="0"/>
          <w:caps w:val="0"/>
          <w:color w:val="333333"/>
          <w:spacing w:val="0"/>
          <w:kern w:val="0"/>
          <w:sz w:val="32"/>
          <w:szCs w:val="32"/>
          <w:shd w:val="clear" w:fill="FFFFFF"/>
          <w:lang w:val="en-US" w:eastAsia="zh-CN" w:bidi="ar"/>
        </w:rPr>
        <w:t>”</w:t>
      </w: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为主题，邀请境内外相关行业领域企业、江苏参展企业等近</w:t>
      </w:r>
      <w:r>
        <w:rPr>
          <w:rFonts w:hint="default" w:ascii="Times New Roman" w:hAnsi="Times New Roman" w:eastAsiaTheme="minorEastAsia" w:cstheme="minorEastAsia"/>
          <w:i w:val="0"/>
          <w:caps w:val="0"/>
          <w:color w:val="333333"/>
          <w:spacing w:val="0"/>
          <w:kern w:val="0"/>
          <w:sz w:val="32"/>
          <w:szCs w:val="32"/>
          <w:shd w:val="clear" w:fill="FFFFFF"/>
          <w:lang w:val="en-US" w:eastAsia="zh-CN" w:bidi="ar"/>
        </w:rPr>
        <w:t>100</w:t>
      </w: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位嘉宾代表参加。展会期间，黄政率相关市贸促会领导调研广州明珞装备股份有限公司，实地参观广东省</w:t>
      </w:r>
      <w:r>
        <w:rPr>
          <w:rFonts w:hint="default" w:ascii="Times New Roman" w:hAnsi="Times New Roman" w:eastAsiaTheme="minorEastAsia" w:cstheme="minorEastAsia"/>
          <w:i w:val="0"/>
          <w:caps w:val="0"/>
          <w:color w:val="333333"/>
          <w:spacing w:val="0"/>
          <w:kern w:val="0"/>
          <w:sz w:val="32"/>
          <w:szCs w:val="32"/>
          <w:shd w:val="clear" w:fill="FFFFFF"/>
          <w:lang w:val="en-US" w:eastAsia="zh-CN" w:bidi="ar"/>
        </w:rPr>
        <w:t>CPS</w:t>
      </w: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 xml:space="preserve">离散制造数字化创新中心，详细了解其赋能制造业企业数字化转型发展历程。  </w:t>
      </w:r>
      <w:r>
        <w:rPr>
          <w:rFonts w:hint="eastAsia" w:ascii="方正仿宋_GBK" w:hAnsi="方正仿宋_GBK" w:eastAsia="方正仿宋_GBK" w:cs="方正仿宋_GBK"/>
          <w:color w:val="222222"/>
          <w:sz w:val="31"/>
          <w:szCs w:val="31"/>
          <w:shd w:val="clear" w:fill="FFFFFF"/>
          <w:lang w:val="en-US" w:eastAsia="zh-CN"/>
        </w:rPr>
        <w:t xml:space="preserve">  </w:t>
      </w:r>
    </w:p>
    <w:p>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6384" w:firstLineChars="2100"/>
        <w:contextualSpacing/>
        <w:jc w:val="left"/>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r>
        <w:rPr>
          <w:rFonts w:hint="eastAsia" w:ascii="方正楷体_GBK" w:hAnsi="方正楷体_GBK" w:eastAsia="方正楷体_GBK" w:cs="方正楷体_GBK"/>
          <w:b/>
          <w:bCs/>
          <w:color w:val="FF0000"/>
          <w:spacing w:val="0"/>
          <w:kern w:val="2"/>
          <w:sz w:val="32"/>
          <w:szCs w:val="32"/>
          <w:lang w:val="en-US" w:eastAsia="zh-CN" w:bidi="ar-SA"/>
        </w:rPr>
        <w:t>（贸易促进部）</w:t>
      </w:r>
    </w:p>
    <w:p>
      <w:pPr>
        <w:keepNext w:val="0"/>
        <w:keepLines w:val="0"/>
        <w:pageBreakBefore w:val="0"/>
        <w:widowControl/>
        <w:shd w:val="clear" w:color="auto" w:fill="FFFFFF"/>
        <w:kinsoku/>
        <w:wordWrap/>
        <w:overflowPunct/>
        <w:topLinePunct w:val="0"/>
        <w:autoSpaceDE/>
        <w:autoSpaceDN/>
        <w:bidi w:val="0"/>
        <w:adjustRightInd/>
        <w:snapToGrid/>
        <w:spacing w:line="600" w:lineRule="exact"/>
        <w:contextualSpacing/>
        <w:jc w:val="center"/>
        <w:textAlignment w:val="auto"/>
        <w:outlineLvl w:val="1"/>
        <w:rPr>
          <w:rFonts w:hint="default"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会领导走访省国际商会副会长单位</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right="0" w:firstLine="608" w:firstLineChars="200"/>
        <w:textAlignment w:val="auto"/>
        <w:outlineLvl w:val="9"/>
        <w:rPr>
          <w:rFonts w:hint="eastAsia" w:ascii="Times New Roman" w:hAnsi="Times New Roman" w:eastAsiaTheme="minorEastAsia" w:cstheme="minorEastAsia"/>
          <w:i w:val="0"/>
          <w:caps w:val="0"/>
          <w:color w:val="333333"/>
          <w:spacing w:val="0"/>
          <w:sz w:val="32"/>
          <w:szCs w:val="32"/>
        </w:rPr>
      </w:pPr>
      <w:r>
        <w:rPr>
          <w:rFonts w:hint="eastAsia" w:ascii="Times New Roman" w:hAnsi="Times New Roman" w:eastAsiaTheme="minorEastAsia" w:cstheme="minorEastAsia"/>
          <w:i w:val="0"/>
          <w:caps w:val="0"/>
          <w:color w:val="333333"/>
          <w:spacing w:val="0"/>
          <w:sz w:val="32"/>
          <w:szCs w:val="32"/>
          <w:shd w:val="clear" w:fill="FFFFFF"/>
        </w:rPr>
        <w:t>3月4日，应省国际商会副会长单位南京扬子国资投资集团有限责任公司邀请，省贸促会、省国际商会副会长丛苏峰带队与该集团党委书记、董事长王伟及相关负责人座谈交流。</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right="0" w:firstLine="608" w:firstLineChars="200"/>
        <w:textAlignment w:val="auto"/>
        <w:outlineLvl w:val="9"/>
        <w:rPr>
          <w:rFonts w:hint="eastAsia" w:ascii="Times New Roman" w:hAnsi="Times New Roman" w:eastAsiaTheme="minorEastAsia" w:cstheme="minorEastAsia"/>
          <w:i w:val="0"/>
          <w:caps w:val="0"/>
          <w:color w:val="333333"/>
          <w:spacing w:val="0"/>
          <w:sz w:val="32"/>
          <w:szCs w:val="32"/>
        </w:rPr>
      </w:pPr>
      <w:r>
        <w:rPr>
          <w:rFonts w:hint="eastAsia" w:ascii="Times New Roman" w:hAnsi="Times New Roman" w:eastAsiaTheme="minorEastAsia" w:cstheme="minorEastAsia"/>
          <w:i w:val="0"/>
          <w:caps w:val="0"/>
          <w:color w:val="333333"/>
          <w:spacing w:val="0"/>
          <w:sz w:val="32"/>
          <w:szCs w:val="32"/>
          <w:shd w:val="clear" w:fill="FFFFFF"/>
        </w:rPr>
        <w:t>丛苏峰介绍了省贸促会、省国际商会主要工作情况，重点介绍江苏省国际商会阿联酋联络中心相关情况。他表示，阿联酋迪拜是世界重要的金融中心，省贸促会愿充分发挥国际联络优势，借助阿联酋商会中国创新中心渠道资源，帮助扬子国投与当地平台合作，并辐射西亚、中东地区，实现高质量“请进来”“走出去”。</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right="0" w:firstLine="608" w:firstLineChars="200"/>
        <w:textAlignment w:val="auto"/>
        <w:outlineLvl w:val="9"/>
        <w:rPr>
          <w:rFonts w:hint="default" w:ascii="Times New Roman" w:hAnsi="Times New Roman" w:cs="Times New Roman"/>
          <w:color w:val="auto"/>
          <w:spacing w:val="0"/>
          <w:kern w:val="2"/>
          <w:sz w:val="32"/>
          <w:szCs w:val="32"/>
          <w:lang w:val="en-US" w:eastAsia="zh-CN" w:bidi="ar-SA"/>
        </w:rPr>
      </w:pPr>
      <w:r>
        <w:rPr>
          <w:rFonts w:hint="eastAsia" w:ascii="Times New Roman" w:hAnsi="Times New Roman" w:eastAsiaTheme="minorEastAsia" w:cstheme="minorEastAsia"/>
          <w:i w:val="0"/>
          <w:caps w:val="0"/>
          <w:color w:val="333333"/>
          <w:spacing w:val="0"/>
          <w:sz w:val="32"/>
          <w:szCs w:val="32"/>
          <w:shd w:val="clear" w:fill="FFFFFF"/>
        </w:rPr>
        <w:t>王伟表示，中东、西亚地区资金较为集聚，金融机构和国际企业集中，扬子国投希望借助贸促会平台优势，与当地金融机构建立联系，寻找长期合作伙伴，在当地开辟江苏金融独有的路径。</w:t>
      </w:r>
      <w:r>
        <w:rPr>
          <w:rFonts w:hint="default" w:ascii="Times New Roman" w:hAnsi="Times New Roman" w:cs="Times New Roman"/>
          <w:color w:val="auto"/>
          <w:spacing w:val="0"/>
          <w:kern w:val="2"/>
          <w:sz w:val="32"/>
          <w:szCs w:val="32"/>
          <w:lang w:val="en-US" w:eastAsia="zh-CN" w:bidi="ar-SA"/>
        </w:rPr>
        <w:t xml:space="preserve">        </w:t>
      </w:r>
    </w:p>
    <w:p>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4560" w:firstLineChars="1500"/>
        <w:contextualSpacing/>
        <w:jc w:val="left"/>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r>
        <w:rPr>
          <w:rFonts w:hint="eastAsia" w:ascii="方正楷体_GBK" w:hAnsi="方正楷体_GBK" w:eastAsia="方正楷体_GBK" w:cs="方正楷体_GBK"/>
          <w:b/>
          <w:bCs/>
          <w:color w:val="FF0000"/>
          <w:spacing w:val="0"/>
          <w:kern w:val="2"/>
          <w:sz w:val="32"/>
          <w:szCs w:val="32"/>
          <w:lang w:val="en-US" w:eastAsia="zh-CN" w:bidi="ar-SA"/>
        </w:rPr>
        <w:t>（国际联络部、跨采中心）</w:t>
      </w: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我会与苏美达轻纺公司开展</w:t>
      </w: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支部共建活动</w:t>
      </w:r>
    </w:p>
    <w:p>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608" w:firstLineChars="200"/>
        <w:contextualSpacing/>
        <w:jc w:val="left"/>
        <w:textAlignment w:val="auto"/>
        <w:outlineLvl w:val="1"/>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default" w:ascii="Times New Roman" w:hAnsi="Times New Roman" w:eastAsiaTheme="minorEastAsia" w:cstheme="minorEastAsia"/>
          <w:i w:val="0"/>
          <w:caps w:val="0"/>
          <w:color w:val="333333"/>
          <w:spacing w:val="0"/>
          <w:kern w:val="0"/>
          <w:sz w:val="32"/>
          <w:szCs w:val="32"/>
          <w:shd w:val="clear" w:fill="FFFFFF"/>
          <w:lang w:val="en-US" w:eastAsia="zh-CN" w:bidi="ar"/>
        </w:rPr>
        <w:t>3</w:t>
      </w: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月</w:t>
      </w:r>
      <w:r>
        <w:rPr>
          <w:rFonts w:hint="default" w:ascii="Times New Roman" w:hAnsi="Times New Roman" w:eastAsiaTheme="minorEastAsia" w:cstheme="minorEastAsia"/>
          <w:i w:val="0"/>
          <w:caps w:val="0"/>
          <w:color w:val="333333"/>
          <w:spacing w:val="0"/>
          <w:kern w:val="0"/>
          <w:sz w:val="32"/>
          <w:szCs w:val="32"/>
          <w:shd w:val="clear" w:fill="FFFFFF"/>
          <w:lang w:val="en-US" w:eastAsia="zh-CN" w:bidi="ar"/>
        </w:rPr>
        <w:t>5</w:t>
      </w: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日，</w:t>
      </w:r>
      <w:r>
        <w:rPr>
          <w:rFonts w:hint="eastAsia" w:ascii="Times New Roman" w:hAnsi="Times New Roman" w:cstheme="minorEastAsia"/>
          <w:i w:val="0"/>
          <w:caps w:val="0"/>
          <w:color w:val="333333"/>
          <w:spacing w:val="0"/>
          <w:kern w:val="0"/>
          <w:sz w:val="32"/>
          <w:szCs w:val="32"/>
          <w:shd w:val="clear" w:fill="FFFFFF"/>
          <w:lang w:val="en-US" w:eastAsia="zh-CN" w:bidi="ar"/>
        </w:rPr>
        <w:t>省贸促会</w:t>
      </w: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杜培军秘书长法律事务部、商法中心党支部和商服中心党支部党员代表前往苏美达轻纺公司，与公司第十一党支部、第二十党支部开展支部共建业务交流活动。</w:t>
      </w:r>
    </w:p>
    <w:p>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608" w:firstLineChars="200"/>
        <w:contextualSpacing/>
        <w:jc w:val="left"/>
        <w:textAlignment w:val="auto"/>
        <w:outlineLvl w:val="1"/>
        <w:rPr>
          <w:rFonts w:hint="default"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苏美达轻纺公司总经理、党委副书记林学虎陪同参观了公司产品展览展示，公司第十一党支部书记、经营管理部总经理张向东介绍了公司经营情况特别是</w:t>
      </w:r>
      <w:r>
        <w:rPr>
          <w:rFonts w:hint="default" w:ascii="Times New Roman" w:hAnsi="Times New Roman" w:eastAsiaTheme="minorEastAsia" w:cstheme="minorEastAsia"/>
          <w:i w:val="0"/>
          <w:caps w:val="0"/>
          <w:color w:val="333333"/>
          <w:spacing w:val="0"/>
          <w:kern w:val="0"/>
          <w:sz w:val="32"/>
          <w:szCs w:val="32"/>
          <w:shd w:val="clear" w:fill="FFFFFF"/>
          <w:lang w:val="en-US" w:eastAsia="zh-CN" w:bidi="ar"/>
        </w:rPr>
        <w:t>“</w:t>
      </w: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供应链</w:t>
      </w:r>
      <w:r>
        <w:rPr>
          <w:rFonts w:hint="default" w:ascii="Times New Roman" w:hAnsi="Times New Roman" w:eastAsiaTheme="minorEastAsia" w:cstheme="minorEastAsia"/>
          <w:i w:val="0"/>
          <w:caps w:val="0"/>
          <w:color w:val="333333"/>
          <w:spacing w:val="0"/>
          <w:kern w:val="0"/>
          <w:sz w:val="32"/>
          <w:szCs w:val="32"/>
          <w:shd w:val="clear" w:fill="FFFFFF"/>
          <w:lang w:val="en-US" w:eastAsia="zh-CN" w:bidi="ar"/>
        </w:rPr>
        <w:t>+</w:t>
      </w: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产业链</w:t>
      </w:r>
      <w:r>
        <w:rPr>
          <w:rFonts w:hint="default" w:ascii="Times New Roman" w:hAnsi="Times New Roman" w:eastAsiaTheme="minorEastAsia" w:cstheme="minorEastAsia"/>
          <w:i w:val="0"/>
          <w:caps w:val="0"/>
          <w:color w:val="333333"/>
          <w:spacing w:val="0"/>
          <w:kern w:val="0"/>
          <w:sz w:val="32"/>
          <w:szCs w:val="32"/>
          <w:shd w:val="clear" w:fill="FFFFFF"/>
          <w:lang w:val="en-US" w:eastAsia="zh-CN" w:bidi="ar"/>
        </w:rPr>
        <w:t>”</w:t>
      </w: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双链战略。杜培军秘书长介绍我会商事认证和商事争议解决业务近年来发展与创新情况。我会两支部党员围绕</w:t>
      </w:r>
      <w:r>
        <w:rPr>
          <w:rFonts w:hint="default" w:ascii="Times New Roman" w:hAnsi="Times New Roman" w:eastAsiaTheme="minorEastAsia" w:cstheme="minorEastAsia"/>
          <w:i w:val="0"/>
          <w:caps w:val="0"/>
          <w:color w:val="333333"/>
          <w:spacing w:val="0"/>
          <w:kern w:val="0"/>
          <w:sz w:val="32"/>
          <w:szCs w:val="32"/>
          <w:shd w:val="clear" w:fill="FFFFFF"/>
          <w:lang w:val="en-US" w:eastAsia="zh-CN" w:bidi="ar"/>
        </w:rPr>
        <w:t>FTA</w:t>
      </w: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、海牙认证、出口商品品牌信用认证、涉外经营法律风险防范等分享交流。双方还就纺织服装境外投资环境、投资目的国优惠政策、调解与仲裁等问题开展了讨论。</w:t>
      </w:r>
      <w:r>
        <w:rPr>
          <w:rFonts w:hint="default" w:ascii="Times New Roman" w:hAnsi="Times New Roman" w:eastAsiaTheme="minorEastAsia" w:cstheme="minorEastAsia"/>
          <w:i w:val="0"/>
          <w:caps w:val="0"/>
          <w:color w:val="333333"/>
          <w:spacing w:val="0"/>
          <w:kern w:val="0"/>
          <w:sz w:val="32"/>
          <w:szCs w:val="32"/>
          <w:shd w:val="clear" w:fill="FFFFFF"/>
          <w:lang w:val="en-US" w:eastAsia="zh-CN" w:bidi="ar"/>
        </w:rPr>
        <w:t> </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3344" w:firstLineChars="1100"/>
        <w:contextualSpacing/>
        <w:jc w:val="left"/>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r>
        <w:rPr>
          <w:rFonts w:hint="eastAsia" w:ascii="方正楷体_GBK" w:hAnsi="方正楷体_GBK" w:eastAsia="方正楷体_GBK" w:cs="方正楷体_GBK"/>
          <w:b/>
          <w:bCs/>
          <w:color w:val="FF0000"/>
          <w:spacing w:val="0"/>
          <w:kern w:val="2"/>
          <w:sz w:val="32"/>
          <w:szCs w:val="32"/>
          <w:lang w:val="en-US" w:eastAsia="zh-CN" w:bidi="ar-SA"/>
        </w:rPr>
        <w:t>（法律事务部、商服中心、商法中心）</w:t>
      </w: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南京市贸促会率团赴广州参展</w:t>
      </w: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default"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并开展会展工作交流</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3月4日，南京市贸促会会长梁洁率团参加SPSG广州国际智能制造技术与装备展览会和亚洲国际模具展，菲尼克斯（中国）投资有限公司、江苏擎天工业互联网有限公司、南京凯基特电气有限公司、南京中科煜宸激光技术有限公司等关键零部件、核心原材料、高端仪器设备、工业基础软件等行业领域的品牌企业参展。</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default"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展会期间，梁洁会长率队与广东会展组展企业协会及其部分会员企业开展工作交流，共同就推动两地会展业务实合作、促进优势互补等进行了深入探讨。</w:t>
      </w:r>
    </w:p>
    <w:p>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608" w:firstLineChars="200"/>
        <w:contextualSpacing/>
        <w:jc w:val="left"/>
        <w:textAlignment w:val="auto"/>
        <w:outlineLvl w:val="1"/>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通过此次参展</w:t>
      </w:r>
      <w:r>
        <w:rPr>
          <w:rFonts w:hint="eastAsia" w:ascii="Times New Roman" w:hAnsi="Times New Roman" w:cstheme="minorEastAsia"/>
          <w:i w:val="0"/>
          <w:caps w:val="0"/>
          <w:color w:val="333333"/>
          <w:spacing w:val="0"/>
          <w:kern w:val="0"/>
          <w:sz w:val="32"/>
          <w:szCs w:val="32"/>
          <w:shd w:val="clear" w:fill="FFFFFF"/>
          <w:lang w:val="en-US" w:eastAsia="zh-CN" w:bidi="ar"/>
        </w:rPr>
        <w:t>及工作交流</w:t>
      </w: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，进一步加强了宁穗两地展会的交流互鉴，共同推动区域产业链供应链国内外合作，</w:t>
      </w:r>
      <w:r>
        <w:rPr>
          <w:rFonts w:hint="eastAsia" w:ascii="Times New Roman" w:hAnsi="Times New Roman" w:cstheme="minorEastAsia"/>
          <w:i w:val="0"/>
          <w:caps w:val="0"/>
          <w:color w:val="333333"/>
          <w:spacing w:val="0"/>
          <w:kern w:val="0"/>
          <w:sz w:val="32"/>
          <w:szCs w:val="32"/>
          <w:shd w:val="clear" w:fill="FFFFFF"/>
          <w:lang w:val="en-US" w:eastAsia="zh-CN" w:bidi="ar"/>
        </w:rPr>
        <w:t>为</w:t>
      </w: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南京加快建设具有世界聚合力的双向开放枢纽城市凝聚更多智慧和力量。</w:t>
      </w:r>
    </w:p>
    <w:p>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5776" w:firstLineChars="1900"/>
        <w:contextualSpacing/>
        <w:jc w:val="left"/>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r>
        <w:rPr>
          <w:rFonts w:hint="eastAsia" w:ascii="方正楷体_GBK" w:hAnsi="方正楷体_GBK" w:eastAsia="方正楷体_GBK" w:cs="方正楷体_GBK"/>
          <w:b/>
          <w:bCs/>
          <w:color w:val="FF0000"/>
          <w:spacing w:val="0"/>
          <w:kern w:val="2"/>
          <w:sz w:val="32"/>
          <w:szCs w:val="32"/>
          <w:lang w:val="en-US" w:eastAsia="zh-CN" w:bidi="ar-SA"/>
        </w:rPr>
        <w:t>（南京市贸促会）</w:t>
      </w:r>
    </w:p>
    <w:p>
      <w:pPr>
        <w:keepNext w:val="0"/>
        <w:keepLines w:val="0"/>
        <w:pageBreakBefore w:val="0"/>
        <w:widowControl/>
        <w:shd w:val="clear" w:color="auto" w:fill="FFFFFF"/>
        <w:kinsoku/>
        <w:wordWrap/>
        <w:overflowPunct/>
        <w:topLinePunct w:val="0"/>
        <w:autoSpaceDE/>
        <w:autoSpaceDN/>
        <w:bidi w:val="0"/>
        <w:adjustRightInd/>
        <w:snapToGrid/>
        <w:spacing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澳门新经济协会到访无锡</w:t>
      </w:r>
    </w:p>
    <w:p>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608" w:firstLineChars="200"/>
        <w:contextualSpacing/>
        <w:jc w:val="left"/>
        <w:textAlignment w:val="auto"/>
        <w:outlineLvl w:val="1"/>
        <w:rPr>
          <w:rFonts w:hint="eastAsia" w:ascii="Times New Roman" w:hAnsi="Times New Roman" w:cs="Times New Roman" w:eastAsiaTheme="minorEastAsia"/>
          <w:color w:val="auto"/>
          <w:spacing w:val="0"/>
          <w:kern w:val="2"/>
          <w:sz w:val="32"/>
          <w:szCs w:val="32"/>
          <w:lang w:val="en-US" w:eastAsia="zh-CN" w:bidi="ar-SA"/>
        </w:rPr>
      </w:pPr>
      <w:r>
        <w:rPr>
          <w:rFonts w:hint="eastAsia" w:ascii="Times New Roman" w:hAnsi="Times New Roman" w:cs="Times New Roman" w:eastAsiaTheme="minorEastAsia"/>
          <w:color w:val="auto"/>
          <w:spacing w:val="0"/>
          <w:kern w:val="2"/>
          <w:sz w:val="32"/>
          <w:szCs w:val="32"/>
          <w:lang w:val="en-US" w:eastAsia="zh-CN" w:bidi="ar-SA"/>
        </w:rPr>
        <w:t>3月4日，澳门新经济协会理事长蔡思伟一行到访无锡市贸促会</w:t>
      </w:r>
      <w:r>
        <w:rPr>
          <w:rFonts w:hint="eastAsia" w:ascii="Times New Roman" w:hAnsi="Times New Roman" w:cs="Times New Roman"/>
          <w:color w:val="auto"/>
          <w:spacing w:val="0"/>
          <w:kern w:val="2"/>
          <w:sz w:val="32"/>
          <w:szCs w:val="32"/>
          <w:lang w:val="en-US" w:eastAsia="zh-CN" w:bidi="ar-SA"/>
        </w:rPr>
        <w:t>，</w:t>
      </w:r>
      <w:r>
        <w:rPr>
          <w:rFonts w:hint="eastAsia" w:ascii="Times New Roman" w:hAnsi="Times New Roman" w:cs="Times New Roman" w:eastAsiaTheme="minorEastAsia"/>
          <w:color w:val="auto"/>
          <w:spacing w:val="0"/>
          <w:kern w:val="2"/>
          <w:sz w:val="32"/>
          <w:szCs w:val="32"/>
          <w:lang w:val="en-US" w:eastAsia="zh-CN" w:bidi="ar-SA"/>
        </w:rPr>
        <w:t>就共同促进无锡与澳门经贸合作</w:t>
      </w:r>
      <w:r>
        <w:rPr>
          <w:rFonts w:hint="eastAsia" w:ascii="Times New Roman" w:hAnsi="Times New Roman" w:cs="Times New Roman"/>
          <w:color w:val="auto"/>
          <w:spacing w:val="0"/>
          <w:kern w:val="2"/>
          <w:sz w:val="32"/>
          <w:szCs w:val="32"/>
          <w:lang w:val="en-US" w:eastAsia="zh-CN" w:bidi="ar-SA"/>
        </w:rPr>
        <w:t>开展</w:t>
      </w:r>
      <w:r>
        <w:rPr>
          <w:rFonts w:hint="eastAsia" w:ascii="Times New Roman" w:hAnsi="Times New Roman" w:cs="Times New Roman" w:eastAsiaTheme="minorEastAsia"/>
          <w:color w:val="auto"/>
          <w:spacing w:val="0"/>
          <w:kern w:val="2"/>
          <w:sz w:val="32"/>
          <w:szCs w:val="32"/>
          <w:lang w:val="en-US" w:eastAsia="zh-CN" w:bidi="ar-SA"/>
        </w:rPr>
        <w:t>交流。</w:t>
      </w:r>
    </w:p>
    <w:p>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608" w:firstLineChars="200"/>
        <w:contextualSpacing/>
        <w:jc w:val="left"/>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r>
        <w:rPr>
          <w:rFonts w:hint="eastAsia" w:ascii="Times New Roman" w:hAnsi="Times New Roman" w:cs="Times New Roman" w:eastAsiaTheme="minorEastAsia"/>
          <w:color w:val="auto"/>
          <w:spacing w:val="0"/>
          <w:kern w:val="2"/>
          <w:sz w:val="32"/>
          <w:szCs w:val="32"/>
          <w:lang w:val="en-US" w:eastAsia="zh-CN" w:bidi="ar-SA"/>
        </w:rPr>
        <w:t>双方表示，将建立经常性的工作联系，加强在会展、经贸对接和碳中和认证等领域合作，共同为无锡与澳门以及巴西等葡语国家企业搭建经贸交流合作平台，着力推动无锡和粤港澳大湾区建设深度融合。</w:t>
      </w:r>
      <w:r>
        <w:rPr>
          <w:rFonts w:hint="eastAsia" w:ascii="Times New Roman" w:hAnsi="Times New Roman" w:cs="Times New Roman"/>
          <w:color w:val="auto"/>
          <w:spacing w:val="0"/>
          <w:kern w:val="2"/>
          <w:sz w:val="32"/>
          <w:szCs w:val="32"/>
          <w:lang w:val="en-US" w:eastAsia="zh-CN" w:bidi="ar-SA"/>
        </w:rPr>
        <w:t xml:space="preserve">                               </w:t>
      </w:r>
      <w:r>
        <w:rPr>
          <w:rFonts w:hint="eastAsia" w:ascii="方正楷体_GBK" w:hAnsi="方正楷体_GBK" w:eastAsia="方正楷体_GBK" w:cs="方正楷体_GBK"/>
          <w:b/>
          <w:bCs/>
          <w:color w:val="FF0000"/>
          <w:spacing w:val="0"/>
          <w:kern w:val="2"/>
          <w:sz w:val="32"/>
          <w:szCs w:val="32"/>
          <w:lang w:val="en-US" w:eastAsia="zh-CN" w:bidi="ar-SA"/>
        </w:rPr>
        <w:t>（无锡市贸促会）</w:t>
      </w:r>
    </w:p>
    <w:p>
      <w:pPr>
        <w:keepNext w:val="0"/>
        <w:keepLines w:val="0"/>
        <w:pageBreakBefore w:val="0"/>
        <w:widowControl/>
        <w:shd w:val="clear" w:color="auto" w:fill="FFFFFF"/>
        <w:kinsoku/>
        <w:wordWrap/>
        <w:overflowPunct/>
        <w:topLinePunct w:val="0"/>
        <w:autoSpaceDE/>
        <w:autoSpaceDN/>
        <w:bidi w:val="0"/>
        <w:adjustRightInd/>
        <w:snapToGrid/>
        <w:spacing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第四十三期经贸大讲堂（无锡）</w:t>
      </w:r>
    </w:p>
    <w:p>
      <w:pPr>
        <w:keepNext w:val="0"/>
        <w:keepLines w:val="0"/>
        <w:pageBreakBefore w:val="0"/>
        <w:widowControl/>
        <w:shd w:val="clear" w:color="auto" w:fill="FFFFFF"/>
        <w:kinsoku/>
        <w:wordWrap/>
        <w:overflowPunct/>
        <w:topLinePunct w:val="0"/>
        <w:autoSpaceDE/>
        <w:autoSpaceDN/>
        <w:bidi w:val="0"/>
        <w:adjustRightInd/>
        <w:snapToGrid/>
        <w:spacing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成功举办</w:t>
      </w:r>
    </w:p>
    <w:p>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608" w:firstLineChars="200"/>
        <w:contextualSpacing/>
        <w:jc w:val="left"/>
        <w:textAlignment w:val="auto"/>
        <w:outlineLvl w:val="1"/>
        <w:rPr>
          <w:rFonts w:hint="eastAsia" w:ascii="Times New Roman" w:hAnsi="Times New Roman" w:cs="Times New Roman" w:eastAsiaTheme="minorEastAsia"/>
          <w:color w:val="auto"/>
          <w:spacing w:val="0"/>
          <w:kern w:val="2"/>
          <w:sz w:val="32"/>
          <w:szCs w:val="32"/>
          <w:lang w:val="en-US" w:eastAsia="zh-CN" w:bidi="ar-SA"/>
        </w:rPr>
      </w:pPr>
      <w:r>
        <w:rPr>
          <w:rFonts w:hint="eastAsia" w:ascii="Times New Roman" w:hAnsi="Times New Roman" w:cs="Times New Roman" w:eastAsiaTheme="minorEastAsia"/>
          <w:color w:val="auto"/>
          <w:spacing w:val="0"/>
          <w:kern w:val="2"/>
          <w:sz w:val="32"/>
          <w:szCs w:val="32"/>
          <w:lang w:val="en-US" w:eastAsia="zh-CN" w:bidi="ar-SA"/>
        </w:rPr>
        <w:t>近日，由无锡市贸促会主办的经贸大讲堂第四十三期成功举行。本期大讲堂主题为新《公司法》要点解读及企业合规建议,共吸引了线上线下100余人</w:t>
      </w:r>
      <w:r>
        <w:rPr>
          <w:rFonts w:hint="eastAsia" w:ascii="Times New Roman" w:hAnsi="Times New Roman" w:cs="Times New Roman"/>
          <w:color w:val="auto"/>
          <w:spacing w:val="0"/>
          <w:kern w:val="2"/>
          <w:sz w:val="32"/>
          <w:szCs w:val="32"/>
          <w:lang w:val="en-US" w:eastAsia="zh-CN" w:bidi="ar-SA"/>
        </w:rPr>
        <w:t>参加</w:t>
      </w:r>
      <w:r>
        <w:rPr>
          <w:rFonts w:hint="eastAsia" w:ascii="Times New Roman" w:hAnsi="Times New Roman" w:cs="Times New Roman" w:eastAsiaTheme="minorEastAsia"/>
          <w:color w:val="auto"/>
          <w:spacing w:val="0"/>
          <w:kern w:val="2"/>
          <w:sz w:val="32"/>
          <w:szCs w:val="32"/>
          <w:lang w:val="en-US" w:eastAsia="zh-CN" w:bidi="ar-SA"/>
        </w:rPr>
        <w:t>。</w:t>
      </w:r>
    </w:p>
    <w:p>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608" w:firstLineChars="200"/>
        <w:contextualSpacing/>
        <w:jc w:val="left"/>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r>
        <w:rPr>
          <w:rFonts w:hint="eastAsia" w:ascii="Times New Roman" w:hAnsi="Times New Roman" w:cs="Times New Roman" w:eastAsiaTheme="minorEastAsia"/>
          <w:color w:val="auto"/>
          <w:spacing w:val="0"/>
          <w:kern w:val="2"/>
          <w:sz w:val="32"/>
          <w:szCs w:val="32"/>
          <w:lang w:val="en-US" w:eastAsia="zh-CN" w:bidi="ar-SA"/>
        </w:rPr>
        <w:t>经贸大讲堂自开办以来已连续举办43期，采取线上线下相结合的方式，围绕新政策、跨境电商、企业管理、跨国投资、绿色双碳、商业秘密、研发费监管、碳边界调整机制等热点话题开展互动交流，助推</w:t>
      </w:r>
      <w:r>
        <w:rPr>
          <w:rFonts w:hint="eastAsia" w:ascii="Times New Roman" w:hAnsi="Times New Roman" w:cs="Times New Roman"/>
          <w:color w:val="auto"/>
          <w:spacing w:val="0"/>
          <w:kern w:val="2"/>
          <w:sz w:val="32"/>
          <w:szCs w:val="32"/>
          <w:lang w:val="en-US" w:eastAsia="zh-CN" w:bidi="ar-SA"/>
        </w:rPr>
        <w:t>无锡</w:t>
      </w:r>
      <w:r>
        <w:rPr>
          <w:rFonts w:hint="eastAsia" w:ascii="Times New Roman" w:hAnsi="Times New Roman" w:cs="Times New Roman" w:eastAsiaTheme="minorEastAsia"/>
          <w:color w:val="auto"/>
          <w:spacing w:val="0"/>
          <w:kern w:val="2"/>
          <w:sz w:val="32"/>
          <w:szCs w:val="32"/>
          <w:lang w:val="en-US" w:eastAsia="zh-CN" w:bidi="ar-SA"/>
        </w:rPr>
        <w:t>开放型经济高质量发展。</w:t>
      </w:r>
      <w:r>
        <w:rPr>
          <w:rFonts w:hint="eastAsia" w:ascii="Times New Roman" w:hAnsi="Times New Roman" w:cs="Times New Roman"/>
          <w:color w:val="auto"/>
          <w:spacing w:val="0"/>
          <w:kern w:val="2"/>
          <w:sz w:val="32"/>
          <w:szCs w:val="32"/>
          <w:lang w:val="en-US" w:eastAsia="zh-CN" w:bidi="ar-SA"/>
        </w:rPr>
        <w:t xml:space="preserve">   </w:t>
      </w:r>
      <w:r>
        <w:rPr>
          <w:rFonts w:hint="eastAsia" w:ascii="方正楷体_GBK" w:hAnsi="方正楷体_GBK" w:eastAsia="方正楷体_GBK" w:cs="方正楷体_GBK"/>
          <w:b/>
          <w:bCs/>
          <w:color w:val="FF0000"/>
          <w:spacing w:val="0"/>
          <w:kern w:val="2"/>
          <w:sz w:val="32"/>
          <w:szCs w:val="32"/>
          <w:lang w:val="en-US" w:eastAsia="zh-CN" w:bidi="ar-SA"/>
        </w:rPr>
        <w:t>（无锡市贸促会）</w:t>
      </w: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泰州市贸促会积极服务</w:t>
      </w: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第32届华交会</w:t>
      </w:r>
    </w:p>
    <w:p>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608" w:firstLineChars="200"/>
        <w:contextualSpacing/>
        <w:jc w:val="left"/>
        <w:textAlignment w:val="auto"/>
        <w:outlineLvl w:val="1"/>
        <w:rPr>
          <w:rFonts w:hint="eastAsia" w:ascii="Times New Roman" w:hAnsi="Times New Roman" w:cs="Times New Roman" w:eastAsiaTheme="minorEastAsia"/>
          <w:color w:val="auto"/>
          <w:spacing w:val="0"/>
          <w:kern w:val="2"/>
          <w:sz w:val="32"/>
          <w:szCs w:val="32"/>
          <w:lang w:val="en-US" w:eastAsia="zh-CN" w:bidi="ar-SA"/>
        </w:rPr>
      </w:pPr>
      <w:r>
        <w:rPr>
          <w:rFonts w:hint="eastAsia" w:ascii="Times New Roman" w:hAnsi="Times New Roman" w:cs="Times New Roman" w:eastAsiaTheme="minorEastAsia"/>
          <w:color w:val="auto"/>
          <w:spacing w:val="0"/>
          <w:kern w:val="2"/>
          <w:sz w:val="32"/>
          <w:szCs w:val="32"/>
          <w:lang w:val="en-US" w:eastAsia="zh-CN" w:bidi="ar-SA"/>
        </w:rPr>
        <w:t>3月</w:t>
      </w:r>
      <w:r>
        <w:rPr>
          <w:rFonts w:hint="default" w:ascii="Times New Roman" w:hAnsi="Times New Roman" w:cs="Times New Roman" w:eastAsiaTheme="minorEastAsia"/>
          <w:color w:val="auto"/>
          <w:spacing w:val="0"/>
          <w:kern w:val="2"/>
          <w:sz w:val="32"/>
          <w:szCs w:val="32"/>
          <w:lang w:val="en-US" w:eastAsia="zh-CN" w:bidi="ar-SA"/>
        </w:rPr>
        <w:t>1</w:t>
      </w:r>
      <w:r>
        <w:rPr>
          <w:rFonts w:hint="eastAsia" w:ascii="Times New Roman" w:hAnsi="Times New Roman" w:cs="Times New Roman" w:eastAsiaTheme="minorEastAsia"/>
          <w:color w:val="auto"/>
          <w:spacing w:val="0"/>
          <w:kern w:val="2"/>
          <w:sz w:val="32"/>
          <w:szCs w:val="32"/>
          <w:lang w:val="en-US" w:eastAsia="zh-CN" w:bidi="ar-SA"/>
        </w:rPr>
        <w:t>日至</w:t>
      </w:r>
      <w:r>
        <w:rPr>
          <w:rFonts w:hint="default" w:ascii="Times New Roman" w:hAnsi="Times New Roman" w:cs="Times New Roman" w:eastAsiaTheme="minorEastAsia"/>
          <w:color w:val="auto"/>
          <w:spacing w:val="0"/>
          <w:kern w:val="2"/>
          <w:sz w:val="32"/>
          <w:szCs w:val="32"/>
          <w:lang w:val="en-US" w:eastAsia="zh-CN" w:bidi="ar-SA"/>
        </w:rPr>
        <w:t>4</w:t>
      </w:r>
      <w:r>
        <w:rPr>
          <w:rFonts w:hint="eastAsia" w:ascii="Times New Roman" w:hAnsi="Times New Roman" w:cs="Times New Roman" w:eastAsiaTheme="minorEastAsia"/>
          <w:color w:val="auto"/>
          <w:spacing w:val="0"/>
          <w:kern w:val="2"/>
          <w:sz w:val="32"/>
          <w:szCs w:val="32"/>
          <w:lang w:val="en-US" w:eastAsia="zh-CN" w:bidi="ar-SA"/>
        </w:rPr>
        <w:t>日，第</w:t>
      </w:r>
      <w:r>
        <w:rPr>
          <w:rFonts w:hint="default" w:ascii="Times New Roman" w:hAnsi="Times New Roman" w:cs="Times New Roman" w:eastAsiaTheme="minorEastAsia"/>
          <w:color w:val="auto"/>
          <w:spacing w:val="0"/>
          <w:kern w:val="2"/>
          <w:sz w:val="32"/>
          <w:szCs w:val="32"/>
          <w:lang w:val="en-US" w:eastAsia="zh-CN" w:bidi="ar-SA"/>
        </w:rPr>
        <w:t>32</w:t>
      </w:r>
      <w:r>
        <w:rPr>
          <w:rFonts w:hint="eastAsia" w:ascii="Times New Roman" w:hAnsi="Times New Roman" w:cs="Times New Roman" w:eastAsiaTheme="minorEastAsia"/>
          <w:color w:val="auto"/>
          <w:spacing w:val="0"/>
          <w:kern w:val="2"/>
          <w:sz w:val="32"/>
          <w:szCs w:val="32"/>
          <w:lang w:val="en-US" w:eastAsia="zh-CN" w:bidi="ar-SA"/>
        </w:rPr>
        <w:t>届华东进出口商品交易会（简称“华交会”）在上海举办。泰州市11家企业参展。泰州市贸促会积极参与华交会组织服务工作</w:t>
      </w:r>
      <w:r>
        <w:rPr>
          <w:rFonts w:hint="eastAsia" w:ascii="Times New Roman" w:hAnsi="Times New Roman" w:cs="Times New Roman"/>
          <w:color w:val="auto"/>
          <w:spacing w:val="0"/>
          <w:kern w:val="2"/>
          <w:sz w:val="32"/>
          <w:szCs w:val="32"/>
          <w:lang w:val="en-US" w:eastAsia="zh-CN" w:bidi="ar-SA"/>
        </w:rPr>
        <w:t>，</w:t>
      </w:r>
      <w:r>
        <w:rPr>
          <w:rFonts w:hint="eastAsia" w:ascii="Times New Roman" w:hAnsi="Times New Roman" w:cs="Times New Roman" w:eastAsiaTheme="minorEastAsia"/>
          <w:color w:val="auto"/>
          <w:spacing w:val="0"/>
          <w:kern w:val="2"/>
          <w:sz w:val="32"/>
          <w:szCs w:val="32"/>
          <w:lang w:val="en-US" w:eastAsia="zh-CN" w:bidi="ar-SA"/>
        </w:rPr>
        <w:t>会长唐驰赴展馆现场了解企业展品、客户询价、订单形势等情况，听取企业诉求，探讨外贸新业态新模式下企业发展新方向。</w:t>
      </w:r>
    </w:p>
    <w:p>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608" w:firstLineChars="200"/>
        <w:contextualSpacing/>
        <w:jc w:val="left"/>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r>
        <w:rPr>
          <w:rFonts w:hint="eastAsia" w:ascii="Times New Roman" w:hAnsi="Times New Roman" w:cs="Times New Roman" w:eastAsiaTheme="minorEastAsia"/>
          <w:color w:val="auto"/>
          <w:spacing w:val="0"/>
          <w:kern w:val="2"/>
          <w:sz w:val="32"/>
          <w:szCs w:val="32"/>
          <w:lang w:val="en-US" w:eastAsia="zh-CN" w:bidi="ar-SA"/>
        </w:rPr>
        <w:t>面对严峻复杂的外贸形势，泰州市贸促会积极帮助外贸企业用好国内国际两个市场两种资源，下一步还将组织企业参加中国跨境电商交易会、广交会、日本大阪展等境内外展会，鼓励企业用足支持政策，用好创新平台，积极开拓国际市场。</w:t>
      </w:r>
      <w:r>
        <w:rPr>
          <w:rFonts w:hint="eastAsia" w:ascii="Times New Roman" w:hAnsi="Times New Roman" w:cs="Times New Roman"/>
          <w:color w:val="auto"/>
          <w:spacing w:val="0"/>
          <w:kern w:val="2"/>
          <w:sz w:val="32"/>
          <w:szCs w:val="32"/>
          <w:lang w:val="en-US" w:eastAsia="zh-CN" w:bidi="ar-SA"/>
        </w:rPr>
        <w:t xml:space="preserve"> </w:t>
      </w:r>
      <w:r>
        <w:rPr>
          <w:rFonts w:hint="eastAsia" w:ascii="方正楷体_GBK" w:hAnsi="方正楷体_GBK" w:eastAsia="方正楷体_GBK" w:cs="方正楷体_GBK"/>
          <w:b/>
          <w:bCs/>
          <w:color w:val="FF0000"/>
          <w:spacing w:val="0"/>
          <w:kern w:val="2"/>
          <w:sz w:val="32"/>
          <w:szCs w:val="32"/>
          <w:lang w:val="en-US" w:eastAsia="zh-CN" w:bidi="ar-SA"/>
        </w:rPr>
        <w:t>（泰州市贸促会）</w:t>
      </w: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贸促服务助企行镇江宣讲会</w:t>
      </w: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顺利举办</w:t>
      </w:r>
    </w:p>
    <w:p>
      <w:pPr>
        <w:keepNext w:val="0"/>
        <w:keepLines w:val="0"/>
        <w:pageBreakBefore w:val="0"/>
        <w:widowControl/>
        <w:shd w:val="clear" w:color="auto" w:fill="FFFFFF"/>
        <w:kinsoku/>
        <w:wordWrap/>
        <w:overflowPunct/>
        <w:topLinePunct w:val="0"/>
        <w:autoSpaceDE/>
        <w:autoSpaceDN/>
        <w:bidi w:val="0"/>
        <w:adjustRightInd/>
        <w:snapToGrid/>
        <w:spacing w:after="210" w:line="530" w:lineRule="exact"/>
        <w:ind w:firstLine="608" w:firstLineChars="200"/>
        <w:contextualSpacing/>
        <w:jc w:val="left"/>
        <w:textAlignment w:val="auto"/>
        <w:outlineLvl w:val="1"/>
        <w:rPr>
          <w:rFonts w:hint="eastAsia" w:ascii="Times New Roman" w:hAnsi="Times New Roman" w:cs="Times New Roman" w:eastAsiaTheme="minorEastAsia"/>
          <w:color w:val="auto"/>
          <w:spacing w:val="0"/>
          <w:kern w:val="2"/>
          <w:sz w:val="32"/>
          <w:szCs w:val="32"/>
          <w:lang w:val="en-US" w:eastAsia="zh-CN" w:bidi="ar-SA"/>
        </w:rPr>
      </w:pPr>
      <w:r>
        <w:rPr>
          <w:rFonts w:hint="eastAsia" w:ascii="Times New Roman" w:hAnsi="Times New Roman" w:cs="Times New Roman" w:eastAsiaTheme="minorEastAsia"/>
          <w:color w:val="auto"/>
          <w:spacing w:val="0"/>
          <w:kern w:val="2"/>
          <w:sz w:val="32"/>
          <w:szCs w:val="32"/>
          <w:lang w:val="en-US" w:eastAsia="zh-CN" w:bidi="ar-SA"/>
        </w:rPr>
        <w:t>近日，省贸促会联合镇江市商务局、市贸促会、国际商会举办贸促服务助企行镇江宣讲会</w:t>
      </w:r>
      <w:r>
        <w:rPr>
          <w:rFonts w:hint="eastAsia" w:ascii="Times New Roman" w:hAnsi="Times New Roman" w:cs="Times New Roman"/>
          <w:color w:val="auto"/>
          <w:spacing w:val="0"/>
          <w:kern w:val="2"/>
          <w:sz w:val="32"/>
          <w:szCs w:val="32"/>
          <w:lang w:val="en-US" w:eastAsia="zh-CN" w:bidi="ar-SA"/>
        </w:rPr>
        <w:t>，约</w:t>
      </w:r>
      <w:r>
        <w:rPr>
          <w:rFonts w:hint="eastAsia" w:ascii="Times New Roman" w:hAnsi="Times New Roman" w:cs="Times New Roman" w:eastAsiaTheme="minorEastAsia"/>
          <w:color w:val="auto"/>
          <w:spacing w:val="0"/>
          <w:kern w:val="2"/>
          <w:sz w:val="32"/>
          <w:szCs w:val="32"/>
          <w:lang w:val="en-US" w:eastAsia="zh-CN" w:bidi="ar-SA"/>
        </w:rPr>
        <w:t>170家镇江企业参加</w:t>
      </w:r>
      <w:r>
        <w:rPr>
          <w:rFonts w:hint="eastAsia" w:ascii="Times New Roman" w:hAnsi="Times New Roman" w:cs="Times New Roman"/>
          <w:color w:val="auto"/>
          <w:spacing w:val="0"/>
          <w:kern w:val="2"/>
          <w:sz w:val="32"/>
          <w:szCs w:val="32"/>
          <w:lang w:val="en-US" w:eastAsia="zh-CN" w:bidi="ar-SA"/>
        </w:rPr>
        <w:t>学习</w:t>
      </w:r>
      <w:r>
        <w:rPr>
          <w:rFonts w:hint="eastAsia" w:ascii="Times New Roman" w:hAnsi="Times New Roman" w:cs="Times New Roman" w:eastAsiaTheme="minorEastAsia"/>
          <w:color w:val="auto"/>
          <w:spacing w:val="0"/>
          <w:kern w:val="2"/>
          <w:sz w:val="32"/>
          <w:szCs w:val="32"/>
          <w:lang w:val="en-US" w:eastAsia="zh-CN" w:bidi="ar-SA"/>
        </w:rPr>
        <w:t>。</w:t>
      </w:r>
    </w:p>
    <w:p>
      <w:pPr>
        <w:keepNext w:val="0"/>
        <w:keepLines w:val="0"/>
        <w:pageBreakBefore w:val="0"/>
        <w:widowControl/>
        <w:shd w:val="clear" w:color="auto" w:fill="FFFFFF"/>
        <w:kinsoku/>
        <w:wordWrap/>
        <w:overflowPunct/>
        <w:topLinePunct w:val="0"/>
        <w:autoSpaceDE/>
        <w:autoSpaceDN/>
        <w:bidi w:val="0"/>
        <w:adjustRightInd/>
        <w:snapToGrid/>
        <w:spacing w:after="210" w:line="530" w:lineRule="exact"/>
        <w:ind w:firstLine="608" w:firstLineChars="200"/>
        <w:contextualSpacing/>
        <w:jc w:val="left"/>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r>
        <w:rPr>
          <w:rFonts w:hint="eastAsia" w:ascii="Times New Roman" w:hAnsi="Times New Roman" w:cs="Times New Roman" w:eastAsiaTheme="minorEastAsia"/>
          <w:color w:val="auto"/>
          <w:spacing w:val="0"/>
          <w:kern w:val="2"/>
          <w:sz w:val="32"/>
          <w:szCs w:val="32"/>
          <w:lang w:val="en-US" w:eastAsia="zh-CN" w:bidi="ar-SA"/>
        </w:rPr>
        <w:t>会上，省贸促会为企业深入分析当前形势下全球供应链和产业集聚形势，在拓展国际市场、防范和化解国际贸易风险等方面给予企业指导和建议；镇江市商务局、苏州银行等单位分别为企业带来了外贸扶持、国际业务汇率风险管控等方面的最新政策和要点解读。</w:t>
      </w:r>
      <w:r>
        <w:rPr>
          <w:rFonts w:hint="eastAsia" w:ascii="Times New Roman" w:hAnsi="Times New Roman" w:cs="Times New Roman"/>
          <w:color w:val="auto"/>
          <w:spacing w:val="0"/>
          <w:kern w:val="2"/>
          <w:sz w:val="32"/>
          <w:szCs w:val="32"/>
          <w:lang w:val="en-US" w:eastAsia="zh-CN" w:bidi="ar-SA"/>
        </w:rPr>
        <w:t xml:space="preserve">                                  </w:t>
      </w:r>
      <w:r>
        <w:rPr>
          <w:rFonts w:hint="eastAsia" w:ascii="方正楷体_GBK" w:hAnsi="方正楷体_GBK" w:eastAsia="方正楷体_GBK" w:cs="方正楷体_GBK"/>
          <w:b/>
          <w:bCs/>
          <w:color w:val="FF0000"/>
          <w:spacing w:val="0"/>
          <w:kern w:val="2"/>
          <w:sz w:val="32"/>
          <w:szCs w:val="32"/>
          <w:lang w:val="en-US" w:eastAsia="zh-CN" w:bidi="ar-SA"/>
        </w:rPr>
        <w:t>（镇江市贸促会）</w:t>
      </w:r>
    </w:p>
    <w:p>
      <w:pPr>
        <w:rPr>
          <w:rFonts w:hint="default" w:ascii="方正楷体_GBK" w:hAnsi="方正楷体_GBK" w:eastAsia="方正楷体_GBK" w:cs="方正楷体_GBK"/>
          <w:b/>
          <w:bCs/>
          <w:color w:val="FF0000"/>
          <w:spacing w:val="0"/>
          <w:kern w:val="2"/>
          <w:sz w:val="32"/>
          <w:szCs w:val="32"/>
          <w:lang w:val="en-US" w:eastAsia="zh-CN" w:bidi="ar-SA"/>
        </w:rPr>
      </w:pPr>
      <w:r>
        <w:rPr>
          <w:rFonts w:hint="default" w:ascii="方正楷体_GBK" w:hAnsi="方正楷体_GBK" w:eastAsia="方正楷体_GBK" w:cs="方正楷体_GBK"/>
          <w:b/>
          <w:bCs/>
          <w:color w:val="FF0000"/>
          <w:spacing w:val="0"/>
          <w:kern w:val="2"/>
          <w:sz w:val="32"/>
          <w:szCs w:val="32"/>
          <w:lang w:val="en-US" w:eastAsia="zh-CN" w:bidi="ar-SA"/>
        </w:rPr>
        <w:br w:type="page"/>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经典行楷简" w:cs="Times New Roman"/>
          <w:b/>
          <w:color w:val="2E75B6" w:themeColor="accent1" w:themeShade="BF"/>
          <w:kern w:val="36"/>
          <w:sz w:val="96"/>
          <w:szCs w:val="96"/>
          <w:u w:val="none" w:color="BB120F"/>
          <w:lang w:val="en-US" w:eastAsia="zh-CN"/>
        </w:rPr>
      </w:pPr>
      <w:r>
        <w:rPr>
          <w:rFonts w:hint="default" w:ascii="Times New Roman" w:hAnsi="Times New Roman" w:eastAsia="经典行楷简" w:cs="Times New Roman"/>
          <w:b/>
          <w:color w:val="2E75B6" w:themeColor="accent1" w:themeShade="BF"/>
          <w:kern w:val="36"/>
          <w:sz w:val="96"/>
          <w:szCs w:val="96"/>
          <w:u w:val="none" w:color="BB120F"/>
          <w:lang w:val="en-US" w:eastAsia="zh-CN"/>
        </w:rPr>
        <w:t>会员企业风采</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700" w:lineRule="exact"/>
        <w:contextualSpacing/>
        <w:jc w:val="center"/>
        <w:textAlignment w:val="auto"/>
        <w:outlineLvl w:val="1"/>
        <w:rPr>
          <w:rFonts w:hint="eastAsia" w:ascii="Times New Roman" w:hAnsi="Times New Roman" w:eastAsia="华文新魏" w:cs="Times New Roman"/>
          <w:b/>
          <w:color w:val="FF0000"/>
          <w:spacing w:val="28"/>
          <w:kern w:val="36"/>
          <w:sz w:val="52"/>
          <w:szCs w:val="52"/>
          <w:lang w:val="en-US" w:eastAsia="zh-CN"/>
        </w:rPr>
      </w:pPr>
      <w:r>
        <w:rPr>
          <w:rFonts w:hint="eastAsia" w:ascii="Times New Roman" w:hAnsi="Times New Roman" w:eastAsia="华文新魏" w:cs="Times New Roman"/>
          <w:b/>
          <w:color w:val="FF0000"/>
          <w:spacing w:val="28"/>
          <w:kern w:val="36"/>
          <w:sz w:val="52"/>
          <w:szCs w:val="52"/>
          <w:lang w:val="en-US" w:eastAsia="zh-CN"/>
        </w:rPr>
        <w:t>跨境电商新动能蓄势聚力——苏豪控股集团亮相外贸“新春第一展”</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exact"/>
        <w:ind w:firstLine="608" w:firstLineChars="200"/>
        <w:contextualSpacing/>
        <w:jc w:val="left"/>
        <w:textAlignment w:val="auto"/>
        <w:outlineLvl w:val="1"/>
        <w:rPr>
          <w:rFonts w:hint="default" w:ascii="Times New Roman" w:hAnsi="Times New Roman" w:cs="Times New Roman" w:eastAsia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imes New Roman" w:hAnsi="Times New Roman" w:eastAsiaTheme="minorEastAsia" w:cstheme="minorEastAsia"/>
          <w:i w:val="0"/>
          <w:caps w:val="0"/>
          <w:color w:val="000000"/>
          <w:spacing w:val="0"/>
          <w:sz w:val="32"/>
          <w:szCs w:val="32"/>
          <w:lang w:val="en-US" w:eastAsia="zh-CN"/>
        </w:rPr>
      </w:pPr>
      <w:r>
        <w:rPr>
          <w:rFonts w:hint="eastAsia" w:ascii="Times New Roman" w:hAnsi="Times New Roman" w:eastAsiaTheme="minorEastAsia" w:cstheme="minorEastAsia"/>
          <w:i w:val="0"/>
          <w:caps w:val="0"/>
          <w:color w:val="000000"/>
          <w:spacing w:val="0"/>
          <w:sz w:val="32"/>
          <w:szCs w:val="32"/>
          <w:lang w:val="en-US" w:eastAsia="zh-CN"/>
        </w:rPr>
        <w:t>近日，第32届华东进出口商品交易会开幕。我会副会长单位——江苏省苏豪控股集团有限公司携旗下相关企业统一布展、全新亮相，控股集团副总裁丁海带队组团参展。</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imes New Roman" w:hAnsi="Times New Roman" w:eastAsiaTheme="minorEastAsia" w:cstheme="minorEastAsia"/>
          <w:i w:val="0"/>
          <w:caps w:val="0"/>
          <w:color w:val="000000"/>
          <w:spacing w:val="0"/>
          <w:sz w:val="32"/>
          <w:szCs w:val="32"/>
          <w:lang w:val="en-US" w:eastAsia="zh-CN"/>
        </w:rPr>
      </w:pPr>
      <w:r>
        <w:rPr>
          <w:rFonts w:hint="eastAsia" w:ascii="Times New Roman" w:hAnsi="Times New Roman" w:eastAsiaTheme="minorEastAsia" w:cstheme="minorEastAsia"/>
          <w:i w:val="0"/>
          <w:caps w:val="0"/>
          <w:color w:val="000000"/>
          <w:spacing w:val="0"/>
          <w:sz w:val="32"/>
          <w:szCs w:val="32"/>
          <w:lang w:val="en-US" w:eastAsia="zh-CN"/>
        </w:rPr>
        <w:t>华交会由商务部支持，上海、江苏、浙江等9省市联合主办，是中国目前规模最大、客商最多、成交额最高、辐射面最广的区域性国际经贸盛会。本次华交会控股集团共有展位56个，涉及跨境电商、时尚成衣、家用纺织品、日用消费品、家电电子、家居装饰品及礼品等展区，其中特装展位38个、标准展位18个。</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imes New Roman" w:hAnsi="Times New Roman" w:eastAsiaTheme="minorEastAsia" w:cstheme="minorEastAsia"/>
          <w:i w:val="0"/>
          <w:caps w:val="0"/>
          <w:color w:val="000000"/>
          <w:spacing w:val="0"/>
          <w:sz w:val="32"/>
          <w:szCs w:val="32"/>
          <w:lang w:val="en-US" w:eastAsia="zh-CN"/>
        </w:rPr>
      </w:pPr>
      <w:r>
        <w:rPr>
          <w:rFonts w:hint="eastAsia" w:ascii="Times New Roman" w:hAnsi="Times New Roman" w:eastAsiaTheme="minorEastAsia" w:cstheme="minorEastAsia"/>
          <w:i w:val="0"/>
          <w:caps w:val="0"/>
          <w:color w:val="000000"/>
          <w:spacing w:val="0"/>
          <w:sz w:val="32"/>
          <w:szCs w:val="32"/>
          <w:lang w:val="en-US" w:eastAsia="zh-CN"/>
        </w:rPr>
        <w:t>跨境电商是本届华交会的一大亮点及重要组成部分。集团所属实体跨境电商公司苏豪云商通过制定详细拓客计划，现场开展自主研发的“弘途跨综”线上平台首次公开推广活动，参展首日成功邀请到32户企业入驻，并与非洲最大的在线平台JUMIA公司签署战略合作协议，将加强彼此资源对接、产业协同，深入挖掘非洲地区市场发展机遇，助力高质量共建“一带一路”。</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default" w:ascii="Times New Roman" w:hAnsi="Times New Roman" w:eastAsia="华文新魏" w:cs="Times New Roman"/>
          <w:b/>
          <w:color w:val="FF0000"/>
          <w:spacing w:val="0"/>
          <w:kern w:val="36"/>
          <w:sz w:val="52"/>
          <w:szCs w:val="52"/>
          <w:lang w:val="en-US" w:eastAsia="zh-CN"/>
        </w:rPr>
      </w:pPr>
      <w:r>
        <w:rPr>
          <w:rFonts w:hint="eastAsia" w:ascii="Times New Roman" w:hAnsi="Times New Roman" w:eastAsiaTheme="minorEastAsia" w:cstheme="minorEastAsia"/>
          <w:i w:val="0"/>
          <w:caps w:val="0"/>
          <w:color w:val="000000"/>
          <w:spacing w:val="0"/>
          <w:sz w:val="32"/>
          <w:szCs w:val="32"/>
          <w:lang w:val="en-US" w:eastAsia="zh-CN"/>
        </w:rPr>
        <w:t>苏纺集团积极创新展陈形式，采取视频滚动播放、商品实物品鉴、展板图文结合等多种方式，吸引诸多客户驻足，开展首日接洽意向客户近30家。系统化展示的1210跨境进口全链路解决方案、苏豪通9710跨境出口批发解决方案，赢得了采购商广泛青睐，传递出较强合作意愿，公司后续还将现场举办专题推介会，以路演形式进一步扩大宣传推广力度。</w:t>
      </w:r>
      <w:r>
        <w:rPr>
          <w:rFonts w:hint="eastAsia" w:ascii="Times New Roman" w:hAnsi="Times New Roman" w:cstheme="minorEastAsia"/>
          <w:i w:val="0"/>
          <w:caps w:val="0"/>
          <w:color w:val="000000"/>
          <w:spacing w:val="0"/>
          <w:sz w:val="32"/>
          <w:szCs w:val="32"/>
          <w:lang w:val="en-US" w:eastAsia="zh-CN"/>
        </w:rPr>
        <w:t xml:space="preserve">  </w:t>
      </w:r>
      <w:r>
        <w:rPr>
          <w:rFonts w:hint="default" w:ascii="方正楷体_GBK" w:hAnsi="方正楷体_GBK" w:eastAsia="方正楷体_GBK" w:cs="方正楷体_GBK"/>
          <w:b/>
          <w:bCs/>
          <w:color w:val="FF0000"/>
          <w:sz w:val="32"/>
          <w:szCs w:val="32"/>
          <w:lang w:val="en-US" w:eastAsia="zh-CN"/>
        </w:rPr>
        <w:t>（来源：</w:t>
      </w:r>
      <w:r>
        <w:rPr>
          <w:rFonts w:hint="eastAsia" w:ascii="方正楷体_GBK" w:hAnsi="方正楷体_GBK" w:eastAsia="方正楷体_GBK" w:cs="方正楷体_GBK"/>
          <w:b/>
          <w:bCs/>
          <w:color w:val="FF0000"/>
          <w:sz w:val="32"/>
          <w:szCs w:val="32"/>
          <w:lang w:val="en-US" w:eastAsia="zh-CN"/>
        </w:rPr>
        <w:t>苏豪控股集团官网</w:t>
      </w:r>
      <w:r>
        <w:rPr>
          <w:rFonts w:hint="default" w:ascii="方正楷体_GBK" w:hAnsi="方正楷体_GBK" w:eastAsia="方正楷体_GBK" w:cs="方正楷体_GBK"/>
          <w:b/>
          <w:bCs/>
          <w:color w:val="FF0000"/>
          <w:sz w:val="32"/>
          <w:szCs w:val="32"/>
          <w:lang w:val="en-US" w:eastAsia="zh-CN"/>
        </w:rPr>
        <w:t xml:space="preserve">） </w:t>
      </w:r>
      <w:r>
        <w:rPr>
          <w:rFonts w:hint="default" w:ascii="Times New Roman" w:hAnsi="Times New Roman" w:cs="Times New Roman"/>
          <w:sz w:val="32"/>
          <w:szCs w:val="32"/>
          <w:lang w:val="en-US" w:eastAsia="zh-CN"/>
        </w:rPr>
        <w:t xml:space="preserve">        </w:t>
      </w:r>
    </w:p>
    <w:p>
      <w:pPr>
        <w:keepNext w:val="0"/>
        <w:keepLines w:val="0"/>
        <w:pageBreakBefore w:val="0"/>
        <w:widowControl/>
        <w:shd w:val="clear" w:color="auto" w:fill="FFFFFF"/>
        <w:kinsoku/>
        <w:wordWrap/>
        <w:overflowPunct/>
        <w:topLinePunct w:val="0"/>
        <w:autoSpaceDE/>
        <w:autoSpaceDN/>
        <w:bidi w:val="0"/>
        <w:adjustRightInd/>
        <w:snapToGrid/>
        <w:spacing w:after="210" w:line="640" w:lineRule="exact"/>
        <w:contextualSpacing/>
        <w:jc w:val="center"/>
        <w:textAlignment w:val="auto"/>
        <w:outlineLvl w:val="1"/>
        <w:rPr>
          <w:rFonts w:hint="eastAsia" w:ascii="Times New Roman" w:hAnsi="Times New Roman" w:eastAsia="华文新魏" w:cs="Times New Roman"/>
          <w:b/>
          <w:color w:val="FF0000"/>
          <w:spacing w:val="0"/>
          <w:kern w:val="36"/>
          <w:sz w:val="52"/>
          <w:szCs w:val="52"/>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line="240" w:lineRule="auto"/>
        <w:contextualSpacing/>
        <w:jc w:val="center"/>
        <w:textAlignment w:val="auto"/>
        <w:outlineLvl w:val="1"/>
        <w:rPr>
          <w:rFonts w:hint="eastAsia" w:ascii="Times New Roman" w:hAnsi="Times New Roman" w:eastAsia="华文新魏" w:cs="Times New Roman"/>
          <w:b/>
          <w:color w:val="FF0000"/>
          <w:spacing w:val="0"/>
          <w:kern w:val="36"/>
          <w:sz w:val="52"/>
          <w:szCs w:val="52"/>
          <w:lang w:val="en-US" w:eastAsia="zh-CN"/>
        </w:rPr>
      </w:pPr>
      <w:r>
        <w:rPr>
          <w:rFonts w:hint="eastAsia" w:ascii="Times New Roman" w:hAnsi="Times New Roman" w:eastAsia="华文新魏" w:cs="Times New Roman"/>
          <w:b/>
          <w:color w:val="FF0000"/>
          <w:spacing w:val="0"/>
          <w:kern w:val="36"/>
          <w:sz w:val="52"/>
          <w:szCs w:val="52"/>
          <w:lang w:val="en-US" w:eastAsia="zh-CN"/>
        </w:rPr>
        <w:t>焦点科技受邀出席全国外贸工作会议</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imes New Roman" w:hAnsi="Times New Roman" w:eastAsiaTheme="minorEastAsia" w:cstheme="minorEastAsia"/>
          <w:i w:val="0"/>
          <w:caps w:val="0"/>
          <w:color w:val="000000"/>
          <w:spacing w:val="0"/>
          <w:sz w:val="32"/>
          <w:szCs w:val="32"/>
          <w:lang w:val="en-US" w:eastAsia="zh-CN"/>
        </w:rPr>
      </w:pPr>
      <w:r>
        <w:rPr>
          <w:rFonts w:hint="eastAsia" w:ascii="Times New Roman" w:hAnsi="Times New Roman" w:eastAsiaTheme="minorEastAsia" w:cstheme="minorEastAsia"/>
          <w:i w:val="0"/>
          <w:caps w:val="0"/>
          <w:color w:val="000000"/>
          <w:spacing w:val="0"/>
          <w:sz w:val="32"/>
          <w:szCs w:val="32"/>
          <w:lang w:val="en-US" w:eastAsia="zh-CN"/>
        </w:rPr>
        <w:t>近日，2024年全国外贸工作会议在京召开。我会副会长单位——焦点科技股份有限公司副总裁曹睿作为受邀企业代表出席会议，并在会上介绍了中国制造网（以下简称“MIC国际站”）中间品贸易促进计划。</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imes New Roman" w:hAnsi="Times New Roman" w:eastAsiaTheme="minorEastAsia" w:cstheme="minorEastAsia"/>
          <w:i w:val="0"/>
          <w:caps w:val="0"/>
          <w:color w:val="000000"/>
          <w:spacing w:val="0"/>
          <w:sz w:val="32"/>
          <w:szCs w:val="32"/>
          <w:lang w:val="en-US" w:eastAsia="zh-CN"/>
        </w:rPr>
      </w:pPr>
      <w:r>
        <w:rPr>
          <w:rFonts w:hint="eastAsia" w:ascii="Times New Roman" w:hAnsi="Times New Roman" w:eastAsiaTheme="minorEastAsia" w:cstheme="minorEastAsia"/>
          <w:i w:val="0"/>
          <w:caps w:val="0"/>
          <w:color w:val="000000"/>
          <w:spacing w:val="0"/>
          <w:sz w:val="32"/>
          <w:szCs w:val="32"/>
          <w:lang w:val="en-US" w:eastAsia="zh-CN"/>
        </w:rPr>
        <w:t>二十余年来，MIC国际站始终围绕外贸企业在贸易流程中的痛点，持续通过数智化产品及服务帮助外贸企业获客，促进订单转化。</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imes New Roman" w:hAnsi="Times New Roman" w:eastAsiaTheme="minorEastAsia" w:cstheme="minorEastAsia"/>
          <w:i w:val="0"/>
          <w:caps w:val="0"/>
          <w:color w:val="000000"/>
          <w:spacing w:val="0"/>
          <w:sz w:val="32"/>
          <w:szCs w:val="32"/>
          <w:lang w:val="en-US" w:eastAsia="zh-CN"/>
        </w:rPr>
      </w:pPr>
      <w:r>
        <w:rPr>
          <w:rFonts w:hint="eastAsia" w:ascii="Times New Roman" w:hAnsi="Times New Roman" w:eastAsiaTheme="minorEastAsia" w:cstheme="minorEastAsia"/>
          <w:i w:val="0"/>
          <w:caps w:val="0"/>
          <w:color w:val="000000"/>
          <w:spacing w:val="0"/>
          <w:sz w:val="32"/>
          <w:szCs w:val="32"/>
          <w:lang w:val="en-US" w:eastAsia="zh-CN"/>
        </w:rPr>
        <w:t>在供应链全球化的趋势下，MIC国际站发起供“链”全球——中间品全球推广计划，平台设立专项推广基金，针对中间品贸易相关行业品类，通过链接流量、链接市场、链接商机，帮助我国外贸企业开拓中间品国际市场，培育中国外贸新动能。</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imes New Roman" w:hAnsi="Times New Roman" w:eastAsiaTheme="minorEastAsia" w:cstheme="minorEastAsia"/>
          <w:i w:val="0"/>
          <w:caps w:val="0"/>
          <w:color w:val="000000"/>
          <w:spacing w:val="0"/>
          <w:sz w:val="32"/>
          <w:szCs w:val="32"/>
          <w:lang w:val="en-US" w:eastAsia="zh-CN"/>
        </w:rPr>
      </w:pPr>
      <w:r>
        <w:rPr>
          <w:rFonts w:hint="eastAsia" w:ascii="Times New Roman" w:hAnsi="Times New Roman" w:eastAsiaTheme="minorEastAsia" w:cstheme="minorEastAsia"/>
          <w:i w:val="0"/>
          <w:caps w:val="0"/>
          <w:color w:val="000000"/>
          <w:spacing w:val="0"/>
          <w:sz w:val="32"/>
          <w:szCs w:val="32"/>
          <w:lang w:val="en-US" w:eastAsia="zh-CN"/>
        </w:rPr>
        <w:t>据悉，中间品全球推广计划海外推广首站已成功落地美国拉斯维加斯建材展览会（IBS），未来，MIC国际站将通过多种形式的采洽活动、培训巡讲及技术支持，持续推进中间品贸易的蓬勃发展。</w:t>
      </w:r>
    </w:p>
    <w:p>
      <w:pPr>
        <w:keepNext w:val="0"/>
        <w:keepLines w:val="0"/>
        <w:pageBreakBefore w:val="0"/>
        <w:widowControl/>
        <w:shd w:val="clear" w:color="auto" w:fill="FFFFFF"/>
        <w:kinsoku/>
        <w:wordWrap/>
        <w:overflowPunct/>
        <w:topLinePunct w:val="0"/>
        <w:autoSpaceDE/>
        <w:autoSpaceDN/>
        <w:bidi w:val="0"/>
        <w:adjustRightInd/>
        <w:snapToGrid/>
        <w:spacing w:after="210" w:line="580" w:lineRule="exact"/>
        <w:ind w:firstLine="5168" w:firstLineChars="1700"/>
        <w:contextualSpacing/>
        <w:jc w:val="left"/>
        <w:textAlignment w:val="auto"/>
        <w:outlineLvl w:val="1"/>
        <w:rPr>
          <w:rFonts w:hint="eastAsia" w:ascii="方正楷体_GBK" w:hAnsi="方正楷体_GBK" w:eastAsia="方正楷体_GBK" w:cs="方正楷体_GBK"/>
          <w:b/>
          <w:bCs/>
          <w:color w:val="FF0000"/>
          <w:sz w:val="32"/>
          <w:szCs w:val="32"/>
          <w:lang w:val="en-US" w:eastAsia="zh-CN"/>
        </w:rPr>
      </w:pPr>
      <w:r>
        <w:rPr>
          <w:rFonts w:hint="default" w:ascii="方正楷体_GBK" w:hAnsi="方正楷体_GBK" w:eastAsia="方正楷体_GBK" w:cs="方正楷体_GBK"/>
          <w:b/>
          <w:bCs/>
          <w:color w:val="FF0000"/>
          <w:sz w:val="32"/>
          <w:szCs w:val="32"/>
          <w:lang w:val="en-US" w:eastAsia="zh-CN"/>
        </w:rPr>
        <w:t>（来源：</w:t>
      </w:r>
      <w:r>
        <w:rPr>
          <w:rFonts w:hint="eastAsia" w:ascii="方正楷体_GBK" w:hAnsi="方正楷体_GBK" w:eastAsia="方正楷体_GBK" w:cs="方正楷体_GBK"/>
          <w:b/>
          <w:bCs/>
          <w:color w:val="FF0000"/>
          <w:sz w:val="32"/>
          <w:szCs w:val="32"/>
          <w:lang w:val="en-US" w:eastAsia="zh-CN"/>
        </w:rPr>
        <w:t>焦点科技</w:t>
      </w:r>
      <w:r>
        <w:rPr>
          <w:rFonts w:hint="default" w:ascii="方正楷体_GBK" w:hAnsi="方正楷体_GBK" w:eastAsia="方正楷体_GBK" w:cs="方正楷体_GBK"/>
          <w:b/>
          <w:bCs/>
          <w:color w:val="FF0000"/>
          <w:sz w:val="32"/>
          <w:szCs w:val="32"/>
          <w:lang w:val="en-US" w:eastAsia="zh-CN"/>
        </w:rPr>
        <w:t>官网）</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exact"/>
        <w:contextualSpacing/>
        <w:jc w:val="center"/>
        <w:textAlignment w:val="auto"/>
        <w:outlineLvl w:val="1"/>
        <w:rPr>
          <w:rFonts w:hint="default" w:ascii="Times New Roman" w:hAnsi="Times New Roman" w:eastAsia="华文新魏" w:cs="Times New Roman"/>
          <w:b/>
          <w:color w:val="FF0000"/>
          <w:spacing w:val="0"/>
          <w:kern w:val="36"/>
          <w:sz w:val="52"/>
          <w:szCs w:val="52"/>
          <w:lang w:val="en-US" w:eastAsia="zh-CN"/>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contextualSpacing/>
        <w:jc w:val="center"/>
        <w:textAlignment w:val="auto"/>
        <w:outlineLvl w:val="1"/>
        <w:rPr>
          <w:rFonts w:hint="eastAsia" w:ascii="Times New Roman" w:hAnsi="Times New Roman" w:eastAsia="华文新魏" w:cs="Times New Roman"/>
          <w:b/>
          <w:color w:val="FF0000"/>
          <w:spacing w:val="0"/>
          <w:kern w:val="36"/>
          <w:sz w:val="52"/>
          <w:szCs w:val="52"/>
          <w:lang w:val="en-US" w:eastAsia="zh-CN"/>
        </w:rPr>
      </w:pPr>
      <w:r>
        <w:rPr>
          <w:rFonts w:hint="eastAsia" w:ascii="Times New Roman" w:hAnsi="Times New Roman" w:eastAsia="华文新魏" w:cs="Times New Roman"/>
          <w:b/>
          <w:color w:val="FF0000"/>
          <w:spacing w:val="0"/>
          <w:kern w:val="36"/>
          <w:sz w:val="52"/>
          <w:szCs w:val="52"/>
          <w:lang w:val="en-US" w:eastAsia="zh-CN"/>
        </w:rPr>
        <w:t>上能电气入选2024年Q1彭博全球一级光伏逆变器制造商榜单</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imes New Roman" w:hAnsi="Times New Roman" w:eastAsiaTheme="minorEastAsia" w:cstheme="minorEastAsia"/>
          <w:i w:val="0"/>
          <w:caps w:val="0"/>
          <w:color w:val="000000"/>
          <w:spacing w:val="0"/>
          <w:sz w:val="32"/>
          <w:szCs w:val="32"/>
          <w:lang w:val="en-US" w:eastAsia="zh-CN"/>
        </w:rPr>
      </w:pPr>
      <w:r>
        <w:rPr>
          <w:rFonts w:hint="eastAsia" w:ascii="Times New Roman" w:hAnsi="Times New Roman" w:eastAsiaTheme="minorEastAsia" w:cstheme="minorEastAsia"/>
          <w:i w:val="0"/>
          <w:caps w:val="0"/>
          <w:color w:val="000000"/>
          <w:spacing w:val="0"/>
          <w:sz w:val="32"/>
          <w:szCs w:val="32"/>
          <w:lang w:val="en-US" w:eastAsia="zh-CN"/>
        </w:rPr>
        <w:t>近日，全球知名研究机构彭博新能源财经（BloombergNEF)公布了2024年第一季度全球光伏逆变器制造商榜单，仅有六家企业成功入选第一梯队(Tier 1)，我会副会长单位——上能电气股份有限公司位列其中，获得实力认可。</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imes New Roman" w:hAnsi="Times New Roman" w:eastAsiaTheme="minorEastAsia" w:cstheme="minorEastAsia"/>
          <w:i w:val="0"/>
          <w:caps w:val="0"/>
          <w:color w:val="000000"/>
          <w:spacing w:val="0"/>
          <w:sz w:val="32"/>
          <w:szCs w:val="32"/>
          <w:lang w:val="en-US" w:eastAsia="zh-CN"/>
        </w:rPr>
      </w:pPr>
      <w:r>
        <w:rPr>
          <w:rFonts w:hint="eastAsia" w:ascii="Times New Roman" w:hAnsi="Times New Roman" w:eastAsiaTheme="minorEastAsia" w:cstheme="minorEastAsia"/>
          <w:i w:val="0"/>
          <w:caps w:val="0"/>
          <w:color w:val="000000"/>
          <w:spacing w:val="0"/>
          <w:sz w:val="32"/>
          <w:szCs w:val="32"/>
          <w:lang w:val="en-US" w:eastAsia="zh-CN"/>
        </w:rPr>
        <w:t>彭博新能源财经以“银行可融资性”（即采用了该品牌光伏逆变器产品的项目能否得到银行无追索权的债务融资）为关键分级条件，自主开发建立了一套针对全球市场的光伏逆变器供应商评级系统，旨在使全球范围内光伏逆变器品牌的差异趋于透明化。</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imes New Roman" w:hAnsi="Times New Roman" w:eastAsiaTheme="minorEastAsia" w:cstheme="minorEastAsia"/>
          <w:i w:val="0"/>
          <w:caps w:val="0"/>
          <w:color w:val="000000"/>
          <w:spacing w:val="0"/>
          <w:sz w:val="32"/>
          <w:szCs w:val="32"/>
          <w:lang w:val="en-US" w:eastAsia="zh-CN"/>
        </w:rPr>
      </w:pPr>
      <w:r>
        <w:rPr>
          <w:rFonts w:hint="eastAsia" w:ascii="Times New Roman" w:hAnsi="Times New Roman" w:eastAsiaTheme="minorEastAsia" w:cstheme="minorEastAsia"/>
          <w:i w:val="0"/>
          <w:caps w:val="0"/>
          <w:color w:val="000000"/>
          <w:spacing w:val="0"/>
          <w:sz w:val="32"/>
          <w:szCs w:val="32"/>
          <w:lang w:val="en-US" w:eastAsia="zh-CN"/>
        </w:rPr>
        <w:t>值得一提的是，本次彭博新能源财经进一步提高了审核要求，加大评选难度：入围第一梯队（Tier 1）的光伏逆变器制造商需在过去两年中对全球至少四个5MW以上的项目提供过自主品牌、自行生产的逆变器产品，且这些项目需获得至少两家不同商业银行的无追索权融资。</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imes New Roman" w:hAnsi="Times New Roman" w:eastAsiaTheme="minorEastAsia" w:cstheme="minorEastAsia"/>
          <w:i w:val="0"/>
          <w:caps w:val="0"/>
          <w:color w:val="000000"/>
          <w:spacing w:val="0"/>
          <w:sz w:val="32"/>
          <w:szCs w:val="32"/>
          <w:lang w:val="en-US" w:eastAsia="zh-CN"/>
        </w:rPr>
      </w:pPr>
      <w:r>
        <w:rPr>
          <w:rFonts w:hint="eastAsia" w:ascii="Times New Roman" w:hAnsi="Times New Roman" w:eastAsiaTheme="minorEastAsia" w:cstheme="minorEastAsia"/>
          <w:i w:val="0"/>
          <w:caps w:val="0"/>
          <w:color w:val="000000"/>
          <w:spacing w:val="0"/>
          <w:sz w:val="32"/>
          <w:szCs w:val="32"/>
          <w:lang w:val="en-US" w:eastAsia="zh-CN"/>
        </w:rPr>
        <w:t>由于Tier 1供应商评选资格严苛，目前已成为全球最具知名度和可靠性的行业评级体系之一，被认为是业内公平客观且极具可信度的权威参考标准之一，广受国际金融机构及新能源投资商的认可。</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default" w:ascii="Times New Roman" w:hAnsi="Times New Roman" w:eastAsia="经典行楷简" w:cs="Times New Roman"/>
          <w:color w:val="2E75B6" w:themeColor="accent1" w:themeShade="BF"/>
          <w:spacing w:val="0"/>
          <w:sz w:val="52"/>
          <w:szCs w:val="52"/>
          <w:lang w:val="en-US" w:eastAsia="zh-CN"/>
        </w:rPr>
      </w:pPr>
      <w:r>
        <w:rPr>
          <w:rFonts w:hint="eastAsia" w:ascii="Times New Roman" w:hAnsi="Times New Roman" w:eastAsiaTheme="minorEastAsia" w:cstheme="minorEastAsia"/>
          <w:i w:val="0"/>
          <w:caps w:val="0"/>
          <w:color w:val="000000"/>
          <w:spacing w:val="0"/>
          <w:sz w:val="32"/>
          <w:szCs w:val="32"/>
          <w:lang w:val="en-US" w:eastAsia="zh-CN"/>
        </w:rPr>
        <w:t>本次荣登Tier 1全球一级光伏逆变器制造商榜单，不仅是对上能电气技术创新实力、产品品质、可融资能力及全球品牌竞争力的肯定，也为行业未来的创新与发展树立了新的标杆。未来，上能电气将继续致力于新能源技术的研发与创新，努力为全球客户提供更加智能、高效、可靠的智慧光储解决方案，加速全球新能源发展，为实现碳中和目标奉献更多的力量。</w:t>
      </w:r>
      <w:r>
        <w:rPr>
          <w:rFonts w:hint="eastAsia" w:ascii="Times New Roman" w:hAnsi="Times New Roman" w:eastAsiaTheme="minorEastAsia" w:cstheme="minorEastAsia"/>
          <w:sz w:val="32"/>
          <w:szCs w:val="32"/>
          <w:lang w:val="en-US" w:eastAsia="zh-CN"/>
        </w:rPr>
        <w:t xml:space="preserve">     </w:t>
      </w:r>
      <w:r>
        <w:rPr>
          <w:rFonts w:hint="default" w:ascii="Times New Roman" w:hAnsi="Times New Roman" w:cs="Times New Roman"/>
          <w:sz w:val="32"/>
          <w:szCs w:val="32"/>
          <w:lang w:val="en-US" w:eastAsia="zh-CN"/>
        </w:rPr>
        <w:t xml:space="preserve"> </w:t>
      </w:r>
      <w:r>
        <w:rPr>
          <w:rFonts w:hint="default" w:ascii="方正楷体_GBK" w:hAnsi="方正楷体_GBK" w:eastAsia="方正楷体_GBK" w:cs="方正楷体_GBK"/>
          <w:b/>
          <w:bCs/>
          <w:color w:val="FF0000"/>
          <w:sz w:val="32"/>
          <w:szCs w:val="32"/>
          <w:lang w:val="en-US" w:eastAsia="zh-CN"/>
        </w:rPr>
        <w:t>（来源：</w:t>
      </w:r>
      <w:r>
        <w:rPr>
          <w:rFonts w:hint="eastAsia" w:ascii="方正楷体_GBK" w:hAnsi="方正楷体_GBK" w:eastAsia="方正楷体_GBK" w:cs="方正楷体_GBK"/>
          <w:b/>
          <w:bCs/>
          <w:color w:val="FF0000"/>
          <w:sz w:val="32"/>
          <w:szCs w:val="32"/>
          <w:lang w:val="en-US" w:eastAsia="zh-CN"/>
        </w:rPr>
        <w:t>上能电气</w:t>
      </w:r>
      <w:r>
        <w:rPr>
          <w:rFonts w:hint="default" w:ascii="方正楷体_GBK" w:hAnsi="方正楷体_GBK" w:eastAsia="方正楷体_GBK" w:cs="方正楷体_GBK"/>
          <w:b/>
          <w:bCs/>
          <w:color w:val="FF0000"/>
          <w:sz w:val="32"/>
          <w:szCs w:val="32"/>
          <w:lang w:val="en-US" w:eastAsia="zh-CN"/>
        </w:rPr>
        <w:t>官网）</w:t>
      </w:r>
    </w:p>
    <w:sectPr>
      <w:footerReference r:id="rId4" w:type="default"/>
      <w:pgSz w:w="11906" w:h="16838"/>
      <w:pgMar w:top="2098" w:right="1474" w:bottom="1984" w:left="1587" w:header="1417" w:footer="992" w:gutter="0"/>
      <w:pgBorders>
        <w:top w:val="single" w:color="F82206" w:sz="48" w:space="1"/>
        <w:left w:val="single" w:color="F82206" w:sz="48" w:space="4"/>
        <w:bottom w:val="single" w:color="F82206" w:sz="48" w:space="1"/>
        <w:right w:val="single" w:color="F82206" w:sz="48" w:space="4"/>
      </w:pgBorders>
      <w:pgNumType w:fmt="decimal" w:start="1"/>
      <w:cols w:space="425" w:num="1"/>
      <w:docGrid w:type="linesAndChars" w:linePitch="290" w:charSpace="-34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 w:name="经典行楷简">
    <w:panose1 w:val="02010609000101010101"/>
    <w:charset w:val="86"/>
    <w:family w:val="auto"/>
    <w:pitch w:val="default"/>
    <w:sig w:usb0="A1007AEF" w:usb1="F9DF7CFB" w:usb2="0000001E" w:usb3="00000000" w:csb0="20040000" w:csb1="00000000"/>
  </w:font>
  <w:font w:name="方正楷体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魏碑简体">
    <w:altName w:val="微软雅黑"/>
    <w:panose1 w:val="02010601030101010101"/>
    <w:charset w:val="86"/>
    <w:family w:val="auto"/>
    <w:pitch w:val="default"/>
    <w:sig w:usb0="00000000" w:usb1="0000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FontAwesome">
    <w:altName w:val="Segoe Print"/>
    <w:panose1 w:val="00000000000000000000"/>
    <w:charset w:val="00"/>
    <w:family w:val="auto"/>
    <w:pitch w:val="default"/>
    <w:sig w:usb0="00000000" w:usb1="00000000" w:usb2="00000000" w:usb3="00000000" w:csb0="00000000" w:csb1="00000000"/>
  </w:font>
  <w:font w:name="anticon">
    <w:altName w:val="Segoe Print"/>
    <w:panose1 w:val="00000000000000000000"/>
    <w:charset w:val="00"/>
    <w:family w:val="auto"/>
    <w:pitch w:val="default"/>
    <w:sig w:usb0="00000000" w:usb1="00000000" w:usb2="00000000" w:usb3="00000000" w:csb0="00000000" w:csb1="00000000"/>
  </w:font>
  <w:font w:name="menu">
    <w:altName w:val="Segoe Print"/>
    <w:panose1 w:val="00000000000000000000"/>
    <w:charset w:val="00"/>
    <w:family w:val="auto"/>
    <w:pitch w:val="default"/>
    <w:sig w:usb0="00000000" w:usb1="00000000" w:usb2="00000000" w:usb3="00000000" w:csb0="00000000" w:csb1="00000000"/>
  </w:font>
  <w:font w:name="icon-coms02">
    <w:altName w:val="Segoe Print"/>
    <w:panose1 w:val="00000000000000000000"/>
    <w:charset w:val="00"/>
    <w:family w:val="auto"/>
    <w:pitch w:val="default"/>
    <w:sig w:usb0="00000000" w:usb1="00000000" w:usb2="00000000" w:usb3="00000000" w:csb0="00000000" w:csb1="00000000"/>
  </w:font>
  <w:font w:name="icon-coms">
    <w:altName w:val="Segoe Print"/>
    <w:panose1 w:val="00000000000000000000"/>
    <w:charset w:val="00"/>
    <w:family w:val="auto"/>
    <w:pitch w:val="default"/>
    <w:sig w:usb0="00000000" w:usb1="00000000" w:usb2="00000000" w:usb3="00000000" w:csb0="00000000" w:csb1="00000000"/>
  </w:font>
  <w:font w:name="icon-portal">
    <w:altName w:val="Segoe Print"/>
    <w:panose1 w:val="00000000000000000000"/>
    <w:charset w:val="00"/>
    <w:family w:val="auto"/>
    <w:pitch w:val="default"/>
    <w:sig w:usb0="00000000" w:usb1="00000000" w:usb2="00000000" w:usb3="00000000" w:csb0="00000000" w:csb1="00000000"/>
  </w:font>
  <w:font w:name="icon-dev">
    <w:altName w:val="Segoe Print"/>
    <w:panose1 w:val="00000000000000000000"/>
    <w:charset w:val="00"/>
    <w:family w:val="auto"/>
    <w:pitch w:val="default"/>
    <w:sig w:usb0="00000000" w:usb1="00000000" w:usb2="00000000" w:usb3="00000000" w:csb0="00000000" w:csb1="00000000"/>
  </w:font>
  <w:font w:name="Icon-coms03">
    <w:altName w:val="Segoe Print"/>
    <w:panose1 w:val="00000000000000000000"/>
    <w:charset w:val="00"/>
    <w:family w:val="auto"/>
    <w:pitch w:val="default"/>
    <w:sig w:usb0="00000000" w:usb1="00000000" w:usb2="00000000" w:usb3="00000000" w:csb0="00000000" w:csb1="00000000"/>
  </w:font>
  <w:font w:name="wevicon">
    <w:altName w:val="Segoe Print"/>
    <w:panose1 w:val="00000000000000000000"/>
    <w:charset w:val="00"/>
    <w:family w:val="auto"/>
    <w:pitch w:val="default"/>
    <w:sig w:usb0="00000000" w:usb1="00000000" w:usb2="00000000" w:usb3="00000000" w:csb0="00000000" w:csb1="00000000"/>
  </w:font>
  <w:font w:name="icon-menu">
    <w:altName w:val="Segoe Print"/>
    <w:panose1 w:val="00000000000000000000"/>
    <w:charset w:val="00"/>
    <w:family w:val="auto"/>
    <w:pitch w:val="default"/>
    <w:sig w:usb0="00000000" w:usb1="00000000" w:usb2="00000000" w:usb3="00000000" w:csb0="00000000" w:csb1="00000000"/>
  </w:font>
  <w:font w:name="icon-doc">
    <w:altName w:val="Segoe Print"/>
    <w:panose1 w:val="00000000000000000000"/>
    <w:charset w:val="00"/>
    <w:family w:val="auto"/>
    <w:pitch w:val="default"/>
    <w:sig w:usb0="00000000" w:usb1="00000000" w:usb2="00000000" w:usb3="00000000" w:csb0="00000000" w:csb1="00000000"/>
  </w:font>
  <w:font w:name="slick">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仿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jc w:val="center"/>
      <w:rPr>
        <w:rFonts w:ascii="Calibri" w:hAnsi="Calibri" w:eastAsia="宋体" w:cs="Times New Roman"/>
        <w:kern w:val="2"/>
        <w:sz w:val="18"/>
        <w:szCs w:val="18"/>
        <w:lang w:val="en-US" w:eastAsia="zh-CN" w:bidi="ar-SA"/>
      </w:rPr>
    </w:pPr>
  </w:p>
  <w:p>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jc w:val="center"/>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posOffset>0</wp:posOffset>
              </wp:positionH>
              <wp:positionV relativeFrom="paragraph">
                <wp:posOffset>-235585</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widowControl w:val="0"/>
                            <w:tabs>
                              <w:tab w:val="center" w:pos="4153"/>
                              <w:tab w:val="right" w:pos="8306"/>
                            </w:tabs>
                            <w:snapToGrid w:val="0"/>
                            <w:jc w:val="left"/>
                            <w:rPr>
                              <w:rFonts w:ascii="Calibri" w:hAnsi="Calibri" w:eastAsia="宋体" w:cs="Times New Roman"/>
                              <w:kern w:val="2"/>
                              <w:sz w:val="18"/>
                              <w:szCs w:val="18"/>
                              <w:highlight w:val="yellow"/>
                              <w:lang w:val="en-US" w:eastAsia="zh-CN" w:bidi="ar-SA"/>
                            </w:rPr>
                          </w:pP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 xml:space="preserve">— </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begin"/>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instrText xml:space="preserve"> PAGE  \* MERGEFORMAT </w:instrTex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separate"/>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1</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end"/>
                          </w:r>
                          <w:r>
                            <w:rPr>
                              <w:rFonts w:hint="default" w:ascii="Times New Roman" w:hAnsi="Times New Roman" w:eastAsia="宋体" w:cs="Times New Roman"/>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 xml:space="preserve"> </w:t>
                          </w: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0pt;margin-top:-18.55pt;height:144pt;width:144pt;mso-position-horizontal-relative:margin;mso-wrap-style:none;z-index:251659264;mso-width-relative:page;mso-height-relative:page;" filled="f" stroked="f" coordsize="21600,21600" o:gfxdata="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CjkjYdYAAAAIAQAA&#10;DwAAAAAAAAABACAAAAAiAAAAZHJzL2Rvd25yZXYueG1sUEsBAhQAFAAAAAgAh07iQCOFi7YbAgAA&#10;IQQAAA4AAAAAAAAAAQAgAAAAJQEAAGRycy9lMm9Eb2MueG1sUEsFBgAAAAAGAAYAWQEAALIFAAAA&#10;AA==&#10;">
              <v:fill on="f" focussize="0,0"/>
              <v:stroke on="f" weight="0.5pt"/>
              <v:imagedata o:title=""/>
              <o:lock v:ext="edit" aspectratio="f"/>
              <v:textbox inset="0mm,0mm,0mm,0mm" style="mso-fit-shape-to-text:t;">
                <w:txbxContent>
                  <w:p>
                    <w:pPr>
                      <w:widowControl w:val="0"/>
                      <w:tabs>
                        <w:tab w:val="center" w:pos="4153"/>
                        <w:tab w:val="right" w:pos="8306"/>
                      </w:tabs>
                      <w:snapToGrid w:val="0"/>
                      <w:jc w:val="left"/>
                      <w:rPr>
                        <w:rFonts w:ascii="Calibri" w:hAnsi="Calibri" w:eastAsia="宋体" w:cs="Times New Roman"/>
                        <w:kern w:val="2"/>
                        <w:sz w:val="18"/>
                        <w:szCs w:val="18"/>
                        <w:highlight w:val="yellow"/>
                        <w:lang w:val="en-US" w:eastAsia="zh-CN" w:bidi="ar-SA"/>
                      </w:rPr>
                    </w:pP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 xml:space="preserve">— </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begin"/>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instrText xml:space="preserve"> PAGE  \* MERGEFORMAT </w:instrTex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separate"/>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1</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end"/>
                    </w:r>
                    <w:r>
                      <w:rPr>
                        <w:rFonts w:hint="default" w:ascii="Times New Roman" w:hAnsi="Times New Roman" w:eastAsia="宋体" w:cs="Times New Roman"/>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 xml:space="preserve"> </w:t>
                    </w: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w:t>
                    </w:r>
                  </w:p>
                </w:txbxContent>
              </v:textbox>
            </v:shape>
          </w:pict>
        </mc:Fallback>
      </mc:AlternateContent>
    </w:r>
  </w:p>
  <w:p>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yY2JjZjUwZjliZTZiOTlhN2YyNWNiNDhlZDgzZjgifQ=="/>
  </w:docVars>
  <w:rsids>
    <w:rsidRoot w:val="09CD0E22"/>
    <w:rsid w:val="00030C0E"/>
    <w:rsid w:val="00043245"/>
    <w:rsid w:val="0007364F"/>
    <w:rsid w:val="00093D01"/>
    <w:rsid w:val="00097083"/>
    <w:rsid w:val="001156B9"/>
    <w:rsid w:val="00145330"/>
    <w:rsid w:val="00154806"/>
    <w:rsid w:val="001F2C95"/>
    <w:rsid w:val="00215B64"/>
    <w:rsid w:val="002840B7"/>
    <w:rsid w:val="003208B4"/>
    <w:rsid w:val="003671B0"/>
    <w:rsid w:val="003C691D"/>
    <w:rsid w:val="003F32D7"/>
    <w:rsid w:val="0042623F"/>
    <w:rsid w:val="0043286B"/>
    <w:rsid w:val="00467C46"/>
    <w:rsid w:val="005A092B"/>
    <w:rsid w:val="006B63D3"/>
    <w:rsid w:val="006C0C2E"/>
    <w:rsid w:val="007C2A82"/>
    <w:rsid w:val="007E11E9"/>
    <w:rsid w:val="008B2F92"/>
    <w:rsid w:val="008E3499"/>
    <w:rsid w:val="008F79A9"/>
    <w:rsid w:val="00906A61"/>
    <w:rsid w:val="00A0554E"/>
    <w:rsid w:val="00A55B3B"/>
    <w:rsid w:val="00B35803"/>
    <w:rsid w:val="00B45E3E"/>
    <w:rsid w:val="00C16462"/>
    <w:rsid w:val="00C66488"/>
    <w:rsid w:val="00CA656E"/>
    <w:rsid w:val="00CE04E4"/>
    <w:rsid w:val="00D0085C"/>
    <w:rsid w:val="00DB54B3"/>
    <w:rsid w:val="00DF053C"/>
    <w:rsid w:val="00E278B0"/>
    <w:rsid w:val="00FC3867"/>
    <w:rsid w:val="010007F1"/>
    <w:rsid w:val="01123C24"/>
    <w:rsid w:val="01281FA6"/>
    <w:rsid w:val="0129652A"/>
    <w:rsid w:val="012C4A94"/>
    <w:rsid w:val="0134238F"/>
    <w:rsid w:val="01434062"/>
    <w:rsid w:val="015A28DE"/>
    <w:rsid w:val="01603797"/>
    <w:rsid w:val="01614C4F"/>
    <w:rsid w:val="016607CF"/>
    <w:rsid w:val="01687C29"/>
    <w:rsid w:val="016C6133"/>
    <w:rsid w:val="016D0719"/>
    <w:rsid w:val="01730647"/>
    <w:rsid w:val="017F7312"/>
    <w:rsid w:val="0183354F"/>
    <w:rsid w:val="018A4341"/>
    <w:rsid w:val="018D1ED5"/>
    <w:rsid w:val="01944C0D"/>
    <w:rsid w:val="019652A2"/>
    <w:rsid w:val="019A0A9C"/>
    <w:rsid w:val="019E5AF8"/>
    <w:rsid w:val="01A05888"/>
    <w:rsid w:val="01A2463C"/>
    <w:rsid w:val="01A277CA"/>
    <w:rsid w:val="01A536F0"/>
    <w:rsid w:val="01AB72AD"/>
    <w:rsid w:val="01AD0FC0"/>
    <w:rsid w:val="01AF0E83"/>
    <w:rsid w:val="01B74B80"/>
    <w:rsid w:val="01B76B70"/>
    <w:rsid w:val="01BC47E4"/>
    <w:rsid w:val="01BD0D3F"/>
    <w:rsid w:val="01C277DB"/>
    <w:rsid w:val="01CB201F"/>
    <w:rsid w:val="01D01DDD"/>
    <w:rsid w:val="01D83F23"/>
    <w:rsid w:val="01DA121B"/>
    <w:rsid w:val="01EB6FF4"/>
    <w:rsid w:val="01EC6C1A"/>
    <w:rsid w:val="01F43D5D"/>
    <w:rsid w:val="01F53962"/>
    <w:rsid w:val="01FE284A"/>
    <w:rsid w:val="020C0504"/>
    <w:rsid w:val="020F3F82"/>
    <w:rsid w:val="021337A8"/>
    <w:rsid w:val="02154F00"/>
    <w:rsid w:val="022C2DDE"/>
    <w:rsid w:val="024125AD"/>
    <w:rsid w:val="02424F98"/>
    <w:rsid w:val="024B4F65"/>
    <w:rsid w:val="02522774"/>
    <w:rsid w:val="02716397"/>
    <w:rsid w:val="027B1EF4"/>
    <w:rsid w:val="027D39C5"/>
    <w:rsid w:val="02842B55"/>
    <w:rsid w:val="02850B1B"/>
    <w:rsid w:val="028E239B"/>
    <w:rsid w:val="028E669E"/>
    <w:rsid w:val="02945151"/>
    <w:rsid w:val="02994D24"/>
    <w:rsid w:val="02AA4579"/>
    <w:rsid w:val="02B7449E"/>
    <w:rsid w:val="02B93913"/>
    <w:rsid w:val="02CA2014"/>
    <w:rsid w:val="02CE36F0"/>
    <w:rsid w:val="02D253BA"/>
    <w:rsid w:val="02D664A5"/>
    <w:rsid w:val="02D70120"/>
    <w:rsid w:val="02E746B3"/>
    <w:rsid w:val="02F04987"/>
    <w:rsid w:val="02F3072B"/>
    <w:rsid w:val="02F4686A"/>
    <w:rsid w:val="02F50E1A"/>
    <w:rsid w:val="02FC365E"/>
    <w:rsid w:val="03055083"/>
    <w:rsid w:val="030A33B2"/>
    <w:rsid w:val="0312457C"/>
    <w:rsid w:val="03173E54"/>
    <w:rsid w:val="03276EB0"/>
    <w:rsid w:val="03320DD5"/>
    <w:rsid w:val="03367B19"/>
    <w:rsid w:val="033F3094"/>
    <w:rsid w:val="0341739D"/>
    <w:rsid w:val="035906B9"/>
    <w:rsid w:val="035A07AB"/>
    <w:rsid w:val="036572E0"/>
    <w:rsid w:val="036773BE"/>
    <w:rsid w:val="03745931"/>
    <w:rsid w:val="0375270B"/>
    <w:rsid w:val="0376026A"/>
    <w:rsid w:val="03763E10"/>
    <w:rsid w:val="03795E56"/>
    <w:rsid w:val="038F00BD"/>
    <w:rsid w:val="038F07EB"/>
    <w:rsid w:val="039F6B79"/>
    <w:rsid w:val="03A054FE"/>
    <w:rsid w:val="03A710E3"/>
    <w:rsid w:val="03B75E22"/>
    <w:rsid w:val="03B93704"/>
    <w:rsid w:val="03C7124D"/>
    <w:rsid w:val="03C956D7"/>
    <w:rsid w:val="03CD065E"/>
    <w:rsid w:val="03D96519"/>
    <w:rsid w:val="03DC76EB"/>
    <w:rsid w:val="03DF3AAC"/>
    <w:rsid w:val="03DF7C94"/>
    <w:rsid w:val="03E4053E"/>
    <w:rsid w:val="03EE2D2D"/>
    <w:rsid w:val="03EE5120"/>
    <w:rsid w:val="03F95EAB"/>
    <w:rsid w:val="03FA4378"/>
    <w:rsid w:val="040E59E0"/>
    <w:rsid w:val="04177E90"/>
    <w:rsid w:val="041B3B0D"/>
    <w:rsid w:val="041F33A4"/>
    <w:rsid w:val="04227E09"/>
    <w:rsid w:val="04256881"/>
    <w:rsid w:val="042C1175"/>
    <w:rsid w:val="042E72BA"/>
    <w:rsid w:val="04361A54"/>
    <w:rsid w:val="043837D8"/>
    <w:rsid w:val="043F0FCC"/>
    <w:rsid w:val="0458216E"/>
    <w:rsid w:val="04633D2A"/>
    <w:rsid w:val="046441B2"/>
    <w:rsid w:val="0470619B"/>
    <w:rsid w:val="047264E0"/>
    <w:rsid w:val="047929EC"/>
    <w:rsid w:val="047931E4"/>
    <w:rsid w:val="047B754C"/>
    <w:rsid w:val="047C330E"/>
    <w:rsid w:val="04802BB2"/>
    <w:rsid w:val="048112FB"/>
    <w:rsid w:val="048B08F7"/>
    <w:rsid w:val="04997356"/>
    <w:rsid w:val="04B3013F"/>
    <w:rsid w:val="04BA605B"/>
    <w:rsid w:val="04BB6582"/>
    <w:rsid w:val="04BF51D4"/>
    <w:rsid w:val="04C30370"/>
    <w:rsid w:val="04C369FD"/>
    <w:rsid w:val="04C87276"/>
    <w:rsid w:val="04CE7B7F"/>
    <w:rsid w:val="04D13EAB"/>
    <w:rsid w:val="04E16ACF"/>
    <w:rsid w:val="04E92750"/>
    <w:rsid w:val="04F33CBA"/>
    <w:rsid w:val="05006805"/>
    <w:rsid w:val="05017788"/>
    <w:rsid w:val="05150D13"/>
    <w:rsid w:val="052054D4"/>
    <w:rsid w:val="052C7639"/>
    <w:rsid w:val="054A7C8A"/>
    <w:rsid w:val="055D26AF"/>
    <w:rsid w:val="056534E0"/>
    <w:rsid w:val="056834A8"/>
    <w:rsid w:val="05684832"/>
    <w:rsid w:val="056E79C6"/>
    <w:rsid w:val="057A799E"/>
    <w:rsid w:val="058647BE"/>
    <w:rsid w:val="05880374"/>
    <w:rsid w:val="05881910"/>
    <w:rsid w:val="05913966"/>
    <w:rsid w:val="059F17BF"/>
    <w:rsid w:val="05A259F9"/>
    <w:rsid w:val="05A73DC5"/>
    <w:rsid w:val="05B336D5"/>
    <w:rsid w:val="05CC2A3B"/>
    <w:rsid w:val="05CD0D9A"/>
    <w:rsid w:val="05CF249D"/>
    <w:rsid w:val="05D14319"/>
    <w:rsid w:val="05D714EA"/>
    <w:rsid w:val="05E536E6"/>
    <w:rsid w:val="05EA1C44"/>
    <w:rsid w:val="05F2445C"/>
    <w:rsid w:val="06077942"/>
    <w:rsid w:val="060A0D89"/>
    <w:rsid w:val="060C359D"/>
    <w:rsid w:val="060F3722"/>
    <w:rsid w:val="062B0B83"/>
    <w:rsid w:val="062C6587"/>
    <w:rsid w:val="062D67C8"/>
    <w:rsid w:val="06301A1B"/>
    <w:rsid w:val="0633380C"/>
    <w:rsid w:val="0638362B"/>
    <w:rsid w:val="063E600A"/>
    <w:rsid w:val="06405659"/>
    <w:rsid w:val="064F5725"/>
    <w:rsid w:val="06510CDF"/>
    <w:rsid w:val="065C27A8"/>
    <w:rsid w:val="065F50DA"/>
    <w:rsid w:val="06602F2C"/>
    <w:rsid w:val="06626021"/>
    <w:rsid w:val="066D2CED"/>
    <w:rsid w:val="066E2C0B"/>
    <w:rsid w:val="06700010"/>
    <w:rsid w:val="06734EB6"/>
    <w:rsid w:val="067C24CF"/>
    <w:rsid w:val="068A1FDD"/>
    <w:rsid w:val="069002BE"/>
    <w:rsid w:val="06906B8C"/>
    <w:rsid w:val="069725BC"/>
    <w:rsid w:val="069A3A7C"/>
    <w:rsid w:val="06A729E1"/>
    <w:rsid w:val="06AB1C7E"/>
    <w:rsid w:val="06AC05E7"/>
    <w:rsid w:val="06AF1D16"/>
    <w:rsid w:val="06AF3414"/>
    <w:rsid w:val="06B15237"/>
    <w:rsid w:val="06BA5EB2"/>
    <w:rsid w:val="06D17DB1"/>
    <w:rsid w:val="06E444B8"/>
    <w:rsid w:val="070615F0"/>
    <w:rsid w:val="07085235"/>
    <w:rsid w:val="07146D7A"/>
    <w:rsid w:val="071A4300"/>
    <w:rsid w:val="072C5901"/>
    <w:rsid w:val="072D6955"/>
    <w:rsid w:val="07355298"/>
    <w:rsid w:val="073633AE"/>
    <w:rsid w:val="0738618B"/>
    <w:rsid w:val="074E1705"/>
    <w:rsid w:val="074E279C"/>
    <w:rsid w:val="075268B6"/>
    <w:rsid w:val="075C0378"/>
    <w:rsid w:val="075C613A"/>
    <w:rsid w:val="0768627D"/>
    <w:rsid w:val="07774E9B"/>
    <w:rsid w:val="07886D75"/>
    <w:rsid w:val="079A77BC"/>
    <w:rsid w:val="079D6C92"/>
    <w:rsid w:val="079E20C5"/>
    <w:rsid w:val="07A92FCD"/>
    <w:rsid w:val="07AB5A16"/>
    <w:rsid w:val="07C32EAB"/>
    <w:rsid w:val="07CE7516"/>
    <w:rsid w:val="07DA5629"/>
    <w:rsid w:val="07DE3B60"/>
    <w:rsid w:val="07E54B9E"/>
    <w:rsid w:val="08010DA7"/>
    <w:rsid w:val="08033960"/>
    <w:rsid w:val="080F3123"/>
    <w:rsid w:val="08220E8F"/>
    <w:rsid w:val="08242F28"/>
    <w:rsid w:val="08252E6C"/>
    <w:rsid w:val="08275EA4"/>
    <w:rsid w:val="08294CB5"/>
    <w:rsid w:val="083036B5"/>
    <w:rsid w:val="08310F19"/>
    <w:rsid w:val="08331FC1"/>
    <w:rsid w:val="083611A9"/>
    <w:rsid w:val="083901EB"/>
    <w:rsid w:val="08394081"/>
    <w:rsid w:val="083943C5"/>
    <w:rsid w:val="08404FD2"/>
    <w:rsid w:val="084A2513"/>
    <w:rsid w:val="08515651"/>
    <w:rsid w:val="085D6EF2"/>
    <w:rsid w:val="085F59AE"/>
    <w:rsid w:val="086303CB"/>
    <w:rsid w:val="08674312"/>
    <w:rsid w:val="0875786E"/>
    <w:rsid w:val="0881684A"/>
    <w:rsid w:val="08927463"/>
    <w:rsid w:val="08991A5A"/>
    <w:rsid w:val="089C49FA"/>
    <w:rsid w:val="08AF073A"/>
    <w:rsid w:val="08BD5FE1"/>
    <w:rsid w:val="08BE7798"/>
    <w:rsid w:val="08C654F8"/>
    <w:rsid w:val="08CA79C7"/>
    <w:rsid w:val="08D54B6A"/>
    <w:rsid w:val="08D73E78"/>
    <w:rsid w:val="08DB6139"/>
    <w:rsid w:val="08DD4FAE"/>
    <w:rsid w:val="08DE001E"/>
    <w:rsid w:val="08DE502C"/>
    <w:rsid w:val="08DE7E03"/>
    <w:rsid w:val="08ED6D3B"/>
    <w:rsid w:val="08FB16E4"/>
    <w:rsid w:val="08FB2C3C"/>
    <w:rsid w:val="08FE2EDE"/>
    <w:rsid w:val="08FE5206"/>
    <w:rsid w:val="09140F8D"/>
    <w:rsid w:val="09155095"/>
    <w:rsid w:val="091D10D0"/>
    <w:rsid w:val="09210482"/>
    <w:rsid w:val="092105FC"/>
    <w:rsid w:val="09222AB2"/>
    <w:rsid w:val="09266115"/>
    <w:rsid w:val="093303B8"/>
    <w:rsid w:val="09446DB4"/>
    <w:rsid w:val="094811BB"/>
    <w:rsid w:val="094F18C1"/>
    <w:rsid w:val="0954257E"/>
    <w:rsid w:val="095929D4"/>
    <w:rsid w:val="095A003F"/>
    <w:rsid w:val="095B02C8"/>
    <w:rsid w:val="09606CDC"/>
    <w:rsid w:val="09631FC1"/>
    <w:rsid w:val="09651D94"/>
    <w:rsid w:val="098A1F77"/>
    <w:rsid w:val="099872CF"/>
    <w:rsid w:val="09A137B2"/>
    <w:rsid w:val="09A2636C"/>
    <w:rsid w:val="09A44BA0"/>
    <w:rsid w:val="09AA495F"/>
    <w:rsid w:val="09AC53C9"/>
    <w:rsid w:val="09B630C3"/>
    <w:rsid w:val="09C222A5"/>
    <w:rsid w:val="09C27E4D"/>
    <w:rsid w:val="09C81C8D"/>
    <w:rsid w:val="09CB6B07"/>
    <w:rsid w:val="09CC1439"/>
    <w:rsid w:val="09CD0E22"/>
    <w:rsid w:val="09CD713D"/>
    <w:rsid w:val="09FA2B3C"/>
    <w:rsid w:val="09FA772F"/>
    <w:rsid w:val="09FB6D64"/>
    <w:rsid w:val="0A030CE9"/>
    <w:rsid w:val="0A0D0EE1"/>
    <w:rsid w:val="0A33530F"/>
    <w:rsid w:val="0A346C5C"/>
    <w:rsid w:val="0A4707FD"/>
    <w:rsid w:val="0A486965"/>
    <w:rsid w:val="0A4B2E8D"/>
    <w:rsid w:val="0A5317DF"/>
    <w:rsid w:val="0A534D83"/>
    <w:rsid w:val="0A564C39"/>
    <w:rsid w:val="0A5B0F4C"/>
    <w:rsid w:val="0A61640A"/>
    <w:rsid w:val="0A6536D8"/>
    <w:rsid w:val="0A6A580E"/>
    <w:rsid w:val="0A7611EF"/>
    <w:rsid w:val="0A765DBA"/>
    <w:rsid w:val="0A7A1EF7"/>
    <w:rsid w:val="0A937773"/>
    <w:rsid w:val="0A987047"/>
    <w:rsid w:val="0AA05D85"/>
    <w:rsid w:val="0AAD109D"/>
    <w:rsid w:val="0ABB417A"/>
    <w:rsid w:val="0ABE47A4"/>
    <w:rsid w:val="0ACC2910"/>
    <w:rsid w:val="0ACC3151"/>
    <w:rsid w:val="0AD16821"/>
    <w:rsid w:val="0AD45A3C"/>
    <w:rsid w:val="0AD60B60"/>
    <w:rsid w:val="0ADC78D2"/>
    <w:rsid w:val="0AE11813"/>
    <w:rsid w:val="0AE3323E"/>
    <w:rsid w:val="0AEB11A6"/>
    <w:rsid w:val="0AEC3E44"/>
    <w:rsid w:val="0AEE609E"/>
    <w:rsid w:val="0AEF478A"/>
    <w:rsid w:val="0B041299"/>
    <w:rsid w:val="0B062542"/>
    <w:rsid w:val="0B0E47F4"/>
    <w:rsid w:val="0B1C17AD"/>
    <w:rsid w:val="0B283787"/>
    <w:rsid w:val="0B2D6F6E"/>
    <w:rsid w:val="0B324CD2"/>
    <w:rsid w:val="0B345DB1"/>
    <w:rsid w:val="0B363DD8"/>
    <w:rsid w:val="0B3A4657"/>
    <w:rsid w:val="0B3C5BB9"/>
    <w:rsid w:val="0B4372E2"/>
    <w:rsid w:val="0B5A2079"/>
    <w:rsid w:val="0B5B5996"/>
    <w:rsid w:val="0B5C3E34"/>
    <w:rsid w:val="0B6075D7"/>
    <w:rsid w:val="0B627AD4"/>
    <w:rsid w:val="0B6A0BB3"/>
    <w:rsid w:val="0B792EB2"/>
    <w:rsid w:val="0B8035EB"/>
    <w:rsid w:val="0B84164E"/>
    <w:rsid w:val="0B89731E"/>
    <w:rsid w:val="0B904412"/>
    <w:rsid w:val="0B913EDA"/>
    <w:rsid w:val="0B9C76A8"/>
    <w:rsid w:val="0BA50775"/>
    <w:rsid w:val="0BA749E5"/>
    <w:rsid w:val="0BAC24A8"/>
    <w:rsid w:val="0BAE1323"/>
    <w:rsid w:val="0BB42E0A"/>
    <w:rsid w:val="0BBA3391"/>
    <w:rsid w:val="0BDC3258"/>
    <w:rsid w:val="0BDE3581"/>
    <w:rsid w:val="0BE52963"/>
    <w:rsid w:val="0BE85349"/>
    <w:rsid w:val="0BF57A28"/>
    <w:rsid w:val="0BF845E9"/>
    <w:rsid w:val="0BFA1A53"/>
    <w:rsid w:val="0C074F06"/>
    <w:rsid w:val="0C0B1E5B"/>
    <w:rsid w:val="0C146F99"/>
    <w:rsid w:val="0C1A584B"/>
    <w:rsid w:val="0C2275D5"/>
    <w:rsid w:val="0C2D70F9"/>
    <w:rsid w:val="0C342312"/>
    <w:rsid w:val="0C53740C"/>
    <w:rsid w:val="0C563E70"/>
    <w:rsid w:val="0C631545"/>
    <w:rsid w:val="0C6E187C"/>
    <w:rsid w:val="0C7D4D8F"/>
    <w:rsid w:val="0C80052F"/>
    <w:rsid w:val="0C8C06D3"/>
    <w:rsid w:val="0C980884"/>
    <w:rsid w:val="0C9961AF"/>
    <w:rsid w:val="0C9A50FF"/>
    <w:rsid w:val="0C9B3EE0"/>
    <w:rsid w:val="0C9C2E80"/>
    <w:rsid w:val="0CA20B1F"/>
    <w:rsid w:val="0CA44E41"/>
    <w:rsid w:val="0CA77405"/>
    <w:rsid w:val="0CA83489"/>
    <w:rsid w:val="0CA96FA5"/>
    <w:rsid w:val="0CAE5B1B"/>
    <w:rsid w:val="0CB224D8"/>
    <w:rsid w:val="0CB31FF7"/>
    <w:rsid w:val="0CB45BFD"/>
    <w:rsid w:val="0CB75099"/>
    <w:rsid w:val="0CB80D6E"/>
    <w:rsid w:val="0CBF360E"/>
    <w:rsid w:val="0CC10497"/>
    <w:rsid w:val="0CC30BC5"/>
    <w:rsid w:val="0CC42150"/>
    <w:rsid w:val="0CC45545"/>
    <w:rsid w:val="0CC71781"/>
    <w:rsid w:val="0CCB0FDF"/>
    <w:rsid w:val="0CDC515C"/>
    <w:rsid w:val="0D0B2A13"/>
    <w:rsid w:val="0D112021"/>
    <w:rsid w:val="0D12133D"/>
    <w:rsid w:val="0D1F7151"/>
    <w:rsid w:val="0D200D54"/>
    <w:rsid w:val="0D2B7DB2"/>
    <w:rsid w:val="0D3152D9"/>
    <w:rsid w:val="0D384916"/>
    <w:rsid w:val="0D427E08"/>
    <w:rsid w:val="0D4A1977"/>
    <w:rsid w:val="0D511FCD"/>
    <w:rsid w:val="0D52698E"/>
    <w:rsid w:val="0D583C5F"/>
    <w:rsid w:val="0D5D658F"/>
    <w:rsid w:val="0D6029A5"/>
    <w:rsid w:val="0D6063D4"/>
    <w:rsid w:val="0D667E20"/>
    <w:rsid w:val="0D922931"/>
    <w:rsid w:val="0D95263C"/>
    <w:rsid w:val="0DA81B9F"/>
    <w:rsid w:val="0DAD79F2"/>
    <w:rsid w:val="0DB47CEC"/>
    <w:rsid w:val="0DBB3CA5"/>
    <w:rsid w:val="0DBB4EDD"/>
    <w:rsid w:val="0DC37BF2"/>
    <w:rsid w:val="0DC436B0"/>
    <w:rsid w:val="0DC9693F"/>
    <w:rsid w:val="0DCC1715"/>
    <w:rsid w:val="0DD82C48"/>
    <w:rsid w:val="0DDB6385"/>
    <w:rsid w:val="0DF0632D"/>
    <w:rsid w:val="0DF475E0"/>
    <w:rsid w:val="0E0E09E4"/>
    <w:rsid w:val="0E0E0AE3"/>
    <w:rsid w:val="0E184477"/>
    <w:rsid w:val="0E1A4501"/>
    <w:rsid w:val="0E21196E"/>
    <w:rsid w:val="0E227E98"/>
    <w:rsid w:val="0E27140B"/>
    <w:rsid w:val="0E2D4D70"/>
    <w:rsid w:val="0E3B2663"/>
    <w:rsid w:val="0E443DBA"/>
    <w:rsid w:val="0E465F52"/>
    <w:rsid w:val="0E576A70"/>
    <w:rsid w:val="0E6B437E"/>
    <w:rsid w:val="0E6B6A22"/>
    <w:rsid w:val="0E793535"/>
    <w:rsid w:val="0E795DEE"/>
    <w:rsid w:val="0E7B3260"/>
    <w:rsid w:val="0E804638"/>
    <w:rsid w:val="0E854758"/>
    <w:rsid w:val="0EAB0282"/>
    <w:rsid w:val="0EC370FE"/>
    <w:rsid w:val="0EC4408A"/>
    <w:rsid w:val="0ECD6BD5"/>
    <w:rsid w:val="0EDA3DE0"/>
    <w:rsid w:val="0EE241B0"/>
    <w:rsid w:val="0EE470B9"/>
    <w:rsid w:val="0EE51F3F"/>
    <w:rsid w:val="0EE67C37"/>
    <w:rsid w:val="0EE96C61"/>
    <w:rsid w:val="0EEF6278"/>
    <w:rsid w:val="0F070719"/>
    <w:rsid w:val="0F0E340F"/>
    <w:rsid w:val="0F110F65"/>
    <w:rsid w:val="0F126FC2"/>
    <w:rsid w:val="0F1821BC"/>
    <w:rsid w:val="0F1F71AB"/>
    <w:rsid w:val="0F206FE9"/>
    <w:rsid w:val="0F246E43"/>
    <w:rsid w:val="0F2F2F21"/>
    <w:rsid w:val="0F303168"/>
    <w:rsid w:val="0F3346BD"/>
    <w:rsid w:val="0F521390"/>
    <w:rsid w:val="0F551890"/>
    <w:rsid w:val="0F5B58BB"/>
    <w:rsid w:val="0F6735DF"/>
    <w:rsid w:val="0F6A4B85"/>
    <w:rsid w:val="0F716691"/>
    <w:rsid w:val="0F735DB2"/>
    <w:rsid w:val="0F7840D6"/>
    <w:rsid w:val="0F7B2D75"/>
    <w:rsid w:val="0F873A0E"/>
    <w:rsid w:val="0F883C70"/>
    <w:rsid w:val="0F8B6CB6"/>
    <w:rsid w:val="0F9177B5"/>
    <w:rsid w:val="0F9A3FA1"/>
    <w:rsid w:val="0F9E606C"/>
    <w:rsid w:val="0FA17F55"/>
    <w:rsid w:val="0FA35FFE"/>
    <w:rsid w:val="0FA821B8"/>
    <w:rsid w:val="0FAE546F"/>
    <w:rsid w:val="0FB50512"/>
    <w:rsid w:val="0FC24482"/>
    <w:rsid w:val="0FC754B6"/>
    <w:rsid w:val="0FCD46F4"/>
    <w:rsid w:val="0FCE3065"/>
    <w:rsid w:val="0FE107E2"/>
    <w:rsid w:val="0FE336DE"/>
    <w:rsid w:val="0FED1D3E"/>
    <w:rsid w:val="10065756"/>
    <w:rsid w:val="100A69A4"/>
    <w:rsid w:val="100E17EE"/>
    <w:rsid w:val="10140347"/>
    <w:rsid w:val="101B54B3"/>
    <w:rsid w:val="101C6175"/>
    <w:rsid w:val="104210EE"/>
    <w:rsid w:val="10513C3F"/>
    <w:rsid w:val="10541F36"/>
    <w:rsid w:val="105D2D1E"/>
    <w:rsid w:val="10623D8F"/>
    <w:rsid w:val="106737C7"/>
    <w:rsid w:val="10703686"/>
    <w:rsid w:val="1075160B"/>
    <w:rsid w:val="107760A9"/>
    <w:rsid w:val="10780D89"/>
    <w:rsid w:val="107B52AA"/>
    <w:rsid w:val="107E75D8"/>
    <w:rsid w:val="10805AB8"/>
    <w:rsid w:val="108161A3"/>
    <w:rsid w:val="1089301A"/>
    <w:rsid w:val="108B29C7"/>
    <w:rsid w:val="10901F21"/>
    <w:rsid w:val="10974AA9"/>
    <w:rsid w:val="10A21388"/>
    <w:rsid w:val="10A60889"/>
    <w:rsid w:val="10AA391A"/>
    <w:rsid w:val="10B27075"/>
    <w:rsid w:val="10B27B37"/>
    <w:rsid w:val="10B33FFC"/>
    <w:rsid w:val="10BA25C0"/>
    <w:rsid w:val="10C02E80"/>
    <w:rsid w:val="10C121EA"/>
    <w:rsid w:val="10C2285B"/>
    <w:rsid w:val="10C54276"/>
    <w:rsid w:val="10D27169"/>
    <w:rsid w:val="10D309E2"/>
    <w:rsid w:val="10D621B1"/>
    <w:rsid w:val="10D81E5C"/>
    <w:rsid w:val="10DA39AB"/>
    <w:rsid w:val="10DE746C"/>
    <w:rsid w:val="10EB7A42"/>
    <w:rsid w:val="10F16967"/>
    <w:rsid w:val="10F21B48"/>
    <w:rsid w:val="10F61CDD"/>
    <w:rsid w:val="10F91FDE"/>
    <w:rsid w:val="10F941E9"/>
    <w:rsid w:val="11083015"/>
    <w:rsid w:val="110A357B"/>
    <w:rsid w:val="110D2E2E"/>
    <w:rsid w:val="1113498F"/>
    <w:rsid w:val="11145DE6"/>
    <w:rsid w:val="111A2147"/>
    <w:rsid w:val="112252CB"/>
    <w:rsid w:val="11360EF9"/>
    <w:rsid w:val="113641BB"/>
    <w:rsid w:val="113B0B58"/>
    <w:rsid w:val="113D775B"/>
    <w:rsid w:val="11410876"/>
    <w:rsid w:val="114608E7"/>
    <w:rsid w:val="114F3D65"/>
    <w:rsid w:val="115347BC"/>
    <w:rsid w:val="11545887"/>
    <w:rsid w:val="11597C64"/>
    <w:rsid w:val="116228E3"/>
    <w:rsid w:val="11631325"/>
    <w:rsid w:val="116345A4"/>
    <w:rsid w:val="11667833"/>
    <w:rsid w:val="11687433"/>
    <w:rsid w:val="1178450A"/>
    <w:rsid w:val="117B53DF"/>
    <w:rsid w:val="117B71D3"/>
    <w:rsid w:val="11845F00"/>
    <w:rsid w:val="118A58E4"/>
    <w:rsid w:val="118F0DB3"/>
    <w:rsid w:val="11916F88"/>
    <w:rsid w:val="11AC6860"/>
    <w:rsid w:val="11B62D0B"/>
    <w:rsid w:val="11BE6E3E"/>
    <w:rsid w:val="11C52A21"/>
    <w:rsid w:val="11C75474"/>
    <w:rsid w:val="11D26FDB"/>
    <w:rsid w:val="11D435B9"/>
    <w:rsid w:val="11D8409F"/>
    <w:rsid w:val="11D95083"/>
    <w:rsid w:val="11DD2AAB"/>
    <w:rsid w:val="11DE26F2"/>
    <w:rsid w:val="11DF6987"/>
    <w:rsid w:val="11EA23C8"/>
    <w:rsid w:val="11EB5C95"/>
    <w:rsid w:val="11ED6242"/>
    <w:rsid w:val="12010E7D"/>
    <w:rsid w:val="120506CD"/>
    <w:rsid w:val="12075A2C"/>
    <w:rsid w:val="120A0C4D"/>
    <w:rsid w:val="120A38DA"/>
    <w:rsid w:val="12101A57"/>
    <w:rsid w:val="12193170"/>
    <w:rsid w:val="12193813"/>
    <w:rsid w:val="121D6AE3"/>
    <w:rsid w:val="121F75CC"/>
    <w:rsid w:val="12271CB0"/>
    <w:rsid w:val="122C1A12"/>
    <w:rsid w:val="1232130B"/>
    <w:rsid w:val="12395D63"/>
    <w:rsid w:val="12401AD9"/>
    <w:rsid w:val="12421E9D"/>
    <w:rsid w:val="12571C4D"/>
    <w:rsid w:val="125C09FF"/>
    <w:rsid w:val="12657F0C"/>
    <w:rsid w:val="126830F6"/>
    <w:rsid w:val="126B5207"/>
    <w:rsid w:val="126F57E1"/>
    <w:rsid w:val="12760E78"/>
    <w:rsid w:val="127673DB"/>
    <w:rsid w:val="127E0189"/>
    <w:rsid w:val="12810A1D"/>
    <w:rsid w:val="12854B81"/>
    <w:rsid w:val="12927837"/>
    <w:rsid w:val="12A30BAA"/>
    <w:rsid w:val="12A709D5"/>
    <w:rsid w:val="12A867C5"/>
    <w:rsid w:val="12B56515"/>
    <w:rsid w:val="12BE11B2"/>
    <w:rsid w:val="12C21464"/>
    <w:rsid w:val="12C40A29"/>
    <w:rsid w:val="12C42DA1"/>
    <w:rsid w:val="12C45CF0"/>
    <w:rsid w:val="12C948D2"/>
    <w:rsid w:val="12CB14EE"/>
    <w:rsid w:val="12CE6902"/>
    <w:rsid w:val="12D54B1A"/>
    <w:rsid w:val="12EF155A"/>
    <w:rsid w:val="12F17350"/>
    <w:rsid w:val="12F712FB"/>
    <w:rsid w:val="12FA0E2E"/>
    <w:rsid w:val="12FF7A62"/>
    <w:rsid w:val="13037A88"/>
    <w:rsid w:val="133844CA"/>
    <w:rsid w:val="1347596A"/>
    <w:rsid w:val="13477178"/>
    <w:rsid w:val="134B5A55"/>
    <w:rsid w:val="134C0AA1"/>
    <w:rsid w:val="136041BC"/>
    <w:rsid w:val="136F4FE6"/>
    <w:rsid w:val="13713F6F"/>
    <w:rsid w:val="13762A14"/>
    <w:rsid w:val="137E2E27"/>
    <w:rsid w:val="138C25C7"/>
    <w:rsid w:val="138E741D"/>
    <w:rsid w:val="1390357D"/>
    <w:rsid w:val="139670E5"/>
    <w:rsid w:val="13970D93"/>
    <w:rsid w:val="139F1C24"/>
    <w:rsid w:val="13A023E7"/>
    <w:rsid w:val="13A04270"/>
    <w:rsid w:val="13A86C77"/>
    <w:rsid w:val="13A90344"/>
    <w:rsid w:val="13A9454D"/>
    <w:rsid w:val="13B35BBD"/>
    <w:rsid w:val="13BF3D28"/>
    <w:rsid w:val="13C32466"/>
    <w:rsid w:val="13C77F07"/>
    <w:rsid w:val="13CE4E2F"/>
    <w:rsid w:val="13CF48B4"/>
    <w:rsid w:val="13E45E4B"/>
    <w:rsid w:val="13F57229"/>
    <w:rsid w:val="13F60043"/>
    <w:rsid w:val="13F63AC9"/>
    <w:rsid w:val="13FF4761"/>
    <w:rsid w:val="1401651E"/>
    <w:rsid w:val="14065625"/>
    <w:rsid w:val="14127CF3"/>
    <w:rsid w:val="1416357F"/>
    <w:rsid w:val="14175C6D"/>
    <w:rsid w:val="14182B9E"/>
    <w:rsid w:val="14211963"/>
    <w:rsid w:val="142160CA"/>
    <w:rsid w:val="142E4E6B"/>
    <w:rsid w:val="14332094"/>
    <w:rsid w:val="143B554F"/>
    <w:rsid w:val="144128ED"/>
    <w:rsid w:val="144D721A"/>
    <w:rsid w:val="14504C78"/>
    <w:rsid w:val="14552700"/>
    <w:rsid w:val="1455301F"/>
    <w:rsid w:val="145E0ED6"/>
    <w:rsid w:val="145F4E9E"/>
    <w:rsid w:val="1468041E"/>
    <w:rsid w:val="146A5814"/>
    <w:rsid w:val="146D4E79"/>
    <w:rsid w:val="147C1504"/>
    <w:rsid w:val="148112AD"/>
    <w:rsid w:val="14933736"/>
    <w:rsid w:val="149D19D1"/>
    <w:rsid w:val="14AD2447"/>
    <w:rsid w:val="14BD0C90"/>
    <w:rsid w:val="14BD7435"/>
    <w:rsid w:val="14D41B03"/>
    <w:rsid w:val="14EC7262"/>
    <w:rsid w:val="14F50637"/>
    <w:rsid w:val="14F56962"/>
    <w:rsid w:val="14FD3DC3"/>
    <w:rsid w:val="15052F44"/>
    <w:rsid w:val="152446F6"/>
    <w:rsid w:val="15274A34"/>
    <w:rsid w:val="152C74BF"/>
    <w:rsid w:val="152E54C4"/>
    <w:rsid w:val="1535555F"/>
    <w:rsid w:val="15382813"/>
    <w:rsid w:val="154B27A9"/>
    <w:rsid w:val="154B6CF6"/>
    <w:rsid w:val="15516306"/>
    <w:rsid w:val="155B06BC"/>
    <w:rsid w:val="155B6FCC"/>
    <w:rsid w:val="15620F8B"/>
    <w:rsid w:val="156514F3"/>
    <w:rsid w:val="15707694"/>
    <w:rsid w:val="157477F0"/>
    <w:rsid w:val="157F4B83"/>
    <w:rsid w:val="15864057"/>
    <w:rsid w:val="158A2F64"/>
    <w:rsid w:val="158C53F6"/>
    <w:rsid w:val="15946EC2"/>
    <w:rsid w:val="1594709F"/>
    <w:rsid w:val="159B1410"/>
    <w:rsid w:val="159D2E6C"/>
    <w:rsid w:val="15A625C0"/>
    <w:rsid w:val="15A70541"/>
    <w:rsid w:val="15A7643A"/>
    <w:rsid w:val="15AD4348"/>
    <w:rsid w:val="15AD7612"/>
    <w:rsid w:val="15B96153"/>
    <w:rsid w:val="15BC619F"/>
    <w:rsid w:val="15BF618A"/>
    <w:rsid w:val="15C40EFF"/>
    <w:rsid w:val="15CA097E"/>
    <w:rsid w:val="15D92955"/>
    <w:rsid w:val="15F5535B"/>
    <w:rsid w:val="15F569FA"/>
    <w:rsid w:val="15F656C7"/>
    <w:rsid w:val="15F85F00"/>
    <w:rsid w:val="15F969EC"/>
    <w:rsid w:val="16005D04"/>
    <w:rsid w:val="1607152F"/>
    <w:rsid w:val="160D7883"/>
    <w:rsid w:val="160E7A4D"/>
    <w:rsid w:val="16104DB0"/>
    <w:rsid w:val="1613433D"/>
    <w:rsid w:val="16200AF2"/>
    <w:rsid w:val="162E270B"/>
    <w:rsid w:val="162E2ADD"/>
    <w:rsid w:val="16313AA6"/>
    <w:rsid w:val="163267A4"/>
    <w:rsid w:val="16405266"/>
    <w:rsid w:val="164561DB"/>
    <w:rsid w:val="1651617C"/>
    <w:rsid w:val="166852CC"/>
    <w:rsid w:val="16696EE3"/>
    <w:rsid w:val="16713663"/>
    <w:rsid w:val="167518D2"/>
    <w:rsid w:val="168864E9"/>
    <w:rsid w:val="16907088"/>
    <w:rsid w:val="1697702E"/>
    <w:rsid w:val="169A4327"/>
    <w:rsid w:val="169D4FCC"/>
    <w:rsid w:val="16A26D59"/>
    <w:rsid w:val="16A31912"/>
    <w:rsid w:val="16A52825"/>
    <w:rsid w:val="16A60389"/>
    <w:rsid w:val="16AC66DD"/>
    <w:rsid w:val="16AD326E"/>
    <w:rsid w:val="16B06BAD"/>
    <w:rsid w:val="16B17712"/>
    <w:rsid w:val="16B95CF7"/>
    <w:rsid w:val="16C42B77"/>
    <w:rsid w:val="16D55B33"/>
    <w:rsid w:val="16D74218"/>
    <w:rsid w:val="16DD2E8B"/>
    <w:rsid w:val="16E376E7"/>
    <w:rsid w:val="16E40C30"/>
    <w:rsid w:val="16E72981"/>
    <w:rsid w:val="16EB66D9"/>
    <w:rsid w:val="16EE35CD"/>
    <w:rsid w:val="16F47BF5"/>
    <w:rsid w:val="16F500A9"/>
    <w:rsid w:val="16F872C3"/>
    <w:rsid w:val="16FA06E3"/>
    <w:rsid w:val="170167F2"/>
    <w:rsid w:val="17035AAC"/>
    <w:rsid w:val="17054499"/>
    <w:rsid w:val="170B0BD9"/>
    <w:rsid w:val="170D5EDA"/>
    <w:rsid w:val="17197EC3"/>
    <w:rsid w:val="171E2D1A"/>
    <w:rsid w:val="172E1BBE"/>
    <w:rsid w:val="173A6824"/>
    <w:rsid w:val="173B1FA1"/>
    <w:rsid w:val="173C594E"/>
    <w:rsid w:val="17503F57"/>
    <w:rsid w:val="17505DD6"/>
    <w:rsid w:val="17586CB0"/>
    <w:rsid w:val="17596CA9"/>
    <w:rsid w:val="17600681"/>
    <w:rsid w:val="17665D9F"/>
    <w:rsid w:val="17696EA4"/>
    <w:rsid w:val="17795030"/>
    <w:rsid w:val="177B0627"/>
    <w:rsid w:val="177D3C16"/>
    <w:rsid w:val="178501CB"/>
    <w:rsid w:val="178A042D"/>
    <w:rsid w:val="178A1F82"/>
    <w:rsid w:val="17920EA7"/>
    <w:rsid w:val="1797450B"/>
    <w:rsid w:val="17A644BF"/>
    <w:rsid w:val="17A92F07"/>
    <w:rsid w:val="17B23E0F"/>
    <w:rsid w:val="17B31B32"/>
    <w:rsid w:val="17B80549"/>
    <w:rsid w:val="17C063A0"/>
    <w:rsid w:val="17C16366"/>
    <w:rsid w:val="17C76A67"/>
    <w:rsid w:val="17DA0F7A"/>
    <w:rsid w:val="17DC2D7F"/>
    <w:rsid w:val="17E95276"/>
    <w:rsid w:val="17EA38A1"/>
    <w:rsid w:val="17EB77A3"/>
    <w:rsid w:val="17EC5E41"/>
    <w:rsid w:val="1806537C"/>
    <w:rsid w:val="18066C18"/>
    <w:rsid w:val="181C2683"/>
    <w:rsid w:val="181E4167"/>
    <w:rsid w:val="18341D76"/>
    <w:rsid w:val="18351C27"/>
    <w:rsid w:val="18553A22"/>
    <w:rsid w:val="18607956"/>
    <w:rsid w:val="186E420E"/>
    <w:rsid w:val="187A14AA"/>
    <w:rsid w:val="187B7B4F"/>
    <w:rsid w:val="1887188F"/>
    <w:rsid w:val="18A35548"/>
    <w:rsid w:val="18A63203"/>
    <w:rsid w:val="18A77689"/>
    <w:rsid w:val="18A816B2"/>
    <w:rsid w:val="18B25B64"/>
    <w:rsid w:val="18B8431F"/>
    <w:rsid w:val="18B90C48"/>
    <w:rsid w:val="18BC4ADF"/>
    <w:rsid w:val="18BD1521"/>
    <w:rsid w:val="18BD2E66"/>
    <w:rsid w:val="18BE7EAB"/>
    <w:rsid w:val="18CF2450"/>
    <w:rsid w:val="18DA12E6"/>
    <w:rsid w:val="18E62F4B"/>
    <w:rsid w:val="18E85386"/>
    <w:rsid w:val="18FC503B"/>
    <w:rsid w:val="19027C40"/>
    <w:rsid w:val="190E3326"/>
    <w:rsid w:val="190E3538"/>
    <w:rsid w:val="19164D1E"/>
    <w:rsid w:val="192D514C"/>
    <w:rsid w:val="193544CD"/>
    <w:rsid w:val="19443AA2"/>
    <w:rsid w:val="1945355B"/>
    <w:rsid w:val="194817FC"/>
    <w:rsid w:val="194A0D45"/>
    <w:rsid w:val="195159CB"/>
    <w:rsid w:val="195961D5"/>
    <w:rsid w:val="195C14E8"/>
    <w:rsid w:val="196515C3"/>
    <w:rsid w:val="197859DA"/>
    <w:rsid w:val="1980769C"/>
    <w:rsid w:val="19884F66"/>
    <w:rsid w:val="19917CFC"/>
    <w:rsid w:val="1997576B"/>
    <w:rsid w:val="1998697F"/>
    <w:rsid w:val="199A20B4"/>
    <w:rsid w:val="19A71B82"/>
    <w:rsid w:val="19B84C88"/>
    <w:rsid w:val="19C6694E"/>
    <w:rsid w:val="19D11E61"/>
    <w:rsid w:val="19D5618C"/>
    <w:rsid w:val="19E22401"/>
    <w:rsid w:val="19E23808"/>
    <w:rsid w:val="19F44B16"/>
    <w:rsid w:val="1A00532F"/>
    <w:rsid w:val="1A040FBD"/>
    <w:rsid w:val="1A067DCA"/>
    <w:rsid w:val="1A102A1C"/>
    <w:rsid w:val="1A13214F"/>
    <w:rsid w:val="1A434C13"/>
    <w:rsid w:val="1A4E18BB"/>
    <w:rsid w:val="1A5C550E"/>
    <w:rsid w:val="1A5E5759"/>
    <w:rsid w:val="1A61514E"/>
    <w:rsid w:val="1A624E9D"/>
    <w:rsid w:val="1A6F769D"/>
    <w:rsid w:val="1A712AE5"/>
    <w:rsid w:val="1A74386E"/>
    <w:rsid w:val="1A783427"/>
    <w:rsid w:val="1A7B0419"/>
    <w:rsid w:val="1A8A143B"/>
    <w:rsid w:val="1A954C9C"/>
    <w:rsid w:val="1AA67BD3"/>
    <w:rsid w:val="1AC70097"/>
    <w:rsid w:val="1ACC39D6"/>
    <w:rsid w:val="1AF7489C"/>
    <w:rsid w:val="1AFA3523"/>
    <w:rsid w:val="1AFD3AEA"/>
    <w:rsid w:val="1B05238D"/>
    <w:rsid w:val="1B13587B"/>
    <w:rsid w:val="1B1D44BA"/>
    <w:rsid w:val="1B2C07D2"/>
    <w:rsid w:val="1B2C5EE0"/>
    <w:rsid w:val="1B3604D3"/>
    <w:rsid w:val="1B364D11"/>
    <w:rsid w:val="1B3865C6"/>
    <w:rsid w:val="1B3E5EDE"/>
    <w:rsid w:val="1B433153"/>
    <w:rsid w:val="1B467529"/>
    <w:rsid w:val="1B4B00CA"/>
    <w:rsid w:val="1B566C78"/>
    <w:rsid w:val="1B5F1247"/>
    <w:rsid w:val="1B6307EA"/>
    <w:rsid w:val="1B79696C"/>
    <w:rsid w:val="1B7E1824"/>
    <w:rsid w:val="1B825166"/>
    <w:rsid w:val="1B890C23"/>
    <w:rsid w:val="1B9411FC"/>
    <w:rsid w:val="1B9D6CE8"/>
    <w:rsid w:val="1BA866D1"/>
    <w:rsid w:val="1BBB422B"/>
    <w:rsid w:val="1BC600B5"/>
    <w:rsid w:val="1BCD55F8"/>
    <w:rsid w:val="1BE011AE"/>
    <w:rsid w:val="1BE30F90"/>
    <w:rsid w:val="1BE31093"/>
    <w:rsid w:val="1BE956C8"/>
    <w:rsid w:val="1C022294"/>
    <w:rsid w:val="1C0B35D4"/>
    <w:rsid w:val="1C12573D"/>
    <w:rsid w:val="1C1D1EE2"/>
    <w:rsid w:val="1C234861"/>
    <w:rsid w:val="1C2E319B"/>
    <w:rsid w:val="1C3477C5"/>
    <w:rsid w:val="1C4F6563"/>
    <w:rsid w:val="1C545F3D"/>
    <w:rsid w:val="1C556488"/>
    <w:rsid w:val="1C563FE3"/>
    <w:rsid w:val="1C5A182A"/>
    <w:rsid w:val="1C62402E"/>
    <w:rsid w:val="1C62587C"/>
    <w:rsid w:val="1C6818E0"/>
    <w:rsid w:val="1C6F3BF6"/>
    <w:rsid w:val="1C722E7E"/>
    <w:rsid w:val="1C7D2EB6"/>
    <w:rsid w:val="1C805B43"/>
    <w:rsid w:val="1C852BB0"/>
    <w:rsid w:val="1C8D54A8"/>
    <w:rsid w:val="1C9651FD"/>
    <w:rsid w:val="1C9C41C6"/>
    <w:rsid w:val="1CA42FB6"/>
    <w:rsid w:val="1CB21A29"/>
    <w:rsid w:val="1CCB32EE"/>
    <w:rsid w:val="1CD23361"/>
    <w:rsid w:val="1CD35882"/>
    <w:rsid w:val="1CE302F7"/>
    <w:rsid w:val="1CEC4F96"/>
    <w:rsid w:val="1CF13B49"/>
    <w:rsid w:val="1CF52075"/>
    <w:rsid w:val="1CF70EE3"/>
    <w:rsid w:val="1CFE7E6D"/>
    <w:rsid w:val="1D011F4C"/>
    <w:rsid w:val="1D0D1F95"/>
    <w:rsid w:val="1D1C7AC2"/>
    <w:rsid w:val="1D1D6A85"/>
    <w:rsid w:val="1D207BFC"/>
    <w:rsid w:val="1D230741"/>
    <w:rsid w:val="1D2F0DCA"/>
    <w:rsid w:val="1D397D96"/>
    <w:rsid w:val="1D3A5DFA"/>
    <w:rsid w:val="1D3E30CF"/>
    <w:rsid w:val="1D3E57BA"/>
    <w:rsid w:val="1D3F5BF4"/>
    <w:rsid w:val="1D49558F"/>
    <w:rsid w:val="1D4B4B5A"/>
    <w:rsid w:val="1D584348"/>
    <w:rsid w:val="1D5D209F"/>
    <w:rsid w:val="1D6D4785"/>
    <w:rsid w:val="1D6E27CD"/>
    <w:rsid w:val="1D767ADA"/>
    <w:rsid w:val="1D7A0D45"/>
    <w:rsid w:val="1D845021"/>
    <w:rsid w:val="1D861B2D"/>
    <w:rsid w:val="1D896FB3"/>
    <w:rsid w:val="1D91741D"/>
    <w:rsid w:val="1D9318C5"/>
    <w:rsid w:val="1D941B55"/>
    <w:rsid w:val="1DAB7998"/>
    <w:rsid w:val="1DB01072"/>
    <w:rsid w:val="1DB2076E"/>
    <w:rsid w:val="1DB43F2E"/>
    <w:rsid w:val="1DBE6DCD"/>
    <w:rsid w:val="1DC2628A"/>
    <w:rsid w:val="1DCF57CE"/>
    <w:rsid w:val="1DD11EB5"/>
    <w:rsid w:val="1DD246EC"/>
    <w:rsid w:val="1DD63079"/>
    <w:rsid w:val="1DD859F5"/>
    <w:rsid w:val="1DDA6EEA"/>
    <w:rsid w:val="1DDD63A7"/>
    <w:rsid w:val="1DFC4DF9"/>
    <w:rsid w:val="1E0435A0"/>
    <w:rsid w:val="1E110D2A"/>
    <w:rsid w:val="1E1247A2"/>
    <w:rsid w:val="1E155062"/>
    <w:rsid w:val="1E193E9C"/>
    <w:rsid w:val="1E1B38E9"/>
    <w:rsid w:val="1E1B7186"/>
    <w:rsid w:val="1E303EF3"/>
    <w:rsid w:val="1E3F6D05"/>
    <w:rsid w:val="1E494B8A"/>
    <w:rsid w:val="1E4F0222"/>
    <w:rsid w:val="1E5C2AF3"/>
    <w:rsid w:val="1E795C41"/>
    <w:rsid w:val="1E7E640D"/>
    <w:rsid w:val="1E7F3A72"/>
    <w:rsid w:val="1E8064D3"/>
    <w:rsid w:val="1E861E21"/>
    <w:rsid w:val="1EA72270"/>
    <w:rsid w:val="1EBD6E42"/>
    <w:rsid w:val="1EC25D1C"/>
    <w:rsid w:val="1EC74AB4"/>
    <w:rsid w:val="1EC87ABC"/>
    <w:rsid w:val="1ED242FC"/>
    <w:rsid w:val="1ED56C03"/>
    <w:rsid w:val="1EDB3888"/>
    <w:rsid w:val="1EE05F54"/>
    <w:rsid w:val="1EE332A7"/>
    <w:rsid w:val="1EF579A0"/>
    <w:rsid w:val="1F05532C"/>
    <w:rsid w:val="1F095121"/>
    <w:rsid w:val="1F0C3604"/>
    <w:rsid w:val="1F0D0383"/>
    <w:rsid w:val="1F0F4C7A"/>
    <w:rsid w:val="1F1527EE"/>
    <w:rsid w:val="1F20034A"/>
    <w:rsid w:val="1F251ABC"/>
    <w:rsid w:val="1F290391"/>
    <w:rsid w:val="1F2A2D10"/>
    <w:rsid w:val="1F370102"/>
    <w:rsid w:val="1F3F0073"/>
    <w:rsid w:val="1F43546C"/>
    <w:rsid w:val="1F48506F"/>
    <w:rsid w:val="1F4B10C3"/>
    <w:rsid w:val="1F5C7F87"/>
    <w:rsid w:val="1F6C1D79"/>
    <w:rsid w:val="1F792E9A"/>
    <w:rsid w:val="1F7B67F6"/>
    <w:rsid w:val="1F7C518B"/>
    <w:rsid w:val="1F881F59"/>
    <w:rsid w:val="1F977565"/>
    <w:rsid w:val="1F9B644E"/>
    <w:rsid w:val="1FA429B4"/>
    <w:rsid w:val="1FB34801"/>
    <w:rsid w:val="1FB75185"/>
    <w:rsid w:val="1FB97163"/>
    <w:rsid w:val="1FBD0EE6"/>
    <w:rsid w:val="1FC10346"/>
    <w:rsid w:val="1FC16504"/>
    <w:rsid w:val="1FDB745E"/>
    <w:rsid w:val="1FDD028C"/>
    <w:rsid w:val="1FF955B0"/>
    <w:rsid w:val="1FFA3EAB"/>
    <w:rsid w:val="1FFB3FF4"/>
    <w:rsid w:val="20176E76"/>
    <w:rsid w:val="20270162"/>
    <w:rsid w:val="203F0CD6"/>
    <w:rsid w:val="20655E4F"/>
    <w:rsid w:val="207308C3"/>
    <w:rsid w:val="207411D3"/>
    <w:rsid w:val="20743131"/>
    <w:rsid w:val="207536DF"/>
    <w:rsid w:val="20783BF9"/>
    <w:rsid w:val="20786435"/>
    <w:rsid w:val="20811113"/>
    <w:rsid w:val="20874766"/>
    <w:rsid w:val="2088281D"/>
    <w:rsid w:val="2088475A"/>
    <w:rsid w:val="20917F9C"/>
    <w:rsid w:val="2094661E"/>
    <w:rsid w:val="20951ED4"/>
    <w:rsid w:val="20962536"/>
    <w:rsid w:val="20AF5726"/>
    <w:rsid w:val="20B50E80"/>
    <w:rsid w:val="20B71F63"/>
    <w:rsid w:val="20B7483F"/>
    <w:rsid w:val="20BD02A3"/>
    <w:rsid w:val="20BE1841"/>
    <w:rsid w:val="20D078F3"/>
    <w:rsid w:val="20D200AD"/>
    <w:rsid w:val="20D95B71"/>
    <w:rsid w:val="20DA60A5"/>
    <w:rsid w:val="20DB223A"/>
    <w:rsid w:val="20E51C80"/>
    <w:rsid w:val="20E61367"/>
    <w:rsid w:val="20EC58CB"/>
    <w:rsid w:val="20F17304"/>
    <w:rsid w:val="21014223"/>
    <w:rsid w:val="21200021"/>
    <w:rsid w:val="21257F04"/>
    <w:rsid w:val="21291A31"/>
    <w:rsid w:val="21353F50"/>
    <w:rsid w:val="2138052E"/>
    <w:rsid w:val="213C3CC5"/>
    <w:rsid w:val="214776EA"/>
    <w:rsid w:val="21522E38"/>
    <w:rsid w:val="2159046C"/>
    <w:rsid w:val="21592762"/>
    <w:rsid w:val="215F3A68"/>
    <w:rsid w:val="21611A31"/>
    <w:rsid w:val="21635586"/>
    <w:rsid w:val="21760888"/>
    <w:rsid w:val="217B17E2"/>
    <w:rsid w:val="218810BD"/>
    <w:rsid w:val="218D61A9"/>
    <w:rsid w:val="2190117D"/>
    <w:rsid w:val="219140F2"/>
    <w:rsid w:val="21994057"/>
    <w:rsid w:val="219A79A2"/>
    <w:rsid w:val="219F1479"/>
    <w:rsid w:val="21A34664"/>
    <w:rsid w:val="21B80E8C"/>
    <w:rsid w:val="21B91F5E"/>
    <w:rsid w:val="21C24072"/>
    <w:rsid w:val="21C73828"/>
    <w:rsid w:val="21D55950"/>
    <w:rsid w:val="21D965A1"/>
    <w:rsid w:val="21E11782"/>
    <w:rsid w:val="21E14B35"/>
    <w:rsid w:val="21E617C0"/>
    <w:rsid w:val="21EC3E44"/>
    <w:rsid w:val="21F2539C"/>
    <w:rsid w:val="21F65A58"/>
    <w:rsid w:val="21FB61D0"/>
    <w:rsid w:val="220B3AD6"/>
    <w:rsid w:val="22191ECB"/>
    <w:rsid w:val="221E272E"/>
    <w:rsid w:val="222A1FFE"/>
    <w:rsid w:val="222B075F"/>
    <w:rsid w:val="22367DC0"/>
    <w:rsid w:val="223C2D91"/>
    <w:rsid w:val="22426753"/>
    <w:rsid w:val="224D7BB0"/>
    <w:rsid w:val="22541D32"/>
    <w:rsid w:val="225474CD"/>
    <w:rsid w:val="225E1754"/>
    <w:rsid w:val="225F0409"/>
    <w:rsid w:val="226D42BA"/>
    <w:rsid w:val="227078B0"/>
    <w:rsid w:val="2271187B"/>
    <w:rsid w:val="22833161"/>
    <w:rsid w:val="228338C8"/>
    <w:rsid w:val="22840DDA"/>
    <w:rsid w:val="22876A0D"/>
    <w:rsid w:val="22A11695"/>
    <w:rsid w:val="22A63B38"/>
    <w:rsid w:val="22A73490"/>
    <w:rsid w:val="22A8489A"/>
    <w:rsid w:val="22AB3B60"/>
    <w:rsid w:val="22AF11A1"/>
    <w:rsid w:val="22B22D1F"/>
    <w:rsid w:val="22B33D99"/>
    <w:rsid w:val="22BB4A47"/>
    <w:rsid w:val="22BC2773"/>
    <w:rsid w:val="22BE29D6"/>
    <w:rsid w:val="22C27BE8"/>
    <w:rsid w:val="22C4003E"/>
    <w:rsid w:val="22D02654"/>
    <w:rsid w:val="22D10E4B"/>
    <w:rsid w:val="22D90210"/>
    <w:rsid w:val="22D912F9"/>
    <w:rsid w:val="22E1284D"/>
    <w:rsid w:val="22E73006"/>
    <w:rsid w:val="22EB3773"/>
    <w:rsid w:val="22EE13BE"/>
    <w:rsid w:val="22F31E85"/>
    <w:rsid w:val="22F71A54"/>
    <w:rsid w:val="22F74CC6"/>
    <w:rsid w:val="22FB2321"/>
    <w:rsid w:val="22FF6AA7"/>
    <w:rsid w:val="2306325F"/>
    <w:rsid w:val="230749DA"/>
    <w:rsid w:val="230753E2"/>
    <w:rsid w:val="230F5270"/>
    <w:rsid w:val="2311101C"/>
    <w:rsid w:val="231869B1"/>
    <w:rsid w:val="2319089C"/>
    <w:rsid w:val="231B2491"/>
    <w:rsid w:val="232515D0"/>
    <w:rsid w:val="232F45E5"/>
    <w:rsid w:val="23382F5D"/>
    <w:rsid w:val="233857DC"/>
    <w:rsid w:val="23443C8F"/>
    <w:rsid w:val="23561548"/>
    <w:rsid w:val="23561CD1"/>
    <w:rsid w:val="235E47B6"/>
    <w:rsid w:val="23644FB5"/>
    <w:rsid w:val="23646298"/>
    <w:rsid w:val="236B32CC"/>
    <w:rsid w:val="2372506B"/>
    <w:rsid w:val="2376691B"/>
    <w:rsid w:val="2378146C"/>
    <w:rsid w:val="238D2D50"/>
    <w:rsid w:val="238D66BE"/>
    <w:rsid w:val="239540DC"/>
    <w:rsid w:val="23965F67"/>
    <w:rsid w:val="23A00272"/>
    <w:rsid w:val="23A02531"/>
    <w:rsid w:val="23A11F4F"/>
    <w:rsid w:val="23B41225"/>
    <w:rsid w:val="23BA6237"/>
    <w:rsid w:val="23BC048E"/>
    <w:rsid w:val="23C9616F"/>
    <w:rsid w:val="23CC0919"/>
    <w:rsid w:val="23CE659F"/>
    <w:rsid w:val="23CF7FD3"/>
    <w:rsid w:val="23D4199E"/>
    <w:rsid w:val="23DC01C4"/>
    <w:rsid w:val="23DC60E2"/>
    <w:rsid w:val="23E17EC8"/>
    <w:rsid w:val="23E47406"/>
    <w:rsid w:val="23E91B93"/>
    <w:rsid w:val="23F6160A"/>
    <w:rsid w:val="23FB72B1"/>
    <w:rsid w:val="24026C92"/>
    <w:rsid w:val="24027DBA"/>
    <w:rsid w:val="240657B6"/>
    <w:rsid w:val="240B36D8"/>
    <w:rsid w:val="240C2CCA"/>
    <w:rsid w:val="240C553C"/>
    <w:rsid w:val="24323334"/>
    <w:rsid w:val="243336DA"/>
    <w:rsid w:val="24373DE9"/>
    <w:rsid w:val="243D6215"/>
    <w:rsid w:val="244F01D0"/>
    <w:rsid w:val="245226BE"/>
    <w:rsid w:val="245550BB"/>
    <w:rsid w:val="245A0102"/>
    <w:rsid w:val="2461318F"/>
    <w:rsid w:val="24662623"/>
    <w:rsid w:val="24673502"/>
    <w:rsid w:val="24676BCD"/>
    <w:rsid w:val="2468531E"/>
    <w:rsid w:val="24750E49"/>
    <w:rsid w:val="24860612"/>
    <w:rsid w:val="24872D53"/>
    <w:rsid w:val="248E7D90"/>
    <w:rsid w:val="249321BF"/>
    <w:rsid w:val="249C0D83"/>
    <w:rsid w:val="24A033EE"/>
    <w:rsid w:val="24B51B12"/>
    <w:rsid w:val="24C434A5"/>
    <w:rsid w:val="24CA496C"/>
    <w:rsid w:val="24D35568"/>
    <w:rsid w:val="24D72C44"/>
    <w:rsid w:val="24DB51FA"/>
    <w:rsid w:val="24E954E0"/>
    <w:rsid w:val="24F37FEF"/>
    <w:rsid w:val="24F82FB3"/>
    <w:rsid w:val="2504405A"/>
    <w:rsid w:val="251809ED"/>
    <w:rsid w:val="25241C4A"/>
    <w:rsid w:val="25265A8E"/>
    <w:rsid w:val="252A5159"/>
    <w:rsid w:val="25364407"/>
    <w:rsid w:val="25380B4A"/>
    <w:rsid w:val="253C2F3D"/>
    <w:rsid w:val="253C65AF"/>
    <w:rsid w:val="25410D56"/>
    <w:rsid w:val="254D55BA"/>
    <w:rsid w:val="254F6D5C"/>
    <w:rsid w:val="25644E19"/>
    <w:rsid w:val="256F1EB3"/>
    <w:rsid w:val="25720D21"/>
    <w:rsid w:val="257B7A7B"/>
    <w:rsid w:val="257C63F7"/>
    <w:rsid w:val="257E458B"/>
    <w:rsid w:val="258426BC"/>
    <w:rsid w:val="25867F54"/>
    <w:rsid w:val="258B4AE4"/>
    <w:rsid w:val="258C3B89"/>
    <w:rsid w:val="258C6B00"/>
    <w:rsid w:val="259114ED"/>
    <w:rsid w:val="2593720A"/>
    <w:rsid w:val="25996F48"/>
    <w:rsid w:val="259A3CB2"/>
    <w:rsid w:val="259E5828"/>
    <w:rsid w:val="25A92B92"/>
    <w:rsid w:val="25AB0A3D"/>
    <w:rsid w:val="25AC370D"/>
    <w:rsid w:val="25B22B68"/>
    <w:rsid w:val="25B5218E"/>
    <w:rsid w:val="25C15D16"/>
    <w:rsid w:val="25C55B83"/>
    <w:rsid w:val="25CD5BF1"/>
    <w:rsid w:val="25D31208"/>
    <w:rsid w:val="25DA65CA"/>
    <w:rsid w:val="25DB6649"/>
    <w:rsid w:val="25DD0809"/>
    <w:rsid w:val="25E27416"/>
    <w:rsid w:val="25E46656"/>
    <w:rsid w:val="25E47484"/>
    <w:rsid w:val="25E92FBE"/>
    <w:rsid w:val="25F17275"/>
    <w:rsid w:val="25F31E31"/>
    <w:rsid w:val="25F70EE4"/>
    <w:rsid w:val="25FC0B75"/>
    <w:rsid w:val="260139F3"/>
    <w:rsid w:val="260556D5"/>
    <w:rsid w:val="26080DD9"/>
    <w:rsid w:val="26082798"/>
    <w:rsid w:val="26095114"/>
    <w:rsid w:val="260E454E"/>
    <w:rsid w:val="261464EE"/>
    <w:rsid w:val="26280E6C"/>
    <w:rsid w:val="262E05B0"/>
    <w:rsid w:val="26327A25"/>
    <w:rsid w:val="26372014"/>
    <w:rsid w:val="263E0859"/>
    <w:rsid w:val="263E1A96"/>
    <w:rsid w:val="26405937"/>
    <w:rsid w:val="26433FB7"/>
    <w:rsid w:val="26452DA3"/>
    <w:rsid w:val="26474B98"/>
    <w:rsid w:val="264D3294"/>
    <w:rsid w:val="266A2AD6"/>
    <w:rsid w:val="266C2FED"/>
    <w:rsid w:val="26783498"/>
    <w:rsid w:val="267A33D1"/>
    <w:rsid w:val="268246BC"/>
    <w:rsid w:val="268B7473"/>
    <w:rsid w:val="26952295"/>
    <w:rsid w:val="269626DF"/>
    <w:rsid w:val="269B7137"/>
    <w:rsid w:val="26A265DC"/>
    <w:rsid w:val="26AE5F52"/>
    <w:rsid w:val="26AE6F7F"/>
    <w:rsid w:val="26B32654"/>
    <w:rsid w:val="26B40C48"/>
    <w:rsid w:val="26B8056C"/>
    <w:rsid w:val="26C87742"/>
    <w:rsid w:val="26E33E5B"/>
    <w:rsid w:val="26E70CA8"/>
    <w:rsid w:val="26F17CAD"/>
    <w:rsid w:val="26F54808"/>
    <w:rsid w:val="26FB5D95"/>
    <w:rsid w:val="26FC2F8C"/>
    <w:rsid w:val="27094F93"/>
    <w:rsid w:val="270E05C8"/>
    <w:rsid w:val="27101BFD"/>
    <w:rsid w:val="27172021"/>
    <w:rsid w:val="27190D99"/>
    <w:rsid w:val="271927EF"/>
    <w:rsid w:val="271A253D"/>
    <w:rsid w:val="271A4B23"/>
    <w:rsid w:val="271C2CE9"/>
    <w:rsid w:val="27235746"/>
    <w:rsid w:val="273E49F4"/>
    <w:rsid w:val="274321B1"/>
    <w:rsid w:val="27450C2D"/>
    <w:rsid w:val="274525DC"/>
    <w:rsid w:val="274652E6"/>
    <w:rsid w:val="27470851"/>
    <w:rsid w:val="27480748"/>
    <w:rsid w:val="274E0335"/>
    <w:rsid w:val="275D1356"/>
    <w:rsid w:val="275D4A89"/>
    <w:rsid w:val="27625310"/>
    <w:rsid w:val="27641213"/>
    <w:rsid w:val="277A2EC6"/>
    <w:rsid w:val="27841ADD"/>
    <w:rsid w:val="278B7262"/>
    <w:rsid w:val="278E7D5F"/>
    <w:rsid w:val="279429E3"/>
    <w:rsid w:val="27966F4A"/>
    <w:rsid w:val="27A74D7A"/>
    <w:rsid w:val="27A91AD2"/>
    <w:rsid w:val="27AE6E2D"/>
    <w:rsid w:val="27AF57B8"/>
    <w:rsid w:val="27B24596"/>
    <w:rsid w:val="27B25FFF"/>
    <w:rsid w:val="27BA12A7"/>
    <w:rsid w:val="27BA6BC4"/>
    <w:rsid w:val="27BC2EEA"/>
    <w:rsid w:val="27C93064"/>
    <w:rsid w:val="27C96B67"/>
    <w:rsid w:val="27CB38EC"/>
    <w:rsid w:val="27CB5FF9"/>
    <w:rsid w:val="27CC0A3D"/>
    <w:rsid w:val="27D34267"/>
    <w:rsid w:val="27D745E8"/>
    <w:rsid w:val="27E4169F"/>
    <w:rsid w:val="27E476BC"/>
    <w:rsid w:val="27EA3B97"/>
    <w:rsid w:val="27EF0430"/>
    <w:rsid w:val="27F32107"/>
    <w:rsid w:val="27FA5F82"/>
    <w:rsid w:val="28014303"/>
    <w:rsid w:val="280410A7"/>
    <w:rsid w:val="281713C1"/>
    <w:rsid w:val="28202089"/>
    <w:rsid w:val="28210C3B"/>
    <w:rsid w:val="283E3927"/>
    <w:rsid w:val="28432F7C"/>
    <w:rsid w:val="285065F4"/>
    <w:rsid w:val="28557C44"/>
    <w:rsid w:val="28564AD0"/>
    <w:rsid w:val="285E1540"/>
    <w:rsid w:val="28634EA7"/>
    <w:rsid w:val="2868554F"/>
    <w:rsid w:val="286A70A6"/>
    <w:rsid w:val="286D715D"/>
    <w:rsid w:val="28710251"/>
    <w:rsid w:val="287270BD"/>
    <w:rsid w:val="287508F6"/>
    <w:rsid w:val="288C7056"/>
    <w:rsid w:val="288F598A"/>
    <w:rsid w:val="289910F7"/>
    <w:rsid w:val="28A14F66"/>
    <w:rsid w:val="28A4234C"/>
    <w:rsid w:val="28A63531"/>
    <w:rsid w:val="28A773FC"/>
    <w:rsid w:val="28CA5B35"/>
    <w:rsid w:val="28D02425"/>
    <w:rsid w:val="28D527CA"/>
    <w:rsid w:val="28DB1A3D"/>
    <w:rsid w:val="28F729CE"/>
    <w:rsid w:val="28F934CA"/>
    <w:rsid w:val="28FA5F7F"/>
    <w:rsid w:val="29056F59"/>
    <w:rsid w:val="2907017C"/>
    <w:rsid w:val="291218C3"/>
    <w:rsid w:val="2912731C"/>
    <w:rsid w:val="29150A19"/>
    <w:rsid w:val="29157321"/>
    <w:rsid w:val="291F35AA"/>
    <w:rsid w:val="2925391D"/>
    <w:rsid w:val="292B0670"/>
    <w:rsid w:val="292E0A29"/>
    <w:rsid w:val="29325A72"/>
    <w:rsid w:val="2938341E"/>
    <w:rsid w:val="293A6E92"/>
    <w:rsid w:val="29566904"/>
    <w:rsid w:val="29582224"/>
    <w:rsid w:val="29585835"/>
    <w:rsid w:val="296074D7"/>
    <w:rsid w:val="29712D8F"/>
    <w:rsid w:val="29736267"/>
    <w:rsid w:val="297B31D3"/>
    <w:rsid w:val="298103BD"/>
    <w:rsid w:val="298D4850"/>
    <w:rsid w:val="29971F57"/>
    <w:rsid w:val="299C7DCA"/>
    <w:rsid w:val="29A021A8"/>
    <w:rsid w:val="29A942FB"/>
    <w:rsid w:val="29B344DC"/>
    <w:rsid w:val="29B539E6"/>
    <w:rsid w:val="29BA1399"/>
    <w:rsid w:val="29BC2699"/>
    <w:rsid w:val="29C8428C"/>
    <w:rsid w:val="29D4298C"/>
    <w:rsid w:val="29DD7E33"/>
    <w:rsid w:val="29E31C9C"/>
    <w:rsid w:val="29E55C12"/>
    <w:rsid w:val="29E81D60"/>
    <w:rsid w:val="29F035C0"/>
    <w:rsid w:val="29F05E16"/>
    <w:rsid w:val="29F54832"/>
    <w:rsid w:val="2A111075"/>
    <w:rsid w:val="2A160D87"/>
    <w:rsid w:val="2A307EBE"/>
    <w:rsid w:val="2A3E413F"/>
    <w:rsid w:val="2A430F4D"/>
    <w:rsid w:val="2A534A67"/>
    <w:rsid w:val="2A5F67A3"/>
    <w:rsid w:val="2A6151C4"/>
    <w:rsid w:val="2A664C59"/>
    <w:rsid w:val="2A6B464E"/>
    <w:rsid w:val="2A944B48"/>
    <w:rsid w:val="2A9A0F2B"/>
    <w:rsid w:val="2AA07917"/>
    <w:rsid w:val="2AA1140C"/>
    <w:rsid w:val="2AA67F8B"/>
    <w:rsid w:val="2AAA31D9"/>
    <w:rsid w:val="2AAC289A"/>
    <w:rsid w:val="2AB138BA"/>
    <w:rsid w:val="2AC51079"/>
    <w:rsid w:val="2ACA0984"/>
    <w:rsid w:val="2AD05182"/>
    <w:rsid w:val="2AE47A17"/>
    <w:rsid w:val="2AEB2740"/>
    <w:rsid w:val="2AF44191"/>
    <w:rsid w:val="2AF74347"/>
    <w:rsid w:val="2B0A4D59"/>
    <w:rsid w:val="2B1A32A0"/>
    <w:rsid w:val="2B26693B"/>
    <w:rsid w:val="2B2F1FC7"/>
    <w:rsid w:val="2B2F2F22"/>
    <w:rsid w:val="2B37764D"/>
    <w:rsid w:val="2B3F6547"/>
    <w:rsid w:val="2B4F2967"/>
    <w:rsid w:val="2B5C1A7C"/>
    <w:rsid w:val="2B6525E9"/>
    <w:rsid w:val="2B6E19DB"/>
    <w:rsid w:val="2B756050"/>
    <w:rsid w:val="2B7C5660"/>
    <w:rsid w:val="2B8944AA"/>
    <w:rsid w:val="2B92679C"/>
    <w:rsid w:val="2B96506D"/>
    <w:rsid w:val="2B986BC6"/>
    <w:rsid w:val="2BA16669"/>
    <w:rsid w:val="2BAE20A5"/>
    <w:rsid w:val="2BAF2381"/>
    <w:rsid w:val="2BB1376A"/>
    <w:rsid w:val="2BBA7E05"/>
    <w:rsid w:val="2BBB17D5"/>
    <w:rsid w:val="2BC3413A"/>
    <w:rsid w:val="2BC45396"/>
    <w:rsid w:val="2BD540AD"/>
    <w:rsid w:val="2BF336C9"/>
    <w:rsid w:val="2BF33ED5"/>
    <w:rsid w:val="2BFB7405"/>
    <w:rsid w:val="2C006833"/>
    <w:rsid w:val="2C034F7B"/>
    <w:rsid w:val="2C040D89"/>
    <w:rsid w:val="2C0509D9"/>
    <w:rsid w:val="2C05481D"/>
    <w:rsid w:val="2C056AF9"/>
    <w:rsid w:val="2C247FF1"/>
    <w:rsid w:val="2C3C0030"/>
    <w:rsid w:val="2C3F3887"/>
    <w:rsid w:val="2C45016F"/>
    <w:rsid w:val="2C516E38"/>
    <w:rsid w:val="2C533A6A"/>
    <w:rsid w:val="2C560EA3"/>
    <w:rsid w:val="2C617496"/>
    <w:rsid w:val="2C62156F"/>
    <w:rsid w:val="2C6F41F6"/>
    <w:rsid w:val="2C730778"/>
    <w:rsid w:val="2C7E030A"/>
    <w:rsid w:val="2C833FFB"/>
    <w:rsid w:val="2C8F430E"/>
    <w:rsid w:val="2C970335"/>
    <w:rsid w:val="2CA21894"/>
    <w:rsid w:val="2CA4476E"/>
    <w:rsid w:val="2CAD4F6B"/>
    <w:rsid w:val="2CB17FD2"/>
    <w:rsid w:val="2CC16AFA"/>
    <w:rsid w:val="2CC95D10"/>
    <w:rsid w:val="2CCB5A72"/>
    <w:rsid w:val="2CD57684"/>
    <w:rsid w:val="2CD67A0B"/>
    <w:rsid w:val="2CD75666"/>
    <w:rsid w:val="2CD83FF1"/>
    <w:rsid w:val="2CDC6591"/>
    <w:rsid w:val="2CDE08F2"/>
    <w:rsid w:val="2CE03AB0"/>
    <w:rsid w:val="2CEB494F"/>
    <w:rsid w:val="2CEF53E3"/>
    <w:rsid w:val="2CF53A56"/>
    <w:rsid w:val="2CF649A9"/>
    <w:rsid w:val="2CFC27E4"/>
    <w:rsid w:val="2D0B702A"/>
    <w:rsid w:val="2D107EBA"/>
    <w:rsid w:val="2D1B67A1"/>
    <w:rsid w:val="2D1F4BCA"/>
    <w:rsid w:val="2D221AAA"/>
    <w:rsid w:val="2D2651C9"/>
    <w:rsid w:val="2D476C62"/>
    <w:rsid w:val="2D504333"/>
    <w:rsid w:val="2D521264"/>
    <w:rsid w:val="2D567058"/>
    <w:rsid w:val="2D57290A"/>
    <w:rsid w:val="2D5D7FE8"/>
    <w:rsid w:val="2D5E7E01"/>
    <w:rsid w:val="2D6030A2"/>
    <w:rsid w:val="2D660EF9"/>
    <w:rsid w:val="2D6C2B47"/>
    <w:rsid w:val="2D763F45"/>
    <w:rsid w:val="2D820204"/>
    <w:rsid w:val="2D8402FC"/>
    <w:rsid w:val="2D88024C"/>
    <w:rsid w:val="2D935488"/>
    <w:rsid w:val="2D960FB5"/>
    <w:rsid w:val="2D9B4423"/>
    <w:rsid w:val="2DAC2EF4"/>
    <w:rsid w:val="2DAD4BCD"/>
    <w:rsid w:val="2DB453FF"/>
    <w:rsid w:val="2DBE4237"/>
    <w:rsid w:val="2DCB10F0"/>
    <w:rsid w:val="2DCB38A1"/>
    <w:rsid w:val="2DD066E9"/>
    <w:rsid w:val="2DDC0ED4"/>
    <w:rsid w:val="2DE3054F"/>
    <w:rsid w:val="2DE7186E"/>
    <w:rsid w:val="2DF036FB"/>
    <w:rsid w:val="2DF21CB3"/>
    <w:rsid w:val="2DFD78B4"/>
    <w:rsid w:val="2DFE083B"/>
    <w:rsid w:val="2E0708FF"/>
    <w:rsid w:val="2E11457C"/>
    <w:rsid w:val="2E1643B9"/>
    <w:rsid w:val="2E184C0F"/>
    <w:rsid w:val="2E1F18AD"/>
    <w:rsid w:val="2E28757C"/>
    <w:rsid w:val="2E2C723F"/>
    <w:rsid w:val="2E332EEF"/>
    <w:rsid w:val="2E3F6B8A"/>
    <w:rsid w:val="2E406C31"/>
    <w:rsid w:val="2E467FE7"/>
    <w:rsid w:val="2E527715"/>
    <w:rsid w:val="2E530660"/>
    <w:rsid w:val="2E531152"/>
    <w:rsid w:val="2E565287"/>
    <w:rsid w:val="2E5F1E47"/>
    <w:rsid w:val="2E682652"/>
    <w:rsid w:val="2E6B6D27"/>
    <w:rsid w:val="2E7A506F"/>
    <w:rsid w:val="2E7B0600"/>
    <w:rsid w:val="2E7B273D"/>
    <w:rsid w:val="2E7D30EA"/>
    <w:rsid w:val="2E8028E0"/>
    <w:rsid w:val="2E88139A"/>
    <w:rsid w:val="2E8B051E"/>
    <w:rsid w:val="2E8F062E"/>
    <w:rsid w:val="2E905D65"/>
    <w:rsid w:val="2E9D560F"/>
    <w:rsid w:val="2E9F7EC1"/>
    <w:rsid w:val="2EA234E1"/>
    <w:rsid w:val="2EB17C70"/>
    <w:rsid w:val="2EB411B5"/>
    <w:rsid w:val="2EBD49E1"/>
    <w:rsid w:val="2EBF0ED1"/>
    <w:rsid w:val="2EC42186"/>
    <w:rsid w:val="2EC7495E"/>
    <w:rsid w:val="2EC776BB"/>
    <w:rsid w:val="2ECA39AD"/>
    <w:rsid w:val="2ECC0C07"/>
    <w:rsid w:val="2ED03009"/>
    <w:rsid w:val="2EF224CD"/>
    <w:rsid w:val="2EF67D61"/>
    <w:rsid w:val="2EFA2F2B"/>
    <w:rsid w:val="2F2E23A6"/>
    <w:rsid w:val="2F350F19"/>
    <w:rsid w:val="2F383567"/>
    <w:rsid w:val="2F3B1918"/>
    <w:rsid w:val="2F415DC8"/>
    <w:rsid w:val="2F514AAE"/>
    <w:rsid w:val="2F531FEB"/>
    <w:rsid w:val="2F5B5B3B"/>
    <w:rsid w:val="2F615468"/>
    <w:rsid w:val="2F655F0E"/>
    <w:rsid w:val="2F6B73F9"/>
    <w:rsid w:val="2F6D4FA6"/>
    <w:rsid w:val="2F743486"/>
    <w:rsid w:val="2F756E65"/>
    <w:rsid w:val="2F77354F"/>
    <w:rsid w:val="2F7A7069"/>
    <w:rsid w:val="2F897AA1"/>
    <w:rsid w:val="2F8D4D67"/>
    <w:rsid w:val="2F8E2F8D"/>
    <w:rsid w:val="2F9051B8"/>
    <w:rsid w:val="2F910893"/>
    <w:rsid w:val="2F9A69D2"/>
    <w:rsid w:val="2F9C6646"/>
    <w:rsid w:val="2F9D4AA3"/>
    <w:rsid w:val="2F9F094E"/>
    <w:rsid w:val="2FB11323"/>
    <w:rsid w:val="2FBB6A2A"/>
    <w:rsid w:val="2FCB0952"/>
    <w:rsid w:val="2FD53529"/>
    <w:rsid w:val="2FD80709"/>
    <w:rsid w:val="2FDF2368"/>
    <w:rsid w:val="2FDF7CD4"/>
    <w:rsid w:val="2FEC08C6"/>
    <w:rsid w:val="2FF532B7"/>
    <w:rsid w:val="2FF674CB"/>
    <w:rsid w:val="2FF7251F"/>
    <w:rsid w:val="30007788"/>
    <w:rsid w:val="301977C7"/>
    <w:rsid w:val="30205153"/>
    <w:rsid w:val="30253FAB"/>
    <w:rsid w:val="30270D6F"/>
    <w:rsid w:val="303B3B59"/>
    <w:rsid w:val="303C0C41"/>
    <w:rsid w:val="303D6437"/>
    <w:rsid w:val="30443F81"/>
    <w:rsid w:val="305831D6"/>
    <w:rsid w:val="305A4537"/>
    <w:rsid w:val="30632880"/>
    <w:rsid w:val="3070014A"/>
    <w:rsid w:val="307B4FFA"/>
    <w:rsid w:val="308136E0"/>
    <w:rsid w:val="3095375A"/>
    <w:rsid w:val="309B2688"/>
    <w:rsid w:val="30A90B96"/>
    <w:rsid w:val="30A91070"/>
    <w:rsid w:val="30B86332"/>
    <w:rsid w:val="30C91D87"/>
    <w:rsid w:val="30D10B78"/>
    <w:rsid w:val="30D251E3"/>
    <w:rsid w:val="30D36EB7"/>
    <w:rsid w:val="30D45137"/>
    <w:rsid w:val="30D51A41"/>
    <w:rsid w:val="30E7233C"/>
    <w:rsid w:val="31076B28"/>
    <w:rsid w:val="31076EFA"/>
    <w:rsid w:val="310866BC"/>
    <w:rsid w:val="31154DED"/>
    <w:rsid w:val="31215B33"/>
    <w:rsid w:val="312A36B1"/>
    <w:rsid w:val="313A2CAC"/>
    <w:rsid w:val="313E6356"/>
    <w:rsid w:val="31460C29"/>
    <w:rsid w:val="314B3239"/>
    <w:rsid w:val="315B21E9"/>
    <w:rsid w:val="315B5E62"/>
    <w:rsid w:val="31604DC0"/>
    <w:rsid w:val="31607973"/>
    <w:rsid w:val="3163108E"/>
    <w:rsid w:val="3167538F"/>
    <w:rsid w:val="317544CD"/>
    <w:rsid w:val="31765162"/>
    <w:rsid w:val="317A487D"/>
    <w:rsid w:val="31833BCE"/>
    <w:rsid w:val="318A1515"/>
    <w:rsid w:val="31944F6F"/>
    <w:rsid w:val="31963456"/>
    <w:rsid w:val="31A51052"/>
    <w:rsid w:val="31A84B64"/>
    <w:rsid w:val="31B12D3C"/>
    <w:rsid w:val="31B2653B"/>
    <w:rsid w:val="31B266EC"/>
    <w:rsid w:val="31B45163"/>
    <w:rsid w:val="31B81D35"/>
    <w:rsid w:val="31C3729F"/>
    <w:rsid w:val="31CB617D"/>
    <w:rsid w:val="31CC0ECB"/>
    <w:rsid w:val="31DD2EC1"/>
    <w:rsid w:val="31DF1DB8"/>
    <w:rsid w:val="31F020DC"/>
    <w:rsid w:val="31F072F8"/>
    <w:rsid w:val="32061C7F"/>
    <w:rsid w:val="320A52D8"/>
    <w:rsid w:val="320D2005"/>
    <w:rsid w:val="32136025"/>
    <w:rsid w:val="32220D79"/>
    <w:rsid w:val="32252577"/>
    <w:rsid w:val="32294648"/>
    <w:rsid w:val="322F0831"/>
    <w:rsid w:val="3238009F"/>
    <w:rsid w:val="323F5519"/>
    <w:rsid w:val="32471CC6"/>
    <w:rsid w:val="324F0134"/>
    <w:rsid w:val="32540593"/>
    <w:rsid w:val="32582CC3"/>
    <w:rsid w:val="327179A4"/>
    <w:rsid w:val="32775626"/>
    <w:rsid w:val="32835AB1"/>
    <w:rsid w:val="328A3A5F"/>
    <w:rsid w:val="328D7371"/>
    <w:rsid w:val="328E2231"/>
    <w:rsid w:val="329326B7"/>
    <w:rsid w:val="329426A2"/>
    <w:rsid w:val="329708DE"/>
    <w:rsid w:val="32AD1211"/>
    <w:rsid w:val="32E12F9A"/>
    <w:rsid w:val="32E87F66"/>
    <w:rsid w:val="32EC46FB"/>
    <w:rsid w:val="32FF12B8"/>
    <w:rsid w:val="330073AA"/>
    <w:rsid w:val="33020BF1"/>
    <w:rsid w:val="330710D7"/>
    <w:rsid w:val="33224534"/>
    <w:rsid w:val="332742E9"/>
    <w:rsid w:val="332A1AC1"/>
    <w:rsid w:val="332C71E1"/>
    <w:rsid w:val="332E1BC2"/>
    <w:rsid w:val="332F3B66"/>
    <w:rsid w:val="333B116B"/>
    <w:rsid w:val="33427ABB"/>
    <w:rsid w:val="33616D4E"/>
    <w:rsid w:val="33821BAB"/>
    <w:rsid w:val="338378EA"/>
    <w:rsid w:val="33885755"/>
    <w:rsid w:val="339E18BC"/>
    <w:rsid w:val="33A57822"/>
    <w:rsid w:val="33A77C3C"/>
    <w:rsid w:val="33AA7345"/>
    <w:rsid w:val="33B37087"/>
    <w:rsid w:val="33BA7C82"/>
    <w:rsid w:val="33BC4D91"/>
    <w:rsid w:val="33BF4D9D"/>
    <w:rsid w:val="33C233CD"/>
    <w:rsid w:val="33C504FF"/>
    <w:rsid w:val="33C968FA"/>
    <w:rsid w:val="33D23DF5"/>
    <w:rsid w:val="33D246C3"/>
    <w:rsid w:val="33DF11C8"/>
    <w:rsid w:val="33E442C9"/>
    <w:rsid w:val="33E61B12"/>
    <w:rsid w:val="33EF44FC"/>
    <w:rsid w:val="33FE7E15"/>
    <w:rsid w:val="33FF1154"/>
    <w:rsid w:val="340074AF"/>
    <w:rsid w:val="340948E1"/>
    <w:rsid w:val="340D3904"/>
    <w:rsid w:val="341212B1"/>
    <w:rsid w:val="341321BE"/>
    <w:rsid w:val="34155C01"/>
    <w:rsid w:val="34293255"/>
    <w:rsid w:val="34314E1D"/>
    <w:rsid w:val="34374868"/>
    <w:rsid w:val="343D2D4C"/>
    <w:rsid w:val="34417702"/>
    <w:rsid w:val="34417EB0"/>
    <w:rsid w:val="3446518F"/>
    <w:rsid w:val="344A296C"/>
    <w:rsid w:val="344C25CD"/>
    <w:rsid w:val="344E045C"/>
    <w:rsid w:val="344F610D"/>
    <w:rsid w:val="345232B0"/>
    <w:rsid w:val="345A0779"/>
    <w:rsid w:val="345B15DB"/>
    <w:rsid w:val="346B1ADA"/>
    <w:rsid w:val="346C4A94"/>
    <w:rsid w:val="346E7A5A"/>
    <w:rsid w:val="3477244E"/>
    <w:rsid w:val="34782617"/>
    <w:rsid w:val="347946FA"/>
    <w:rsid w:val="347A6171"/>
    <w:rsid w:val="348440EB"/>
    <w:rsid w:val="348D33D3"/>
    <w:rsid w:val="3496737A"/>
    <w:rsid w:val="34A238C5"/>
    <w:rsid w:val="34AC0653"/>
    <w:rsid w:val="34AC2DE9"/>
    <w:rsid w:val="34B24855"/>
    <w:rsid w:val="34B84D9B"/>
    <w:rsid w:val="34BE7103"/>
    <w:rsid w:val="34CE3369"/>
    <w:rsid w:val="34DC1C67"/>
    <w:rsid w:val="34E47162"/>
    <w:rsid w:val="34E664D6"/>
    <w:rsid w:val="34F64CDD"/>
    <w:rsid w:val="34FF095B"/>
    <w:rsid w:val="3500311A"/>
    <w:rsid w:val="350B76BF"/>
    <w:rsid w:val="350C5C16"/>
    <w:rsid w:val="351710F0"/>
    <w:rsid w:val="351F4B47"/>
    <w:rsid w:val="352E435E"/>
    <w:rsid w:val="3534069E"/>
    <w:rsid w:val="353807E2"/>
    <w:rsid w:val="353D45FA"/>
    <w:rsid w:val="353F0E06"/>
    <w:rsid w:val="35422CF2"/>
    <w:rsid w:val="35505013"/>
    <w:rsid w:val="356D51F7"/>
    <w:rsid w:val="357972DF"/>
    <w:rsid w:val="357D79D3"/>
    <w:rsid w:val="35804F9D"/>
    <w:rsid w:val="35843B49"/>
    <w:rsid w:val="35884385"/>
    <w:rsid w:val="35890016"/>
    <w:rsid w:val="358B0F26"/>
    <w:rsid w:val="35924A15"/>
    <w:rsid w:val="359753B1"/>
    <w:rsid w:val="35A25468"/>
    <w:rsid w:val="35AC56FE"/>
    <w:rsid w:val="35C3354B"/>
    <w:rsid w:val="35DF2011"/>
    <w:rsid w:val="35E1012B"/>
    <w:rsid w:val="35E1505C"/>
    <w:rsid w:val="35E328B8"/>
    <w:rsid w:val="35E3701E"/>
    <w:rsid w:val="35E420DE"/>
    <w:rsid w:val="35E607CD"/>
    <w:rsid w:val="35EB34A9"/>
    <w:rsid w:val="35EC6F4A"/>
    <w:rsid w:val="35EE6A38"/>
    <w:rsid w:val="35F5734F"/>
    <w:rsid w:val="35F65884"/>
    <w:rsid w:val="35F715DC"/>
    <w:rsid w:val="36057267"/>
    <w:rsid w:val="362131A7"/>
    <w:rsid w:val="362E1546"/>
    <w:rsid w:val="36330CA5"/>
    <w:rsid w:val="364236D7"/>
    <w:rsid w:val="3654563C"/>
    <w:rsid w:val="365763B3"/>
    <w:rsid w:val="366F70DE"/>
    <w:rsid w:val="367C0A7E"/>
    <w:rsid w:val="36856B5A"/>
    <w:rsid w:val="36883C27"/>
    <w:rsid w:val="36950061"/>
    <w:rsid w:val="36A32443"/>
    <w:rsid w:val="36A61ADA"/>
    <w:rsid w:val="36AC504E"/>
    <w:rsid w:val="36B45F51"/>
    <w:rsid w:val="36B7013F"/>
    <w:rsid w:val="36D40D9D"/>
    <w:rsid w:val="36D71D0D"/>
    <w:rsid w:val="36E17BD4"/>
    <w:rsid w:val="36E30071"/>
    <w:rsid w:val="36E31151"/>
    <w:rsid w:val="36E61D1E"/>
    <w:rsid w:val="36EF4947"/>
    <w:rsid w:val="36F76FAD"/>
    <w:rsid w:val="37060D5C"/>
    <w:rsid w:val="370F6D7D"/>
    <w:rsid w:val="3711176D"/>
    <w:rsid w:val="37113E21"/>
    <w:rsid w:val="37244D17"/>
    <w:rsid w:val="373F483B"/>
    <w:rsid w:val="37451D56"/>
    <w:rsid w:val="375C645A"/>
    <w:rsid w:val="37633810"/>
    <w:rsid w:val="37737FCD"/>
    <w:rsid w:val="377E4EC2"/>
    <w:rsid w:val="37831AFE"/>
    <w:rsid w:val="37855CA5"/>
    <w:rsid w:val="379747E4"/>
    <w:rsid w:val="37A10A3C"/>
    <w:rsid w:val="37A32862"/>
    <w:rsid w:val="37A771F1"/>
    <w:rsid w:val="37AA1FED"/>
    <w:rsid w:val="37B033F0"/>
    <w:rsid w:val="37B25951"/>
    <w:rsid w:val="37B82D37"/>
    <w:rsid w:val="37BB1880"/>
    <w:rsid w:val="37BF7DD8"/>
    <w:rsid w:val="37CA6F5D"/>
    <w:rsid w:val="37CF39F4"/>
    <w:rsid w:val="37DF4E44"/>
    <w:rsid w:val="38093CF4"/>
    <w:rsid w:val="38132FDB"/>
    <w:rsid w:val="381523AC"/>
    <w:rsid w:val="3816611D"/>
    <w:rsid w:val="381D6FCC"/>
    <w:rsid w:val="382563C3"/>
    <w:rsid w:val="382B10C6"/>
    <w:rsid w:val="384502C9"/>
    <w:rsid w:val="384757BF"/>
    <w:rsid w:val="384A568A"/>
    <w:rsid w:val="384C2E85"/>
    <w:rsid w:val="384D7A6B"/>
    <w:rsid w:val="38527F5E"/>
    <w:rsid w:val="38576EB1"/>
    <w:rsid w:val="385B78DA"/>
    <w:rsid w:val="386B3647"/>
    <w:rsid w:val="386F64C6"/>
    <w:rsid w:val="38755246"/>
    <w:rsid w:val="38850F2D"/>
    <w:rsid w:val="388F47CD"/>
    <w:rsid w:val="3891497A"/>
    <w:rsid w:val="38934709"/>
    <w:rsid w:val="3899545E"/>
    <w:rsid w:val="389B63CB"/>
    <w:rsid w:val="389D36E7"/>
    <w:rsid w:val="38AD0AAC"/>
    <w:rsid w:val="38AF121A"/>
    <w:rsid w:val="38B10DA8"/>
    <w:rsid w:val="38B94B51"/>
    <w:rsid w:val="38B976FB"/>
    <w:rsid w:val="38BB5EDA"/>
    <w:rsid w:val="38C6779A"/>
    <w:rsid w:val="38DC2A26"/>
    <w:rsid w:val="38DC5040"/>
    <w:rsid w:val="38EA0958"/>
    <w:rsid w:val="38EA292A"/>
    <w:rsid w:val="38EB3140"/>
    <w:rsid w:val="38F71493"/>
    <w:rsid w:val="38FC7F68"/>
    <w:rsid w:val="390150BD"/>
    <w:rsid w:val="39015BC8"/>
    <w:rsid w:val="39132EBE"/>
    <w:rsid w:val="3923223F"/>
    <w:rsid w:val="393F3649"/>
    <w:rsid w:val="39434B25"/>
    <w:rsid w:val="39442CC4"/>
    <w:rsid w:val="394A3B36"/>
    <w:rsid w:val="394C053B"/>
    <w:rsid w:val="394E0439"/>
    <w:rsid w:val="39532D05"/>
    <w:rsid w:val="395A1855"/>
    <w:rsid w:val="395E1405"/>
    <w:rsid w:val="3962425A"/>
    <w:rsid w:val="396E504E"/>
    <w:rsid w:val="396F7993"/>
    <w:rsid w:val="39741673"/>
    <w:rsid w:val="397F2866"/>
    <w:rsid w:val="39850A26"/>
    <w:rsid w:val="39893783"/>
    <w:rsid w:val="399108C7"/>
    <w:rsid w:val="399B6654"/>
    <w:rsid w:val="399C23C2"/>
    <w:rsid w:val="399E7C65"/>
    <w:rsid w:val="39A118CD"/>
    <w:rsid w:val="39A337DD"/>
    <w:rsid w:val="39B1002C"/>
    <w:rsid w:val="39B75345"/>
    <w:rsid w:val="39BA1CF7"/>
    <w:rsid w:val="39BA2065"/>
    <w:rsid w:val="39C83126"/>
    <w:rsid w:val="39CD4753"/>
    <w:rsid w:val="39D037AF"/>
    <w:rsid w:val="39D466BD"/>
    <w:rsid w:val="39D7158B"/>
    <w:rsid w:val="39DC1B39"/>
    <w:rsid w:val="39E03897"/>
    <w:rsid w:val="39E125BA"/>
    <w:rsid w:val="39EE1B0B"/>
    <w:rsid w:val="39F17FFD"/>
    <w:rsid w:val="3A03384A"/>
    <w:rsid w:val="3A066160"/>
    <w:rsid w:val="3A0D48B1"/>
    <w:rsid w:val="3A1810FA"/>
    <w:rsid w:val="3A2441B7"/>
    <w:rsid w:val="3A274488"/>
    <w:rsid w:val="3A28048B"/>
    <w:rsid w:val="3A336331"/>
    <w:rsid w:val="3A425B7A"/>
    <w:rsid w:val="3A431472"/>
    <w:rsid w:val="3A474B1C"/>
    <w:rsid w:val="3A5207B4"/>
    <w:rsid w:val="3A541BF5"/>
    <w:rsid w:val="3A553D9F"/>
    <w:rsid w:val="3A597477"/>
    <w:rsid w:val="3A5A285A"/>
    <w:rsid w:val="3A5E32B9"/>
    <w:rsid w:val="3A646A00"/>
    <w:rsid w:val="3A697F71"/>
    <w:rsid w:val="3A6A4AC7"/>
    <w:rsid w:val="3A6E26C3"/>
    <w:rsid w:val="3A6F0BDF"/>
    <w:rsid w:val="3A72622B"/>
    <w:rsid w:val="3A75769F"/>
    <w:rsid w:val="3A7E2244"/>
    <w:rsid w:val="3A861E9F"/>
    <w:rsid w:val="3A897BA1"/>
    <w:rsid w:val="3A9038DA"/>
    <w:rsid w:val="3A936647"/>
    <w:rsid w:val="3A9E4B32"/>
    <w:rsid w:val="3A9F1B2C"/>
    <w:rsid w:val="3AA04C49"/>
    <w:rsid w:val="3AA54470"/>
    <w:rsid w:val="3AA913CF"/>
    <w:rsid w:val="3AC036CC"/>
    <w:rsid w:val="3AC205A6"/>
    <w:rsid w:val="3AC257A4"/>
    <w:rsid w:val="3AC334CD"/>
    <w:rsid w:val="3AD16134"/>
    <w:rsid w:val="3AD17EBD"/>
    <w:rsid w:val="3AEA3CFC"/>
    <w:rsid w:val="3AF044A5"/>
    <w:rsid w:val="3AFC4CC9"/>
    <w:rsid w:val="3B00301D"/>
    <w:rsid w:val="3B1752EE"/>
    <w:rsid w:val="3B1C35AC"/>
    <w:rsid w:val="3B22468C"/>
    <w:rsid w:val="3B3155AA"/>
    <w:rsid w:val="3B3E0B10"/>
    <w:rsid w:val="3B4F1508"/>
    <w:rsid w:val="3B580D61"/>
    <w:rsid w:val="3B696BF9"/>
    <w:rsid w:val="3B6F0DCA"/>
    <w:rsid w:val="3B7B2B0A"/>
    <w:rsid w:val="3B7C7B97"/>
    <w:rsid w:val="3B8372AE"/>
    <w:rsid w:val="3B914065"/>
    <w:rsid w:val="3B9F483C"/>
    <w:rsid w:val="3BB249F7"/>
    <w:rsid w:val="3BBE3122"/>
    <w:rsid w:val="3BC20515"/>
    <w:rsid w:val="3BC53C74"/>
    <w:rsid w:val="3BC62C0D"/>
    <w:rsid w:val="3BC772AB"/>
    <w:rsid w:val="3BC812C8"/>
    <w:rsid w:val="3BD741DE"/>
    <w:rsid w:val="3BE7491F"/>
    <w:rsid w:val="3BE82033"/>
    <w:rsid w:val="3BEF3F98"/>
    <w:rsid w:val="3BF01125"/>
    <w:rsid w:val="3BF82655"/>
    <w:rsid w:val="3BF90B59"/>
    <w:rsid w:val="3C035D20"/>
    <w:rsid w:val="3C0C1C74"/>
    <w:rsid w:val="3C12184A"/>
    <w:rsid w:val="3C165216"/>
    <w:rsid w:val="3C20030B"/>
    <w:rsid w:val="3C220A63"/>
    <w:rsid w:val="3C257E8D"/>
    <w:rsid w:val="3C286FD8"/>
    <w:rsid w:val="3C326DEB"/>
    <w:rsid w:val="3C3C1378"/>
    <w:rsid w:val="3C497D33"/>
    <w:rsid w:val="3C5A342C"/>
    <w:rsid w:val="3C5C0867"/>
    <w:rsid w:val="3C656EED"/>
    <w:rsid w:val="3C685003"/>
    <w:rsid w:val="3C6D452D"/>
    <w:rsid w:val="3C6E7843"/>
    <w:rsid w:val="3C727A71"/>
    <w:rsid w:val="3C732FE2"/>
    <w:rsid w:val="3C786DE5"/>
    <w:rsid w:val="3C7A3669"/>
    <w:rsid w:val="3C7D3E58"/>
    <w:rsid w:val="3C882BD0"/>
    <w:rsid w:val="3C94545E"/>
    <w:rsid w:val="3CAE0651"/>
    <w:rsid w:val="3CBC2D9B"/>
    <w:rsid w:val="3CC5588D"/>
    <w:rsid w:val="3CCD1D16"/>
    <w:rsid w:val="3CD83C07"/>
    <w:rsid w:val="3CD85D57"/>
    <w:rsid w:val="3CD87AA0"/>
    <w:rsid w:val="3CDA5112"/>
    <w:rsid w:val="3CDB62C1"/>
    <w:rsid w:val="3CE13BDF"/>
    <w:rsid w:val="3CE26359"/>
    <w:rsid w:val="3CE70364"/>
    <w:rsid w:val="3CFD4D35"/>
    <w:rsid w:val="3D064D69"/>
    <w:rsid w:val="3D0E399D"/>
    <w:rsid w:val="3D123F8D"/>
    <w:rsid w:val="3D12721E"/>
    <w:rsid w:val="3D1B45BC"/>
    <w:rsid w:val="3D27093B"/>
    <w:rsid w:val="3D351ADA"/>
    <w:rsid w:val="3D3D6CB6"/>
    <w:rsid w:val="3D444248"/>
    <w:rsid w:val="3D4B2FA5"/>
    <w:rsid w:val="3D527DA5"/>
    <w:rsid w:val="3D546058"/>
    <w:rsid w:val="3D5461A9"/>
    <w:rsid w:val="3D58650A"/>
    <w:rsid w:val="3D590765"/>
    <w:rsid w:val="3D5A6060"/>
    <w:rsid w:val="3D640E16"/>
    <w:rsid w:val="3D67132F"/>
    <w:rsid w:val="3D7B0D27"/>
    <w:rsid w:val="3D7E27A0"/>
    <w:rsid w:val="3D874F51"/>
    <w:rsid w:val="3D896CEB"/>
    <w:rsid w:val="3D9A2D6C"/>
    <w:rsid w:val="3D9D0681"/>
    <w:rsid w:val="3DAF1596"/>
    <w:rsid w:val="3DB52668"/>
    <w:rsid w:val="3DD3077A"/>
    <w:rsid w:val="3DDF7A0D"/>
    <w:rsid w:val="3DFD4BBE"/>
    <w:rsid w:val="3E00097B"/>
    <w:rsid w:val="3E011326"/>
    <w:rsid w:val="3E024B7B"/>
    <w:rsid w:val="3E104548"/>
    <w:rsid w:val="3E19435F"/>
    <w:rsid w:val="3E20393D"/>
    <w:rsid w:val="3E264903"/>
    <w:rsid w:val="3E2806A1"/>
    <w:rsid w:val="3E2E35CB"/>
    <w:rsid w:val="3E31025E"/>
    <w:rsid w:val="3E342DA3"/>
    <w:rsid w:val="3E471ABE"/>
    <w:rsid w:val="3E4755F9"/>
    <w:rsid w:val="3E492A39"/>
    <w:rsid w:val="3E556354"/>
    <w:rsid w:val="3E6336EF"/>
    <w:rsid w:val="3E660D1B"/>
    <w:rsid w:val="3E6E2E9E"/>
    <w:rsid w:val="3E8222F7"/>
    <w:rsid w:val="3E8258B1"/>
    <w:rsid w:val="3E8821CE"/>
    <w:rsid w:val="3E92738B"/>
    <w:rsid w:val="3E99456A"/>
    <w:rsid w:val="3EAD3D57"/>
    <w:rsid w:val="3EAF02B7"/>
    <w:rsid w:val="3EB1188E"/>
    <w:rsid w:val="3EBD63D7"/>
    <w:rsid w:val="3EC07733"/>
    <w:rsid w:val="3EC334A7"/>
    <w:rsid w:val="3EC678BC"/>
    <w:rsid w:val="3EE067CA"/>
    <w:rsid w:val="3EEF26AB"/>
    <w:rsid w:val="3EF21C38"/>
    <w:rsid w:val="3EF57D05"/>
    <w:rsid w:val="3EF96B38"/>
    <w:rsid w:val="3F002CCF"/>
    <w:rsid w:val="3F0566FF"/>
    <w:rsid w:val="3F0605BE"/>
    <w:rsid w:val="3F06365D"/>
    <w:rsid w:val="3F0A3CA5"/>
    <w:rsid w:val="3F0B1DB8"/>
    <w:rsid w:val="3F0E6EA3"/>
    <w:rsid w:val="3F122278"/>
    <w:rsid w:val="3F155D82"/>
    <w:rsid w:val="3F261DEC"/>
    <w:rsid w:val="3F47737F"/>
    <w:rsid w:val="3F523976"/>
    <w:rsid w:val="3F52626A"/>
    <w:rsid w:val="3F5322DF"/>
    <w:rsid w:val="3F556A35"/>
    <w:rsid w:val="3F5867B3"/>
    <w:rsid w:val="3F5A301C"/>
    <w:rsid w:val="3F637202"/>
    <w:rsid w:val="3F65418C"/>
    <w:rsid w:val="3F664F14"/>
    <w:rsid w:val="3F6763B0"/>
    <w:rsid w:val="3F6D1D36"/>
    <w:rsid w:val="3F6D2017"/>
    <w:rsid w:val="3F7339EB"/>
    <w:rsid w:val="3F770167"/>
    <w:rsid w:val="3F7D65D1"/>
    <w:rsid w:val="3F836296"/>
    <w:rsid w:val="3F9526FD"/>
    <w:rsid w:val="3F960218"/>
    <w:rsid w:val="3FA10F73"/>
    <w:rsid w:val="3FA51002"/>
    <w:rsid w:val="3FB1448E"/>
    <w:rsid w:val="3FB33F0F"/>
    <w:rsid w:val="3FB56B87"/>
    <w:rsid w:val="3FB827B0"/>
    <w:rsid w:val="3FB9798A"/>
    <w:rsid w:val="3FBC4DF5"/>
    <w:rsid w:val="3FBE226E"/>
    <w:rsid w:val="3FC74EA5"/>
    <w:rsid w:val="3FC80A13"/>
    <w:rsid w:val="3FC924C5"/>
    <w:rsid w:val="3FD001E0"/>
    <w:rsid w:val="3FD35125"/>
    <w:rsid w:val="3FDD5AA3"/>
    <w:rsid w:val="3FDD60EB"/>
    <w:rsid w:val="3FE1611D"/>
    <w:rsid w:val="3FE9762E"/>
    <w:rsid w:val="3FEB7EF7"/>
    <w:rsid w:val="3FF0534A"/>
    <w:rsid w:val="3FFC6AA1"/>
    <w:rsid w:val="3FFE725C"/>
    <w:rsid w:val="400D4689"/>
    <w:rsid w:val="40171E63"/>
    <w:rsid w:val="401C023A"/>
    <w:rsid w:val="401E624D"/>
    <w:rsid w:val="4040700B"/>
    <w:rsid w:val="40505926"/>
    <w:rsid w:val="405074F9"/>
    <w:rsid w:val="40592E1A"/>
    <w:rsid w:val="40742B10"/>
    <w:rsid w:val="40851F94"/>
    <w:rsid w:val="40860806"/>
    <w:rsid w:val="408727EE"/>
    <w:rsid w:val="40881B05"/>
    <w:rsid w:val="408B015C"/>
    <w:rsid w:val="408D2092"/>
    <w:rsid w:val="40987E91"/>
    <w:rsid w:val="40AE535D"/>
    <w:rsid w:val="40B323C5"/>
    <w:rsid w:val="40B40F93"/>
    <w:rsid w:val="40B77C21"/>
    <w:rsid w:val="40BB1B3B"/>
    <w:rsid w:val="40C87F0D"/>
    <w:rsid w:val="40E13187"/>
    <w:rsid w:val="40E4111E"/>
    <w:rsid w:val="40F71EFC"/>
    <w:rsid w:val="40FA7D3C"/>
    <w:rsid w:val="40FC6040"/>
    <w:rsid w:val="41013098"/>
    <w:rsid w:val="410A66D3"/>
    <w:rsid w:val="411252F5"/>
    <w:rsid w:val="41216561"/>
    <w:rsid w:val="4126157E"/>
    <w:rsid w:val="412E1703"/>
    <w:rsid w:val="41341D04"/>
    <w:rsid w:val="41463814"/>
    <w:rsid w:val="414E4666"/>
    <w:rsid w:val="415840E7"/>
    <w:rsid w:val="415C6645"/>
    <w:rsid w:val="415D4AA5"/>
    <w:rsid w:val="415E3F30"/>
    <w:rsid w:val="41634269"/>
    <w:rsid w:val="416F185F"/>
    <w:rsid w:val="41755F8B"/>
    <w:rsid w:val="417E6FB2"/>
    <w:rsid w:val="41804E56"/>
    <w:rsid w:val="418B61F9"/>
    <w:rsid w:val="418C5064"/>
    <w:rsid w:val="41901D5A"/>
    <w:rsid w:val="41AE168E"/>
    <w:rsid w:val="41B000EA"/>
    <w:rsid w:val="41B625DB"/>
    <w:rsid w:val="41BB28C5"/>
    <w:rsid w:val="41C505B5"/>
    <w:rsid w:val="41D7643D"/>
    <w:rsid w:val="41D80DF6"/>
    <w:rsid w:val="41F41099"/>
    <w:rsid w:val="41F4144D"/>
    <w:rsid w:val="41F425A0"/>
    <w:rsid w:val="41FD1E4D"/>
    <w:rsid w:val="42004A07"/>
    <w:rsid w:val="42036CED"/>
    <w:rsid w:val="420445BE"/>
    <w:rsid w:val="42044B55"/>
    <w:rsid w:val="42106699"/>
    <w:rsid w:val="421D3532"/>
    <w:rsid w:val="422747DE"/>
    <w:rsid w:val="423D7E2C"/>
    <w:rsid w:val="4253494B"/>
    <w:rsid w:val="42563DD4"/>
    <w:rsid w:val="425F0874"/>
    <w:rsid w:val="42605991"/>
    <w:rsid w:val="42624CEC"/>
    <w:rsid w:val="426B2083"/>
    <w:rsid w:val="42745271"/>
    <w:rsid w:val="42746AFF"/>
    <w:rsid w:val="427A2426"/>
    <w:rsid w:val="428622E0"/>
    <w:rsid w:val="428740C5"/>
    <w:rsid w:val="4295023B"/>
    <w:rsid w:val="42A72E3E"/>
    <w:rsid w:val="42A9771E"/>
    <w:rsid w:val="42AF06BF"/>
    <w:rsid w:val="42AF744D"/>
    <w:rsid w:val="42B97DE2"/>
    <w:rsid w:val="42BE1411"/>
    <w:rsid w:val="42BF0482"/>
    <w:rsid w:val="42C3638C"/>
    <w:rsid w:val="42CC1C77"/>
    <w:rsid w:val="42CE7CBC"/>
    <w:rsid w:val="42E67A2D"/>
    <w:rsid w:val="42EF6EDD"/>
    <w:rsid w:val="42F63370"/>
    <w:rsid w:val="4303189E"/>
    <w:rsid w:val="43043B4B"/>
    <w:rsid w:val="430C0701"/>
    <w:rsid w:val="431D662D"/>
    <w:rsid w:val="431D7413"/>
    <w:rsid w:val="43230977"/>
    <w:rsid w:val="43260906"/>
    <w:rsid w:val="4329778C"/>
    <w:rsid w:val="432A433E"/>
    <w:rsid w:val="433451E7"/>
    <w:rsid w:val="433454E3"/>
    <w:rsid w:val="43380FA2"/>
    <w:rsid w:val="433914CB"/>
    <w:rsid w:val="434030C7"/>
    <w:rsid w:val="434321EE"/>
    <w:rsid w:val="4357411B"/>
    <w:rsid w:val="43624524"/>
    <w:rsid w:val="436E4602"/>
    <w:rsid w:val="43773B38"/>
    <w:rsid w:val="437C303F"/>
    <w:rsid w:val="437E59F4"/>
    <w:rsid w:val="437F0235"/>
    <w:rsid w:val="438127FD"/>
    <w:rsid w:val="438C318F"/>
    <w:rsid w:val="438D2962"/>
    <w:rsid w:val="439125BA"/>
    <w:rsid w:val="439E21D0"/>
    <w:rsid w:val="43A136C2"/>
    <w:rsid w:val="43A47C8D"/>
    <w:rsid w:val="43A51CEB"/>
    <w:rsid w:val="43A922AD"/>
    <w:rsid w:val="43AE228C"/>
    <w:rsid w:val="43B03D9F"/>
    <w:rsid w:val="43B2322B"/>
    <w:rsid w:val="43B27B0F"/>
    <w:rsid w:val="43BD17B6"/>
    <w:rsid w:val="43BF433F"/>
    <w:rsid w:val="43C60D41"/>
    <w:rsid w:val="43C71A8C"/>
    <w:rsid w:val="43CB49D5"/>
    <w:rsid w:val="43CC296D"/>
    <w:rsid w:val="43D51B86"/>
    <w:rsid w:val="43D5596E"/>
    <w:rsid w:val="43D946DF"/>
    <w:rsid w:val="43E63A35"/>
    <w:rsid w:val="43EA4AD8"/>
    <w:rsid w:val="43EA731F"/>
    <w:rsid w:val="43EF4362"/>
    <w:rsid w:val="43F5608C"/>
    <w:rsid w:val="43FA20D7"/>
    <w:rsid w:val="440A1D09"/>
    <w:rsid w:val="44105FE6"/>
    <w:rsid w:val="44163757"/>
    <w:rsid w:val="442E6250"/>
    <w:rsid w:val="44336B29"/>
    <w:rsid w:val="44411D78"/>
    <w:rsid w:val="444255C8"/>
    <w:rsid w:val="44555450"/>
    <w:rsid w:val="44565401"/>
    <w:rsid w:val="445C184B"/>
    <w:rsid w:val="445C1F8C"/>
    <w:rsid w:val="445C2CEB"/>
    <w:rsid w:val="44623D2C"/>
    <w:rsid w:val="4469425C"/>
    <w:rsid w:val="446C5925"/>
    <w:rsid w:val="44715BA6"/>
    <w:rsid w:val="44744DE1"/>
    <w:rsid w:val="4480267E"/>
    <w:rsid w:val="44813BCD"/>
    <w:rsid w:val="448F333F"/>
    <w:rsid w:val="449A5595"/>
    <w:rsid w:val="44A273D7"/>
    <w:rsid w:val="44A3165A"/>
    <w:rsid w:val="44A949BB"/>
    <w:rsid w:val="44B47D28"/>
    <w:rsid w:val="44BE6AFA"/>
    <w:rsid w:val="44BE7B38"/>
    <w:rsid w:val="44C10C52"/>
    <w:rsid w:val="44C4343F"/>
    <w:rsid w:val="44CC5637"/>
    <w:rsid w:val="44CE1860"/>
    <w:rsid w:val="44D01EAB"/>
    <w:rsid w:val="44D61276"/>
    <w:rsid w:val="44FB2020"/>
    <w:rsid w:val="450005C9"/>
    <w:rsid w:val="450E225C"/>
    <w:rsid w:val="450E5F3E"/>
    <w:rsid w:val="451C3C3F"/>
    <w:rsid w:val="45202195"/>
    <w:rsid w:val="45282E33"/>
    <w:rsid w:val="45361C96"/>
    <w:rsid w:val="45367180"/>
    <w:rsid w:val="453936A0"/>
    <w:rsid w:val="4555071F"/>
    <w:rsid w:val="455B027F"/>
    <w:rsid w:val="45634F36"/>
    <w:rsid w:val="456433C3"/>
    <w:rsid w:val="4566286A"/>
    <w:rsid w:val="456653F0"/>
    <w:rsid w:val="456745BB"/>
    <w:rsid w:val="45677DA7"/>
    <w:rsid w:val="45743F66"/>
    <w:rsid w:val="45761FD8"/>
    <w:rsid w:val="457B0C49"/>
    <w:rsid w:val="45864B77"/>
    <w:rsid w:val="458A06CD"/>
    <w:rsid w:val="458D3A63"/>
    <w:rsid w:val="4597177B"/>
    <w:rsid w:val="45A85821"/>
    <w:rsid w:val="45AA0EA4"/>
    <w:rsid w:val="45AC57A6"/>
    <w:rsid w:val="45AF03CF"/>
    <w:rsid w:val="45B23BD8"/>
    <w:rsid w:val="45B52BBB"/>
    <w:rsid w:val="45C3178B"/>
    <w:rsid w:val="45C81474"/>
    <w:rsid w:val="45C85D55"/>
    <w:rsid w:val="45C91BC6"/>
    <w:rsid w:val="45CD1312"/>
    <w:rsid w:val="45CE3F02"/>
    <w:rsid w:val="45DE2684"/>
    <w:rsid w:val="45E349A9"/>
    <w:rsid w:val="45F22D7B"/>
    <w:rsid w:val="45F25B71"/>
    <w:rsid w:val="45F6092A"/>
    <w:rsid w:val="45FD29AC"/>
    <w:rsid w:val="46122C2B"/>
    <w:rsid w:val="461E6998"/>
    <w:rsid w:val="46202725"/>
    <w:rsid w:val="4622618B"/>
    <w:rsid w:val="4624768B"/>
    <w:rsid w:val="46283409"/>
    <w:rsid w:val="462E1DEC"/>
    <w:rsid w:val="462F257F"/>
    <w:rsid w:val="46316796"/>
    <w:rsid w:val="46436765"/>
    <w:rsid w:val="464C5980"/>
    <w:rsid w:val="464C598F"/>
    <w:rsid w:val="46541012"/>
    <w:rsid w:val="46595BDC"/>
    <w:rsid w:val="465B04AA"/>
    <w:rsid w:val="466467A4"/>
    <w:rsid w:val="466B7E63"/>
    <w:rsid w:val="46726232"/>
    <w:rsid w:val="46731512"/>
    <w:rsid w:val="46795DED"/>
    <w:rsid w:val="468843FE"/>
    <w:rsid w:val="469849B7"/>
    <w:rsid w:val="46991FD8"/>
    <w:rsid w:val="469D4E61"/>
    <w:rsid w:val="46BC2272"/>
    <w:rsid w:val="46D62B88"/>
    <w:rsid w:val="46D929E4"/>
    <w:rsid w:val="46DA3CDF"/>
    <w:rsid w:val="46DD3A97"/>
    <w:rsid w:val="46E122D5"/>
    <w:rsid w:val="46E51519"/>
    <w:rsid w:val="46E72217"/>
    <w:rsid w:val="46EB56D0"/>
    <w:rsid w:val="46EF6BE5"/>
    <w:rsid w:val="46F94629"/>
    <w:rsid w:val="46FE33A2"/>
    <w:rsid w:val="47034B98"/>
    <w:rsid w:val="47067487"/>
    <w:rsid w:val="470675DD"/>
    <w:rsid w:val="47102BE0"/>
    <w:rsid w:val="47115999"/>
    <w:rsid w:val="47123D8D"/>
    <w:rsid w:val="471651A2"/>
    <w:rsid w:val="47195C33"/>
    <w:rsid w:val="472322A2"/>
    <w:rsid w:val="472E14A0"/>
    <w:rsid w:val="47304A60"/>
    <w:rsid w:val="47321070"/>
    <w:rsid w:val="47383706"/>
    <w:rsid w:val="473F3443"/>
    <w:rsid w:val="47442FEA"/>
    <w:rsid w:val="47476898"/>
    <w:rsid w:val="474825BA"/>
    <w:rsid w:val="47524966"/>
    <w:rsid w:val="4764753D"/>
    <w:rsid w:val="47663624"/>
    <w:rsid w:val="4779594B"/>
    <w:rsid w:val="477E3FE9"/>
    <w:rsid w:val="478E58BD"/>
    <w:rsid w:val="47997ECC"/>
    <w:rsid w:val="47A938A8"/>
    <w:rsid w:val="47AD2393"/>
    <w:rsid w:val="47AF4DB4"/>
    <w:rsid w:val="47C05960"/>
    <w:rsid w:val="47CA211A"/>
    <w:rsid w:val="47CE6AD8"/>
    <w:rsid w:val="47D00B76"/>
    <w:rsid w:val="47D266F4"/>
    <w:rsid w:val="47EB3A88"/>
    <w:rsid w:val="47ED09EA"/>
    <w:rsid w:val="47F03825"/>
    <w:rsid w:val="47F67231"/>
    <w:rsid w:val="47F72583"/>
    <w:rsid w:val="47FE4F97"/>
    <w:rsid w:val="48043BE9"/>
    <w:rsid w:val="48050F31"/>
    <w:rsid w:val="480B064E"/>
    <w:rsid w:val="48152A57"/>
    <w:rsid w:val="481B77EC"/>
    <w:rsid w:val="481F00E4"/>
    <w:rsid w:val="48230137"/>
    <w:rsid w:val="482A5E63"/>
    <w:rsid w:val="48357C17"/>
    <w:rsid w:val="483602D1"/>
    <w:rsid w:val="48360F72"/>
    <w:rsid w:val="48466EDC"/>
    <w:rsid w:val="486022F2"/>
    <w:rsid w:val="486505C9"/>
    <w:rsid w:val="48717233"/>
    <w:rsid w:val="487736C7"/>
    <w:rsid w:val="4886149A"/>
    <w:rsid w:val="48870995"/>
    <w:rsid w:val="488933F6"/>
    <w:rsid w:val="488F18B7"/>
    <w:rsid w:val="489C5A7F"/>
    <w:rsid w:val="489C5B95"/>
    <w:rsid w:val="489F248C"/>
    <w:rsid w:val="48A53F58"/>
    <w:rsid w:val="48AA10E1"/>
    <w:rsid w:val="48AF1323"/>
    <w:rsid w:val="48B2080D"/>
    <w:rsid w:val="48B5518F"/>
    <w:rsid w:val="48BE6136"/>
    <w:rsid w:val="48C17060"/>
    <w:rsid w:val="48D22DB3"/>
    <w:rsid w:val="48D93445"/>
    <w:rsid w:val="48DA1D9C"/>
    <w:rsid w:val="48DC218D"/>
    <w:rsid w:val="48E915DE"/>
    <w:rsid w:val="48EB611E"/>
    <w:rsid w:val="48F7177C"/>
    <w:rsid w:val="490008E6"/>
    <w:rsid w:val="490425AB"/>
    <w:rsid w:val="49076238"/>
    <w:rsid w:val="49104838"/>
    <w:rsid w:val="49200C47"/>
    <w:rsid w:val="49250443"/>
    <w:rsid w:val="49267368"/>
    <w:rsid w:val="49276313"/>
    <w:rsid w:val="492F1B04"/>
    <w:rsid w:val="4930158D"/>
    <w:rsid w:val="493166F2"/>
    <w:rsid w:val="4943084D"/>
    <w:rsid w:val="495B2F5A"/>
    <w:rsid w:val="49660B64"/>
    <w:rsid w:val="496E056A"/>
    <w:rsid w:val="497930F9"/>
    <w:rsid w:val="497E5F0E"/>
    <w:rsid w:val="49895BF9"/>
    <w:rsid w:val="49896889"/>
    <w:rsid w:val="498B006E"/>
    <w:rsid w:val="499C126E"/>
    <w:rsid w:val="49A20032"/>
    <w:rsid w:val="49A82756"/>
    <w:rsid w:val="49A86BF4"/>
    <w:rsid w:val="49A902DE"/>
    <w:rsid w:val="49A961CD"/>
    <w:rsid w:val="49B337E8"/>
    <w:rsid w:val="49B57903"/>
    <w:rsid w:val="49BB0B72"/>
    <w:rsid w:val="49CD3C98"/>
    <w:rsid w:val="49E27CCF"/>
    <w:rsid w:val="49F44446"/>
    <w:rsid w:val="49FA00AE"/>
    <w:rsid w:val="4A037F7B"/>
    <w:rsid w:val="4A0C3345"/>
    <w:rsid w:val="4A12511A"/>
    <w:rsid w:val="4A2A339F"/>
    <w:rsid w:val="4A3849A0"/>
    <w:rsid w:val="4A3B0ADD"/>
    <w:rsid w:val="4A3D1213"/>
    <w:rsid w:val="4A405618"/>
    <w:rsid w:val="4A42752E"/>
    <w:rsid w:val="4A463FDD"/>
    <w:rsid w:val="4A4D2C8C"/>
    <w:rsid w:val="4A4D6FE1"/>
    <w:rsid w:val="4A4F464E"/>
    <w:rsid w:val="4A500FF5"/>
    <w:rsid w:val="4A51053D"/>
    <w:rsid w:val="4A541B9F"/>
    <w:rsid w:val="4A5B2412"/>
    <w:rsid w:val="4A603371"/>
    <w:rsid w:val="4A665A8F"/>
    <w:rsid w:val="4A6B6C00"/>
    <w:rsid w:val="4A7A1A7F"/>
    <w:rsid w:val="4A7B1C95"/>
    <w:rsid w:val="4A7C6D92"/>
    <w:rsid w:val="4A80680F"/>
    <w:rsid w:val="4A8B2BFF"/>
    <w:rsid w:val="4A8C3D45"/>
    <w:rsid w:val="4A996D58"/>
    <w:rsid w:val="4AA637CE"/>
    <w:rsid w:val="4AAA2363"/>
    <w:rsid w:val="4AAC0232"/>
    <w:rsid w:val="4AB420A2"/>
    <w:rsid w:val="4AB42562"/>
    <w:rsid w:val="4AB971E8"/>
    <w:rsid w:val="4ABC4127"/>
    <w:rsid w:val="4AC14B57"/>
    <w:rsid w:val="4AC462B3"/>
    <w:rsid w:val="4AC908CA"/>
    <w:rsid w:val="4AC95E08"/>
    <w:rsid w:val="4ACC60F1"/>
    <w:rsid w:val="4ACE3D63"/>
    <w:rsid w:val="4AD13FBF"/>
    <w:rsid w:val="4AD37FB6"/>
    <w:rsid w:val="4AF15169"/>
    <w:rsid w:val="4AF33411"/>
    <w:rsid w:val="4AFC4739"/>
    <w:rsid w:val="4AFF7966"/>
    <w:rsid w:val="4B0F4D9F"/>
    <w:rsid w:val="4B2B654D"/>
    <w:rsid w:val="4B2D2A9B"/>
    <w:rsid w:val="4B331125"/>
    <w:rsid w:val="4B3405F9"/>
    <w:rsid w:val="4B473804"/>
    <w:rsid w:val="4B5151AA"/>
    <w:rsid w:val="4B537CBF"/>
    <w:rsid w:val="4B550153"/>
    <w:rsid w:val="4B641191"/>
    <w:rsid w:val="4B694B3A"/>
    <w:rsid w:val="4B76529F"/>
    <w:rsid w:val="4B7A237E"/>
    <w:rsid w:val="4B815FB3"/>
    <w:rsid w:val="4B86443F"/>
    <w:rsid w:val="4B9A0C4D"/>
    <w:rsid w:val="4B9B3B70"/>
    <w:rsid w:val="4B9E7936"/>
    <w:rsid w:val="4BB7667A"/>
    <w:rsid w:val="4BBA25CD"/>
    <w:rsid w:val="4BBB242F"/>
    <w:rsid w:val="4BC15B7C"/>
    <w:rsid w:val="4BCC5B3C"/>
    <w:rsid w:val="4BD06F1C"/>
    <w:rsid w:val="4BD119E3"/>
    <w:rsid w:val="4BD11B2A"/>
    <w:rsid w:val="4BD13574"/>
    <w:rsid w:val="4BD47BEF"/>
    <w:rsid w:val="4BDA74DE"/>
    <w:rsid w:val="4BE06BCD"/>
    <w:rsid w:val="4BE413D6"/>
    <w:rsid w:val="4BE86538"/>
    <w:rsid w:val="4C001FDF"/>
    <w:rsid w:val="4C040A9A"/>
    <w:rsid w:val="4C0770C1"/>
    <w:rsid w:val="4C1F0776"/>
    <w:rsid w:val="4C232063"/>
    <w:rsid w:val="4C2503E2"/>
    <w:rsid w:val="4C2C299D"/>
    <w:rsid w:val="4C322608"/>
    <w:rsid w:val="4C3238CA"/>
    <w:rsid w:val="4C343A7F"/>
    <w:rsid w:val="4C380D78"/>
    <w:rsid w:val="4C3D0756"/>
    <w:rsid w:val="4C3D5FB7"/>
    <w:rsid w:val="4C4C1686"/>
    <w:rsid w:val="4C513E4B"/>
    <w:rsid w:val="4C603F1D"/>
    <w:rsid w:val="4C635D18"/>
    <w:rsid w:val="4C670EB1"/>
    <w:rsid w:val="4C712086"/>
    <w:rsid w:val="4C7120EC"/>
    <w:rsid w:val="4C7B3D80"/>
    <w:rsid w:val="4C7C605E"/>
    <w:rsid w:val="4C7E2355"/>
    <w:rsid w:val="4C847264"/>
    <w:rsid w:val="4C970E7B"/>
    <w:rsid w:val="4CC1054F"/>
    <w:rsid w:val="4CCE079D"/>
    <w:rsid w:val="4CCE3699"/>
    <w:rsid w:val="4CEA4F4D"/>
    <w:rsid w:val="4CEC58DB"/>
    <w:rsid w:val="4CEF637A"/>
    <w:rsid w:val="4CF00FB6"/>
    <w:rsid w:val="4CF16277"/>
    <w:rsid w:val="4CF4672D"/>
    <w:rsid w:val="4CFA2AAF"/>
    <w:rsid w:val="4D035A68"/>
    <w:rsid w:val="4D0F26CE"/>
    <w:rsid w:val="4D147026"/>
    <w:rsid w:val="4D1478EC"/>
    <w:rsid w:val="4D165C91"/>
    <w:rsid w:val="4D235945"/>
    <w:rsid w:val="4D255F0E"/>
    <w:rsid w:val="4D2F06BA"/>
    <w:rsid w:val="4D304130"/>
    <w:rsid w:val="4D386B0D"/>
    <w:rsid w:val="4D4330D3"/>
    <w:rsid w:val="4D4B7DCE"/>
    <w:rsid w:val="4D545407"/>
    <w:rsid w:val="4D694F30"/>
    <w:rsid w:val="4D717BA1"/>
    <w:rsid w:val="4D7F56C3"/>
    <w:rsid w:val="4D855FB9"/>
    <w:rsid w:val="4D8A0B26"/>
    <w:rsid w:val="4D904FEE"/>
    <w:rsid w:val="4D910D8A"/>
    <w:rsid w:val="4D935425"/>
    <w:rsid w:val="4D97309D"/>
    <w:rsid w:val="4D9E090F"/>
    <w:rsid w:val="4DAC6E91"/>
    <w:rsid w:val="4DB63BC4"/>
    <w:rsid w:val="4DB7591C"/>
    <w:rsid w:val="4DBB2984"/>
    <w:rsid w:val="4DCC46DA"/>
    <w:rsid w:val="4DDD5EB7"/>
    <w:rsid w:val="4DDE45A5"/>
    <w:rsid w:val="4DE5023D"/>
    <w:rsid w:val="4DEB419D"/>
    <w:rsid w:val="4DF267CF"/>
    <w:rsid w:val="4DF6484E"/>
    <w:rsid w:val="4E043A0E"/>
    <w:rsid w:val="4E0B5D31"/>
    <w:rsid w:val="4E125681"/>
    <w:rsid w:val="4E1339D8"/>
    <w:rsid w:val="4E145C86"/>
    <w:rsid w:val="4E187CF8"/>
    <w:rsid w:val="4E1A5C2E"/>
    <w:rsid w:val="4E2B3781"/>
    <w:rsid w:val="4E337E4B"/>
    <w:rsid w:val="4E365771"/>
    <w:rsid w:val="4E3C5DC0"/>
    <w:rsid w:val="4E446F8B"/>
    <w:rsid w:val="4E4D4DE2"/>
    <w:rsid w:val="4E5669BF"/>
    <w:rsid w:val="4E651EA6"/>
    <w:rsid w:val="4E6757B0"/>
    <w:rsid w:val="4E6C4048"/>
    <w:rsid w:val="4E783D17"/>
    <w:rsid w:val="4E805C19"/>
    <w:rsid w:val="4E836C4E"/>
    <w:rsid w:val="4E865BCD"/>
    <w:rsid w:val="4E957162"/>
    <w:rsid w:val="4E9E60B6"/>
    <w:rsid w:val="4EA27ACB"/>
    <w:rsid w:val="4EB379F2"/>
    <w:rsid w:val="4EBC3167"/>
    <w:rsid w:val="4EBC6632"/>
    <w:rsid w:val="4EBD4562"/>
    <w:rsid w:val="4EBD5620"/>
    <w:rsid w:val="4EBE0F4C"/>
    <w:rsid w:val="4ECD0F14"/>
    <w:rsid w:val="4ED017E4"/>
    <w:rsid w:val="4ED03B4F"/>
    <w:rsid w:val="4ED43AE8"/>
    <w:rsid w:val="4EDC1716"/>
    <w:rsid w:val="4EDF6F4B"/>
    <w:rsid w:val="4EE24F10"/>
    <w:rsid w:val="4EE77077"/>
    <w:rsid w:val="4EE8461F"/>
    <w:rsid w:val="4F0206C2"/>
    <w:rsid w:val="4F06414B"/>
    <w:rsid w:val="4F1A4FD6"/>
    <w:rsid w:val="4F1C2B4C"/>
    <w:rsid w:val="4F1E1A5A"/>
    <w:rsid w:val="4F2D5479"/>
    <w:rsid w:val="4F2E4FDB"/>
    <w:rsid w:val="4F3127D8"/>
    <w:rsid w:val="4F353521"/>
    <w:rsid w:val="4F3B798B"/>
    <w:rsid w:val="4F424396"/>
    <w:rsid w:val="4F461737"/>
    <w:rsid w:val="4F501AA5"/>
    <w:rsid w:val="4F507138"/>
    <w:rsid w:val="4F5431F2"/>
    <w:rsid w:val="4F594949"/>
    <w:rsid w:val="4F5A315B"/>
    <w:rsid w:val="4F7041A7"/>
    <w:rsid w:val="4F7349ED"/>
    <w:rsid w:val="4F7C7D62"/>
    <w:rsid w:val="4F88390E"/>
    <w:rsid w:val="4F8865D2"/>
    <w:rsid w:val="4F9A400D"/>
    <w:rsid w:val="4FA11827"/>
    <w:rsid w:val="4FA57761"/>
    <w:rsid w:val="4FAB07C1"/>
    <w:rsid w:val="4FC12B67"/>
    <w:rsid w:val="4FD409F7"/>
    <w:rsid w:val="4FD41054"/>
    <w:rsid w:val="4FD66F8D"/>
    <w:rsid w:val="4FDB5605"/>
    <w:rsid w:val="4FDF7D08"/>
    <w:rsid w:val="4FE45662"/>
    <w:rsid w:val="4FE66728"/>
    <w:rsid w:val="4FF81090"/>
    <w:rsid w:val="4FFA1BE3"/>
    <w:rsid w:val="4FFF560B"/>
    <w:rsid w:val="50033BDE"/>
    <w:rsid w:val="50036BC4"/>
    <w:rsid w:val="500B0DCA"/>
    <w:rsid w:val="500C2A95"/>
    <w:rsid w:val="50133F8A"/>
    <w:rsid w:val="50140C07"/>
    <w:rsid w:val="50176E6F"/>
    <w:rsid w:val="50200664"/>
    <w:rsid w:val="502151EE"/>
    <w:rsid w:val="5022333C"/>
    <w:rsid w:val="50312196"/>
    <w:rsid w:val="50417E32"/>
    <w:rsid w:val="504768E3"/>
    <w:rsid w:val="504F0FB9"/>
    <w:rsid w:val="504F769B"/>
    <w:rsid w:val="50537FDD"/>
    <w:rsid w:val="50622728"/>
    <w:rsid w:val="507554C6"/>
    <w:rsid w:val="507D0063"/>
    <w:rsid w:val="508F1D63"/>
    <w:rsid w:val="508F6AC4"/>
    <w:rsid w:val="509A55F2"/>
    <w:rsid w:val="50A36924"/>
    <w:rsid w:val="50A732FC"/>
    <w:rsid w:val="50AA341E"/>
    <w:rsid w:val="50AB4E2F"/>
    <w:rsid w:val="50AC2418"/>
    <w:rsid w:val="50B421A0"/>
    <w:rsid w:val="50B70FED"/>
    <w:rsid w:val="50BA643F"/>
    <w:rsid w:val="50DA2205"/>
    <w:rsid w:val="50E57F59"/>
    <w:rsid w:val="50EA61D3"/>
    <w:rsid w:val="50FC41E2"/>
    <w:rsid w:val="510319B4"/>
    <w:rsid w:val="510A4E7D"/>
    <w:rsid w:val="51187091"/>
    <w:rsid w:val="51205217"/>
    <w:rsid w:val="51217565"/>
    <w:rsid w:val="512D5787"/>
    <w:rsid w:val="51371434"/>
    <w:rsid w:val="51382F84"/>
    <w:rsid w:val="513B4CBD"/>
    <w:rsid w:val="513F2A79"/>
    <w:rsid w:val="514E5DF0"/>
    <w:rsid w:val="51505C49"/>
    <w:rsid w:val="515F5E7D"/>
    <w:rsid w:val="51621B03"/>
    <w:rsid w:val="51677ABF"/>
    <w:rsid w:val="51736010"/>
    <w:rsid w:val="517F4109"/>
    <w:rsid w:val="518140E8"/>
    <w:rsid w:val="518961AE"/>
    <w:rsid w:val="518B0D8B"/>
    <w:rsid w:val="51905BB3"/>
    <w:rsid w:val="519E4C2D"/>
    <w:rsid w:val="51A15787"/>
    <w:rsid w:val="51A23180"/>
    <w:rsid w:val="51A44533"/>
    <w:rsid w:val="51B12C2B"/>
    <w:rsid w:val="51B625E5"/>
    <w:rsid w:val="51BB3190"/>
    <w:rsid w:val="51C31AB3"/>
    <w:rsid w:val="51C50057"/>
    <w:rsid w:val="51CA6470"/>
    <w:rsid w:val="51CF3752"/>
    <w:rsid w:val="51D221A2"/>
    <w:rsid w:val="51DC7D4F"/>
    <w:rsid w:val="51E372D3"/>
    <w:rsid w:val="51E952C3"/>
    <w:rsid w:val="51F763C2"/>
    <w:rsid w:val="52082F0E"/>
    <w:rsid w:val="520B29B2"/>
    <w:rsid w:val="52165ED6"/>
    <w:rsid w:val="52170D68"/>
    <w:rsid w:val="521832FA"/>
    <w:rsid w:val="521B5CF1"/>
    <w:rsid w:val="521E330E"/>
    <w:rsid w:val="52210969"/>
    <w:rsid w:val="52250331"/>
    <w:rsid w:val="52251937"/>
    <w:rsid w:val="52291DE3"/>
    <w:rsid w:val="522D32DC"/>
    <w:rsid w:val="522E032A"/>
    <w:rsid w:val="522E48FA"/>
    <w:rsid w:val="52436B21"/>
    <w:rsid w:val="52476CBE"/>
    <w:rsid w:val="52541687"/>
    <w:rsid w:val="525808AD"/>
    <w:rsid w:val="52606B21"/>
    <w:rsid w:val="526142ED"/>
    <w:rsid w:val="52675267"/>
    <w:rsid w:val="526A42D2"/>
    <w:rsid w:val="527456A0"/>
    <w:rsid w:val="52775B19"/>
    <w:rsid w:val="527820D3"/>
    <w:rsid w:val="528F6528"/>
    <w:rsid w:val="5294173C"/>
    <w:rsid w:val="52A573D4"/>
    <w:rsid w:val="52AE3C1C"/>
    <w:rsid w:val="52B15A0B"/>
    <w:rsid w:val="52B277B6"/>
    <w:rsid w:val="52B539F6"/>
    <w:rsid w:val="52B87EDF"/>
    <w:rsid w:val="52C2744F"/>
    <w:rsid w:val="52CF2A7E"/>
    <w:rsid w:val="52D52D8A"/>
    <w:rsid w:val="52D70C29"/>
    <w:rsid w:val="52E07E6E"/>
    <w:rsid w:val="52E2403D"/>
    <w:rsid w:val="52E87FC9"/>
    <w:rsid w:val="52EA3010"/>
    <w:rsid w:val="52EE6354"/>
    <w:rsid w:val="53035F10"/>
    <w:rsid w:val="530445BC"/>
    <w:rsid w:val="53073E74"/>
    <w:rsid w:val="53184746"/>
    <w:rsid w:val="531972CB"/>
    <w:rsid w:val="53227F73"/>
    <w:rsid w:val="532342A1"/>
    <w:rsid w:val="532E4AC7"/>
    <w:rsid w:val="533E55DF"/>
    <w:rsid w:val="5360600D"/>
    <w:rsid w:val="53703765"/>
    <w:rsid w:val="5376095E"/>
    <w:rsid w:val="537A04E8"/>
    <w:rsid w:val="537D7719"/>
    <w:rsid w:val="53874180"/>
    <w:rsid w:val="53991F46"/>
    <w:rsid w:val="53A430C7"/>
    <w:rsid w:val="53B71A0D"/>
    <w:rsid w:val="53BA49C0"/>
    <w:rsid w:val="53BF11FF"/>
    <w:rsid w:val="53C2398F"/>
    <w:rsid w:val="53C92C10"/>
    <w:rsid w:val="53CF606A"/>
    <w:rsid w:val="53D111B0"/>
    <w:rsid w:val="53D73576"/>
    <w:rsid w:val="53E22364"/>
    <w:rsid w:val="53E35749"/>
    <w:rsid w:val="53EB4289"/>
    <w:rsid w:val="53F67F24"/>
    <w:rsid w:val="53FE5A9E"/>
    <w:rsid w:val="541C5A78"/>
    <w:rsid w:val="54257FE2"/>
    <w:rsid w:val="5428581F"/>
    <w:rsid w:val="542B47E5"/>
    <w:rsid w:val="54312A0A"/>
    <w:rsid w:val="54451C08"/>
    <w:rsid w:val="5450152B"/>
    <w:rsid w:val="545412A1"/>
    <w:rsid w:val="54591BCD"/>
    <w:rsid w:val="546936FE"/>
    <w:rsid w:val="546A602B"/>
    <w:rsid w:val="547034CA"/>
    <w:rsid w:val="547801F9"/>
    <w:rsid w:val="54877824"/>
    <w:rsid w:val="54967702"/>
    <w:rsid w:val="549B60CA"/>
    <w:rsid w:val="54A746D1"/>
    <w:rsid w:val="54B14984"/>
    <w:rsid w:val="54B34E33"/>
    <w:rsid w:val="54C257FC"/>
    <w:rsid w:val="54C51C65"/>
    <w:rsid w:val="54C766D3"/>
    <w:rsid w:val="54E32310"/>
    <w:rsid w:val="54E35B83"/>
    <w:rsid w:val="54E5570D"/>
    <w:rsid w:val="54E656A9"/>
    <w:rsid w:val="54E85406"/>
    <w:rsid w:val="54EE4DEC"/>
    <w:rsid w:val="54F93AE7"/>
    <w:rsid w:val="54F97DEB"/>
    <w:rsid w:val="55012EF3"/>
    <w:rsid w:val="55022588"/>
    <w:rsid w:val="550D4E7F"/>
    <w:rsid w:val="551B3ADB"/>
    <w:rsid w:val="55252910"/>
    <w:rsid w:val="552677BE"/>
    <w:rsid w:val="55313992"/>
    <w:rsid w:val="553772EA"/>
    <w:rsid w:val="553A6D2E"/>
    <w:rsid w:val="5546635B"/>
    <w:rsid w:val="55507B46"/>
    <w:rsid w:val="55534568"/>
    <w:rsid w:val="555A0EDC"/>
    <w:rsid w:val="55677E49"/>
    <w:rsid w:val="55692EAC"/>
    <w:rsid w:val="55714147"/>
    <w:rsid w:val="557C295E"/>
    <w:rsid w:val="557C5B0B"/>
    <w:rsid w:val="55812735"/>
    <w:rsid w:val="55861EC8"/>
    <w:rsid w:val="5588140B"/>
    <w:rsid w:val="55891D85"/>
    <w:rsid w:val="5592013C"/>
    <w:rsid w:val="55A57957"/>
    <w:rsid w:val="55AA469C"/>
    <w:rsid w:val="55BC12E8"/>
    <w:rsid w:val="55BD3120"/>
    <w:rsid w:val="55BF56EA"/>
    <w:rsid w:val="55C103AC"/>
    <w:rsid w:val="55C423B5"/>
    <w:rsid w:val="55C6074D"/>
    <w:rsid w:val="55C86079"/>
    <w:rsid w:val="55EE6E58"/>
    <w:rsid w:val="55F2238E"/>
    <w:rsid w:val="55F24132"/>
    <w:rsid w:val="55FB05FF"/>
    <w:rsid w:val="55FC794D"/>
    <w:rsid w:val="56012A7B"/>
    <w:rsid w:val="56172C84"/>
    <w:rsid w:val="562219AC"/>
    <w:rsid w:val="56230DC5"/>
    <w:rsid w:val="562B59B0"/>
    <w:rsid w:val="56387876"/>
    <w:rsid w:val="56391384"/>
    <w:rsid w:val="565907FF"/>
    <w:rsid w:val="565D6940"/>
    <w:rsid w:val="566101A8"/>
    <w:rsid w:val="56666AC5"/>
    <w:rsid w:val="56701442"/>
    <w:rsid w:val="56793306"/>
    <w:rsid w:val="56797C74"/>
    <w:rsid w:val="568116C5"/>
    <w:rsid w:val="568F0B4D"/>
    <w:rsid w:val="5691640E"/>
    <w:rsid w:val="56927F4A"/>
    <w:rsid w:val="569C03A7"/>
    <w:rsid w:val="569E53D6"/>
    <w:rsid w:val="56A304C3"/>
    <w:rsid w:val="56AD16B1"/>
    <w:rsid w:val="56B44FF7"/>
    <w:rsid w:val="56B76AF7"/>
    <w:rsid w:val="56BA0EDB"/>
    <w:rsid w:val="56BA5BFC"/>
    <w:rsid w:val="56D60D34"/>
    <w:rsid w:val="56DA1A1C"/>
    <w:rsid w:val="56E90EF6"/>
    <w:rsid w:val="56F50794"/>
    <w:rsid w:val="56F82259"/>
    <w:rsid w:val="56FC12BF"/>
    <w:rsid w:val="570426CC"/>
    <w:rsid w:val="57103E85"/>
    <w:rsid w:val="571E4103"/>
    <w:rsid w:val="5724356E"/>
    <w:rsid w:val="573B396A"/>
    <w:rsid w:val="576019A8"/>
    <w:rsid w:val="576E1A2E"/>
    <w:rsid w:val="576F00D0"/>
    <w:rsid w:val="57780B15"/>
    <w:rsid w:val="577C7921"/>
    <w:rsid w:val="578130EB"/>
    <w:rsid w:val="5781472D"/>
    <w:rsid w:val="57842581"/>
    <w:rsid w:val="57860B1C"/>
    <w:rsid w:val="579016BB"/>
    <w:rsid w:val="579131AA"/>
    <w:rsid w:val="57961B8E"/>
    <w:rsid w:val="579A34FF"/>
    <w:rsid w:val="57A05D52"/>
    <w:rsid w:val="57A65B21"/>
    <w:rsid w:val="57A93B1C"/>
    <w:rsid w:val="57AC71EF"/>
    <w:rsid w:val="57B30CCB"/>
    <w:rsid w:val="57B82FE8"/>
    <w:rsid w:val="57BA183B"/>
    <w:rsid w:val="57BC21E8"/>
    <w:rsid w:val="57C64CE3"/>
    <w:rsid w:val="57CF1AC2"/>
    <w:rsid w:val="57CF411E"/>
    <w:rsid w:val="57CF6469"/>
    <w:rsid w:val="57E359C9"/>
    <w:rsid w:val="57F75230"/>
    <w:rsid w:val="57FA5E75"/>
    <w:rsid w:val="58000E35"/>
    <w:rsid w:val="58222E9F"/>
    <w:rsid w:val="582D3231"/>
    <w:rsid w:val="58316A55"/>
    <w:rsid w:val="583F3207"/>
    <w:rsid w:val="58452DB9"/>
    <w:rsid w:val="5846017C"/>
    <w:rsid w:val="58484E27"/>
    <w:rsid w:val="58525C17"/>
    <w:rsid w:val="58592455"/>
    <w:rsid w:val="586815ED"/>
    <w:rsid w:val="586B3009"/>
    <w:rsid w:val="58775EED"/>
    <w:rsid w:val="58790B5B"/>
    <w:rsid w:val="588D7FDD"/>
    <w:rsid w:val="58924ECC"/>
    <w:rsid w:val="589511CE"/>
    <w:rsid w:val="5895256C"/>
    <w:rsid w:val="58965AA7"/>
    <w:rsid w:val="5899451C"/>
    <w:rsid w:val="589C6409"/>
    <w:rsid w:val="589D4D39"/>
    <w:rsid w:val="58A34E0C"/>
    <w:rsid w:val="58AE31F5"/>
    <w:rsid w:val="58B354B8"/>
    <w:rsid w:val="58B60FB7"/>
    <w:rsid w:val="58BB01CF"/>
    <w:rsid w:val="58BD1D42"/>
    <w:rsid w:val="58C04526"/>
    <w:rsid w:val="58C15643"/>
    <w:rsid w:val="58DE296B"/>
    <w:rsid w:val="58E05B85"/>
    <w:rsid w:val="58F141D6"/>
    <w:rsid w:val="58F9654F"/>
    <w:rsid w:val="58F979E8"/>
    <w:rsid w:val="58FB6C25"/>
    <w:rsid w:val="58FE08ED"/>
    <w:rsid w:val="59061DAE"/>
    <w:rsid w:val="5914669F"/>
    <w:rsid w:val="591557DB"/>
    <w:rsid w:val="591A5C30"/>
    <w:rsid w:val="591C4B79"/>
    <w:rsid w:val="59371CA9"/>
    <w:rsid w:val="593C5853"/>
    <w:rsid w:val="593E005D"/>
    <w:rsid w:val="5940158A"/>
    <w:rsid w:val="594606CC"/>
    <w:rsid w:val="594B6D49"/>
    <w:rsid w:val="59697600"/>
    <w:rsid w:val="596C25D4"/>
    <w:rsid w:val="597028E6"/>
    <w:rsid w:val="597D38D7"/>
    <w:rsid w:val="598A75D0"/>
    <w:rsid w:val="59935094"/>
    <w:rsid w:val="5995496F"/>
    <w:rsid w:val="59A62A34"/>
    <w:rsid w:val="59AB1748"/>
    <w:rsid w:val="59B159CB"/>
    <w:rsid w:val="59B51848"/>
    <w:rsid w:val="59BC67AC"/>
    <w:rsid w:val="59C03938"/>
    <w:rsid w:val="59C811F1"/>
    <w:rsid w:val="59C83D69"/>
    <w:rsid w:val="59CB01B4"/>
    <w:rsid w:val="59CF1C3E"/>
    <w:rsid w:val="59D87B36"/>
    <w:rsid w:val="59E57113"/>
    <w:rsid w:val="59E91981"/>
    <w:rsid w:val="59F22823"/>
    <w:rsid w:val="59F42704"/>
    <w:rsid w:val="59FD1C88"/>
    <w:rsid w:val="5A0020BE"/>
    <w:rsid w:val="5A02215A"/>
    <w:rsid w:val="5A0823EC"/>
    <w:rsid w:val="5A0B4999"/>
    <w:rsid w:val="5A1219E8"/>
    <w:rsid w:val="5A1601E1"/>
    <w:rsid w:val="5A1A2003"/>
    <w:rsid w:val="5A2023BC"/>
    <w:rsid w:val="5A2534E2"/>
    <w:rsid w:val="5A272110"/>
    <w:rsid w:val="5A2F52ED"/>
    <w:rsid w:val="5A307C26"/>
    <w:rsid w:val="5A341010"/>
    <w:rsid w:val="5A3A1517"/>
    <w:rsid w:val="5A4D351E"/>
    <w:rsid w:val="5A507300"/>
    <w:rsid w:val="5A51154D"/>
    <w:rsid w:val="5A523957"/>
    <w:rsid w:val="5A532CC8"/>
    <w:rsid w:val="5A612789"/>
    <w:rsid w:val="5A6543C4"/>
    <w:rsid w:val="5A6A5675"/>
    <w:rsid w:val="5A6E205B"/>
    <w:rsid w:val="5A7B2C70"/>
    <w:rsid w:val="5A7C2218"/>
    <w:rsid w:val="5A7C5822"/>
    <w:rsid w:val="5A847FE5"/>
    <w:rsid w:val="5A9B3B8F"/>
    <w:rsid w:val="5A9E6004"/>
    <w:rsid w:val="5AAB402B"/>
    <w:rsid w:val="5AAF46FD"/>
    <w:rsid w:val="5AB36954"/>
    <w:rsid w:val="5ABE401A"/>
    <w:rsid w:val="5AC526EE"/>
    <w:rsid w:val="5AD45224"/>
    <w:rsid w:val="5ADC6365"/>
    <w:rsid w:val="5B0A16D4"/>
    <w:rsid w:val="5B0B0FE2"/>
    <w:rsid w:val="5B1029A0"/>
    <w:rsid w:val="5B18258F"/>
    <w:rsid w:val="5B28216A"/>
    <w:rsid w:val="5B2B1ACA"/>
    <w:rsid w:val="5B33397C"/>
    <w:rsid w:val="5B35552C"/>
    <w:rsid w:val="5B356E68"/>
    <w:rsid w:val="5B3A4E8A"/>
    <w:rsid w:val="5B43203B"/>
    <w:rsid w:val="5B4E4DA1"/>
    <w:rsid w:val="5B5335BE"/>
    <w:rsid w:val="5B613886"/>
    <w:rsid w:val="5B6A6045"/>
    <w:rsid w:val="5B6C39BD"/>
    <w:rsid w:val="5B7B1E82"/>
    <w:rsid w:val="5B862B77"/>
    <w:rsid w:val="5B944D80"/>
    <w:rsid w:val="5B9509FD"/>
    <w:rsid w:val="5BAB4BEE"/>
    <w:rsid w:val="5BB210AD"/>
    <w:rsid w:val="5BB47B97"/>
    <w:rsid w:val="5BB81EEF"/>
    <w:rsid w:val="5BC23198"/>
    <w:rsid w:val="5BC52C1C"/>
    <w:rsid w:val="5BCE2157"/>
    <w:rsid w:val="5BD2376F"/>
    <w:rsid w:val="5BEA66B7"/>
    <w:rsid w:val="5BEB4DCC"/>
    <w:rsid w:val="5BF81226"/>
    <w:rsid w:val="5C0042AF"/>
    <w:rsid w:val="5C021D5C"/>
    <w:rsid w:val="5C097E8B"/>
    <w:rsid w:val="5C0E1887"/>
    <w:rsid w:val="5C0E448E"/>
    <w:rsid w:val="5C116FBD"/>
    <w:rsid w:val="5C18254C"/>
    <w:rsid w:val="5C1B2C25"/>
    <w:rsid w:val="5C1E0099"/>
    <w:rsid w:val="5C24204D"/>
    <w:rsid w:val="5C261AD7"/>
    <w:rsid w:val="5C2A4D2E"/>
    <w:rsid w:val="5C2E032C"/>
    <w:rsid w:val="5C317C76"/>
    <w:rsid w:val="5C35045C"/>
    <w:rsid w:val="5C3C5668"/>
    <w:rsid w:val="5C3C56AD"/>
    <w:rsid w:val="5C3D32DD"/>
    <w:rsid w:val="5C3E4B55"/>
    <w:rsid w:val="5C404666"/>
    <w:rsid w:val="5C422461"/>
    <w:rsid w:val="5C48686D"/>
    <w:rsid w:val="5C4F52A1"/>
    <w:rsid w:val="5C4F75E7"/>
    <w:rsid w:val="5C50319B"/>
    <w:rsid w:val="5C511614"/>
    <w:rsid w:val="5C520197"/>
    <w:rsid w:val="5C5371DE"/>
    <w:rsid w:val="5C5F094C"/>
    <w:rsid w:val="5C603564"/>
    <w:rsid w:val="5C633837"/>
    <w:rsid w:val="5C6B674F"/>
    <w:rsid w:val="5C6F57DC"/>
    <w:rsid w:val="5C7E0DF8"/>
    <w:rsid w:val="5C7E39D8"/>
    <w:rsid w:val="5C8A31FF"/>
    <w:rsid w:val="5C9F55AA"/>
    <w:rsid w:val="5CA474D4"/>
    <w:rsid w:val="5CA84AC1"/>
    <w:rsid w:val="5CAC4293"/>
    <w:rsid w:val="5CB64B19"/>
    <w:rsid w:val="5CBD7A62"/>
    <w:rsid w:val="5CC164AE"/>
    <w:rsid w:val="5CC22998"/>
    <w:rsid w:val="5CC5766D"/>
    <w:rsid w:val="5CC829D4"/>
    <w:rsid w:val="5CD22245"/>
    <w:rsid w:val="5CD612EC"/>
    <w:rsid w:val="5CD620EF"/>
    <w:rsid w:val="5CD63CB1"/>
    <w:rsid w:val="5CD75EB0"/>
    <w:rsid w:val="5CE00BB1"/>
    <w:rsid w:val="5CE76E4E"/>
    <w:rsid w:val="5CE97CE3"/>
    <w:rsid w:val="5CF06B97"/>
    <w:rsid w:val="5CF85D55"/>
    <w:rsid w:val="5CFF2C7D"/>
    <w:rsid w:val="5CFF66F4"/>
    <w:rsid w:val="5D042519"/>
    <w:rsid w:val="5D10070C"/>
    <w:rsid w:val="5D1077A1"/>
    <w:rsid w:val="5D193562"/>
    <w:rsid w:val="5D232DD8"/>
    <w:rsid w:val="5D2360DD"/>
    <w:rsid w:val="5D360039"/>
    <w:rsid w:val="5D3A22F4"/>
    <w:rsid w:val="5D3D681F"/>
    <w:rsid w:val="5D421B63"/>
    <w:rsid w:val="5D467576"/>
    <w:rsid w:val="5D4B2525"/>
    <w:rsid w:val="5D543240"/>
    <w:rsid w:val="5D5434CB"/>
    <w:rsid w:val="5D5A25C6"/>
    <w:rsid w:val="5D645AF7"/>
    <w:rsid w:val="5D697151"/>
    <w:rsid w:val="5D7070A0"/>
    <w:rsid w:val="5D7B2BAE"/>
    <w:rsid w:val="5D893541"/>
    <w:rsid w:val="5D8C28B4"/>
    <w:rsid w:val="5D9832F3"/>
    <w:rsid w:val="5D9934EC"/>
    <w:rsid w:val="5D9C1E54"/>
    <w:rsid w:val="5DAB1E9E"/>
    <w:rsid w:val="5DB53FF3"/>
    <w:rsid w:val="5DBC3F54"/>
    <w:rsid w:val="5DC328CA"/>
    <w:rsid w:val="5DCA57DD"/>
    <w:rsid w:val="5DD74A14"/>
    <w:rsid w:val="5DDB163B"/>
    <w:rsid w:val="5DDC2477"/>
    <w:rsid w:val="5DF11D42"/>
    <w:rsid w:val="5DFA2E17"/>
    <w:rsid w:val="5DFB0C01"/>
    <w:rsid w:val="5E006537"/>
    <w:rsid w:val="5E1D2155"/>
    <w:rsid w:val="5E2374D1"/>
    <w:rsid w:val="5E401AFE"/>
    <w:rsid w:val="5E454E01"/>
    <w:rsid w:val="5E490493"/>
    <w:rsid w:val="5E4D4054"/>
    <w:rsid w:val="5E4F4CEC"/>
    <w:rsid w:val="5E517BBA"/>
    <w:rsid w:val="5E521705"/>
    <w:rsid w:val="5E656142"/>
    <w:rsid w:val="5E680B19"/>
    <w:rsid w:val="5E7334F8"/>
    <w:rsid w:val="5E7805FF"/>
    <w:rsid w:val="5E7859D6"/>
    <w:rsid w:val="5E842B6A"/>
    <w:rsid w:val="5E875A07"/>
    <w:rsid w:val="5E8C1E30"/>
    <w:rsid w:val="5E911FAC"/>
    <w:rsid w:val="5E92137B"/>
    <w:rsid w:val="5E9373FC"/>
    <w:rsid w:val="5EA67DEF"/>
    <w:rsid w:val="5EAA11B3"/>
    <w:rsid w:val="5EB95510"/>
    <w:rsid w:val="5EB956EE"/>
    <w:rsid w:val="5EC57A3D"/>
    <w:rsid w:val="5ECB275F"/>
    <w:rsid w:val="5ECE2836"/>
    <w:rsid w:val="5EDB5813"/>
    <w:rsid w:val="5EE2308E"/>
    <w:rsid w:val="5EEC409E"/>
    <w:rsid w:val="5EF2448C"/>
    <w:rsid w:val="5EF442F3"/>
    <w:rsid w:val="5F3A21FA"/>
    <w:rsid w:val="5F490636"/>
    <w:rsid w:val="5F4A6244"/>
    <w:rsid w:val="5F6219E5"/>
    <w:rsid w:val="5F7D5743"/>
    <w:rsid w:val="5F810563"/>
    <w:rsid w:val="5F902061"/>
    <w:rsid w:val="5F91364B"/>
    <w:rsid w:val="5F942C15"/>
    <w:rsid w:val="5F983E67"/>
    <w:rsid w:val="5FA57B43"/>
    <w:rsid w:val="5FB560BB"/>
    <w:rsid w:val="5FB62CD8"/>
    <w:rsid w:val="5FC20790"/>
    <w:rsid w:val="5FC91DE9"/>
    <w:rsid w:val="5FCE57F6"/>
    <w:rsid w:val="5FD820A7"/>
    <w:rsid w:val="5FDF0C33"/>
    <w:rsid w:val="5FE25D83"/>
    <w:rsid w:val="5FE5232B"/>
    <w:rsid w:val="5FEC3C05"/>
    <w:rsid w:val="5FF020A1"/>
    <w:rsid w:val="5FFC5DE4"/>
    <w:rsid w:val="600F241C"/>
    <w:rsid w:val="60195F65"/>
    <w:rsid w:val="60200E33"/>
    <w:rsid w:val="6023016C"/>
    <w:rsid w:val="602924AC"/>
    <w:rsid w:val="602B5AAA"/>
    <w:rsid w:val="60334B2A"/>
    <w:rsid w:val="603E7B8A"/>
    <w:rsid w:val="60420933"/>
    <w:rsid w:val="6056292C"/>
    <w:rsid w:val="6063156C"/>
    <w:rsid w:val="606502AC"/>
    <w:rsid w:val="60660D11"/>
    <w:rsid w:val="606611B7"/>
    <w:rsid w:val="60687B01"/>
    <w:rsid w:val="606D5453"/>
    <w:rsid w:val="607044B9"/>
    <w:rsid w:val="60760530"/>
    <w:rsid w:val="6078579C"/>
    <w:rsid w:val="608159C3"/>
    <w:rsid w:val="60904724"/>
    <w:rsid w:val="60924935"/>
    <w:rsid w:val="60934023"/>
    <w:rsid w:val="60947BEA"/>
    <w:rsid w:val="609B6315"/>
    <w:rsid w:val="60AC169F"/>
    <w:rsid w:val="60AF0E29"/>
    <w:rsid w:val="60B43DFD"/>
    <w:rsid w:val="60B55179"/>
    <w:rsid w:val="60BF5745"/>
    <w:rsid w:val="60C47684"/>
    <w:rsid w:val="60C90EA4"/>
    <w:rsid w:val="60CA2396"/>
    <w:rsid w:val="60CF0514"/>
    <w:rsid w:val="60D07484"/>
    <w:rsid w:val="60D10C0F"/>
    <w:rsid w:val="60D3569F"/>
    <w:rsid w:val="60D4537B"/>
    <w:rsid w:val="60D74889"/>
    <w:rsid w:val="60E02B8F"/>
    <w:rsid w:val="60E92E1A"/>
    <w:rsid w:val="60ED6BA8"/>
    <w:rsid w:val="60F37DA9"/>
    <w:rsid w:val="60FA110C"/>
    <w:rsid w:val="60FA46E4"/>
    <w:rsid w:val="60FD3753"/>
    <w:rsid w:val="60FE00AF"/>
    <w:rsid w:val="60FE35D0"/>
    <w:rsid w:val="6101046D"/>
    <w:rsid w:val="61047EF9"/>
    <w:rsid w:val="61064296"/>
    <w:rsid w:val="610864CC"/>
    <w:rsid w:val="610958BB"/>
    <w:rsid w:val="610A63CC"/>
    <w:rsid w:val="611558FC"/>
    <w:rsid w:val="61164EEF"/>
    <w:rsid w:val="61176A85"/>
    <w:rsid w:val="611A697F"/>
    <w:rsid w:val="61206479"/>
    <w:rsid w:val="612143A4"/>
    <w:rsid w:val="61221695"/>
    <w:rsid w:val="6124184C"/>
    <w:rsid w:val="61254671"/>
    <w:rsid w:val="612E3337"/>
    <w:rsid w:val="61465E1A"/>
    <w:rsid w:val="614B5BCE"/>
    <w:rsid w:val="614D1495"/>
    <w:rsid w:val="614D2B5A"/>
    <w:rsid w:val="6155426A"/>
    <w:rsid w:val="615755AF"/>
    <w:rsid w:val="615D6475"/>
    <w:rsid w:val="61620240"/>
    <w:rsid w:val="616C2054"/>
    <w:rsid w:val="616E3976"/>
    <w:rsid w:val="617D0D60"/>
    <w:rsid w:val="618321F0"/>
    <w:rsid w:val="618563BE"/>
    <w:rsid w:val="61867017"/>
    <w:rsid w:val="618E1E6E"/>
    <w:rsid w:val="618F22FB"/>
    <w:rsid w:val="61B15149"/>
    <w:rsid w:val="61B16AF8"/>
    <w:rsid w:val="61B71C73"/>
    <w:rsid w:val="61C56900"/>
    <w:rsid w:val="61C73EC2"/>
    <w:rsid w:val="61D32FE5"/>
    <w:rsid w:val="61D9528D"/>
    <w:rsid w:val="61DA6BBA"/>
    <w:rsid w:val="61DE7C3D"/>
    <w:rsid w:val="61E1330A"/>
    <w:rsid w:val="61E51E0F"/>
    <w:rsid w:val="61E852C9"/>
    <w:rsid w:val="61EE26FB"/>
    <w:rsid w:val="61EE28BD"/>
    <w:rsid w:val="61F0115C"/>
    <w:rsid w:val="61FA5B62"/>
    <w:rsid w:val="6203062B"/>
    <w:rsid w:val="62070260"/>
    <w:rsid w:val="6222428F"/>
    <w:rsid w:val="623328EA"/>
    <w:rsid w:val="62390C34"/>
    <w:rsid w:val="6239162C"/>
    <w:rsid w:val="623D4624"/>
    <w:rsid w:val="623D5E3F"/>
    <w:rsid w:val="6241252A"/>
    <w:rsid w:val="62464E95"/>
    <w:rsid w:val="62475095"/>
    <w:rsid w:val="625377EA"/>
    <w:rsid w:val="625D49CE"/>
    <w:rsid w:val="6260455B"/>
    <w:rsid w:val="626114D6"/>
    <w:rsid w:val="6268560F"/>
    <w:rsid w:val="627C049D"/>
    <w:rsid w:val="627E327C"/>
    <w:rsid w:val="628E6DF2"/>
    <w:rsid w:val="62971DFA"/>
    <w:rsid w:val="629963D8"/>
    <w:rsid w:val="62B3642B"/>
    <w:rsid w:val="62B91CB2"/>
    <w:rsid w:val="62E05F11"/>
    <w:rsid w:val="62F00E21"/>
    <w:rsid w:val="62F06C0E"/>
    <w:rsid w:val="62F571B6"/>
    <w:rsid w:val="62F91A8D"/>
    <w:rsid w:val="62FA0118"/>
    <w:rsid w:val="62FB5ADF"/>
    <w:rsid w:val="63016DD9"/>
    <w:rsid w:val="630B0513"/>
    <w:rsid w:val="630D5FB3"/>
    <w:rsid w:val="631D12C4"/>
    <w:rsid w:val="632F0EFF"/>
    <w:rsid w:val="633159CB"/>
    <w:rsid w:val="6332638D"/>
    <w:rsid w:val="633B2B0B"/>
    <w:rsid w:val="633C5BF9"/>
    <w:rsid w:val="633E36D1"/>
    <w:rsid w:val="6343466C"/>
    <w:rsid w:val="634A145E"/>
    <w:rsid w:val="634E753F"/>
    <w:rsid w:val="63607ED4"/>
    <w:rsid w:val="636469BD"/>
    <w:rsid w:val="63670D77"/>
    <w:rsid w:val="63685741"/>
    <w:rsid w:val="636A3942"/>
    <w:rsid w:val="636B5C5F"/>
    <w:rsid w:val="63716369"/>
    <w:rsid w:val="63767EE6"/>
    <w:rsid w:val="637919F5"/>
    <w:rsid w:val="637A710D"/>
    <w:rsid w:val="637D2E4D"/>
    <w:rsid w:val="63802ACC"/>
    <w:rsid w:val="6388225F"/>
    <w:rsid w:val="63947BA7"/>
    <w:rsid w:val="63B253E1"/>
    <w:rsid w:val="63B26566"/>
    <w:rsid w:val="63B601D2"/>
    <w:rsid w:val="63D86821"/>
    <w:rsid w:val="63D8720B"/>
    <w:rsid w:val="63DF3F98"/>
    <w:rsid w:val="63E02D15"/>
    <w:rsid w:val="63E0457C"/>
    <w:rsid w:val="63E25AFD"/>
    <w:rsid w:val="63F03B38"/>
    <w:rsid w:val="63F731A5"/>
    <w:rsid w:val="63FC766C"/>
    <w:rsid w:val="63FE2454"/>
    <w:rsid w:val="64022F76"/>
    <w:rsid w:val="64084173"/>
    <w:rsid w:val="641269AD"/>
    <w:rsid w:val="641C56F8"/>
    <w:rsid w:val="64231408"/>
    <w:rsid w:val="643A7824"/>
    <w:rsid w:val="64553AA4"/>
    <w:rsid w:val="64564ED9"/>
    <w:rsid w:val="645A5737"/>
    <w:rsid w:val="64603768"/>
    <w:rsid w:val="6467123E"/>
    <w:rsid w:val="64706790"/>
    <w:rsid w:val="64724898"/>
    <w:rsid w:val="647C3BBA"/>
    <w:rsid w:val="64805997"/>
    <w:rsid w:val="64813A7C"/>
    <w:rsid w:val="64823A3A"/>
    <w:rsid w:val="64855B2D"/>
    <w:rsid w:val="64867427"/>
    <w:rsid w:val="648976FB"/>
    <w:rsid w:val="648A2250"/>
    <w:rsid w:val="648B1491"/>
    <w:rsid w:val="648E1573"/>
    <w:rsid w:val="649A52C8"/>
    <w:rsid w:val="64B0747D"/>
    <w:rsid w:val="64B6071F"/>
    <w:rsid w:val="64BE2F18"/>
    <w:rsid w:val="64C03551"/>
    <w:rsid w:val="64C6530B"/>
    <w:rsid w:val="64D9451E"/>
    <w:rsid w:val="64DB77D5"/>
    <w:rsid w:val="64F31974"/>
    <w:rsid w:val="64FA5C63"/>
    <w:rsid w:val="65127100"/>
    <w:rsid w:val="6532464B"/>
    <w:rsid w:val="653A34E5"/>
    <w:rsid w:val="653C6B1D"/>
    <w:rsid w:val="65433415"/>
    <w:rsid w:val="65463750"/>
    <w:rsid w:val="654E3228"/>
    <w:rsid w:val="65537C6B"/>
    <w:rsid w:val="655C685E"/>
    <w:rsid w:val="656160AB"/>
    <w:rsid w:val="65622086"/>
    <w:rsid w:val="65644A63"/>
    <w:rsid w:val="656E3321"/>
    <w:rsid w:val="65757B8D"/>
    <w:rsid w:val="65764BA6"/>
    <w:rsid w:val="658E776E"/>
    <w:rsid w:val="65907AC2"/>
    <w:rsid w:val="65A62A91"/>
    <w:rsid w:val="65A8734A"/>
    <w:rsid w:val="65A9185C"/>
    <w:rsid w:val="65AB43EF"/>
    <w:rsid w:val="65B430CC"/>
    <w:rsid w:val="65CC6A3A"/>
    <w:rsid w:val="65DB0A99"/>
    <w:rsid w:val="65E919BF"/>
    <w:rsid w:val="65ED7EEF"/>
    <w:rsid w:val="65F46CFC"/>
    <w:rsid w:val="65F73BB4"/>
    <w:rsid w:val="660658FA"/>
    <w:rsid w:val="660B1805"/>
    <w:rsid w:val="660C035C"/>
    <w:rsid w:val="66190E3D"/>
    <w:rsid w:val="661C061C"/>
    <w:rsid w:val="6628673A"/>
    <w:rsid w:val="66300C32"/>
    <w:rsid w:val="6639596A"/>
    <w:rsid w:val="66401DD3"/>
    <w:rsid w:val="6644369D"/>
    <w:rsid w:val="66513A8B"/>
    <w:rsid w:val="66515333"/>
    <w:rsid w:val="66543F3A"/>
    <w:rsid w:val="6654755D"/>
    <w:rsid w:val="66706DA7"/>
    <w:rsid w:val="66715E7B"/>
    <w:rsid w:val="66741783"/>
    <w:rsid w:val="66847504"/>
    <w:rsid w:val="66870478"/>
    <w:rsid w:val="66892842"/>
    <w:rsid w:val="66917990"/>
    <w:rsid w:val="66941DAA"/>
    <w:rsid w:val="66972F96"/>
    <w:rsid w:val="66976DD4"/>
    <w:rsid w:val="669A7003"/>
    <w:rsid w:val="66A54376"/>
    <w:rsid w:val="66AD05F5"/>
    <w:rsid w:val="66AD1818"/>
    <w:rsid w:val="66AD4A88"/>
    <w:rsid w:val="66B4636B"/>
    <w:rsid w:val="66C2655F"/>
    <w:rsid w:val="66D01D1D"/>
    <w:rsid w:val="66D20F68"/>
    <w:rsid w:val="66D6103F"/>
    <w:rsid w:val="66DB5E51"/>
    <w:rsid w:val="66DC2051"/>
    <w:rsid w:val="66E77E06"/>
    <w:rsid w:val="66F861FA"/>
    <w:rsid w:val="670027A0"/>
    <w:rsid w:val="67037752"/>
    <w:rsid w:val="67050D51"/>
    <w:rsid w:val="67050D97"/>
    <w:rsid w:val="670E178E"/>
    <w:rsid w:val="6717419C"/>
    <w:rsid w:val="67212735"/>
    <w:rsid w:val="673611CB"/>
    <w:rsid w:val="674A450B"/>
    <w:rsid w:val="674B4E59"/>
    <w:rsid w:val="675005EC"/>
    <w:rsid w:val="675E366D"/>
    <w:rsid w:val="67635837"/>
    <w:rsid w:val="67690F3D"/>
    <w:rsid w:val="676B3A7C"/>
    <w:rsid w:val="676D52AA"/>
    <w:rsid w:val="677011BD"/>
    <w:rsid w:val="6770452E"/>
    <w:rsid w:val="67750EBE"/>
    <w:rsid w:val="67816012"/>
    <w:rsid w:val="67842D1C"/>
    <w:rsid w:val="678C278B"/>
    <w:rsid w:val="67991948"/>
    <w:rsid w:val="67A850E1"/>
    <w:rsid w:val="67AB3E74"/>
    <w:rsid w:val="67B0438B"/>
    <w:rsid w:val="67B33BE3"/>
    <w:rsid w:val="67B71656"/>
    <w:rsid w:val="67B723B3"/>
    <w:rsid w:val="67B743E8"/>
    <w:rsid w:val="67BD43E0"/>
    <w:rsid w:val="67BD4993"/>
    <w:rsid w:val="67C0411D"/>
    <w:rsid w:val="67C95416"/>
    <w:rsid w:val="67D74048"/>
    <w:rsid w:val="67E041E2"/>
    <w:rsid w:val="67E51F56"/>
    <w:rsid w:val="67F27764"/>
    <w:rsid w:val="6802359C"/>
    <w:rsid w:val="68081463"/>
    <w:rsid w:val="680A257F"/>
    <w:rsid w:val="680E50C8"/>
    <w:rsid w:val="681541C3"/>
    <w:rsid w:val="681674DF"/>
    <w:rsid w:val="68373462"/>
    <w:rsid w:val="68447B3B"/>
    <w:rsid w:val="685C0FCA"/>
    <w:rsid w:val="68650F7D"/>
    <w:rsid w:val="68655BE3"/>
    <w:rsid w:val="686926D4"/>
    <w:rsid w:val="68774A50"/>
    <w:rsid w:val="68784EDA"/>
    <w:rsid w:val="687A62EB"/>
    <w:rsid w:val="687B4F8F"/>
    <w:rsid w:val="688A20B8"/>
    <w:rsid w:val="688C0135"/>
    <w:rsid w:val="688D57D8"/>
    <w:rsid w:val="6892047F"/>
    <w:rsid w:val="6897438E"/>
    <w:rsid w:val="68A01495"/>
    <w:rsid w:val="68A27905"/>
    <w:rsid w:val="68A550D0"/>
    <w:rsid w:val="68A57A2E"/>
    <w:rsid w:val="68A7533D"/>
    <w:rsid w:val="68BD6779"/>
    <w:rsid w:val="68C02111"/>
    <w:rsid w:val="68C42BDC"/>
    <w:rsid w:val="68CE3102"/>
    <w:rsid w:val="68D015E0"/>
    <w:rsid w:val="68D33B58"/>
    <w:rsid w:val="68D824C6"/>
    <w:rsid w:val="68E24545"/>
    <w:rsid w:val="68E31D7A"/>
    <w:rsid w:val="68E71448"/>
    <w:rsid w:val="68E92B61"/>
    <w:rsid w:val="68F308C4"/>
    <w:rsid w:val="68F51C33"/>
    <w:rsid w:val="68FA62F0"/>
    <w:rsid w:val="68FE7853"/>
    <w:rsid w:val="68FF6668"/>
    <w:rsid w:val="6901117B"/>
    <w:rsid w:val="69021A4A"/>
    <w:rsid w:val="69052CE9"/>
    <w:rsid w:val="691D61F1"/>
    <w:rsid w:val="691E3879"/>
    <w:rsid w:val="69211467"/>
    <w:rsid w:val="69257A7E"/>
    <w:rsid w:val="69277662"/>
    <w:rsid w:val="69345F83"/>
    <w:rsid w:val="69392613"/>
    <w:rsid w:val="69392966"/>
    <w:rsid w:val="693C2B63"/>
    <w:rsid w:val="694E1147"/>
    <w:rsid w:val="69520D7A"/>
    <w:rsid w:val="69573B6E"/>
    <w:rsid w:val="696206D3"/>
    <w:rsid w:val="6967756D"/>
    <w:rsid w:val="6968644A"/>
    <w:rsid w:val="697011ED"/>
    <w:rsid w:val="69826A24"/>
    <w:rsid w:val="699B6DC8"/>
    <w:rsid w:val="69A97058"/>
    <w:rsid w:val="69AB6F60"/>
    <w:rsid w:val="69C8002E"/>
    <w:rsid w:val="69CF04C1"/>
    <w:rsid w:val="69D32FE1"/>
    <w:rsid w:val="69D463F2"/>
    <w:rsid w:val="69D72910"/>
    <w:rsid w:val="69D94035"/>
    <w:rsid w:val="69DC26A6"/>
    <w:rsid w:val="69E37874"/>
    <w:rsid w:val="69E56B54"/>
    <w:rsid w:val="69E96708"/>
    <w:rsid w:val="69ED002E"/>
    <w:rsid w:val="69EE54CD"/>
    <w:rsid w:val="69F92613"/>
    <w:rsid w:val="69FB7CD4"/>
    <w:rsid w:val="69FD723E"/>
    <w:rsid w:val="69FD7CEA"/>
    <w:rsid w:val="6A0229E5"/>
    <w:rsid w:val="6A067F83"/>
    <w:rsid w:val="6A097E59"/>
    <w:rsid w:val="6A171AFC"/>
    <w:rsid w:val="6A227A57"/>
    <w:rsid w:val="6A2A2D01"/>
    <w:rsid w:val="6A3225D7"/>
    <w:rsid w:val="6A3B0B6C"/>
    <w:rsid w:val="6A470981"/>
    <w:rsid w:val="6A4747AF"/>
    <w:rsid w:val="6A49294B"/>
    <w:rsid w:val="6A562B91"/>
    <w:rsid w:val="6A57299A"/>
    <w:rsid w:val="6A697946"/>
    <w:rsid w:val="6A6D6854"/>
    <w:rsid w:val="6A700CED"/>
    <w:rsid w:val="6A7017D7"/>
    <w:rsid w:val="6AA235D3"/>
    <w:rsid w:val="6AA31D3D"/>
    <w:rsid w:val="6AB02B50"/>
    <w:rsid w:val="6AB14532"/>
    <w:rsid w:val="6ABB2ED0"/>
    <w:rsid w:val="6AC335C4"/>
    <w:rsid w:val="6ACC0F11"/>
    <w:rsid w:val="6ADB4318"/>
    <w:rsid w:val="6ADD7DFD"/>
    <w:rsid w:val="6AE2135D"/>
    <w:rsid w:val="6AE77D3D"/>
    <w:rsid w:val="6AE93C28"/>
    <w:rsid w:val="6AF05F1A"/>
    <w:rsid w:val="6B036D80"/>
    <w:rsid w:val="6B0451AB"/>
    <w:rsid w:val="6B160110"/>
    <w:rsid w:val="6B21434C"/>
    <w:rsid w:val="6B237C36"/>
    <w:rsid w:val="6B2718FD"/>
    <w:rsid w:val="6B2A147B"/>
    <w:rsid w:val="6B2C290C"/>
    <w:rsid w:val="6B33476F"/>
    <w:rsid w:val="6B352059"/>
    <w:rsid w:val="6B3B4CA2"/>
    <w:rsid w:val="6B4514F6"/>
    <w:rsid w:val="6B4A50C0"/>
    <w:rsid w:val="6B4D3CED"/>
    <w:rsid w:val="6B5C7011"/>
    <w:rsid w:val="6B6A2B7E"/>
    <w:rsid w:val="6B705893"/>
    <w:rsid w:val="6B7221D1"/>
    <w:rsid w:val="6B725A81"/>
    <w:rsid w:val="6B7D16E0"/>
    <w:rsid w:val="6B7F30F3"/>
    <w:rsid w:val="6B873558"/>
    <w:rsid w:val="6B92645D"/>
    <w:rsid w:val="6B94060D"/>
    <w:rsid w:val="6B973734"/>
    <w:rsid w:val="6B975967"/>
    <w:rsid w:val="6B9A5777"/>
    <w:rsid w:val="6BB248CC"/>
    <w:rsid w:val="6BBC0DCF"/>
    <w:rsid w:val="6BCA6179"/>
    <w:rsid w:val="6BD0777F"/>
    <w:rsid w:val="6BD619EE"/>
    <w:rsid w:val="6BEA64E2"/>
    <w:rsid w:val="6BFA7E30"/>
    <w:rsid w:val="6BFB030F"/>
    <w:rsid w:val="6C016CAE"/>
    <w:rsid w:val="6C090252"/>
    <w:rsid w:val="6C0B7CD2"/>
    <w:rsid w:val="6C0D6AE8"/>
    <w:rsid w:val="6C100936"/>
    <w:rsid w:val="6C1962C3"/>
    <w:rsid w:val="6C1A6808"/>
    <w:rsid w:val="6C255AAD"/>
    <w:rsid w:val="6C2C5801"/>
    <w:rsid w:val="6C2D7320"/>
    <w:rsid w:val="6C2E3E73"/>
    <w:rsid w:val="6C3321F9"/>
    <w:rsid w:val="6C33267C"/>
    <w:rsid w:val="6C3D0F56"/>
    <w:rsid w:val="6C410CB8"/>
    <w:rsid w:val="6C452BDF"/>
    <w:rsid w:val="6C5E1CDD"/>
    <w:rsid w:val="6C660C8B"/>
    <w:rsid w:val="6C6A716D"/>
    <w:rsid w:val="6C71767A"/>
    <w:rsid w:val="6C7C1F44"/>
    <w:rsid w:val="6C827094"/>
    <w:rsid w:val="6C8559E0"/>
    <w:rsid w:val="6C8D26FB"/>
    <w:rsid w:val="6CC25213"/>
    <w:rsid w:val="6CD76A8F"/>
    <w:rsid w:val="6CE0702D"/>
    <w:rsid w:val="6CE83295"/>
    <w:rsid w:val="6CEE220B"/>
    <w:rsid w:val="6CEE246E"/>
    <w:rsid w:val="6CF27A30"/>
    <w:rsid w:val="6CF6067E"/>
    <w:rsid w:val="6D032BD4"/>
    <w:rsid w:val="6D0535EE"/>
    <w:rsid w:val="6D077405"/>
    <w:rsid w:val="6D0A3519"/>
    <w:rsid w:val="6D133D59"/>
    <w:rsid w:val="6D175B2B"/>
    <w:rsid w:val="6D264EC5"/>
    <w:rsid w:val="6D26662C"/>
    <w:rsid w:val="6D330DB7"/>
    <w:rsid w:val="6D437763"/>
    <w:rsid w:val="6D4C07B8"/>
    <w:rsid w:val="6D671B76"/>
    <w:rsid w:val="6D6D28AF"/>
    <w:rsid w:val="6D771293"/>
    <w:rsid w:val="6D7D0954"/>
    <w:rsid w:val="6D8153B2"/>
    <w:rsid w:val="6D876AB7"/>
    <w:rsid w:val="6D8F154F"/>
    <w:rsid w:val="6D9757D1"/>
    <w:rsid w:val="6D9C3974"/>
    <w:rsid w:val="6DA062EA"/>
    <w:rsid w:val="6DA65DBF"/>
    <w:rsid w:val="6DA76631"/>
    <w:rsid w:val="6DAF65CC"/>
    <w:rsid w:val="6DB157A2"/>
    <w:rsid w:val="6DB25F3D"/>
    <w:rsid w:val="6DBA586C"/>
    <w:rsid w:val="6DBF7294"/>
    <w:rsid w:val="6DC53FBD"/>
    <w:rsid w:val="6DC93FE2"/>
    <w:rsid w:val="6DCA77EA"/>
    <w:rsid w:val="6DD35114"/>
    <w:rsid w:val="6DDE35E8"/>
    <w:rsid w:val="6DE92FA2"/>
    <w:rsid w:val="6DEE0E7D"/>
    <w:rsid w:val="6DF574ED"/>
    <w:rsid w:val="6DF81839"/>
    <w:rsid w:val="6E0048DC"/>
    <w:rsid w:val="6E075019"/>
    <w:rsid w:val="6E0766A1"/>
    <w:rsid w:val="6E1419C0"/>
    <w:rsid w:val="6E166FE2"/>
    <w:rsid w:val="6E183FF4"/>
    <w:rsid w:val="6E1B11E5"/>
    <w:rsid w:val="6E1D151C"/>
    <w:rsid w:val="6E2E7D17"/>
    <w:rsid w:val="6E3323DD"/>
    <w:rsid w:val="6E3761D3"/>
    <w:rsid w:val="6E392DDA"/>
    <w:rsid w:val="6E3E2033"/>
    <w:rsid w:val="6E411943"/>
    <w:rsid w:val="6E440060"/>
    <w:rsid w:val="6E442CF5"/>
    <w:rsid w:val="6E54575C"/>
    <w:rsid w:val="6E5A2999"/>
    <w:rsid w:val="6E612C3F"/>
    <w:rsid w:val="6E6F6D88"/>
    <w:rsid w:val="6E702FE8"/>
    <w:rsid w:val="6E706B87"/>
    <w:rsid w:val="6E766C71"/>
    <w:rsid w:val="6E7926F7"/>
    <w:rsid w:val="6E7B110F"/>
    <w:rsid w:val="6E8A2A35"/>
    <w:rsid w:val="6EA04FAE"/>
    <w:rsid w:val="6EAA59A3"/>
    <w:rsid w:val="6EAA79ED"/>
    <w:rsid w:val="6EC161BE"/>
    <w:rsid w:val="6ECD08F1"/>
    <w:rsid w:val="6EDF2531"/>
    <w:rsid w:val="6EE1335D"/>
    <w:rsid w:val="6EEF6508"/>
    <w:rsid w:val="6EF02682"/>
    <w:rsid w:val="6EFF1809"/>
    <w:rsid w:val="6F19615F"/>
    <w:rsid w:val="6F1A60C4"/>
    <w:rsid w:val="6F231E41"/>
    <w:rsid w:val="6F244447"/>
    <w:rsid w:val="6F303DE1"/>
    <w:rsid w:val="6F331C81"/>
    <w:rsid w:val="6F331F52"/>
    <w:rsid w:val="6F362062"/>
    <w:rsid w:val="6F3C0797"/>
    <w:rsid w:val="6F4048CA"/>
    <w:rsid w:val="6F405BD0"/>
    <w:rsid w:val="6F4713C5"/>
    <w:rsid w:val="6F4734D0"/>
    <w:rsid w:val="6F4B3953"/>
    <w:rsid w:val="6F555C91"/>
    <w:rsid w:val="6F603479"/>
    <w:rsid w:val="6F680494"/>
    <w:rsid w:val="6F6B5A9E"/>
    <w:rsid w:val="6F7A07E3"/>
    <w:rsid w:val="6F7D050B"/>
    <w:rsid w:val="6F8C33B0"/>
    <w:rsid w:val="6F8D5B36"/>
    <w:rsid w:val="6F953750"/>
    <w:rsid w:val="6FA10B29"/>
    <w:rsid w:val="6FAA2D8A"/>
    <w:rsid w:val="6FC02217"/>
    <w:rsid w:val="6FC34E9D"/>
    <w:rsid w:val="6FC60A07"/>
    <w:rsid w:val="6FC90F86"/>
    <w:rsid w:val="6FCD3BC3"/>
    <w:rsid w:val="6FCE2BBA"/>
    <w:rsid w:val="6FDF40F5"/>
    <w:rsid w:val="6FE0165C"/>
    <w:rsid w:val="6FE05F95"/>
    <w:rsid w:val="6FF06B6B"/>
    <w:rsid w:val="6FF97C31"/>
    <w:rsid w:val="6FFC64FF"/>
    <w:rsid w:val="7001428F"/>
    <w:rsid w:val="70133236"/>
    <w:rsid w:val="70156307"/>
    <w:rsid w:val="7016485B"/>
    <w:rsid w:val="701C590F"/>
    <w:rsid w:val="702033F7"/>
    <w:rsid w:val="702D10A9"/>
    <w:rsid w:val="70315D3B"/>
    <w:rsid w:val="703D58C4"/>
    <w:rsid w:val="70453D87"/>
    <w:rsid w:val="704E5E48"/>
    <w:rsid w:val="7053674B"/>
    <w:rsid w:val="7055360F"/>
    <w:rsid w:val="70642BE6"/>
    <w:rsid w:val="706F497B"/>
    <w:rsid w:val="70724AB3"/>
    <w:rsid w:val="70916EF8"/>
    <w:rsid w:val="709261ED"/>
    <w:rsid w:val="70A02568"/>
    <w:rsid w:val="70AD230C"/>
    <w:rsid w:val="70B91785"/>
    <w:rsid w:val="70C41020"/>
    <w:rsid w:val="70CC1017"/>
    <w:rsid w:val="70CF255C"/>
    <w:rsid w:val="70DC2C89"/>
    <w:rsid w:val="70DD041E"/>
    <w:rsid w:val="70DD743F"/>
    <w:rsid w:val="70E3150B"/>
    <w:rsid w:val="70E67B77"/>
    <w:rsid w:val="70F323B0"/>
    <w:rsid w:val="710221FA"/>
    <w:rsid w:val="71094431"/>
    <w:rsid w:val="710D3478"/>
    <w:rsid w:val="710F7585"/>
    <w:rsid w:val="711805A6"/>
    <w:rsid w:val="711A79AD"/>
    <w:rsid w:val="71217446"/>
    <w:rsid w:val="71224F32"/>
    <w:rsid w:val="7123463F"/>
    <w:rsid w:val="713B1ED6"/>
    <w:rsid w:val="714463AC"/>
    <w:rsid w:val="7144693A"/>
    <w:rsid w:val="71525708"/>
    <w:rsid w:val="71542A3C"/>
    <w:rsid w:val="71584711"/>
    <w:rsid w:val="71595F23"/>
    <w:rsid w:val="716A4C59"/>
    <w:rsid w:val="716D3AF0"/>
    <w:rsid w:val="717106F9"/>
    <w:rsid w:val="71811922"/>
    <w:rsid w:val="7184567C"/>
    <w:rsid w:val="71866C06"/>
    <w:rsid w:val="718F2568"/>
    <w:rsid w:val="718F3086"/>
    <w:rsid w:val="71910B53"/>
    <w:rsid w:val="719D1BC1"/>
    <w:rsid w:val="719E09E3"/>
    <w:rsid w:val="719F5958"/>
    <w:rsid w:val="71A33FEC"/>
    <w:rsid w:val="71A601E7"/>
    <w:rsid w:val="71AC51C8"/>
    <w:rsid w:val="71C37CE8"/>
    <w:rsid w:val="71C402EA"/>
    <w:rsid w:val="71D4132F"/>
    <w:rsid w:val="71D53676"/>
    <w:rsid w:val="71DA32B4"/>
    <w:rsid w:val="71E32E83"/>
    <w:rsid w:val="71F46D71"/>
    <w:rsid w:val="71F96411"/>
    <w:rsid w:val="71FA7506"/>
    <w:rsid w:val="72061465"/>
    <w:rsid w:val="722F766C"/>
    <w:rsid w:val="72385872"/>
    <w:rsid w:val="72451F4F"/>
    <w:rsid w:val="7247128C"/>
    <w:rsid w:val="72493E35"/>
    <w:rsid w:val="725B0CD8"/>
    <w:rsid w:val="7264361A"/>
    <w:rsid w:val="726822A9"/>
    <w:rsid w:val="726C3438"/>
    <w:rsid w:val="727367E8"/>
    <w:rsid w:val="72791B78"/>
    <w:rsid w:val="727C5618"/>
    <w:rsid w:val="727F3E51"/>
    <w:rsid w:val="7287073E"/>
    <w:rsid w:val="728C70E1"/>
    <w:rsid w:val="7290542B"/>
    <w:rsid w:val="72913002"/>
    <w:rsid w:val="72917F17"/>
    <w:rsid w:val="72935E6A"/>
    <w:rsid w:val="729A7834"/>
    <w:rsid w:val="72A00661"/>
    <w:rsid w:val="72AF2463"/>
    <w:rsid w:val="72B06D9D"/>
    <w:rsid w:val="72B715E4"/>
    <w:rsid w:val="72C32F53"/>
    <w:rsid w:val="72C77A8A"/>
    <w:rsid w:val="72CB7C4C"/>
    <w:rsid w:val="72D86D20"/>
    <w:rsid w:val="72FE3E8E"/>
    <w:rsid w:val="731B711B"/>
    <w:rsid w:val="731C3ED2"/>
    <w:rsid w:val="731E5631"/>
    <w:rsid w:val="732B0C72"/>
    <w:rsid w:val="73330C63"/>
    <w:rsid w:val="733863E3"/>
    <w:rsid w:val="733A3332"/>
    <w:rsid w:val="733C1D9D"/>
    <w:rsid w:val="733E46B2"/>
    <w:rsid w:val="733E59D9"/>
    <w:rsid w:val="73597F33"/>
    <w:rsid w:val="7375490C"/>
    <w:rsid w:val="73757E63"/>
    <w:rsid w:val="737D2F4F"/>
    <w:rsid w:val="73900D21"/>
    <w:rsid w:val="739A7114"/>
    <w:rsid w:val="739F2349"/>
    <w:rsid w:val="739F6287"/>
    <w:rsid w:val="73A242CD"/>
    <w:rsid w:val="73AC333B"/>
    <w:rsid w:val="73B11DBC"/>
    <w:rsid w:val="73B1795C"/>
    <w:rsid w:val="73B51018"/>
    <w:rsid w:val="73C340B3"/>
    <w:rsid w:val="73C72DB3"/>
    <w:rsid w:val="73C854F0"/>
    <w:rsid w:val="73CE0B05"/>
    <w:rsid w:val="73D007EE"/>
    <w:rsid w:val="73D27A00"/>
    <w:rsid w:val="73D9581C"/>
    <w:rsid w:val="73DA2FBB"/>
    <w:rsid w:val="73DC2CAB"/>
    <w:rsid w:val="73DC5744"/>
    <w:rsid w:val="73E36876"/>
    <w:rsid w:val="73E72CB9"/>
    <w:rsid w:val="74014C0C"/>
    <w:rsid w:val="741B5358"/>
    <w:rsid w:val="74202F12"/>
    <w:rsid w:val="742C093F"/>
    <w:rsid w:val="742F68DF"/>
    <w:rsid w:val="7435797F"/>
    <w:rsid w:val="744A0545"/>
    <w:rsid w:val="744F7C70"/>
    <w:rsid w:val="74521009"/>
    <w:rsid w:val="74632A31"/>
    <w:rsid w:val="7465205B"/>
    <w:rsid w:val="746954DB"/>
    <w:rsid w:val="74743C33"/>
    <w:rsid w:val="747640DF"/>
    <w:rsid w:val="747E6036"/>
    <w:rsid w:val="7482175B"/>
    <w:rsid w:val="74843F0D"/>
    <w:rsid w:val="74B37F42"/>
    <w:rsid w:val="74B94875"/>
    <w:rsid w:val="74BA4FF9"/>
    <w:rsid w:val="74C311F6"/>
    <w:rsid w:val="74C53F19"/>
    <w:rsid w:val="74CA0770"/>
    <w:rsid w:val="74D52F3D"/>
    <w:rsid w:val="74D81528"/>
    <w:rsid w:val="74D96025"/>
    <w:rsid w:val="74DA07A2"/>
    <w:rsid w:val="74E1491C"/>
    <w:rsid w:val="74E67A31"/>
    <w:rsid w:val="74F61278"/>
    <w:rsid w:val="74F90505"/>
    <w:rsid w:val="74FC67D7"/>
    <w:rsid w:val="7501178C"/>
    <w:rsid w:val="75124563"/>
    <w:rsid w:val="751274A1"/>
    <w:rsid w:val="751C2143"/>
    <w:rsid w:val="75295853"/>
    <w:rsid w:val="752D2921"/>
    <w:rsid w:val="752F1869"/>
    <w:rsid w:val="752F2DAC"/>
    <w:rsid w:val="75631790"/>
    <w:rsid w:val="7566472C"/>
    <w:rsid w:val="756B1E1E"/>
    <w:rsid w:val="7578413D"/>
    <w:rsid w:val="757B64ED"/>
    <w:rsid w:val="757C232A"/>
    <w:rsid w:val="75851DCA"/>
    <w:rsid w:val="758F3A2A"/>
    <w:rsid w:val="7599617F"/>
    <w:rsid w:val="759D7802"/>
    <w:rsid w:val="75A011FF"/>
    <w:rsid w:val="75A70E4F"/>
    <w:rsid w:val="75AA3F51"/>
    <w:rsid w:val="75B11420"/>
    <w:rsid w:val="75B263D3"/>
    <w:rsid w:val="75DC2372"/>
    <w:rsid w:val="75E16CC1"/>
    <w:rsid w:val="75F22E0F"/>
    <w:rsid w:val="7600000E"/>
    <w:rsid w:val="760021B6"/>
    <w:rsid w:val="760950F4"/>
    <w:rsid w:val="76122AB3"/>
    <w:rsid w:val="76154B74"/>
    <w:rsid w:val="761C414A"/>
    <w:rsid w:val="761D237D"/>
    <w:rsid w:val="76380CDC"/>
    <w:rsid w:val="76383420"/>
    <w:rsid w:val="76411431"/>
    <w:rsid w:val="7649562B"/>
    <w:rsid w:val="764F7C59"/>
    <w:rsid w:val="76536622"/>
    <w:rsid w:val="765566B4"/>
    <w:rsid w:val="76605088"/>
    <w:rsid w:val="766477E2"/>
    <w:rsid w:val="7668119A"/>
    <w:rsid w:val="766966D4"/>
    <w:rsid w:val="766E17F9"/>
    <w:rsid w:val="76894FB9"/>
    <w:rsid w:val="768C1EBA"/>
    <w:rsid w:val="769568F8"/>
    <w:rsid w:val="76993596"/>
    <w:rsid w:val="769F0134"/>
    <w:rsid w:val="76B14AAD"/>
    <w:rsid w:val="76C118A2"/>
    <w:rsid w:val="76C32B57"/>
    <w:rsid w:val="76C63D93"/>
    <w:rsid w:val="76CB0A63"/>
    <w:rsid w:val="76D25527"/>
    <w:rsid w:val="76D81970"/>
    <w:rsid w:val="76DD3810"/>
    <w:rsid w:val="76E451C7"/>
    <w:rsid w:val="76E472DD"/>
    <w:rsid w:val="76E8548D"/>
    <w:rsid w:val="76ED3B38"/>
    <w:rsid w:val="76F13EA7"/>
    <w:rsid w:val="76F14581"/>
    <w:rsid w:val="76F77BBD"/>
    <w:rsid w:val="76FD22EC"/>
    <w:rsid w:val="76FD6D57"/>
    <w:rsid w:val="77030B27"/>
    <w:rsid w:val="77041D95"/>
    <w:rsid w:val="7718408C"/>
    <w:rsid w:val="7723073F"/>
    <w:rsid w:val="772527B2"/>
    <w:rsid w:val="772A6A8E"/>
    <w:rsid w:val="773B25F8"/>
    <w:rsid w:val="773B48CE"/>
    <w:rsid w:val="773D0C62"/>
    <w:rsid w:val="7743414C"/>
    <w:rsid w:val="774551B5"/>
    <w:rsid w:val="77523DCF"/>
    <w:rsid w:val="77606B3D"/>
    <w:rsid w:val="776870B9"/>
    <w:rsid w:val="776967FB"/>
    <w:rsid w:val="776D4583"/>
    <w:rsid w:val="7776540C"/>
    <w:rsid w:val="777A37E1"/>
    <w:rsid w:val="778100C2"/>
    <w:rsid w:val="77855EB4"/>
    <w:rsid w:val="779D35D8"/>
    <w:rsid w:val="77AA135C"/>
    <w:rsid w:val="77AB7E27"/>
    <w:rsid w:val="77AC14DA"/>
    <w:rsid w:val="77AD64CA"/>
    <w:rsid w:val="77AF3504"/>
    <w:rsid w:val="77B36F7C"/>
    <w:rsid w:val="77C926F0"/>
    <w:rsid w:val="77CA0362"/>
    <w:rsid w:val="77E40C30"/>
    <w:rsid w:val="77FC1B84"/>
    <w:rsid w:val="780752E6"/>
    <w:rsid w:val="780B6CC7"/>
    <w:rsid w:val="78153F77"/>
    <w:rsid w:val="78185315"/>
    <w:rsid w:val="781C67FA"/>
    <w:rsid w:val="782378AE"/>
    <w:rsid w:val="78296DAC"/>
    <w:rsid w:val="783267CC"/>
    <w:rsid w:val="783E418B"/>
    <w:rsid w:val="783F1754"/>
    <w:rsid w:val="784E3C01"/>
    <w:rsid w:val="78570849"/>
    <w:rsid w:val="78617AF2"/>
    <w:rsid w:val="78626899"/>
    <w:rsid w:val="786421F2"/>
    <w:rsid w:val="786616B3"/>
    <w:rsid w:val="786E5D08"/>
    <w:rsid w:val="78812F7C"/>
    <w:rsid w:val="78975C7D"/>
    <w:rsid w:val="78A51B95"/>
    <w:rsid w:val="78AA6975"/>
    <w:rsid w:val="78C15B1C"/>
    <w:rsid w:val="78C359B3"/>
    <w:rsid w:val="78C9190A"/>
    <w:rsid w:val="78C97D4F"/>
    <w:rsid w:val="78CC0493"/>
    <w:rsid w:val="78DB3FCA"/>
    <w:rsid w:val="78EC2D52"/>
    <w:rsid w:val="78F5480C"/>
    <w:rsid w:val="79036E66"/>
    <w:rsid w:val="790945D5"/>
    <w:rsid w:val="790B5E2B"/>
    <w:rsid w:val="790E47EA"/>
    <w:rsid w:val="790E548B"/>
    <w:rsid w:val="79104E2B"/>
    <w:rsid w:val="79135CA0"/>
    <w:rsid w:val="791467F0"/>
    <w:rsid w:val="791A58CD"/>
    <w:rsid w:val="791F537B"/>
    <w:rsid w:val="79344437"/>
    <w:rsid w:val="79367982"/>
    <w:rsid w:val="793D5C2F"/>
    <w:rsid w:val="793F7F0E"/>
    <w:rsid w:val="794A336F"/>
    <w:rsid w:val="79537099"/>
    <w:rsid w:val="79552D08"/>
    <w:rsid w:val="795E7ED2"/>
    <w:rsid w:val="79672E22"/>
    <w:rsid w:val="79677010"/>
    <w:rsid w:val="797121AE"/>
    <w:rsid w:val="797E1825"/>
    <w:rsid w:val="79A7288D"/>
    <w:rsid w:val="79AA3C4E"/>
    <w:rsid w:val="79AE312A"/>
    <w:rsid w:val="79B3208C"/>
    <w:rsid w:val="79B70130"/>
    <w:rsid w:val="79BD5598"/>
    <w:rsid w:val="79CB0706"/>
    <w:rsid w:val="79CB0751"/>
    <w:rsid w:val="79CE66ED"/>
    <w:rsid w:val="79CF6E25"/>
    <w:rsid w:val="79D42664"/>
    <w:rsid w:val="79D51250"/>
    <w:rsid w:val="79DB4236"/>
    <w:rsid w:val="79E66C93"/>
    <w:rsid w:val="79F16E80"/>
    <w:rsid w:val="79F842C2"/>
    <w:rsid w:val="79FA0A29"/>
    <w:rsid w:val="79FC6E04"/>
    <w:rsid w:val="79FE2A4E"/>
    <w:rsid w:val="7A081D42"/>
    <w:rsid w:val="7A0A6E0F"/>
    <w:rsid w:val="7A0A7223"/>
    <w:rsid w:val="7A0C4EA7"/>
    <w:rsid w:val="7A12552F"/>
    <w:rsid w:val="7A1524DD"/>
    <w:rsid w:val="7A1A1772"/>
    <w:rsid w:val="7A1E1DC3"/>
    <w:rsid w:val="7A2751AD"/>
    <w:rsid w:val="7A276994"/>
    <w:rsid w:val="7A3B034D"/>
    <w:rsid w:val="7A3F158B"/>
    <w:rsid w:val="7A4A132A"/>
    <w:rsid w:val="7A535840"/>
    <w:rsid w:val="7A6736BC"/>
    <w:rsid w:val="7A6A7B3B"/>
    <w:rsid w:val="7A721F7E"/>
    <w:rsid w:val="7A746574"/>
    <w:rsid w:val="7A7678E5"/>
    <w:rsid w:val="7A7B24DD"/>
    <w:rsid w:val="7A7D2094"/>
    <w:rsid w:val="7A7F65CA"/>
    <w:rsid w:val="7A867241"/>
    <w:rsid w:val="7A876B11"/>
    <w:rsid w:val="7A88301C"/>
    <w:rsid w:val="7A963A48"/>
    <w:rsid w:val="7A9660A3"/>
    <w:rsid w:val="7A9861CB"/>
    <w:rsid w:val="7A986784"/>
    <w:rsid w:val="7ABB3E82"/>
    <w:rsid w:val="7AC3568E"/>
    <w:rsid w:val="7AD71052"/>
    <w:rsid w:val="7AD9797E"/>
    <w:rsid w:val="7ADE3DB2"/>
    <w:rsid w:val="7AEE60EE"/>
    <w:rsid w:val="7B0E060E"/>
    <w:rsid w:val="7B0F5219"/>
    <w:rsid w:val="7B177A77"/>
    <w:rsid w:val="7B193032"/>
    <w:rsid w:val="7B26484C"/>
    <w:rsid w:val="7B2B13FD"/>
    <w:rsid w:val="7B3339FA"/>
    <w:rsid w:val="7B346599"/>
    <w:rsid w:val="7B44094D"/>
    <w:rsid w:val="7B460BFD"/>
    <w:rsid w:val="7B4910BE"/>
    <w:rsid w:val="7B4A7A19"/>
    <w:rsid w:val="7B5D3226"/>
    <w:rsid w:val="7B5E4EEC"/>
    <w:rsid w:val="7B674BD7"/>
    <w:rsid w:val="7B722498"/>
    <w:rsid w:val="7B782690"/>
    <w:rsid w:val="7B7F3966"/>
    <w:rsid w:val="7B80148D"/>
    <w:rsid w:val="7B821ADA"/>
    <w:rsid w:val="7B8F5DA2"/>
    <w:rsid w:val="7B926883"/>
    <w:rsid w:val="7BA4369C"/>
    <w:rsid w:val="7BA71440"/>
    <w:rsid w:val="7BAE696E"/>
    <w:rsid w:val="7BAF3C86"/>
    <w:rsid w:val="7BC23E12"/>
    <w:rsid w:val="7BC92A6F"/>
    <w:rsid w:val="7BD36780"/>
    <w:rsid w:val="7BD4048E"/>
    <w:rsid w:val="7BD968AC"/>
    <w:rsid w:val="7BDE524C"/>
    <w:rsid w:val="7BEA5E74"/>
    <w:rsid w:val="7BF577C1"/>
    <w:rsid w:val="7BF9001B"/>
    <w:rsid w:val="7BFE0389"/>
    <w:rsid w:val="7BFE08FA"/>
    <w:rsid w:val="7C091716"/>
    <w:rsid w:val="7C126AEB"/>
    <w:rsid w:val="7C1F2070"/>
    <w:rsid w:val="7C260105"/>
    <w:rsid w:val="7C2900A2"/>
    <w:rsid w:val="7C295D17"/>
    <w:rsid w:val="7C2A10CD"/>
    <w:rsid w:val="7C2D2AE7"/>
    <w:rsid w:val="7C4A5A50"/>
    <w:rsid w:val="7C4B681D"/>
    <w:rsid w:val="7C4C575E"/>
    <w:rsid w:val="7C640974"/>
    <w:rsid w:val="7C643EF7"/>
    <w:rsid w:val="7C690B20"/>
    <w:rsid w:val="7C724EAE"/>
    <w:rsid w:val="7C780AD5"/>
    <w:rsid w:val="7C7A14F2"/>
    <w:rsid w:val="7C7E2FFC"/>
    <w:rsid w:val="7C867154"/>
    <w:rsid w:val="7C9427B3"/>
    <w:rsid w:val="7C9E5A77"/>
    <w:rsid w:val="7CB74F4A"/>
    <w:rsid w:val="7CB80138"/>
    <w:rsid w:val="7CB838AF"/>
    <w:rsid w:val="7CBE6F50"/>
    <w:rsid w:val="7CC639C6"/>
    <w:rsid w:val="7CC96839"/>
    <w:rsid w:val="7CCC3CFE"/>
    <w:rsid w:val="7CCD12D3"/>
    <w:rsid w:val="7CD505D1"/>
    <w:rsid w:val="7CD6692A"/>
    <w:rsid w:val="7CE215AC"/>
    <w:rsid w:val="7CE25B4A"/>
    <w:rsid w:val="7CE3422B"/>
    <w:rsid w:val="7CE5443B"/>
    <w:rsid w:val="7CE76B7F"/>
    <w:rsid w:val="7CED09D9"/>
    <w:rsid w:val="7CF87323"/>
    <w:rsid w:val="7CFF2442"/>
    <w:rsid w:val="7D0115A5"/>
    <w:rsid w:val="7D017D9A"/>
    <w:rsid w:val="7D080205"/>
    <w:rsid w:val="7D0A432A"/>
    <w:rsid w:val="7D0F2DDE"/>
    <w:rsid w:val="7D144B3C"/>
    <w:rsid w:val="7D167BA2"/>
    <w:rsid w:val="7D177687"/>
    <w:rsid w:val="7D1F5883"/>
    <w:rsid w:val="7D242066"/>
    <w:rsid w:val="7D282F0F"/>
    <w:rsid w:val="7D286550"/>
    <w:rsid w:val="7D3140B5"/>
    <w:rsid w:val="7D3874D2"/>
    <w:rsid w:val="7D4241A1"/>
    <w:rsid w:val="7D452B7F"/>
    <w:rsid w:val="7D526E71"/>
    <w:rsid w:val="7D532432"/>
    <w:rsid w:val="7D5A5BFC"/>
    <w:rsid w:val="7D6518EB"/>
    <w:rsid w:val="7D6B77B5"/>
    <w:rsid w:val="7D7371E1"/>
    <w:rsid w:val="7D74008A"/>
    <w:rsid w:val="7D7862CF"/>
    <w:rsid w:val="7D7A4E9D"/>
    <w:rsid w:val="7D7F0E79"/>
    <w:rsid w:val="7D851CFF"/>
    <w:rsid w:val="7DA65B7D"/>
    <w:rsid w:val="7DA72A35"/>
    <w:rsid w:val="7DA86112"/>
    <w:rsid w:val="7DAE3829"/>
    <w:rsid w:val="7DB00509"/>
    <w:rsid w:val="7DB9268E"/>
    <w:rsid w:val="7DBF3388"/>
    <w:rsid w:val="7DC8040C"/>
    <w:rsid w:val="7DC85A3E"/>
    <w:rsid w:val="7DCE15A0"/>
    <w:rsid w:val="7DD03D33"/>
    <w:rsid w:val="7DD410E6"/>
    <w:rsid w:val="7DD603AD"/>
    <w:rsid w:val="7DD82F1A"/>
    <w:rsid w:val="7DDA1110"/>
    <w:rsid w:val="7DE020DC"/>
    <w:rsid w:val="7DE449CE"/>
    <w:rsid w:val="7DEC05A8"/>
    <w:rsid w:val="7DED1348"/>
    <w:rsid w:val="7DEE71DF"/>
    <w:rsid w:val="7DF66186"/>
    <w:rsid w:val="7E0A5EA4"/>
    <w:rsid w:val="7E0A72D5"/>
    <w:rsid w:val="7E0B3C08"/>
    <w:rsid w:val="7E1C2B95"/>
    <w:rsid w:val="7E1E3CF4"/>
    <w:rsid w:val="7E212526"/>
    <w:rsid w:val="7E262B03"/>
    <w:rsid w:val="7E2E765A"/>
    <w:rsid w:val="7E324C10"/>
    <w:rsid w:val="7E3B7336"/>
    <w:rsid w:val="7E3D35D7"/>
    <w:rsid w:val="7E466A84"/>
    <w:rsid w:val="7E472FFE"/>
    <w:rsid w:val="7E4A6379"/>
    <w:rsid w:val="7E5248E3"/>
    <w:rsid w:val="7E6854DB"/>
    <w:rsid w:val="7E6C43B3"/>
    <w:rsid w:val="7E77762F"/>
    <w:rsid w:val="7E793E63"/>
    <w:rsid w:val="7E7B1715"/>
    <w:rsid w:val="7E8031F2"/>
    <w:rsid w:val="7E860496"/>
    <w:rsid w:val="7E956D81"/>
    <w:rsid w:val="7E9611E7"/>
    <w:rsid w:val="7E9963F8"/>
    <w:rsid w:val="7E9D0633"/>
    <w:rsid w:val="7EA82B9C"/>
    <w:rsid w:val="7EB16AB6"/>
    <w:rsid w:val="7EBD651F"/>
    <w:rsid w:val="7EC07C28"/>
    <w:rsid w:val="7ECB3BBC"/>
    <w:rsid w:val="7ED83896"/>
    <w:rsid w:val="7EDC2729"/>
    <w:rsid w:val="7EE15DD1"/>
    <w:rsid w:val="7EEB46E8"/>
    <w:rsid w:val="7EEE3759"/>
    <w:rsid w:val="7EF04016"/>
    <w:rsid w:val="7EF94F98"/>
    <w:rsid w:val="7EFB200E"/>
    <w:rsid w:val="7EFF41BF"/>
    <w:rsid w:val="7F0126E4"/>
    <w:rsid w:val="7F013802"/>
    <w:rsid w:val="7F051449"/>
    <w:rsid w:val="7F1A1324"/>
    <w:rsid w:val="7F1A4AEF"/>
    <w:rsid w:val="7F271E5F"/>
    <w:rsid w:val="7F29623C"/>
    <w:rsid w:val="7F2D4C74"/>
    <w:rsid w:val="7F341EAD"/>
    <w:rsid w:val="7F350A03"/>
    <w:rsid w:val="7F375587"/>
    <w:rsid w:val="7F3B2B2F"/>
    <w:rsid w:val="7F406D66"/>
    <w:rsid w:val="7F421AF0"/>
    <w:rsid w:val="7F516AFB"/>
    <w:rsid w:val="7F585C16"/>
    <w:rsid w:val="7F5B38C5"/>
    <w:rsid w:val="7F6566E6"/>
    <w:rsid w:val="7F6A7C64"/>
    <w:rsid w:val="7F6B0BA4"/>
    <w:rsid w:val="7F6E0CE1"/>
    <w:rsid w:val="7F6F6E86"/>
    <w:rsid w:val="7F8A3738"/>
    <w:rsid w:val="7F8B3191"/>
    <w:rsid w:val="7F8E4655"/>
    <w:rsid w:val="7F8E6809"/>
    <w:rsid w:val="7F987985"/>
    <w:rsid w:val="7F9C63C5"/>
    <w:rsid w:val="7F9E0C2E"/>
    <w:rsid w:val="7FAF35C9"/>
    <w:rsid w:val="7FAF535A"/>
    <w:rsid w:val="7FB620B9"/>
    <w:rsid w:val="7FBE4780"/>
    <w:rsid w:val="7FC07CDA"/>
    <w:rsid w:val="7FC33EC6"/>
    <w:rsid w:val="7FD30895"/>
    <w:rsid w:val="7FD52EF4"/>
    <w:rsid w:val="7FE932BA"/>
    <w:rsid w:val="7FEC34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13">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sz w:val="21"/>
      <w:szCs w:val="21"/>
    </w:rPr>
  </w:style>
  <w:style w:type="character" w:styleId="7">
    <w:name w:val="FollowedHyperlink"/>
    <w:basedOn w:val="5"/>
    <w:qFormat/>
    <w:uiPriority w:val="0"/>
    <w:rPr>
      <w:color w:val="4D7AD8"/>
      <w:u w:val="none"/>
    </w:rPr>
  </w:style>
  <w:style w:type="character" w:styleId="8">
    <w:name w:val="HTML Definition"/>
    <w:basedOn w:val="5"/>
    <w:qFormat/>
    <w:uiPriority w:val="0"/>
    <w:rPr>
      <w:i/>
      <w:bdr w:val="single" w:color="D9D9D9" w:sz="6" w:space="0"/>
      <w:shd w:val="clear" w:fill="FFFFFF"/>
    </w:rPr>
  </w:style>
  <w:style w:type="character" w:styleId="9">
    <w:name w:val="Hyperlink"/>
    <w:basedOn w:val="5"/>
    <w:qFormat/>
    <w:uiPriority w:val="0"/>
    <w:rPr>
      <w:color w:val="0000FF"/>
      <w:u w:val="single"/>
    </w:rPr>
  </w:style>
  <w:style w:type="character" w:styleId="10">
    <w:name w:val="HTML Code"/>
    <w:basedOn w:val="5"/>
    <w:qFormat/>
    <w:uiPriority w:val="0"/>
    <w:rPr>
      <w:rFonts w:hint="default" w:ascii="Consolas" w:hAnsi="Consolas" w:eastAsia="Consolas" w:cs="Consolas"/>
      <w:sz w:val="21"/>
      <w:szCs w:val="21"/>
    </w:rPr>
  </w:style>
  <w:style w:type="character" w:styleId="11">
    <w:name w:val="HTML Keyboard"/>
    <w:basedOn w:val="5"/>
    <w:qFormat/>
    <w:uiPriority w:val="0"/>
    <w:rPr>
      <w:rFonts w:ascii="Consolas" w:hAnsi="Consolas" w:eastAsia="Consolas" w:cs="Consolas"/>
      <w:color w:val="666666"/>
      <w:sz w:val="21"/>
      <w:szCs w:val="21"/>
    </w:rPr>
  </w:style>
  <w:style w:type="character" w:styleId="12">
    <w:name w:val="HTML Sample"/>
    <w:basedOn w:val="5"/>
    <w:qFormat/>
    <w:uiPriority w:val="0"/>
    <w:rPr>
      <w:rFonts w:hint="default" w:ascii="Consolas" w:hAnsi="Consolas" w:eastAsia="Consolas" w:cs="Consolas"/>
      <w:sz w:val="21"/>
      <w:szCs w:val="21"/>
    </w:rPr>
  </w:style>
  <w:style w:type="table" w:styleId="14">
    <w:name w:val="Table Gri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5">
    <w:name w:val="first-child2"/>
    <w:basedOn w:val="5"/>
    <w:qFormat/>
    <w:uiPriority w:val="0"/>
    <w:rPr>
      <w:sz w:val="13"/>
      <w:szCs w:val="13"/>
    </w:rPr>
  </w:style>
  <w:style w:type="character" w:customStyle="1" w:styleId="16">
    <w:name w:val="ant-select-tree-switcher"/>
    <w:basedOn w:val="5"/>
    <w:qFormat/>
    <w:uiPriority w:val="0"/>
  </w:style>
  <w:style w:type="character" w:customStyle="1" w:styleId="17">
    <w:name w:val="ant-tree-iconele"/>
    <w:basedOn w:val="5"/>
    <w:qFormat/>
    <w:uiPriority w:val="0"/>
  </w:style>
  <w:style w:type="character" w:customStyle="1" w:styleId="18">
    <w:name w:val="ant-radio+*"/>
    <w:basedOn w:val="5"/>
    <w:qFormat/>
    <w:uiPriority w:val="0"/>
  </w:style>
  <w:style w:type="character" w:customStyle="1" w:styleId="19">
    <w:name w:val="selected4"/>
    <w:basedOn w:val="5"/>
    <w:qFormat/>
    <w:uiPriority w:val="0"/>
  </w:style>
  <w:style w:type="character" w:customStyle="1" w:styleId="20">
    <w:name w:val="selected5"/>
    <w:basedOn w:val="5"/>
    <w:qFormat/>
    <w:uiPriority w:val="0"/>
  </w:style>
  <w:style w:type="character" w:customStyle="1" w:styleId="21">
    <w:name w:val="selected6"/>
    <w:basedOn w:val="5"/>
    <w:qFormat/>
    <w:uiPriority w:val="0"/>
  </w:style>
  <w:style w:type="character" w:customStyle="1" w:styleId="22">
    <w:name w:val="button"/>
    <w:basedOn w:val="5"/>
    <w:qFormat/>
    <w:uiPriority w:val="0"/>
  </w:style>
  <w:style w:type="character" w:customStyle="1" w:styleId="23">
    <w:name w:val="hover19"/>
    <w:basedOn w:val="5"/>
    <w:qFormat/>
    <w:uiPriority w:val="0"/>
    <w:rPr>
      <w:color w:val="009DFF"/>
    </w:rPr>
  </w:style>
  <w:style w:type="character" w:customStyle="1" w:styleId="24">
    <w:name w:val="hover20"/>
    <w:basedOn w:val="5"/>
    <w:qFormat/>
    <w:uiPriority w:val="0"/>
    <w:rPr>
      <w:color w:val="009DFF"/>
    </w:rPr>
  </w:style>
  <w:style w:type="character" w:customStyle="1" w:styleId="25">
    <w:name w:val="ant-tree-switcher"/>
    <w:basedOn w:val="5"/>
    <w:qFormat/>
    <w:uiPriority w:val="0"/>
  </w:style>
  <w:style w:type="character" w:customStyle="1" w:styleId="26">
    <w:name w:val="ant-select-tree-checkbox2"/>
    <w:basedOn w:val="5"/>
    <w:qFormat/>
    <w:uiPriority w:val="0"/>
  </w:style>
  <w:style w:type="character" w:customStyle="1" w:styleId="27">
    <w:name w:val="ant-select-tree-iconele"/>
    <w:basedOn w:val="5"/>
    <w:qFormat/>
    <w:uiPriority w:val="0"/>
  </w:style>
  <w:style w:type="character" w:customStyle="1" w:styleId="28">
    <w:name w:val="ant-tree-checkbox6"/>
    <w:basedOn w:val="5"/>
    <w:qFormat/>
    <w:uiPriority w:val="0"/>
  </w:style>
  <w:style w:type="character" w:customStyle="1" w:styleId="29">
    <w:name w:val="wea-thumbnails-doc-content-subtitle"/>
    <w:basedOn w:val="5"/>
    <w:qFormat/>
    <w:uiPriority w:val="0"/>
    <w:rPr>
      <w:color w:val="9A9A9A"/>
    </w:rPr>
  </w:style>
  <w:style w:type="character" w:customStyle="1" w:styleId="30">
    <w:name w:val="ht_nestinglevel"/>
    <w:basedOn w:val="5"/>
    <w:qFormat/>
    <w:uiPriority w:val="0"/>
  </w:style>
  <w:style w:type="character" w:customStyle="1" w:styleId="31">
    <w:name w:val="ht_nestinglevel_empty"/>
    <w:basedOn w:val="5"/>
    <w:qFormat/>
    <w:uiPriority w:val="0"/>
  </w:style>
  <w:style w:type="character" w:customStyle="1" w:styleId="32">
    <w:name w:val="colheader"/>
    <w:basedOn w:val="5"/>
    <w:qFormat/>
    <w:uiPriority w:val="0"/>
  </w:style>
  <w:style w:type="character" w:customStyle="1" w:styleId="33">
    <w:name w:val="ant-tree-checkbox"/>
    <w:basedOn w:val="5"/>
    <w:qFormat/>
    <w:uiPriority w:val="0"/>
  </w:style>
  <w:style w:type="character" w:customStyle="1" w:styleId="34">
    <w:name w:val="first-child"/>
    <w:basedOn w:val="5"/>
    <w:qFormat/>
    <w:uiPriority w:val="0"/>
    <w:rPr>
      <w:sz w:val="13"/>
      <w:szCs w:val="13"/>
    </w:rPr>
  </w:style>
  <w:style w:type="character" w:customStyle="1" w:styleId="35">
    <w:name w:val="ant-tree-switcher6"/>
    <w:basedOn w:val="5"/>
    <w:qFormat/>
    <w:uiPriority w:val="0"/>
  </w:style>
  <w:style w:type="character" w:customStyle="1" w:styleId="36">
    <w:name w:val="selected"/>
    <w:basedOn w:val="5"/>
    <w:qFormat/>
    <w:uiPriority w:val="0"/>
  </w:style>
  <w:style w:type="character" w:customStyle="1" w:styleId="37">
    <w:name w:val="selected1"/>
    <w:basedOn w:val="5"/>
    <w:qFormat/>
    <w:uiPriority w:val="0"/>
  </w:style>
  <w:style w:type="character" w:customStyle="1" w:styleId="38">
    <w:name w:val="selected2"/>
    <w:basedOn w:val="5"/>
    <w:qFormat/>
    <w:uiPriority w:val="0"/>
  </w:style>
  <w:style w:type="character" w:customStyle="1" w:styleId="39">
    <w:name w:val="ant-select-tree-checkbox"/>
    <w:basedOn w:val="5"/>
    <w:qFormat/>
    <w:uiPriority w:val="0"/>
  </w:style>
  <w:style w:type="character" w:customStyle="1" w:styleId="40">
    <w:name w:val="ant-tree-switcher5"/>
    <w:basedOn w:val="5"/>
    <w:qFormat/>
    <w:uiPriority w:val="0"/>
  </w:style>
  <w:style w:type="character" w:customStyle="1" w:styleId="41">
    <w:name w:val="selected7"/>
    <w:basedOn w:val="5"/>
    <w:qFormat/>
    <w:uiPriority w:val="0"/>
  </w:style>
  <w:style w:type="character" w:customStyle="1" w:styleId="42">
    <w:name w:val="selected11"/>
    <w:basedOn w:val="5"/>
    <w:qFormat/>
    <w:uiPriority w:val="0"/>
  </w:style>
  <w:style w:type="character" w:customStyle="1" w:styleId="43">
    <w:name w:val="selected12"/>
    <w:basedOn w:val="5"/>
    <w:qFormat/>
    <w:uiPriority w:val="0"/>
  </w:style>
  <w:style w:type="character" w:customStyle="1" w:styleId="44">
    <w:name w:val="selected13"/>
    <w:basedOn w:val="5"/>
    <w:qFormat/>
    <w:uiPriority w:val="0"/>
  </w:style>
  <w:style w:type="character" w:customStyle="1" w:styleId="45">
    <w:name w:val="selected8"/>
    <w:basedOn w:val="5"/>
    <w:qFormat/>
    <w:uiPriority w:val="0"/>
  </w:style>
  <w:style w:type="character" w:customStyle="1" w:styleId="46">
    <w:name w:val="selected9"/>
    <w:basedOn w:val="5"/>
    <w:qFormat/>
    <w:uiPriority w:val="0"/>
  </w:style>
  <w:style w:type="character" w:customStyle="1" w:styleId="47">
    <w:name w:val="selected10"/>
    <w:basedOn w:val="5"/>
    <w:qFormat/>
    <w:uiPriority w:val="0"/>
  </w:style>
  <w:style w:type="character" w:customStyle="1" w:styleId="48">
    <w:name w:val="hover18"/>
    <w:basedOn w:val="5"/>
    <w:qFormat/>
    <w:uiPriority w:val="0"/>
    <w:rPr>
      <w:color w:val="009DFF"/>
    </w:rPr>
  </w:style>
  <w:style w:type="character" w:customStyle="1" w:styleId="49">
    <w:name w:val="ant-tree-checkbox5"/>
    <w:basedOn w:val="5"/>
    <w:qFormat/>
    <w:uiPriority w:val="0"/>
  </w:style>
  <w:style w:type="character" w:customStyle="1" w:styleId="50">
    <w:name w:val="ant-tree-switcher4"/>
    <w:basedOn w:val="5"/>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12</TotalTime>
  <ScaleCrop>false</ScaleCrop>
  <LinksUpToDate>false</LinksUpToDate>
  <CharactersWithSpaces>0</CharactersWithSpaces>
  <Application>WPS Office_10.8.2.7058_F1E327BC-269C-435d-A152-05C5408002CA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2023-12-15T03:58:00Z</dcterms:created>
  <dc:creator>admin</dc:creator>
  <cp:lastModifiedBy>未定义</cp:lastModifiedBy>
  <cp:lastPrinted>2024-03-07T06:33:00Z</cp:lastPrinted>
  <dcterms:modified xsi:type="dcterms:W3CDTF">2024-03-08T00:55:31Z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2052-10.8.2.7058</vt:lpwstr>
  </property>
  <property fmtid="{D5CDD505-2E9C-101B-9397-08002B2CF9AE}" pid="3" name="ICV">
    <vt:lpwstr>2AFE29251F2D47119EA111B2B617C6AF_13</vt:lpwstr>
  </property>
</Properties>
</file>