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default" w:ascii="Times New Roman" w:hAnsi="Times New Roman" w:eastAsia="经典行楷简" w:cs="Times New Roman"/>
          <w:b w:val="0"/>
          <w:bCs/>
          <w:color w:val="2E75B6" w:themeColor="accent1" w:themeShade="BF"/>
          <w:kern w:val="36"/>
          <w:sz w:val="44"/>
          <w:szCs w:val="44"/>
          <w:lang w:val="en-US" w:eastAsia="zh-CN"/>
        </w:rPr>
        <w:t>7</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30</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default" w:ascii="Times New Roman" w:hAnsi="Times New Roman" w:eastAsia="方正楷体_GBK" w:cs="Times New Roman"/>
          <w:b w:val="0"/>
          <w:bCs/>
          <w:color w:val="000000"/>
          <w:kern w:val="36"/>
          <w:sz w:val="32"/>
          <w:szCs w:val="32"/>
          <w:highlight w:val="none"/>
          <w:lang w:val="en-US" w:eastAsia="zh-CN"/>
        </w:rPr>
        <w:t>3</w:t>
      </w:r>
      <w:r>
        <w:rPr>
          <w:rFonts w:hint="default" w:ascii="Times New Roman" w:hAnsi="Times New Roman" w:eastAsia="方正楷体_GBK" w:cs="Times New Roman"/>
          <w:b w:val="0"/>
          <w:bCs/>
          <w:color w:val="000000"/>
          <w:kern w:val="36"/>
          <w:sz w:val="32"/>
          <w:szCs w:val="32"/>
          <w:highlight w:val="none"/>
        </w:rPr>
        <w:t>月</w:t>
      </w:r>
      <w:r>
        <w:rPr>
          <w:rFonts w:hint="default" w:ascii="Times New Roman" w:hAnsi="Times New Roman" w:eastAsia="方正楷体_GBK" w:cs="Times New Roman"/>
          <w:b w:val="0"/>
          <w:bCs/>
          <w:color w:val="000000"/>
          <w:kern w:val="36"/>
          <w:sz w:val="32"/>
          <w:szCs w:val="32"/>
          <w:highlight w:val="none"/>
          <w:lang w:val="en-US" w:eastAsia="zh-CN"/>
        </w:rPr>
        <w:t>3</w:t>
      </w:r>
      <w:r>
        <w:rPr>
          <w:rFonts w:hint="eastAsia" w:ascii="Times New Roman" w:hAnsi="Times New Roman" w:eastAsia="方正楷体_GBK" w:cs="Times New Roman"/>
          <w:b w:val="0"/>
          <w:bCs/>
          <w:color w:val="000000"/>
          <w:kern w:val="36"/>
          <w:sz w:val="32"/>
          <w:szCs w:val="32"/>
          <w:highlight w:val="none"/>
          <w:lang w:val="en-US" w:eastAsia="zh-CN"/>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省贸促会领导带队参加广州国际智能制造技术与装备展览会</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省贸促会领导带队赴上海拜访境外贸易投资促进代表机构</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省贸促会领导会见乌兹别克斯坦驻沪总领事纳尔祖拉耶夫</w:t>
      </w:r>
      <w:r>
        <w:rPr>
          <w:rFonts w:hint="eastAsia" w:ascii="Times New Roman" w:hAnsi="Times New Roman" w:eastAsia="方正楷体_GBK" w:cs="Times New Roman"/>
          <w:b/>
          <w:color w:val="auto"/>
          <w:spacing w:val="-11"/>
          <w:kern w:val="36"/>
          <w:sz w:val="30"/>
          <w:szCs w:val="30"/>
          <w:lang w:val="en-US" w:eastAsia="zh-CN"/>
        </w:rPr>
        <w:t xml:space="preserve"> / 0</w:t>
      </w:r>
      <w:r>
        <w:rPr>
          <w:rFonts w:hint="default" w:ascii="Times New Roman" w:hAnsi="Times New Roman" w:eastAsia="方正楷体_GBK" w:cs="Times New Roman"/>
          <w:b/>
          <w:color w:val="auto"/>
          <w:spacing w:val="-11"/>
          <w:kern w:val="36"/>
          <w:sz w:val="30"/>
          <w:szCs w:val="30"/>
          <w:lang w:val="en-US" w:eastAsia="zh-CN"/>
        </w:rPr>
        <w:t>7</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省贸促会与省法院开展工作交流</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8</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苏豪控股集团荣获长三角慈善之星和江苏慈善之星称号</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09</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六项成果入选！徐矿再添省级管理创新荣誉</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10</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11"/>
          <w:kern w:val="36"/>
          <w:sz w:val="30"/>
          <w:szCs w:val="30"/>
          <w:lang w:val="en-US" w:eastAsia="zh-CN"/>
        </w:rPr>
        <w:t>协鑫集成首获EcoVadis银牌评级 跻身全球企业社会责任前15%</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w:t>
      </w:r>
      <w:bookmarkStart w:id="8" w:name="_GoBack"/>
      <w:bookmarkEnd w:id="8"/>
      <w:r>
        <w:rPr>
          <w:rFonts w:hint="default" w:ascii="Times New Roman" w:hAnsi="Times New Roman" w:eastAsia="方正楷体_GBK" w:cs="Times New Roman"/>
          <w:b/>
          <w:color w:val="auto"/>
          <w:spacing w:val="-11"/>
          <w:kern w:val="36"/>
          <w:sz w:val="30"/>
          <w:szCs w:val="30"/>
          <w:lang w:val="en-US" w:eastAsia="zh-CN"/>
        </w:rPr>
        <w:t>11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省贸促会领导带队参加广州国际智能</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制造技术与装备展览会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 xml:space="preserve">2月25日至27日，省贸促会组织36家涵盖机器人制造、工业自动化、精密模具、3D打印等领域重要生力军企业参加广州智能制造技术及装备展览会（SPSG）和亚洲国际模具展。省贸促会会长王善华、秘书长杜培军出席展会开幕式及相关活动。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本届SPSG和亚洲国际模具展展出面积近35000平方米，参展商近600家，预计专业观众超55000人次，境外采购商近4000人。江苏参展企业数量较上届增长50%，以硬核技术向世界展示江苏新质生产力的澎湃动能，更蕴藏着江苏制造业如何从“制造大省”迈向“智造强省”的转型密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“三连击”：技术破局、场景落地、生态重构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SPSG展上，南京诚达工业互联网有限公司展台前人头攒动，本次带来了主营产品“IO-Link”，这是一种点对点的串行通信协议，将传统或智能传感器和执行器集成在自动化系统中的通信接口技术，目前已应用于机器人工作站、精细化工生产线等场景，极大降低运营成本，提高产品质量，缩短交货时间。</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我们核心团队拥有超过10年的工业自动化和通信行业经验，将技术创新放在发展的核心位置。”据现场相关负责人介绍，公司于2024年正式成为西门子Xcelerator“繁星计划”的生态合作伙伴之一，接下来将深入探索定制化、开放式模式，助力各领域企业数字化智能车间建设、柔性制造和精益生产。上述负责人表示，“我们卖的不是产品，是一整套生产力升级方案。”这正呼应了本次SPSG展的主题——深耕工业自动化，成就多元产业应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2024年12月召开的中央经济工作会议明确提出，要以科技创新引领新质生产力发展，建设现代化产业体系，并要求开展“人工智能+”行动。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常州精控电机电器有限公司展示的无刷伺服一体机主要用于机器人制造，是实现智能化设备的必不可少的零部件，算法和精密的机械设计，可以实现微米级别的高精度位置控制，精良的工艺制造处于国内领先水平。</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这些“黑科技”背后，是江苏新质生产力的具象化呈现。2025年江苏省政府工作报告提出要“以科技创新引领新质生产力发展”。如今技术越来越快向生产线奔去，2024年江苏高新技术产业产值占规上工业比重首次超过50%，“创新之花”结出更多“发展之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从“单兵作战”到“组团突围”，新质生产力赋能产业链创新布局</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深耕华南模具市场十八载，亚洲国际模具展的设立旨在进一步全方位构建模具制造产业生态系统，扎根模具制造业，紧跟市场发展趋势，聚合资源优势以及一系列完善配套，打造出一个贯穿模具业上中下游的专业平台。“企业通过参展，不仅开拓了国际市场，更通过与上下游企业的深度合作，进一步提升了产业链的整体竞争力。”展会主办方相关负责人说。</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作为国内首家使用粘结金属3D打印技术的加工服务商，德亿纬三维打印（太仓）科技有限公司的产品不仅应用于航空航天，还用于消费电子、饰品、汽车、AI数据中心等民用领域。</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徐州赛越工程机械有限公司专注于回转减速器的研发生产，产品广泛使用于重型平板运输车、集装箱起重机、随车吊、高空作业车、太阳能发电系统等工程机械及新能源领域；昆山德盛精密模具有限公司可为机械加工和模具制造领域提供全方位服务，具备为各种行业提供金属冲压的产品能力。</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来自南通的江苏品德新材料有限公司从事钛合金粉末、高温合金粉末的生产，“从一颗粉末做起，公司靠着细粉收得率＞80%、球化率＞99%、球形度＞0.95的技术水准，为增材制造、金属注射成型、热等静压等行业提质赋能。”公司负责人说。</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这些看似分散于各垂直精细领域的展品，正逐步为千行百业带来发展的强劲动能，生态闭环已然成型。正如现场某位参展商表示：“当3D打印遇见工业互联网，模具制造的效率革命才刚刚开始。”</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“链式创新”是江苏培育新质生产力的重要逻辑，接下来将大力培育具有发展潜力的重点产业链，不断推动产业链与创新链深度融合，让江苏制造业更加“筋强骨壮”。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技术引进来产品走出去，重新定义江苏制造业发展新坐标</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2025年江苏政府工作报告中特别提到，支持先进技术、设备和关键零部件等扩大进口……让开放、包容、有活力的江苏市场“近悦远来”。省贸促会认真落实省委十四届八次全会、省委经济工作会议部署，抓重点、攻难点、树亮点、培育增长点，精心组织企业参加国际知名展览机构在长三角、粤港澳大湾区等省外地区举办的国际性专业展会，引导企业用好国内国际两个市场，拓展内外贸销售渠道，更高标准服务江苏开放型经济高质量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江苏企业积极创新转型，“江苏制造”加快出海。“过去我们追赶国际标准，现在我们在制定标准，技术吸睛，产品广销海外。”无锡市誉然电子科技有限公司相关负责人表示，公司工厂拥有进出口权，硬质合金铣刀、钻头、铰刀、硬质合金刀片铣刀、螺旋端铣刀等拳头产品，广受国内外客户好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本次展会，还有不少让先进技术和经验走进来的企业身影。常州瑞固铭机械有限公司擅长气囊零件和座椅零件项目，多次与客户合作成功导入海外模具技术，实现模具采购本地化，显著节省项目时间和经费进而提升产品竞争力；通过自主开发和国外先进技术的交流积累，南京春辉科技实业有限公司已拥有国内先进的非通信光纤生产技术和设备，不仅能为客户提供质高价优的光纤系列产品，更有能力为客户提供技术配套服务和系统解决方案。</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w:t>
      </w:r>
      <w:r>
        <w:rPr>
          <w:rFonts w:hint="eastAsia" w:ascii="方正楷体_GBK" w:hAnsi="方正楷体_GBK" w:eastAsia="方正楷体_GBK" w:cs="方正楷体_GBK"/>
          <w:b/>
          <w:bCs/>
          <w:color w:val="FF0000"/>
          <w:spacing w:val="0"/>
          <w:kern w:val="2"/>
          <w:sz w:val="32"/>
          <w:szCs w:val="32"/>
          <w:lang w:val="en-US" w:eastAsia="zh-CN" w:bidi="ar-SA"/>
        </w:rPr>
        <w:t>贸易促进部</w:t>
      </w:r>
      <w:r>
        <w:rPr>
          <w:rFonts w:hint="default" w:ascii="方正楷体_GBK" w:hAnsi="方正楷体_GBK" w:eastAsia="方正楷体_GBK" w:cs="方正楷体_GBK"/>
          <w:b/>
          <w:bCs/>
          <w:color w:val="FF0000"/>
          <w:spacing w:val="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省贸促会领导带队赴上海拜访境外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贸易投资促进代表机构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近日，省贸促会（国际商会）会长王善华带队赴上海拜访日本贸易振兴机构首席代表天野真也、韩国贸易协会首席代表朴善景、俄罗斯联邦工商会首席代表杰尼斯戈梅利斯基、荷比卢商会总经理Mr. Thomas Knoop、阿根廷（上海）创新中心首席执行官金麟等境外贸易投资促进代表机构负责人，进一步商讨今年合作计划。副会长丛苏峰参加拜访交流。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各境外贸易投资促进代表机构一直以来对江苏贸促工作的支持。他简要介绍江苏经济社会发展情况和省贸促会今年重大经贸活动计划，表示中国式现代化带来了巨大市场潜力和产业发展机遇，当前江苏正一体推进建设具有全球影响力的产业科技创新中心、具有国际竞争力的先进制造业基地和具有世界聚合力的双向开放枢纽，江苏省贸促会（国际商会）将继续发挥好桥梁纽带作用，通过“境外机构、跨国公司江苏行”、日本大阪世博会中国馆江苏周等活动，进一步加强多层次、宽领域国际经贸交流，助力实现更高水平的互利共赢。</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相关机构负责人表示，江苏是开放大省，新春伊始双方就积极开展沟通对接，为全年经贸合作打下良好基础。他们将进一步加强与贸促会的互动交流，共同提升与江苏省经贸合作的实效，推动双方合作取得更多丰硕成果。</w:t>
      </w:r>
      <w:r>
        <w:rPr>
          <w:rFonts w:hint="default"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w:t>
      </w:r>
      <w:r>
        <w:rPr>
          <w:rFonts w:hint="eastAsia" w:ascii="方正楷体_GBK" w:hAnsi="方正楷体_GBK" w:eastAsia="方正楷体_GBK" w:cs="方正楷体_GBK"/>
          <w:b/>
          <w:bCs/>
          <w:color w:val="FF0000"/>
          <w:spacing w:val="0"/>
          <w:kern w:val="2"/>
          <w:sz w:val="32"/>
          <w:szCs w:val="32"/>
          <w:lang w:val="en-US" w:eastAsia="zh-CN" w:bidi="ar-SA"/>
        </w:rPr>
        <w:t>国际联络部</w:t>
      </w:r>
      <w:r>
        <w:rPr>
          <w:rFonts w:hint="default" w:ascii="方正楷体_GBK" w:hAnsi="方正楷体_GBK" w:eastAsia="方正楷体_GBK" w:cs="方正楷体_GBK"/>
          <w:b/>
          <w:bCs/>
          <w:color w:val="FF0000"/>
          <w:spacing w:val="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省贸促会领导会见乌兹别克斯坦</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驻沪总领事纳尔祖拉耶夫</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2月28日，省贸促会会长王善华会见来访的乌兹别克斯坦驻沪总领事纳尔祖拉耶夫一行。副会长王飞参加会见。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简要介绍江苏开放型经济发展情况。他表示，去年两国元首两度会晤，将中乌关系提升为新时代全天候全面战略伙伴关系，为两国地方间深化合作提供了新机遇、拓展了新空间。当前，江苏正在加快建设具有世界聚合力的双向开放枢纽，乌兹别克斯坦是我省在“一带一路”沿线重要合作伙伴，双方地缘相近、产业互补，投资贸易、互联互通等领域合作前景广阔，希望双方共同搭建高质量经贸交流平台，不断扩大双向贸易和投资，进一步强化产业链供应链合作，为构建中乌命运共同体贡献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纳尔祖拉耶夫感谢江苏省贸促会一直以来为推动双方经贸交流所做的努力。他表示，乌兹别克斯坦驻沪总领馆将一如既往地支持江苏开放发展，也欢迎更多江苏企业到乌兹别克斯坦投资兴业，期待未来能够与省贸促会保持更加紧密的互动交流，实现更高水平的互利共赢。</w:t>
      </w:r>
      <w:r>
        <w:rPr>
          <w:rFonts w:hint="default" w:asciiTheme="minorEastAsia" w:hAnsiTheme="minorEastAsia" w:cstheme="minorEastAsia"/>
          <w:color w:val="auto"/>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w:t>
      </w:r>
      <w:r>
        <w:rPr>
          <w:rFonts w:hint="eastAsia" w:ascii="方正楷体_GBK" w:hAnsi="方正楷体_GBK" w:eastAsia="方正楷体_GBK" w:cs="方正楷体_GBK"/>
          <w:b/>
          <w:bCs/>
          <w:color w:val="FF0000"/>
          <w:spacing w:val="0"/>
          <w:kern w:val="2"/>
          <w:sz w:val="32"/>
          <w:szCs w:val="32"/>
          <w:lang w:val="en-US" w:eastAsia="zh-CN" w:bidi="ar-SA"/>
        </w:rPr>
        <w:t>国际联络部</w:t>
      </w:r>
      <w:r>
        <w:rPr>
          <w:rFonts w:hint="default" w:ascii="方正楷体_GBK" w:hAnsi="方正楷体_GBK" w:eastAsia="方正楷体_GBK" w:cs="方正楷体_GBK"/>
          <w:b/>
          <w:bCs/>
          <w:color w:val="FF0000"/>
          <w:spacing w:val="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w:t>
      </w:r>
      <w:r>
        <w:rPr>
          <w:rFonts w:hint="default" w:ascii="Times New Roman" w:hAnsi="Times New Roman" w:eastAsia="经典行楷简" w:cs="Times New Roman"/>
          <w:color w:val="2E75B6" w:themeColor="accent1" w:themeShade="BF"/>
          <w:spacing w:val="-45"/>
          <w:kern w:val="2"/>
          <w:sz w:val="52"/>
          <w:szCs w:val="52"/>
          <w:lang w:val="en-US" w:eastAsia="zh-CN" w:bidi="ar-SA"/>
        </w:rPr>
        <w:t>贸促会与省法院开展工作交流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2月26日，省贸促会党组书记、会长王善华与到访的省高级人民法院党组成员、副院长孙辙一行开展工作交流。省贸促会党组成员、秘书长杜培军参加座谈。</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简要介绍省贸促会涉外商事法律服务职能以及近年来与省内各地法院开展诉调对接的工作情况。他表示，省贸促会深入贯彻落实党中央关于完善矛盾纠纷多元化解机制的部署要求，持续打造涵盖商事调解、经贸仲裁在内的多元化商事争议解决机制，下一步将继续与法院系统加强合作，完善交流对接机制，共促国际商事纠纷公正高效解决，更好服务涉外法治建设和高水平对外开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孙辙简要介绍全省涉外商事审判机构建设和工作情况，希望双方进一步加强交流合作、资源共享、信息互通、人才培养，发挥各自职能优势，推动江苏涉外商事纠纷多元化解机制高质量发展，共同打造涉外商事海事纠纷解决优选地，为江苏建设市场化、法治化、国际化一流营商环境作出更大贡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w:t>
      </w:r>
      <w:r>
        <w:rPr>
          <w:rFonts w:hint="eastAsia" w:ascii="方正楷体_GBK" w:hAnsi="方正楷体_GBK" w:eastAsia="方正楷体_GBK" w:cs="方正楷体_GBK"/>
          <w:b/>
          <w:bCs/>
          <w:color w:val="FF0000"/>
          <w:spacing w:val="0"/>
          <w:kern w:val="2"/>
          <w:sz w:val="32"/>
          <w:szCs w:val="32"/>
          <w:lang w:val="en-US" w:eastAsia="zh-CN" w:bidi="ar-SA"/>
        </w:rPr>
        <w:t>法律事务部</w:t>
      </w:r>
      <w:r>
        <w:rPr>
          <w:rFonts w:hint="default" w:ascii="方正楷体_GBK" w:hAnsi="方正楷体_GBK" w:eastAsia="方正楷体_GBK" w:cs="方正楷体_GBK"/>
          <w:b/>
          <w:bCs/>
          <w:color w:val="FF0000"/>
          <w:spacing w:val="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bookmarkStart w:id="0" w:name="OLE_LINK7"/>
      <w:bookmarkStart w:id="1" w:name="OLE_LINK8"/>
      <w:bookmarkStart w:id="2" w:name="OLE_LINK6"/>
      <w:bookmarkStart w:id="3" w:name="OLE_LINK14"/>
      <w:bookmarkStart w:id="4" w:name="OLE_LINK1"/>
      <w:bookmarkStart w:id="5" w:name="OLE_LINK3"/>
      <w:bookmarkStart w:id="6" w:name="OLE_LINK9"/>
      <w:bookmarkStart w:id="7" w:name="OLE_LINK2"/>
      <w:r>
        <w:rPr>
          <w:rFonts w:hint="eastAsia" w:ascii="Times New Roman" w:hAnsi="Times New Roman" w:eastAsia="华文新魏" w:cs="Times New Roman"/>
          <w:b/>
          <w:bCs w:val="0"/>
          <w:color w:val="FF0000"/>
          <w:spacing w:val="0"/>
          <w:kern w:val="36"/>
          <w:sz w:val="44"/>
          <w:szCs w:val="44"/>
          <w:lang w:val="en-US" w:eastAsia="zh-CN" w:bidi="ar-SA"/>
        </w:rPr>
        <w:t>苏豪控股集团荣获长三角慈善之星</w:t>
      </w:r>
    </w:p>
    <w:p>
      <w:pPr>
        <w:spacing w:line="440" w:lineRule="exact"/>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和江苏慈善之星称号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根据沪、苏、浙、皖“三省一市”慈善总会（基金会）、江苏省慈善总会有关文件通知，第三届“长三角慈善之星”以及第三届“江苏慈善之星”名单先后发布，我会副会长单位——江苏省苏豪控股集团有限公司荣获“长三角慈善之星”和“江苏慈善之星”爱心单位称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长期以来，苏豪控股集团积极履行国有企业责任担当，广泛参与爱心捐赠、捐资助学、抗灾救灾、乡村振兴、社区帮扶等公益项目，持续开展“助老、助学、助困、助残、助贫”等慈善工程，“向上向善”的公益精神彰显于苏豪人的举手之中和点滴之间。集团及各级企业连续多年组织开展“慈善一日捐”、无偿献血等活动，积极向江苏省见义勇为基金会、“苏韵伊情”奖学金、“爱心助学公益行”等各公益项目捐赠善款；依托“五方挂钩”“万企联万村”等机制，推动乡村振兴帮促工作走深走实；持续深化“保险+期货”项目实现精准扶贫，为当地脱贫攻坚作出贡献；主办江苏对口支援协作合作地区特色商品交易会，对接西藏、新疆、青海等9个对口帮扶省市200多家企业，引进2000多种名特优产品，开辟消费帮扶促进乡村振兴新通道。</w:t>
      </w:r>
    </w:p>
    <w:bookmarkEnd w:id="0"/>
    <w:bookmarkEnd w:id="1"/>
    <w:bookmarkEnd w:id="2"/>
    <w:bookmarkEnd w:id="3"/>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：苏豪控股集团微信公众号）</w:t>
      </w:r>
    </w:p>
    <w:p>
      <w:pPr>
        <w:spacing w:line="440" w:lineRule="exact"/>
        <w:ind w:firstLine="848" w:firstLineChars="200"/>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六项成果入选！徐矿再添省级管理创新荣誉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近日，江苏省企业管理现代化创新成果审定委员会发布第三十一届江苏省企业管理现代化创新成果。我会副会长单位——徐州矿务集团有限公司6项成果入选。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本次入选的创新成果涉及企业管理的众多领域，充分反映了徐矿集团着力实施创新驱动发展战略，紧紧围绕企业改革和生产经营、管理实践中的重点、热点和难点问题，在攻克关键技术、解决复杂系统和发展数字经济、绿色经济中取得的新经验、新成果。相关成果为政府有关部门制定相关政策提供了参考，为其他企业提供了可学习借鉴的成功经验，为科研机构进行企业管理科学研究与教学提供了鲜活案例。</w:t>
      </w:r>
    </w:p>
    <w:p>
      <w:pPr>
        <w:spacing w:line="440" w:lineRule="exact"/>
        <w:ind w:firstLine="608" w:firstLineChars="200"/>
        <w:jc w:val="center"/>
        <w:rPr>
          <w:rFonts w:hint="default" w:ascii="Times New Roman" w:hAnsi="Times New Roman" w:eastAsia="方正楷体_GBK" w:cs="Times New Roman"/>
          <w:b w:val="0"/>
          <w:bCs/>
          <w:kern w:val="0"/>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：徐矿集团微信公众号）</w:t>
      </w:r>
    </w:p>
    <w:p>
      <w:pPr>
        <w:rPr>
          <w:rFonts w:hint="eastAsia"/>
          <w:lang w:val="en-US" w:eastAsia="zh-CN"/>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协鑫集成首获EcoVadis银牌评级</w:t>
      </w: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跻身全球企业社会责任前15%</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我会副会长单位——协鑫集成科技股份有限公司在2025年度EcoVadis企业社会责任评估中荣获集团级（Group）银牌认证，公司首次参评即在全球参评的15万家企业中位列前15%。这一成就标志着协鑫集成在可持续发展、社会责任及企业治理（ESG）领域的实践已跻身国际领先水平，为全球能源行业树立了标杆。</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作为全球可再生能源行业的重要参与者，协鑫集成秉承“专注绿色发展，持续改善人类生存环境”的使命，不断推动光伏产业链的低碳化、数字化和智能化升级。公司深入实施节能减排措施，大力发展低碳工艺和绿色制造模式，持续优化能源管理体系，提高可再生能源利用率。通过打造全球首家基于区块链及隐私计算等先进技术的光伏产业全链路零碳数字管理平台――“协鑫碳链”，优化能源使用效率，推动供应链上下游的绿色协作，显著降低产品碳足迹。</w:t>
      </w:r>
    </w:p>
    <w:bookmarkEnd w:id="4"/>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：协鑫集成微信公众号）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bookmarkEnd w:id="5"/>
      <w:bookmarkEnd w:id="6"/>
      <w:bookmarkEnd w:id="7"/>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zl</cp:lastModifiedBy>
  <cp:lastPrinted>2025-03-03T01:36:25Z</cp:lastPrinted>
  <dcterms:modified xsi:type="dcterms:W3CDTF">2025-03-03T01:46:57Z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2AFE29251F2D47119EA111B2B617C6AF_13</vt:lpwstr>
  </property>
</Properties>
</file>