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409C5F">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宋体" w:cs="Times New Roman"/>
          <w:b/>
          <w:color w:val="FF0000"/>
          <w:spacing w:val="-119"/>
          <w:kern w:val="36"/>
          <w:sz w:val="144"/>
          <w:szCs w:val="144"/>
        </w:rPr>
      </w:pPr>
      <w:r>
        <w:rPr>
          <w:rFonts w:hint="default" w:ascii="Times New Roman" w:hAnsi="Times New Roman" w:eastAsia="经典行楷简" w:cs="Times New Roman"/>
          <w:b/>
          <w:color w:val="1F497D"/>
          <w:spacing w:val="-119"/>
          <w:kern w:val="36"/>
          <w:sz w:val="144"/>
          <w:szCs w:val="144"/>
          <w14:textFill>
            <w14:solidFill>
              <w14:srgbClr w14:val="1F497D">
                <w14:lumMod w14:val="60000"/>
                <w14:lumOff w14:val="40000"/>
              </w14:srgbClr>
            </w14:solidFill>
          </w14:textFill>
        </w:rPr>
        <w:t>江苏贸促周讯</w:t>
      </w:r>
    </w:p>
    <w:p w14:paraId="0BBB31A0">
      <w:pPr>
        <w:keepNext w:val="0"/>
        <w:keepLines w:val="0"/>
        <w:pageBreakBefore w:val="0"/>
        <w:widowControl/>
        <w:kinsoku/>
        <w:wordWrap/>
        <w:overflowPunct/>
        <w:topLinePunct w:val="0"/>
        <w:autoSpaceDE/>
        <w:autoSpaceDN/>
        <w:bidi w:val="0"/>
        <w:adjustRightInd/>
        <w:snapToGrid/>
        <w:spacing w:line="460" w:lineRule="exact"/>
        <w:jc w:val="center"/>
        <w:textAlignment w:val="auto"/>
        <w:outlineLvl w:val="0"/>
        <w:rPr>
          <w:rFonts w:hint="default" w:ascii="Times New Roman" w:hAnsi="Times New Roman" w:eastAsia="经典行楷简" w:cs="Times New Roman"/>
          <w:b w:val="0"/>
          <w:bCs/>
          <w:color w:val="2E75B6" w:themeColor="accent1" w:themeShade="BF"/>
          <w:kern w:val="36"/>
          <w:sz w:val="44"/>
          <w:szCs w:val="44"/>
        </w:rPr>
      </w:pPr>
      <w:r>
        <w:rPr>
          <w:rFonts w:hint="default" w:ascii="Times New Roman" w:hAnsi="Times New Roman" w:eastAsia="经典行楷简" w:cs="Times New Roman"/>
          <w:b w:val="0"/>
          <w:bCs/>
          <w:color w:val="2E75B6" w:themeColor="accent1" w:themeShade="BF"/>
          <w:kern w:val="36"/>
          <w:sz w:val="44"/>
          <w:szCs w:val="44"/>
        </w:rPr>
        <w:t>202</w:t>
      </w:r>
      <w:r>
        <w:rPr>
          <w:rFonts w:hint="eastAsia" w:ascii="Times New Roman" w:hAnsi="Times New Roman" w:eastAsia="经典行楷简" w:cs="Times New Roman"/>
          <w:b w:val="0"/>
          <w:bCs/>
          <w:color w:val="2E75B6" w:themeColor="accent1" w:themeShade="BF"/>
          <w:kern w:val="36"/>
          <w:sz w:val="44"/>
          <w:szCs w:val="44"/>
          <w:lang w:val="en-US" w:eastAsia="zh-CN"/>
        </w:rPr>
        <w:t>6</w:t>
      </w:r>
      <w:r>
        <w:rPr>
          <w:rFonts w:hint="default" w:ascii="Times New Roman" w:hAnsi="Times New Roman" w:eastAsia="经典行楷简" w:cs="Times New Roman"/>
          <w:b w:val="0"/>
          <w:bCs/>
          <w:color w:val="2E75B6" w:themeColor="accent1" w:themeShade="BF"/>
          <w:kern w:val="36"/>
          <w:sz w:val="44"/>
          <w:szCs w:val="44"/>
        </w:rPr>
        <w:t>年第</w:t>
      </w:r>
      <w:r>
        <w:rPr>
          <w:rFonts w:hint="eastAsia" w:ascii="Times New Roman" w:hAnsi="Times New Roman" w:eastAsia="经典行楷简" w:cs="Times New Roman"/>
          <w:b w:val="0"/>
          <w:bCs/>
          <w:color w:val="2E75B6" w:themeColor="accent1" w:themeShade="BF"/>
          <w:kern w:val="36"/>
          <w:sz w:val="44"/>
          <w:szCs w:val="44"/>
          <w:lang w:val="en-US" w:eastAsia="zh-CN"/>
        </w:rPr>
        <w:t>26</w:t>
      </w:r>
      <w:r>
        <w:rPr>
          <w:rFonts w:hint="default" w:ascii="Times New Roman" w:hAnsi="Times New Roman" w:eastAsia="经典行楷简" w:cs="Times New Roman"/>
          <w:b w:val="0"/>
          <w:bCs/>
          <w:color w:val="2E75B6" w:themeColor="accent1" w:themeShade="BF"/>
          <w:kern w:val="36"/>
          <w:sz w:val="44"/>
          <w:szCs w:val="44"/>
        </w:rPr>
        <w:t>期</w:t>
      </w:r>
    </w:p>
    <w:p w14:paraId="33D75D5A">
      <w:pPr>
        <w:keepNext w:val="0"/>
        <w:keepLines w:val="0"/>
        <w:pageBreakBefore w:val="0"/>
        <w:widowControl/>
        <w:kinsoku/>
        <w:wordWrap/>
        <w:overflowPunct/>
        <w:topLinePunct w:val="0"/>
        <w:autoSpaceDE/>
        <w:autoSpaceDN/>
        <w:bidi w:val="0"/>
        <w:adjustRightInd/>
        <w:snapToGrid/>
        <w:spacing w:line="460" w:lineRule="exact"/>
        <w:jc w:val="center"/>
        <w:textAlignment w:val="auto"/>
        <w:outlineLvl w:val="0"/>
        <w:rPr>
          <w:rFonts w:hint="default" w:ascii="Times New Roman" w:hAnsi="Times New Roman" w:eastAsia="经典行楷简" w:cs="Times New Roman"/>
          <w:b w:val="0"/>
          <w:bCs/>
          <w:color w:val="2E75B5" w:themeColor="accent1" w:themeShade="BF"/>
          <w:kern w:val="36"/>
          <w:sz w:val="44"/>
          <w:szCs w:val="44"/>
          <w:lang w:eastAsia="zh-CN"/>
          <w14:textFill>
            <w14:gradFill>
              <w14:gsLst>
                <w14:gs w14:pos="0">
                  <w14:srgbClr w14:val="FE4444"/>
                </w14:gs>
                <w14:gs w14:pos="100000">
                  <w14:srgbClr w14:val="832B2B"/>
                </w14:gs>
              </w14:gsLst>
              <w14:lin/>
            </w14:gradFill>
          </w14:textFill>
        </w:rPr>
      </w:pPr>
      <w:r>
        <w:rPr>
          <w:rFonts w:hint="default" w:ascii="Times New Roman" w:hAnsi="Times New Roman" w:eastAsia="经典行楷简" w:cs="Times New Roman"/>
          <w:b w:val="0"/>
          <w:bCs/>
          <w:color w:val="2E75B5" w:themeColor="accent1" w:themeShade="BF"/>
          <w:kern w:val="36"/>
          <w:sz w:val="44"/>
          <w:szCs w:val="44"/>
          <w:lang w:eastAsia="zh-CN"/>
          <w14:textFill>
            <w14:gradFill>
              <w14:gsLst>
                <w14:gs w14:pos="0">
                  <w14:srgbClr w14:val="FE4444"/>
                </w14:gs>
                <w14:gs w14:pos="100000">
                  <w14:srgbClr w14:val="832B2B"/>
                </w14:gs>
              </w14:gsLst>
              <w14:lin/>
            </w14:gradFill>
          </w14:textFill>
        </w:rPr>
        <w:t>（</w:t>
      </w:r>
      <w:r>
        <w:rPr>
          <w:rFonts w:hint="default" w:ascii="Times New Roman" w:hAnsi="Times New Roman" w:eastAsia="经典行楷简" w:cs="Times New Roman"/>
          <w:b w:val="0"/>
          <w:bCs/>
          <w:color w:val="2E75B5" w:themeColor="accent1" w:themeShade="BF"/>
          <w:kern w:val="36"/>
          <w:sz w:val="44"/>
          <w:szCs w:val="44"/>
          <w14:textFill>
            <w14:gradFill>
              <w14:gsLst>
                <w14:gs w14:pos="0">
                  <w14:srgbClr w14:val="FE4444"/>
                </w14:gs>
                <w14:gs w14:pos="100000">
                  <w14:srgbClr w14:val="832B2B"/>
                </w14:gs>
              </w14:gsLst>
              <w14:lin/>
            </w14:gradFill>
          </w14:textFill>
        </w:rPr>
        <w:t>总第</w:t>
      </w:r>
      <w:r>
        <w:rPr>
          <w:rFonts w:hint="eastAsia" w:ascii="Times New Roman" w:hAnsi="Times New Roman" w:eastAsia="经典行楷简" w:cs="Times New Roman"/>
          <w:b w:val="0"/>
          <w:bCs/>
          <w:color w:val="2E75B5" w:themeColor="accent1" w:themeShade="BF"/>
          <w:kern w:val="36"/>
          <w:sz w:val="44"/>
          <w:szCs w:val="44"/>
          <w:lang w:val="en-US" w:eastAsia="zh-CN"/>
          <w14:textFill>
            <w14:gradFill>
              <w14:gsLst>
                <w14:gs w14:pos="0">
                  <w14:srgbClr w14:val="FE4444"/>
                </w14:gs>
                <w14:gs w14:pos="100000">
                  <w14:srgbClr w14:val="832B2B"/>
                </w14:gs>
              </w14:gsLst>
              <w14:lin/>
            </w14:gradFill>
          </w14:textFill>
        </w:rPr>
        <w:t>362</w:t>
      </w:r>
      <w:r>
        <w:rPr>
          <w:rFonts w:hint="default" w:ascii="Times New Roman" w:hAnsi="Times New Roman" w:eastAsia="经典行楷简" w:cs="Times New Roman"/>
          <w:b w:val="0"/>
          <w:bCs/>
          <w:color w:val="2E75B5" w:themeColor="accent1" w:themeShade="BF"/>
          <w:kern w:val="36"/>
          <w:sz w:val="44"/>
          <w:szCs w:val="44"/>
          <w14:textFill>
            <w14:gradFill>
              <w14:gsLst>
                <w14:gs w14:pos="0">
                  <w14:srgbClr w14:val="FE4444"/>
                </w14:gs>
                <w14:gs w14:pos="100000">
                  <w14:srgbClr w14:val="832B2B"/>
                </w14:gs>
              </w14:gsLst>
              <w14:lin/>
            </w14:gradFill>
          </w14:textFill>
        </w:rPr>
        <w:t>期</w:t>
      </w:r>
      <w:r>
        <w:rPr>
          <w:rFonts w:hint="default" w:ascii="Times New Roman" w:hAnsi="Times New Roman" w:eastAsia="经典行楷简" w:cs="Times New Roman"/>
          <w:b w:val="0"/>
          <w:bCs/>
          <w:color w:val="2E75B5" w:themeColor="accent1" w:themeShade="BF"/>
          <w:kern w:val="36"/>
          <w:sz w:val="44"/>
          <w:szCs w:val="44"/>
          <w:lang w:eastAsia="zh-CN"/>
          <w14:textFill>
            <w14:gradFill>
              <w14:gsLst>
                <w14:gs w14:pos="0">
                  <w14:srgbClr w14:val="FE4444"/>
                </w14:gs>
                <w14:gs w14:pos="100000">
                  <w14:srgbClr w14:val="832B2B"/>
                </w14:gs>
              </w14:gsLst>
              <w14:lin/>
            </w14:gradFill>
          </w14:textFill>
        </w:rPr>
        <w:t>）</w:t>
      </w:r>
    </w:p>
    <w:p w14:paraId="5DAE9BA1">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528" w:firstLineChars="200"/>
        <w:jc w:val="both"/>
        <w:textAlignment w:val="auto"/>
        <w:outlineLvl w:val="1"/>
        <w:rPr>
          <w:rFonts w:hint="default" w:ascii="Times New Roman" w:hAnsi="Times New Roman" w:eastAsia="方正楷体_GBK" w:cs="Times New Roman"/>
          <w:b w:val="0"/>
          <w:bCs/>
          <w:color w:val="000000"/>
          <w:kern w:val="36"/>
          <w:sz w:val="36"/>
          <w:szCs w:val="36"/>
          <w:highlight w:val="none"/>
          <w:lang w:val="en-US"/>
        </w:rPr>
      </w:pPr>
      <w:r>
        <w:rPr>
          <w:rFonts w:hint="eastAsia" w:ascii="方正公文黑体" w:hAnsi="方正公文黑体" w:eastAsia="方正公文黑体" w:cs="方正公文黑体"/>
          <w:b w:val="0"/>
          <w:bCs/>
          <w:color w:val="1F497D"/>
          <w:kern w:val="36"/>
          <w:sz w:val="28"/>
          <w:szCs w:val="28"/>
          <w:highlight w:val="none"/>
          <w14:textFill>
            <w14:solidFill>
              <w14:srgbClr w14:val="1F497D">
                <w14:lumMod w14:val="60000"/>
                <w14:lumOff w14:val="40000"/>
              </w14:srgbClr>
            </w14:solidFill>
          </w14:textFill>
        </w:rPr>
        <w:t>江苏省贸促会发展研究部</w:t>
      </w:r>
      <w:r>
        <w:rPr>
          <w:rFonts w:hint="default" w:ascii="Times New Roman" w:hAnsi="Times New Roman" w:eastAsia="宋体" w:cs="Times New Roman"/>
          <w:b/>
          <w:color w:val="00B0F0"/>
          <w:kern w:val="36"/>
          <w:sz w:val="28"/>
          <w:szCs w:val="28"/>
          <w:highlight w:val="none"/>
        </w:rPr>
        <w:t xml:space="preserve"> </w:t>
      </w:r>
      <w:r>
        <w:rPr>
          <w:rFonts w:hint="default" w:ascii="Times New Roman" w:hAnsi="Times New Roman" w:eastAsia="宋体" w:cs="Times New Roman"/>
          <w:b/>
          <w:color w:val="000000"/>
          <w:kern w:val="36"/>
          <w:sz w:val="36"/>
          <w:szCs w:val="36"/>
          <w:highlight w:val="none"/>
        </w:rPr>
        <w:t xml:space="preserve">        </w:t>
      </w:r>
      <w:r>
        <w:rPr>
          <w:rFonts w:hint="default" w:ascii="Times New Roman" w:hAnsi="Times New Roman" w:eastAsia="方正楷体_GBK" w:cs="Times New Roman"/>
          <w:b w:val="0"/>
          <w:bCs/>
          <w:color w:val="000000"/>
          <w:kern w:val="36"/>
          <w:sz w:val="36"/>
          <w:szCs w:val="36"/>
          <w:highlight w:val="none"/>
        </w:rPr>
        <w:t xml:space="preserve"> </w:t>
      </w:r>
      <w:r>
        <w:rPr>
          <w:rFonts w:hint="default" w:ascii="Times New Roman" w:hAnsi="Times New Roman" w:eastAsia="方正楷体_GBK" w:cs="Times New Roman"/>
          <w:b w:val="0"/>
          <w:bCs/>
          <w:color w:val="000000"/>
          <w:kern w:val="36"/>
          <w:sz w:val="36"/>
          <w:szCs w:val="36"/>
          <w:highlight w:val="none"/>
          <w:lang w:val="en-US"/>
        </w:rPr>
        <w:t xml:space="preserve">     </w:t>
      </w:r>
      <w:r>
        <w:rPr>
          <w:rFonts w:hint="default" w:ascii="Times New Roman" w:hAnsi="Times New Roman" w:eastAsia="方正楷体_GBK" w:cs="Times New Roman"/>
          <w:b w:val="0"/>
          <w:bCs/>
          <w:color w:val="000000"/>
          <w:kern w:val="36"/>
          <w:sz w:val="32"/>
          <w:szCs w:val="32"/>
          <w:highlight w:val="none"/>
          <w:lang w:val="en-US"/>
        </w:rPr>
        <w:t xml:space="preserve"> </w:t>
      </w:r>
      <w:r>
        <w:rPr>
          <w:rFonts w:hint="default" w:ascii="Times New Roman" w:hAnsi="Times New Roman" w:eastAsia="方正楷体_GBK" w:cs="Times New Roman"/>
          <w:b w:val="0"/>
          <w:bCs/>
          <w:color w:val="000000"/>
          <w:kern w:val="36"/>
          <w:sz w:val="32"/>
          <w:szCs w:val="32"/>
          <w:highlight w:val="none"/>
        </w:rPr>
        <w:t>202</w:t>
      </w:r>
      <w:r>
        <w:rPr>
          <w:rFonts w:hint="eastAsia" w:ascii="Times New Roman" w:hAnsi="Times New Roman" w:eastAsia="方正楷体_GBK" w:cs="Times New Roman"/>
          <w:b w:val="0"/>
          <w:bCs/>
          <w:color w:val="000000"/>
          <w:kern w:val="36"/>
          <w:sz w:val="32"/>
          <w:szCs w:val="32"/>
          <w:highlight w:val="none"/>
          <w:lang w:val="en-US" w:eastAsia="zh-CN"/>
        </w:rPr>
        <w:t>6</w:t>
      </w:r>
      <w:r>
        <w:rPr>
          <w:rFonts w:hint="default" w:ascii="Times New Roman" w:hAnsi="Times New Roman" w:eastAsia="方正楷体_GBK" w:cs="Times New Roman"/>
          <w:b w:val="0"/>
          <w:bCs/>
          <w:color w:val="000000"/>
          <w:kern w:val="36"/>
          <w:sz w:val="32"/>
          <w:szCs w:val="32"/>
          <w:highlight w:val="none"/>
        </w:rPr>
        <w:t>年</w:t>
      </w:r>
      <w:r>
        <w:rPr>
          <w:rFonts w:hint="eastAsia" w:ascii="Times New Roman" w:hAnsi="Times New Roman" w:eastAsia="方正楷体_GBK" w:cs="Times New Roman"/>
          <w:b w:val="0"/>
          <w:bCs/>
          <w:color w:val="000000"/>
          <w:kern w:val="36"/>
          <w:sz w:val="32"/>
          <w:szCs w:val="32"/>
          <w:highlight w:val="none"/>
          <w:lang w:val="en-US" w:eastAsia="zh-CN"/>
        </w:rPr>
        <w:t>8</w:t>
      </w:r>
      <w:r>
        <w:rPr>
          <w:rFonts w:hint="default" w:ascii="Times New Roman" w:hAnsi="Times New Roman" w:eastAsia="方正楷体_GBK" w:cs="Times New Roman"/>
          <w:b w:val="0"/>
          <w:bCs/>
          <w:color w:val="000000"/>
          <w:kern w:val="36"/>
          <w:sz w:val="32"/>
          <w:szCs w:val="32"/>
          <w:highlight w:val="none"/>
        </w:rPr>
        <w:t>月</w:t>
      </w:r>
      <w:r>
        <w:rPr>
          <w:rFonts w:hint="eastAsia" w:ascii="Times New Roman" w:hAnsi="Times New Roman" w:eastAsia="方正楷体_GBK" w:cs="Times New Roman"/>
          <w:b w:val="0"/>
          <w:bCs/>
          <w:color w:val="000000"/>
          <w:kern w:val="36"/>
          <w:sz w:val="32"/>
          <w:szCs w:val="32"/>
          <w:highlight w:val="none"/>
          <w:lang w:val="en-US" w:eastAsia="zh-CN"/>
        </w:rPr>
        <w:t>31日</w:t>
      </w:r>
    </w:p>
    <w:p w14:paraId="1EE33D88">
      <w:pPr>
        <w:keepNext w:val="0"/>
        <w:keepLines w:val="0"/>
        <w:pageBreakBefore w:val="0"/>
        <w:widowControl/>
        <w:shd w:val="clear" w:color="auto" w:fill="FFFFFF"/>
        <w:kinsoku/>
        <w:wordWrap/>
        <w:overflowPunct/>
        <w:topLinePunct w:val="0"/>
        <w:autoSpaceDE/>
        <w:autoSpaceDN/>
        <w:bidi w:val="0"/>
        <w:adjustRightInd/>
        <w:snapToGrid/>
        <w:spacing w:before="435" w:beforeLines="150" w:after="210" w:line="240" w:lineRule="auto"/>
        <w:ind w:firstLine="424" w:firstLineChars="100"/>
        <w:jc w:val="both"/>
        <w:textAlignment w:val="auto"/>
        <w:outlineLvl w:val="1"/>
        <w:rPr>
          <w:rFonts w:hint="default" w:ascii="Times New Roman" w:hAnsi="Times New Roman" w:eastAsia="方正黑体_GBK" w:cs="Times New Roman"/>
          <w:b w:val="0"/>
          <w:bCs/>
          <w:color w:val="000000"/>
          <w:kern w:val="36"/>
          <w:sz w:val="24"/>
          <w:szCs w:val="24"/>
          <w:lang w:val="en-US" w:eastAsia="zh-CN"/>
        </w:rPr>
      </w:pPr>
      <w:r>
        <w:rPr>
          <w:rFonts w:hint="default" w:ascii="Times New Roman" w:hAnsi="Times New Roman" w:eastAsia="方正黑体_GBK" w:cs="Times New Roman"/>
          <w:b w:val="0"/>
          <w:bCs/>
          <w:color w:val="000000"/>
          <w:kern w:val="36"/>
          <w:sz w:val="44"/>
          <w:szCs w:val="44"/>
        </w:rPr>
        <w:t>目录</w:t>
      </w:r>
      <w:r>
        <w:rPr>
          <w:rFonts w:hint="default" w:ascii="Times New Roman" w:hAnsi="Times New Roman" w:eastAsia="方正黑体_GBK" w:cs="Times New Roman"/>
          <w:b w:val="0"/>
          <w:bCs/>
          <w:color w:val="000000"/>
          <w:kern w:val="36"/>
          <w:sz w:val="28"/>
          <w:szCs w:val="28"/>
          <w:lang w:val="en-US"/>
        </w:rPr>
        <w:t>CONTENTS</w:t>
      </w:r>
      <w:r>
        <w:rPr>
          <w:rFonts w:hint="default" w:ascii="Times New Roman" w:hAnsi="Times New Roman" w:eastAsia="方正黑体_GBK" w:cs="Times New Roman"/>
          <w:b w:val="0"/>
          <w:bCs/>
          <w:color w:val="000000"/>
          <w:kern w:val="36"/>
          <w:sz w:val="32"/>
          <w:szCs w:val="32"/>
          <w:lang w:val="en-US"/>
        </w:rPr>
        <w:t xml:space="preserve">  </w:t>
      </w:r>
      <w:r>
        <w:rPr>
          <w:rFonts w:hint="default" w:ascii="Times New Roman" w:hAnsi="Times New Roman" w:eastAsia="方正黑体_GBK" w:cs="Times New Roman"/>
          <w:b w:val="0"/>
          <w:bCs/>
          <w:color w:val="000000"/>
          <w:kern w:val="36"/>
          <w:sz w:val="24"/>
          <w:szCs w:val="24"/>
          <w:lang w:val="en-US" w:eastAsia="zh-CN"/>
        </w:rPr>
        <w:t>——————————————内部资料 免费赠阅</w:t>
      </w:r>
    </w:p>
    <w:p w14:paraId="2109D1CA">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528" w:firstLineChars="200"/>
        <w:contextualSpacing/>
        <w:jc w:val="left"/>
        <w:textAlignment w:val="auto"/>
        <w:outlineLvl w:val="1"/>
        <w:rPr>
          <w:rFonts w:hint="default" w:ascii="Times New Roman" w:hAnsi="Times New Roman" w:eastAsia="宋体" w:cs="Times New Roman"/>
          <w:b/>
          <w:color w:val="FF0000"/>
          <w:kern w:val="36"/>
          <w:sz w:val="24"/>
          <w:szCs w:val="24"/>
          <w:lang w:val="en-US" w:eastAsia="zh-CN"/>
        </w:rPr>
      </w:pPr>
      <w:r>
        <w:rPr>
          <w:rFonts w:hint="default" w:ascii="Times New Roman" w:hAnsi="Times New Roman" w:eastAsia="宋体" w:cs="Times New Roman"/>
          <w:b/>
          <w:color w:val="1F497D"/>
          <w:kern w:val="36"/>
          <w:sz w:val="28"/>
          <w:szCs w:val="28"/>
          <w:lang w:val="en-US" w:eastAsia="zh-CN"/>
          <w14:textFill>
            <w14:solidFill>
              <w14:srgbClr w14:val="1F497D">
                <w14:lumMod w14:val="60000"/>
                <w14:lumOff w14:val="40000"/>
              </w14:srgbClr>
            </w14:solidFill>
          </w14:textFill>
        </w:rPr>
        <w:t xml:space="preserve">• </w:t>
      </w:r>
      <w:r>
        <w:rPr>
          <w:rFonts w:hint="eastAsia" w:ascii="方正公文黑体" w:hAnsi="方正公文黑体" w:eastAsia="方正公文黑体" w:cs="方正公文黑体"/>
          <w:b w:val="0"/>
          <w:bCs/>
          <w:color w:val="1F497D"/>
          <w:kern w:val="36"/>
          <w:sz w:val="32"/>
          <w:szCs w:val="32"/>
          <w:lang w:val="en-US" w:eastAsia="zh-CN"/>
          <w14:textFill>
            <w14:solidFill>
              <w14:srgbClr w14:val="1F497D">
                <w14:lumMod w14:val="60000"/>
                <w14:lumOff w14:val="40000"/>
              </w14:srgbClr>
            </w14:solidFill>
          </w14:textFill>
        </w:rPr>
        <w:t>全球经贸分析</w:t>
      </w:r>
      <w:r>
        <w:rPr>
          <w:rFonts w:hint="default" w:ascii="Times New Roman" w:hAnsi="Times New Roman" w:eastAsia="方正黑体_GBK" w:cs="Times New Roman"/>
          <w:b/>
          <w:color w:val="1F497D"/>
          <w:kern w:val="36"/>
          <w:sz w:val="32"/>
          <w:szCs w:val="32"/>
          <w:lang w:val="en-US" w:eastAsia="zh-CN"/>
          <w14:textFill>
            <w14:solidFill>
              <w14:srgbClr w14:val="1F497D">
                <w14:lumMod w14:val="60000"/>
                <w14:lumOff w14:val="40000"/>
              </w14:srgbClr>
            </w14:solidFill>
          </w14:textFill>
        </w:rPr>
        <w:t xml:space="preserve"> </w:t>
      </w:r>
      <w:r>
        <w:rPr>
          <w:rFonts w:hint="default" w:ascii="Times New Roman" w:hAnsi="Times New Roman" w:eastAsia="宋体" w:cs="Times New Roman"/>
          <w:b/>
          <w:color w:val="1F497D"/>
          <w:kern w:val="36"/>
          <w:sz w:val="28"/>
          <w:szCs w:val="28"/>
          <w:lang w:val="en-US" w:eastAsia="zh-CN"/>
          <w14:textFill>
            <w14:solidFill>
              <w14:srgbClr w14:val="1F497D">
                <w14:lumMod w14:val="60000"/>
                <w14:lumOff w14:val="40000"/>
              </w14:srgbClr>
            </w14:solidFill>
          </w14:textFill>
        </w:rPr>
        <w:t>•</w:t>
      </w:r>
      <w:r>
        <w:rPr>
          <w:rFonts w:hint="default" w:ascii="Times New Roman" w:hAnsi="Times New Roman" w:eastAsia="宋体" w:cs="Times New Roman"/>
          <w:b/>
          <w:color w:val="00B0F0"/>
          <w:kern w:val="36"/>
          <w:sz w:val="36"/>
          <w:szCs w:val="36"/>
          <w:lang w:val="en-US" w:eastAsia="zh-CN"/>
        </w:rPr>
        <w:t xml:space="preserve"> </w:t>
      </w:r>
      <w:r>
        <w:rPr>
          <w:rFonts w:hint="default" w:ascii="Times New Roman" w:hAnsi="Times New Roman" w:eastAsia="宋体" w:cs="Times New Roman"/>
          <w:b/>
          <w:color w:val="FF0000"/>
          <w:kern w:val="36"/>
          <w:sz w:val="24"/>
          <w:szCs w:val="24"/>
          <w:lang w:val="en-US" w:eastAsia="zh-CN"/>
        </w:rPr>
        <w:t>‧‧‧‧‧‧‧‧‧‧‧‧‧‧‧‧‧‧‧‧‧‧‧‧‧‧‧‧‧‧‧‧‧‧‧‧‧‧‧‧‧‧‧‧‧‧‧‧‧‧‧‧‧‧‧‧‧‧‧‧‧‧‧‧‧‧‧‧‧‧‧‧‧‧‧‧‧‧‧‧‧‧‧‧‧‧‧‧‧‧‧‧‧‧‧</w:t>
      </w:r>
    </w:p>
    <w:p w14:paraId="5C963612">
      <w:pPr>
        <w:keepNext w:val="0"/>
        <w:keepLines w:val="0"/>
        <w:pageBreakBefore w:val="0"/>
        <w:widowControl w:val="0"/>
        <w:kinsoku/>
        <w:wordWrap/>
        <w:overflowPunct/>
        <w:topLinePunct w:val="0"/>
        <w:autoSpaceDE/>
        <w:autoSpaceDN/>
        <w:bidi w:val="0"/>
        <w:adjustRightInd/>
        <w:snapToGrid/>
        <w:spacing w:line="580" w:lineRule="exact"/>
        <w:ind w:right="0" w:rightChars="0" w:firstLine="488" w:firstLineChars="200"/>
        <w:jc w:val="both"/>
        <w:textAlignment w:val="auto"/>
        <w:outlineLvl w:val="9"/>
        <w:rPr>
          <w:rFonts w:hint="eastAsia" w:ascii="Times New Roman" w:hAnsi="Times New Roman" w:eastAsia="方正楷体_GBK" w:cs="Times New Roman"/>
          <w:b/>
          <w:bCs w:val="0"/>
          <w:color w:val="auto"/>
          <w:spacing w:val="-20"/>
          <w:kern w:val="36"/>
          <w:sz w:val="30"/>
          <w:szCs w:val="30"/>
          <w:lang w:val="en-US" w:eastAsia="zh-CN"/>
        </w:rPr>
      </w:pPr>
      <w:r>
        <w:rPr>
          <w:rFonts w:hint="eastAsia" w:ascii="Times New Roman" w:hAnsi="Times New Roman" w:eastAsia="方正楷体_GBK" w:cs="Times New Roman"/>
          <w:b/>
          <w:color w:val="auto"/>
          <w:spacing w:val="-20"/>
          <w:kern w:val="36"/>
          <w:sz w:val="30"/>
          <w:szCs w:val="30"/>
          <w:lang w:val="en-US" w:eastAsia="zh-CN"/>
        </w:rPr>
        <w:t>沃什的太极拳：美联储减少前瞻指引，能扛过这场多重危机吗？ /</w:t>
      </w:r>
      <w:r>
        <w:rPr>
          <w:rFonts w:hint="eastAsia" w:ascii="Times New Roman" w:hAnsi="Times New Roman" w:eastAsia="方正楷体_GBK" w:cs="Times New Roman"/>
          <w:b/>
          <w:bCs w:val="0"/>
          <w:color w:val="auto"/>
          <w:spacing w:val="-20"/>
          <w:kern w:val="36"/>
          <w:sz w:val="30"/>
          <w:szCs w:val="30"/>
          <w:lang w:val="en-US" w:eastAsia="zh-CN"/>
        </w:rPr>
        <w:t xml:space="preserve"> 02</w:t>
      </w:r>
    </w:p>
    <w:p w14:paraId="1D4E7DE4">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488" w:firstLineChars="200"/>
        <w:contextualSpacing/>
        <w:jc w:val="left"/>
        <w:textAlignment w:val="auto"/>
        <w:outlineLvl w:val="1"/>
        <w:rPr>
          <w:rFonts w:hint="default" w:ascii="Times New Roman" w:hAnsi="Times New Roman" w:eastAsia="方正楷体_GBK" w:cs="Times New Roman"/>
          <w:b/>
          <w:color w:val="auto"/>
          <w:spacing w:val="-20"/>
          <w:kern w:val="36"/>
          <w:sz w:val="30"/>
          <w:szCs w:val="30"/>
          <w:lang w:val="en-US" w:eastAsia="zh-CN"/>
        </w:rPr>
      </w:pPr>
      <w:r>
        <w:rPr>
          <w:rFonts w:hint="eastAsia" w:ascii="Times New Roman" w:hAnsi="Times New Roman" w:eastAsia="方正楷体_GBK" w:cs="Times New Roman"/>
          <w:b/>
          <w:color w:val="auto"/>
          <w:spacing w:val="-20"/>
          <w:kern w:val="36"/>
          <w:sz w:val="30"/>
          <w:szCs w:val="30"/>
          <w:lang w:val="en-US" w:eastAsia="zh-CN"/>
        </w:rPr>
        <w:t>非洲正在重构金融体系：从美元依赖到多元化结算  /14</w:t>
      </w:r>
    </w:p>
    <w:p w14:paraId="3F6412B9">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488" w:firstLineChars="200"/>
        <w:contextualSpacing/>
        <w:jc w:val="left"/>
        <w:textAlignment w:val="auto"/>
        <w:outlineLvl w:val="1"/>
        <w:rPr>
          <w:rFonts w:hint="default" w:ascii="Times New Roman" w:hAnsi="Times New Roman" w:eastAsia="方正楷体_GBK" w:cs="Times New Roman"/>
          <w:b/>
          <w:color w:val="auto"/>
          <w:spacing w:val="-20"/>
          <w:kern w:val="36"/>
          <w:sz w:val="30"/>
          <w:szCs w:val="30"/>
          <w:lang w:val="en-US" w:eastAsia="zh-CN"/>
        </w:rPr>
      </w:pPr>
      <w:r>
        <w:rPr>
          <w:rFonts w:hint="eastAsia" w:ascii="Times New Roman" w:hAnsi="Times New Roman" w:eastAsia="方正楷体_GBK" w:cs="Times New Roman"/>
          <w:b/>
          <w:color w:val="auto"/>
          <w:spacing w:val="-20"/>
          <w:kern w:val="36"/>
          <w:sz w:val="30"/>
          <w:szCs w:val="30"/>
          <w:lang w:val="en-US" w:eastAsia="zh-CN"/>
        </w:rPr>
        <w:t>非洲没有复制亚洲，却可能走出另一条路  /29</w:t>
      </w:r>
    </w:p>
    <w:p w14:paraId="121BC05F">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566"/>
        <w:contextualSpacing/>
        <w:jc w:val="both"/>
        <w:textAlignment w:val="auto"/>
        <w:outlineLvl w:val="1"/>
        <w:rPr>
          <w:rFonts w:hint="default" w:ascii="Times New Roman" w:hAnsi="Times New Roman" w:eastAsia="方正楷体_GBK" w:cs="Times New Roman"/>
          <w:b/>
          <w:color w:val="auto"/>
          <w:kern w:val="36"/>
          <w:sz w:val="30"/>
          <w:szCs w:val="30"/>
          <w:lang w:val="en-US" w:eastAsia="zh-CN"/>
        </w:rPr>
      </w:pPr>
      <w:r>
        <w:rPr>
          <w:rFonts w:hint="default" w:ascii="Times New Roman" w:hAnsi="Times New Roman" w:eastAsia="方正楷体_GBK" w:cs="Times New Roman"/>
          <w:b/>
          <w:color w:val="auto"/>
          <w:spacing w:val="-11"/>
          <w:kern w:val="36"/>
          <w:sz w:val="30"/>
          <w:szCs w:val="30"/>
          <w:lang w:val="en-US" w:eastAsia="zh-CN"/>
        </w:rPr>
        <w:t xml:space="preserve"> </w:t>
      </w:r>
      <w:bookmarkStart w:id="0" w:name="OLE_LINK12"/>
      <w:r>
        <w:rPr>
          <w:rFonts w:hint="eastAsia" w:ascii="Times New Roman" w:hAnsi="Times New Roman" w:eastAsia="方正楷体_GBK" w:cs="Times New Roman"/>
          <w:b/>
          <w:color w:val="auto"/>
          <w:spacing w:val="-11"/>
          <w:kern w:val="36"/>
          <w:sz w:val="30"/>
          <w:szCs w:val="30"/>
          <w:lang w:val="en-US" w:eastAsia="zh-CN"/>
        </w:rPr>
        <w:t xml:space="preserve"> </w:t>
      </w:r>
      <w:bookmarkEnd w:id="0"/>
    </w:p>
    <w:p w14:paraId="6B9B46C7">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608" w:firstLineChars="200"/>
        <w:contextualSpacing/>
        <w:jc w:val="left"/>
        <w:textAlignment w:val="auto"/>
        <w:outlineLvl w:val="1"/>
        <w:rPr>
          <w:rFonts w:hint="default" w:ascii="Times New Roman" w:hAnsi="Times New Roman" w:eastAsia="宋体" w:cs="Times New Roman"/>
          <w:b/>
          <w:color w:val="FF0000"/>
          <w:kern w:val="36"/>
          <w:sz w:val="32"/>
          <w:szCs w:val="32"/>
          <w:lang w:val="en-US" w:eastAsia="zh-CN"/>
        </w:rPr>
      </w:pPr>
      <w:r>
        <w:rPr>
          <w:rFonts w:hint="default" w:ascii="Times New Roman" w:hAnsi="Times New Roman" w:eastAsia="方正黑体_GBK" w:cs="Times New Roman"/>
          <w:b/>
          <w:color w:val="1F497D"/>
          <w:kern w:val="36"/>
          <w:sz w:val="32"/>
          <w:szCs w:val="32"/>
          <w:lang w:val="en-US" w:eastAsia="zh-CN"/>
          <w14:textFill>
            <w14:solidFill>
              <w14:srgbClr w14:val="1F497D">
                <w14:lumMod w14:val="60000"/>
                <w14:lumOff w14:val="40000"/>
              </w14:srgbClr>
            </w14:solidFill>
          </w14:textFill>
        </w:rPr>
        <w:t xml:space="preserve">• </w:t>
      </w:r>
      <w:r>
        <w:rPr>
          <w:rFonts w:hint="eastAsia" w:ascii="方正公文黑体" w:hAnsi="方正公文黑体" w:eastAsia="方正公文黑体" w:cs="方正公文黑体"/>
          <w:b w:val="0"/>
          <w:bCs/>
          <w:color w:val="1F497D"/>
          <w:kern w:val="36"/>
          <w:sz w:val="32"/>
          <w:szCs w:val="32"/>
          <w:lang w:val="en-US" w:eastAsia="zh-CN"/>
          <w14:textFill>
            <w14:solidFill>
              <w14:srgbClr w14:val="1F497D">
                <w14:lumMod w14:val="60000"/>
                <w14:lumOff w14:val="40000"/>
              </w14:srgbClr>
            </w14:solidFill>
          </w14:textFill>
        </w:rPr>
        <w:t>会员企业风采</w:t>
      </w:r>
      <w:r>
        <w:rPr>
          <w:rFonts w:hint="default" w:ascii="Times New Roman" w:hAnsi="Times New Roman" w:eastAsia="方正黑体_GBK" w:cs="Times New Roman"/>
          <w:b/>
          <w:color w:val="1F497D"/>
          <w:kern w:val="36"/>
          <w:sz w:val="32"/>
          <w:szCs w:val="32"/>
          <w:lang w:val="en-US" w:eastAsia="zh-CN"/>
          <w14:textFill>
            <w14:solidFill>
              <w14:srgbClr w14:val="1F497D">
                <w14:lumMod w14:val="60000"/>
                <w14:lumOff w14:val="40000"/>
              </w14:srgbClr>
            </w14:solidFill>
          </w14:textFill>
        </w:rPr>
        <w:t xml:space="preserve"> • </w:t>
      </w:r>
      <w:r>
        <w:rPr>
          <w:rFonts w:hint="default" w:ascii="Times New Roman" w:hAnsi="Times New Roman" w:eastAsia="宋体" w:cs="Times New Roman"/>
          <w:b/>
          <w:color w:val="FF0000"/>
          <w:kern w:val="36"/>
          <w:sz w:val="32"/>
          <w:szCs w:val="32"/>
          <w:lang w:val="en-US" w:eastAsia="zh-CN"/>
        </w:rPr>
        <w:t>‧‧‧‧‧‧‧‧‧‧‧‧‧‧‧‧‧‧‧‧‧‧‧‧‧‧‧‧‧‧‧‧‧‧‧‧‧‧‧‧‧‧‧‧‧‧‧‧‧‧‧‧‧‧‧‧‧‧‧‧‧‧‧</w:t>
      </w:r>
    </w:p>
    <w:p w14:paraId="77C1FFD4">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488" w:firstLineChars="200"/>
        <w:contextualSpacing/>
        <w:jc w:val="both"/>
        <w:textAlignment w:val="auto"/>
        <w:outlineLvl w:val="1"/>
        <w:rPr>
          <w:rFonts w:hint="default" w:ascii="Times New Roman" w:hAnsi="Times New Roman" w:eastAsia="方正楷体_GBK" w:cs="Times New Roman"/>
          <w:b/>
          <w:color w:val="auto"/>
          <w:spacing w:val="-11"/>
          <w:kern w:val="36"/>
          <w:sz w:val="30"/>
          <w:szCs w:val="30"/>
          <w:lang w:val="en-US" w:eastAsia="zh-CN"/>
        </w:rPr>
      </w:pPr>
      <w:r>
        <w:rPr>
          <w:rFonts w:hint="eastAsia" w:ascii="Times New Roman" w:hAnsi="Times New Roman" w:eastAsia="方正楷体_GBK" w:cs="Times New Roman"/>
          <w:b/>
          <w:color w:val="auto"/>
          <w:spacing w:val="-20"/>
          <w:kern w:val="36"/>
          <w:sz w:val="30"/>
          <w:szCs w:val="30"/>
          <w:lang w:val="en-US" w:eastAsia="zh-CN"/>
        </w:rPr>
        <w:t>中亿丰建设再次荣登ENR“全球最大250家国际承包商”</w:t>
      </w:r>
      <w:r>
        <w:rPr>
          <w:rFonts w:hint="eastAsia" w:ascii="Times New Roman" w:hAnsi="Times New Roman" w:eastAsia="方正楷体_GBK" w:cs="方正楷体_GBK"/>
          <w:b/>
          <w:color w:val="auto"/>
          <w:spacing w:val="0"/>
          <w:kern w:val="36"/>
          <w:sz w:val="30"/>
          <w:szCs w:val="30"/>
          <w:lang w:val="en-US" w:eastAsia="zh-CN"/>
        </w:rPr>
        <w:t xml:space="preserve"> /</w:t>
      </w:r>
      <w:r>
        <w:rPr>
          <w:rFonts w:hint="eastAsia" w:ascii="Times New Roman" w:hAnsi="Times New Roman" w:eastAsia="方正楷体_GBK" w:cs="Times New Roman"/>
          <w:b/>
          <w:color w:val="auto"/>
          <w:spacing w:val="-11"/>
          <w:kern w:val="36"/>
          <w:sz w:val="30"/>
          <w:szCs w:val="30"/>
          <w:lang w:val="en-US" w:eastAsia="zh-CN"/>
        </w:rPr>
        <w:t>48</w:t>
      </w:r>
    </w:p>
    <w:p w14:paraId="05B3173F">
      <w:pPr>
        <w:keepNext w:val="0"/>
        <w:keepLines w:val="0"/>
        <w:pageBreakBefore w:val="0"/>
        <w:widowControl/>
        <w:kinsoku/>
        <w:wordWrap/>
        <w:overflowPunct/>
        <w:topLinePunct w:val="0"/>
        <w:autoSpaceDE/>
        <w:autoSpaceDN/>
        <w:bidi w:val="0"/>
        <w:adjustRightInd/>
        <w:snapToGrid/>
        <w:ind w:firstLine="488" w:firstLineChars="200"/>
        <w:textAlignment w:val="auto"/>
        <w:outlineLvl w:val="9"/>
        <w:rPr>
          <w:rFonts w:hint="default" w:ascii="Times New Roman" w:hAnsi="Times New Roman" w:eastAsia="方正楷体_GBK" w:cs="Times New Roman"/>
          <w:b/>
          <w:color w:val="auto"/>
          <w:spacing w:val="-11"/>
          <w:kern w:val="36"/>
          <w:sz w:val="30"/>
          <w:szCs w:val="30"/>
          <w:lang w:val="en-US" w:eastAsia="zh-CN"/>
        </w:rPr>
      </w:pPr>
      <w:r>
        <w:rPr>
          <w:rFonts w:hint="default" w:ascii="Times New Roman" w:hAnsi="Times New Roman" w:eastAsia="方正楷体_GBK" w:cs="Times New Roman"/>
          <w:b/>
          <w:color w:val="auto"/>
          <w:spacing w:val="-20"/>
          <w:kern w:val="36"/>
          <w:sz w:val="30"/>
          <w:szCs w:val="30"/>
          <w:lang w:val="en-US" w:eastAsia="zh-CN"/>
        </w:rPr>
        <w:t>江苏省发酵食品生物制造重点实验室建设研讨会在</w:t>
      </w:r>
      <w:r>
        <w:rPr>
          <w:rFonts w:hint="eastAsia" w:ascii="Times New Roman" w:hAnsi="Times New Roman" w:eastAsia="方正楷体_GBK" w:cs="Times New Roman"/>
          <w:b/>
          <w:color w:val="auto"/>
          <w:spacing w:val="-20"/>
          <w:kern w:val="36"/>
          <w:sz w:val="30"/>
          <w:szCs w:val="30"/>
          <w:lang w:val="en-US" w:eastAsia="zh-CN"/>
        </w:rPr>
        <w:t>洋河股份</w:t>
      </w:r>
      <w:r>
        <w:rPr>
          <w:rFonts w:hint="default" w:ascii="Times New Roman" w:hAnsi="Times New Roman" w:eastAsia="方正楷体_GBK" w:cs="Times New Roman"/>
          <w:b/>
          <w:color w:val="auto"/>
          <w:spacing w:val="-20"/>
          <w:kern w:val="36"/>
          <w:sz w:val="30"/>
          <w:szCs w:val="30"/>
          <w:lang w:val="en-US" w:eastAsia="zh-CN"/>
        </w:rPr>
        <w:t>召开</w:t>
      </w:r>
      <w:r>
        <w:rPr>
          <w:rFonts w:hint="eastAsia" w:ascii="Times New Roman" w:hAnsi="Times New Roman" w:eastAsia="方正楷体_GBK" w:cs="Times New Roman"/>
          <w:b/>
          <w:color w:val="auto"/>
          <w:spacing w:val="-20"/>
          <w:kern w:val="36"/>
          <w:sz w:val="30"/>
          <w:szCs w:val="30"/>
          <w:lang w:val="en-US" w:eastAsia="zh-CN"/>
        </w:rPr>
        <w:t xml:space="preserve">  </w:t>
      </w:r>
      <w:r>
        <w:rPr>
          <w:rFonts w:hint="eastAsia" w:ascii="Times New Roman" w:hAnsi="Times New Roman" w:eastAsia="方正楷体_GBK" w:cs="Times New Roman"/>
          <w:b/>
          <w:color w:val="auto"/>
          <w:spacing w:val="-11"/>
          <w:kern w:val="36"/>
          <w:sz w:val="30"/>
          <w:szCs w:val="30"/>
          <w:lang w:val="en-US" w:eastAsia="zh-CN"/>
        </w:rPr>
        <w:t>/50</w:t>
      </w:r>
    </w:p>
    <w:p w14:paraId="5ED6037D">
      <w:pPr>
        <w:keepNext w:val="0"/>
        <w:keepLines w:val="0"/>
        <w:pageBreakBefore w:val="0"/>
        <w:widowControl/>
        <w:kinsoku/>
        <w:wordWrap/>
        <w:overflowPunct/>
        <w:topLinePunct w:val="0"/>
        <w:autoSpaceDE/>
        <w:autoSpaceDN/>
        <w:bidi w:val="0"/>
        <w:adjustRightInd/>
        <w:snapToGrid/>
        <w:ind w:firstLine="524" w:firstLineChars="200"/>
        <w:textAlignment w:val="auto"/>
        <w:outlineLvl w:val="9"/>
        <w:rPr>
          <w:rFonts w:hint="default" w:ascii="Times New Roman" w:hAnsi="Times New Roman" w:eastAsia="方正楷体_GBK" w:cs="Times New Roman"/>
          <w:b/>
          <w:color w:val="auto"/>
          <w:spacing w:val="-11"/>
          <w:kern w:val="36"/>
          <w:sz w:val="30"/>
          <w:szCs w:val="30"/>
          <w:lang w:val="en-US" w:eastAsia="zh-CN"/>
        </w:rPr>
      </w:pPr>
    </w:p>
    <w:p w14:paraId="085A8133">
      <w:pPr>
        <w:keepNext w:val="0"/>
        <w:keepLines w:val="0"/>
        <w:pageBreakBefore w:val="0"/>
        <w:widowControl/>
        <w:kinsoku/>
        <w:wordWrap/>
        <w:overflowPunct/>
        <w:topLinePunct w:val="0"/>
        <w:autoSpaceDE/>
        <w:autoSpaceDN/>
        <w:bidi w:val="0"/>
        <w:adjustRightInd/>
        <w:snapToGrid/>
        <w:ind w:firstLine="524" w:firstLineChars="200"/>
        <w:textAlignment w:val="auto"/>
        <w:outlineLvl w:val="9"/>
        <w:rPr>
          <w:rFonts w:hint="default" w:ascii="Times New Roman" w:hAnsi="Times New Roman" w:eastAsia="方正楷体_GBK" w:cs="Times New Roman"/>
          <w:b/>
          <w:color w:val="auto"/>
          <w:spacing w:val="-11"/>
          <w:kern w:val="36"/>
          <w:sz w:val="30"/>
          <w:szCs w:val="30"/>
          <w:lang w:val="en-US" w:eastAsia="zh-CN"/>
        </w:rPr>
      </w:pPr>
    </w:p>
    <w:p w14:paraId="6120BB26">
      <w:pPr>
        <w:keepNext w:val="0"/>
        <w:keepLines w:val="0"/>
        <w:pageBreakBefore w:val="0"/>
        <w:widowControl/>
        <w:kinsoku/>
        <w:wordWrap/>
        <w:overflowPunct/>
        <w:topLinePunct w:val="0"/>
        <w:autoSpaceDE/>
        <w:autoSpaceDN/>
        <w:bidi w:val="0"/>
        <w:adjustRightInd/>
        <w:snapToGrid/>
        <w:ind w:firstLine="524" w:firstLineChars="200"/>
        <w:textAlignment w:val="auto"/>
        <w:outlineLvl w:val="9"/>
        <w:rPr>
          <w:rFonts w:hint="default" w:ascii="Times New Roman" w:hAnsi="Times New Roman" w:eastAsia="方正楷体_GBK" w:cs="Times New Roman"/>
          <w:b/>
          <w:color w:val="auto"/>
          <w:spacing w:val="-11"/>
          <w:kern w:val="36"/>
          <w:sz w:val="30"/>
          <w:szCs w:val="30"/>
          <w:lang w:val="en-US" w:eastAsia="zh-CN"/>
        </w:rPr>
      </w:pPr>
      <w:bookmarkStart w:id="2" w:name="_GoBack"/>
      <w:bookmarkEnd w:id="2"/>
    </w:p>
    <w:p w14:paraId="3A6BEFA8">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eastAsia" w:ascii="Times New Roman" w:hAnsi="Times New Roman" w:eastAsia="经典行楷简" w:cs="Times New Roman"/>
          <w:b/>
          <w:color w:val="1F497D"/>
          <w:kern w:val="36"/>
          <w:sz w:val="96"/>
          <w:szCs w:val="96"/>
          <w:u w:val="none" w:color="BB120F"/>
          <w:lang w:val="en-US" w:eastAsia="zh-CN"/>
          <w14:textFill>
            <w14:solidFill>
              <w14:srgbClr w14:val="1F497D">
                <w14:lumMod w14:val="60000"/>
                <w14:lumOff w14:val="40000"/>
              </w14:srgbClr>
            </w14:solidFill>
          </w14:textFill>
        </w:rPr>
      </w:pPr>
      <w:r>
        <w:rPr>
          <w:rFonts w:hint="default" w:ascii="Times New Roman" w:hAnsi="Times New Roman" w:eastAsia="经典行楷简" w:cs="Times New Roman"/>
          <w:b/>
          <w:color w:val="1F497D"/>
          <w:kern w:val="36"/>
          <w:sz w:val="96"/>
          <w:szCs w:val="96"/>
          <w:u w:val="none" w:color="BB120F"/>
          <w:lang w:val="en-US" w:eastAsia="zh-CN"/>
          <w14:textFill>
            <w14:solidFill>
              <w14:srgbClr w14:val="1F497D">
                <w14:lumMod w14:val="60000"/>
                <w14:lumOff w14:val="40000"/>
              </w14:srgbClr>
            </w14:solidFill>
          </w14:textFill>
        </w:rPr>
        <w:t>全球</w:t>
      </w:r>
      <w:r>
        <w:rPr>
          <w:rFonts w:hint="eastAsia" w:ascii="Times New Roman" w:hAnsi="Times New Roman" w:eastAsia="经典行楷简" w:cs="Times New Roman"/>
          <w:b/>
          <w:color w:val="1F497D"/>
          <w:kern w:val="36"/>
          <w:sz w:val="96"/>
          <w:szCs w:val="96"/>
          <w:u w:val="none" w:color="BB120F"/>
          <w:lang w:val="en-US" w:eastAsia="zh-CN"/>
          <w14:textFill>
            <w14:solidFill>
              <w14:srgbClr w14:val="1F497D">
                <w14:lumMod w14:val="60000"/>
                <w14:lumOff w14:val="40000"/>
              </w14:srgbClr>
            </w14:solidFill>
          </w14:textFill>
        </w:rPr>
        <w:t>经贸分析</w:t>
      </w:r>
    </w:p>
    <w:p w14:paraId="40C5EB7A">
      <w:pPr>
        <w:keepNext w:val="0"/>
        <w:keepLines w:val="0"/>
        <w:pageBreakBefore w:val="0"/>
        <w:widowControl w:val="0"/>
        <w:kinsoku/>
        <w:wordWrap/>
        <w:overflowPunct/>
        <w:topLinePunct w:val="0"/>
        <w:autoSpaceDE/>
        <w:autoSpaceDN/>
        <w:bidi w:val="0"/>
        <w:adjustRightInd/>
        <w:snapToGrid/>
        <w:spacing w:line="500" w:lineRule="exact"/>
        <w:ind w:right="0" w:rightChars="0"/>
        <w:jc w:val="center"/>
        <w:textAlignment w:val="auto"/>
        <w:outlineLvl w:val="9"/>
        <w:rPr>
          <w:rFonts w:hint="eastAsia" w:ascii="方正小标宋_GBK" w:hAnsi="方正小标宋_GBK" w:eastAsia="方正小标宋_GBK" w:cs="方正小标宋_GBK"/>
          <w:b/>
          <w:bCs/>
          <w:color w:val="2E75B6" w:themeColor="accent1" w:themeShade="BF"/>
          <w:spacing w:val="-20"/>
          <w:sz w:val="44"/>
          <w:szCs w:val="44"/>
          <w:highlight w:val="none"/>
          <w:lang w:val="en-US" w:eastAsia="zh-CN"/>
        </w:rPr>
      </w:pPr>
    </w:p>
    <w:p w14:paraId="0157030B">
      <w:pPr>
        <w:keepNext w:val="0"/>
        <w:keepLines w:val="0"/>
        <w:pageBreakBefore w:val="0"/>
        <w:widowControl w:val="0"/>
        <w:kinsoku/>
        <w:wordWrap/>
        <w:overflowPunct/>
        <w:topLinePunct w:val="0"/>
        <w:autoSpaceDE/>
        <w:autoSpaceDN/>
        <w:bidi w:val="0"/>
        <w:adjustRightInd/>
        <w:snapToGrid/>
        <w:spacing w:line="580" w:lineRule="exact"/>
        <w:ind w:right="0" w:rightChars="0"/>
        <w:jc w:val="center"/>
        <w:textAlignment w:val="auto"/>
        <w:outlineLvl w:val="9"/>
        <w:rPr>
          <w:rFonts w:hint="eastAsia" w:ascii="方正小标宋_GBK" w:hAnsi="方正小标宋_GBK" w:eastAsia="方正小标宋_GBK" w:cs="方正小标宋_GBK"/>
          <w:b w:val="0"/>
          <w:bCs w:val="0"/>
          <w:sz w:val="44"/>
          <w:szCs w:val="44"/>
          <w:lang w:eastAsia="zh-CN"/>
        </w:rPr>
      </w:pPr>
      <w:r>
        <w:rPr>
          <w:rFonts w:hint="eastAsia" w:ascii="方正小标宋_GBK" w:hAnsi="方正小标宋_GBK" w:eastAsia="方正小标宋_GBK" w:cs="方正小标宋_GBK"/>
          <w:b/>
          <w:bCs/>
          <w:color w:val="2E75B6" w:themeColor="accent1" w:themeShade="BF"/>
          <w:spacing w:val="0"/>
          <w:sz w:val="44"/>
          <w:szCs w:val="44"/>
          <w:highlight w:val="none"/>
          <w:lang w:val="en-US" w:eastAsia="zh-CN"/>
        </w:rPr>
        <w:t>沃什的太极拳：美联储减少前瞻指引，能扛过这场多重危机吗？</w:t>
      </w:r>
    </w:p>
    <w:p w14:paraId="5A560B03">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p>
    <w:p w14:paraId="61AA6F68">
      <w:pPr>
        <w:keepNext w:val="0"/>
        <w:keepLines w:val="0"/>
        <w:pageBreakBefore w:val="0"/>
        <w:widowControl w:val="0"/>
        <w:kinsoku/>
        <w:wordWrap/>
        <w:overflowPunct/>
        <w:topLinePunct w:val="0"/>
        <w:autoSpaceDE/>
        <w:autoSpaceDN/>
        <w:bidi w:val="0"/>
        <w:adjustRightInd/>
        <w:snapToGrid/>
        <w:spacing w:line="500" w:lineRule="exact"/>
        <w:ind w:right="0" w:rightChars="0" w:firstLine="608" w:firstLineChars="200"/>
        <w:jc w:val="both"/>
        <w:textAlignment w:val="auto"/>
        <w:outlineLvl w:val="9"/>
        <w:rPr>
          <w:rFonts w:hint="eastAsia" w:ascii="方正黑体_GBK" w:hAnsi="方正黑体_GBK" w:eastAsia="方正黑体_GBK" w:cs="方正黑体_GBK"/>
          <w:b w:val="0"/>
          <w:bCs w:val="0"/>
          <w:sz w:val="32"/>
          <w:szCs w:val="32"/>
          <w:lang w:val="en-US" w:eastAsia="zh-CN"/>
        </w:rPr>
      </w:pPr>
      <w:r>
        <w:rPr>
          <w:rFonts w:hint="eastAsia" w:ascii="方正黑体_GBK" w:hAnsi="方正黑体_GBK" w:eastAsia="方正黑体_GBK" w:cs="方正黑体_GBK"/>
          <w:b w:val="0"/>
          <w:bCs w:val="0"/>
          <w:sz w:val="32"/>
          <w:szCs w:val="32"/>
          <w:lang w:val="en-US" w:eastAsia="zh-CN"/>
        </w:rPr>
        <w:t>摘要</w:t>
      </w:r>
      <w:r>
        <w:rPr>
          <w:rFonts w:hint="eastAsia" w:ascii="方正楷体_GBK" w:hAnsi="方正楷体_GBK" w:eastAsia="方正楷体_GBK" w:cs="方正楷体_GBK"/>
          <w:b w:val="0"/>
          <w:bCs w:val="0"/>
          <w:sz w:val="28"/>
          <w:szCs w:val="28"/>
          <w:lang w:val="en-US" w:eastAsia="zh-CN"/>
        </w:rPr>
        <w:t>：本文以美联储主席沃什上任后缩减前瞻指引、转向模糊化沟通的政策转向为研究对象，围绕多重风险叠加下央行沟通策略的选择与有效性展开探讨，属于货币政策理论、央行预期管理与金融稳定交叉研究领域。文章针对当前美国国债收益率走高、</w:t>
      </w:r>
      <w:r>
        <w:rPr>
          <w:rFonts w:hint="default" w:ascii="Times New Roman" w:hAnsi="Times New Roman" w:eastAsia="方正楷体_GBK" w:cs="Times New Roman"/>
          <w:b w:val="0"/>
          <w:bCs w:val="0"/>
          <w:sz w:val="28"/>
          <w:szCs w:val="28"/>
          <w:lang w:val="en-US" w:eastAsia="zh-CN"/>
        </w:rPr>
        <w:t>AI</w:t>
      </w:r>
      <w:r>
        <w:rPr>
          <w:rFonts w:hint="eastAsia" w:ascii="方正楷体_GBK" w:hAnsi="方正楷体_GBK" w:eastAsia="方正楷体_GBK" w:cs="方正楷体_GBK"/>
          <w:b w:val="0"/>
          <w:bCs w:val="0"/>
          <w:sz w:val="28"/>
          <w:szCs w:val="28"/>
          <w:lang w:val="en-US" w:eastAsia="zh-CN"/>
        </w:rPr>
        <w:t>板块杠杆风险暴露、地缘冲突推升通胀的复杂环境，梳理了央行沟通从早期沉默传统到前瞻指引成为主流政策工具的演变脉络，结合英央行与美联储过往案例剖析了过度明确的政策承诺如何反转为政策约束。研究进一步指出模糊策略的有效性高度依赖央行公信力，当前市场不确定性溢价上升可能放大波动，为研判美联储后续政策路径提供了历史参照与逻辑框架。</w:t>
      </w:r>
    </w:p>
    <w:p w14:paraId="5DDEF3CD">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黑体_GBK" w:hAnsi="方正黑体_GBK" w:eastAsia="方正黑体_GBK" w:cs="方正黑体_GBK"/>
          <w:b w:val="0"/>
          <w:bCs w:val="0"/>
          <w:sz w:val="32"/>
          <w:szCs w:val="32"/>
          <w:lang w:val="en-US" w:eastAsia="zh-CN"/>
        </w:rPr>
      </w:pPr>
    </w:p>
    <w:p w14:paraId="5D9506AC">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eastAsia" w:ascii="方正黑体_GBK" w:hAnsi="方正黑体_GBK" w:eastAsia="方正黑体_GBK" w:cs="方正黑体_GBK"/>
          <w:b w:val="0"/>
          <w:bCs w:val="0"/>
          <w:sz w:val="32"/>
          <w:szCs w:val="32"/>
          <w:lang w:val="en-US" w:eastAsia="zh-CN"/>
        </w:rPr>
        <w:t>正文</w:t>
      </w:r>
      <w:r>
        <w:rPr>
          <w:rFonts w:hint="eastAsia" w:ascii="Times New Roman" w:hAnsi="Times New Roman" w:eastAsia="方正仿宋_GBK" w:cs="Times New Roman"/>
          <w:b w:val="0"/>
          <w:bCs w:val="0"/>
          <w:sz w:val="32"/>
          <w:szCs w:val="32"/>
          <w:lang w:val="en-US" w:eastAsia="zh-CN"/>
        </w:rPr>
        <w:t>：</w:t>
      </w:r>
    </w:p>
    <w:p w14:paraId="55FCA68D">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default" w:ascii="Times New Roman" w:hAnsi="Times New Roman" w:eastAsia="方正仿宋_GBK" w:cs="Times New Roman"/>
          <w:b w:val="0"/>
          <w:bCs w:val="0"/>
          <w:sz w:val="32"/>
          <w:szCs w:val="32"/>
        </w:rPr>
        <w:t>7月下旬，</w:t>
      </w:r>
      <w:r>
        <w:rPr>
          <w:rFonts w:hint="eastAsia" w:ascii="方正仿宋_GBK" w:hAnsi="方正仿宋_GBK" w:eastAsia="方正仿宋_GBK" w:cs="方正仿宋_GBK"/>
          <w:b w:val="0"/>
          <w:bCs w:val="0"/>
          <w:sz w:val="32"/>
          <w:szCs w:val="32"/>
        </w:rPr>
        <w:t>凯文·沃什召开了他就任美联储主席以来的第二场新闻发布会。在场记者和市场分析师随后对这场发布会的评价明显偏负面：沃什的回答缺乏清晰的政策路径，甚至让市场人士感到困惑。</w:t>
      </w:r>
      <w:r>
        <w:rPr>
          <w:rFonts w:hint="default" w:ascii="Times New Roman" w:hAnsi="Times New Roman" w:eastAsia="方正仿宋_GBK" w:cs="Times New Roman"/>
          <w:b w:val="0"/>
          <w:bCs w:val="0"/>
          <w:sz w:val="32"/>
          <w:szCs w:val="32"/>
        </w:rPr>
        <w:t>Reuters会后报道</w:t>
      </w:r>
      <w:r>
        <w:rPr>
          <w:rFonts w:hint="eastAsia" w:ascii="方正仿宋_GBK" w:hAnsi="方正仿宋_GBK" w:eastAsia="方正仿宋_GBK" w:cs="方正仿宋_GBK"/>
          <w:b w:val="0"/>
          <w:bCs w:val="0"/>
          <w:sz w:val="32"/>
          <w:szCs w:val="32"/>
        </w:rPr>
        <w:t>援引市场人士指出，沃什没有给出明确的政策方向，债券市场因此难以判断美联储下一步将如何行动。</w:t>
      </w:r>
    </w:p>
    <w:p w14:paraId="1B27C312">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沃什上任后，美联储政策声明明显缩短，用来向市场暗示未来利率走向的“前瞻指引”也被主动删除。</w:t>
      </w:r>
      <w:r>
        <w:rPr>
          <w:rFonts w:hint="default" w:ascii="Times New Roman" w:hAnsi="Times New Roman" w:eastAsia="方正仿宋_GBK" w:cs="Times New Roman"/>
          <w:b w:val="0"/>
          <w:bCs w:val="0"/>
          <w:sz w:val="32"/>
          <w:szCs w:val="32"/>
        </w:rPr>
        <w:t>6月的</w:t>
      </w:r>
      <w:r>
        <w:rPr>
          <w:rFonts w:hint="eastAsia" w:ascii="方正仿宋_GBK" w:hAnsi="方正仿宋_GBK" w:eastAsia="方正仿宋_GBK" w:cs="方正仿宋_GBK"/>
          <w:b w:val="0"/>
          <w:bCs w:val="0"/>
          <w:sz w:val="32"/>
          <w:szCs w:val="32"/>
        </w:rPr>
        <w:t>一次会议上，他甚至没有提交自己的利率预测，还以“铅笔写的、随时可以擦掉”来调侃同僚们提交的利率预测。</w:t>
      </w:r>
    </w:p>
    <w:p w14:paraId="1269AD58">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按常理，目前正是市场最需要央行给出清晰信号、稳定预期的时刻。但沃什选择的，恰恰是相反的方向——用一种近乎“打太极”的方式，把未来利率路径更多交给“市场自己去判断”。</w:t>
      </w:r>
    </w:p>
    <w:p w14:paraId="230E1859">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这套做法，乍看甚至有些反常：在市场最需要明确指引的时候，央行却主动减少指引。但如果把它放进中央银行沟通策略近百年的演变史里看，会发现沃什其实是在有意识地复刻一套老办法——不说错话的最好办法，就是少说、少承诺。在当下这个风险因子相互叠加的时间点上，沃什这套“打太极”式的沟通策略，到底是深思熟虑的以柔克刚，还是一场正在酝酿中的沟通事故？</w:t>
      </w:r>
    </w:p>
    <w:p w14:paraId="2D79E881">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一、美联储当前面临的挑战</w:t>
      </w:r>
    </w:p>
    <w:p w14:paraId="2413A356">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沃什上任的这几个月，美国经济正在同时承受几股压力。</w:t>
      </w:r>
    </w:p>
    <w:p w14:paraId="4BF3683F">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eastAsia" w:ascii="方正仿宋_GBK" w:hAnsi="方正仿宋_GBK" w:eastAsia="方正仿宋_GBK" w:cs="方正仿宋_GBK"/>
          <w:b w:val="0"/>
          <w:bCs w:val="0"/>
          <w:sz w:val="32"/>
          <w:szCs w:val="32"/>
        </w:rPr>
        <w:t>国债市场已通过定价给出信号：今年以来，</w:t>
      </w:r>
      <w:r>
        <w:rPr>
          <w:rFonts w:hint="default" w:ascii="Times New Roman" w:hAnsi="Times New Roman" w:eastAsia="方正仿宋_GBK" w:cs="Times New Roman"/>
          <w:b w:val="0"/>
          <w:bCs w:val="0"/>
          <w:sz w:val="32"/>
          <w:szCs w:val="32"/>
        </w:rPr>
        <w:t>2年期、10年期、30年期国债收益率全线走高，其中30年期收益率一度攀升至19年新高——这个位置足以让市场联想起2007年金融危机前夕的紧绷感。</w:t>
      </w:r>
    </w:p>
    <w:p w14:paraId="11ABCB45">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与此同时，AI板块的高杠杆交易也开始暴露风险，一家规模一度高达450亿美元的对冲基金，因为4倍杠杆重仓AI基础设施股票，在6月底开始的回调中损失惨重并被迫清仓，资产骤降至约百亿美元。（这两条线索的具体数据和事件脉络，我们在另一篇专门讨论国债收益率与这起基金爆仓的文章里已经详细拆解，这里不再重复。）</w:t>
      </w:r>
    </w:p>
    <w:p w14:paraId="22289141">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除此之外，中东局势反复拉扯，持续推高国际油价；关税政策变化和新一轮贸易壁垒，也可能进一步推高进口成本和通胀压力，都在给本已顽固的通胀压力持续添柴加火。</w:t>
      </w:r>
    </w:p>
    <w:p w14:paraId="1C790901">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default" w:ascii="Times New Roman" w:hAnsi="Times New Roman" w:eastAsia="方正仿宋_GBK" w:cs="Times New Roman"/>
          <w:b w:val="0"/>
          <w:bCs w:val="0"/>
          <w:sz w:val="32"/>
          <w:szCs w:val="32"/>
        </w:rPr>
        <w:t>这几股压力叠加在一起，对央行的沟通能力构成了严峻考验：市场既担心通胀失控，又担心经济衰退，还担心金融泡沫破裂。货币政策因此成为所有风险变量的交汇点，</w:t>
      </w:r>
      <w:r>
        <w:rPr>
          <w:rFonts w:hint="eastAsia" w:ascii="方正仿宋_GBK" w:hAnsi="方正仿宋_GBK" w:eastAsia="方正仿宋_GBK" w:cs="方正仿宋_GBK"/>
          <w:b w:val="0"/>
          <w:bCs w:val="0"/>
          <w:sz w:val="32"/>
          <w:szCs w:val="32"/>
        </w:rPr>
        <w:t>美联储主席的任何一句表态，都可能被市场放大解读。偏偏在这个节骨眼上，沃什选择了“打太极”。</w:t>
      </w:r>
    </w:p>
    <w:p w14:paraId="331EE883">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二、不说错话的秘诀：老一辈央行行长的沉默传统</w:t>
      </w:r>
    </w:p>
    <w:p w14:paraId="351C5E88">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沃什这套做法，并不是他的独创，而是复刻了一套在20世纪很长一段时间里，曾经是中央银行标准操作的老办法。</w:t>
      </w:r>
    </w:p>
    <w:p w14:paraId="5A736834">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default" w:ascii="Times New Roman" w:hAnsi="Times New Roman" w:eastAsia="方正仿宋_GBK" w:cs="Times New Roman"/>
          <w:b w:val="0"/>
          <w:bCs w:val="0"/>
          <w:sz w:val="32"/>
          <w:szCs w:val="32"/>
        </w:rPr>
        <w:t>1920年至1944年</w:t>
      </w:r>
      <w:r>
        <w:rPr>
          <w:rFonts w:hint="eastAsia" w:ascii="方正仿宋_GBK" w:hAnsi="方正仿宋_GBK" w:eastAsia="方正仿宋_GBK" w:cs="方正仿宋_GBK"/>
          <w:b w:val="0"/>
          <w:bCs w:val="0"/>
          <w:sz w:val="32"/>
          <w:szCs w:val="32"/>
        </w:rPr>
        <w:t>执掌英国央行的蒙塔古·诺曼，以极少公开解释政策而闻名，其核心做法就是尽可能避免对未来作出明确承诺。</w:t>
      </w:r>
      <w:r>
        <w:rPr>
          <w:rFonts w:hint="eastAsia" w:ascii="方正仿宋_GBK" w:hAnsi="方正仿宋_GBK" w:eastAsia="方正仿宋_GBK" w:cs="方正仿宋_GBK"/>
          <w:b w:val="0"/>
          <w:bCs w:val="0"/>
          <w:sz w:val="32"/>
          <w:szCs w:val="32"/>
          <w:lang w:eastAsia="zh-CN"/>
        </w:rPr>
        <w:t>美联储前主席</w:t>
      </w:r>
      <w:r>
        <w:rPr>
          <w:rFonts w:hint="eastAsia" w:ascii="方正仿宋_GBK" w:hAnsi="方正仿宋_GBK" w:eastAsia="方正仿宋_GBK" w:cs="方正仿宋_GBK"/>
          <w:b w:val="0"/>
          <w:bCs w:val="0"/>
          <w:sz w:val="32"/>
          <w:szCs w:val="32"/>
        </w:rPr>
        <w:t>艾伦·格林斯潘则把这种模糊沟通发展成了一门艺术，市场甚至给这种难以捉摸的官方措辞起了一个专门的名字——“</w:t>
      </w:r>
      <w:r>
        <w:rPr>
          <w:rFonts w:hint="default" w:ascii="Times New Roman" w:hAnsi="Times New Roman" w:eastAsia="方正仿宋_GBK" w:cs="Times New Roman"/>
          <w:b w:val="0"/>
          <w:bCs w:val="0"/>
          <w:sz w:val="32"/>
          <w:szCs w:val="32"/>
        </w:rPr>
        <w:t>Greenspan-speak</w:t>
      </w:r>
      <w:r>
        <w:rPr>
          <w:rFonts w:hint="eastAsia" w:ascii="方正仿宋_GBK" w:hAnsi="方正仿宋_GBK" w:eastAsia="方正仿宋_GBK" w:cs="方正仿宋_GBK"/>
          <w:b w:val="0"/>
          <w:bCs w:val="0"/>
          <w:sz w:val="32"/>
          <w:szCs w:val="32"/>
        </w:rPr>
        <w:t>”，用来形容那种措辞晦涩、让市场很难准确判断政策意图的讲话方式。</w:t>
      </w:r>
    </w:p>
    <w:p w14:paraId="1A7373FA">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这种做法背后的逻辑并不复杂：央行既然无法准确预知未来，就没有必要把尚不确定的判断过早交给市场。保持一定程度的模糊性，既可以避免错误承诺，也能够为未来政策保留回旋空间。说得更直白一些，与其明确告诉市场“未来一定会怎么做”，然后在情况发生变化后被自己的承诺束缚，不如少</w:t>
      </w:r>
      <w:r>
        <w:rPr>
          <w:rFonts w:hint="eastAsia" w:ascii="方正仿宋_GBK" w:hAnsi="方正仿宋_GBK" w:eastAsia="方正仿宋_GBK" w:cs="方正仿宋_GBK"/>
          <w:b w:val="0"/>
          <w:bCs w:val="0"/>
          <w:sz w:val="32"/>
          <w:szCs w:val="32"/>
          <w:lang w:eastAsia="zh-CN"/>
        </w:rPr>
        <w:t>做</w:t>
      </w:r>
      <w:r>
        <w:rPr>
          <w:rFonts w:hint="eastAsia" w:ascii="方正仿宋_GBK" w:hAnsi="方正仿宋_GBK" w:eastAsia="方正仿宋_GBK" w:cs="方正仿宋_GBK"/>
          <w:b w:val="0"/>
          <w:bCs w:val="0"/>
          <w:sz w:val="32"/>
          <w:szCs w:val="32"/>
        </w:rPr>
        <w:t>承诺，让政策根据新的经济数据和形势变化随时调整。</w:t>
      </w:r>
    </w:p>
    <w:p w14:paraId="7467CBE3">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沃什如今的做法，看似激进，其实更像一次复古。更早时期的美联储甚至不会公开利率决议，当时的政策制定者认为，货币政策有时需要通过“出其不意”来发挥作用，过早向市场透露政策意图，反而可能削弱政策效果。也就是说，在中央银行沟通的早期阶段，“少说”并不是一种例外，而曾经是常态。</w:t>
      </w:r>
    </w:p>
    <w:p w14:paraId="2F4B0DBD">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三、清晰沟通为什么一度成为主流</w:t>
      </w:r>
    </w:p>
    <w:p w14:paraId="5A754065">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不过，央行沟通这套逻辑，后来发生了根本性的转向。</w:t>
      </w:r>
    </w:p>
    <w:p w14:paraId="5D01F368">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default" w:ascii="Times New Roman" w:hAnsi="Times New Roman" w:eastAsia="方正仿宋_GBK" w:cs="Times New Roman"/>
          <w:b w:val="0"/>
          <w:bCs w:val="0"/>
          <w:sz w:val="32"/>
          <w:szCs w:val="32"/>
        </w:rPr>
        <w:t>20世纪90年代末到21世纪初，美联储开始明显提高货币政策透明度。2000年起，美联储货币政策委员会（FOMC）开始更系统地公布对经济前景和风险的评估；2003</w:t>
      </w:r>
      <w:r>
        <w:rPr>
          <w:rFonts w:hint="eastAsia" w:ascii="方正仿宋_GBK" w:hAnsi="方正仿宋_GBK" w:eastAsia="方正仿宋_GBK" w:cs="方正仿宋_GBK"/>
          <w:b w:val="0"/>
          <w:bCs w:val="0"/>
          <w:sz w:val="32"/>
          <w:szCs w:val="32"/>
        </w:rPr>
        <w:t>年以后，“前瞻指引”逐渐成为影响市场预期的重要政策工具。</w:t>
      </w:r>
    </w:p>
    <w:p w14:paraId="39B8AC31">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简单来说，“前瞻指引”就是央行不仅告诉市场“现在的利率是多少”，还会主动透露“未来在什么条件下、可能如何调整利率”。它真正影响的并不是今天的利率本身，而是市场对未来利率的预期。比如，央行可以告诉市场，只要经济和通胀没有明显改善，未来一段时间仍会维持低利率。即使当天的政策利率一动不动，企业、居民和投资者也可能据此提前调整借贷、消费、投资和资产配置。</w:t>
      </w:r>
    </w:p>
    <w:p w14:paraId="02BEE2B6">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这套思路背后，有着严谨的理论支撑。哥伦比亚大学经济学家迈克尔·伍德福特强调，货币政策的效果很大程度上取决于市场对未来政策路径的预期。因为企业和居民真正关心的，并不只是今天这一刻的隔夜利率（短期利率），而是未来一段时间融资成本会如何变化。换句话说，央行不仅是在决定今天的利率，也是在通过影响市场预期，影响今天的经济行为。</w:t>
      </w:r>
    </w:p>
    <w:p w14:paraId="0C77C34D">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eastAsia" w:ascii="方正仿宋_GBK" w:hAnsi="方正仿宋_GBK" w:eastAsia="方正仿宋_GBK" w:cs="方正仿宋_GBK"/>
          <w:b w:val="0"/>
          <w:bCs w:val="0"/>
          <w:sz w:val="32"/>
          <w:szCs w:val="32"/>
        </w:rPr>
        <w:t>这就使“前瞻指引”成为一种看起来成本很低的政策工具：央行不需要立即调整利率，只要改变对未来政策路径的表述，就可能让市场提前调整行为。尤其是在</w:t>
      </w:r>
      <w:r>
        <w:rPr>
          <w:rFonts w:hint="default" w:ascii="Times New Roman" w:hAnsi="Times New Roman" w:eastAsia="方正仿宋_GBK" w:cs="Times New Roman"/>
          <w:b w:val="0"/>
          <w:bCs w:val="0"/>
          <w:sz w:val="32"/>
          <w:szCs w:val="32"/>
        </w:rPr>
        <w:t>2007年至2009年全球金融危机之后，各国央行的政策利率纷纷逼近零点，传统的降息空间越来越有限，前瞻指引因此变得更加重要。央行开始反复向市场承诺，即使经济逐步回暖，只要就业和通胀等条件尚未达到要求，利率也会继续维持在低位。</w:t>
      </w:r>
    </w:p>
    <w:p w14:paraId="7A03896B">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在这一时期，美联储不断强化这种沟通方式。2011年8月，FOMC明确表示，预计联邦基金利率（FFR，政</w:t>
      </w:r>
      <w:r>
        <w:rPr>
          <w:rFonts w:hint="eastAsia" w:ascii="方正仿宋_GBK" w:hAnsi="方正仿宋_GBK" w:eastAsia="方正仿宋_GBK" w:cs="方正仿宋_GBK"/>
          <w:b w:val="0"/>
          <w:bCs w:val="0"/>
          <w:sz w:val="32"/>
          <w:szCs w:val="32"/>
        </w:rPr>
        <w:t>策利率）将在“至少到</w:t>
      </w:r>
      <w:r>
        <w:rPr>
          <w:rFonts w:hint="default" w:ascii="Times New Roman" w:hAnsi="Times New Roman" w:eastAsia="方正仿宋_GBK" w:cs="Times New Roman"/>
          <w:b w:val="0"/>
          <w:bCs w:val="0"/>
          <w:sz w:val="32"/>
          <w:szCs w:val="32"/>
        </w:rPr>
        <w:t>2013</w:t>
      </w:r>
      <w:r>
        <w:rPr>
          <w:rFonts w:hint="eastAsia" w:ascii="方正仿宋_GBK" w:hAnsi="方正仿宋_GBK" w:eastAsia="方正仿宋_GBK" w:cs="方正仿宋_GBK"/>
          <w:b w:val="0"/>
          <w:bCs w:val="0"/>
          <w:sz w:val="32"/>
          <w:szCs w:val="32"/>
        </w:rPr>
        <w:t>年年中”维持异常低的水平</w:t>
      </w:r>
      <w:r>
        <w:rPr>
          <w:rFonts w:hint="default" w:ascii="Times New Roman" w:hAnsi="Times New Roman" w:eastAsia="方正仿宋_GBK" w:cs="Times New Roman"/>
          <w:b w:val="0"/>
          <w:bCs w:val="0"/>
          <w:sz w:val="32"/>
          <w:szCs w:val="32"/>
        </w:rPr>
        <w:t>；2012年1月，FOMC又将这</w:t>
      </w:r>
      <w:r>
        <w:rPr>
          <w:rFonts w:hint="eastAsia" w:ascii="方正仿宋_GBK" w:hAnsi="方正仿宋_GBK" w:eastAsia="方正仿宋_GBK" w:cs="方正仿宋_GBK"/>
          <w:b w:val="0"/>
          <w:bCs w:val="0"/>
          <w:sz w:val="32"/>
          <w:szCs w:val="32"/>
        </w:rPr>
        <w:t>一表述进一步延长至“至少到</w:t>
      </w:r>
      <w:r>
        <w:rPr>
          <w:rFonts w:hint="default" w:ascii="Times New Roman" w:hAnsi="Times New Roman" w:eastAsia="方正仿宋_GBK" w:cs="Times New Roman"/>
          <w:b w:val="0"/>
          <w:bCs w:val="0"/>
          <w:sz w:val="32"/>
          <w:szCs w:val="32"/>
        </w:rPr>
        <w:t>2014</w:t>
      </w:r>
      <w:r>
        <w:rPr>
          <w:rFonts w:hint="eastAsia" w:ascii="方正仿宋_GBK" w:hAnsi="方正仿宋_GBK" w:eastAsia="方正仿宋_GBK" w:cs="方正仿宋_GBK"/>
          <w:b w:val="0"/>
          <w:bCs w:val="0"/>
          <w:sz w:val="32"/>
          <w:szCs w:val="32"/>
        </w:rPr>
        <w:t>年末”。</w:t>
      </w:r>
    </w:p>
    <w:p w14:paraId="4D986BA2">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default" w:ascii="Times New Roman" w:hAnsi="Times New Roman" w:eastAsia="方正仿宋_GBK" w:cs="Times New Roman"/>
          <w:b w:val="0"/>
          <w:bCs w:val="0"/>
          <w:sz w:val="32"/>
          <w:szCs w:val="32"/>
        </w:rPr>
        <w:t>同样是在2012年，美联储开始公开发布FOMC成员对未来FFR的个人预测，</w:t>
      </w:r>
      <w:r>
        <w:rPr>
          <w:rFonts w:hint="eastAsia" w:ascii="方正仿宋_GBK" w:hAnsi="方正仿宋_GBK" w:eastAsia="方正仿宋_GBK" w:cs="方正仿宋_GBK"/>
          <w:b w:val="0"/>
          <w:bCs w:val="0"/>
          <w:sz w:val="32"/>
          <w:szCs w:val="32"/>
        </w:rPr>
        <w:t>即后来市场熟知的“点阵图”</w:t>
      </w:r>
      <w:r>
        <w:rPr>
          <w:rFonts w:hint="default" w:ascii="Times New Roman" w:hAnsi="Times New Roman" w:eastAsia="方正仿宋_GBK" w:cs="Times New Roman"/>
          <w:b w:val="0"/>
          <w:bCs w:val="0"/>
          <w:sz w:val="32"/>
          <w:szCs w:val="32"/>
        </w:rPr>
        <w:t>（dot plot）</w:t>
      </w:r>
      <w:r>
        <w:rPr>
          <w:rFonts w:hint="eastAsia" w:ascii="方正仿宋_GBK" w:hAnsi="方正仿宋_GBK" w:eastAsia="方正仿宋_GBK" w:cs="方正仿宋_GBK"/>
          <w:b w:val="0"/>
          <w:bCs w:val="0"/>
          <w:sz w:val="32"/>
          <w:szCs w:val="32"/>
        </w:rPr>
        <w:t>。它把原本只存在于央行内部的政策判断，进一步呈现在公众面前，让市场能够直接看到不同决策者对未来利率路径的判断。</w:t>
      </w:r>
    </w:p>
    <w:p w14:paraId="5C6CADFE">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从这里开始，美联储的政策沟通逻辑发生了一个重要变化：央行不再只是告诉市场“我们今天做什么”，而是开始主动告诉市场“我们未来可能怎么做”。</w:t>
      </w:r>
    </w:p>
    <w:p w14:paraId="0FB9AD3B">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而这套做法的核心目的只有一个：通过管理预期，影响今天的经济行为。</w:t>
      </w:r>
    </w:p>
    <w:p w14:paraId="39364B41">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四、从政策工具到政策约束：前瞻指引的另一面</w:t>
      </w:r>
    </w:p>
    <w:p w14:paraId="3854CB45">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明确的时间表、公开的点阵图，某种意义上，就是央行向市场作出的政策承诺。即便央行自己想保留一些回旋余地，市场也可能把这些信号理解得比央行原本希望的更加确定。就好比一个人提前把话放了出去，后面即便情况发生变化，也很难轻易反悔，否则就容易损害自己的政策信誉。</w:t>
      </w:r>
    </w:p>
    <w:p w14:paraId="2AC1CA4E">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前瞻指引的优势与风险其实是一体两面：它之所以能够影响市场，正是因为市场相信央行的承诺；但也正因为承诺必须可信，一旦经济环境发生变化，过去说出去的话就可能反过来约束政策。</w:t>
      </w:r>
    </w:p>
    <w:p w14:paraId="3871824D">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这里有两个具体的例子，足以说明“话说得太满”会带来什么后果。</w:t>
      </w:r>
    </w:p>
    <w:p w14:paraId="188908F4">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第一个来自英国央行。</w:t>
      </w:r>
    </w:p>
    <w:p w14:paraId="34A9FD54">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2013年，</w:t>
      </w:r>
      <w:r>
        <w:rPr>
          <w:rFonts w:hint="eastAsia" w:ascii="方正仿宋_GBK" w:hAnsi="方正仿宋_GBK" w:eastAsia="方正仿宋_GBK" w:cs="方正仿宋_GBK"/>
          <w:b w:val="0"/>
          <w:bCs w:val="0"/>
          <w:sz w:val="32"/>
          <w:szCs w:val="32"/>
        </w:rPr>
        <w:t>时任行长马克·卡尼曾以</w:t>
      </w:r>
      <w:r>
        <w:rPr>
          <w:rFonts w:hint="default" w:ascii="Times New Roman" w:hAnsi="Times New Roman" w:eastAsia="方正仿宋_GBK" w:cs="Times New Roman"/>
          <w:b w:val="0"/>
          <w:bCs w:val="0"/>
          <w:sz w:val="32"/>
          <w:szCs w:val="32"/>
        </w:rPr>
        <w:t>7%的失业率作为重要门槛，表示在失业率仍高于这一水平时，不会考虑收紧货币政策，除非通胀等其他条件触发例外条款。结果英国经济复苏速度快于预期，失业率比央行原先预计更快接近7%阈值，市场由此开始提前交易加息预期，迫使英国央行不断重新解释这套指引的含义。</w:t>
      </w:r>
    </w:p>
    <w:p w14:paraId="47835BBD">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第二个例子，就发生在美联储自己身上。</w:t>
      </w:r>
    </w:p>
    <w:p w14:paraId="65A1C41C">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2020年9月，美联储</w:t>
      </w:r>
      <w:r>
        <w:rPr>
          <w:rFonts w:hint="eastAsia" w:ascii="方正仿宋_GBK" w:hAnsi="方正仿宋_GBK" w:eastAsia="方正仿宋_GBK" w:cs="方正仿宋_GBK"/>
          <w:b w:val="0"/>
          <w:bCs w:val="0"/>
          <w:sz w:val="32"/>
          <w:szCs w:val="32"/>
        </w:rPr>
        <w:t>在调整货币政策框架后，明确给出了新的前瞻指引：只有当就业市场达到与“最大就业”相符的水平、通胀升至</w:t>
      </w:r>
      <w:r>
        <w:rPr>
          <w:rFonts w:hint="default" w:ascii="Times New Roman" w:hAnsi="Times New Roman" w:eastAsia="方正仿宋_GBK" w:cs="Times New Roman"/>
          <w:b w:val="0"/>
          <w:bCs w:val="0"/>
          <w:sz w:val="32"/>
          <w:szCs w:val="32"/>
        </w:rPr>
        <w:t>2%，并且有望在一段时间内适度超过2%时，才会考虑提高联邦基金利率。进入2021年，美联储继续沿用这一指引。换句话说，美联储实际上提前向市场传递了一个清晰信号：在就业和通胀尚未达到这些条件之前，即使经济开始恢复，也不会轻易启动加息。</w:t>
      </w:r>
    </w:p>
    <w:p w14:paraId="39F6DF3E">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问题在于，经济复苏和通胀变化后来明显快于美联储最初的判断。2021年</w:t>
      </w:r>
      <w:r>
        <w:rPr>
          <w:rFonts w:hint="eastAsia" w:ascii="方正仿宋_GBK" w:hAnsi="方正仿宋_GBK" w:eastAsia="方正仿宋_GBK" w:cs="方正仿宋_GBK"/>
          <w:b w:val="0"/>
          <w:bCs w:val="0"/>
          <w:sz w:val="32"/>
          <w:szCs w:val="32"/>
        </w:rPr>
        <w:t>下半年，美国通胀持续攀升，就业市场也在快速改善，但按照此前设定的政策条件，美联储仍需要不断判断“最大就业”是否已经实现、通胀是否具有持续性。随着能源、供应链和需求等因素共同推高物价，原本为稳定市场预期而设计的前瞻指引，反而提高了美联储退出低利率政策的门槛。直</w:t>
      </w:r>
      <w:r>
        <w:rPr>
          <w:rFonts w:hint="default" w:ascii="Times New Roman" w:hAnsi="Times New Roman" w:eastAsia="方正仿宋_GBK" w:cs="Times New Roman"/>
          <w:b w:val="0"/>
          <w:bCs w:val="0"/>
          <w:sz w:val="32"/>
          <w:szCs w:val="32"/>
        </w:rPr>
        <w:t>到2021年11月，美联储才明显加快政策转向，开始加速缩减购债，并为随后启动加息做准备。</w:t>
      </w:r>
    </w:p>
    <w:p w14:paraId="4C9697F9">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后来，美联储官员也多次反思这一经历：当前瞻指引过于具体、过于强调未来政策路径时，一旦经济环境发生快速变化，央行就可能受到此前承诺的约束，调整政策的速度反而不够快。</w:t>
      </w:r>
    </w:p>
    <w:p w14:paraId="6F7BCF3A">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default" w:ascii="Times New Roman" w:hAnsi="Times New Roman" w:eastAsia="方正仿宋_GBK" w:cs="Times New Roman"/>
          <w:b w:val="0"/>
          <w:bCs w:val="0"/>
          <w:sz w:val="32"/>
          <w:szCs w:val="32"/>
        </w:rPr>
        <w:t>当然，这并不意味着2021</w:t>
      </w:r>
      <w:r>
        <w:rPr>
          <w:rFonts w:hint="eastAsia" w:ascii="方正仿宋_GBK" w:hAnsi="方正仿宋_GBK" w:eastAsia="方正仿宋_GBK" w:cs="方正仿宋_GBK"/>
          <w:b w:val="0"/>
          <w:bCs w:val="0"/>
          <w:sz w:val="32"/>
          <w:szCs w:val="32"/>
        </w:rPr>
        <w:t>年的高通胀是由前瞻指引单独造成的，更不能把美联储当时的政策失误简单归结为“说错了一句话”。真正值得注意的是：前瞻指引原本是为了让市场相信美联储不会过早收紧货币政策，但当通胀突然比预期更快、更持久地上升时，这种可信的承诺又反过来增加了政策转向的难度。</w:t>
      </w:r>
    </w:p>
    <w:p w14:paraId="4F268E97">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从沃什目前的政策沟通方式看，他显然更加警惕过度明确的前瞻指引可能带来的副作用——既然“说得太清楚”可能让央行在未来被自己的承诺束缚，那么最安全的做法，似乎就是少作承诺，把更多对未来利率路径的判断留给市场自己去形成。</w:t>
      </w:r>
    </w:p>
    <w:p w14:paraId="50D18862">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五、把判断交给市场，同样存在风险</w:t>
      </w:r>
    </w:p>
    <w:p w14:paraId="623ECB48">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沃什这套“以退为进”的逻辑，乍听有道理，但经不起细究，因为它建立在一个过于乐观的假设上——市场价格并不是一个纯粹、客观的基本面信号。它既反映经济基本面的变化，也反映投资者对未来货币政策、经济增长和风险的预期。放在当下的具体情境里，市场价格还可能掺杂另一层噪音：投资者正在为沃什这套全新的、陌生的沉默式管理风格要求更高的不确定性补偿。换句话说，眼下的市场波动，未必完全来自经济基本面的恶化，也可能有相当一部分来自投资者对政策方向的困惑；而这种恐慌又可能反过来被市场解读为“经济真的不妙”，进一步放大市场波动，形成自我强化的循环。</w:t>
      </w:r>
    </w:p>
    <w:p w14:paraId="3C634B37">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减少承诺、保持克制，并不意味着市场就会因此更加稳定。身居央行掌门人这个位置，发言分量的重心，从来不在于说了多少字，而在于这些话背后有没有足够的公信力撑腰。两个历史案例可以说明这一点。</w:t>
      </w:r>
    </w:p>
    <w:p w14:paraId="15064A54">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lang w:eastAsia="zh-CN"/>
        </w:rPr>
        <w:t>20世纪90年代</w:t>
      </w:r>
      <w:r>
        <w:rPr>
          <w:rFonts w:hint="default" w:ascii="Times New Roman" w:hAnsi="Times New Roman" w:eastAsia="方正仿宋_GBK" w:cs="Times New Roman"/>
          <w:b w:val="0"/>
          <w:bCs w:val="0"/>
          <w:sz w:val="32"/>
          <w:szCs w:val="32"/>
        </w:rPr>
        <w:t>中期</w:t>
      </w:r>
      <w:r>
        <w:rPr>
          <w:rFonts w:hint="eastAsia" w:ascii="方正仿宋_GBK" w:hAnsi="方正仿宋_GBK" w:eastAsia="方正仿宋_GBK" w:cs="方正仿宋_GBK"/>
          <w:b w:val="0"/>
          <w:bCs w:val="0"/>
          <w:sz w:val="32"/>
          <w:szCs w:val="32"/>
        </w:rPr>
        <w:t>，美国政府希望维持美元强势，市场则持续猜测政府是否会为了提振出口而容忍美元贬值。时任美国财政部长罗伯特·鲁宾，反复用一句“强势美元符合美国利益”</w:t>
      </w:r>
      <w:r>
        <w:rPr>
          <w:rFonts w:hint="default" w:ascii="Times New Roman" w:hAnsi="Times New Roman" w:eastAsia="方正仿宋_GBK" w:cs="Times New Roman"/>
          <w:b w:val="0"/>
          <w:bCs w:val="0"/>
          <w:sz w:val="32"/>
          <w:szCs w:val="32"/>
        </w:rPr>
        <w:t>（a strong dollar is in the United States interest）的简短表态，向市场传递明确的政策信号。这句话没有给出任何具体汇率目标，却成为市场判断美国汇率政策的重要依据，美元随后持续走强。</w:t>
      </w:r>
    </w:p>
    <w:p w14:paraId="14B576AF">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default" w:ascii="Times New Roman" w:hAnsi="Times New Roman" w:eastAsia="方正仿宋_GBK" w:cs="Times New Roman"/>
          <w:b w:val="0"/>
          <w:bCs w:val="0"/>
          <w:sz w:val="32"/>
          <w:szCs w:val="32"/>
        </w:rPr>
        <w:t>2012年欧债危机最紧张的阶段，时任欧洲央行行长马里奥·德拉吉则给出了更经典的例子。当时市场担心西班牙、意大利等国的债务危机进一步扩散，甚至出现欧元区解体的担忧。7月26日，</w:t>
      </w:r>
      <w:r>
        <w:rPr>
          <w:rFonts w:hint="eastAsia" w:ascii="方正仿宋_GBK" w:hAnsi="方正仿宋_GBK" w:eastAsia="方正仿宋_GBK" w:cs="方正仿宋_GBK"/>
          <w:b w:val="0"/>
          <w:bCs w:val="0"/>
          <w:sz w:val="32"/>
          <w:szCs w:val="32"/>
        </w:rPr>
        <w:t>德拉吉明确表示，欧洲央行将在职责范围内“不惜一切代价”维护欧元。这句话没有公布具体操作细节，却迅速成为稳定市场预期的重要信号；随后欧洲央行推出</w:t>
      </w:r>
      <w:r>
        <w:rPr>
          <w:rFonts w:hint="default" w:ascii="Times New Roman" w:hAnsi="Times New Roman" w:eastAsia="方正仿宋_GBK" w:cs="Times New Roman"/>
          <w:b w:val="0"/>
          <w:bCs w:val="0"/>
          <w:sz w:val="32"/>
          <w:szCs w:val="32"/>
        </w:rPr>
        <w:t>OMT购债框架，为这一承诺提供了</w:t>
      </w:r>
      <w:r>
        <w:rPr>
          <w:rFonts w:hint="eastAsia" w:ascii="方正仿宋_GBK" w:hAnsi="方正仿宋_GBK" w:eastAsia="方正仿宋_GBK" w:cs="方正仿宋_GBK"/>
          <w:b w:val="0"/>
          <w:bCs w:val="0"/>
          <w:sz w:val="32"/>
          <w:szCs w:val="32"/>
        </w:rPr>
        <w:t>具体的政策工具。</w:t>
      </w:r>
    </w:p>
    <w:p w14:paraId="217EDEC7">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两个案例的共同点在于，真正发挥作用的并不是话说得有多复杂，而是市场相信说话人背后的机构有能力</w:t>
      </w:r>
      <w:r>
        <w:rPr>
          <w:rFonts w:hint="eastAsia" w:ascii="方正仿宋_GBK" w:hAnsi="方正仿宋_GBK" w:eastAsia="方正仿宋_GBK" w:cs="方正仿宋_GBK"/>
          <w:b w:val="0"/>
          <w:bCs w:val="0"/>
          <w:sz w:val="32"/>
          <w:szCs w:val="32"/>
          <w:lang w:eastAsia="zh-CN"/>
        </w:rPr>
        <w:t>，也</w:t>
      </w:r>
      <w:r>
        <w:rPr>
          <w:rFonts w:hint="eastAsia" w:ascii="方正仿宋_GBK" w:hAnsi="方正仿宋_GBK" w:eastAsia="方正仿宋_GBK" w:cs="方正仿宋_GBK"/>
          <w:b w:val="0"/>
          <w:bCs w:val="0"/>
          <w:sz w:val="32"/>
          <w:szCs w:val="32"/>
        </w:rPr>
        <w:t>有意愿兑现承诺。</w:t>
      </w:r>
    </w:p>
    <w:p w14:paraId="50656967">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反观如今的沃什，他反复强调美联储同样无法准确预知未来，这种近乎坦白的谦逊姿态，消耗的反而可能是市场对政策路径的确定性预期。近期，路透社也指出，沃什减少前瞻指引虽然意在让市场更多依赖经济基本面自行定价，但投资者担心，这种做法可能增加市场不确定性和融资成本。</w:t>
      </w:r>
    </w:p>
    <w:p w14:paraId="19904BC1">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沉默本身从来不是问题，信誉不够的沉默，才是问题。</w:t>
      </w:r>
    </w:p>
    <w:p w14:paraId="07AFF1A1">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回到开篇那场让记者和市场人士感到困惑的新闻发布会。沃什正在尝试恢复的，是一种更少承诺、更少主动引导市场预期的央行沟通方式。但他可能忽略了一个关键前提：蒙塔古·诺曼依靠沉默和神秘感，格林斯潘则依靠含蓄和模糊，两者能够发挥作用的共同基础，都不是沉默本身，而是市场对央行信誉的长期信任。这份信任是多年政策实践积累下来的资本，不是新任主席上任后就可以直接支取的存款。</w:t>
      </w:r>
    </w:p>
    <w:p w14:paraId="2458060F">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沃什现在选择的，是在市场对他的政策风格和反应函数尚未形成稳定预期的时候，减少前瞻指引，把更多判断交给市场。这个策略究竟能否奏效，关键不在于他说多少话，而在于市场能否相信：即使他不告诉市场下一步具体怎么做，一旦通胀、就业或者金融市场真正发生变化，美联储仍然会及时、清晰地采取行动。</w:t>
      </w:r>
    </w:p>
    <w:p w14:paraId="370CF55F">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《金融时报》近期对沃什策略的讨论也指出，减少前瞻指引的确可能让市场重新获得更多独立定价空间，但前提是美联储本身必须保持足够的可信度，否则“不说”可能不是减少噪音，而是增加猜测。</w:t>
      </w:r>
    </w:p>
    <w:p w14:paraId="687EC65C">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因此，沃什这场“打太极”式的沟通能否扛住通胀、</w:t>
      </w:r>
      <w:r>
        <w:rPr>
          <w:rFonts w:hint="default" w:ascii="Times New Roman" w:hAnsi="Times New Roman" w:eastAsia="方正仿宋_GBK" w:cs="Times New Roman"/>
          <w:b w:val="0"/>
          <w:bCs w:val="0"/>
          <w:sz w:val="32"/>
          <w:szCs w:val="32"/>
        </w:rPr>
        <w:t>AI投资热潮、地缘冲突等多重压力，恐怕还需要时间来回答。真正值得关注的，不是他下一次发布会会说多少话，而是当市场最需要一个明确答案的时候，他能否用少量但可信的语言，让市场相信美联储仍然知道自己在做什么</w:t>
      </w:r>
      <w:r>
        <w:rPr>
          <w:rFonts w:hint="eastAsia" w:ascii="方正仿宋_GBK" w:hAnsi="方正仿宋_GBK" w:eastAsia="方正仿宋_GBK" w:cs="方正仿宋_GBK"/>
          <w:b w:val="0"/>
          <w:bCs w:val="0"/>
          <w:sz w:val="32"/>
          <w:szCs w:val="32"/>
        </w:rPr>
        <w:t>。</w:t>
      </w:r>
    </w:p>
    <w:p w14:paraId="0DFDE45C">
      <w:pPr>
        <w:keepNext w:val="0"/>
        <w:keepLines w:val="0"/>
        <w:pageBreakBefore w:val="0"/>
        <w:widowControl w:val="0"/>
        <w:kinsoku/>
        <w:wordWrap/>
        <w:overflowPunct/>
        <w:topLinePunct w:val="0"/>
        <w:autoSpaceDE/>
        <w:autoSpaceDN/>
        <w:bidi w:val="0"/>
        <w:adjustRightInd/>
        <w:snapToGrid/>
        <w:spacing w:line="580" w:lineRule="exact"/>
        <w:ind w:right="0" w:rightChars="0"/>
        <w:jc w:val="right"/>
        <w:textAlignment w:val="auto"/>
        <w:outlineLvl w:val="9"/>
        <w:rPr>
          <w:rFonts w:hint="default" w:ascii="Times New Roman" w:hAnsi="Times New Roman" w:eastAsia="方正仿宋_GBK" w:cs="Times New Roman"/>
          <w:b/>
          <w:bCs/>
          <w:color w:val="FF0000"/>
          <w:sz w:val="32"/>
          <w:szCs w:val="32"/>
        </w:rPr>
      </w:pPr>
      <w:r>
        <w:rPr>
          <w:rFonts w:hint="default" w:ascii="Times New Roman" w:hAnsi="Times New Roman" w:eastAsia="方正仿宋_GBK" w:cs="Times New Roman"/>
          <w:b/>
          <w:bCs/>
          <w:color w:val="FF0000"/>
          <w:sz w:val="32"/>
          <w:szCs w:val="32"/>
        </w:rPr>
        <w:t>（</w:t>
      </w:r>
      <w:r>
        <w:rPr>
          <w:rFonts w:hint="eastAsia" w:ascii="方正楷体_GBK" w:hAnsi="方正楷体_GBK" w:eastAsia="方正楷体_GBK" w:cs="方正楷体_GBK"/>
          <w:b/>
          <w:bCs/>
          <w:color w:val="FF0000"/>
          <w:sz w:val="32"/>
          <w:szCs w:val="32"/>
        </w:rPr>
        <w:t>发展研究部</w:t>
      </w:r>
      <w:r>
        <w:rPr>
          <w:rFonts w:hint="default" w:ascii="Times New Roman" w:hAnsi="Times New Roman" w:eastAsia="方正仿宋_GBK" w:cs="Times New Roman"/>
          <w:b/>
          <w:bCs/>
          <w:color w:val="FF0000"/>
          <w:sz w:val="32"/>
          <w:szCs w:val="32"/>
        </w:rPr>
        <w:t>）</w:t>
      </w:r>
    </w:p>
    <w:p w14:paraId="2D2E3E8B">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方正仿宋_GBK" w:hAnsi="方正仿宋_GBK" w:eastAsia="方正仿宋_GBK" w:cs="方正仿宋_GBK"/>
          <w:b w:val="0"/>
          <w:bCs w:val="0"/>
          <w:sz w:val="32"/>
          <w:szCs w:val="32"/>
        </w:rPr>
      </w:pPr>
    </w:p>
    <w:p w14:paraId="28965325">
      <w:pPr>
        <w:keepNext w:val="0"/>
        <w:keepLines w:val="0"/>
        <w:pageBreakBefore w:val="0"/>
        <w:widowControl w:val="0"/>
        <w:kinsoku/>
        <w:wordWrap/>
        <w:overflowPunct/>
        <w:topLinePunct w:val="0"/>
        <w:autoSpaceDE/>
        <w:autoSpaceDN/>
        <w:bidi w:val="0"/>
        <w:adjustRightInd/>
        <w:snapToGrid/>
        <w:spacing w:line="580" w:lineRule="exact"/>
        <w:ind w:right="0" w:rightChars="0"/>
        <w:jc w:val="both"/>
        <w:textAlignment w:val="auto"/>
        <w:outlineLvl w:val="9"/>
        <w:rPr>
          <w:rFonts w:hint="eastAsia" w:ascii="方正黑体_GBK" w:hAnsi="方正黑体_GBK" w:eastAsia="方正黑体_GBK" w:cs="方正黑体_GBK"/>
          <w:b w:val="0"/>
          <w:bCs w:val="0"/>
          <w:sz w:val="32"/>
          <w:szCs w:val="32"/>
          <w:lang w:val="en-US" w:eastAsia="zh-CN"/>
        </w:rPr>
      </w:pPr>
      <w:r>
        <w:rPr>
          <w:rFonts w:hint="eastAsia" w:ascii="方正黑体_GBK" w:hAnsi="方正黑体_GBK" w:eastAsia="方正黑体_GBK" w:cs="方正黑体_GBK"/>
          <w:b w:val="0"/>
          <w:bCs w:val="0"/>
          <w:sz w:val="32"/>
          <w:szCs w:val="32"/>
          <w:lang w:val="en-US" w:eastAsia="zh-CN"/>
        </w:rPr>
        <w:t>参考文献</w:t>
      </w:r>
    </w:p>
    <w:p w14:paraId="185B9B65">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[1] 路透社</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美联储2026年7月议息会议与沃什新闻发布会市场评述[EB/OL].(2026-07-28)[2026-08-15]. https://www.reuters.com.</w:t>
      </w:r>
    </w:p>
    <w:p w14:paraId="69EFDAB0">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对应支撑：会后市场评价、沃什沟通风格及政策方向模糊性的市场反馈。</w:t>
      </w:r>
    </w:p>
    <w:p w14:paraId="117924D0">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[2] 金融时报</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美联储前瞻指引收缩对资产定价的影响分析[EB/OL]. (2026-07)[2026-08-15]. https://www.ft.com.</w:t>
      </w:r>
    </w:p>
    <w:p w14:paraId="6EAF3482">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对应支撑：《金融时报》关于沃什沟通策略的行业评论与风险分析。</w:t>
      </w:r>
    </w:p>
    <w:p w14:paraId="3440C645">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[3] 伍德福德M.利息与价格：货币政策理论基础[M].刘凤良，译</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北京：中国人民大学出版社，2010.</w:t>
      </w:r>
    </w:p>
    <w:p w14:paraId="719CDAAD">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对应支撑：迈克尔・伍德福德关于货币政策预期管理的核心理论依据。</w:t>
      </w:r>
    </w:p>
    <w:p w14:paraId="69F0F6CE">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[4] 英格兰银行. 2013年前瞻指引政策实施效果评估报告[R]. 伦敦：英格兰银行，2014.</w:t>
      </w:r>
    </w:p>
    <w:p w14:paraId="60C65478">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对应支撑：马克・卡尼时期英国央行失业率门槛前瞻指引的案例与政策反思。</w:t>
      </w:r>
    </w:p>
    <w:p w14:paraId="344B93B6">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[5] 联邦储备系统理事会</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关于修订长期目标与货币政策策略声明的公告[Z].华盛顿：美国联邦储备委员会，2020-08.</w:t>
      </w:r>
    </w:p>
    <w:p w14:paraId="71E3E81F">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对应支撑：2020年美联储货币政策框架调整及新版前瞻指引的官方内容。</w:t>
      </w:r>
    </w:p>
    <w:p w14:paraId="59CF2346">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[6] 美国联邦储备委员会</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联邦公开市场委员会(FOMC)政策声明与会议纪要汇编(2011—2012)[G].华盛顿：美联储，2013.</w:t>
      </w:r>
    </w:p>
    <w:p w14:paraId="44F5681F">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对应支撑：前瞻指引工具演进、点阵图推出等央行沟通历史资料。</w:t>
      </w:r>
    </w:p>
    <w:p w14:paraId="2D248E78">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[7] 欧洲中央银行</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欧债危机期间货币政策沟通与工具创新史料集[G].法兰克福：欧洲中央银行，2013.</w:t>
      </w:r>
    </w:p>
    <w:p w14:paraId="3594E4B9">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对应支撑：德</w:t>
      </w:r>
      <w:r>
        <w:rPr>
          <w:rFonts w:hint="eastAsia" w:ascii="方正仿宋_GBK" w:hAnsi="方正仿宋_GBK" w:eastAsia="方正仿宋_GBK" w:cs="方正仿宋_GBK"/>
          <w:b w:val="0"/>
          <w:bCs w:val="0"/>
          <w:sz w:val="32"/>
          <w:szCs w:val="32"/>
        </w:rPr>
        <w:t>拉吉“不惜一切代价”讲话</w:t>
      </w:r>
      <w:r>
        <w:rPr>
          <w:rFonts w:hint="default" w:ascii="Times New Roman" w:hAnsi="Times New Roman" w:eastAsia="方正仿宋_GBK" w:cs="Times New Roman"/>
          <w:b w:val="0"/>
          <w:bCs w:val="0"/>
          <w:sz w:val="32"/>
          <w:szCs w:val="32"/>
        </w:rPr>
        <w:t>及OMT工具的相关历史资料。</w:t>
      </w:r>
    </w:p>
    <w:p w14:paraId="7292A220">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[8] 美国财政部</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罗伯特・鲁宾任期汇率政策官方讲话与文件汇编[G].华盛顿：美国财政部，1999.</w:t>
      </w:r>
    </w:p>
    <w:p w14:paraId="76AA3E4E">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对应支</w:t>
      </w:r>
      <w:r>
        <w:rPr>
          <w:rFonts w:hint="eastAsia" w:ascii="方正仿宋_GBK" w:hAnsi="方正仿宋_GBK" w:eastAsia="方正仿宋_GBK" w:cs="方正仿宋_GBK"/>
          <w:b w:val="0"/>
          <w:bCs w:val="0"/>
          <w:sz w:val="32"/>
          <w:szCs w:val="32"/>
        </w:rPr>
        <w:t>撑：“强势美元符合美国利益” 政策表态的</w:t>
      </w:r>
      <w:r>
        <w:rPr>
          <w:rFonts w:hint="default" w:ascii="Times New Roman" w:hAnsi="Times New Roman" w:eastAsia="方正仿宋_GBK" w:cs="Times New Roman"/>
          <w:b w:val="0"/>
          <w:bCs w:val="0"/>
          <w:sz w:val="32"/>
          <w:szCs w:val="32"/>
        </w:rPr>
        <w:t>官方来源。</w:t>
      </w:r>
    </w:p>
    <w:p w14:paraId="7C32258F">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补充说明：文中关于央行沟通史、格林斯潘语言风格等描述属于货币银行学领域常识性内容，未单独列入参考文献。</w:t>
      </w:r>
    </w:p>
    <w:p w14:paraId="3DDDA29D">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方正仿宋_GBK" w:hAnsi="方正仿宋_GBK" w:eastAsia="方正仿宋_GBK" w:cs="方正仿宋_GBK"/>
          <w:b w:val="0"/>
          <w:bCs w:val="0"/>
          <w:sz w:val="32"/>
          <w:szCs w:val="32"/>
          <w:lang w:eastAsia="zh-CN"/>
        </w:rPr>
      </w:pPr>
    </w:p>
    <w:p w14:paraId="43F2E24F">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3976" w:firstLineChars="1400"/>
        <w:contextualSpacing/>
        <w:jc w:val="left"/>
        <w:textAlignment w:val="auto"/>
        <w:outlineLvl w:val="1"/>
        <w:rPr>
          <w:rFonts w:hint="default" w:ascii="Times New Roman" w:hAnsi="Times New Roman" w:eastAsia="方正楷体_GBK" w:cs="方正楷体_GBK"/>
          <w:b/>
          <w:bCs/>
          <w:color w:val="FF0000"/>
          <w:spacing w:val="0"/>
          <w:kern w:val="2"/>
          <w:sz w:val="30"/>
          <w:szCs w:val="30"/>
          <w:lang w:val="en-US" w:eastAsia="zh-CN" w:bidi="ar-SA"/>
        </w:rPr>
      </w:pPr>
    </w:p>
    <w:p w14:paraId="3B337FC8">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3976" w:firstLineChars="1400"/>
        <w:contextualSpacing/>
        <w:jc w:val="left"/>
        <w:textAlignment w:val="auto"/>
        <w:outlineLvl w:val="1"/>
        <w:rPr>
          <w:rFonts w:hint="default" w:ascii="Times New Roman" w:hAnsi="Times New Roman" w:eastAsia="方正楷体_GBK" w:cs="方正楷体_GBK"/>
          <w:b/>
          <w:bCs/>
          <w:color w:val="FF0000"/>
          <w:spacing w:val="0"/>
          <w:kern w:val="2"/>
          <w:sz w:val="30"/>
          <w:szCs w:val="30"/>
          <w:lang w:val="en-US" w:eastAsia="zh-CN" w:bidi="ar-SA"/>
        </w:rPr>
      </w:pPr>
    </w:p>
    <w:p w14:paraId="1E9223BF">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3976" w:firstLineChars="1400"/>
        <w:contextualSpacing/>
        <w:jc w:val="left"/>
        <w:textAlignment w:val="auto"/>
        <w:outlineLvl w:val="1"/>
        <w:rPr>
          <w:rFonts w:hint="default" w:ascii="Times New Roman" w:hAnsi="Times New Roman" w:eastAsia="方正楷体_GBK" w:cs="方正楷体_GBK"/>
          <w:b/>
          <w:bCs/>
          <w:color w:val="FF0000"/>
          <w:spacing w:val="0"/>
          <w:kern w:val="2"/>
          <w:sz w:val="30"/>
          <w:szCs w:val="30"/>
          <w:lang w:val="en-US" w:eastAsia="zh-CN" w:bidi="ar-SA"/>
        </w:rPr>
      </w:pPr>
    </w:p>
    <w:p w14:paraId="7EA3A0E7">
      <w:pPr>
        <w:keepNext w:val="0"/>
        <w:keepLines w:val="0"/>
        <w:pageBreakBefore w:val="0"/>
        <w:widowControl w:val="0"/>
        <w:kinsoku/>
        <w:wordWrap/>
        <w:overflowPunct/>
        <w:topLinePunct w:val="0"/>
        <w:autoSpaceDE/>
        <w:autoSpaceDN/>
        <w:bidi w:val="0"/>
        <w:adjustRightInd/>
        <w:snapToGrid/>
        <w:spacing w:line="580" w:lineRule="exact"/>
        <w:ind w:right="0" w:rightChars="0"/>
        <w:jc w:val="center"/>
        <w:textAlignment w:val="auto"/>
        <w:outlineLvl w:val="9"/>
        <w:rPr>
          <w:rFonts w:hint="eastAsia" w:ascii="方正小标宋_GBK" w:hAnsi="方正小标宋_GBK" w:eastAsia="方正小标宋_GBK" w:cs="方正小标宋_GBK"/>
          <w:b w:val="0"/>
          <w:bCs w:val="0"/>
          <w:sz w:val="44"/>
          <w:szCs w:val="44"/>
          <w:lang w:eastAsia="zh-CN"/>
        </w:rPr>
      </w:pPr>
      <w:r>
        <w:rPr>
          <w:rFonts w:hint="eastAsia" w:ascii="方正小标宋_GBK" w:hAnsi="方正小标宋_GBK" w:eastAsia="方正小标宋_GBK" w:cs="方正小标宋_GBK"/>
          <w:b/>
          <w:bCs/>
          <w:color w:val="2E75B6" w:themeColor="accent1" w:themeShade="BF"/>
          <w:spacing w:val="-11"/>
          <w:sz w:val="44"/>
          <w:szCs w:val="44"/>
          <w:highlight w:val="none"/>
          <w:lang w:val="en-US" w:eastAsia="zh-CN"/>
        </w:rPr>
        <w:t>非洲正在重构金融体系：从美元依赖到多元化结算</w:t>
      </w:r>
    </w:p>
    <w:p w14:paraId="214968B6">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p>
    <w:p w14:paraId="65D1EB9A">
      <w:pPr>
        <w:keepNext w:val="0"/>
        <w:keepLines w:val="0"/>
        <w:pageBreakBefore w:val="0"/>
        <w:widowControl w:val="0"/>
        <w:kinsoku/>
        <w:wordWrap/>
        <w:overflowPunct/>
        <w:topLinePunct w:val="0"/>
        <w:autoSpaceDE/>
        <w:autoSpaceDN/>
        <w:bidi w:val="0"/>
        <w:adjustRightInd/>
        <w:snapToGrid/>
        <w:spacing w:line="500" w:lineRule="exact"/>
        <w:ind w:right="0" w:rightChars="0" w:firstLine="608" w:firstLineChars="200"/>
        <w:jc w:val="both"/>
        <w:textAlignment w:val="auto"/>
        <w:outlineLvl w:val="9"/>
        <w:rPr>
          <w:rFonts w:hint="eastAsia" w:ascii="方正黑体_GBK" w:hAnsi="方正黑体_GBK" w:eastAsia="方正黑体_GBK" w:cs="方正黑体_GBK"/>
          <w:b w:val="0"/>
          <w:bCs w:val="0"/>
          <w:sz w:val="32"/>
          <w:szCs w:val="32"/>
          <w:lang w:val="en-US" w:eastAsia="zh-CN"/>
        </w:rPr>
      </w:pPr>
      <w:r>
        <w:rPr>
          <w:rFonts w:hint="eastAsia" w:ascii="方正黑体_GBK" w:hAnsi="方正黑体_GBK" w:eastAsia="方正黑体_GBK" w:cs="方正黑体_GBK"/>
          <w:b w:val="0"/>
          <w:bCs w:val="0"/>
          <w:sz w:val="32"/>
          <w:szCs w:val="32"/>
          <w:lang w:val="en-US" w:eastAsia="zh-CN"/>
        </w:rPr>
        <w:t>摘要</w:t>
      </w:r>
      <w:r>
        <w:rPr>
          <w:rFonts w:hint="eastAsia" w:ascii="方正楷体_GBK" w:hAnsi="方正楷体_GBK" w:eastAsia="方正楷体_GBK" w:cs="方正楷体_GBK"/>
          <w:b w:val="0"/>
          <w:bCs w:val="0"/>
          <w:sz w:val="28"/>
          <w:szCs w:val="28"/>
          <w:lang w:val="en-US" w:eastAsia="zh-CN"/>
        </w:rPr>
        <w:t>：本文聚焦非洲金融体系从高度美元依赖向多元化结算转型的进程，围绕“去美元化”的真实路径与内在逻辑展开研究，属于国际货币体系、区域金融治理与人民币国际化交叉研究领域。文章以赞比亚推进人民币矿业税费结算与本币强制使用为切入点，指出非洲并非以单一货币替代美元，而是同步推进本币普及、双边货币结算与区域支付体系建设的多元策略。研究梳理了</w:t>
      </w:r>
      <w:r>
        <w:rPr>
          <w:rFonts w:hint="default" w:ascii="Times New Roman" w:hAnsi="Times New Roman" w:eastAsia="方正楷体_GBK" w:cs="Times New Roman"/>
          <w:b w:val="0"/>
          <w:bCs w:val="0"/>
          <w:sz w:val="28"/>
          <w:szCs w:val="28"/>
          <w:lang w:val="en-US" w:eastAsia="zh-CN"/>
        </w:rPr>
        <w:t>CIPS</w:t>
      </w:r>
      <w:r>
        <w:rPr>
          <w:rFonts w:hint="eastAsia" w:ascii="方正楷体_GBK" w:hAnsi="方正楷体_GBK" w:eastAsia="方正楷体_GBK" w:cs="方正楷体_GBK"/>
          <w:b w:val="0"/>
          <w:bCs w:val="0"/>
          <w:sz w:val="28"/>
          <w:szCs w:val="28"/>
          <w:lang w:val="en-US" w:eastAsia="zh-CN"/>
        </w:rPr>
        <w:t>接入非洲银行、泛非支付结算系统落地及金融科技跨境支付创新三条基础设施路径，并以津巴布韦为反例阐明本币信用是货币多元化的核心前提，为理解全球南方货币重构与人民币非洲布局提供了完整分析框架。</w:t>
      </w:r>
    </w:p>
    <w:p w14:paraId="19E3F518">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黑体_GBK" w:hAnsi="方正黑体_GBK" w:eastAsia="方正黑体_GBK" w:cs="方正黑体_GBK"/>
          <w:b w:val="0"/>
          <w:bCs w:val="0"/>
          <w:sz w:val="32"/>
          <w:szCs w:val="32"/>
          <w:lang w:val="en-US" w:eastAsia="zh-CN"/>
        </w:rPr>
      </w:pPr>
    </w:p>
    <w:p w14:paraId="2EF0D47A">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eastAsia" w:ascii="方正黑体_GBK" w:hAnsi="方正黑体_GBK" w:eastAsia="方正黑体_GBK" w:cs="方正黑体_GBK"/>
          <w:b w:val="0"/>
          <w:bCs w:val="0"/>
          <w:sz w:val="32"/>
          <w:szCs w:val="32"/>
          <w:lang w:val="en-US" w:eastAsia="zh-CN"/>
        </w:rPr>
        <w:t>正文</w:t>
      </w:r>
      <w:r>
        <w:rPr>
          <w:rFonts w:hint="eastAsia" w:ascii="Times New Roman" w:hAnsi="Times New Roman" w:eastAsia="方正仿宋_GBK" w:cs="Times New Roman"/>
          <w:b w:val="0"/>
          <w:bCs w:val="0"/>
          <w:sz w:val="32"/>
          <w:szCs w:val="32"/>
          <w:lang w:val="en-US" w:eastAsia="zh-CN"/>
        </w:rPr>
        <w:t>：</w:t>
      </w:r>
    </w:p>
    <w:p w14:paraId="7AC9D948">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过去十几年，在赞比亚首都卢萨卡最繁华的商业街上，不少商品，尤其是手机、家具、家电、建筑材料等价格较高或进口依赖较强的商品，往往直接以美元计价。大额交易更是如此，买一辆二手车、签一份商业合同、支付大额工程款，美元长期都是双方习惯使用的结算货币。美元不仅是交易中的“硬通货”，也长期深度嵌入赞比亚经济运行之中。</w:t>
      </w:r>
    </w:p>
    <w:p w14:paraId="1AB6AB69">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对美元的依赖并非赞比亚独有。长期以来，美元深刻影响着许多非洲国家的日常经济生活，它不仅用于跨境贸易和外债偿还，还部分决定</w:t>
      </w:r>
      <w:r>
        <w:rPr>
          <w:rFonts w:hint="eastAsia" w:ascii="方正仿宋_GBK" w:hAnsi="方正仿宋_GBK" w:eastAsia="方正仿宋_GBK" w:cs="方正仿宋_GBK"/>
          <w:b w:val="0"/>
          <w:bCs w:val="0"/>
          <w:sz w:val="32"/>
          <w:szCs w:val="32"/>
          <w:lang w:eastAsia="zh-CN"/>
        </w:rPr>
        <w:t>着</w:t>
      </w:r>
      <w:r>
        <w:rPr>
          <w:rFonts w:hint="eastAsia" w:ascii="方正仿宋_GBK" w:hAnsi="方正仿宋_GBK" w:eastAsia="方正仿宋_GBK" w:cs="方正仿宋_GBK"/>
          <w:b w:val="0"/>
          <w:bCs w:val="0"/>
          <w:sz w:val="32"/>
          <w:szCs w:val="32"/>
        </w:rPr>
        <w:t>国内价格的形成。美联储在华盛顿作出的利率决策，会通过汇率、资本流动、进口成本和通胀预期等多种渠道，传导至这些经济体的国内价格和融资条件。</w:t>
      </w:r>
    </w:p>
    <w:p w14:paraId="4D992C12">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default" w:ascii="Times New Roman" w:hAnsi="Times New Roman" w:eastAsia="方正仿宋_GBK" w:cs="Times New Roman"/>
          <w:b w:val="0"/>
          <w:bCs w:val="0"/>
          <w:sz w:val="32"/>
          <w:szCs w:val="32"/>
        </w:rPr>
        <w:t>2020</w:t>
      </w:r>
      <w:r>
        <w:rPr>
          <w:rFonts w:hint="eastAsia" w:ascii="方正仿宋_GBK" w:hAnsi="方正仿宋_GBK" w:eastAsia="方正仿宋_GBK" w:cs="方正仿宋_GBK"/>
          <w:b w:val="0"/>
          <w:bCs w:val="0"/>
          <w:sz w:val="32"/>
          <w:szCs w:val="32"/>
        </w:rPr>
        <w:t>年，赞比亚遭遇主权债务违约。美元走强进一步增加了以美元计价债务的实际负担，使其本已紧张的财政和外汇状况雪上加霜。美元走强并非赞比亚违约的单一原因，但放大了外币债务结构带来的压力。</w:t>
      </w:r>
    </w:p>
    <w:p w14:paraId="6C3F091D">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这也揭示了美元深度嵌入一国经济的另一面：美元确实带来了交易便利和稳定的结算工具，但与此同时，也意味着该国必须承受一部分自己无法控制的外部金融冲击。</w:t>
      </w:r>
    </w:p>
    <w:p w14:paraId="2D1C10FD">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如今，情况正在出现变化。</w:t>
      </w:r>
    </w:p>
    <w:p w14:paraId="45B62BA6">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default" w:ascii="Times New Roman" w:hAnsi="Times New Roman" w:eastAsia="方正仿宋_GBK" w:cs="Times New Roman"/>
          <w:b w:val="0"/>
          <w:bCs w:val="0"/>
          <w:sz w:val="32"/>
          <w:szCs w:val="32"/>
        </w:rPr>
        <w:t>2025年10月</w:t>
      </w:r>
      <w:r>
        <w:rPr>
          <w:rFonts w:hint="eastAsia" w:ascii="方正仿宋_GBK" w:hAnsi="方正仿宋_GBK" w:eastAsia="方正仿宋_GBK" w:cs="方正仿宋_GBK"/>
          <w:b w:val="0"/>
          <w:bCs w:val="0"/>
          <w:sz w:val="32"/>
          <w:szCs w:val="32"/>
        </w:rPr>
        <w:t>，赞比亚成为非洲第一个正式接受人民币缴纳采矿特许权使用费和相关税款的国家。采矿特许权使用费，是指矿业公司因开采国家矿产资源而向政府支付的费用。以往这类款项多以美元结算，如今允许以人民币支付，直接便利了与中国之间的资金流动——中国既是赞比亚铜矿的最大买家，也是其重要的债权国。这一安排在降低对美元敞口的同时，也为双边贸易和投资结算提供了新的通道。</w:t>
      </w:r>
    </w:p>
    <w:p w14:paraId="39076708">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sz w:val="32"/>
          <w:szCs w:val="32"/>
        </w:rPr>
        <w:t>紧接着，从</w:t>
      </w:r>
      <w:r>
        <w:rPr>
          <w:rFonts w:hint="default" w:ascii="Times New Roman" w:hAnsi="Times New Roman" w:eastAsia="方正仿宋_GBK" w:cs="Times New Roman"/>
          <w:b w:val="0"/>
          <w:bCs w:val="0"/>
          <w:sz w:val="32"/>
          <w:szCs w:val="32"/>
        </w:rPr>
        <w:t>2025年12</w:t>
      </w:r>
      <w:r>
        <w:rPr>
          <w:rFonts w:hint="eastAsia" w:ascii="方正仿宋_GBK" w:hAnsi="方正仿宋_GBK" w:eastAsia="方正仿宋_GBK" w:cs="方正仿宋_GBK"/>
          <w:b w:val="0"/>
          <w:bCs w:val="0"/>
          <w:sz w:val="32"/>
          <w:szCs w:val="32"/>
        </w:rPr>
        <w:t>月起，赞比亚央行明确要求，除少数豁免情形外，国内交易原则上使用本国货币克瓦查（</w:t>
      </w:r>
      <w:r>
        <w:rPr>
          <w:rFonts w:hint="default" w:ascii="Times New Roman" w:hAnsi="Times New Roman" w:eastAsia="方正仿宋_GBK" w:cs="Times New Roman"/>
          <w:b w:val="0"/>
          <w:bCs w:val="0"/>
          <w:sz w:val="32"/>
          <w:szCs w:val="32"/>
        </w:rPr>
        <w:t>kwacha</w:t>
      </w:r>
      <w:r>
        <w:rPr>
          <w:rFonts w:hint="eastAsia" w:ascii="方正仿宋_GBK" w:hAnsi="方正仿宋_GBK" w:eastAsia="方正仿宋_GBK" w:cs="方正仿宋_GBK"/>
          <w:b w:val="0"/>
          <w:bCs w:val="0"/>
          <w:sz w:val="32"/>
          <w:szCs w:val="32"/>
        </w:rPr>
        <w:t>）结算。违反规定者可能面临罚款、最长两年监禁，或者两者并罚。这项政策的核心意图很明确：提高对本币的使用需求，减少国内经济活动对美元的习惯性依赖</w:t>
      </w:r>
      <w:r>
        <w:rPr>
          <w:rFonts w:hint="eastAsia" w:ascii="方正仿宋_GBK" w:hAnsi="方正仿宋_GBK" w:eastAsia="方正仿宋_GBK" w:cs="方正仿宋_GBK"/>
          <w:b w:val="0"/>
          <w:bCs w:val="0"/>
          <w:sz w:val="32"/>
          <w:szCs w:val="32"/>
          <w:lang w:eastAsia="zh-CN"/>
        </w:rPr>
        <w:t>。</w:t>
      </w:r>
    </w:p>
    <w:p w14:paraId="769387B2">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default" w:ascii="方正仿宋_GBK" w:hAnsi="方正仿宋_GBK" w:eastAsia="方正仿宋_GBK" w:cs="方正仿宋_GBK"/>
          <w:b w:val="0"/>
          <w:bCs w:val="0"/>
          <w:sz w:val="32"/>
          <w:szCs w:val="32"/>
        </w:rPr>
      </w:pPr>
      <w:r>
        <w:drawing>
          <wp:inline distT="0" distB="0" distL="114300" distR="114300">
            <wp:extent cx="3183255" cy="1620520"/>
            <wp:effectExtent l="0" t="0" r="17145" b="1778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5"/>
                    <a:stretch>
                      <a:fillRect/>
                    </a:stretch>
                  </pic:blipFill>
                  <pic:spPr>
                    <a:xfrm>
                      <a:off x="0" y="0"/>
                      <a:ext cx="3183255" cy="1620520"/>
                    </a:xfrm>
                    <a:prstGeom prst="rect">
                      <a:avLst/>
                    </a:prstGeom>
                    <a:noFill/>
                    <a:ln>
                      <a:noFill/>
                    </a:ln>
                  </pic:spPr>
                </pic:pic>
              </a:graphicData>
            </a:graphic>
          </wp:inline>
        </w:drawing>
      </w:r>
    </w:p>
    <w:p w14:paraId="59D634BC">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方正仿宋_GBK" w:hAnsi="方正仿宋_GBK" w:eastAsia="方正仿宋_GBK" w:cs="方正仿宋_GBK"/>
          <w:b w:val="0"/>
          <w:bCs w:val="0"/>
          <w:sz w:val="32"/>
          <w:szCs w:val="32"/>
        </w:rPr>
      </w:pPr>
      <w:r>
        <w:rPr>
          <w:rFonts w:hint="default" w:ascii="方正仿宋_GBK" w:hAnsi="方正仿宋_GBK" w:eastAsia="方正仿宋_GBK" w:cs="方正仿宋_GBK"/>
          <w:b w:val="0"/>
          <w:bCs w:val="0"/>
          <w:sz w:val="32"/>
          <w:szCs w:val="32"/>
        </w:rPr>
        <w:t>赞比亚的尝试并不只是“换一种外国货币”。它同时推进人民币结算和本币强制使用，说明决策者真正想解决的，并非简单用人民币替代美元，而是降低对单一外部货币的系统性暴露——过度依赖一种自己无法控制的货币，会让货币政策空间、财政规划和价格稳定都变得更加脆弱。</w:t>
      </w:r>
    </w:p>
    <w:p w14:paraId="0330DE0A">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方正仿宋_GBK" w:hAnsi="方正仿宋_GBK" w:eastAsia="方正仿宋_GBK" w:cs="方正仿宋_GBK"/>
          <w:b w:val="0"/>
          <w:bCs w:val="0"/>
          <w:sz w:val="32"/>
          <w:szCs w:val="32"/>
        </w:rPr>
      </w:pPr>
      <w:r>
        <w:rPr>
          <w:rFonts w:hint="default" w:ascii="方正仿宋_GBK" w:hAnsi="方正仿宋_GBK" w:eastAsia="方正仿宋_GBK" w:cs="方正仿宋_GBK"/>
          <w:b w:val="0"/>
          <w:bCs w:val="0"/>
          <w:sz w:val="32"/>
          <w:szCs w:val="32"/>
        </w:rPr>
        <w:t>赞比亚卢萨卡商业街上那些长期习惯以美元标价的店铺，如今正被要求更多使用本币克瓦查。与此同时，在更高层级的矿业税收和跨境结算中，人民币也开始成为新的选项。美元不再是唯一选择，但真正的重构，才刚刚开始。</w:t>
      </w:r>
    </w:p>
    <w:p w14:paraId="742D17C8">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一、从赞比亚扩大到非洲：不是“去美元”，而是减少单一依赖</w:t>
      </w:r>
    </w:p>
    <w:p w14:paraId="4375BC8C">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方正仿宋_GBK" w:hAnsi="方正仿宋_GBK" w:eastAsia="方正仿宋_GBK" w:cs="方正仿宋_GBK"/>
          <w:b w:val="0"/>
          <w:bCs w:val="0"/>
          <w:sz w:val="32"/>
          <w:szCs w:val="32"/>
        </w:rPr>
      </w:pPr>
      <w:r>
        <w:rPr>
          <w:rFonts w:hint="default" w:ascii="方正仿宋_GBK" w:hAnsi="方正仿宋_GBK" w:eastAsia="方正仿宋_GBK" w:cs="方正仿宋_GBK"/>
          <w:b w:val="0"/>
          <w:bCs w:val="0"/>
          <w:sz w:val="32"/>
          <w:szCs w:val="32"/>
        </w:rPr>
        <w:t>这种变化并非孤立现象。越来越多的非洲国家开始在美元之外寻找替代性安排——包括人民币、本地货币以及区域支付体系。美元目前仍占据主导地位，非洲约</w:t>
      </w:r>
      <w:r>
        <w:rPr>
          <w:rFonts w:hint="default" w:ascii="Times New Roman" w:hAnsi="Times New Roman" w:eastAsia="方正仿宋_GBK" w:cs="Times New Roman"/>
          <w:b w:val="0"/>
          <w:bCs w:val="0"/>
          <w:sz w:val="32"/>
          <w:szCs w:val="32"/>
        </w:rPr>
        <w:t>70%</w:t>
      </w:r>
      <w:r>
        <w:rPr>
          <w:rFonts w:hint="default" w:ascii="方正仿宋_GBK" w:hAnsi="方正仿宋_GBK" w:eastAsia="方正仿宋_GBK" w:cs="方正仿宋_GBK"/>
          <w:b w:val="0"/>
          <w:bCs w:val="0"/>
          <w:sz w:val="32"/>
          <w:szCs w:val="32"/>
        </w:rPr>
        <w:t>的对外公共债务以及大量跨境交易仍以美元计价，但“唯一选项”正在逐渐变成“选项之一”。</w:t>
      </w:r>
    </w:p>
    <w:p w14:paraId="7AEC6425">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方正仿宋_GBK" w:hAnsi="方正仿宋_GBK" w:eastAsia="方正仿宋_GBK" w:cs="方正仿宋_GBK"/>
          <w:b w:val="0"/>
          <w:bCs w:val="0"/>
          <w:sz w:val="32"/>
          <w:szCs w:val="32"/>
        </w:rPr>
      </w:pPr>
      <w:r>
        <w:rPr>
          <w:rFonts w:hint="default" w:ascii="方正仿宋_GBK" w:hAnsi="方正仿宋_GBK" w:eastAsia="方正仿宋_GBK" w:cs="方正仿宋_GBK"/>
          <w:b w:val="0"/>
          <w:bCs w:val="0"/>
          <w:sz w:val="32"/>
          <w:szCs w:val="32"/>
        </w:rPr>
        <w:t>这些国家的共同特征是：它们并不简单地把对美元的依赖，替换成对另一种外国货币的依赖，而是同时推进多条路径。</w:t>
      </w:r>
    </w:p>
    <w:p w14:paraId="7A65A553">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方正仿宋_GBK" w:hAnsi="方正仿宋_GBK" w:eastAsia="方正仿宋_GBK" w:cs="方正仿宋_GBK"/>
          <w:b w:val="0"/>
          <w:bCs w:val="0"/>
          <w:sz w:val="32"/>
          <w:szCs w:val="32"/>
        </w:rPr>
      </w:pPr>
      <w:r>
        <w:rPr>
          <w:rFonts w:hint="default" w:ascii="方正仿宋_GBK" w:hAnsi="方正仿宋_GBK" w:eastAsia="方正仿宋_GBK" w:cs="方正仿宋_GBK"/>
          <w:b w:val="0"/>
          <w:bCs w:val="0"/>
          <w:sz w:val="32"/>
          <w:szCs w:val="32"/>
        </w:rPr>
        <w:t>先看人民币这一侧。</w:t>
      </w:r>
    </w:p>
    <w:p w14:paraId="0F41F0DE">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方正仿宋_GBK" w:hAnsi="方正仿宋_GBK" w:eastAsia="方正仿宋_GBK" w:cs="方正仿宋_GBK"/>
          <w:b w:val="0"/>
          <w:bCs w:val="0"/>
          <w:sz w:val="32"/>
          <w:szCs w:val="32"/>
        </w:rPr>
      </w:pPr>
      <w:r>
        <w:rPr>
          <w:rFonts w:hint="default" w:ascii="方正仿宋_GBK" w:hAnsi="方正仿宋_GBK" w:eastAsia="方正仿宋_GBK" w:cs="方正仿宋_GBK"/>
          <w:b w:val="0"/>
          <w:bCs w:val="0"/>
          <w:sz w:val="32"/>
          <w:szCs w:val="32"/>
        </w:rPr>
        <w:t>非洲几个最大的经济体——埃及、尼日利亚和南非，已经与中国签署了新的货币互换协议。货币互换，简单来说，就是两国央行约定在一定额度内，可以用本国货币换取对方货币，从而在双边贸易和投资中减少对美元的中间兑换。贸易中以人民币结算的占比随即上升。根据中国人民银行的数据，</w:t>
      </w:r>
      <w:r>
        <w:rPr>
          <w:rFonts w:hint="default" w:ascii="Times New Roman" w:hAnsi="Times New Roman" w:eastAsia="方正仿宋_GBK" w:cs="Times New Roman"/>
          <w:b w:val="0"/>
          <w:bCs w:val="0"/>
          <w:sz w:val="32"/>
          <w:szCs w:val="32"/>
        </w:rPr>
        <w:t>2020</w:t>
      </w:r>
      <w:r>
        <w:rPr>
          <w:rFonts w:hint="default" w:ascii="方正仿宋_GBK" w:hAnsi="方正仿宋_GBK" w:eastAsia="方正仿宋_GBK" w:cs="方正仿宋_GBK"/>
          <w:b w:val="0"/>
          <w:bCs w:val="0"/>
          <w:sz w:val="32"/>
          <w:szCs w:val="32"/>
        </w:rPr>
        <w:t>年至</w:t>
      </w:r>
      <w:r>
        <w:rPr>
          <w:rFonts w:hint="default" w:ascii="Times New Roman" w:hAnsi="Times New Roman" w:eastAsia="方正仿宋_GBK" w:cs="Times New Roman"/>
          <w:b w:val="0"/>
          <w:bCs w:val="0"/>
          <w:sz w:val="32"/>
          <w:szCs w:val="32"/>
        </w:rPr>
        <w:t>2024</w:t>
      </w:r>
      <w:r>
        <w:rPr>
          <w:rFonts w:hint="default" w:ascii="方正仿宋_GBK" w:hAnsi="方正仿宋_GBK" w:eastAsia="方正仿宋_GBK" w:cs="方正仿宋_GBK"/>
          <w:b w:val="0"/>
          <w:bCs w:val="0"/>
          <w:sz w:val="32"/>
          <w:szCs w:val="32"/>
        </w:rPr>
        <w:t>年间，中国与非洲之间的跨境人民币结算金额从约</w:t>
      </w:r>
      <w:r>
        <w:rPr>
          <w:rFonts w:hint="default" w:ascii="Times New Roman" w:hAnsi="Times New Roman" w:eastAsia="方正仿宋_GBK" w:cs="Times New Roman"/>
          <w:b w:val="0"/>
          <w:bCs w:val="0"/>
          <w:sz w:val="32"/>
          <w:szCs w:val="32"/>
        </w:rPr>
        <w:t>800</w:t>
      </w:r>
      <w:r>
        <w:rPr>
          <w:rFonts w:hint="default" w:ascii="方正仿宋_GBK" w:hAnsi="方正仿宋_GBK" w:eastAsia="方正仿宋_GBK" w:cs="方正仿宋_GBK"/>
          <w:b w:val="0"/>
          <w:bCs w:val="0"/>
          <w:sz w:val="32"/>
          <w:szCs w:val="32"/>
        </w:rPr>
        <w:t>亿元增长到约</w:t>
      </w:r>
      <w:r>
        <w:rPr>
          <w:rFonts w:hint="default" w:ascii="Times New Roman" w:hAnsi="Times New Roman" w:eastAsia="方正仿宋_GBK" w:cs="Times New Roman"/>
          <w:b w:val="0"/>
          <w:bCs w:val="0"/>
          <w:sz w:val="32"/>
          <w:szCs w:val="32"/>
        </w:rPr>
        <w:t>1553</w:t>
      </w:r>
      <w:r>
        <w:rPr>
          <w:rFonts w:hint="default" w:ascii="方正仿宋_GBK" w:hAnsi="方正仿宋_GBK" w:eastAsia="方正仿宋_GBK" w:cs="方正仿宋_GBK"/>
          <w:b w:val="0"/>
          <w:bCs w:val="0"/>
          <w:sz w:val="32"/>
          <w:szCs w:val="32"/>
        </w:rPr>
        <w:t>亿元，接近翻倍。</w:t>
      </w:r>
    </w:p>
    <w:p w14:paraId="737A8E77">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方正仿宋_GBK" w:hAnsi="方正仿宋_GBK" w:eastAsia="方正仿宋_GBK" w:cs="方正仿宋_GBK"/>
          <w:b w:val="0"/>
          <w:bCs w:val="0"/>
          <w:sz w:val="32"/>
          <w:szCs w:val="32"/>
        </w:rPr>
      </w:pPr>
      <w:r>
        <w:rPr>
          <w:rFonts w:hint="default" w:ascii="方正仿宋_GBK" w:hAnsi="方正仿宋_GBK" w:eastAsia="方正仿宋_GBK" w:cs="方正仿宋_GBK"/>
          <w:b w:val="0"/>
          <w:bCs w:val="0"/>
          <w:sz w:val="32"/>
          <w:szCs w:val="32"/>
        </w:rPr>
        <w:t>更直接的例子来自肯尼亚。该国已将部分原本以美元计价的对华贷款转换为人民币计价。这一安排不仅有助于减少美元兑换带来的汇率风险和交易成本，也配合其他债务重组措施降低了偿债压力。据当时公布的方案估算，相关安排每年最多可为肯尼亚节省约</w:t>
      </w:r>
      <w:r>
        <w:rPr>
          <w:rFonts w:hint="default" w:ascii="Times New Roman" w:hAnsi="Times New Roman" w:eastAsia="方正仿宋_GBK" w:cs="Times New Roman"/>
          <w:b w:val="0"/>
          <w:bCs w:val="0"/>
          <w:sz w:val="32"/>
          <w:szCs w:val="32"/>
        </w:rPr>
        <w:t>2.15</w:t>
      </w:r>
      <w:r>
        <w:rPr>
          <w:rFonts w:hint="default" w:ascii="方正仿宋_GBK" w:hAnsi="方正仿宋_GBK" w:eastAsia="方正仿宋_GBK" w:cs="方正仿宋_GBK"/>
          <w:b w:val="0"/>
          <w:bCs w:val="0"/>
          <w:sz w:val="32"/>
          <w:szCs w:val="32"/>
        </w:rPr>
        <w:t>亿美元的偿债支出，相当于其</w:t>
      </w:r>
      <w:r>
        <w:rPr>
          <w:rFonts w:hint="default" w:ascii="Times New Roman" w:hAnsi="Times New Roman" w:eastAsia="方正仿宋_GBK" w:cs="Times New Roman"/>
          <w:b w:val="0"/>
          <w:bCs w:val="0"/>
          <w:sz w:val="32"/>
          <w:szCs w:val="32"/>
        </w:rPr>
        <w:t>2025</w:t>
      </w:r>
      <w:r>
        <w:rPr>
          <w:rFonts w:hint="default" w:ascii="方正仿宋_GBK" w:hAnsi="方正仿宋_GBK" w:eastAsia="方正仿宋_GBK" w:cs="方正仿宋_GBK"/>
          <w:b w:val="0"/>
          <w:bCs w:val="0"/>
          <w:sz w:val="32"/>
          <w:szCs w:val="32"/>
        </w:rPr>
        <w:t>年对华偿债支出的近五分之一。</w:t>
      </w:r>
    </w:p>
    <w:p w14:paraId="03C4AF5E">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方正仿宋_GBK" w:hAnsi="方正仿宋_GBK" w:eastAsia="方正仿宋_GBK" w:cs="方正仿宋_GBK"/>
          <w:b w:val="0"/>
          <w:bCs w:val="0"/>
          <w:sz w:val="32"/>
          <w:szCs w:val="32"/>
        </w:rPr>
      </w:pPr>
      <w:r>
        <w:rPr>
          <w:rFonts w:hint="default" w:ascii="方正仿宋_GBK" w:hAnsi="方正仿宋_GBK" w:eastAsia="方正仿宋_GBK" w:cs="方正仿宋_GBK"/>
          <w:b w:val="0"/>
          <w:bCs w:val="0"/>
          <w:sz w:val="32"/>
          <w:szCs w:val="32"/>
        </w:rPr>
        <w:t>目前，肯尼亚对中国的未偿还债务中，约三分之二已经以人民币计价。埃塞俄比亚和莫桑比克也在谈判类似安排。这意味着，人民币在非洲的角色正在从单纯的贸易结算货币，进一步延伸到融资和债务偿还货币。</w:t>
      </w:r>
    </w:p>
    <w:p w14:paraId="5DA772AA">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方正仿宋_GBK" w:hAnsi="方正仿宋_GBK" w:eastAsia="方正仿宋_GBK" w:cs="方正仿宋_GBK"/>
          <w:b w:val="0"/>
          <w:bCs w:val="0"/>
          <w:sz w:val="32"/>
          <w:szCs w:val="32"/>
        </w:rPr>
      </w:pPr>
      <w:r>
        <w:rPr>
          <w:rFonts w:hint="default" w:ascii="方正仿宋_GBK" w:hAnsi="方正仿宋_GBK" w:eastAsia="方正仿宋_GBK" w:cs="方正仿宋_GBK"/>
          <w:b w:val="0"/>
          <w:bCs w:val="0"/>
          <w:sz w:val="32"/>
          <w:szCs w:val="32"/>
        </w:rPr>
        <w:t>但必须强调的是，这并不是“人民币正在全面取代美元”。非洲国家真正想解决的问题，是过度依赖单一外部货币所带来的系统性脆弱。因此，它们的策略通常是并行的：</w:t>
      </w:r>
    </w:p>
    <w:p w14:paraId="66E1F446">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方正仿宋_GBK" w:hAnsi="方正仿宋_GBK" w:eastAsia="方正仿宋_GBK" w:cs="方正仿宋_GBK"/>
          <w:b w:val="0"/>
          <w:bCs w:val="0"/>
          <w:sz w:val="32"/>
          <w:szCs w:val="32"/>
        </w:rPr>
      </w:pPr>
      <w:r>
        <w:rPr>
          <w:rFonts w:hint="default" w:ascii="方正仿宋_GBK" w:hAnsi="方正仿宋_GBK" w:eastAsia="方正仿宋_GBK" w:cs="方正仿宋_GBK"/>
          <w:b w:val="0"/>
          <w:bCs w:val="0"/>
          <w:sz w:val="32"/>
          <w:szCs w:val="32"/>
        </w:rPr>
        <w:t>一边引入人民币，作为与中国贸易和融资的便利工具；一边推动本币在国内交易中的使用（如赞比亚强制使用克瓦查）；同时建设区域支付安排，让非洲国家之间尽量用本地货币直接结算。</w:t>
      </w:r>
    </w:p>
    <w:p w14:paraId="0297D887">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方正仿宋_GBK" w:hAnsi="方正仿宋_GBK" w:eastAsia="方正仿宋_GBK" w:cs="方正仿宋_GBK"/>
          <w:b w:val="0"/>
          <w:bCs w:val="0"/>
          <w:sz w:val="32"/>
          <w:szCs w:val="32"/>
        </w:rPr>
      </w:pPr>
      <w:r>
        <w:rPr>
          <w:rFonts w:hint="default" w:ascii="方正仿宋_GBK" w:hAnsi="方正仿宋_GBK" w:eastAsia="方正仿宋_GBK" w:cs="方正仿宋_GBK"/>
          <w:b w:val="0"/>
          <w:bCs w:val="0"/>
          <w:sz w:val="32"/>
          <w:szCs w:val="32"/>
        </w:rPr>
        <w:t>换言之，非洲正在做的，不是把“美元中心”简单替换成“人民币中心”，而是试图从高度单一的外部货币依赖，转向一个相对分散、有更多选择的货币和结算体系。这反映出非洲国家对金融自主空间的追求：当外部金融条件发生变化时，本国经济不至于完全被动承受冲击。</w:t>
      </w:r>
    </w:p>
    <w:p w14:paraId="5AFB31DE">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方正仿宋_GBK" w:hAnsi="方正仿宋_GBK" w:eastAsia="方正仿宋_GBK" w:cs="方正仿宋_GBK"/>
          <w:b w:val="0"/>
          <w:bCs w:val="0"/>
          <w:sz w:val="32"/>
          <w:szCs w:val="32"/>
        </w:rPr>
      </w:pPr>
      <w:r>
        <w:rPr>
          <w:rFonts w:hint="default" w:ascii="方正仿宋_GBK" w:hAnsi="方正仿宋_GBK" w:eastAsia="方正仿宋_GBK" w:cs="方正仿宋_GBK"/>
          <w:b w:val="0"/>
          <w:bCs w:val="0"/>
          <w:sz w:val="32"/>
          <w:szCs w:val="32"/>
        </w:rPr>
        <w:t>当然，货币选择只是第一层。一种货币能否真正在跨境场景中被广泛使用，最终还取决于支付与清算基础设施是否跟上。如果资金仍然必须绕道美元清算体系，那么即便名义上使用了人民币或本币，实际效率和成本优势也会大打折扣。</w:t>
      </w:r>
    </w:p>
    <w:p w14:paraId="6296E4D8">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二、从货币选择到支付基础设施：真正的关键在于“通道”</w:t>
      </w:r>
    </w:p>
    <w:p w14:paraId="45DDA4EE">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方正仿宋_GBK" w:hAnsi="方正仿宋_GBK" w:eastAsia="方正仿宋_GBK" w:cs="方正仿宋_GBK"/>
          <w:b w:val="0"/>
          <w:bCs w:val="0"/>
          <w:sz w:val="32"/>
          <w:szCs w:val="32"/>
        </w:rPr>
      </w:pPr>
      <w:r>
        <w:rPr>
          <w:rFonts w:hint="default" w:ascii="方正仿宋_GBK" w:hAnsi="方正仿宋_GBK" w:eastAsia="方正仿宋_GBK" w:cs="方正仿宋_GBK"/>
          <w:b w:val="0"/>
          <w:bCs w:val="0"/>
          <w:sz w:val="32"/>
          <w:szCs w:val="32"/>
        </w:rPr>
        <w:t>先看传统路径是怎样运转的。</w:t>
      </w:r>
    </w:p>
    <w:p w14:paraId="3B9FD055">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方正仿宋_GBK" w:hAnsi="方正仿宋_GBK" w:eastAsia="方正仿宋_GBK" w:cs="方正仿宋_GBK"/>
          <w:b w:val="0"/>
          <w:bCs w:val="0"/>
          <w:sz w:val="32"/>
          <w:szCs w:val="32"/>
        </w:rPr>
      </w:pPr>
      <w:r>
        <w:rPr>
          <w:rFonts w:hint="default" w:ascii="方正仿宋_GBK" w:hAnsi="方正仿宋_GBK" w:eastAsia="方正仿宋_GBK" w:cs="方正仿宋_GBK"/>
          <w:b w:val="0"/>
          <w:bCs w:val="0"/>
          <w:sz w:val="32"/>
          <w:szCs w:val="32"/>
        </w:rPr>
        <w:t>过去，非洲企业或个人进行跨境支付，往往需要通过代理行和国际银行网络完成。对于涉及不同货币的交易，中间还可能需要经过一次或多次货币兑换。跨境支付过程中，金融机构需要通过</w:t>
      </w:r>
      <w:r>
        <w:rPr>
          <w:rFonts w:hint="default" w:ascii="Times New Roman" w:hAnsi="Times New Roman" w:eastAsia="方正仿宋_GBK" w:cs="Times New Roman"/>
          <w:b w:val="0"/>
          <w:bCs w:val="0"/>
          <w:sz w:val="32"/>
          <w:szCs w:val="32"/>
        </w:rPr>
        <w:t>SWIFT</w:t>
      </w:r>
      <w:r>
        <w:rPr>
          <w:rFonts w:hint="default" w:ascii="方正仿宋_GBK" w:hAnsi="方正仿宋_GBK" w:eastAsia="方正仿宋_GBK" w:cs="方正仿宋_GBK"/>
          <w:b w:val="0"/>
          <w:bCs w:val="0"/>
          <w:sz w:val="32"/>
          <w:szCs w:val="32"/>
        </w:rPr>
        <w:t>等系统传递支付指令，同时还要依赖相应的银行账户和清算安排完成资金实际转移。环节越多，汇率转换费用、银行手续费、合规审查、身份验证和清算时间等成本就越高。有时候，沿着边境公路带着现金去另一国，甚至比银行转账更快。</w:t>
      </w:r>
    </w:p>
    <w:p w14:paraId="2A1C618A">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方正仿宋_GBK" w:hAnsi="方正仿宋_GBK" w:eastAsia="方正仿宋_GBK" w:cs="方正仿宋_GBK"/>
          <w:b w:val="0"/>
          <w:bCs w:val="0"/>
          <w:sz w:val="32"/>
          <w:szCs w:val="32"/>
        </w:rPr>
      </w:pPr>
      <w:r>
        <w:rPr>
          <w:rFonts w:hint="default" w:ascii="方正仿宋_GBK" w:hAnsi="方正仿宋_GBK" w:eastAsia="方正仿宋_GBK" w:cs="方正仿宋_GBK"/>
          <w:b w:val="0"/>
          <w:bCs w:val="0"/>
          <w:sz w:val="32"/>
          <w:szCs w:val="32"/>
        </w:rPr>
        <w:t>现在，非洲正在尝试绕开或缩短这条链条。</w:t>
      </w:r>
    </w:p>
    <w:p w14:paraId="79ACC361">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方正仿宋_GBK" w:hAnsi="方正仿宋_GBK" w:eastAsia="方正仿宋_GBK" w:cs="方正仿宋_GBK"/>
          <w:b w:val="0"/>
          <w:bCs w:val="0"/>
          <w:sz w:val="32"/>
          <w:szCs w:val="32"/>
        </w:rPr>
      </w:pPr>
      <w:r>
        <w:rPr>
          <w:rFonts w:hint="default" w:ascii="方正仿宋_GBK" w:hAnsi="方正仿宋_GBK" w:eastAsia="方正仿宋_GBK" w:cs="方正仿宋_GBK"/>
          <w:b w:val="0"/>
          <w:bCs w:val="0"/>
          <w:sz w:val="32"/>
          <w:szCs w:val="32"/>
        </w:rPr>
        <w:t>一方面，是人民币跨境支付通道的建设。</w:t>
      </w:r>
    </w:p>
    <w:p w14:paraId="729933CA">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方正仿宋_GBK" w:hAnsi="方正仿宋_GBK" w:eastAsia="方正仿宋_GBK" w:cs="方正仿宋_GBK"/>
          <w:b w:val="0"/>
          <w:bCs w:val="0"/>
          <w:sz w:val="32"/>
          <w:szCs w:val="32"/>
        </w:rPr>
      </w:pPr>
      <w:r>
        <w:rPr>
          <w:rFonts w:hint="default" w:ascii="Times New Roman" w:hAnsi="Times New Roman" w:eastAsia="方正仿宋_GBK" w:cs="Times New Roman"/>
          <w:b w:val="0"/>
          <w:bCs w:val="0"/>
          <w:sz w:val="32"/>
          <w:szCs w:val="32"/>
        </w:rPr>
        <w:t>2025</w:t>
      </w:r>
      <w:r>
        <w:rPr>
          <w:rFonts w:hint="default" w:ascii="方正仿宋_GBK" w:hAnsi="方正仿宋_GBK" w:eastAsia="方正仿宋_GBK" w:cs="方正仿宋_GBK"/>
          <w:b w:val="0"/>
          <w:bCs w:val="0"/>
          <w:sz w:val="32"/>
          <w:szCs w:val="32"/>
        </w:rPr>
        <w:t>年，非洲资产规模最大的银行——标准银行（</w:t>
      </w:r>
      <w:r>
        <w:rPr>
          <w:rFonts w:hint="default" w:ascii="Times New Roman" w:hAnsi="Times New Roman" w:eastAsia="方正仿宋_GBK" w:cs="Times New Roman"/>
          <w:b w:val="0"/>
          <w:bCs w:val="0"/>
          <w:sz w:val="32"/>
          <w:szCs w:val="32"/>
        </w:rPr>
        <w:t>Standard Bank</w:t>
      </w:r>
      <w:r>
        <w:rPr>
          <w:rFonts w:hint="default" w:ascii="方正仿宋_GBK" w:hAnsi="方正仿宋_GBK" w:eastAsia="方正仿宋_GBK" w:cs="方正仿宋_GBK"/>
          <w:b w:val="0"/>
          <w:bCs w:val="0"/>
          <w:sz w:val="32"/>
          <w:szCs w:val="32"/>
        </w:rPr>
        <w:t>）成为首家获准接入中国跨境银行间支付系统（</w:t>
      </w:r>
      <w:r>
        <w:rPr>
          <w:rFonts w:hint="default" w:ascii="Times New Roman" w:hAnsi="Times New Roman" w:eastAsia="方正仿宋_GBK" w:cs="Times New Roman"/>
          <w:b w:val="0"/>
          <w:bCs w:val="0"/>
          <w:sz w:val="32"/>
          <w:szCs w:val="32"/>
        </w:rPr>
        <w:t>Cross-border Interbank Payment System，CIPS</w:t>
      </w:r>
      <w:r>
        <w:rPr>
          <w:rFonts w:hint="default" w:ascii="方正仿宋_GBK" w:hAnsi="方正仿宋_GBK" w:eastAsia="方正仿宋_GBK" w:cs="方正仿宋_GBK"/>
          <w:b w:val="0"/>
          <w:bCs w:val="0"/>
          <w:sz w:val="32"/>
          <w:szCs w:val="32"/>
        </w:rPr>
        <w:t>）的非洲银行。同年</w:t>
      </w:r>
      <w:r>
        <w:rPr>
          <w:rFonts w:hint="default" w:ascii="Times New Roman" w:hAnsi="Times New Roman" w:eastAsia="方正仿宋_GBK" w:cs="Times New Roman"/>
          <w:b w:val="0"/>
          <w:bCs w:val="0"/>
          <w:sz w:val="32"/>
          <w:szCs w:val="32"/>
        </w:rPr>
        <w:t>11</w:t>
      </w:r>
      <w:r>
        <w:rPr>
          <w:rFonts w:hint="default" w:ascii="方正仿宋_GBK" w:hAnsi="方正仿宋_GBK" w:eastAsia="方正仿宋_GBK" w:cs="方正仿宋_GBK"/>
          <w:b w:val="0"/>
          <w:bCs w:val="0"/>
          <w:sz w:val="32"/>
          <w:szCs w:val="32"/>
        </w:rPr>
        <w:t>月，相关人民币跨境支付服务正式上线。</w:t>
      </w:r>
    </w:p>
    <w:p w14:paraId="0CCCBCF0">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方正仿宋_GBK" w:hAnsi="方正仿宋_GBK" w:eastAsia="方正仿宋_GBK" w:cs="方正仿宋_GBK"/>
          <w:b w:val="0"/>
          <w:bCs w:val="0"/>
          <w:sz w:val="32"/>
          <w:szCs w:val="32"/>
        </w:rPr>
      </w:pPr>
      <w:r>
        <w:rPr>
          <w:rFonts w:hint="default" w:ascii="方正仿宋_GBK" w:hAnsi="方正仿宋_GBK" w:eastAsia="方正仿宋_GBK" w:cs="方正仿宋_GBK"/>
          <w:b w:val="0"/>
          <w:bCs w:val="0"/>
          <w:sz w:val="32"/>
          <w:szCs w:val="32"/>
        </w:rPr>
        <w:t>标准银行总部位于南非约翰内斯堡，中国工商银行自</w:t>
      </w:r>
      <w:r>
        <w:rPr>
          <w:rFonts w:hint="default" w:ascii="Times New Roman" w:hAnsi="Times New Roman" w:eastAsia="方正仿宋_GBK" w:cs="Times New Roman"/>
          <w:b w:val="0"/>
          <w:bCs w:val="0"/>
          <w:sz w:val="32"/>
          <w:szCs w:val="32"/>
        </w:rPr>
        <w:t>2007</w:t>
      </w:r>
      <w:r>
        <w:rPr>
          <w:rFonts w:hint="default" w:ascii="方正仿宋_GBK" w:hAnsi="方正仿宋_GBK" w:eastAsia="方正仿宋_GBK" w:cs="方正仿宋_GBK"/>
          <w:b w:val="0"/>
          <w:bCs w:val="0"/>
          <w:sz w:val="32"/>
          <w:szCs w:val="32"/>
        </w:rPr>
        <w:t>年起持有其约</w:t>
      </w:r>
      <w:r>
        <w:rPr>
          <w:rFonts w:hint="default" w:ascii="Times New Roman" w:hAnsi="Times New Roman" w:eastAsia="方正仿宋_GBK" w:cs="Times New Roman"/>
          <w:b w:val="0"/>
          <w:bCs w:val="0"/>
          <w:sz w:val="32"/>
          <w:szCs w:val="32"/>
        </w:rPr>
        <w:t>20%</w:t>
      </w:r>
      <w:r>
        <w:rPr>
          <w:rFonts w:hint="default" w:ascii="方正仿宋_GBK" w:hAnsi="方正仿宋_GBK" w:eastAsia="方正仿宋_GBK" w:cs="方正仿宋_GBK"/>
          <w:b w:val="0"/>
          <w:bCs w:val="0"/>
          <w:sz w:val="32"/>
          <w:szCs w:val="32"/>
        </w:rPr>
        <w:t>的股权。双方长期合作，也为人民币跨境支付业务提供了基础。</w:t>
      </w:r>
    </w:p>
    <w:p w14:paraId="0DEAFCEB">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方正仿宋_GBK" w:hAnsi="方正仿宋_GBK" w:eastAsia="方正仿宋_GBK" w:cs="方正仿宋_GBK"/>
          <w:b w:val="0"/>
          <w:bCs w:val="0"/>
          <w:sz w:val="32"/>
          <w:szCs w:val="32"/>
        </w:rPr>
      </w:pPr>
      <w:r>
        <w:rPr>
          <w:rFonts w:hint="default" w:ascii="Times New Roman" w:hAnsi="Times New Roman" w:eastAsia="方正仿宋_GBK" w:cs="Times New Roman"/>
          <w:b w:val="0"/>
          <w:bCs w:val="0"/>
          <w:sz w:val="32"/>
          <w:szCs w:val="32"/>
        </w:rPr>
        <w:t>CIPS</w:t>
      </w:r>
      <w:r>
        <w:rPr>
          <w:rFonts w:hint="default" w:ascii="方正仿宋_GBK" w:hAnsi="方正仿宋_GBK" w:eastAsia="方正仿宋_GBK" w:cs="方正仿宋_GBK"/>
          <w:b w:val="0"/>
          <w:bCs w:val="0"/>
          <w:sz w:val="32"/>
          <w:szCs w:val="32"/>
        </w:rPr>
        <w:t>可以理解为人民币跨境支付和清算的重要基础设施。与主要承担金融报文传递功能的</w:t>
      </w:r>
      <w:r>
        <w:rPr>
          <w:rFonts w:hint="default" w:ascii="Times New Roman" w:hAnsi="Times New Roman" w:eastAsia="方正仿宋_GBK" w:cs="Times New Roman"/>
          <w:b w:val="0"/>
          <w:bCs w:val="0"/>
          <w:sz w:val="32"/>
          <w:szCs w:val="32"/>
        </w:rPr>
        <w:t>SWIFT</w:t>
      </w:r>
      <w:r>
        <w:rPr>
          <w:rFonts w:hint="default" w:ascii="方正仿宋_GBK" w:hAnsi="方正仿宋_GBK" w:eastAsia="方正仿宋_GBK" w:cs="方正仿宋_GBK"/>
          <w:b w:val="0"/>
          <w:bCs w:val="0"/>
          <w:sz w:val="32"/>
          <w:szCs w:val="32"/>
        </w:rPr>
        <w:t>不同，</w:t>
      </w:r>
      <w:r>
        <w:rPr>
          <w:rFonts w:hint="default" w:ascii="Times New Roman" w:hAnsi="Times New Roman" w:eastAsia="方正仿宋_GBK" w:cs="Times New Roman"/>
          <w:b w:val="0"/>
          <w:bCs w:val="0"/>
          <w:sz w:val="32"/>
          <w:szCs w:val="32"/>
        </w:rPr>
        <w:t>CIPS</w:t>
      </w:r>
      <w:r>
        <w:rPr>
          <w:rFonts w:hint="default" w:ascii="方正仿宋_GBK" w:hAnsi="方正仿宋_GBK" w:eastAsia="方正仿宋_GBK" w:cs="方正仿宋_GBK"/>
          <w:b w:val="0"/>
          <w:bCs w:val="0"/>
          <w:sz w:val="32"/>
          <w:szCs w:val="32"/>
        </w:rPr>
        <w:t>本身承担人民币跨境支付的清算功能。通过</w:t>
      </w:r>
      <w:r>
        <w:rPr>
          <w:rFonts w:hint="default" w:ascii="Times New Roman" w:hAnsi="Times New Roman" w:eastAsia="方正仿宋_GBK" w:cs="Times New Roman"/>
          <w:b w:val="0"/>
          <w:bCs w:val="0"/>
          <w:sz w:val="32"/>
          <w:szCs w:val="32"/>
        </w:rPr>
        <w:t>CIPS</w:t>
      </w:r>
      <w:r>
        <w:rPr>
          <w:rFonts w:hint="default" w:ascii="方正仿宋_GBK" w:hAnsi="方正仿宋_GBK" w:eastAsia="方正仿宋_GBK" w:cs="方正仿宋_GBK"/>
          <w:b w:val="0"/>
          <w:bCs w:val="0"/>
          <w:sz w:val="32"/>
          <w:szCs w:val="32"/>
        </w:rPr>
        <w:t>及相关银行网络，交易双方可以更加直接地完成人民币跨境结算，从而减少部分美元兑换和代理行环节。</w:t>
      </w:r>
    </w:p>
    <w:p w14:paraId="036C551F">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方正仿宋_GBK" w:hAnsi="方正仿宋_GBK" w:eastAsia="方正仿宋_GBK" w:cs="方正仿宋_GBK"/>
          <w:b w:val="0"/>
          <w:bCs w:val="0"/>
          <w:sz w:val="32"/>
          <w:szCs w:val="32"/>
        </w:rPr>
      </w:pPr>
      <w:r>
        <w:rPr>
          <w:rFonts w:hint="default" w:ascii="方正仿宋_GBK" w:hAnsi="方正仿宋_GBK" w:eastAsia="方正仿宋_GBK" w:cs="方正仿宋_GBK"/>
          <w:b w:val="0"/>
          <w:bCs w:val="0"/>
          <w:sz w:val="32"/>
          <w:szCs w:val="32"/>
        </w:rPr>
        <w:t>到</w:t>
      </w:r>
      <w:r>
        <w:rPr>
          <w:rFonts w:hint="default" w:ascii="Times New Roman" w:hAnsi="Times New Roman" w:eastAsia="方正仿宋_GBK" w:cs="Times New Roman"/>
          <w:b w:val="0"/>
          <w:bCs w:val="0"/>
          <w:sz w:val="32"/>
          <w:szCs w:val="32"/>
        </w:rPr>
        <w:t>2026</w:t>
      </w:r>
      <w:r>
        <w:rPr>
          <w:rFonts w:hint="default" w:ascii="方正仿宋_GBK" w:hAnsi="方正仿宋_GBK" w:eastAsia="方正仿宋_GBK" w:cs="方正仿宋_GBK"/>
          <w:b w:val="0"/>
          <w:bCs w:val="0"/>
          <w:sz w:val="32"/>
          <w:szCs w:val="32"/>
        </w:rPr>
        <w:t>年</w:t>
      </w:r>
      <w:r>
        <w:rPr>
          <w:rFonts w:hint="default" w:ascii="Times New Roman" w:hAnsi="Times New Roman" w:eastAsia="方正仿宋_GBK" w:cs="Times New Roman"/>
          <w:b w:val="0"/>
          <w:bCs w:val="0"/>
          <w:sz w:val="32"/>
          <w:szCs w:val="32"/>
        </w:rPr>
        <w:t>6</w:t>
      </w:r>
      <w:r>
        <w:rPr>
          <w:rFonts w:hint="default" w:ascii="方正仿宋_GBK" w:hAnsi="方正仿宋_GBK" w:eastAsia="方正仿宋_GBK" w:cs="方正仿宋_GBK"/>
          <w:b w:val="0"/>
          <w:bCs w:val="0"/>
          <w:sz w:val="32"/>
          <w:szCs w:val="32"/>
        </w:rPr>
        <w:t>月，标准银行又获准与中国工商银行共同开展非洲人民币清算业务，服务网络覆盖</w:t>
      </w:r>
      <w:r>
        <w:rPr>
          <w:rFonts w:hint="default" w:ascii="Times New Roman" w:hAnsi="Times New Roman" w:eastAsia="方正仿宋_GBK" w:cs="Times New Roman"/>
          <w:b w:val="0"/>
          <w:bCs w:val="0"/>
          <w:sz w:val="32"/>
          <w:szCs w:val="32"/>
        </w:rPr>
        <w:t>19</w:t>
      </w:r>
      <w:r>
        <w:rPr>
          <w:rFonts w:hint="default" w:ascii="方正仿宋_GBK" w:hAnsi="方正仿宋_GBK" w:eastAsia="方正仿宋_GBK" w:cs="方正仿宋_GBK"/>
          <w:b w:val="0"/>
          <w:bCs w:val="0"/>
          <w:sz w:val="32"/>
          <w:szCs w:val="32"/>
        </w:rPr>
        <w:t>个非洲国家。这意味着，人民币在非洲的支付基础设施正在从“单笔交易可以使用人民币”，进一步向“形成区域性清算网络”发展。南非另一家大型银行</w:t>
      </w:r>
      <w:r>
        <w:rPr>
          <w:rFonts w:hint="default" w:ascii="Times New Roman" w:hAnsi="Times New Roman" w:eastAsia="方正仿宋_GBK" w:cs="Times New Roman"/>
          <w:b w:val="0"/>
          <w:bCs w:val="0"/>
          <w:sz w:val="32"/>
          <w:szCs w:val="32"/>
        </w:rPr>
        <w:t>Absa</w:t>
      </w:r>
      <w:r>
        <w:rPr>
          <w:rFonts w:hint="default" w:ascii="方正仿宋_GBK" w:hAnsi="方正仿宋_GBK" w:eastAsia="方正仿宋_GBK" w:cs="方正仿宋_GBK"/>
          <w:b w:val="0"/>
          <w:bCs w:val="0"/>
          <w:sz w:val="32"/>
          <w:szCs w:val="32"/>
        </w:rPr>
        <w:t>，以及业务覆盖</w:t>
      </w:r>
      <w:r>
        <w:rPr>
          <w:rFonts w:hint="default" w:ascii="Times New Roman" w:hAnsi="Times New Roman" w:eastAsia="方正仿宋_GBK" w:cs="Times New Roman"/>
          <w:b w:val="0"/>
          <w:bCs w:val="0"/>
          <w:sz w:val="32"/>
          <w:szCs w:val="32"/>
        </w:rPr>
        <w:t>30</w:t>
      </w:r>
      <w:r>
        <w:rPr>
          <w:rFonts w:hint="default" w:ascii="方正仿宋_GBK" w:hAnsi="方正仿宋_GBK" w:eastAsia="方正仿宋_GBK" w:cs="方正仿宋_GBK"/>
          <w:b w:val="0"/>
          <w:bCs w:val="0"/>
          <w:sz w:val="32"/>
          <w:szCs w:val="32"/>
        </w:rPr>
        <w:t>多个非洲国家的大型银行</w:t>
      </w:r>
      <w:r>
        <w:rPr>
          <w:rFonts w:hint="default" w:ascii="Times New Roman" w:hAnsi="Times New Roman" w:eastAsia="方正仿宋_GBK" w:cs="Times New Roman"/>
          <w:b w:val="0"/>
          <w:bCs w:val="0"/>
          <w:sz w:val="32"/>
          <w:szCs w:val="32"/>
        </w:rPr>
        <w:t>Ecobank</w:t>
      </w:r>
      <w:r>
        <w:rPr>
          <w:rFonts w:hint="default" w:ascii="方正仿宋_GBK" w:hAnsi="方正仿宋_GBK" w:eastAsia="方正仿宋_GBK" w:cs="方正仿宋_GBK"/>
          <w:b w:val="0"/>
          <w:bCs w:val="0"/>
          <w:sz w:val="32"/>
          <w:szCs w:val="32"/>
        </w:rPr>
        <w:t>，也在推动人民币直接支付服务。</w:t>
      </w:r>
    </w:p>
    <w:p w14:paraId="7C977181">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方正仿宋_GBK" w:hAnsi="方正仿宋_GBK" w:eastAsia="方正仿宋_GBK" w:cs="方正仿宋_GBK"/>
          <w:b w:val="0"/>
          <w:bCs w:val="0"/>
          <w:sz w:val="32"/>
          <w:szCs w:val="32"/>
        </w:rPr>
      </w:pPr>
      <w:r>
        <w:rPr>
          <w:rFonts w:hint="default" w:ascii="方正仿宋_GBK" w:hAnsi="方正仿宋_GBK" w:eastAsia="方正仿宋_GBK" w:cs="方正仿宋_GBK"/>
          <w:b w:val="0"/>
          <w:bCs w:val="0"/>
          <w:sz w:val="32"/>
          <w:szCs w:val="32"/>
        </w:rPr>
        <w:t>另一方面，是建设非洲自己的区域支付系统。</w:t>
      </w:r>
    </w:p>
    <w:p w14:paraId="384E04BE">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方正仿宋_GBK" w:hAnsi="方正仿宋_GBK" w:eastAsia="方正仿宋_GBK" w:cs="方正仿宋_GBK"/>
          <w:b w:val="0"/>
          <w:bCs w:val="0"/>
          <w:sz w:val="32"/>
          <w:szCs w:val="32"/>
        </w:rPr>
      </w:pPr>
      <w:r>
        <w:rPr>
          <w:rFonts w:hint="default" w:ascii="Times New Roman" w:hAnsi="Times New Roman" w:eastAsia="方正仿宋_GBK" w:cs="Times New Roman"/>
          <w:b w:val="0"/>
          <w:bCs w:val="0"/>
          <w:sz w:val="32"/>
          <w:szCs w:val="32"/>
        </w:rPr>
        <w:t>2022</w:t>
      </w:r>
      <w:r>
        <w:rPr>
          <w:rFonts w:hint="default" w:ascii="方正仿宋_GBK" w:hAnsi="方正仿宋_GBK" w:eastAsia="方正仿宋_GBK" w:cs="方正仿宋_GBK"/>
          <w:b w:val="0"/>
          <w:bCs w:val="0"/>
          <w:sz w:val="32"/>
          <w:szCs w:val="32"/>
        </w:rPr>
        <w:t>年，非洲进出口银行（</w:t>
      </w:r>
      <w:r>
        <w:rPr>
          <w:rFonts w:hint="default" w:ascii="Times New Roman" w:hAnsi="Times New Roman" w:eastAsia="方正仿宋_GBK" w:cs="Times New Roman"/>
          <w:b w:val="0"/>
          <w:bCs w:val="0"/>
          <w:sz w:val="32"/>
          <w:szCs w:val="32"/>
        </w:rPr>
        <w:t>Afreximbank</w:t>
      </w:r>
      <w:r>
        <w:rPr>
          <w:rFonts w:hint="default" w:ascii="方正仿宋_GBK" w:hAnsi="方正仿宋_GBK" w:eastAsia="方正仿宋_GBK" w:cs="方正仿宋_GBK"/>
          <w:b w:val="0"/>
          <w:bCs w:val="0"/>
          <w:sz w:val="32"/>
          <w:szCs w:val="32"/>
        </w:rPr>
        <w:t>）与非洲联盟共同推出了“泛非支付与结算系统”（</w:t>
      </w:r>
      <w:r>
        <w:rPr>
          <w:rFonts w:hint="default" w:ascii="Times New Roman" w:hAnsi="Times New Roman" w:eastAsia="方正仿宋_GBK" w:cs="Times New Roman"/>
          <w:b w:val="0"/>
          <w:bCs w:val="0"/>
          <w:sz w:val="32"/>
          <w:szCs w:val="32"/>
        </w:rPr>
        <w:t>Pan-African Payment and Settlement System</w:t>
      </w:r>
      <w:r>
        <w:rPr>
          <w:rFonts w:hint="default" w:ascii="方正仿宋_GBK" w:hAnsi="方正仿宋_GBK" w:eastAsia="方正仿宋_GBK" w:cs="方正仿宋_GBK"/>
          <w:b w:val="0"/>
          <w:bCs w:val="0"/>
          <w:sz w:val="32"/>
          <w:szCs w:val="32"/>
        </w:rPr>
        <w:t>，简称</w:t>
      </w:r>
      <w:r>
        <w:rPr>
          <w:rFonts w:hint="default" w:ascii="Times New Roman" w:hAnsi="Times New Roman" w:eastAsia="方正仿宋_GBK" w:cs="Times New Roman"/>
          <w:b w:val="0"/>
          <w:bCs w:val="0"/>
          <w:sz w:val="32"/>
          <w:szCs w:val="32"/>
        </w:rPr>
        <w:t>PAPSS</w:t>
      </w:r>
      <w:r>
        <w:rPr>
          <w:rFonts w:hint="default" w:ascii="方正仿宋_GBK" w:hAnsi="方正仿宋_GBK" w:eastAsia="方正仿宋_GBK" w:cs="方正仿宋_GBK"/>
          <w:b w:val="0"/>
          <w:bCs w:val="0"/>
          <w:sz w:val="32"/>
          <w:szCs w:val="32"/>
        </w:rPr>
        <w:t>）。这套系统的目标很明确：让非洲国家之间尽量用本地货币直接结算贸易，而不必每次都绕道美元。目前已有</w:t>
      </w:r>
      <w:r>
        <w:rPr>
          <w:rFonts w:hint="default" w:ascii="Times New Roman" w:hAnsi="Times New Roman" w:eastAsia="方正仿宋_GBK" w:cs="Times New Roman"/>
          <w:b w:val="0"/>
          <w:bCs w:val="0"/>
          <w:sz w:val="32"/>
          <w:szCs w:val="32"/>
        </w:rPr>
        <w:t>160</w:t>
      </w:r>
      <w:r>
        <w:rPr>
          <w:rFonts w:hint="default" w:ascii="方正仿宋_GBK" w:hAnsi="方正仿宋_GBK" w:eastAsia="方正仿宋_GBK" w:cs="方正仿宋_GBK"/>
          <w:b w:val="0"/>
          <w:bCs w:val="0"/>
          <w:sz w:val="32"/>
          <w:szCs w:val="32"/>
        </w:rPr>
        <w:t>多家商业银行和</w:t>
      </w:r>
      <w:r>
        <w:rPr>
          <w:rFonts w:hint="default" w:ascii="Times New Roman" w:hAnsi="Times New Roman" w:eastAsia="方正仿宋_GBK" w:cs="Times New Roman"/>
          <w:b w:val="0"/>
          <w:bCs w:val="0"/>
          <w:sz w:val="32"/>
          <w:szCs w:val="32"/>
        </w:rPr>
        <w:t>22</w:t>
      </w:r>
      <w:r>
        <w:rPr>
          <w:rFonts w:hint="default" w:ascii="方正仿宋_GBK" w:hAnsi="方正仿宋_GBK" w:eastAsia="方正仿宋_GBK" w:cs="方正仿宋_GBK"/>
          <w:b w:val="0"/>
          <w:bCs w:val="0"/>
          <w:sz w:val="32"/>
          <w:szCs w:val="32"/>
        </w:rPr>
        <w:t>家中央银行加入。长期来看，它有望每年为企业节约约</w:t>
      </w:r>
      <w:r>
        <w:rPr>
          <w:rFonts w:hint="default" w:ascii="Times New Roman" w:hAnsi="Times New Roman" w:eastAsia="方正仿宋_GBK" w:cs="Times New Roman"/>
          <w:b w:val="0"/>
          <w:bCs w:val="0"/>
          <w:sz w:val="32"/>
          <w:szCs w:val="32"/>
        </w:rPr>
        <w:t>50</w:t>
      </w:r>
      <w:r>
        <w:rPr>
          <w:rFonts w:hint="default" w:ascii="方正仿宋_GBK" w:hAnsi="方正仿宋_GBK" w:eastAsia="方正仿宋_GBK" w:cs="方正仿宋_GBK"/>
          <w:b w:val="0"/>
          <w:bCs w:val="0"/>
          <w:sz w:val="32"/>
          <w:szCs w:val="32"/>
        </w:rPr>
        <w:t>亿美元的银行手续费和外汇兑换成本。</w:t>
      </w:r>
    </w:p>
    <w:p w14:paraId="138C225A">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方正仿宋_GBK" w:hAnsi="方正仿宋_GBK" w:eastAsia="方正仿宋_GBK" w:cs="方正仿宋_GBK"/>
          <w:b w:val="0"/>
          <w:bCs w:val="0"/>
          <w:sz w:val="32"/>
          <w:szCs w:val="32"/>
        </w:rPr>
      </w:pPr>
      <w:r>
        <w:rPr>
          <w:rFonts w:hint="default" w:ascii="方正仿宋_GBK" w:hAnsi="方正仿宋_GBK" w:eastAsia="方正仿宋_GBK" w:cs="方正仿宋_GBK"/>
          <w:b w:val="0"/>
          <w:bCs w:val="0"/>
          <w:sz w:val="32"/>
          <w:szCs w:val="32"/>
        </w:rPr>
        <w:t>上述两套系统虽然服务的货币不同（一个侧重人民币，一个侧重非洲本币），但方向是一致的：都在试图降低对单一外部清算体系的依赖，让跨境资金流动更直接、更低成本。</w:t>
      </w:r>
    </w:p>
    <w:p w14:paraId="30CC6B1C">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方正仿宋_GBK" w:hAnsi="方正仿宋_GBK" w:eastAsia="方正仿宋_GBK" w:cs="方正仿宋_GBK"/>
          <w:b w:val="0"/>
          <w:bCs w:val="0"/>
          <w:sz w:val="32"/>
          <w:szCs w:val="32"/>
        </w:rPr>
      </w:pPr>
      <w:r>
        <w:rPr>
          <w:rFonts w:hint="default" w:ascii="方正仿宋_GBK" w:hAnsi="方正仿宋_GBK" w:eastAsia="方正仿宋_GBK" w:cs="方正仿宋_GBK"/>
          <w:b w:val="0"/>
          <w:bCs w:val="0"/>
          <w:sz w:val="32"/>
          <w:szCs w:val="32"/>
        </w:rPr>
        <w:t>真正的货币国际化，不只是“某种货币被更多人使用”，而是支付、清算、银行网络和金融基础设施一起被重构。没有这些底层通道，货币选择就很难真正落地。</w:t>
      </w:r>
    </w:p>
    <w:p w14:paraId="747206D6">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方正仿宋_GBK" w:hAnsi="方正仿宋_GBK" w:eastAsia="方正仿宋_GBK" w:cs="方正仿宋_GBK"/>
          <w:b w:val="0"/>
          <w:bCs w:val="0"/>
          <w:sz w:val="32"/>
          <w:szCs w:val="32"/>
        </w:rPr>
      </w:pPr>
      <w:r>
        <w:rPr>
          <w:rFonts w:hint="default" w:ascii="方正仿宋_GBK" w:hAnsi="方正仿宋_GBK" w:eastAsia="方正仿宋_GBK" w:cs="方正仿宋_GBK"/>
          <w:b w:val="0"/>
          <w:bCs w:val="0"/>
          <w:sz w:val="32"/>
          <w:szCs w:val="32"/>
        </w:rPr>
        <w:t>国家和银行层面的基础设施只是一部分。在企业和个人层面，金融科技公司正在用另一种方式改变非洲的跨境支付体验。</w:t>
      </w:r>
    </w:p>
    <w:p w14:paraId="26B86FEE">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三、金融科技：在企业和个人层面缩短跨境支付链条</w:t>
      </w:r>
    </w:p>
    <w:p w14:paraId="49C34BCA">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方正仿宋_GBK" w:hAnsi="方正仿宋_GBK" w:eastAsia="方正仿宋_GBK" w:cs="方正仿宋_GBK"/>
          <w:b w:val="0"/>
          <w:bCs w:val="0"/>
          <w:sz w:val="32"/>
          <w:szCs w:val="32"/>
        </w:rPr>
      </w:pPr>
      <w:r>
        <w:rPr>
          <w:rFonts w:hint="default" w:ascii="方正仿宋_GBK" w:hAnsi="方正仿宋_GBK" w:eastAsia="方正仿宋_GBK" w:cs="方正仿宋_GBK"/>
          <w:b w:val="0"/>
          <w:bCs w:val="0"/>
          <w:sz w:val="32"/>
          <w:szCs w:val="32"/>
        </w:rPr>
        <w:t>非洲在支付领域已经有过一次成功的“跨越”。</w:t>
      </w:r>
      <w:r>
        <w:rPr>
          <w:rFonts w:hint="default" w:ascii="Times New Roman" w:hAnsi="Times New Roman" w:eastAsia="方正仿宋_GBK" w:cs="Times New Roman"/>
          <w:b w:val="0"/>
          <w:bCs w:val="0"/>
          <w:sz w:val="32"/>
          <w:szCs w:val="32"/>
        </w:rPr>
        <w:t>2000</w:t>
      </w:r>
      <w:r>
        <w:rPr>
          <w:rFonts w:hint="default" w:ascii="方正仿宋_GBK" w:hAnsi="方正仿宋_GBK" w:eastAsia="方正仿宋_GBK" w:cs="方正仿宋_GBK"/>
          <w:b w:val="0"/>
          <w:bCs w:val="0"/>
          <w:sz w:val="32"/>
          <w:szCs w:val="32"/>
        </w:rPr>
        <w:t>年代初，数百万没有固定电话的非洲人直接进入了移动电话时代；到了</w:t>
      </w:r>
      <w:r>
        <w:rPr>
          <w:rFonts w:hint="default" w:ascii="Times New Roman" w:hAnsi="Times New Roman" w:eastAsia="方正仿宋_GBK" w:cs="Times New Roman"/>
          <w:b w:val="0"/>
          <w:bCs w:val="0"/>
          <w:sz w:val="32"/>
          <w:szCs w:val="32"/>
        </w:rPr>
        <w:t>2010</w:t>
      </w:r>
      <w:r>
        <w:rPr>
          <w:rFonts w:hint="default" w:ascii="方正仿宋_GBK" w:hAnsi="方正仿宋_GBK" w:eastAsia="方正仿宋_GBK" w:cs="方正仿宋_GBK"/>
          <w:b w:val="0"/>
          <w:bCs w:val="0"/>
          <w:sz w:val="32"/>
          <w:szCs w:val="32"/>
        </w:rPr>
        <w:t>年代，同样数量庞大的人群又跳过了传统银行账户，直接使用移动支付钱包；如今，全球一半以上的移动支付用户都在非洲。正是这些曾经推动移动支付普及的金融科技公司，开始把目光投向更复杂的跨境支付场景。</w:t>
      </w:r>
    </w:p>
    <w:p w14:paraId="39F40542">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方正仿宋_GBK" w:hAnsi="方正仿宋_GBK" w:eastAsia="方正仿宋_GBK" w:cs="方正仿宋_GBK"/>
          <w:b w:val="0"/>
          <w:bCs w:val="0"/>
          <w:sz w:val="32"/>
          <w:szCs w:val="32"/>
        </w:rPr>
      </w:pPr>
      <w:r>
        <w:rPr>
          <w:rFonts w:hint="default" w:ascii="方正仿宋_GBK" w:hAnsi="方正仿宋_GBK" w:eastAsia="方正仿宋_GBK" w:cs="方正仿宋_GBK"/>
          <w:b w:val="0"/>
          <w:bCs w:val="0"/>
          <w:sz w:val="32"/>
          <w:szCs w:val="32"/>
        </w:rPr>
        <w:t>一些金融科技大型公司已经在多个非洲国家设立注册办公室并取得牌照，因此在撮合交易时可以绕开部分传统银行体系。例如，塞内加尔的</w:t>
      </w:r>
      <w:r>
        <w:rPr>
          <w:rFonts w:hint="default" w:ascii="Times New Roman" w:hAnsi="Times New Roman" w:eastAsia="方正仿宋_GBK" w:cs="Times New Roman"/>
          <w:b w:val="0"/>
          <w:bCs w:val="0"/>
          <w:sz w:val="32"/>
          <w:szCs w:val="32"/>
        </w:rPr>
        <w:t>Wave</w:t>
      </w:r>
      <w:r>
        <w:rPr>
          <w:rFonts w:hint="default" w:ascii="方正仿宋_GBK" w:hAnsi="方正仿宋_GBK" w:eastAsia="方正仿宋_GBK" w:cs="方正仿宋_GBK"/>
          <w:b w:val="0"/>
          <w:bCs w:val="0"/>
          <w:sz w:val="32"/>
          <w:szCs w:val="32"/>
        </w:rPr>
        <w:t>主要服务法语区西非；尼日利亚的</w:t>
      </w:r>
      <w:r>
        <w:rPr>
          <w:rFonts w:hint="default" w:ascii="Times New Roman" w:hAnsi="Times New Roman" w:eastAsia="方正仿宋_GBK" w:cs="Times New Roman"/>
          <w:b w:val="0"/>
          <w:bCs w:val="0"/>
          <w:sz w:val="32"/>
          <w:szCs w:val="32"/>
        </w:rPr>
        <w:t>Flutterwave</w:t>
      </w:r>
      <w:r>
        <w:rPr>
          <w:rFonts w:hint="default" w:ascii="方正仿宋_GBK" w:hAnsi="方正仿宋_GBK" w:eastAsia="方正仿宋_GBK" w:cs="方正仿宋_GBK"/>
          <w:b w:val="0"/>
          <w:bCs w:val="0"/>
          <w:sz w:val="32"/>
          <w:szCs w:val="32"/>
        </w:rPr>
        <w:t>业务已覆盖非洲一半以上的国家。还有一些公司使用“稳定币”（一种与美元等资产价值挂钩的加密货币）来规避汇率波动，美国公司</w:t>
      </w:r>
      <w:r>
        <w:rPr>
          <w:rFonts w:hint="default" w:ascii="Times New Roman" w:hAnsi="Times New Roman" w:eastAsia="方正仿宋_GBK" w:cs="Times New Roman"/>
          <w:b w:val="0"/>
          <w:bCs w:val="0"/>
          <w:sz w:val="32"/>
          <w:szCs w:val="32"/>
        </w:rPr>
        <w:t>Grey Finance</w:t>
      </w:r>
      <w:r>
        <w:rPr>
          <w:rFonts w:hint="default" w:ascii="方正仿宋_GBK" w:hAnsi="方正仿宋_GBK" w:eastAsia="方正仿宋_GBK" w:cs="方正仿宋_GBK"/>
          <w:b w:val="0"/>
          <w:bCs w:val="0"/>
          <w:sz w:val="32"/>
          <w:szCs w:val="32"/>
        </w:rPr>
        <w:t>就利用这一技术，让身处非洲的远程工作者们能够以多种货币收取报酬。移动通信运营商</w:t>
      </w:r>
      <w:r>
        <w:rPr>
          <w:rFonts w:hint="default" w:ascii="Times New Roman" w:hAnsi="Times New Roman" w:eastAsia="方正仿宋_GBK" w:cs="Times New Roman"/>
          <w:b w:val="0"/>
          <w:bCs w:val="0"/>
          <w:sz w:val="32"/>
          <w:szCs w:val="32"/>
        </w:rPr>
        <w:t>MTN</w:t>
      </w:r>
      <w:r>
        <w:rPr>
          <w:rFonts w:hint="default" w:ascii="方正仿宋_GBK" w:hAnsi="方正仿宋_GBK" w:eastAsia="方正仿宋_GBK" w:cs="方正仿宋_GBK"/>
          <w:b w:val="0"/>
          <w:bCs w:val="0"/>
          <w:sz w:val="32"/>
          <w:szCs w:val="32"/>
        </w:rPr>
        <w:t>也与南非金融科技公司</w:t>
      </w:r>
      <w:r>
        <w:rPr>
          <w:rFonts w:hint="default" w:ascii="Times New Roman" w:hAnsi="Times New Roman" w:eastAsia="方正仿宋_GBK" w:cs="Times New Roman"/>
          <w:b w:val="0"/>
          <w:bCs w:val="0"/>
          <w:sz w:val="32"/>
          <w:szCs w:val="32"/>
        </w:rPr>
        <w:t>Onafriq</w:t>
      </w:r>
      <w:r>
        <w:rPr>
          <w:rFonts w:hint="default" w:ascii="方正仿宋_GBK" w:hAnsi="方正仿宋_GBK" w:eastAsia="方正仿宋_GBK" w:cs="方正仿宋_GBK"/>
          <w:b w:val="0"/>
          <w:bCs w:val="0"/>
          <w:sz w:val="32"/>
          <w:szCs w:val="32"/>
        </w:rPr>
        <w:t>合作，让用户通过手机钱包实现即时跨境汇款。</w:t>
      </w:r>
    </w:p>
    <w:p w14:paraId="5A0D8685">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方正仿宋_GBK" w:hAnsi="方正仿宋_GBK" w:eastAsia="方正仿宋_GBK" w:cs="方正仿宋_GBK"/>
          <w:b w:val="0"/>
          <w:bCs w:val="0"/>
          <w:sz w:val="32"/>
          <w:szCs w:val="32"/>
        </w:rPr>
      </w:pPr>
      <w:r>
        <w:rPr>
          <w:rFonts w:hint="default" w:ascii="方正仿宋_GBK" w:hAnsi="方正仿宋_GBK" w:eastAsia="方正仿宋_GBK" w:cs="方正仿宋_GBK"/>
          <w:b w:val="0"/>
          <w:bCs w:val="0"/>
          <w:sz w:val="32"/>
          <w:szCs w:val="32"/>
        </w:rPr>
        <w:t>这些创新正在降低向非洲汇款的成本。</w:t>
      </w:r>
      <w:r>
        <w:rPr>
          <w:rFonts w:hint="default" w:ascii="Times New Roman" w:hAnsi="Times New Roman" w:eastAsia="方正仿宋_GBK" w:cs="Times New Roman"/>
          <w:b w:val="0"/>
          <w:bCs w:val="0"/>
          <w:sz w:val="32"/>
          <w:szCs w:val="32"/>
        </w:rPr>
        <w:t>2015</w:t>
      </w:r>
      <w:r>
        <w:rPr>
          <w:rFonts w:hint="default" w:ascii="方正仿宋_GBK" w:hAnsi="方正仿宋_GBK" w:eastAsia="方正仿宋_GBK" w:cs="方正仿宋_GBK"/>
          <w:b w:val="0"/>
          <w:bCs w:val="0"/>
          <w:sz w:val="32"/>
          <w:szCs w:val="32"/>
        </w:rPr>
        <w:t>年至</w:t>
      </w:r>
      <w:r>
        <w:rPr>
          <w:rFonts w:hint="default" w:ascii="Times New Roman" w:hAnsi="Times New Roman" w:eastAsia="方正仿宋_GBK" w:cs="Times New Roman"/>
          <w:b w:val="0"/>
          <w:bCs w:val="0"/>
          <w:sz w:val="32"/>
          <w:szCs w:val="32"/>
        </w:rPr>
        <w:t>2025</w:t>
      </w:r>
      <w:r>
        <w:rPr>
          <w:rFonts w:hint="default" w:ascii="方正仿宋_GBK" w:hAnsi="方正仿宋_GBK" w:eastAsia="方正仿宋_GBK" w:cs="方正仿宋_GBK"/>
          <w:b w:val="0"/>
          <w:bCs w:val="0"/>
          <w:sz w:val="32"/>
          <w:szCs w:val="32"/>
        </w:rPr>
        <w:t>年间，向非洲汇款的平均成本已从交易金额的</w:t>
      </w:r>
      <w:r>
        <w:rPr>
          <w:rFonts w:hint="default" w:ascii="Times New Roman" w:hAnsi="Times New Roman" w:eastAsia="方正仿宋_GBK" w:cs="Times New Roman"/>
          <w:b w:val="0"/>
          <w:bCs w:val="0"/>
          <w:sz w:val="32"/>
          <w:szCs w:val="32"/>
        </w:rPr>
        <w:t>8%</w:t>
      </w:r>
      <w:r>
        <w:rPr>
          <w:rFonts w:hint="default" w:ascii="方正仿宋_GBK" w:hAnsi="方正仿宋_GBK" w:eastAsia="方正仿宋_GBK" w:cs="方正仿宋_GBK"/>
          <w:b w:val="0"/>
          <w:bCs w:val="0"/>
          <w:sz w:val="32"/>
          <w:szCs w:val="32"/>
        </w:rPr>
        <w:t>下降到略低于</w:t>
      </w:r>
      <w:r>
        <w:rPr>
          <w:rFonts w:hint="default" w:ascii="Times New Roman" w:hAnsi="Times New Roman" w:eastAsia="方正仿宋_GBK" w:cs="Times New Roman"/>
          <w:b w:val="0"/>
          <w:bCs w:val="0"/>
          <w:sz w:val="32"/>
          <w:szCs w:val="32"/>
        </w:rPr>
        <w:t>6%</w:t>
      </w:r>
      <w:r>
        <w:rPr>
          <w:rFonts w:hint="default" w:ascii="方正仿宋_GBK" w:hAnsi="方正仿宋_GBK" w:eastAsia="方正仿宋_GBK" w:cs="方正仿宋_GBK"/>
          <w:b w:val="0"/>
          <w:bCs w:val="0"/>
          <w:sz w:val="32"/>
          <w:szCs w:val="32"/>
        </w:rPr>
        <w:t>。金融科技公司还越来越多地瞄准相对富裕的非洲海外侨民，为他们提供更丰富的服务：不仅可以向家乡汇款，还可以购买非洲的房产，甚至在非洲度假期间直接支付旅游和购物费用。目前，侨汇收入占非洲</w:t>
      </w:r>
      <w:r>
        <w:rPr>
          <w:rFonts w:hint="default" w:ascii="Times New Roman" w:hAnsi="Times New Roman" w:eastAsia="方正仿宋_GBK" w:cs="Times New Roman"/>
          <w:b w:val="0"/>
          <w:bCs w:val="0"/>
          <w:sz w:val="32"/>
          <w:szCs w:val="32"/>
        </w:rPr>
        <w:t>GDP</w:t>
      </w:r>
      <w:r>
        <w:rPr>
          <w:rFonts w:hint="default" w:ascii="方正仿宋_GBK" w:hAnsi="方正仿宋_GBK" w:eastAsia="方正仿宋_GBK" w:cs="方正仿宋_GBK"/>
          <w:b w:val="0"/>
          <w:bCs w:val="0"/>
          <w:sz w:val="32"/>
          <w:szCs w:val="32"/>
        </w:rPr>
        <w:t>的比重已达到</w:t>
      </w:r>
      <w:r>
        <w:rPr>
          <w:rFonts w:hint="default" w:ascii="Times New Roman" w:hAnsi="Times New Roman" w:eastAsia="方正仿宋_GBK" w:cs="Times New Roman"/>
          <w:b w:val="0"/>
          <w:bCs w:val="0"/>
          <w:sz w:val="32"/>
          <w:szCs w:val="32"/>
        </w:rPr>
        <w:t>3.5%</w:t>
      </w:r>
      <w:r>
        <w:rPr>
          <w:rFonts w:hint="default" w:ascii="方正仿宋_GBK" w:hAnsi="方正仿宋_GBK" w:eastAsia="方正仿宋_GBK" w:cs="方正仿宋_GBK"/>
          <w:b w:val="0"/>
          <w:bCs w:val="0"/>
          <w:sz w:val="32"/>
          <w:szCs w:val="32"/>
        </w:rPr>
        <w:t>，而且仍在上升。</w:t>
      </w:r>
    </w:p>
    <w:p w14:paraId="26049FEA">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方正仿宋_GBK" w:hAnsi="方正仿宋_GBK" w:eastAsia="方正仿宋_GBK" w:cs="方正仿宋_GBK"/>
          <w:b w:val="0"/>
          <w:bCs w:val="0"/>
          <w:sz w:val="32"/>
          <w:szCs w:val="32"/>
        </w:rPr>
      </w:pPr>
      <w:r>
        <w:rPr>
          <w:rFonts w:hint="default" w:ascii="方正仿宋_GBK" w:hAnsi="方正仿宋_GBK" w:eastAsia="方正仿宋_GBK" w:cs="方正仿宋_GBK"/>
          <w:b w:val="0"/>
          <w:bCs w:val="0"/>
          <w:sz w:val="32"/>
          <w:szCs w:val="32"/>
        </w:rPr>
        <w:t>麦肯锡预计，到</w:t>
      </w:r>
      <w:r>
        <w:rPr>
          <w:rFonts w:hint="default" w:ascii="Times New Roman" w:hAnsi="Times New Roman" w:eastAsia="方正仿宋_GBK" w:cs="Times New Roman"/>
          <w:b w:val="0"/>
          <w:bCs w:val="0"/>
          <w:sz w:val="32"/>
          <w:szCs w:val="32"/>
        </w:rPr>
        <w:t>2028</w:t>
      </w:r>
      <w:r>
        <w:rPr>
          <w:rFonts w:hint="default" w:ascii="方正仿宋_GBK" w:hAnsi="方正仿宋_GBK" w:eastAsia="方正仿宋_GBK" w:cs="方正仿宋_GBK"/>
          <w:b w:val="0"/>
          <w:bCs w:val="0"/>
          <w:sz w:val="32"/>
          <w:szCs w:val="32"/>
        </w:rPr>
        <w:t>年，非洲金融科技公司的年收入将达到约</w:t>
      </w:r>
      <w:r>
        <w:rPr>
          <w:rFonts w:hint="default" w:ascii="Times New Roman" w:hAnsi="Times New Roman" w:eastAsia="方正仿宋_GBK" w:cs="Times New Roman"/>
          <w:b w:val="0"/>
          <w:bCs w:val="0"/>
          <w:sz w:val="32"/>
          <w:szCs w:val="32"/>
        </w:rPr>
        <w:t>470</w:t>
      </w:r>
      <w:r>
        <w:rPr>
          <w:rFonts w:hint="default" w:ascii="方正仿宋_GBK" w:hAnsi="方正仿宋_GBK" w:eastAsia="方正仿宋_GBK" w:cs="方正仿宋_GBK"/>
          <w:b w:val="0"/>
          <w:bCs w:val="0"/>
          <w:sz w:val="32"/>
          <w:szCs w:val="32"/>
        </w:rPr>
        <w:t>亿美元，其中相当一部分很可能来自这类跨境支付产品。</w:t>
      </w:r>
    </w:p>
    <w:p w14:paraId="0E17CD39">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方正仿宋_GBK" w:hAnsi="方正仿宋_GBK" w:eastAsia="方正仿宋_GBK" w:cs="方正仿宋_GBK"/>
          <w:b w:val="0"/>
          <w:bCs w:val="0"/>
          <w:sz w:val="32"/>
          <w:szCs w:val="32"/>
        </w:rPr>
      </w:pPr>
      <w:r>
        <w:rPr>
          <w:rFonts w:hint="default" w:ascii="方正仿宋_GBK" w:hAnsi="方正仿宋_GBK" w:eastAsia="方正仿宋_GBK" w:cs="方正仿宋_GBK"/>
          <w:b w:val="0"/>
          <w:bCs w:val="0"/>
          <w:sz w:val="32"/>
          <w:szCs w:val="32"/>
        </w:rPr>
        <w:t>不过，非洲金融科技的发展距离真正成熟还有很长的路。许多国家的互联网普及率仍然偏低，限制了服务推广；监管有时滞后，牌照发放缓慢，甚至会出台新的税收政策增加行业负担。“泛非支付与结算系统”（</w:t>
      </w:r>
      <w:r>
        <w:rPr>
          <w:rFonts w:hint="default" w:ascii="Times New Roman" w:hAnsi="Times New Roman" w:eastAsia="方正仿宋_GBK" w:cs="Times New Roman"/>
          <w:b w:val="0"/>
          <w:bCs w:val="0"/>
          <w:sz w:val="32"/>
          <w:szCs w:val="32"/>
        </w:rPr>
        <w:t>PAPSS</w:t>
      </w:r>
      <w:r>
        <w:rPr>
          <w:rFonts w:hint="default" w:ascii="方正仿宋_GBK" w:hAnsi="方正仿宋_GBK" w:eastAsia="方正仿宋_GBK" w:cs="方正仿宋_GBK"/>
          <w:b w:val="0"/>
          <w:bCs w:val="0"/>
          <w:sz w:val="32"/>
          <w:szCs w:val="32"/>
        </w:rPr>
        <w:t>）在非洲各国的落地速度和执行程度也参差不齐。</w:t>
      </w:r>
    </w:p>
    <w:p w14:paraId="4D1EAE0B">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方正仿宋_GBK" w:hAnsi="方正仿宋_GBK" w:eastAsia="方正仿宋_GBK" w:cs="方正仿宋_GBK"/>
          <w:b w:val="0"/>
          <w:bCs w:val="0"/>
          <w:sz w:val="32"/>
          <w:szCs w:val="32"/>
        </w:rPr>
      </w:pPr>
      <w:r>
        <w:rPr>
          <w:rFonts w:hint="default" w:ascii="方正仿宋_GBK" w:hAnsi="方正仿宋_GBK" w:eastAsia="方正仿宋_GBK" w:cs="方正仿宋_GBK"/>
          <w:b w:val="0"/>
          <w:bCs w:val="0"/>
          <w:sz w:val="32"/>
          <w:szCs w:val="32"/>
        </w:rPr>
        <w:t>尽管如此，方向已经清晰：非洲可能正在经历金融领域的第二次“跨越”——从低效的传统银行体系，直接迈向数字支付和多元化跨境结算。这与当年跳过固定电话、直接进入移动通信的路径高度相似。</w:t>
      </w:r>
    </w:p>
    <w:p w14:paraId="55148CF5">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方正仿宋_GBK" w:hAnsi="方正仿宋_GBK" w:eastAsia="方正仿宋_GBK" w:cs="方正仿宋_GBK"/>
          <w:b w:val="0"/>
          <w:bCs w:val="0"/>
          <w:sz w:val="32"/>
          <w:szCs w:val="32"/>
        </w:rPr>
      </w:pPr>
      <w:r>
        <w:rPr>
          <w:rFonts w:hint="default" w:ascii="方正仿宋_GBK" w:hAnsi="方正仿宋_GBK" w:eastAsia="方正仿宋_GBK" w:cs="方正仿宋_GBK"/>
          <w:b w:val="0"/>
          <w:bCs w:val="0"/>
          <w:sz w:val="32"/>
          <w:szCs w:val="32"/>
        </w:rPr>
        <w:t>货币选择可以多样化，支付基础设施可以数字化，但如果本币本身缺乏信用，这些努力最终都会遇到天花板。如果说赞比亚说明了为什么非洲国家希望减少对单一外部货币的依赖，那么津巴布韦说明的则是另一个问题：当本币本身缺乏信用时，减少对美元的依赖并不意味着本币就会自动获得市场信任。</w:t>
      </w:r>
    </w:p>
    <w:p w14:paraId="23AA70D1">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四、津巴布韦：货币信用的极端案例</w:t>
      </w:r>
    </w:p>
    <w:p w14:paraId="6376A9DC">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方正仿宋_GBK" w:hAnsi="方正仿宋_GBK" w:eastAsia="方正仿宋_GBK" w:cs="方正仿宋_GBK"/>
          <w:b w:val="0"/>
          <w:bCs w:val="0"/>
          <w:sz w:val="32"/>
          <w:szCs w:val="32"/>
        </w:rPr>
      </w:pPr>
      <w:r>
        <w:rPr>
          <w:rFonts w:hint="default" w:ascii="方正仿宋_GBK" w:hAnsi="方正仿宋_GBK" w:eastAsia="方正仿宋_GBK" w:cs="方正仿宋_GBK"/>
          <w:b w:val="0"/>
          <w:bCs w:val="0"/>
          <w:sz w:val="32"/>
          <w:szCs w:val="32"/>
        </w:rPr>
        <w:t>曾经很长一段时期，津巴布韦被视为经济上的“失败案例”，土地征收和恶性通货膨胀的历史，让这个经济体几乎与“货币崩溃”画上等号。物价在短时间内以惊人的速度飞涨，本币迅速失去购买力，人们不再愿意持有和接受它。在最严重的时期，津巴布韦的通胀率曾达到天文数字，本币几乎变成废纸，整个经济自发转向了美元——呈现出典型的“美元化”特征。</w:t>
      </w:r>
    </w:p>
    <w:p w14:paraId="6D539083">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方正仿宋_GBK" w:hAnsi="方正仿宋_GBK" w:eastAsia="方正仿宋_GBK" w:cs="方正仿宋_GBK"/>
          <w:b w:val="0"/>
          <w:bCs w:val="0"/>
          <w:sz w:val="32"/>
          <w:szCs w:val="32"/>
        </w:rPr>
      </w:pPr>
      <w:r>
        <w:rPr>
          <w:rFonts w:hint="default" w:ascii="方正仿宋_GBK" w:hAnsi="方正仿宋_GBK" w:eastAsia="方正仿宋_GBK" w:cs="方正仿宋_GBK"/>
          <w:b w:val="0"/>
          <w:bCs w:val="0"/>
          <w:sz w:val="32"/>
          <w:szCs w:val="32"/>
        </w:rPr>
        <w:t>如今，情况出现了颇为另类的变化。</w:t>
      </w:r>
    </w:p>
    <w:p w14:paraId="5F62C69A">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方正仿宋_GBK" w:hAnsi="方正仿宋_GBK" w:eastAsia="方正仿宋_GBK" w:cs="方正仿宋_GBK"/>
          <w:b w:val="0"/>
          <w:bCs w:val="0"/>
          <w:sz w:val="32"/>
          <w:szCs w:val="32"/>
        </w:rPr>
      </w:pPr>
      <w:r>
        <w:rPr>
          <w:rFonts w:hint="default" w:ascii="方正仿宋_GBK" w:hAnsi="方正仿宋_GBK" w:eastAsia="方正仿宋_GBK" w:cs="方正仿宋_GBK"/>
          <w:b w:val="0"/>
          <w:bCs w:val="0"/>
          <w:sz w:val="32"/>
          <w:szCs w:val="32"/>
        </w:rPr>
        <w:t>黄金和其他大宗商品价格的上涨，给津巴布韦带来了大量现金流入。这些资金相当一部分进入了“非正式经济”（以现金交易为主、游离于正规监管之外的民间经济），却也客观上改善了政府的财政和外汇状况。政府因此不再像过去那样依赖大规模印钞，对外汇市场的直接干预也明显减少。目前，津巴布韦的通胀率已经降到约</w:t>
      </w:r>
      <w:r>
        <w:rPr>
          <w:rFonts w:hint="default" w:ascii="Times New Roman" w:hAnsi="Times New Roman" w:eastAsia="方正仿宋_GBK" w:cs="Times New Roman"/>
          <w:b w:val="0"/>
          <w:bCs w:val="0"/>
          <w:sz w:val="32"/>
          <w:szCs w:val="32"/>
        </w:rPr>
        <w:t>30</w:t>
      </w:r>
      <w:r>
        <w:rPr>
          <w:rFonts w:hint="default" w:ascii="方正仿宋_GBK" w:hAnsi="方正仿宋_GBK" w:eastAsia="方正仿宋_GBK" w:cs="方正仿宋_GBK"/>
          <w:b w:val="0"/>
          <w:bCs w:val="0"/>
          <w:sz w:val="32"/>
          <w:szCs w:val="32"/>
        </w:rPr>
        <w:t>年来的最低水平。国际货币基金组织（</w:t>
      </w:r>
      <w:r>
        <w:rPr>
          <w:rFonts w:hint="default" w:ascii="Times New Roman" w:hAnsi="Times New Roman" w:eastAsia="方正仿宋_GBK" w:cs="Times New Roman"/>
          <w:b w:val="0"/>
          <w:bCs w:val="0"/>
          <w:sz w:val="32"/>
          <w:szCs w:val="32"/>
        </w:rPr>
        <w:t>IMF</w:t>
      </w:r>
      <w:r>
        <w:rPr>
          <w:rFonts w:hint="default" w:ascii="方正仿宋_GBK" w:hAnsi="方正仿宋_GBK" w:eastAsia="方正仿宋_GBK" w:cs="方正仿宋_GBK"/>
          <w:b w:val="0"/>
          <w:bCs w:val="0"/>
          <w:sz w:val="32"/>
          <w:szCs w:val="32"/>
        </w:rPr>
        <w:t>）也多次上调对其经济增长的预测，最近一次将</w:t>
      </w:r>
      <w:r>
        <w:rPr>
          <w:rFonts w:hint="default" w:ascii="Times New Roman" w:hAnsi="Times New Roman" w:eastAsia="方正仿宋_GBK" w:cs="Times New Roman"/>
          <w:b w:val="0"/>
          <w:bCs w:val="0"/>
          <w:sz w:val="32"/>
          <w:szCs w:val="32"/>
        </w:rPr>
        <w:t>2025</w:t>
      </w:r>
      <w:r>
        <w:rPr>
          <w:rFonts w:hint="default" w:ascii="方正仿宋_GBK" w:hAnsi="方正仿宋_GBK" w:eastAsia="方正仿宋_GBK" w:cs="方正仿宋_GBK"/>
          <w:b w:val="0"/>
          <w:bCs w:val="0"/>
          <w:sz w:val="32"/>
          <w:szCs w:val="32"/>
        </w:rPr>
        <w:t>年增速预期调高至至少</w:t>
      </w:r>
      <w:r>
        <w:rPr>
          <w:rFonts w:hint="default" w:ascii="Times New Roman" w:hAnsi="Times New Roman" w:eastAsia="方正仿宋_GBK" w:cs="Times New Roman"/>
          <w:b w:val="0"/>
          <w:bCs w:val="0"/>
          <w:sz w:val="32"/>
          <w:szCs w:val="32"/>
        </w:rPr>
        <w:t>7.5%</w:t>
      </w:r>
      <w:r>
        <w:rPr>
          <w:rFonts w:hint="default" w:ascii="方正仿宋_GBK" w:hAnsi="方正仿宋_GBK" w:eastAsia="方正仿宋_GBK" w:cs="方正仿宋_GBK"/>
          <w:b w:val="0"/>
          <w:bCs w:val="0"/>
          <w:sz w:val="32"/>
          <w:szCs w:val="32"/>
        </w:rPr>
        <w:t>，接近非洲平均水平的两倍。</w:t>
      </w:r>
    </w:p>
    <w:p w14:paraId="6150E16B">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方正仿宋_GBK" w:hAnsi="方正仿宋_GBK" w:eastAsia="方正仿宋_GBK" w:cs="方正仿宋_GBK"/>
          <w:b w:val="0"/>
          <w:bCs w:val="0"/>
          <w:sz w:val="32"/>
          <w:szCs w:val="32"/>
        </w:rPr>
      </w:pPr>
      <w:r>
        <w:rPr>
          <w:rFonts w:hint="default" w:ascii="方正仿宋_GBK" w:hAnsi="方正仿宋_GBK" w:eastAsia="方正仿宋_GBK" w:cs="方正仿宋_GBK"/>
          <w:b w:val="0"/>
          <w:bCs w:val="0"/>
          <w:sz w:val="32"/>
          <w:szCs w:val="32"/>
        </w:rPr>
        <w:t>黄金几乎贯穿了津巴布韦的近现代史。</w:t>
      </w:r>
      <w:r>
        <w:rPr>
          <w:rFonts w:hint="default" w:ascii="Times New Roman" w:hAnsi="Times New Roman" w:eastAsia="方正仿宋_GBK" w:cs="Times New Roman"/>
          <w:b w:val="0"/>
          <w:bCs w:val="0"/>
          <w:sz w:val="32"/>
          <w:szCs w:val="32"/>
        </w:rPr>
        <w:t>19</w:t>
      </w:r>
      <w:r>
        <w:rPr>
          <w:rFonts w:hint="default" w:ascii="方正仿宋_GBK" w:hAnsi="方正仿宋_GBK" w:eastAsia="方正仿宋_GBK" w:cs="方正仿宋_GBK"/>
          <w:b w:val="0"/>
          <w:bCs w:val="0"/>
          <w:sz w:val="32"/>
          <w:szCs w:val="32"/>
        </w:rPr>
        <w:t>世纪末，英国殖民者塞西尔·罗德斯（</w:t>
      </w:r>
      <w:r>
        <w:rPr>
          <w:rFonts w:hint="default" w:ascii="Times New Roman" w:hAnsi="Times New Roman" w:eastAsia="方正仿宋_GBK" w:cs="Times New Roman"/>
          <w:b w:val="0"/>
          <w:bCs w:val="0"/>
          <w:sz w:val="32"/>
          <w:szCs w:val="32"/>
        </w:rPr>
        <w:t>Cecil Rhodes</w:t>
      </w:r>
      <w:r>
        <w:rPr>
          <w:rFonts w:hint="default" w:ascii="方正仿宋_GBK" w:hAnsi="方正仿宋_GBK" w:eastAsia="方正仿宋_GBK" w:cs="方正仿宋_GBK"/>
          <w:b w:val="0"/>
          <w:bCs w:val="0"/>
          <w:sz w:val="32"/>
          <w:szCs w:val="32"/>
        </w:rPr>
        <w:t>）率人进入这一地区，并将其命名为“罗德西亚”（</w:t>
      </w:r>
      <w:r>
        <w:rPr>
          <w:rFonts w:hint="default" w:ascii="Times New Roman" w:hAnsi="Times New Roman" w:eastAsia="方正仿宋_GBK" w:cs="Times New Roman"/>
          <w:b w:val="0"/>
          <w:bCs w:val="0"/>
          <w:sz w:val="32"/>
          <w:szCs w:val="32"/>
        </w:rPr>
        <w:t>Rhodesia</w:t>
      </w:r>
      <w:r>
        <w:rPr>
          <w:rFonts w:hint="default" w:ascii="方正仿宋_GBK" w:hAnsi="方正仿宋_GBK" w:eastAsia="方正仿宋_GBK" w:cs="方正仿宋_GBK"/>
          <w:b w:val="0"/>
          <w:bCs w:val="0"/>
          <w:sz w:val="32"/>
          <w:szCs w:val="32"/>
        </w:rPr>
        <w:t>），一个重要动机就是寻找传说中的黄金产地。虽然当时并没有发现预想中的巨大金矿，但黄金开采此后一直延续下来。</w:t>
      </w:r>
    </w:p>
    <w:p w14:paraId="174D98C0">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方正仿宋_GBK" w:hAnsi="方正仿宋_GBK" w:eastAsia="方正仿宋_GBK" w:cs="方正仿宋_GBK"/>
          <w:b w:val="0"/>
          <w:bCs w:val="0"/>
          <w:sz w:val="32"/>
          <w:szCs w:val="32"/>
        </w:rPr>
      </w:pPr>
      <w:r>
        <w:rPr>
          <w:rFonts w:hint="default" w:ascii="Times New Roman" w:hAnsi="Times New Roman" w:eastAsia="方正仿宋_GBK" w:cs="Times New Roman"/>
          <w:b w:val="0"/>
          <w:bCs w:val="0"/>
          <w:sz w:val="32"/>
          <w:szCs w:val="32"/>
        </w:rPr>
        <w:t>1980</w:t>
      </w:r>
      <w:r>
        <w:rPr>
          <w:rFonts w:hint="default" w:ascii="方正仿宋_GBK" w:hAnsi="方正仿宋_GBK" w:eastAsia="方正仿宋_GBK" w:cs="方正仿宋_GBK"/>
          <w:b w:val="0"/>
          <w:bCs w:val="0"/>
          <w:sz w:val="32"/>
          <w:szCs w:val="32"/>
        </w:rPr>
        <w:t>年，罗德西亚独立，更名为津巴布韦。此后，经历了土地改革、经济动荡和恶性通胀，本币信用崩溃，“正式经济”萎缩。在这种情形下，黄金作为能换取外汇、保值的硬资产，其重要性变得越来越高。当然，黄金并没有真正“替代美元”，而是在帮助津巴布韦获得美元等外汇，从而支撑一个事实上仍然高度美元化的经济体系。</w:t>
      </w:r>
    </w:p>
    <w:p w14:paraId="5AFF5408">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方正仿宋_GBK" w:hAnsi="方正仿宋_GBK" w:eastAsia="方正仿宋_GBK" w:cs="方正仿宋_GBK"/>
          <w:b w:val="0"/>
          <w:bCs w:val="0"/>
          <w:sz w:val="32"/>
          <w:szCs w:val="32"/>
        </w:rPr>
      </w:pPr>
      <w:r>
        <w:rPr>
          <w:rFonts w:hint="default" w:ascii="Times New Roman" w:hAnsi="Times New Roman" w:eastAsia="方正仿宋_GBK" w:cs="Times New Roman"/>
          <w:b w:val="0"/>
          <w:bCs w:val="0"/>
          <w:sz w:val="32"/>
          <w:szCs w:val="32"/>
        </w:rPr>
        <w:t>2025</w:t>
      </w:r>
      <w:r>
        <w:rPr>
          <w:rFonts w:hint="default" w:ascii="方正仿宋_GBK" w:hAnsi="方正仿宋_GBK" w:eastAsia="方正仿宋_GBK" w:cs="方正仿宋_GBK"/>
          <w:b w:val="0"/>
          <w:bCs w:val="0"/>
          <w:sz w:val="32"/>
          <w:szCs w:val="32"/>
        </w:rPr>
        <w:t>年，津巴布韦官方黄金产量达到</w:t>
      </w:r>
      <w:r>
        <w:rPr>
          <w:rFonts w:hint="default" w:ascii="Times New Roman" w:hAnsi="Times New Roman" w:eastAsia="方正仿宋_GBK" w:cs="Times New Roman"/>
          <w:b w:val="0"/>
          <w:bCs w:val="0"/>
          <w:sz w:val="32"/>
          <w:szCs w:val="32"/>
        </w:rPr>
        <w:t>47</w:t>
      </w:r>
      <w:r>
        <w:rPr>
          <w:rFonts w:hint="default" w:ascii="方正仿宋_GBK" w:hAnsi="方正仿宋_GBK" w:eastAsia="方正仿宋_GBK" w:cs="方正仿宋_GBK"/>
          <w:b w:val="0"/>
          <w:bCs w:val="0"/>
          <w:sz w:val="32"/>
          <w:szCs w:val="32"/>
        </w:rPr>
        <w:t>吨，创下历史新高，是</w:t>
      </w:r>
      <w:r>
        <w:rPr>
          <w:rFonts w:hint="default" w:ascii="Times New Roman" w:hAnsi="Times New Roman" w:eastAsia="方正仿宋_GBK" w:cs="Times New Roman"/>
          <w:b w:val="0"/>
          <w:bCs w:val="0"/>
          <w:sz w:val="32"/>
          <w:szCs w:val="32"/>
        </w:rPr>
        <w:t>10</w:t>
      </w:r>
      <w:r>
        <w:rPr>
          <w:rFonts w:hint="default" w:ascii="方正仿宋_GBK" w:hAnsi="方正仿宋_GBK" w:eastAsia="方正仿宋_GBK" w:cs="方正仿宋_GBK"/>
          <w:b w:val="0"/>
          <w:bCs w:val="0"/>
          <w:sz w:val="32"/>
          <w:szCs w:val="32"/>
        </w:rPr>
        <w:t>年前的</w:t>
      </w:r>
      <w:r>
        <w:rPr>
          <w:rFonts w:hint="default" w:ascii="Times New Roman" w:hAnsi="Times New Roman" w:eastAsia="方正仿宋_GBK" w:cs="Times New Roman"/>
          <w:b w:val="0"/>
          <w:bCs w:val="0"/>
          <w:sz w:val="32"/>
          <w:szCs w:val="32"/>
        </w:rPr>
        <w:t>2</w:t>
      </w:r>
      <w:r>
        <w:rPr>
          <w:rFonts w:hint="default" w:ascii="方正仿宋_GBK" w:hAnsi="方正仿宋_GBK" w:eastAsia="方正仿宋_GBK" w:cs="方正仿宋_GBK"/>
          <w:b w:val="0"/>
          <w:bCs w:val="0"/>
          <w:sz w:val="32"/>
          <w:szCs w:val="32"/>
        </w:rPr>
        <w:t>倍以上（由于走私，实际产量可能更高）。黄金出口收入达到</w:t>
      </w:r>
      <w:r>
        <w:rPr>
          <w:rFonts w:hint="default" w:ascii="Times New Roman" w:hAnsi="Times New Roman" w:eastAsia="方正仿宋_GBK" w:cs="Times New Roman"/>
          <w:b w:val="0"/>
          <w:bCs w:val="0"/>
          <w:sz w:val="32"/>
          <w:szCs w:val="32"/>
        </w:rPr>
        <w:t>46</w:t>
      </w:r>
      <w:r>
        <w:rPr>
          <w:rFonts w:hint="default" w:ascii="方正仿宋_GBK" w:hAnsi="方正仿宋_GBK" w:eastAsia="方正仿宋_GBK" w:cs="方正仿宋_GBK"/>
          <w:b w:val="0"/>
          <w:bCs w:val="0"/>
          <w:sz w:val="32"/>
          <w:szCs w:val="32"/>
        </w:rPr>
        <w:t>亿美元，约占该国出口总额的一半。过去</w:t>
      </w:r>
      <w:r>
        <w:rPr>
          <w:rFonts w:hint="default" w:ascii="Times New Roman" w:hAnsi="Times New Roman" w:eastAsia="方正仿宋_GBK" w:cs="Times New Roman"/>
          <w:b w:val="0"/>
          <w:bCs w:val="0"/>
          <w:sz w:val="32"/>
          <w:szCs w:val="32"/>
        </w:rPr>
        <w:t>5</w:t>
      </w:r>
      <w:r>
        <w:rPr>
          <w:rFonts w:hint="default" w:ascii="方正仿宋_GBK" w:hAnsi="方正仿宋_GBK" w:eastAsia="方正仿宋_GBK" w:cs="方正仿宋_GBK"/>
          <w:b w:val="0"/>
          <w:bCs w:val="0"/>
          <w:sz w:val="32"/>
          <w:szCs w:val="32"/>
        </w:rPr>
        <w:t>年，国际金价已经上涨了近两倍。一位当地矿业投资者直言：“我们从来没有想过黄金能卖到这种价格。”</w:t>
      </w:r>
    </w:p>
    <w:p w14:paraId="51703F18">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方正仿宋_GBK" w:hAnsi="方正仿宋_GBK" w:eastAsia="方正仿宋_GBK" w:cs="方正仿宋_GBK"/>
          <w:b w:val="0"/>
          <w:bCs w:val="0"/>
          <w:sz w:val="32"/>
          <w:szCs w:val="32"/>
        </w:rPr>
      </w:pPr>
      <w:r>
        <w:rPr>
          <w:rFonts w:hint="default" w:ascii="方正仿宋_GBK" w:hAnsi="方正仿宋_GBK" w:eastAsia="方正仿宋_GBK" w:cs="方正仿宋_GBK"/>
          <w:b w:val="0"/>
          <w:bCs w:val="0"/>
          <w:sz w:val="32"/>
          <w:szCs w:val="32"/>
        </w:rPr>
        <w:t>淘金热也带来了副作用。在手工和小规模采矿区，矿工使用的汞和氰化物会进入饮用和灌溉用水；黄金价格越高，走私的潜在收益也越大，相关利益链条也越来越复杂。不过，部分采矿收益确实进入了数十万从事手工采矿的普通津巴布韦人口袋，他们每月可以赚到数百美元，摩托车、电子产品和药品的销量都明显上升。</w:t>
      </w:r>
    </w:p>
    <w:p w14:paraId="6F347647">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方正仿宋_GBK" w:hAnsi="方正仿宋_GBK" w:eastAsia="方正仿宋_GBK" w:cs="方正仿宋_GBK"/>
          <w:b w:val="0"/>
          <w:bCs w:val="0"/>
          <w:sz w:val="32"/>
          <w:szCs w:val="32"/>
        </w:rPr>
      </w:pPr>
      <w:r>
        <w:rPr>
          <w:rFonts w:hint="default" w:ascii="方正仿宋_GBK" w:hAnsi="方正仿宋_GBK" w:eastAsia="方正仿宋_GBK" w:cs="方正仿宋_GBK"/>
          <w:b w:val="0"/>
          <w:bCs w:val="0"/>
          <w:sz w:val="32"/>
          <w:szCs w:val="32"/>
        </w:rPr>
        <w:t>而且，黄金并非津巴布韦经济增长的唯一推动力。其烟草产量不断创下历史新高，锂、铬和铂矿业产量也在增加，其中许多矿山由中资企业运营；主要生活在南非的海外侨民去年向国内汇回了</w:t>
      </w:r>
      <w:r>
        <w:rPr>
          <w:rFonts w:hint="default" w:ascii="Times New Roman" w:hAnsi="Times New Roman" w:eastAsia="方正仿宋_GBK" w:cs="Times New Roman"/>
          <w:b w:val="0"/>
          <w:bCs w:val="0"/>
          <w:sz w:val="32"/>
          <w:szCs w:val="32"/>
        </w:rPr>
        <w:t>25</w:t>
      </w:r>
      <w:r>
        <w:rPr>
          <w:rFonts w:hint="default" w:ascii="方正仿宋_GBK" w:hAnsi="方正仿宋_GBK" w:eastAsia="方正仿宋_GBK" w:cs="方正仿宋_GBK"/>
          <w:b w:val="0"/>
          <w:bCs w:val="0"/>
          <w:sz w:val="32"/>
          <w:szCs w:val="32"/>
        </w:rPr>
        <w:t>亿美元。当地一位银行家表示，津巴布韦整个经济的总需求已经达到历史最高水平。</w:t>
      </w:r>
    </w:p>
    <w:p w14:paraId="3123D6F5">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方正仿宋_GBK" w:hAnsi="方正仿宋_GBK" w:eastAsia="方正仿宋_GBK" w:cs="方正仿宋_GBK"/>
          <w:b w:val="0"/>
          <w:bCs w:val="0"/>
          <w:sz w:val="32"/>
          <w:szCs w:val="32"/>
        </w:rPr>
      </w:pPr>
      <w:r>
        <w:rPr>
          <w:rFonts w:hint="default" w:ascii="方正仿宋_GBK" w:hAnsi="方正仿宋_GBK" w:eastAsia="方正仿宋_GBK" w:cs="方正仿宋_GBK"/>
          <w:b w:val="0"/>
          <w:bCs w:val="0"/>
          <w:sz w:val="32"/>
          <w:szCs w:val="32"/>
        </w:rPr>
        <w:t>但问题是，相当一部分消费发生在黑市和非正式经济中，绕过了海关和税务部门。由于人们担心再次出现通货膨胀，投资者宁愿买房，也不愿把钱存进银行。首都哈拉雷的房屋正以创纪录的现金价格成交。私人保险库行业也蓬勃发展，据知情官员估计，目前约有</w:t>
      </w:r>
      <w:r>
        <w:rPr>
          <w:rFonts w:hint="default" w:ascii="Times New Roman" w:hAnsi="Times New Roman" w:eastAsia="方正仿宋_GBK" w:cs="Times New Roman"/>
          <w:b w:val="0"/>
          <w:bCs w:val="0"/>
          <w:sz w:val="32"/>
          <w:szCs w:val="32"/>
        </w:rPr>
        <w:t>20</w:t>
      </w:r>
      <w:r>
        <w:rPr>
          <w:rFonts w:hint="default" w:ascii="方正仿宋_GBK" w:hAnsi="方正仿宋_GBK" w:eastAsia="方正仿宋_GBK" w:cs="方正仿宋_GBK"/>
          <w:b w:val="0"/>
          <w:bCs w:val="0"/>
          <w:sz w:val="32"/>
          <w:szCs w:val="32"/>
        </w:rPr>
        <w:t>亿至</w:t>
      </w:r>
      <w:r>
        <w:rPr>
          <w:rFonts w:hint="default" w:ascii="Times New Roman" w:hAnsi="Times New Roman" w:eastAsia="方正仿宋_GBK" w:cs="Times New Roman"/>
          <w:b w:val="0"/>
          <w:bCs w:val="0"/>
          <w:sz w:val="32"/>
          <w:szCs w:val="32"/>
        </w:rPr>
        <w:t>40</w:t>
      </w:r>
      <w:r>
        <w:rPr>
          <w:rFonts w:hint="default" w:ascii="方正仿宋_GBK" w:hAnsi="方正仿宋_GBK" w:eastAsia="方正仿宋_GBK" w:cs="方正仿宋_GBK"/>
          <w:b w:val="0"/>
          <w:bCs w:val="0"/>
          <w:sz w:val="32"/>
          <w:szCs w:val="32"/>
        </w:rPr>
        <w:t>亿美元的黄金和现金被存放在这些私人保险库中。</w:t>
      </w:r>
    </w:p>
    <w:p w14:paraId="4D3C27C6">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方正仿宋_GBK" w:hAnsi="方正仿宋_GBK" w:eastAsia="方正仿宋_GBK" w:cs="方正仿宋_GBK"/>
          <w:b w:val="0"/>
          <w:bCs w:val="0"/>
          <w:sz w:val="32"/>
          <w:szCs w:val="32"/>
        </w:rPr>
      </w:pPr>
      <w:r>
        <w:rPr>
          <w:rFonts w:hint="default" w:ascii="方正仿宋_GBK" w:hAnsi="方正仿宋_GBK" w:eastAsia="方正仿宋_GBK" w:cs="方正仿宋_GBK"/>
          <w:b w:val="0"/>
          <w:bCs w:val="0"/>
          <w:sz w:val="32"/>
          <w:szCs w:val="32"/>
        </w:rPr>
        <w:t>于是，</w:t>
      </w:r>
      <w:r>
        <w:rPr>
          <w:rFonts w:hint="default" w:ascii="Times New Roman" w:hAnsi="Times New Roman" w:eastAsia="方正仿宋_GBK" w:cs="Times New Roman"/>
          <w:b w:val="0"/>
          <w:bCs w:val="0"/>
          <w:sz w:val="32"/>
          <w:szCs w:val="32"/>
        </w:rPr>
        <w:t>2024</w:t>
      </w:r>
      <w:r>
        <w:rPr>
          <w:rFonts w:hint="default" w:ascii="方正仿宋_GBK" w:hAnsi="方正仿宋_GBK" w:eastAsia="方正仿宋_GBK" w:cs="方正仿宋_GBK"/>
          <w:b w:val="0"/>
          <w:bCs w:val="0"/>
          <w:sz w:val="32"/>
          <w:szCs w:val="32"/>
        </w:rPr>
        <w:t>年</w:t>
      </w:r>
      <w:r>
        <w:rPr>
          <w:rFonts w:hint="default" w:ascii="Times New Roman" w:hAnsi="Times New Roman" w:eastAsia="方正仿宋_GBK" w:cs="Times New Roman"/>
          <w:b w:val="0"/>
          <w:bCs w:val="0"/>
          <w:sz w:val="32"/>
          <w:szCs w:val="32"/>
        </w:rPr>
        <w:t>4</w:t>
      </w:r>
      <w:r>
        <w:rPr>
          <w:rFonts w:hint="default" w:ascii="方正仿宋_GBK" w:hAnsi="方正仿宋_GBK" w:eastAsia="方正仿宋_GBK" w:cs="方正仿宋_GBK"/>
          <w:b w:val="0"/>
          <w:bCs w:val="0"/>
          <w:sz w:val="32"/>
          <w:szCs w:val="32"/>
        </w:rPr>
        <w:t>月，津巴布韦央行正式推出了新的官方货币——津巴布韦黄金币（</w:t>
      </w:r>
      <w:r>
        <w:rPr>
          <w:rFonts w:hint="default" w:ascii="Times New Roman" w:hAnsi="Times New Roman" w:eastAsia="方正仿宋_GBK" w:cs="Times New Roman"/>
          <w:b w:val="0"/>
          <w:bCs w:val="0"/>
          <w:sz w:val="32"/>
          <w:szCs w:val="32"/>
        </w:rPr>
        <w:t>Zimbabwe Gold</w:t>
      </w:r>
      <w:r>
        <w:rPr>
          <w:rFonts w:hint="default" w:ascii="方正仿宋_GBK" w:hAnsi="方正仿宋_GBK" w:eastAsia="方正仿宋_GBK" w:cs="方正仿宋_GBK"/>
          <w:b w:val="0"/>
          <w:bCs w:val="0"/>
          <w:sz w:val="32"/>
          <w:szCs w:val="32"/>
        </w:rPr>
        <w:t>，简称</w:t>
      </w:r>
      <w:r>
        <w:rPr>
          <w:rFonts w:hint="default" w:ascii="Times New Roman" w:hAnsi="Times New Roman" w:eastAsia="方正仿宋_GBK" w:cs="Times New Roman"/>
          <w:b w:val="0"/>
          <w:bCs w:val="0"/>
          <w:sz w:val="32"/>
          <w:szCs w:val="32"/>
        </w:rPr>
        <w:t>ZiG</w:t>
      </w:r>
      <w:r>
        <w:rPr>
          <w:rFonts w:hint="default" w:ascii="方正仿宋_GBK" w:hAnsi="方正仿宋_GBK" w:eastAsia="方正仿宋_GBK" w:cs="方正仿宋_GBK"/>
          <w:b w:val="0"/>
          <w:bCs w:val="0"/>
          <w:sz w:val="32"/>
          <w:szCs w:val="32"/>
        </w:rPr>
        <w:t>）。它被设计为一种由黄金、外汇等储备资产支撑的货币，旨在取代此前不断贬值的本币，重建公众信心。到目前为止，</w:t>
      </w:r>
      <w:r>
        <w:rPr>
          <w:rFonts w:hint="default" w:ascii="Times New Roman" w:hAnsi="Times New Roman" w:eastAsia="方正仿宋_GBK" w:cs="Times New Roman"/>
          <w:b w:val="0"/>
          <w:bCs w:val="0"/>
          <w:sz w:val="32"/>
          <w:szCs w:val="32"/>
        </w:rPr>
        <w:t>ZiG</w:t>
      </w:r>
      <w:r>
        <w:rPr>
          <w:rFonts w:hint="default" w:ascii="方正仿宋_GBK" w:hAnsi="方正仿宋_GBK" w:eastAsia="方正仿宋_GBK" w:cs="方正仿宋_GBK"/>
          <w:b w:val="0"/>
          <w:bCs w:val="0"/>
          <w:sz w:val="32"/>
          <w:szCs w:val="32"/>
        </w:rPr>
        <w:t>还没有像之前几种本币那样迅速贬值至失去意义。不过，</w:t>
      </w:r>
      <w:r>
        <w:rPr>
          <w:rFonts w:hint="default" w:ascii="Times New Roman" w:hAnsi="Times New Roman" w:eastAsia="方正仿宋_GBK" w:cs="Times New Roman"/>
          <w:b w:val="0"/>
          <w:bCs w:val="0"/>
          <w:sz w:val="32"/>
          <w:szCs w:val="32"/>
        </w:rPr>
        <w:t>2024</w:t>
      </w:r>
      <w:r>
        <w:rPr>
          <w:rFonts w:hint="default" w:ascii="方正仿宋_GBK" w:hAnsi="方正仿宋_GBK" w:eastAsia="方正仿宋_GBK" w:cs="方正仿宋_GBK"/>
          <w:b w:val="0"/>
          <w:bCs w:val="0"/>
          <w:sz w:val="32"/>
          <w:szCs w:val="32"/>
        </w:rPr>
        <w:t>年以来，政府也并未强迫市场只使用</w:t>
      </w:r>
      <w:r>
        <w:rPr>
          <w:rFonts w:hint="default" w:ascii="Times New Roman" w:hAnsi="Times New Roman" w:eastAsia="方正仿宋_GBK" w:cs="Times New Roman"/>
          <w:b w:val="0"/>
          <w:bCs w:val="0"/>
          <w:sz w:val="32"/>
          <w:szCs w:val="32"/>
        </w:rPr>
        <w:t>ZiG</w:t>
      </w:r>
      <w:r>
        <w:rPr>
          <w:rFonts w:hint="default" w:ascii="方正仿宋_GBK" w:hAnsi="方正仿宋_GBK" w:eastAsia="方正仿宋_GBK" w:cs="方正仿宋_GBK"/>
          <w:b w:val="0"/>
          <w:bCs w:val="0"/>
          <w:sz w:val="32"/>
          <w:szCs w:val="32"/>
        </w:rPr>
        <w:t>——因为现实中，津巴布韦货币体系已经高度美元化，</w:t>
      </w:r>
      <w:r>
        <w:rPr>
          <w:rFonts w:hint="default" w:ascii="Times New Roman" w:hAnsi="Times New Roman" w:eastAsia="方正仿宋_GBK" w:cs="Times New Roman"/>
          <w:b w:val="0"/>
          <w:bCs w:val="0"/>
          <w:sz w:val="32"/>
          <w:szCs w:val="32"/>
        </w:rPr>
        <w:t>ZiG</w:t>
      </w:r>
      <w:r>
        <w:rPr>
          <w:rFonts w:hint="default" w:ascii="方正仿宋_GBK" w:hAnsi="方正仿宋_GBK" w:eastAsia="方正仿宋_GBK" w:cs="方正仿宋_GBK"/>
          <w:b w:val="0"/>
          <w:bCs w:val="0"/>
          <w:sz w:val="32"/>
          <w:szCs w:val="32"/>
        </w:rPr>
        <w:t>与美元等外币（南非兰特、欧元、英镑等）并行流通。</w:t>
      </w:r>
    </w:p>
    <w:p w14:paraId="0C3100F6">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default" w:ascii="方正仿宋_GBK" w:hAnsi="方正仿宋_GBK" w:eastAsia="方正仿宋_GBK" w:cs="方正仿宋_GBK"/>
          <w:b w:val="0"/>
          <w:bCs w:val="0"/>
          <w:sz w:val="32"/>
          <w:szCs w:val="32"/>
        </w:rPr>
      </w:pPr>
      <w:r>
        <w:drawing>
          <wp:inline distT="0" distB="0" distL="114300" distR="114300">
            <wp:extent cx="3982720" cy="1991360"/>
            <wp:effectExtent l="0" t="0" r="17780" b="889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6"/>
                    <a:stretch>
                      <a:fillRect/>
                    </a:stretch>
                  </pic:blipFill>
                  <pic:spPr>
                    <a:xfrm>
                      <a:off x="0" y="0"/>
                      <a:ext cx="3982720" cy="1991360"/>
                    </a:xfrm>
                    <a:prstGeom prst="rect">
                      <a:avLst/>
                    </a:prstGeom>
                    <a:noFill/>
                    <a:ln>
                      <a:noFill/>
                    </a:ln>
                  </pic:spPr>
                </pic:pic>
              </a:graphicData>
            </a:graphic>
          </wp:inline>
        </w:drawing>
      </w:r>
    </w:p>
    <w:p w14:paraId="20CB2AC5">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方正仿宋_GBK" w:hAnsi="方正仿宋_GBK" w:eastAsia="方正仿宋_GBK" w:cs="方正仿宋_GBK"/>
          <w:b w:val="0"/>
          <w:bCs w:val="0"/>
          <w:sz w:val="32"/>
          <w:szCs w:val="32"/>
        </w:rPr>
      </w:pPr>
      <w:r>
        <w:rPr>
          <w:rFonts w:hint="default" w:ascii="方正仿宋_GBK" w:hAnsi="方正仿宋_GBK" w:eastAsia="方正仿宋_GBK" w:cs="方正仿宋_GBK"/>
          <w:b w:val="0"/>
          <w:bCs w:val="0"/>
          <w:sz w:val="32"/>
          <w:szCs w:val="32"/>
        </w:rPr>
        <w:t>津巴布韦的例子说明了一个根本问题：当本币长期失去信用时，经济会自发寻找更加可信的价值锚。过去，这个锚主要是美元；而如今，黄金等大宗商品出口则为津巴布韦获取美元等外汇提供了新的支撑。降低对美元的依赖，并不等于本币就一定能成功。如果本币没有足够的信用，强行推动本币使用，最后可能只是增加交易成本。</w:t>
      </w:r>
    </w:p>
    <w:p w14:paraId="09791F77">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方正仿宋_GBK" w:hAnsi="方正仿宋_GBK" w:eastAsia="方正仿宋_GBK" w:cs="方正仿宋_GBK"/>
          <w:b w:val="0"/>
          <w:bCs w:val="0"/>
          <w:sz w:val="32"/>
          <w:szCs w:val="32"/>
        </w:rPr>
      </w:pPr>
      <w:r>
        <w:rPr>
          <w:rFonts w:hint="default" w:ascii="方正仿宋_GBK" w:hAnsi="方正仿宋_GBK" w:eastAsia="方正仿宋_GBK" w:cs="方正仿宋_GBK"/>
          <w:b w:val="0"/>
          <w:bCs w:val="0"/>
          <w:sz w:val="32"/>
          <w:szCs w:val="32"/>
        </w:rPr>
        <w:t>真正的关键，不在于禁止美元，而在于能否建立起足够可信的货币锚（让本币价值有一个稳定、可靠的支撑基础，比如充足的外汇储备、黄金或其他硬资产），以及足够高效的替代性支付体系。货币选择、支付基础设施、货币信用，三者缺一不可。</w:t>
      </w:r>
    </w:p>
    <w:p w14:paraId="613A5770">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结语</w:t>
      </w:r>
    </w:p>
    <w:p w14:paraId="0675C828">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方正仿宋_GBK" w:hAnsi="方正仿宋_GBK" w:eastAsia="方正仿宋_GBK" w:cs="方正仿宋_GBK"/>
          <w:b w:val="0"/>
          <w:bCs w:val="0"/>
          <w:sz w:val="32"/>
          <w:szCs w:val="32"/>
        </w:rPr>
      </w:pPr>
      <w:r>
        <w:rPr>
          <w:rFonts w:hint="default" w:ascii="方正仿宋_GBK" w:hAnsi="方正仿宋_GBK" w:eastAsia="方正仿宋_GBK" w:cs="方正仿宋_GBK"/>
          <w:b w:val="0"/>
          <w:bCs w:val="0"/>
          <w:sz w:val="32"/>
          <w:szCs w:val="32"/>
        </w:rPr>
        <w:t>非洲正在经历的，并不是简单的“去美元化”，也不是人民币对美元的直接替代。</w:t>
      </w:r>
    </w:p>
    <w:p w14:paraId="37E05DA2">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方正仿宋_GBK" w:hAnsi="方正仿宋_GBK" w:eastAsia="方正仿宋_GBK" w:cs="方正仿宋_GBK"/>
          <w:b w:val="0"/>
          <w:bCs w:val="0"/>
          <w:sz w:val="32"/>
          <w:szCs w:val="32"/>
        </w:rPr>
      </w:pPr>
      <w:r>
        <w:rPr>
          <w:rFonts w:hint="default" w:ascii="方正仿宋_GBK" w:hAnsi="方正仿宋_GBK" w:eastAsia="方正仿宋_GBK" w:cs="方正仿宋_GBK"/>
          <w:b w:val="0"/>
          <w:bCs w:val="0"/>
          <w:sz w:val="32"/>
          <w:szCs w:val="32"/>
        </w:rPr>
        <w:t>它真正发生的变化是：从高度依赖单一外部货币的金融结构，转向一个相对分散、有更多选择的体系。美元依然占据主导，但人民币、本地货币、区域支付系统和金融科技，正在不同层面提供替代选项。</w:t>
      </w:r>
    </w:p>
    <w:p w14:paraId="3EDC3002">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方正仿宋_GBK" w:hAnsi="方正仿宋_GBK" w:eastAsia="方正仿宋_GBK" w:cs="方正仿宋_GBK"/>
          <w:b w:val="0"/>
          <w:bCs w:val="0"/>
          <w:sz w:val="32"/>
          <w:szCs w:val="32"/>
        </w:rPr>
      </w:pPr>
      <w:r>
        <w:rPr>
          <w:rFonts w:hint="default" w:ascii="方正仿宋_GBK" w:hAnsi="方正仿宋_GBK" w:eastAsia="方正仿宋_GBK" w:cs="方正仿宋_GBK"/>
          <w:b w:val="0"/>
          <w:bCs w:val="0"/>
          <w:sz w:val="32"/>
          <w:szCs w:val="32"/>
        </w:rPr>
        <w:t>人民币的机会，不在于成为“非洲的美元”，而在于成为这个新体系中重要的结算与融资节点——尤其是在中国已成为许多非洲国家最大贸易伙伴和重要融资来源的背景之下。</w:t>
      </w:r>
    </w:p>
    <w:p w14:paraId="2487AF42">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方正仿宋_GBK" w:hAnsi="方正仿宋_GBK" w:eastAsia="方正仿宋_GBK" w:cs="方正仿宋_GBK"/>
          <w:b w:val="0"/>
          <w:bCs w:val="0"/>
          <w:sz w:val="32"/>
          <w:szCs w:val="32"/>
        </w:rPr>
      </w:pPr>
      <w:r>
        <w:rPr>
          <w:rFonts w:hint="default" w:ascii="方正仿宋_GBK" w:hAnsi="方正仿宋_GBK" w:eastAsia="方正仿宋_GBK" w:cs="方正仿宋_GBK"/>
          <w:b w:val="0"/>
          <w:bCs w:val="0"/>
          <w:sz w:val="32"/>
          <w:szCs w:val="32"/>
        </w:rPr>
        <w:t>真正的约束依然存在。大宗商品出口仍大量以美元定价，收入端的美元化与支出端希望本币化之间的矛盾短期内难以消除。更关键的是，任何货币安排最终都要建立在信用之上。没有可信的货币锚，再多样的选择和再先进的支付系统，都难以真正落地。</w:t>
      </w:r>
    </w:p>
    <w:p w14:paraId="20879FAC">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方正仿宋_GBK" w:hAnsi="方正仿宋_GBK" w:eastAsia="方正仿宋_GBK" w:cs="方正仿宋_GBK"/>
          <w:b w:val="0"/>
          <w:bCs w:val="0"/>
          <w:sz w:val="32"/>
          <w:szCs w:val="32"/>
        </w:rPr>
      </w:pPr>
      <w:r>
        <w:rPr>
          <w:rFonts w:hint="default" w:ascii="方正仿宋_GBK" w:hAnsi="方正仿宋_GBK" w:eastAsia="方正仿宋_GBK" w:cs="方正仿宋_GBK"/>
          <w:b w:val="0"/>
          <w:bCs w:val="0"/>
          <w:sz w:val="32"/>
          <w:szCs w:val="32"/>
        </w:rPr>
        <w:t>非洲真正想获得的，是更多的金融选择权和抗风险能力。对人民币国际化而言，真正有意义的目标，也许并不是成为“非洲的美元”，而是在这个正在形成的多中心体系中，成为一个稳定、高效、可信的结算与融资节点。</w:t>
      </w:r>
    </w:p>
    <w:p w14:paraId="6482DBC0">
      <w:pPr>
        <w:keepNext w:val="0"/>
        <w:keepLines w:val="0"/>
        <w:pageBreakBefore w:val="0"/>
        <w:widowControl w:val="0"/>
        <w:kinsoku/>
        <w:wordWrap/>
        <w:overflowPunct/>
        <w:topLinePunct w:val="0"/>
        <w:autoSpaceDE/>
        <w:autoSpaceDN/>
        <w:bidi w:val="0"/>
        <w:adjustRightInd/>
        <w:snapToGrid/>
        <w:spacing w:line="580" w:lineRule="exact"/>
        <w:ind w:right="0" w:rightChars="0"/>
        <w:jc w:val="right"/>
        <w:textAlignment w:val="auto"/>
        <w:outlineLvl w:val="9"/>
        <w:rPr>
          <w:rFonts w:hint="default" w:ascii="Times New Roman" w:hAnsi="Times New Roman" w:eastAsia="方正仿宋_GBK" w:cs="Times New Roman"/>
          <w:b w:val="0"/>
          <w:bCs w:val="0"/>
          <w:color w:val="FF0000"/>
          <w:sz w:val="32"/>
          <w:szCs w:val="32"/>
        </w:rPr>
      </w:pPr>
      <w:r>
        <w:rPr>
          <w:rFonts w:hint="default" w:ascii="Times New Roman" w:hAnsi="Times New Roman" w:eastAsia="方正仿宋_GBK" w:cs="Times New Roman"/>
          <w:b/>
          <w:bCs/>
          <w:color w:val="FF0000"/>
          <w:sz w:val="32"/>
          <w:szCs w:val="32"/>
        </w:rPr>
        <w:t>（</w:t>
      </w:r>
      <w:r>
        <w:rPr>
          <w:rFonts w:hint="eastAsia" w:ascii="方正楷体_GBK" w:hAnsi="方正楷体_GBK" w:eastAsia="方正楷体_GBK" w:cs="方正楷体_GBK"/>
          <w:b/>
          <w:bCs/>
          <w:color w:val="FF0000"/>
          <w:sz w:val="32"/>
          <w:szCs w:val="32"/>
        </w:rPr>
        <w:t>发展研究部</w:t>
      </w:r>
      <w:r>
        <w:rPr>
          <w:rFonts w:hint="default" w:ascii="Times New Roman" w:hAnsi="Times New Roman" w:eastAsia="方正仿宋_GBK" w:cs="Times New Roman"/>
          <w:b/>
          <w:bCs/>
          <w:color w:val="FF0000"/>
          <w:sz w:val="32"/>
          <w:szCs w:val="32"/>
        </w:rPr>
        <w:t>）</w:t>
      </w:r>
    </w:p>
    <w:p w14:paraId="5E443F18">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方正仿宋_GBK" w:hAnsi="方正仿宋_GBK" w:eastAsia="方正仿宋_GBK" w:cs="方正仿宋_GBK"/>
          <w:b w:val="0"/>
          <w:bCs w:val="0"/>
          <w:sz w:val="32"/>
          <w:szCs w:val="32"/>
        </w:rPr>
      </w:pPr>
    </w:p>
    <w:p w14:paraId="4F73B565">
      <w:pPr>
        <w:keepNext w:val="0"/>
        <w:keepLines w:val="0"/>
        <w:pageBreakBefore w:val="0"/>
        <w:widowControl w:val="0"/>
        <w:kinsoku/>
        <w:wordWrap/>
        <w:overflowPunct/>
        <w:topLinePunct w:val="0"/>
        <w:autoSpaceDE/>
        <w:autoSpaceDN/>
        <w:bidi w:val="0"/>
        <w:adjustRightInd/>
        <w:snapToGrid/>
        <w:spacing w:line="580" w:lineRule="exact"/>
        <w:ind w:right="0" w:rightChars="0"/>
        <w:jc w:val="both"/>
        <w:textAlignment w:val="auto"/>
        <w:outlineLvl w:val="9"/>
        <w:rPr>
          <w:rFonts w:hint="eastAsia" w:ascii="方正黑体_GBK" w:hAnsi="方正黑体_GBK" w:eastAsia="方正黑体_GBK" w:cs="方正黑体_GBK"/>
          <w:b w:val="0"/>
          <w:bCs w:val="0"/>
          <w:sz w:val="32"/>
          <w:szCs w:val="32"/>
          <w:lang w:val="en-US" w:eastAsia="zh-CN"/>
        </w:rPr>
      </w:pPr>
      <w:r>
        <w:rPr>
          <w:rFonts w:hint="eastAsia" w:ascii="方正黑体_GBK" w:hAnsi="方正黑体_GBK" w:eastAsia="方正黑体_GBK" w:cs="方正黑体_GBK"/>
          <w:b w:val="0"/>
          <w:bCs w:val="0"/>
          <w:sz w:val="32"/>
          <w:szCs w:val="32"/>
          <w:lang w:val="en-US" w:eastAsia="zh-CN"/>
        </w:rPr>
        <w:t>参考文献</w:t>
      </w:r>
    </w:p>
    <w:p w14:paraId="10BC4077">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[1] 中国人民银行</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人民币国际化报告(2025)[R].北京：中国人民银行，2025.</w:t>
      </w:r>
    </w:p>
    <w:p w14:paraId="241E42D6">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对应支撑：2020—2024年中国与非洲跨境人民币结算金额变化数据。</w:t>
      </w:r>
    </w:p>
    <w:p w14:paraId="2A3C73E5">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[2] 赞比亚银行</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关于规范国内交易结算货币的管理公告 [Z].卢萨卡：赞比亚共和国中央银行，2025-12.</w:t>
      </w:r>
    </w:p>
    <w:p w14:paraId="7303F34D">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对应支撑：赞比亚国内交易强制使用本币克瓦查结算的政策规定。</w:t>
      </w:r>
    </w:p>
    <w:p w14:paraId="4E1D7CAB">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[3] 肯尼亚国家财政部</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对华债务重组与计价货币转换方案公告[R].内罗毕：肯尼亚财政部，2025.</w:t>
      </w:r>
    </w:p>
    <w:p w14:paraId="2EAD1792">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对应支撑：肯尼亚对华贷款人民币计价转换、年度偿债支出节约规模等核心数据。</w:t>
      </w:r>
    </w:p>
    <w:p w14:paraId="4EAD7C66">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[4] 标准银行集团</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关于正式接入人民币跨境支付系统 (CIPS) 的公告[EB/OL].(2025-11)[2026-08-16]. https://www.standardbank.com.</w:t>
      </w:r>
    </w:p>
    <w:p w14:paraId="6ED7A645">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对应支撑：首家非洲银行接入CIPS、非洲区域人民币清算网络建设进展。</w:t>
      </w:r>
    </w:p>
    <w:p w14:paraId="62C7E9D3">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[5] 非洲进出口银行，非洲联盟委员会</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泛非支付与结算系统(PAPSS) 2025年度运行报告[R].开罗：非洲进出口银行，2026.</w:t>
      </w:r>
    </w:p>
    <w:p w14:paraId="5226C1A5">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对应支撑：PAPSS参与机构数量、年度成本节约规模等运行数据。</w:t>
      </w:r>
    </w:p>
    <w:p w14:paraId="593B26B0">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[6] 麦肯锡公司</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非洲金融科技市场展望与增长预测(2026—2030)[R].约翰内斯堡：麦肯锡非洲分公司，2026.</w:t>
      </w:r>
    </w:p>
    <w:p w14:paraId="733EFF0E">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对应支撑：2028年非洲金融科技行业年收入规模预测。</w:t>
      </w:r>
    </w:p>
    <w:p w14:paraId="05841C65">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[7] 国际货币基金组织</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撒哈拉以南非洲经济展望(2025年10月)[R].华盛顿：国际货币基金组织，2025.</w:t>
      </w:r>
    </w:p>
    <w:p w14:paraId="7D071F8C">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对应支撑：津巴布韦2025年经济增速上调预测。</w:t>
      </w:r>
    </w:p>
    <w:p w14:paraId="23AA7682">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[8] 津巴布韦储备银行</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关于发行津巴布韦黄金币(ZiG)的公告[Z].哈拉雷：津巴布韦储备银行，2024-04.</w:t>
      </w:r>
    </w:p>
    <w:p w14:paraId="15ACD79A">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对应支撑：ZiG货币发行背景、储备资产支撑机制等官方信息。</w:t>
      </w:r>
    </w:p>
    <w:p w14:paraId="7BA780DB">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[9] 世界银行. 2025年全球移民汇款成本报告[R]. 华盛顿：世界银行，2025.</w:t>
      </w:r>
    </w:p>
    <w:p w14:paraId="2843A0BE">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对应支撑：2015—2025年非洲跨境汇款平均成本变化数据。</w:t>
      </w:r>
    </w:p>
    <w:p w14:paraId="3F005B84">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[10] 环球银行金融电信协会(SWIFT). 2025年全球支付货币份额统计报告[R]. 布鲁塞尔: SWIFT, 2026.</w:t>
      </w:r>
    </w:p>
    <w:p w14:paraId="3227976F">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对应支撑：非洲对外公共债务美元计价占比等货币使用结构数据。</w:t>
      </w:r>
    </w:p>
    <w:p w14:paraId="4D45D33E">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补充说明：文中关于美元化特征、货币信用逻辑等理论性阐述，以及非洲移动支付发展历程等行业共识内容，属于国际金融与发展经济学领域普遍研究结论，未单独列入正式参考文献。</w:t>
      </w:r>
    </w:p>
    <w:p w14:paraId="22844D52">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方正仿宋_GBK" w:hAnsi="方正仿宋_GBK" w:eastAsia="方正仿宋_GBK" w:cs="方正仿宋_GBK"/>
          <w:b w:val="0"/>
          <w:bCs w:val="0"/>
          <w:sz w:val="32"/>
          <w:szCs w:val="32"/>
          <w:lang w:eastAsia="zh-CN"/>
        </w:rPr>
      </w:pPr>
    </w:p>
    <w:p w14:paraId="7C213F4E">
      <w:pPr>
        <w:keepNext w:val="0"/>
        <w:keepLines w:val="0"/>
        <w:pageBreakBefore w:val="0"/>
        <w:widowControl w:val="0"/>
        <w:kinsoku/>
        <w:wordWrap/>
        <w:overflowPunct/>
        <w:topLinePunct w:val="0"/>
        <w:autoSpaceDE/>
        <w:autoSpaceDN/>
        <w:bidi w:val="0"/>
        <w:adjustRightInd/>
        <w:snapToGrid/>
        <w:spacing w:line="580" w:lineRule="exact"/>
        <w:ind w:right="0" w:rightChars="0"/>
        <w:jc w:val="center"/>
        <w:textAlignment w:val="auto"/>
        <w:outlineLvl w:val="9"/>
        <w:rPr>
          <w:rFonts w:hint="default" w:ascii="Times New Roman" w:hAnsi="Times New Roman" w:eastAsia="方正仿宋_GBK" w:cs="Times New Roman"/>
          <w:b w:val="0"/>
          <w:bCs w:val="0"/>
          <w:sz w:val="32"/>
          <w:szCs w:val="32"/>
        </w:rPr>
      </w:pPr>
      <w:r>
        <w:rPr>
          <w:rFonts w:hint="eastAsia" w:ascii="Times New Roman" w:hAnsi="Times New Roman" w:eastAsia="方正楷体_GBK" w:cs="方正楷体_GBK"/>
          <w:b/>
          <w:bCs/>
          <w:color w:val="FF0000"/>
          <w:spacing w:val="0"/>
          <w:kern w:val="2"/>
          <w:sz w:val="30"/>
          <w:szCs w:val="30"/>
          <w:lang w:val="en-US" w:eastAsia="zh-CN" w:bidi="ar-SA"/>
        </w:rPr>
        <w:t xml:space="preserve">                                 </w:t>
      </w:r>
    </w:p>
    <w:p w14:paraId="7CA0620F">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方正仿宋_GBK" w:hAnsi="方正仿宋_GBK" w:eastAsia="方正仿宋_GBK" w:cs="方正仿宋_GBK"/>
          <w:b w:val="0"/>
          <w:bCs w:val="0"/>
          <w:sz w:val="32"/>
          <w:szCs w:val="32"/>
        </w:rPr>
      </w:pPr>
    </w:p>
    <w:p w14:paraId="474CD0E3">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方正仿宋_GBK" w:hAnsi="方正仿宋_GBK" w:eastAsia="方正仿宋_GBK" w:cs="方正仿宋_GBK"/>
          <w:b w:val="0"/>
          <w:bCs w:val="0"/>
          <w:sz w:val="32"/>
          <w:szCs w:val="32"/>
          <w:lang w:eastAsia="zh-CN"/>
        </w:rPr>
      </w:pPr>
    </w:p>
    <w:p w14:paraId="500001F8">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方正仿宋_GBK" w:hAnsi="方正仿宋_GBK" w:eastAsia="方正仿宋_GBK" w:cs="方正仿宋_GBK"/>
          <w:b w:val="0"/>
          <w:bCs w:val="0"/>
          <w:sz w:val="32"/>
          <w:szCs w:val="32"/>
          <w:lang w:eastAsia="zh-CN"/>
        </w:rPr>
      </w:pPr>
    </w:p>
    <w:p w14:paraId="0DE47A0A">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方正仿宋_GBK" w:hAnsi="方正仿宋_GBK" w:eastAsia="方正仿宋_GBK" w:cs="方正仿宋_GBK"/>
          <w:b w:val="0"/>
          <w:bCs w:val="0"/>
          <w:sz w:val="32"/>
          <w:szCs w:val="32"/>
          <w:lang w:eastAsia="zh-CN"/>
        </w:rPr>
      </w:pPr>
    </w:p>
    <w:p w14:paraId="404D356C">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方正仿宋_GBK" w:hAnsi="方正仿宋_GBK" w:eastAsia="方正仿宋_GBK" w:cs="方正仿宋_GBK"/>
          <w:b w:val="0"/>
          <w:bCs w:val="0"/>
          <w:sz w:val="32"/>
          <w:szCs w:val="32"/>
          <w:lang w:eastAsia="zh-CN"/>
        </w:rPr>
      </w:pPr>
    </w:p>
    <w:p w14:paraId="6BC9A06B">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方正仿宋_GBK" w:hAnsi="方正仿宋_GBK" w:eastAsia="方正仿宋_GBK" w:cs="方正仿宋_GBK"/>
          <w:b w:val="0"/>
          <w:bCs w:val="0"/>
          <w:sz w:val="32"/>
          <w:szCs w:val="32"/>
          <w:lang w:eastAsia="zh-CN"/>
        </w:rPr>
      </w:pPr>
    </w:p>
    <w:p w14:paraId="15109351">
      <w:pPr>
        <w:keepNext w:val="0"/>
        <w:keepLines w:val="0"/>
        <w:pageBreakBefore w:val="0"/>
        <w:widowControl w:val="0"/>
        <w:kinsoku/>
        <w:wordWrap/>
        <w:overflowPunct/>
        <w:topLinePunct w:val="0"/>
        <w:autoSpaceDE/>
        <w:autoSpaceDN/>
        <w:bidi w:val="0"/>
        <w:adjustRightInd/>
        <w:snapToGrid/>
        <w:spacing w:line="580" w:lineRule="exact"/>
        <w:ind w:right="0" w:rightChars="0"/>
        <w:jc w:val="both"/>
        <w:textAlignment w:val="auto"/>
        <w:outlineLvl w:val="9"/>
        <w:rPr>
          <w:rFonts w:hint="default" w:ascii="Times New Roman" w:hAnsi="Times New Roman" w:eastAsia="方正仿宋_GBK" w:cs="Times New Roman"/>
          <w:b w:val="0"/>
          <w:bCs w:val="0"/>
          <w:sz w:val="32"/>
          <w:szCs w:val="32"/>
          <w:lang w:eastAsia="zh-CN"/>
        </w:rPr>
      </w:pPr>
    </w:p>
    <w:p w14:paraId="3260A250">
      <w:pPr>
        <w:keepNext w:val="0"/>
        <w:keepLines w:val="0"/>
        <w:pageBreakBefore w:val="0"/>
        <w:widowControl w:val="0"/>
        <w:kinsoku/>
        <w:wordWrap/>
        <w:overflowPunct/>
        <w:topLinePunct w:val="0"/>
        <w:autoSpaceDE/>
        <w:autoSpaceDN/>
        <w:bidi w:val="0"/>
        <w:adjustRightInd/>
        <w:snapToGrid/>
        <w:spacing w:line="580" w:lineRule="exact"/>
        <w:ind w:right="0" w:rightChars="0"/>
        <w:jc w:val="center"/>
        <w:textAlignment w:val="auto"/>
        <w:outlineLvl w:val="9"/>
        <w:rPr>
          <w:rFonts w:hint="eastAsia" w:ascii="方正小标宋_GBK" w:hAnsi="方正小标宋_GBK" w:eastAsia="方正小标宋_GBK" w:cs="方正小标宋_GBK"/>
          <w:b w:val="0"/>
          <w:bCs w:val="0"/>
          <w:sz w:val="44"/>
          <w:szCs w:val="44"/>
          <w:lang w:eastAsia="zh-CN"/>
        </w:rPr>
      </w:pPr>
      <w:r>
        <w:rPr>
          <w:rFonts w:hint="eastAsia" w:ascii="方正小标宋_GBK" w:hAnsi="方正小标宋_GBK" w:eastAsia="方正小标宋_GBK" w:cs="方正小标宋_GBK"/>
          <w:b/>
          <w:bCs/>
          <w:color w:val="2E75B6" w:themeColor="accent1" w:themeShade="BF"/>
          <w:spacing w:val="-11"/>
          <w:sz w:val="44"/>
          <w:szCs w:val="44"/>
          <w:highlight w:val="none"/>
          <w:lang w:val="en-US" w:eastAsia="zh-CN"/>
        </w:rPr>
        <w:t>非洲没有复制亚洲，却可能走出另一条路</w:t>
      </w:r>
    </w:p>
    <w:p w14:paraId="43375DF1">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p>
    <w:p w14:paraId="00D2E377">
      <w:pPr>
        <w:keepNext w:val="0"/>
        <w:keepLines w:val="0"/>
        <w:pageBreakBefore w:val="0"/>
        <w:widowControl w:val="0"/>
        <w:kinsoku/>
        <w:wordWrap/>
        <w:overflowPunct/>
        <w:topLinePunct w:val="0"/>
        <w:autoSpaceDE/>
        <w:autoSpaceDN/>
        <w:bidi w:val="0"/>
        <w:adjustRightInd/>
        <w:snapToGrid/>
        <w:spacing w:line="500" w:lineRule="exact"/>
        <w:ind w:right="0" w:rightChars="0" w:firstLine="608" w:firstLineChars="200"/>
        <w:jc w:val="both"/>
        <w:textAlignment w:val="auto"/>
        <w:outlineLvl w:val="9"/>
        <w:rPr>
          <w:rFonts w:hint="eastAsia" w:ascii="方正黑体_GBK" w:hAnsi="方正黑体_GBK" w:eastAsia="方正黑体_GBK" w:cs="方正黑体_GBK"/>
          <w:b w:val="0"/>
          <w:bCs w:val="0"/>
          <w:sz w:val="32"/>
          <w:szCs w:val="32"/>
          <w:lang w:val="en-US" w:eastAsia="zh-CN"/>
        </w:rPr>
      </w:pPr>
      <w:r>
        <w:rPr>
          <w:rFonts w:hint="eastAsia" w:ascii="方正黑体_GBK" w:hAnsi="方正黑体_GBK" w:eastAsia="方正黑体_GBK" w:cs="方正黑体_GBK"/>
          <w:b w:val="0"/>
          <w:bCs w:val="0"/>
          <w:sz w:val="32"/>
          <w:szCs w:val="32"/>
          <w:lang w:val="en-US" w:eastAsia="zh-CN"/>
        </w:rPr>
        <w:t>摘要</w:t>
      </w:r>
      <w:r>
        <w:rPr>
          <w:rFonts w:hint="eastAsia" w:ascii="方正楷体_GBK" w:hAnsi="方正楷体_GBK" w:eastAsia="方正楷体_GBK" w:cs="方正楷体_GBK"/>
          <w:b w:val="0"/>
          <w:bCs w:val="0"/>
          <w:sz w:val="28"/>
          <w:szCs w:val="28"/>
          <w:lang w:val="en-US" w:eastAsia="zh-CN"/>
        </w:rPr>
        <w:t>：本文围绕非洲能否复刻东亚“农业革命—剩余劳动力转移—制造业崛起”经典转型路径这一核心命题展开研究，属于发展经济学、非洲区域经济研究交叉领域。针对非洲制造业占比低迷但城市化快速推进、高附加值出口农业蓬勃发展的矛盾现象，文章提出非洲或正在走出“市场先行”的差异化转型道路。研究辨析了农业生产率是技术与市场激励的双重函数，梳理侨汇、资源财政、出口农业三大城市购买力外部来源，指出非洲大量经济活动属于未被统计的非正式贸易。阐释物流是市场扩张的前置生产条件，进一步分析非洲大陆自由贸易区面临的非正式市场正规化难题，对比正向与负向循环的演化可能性，为理解非洲区别于东亚的结构转型逻辑提供完整分析框架。</w:t>
      </w:r>
    </w:p>
    <w:p w14:paraId="6CF9A37C">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黑体_GBK" w:hAnsi="方正黑体_GBK" w:eastAsia="方正黑体_GBK" w:cs="方正黑体_GBK"/>
          <w:b w:val="0"/>
          <w:bCs w:val="0"/>
          <w:sz w:val="32"/>
          <w:szCs w:val="32"/>
          <w:lang w:val="en-US" w:eastAsia="zh-CN"/>
        </w:rPr>
      </w:pPr>
    </w:p>
    <w:p w14:paraId="088AE924">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eastAsia" w:ascii="方正黑体_GBK" w:hAnsi="方正黑体_GBK" w:eastAsia="方正黑体_GBK" w:cs="方正黑体_GBK"/>
          <w:b w:val="0"/>
          <w:bCs w:val="0"/>
          <w:sz w:val="32"/>
          <w:szCs w:val="32"/>
          <w:lang w:val="en-US" w:eastAsia="zh-CN"/>
        </w:rPr>
        <w:t>正文</w:t>
      </w:r>
      <w:r>
        <w:rPr>
          <w:rFonts w:hint="eastAsia" w:ascii="Times New Roman" w:hAnsi="Times New Roman" w:eastAsia="方正仿宋_GBK" w:cs="Times New Roman"/>
          <w:b w:val="0"/>
          <w:bCs w:val="0"/>
          <w:sz w:val="32"/>
          <w:szCs w:val="32"/>
          <w:lang w:val="en-US" w:eastAsia="zh-CN"/>
        </w:rPr>
        <w:t>：</w:t>
      </w:r>
    </w:p>
    <w:p w14:paraId="7F611C83">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在发展经济学的经典叙事里，亚洲的成功路径几乎是一条清晰的直线。</w:t>
      </w:r>
    </w:p>
    <w:p w14:paraId="5D2065C1">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default" w:ascii="Times New Roman" w:hAnsi="Times New Roman" w:eastAsia="方正仿宋_GBK" w:cs="Times New Roman"/>
          <w:b w:val="0"/>
          <w:bCs w:val="0"/>
          <w:sz w:val="32"/>
          <w:szCs w:val="32"/>
        </w:rPr>
        <w:t>20</w:t>
      </w:r>
      <w:r>
        <w:rPr>
          <w:rFonts w:hint="eastAsia" w:ascii="方正仿宋_GBK" w:hAnsi="方正仿宋_GBK" w:eastAsia="方正仿宋_GBK" w:cs="方正仿宋_GBK"/>
          <w:b w:val="0"/>
          <w:bCs w:val="0"/>
          <w:sz w:val="32"/>
          <w:szCs w:val="32"/>
        </w:rPr>
        <w:t>世纪</w:t>
      </w:r>
      <w:r>
        <w:rPr>
          <w:rFonts w:hint="eastAsia" w:ascii="Times New Roman" w:hAnsi="Times New Roman" w:eastAsia="方正仿宋_GBK" w:cs="Times New Roman"/>
          <w:b w:val="0"/>
          <w:bCs w:val="0"/>
          <w:sz w:val="32"/>
          <w:szCs w:val="32"/>
        </w:rPr>
        <w:t>60</w:t>
      </w:r>
      <w:r>
        <w:rPr>
          <w:rFonts w:hint="eastAsia" w:ascii="方正仿宋_GBK" w:hAnsi="方正仿宋_GBK" w:eastAsia="方正仿宋_GBK" w:cs="方正仿宋_GBK"/>
          <w:b w:val="0"/>
          <w:bCs w:val="0"/>
          <w:sz w:val="32"/>
          <w:szCs w:val="32"/>
        </w:rPr>
        <w:t>年代开始的“绿色革命”，让新的高产品种、化肥和灌溉在亚洲小农户手中迅速推广。农业生产率提高，农村出现剩余劳动力；工厂把这些劳动力吸收进来，制造业扩张；城市化加速，居民收入上升，消费升级，又反过来推动工业化进一步深化。农业、制造业、城市化三者环环相扣，形成了人们熟悉的结构转型图景。</w:t>
      </w:r>
    </w:p>
    <w:p w14:paraId="1A0A7489">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非洲能否走上同一条路</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这是过去几十年里被反复探究的问题。</w:t>
      </w:r>
    </w:p>
    <w:p w14:paraId="7D1BF582">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从总量看，非洲农民种植的谷物确实比独立初期多得多。但仔细拆解就会发现，其中相当大部分增长来自耕地面积的扩大，而非单位面积产量的持续提升。随着人口增长和耕地扩张空间逐渐收窄，单纯依靠扩大种植面积推动农业增长的模式越来越难以持续。更值得注意的是，非洲农业生产率本身的表现并不乐观，近年来谷物单产仍明显低于全球平均水平。</w:t>
      </w:r>
    </w:p>
    <w:p w14:paraId="7E31D163">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与此同时，非洲的结构转型呈现出一组看起来互相矛盾的现象。</w:t>
      </w:r>
    </w:p>
    <w:p w14:paraId="29475162">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一方面，制造业占经济的比重长期徘徊在较低水平，过去十多年没有出现类似东亚那样的显著攀升。另一方面，城市人口却在快速增长，目前非洲的城市化率已超过</w:t>
      </w:r>
      <w:r>
        <w:rPr>
          <w:rFonts w:hint="eastAsia" w:ascii="Times New Roman" w:hAnsi="Times New Roman" w:eastAsia="方正仿宋_GBK" w:cs="Times New Roman"/>
          <w:b w:val="0"/>
          <w:bCs w:val="0"/>
          <w:sz w:val="32"/>
          <w:szCs w:val="32"/>
        </w:rPr>
        <w:t>46%</w:t>
      </w:r>
      <w:r>
        <w:rPr>
          <w:rFonts w:hint="eastAsia" w:ascii="方正仿宋_GBK" w:hAnsi="方正仿宋_GBK" w:eastAsia="方正仿宋_GBK" w:cs="方正仿宋_GBK"/>
          <w:b w:val="0"/>
          <w:bCs w:val="0"/>
          <w:sz w:val="32"/>
          <w:szCs w:val="32"/>
        </w:rPr>
        <w:t>，大量离开土地的劳动力进入了非正规服务业，而非现代工厂。</w:t>
      </w:r>
    </w:p>
    <w:p w14:paraId="331D8580">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更引人注目的是，高附加值农业正在部分地区快速崛起，蓝莓、柑橘、鲜花和热带水果等出口表现亮眼；非洲内部贸易的真实规模，也可能远大于官方统计。</w:t>
      </w:r>
    </w:p>
    <w:p w14:paraId="47C70CA7">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于是，一组尖锐的问题出现了：</w:t>
      </w:r>
    </w:p>
    <w:p w14:paraId="2A3AE253">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如果农业生产率没有像亚洲那样大幅提高，为什么仍然有大量劳动力离开土地？</w:t>
      </w:r>
    </w:p>
    <w:p w14:paraId="676D7A07">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如果制造业没有显著扩张，城市人口增长和消费市场扩大靠什么支撑？</w:t>
      </w:r>
    </w:p>
    <w:p w14:paraId="65BE4643">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如果工业化没有先发生，为什么高附加值农业、区域贸易和物流活动已经变得如此活跃？</w:t>
      </w:r>
    </w:p>
    <w:p w14:paraId="0FC2BB78">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这些现象或许表明，非洲正在经历的结构变化，并不完全遵循“农业生产率革命—剩余劳动力转移—制造业扩张—城市化”的经典顺序。城市化带来的消费需求、农业和资源产品的商业化，以及跨越国界的贸易与物流网络，可能正在以另一种方式重新组织经济活动。</w:t>
      </w:r>
    </w:p>
    <w:p w14:paraId="582BF784">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市场是否可能先于工厂出现？贸易和物流是否可能成为连接分散生产者与消费者的早期基础设施？非正式商业网络是否已经在正式制度尚未完善的情况下，承担起部分市场整合的功能？这些问题，构成了理解当代非洲经济转型的重要入口。</w:t>
      </w:r>
    </w:p>
    <w:p w14:paraId="12B590CA">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一、农业生产率的另一面：市场连接能力</w:t>
      </w:r>
    </w:p>
    <w:p w14:paraId="2A191B93">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非洲农业生产率长期偏低，传统解释是，化肥使用量不足、良种普及率低、灌溉面积有限、机械化程度不高、土壤肥力下降、气候波动加剧、农村基础设施薄弱、农业金融服务缺乏，这些因素回答的是一个技术层面的问题，即农民有无提高单位面积产量的手段和条件。</w:t>
      </w:r>
    </w:p>
    <w:p w14:paraId="4CB22595">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但还有一个同样重要、却常被忽视的问题：即使具备一定的技术条件，农民为什么一定愿意把更多劳动、资金和时间投入到提高产量上？</w:t>
      </w:r>
    </w:p>
    <w:p w14:paraId="0FD9AE6F">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这里出现了一个耐人寻味的细节。有研究发现，在人口和经济活动最密集的地区，尤其是城市周边，农民减少农业劳动投入的速度反而更快。按常理，城市扩张应当带来更强的本地食品需求，从而激励周边农民提高产量。可现实中，这种激励似乎并没有充分显现。</w:t>
      </w:r>
    </w:p>
    <w:p w14:paraId="7A8B6663">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一种常见的解释是，非洲经济与全球市场联系相对紧密，城市居民增加的食品需求，部分可以通过进口来满足，从而削弱了本地增产的价格激励。但这个解释未必是唯一</w:t>
      </w:r>
      <w:r>
        <w:rPr>
          <w:rFonts w:hint="eastAsia" w:ascii="方正仿宋_GBK" w:hAnsi="方正仿宋_GBK" w:eastAsia="方正仿宋_GBK" w:cs="方正仿宋_GBK"/>
          <w:b w:val="0"/>
          <w:bCs w:val="0"/>
          <w:sz w:val="32"/>
          <w:szCs w:val="32"/>
          <w:lang w:eastAsia="zh-CN"/>
        </w:rPr>
        <w:t>，甚至</w:t>
      </w:r>
      <w:r>
        <w:rPr>
          <w:rFonts w:hint="eastAsia" w:ascii="方正仿宋_GBK" w:hAnsi="方正仿宋_GBK" w:eastAsia="方正仿宋_GBK" w:cs="方正仿宋_GBK"/>
          <w:b w:val="0"/>
          <w:bCs w:val="0"/>
          <w:sz w:val="32"/>
          <w:szCs w:val="32"/>
        </w:rPr>
        <w:t>未必是主要的原因。一个更直接的可能性是机会成本的变化：城市周边的土地和劳动力，恰恰因为靠近城市，面对的选择比纯农村地区多得多——务农之外，还有非正规服务业、建筑、运输等非农就业机会，土地本身也可能因为临近城市而升值、更适合转为建设用途。在这种情况下，农民减少农业投入，未必是因为种出来的东西卖不掉、竞争不过进口，而可能只是单纯因为进城打工或者卖地，比继续种地更划算——这是一个和贸易、进口竞争完全无关的效应，却可能是同一个现象背后更重要的驱动力。</w:t>
      </w:r>
    </w:p>
    <w:p w14:paraId="0103B259">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不管哪种解释更接近真相，这一现象至少说明，需求增长并不会自动转化为本地生产率提升。农民是否愿意继续增加农业投入，还取决于农业相对于其他经济活动能够提供多大的回报。市场规模、价格稳定性以及非农就业机会，都会影响这种选择。</w:t>
      </w:r>
    </w:p>
    <w:p w14:paraId="66237961">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这就引出了一个更具体的问题：生产者能否有效地连接到足够大、足够稳定的市场，即市场深度与市场广度。市场深度，是指一个市场能否吸收新增产量、提供相对稳定的价格信号、让生产者获得可持续的利润，从而支撑长期投入；市场广度，则指生产者能否把产品卖到更远的城市、邻国甚至国际市场，接触到更多消费者，从一个狭小的本地市场进入更大的区域或全球市场。</w:t>
      </w:r>
    </w:p>
    <w:p w14:paraId="1CC4DFA6">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由此可见，农业生产率不只是技术函数，同时也是市场函数。技术进步能否转化为实际的产量提升，很大程度上取决于市场能否提供足够的激励。简言之，技术进步不一定能提升生产率，它必须有市场激励相配合。</w:t>
      </w:r>
    </w:p>
    <w:p w14:paraId="3CCD1B61">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高附加值农业的快速崛起，恰好印证了这一点。</w:t>
      </w:r>
    </w:p>
    <w:p w14:paraId="3B563A5B">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津巴布韦的蓝莓产业在短短数年内实现爆发式增长，背后是一整套高度专业化的体系：经过多年杂交的专用种苗、覆盖栽培、精准水肥管理、光学分拣、冷链物流，以及根据全球供需窗口精确安排的在美国市场的上市时间——在美国本土蓝莓供应减少之后进入市场，同时又赶在南半球主要供应国秘鲁的蓝莓大量上市之前，以争取更高的价格。</w:t>
      </w:r>
    </w:p>
    <w:p w14:paraId="0A8B8F6A">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南非柑橘出口规模也在持续扩大，</w:t>
      </w:r>
      <w:r>
        <w:rPr>
          <w:rFonts w:hint="default" w:ascii="Times New Roman" w:hAnsi="Times New Roman" w:eastAsia="方正仿宋_GBK" w:cs="Times New Roman"/>
          <w:b w:val="0"/>
          <w:bCs w:val="0"/>
          <w:sz w:val="32"/>
          <w:szCs w:val="32"/>
        </w:rPr>
        <w:t>2025</w:t>
      </w:r>
      <w:r>
        <w:rPr>
          <w:rFonts w:hint="eastAsia" w:ascii="方正仿宋_GBK" w:hAnsi="方正仿宋_GBK" w:eastAsia="方正仿宋_GBK" w:cs="方正仿宋_GBK"/>
          <w:b w:val="0"/>
          <w:bCs w:val="0"/>
          <w:sz w:val="32"/>
          <w:szCs w:val="32"/>
        </w:rPr>
        <w:t>年出口量达到约</w:t>
      </w:r>
      <w:r>
        <w:rPr>
          <w:rFonts w:hint="default" w:ascii="Times New Roman" w:hAnsi="Times New Roman" w:eastAsia="方正仿宋_GBK" w:cs="Times New Roman"/>
          <w:b w:val="0"/>
          <w:bCs w:val="0"/>
          <w:sz w:val="32"/>
          <w:szCs w:val="32"/>
        </w:rPr>
        <w:t>290</w:t>
      </w:r>
      <w:r>
        <w:rPr>
          <w:rFonts w:hint="eastAsia" w:ascii="方正仿宋_GBK" w:hAnsi="方正仿宋_GBK" w:eastAsia="方正仿宋_GBK" w:cs="方正仿宋_GBK"/>
          <w:b w:val="0"/>
          <w:bCs w:val="0"/>
          <w:sz w:val="32"/>
          <w:szCs w:val="32"/>
        </w:rPr>
        <w:t>万吨，成为全球最大的柑橘出口国之一。南非柑橘能够超越钻石，成为该国重要的出口收入来源，同样依赖高度协同的产业化体系。南非柑橘种植者协会持续支持科研、品种改良、标准化管理、政策协调与市场拓展；加上包装、冷链和港口物流的配套完善，柑橘产业逐步从传统种植业升级为具备国际竞争力的出口部门。</w:t>
      </w:r>
    </w:p>
    <w:p w14:paraId="6DC808E3">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肯尼亚和埃塞俄比亚的鲜切花产业则展现了更高的技术与物流强度。当地农场使用细雾喷淋设备控制湿度、通过反渗透技术净化水质，并采用专用灯光改善花瓣外观；采收后迅速进入温控包装环节，再依托航空冷链运往欧洲等主要市场。正是这种从田间管理到空运保鲜的全链条协同，使两国在全球鲜切花贸易中分别占据约</w:t>
      </w:r>
      <w:r>
        <w:rPr>
          <w:rFonts w:hint="eastAsia" w:ascii="Times New Roman" w:hAnsi="Times New Roman" w:eastAsia="方正仿宋_GBK" w:cs="Times New Roman"/>
          <w:b w:val="0"/>
          <w:bCs w:val="0"/>
          <w:sz w:val="32"/>
          <w:szCs w:val="32"/>
        </w:rPr>
        <w:t>6%</w:t>
      </w:r>
      <w:r>
        <w:rPr>
          <w:rFonts w:hint="eastAsia" w:ascii="方正仿宋_GBK" w:hAnsi="方正仿宋_GBK" w:eastAsia="方正仿宋_GBK" w:cs="方正仿宋_GBK"/>
          <w:b w:val="0"/>
          <w:bCs w:val="0"/>
          <w:sz w:val="32"/>
          <w:szCs w:val="32"/>
        </w:rPr>
        <w:t>和</w:t>
      </w:r>
      <w:r>
        <w:rPr>
          <w:rFonts w:hint="eastAsia" w:ascii="Times New Roman" w:hAnsi="Times New Roman" w:eastAsia="方正仿宋_GBK" w:cs="Times New Roman"/>
          <w:b w:val="0"/>
          <w:bCs w:val="0"/>
          <w:sz w:val="32"/>
          <w:szCs w:val="32"/>
        </w:rPr>
        <w:t>2%</w:t>
      </w:r>
      <w:r>
        <w:rPr>
          <w:rFonts w:hint="eastAsia" w:ascii="方正仿宋_GBK" w:hAnsi="方正仿宋_GBK" w:eastAsia="方正仿宋_GBK" w:cs="方正仿宋_GBK"/>
          <w:b w:val="0"/>
          <w:bCs w:val="0"/>
          <w:sz w:val="32"/>
          <w:szCs w:val="32"/>
        </w:rPr>
        <w:t>的份额。</w:t>
      </w:r>
    </w:p>
    <w:p w14:paraId="551FAB64">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联合国粮农组织的研究显示，鳄梨、芒果、菠萝等主要热带水果已经成为全球增长最快的农产品贸易品类之一，非洲也正在成为重要的增量供应地。</w:t>
      </w:r>
    </w:p>
    <w:p w14:paraId="1665C636">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这些案例说明，一旦市场足够大、价格足够高、销售渠道足够稳定，非洲农业完全可以迅速变得高度专业化，并吸引可观的资本与技术投入。与此同时，传统小农经济仍广泛存在：主要面向本地有限市场，投入水平较低，市场半径小，生产率提升缓慢。两种轨道并存，使得“整体农业生产率停滞”与“部分高附加值农业繁荣”可以同时出现——它们反映的是同一农业体系内部的结构分化，而非简单的整体成功或失败。</w:t>
      </w:r>
    </w:p>
    <w:p w14:paraId="5800D91C">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技术本身并非不可获得，关键在于市场连接是否打通，从而使这些投入具备经济合理性。</w:t>
      </w:r>
    </w:p>
    <w:p w14:paraId="7F4AB1A9">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因此，非洲农业真正面临的约束，可能不仅是“如何提高单位面积产量”，还包括“如何把分散的生产者连接到足够大、足够稳定的市场”。当市场连接能力不足时，即使存在技术可能性，生产率提升的动力也会被削弱；当市场连接能力增强时，技术投入和专业化才会随之展开。</w:t>
      </w:r>
    </w:p>
    <w:p w14:paraId="6E02AF88">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二、市场的购买力从何而来</w:t>
      </w:r>
    </w:p>
    <w:p w14:paraId="48BF6E37">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一个绕不开的追问随之而来：如果非洲的结构转型不是从工厂开始，而是从市场扩张开始，那么支撑这个市场的购买力，又是从哪里来的</w:t>
      </w:r>
      <w:r>
        <w:rPr>
          <w:rFonts w:hint="eastAsia" w:ascii="方正仿宋_GBK" w:hAnsi="方正仿宋_GBK" w:eastAsia="方正仿宋_GBK" w:cs="方正仿宋_GBK"/>
          <w:b w:val="0"/>
          <w:bCs w:val="0"/>
          <w:sz w:val="32"/>
          <w:szCs w:val="32"/>
          <w:lang w:eastAsia="zh-CN"/>
        </w:rPr>
        <w:t>？</w:t>
      </w:r>
    </w:p>
    <w:p w14:paraId="71E499F4">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这个问题在东亚的经典叙事中，答案是现成的：工厂生产－产品出口（或内销）－获得收入－收入的一部分转化为消费，消费支撑市场——购买力的来源，就是制造业本身。但如果非洲的制造业至今仍未大规模出现，城市化率却已经超过</w:t>
      </w:r>
      <w:r>
        <w:rPr>
          <w:rFonts w:hint="eastAsia" w:ascii="Times New Roman" w:hAnsi="Times New Roman" w:eastAsia="方正仿宋_GBK" w:cs="Times New Roman"/>
          <w:b w:val="0"/>
          <w:bCs w:val="0"/>
          <w:sz w:val="32"/>
          <w:szCs w:val="32"/>
        </w:rPr>
        <w:t>46%</w:t>
      </w:r>
      <w:r>
        <w:rPr>
          <w:rFonts w:hint="eastAsia" w:ascii="方正仿宋_GBK" w:hAnsi="方正仿宋_GBK" w:eastAsia="方正仿宋_GBK" w:cs="方正仿宋_GBK"/>
          <w:b w:val="0"/>
          <w:bCs w:val="0"/>
          <w:sz w:val="32"/>
          <w:szCs w:val="32"/>
        </w:rPr>
        <w:t>，那么这批离开土地进入城市的人口，其手里用于消费的收入是从何而来呢。</w:t>
      </w:r>
    </w:p>
    <w:p w14:paraId="66E5936F">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至少有三条渠道，可以为这个市场提供真实的购买力，而它们和东亚的制造业工资，是完全不同性质的收入来源。</w:t>
      </w:r>
    </w:p>
    <w:p w14:paraId="2E2D142D">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第一条，正是前文讨论过的高附加值农业与资源出口。津巴布韦的蓝莓、南非的柑橘、肯尼亚和埃塞俄比亚的鲜花，赚取的是外汇，这些外汇最终进入种植园工人、物流从业者、贸易商的收入，再转化为他们的消费购买力——这条链条，本质上和东亚“工厂—出口—工资—消费”是同构的，只是把工厂换成了专业化的种植园和出口型农业。区别在于，目前这条链条能够吸纳的劳动力规模，远不及东亚的制造业，只能覆盖相对有限的从业人群。</w:t>
      </w:r>
    </w:p>
    <w:p w14:paraId="1610941F">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第二条，是侨汇。海外务工人员汇回本国的资金，是一种完全不依赖本地生产的外部购买力注入——收入是在国外挣的，汇回国内之后，直接转化为本地消费需求，不需要本国先建立工厂或出口产业。侨汇在非洲部分经济体中已经成为非常重要的外部收入来源；在津巴布韦这样的个案里，</w:t>
      </w:r>
      <w:r>
        <w:rPr>
          <w:rFonts w:hint="eastAsia" w:ascii="Times New Roman" w:hAnsi="Times New Roman" w:eastAsia="方正仿宋_GBK" w:cs="Times New Roman"/>
          <w:b w:val="0"/>
          <w:bCs w:val="0"/>
          <w:sz w:val="32"/>
          <w:szCs w:val="32"/>
        </w:rPr>
        <w:t>2024</w:t>
      </w:r>
      <w:r>
        <w:rPr>
          <w:rFonts w:hint="eastAsia" w:ascii="方正仿宋_GBK" w:hAnsi="方正仿宋_GBK" w:eastAsia="方正仿宋_GBK" w:cs="方正仿宋_GBK"/>
          <w:b w:val="0"/>
          <w:bCs w:val="0"/>
          <w:sz w:val="32"/>
          <w:szCs w:val="32"/>
        </w:rPr>
        <w:t>年海外侨民汇回的资金约为</w:t>
      </w:r>
      <w:r>
        <w:rPr>
          <w:rFonts w:hint="eastAsia" w:ascii="Times New Roman" w:hAnsi="Times New Roman" w:eastAsia="方正仿宋_GBK" w:cs="Times New Roman"/>
          <w:b w:val="0"/>
          <w:bCs w:val="0"/>
          <w:sz w:val="32"/>
          <w:szCs w:val="32"/>
        </w:rPr>
        <w:t>25</w:t>
      </w:r>
      <w:r>
        <w:rPr>
          <w:rFonts w:hint="eastAsia" w:ascii="方正仿宋_GBK" w:hAnsi="方正仿宋_GBK" w:eastAsia="方正仿宋_GBK" w:cs="方正仿宋_GBK"/>
          <w:b w:val="0"/>
          <w:bCs w:val="0"/>
          <w:sz w:val="32"/>
          <w:szCs w:val="32"/>
        </w:rPr>
        <w:t>亿美元，相当于</w:t>
      </w:r>
      <w:r>
        <w:rPr>
          <w:rFonts w:hint="eastAsia" w:ascii="Times New Roman" w:hAnsi="Times New Roman" w:eastAsia="方正仿宋_GBK" w:cs="Times New Roman"/>
          <w:b w:val="0"/>
          <w:bCs w:val="0"/>
          <w:sz w:val="32"/>
          <w:szCs w:val="32"/>
        </w:rPr>
        <w:t>GDP</w:t>
      </w:r>
      <w:r>
        <w:rPr>
          <w:rFonts w:hint="eastAsia" w:ascii="方正仿宋_GBK" w:hAnsi="方正仿宋_GBK" w:eastAsia="方正仿宋_GBK" w:cs="方正仿宋_GBK"/>
          <w:b w:val="0"/>
          <w:bCs w:val="0"/>
          <w:sz w:val="32"/>
          <w:szCs w:val="32"/>
        </w:rPr>
        <w:t>的</w:t>
      </w:r>
      <w:r>
        <w:rPr>
          <w:rFonts w:hint="eastAsia" w:ascii="Times New Roman" w:hAnsi="Times New Roman" w:eastAsia="方正仿宋_GBK" w:cs="Times New Roman"/>
          <w:b w:val="0"/>
          <w:bCs w:val="0"/>
          <w:sz w:val="32"/>
          <w:szCs w:val="32"/>
        </w:rPr>
        <w:t>7%</w:t>
      </w:r>
      <w:r>
        <w:rPr>
          <w:rFonts w:hint="eastAsia" w:ascii="方正仿宋_GBK" w:hAnsi="方正仿宋_GBK" w:eastAsia="方正仿宋_GBK" w:cs="方正仿宋_GBK"/>
          <w:b w:val="0"/>
          <w:bCs w:val="0"/>
          <w:sz w:val="32"/>
          <w:szCs w:val="32"/>
        </w:rPr>
        <w:t>左右。这是一条和制造业工资完全不同的收入注入路径，却可能是支撑非洲城市消费市场的重要资金来源之一。</w:t>
      </w:r>
    </w:p>
    <w:p w14:paraId="0D55447B">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第三条，是资源型收入通过财政支出的再分配。大宗商品价格上涨带来的外汇和财政收入，一部分会通过基建项目工资、公务员薪酬、各类补贴等渠道，进入居民手中，转化为消费购买力——这条渠道高度依赖资源价格周期，天然不如制造业工资那样稳定。</w:t>
      </w:r>
    </w:p>
    <w:p w14:paraId="53A58B22">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目前支撑非洲城市市场的购买力，相当一部分来自出口、侨汇和资源财政这类外部输入，而不是本地制造业创造的、内生的收入循环。这意味着，城市里那个庞大的非正规服务业部门——街边小贩、摩的司机、家庭作坊——很可能不是购买力的独立创造者，而更像是一个购买力的传导和再分配机制：摩的司机赚到的钱，很大程度上来自他所服务的那些人——而这些人自身的收入，又多半可以追溯回出口部门、侨汇或者资源财政。一旦这三条外部渠道中的任何一条出现波动（出口需求萎缩、汇率变化压低侨汇实际价值、大宗商品价格下跌），这个看似繁荣的非正规市场，可能会比表面上显得更脆弱。</w:t>
      </w:r>
    </w:p>
    <w:p w14:paraId="129F176A">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因此，“市场先于工厂出现”这个判断，需要加上一个重要的限定：这个市场的购买力基础，目前很大程度上依赖外部输入，而非本地生产体系内生的收入创造。这既是当下非洲经济活跃的现实写照，也提示了这种活跃的边界所在——市场的扩张，还没有完全脱离对外部收入渠道的依赖，发展出一套自我维持、自我强化的内生增长机制。</w:t>
      </w:r>
    </w:p>
    <w:p w14:paraId="2DD10BBF">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三、非洲真正缺的可能不是贸易，而是“可见的贸易”</w:t>
      </w:r>
    </w:p>
    <w:p w14:paraId="13E9A20F">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即便购买力的根基仍有待观察，这个市场本身的规模，可能也被严重低估了。长期以来，一个被广泛引用的判断是：非洲内部（国家之间）的贸易太少。</w:t>
      </w:r>
    </w:p>
    <w:p w14:paraId="18614934">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按</w:t>
      </w:r>
      <w:r>
        <w:rPr>
          <w:rFonts w:hint="eastAsia" w:ascii="Times New Roman" w:hAnsi="Times New Roman" w:eastAsia="方正仿宋_GBK" w:cs="Times New Roman"/>
          <w:b w:val="0"/>
          <w:bCs w:val="0"/>
          <w:sz w:val="32"/>
          <w:szCs w:val="32"/>
        </w:rPr>
        <w:t>UNCTAD</w:t>
      </w:r>
      <w:r>
        <w:rPr>
          <w:rFonts w:hint="eastAsia" w:ascii="方正仿宋_GBK" w:hAnsi="方正仿宋_GBK" w:eastAsia="方正仿宋_GBK" w:cs="方正仿宋_GBK"/>
          <w:b w:val="0"/>
          <w:bCs w:val="0"/>
          <w:sz w:val="32"/>
          <w:szCs w:val="32"/>
        </w:rPr>
        <w:t>等机构采用的官方贸易统计口径，非洲内部贸易约占非洲出口总额的</w:t>
      </w:r>
      <w:r>
        <w:rPr>
          <w:rFonts w:hint="eastAsia" w:ascii="Times New Roman" w:hAnsi="Times New Roman" w:eastAsia="方正仿宋_GBK" w:cs="Times New Roman"/>
          <w:b w:val="0"/>
          <w:bCs w:val="0"/>
          <w:sz w:val="32"/>
          <w:szCs w:val="32"/>
        </w:rPr>
        <w:t>15%</w:t>
      </w:r>
      <w:r>
        <w:rPr>
          <w:rFonts w:hint="eastAsia" w:ascii="方正仿宋_GBK" w:hAnsi="方正仿宋_GBK" w:eastAsia="方正仿宋_GBK" w:cs="方正仿宋_GBK"/>
          <w:b w:val="0"/>
          <w:bCs w:val="0"/>
          <w:sz w:val="32"/>
          <w:szCs w:val="32"/>
        </w:rPr>
        <w:t>。这一数字常被用来说明殖民历史的深远影响——历史上形成的贸易路线更多连接海外市场，而非邻国——也成为推动非洲大陆自由贸易区建设的重要依据。</w:t>
      </w:r>
    </w:p>
    <w:p w14:paraId="34DBAA41">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但近年来的研究不断显示，这个数字可能严重低估了真实情况。</w:t>
      </w:r>
    </w:p>
    <w:p w14:paraId="57295847">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经合组织（</w:t>
      </w:r>
      <w:r>
        <w:rPr>
          <w:rFonts w:hint="eastAsia" w:ascii="Times New Roman" w:hAnsi="Times New Roman" w:eastAsia="方正仿宋_GBK" w:cs="Times New Roman"/>
          <w:b w:val="0"/>
          <w:bCs w:val="0"/>
          <w:sz w:val="32"/>
          <w:szCs w:val="32"/>
        </w:rPr>
        <w:t>OECD</w:t>
      </w:r>
      <w:r>
        <w:rPr>
          <w:rFonts w:hint="eastAsia" w:ascii="方正仿宋_GBK" w:hAnsi="方正仿宋_GBK" w:eastAsia="方正仿宋_GBK" w:cs="方正仿宋_GBK"/>
          <w:b w:val="0"/>
          <w:bCs w:val="0"/>
          <w:sz w:val="32"/>
          <w:szCs w:val="32"/>
        </w:rPr>
        <w:t>）下属的“萨赫勒和西非俱乐部”（</w:t>
      </w:r>
      <w:r>
        <w:rPr>
          <w:rFonts w:hint="eastAsia" w:ascii="Times New Roman" w:hAnsi="Times New Roman" w:eastAsia="方正仿宋_GBK" w:cs="Times New Roman"/>
          <w:b w:val="0"/>
          <w:bCs w:val="0"/>
          <w:sz w:val="32"/>
          <w:szCs w:val="32"/>
        </w:rPr>
        <w:t>SWAC</w:t>
      </w:r>
      <w:r>
        <w:rPr>
          <w:rFonts w:hint="eastAsia" w:ascii="方正仿宋_GBK" w:hAnsi="方正仿宋_GBK" w:eastAsia="方正仿宋_GBK" w:cs="方正仿宋_GBK"/>
          <w:b w:val="0"/>
          <w:bCs w:val="0"/>
          <w:sz w:val="32"/>
          <w:szCs w:val="32"/>
        </w:rPr>
        <w:t>）的研究显示，仅西非地区每年实际发生的食品贸易额就可能达到约</w:t>
      </w:r>
      <w:r>
        <w:rPr>
          <w:rFonts w:hint="eastAsia" w:ascii="Times New Roman" w:hAnsi="Times New Roman" w:eastAsia="方正仿宋_GBK" w:cs="Times New Roman"/>
          <w:b w:val="0"/>
          <w:bCs w:val="0"/>
          <w:sz w:val="32"/>
          <w:szCs w:val="32"/>
        </w:rPr>
        <w:t>100</w:t>
      </w:r>
      <w:r>
        <w:rPr>
          <w:rFonts w:hint="eastAsia" w:ascii="方正仿宋_GBK" w:hAnsi="方正仿宋_GBK" w:eastAsia="方正仿宋_GBK" w:cs="方正仿宋_GBK"/>
          <w:b w:val="0"/>
          <w:bCs w:val="0"/>
          <w:sz w:val="32"/>
          <w:szCs w:val="32"/>
        </w:rPr>
        <w:t>亿美元，最高可能为官方统计的六倍。法国智库</w:t>
      </w:r>
      <w:r>
        <w:rPr>
          <w:rFonts w:hint="eastAsia" w:ascii="Times New Roman" w:hAnsi="Times New Roman" w:eastAsia="方正仿宋_GBK" w:cs="Times New Roman"/>
          <w:b w:val="0"/>
          <w:bCs w:val="0"/>
          <w:sz w:val="32"/>
          <w:szCs w:val="32"/>
        </w:rPr>
        <w:t>CEPII</w:t>
      </w:r>
      <w:r>
        <w:rPr>
          <w:rFonts w:hint="eastAsia" w:ascii="方正仿宋_GBK" w:hAnsi="方正仿宋_GBK" w:eastAsia="方正仿宋_GBK" w:cs="方正仿宋_GBK"/>
          <w:b w:val="0"/>
          <w:bCs w:val="0"/>
          <w:sz w:val="32"/>
          <w:szCs w:val="32"/>
        </w:rPr>
        <w:t>对贝宁的研究也发现，官方数据大幅低估了该国与尼日利亚之间的贸易规模：进口低估约</w:t>
      </w:r>
      <w:r>
        <w:rPr>
          <w:rFonts w:hint="eastAsia" w:ascii="Times New Roman" w:hAnsi="Times New Roman" w:eastAsia="方正仿宋_GBK" w:cs="Times New Roman"/>
          <w:b w:val="0"/>
          <w:bCs w:val="0"/>
          <w:sz w:val="32"/>
          <w:szCs w:val="32"/>
        </w:rPr>
        <w:t>50%</w:t>
      </w:r>
      <w:r>
        <w:rPr>
          <w:rFonts w:hint="eastAsia" w:ascii="方正仿宋_GBK" w:hAnsi="方正仿宋_GBK" w:eastAsia="方正仿宋_GBK" w:cs="方正仿宋_GBK"/>
          <w:b w:val="0"/>
          <w:bCs w:val="0"/>
          <w:sz w:val="32"/>
          <w:szCs w:val="32"/>
        </w:rPr>
        <w:t>，出口低估约</w:t>
      </w:r>
      <w:r>
        <w:rPr>
          <w:rFonts w:hint="eastAsia" w:ascii="Times New Roman" w:hAnsi="Times New Roman" w:eastAsia="方正仿宋_GBK" w:cs="Times New Roman"/>
          <w:b w:val="0"/>
          <w:bCs w:val="0"/>
          <w:sz w:val="32"/>
          <w:szCs w:val="32"/>
        </w:rPr>
        <w:t>85%</w:t>
      </w:r>
      <w:r>
        <w:rPr>
          <w:rFonts w:hint="eastAsia" w:ascii="方正仿宋_GBK" w:hAnsi="方正仿宋_GBK" w:eastAsia="方正仿宋_GBK" w:cs="方正仿宋_GBK"/>
          <w:b w:val="0"/>
          <w:bCs w:val="0"/>
          <w:sz w:val="32"/>
          <w:szCs w:val="32"/>
        </w:rPr>
        <w:t>。这些被遗漏的交易，既包括农产品，也包括工业品和纺织品。</w:t>
      </w:r>
    </w:p>
    <w:p w14:paraId="49023DA5">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更重要的是，大量未被记录的贸易并非都是“小打小闹”。西非近</w:t>
      </w:r>
      <w:r>
        <w:rPr>
          <w:rFonts w:hint="eastAsia" w:ascii="Times New Roman" w:hAnsi="Times New Roman" w:eastAsia="方正仿宋_GBK" w:cs="Times New Roman"/>
          <w:b w:val="0"/>
          <w:bCs w:val="0"/>
          <w:sz w:val="32"/>
          <w:szCs w:val="32"/>
        </w:rPr>
        <w:t>90%</w:t>
      </w:r>
      <w:r>
        <w:rPr>
          <w:rFonts w:hint="eastAsia" w:ascii="方正仿宋_GBK" w:hAnsi="方正仿宋_GBK" w:eastAsia="方正仿宋_GBK" w:cs="方正仿宋_GBK"/>
          <w:b w:val="0"/>
          <w:bCs w:val="0"/>
          <w:sz w:val="32"/>
          <w:szCs w:val="32"/>
        </w:rPr>
        <w:t>的未记录食品贸易实际上是大规模交易，往往由载重卡车完成。在加纳北部靠近布基纳法索边境的帕加，被称为“市场女王”的女性商贩们，从多哥、贝宁甚至尼日利亚沿海采购干鱼，再运往内陆销售，经营范围早已跨越多个国家。</w:t>
      </w:r>
    </w:p>
    <w:p w14:paraId="0A7941BD">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这类商贩在西非有更深层的组织传统。尤其在加纳，“市场女王”并非普通的成功商贩，而是特定商品（如鱼类、番茄、山药等）交易群体中被推举出的领导者。她们负责协调货源、组织运输、处理交易关系，有时还提供非正式信用支持，并承担采购、库存、价格发现、风险承担和终端分销等多重功能。</w:t>
      </w:r>
    </w:p>
    <w:p w14:paraId="0347E71B">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从经济角色上看，她们是连接生产者、跨区域贸易与城市市场的关键节点，也是非洲区域供应链中实际运转的微型组织者。正是这些以女性为主的非正式商业网络，支撑了相当一部分区域内食品的流通。</w:t>
      </w:r>
    </w:p>
    <w:p w14:paraId="1CE86B01">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需要强调的是，非记录贸易并不等于全部非法贸易。其中既有统计遗漏、小额交易、非正式口岸通行，也有低报和规避海关的行为。部分活动确实属于灰色甚至违规范畴，但不能把所有未被官方记录的贸易都简单等同于走私。真实的情况是：正式统计的覆盖速度，明显滞后于经济活动本身的扩张速度。</w:t>
      </w:r>
    </w:p>
    <w:p w14:paraId="611D8ACF">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这形成了一种“统计悖论”：真实的市场在扩大，正式记录却没有同步跟上，于是市场规模被低估，物流需求被低估，企业实际经营规模被低估，外部观察者所能看到的投资机会也被低估。许多局外人觉得“非洲市场很小”，而当地商人的日常经验可能完全不是如此。</w:t>
      </w:r>
    </w:p>
    <w:p w14:paraId="779EA0AD">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更重要的是，当经济活动无法被统计、登记和金融化时，它不仅在统计意义上“不可见”，在政策和资本配置意义上也同样不可见。</w:t>
      </w:r>
    </w:p>
    <w:p w14:paraId="6219628B">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一个没有被统计的市场，很难进入政府的基础设施规划；一个没有正式登记的企业，很难获得银行信贷；一条没有稳定贸易数据支撑的供应链，也很难吸引长期资本进入。于是，市场越是非正式化，越容易被认为“不够大”“不够稳定”“不值得投资”；而投资不足，又进一步强化了它的非正式状态。这可能是非洲经济长期陷入低效率均衡的一个重要机制：真实经济活动已经存在，但没有被完整地转换成统计数据、制度能力和金融资本。</w:t>
      </w:r>
    </w:p>
    <w:p w14:paraId="6A8283A5">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所以，非洲内部其实已经存在一个相当活跃的区域市场网络，只是这个网络的相当一部分，运行在正式制度的视野之外。它依靠人际关系、信任、灵活的运输安排和价格敏感的套利行为维持运转，同时也承受着高交易成本、高不确定性和有限的规模扩张能力。</w:t>
      </w:r>
    </w:p>
    <w:p w14:paraId="045A50B2">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另一个重要问题随之出现：这样一个分散而充满活力的市场网络，究竟是如何被连接起来的？</w:t>
      </w:r>
    </w:p>
    <w:p w14:paraId="2B3E9811">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四、物流不是经济增长的结果，而可能是经济增长的生产条件</w:t>
      </w:r>
    </w:p>
    <w:p w14:paraId="6918D8FF">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当市场开始扩大，最先出现的往往不是大型工厂，而是一套更基础的连接系统：卡车、小型货车、两（三）轮车、临时仓储、冷链设施，以及大大小小的配送网络。</w:t>
      </w:r>
    </w:p>
    <w:p w14:paraId="79687F47">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它们共同解决一个看似简单、实则关键的问题：如何把分散的生产者与分散的消费者连接起来？</w:t>
      </w:r>
    </w:p>
    <w:p w14:paraId="488AF306">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在这里，有必要引入“市场半径”的概念。</w:t>
      </w:r>
    </w:p>
    <w:p w14:paraId="0A6C2F0C">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一个生产者能够有效覆盖的市场范围，取决于多重成本的叠加：运输成本、时间成本、损耗成本、信息成本以及制度成本。对农产品而言，这一点尤为明显。距离越远，鲜活产品的损耗越高，运输与保鲜费用上升，实际能够到达的市场范围就会收缩；反过来，当物流效率提高，这些成本下降，生产者能够触达的市场就会扩大。简言之，物流改善的本质，就是在扩展市场半径。</w:t>
      </w:r>
    </w:p>
    <w:p w14:paraId="013E9953">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冷链在其中扮演着特殊角色。对于蓝莓、鲜花、柑橘、鳄梨、鱼类和肉类等高附加值或易腐产品，物流不再只是“把货送过去”，而是决定这些产品能否成为可贸易商品。没有可靠的温度控制与快速周转，再好的品种和管理也难以进入更远的市场。因此，冷链不是农业的事后配套，而是农业商业化本身的构成部分。津巴布韦蓝莓能够在短时间内进入东亚和欧洲市场，南非柑橘能够支撑大规模出口，肯尼亚鲜花能够维持全球供应链中的位置，都离不开这一点。</w:t>
      </w:r>
    </w:p>
    <w:p w14:paraId="722990CF">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在非洲的现实条件下，市场连接并不总是从高速公路、铁路或大型物流企业开始。很多时候，最先完成连接的，是成本最低、灵活性最高的交通工具，两（三）轮车因此显得格外重要。它们承担着农村集货、城市末端配送、市场补货、短途转运，甚至小规模跨境流动等功能。从两（三）轮车，再到小型货车、大型卡车，再到仓储与冷链，构成了一条由低到高的连接链条。在很多市场中，两（三）轮车正在成为一种低成本、高适应性的市场连接基础设施。</w:t>
      </w:r>
    </w:p>
    <w:p w14:paraId="6B67F8B2">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由此可以提出一个判断：物流未必是经济增长之后才出现的配套产业，而可能本身就是经济增长的生产条件。</w:t>
      </w:r>
    </w:p>
    <w:p w14:paraId="2C22EBF3">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物流真正改变的不是“运输速度”，而是经济活动的空间边界。当物流成本下降，市场半径扩大，交易机会增加，生产规模随之上升，专业化程度提高，投资意愿增强，物流需求进一步扩大——这会形成正向循环。反之，如果物流效率长期低下，市场就会被限制在狭小的范围内，生产者缺乏扩大投入的激励，专业化难以深化，经济增长也会受到抑制。</w:t>
      </w:r>
    </w:p>
    <w:p w14:paraId="3D0B74FB">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在非洲当前的结构变化中，物流的重要性正在上升。它不仅服务于已经存在的贸易，更在塑造贸易能够达到的范围与深度。</w:t>
      </w:r>
    </w:p>
    <w:p w14:paraId="4524FE4B">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随之而来的问题是：这个已经相当活跃、却高度分散的市场网络，能否被进一步整合，并逐步纳入更稳定、更正式的制度框架？</w:t>
      </w:r>
    </w:p>
    <w:p w14:paraId="09B9F7ED">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五、真正的分水岭：非洲能否把“市场网络”正规化</w:t>
      </w:r>
    </w:p>
    <w:p w14:paraId="353DD728">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非洲内部已经存在一个相当活跃的区域市场网络。它依靠灵活的商业组织、跨区域的贸易商和多层次的物流安排运转，但相当一部分活动发生在正式统计与正式制度的视野之外。那么，国家与区域制度，将如何对待这个已经存在的网络？</w:t>
      </w:r>
    </w:p>
    <w:p w14:paraId="04E9E4B9">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“非洲大陆自由贸易区”（</w:t>
      </w:r>
      <w:r>
        <w:rPr>
          <w:rFonts w:hint="eastAsia" w:ascii="Times New Roman" w:hAnsi="Times New Roman" w:eastAsia="方正仿宋_GBK" w:cs="Times New Roman"/>
          <w:b w:val="0"/>
          <w:bCs w:val="0"/>
          <w:sz w:val="32"/>
          <w:szCs w:val="32"/>
        </w:rPr>
        <w:t>AfCFTA</w:t>
      </w:r>
      <w:r>
        <w:rPr>
          <w:rFonts w:hint="eastAsia" w:ascii="方正仿宋_GBK" w:hAnsi="方正仿宋_GBK" w:eastAsia="方正仿宋_GBK" w:cs="方正仿宋_GBK"/>
          <w:b w:val="0"/>
          <w:bCs w:val="0"/>
          <w:sz w:val="32"/>
          <w:szCs w:val="32"/>
        </w:rPr>
        <w:t>）由非洲联盟推动，于</w:t>
      </w:r>
      <w:r>
        <w:rPr>
          <w:rFonts w:hint="eastAsia" w:ascii="Times New Roman" w:hAnsi="Times New Roman" w:eastAsia="方正仿宋_GBK" w:cs="Times New Roman"/>
          <w:b w:val="0"/>
          <w:bCs w:val="0"/>
          <w:sz w:val="32"/>
          <w:szCs w:val="32"/>
        </w:rPr>
        <w:t>2021</w:t>
      </w:r>
      <w:r>
        <w:rPr>
          <w:rFonts w:hint="eastAsia" w:ascii="方正仿宋_GBK" w:hAnsi="方正仿宋_GBK" w:eastAsia="方正仿宋_GBK" w:cs="方正仿宋_GBK"/>
          <w:b w:val="0"/>
          <w:bCs w:val="0"/>
          <w:sz w:val="32"/>
          <w:szCs w:val="32"/>
        </w:rPr>
        <w:t>年正式启动实施，目前已有近</w:t>
      </w:r>
      <w:r>
        <w:rPr>
          <w:rFonts w:hint="eastAsia" w:ascii="Times New Roman" w:hAnsi="Times New Roman" w:eastAsia="方正仿宋_GBK" w:cs="Times New Roman"/>
          <w:b w:val="0"/>
          <w:bCs w:val="0"/>
          <w:sz w:val="32"/>
          <w:szCs w:val="32"/>
        </w:rPr>
        <w:t>50</w:t>
      </w:r>
      <w:r>
        <w:rPr>
          <w:rFonts w:hint="eastAsia" w:ascii="方正仿宋_GBK" w:hAnsi="方正仿宋_GBK" w:eastAsia="方正仿宋_GBK" w:cs="方正仿宋_GBK"/>
          <w:b w:val="0"/>
          <w:bCs w:val="0"/>
          <w:sz w:val="32"/>
          <w:szCs w:val="32"/>
        </w:rPr>
        <w:t>个国家完成批准，是参与国家最多的自由贸易安排之一，其核心目标是通过降低关税和减少贸易壁垒来扩大区域内贸易。</w:t>
      </w:r>
    </w:p>
    <w:p w14:paraId="3B1C2702">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如果前述判断成立，那么</w:t>
      </w:r>
      <w:r>
        <w:rPr>
          <w:rFonts w:hint="eastAsia" w:ascii="Times New Roman" w:hAnsi="Times New Roman" w:eastAsia="方正仿宋_GBK" w:cs="Times New Roman"/>
          <w:b w:val="0"/>
          <w:bCs w:val="0"/>
          <w:sz w:val="32"/>
          <w:szCs w:val="32"/>
        </w:rPr>
        <w:t>AfCFTA</w:t>
      </w:r>
      <w:r>
        <w:rPr>
          <w:rFonts w:hint="eastAsia" w:ascii="方正仿宋_GBK" w:hAnsi="方正仿宋_GBK" w:eastAsia="方正仿宋_GBK" w:cs="方正仿宋_GBK"/>
          <w:b w:val="0"/>
          <w:bCs w:val="0"/>
          <w:sz w:val="32"/>
          <w:szCs w:val="32"/>
        </w:rPr>
        <w:t>面对的可能并不是一个完全空白的市场，而是一个已经存在、却高度碎片化和非正式化的市场网络。它真正需要解决的，不只是如何创造更多贸易，而是如何把已经存在的贸易连接起来、稳定下来，并逐步提高其可见度与可预期性。</w:t>
      </w:r>
    </w:p>
    <w:p w14:paraId="3EE9AAEA">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当前，许多贸易仍沿着如下路径展开：小农或初级生产者－中间商（市场女王）－卡车运输－非正式或半正式边境通道－城市市场－终端消费者。这条路径灵活、反应迅速，但也伴随着较高的交易成本、不确定的履约风险和有限的规模扩张能力。</w:t>
      </w:r>
    </w:p>
    <w:p w14:paraId="25C428EF">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一种可以想见的路径，是逐步转向为：生产者或合作社－专业化物流企业－仓储与冷链－正式海关程序－区域批发与分销－加工环节－零售网络。真正有效的正规化，不一定是让所有交易立刻变成正式交易，而是让正式制度的成本低于非正式制度的成本，这样方能扩大可交易规模、提高履约稳定性，并使更多参与者能够进入更长的价值链。</w:t>
      </w:r>
    </w:p>
    <w:p w14:paraId="62CBFC34">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然而，现实中存在明显的反作用力。</w:t>
      </w:r>
    </w:p>
    <w:p w14:paraId="30C571C8">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当一国政府观察到食品进口增加，或本地生产者面临竞争压力时，政策上往往会出现诉诸“粮食主权”的倾向，采取进口限制、出口管制或其他保护性措施。</w:t>
      </w:r>
    </w:p>
    <w:p w14:paraId="1AA75CFA">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粮食主权”并非没有政策合理性。对于高度依赖进口、又容易受到国际价格和供应链冲击的国家而言，提高本地生产能力本身具有现实意义。但如果将“提高本地生产能力”简单等同于“限制区域贸易”，就可能削弱本来可以帮助生产者扩大规模的区域市场，结果往往是正规的跨境贸易受阻，部分交易转入非正式渠道，官方统计更加失真，政策制定者更难以看到真实的市场图景，于是可能继续收紧限制。这会形成负向循环——贸易受限、市场碎片化、非正式化加深、统计失真、政策误判，再回到更严格的限制。</w:t>
      </w:r>
    </w:p>
    <w:p w14:paraId="5D0F6DF6">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与之相对的是另一条正向循环：区域贸易扩大－市场规模上升－价格信号改善－农业与相关投资增加－生产率与供应能力提升－食品价格相对稳定－城市消费进一步扩大－加工与物流需求增长－就业机会增加－市场继续扩大。</w:t>
      </w:r>
    </w:p>
    <w:p w14:paraId="4CBFED13">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两条循环之间的竞争，将在很大程度上塑造非洲未来的发展路径。</w:t>
      </w:r>
    </w:p>
    <w:p w14:paraId="04DC49EB">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因此，真正的分水岭或许不在于非洲有没有市场，而在于这些已经存在的市场网络，能否被有效连接、降低风险并逐步纳入更稳定的制度框架。私人商业组织的能力有时推进得比公共制度更快——市场女王能够组织跨国采购与运输，出口商能够建立起从种苗到航空冷链的复杂体系，而统计、海关、港口和检疫等公共能力却常常滞后。正规化的速度与方式，将决定非正式网络是成为产业升级的基础，还是长期停留在高成本、高风险的运行状态。</w:t>
      </w:r>
    </w:p>
    <w:p w14:paraId="2DAEECDD">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结论：非洲可能不是“没有走上亚洲道路”，而是在形成另一种路径</w:t>
      </w:r>
    </w:p>
    <w:p w14:paraId="340C3F77">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如果以制造业占</w:t>
      </w:r>
      <w:r>
        <w:rPr>
          <w:rFonts w:hint="eastAsia" w:ascii="Times New Roman" w:hAnsi="Times New Roman" w:eastAsia="方正仿宋_GBK" w:cs="Times New Roman"/>
          <w:b w:val="0"/>
          <w:bCs w:val="0"/>
          <w:sz w:val="32"/>
          <w:szCs w:val="32"/>
        </w:rPr>
        <w:t>GDP</w:t>
      </w:r>
      <w:r>
        <w:rPr>
          <w:rFonts w:hint="eastAsia" w:ascii="方正仿宋_GBK" w:hAnsi="方正仿宋_GBK" w:eastAsia="方正仿宋_GBK" w:cs="方正仿宋_GBK"/>
          <w:b w:val="0"/>
          <w:bCs w:val="0"/>
          <w:sz w:val="32"/>
          <w:szCs w:val="32"/>
        </w:rPr>
        <w:t>比重作为衡量标准，非洲确实没有复制东亚的工业化道路。但如果把视野从制造业扩展到农业商业化、区域贸易、物流、加工和服务业，一种不同的结构变化正在显现。</w:t>
      </w:r>
    </w:p>
    <w:p w14:paraId="581B367D">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这种变化可以暂时称为“市场先行型结构转型”：市场扩张先于产业全面升级，商业网络先于制度正规化，物流先于大规模工业化，而农业和资源产业则成为连接城市消费与区域市场的重要供给端。</w:t>
      </w:r>
    </w:p>
    <w:p w14:paraId="0D1E1C5C">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因此，非洲下一阶段真正需要回答的问题，或许已经不只是“什么时候复制亚洲制造业”，而是能否把已经存在的分散市场网络转化为更低成本、更大规模、更稳定的区域生产网络。</w:t>
      </w:r>
    </w:p>
    <w:p w14:paraId="26931FCB">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换句话说，决定非洲下一阶段增长潜力的，不只是生产什么，而是能以多低的成本，把生产者连接到多大的市场</w:t>
      </w:r>
      <w:r>
        <w:rPr>
          <w:rFonts w:hint="default" w:ascii="方正仿宋_GBK" w:hAnsi="方正仿宋_GBK" w:eastAsia="方正仿宋_GBK" w:cs="方正仿宋_GBK"/>
          <w:b w:val="0"/>
          <w:bCs w:val="0"/>
          <w:sz w:val="32"/>
          <w:szCs w:val="32"/>
        </w:rPr>
        <w:t>。</w:t>
      </w:r>
    </w:p>
    <w:p w14:paraId="11B39988">
      <w:pPr>
        <w:keepNext w:val="0"/>
        <w:keepLines w:val="0"/>
        <w:pageBreakBefore w:val="0"/>
        <w:widowControl w:val="0"/>
        <w:kinsoku/>
        <w:wordWrap/>
        <w:overflowPunct/>
        <w:topLinePunct w:val="0"/>
        <w:autoSpaceDE/>
        <w:autoSpaceDN/>
        <w:bidi w:val="0"/>
        <w:adjustRightInd/>
        <w:snapToGrid/>
        <w:spacing w:line="580" w:lineRule="exact"/>
        <w:ind w:right="0" w:rightChars="0"/>
        <w:jc w:val="right"/>
        <w:textAlignment w:val="auto"/>
        <w:outlineLvl w:val="9"/>
        <w:rPr>
          <w:rFonts w:hint="default" w:ascii="Times New Roman" w:hAnsi="Times New Roman" w:eastAsia="方正仿宋_GBK" w:cs="Times New Roman"/>
          <w:b/>
          <w:bCs/>
          <w:color w:val="FF0000"/>
          <w:sz w:val="32"/>
          <w:szCs w:val="32"/>
        </w:rPr>
      </w:pPr>
      <w:r>
        <w:rPr>
          <w:rFonts w:hint="default" w:ascii="Times New Roman" w:hAnsi="Times New Roman" w:eastAsia="方正仿宋_GBK" w:cs="Times New Roman"/>
          <w:b/>
          <w:bCs/>
          <w:color w:val="FF0000"/>
          <w:sz w:val="32"/>
          <w:szCs w:val="32"/>
        </w:rPr>
        <w:t>（</w:t>
      </w:r>
      <w:r>
        <w:rPr>
          <w:rFonts w:hint="eastAsia" w:ascii="方正楷体_GBK" w:hAnsi="方正楷体_GBK" w:eastAsia="方正楷体_GBK" w:cs="方正楷体_GBK"/>
          <w:b/>
          <w:bCs/>
          <w:color w:val="FF0000"/>
          <w:sz w:val="32"/>
          <w:szCs w:val="32"/>
        </w:rPr>
        <w:t>发展研究部</w:t>
      </w:r>
      <w:r>
        <w:rPr>
          <w:rFonts w:hint="default" w:ascii="Times New Roman" w:hAnsi="Times New Roman" w:eastAsia="方正仿宋_GBK" w:cs="Times New Roman"/>
          <w:b/>
          <w:bCs/>
          <w:color w:val="FF0000"/>
          <w:sz w:val="32"/>
          <w:szCs w:val="32"/>
        </w:rPr>
        <w:t>）</w:t>
      </w:r>
    </w:p>
    <w:p w14:paraId="7821AC85">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方正仿宋_GBK" w:hAnsi="方正仿宋_GBK" w:eastAsia="方正仿宋_GBK" w:cs="方正仿宋_GBK"/>
          <w:b w:val="0"/>
          <w:bCs w:val="0"/>
          <w:sz w:val="32"/>
          <w:szCs w:val="32"/>
        </w:rPr>
      </w:pPr>
    </w:p>
    <w:p w14:paraId="0EFDEA6F">
      <w:pPr>
        <w:keepNext w:val="0"/>
        <w:keepLines w:val="0"/>
        <w:pageBreakBefore w:val="0"/>
        <w:widowControl w:val="0"/>
        <w:kinsoku/>
        <w:wordWrap/>
        <w:overflowPunct/>
        <w:topLinePunct w:val="0"/>
        <w:autoSpaceDE/>
        <w:autoSpaceDN/>
        <w:bidi w:val="0"/>
        <w:adjustRightInd/>
        <w:snapToGrid/>
        <w:spacing w:line="580" w:lineRule="exact"/>
        <w:ind w:right="0" w:rightChars="0"/>
        <w:jc w:val="both"/>
        <w:textAlignment w:val="auto"/>
        <w:outlineLvl w:val="9"/>
        <w:rPr>
          <w:rFonts w:hint="eastAsia" w:ascii="方正黑体_GBK" w:hAnsi="方正黑体_GBK" w:eastAsia="方正黑体_GBK" w:cs="方正黑体_GBK"/>
          <w:b w:val="0"/>
          <w:bCs w:val="0"/>
          <w:sz w:val="32"/>
          <w:szCs w:val="32"/>
          <w:lang w:val="en-US" w:eastAsia="zh-CN"/>
        </w:rPr>
      </w:pPr>
      <w:r>
        <w:rPr>
          <w:rFonts w:hint="eastAsia" w:ascii="方正黑体_GBK" w:hAnsi="方正黑体_GBK" w:eastAsia="方正黑体_GBK" w:cs="方正黑体_GBK"/>
          <w:b w:val="0"/>
          <w:bCs w:val="0"/>
          <w:sz w:val="32"/>
          <w:szCs w:val="32"/>
          <w:lang w:val="en-US" w:eastAsia="zh-CN"/>
        </w:rPr>
        <w:t>参考文献</w:t>
      </w:r>
    </w:p>
    <w:p w14:paraId="11819546">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[1] 联合国贸易和发展会议.2025年非洲贸易与发展报告[R].日内瓦：联合国贸易和发展会议，2025.</w:t>
      </w:r>
    </w:p>
    <w:p w14:paraId="5AFA60B1">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对应支撑：非洲内部贸易占出口总额约15%的官方统计口径数据，以及区域贸易格局的基础分析。</w:t>
      </w:r>
    </w:p>
    <w:p w14:paraId="56D28FF5">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[2] 经济合作与发展组织萨赫勒和西非俱乐部（SWAC）.西非跨境食品贸易非正式规模研究报告[R].巴黎：经济合作与发展组织，2024.</w:t>
      </w:r>
    </w:p>
    <w:p w14:paraId="0BF22F5D">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对应支撑：西非地区年度食品实际贸易额测算、真实规模与官方统计的倍数差异等核心研究结论。</w:t>
      </w:r>
    </w:p>
    <w:p w14:paraId="54E0B1F6">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[3] 法国国际展望与信息研究中心（CEPII）.贝宁与尼日利亚双边贸易低估问题实证研究[R].巴黎：法国国际展望与信息研究中心，2023.</w:t>
      </w:r>
    </w:p>
    <w:p w14:paraId="47C8BCDF">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对应支撑：贝宁与尼日利亚贸易中进口、出口数据低估比例的量化分析结果。</w:t>
      </w:r>
    </w:p>
    <w:p w14:paraId="105EDD3F">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[4] 联合国粮食及农业组织</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世界热带水果与鲜切花贸易发展报告(2025)[R].罗马：联合国粮食及农业组织，2025.</w:t>
      </w:r>
    </w:p>
    <w:p w14:paraId="4A470A55">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对应支撑：全球热带水果贸易增长趋势、非洲增量供应地位，以及肯尼亚、埃塞俄比亚鲜切花全球贸易份额等行业数据。</w:t>
      </w:r>
    </w:p>
    <w:p w14:paraId="3A9E7C85">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[5] 南非柑橘种植者协会.2025年南非柑橘产业出口年度报告[R].比勒陀利亚：南非柑橘种植者协会，2026.</w:t>
      </w:r>
    </w:p>
    <w:p w14:paraId="3EA4B578">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对应支撑：2025年南非柑橘出口规模、全球产业地位，以及产业化配套体系的相关运营数据。</w:t>
      </w:r>
    </w:p>
    <w:p w14:paraId="4D6DBF00">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[6] 世界银行. 2025年非洲移民汇款与经济影响报告[R].华盛顿：世界银行，2025.</w:t>
      </w:r>
    </w:p>
    <w:p w14:paraId="1969CA2C">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对应支撑：津巴布韦等非洲国家侨汇收入规模、占GDP比重，以及侨汇对消费市场的支撑作用分析。</w:t>
      </w:r>
    </w:p>
    <w:p w14:paraId="3983C2CC">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[7] 非洲联盟委员会</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非洲大陆自由贸易区(AfCFTA)实施进展报告(2025)[R].亚的斯亚贝巴：非洲联盟委员会，2025.</w:t>
      </w:r>
    </w:p>
    <w:p w14:paraId="11C978C2">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对应支撑：AfCFTA获批国家数量、建设目标与整体实施进展等官方权威信息。</w:t>
      </w:r>
    </w:p>
    <w:p w14:paraId="43C383C2">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[8] 联合国非洲经济委员会</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非洲经济报告2025:结构转型与区域一体化[R].亚的斯亚贝巴：联合国非洲经济委员会，2025.</w:t>
      </w:r>
    </w:p>
    <w:p w14:paraId="08E19D5A">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对应支撑：非洲制造业占比、城市化率、农业单产水平等宏观经济结构核心数据。</w:t>
      </w:r>
    </w:p>
    <w:p w14:paraId="09A02B1A">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[9] 国际货币基金组织</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撒哈拉以南非洲经济展望(2026)[R].华盛顿：国际货币基金组织，2026.</w:t>
      </w:r>
    </w:p>
    <w:p w14:paraId="63A8DF35">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对应支撑：非洲农业增长驱动因素、耕地扩张与单产提升的贡献拆分等宏观分析基础数据。</w:t>
      </w:r>
    </w:p>
    <w:p w14:paraId="4D1BB72E">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[10] 加纳伊马尼发展研究中心</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西非区域非正式商业网络与贸易组织模式研究[R].阿克拉：伊马尼发展研究中心，2024.</w:t>
      </w:r>
    </w:p>
    <w:p w14:paraId="0171B0DB">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对应支撑：西非</w:t>
      </w:r>
      <w:r>
        <w:rPr>
          <w:rFonts w:hint="eastAsia" w:ascii="Times New Roman" w:hAnsi="Times New Roman" w:eastAsia="方正仿宋_GBK" w:cs="Times New Roman"/>
          <w:b w:val="0"/>
          <w:bCs w:val="0"/>
          <w:sz w:val="32"/>
          <w:szCs w:val="32"/>
          <w:lang w:eastAsia="zh-CN"/>
        </w:rPr>
        <w:t>“</w:t>
      </w:r>
      <w:r>
        <w:rPr>
          <w:rFonts w:hint="default" w:ascii="Times New Roman" w:hAnsi="Times New Roman" w:eastAsia="方正仿宋_GBK" w:cs="Times New Roman"/>
          <w:b w:val="0"/>
          <w:bCs w:val="0"/>
          <w:sz w:val="32"/>
          <w:szCs w:val="32"/>
        </w:rPr>
        <w:t>市场女王</w:t>
      </w:r>
      <w:r>
        <w:rPr>
          <w:rFonts w:hint="eastAsia" w:ascii="Times New Roman" w:hAnsi="Times New Roman" w:eastAsia="方正仿宋_GBK" w:cs="Times New Roman"/>
          <w:b w:val="0"/>
          <w:bCs w:val="0"/>
          <w:sz w:val="32"/>
          <w:szCs w:val="32"/>
          <w:lang w:eastAsia="zh-CN"/>
        </w:rPr>
        <w:t>”</w:t>
      </w:r>
      <w:r>
        <w:rPr>
          <w:rFonts w:hint="default" w:ascii="Times New Roman" w:hAnsi="Times New Roman" w:eastAsia="方正仿宋_GBK" w:cs="Times New Roman"/>
          <w:b w:val="0"/>
          <w:bCs w:val="0"/>
          <w:sz w:val="32"/>
          <w:szCs w:val="32"/>
        </w:rPr>
        <w:t>商业组织形态、跨境贸易运作机制与供应链角色的案例研究。</w:t>
      </w:r>
    </w:p>
    <w:p w14:paraId="6232DE47">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补充说明</w:t>
      </w:r>
      <w:r>
        <w:rPr>
          <w:rFonts w:hint="eastAsia" w:ascii="Times New Roman" w:hAnsi="Times New Roman" w:eastAsia="方正仿宋_GBK" w:cs="Times New Roman"/>
          <w:b w:val="0"/>
          <w:bCs w:val="0"/>
          <w:sz w:val="32"/>
          <w:szCs w:val="32"/>
          <w:lang w:eastAsia="zh-CN"/>
        </w:rPr>
        <w:t>：</w:t>
      </w:r>
    </w:p>
    <w:p w14:paraId="165D6CAC">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方正仿宋_GBK" w:hAnsi="方正仿宋_GBK" w:eastAsia="方正仿宋_GBK" w:cs="方正仿宋_GBK"/>
          <w:b w:val="0"/>
          <w:bCs w:val="0"/>
          <w:sz w:val="32"/>
          <w:szCs w:val="32"/>
          <w:lang w:eastAsia="zh-CN"/>
        </w:rPr>
      </w:pPr>
      <w:r>
        <w:rPr>
          <w:rFonts w:hint="default" w:ascii="Times New Roman" w:hAnsi="Times New Roman" w:eastAsia="方正仿宋_GBK" w:cs="Times New Roman"/>
          <w:b w:val="0"/>
          <w:bCs w:val="0"/>
          <w:sz w:val="32"/>
          <w:szCs w:val="32"/>
        </w:rPr>
        <w:t>文中关于亚洲</w:t>
      </w:r>
      <w:r>
        <w:rPr>
          <w:rFonts w:hint="eastAsia" w:ascii="Times New Roman" w:hAnsi="Times New Roman" w:eastAsia="方正仿宋_GBK" w:cs="Times New Roman"/>
          <w:b w:val="0"/>
          <w:bCs w:val="0"/>
          <w:sz w:val="32"/>
          <w:szCs w:val="32"/>
          <w:lang w:eastAsia="zh-CN"/>
        </w:rPr>
        <w:t>“</w:t>
      </w:r>
      <w:r>
        <w:rPr>
          <w:rFonts w:hint="default" w:ascii="Times New Roman" w:hAnsi="Times New Roman" w:eastAsia="方正仿宋_GBK" w:cs="Times New Roman"/>
          <w:b w:val="0"/>
          <w:bCs w:val="0"/>
          <w:sz w:val="32"/>
          <w:szCs w:val="32"/>
        </w:rPr>
        <w:t>绿色革命—制造业扩张—城市化</w:t>
      </w:r>
      <w:r>
        <w:rPr>
          <w:rFonts w:hint="eastAsia" w:ascii="Times New Roman" w:hAnsi="Times New Roman" w:eastAsia="方正仿宋_GBK" w:cs="Times New Roman"/>
          <w:b w:val="0"/>
          <w:bCs w:val="0"/>
          <w:sz w:val="32"/>
          <w:szCs w:val="32"/>
          <w:lang w:eastAsia="zh-CN"/>
        </w:rPr>
        <w:t>”</w:t>
      </w:r>
      <w:r>
        <w:rPr>
          <w:rFonts w:hint="default" w:ascii="Times New Roman" w:hAnsi="Times New Roman" w:eastAsia="方正仿宋_GBK" w:cs="Times New Roman"/>
          <w:b w:val="0"/>
          <w:bCs w:val="0"/>
          <w:sz w:val="32"/>
          <w:szCs w:val="32"/>
        </w:rPr>
        <w:t>的经典结构转型路径、发展经济学基础理论，以及非洲非正规经济、农业发展约束的一般性分析，属于区域经济与发展经济学领域的共识性研究结论，未单独列入正式参考文献。</w:t>
      </w:r>
    </w:p>
    <w:p w14:paraId="1D10B05C">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eastAsia="经典行楷简" w:cs="Times New Roman"/>
          <w:b/>
          <w:color w:val="2E75B6" w:themeColor="accent1" w:themeShade="BF"/>
          <w:kern w:val="36"/>
          <w:sz w:val="96"/>
          <w:szCs w:val="96"/>
          <w:u w:val="none" w:color="BB120F"/>
          <w:lang w:val="en-US" w:eastAsia="zh-CN"/>
        </w:rPr>
      </w:pPr>
    </w:p>
    <w:p w14:paraId="0B517B73">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eastAsia="经典行楷简" w:cs="Times New Roman"/>
          <w:b/>
          <w:color w:val="2E75B6" w:themeColor="accent1" w:themeShade="BF"/>
          <w:kern w:val="36"/>
          <w:sz w:val="96"/>
          <w:szCs w:val="96"/>
          <w:u w:val="none" w:color="BB120F"/>
          <w:lang w:val="en-US" w:eastAsia="zh-CN"/>
        </w:rPr>
      </w:pPr>
    </w:p>
    <w:p w14:paraId="5E7D19EC">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eastAsia="经典行楷简" w:cs="Times New Roman"/>
          <w:b/>
          <w:color w:val="2E75B6" w:themeColor="accent1" w:themeShade="BF"/>
          <w:kern w:val="36"/>
          <w:sz w:val="96"/>
          <w:szCs w:val="96"/>
          <w:u w:val="none" w:color="BB120F"/>
          <w:lang w:val="en-US" w:eastAsia="zh-CN"/>
        </w:rPr>
      </w:pPr>
    </w:p>
    <w:p w14:paraId="16810532">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eastAsia="经典行楷简" w:cs="Times New Roman"/>
          <w:b/>
          <w:color w:val="2E75B6" w:themeColor="accent1" w:themeShade="BF"/>
          <w:kern w:val="36"/>
          <w:sz w:val="96"/>
          <w:szCs w:val="96"/>
          <w:u w:val="none" w:color="BB120F"/>
          <w:lang w:val="en-US" w:eastAsia="zh-CN"/>
        </w:rPr>
      </w:pPr>
    </w:p>
    <w:p w14:paraId="57F907C3">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eastAsia="经典行楷简" w:cs="Times New Roman"/>
          <w:b/>
          <w:color w:val="2E75B6" w:themeColor="accent1" w:themeShade="BF"/>
          <w:kern w:val="36"/>
          <w:sz w:val="96"/>
          <w:szCs w:val="96"/>
          <w:u w:val="none" w:color="BB120F"/>
          <w:lang w:val="en-US" w:eastAsia="zh-CN"/>
        </w:rPr>
      </w:pPr>
    </w:p>
    <w:p w14:paraId="4A989630">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eastAsia="经典行楷简" w:cs="Times New Roman"/>
          <w:b/>
          <w:color w:val="2E75B6" w:themeColor="accent1" w:themeShade="BF"/>
          <w:kern w:val="36"/>
          <w:sz w:val="96"/>
          <w:szCs w:val="96"/>
          <w:u w:val="none" w:color="BB120F"/>
          <w:lang w:val="en-US" w:eastAsia="zh-CN"/>
        </w:rPr>
      </w:pPr>
    </w:p>
    <w:p w14:paraId="3AF819B8">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eastAsia="经典行楷简" w:cs="Times New Roman"/>
          <w:b/>
          <w:color w:val="2E75B6" w:themeColor="accent1" w:themeShade="BF"/>
          <w:kern w:val="36"/>
          <w:sz w:val="96"/>
          <w:szCs w:val="96"/>
          <w:u w:val="none" w:color="BB120F"/>
          <w:lang w:val="en-US" w:eastAsia="zh-CN"/>
        </w:rPr>
      </w:pPr>
    </w:p>
    <w:p w14:paraId="3E558D1B">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eastAsia="经典行楷简" w:cs="Times New Roman"/>
          <w:b/>
          <w:color w:val="2E75B6" w:themeColor="accent1" w:themeShade="BF"/>
          <w:kern w:val="36"/>
          <w:sz w:val="96"/>
          <w:szCs w:val="96"/>
          <w:u w:val="none" w:color="BB120F"/>
          <w:lang w:val="en-US" w:eastAsia="zh-CN"/>
        </w:rPr>
      </w:pPr>
    </w:p>
    <w:p w14:paraId="7D614175">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eastAsia="经典行楷简" w:cs="Times New Roman"/>
          <w:b/>
          <w:color w:val="2E75B6" w:themeColor="accent1" w:themeShade="BF"/>
          <w:kern w:val="36"/>
          <w:sz w:val="96"/>
          <w:szCs w:val="96"/>
          <w:u w:val="none" w:color="BB120F"/>
          <w:lang w:val="en-US" w:eastAsia="zh-CN"/>
        </w:rPr>
      </w:pPr>
      <w:r>
        <w:rPr>
          <w:rFonts w:hint="default" w:ascii="Times New Roman" w:hAnsi="Times New Roman" w:eastAsia="经典行楷简" w:cs="Times New Roman"/>
          <w:b/>
          <w:color w:val="2E75B6" w:themeColor="accent1" w:themeShade="BF"/>
          <w:kern w:val="36"/>
          <w:sz w:val="96"/>
          <w:szCs w:val="96"/>
          <w:u w:val="none" w:color="BB120F"/>
          <w:lang w:val="en-US" w:eastAsia="zh-CN"/>
        </w:rPr>
        <w:t>会员企业风采</w:t>
      </w:r>
    </w:p>
    <w:p w14:paraId="4FF3B05D">
      <w:pPr>
        <w:keepNext w:val="0"/>
        <w:keepLines w:val="0"/>
        <w:pageBreakBefore w:val="0"/>
        <w:widowControl/>
        <w:kinsoku/>
        <w:wordWrap/>
        <w:overflowPunct/>
        <w:topLinePunct w:val="0"/>
        <w:autoSpaceDE/>
        <w:autoSpaceDN/>
        <w:bidi w:val="0"/>
        <w:adjustRightInd/>
        <w:snapToGrid/>
        <w:spacing w:line="420" w:lineRule="exact"/>
        <w:ind w:firstLine="848" w:firstLineChars="200"/>
        <w:jc w:val="center"/>
        <w:textAlignment w:val="auto"/>
        <w:outlineLvl w:val="9"/>
        <w:rPr>
          <w:rFonts w:hint="eastAsia" w:ascii="Times New Roman" w:hAnsi="Times New Roman" w:eastAsia="方正楷体_GBK" w:cs="Times New Roman"/>
          <w:b w:val="0"/>
          <w:bCs/>
          <w:kern w:val="0"/>
          <w:sz w:val="32"/>
          <w:szCs w:val="32"/>
          <w:lang w:val="en-US" w:eastAsia="zh-CN" w:bidi="ar-SA"/>
        </w:rPr>
      </w:pPr>
      <w:r>
        <w:rPr>
          <w:rFonts w:hint="eastAsia" w:ascii="Times New Roman" w:hAnsi="Times New Roman" w:eastAsia="华文新魏" w:cs="Times New Roman"/>
          <w:b/>
          <w:bCs w:val="0"/>
          <w:color w:val="FF0000"/>
          <w:spacing w:val="0"/>
          <w:kern w:val="36"/>
          <w:sz w:val="44"/>
          <w:szCs w:val="44"/>
          <w:lang w:val="en-US" w:eastAsia="zh-CN" w:bidi="ar-SA"/>
        </w:rPr>
        <w:t>连续四年上榜！中亿丰建设再次荣登ENR“全球最大250家国际承包商”</w:t>
      </w:r>
    </w:p>
    <w:p w14:paraId="0603E7A6">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lang w:val="en-US" w:eastAsia="zh-CN"/>
        </w:rPr>
      </w:pPr>
      <w:r>
        <w:rPr>
          <w:rFonts w:hint="eastAsia" w:ascii="Times New Roman" w:hAnsi="Times New Roman" w:eastAsia="方正仿宋_GBK" w:cs="Times New Roman"/>
          <w:b w:val="0"/>
          <w:bCs w:val="0"/>
          <w:sz w:val="32"/>
          <w:szCs w:val="32"/>
          <w:lang w:val="en-US" w:eastAsia="zh-CN"/>
        </w:rPr>
        <w:t>近日，美国《工程新闻纪录》（Engineering News-Record，简称ENR）发布2026年度“全球最大250家国际承包商”榜单。我会副会长单位——中亿丰建设集团股份有限公司再次上榜，以1.6亿美元的国际营业额在上榜中国企业中位列第56位，在全球排名第197位。</w:t>
      </w:r>
    </w:p>
    <w:p w14:paraId="1250A12D">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lang w:val="en-US" w:eastAsia="zh-CN"/>
        </w:rPr>
      </w:pPr>
      <w:r>
        <w:rPr>
          <w:rFonts w:hint="eastAsia" w:ascii="Times New Roman" w:hAnsi="Times New Roman" w:eastAsia="方正仿宋_GBK" w:cs="Times New Roman"/>
          <w:b w:val="0"/>
          <w:bCs w:val="0"/>
          <w:sz w:val="32"/>
          <w:szCs w:val="32"/>
          <w:lang w:val="en-US" w:eastAsia="zh-CN"/>
        </w:rPr>
        <w:t>今年，是中亿丰“走出去”发展的第十年。自“一带一路”倡议提出以来，中亿丰紧跟战略步伐，于2016年正式成立国际事业总部，通过越南晶澳厂房项目的顺利实施，实现海外业务“从0到1”的历史性突破。与此同时，以越南成熟市场为战略锚点，中亿丰积极拓展新加坡、泰国、巴林、加拿大、塔吉克斯坦等海外市场，以项目为支点撬动国际市场新机遇，凭借全产业链资源优势，持续优化国际供应链，加快国际市场拓展步伐，如今，中亿丰已从最初的工程承包稳</w:t>
      </w:r>
      <w:r>
        <w:rPr>
          <w:rFonts w:hint="default" w:ascii="Times New Roman" w:hAnsi="Times New Roman" w:eastAsia="方正仿宋_GBK" w:cs="Times New Roman"/>
          <w:b w:val="0"/>
          <w:bCs w:val="0"/>
          <w:sz w:val="32"/>
          <w:szCs w:val="32"/>
          <w:lang w:val="en-US" w:eastAsia="zh-CN"/>
        </w:rPr>
        <w:t>步向技术、标准、管理和品牌的“体系化出海”升级。</w:t>
      </w:r>
    </w:p>
    <w:p w14:paraId="21359799">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lang w:val="en-US" w:eastAsia="zh-CN"/>
        </w:rPr>
      </w:pPr>
      <w:r>
        <w:rPr>
          <w:rFonts w:hint="eastAsia" w:ascii="Times New Roman" w:hAnsi="Times New Roman" w:eastAsia="方正仿宋_GBK" w:cs="Times New Roman"/>
          <w:b w:val="0"/>
          <w:bCs w:val="0"/>
          <w:sz w:val="32"/>
          <w:szCs w:val="32"/>
          <w:lang w:val="en-US" w:eastAsia="zh-CN"/>
        </w:rPr>
        <w:t>通过“产品+服务+贸易”模式，中亿丰面向全球提供国际工程承包及建设整体解决方案，输出高品质、智能化的产品，“走出去”的步伐愈发坚定有力，品牌国际影响力也在不断扩大，集团连续三年受邀参加江苏境外建设领域合作推介活动，积极搭建对外合作交流路径，促进当地城市建设更新升级与产业转型，推动“中国建造”走向国际市场。截至2025年，中亿丰海外业务营收累计已近60亿元人民币，海外合同额超62亿元人民币，国际贸易业务累计约7000万美元。</w:t>
      </w:r>
    </w:p>
    <w:p w14:paraId="61942E8D">
      <w:pPr>
        <w:keepNext w:val="0"/>
        <w:keepLines w:val="0"/>
        <w:pageBreakBefore w:val="0"/>
        <w:widowControl/>
        <w:kinsoku/>
        <w:wordWrap/>
        <w:overflowPunct/>
        <w:topLinePunct w:val="0"/>
        <w:autoSpaceDE/>
        <w:autoSpaceDN/>
        <w:bidi w:val="0"/>
        <w:adjustRightInd/>
        <w:snapToGrid/>
        <w:spacing w:line="420" w:lineRule="exact"/>
        <w:jc w:val="right"/>
        <w:textAlignment w:val="auto"/>
        <w:outlineLvl w:val="9"/>
        <w:rPr>
          <w:rFonts w:hint="eastAsia" w:ascii="Times New Roman" w:hAnsi="Times New Roman" w:eastAsia="方正楷体_GBK" w:cs="Times New Roman"/>
          <w:b w:val="0"/>
          <w:bCs/>
          <w:kern w:val="0"/>
          <w:sz w:val="32"/>
          <w:szCs w:val="32"/>
          <w:lang w:val="en-US" w:eastAsia="zh-CN" w:bidi="ar-SA"/>
        </w:rPr>
      </w:pPr>
      <w:r>
        <w:rPr>
          <w:rFonts w:hint="default" w:ascii="Times New Roman" w:hAnsi="Times New Roman" w:eastAsia="方正楷体_GBK" w:cs="方正楷体_GBK"/>
          <w:b/>
          <w:bCs/>
          <w:color w:val="FF0000"/>
          <w:spacing w:val="0"/>
          <w:kern w:val="2"/>
          <w:sz w:val="30"/>
          <w:szCs w:val="30"/>
          <w:lang w:val="en-US" w:eastAsia="zh-CN" w:bidi="ar-SA"/>
        </w:rPr>
        <w:t>（来源</w:t>
      </w:r>
      <w:r>
        <w:rPr>
          <w:rFonts w:hint="eastAsia" w:ascii="Times New Roman" w:hAnsi="Times New Roman" w:eastAsia="方正楷体_GBK" w:cs="方正楷体_GBK"/>
          <w:b/>
          <w:bCs/>
          <w:color w:val="FF0000"/>
          <w:spacing w:val="0"/>
          <w:kern w:val="2"/>
          <w:sz w:val="30"/>
          <w:szCs w:val="30"/>
          <w:lang w:val="en-US" w:eastAsia="zh-CN" w:bidi="ar-SA"/>
        </w:rPr>
        <w:t>：中亿丰建设微信公众号）</w:t>
      </w:r>
    </w:p>
    <w:p w14:paraId="2D3A23E3">
      <w:pPr>
        <w:keepNext w:val="0"/>
        <w:keepLines w:val="0"/>
        <w:pageBreakBefore w:val="0"/>
        <w:widowControl/>
        <w:kinsoku/>
        <w:wordWrap/>
        <w:overflowPunct/>
        <w:topLinePunct w:val="0"/>
        <w:autoSpaceDE/>
        <w:autoSpaceDN/>
        <w:bidi w:val="0"/>
        <w:adjustRightInd/>
        <w:snapToGrid/>
        <w:spacing w:line="420" w:lineRule="exact"/>
        <w:ind w:firstLine="608" w:firstLineChars="200"/>
        <w:textAlignment w:val="auto"/>
        <w:outlineLvl w:val="9"/>
        <w:rPr>
          <w:rFonts w:hint="eastAsia" w:ascii="Times New Roman" w:hAnsi="Times New Roman" w:eastAsia="方正楷体_GBK" w:cs="Times New Roman"/>
          <w:b w:val="0"/>
          <w:bCs/>
          <w:kern w:val="0"/>
          <w:sz w:val="32"/>
          <w:szCs w:val="32"/>
          <w:lang w:val="en-US" w:eastAsia="zh-CN" w:bidi="ar-SA"/>
        </w:rPr>
      </w:pPr>
    </w:p>
    <w:p w14:paraId="34BB4FD3">
      <w:pPr>
        <w:keepNext w:val="0"/>
        <w:keepLines w:val="0"/>
        <w:pageBreakBefore w:val="0"/>
        <w:widowControl/>
        <w:kinsoku/>
        <w:wordWrap/>
        <w:overflowPunct/>
        <w:topLinePunct w:val="0"/>
        <w:autoSpaceDE/>
        <w:autoSpaceDN/>
        <w:bidi w:val="0"/>
        <w:adjustRightInd/>
        <w:snapToGrid/>
        <w:spacing w:line="420" w:lineRule="exact"/>
        <w:textAlignment w:val="auto"/>
        <w:outlineLvl w:val="9"/>
        <w:rPr>
          <w:rFonts w:hint="eastAsia" w:ascii="Times New Roman" w:hAnsi="Times New Roman" w:eastAsia="方正楷体_GBK" w:cs="Times New Roman"/>
          <w:b w:val="0"/>
          <w:bCs/>
          <w:kern w:val="0"/>
          <w:sz w:val="32"/>
          <w:szCs w:val="32"/>
          <w:lang w:val="en-US" w:eastAsia="zh-CN" w:bidi="ar-SA"/>
        </w:rPr>
      </w:pPr>
      <w:bookmarkStart w:id="1" w:name="OLE_LINK6"/>
    </w:p>
    <w:p w14:paraId="01D3395C">
      <w:pPr>
        <w:keepNext w:val="0"/>
        <w:keepLines w:val="0"/>
        <w:pageBreakBefore w:val="0"/>
        <w:widowControl/>
        <w:kinsoku/>
        <w:wordWrap/>
        <w:overflowPunct/>
        <w:topLinePunct w:val="0"/>
        <w:autoSpaceDE/>
        <w:autoSpaceDN/>
        <w:bidi w:val="0"/>
        <w:adjustRightInd/>
        <w:snapToGrid/>
        <w:spacing w:line="420" w:lineRule="exact"/>
        <w:textAlignment w:val="auto"/>
        <w:outlineLvl w:val="9"/>
        <w:rPr>
          <w:rFonts w:hint="eastAsia" w:ascii="Times New Roman" w:hAnsi="Times New Roman" w:eastAsia="方正楷体_GBK" w:cs="Times New Roman"/>
          <w:b w:val="0"/>
          <w:bCs/>
          <w:kern w:val="0"/>
          <w:sz w:val="32"/>
          <w:szCs w:val="32"/>
          <w:lang w:val="en-US" w:eastAsia="zh-CN" w:bidi="ar-SA"/>
        </w:rPr>
      </w:pPr>
    </w:p>
    <w:p w14:paraId="15744A03">
      <w:pPr>
        <w:keepNext w:val="0"/>
        <w:keepLines w:val="0"/>
        <w:pageBreakBefore w:val="0"/>
        <w:widowControl/>
        <w:kinsoku/>
        <w:wordWrap/>
        <w:overflowPunct/>
        <w:topLinePunct w:val="0"/>
        <w:autoSpaceDE/>
        <w:autoSpaceDN/>
        <w:bidi w:val="0"/>
        <w:adjustRightInd/>
        <w:snapToGrid/>
        <w:spacing w:line="420" w:lineRule="exact"/>
        <w:textAlignment w:val="auto"/>
        <w:outlineLvl w:val="9"/>
        <w:rPr>
          <w:rFonts w:hint="eastAsia" w:ascii="Times New Roman" w:hAnsi="Times New Roman" w:eastAsia="方正楷体_GBK" w:cs="Times New Roman"/>
          <w:b w:val="0"/>
          <w:bCs/>
          <w:kern w:val="0"/>
          <w:sz w:val="32"/>
          <w:szCs w:val="32"/>
          <w:lang w:val="en-US" w:eastAsia="zh-CN" w:bidi="ar-SA"/>
        </w:rPr>
      </w:pPr>
    </w:p>
    <w:p w14:paraId="7C5BFE5B">
      <w:pPr>
        <w:keepNext w:val="0"/>
        <w:keepLines w:val="0"/>
        <w:pageBreakBefore w:val="0"/>
        <w:widowControl/>
        <w:kinsoku/>
        <w:wordWrap/>
        <w:overflowPunct/>
        <w:topLinePunct w:val="0"/>
        <w:autoSpaceDE/>
        <w:autoSpaceDN/>
        <w:bidi w:val="0"/>
        <w:adjustRightInd/>
        <w:snapToGrid/>
        <w:spacing w:line="420" w:lineRule="exact"/>
        <w:textAlignment w:val="auto"/>
        <w:outlineLvl w:val="9"/>
        <w:rPr>
          <w:rFonts w:hint="eastAsia" w:ascii="Times New Roman" w:hAnsi="Times New Roman" w:eastAsia="方正楷体_GBK" w:cs="Times New Roman"/>
          <w:b w:val="0"/>
          <w:bCs/>
          <w:kern w:val="0"/>
          <w:sz w:val="32"/>
          <w:szCs w:val="32"/>
          <w:lang w:val="en-US" w:eastAsia="zh-CN" w:bidi="ar-SA"/>
        </w:rPr>
      </w:pPr>
    </w:p>
    <w:p w14:paraId="2976D7E7">
      <w:pPr>
        <w:keepNext w:val="0"/>
        <w:keepLines w:val="0"/>
        <w:pageBreakBefore w:val="0"/>
        <w:widowControl/>
        <w:kinsoku/>
        <w:wordWrap/>
        <w:overflowPunct/>
        <w:topLinePunct w:val="0"/>
        <w:autoSpaceDE/>
        <w:autoSpaceDN/>
        <w:bidi w:val="0"/>
        <w:adjustRightInd/>
        <w:snapToGrid/>
        <w:spacing w:line="420" w:lineRule="exact"/>
        <w:textAlignment w:val="auto"/>
        <w:outlineLvl w:val="9"/>
        <w:rPr>
          <w:rFonts w:hint="eastAsia" w:ascii="Times New Roman" w:hAnsi="Times New Roman" w:eastAsia="方正楷体_GBK" w:cs="Times New Roman"/>
          <w:b w:val="0"/>
          <w:bCs/>
          <w:kern w:val="0"/>
          <w:sz w:val="32"/>
          <w:szCs w:val="32"/>
          <w:lang w:val="en-US" w:eastAsia="zh-CN" w:bidi="ar-SA"/>
        </w:rPr>
      </w:pPr>
    </w:p>
    <w:p w14:paraId="0CF88958">
      <w:pPr>
        <w:keepNext w:val="0"/>
        <w:keepLines w:val="0"/>
        <w:pageBreakBefore w:val="0"/>
        <w:widowControl/>
        <w:kinsoku/>
        <w:wordWrap/>
        <w:overflowPunct/>
        <w:topLinePunct w:val="0"/>
        <w:autoSpaceDE/>
        <w:autoSpaceDN/>
        <w:bidi w:val="0"/>
        <w:adjustRightInd/>
        <w:snapToGrid/>
        <w:spacing w:line="420" w:lineRule="exact"/>
        <w:textAlignment w:val="auto"/>
        <w:outlineLvl w:val="9"/>
        <w:rPr>
          <w:rFonts w:hint="eastAsia" w:ascii="Times New Roman" w:hAnsi="Times New Roman" w:eastAsia="方正楷体_GBK" w:cs="Times New Roman"/>
          <w:b w:val="0"/>
          <w:bCs/>
          <w:kern w:val="0"/>
          <w:sz w:val="32"/>
          <w:szCs w:val="32"/>
          <w:lang w:val="en-US" w:eastAsia="zh-CN" w:bidi="ar-SA"/>
        </w:rPr>
      </w:pPr>
    </w:p>
    <w:p w14:paraId="2B4CADB2">
      <w:pPr>
        <w:keepNext w:val="0"/>
        <w:keepLines w:val="0"/>
        <w:pageBreakBefore w:val="0"/>
        <w:widowControl/>
        <w:kinsoku/>
        <w:wordWrap/>
        <w:overflowPunct/>
        <w:topLinePunct w:val="0"/>
        <w:autoSpaceDE/>
        <w:autoSpaceDN/>
        <w:bidi w:val="0"/>
        <w:adjustRightInd/>
        <w:snapToGrid/>
        <w:spacing w:line="420" w:lineRule="exact"/>
        <w:textAlignment w:val="auto"/>
        <w:outlineLvl w:val="9"/>
        <w:rPr>
          <w:rFonts w:hint="eastAsia" w:ascii="Times New Roman" w:hAnsi="Times New Roman" w:eastAsia="方正楷体_GBK" w:cs="Times New Roman"/>
          <w:b w:val="0"/>
          <w:bCs/>
          <w:kern w:val="0"/>
          <w:sz w:val="32"/>
          <w:szCs w:val="32"/>
          <w:lang w:val="en-US" w:eastAsia="zh-CN" w:bidi="ar-SA"/>
        </w:rPr>
      </w:pPr>
    </w:p>
    <w:p w14:paraId="042BD98D">
      <w:pPr>
        <w:keepNext w:val="0"/>
        <w:keepLines w:val="0"/>
        <w:pageBreakBefore w:val="0"/>
        <w:widowControl/>
        <w:kinsoku/>
        <w:wordWrap/>
        <w:overflowPunct/>
        <w:topLinePunct w:val="0"/>
        <w:autoSpaceDE/>
        <w:autoSpaceDN/>
        <w:bidi w:val="0"/>
        <w:adjustRightInd/>
        <w:snapToGrid/>
        <w:spacing w:line="420" w:lineRule="exact"/>
        <w:textAlignment w:val="auto"/>
        <w:outlineLvl w:val="9"/>
        <w:rPr>
          <w:rFonts w:hint="eastAsia" w:ascii="Times New Roman" w:hAnsi="Times New Roman" w:eastAsia="方正楷体_GBK" w:cs="Times New Roman"/>
          <w:b w:val="0"/>
          <w:bCs/>
          <w:kern w:val="0"/>
          <w:sz w:val="32"/>
          <w:szCs w:val="32"/>
          <w:lang w:val="en-US" w:eastAsia="zh-CN" w:bidi="ar-SA"/>
        </w:rPr>
      </w:pPr>
    </w:p>
    <w:p w14:paraId="1B976EE0">
      <w:pPr>
        <w:keepNext w:val="0"/>
        <w:keepLines w:val="0"/>
        <w:pageBreakBefore w:val="0"/>
        <w:widowControl/>
        <w:kinsoku/>
        <w:wordWrap/>
        <w:overflowPunct/>
        <w:topLinePunct w:val="0"/>
        <w:autoSpaceDE/>
        <w:autoSpaceDN/>
        <w:bidi w:val="0"/>
        <w:adjustRightInd/>
        <w:snapToGrid/>
        <w:spacing w:line="420" w:lineRule="exact"/>
        <w:textAlignment w:val="auto"/>
        <w:outlineLvl w:val="9"/>
        <w:rPr>
          <w:rFonts w:hint="eastAsia" w:ascii="Times New Roman" w:hAnsi="Times New Roman" w:eastAsia="方正楷体_GBK" w:cs="Times New Roman"/>
          <w:b w:val="0"/>
          <w:bCs/>
          <w:kern w:val="0"/>
          <w:sz w:val="32"/>
          <w:szCs w:val="32"/>
          <w:lang w:val="en-US" w:eastAsia="zh-CN" w:bidi="ar-SA"/>
        </w:rPr>
      </w:pPr>
    </w:p>
    <w:p w14:paraId="179FD98C">
      <w:pPr>
        <w:keepNext w:val="0"/>
        <w:keepLines w:val="0"/>
        <w:pageBreakBefore w:val="0"/>
        <w:widowControl/>
        <w:kinsoku/>
        <w:wordWrap/>
        <w:overflowPunct/>
        <w:topLinePunct w:val="0"/>
        <w:autoSpaceDE/>
        <w:autoSpaceDN/>
        <w:bidi w:val="0"/>
        <w:adjustRightInd/>
        <w:snapToGrid/>
        <w:spacing w:line="420" w:lineRule="exact"/>
        <w:textAlignment w:val="auto"/>
        <w:outlineLvl w:val="9"/>
        <w:rPr>
          <w:rFonts w:hint="eastAsia" w:ascii="Times New Roman" w:hAnsi="Times New Roman" w:eastAsia="方正楷体_GBK" w:cs="Times New Roman"/>
          <w:b w:val="0"/>
          <w:bCs/>
          <w:kern w:val="0"/>
          <w:sz w:val="32"/>
          <w:szCs w:val="32"/>
          <w:lang w:val="en-US" w:eastAsia="zh-CN" w:bidi="ar-SA"/>
        </w:rPr>
      </w:pPr>
    </w:p>
    <w:p w14:paraId="35A6E50B">
      <w:pPr>
        <w:keepNext w:val="0"/>
        <w:keepLines w:val="0"/>
        <w:pageBreakBefore w:val="0"/>
        <w:widowControl/>
        <w:kinsoku/>
        <w:wordWrap/>
        <w:overflowPunct/>
        <w:topLinePunct w:val="0"/>
        <w:autoSpaceDE/>
        <w:autoSpaceDN/>
        <w:bidi w:val="0"/>
        <w:adjustRightInd/>
        <w:snapToGrid/>
        <w:spacing w:line="420" w:lineRule="exact"/>
        <w:textAlignment w:val="auto"/>
        <w:outlineLvl w:val="9"/>
        <w:rPr>
          <w:rFonts w:hint="eastAsia" w:ascii="Times New Roman" w:hAnsi="Times New Roman" w:eastAsia="方正楷体_GBK" w:cs="Times New Roman"/>
          <w:b w:val="0"/>
          <w:bCs/>
          <w:kern w:val="0"/>
          <w:sz w:val="32"/>
          <w:szCs w:val="32"/>
          <w:lang w:val="en-US" w:eastAsia="zh-CN" w:bidi="ar-SA"/>
        </w:rPr>
      </w:pPr>
    </w:p>
    <w:p w14:paraId="7B72DA1D">
      <w:pPr>
        <w:keepNext w:val="0"/>
        <w:keepLines w:val="0"/>
        <w:pageBreakBefore w:val="0"/>
        <w:widowControl/>
        <w:kinsoku/>
        <w:wordWrap/>
        <w:overflowPunct/>
        <w:topLinePunct w:val="0"/>
        <w:autoSpaceDE/>
        <w:autoSpaceDN/>
        <w:bidi w:val="0"/>
        <w:adjustRightInd/>
        <w:snapToGrid/>
        <w:spacing w:line="420" w:lineRule="exact"/>
        <w:textAlignment w:val="auto"/>
        <w:outlineLvl w:val="9"/>
        <w:rPr>
          <w:rFonts w:hint="eastAsia" w:ascii="Times New Roman" w:hAnsi="Times New Roman" w:eastAsia="方正楷体_GBK" w:cs="Times New Roman"/>
          <w:b w:val="0"/>
          <w:bCs/>
          <w:kern w:val="0"/>
          <w:sz w:val="32"/>
          <w:szCs w:val="32"/>
          <w:lang w:val="en-US" w:eastAsia="zh-CN" w:bidi="ar-SA"/>
        </w:rPr>
      </w:pPr>
    </w:p>
    <w:p w14:paraId="782C813E">
      <w:pPr>
        <w:keepNext w:val="0"/>
        <w:keepLines w:val="0"/>
        <w:pageBreakBefore w:val="0"/>
        <w:widowControl/>
        <w:kinsoku/>
        <w:wordWrap/>
        <w:overflowPunct/>
        <w:topLinePunct w:val="0"/>
        <w:autoSpaceDE/>
        <w:autoSpaceDN/>
        <w:bidi w:val="0"/>
        <w:adjustRightInd/>
        <w:snapToGrid/>
        <w:spacing w:line="420" w:lineRule="exact"/>
        <w:textAlignment w:val="auto"/>
        <w:outlineLvl w:val="9"/>
        <w:rPr>
          <w:rFonts w:hint="eastAsia" w:ascii="Times New Roman" w:hAnsi="Times New Roman" w:eastAsia="方正楷体_GBK" w:cs="Times New Roman"/>
          <w:b w:val="0"/>
          <w:bCs/>
          <w:kern w:val="0"/>
          <w:sz w:val="32"/>
          <w:szCs w:val="32"/>
          <w:lang w:val="en-US" w:eastAsia="zh-CN" w:bidi="ar-SA"/>
        </w:rPr>
      </w:pPr>
    </w:p>
    <w:p w14:paraId="5BEF6C6F">
      <w:pPr>
        <w:keepNext w:val="0"/>
        <w:keepLines w:val="0"/>
        <w:pageBreakBefore w:val="0"/>
        <w:widowControl/>
        <w:kinsoku/>
        <w:wordWrap/>
        <w:overflowPunct/>
        <w:topLinePunct w:val="0"/>
        <w:autoSpaceDE/>
        <w:autoSpaceDN/>
        <w:bidi w:val="0"/>
        <w:adjustRightInd/>
        <w:snapToGrid/>
        <w:spacing w:line="420" w:lineRule="exact"/>
        <w:textAlignment w:val="auto"/>
        <w:outlineLvl w:val="9"/>
        <w:rPr>
          <w:rFonts w:hint="eastAsia" w:ascii="Times New Roman" w:hAnsi="Times New Roman" w:eastAsia="方正楷体_GBK" w:cs="Times New Roman"/>
          <w:b w:val="0"/>
          <w:bCs/>
          <w:kern w:val="0"/>
          <w:sz w:val="32"/>
          <w:szCs w:val="32"/>
          <w:lang w:val="en-US" w:eastAsia="zh-CN" w:bidi="ar-SA"/>
        </w:rPr>
      </w:pPr>
    </w:p>
    <w:p w14:paraId="5E5C9E51">
      <w:pPr>
        <w:keepNext w:val="0"/>
        <w:keepLines w:val="0"/>
        <w:pageBreakBefore w:val="0"/>
        <w:widowControl/>
        <w:kinsoku/>
        <w:wordWrap/>
        <w:overflowPunct/>
        <w:topLinePunct w:val="0"/>
        <w:autoSpaceDE/>
        <w:autoSpaceDN/>
        <w:bidi w:val="0"/>
        <w:adjustRightInd/>
        <w:snapToGrid/>
        <w:spacing w:line="420" w:lineRule="exact"/>
        <w:textAlignment w:val="auto"/>
        <w:outlineLvl w:val="9"/>
        <w:rPr>
          <w:rFonts w:hint="eastAsia" w:ascii="Times New Roman" w:hAnsi="Times New Roman" w:eastAsia="方正楷体_GBK" w:cs="Times New Roman"/>
          <w:b w:val="0"/>
          <w:bCs/>
          <w:kern w:val="0"/>
          <w:sz w:val="32"/>
          <w:szCs w:val="32"/>
          <w:lang w:val="en-US" w:eastAsia="zh-CN" w:bidi="ar-SA"/>
        </w:rPr>
      </w:pPr>
    </w:p>
    <w:p w14:paraId="6662C48B">
      <w:pPr>
        <w:keepNext w:val="0"/>
        <w:keepLines w:val="0"/>
        <w:pageBreakBefore w:val="0"/>
        <w:widowControl/>
        <w:kinsoku/>
        <w:wordWrap/>
        <w:overflowPunct/>
        <w:topLinePunct w:val="0"/>
        <w:autoSpaceDE/>
        <w:autoSpaceDN/>
        <w:bidi w:val="0"/>
        <w:adjustRightInd/>
        <w:snapToGrid/>
        <w:spacing w:line="420" w:lineRule="exact"/>
        <w:textAlignment w:val="auto"/>
        <w:outlineLvl w:val="9"/>
        <w:rPr>
          <w:rFonts w:hint="eastAsia" w:ascii="Times New Roman" w:hAnsi="Times New Roman" w:eastAsia="方正楷体_GBK" w:cs="Times New Roman"/>
          <w:b w:val="0"/>
          <w:bCs/>
          <w:kern w:val="0"/>
          <w:sz w:val="32"/>
          <w:szCs w:val="32"/>
          <w:lang w:val="en-US" w:eastAsia="zh-CN" w:bidi="ar-SA"/>
        </w:rPr>
      </w:pPr>
    </w:p>
    <w:p w14:paraId="4FE08F15">
      <w:pPr>
        <w:keepNext w:val="0"/>
        <w:keepLines w:val="0"/>
        <w:pageBreakBefore w:val="0"/>
        <w:widowControl/>
        <w:kinsoku/>
        <w:wordWrap/>
        <w:overflowPunct/>
        <w:topLinePunct w:val="0"/>
        <w:autoSpaceDE/>
        <w:autoSpaceDN/>
        <w:bidi w:val="0"/>
        <w:adjustRightInd/>
        <w:snapToGrid/>
        <w:spacing w:line="420" w:lineRule="exact"/>
        <w:textAlignment w:val="auto"/>
        <w:outlineLvl w:val="9"/>
        <w:rPr>
          <w:rFonts w:hint="eastAsia" w:ascii="Times New Roman" w:hAnsi="Times New Roman" w:eastAsia="方正楷体_GBK" w:cs="Times New Roman"/>
          <w:b w:val="0"/>
          <w:bCs/>
          <w:kern w:val="0"/>
          <w:sz w:val="32"/>
          <w:szCs w:val="32"/>
          <w:lang w:val="en-US" w:eastAsia="zh-CN" w:bidi="ar-SA"/>
        </w:rPr>
      </w:pPr>
    </w:p>
    <w:p w14:paraId="26933272">
      <w:pPr>
        <w:keepNext w:val="0"/>
        <w:keepLines w:val="0"/>
        <w:pageBreakBefore w:val="0"/>
        <w:widowControl/>
        <w:kinsoku/>
        <w:wordWrap/>
        <w:overflowPunct/>
        <w:topLinePunct w:val="0"/>
        <w:autoSpaceDE/>
        <w:autoSpaceDN/>
        <w:bidi w:val="0"/>
        <w:adjustRightInd/>
        <w:snapToGrid/>
        <w:spacing w:line="420" w:lineRule="exact"/>
        <w:textAlignment w:val="auto"/>
        <w:outlineLvl w:val="9"/>
        <w:rPr>
          <w:rFonts w:hint="eastAsia" w:ascii="Times New Roman" w:hAnsi="Times New Roman" w:eastAsia="方正楷体_GBK" w:cs="Times New Roman"/>
          <w:b w:val="0"/>
          <w:bCs/>
          <w:kern w:val="0"/>
          <w:sz w:val="32"/>
          <w:szCs w:val="32"/>
          <w:lang w:val="en-US" w:eastAsia="zh-CN" w:bidi="ar-SA"/>
        </w:rPr>
      </w:pPr>
    </w:p>
    <w:p w14:paraId="4920A514">
      <w:pPr>
        <w:keepNext w:val="0"/>
        <w:keepLines w:val="0"/>
        <w:pageBreakBefore w:val="0"/>
        <w:widowControl/>
        <w:kinsoku/>
        <w:wordWrap/>
        <w:overflowPunct/>
        <w:topLinePunct w:val="0"/>
        <w:autoSpaceDE/>
        <w:autoSpaceDN/>
        <w:bidi w:val="0"/>
        <w:adjustRightInd/>
        <w:snapToGrid/>
        <w:spacing w:line="420" w:lineRule="exact"/>
        <w:textAlignment w:val="auto"/>
        <w:outlineLvl w:val="9"/>
        <w:rPr>
          <w:rFonts w:hint="eastAsia" w:ascii="Times New Roman" w:hAnsi="Times New Roman" w:eastAsia="方正楷体_GBK" w:cs="Times New Roman"/>
          <w:b w:val="0"/>
          <w:bCs/>
          <w:kern w:val="0"/>
          <w:sz w:val="32"/>
          <w:szCs w:val="32"/>
          <w:lang w:val="en-US" w:eastAsia="zh-CN" w:bidi="ar-SA"/>
        </w:rPr>
      </w:pPr>
    </w:p>
    <w:p w14:paraId="6B5A3875">
      <w:pPr>
        <w:keepNext w:val="0"/>
        <w:keepLines w:val="0"/>
        <w:pageBreakBefore w:val="0"/>
        <w:widowControl/>
        <w:kinsoku/>
        <w:wordWrap/>
        <w:overflowPunct/>
        <w:topLinePunct w:val="0"/>
        <w:autoSpaceDE/>
        <w:autoSpaceDN/>
        <w:bidi w:val="0"/>
        <w:adjustRightInd/>
        <w:snapToGrid/>
        <w:spacing w:line="420" w:lineRule="exact"/>
        <w:textAlignment w:val="auto"/>
        <w:outlineLvl w:val="9"/>
        <w:rPr>
          <w:rFonts w:hint="eastAsia" w:ascii="Times New Roman" w:hAnsi="Times New Roman" w:eastAsia="方正楷体_GBK" w:cs="Times New Roman"/>
          <w:b w:val="0"/>
          <w:bCs/>
          <w:kern w:val="0"/>
          <w:sz w:val="32"/>
          <w:szCs w:val="32"/>
          <w:lang w:val="en-US" w:eastAsia="zh-CN" w:bidi="ar-SA"/>
        </w:rPr>
      </w:pPr>
    </w:p>
    <w:p w14:paraId="0631E291">
      <w:pPr>
        <w:keepNext w:val="0"/>
        <w:keepLines w:val="0"/>
        <w:pageBreakBefore w:val="0"/>
        <w:widowControl/>
        <w:kinsoku/>
        <w:wordWrap/>
        <w:overflowPunct/>
        <w:topLinePunct w:val="0"/>
        <w:autoSpaceDE/>
        <w:autoSpaceDN/>
        <w:bidi w:val="0"/>
        <w:adjustRightInd/>
        <w:snapToGrid/>
        <w:spacing w:line="420" w:lineRule="exact"/>
        <w:textAlignment w:val="auto"/>
        <w:outlineLvl w:val="9"/>
        <w:rPr>
          <w:rFonts w:hint="eastAsia" w:ascii="Times New Roman" w:hAnsi="Times New Roman" w:eastAsia="方正楷体_GBK" w:cs="Times New Roman"/>
          <w:b w:val="0"/>
          <w:bCs/>
          <w:kern w:val="0"/>
          <w:sz w:val="32"/>
          <w:szCs w:val="32"/>
          <w:lang w:val="en-US" w:eastAsia="zh-CN" w:bidi="ar-SA"/>
        </w:rPr>
      </w:pPr>
    </w:p>
    <w:p w14:paraId="1A92250B">
      <w:pPr>
        <w:keepNext w:val="0"/>
        <w:keepLines w:val="0"/>
        <w:pageBreakBefore w:val="0"/>
        <w:widowControl/>
        <w:kinsoku/>
        <w:wordWrap/>
        <w:overflowPunct/>
        <w:topLinePunct w:val="0"/>
        <w:autoSpaceDE/>
        <w:autoSpaceDN/>
        <w:bidi w:val="0"/>
        <w:adjustRightInd/>
        <w:snapToGrid/>
        <w:spacing w:line="420" w:lineRule="exact"/>
        <w:textAlignment w:val="auto"/>
        <w:outlineLvl w:val="9"/>
        <w:rPr>
          <w:rFonts w:hint="eastAsia" w:ascii="Times New Roman" w:hAnsi="Times New Roman" w:eastAsia="方正楷体_GBK" w:cs="Times New Roman"/>
          <w:b w:val="0"/>
          <w:bCs/>
          <w:kern w:val="0"/>
          <w:sz w:val="32"/>
          <w:szCs w:val="32"/>
          <w:lang w:val="en-US" w:eastAsia="zh-CN" w:bidi="ar-SA"/>
        </w:rPr>
      </w:pPr>
    </w:p>
    <w:p w14:paraId="78B18000">
      <w:pPr>
        <w:keepNext w:val="0"/>
        <w:keepLines w:val="0"/>
        <w:pageBreakBefore w:val="0"/>
        <w:widowControl/>
        <w:kinsoku/>
        <w:wordWrap/>
        <w:overflowPunct/>
        <w:topLinePunct w:val="0"/>
        <w:autoSpaceDE/>
        <w:autoSpaceDN/>
        <w:bidi w:val="0"/>
        <w:adjustRightInd/>
        <w:snapToGrid/>
        <w:spacing w:line="420" w:lineRule="exact"/>
        <w:textAlignment w:val="auto"/>
        <w:outlineLvl w:val="9"/>
        <w:rPr>
          <w:rFonts w:hint="eastAsia" w:ascii="Times New Roman" w:hAnsi="Times New Roman" w:eastAsia="方正楷体_GBK" w:cs="Times New Roman"/>
          <w:b w:val="0"/>
          <w:bCs/>
          <w:kern w:val="0"/>
          <w:sz w:val="32"/>
          <w:szCs w:val="32"/>
          <w:lang w:val="en-US" w:eastAsia="zh-CN" w:bidi="ar-SA"/>
        </w:rPr>
      </w:pPr>
    </w:p>
    <w:bookmarkEnd w:id="1"/>
    <w:p w14:paraId="6E720736">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lang w:val="en-US" w:eastAsia="zh-CN"/>
        </w:rPr>
      </w:pPr>
    </w:p>
    <w:p w14:paraId="49F9ECD3">
      <w:pPr>
        <w:keepNext w:val="0"/>
        <w:keepLines w:val="0"/>
        <w:pageBreakBefore w:val="0"/>
        <w:widowControl/>
        <w:kinsoku/>
        <w:wordWrap/>
        <w:overflowPunct/>
        <w:topLinePunct w:val="0"/>
        <w:autoSpaceDE/>
        <w:autoSpaceDN/>
        <w:bidi w:val="0"/>
        <w:adjustRightInd/>
        <w:snapToGrid/>
        <w:spacing w:line="420" w:lineRule="exact"/>
        <w:jc w:val="center"/>
        <w:textAlignment w:val="auto"/>
        <w:outlineLvl w:val="9"/>
        <w:rPr>
          <w:rFonts w:hint="default" w:ascii="Times New Roman" w:hAnsi="Times New Roman" w:eastAsia="华文新魏" w:cs="Times New Roman"/>
          <w:b/>
          <w:bCs w:val="0"/>
          <w:color w:val="FF0000"/>
          <w:spacing w:val="-11"/>
          <w:kern w:val="36"/>
          <w:sz w:val="44"/>
          <w:szCs w:val="44"/>
          <w:lang w:val="en-US" w:eastAsia="zh-CN" w:bidi="ar-SA"/>
        </w:rPr>
      </w:pPr>
      <w:r>
        <w:rPr>
          <w:rFonts w:hint="default" w:ascii="Times New Roman" w:hAnsi="Times New Roman" w:eastAsia="华文新魏" w:cs="Times New Roman"/>
          <w:b/>
          <w:bCs w:val="0"/>
          <w:color w:val="FF0000"/>
          <w:spacing w:val="-11"/>
          <w:kern w:val="36"/>
          <w:sz w:val="44"/>
          <w:szCs w:val="44"/>
          <w:lang w:val="en-US" w:eastAsia="zh-CN" w:bidi="ar-SA"/>
        </w:rPr>
        <w:t>江苏省发酵食品生物制造重点实验室</w:t>
      </w:r>
    </w:p>
    <w:p w14:paraId="24285218">
      <w:pPr>
        <w:keepNext w:val="0"/>
        <w:keepLines w:val="0"/>
        <w:pageBreakBefore w:val="0"/>
        <w:widowControl/>
        <w:kinsoku/>
        <w:wordWrap/>
        <w:overflowPunct/>
        <w:topLinePunct w:val="0"/>
        <w:autoSpaceDE/>
        <w:autoSpaceDN/>
        <w:bidi w:val="0"/>
        <w:adjustRightInd/>
        <w:snapToGrid/>
        <w:spacing w:line="420" w:lineRule="exact"/>
        <w:jc w:val="center"/>
        <w:textAlignment w:val="auto"/>
        <w:outlineLvl w:val="9"/>
        <w:rPr>
          <w:rFonts w:hint="default" w:ascii="Times New Roman" w:hAnsi="Times New Roman" w:eastAsia="华文新魏" w:cs="Times New Roman"/>
          <w:b/>
          <w:bCs w:val="0"/>
          <w:color w:val="FF0000"/>
          <w:spacing w:val="-11"/>
          <w:kern w:val="36"/>
          <w:sz w:val="44"/>
          <w:szCs w:val="44"/>
          <w:lang w:val="en-US" w:eastAsia="zh-CN" w:bidi="ar-SA"/>
        </w:rPr>
      </w:pPr>
      <w:r>
        <w:rPr>
          <w:rFonts w:hint="default" w:ascii="Times New Roman" w:hAnsi="Times New Roman" w:eastAsia="华文新魏" w:cs="Times New Roman"/>
          <w:b/>
          <w:bCs w:val="0"/>
          <w:color w:val="FF0000"/>
          <w:spacing w:val="-11"/>
          <w:kern w:val="36"/>
          <w:sz w:val="44"/>
          <w:szCs w:val="44"/>
          <w:lang w:val="en-US" w:eastAsia="zh-CN" w:bidi="ar-SA"/>
        </w:rPr>
        <w:t>建设研讨会在</w:t>
      </w:r>
      <w:r>
        <w:rPr>
          <w:rFonts w:hint="eastAsia" w:ascii="Times New Roman" w:hAnsi="Times New Roman" w:eastAsia="华文新魏" w:cs="Times New Roman"/>
          <w:b/>
          <w:bCs w:val="0"/>
          <w:color w:val="FF0000"/>
          <w:spacing w:val="-11"/>
          <w:kern w:val="36"/>
          <w:sz w:val="44"/>
          <w:szCs w:val="44"/>
          <w:lang w:val="en-US" w:eastAsia="zh-CN" w:bidi="ar-SA"/>
        </w:rPr>
        <w:t>洋河股份</w:t>
      </w:r>
      <w:r>
        <w:rPr>
          <w:rFonts w:hint="default" w:ascii="Times New Roman" w:hAnsi="Times New Roman" w:eastAsia="华文新魏" w:cs="Times New Roman"/>
          <w:b/>
          <w:bCs w:val="0"/>
          <w:color w:val="FF0000"/>
          <w:spacing w:val="-11"/>
          <w:kern w:val="36"/>
          <w:sz w:val="44"/>
          <w:szCs w:val="44"/>
          <w:lang w:val="en-US" w:eastAsia="zh-CN" w:bidi="ar-SA"/>
        </w:rPr>
        <w:t>召开</w:t>
      </w:r>
    </w:p>
    <w:p w14:paraId="380E44FE">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lang w:val="en-US" w:eastAsia="zh-CN"/>
        </w:rPr>
      </w:pPr>
      <w:r>
        <w:rPr>
          <w:rFonts w:hint="eastAsia" w:ascii="Times New Roman" w:hAnsi="Times New Roman" w:eastAsia="方正仿宋_GBK" w:cs="Times New Roman"/>
          <w:b w:val="0"/>
          <w:bCs w:val="0"/>
          <w:sz w:val="32"/>
          <w:szCs w:val="32"/>
          <w:lang w:val="en-US" w:eastAsia="zh-CN"/>
        </w:rPr>
        <w:t>近日，江苏省发酵食品生物制造重点实验室建设研讨会在南京洋河文化艺术中心召开。</w:t>
      </w:r>
    </w:p>
    <w:p w14:paraId="0311A362">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val="0"/>
          <w:bCs w:val="0"/>
          <w:sz w:val="32"/>
          <w:szCs w:val="32"/>
          <w:lang w:val="en-US" w:eastAsia="zh-CN"/>
        </w:rPr>
        <w:t>在创新驱动发展战略的引领下，企业主导的科研平台正日益成为打通产学研链条的关键枢纽。正是在这一背景下，“江苏省发酵食品生物制造重点实验室”应运而生，它由</w:t>
      </w:r>
      <w:r>
        <w:rPr>
          <w:rFonts w:hint="eastAsia" w:ascii="Times New Roman" w:hAnsi="Times New Roman" w:eastAsia="方正仿宋_GBK" w:cs="Times New Roman"/>
          <w:b w:val="0"/>
          <w:bCs w:val="0"/>
          <w:sz w:val="32"/>
          <w:szCs w:val="32"/>
          <w:lang w:val="en-US" w:eastAsia="zh-CN"/>
        </w:rPr>
        <w:t>我会副会长单位——江苏洋河酒厂股份有限公司</w:t>
      </w:r>
      <w:r>
        <w:rPr>
          <w:rFonts w:hint="default" w:ascii="Times New Roman" w:hAnsi="Times New Roman" w:eastAsia="方正仿宋_GBK" w:cs="Times New Roman"/>
          <w:b w:val="0"/>
          <w:bCs w:val="0"/>
          <w:sz w:val="32"/>
          <w:szCs w:val="32"/>
          <w:lang w:val="en-US" w:eastAsia="zh-CN"/>
        </w:rPr>
        <w:t>牵头、江南大学参与建设，是全省首批企业主导建设的省级重点实验室中，唯一一个聚焦发酵食品生物制造领域的平台。</w:t>
      </w:r>
    </w:p>
    <w:p w14:paraId="352AF33D">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val="0"/>
          <w:bCs w:val="0"/>
          <w:sz w:val="32"/>
          <w:szCs w:val="32"/>
          <w:lang w:val="en-US" w:eastAsia="zh-CN"/>
        </w:rPr>
        <w:t>平台划出“起跑线”，企业跑出“加速度”。实验室的获建是荣誉，更是责任，为洋河筑牢品质根基、注入创新动能，是高质量发展的核心支撑。洋河将聚力投入创新，建好运营发展好实验室，打造全省发酵食品产业创新标杆，探索传统酿造产业现代化转型的洋河路径。</w:t>
      </w:r>
    </w:p>
    <w:p w14:paraId="089C1593">
      <w:pPr>
        <w:keepNext w:val="0"/>
        <w:keepLines w:val="0"/>
        <w:pageBreakBefore w:val="0"/>
        <w:widowControl/>
        <w:kinsoku/>
        <w:wordWrap/>
        <w:overflowPunct/>
        <w:topLinePunct w:val="0"/>
        <w:autoSpaceDE/>
        <w:autoSpaceDN/>
        <w:bidi w:val="0"/>
        <w:adjustRightInd/>
        <w:snapToGrid/>
        <w:spacing w:line="440" w:lineRule="exact"/>
        <w:jc w:val="right"/>
        <w:textAlignment w:val="auto"/>
        <w:outlineLvl w:val="9"/>
        <w:rPr>
          <w:rFonts w:hint="eastAsia" w:ascii="Times New Roman" w:hAnsi="Times New Roman" w:eastAsia="方正楷体_GBK" w:cs="方正楷体_GBK"/>
          <w:b/>
          <w:bCs/>
          <w:color w:val="FF0000"/>
          <w:spacing w:val="0"/>
          <w:kern w:val="2"/>
          <w:sz w:val="30"/>
          <w:szCs w:val="30"/>
          <w:lang w:val="en-US" w:eastAsia="zh-CN" w:bidi="ar-SA"/>
        </w:rPr>
      </w:pPr>
      <w:r>
        <w:rPr>
          <w:rFonts w:hint="default" w:ascii="Times New Roman" w:hAnsi="Times New Roman" w:eastAsia="方正楷体_GBK" w:cs="方正楷体_GBK"/>
          <w:b/>
          <w:bCs/>
          <w:color w:val="FF0000"/>
          <w:spacing w:val="0"/>
          <w:kern w:val="2"/>
          <w:sz w:val="30"/>
          <w:szCs w:val="30"/>
          <w:lang w:val="en-US" w:eastAsia="zh-CN" w:bidi="ar-SA"/>
        </w:rPr>
        <w:t>（来源</w:t>
      </w:r>
      <w:r>
        <w:rPr>
          <w:rFonts w:hint="eastAsia" w:ascii="Times New Roman" w:hAnsi="Times New Roman" w:eastAsia="方正楷体_GBK" w:cs="方正楷体_GBK"/>
          <w:b/>
          <w:bCs/>
          <w:color w:val="FF0000"/>
          <w:spacing w:val="0"/>
          <w:kern w:val="2"/>
          <w:sz w:val="30"/>
          <w:szCs w:val="30"/>
          <w:lang w:val="en-US" w:eastAsia="zh-CN" w:bidi="ar-SA"/>
        </w:rPr>
        <w:t>：洋河股份官网）</w:t>
      </w:r>
    </w:p>
    <w:p w14:paraId="64D4F69D">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3976" w:firstLineChars="1400"/>
        <w:contextualSpacing/>
        <w:jc w:val="left"/>
        <w:textAlignment w:val="auto"/>
        <w:outlineLvl w:val="1"/>
        <w:rPr>
          <w:rFonts w:hint="eastAsia" w:ascii="Times New Roman" w:hAnsi="Times New Roman" w:eastAsia="方正楷体_GBK" w:cs="方正楷体_GBK"/>
          <w:b/>
          <w:bCs/>
          <w:color w:val="FF0000"/>
          <w:spacing w:val="0"/>
          <w:kern w:val="2"/>
          <w:sz w:val="30"/>
          <w:szCs w:val="30"/>
          <w:lang w:val="en-US" w:eastAsia="zh-CN" w:bidi="ar-SA"/>
        </w:rPr>
      </w:pPr>
    </w:p>
    <w:sectPr>
      <w:footerReference r:id="rId3" w:type="default"/>
      <w:pgSz w:w="11906" w:h="16838"/>
      <w:pgMar w:top="2098" w:right="1474" w:bottom="1984" w:left="1587" w:header="1417" w:footer="992" w:gutter="0"/>
      <w:pgBorders>
        <w:top w:val="single" w:color="F82206" w:sz="48" w:space="1"/>
        <w:left w:val="single" w:color="F82206" w:sz="48" w:space="4"/>
        <w:bottom w:val="single" w:color="F82206" w:sz="48" w:space="1"/>
        <w:right w:val="single" w:color="F82206" w:sz="48" w:space="4"/>
      </w:pgBorders>
      <w:pgNumType w:fmt="decimal" w:start="1"/>
      <w:cols w:space="425" w:num="1"/>
      <w:docGrid w:type="linesAndChars" w:linePitch="290" w:charSpace="-34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DB51B4EC-4EE9-4682-8DDD-AC882B51BD32}"/>
  </w:font>
  <w:font w:name="Consolas">
    <w:panose1 w:val="020B0609020204030204"/>
    <w:charset w:val="00"/>
    <w:family w:val="auto"/>
    <w:pitch w:val="default"/>
    <w:sig w:usb0="E00006FF" w:usb1="0000FCFF" w:usb2="00000001" w:usb3="00000000" w:csb0="6000019F" w:csb1="DFD70000"/>
  </w:font>
  <w:font w:name="经典行楷简">
    <w:panose1 w:val="02010609000101010101"/>
    <w:charset w:val="86"/>
    <w:family w:val="auto"/>
    <w:pitch w:val="default"/>
    <w:sig w:usb0="A1007AEF" w:usb1="F9DF7CFB" w:usb2="0000001E" w:usb3="00000000" w:csb0="20040000" w:csb1="00000000"/>
    <w:embedRegular r:id="rId2" w:fontKey="{341345F6-6A8B-43B0-8DE0-975A9205AFCA}"/>
  </w:font>
  <w:font w:name="方正楷体_GBK">
    <w:panose1 w:val="02000000000000000000"/>
    <w:charset w:val="86"/>
    <w:family w:val="auto"/>
    <w:pitch w:val="default"/>
    <w:sig w:usb0="800002BF" w:usb1="38CF7CFA" w:usb2="00000016" w:usb3="00000000" w:csb0="00040000" w:csb1="00000000"/>
    <w:embedRegular r:id="rId3" w:fontKey="{FCDDFC51-4ABF-4C45-84C6-42DF579DADB5}"/>
  </w:font>
  <w:font w:name="方正公文黑体">
    <w:panose1 w:val="02000500000000000000"/>
    <w:charset w:val="86"/>
    <w:family w:val="auto"/>
    <w:pitch w:val="default"/>
    <w:sig w:usb0="A00002BF" w:usb1="38CF7CFA" w:usb2="00000016" w:usb3="00000000" w:csb0="00040001" w:csb1="00000000"/>
    <w:embedRegular r:id="rId4" w:fontKey="{671A15B6-6699-435A-A0D6-12EC22D151E6}"/>
  </w:font>
  <w:font w:name="方正黑体_GBK">
    <w:panose1 w:val="02010600010101010101"/>
    <w:charset w:val="86"/>
    <w:family w:val="auto"/>
    <w:pitch w:val="default"/>
    <w:sig w:usb0="00000001" w:usb1="080E0000" w:usb2="00000000" w:usb3="00000000" w:csb0="00040000" w:csb1="00000000"/>
    <w:embedRegular r:id="rId5" w:fontKey="{62479B9E-0553-4EF9-9BA3-3BB50869DEBF}"/>
  </w:font>
  <w:font w:name="方正小标宋_GBK">
    <w:panose1 w:val="03000509000000000000"/>
    <w:charset w:val="86"/>
    <w:family w:val="auto"/>
    <w:pitch w:val="default"/>
    <w:sig w:usb0="00000001" w:usb1="080E0000" w:usb2="00000000" w:usb3="00000000" w:csb0="00040000" w:csb1="00000000"/>
    <w:embedRegular r:id="rId6" w:fontKey="{FD8C9DA8-15BD-4C6C-BC87-A5051E74F5F3}"/>
  </w:font>
  <w:font w:name="方正仿宋_GBK">
    <w:panose1 w:val="03000509000000000000"/>
    <w:charset w:val="86"/>
    <w:family w:val="script"/>
    <w:pitch w:val="default"/>
    <w:sig w:usb0="00000001" w:usb1="080E0000" w:usb2="00000000" w:usb3="00000000" w:csb0="00040000" w:csb1="00000000"/>
    <w:embedRegular r:id="rId7" w:fontKey="{0191F64B-056E-4224-9E3D-23B8515F98AF}"/>
  </w:font>
  <w:font w:name="华文新魏">
    <w:panose1 w:val="02010800040101010101"/>
    <w:charset w:val="86"/>
    <w:family w:val="auto"/>
    <w:pitch w:val="default"/>
    <w:sig w:usb0="00000001" w:usb1="080F0000" w:usb2="00000000" w:usb3="00000000" w:csb0="00040000" w:csb1="00000000"/>
    <w:embedRegular r:id="rId8" w:fontKey="{B90C4F59-EA00-4C57-B1DB-BFA2AEC9A5C2}"/>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C1BD11">
    <w:pPr>
      <w:widowControl w:val="0"/>
      <w:tabs>
        <w:tab w:val="center" w:pos="4153"/>
        <w:tab w:val="right" w:pos="8306"/>
      </w:tabs>
      <w:snapToGrid w:val="0"/>
      <w:jc w:val="center"/>
      <w:rPr>
        <w:rFonts w:ascii="Calibri" w:hAnsi="Calibri" w:eastAsia="宋体" w:cs="Times New Roman"/>
        <w:kern w:val="2"/>
        <w:sz w:val="18"/>
        <w:szCs w:val="18"/>
        <w:lang w:val="en-US" w:eastAsia="zh-CN" w:bidi="ar-SA"/>
      </w:rPr>
    </w:pPr>
    <w:r>
      <w:rPr>
        <w:rFonts w:ascii="Calibri" w:hAnsi="Calibri" w:eastAsia="宋体" w:cs="Times New Roman"/>
        <w:kern w:val="2"/>
        <w:sz w:val="18"/>
        <w:szCs w:val="18"/>
        <w:lang w:val="en-US" w:eastAsia="zh-CN"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-304800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9740C4">
                          <w:pPr>
                            <w:widowControl w:val="0"/>
                            <w:tabs>
                              <w:tab w:val="center" w:pos="4153"/>
                              <w:tab w:val="right" w:pos="8306"/>
                            </w:tabs>
                            <w:snapToGrid w:val="0"/>
                            <w:jc w:val="center"/>
                            <w:rPr>
                              <w:rFonts w:ascii="Calibri" w:hAnsi="Calibri" w:eastAsia="宋体" w:cs="Times New Roman"/>
                              <w:kern w:val="2"/>
                              <w:sz w:val="18"/>
                              <w:szCs w:val="18"/>
                              <w:highlight w:val="yellow"/>
                              <w:lang w:val="en-US" w:eastAsia="zh-CN" w:bidi="ar-SA"/>
                            </w:rPr>
                          </w:pPr>
                          <w:r>
                            <w:rPr>
                              <w:rFonts w:hint="default" w:ascii="Times New Roman" w:hAnsi="Times New Roman" w:eastAsia="宋体" w:cs="Times New Roman"/>
                              <w:color w:val="F7CAAC" w:themeColor="accent2" w:themeTint="66"/>
                              <w:kern w:val="2"/>
                              <w:sz w:val="32"/>
                              <w:szCs w:val="32"/>
                              <w:highlight w:val="yellow"/>
                              <w:lang w:val="en-US" w:eastAsia="zh-CN" w:bidi="ar-SA"/>
                              <w14:glow w14:rad="0">
                                <w14:srgbClr w14:val="000000"/>
                              </w14:glow>
                              <w14:shadow w14:blurRad="0" w14:dist="0" w14:dir="0" w14:sx="0" w14:sy="0" w14:kx="0" w14:ky="0" w14:algn="none">
                                <w14:srgbClr w14:val="000000"/>
                              </w14:shadow>
                              <w14:reflection w14:blurRad="6350" w14:stA="53000" w14:stPos="0" w14:endA="300" w14:endPos="35500" w14:dist="0" w14:dir="5400000" w14:fadeDir="5400000" w14:sx="100000" w14:sy="-90000" w14:kx="0" w14:algn="bl"/>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gradFill>
                              </w14:textFill>
                              <w14:props3d w14:extrusionH="0" w14:contourW="0" w14:prstMaterial="clear"/>
                            </w:rPr>
                            <w:t xml:space="preserve">— </w: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begin"/>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instrText xml:space="preserve"> PAGE  \* MERGEFORMAT </w:instrTex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separate"/>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t>1</w: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end"/>
                          </w:r>
                          <w:r>
                            <w:rPr>
                              <w:rFonts w:hint="default" w:ascii="Times New Roman" w:hAnsi="Times New Roman" w:eastAsia="宋体" w:cs="Times New Roman"/>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t xml:space="preserve"> </w:t>
                          </w:r>
                          <w:r>
                            <w:rPr>
                              <w:rFonts w:hint="default" w:ascii="Times New Roman" w:hAnsi="Times New Roman" w:eastAsia="宋体" w:cs="Times New Roman"/>
                              <w:color w:val="F7CAAC" w:themeColor="accent2" w:themeTint="66"/>
                              <w:kern w:val="2"/>
                              <w:sz w:val="32"/>
                              <w:szCs w:val="32"/>
                              <w:highlight w:val="yellow"/>
                              <w:lang w:val="en-US" w:eastAsia="zh-CN" w:bidi="ar-SA"/>
                              <w14:glow w14:rad="0">
                                <w14:srgbClr w14:val="000000"/>
                              </w14:glow>
                              <w14:shadow w14:blurRad="0" w14:dist="0" w14:dir="0" w14:sx="0" w14:sy="0" w14:kx="0" w14:ky="0" w14:algn="none">
                                <w14:srgbClr w14:val="000000"/>
                              </w14:shadow>
                              <w14:reflection w14:blurRad="6350" w14:stA="53000" w14:stPos="0" w14:endA="300" w14:endPos="35500" w14:dist="0" w14:dir="5400000" w14:fadeDir="5400000" w14:sx="100000" w14:sy="-90000" w14:kx="0" w14:algn="bl"/>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gradFill>
                              </w14:textFill>
                              <w14:props3d w14:extrusionH="0" w14:contourW="0" w14:prstMaterial="clear"/>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24pt;height:144pt;width:144pt;mso-position-horizontal:center;mso-position-horizontal-relative:margin;mso-wrap-style:none;z-index:251660288;mso-width-relative:page;mso-height-relative:page;" filled="f" stroked="f" coordsize="21600,21600" o:gfxdata="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8gO9M9QAAAAIAQAADwAAAAAAAAABACAAAAAiAAAAZHJzL2Rvd25yZXYu&#10;eG1sUEsBAhQAFAAAAAgAh07iQLVZerI4AgAAbwQAAA4AAAAAAAAAAQAgAAAAIwEAAGRycy9lMm9E&#10;b2MueG1sUEsFBgAAAAAGAAYAWQEAAM0FAAAAAA==&#10;">
              <v:fill on="f" focussize="0,0"/>
              <v:stroke on="f" weight="0.5pt"/>
              <v:imagedata o:title=""/>
              <o:lock v:ext="edit" aspectratio="f"/>
              <v:textbox inset="0mm,0mm,0mm,0mm" style="mso-fit-shape-to-text:t;">
                <w:txbxContent>
                  <w:p w14:paraId="149740C4">
                    <w:pPr>
                      <w:widowControl w:val="0"/>
                      <w:tabs>
                        <w:tab w:val="center" w:pos="4153"/>
                        <w:tab w:val="right" w:pos="8306"/>
                      </w:tabs>
                      <w:snapToGrid w:val="0"/>
                      <w:jc w:val="center"/>
                      <w:rPr>
                        <w:rFonts w:ascii="Calibri" w:hAnsi="Calibri" w:eastAsia="宋体" w:cs="Times New Roman"/>
                        <w:kern w:val="2"/>
                        <w:sz w:val="18"/>
                        <w:szCs w:val="18"/>
                        <w:highlight w:val="yellow"/>
                        <w:lang w:val="en-US" w:eastAsia="zh-CN" w:bidi="ar-SA"/>
                      </w:rPr>
                    </w:pPr>
                    <w:r>
                      <w:rPr>
                        <w:rFonts w:hint="default" w:ascii="Times New Roman" w:hAnsi="Times New Roman" w:eastAsia="宋体" w:cs="Times New Roman"/>
                        <w:color w:val="F7CAAC" w:themeColor="accent2" w:themeTint="66"/>
                        <w:kern w:val="2"/>
                        <w:sz w:val="32"/>
                        <w:szCs w:val="32"/>
                        <w:highlight w:val="yellow"/>
                        <w:lang w:val="en-US" w:eastAsia="zh-CN" w:bidi="ar-SA"/>
                        <w14:glow w14:rad="0">
                          <w14:srgbClr w14:val="000000"/>
                        </w14:glow>
                        <w14:shadow w14:blurRad="0" w14:dist="0" w14:dir="0" w14:sx="0" w14:sy="0" w14:kx="0" w14:ky="0" w14:algn="none">
                          <w14:srgbClr w14:val="000000"/>
                        </w14:shadow>
                        <w14:reflection w14:blurRad="6350" w14:stA="53000" w14:stPos="0" w14:endA="300" w14:endPos="35500" w14:dist="0" w14:dir="5400000" w14:fadeDir="5400000" w14:sx="100000" w14:sy="-90000" w14:kx="0" w14:algn="bl"/>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gradFill>
                        </w14:textFill>
                        <w14:props3d w14:extrusionH="0" w14:contourW="0" w14:prstMaterial="clear"/>
                      </w:rPr>
                      <w:t xml:space="preserve">— </w: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begin"/>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instrText xml:space="preserve"> PAGE  \* MERGEFORMAT </w:instrTex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separate"/>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t>1</w: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end"/>
                    </w:r>
                    <w:r>
                      <w:rPr>
                        <w:rFonts w:hint="default" w:ascii="Times New Roman" w:hAnsi="Times New Roman" w:eastAsia="宋体" w:cs="Times New Roman"/>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t xml:space="preserve"> </w:t>
                    </w:r>
                    <w:r>
                      <w:rPr>
                        <w:rFonts w:hint="default" w:ascii="Times New Roman" w:hAnsi="Times New Roman" w:eastAsia="宋体" w:cs="Times New Roman"/>
                        <w:color w:val="F7CAAC" w:themeColor="accent2" w:themeTint="66"/>
                        <w:kern w:val="2"/>
                        <w:sz w:val="32"/>
                        <w:szCs w:val="32"/>
                        <w:highlight w:val="yellow"/>
                        <w:lang w:val="en-US" w:eastAsia="zh-CN" w:bidi="ar-SA"/>
                        <w14:glow w14:rad="0">
                          <w14:srgbClr w14:val="000000"/>
                        </w14:glow>
                        <w14:shadow w14:blurRad="0" w14:dist="0" w14:dir="0" w14:sx="0" w14:sy="0" w14:kx="0" w14:ky="0" w14:algn="none">
                          <w14:srgbClr w14:val="000000"/>
                        </w14:shadow>
                        <w14:reflection w14:blurRad="6350" w14:stA="53000" w14:stPos="0" w14:endA="300" w14:endPos="35500" w14:dist="0" w14:dir="5400000" w14:fadeDir="5400000" w14:sx="100000" w14:sy="-90000" w14:kx="0" w14:algn="bl"/>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gradFill>
                        </w14:textFill>
                        <w14:props3d w14:extrusionH="0" w14:contourW="0" w14:prstMaterial="clear"/>
                      </w:rPr>
                      <w:t>—</w:t>
                    </w:r>
                  </w:p>
                </w:txbxContent>
              </v:textbox>
            </v:shape>
          </w:pict>
        </mc:Fallback>
      </mc:AlternateContent>
    </w:r>
  </w:p>
  <w:p w14:paraId="4033DA90">
    <w:pPr>
      <w:widowControl w:val="0"/>
      <w:tabs>
        <w:tab w:val="center" w:pos="4153"/>
        <w:tab w:val="right" w:pos="8306"/>
      </w:tabs>
      <w:snapToGrid w:val="0"/>
      <w:jc w:val="left"/>
      <w:rPr>
        <w:rFonts w:ascii="Calibri" w:hAnsi="Calibri" w:eastAsia="宋体" w:cs="Times New Roman"/>
        <w:kern w:val="2"/>
        <w:sz w:val="18"/>
        <w:szCs w:val="18"/>
        <w:lang w:val="en-US" w:eastAsia="zh-CN" w:bidi="ar-S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gyY2JjZjUwZjliZTZiOTlhN2YyNWNiNDhlZDgzZjgifQ=="/>
  </w:docVars>
  <w:rsids>
    <w:rsidRoot w:val="09CD0E22"/>
    <w:rsid w:val="00030C0E"/>
    <w:rsid w:val="00043245"/>
    <w:rsid w:val="0007364F"/>
    <w:rsid w:val="000800B0"/>
    <w:rsid w:val="00093D01"/>
    <w:rsid w:val="00097083"/>
    <w:rsid w:val="000A684F"/>
    <w:rsid w:val="000C6CC2"/>
    <w:rsid w:val="001156B9"/>
    <w:rsid w:val="00145330"/>
    <w:rsid w:val="00154806"/>
    <w:rsid w:val="001F2C95"/>
    <w:rsid w:val="00215B64"/>
    <w:rsid w:val="002840B7"/>
    <w:rsid w:val="003208B4"/>
    <w:rsid w:val="003671B0"/>
    <w:rsid w:val="003C691D"/>
    <w:rsid w:val="003F32D7"/>
    <w:rsid w:val="0042623F"/>
    <w:rsid w:val="0043286B"/>
    <w:rsid w:val="00467C46"/>
    <w:rsid w:val="00501EE6"/>
    <w:rsid w:val="005279A4"/>
    <w:rsid w:val="005A092B"/>
    <w:rsid w:val="006469AC"/>
    <w:rsid w:val="006B63D3"/>
    <w:rsid w:val="006C0C2E"/>
    <w:rsid w:val="00723B7D"/>
    <w:rsid w:val="007C2A82"/>
    <w:rsid w:val="007E11E9"/>
    <w:rsid w:val="008B2F92"/>
    <w:rsid w:val="008E3499"/>
    <w:rsid w:val="008F79A9"/>
    <w:rsid w:val="00906A61"/>
    <w:rsid w:val="00962249"/>
    <w:rsid w:val="00984AC6"/>
    <w:rsid w:val="00A0554E"/>
    <w:rsid w:val="00A55B3B"/>
    <w:rsid w:val="00B1496F"/>
    <w:rsid w:val="00B35803"/>
    <w:rsid w:val="00B45E3E"/>
    <w:rsid w:val="00B528B9"/>
    <w:rsid w:val="00C16462"/>
    <w:rsid w:val="00C66488"/>
    <w:rsid w:val="00CA656E"/>
    <w:rsid w:val="00CE04E4"/>
    <w:rsid w:val="00D0085C"/>
    <w:rsid w:val="00D9651F"/>
    <w:rsid w:val="00DB54B3"/>
    <w:rsid w:val="00DF053C"/>
    <w:rsid w:val="00E278B0"/>
    <w:rsid w:val="00E76B4E"/>
    <w:rsid w:val="00EA6FD6"/>
    <w:rsid w:val="00FC3867"/>
    <w:rsid w:val="010007F1"/>
    <w:rsid w:val="010F41FD"/>
    <w:rsid w:val="01123C24"/>
    <w:rsid w:val="01281FA6"/>
    <w:rsid w:val="0129652A"/>
    <w:rsid w:val="012C4A94"/>
    <w:rsid w:val="0134238F"/>
    <w:rsid w:val="01434062"/>
    <w:rsid w:val="014F3F68"/>
    <w:rsid w:val="015A28DE"/>
    <w:rsid w:val="01603797"/>
    <w:rsid w:val="01607B5B"/>
    <w:rsid w:val="01614C4F"/>
    <w:rsid w:val="016607CF"/>
    <w:rsid w:val="01687C29"/>
    <w:rsid w:val="016C6133"/>
    <w:rsid w:val="016D0719"/>
    <w:rsid w:val="016E2905"/>
    <w:rsid w:val="01730647"/>
    <w:rsid w:val="01765242"/>
    <w:rsid w:val="017F7312"/>
    <w:rsid w:val="0183354F"/>
    <w:rsid w:val="018A4341"/>
    <w:rsid w:val="018D1ED5"/>
    <w:rsid w:val="018E0532"/>
    <w:rsid w:val="01944C0D"/>
    <w:rsid w:val="01947605"/>
    <w:rsid w:val="019652A2"/>
    <w:rsid w:val="019A0A9C"/>
    <w:rsid w:val="019E5AF8"/>
    <w:rsid w:val="01A05888"/>
    <w:rsid w:val="01A2463C"/>
    <w:rsid w:val="01A277CA"/>
    <w:rsid w:val="01A536F0"/>
    <w:rsid w:val="01AB72AD"/>
    <w:rsid w:val="01AD0FC0"/>
    <w:rsid w:val="01AF0E83"/>
    <w:rsid w:val="01AF0E8E"/>
    <w:rsid w:val="01B74B80"/>
    <w:rsid w:val="01B76B70"/>
    <w:rsid w:val="01BC47E4"/>
    <w:rsid w:val="01BD0D3F"/>
    <w:rsid w:val="01C17E07"/>
    <w:rsid w:val="01C277DB"/>
    <w:rsid w:val="01C5785D"/>
    <w:rsid w:val="01CB201F"/>
    <w:rsid w:val="01D01DDD"/>
    <w:rsid w:val="01D83F23"/>
    <w:rsid w:val="01DA121B"/>
    <w:rsid w:val="01E02E8A"/>
    <w:rsid w:val="01EB6FF4"/>
    <w:rsid w:val="01EC6C1A"/>
    <w:rsid w:val="01F43D5D"/>
    <w:rsid w:val="01F53962"/>
    <w:rsid w:val="01F739C6"/>
    <w:rsid w:val="01FE284A"/>
    <w:rsid w:val="0202118C"/>
    <w:rsid w:val="020C0504"/>
    <w:rsid w:val="020F3F82"/>
    <w:rsid w:val="021337A8"/>
    <w:rsid w:val="02154F00"/>
    <w:rsid w:val="02200558"/>
    <w:rsid w:val="022C2DDE"/>
    <w:rsid w:val="024125AD"/>
    <w:rsid w:val="02424F98"/>
    <w:rsid w:val="02451830"/>
    <w:rsid w:val="024B4F65"/>
    <w:rsid w:val="02522774"/>
    <w:rsid w:val="02716397"/>
    <w:rsid w:val="02742027"/>
    <w:rsid w:val="027B1EF4"/>
    <w:rsid w:val="027D39C5"/>
    <w:rsid w:val="02836A31"/>
    <w:rsid w:val="02842B55"/>
    <w:rsid w:val="02850B1B"/>
    <w:rsid w:val="028D4134"/>
    <w:rsid w:val="028E239B"/>
    <w:rsid w:val="028E669E"/>
    <w:rsid w:val="02925D70"/>
    <w:rsid w:val="02945151"/>
    <w:rsid w:val="02994D24"/>
    <w:rsid w:val="02AA4579"/>
    <w:rsid w:val="02B452E0"/>
    <w:rsid w:val="02B7449E"/>
    <w:rsid w:val="02B81004"/>
    <w:rsid w:val="02B93913"/>
    <w:rsid w:val="02BB7BC5"/>
    <w:rsid w:val="02C541E0"/>
    <w:rsid w:val="02C7326C"/>
    <w:rsid w:val="02C976C5"/>
    <w:rsid w:val="02CA2014"/>
    <w:rsid w:val="02CB3941"/>
    <w:rsid w:val="02CE36F0"/>
    <w:rsid w:val="02D253BA"/>
    <w:rsid w:val="02D664A5"/>
    <w:rsid w:val="02D70120"/>
    <w:rsid w:val="02DA08C0"/>
    <w:rsid w:val="02E746B3"/>
    <w:rsid w:val="02EA0804"/>
    <w:rsid w:val="02F03F7A"/>
    <w:rsid w:val="02F04987"/>
    <w:rsid w:val="02F15A26"/>
    <w:rsid w:val="02F3072B"/>
    <w:rsid w:val="02F35039"/>
    <w:rsid w:val="02F4686A"/>
    <w:rsid w:val="02F50E1A"/>
    <w:rsid w:val="02FC365E"/>
    <w:rsid w:val="03032EA1"/>
    <w:rsid w:val="03055083"/>
    <w:rsid w:val="030A33B2"/>
    <w:rsid w:val="0312457C"/>
    <w:rsid w:val="03146293"/>
    <w:rsid w:val="03173E54"/>
    <w:rsid w:val="03247659"/>
    <w:rsid w:val="032626D8"/>
    <w:rsid w:val="03276EB0"/>
    <w:rsid w:val="03320DD5"/>
    <w:rsid w:val="03326279"/>
    <w:rsid w:val="03367B19"/>
    <w:rsid w:val="033F3094"/>
    <w:rsid w:val="033F5E23"/>
    <w:rsid w:val="0341739D"/>
    <w:rsid w:val="03441AE0"/>
    <w:rsid w:val="034A5312"/>
    <w:rsid w:val="035906B9"/>
    <w:rsid w:val="035A07AB"/>
    <w:rsid w:val="035D17BD"/>
    <w:rsid w:val="035F7880"/>
    <w:rsid w:val="036572E0"/>
    <w:rsid w:val="036773BE"/>
    <w:rsid w:val="036B41D2"/>
    <w:rsid w:val="03745931"/>
    <w:rsid w:val="0375270B"/>
    <w:rsid w:val="0376026A"/>
    <w:rsid w:val="03763E10"/>
    <w:rsid w:val="03795E56"/>
    <w:rsid w:val="038A3C11"/>
    <w:rsid w:val="038F00BD"/>
    <w:rsid w:val="038F07EB"/>
    <w:rsid w:val="039F6B79"/>
    <w:rsid w:val="03A054FE"/>
    <w:rsid w:val="03A634A2"/>
    <w:rsid w:val="03A710E3"/>
    <w:rsid w:val="03AB7076"/>
    <w:rsid w:val="03B75E22"/>
    <w:rsid w:val="03B93704"/>
    <w:rsid w:val="03C7124D"/>
    <w:rsid w:val="03C956D7"/>
    <w:rsid w:val="03CD065E"/>
    <w:rsid w:val="03CD0F50"/>
    <w:rsid w:val="03D96519"/>
    <w:rsid w:val="03DC76EB"/>
    <w:rsid w:val="03DD4156"/>
    <w:rsid w:val="03DF3AAC"/>
    <w:rsid w:val="03DF7C94"/>
    <w:rsid w:val="03E4053E"/>
    <w:rsid w:val="03EE2D2D"/>
    <w:rsid w:val="03EE5120"/>
    <w:rsid w:val="03F95EAB"/>
    <w:rsid w:val="03FA4378"/>
    <w:rsid w:val="040D5A59"/>
    <w:rsid w:val="040E59E0"/>
    <w:rsid w:val="04177E90"/>
    <w:rsid w:val="041B3B0D"/>
    <w:rsid w:val="041F33A4"/>
    <w:rsid w:val="04227E09"/>
    <w:rsid w:val="04256881"/>
    <w:rsid w:val="04257D27"/>
    <w:rsid w:val="042C1175"/>
    <w:rsid w:val="042E72BA"/>
    <w:rsid w:val="04361A54"/>
    <w:rsid w:val="043837D8"/>
    <w:rsid w:val="043F0FCC"/>
    <w:rsid w:val="0458216E"/>
    <w:rsid w:val="04633D2A"/>
    <w:rsid w:val="04642403"/>
    <w:rsid w:val="046441B2"/>
    <w:rsid w:val="0470619B"/>
    <w:rsid w:val="047264E0"/>
    <w:rsid w:val="04732D97"/>
    <w:rsid w:val="047929EC"/>
    <w:rsid w:val="047931E4"/>
    <w:rsid w:val="047B754C"/>
    <w:rsid w:val="047C330E"/>
    <w:rsid w:val="04802BB2"/>
    <w:rsid w:val="048112FB"/>
    <w:rsid w:val="048A77DB"/>
    <w:rsid w:val="048B08F7"/>
    <w:rsid w:val="04997356"/>
    <w:rsid w:val="04B3013F"/>
    <w:rsid w:val="04BA605B"/>
    <w:rsid w:val="04BB6582"/>
    <w:rsid w:val="04BF51D4"/>
    <w:rsid w:val="04C30370"/>
    <w:rsid w:val="04C369FD"/>
    <w:rsid w:val="04C87276"/>
    <w:rsid w:val="04CE7B7F"/>
    <w:rsid w:val="04D13EAB"/>
    <w:rsid w:val="04D81CE8"/>
    <w:rsid w:val="04E16ACF"/>
    <w:rsid w:val="04E81C0B"/>
    <w:rsid w:val="04E92750"/>
    <w:rsid w:val="04ED1D07"/>
    <w:rsid w:val="04F33CBA"/>
    <w:rsid w:val="04FB0B72"/>
    <w:rsid w:val="05006805"/>
    <w:rsid w:val="05017788"/>
    <w:rsid w:val="050A0F30"/>
    <w:rsid w:val="051142A3"/>
    <w:rsid w:val="05150D13"/>
    <w:rsid w:val="052054D4"/>
    <w:rsid w:val="052779FB"/>
    <w:rsid w:val="052C7639"/>
    <w:rsid w:val="05490385"/>
    <w:rsid w:val="054A7C8A"/>
    <w:rsid w:val="054D6A6C"/>
    <w:rsid w:val="055D26AF"/>
    <w:rsid w:val="056534E0"/>
    <w:rsid w:val="056834A8"/>
    <w:rsid w:val="05684832"/>
    <w:rsid w:val="056C0F36"/>
    <w:rsid w:val="056E79C6"/>
    <w:rsid w:val="05763BC9"/>
    <w:rsid w:val="057A3526"/>
    <w:rsid w:val="057A799E"/>
    <w:rsid w:val="057E6F65"/>
    <w:rsid w:val="058647BE"/>
    <w:rsid w:val="05880374"/>
    <w:rsid w:val="05881910"/>
    <w:rsid w:val="05913966"/>
    <w:rsid w:val="05926E6B"/>
    <w:rsid w:val="059F17BF"/>
    <w:rsid w:val="05A259F9"/>
    <w:rsid w:val="05A72CCC"/>
    <w:rsid w:val="05A73DC5"/>
    <w:rsid w:val="05B336D5"/>
    <w:rsid w:val="05CC2A3B"/>
    <w:rsid w:val="05CD0D9A"/>
    <w:rsid w:val="05CF249D"/>
    <w:rsid w:val="05D14319"/>
    <w:rsid w:val="05D714EA"/>
    <w:rsid w:val="05E536E6"/>
    <w:rsid w:val="05EA1C44"/>
    <w:rsid w:val="05F2445C"/>
    <w:rsid w:val="05F84C68"/>
    <w:rsid w:val="06077942"/>
    <w:rsid w:val="060A0D89"/>
    <w:rsid w:val="060C359D"/>
    <w:rsid w:val="060F3722"/>
    <w:rsid w:val="062847B3"/>
    <w:rsid w:val="062B0B83"/>
    <w:rsid w:val="062C6587"/>
    <w:rsid w:val="062D67C8"/>
    <w:rsid w:val="06301A1B"/>
    <w:rsid w:val="0631403C"/>
    <w:rsid w:val="0633380C"/>
    <w:rsid w:val="0638362B"/>
    <w:rsid w:val="063E600A"/>
    <w:rsid w:val="06405659"/>
    <w:rsid w:val="064327CF"/>
    <w:rsid w:val="0645654E"/>
    <w:rsid w:val="064F5725"/>
    <w:rsid w:val="06510CDF"/>
    <w:rsid w:val="065C27A8"/>
    <w:rsid w:val="065F50DA"/>
    <w:rsid w:val="06602F2C"/>
    <w:rsid w:val="06626021"/>
    <w:rsid w:val="066D2CED"/>
    <w:rsid w:val="066E2C0B"/>
    <w:rsid w:val="06700010"/>
    <w:rsid w:val="06734EB6"/>
    <w:rsid w:val="067C24CF"/>
    <w:rsid w:val="068731B8"/>
    <w:rsid w:val="068A1FDD"/>
    <w:rsid w:val="069002BE"/>
    <w:rsid w:val="06906B8C"/>
    <w:rsid w:val="069725BC"/>
    <w:rsid w:val="069A3A7C"/>
    <w:rsid w:val="06A24D7D"/>
    <w:rsid w:val="06A6750E"/>
    <w:rsid w:val="06A729E1"/>
    <w:rsid w:val="06A94232"/>
    <w:rsid w:val="06AB1C7E"/>
    <w:rsid w:val="06AC05E7"/>
    <w:rsid w:val="06AF1D16"/>
    <w:rsid w:val="06AF3414"/>
    <w:rsid w:val="06B15237"/>
    <w:rsid w:val="06BA5EB2"/>
    <w:rsid w:val="06CF1EF4"/>
    <w:rsid w:val="06D17DB1"/>
    <w:rsid w:val="06E444B8"/>
    <w:rsid w:val="06F76FBB"/>
    <w:rsid w:val="06FB55DC"/>
    <w:rsid w:val="070615F0"/>
    <w:rsid w:val="07085235"/>
    <w:rsid w:val="07146D7A"/>
    <w:rsid w:val="071A4300"/>
    <w:rsid w:val="0724090E"/>
    <w:rsid w:val="072C5901"/>
    <w:rsid w:val="072D6955"/>
    <w:rsid w:val="07355298"/>
    <w:rsid w:val="073633AE"/>
    <w:rsid w:val="0738618B"/>
    <w:rsid w:val="074E1705"/>
    <w:rsid w:val="074E279C"/>
    <w:rsid w:val="075268B6"/>
    <w:rsid w:val="075C0378"/>
    <w:rsid w:val="075C613A"/>
    <w:rsid w:val="07616A73"/>
    <w:rsid w:val="0768627D"/>
    <w:rsid w:val="07774E9B"/>
    <w:rsid w:val="07852CE2"/>
    <w:rsid w:val="07886D75"/>
    <w:rsid w:val="079A77BC"/>
    <w:rsid w:val="079D6C92"/>
    <w:rsid w:val="079E20C5"/>
    <w:rsid w:val="07A36583"/>
    <w:rsid w:val="07A757F6"/>
    <w:rsid w:val="07A92FCD"/>
    <w:rsid w:val="07AB5A16"/>
    <w:rsid w:val="07C32EAB"/>
    <w:rsid w:val="07CE7516"/>
    <w:rsid w:val="07DA5629"/>
    <w:rsid w:val="07DE3B60"/>
    <w:rsid w:val="07DF3A1B"/>
    <w:rsid w:val="07E54B9E"/>
    <w:rsid w:val="08010DA7"/>
    <w:rsid w:val="08033960"/>
    <w:rsid w:val="080954A3"/>
    <w:rsid w:val="080F3123"/>
    <w:rsid w:val="082209F5"/>
    <w:rsid w:val="08220E8F"/>
    <w:rsid w:val="08242F28"/>
    <w:rsid w:val="08252E6C"/>
    <w:rsid w:val="08275EA4"/>
    <w:rsid w:val="08294CB5"/>
    <w:rsid w:val="083036B5"/>
    <w:rsid w:val="08310F19"/>
    <w:rsid w:val="08331FC1"/>
    <w:rsid w:val="083611A9"/>
    <w:rsid w:val="083901EB"/>
    <w:rsid w:val="08394081"/>
    <w:rsid w:val="083943C5"/>
    <w:rsid w:val="08395DAB"/>
    <w:rsid w:val="08404FD2"/>
    <w:rsid w:val="084A2513"/>
    <w:rsid w:val="08515651"/>
    <w:rsid w:val="08587D37"/>
    <w:rsid w:val="085D6EF2"/>
    <w:rsid w:val="085F59AE"/>
    <w:rsid w:val="086303CB"/>
    <w:rsid w:val="08674312"/>
    <w:rsid w:val="086B17B3"/>
    <w:rsid w:val="0875786E"/>
    <w:rsid w:val="0881684A"/>
    <w:rsid w:val="088C3E25"/>
    <w:rsid w:val="08927463"/>
    <w:rsid w:val="08986B20"/>
    <w:rsid w:val="08991A5A"/>
    <w:rsid w:val="089C49FA"/>
    <w:rsid w:val="08AF073A"/>
    <w:rsid w:val="08B36F8B"/>
    <w:rsid w:val="08BD5FE1"/>
    <w:rsid w:val="08BE5414"/>
    <w:rsid w:val="08BE7798"/>
    <w:rsid w:val="08C333B4"/>
    <w:rsid w:val="08C46A4F"/>
    <w:rsid w:val="08C654F8"/>
    <w:rsid w:val="08CA79C7"/>
    <w:rsid w:val="08D54B6A"/>
    <w:rsid w:val="08D73E78"/>
    <w:rsid w:val="08DB6139"/>
    <w:rsid w:val="08DD4FAE"/>
    <w:rsid w:val="08DE001E"/>
    <w:rsid w:val="08DE502C"/>
    <w:rsid w:val="08DE7E03"/>
    <w:rsid w:val="08EB2EDB"/>
    <w:rsid w:val="08ED6D3B"/>
    <w:rsid w:val="08FB16E4"/>
    <w:rsid w:val="08FB2C3C"/>
    <w:rsid w:val="08FE2EDE"/>
    <w:rsid w:val="08FE5206"/>
    <w:rsid w:val="090E2C7F"/>
    <w:rsid w:val="09140F8D"/>
    <w:rsid w:val="09150DAF"/>
    <w:rsid w:val="09155095"/>
    <w:rsid w:val="091D10D0"/>
    <w:rsid w:val="09210482"/>
    <w:rsid w:val="092105FC"/>
    <w:rsid w:val="09222AB2"/>
    <w:rsid w:val="092629C0"/>
    <w:rsid w:val="09266115"/>
    <w:rsid w:val="093303B8"/>
    <w:rsid w:val="094318A6"/>
    <w:rsid w:val="09446DB4"/>
    <w:rsid w:val="094811BB"/>
    <w:rsid w:val="094F18C1"/>
    <w:rsid w:val="0954257E"/>
    <w:rsid w:val="09583F76"/>
    <w:rsid w:val="095929D4"/>
    <w:rsid w:val="095A003F"/>
    <w:rsid w:val="095B02C8"/>
    <w:rsid w:val="09606CDC"/>
    <w:rsid w:val="09631FC1"/>
    <w:rsid w:val="09651D94"/>
    <w:rsid w:val="096F5B71"/>
    <w:rsid w:val="097F0134"/>
    <w:rsid w:val="098601E8"/>
    <w:rsid w:val="098A1F77"/>
    <w:rsid w:val="09915044"/>
    <w:rsid w:val="099872CF"/>
    <w:rsid w:val="09991A94"/>
    <w:rsid w:val="099B0B43"/>
    <w:rsid w:val="09A07C38"/>
    <w:rsid w:val="09A137B2"/>
    <w:rsid w:val="09A2636C"/>
    <w:rsid w:val="09A44BA0"/>
    <w:rsid w:val="09AA495F"/>
    <w:rsid w:val="09AC53C9"/>
    <w:rsid w:val="09B630C3"/>
    <w:rsid w:val="09BD4BE0"/>
    <w:rsid w:val="09C222A5"/>
    <w:rsid w:val="09C27E4D"/>
    <w:rsid w:val="09C81C8D"/>
    <w:rsid w:val="09CB6B07"/>
    <w:rsid w:val="09CC1439"/>
    <w:rsid w:val="09CD0E22"/>
    <w:rsid w:val="09CD713D"/>
    <w:rsid w:val="09DA121F"/>
    <w:rsid w:val="09F43143"/>
    <w:rsid w:val="09FA2B3C"/>
    <w:rsid w:val="09FA772F"/>
    <w:rsid w:val="09FB6D64"/>
    <w:rsid w:val="09FD0F85"/>
    <w:rsid w:val="0A030CE9"/>
    <w:rsid w:val="0A0D0EE1"/>
    <w:rsid w:val="0A1B5347"/>
    <w:rsid w:val="0A33530F"/>
    <w:rsid w:val="0A346C5C"/>
    <w:rsid w:val="0A451ABA"/>
    <w:rsid w:val="0A4707FD"/>
    <w:rsid w:val="0A486965"/>
    <w:rsid w:val="0A4B2E8D"/>
    <w:rsid w:val="0A5317DF"/>
    <w:rsid w:val="0A534D83"/>
    <w:rsid w:val="0A564C39"/>
    <w:rsid w:val="0A5B0F4C"/>
    <w:rsid w:val="0A61640A"/>
    <w:rsid w:val="0A6536D8"/>
    <w:rsid w:val="0A6A580E"/>
    <w:rsid w:val="0A6B730C"/>
    <w:rsid w:val="0A7611EF"/>
    <w:rsid w:val="0A765DBA"/>
    <w:rsid w:val="0A7A1EF7"/>
    <w:rsid w:val="0A937773"/>
    <w:rsid w:val="0A987047"/>
    <w:rsid w:val="0AA05D85"/>
    <w:rsid w:val="0AAD109D"/>
    <w:rsid w:val="0ABB417A"/>
    <w:rsid w:val="0ABE47A4"/>
    <w:rsid w:val="0AC71E05"/>
    <w:rsid w:val="0ACC2910"/>
    <w:rsid w:val="0ACC3151"/>
    <w:rsid w:val="0AD014F5"/>
    <w:rsid w:val="0AD16821"/>
    <w:rsid w:val="0AD45A3C"/>
    <w:rsid w:val="0AD60B60"/>
    <w:rsid w:val="0ADC78D2"/>
    <w:rsid w:val="0ADF4793"/>
    <w:rsid w:val="0AE11813"/>
    <w:rsid w:val="0AE3323E"/>
    <w:rsid w:val="0AE3404E"/>
    <w:rsid w:val="0AEB11A6"/>
    <w:rsid w:val="0AEC3E44"/>
    <w:rsid w:val="0AEE609E"/>
    <w:rsid w:val="0AEF478A"/>
    <w:rsid w:val="0AF51E84"/>
    <w:rsid w:val="0AFA1E0F"/>
    <w:rsid w:val="0AFC1AD5"/>
    <w:rsid w:val="0B041299"/>
    <w:rsid w:val="0B062542"/>
    <w:rsid w:val="0B0E47F4"/>
    <w:rsid w:val="0B112BB9"/>
    <w:rsid w:val="0B14238E"/>
    <w:rsid w:val="0B1C17AD"/>
    <w:rsid w:val="0B1F62C7"/>
    <w:rsid w:val="0B283787"/>
    <w:rsid w:val="0B2D6F6E"/>
    <w:rsid w:val="0B324625"/>
    <w:rsid w:val="0B324CD2"/>
    <w:rsid w:val="0B345DB1"/>
    <w:rsid w:val="0B363DD8"/>
    <w:rsid w:val="0B3A4657"/>
    <w:rsid w:val="0B3C5BB9"/>
    <w:rsid w:val="0B4372E2"/>
    <w:rsid w:val="0B48487F"/>
    <w:rsid w:val="0B5979A6"/>
    <w:rsid w:val="0B5A2079"/>
    <w:rsid w:val="0B5B5996"/>
    <w:rsid w:val="0B5C3E34"/>
    <w:rsid w:val="0B5F7467"/>
    <w:rsid w:val="0B6075D7"/>
    <w:rsid w:val="0B627AD4"/>
    <w:rsid w:val="0B6A0BB3"/>
    <w:rsid w:val="0B735FF2"/>
    <w:rsid w:val="0B792EB2"/>
    <w:rsid w:val="0B8035EB"/>
    <w:rsid w:val="0B84164E"/>
    <w:rsid w:val="0B892750"/>
    <w:rsid w:val="0B89731E"/>
    <w:rsid w:val="0B904412"/>
    <w:rsid w:val="0B90485D"/>
    <w:rsid w:val="0B913EDA"/>
    <w:rsid w:val="0B9C76A8"/>
    <w:rsid w:val="0BA50775"/>
    <w:rsid w:val="0BA749E5"/>
    <w:rsid w:val="0BAC24A8"/>
    <w:rsid w:val="0BAE1323"/>
    <w:rsid w:val="0BB42E0A"/>
    <w:rsid w:val="0BBA3391"/>
    <w:rsid w:val="0BD05C8A"/>
    <w:rsid w:val="0BD62605"/>
    <w:rsid w:val="0BDC3258"/>
    <w:rsid w:val="0BDE3581"/>
    <w:rsid w:val="0BE52963"/>
    <w:rsid w:val="0BE57BC8"/>
    <w:rsid w:val="0BE85349"/>
    <w:rsid w:val="0BF57A28"/>
    <w:rsid w:val="0BF845E9"/>
    <w:rsid w:val="0BFA1A53"/>
    <w:rsid w:val="0C074F06"/>
    <w:rsid w:val="0C0B1E5B"/>
    <w:rsid w:val="0C146F99"/>
    <w:rsid w:val="0C163DCB"/>
    <w:rsid w:val="0C1A584B"/>
    <w:rsid w:val="0C1F5892"/>
    <w:rsid w:val="0C207391"/>
    <w:rsid w:val="0C2275D5"/>
    <w:rsid w:val="0C2D70F9"/>
    <w:rsid w:val="0C342312"/>
    <w:rsid w:val="0C363AA9"/>
    <w:rsid w:val="0C373B19"/>
    <w:rsid w:val="0C3F7E0B"/>
    <w:rsid w:val="0C456335"/>
    <w:rsid w:val="0C53740C"/>
    <w:rsid w:val="0C563E70"/>
    <w:rsid w:val="0C631545"/>
    <w:rsid w:val="0C6E187C"/>
    <w:rsid w:val="0C7D4D8F"/>
    <w:rsid w:val="0C80052F"/>
    <w:rsid w:val="0C8C06D3"/>
    <w:rsid w:val="0C900DC2"/>
    <w:rsid w:val="0C980884"/>
    <w:rsid w:val="0C9961AF"/>
    <w:rsid w:val="0C9A18AD"/>
    <w:rsid w:val="0C9A50FF"/>
    <w:rsid w:val="0C9B3EE0"/>
    <w:rsid w:val="0C9C2E80"/>
    <w:rsid w:val="0CA20B1F"/>
    <w:rsid w:val="0CA44E41"/>
    <w:rsid w:val="0CA77405"/>
    <w:rsid w:val="0CA83489"/>
    <w:rsid w:val="0CA96FA5"/>
    <w:rsid w:val="0CAE5B1B"/>
    <w:rsid w:val="0CB224D8"/>
    <w:rsid w:val="0CB31FF7"/>
    <w:rsid w:val="0CB45BFD"/>
    <w:rsid w:val="0CB7503A"/>
    <w:rsid w:val="0CB75099"/>
    <w:rsid w:val="0CB80D6E"/>
    <w:rsid w:val="0CBF360E"/>
    <w:rsid w:val="0CC10497"/>
    <w:rsid w:val="0CC30BC5"/>
    <w:rsid w:val="0CC42150"/>
    <w:rsid w:val="0CC45545"/>
    <w:rsid w:val="0CC71781"/>
    <w:rsid w:val="0CCB0FDF"/>
    <w:rsid w:val="0CCD2A5C"/>
    <w:rsid w:val="0CDC1817"/>
    <w:rsid w:val="0CDC515C"/>
    <w:rsid w:val="0D0167C5"/>
    <w:rsid w:val="0D0B2A13"/>
    <w:rsid w:val="0D112021"/>
    <w:rsid w:val="0D12133D"/>
    <w:rsid w:val="0D1F7151"/>
    <w:rsid w:val="0D200D54"/>
    <w:rsid w:val="0D2B7DB2"/>
    <w:rsid w:val="0D3152D9"/>
    <w:rsid w:val="0D354A50"/>
    <w:rsid w:val="0D384916"/>
    <w:rsid w:val="0D427E08"/>
    <w:rsid w:val="0D444358"/>
    <w:rsid w:val="0D4775E8"/>
    <w:rsid w:val="0D4A1977"/>
    <w:rsid w:val="0D4B602E"/>
    <w:rsid w:val="0D511FCD"/>
    <w:rsid w:val="0D52698E"/>
    <w:rsid w:val="0D583C5F"/>
    <w:rsid w:val="0D5D658F"/>
    <w:rsid w:val="0D6029A5"/>
    <w:rsid w:val="0D6063D4"/>
    <w:rsid w:val="0D665CD7"/>
    <w:rsid w:val="0D667E20"/>
    <w:rsid w:val="0D693967"/>
    <w:rsid w:val="0D6B6C90"/>
    <w:rsid w:val="0D7170F8"/>
    <w:rsid w:val="0D922931"/>
    <w:rsid w:val="0D95263C"/>
    <w:rsid w:val="0D9B6A6D"/>
    <w:rsid w:val="0DA81B9F"/>
    <w:rsid w:val="0DAD79F2"/>
    <w:rsid w:val="0DB403B1"/>
    <w:rsid w:val="0DB47CEC"/>
    <w:rsid w:val="0DBB3CA5"/>
    <w:rsid w:val="0DBB4EDD"/>
    <w:rsid w:val="0DC37BF2"/>
    <w:rsid w:val="0DC436B0"/>
    <w:rsid w:val="0DC62A65"/>
    <w:rsid w:val="0DC9693F"/>
    <w:rsid w:val="0DCC1715"/>
    <w:rsid w:val="0DCE4BC6"/>
    <w:rsid w:val="0DD82C48"/>
    <w:rsid w:val="0DDB6385"/>
    <w:rsid w:val="0DE057D2"/>
    <w:rsid w:val="0DF024FC"/>
    <w:rsid w:val="0DF0632D"/>
    <w:rsid w:val="0DF475E0"/>
    <w:rsid w:val="0E0E09E4"/>
    <w:rsid w:val="0E0E0AE3"/>
    <w:rsid w:val="0E184477"/>
    <w:rsid w:val="0E1A4501"/>
    <w:rsid w:val="0E1A78B5"/>
    <w:rsid w:val="0E21196E"/>
    <w:rsid w:val="0E227E98"/>
    <w:rsid w:val="0E27140B"/>
    <w:rsid w:val="0E275D7B"/>
    <w:rsid w:val="0E2D4D70"/>
    <w:rsid w:val="0E3B2663"/>
    <w:rsid w:val="0E443DBA"/>
    <w:rsid w:val="0E465F52"/>
    <w:rsid w:val="0E4C7DA3"/>
    <w:rsid w:val="0E576A70"/>
    <w:rsid w:val="0E587DB8"/>
    <w:rsid w:val="0E6B437E"/>
    <w:rsid w:val="0E6B6A22"/>
    <w:rsid w:val="0E6F53AB"/>
    <w:rsid w:val="0E701F1A"/>
    <w:rsid w:val="0E793535"/>
    <w:rsid w:val="0E795DEE"/>
    <w:rsid w:val="0E7B3260"/>
    <w:rsid w:val="0E804638"/>
    <w:rsid w:val="0E854758"/>
    <w:rsid w:val="0EA50BFC"/>
    <w:rsid w:val="0EAB0282"/>
    <w:rsid w:val="0EC370FE"/>
    <w:rsid w:val="0EC37F14"/>
    <w:rsid w:val="0EC4408A"/>
    <w:rsid w:val="0ECA6F05"/>
    <w:rsid w:val="0ECD6BD5"/>
    <w:rsid w:val="0EDA3DE0"/>
    <w:rsid w:val="0EDB5829"/>
    <w:rsid w:val="0EE241B0"/>
    <w:rsid w:val="0EE470B9"/>
    <w:rsid w:val="0EE51F3F"/>
    <w:rsid w:val="0EE67C37"/>
    <w:rsid w:val="0EE96C61"/>
    <w:rsid w:val="0EEF6278"/>
    <w:rsid w:val="0F043F0A"/>
    <w:rsid w:val="0F070719"/>
    <w:rsid w:val="0F0E340F"/>
    <w:rsid w:val="0F110F65"/>
    <w:rsid w:val="0F126FC2"/>
    <w:rsid w:val="0F167114"/>
    <w:rsid w:val="0F1821BC"/>
    <w:rsid w:val="0F1F71AB"/>
    <w:rsid w:val="0F206FE9"/>
    <w:rsid w:val="0F246E43"/>
    <w:rsid w:val="0F2F2F21"/>
    <w:rsid w:val="0F303168"/>
    <w:rsid w:val="0F3346BD"/>
    <w:rsid w:val="0F356B4F"/>
    <w:rsid w:val="0F3E6D6B"/>
    <w:rsid w:val="0F521390"/>
    <w:rsid w:val="0F551890"/>
    <w:rsid w:val="0F5A4BDF"/>
    <w:rsid w:val="0F5B58BB"/>
    <w:rsid w:val="0F6735DF"/>
    <w:rsid w:val="0F6A4B85"/>
    <w:rsid w:val="0F716691"/>
    <w:rsid w:val="0F735DB2"/>
    <w:rsid w:val="0F7840D6"/>
    <w:rsid w:val="0F7B2D75"/>
    <w:rsid w:val="0F873A0E"/>
    <w:rsid w:val="0F883C70"/>
    <w:rsid w:val="0F8B6CB6"/>
    <w:rsid w:val="0F9177B5"/>
    <w:rsid w:val="0F9A3FA1"/>
    <w:rsid w:val="0F9E606C"/>
    <w:rsid w:val="0FA17F55"/>
    <w:rsid w:val="0FA35FFE"/>
    <w:rsid w:val="0FA821B8"/>
    <w:rsid w:val="0FAE546F"/>
    <w:rsid w:val="0FB50512"/>
    <w:rsid w:val="0FB57FA4"/>
    <w:rsid w:val="0FB8781F"/>
    <w:rsid w:val="0FC24482"/>
    <w:rsid w:val="0FC754B6"/>
    <w:rsid w:val="0FCD46F4"/>
    <w:rsid w:val="0FCE3065"/>
    <w:rsid w:val="0FE107E2"/>
    <w:rsid w:val="0FE336DE"/>
    <w:rsid w:val="0FED1D3E"/>
    <w:rsid w:val="10010880"/>
    <w:rsid w:val="10026084"/>
    <w:rsid w:val="10065756"/>
    <w:rsid w:val="100A69A4"/>
    <w:rsid w:val="100E17EE"/>
    <w:rsid w:val="10140347"/>
    <w:rsid w:val="101B54B3"/>
    <w:rsid w:val="101C6175"/>
    <w:rsid w:val="102E7ECD"/>
    <w:rsid w:val="104210EE"/>
    <w:rsid w:val="10444B77"/>
    <w:rsid w:val="10447AF9"/>
    <w:rsid w:val="104835D9"/>
    <w:rsid w:val="10495D6E"/>
    <w:rsid w:val="104C1069"/>
    <w:rsid w:val="10513C3F"/>
    <w:rsid w:val="10541F36"/>
    <w:rsid w:val="105D2D1E"/>
    <w:rsid w:val="10623D8F"/>
    <w:rsid w:val="10625663"/>
    <w:rsid w:val="106737C7"/>
    <w:rsid w:val="10703686"/>
    <w:rsid w:val="1075160B"/>
    <w:rsid w:val="107760A9"/>
    <w:rsid w:val="10780D89"/>
    <w:rsid w:val="107B52AA"/>
    <w:rsid w:val="107D625B"/>
    <w:rsid w:val="107E75D8"/>
    <w:rsid w:val="10805AB8"/>
    <w:rsid w:val="108161A3"/>
    <w:rsid w:val="1089301A"/>
    <w:rsid w:val="108B29C7"/>
    <w:rsid w:val="10901F21"/>
    <w:rsid w:val="10974AA9"/>
    <w:rsid w:val="10A21388"/>
    <w:rsid w:val="10A60889"/>
    <w:rsid w:val="10AA391A"/>
    <w:rsid w:val="10B27075"/>
    <w:rsid w:val="10B27B37"/>
    <w:rsid w:val="10B33FFC"/>
    <w:rsid w:val="10BA25C0"/>
    <w:rsid w:val="10BE4FAA"/>
    <w:rsid w:val="10C02E80"/>
    <w:rsid w:val="10C121EA"/>
    <w:rsid w:val="10C2285B"/>
    <w:rsid w:val="10C54276"/>
    <w:rsid w:val="10D27169"/>
    <w:rsid w:val="10D309E2"/>
    <w:rsid w:val="10D621B1"/>
    <w:rsid w:val="10D81E5C"/>
    <w:rsid w:val="10DA39AB"/>
    <w:rsid w:val="10DE746C"/>
    <w:rsid w:val="10E154B4"/>
    <w:rsid w:val="10E35E53"/>
    <w:rsid w:val="10E657ED"/>
    <w:rsid w:val="10EB7A42"/>
    <w:rsid w:val="10F16967"/>
    <w:rsid w:val="10F21B48"/>
    <w:rsid w:val="10F61CDD"/>
    <w:rsid w:val="10F91FDE"/>
    <w:rsid w:val="10F941E9"/>
    <w:rsid w:val="10FD39C4"/>
    <w:rsid w:val="11083015"/>
    <w:rsid w:val="110A357B"/>
    <w:rsid w:val="110D2E2E"/>
    <w:rsid w:val="1113498F"/>
    <w:rsid w:val="11145DE6"/>
    <w:rsid w:val="111A2147"/>
    <w:rsid w:val="112252CB"/>
    <w:rsid w:val="11360EF9"/>
    <w:rsid w:val="113641BB"/>
    <w:rsid w:val="11390D90"/>
    <w:rsid w:val="113B0B58"/>
    <w:rsid w:val="113D4F12"/>
    <w:rsid w:val="113D775B"/>
    <w:rsid w:val="11410876"/>
    <w:rsid w:val="114608E7"/>
    <w:rsid w:val="11470C68"/>
    <w:rsid w:val="114F3D65"/>
    <w:rsid w:val="115347BC"/>
    <w:rsid w:val="11545887"/>
    <w:rsid w:val="11597C64"/>
    <w:rsid w:val="116003F7"/>
    <w:rsid w:val="11602A9E"/>
    <w:rsid w:val="116228E3"/>
    <w:rsid w:val="11631325"/>
    <w:rsid w:val="116345A4"/>
    <w:rsid w:val="11667833"/>
    <w:rsid w:val="11687433"/>
    <w:rsid w:val="1178450A"/>
    <w:rsid w:val="117B53DF"/>
    <w:rsid w:val="117B71D3"/>
    <w:rsid w:val="117F3E6E"/>
    <w:rsid w:val="11814B86"/>
    <w:rsid w:val="11821F79"/>
    <w:rsid w:val="11845F00"/>
    <w:rsid w:val="11885DD3"/>
    <w:rsid w:val="118A58E4"/>
    <w:rsid w:val="118C56EA"/>
    <w:rsid w:val="118F0DB3"/>
    <w:rsid w:val="11916F88"/>
    <w:rsid w:val="11A51BB6"/>
    <w:rsid w:val="11AC6860"/>
    <w:rsid w:val="11B1238B"/>
    <w:rsid w:val="11B62D0B"/>
    <w:rsid w:val="11BB2EE7"/>
    <w:rsid w:val="11BE6E3E"/>
    <w:rsid w:val="11BF32D9"/>
    <w:rsid w:val="11C01746"/>
    <w:rsid w:val="11C24AE6"/>
    <w:rsid w:val="11C52A21"/>
    <w:rsid w:val="11C75474"/>
    <w:rsid w:val="11D26FDB"/>
    <w:rsid w:val="11D435B9"/>
    <w:rsid w:val="11D8409F"/>
    <w:rsid w:val="11D95083"/>
    <w:rsid w:val="11DD2AAB"/>
    <w:rsid w:val="11DE26F2"/>
    <w:rsid w:val="11DF6987"/>
    <w:rsid w:val="11EA23C8"/>
    <w:rsid w:val="11EB5C95"/>
    <w:rsid w:val="11ED6242"/>
    <w:rsid w:val="11F27C95"/>
    <w:rsid w:val="12010E7D"/>
    <w:rsid w:val="120506CD"/>
    <w:rsid w:val="12075A2C"/>
    <w:rsid w:val="120A0C4D"/>
    <w:rsid w:val="120A38DA"/>
    <w:rsid w:val="12101A57"/>
    <w:rsid w:val="12193170"/>
    <w:rsid w:val="12193813"/>
    <w:rsid w:val="121D6AE3"/>
    <w:rsid w:val="121F75CC"/>
    <w:rsid w:val="12271CB0"/>
    <w:rsid w:val="122C1A12"/>
    <w:rsid w:val="1232130B"/>
    <w:rsid w:val="12330478"/>
    <w:rsid w:val="123338D3"/>
    <w:rsid w:val="12395D63"/>
    <w:rsid w:val="12401AD9"/>
    <w:rsid w:val="124038C8"/>
    <w:rsid w:val="12421E9D"/>
    <w:rsid w:val="1248421F"/>
    <w:rsid w:val="12571C4D"/>
    <w:rsid w:val="125C09FF"/>
    <w:rsid w:val="1260229D"/>
    <w:rsid w:val="12657F0C"/>
    <w:rsid w:val="126830F6"/>
    <w:rsid w:val="126B5207"/>
    <w:rsid w:val="126F57E1"/>
    <w:rsid w:val="12760E78"/>
    <w:rsid w:val="127673DB"/>
    <w:rsid w:val="127755C8"/>
    <w:rsid w:val="127E0189"/>
    <w:rsid w:val="12810A1D"/>
    <w:rsid w:val="12854B81"/>
    <w:rsid w:val="128E070E"/>
    <w:rsid w:val="12927837"/>
    <w:rsid w:val="12957C2C"/>
    <w:rsid w:val="129B0ED7"/>
    <w:rsid w:val="12A30BAA"/>
    <w:rsid w:val="12A709D5"/>
    <w:rsid w:val="12A867C5"/>
    <w:rsid w:val="12B56515"/>
    <w:rsid w:val="12BE11B2"/>
    <w:rsid w:val="12BE1828"/>
    <w:rsid w:val="12C10F70"/>
    <w:rsid w:val="12C21464"/>
    <w:rsid w:val="12C40A29"/>
    <w:rsid w:val="12C42DA1"/>
    <w:rsid w:val="12C45CF0"/>
    <w:rsid w:val="12C948D2"/>
    <w:rsid w:val="12CB14EE"/>
    <w:rsid w:val="12CE6902"/>
    <w:rsid w:val="12D54B1A"/>
    <w:rsid w:val="12E93B89"/>
    <w:rsid w:val="12EE0F39"/>
    <w:rsid w:val="12EF155A"/>
    <w:rsid w:val="12F17350"/>
    <w:rsid w:val="12F712FB"/>
    <w:rsid w:val="12FA0E2E"/>
    <w:rsid w:val="12FF7A62"/>
    <w:rsid w:val="13037A88"/>
    <w:rsid w:val="1318450B"/>
    <w:rsid w:val="133844CA"/>
    <w:rsid w:val="1347596A"/>
    <w:rsid w:val="13477178"/>
    <w:rsid w:val="134B5A55"/>
    <w:rsid w:val="134C0AA1"/>
    <w:rsid w:val="134F5D9B"/>
    <w:rsid w:val="135369A3"/>
    <w:rsid w:val="13576E97"/>
    <w:rsid w:val="136041BC"/>
    <w:rsid w:val="13663337"/>
    <w:rsid w:val="136F4FE6"/>
    <w:rsid w:val="13713F6F"/>
    <w:rsid w:val="13762A14"/>
    <w:rsid w:val="13790756"/>
    <w:rsid w:val="137B6EE7"/>
    <w:rsid w:val="137E2E27"/>
    <w:rsid w:val="138C25C7"/>
    <w:rsid w:val="138E61F6"/>
    <w:rsid w:val="138E741D"/>
    <w:rsid w:val="138F279E"/>
    <w:rsid w:val="1390357D"/>
    <w:rsid w:val="139670E5"/>
    <w:rsid w:val="13970D93"/>
    <w:rsid w:val="139F1C24"/>
    <w:rsid w:val="13A023E7"/>
    <w:rsid w:val="13A04270"/>
    <w:rsid w:val="13A86C77"/>
    <w:rsid w:val="13A90344"/>
    <w:rsid w:val="13A9454D"/>
    <w:rsid w:val="13AA7C1A"/>
    <w:rsid w:val="13B35BBD"/>
    <w:rsid w:val="13BF3D28"/>
    <w:rsid w:val="13C32466"/>
    <w:rsid w:val="13C5566A"/>
    <w:rsid w:val="13C77F07"/>
    <w:rsid w:val="13CE4E2F"/>
    <w:rsid w:val="13CF48B4"/>
    <w:rsid w:val="13E45E4B"/>
    <w:rsid w:val="13E62DA6"/>
    <w:rsid w:val="13EE5B08"/>
    <w:rsid w:val="13F211C8"/>
    <w:rsid w:val="13F5027E"/>
    <w:rsid w:val="13F57229"/>
    <w:rsid w:val="13F60043"/>
    <w:rsid w:val="13F63AC9"/>
    <w:rsid w:val="13FE1F68"/>
    <w:rsid w:val="13FF4761"/>
    <w:rsid w:val="1401651E"/>
    <w:rsid w:val="14065625"/>
    <w:rsid w:val="14127CF3"/>
    <w:rsid w:val="1416357F"/>
    <w:rsid w:val="14175C6D"/>
    <w:rsid w:val="14182B9E"/>
    <w:rsid w:val="141A193D"/>
    <w:rsid w:val="141E08F4"/>
    <w:rsid w:val="14211963"/>
    <w:rsid w:val="14213028"/>
    <w:rsid w:val="142160CA"/>
    <w:rsid w:val="142E4E6B"/>
    <w:rsid w:val="14332094"/>
    <w:rsid w:val="143B554F"/>
    <w:rsid w:val="144128ED"/>
    <w:rsid w:val="144D721A"/>
    <w:rsid w:val="14504C78"/>
    <w:rsid w:val="14552700"/>
    <w:rsid w:val="1455301F"/>
    <w:rsid w:val="145E0ED6"/>
    <w:rsid w:val="145F3E15"/>
    <w:rsid w:val="145F4E9E"/>
    <w:rsid w:val="14662A35"/>
    <w:rsid w:val="1468041E"/>
    <w:rsid w:val="146A5814"/>
    <w:rsid w:val="146D4E79"/>
    <w:rsid w:val="1479121F"/>
    <w:rsid w:val="147C1504"/>
    <w:rsid w:val="148112AD"/>
    <w:rsid w:val="148B2440"/>
    <w:rsid w:val="148B578A"/>
    <w:rsid w:val="14933736"/>
    <w:rsid w:val="149D19D1"/>
    <w:rsid w:val="14AA1497"/>
    <w:rsid w:val="14AD1F0C"/>
    <w:rsid w:val="14AD2447"/>
    <w:rsid w:val="14BD0C90"/>
    <w:rsid w:val="14BD7435"/>
    <w:rsid w:val="14D13225"/>
    <w:rsid w:val="14D41B03"/>
    <w:rsid w:val="14D63FB7"/>
    <w:rsid w:val="14E11E90"/>
    <w:rsid w:val="14E67B5C"/>
    <w:rsid w:val="14EC7262"/>
    <w:rsid w:val="14F50637"/>
    <w:rsid w:val="14F56962"/>
    <w:rsid w:val="14FD3DC3"/>
    <w:rsid w:val="14FE4181"/>
    <w:rsid w:val="15052F44"/>
    <w:rsid w:val="1513143F"/>
    <w:rsid w:val="152446F6"/>
    <w:rsid w:val="15274A34"/>
    <w:rsid w:val="152C74BF"/>
    <w:rsid w:val="152E54C4"/>
    <w:rsid w:val="1535555F"/>
    <w:rsid w:val="15382813"/>
    <w:rsid w:val="154B27A9"/>
    <w:rsid w:val="154B6CF6"/>
    <w:rsid w:val="154D1CF1"/>
    <w:rsid w:val="15516306"/>
    <w:rsid w:val="155B06BC"/>
    <w:rsid w:val="155B6FCC"/>
    <w:rsid w:val="15620F8B"/>
    <w:rsid w:val="156514F3"/>
    <w:rsid w:val="15657023"/>
    <w:rsid w:val="156B264F"/>
    <w:rsid w:val="15707694"/>
    <w:rsid w:val="157477F0"/>
    <w:rsid w:val="157839EE"/>
    <w:rsid w:val="157F4B83"/>
    <w:rsid w:val="15862A25"/>
    <w:rsid w:val="15864057"/>
    <w:rsid w:val="158A2F64"/>
    <w:rsid w:val="158C53F6"/>
    <w:rsid w:val="15946EC2"/>
    <w:rsid w:val="1594709F"/>
    <w:rsid w:val="159B1410"/>
    <w:rsid w:val="159D2E6C"/>
    <w:rsid w:val="159E4A3E"/>
    <w:rsid w:val="15A412DF"/>
    <w:rsid w:val="15A625C0"/>
    <w:rsid w:val="15A70541"/>
    <w:rsid w:val="15A7643A"/>
    <w:rsid w:val="15AD4348"/>
    <w:rsid w:val="15AD7612"/>
    <w:rsid w:val="15B96153"/>
    <w:rsid w:val="15BC619F"/>
    <w:rsid w:val="15BD0132"/>
    <w:rsid w:val="15BF618A"/>
    <w:rsid w:val="15C256BE"/>
    <w:rsid w:val="15C40EFF"/>
    <w:rsid w:val="15CA097E"/>
    <w:rsid w:val="15D33940"/>
    <w:rsid w:val="15D92955"/>
    <w:rsid w:val="15F5535B"/>
    <w:rsid w:val="15F569FA"/>
    <w:rsid w:val="15F656C7"/>
    <w:rsid w:val="15F85F00"/>
    <w:rsid w:val="15F969EC"/>
    <w:rsid w:val="16005D04"/>
    <w:rsid w:val="160628EA"/>
    <w:rsid w:val="1607152F"/>
    <w:rsid w:val="160D7883"/>
    <w:rsid w:val="160E7A4D"/>
    <w:rsid w:val="16104DB0"/>
    <w:rsid w:val="16120AEC"/>
    <w:rsid w:val="1613433D"/>
    <w:rsid w:val="16200AF2"/>
    <w:rsid w:val="162A2BA0"/>
    <w:rsid w:val="162E270B"/>
    <w:rsid w:val="162E2ADD"/>
    <w:rsid w:val="16313AA6"/>
    <w:rsid w:val="163267A4"/>
    <w:rsid w:val="163C0B35"/>
    <w:rsid w:val="16405266"/>
    <w:rsid w:val="164561DB"/>
    <w:rsid w:val="1651617C"/>
    <w:rsid w:val="165A2EC2"/>
    <w:rsid w:val="16672683"/>
    <w:rsid w:val="166852CC"/>
    <w:rsid w:val="16696EE3"/>
    <w:rsid w:val="16713663"/>
    <w:rsid w:val="167518D2"/>
    <w:rsid w:val="167B69FF"/>
    <w:rsid w:val="168864E9"/>
    <w:rsid w:val="16900241"/>
    <w:rsid w:val="16907088"/>
    <w:rsid w:val="1697702E"/>
    <w:rsid w:val="169A4327"/>
    <w:rsid w:val="169D4FCC"/>
    <w:rsid w:val="16A26D59"/>
    <w:rsid w:val="16A31912"/>
    <w:rsid w:val="16A52825"/>
    <w:rsid w:val="16A56817"/>
    <w:rsid w:val="16A60389"/>
    <w:rsid w:val="16AC66DD"/>
    <w:rsid w:val="16AD326E"/>
    <w:rsid w:val="16B06BAD"/>
    <w:rsid w:val="16B17712"/>
    <w:rsid w:val="16B95CF7"/>
    <w:rsid w:val="16BC6189"/>
    <w:rsid w:val="16C42B77"/>
    <w:rsid w:val="16D55B33"/>
    <w:rsid w:val="16D74218"/>
    <w:rsid w:val="16DD2E8B"/>
    <w:rsid w:val="16E376E7"/>
    <w:rsid w:val="16E40C30"/>
    <w:rsid w:val="16E72981"/>
    <w:rsid w:val="16EA1CE7"/>
    <w:rsid w:val="16EB66D9"/>
    <w:rsid w:val="16EE35CD"/>
    <w:rsid w:val="16F47BF5"/>
    <w:rsid w:val="16F500A9"/>
    <w:rsid w:val="16F872C3"/>
    <w:rsid w:val="16FA06E3"/>
    <w:rsid w:val="1701047D"/>
    <w:rsid w:val="170167F2"/>
    <w:rsid w:val="17035AAC"/>
    <w:rsid w:val="17054499"/>
    <w:rsid w:val="170B0BD9"/>
    <w:rsid w:val="170D5EDA"/>
    <w:rsid w:val="17182913"/>
    <w:rsid w:val="17197EC3"/>
    <w:rsid w:val="171E08F7"/>
    <w:rsid w:val="171E2D1A"/>
    <w:rsid w:val="172E1BBE"/>
    <w:rsid w:val="17377B8C"/>
    <w:rsid w:val="173A6824"/>
    <w:rsid w:val="173B1FA1"/>
    <w:rsid w:val="173C594E"/>
    <w:rsid w:val="173D1596"/>
    <w:rsid w:val="173D2EC3"/>
    <w:rsid w:val="1748452F"/>
    <w:rsid w:val="17503F57"/>
    <w:rsid w:val="17505DD6"/>
    <w:rsid w:val="17586CB0"/>
    <w:rsid w:val="17596CA9"/>
    <w:rsid w:val="17600681"/>
    <w:rsid w:val="176142CC"/>
    <w:rsid w:val="176522E6"/>
    <w:rsid w:val="17665D9F"/>
    <w:rsid w:val="17694484"/>
    <w:rsid w:val="176958FE"/>
    <w:rsid w:val="17696EA4"/>
    <w:rsid w:val="17795030"/>
    <w:rsid w:val="177B0627"/>
    <w:rsid w:val="177D3C16"/>
    <w:rsid w:val="1783099B"/>
    <w:rsid w:val="178501CB"/>
    <w:rsid w:val="178A042D"/>
    <w:rsid w:val="178A1F82"/>
    <w:rsid w:val="17916104"/>
    <w:rsid w:val="17920EA7"/>
    <w:rsid w:val="1797450B"/>
    <w:rsid w:val="17985148"/>
    <w:rsid w:val="17A644BF"/>
    <w:rsid w:val="17A90C9E"/>
    <w:rsid w:val="17A92F07"/>
    <w:rsid w:val="17A93B09"/>
    <w:rsid w:val="17B23E0F"/>
    <w:rsid w:val="17B31B32"/>
    <w:rsid w:val="17B80549"/>
    <w:rsid w:val="17BD6166"/>
    <w:rsid w:val="17C063A0"/>
    <w:rsid w:val="17C16366"/>
    <w:rsid w:val="17C76A67"/>
    <w:rsid w:val="17CA22FD"/>
    <w:rsid w:val="17CF3A14"/>
    <w:rsid w:val="17DA0F7A"/>
    <w:rsid w:val="17DC2D7F"/>
    <w:rsid w:val="17E95276"/>
    <w:rsid w:val="17E963D1"/>
    <w:rsid w:val="17EA38A1"/>
    <w:rsid w:val="17EB77A3"/>
    <w:rsid w:val="17EC5E41"/>
    <w:rsid w:val="17F8667B"/>
    <w:rsid w:val="17FC7C84"/>
    <w:rsid w:val="18060D81"/>
    <w:rsid w:val="1806537C"/>
    <w:rsid w:val="18066C18"/>
    <w:rsid w:val="1809630E"/>
    <w:rsid w:val="181A7494"/>
    <w:rsid w:val="181C2683"/>
    <w:rsid w:val="181E4167"/>
    <w:rsid w:val="18324998"/>
    <w:rsid w:val="18341D76"/>
    <w:rsid w:val="18351C27"/>
    <w:rsid w:val="18553A22"/>
    <w:rsid w:val="18590E01"/>
    <w:rsid w:val="18607956"/>
    <w:rsid w:val="1866144B"/>
    <w:rsid w:val="186E420E"/>
    <w:rsid w:val="187941B7"/>
    <w:rsid w:val="187A14AA"/>
    <w:rsid w:val="187B7B4F"/>
    <w:rsid w:val="1887188F"/>
    <w:rsid w:val="188900DF"/>
    <w:rsid w:val="18935E66"/>
    <w:rsid w:val="18A35548"/>
    <w:rsid w:val="18A63203"/>
    <w:rsid w:val="18A77689"/>
    <w:rsid w:val="18A816B2"/>
    <w:rsid w:val="18AC4CDE"/>
    <w:rsid w:val="18B25B64"/>
    <w:rsid w:val="18B8431F"/>
    <w:rsid w:val="18B90C48"/>
    <w:rsid w:val="18BC4ADF"/>
    <w:rsid w:val="18BD1521"/>
    <w:rsid w:val="18BD2E66"/>
    <w:rsid w:val="18BE7EAB"/>
    <w:rsid w:val="18CF2450"/>
    <w:rsid w:val="18D7372F"/>
    <w:rsid w:val="18DA12E6"/>
    <w:rsid w:val="18DD12E4"/>
    <w:rsid w:val="18E261B8"/>
    <w:rsid w:val="18E62F4B"/>
    <w:rsid w:val="18E85386"/>
    <w:rsid w:val="18FC503B"/>
    <w:rsid w:val="1901626E"/>
    <w:rsid w:val="19027C40"/>
    <w:rsid w:val="19087B90"/>
    <w:rsid w:val="190948C3"/>
    <w:rsid w:val="190E3326"/>
    <w:rsid w:val="190E3538"/>
    <w:rsid w:val="19164D1E"/>
    <w:rsid w:val="191C588D"/>
    <w:rsid w:val="192152C2"/>
    <w:rsid w:val="192502DE"/>
    <w:rsid w:val="1927395B"/>
    <w:rsid w:val="192D514C"/>
    <w:rsid w:val="193544CD"/>
    <w:rsid w:val="19443AA2"/>
    <w:rsid w:val="1945355B"/>
    <w:rsid w:val="194817FC"/>
    <w:rsid w:val="194A0D45"/>
    <w:rsid w:val="194A2ADB"/>
    <w:rsid w:val="195159CB"/>
    <w:rsid w:val="195961D5"/>
    <w:rsid w:val="195C14E8"/>
    <w:rsid w:val="195D3491"/>
    <w:rsid w:val="196515C3"/>
    <w:rsid w:val="197859DA"/>
    <w:rsid w:val="1980769C"/>
    <w:rsid w:val="19884F66"/>
    <w:rsid w:val="198F181A"/>
    <w:rsid w:val="198F1E18"/>
    <w:rsid w:val="19917CFC"/>
    <w:rsid w:val="199624F4"/>
    <w:rsid w:val="1997576B"/>
    <w:rsid w:val="1998697F"/>
    <w:rsid w:val="199A20B4"/>
    <w:rsid w:val="19A71B82"/>
    <w:rsid w:val="19B7492C"/>
    <w:rsid w:val="19B84C88"/>
    <w:rsid w:val="19BB08C0"/>
    <w:rsid w:val="19C6694E"/>
    <w:rsid w:val="19CC0DE5"/>
    <w:rsid w:val="19D11E61"/>
    <w:rsid w:val="19D5618C"/>
    <w:rsid w:val="19E22401"/>
    <w:rsid w:val="19E23808"/>
    <w:rsid w:val="19F44B16"/>
    <w:rsid w:val="19F538D5"/>
    <w:rsid w:val="19FF0B74"/>
    <w:rsid w:val="1A00532F"/>
    <w:rsid w:val="1A040FBD"/>
    <w:rsid w:val="1A067DCA"/>
    <w:rsid w:val="1A0A198C"/>
    <w:rsid w:val="1A102A1C"/>
    <w:rsid w:val="1A13214F"/>
    <w:rsid w:val="1A3D169F"/>
    <w:rsid w:val="1A434C13"/>
    <w:rsid w:val="1A4E18BB"/>
    <w:rsid w:val="1A5C550E"/>
    <w:rsid w:val="1A5E5759"/>
    <w:rsid w:val="1A61514E"/>
    <w:rsid w:val="1A624E9D"/>
    <w:rsid w:val="1A6F769D"/>
    <w:rsid w:val="1A712AE5"/>
    <w:rsid w:val="1A74386E"/>
    <w:rsid w:val="1A783427"/>
    <w:rsid w:val="1A7B0419"/>
    <w:rsid w:val="1A8A143B"/>
    <w:rsid w:val="1A954C9C"/>
    <w:rsid w:val="1AA67BD3"/>
    <w:rsid w:val="1AB617F5"/>
    <w:rsid w:val="1AC70097"/>
    <w:rsid w:val="1ACC39D6"/>
    <w:rsid w:val="1ADD5293"/>
    <w:rsid w:val="1ADE0868"/>
    <w:rsid w:val="1AF7489C"/>
    <w:rsid w:val="1AF86B17"/>
    <w:rsid w:val="1AFA3523"/>
    <w:rsid w:val="1AFD3AEA"/>
    <w:rsid w:val="1B0407DF"/>
    <w:rsid w:val="1B05238D"/>
    <w:rsid w:val="1B0C44A5"/>
    <w:rsid w:val="1B13587B"/>
    <w:rsid w:val="1B1D44BA"/>
    <w:rsid w:val="1B275D4E"/>
    <w:rsid w:val="1B2C07D2"/>
    <w:rsid w:val="1B2C5EE0"/>
    <w:rsid w:val="1B33077D"/>
    <w:rsid w:val="1B3604D3"/>
    <w:rsid w:val="1B364D11"/>
    <w:rsid w:val="1B3865C6"/>
    <w:rsid w:val="1B3E5EDE"/>
    <w:rsid w:val="1B420F74"/>
    <w:rsid w:val="1B433153"/>
    <w:rsid w:val="1B467529"/>
    <w:rsid w:val="1B4B00CA"/>
    <w:rsid w:val="1B566C78"/>
    <w:rsid w:val="1B5F1247"/>
    <w:rsid w:val="1B6307EA"/>
    <w:rsid w:val="1B717940"/>
    <w:rsid w:val="1B79696C"/>
    <w:rsid w:val="1B7E1824"/>
    <w:rsid w:val="1B825166"/>
    <w:rsid w:val="1B890C23"/>
    <w:rsid w:val="1B9411FC"/>
    <w:rsid w:val="1B972987"/>
    <w:rsid w:val="1B9D6CE8"/>
    <w:rsid w:val="1BA63F57"/>
    <w:rsid w:val="1BA866D1"/>
    <w:rsid w:val="1BBB422B"/>
    <w:rsid w:val="1BC600B5"/>
    <w:rsid w:val="1BCC6C51"/>
    <w:rsid w:val="1BCD55F8"/>
    <w:rsid w:val="1BD1784D"/>
    <w:rsid w:val="1BE011AE"/>
    <w:rsid w:val="1BE02AAF"/>
    <w:rsid w:val="1BE30F90"/>
    <w:rsid w:val="1BE31093"/>
    <w:rsid w:val="1BE461F3"/>
    <w:rsid w:val="1BE72D92"/>
    <w:rsid w:val="1BE956C8"/>
    <w:rsid w:val="1C022294"/>
    <w:rsid w:val="1C0B35D4"/>
    <w:rsid w:val="1C12573D"/>
    <w:rsid w:val="1C1D1EE2"/>
    <w:rsid w:val="1C1E2D21"/>
    <w:rsid w:val="1C234861"/>
    <w:rsid w:val="1C2E319B"/>
    <w:rsid w:val="1C3477C5"/>
    <w:rsid w:val="1C350829"/>
    <w:rsid w:val="1C4F6563"/>
    <w:rsid w:val="1C545F3D"/>
    <w:rsid w:val="1C556488"/>
    <w:rsid w:val="1C56072A"/>
    <w:rsid w:val="1C563FE3"/>
    <w:rsid w:val="1C5A182A"/>
    <w:rsid w:val="1C612884"/>
    <w:rsid w:val="1C62402E"/>
    <w:rsid w:val="1C62587C"/>
    <w:rsid w:val="1C6818E0"/>
    <w:rsid w:val="1C6F3BF6"/>
    <w:rsid w:val="1C722E7E"/>
    <w:rsid w:val="1C784A9F"/>
    <w:rsid w:val="1C7D008B"/>
    <w:rsid w:val="1C7D2EB6"/>
    <w:rsid w:val="1C805B43"/>
    <w:rsid w:val="1C852BB0"/>
    <w:rsid w:val="1C8D54A8"/>
    <w:rsid w:val="1C8D59DD"/>
    <w:rsid w:val="1C8E63A1"/>
    <w:rsid w:val="1C9651FD"/>
    <w:rsid w:val="1C9C41C6"/>
    <w:rsid w:val="1CA41B36"/>
    <w:rsid w:val="1CA42FB6"/>
    <w:rsid w:val="1CAF4AE5"/>
    <w:rsid w:val="1CB21A29"/>
    <w:rsid w:val="1CBA12BF"/>
    <w:rsid w:val="1CCB32EE"/>
    <w:rsid w:val="1CCD4A46"/>
    <w:rsid w:val="1CD23361"/>
    <w:rsid w:val="1CD35882"/>
    <w:rsid w:val="1CE302F7"/>
    <w:rsid w:val="1CEC4F96"/>
    <w:rsid w:val="1CF139EE"/>
    <w:rsid w:val="1CF13B49"/>
    <w:rsid w:val="1CF52075"/>
    <w:rsid w:val="1CF70EE3"/>
    <w:rsid w:val="1CFE7E6D"/>
    <w:rsid w:val="1D011F4C"/>
    <w:rsid w:val="1D0D1F95"/>
    <w:rsid w:val="1D1C7AC2"/>
    <w:rsid w:val="1D1D6A85"/>
    <w:rsid w:val="1D207BFC"/>
    <w:rsid w:val="1D230741"/>
    <w:rsid w:val="1D2F0DCA"/>
    <w:rsid w:val="1D397D96"/>
    <w:rsid w:val="1D3A5DFA"/>
    <w:rsid w:val="1D3E30CF"/>
    <w:rsid w:val="1D3E57BA"/>
    <w:rsid w:val="1D3F5BF4"/>
    <w:rsid w:val="1D49558F"/>
    <w:rsid w:val="1D4A5741"/>
    <w:rsid w:val="1D4B1AFF"/>
    <w:rsid w:val="1D4B4B5A"/>
    <w:rsid w:val="1D5350C2"/>
    <w:rsid w:val="1D584348"/>
    <w:rsid w:val="1D597DDF"/>
    <w:rsid w:val="1D5D209F"/>
    <w:rsid w:val="1D65312D"/>
    <w:rsid w:val="1D6D4785"/>
    <w:rsid w:val="1D6E27CD"/>
    <w:rsid w:val="1D727268"/>
    <w:rsid w:val="1D747A6E"/>
    <w:rsid w:val="1D767ADA"/>
    <w:rsid w:val="1D7A0D45"/>
    <w:rsid w:val="1D845021"/>
    <w:rsid w:val="1D861B2D"/>
    <w:rsid w:val="1D896FB3"/>
    <w:rsid w:val="1D91741D"/>
    <w:rsid w:val="1D9318C5"/>
    <w:rsid w:val="1D941B55"/>
    <w:rsid w:val="1DA8115B"/>
    <w:rsid w:val="1DAB7998"/>
    <w:rsid w:val="1DB01072"/>
    <w:rsid w:val="1DB2076E"/>
    <w:rsid w:val="1DB43F2E"/>
    <w:rsid w:val="1DBE6DCD"/>
    <w:rsid w:val="1DC2628A"/>
    <w:rsid w:val="1DCF57CE"/>
    <w:rsid w:val="1DCF7FF5"/>
    <w:rsid w:val="1DD11EB5"/>
    <w:rsid w:val="1DD246EC"/>
    <w:rsid w:val="1DD63079"/>
    <w:rsid w:val="1DD859F5"/>
    <w:rsid w:val="1DDA6EEA"/>
    <w:rsid w:val="1DDB37BE"/>
    <w:rsid w:val="1DDD63A7"/>
    <w:rsid w:val="1DE56ABE"/>
    <w:rsid w:val="1DFC4DF9"/>
    <w:rsid w:val="1E0435A0"/>
    <w:rsid w:val="1E110D2A"/>
    <w:rsid w:val="1E1247A2"/>
    <w:rsid w:val="1E155062"/>
    <w:rsid w:val="1E193E9C"/>
    <w:rsid w:val="1E1B38E9"/>
    <w:rsid w:val="1E1B7186"/>
    <w:rsid w:val="1E303EF3"/>
    <w:rsid w:val="1E3065F6"/>
    <w:rsid w:val="1E3303CE"/>
    <w:rsid w:val="1E3835D5"/>
    <w:rsid w:val="1E3F6D05"/>
    <w:rsid w:val="1E494B8A"/>
    <w:rsid w:val="1E4F0222"/>
    <w:rsid w:val="1E5C2AF3"/>
    <w:rsid w:val="1E795C41"/>
    <w:rsid w:val="1E7E640D"/>
    <w:rsid w:val="1E7F3A72"/>
    <w:rsid w:val="1E8064D3"/>
    <w:rsid w:val="1E861E21"/>
    <w:rsid w:val="1EA72270"/>
    <w:rsid w:val="1EBD6E42"/>
    <w:rsid w:val="1EBF2B2C"/>
    <w:rsid w:val="1EC25D1C"/>
    <w:rsid w:val="1EC74AB4"/>
    <w:rsid w:val="1EC87ABC"/>
    <w:rsid w:val="1ED242FC"/>
    <w:rsid w:val="1ED56C03"/>
    <w:rsid w:val="1EDA0174"/>
    <w:rsid w:val="1EDA3DBE"/>
    <w:rsid w:val="1EDB3888"/>
    <w:rsid w:val="1EE05F54"/>
    <w:rsid w:val="1EE332A7"/>
    <w:rsid w:val="1EE45C8A"/>
    <w:rsid w:val="1EE94B13"/>
    <w:rsid w:val="1EF579A0"/>
    <w:rsid w:val="1F05532C"/>
    <w:rsid w:val="1F095121"/>
    <w:rsid w:val="1F0C3604"/>
    <w:rsid w:val="1F0D0383"/>
    <w:rsid w:val="1F0F4C7A"/>
    <w:rsid w:val="1F1527EE"/>
    <w:rsid w:val="1F20034A"/>
    <w:rsid w:val="1F251ABC"/>
    <w:rsid w:val="1F290391"/>
    <w:rsid w:val="1F2A2D10"/>
    <w:rsid w:val="1F304386"/>
    <w:rsid w:val="1F330402"/>
    <w:rsid w:val="1F370102"/>
    <w:rsid w:val="1F3F0073"/>
    <w:rsid w:val="1F43546C"/>
    <w:rsid w:val="1F48506F"/>
    <w:rsid w:val="1F4B10C3"/>
    <w:rsid w:val="1F5C7F87"/>
    <w:rsid w:val="1F6C1D79"/>
    <w:rsid w:val="1F792E9A"/>
    <w:rsid w:val="1F7B67F6"/>
    <w:rsid w:val="1F7C518B"/>
    <w:rsid w:val="1F881F59"/>
    <w:rsid w:val="1F8941F6"/>
    <w:rsid w:val="1F971B7F"/>
    <w:rsid w:val="1F977565"/>
    <w:rsid w:val="1F9B644E"/>
    <w:rsid w:val="1FA22246"/>
    <w:rsid w:val="1FA30C43"/>
    <w:rsid w:val="1FA429B4"/>
    <w:rsid w:val="1FAC06FF"/>
    <w:rsid w:val="1FB34801"/>
    <w:rsid w:val="1FB75185"/>
    <w:rsid w:val="1FB758D9"/>
    <w:rsid w:val="1FB9068D"/>
    <w:rsid w:val="1FB97163"/>
    <w:rsid w:val="1FBD0EE6"/>
    <w:rsid w:val="1FC10346"/>
    <w:rsid w:val="1FC16504"/>
    <w:rsid w:val="1FDB745E"/>
    <w:rsid w:val="1FDD028C"/>
    <w:rsid w:val="1FE218C2"/>
    <w:rsid w:val="1FF955B0"/>
    <w:rsid w:val="1FFA3EAB"/>
    <w:rsid w:val="1FFB3FF4"/>
    <w:rsid w:val="1FFC1294"/>
    <w:rsid w:val="1FFC4541"/>
    <w:rsid w:val="200B6448"/>
    <w:rsid w:val="20176E76"/>
    <w:rsid w:val="201C2D60"/>
    <w:rsid w:val="20270162"/>
    <w:rsid w:val="20347311"/>
    <w:rsid w:val="203F0CD6"/>
    <w:rsid w:val="20421E9D"/>
    <w:rsid w:val="204439A4"/>
    <w:rsid w:val="20655E4F"/>
    <w:rsid w:val="20721F6B"/>
    <w:rsid w:val="207308C3"/>
    <w:rsid w:val="207411D3"/>
    <w:rsid w:val="20743131"/>
    <w:rsid w:val="207536DF"/>
    <w:rsid w:val="20783BF9"/>
    <w:rsid w:val="20786435"/>
    <w:rsid w:val="20802CF5"/>
    <w:rsid w:val="20811113"/>
    <w:rsid w:val="208315A1"/>
    <w:rsid w:val="20874766"/>
    <w:rsid w:val="2088281D"/>
    <w:rsid w:val="2088475A"/>
    <w:rsid w:val="20917F9C"/>
    <w:rsid w:val="20930BD1"/>
    <w:rsid w:val="2094661E"/>
    <w:rsid w:val="20951ED4"/>
    <w:rsid w:val="20962536"/>
    <w:rsid w:val="20AF5726"/>
    <w:rsid w:val="20AF5A47"/>
    <w:rsid w:val="20B50E80"/>
    <w:rsid w:val="20B71F63"/>
    <w:rsid w:val="20B7483F"/>
    <w:rsid w:val="20BD02A3"/>
    <w:rsid w:val="20BE1841"/>
    <w:rsid w:val="20D078F3"/>
    <w:rsid w:val="20D200AD"/>
    <w:rsid w:val="20D95B71"/>
    <w:rsid w:val="20DA60A5"/>
    <w:rsid w:val="20DB223A"/>
    <w:rsid w:val="20E51C80"/>
    <w:rsid w:val="20E61367"/>
    <w:rsid w:val="20EC58CB"/>
    <w:rsid w:val="20F17304"/>
    <w:rsid w:val="21007C49"/>
    <w:rsid w:val="21014223"/>
    <w:rsid w:val="21200021"/>
    <w:rsid w:val="21246D4B"/>
    <w:rsid w:val="21257F04"/>
    <w:rsid w:val="21291A31"/>
    <w:rsid w:val="213445FE"/>
    <w:rsid w:val="21353F50"/>
    <w:rsid w:val="2138052E"/>
    <w:rsid w:val="213C3CC5"/>
    <w:rsid w:val="21404767"/>
    <w:rsid w:val="214776EA"/>
    <w:rsid w:val="21522E38"/>
    <w:rsid w:val="2159046C"/>
    <w:rsid w:val="21592762"/>
    <w:rsid w:val="215E62F3"/>
    <w:rsid w:val="215F3A68"/>
    <w:rsid w:val="21611A31"/>
    <w:rsid w:val="21635586"/>
    <w:rsid w:val="21760888"/>
    <w:rsid w:val="217B17E2"/>
    <w:rsid w:val="218810BD"/>
    <w:rsid w:val="218D61A9"/>
    <w:rsid w:val="218F2B85"/>
    <w:rsid w:val="218F6B13"/>
    <w:rsid w:val="218F7263"/>
    <w:rsid w:val="2190117D"/>
    <w:rsid w:val="219015DB"/>
    <w:rsid w:val="219140F2"/>
    <w:rsid w:val="21994057"/>
    <w:rsid w:val="219A79A2"/>
    <w:rsid w:val="219F1479"/>
    <w:rsid w:val="21A34664"/>
    <w:rsid w:val="21B80E8C"/>
    <w:rsid w:val="21B91F5E"/>
    <w:rsid w:val="21C24072"/>
    <w:rsid w:val="21C73828"/>
    <w:rsid w:val="21D55950"/>
    <w:rsid w:val="21D965A1"/>
    <w:rsid w:val="21E11782"/>
    <w:rsid w:val="21E14B35"/>
    <w:rsid w:val="21E617C0"/>
    <w:rsid w:val="21EC3E44"/>
    <w:rsid w:val="21F002DA"/>
    <w:rsid w:val="21F2539C"/>
    <w:rsid w:val="21F533B9"/>
    <w:rsid w:val="21F65A58"/>
    <w:rsid w:val="21FB61D0"/>
    <w:rsid w:val="22034BF9"/>
    <w:rsid w:val="220B3AD6"/>
    <w:rsid w:val="22191ECB"/>
    <w:rsid w:val="221E272E"/>
    <w:rsid w:val="2221560D"/>
    <w:rsid w:val="222A1FFE"/>
    <w:rsid w:val="222B075F"/>
    <w:rsid w:val="22367DC0"/>
    <w:rsid w:val="223C2D91"/>
    <w:rsid w:val="22426753"/>
    <w:rsid w:val="224D7BB0"/>
    <w:rsid w:val="22541D32"/>
    <w:rsid w:val="225474CD"/>
    <w:rsid w:val="225E1754"/>
    <w:rsid w:val="225F0409"/>
    <w:rsid w:val="225F51CF"/>
    <w:rsid w:val="226A54A8"/>
    <w:rsid w:val="226D42BA"/>
    <w:rsid w:val="226D7A71"/>
    <w:rsid w:val="227078B0"/>
    <w:rsid w:val="2271187B"/>
    <w:rsid w:val="22833161"/>
    <w:rsid w:val="228338C8"/>
    <w:rsid w:val="22840DDA"/>
    <w:rsid w:val="22876A0D"/>
    <w:rsid w:val="229C7857"/>
    <w:rsid w:val="22A11695"/>
    <w:rsid w:val="22A63B38"/>
    <w:rsid w:val="22A73490"/>
    <w:rsid w:val="22A8489A"/>
    <w:rsid w:val="22AA7376"/>
    <w:rsid w:val="22AB3B60"/>
    <w:rsid w:val="22AF11A1"/>
    <w:rsid w:val="22B2134F"/>
    <w:rsid w:val="22B22D1F"/>
    <w:rsid w:val="22B33D99"/>
    <w:rsid w:val="22B83EF7"/>
    <w:rsid w:val="22BB4A47"/>
    <w:rsid w:val="22BC2773"/>
    <w:rsid w:val="22BE29D6"/>
    <w:rsid w:val="22C27BE8"/>
    <w:rsid w:val="22C4003E"/>
    <w:rsid w:val="22CB2F4B"/>
    <w:rsid w:val="22D02654"/>
    <w:rsid w:val="22D10E4B"/>
    <w:rsid w:val="22D41929"/>
    <w:rsid w:val="22D7363B"/>
    <w:rsid w:val="22D90210"/>
    <w:rsid w:val="22D912F9"/>
    <w:rsid w:val="22E1284D"/>
    <w:rsid w:val="22E73006"/>
    <w:rsid w:val="22EB3773"/>
    <w:rsid w:val="22EC3898"/>
    <w:rsid w:val="22EE13BE"/>
    <w:rsid w:val="22F31E85"/>
    <w:rsid w:val="22F71A54"/>
    <w:rsid w:val="22F74CC6"/>
    <w:rsid w:val="22FB2321"/>
    <w:rsid w:val="22FF6AA7"/>
    <w:rsid w:val="2306325F"/>
    <w:rsid w:val="230749DA"/>
    <w:rsid w:val="230753E2"/>
    <w:rsid w:val="230E2CD5"/>
    <w:rsid w:val="230F5270"/>
    <w:rsid w:val="2311101C"/>
    <w:rsid w:val="231869B1"/>
    <w:rsid w:val="2319089C"/>
    <w:rsid w:val="231B2491"/>
    <w:rsid w:val="232515D0"/>
    <w:rsid w:val="232F45E5"/>
    <w:rsid w:val="23382F5D"/>
    <w:rsid w:val="233857DC"/>
    <w:rsid w:val="233E2231"/>
    <w:rsid w:val="23443C8F"/>
    <w:rsid w:val="235578EA"/>
    <w:rsid w:val="23561548"/>
    <w:rsid w:val="23561CD1"/>
    <w:rsid w:val="235E47B6"/>
    <w:rsid w:val="23644FB5"/>
    <w:rsid w:val="23646298"/>
    <w:rsid w:val="236B32CC"/>
    <w:rsid w:val="2372506B"/>
    <w:rsid w:val="2376691B"/>
    <w:rsid w:val="2378146C"/>
    <w:rsid w:val="238D2D50"/>
    <w:rsid w:val="238D66BE"/>
    <w:rsid w:val="2390261F"/>
    <w:rsid w:val="23950A55"/>
    <w:rsid w:val="239540DC"/>
    <w:rsid w:val="23965F67"/>
    <w:rsid w:val="23A00272"/>
    <w:rsid w:val="23A02531"/>
    <w:rsid w:val="23A11F4F"/>
    <w:rsid w:val="23A963A4"/>
    <w:rsid w:val="23B41225"/>
    <w:rsid w:val="23BA6237"/>
    <w:rsid w:val="23BC048E"/>
    <w:rsid w:val="23C9616F"/>
    <w:rsid w:val="23CC0919"/>
    <w:rsid w:val="23CE659F"/>
    <w:rsid w:val="23CF7FD3"/>
    <w:rsid w:val="23D4199E"/>
    <w:rsid w:val="23D94F43"/>
    <w:rsid w:val="23DC01C4"/>
    <w:rsid w:val="23DC60E2"/>
    <w:rsid w:val="23E17EC8"/>
    <w:rsid w:val="23E47406"/>
    <w:rsid w:val="23E91B93"/>
    <w:rsid w:val="23F6160A"/>
    <w:rsid w:val="23FA4415"/>
    <w:rsid w:val="23FB72B1"/>
    <w:rsid w:val="24026C92"/>
    <w:rsid w:val="24027DBA"/>
    <w:rsid w:val="240657B6"/>
    <w:rsid w:val="240B36D8"/>
    <w:rsid w:val="240C2CCA"/>
    <w:rsid w:val="240C553C"/>
    <w:rsid w:val="241722EB"/>
    <w:rsid w:val="24193E65"/>
    <w:rsid w:val="241B2B4F"/>
    <w:rsid w:val="242B021E"/>
    <w:rsid w:val="24323334"/>
    <w:rsid w:val="243336DA"/>
    <w:rsid w:val="24373DE9"/>
    <w:rsid w:val="243D6215"/>
    <w:rsid w:val="244F01D0"/>
    <w:rsid w:val="245226BE"/>
    <w:rsid w:val="245550BB"/>
    <w:rsid w:val="245A0102"/>
    <w:rsid w:val="2461318F"/>
    <w:rsid w:val="24662623"/>
    <w:rsid w:val="24673502"/>
    <w:rsid w:val="24676BCD"/>
    <w:rsid w:val="24676F22"/>
    <w:rsid w:val="2468531E"/>
    <w:rsid w:val="246D7EC6"/>
    <w:rsid w:val="24741D21"/>
    <w:rsid w:val="24750E49"/>
    <w:rsid w:val="2479502B"/>
    <w:rsid w:val="2479597F"/>
    <w:rsid w:val="247D3C6E"/>
    <w:rsid w:val="24860612"/>
    <w:rsid w:val="24872D53"/>
    <w:rsid w:val="248E7D90"/>
    <w:rsid w:val="249321BF"/>
    <w:rsid w:val="249C0D83"/>
    <w:rsid w:val="24A033EE"/>
    <w:rsid w:val="24B51B12"/>
    <w:rsid w:val="24C434A5"/>
    <w:rsid w:val="24C92612"/>
    <w:rsid w:val="24CA496C"/>
    <w:rsid w:val="24CB78C2"/>
    <w:rsid w:val="24CC60AA"/>
    <w:rsid w:val="24D35568"/>
    <w:rsid w:val="24D72C44"/>
    <w:rsid w:val="24DB51FA"/>
    <w:rsid w:val="24E954E0"/>
    <w:rsid w:val="24F37FEF"/>
    <w:rsid w:val="24F82FB3"/>
    <w:rsid w:val="2501080F"/>
    <w:rsid w:val="2504405A"/>
    <w:rsid w:val="251809ED"/>
    <w:rsid w:val="251B27EB"/>
    <w:rsid w:val="25241C4A"/>
    <w:rsid w:val="25265A8E"/>
    <w:rsid w:val="252A5159"/>
    <w:rsid w:val="25364407"/>
    <w:rsid w:val="25380B4A"/>
    <w:rsid w:val="253C2F3D"/>
    <w:rsid w:val="253C65AF"/>
    <w:rsid w:val="25410D56"/>
    <w:rsid w:val="254D55BA"/>
    <w:rsid w:val="254F6D5C"/>
    <w:rsid w:val="25644E19"/>
    <w:rsid w:val="256F1EB3"/>
    <w:rsid w:val="25720D21"/>
    <w:rsid w:val="257B7A7B"/>
    <w:rsid w:val="257C63F7"/>
    <w:rsid w:val="257E458B"/>
    <w:rsid w:val="258426BC"/>
    <w:rsid w:val="25867F54"/>
    <w:rsid w:val="25873766"/>
    <w:rsid w:val="258B4AE4"/>
    <w:rsid w:val="258C3B89"/>
    <w:rsid w:val="258C6B00"/>
    <w:rsid w:val="258F1E2E"/>
    <w:rsid w:val="259114ED"/>
    <w:rsid w:val="2593720A"/>
    <w:rsid w:val="25996F48"/>
    <w:rsid w:val="259A3CB2"/>
    <w:rsid w:val="259E4C39"/>
    <w:rsid w:val="259E5828"/>
    <w:rsid w:val="25A035EC"/>
    <w:rsid w:val="25A24497"/>
    <w:rsid w:val="25A45B04"/>
    <w:rsid w:val="25A92B92"/>
    <w:rsid w:val="25AB0A3D"/>
    <w:rsid w:val="25AC370D"/>
    <w:rsid w:val="25B22B68"/>
    <w:rsid w:val="25B5218E"/>
    <w:rsid w:val="25B824AD"/>
    <w:rsid w:val="25BF3BCD"/>
    <w:rsid w:val="25C15D16"/>
    <w:rsid w:val="25C55B83"/>
    <w:rsid w:val="25CD5BF1"/>
    <w:rsid w:val="25CD62C3"/>
    <w:rsid w:val="25D31208"/>
    <w:rsid w:val="25DA65CA"/>
    <w:rsid w:val="25DB6649"/>
    <w:rsid w:val="25DC1D12"/>
    <w:rsid w:val="25DD0809"/>
    <w:rsid w:val="25E27416"/>
    <w:rsid w:val="25E46656"/>
    <w:rsid w:val="25E47484"/>
    <w:rsid w:val="25E92FBE"/>
    <w:rsid w:val="25F17275"/>
    <w:rsid w:val="25F31E31"/>
    <w:rsid w:val="25F70EE4"/>
    <w:rsid w:val="25F83FB0"/>
    <w:rsid w:val="25FC0B75"/>
    <w:rsid w:val="26006C23"/>
    <w:rsid w:val="260139F3"/>
    <w:rsid w:val="260556D5"/>
    <w:rsid w:val="26080DD9"/>
    <w:rsid w:val="26082798"/>
    <w:rsid w:val="260830B3"/>
    <w:rsid w:val="26095114"/>
    <w:rsid w:val="260E454E"/>
    <w:rsid w:val="26132277"/>
    <w:rsid w:val="261464EE"/>
    <w:rsid w:val="26280E6C"/>
    <w:rsid w:val="262E05B0"/>
    <w:rsid w:val="26327A25"/>
    <w:rsid w:val="26331CBB"/>
    <w:rsid w:val="26372014"/>
    <w:rsid w:val="263C3D6D"/>
    <w:rsid w:val="263E0859"/>
    <w:rsid w:val="263E1A96"/>
    <w:rsid w:val="26405937"/>
    <w:rsid w:val="26433FB7"/>
    <w:rsid w:val="26452DA3"/>
    <w:rsid w:val="26474B98"/>
    <w:rsid w:val="264D3294"/>
    <w:rsid w:val="264E03C6"/>
    <w:rsid w:val="266A2AD6"/>
    <w:rsid w:val="266C2FED"/>
    <w:rsid w:val="26783498"/>
    <w:rsid w:val="267A33D1"/>
    <w:rsid w:val="268246BC"/>
    <w:rsid w:val="268850D6"/>
    <w:rsid w:val="268B7473"/>
    <w:rsid w:val="26952295"/>
    <w:rsid w:val="269626DF"/>
    <w:rsid w:val="269B7137"/>
    <w:rsid w:val="26A265DC"/>
    <w:rsid w:val="26AE5F52"/>
    <w:rsid w:val="26AE6F7F"/>
    <w:rsid w:val="26B32654"/>
    <w:rsid w:val="26B40C48"/>
    <w:rsid w:val="26B8056C"/>
    <w:rsid w:val="26C87742"/>
    <w:rsid w:val="26D00BF3"/>
    <w:rsid w:val="26E272BC"/>
    <w:rsid w:val="26E33E5B"/>
    <w:rsid w:val="26E70CA8"/>
    <w:rsid w:val="26EA7605"/>
    <w:rsid w:val="26EB47D6"/>
    <w:rsid w:val="26F17CAD"/>
    <w:rsid w:val="26F51567"/>
    <w:rsid w:val="26F54808"/>
    <w:rsid w:val="26F81366"/>
    <w:rsid w:val="26FB5D95"/>
    <w:rsid w:val="26FC2F8C"/>
    <w:rsid w:val="27094F93"/>
    <w:rsid w:val="270E05C8"/>
    <w:rsid w:val="27101BFD"/>
    <w:rsid w:val="27172021"/>
    <w:rsid w:val="27190D99"/>
    <w:rsid w:val="271927EF"/>
    <w:rsid w:val="271A253D"/>
    <w:rsid w:val="271A4B23"/>
    <w:rsid w:val="271C2CE9"/>
    <w:rsid w:val="27235746"/>
    <w:rsid w:val="273E49F4"/>
    <w:rsid w:val="274321B1"/>
    <w:rsid w:val="27450C2D"/>
    <w:rsid w:val="274525DC"/>
    <w:rsid w:val="274652E6"/>
    <w:rsid w:val="27470851"/>
    <w:rsid w:val="27480748"/>
    <w:rsid w:val="274900F9"/>
    <w:rsid w:val="274E0335"/>
    <w:rsid w:val="275D1356"/>
    <w:rsid w:val="275D186B"/>
    <w:rsid w:val="275D4A89"/>
    <w:rsid w:val="27625310"/>
    <w:rsid w:val="27641213"/>
    <w:rsid w:val="277A2EC6"/>
    <w:rsid w:val="277E3D2C"/>
    <w:rsid w:val="27841ADD"/>
    <w:rsid w:val="278B7262"/>
    <w:rsid w:val="278E7D5F"/>
    <w:rsid w:val="279429E3"/>
    <w:rsid w:val="27966F4A"/>
    <w:rsid w:val="27A74D7A"/>
    <w:rsid w:val="27A75735"/>
    <w:rsid w:val="27A91AD2"/>
    <w:rsid w:val="27AE6E2D"/>
    <w:rsid w:val="27AF57B8"/>
    <w:rsid w:val="27B24596"/>
    <w:rsid w:val="27B25FFF"/>
    <w:rsid w:val="27B82A21"/>
    <w:rsid w:val="27BA12A7"/>
    <w:rsid w:val="27BA6BC4"/>
    <w:rsid w:val="27BC2EEA"/>
    <w:rsid w:val="27C93064"/>
    <w:rsid w:val="27C96B67"/>
    <w:rsid w:val="27CB38EC"/>
    <w:rsid w:val="27CB5FF9"/>
    <w:rsid w:val="27CC0A3D"/>
    <w:rsid w:val="27D34267"/>
    <w:rsid w:val="27D62E6F"/>
    <w:rsid w:val="27D745E8"/>
    <w:rsid w:val="27E4169F"/>
    <w:rsid w:val="27E476BC"/>
    <w:rsid w:val="27E7338B"/>
    <w:rsid w:val="27EA3B97"/>
    <w:rsid w:val="27EF0430"/>
    <w:rsid w:val="27F31225"/>
    <w:rsid w:val="27F32107"/>
    <w:rsid w:val="27F851C0"/>
    <w:rsid w:val="27FA5F82"/>
    <w:rsid w:val="28014303"/>
    <w:rsid w:val="280410A7"/>
    <w:rsid w:val="2809034F"/>
    <w:rsid w:val="28152D65"/>
    <w:rsid w:val="281713C1"/>
    <w:rsid w:val="281C4FE1"/>
    <w:rsid w:val="28201807"/>
    <w:rsid w:val="28202089"/>
    <w:rsid w:val="28210C3B"/>
    <w:rsid w:val="282136DB"/>
    <w:rsid w:val="282408A9"/>
    <w:rsid w:val="2833186C"/>
    <w:rsid w:val="283E3927"/>
    <w:rsid w:val="28432F7C"/>
    <w:rsid w:val="285065F4"/>
    <w:rsid w:val="28557C44"/>
    <w:rsid w:val="28564AD0"/>
    <w:rsid w:val="285E1540"/>
    <w:rsid w:val="285E4E49"/>
    <w:rsid w:val="28634EA7"/>
    <w:rsid w:val="2868554F"/>
    <w:rsid w:val="286A70A6"/>
    <w:rsid w:val="286B31A7"/>
    <w:rsid w:val="286D715D"/>
    <w:rsid w:val="286F13E7"/>
    <w:rsid w:val="28707EB9"/>
    <w:rsid w:val="28710251"/>
    <w:rsid w:val="287270BD"/>
    <w:rsid w:val="287508F6"/>
    <w:rsid w:val="288C7056"/>
    <w:rsid w:val="288F598A"/>
    <w:rsid w:val="289910F7"/>
    <w:rsid w:val="28A14F66"/>
    <w:rsid w:val="28A4234C"/>
    <w:rsid w:val="28A63531"/>
    <w:rsid w:val="28A773FC"/>
    <w:rsid w:val="28CA5B35"/>
    <w:rsid w:val="28D02425"/>
    <w:rsid w:val="28D36FD2"/>
    <w:rsid w:val="28D527CA"/>
    <w:rsid w:val="28DB1A3D"/>
    <w:rsid w:val="28F133CC"/>
    <w:rsid w:val="28F729CE"/>
    <w:rsid w:val="28F934CA"/>
    <w:rsid w:val="28FA5F7F"/>
    <w:rsid w:val="29056F59"/>
    <w:rsid w:val="2907017C"/>
    <w:rsid w:val="29094B16"/>
    <w:rsid w:val="291218C3"/>
    <w:rsid w:val="2912731C"/>
    <w:rsid w:val="29150A19"/>
    <w:rsid w:val="29157321"/>
    <w:rsid w:val="291F35AA"/>
    <w:rsid w:val="2925391D"/>
    <w:rsid w:val="292B0670"/>
    <w:rsid w:val="292E0A29"/>
    <w:rsid w:val="29325A72"/>
    <w:rsid w:val="2938341E"/>
    <w:rsid w:val="293A10FF"/>
    <w:rsid w:val="293A6E92"/>
    <w:rsid w:val="29566904"/>
    <w:rsid w:val="29582224"/>
    <w:rsid w:val="29585835"/>
    <w:rsid w:val="296074D7"/>
    <w:rsid w:val="29692EBD"/>
    <w:rsid w:val="29712D8F"/>
    <w:rsid w:val="29736267"/>
    <w:rsid w:val="297B31D3"/>
    <w:rsid w:val="298103BD"/>
    <w:rsid w:val="298412A3"/>
    <w:rsid w:val="298D4850"/>
    <w:rsid w:val="29966295"/>
    <w:rsid w:val="29971F57"/>
    <w:rsid w:val="299C7DCA"/>
    <w:rsid w:val="29A021A8"/>
    <w:rsid w:val="29A942FB"/>
    <w:rsid w:val="29A94F7F"/>
    <w:rsid w:val="29B344DC"/>
    <w:rsid w:val="29B539E6"/>
    <w:rsid w:val="29BA1399"/>
    <w:rsid w:val="29BC2699"/>
    <w:rsid w:val="29C8428C"/>
    <w:rsid w:val="29D4298C"/>
    <w:rsid w:val="29DD7E33"/>
    <w:rsid w:val="29E31C9C"/>
    <w:rsid w:val="29E55C12"/>
    <w:rsid w:val="29E81D60"/>
    <w:rsid w:val="29F035C0"/>
    <w:rsid w:val="29F05E16"/>
    <w:rsid w:val="29F54832"/>
    <w:rsid w:val="2A111075"/>
    <w:rsid w:val="2A160D87"/>
    <w:rsid w:val="2A22248B"/>
    <w:rsid w:val="2A2351F4"/>
    <w:rsid w:val="2A307EBE"/>
    <w:rsid w:val="2A3E413F"/>
    <w:rsid w:val="2A430F4D"/>
    <w:rsid w:val="2A5303B9"/>
    <w:rsid w:val="2A534A67"/>
    <w:rsid w:val="2A5F67A3"/>
    <w:rsid w:val="2A6151C4"/>
    <w:rsid w:val="2A664C59"/>
    <w:rsid w:val="2A6B464E"/>
    <w:rsid w:val="2A722830"/>
    <w:rsid w:val="2A8F4AAD"/>
    <w:rsid w:val="2A944B48"/>
    <w:rsid w:val="2A9A0F2B"/>
    <w:rsid w:val="2AA07917"/>
    <w:rsid w:val="2AA1140C"/>
    <w:rsid w:val="2AA67F8B"/>
    <w:rsid w:val="2AAA31D9"/>
    <w:rsid w:val="2AAC289A"/>
    <w:rsid w:val="2AB138BA"/>
    <w:rsid w:val="2AC51079"/>
    <w:rsid w:val="2ACA0984"/>
    <w:rsid w:val="2AD05182"/>
    <w:rsid w:val="2AE47A17"/>
    <w:rsid w:val="2AEB2740"/>
    <w:rsid w:val="2AF44191"/>
    <w:rsid w:val="2AF74347"/>
    <w:rsid w:val="2B0A4D59"/>
    <w:rsid w:val="2B162169"/>
    <w:rsid w:val="2B165967"/>
    <w:rsid w:val="2B1A32A0"/>
    <w:rsid w:val="2B26693B"/>
    <w:rsid w:val="2B2F1FC7"/>
    <w:rsid w:val="2B2F2F22"/>
    <w:rsid w:val="2B342280"/>
    <w:rsid w:val="2B37764D"/>
    <w:rsid w:val="2B3F6547"/>
    <w:rsid w:val="2B430D5F"/>
    <w:rsid w:val="2B4F2967"/>
    <w:rsid w:val="2B5C1A7C"/>
    <w:rsid w:val="2B5C469F"/>
    <w:rsid w:val="2B6525E9"/>
    <w:rsid w:val="2B6E19DB"/>
    <w:rsid w:val="2B756050"/>
    <w:rsid w:val="2B7C5660"/>
    <w:rsid w:val="2B8944AA"/>
    <w:rsid w:val="2B92679C"/>
    <w:rsid w:val="2B96506D"/>
    <w:rsid w:val="2B986BC6"/>
    <w:rsid w:val="2B9C0A86"/>
    <w:rsid w:val="2B9D451B"/>
    <w:rsid w:val="2BA16669"/>
    <w:rsid w:val="2BAE20A5"/>
    <w:rsid w:val="2BAE6BB7"/>
    <w:rsid w:val="2BAF2381"/>
    <w:rsid w:val="2BB1376A"/>
    <w:rsid w:val="2BB60AD9"/>
    <w:rsid w:val="2BBA7E05"/>
    <w:rsid w:val="2BBB17D5"/>
    <w:rsid w:val="2BBD6DA0"/>
    <w:rsid w:val="2BC3413A"/>
    <w:rsid w:val="2BC45396"/>
    <w:rsid w:val="2BD540AD"/>
    <w:rsid w:val="2BDA10DE"/>
    <w:rsid w:val="2BDA2AEC"/>
    <w:rsid w:val="2BF336C9"/>
    <w:rsid w:val="2BF33ED5"/>
    <w:rsid w:val="2BFB7405"/>
    <w:rsid w:val="2C006833"/>
    <w:rsid w:val="2C034F7B"/>
    <w:rsid w:val="2C040D89"/>
    <w:rsid w:val="2C0509D9"/>
    <w:rsid w:val="2C05481D"/>
    <w:rsid w:val="2C056AF9"/>
    <w:rsid w:val="2C096EF6"/>
    <w:rsid w:val="2C220DB4"/>
    <w:rsid w:val="2C247FF1"/>
    <w:rsid w:val="2C2B5641"/>
    <w:rsid w:val="2C3C0030"/>
    <w:rsid w:val="2C3F3887"/>
    <w:rsid w:val="2C45016F"/>
    <w:rsid w:val="2C516E38"/>
    <w:rsid w:val="2C533A6A"/>
    <w:rsid w:val="2C560EA3"/>
    <w:rsid w:val="2C617496"/>
    <w:rsid w:val="2C62156F"/>
    <w:rsid w:val="2C6A047D"/>
    <w:rsid w:val="2C6F41F6"/>
    <w:rsid w:val="2C730778"/>
    <w:rsid w:val="2C7E030A"/>
    <w:rsid w:val="2C833FFB"/>
    <w:rsid w:val="2C84380F"/>
    <w:rsid w:val="2C8F430E"/>
    <w:rsid w:val="2C970335"/>
    <w:rsid w:val="2CA156F3"/>
    <w:rsid w:val="2CA21894"/>
    <w:rsid w:val="2CA4476E"/>
    <w:rsid w:val="2CAD4F6B"/>
    <w:rsid w:val="2CB17FD2"/>
    <w:rsid w:val="2CC16AFA"/>
    <w:rsid w:val="2CC95D10"/>
    <w:rsid w:val="2CC96A11"/>
    <w:rsid w:val="2CCA43FF"/>
    <w:rsid w:val="2CCB5A72"/>
    <w:rsid w:val="2CD57684"/>
    <w:rsid w:val="2CD67A0B"/>
    <w:rsid w:val="2CD75666"/>
    <w:rsid w:val="2CD83FF1"/>
    <w:rsid w:val="2CDC6591"/>
    <w:rsid w:val="2CDE08F2"/>
    <w:rsid w:val="2CE03AB0"/>
    <w:rsid w:val="2CE86737"/>
    <w:rsid w:val="2CEB494F"/>
    <w:rsid w:val="2CEF53E3"/>
    <w:rsid w:val="2CF53A56"/>
    <w:rsid w:val="2CF649A9"/>
    <w:rsid w:val="2CF9444D"/>
    <w:rsid w:val="2CFC27E4"/>
    <w:rsid w:val="2D061051"/>
    <w:rsid w:val="2D0766E4"/>
    <w:rsid w:val="2D0B702A"/>
    <w:rsid w:val="2D107EBA"/>
    <w:rsid w:val="2D12609F"/>
    <w:rsid w:val="2D1B67A1"/>
    <w:rsid w:val="2D1F4BCA"/>
    <w:rsid w:val="2D221AAA"/>
    <w:rsid w:val="2D254ED3"/>
    <w:rsid w:val="2D2651C9"/>
    <w:rsid w:val="2D397977"/>
    <w:rsid w:val="2D3D74EA"/>
    <w:rsid w:val="2D476C62"/>
    <w:rsid w:val="2D504333"/>
    <w:rsid w:val="2D521264"/>
    <w:rsid w:val="2D567058"/>
    <w:rsid w:val="2D57290A"/>
    <w:rsid w:val="2D5D7FE8"/>
    <w:rsid w:val="2D5E7E01"/>
    <w:rsid w:val="2D6030A2"/>
    <w:rsid w:val="2D660EF9"/>
    <w:rsid w:val="2D6A677C"/>
    <w:rsid w:val="2D6C2B47"/>
    <w:rsid w:val="2D763F45"/>
    <w:rsid w:val="2D820204"/>
    <w:rsid w:val="2D8402FC"/>
    <w:rsid w:val="2D88024C"/>
    <w:rsid w:val="2D935488"/>
    <w:rsid w:val="2D960FB5"/>
    <w:rsid w:val="2D9B4423"/>
    <w:rsid w:val="2DAC2EF4"/>
    <w:rsid w:val="2DAD4BCD"/>
    <w:rsid w:val="2DAD789E"/>
    <w:rsid w:val="2DB453FF"/>
    <w:rsid w:val="2DB72446"/>
    <w:rsid w:val="2DBE4237"/>
    <w:rsid w:val="2DBF1693"/>
    <w:rsid w:val="2DCA22C7"/>
    <w:rsid w:val="2DCB10F0"/>
    <w:rsid w:val="2DCB38A1"/>
    <w:rsid w:val="2DD066E9"/>
    <w:rsid w:val="2DDC0ED4"/>
    <w:rsid w:val="2DE3054F"/>
    <w:rsid w:val="2DE7186E"/>
    <w:rsid w:val="2DF036FB"/>
    <w:rsid w:val="2DF21CB3"/>
    <w:rsid w:val="2DFD78B4"/>
    <w:rsid w:val="2DFE083B"/>
    <w:rsid w:val="2E0708FF"/>
    <w:rsid w:val="2E11457C"/>
    <w:rsid w:val="2E1643B9"/>
    <w:rsid w:val="2E184C0F"/>
    <w:rsid w:val="2E187142"/>
    <w:rsid w:val="2E1F18AD"/>
    <w:rsid w:val="2E282709"/>
    <w:rsid w:val="2E285E19"/>
    <w:rsid w:val="2E28757C"/>
    <w:rsid w:val="2E2C723F"/>
    <w:rsid w:val="2E332EEF"/>
    <w:rsid w:val="2E3D0855"/>
    <w:rsid w:val="2E3F6B8A"/>
    <w:rsid w:val="2E406C31"/>
    <w:rsid w:val="2E467FE7"/>
    <w:rsid w:val="2E527715"/>
    <w:rsid w:val="2E530660"/>
    <w:rsid w:val="2E531152"/>
    <w:rsid w:val="2E5448E2"/>
    <w:rsid w:val="2E565287"/>
    <w:rsid w:val="2E5F1E47"/>
    <w:rsid w:val="2E682652"/>
    <w:rsid w:val="2E6B6D27"/>
    <w:rsid w:val="2E7A506F"/>
    <w:rsid w:val="2E7B0600"/>
    <w:rsid w:val="2E7B273D"/>
    <w:rsid w:val="2E7D30EA"/>
    <w:rsid w:val="2E8028E0"/>
    <w:rsid w:val="2E88139A"/>
    <w:rsid w:val="2E8B051E"/>
    <w:rsid w:val="2E8F062E"/>
    <w:rsid w:val="2E905D65"/>
    <w:rsid w:val="2E916275"/>
    <w:rsid w:val="2E9D560F"/>
    <w:rsid w:val="2E9F7EC1"/>
    <w:rsid w:val="2EA234E1"/>
    <w:rsid w:val="2EB17C70"/>
    <w:rsid w:val="2EB411B5"/>
    <w:rsid w:val="2EBD49E1"/>
    <w:rsid w:val="2EBF0ED1"/>
    <w:rsid w:val="2EC42186"/>
    <w:rsid w:val="2EC7495E"/>
    <w:rsid w:val="2EC776BB"/>
    <w:rsid w:val="2ECA39AD"/>
    <w:rsid w:val="2ECC0C07"/>
    <w:rsid w:val="2ED03009"/>
    <w:rsid w:val="2ED42DEC"/>
    <w:rsid w:val="2EED4C9D"/>
    <w:rsid w:val="2EF01DA9"/>
    <w:rsid w:val="2EF224CD"/>
    <w:rsid w:val="2EF67D61"/>
    <w:rsid w:val="2EFA2F2B"/>
    <w:rsid w:val="2F010C22"/>
    <w:rsid w:val="2F195BDC"/>
    <w:rsid w:val="2F2913A5"/>
    <w:rsid w:val="2F2E23A6"/>
    <w:rsid w:val="2F2E289C"/>
    <w:rsid w:val="2F350F19"/>
    <w:rsid w:val="2F383567"/>
    <w:rsid w:val="2F3B1918"/>
    <w:rsid w:val="2F415DC8"/>
    <w:rsid w:val="2F514AAE"/>
    <w:rsid w:val="2F531FEB"/>
    <w:rsid w:val="2F5A4EA5"/>
    <w:rsid w:val="2F5B5B3B"/>
    <w:rsid w:val="2F615468"/>
    <w:rsid w:val="2F655F0E"/>
    <w:rsid w:val="2F6B73F9"/>
    <w:rsid w:val="2F6D4FA6"/>
    <w:rsid w:val="2F6E6713"/>
    <w:rsid w:val="2F743486"/>
    <w:rsid w:val="2F756E65"/>
    <w:rsid w:val="2F77354F"/>
    <w:rsid w:val="2F7A7069"/>
    <w:rsid w:val="2F7B2789"/>
    <w:rsid w:val="2F8001B6"/>
    <w:rsid w:val="2F897AA1"/>
    <w:rsid w:val="2F8D4D67"/>
    <w:rsid w:val="2F8E2F8D"/>
    <w:rsid w:val="2F9051B8"/>
    <w:rsid w:val="2F910893"/>
    <w:rsid w:val="2F9A69D2"/>
    <w:rsid w:val="2F9A7210"/>
    <w:rsid w:val="2F9C6646"/>
    <w:rsid w:val="2F9D4AA3"/>
    <w:rsid w:val="2F9F094E"/>
    <w:rsid w:val="2FA213D6"/>
    <w:rsid w:val="2FA5152D"/>
    <w:rsid w:val="2FA96250"/>
    <w:rsid w:val="2FAA31BA"/>
    <w:rsid w:val="2FB11323"/>
    <w:rsid w:val="2FBB6A2A"/>
    <w:rsid w:val="2FC2166F"/>
    <w:rsid w:val="2FCB0952"/>
    <w:rsid w:val="2FD53529"/>
    <w:rsid w:val="2FD80709"/>
    <w:rsid w:val="2FDF2368"/>
    <w:rsid w:val="2FDF7CD4"/>
    <w:rsid w:val="2FEC08C6"/>
    <w:rsid w:val="2FF532B7"/>
    <w:rsid w:val="2FF674CB"/>
    <w:rsid w:val="2FF7251F"/>
    <w:rsid w:val="30007788"/>
    <w:rsid w:val="30093592"/>
    <w:rsid w:val="301977C7"/>
    <w:rsid w:val="301E3E25"/>
    <w:rsid w:val="30205153"/>
    <w:rsid w:val="30253FAB"/>
    <w:rsid w:val="30270D6F"/>
    <w:rsid w:val="303B3B59"/>
    <w:rsid w:val="303C0C41"/>
    <w:rsid w:val="303D6437"/>
    <w:rsid w:val="30443F81"/>
    <w:rsid w:val="304F6AE3"/>
    <w:rsid w:val="305831D6"/>
    <w:rsid w:val="3058428D"/>
    <w:rsid w:val="305A4537"/>
    <w:rsid w:val="30632880"/>
    <w:rsid w:val="3070014A"/>
    <w:rsid w:val="307B4FFA"/>
    <w:rsid w:val="308136E0"/>
    <w:rsid w:val="308719BC"/>
    <w:rsid w:val="3095375A"/>
    <w:rsid w:val="30977E19"/>
    <w:rsid w:val="309B2688"/>
    <w:rsid w:val="30A90B96"/>
    <w:rsid w:val="30A91070"/>
    <w:rsid w:val="30B26464"/>
    <w:rsid w:val="30B420CD"/>
    <w:rsid w:val="30B86332"/>
    <w:rsid w:val="30C91D87"/>
    <w:rsid w:val="30D10B78"/>
    <w:rsid w:val="30D251E3"/>
    <w:rsid w:val="30D36EB7"/>
    <w:rsid w:val="30D45137"/>
    <w:rsid w:val="30D51A41"/>
    <w:rsid w:val="30E7233C"/>
    <w:rsid w:val="30F3215C"/>
    <w:rsid w:val="30FB3BF4"/>
    <w:rsid w:val="31061593"/>
    <w:rsid w:val="31076B28"/>
    <w:rsid w:val="31076EFA"/>
    <w:rsid w:val="310866BC"/>
    <w:rsid w:val="31154DED"/>
    <w:rsid w:val="3120790D"/>
    <w:rsid w:val="31215B33"/>
    <w:rsid w:val="312A36B1"/>
    <w:rsid w:val="31337532"/>
    <w:rsid w:val="313A1C55"/>
    <w:rsid w:val="313A2CAC"/>
    <w:rsid w:val="313E6356"/>
    <w:rsid w:val="31460C29"/>
    <w:rsid w:val="314B3239"/>
    <w:rsid w:val="31596E9F"/>
    <w:rsid w:val="315B21E9"/>
    <w:rsid w:val="315B5E62"/>
    <w:rsid w:val="31604DC0"/>
    <w:rsid w:val="31607973"/>
    <w:rsid w:val="3163108E"/>
    <w:rsid w:val="3167538F"/>
    <w:rsid w:val="316A2AFE"/>
    <w:rsid w:val="317544CD"/>
    <w:rsid w:val="31765162"/>
    <w:rsid w:val="317A487D"/>
    <w:rsid w:val="317D76C8"/>
    <w:rsid w:val="31833BCE"/>
    <w:rsid w:val="318A1515"/>
    <w:rsid w:val="31944F6F"/>
    <w:rsid w:val="31963456"/>
    <w:rsid w:val="31A47F00"/>
    <w:rsid w:val="31A51052"/>
    <w:rsid w:val="31A77BCC"/>
    <w:rsid w:val="31A84B64"/>
    <w:rsid w:val="31B12D3C"/>
    <w:rsid w:val="31B2653B"/>
    <w:rsid w:val="31B266EC"/>
    <w:rsid w:val="31B45163"/>
    <w:rsid w:val="31B4700F"/>
    <w:rsid w:val="31B81D35"/>
    <w:rsid w:val="31C3729F"/>
    <w:rsid w:val="31CB617D"/>
    <w:rsid w:val="31CC0ECB"/>
    <w:rsid w:val="31DD2EC1"/>
    <w:rsid w:val="31DF1DB8"/>
    <w:rsid w:val="31E56082"/>
    <w:rsid w:val="31F020DC"/>
    <w:rsid w:val="31F072F8"/>
    <w:rsid w:val="31FE06B9"/>
    <w:rsid w:val="32007322"/>
    <w:rsid w:val="32061C7F"/>
    <w:rsid w:val="320A52D8"/>
    <w:rsid w:val="320D2005"/>
    <w:rsid w:val="32136025"/>
    <w:rsid w:val="32220D79"/>
    <w:rsid w:val="32252577"/>
    <w:rsid w:val="3228412F"/>
    <w:rsid w:val="32294648"/>
    <w:rsid w:val="322F0831"/>
    <w:rsid w:val="3238009F"/>
    <w:rsid w:val="323F5519"/>
    <w:rsid w:val="32442E52"/>
    <w:rsid w:val="32471CC6"/>
    <w:rsid w:val="324F0134"/>
    <w:rsid w:val="32540593"/>
    <w:rsid w:val="32575B7F"/>
    <w:rsid w:val="32582CC3"/>
    <w:rsid w:val="3269055E"/>
    <w:rsid w:val="326F43FE"/>
    <w:rsid w:val="327179A4"/>
    <w:rsid w:val="32775626"/>
    <w:rsid w:val="3281262C"/>
    <w:rsid w:val="32835AB1"/>
    <w:rsid w:val="328A3A5F"/>
    <w:rsid w:val="328D7371"/>
    <w:rsid w:val="328E2231"/>
    <w:rsid w:val="328F22F9"/>
    <w:rsid w:val="329326B7"/>
    <w:rsid w:val="329426A2"/>
    <w:rsid w:val="329708DE"/>
    <w:rsid w:val="32AD1211"/>
    <w:rsid w:val="32BE0045"/>
    <w:rsid w:val="32E12F9A"/>
    <w:rsid w:val="32E87F66"/>
    <w:rsid w:val="32E97C5E"/>
    <w:rsid w:val="32EC46FB"/>
    <w:rsid w:val="32F64CAC"/>
    <w:rsid w:val="32FF12B8"/>
    <w:rsid w:val="33000B4D"/>
    <w:rsid w:val="330073AA"/>
    <w:rsid w:val="33020BF1"/>
    <w:rsid w:val="330710D7"/>
    <w:rsid w:val="331264BB"/>
    <w:rsid w:val="331A102D"/>
    <w:rsid w:val="331E3887"/>
    <w:rsid w:val="33224534"/>
    <w:rsid w:val="332742E9"/>
    <w:rsid w:val="332850C4"/>
    <w:rsid w:val="332A1AC1"/>
    <w:rsid w:val="332C71E1"/>
    <w:rsid w:val="332E1BC2"/>
    <w:rsid w:val="332E224E"/>
    <w:rsid w:val="332F3B66"/>
    <w:rsid w:val="333B116B"/>
    <w:rsid w:val="333E2024"/>
    <w:rsid w:val="33427ABB"/>
    <w:rsid w:val="33501AF9"/>
    <w:rsid w:val="33616D4E"/>
    <w:rsid w:val="338134D4"/>
    <w:rsid w:val="33821BAB"/>
    <w:rsid w:val="338378EA"/>
    <w:rsid w:val="33885755"/>
    <w:rsid w:val="339E18BC"/>
    <w:rsid w:val="33A57822"/>
    <w:rsid w:val="33A77C3C"/>
    <w:rsid w:val="33AA7345"/>
    <w:rsid w:val="33B37087"/>
    <w:rsid w:val="33BA7C82"/>
    <w:rsid w:val="33BC4D91"/>
    <w:rsid w:val="33BF4D9D"/>
    <w:rsid w:val="33C233CD"/>
    <w:rsid w:val="33C35B22"/>
    <w:rsid w:val="33C504FF"/>
    <w:rsid w:val="33C968FA"/>
    <w:rsid w:val="33D23DF5"/>
    <w:rsid w:val="33D246C3"/>
    <w:rsid w:val="33DF11C8"/>
    <w:rsid w:val="33E442C9"/>
    <w:rsid w:val="33E61B12"/>
    <w:rsid w:val="33EF44FC"/>
    <w:rsid w:val="33F751C3"/>
    <w:rsid w:val="33FB4B21"/>
    <w:rsid w:val="33FE7E15"/>
    <w:rsid w:val="33FF1154"/>
    <w:rsid w:val="340074AF"/>
    <w:rsid w:val="340948E1"/>
    <w:rsid w:val="340D3904"/>
    <w:rsid w:val="340F116F"/>
    <w:rsid w:val="341212B1"/>
    <w:rsid w:val="341321BE"/>
    <w:rsid w:val="34155C01"/>
    <w:rsid w:val="34293255"/>
    <w:rsid w:val="34314E1D"/>
    <w:rsid w:val="34315823"/>
    <w:rsid w:val="34346CEE"/>
    <w:rsid w:val="34374868"/>
    <w:rsid w:val="34376C25"/>
    <w:rsid w:val="343D2D4C"/>
    <w:rsid w:val="34417702"/>
    <w:rsid w:val="34417EB0"/>
    <w:rsid w:val="3446518F"/>
    <w:rsid w:val="344A296C"/>
    <w:rsid w:val="344C25CD"/>
    <w:rsid w:val="344E045C"/>
    <w:rsid w:val="344F610D"/>
    <w:rsid w:val="34512060"/>
    <w:rsid w:val="345232B0"/>
    <w:rsid w:val="345A0779"/>
    <w:rsid w:val="345B15DB"/>
    <w:rsid w:val="346B1ADA"/>
    <w:rsid w:val="346C4A94"/>
    <w:rsid w:val="346E7A5A"/>
    <w:rsid w:val="3477244E"/>
    <w:rsid w:val="34782617"/>
    <w:rsid w:val="347946FA"/>
    <w:rsid w:val="347A6171"/>
    <w:rsid w:val="348146D7"/>
    <w:rsid w:val="348440EB"/>
    <w:rsid w:val="348D33D3"/>
    <w:rsid w:val="3496737A"/>
    <w:rsid w:val="349C03F2"/>
    <w:rsid w:val="34A152D5"/>
    <w:rsid w:val="34A238C5"/>
    <w:rsid w:val="34AC0653"/>
    <w:rsid w:val="34AC2DE9"/>
    <w:rsid w:val="34B24855"/>
    <w:rsid w:val="34B3070C"/>
    <w:rsid w:val="34B55560"/>
    <w:rsid w:val="34B84D9B"/>
    <w:rsid w:val="34BE7103"/>
    <w:rsid w:val="34C82B00"/>
    <w:rsid w:val="34C9343D"/>
    <w:rsid w:val="34CC0600"/>
    <w:rsid w:val="34CE3369"/>
    <w:rsid w:val="34DC1C67"/>
    <w:rsid w:val="34E416EC"/>
    <w:rsid w:val="34E47162"/>
    <w:rsid w:val="34E664D6"/>
    <w:rsid w:val="34F64CDD"/>
    <w:rsid w:val="34FF095B"/>
    <w:rsid w:val="3500311A"/>
    <w:rsid w:val="350B76BF"/>
    <w:rsid w:val="350C5C16"/>
    <w:rsid w:val="351710F0"/>
    <w:rsid w:val="351F4B47"/>
    <w:rsid w:val="352B4097"/>
    <w:rsid w:val="352E435E"/>
    <w:rsid w:val="3534069E"/>
    <w:rsid w:val="353807E2"/>
    <w:rsid w:val="353D45FA"/>
    <w:rsid w:val="353F0E06"/>
    <w:rsid w:val="35422CF2"/>
    <w:rsid w:val="354933C6"/>
    <w:rsid w:val="35505013"/>
    <w:rsid w:val="35522298"/>
    <w:rsid w:val="35531CAD"/>
    <w:rsid w:val="3559121F"/>
    <w:rsid w:val="355A18A2"/>
    <w:rsid w:val="35652ACF"/>
    <w:rsid w:val="356D51F7"/>
    <w:rsid w:val="35735BCB"/>
    <w:rsid w:val="357972DF"/>
    <w:rsid w:val="357D79D3"/>
    <w:rsid w:val="35804F9D"/>
    <w:rsid w:val="35843B49"/>
    <w:rsid w:val="35884385"/>
    <w:rsid w:val="35890016"/>
    <w:rsid w:val="358B0F26"/>
    <w:rsid w:val="35924A15"/>
    <w:rsid w:val="359753B1"/>
    <w:rsid w:val="35991DF7"/>
    <w:rsid w:val="35A251D2"/>
    <w:rsid w:val="35A25468"/>
    <w:rsid w:val="35A82DEE"/>
    <w:rsid w:val="35AC56FE"/>
    <w:rsid w:val="35C3354B"/>
    <w:rsid w:val="35C635D8"/>
    <w:rsid w:val="35C8705E"/>
    <w:rsid w:val="35CB283C"/>
    <w:rsid w:val="35D02A2E"/>
    <w:rsid w:val="35D16387"/>
    <w:rsid w:val="35DF2011"/>
    <w:rsid w:val="35E1012B"/>
    <w:rsid w:val="35E1505C"/>
    <w:rsid w:val="35E328B8"/>
    <w:rsid w:val="35E3701E"/>
    <w:rsid w:val="35E420DE"/>
    <w:rsid w:val="35E607CD"/>
    <w:rsid w:val="35EB34A9"/>
    <w:rsid w:val="35EC6F4A"/>
    <w:rsid w:val="35EE6A38"/>
    <w:rsid w:val="35F5734F"/>
    <w:rsid w:val="35F65884"/>
    <w:rsid w:val="35F715DC"/>
    <w:rsid w:val="36023BFE"/>
    <w:rsid w:val="36057267"/>
    <w:rsid w:val="360632C2"/>
    <w:rsid w:val="362131A7"/>
    <w:rsid w:val="362E1546"/>
    <w:rsid w:val="36330CA5"/>
    <w:rsid w:val="363828C2"/>
    <w:rsid w:val="363F061B"/>
    <w:rsid w:val="364236D7"/>
    <w:rsid w:val="3645509F"/>
    <w:rsid w:val="3654563C"/>
    <w:rsid w:val="365763B3"/>
    <w:rsid w:val="366F70DE"/>
    <w:rsid w:val="367C0A7E"/>
    <w:rsid w:val="367E5840"/>
    <w:rsid w:val="36856B5A"/>
    <w:rsid w:val="36883C27"/>
    <w:rsid w:val="368E76EE"/>
    <w:rsid w:val="36950061"/>
    <w:rsid w:val="36A32443"/>
    <w:rsid w:val="36A61ADA"/>
    <w:rsid w:val="36AC504E"/>
    <w:rsid w:val="36AE7AB6"/>
    <w:rsid w:val="36B45F51"/>
    <w:rsid w:val="36B7013F"/>
    <w:rsid w:val="36D37FB9"/>
    <w:rsid w:val="36D40D9D"/>
    <w:rsid w:val="36D71D0D"/>
    <w:rsid w:val="36DC4984"/>
    <w:rsid w:val="36E17BD4"/>
    <w:rsid w:val="36E30071"/>
    <w:rsid w:val="36E31151"/>
    <w:rsid w:val="36E61D1E"/>
    <w:rsid w:val="36EF4947"/>
    <w:rsid w:val="36F76FAD"/>
    <w:rsid w:val="37060D5C"/>
    <w:rsid w:val="370F6D7D"/>
    <w:rsid w:val="3711176D"/>
    <w:rsid w:val="37113E21"/>
    <w:rsid w:val="37137BA3"/>
    <w:rsid w:val="3715441F"/>
    <w:rsid w:val="37244D17"/>
    <w:rsid w:val="373F483B"/>
    <w:rsid w:val="37451D56"/>
    <w:rsid w:val="374A1080"/>
    <w:rsid w:val="375C645A"/>
    <w:rsid w:val="37633810"/>
    <w:rsid w:val="376A27F4"/>
    <w:rsid w:val="37737FCD"/>
    <w:rsid w:val="377E4EC2"/>
    <w:rsid w:val="37831AFE"/>
    <w:rsid w:val="37855CA5"/>
    <w:rsid w:val="379747E4"/>
    <w:rsid w:val="37A10A3C"/>
    <w:rsid w:val="37A32862"/>
    <w:rsid w:val="37A771F1"/>
    <w:rsid w:val="37A83EE9"/>
    <w:rsid w:val="37AA1FED"/>
    <w:rsid w:val="37B033F0"/>
    <w:rsid w:val="37B25951"/>
    <w:rsid w:val="37B82D37"/>
    <w:rsid w:val="37BB1880"/>
    <w:rsid w:val="37BF7DD8"/>
    <w:rsid w:val="37CA6F5D"/>
    <w:rsid w:val="37CF39F4"/>
    <w:rsid w:val="37DE142C"/>
    <w:rsid w:val="37DF4E44"/>
    <w:rsid w:val="38074D9E"/>
    <w:rsid w:val="38093CF4"/>
    <w:rsid w:val="38132FDB"/>
    <w:rsid w:val="381523AC"/>
    <w:rsid w:val="3816611D"/>
    <w:rsid w:val="381A7833"/>
    <w:rsid w:val="381D6FCC"/>
    <w:rsid w:val="382276D7"/>
    <w:rsid w:val="38255502"/>
    <w:rsid w:val="382563C3"/>
    <w:rsid w:val="382B10C6"/>
    <w:rsid w:val="383D4592"/>
    <w:rsid w:val="384502C9"/>
    <w:rsid w:val="384757BF"/>
    <w:rsid w:val="38493B62"/>
    <w:rsid w:val="384A568A"/>
    <w:rsid w:val="384C2E85"/>
    <w:rsid w:val="384D7A6B"/>
    <w:rsid w:val="38527F5E"/>
    <w:rsid w:val="38576EB1"/>
    <w:rsid w:val="385B78DA"/>
    <w:rsid w:val="385E7289"/>
    <w:rsid w:val="386B3647"/>
    <w:rsid w:val="386E60E1"/>
    <w:rsid w:val="386F64C6"/>
    <w:rsid w:val="38724636"/>
    <w:rsid w:val="38755246"/>
    <w:rsid w:val="38850F2D"/>
    <w:rsid w:val="388A7003"/>
    <w:rsid w:val="388F47CD"/>
    <w:rsid w:val="3891497A"/>
    <w:rsid w:val="38921D1F"/>
    <w:rsid w:val="38934709"/>
    <w:rsid w:val="3899545E"/>
    <w:rsid w:val="389B63CB"/>
    <w:rsid w:val="389D36E7"/>
    <w:rsid w:val="38A039DA"/>
    <w:rsid w:val="38AD0AAC"/>
    <w:rsid w:val="38AF121A"/>
    <w:rsid w:val="38B10DA8"/>
    <w:rsid w:val="38B94B51"/>
    <w:rsid w:val="38B976FB"/>
    <w:rsid w:val="38BB5EDA"/>
    <w:rsid w:val="38C6779A"/>
    <w:rsid w:val="38D26097"/>
    <w:rsid w:val="38DC2A26"/>
    <w:rsid w:val="38DC5040"/>
    <w:rsid w:val="38EA0958"/>
    <w:rsid w:val="38EA292A"/>
    <w:rsid w:val="38EB3140"/>
    <w:rsid w:val="38F71493"/>
    <w:rsid w:val="38FC7F68"/>
    <w:rsid w:val="390150BD"/>
    <w:rsid w:val="39015BC8"/>
    <w:rsid w:val="39024400"/>
    <w:rsid w:val="390A29CF"/>
    <w:rsid w:val="390D7AA7"/>
    <w:rsid w:val="3910183F"/>
    <w:rsid w:val="39132EBE"/>
    <w:rsid w:val="39183836"/>
    <w:rsid w:val="39192D79"/>
    <w:rsid w:val="3923223F"/>
    <w:rsid w:val="39271D8A"/>
    <w:rsid w:val="392C3404"/>
    <w:rsid w:val="393D3E8F"/>
    <w:rsid w:val="393F3649"/>
    <w:rsid w:val="39434B25"/>
    <w:rsid w:val="39442CC4"/>
    <w:rsid w:val="39473C95"/>
    <w:rsid w:val="394A3B36"/>
    <w:rsid w:val="394C053B"/>
    <w:rsid w:val="394E0439"/>
    <w:rsid w:val="39532D05"/>
    <w:rsid w:val="395A1855"/>
    <w:rsid w:val="395E1405"/>
    <w:rsid w:val="3962425A"/>
    <w:rsid w:val="396E504E"/>
    <w:rsid w:val="396F7993"/>
    <w:rsid w:val="39734F7F"/>
    <w:rsid w:val="39741673"/>
    <w:rsid w:val="39764ECC"/>
    <w:rsid w:val="397F2866"/>
    <w:rsid w:val="39830655"/>
    <w:rsid w:val="39850A26"/>
    <w:rsid w:val="39875D3B"/>
    <w:rsid w:val="39893783"/>
    <w:rsid w:val="399108C7"/>
    <w:rsid w:val="399B6654"/>
    <w:rsid w:val="399C23C2"/>
    <w:rsid w:val="399E7C65"/>
    <w:rsid w:val="39A118CD"/>
    <w:rsid w:val="39A337DD"/>
    <w:rsid w:val="39B0295E"/>
    <w:rsid w:val="39B1002C"/>
    <w:rsid w:val="39B75345"/>
    <w:rsid w:val="39BA1CF7"/>
    <w:rsid w:val="39BA2065"/>
    <w:rsid w:val="39C83126"/>
    <w:rsid w:val="39CD4753"/>
    <w:rsid w:val="39D037AF"/>
    <w:rsid w:val="39D466BD"/>
    <w:rsid w:val="39D7158B"/>
    <w:rsid w:val="39D9675C"/>
    <w:rsid w:val="39DC1B39"/>
    <w:rsid w:val="39DE503F"/>
    <w:rsid w:val="39E03897"/>
    <w:rsid w:val="39E125BA"/>
    <w:rsid w:val="39E263ED"/>
    <w:rsid w:val="39EE1B0B"/>
    <w:rsid w:val="39F17FFD"/>
    <w:rsid w:val="39F24322"/>
    <w:rsid w:val="39FA1859"/>
    <w:rsid w:val="39FE1307"/>
    <w:rsid w:val="3A03384A"/>
    <w:rsid w:val="3A066160"/>
    <w:rsid w:val="3A083121"/>
    <w:rsid w:val="3A0C0FBD"/>
    <w:rsid w:val="3A0D48B1"/>
    <w:rsid w:val="3A1810FA"/>
    <w:rsid w:val="3A1C5E08"/>
    <w:rsid w:val="3A2441B7"/>
    <w:rsid w:val="3A274488"/>
    <w:rsid w:val="3A28048B"/>
    <w:rsid w:val="3A336331"/>
    <w:rsid w:val="3A425B7A"/>
    <w:rsid w:val="3A431472"/>
    <w:rsid w:val="3A474B1C"/>
    <w:rsid w:val="3A5207B4"/>
    <w:rsid w:val="3A541BF5"/>
    <w:rsid w:val="3A553D9F"/>
    <w:rsid w:val="3A597477"/>
    <w:rsid w:val="3A5A285A"/>
    <w:rsid w:val="3A5E32B9"/>
    <w:rsid w:val="3A646A00"/>
    <w:rsid w:val="3A697F71"/>
    <w:rsid w:val="3A6A4AC7"/>
    <w:rsid w:val="3A6E26C3"/>
    <w:rsid w:val="3A6F0BDF"/>
    <w:rsid w:val="3A72622B"/>
    <w:rsid w:val="3A75769F"/>
    <w:rsid w:val="3A7A025B"/>
    <w:rsid w:val="3A7E2244"/>
    <w:rsid w:val="3A861E9F"/>
    <w:rsid w:val="3A897BA1"/>
    <w:rsid w:val="3A9038DA"/>
    <w:rsid w:val="3A922233"/>
    <w:rsid w:val="3A936647"/>
    <w:rsid w:val="3A9E4B32"/>
    <w:rsid w:val="3A9F1B2C"/>
    <w:rsid w:val="3AA00BCD"/>
    <w:rsid w:val="3AA04C49"/>
    <w:rsid w:val="3AA54470"/>
    <w:rsid w:val="3AA913CF"/>
    <w:rsid w:val="3AB86069"/>
    <w:rsid w:val="3AC036CC"/>
    <w:rsid w:val="3AC205A6"/>
    <w:rsid w:val="3AC257A4"/>
    <w:rsid w:val="3AC334CD"/>
    <w:rsid w:val="3AC52EB9"/>
    <w:rsid w:val="3AC75562"/>
    <w:rsid w:val="3ACF5E01"/>
    <w:rsid w:val="3AD16134"/>
    <w:rsid w:val="3AD17EBD"/>
    <w:rsid w:val="3ADB2291"/>
    <w:rsid w:val="3ADD199D"/>
    <w:rsid w:val="3ADE382E"/>
    <w:rsid w:val="3AEA3CFC"/>
    <w:rsid w:val="3AF044A5"/>
    <w:rsid w:val="3AF153E6"/>
    <w:rsid w:val="3AFC4CC9"/>
    <w:rsid w:val="3B00301D"/>
    <w:rsid w:val="3B031629"/>
    <w:rsid w:val="3B0D3370"/>
    <w:rsid w:val="3B1752EE"/>
    <w:rsid w:val="3B1C35AC"/>
    <w:rsid w:val="3B1F0CAE"/>
    <w:rsid w:val="3B22468C"/>
    <w:rsid w:val="3B292A67"/>
    <w:rsid w:val="3B3155AA"/>
    <w:rsid w:val="3B345984"/>
    <w:rsid w:val="3B3E0B10"/>
    <w:rsid w:val="3B4F1508"/>
    <w:rsid w:val="3B580D61"/>
    <w:rsid w:val="3B58455D"/>
    <w:rsid w:val="3B5908EC"/>
    <w:rsid w:val="3B64699C"/>
    <w:rsid w:val="3B696BF9"/>
    <w:rsid w:val="3B6F0DCA"/>
    <w:rsid w:val="3B754E06"/>
    <w:rsid w:val="3B7B2B0A"/>
    <w:rsid w:val="3B7C7B97"/>
    <w:rsid w:val="3B8372AE"/>
    <w:rsid w:val="3B842468"/>
    <w:rsid w:val="3B914065"/>
    <w:rsid w:val="3B9A7EDD"/>
    <w:rsid w:val="3B9F483C"/>
    <w:rsid w:val="3BB249F7"/>
    <w:rsid w:val="3BBE3122"/>
    <w:rsid w:val="3BC20515"/>
    <w:rsid w:val="3BC53C74"/>
    <w:rsid w:val="3BC60370"/>
    <w:rsid w:val="3BC62C0D"/>
    <w:rsid w:val="3BC772AB"/>
    <w:rsid w:val="3BC812C8"/>
    <w:rsid w:val="3BD741DE"/>
    <w:rsid w:val="3BE65D8D"/>
    <w:rsid w:val="3BE7491F"/>
    <w:rsid w:val="3BE82033"/>
    <w:rsid w:val="3BEA0B7F"/>
    <w:rsid w:val="3BEF3F98"/>
    <w:rsid w:val="3BF01125"/>
    <w:rsid w:val="3BF1165C"/>
    <w:rsid w:val="3BF82655"/>
    <w:rsid w:val="3BF90B59"/>
    <w:rsid w:val="3BFD046C"/>
    <w:rsid w:val="3C035D20"/>
    <w:rsid w:val="3C0C1C74"/>
    <w:rsid w:val="3C12184A"/>
    <w:rsid w:val="3C165216"/>
    <w:rsid w:val="3C20030B"/>
    <w:rsid w:val="3C220A63"/>
    <w:rsid w:val="3C257E8D"/>
    <w:rsid w:val="3C286FD8"/>
    <w:rsid w:val="3C2D0C4A"/>
    <w:rsid w:val="3C326DEB"/>
    <w:rsid w:val="3C393537"/>
    <w:rsid w:val="3C3C1378"/>
    <w:rsid w:val="3C497D33"/>
    <w:rsid w:val="3C5A342C"/>
    <w:rsid w:val="3C5C0867"/>
    <w:rsid w:val="3C5E33A6"/>
    <w:rsid w:val="3C656EED"/>
    <w:rsid w:val="3C685003"/>
    <w:rsid w:val="3C6D452D"/>
    <w:rsid w:val="3C6E7843"/>
    <w:rsid w:val="3C727A71"/>
    <w:rsid w:val="3C732FE2"/>
    <w:rsid w:val="3C786DE5"/>
    <w:rsid w:val="3C7A20C3"/>
    <w:rsid w:val="3C7A3669"/>
    <w:rsid w:val="3C7D3E58"/>
    <w:rsid w:val="3C882BD0"/>
    <w:rsid w:val="3C94545E"/>
    <w:rsid w:val="3C975DCC"/>
    <w:rsid w:val="3C9912FB"/>
    <w:rsid w:val="3CAE0651"/>
    <w:rsid w:val="3CBC2D9B"/>
    <w:rsid w:val="3CC5588D"/>
    <w:rsid w:val="3CCD1D16"/>
    <w:rsid w:val="3CD83C07"/>
    <w:rsid w:val="3CD85D57"/>
    <w:rsid w:val="3CD87AA0"/>
    <w:rsid w:val="3CDA5112"/>
    <w:rsid w:val="3CDB62C1"/>
    <w:rsid w:val="3CE13BDF"/>
    <w:rsid w:val="3CE26359"/>
    <w:rsid w:val="3CE70364"/>
    <w:rsid w:val="3CE83CD2"/>
    <w:rsid w:val="3CFD4D35"/>
    <w:rsid w:val="3D064D69"/>
    <w:rsid w:val="3D0E3667"/>
    <w:rsid w:val="3D0E399D"/>
    <w:rsid w:val="3D123F8D"/>
    <w:rsid w:val="3D12721E"/>
    <w:rsid w:val="3D1B45BC"/>
    <w:rsid w:val="3D27093B"/>
    <w:rsid w:val="3D351ADA"/>
    <w:rsid w:val="3D3D6CB6"/>
    <w:rsid w:val="3D444248"/>
    <w:rsid w:val="3D4B2FA5"/>
    <w:rsid w:val="3D4C7BDB"/>
    <w:rsid w:val="3D527DA5"/>
    <w:rsid w:val="3D546058"/>
    <w:rsid w:val="3D5461A9"/>
    <w:rsid w:val="3D58650A"/>
    <w:rsid w:val="3D590765"/>
    <w:rsid w:val="3D5A6060"/>
    <w:rsid w:val="3D640E16"/>
    <w:rsid w:val="3D67132F"/>
    <w:rsid w:val="3D76421C"/>
    <w:rsid w:val="3D7B0D27"/>
    <w:rsid w:val="3D7E27A0"/>
    <w:rsid w:val="3D874F51"/>
    <w:rsid w:val="3D896CEB"/>
    <w:rsid w:val="3D9A2D6C"/>
    <w:rsid w:val="3D9D0681"/>
    <w:rsid w:val="3DA2325F"/>
    <w:rsid w:val="3DAF1596"/>
    <w:rsid w:val="3DB52668"/>
    <w:rsid w:val="3DB63F51"/>
    <w:rsid w:val="3DC60A0C"/>
    <w:rsid w:val="3DD3077A"/>
    <w:rsid w:val="3DDF7A0D"/>
    <w:rsid w:val="3DF176B5"/>
    <w:rsid w:val="3DFD4BBE"/>
    <w:rsid w:val="3E00097B"/>
    <w:rsid w:val="3E011326"/>
    <w:rsid w:val="3E024B7B"/>
    <w:rsid w:val="3E104548"/>
    <w:rsid w:val="3E19435F"/>
    <w:rsid w:val="3E1B47C8"/>
    <w:rsid w:val="3E20393D"/>
    <w:rsid w:val="3E205773"/>
    <w:rsid w:val="3E264105"/>
    <w:rsid w:val="3E264903"/>
    <w:rsid w:val="3E2806A1"/>
    <w:rsid w:val="3E286D72"/>
    <w:rsid w:val="3E2E35CB"/>
    <w:rsid w:val="3E2F087F"/>
    <w:rsid w:val="3E31025E"/>
    <w:rsid w:val="3E342DA3"/>
    <w:rsid w:val="3E471ABE"/>
    <w:rsid w:val="3E4755F9"/>
    <w:rsid w:val="3E492A39"/>
    <w:rsid w:val="3E4B1409"/>
    <w:rsid w:val="3E556354"/>
    <w:rsid w:val="3E6336EF"/>
    <w:rsid w:val="3E660D1B"/>
    <w:rsid w:val="3E6E2E9E"/>
    <w:rsid w:val="3E8222F7"/>
    <w:rsid w:val="3E8258B1"/>
    <w:rsid w:val="3E8821CE"/>
    <w:rsid w:val="3E92738B"/>
    <w:rsid w:val="3E944E87"/>
    <w:rsid w:val="3E99456A"/>
    <w:rsid w:val="3EA0570F"/>
    <w:rsid w:val="3EA2409C"/>
    <w:rsid w:val="3EA758E3"/>
    <w:rsid w:val="3EAD3D57"/>
    <w:rsid w:val="3EAF02B7"/>
    <w:rsid w:val="3EB1188E"/>
    <w:rsid w:val="3EB428B4"/>
    <w:rsid w:val="3EBD63D7"/>
    <w:rsid w:val="3EC07733"/>
    <w:rsid w:val="3EC172CA"/>
    <w:rsid w:val="3EC334A7"/>
    <w:rsid w:val="3EC678BC"/>
    <w:rsid w:val="3ECC70B0"/>
    <w:rsid w:val="3ED01824"/>
    <w:rsid w:val="3EE067CA"/>
    <w:rsid w:val="3EE919E0"/>
    <w:rsid w:val="3EEF26AB"/>
    <w:rsid w:val="3EF21C38"/>
    <w:rsid w:val="3EF57D05"/>
    <w:rsid w:val="3EF96B38"/>
    <w:rsid w:val="3F002CCF"/>
    <w:rsid w:val="3F012022"/>
    <w:rsid w:val="3F0566FF"/>
    <w:rsid w:val="3F0605BE"/>
    <w:rsid w:val="3F06365D"/>
    <w:rsid w:val="3F0A3CA5"/>
    <w:rsid w:val="3F0B1DB8"/>
    <w:rsid w:val="3F0C44E7"/>
    <w:rsid w:val="3F0E6EA3"/>
    <w:rsid w:val="3F122278"/>
    <w:rsid w:val="3F155D82"/>
    <w:rsid w:val="3F1B7922"/>
    <w:rsid w:val="3F261DEC"/>
    <w:rsid w:val="3F305E06"/>
    <w:rsid w:val="3F3737F8"/>
    <w:rsid w:val="3F453E8A"/>
    <w:rsid w:val="3F47737F"/>
    <w:rsid w:val="3F523976"/>
    <w:rsid w:val="3F52626A"/>
    <w:rsid w:val="3F5322DF"/>
    <w:rsid w:val="3F556A35"/>
    <w:rsid w:val="3F5867B3"/>
    <w:rsid w:val="3F595294"/>
    <w:rsid w:val="3F5A301C"/>
    <w:rsid w:val="3F637202"/>
    <w:rsid w:val="3F65418C"/>
    <w:rsid w:val="3F664F14"/>
    <w:rsid w:val="3F6763B0"/>
    <w:rsid w:val="3F6D1D36"/>
    <w:rsid w:val="3F6D2017"/>
    <w:rsid w:val="3F7339EB"/>
    <w:rsid w:val="3F770167"/>
    <w:rsid w:val="3F7D65D1"/>
    <w:rsid w:val="3F8157CB"/>
    <w:rsid w:val="3F836296"/>
    <w:rsid w:val="3F9526FD"/>
    <w:rsid w:val="3F960218"/>
    <w:rsid w:val="3F9956BA"/>
    <w:rsid w:val="3F9B508E"/>
    <w:rsid w:val="3FA01128"/>
    <w:rsid w:val="3FA10F73"/>
    <w:rsid w:val="3FA51002"/>
    <w:rsid w:val="3FA5548C"/>
    <w:rsid w:val="3FAE5C18"/>
    <w:rsid w:val="3FB1448E"/>
    <w:rsid w:val="3FB33F0F"/>
    <w:rsid w:val="3FB56B87"/>
    <w:rsid w:val="3FB827B0"/>
    <w:rsid w:val="3FB9798A"/>
    <w:rsid w:val="3FBB4D64"/>
    <w:rsid w:val="3FBC4DF5"/>
    <w:rsid w:val="3FBE226E"/>
    <w:rsid w:val="3FC74EA5"/>
    <w:rsid w:val="3FC80A13"/>
    <w:rsid w:val="3FC924C5"/>
    <w:rsid w:val="3FD001E0"/>
    <w:rsid w:val="3FD35125"/>
    <w:rsid w:val="3FD436D8"/>
    <w:rsid w:val="3FDD5AA3"/>
    <w:rsid w:val="3FDD60EB"/>
    <w:rsid w:val="3FE1611D"/>
    <w:rsid w:val="3FE9762E"/>
    <w:rsid w:val="3FEB7EF7"/>
    <w:rsid w:val="3FF0534A"/>
    <w:rsid w:val="3FF07D9D"/>
    <w:rsid w:val="3FFC6AA1"/>
    <w:rsid w:val="3FFE725C"/>
    <w:rsid w:val="400D4689"/>
    <w:rsid w:val="40171E63"/>
    <w:rsid w:val="401B305E"/>
    <w:rsid w:val="401C023A"/>
    <w:rsid w:val="401E624D"/>
    <w:rsid w:val="403C6E09"/>
    <w:rsid w:val="403E0A98"/>
    <w:rsid w:val="4040700B"/>
    <w:rsid w:val="4049653A"/>
    <w:rsid w:val="40505926"/>
    <w:rsid w:val="405074F9"/>
    <w:rsid w:val="40592E1A"/>
    <w:rsid w:val="40742B10"/>
    <w:rsid w:val="40807B7F"/>
    <w:rsid w:val="40851F94"/>
    <w:rsid w:val="40860806"/>
    <w:rsid w:val="408727EE"/>
    <w:rsid w:val="40881B05"/>
    <w:rsid w:val="408B015C"/>
    <w:rsid w:val="408D2092"/>
    <w:rsid w:val="40987E91"/>
    <w:rsid w:val="40A456BD"/>
    <w:rsid w:val="40AE535D"/>
    <w:rsid w:val="40B323C5"/>
    <w:rsid w:val="40B40F93"/>
    <w:rsid w:val="40B4759E"/>
    <w:rsid w:val="40B77C21"/>
    <w:rsid w:val="40BB1B3B"/>
    <w:rsid w:val="40BE2CAE"/>
    <w:rsid w:val="40C87F0D"/>
    <w:rsid w:val="40CE6434"/>
    <w:rsid w:val="40E13187"/>
    <w:rsid w:val="40E4111E"/>
    <w:rsid w:val="40F110C9"/>
    <w:rsid w:val="40F71EFC"/>
    <w:rsid w:val="40FA7D3C"/>
    <w:rsid w:val="40FC6040"/>
    <w:rsid w:val="41013098"/>
    <w:rsid w:val="41046C1A"/>
    <w:rsid w:val="410A66D3"/>
    <w:rsid w:val="411252F5"/>
    <w:rsid w:val="4114428E"/>
    <w:rsid w:val="41173D23"/>
    <w:rsid w:val="411832BB"/>
    <w:rsid w:val="41216561"/>
    <w:rsid w:val="4126157E"/>
    <w:rsid w:val="412E1703"/>
    <w:rsid w:val="41341D04"/>
    <w:rsid w:val="413D1085"/>
    <w:rsid w:val="41463814"/>
    <w:rsid w:val="414934AE"/>
    <w:rsid w:val="414E4666"/>
    <w:rsid w:val="415840E7"/>
    <w:rsid w:val="415C6645"/>
    <w:rsid w:val="415D4AA5"/>
    <w:rsid w:val="415E3F30"/>
    <w:rsid w:val="41634269"/>
    <w:rsid w:val="416D1041"/>
    <w:rsid w:val="416F185F"/>
    <w:rsid w:val="41755F8B"/>
    <w:rsid w:val="417E6FB2"/>
    <w:rsid w:val="41804E56"/>
    <w:rsid w:val="418B61F9"/>
    <w:rsid w:val="418C5064"/>
    <w:rsid w:val="41901D5A"/>
    <w:rsid w:val="41986734"/>
    <w:rsid w:val="41A26E55"/>
    <w:rsid w:val="41A7534C"/>
    <w:rsid w:val="41AE168E"/>
    <w:rsid w:val="41B000EA"/>
    <w:rsid w:val="41B625DB"/>
    <w:rsid w:val="41B75B9A"/>
    <w:rsid w:val="41BB28C5"/>
    <w:rsid w:val="41C505B5"/>
    <w:rsid w:val="41C64DF5"/>
    <w:rsid w:val="41D7643D"/>
    <w:rsid w:val="41D80DF6"/>
    <w:rsid w:val="41F41099"/>
    <w:rsid w:val="41F4144D"/>
    <w:rsid w:val="41F425A0"/>
    <w:rsid w:val="41FD1E4D"/>
    <w:rsid w:val="42004A07"/>
    <w:rsid w:val="42036CED"/>
    <w:rsid w:val="420445BE"/>
    <w:rsid w:val="42044B55"/>
    <w:rsid w:val="4210342F"/>
    <w:rsid w:val="42106699"/>
    <w:rsid w:val="4213466A"/>
    <w:rsid w:val="421D3532"/>
    <w:rsid w:val="422747DE"/>
    <w:rsid w:val="423D7E2C"/>
    <w:rsid w:val="42405192"/>
    <w:rsid w:val="4253494B"/>
    <w:rsid w:val="42563DD4"/>
    <w:rsid w:val="425F0874"/>
    <w:rsid w:val="42605991"/>
    <w:rsid w:val="42624CEC"/>
    <w:rsid w:val="42667AD5"/>
    <w:rsid w:val="42672F11"/>
    <w:rsid w:val="426B2083"/>
    <w:rsid w:val="42745271"/>
    <w:rsid w:val="42746AFF"/>
    <w:rsid w:val="427A2426"/>
    <w:rsid w:val="428622E0"/>
    <w:rsid w:val="428740C5"/>
    <w:rsid w:val="4295023B"/>
    <w:rsid w:val="42A72E3E"/>
    <w:rsid w:val="42A9771E"/>
    <w:rsid w:val="42AB3CF1"/>
    <w:rsid w:val="42AF06BF"/>
    <w:rsid w:val="42AF0D80"/>
    <w:rsid w:val="42AF744D"/>
    <w:rsid w:val="42B57D24"/>
    <w:rsid w:val="42B97DE2"/>
    <w:rsid w:val="42BE1411"/>
    <w:rsid w:val="42BF0482"/>
    <w:rsid w:val="42C3638C"/>
    <w:rsid w:val="42C53EF7"/>
    <w:rsid w:val="42C8399F"/>
    <w:rsid w:val="42CC1C77"/>
    <w:rsid w:val="42CE7CBC"/>
    <w:rsid w:val="42E67A2D"/>
    <w:rsid w:val="42EF6EDD"/>
    <w:rsid w:val="42F63370"/>
    <w:rsid w:val="42FF7166"/>
    <w:rsid w:val="4303189E"/>
    <w:rsid w:val="43043B4B"/>
    <w:rsid w:val="430C0701"/>
    <w:rsid w:val="431D662D"/>
    <w:rsid w:val="431D7413"/>
    <w:rsid w:val="43230977"/>
    <w:rsid w:val="43260906"/>
    <w:rsid w:val="4329778C"/>
    <w:rsid w:val="432A433E"/>
    <w:rsid w:val="432F48E4"/>
    <w:rsid w:val="433451E7"/>
    <w:rsid w:val="433454E3"/>
    <w:rsid w:val="43380FA2"/>
    <w:rsid w:val="433824BE"/>
    <w:rsid w:val="433914CB"/>
    <w:rsid w:val="433B21AA"/>
    <w:rsid w:val="434030C7"/>
    <w:rsid w:val="43413F90"/>
    <w:rsid w:val="434321EE"/>
    <w:rsid w:val="4348746D"/>
    <w:rsid w:val="434C3803"/>
    <w:rsid w:val="4357411B"/>
    <w:rsid w:val="43624524"/>
    <w:rsid w:val="436B215F"/>
    <w:rsid w:val="436E4602"/>
    <w:rsid w:val="43773B38"/>
    <w:rsid w:val="437C303F"/>
    <w:rsid w:val="437E59F4"/>
    <w:rsid w:val="437F0235"/>
    <w:rsid w:val="438108B1"/>
    <w:rsid w:val="438127FD"/>
    <w:rsid w:val="438C318F"/>
    <w:rsid w:val="438D2962"/>
    <w:rsid w:val="439125BA"/>
    <w:rsid w:val="439B6E00"/>
    <w:rsid w:val="439E21D0"/>
    <w:rsid w:val="43A136C2"/>
    <w:rsid w:val="43A47C8D"/>
    <w:rsid w:val="43A51CEB"/>
    <w:rsid w:val="43A922AD"/>
    <w:rsid w:val="43AE228C"/>
    <w:rsid w:val="43B03D9F"/>
    <w:rsid w:val="43B2322B"/>
    <w:rsid w:val="43B27B0F"/>
    <w:rsid w:val="43BD17B6"/>
    <w:rsid w:val="43BF433F"/>
    <w:rsid w:val="43C60D41"/>
    <w:rsid w:val="43C71A8C"/>
    <w:rsid w:val="43CB49D5"/>
    <w:rsid w:val="43CC296D"/>
    <w:rsid w:val="43D10BA3"/>
    <w:rsid w:val="43D51B86"/>
    <w:rsid w:val="43D5596E"/>
    <w:rsid w:val="43D946DF"/>
    <w:rsid w:val="43DD3E84"/>
    <w:rsid w:val="43E63A35"/>
    <w:rsid w:val="43EA4AD8"/>
    <w:rsid w:val="43EA731F"/>
    <w:rsid w:val="43EF4362"/>
    <w:rsid w:val="43F5608C"/>
    <w:rsid w:val="43F67648"/>
    <w:rsid w:val="43FA20D7"/>
    <w:rsid w:val="440433D0"/>
    <w:rsid w:val="44081998"/>
    <w:rsid w:val="440A1D09"/>
    <w:rsid w:val="44105FE6"/>
    <w:rsid w:val="44163757"/>
    <w:rsid w:val="442C57B9"/>
    <w:rsid w:val="442E6250"/>
    <w:rsid w:val="44304862"/>
    <w:rsid w:val="44336B29"/>
    <w:rsid w:val="44411D78"/>
    <w:rsid w:val="444255C8"/>
    <w:rsid w:val="44555450"/>
    <w:rsid w:val="44565401"/>
    <w:rsid w:val="445C184B"/>
    <w:rsid w:val="445C1F8C"/>
    <w:rsid w:val="445C2CEB"/>
    <w:rsid w:val="44623D2C"/>
    <w:rsid w:val="4469425C"/>
    <w:rsid w:val="446A38D3"/>
    <w:rsid w:val="446C5925"/>
    <w:rsid w:val="44715BA6"/>
    <w:rsid w:val="44744DE1"/>
    <w:rsid w:val="4480267E"/>
    <w:rsid w:val="44813BCD"/>
    <w:rsid w:val="44825908"/>
    <w:rsid w:val="448F333F"/>
    <w:rsid w:val="449A5595"/>
    <w:rsid w:val="44A273D7"/>
    <w:rsid w:val="44A3165A"/>
    <w:rsid w:val="44A472F3"/>
    <w:rsid w:val="44A949BB"/>
    <w:rsid w:val="44B47D28"/>
    <w:rsid w:val="44BE6AFA"/>
    <w:rsid w:val="44BE7B38"/>
    <w:rsid w:val="44C10C52"/>
    <w:rsid w:val="44C4343F"/>
    <w:rsid w:val="44CC5637"/>
    <w:rsid w:val="44CE1860"/>
    <w:rsid w:val="44D01EAB"/>
    <w:rsid w:val="44D61276"/>
    <w:rsid w:val="44D842C0"/>
    <w:rsid w:val="44F05372"/>
    <w:rsid w:val="44F550F4"/>
    <w:rsid w:val="44FB2020"/>
    <w:rsid w:val="450005C9"/>
    <w:rsid w:val="45076069"/>
    <w:rsid w:val="450E225C"/>
    <w:rsid w:val="450E5F3E"/>
    <w:rsid w:val="45156B4C"/>
    <w:rsid w:val="451C3C3F"/>
    <w:rsid w:val="45202195"/>
    <w:rsid w:val="45206477"/>
    <w:rsid w:val="45282E33"/>
    <w:rsid w:val="45361C96"/>
    <w:rsid w:val="45367180"/>
    <w:rsid w:val="453936A0"/>
    <w:rsid w:val="45404081"/>
    <w:rsid w:val="454174EC"/>
    <w:rsid w:val="454B27CA"/>
    <w:rsid w:val="4555071F"/>
    <w:rsid w:val="455B027F"/>
    <w:rsid w:val="45634F36"/>
    <w:rsid w:val="45642839"/>
    <w:rsid w:val="456433C3"/>
    <w:rsid w:val="4566286A"/>
    <w:rsid w:val="456653F0"/>
    <w:rsid w:val="456745BB"/>
    <w:rsid w:val="45677DA7"/>
    <w:rsid w:val="45736E48"/>
    <w:rsid w:val="45743F66"/>
    <w:rsid w:val="45761FD8"/>
    <w:rsid w:val="457B0C49"/>
    <w:rsid w:val="45825E81"/>
    <w:rsid w:val="45864B77"/>
    <w:rsid w:val="458A06CD"/>
    <w:rsid w:val="458D3A63"/>
    <w:rsid w:val="4597177B"/>
    <w:rsid w:val="45A85821"/>
    <w:rsid w:val="45AA0EA4"/>
    <w:rsid w:val="45AC57A6"/>
    <w:rsid w:val="45AF03CF"/>
    <w:rsid w:val="45B23BD8"/>
    <w:rsid w:val="45B31674"/>
    <w:rsid w:val="45B52BBB"/>
    <w:rsid w:val="45C3178B"/>
    <w:rsid w:val="45C56C6C"/>
    <w:rsid w:val="45C67344"/>
    <w:rsid w:val="45C81474"/>
    <w:rsid w:val="45C85D55"/>
    <w:rsid w:val="45C91BC6"/>
    <w:rsid w:val="45CD1312"/>
    <w:rsid w:val="45CE3F02"/>
    <w:rsid w:val="45D15325"/>
    <w:rsid w:val="45DE2684"/>
    <w:rsid w:val="45E349A9"/>
    <w:rsid w:val="45F22D7B"/>
    <w:rsid w:val="45F25B71"/>
    <w:rsid w:val="45F6092A"/>
    <w:rsid w:val="45FD29AC"/>
    <w:rsid w:val="46122C2B"/>
    <w:rsid w:val="461E6998"/>
    <w:rsid w:val="46202725"/>
    <w:rsid w:val="4622618B"/>
    <w:rsid w:val="4624768B"/>
    <w:rsid w:val="46283409"/>
    <w:rsid w:val="462E1DEC"/>
    <w:rsid w:val="462F257F"/>
    <w:rsid w:val="46316796"/>
    <w:rsid w:val="46436765"/>
    <w:rsid w:val="464C35D1"/>
    <w:rsid w:val="464C5980"/>
    <w:rsid w:val="464C598F"/>
    <w:rsid w:val="46541012"/>
    <w:rsid w:val="46595BDC"/>
    <w:rsid w:val="465B04AA"/>
    <w:rsid w:val="466467A4"/>
    <w:rsid w:val="466B7E63"/>
    <w:rsid w:val="46726232"/>
    <w:rsid w:val="46731512"/>
    <w:rsid w:val="46795DED"/>
    <w:rsid w:val="468843FE"/>
    <w:rsid w:val="469849B7"/>
    <w:rsid w:val="46991FD8"/>
    <w:rsid w:val="469D4E61"/>
    <w:rsid w:val="46A36DFD"/>
    <w:rsid w:val="46AF4C2E"/>
    <w:rsid w:val="46BC2272"/>
    <w:rsid w:val="46C45DEE"/>
    <w:rsid w:val="46D62B88"/>
    <w:rsid w:val="46D929E4"/>
    <w:rsid w:val="46DA3CDF"/>
    <w:rsid w:val="46DD3A97"/>
    <w:rsid w:val="46E122D5"/>
    <w:rsid w:val="46E51519"/>
    <w:rsid w:val="46E72217"/>
    <w:rsid w:val="46EB56D0"/>
    <w:rsid w:val="46EF6BE5"/>
    <w:rsid w:val="46F94629"/>
    <w:rsid w:val="46FE33A2"/>
    <w:rsid w:val="47001C0D"/>
    <w:rsid w:val="4700310A"/>
    <w:rsid w:val="47034B98"/>
    <w:rsid w:val="47067487"/>
    <w:rsid w:val="470675DD"/>
    <w:rsid w:val="47102BE0"/>
    <w:rsid w:val="47115999"/>
    <w:rsid w:val="47123D8D"/>
    <w:rsid w:val="471651A2"/>
    <w:rsid w:val="47195C33"/>
    <w:rsid w:val="47200180"/>
    <w:rsid w:val="472322A2"/>
    <w:rsid w:val="472E14A0"/>
    <w:rsid w:val="472F2F47"/>
    <w:rsid w:val="47304A60"/>
    <w:rsid w:val="47321070"/>
    <w:rsid w:val="47383706"/>
    <w:rsid w:val="473F3443"/>
    <w:rsid w:val="47442FEA"/>
    <w:rsid w:val="47476898"/>
    <w:rsid w:val="474825BA"/>
    <w:rsid w:val="474D1ED5"/>
    <w:rsid w:val="47524966"/>
    <w:rsid w:val="475E1AB6"/>
    <w:rsid w:val="4764753D"/>
    <w:rsid w:val="47663624"/>
    <w:rsid w:val="47697DC4"/>
    <w:rsid w:val="4779594B"/>
    <w:rsid w:val="477E3FE9"/>
    <w:rsid w:val="47861281"/>
    <w:rsid w:val="478E58BD"/>
    <w:rsid w:val="478E7E15"/>
    <w:rsid w:val="47933AFC"/>
    <w:rsid w:val="47946581"/>
    <w:rsid w:val="47997ECC"/>
    <w:rsid w:val="479C04C3"/>
    <w:rsid w:val="47A938A8"/>
    <w:rsid w:val="47AD2393"/>
    <w:rsid w:val="47AF4DB4"/>
    <w:rsid w:val="47C05960"/>
    <w:rsid w:val="47CA211A"/>
    <w:rsid w:val="47CE6AD8"/>
    <w:rsid w:val="47D00B76"/>
    <w:rsid w:val="47D266F4"/>
    <w:rsid w:val="47EB3A88"/>
    <w:rsid w:val="47ED09EA"/>
    <w:rsid w:val="47F03825"/>
    <w:rsid w:val="47F67231"/>
    <w:rsid w:val="47F72583"/>
    <w:rsid w:val="47FE4F97"/>
    <w:rsid w:val="48043BE9"/>
    <w:rsid w:val="48050F31"/>
    <w:rsid w:val="480A49CF"/>
    <w:rsid w:val="480B064E"/>
    <w:rsid w:val="48152A57"/>
    <w:rsid w:val="481B77EC"/>
    <w:rsid w:val="481F00E4"/>
    <w:rsid w:val="48230137"/>
    <w:rsid w:val="482A5E63"/>
    <w:rsid w:val="48324267"/>
    <w:rsid w:val="48357C17"/>
    <w:rsid w:val="483602D1"/>
    <w:rsid w:val="48360F72"/>
    <w:rsid w:val="48466EDC"/>
    <w:rsid w:val="486022F2"/>
    <w:rsid w:val="486505C9"/>
    <w:rsid w:val="48717233"/>
    <w:rsid w:val="487736C7"/>
    <w:rsid w:val="48794416"/>
    <w:rsid w:val="4886149A"/>
    <w:rsid w:val="48870995"/>
    <w:rsid w:val="488933F6"/>
    <w:rsid w:val="488F18B7"/>
    <w:rsid w:val="489C5A7F"/>
    <w:rsid w:val="489C5B95"/>
    <w:rsid w:val="489F248C"/>
    <w:rsid w:val="48A47128"/>
    <w:rsid w:val="48A53F58"/>
    <w:rsid w:val="48AA10E1"/>
    <w:rsid w:val="48AF1323"/>
    <w:rsid w:val="48B010C7"/>
    <w:rsid w:val="48B2080D"/>
    <w:rsid w:val="48B5518F"/>
    <w:rsid w:val="48BA7016"/>
    <w:rsid w:val="48BE6136"/>
    <w:rsid w:val="48C06AA9"/>
    <w:rsid w:val="48C17060"/>
    <w:rsid w:val="48D22DB3"/>
    <w:rsid w:val="48D93445"/>
    <w:rsid w:val="48D9627C"/>
    <w:rsid w:val="48DA1D9C"/>
    <w:rsid w:val="48DC218D"/>
    <w:rsid w:val="48DF3D7D"/>
    <w:rsid w:val="48DF3DBB"/>
    <w:rsid w:val="48E4725A"/>
    <w:rsid w:val="48E90615"/>
    <w:rsid w:val="48E915DE"/>
    <w:rsid w:val="48EB611E"/>
    <w:rsid w:val="48F7177C"/>
    <w:rsid w:val="48F9720D"/>
    <w:rsid w:val="490008E6"/>
    <w:rsid w:val="490425AB"/>
    <w:rsid w:val="49047124"/>
    <w:rsid w:val="49076238"/>
    <w:rsid w:val="49104838"/>
    <w:rsid w:val="49200C47"/>
    <w:rsid w:val="49250443"/>
    <w:rsid w:val="49267368"/>
    <w:rsid w:val="49276313"/>
    <w:rsid w:val="492F1B04"/>
    <w:rsid w:val="492F25A6"/>
    <w:rsid w:val="4930158D"/>
    <w:rsid w:val="493166F2"/>
    <w:rsid w:val="493E2578"/>
    <w:rsid w:val="4941564C"/>
    <w:rsid w:val="4943084D"/>
    <w:rsid w:val="495B2F5A"/>
    <w:rsid w:val="49660B64"/>
    <w:rsid w:val="496E056A"/>
    <w:rsid w:val="497930F9"/>
    <w:rsid w:val="497E5F0E"/>
    <w:rsid w:val="49863345"/>
    <w:rsid w:val="49895BF9"/>
    <w:rsid w:val="49896889"/>
    <w:rsid w:val="498B006E"/>
    <w:rsid w:val="498F2FB2"/>
    <w:rsid w:val="499C126E"/>
    <w:rsid w:val="49A20032"/>
    <w:rsid w:val="49A82756"/>
    <w:rsid w:val="49A86BF4"/>
    <w:rsid w:val="49A902DE"/>
    <w:rsid w:val="49A961CD"/>
    <w:rsid w:val="49B31A93"/>
    <w:rsid w:val="49B337E8"/>
    <w:rsid w:val="49B57903"/>
    <w:rsid w:val="49BB0B72"/>
    <w:rsid w:val="49BD536F"/>
    <w:rsid w:val="49CC2660"/>
    <w:rsid w:val="49CD3C98"/>
    <w:rsid w:val="49D903D2"/>
    <w:rsid w:val="49E27CCF"/>
    <w:rsid w:val="49F44446"/>
    <w:rsid w:val="49F543E3"/>
    <w:rsid w:val="49FA00AE"/>
    <w:rsid w:val="4A03365C"/>
    <w:rsid w:val="4A037F7B"/>
    <w:rsid w:val="4A0C3345"/>
    <w:rsid w:val="4A12511A"/>
    <w:rsid w:val="4A1C6B3C"/>
    <w:rsid w:val="4A272B59"/>
    <w:rsid w:val="4A2A339F"/>
    <w:rsid w:val="4A2A4742"/>
    <w:rsid w:val="4A3849A0"/>
    <w:rsid w:val="4A3B0ADD"/>
    <w:rsid w:val="4A3D1213"/>
    <w:rsid w:val="4A405618"/>
    <w:rsid w:val="4A42752E"/>
    <w:rsid w:val="4A463FDD"/>
    <w:rsid w:val="4A4D2C8C"/>
    <w:rsid w:val="4A4D6FE1"/>
    <w:rsid w:val="4A4F464E"/>
    <w:rsid w:val="4A500FF5"/>
    <w:rsid w:val="4A51053D"/>
    <w:rsid w:val="4A541B9F"/>
    <w:rsid w:val="4A565C2E"/>
    <w:rsid w:val="4A5B2412"/>
    <w:rsid w:val="4A603371"/>
    <w:rsid w:val="4A665A8F"/>
    <w:rsid w:val="4A6B6C00"/>
    <w:rsid w:val="4A7A1A7F"/>
    <w:rsid w:val="4A7B1C95"/>
    <w:rsid w:val="4A7C6D92"/>
    <w:rsid w:val="4A80680F"/>
    <w:rsid w:val="4A8141FB"/>
    <w:rsid w:val="4A8758F1"/>
    <w:rsid w:val="4A8B2BFF"/>
    <w:rsid w:val="4A8B46F9"/>
    <w:rsid w:val="4A8C3D45"/>
    <w:rsid w:val="4A923316"/>
    <w:rsid w:val="4A996D58"/>
    <w:rsid w:val="4A9D364F"/>
    <w:rsid w:val="4AA637CE"/>
    <w:rsid w:val="4AAA2363"/>
    <w:rsid w:val="4AAC0232"/>
    <w:rsid w:val="4AB420A2"/>
    <w:rsid w:val="4AB42562"/>
    <w:rsid w:val="4AB971E8"/>
    <w:rsid w:val="4ABC4127"/>
    <w:rsid w:val="4ABE3518"/>
    <w:rsid w:val="4AC14B57"/>
    <w:rsid w:val="4AC462B3"/>
    <w:rsid w:val="4AC908CA"/>
    <w:rsid w:val="4AC95E08"/>
    <w:rsid w:val="4ACC60F1"/>
    <w:rsid w:val="4ACE3D63"/>
    <w:rsid w:val="4AD13FBF"/>
    <w:rsid w:val="4AD37FB6"/>
    <w:rsid w:val="4AED546D"/>
    <w:rsid w:val="4AF15169"/>
    <w:rsid w:val="4AF33411"/>
    <w:rsid w:val="4AFC4739"/>
    <w:rsid w:val="4AFF7966"/>
    <w:rsid w:val="4B08211A"/>
    <w:rsid w:val="4B0F4D9F"/>
    <w:rsid w:val="4B0F7B33"/>
    <w:rsid w:val="4B154062"/>
    <w:rsid w:val="4B1C2009"/>
    <w:rsid w:val="4B2B654D"/>
    <w:rsid w:val="4B2D2A9B"/>
    <w:rsid w:val="4B313BE7"/>
    <w:rsid w:val="4B331125"/>
    <w:rsid w:val="4B3405F9"/>
    <w:rsid w:val="4B3B6A66"/>
    <w:rsid w:val="4B3F276A"/>
    <w:rsid w:val="4B425A4D"/>
    <w:rsid w:val="4B473804"/>
    <w:rsid w:val="4B5151AA"/>
    <w:rsid w:val="4B537CBF"/>
    <w:rsid w:val="4B545E28"/>
    <w:rsid w:val="4B550153"/>
    <w:rsid w:val="4B625E90"/>
    <w:rsid w:val="4B641191"/>
    <w:rsid w:val="4B694B3A"/>
    <w:rsid w:val="4B730932"/>
    <w:rsid w:val="4B76529F"/>
    <w:rsid w:val="4B797876"/>
    <w:rsid w:val="4B7A237E"/>
    <w:rsid w:val="4B815FB3"/>
    <w:rsid w:val="4B86443F"/>
    <w:rsid w:val="4B9A0C4D"/>
    <w:rsid w:val="4B9B3B70"/>
    <w:rsid w:val="4B9E74F5"/>
    <w:rsid w:val="4B9E7936"/>
    <w:rsid w:val="4BA62ACE"/>
    <w:rsid w:val="4BAC176A"/>
    <w:rsid w:val="4BAF7A14"/>
    <w:rsid w:val="4BB7667A"/>
    <w:rsid w:val="4BBA25CD"/>
    <w:rsid w:val="4BBB242F"/>
    <w:rsid w:val="4BBB66CC"/>
    <w:rsid w:val="4BC15B7C"/>
    <w:rsid w:val="4BC22308"/>
    <w:rsid w:val="4BCC5B3C"/>
    <w:rsid w:val="4BD06F1C"/>
    <w:rsid w:val="4BD119E3"/>
    <w:rsid w:val="4BD11B2A"/>
    <w:rsid w:val="4BD13574"/>
    <w:rsid w:val="4BD47BEF"/>
    <w:rsid w:val="4BDA74DE"/>
    <w:rsid w:val="4BE06BCD"/>
    <w:rsid w:val="4BE413D6"/>
    <w:rsid w:val="4BE86538"/>
    <w:rsid w:val="4C001FDF"/>
    <w:rsid w:val="4C040A9A"/>
    <w:rsid w:val="4C0770C1"/>
    <w:rsid w:val="4C1F0776"/>
    <w:rsid w:val="4C232063"/>
    <w:rsid w:val="4C2503E2"/>
    <w:rsid w:val="4C2C299D"/>
    <w:rsid w:val="4C312198"/>
    <w:rsid w:val="4C322608"/>
    <w:rsid w:val="4C3238CA"/>
    <w:rsid w:val="4C343A7F"/>
    <w:rsid w:val="4C3449FC"/>
    <w:rsid w:val="4C380D78"/>
    <w:rsid w:val="4C3D0756"/>
    <w:rsid w:val="4C3D5FB7"/>
    <w:rsid w:val="4C463137"/>
    <w:rsid w:val="4C4C1686"/>
    <w:rsid w:val="4C513E4B"/>
    <w:rsid w:val="4C542E8F"/>
    <w:rsid w:val="4C603F1D"/>
    <w:rsid w:val="4C6211EA"/>
    <w:rsid w:val="4C635D18"/>
    <w:rsid w:val="4C670EB1"/>
    <w:rsid w:val="4C712086"/>
    <w:rsid w:val="4C7120EC"/>
    <w:rsid w:val="4C7B3D80"/>
    <w:rsid w:val="4C7C605E"/>
    <w:rsid w:val="4C7E2355"/>
    <w:rsid w:val="4C847264"/>
    <w:rsid w:val="4C922A6A"/>
    <w:rsid w:val="4C970E7B"/>
    <w:rsid w:val="4CA371A5"/>
    <w:rsid w:val="4CC1054F"/>
    <w:rsid w:val="4CCB1948"/>
    <w:rsid w:val="4CCE079D"/>
    <w:rsid w:val="4CCE3699"/>
    <w:rsid w:val="4CEA4F4D"/>
    <w:rsid w:val="4CEC58DB"/>
    <w:rsid w:val="4CED4981"/>
    <w:rsid w:val="4CEF637A"/>
    <w:rsid w:val="4CF00FB6"/>
    <w:rsid w:val="4CF16277"/>
    <w:rsid w:val="4CF4672D"/>
    <w:rsid w:val="4CFA2AAF"/>
    <w:rsid w:val="4CFE26B6"/>
    <w:rsid w:val="4D0325CF"/>
    <w:rsid w:val="4D035A68"/>
    <w:rsid w:val="4D0F26CE"/>
    <w:rsid w:val="4D147026"/>
    <w:rsid w:val="4D1478EC"/>
    <w:rsid w:val="4D165C91"/>
    <w:rsid w:val="4D225412"/>
    <w:rsid w:val="4D235945"/>
    <w:rsid w:val="4D255F0E"/>
    <w:rsid w:val="4D2B263E"/>
    <w:rsid w:val="4D2D15D1"/>
    <w:rsid w:val="4D2F06BA"/>
    <w:rsid w:val="4D304130"/>
    <w:rsid w:val="4D386B0D"/>
    <w:rsid w:val="4D3B3869"/>
    <w:rsid w:val="4D4330D3"/>
    <w:rsid w:val="4D4B7DCE"/>
    <w:rsid w:val="4D545407"/>
    <w:rsid w:val="4D694F30"/>
    <w:rsid w:val="4D6B703C"/>
    <w:rsid w:val="4D717BA1"/>
    <w:rsid w:val="4D7F56C3"/>
    <w:rsid w:val="4D855FB9"/>
    <w:rsid w:val="4D8A0B26"/>
    <w:rsid w:val="4D904FEE"/>
    <w:rsid w:val="4D910D8A"/>
    <w:rsid w:val="4D935425"/>
    <w:rsid w:val="4D953CDB"/>
    <w:rsid w:val="4D97309D"/>
    <w:rsid w:val="4D9B559E"/>
    <w:rsid w:val="4D9E090F"/>
    <w:rsid w:val="4DAC6E91"/>
    <w:rsid w:val="4DAE3711"/>
    <w:rsid w:val="4DB63BC4"/>
    <w:rsid w:val="4DB7591C"/>
    <w:rsid w:val="4DBB2984"/>
    <w:rsid w:val="4DCC46DA"/>
    <w:rsid w:val="4DDD5EB7"/>
    <w:rsid w:val="4DDE45A5"/>
    <w:rsid w:val="4DE265E9"/>
    <w:rsid w:val="4DE5023D"/>
    <w:rsid w:val="4DEB419D"/>
    <w:rsid w:val="4DF267CF"/>
    <w:rsid w:val="4DF6484E"/>
    <w:rsid w:val="4E043A0E"/>
    <w:rsid w:val="4E0B5D31"/>
    <w:rsid w:val="4E125681"/>
    <w:rsid w:val="4E1339D8"/>
    <w:rsid w:val="4E145C86"/>
    <w:rsid w:val="4E187CF8"/>
    <w:rsid w:val="4E1A5C2E"/>
    <w:rsid w:val="4E1D303B"/>
    <w:rsid w:val="4E2B3781"/>
    <w:rsid w:val="4E2B74D5"/>
    <w:rsid w:val="4E304710"/>
    <w:rsid w:val="4E337E4B"/>
    <w:rsid w:val="4E365771"/>
    <w:rsid w:val="4E3C3064"/>
    <w:rsid w:val="4E3C5DC0"/>
    <w:rsid w:val="4E446F8B"/>
    <w:rsid w:val="4E4D4DE2"/>
    <w:rsid w:val="4E5669BF"/>
    <w:rsid w:val="4E651EA6"/>
    <w:rsid w:val="4E6757B0"/>
    <w:rsid w:val="4E6C4048"/>
    <w:rsid w:val="4E783D17"/>
    <w:rsid w:val="4E7F2A80"/>
    <w:rsid w:val="4E7F6123"/>
    <w:rsid w:val="4E805C19"/>
    <w:rsid w:val="4E836C4E"/>
    <w:rsid w:val="4E865BCD"/>
    <w:rsid w:val="4E8A6771"/>
    <w:rsid w:val="4E957162"/>
    <w:rsid w:val="4E9E60B6"/>
    <w:rsid w:val="4EA27ACB"/>
    <w:rsid w:val="4EA449D7"/>
    <w:rsid w:val="4EA60E85"/>
    <w:rsid w:val="4EA753EE"/>
    <w:rsid w:val="4EAE3E03"/>
    <w:rsid w:val="4EB379F2"/>
    <w:rsid w:val="4EB838E0"/>
    <w:rsid w:val="4EBC3167"/>
    <w:rsid w:val="4EBC6632"/>
    <w:rsid w:val="4EBD4562"/>
    <w:rsid w:val="4EBD5620"/>
    <w:rsid w:val="4EBE0F4C"/>
    <w:rsid w:val="4EC258F4"/>
    <w:rsid w:val="4EC866B8"/>
    <w:rsid w:val="4ECD0F14"/>
    <w:rsid w:val="4ED017E4"/>
    <w:rsid w:val="4ED03B4F"/>
    <w:rsid w:val="4ED43AE8"/>
    <w:rsid w:val="4EDC1716"/>
    <w:rsid w:val="4EDF6F4B"/>
    <w:rsid w:val="4EE24F10"/>
    <w:rsid w:val="4EE77077"/>
    <w:rsid w:val="4EE8461F"/>
    <w:rsid w:val="4F0206C2"/>
    <w:rsid w:val="4F06414B"/>
    <w:rsid w:val="4F19542F"/>
    <w:rsid w:val="4F1A4FD6"/>
    <w:rsid w:val="4F1C2B4C"/>
    <w:rsid w:val="4F1E1A5A"/>
    <w:rsid w:val="4F2D5479"/>
    <w:rsid w:val="4F2E4FDB"/>
    <w:rsid w:val="4F3127D8"/>
    <w:rsid w:val="4F353521"/>
    <w:rsid w:val="4F3B798B"/>
    <w:rsid w:val="4F424396"/>
    <w:rsid w:val="4F461737"/>
    <w:rsid w:val="4F4937A7"/>
    <w:rsid w:val="4F4A044C"/>
    <w:rsid w:val="4F501AA5"/>
    <w:rsid w:val="4F507138"/>
    <w:rsid w:val="4F5431F2"/>
    <w:rsid w:val="4F594949"/>
    <w:rsid w:val="4F5A315B"/>
    <w:rsid w:val="4F664358"/>
    <w:rsid w:val="4F664D4A"/>
    <w:rsid w:val="4F701C5E"/>
    <w:rsid w:val="4F7041A7"/>
    <w:rsid w:val="4F7349ED"/>
    <w:rsid w:val="4F7C7D62"/>
    <w:rsid w:val="4F8366CD"/>
    <w:rsid w:val="4F88390E"/>
    <w:rsid w:val="4F8865D2"/>
    <w:rsid w:val="4F9102E3"/>
    <w:rsid w:val="4F9A400D"/>
    <w:rsid w:val="4F9C7F5F"/>
    <w:rsid w:val="4FA11827"/>
    <w:rsid w:val="4FA43120"/>
    <w:rsid w:val="4FA57761"/>
    <w:rsid w:val="4FA82F77"/>
    <w:rsid w:val="4FAB07C1"/>
    <w:rsid w:val="4FC12B67"/>
    <w:rsid w:val="4FC87D84"/>
    <w:rsid w:val="4FD33643"/>
    <w:rsid w:val="4FD409F7"/>
    <w:rsid w:val="4FD41054"/>
    <w:rsid w:val="4FD66F8D"/>
    <w:rsid w:val="4FDB5605"/>
    <w:rsid w:val="4FDF7D08"/>
    <w:rsid w:val="4FE45662"/>
    <w:rsid w:val="4FE66728"/>
    <w:rsid w:val="4FE74DC2"/>
    <w:rsid w:val="4FF81090"/>
    <w:rsid w:val="4FFA1BE3"/>
    <w:rsid w:val="4FFF560B"/>
    <w:rsid w:val="50001B8C"/>
    <w:rsid w:val="50033BDE"/>
    <w:rsid w:val="50036BC4"/>
    <w:rsid w:val="500B0DCA"/>
    <w:rsid w:val="500C2A95"/>
    <w:rsid w:val="50133F8A"/>
    <w:rsid w:val="50140C07"/>
    <w:rsid w:val="50176E6F"/>
    <w:rsid w:val="50200664"/>
    <w:rsid w:val="502151EE"/>
    <w:rsid w:val="5022333C"/>
    <w:rsid w:val="50312196"/>
    <w:rsid w:val="503C506C"/>
    <w:rsid w:val="50417E32"/>
    <w:rsid w:val="5042052F"/>
    <w:rsid w:val="504768E3"/>
    <w:rsid w:val="504F0FB9"/>
    <w:rsid w:val="504F769B"/>
    <w:rsid w:val="50537FDD"/>
    <w:rsid w:val="50622728"/>
    <w:rsid w:val="507554C6"/>
    <w:rsid w:val="507D0063"/>
    <w:rsid w:val="50803340"/>
    <w:rsid w:val="50871317"/>
    <w:rsid w:val="508F1D63"/>
    <w:rsid w:val="508F6AC4"/>
    <w:rsid w:val="509631CF"/>
    <w:rsid w:val="509A55F2"/>
    <w:rsid w:val="509B6BFA"/>
    <w:rsid w:val="50A36924"/>
    <w:rsid w:val="50A732FC"/>
    <w:rsid w:val="50AA341E"/>
    <w:rsid w:val="50AB4E2F"/>
    <w:rsid w:val="50AC2418"/>
    <w:rsid w:val="50B421A0"/>
    <w:rsid w:val="50B70FED"/>
    <w:rsid w:val="50BA643F"/>
    <w:rsid w:val="50BC2897"/>
    <w:rsid w:val="50D2215B"/>
    <w:rsid w:val="50DA2205"/>
    <w:rsid w:val="50E2421E"/>
    <w:rsid w:val="50E57F59"/>
    <w:rsid w:val="50EA61D3"/>
    <w:rsid w:val="50FC41E2"/>
    <w:rsid w:val="510319B4"/>
    <w:rsid w:val="5109098F"/>
    <w:rsid w:val="510A4E7D"/>
    <w:rsid w:val="51187091"/>
    <w:rsid w:val="51190722"/>
    <w:rsid w:val="511E5EB5"/>
    <w:rsid w:val="51205217"/>
    <w:rsid w:val="51217565"/>
    <w:rsid w:val="512D5787"/>
    <w:rsid w:val="51371434"/>
    <w:rsid w:val="51382F84"/>
    <w:rsid w:val="513B4CBD"/>
    <w:rsid w:val="513F2A79"/>
    <w:rsid w:val="514E5DF0"/>
    <w:rsid w:val="51505C49"/>
    <w:rsid w:val="515F5290"/>
    <w:rsid w:val="515F5E7D"/>
    <w:rsid w:val="51621B03"/>
    <w:rsid w:val="51677ABF"/>
    <w:rsid w:val="51736010"/>
    <w:rsid w:val="517F4109"/>
    <w:rsid w:val="518140E8"/>
    <w:rsid w:val="518961AE"/>
    <w:rsid w:val="518B0D8B"/>
    <w:rsid w:val="51905BB3"/>
    <w:rsid w:val="519D2A82"/>
    <w:rsid w:val="519E4C2D"/>
    <w:rsid w:val="51A15787"/>
    <w:rsid w:val="51A23180"/>
    <w:rsid w:val="51A44533"/>
    <w:rsid w:val="51B12C2B"/>
    <w:rsid w:val="51B625E5"/>
    <w:rsid w:val="51BB3190"/>
    <w:rsid w:val="51C31AB3"/>
    <w:rsid w:val="51C50057"/>
    <w:rsid w:val="51C83A24"/>
    <w:rsid w:val="51CA6470"/>
    <w:rsid w:val="51CC0195"/>
    <w:rsid w:val="51CF3752"/>
    <w:rsid w:val="51D221A2"/>
    <w:rsid w:val="51DB590D"/>
    <w:rsid w:val="51DC4954"/>
    <w:rsid w:val="51DC7D4F"/>
    <w:rsid w:val="51E372D3"/>
    <w:rsid w:val="51E952C3"/>
    <w:rsid w:val="51F763C2"/>
    <w:rsid w:val="52082F0E"/>
    <w:rsid w:val="520A4FD4"/>
    <w:rsid w:val="520A6A40"/>
    <w:rsid w:val="520B29B2"/>
    <w:rsid w:val="52165ED6"/>
    <w:rsid w:val="52170D68"/>
    <w:rsid w:val="521752D9"/>
    <w:rsid w:val="521832FA"/>
    <w:rsid w:val="521B5CF1"/>
    <w:rsid w:val="521E330E"/>
    <w:rsid w:val="52210969"/>
    <w:rsid w:val="5224158C"/>
    <w:rsid w:val="52250331"/>
    <w:rsid w:val="52251937"/>
    <w:rsid w:val="52291DE3"/>
    <w:rsid w:val="522D32DC"/>
    <w:rsid w:val="522E032A"/>
    <w:rsid w:val="522E48FA"/>
    <w:rsid w:val="52436B21"/>
    <w:rsid w:val="52476CBE"/>
    <w:rsid w:val="52486521"/>
    <w:rsid w:val="52541687"/>
    <w:rsid w:val="525808AD"/>
    <w:rsid w:val="52606B21"/>
    <w:rsid w:val="526142ED"/>
    <w:rsid w:val="5261554B"/>
    <w:rsid w:val="52675267"/>
    <w:rsid w:val="526A42D2"/>
    <w:rsid w:val="527456A0"/>
    <w:rsid w:val="52775B19"/>
    <w:rsid w:val="527820D3"/>
    <w:rsid w:val="527925C0"/>
    <w:rsid w:val="5286536B"/>
    <w:rsid w:val="528D1636"/>
    <w:rsid w:val="528F003F"/>
    <w:rsid w:val="528F6528"/>
    <w:rsid w:val="52927920"/>
    <w:rsid w:val="5294173C"/>
    <w:rsid w:val="52A573D4"/>
    <w:rsid w:val="52AE3C1C"/>
    <w:rsid w:val="52B15A0B"/>
    <w:rsid w:val="52B277B6"/>
    <w:rsid w:val="52B539F6"/>
    <w:rsid w:val="52B87EDF"/>
    <w:rsid w:val="52C2471F"/>
    <w:rsid w:val="52C2744F"/>
    <w:rsid w:val="52CE58A5"/>
    <w:rsid w:val="52CF2A7E"/>
    <w:rsid w:val="52D52D8A"/>
    <w:rsid w:val="52D70C29"/>
    <w:rsid w:val="52E07E6E"/>
    <w:rsid w:val="52E2403D"/>
    <w:rsid w:val="52E87FC9"/>
    <w:rsid w:val="52EA3010"/>
    <w:rsid w:val="52EE6354"/>
    <w:rsid w:val="52EF275D"/>
    <w:rsid w:val="52F87188"/>
    <w:rsid w:val="53035F10"/>
    <w:rsid w:val="530445BC"/>
    <w:rsid w:val="530646FD"/>
    <w:rsid w:val="53073E74"/>
    <w:rsid w:val="53130812"/>
    <w:rsid w:val="53176C42"/>
    <w:rsid w:val="53184746"/>
    <w:rsid w:val="531972CB"/>
    <w:rsid w:val="53227F73"/>
    <w:rsid w:val="532342A1"/>
    <w:rsid w:val="532E4AC7"/>
    <w:rsid w:val="533E55DF"/>
    <w:rsid w:val="5360600D"/>
    <w:rsid w:val="53703765"/>
    <w:rsid w:val="537149ED"/>
    <w:rsid w:val="5376095E"/>
    <w:rsid w:val="537A04E8"/>
    <w:rsid w:val="537D7719"/>
    <w:rsid w:val="53874180"/>
    <w:rsid w:val="53910730"/>
    <w:rsid w:val="53991F46"/>
    <w:rsid w:val="539D00C0"/>
    <w:rsid w:val="53A34926"/>
    <w:rsid w:val="53A430C7"/>
    <w:rsid w:val="53B10861"/>
    <w:rsid w:val="53B71A0D"/>
    <w:rsid w:val="53BA49C0"/>
    <w:rsid w:val="53BF11FF"/>
    <w:rsid w:val="53C2398F"/>
    <w:rsid w:val="53C92C10"/>
    <w:rsid w:val="53CF606A"/>
    <w:rsid w:val="53D111B0"/>
    <w:rsid w:val="53D73576"/>
    <w:rsid w:val="53E22364"/>
    <w:rsid w:val="53E35749"/>
    <w:rsid w:val="53EB4289"/>
    <w:rsid w:val="53EE07E8"/>
    <w:rsid w:val="53F67F24"/>
    <w:rsid w:val="53FE5A9E"/>
    <w:rsid w:val="540B221A"/>
    <w:rsid w:val="54193A5D"/>
    <w:rsid w:val="541C5A78"/>
    <w:rsid w:val="54210A3D"/>
    <w:rsid w:val="54257FE2"/>
    <w:rsid w:val="5428581F"/>
    <w:rsid w:val="542A7306"/>
    <w:rsid w:val="542B47E5"/>
    <w:rsid w:val="54312A0A"/>
    <w:rsid w:val="54451C08"/>
    <w:rsid w:val="54456D76"/>
    <w:rsid w:val="5450152B"/>
    <w:rsid w:val="545412A1"/>
    <w:rsid w:val="54591BCD"/>
    <w:rsid w:val="545A1A3D"/>
    <w:rsid w:val="546936FE"/>
    <w:rsid w:val="546A602B"/>
    <w:rsid w:val="547034CA"/>
    <w:rsid w:val="54724933"/>
    <w:rsid w:val="547801F9"/>
    <w:rsid w:val="54877824"/>
    <w:rsid w:val="54967702"/>
    <w:rsid w:val="549B60CA"/>
    <w:rsid w:val="54A746D1"/>
    <w:rsid w:val="54B14984"/>
    <w:rsid w:val="54B34E33"/>
    <w:rsid w:val="54BC09E2"/>
    <w:rsid w:val="54C257FC"/>
    <w:rsid w:val="54C51C65"/>
    <w:rsid w:val="54C649FB"/>
    <w:rsid w:val="54C766D3"/>
    <w:rsid w:val="54DB3842"/>
    <w:rsid w:val="54DB74B3"/>
    <w:rsid w:val="54DF4A41"/>
    <w:rsid w:val="54E32310"/>
    <w:rsid w:val="54E35B83"/>
    <w:rsid w:val="54E5570D"/>
    <w:rsid w:val="54E656A9"/>
    <w:rsid w:val="54E85406"/>
    <w:rsid w:val="54EE0227"/>
    <w:rsid w:val="54EE4DEC"/>
    <w:rsid w:val="54F1490A"/>
    <w:rsid w:val="54F93AE7"/>
    <w:rsid w:val="54F97DEB"/>
    <w:rsid w:val="5500459A"/>
    <w:rsid w:val="55012EF3"/>
    <w:rsid w:val="55022588"/>
    <w:rsid w:val="5507319C"/>
    <w:rsid w:val="550D4E7F"/>
    <w:rsid w:val="55147F46"/>
    <w:rsid w:val="55197706"/>
    <w:rsid w:val="551B3ADB"/>
    <w:rsid w:val="551F7D03"/>
    <w:rsid w:val="55252910"/>
    <w:rsid w:val="552677BE"/>
    <w:rsid w:val="552E2F45"/>
    <w:rsid w:val="55313992"/>
    <w:rsid w:val="553772EA"/>
    <w:rsid w:val="553A6D2E"/>
    <w:rsid w:val="5546635B"/>
    <w:rsid w:val="55507B46"/>
    <w:rsid w:val="55534568"/>
    <w:rsid w:val="555A0EDC"/>
    <w:rsid w:val="55677E49"/>
    <w:rsid w:val="55692EAC"/>
    <w:rsid w:val="556F587F"/>
    <w:rsid w:val="55714147"/>
    <w:rsid w:val="55744904"/>
    <w:rsid w:val="557C295E"/>
    <w:rsid w:val="557C5B0B"/>
    <w:rsid w:val="55806AF4"/>
    <w:rsid w:val="55812735"/>
    <w:rsid w:val="55861EC8"/>
    <w:rsid w:val="5588140B"/>
    <w:rsid w:val="55891D85"/>
    <w:rsid w:val="5592013C"/>
    <w:rsid w:val="559C7927"/>
    <w:rsid w:val="55A445F2"/>
    <w:rsid w:val="55A57957"/>
    <w:rsid w:val="55AA469C"/>
    <w:rsid w:val="55BC12E8"/>
    <w:rsid w:val="55BD3120"/>
    <w:rsid w:val="55BF56EA"/>
    <w:rsid w:val="55C103AC"/>
    <w:rsid w:val="55C423B5"/>
    <w:rsid w:val="55C6074D"/>
    <w:rsid w:val="55C86079"/>
    <w:rsid w:val="55CA75BB"/>
    <w:rsid w:val="55CC5297"/>
    <w:rsid w:val="55D31938"/>
    <w:rsid w:val="55DA77E0"/>
    <w:rsid w:val="55EE6E58"/>
    <w:rsid w:val="55F2238E"/>
    <w:rsid w:val="55F24132"/>
    <w:rsid w:val="55FB05FF"/>
    <w:rsid w:val="55FC794D"/>
    <w:rsid w:val="56012A7B"/>
    <w:rsid w:val="56150744"/>
    <w:rsid w:val="56172C84"/>
    <w:rsid w:val="56206259"/>
    <w:rsid w:val="562219AC"/>
    <w:rsid w:val="56230DC5"/>
    <w:rsid w:val="562B59B0"/>
    <w:rsid w:val="562B64D0"/>
    <w:rsid w:val="56351882"/>
    <w:rsid w:val="56387876"/>
    <w:rsid w:val="56391384"/>
    <w:rsid w:val="563F06E3"/>
    <w:rsid w:val="564C27AB"/>
    <w:rsid w:val="565078DE"/>
    <w:rsid w:val="565222DD"/>
    <w:rsid w:val="565907FF"/>
    <w:rsid w:val="565D6940"/>
    <w:rsid w:val="566101A8"/>
    <w:rsid w:val="56666AC5"/>
    <w:rsid w:val="56701442"/>
    <w:rsid w:val="56793306"/>
    <w:rsid w:val="56797C74"/>
    <w:rsid w:val="568116C5"/>
    <w:rsid w:val="568630E0"/>
    <w:rsid w:val="568F0B4D"/>
    <w:rsid w:val="5691640E"/>
    <w:rsid w:val="56927F4A"/>
    <w:rsid w:val="569C03A7"/>
    <w:rsid w:val="569E53D6"/>
    <w:rsid w:val="56A304C3"/>
    <w:rsid w:val="56A353B3"/>
    <w:rsid w:val="56AD16B1"/>
    <w:rsid w:val="56B44FF7"/>
    <w:rsid w:val="56B76AF7"/>
    <w:rsid w:val="56BA0EDB"/>
    <w:rsid w:val="56BA5BFC"/>
    <w:rsid w:val="56C6377A"/>
    <w:rsid w:val="56D60D34"/>
    <w:rsid w:val="56D76BB3"/>
    <w:rsid w:val="56DA1A1C"/>
    <w:rsid w:val="56E90EF6"/>
    <w:rsid w:val="56F50794"/>
    <w:rsid w:val="56F82259"/>
    <w:rsid w:val="56FC12BF"/>
    <w:rsid w:val="56FE5AE3"/>
    <w:rsid w:val="570255BE"/>
    <w:rsid w:val="570426CC"/>
    <w:rsid w:val="57100D05"/>
    <w:rsid w:val="57100E69"/>
    <w:rsid w:val="57103E85"/>
    <w:rsid w:val="57167A78"/>
    <w:rsid w:val="571E4103"/>
    <w:rsid w:val="5724356E"/>
    <w:rsid w:val="573B1E04"/>
    <w:rsid w:val="573B396A"/>
    <w:rsid w:val="576019A8"/>
    <w:rsid w:val="576E1A2E"/>
    <w:rsid w:val="576F00D0"/>
    <w:rsid w:val="57780B15"/>
    <w:rsid w:val="577C7921"/>
    <w:rsid w:val="577D6052"/>
    <w:rsid w:val="578130EB"/>
    <w:rsid w:val="5781472D"/>
    <w:rsid w:val="57842581"/>
    <w:rsid w:val="57860B1C"/>
    <w:rsid w:val="578F1CC6"/>
    <w:rsid w:val="579016BB"/>
    <w:rsid w:val="579131AA"/>
    <w:rsid w:val="57961B8E"/>
    <w:rsid w:val="579A34FF"/>
    <w:rsid w:val="57A05D52"/>
    <w:rsid w:val="57A65B21"/>
    <w:rsid w:val="57A93B1C"/>
    <w:rsid w:val="57AC3C72"/>
    <w:rsid w:val="57AC71EF"/>
    <w:rsid w:val="57B30CCB"/>
    <w:rsid w:val="57B82FE8"/>
    <w:rsid w:val="57BA183B"/>
    <w:rsid w:val="57BC21E8"/>
    <w:rsid w:val="57C563BF"/>
    <w:rsid w:val="57C64CE3"/>
    <w:rsid w:val="57CF1AC2"/>
    <w:rsid w:val="57CF411E"/>
    <w:rsid w:val="57CF6469"/>
    <w:rsid w:val="57D20F94"/>
    <w:rsid w:val="57E359C9"/>
    <w:rsid w:val="57E62EFD"/>
    <w:rsid w:val="57E8494C"/>
    <w:rsid w:val="57EA66DC"/>
    <w:rsid w:val="57F75230"/>
    <w:rsid w:val="57FA5E75"/>
    <w:rsid w:val="58000E35"/>
    <w:rsid w:val="58186CE6"/>
    <w:rsid w:val="58222E9F"/>
    <w:rsid w:val="58251D17"/>
    <w:rsid w:val="582D3231"/>
    <w:rsid w:val="58316A55"/>
    <w:rsid w:val="58327850"/>
    <w:rsid w:val="583F3207"/>
    <w:rsid w:val="58452DB9"/>
    <w:rsid w:val="5846017C"/>
    <w:rsid w:val="58484E27"/>
    <w:rsid w:val="58514B7B"/>
    <w:rsid w:val="58525C17"/>
    <w:rsid w:val="58592455"/>
    <w:rsid w:val="586815ED"/>
    <w:rsid w:val="586B3009"/>
    <w:rsid w:val="5875165E"/>
    <w:rsid w:val="58775EED"/>
    <w:rsid w:val="58790B5B"/>
    <w:rsid w:val="588D7FDD"/>
    <w:rsid w:val="58924ECC"/>
    <w:rsid w:val="589511CE"/>
    <w:rsid w:val="5895256C"/>
    <w:rsid w:val="58965AA7"/>
    <w:rsid w:val="5899451C"/>
    <w:rsid w:val="589C6409"/>
    <w:rsid w:val="589D4D39"/>
    <w:rsid w:val="58A34E0C"/>
    <w:rsid w:val="58AE31F5"/>
    <w:rsid w:val="58B12F45"/>
    <w:rsid w:val="58B354B8"/>
    <w:rsid w:val="58B545E6"/>
    <w:rsid w:val="58B60FB7"/>
    <w:rsid w:val="58BB01CF"/>
    <w:rsid w:val="58BD1D42"/>
    <w:rsid w:val="58C04526"/>
    <w:rsid w:val="58C15643"/>
    <w:rsid w:val="58C25B98"/>
    <w:rsid w:val="58C925C7"/>
    <w:rsid w:val="58D215DA"/>
    <w:rsid w:val="58DE296B"/>
    <w:rsid w:val="58E05B85"/>
    <w:rsid w:val="58F141D6"/>
    <w:rsid w:val="58F9654F"/>
    <w:rsid w:val="58F979E8"/>
    <w:rsid w:val="58FB6C25"/>
    <w:rsid w:val="58FE08ED"/>
    <w:rsid w:val="59061DAE"/>
    <w:rsid w:val="590C2CEF"/>
    <w:rsid w:val="590E4EED"/>
    <w:rsid w:val="5914669F"/>
    <w:rsid w:val="591557DB"/>
    <w:rsid w:val="591A5C30"/>
    <w:rsid w:val="591C4B79"/>
    <w:rsid w:val="591F2957"/>
    <w:rsid w:val="59262A74"/>
    <w:rsid w:val="592F1CE2"/>
    <w:rsid w:val="59371CA9"/>
    <w:rsid w:val="593C5853"/>
    <w:rsid w:val="593E005D"/>
    <w:rsid w:val="5940158A"/>
    <w:rsid w:val="59454372"/>
    <w:rsid w:val="594606CC"/>
    <w:rsid w:val="594B6D49"/>
    <w:rsid w:val="596460E9"/>
    <w:rsid w:val="59697600"/>
    <w:rsid w:val="596C25D4"/>
    <w:rsid w:val="597028E6"/>
    <w:rsid w:val="597D38D7"/>
    <w:rsid w:val="598910A1"/>
    <w:rsid w:val="598A75D0"/>
    <w:rsid w:val="59935094"/>
    <w:rsid w:val="5995496F"/>
    <w:rsid w:val="59A62A34"/>
    <w:rsid w:val="59AB1748"/>
    <w:rsid w:val="59AF2059"/>
    <w:rsid w:val="59B159CB"/>
    <w:rsid w:val="59B51848"/>
    <w:rsid w:val="59B80057"/>
    <w:rsid w:val="59BC67AC"/>
    <w:rsid w:val="59C03938"/>
    <w:rsid w:val="59C811F1"/>
    <w:rsid w:val="59C83D69"/>
    <w:rsid w:val="59CB01B4"/>
    <w:rsid w:val="59CC0DAD"/>
    <w:rsid w:val="59CF1C3E"/>
    <w:rsid w:val="59D76A58"/>
    <w:rsid w:val="59D87B36"/>
    <w:rsid w:val="59E57113"/>
    <w:rsid w:val="59E91981"/>
    <w:rsid w:val="59F22823"/>
    <w:rsid w:val="59F35BF5"/>
    <w:rsid w:val="59F42704"/>
    <w:rsid w:val="59FD1C88"/>
    <w:rsid w:val="5A0020BE"/>
    <w:rsid w:val="5A004EC8"/>
    <w:rsid w:val="5A02215A"/>
    <w:rsid w:val="5A0823EC"/>
    <w:rsid w:val="5A0B4999"/>
    <w:rsid w:val="5A0C5C1F"/>
    <w:rsid w:val="5A1219E8"/>
    <w:rsid w:val="5A1601E1"/>
    <w:rsid w:val="5A1A2003"/>
    <w:rsid w:val="5A2023BC"/>
    <w:rsid w:val="5A2534E2"/>
    <w:rsid w:val="5A272110"/>
    <w:rsid w:val="5A2F52ED"/>
    <w:rsid w:val="5A307C26"/>
    <w:rsid w:val="5A307F73"/>
    <w:rsid w:val="5A341010"/>
    <w:rsid w:val="5A3A1517"/>
    <w:rsid w:val="5A4D351E"/>
    <w:rsid w:val="5A507300"/>
    <w:rsid w:val="5A51154D"/>
    <w:rsid w:val="5A523957"/>
    <w:rsid w:val="5A532CC8"/>
    <w:rsid w:val="5A612789"/>
    <w:rsid w:val="5A6543C4"/>
    <w:rsid w:val="5A6A5675"/>
    <w:rsid w:val="5A6E205B"/>
    <w:rsid w:val="5A7B2C70"/>
    <w:rsid w:val="5A7C2218"/>
    <w:rsid w:val="5A7C5822"/>
    <w:rsid w:val="5A847FE5"/>
    <w:rsid w:val="5A916654"/>
    <w:rsid w:val="5A9B3B8F"/>
    <w:rsid w:val="5A9D6553"/>
    <w:rsid w:val="5A9E6004"/>
    <w:rsid w:val="5AA206E2"/>
    <w:rsid w:val="5AAB402B"/>
    <w:rsid w:val="5AAF46FD"/>
    <w:rsid w:val="5AB36954"/>
    <w:rsid w:val="5ABB0D66"/>
    <w:rsid w:val="5ABE401A"/>
    <w:rsid w:val="5AC526EE"/>
    <w:rsid w:val="5ACB4B14"/>
    <w:rsid w:val="5AD45224"/>
    <w:rsid w:val="5ADA5032"/>
    <w:rsid w:val="5ADC6365"/>
    <w:rsid w:val="5AED2A7F"/>
    <w:rsid w:val="5B0A16D4"/>
    <w:rsid w:val="5B0B0FE2"/>
    <w:rsid w:val="5B1029A0"/>
    <w:rsid w:val="5B18258F"/>
    <w:rsid w:val="5B28216A"/>
    <w:rsid w:val="5B2B1ACA"/>
    <w:rsid w:val="5B302C2D"/>
    <w:rsid w:val="5B33397C"/>
    <w:rsid w:val="5B35552C"/>
    <w:rsid w:val="5B356E68"/>
    <w:rsid w:val="5B3A4E8A"/>
    <w:rsid w:val="5B43203B"/>
    <w:rsid w:val="5B485D9E"/>
    <w:rsid w:val="5B4E4DA1"/>
    <w:rsid w:val="5B5335BE"/>
    <w:rsid w:val="5B613886"/>
    <w:rsid w:val="5B6A6045"/>
    <w:rsid w:val="5B6C39BD"/>
    <w:rsid w:val="5B7B1E82"/>
    <w:rsid w:val="5B862B77"/>
    <w:rsid w:val="5B944D80"/>
    <w:rsid w:val="5B9509FD"/>
    <w:rsid w:val="5B957A5E"/>
    <w:rsid w:val="5BAB4BEE"/>
    <w:rsid w:val="5BB210AD"/>
    <w:rsid w:val="5BB30012"/>
    <w:rsid w:val="5BB47B97"/>
    <w:rsid w:val="5BB81EEF"/>
    <w:rsid w:val="5BC23198"/>
    <w:rsid w:val="5BC3049A"/>
    <w:rsid w:val="5BC52C1C"/>
    <w:rsid w:val="5BCE2157"/>
    <w:rsid w:val="5BD14762"/>
    <w:rsid w:val="5BD2376F"/>
    <w:rsid w:val="5BEA66B7"/>
    <w:rsid w:val="5BEB4DCC"/>
    <w:rsid w:val="5BF81226"/>
    <w:rsid w:val="5BFB7485"/>
    <w:rsid w:val="5C0042AF"/>
    <w:rsid w:val="5C021D5C"/>
    <w:rsid w:val="5C097E8B"/>
    <w:rsid w:val="5C0E1887"/>
    <w:rsid w:val="5C0E448E"/>
    <w:rsid w:val="5C116FBD"/>
    <w:rsid w:val="5C18254C"/>
    <w:rsid w:val="5C1B2C25"/>
    <w:rsid w:val="5C1E0099"/>
    <w:rsid w:val="5C24204D"/>
    <w:rsid w:val="5C261AD7"/>
    <w:rsid w:val="5C2A4D2E"/>
    <w:rsid w:val="5C2E032C"/>
    <w:rsid w:val="5C317C76"/>
    <w:rsid w:val="5C3344C7"/>
    <w:rsid w:val="5C35045C"/>
    <w:rsid w:val="5C3B0435"/>
    <w:rsid w:val="5C3C5668"/>
    <w:rsid w:val="5C3C56AD"/>
    <w:rsid w:val="5C3D32DD"/>
    <w:rsid w:val="5C3E4B55"/>
    <w:rsid w:val="5C404666"/>
    <w:rsid w:val="5C422461"/>
    <w:rsid w:val="5C48686D"/>
    <w:rsid w:val="5C4E616C"/>
    <w:rsid w:val="5C4F52A1"/>
    <w:rsid w:val="5C4F75E7"/>
    <w:rsid w:val="5C50319B"/>
    <w:rsid w:val="5C511614"/>
    <w:rsid w:val="5C520197"/>
    <w:rsid w:val="5C5371DE"/>
    <w:rsid w:val="5C5D4ED4"/>
    <w:rsid w:val="5C5F094C"/>
    <w:rsid w:val="5C603564"/>
    <w:rsid w:val="5C633837"/>
    <w:rsid w:val="5C6B674F"/>
    <w:rsid w:val="5C6D560E"/>
    <w:rsid w:val="5C6F57DC"/>
    <w:rsid w:val="5C7E0DF8"/>
    <w:rsid w:val="5C7E39D8"/>
    <w:rsid w:val="5C8A31FF"/>
    <w:rsid w:val="5C9C7108"/>
    <w:rsid w:val="5C9F55AA"/>
    <w:rsid w:val="5CA474D4"/>
    <w:rsid w:val="5CA84AC1"/>
    <w:rsid w:val="5CAC4293"/>
    <w:rsid w:val="5CB64B19"/>
    <w:rsid w:val="5CBD7A62"/>
    <w:rsid w:val="5CBF1A37"/>
    <w:rsid w:val="5CC164AE"/>
    <w:rsid w:val="5CC22998"/>
    <w:rsid w:val="5CC5766D"/>
    <w:rsid w:val="5CC829D4"/>
    <w:rsid w:val="5CD22245"/>
    <w:rsid w:val="5CD612EC"/>
    <w:rsid w:val="5CD620EF"/>
    <w:rsid w:val="5CD63CB1"/>
    <w:rsid w:val="5CD75EB0"/>
    <w:rsid w:val="5CE00BB1"/>
    <w:rsid w:val="5CE37D5E"/>
    <w:rsid w:val="5CE76E4E"/>
    <w:rsid w:val="5CE97CE3"/>
    <w:rsid w:val="5CF06B97"/>
    <w:rsid w:val="5CF85D55"/>
    <w:rsid w:val="5CFA67A0"/>
    <w:rsid w:val="5CFF26BA"/>
    <w:rsid w:val="5CFF2C7D"/>
    <w:rsid w:val="5CFF66F4"/>
    <w:rsid w:val="5D042519"/>
    <w:rsid w:val="5D0731E2"/>
    <w:rsid w:val="5D073D33"/>
    <w:rsid w:val="5D0A1CA8"/>
    <w:rsid w:val="5D0E09BF"/>
    <w:rsid w:val="5D10070C"/>
    <w:rsid w:val="5D1077A1"/>
    <w:rsid w:val="5D193562"/>
    <w:rsid w:val="5D232DD8"/>
    <w:rsid w:val="5D2360DD"/>
    <w:rsid w:val="5D360039"/>
    <w:rsid w:val="5D3A22F4"/>
    <w:rsid w:val="5D3D681F"/>
    <w:rsid w:val="5D421B63"/>
    <w:rsid w:val="5D435C8A"/>
    <w:rsid w:val="5D467576"/>
    <w:rsid w:val="5D4B2525"/>
    <w:rsid w:val="5D4F0CAA"/>
    <w:rsid w:val="5D543240"/>
    <w:rsid w:val="5D5434CB"/>
    <w:rsid w:val="5D5A25C6"/>
    <w:rsid w:val="5D645AF7"/>
    <w:rsid w:val="5D697151"/>
    <w:rsid w:val="5D7070A0"/>
    <w:rsid w:val="5D79361A"/>
    <w:rsid w:val="5D7B2BAE"/>
    <w:rsid w:val="5D87359C"/>
    <w:rsid w:val="5D893541"/>
    <w:rsid w:val="5D8C28B4"/>
    <w:rsid w:val="5D8E7C73"/>
    <w:rsid w:val="5D974515"/>
    <w:rsid w:val="5D9832F3"/>
    <w:rsid w:val="5D9934EC"/>
    <w:rsid w:val="5D9A7256"/>
    <w:rsid w:val="5D9C1E54"/>
    <w:rsid w:val="5DAB1E9E"/>
    <w:rsid w:val="5DB53FF3"/>
    <w:rsid w:val="5DB81F70"/>
    <w:rsid w:val="5DBC3F54"/>
    <w:rsid w:val="5DC328CA"/>
    <w:rsid w:val="5DCA57DD"/>
    <w:rsid w:val="5DD14137"/>
    <w:rsid w:val="5DD74A14"/>
    <w:rsid w:val="5DDB163B"/>
    <w:rsid w:val="5DDC2477"/>
    <w:rsid w:val="5DDC2877"/>
    <w:rsid w:val="5DF03AB4"/>
    <w:rsid w:val="5DF11D42"/>
    <w:rsid w:val="5DFA2E17"/>
    <w:rsid w:val="5DFB0C01"/>
    <w:rsid w:val="5E006537"/>
    <w:rsid w:val="5E1D2155"/>
    <w:rsid w:val="5E2374D1"/>
    <w:rsid w:val="5E2C6CCC"/>
    <w:rsid w:val="5E2F41CB"/>
    <w:rsid w:val="5E3A68B5"/>
    <w:rsid w:val="5E401AFE"/>
    <w:rsid w:val="5E454E01"/>
    <w:rsid w:val="5E490493"/>
    <w:rsid w:val="5E4C4204"/>
    <w:rsid w:val="5E4D4054"/>
    <w:rsid w:val="5E4F4CEC"/>
    <w:rsid w:val="5E517BBA"/>
    <w:rsid w:val="5E521705"/>
    <w:rsid w:val="5E650FB2"/>
    <w:rsid w:val="5E656142"/>
    <w:rsid w:val="5E680B19"/>
    <w:rsid w:val="5E6C40A3"/>
    <w:rsid w:val="5E6C53A1"/>
    <w:rsid w:val="5E7334F8"/>
    <w:rsid w:val="5E7805FF"/>
    <w:rsid w:val="5E7859D6"/>
    <w:rsid w:val="5E842B6A"/>
    <w:rsid w:val="5E875A07"/>
    <w:rsid w:val="5E8C1E30"/>
    <w:rsid w:val="5E911FAC"/>
    <w:rsid w:val="5E92137B"/>
    <w:rsid w:val="5E9373FC"/>
    <w:rsid w:val="5EA67DEF"/>
    <w:rsid w:val="5EA736D1"/>
    <w:rsid w:val="5EAA11B3"/>
    <w:rsid w:val="5EB30716"/>
    <w:rsid w:val="5EB70697"/>
    <w:rsid w:val="5EB95510"/>
    <w:rsid w:val="5EB956EE"/>
    <w:rsid w:val="5EC57A3D"/>
    <w:rsid w:val="5ECB275F"/>
    <w:rsid w:val="5ECE2836"/>
    <w:rsid w:val="5EDB5813"/>
    <w:rsid w:val="5EDE3A55"/>
    <w:rsid w:val="5EE2308E"/>
    <w:rsid w:val="5EE35C8C"/>
    <w:rsid w:val="5EEC409E"/>
    <w:rsid w:val="5EF2448C"/>
    <w:rsid w:val="5EF442F3"/>
    <w:rsid w:val="5F051F15"/>
    <w:rsid w:val="5F222082"/>
    <w:rsid w:val="5F37319D"/>
    <w:rsid w:val="5F3A21FA"/>
    <w:rsid w:val="5F490636"/>
    <w:rsid w:val="5F4A6244"/>
    <w:rsid w:val="5F555F58"/>
    <w:rsid w:val="5F6219E5"/>
    <w:rsid w:val="5F7C4F33"/>
    <w:rsid w:val="5F7D5743"/>
    <w:rsid w:val="5F810563"/>
    <w:rsid w:val="5F824D0A"/>
    <w:rsid w:val="5F85207D"/>
    <w:rsid w:val="5F902061"/>
    <w:rsid w:val="5F91364B"/>
    <w:rsid w:val="5F930102"/>
    <w:rsid w:val="5F942C15"/>
    <w:rsid w:val="5F982E68"/>
    <w:rsid w:val="5F983E67"/>
    <w:rsid w:val="5F9F2897"/>
    <w:rsid w:val="5FA57B43"/>
    <w:rsid w:val="5FB560BB"/>
    <w:rsid w:val="5FB62CD8"/>
    <w:rsid w:val="5FC20790"/>
    <w:rsid w:val="5FC87F8E"/>
    <w:rsid w:val="5FC91DE9"/>
    <w:rsid w:val="5FCE57F6"/>
    <w:rsid w:val="5FD820A7"/>
    <w:rsid w:val="5FDF0C33"/>
    <w:rsid w:val="5FE25D83"/>
    <w:rsid w:val="5FE5232B"/>
    <w:rsid w:val="5FEC3C05"/>
    <w:rsid w:val="5FF020A1"/>
    <w:rsid w:val="5FFC5DE4"/>
    <w:rsid w:val="600F241C"/>
    <w:rsid w:val="60112156"/>
    <w:rsid w:val="6012207B"/>
    <w:rsid w:val="601270E4"/>
    <w:rsid w:val="60127ACF"/>
    <w:rsid w:val="60195F65"/>
    <w:rsid w:val="601A6881"/>
    <w:rsid w:val="60200E33"/>
    <w:rsid w:val="6023016C"/>
    <w:rsid w:val="602924AC"/>
    <w:rsid w:val="602B5AAA"/>
    <w:rsid w:val="60334B2A"/>
    <w:rsid w:val="603E7B8A"/>
    <w:rsid w:val="60415FF4"/>
    <w:rsid w:val="60420933"/>
    <w:rsid w:val="6056292C"/>
    <w:rsid w:val="6063156C"/>
    <w:rsid w:val="606502AC"/>
    <w:rsid w:val="60656D53"/>
    <w:rsid w:val="60660D11"/>
    <w:rsid w:val="606611B7"/>
    <w:rsid w:val="60687B01"/>
    <w:rsid w:val="606D5453"/>
    <w:rsid w:val="607044B9"/>
    <w:rsid w:val="60760530"/>
    <w:rsid w:val="6078579C"/>
    <w:rsid w:val="608159C3"/>
    <w:rsid w:val="60841E8A"/>
    <w:rsid w:val="60904724"/>
    <w:rsid w:val="60924935"/>
    <w:rsid w:val="60934023"/>
    <w:rsid w:val="60947BEA"/>
    <w:rsid w:val="609B6315"/>
    <w:rsid w:val="60AC169F"/>
    <w:rsid w:val="60AF0E29"/>
    <w:rsid w:val="60B316F2"/>
    <w:rsid w:val="60B43DFD"/>
    <w:rsid w:val="60B55179"/>
    <w:rsid w:val="60B84522"/>
    <w:rsid w:val="60BF5745"/>
    <w:rsid w:val="60C47684"/>
    <w:rsid w:val="60C90EA4"/>
    <w:rsid w:val="60CA2396"/>
    <w:rsid w:val="60CE4002"/>
    <w:rsid w:val="60CF0514"/>
    <w:rsid w:val="60D07484"/>
    <w:rsid w:val="60D10C0F"/>
    <w:rsid w:val="60D3569F"/>
    <w:rsid w:val="60D4537B"/>
    <w:rsid w:val="60D74889"/>
    <w:rsid w:val="60E02B8F"/>
    <w:rsid w:val="60E26F48"/>
    <w:rsid w:val="60E92E1A"/>
    <w:rsid w:val="60ED6BA8"/>
    <w:rsid w:val="60F37DA9"/>
    <w:rsid w:val="60FA110C"/>
    <w:rsid w:val="60FA46E4"/>
    <w:rsid w:val="60FD3753"/>
    <w:rsid w:val="60FE00AF"/>
    <w:rsid w:val="60FE35D0"/>
    <w:rsid w:val="6101046D"/>
    <w:rsid w:val="61047EF9"/>
    <w:rsid w:val="61064296"/>
    <w:rsid w:val="610864CC"/>
    <w:rsid w:val="610958BB"/>
    <w:rsid w:val="610A63CC"/>
    <w:rsid w:val="611558FC"/>
    <w:rsid w:val="61163F01"/>
    <w:rsid w:val="61164EEF"/>
    <w:rsid w:val="61176A85"/>
    <w:rsid w:val="611A697F"/>
    <w:rsid w:val="61206479"/>
    <w:rsid w:val="612143A4"/>
    <w:rsid w:val="61216CB5"/>
    <w:rsid w:val="61221695"/>
    <w:rsid w:val="6124184C"/>
    <w:rsid w:val="61254671"/>
    <w:rsid w:val="612C0280"/>
    <w:rsid w:val="612E3337"/>
    <w:rsid w:val="61331CD5"/>
    <w:rsid w:val="614050A9"/>
    <w:rsid w:val="61465E1A"/>
    <w:rsid w:val="614B5BCE"/>
    <w:rsid w:val="614D1495"/>
    <w:rsid w:val="614D2B5A"/>
    <w:rsid w:val="61524121"/>
    <w:rsid w:val="6155426A"/>
    <w:rsid w:val="615755AF"/>
    <w:rsid w:val="615D6475"/>
    <w:rsid w:val="61620240"/>
    <w:rsid w:val="6166594C"/>
    <w:rsid w:val="616730ED"/>
    <w:rsid w:val="616C2054"/>
    <w:rsid w:val="616E3976"/>
    <w:rsid w:val="617D0D60"/>
    <w:rsid w:val="618321F0"/>
    <w:rsid w:val="618563BE"/>
    <w:rsid w:val="61861C69"/>
    <w:rsid w:val="61867017"/>
    <w:rsid w:val="618B084B"/>
    <w:rsid w:val="618E1E6E"/>
    <w:rsid w:val="618F22FB"/>
    <w:rsid w:val="61B15149"/>
    <w:rsid w:val="61B16AF8"/>
    <w:rsid w:val="61B66611"/>
    <w:rsid w:val="61B71C73"/>
    <w:rsid w:val="61B867C3"/>
    <w:rsid w:val="61C1068B"/>
    <w:rsid w:val="61C56900"/>
    <w:rsid w:val="61C73EC2"/>
    <w:rsid w:val="61D32FE5"/>
    <w:rsid w:val="61D9528D"/>
    <w:rsid w:val="61DA6BBA"/>
    <w:rsid w:val="61DE7C3D"/>
    <w:rsid w:val="61E1330A"/>
    <w:rsid w:val="61E508DE"/>
    <w:rsid w:val="61E51E0F"/>
    <w:rsid w:val="61E852C9"/>
    <w:rsid w:val="61E93953"/>
    <w:rsid w:val="61EE26FB"/>
    <w:rsid w:val="61EE28BD"/>
    <w:rsid w:val="61F0115C"/>
    <w:rsid w:val="61FA5B62"/>
    <w:rsid w:val="6203062B"/>
    <w:rsid w:val="62070260"/>
    <w:rsid w:val="620A5E09"/>
    <w:rsid w:val="62164CFF"/>
    <w:rsid w:val="6222428F"/>
    <w:rsid w:val="6226324A"/>
    <w:rsid w:val="623328EA"/>
    <w:rsid w:val="62390C34"/>
    <w:rsid w:val="6239162C"/>
    <w:rsid w:val="623D4624"/>
    <w:rsid w:val="623D5E3F"/>
    <w:rsid w:val="6241252A"/>
    <w:rsid w:val="62464E95"/>
    <w:rsid w:val="62475095"/>
    <w:rsid w:val="625377EA"/>
    <w:rsid w:val="625D49CE"/>
    <w:rsid w:val="6260455B"/>
    <w:rsid w:val="626114D6"/>
    <w:rsid w:val="6268560F"/>
    <w:rsid w:val="627C049D"/>
    <w:rsid w:val="627E327C"/>
    <w:rsid w:val="62896A92"/>
    <w:rsid w:val="628C1A7E"/>
    <w:rsid w:val="628E6DF2"/>
    <w:rsid w:val="628F77E2"/>
    <w:rsid w:val="62971DFA"/>
    <w:rsid w:val="629963D8"/>
    <w:rsid w:val="62A62474"/>
    <w:rsid w:val="62B22755"/>
    <w:rsid w:val="62B3642B"/>
    <w:rsid w:val="62B91CB2"/>
    <w:rsid w:val="62C3578D"/>
    <w:rsid w:val="62D000C9"/>
    <w:rsid w:val="62E05F11"/>
    <w:rsid w:val="62E70CE0"/>
    <w:rsid w:val="62F00E21"/>
    <w:rsid w:val="62F06C0E"/>
    <w:rsid w:val="62F571B6"/>
    <w:rsid w:val="62F91A8D"/>
    <w:rsid w:val="62FA0118"/>
    <w:rsid w:val="62FB5ADF"/>
    <w:rsid w:val="62FE0FE5"/>
    <w:rsid w:val="63016DD9"/>
    <w:rsid w:val="63026153"/>
    <w:rsid w:val="63060DC1"/>
    <w:rsid w:val="630B0513"/>
    <w:rsid w:val="630D5FB3"/>
    <w:rsid w:val="631D12C4"/>
    <w:rsid w:val="632A6383"/>
    <w:rsid w:val="632C6BDE"/>
    <w:rsid w:val="632F0EFF"/>
    <w:rsid w:val="633159CB"/>
    <w:rsid w:val="6332638D"/>
    <w:rsid w:val="633B2B0B"/>
    <w:rsid w:val="633C5BF9"/>
    <w:rsid w:val="633E36D1"/>
    <w:rsid w:val="6343466C"/>
    <w:rsid w:val="634A145E"/>
    <w:rsid w:val="634E753F"/>
    <w:rsid w:val="63607ED4"/>
    <w:rsid w:val="636469BD"/>
    <w:rsid w:val="63657E3D"/>
    <w:rsid w:val="63670D77"/>
    <w:rsid w:val="63685741"/>
    <w:rsid w:val="636A3942"/>
    <w:rsid w:val="636B5C5F"/>
    <w:rsid w:val="63716369"/>
    <w:rsid w:val="637569B7"/>
    <w:rsid w:val="63767EE6"/>
    <w:rsid w:val="637919F5"/>
    <w:rsid w:val="637A710D"/>
    <w:rsid w:val="637D2E4D"/>
    <w:rsid w:val="63802ACC"/>
    <w:rsid w:val="6388225F"/>
    <w:rsid w:val="63947BA7"/>
    <w:rsid w:val="63B253E1"/>
    <w:rsid w:val="63B26566"/>
    <w:rsid w:val="63B601D2"/>
    <w:rsid w:val="63BD7E99"/>
    <w:rsid w:val="63D86821"/>
    <w:rsid w:val="63D8720B"/>
    <w:rsid w:val="63DF3F98"/>
    <w:rsid w:val="63E02D15"/>
    <w:rsid w:val="63E0457C"/>
    <w:rsid w:val="63E25AFD"/>
    <w:rsid w:val="63E57666"/>
    <w:rsid w:val="63F03B38"/>
    <w:rsid w:val="63F731A5"/>
    <w:rsid w:val="63FC766C"/>
    <w:rsid w:val="63FE2454"/>
    <w:rsid w:val="64022F76"/>
    <w:rsid w:val="64084173"/>
    <w:rsid w:val="640D3356"/>
    <w:rsid w:val="641269AD"/>
    <w:rsid w:val="64141212"/>
    <w:rsid w:val="641C56F8"/>
    <w:rsid w:val="64231408"/>
    <w:rsid w:val="64263EF4"/>
    <w:rsid w:val="64281DC7"/>
    <w:rsid w:val="6432123B"/>
    <w:rsid w:val="643A7824"/>
    <w:rsid w:val="644376F5"/>
    <w:rsid w:val="644A3F96"/>
    <w:rsid w:val="644B2286"/>
    <w:rsid w:val="64553AA4"/>
    <w:rsid w:val="64564ED9"/>
    <w:rsid w:val="645A5737"/>
    <w:rsid w:val="646029D7"/>
    <w:rsid w:val="64603768"/>
    <w:rsid w:val="646270E8"/>
    <w:rsid w:val="6467123E"/>
    <w:rsid w:val="646B1681"/>
    <w:rsid w:val="64706790"/>
    <w:rsid w:val="64724898"/>
    <w:rsid w:val="647C3BBA"/>
    <w:rsid w:val="64805997"/>
    <w:rsid w:val="64813A7C"/>
    <w:rsid w:val="64823A3A"/>
    <w:rsid w:val="64855B2D"/>
    <w:rsid w:val="64866B4F"/>
    <w:rsid w:val="64867427"/>
    <w:rsid w:val="648976FB"/>
    <w:rsid w:val="648A2250"/>
    <w:rsid w:val="648B1491"/>
    <w:rsid w:val="648B5259"/>
    <w:rsid w:val="648E1573"/>
    <w:rsid w:val="649A52C8"/>
    <w:rsid w:val="64AB4F48"/>
    <w:rsid w:val="64B0747D"/>
    <w:rsid w:val="64B6071F"/>
    <w:rsid w:val="64B73B84"/>
    <w:rsid w:val="64BE2F18"/>
    <w:rsid w:val="64C004BC"/>
    <w:rsid w:val="64C03551"/>
    <w:rsid w:val="64C317B4"/>
    <w:rsid w:val="64C6530B"/>
    <w:rsid w:val="64CB2A33"/>
    <w:rsid w:val="64D9451E"/>
    <w:rsid w:val="64DB77D5"/>
    <w:rsid w:val="64E105D2"/>
    <w:rsid w:val="64E37405"/>
    <w:rsid w:val="64F31974"/>
    <w:rsid w:val="64FA5C63"/>
    <w:rsid w:val="64FA6AE2"/>
    <w:rsid w:val="6507069F"/>
    <w:rsid w:val="65127100"/>
    <w:rsid w:val="6532464B"/>
    <w:rsid w:val="65341AC5"/>
    <w:rsid w:val="653A34E5"/>
    <w:rsid w:val="653C6B1D"/>
    <w:rsid w:val="65433415"/>
    <w:rsid w:val="65463750"/>
    <w:rsid w:val="654E3228"/>
    <w:rsid w:val="65537C6B"/>
    <w:rsid w:val="655C685E"/>
    <w:rsid w:val="656160AB"/>
    <w:rsid w:val="65622086"/>
    <w:rsid w:val="65644A63"/>
    <w:rsid w:val="65655B02"/>
    <w:rsid w:val="656E3321"/>
    <w:rsid w:val="65757B8D"/>
    <w:rsid w:val="65764BA6"/>
    <w:rsid w:val="6578354B"/>
    <w:rsid w:val="658E776E"/>
    <w:rsid w:val="65907AC2"/>
    <w:rsid w:val="65A3564C"/>
    <w:rsid w:val="65A62A91"/>
    <w:rsid w:val="65A8734A"/>
    <w:rsid w:val="65A9185C"/>
    <w:rsid w:val="65AB43EF"/>
    <w:rsid w:val="65B430CC"/>
    <w:rsid w:val="65CC6A3A"/>
    <w:rsid w:val="65DB0A99"/>
    <w:rsid w:val="65E919BF"/>
    <w:rsid w:val="65ED7EEF"/>
    <w:rsid w:val="65F46CFC"/>
    <w:rsid w:val="65F73BB4"/>
    <w:rsid w:val="65FB6DFE"/>
    <w:rsid w:val="660658FA"/>
    <w:rsid w:val="660B1805"/>
    <w:rsid w:val="660C035C"/>
    <w:rsid w:val="66103D06"/>
    <w:rsid w:val="66190E3D"/>
    <w:rsid w:val="661C061C"/>
    <w:rsid w:val="66233008"/>
    <w:rsid w:val="66235CDE"/>
    <w:rsid w:val="6628673A"/>
    <w:rsid w:val="662A259A"/>
    <w:rsid w:val="66300C32"/>
    <w:rsid w:val="6631536B"/>
    <w:rsid w:val="6639596A"/>
    <w:rsid w:val="663F1119"/>
    <w:rsid w:val="66401DD3"/>
    <w:rsid w:val="6644369D"/>
    <w:rsid w:val="66513A8B"/>
    <w:rsid w:val="66515333"/>
    <w:rsid w:val="66543F3A"/>
    <w:rsid w:val="6654755D"/>
    <w:rsid w:val="66553A9B"/>
    <w:rsid w:val="66706DA7"/>
    <w:rsid w:val="66715E7B"/>
    <w:rsid w:val="66741783"/>
    <w:rsid w:val="66847504"/>
    <w:rsid w:val="66870478"/>
    <w:rsid w:val="66892842"/>
    <w:rsid w:val="66917990"/>
    <w:rsid w:val="66941DAA"/>
    <w:rsid w:val="66972F96"/>
    <w:rsid w:val="66976DD4"/>
    <w:rsid w:val="669A7003"/>
    <w:rsid w:val="66A54376"/>
    <w:rsid w:val="66AD05F5"/>
    <w:rsid w:val="66AD1818"/>
    <w:rsid w:val="66AD4A88"/>
    <w:rsid w:val="66B4636B"/>
    <w:rsid w:val="66B93F76"/>
    <w:rsid w:val="66BE7A6E"/>
    <w:rsid w:val="66C2655F"/>
    <w:rsid w:val="66D01D1D"/>
    <w:rsid w:val="66D20F68"/>
    <w:rsid w:val="66D6103F"/>
    <w:rsid w:val="66DB5E51"/>
    <w:rsid w:val="66DC2051"/>
    <w:rsid w:val="66E1068E"/>
    <w:rsid w:val="66E13704"/>
    <w:rsid w:val="66E40BAD"/>
    <w:rsid w:val="66E77E06"/>
    <w:rsid w:val="66F474D0"/>
    <w:rsid w:val="66F861FA"/>
    <w:rsid w:val="670027A0"/>
    <w:rsid w:val="67037752"/>
    <w:rsid w:val="67050D51"/>
    <w:rsid w:val="67050D97"/>
    <w:rsid w:val="67051BD7"/>
    <w:rsid w:val="67091904"/>
    <w:rsid w:val="670E178E"/>
    <w:rsid w:val="6717419C"/>
    <w:rsid w:val="67212735"/>
    <w:rsid w:val="673611CB"/>
    <w:rsid w:val="67412B2B"/>
    <w:rsid w:val="674A450B"/>
    <w:rsid w:val="674B4E59"/>
    <w:rsid w:val="675005EC"/>
    <w:rsid w:val="675E366D"/>
    <w:rsid w:val="67635837"/>
    <w:rsid w:val="67690F3D"/>
    <w:rsid w:val="676B3A7C"/>
    <w:rsid w:val="676D52AA"/>
    <w:rsid w:val="677011BD"/>
    <w:rsid w:val="6770452E"/>
    <w:rsid w:val="67705A6F"/>
    <w:rsid w:val="67750EBE"/>
    <w:rsid w:val="67816012"/>
    <w:rsid w:val="67842D1C"/>
    <w:rsid w:val="678C278B"/>
    <w:rsid w:val="67991948"/>
    <w:rsid w:val="67A850E1"/>
    <w:rsid w:val="67AB3E74"/>
    <w:rsid w:val="67B0438B"/>
    <w:rsid w:val="67B33BE3"/>
    <w:rsid w:val="67B71656"/>
    <w:rsid w:val="67B723B3"/>
    <w:rsid w:val="67B743E8"/>
    <w:rsid w:val="67BD43E0"/>
    <w:rsid w:val="67BD4993"/>
    <w:rsid w:val="67BF12B5"/>
    <w:rsid w:val="67C0411D"/>
    <w:rsid w:val="67C95416"/>
    <w:rsid w:val="67D74048"/>
    <w:rsid w:val="67E041E2"/>
    <w:rsid w:val="67E164A0"/>
    <w:rsid w:val="67E51F56"/>
    <w:rsid w:val="67E97A89"/>
    <w:rsid w:val="67ED16B7"/>
    <w:rsid w:val="67F27764"/>
    <w:rsid w:val="67F94D8A"/>
    <w:rsid w:val="6802359C"/>
    <w:rsid w:val="68081463"/>
    <w:rsid w:val="680A257F"/>
    <w:rsid w:val="680E50C8"/>
    <w:rsid w:val="681541C3"/>
    <w:rsid w:val="681674DF"/>
    <w:rsid w:val="681D6FA0"/>
    <w:rsid w:val="682E4AF2"/>
    <w:rsid w:val="68373462"/>
    <w:rsid w:val="68447B3B"/>
    <w:rsid w:val="684F580A"/>
    <w:rsid w:val="685C0FCA"/>
    <w:rsid w:val="68650F7D"/>
    <w:rsid w:val="68655BE3"/>
    <w:rsid w:val="686926D4"/>
    <w:rsid w:val="68774A50"/>
    <w:rsid w:val="68784EDA"/>
    <w:rsid w:val="687A62EB"/>
    <w:rsid w:val="687B4F8F"/>
    <w:rsid w:val="688A20B8"/>
    <w:rsid w:val="688C0135"/>
    <w:rsid w:val="688D57D8"/>
    <w:rsid w:val="6892047F"/>
    <w:rsid w:val="689403A7"/>
    <w:rsid w:val="6897438E"/>
    <w:rsid w:val="68A01495"/>
    <w:rsid w:val="68A27905"/>
    <w:rsid w:val="68A550D0"/>
    <w:rsid w:val="68A57A2E"/>
    <w:rsid w:val="68A7533D"/>
    <w:rsid w:val="68BD6779"/>
    <w:rsid w:val="68C02111"/>
    <w:rsid w:val="68C42BDC"/>
    <w:rsid w:val="68CE3102"/>
    <w:rsid w:val="68D015E0"/>
    <w:rsid w:val="68D33B58"/>
    <w:rsid w:val="68D824C6"/>
    <w:rsid w:val="68E24545"/>
    <w:rsid w:val="68E31D7A"/>
    <w:rsid w:val="68E52DC7"/>
    <w:rsid w:val="68E71448"/>
    <w:rsid w:val="68E92B61"/>
    <w:rsid w:val="68F308C4"/>
    <w:rsid w:val="68F47E39"/>
    <w:rsid w:val="68F51C33"/>
    <w:rsid w:val="68FA62F0"/>
    <w:rsid w:val="68FE7853"/>
    <w:rsid w:val="68FF6668"/>
    <w:rsid w:val="6901117B"/>
    <w:rsid w:val="69021A4A"/>
    <w:rsid w:val="69052CE9"/>
    <w:rsid w:val="690F4CC7"/>
    <w:rsid w:val="69156DDD"/>
    <w:rsid w:val="691D61F1"/>
    <w:rsid w:val="691E3879"/>
    <w:rsid w:val="69211467"/>
    <w:rsid w:val="69214564"/>
    <w:rsid w:val="69257A7E"/>
    <w:rsid w:val="69277662"/>
    <w:rsid w:val="69344B19"/>
    <w:rsid w:val="69345F83"/>
    <w:rsid w:val="69356146"/>
    <w:rsid w:val="69392613"/>
    <w:rsid w:val="69392966"/>
    <w:rsid w:val="693C2B63"/>
    <w:rsid w:val="694E1147"/>
    <w:rsid w:val="69520D7A"/>
    <w:rsid w:val="69573B6E"/>
    <w:rsid w:val="696032C7"/>
    <w:rsid w:val="696206D3"/>
    <w:rsid w:val="6967756D"/>
    <w:rsid w:val="6968644A"/>
    <w:rsid w:val="697011ED"/>
    <w:rsid w:val="69826A24"/>
    <w:rsid w:val="698B2061"/>
    <w:rsid w:val="699004F5"/>
    <w:rsid w:val="699B6DC8"/>
    <w:rsid w:val="69A97058"/>
    <w:rsid w:val="69AB6F60"/>
    <w:rsid w:val="69B96524"/>
    <w:rsid w:val="69BE66B6"/>
    <w:rsid w:val="69C30046"/>
    <w:rsid w:val="69C8002E"/>
    <w:rsid w:val="69CF04C1"/>
    <w:rsid w:val="69D32FE1"/>
    <w:rsid w:val="69D457A0"/>
    <w:rsid w:val="69D463F2"/>
    <w:rsid w:val="69D72910"/>
    <w:rsid w:val="69D94035"/>
    <w:rsid w:val="69DC26A6"/>
    <w:rsid w:val="69E37874"/>
    <w:rsid w:val="69E56B54"/>
    <w:rsid w:val="69E96708"/>
    <w:rsid w:val="69ED002E"/>
    <w:rsid w:val="69ED2DB6"/>
    <w:rsid w:val="69ED6B4A"/>
    <w:rsid w:val="69EE54CD"/>
    <w:rsid w:val="69F92613"/>
    <w:rsid w:val="69FB7CD4"/>
    <w:rsid w:val="69FD723E"/>
    <w:rsid w:val="69FD7CEA"/>
    <w:rsid w:val="6A0229E5"/>
    <w:rsid w:val="6A067F83"/>
    <w:rsid w:val="6A097E59"/>
    <w:rsid w:val="6A0E4D51"/>
    <w:rsid w:val="6A171AFC"/>
    <w:rsid w:val="6A1B06CD"/>
    <w:rsid w:val="6A227A57"/>
    <w:rsid w:val="6A2A2D01"/>
    <w:rsid w:val="6A3225D7"/>
    <w:rsid w:val="6A3A620D"/>
    <w:rsid w:val="6A3B0B6C"/>
    <w:rsid w:val="6A3C0BF8"/>
    <w:rsid w:val="6A423E55"/>
    <w:rsid w:val="6A470981"/>
    <w:rsid w:val="6A4747AF"/>
    <w:rsid w:val="6A49294B"/>
    <w:rsid w:val="6A562B91"/>
    <w:rsid w:val="6A57299A"/>
    <w:rsid w:val="6A697946"/>
    <w:rsid w:val="6A6D6854"/>
    <w:rsid w:val="6A700CED"/>
    <w:rsid w:val="6A7017D7"/>
    <w:rsid w:val="6A7350A3"/>
    <w:rsid w:val="6A7F6B5C"/>
    <w:rsid w:val="6A984CE6"/>
    <w:rsid w:val="6AA235D3"/>
    <w:rsid w:val="6AA31D3D"/>
    <w:rsid w:val="6AB02B50"/>
    <w:rsid w:val="6AB14532"/>
    <w:rsid w:val="6ABB2ED0"/>
    <w:rsid w:val="6ABD7A51"/>
    <w:rsid w:val="6AC00593"/>
    <w:rsid w:val="6AC335C4"/>
    <w:rsid w:val="6AC55EC6"/>
    <w:rsid w:val="6ACC0F11"/>
    <w:rsid w:val="6ADB4318"/>
    <w:rsid w:val="6ADD7DFD"/>
    <w:rsid w:val="6AE2135D"/>
    <w:rsid w:val="6AE77D3D"/>
    <w:rsid w:val="6AE93C28"/>
    <w:rsid w:val="6AF05F1A"/>
    <w:rsid w:val="6B036D80"/>
    <w:rsid w:val="6B0451AB"/>
    <w:rsid w:val="6B0D42E2"/>
    <w:rsid w:val="6B110B6C"/>
    <w:rsid w:val="6B160110"/>
    <w:rsid w:val="6B167467"/>
    <w:rsid w:val="6B1A338E"/>
    <w:rsid w:val="6B21434C"/>
    <w:rsid w:val="6B237C36"/>
    <w:rsid w:val="6B2600DB"/>
    <w:rsid w:val="6B2718FD"/>
    <w:rsid w:val="6B2A147B"/>
    <w:rsid w:val="6B2B4CFC"/>
    <w:rsid w:val="6B2C290C"/>
    <w:rsid w:val="6B33476F"/>
    <w:rsid w:val="6B352059"/>
    <w:rsid w:val="6B3B4CA2"/>
    <w:rsid w:val="6B402B26"/>
    <w:rsid w:val="6B4514F6"/>
    <w:rsid w:val="6B4A50C0"/>
    <w:rsid w:val="6B4D3CED"/>
    <w:rsid w:val="6B5C7011"/>
    <w:rsid w:val="6B6A2B7E"/>
    <w:rsid w:val="6B705893"/>
    <w:rsid w:val="6B7221D1"/>
    <w:rsid w:val="6B725A81"/>
    <w:rsid w:val="6B7D16E0"/>
    <w:rsid w:val="6B7F30F3"/>
    <w:rsid w:val="6B873558"/>
    <w:rsid w:val="6B92645D"/>
    <w:rsid w:val="6B94060D"/>
    <w:rsid w:val="6B973734"/>
    <w:rsid w:val="6B975967"/>
    <w:rsid w:val="6B9A5777"/>
    <w:rsid w:val="6BA8277A"/>
    <w:rsid w:val="6BB248CC"/>
    <w:rsid w:val="6BBA4F60"/>
    <w:rsid w:val="6BBC0DCF"/>
    <w:rsid w:val="6BCA6179"/>
    <w:rsid w:val="6BCE3445"/>
    <w:rsid w:val="6BD0777F"/>
    <w:rsid w:val="6BD619EE"/>
    <w:rsid w:val="6BEA64E2"/>
    <w:rsid w:val="6BFA7E30"/>
    <w:rsid w:val="6BFB030F"/>
    <w:rsid w:val="6C016CAE"/>
    <w:rsid w:val="6C07197C"/>
    <w:rsid w:val="6C090252"/>
    <w:rsid w:val="6C0B7CD2"/>
    <w:rsid w:val="6C0D6AE8"/>
    <w:rsid w:val="6C100936"/>
    <w:rsid w:val="6C1962C3"/>
    <w:rsid w:val="6C1A6808"/>
    <w:rsid w:val="6C255AAD"/>
    <w:rsid w:val="6C276EFC"/>
    <w:rsid w:val="6C2C5801"/>
    <w:rsid w:val="6C2D7320"/>
    <w:rsid w:val="6C2E3E73"/>
    <w:rsid w:val="6C3321F9"/>
    <w:rsid w:val="6C33267C"/>
    <w:rsid w:val="6C3D0F56"/>
    <w:rsid w:val="6C410CB8"/>
    <w:rsid w:val="6C452BDF"/>
    <w:rsid w:val="6C593A56"/>
    <w:rsid w:val="6C5E1CDD"/>
    <w:rsid w:val="6C62391B"/>
    <w:rsid w:val="6C660C8B"/>
    <w:rsid w:val="6C6A716D"/>
    <w:rsid w:val="6C6C6ED7"/>
    <w:rsid w:val="6C71767A"/>
    <w:rsid w:val="6C7C1F44"/>
    <w:rsid w:val="6C827094"/>
    <w:rsid w:val="6C8559E0"/>
    <w:rsid w:val="6C891188"/>
    <w:rsid w:val="6C8D26FB"/>
    <w:rsid w:val="6C996561"/>
    <w:rsid w:val="6CB01397"/>
    <w:rsid w:val="6CC25213"/>
    <w:rsid w:val="6CD76A8F"/>
    <w:rsid w:val="6CDE47C9"/>
    <w:rsid w:val="6CDF1F89"/>
    <w:rsid w:val="6CE0702D"/>
    <w:rsid w:val="6CE83295"/>
    <w:rsid w:val="6CEE220B"/>
    <w:rsid w:val="6CEE246E"/>
    <w:rsid w:val="6CF27A30"/>
    <w:rsid w:val="6CF6067E"/>
    <w:rsid w:val="6D032BD4"/>
    <w:rsid w:val="6D0535EE"/>
    <w:rsid w:val="6D0565AF"/>
    <w:rsid w:val="6D0668D1"/>
    <w:rsid w:val="6D077405"/>
    <w:rsid w:val="6D0A3519"/>
    <w:rsid w:val="6D0B62E2"/>
    <w:rsid w:val="6D133D59"/>
    <w:rsid w:val="6D175B2B"/>
    <w:rsid w:val="6D264EC5"/>
    <w:rsid w:val="6D26662C"/>
    <w:rsid w:val="6D287D4F"/>
    <w:rsid w:val="6D2B3CDC"/>
    <w:rsid w:val="6D2C27DC"/>
    <w:rsid w:val="6D330DB7"/>
    <w:rsid w:val="6D437763"/>
    <w:rsid w:val="6D47364D"/>
    <w:rsid w:val="6D4B2385"/>
    <w:rsid w:val="6D4C07B8"/>
    <w:rsid w:val="6D500E33"/>
    <w:rsid w:val="6D5B1179"/>
    <w:rsid w:val="6D671B76"/>
    <w:rsid w:val="6D6D28AF"/>
    <w:rsid w:val="6D6E5E4C"/>
    <w:rsid w:val="6D771293"/>
    <w:rsid w:val="6D78135E"/>
    <w:rsid w:val="6D7D0954"/>
    <w:rsid w:val="6D8153B2"/>
    <w:rsid w:val="6D876AB7"/>
    <w:rsid w:val="6D8A27B4"/>
    <w:rsid w:val="6D8F154F"/>
    <w:rsid w:val="6D9757D1"/>
    <w:rsid w:val="6D9C3974"/>
    <w:rsid w:val="6DA062EA"/>
    <w:rsid w:val="6DA65DBF"/>
    <w:rsid w:val="6DA76631"/>
    <w:rsid w:val="6DA77315"/>
    <w:rsid w:val="6DAE65DB"/>
    <w:rsid w:val="6DAF65CC"/>
    <w:rsid w:val="6DB157A2"/>
    <w:rsid w:val="6DB25F3D"/>
    <w:rsid w:val="6DBA586C"/>
    <w:rsid w:val="6DBE0B3F"/>
    <w:rsid w:val="6DBF7294"/>
    <w:rsid w:val="6DC2555F"/>
    <w:rsid w:val="6DC53FBD"/>
    <w:rsid w:val="6DC84395"/>
    <w:rsid w:val="6DC93FE2"/>
    <w:rsid w:val="6DCA77EA"/>
    <w:rsid w:val="6DD35114"/>
    <w:rsid w:val="6DDE35E8"/>
    <w:rsid w:val="6DE47135"/>
    <w:rsid w:val="6DE65A7A"/>
    <w:rsid w:val="6DE92FA2"/>
    <w:rsid w:val="6DEE0E7D"/>
    <w:rsid w:val="6DEF6BC8"/>
    <w:rsid w:val="6DF3002F"/>
    <w:rsid w:val="6DF574ED"/>
    <w:rsid w:val="6DF81839"/>
    <w:rsid w:val="6E0048DC"/>
    <w:rsid w:val="6E075019"/>
    <w:rsid w:val="6E0766A1"/>
    <w:rsid w:val="6E1419C0"/>
    <w:rsid w:val="6E166FE2"/>
    <w:rsid w:val="6E183FF4"/>
    <w:rsid w:val="6E1B11E5"/>
    <w:rsid w:val="6E1D151C"/>
    <w:rsid w:val="6E1D7756"/>
    <w:rsid w:val="6E245261"/>
    <w:rsid w:val="6E2E7D17"/>
    <w:rsid w:val="6E3323DD"/>
    <w:rsid w:val="6E3761D3"/>
    <w:rsid w:val="6E392DDA"/>
    <w:rsid w:val="6E3E2033"/>
    <w:rsid w:val="6E411943"/>
    <w:rsid w:val="6E440060"/>
    <w:rsid w:val="6E442CF5"/>
    <w:rsid w:val="6E54575C"/>
    <w:rsid w:val="6E5A2999"/>
    <w:rsid w:val="6E612C3F"/>
    <w:rsid w:val="6E650AD9"/>
    <w:rsid w:val="6E6F6D88"/>
    <w:rsid w:val="6E702FE8"/>
    <w:rsid w:val="6E706B87"/>
    <w:rsid w:val="6E766C71"/>
    <w:rsid w:val="6E7926F7"/>
    <w:rsid w:val="6E7B110F"/>
    <w:rsid w:val="6E8A2A35"/>
    <w:rsid w:val="6E8E20B5"/>
    <w:rsid w:val="6E8F2730"/>
    <w:rsid w:val="6E915314"/>
    <w:rsid w:val="6E991DD0"/>
    <w:rsid w:val="6EA04FAE"/>
    <w:rsid w:val="6EAA59A3"/>
    <w:rsid w:val="6EAA79ED"/>
    <w:rsid w:val="6EB029C1"/>
    <w:rsid w:val="6EB330A4"/>
    <w:rsid w:val="6EC161BE"/>
    <w:rsid w:val="6EC53240"/>
    <w:rsid w:val="6ECD08F1"/>
    <w:rsid w:val="6ED8031D"/>
    <w:rsid w:val="6EDF2531"/>
    <w:rsid w:val="6EE1335D"/>
    <w:rsid w:val="6EE50FBC"/>
    <w:rsid w:val="6EEF6508"/>
    <w:rsid w:val="6EF02682"/>
    <w:rsid w:val="6EFA4C0C"/>
    <w:rsid w:val="6EFF1809"/>
    <w:rsid w:val="6F19615F"/>
    <w:rsid w:val="6F1A3B57"/>
    <w:rsid w:val="6F1A60C4"/>
    <w:rsid w:val="6F231E41"/>
    <w:rsid w:val="6F244447"/>
    <w:rsid w:val="6F303DE1"/>
    <w:rsid w:val="6F331C81"/>
    <w:rsid w:val="6F331F52"/>
    <w:rsid w:val="6F362062"/>
    <w:rsid w:val="6F3815D3"/>
    <w:rsid w:val="6F3C0797"/>
    <w:rsid w:val="6F4048CA"/>
    <w:rsid w:val="6F405BD0"/>
    <w:rsid w:val="6F4713C5"/>
    <w:rsid w:val="6F4734D0"/>
    <w:rsid w:val="6F4B3953"/>
    <w:rsid w:val="6F555C91"/>
    <w:rsid w:val="6F603479"/>
    <w:rsid w:val="6F680494"/>
    <w:rsid w:val="6F6A56DA"/>
    <w:rsid w:val="6F6B5A9E"/>
    <w:rsid w:val="6F7A07E3"/>
    <w:rsid w:val="6F7D050B"/>
    <w:rsid w:val="6F8C33B0"/>
    <w:rsid w:val="6F8D5B36"/>
    <w:rsid w:val="6F953750"/>
    <w:rsid w:val="6F9B0C75"/>
    <w:rsid w:val="6FA04DA3"/>
    <w:rsid w:val="6FA10B29"/>
    <w:rsid w:val="6FAA2D8A"/>
    <w:rsid w:val="6FB62831"/>
    <w:rsid w:val="6FC02217"/>
    <w:rsid w:val="6FC34E9D"/>
    <w:rsid w:val="6FC60A07"/>
    <w:rsid w:val="6FC90F86"/>
    <w:rsid w:val="6FCD3BC3"/>
    <w:rsid w:val="6FCE2BBA"/>
    <w:rsid w:val="6FD656A8"/>
    <w:rsid w:val="6FD91844"/>
    <w:rsid w:val="6FDF40F5"/>
    <w:rsid w:val="6FE0165C"/>
    <w:rsid w:val="6FE05F95"/>
    <w:rsid w:val="6FE944E1"/>
    <w:rsid w:val="6FF021F5"/>
    <w:rsid w:val="6FF06B6B"/>
    <w:rsid w:val="6FF47B7F"/>
    <w:rsid w:val="6FF73491"/>
    <w:rsid w:val="6FF97C31"/>
    <w:rsid w:val="6FFC64FF"/>
    <w:rsid w:val="7001428F"/>
    <w:rsid w:val="700E7127"/>
    <w:rsid w:val="70133236"/>
    <w:rsid w:val="70156307"/>
    <w:rsid w:val="7016485B"/>
    <w:rsid w:val="701C590F"/>
    <w:rsid w:val="702033F7"/>
    <w:rsid w:val="7021034D"/>
    <w:rsid w:val="70252DA7"/>
    <w:rsid w:val="702D10A9"/>
    <w:rsid w:val="70315D3B"/>
    <w:rsid w:val="703D58C4"/>
    <w:rsid w:val="70453D87"/>
    <w:rsid w:val="704E5E48"/>
    <w:rsid w:val="7053674B"/>
    <w:rsid w:val="7055360F"/>
    <w:rsid w:val="70642BE6"/>
    <w:rsid w:val="706A4DCB"/>
    <w:rsid w:val="706F497B"/>
    <w:rsid w:val="70724AB3"/>
    <w:rsid w:val="70877819"/>
    <w:rsid w:val="70916EF8"/>
    <w:rsid w:val="709261ED"/>
    <w:rsid w:val="709605AE"/>
    <w:rsid w:val="709D31A3"/>
    <w:rsid w:val="70A02568"/>
    <w:rsid w:val="70AD230C"/>
    <w:rsid w:val="70B4798A"/>
    <w:rsid w:val="70B91785"/>
    <w:rsid w:val="70C41020"/>
    <w:rsid w:val="70C671BA"/>
    <w:rsid w:val="70CC1017"/>
    <w:rsid w:val="70CF255C"/>
    <w:rsid w:val="70D5454C"/>
    <w:rsid w:val="70DC2C89"/>
    <w:rsid w:val="70DD041E"/>
    <w:rsid w:val="70DD743F"/>
    <w:rsid w:val="70DD7EE0"/>
    <w:rsid w:val="70E3150B"/>
    <w:rsid w:val="70E67B77"/>
    <w:rsid w:val="70F323B0"/>
    <w:rsid w:val="70FA4DD2"/>
    <w:rsid w:val="70FD7C9B"/>
    <w:rsid w:val="70FE0735"/>
    <w:rsid w:val="710221FA"/>
    <w:rsid w:val="71094431"/>
    <w:rsid w:val="710D3478"/>
    <w:rsid w:val="710F7585"/>
    <w:rsid w:val="711805A6"/>
    <w:rsid w:val="711A79AD"/>
    <w:rsid w:val="71217446"/>
    <w:rsid w:val="71224F32"/>
    <w:rsid w:val="7123463F"/>
    <w:rsid w:val="713B1ED6"/>
    <w:rsid w:val="71402DA5"/>
    <w:rsid w:val="714463AC"/>
    <w:rsid w:val="7144693A"/>
    <w:rsid w:val="71525708"/>
    <w:rsid w:val="71542A3C"/>
    <w:rsid w:val="71584711"/>
    <w:rsid w:val="71595F23"/>
    <w:rsid w:val="716A4C59"/>
    <w:rsid w:val="716D3AF0"/>
    <w:rsid w:val="717106F9"/>
    <w:rsid w:val="71811922"/>
    <w:rsid w:val="7184567C"/>
    <w:rsid w:val="71866C06"/>
    <w:rsid w:val="718F2568"/>
    <w:rsid w:val="718F3086"/>
    <w:rsid w:val="71910B53"/>
    <w:rsid w:val="719D1BC1"/>
    <w:rsid w:val="719E09E3"/>
    <w:rsid w:val="719F5958"/>
    <w:rsid w:val="71A33FEC"/>
    <w:rsid w:val="71A601E7"/>
    <w:rsid w:val="71A953B8"/>
    <w:rsid w:val="71AC51C8"/>
    <w:rsid w:val="71C37CE8"/>
    <w:rsid w:val="71C402EA"/>
    <w:rsid w:val="71D4132F"/>
    <w:rsid w:val="71D53676"/>
    <w:rsid w:val="71DA32B4"/>
    <w:rsid w:val="71E32E83"/>
    <w:rsid w:val="71E83969"/>
    <w:rsid w:val="71F1228B"/>
    <w:rsid w:val="71F46D71"/>
    <w:rsid w:val="71F61946"/>
    <w:rsid w:val="71F96411"/>
    <w:rsid w:val="71FA7506"/>
    <w:rsid w:val="72061465"/>
    <w:rsid w:val="720F1ACD"/>
    <w:rsid w:val="721C0759"/>
    <w:rsid w:val="722F766C"/>
    <w:rsid w:val="723256D8"/>
    <w:rsid w:val="72382B26"/>
    <w:rsid w:val="72385872"/>
    <w:rsid w:val="723A6B6E"/>
    <w:rsid w:val="723B470E"/>
    <w:rsid w:val="72451F4F"/>
    <w:rsid w:val="72456442"/>
    <w:rsid w:val="7247128C"/>
    <w:rsid w:val="72493E35"/>
    <w:rsid w:val="725B0CD8"/>
    <w:rsid w:val="7264361A"/>
    <w:rsid w:val="726822A9"/>
    <w:rsid w:val="726C3438"/>
    <w:rsid w:val="727367E8"/>
    <w:rsid w:val="72791B78"/>
    <w:rsid w:val="727C5618"/>
    <w:rsid w:val="727F3E51"/>
    <w:rsid w:val="7287073E"/>
    <w:rsid w:val="728C70E1"/>
    <w:rsid w:val="7290542B"/>
    <w:rsid w:val="72913002"/>
    <w:rsid w:val="72917F17"/>
    <w:rsid w:val="72935E6A"/>
    <w:rsid w:val="729A7834"/>
    <w:rsid w:val="72A00661"/>
    <w:rsid w:val="72AF0710"/>
    <w:rsid w:val="72AF2463"/>
    <w:rsid w:val="72B05336"/>
    <w:rsid w:val="72B06D9D"/>
    <w:rsid w:val="72B715E4"/>
    <w:rsid w:val="72C32F53"/>
    <w:rsid w:val="72C77A8A"/>
    <w:rsid w:val="72CB7C4C"/>
    <w:rsid w:val="72D86D20"/>
    <w:rsid w:val="72DB6BCE"/>
    <w:rsid w:val="72F70D65"/>
    <w:rsid w:val="72F762C6"/>
    <w:rsid w:val="72FA1D93"/>
    <w:rsid w:val="72FE3E8E"/>
    <w:rsid w:val="731B711B"/>
    <w:rsid w:val="731C3ED2"/>
    <w:rsid w:val="731E5631"/>
    <w:rsid w:val="732009B8"/>
    <w:rsid w:val="732B0C72"/>
    <w:rsid w:val="733271A4"/>
    <w:rsid w:val="73330C63"/>
    <w:rsid w:val="733863E3"/>
    <w:rsid w:val="733A3332"/>
    <w:rsid w:val="733C1D9D"/>
    <w:rsid w:val="733E3B7F"/>
    <w:rsid w:val="733E46B2"/>
    <w:rsid w:val="733E586B"/>
    <w:rsid w:val="733E59D9"/>
    <w:rsid w:val="734B3969"/>
    <w:rsid w:val="73597F33"/>
    <w:rsid w:val="7375490C"/>
    <w:rsid w:val="73757E63"/>
    <w:rsid w:val="737D2F4F"/>
    <w:rsid w:val="738B029F"/>
    <w:rsid w:val="73900D21"/>
    <w:rsid w:val="739A7114"/>
    <w:rsid w:val="739D5416"/>
    <w:rsid w:val="739F2349"/>
    <w:rsid w:val="739F6287"/>
    <w:rsid w:val="73A242CD"/>
    <w:rsid w:val="73A935F2"/>
    <w:rsid w:val="73AC333B"/>
    <w:rsid w:val="73AD3C4B"/>
    <w:rsid w:val="73B11DBC"/>
    <w:rsid w:val="73B1795C"/>
    <w:rsid w:val="73B51018"/>
    <w:rsid w:val="73B67CAD"/>
    <w:rsid w:val="73B86EBC"/>
    <w:rsid w:val="73C340B3"/>
    <w:rsid w:val="73C72DB3"/>
    <w:rsid w:val="73C81AA9"/>
    <w:rsid w:val="73C854F0"/>
    <w:rsid w:val="73CC2F38"/>
    <w:rsid w:val="73CE0B05"/>
    <w:rsid w:val="73D007EE"/>
    <w:rsid w:val="73D27A00"/>
    <w:rsid w:val="73D31801"/>
    <w:rsid w:val="73D9581C"/>
    <w:rsid w:val="73DA2FBB"/>
    <w:rsid w:val="73DC2CAB"/>
    <w:rsid w:val="73DC5744"/>
    <w:rsid w:val="73E36876"/>
    <w:rsid w:val="73E72CB9"/>
    <w:rsid w:val="74014C0C"/>
    <w:rsid w:val="740B7234"/>
    <w:rsid w:val="741B5358"/>
    <w:rsid w:val="74202F12"/>
    <w:rsid w:val="742C093F"/>
    <w:rsid w:val="742F68DF"/>
    <w:rsid w:val="7435797F"/>
    <w:rsid w:val="7442738A"/>
    <w:rsid w:val="744A0545"/>
    <w:rsid w:val="744F0653"/>
    <w:rsid w:val="744F7C70"/>
    <w:rsid w:val="74521009"/>
    <w:rsid w:val="74532888"/>
    <w:rsid w:val="745C54BA"/>
    <w:rsid w:val="74632A31"/>
    <w:rsid w:val="7465205B"/>
    <w:rsid w:val="746954DB"/>
    <w:rsid w:val="74743C33"/>
    <w:rsid w:val="747640DF"/>
    <w:rsid w:val="747E6036"/>
    <w:rsid w:val="74807A49"/>
    <w:rsid w:val="7482175B"/>
    <w:rsid w:val="74843F0D"/>
    <w:rsid w:val="74A67409"/>
    <w:rsid w:val="74B37F42"/>
    <w:rsid w:val="74B539F8"/>
    <w:rsid w:val="74B94875"/>
    <w:rsid w:val="74BA4FF9"/>
    <w:rsid w:val="74C311F6"/>
    <w:rsid w:val="74C53F19"/>
    <w:rsid w:val="74C579E1"/>
    <w:rsid w:val="74CA0770"/>
    <w:rsid w:val="74D52F3D"/>
    <w:rsid w:val="74D81528"/>
    <w:rsid w:val="74D96025"/>
    <w:rsid w:val="74DA07A2"/>
    <w:rsid w:val="74DF39E4"/>
    <w:rsid w:val="74E133B4"/>
    <w:rsid w:val="74E1491C"/>
    <w:rsid w:val="74E67A31"/>
    <w:rsid w:val="74F61278"/>
    <w:rsid w:val="74F65697"/>
    <w:rsid w:val="74F90505"/>
    <w:rsid w:val="74FC67D7"/>
    <w:rsid w:val="7501178C"/>
    <w:rsid w:val="75092044"/>
    <w:rsid w:val="7510516D"/>
    <w:rsid w:val="75124563"/>
    <w:rsid w:val="751274A1"/>
    <w:rsid w:val="75190871"/>
    <w:rsid w:val="751C2143"/>
    <w:rsid w:val="75295853"/>
    <w:rsid w:val="752D2921"/>
    <w:rsid w:val="752F1869"/>
    <w:rsid w:val="752F2DAC"/>
    <w:rsid w:val="75387884"/>
    <w:rsid w:val="75475838"/>
    <w:rsid w:val="755D7E3D"/>
    <w:rsid w:val="75631790"/>
    <w:rsid w:val="7566472C"/>
    <w:rsid w:val="756B1E1E"/>
    <w:rsid w:val="756B62BD"/>
    <w:rsid w:val="756E6DDD"/>
    <w:rsid w:val="7578413D"/>
    <w:rsid w:val="757B64ED"/>
    <w:rsid w:val="757C232A"/>
    <w:rsid w:val="75851DCA"/>
    <w:rsid w:val="75895C6B"/>
    <w:rsid w:val="758F3A2A"/>
    <w:rsid w:val="7595284C"/>
    <w:rsid w:val="759638CA"/>
    <w:rsid w:val="7599617F"/>
    <w:rsid w:val="759A19E2"/>
    <w:rsid w:val="759D7802"/>
    <w:rsid w:val="75A011FF"/>
    <w:rsid w:val="75A70E4F"/>
    <w:rsid w:val="75AA3F51"/>
    <w:rsid w:val="75B11420"/>
    <w:rsid w:val="75B263D3"/>
    <w:rsid w:val="75CB7A28"/>
    <w:rsid w:val="75DA0294"/>
    <w:rsid w:val="75DC2372"/>
    <w:rsid w:val="75E16CC1"/>
    <w:rsid w:val="75F22E0F"/>
    <w:rsid w:val="7600000E"/>
    <w:rsid w:val="760021B6"/>
    <w:rsid w:val="760950F4"/>
    <w:rsid w:val="76122AB3"/>
    <w:rsid w:val="76127806"/>
    <w:rsid w:val="76154B74"/>
    <w:rsid w:val="761C414A"/>
    <w:rsid w:val="761D237D"/>
    <w:rsid w:val="762721D0"/>
    <w:rsid w:val="76292CB3"/>
    <w:rsid w:val="76380CDC"/>
    <w:rsid w:val="76383420"/>
    <w:rsid w:val="76411431"/>
    <w:rsid w:val="7649562B"/>
    <w:rsid w:val="764F7C59"/>
    <w:rsid w:val="76536622"/>
    <w:rsid w:val="765566B4"/>
    <w:rsid w:val="76605088"/>
    <w:rsid w:val="76617C2E"/>
    <w:rsid w:val="76636412"/>
    <w:rsid w:val="766477E2"/>
    <w:rsid w:val="7668119A"/>
    <w:rsid w:val="766966D4"/>
    <w:rsid w:val="766E17F9"/>
    <w:rsid w:val="76804CD3"/>
    <w:rsid w:val="76894FB9"/>
    <w:rsid w:val="768C1EBA"/>
    <w:rsid w:val="768E260E"/>
    <w:rsid w:val="769222A0"/>
    <w:rsid w:val="769568F8"/>
    <w:rsid w:val="76993596"/>
    <w:rsid w:val="769F0134"/>
    <w:rsid w:val="76A65C22"/>
    <w:rsid w:val="76B14AAD"/>
    <w:rsid w:val="76B44C21"/>
    <w:rsid w:val="76C118A2"/>
    <w:rsid w:val="76C32B57"/>
    <w:rsid w:val="76C63D93"/>
    <w:rsid w:val="76CB0A63"/>
    <w:rsid w:val="76D25527"/>
    <w:rsid w:val="76D81970"/>
    <w:rsid w:val="76DD3810"/>
    <w:rsid w:val="76E451C7"/>
    <w:rsid w:val="76E472DD"/>
    <w:rsid w:val="76E8548D"/>
    <w:rsid w:val="76ED3B38"/>
    <w:rsid w:val="76F13EA7"/>
    <w:rsid w:val="76F14581"/>
    <w:rsid w:val="76F3209A"/>
    <w:rsid w:val="76F77BBD"/>
    <w:rsid w:val="76FD22EC"/>
    <w:rsid w:val="76FD6D57"/>
    <w:rsid w:val="77030B27"/>
    <w:rsid w:val="77034D41"/>
    <w:rsid w:val="77041D95"/>
    <w:rsid w:val="77095079"/>
    <w:rsid w:val="7718408C"/>
    <w:rsid w:val="771D7BC5"/>
    <w:rsid w:val="7723073F"/>
    <w:rsid w:val="772527B2"/>
    <w:rsid w:val="772A6A8E"/>
    <w:rsid w:val="773016C0"/>
    <w:rsid w:val="773B25F8"/>
    <w:rsid w:val="773B48CE"/>
    <w:rsid w:val="773D0C62"/>
    <w:rsid w:val="773F62E5"/>
    <w:rsid w:val="7743414C"/>
    <w:rsid w:val="774551B5"/>
    <w:rsid w:val="775124A2"/>
    <w:rsid w:val="77523DCF"/>
    <w:rsid w:val="77591191"/>
    <w:rsid w:val="77606B3D"/>
    <w:rsid w:val="776870B9"/>
    <w:rsid w:val="776967FB"/>
    <w:rsid w:val="776D4583"/>
    <w:rsid w:val="7776540C"/>
    <w:rsid w:val="777A37E1"/>
    <w:rsid w:val="778100C2"/>
    <w:rsid w:val="778121B3"/>
    <w:rsid w:val="77855EB4"/>
    <w:rsid w:val="779D35D8"/>
    <w:rsid w:val="77A94947"/>
    <w:rsid w:val="77AA135C"/>
    <w:rsid w:val="77AB510D"/>
    <w:rsid w:val="77AB7E27"/>
    <w:rsid w:val="77AC14DA"/>
    <w:rsid w:val="77AD64CA"/>
    <w:rsid w:val="77AF3504"/>
    <w:rsid w:val="77B36F7C"/>
    <w:rsid w:val="77BC6B30"/>
    <w:rsid w:val="77BE1BC2"/>
    <w:rsid w:val="77C75FA5"/>
    <w:rsid w:val="77C926F0"/>
    <w:rsid w:val="77CA0362"/>
    <w:rsid w:val="77D17A81"/>
    <w:rsid w:val="77D2359F"/>
    <w:rsid w:val="77E40C30"/>
    <w:rsid w:val="77FC1B84"/>
    <w:rsid w:val="77FF3177"/>
    <w:rsid w:val="780254EB"/>
    <w:rsid w:val="78055C6F"/>
    <w:rsid w:val="780752E6"/>
    <w:rsid w:val="780764A7"/>
    <w:rsid w:val="780B6CC7"/>
    <w:rsid w:val="78153F77"/>
    <w:rsid w:val="78155CF2"/>
    <w:rsid w:val="78185315"/>
    <w:rsid w:val="781C67FA"/>
    <w:rsid w:val="782378AE"/>
    <w:rsid w:val="78296DAC"/>
    <w:rsid w:val="783267CC"/>
    <w:rsid w:val="783E418B"/>
    <w:rsid w:val="783F1754"/>
    <w:rsid w:val="784A7790"/>
    <w:rsid w:val="784E3C01"/>
    <w:rsid w:val="78570849"/>
    <w:rsid w:val="78575D9F"/>
    <w:rsid w:val="785B5DBF"/>
    <w:rsid w:val="78600977"/>
    <w:rsid w:val="78617AF2"/>
    <w:rsid w:val="78626899"/>
    <w:rsid w:val="786421F2"/>
    <w:rsid w:val="786616B3"/>
    <w:rsid w:val="786E5D08"/>
    <w:rsid w:val="787D41E5"/>
    <w:rsid w:val="787E7A1D"/>
    <w:rsid w:val="78812F7C"/>
    <w:rsid w:val="789054AC"/>
    <w:rsid w:val="789469EF"/>
    <w:rsid w:val="78975C7D"/>
    <w:rsid w:val="78A51B95"/>
    <w:rsid w:val="78AA6975"/>
    <w:rsid w:val="78B15E1D"/>
    <w:rsid w:val="78C15B1C"/>
    <w:rsid w:val="78C359B3"/>
    <w:rsid w:val="78C653C1"/>
    <w:rsid w:val="78C9190A"/>
    <w:rsid w:val="78C97D4F"/>
    <w:rsid w:val="78CC0493"/>
    <w:rsid w:val="78DB3FCA"/>
    <w:rsid w:val="78EC2D52"/>
    <w:rsid w:val="78F5480C"/>
    <w:rsid w:val="78FA7F8E"/>
    <w:rsid w:val="79036E66"/>
    <w:rsid w:val="790945D5"/>
    <w:rsid w:val="790B5E2B"/>
    <w:rsid w:val="790E47EA"/>
    <w:rsid w:val="790E548B"/>
    <w:rsid w:val="79104E2B"/>
    <w:rsid w:val="79135CA0"/>
    <w:rsid w:val="791467F0"/>
    <w:rsid w:val="7915089E"/>
    <w:rsid w:val="791A58CD"/>
    <w:rsid w:val="791D6D3A"/>
    <w:rsid w:val="791F537B"/>
    <w:rsid w:val="79344437"/>
    <w:rsid w:val="79367982"/>
    <w:rsid w:val="793D5C2F"/>
    <w:rsid w:val="793E1D3B"/>
    <w:rsid w:val="793F7F0E"/>
    <w:rsid w:val="794A336F"/>
    <w:rsid w:val="794B6C37"/>
    <w:rsid w:val="79537099"/>
    <w:rsid w:val="79552D08"/>
    <w:rsid w:val="7957124C"/>
    <w:rsid w:val="795E7ED2"/>
    <w:rsid w:val="796079CC"/>
    <w:rsid w:val="79672E22"/>
    <w:rsid w:val="79677010"/>
    <w:rsid w:val="796E6578"/>
    <w:rsid w:val="79711579"/>
    <w:rsid w:val="797121AE"/>
    <w:rsid w:val="797761C6"/>
    <w:rsid w:val="797E1825"/>
    <w:rsid w:val="79994E18"/>
    <w:rsid w:val="79A7288D"/>
    <w:rsid w:val="79AA3C4E"/>
    <w:rsid w:val="79AE312A"/>
    <w:rsid w:val="79B3208C"/>
    <w:rsid w:val="79B70130"/>
    <w:rsid w:val="79BD5598"/>
    <w:rsid w:val="79C8453B"/>
    <w:rsid w:val="79CB0706"/>
    <w:rsid w:val="79CB0751"/>
    <w:rsid w:val="79CE66ED"/>
    <w:rsid w:val="79CF6E25"/>
    <w:rsid w:val="79D42664"/>
    <w:rsid w:val="79D51250"/>
    <w:rsid w:val="79DB4236"/>
    <w:rsid w:val="79E46B39"/>
    <w:rsid w:val="79E66C93"/>
    <w:rsid w:val="79F16E80"/>
    <w:rsid w:val="79F32B94"/>
    <w:rsid w:val="79F842C2"/>
    <w:rsid w:val="79FA0A29"/>
    <w:rsid w:val="79FC6E04"/>
    <w:rsid w:val="79FE2A4E"/>
    <w:rsid w:val="7A0241AD"/>
    <w:rsid w:val="7A081D42"/>
    <w:rsid w:val="7A0A6E0F"/>
    <w:rsid w:val="7A0A7223"/>
    <w:rsid w:val="7A0C4EA7"/>
    <w:rsid w:val="7A12552F"/>
    <w:rsid w:val="7A1524DD"/>
    <w:rsid w:val="7A1A1772"/>
    <w:rsid w:val="7A1E1DC3"/>
    <w:rsid w:val="7A2751AD"/>
    <w:rsid w:val="7A276994"/>
    <w:rsid w:val="7A2C129F"/>
    <w:rsid w:val="7A3B034D"/>
    <w:rsid w:val="7A3B1C6C"/>
    <w:rsid w:val="7A3F158B"/>
    <w:rsid w:val="7A4A132A"/>
    <w:rsid w:val="7A535840"/>
    <w:rsid w:val="7A5566EE"/>
    <w:rsid w:val="7A646A69"/>
    <w:rsid w:val="7A6736BC"/>
    <w:rsid w:val="7A6A7B3B"/>
    <w:rsid w:val="7A7060B4"/>
    <w:rsid w:val="7A7067FA"/>
    <w:rsid w:val="7A721F7E"/>
    <w:rsid w:val="7A746574"/>
    <w:rsid w:val="7A7678E5"/>
    <w:rsid w:val="7A7A585C"/>
    <w:rsid w:val="7A7B24DD"/>
    <w:rsid w:val="7A7D2094"/>
    <w:rsid w:val="7A7F65CA"/>
    <w:rsid w:val="7A844954"/>
    <w:rsid w:val="7A861051"/>
    <w:rsid w:val="7A867241"/>
    <w:rsid w:val="7A876B11"/>
    <w:rsid w:val="7A88301C"/>
    <w:rsid w:val="7A963A48"/>
    <w:rsid w:val="7A9660A3"/>
    <w:rsid w:val="7A9861CB"/>
    <w:rsid w:val="7A986784"/>
    <w:rsid w:val="7ABB3E82"/>
    <w:rsid w:val="7AC3568E"/>
    <w:rsid w:val="7AC449C6"/>
    <w:rsid w:val="7AD17D6D"/>
    <w:rsid w:val="7AD71052"/>
    <w:rsid w:val="7AD9797E"/>
    <w:rsid w:val="7ADE3DB2"/>
    <w:rsid w:val="7ADF792A"/>
    <w:rsid w:val="7AE5682B"/>
    <w:rsid w:val="7AEE60EE"/>
    <w:rsid w:val="7AFE6C9A"/>
    <w:rsid w:val="7B0E060E"/>
    <w:rsid w:val="7B0F5219"/>
    <w:rsid w:val="7B177A77"/>
    <w:rsid w:val="7B193032"/>
    <w:rsid w:val="7B1B1CF8"/>
    <w:rsid w:val="7B26484C"/>
    <w:rsid w:val="7B2B13FD"/>
    <w:rsid w:val="7B3339FA"/>
    <w:rsid w:val="7B346599"/>
    <w:rsid w:val="7B3C25E5"/>
    <w:rsid w:val="7B44094D"/>
    <w:rsid w:val="7B460BFD"/>
    <w:rsid w:val="7B4910BE"/>
    <w:rsid w:val="7B4A7A19"/>
    <w:rsid w:val="7B50325A"/>
    <w:rsid w:val="7B5D3226"/>
    <w:rsid w:val="7B5E4EEC"/>
    <w:rsid w:val="7B624A61"/>
    <w:rsid w:val="7B674BD7"/>
    <w:rsid w:val="7B6D1622"/>
    <w:rsid w:val="7B6E2192"/>
    <w:rsid w:val="7B71585E"/>
    <w:rsid w:val="7B722498"/>
    <w:rsid w:val="7B782690"/>
    <w:rsid w:val="7B793E87"/>
    <w:rsid w:val="7B7C50C8"/>
    <w:rsid w:val="7B7F3966"/>
    <w:rsid w:val="7B80148D"/>
    <w:rsid w:val="7B821ADA"/>
    <w:rsid w:val="7B8F5DA2"/>
    <w:rsid w:val="7B926883"/>
    <w:rsid w:val="7BA34FB1"/>
    <w:rsid w:val="7BA4369C"/>
    <w:rsid w:val="7BA71440"/>
    <w:rsid w:val="7BAE696E"/>
    <w:rsid w:val="7BAF3C86"/>
    <w:rsid w:val="7BC23E12"/>
    <w:rsid w:val="7BC45CF4"/>
    <w:rsid w:val="7BC92A6F"/>
    <w:rsid w:val="7BD36780"/>
    <w:rsid w:val="7BD4048E"/>
    <w:rsid w:val="7BD968AC"/>
    <w:rsid w:val="7BDE060F"/>
    <w:rsid w:val="7BDE524C"/>
    <w:rsid w:val="7BDF5DF5"/>
    <w:rsid w:val="7BE908F3"/>
    <w:rsid w:val="7BE9784F"/>
    <w:rsid w:val="7BEA5E74"/>
    <w:rsid w:val="7BF00328"/>
    <w:rsid w:val="7BF577C1"/>
    <w:rsid w:val="7BF9001B"/>
    <w:rsid w:val="7BFE0389"/>
    <w:rsid w:val="7BFE08FA"/>
    <w:rsid w:val="7C091716"/>
    <w:rsid w:val="7C126AEB"/>
    <w:rsid w:val="7C1F2070"/>
    <w:rsid w:val="7C260105"/>
    <w:rsid w:val="7C2900A2"/>
    <w:rsid w:val="7C295D17"/>
    <w:rsid w:val="7C2A10CD"/>
    <w:rsid w:val="7C2C0E73"/>
    <w:rsid w:val="7C2D2AE7"/>
    <w:rsid w:val="7C2E5247"/>
    <w:rsid w:val="7C4A06A1"/>
    <w:rsid w:val="7C4A5A50"/>
    <w:rsid w:val="7C4B681D"/>
    <w:rsid w:val="7C4C575E"/>
    <w:rsid w:val="7C640974"/>
    <w:rsid w:val="7C643EF7"/>
    <w:rsid w:val="7C690B20"/>
    <w:rsid w:val="7C71523C"/>
    <w:rsid w:val="7C724EAE"/>
    <w:rsid w:val="7C780AD5"/>
    <w:rsid w:val="7C7A14F2"/>
    <w:rsid w:val="7C7E2FFC"/>
    <w:rsid w:val="7C7F038C"/>
    <w:rsid w:val="7C867154"/>
    <w:rsid w:val="7C8A49AA"/>
    <w:rsid w:val="7C8F78D5"/>
    <w:rsid w:val="7C9427B3"/>
    <w:rsid w:val="7C9E5A77"/>
    <w:rsid w:val="7CA777DA"/>
    <w:rsid w:val="7CAD2B44"/>
    <w:rsid w:val="7CB74F4A"/>
    <w:rsid w:val="7CB80138"/>
    <w:rsid w:val="7CB838AF"/>
    <w:rsid w:val="7CBE6F50"/>
    <w:rsid w:val="7CC639C6"/>
    <w:rsid w:val="7CC96839"/>
    <w:rsid w:val="7CCC3CFE"/>
    <w:rsid w:val="7CCD12D3"/>
    <w:rsid w:val="7CD505D1"/>
    <w:rsid w:val="7CD534FD"/>
    <w:rsid w:val="7CD6692A"/>
    <w:rsid w:val="7CDE11DF"/>
    <w:rsid w:val="7CE16F55"/>
    <w:rsid w:val="7CE215AC"/>
    <w:rsid w:val="7CE25B4A"/>
    <w:rsid w:val="7CE3422B"/>
    <w:rsid w:val="7CE5443B"/>
    <w:rsid w:val="7CE76B7F"/>
    <w:rsid w:val="7CED09D9"/>
    <w:rsid w:val="7CF436AD"/>
    <w:rsid w:val="7CF87323"/>
    <w:rsid w:val="7CFC65E9"/>
    <w:rsid w:val="7CFD1F2F"/>
    <w:rsid w:val="7CFF2442"/>
    <w:rsid w:val="7D0115A5"/>
    <w:rsid w:val="7D017D9A"/>
    <w:rsid w:val="7D080205"/>
    <w:rsid w:val="7D0A432A"/>
    <w:rsid w:val="7D0F2DDE"/>
    <w:rsid w:val="7D144B3C"/>
    <w:rsid w:val="7D167BA2"/>
    <w:rsid w:val="7D177687"/>
    <w:rsid w:val="7D1F5883"/>
    <w:rsid w:val="7D242066"/>
    <w:rsid w:val="7D282F0F"/>
    <w:rsid w:val="7D286550"/>
    <w:rsid w:val="7D3140B5"/>
    <w:rsid w:val="7D3874D2"/>
    <w:rsid w:val="7D405530"/>
    <w:rsid w:val="7D4241A1"/>
    <w:rsid w:val="7D452B7F"/>
    <w:rsid w:val="7D497FAA"/>
    <w:rsid w:val="7D520228"/>
    <w:rsid w:val="7D526E71"/>
    <w:rsid w:val="7D532432"/>
    <w:rsid w:val="7D592A4D"/>
    <w:rsid w:val="7D5A5BFC"/>
    <w:rsid w:val="7D6518EB"/>
    <w:rsid w:val="7D6B77B5"/>
    <w:rsid w:val="7D7371E1"/>
    <w:rsid w:val="7D74008A"/>
    <w:rsid w:val="7D7862CF"/>
    <w:rsid w:val="7D7A4E9D"/>
    <w:rsid w:val="7D7F0E79"/>
    <w:rsid w:val="7D851CFF"/>
    <w:rsid w:val="7DA65B7D"/>
    <w:rsid w:val="7DA72A35"/>
    <w:rsid w:val="7DA86112"/>
    <w:rsid w:val="7DAE3829"/>
    <w:rsid w:val="7DB00509"/>
    <w:rsid w:val="7DB9268E"/>
    <w:rsid w:val="7DBF3388"/>
    <w:rsid w:val="7DC71DAD"/>
    <w:rsid w:val="7DC8040C"/>
    <w:rsid w:val="7DC85A3E"/>
    <w:rsid w:val="7DCD3893"/>
    <w:rsid w:val="7DCE15A0"/>
    <w:rsid w:val="7DCF3C5F"/>
    <w:rsid w:val="7DD03D33"/>
    <w:rsid w:val="7DD410E6"/>
    <w:rsid w:val="7DD603AD"/>
    <w:rsid w:val="7DD82F1A"/>
    <w:rsid w:val="7DDA1110"/>
    <w:rsid w:val="7DE020DC"/>
    <w:rsid w:val="7DE449CE"/>
    <w:rsid w:val="7DE7722C"/>
    <w:rsid w:val="7DEC05A8"/>
    <w:rsid w:val="7DED1348"/>
    <w:rsid w:val="7DEE71DF"/>
    <w:rsid w:val="7DF66186"/>
    <w:rsid w:val="7E007B1A"/>
    <w:rsid w:val="7E0A5EA4"/>
    <w:rsid w:val="7E0A72D5"/>
    <w:rsid w:val="7E0B3C08"/>
    <w:rsid w:val="7E154422"/>
    <w:rsid w:val="7E1C2B95"/>
    <w:rsid w:val="7E1E3CF4"/>
    <w:rsid w:val="7E212526"/>
    <w:rsid w:val="7E262B03"/>
    <w:rsid w:val="7E29766E"/>
    <w:rsid w:val="7E2E765A"/>
    <w:rsid w:val="7E324C10"/>
    <w:rsid w:val="7E324D32"/>
    <w:rsid w:val="7E3B7336"/>
    <w:rsid w:val="7E3D35D7"/>
    <w:rsid w:val="7E466A84"/>
    <w:rsid w:val="7E472FFE"/>
    <w:rsid w:val="7E4A6379"/>
    <w:rsid w:val="7E5248E3"/>
    <w:rsid w:val="7E5A2EA0"/>
    <w:rsid w:val="7E66305F"/>
    <w:rsid w:val="7E6854DB"/>
    <w:rsid w:val="7E6C43B3"/>
    <w:rsid w:val="7E7311AB"/>
    <w:rsid w:val="7E77762F"/>
    <w:rsid w:val="7E793E63"/>
    <w:rsid w:val="7E7B1715"/>
    <w:rsid w:val="7E8031F2"/>
    <w:rsid w:val="7E860496"/>
    <w:rsid w:val="7E956D81"/>
    <w:rsid w:val="7E9611E7"/>
    <w:rsid w:val="7E9963F8"/>
    <w:rsid w:val="7E9D0633"/>
    <w:rsid w:val="7EA82B9C"/>
    <w:rsid w:val="7EA95574"/>
    <w:rsid w:val="7EB13A3E"/>
    <w:rsid w:val="7EB16AB6"/>
    <w:rsid w:val="7EBD651F"/>
    <w:rsid w:val="7EC05F3D"/>
    <w:rsid w:val="7EC07C28"/>
    <w:rsid w:val="7ECB3BBC"/>
    <w:rsid w:val="7ED27810"/>
    <w:rsid w:val="7ED83896"/>
    <w:rsid w:val="7EDC2729"/>
    <w:rsid w:val="7EE15DD1"/>
    <w:rsid w:val="7EEB46E8"/>
    <w:rsid w:val="7EEE3759"/>
    <w:rsid w:val="7EF04016"/>
    <w:rsid w:val="7EF94F98"/>
    <w:rsid w:val="7EFB200E"/>
    <w:rsid w:val="7EFF41BF"/>
    <w:rsid w:val="7F0126E4"/>
    <w:rsid w:val="7F013802"/>
    <w:rsid w:val="7F051449"/>
    <w:rsid w:val="7F1A1324"/>
    <w:rsid w:val="7F1A4AEF"/>
    <w:rsid w:val="7F271E5F"/>
    <w:rsid w:val="7F29623C"/>
    <w:rsid w:val="7F2D4C74"/>
    <w:rsid w:val="7F341EAD"/>
    <w:rsid w:val="7F350A03"/>
    <w:rsid w:val="7F375587"/>
    <w:rsid w:val="7F3B2B2F"/>
    <w:rsid w:val="7F406D66"/>
    <w:rsid w:val="7F421AF0"/>
    <w:rsid w:val="7F516AFB"/>
    <w:rsid w:val="7F585C16"/>
    <w:rsid w:val="7F5B38C5"/>
    <w:rsid w:val="7F5C5B37"/>
    <w:rsid w:val="7F6566E6"/>
    <w:rsid w:val="7F6A7C64"/>
    <w:rsid w:val="7F6B0BA4"/>
    <w:rsid w:val="7F6E0CE1"/>
    <w:rsid w:val="7F6F6E86"/>
    <w:rsid w:val="7F8A3738"/>
    <w:rsid w:val="7F8B3191"/>
    <w:rsid w:val="7F8C0C31"/>
    <w:rsid w:val="7F8E4655"/>
    <w:rsid w:val="7F8E6809"/>
    <w:rsid w:val="7F987985"/>
    <w:rsid w:val="7F992C82"/>
    <w:rsid w:val="7F9C63C5"/>
    <w:rsid w:val="7F9E0C2E"/>
    <w:rsid w:val="7FA23301"/>
    <w:rsid w:val="7FAF35C9"/>
    <w:rsid w:val="7FAF535A"/>
    <w:rsid w:val="7FB620B9"/>
    <w:rsid w:val="7FBE4780"/>
    <w:rsid w:val="7FC07CDA"/>
    <w:rsid w:val="7FC33EC6"/>
    <w:rsid w:val="7FD30895"/>
    <w:rsid w:val="7FD52EF4"/>
    <w:rsid w:val="7FE932BA"/>
    <w:rsid w:val="7FEC3423"/>
    <w:rsid w:val="7FFD6B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8" w:lineRule="atLeast"/>
      <w:outlineLvl w:val="0"/>
    </w:pPr>
    <w:rPr>
      <w:rFonts w:ascii="Calibri" w:hAnsi="Calibri" w:cs="Times New Roman"/>
      <w:b/>
      <w:bCs/>
      <w:kern w:val="44"/>
      <w:sz w:val="44"/>
      <w:szCs w:val="44"/>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0"/>
    <w:rPr>
      <w:b/>
      <w:sz w:val="21"/>
      <w:szCs w:val="21"/>
    </w:rPr>
  </w:style>
  <w:style w:type="character" w:styleId="10">
    <w:name w:val="FollowedHyperlink"/>
    <w:basedOn w:val="8"/>
    <w:qFormat/>
    <w:uiPriority w:val="0"/>
    <w:rPr>
      <w:color w:val="4D7AD8"/>
      <w:u w:val="none"/>
    </w:rPr>
  </w:style>
  <w:style w:type="character" w:styleId="11">
    <w:name w:val="HTML Definition"/>
    <w:basedOn w:val="8"/>
    <w:qFormat/>
    <w:uiPriority w:val="0"/>
    <w:rPr>
      <w:i/>
      <w:bdr w:val="single" w:color="D9D9D9" w:sz="6" w:space="0"/>
      <w:shd w:val="clear" w:fill="FFFFFF"/>
    </w:rPr>
  </w:style>
  <w:style w:type="character" w:styleId="12">
    <w:name w:val="Hyperlink"/>
    <w:basedOn w:val="8"/>
    <w:qFormat/>
    <w:uiPriority w:val="0"/>
    <w:rPr>
      <w:color w:val="0000FF"/>
      <w:u w:val="single"/>
    </w:rPr>
  </w:style>
  <w:style w:type="character" w:styleId="13">
    <w:name w:val="HTML Code"/>
    <w:basedOn w:val="8"/>
    <w:qFormat/>
    <w:uiPriority w:val="0"/>
    <w:rPr>
      <w:rFonts w:hint="default" w:ascii="Consolas" w:hAnsi="Consolas" w:eastAsia="Consolas" w:cs="Consolas"/>
      <w:sz w:val="21"/>
      <w:szCs w:val="21"/>
    </w:rPr>
  </w:style>
  <w:style w:type="character" w:styleId="14">
    <w:name w:val="HTML Keyboard"/>
    <w:basedOn w:val="8"/>
    <w:qFormat/>
    <w:uiPriority w:val="0"/>
    <w:rPr>
      <w:rFonts w:ascii="Consolas" w:hAnsi="Consolas" w:eastAsia="Consolas" w:cs="Consolas"/>
      <w:color w:val="666666"/>
      <w:sz w:val="21"/>
      <w:szCs w:val="21"/>
    </w:rPr>
  </w:style>
  <w:style w:type="character" w:styleId="15">
    <w:name w:val="HTML Sample"/>
    <w:basedOn w:val="8"/>
    <w:qFormat/>
    <w:uiPriority w:val="0"/>
    <w:rPr>
      <w:rFonts w:hint="default" w:ascii="Consolas" w:hAnsi="Consolas" w:eastAsia="Consolas" w:cs="Consolas"/>
      <w:sz w:val="21"/>
      <w:szCs w:val="21"/>
    </w:rPr>
  </w:style>
  <w:style w:type="character" w:customStyle="1" w:styleId="16">
    <w:name w:val="first-child2"/>
    <w:basedOn w:val="8"/>
    <w:qFormat/>
    <w:uiPriority w:val="0"/>
    <w:rPr>
      <w:sz w:val="13"/>
      <w:szCs w:val="13"/>
    </w:rPr>
  </w:style>
  <w:style w:type="character" w:customStyle="1" w:styleId="17">
    <w:name w:val="ant-select-tree-switcher"/>
    <w:basedOn w:val="8"/>
    <w:qFormat/>
    <w:uiPriority w:val="0"/>
  </w:style>
  <w:style w:type="character" w:customStyle="1" w:styleId="18">
    <w:name w:val="ant-tree-iconele"/>
    <w:basedOn w:val="8"/>
    <w:qFormat/>
    <w:uiPriority w:val="0"/>
  </w:style>
  <w:style w:type="character" w:customStyle="1" w:styleId="19">
    <w:name w:val="ant-radio+*"/>
    <w:basedOn w:val="8"/>
    <w:qFormat/>
    <w:uiPriority w:val="0"/>
  </w:style>
  <w:style w:type="character" w:customStyle="1" w:styleId="20">
    <w:name w:val="selected4"/>
    <w:basedOn w:val="8"/>
    <w:qFormat/>
    <w:uiPriority w:val="0"/>
  </w:style>
  <w:style w:type="character" w:customStyle="1" w:styleId="21">
    <w:name w:val="selected5"/>
    <w:basedOn w:val="8"/>
    <w:qFormat/>
    <w:uiPriority w:val="0"/>
  </w:style>
  <w:style w:type="character" w:customStyle="1" w:styleId="22">
    <w:name w:val="selected6"/>
    <w:basedOn w:val="8"/>
    <w:qFormat/>
    <w:uiPriority w:val="0"/>
  </w:style>
  <w:style w:type="character" w:customStyle="1" w:styleId="23">
    <w:name w:val="button"/>
    <w:basedOn w:val="8"/>
    <w:qFormat/>
    <w:uiPriority w:val="0"/>
  </w:style>
  <w:style w:type="character" w:customStyle="1" w:styleId="24">
    <w:name w:val="hover19"/>
    <w:basedOn w:val="8"/>
    <w:qFormat/>
    <w:uiPriority w:val="0"/>
    <w:rPr>
      <w:color w:val="009DFF"/>
    </w:rPr>
  </w:style>
  <w:style w:type="character" w:customStyle="1" w:styleId="25">
    <w:name w:val="hover20"/>
    <w:basedOn w:val="8"/>
    <w:qFormat/>
    <w:uiPriority w:val="0"/>
    <w:rPr>
      <w:color w:val="009DFF"/>
    </w:rPr>
  </w:style>
  <w:style w:type="character" w:customStyle="1" w:styleId="26">
    <w:name w:val="ant-tree-switcher"/>
    <w:basedOn w:val="8"/>
    <w:qFormat/>
    <w:uiPriority w:val="0"/>
  </w:style>
  <w:style w:type="character" w:customStyle="1" w:styleId="27">
    <w:name w:val="ant-select-tree-checkbox2"/>
    <w:basedOn w:val="8"/>
    <w:qFormat/>
    <w:uiPriority w:val="0"/>
  </w:style>
  <w:style w:type="character" w:customStyle="1" w:styleId="28">
    <w:name w:val="ant-select-tree-iconele"/>
    <w:basedOn w:val="8"/>
    <w:qFormat/>
    <w:uiPriority w:val="0"/>
  </w:style>
  <w:style w:type="character" w:customStyle="1" w:styleId="29">
    <w:name w:val="ant-tree-checkbox6"/>
    <w:basedOn w:val="8"/>
    <w:qFormat/>
    <w:uiPriority w:val="0"/>
  </w:style>
  <w:style w:type="character" w:customStyle="1" w:styleId="30">
    <w:name w:val="wea-thumbnails-doc-content-subtitle"/>
    <w:basedOn w:val="8"/>
    <w:qFormat/>
    <w:uiPriority w:val="0"/>
    <w:rPr>
      <w:color w:val="9A9A9A"/>
    </w:rPr>
  </w:style>
  <w:style w:type="character" w:customStyle="1" w:styleId="31">
    <w:name w:val="ht_nestinglevel"/>
    <w:basedOn w:val="8"/>
    <w:qFormat/>
    <w:uiPriority w:val="0"/>
  </w:style>
  <w:style w:type="character" w:customStyle="1" w:styleId="32">
    <w:name w:val="ht_nestinglevel_empty"/>
    <w:basedOn w:val="8"/>
    <w:qFormat/>
    <w:uiPriority w:val="0"/>
  </w:style>
  <w:style w:type="character" w:customStyle="1" w:styleId="33">
    <w:name w:val="colheader"/>
    <w:basedOn w:val="8"/>
    <w:qFormat/>
    <w:uiPriority w:val="0"/>
  </w:style>
  <w:style w:type="character" w:customStyle="1" w:styleId="34">
    <w:name w:val="ant-tree-checkbox"/>
    <w:basedOn w:val="8"/>
    <w:qFormat/>
    <w:uiPriority w:val="0"/>
  </w:style>
  <w:style w:type="character" w:customStyle="1" w:styleId="35">
    <w:name w:val="first-child"/>
    <w:basedOn w:val="8"/>
    <w:qFormat/>
    <w:uiPriority w:val="0"/>
    <w:rPr>
      <w:sz w:val="13"/>
      <w:szCs w:val="13"/>
    </w:rPr>
  </w:style>
  <w:style w:type="character" w:customStyle="1" w:styleId="36">
    <w:name w:val="ant-tree-switcher6"/>
    <w:basedOn w:val="8"/>
    <w:qFormat/>
    <w:uiPriority w:val="0"/>
  </w:style>
  <w:style w:type="character" w:customStyle="1" w:styleId="37">
    <w:name w:val="selected"/>
    <w:basedOn w:val="8"/>
    <w:qFormat/>
    <w:uiPriority w:val="0"/>
  </w:style>
  <w:style w:type="character" w:customStyle="1" w:styleId="38">
    <w:name w:val="selected1"/>
    <w:basedOn w:val="8"/>
    <w:qFormat/>
    <w:uiPriority w:val="0"/>
  </w:style>
  <w:style w:type="character" w:customStyle="1" w:styleId="39">
    <w:name w:val="selected2"/>
    <w:basedOn w:val="8"/>
    <w:qFormat/>
    <w:uiPriority w:val="0"/>
  </w:style>
  <w:style w:type="character" w:customStyle="1" w:styleId="40">
    <w:name w:val="ant-select-tree-checkbox"/>
    <w:basedOn w:val="8"/>
    <w:qFormat/>
    <w:uiPriority w:val="0"/>
  </w:style>
  <w:style w:type="character" w:customStyle="1" w:styleId="41">
    <w:name w:val="ant-tree-switcher5"/>
    <w:basedOn w:val="8"/>
    <w:qFormat/>
    <w:uiPriority w:val="0"/>
  </w:style>
  <w:style w:type="character" w:customStyle="1" w:styleId="42">
    <w:name w:val="selected7"/>
    <w:basedOn w:val="8"/>
    <w:qFormat/>
    <w:uiPriority w:val="0"/>
  </w:style>
  <w:style w:type="character" w:customStyle="1" w:styleId="43">
    <w:name w:val="selected11"/>
    <w:basedOn w:val="8"/>
    <w:qFormat/>
    <w:uiPriority w:val="0"/>
  </w:style>
  <w:style w:type="character" w:customStyle="1" w:styleId="44">
    <w:name w:val="selected12"/>
    <w:basedOn w:val="8"/>
    <w:qFormat/>
    <w:uiPriority w:val="0"/>
  </w:style>
  <w:style w:type="character" w:customStyle="1" w:styleId="45">
    <w:name w:val="selected13"/>
    <w:basedOn w:val="8"/>
    <w:qFormat/>
    <w:uiPriority w:val="0"/>
  </w:style>
  <w:style w:type="character" w:customStyle="1" w:styleId="46">
    <w:name w:val="selected8"/>
    <w:basedOn w:val="8"/>
    <w:qFormat/>
    <w:uiPriority w:val="0"/>
  </w:style>
  <w:style w:type="character" w:customStyle="1" w:styleId="47">
    <w:name w:val="selected9"/>
    <w:basedOn w:val="8"/>
    <w:qFormat/>
    <w:uiPriority w:val="0"/>
  </w:style>
  <w:style w:type="character" w:customStyle="1" w:styleId="48">
    <w:name w:val="selected10"/>
    <w:basedOn w:val="8"/>
    <w:qFormat/>
    <w:uiPriority w:val="0"/>
  </w:style>
  <w:style w:type="character" w:customStyle="1" w:styleId="49">
    <w:name w:val="hover18"/>
    <w:basedOn w:val="8"/>
    <w:qFormat/>
    <w:uiPriority w:val="0"/>
    <w:rPr>
      <w:color w:val="009DFF"/>
    </w:rPr>
  </w:style>
  <w:style w:type="character" w:customStyle="1" w:styleId="50">
    <w:name w:val="ant-tree-checkbox5"/>
    <w:basedOn w:val="8"/>
    <w:qFormat/>
    <w:uiPriority w:val="0"/>
  </w:style>
  <w:style w:type="character" w:customStyle="1" w:styleId="51">
    <w:name w:val="ant-tree-switcher4"/>
    <w:basedOn w:val="8"/>
    <w:qFormat/>
    <w:uiPriority w:val="0"/>
  </w:style>
  <w:style w:type="character" w:customStyle="1" w:styleId="52">
    <w:name w:val="hover"/>
    <w:basedOn w:val="8"/>
    <w:qFormat/>
    <w:uiPriority w:val="0"/>
    <w:rPr>
      <w:color w:val="009DFF"/>
    </w:rPr>
  </w:style>
  <w:style w:type="character" w:customStyle="1" w:styleId="53">
    <w:name w:val="hover1"/>
    <w:basedOn w:val="8"/>
    <w:qFormat/>
    <w:uiPriority w:val="0"/>
    <w:rPr>
      <w:color w:val="009DFF"/>
    </w:rPr>
  </w:style>
  <w:style w:type="character" w:customStyle="1" w:styleId="54">
    <w:name w:val="hover15"/>
    <w:basedOn w:val="8"/>
    <w:qFormat/>
    <w:uiPriority w:val="0"/>
    <w:rPr>
      <w:color w:val="009DFF"/>
    </w:rPr>
  </w:style>
  <w:style w:type="character" w:customStyle="1" w:styleId="55">
    <w:name w:val="hover16"/>
    <w:basedOn w:val="8"/>
    <w:qFormat/>
    <w:uiPriority w:val="0"/>
    <w:rPr>
      <w:color w:val="009DFF"/>
    </w:rPr>
  </w:style>
  <w:style w:type="character" w:customStyle="1" w:styleId="56">
    <w:name w:val="ant-tree-checkbox4"/>
    <w:basedOn w:val="8"/>
    <w:qFormat/>
    <w:uiPriority w:val="0"/>
  </w:style>
  <w:style w:type="character" w:customStyle="1" w:styleId="57">
    <w:name w:val="hover17"/>
    <w:basedOn w:val="8"/>
    <w:qFormat/>
    <w:uiPriority w:val="0"/>
    <w:rPr>
      <w:color w:val="009DFF"/>
    </w:rPr>
  </w:style>
  <w:style w:type="character" w:customStyle="1" w:styleId="58">
    <w:name w:val="hover14"/>
    <w:basedOn w:val="8"/>
    <w:qFormat/>
    <w:uiPriority w:val="0"/>
    <w:rPr>
      <w:color w:val="009DFF"/>
    </w:rPr>
  </w:style>
  <w:style w:type="character" w:customStyle="1" w:styleId="59">
    <w:name w:val="hover13"/>
    <w:basedOn w:val="8"/>
    <w:qFormat/>
    <w:uiPriority w:val="0"/>
    <w:rPr>
      <w:color w:val="009DFF"/>
    </w:rPr>
  </w:style>
  <w:style w:type="character" w:customStyle="1" w:styleId="60">
    <w:name w:val="font11"/>
    <w:basedOn w:val="8"/>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85bacdaa-ff4d-4a33-a2a7-76ef6057a962</errorID>
      <errorWord>免费赠阅</errorWord>
      <group>L1_Word</group>
      <groupName>字词问题</groupName>
      <ability>L2_Typo</ability>
      <abilityName>字词错误</abilityName>
      <candidateList>
        <item>赠阅</item>
      </candidateList>
      <explain/>
      <paraID>1EE33D88</paraID>
      <start>31</start>
      <end>35</end>
      <status>ignored</status>
      <modifiedWord/>
      <trackRevisions>false</trackRevisions>
    </reviewItem>
    <reviewItem>
      <errorID>a15acda6-97fe-42a9-928e-364d8baa9731</errorID>
      <errorWord>前美联储主席</errorWord>
      <group>L1_Word</group>
      <groupName>字词问题</groupName>
      <ability>L2_Typo</ability>
      <abilityName>字词错误</abilityName>
      <candidateList>
        <item>美联储前主席</item>
      </candidateList>
      <explain/>
      <paraID>5A736834</paraID>
      <start>60</start>
      <end>66</end>
      <status>modified</status>
      <modifiedWord>美联储前主席</modifiedWord>
      <trackRevisions>false</trackRevisions>
    </reviewItem>
    <reviewItem>
      <errorID>82705795-5dc0-4a65-af45-47236a234b99</errorID>
      <errorWord>作</errorWord>
      <group>L1_Word</group>
      <groupName>字词问题</groupName>
      <ability>L2_Typo</ability>
      <abilityName>字词错误</abilityName>
      <candidateList>
        <item>做</item>
      </candidateList>
      <explain/>
      <paraID>1A7373FA</paraID>
      <start>132</start>
      <end>133</end>
      <status>modified</status>
      <modifiedWord>做</modifiedWord>
      <trackRevisions>false</trackRevisions>
    </reviewItem>
    <reviewItem>
      <errorID>8e6cf584-3e77-49dd-abdd-5e1b67f99ef7</errorID>
      <errorWord>噪音</errorWord>
      <group>L1_Word</group>
      <groupName>字词问题</groupName>
      <ability>L2_Alias</ability>
      <abilityName>也作/曾用词</abilityName>
      <candidateList>
        <item>噪声</item>
      </candidateList>
      <explain>词汇[噪音]为不规范表述或旧称，其规范书面表述为[噪声]。</explain>
      <paraID>623ECB48</paraID>
      <start>127</start>
      <end>129</end>
      <status>ignored</status>
      <modifiedWord/>
      <trackRevisions>false</trackRevisions>
    </reviewItem>
    <reviewItem>
      <errorID>d558a02b-4a5a-45a8-8bc1-34000fdc25f0</errorID>
      <errorWord>1990年代</errorWord>
      <group>L1_Knowledge</group>
      <groupName>知识性问题</groupName>
      <ability>L2_Time</ability>
      <abilityName>日期时间</abilityName>
      <candidateList>
        <item>20世纪90年代</item>
      </candidateList>
      <explain>年代表述建议使用世纪+年代的格式。</explain>
      <paraID>15064A54</paraID>
      <start>0</start>
      <end>8</end>
      <status>modified</status>
      <modifiedWord>20世纪90年代</modifiedWord>
      <trackRevisions>false</trackRevisions>
    </reviewItem>
    <reviewItem>
      <errorID>50ca6cd3-b09e-4529-b8c9-8eea69a6582b</errorID>
      <errorWord>、也</errorWord>
      <group>L1_Punc</group>
      <groupName>标点问题</groupName>
      <ability>L2_Punc_CN</ability>
      <abilityName>标点符号问题</abilityName>
      <candidateList>
        <item>，也</item>
      </candidateList>
      <explain>连接词前后不宜使用顿号，建议使用逗号。</explain>
      <paraID>217EDEC7</paraID>
      <start>46</start>
      <end>48</end>
      <status>modified</status>
      <modifiedWord>，也</modifiedWord>
      <trackRevisions>false</trackRevisions>
    </reviewItem>
    <reviewItem>
      <errorID>48563f57-6b80-47ba-970a-f0e22091383e</errorID>
      <errorWord>噪音</errorWord>
      <group>L1_Word</group>
      <groupName>字词问题</groupName>
      <ability>L2_Alias</ability>
      <abilityName>也作/曾用词</abilityName>
      <candidateList>
        <item>噪声</item>
      </candidateList>
      <explain>词汇[噪音]为不规范表述或旧称，其规范书面表述为[噪声]。</explain>
      <paraID>370CF55F</paraID>
      <start>78</start>
      <end>80</end>
      <status>ignored</status>
      <modifiedWord/>
      <trackRevisions>false</trackRevisions>
    </reviewItem>
    <reviewItem>
      <errorID>b2b1a238-8b93-4722-9e22-2c3b6bcfa3a0</errorID>
      <errorWord>.</errorWord>
      <group>L1_Format</group>
      <groupName>格式问题</groupName>
      <ability>L2_HalfPunc_CN</ability>
      <abilityName>全半角问题</abilityName>
      <candidateList>
        <item>。</item>
      </candidateList>
      <explain>文本全半角错误。</explain>
      <paraID>3440C645</paraID>
      <start>33</start>
      <end>34</end>
      <status>ignored</status>
      <modifiedWord/>
      <trackRevisions>false</trackRevisions>
    </reviewItem>
    <reviewItem>
      <errorID>f4840953-9544-445e-a82d-0f139ef8aa83</errorID>
      <errorWord>.</errorWord>
      <group>L1_Format</group>
      <groupName>格式问题</groupName>
      <ability>L2_HalfPunc_CN</ability>
      <abilityName>全半角问题</abilityName>
      <candidateList>
        <item>。</item>
      </candidateList>
      <explain>文本全半角错误。</explain>
      <paraID>7292A220</paraID>
      <start>9</start>
      <end>10</end>
      <status>ignored</status>
      <modifiedWord/>
      <trackRevisions>false</trackRevisions>
    </reviewItem>
    <reviewItem>
      <errorID>a7f2c57f-9db3-41a6-a9e6-0ec9c31de67d</errorID>
      <errorWord>着着</errorWord>
      <group>L1_Word</group>
      <groupName>字词问题</groupName>
      <ability>L2_Typo</ability>
      <abilityName>字词错误</abilityName>
      <candidateList>
        <item>着</item>
      </candidateList>
      <explain/>
      <paraID>1AB6AB69</paraID>
      <start>60</start>
      <end>61</end>
      <status>modified</status>
      <modifiedWord>着</modifiedWord>
      <trackRevisions>false</trackRevisions>
    </reviewItem>
    <reviewItem>
      <errorID>7d4d2714-2a0b-4a59-b9b3-af2ecebdfed1</errorID>
      <errorWord>正在</errorWord>
      <group>L1_Word</group>
      <groupName>字词问题</groupName>
      <ability>L2_Typo</ability>
      <abilityName>字词错误</abilityName>
      <candidateList>
        <item>正</item>
      </candidateList>
      <explain/>
      <paraID>2D1C10FD</paraID>
      <start>5</start>
      <end>7</end>
      <status>ignored</status>
      <modifiedWord/>
      <trackRevisions>false</trackRevisions>
    </reviewItem>
    <reviewItem>
      <errorID>1dd1d585-75aa-4a38-9c8a-1f99fbca076f</errorID>
      <errorWord>2000年代</errorWord>
      <group>L1_Knowledge</group>
      <groupName>知识性问题</groupName>
      <ability>L2_Time</ability>
      <abilityName>日期时间</abilityName>
      <candidateList>
        <item>2000年</item>
      </candidateList>
      <explain>“年代” 在历史表述中通常指十年区间，“2000年代”这种写法不符合汉语习惯，建议使用“2000年”。</explain>
      <paraID>49C34BCA</paraID>
      <start>21</start>
      <end>27</end>
      <status>ignored</status>
      <modifiedWord/>
      <trackRevisions>false</trackRevisions>
    </reviewItem>
    <reviewItem>
      <errorID>754ce6a6-5da4-4758-b40d-e6c0da0d69a8</errorID>
      <errorWord>2010年代</errorWord>
      <group>L1_Knowledge</group>
      <groupName>知识性问题</groupName>
      <ability>L2_Time</ability>
      <abilityName>日期时间</abilityName>
      <candidateList>
        <item>21世纪10年代</item>
      </candidateList>
      <explain>年代表述建议使用世纪+年代的格式。</explain>
      <paraID>49C34BCA</paraID>
      <start>56</start>
      <end>62</end>
      <status>ignored</status>
      <modifiedWord/>
      <trackRevisions>false</trackRevisions>
    </reviewItem>
    <reviewItem>
      <errorID>c42e3cea-ff42-4e5b-830d-96fa8ad709df</errorID>
      <errorWord>一段时期</errorWord>
      <group>L1_Word</group>
      <groupName>字词问题</groupName>
      <ability>L2_Typo</ability>
      <abilityName>字词错误</abilityName>
      <candidateList>
        <item>一段时间</item>
      </candidateList>
      <explain/>
      <paraID>6376A9DC</paraID>
      <start>4</start>
      <end>8</end>
      <status>ignored</status>
      <modifiedWord/>
      <trackRevisions>false</trackRevisions>
    </reviewItem>
    <reviewItem>
      <errorID>c0412c8a-6909-4da1-8733-77b6cf0614fe</errorID>
      <errorWord>(</errorWord>
      <group>L1_Format</group>
      <groupName>格式问题</groupName>
      <ability>L2_HalfPunc_CN</ability>
      <abilityName>全半角问题</abilityName>
      <candidateList>
        <item>（</item>
      </candidateList>
      <explain>文本全半角错误。</explain>
      <paraID>3F005B84</paraID>
      <start>15</start>
      <end>16</end>
      <status>ignored</status>
      <modifiedWord/>
      <trackRevisions>false</trackRevisions>
    </reviewItem>
    <reviewItem>
      <errorID>1771e3f3-d3f9-4d79-aa2b-bf7884b008a8</errorID>
      <errorWord>大部分</errorWord>
      <group>L1_Word</group>
      <groupName>字词问题</groupName>
      <ability>L2_Typo</ability>
      <abilityName>字词错误</abilityName>
      <candidateList>
        <item>部分</item>
      </candidateList>
      <explain/>
      <paraID>7D1BF582</paraID>
      <start>39</start>
      <end>42</end>
      <status>ignored</status>
      <modifiedWord/>
      <trackRevisions>false</trackRevisions>
    </reviewItem>
    <reviewItem>
      <errorID>f647ff41-01f3-42a7-8a84-bf183fbee804</errorID>
      <errorWord>、甚至</errorWord>
      <group>L1_Word</group>
      <groupName>字词问题</groupName>
      <ability>L2_Typo</ability>
      <abilityName>字词错误</abilityName>
      <candidateList>
        <item>，甚至</item>
      </candidateList>
      <explain/>
      <paraID>7A8B6663</paraID>
      <start>74</start>
      <end>77</end>
      <status>modified</status>
      <modifiedWord>，甚至</modifiedWord>
      <trackRevisions>false</trackRevisions>
    </reviewItem>
    <reviewItem>
      <errorID>4e238d0c-dba1-4fbe-b0f7-5272a3e4884f</errorID>
      <errorWord>?</errorWord>
      <group>L1_Format</group>
      <groupName>格式问题</groupName>
      <ability>L2_HalfPunc_CN</ability>
      <abilityName>全半角问题</abilityName>
      <candidateList>
        <item>？</item>
      </candidateList>
      <explain>文本全半角错误。</explain>
      <paraID>48BF6E37</paraID>
      <start>60</start>
      <end>61</end>
      <status>modified</status>
      <modifiedWord>？</modifiedWord>
      <trackRevisions>false</trackRevisions>
    </reviewItem>
    <reviewItem>
      <errorID>ed14cbdb-a698-4dd6-9a37-ed52e4cf5ac7</errorID>
      <errorWord>决</errorWord>
      <group>L1_Word</group>
      <groupName>字词问题</groupName>
      <ability>L2_Typo</ability>
      <abilityName>字词错误</abilityName>
      <candidateList>
        <item>决了</item>
      </candidateList>
      <explain/>
      <paraID>79687F47</paraID>
      <start>5</start>
      <end>6</end>
      <status>ignored</status>
      <modifiedWord/>
      <trackRevisions>false</trackRevisions>
    </reviewItem>
    <reviewItem>
      <errorID>7950f29f-9ff4-412c-bb19-cc9dcc0e8a7c</errorID>
      <errorWord>持</errorWord>
      <group>L1_Word</group>
      <groupName>字词问题</groupName>
      <ability>L2_Typo</ability>
      <abilityName>字词错误</abilityName>
      <candidateList>
        <item>持在</item>
      </candidateList>
      <explain/>
      <paraID> 13E9953</paraID>
      <start>184</start>
      <end>185</end>
      <status>ignored</status>
      <modifiedWord/>
      <trackRevisions>false</trackRevisions>
    </reviewItem>
    <reviewItem>
      <errorID>74127b0e-15a6-4452-84ad-2f4455a1ef17</errorID>
      <errorWord>与和</errorWord>
      <group>L1_Word</group>
      <groupName>字词问题</groupName>
      <ability>L2_Typo</ability>
      <abilityName>字词错误</abilityName>
      <candidateList>
        <item>与</item>
      </candidateList>
      <explain/>
      <paraID>21359799</paraID>
      <start>132</start>
      <end>133</end>
      <status>modified</status>
      <modifiedWord>与</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0580ff2-b58c-42e7-945a-ef533f35e029}">
  <ds:schemaRefs/>
</ds:datastoreItem>
</file>

<file path=docProps/app.xml><?xml version="1.0" encoding="utf-8"?>
<Properties xmlns="http://schemas.openxmlformats.org/officeDocument/2006/extended-properties" xmlns:vt="http://schemas.openxmlformats.org/officeDocument/2006/docPropsVTypes">
  <Template>Normal.dotm</Template>
  <Pages>50</Pages>
  <Words>24726</Words>
  <Characters>27055</Characters>
  <Lines>1</Lines>
  <Paragraphs>1</Paragraphs>
  <TotalTime>34</TotalTime>
  <ScaleCrop>false</ScaleCrop>
  <LinksUpToDate>false</LinksUpToDate>
  <CharactersWithSpaces>27294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2023-12-15T03:58:00Z</dcterms:created>
  <dc:creator>admin</dc:creator>
  <cp:lastModifiedBy>左亮</cp:lastModifiedBy>
  <cp:lastPrinted>2026-08-31T07:09:26Z</cp:lastPrinted>
  <dcterms:modified xsi:type="dcterms:W3CDTF">2026-09-01T07:57:02Z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2AFE29251F2D47119EA111B2B617C6AF_13</vt:lpwstr>
  </property>
  <property fmtid="{D5CDD505-2E9C-101B-9397-08002B2CF9AE}" pid="4" name="KSOTemplateDocerSaveRecord">
    <vt:lpwstr>eyJoZGlkIjoiZjNiNGRkNzIwNDhhZDJkNTgzN2EzNjc2NjIxOGZjZjkiLCJ1c2VySWQiOiIxNzEwMjM3NzY5In0=</vt:lpwstr>
  </property>
</Properties>
</file>