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409C5F">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0"/>
        <w:rPr>
          <w:rFonts w:hint="default" w:ascii="Times New Roman" w:hAnsi="Times New Roman" w:eastAsia="宋体" w:cs="Times New Roman"/>
          <w:b/>
          <w:color w:val="FF0000"/>
          <w:spacing w:val="-119"/>
          <w:kern w:val="36"/>
          <w:sz w:val="144"/>
          <w:szCs w:val="144"/>
        </w:rPr>
      </w:pPr>
      <w:r>
        <w:rPr>
          <w:rFonts w:hint="default" w:ascii="Times New Roman" w:hAnsi="Times New Roman" w:eastAsia="经典行楷简" w:cs="Times New Roman"/>
          <w:b/>
          <w:color w:val="1F497D"/>
          <w:spacing w:val="-119"/>
          <w:kern w:val="36"/>
          <w:sz w:val="144"/>
          <w:szCs w:val="144"/>
          <w14:textFill>
            <w14:solidFill>
              <w14:srgbClr w14:val="1F497D">
                <w14:lumMod w14:val="60000"/>
                <w14:lumOff w14:val="40000"/>
              </w14:srgbClr>
            </w14:solidFill>
          </w14:textFill>
        </w:rPr>
        <w:t>江苏贸促周讯</w:t>
      </w:r>
    </w:p>
    <w:p w14:paraId="0BBB31A0">
      <w:pPr>
        <w:keepNext w:val="0"/>
        <w:keepLines w:val="0"/>
        <w:pageBreakBefore w:val="0"/>
        <w:widowControl/>
        <w:kinsoku/>
        <w:wordWrap/>
        <w:overflowPunct/>
        <w:topLinePunct w:val="0"/>
        <w:autoSpaceDE/>
        <w:autoSpaceDN/>
        <w:bidi w:val="0"/>
        <w:adjustRightInd/>
        <w:snapToGrid/>
        <w:spacing w:line="460" w:lineRule="exact"/>
        <w:jc w:val="center"/>
        <w:textAlignment w:val="auto"/>
        <w:outlineLvl w:val="0"/>
        <w:rPr>
          <w:rFonts w:hint="default" w:ascii="Times New Roman" w:hAnsi="Times New Roman" w:eastAsia="经典行楷简" w:cs="Times New Roman"/>
          <w:b w:val="0"/>
          <w:bCs/>
          <w:color w:val="2E75B6" w:themeColor="accent1" w:themeShade="BF"/>
          <w:kern w:val="36"/>
          <w:sz w:val="44"/>
          <w:szCs w:val="44"/>
        </w:rPr>
      </w:pPr>
      <w:r>
        <w:rPr>
          <w:rFonts w:hint="default" w:ascii="Times New Roman" w:hAnsi="Times New Roman" w:eastAsia="经典行楷简" w:cs="Times New Roman"/>
          <w:b w:val="0"/>
          <w:bCs/>
          <w:color w:val="2E75B6" w:themeColor="accent1" w:themeShade="BF"/>
          <w:kern w:val="36"/>
          <w:sz w:val="44"/>
          <w:szCs w:val="44"/>
        </w:rPr>
        <w:t>202</w:t>
      </w:r>
      <w:r>
        <w:rPr>
          <w:rFonts w:hint="eastAsia" w:ascii="Times New Roman" w:hAnsi="Times New Roman" w:eastAsia="经典行楷简" w:cs="Times New Roman"/>
          <w:b w:val="0"/>
          <w:bCs/>
          <w:color w:val="2E75B6" w:themeColor="accent1" w:themeShade="BF"/>
          <w:kern w:val="36"/>
          <w:sz w:val="44"/>
          <w:szCs w:val="44"/>
          <w:lang w:val="en-US" w:eastAsia="zh-CN"/>
        </w:rPr>
        <w:t>6</w:t>
      </w:r>
      <w:r>
        <w:rPr>
          <w:rFonts w:hint="default" w:ascii="Times New Roman" w:hAnsi="Times New Roman" w:eastAsia="经典行楷简" w:cs="Times New Roman"/>
          <w:b w:val="0"/>
          <w:bCs/>
          <w:color w:val="2E75B6" w:themeColor="accent1" w:themeShade="BF"/>
          <w:kern w:val="36"/>
          <w:sz w:val="44"/>
          <w:szCs w:val="44"/>
        </w:rPr>
        <w:t>年第</w:t>
      </w:r>
      <w:r>
        <w:rPr>
          <w:rFonts w:hint="eastAsia" w:ascii="Times New Roman" w:hAnsi="Times New Roman" w:eastAsia="经典行楷简" w:cs="Times New Roman"/>
          <w:b w:val="0"/>
          <w:bCs/>
          <w:color w:val="2E75B6" w:themeColor="accent1" w:themeShade="BF"/>
          <w:kern w:val="36"/>
          <w:sz w:val="44"/>
          <w:szCs w:val="44"/>
          <w:lang w:val="en-US" w:eastAsia="zh-CN"/>
        </w:rPr>
        <w:t>17</w:t>
      </w:r>
      <w:r>
        <w:rPr>
          <w:rFonts w:hint="default" w:ascii="Times New Roman" w:hAnsi="Times New Roman" w:eastAsia="经典行楷简" w:cs="Times New Roman"/>
          <w:b w:val="0"/>
          <w:bCs/>
          <w:color w:val="2E75B6" w:themeColor="accent1" w:themeShade="BF"/>
          <w:kern w:val="36"/>
          <w:sz w:val="44"/>
          <w:szCs w:val="44"/>
        </w:rPr>
        <w:t>期</w:t>
      </w:r>
    </w:p>
    <w:p w14:paraId="33D75D5A">
      <w:pPr>
        <w:keepNext w:val="0"/>
        <w:keepLines w:val="0"/>
        <w:pageBreakBefore w:val="0"/>
        <w:widowControl/>
        <w:kinsoku/>
        <w:wordWrap/>
        <w:overflowPunct/>
        <w:topLinePunct w:val="0"/>
        <w:autoSpaceDE/>
        <w:autoSpaceDN/>
        <w:bidi w:val="0"/>
        <w:adjustRightInd/>
        <w:snapToGrid/>
        <w:spacing w:line="460" w:lineRule="exact"/>
        <w:jc w:val="center"/>
        <w:textAlignment w:val="auto"/>
        <w:outlineLvl w:val="0"/>
        <w:rPr>
          <w:rFonts w:hint="default" w:ascii="Times New Roman" w:hAnsi="Times New Roman" w:eastAsia="经典行楷简" w:cs="Times New Roman"/>
          <w:b w:val="0"/>
          <w:bCs/>
          <w:color w:val="2E75B5" w:themeColor="accent1" w:themeShade="BF"/>
          <w:kern w:val="36"/>
          <w:sz w:val="44"/>
          <w:szCs w:val="44"/>
          <w:lang w:eastAsia="zh-CN"/>
          <w14:textFill>
            <w14:gradFill>
              <w14:gsLst>
                <w14:gs w14:pos="0">
                  <w14:srgbClr w14:val="FE4444"/>
                </w14:gs>
                <w14:gs w14:pos="100000">
                  <w14:srgbClr w14:val="832B2B"/>
                </w14:gs>
              </w14:gsLst>
              <w14:lin/>
            </w14:gradFill>
          </w14:textFill>
        </w:rPr>
      </w:pPr>
      <w:r>
        <w:rPr>
          <w:rFonts w:hint="default" w:ascii="Times New Roman" w:hAnsi="Times New Roman" w:eastAsia="经典行楷简" w:cs="Times New Roman"/>
          <w:b w:val="0"/>
          <w:bCs/>
          <w:color w:val="2E75B5" w:themeColor="accent1" w:themeShade="BF"/>
          <w:kern w:val="36"/>
          <w:sz w:val="44"/>
          <w:szCs w:val="44"/>
          <w:lang w:eastAsia="zh-CN"/>
          <w14:textFill>
            <w14:gradFill>
              <w14:gsLst>
                <w14:gs w14:pos="0">
                  <w14:srgbClr w14:val="FE4444"/>
                </w14:gs>
                <w14:gs w14:pos="100000">
                  <w14:srgbClr w14:val="832B2B"/>
                </w14:gs>
              </w14:gsLst>
              <w14:lin/>
            </w14:gradFill>
          </w14:textFill>
        </w:rPr>
        <w:t>（</w:t>
      </w:r>
      <w:r>
        <w:rPr>
          <w:rFonts w:hint="default" w:ascii="Times New Roman" w:hAnsi="Times New Roman" w:eastAsia="经典行楷简" w:cs="Times New Roman"/>
          <w:b w:val="0"/>
          <w:bCs/>
          <w:color w:val="2E75B5" w:themeColor="accent1" w:themeShade="BF"/>
          <w:kern w:val="36"/>
          <w:sz w:val="44"/>
          <w:szCs w:val="44"/>
          <w14:textFill>
            <w14:gradFill>
              <w14:gsLst>
                <w14:gs w14:pos="0">
                  <w14:srgbClr w14:val="FE4444"/>
                </w14:gs>
                <w14:gs w14:pos="100000">
                  <w14:srgbClr w14:val="832B2B"/>
                </w14:gs>
              </w14:gsLst>
              <w14:lin/>
            </w14:gradFill>
          </w14:textFill>
        </w:rPr>
        <w:t>总第</w:t>
      </w:r>
      <w:r>
        <w:rPr>
          <w:rFonts w:hint="eastAsia" w:ascii="Times New Roman" w:hAnsi="Times New Roman" w:eastAsia="经典行楷简" w:cs="Times New Roman"/>
          <w:b w:val="0"/>
          <w:bCs/>
          <w:color w:val="2E75B5" w:themeColor="accent1" w:themeShade="BF"/>
          <w:kern w:val="36"/>
          <w:sz w:val="44"/>
          <w:szCs w:val="44"/>
          <w:lang w:val="en-US" w:eastAsia="zh-CN"/>
          <w14:textFill>
            <w14:gradFill>
              <w14:gsLst>
                <w14:gs w14:pos="0">
                  <w14:srgbClr w14:val="FE4444"/>
                </w14:gs>
                <w14:gs w14:pos="100000">
                  <w14:srgbClr w14:val="832B2B"/>
                </w14:gs>
              </w14:gsLst>
              <w14:lin/>
            </w14:gradFill>
          </w14:textFill>
        </w:rPr>
        <w:t>353</w:t>
      </w:r>
      <w:r>
        <w:rPr>
          <w:rFonts w:hint="default" w:ascii="Times New Roman" w:hAnsi="Times New Roman" w:eastAsia="经典行楷简" w:cs="Times New Roman"/>
          <w:b w:val="0"/>
          <w:bCs/>
          <w:color w:val="2E75B5" w:themeColor="accent1" w:themeShade="BF"/>
          <w:kern w:val="36"/>
          <w:sz w:val="44"/>
          <w:szCs w:val="44"/>
          <w14:textFill>
            <w14:gradFill>
              <w14:gsLst>
                <w14:gs w14:pos="0">
                  <w14:srgbClr w14:val="FE4444"/>
                </w14:gs>
                <w14:gs w14:pos="100000">
                  <w14:srgbClr w14:val="832B2B"/>
                </w14:gs>
              </w14:gsLst>
              <w14:lin/>
            </w14:gradFill>
          </w14:textFill>
        </w:rPr>
        <w:t>期</w:t>
      </w:r>
      <w:r>
        <w:rPr>
          <w:rFonts w:hint="default" w:ascii="Times New Roman" w:hAnsi="Times New Roman" w:eastAsia="经典行楷简" w:cs="Times New Roman"/>
          <w:b w:val="0"/>
          <w:bCs/>
          <w:color w:val="2E75B5" w:themeColor="accent1" w:themeShade="BF"/>
          <w:kern w:val="36"/>
          <w:sz w:val="44"/>
          <w:szCs w:val="44"/>
          <w:lang w:eastAsia="zh-CN"/>
          <w14:textFill>
            <w14:gradFill>
              <w14:gsLst>
                <w14:gs w14:pos="0">
                  <w14:srgbClr w14:val="FE4444"/>
                </w14:gs>
                <w14:gs w14:pos="100000">
                  <w14:srgbClr w14:val="832B2B"/>
                </w14:gs>
              </w14:gsLst>
              <w14:lin/>
            </w14:gradFill>
          </w14:textFill>
        </w:rPr>
        <w:t>）</w:t>
      </w:r>
    </w:p>
    <w:p w14:paraId="5DAE9BA1">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528" w:firstLineChars="200"/>
        <w:jc w:val="both"/>
        <w:textAlignment w:val="auto"/>
        <w:outlineLvl w:val="1"/>
        <w:rPr>
          <w:rFonts w:hint="default" w:ascii="Times New Roman" w:hAnsi="Times New Roman" w:eastAsia="方正楷体_GBK" w:cs="Times New Roman"/>
          <w:b w:val="0"/>
          <w:bCs/>
          <w:color w:val="000000"/>
          <w:kern w:val="36"/>
          <w:sz w:val="36"/>
          <w:szCs w:val="36"/>
          <w:highlight w:val="none"/>
          <w:lang w:val="en-US"/>
        </w:rPr>
      </w:pPr>
      <w:r>
        <w:rPr>
          <w:rFonts w:hint="eastAsia" w:ascii="方正公文黑体" w:hAnsi="方正公文黑体" w:eastAsia="方正公文黑体" w:cs="方正公文黑体"/>
          <w:b w:val="0"/>
          <w:bCs/>
          <w:color w:val="1F497D"/>
          <w:kern w:val="36"/>
          <w:sz w:val="28"/>
          <w:szCs w:val="28"/>
          <w:highlight w:val="none"/>
          <w14:textFill>
            <w14:solidFill>
              <w14:srgbClr w14:val="1F497D">
                <w14:lumMod w14:val="60000"/>
                <w14:lumOff w14:val="40000"/>
              </w14:srgbClr>
            </w14:solidFill>
          </w14:textFill>
        </w:rPr>
        <w:t>江苏省贸促会发展研究部</w:t>
      </w:r>
      <w:r>
        <w:rPr>
          <w:rFonts w:hint="default" w:ascii="Times New Roman" w:hAnsi="Times New Roman" w:eastAsia="宋体" w:cs="Times New Roman"/>
          <w:b/>
          <w:color w:val="00B0F0"/>
          <w:kern w:val="36"/>
          <w:sz w:val="28"/>
          <w:szCs w:val="28"/>
          <w:highlight w:val="none"/>
        </w:rPr>
        <w:t xml:space="preserve"> </w:t>
      </w:r>
      <w:r>
        <w:rPr>
          <w:rFonts w:hint="default" w:ascii="Times New Roman" w:hAnsi="Times New Roman" w:eastAsia="宋体" w:cs="Times New Roman"/>
          <w:b/>
          <w:color w:val="000000"/>
          <w:kern w:val="36"/>
          <w:sz w:val="36"/>
          <w:szCs w:val="36"/>
          <w:highlight w:val="none"/>
        </w:rPr>
        <w:t xml:space="preserve">        </w:t>
      </w:r>
      <w:r>
        <w:rPr>
          <w:rFonts w:hint="default" w:ascii="Times New Roman" w:hAnsi="Times New Roman" w:eastAsia="方正楷体_GBK" w:cs="Times New Roman"/>
          <w:b w:val="0"/>
          <w:bCs/>
          <w:color w:val="000000"/>
          <w:kern w:val="36"/>
          <w:sz w:val="36"/>
          <w:szCs w:val="36"/>
          <w:highlight w:val="none"/>
        </w:rPr>
        <w:t xml:space="preserve"> </w:t>
      </w:r>
      <w:r>
        <w:rPr>
          <w:rFonts w:hint="default" w:ascii="Times New Roman" w:hAnsi="Times New Roman" w:eastAsia="方正楷体_GBK" w:cs="Times New Roman"/>
          <w:b w:val="0"/>
          <w:bCs/>
          <w:color w:val="000000"/>
          <w:kern w:val="36"/>
          <w:sz w:val="36"/>
          <w:szCs w:val="36"/>
          <w:highlight w:val="none"/>
          <w:lang w:val="en-US"/>
        </w:rPr>
        <w:t xml:space="preserve">     </w:t>
      </w:r>
      <w:r>
        <w:rPr>
          <w:rFonts w:hint="default" w:ascii="Times New Roman" w:hAnsi="Times New Roman" w:eastAsia="方正楷体_GBK" w:cs="Times New Roman"/>
          <w:b w:val="0"/>
          <w:bCs/>
          <w:color w:val="000000"/>
          <w:kern w:val="36"/>
          <w:sz w:val="32"/>
          <w:szCs w:val="32"/>
          <w:highlight w:val="none"/>
          <w:lang w:val="en-US"/>
        </w:rPr>
        <w:t xml:space="preserve"> </w:t>
      </w:r>
      <w:r>
        <w:rPr>
          <w:rFonts w:hint="default" w:ascii="Times New Roman" w:hAnsi="Times New Roman" w:eastAsia="方正楷体_GBK" w:cs="Times New Roman"/>
          <w:b w:val="0"/>
          <w:bCs/>
          <w:color w:val="000000"/>
          <w:kern w:val="36"/>
          <w:sz w:val="32"/>
          <w:szCs w:val="32"/>
          <w:highlight w:val="none"/>
        </w:rPr>
        <w:t>202</w:t>
      </w:r>
      <w:r>
        <w:rPr>
          <w:rFonts w:hint="eastAsia" w:ascii="Times New Roman" w:hAnsi="Times New Roman" w:eastAsia="方正楷体_GBK" w:cs="Times New Roman"/>
          <w:b w:val="0"/>
          <w:bCs/>
          <w:color w:val="000000"/>
          <w:kern w:val="36"/>
          <w:sz w:val="32"/>
          <w:szCs w:val="32"/>
          <w:highlight w:val="none"/>
          <w:lang w:val="en-US" w:eastAsia="zh-CN"/>
        </w:rPr>
        <w:t>6</w:t>
      </w:r>
      <w:r>
        <w:rPr>
          <w:rFonts w:hint="default" w:ascii="Times New Roman" w:hAnsi="Times New Roman" w:eastAsia="方正楷体_GBK" w:cs="Times New Roman"/>
          <w:b w:val="0"/>
          <w:bCs/>
          <w:color w:val="000000"/>
          <w:kern w:val="36"/>
          <w:sz w:val="32"/>
          <w:szCs w:val="32"/>
          <w:highlight w:val="none"/>
        </w:rPr>
        <w:t>年</w:t>
      </w:r>
      <w:r>
        <w:rPr>
          <w:rFonts w:hint="eastAsia" w:ascii="Times New Roman" w:hAnsi="Times New Roman" w:eastAsia="方正楷体_GBK" w:cs="Times New Roman"/>
          <w:b w:val="0"/>
          <w:bCs/>
          <w:color w:val="000000"/>
          <w:kern w:val="36"/>
          <w:sz w:val="32"/>
          <w:szCs w:val="32"/>
          <w:highlight w:val="none"/>
          <w:lang w:val="en-US" w:eastAsia="zh-CN"/>
        </w:rPr>
        <w:t>5</w:t>
      </w:r>
      <w:r>
        <w:rPr>
          <w:rFonts w:hint="default" w:ascii="Times New Roman" w:hAnsi="Times New Roman" w:eastAsia="方正楷体_GBK" w:cs="Times New Roman"/>
          <w:b w:val="0"/>
          <w:bCs/>
          <w:color w:val="000000"/>
          <w:kern w:val="36"/>
          <w:sz w:val="32"/>
          <w:szCs w:val="32"/>
          <w:highlight w:val="none"/>
        </w:rPr>
        <w:t>月</w:t>
      </w:r>
      <w:r>
        <w:rPr>
          <w:rFonts w:hint="eastAsia" w:ascii="Times New Roman" w:hAnsi="Times New Roman" w:eastAsia="方正楷体_GBK" w:cs="Times New Roman"/>
          <w:b w:val="0"/>
          <w:bCs/>
          <w:color w:val="000000"/>
          <w:kern w:val="36"/>
          <w:sz w:val="32"/>
          <w:szCs w:val="32"/>
          <w:highlight w:val="none"/>
          <w:lang w:val="en-US" w:eastAsia="zh-CN"/>
        </w:rPr>
        <w:t>25日</w:t>
      </w:r>
    </w:p>
    <w:p w14:paraId="1EE33D88">
      <w:pPr>
        <w:keepNext w:val="0"/>
        <w:keepLines w:val="0"/>
        <w:pageBreakBefore w:val="0"/>
        <w:widowControl/>
        <w:shd w:val="clear" w:color="auto" w:fill="FFFFFF"/>
        <w:kinsoku/>
        <w:wordWrap/>
        <w:overflowPunct/>
        <w:topLinePunct w:val="0"/>
        <w:autoSpaceDE/>
        <w:autoSpaceDN/>
        <w:bidi w:val="0"/>
        <w:adjustRightInd/>
        <w:snapToGrid/>
        <w:spacing w:before="435" w:beforeLines="150" w:after="210" w:line="240" w:lineRule="auto"/>
        <w:ind w:firstLine="424" w:firstLineChars="100"/>
        <w:jc w:val="both"/>
        <w:textAlignment w:val="auto"/>
        <w:outlineLvl w:val="1"/>
        <w:rPr>
          <w:rFonts w:hint="default" w:ascii="Times New Roman" w:hAnsi="Times New Roman" w:eastAsia="方正黑体_GBK" w:cs="Times New Roman"/>
          <w:b w:val="0"/>
          <w:bCs/>
          <w:color w:val="000000"/>
          <w:kern w:val="36"/>
          <w:sz w:val="24"/>
          <w:szCs w:val="24"/>
          <w:lang w:val="en-US" w:eastAsia="zh-CN"/>
        </w:rPr>
      </w:pPr>
      <w:r>
        <w:rPr>
          <w:rFonts w:hint="default" w:ascii="Times New Roman" w:hAnsi="Times New Roman" w:eastAsia="方正黑体_GBK" w:cs="Times New Roman"/>
          <w:b w:val="0"/>
          <w:bCs/>
          <w:color w:val="000000"/>
          <w:kern w:val="36"/>
          <w:sz w:val="44"/>
          <w:szCs w:val="44"/>
        </w:rPr>
        <w:t>目录</w:t>
      </w:r>
      <w:r>
        <w:rPr>
          <w:rFonts w:hint="default" w:ascii="Times New Roman" w:hAnsi="Times New Roman" w:eastAsia="方正黑体_GBK" w:cs="Times New Roman"/>
          <w:b w:val="0"/>
          <w:bCs/>
          <w:color w:val="000000"/>
          <w:kern w:val="36"/>
          <w:sz w:val="28"/>
          <w:szCs w:val="28"/>
          <w:lang w:val="en-US"/>
        </w:rPr>
        <w:t>CONTENTS</w:t>
      </w:r>
      <w:r>
        <w:rPr>
          <w:rFonts w:hint="default" w:ascii="Times New Roman" w:hAnsi="Times New Roman" w:eastAsia="方正黑体_GBK" w:cs="Times New Roman"/>
          <w:b w:val="0"/>
          <w:bCs/>
          <w:color w:val="000000"/>
          <w:kern w:val="36"/>
          <w:sz w:val="32"/>
          <w:szCs w:val="32"/>
          <w:lang w:val="en-US"/>
        </w:rPr>
        <w:t xml:space="preserve">  </w:t>
      </w:r>
      <w:r>
        <w:rPr>
          <w:rFonts w:hint="default" w:ascii="Times New Roman" w:hAnsi="Times New Roman" w:eastAsia="方正黑体_GBK" w:cs="Times New Roman"/>
          <w:b w:val="0"/>
          <w:bCs/>
          <w:color w:val="000000"/>
          <w:kern w:val="36"/>
          <w:sz w:val="24"/>
          <w:szCs w:val="24"/>
          <w:lang w:val="en-US" w:eastAsia="zh-CN"/>
        </w:rPr>
        <w:t>——————————————内部资料 免费赠阅</w:t>
      </w:r>
    </w:p>
    <w:p w14:paraId="5748581E">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28" w:firstLineChars="200"/>
        <w:contextualSpacing/>
        <w:jc w:val="left"/>
        <w:textAlignment w:val="auto"/>
        <w:outlineLvl w:val="1"/>
        <w:rPr>
          <w:rFonts w:hint="default" w:ascii="Times New Roman" w:hAnsi="Times New Roman" w:eastAsia="宋体" w:cs="Times New Roman"/>
          <w:b/>
          <w:color w:val="FF0000"/>
          <w:kern w:val="36"/>
          <w:sz w:val="24"/>
          <w:szCs w:val="24"/>
          <w:lang w:val="en-US" w:eastAsia="zh-CN"/>
        </w:rPr>
      </w:pPr>
      <w:r>
        <w:rPr>
          <w:rFonts w:hint="default" w:ascii="Times New Roman" w:hAnsi="Times New Roman" w:eastAsia="宋体" w:cs="Times New Roman"/>
          <w:b/>
          <w:color w:val="1F497D"/>
          <w:kern w:val="36"/>
          <w:sz w:val="28"/>
          <w:szCs w:val="28"/>
          <w:lang w:val="en-US" w:eastAsia="zh-CN"/>
          <w14:textFill>
            <w14:solidFill>
              <w14:srgbClr w14:val="1F497D">
                <w14:lumMod w14:val="60000"/>
                <w14:lumOff w14:val="40000"/>
              </w14:srgbClr>
            </w14:solidFill>
          </w14:textFill>
        </w:rPr>
        <w:t xml:space="preserve">• </w:t>
      </w:r>
      <w:r>
        <w:rPr>
          <w:rFonts w:hint="eastAsia" w:ascii="方正公文黑体" w:hAnsi="方正公文黑体" w:eastAsia="方正公文黑体" w:cs="方正公文黑体"/>
          <w:b w:val="0"/>
          <w:bCs/>
          <w:color w:val="1F497D"/>
          <w:kern w:val="36"/>
          <w:sz w:val="32"/>
          <w:szCs w:val="32"/>
          <w:lang w:val="en-US" w:eastAsia="zh-CN"/>
          <w14:textFill>
            <w14:solidFill>
              <w14:srgbClr w14:val="1F497D">
                <w14:lumMod w14:val="60000"/>
                <w14:lumOff w14:val="40000"/>
              </w14:srgbClr>
            </w14:solidFill>
          </w14:textFill>
        </w:rPr>
        <w:t>全球经贸分析</w:t>
      </w:r>
      <w:r>
        <w:rPr>
          <w:rFonts w:hint="default"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t xml:space="preserve"> </w:t>
      </w:r>
      <w:r>
        <w:rPr>
          <w:rFonts w:hint="default" w:ascii="Times New Roman" w:hAnsi="Times New Roman" w:eastAsia="宋体" w:cs="Times New Roman"/>
          <w:b/>
          <w:color w:val="1F497D"/>
          <w:kern w:val="36"/>
          <w:sz w:val="28"/>
          <w:szCs w:val="28"/>
          <w:lang w:val="en-US" w:eastAsia="zh-CN"/>
          <w14:textFill>
            <w14:solidFill>
              <w14:srgbClr w14:val="1F497D">
                <w14:lumMod w14:val="60000"/>
                <w14:lumOff w14:val="40000"/>
              </w14:srgbClr>
            </w14:solidFill>
          </w14:textFill>
        </w:rPr>
        <w:t>•</w:t>
      </w:r>
      <w:r>
        <w:rPr>
          <w:rFonts w:hint="default" w:ascii="Times New Roman" w:hAnsi="Times New Roman" w:eastAsia="宋体" w:cs="Times New Roman"/>
          <w:b/>
          <w:color w:val="00B0F0"/>
          <w:kern w:val="36"/>
          <w:sz w:val="36"/>
          <w:szCs w:val="36"/>
          <w:lang w:val="en-US" w:eastAsia="zh-CN"/>
        </w:rPr>
        <w:t xml:space="preserve"> </w:t>
      </w:r>
      <w:r>
        <w:rPr>
          <w:rFonts w:hint="default" w:ascii="Times New Roman" w:hAnsi="Times New Roman" w:eastAsia="宋体" w:cs="Times New Roman"/>
          <w:b/>
          <w:color w:val="FF0000"/>
          <w:kern w:val="36"/>
          <w:sz w:val="24"/>
          <w:szCs w:val="24"/>
          <w:lang w:val="en-US" w:eastAsia="zh-CN"/>
        </w:rPr>
        <w:t>‧‧‧‧‧‧‧‧‧‧‧‧‧‧‧‧‧‧‧‧‧‧‧‧‧‧‧‧‧‧‧‧‧‧‧‧‧‧‧‧‧‧‧‧‧‧‧‧‧‧‧‧‧‧‧‧‧‧‧‧‧‧‧‧‧‧‧‧‧‧‧‧‧‧‧‧‧‧‧‧‧‧‧‧‧‧‧‧‧‧‧‧‧‧‧</w:t>
      </w:r>
    </w:p>
    <w:p w14:paraId="0B5D1FF9">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566"/>
        <w:contextualSpacing/>
        <w:jc w:val="both"/>
        <w:textAlignment w:val="auto"/>
        <w:outlineLvl w:val="1"/>
        <w:rPr>
          <w:rFonts w:hint="default" w:ascii="Times New Roman" w:hAnsi="Times New Roman" w:eastAsia="方正楷体_GBK" w:cs="Times New Roman"/>
          <w:b/>
          <w:bCs w:val="0"/>
          <w:color w:val="auto"/>
          <w:spacing w:val="-20"/>
          <w:kern w:val="36"/>
          <w:sz w:val="30"/>
          <w:szCs w:val="30"/>
          <w:lang w:val="en-US" w:eastAsia="zh-CN"/>
        </w:rPr>
      </w:pPr>
      <w:r>
        <w:rPr>
          <w:rFonts w:hint="eastAsia" w:ascii="Times New Roman" w:hAnsi="Times New Roman" w:eastAsia="方正楷体_GBK" w:cs="Times New Roman"/>
          <w:b/>
          <w:color w:val="auto"/>
          <w:spacing w:val="-20"/>
          <w:kern w:val="36"/>
          <w:sz w:val="30"/>
          <w:szCs w:val="30"/>
          <w:lang w:val="en-US" w:eastAsia="zh-CN"/>
        </w:rPr>
        <w:t xml:space="preserve">全球港口争夺战：投资狂潮背后的供应链控制焦虑 / </w:t>
      </w:r>
      <w:r>
        <w:rPr>
          <w:rFonts w:hint="eastAsia" w:ascii="Times New Roman" w:hAnsi="Times New Roman" w:eastAsia="方正楷体_GBK" w:cs="Times New Roman"/>
          <w:b/>
          <w:bCs w:val="0"/>
          <w:color w:val="auto"/>
          <w:spacing w:val="-20"/>
          <w:kern w:val="36"/>
          <w:sz w:val="30"/>
          <w:szCs w:val="30"/>
          <w:lang w:val="en-US" w:eastAsia="zh-CN"/>
        </w:rPr>
        <w:t>02</w:t>
      </w:r>
    </w:p>
    <w:p w14:paraId="10312D64">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566"/>
        <w:contextualSpacing/>
        <w:jc w:val="both"/>
        <w:textAlignment w:val="auto"/>
        <w:outlineLvl w:val="1"/>
        <w:rPr>
          <w:rFonts w:hint="default" w:ascii="Times New Roman" w:hAnsi="Times New Roman" w:eastAsia="方正楷体_GBK" w:cs="Times New Roman"/>
          <w:b/>
          <w:bCs w:val="0"/>
          <w:color w:val="auto"/>
          <w:spacing w:val="-20"/>
          <w:kern w:val="36"/>
          <w:sz w:val="30"/>
          <w:szCs w:val="30"/>
          <w:lang w:val="en-US" w:eastAsia="zh-CN"/>
        </w:rPr>
      </w:pPr>
      <w:r>
        <w:rPr>
          <w:rFonts w:hint="eastAsia" w:ascii="Times New Roman" w:hAnsi="Times New Roman" w:eastAsia="方正楷体_GBK" w:cs="Times New Roman"/>
          <w:b/>
          <w:color w:val="auto"/>
          <w:spacing w:val="-20"/>
          <w:kern w:val="36"/>
          <w:sz w:val="30"/>
          <w:szCs w:val="30"/>
          <w:lang w:val="en-US" w:eastAsia="zh-CN"/>
        </w:rPr>
        <w:t>中国零关税，投资非洲的时代来了  /</w:t>
      </w:r>
      <w:r>
        <w:rPr>
          <w:rFonts w:hint="eastAsia" w:ascii="Times New Roman" w:hAnsi="Times New Roman" w:eastAsia="方正楷体_GBK" w:cs="Times New Roman"/>
          <w:b/>
          <w:bCs w:val="0"/>
          <w:color w:val="auto"/>
          <w:spacing w:val="-20"/>
          <w:kern w:val="36"/>
          <w:sz w:val="30"/>
          <w:szCs w:val="30"/>
          <w:lang w:val="en-US" w:eastAsia="zh-CN"/>
        </w:rPr>
        <w:t xml:space="preserve"> 14</w:t>
      </w:r>
    </w:p>
    <w:p w14:paraId="5C963612">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566"/>
        <w:contextualSpacing/>
        <w:jc w:val="both"/>
        <w:textAlignment w:val="auto"/>
        <w:outlineLvl w:val="1"/>
        <w:rPr>
          <w:rFonts w:hint="default" w:ascii="Times New Roman" w:hAnsi="Times New Roman" w:eastAsia="方正楷体_GBK" w:cs="Times New Roman"/>
          <w:b/>
          <w:bCs w:val="0"/>
          <w:color w:val="auto"/>
          <w:spacing w:val="-20"/>
          <w:kern w:val="36"/>
          <w:sz w:val="30"/>
          <w:szCs w:val="30"/>
          <w:lang w:val="en-US" w:eastAsia="zh-CN"/>
        </w:rPr>
      </w:pPr>
      <w:r>
        <w:rPr>
          <w:rFonts w:hint="eastAsia" w:ascii="Times New Roman" w:hAnsi="Times New Roman" w:eastAsia="方正楷体_GBK" w:cs="Times New Roman"/>
          <w:b/>
          <w:color w:val="auto"/>
          <w:spacing w:val="-20"/>
          <w:kern w:val="36"/>
          <w:sz w:val="30"/>
          <w:szCs w:val="30"/>
          <w:lang w:val="en-US" w:eastAsia="zh-CN"/>
        </w:rPr>
        <w:t>中国央行连续18个月增持黄金：去美元化浪潮下的储备战略调整 /</w:t>
      </w:r>
      <w:r>
        <w:rPr>
          <w:rFonts w:hint="eastAsia" w:ascii="Times New Roman" w:hAnsi="Times New Roman" w:eastAsia="方正楷体_GBK" w:cs="Times New Roman"/>
          <w:b/>
          <w:bCs w:val="0"/>
          <w:color w:val="auto"/>
          <w:spacing w:val="-20"/>
          <w:kern w:val="36"/>
          <w:sz w:val="30"/>
          <w:szCs w:val="30"/>
          <w:lang w:val="en-US" w:eastAsia="zh-CN"/>
        </w:rPr>
        <w:t xml:space="preserve"> 26</w:t>
      </w:r>
    </w:p>
    <w:p w14:paraId="121BC05F">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566"/>
        <w:contextualSpacing/>
        <w:jc w:val="both"/>
        <w:textAlignment w:val="auto"/>
        <w:outlineLvl w:val="1"/>
        <w:rPr>
          <w:rFonts w:hint="default" w:ascii="Times New Roman" w:hAnsi="Times New Roman" w:eastAsia="方正楷体_GBK" w:cs="Times New Roman"/>
          <w:b/>
          <w:color w:val="auto"/>
          <w:kern w:val="36"/>
          <w:sz w:val="30"/>
          <w:szCs w:val="30"/>
          <w:lang w:val="en-US" w:eastAsia="zh-CN"/>
        </w:rPr>
      </w:pPr>
      <w:r>
        <w:rPr>
          <w:rFonts w:hint="default" w:ascii="Times New Roman" w:hAnsi="Times New Roman" w:eastAsia="方正楷体_GBK" w:cs="Times New Roman"/>
          <w:b/>
          <w:color w:val="auto"/>
          <w:spacing w:val="-11"/>
          <w:kern w:val="36"/>
          <w:sz w:val="30"/>
          <w:szCs w:val="30"/>
          <w:lang w:val="en-US" w:eastAsia="zh-CN"/>
        </w:rPr>
        <w:t xml:space="preserve"> </w:t>
      </w:r>
      <w:bookmarkStart w:id="0" w:name="OLE_LINK12"/>
      <w:r>
        <w:rPr>
          <w:rFonts w:hint="eastAsia" w:ascii="Times New Roman" w:hAnsi="Times New Roman" w:eastAsia="方正楷体_GBK" w:cs="Times New Roman"/>
          <w:b/>
          <w:color w:val="auto"/>
          <w:spacing w:val="-11"/>
          <w:kern w:val="36"/>
          <w:sz w:val="30"/>
          <w:szCs w:val="30"/>
          <w:lang w:val="en-US" w:eastAsia="zh-CN"/>
        </w:rPr>
        <w:t xml:space="preserve"> </w:t>
      </w:r>
      <w:bookmarkEnd w:id="0"/>
    </w:p>
    <w:p w14:paraId="6B9B46C7">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default" w:ascii="Times New Roman" w:hAnsi="Times New Roman" w:eastAsia="宋体" w:cs="Times New Roman"/>
          <w:b/>
          <w:color w:val="FF0000"/>
          <w:kern w:val="36"/>
          <w:sz w:val="32"/>
          <w:szCs w:val="32"/>
          <w:lang w:val="en-US" w:eastAsia="zh-CN"/>
        </w:rPr>
      </w:pPr>
      <w:r>
        <w:rPr>
          <w:rFonts w:hint="default"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t xml:space="preserve">• </w:t>
      </w:r>
      <w:r>
        <w:rPr>
          <w:rFonts w:hint="eastAsia" w:ascii="方正公文黑体" w:hAnsi="方正公文黑体" w:eastAsia="方正公文黑体" w:cs="方正公文黑体"/>
          <w:b w:val="0"/>
          <w:bCs/>
          <w:color w:val="1F497D"/>
          <w:kern w:val="36"/>
          <w:sz w:val="32"/>
          <w:szCs w:val="32"/>
          <w:lang w:val="en-US" w:eastAsia="zh-CN"/>
          <w14:textFill>
            <w14:solidFill>
              <w14:srgbClr w14:val="1F497D">
                <w14:lumMod w14:val="60000"/>
                <w14:lumOff w14:val="40000"/>
              </w14:srgbClr>
            </w14:solidFill>
          </w14:textFill>
        </w:rPr>
        <w:t>会员企业风采</w:t>
      </w:r>
      <w:r>
        <w:rPr>
          <w:rFonts w:hint="default"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t xml:space="preserve"> • </w:t>
      </w:r>
      <w:r>
        <w:rPr>
          <w:rFonts w:hint="default" w:ascii="Times New Roman" w:hAnsi="Times New Roman" w:eastAsia="宋体" w:cs="Times New Roman"/>
          <w:b/>
          <w:color w:val="FF0000"/>
          <w:kern w:val="36"/>
          <w:sz w:val="32"/>
          <w:szCs w:val="32"/>
          <w:lang w:val="en-US" w:eastAsia="zh-CN"/>
        </w:rPr>
        <w:t>‧‧‧‧‧‧‧‧‧‧‧‧‧‧‧‧‧‧‧‧‧‧‧‧‧‧‧‧‧‧‧‧‧‧‧‧‧‧‧‧‧‧‧‧‧‧‧‧‧‧‧‧‧‧‧‧‧‧‧‧‧‧‧</w:t>
      </w:r>
    </w:p>
    <w:p w14:paraId="77C1FFD4">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488" w:firstLineChars="200"/>
        <w:contextualSpacing/>
        <w:jc w:val="both"/>
        <w:textAlignment w:val="auto"/>
        <w:outlineLvl w:val="1"/>
        <w:rPr>
          <w:rFonts w:hint="default" w:ascii="Times New Roman" w:hAnsi="Times New Roman" w:eastAsia="方正楷体_GBK" w:cs="Times New Roman"/>
          <w:b/>
          <w:color w:val="auto"/>
          <w:spacing w:val="-11"/>
          <w:kern w:val="36"/>
          <w:sz w:val="30"/>
          <w:szCs w:val="30"/>
          <w:lang w:val="en-US" w:eastAsia="zh-CN"/>
        </w:rPr>
      </w:pPr>
      <w:r>
        <w:rPr>
          <w:rFonts w:hint="eastAsia" w:ascii="Times New Roman" w:hAnsi="Times New Roman" w:eastAsia="方正楷体_GBK" w:cs="Times New Roman"/>
          <w:b/>
          <w:color w:val="auto"/>
          <w:spacing w:val="-20"/>
          <w:kern w:val="36"/>
          <w:sz w:val="30"/>
          <w:szCs w:val="30"/>
          <w:lang w:val="en-US" w:eastAsia="zh-CN"/>
        </w:rPr>
        <w:t>苏豪控股集团与无锡市人民政府签署“十五五”战略合作框架协议</w:t>
      </w:r>
      <w:r>
        <w:rPr>
          <w:rFonts w:hint="eastAsia" w:ascii="Times New Roman" w:hAnsi="Times New Roman" w:eastAsia="方正楷体_GBK" w:cs="方正楷体_GBK"/>
          <w:b/>
          <w:color w:val="auto"/>
          <w:spacing w:val="0"/>
          <w:kern w:val="36"/>
          <w:sz w:val="30"/>
          <w:szCs w:val="30"/>
          <w:lang w:val="en-US" w:eastAsia="zh-CN"/>
        </w:rPr>
        <w:t xml:space="preserve"> </w:t>
      </w:r>
      <w:r>
        <w:rPr>
          <w:rFonts w:hint="eastAsia" w:ascii="Times New Roman" w:hAnsi="Times New Roman" w:eastAsia="方正楷体_GBK" w:cs="Times New Roman"/>
          <w:b/>
          <w:color w:val="auto"/>
          <w:spacing w:val="-11"/>
          <w:kern w:val="36"/>
          <w:sz w:val="30"/>
          <w:szCs w:val="30"/>
          <w:lang w:val="en-US" w:eastAsia="zh-CN"/>
        </w:rPr>
        <w:t>/36</w:t>
      </w:r>
    </w:p>
    <w:p w14:paraId="5ED6037D">
      <w:pPr>
        <w:keepNext w:val="0"/>
        <w:keepLines w:val="0"/>
        <w:pageBreakBefore w:val="0"/>
        <w:widowControl/>
        <w:kinsoku/>
        <w:wordWrap/>
        <w:overflowPunct/>
        <w:topLinePunct w:val="0"/>
        <w:autoSpaceDE/>
        <w:autoSpaceDN/>
        <w:bidi w:val="0"/>
        <w:adjustRightInd/>
        <w:snapToGrid/>
        <w:ind w:firstLine="488" w:firstLineChars="200"/>
        <w:textAlignment w:val="auto"/>
        <w:outlineLvl w:val="9"/>
        <w:rPr>
          <w:rFonts w:hint="default" w:ascii="Times New Roman" w:hAnsi="Times New Roman" w:eastAsia="方正楷体_GBK" w:cs="Times New Roman"/>
          <w:b/>
          <w:color w:val="auto"/>
          <w:spacing w:val="-11"/>
          <w:kern w:val="36"/>
          <w:sz w:val="30"/>
          <w:szCs w:val="30"/>
          <w:lang w:val="en-US" w:eastAsia="zh-CN"/>
        </w:rPr>
      </w:pPr>
      <w:r>
        <w:rPr>
          <w:rFonts w:hint="eastAsia" w:ascii="Times New Roman" w:hAnsi="Times New Roman" w:eastAsia="方正楷体_GBK" w:cs="Times New Roman"/>
          <w:b/>
          <w:color w:val="auto"/>
          <w:spacing w:val="-20"/>
          <w:kern w:val="36"/>
          <w:sz w:val="30"/>
          <w:szCs w:val="30"/>
          <w:lang w:val="en-US" w:eastAsia="zh-CN"/>
        </w:rPr>
        <w:t>上上电缆：以品质铸就品牌，用创新书写未来</w:t>
      </w:r>
      <w:r>
        <w:rPr>
          <w:rFonts w:hint="eastAsia" w:ascii="Times New Roman" w:hAnsi="Times New Roman" w:eastAsia="方正楷体_GBK" w:cs="方正楷体_GBK"/>
          <w:b/>
          <w:color w:val="auto"/>
          <w:spacing w:val="0"/>
          <w:kern w:val="36"/>
          <w:sz w:val="30"/>
          <w:szCs w:val="30"/>
          <w:lang w:val="en-US" w:eastAsia="zh-CN"/>
        </w:rPr>
        <w:t xml:space="preserve"> </w:t>
      </w:r>
      <w:r>
        <w:rPr>
          <w:rFonts w:hint="eastAsia" w:ascii="Times New Roman" w:hAnsi="Times New Roman" w:eastAsia="方正楷体_GBK" w:cs="Times New Roman"/>
          <w:b/>
          <w:color w:val="auto"/>
          <w:spacing w:val="-11"/>
          <w:kern w:val="36"/>
          <w:sz w:val="30"/>
          <w:szCs w:val="30"/>
          <w:lang w:val="en-US" w:eastAsia="zh-CN"/>
        </w:rPr>
        <w:t>/37</w:t>
      </w:r>
    </w:p>
    <w:p w14:paraId="085A8133">
      <w:pPr>
        <w:keepNext w:val="0"/>
        <w:keepLines w:val="0"/>
        <w:pageBreakBefore w:val="0"/>
        <w:widowControl/>
        <w:kinsoku/>
        <w:wordWrap/>
        <w:overflowPunct/>
        <w:topLinePunct w:val="0"/>
        <w:autoSpaceDE/>
        <w:autoSpaceDN/>
        <w:bidi w:val="0"/>
        <w:adjustRightInd/>
        <w:snapToGrid/>
        <w:ind w:firstLine="488" w:firstLineChars="200"/>
        <w:textAlignment w:val="auto"/>
        <w:outlineLvl w:val="9"/>
        <w:rPr>
          <w:rFonts w:hint="default" w:ascii="Times New Roman" w:hAnsi="Times New Roman" w:eastAsia="方正楷体_GBK" w:cs="Times New Roman"/>
          <w:b/>
          <w:color w:val="auto"/>
          <w:spacing w:val="-11"/>
          <w:kern w:val="36"/>
          <w:sz w:val="30"/>
          <w:szCs w:val="30"/>
          <w:lang w:val="en-US" w:eastAsia="zh-CN"/>
        </w:rPr>
      </w:pPr>
      <w:r>
        <w:rPr>
          <w:rFonts w:hint="eastAsia" w:ascii="Times New Roman" w:hAnsi="Times New Roman" w:eastAsia="方正楷体_GBK" w:cs="Times New Roman"/>
          <w:b/>
          <w:color w:val="auto"/>
          <w:spacing w:val="-20"/>
          <w:kern w:val="36"/>
          <w:sz w:val="30"/>
          <w:szCs w:val="30"/>
          <w:lang w:val="en-US" w:eastAsia="zh-CN"/>
        </w:rPr>
        <w:t>江南农商银行：打造“金融+”生态圈养老金融“温情样本”</w:t>
      </w:r>
      <w:r>
        <w:rPr>
          <w:rFonts w:hint="eastAsia" w:ascii="Times New Roman" w:hAnsi="Times New Roman" w:eastAsia="方正楷体_GBK" w:cs="Times New Roman"/>
          <w:b/>
          <w:color w:val="auto"/>
          <w:spacing w:val="0"/>
          <w:kern w:val="36"/>
          <w:sz w:val="30"/>
          <w:szCs w:val="30"/>
          <w:lang w:val="en-US" w:eastAsia="zh-CN"/>
        </w:rPr>
        <w:t xml:space="preserve"> </w:t>
      </w:r>
      <w:r>
        <w:rPr>
          <w:rFonts w:hint="eastAsia" w:ascii="Times New Roman" w:hAnsi="Times New Roman" w:eastAsia="方正楷体_GBK" w:cs="Times New Roman"/>
          <w:b/>
          <w:color w:val="auto"/>
          <w:spacing w:val="-11"/>
          <w:kern w:val="36"/>
          <w:sz w:val="30"/>
          <w:szCs w:val="30"/>
          <w:lang w:val="en-US" w:eastAsia="zh-CN"/>
        </w:rPr>
        <w:t>/38</w:t>
      </w:r>
    </w:p>
    <w:p w14:paraId="302B3E09">
      <w:pPr>
        <w:keepNext w:val="0"/>
        <w:keepLines w:val="0"/>
        <w:pageBreakBefore w:val="0"/>
        <w:widowControl/>
        <w:kinsoku/>
        <w:wordWrap/>
        <w:overflowPunct/>
        <w:topLinePunct w:val="0"/>
        <w:autoSpaceDE/>
        <w:autoSpaceDN/>
        <w:bidi w:val="0"/>
        <w:adjustRightInd/>
        <w:snapToGrid/>
        <w:ind w:firstLine="524" w:firstLineChars="200"/>
        <w:textAlignment w:val="auto"/>
        <w:outlineLvl w:val="9"/>
        <w:rPr>
          <w:rFonts w:hint="default" w:ascii="Times New Roman" w:hAnsi="Times New Roman" w:eastAsia="方正楷体_GBK" w:cs="Times New Roman"/>
          <w:b/>
          <w:color w:val="auto"/>
          <w:spacing w:val="-11"/>
          <w:kern w:val="36"/>
          <w:sz w:val="30"/>
          <w:szCs w:val="30"/>
          <w:lang w:val="en-US" w:eastAsia="zh-CN"/>
        </w:rPr>
      </w:pPr>
    </w:p>
    <w:p w14:paraId="75C95EF9">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color w:val="1F497D"/>
          <w:kern w:val="36"/>
          <w:sz w:val="96"/>
          <w:szCs w:val="96"/>
          <w:u w:val="none" w:color="BB120F"/>
          <w:lang w:val="en-US" w:eastAsia="zh-CN"/>
          <w14:textFill>
            <w14:solidFill>
              <w14:srgbClr w14:val="1F497D">
                <w14:lumMod w14:val="60000"/>
                <w14:lumOff w14:val="40000"/>
              </w14:srgbClr>
            </w14:solidFill>
          </w14:textFill>
        </w:rPr>
      </w:pPr>
    </w:p>
    <w:p w14:paraId="3A6BEFA8">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eastAsia" w:ascii="Times New Roman" w:hAnsi="Times New Roman" w:eastAsia="经典行楷简" w:cs="Times New Roman"/>
          <w:b/>
          <w:color w:val="1F497D"/>
          <w:kern w:val="36"/>
          <w:sz w:val="96"/>
          <w:szCs w:val="96"/>
          <w:u w:val="none" w:color="BB120F"/>
          <w:lang w:val="en-US" w:eastAsia="zh-CN"/>
          <w14:textFill>
            <w14:solidFill>
              <w14:srgbClr w14:val="1F497D">
                <w14:lumMod w14:val="60000"/>
                <w14:lumOff w14:val="40000"/>
              </w14:srgbClr>
            </w14:solidFill>
          </w14:textFill>
        </w:rPr>
      </w:pPr>
      <w:r>
        <w:rPr>
          <w:rFonts w:hint="default" w:ascii="Times New Roman" w:hAnsi="Times New Roman" w:eastAsia="经典行楷简" w:cs="Times New Roman"/>
          <w:b/>
          <w:color w:val="1F497D"/>
          <w:kern w:val="36"/>
          <w:sz w:val="96"/>
          <w:szCs w:val="96"/>
          <w:u w:val="none" w:color="BB120F"/>
          <w:lang w:val="en-US" w:eastAsia="zh-CN"/>
          <w14:textFill>
            <w14:solidFill>
              <w14:srgbClr w14:val="1F497D">
                <w14:lumMod w14:val="60000"/>
                <w14:lumOff w14:val="40000"/>
              </w14:srgbClr>
            </w14:solidFill>
          </w14:textFill>
        </w:rPr>
        <w:t>全球</w:t>
      </w:r>
      <w:r>
        <w:rPr>
          <w:rFonts w:hint="eastAsia" w:ascii="Times New Roman" w:hAnsi="Times New Roman" w:eastAsia="经典行楷简" w:cs="Times New Roman"/>
          <w:b/>
          <w:color w:val="1F497D"/>
          <w:kern w:val="36"/>
          <w:sz w:val="96"/>
          <w:szCs w:val="96"/>
          <w:u w:val="none" w:color="BB120F"/>
          <w:lang w:val="en-US" w:eastAsia="zh-CN"/>
          <w14:textFill>
            <w14:solidFill>
              <w14:srgbClr w14:val="1F497D">
                <w14:lumMod w14:val="60000"/>
                <w14:lumOff w14:val="40000"/>
              </w14:srgbClr>
            </w14:solidFill>
          </w14:textFill>
        </w:rPr>
        <w:t>经贸分析</w:t>
      </w:r>
    </w:p>
    <w:p w14:paraId="73C42F16">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08" w:firstLineChars="200"/>
        <w:jc w:val="both"/>
        <w:textAlignment w:val="auto"/>
        <w:outlineLvl w:val="9"/>
        <w:rPr>
          <w:rFonts w:hint="default" w:ascii="Times New Roman" w:hAnsi="Times New Roman" w:eastAsia="方正仿宋_GBK" w:cs="Times New Roman"/>
          <w:b w:val="0"/>
          <w:bCs w:val="0"/>
          <w:sz w:val="32"/>
          <w:szCs w:val="32"/>
        </w:rPr>
      </w:pPr>
    </w:p>
    <w:p w14:paraId="65C626C4">
      <w:pPr>
        <w:keepNext w:val="0"/>
        <w:keepLines w:val="0"/>
        <w:pageBreakBefore w:val="0"/>
        <w:widowControl w:val="0"/>
        <w:kinsoku/>
        <w:wordWrap/>
        <w:overflowPunct/>
        <w:topLinePunct w:val="0"/>
        <w:autoSpaceDE/>
        <w:autoSpaceDN/>
        <w:bidi w:val="0"/>
        <w:adjustRightInd/>
        <w:snapToGrid/>
        <w:spacing w:line="500" w:lineRule="exact"/>
        <w:ind w:right="0" w:rightChars="0"/>
        <w:jc w:val="center"/>
        <w:textAlignment w:val="auto"/>
        <w:outlineLvl w:val="9"/>
        <w:rPr>
          <w:rFonts w:hint="eastAsia" w:ascii="方正黑体_GBK" w:hAnsi="方正黑体_GBK" w:eastAsia="方正黑体_GBK" w:cs="方正黑体_GBK"/>
          <w:b w:val="0"/>
          <w:bCs w:val="0"/>
          <w:sz w:val="32"/>
          <w:szCs w:val="32"/>
          <w:lang w:val="en-US" w:eastAsia="zh-CN"/>
        </w:rPr>
      </w:pPr>
      <w:r>
        <w:rPr>
          <w:rFonts w:hint="eastAsia" w:ascii="方正小标宋_GBK" w:hAnsi="方正小标宋_GBK" w:eastAsia="方正小标宋_GBK" w:cs="方正小标宋_GBK"/>
          <w:b/>
          <w:bCs/>
          <w:color w:val="2E75B6" w:themeColor="accent1" w:themeShade="BF"/>
          <w:spacing w:val="-20"/>
          <w:sz w:val="44"/>
          <w:szCs w:val="44"/>
          <w:highlight w:val="none"/>
          <w:lang w:val="en-US" w:eastAsia="zh-CN"/>
        </w:rPr>
        <w:t>全球港口争夺战：投资狂潮背后的供应链控制焦虑</w:t>
      </w:r>
    </w:p>
    <w:p w14:paraId="34D764F9">
      <w:pPr>
        <w:keepNext w:val="0"/>
        <w:keepLines w:val="0"/>
        <w:pageBreakBefore w:val="0"/>
        <w:widowControl w:val="0"/>
        <w:kinsoku/>
        <w:wordWrap/>
        <w:overflowPunct/>
        <w:topLinePunct w:val="0"/>
        <w:autoSpaceDE/>
        <w:autoSpaceDN/>
        <w:bidi w:val="0"/>
        <w:adjustRightInd/>
        <w:snapToGrid/>
        <w:spacing w:line="500" w:lineRule="exact"/>
        <w:ind w:right="0" w:rightChars="0" w:firstLine="608" w:firstLineChars="200"/>
        <w:jc w:val="both"/>
        <w:textAlignment w:val="auto"/>
        <w:outlineLvl w:val="9"/>
        <w:rPr>
          <w:rFonts w:hint="eastAsia" w:ascii="方正黑体_GBK" w:hAnsi="方正黑体_GBK" w:eastAsia="方正黑体_GBK" w:cs="方正黑体_GBK"/>
          <w:b w:val="0"/>
          <w:bCs w:val="0"/>
          <w:sz w:val="32"/>
          <w:szCs w:val="32"/>
          <w:lang w:val="en-US" w:eastAsia="zh-CN"/>
        </w:rPr>
      </w:pPr>
    </w:p>
    <w:p w14:paraId="517A3191">
      <w:pPr>
        <w:keepNext w:val="0"/>
        <w:keepLines w:val="0"/>
        <w:pageBreakBefore w:val="0"/>
        <w:widowControl w:val="0"/>
        <w:kinsoku/>
        <w:wordWrap/>
        <w:overflowPunct/>
        <w:topLinePunct w:val="0"/>
        <w:autoSpaceDE/>
        <w:autoSpaceDN/>
        <w:bidi w:val="0"/>
        <w:adjustRightInd/>
        <w:snapToGrid/>
        <w:spacing w:line="50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lang w:val="en-US" w:eastAsia="zh-CN"/>
        </w:rPr>
      </w:pPr>
      <w:r>
        <w:rPr>
          <w:rFonts w:hint="eastAsia" w:ascii="方正黑体_GBK" w:hAnsi="方正黑体_GBK" w:eastAsia="方正黑体_GBK" w:cs="方正黑体_GBK"/>
          <w:b w:val="0"/>
          <w:bCs w:val="0"/>
          <w:sz w:val="32"/>
          <w:szCs w:val="32"/>
          <w:lang w:val="en-US" w:eastAsia="zh-CN"/>
        </w:rPr>
        <w:t>摘要</w:t>
      </w:r>
      <w:r>
        <w:rPr>
          <w:rFonts w:hint="eastAsia" w:ascii="方正楷体_GBK" w:hAnsi="方正楷体_GBK" w:eastAsia="方正楷体_GBK" w:cs="方正楷体_GBK"/>
          <w:b w:val="0"/>
          <w:bCs w:val="0"/>
          <w:sz w:val="28"/>
          <w:szCs w:val="28"/>
          <w:lang w:val="en-US" w:eastAsia="zh-CN"/>
        </w:rPr>
        <w:t>：本文聚焦</w:t>
      </w:r>
      <w:r>
        <w:rPr>
          <w:rFonts w:hint="default" w:ascii="Times New Roman" w:hAnsi="Times New Roman" w:eastAsia="方正楷体_GBK" w:cs="Times New Roman"/>
          <w:b w:val="0"/>
          <w:bCs w:val="0"/>
          <w:sz w:val="28"/>
          <w:szCs w:val="28"/>
          <w:lang w:val="en-US" w:eastAsia="zh-CN"/>
        </w:rPr>
        <w:t>2026</w:t>
      </w:r>
      <w:r>
        <w:rPr>
          <w:rFonts w:hint="eastAsia" w:ascii="方正楷体_GBK" w:hAnsi="方正楷体_GBK" w:eastAsia="方正楷体_GBK" w:cs="方正楷体_GBK"/>
          <w:b w:val="0"/>
          <w:bCs w:val="0"/>
          <w:sz w:val="28"/>
          <w:szCs w:val="28"/>
          <w:lang w:val="en-US" w:eastAsia="zh-CN"/>
        </w:rPr>
        <w:t>年霍尔木兹海峡受阻暴露的全球供应链脆弱性，围绕各国掀起的港口基础设施投资狂潮与供应链控制权争夺展开研究，属于地缘政治、国际海运贸易与全球供应链安全交叉研究领域。文章指出，这场投资的核心逻辑是地缘风险对冲，根本驱动力是西方对中国海外港口布局的深层焦虑，中国已在全球</w:t>
      </w:r>
      <w:r>
        <w:rPr>
          <w:rFonts w:hint="default" w:ascii="Times New Roman" w:hAnsi="Times New Roman" w:eastAsia="方正楷体_GBK" w:cs="Times New Roman"/>
          <w:b w:val="0"/>
          <w:bCs w:val="0"/>
          <w:sz w:val="28"/>
          <w:szCs w:val="28"/>
          <w:lang w:val="en-US" w:eastAsia="zh-CN"/>
        </w:rPr>
        <w:t>129</w:t>
      </w:r>
      <w:r>
        <w:rPr>
          <w:rFonts w:hint="eastAsia" w:ascii="方正楷体_GBK" w:hAnsi="方正楷体_GBK" w:eastAsia="方正楷体_GBK" w:cs="方正楷体_GBK"/>
          <w:b w:val="0"/>
          <w:bCs w:val="0"/>
          <w:sz w:val="28"/>
          <w:szCs w:val="28"/>
          <w:lang w:val="en-US" w:eastAsia="zh-CN"/>
        </w:rPr>
        <w:t>座港口拥有权益，并形成装备制造、数字系统、港口运营与产业配套的多维立体影响力。研究梳理了西方阵营通过企业并购与政策支持构建替代性网络的应对举措，剖析了巴拿马运河港口运营权这一博弈焦点。文章最后揭示全球港口体系正逐步形成中西两套平行网络的趋势，分析了竞争可能带来的效率提升与产能过剩、资源错配的双重影响。</w:t>
      </w:r>
    </w:p>
    <w:p w14:paraId="5452D4D0">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黑体_GBK" w:hAnsi="方正黑体_GBK" w:eastAsia="方正黑体_GBK" w:cs="方正黑体_GBK"/>
          <w:b w:val="0"/>
          <w:bCs w:val="0"/>
          <w:sz w:val="32"/>
          <w:szCs w:val="32"/>
          <w:lang w:val="en-US" w:eastAsia="zh-CN"/>
        </w:rPr>
      </w:pPr>
    </w:p>
    <w:p w14:paraId="3B078F56">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方正黑体_GBK" w:hAnsi="方正黑体_GBK" w:eastAsia="方正黑体_GBK" w:cs="方正黑体_GBK"/>
          <w:b w:val="0"/>
          <w:bCs w:val="0"/>
          <w:sz w:val="32"/>
          <w:szCs w:val="32"/>
          <w:lang w:val="en-US" w:eastAsia="zh-CN"/>
        </w:rPr>
        <w:t>正文</w:t>
      </w:r>
      <w:r>
        <w:rPr>
          <w:rFonts w:hint="eastAsia" w:ascii="Times New Roman" w:hAnsi="Times New Roman" w:eastAsia="方正仿宋_GBK" w:cs="Times New Roman"/>
          <w:b w:val="0"/>
          <w:bCs w:val="0"/>
          <w:sz w:val="32"/>
          <w:szCs w:val="32"/>
          <w:lang w:val="en-US" w:eastAsia="zh-CN"/>
        </w:rPr>
        <w:t>：</w:t>
      </w:r>
    </w:p>
    <w:p w14:paraId="2C249915">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希腊的地中海港口比雷埃夫斯港（Port of Piraeus），距离埃及苏伊士运河约1200公里，双方隔地中海相望。该港是欧洲最繁忙的港口之一，每年吞吐集装箱超过400万个，目前由中国国企中远海运（COSCO）控股。</w:t>
      </w:r>
    </w:p>
    <w:p w14:paraId="159C5E7C">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就在比雷埃夫斯港以西仅30公里处，美国政府正支持开发埃莱夫西纳（Elefsina）商港；向北约500公里，俄罗斯与中国投资者已持有塞萨洛尼基港（Port of Thessaloniki）的股份；而更东北方向，美国与北约部队则在亚历山德鲁波利斯港（Port of Alexandroupolis）建立了一座重要的物流枢纽。</w:t>
      </w:r>
    </w:p>
    <w:p w14:paraId="55AE4C38">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希腊港口的这一“群雄逐鹿”景象，只是全球海上贸易“通道系统”激烈争夺的一个缩影。从阿根廷到泰国，从地中海到东南亚，围绕关键港口与物流节点的竞争正在全球范围内快速升温。在巴拿马运河等战略要地，这种竞争甚至已演变为东西方地缘战略对抗的重要战场之一。</w:t>
      </w:r>
    </w:p>
    <w:p w14:paraId="6BF6584E">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黑体_GBK" w:hAnsi="方正黑体_GBK" w:eastAsia="方正黑体_GBK" w:cs="方正黑体_GBK"/>
          <w:b w:val="0"/>
          <w:bCs w:val="0"/>
          <w:sz w:val="32"/>
          <w:szCs w:val="32"/>
        </w:rPr>
      </w:pPr>
      <w:r>
        <w:rPr>
          <w:rFonts w:hint="eastAsia" w:ascii="方正黑体_GBK" w:hAnsi="方正黑体_GBK" w:eastAsia="方正黑体_GBK" w:cs="方正黑体_GBK"/>
          <w:b w:val="0"/>
          <w:bCs w:val="0"/>
          <w:sz w:val="32"/>
          <w:szCs w:val="32"/>
        </w:rPr>
        <w:t>一、港口争夺战的全球图景与投资规模</w:t>
      </w:r>
    </w:p>
    <w:p w14:paraId="3F1F998B">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全球约80%的货物贸易量通过海运完成，各国政府天然重视确保货物流通的顺畅。过去几年，从新冠疫情到近期霍尔木兹海峡受阻等一系列危机，充分暴露了全球贸易体系的脆弱性。无论出于商业考量还是地缘政治需要，各国都希望降低对特定“咽喉通道”（choke points）的依赖，这已成为普遍共识。从长期来看，港口之间的竞争加剧，理论上也有望带来更低的航运成本。</w:t>
      </w:r>
    </w:p>
    <w:p w14:paraId="666B2992">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普华永道（PwC）预计，到2035年，全球港口基础设施投资将增长逾三分之一，达到每年900亿美元的规模。这场投资狂潮的背后，核心逻辑是在地缘政治风险中“买保险”——即通过提前布局港口、物流节点、航线和仓储网络，来对冲未来可能出现的国际冲突、制裁、战争或供应链中断带来的损失。</w:t>
      </w:r>
    </w:p>
    <w:p w14:paraId="69591A23">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具体风险包括：霍尔木兹海峡、马六甲海峡、苏伊士运河等关键海峡被封锁；特定国家对船舶实施靠岸限制、货物加严查验或对航运公司进行制裁；以及东西阵营化背景下可能出现的供应链脱钩——谁的港口愿意接纳、谁能提供优先泊位、谁能协助转运，都将成为关键变量。</w:t>
      </w:r>
    </w:p>
    <w:p w14:paraId="1CA272F3">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面对2026年霍尔木兹海峡持续受阻的现实，全球最大集装箱航运公司地中海航运（MSC）已于5月2日迅速推出“欧洲-红海-中东快递服务”。该方案采用海-陆-海多式联运模式：从欧洲出发经苏伊士运河抵达沙特西海岸的吉达港和阿卜杜拉国王港，再通过约1300公里陆路横跨沙特至东海岸的达曼港，最后以支线船转运至波斯湾各国港口。这一“沙特陆桥”方案虽然增加了运输时间和成本，但成为当前欧洲与波斯湾之间较为可靠的替代通道。</w:t>
      </w:r>
    </w:p>
    <w:p w14:paraId="28DD3399">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与此同时，阿联酋也依托其早已建成的战略备用通道加强应对。阿布扎比原油管道从阿布扎比内陆的哈卜善油田直通东海岸的富查伊拉港，完全绕过霍尔木兹海峡。该管道于2012年投运，设计容量约</w:t>
      </w:r>
      <w:r>
        <w:rPr>
          <w:rFonts w:hint="eastAsia" w:ascii="Times New Roman" w:hAnsi="Times New Roman" w:eastAsia="方正仿宋_GBK" w:cs="Times New Roman"/>
          <w:b w:val="0"/>
          <w:bCs w:val="0"/>
          <w:sz w:val="32"/>
          <w:szCs w:val="32"/>
          <w:lang w:eastAsia="zh-CN"/>
        </w:rPr>
        <w:t>150万—180万</w:t>
      </w:r>
      <w:r>
        <w:rPr>
          <w:rFonts w:hint="eastAsia" w:ascii="Times New Roman" w:hAnsi="Times New Roman" w:eastAsia="方正仿宋_GBK" w:cs="Times New Roman"/>
          <w:b w:val="0"/>
          <w:bCs w:val="0"/>
          <w:sz w:val="32"/>
          <w:szCs w:val="32"/>
        </w:rPr>
        <w:t>桶/日。在当前危机中，富查伊拉港的原油出口量明显增加，这一陆上管道已成为阿联酋保障原油出口的重要替代方案。阿联酋方面还正在讨论进一步扩容管道，以提升绕行能力。然而，2026年5月4日，富查伊拉石油工业区遭无人机袭击并引发火灾，再次显示即使是替代通道本身，也难以完全摆脱地缘冲突风险。</w:t>
      </w:r>
    </w:p>
    <w:p w14:paraId="4953C8F3">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此外，泰国也在积极推进替代通道建设。泰国政府正加速推进“克拉地峡陆桥项目”（Kra Isthmus Land Bridge），计划在南部春蓬府和拉廊府分别建设两个深水港，通过约100公里公路和铁路连接安达曼海与泰国湾，实现印度洋与太平洋之间的货物快速转运。该项目投资规模约</w:t>
      </w:r>
      <w:r>
        <w:rPr>
          <w:rFonts w:hint="eastAsia" w:ascii="Times New Roman" w:hAnsi="Times New Roman" w:eastAsia="方正仿宋_GBK" w:cs="Times New Roman"/>
          <w:b w:val="0"/>
          <w:bCs w:val="0"/>
          <w:sz w:val="32"/>
          <w:szCs w:val="32"/>
          <w:lang w:eastAsia="zh-CN"/>
        </w:rPr>
        <w:t>280亿—300亿</w:t>
      </w:r>
      <w:r>
        <w:rPr>
          <w:rFonts w:hint="eastAsia" w:ascii="Times New Roman" w:hAnsi="Times New Roman" w:eastAsia="方正仿宋_GBK" w:cs="Times New Roman"/>
          <w:b w:val="0"/>
          <w:bCs w:val="0"/>
          <w:sz w:val="32"/>
          <w:szCs w:val="32"/>
        </w:rPr>
        <w:t>美元，目标2030年前后投用。中国企业已表达参与兴趣，被视为潜在的重要合作伙伴。该陆桥计划被视为泰国降低对马六甲海峡依赖的重要战略举措，进一步丰富了全球港口与物流通道的多元化布局。</w:t>
      </w:r>
    </w:p>
    <w:p w14:paraId="2BF40C86">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在这场全球竞赛中，多国政府与企业正竞相争夺港口及物流项目，既有战略保险的考虑，也包含纯粹的商业利益，有时二者兼而有之。港口争夺战，已成为当下国际供应链布局中最具象征意义的一环。</w:t>
      </w:r>
    </w:p>
    <w:p w14:paraId="4D4B164A">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黑体_GBK" w:hAnsi="方正黑体_GBK" w:eastAsia="方正黑体_GBK" w:cs="方正黑体_GBK"/>
          <w:b w:val="0"/>
          <w:bCs w:val="0"/>
          <w:sz w:val="32"/>
          <w:szCs w:val="32"/>
        </w:rPr>
      </w:pPr>
      <w:r>
        <w:rPr>
          <w:rFonts w:hint="eastAsia" w:ascii="方正黑体_GBK" w:hAnsi="方正黑体_GBK" w:eastAsia="方正黑体_GBK" w:cs="方正黑体_GBK"/>
          <w:b w:val="0"/>
          <w:bCs w:val="0"/>
          <w:sz w:val="32"/>
          <w:szCs w:val="32"/>
        </w:rPr>
        <w:t>二、驱动因素：对中国供应链控制力的深层焦虑</w:t>
      </w:r>
    </w:p>
    <w:p w14:paraId="71859908">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这场全球港口争夺战的根本驱动力，是各国（尤其是西方国家）对中国在全球供应链中控制力不断增强的深层焦虑。</w:t>
      </w:r>
    </w:p>
    <w:p w14:paraId="3F45E38F">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据多家国际机构估算，中国企业已在海外至少129座港口拥有运营权或股权，累计投入超过800亿美元。其中许多项目与双边贸易安排、区域航运协议深度绑定。更为关键的是，超过三分之一的中国海外港口布局在重要的海上咽喉要道附近，包括马六甲海峡、霍尔木兹海峡和苏伊士运河周边。这些战略节点使中国在全球海运网络中占据了难以替代的位置。</w:t>
      </w:r>
    </w:p>
    <w:p w14:paraId="3CBE6BAB">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德国智库MERICS的研究发现，一旦某国港口的码头运营权被中国企业获得，该国与中国的贸易总量通常会上升20%以上；而如果中国企业掌控了该国某一港口的全部码头设施，则该国对中国以外地区的出口往往会下降约19%。MERICS认为，其主要原因在于，中国货物和船舶在实际运营中能够获得优先安排，在通关、装卸、物流调度等环节享有效率优势，从而悄然影响贸易流向。</w:t>
      </w:r>
    </w:p>
    <w:p w14:paraId="72EF2641">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例如，在希腊比雷埃夫斯港由中远海运控股运营后，该港与中国之间的集装箱吞吐量显著增长，成为中国货物进入欧洲的重要门户。而在斯里兰卡汉班托塔港由中国企业全面接手运营后，当地与中国的贸易联系大幅加强，但对其他传统贸易伙伴的出口份额出现一定下降。</w:t>
      </w:r>
    </w:p>
    <w:p w14:paraId="70307303">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在全球贸易体系运转相对顺畅的时期，这种控制力或许尚不构成突出问题。但现实中，供应链脆弱性已多次暴露：从新冠疫情导致的全球物流中断，到近期霍尔木兹海峡受阻引发的航线改道、港口拥堵与运价暴涨，都让各国深刻意识到“卡脖子”风险的现实性。</w:t>
      </w:r>
    </w:p>
    <w:p w14:paraId="6D88D0C1">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正因如此，西方阵营普遍将中国在港口领域的快速扩张视为战略挑战。这种焦虑直接推动了当前全球港口投资的竞争格局——既是商业布局，更是地缘政治风险的对冲举措。</w:t>
      </w:r>
    </w:p>
    <w:p w14:paraId="6F6A0C08">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黑体_GBK" w:hAnsi="方正黑体_GBK" w:eastAsia="方正黑体_GBK" w:cs="方正黑体_GBK"/>
          <w:b w:val="0"/>
          <w:bCs w:val="0"/>
          <w:sz w:val="32"/>
          <w:szCs w:val="32"/>
        </w:rPr>
      </w:pPr>
      <w:r>
        <w:rPr>
          <w:rFonts w:hint="eastAsia" w:ascii="方正黑体_GBK" w:hAnsi="方正黑体_GBK" w:eastAsia="方正黑体_GBK" w:cs="方正黑体_GBK"/>
          <w:b w:val="0"/>
          <w:bCs w:val="0"/>
          <w:sz w:val="32"/>
          <w:szCs w:val="32"/>
        </w:rPr>
        <w:t>三、西方阵营的对应行动</w:t>
      </w:r>
    </w:p>
    <w:p w14:paraId="7004A77A">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面对中国在全球港口体系中的快速扩张，西方航运企业近年来正加快构建自己的港口与物流网络。自2021年以来，这些企业已宣布约1400亿美元的并购交易，覆盖海运供应链的多个关键环节。</w:t>
      </w:r>
    </w:p>
    <w:p w14:paraId="096709B4">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具体案例包括：德国航运巨头赫伯罗特（Hapag-Lloyd）今年1月签署协议，收购巴西一家集装箱码头运营商50%的股权；随后提高在印度JM Baxi Ports的持股比例，并计划收购以色列航运公司ZIM。美国投资公司Stonepeak与法国航运巨头达飞海运（CMA CGM）共同成立一家100亿美元的合资企业——United Ports。马士基（AP Moller-Maersk）旗下APM Terminals则与欧洲码头运营商Eurogate合作，计划投资10亿欧元（约12亿美元）扩建北海地区一座重要港口码头。</w:t>
      </w:r>
    </w:p>
    <w:p w14:paraId="23D86D7E">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除了企业层面的资本运作，各国政府也在积极行动，为本国企业保驾护航。印度正推进一项规模庞大的港口建设计划，预计将持续至2047年；沙特阿拉伯去年签署4.5亿美元协议，投资吉达伊斯兰港；新加坡正在建设总投资200亿美元的自动化港口与航运枢纽；迪拜环球港务集团（DP World）则在坦桑尼亚达累斯萨拉姆港和秘鲁卡亚俄港扩大投资布局。</w:t>
      </w:r>
    </w:p>
    <w:p w14:paraId="78362112">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这些新项目大多与中国港口布局并行推进，并未形成直接冲突。但整体来看，西方阵营的应对仍存在明显的时间差和力度差距。中国早在“一带一路”倡议提出后就已系统性布局海外港口十余年，而西方大规模资本与政策协同行动主要始于近几年，在布局深度、港口-产业联动以及数字系统整合等方面，仍处于追赶阶段。西方阵营正通过资本与政策双轮驱动，努力构建平行于中国供应链的替代性网络，但要真正形成有效制衡，仍需时间和更大规模的持续投入。</w:t>
      </w:r>
    </w:p>
    <w:p w14:paraId="4968A7E8">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黑体_GBK" w:hAnsi="方正黑体_GBK" w:eastAsia="方正黑体_GBK" w:cs="方正黑体_GBK"/>
          <w:b w:val="0"/>
          <w:bCs w:val="0"/>
          <w:sz w:val="32"/>
          <w:szCs w:val="32"/>
        </w:rPr>
      </w:pPr>
      <w:r>
        <w:rPr>
          <w:rFonts w:hint="eastAsia" w:ascii="方正黑体_GBK" w:hAnsi="方正黑体_GBK" w:eastAsia="方正黑体_GBK" w:cs="方正黑体_GBK"/>
          <w:b w:val="0"/>
          <w:bCs w:val="0"/>
          <w:sz w:val="32"/>
          <w:szCs w:val="32"/>
        </w:rPr>
        <w:t>四、巴拿马运河：东西方港口博弈的焦点</w:t>
      </w:r>
    </w:p>
    <w:p w14:paraId="587DA87C">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巴拿马运河是连接太平洋与大西洋的重要国际航道，承担着全球约5%的海运贸易量，对美国而言更是其约40%的海运货运通道，年贸易价值约2700亿美元。这条由美国在20世纪初建造的运河，如今已成为中美在拉美地区战略博弈的焦点之一，而运河两端的港口运营权争夺，更是这场博弈中最受关注的激烈战场。</w:t>
      </w:r>
    </w:p>
    <w:p w14:paraId="5621202A">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事情的来龙去脉可以追溯到更早。香港长江和记实业有限公司（CK Hutchison）旗下子公司自1997年起，通过巴拿马港口公司（Panama Ports Company）获得运河两端巴尔博亚港（太平洋侧）和克里斯托瓦尔港（大西洋侧）的特许经营权，运营近30年。2025年，长江和记计划将其全球港口业务大部分股权出售给包括美国投资机构在内的国际财团，这一交易涉及巴拿马运河两座关键港口，引发各方高度关注。</w:t>
      </w:r>
    </w:p>
    <w:p w14:paraId="511262BE">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2024年特朗普当选美国总统后，多次公开表示香港长江和记运营巴拿马运河港口威胁美国国家利益，甚至在就职相关演讲中提及要“收复”巴拿马运河控制权。美国方面推动了相关交易的进展，同时对巴拿马施加影响。2026年1月29日，巴拿马最高法院作出裁定，认定长江和记旗下公司运营上述两座港口的特许经营合同违宪。这一裁决被巴拿马政府迅速执行，随后政府颁布行政法令，临时接管港口运营，并将过渡期管理权交给其他航运企业。</w:t>
      </w:r>
    </w:p>
    <w:p w14:paraId="548D62E8">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针对这一事态，中国外交部迅速作出回应。外交部发言人明确表示，中方已就巴拿马最高法院对有关港口的判决作出回应，香港特区政府也发表了声明。中方将采取一切必要措施，坚决维护中国企业和香港企业的正当合法权益。发言人指出，美方有关言行再次暴露自身冷战思维和意识形态偏见，“谁在寻求霸占运河、谁在以法治之名行破坏国际法之实，国际社会有目共睹”。</w:t>
      </w:r>
    </w:p>
    <w:p w14:paraId="00DBB491">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香港特区政府同样对巴拿马最高法院的裁决表示强烈反对，认为此举损害香港企业的合法权益。中国主管部门也强调，将依法依规维护企业正当利益，并对相关船舶进行正常检查。中方立场始终是：反对将正常经贸合作政治化、泛安全化，主张在相互尊重、平等互利的基础上开展合作。</w:t>
      </w:r>
    </w:p>
    <w:p w14:paraId="2A958DF9">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目前，巴拿马运河两座港口的长期控制权仍处于悬而未决的状态。长江和记方面已就合同取消提起相关法律程序，并提出巨额索赔。整个事件的发展，反映出在大国战略竞争背景下，关键基础设施领域的运营权容易被卷入地缘政治漩涡，也凸显了中国企业海外合法权益保护的重要性。</w:t>
      </w:r>
    </w:p>
    <w:p w14:paraId="6A81C439">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这一案例成为全球港口争夺战中最具代表性的焦点，体现了供应链控制焦虑如何直接转化为具体行动，同时也提醒各方，维护国际贸易通道的中立与稳定，符合全球共同利益。</w:t>
      </w:r>
    </w:p>
    <w:p w14:paraId="6EA2425F">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黑体_GBK" w:hAnsi="方正黑体_GBK" w:eastAsia="方正黑体_GBK" w:cs="方正黑体_GBK"/>
          <w:b w:val="0"/>
          <w:bCs w:val="0"/>
          <w:sz w:val="32"/>
          <w:szCs w:val="32"/>
          <w:lang w:val="en-US" w:eastAsia="zh-CN"/>
        </w:rPr>
      </w:pPr>
      <w:r>
        <w:rPr>
          <w:rFonts w:hint="eastAsia" w:ascii="方正黑体_GBK" w:hAnsi="方正黑体_GBK" w:eastAsia="方正黑体_GBK" w:cs="方正黑体_GBK"/>
          <w:b w:val="0"/>
          <w:bCs w:val="0"/>
          <w:sz w:val="32"/>
          <w:szCs w:val="32"/>
        </w:rPr>
        <w:t>五、中国影响力的多维度嵌入与持续</w:t>
      </w:r>
      <w:r>
        <w:rPr>
          <w:rFonts w:hint="eastAsia" w:ascii="方正黑体_GBK" w:hAnsi="方正黑体_GBK" w:eastAsia="方正黑体_GBK" w:cs="方正黑体_GBK"/>
          <w:b w:val="0"/>
          <w:bCs w:val="0"/>
          <w:sz w:val="32"/>
          <w:szCs w:val="32"/>
          <w:lang w:val="en-US" w:eastAsia="zh-CN"/>
        </w:rPr>
        <w:t>扩大</w:t>
      </w:r>
    </w:p>
    <w:p w14:paraId="0769F046">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中国在全球港口体系中的影响力，并非仅限于港口产权和运营权，而是呈现出多维度、深层次的嵌入特征。即使在并非由中国企业直接控股的港口，中国相关企业也已深度融入其供应链和配套体系。</w:t>
      </w:r>
    </w:p>
    <w:p w14:paraId="23AEDC5A">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在港口核心装备领域，中国企业占据绝对主导地位。上海振华重工（ZPMC）生产了全球超过70%的岸桥设备——即用于装卸集装箱的大型自动化起重机。同时，中国企业还制造了全球95%的海运集装箱。这些装备层面的控制，使得中国在全球港口的日常运营中拥有广泛的技术渗透力。</w:t>
      </w:r>
    </w:p>
    <w:p w14:paraId="09FA1C44">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在数字与信息层面，中国政府主导的物流信息交换系统LOGINK已在至少24个国家、86座港口投入使用。该系统与中远海运旗下的CargoSmart平台实现数据共享，从而能够获取全球约90%的集装箱船舶位置与动态信息。CargoSmart是一个独立的船舶管理与可视化软件平台，它聚合了全球多家主要航运公司的船舶动态数据、航线信息和集装箱跟踪等，能够实时监控全球约90%的集装箱船舶动态。2018年，中远海运通过收购东方海外（OOCL）间接获得CargoSmart的控制权。</w:t>
      </w:r>
    </w:p>
    <w:p w14:paraId="3E0CED4F">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此外，LOGINK还与菜鸟物流（Cainiao）开展合作，后者在全球范围内拥有数百座仓库网络，进一步延伸了中国在全球物流数据链中的存在。</w:t>
      </w:r>
    </w:p>
    <w:p w14:paraId="0078BB2C">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面对国际竞争加剧，中国港口企业仍保持稳步海外</w:t>
      </w:r>
      <w:bookmarkStart w:id="3" w:name="_GoBack"/>
      <w:r>
        <w:rPr>
          <w:rFonts w:hint="eastAsia" w:ascii="Times New Roman" w:hAnsi="Times New Roman" w:eastAsia="方正仿宋_GBK" w:cs="Times New Roman"/>
          <w:b w:val="0"/>
          <w:bCs w:val="0"/>
          <w:sz w:val="32"/>
          <w:szCs w:val="32"/>
        </w:rPr>
        <w:t>扩张</w:t>
      </w:r>
      <w:bookmarkEnd w:id="3"/>
      <w:r>
        <w:rPr>
          <w:rFonts w:hint="eastAsia" w:ascii="Times New Roman" w:hAnsi="Times New Roman" w:eastAsia="方正仿宋_GBK" w:cs="Times New Roman"/>
          <w:b w:val="0"/>
          <w:bCs w:val="0"/>
          <w:sz w:val="32"/>
          <w:szCs w:val="32"/>
        </w:rPr>
        <w:t>的态势。中远海运表示，国际地缘政治环境的变化，使扩大港口布局成为重要的应对策略。该公司计划继续加大对希腊比雷埃夫斯港和阿联酋阿布扎比港的投资。招商局集团旗下的招商港口（CMPort）则在推进收购巴西港口运营商Vast Infrastructure的相关工作。</w:t>
      </w:r>
    </w:p>
    <w:p w14:paraId="4B20A2B0">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同时，中国企业积极推行港口的“产业+物流”综合开发模式，在非洲和欧洲的既有港口周边，配套建设工业园区、制造基地和物流设施，形成港口运营与产业发展的联动效应。例如，在非洲吉布提，招商局集团以多哈雷多功能港（Doraleh Multipurpose Port）为核心，同步开发吉布提国际自贸区（DIFTZ），打造“港-区-城”一体化模式，吸引制造业和物流企业在港口周边落户，实现“港口带动产业、产业支撑港口”的良性循环。在欧洲，比雷埃夫斯港周边也配套发展物流园区和产业支持设施，并通过中欧陆海快线与匈牙利中欧商贸物流合作园区等项目联动，进一步延伸产业链条。</w:t>
      </w:r>
    </w:p>
    <w:p w14:paraId="3DA3091A">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如此一来，通过装备制造、数字系统、港口运营和产业配套的多维立体布局，中国在全球海运供应链中的影响力已形成较为完整的网络。这一网络既服务于自身贸易需求，也成为中国参与全球供应链治理的重要载体。</w:t>
      </w:r>
    </w:p>
    <w:p w14:paraId="4438BA4C">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黑体_GBK" w:hAnsi="方正黑体_GBK" w:eastAsia="方正黑体_GBK" w:cs="方正黑体_GBK"/>
          <w:b w:val="0"/>
          <w:bCs w:val="0"/>
          <w:sz w:val="32"/>
          <w:szCs w:val="32"/>
        </w:rPr>
      </w:pPr>
      <w:r>
        <w:rPr>
          <w:rFonts w:hint="eastAsia" w:ascii="方正黑体_GBK" w:hAnsi="方正黑体_GBK" w:eastAsia="方正黑体_GBK" w:cs="方正黑体_GBK"/>
          <w:b w:val="0"/>
          <w:bCs w:val="0"/>
          <w:sz w:val="32"/>
          <w:szCs w:val="32"/>
        </w:rPr>
        <w:t>六、竞争的结果是提升效率还是浪费资源</w:t>
      </w:r>
    </w:p>
    <w:p w14:paraId="6415C529">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全球围绕港口的激烈角力，正在带来一个显著趋势：中国系港口网络与西方系港口网络开始出现初步分离。过去相对统一的全球港口体系，正逐步演变为两套相互竞争、部分重叠的基础设施网络。</w:t>
      </w:r>
    </w:p>
    <w:p w14:paraId="6D47AC19">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这种竞争在一定程度上能够带来积极效果。过去许多大型港口凭借天然垄断地位，可以维持较高收费和一般服务水平，客户选择有限。如今，随着附近出现竞争性港口，原有港口不得不提升服务质量、降低费率。同时，港口运营方也需持续投入资金进行疏浚、维护和升级，以适应更大船舶和更高效率的需求，否则就会被更具竞争力的港口取代。</w:t>
      </w:r>
    </w:p>
    <w:p w14:paraId="2A240E91">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然而，潜在的问题同样突出。全球贸易总量增长有限，大量新建和扩建港口可能导致产能过剩与资源错配。</w:t>
      </w:r>
    </w:p>
    <w:p w14:paraId="5C1EB124">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印度港口发展计划雄心勃勃，但在现实中面临不少挑战。从地理位置看，印度西海岸被阿曼的塞拉莱港（Salalah）牢牢卡住，东海岸及东南亚航线又受到新加坡港的强势主导。这两大区域枢纽港设施先进、转运效率高、航线密集，许多国际航运公司更倾向于将货物先运至新加坡或塞拉莱中转，再分拨至印度各地，而不是直接挂靠印度港口。这使得印度虽然拥有漫长海岸线和多座深水港，却难以成长为区域性物流枢纽。此外，印度国内多个港口之间竞争激烈，也容易出现货源分流和内耗，导致部分新建港口利用率不足。</w:t>
      </w:r>
    </w:p>
    <w:p w14:paraId="10EBA6B7">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一位业内高管指出：“每个港口、每个国家都希望成为物流枢纽，但现实是，并不是所有人都能如愿。”例如，自2019年摩洛哥丹吉尔地中海港扩建以来，西班牙阿尔赫西拉斯港的货运增长明显放缓。</w:t>
      </w:r>
    </w:p>
    <w:p w14:paraId="4F15B343">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港口体系的重复建设将推高固定成本，可能使航运公司承担更高的债务负担、采用效率较低的航线安排，并在地缘政治博弈中面临“站错队”的风险。在运力提升的同时，消费者却可能面对更高的运输价格和更长的延误时间。</w:t>
      </w:r>
    </w:p>
    <w:p w14:paraId="4C6587D3">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当然，重复建设也并非完全浪费。不同港口往往服务于略有差异的货源结构和区域市场，在一定程度上形成了功能分工与替代关系。例如，希腊比雷埃夫斯港侧重中欧与东地中海远洋航线，而周边新建港口则更多承担区域短途转运或能源、工业品运输。</w:t>
      </w:r>
    </w:p>
    <w:p w14:paraId="57341FDA">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历史上，全球主要港口的平均运营利润率长期维持在35%至45%之间，这一水平显著高于多数其他基础设施行业（如机场、收费公路、铁路等）。这种高盈利能力主要得益于许多港口长期处于区域性垄断或寡头地位，议价能力较强。</w:t>
      </w:r>
    </w:p>
    <w:p w14:paraId="0871AAF2">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然而，随着全球港口新建和扩建浪潮的推进，以及竞争性港口网络的出现，这种传统高利润模式正面临挑战。更多替代港口的出现将削弱单一港口的垄断优势，迫使运营商在费率、服务质量和效率上展开更激烈的竞争。未来，港口行业的整体利润率有可能逐步回落，逐步从区域垄断走向更加市场化的充分竞争格局。</w:t>
      </w:r>
    </w:p>
    <w:p w14:paraId="6276454A">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仿宋_GBK" w:hAnsi="方正仿宋_GBK" w:eastAsia="方正仿宋_GBK" w:cs="方正仿宋_GBK"/>
          <w:b w:val="0"/>
          <w:bCs w:val="0"/>
          <w:sz w:val="32"/>
          <w:szCs w:val="32"/>
        </w:rPr>
      </w:pPr>
      <w:r>
        <w:rPr>
          <w:rFonts w:hint="eastAsia" w:ascii="Times New Roman" w:hAnsi="Times New Roman" w:eastAsia="方正仿宋_GBK" w:cs="Times New Roman"/>
          <w:b w:val="0"/>
          <w:bCs w:val="0"/>
          <w:sz w:val="32"/>
          <w:szCs w:val="32"/>
        </w:rPr>
        <w:t>全球港口争夺战最终的结果，究竟是显著提升全球供应链效率，还是造成大量资源浪费，目前仍需观察。但可以确定的是，它已深刻重塑全球海运格局，并将在未来很长时间内持续重塑国际贸易格局</w:t>
      </w:r>
      <w:r>
        <w:rPr>
          <w:rFonts w:hint="eastAsia" w:ascii="方正仿宋_GBK" w:hAnsi="方正仿宋_GBK" w:eastAsia="方正仿宋_GBK" w:cs="方正仿宋_GBK"/>
          <w:b w:val="0"/>
          <w:bCs w:val="0"/>
          <w:sz w:val="32"/>
          <w:szCs w:val="32"/>
        </w:rPr>
        <w:t>。</w:t>
      </w:r>
    </w:p>
    <w:p w14:paraId="6F047BDD">
      <w:pPr>
        <w:keepNext w:val="0"/>
        <w:keepLines w:val="0"/>
        <w:pageBreakBefore w:val="0"/>
        <w:widowControl w:val="0"/>
        <w:kinsoku/>
        <w:wordWrap/>
        <w:overflowPunct/>
        <w:topLinePunct w:val="0"/>
        <w:autoSpaceDE/>
        <w:autoSpaceDN/>
        <w:bidi w:val="0"/>
        <w:adjustRightInd/>
        <w:snapToGrid/>
        <w:spacing w:line="580" w:lineRule="exact"/>
        <w:ind w:right="0" w:rightChars="0" w:firstLine="4256" w:firstLineChars="1400"/>
        <w:jc w:val="both"/>
        <w:textAlignment w:val="auto"/>
        <w:outlineLvl w:val="9"/>
        <w:rPr>
          <w:rFonts w:hint="default" w:ascii="Times New Roman" w:hAnsi="Times New Roman" w:eastAsia="方正仿宋_GBK" w:cs="Times New Roman"/>
          <w:b w:val="0"/>
          <w:bCs w:val="0"/>
          <w:sz w:val="32"/>
          <w:szCs w:val="32"/>
          <w:lang w:eastAsia="zh-CN"/>
        </w:rPr>
      </w:pPr>
      <w:r>
        <w:rPr>
          <w:rFonts w:hint="default" w:ascii="Times New Roman" w:hAnsi="Times New Roman" w:eastAsia="方正楷体_GBK" w:cs="方正楷体_GBK"/>
          <w:b/>
          <w:bCs/>
          <w:color w:val="FF0000"/>
          <w:spacing w:val="0"/>
          <w:kern w:val="2"/>
          <w:sz w:val="32"/>
          <w:szCs w:val="32"/>
          <w:lang w:val="en-US" w:eastAsia="zh-CN" w:bidi="ar-SA"/>
        </w:rPr>
        <w:t>（</w:t>
      </w:r>
      <w:r>
        <w:rPr>
          <w:rFonts w:hint="eastAsia" w:ascii="Times New Roman" w:hAnsi="Times New Roman" w:eastAsia="方正楷体_GBK" w:cs="方正楷体_GBK"/>
          <w:b/>
          <w:bCs/>
          <w:color w:val="FF0000"/>
          <w:spacing w:val="0"/>
          <w:kern w:val="2"/>
          <w:sz w:val="32"/>
          <w:szCs w:val="32"/>
          <w:lang w:val="en-US" w:eastAsia="zh-CN" w:bidi="ar-SA"/>
        </w:rPr>
        <w:t>发展研究部 左亮、刘白露</w:t>
      </w:r>
      <w:r>
        <w:rPr>
          <w:rFonts w:hint="default" w:ascii="Times New Roman" w:hAnsi="Times New Roman" w:eastAsia="方正楷体_GBK" w:cs="方正楷体_GBK"/>
          <w:b/>
          <w:bCs/>
          <w:color w:val="FF0000"/>
          <w:spacing w:val="0"/>
          <w:kern w:val="2"/>
          <w:sz w:val="32"/>
          <w:szCs w:val="32"/>
          <w:lang w:val="en-US" w:eastAsia="zh-CN" w:bidi="ar-SA"/>
        </w:rPr>
        <w:t>）</w:t>
      </w:r>
    </w:p>
    <w:p w14:paraId="0D7C99C3">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imes New Roman" w:hAnsi="Times New Roman" w:eastAsia="方正仿宋_GBK" w:cs="方正仿宋_GBK"/>
          <w:sz w:val="32"/>
          <w:szCs w:val="32"/>
          <w:lang w:val="en-US" w:eastAsia="zh-CN"/>
        </w:rPr>
      </w:pPr>
    </w:p>
    <w:p w14:paraId="7770C7E3">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imes New Roman" w:hAnsi="Times New Roman" w:eastAsia="方正仿宋_GBK" w:cs="方正仿宋_GBK"/>
          <w:sz w:val="32"/>
          <w:szCs w:val="32"/>
          <w:lang w:val="en-US" w:eastAsia="zh-CN"/>
        </w:rPr>
      </w:pPr>
    </w:p>
    <w:p w14:paraId="5B195499">
      <w:pPr>
        <w:keepNext w:val="0"/>
        <w:keepLines w:val="0"/>
        <w:pageBreakBefore w:val="0"/>
        <w:widowControl w:val="0"/>
        <w:kinsoku/>
        <w:wordWrap/>
        <w:overflowPunct/>
        <w:topLinePunct w:val="0"/>
        <w:autoSpaceDE/>
        <w:autoSpaceDN/>
        <w:bidi w:val="0"/>
        <w:adjustRightInd/>
        <w:snapToGrid/>
        <w:spacing w:line="580" w:lineRule="exact"/>
        <w:ind w:right="0" w:rightChars="0"/>
        <w:jc w:val="both"/>
        <w:textAlignment w:val="auto"/>
        <w:outlineLvl w:val="9"/>
        <w:rPr>
          <w:rFonts w:hint="default" w:ascii="Times New Roman" w:hAnsi="Times New Roman" w:eastAsia="方正仿宋_GBK" w:cs="Times New Roman"/>
          <w:b w:val="0"/>
          <w:bCs w:val="0"/>
          <w:sz w:val="32"/>
          <w:szCs w:val="32"/>
          <w:lang w:eastAsia="zh-CN"/>
        </w:rPr>
      </w:pPr>
    </w:p>
    <w:p w14:paraId="2E09C81D">
      <w:pPr>
        <w:keepNext w:val="0"/>
        <w:keepLines w:val="0"/>
        <w:pageBreakBefore w:val="0"/>
        <w:widowControl w:val="0"/>
        <w:kinsoku/>
        <w:wordWrap/>
        <w:overflowPunct/>
        <w:topLinePunct w:val="0"/>
        <w:autoSpaceDE/>
        <w:autoSpaceDN/>
        <w:bidi w:val="0"/>
        <w:adjustRightInd/>
        <w:snapToGrid/>
        <w:spacing w:line="580" w:lineRule="exact"/>
        <w:ind w:right="0" w:rightChars="0"/>
        <w:jc w:val="center"/>
        <w:textAlignment w:val="auto"/>
        <w:outlineLvl w:val="9"/>
        <w:rPr>
          <w:rFonts w:hint="eastAsia" w:ascii="方正小标宋_GBK" w:hAnsi="方正小标宋_GBK" w:eastAsia="方正小标宋_GBK" w:cs="方正小标宋_GBK"/>
          <w:b/>
          <w:bCs/>
          <w:color w:val="2E75B6" w:themeColor="accent1" w:themeShade="BF"/>
          <w:spacing w:val="-20"/>
          <w:sz w:val="44"/>
          <w:szCs w:val="44"/>
          <w:highlight w:val="none"/>
          <w:lang w:val="en-US" w:eastAsia="zh-CN"/>
        </w:rPr>
      </w:pPr>
      <w:r>
        <w:rPr>
          <w:rFonts w:hint="eastAsia" w:ascii="方正小标宋_GBK" w:hAnsi="方正小标宋_GBK" w:eastAsia="方正小标宋_GBK" w:cs="方正小标宋_GBK"/>
          <w:b/>
          <w:bCs/>
          <w:color w:val="2E75B6" w:themeColor="accent1" w:themeShade="BF"/>
          <w:spacing w:val="0"/>
          <w:sz w:val="44"/>
          <w:szCs w:val="44"/>
          <w:highlight w:val="none"/>
          <w:lang w:val="en-US" w:eastAsia="zh-CN"/>
        </w:rPr>
        <w:t>中国零关税，投资非洲的时代来了</w:t>
      </w:r>
    </w:p>
    <w:p w14:paraId="7CB24243">
      <w:pPr>
        <w:keepNext w:val="0"/>
        <w:keepLines w:val="0"/>
        <w:pageBreakBefore w:val="0"/>
        <w:widowControl w:val="0"/>
        <w:kinsoku/>
        <w:wordWrap/>
        <w:overflowPunct/>
        <w:topLinePunct w:val="0"/>
        <w:autoSpaceDE/>
        <w:autoSpaceDN/>
        <w:bidi w:val="0"/>
        <w:adjustRightInd/>
        <w:snapToGrid/>
        <w:spacing w:line="500" w:lineRule="exact"/>
        <w:ind w:right="0" w:rightChars="0" w:firstLine="608" w:firstLineChars="200"/>
        <w:jc w:val="both"/>
        <w:textAlignment w:val="auto"/>
        <w:outlineLvl w:val="9"/>
        <w:rPr>
          <w:rFonts w:hint="eastAsia" w:ascii="方正黑体_GBK" w:hAnsi="方正黑体_GBK" w:eastAsia="方正黑体_GBK" w:cs="方正黑体_GBK"/>
          <w:b w:val="0"/>
          <w:bCs w:val="0"/>
          <w:sz w:val="32"/>
          <w:szCs w:val="32"/>
          <w:lang w:val="en-US" w:eastAsia="zh-CN"/>
        </w:rPr>
      </w:pPr>
    </w:p>
    <w:p w14:paraId="05B0A1B7">
      <w:pPr>
        <w:keepNext w:val="0"/>
        <w:keepLines w:val="0"/>
        <w:pageBreakBefore w:val="0"/>
        <w:widowControl w:val="0"/>
        <w:kinsoku/>
        <w:wordWrap/>
        <w:overflowPunct/>
        <w:topLinePunct w:val="0"/>
        <w:autoSpaceDE/>
        <w:autoSpaceDN/>
        <w:bidi w:val="0"/>
        <w:adjustRightInd/>
        <w:snapToGrid/>
        <w:spacing w:line="50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lang w:val="en-US" w:eastAsia="zh-CN"/>
        </w:rPr>
      </w:pPr>
      <w:r>
        <w:rPr>
          <w:rFonts w:hint="eastAsia" w:ascii="方正黑体_GBK" w:hAnsi="方正黑体_GBK" w:eastAsia="方正黑体_GBK" w:cs="方正黑体_GBK"/>
          <w:b w:val="0"/>
          <w:bCs w:val="0"/>
          <w:sz w:val="32"/>
          <w:szCs w:val="32"/>
          <w:lang w:val="en-US" w:eastAsia="zh-CN"/>
        </w:rPr>
        <w:t>摘要</w:t>
      </w:r>
      <w:r>
        <w:rPr>
          <w:rFonts w:hint="eastAsia" w:ascii="方正楷体_GBK" w:hAnsi="方正楷体_GBK" w:eastAsia="方正楷体_GBK" w:cs="方正楷体_GBK"/>
          <w:b w:val="0"/>
          <w:bCs w:val="0"/>
          <w:sz w:val="28"/>
          <w:szCs w:val="28"/>
          <w:lang w:val="en-US" w:eastAsia="zh-CN"/>
        </w:rPr>
        <w:t>：本文以</w:t>
      </w:r>
      <w:r>
        <w:rPr>
          <w:rFonts w:hint="default" w:ascii="Times New Roman" w:hAnsi="Times New Roman" w:eastAsia="方正楷体_GBK" w:cs="Times New Roman"/>
          <w:b w:val="0"/>
          <w:bCs w:val="0"/>
          <w:sz w:val="28"/>
          <w:szCs w:val="28"/>
          <w:lang w:val="en-US" w:eastAsia="zh-CN"/>
        </w:rPr>
        <w:t>2026</w:t>
      </w:r>
      <w:r>
        <w:rPr>
          <w:rFonts w:hint="eastAsia" w:ascii="方正楷体_GBK" w:hAnsi="方正楷体_GBK" w:eastAsia="方正楷体_GBK" w:cs="方正楷体_GBK"/>
          <w:b w:val="0"/>
          <w:bCs w:val="0"/>
          <w:sz w:val="28"/>
          <w:szCs w:val="28"/>
          <w:lang w:val="en-US" w:eastAsia="zh-CN"/>
        </w:rPr>
        <w:t>年</w:t>
      </w:r>
      <w:r>
        <w:rPr>
          <w:rFonts w:hint="eastAsia" w:ascii="Times New Roman" w:hAnsi="Times New Roman" w:eastAsia="方正楷体_GBK" w:cs="Times New Roman"/>
          <w:b w:val="0"/>
          <w:bCs w:val="0"/>
          <w:sz w:val="28"/>
          <w:szCs w:val="28"/>
          <w:lang w:val="en-US" w:eastAsia="zh-CN"/>
        </w:rPr>
        <w:t>5</w:t>
      </w:r>
      <w:r>
        <w:rPr>
          <w:rFonts w:hint="eastAsia" w:ascii="方正楷体_GBK" w:hAnsi="方正楷体_GBK" w:eastAsia="方正楷体_GBK" w:cs="方正楷体_GBK"/>
          <w:b w:val="0"/>
          <w:bCs w:val="0"/>
          <w:sz w:val="28"/>
          <w:szCs w:val="28"/>
          <w:lang w:val="en-US" w:eastAsia="zh-CN"/>
        </w:rPr>
        <w:t>月中国对</w:t>
      </w:r>
      <w:r>
        <w:rPr>
          <w:rFonts w:hint="eastAsia" w:ascii="Times New Roman" w:hAnsi="Times New Roman" w:eastAsia="方正楷体_GBK" w:cs="Times New Roman"/>
          <w:b w:val="0"/>
          <w:bCs w:val="0"/>
          <w:sz w:val="28"/>
          <w:szCs w:val="28"/>
          <w:lang w:val="en-US" w:eastAsia="zh-CN"/>
        </w:rPr>
        <w:t>53</w:t>
      </w:r>
      <w:r>
        <w:rPr>
          <w:rFonts w:hint="eastAsia" w:ascii="方正楷体_GBK" w:hAnsi="方正楷体_GBK" w:eastAsia="方正楷体_GBK" w:cs="方正楷体_GBK"/>
          <w:b w:val="0"/>
          <w:bCs w:val="0"/>
          <w:sz w:val="28"/>
          <w:szCs w:val="28"/>
          <w:lang w:val="en-US" w:eastAsia="zh-CN"/>
        </w:rPr>
        <w:t>个非洲建交国实施全覆盖零关税政策为核心切入点，围绕非洲经济转型与全球投资新机遇展开研究，属于国际经贸合作、发展经济学与中非关系交叉研究领域。文章指出，非洲正摆脱传统“援助依赖”模式，进入投资驱动的增长新阶段，其经济增速有望超越亚洲，外商直接投资与本土资本回流均创历史新高。研究系统梳理了零关税红利下关键矿产与新能源、油气能源与基建、农业食品加工、制造业与消费品、区域一体化现代服务业五大核心投资赛道，结合丹戈特集团等本土企业与中国企业的深度合作案例，剖析了中非产业协同的共赢模式。文章同时客观提示了政策变动等潜在风险，为全球投资者把握非洲发展机遇提供了全面分析框架。</w:t>
      </w:r>
    </w:p>
    <w:p w14:paraId="2BAB87E4">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黑体_GBK" w:hAnsi="方正黑体_GBK" w:eastAsia="方正黑体_GBK" w:cs="方正黑体_GBK"/>
          <w:b w:val="0"/>
          <w:bCs w:val="0"/>
          <w:sz w:val="32"/>
          <w:szCs w:val="32"/>
          <w:lang w:val="en-US" w:eastAsia="zh-CN"/>
        </w:rPr>
      </w:pPr>
    </w:p>
    <w:p w14:paraId="2D629B61">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方正黑体_GBK" w:hAnsi="方正黑体_GBK" w:eastAsia="方正黑体_GBK" w:cs="方正黑体_GBK"/>
          <w:b w:val="0"/>
          <w:bCs w:val="0"/>
          <w:sz w:val="32"/>
          <w:szCs w:val="32"/>
          <w:lang w:val="en-US" w:eastAsia="zh-CN"/>
        </w:rPr>
        <w:t>正文</w:t>
      </w:r>
      <w:r>
        <w:rPr>
          <w:rFonts w:hint="eastAsia" w:ascii="Times New Roman" w:hAnsi="Times New Roman" w:eastAsia="方正仿宋_GBK" w:cs="Times New Roman"/>
          <w:b w:val="0"/>
          <w:bCs w:val="0"/>
          <w:sz w:val="32"/>
          <w:szCs w:val="32"/>
          <w:lang w:val="en-US" w:eastAsia="zh-CN"/>
        </w:rPr>
        <w:t>：</w:t>
      </w:r>
    </w:p>
    <w:p w14:paraId="69C43924">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2026年5月1日起，中国对53个非洲建交国实施全覆盖零关税政策，这一历史性单边开放举措，为中非经贸合作按下了加速键。中国作为全球最大的单一消费市场和制造业中心，以零关税全面敞开大门，为非洲商品进入14亿人口的市场彻底清除了关税壁垒。这不仅仅是一项贸易便利化政策，更是对非洲发展潜力的强力肯定和催化。</w:t>
      </w:r>
    </w:p>
    <w:p w14:paraId="3D0478EC">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非洲在资源禀赋、土地、气候和劳动力成本上拥有显著相对优势，而中国拥有庞大的消费需求和完备的产业配套。零关税将大幅降低交易成本，扩大贸易规模，形成互利共赢的正循环。更重要的是，它为非洲国家提供了稳定的出口预期，激励其进行长期投资，培育动态比较优势，推动外向型经济的发展。</w:t>
      </w:r>
    </w:p>
    <w:p w14:paraId="61591AE6">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过去，全球舆论常将非洲与援助削减、地缘冲突、大宗商品波动联系在一起。但最新事实已清晰表明：非洲正在摆脱“援助依赖”，进入“投资驱动”的新阶段。中国零关税政策的落地，正好与这一转型形成强大共振，为全球投资者尤其是中国企业，打开了一扇通往高增长、高回报机遇的大门。</w:t>
      </w:r>
    </w:p>
    <w:p w14:paraId="2169E513">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方正黑体_GBK" w:hAnsi="方正黑体_GBK" w:eastAsia="方正黑体_GBK" w:cs="方正黑体_GBK"/>
          <w:b w:val="0"/>
          <w:bCs w:val="0"/>
          <w:sz w:val="32"/>
          <w:szCs w:val="32"/>
        </w:rPr>
        <w:t>一、对非投资的热潮正在涌现</w:t>
      </w:r>
    </w:p>
    <w:p w14:paraId="563A4B8E">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过去，外界常把非洲与援助、危机、风险画等号。到了2026年，实际情况已完全不同。国际货币基金组织预测，今年非洲经济增长有望超过亚洲，这在过去极为罕见。在其预计增速最快的15个经济体中，非洲占据11席。这一乐观预期背后，既有大宗商品价格回暖和人口红利的支撑，更有非洲正在快速转变为投资目的地的现状。</w:t>
      </w:r>
    </w:p>
    <w:p w14:paraId="25817991">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2024年，非洲吸引的外商直接投资达到创纪录的970亿美元，比同期援助流入高出约三分之一。资本市场同样信心十足：2026年前两个月，非洲各国政府在国际资本市场上发行的公债总额创下2013年以来的同期最高水平，主权债券平均评级也升至五年高位。2025年，南非等多个非洲股市均创下历史新高。</w:t>
      </w:r>
    </w:p>
    <w:p w14:paraId="1BD008DD">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更值得关注的是非洲本土资本的加速回流。2024年，非洲500家最大企业的收入按美元计算创下历史新高，本地投资者在风险投资中的占比达到45%，刷新纪录。养老基金、保险公司和主权财富基金账上超过1万亿美元的资金，正在逐步从传统政府债券转向基础设施、私募股权和实体产业。这种“非洲人投非洲”的趋势，正在成为推动大陆经济增长的最强劲引擎。</w:t>
      </w:r>
    </w:p>
    <w:p w14:paraId="13AE3D07">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中国对非全品类零关税政策的实施，正好为这一转型提供了强大外部助力。它大幅降低了非洲商品进入中国市场的门槛，让非洲在资源、农业和劳动密集型产业上的比较优势能够更充分地释放出来，带来贸易规模的快速扩大和产业链的深度融合。</w:t>
      </w:r>
    </w:p>
    <w:p w14:paraId="0DCF29DC">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最新数据显示，这一政策红利已提前显现。2025年，中非贸易总额达到3480亿美元，同比增长17.7%，再创历史新高。其中，中国自非洲进口约1230亿美元，中国对非洲出口约2250亿美元。中国已连续17年稳居非洲第一大贸易伙伴国地位。零关税政策的全面落地，将进一步放大这一贸易增长势头，为非洲产品提供更加广阔的中国市场空间，也为中国企业深化对非投资打开了更加坚实的通道。</w:t>
      </w:r>
    </w:p>
    <w:p w14:paraId="4A360A49">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黑体_GBK" w:hAnsi="方正黑体_GBK" w:eastAsia="方正黑体_GBK" w:cs="方正黑体_GBK"/>
          <w:b w:val="0"/>
          <w:bCs w:val="0"/>
          <w:sz w:val="32"/>
          <w:szCs w:val="32"/>
        </w:rPr>
      </w:pPr>
      <w:r>
        <w:rPr>
          <w:rFonts w:hint="eastAsia" w:ascii="方正黑体_GBK" w:hAnsi="方正黑体_GBK" w:eastAsia="方正黑体_GBK" w:cs="方正黑体_GBK"/>
          <w:b w:val="0"/>
          <w:bCs w:val="0"/>
          <w:sz w:val="32"/>
          <w:szCs w:val="32"/>
        </w:rPr>
        <w:t>二、五大重点产业——零关税下的投资赛道</w:t>
      </w:r>
    </w:p>
    <w:p w14:paraId="6B376C52">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非洲的投资快速增长，背后有三个重要支撑。</w:t>
      </w:r>
    </w:p>
    <w:p w14:paraId="5A8784DC">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方正楷体_GBK" w:hAnsi="方正楷体_GBK" w:eastAsia="方正楷体_GBK" w:cs="方正楷体_GBK"/>
          <w:b w:val="0"/>
          <w:bCs w:val="0"/>
          <w:sz w:val="32"/>
          <w:szCs w:val="32"/>
        </w:rPr>
        <w:t>第一，外国投资者来源更加多元</w:t>
      </w:r>
      <w:r>
        <w:rPr>
          <w:rFonts w:hint="eastAsia" w:ascii="Times New Roman" w:hAnsi="Times New Roman" w:eastAsia="方正仿宋_GBK" w:cs="Times New Roman"/>
          <w:b w:val="0"/>
          <w:bCs w:val="0"/>
          <w:sz w:val="32"/>
          <w:szCs w:val="32"/>
        </w:rPr>
        <w:t>。美国和欧洲正加大对非洲关键矿产和能源项目的投入，以保障供应链安全；海湾国家看好农业和物流领域；中国企业则在贸易和产能合作上保持活跃。这种多元资本流入，显著降低了非洲对单一资金来源的依赖，也为不同产业带来了差异化的发展动力。</w:t>
      </w:r>
    </w:p>
    <w:p w14:paraId="362A5970">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方正楷体_GBK" w:hAnsi="方正楷体_GBK" w:eastAsia="方正楷体_GBK" w:cs="方正楷体_GBK"/>
          <w:b w:val="0"/>
          <w:bCs w:val="0"/>
          <w:sz w:val="32"/>
          <w:szCs w:val="32"/>
        </w:rPr>
        <w:t>第二，非洲各国政策环境持续改善</w:t>
      </w:r>
      <w:r>
        <w:rPr>
          <w:rFonts w:hint="eastAsia" w:ascii="Times New Roman" w:hAnsi="Times New Roman" w:eastAsia="方正仿宋_GBK" w:cs="Times New Roman"/>
          <w:b w:val="0"/>
          <w:bCs w:val="0"/>
          <w:sz w:val="32"/>
          <w:szCs w:val="32"/>
        </w:rPr>
        <w:t>。多数国家通胀得到有效控制，尼日利亚和南非等大国推进市场化改革，区域内贸易、资本流动和人员往来的壁垒正在逐步拆除。未来十年，非洲新建铁路里程预计将超过过去十年的总和，基础设施瓶颈正在被打破。这些变化让非洲的投资环境变得更加友好和可预期。</w:t>
      </w:r>
    </w:p>
    <w:p w14:paraId="1745806B">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方正楷体_GBK" w:hAnsi="方正楷体_GBK" w:eastAsia="方正楷体_GBK" w:cs="方正楷体_GBK"/>
          <w:b w:val="0"/>
          <w:bCs w:val="0"/>
          <w:sz w:val="32"/>
          <w:szCs w:val="32"/>
        </w:rPr>
        <w:t>第三，也是最关键的一点，本土企业家和资本正在发挥引领作用</w:t>
      </w:r>
      <w:r>
        <w:rPr>
          <w:rFonts w:hint="eastAsia" w:ascii="Times New Roman" w:hAnsi="Times New Roman" w:eastAsia="方正仿宋_GBK" w:cs="Times New Roman"/>
          <w:b w:val="0"/>
          <w:bCs w:val="0"/>
          <w:sz w:val="32"/>
          <w:szCs w:val="32"/>
        </w:rPr>
        <w:t>。非洲首富阿利科·丹戈特等实业家正以实际行动展示信心，他们不仅在本国深耕，还积极向区域内其他国家扩展，形成示范效应。这种内生增长动力，是非洲长期繁荣最可靠的保障。</w:t>
      </w:r>
    </w:p>
    <w:p w14:paraId="6D8DF84D">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中国对非全品类零关税政策，将直接放大非洲的资源、农业、能源和制造优势，为中国企业和全球投资者提供清晰且高确定性的合作机会。以下五大产业最具爆发潜力：</w:t>
      </w:r>
    </w:p>
    <w:p w14:paraId="70910451">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1. 关键矿产与新能源材料</w:t>
      </w:r>
    </w:p>
    <w:p w14:paraId="66208C3C">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非洲拥有全球最丰富的未开发矿产资源，总估值高达8.6万亿美元，是非洲GDP的三倍。随着全球能源转型加速，镍、铜、钴、稀土等需求将长期旺盛。</w:t>
      </w:r>
    </w:p>
    <w:p w14:paraId="6B2B244D">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坦桑尼亚卡班加镍矿是世界顶级未开发优质镍资源之一，已吸引多家国际矿业公司和中国企业深度参与，未来产品进入中国市场将完全零关税。几内亚西芒杜铁矿项目已于2025年正式投产，由中国企业与力拓共同支持。赞比亚铜矿、刚果（金）铜钴矿、坦桑尼亚稀土项目等均迎来新一轮开发热潮。这些矿产不仅可直接出口中国，还能带动当地加工产业链延伸，形成资源-加工-出口的完整闭环。</w:t>
      </w:r>
    </w:p>
    <w:p w14:paraId="5071C883">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2. 油气、能源与基础设施</w:t>
      </w:r>
    </w:p>
    <w:p w14:paraId="7BB3413C">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尼日利亚作为非洲最大石油生产国，正迎来本土企业主导的产量复苏。2025年，该国日均原油产量达到147万桶，创近五年新高。这一增长主要得益于本土企业收购了国际石油巨头在陆地上的油田，大幅提升了运营效率和本地化程度。尼日利亚政府已设定明确目标，到2030年将日产量提升至300万桶，助其重返全球前十大产油国行列。</w:t>
      </w:r>
    </w:p>
    <w:p w14:paraId="10A73AF2">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天然气领域前景更为广阔。尼日利亚拥有非洲最大天然气探明储量，丹戈特炼油厂的天然气发电和化肥项目正在快速推进。莫桑比克200亿美元LNG项目已恢复建设，肯尼亚最大LPG终端即将投产。</w:t>
      </w:r>
    </w:p>
    <w:p w14:paraId="47B8CAF2">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中东局势的不确定性进一步提升了全球对非洲能源供应的关注。对非洲能源的投资，不仅能满足本地日益增长的需求，还将同步带动电网、港口、铁路等基础设施建设，并形成长期稳定且可观的回报。</w:t>
      </w:r>
    </w:p>
    <w:p w14:paraId="7C677F12">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3. 农业、食品加工与化肥</w:t>
      </w:r>
    </w:p>
    <w:p w14:paraId="2184F076">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非洲农业生产率提升空间巨大，中国市场对特色农产品需求旺盛。咖啡、鳄梨、可可、坚果、大豆、谷物等将直接享受零关税红利，竞争力显著增强。</w:t>
      </w:r>
    </w:p>
    <w:p w14:paraId="26A19C5A">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非洲是全球重要的农产品供应基地，在多个大宗品类上占据关键地位。可可方面，非洲占全球产量约80%，其中科特迪瓦和加纳两国合计贡献全球供应量的60%以上，是巧克力、饮料和食品工业的重要原料来源。腰果产量非洲占全球约60%，科特迪瓦是世界最大出口国。咖啡方面，非洲贡献全球约</w:t>
      </w:r>
      <w:r>
        <w:rPr>
          <w:rFonts w:hint="eastAsia" w:ascii="Times New Roman" w:hAnsi="Times New Roman" w:eastAsia="方正仿宋_GBK" w:cs="Times New Roman"/>
          <w:b w:val="0"/>
          <w:bCs w:val="0"/>
          <w:sz w:val="32"/>
          <w:szCs w:val="32"/>
          <w:lang w:eastAsia="zh-CN"/>
        </w:rPr>
        <w:t>12%—15%</w:t>
      </w:r>
      <w:r>
        <w:rPr>
          <w:rFonts w:hint="eastAsia" w:ascii="Times New Roman" w:hAnsi="Times New Roman" w:eastAsia="方正仿宋_GBK" w:cs="Times New Roman"/>
          <w:b w:val="0"/>
          <w:bCs w:val="0"/>
          <w:sz w:val="32"/>
          <w:szCs w:val="32"/>
        </w:rPr>
        <w:t>的产量，埃塞俄比亚、乌干达、肯尼亚等国出产的高品质阿拉比卡咖啡深受中国市场欢迎。此外，非洲还是全球重要的棕榈油、天然橡胶、芝麻和花生出口地区。</w:t>
      </w:r>
    </w:p>
    <w:p w14:paraId="04E4CB44">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更有意义的是，非洲还是许多特色作物的原产地，这些作物往往具有独特的适应性和营养价值。例如高粱、小米、豇豆和非洲茄等，都是非洲本土起源的作物，耐旱、抗逆性强，在气候变化背景下展现出巨大的种植潜力。中国消费者日益青睐的鳄梨（牛油果），虽然原产中美洲，但在东非的肯尼亚和坦桑尼亚已形成规模化高品质产区，成为近年来出口增长最快的品类之一。</w:t>
      </w:r>
    </w:p>
    <w:p w14:paraId="65DDD2D2">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丹戈特集团已在埃塞俄比亚兴建大型化肥厂，在安哥拉大规模种植大豆和谷物，为区域农业提供重要肥料支撑。坦桑尼亚等国通过改善道路、铁路和能源设施，正让农业投资的效率和回报率显著提升。食品加工、冷链物流、农产品深加工等领域也将迎来快速发展——从可可粉、咖啡深加工到腰果剥壳、鳄梨油提取，再到果汁和坚果包装，都将成为中国企业“走出去”的理想赛道。中国企业可与当地合作建立种植-加工-出口一体化基地，既满足国内市场需求，又帮助非洲实现从原料出口向高附加值产品转型。</w:t>
      </w:r>
    </w:p>
    <w:p w14:paraId="1A336DA3">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4. 制造业、消费品与城市化</w:t>
      </w:r>
    </w:p>
    <w:p w14:paraId="2EAA1FD7">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非洲是全球城市化速度最快的地区，城市人口正从目前的约7亿快速增长，到2050年预计将翻番至14亿。根据OECD等机构预测，未来30年内非洲城市化将贡献大陆经济增长的80%左右，中产消费阶层快速壮大，对住房、消费品和服务的需求呈现爆发式增长。</w:t>
      </w:r>
    </w:p>
    <w:p w14:paraId="4D7F8E17">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这一趋势已吸引众多国际企业布局。中国企业在达累斯萨拉姆、内罗毕等地积极兴建高端公寓和商业综合体项目，为快速增长的城市中产提供优质住宅；日本朝日啤酒集团于2025年以23亿美元从帝亚吉欧手中收购东非酿酒公司（East African Breweries）控股权，正是看好东非年轻消费者对啤酒等消费品的强劲需求。</w:t>
      </w:r>
    </w:p>
    <w:p w14:paraId="5076BF02">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丹戈特炼油厂的布局体现出制造业向高附加值延伸的典型路径——除生产燃油外，还同步生产聚丙烯（用于塑料包装和消费品）和线性烷基苯（LAB，洗涤剂及清洁产品核心原料），这些下游石化产品将直接服务非洲本地市场，减少进口依赖，同时为区域制造业提供重要原料支撑。</w:t>
      </w:r>
    </w:p>
    <w:p w14:paraId="14D7D873">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纺织服装、塑料制品、消费电子组装、家电制造、汽车零部件等领域正成为投资热点。埃塞俄比亚的哈瓦萨工业园（由中国土木工程集团承建）、肯尼亚和坦桑尼亚的多个经济特区，已吸引大量中国企业在服装、皮革制品和电子组装领域布局。这些园区普遍提供完善的基础设施和优惠政策，帮助入驻企业快速实现规模化生产。中国企业凭借完整的产业链配套和成本优势，在非洲制造业的参与度持续提升，既有效满足当地消费升级的需求，也为产品出口欧洲和美国市场开辟了新的通道。</w:t>
      </w:r>
    </w:p>
    <w:p w14:paraId="0E9ED5F1">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5. 区域一体化与现代服务业</w:t>
      </w:r>
    </w:p>
    <w:p w14:paraId="4268DF3D">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非洲大陆自由贸易区（A</w:t>
      </w:r>
      <w:r>
        <w:rPr>
          <w:rFonts w:hint="eastAsia" w:ascii="Times New Roman" w:hAnsi="Times New Roman" w:eastAsia="方正仿宋_GBK" w:cs="Times New Roman"/>
          <w:b w:val="0"/>
          <w:bCs w:val="0"/>
          <w:sz w:val="32"/>
          <w:szCs w:val="32"/>
          <w:lang w:val="en-US" w:eastAsia="zh-CN"/>
        </w:rPr>
        <w:t>F</w:t>
      </w:r>
      <w:r>
        <w:rPr>
          <w:rFonts w:hint="eastAsia" w:ascii="Times New Roman" w:hAnsi="Times New Roman" w:eastAsia="方正仿宋_GBK" w:cs="Times New Roman"/>
          <w:b w:val="0"/>
          <w:bCs w:val="0"/>
          <w:sz w:val="32"/>
          <w:szCs w:val="32"/>
        </w:rPr>
        <w:t>CFTA）全面推进后，将成为全球按人口计算最大的零关税区域。这一历史性安排正在加速落地，目前已有31个非洲国家向其他非洲人员提供电子签证，泛非支付和结算系统（PAPSS）让跨境贸易无需反复兑换美元，大幅降低交易成本和时间。</w:t>
      </w:r>
    </w:p>
    <w:p w14:paraId="7F75E692">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未来十年，非洲新建铁路里程预计将超过过去十年的总和，公路、港口、航空等互联互通项目也在快速推进。这些一体化努力，将显著降低区域内物流和交易成本，为金融服务、数字经济、物流枢纽、供应链管理、电子商务等现代服务业打开广阔蓝海。</w:t>
      </w:r>
    </w:p>
    <w:p w14:paraId="5962CF5D">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对中国企业而言，这意味着从单一国家市场转向“一个非洲”统一大市场成为可能。无论是银行、保险、 fintech、物流园区，还是跨境电商、数据中心等领域，都将迎来新的增长空间。区域一体化的深化，不仅会放大零关税政策的红利，也为中非在更高水平上的产业合作和价值链整合创造了长期有利条件。</w:t>
      </w:r>
    </w:p>
    <w:p w14:paraId="71F64732">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黑体_GBK" w:hAnsi="方正黑体_GBK" w:eastAsia="方正黑体_GBK" w:cs="方正黑体_GBK"/>
          <w:b w:val="0"/>
          <w:bCs w:val="0"/>
          <w:sz w:val="32"/>
          <w:szCs w:val="32"/>
        </w:rPr>
      </w:pPr>
      <w:r>
        <w:rPr>
          <w:rFonts w:hint="eastAsia" w:ascii="方正黑体_GBK" w:hAnsi="方正黑体_GBK" w:eastAsia="方正黑体_GBK" w:cs="方正黑体_GBK"/>
          <w:b w:val="0"/>
          <w:bCs w:val="0"/>
          <w:sz w:val="32"/>
          <w:szCs w:val="32"/>
        </w:rPr>
        <w:t>三、非洲的本土企业家</w:t>
      </w:r>
    </w:p>
    <w:p w14:paraId="367338B5">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在中国零关税政策和全球投资的强力加持下，非洲本土企业正展现出前所未有的活力与雄心。他们不再只是资源提供者，而是正在成为产业升级和区域发展的核心引领者。</w:t>
      </w:r>
    </w:p>
    <w:p w14:paraId="0C085673">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非洲首富、尼日利亚实业家阿利科·丹戈特是其中的代表性人物。他以285亿美元的身家稳居全球百富榜，是唯一上榜的非洲人。2023年，其耗时近10年建成的非洲最大炼油厂综合体，每天已可加工65万桶原油，不仅大幅减少尼日利亚对进口汽油的依赖，还带动了聚丙烯塑料、化肥等多种下游产业发展。目前，他正计划将炼油产能扩大至接近沙特阿拉伯全部炼油设施总和的一半，并同步布局天然气发电项目，为周边制造商提供稳定电力。</w:t>
      </w:r>
    </w:p>
    <w:p w14:paraId="12870FE5">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丹戈特的成功离不开与中国企业的深度战略合作，这些合作已成为中非产能合作最生动的范例之一。</w:t>
      </w:r>
    </w:p>
    <w:p w14:paraId="327DD3B7">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在炼油厂建设过程中，中国化学工程集团（CNCEC）承担了约5.2亿美元的核心工程建设合同，负责大量基础设施和工艺装置的实施，为这座非洲最大炼油厂的顺利建成提供了关键支撑。中石化（Sinopec）则制造并交付了全球最大的常压蒸馏塔，这座重达2350吨、高112米以上的巨型设备，是整个炼油厂的核心加工单元，直接支撑了65万桶/日的炼油能力。</w:t>
      </w:r>
    </w:p>
    <w:p w14:paraId="1D6DE895">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2026年2月，丹戈特集团又与徐工机械（XCMG）签署了4亿美元设备采购及战略合作协议，用于炼油厂扩容项目。该协议涵盖重型工程机械、新能源装备等多品类设备，将助力丹戈特把炼油产能从65万桶/日提升至目标140万桶/日，并同步支持其在矿业、农业和基础设施领域的扩张。这也是徐工机械在非洲市场获得的重要大单之一。</w:t>
      </w:r>
    </w:p>
    <w:p w14:paraId="54DE0D8F">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在埃塞俄比亚大型化肥项目上，合作同样务实高效。2026年3月，丹戈特集团与中国协鑫集团（GCL Group）签署为期25年、总价值约42亿美元的长期天然气供应协议。该协议将为丹戈特在埃塞俄比亚索马里州Gode镇建设的年产300万吨尿素化肥项目提供稳定气源。天然气来自协鑫集团开发运营的Ogaden盆地Calub气田，通过一条108公里专用管道直供丹戈特的工厂。该化肥项目总投资约25亿美元，由丹戈特持股60%（埃塞政府持有40%），建成后将成为东非地区规模最大的现代化化肥生产基地，有力提升当地粮食安全和农业发展水平。</w:t>
      </w:r>
    </w:p>
    <w:p w14:paraId="6C4B2A80">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这些合作充分展现了中国企业在非洲的实力与口碑：从工程总承包、超大型设备制造，到能源开发和长期供应，中国企业凭借技术优势、交付效率和全产业链能力，助力丹戈特大幅加快项目进度、降低建设成本，并形成从资源开发到高端制造的完整产业链闭环。这种互利共赢的格局，不仅帮助丹戈特实现“工业化非洲”的雄心，也为中国企业“走出去”提供了稳定、规模化且长期回报的平台。</w:t>
      </w:r>
    </w:p>
    <w:p w14:paraId="67D5F547">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丹戈特的布局早已超出尼日利亚。他不但在埃塞俄比亚投资建设大型化肥厂，还在津巴布韦推进水泥和电力项目，在安哥拉大规模种植大豆和谷物，在赞比亚布局铜加工，并在加纳、科特迪瓦发展可可深加工。“如果我们自己不投资，就没有人会替我们做。”这是他反复强调的理念，也正是非洲本土企业家自信的最好写照。</w:t>
      </w:r>
    </w:p>
    <w:p w14:paraId="4B383BFF">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另一位值得关注的实业家是坦桑尼亚的罗斯塔姆·阿齐兹。他也在能源领域进行了大幅投资，今年8月，其主导建设的非洲最大液化石油气（LPG）终端将在肯尼亚投产，还计划未来两年内在赞比亚投资5亿美元，用于LPG供应、太阳能发电和工业发展。这些项目将有效缓解区域能源短缺，支持当地铜矿、农业和制造业增长。</w:t>
      </w:r>
    </w:p>
    <w:p w14:paraId="443F634A">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阿齐兹的业务版图同样展现出跨产业布局的雄心。他在能源、物流和工业园区等领域持续扩张，并于2026年3月成功收购东非知名媒体集团Nation Media Group的控股权（约54%股份），进一步巩固其在区域的影响力。</w:t>
      </w:r>
    </w:p>
    <w:p w14:paraId="50471A9F">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这些本土领军企业的共同特点是：既深耕资源优势，又积极向加工制造和区域扩张延伸。他们对非洲市场的熟悉、对本地社区的理解，以及长期扎根的决心，正是吸引国际资本跟进的关键。越来越多的外国养老基金、主权财富基金和私募资本，正因为看到这些本土企业家的行动而加大在非洲的配置。</w:t>
      </w:r>
    </w:p>
    <w:p w14:paraId="6287BE7D">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总之，从中国对非全品类零关税政策的实施，到非洲自身韧性增强、政策改善和本土资本觉醒，一幅清晰的投资图景已经展开。无论是关键矿产、油气能源、现代农业、制造业升级，还是区域一体化带来的现代服务业，都为中国企业和全球投资者提供了确定性高、回报潜力大的长期赛道。</w:t>
      </w:r>
    </w:p>
    <w:p w14:paraId="0C8EE783">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在看到巨大机遇的同时，也需理性看待投资环境。非洲多数国家正朝着更加开放和市场化的方向迈进，但部分资源型国家在政局调整或债务压力下，仍可能出现政策变动或合同执行层面的挑战。例如近年来个别石油合作项目曾遇到当地政府提高本地化要求或重新谈判的情况。中国企业凭借多年积累的非洲运营经验，正通过加强合同保护、深化本地化合作、与本土企业家结盟等方式，有效分散和应对此类风险。总体而言，随着A</w:t>
      </w:r>
      <w:r>
        <w:rPr>
          <w:rFonts w:hint="eastAsia" w:ascii="Times New Roman" w:hAnsi="Times New Roman" w:eastAsia="方正仿宋_GBK" w:cs="Times New Roman"/>
          <w:b w:val="0"/>
          <w:bCs w:val="0"/>
          <w:sz w:val="32"/>
          <w:szCs w:val="32"/>
          <w:lang w:val="en-US" w:eastAsia="zh-CN"/>
        </w:rPr>
        <w:t>F</w:t>
      </w:r>
      <w:r>
        <w:rPr>
          <w:rFonts w:hint="eastAsia" w:ascii="Times New Roman" w:hAnsi="Times New Roman" w:eastAsia="方正仿宋_GBK" w:cs="Times New Roman"/>
          <w:b w:val="0"/>
          <w:bCs w:val="0"/>
          <w:sz w:val="32"/>
          <w:szCs w:val="32"/>
        </w:rPr>
        <w:t>CFTA推进和更多非洲国家重视投资环境改善，长期稳定合作的确定性正在不断提升。</w:t>
      </w:r>
    </w:p>
    <w:p w14:paraId="22E6D74B">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仿宋_GBK" w:hAnsi="方正仿宋_GBK" w:eastAsia="方正仿宋_GBK" w:cs="方正仿宋_GBK"/>
          <w:b w:val="0"/>
          <w:bCs w:val="0"/>
          <w:sz w:val="32"/>
          <w:szCs w:val="32"/>
        </w:rPr>
      </w:pPr>
      <w:r>
        <w:rPr>
          <w:rFonts w:hint="eastAsia" w:ascii="Times New Roman" w:hAnsi="Times New Roman" w:eastAsia="方正仿宋_GBK" w:cs="Times New Roman"/>
          <w:b w:val="0"/>
          <w:bCs w:val="0"/>
          <w:sz w:val="32"/>
          <w:szCs w:val="32"/>
        </w:rPr>
        <w:t>非洲的未来，将由投资而非援助来塑造。外国企业和非洲本土企业正共同为这片大陆注入强劲动力，一个更加繁荣、自信的非洲正在崛起</w:t>
      </w:r>
      <w:r>
        <w:rPr>
          <w:rFonts w:hint="eastAsia" w:ascii="方正仿宋_GBK" w:hAnsi="方正仿宋_GBK" w:eastAsia="方正仿宋_GBK" w:cs="方正仿宋_GBK"/>
          <w:b w:val="0"/>
          <w:bCs w:val="0"/>
          <w:sz w:val="32"/>
          <w:szCs w:val="32"/>
        </w:rPr>
        <w:t>。</w:t>
      </w:r>
    </w:p>
    <w:p w14:paraId="6DD35906">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976" w:firstLineChars="1400"/>
        <w:contextualSpacing/>
        <w:jc w:val="left"/>
        <w:textAlignment w:val="auto"/>
        <w:outlineLvl w:val="1"/>
        <w:rPr>
          <w:rFonts w:hint="default" w:ascii="Times New Roman" w:hAnsi="Times New Roman" w:eastAsia="方正楷体_GBK" w:cs="方正楷体_GBK"/>
          <w:b/>
          <w:bCs/>
          <w:color w:val="FF0000"/>
          <w:spacing w:val="0"/>
          <w:kern w:val="2"/>
          <w:sz w:val="30"/>
          <w:szCs w:val="30"/>
          <w:lang w:val="en-US" w:eastAsia="zh-CN" w:bidi="ar-SA"/>
        </w:rPr>
      </w:pPr>
      <w:r>
        <w:rPr>
          <w:rFonts w:hint="default" w:ascii="Times New Roman" w:hAnsi="Times New Roman" w:eastAsia="方正楷体_GBK" w:cs="方正楷体_GBK"/>
          <w:b/>
          <w:bCs/>
          <w:color w:val="FF0000"/>
          <w:spacing w:val="0"/>
          <w:kern w:val="2"/>
          <w:sz w:val="30"/>
          <w:szCs w:val="30"/>
          <w:lang w:val="en-US" w:eastAsia="zh-CN" w:bidi="ar-SA"/>
        </w:rPr>
        <w:t>（</w:t>
      </w:r>
      <w:r>
        <w:rPr>
          <w:rFonts w:hint="eastAsia" w:ascii="Times New Roman" w:hAnsi="Times New Roman" w:eastAsia="方正楷体_GBK" w:cs="方正楷体_GBK"/>
          <w:b/>
          <w:bCs/>
          <w:color w:val="FF0000"/>
          <w:spacing w:val="0"/>
          <w:kern w:val="2"/>
          <w:sz w:val="30"/>
          <w:szCs w:val="30"/>
          <w:lang w:val="en-US" w:eastAsia="zh-CN" w:bidi="ar-SA"/>
        </w:rPr>
        <w:t>发展研究部 刘浩、周斌</w:t>
      </w:r>
      <w:r>
        <w:rPr>
          <w:rFonts w:hint="default" w:ascii="Times New Roman" w:hAnsi="Times New Roman" w:eastAsia="方正楷体_GBK" w:cs="方正楷体_GBK"/>
          <w:b/>
          <w:bCs/>
          <w:color w:val="FF0000"/>
          <w:spacing w:val="0"/>
          <w:kern w:val="2"/>
          <w:sz w:val="30"/>
          <w:szCs w:val="30"/>
          <w:lang w:val="en-US" w:eastAsia="zh-CN" w:bidi="ar-SA"/>
        </w:rPr>
        <w:t>）</w:t>
      </w:r>
    </w:p>
    <w:p w14:paraId="69A02316">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124" w:firstLineChars="1100"/>
        <w:contextualSpacing/>
        <w:jc w:val="left"/>
        <w:textAlignment w:val="auto"/>
        <w:outlineLvl w:val="1"/>
        <w:rPr>
          <w:rFonts w:hint="default" w:ascii="Times New Roman" w:hAnsi="Times New Roman" w:eastAsia="方正楷体_GBK" w:cs="方正楷体_GBK"/>
          <w:b/>
          <w:bCs/>
          <w:color w:val="FF0000"/>
          <w:spacing w:val="0"/>
          <w:kern w:val="2"/>
          <w:sz w:val="30"/>
          <w:szCs w:val="30"/>
          <w:lang w:val="en-US" w:eastAsia="zh-CN" w:bidi="ar-SA"/>
        </w:rPr>
      </w:pPr>
    </w:p>
    <w:p w14:paraId="6F6B7050">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124" w:firstLineChars="1100"/>
        <w:contextualSpacing/>
        <w:jc w:val="left"/>
        <w:textAlignment w:val="auto"/>
        <w:outlineLvl w:val="1"/>
        <w:rPr>
          <w:rFonts w:hint="default" w:ascii="Times New Roman" w:hAnsi="Times New Roman" w:eastAsia="方正楷体_GBK" w:cs="方正楷体_GBK"/>
          <w:b/>
          <w:bCs/>
          <w:color w:val="FF0000"/>
          <w:spacing w:val="0"/>
          <w:kern w:val="2"/>
          <w:sz w:val="30"/>
          <w:szCs w:val="30"/>
          <w:lang w:val="en-US" w:eastAsia="zh-CN" w:bidi="ar-SA"/>
        </w:rPr>
      </w:pPr>
    </w:p>
    <w:p w14:paraId="08267EA6">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124" w:firstLineChars="1100"/>
        <w:contextualSpacing/>
        <w:jc w:val="left"/>
        <w:textAlignment w:val="auto"/>
        <w:outlineLvl w:val="1"/>
        <w:rPr>
          <w:rFonts w:hint="default" w:ascii="Times New Roman" w:hAnsi="Times New Roman" w:eastAsia="方正楷体_GBK" w:cs="方正楷体_GBK"/>
          <w:b/>
          <w:bCs/>
          <w:color w:val="FF0000"/>
          <w:spacing w:val="0"/>
          <w:kern w:val="2"/>
          <w:sz w:val="30"/>
          <w:szCs w:val="30"/>
          <w:lang w:val="en-US" w:eastAsia="zh-CN" w:bidi="ar-SA"/>
        </w:rPr>
      </w:pPr>
    </w:p>
    <w:p w14:paraId="0B4FACB2">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124" w:firstLineChars="1100"/>
        <w:contextualSpacing/>
        <w:jc w:val="left"/>
        <w:textAlignment w:val="auto"/>
        <w:outlineLvl w:val="1"/>
        <w:rPr>
          <w:rFonts w:hint="default" w:ascii="Times New Roman" w:hAnsi="Times New Roman" w:eastAsia="方正楷体_GBK" w:cs="方正楷体_GBK"/>
          <w:b/>
          <w:bCs/>
          <w:color w:val="FF0000"/>
          <w:spacing w:val="0"/>
          <w:kern w:val="2"/>
          <w:sz w:val="30"/>
          <w:szCs w:val="30"/>
          <w:lang w:val="en-US" w:eastAsia="zh-CN" w:bidi="ar-SA"/>
        </w:rPr>
      </w:pPr>
    </w:p>
    <w:p w14:paraId="1FE175D8">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124" w:firstLineChars="1100"/>
        <w:contextualSpacing/>
        <w:jc w:val="left"/>
        <w:textAlignment w:val="auto"/>
        <w:outlineLvl w:val="1"/>
        <w:rPr>
          <w:rFonts w:hint="default" w:ascii="Times New Roman" w:hAnsi="Times New Roman" w:eastAsia="方正楷体_GBK" w:cs="方正楷体_GBK"/>
          <w:b/>
          <w:bCs/>
          <w:color w:val="FF0000"/>
          <w:spacing w:val="0"/>
          <w:kern w:val="2"/>
          <w:sz w:val="30"/>
          <w:szCs w:val="30"/>
          <w:lang w:val="en-US" w:eastAsia="zh-CN" w:bidi="ar-SA"/>
        </w:rPr>
      </w:pPr>
    </w:p>
    <w:p w14:paraId="4A362C23">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124" w:firstLineChars="1100"/>
        <w:contextualSpacing/>
        <w:jc w:val="left"/>
        <w:textAlignment w:val="auto"/>
        <w:outlineLvl w:val="1"/>
        <w:rPr>
          <w:rFonts w:hint="default" w:ascii="Times New Roman" w:hAnsi="Times New Roman" w:eastAsia="方正楷体_GBK" w:cs="方正楷体_GBK"/>
          <w:b/>
          <w:bCs/>
          <w:color w:val="FF0000"/>
          <w:spacing w:val="0"/>
          <w:kern w:val="2"/>
          <w:sz w:val="30"/>
          <w:szCs w:val="30"/>
          <w:lang w:val="en-US" w:eastAsia="zh-CN" w:bidi="ar-SA"/>
        </w:rPr>
      </w:pPr>
    </w:p>
    <w:p w14:paraId="3D399E95">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124" w:firstLineChars="1100"/>
        <w:contextualSpacing/>
        <w:jc w:val="left"/>
        <w:textAlignment w:val="auto"/>
        <w:outlineLvl w:val="1"/>
        <w:rPr>
          <w:rFonts w:hint="default" w:ascii="Times New Roman" w:hAnsi="Times New Roman" w:eastAsia="方正楷体_GBK" w:cs="方正楷体_GBK"/>
          <w:b/>
          <w:bCs/>
          <w:color w:val="FF0000"/>
          <w:spacing w:val="0"/>
          <w:kern w:val="2"/>
          <w:sz w:val="30"/>
          <w:szCs w:val="30"/>
          <w:lang w:val="en-US" w:eastAsia="zh-CN" w:bidi="ar-SA"/>
        </w:rPr>
      </w:pPr>
    </w:p>
    <w:p w14:paraId="0ABAA7AC">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124" w:firstLineChars="1100"/>
        <w:contextualSpacing/>
        <w:jc w:val="left"/>
        <w:textAlignment w:val="auto"/>
        <w:outlineLvl w:val="1"/>
        <w:rPr>
          <w:rFonts w:hint="default" w:ascii="Times New Roman" w:hAnsi="Times New Roman" w:eastAsia="方正楷体_GBK" w:cs="方正楷体_GBK"/>
          <w:b/>
          <w:bCs/>
          <w:color w:val="FF0000"/>
          <w:spacing w:val="0"/>
          <w:kern w:val="2"/>
          <w:sz w:val="30"/>
          <w:szCs w:val="30"/>
          <w:lang w:val="en-US" w:eastAsia="zh-CN" w:bidi="ar-SA"/>
        </w:rPr>
      </w:pPr>
    </w:p>
    <w:p w14:paraId="7C7BB4D3">
      <w:pPr>
        <w:keepNext w:val="0"/>
        <w:keepLines w:val="0"/>
        <w:pageBreakBefore w:val="0"/>
        <w:widowControl w:val="0"/>
        <w:kinsoku/>
        <w:wordWrap/>
        <w:overflowPunct/>
        <w:topLinePunct w:val="0"/>
        <w:autoSpaceDE/>
        <w:autoSpaceDN/>
        <w:bidi w:val="0"/>
        <w:adjustRightInd/>
        <w:snapToGrid/>
        <w:spacing w:line="580" w:lineRule="exact"/>
        <w:ind w:right="0" w:rightChars="0"/>
        <w:jc w:val="both"/>
        <w:textAlignment w:val="auto"/>
        <w:outlineLvl w:val="9"/>
        <w:rPr>
          <w:rFonts w:hint="default" w:ascii="Times New Roman" w:hAnsi="Times New Roman" w:eastAsia="方正仿宋_GBK" w:cs="Times New Roman"/>
          <w:b w:val="0"/>
          <w:bCs w:val="0"/>
          <w:sz w:val="32"/>
          <w:szCs w:val="32"/>
          <w:lang w:eastAsia="zh-CN"/>
        </w:rPr>
      </w:pPr>
    </w:p>
    <w:p w14:paraId="5F25D50A">
      <w:pPr>
        <w:keepNext w:val="0"/>
        <w:keepLines w:val="0"/>
        <w:pageBreakBefore w:val="0"/>
        <w:widowControl w:val="0"/>
        <w:kinsoku/>
        <w:wordWrap/>
        <w:overflowPunct/>
        <w:topLinePunct w:val="0"/>
        <w:autoSpaceDE/>
        <w:autoSpaceDN/>
        <w:bidi w:val="0"/>
        <w:adjustRightInd/>
        <w:snapToGrid/>
        <w:spacing w:line="580" w:lineRule="exact"/>
        <w:ind w:right="0" w:rightChars="0"/>
        <w:jc w:val="center"/>
        <w:textAlignment w:val="auto"/>
        <w:outlineLvl w:val="9"/>
        <w:rPr>
          <w:rFonts w:hint="eastAsia" w:ascii="方正黑体_GBK" w:hAnsi="方正黑体_GBK" w:eastAsia="方正黑体_GBK" w:cs="方正黑体_GBK"/>
          <w:b w:val="0"/>
          <w:bCs w:val="0"/>
          <w:sz w:val="32"/>
          <w:szCs w:val="32"/>
          <w:lang w:val="en-US" w:eastAsia="zh-CN"/>
        </w:rPr>
      </w:pPr>
      <w:r>
        <w:rPr>
          <w:rFonts w:hint="eastAsia" w:ascii="方正小标宋_GBK" w:hAnsi="方正小标宋_GBK" w:eastAsia="方正小标宋_GBK" w:cs="方正小标宋_GBK"/>
          <w:b/>
          <w:bCs/>
          <w:color w:val="2E75B6" w:themeColor="accent1" w:themeShade="BF"/>
          <w:spacing w:val="0"/>
          <w:sz w:val="44"/>
          <w:szCs w:val="44"/>
          <w:highlight w:val="none"/>
          <w:lang w:val="en-US" w:eastAsia="zh-CN"/>
        </w:rPr>
        <w:t>中国央行连续18个月增持黄金：去美元化浪潮下的储备战略调整</w:t>
      </w:r>
    </w:p>
    <w:p w14:paraId="347BFC44">
      <w:pPr>
        <w:keepNext w:val="0"/>
        <w:keepLines w:val="0"/>
        <w:pageBreakBefore w:val="0"/>
        <w:widowControl w:val="0"/>
        <w:kinsoku/>
        <w:wordWrap/>
        <w:overflowPunct/>
        <w:topLinePunct w:val="0"/>
        <w:autoSpaceDE/>
        <w:autoSpaceDN/>
        <w:bidi w:val="0"/>
        <w:adjustRightInd/>
        <w:snapToGrid/>
        <w:spacing w:line="500" w:lineRule="exact"/>
        <w:ind w:right="0" w:rightChars="0" w:firstLine="608" w:firstLineChars="200"/>
        <w:jc w:val="both"/>
        <w:textAlignment w:val="auto"/>
        <w:outlineLvl w:val="9"/>
        <w:rPr>
          <w:rFonts w:hint="eastAsia" w:ascii="方正黑体_GBK" w:hAnsi="方正黑体_GBK" w:eastAsia="方正黑体_GBK" w:cs="方正黑体_GBK"/>
          <w:b w:val="0"/>
          <w:bCs w:val="0"/>
          <w:sz w:val="32"/>
          <w:szCs w:val="32"/>
          <w:lang w:val="en-US" w:eastAsia="zh-CN"/>
        </w:rPr>
      </w:pPr>
    </w:p>
    <w:p w14:paraId="1B4C464F">
      <w:pPr>
        <w:keepNext w:val="0"/>
        <w:keepLines w:val="0"/>
        <w:pageBreakBefore w:val="0"/>
        <w:widowControl w:val="0"/>
        <w:kinsoku/>
        <w:wordWrap/>
        <w:overflowPunct/>
        <w:topLinePunct w:val="0"/>
        <w:autoSpaceDE/>
        <w:autoSpaceDN/>
        <w:bidi w:val="0"/>
        <w:adjustRightInd/>
        <w:snapToGrid/>
        <w:spacing w:line="50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lang w:val="en-US" w:eastAsia="zh-CN"/>
        </w:rPr>
      </w:pPr>
      <w:r>
        <w:rPr>
          <w:rFonts w:hint="eastAsia" w:ascii="方正黑体_GBK" w:hAnsi="方正黑体_GBK" w:eastAsia="方正黑体_GBK" w:cs="方正黑体_GBK"/>
          <w:b w:val="0"/>
          <w:bCs w:val="0"/>
          <w:sz w:val="32"/>
          <w:szCs w:val="32"/>
          <w:lang w:val="en-US" w:eastAsia="zh-CN"/>
        </w:rPr>
        <w:t>摘要</w:t>
      </w:r>
      <w:r>
        <w:rPr>
          <w:rFonts w:hint="eastAsia" w:ascii="方正楷体_GBK" w:hAnsi="方正楷体_GBK" w:eastAsia="方正楷体_GBK" w:cs="方正楷体_GBK"/>
          <w:b w:val="0"/>
          <w:bCs w:val="0"/>
          <w:sz w:val="28"/>
          <w:szCs w:val="28"/>
          <w:lang w:val="en-US" w:eastAsia="zh-CN"/>
        </w:rPr>
        <w:t>：本文以</w:t>
      </w:r>
      <w:r>
        <w:rPr>
          <w:rFonts w:hint="default" w:ascii="Times New Roman" w:hAnsi="Times New Roman" w:eastAsia="方正楷体_GBK" w:cs="Times New Roman"/>
          <w:b w:val="0"/>
          <w:bCs w:val="0"/>
          <w:sz w:val="28"/>
          <w:szCs w:val="28"/>
          <w:lang w:val="en-US" w:eastAsia="zh-CN"/>
        </w:rPr>
        <w:t>2026</w:t>
      </w:r>
      <w:r>
        <w:rPr>
          <w:rFonts w:hint="eastAsia" w:ascii="方正楷体_GBK" w:hAnsi="方正楷体_GBK" w:eastAsia="方正楷体_GBK" w:cs="方正楷体_GBK"/>
          <w:b w:val="0"/>
          <w:bCs w:val="0"/>
          <w:sz w:val="28"/>
          <w:szCs w:val="28"/>
          <w:lang w:val="en-US" w:eastAsia="zh-CN"/>
        </w:rPr>
        <w:t>年中国央行连续</w:t>
      </w:r>
      <w:r>
        <w:rPr>
          <w:rFonts w:hint="eastAsia" w:ascii="Times New Roman" w:hAnsi="Times New Roman" w:eastAsia="方正楷体_GBK" w:cs="Times New Roman"/>
          <w:b w:val="0"/>
          <w:bCs w:val="0"/>
          <w:sz w:val="28"/>
          <w:szCs w:val="28"/>
          <w:lang w:val="en-US" w:eastAsia="zh-CN"/>
        </w:rPr>
        <w:t>18</w:t>
      </w:r>
      <w:r>
        <w:rPr>
          <w:rFonts w:hint="eastAsia" w:ascii="方正楷体_GBK" w:hAnsi="方正楷体_GBK" w:eastAsia="方正楷体_GBK" w:cs="方正楷体_GBK"/>
          <w:b w:val="0"/>
          <w:bCs w:val="0"/>
          <w:sz w:val="28"/>
          <w:szCs w:val="28"/>
          <w:lang w:val="en-US" w:eastAsia="zh-CN"/>
        </w:rPr>
        <w:t>个月增持黄金、</w:t>
      </w:r>
      <w:r>
        <w:rPr>
          <w:rFonts w:hint="eastAsia" w:ascii="Times New Roman" w:hAnsi="Times New Roman" w:eastAsia="方正楷体_GBK" w:cs="Times New Roman"/>
          <w:b w:val="0"/>
          <w:bCs w:val="0"/>
          <w:sz w:val="28"/>
          <w:szCs w:val="28"/>
          <w:lang w:val="en-US" w:eastAsia="zh-CN"/>
        </w:rPr>
        <w:t>4</w:t>
      </w:r>
      <w:r>
        <w:rPr>
          <w:rFonts w:hint="eastAsia" w:ascii="方正楷体_GBK" w:hAnsi="方正楷体_GBK" w:eastAsia="方正楷体_GBK" w:cs="方正楷体_GBK"/>
          <w:b w:val="0"/>
          <w:bCs w:val="0"/>
          <w:sz w:val="28"/>
          <w:szCs w:val="28"/>
          <w:lang w:val="en-US" w:eastAsia="zh-CN"/>
        </w:rPr>
        <w:t>月单月增量创</w:t>
      </w:r>
      <w:r>
        <w:rPr>
          <w:rFonts w:hint="eastAsia" w:ascii="Times New Roman" w:hAnsi="Times New Roman" w:eastAsia="方正楷体_GBK" w:cs="Times New Roman"/>
          <w:b w:val="0"/>
          <w:bCs w:val="0"/>
          <w:sz w:val="28"/>
          <w:szCs w:val="28"/>
          <w:lang w:val="en-US" w:eastAsia="zh-CN"/>
        </w:rPr>
        <w:t>14</w:t>
      </w:r>
      <w:r>
        <w:rPr>
          <w:rFonts w:hint="eastAsia" w:ascii="方正楷体_GBK" w:hAnsi="方正楷体_GBK" w:eastAsia="方正楷体_GBK" w:cs="方正楷体_GBK"/>
          <w:b w:val="0"/>
          <w:bCs w:val="0"/>
          <w:sz w:val="28"/>
          <w:szCs w:val="28"/>
          <w:lang w:val="en-US" w:eastAsia="zh-CN"/>
        </w:rPr>
        <w:t>个月新高为核心切入点，围绕全球去美元化浪潮下各国央行储备资产的战略性重构展开研究，属于国际金融、全球货币体系与贵金属市场交叉研究领域。文章梳理了全球央行储备结构的长期演变，揭示了美元份额回落、黄金份额显著回升的此消彼长趋势，系统阐释了能源贸易结算多元化、地缘政治风险上升、全球能源转型三大去美元化加速的核心推力。研究结合高盛调研数据，指出全球央行持续购金已成为黄金价格的坚实“压舱石”，且当前市场投机情绪温和无泡沫风险。文章最后阐明中国增持黄金与人民币国际化的协同逻辑，即“支付通道+储备锚定”的双轮驱动模式，凸显了黄金在国际金融体系中的稳定器作用。</w:t>
      </w:r>
    </w:p>
    <w:p w14:paraId="513E0558">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黑体_GBK" w:hAnsi="方正黑体_GBK" w:eastAsia="方正黑体_GBK" w:cs="方正黑体_GBK"/>
          <w:b w:val="0"/>
          <w:bCs w:val="0"/>
          <w:sz w:val="32"/>
          <w:szCs w:val="32"/>
          <w:lang w:val="en-US" w:eastAsia="zh-CN"/>
        </w:rPr>
      </w:pPr>
    </w:p>
    <w:p w14:paraId="6776E5C3">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方正黑体_GBK" w:hAnsi="方正黑体_GBK" w:eastAsia="方正黑体_GBK" w:cs="方正黑体_GBK"/>
          <w:b w:val="0"/>
          <w:bCs w:val="0"/>
          <w:sz w:val="32"/>
          <w:szCs w:val="32"/>
          <w:lang w:val="en-US" w:eastAsia="zh-CN"/>
        </w:rPr>
        <w:t>正文</w:t>
      </w:r>
      <w:r>
        <w:rPr>
          <w:rFonts w:hint="eastAsia" w:ascii="Times New Roman" w:hAnsi="Times New Roman" w:eastAsia="方正仿宋_GBK" w:cs="Times New Roman"/>
          <w:b w:val="0"/>
          <w:bCs w:val="0"/>
          <w:sz w:val="32"/>
          <w:szCs w:val="32"/>
          <w:lang w:val="en-US" w:eastAsia="zh-CN"/>
        </w:rPr>
        <w:t>：</w:t>
      </w:r>
    </w:p>
    <w:p w14:paraId="6CF000DA">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2026年5月7日，国家外汇管理局公布的最新数据引发广泛关注：截至4月末，中国黄金储备规模达到7464万盎司，较3月末增加26万盎司（约8吨），单月增量创14个月新高。这已是央行连续第18个月增持黄金，4月单月买入8吨，也是一年多来的较高水平。</w:t>
      </w:r>
    </w:p>
    <w:p w14:paraId="3228E7C3">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这一持续动作，远不止于常规的储备管理，而是折射出全球货币体系正在发生的深刻变化——在去美元化趋势加速的背景下，各国央行正在对储备资产结构进行战略性重构。中国作为重要参与者，其黄金储备的稳步增加尤为引人注目。</w:t>
      </w:r>
    </w:p>
    <w:p w14:paraId="501D8B13">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方正仿宋_GBK" w:cs="Times New Roman"/>
          <w:b w:val="0"/>
          <w:bCs w:val="0"/>
          <w:sz w:val="32"/>
          <w:szCs w:val="32"/>
        </w:rPr>
      </w:pPr>
      <w:r>
        <w:drawing>
          <wp:inline distT="0" distB="0" distL="114300" distR="114300">
            <wp:extent cx="3526155" cy="2449830"/>
            <wp:effectExtent l="0" t="0" r="17145"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3526155" cy="2449830"/>
                    </a:xfrm>
                    <a:prstGeom prst="rect">
                      <a:avLst/>
                    </a:prstGeom>
                    <a:noFill/>
                    <a:ln>
                      <a:noFill/>
                    </a:ln>
                  </pic:spPr>
                </pic:pic>
              </a:graphicData>
            </a:graphic>
          </wp:inline>
        </w:drawing>
      </w:r>
    </w:p>
    <w:p w14:paraId="5ADE3220">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黑体_GBK" w:hAnsi="方正黑体_GBK" w:eastAsia="方正黑体_GBK" w:cs="方正黑体_GBK"/>
          <w:b w:val="0"/>
          <w:bCs w:val="0"/>
          <w:sz w:val="32"/>
          <w:szCs w:val="32"/>
        </w:rPr>
      </w:pPr>
      <w:r>
        <w:rPr>
          <w:rFonts w:hint="eastAsia" w:ascii="方正黑体_GBK" w:hAnsi="方正黑体_GBK" w:eastAsia="方正黑体_GBK" w:cs="方正黑体_GBK"/>
          <w:b w:val="0"/>
          <w:bCs w:val="0"/>
          <w:sz w:val="32"/>
          <w:szCs w:val="32"/>
        </w:rPr>
        <w:t>一、全球去美元化：美元储备份额下降，黄金份额显著回升</w:t>
      </w:r>
    </w:p>
    <w:p w14:paraId="6B141763">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长期以来，美元在全球央行外汇储备中占据主导地位。但近年来，这一格局正在悄然发生变化：美元份额从历史高点逐步回落，而黄金在全球央行储备中的价值占比过去四年明显提升，已成为仅次于美元的重要储备资产。</w:t>
      </w:r>
    </w:p>
    <w:p w14:paraId="7218C8F2">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方正仿宋_GBK" w:cs="Times New Roman"/>
          <w:b w:val="0"/>
          <w:bCs w:val="0"/>
          <w:sz w:val="32"/>
          <w:szCs w:val="32"/>
        </w:rPr>
      </w:pPr>
      <w:r>
        <w:drawing>
          <wp:inline distT="0" distB="0" distL="114300" distR="114300">
            <wp:extent cx="3513455" cy="2937510"/>
            <wp:effectExtent l="0" t="0" r="10795" b="152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3513455" cy="2937510"/>
                    </a:xfrm>
                    <a:prstGeom prst="rect">
                      <a:avLst/>
                    </a:prstGeom>
                    <a:noFill/>
                    <a:ln>
                      <a:noFill/>
                    </a:ln>
                  </pic:spPr>
                </pic:pic>
              </a:graphicData>
            </a:graphic>
          </wp:inline>
        </w:drawing>
      </w:r>
    </w:p>
    <w:p w14:paraId="7DB9FEEE">
      <w:pPr>
        <w:keepNext w:val="0"/>
        <w:keepLines w:val="0"/>
        <w:pageBreakBefore w:val="0"/>
        <w:widowControl w:val="0"/>
        <w:kinsoku/>
        <w:wordWrap/>
        <w:overflowPunct/>
        <w:topLinePunct w:val="0"/>
        <w:autoSpaceDE/>
        <w:autoSpaceDN/>
        <w:bidi w:val="0"/>
        <w:adjustRightInd/>
        <w:snapToGrid/>
        <w:spacing w:line="580" w:lineRule="exact"/>
        <w:ind w:right="0" w:rightChars="0"/>
        <w:jc w:val="center"/>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图：全球央行储备中美元与黄金份额的长期演变（1950-2025）</w:t>
      </w:r>
    </w:p>
    <w:p w14:paraId="6AC93CDE">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该图摘自德意志银行（</w:t>
      </w:r>
      <w:r>
        <w:rPr>
          <w:rFonts w:hint="default" w:ascii="Times New Roman" w:hAnsi="Times New Roman" w:eastAsia="方正仿宋_GBK" w:cs="Times New Roman"/>
          <w:b w:val="0"/>
          <w:bCs w:val="0"/>
          <w:sz w:val="32"/>
          <w:szCs w:val="32"/>
        </w:rPr>
        <w:t>Deutsche Bank</w:t>
      </w:r>
      <w:r>
        <w:rPr>
          <w:rFonts w:hint="eastAsia" w:ascii="方正仿宋_GBK" w:hAnsi="方正仿宋_GBK" w:eastAsia="方正仿宋_GBK" w:cs="方正仿宋_GBK"/>
          <w:b w:val="0"/>
          <w:bCs w:val="0"/>
          <w:sz w:val="32"/>
          <w:szCs w:val="32"/>
        </w:rPr>
        <w:t>）于</w:t>
      </w:r>
      <w:r>
        <w:rPr>
          <w:rFonts w:hint="eastAsia" w:ascii="Times New Roman" w:hAnsi="Times New Roman" w:eastAsia="方正仿宋_GBK" w:cs="Times New Roman"/>
          <w:b w:val="0"/>
          <w:bCs w:val="0"/>
          <w:sz w:val="32"/>
          <w:szCs w:val="32"/>
        </w:rPr>
        <w:t>2026</w:t>
      </w:r>
      <w:r>
        <w:rPr>
          <w:rFonts w:hint="eastAsia" w:ascii="方正仿宋_GBK" w:hAnsi="方正仿宋_GBK" w:eastAsia="方正仿宋_GBK" w:cs="方正仿宋_GBK"/>
          <w:b w:val="0"/>
          <w:bCs w:val="0"/>
          <w:sz w:val="32"/>
          <w:szCs w:val="32"/>
        </w:rPr>
        <w:t>年</w:t>
      </w:r>
      <w:r>
        <w:rPr>
          <w:rFonts w:hint="eastAsia" w:ascii="Times New Roman" w:hAnsi="Times New Roman" w:eastAsia="方正仿宋_GBK" w:cs="Times New Roman"/>
          <w:b w:val="0"/>
          <w:bCs w:val="0"/>
          <w:sz w:val="32"/>
          <w:szCs w:val="32"/>
        </w:rPr>
        <w:t>4</w:t>
      </w:r>
      <w:r>
        <w:rPr>
          <w:rFonts w:hint="eastAsia" w:ascii="方正仿宋_GBK" w:hAnsi="方正仿宋_GBK" w:eastAsia="方正仿宋_GBK" w:cs="方正仿宋_GBK"/>
          <w:b w:val="0"/>
          <w:bCs w:val="0"/>
          <w:sz w:val="32"/>
          <w:szCs w:val="32"/>
        </w:rPr>
        <w:t>月</w:t>
      </w:r>
      <w:r>
        <w:rPr>
          <w:rFonts w:hint="eastAsia" w:ascii="Times New Roman" w:hAnsi="Times New Roman" w:eastAsia="方正仿宋_GBK" w:cs="Times New Roman"/>
          <w:b w:val="0"/>
          <w:bCs w:val="0"/>
          <w:sz w:val="32"/>
          <w:szCs w:val="32"/>
        </w:rPr>
        <w:t>27</w:t>
      </w:r>
      <w:r>
        <w:rPr>
          <w:rFonts w:hint="eastAsia" w:ascii="方正仿宋_GBK" w:hAnsi="方正仿宋_GBK" w:eastAsia="方正仿宋_GBK" w:cs="方正仿宋_GBK"/>
          <w:b w:val="0"/>
          <w:bCs w:val="0"/>
          <w:sz w:val="32"/>
          <w:szCs w:val="32"/>
        </w:rPr>
        <w:t>日发布的报告《历史的回归：黄金、美元与货币未来》。深蓝色曲线代表美元在全球央行储备中的份额，浅蓝色曲线代表黄金的份额。</w:t>
      </w:r>
    </w:p>
    <w:p w14:paraId="14F68F6D">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从图中可以清晰看到：</w:t>
      </w:r>
      <w:r>
        <w:rPr>
          <w:rFonts w:hint="eastAsia" w:ascii="Times New Roman" w:hAnsi="Times New Roman" w:eastAsia="方正仿宋_GBK" w:cs="Times New Roman"/>
          <w:b w:val="0"/>
          <w:bCs w:val="0"/>
          <w:sz w:val="32"/>
          <w:szCs w:val="32"/>
        </w:rPr>
        <w:t>20</w:t>
      </w:r>
      <w:r>
        <w:rPr>
          <w:rFonts w:hint="eastAsia" w:ascii="方正仿宋_GBK" w:hAnsi="方正仿宋_GBK" w:eastAsia="方正仿宋_GBK" w:cs="方正仿宋_GBK"/>
          <w:b w:val="0"/>
          <w:bCs w:val="0"/>
          <w:sz w:val="32"/>
          <w:szCs w:val="32"/>
        </w:rPr>
        <w:t>世纪</w:t>
      </w:r>
      <w:r>
        <w:rPr>
          <w:rFonts w:hint="eastAsia" w:ascii="Times New Roman" w:hAnsi="Times New Roman" w:eastAsia="方正仿宋_GBK" w:cs="Times New Roman"/>
          <w:b w:val="0"/>
          <w:bCs w:val="0"/>
          <w:sz w:val="32"/>
          <w:szCs w:val="32"/>
        </w:rPr>
        <w:t>90</w:t>
      </w:r>
      <w:r>
        <w:rPr>
          <w:rFonts w:hint="eastAsia" w:ascii="方正仿宋_GBK" w:hAnsi="方正仿宋_GBK" w:eastAsia="方正仿宋_GBK" w:cs="方正仿宋_GBK"/>
          <w:b w:val="0"/>
          <w:bCs w:val="0"/>
          <w:sz w:val="32"/>
          <w:szCs w:val="32"/>
        </w:rPr>
        <w:t>年代“历史终结论”盛行时期，美元份额大幅攀升至接近</w:t>
      </w:r>
      <w:r>
        <w:rPr>
          <w:rFonts w:hint="eastAsia" w:ascii="Times New Roman" w:hAnsi="Times New Roman" w:eastAsia="方正仿宋_GBK" w:cs="Times New Roman"/>
          <w:b w:val="0"/>
          <w:bCs w:val="0"/>
          <w:sz w:val="32"/>
          <w:szCs w:val="32"/>
        </w:rPr>
        <w:t>70%</w:t>
      </w:r>
      <w:r>
        <w:rPr>
          <w:rFonts w:hint="eastAsia" w:ascii="方正仿宋_GBK" w:hAnsi="方正仿宋_GBK" w:eastAsia="方正仿宋_GBK" w:cs="方正仿宋_GBK"/>
          <w:b w:val="0"/>
          <w:bCs w:val="0"/>
          <w:sz w:val="32"/>
          <w:szCs w:val="32"/>
        </w:rPr>
        <w:t>的历史高位，而黄金份额则急剧下滑至</w:t>
      </w:r>
      <w:r>
        <w:rPr>
          <w:rFonts w:hint="eastAsia" w:ascii="Times New Roman" w:hAnsi="Times New Roman" w:eastAsia="方正仿宋_GBK" w:cs="Times New Roman"/>
          <w:b w:val="0"/>
          <w:bCs w:val="0"/>
          <w:sz w:val="32"/>
          <w:szCs w:val="32"/>
        </w:rPr>
        <w:t>10%</w:t>
      </w:r>
      <w:r>
        <w:rPr>
          <w:rFonts w:hint="eastAsia" w:ascii="方正仿宋_GBK" w:hAnsi="方正仿宋_GBK" w:eastAsia="方正仿宋_GBK" w:cs="方正仿宋_GBK"/>
          <w:b w:val="0"/>
          <w:bCs w:val="0"/>
          <w:sz w:val="32"/>
          <w:szCs w:val="32"/>
        </w:rPr>
        <w:t>以下。所谓“历史终结论”，是美国学者弗朗西斯·福山在</w:t>
      </w:r>
      <w:r>
        <w:rPr>
          <w:rFonts w:hint="eastAsia" w:ascii="Times New Roman" w:hAnsi="Times New Roman" w:eastAsia="方正仿宋_GBK" w:cs="Times New Roman"/>
          <w:b w:val="0"/>
          <w:bCs w:val="0"/>
          <w:sz w:val="32"/>
          <w:szCs w:val="32"/>
        </w:rPr>
        <w:t>1992</w:t>
      </w:r>
      <w:r>
        <w:rPr>
          <w:rFonts w:hint="eastAsia" w:ascii="方正仿宋_GBK" w:hAnsi="方正仿宋_GBK" w:eastAsia="方正仿宋_GBK" w:cs="方正仿宋_GBK"/>
          <w:b w:val="0"/>
          <w:bCs w:val="0"/>
          <w:sz w:val="32"/>
          <w:szCs w:val="32"/>
        </w:rPr>
        <w:t>年冷战刚刚结束时提出的著名观点。他认为，西方自由民主制度和市场经济模式取得了最终胜利，成为人类历史发展的“终点”，不再有其他系统性的替代方案能够挑战它。</w:t>
      </w:r>
    </w:p>
    <w:p w14:paraId="40699CBA">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这种乐观判断在当时产生了广泛影响：全球化加速推进，国际社会普遍认为以美国为主导的西方秩序将长期稳定。在这一背景下，各国对美元资产的信心大幅增强，大量央行纷纷增加美元储备的配置，从而推动美元在全球央行储备中的份额快速上升（历史高位接近</w:t>
      </w:r>
      <w:r>
        <w:rPr>
          <w:rFonts w:hint="eastAsia" w:ascii="Times New Roman" w:hAnsi="Times New Roman" w:eastAsia="方正仿宋_GBK" w:cs="Times New Roman"/>
          <w:b w:val="0"/>
          <w:bCs w:val="0"/>
          <w:sz w:val="32"/>
          <w:szCs w:val="32"/>
        </w:rPr>
        <w:t>70%</w:t>
      </w:r>
      <w:r>
        <w:rPr>
          <w:rFonts w:hint="eastAsia" w:ascii="方正仿宋_GBK" w:hAnsi="方正仿宋_GBK" w:eastAsia="方正仿宋_GBK" w:cs="方正仿宋_GBK"/>
          <w:b w:val="0"/>
          <w:bCs w:val="0"/>
          <w:sz w:val="32"/>
          <w:szCs w:val="32"/>
        </w:rPr>
        <w:t>），而黄金作为传统储备资产的地位则显著下降。</w:t>
      </w:r>
    </w:p>
    <w:p w14:paraId="579963CC">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进入</w:t>
      </w:r>
      <w:r>
        <w:rPr>
          <w:rFonts w:hint="eastAsia" w:ascii="Times New Roman" w:hAnsi="Times New Roman" w:eastAsia="方正仿宋_GBK" w:cs="Times New Roman"/>
          <w:b w:val="0"/>
          <w:bCs w:val="0"/>
          <w:sz w:val="32"/>
          <w:szCs w:val="32"/>
        </w:rPr>
        <w:t>21</w:t>
      </w:r>
      <w:r>
        <w:rPr>
          <w:rFonts w:hint="eastAsia" w:ascii="方正仿宋_GBK" w:hAnsi="方正仿宋_GBK" w:eastAsia="方正仿宋_GBK" w:cs="方正仿宋_GBK"/>
          <w:b w:val="0"/>
          <w:bCs w:val="0"/>
          <w:sz w:val="32"/>
          <w:szCs w:val="32"/>
        </w:rPr>
        <w:t>世纪第二个十年后，趋势发生明显逆转——美元份额从高位逐渐回落，黄金份额则显著回升。图中两个红色方框重点形成了此消彼长的鲜明对比。</w:t>
      </w:r>
    </w:p>
    <w:p w14:paraId="34826653">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德意志银行在报告中直言：“历史正在回归”——黄金正在从美元手中夺回其在全球储备中的份额。这一变化与当前去美元化浪潮、各国央行多元化储备战略以及地缘政治不确定性上升密切相关。越来越多的央行不再将美元视为唯一可靠的选择，而是开始主动增加黄金等中性硬资产的配置，以提升储备体系的韧性和安全性。</w:t>
      </w:r>
    </w:p>
    <w:p w14:paraId="78BF3CAD">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在中国，这一全球趋势表现得清晰而坚定。人民币在跨境贸易结算中的占比虽仍低于美元，但持续稳步上升；与此同时，黄金作为中性、非主权资产的战略价值，正被包括中国在内的越来越多国家重新认识和重视。</w:t>
      </w:r>
    </w:p>
    <w:p w14:paraId="57ABB1F6">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黑体_GBK" w:hAnsi="方正黑体_GBK" w:eastAsia="方正黑体_GBK" w:cs="方正黑体_GBK"/>
          <w:b w:val="0"/>
          <w:bCs w:val="0"/>
          <w:sz w:val="32"/>
          <w:szCs w:val="32"/>
        </w:rPr>
      </w:pPr>
      <w:r>
        <w:rPr>
          <w:rFonts w:hint="eastAsia" w:ascii="方正黑体_GBK" w:hAnsi="方正黑体_GBK" w:eastAsia="方正黑体_GBK" w:cs="方正黑体_GBK"/>
          <w:b w:val="0"/>
          <w:bCs w:val="0"/>
          <w:sz w:val="32"/>
          <w:szCs w:val="32"/>
        </w:rPr>
        <w:t>二、去美元化加速的三大现实推力</w:t>
      </w:r>
    </w:p>
    <w:p w14:paraId="5B1A63DD">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当前去美元化不是抽象概念，而是由具体的经济和地缘因素共同推动的现实进程。以下三个方面尤为关键：</w:t>
      </w:r>
    </w:p>
    <w:p w14:paraId="27C1E939">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仿宋_GBK" w:hAnsi="方正仿宋_GBK" w:eastAsia="方正仿宋_GBK" w:cs="方正仿宋_GBK"/>
          <w:b w:val="0"/>
          <w:bCs w:val="0"/>
          <w:sz w:val="32"/>
          <w:szCs w:val="32"/>
        </w:rPr>
      </w:pPr>
      <w:r>
        <w:rPr>
          <w:rFonts w:hint="eastAsia" w:ascii="方正楷体_GBK" w:hAnsi="方正楷体_GBK" w:eastAsia="方正楷体_GBK" w:cs="方正楷体_GBK"/>
          <w:b w:val="0"/>
          <w:bCs w:val="0"/>
          <w:sz w:val="32"/>
          <w:szCs w:val="32"/>
        </w:rPr>
        <w:t>第一，能源贸易格局的深刻调整</w:t>
      </w:r>
    </w:p>
    <w:p w14:paraId="6125B737">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沙特阿拉伯对中国石油出口量已达到对美国出口量的四倍，这一结构性转变正在从根本上改变全球石油贸易的结算方式。随着贸易规模持续扩大，双方从</w:t>
      </w:r>
      <w:r>
        <w:rPr>
          <w:rFonts w:hint="eastAsia" w:ascii="Times New Roman" w:hAnsi="Times New Roman" w:eastAsia="方正仿宋_GBK" w:cs="Times New Roman"/>
          <w:b w:val="0"/>
          <w:bCs w:val="0"/>
          <w:sz w:val="32"/>
          <w:szCs w:val="32"/>
        </w:rPr>
        <w:t>2025</w:t>
      </w:r>
      <w:r>
        <w:rPr>
          <w:rFonts w:hint="eastAsia" w:ascii="方正仿宋_GBK" w:hAnsi="方正仿宋_GBK" w:eastAsia="方正仿宋_GBK" w:cs="方正仿宋_GBK"/>
          <w:b w:val="0"/>
          <w:bCs w:val="0"/>
          <w:sz w:val="32"/>
          <w:szCs w:val="32"/>
        </w:rPr>
        <w:t>年开始加速推进人民币直接结算机制。中国作为全球最大原油进口国，希望获得稳定且低风险的能源供应；沙特则希望锁定长期可靠的大买家，双方的利益高度契合。</w:t>
      </w:r>
    </w:p>
    <w:p w14:paraId="6EB08112">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在实际操作中，人民币结算让双方都获得了实实在在的好处：无需经过美元中间环节，既节省了汇兑手续费和汇率波动风险，也大幅缩短了资金到账时间。这种直接结算模式不仅适用于原油本身，还延伸到与石油相关的上下游产业链，如化工产品、设备采购和工程服务合同。</w:t>
      </w:r>
    </w:p>
    <w:p w14:paraId="227A2452">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这一变化的影响是连锁性的：石油是全球最重要的能源和大宗商品之一，其结算货币的改变，不仅会影响原油贸易本身，还会逐步波及与能源密切相关的全球产业链条。</w:t>
      </w:r>
    </w:p>
    <w:p w14:paraId="681F2ADF">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人民币结算的推广，直接推动了相关金融基础设施的建设。例如，为了支持人民币石油交易，中国与沙特等国加快了跨境支付系统和本地货币清算安排的对接，同时也带动了人民币计价的原油期货和衍生品市场的发展。这就像多米诺骨牌效应，一旦石油这一关键环节开始使用人民币，其他相关贸易和金融环节也会逐渐跟进。</w:t>
      </w:r>
    </w:p>
    <w:p w14:paraId="3DBE51DE">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更重要的是，这一模式为更多中东产油国提供了可复制的范本。目前，类似的人民币石油结算安排已在多个海湾国家稳步展开：例如，阿联酋已开始在部分石油合同中接受人民币支付，伊拉克也与中方探讨了以人民币结算部分原油出口的方案。结果，一个逐步扩大的“非美元石油结算网络”正在形成，传统以美元为主导的石油贸易份额同步减少。</w:t>
      </w:r>
    </w:p>
    <w:p w14:paraId="7A81FDB6">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仿宋_GBK" w:hAnsi="方正仿宋_GBK" w:eastAsia="方正仿宋_GBK" w:cs="方正仿宋_GBK"/>
          <w:b w:val="0"/>
          <w:bCs w:val="0"/>
          <w:sz w:val="32"/>
          <w:szCs w:val="32"/>
        </w:rPr>
      </w:pPr>
      <w:r>
        <w:rPr>
          <w:rFonts w:hint="eastAsia" w:ascii="方正楷体_GBK" w:hAnsi="方正楷体_GBK" w:eastAsia="方正楷体_GBK" w:cs="方正楷体_GBK"/>
          <w:b w:val="0"/>
          <w:bCs w:val="0"/>
          <w:sz w:val="32"/>
          <w:szCs w:val="32"/>
        </w:rPr>
        <w:t>第二，地缘政治不确定性的上升</w:t>
      </w:r>
    </w:p>
    <w:p w14:paraId="3789B216">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近年来中东局势的持续波动，让许多国家对长期依赖美国安全保障和美元金融体系的可靠性产生了深刻怀疑。</w:t>
      </w:r>
    </w:p>
    <w:p w14:paraId="3BB25C68">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冲突本身不仅直接影响石油供应稳定，更放大了金融层面的脆弱性。一旦某国被纳入制裁名单，其使用美元体系的银行账户可能在数小时内被冻结，企业无法正常收付货款，贸易融资渠道也会迅速中断。过去几年，多起真实案例让各国决策者记忆犹新：俄罗斯在</w:t>
      </w:r>
      <w:r>
        <w:rPr>
          <w:rFonts w:hint="eastAsia" w:ascii="Times New Roman" w:hAnsi="Times New Roman" w:eastAsia="方正仿宋_GBK" w:cs="Times New Roman"/>
          <w:b w:val="0"/>
          <w:bCs w:val="0"/>
          <w:sz w:val="32"/>
          <w:szCs w:val="32"/>
        </w:rPr>
        <w:t>2022</w:t>
      </w:r>
      <w:r>
        <w:rPr>
          <w:rFonts w:hint="eastAsia" w:ascii="方正仿宋_GBK" w:hAnsi="方正仿宋_GBK" w:eastAsia="方正仿宋_GBK" w:cs="方正仿宋_GBK"/>
          <w:b w:val="0"/>
          <w:bCs w:val="0"/>
          <w:sz w:val="32"/>
          <w:szCs w:val="32"/>
        </w:rPr>
        <w:t>年被大规模限制使用</w:t>
      </w:r>
      <w:r>
        <w:rPr>
          <w:rFonts w:hint="eastAsia" w:ascii="Times New Roman" w:hAnsi="Times New Roman" w:eastAsia="方正仿宋_GBK" w:cs="Times New Roman"/>
          <w:b w:val="0"/>
          <w:bCs w:val="0"/>
          <w:sz w:val="32"/>
          <w:szCs w:val="32"/>
        </w:rPr>
        <w:t>SWIFT</w:t>
      </w:r>
      <w:r>
        <w:rPr>
          <w:rFonts w:hint="eastAsia" w:ascii="方正仿宋_GBK" w:hAnsi="方正仿宋_GBK" w:eastAsia="方正仿宋_GBK" w:cs="方正仿宋_GBK"/>
          <w:b w:val="0"/>
          <w:bCs w:val="0"/>
          <w:sz w:val="32"/>
          <w:szCs w:val="32"/>
        </w:rPr>
        <w:t>后，其海外美元资产面临冻结；伊朗长期遭受金融制裁，更让周边国家清晰看到“过度依赖美元”的潜在代价。</w:t>
      </w:r>
    </w:p>
    <w:p w14:paraId="356DA22F">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在这种高压环境下，各国开始主动寻找“备用方案”。除了加快转向人民币结算能源贸易外，它们还明显倾向于增加黄金等中性资产的储备配置，以提升自身金融体系的抗风险能力。一些原本高度依赖美元的中东主权基金和央行，已经开始在资产配置中逐步降低美元权重，转向更具独立性和稳定性的储备结构。</w:t>
      </w:r>
    </w:p>
    <w:p w14:paraId="2A5C31D1">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这种转变并非一时冲动，而是基于现实教训的理性选择。各国决策者越来越清楚地意识到：在高度互联的全球金融体系中，单一货币主导的支付和储备格局，极易成为致命短板，暗藏重大风险隐患。当地缘政治风险上升时，金融自主权和资产多元化配置，就不再是可有可无的选项，而是许多国家应对不确定性的必要风险管理手段。</w:t>
      </w:r>
    </w:p>
    <w:p w14:paraId="53381CA2">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楷体_GBK" w:hAnsi="方正楷体_GBK" w:eastAsia="方正楷体_GBK" w:cs="方正楷体_GBK"/>
          <w:b w:val="0"/>
          <w:bCs w:val="0"/>
          <w:sz w:val="32"/>
          <w:szCs w:val="32"/>
        </w:rPr>
      </w:pPr>
      <w:r>
        <w:rPr>
          <w:rFonts w:hint="eastAsia" w:ascii="方正楷体_GBK" w:hAnsi="方正楷体_GBK" w:eastAsia="方正楷体_GBK" w:cs="方正楷体_GBK"/>
          <w:b w:val="0"/>
          <w:bCs w:val="0"/>
          <w:sz w:val="32"/>
          <w:szCs w:val="32"/>
        </w:rPr>
        <w:t>第三，全球能源转型的长期影响</w:t>
      </w:r>
    </w:p>
    <w:p w14:paraId="3CF70BE0">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随着清洁能源技术的快速迭代和成本持续下降，全球对传统化石能源的依赖正在进入结构性下降通道。太阳能、风能、储能技术和电动汽车的普及速度远超预期，正从根本上改变全球能源消费结构。根据国际能源署（</w:t>
      </w:r>
      <w:r>
        <w:rPr>
          <w:rFonts w:hint="eastAsia" w:ascii="Times New Roman" w:hAnsi="Times New Roman" w:eastAsia="方正仿宋_GBK" w:cs="Times New Roman"/>
          <w:b w:val="0"/>
          <w:bCs w:val="0"/>
          <w:sz w:val="32"/>
          <w:szCs w:val="32"/>
        </w:rPr>
        <w:t>IEA</w:t>
      </w:r>
      <w:r>
        <w:rPr>
          <w:rFonts w:hint="eastAsia" w:ascii="方正仿宋_GBK" w:hAnsi="方正仿宋_GBK" w:eastAsia="方正仿宋_GBK" w:cs="方正仿宋_GBK"/>
          <w:b w:val="0"/>
          <w:bCs w:val="0"/>
          <w:sz w:val="32"/>
          <w:szCs w:val="32"/>
        </w:rPr>
        <w:t>）的预测，到</w:t>
      </w:r>
      <w:r>
        <w:rPr>
          <w:rFonts w:hint="eastAsia" w:ascii="Times New Roman" w:hAnsi="Times New Roman" w:eastAsia="方正仿宋_GBK" w:cs="Times New Roman"/>
          <w:b w:val="0"/>
          <w:bCs w:val="0"/>
          <w:sz w:val="32"/>
          <w:szCs w:val="32"/>
        </w:rPr>
        <w:t>2030</w:t>
      </w:r>
      <w:r>
        <w:rPr>
          <w:rFonts w:hint="eastAsia" w:ascii="方正仿宋_GBK" w:hAnsi="方正仿宋_GBK" w:eastAsia="方正仿宋_GBK" w:cs="方正仿宋_GBK"/>
          <w:b w:val="0"/>
          <w:bCs w:val="0"/>
          <w:sz w:val="32"/>
          <w:szCs w:val="32"/>
        </w:rPr>
        <w:t>年，全球电力系统中的可再生能源占比将接近</w:t>
      </w:r>
      <w:r>
        <w:rPr>
          <w:rFonts w:hint="eastAsia" w:ascii="Times New Roman" w:hAnsi="Times New Roman" w:eastAsia="方正仿宋_GBK" w:cs="Times New Roman"/>
          <w:b w:val="0"/>
          <w:bCs w:val="0"/>
          <w:sz w:val="32"/>
          <w:szCs w:val="32"/>
        </w:rPr>
        <w:t>50%</w:t>
      </w:r>
      <w:r>
        <w:rPr>
          <w:rFonts w:hint="eastAsia" w:ascii="方正仿宋_GBK" w:hAnsi="方正仿宋_GBK" w:eastAsia="方正仿宋_GBK" w:cs="方正仿宋_GBK"/>
          <w:b w:val="0"/>
          <w:bCs w:val="0"/>
          <w:sz w:val="32"/>
          <w:szCs w:val="32"/>
        </w:rPr>
        <w:t>，交通运输领域的石油需求也将因电动化而显著回落。</w:t>
      </w:r>
    </w:p>
    <w:p w14:paraId="6036ECC9">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这一长期趋势对延续了半个多世纪的“石油美元”循环构成了深刻挑战。传统“石油美元”体系的核心逻辑是：产油国出口石油获得美元收入，再将这些美元用于购买美国国债、在美国进行投资或采购商品，形成稳定的资金回流。这一循环既支撑了美元的国际需求，也为产油国提供了可靠的储备和投资渠道。</w:t>
      </w:r>
    </w:p>
    <w:p w14:paraId="4F2D50BB">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然而，当各国对石油进口的依赖度逐步降低时，这一循环的必要性和稳定性都将明显减弱。产油国面临的最大问题是财政收入来源的多元化——它们必须提前寻找新的经济增长点（如发展石化深加工、旅游业、可再生能源产业或主权财富基金的全球配置），同时调整储备资产结构以应对未来石油收入可能减少的风险。进口国则不再需要囤积大量美元来保障能源安全，转而将资金更多用于清洁能源技术投资和国内产业升级。</w:t>
      </w:r>
    </w:p>
    <w:p w14:paraId="2A93C733">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在这一背景下，各国央行提前布局黄金等硬资产，正是对未来能源格局变化的战略预判。即使在未来</w:t>
      </w:r>
      <w:r>
        <w:rPr>
          <w:rFonts w:hint="eastAsia" w:ascii="Times New Roman" w:hAnsi="Times New Roman" w:eastAsia="方正仿宋_GBK" w:cs="Times New Roman"/>
          <w:b w:val="0"/>
          <w:bCs w:val="0"/>
          <w:sz w:val="32"/>
          <w:szCs w:val="32"/>
        </w:rPr>
        <w:t>5-10</w:t>
      </w:r>
      <w:r>
        <w:rPr>
          <w:rFonts w:hint="eastAsia" w:ascii="方正仿宋_GBK" w:hAnsi="方正仿宋_GBK" w:eastAsia="方正仿宋_GBK" w:cs="方正仿宋_GBK"/>
          <w:b w:val="0"/>
          <w:bCs w:val="0"/>
          <w:sz w:val="32"/>
          <w:szCs w:val="32"/>
        </w:rPr>
        <w:t>年内石油仍将在全球能源结构中占据重要地位，但长期趋势已经清晰可见——全球能源转型正在悄然削弱美元作为能源贸易核心货币的独特地位，为各国储备资产的多元化打开了更大的政策空间。</w:t>
      </w:r>
    </w:p>
    <w:p w14:paraId="07BD4119">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这三大现实推力——能源贸易格局调整、地缘政治不确定性上升，以及全球能源转型的长期影响——相互交织、相互强化，正在从贸易结算、地缘风险和长期结构三个维度，共同加速全球去美元化进程。</w:t>
      </w:r>
    </w:p>
    <w:p w14:paraId="245A9248">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黑体_GBK" w:hAnsi="方正黑体_GBK" w:eastAsia="方正黑体_GBK" w:cs="方正黑体_GBK"/>
          <w:b w:val="0"/>
          <w:bCs w:val="0"/>
          <w:sz w:val="32"/>
          <w:szCs w:val="32"/>
        </w:rPr>
      </w:pPr>
      <w:r>
        <w:rPr>
          <w:rFonts w:hint="eastAsia" w:ascii="方正黑体_GBK" w:hAnsi="方正黑体_GBK" w:eastAsia="方正黑体_GBK" w:cs="方正黑体_GBK"/>
          <w:b w:val="0"/>
          <w:bCs w:val="0"/>
          <w:sz w:val="32"/>
          <w:szCs w:val="32"/>
        </w:rPr>
        <w:t>三、</w:t>
      </w:r>
      <w:r>
        <w:rPr>
          <w:rFonts w:hint="default" w:ascii="Times New Roman" w:hAnsi="Times New Roman" w:eastAsia="方正黑体_GBK" w:cs="Times New Roman"/>
          <w:b w:val="0"/>
          <w:bCs w:val="0"/>
          <w:sz w:val="32"/>
          <w:szCs w:val="32"/>
        </w:rPr>
        <w:t>2026</w:t>
      </w:r>
      <w:r>
        <w:rPr>
          <w:rFonts w:hint="eastAsia" w:ascii="方正黑体_GBK" w:hAnsi="方正黑体_GBK" w:eastAsia="方正黑体_GBK" w:cs="方正黑体_GBK"/>
          <w:b w:val="0"/>
          <w:bCs w:val="0"/>
          <w:sz w:val="32"/>
          <w:szCs w:val="32"/>
        </w:rPr>
        <w:t>年全球央行购金趋势：官方机构成为价格“压舱石”</w:t>
      </w:r>
    </w:p>
    <w:p w14:paraId="013FE33A">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高盛</w:t>
      </w:r>
      <w:r>
        <w:rPr>
          <w:rFonts w:hint="eastAsia" w:ascii="Times New Roman" w:hAnsi="Times New Roman" w:eastAsia="方正仿宋_GBK" w:cs="Times New Roman"/>
          <w:b w:val="0"/>
          <w:bCs w:val="0"/>
          <w:sz w:val="32"/>
          <w:szCs w:val="32"/>
        </w:rPr>
        <w:t>2026</w:t>
      </w:r>
      <w:r>
        <w:rPr>
          <w:rFonts w:hint="eastAsia" w:ascii="方正仿宋_GBK" w:hAnsi="方正仿宋_GBK" w:eastAsia="方正仿宋_GBK" w:cs="方正仿宋_GBK"/>
          <w:b w:val="0"/>
          <w:bCs w:val="0"/>
          <w:sz w:val="32"/>
          <w:szCs w:val="32"/>
        </w:rPr>
        <w:t>年</w:t>
      </w:r>
      <w:r>
        <w:rPr>
          <w:rFonts w:hint="eastAsia" w:ascii="Times New Roman" w:hAnsi="Times New Roman" w:eastAsia="方正仿宋_GBK" w:cs="Times New Roman"/>
          <w:b w:val="0"/>
          <w:bCs w:val="0"/>
          <w:sz w:val="32"/>
          <w:szCs w:val="32"/>
        </w:rPr>
        <w:t>4</w:t>
      </w:r>
      <w:r>
        <w:rPr>
          <w:rFonts w:hint="eastAsia" w:ascii="方正仿宋_GBK" w:hAnsi="方正仿宋_GBK" w:eastAsia="方正仿宋_GBK" w:cs="方正仿宋_GBK"/>
          <w:b w:val="0"/>
          <w:bCs w:val="0"/>
          <w:sz w:val="32"/>
          <w:szCs w:val="32"/>
        </w:rPr>
        <w:t>月底发布的《贵金属：黄金长期结构性看多，短期战术性谨慎》报告，给出了较为明确的后市前瞻判断。</w:t>
      </w:r>
    </w:p>
    <w:p w14:paraId="2DEE829D">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高盛对</w:t>
      </w:r>
      <w:r>
        <w:rPr>
          <w:rFonts w:hint="eastAsia" w:ascii="Times New Roman" w:hAnsi="Times New Roman" w:eastAsia="方正仿宋_GBK" w:cs="Times New Roman"/>
          <w:b w:val="0"/>
          <w:bCs w:val="0"/>
          <w:sz w:val="32"/>
          <w:szCs w:val="32"/>
        </w:rPr>
        <w:t>29</w:t>
      </w:r>
      <w:r>
        <w:rPr>
          <w:rFonts w:hint="eastAsia" w:ascii="方正仿宋_GBK" w:hAnsi="方正仿宋_GBK" w:eastAsia="方正仿宋_GBK" w:cs="方正仿宋_GBK"/>
          <w:b w:val="0"/>
          <w:bCs w:val="0"/>
          <w:sz w:val="32"/>
          <w:szCs w:val="32"/>
        </w:rPr>
        <w:t>家主要央行进行的调查显示：</w:t>
      </w:r>
      <w:r>
        <w:rPr>
          <w:rFonts w:hint="eastAsia" w:ascii="Times New Roman" w:hAnsi="Times New Roman" w:eastAsia="方正仿宋_GBK" w:cs="Times New Roman"/>
          <w:b w:val="0"/>
          <w:bCs w:val="0"/>
          <w:sz w:val="32"/>
          <w:szCs w:val="32"/>
        </w:rPr>
        <w:t>70%</w:t>
      </w:r>
      <w:r>
        <w:rPr>
          <w:rFonts w:hint="eastAsia" w:ascii="方正仿宋_GBK" w:hAnsi="方正仿宋_GBK" w:eastAsia="方正仿宋_GBK" w:cs="方正仿宋_GBK"/>
          <w:b w:val="0"/>
          <w:bCs w:val="0"/>
          <w:sz w:val="32"/>
          <w:szCs w:val="32"/>
        </w:rPr>
        <w:t>的受访央行认为，未来一年全球黄金储备将继续增加；</w:t>
      </w:r>
      <w:r>
        <w:rPr>
          <w:rFonts w:hint="eastAsia" w:ascii="Times New Roman" w:hAnsi="Times New Roman" w:eastAsia="方正仿宋_GBK" w:cs="Times New Roman"/>
          <w:b w:val="0"/>
          <w:bCs w:val="0"/>
          <w:sz w:val="32"/>
          <w:szCs w:val="32"/>
        </w:rPr>
        <w:t>60%</w:t>
      </w:r>
      <w:r>
        <w:rPr>
          <w:rFonts w:hint="eastAsia" w:ascii="方正仿宋_GBK" w:hAnsi="方正仿宋_GBK" w:eastAsia="方正仿宋_GBK" w:cs="方正仿宋_GBK"/>
          <w:b w:val="0"/>
          <w:bCs w:val="0"/>
          <w:sz w:val="32"/>
          <w:szCs w:val="32"/>
        </w:rPr>
        <w:t>的央行预计，一年后黄金价格将在</w:t>
      </w:r>
      <w:r>
        <w:rPr>
          <w:rFonts w:hint="eastAsia" w:ascii="Times New Roman" w:hAnsi="Times New Roman" w:eastAsia="方正仿宋_GBK" w:cs="Times New Roman"/>
          <w:b w:val="0"/>
          <w:bCs w:val="0"/>
          <w:sz w:val="32"/>
          <w:szCs w:val="32"/>
        </w:rPr>
        <w:t>5000</w:t>
      </w:r>
      <w:r>
        <w:rPr>
          <w:rFonts w:hint="eastAsia" w:ascii="方正仿宋_GBK" w:hAnsi="方正仿宋_GBK" w:eastAsia="方正仿宋_GBK" w:cs="方正仿宋_GBK"/>
          <w:b w:val="0"/>
          <w:bCs w:val="0"/>
          <w:sz w:val="32"/>
          <w:szCs w:val="32"/>
        </w:rPr>
        <w:t>至</w:t>
      </w:r>
      <w:r>
        <w:rPr>
          <w:rFonts w:hint="eastAsia" w:ascii="Times New Roman" w:hAnsi="Times New Roman" w:eastAsia="方正仿宋_GBK" w:cs="Times New Roman"/>
          <w:b w:val="0"/>
          <w:bCs w:val="0"/>
          <w:sz w:val="32"/>
          <w:szCs w:val="32"/>
        </w:rPr>
        <w:t>6000</w:t>
      </w:r>
      <w:r>
        <w:rPr>
          <w:rFonts w:hint="eastAsia" w:ascii="方正仿宋_GBK" w:hAnsi="方正仿宋_GBK" w:eastAsia="方正仿宋_GBK" w:cs="方正仿宋_GBK"/>
          <w:b w:val="0"/>
          <w:bCs w:val="0"/>
          <w:sz w:val="32"/>
          <w:szCs w:val="32"/>
        </w:rPr>
        <w:t>美元/盎司之间，少数认为可能超过</w:t>
      </w:r>
      <w:r>
        <w:rPr>
          <w:rFonts w:hint="eastAsia" w:ascii="Times New Roman" w:hAnsi="Times New Roman" w:eastAsia="方正仿宋_GBK" w:cs="Times New Roman"/>
          <w:b w:val="0"/>
          <w:bCs w:val="0"/>
          <w:sz w:val="32"/>
          <w:szCs w:val="32"/>
        </w:rPr>
        <w:t>6000</w:t>
      </w:r>
      <w:r>
        <w:rPr>
          <w:rFonts w:hint="eastAsia" w:ascii="方正仿宋_GBK" w:hAnsi="方正仿宋_GBK" w:eastAsia="方正仿宋_GBK" w:cs="方正仿宋_GBK"/>
          <w:b w:val="0"/>
          <w:bCs w:val="0"/>
          <w:sz w:val="32"/>
          <w:szCs w:val="32"/>
        </w:rPr>
        <w:t>美元。</w:t>
      </w:r>
    </w:p>
    <w:p w14:paraId="735CBCAE">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高盛预测，</w:t>
      </w:r>
      <w:r>
        <w:rPr>
          <w:rFonts w:hint="eastAsia" w:ascii="Times New Roman" w:hAnsi="Times New Roman" w:eastAsia="方正仿宋_GBK" w:cs="Times New Roman"/>
          <w:b w:val="0"/>
          <w:bCs w:val="0"/>
          <w:sz w:val="32"/>
          <w:szCs w:val="32"/>
        </w:rPr>
        <w:t>2026</w:t>
      </w:r>
      <w:r>
        <w:rPr>
          <w:rFonts w:hint="eastAsia" w:ascii="方正仿宋_GBK" w:hAnsi="方正仿宋_GBK" w:eastAsia="方正仿宋_GBK" w:cs="方正仿宋_GBK"/>
          <w:b w:val="0"/>
          <w:bCs w:val="0"/>
          <w:sz w:val="32"/>
          <w:szCs w:val="32"/>
        </w:rPr>
        <w:t>年全球央行平均每月购金规模约</w:t>
      </w:r>
      <w:r>
        <w:rPr>
          <w:rFonts w:hint="eastAsia" w:ascii="Times New Roman" w:hAnsi="Times New Roman" w:eastAsia="方正仿宋_GBK" w:cs="Times New Roman"/>
          <w:b w:val="0"/>
          <w:bCs w:val="0"/>
          <w:sz w:val="32"/>
          <w:szCs w:val="32"/>
        </w:rPr>
        <w:t>60</w:t>
      </w:r>
      <w:r>
        <w:rPr>
          <w:rFonts w:hint="eastAsia" w:ascii="方正仿宋_GBK" w:hAnsi="方正仿宋_GBK" w:eastAsia="方正仿宋_GBK" w:cs="方正仿宋_GBK"/>
          <w:b w:val="0"/>
          <w:bCs w:val="0"/>
          <w:sz w:val="32"/>
          <w:szCs w:val="32"/>
        </w:rPr>
        <w:t>吨左右，整体趋势并未改变。中国</w:t>
      </w:r>
      <w:r>
        <w:rPr>
          <w:rFonts w:hint="eastAsia" w:ascii="Times New Roman" w:hAnsi="Times New Roman" w:eastAsia="方正仿宋_GBK" w:cs="Times New Roman"/>
          <w:b w:val="0"/>
          <w:bCs w:val="0"/>
          <w:sz w:val="32"/>
          <w:szCs w:val="32"/>
        </w:rPr>
        <w:t>4</w:t>
      </w:r>
      <w:r>
        <w:rPr>
          <w:rFonts w:hint="eastAsia" w:ascii="方正仿宋_GBK" w:hAnsi="方正仿宋_GBK" w:eastAsia="方正仿宋_GBK" w:cs="方正仿宋_GBK"/>
          <w:b w:val="0"/>
          <w:bCs w:val="0"/>
          <w:sz w:val="32"/>
          <w:szCs w:val="32"/>
        </w:rPr>
        <w:t>月单月增持</w:t>
      </w:r>
      <w:r>
        <w:rPr>
          <w:rFonts w:hint="eastAsia" w:ascii="Times New Roman" w:hAnsi="Times New Roman" w:eastAsia="方正仿宋_GBK" w:cs="Times New Roman"/>
          <w:b w:val="0"/>
          <w:bCs w:val="0"/>
          <w:sz w:val="32"/>
          <w:szCs w:val="32"/>
        </w:rPr>
        <w:t>8</w:t>
      </w:r>
      <w:r>
        <w:rPr>
          <w:rFonts w:hint="eastAsia" w:ascii="方正仿宋_GBK" w:hAnsi="方正仿宋_GBK" w:eastAsia="方正仿宋_GBK" w:cs="方正仿宋_GBK"/>
          <w:b w:val="0"/>
          <w:bCs w:val="0"/>
          <w:sz w:val="32"/>
          <w:szCs w:val="32"/>
        </w:rPr>
        <w:t>吨，也与这一判断高度一致。</w:t>
      </w:r>
    </w:p>
    <w:p w14:paraId="5255B08F">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当前黄金市场的一个重要特征是投机资金情绪处于相对低位。</w:t>
      </w:r>
      <w:r>
        <w:rPr>
          <w:rFonts w:hint="eastAsia" w:ascii="Times New Roman" w:hAnsi="Times New Roman" w:eastAsia="方正仿宋_GBK" w:cs="Times New Roman"/>
          <w:b w:val="0"/>
          <w:bCs w:val="0"/>
          <w:sz w:val="32"/>
          <w:szCs w:val="32"/>
        </w:rPr>
        <w:t>COMEX</w:t>
      </w:r>
      <w:r>
        <w:rPr>
          <w:rFonts w:hint="eastAsia" w:ascii="方正仿宋_GBK" w:hAnsi="方正仿宋_GBK" w:eastAsia="方正仿宋_GBK" w:cs="方正仿宋_GBK"/>
          <w:b w:val="0"/>
          <w:bCs w:val="0"/>
          <w:sz w:val="32"/>
          <w:szCs w:val="32"/>
        </w:rPr>
        <w:t>黄金净投机持仓处于历史</w:t>
      </w:r>
      <w:r>
        <w:rPr>
          <w:rFonts w:hint="eastAsia" w:ascii="Times New Roman" w:hAnsi="Times New Roman" w:eastAsia="方正仿宋_GBK" w:cs="Times New Roman"/>
          <w:b w:val="0"/>
          <w:bCs w:val="0"/>
          <w:sz w:val="32"/>
          <w:szCs w:val="32"/>
        </w:rPr>
        <w:t>41</w:t>
      </w:r>
      <w:r>
        <w:rPr>
          <w:rFonts w:hint="eastAsia" w:ascii="方正仿宋_GBK" w:hAnsi="方正仿宋_GBK" w:eastAsia="方正仿宋_GBK" w:cs="方正仿宋_GBK"/>
          <w:b w:val="0"/>
          <w:bCs w:val="0"/>
          <w:sz w:val="32"/>
          <w:szCs w:val="32"/>
        </w:rPr>
        <w:t>分位（中等偏下水平）。这意味着对冲基金等投机性资金并未过度看多，市场没有出现“扎堆炒作”的泡沫现象。</w:t>
      </w:r>
    </w:p>
    <w:p w14:paraId="1DED281C">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这一局面反而为黄金价格提供了坚实底部：在投机资金不拥挤的情况下，各国央行的持续增持成为价格的“压舱石”。一旦中东局势缓和、美联储重启降息周期，宽松的流动性环境将进一步转化为金价的支撑力量。</w:t>
      </w:r>
    </w:p>
    <w:p w14:paraId="7C5E2EE3">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中国央行持续</w:t>
      </w:r>
      <w:r>
        <w:rPr>
          <w:rFonts w:hint="eastAsia" w:ascii="Times New Roman" w:hAnsi="Times New Roman" w:eastAsia="方正仿宋_GBK" w:cs="Times New Roman"/>
          <w:b w:val="0"/>
          <w:bCs w:val="0"/>
          <w:sz w:val="32"/>
          <w:szCs w:val="32"/>
        </w:rPr>
        <w:t>18</w:t>
      </w:r>
      <w:r>
        <w:rPr>
          <w:rFonts w:hint="eastAsia" w:ascii="方正仿宋_GBK" w:hAnsi="方正仿宋_GBK" w:eastAsia="方正仿宋_GBK" w:cs="方正仿宋_GBK"/>
          <w:b w:val="0"/>
          <w:bCs w:val="0"/>
          <w:sz w:val="32"/>
          <w:szCs w:val="32"/>
        </w:rPr>
        <w:t>个月增持黄金，并非孤立动作，而是与人民币国际化进程高度协同的战略布局。</w:t>
      </w:r>
    </w:p>
    <w:p w14:paraId="0C86B8E0">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仿宋_GBK" w:hAnsi="方正仿宋_GBK" w:eastAsia="方正仿宋_GBK" w:cs="方正仿宋_GBK"/>
          <w:b w:val="0"/>
          <w:bCs w:val="0"/>
          <w:sz w:val="32"/>
          <w:szCs w:val="32"/>
        </w:rPr>
      </w:pPr>
      <w:r>
        <w:rPr>
          <w:rFonts w:hint="eastAsia" w:ascii="Times New Roman" w:hAnsi="Times New Roman" w:eastAsia="方正仿宋_GBK" w:cs="Times New Roman"/>
          <w:b w:val="0"/>
          <w:bCs w:val="0"/>
          <w:sz w:val="32"/>
          <w:szCs w:val="32"/>
        </w:rPr>
        <w:t>CIPS</w:t>
      </w:r>
      <w:r>
        <w:rPr>
          <w:rFonts w:hint="eastAsia" w:ascii="方正仿宋_GBK" w:hAnsi="方正仿宋_GBK" w:eastAsia="方正仿宋_GBK" w:cs="方正仿宋_GBK"/>
          <w:b w:val="0"/>
          <w:bCs w:val="0"/>
          <w:sz w:val="32"/>
          <w:szCs w:val="32"/>
        </w:rPr>
        <w:t>、</w:t>
      </w:r>
      <w:r>
        <w:rPr>
          <w:rFonts w:hint="eastAsia" w:ascii="Times New Roman" w:hAnsi="Times New Roman" w:eastAsia="方正仿宋_GBK" w:cs="Times New Roman"/>
          <w:b w:val="0"/>
          <w:bCs w:val="0"/>
          <w:sz w:val="32"/>
          <w:szCs w:val="32"/>
        </w:rPr>
        <w:t>mBridge</w:t>
      </w:r>
      <w:r>
        <w:rPr>
          <w:rFonts w:hint="eastAsia" w:ascii="方正仿宋_GBK" w:hAnsi="方正仿宋_GBK" w:eastAsia="方正仿宋_GBK" w:cs="方正仿宋_GBK"/>
          <w:b w:val="0"/>
          <w:bCs w:val="0"/>
          <w:sz w:val="32"/>
          <w:szCs w:val="32"/>
        </w:rPr>
        <w:t>等跨境支付基础设施的快速发展，正在贸易结算和资本流动层面降低对单一货币的依赖；而黄金作为平行储备资产，则在国家主权层面增强了整个货币金融体系的韧性和信用。二者共同构成“支付通道+储备锚定”的双轮驱动模式：前者让资金“走得通、走得快”，后者让储备“扛得住、稳得住”，形成相互支撑的完整体系。</w:t>
      </w:r>
    </w:p>
    <w:p w14:paraId="65724BB0">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这一趋势的本质，是各国在全球不确定性上升的环境下，对金融自主权和风险分散的理性追求。过去依赖单一货币的模式，正在被更均衡、更具弹性的多元化配置所取代。随着全球央行购金趋势的延续，黄金将继续扮演国际金融体系“稳定器”的角色。中国作为全球最大的黄金生产国和重要消费国，在这一进程中既是积极参与者，也是重要的推动力量。</w:t>
      </w:r>
    </w:p>
    <w:p w14:paraId="3C26A148">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从香港随处可见的茶餐厅里越来越多的</w:t>
      </w:r>
      <w:r>
        <w:rPr>
          <w:rFonts w:hint="eastAsia" w:ascii="Times New Roman" w:hAnsi="Times New Roman" w:eastAsia="方正仿宋_GBK" w:cs="Times New Roman"/>
          <w:b w:val="0"/>
          <w:bCs w:val="0"/>
          <w:sz w:val="32"/>
          <w:szCs w:val="32"/>
        </w:rPr>
        <w:t>e-CNY</w:t>
      </w:r>
      <w:r>
        <w:rPr>
          <w:rFonts w:hint="eastAsia" w:ascii="方正仿宋_GBK" w:hAnsi="方正仿宋_GBK" w:eastAsia="方正仿宋_GBK" w:cs="方正仿宋_GBK"/>
          <w:b w:val="0"/>
          <w:bCs w:val="0"/>
          <w:sz w:val="32"/>
          <w:szCs w:val="32"/>
        </w:rPr>
        <w:t>支付标识，到中东石油贸易中逐步扩大的人民币结算安排，再到各国央行持续增加的黄金储备——平行金融基础设施建设与储备资产多元化，正共同绘制出一幅更均衡、更具韧性的国际金融新图景。</w:t>
      </w:r>
    </w:p>
    <w:p w14:paraId="7C1287A5">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一组看似普通的黄金储备数据，背后却是全球货币体系正在发生的悄然重塑。而这，或许只是更大故事的最新篇章。</w:t>
      </w:r>
    </w:p>
    <w:p w14:paraId="29BCBDBC">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976" w:firstLineChars="1400"/>
        <w:contextualSpacing/>
        <w:jc w:val="left"/>
        <w:textAlignment w:val="auto"/>
        <w:outlineLvl w:val="1"/>
        <w:rPr>
          <w:rFonts w:hint="default" w:ascii="Times New Roman" w:hAnsi="Times New Roman" w:eastAsia="方正楷体_GBK" w:cs="方正楷体_GBK"/>
          <w:b/>
          <w:bCs/>
          <w:color w:val="FF0000"/>
          <w:spacing w:val="0"/>
          <w:kern w:val="2"/>
          <w:sz w:val="30"/>
          <w:szCs w:val="30"/>
          <w:lang w:val="en-US" w:eastAsia="zh-CN" w:bidi="ar-SA"/>
        </w:rPr>
      </w:pPr>
      <w:r>
        <w:rPr>
          <w:rFonts w:hint="default" w:ascii="Times New Roman" w:hAnsi="Times New Roman" w:eastAsia="方正楷体_GBK" w:cs="方正楷体_GBK"/>
          <w:b/>
          <w:bCs/>
          <w:color w:val="FF0000"/>
          <w:spacing w:val="0"/>
          <w:kern w:val="2"/>
          <w:sz w:val="30"/>
          <w:szCs w:val="30"/>
          <w:lang w:val="en-US" w:eastAsia="zh-CN" w:bidi="ar-SA"/>
        </w:rPr>
        <w:t>（</w:t>
      </w:r>
      <w:r>
        <w:rPr>
          <w:rFonts w:hint="eastAsia" w:ascii="Times New Roman" w:hAnsi="Times New Roman" w:eastAsia="方正楷体_GBK" w:cs="方正楷体_GBK"/>
          <w:b/>
          <w:bCs/>
          <w:color w:val="FF0000"/>
          <w:spacing w:val="0"/>
          <w:kern w:val="2"/>
          <w:sz w:val="30"/>
          <w:szCs w:val="30"/>
          <w:lang w:val="en-US" w:eastAsia="zh-CN" w:bidi="ar-SA"/>
        </w:rPr>
        <w:t>发展研究部 周斌、左亮</w:t>
      </w:r>
      <w:r>
        <w:rPr>
          <w:rFonts w:hint="default" w:ascii="Times New Roman" w:hAnsi="Times New Roman" w:eastAsia="方正楷体_GBK" w:cs="方正楷体_GBK"/>
          <w:b/>
          <w:bCs/>
          <w:color w:val="FF0000"/>
          <w:spacing w:val="0"/>
          <w:kern w:val="2"/>
          <w:sz w:val="30"/>
          <w:szCs w:val="30"/>
          <w:lang w:val="en-US" w:eastAsia="zh-CN" w:bidi="ar-SA"/>
        </w:rPr>
        <w:t>）</w:t>
      </w:r>
    </w:p>
    <w:p w14:paraId="0B3A7F39">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124" w:firstLineChars="1100"/>
        <w:contextualSpacing/>
        <w:jc w:val="left"/>
        <w:textAlignment w:val="auto"/>
        <w:outlineLvl w:val="1"/>
        <w:rPr>
          <w:rFonts w:hint="default" w:ascii="Times New Roman" w:hAnsi="Times New Roman" w:eastAsia="方正楷体_GBK" w:cs="方正楷体_GBK"/>
          <w:b/>
          <w:bCs/>
          <w:color w:val="FF0000"/>
          <w:spacing w:val="0"/>
          <w:kern w:val="2"/>
          <w:sz w:val="30"/>
          <w:szCs w:val="30"/>
          <w:lang w:val="en-US" w:eastAsia="zh-CN" w:bidi="ar-SA"/>
        </w:rPr>
      </w:pPr>
    </w:p>
    <w:p w14:paraId="29E88755">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124" w:firstLineChars="1100"/>
        <w:contextualSpacing/>
        <w:jc w:val="left"/>
        <w:textAlignment w:val="auto"/>
        <w:outlineLvl w:val="1"/>
        <w:rPr>
          <w:rFonts w:hint="default" w:ascii="Times New Roman" w:hAnsi="Times New Roman" w:eastAsia="方正楷体_GBK" w:cs="方正楷体_GBK"/>
          <w:b/>
          <w:bCs/>
          <w:color w:val="FF0000"/>
          <w:spacing w:val="0"/>
          <w:kern w:val="2"/>
          <w:sz w:val="30"/>
          <w:szCs w:val="30"/>
          <w:lang w:val="en-US" w:eastAsia="zh-CN" w:bidi="ar-SA"/>
        </w:rPr>
      </w:pPr>
    </w:p>
    <w:p w14:paraId="14D8ED2E">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124" w:firstLineChars="1100"/>
        <w:contextualSpacing/>
        <w:jc w:val="left"/>
        <w:textAlignment w:val="auto"/>
        <w:outlineLvl w:val="1"/>
        <w:rPr>
          <w:rFonts w:hint="default" w:ascii="Times New Roman" w:hAnsi="Times New Roman" w:eastAsia="方正楷体_GBK" w:cs="方正楷体_GBK"/>
          <w:b/>
          <w:bCs/>
          <w:color w:val="FF0000"/>
          <w:spacing w:val="0"/>
          <w:kern w:val="2"/>
          <w:sz w:val="30"/>
          <w:szCs w:val="30"/>
          <w:lang w:val="en-US" w:eastAsia="zh-CN" w:bidi="ar-SA"/>
        </w:rPr>
      </w:pPr>
    </w:p>
    <w:p w14:paraId="532D82B6">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124" w:firstLineChars="1100"/>
        <w:contextualSpacing/>
        <w:jc w:val="left"/>
        <w:textAlignment w:val="auto"/>
        <w:outlineLvl w:val="1"/>
        <w:rPr>
          <w:rFonts w:hint="default" w:ascii="Times New Roman" w:hAnsi="Times New Roman" w:eastAsia="方正楷体_GBK" w:cs="方正楷体_GBK"/>
          <w:b/>
          <w:bCs/>
          <w:color w:val="FF0000"/>
          <w:spacing w:val="0"/>
          <w:kern w:val="2"/>
          <w:sz w:val="30"/>
          <w:szCs w:val="30"/>
          <w:lang w:val="en-US" w:eastAsia="zh-CN" w:bidi="ar-SA"/>
        </w:rPr>
      </w:pPr>
    </w:p>
    <w:p w14:paraId="776DC8DE">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124" w:firstLineChars="1100"/>
        <w:contextualSpacing/>
        <w:jc w:val="left"/>
        <w:textAlignment w:val="auto"/>
        <w:outlineLvl w:val="1"/>
        <w:rPr>
          <w:rFonts w:hint="default" w:ascii="Times New Roman" w:hAnsi="Times New Roman" w:eastAsia="方正楷体_GBK" w:cs="方正楷体_GBK"/>
          <w:b/>
          <w:bCs/>
          <w:color w:val="FF0000"/>
          <w:spacing w:val="0"/>
          <w:kern w:val="2"/>
          <w:sz w:val="30"/>
          <w:szCs w:val="30"/>
          <w:lang w:val="en-US" w:eastAsia="zh-CN" w:bidi="ar-SA"/>
        </w:rPr>
      </w:pPr>
    </w:p>
    <w:p w14:paraId="172E3E3A">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124" w:firstLineChars="1100"/>
        <w:contextualSpacing/>
        <w:jc w:val="left"/>
        <w:textAlignment w:val="auto"/>
        <w:outlineLvl w:val="1"/>
        <w:rPr>
          <w:rFonts w:hint="default" w:ascii="Times New Roman" w:hAnsi="Times New Roman" w:eastAsia="方正楷体_GBK" w:cs="方正楷体_GBK"/>
          <w:b/>
          <w:bCs/>
          <w:color w:val="FF0000"/>
          <w:spacing w:val="0"/>
          <w:kern w:val="2"/>
          <w:sz w:val="30"/>
          <w:szCs w:val="30"/>
          <w:lang w:val="en-US" w:eastAsia="zh-CN" w:bidi="ar-SA"/>
        </w:rPr>
      </w:pPr>
    </w:p>
    <w:p w14:paraId="232FC60F">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124" w:firstLineChars="1100"/>
        <w:contextualSpacing/>
        <w:jc w:val="left"/>
        <w:textAlignment w:val="auto"/>
        <w:outlineLvl w:val="1"/>
        <w:rPr>
          <w:rFonts w:hint="default" w:ascii="Times New Roman" w:hAnsi="Times New Roman" w:eastAsia="方正楷体_GBK" w:cs="方正楷体_GBK"/>
          <w:b/>
          <w:bCs/>
          <w:color w:val="FF0000"/>
          <w:spacing w:val="0"/>
          <w:kern w:val="2"/>
          <w:sz w:val="30"/>
          <w:szCs w:val="30"/>
          <w:lang w:val="en-US" w:eastAsia="zh-CN" w:bidi="ar-SA"/>
        </w:rPr>
      </w:pPr>
    </w:p>
    <w:p w14:paraId="7EB7E639">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124" w:firstLineChars="1100"/>
        <w:contextualSpacing/>
        <w:jc w:val="left"/>
        <w:textAlignment w:val="auto"/>
        <w:outlineLvl w:val="1"/>
        <w:rPr>
          <w:rFonts w:hint="default" w:ascii="Times New Roman" w:hAnsi="Times New Roman" w:eastAsia="方正楷体_GBK" w:cs="方正楷体_GBK"/>
          <w:b/>
          <w:bCs/>
          <w:color w:val="FF0000"/>
          <w:spacing w:val="0"/>
          <w:kern w:val="2"/>
          <w:sz w:val="30"/>
          <w:szCs w:val="30"/>
          <w:lang w:val="en-US" w:eastAsia="zh-CN" w:bidi="ar-SA"/>
        </w:rPr>
      </w:pPr>
    </w:p>
    <w:p w14:paraId="30AF11C8">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124" w:firstLineChars="1100"/>
        <w:contextualSpacing/>
        <w:jc w:val="left"/>
        <w:textAlignment w:val="auto"/>
        <w:outlineLvl w:val="1"/>
        <w:rPr>
          <w:rFonts w:hint="default" w:ascii="Times New Roman" w:hAnsi="Times New Roman" w:eastAsia="方正楷体_GBK" w:cs="方正楷体_GBK"/>
          <w:b/>
          <w:bCs/>
          <w:color w:val="FF0000"/>
          <w:spacing w:val="0"/>
          <w:kern w:val="2"/>
          <w:sz w:val="30"/>
          <w:szCs w:val="30"/>
          <w:lang w:val="en-US" w:eastAsia="zh-CN" w:bidi="ar-SA"/>
        </w:rPr>
      </w:pPr>
    </w:p>
    <w:p w14:paraId="212B3752">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124" w:firstLineChars="1100"/>
        <w:contextualSpacing/>
        <w:jc w:val="left"/>
        <w:textAlignment w:val="auto"/>
        <w:outlineLvl w:val="1"/>
        <w:rPr>
          <w:rFonts w:hint="default" w:ascii="Times New Roman" w:hAnsi="Times New Roman" w:eastAsia="方正楷体_GBK" w:cs="方正楷体_GBK"/>
          <w:b/>
          <w:bCs/>
          <w:color w:val="FF0000"/>
          <w:spacing w:val="0"/>
          <w:kern w:val="2"/>
          <w:sz w:val="30"/>
          <w:szCs w:val="30"/>
          <w:lang w:val="en-US" w:eastAsia="zh-CN" w:bidi="ar-SA"/>
        </w:rPr>
      </w:pPr>
    </w:p>
    <w:p w14:paraId="5DD5AA3C">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124" w:firstLineChars="1100"/>
        <w:contextualSpacing/>
        <w:jc w:val="left"/>
        <w:textAlignment w:val="auto"/>
        <w:outlineLvl w:val="1"/>
        <w:rPr>
          <w:rFonts w:hint="default" w:ascii="Times New Roman" w:hAnsi="Times New Roman" w:eastAsia="方正楷体_GBK" w:cs="方正楷体_GBK"/>
          <w:b/>
          <w:bCs/>
          <w:color w:val="FF0000"/>
          <w:spacing w:val="0"/>
          <w:kern w:val="2"/>
          <w:sz w:val="30"/>
          <w:szCs w:val="30"/>
          <w:lang w:val="en-US" w:eastAsia="zh-CN" w:bidi="ar-SA"/>
        </w:rPr>
      </w:pPr>
    </w:p>
    <w:p w14:paraId="16FC2002">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124" w:firstLineChars="1100"/>
        <w:contextualSpacing/>
        <w:jc w:val="left"/>
        <w:textAlignment w:val="auto"/>
        <w:outlineLvl w:val="1"/>
        <w:rPr>
          <w:rFonts w:hint="default" w:ascii="Times New Roman" w:hAnsi="Times New Roman" w:eastAsia="方正楷体_GBK" w:cs="方正楷体_GBK"/>
          <w:b/>
          <w:bCs/>
          <w:color w:val="FF0000"/>
          <w:spacing w:val="0"/>
          <w:kern w:val="2"/>
          <w:sz w:val="30"/>
          <w:szCs w:val="30"/>
          <w:lang w:val="en-US" w:eastAsia="zh-CN" w:bidi="ar-SA"/>
        </w:rPr>
      </w:pPr>
    </w:p>
    <w:p w14:paraId="547FAB78">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124" w:firstLineChars="1100"/>
        <w:contextualSpacing/>
        <w:jc w:val="left"/>
        <w:textAlignment w:val="auto"/>
        <w:outlineLvl w:val="1"/>
        <w:rPr>
          <w:rFonts w:hint="default" w:ascii="Times New Roman" w:hAnsi="Times New Roman" w:eastAsia="方正楷体_GBK" w:cs="方正楷体_GBK"/>
          <w:b/>
          <w:bCs/>
          <w:color w:val="FF0000"/>
          <w:spacing w:val="0"/>
          <w:kern w:val="2"/>
          <w:sz w:val="30"/>
          <w:szCs w:val="30"/>
          <w:lang w:val="en-US" w:eastAsia="zh-CN" w:bidi="ar-SA"/>
        </w:rPr>
      </w:pPr>
    </w:p>
    <w:p w14:paraId="02C708F2">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124" w:firstLineChars="1100"/>
        <w:contextualSpacing/>
        <w:jc w:val="left"/>
        <w:textAlignment w:val="auto"/>
        <w:outlineLvl w:val="1"/>
        <w:rPr>
          <w:rFonts w:hint="default" w:ascii="Times New Roman" w:hAnsi="Times New Roman" w:eastAsia="方正楷体_GBK" w:cs="方正楷体_GBK"/>
          <w:b/>
          <w:bCs/>
          <w:color w:val="FF0000"/>
          <w:spacing w:val="0"/>
          <w:kern w:val="2"/>
          <w:sz w:val="30"/>
          <w:szCs w:val="30"/>
          <w:lang w:val="en-US" w:eastAsia="zh-CN" w:bidi="ar-SA"/>
        </w:rPr>
      </w:pPr>
    </w:p>
    <w:p w14:paraId="751E9C6C">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124" w:firstLineChars="1100"/>
        <w:contextualSpacing/>
        <w:jc w:val="left"/>
        <w:textAlignment w:val="auto"/>
        <w:outlineLvl w:val="1"/>
        <w:rPr>
          <w:rFonts w:hint="default" w:ascii="Times New Roman" w:hAnsi="Times New Roman" w:eastAsia="方正楷体_GBK" w:cs="方正楷体_GBK"/>
          <w:b/>
          <w:bCs/>
          <w:color w:val="FF0000"/>
          <w:spacing w:val="0"/>
          <w:kern w:val="2"/>
          <w:sz w:val="30"/>
          <w:szCs w:val="30"/>
          <w:lang w:val="en-US" w:eastAsia="zh-CN" w:bidi="ar-SA"/>
        </w:rPr>
      </w:pPr>
    </w:p>
    <w:p w14:paraId="7D614175">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color w:val="2E75B6" w:themeColor="accent1" w:themeShade="BF"/>
          <w:kern w:val="36"/>
          <w:sz w:val="96"/>
          <w:szCs w:val="96"/>
          <w:u w:val="none" w:color="BB120F"/>
          <w:lang w:val="en-US" w:eastAsia="zh-CN"/>
        </w:rPr>
      </w:pPr>
      <w:r>
        <w:rPr>
          <w:rFonts w:hint="default" w:ascii="Times New Roman" w:hAnsi="Times New Roman" w:eastAsia="经典行楷简" w:cs="Times New Roman"/>
          <w:b/>
          <w:color w:val="2E75B6" w:themeColor="accent1" w:themeShade="BF"/>
          <w:kern w:val="36"/>
          <w:sz w:val="96"/>
          <w:szCs w:val="96"/>
          <w:u w:val="none" w:color="BB120F"/>
          <w:lang w:val="en-US" w:eastAsia="zh-CN"/>
        </w:rPr>
        <w:t>会员企业风采</w:t>
      </w:r>
    </w:p>
    <w:p w14:paraId="467C4C87">
      <w:pPr>
        <w:keepNext w:val="0"/>
        <w:keepLines w:val="0"/>
        <w:pageBreakBefore w:val="0"/>
        <w:widowControl/>
        <w:kinsoku/>
        <w:wordWrap/>
        <w:overflowPunct/>
        <w:topLinePunct w:val="0"/>
        <w:autoSpaceDE/>
        <w:autoSpaceDN/>
        <w:bidi w:val="0"/>
        <w:adjustRightInd/>
        <w:snapToGrid/>
        <w:spacing w:line="440" w:lineRule="exact"/>
        <w:jc w:val="center"/>
        <w:textAlignment w:val="auto"/>
        <w:outlineLvl w:val="9"/>
        <w:rPr>
          <w:rFonts w:hint="eastAsia" w:ascii="Times New Roman" w:hAnsi="Times New Roman" w:eastAsia="华文新魏" w:cs="Times New Roman"/>
          <w:b/>
          <w:bCs w:val="0"/>
          <w:color w:val="FF0000"/>
          <w:spacing w:val="-45"/>
          <w:kern w:val="36"/>
          <w:sz w:val="44"/>
          <w:szCs w:val="44"/>
          <w:lang w:val="en-US" w:eastAsia="zh-CN" w:bidi="ar-SA"/>
        </w:rPr>
      </w:pPr>
      <w:r>
        <w:rPr>
          <w:rFonts w:hint="eastAsia" w:ascii="Times New Roman" w:hAnsi="Times New Roman" w:eastAsia="华文新魏" w:cs="Times New Roman"/>
          <w:b/>
          <w:bCs w:val="0"/>
          <w:color w:val="FF0000"/>
          <w:spacing w:val="0"/>
          <w:kern w:val="36"/>
          <w:sz w:val="44"/>
          <w:szCs w:val="44"/>
          <w:lang w:val="en-US" w:eastAsia="zh-CN" w:bidi="ar-SA"/>
        </w:rPr>
        <w:t>苏豪控股集团与无锡市人民政府签署“十五五”战略合作框架协议</w:t>
      </w:r>
    </w:p>
    <w:p w14:paraId="2BE43B91">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lang w:val="en-US" w:eastAsia="zh-CN"/>
        </w:rPr>
      </w:pPr>
      <w:r>
        <w:rPr>
          <w:rFonts w:hint="eastAsia" w:ascii="Times New Roman" w:hAnsi="Times New Roman" w:eastAsia="方正仿宋_GBK" w:cs="Times New Roman"/>
          <w:b w:val="0"/>
          <w:bCs w:val="0"/>
          <w:sz w:val="32"/>
          <w:szCs w:val="32"/>
          <w:lang w:val="en-US" w:eastAsia="zh-CN"/>
        </w:rPr>
        <w:t>近日，我会副会长单位——江苏省苏豪控股集团有限公司与无锡市人民政府签署“十五五”战略合作框架协议。</w:t>
      </w:r>
    </w:p>
    <w:p w14:paraId="5E5F1AAF">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default" w:ascii="Times New Roman" w:hAnsi="Times New Roman" w:eastAsia="方正仿宋_GBK" w:cs="Times New Roman"/>
          <w:b w:val="0"/>
          <w:bCs w:val="0"/>
          <w:sz w:val="32"/>
          <w:szCs w:val="32"/>
          <w:lang w:val="en-US" w:eastAsia="zh-CN"/>
        </w:rPr>
      </w:pPr>
      <w:r>
        <w:rPr>
          <w:rFonts w:hint="eastAsia" w:ascii="Times New Roman" w:hAnsi="Times New Roman" w:eastAsia="方正仿宋_GBK" w:cs="Times New Roman"/>
          <w:b w:val="0"/>
          <w:bCs w:val="0"/>
          <w:sz w:val="32"/>
          <w:szCs w:val="32"/>
          <w:lang w:val="en-US" w:eastAsia="zh-CN"/>
        </w:rPr>
        <w:t>根据此次签署的战略合作协议，“十五五”期间，双方将进一步完善沟通协调机制，重点围绕跨境贸易、电子商务、产业拓展、服务企业“走出去”、金融投资、科创人才等领域，不断紧密双方战略层面对接，推动互利共赢合作结出更丰硕成果。</w:t>
      </w:r>
    </w:p>
    <w:p w14:paraId="0AF33A10">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976" w:firstLineChars="1400"/>
        <w:contextualSpacing/>
        <w:jc w:val="left"/>
        <w:textAlignment w:val="auto"/>
        <w:outlineLvl w:val="1"/>
        <w:rPr>
          <w:rFonts w:hint="eastAsia" w:ascii="Times New Roman" w:hAnsi="Times New Roman" w:eastAsia="方正楷体_GBK" w:cs="方正楷体_GBK"/>
          <w:b/>
          <w:bCs/>
          <w:color w:val="FF0000"/>
          <w:spacing w:val="0"/>
          <w:kern w:val="2"/>
          <w:sz w:val="30"/>
          <w:szCs w:val="30"/>
          <w:lang w:val="en-US" w:eastAsia="zh-CN" w:bidi="ar-SA"/>
        </w:rPr>
      </w:pPr>
      <w:r>
        <w:rPr>
          <w:rFonts w:hint="default" w:ascii="Times New Roman" w:hAnsi="Times New Roman" w:eastAsia="方正楷体_GBK" w:cs="方正楷体_GBK"/>
          <w:b/>
          <w:bCs/>
          <w:color w:val="FF0000"/>
          <w:spacing w:val="0"/>
          <w:kern w:val="2"/>
          <w:sz w:val="30"/>
          <w:szCs w:val="30"/>
          <w:lang w:val="en-US" w:eastAsia="zh-CN" w:bidi="ar-SA"/>
        </w:rPr>
        <w:t>（来源</w:t>
      </w:r>
      <w:r>
        <w:rPr>
          <w:rFonts w:hint="eastAsia" w:ascii="Times New Roman" w:hAnsi="Times New Roman" w:eastAsia="方正楷体_GBK" w:cs="方正楷体_GBK"/>
          <w:b/>
          <w:bCs/>
          <w:color w:val="FF0000"/>
          <w:spacing w:val="0"/>
          <w:kern w:val="2"/>
          <w:sz w:val="30"/>
          <w:szCs w:val="30"/>
          <w:lang w:val="en-US" w:eastAsia="zh-CN" w:bidi="ar-SA"/>
        </w:rPr>
        <w:t>：苏豪控股集团官网）</w:t>
      </w:r>
    </w:p>
    <w:p w14:paraId="57A69FAB">
      <w:pPr>
        <w:keepNext w:val="0"/>
        <w:keepLines w:val="0"/>
        <w:pageBreakBefore w:val="0"/>
        <w:widowControl/>
        <w:kinsoku/>
        <w:wordWrap/>
        <w:overflowPunct/>
        <w:topLinePunct w:val="0"/>
        <w:autoSpaceDE/>
        <w:autoSpaceDN/>
        <w:bidi w:val="0"/>
        <w:adjustRightInd/>
        <w:snapToGrid/>
        <w:spacing w:line="440" w:lineRule="exact"/>
        <w:jc w:val="right"/>
        <w:textAlignment w:val="auto"/>
        <w:outlineLvl w:val="9"/>
        <w:rPr>
          <w:rFonts w:hint="eastAsia" w:ascii="Times New Roman" w:hAnsi="Times New Roman" w:eastAsia="方正楷体_GBK" w:cs="Times New Roman"/>
          <w:b w:val="0"/>
          <w:bCs/>
          <w:kern w:val="0"/>
          <w:sz w:val="32"/>
          <w:szCs w:val="32"/>
          <w:lang w:val="en-US" w:eastAsia="zh-CN" w:bidi="ar-SA"/>
        </w:rPr>
      </w:pPr>
    </w:p>
    <w:p w14:paraId="6654E8DF">
      <w:pPr>
        <w:keepNext w:val="0"/>
        <w:keepLines w:val="0"/>
        <w:pageBreakBefore w:val="0"/>
        <w:widowControl/>
        <w:kinsoku/>
        <w:wordWrap/>
        <w:overflowPunct/>
        <w:topLinePunct w:val="0"/>
        <w:autoSpaceDE/>
        <w:autoSpaceDN/>
        <w:bidi w:val="0"/>
        <w:adjustRightInd/>
        <w:snapToGrid/>
        <w:spacing w:line="440" w:lineRule="exact"/>
        <w:jc w:val="right"/>
        <w:textAlignment w:val="auto"/>
        <w:outlineLvl w:val="9"/>
        <w:rPr>
          <w:rFonts w:hint="eastAsia" w:ascii="Times New Roman" w:hAnsi="Times New Roman" w:eastAsia="方正楷体_GBK" w:cs="Times New Roman"/>
          <w:b w:val="0"/>
          <w:bCs/>
          <w:kern w:val="0"/>
          <w:sz w:val="32"/>
          <w:szCs w:val="32"/>
          <w:lang w:val="en-US" w:eastAsia="zh-CN" w:bidi="ar-SA"/>
        </w:rPr>
      </w:pPr>
    </w:p>
    <w:p w14:paraId="2E029CF3">
      <w:pPr>
        <w:keepNext w:val="0"/>
        <w:keepLines w:val="0"/>
        <w:pageBreakBefore w:val="0"/>
        <w:widowControl/>
        <w:kinsoku/>
        <w:wordWrap/>
        <w:overflowPunct/>
        <w:topLinePunct w:val="0"/>
        <w:autoSpaceDE/>
        <w:autoSpaceDN/>
        <w:bidi w:val="0"/>
        <w:adjustRightInd/>
        <w:snapToGrid/>
        <w:spacing w:line="440" w:lineRule="exact"/>
        <w:jc w:val="right"/>
        <w:textAlignment w:val="auto"/>
        <w:outlineLvl w:val="9"/>
        <w:rPr>
          <w:rFonts w:hint="eastAsia" w:ascii="Times New Roman" w:hAnsi="Times New Roman" w:eastAsia="方正楷体_GBK" w:cs="Times New Roman"/>
          <w:b w:val="0"/>
          <w:bCs/>
          <w:kern w:val="0"/>
          <w:sz w:val="32"/>
          <w:szCs w:val="32"/>
          <w:lang w:val="en-US" w:eastAsia="zh-CN" w:bidi="ar-SA"/>
        </w:rPr>
      </w:pPr>
    </w:p>
    <w:p w14:paraId="5214B3FE">
      <w:pPr>
        <w:keepNext w:val="0"/>
        <w:keepLines w:val="0"/>
        <w:pageBreakBefore w:val="0"/>
        <w:widowControl/>
        <w:kinsoku/>
        <w:wordWrap/>
        <w:overflowPunct/>
        <w:topLinePunct w:val="0"/>
        <w:autoSpaceDE/>
        <w:autoSpaceDN/>
        <w:bidi w:val="0"/>
        <w:adjustRightInd/>
        <w:snapToGrid/>
        <w:spacing w:line="440" w:lineRule="exact"/>
        <w:jc w:val="right"/>
        <w:textAlignment w:val="auto"/>
        <w:outlineLvl w:val="9"/>
        <w:rPr>
          <w:rFonts w:hint="eastAsia" w:ascii="Times New Roman" w:hAnsi="Times New Roman" w:eastAsia="方正楷体_GBK" w:cs="Times New Roman"/>
          <w:b w:val="0"/>
          <w:bCs/>
          <w:kern w:val="0"/>
          <w:sz w:val="32"/>
          <w:szCs w:val="32"/>
          <w:lang w:val="en-US" w:eastAsia="zh-CN" w:bidi="ar-SA"/>
        </w:rPr>
      </w:pPr>
    </w:p>
    <w:p w14:paraId="1ACDF086">
      <w:pPr>
        <w:keepNext w:val="0"/>
        <w:keepLines w:val="0"/>
        <w:pageBreakBefore w:val="0"/>
        <w:widowControl/>
        <w:kinsoku/>
        <w:wordWrap/>
        <w:overflowPunct/>
        <w:topLinePunct w:val="0"/>
        <w:autoSpaceDE/>
        <w:autoSpaceDN/>
        <w:bidi w:val="0"/>
        <w:adjustRightInd/>
        <w:snapToGrid/>
        <w:spacing w:line="440" w:lineRule="exact"/>
        <w:jc w:val="right"/>
        <w:textAlignment w:val="auto"/>
        <w:outlineLvl w:val="9"/>
        <w:rPr>
          <w:rFonts w:hint="eastAsia" w:ascii="Times New Roman" w:hAnsi="Times New Roman" w:eastAsia="方正楷体_GBK" w:cs="Times New Roman"/>
          <w:b w:val="0"/>
          <w:bCs/>
          <w:kern w:val="0"/>
          <w:sz w:val="32"/>
          <w:szCs w:val="32"/>
          <w:lang w:val="en-US" w:eastAsia="zh-CN" w:bidi="ar-SA"/>
        </w:rPr>
      </w:pPr>
    </w:p>
    <w:p w14:paraId="7B1F5D1A">
      <w:pPr>
        <w:keepNext w:val="0"/>
        <w:keepLines w:val="0"/>
        <w:pageBreakBefore w:val="0"/>
        <w:widowControl/>
        <w:kinsoku/>
        <w:wordWrap/>
        <w:overflowPunct/>
        <w:topLinePunct w:val="0"/>
        <w:autoSpaceDE/>
        <w:autoSpaceDN/>
        <w:bidi w:val="0"/>
        <w:adjustRightInd/>
        <w:snapToGrid/>
        <w:spacing w:line="440" w:lineRule="exact"/>
        <w:jc w:val="right"/>
        <w:textAlignment w:val="auto"/>
        <w:outlineLvl w:val="9"/>
        <w:rPr>
          <w:rFonts w:hint="eastAsia" w:ascii="Times New Roman" w:hAnsi="Times New Roman" w:eastAsia="方正楷体_GBK" w:cs="Times New Roman"/>
          <w:b w:val="0"/>
          <w:bCs/>
          <w:kern w:val="0"/>
          <w:sz w:val="32"/>
          <w:szCs w:val="32"/>
          <w:lang w:val="en-US" w:eastAsia="zh-CN" w:bidi="ar-SA"/>
        </w:rPr>
      </w:pPr>
    </w:p>
    <w:p w14:paraId="544F0632">
      <w:pPr>
        <w:keepNext w:val="0"/>
        <w:keepLines w:val="0"/>
        <w:pageBreakBefore w:val="0"/>
        <w:widowControl/>
        <w:kinsoku/>
        <w:wordWrap/>
        <w:overflowPunct/>
        <w:topLinePunct w:val="0"/>
        <w:autoSpaceDE/>
        <w:autoSpaceDN/>
        <w:bidi w:val="0"/>
        <w:adjustRightInd/>
        <w:snapToGrid/>
        <w:spacing w:line="440" w:lineRule="exact"/>
        <w:jc w:val="right"/>
        <w:textAlignment w:val="auto"/>
        <w:outlineLvl w:val="9"/>
        <w:rPr>
          <w:rFonts w:hint="eastAsia" w:ascii="Times New Roman" w:hAnsi="Times New Roman" w:eastAsia="方正楷体_GBK" w:cs="Times New Roman"/>
          <w:b w:val="0"/>
          <w:bCs/>
          <w:kern w:val="0"/>
          <w:sz w:val="32"/>
          <w:szCs w:val="32"/>
          <w:lang w:val="en-US" w:eastAsia="zh-CN" w:bidi="ar-SA"/>
        </w:rPr>
      </w:pPr>
    </w:p>
    <w:p w14:paraId="4A34320B">
      <w:pPr>
        <w:keepNext w:val="0"/>
        <w:keepLines w:val="0"/>
        <w:pageBreakBefore w:val="0"/>
        <w:widowControl/>
        <w:kinsoku/>
        <w:wordWrap/>
        <w:overflowPunct/>
        <w:topLinePunct w:val="0"/>
        <w:autoSpaceDE/>
        <w:autoSpaceDN/>
        <w:bidi w:val="0"/>
        <w:adjustRightInd/>
        <w:snapToGrid/>
        <w:spacing w:line="440" w:lineRule="exact"/>
        <w:jc w:val="right"/>
        <w:textAlignment w:val="auto"/>
        <w:outlineLvl w:val="9"/>
        <w:rPr>
          <w:rFonts w:hint="eastAsia" w:ascii="Times New Roman" w:hAnsi="Times New Roman" w:eastAsia="方正楷体_GBK" w:cs="Times New Roman"/>
          <w:b w:val="0"/>
          <w:bCs/>
          <w:kern w:val="0"/>
          <w:sz w:val="32"/>
          <w:szCs w:val="32"/>
          <w:lang w:val="en-US" w:eastAsia="zh-CN" w:bidi="ar-SA"/>
        </w:rPr>
      </w:pPr>
    </w:p>
    <w:p w14:paraId="7DAAA8FE">
      <w:pPr>
        <w:keepNext w:val="0"/>
        <w:keepLines w:val="0"/>
        <w:pageBreakBefore w:val="0"/>
        <w:widowControl/>
        <w:kinsoku/>
        <w:wordWrap/>
        <w:overflowPunct/>
        <w:topLinePunct w:val="0"/>
        <w:autoSpaceDE/>
        <w:autoSpaceDN/>
        <w:bidi w:val="0"/>
        <w:adjustRightInd/>
        <w:snapToGrid/>
        <w:spacing w:line="440" w:lineRule="exact"/>
        <w:jc w:val="right"/>
        <w:textAlignment w:val="auto"/>
        <w:outlineLvl w:val="9"/>
        <w:rPr>
          <w:rFonts w:hint="eastAsia" w:ascii="Times New Roman" w:hAnsi="Times New Roman" w:eastAsia="方正楷体_GBK" w:cs="Times New Roman"/>
          <w:b w:val="0"/>
          <w:bCs/>
          <w:kern w:val="0"/>
          <w:sz w:val="32"/>
          <w:szCs w:val="32"/>
          <w:lang w:val="en-US" w:eastAsia="zh-CN" w:bidi="ar-SA"/>
        </w:rPr>
      </w:pPr>
    </w:p>
    <w:p w14:paraId="0E887275">
      <w:pPr>
        <w:keepNext w:val="0"/>
        <w:keepLines w:val="0"/>
        <w:pageBreakBefore w:val="0"/>
        <w:widowControl/>
        <w:kinsoku/>
        <w:wordWrap/>
        <w:overflowPunct/>
        <w:topLinePunct w:val="0"/>
        <w:autoSpaceDE/>
        <w:autoSpaceDN/>
        <w:bidi w:val="0"/>
        <w:adjustRightInd/>
        <w:snapToGrid/>
        <w:spacing w:line="440" w:lineRule="exact"/>
        <w:jc w:val="right"/>
        <w:textAlignment w:val="auto"/>
        <w:outlineLvl w:val="9"/>
        <w:rPr>
          <w:rFonts w:hint="eastAsia" w:ascii="Times New Roman" w:hAnsi="Times New Roman" w:eastAsia="方正楷体_GBK" w:cs="Times New Roman"/>
          <w:b w:val="0"/>
          <w:bCs/>
          <w:kern w:val="0"/>
          <w:sz w:val="32"/>
          <w:szCs w:val="32"/>
          <w:lang w:val="en-US" w:eastAsia="zh-CN" w:bidi="ar-SA"/>
        </w:rPr>
      </w:pPr>
    </w:p>
    <w:p w14:paraId="3A6C196F">
      <w:pPr>
        <w:keepNext w:val="0"/>
        <w:keepLines w:val="0"/>
        <w:pageBreakBefore w:val="0"/>
        <w:widowControl/>
        <w:kinsoku/>
        <w:wordWrap/>
        <w:overflowPunct/>
        <w:topLinePunct w:val="0"/>
        <w:autoSpaceDE/>
        <w:autoSpaceDN/>
        <w:bidi w:val="0"/>
        <w:adjustRightInd/>
        <w:snapToGrid/>
        <w:spacing w:line="440" w:lineRule="exact"/>
        <w:jc w:val="right"/>
        <w:textAlignment w:val="auto"/>
        <w:outlineLvl w:val="9"/>
        <w:rPr>
          <w:rFonts w:hint="eastAsia" w:ascii="Times New Roman" w:hAnsi="Times New Roman" w:eastAsia="方正楷体_GBK" w:cs="Times New Roman"/>
          <w:b w:val="0"/>
          <w:bCs/>
          <w:kern w:val="0"/>
          <w:sz w:val="32"/>
          <w:szCs w:val="32"/>
          <w:lang w:val="en-US" w:eastAsia="zh-CN" w:bidi="ar-SA"/>
        </w:rPr>
      </w:pPr>
    </w:p>
    <w:p w14:paraId="54269612">
      <w:pPr>
        <w:keepNext w:val="0"/>
        <w:keepLines w:val="0"/>
        <w:pageBreakBefore w:val="0"/>
        <w:widowControl/>
        <w:kinsoku/>
        <w:wordWrap/>
        <w:overflowPunct/>
        <w:topLinePunct w:val="0"/>
        <w:autoSpaceDE/>
        <w:autoSpaceDN/>
        <w:bidi w:val="0"/>
        <w:adjustRightInd/>
        <w:snapToGrid/>
        <w:spacing w:line="440" w:lineRule="exact"/>
        <w:jc w:val="right"/>
        <w:textAlignment w:val="auto"/>
        <w:outlineLvl w:val="9"/>
        <w:rPr>
          <w:rFonts w:hint="eastAsia" w:ascii="Times New Roman" w:hAnsi="Times New Roman" w:eastAsia="方正楷体_GBK" w:cs="Times New Roman"/>
          <w:b w:val="0"/>
          <w:bCs/>
          <w:kern w:val="0"/>
          <w:sz w:val="32"/>
          <w:szCs w:val="32"/>
          <w:lang w:val="en-US" w:eastAsia="zh-CN" w:bidi="ar-SA"/>
        </w:rPr>
      </w:pPr>
    </w:p>
    <w:p w14:paraId="18AB3F94">
      <w:pPr>
        <w:keepNext w:val="0"/>
        <w:keepLines w:val="0"/>
        <w:pageBreakBefore w:val="0"/>
        <w:widowControl/>
        <w:kinsoku/>
        <w:wordWrap/>
        <w:overflowPunct/>
        <w:topLinePunct w:val="0"/>
        <w:autoSpaceDE/>
        <w:autoSpaceDN/>
        <w:bidi w:val="0"/>
        <w:adjustRightInd/>
        <w:snapToGrid/>
        <w:spacing w:line="440" w:lineRule="exact"/>
        <w:jc w:val="right"/>
        <w:textAlignment w:val="auto"/>
        <w:outlineLvl w:val="9"/>
        <w:rPr>
          <w:rFonts w:hint="eastAsia" w:ascii="Times New Roman" w:hAnsi="Times New Roman" w:eastAsia="方正楷体_GBK" w:cs="Times New Roman"/>
          <w:b w:val="0"/>
          <w:bCs/>
          <w:kern w:val="0"/>
          <w:sz w:val="32"/>
          <w:szCs w:val="32"/>
          <w:lang w:val="en-US" w:eastAsia="zh-CN" w:bidi="ar-SA"/>
        </w:rPr>
      </w:pPr>
    </w:p>
    <w:p w14:paraId="2B3A9E69">
      <w:pPr>
        <w:keepNext w:val="0"/>
        <w:keepLines w:val="0"/>
        <w:pageBreakBefore w:val="0"/>
        <w:widowControl/>
        <w:kinsoku/>
        <w:wordWrap/>
        <w:overflowPunct/>
        <w:topLinePunct w:val="0"/>
        <w:autoSpaceDE/>
        <w:autoSpaceDN/>
        <w:bidi w:val="0"/>
        <w:adjustRightInd/>
        <w:snapToGrid/>
        <w:spacing w:line="440" w:lineRule="exact"/>
        <w:textAlignment w:val="auto"/>
        <w:outlineLvl w:val="9"/>
        <w:rPr>
          <w:rFonts w:hint="eastAsia" w:ascii="Times New Roman" w:hAnsi="Times New Roman" w:eastAsia="华文新魏" w:cs="Times New Roman"/>
          <w:b/>
          <w:bCs w:val="0"/>
          <w:color w:val="FF0000"/>
          <w:spacing w:val="0"/>
          <w:kern w:val="36"/>
          <w:sz w:val="44"/>
          <w:szCs w:val="44"/>
          <w:lang w:val="en-US" w:eastAsia="zh-CN" w:bidi="ar-SA"/>
        </w:rPr>
      </w:pPr>
      <w:bookmarkStart w:id="1" w:name="OLE_LINK4"/>
    </w:p>
    <w:p w14:paraId="725E0BA4">
      <w:pPr>
        <w:keepNext w:val="0"/>
        <w:keepLines w:val="0"/>
        <w:pageBreakBefore w:val="0"/>
        <w:widowControl/>
        <w:kinsoku/>
        <w:wordWrap/>
        <w:overflowPunct/>
        <w:topLinePunct w:val="0"/>
        <w:autoSpaceDE/>
        <w:autoSpaceDN/>
        <w:bidi w:val="0"/>
        <w:adjustRightInd/>
        <w:snapToGrid/>
        <w:spacing w:line="440" w:lineRule="exact"/>
        <w:jc w:val="center"/>
        <w:textAlignment w:val="auto"/>
        <w:outlineLvl w:val="9"/>
        <w:rPr>
          <w:rFonts w:hint="eastAsia" w:ascii="Times New Roman" w:hAnsi="Times New Roman" w:eastAsia="方正楷体_GBK" w:cs="Times New Roman"/>
          <w:b w:val="0"/>
          <w:bCs/>
          <w:kern w:val="0"/>
          <w:sz w:val="32"/>
          <w:szCs w:val="32"/>
          <w:lang w:val="en-US" w:eastAsia="zh-CN" w:bidi="ar-SA"/>
        </w:rPr>
      </w:pPr>
      <w:r>
        <w:rPr>
          <w:rFonts w:hint="eastAsia" w:ascii="Times New Roman" w:hAnsi="Times New Roman" w:eastAsia="华文新魏" w:cs="Times New Roman"/>
          <w:b/>
          <w:bCs w:val="0"/>
          <w:color w:val="FF0000"/>
          <w:spacing w:val="0"/>
          <w:kern w:val="36"/>
          <w:sz w:val="44"/>
          <w:szCs w:val="44"/>
          <w:lang w:val="en-US" w:eastAsia="zh-CN" w:bidi="ar-SA"/>
        </w:rPr>
        <w:t>上上电缆：以品质铸就品牌，用创新书写未来</w:t>
      </w:r>
    </w:p>
    <w:bookmarkEnd w:id="1"/>
    <w:p w14:paraId="4C19CBDD">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lang w:val="en-US" w:eastAsia="zh-CN"/>
        </w:rPr>
      </w:pPr>
      <w:r>
        <w:rPr>
          <w:rFonts w:hint="eastAsia" w:ascii="Times New Roman" w:hAnsi="Times New Roman" w:eastAsia="方正仿宋_GBK" w:cs="Times New Roman"/>
          <w:b w:val="0"/>
          <w:bCs w:val="0"/>
          <w:sz w:val="32"/>
          <w:szCs w:val="32"/>
          <w:lang w:val="en-US" w:eastAsia="zh-CN"/>
        </w:rPr>
        <w:t>近日，第十个中国品牌日如约而至。作为中国线缆行业的领军者，我会理事单位——江苏上上电缆集团有限公司用近六十年的坚守与创新，交出了一份沉甸甸的“品牌答卷”。</w:t>
      </w:r>
    </w:p>
    <w:p w14:paraId="50632E23">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lang w:val="en-US" w:eastAsia="zh-CN"/>
        </w:rPr>
      </w:pPr>
      <w:r>
        <w:rPr>
          <w:rFonts w:hint="eastAsia" w:ascii="Times New Roman" w:hAnsi="Times New Roman" w:eastAsia="方正仿宋_GBK" w:cs="Times New Roman"/>
          <w:b w:val="0"/>
          <w:bCs w:val="0"/>
          <w:sz w:val="32"/>
          <w:szCs w:val="32"/>
          <w:lang w:val="en-US" w:eastAsia="zh-CN"/>
        </w:rPr>
        <w:t>伟大工程的背后，是可靠的品牌默默护航。从助力世界最大跨度斜拉桥——常泰长江大桥顺利通车，到全力保障哈尔滨亚冬会供热项目；从深度参与国家重大科技专项“国和一号”示范工程的建设，到为粤港澳十五运筑牢保电防线，再到为广州白云国际机场T3航站楼稳定输送电能。无论是在极寒、高热还是高辐射的极端环境下，上上电缆始终以优异的表现，向世界展示着中国品牌的硬核实力与责任担当。</w:t>
      </w:r>
    </w:p>
    <w:p w14:paraId="289C63D7">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default" w:ascii="Times New Roman" w:hAnsi="Times New Roman" w:eastAsia="方正仿宋_GBK" w:cs="Times New Roman"/>
          <w:b w:val="0"/>
          <w:bCs w:val="0"/>
          <w:sz w:val="32"/>
          <w:szCs w:val="32"/>
          <w:lang w:val="en-US" w:eastAsia="zh-CN"/>
        </w:rPr>
      </w:pPr>
      <w:r>
        <w:rPr>
          <w:rFonts w:hint="eastAsia" w:ascii="Times New Roman" w:hAnsi="Times New Roman" w:eastAsia="方正仿宋_GBK" w:cs="Times New Roman"/>
          <w:b w:val="0"/>
          <w:bCs w:val="0"/>
          <w:sz w:val="32"/>
          <w:szCs w:val="32"/>
          <w:lang w:val="en-US" w:eastAsia="zh-CN"/>
        </w:rPr>
        <w:t>匠心耕耘，硕果盈枝。除了在技术领域的突破，上上电缆的综合实力亦获得国家与社会各界的广泛认可。2025年，在第五届中国质量大会上，上上电缆凭借“四个人人”管理模式，再次荣膺“中国质量奖提名奖”，成为行业唯一连续四届获此殊荣的企业。同时，企业获评“全国工业和信息化系统先进集体”“绿色供应链管理企业”“全国电线产品质量追溯先进企业”“国家卓越级智能工厂”等称号，并连续20年稳居“中国机械500强”及“中国机械500大”行列。这一项项国家级荣誉，不仅是对上上电缆过去成绩的肯定，更夯实了“上上品牌”的底气。</w:t>
      </w:r>
    </w:p>
    <w:p w14:paraId="43AE8B2D">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976" w:firstLineChars="1400"/>
        <w:contextualSpacing/>
        <w:jc w:val="left"/>
        <w:textAlignment w:val="auto"/>
        <w:outlineLvl w:val="1"/>
        <w:rPr>
          <w:rFonts w:hint="eastAsia" w:ascii="Times New Roman" w:hAnsi="Times New Roman" w:eastAsia="方正楷体_GBK" w:cs="方正楷体_GBK"/>
          <w:b/>
          <w:bCs/>
          <w:color w:val="FF0000"/>
          <w:spacing w:val="0"/>
          <w:kern w:val="2"/>
          <w:sz w:val="30"/>
          <w:szCs w:val="30"/>
          <w:lang w:val="en-US" w:eastAsia="zh-CN" w:bidi="ar-SA"/>
        </w:rPr>
      </w:pPr>
      <w:r>
        <w:rPr>
          <w:rFonts w:hint="default" w:ascii="Times New Roman" w:hAnsi="Times New Roman" w:eastAsia="方正楷体_GBK" w:cs="方正楷体_GBK"/>
          <w:b/>
          <w:bCs/>
          <w:color w:val="FF0000"/>
          <w:spacing w:val="0"/>
          <w:kern w:val="2"/>
          <w:sz w:val="30"/>
          <w:szCs w:val="30"/>
          <w:lang w:val="en-US" w:eastAsia="zh-CN" w:bidi="ar-SA"/>
        </w:rPr>
        <w:t>（来源</w:t>
      </w:r>
      <w:r>
        <w:rPr>
          <w:rFonts w:hint="eastAsia" w:ascii="Times New Roman" w:hAnsi="Times New Roman" w:eastAsia="方正楷体_GBK" w:cs="方正楷体_GBK"/>
          <w:b/>
          <w:bCs/>
          <w:color w:val="FF0000"/>
          <w:spacing w:val="0"/>
          <w:kern w:val="2"/>
          <w:sz w:val="30"/>
          <w:szCs w:val="30"/>
          <w:lang w:val="en-US" w:eastAsia="zh-CN" w:bidi="ar-SA"/>
        </w:rPr>
        <w:t>：上上电缆官网）</w:t>
      </w:r>
    </w:p>
    <w:p w14:paraId="070B426B">
      <w:pPr>
        <w:keepNext w:val="0"/>
        <w:keepLines w:val="0"/>
        <w:pageBreakBefore w:val="0"/>
        <w:widowControl/>
        <w:kinsoku/>
        <w:wordWrap/>
        <w:overflowPunct/>
        <w:topLinePunct w:val="0"/>
        <w:autoSpaceDE/>
        <w:autoSpaceDN/>
        <w:bidi w:val="0"/>
        <w:adjustRightInd/>
        <w:snapToGrid/>
        <w:spacing w:line="440" w:lineRule="exact"/>
        <w:ind w:firstLine="608" w:firstLineChars="200"/>
        <w:textAlignment w:val="auto"/>
        <w:outlineLvl w:val="9"/>
        <w:rPr>
          <w:rFonts w:hint="eastAsia" w:ascii="Times New Roman" w:hAnsi="Times New Roman" w:eastAsia="方正楷体_GBK" w:cs="Times New Roman"/>
          <w:b w:val="0"/>
          <w:bCs/>
          <w:kern w:val="0"/>
          <w:sz w:val="32"/>
          <w:szCs w:val="32"/>
          <w:lang w:val="en-US" w:eastAsia="zh-CN" w:bidi="ar-SA"/>
        </w:rPr>
      </w:pPr>
    </w:p>
    <w:p w14:paraId="7DC52D38">
      <w:pPr>
        <w:keepNext w:val="0"/>
        <w:keepLines w:val="0"/>
        <w:pageBreakBefore w:val="0"/>
        <w:widowControl/>
        <w:kinsoku/>
        <w:wordWrap/>
        <w:overflowPunct/>
        <w:topLinePunct w:val="0"/>
        <w:autoSpaceDE/>
        <w:autoSpaceDN/>
        <w:bidi w:val="0"/>
        <w:adjustRightInd/>
        <w:snapToGrid/>
        <w:spacing w:line="440" w:lineRule="exact"/>
        <w:textAlignment w:val="auto"/>
        <w:outlineLvl w:val="9"/>
        <w:rPr>
          <w:rFonts w:hint="eastAsia" w:ascii="Times New Roman" w:hAnsi="Times New Roman" w:eastAsia="华文新魏" w:cs="Times New Roman"/>
          <w:b/>
          <w:bCs w:val="0"/>
          <w:color w:val="FF0000"/>
          <w:spacing w:val="0"/>
          <w:kern w:val="36"/>
          <w:sz w:val="44"/>
          <w:szCs w:val="44"/>
          <w:lang w:val="en-US" w:eastAsia="zh-CN" w:bidi="ar-SA"/>
        </w:rPr>
      </w:pPr>
      <w:bookmarkStart w:id="2" w:name="OLE_LINK5"/>
      <w:r>
        <w:rPr>
          <w:rFonts w:hint="eastAsia" w:ascii="Times New Roman" w:hAnsi="Times New Roman" w:eastAsia="华文新魏" w:cs="Times New Roman"/>
          <w:b/>
          <w:bCs w:val="0"/>
          <w:color w:val="FF0000"/>
          <w:spacing w:val="-45"/>
          <w:kern w:val="36"/>
          <w:sz w:val="44"/>
          <w:szCs w:val="44"/>
          <w:lang w:val="en-US" w:eastAsia="zh-CN" w:bidi="ar-SA"/>
        </w:rPr>
        <w:t>江南农商银行：打造“金融+”生态圈养老金融“温情样本”</w:t>
      </w:r>
    </w:p>
    <w:p w14:paraId="70D6A3E3">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lang w:val="en-US" w:eastAsia="zh-CN"/>
        </w:rPr>
      </w:pPr>
      <w:r>
        <w:rPr>
          <w:rFonts w:hint="eastAsia" w:ascii="Times New Roman" w:hAnsi="Times New Roman" w:eastAsia="方正仿宋_GBK" w:cs="Times New Roman"/>
          <w:b w:val="0"/>
          <w:bCs w:val="0"/>
          <w:sz w:val="32"/>
          <w:szCs w:val="32"/>
          <w:lang w:val="en-US" w:eastAsia="zh-CN"/>
        </w:rPr>
        <w:t>在深度老龄化社会加速到来的背景下，如何让普惠金融精准触达老年群体的多元需求，成为地方金融机构的新考题。作为江苏常州本土金融主力军，我会理事单位——江苏江南农村商业银行股份有限公司以“温情江南”公益项目为抓手，将服务触角延伸至“家门口”，把金融、政务、文化、健康等服务编织成一张覆盖老年生活全场景的温情网络，探索出一条“金融为民、双向赋能”的基层养老金融新路径。</w:t>
      </w:r>
    </w:p>
    <w:p w14:paraId="0CA5446C">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lang w:val="en-US" w:eastAsia="zh-CN"/>
        </w:rPr>
      </w:pPr>
      <w:r>
        <w:rPr>
          <w:rFonts w:hint="eastAsia" w:ascii="Times New Roman" w:hAnsi="Times New Roman" w:eastAsia="方正仿宋_GBK" w:cs="Times New Roman"/>
          <w:b w:val="0"/>
          <w:bCs w:val="0"/>
          <w:sz w:val="32"/>
          <w:szCs w:val="32"/>
          <w:lang w:val="en-US" w:eastAsia="zh-CN"/>
        </w:rPr>
        <w:t>2025年是“温情江南”从试点探索迈向规模推广的关键年，累计开展各类服务活动7634场，服务居民超30万人次，覆盖51个核心小区。不仅解决了老人理发、上门帮扶等急难愁盼问题，也为银行网点带来稳定客流，项目厅堂引流率达到30%，实现了民生效益与经济效益的双赢。</w:t>
      </w:r>
    </w:p>
    <w:p w14:paraId="513C3B75">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lang w:val="en-US" w:eastAsia="zh-CN"/>
        </w:rPr>
      </w:pPr>
      <w:r>
        <w:rPr>
          <w:rFonts w:hint="eastAsia" w:ascii="Times New Roman" w:hAnsi="Times New Roman" w:eastAsia="方正仿宋_GBK" w:cs="Times New Roman"/>
          <w:b w:val="0"/>
          <w:bCs w:val="0"/>
          <w:sz w:val="32"/>
          <w:szCs w:val="32"/>
          <w:lang w:val="en-US" w:eastAsia="zh-CN"/>
        </w:rPr>
        <w:t>按照规划，2026年，“温情江南”服务将扩展至150个小区，覆盖30万户居民，服务场次突破1万场。江南农商银行用行动证明：人口老龄化不是负担，而是发展的新机遇。只要坚守金融为民初心，立足本土精准对接需求，地方金融机构就能在积极应对人口老龄化国家战略中找准定位、扛起责任，以金融温度守护银龄幸福，为银发经济添暖，为共同富裕增色。</w:t>
      </w:r>
    </w:p>
    <w:bookmarkEnd w:id="2"/>
    <w:p w14:paraId="64D4F69D">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976" w:firstLineChars="1400"/>
        <w:contextualSpacing/>
        <w:jc w:val="left"/>
        <w:textAlignment w:val="auto"/>
        <w:outlineLvl w:val="1"/>
        <w:rPr>
          <w:rFonts w:hint="eastAsia" w:ascii="Times New Roman" w:hAnsi="Times New Roman" w:eastAsia="方正楷体_GBK" w:cs="方正楷体_GBK"/>
          <w:b/>
          <w:bCs/>
          <w:color w:val="FF0000"/>
          <w:spacing w:val="0"/>
          <w:kern w:val="2"/>
          <w:sz w:val="30"/>
          <w:szCs w:val="30"/>
          <w:lang w:val="en-US" w:eastAsia="zh-CN" w:bidi="ar-SA"/>
        </w:rPr>
      </w:pPr>
      <w:r>
        <w:rPr>
          <w:rFonts w:hint="default" w:ascii="Times New Roman" w:hAnsi="Times New Roman" w:eastAsia="方正楷体_GBK" w:cs="方正楷体_GBK"/>
          <w:b/>
          <w:bCs/>
          <w:color w:val="FF0000"/>
          <w:spacing w:val="0"/>
          <w:kern w:val="2"/>
          <w:sz w:val="30"/>
          <w:szCs w:val="30"/>
          <w:lang w:val="en-US" w:eastAsia="zh-CN" w:bidi="ar-SA"/>
        </w:rPr>
        <w:t>（来源</w:t>
      </w:r>
      <w:r>
        <w:rPr>
          <w:rFonts w:hint="eastAsia" w:ascii="Times New Roman" w:hAnsi="Times New Roman" w:eastAsia="方正楷体_GBK" w:cs="方正楷体_GBK"/>
          <w:b/>
          <w:bCs/>
          <w:color w:val="FF0000"/>
          <w:spacing w:val="0"/>
          <w:kern w:val="2"/>
          <w:sz w:val="30"/>
          <w:szCs w:val="30"/>
          <w:lang w:val="en-US" w:eastAsia="zh-CN" w:bidi="ar-SA"/>
        </w:rPr>
        <w:t>：江南农商银行微信公众号）</w:t>
      </w:r>
    </w:p>
    <w:sectPr>
      <w:footerReference r:id="rId3" w:type="default"/>
      <w:pgSz w:w="11906" w:h="16838"/>
      <w:pgMar w:top="2098" w:right="1474" w:bottom="1984" w:left="1587" w:header="1417" w:footer="992" w:gutter="0"/>
      <w:pgBorders>
        <w:top w:val="single" w:color="F82206" w:sz="48" w:space="1"/>
        <w:left w:val="single" w:color="F82206" w:sz="48" w:space="4"/>
        <w:bottom w:val="single" w:color="F82206" w:sz="48" w:space="1"/>
        <w:right w:val="single" w:color="F82206" w:sz="48" w:space="4"/>
      </w:pgBorders>
      <w:pgNumType w:fmt="decimal" w:start="1"/>
      <w:cols w:space="425" w:num="1"/>
      <w:docGrid w:type="linesAndChars" w:linePitch="290" w:charSpace="-34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1" w:fontKey="{B236EF5C-E686-499B-A71B-1652C8B5CA69}"/>
  </w:font>
  <w:font w:name="Consolas">
    <w:panose1 w:val="020B0609020204030204"/>
    <w:charset w:val="00"/>
    <w:family w:val="auto"/>
    <w:pitch w:val="default"/>
    <w:sig w:usb0="E00006FF" w:usb1="0000FCFF" w:usb2="00000001" w:usb3="00000000" w:csb0="6000019F" w:csb1="DFD70000"/>
  </w:font>
  <w:font w:name="经典行楷简">
    <w:panose1 w:val="02010609000101010101"/>
    <w:charset w:val="86"/>
    <w:family w:val="auto"/>
    <w:pitch w:val="default"/>
    <w:sig w:usb0="A1007AEF" w:usb1="F9DF7CFB" w:usb2="0000001E" w:usb3="00000000" w:csb0="20040000" w:csb1="00000000"/>
    <w:embedRegular r:id="rId2" w:fontKey="{1352BE30-B928-49F9-BA36-75BB1080586B}"/>
  </w:font>
  <w:font w:name="方正楷体_GBK">
    <w:panose1 w:val="02000000000000000000"/>
    <w:charset w:val="86"/>
    <w:family w:val="auto"/>
    <w:pitch w:val="default"/>
    <w:sig w:usb0="800002BF" w:usb1="38CF7CFA" w:usb2="00000016" w:usb3="00000000" w:csb0="00040000" w:csb1="00000000"/>
    <w:embedRegular r:id="rId3" w:fontKey="{8B0353A1-D3B3-46A0-8FEF-A54B499B7771}"/>
  </w:font>
  <w:font w:name="方正公文黑体">
    <w:panose1 w:val="02000500000000000000"/>
    <w:charset w:val="86"/>
    <w:family w:val="auto"/>
    <w:pitch w:val="default"/>
    <w:sig w:usb0="A00002BF" w:usb1="38CF7CFA" w:usb2="00000016" w:usb3="00000000" w:csb0="00040001" w:csb1="00000000"/>
    <w:embedRegular r:id="rId4" w:fontKey="{C29D2E51-94FE-4B31-9D8F-D069515BDF02}"/>
  </w:font>
  <w:font w:name="方正黑体_GBK">
    <w:panose1 w:val="02010600010101010101"/>
    <w:charset w:val="86"/>
    <w:family w:val="auto"/>
    <w:pitch w:val="default"/>
    <w:sig w:usb0="00000001" w:usb1="080E0000" w:usb2="00000000" w:usb3="00000000" w:csb0="00040000" w:csb1="00000000"/>
    <w:embedRegular r:id="rId5" w:fontKey="{BAEAD985-04C9-4EF4-9404-5AE609DD1CAF}"/>
  </w:font>
  <w:font w:name="方正仿宋_GBK">
    <w:panose1 w:val="03000509000000000000"/>
    <w:charset w:val="86"/>
    <w:family w:val="script"/>
    <w:pitch w:val="default"/>
    <w:sig w:usb0="00000001" w:usb1="080E0000" w:usb2="00000000" w:usb3="00000000" w:csb0="00040000" w:csb1="00000000"/>
    <w:embedRegular r:id="rId6" w:fontKey="{03E58AB8-E5C2-47F5-AA58-FBF69CA2C0F0}"/>
  </w:font>
  <w:font w:name="方正小标宋_GBK">
    <w:panose1 w:val="03000509000000000000"/>
    <w:charset w:val="86"/>
    <w:family w:val="auto"/>
    <w:pitch w:val="default"/>
    <w:sig w:usb0="00000001" w:usb1="080E0000" w:usb2="00000000" w:usb3="00000000" w:csb0="00040000" w:csb1="00000000"/>
    <w:embedRegular r:id="rId7" w:fontKey="{65B4B655-1229-4A21-AC63-89387F42421A}"/>
  </w:font>
  <w:font w:name="华文新魏">
    <w:panose1 w:val="02010800040101010101"/>
    <w:charset w:val="86"/>
    <w:family w:val="auto"/>
    <w:pitch w:val="default"/>
    <w:sig w:usb0="00000001" w:usb1="080F0000" w:usb2="00000000" w:usb3="00000000" w:csb0="00040000" w:csb1="00000000"/>
    <w:embedRegular r:id="rId8" w:fontKey="{2E73FDCC-EF0A-4956-B3A7-9A75AFE9AB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C1BD11">
    <w:pPr>
      <w:widowControl w:val="0"/>
      <w:tabs>
        <w:tab w:val="center" w:pos="4153"/>
        <w:tab w:val="right" w:pos="8306"/>
      </w:tabs>
      <w:snapToGrid w:val="0"/>
      <w:jc w:val="center"/>
      <w:rPr>
        <w:rFonts w:ascii="Calibri" w:hAnsi="Calibri" w:eastAsia="宋体" w:cs="Times New Roman"/>
        <w:kern w:val="2"/>
        <w:sz w:val="18"/>
        <w:szCs w:val="18"/>
        <w:lang w:val="en-US" w:eastAsia="zh-CN" w:bidi="ar-SA"/>
      </w:rPr>
    </w:pPr>
    <w:r>
      <w:rPr>
        <w:rFonts w:ascii="Calibri" w:hAnsi="Calibri" w:eastAsia="宋体" w:cs="Times New Roman"/>
        <w:kern w:val="2"/>
        <w:sz w:val="18"/>
        <w:szCs w:val="18"/>
        <w:lang w:val="en-US" w:eastAsia="zh-CN" w:bidi="ar-SA"/>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-304800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9740C4">
                          <w:pPr>
                            <w:widowControl w:val="0"/>
                            <w:tabs>
                              <w:tab w:val="center" w:pos="4153"/>
                              <w:tab w:val="right" w:pos="8306"/>
                            </w:tabs>
                            <w:snapToGrid w:val="0"/>
                            <w:jc w:val="center"/>
                            <w:rPr>
                              <w:rFonts w:ascii="Calibri" w:hAnsi="Calibri" w:eastAsia="宋体" w:cs="Times New Roman"/>
                              <w:kern w:val="2"/>
                              <w:sz w:val="18"/>
                              <w:szCs w:val="18"/>
                              <w:highlight w:val="yellow"/>
                              <w:lang w:val="en-US" w:eastAsia="zh-CN" w:bidi="ar-SA"/>
                            </w:rPr>
                          </w:pP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 xml:space="preserve">— </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begin"/>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instrText xml:space="preserve"> PAGE  \* MERGEFORMAT </w:instrTex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separate"/>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1</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end"/>
                          </w:r>
                          <w:r>
                            <w:rPr>
                              <w:rFonts w:hint="default" w:ascii="Times New Roman" w:hAnsi="Times New Roman" w:eastAsia="宋体" w:cs="Times New Roman"/>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 xml:space="preserve"> </w:t>
                          </w: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24pt;height:144pt;width:144pt;mso-position-horizontal:center;mso-position-horizontal-relative:margin;mso-wrap-style:none;z-index:251659264;mso-width-relative:page;mso-height-relative:page;" filled="f" stroked="f" coordsize="21600,21600" o:gfxdata="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8gO9M9QAAAAIAQAADwAAAAAAAAABACAAAAAiAAAAZHJzL2Rvd25yZXYu&#10;eG1sUEsBAhQAFAAAAAgAh07iQLVZerI4AgAAbwQAAA4AAAAAAAAAAQAgAAAAIwEAAGRycy9lMm9E&#10;b2MueG1sUEsFBgAAAAAGAAYAWQEAAM0FAAAAAA==&#10;">
              <v:fill on="f" focussize="0,0"/>
              <v:stroke on="f" weight="0.5pt"/>
              <v:imagedata o:title=""/>
              <o:lock v:ext="edit" aspectratio="f"/>
              <v:textbox inset="0mm,0mm,0mm,0mm" style="mso-fit-shape-to-text:t;">
                <w:txbxContent>
                  <w:p w14:paraId="149740C4">
                    <w:pPr>
                      <w:widowControl w:val="0"/>
                      <w:tabs>
                        <w:tab w:val="center" w:pos="4153"/>
                        <w:tab w:val="right" w:pos="8306"/>
                      </w:tabs>
                      <w:snapToGrid w:val="0"/>
                      <w:jc w:val="center"/>
                      <w:rPr>
                        <w:rFonts w:ascii="Calibri" w:hAnsi="Calibri" w:eastAsia="宋体" w:cs="Times New Roman"/>
                        <w:kern w:val="2"/>
                        <w:sz w:val="18"/>
                        <w:szCs w:val="18"/>
                        <w:highlight w:val="yellow"/>
                        <w:lang w:val="en-US" w:eastAsia="zh-CN" w:bidi="ar-SA"/>
                      </w:rPr>
                    </w:pP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 xml:space="preserve">— </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begin"/>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instrText xml:space="preserve"> PAGE  \* MERGEFORMAT </w:instrTex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separate"/>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1</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end"/>
                    </w:r>
                    <w:r>
                      <w:rPr>
                        <w:rFonts w:hint="default" w:ascii="Times New Roman" w:hAnsi="Times New Roman" w:eastAsia="宋体" w:cs="Times New Roman"/>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 xml:space="preserve"> </w:t>
                    </w: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w:t>
                    </w:r>
                  </w:p>
                </w:txbxContent>
              </v:textbox>
            </v:shape>
          </w:pict>
        </mc:Fallback>
      </mc:AlternateContent>
    </w:r>
  </w:p>
  <w:p w14:paraId="4033DA90">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NotDisplayPageBoundaries w:val="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gyY2JjZjUwZjliZTZiOTlhN2YyNWNiNDhlZDgzZjgifQ=="/>
  </w:docVars>
  <w:rsids>
    <w:rsidRoot w:val="09CD0E22"/>
    <w:rsid w:val="00030C0E"/>
    <w:rsid w:val="00043245"/>
    <w:rsid w:val="0007364F"/>
    <w:rsid w:val="000800B0"/>
    <w:rsid w:val="00093D01"/>
    <w:rsid w:val="00097083"/>
    <w:rsid w:val="000C6CC2"/>
    <w:rsid w:val="001156B9"/>
    <w:rsid w:val="00145330"/>
    <w:rsid w:val="00154806"/>
    <w:rsid w:val="001F2C95"/>
    <w:rsid w:val="00215B64"/>
    <w:rsid w:val="002840B7"/>
    <w:rsid w:val="003208B4"/>
    <w:rsid w:val="003671B0"/>
    <w:rsid w:val="003C691D"/>
    <w:rsid w:val="003F32D7"/>
    <w:rsid w:val="0042623F"/>
    <w:rsid w:val="0043286B"/>
    <w:rsid w:val="00467C46"/>
    <w:rsid w:val="005279A4"/>
    <w:rsid w:val="005A092B"/>
    <w:rsid w:val="006B63D3"/>
    <w:rsid w:val="006C0C2E"/>
    <w:rsid w:val="00723B7D"/>
    <w:rsid w:val="007C2A82"/>
    <w:rsid w:val="007E11E9"/>
    <w:rsid w:val="008B2F92"/>
    <w:rsid w:val="008E3499"/>
    <w:rsid w:val="008F79A9"/>
    <w:rsid w:val="00906A61"/>
    <w:rsid w:val="00962249"/>
    <w:rsid w:val="00984AC6"/>
    <w:rsid w:val="00A0554E"/>
    <w:rsid w:val="00A55B3B"/>
    <w:rsid w:val="00B1496F"/>
    <w:rsid w:val="00B35803"/>
    <w:rsid w:val="00B45E3E"/>
    <w:rsid w:val="00B528B9"/>
    <w:rsid w:val="00C16462"/>
    <w:rsid w:val="00C66488"/>
    <w:rsid w:val="00CA656E"/>
    <w:rsid w:val="00CE04E4"/>
    <w:rsid w:val="00D0085C"/>
    <w:rsid w:val="00D9651F"/>
    <w:rsid w:val="00DB54B3"/>
    <w:rsid w:val="00DF053C"/>
    <w:rsid w:val="00E278B0"/>
    <w:rsid w:val="00E76B4E"/>
    <w:rsid w:val="00EA6FD6"/>
    <w:rsid w:val="00FC3867"/>
    <w:rsid w:val="010007F1"/>
    <w:rsid w:val="010F41FD"/>
    <w:rsid w:val="01123C24"/>
    <w:rsid w:val="01281FA6"/>
    <w:rsid w:val="0129652A"/>
    <w:rsid w:val="012C4A94"/>
    <w:rsid w:val="0134238F"/>
    <w:rsid w:val="01434062"/>
    <w:rsid w:val="014F3F68"/>
    <w:rsid w:val="015A28DE"/>
    <w:rsid w:val="01603797"/>
    <w:rsid w:val="01607B5B"/>
    <w:rsid w:val="01614C4F"/>
    <w:rsid w:val="016607CF"/>
    <w:rsid w:val="01687C29"/>
    <w:rsid w:val="016C6133"/>
    <w:rsid w:val="016D0719"/>
    <w:rsid w:val="016E2905"/>
    <w:rsid w:val="01730647"/>
    <w:rsid w:val="01765242"/>
    <w:rsid w:val="017F7312"/>
    <w:rsid w:val="0183354F"/>
    <w:rsid w:val="018A4341"/>
    <w:rsid w:val="018D1ED5"/>
    <w:rsid w:val="018E0532"/>
    <w:rsid w:val="01944C0D"/>
    <w:rsid w:val="01947605"/>
    <w:rsid w:val="019652A2"/>
    <w:rsid w:val="019A0A9C"/>
    <w:rsid w:val="019E5AF8"/>
    <w:rsid w:val="01A05888"/>
    <w:rsid w:val="01A2463C"/>
    <w:rsid w:val="01A277CA"/>
    <w:rsid w:val="01A536F0"/>
    <w:rsid w:val="01AB72AD"/>
    <w:rsid w:val="01AD0FC0"/>
    <w:rsid w:val="01AF0E83"/>
    <w:rsid w:val="01B74B80"/>
    <w:rsid w:val="01B76B70"/>
    <w:rsid w:val="01BC47E4"/>
    <w:rsid w:val="01BD0D3F"/>
    <w:rsid w:val="01C17E07"/>
    <w:rsid w:val="01C277DB"/>
    <w:rsid w:val="01C5785D"/>
    <w:rsid w:val="01CB201F"/>
    <w:rsid w:val="01D01DDD"/>
    <w:rsid w:val="01D83F23"/>
    <w:rsid w:val="01DA121B"/>
    <w:rsid w:val="01E02E8A"/>
    <w:rsid w:val="01EB6FF4"/>
    <w:rsid w:val="01EC6C1A"/>
    <w:rsid w:val="01F43D5D"/>
    <w:rsid w:val="01F53962"/>
    <w:rsid w:val="01F739C6"/>
    <w:rsid w:val="01FE284A"/>
    <w:rsid w:val="0202118C"/>
    <w:rsid w:val="020C0504"/>
    <w:rsid w:val="020F3F82"/>
    <w:rsid w:val="021337A8"/>
    <w:rsid w:val="02154F00"/>
    <w:rsid w:val="02200558"/>
    <w:rsid w:val="022C2DDE"/>
    <w:rsid w:val="024125AD"/>
    <w:rsid w:val="02424F98"/>
    <w:rsid w:val="02451830"/>
    <w:rsid w:val="024B4F65"/>
    <w:rsid w:val="02522774"/>
    <w:rsid w:val="02716397"/>
    <w:rsid w:val="02742027"/>
    <w:rsid w:val="027B1EF4"/>
    <w:rsid w:val="027D39C5"/>
    <w:rsid w:val="02836A31"/>
    <w:rsid w:val="02842B55"/>
    <w:rsid w:val="02850B1B"/>
    <w:rsid w:val="028D4134"/>
    <w:rsid w:val="028E239B"/>
    <w:rsid w:val="028E669E"/>
    <w:rsid w:val="02925D70"/>
    <w:rsid w:val="02945151"/>
    <w:rsid w:val="02994D24"/>
    <w:rsid w:val="02AA4579"/>
    <w:rsid w:val="02B452E0"/>
    <w:rsid w:val="02B7449E"/>
    <w:rsid w:val="02B81004"/>
    <w:rsid w:val="02B93913"/>
    <w:rsid w:val="02BB7BC5"/>
    <w:rsid w:val="02C541E0"/>
    <w:rsid w:val="02C7326C"/>
    <w:rsid w:val="02C976C5"/>
    <w:rsid w:val="02CA2014"/>
    <w:rsid w:val="02CB3941"/>
    <w:rsid w:val="02CE36F0"/>
    <w:rsid w:val="02D253BA"/>
    <w:rsid w:val="02D664A5"/>
    <w:rsid w:val="02D70120"/>
    <w:rsid w:val="02DA08C0"/>
    <w:rsid w:val="02E746B3"/>
    <w:rsid w:val="02EA0804"/>
    <w:rsid w:val="02F03F7A"/>
    <w:rsid w:val="02F04987"/>
    <w:rsid w:val="02F15A26"/>
    <w:rsid w:val="02F3072B"/>
    <w:rsid w:val="02F35039"/>
    <w:rsid w:val="02F4686A"/>
    <w:rsid w:val="02F50E1A"/>
    <w:rsid w:val="02FC365E"/>
    <w:rsid w:val="03032EA1"/>
    <w:rsid w:val="03055083"/>
    <w:rsid w:val="030A33B2"/>
    <w:rsid w:val="0312457C"/>
    <w:rsid w:val="03146293"/>
    <w:rsid w:val="03173E54"/>
    <w:rsid w:val="03247659"/>
    <w:rsid w:val="032626D8"/>
    <w:rsid w:val="03276EB0"/>
    <w:rsid w:val="03320DD5"/>
    <w:rsid w:val="03326279"/>
    <w:rsid w:val="03367B19"/>
    <w:rsid w:val="033F3094"/>
    <w:rsid w:val="033F5E23"/>
    <w:rsid w:val="0341739D"/>
    <w:rsid w:val="03441AE0"/>
    <w:rsid w:val="034A5312"/>
    <w:rsid w:val="035906B9"/>
    <w:rsid w:val="035A07AB"/>
    <w:rsid w:val="035F7880"/>
    <w:rsid w:val="036572E0"/>
    <w:rsid w:val="036773BE"/>
    <w:rsid w:val="036B41D2"/>
    <w:rsid w:val="03745931"/>
    <w:rsid w:val="0375270B"/>
    <w:rsid w:val="0376026A"/>
    <w:rsid w:val="03763E10"/>
    <w:rsid w:val="03795E56"/>
    <w:rsid w:val="038A3C11"/>
    <w:rsid w:val="038F00BD"/>
    <w:rsid w:val="038F07EB"/>
    <w:rsid w:val="039F6B79"/>
    <w:rsid w:val="03A054FE"/>
    <w:rsid w:val="03A634A2"/>
    <w:rsid w:val="03A710E3"/>
    <w:rsid w:val="03AB7076"/>
    <w:rsid w:val="03B75E22"/>
    <w:rsid w:val="03B93704"/>
    <w:rsid w:val="03C7124D"/>
    <w:rsid w:val="03C956D7"/>
    <w:rsid w:val="03CD065E"/>
    <w:rsid w:val="03CD0F50"/>
    <w:rsid w:val="03D96519"/>
    <w:rsid w:val="03DC76EB"/>
    <w:rsid w:val="03DD4156"/>
    <w:rsid w:val="03DF3AAC"/>
    <w:rsid w:val="03DF7C94"/>
    <w:rsid w:val="03E4053E"/>
    <w:rsid w:val="03EE2D2D"/>
    <w:rsid w:val="03EE5120"/>
    <w:rsid w:val="03F95EAB"/>
    <w:rsid w:val="03FA4378"/>
    <w:rsid w:val="040D5A59"/>
    <w:rsid w:val="040E59E0"/>
    <w:rsid w:val="04177E90"/>
    <w:rsid w:val="041B3B0D"/>
    <w:rsid w:val="041F33A4"/>
    <w:rsid w:val="04227E09"/>
    <w:rsid w:val="04256881"/>
    <w:rsid w:val="04257D27"/>
    <w:rsid w:val="042C1175"/>
    <w:rsid w:val="042E72BA"/>
    <w:rsid w:val="04361A54"/>
    <w:rsid w:val="043837D8"/>
    <w:rsid w:val="043F0FCC"/>
    <w:rsid w:val="0458216E"/>
    <w:rsid w:val="04633D2A"/>
    <w:rsid w:val="04642403"/>
    <w:rsid w:val="046441B2"/>
    <w:rsid w:val="0470619B"/>
    <w:rsid w:val="047264E0"/>
    <w:rsid w:val="04732D97"/>
    <w:rsid w:val="047929EC"/>
    <w:rsid w:val="047931E4"/>
    <w:rsid w:val="047B754C"/>
    <w:rsid w:val="047C330E"/>
    <w:rsid w:val="04802BB2"/>
    <w:rsid w:val="048112FB"/>
    <w:rsid w:val="048A77DB"/>
    <w:rsid w:val="048B08F7"/>
    <w:rsid w:val="04997356"/>
    <w:rsid w:val="04B3013F"/>
    <w:rsid w:val="04BA605B"/>
    <w:rsid w:val="04BB6582"/>
    <w:rsid w:val="04BF51D4"/>
    <w:rsid w:val="04C30370"/>
    <w:rsid w:val="04C369FD"/>
    <w:rsid w:val="04C87276"/>
    <w:rsid w:val="04CE7B7F"/>
    <w:rsid w:val="04D13EAB"/>
    <w:rsid w:val="04D81CE8"/>
    <w:rsid w:val="04E16ACF"/>
    <w:rsid w:val="04E81C0B"/>
    <w:rsid w:val="04E92750"/>
    <w:rsid w:val="04ED1D07"/>
    <w:rsid w:val="04F33CBA"/>
    <w:rsid w:val="04FB0B72"/>
    <w:rsid w:val="05006805"/>
    <w:rsid w:val="05017788"/>
    <w:rsid w:val="050A0F30"/>
    <w:rsid w:val="051142A3"/>
    <w:rsid w:val="05150D13"/>
    <w:rsid w:val="052054D4"/>
    <w:rsid w:val="052779FB"/>
    <w:rsid w:val="052C7639"/>
    <w:rsid w:val="05490385"/>
    <w:rsid w:val="054A7C8A"/>
    <w:rsid w:val="054D6A6C"/>
    <w:rsid w:val="055D26AF"/>
    <w:rsid w:val="056534E0"/>
    <w:rsid w:val="056834A8"/>
    <w:rsid w:val="05684832"/>
    <w:rsid w:val="056C0F36"/>
    <w:rsid w:val="056E79C6"/>
    <w:rsid w:val="05763BC9"/>
    <w:rsid w:val="057A3526"/>
    <w:rsid w:val="057A799E"/>
    <w:rsid w:val="057E6F65"/>
    <w:rsid w:val="058647BE"/>
    <w:rsid w:val="05880374"/>
    <w:rsid w:val="05881910"/>
    <w:rsid w:val="05913966"/>
    <w:rsid w:val="05926E6B"/>
    <w:rsid w:val="059F17BF"/>
    <w:rsid w:val="05A259F9"/>
    <w:rsid w:val="05A72CCC"/>
    <w:rsid w:val="05A73DC5"/>
    <w:rsid w:val="05B336D5"/>
    <w:rsid w:val="05CC2A3B"/>
    <w:rsid w:val="05CD0D9A"/>
    <w:rsid w:val="05CF249D"/>
    <w:rsid w:val="05D14319"/>
    <w:rsid w:val="05D714EA"/>
    <w:rsid w:val="05E536E6"/>
    <w:rsid w:val="05EA1C44"/>
    <w:rsid w:val="05F2445C"/>
    <w:rsid w:val="05F84C68"/>
    <w:rsid w:val="06077942"/>
    <w:rsid w:val="060A0D89"/>
    <w:rsid w:val="060C359D"/>
    <w:rsid w:val="060F3722"/>
    <w:rsid w:val="062847B3"/>
    <w:rsid w:val="062B0B83"/>
    <w:rsid w:val="062C6587"/>
    <w:rsid w:val="062D67C8"/>
    <w:rsid w:val="06301A1B"/>
    <w:rsid w:val="0631403C"/>
    <w:rsid w:val="0633380C"/>
    <w:rsid w:val="0638362B"/>
    <w:rsid w:val="063E600A"/>
    <w:rsid w:val="06405659"/>
    <w:rsid w:val="064327CF"/>
    <w:rsid w:val="0645654E"/>
    <w:rsid w:val="064F5725"/>
    <w:rsid w:val="06510CDF"/>
    <w:rsid w:val="065C27A8"/>
    <w:rsid w:val="065F50DA"/>
    <w:rsid w:val="06602F2C"/>
    <w:rsid w:val="06626021"/>
    <w:rsid w:val="066D2CED"/>
    <w:rsid w:val="066E2C0B"/>
    <w:rsid w:val="06700010"/>
    <w:rsid w:val="06734EB6"/>
    <w:rsid w:val="067C24CF"/>
    <w:rsid w:val="068731B8"/>
    <w:rsid w:val="068A1FDD"/>
    <w:rsid w:val="069002BE"/>
    <w:rsid w:val="06906B8C"/>
    <w:rsid w:val="069725BC"/>
    <w:rsid w:val="069A3A7C"/>
    <w:rsid w:val="06A24D7D"/>
    <w:rsid w:val="06A6750E"/>
    <w:rsid w:val="06A729E1"/>
    <w:rsid w:val="06A94232"/>
    <w:rsid w:val="06AB1C7E"/>
    <w:rsid w:val="06AC05E7"/>
    <w:rsid w:val="06AF1D16"/>
    <w:rsid w:val="06AF3414"/>
    <w:rsid w:val="06B15237"/>
    <w:rsid w:val="06BA5EB2"/>
    <w:rsid w:val="06CF1EF4"/>
    <w:rsid w:val="06D17DB1"/>
    <w:rsid w:val="06E444B8"/>
    <w:rsid w:val="06F76FBB"/>
    <w:rsid w:val="070615F0"/>
    <w:rsid w:val="07085235"/>
    <w:rsid w:val="07146D7A"/>
    <w:rsid w:val="071A4300"/>
    <w:rsid w:val="0724090E"/>
    <w:rsid w:val="072C5901"/>
    <w:rsid w:val="072D6955"/>
    <w:rsid w:val="07355298"/>
    <w:rsid w:val="073633AE"/>
    <w:rsid w:val="0738618B"/>
    <w:rsid w:val="074E1705"/>
    <w:rsid w:val="074E279C"/>
    <w:rsid w:val="075268B6"/>
    <w:rsid w:val="075C0378"/>
    <w:rsid w:val="075C613A"/>
    <w:rsid w:val="07616A73"/>
    <w:rsid w:val="0768627D"/>
    <w:rsid w:val="07774E9B"/>
    <w:rsid w:val="07852CE2"/>
    <w:rsid w:val="07886D75"/>
    <w:rsid w:val="079A77BC"/>
    <w:rsid w:val="079D6C92"/>
    <w:rsid w:val="079E20C5"/>
    <w:rsid w:val="07A36583"/>
    <w:rsid w:val="07A757F6"/>
    <w:rsid w:val="07A92FCD"/>
    <w:rsid w:val="07AB5A16"/>
    <w:rsid w:val="07C32EAB"/>
    <w:rsid w:val="07CE7516"/>
    <w:rsid w:val="07DA5629"/>
    <w:rsid w:val="07DE3B60"/>
    <w:rsid w:val="07E54B9E"/>
    <w:rsid w:val="08010DA7"/>
    <w:rsid w:val="08033960"/>
    <w:rsid w:val="080954A3"/>
    <w:rsid w:val="080F3123"/>
    <w:rsid w:val="082209F5"/>
    <w:rsid w:val="08220E8F"/>
    <w:rsid w:val="08242F28"/>
    <w:rsid w:val="08252E6C"/>
    <w:rsid w:val="08275EA4"/>
    <w:rsid w:val="08294CB5"/>
    <w:rsid w:val="083036B5"/>
    <w:rsid w:val="08310F19"/>
    <w:rsid w:val="08331FC1"/>
    <w:rsid w:val="083611A9"/>
    <w:rsid w:val="083901EB"/>
    <w:rsid w:val="08394081"/>
    <w:rsid w:val="083943C5"/>
    <w:rsid w:val="08395DAB"/>
    <w:rsid w:val="08404FD2"/>
    <w:rsid w:val="084A2513"/>
    <w:rsid w:val="08515651"/>
    <w:rsid w:val="08587D37"/>
    <w:rsid w:val="085D6EF2"/>
    <w:rsid w:val="085F59AE"/>
    <w:rsid w:val="086303CB"/>
    <w:rsid w:val="08674312"/>
    <w:rsid w:val="086B17B3"/>
    <w:rsid w:val="0875786E"/>
    <w:rsid w:val="0881684A"/>
    <w:rsid w:val="088C3E25"/>
    <w:rsid w:val="08927463"/>
    <w:rsid w:val="08986B20"/>
    <w:rsid w:val="08991A5A"/>
    <w:rsid w:val="089C49FA"/>
    <w:rsid w:val="08AF073A"/>
    <w:rsid w:val="08BD5FE1"/>
    <w:rsid w:val="08BE7798"/>
    <w:rsid w:val="08C333B4"/>
    <w:rsid w:val="08C46A4F"/>
    <w:rsid w:val="08C654F8"/>
    <w:rsid w:val="08CA79C7"/>
    <w:rsid w:val="08D54B6A"/>
    <w:rsid w:val="08D73E78"/>
    <w:rsid w:val="08DB6139"/>
    <w:rsid w:val="08DD4FAE"/>
    <w:rsid w:val="08DE001E"/>
    <w:rsid w:val="08DE502C"/>
    <w:rsid w:val="08DE7E03"/>
    <w:rsid w:val="08EB2EDB"/>
    <w:rsid w:val="08ED6D3B"/>
    <w:rsid w:val="08FB16E4"/>
    <w:rsid w:val="08FB2C3C"/>
    <w:rsid w:val="08FE2EDE"/>
    <w:rsid w:val="08FE5206"/>
    <w:rsid w:val="090E2C7F"/>
    <w:rsid w:val="09140F8D"/>
    <w:rsid w:val="09150DAF"/>
    <w:rsid w:val="09155095"/>
    <w:rsid w:val="091D10D0"/>
    <w:rsid w:val="09210482"/>
    <w:rsid w:val="092105FC"/>
    <w:rsid w:val="09222AB2"/>
    <w:rsid w:val="092629C0"/>
    <w:rsid w:val="09266115"/>
    <w:rsid w:val="093303B8"/>
    <w:rsid w:val="094318A6"/>
    <w:rsid w:val="09446DB4"/>
    <w:rsid w:val="094811BB"/>
    <w:rsid w:val="094F18C1"/>
    <w:rsid w:val="0954257E"/>
    <w:rsid w:val="09583F76"/>
    <w:rsid w:val="095929D4"/>
    <w:rsid w:val="095A003F"/>
    <w:rsid w:val="095B02C8"/>
    <w:rsid w:val="09606CDC"/>
    <w:rsid w:val="09631FC1"/>
    <w:rsid w:val="09651D94"/>
    <w:rsid w:val="096F5B71"/>
    <w:rsid w:val="097F0134"/>
    <w:rsid w:val="098601E8"/>
    <w:rsid w:val="098A1F77"/>
    <w:rsid w:val="09915044"/>
    <w:rsid w:val="099872CF"/>
    <w:rsid w:val="09991A94"/>
    <w:rsid w:val="099B0B43"/>
    <w:rsid w:val="09A07C38"/>
    <w:rsid w:val="09A137B2"/>
    <w:rsid w:val="09A2636C"/>
    <w:rsid w:val="09A44BA0"/>
    <w:rsid w:val="09AA495F"/>
    <w:rsid w:val="09AC53C9"/>
    <w:rsid w:val="09B630C3"/>
    <w:rsid w:val="09BD4BE0"/>
    <w:rsid w:val="09C222A5"/>
    <w:rsid w:val="09C27E4D"/>
    <w:rsid w:val="09C81C8D"/>
    <w:rsid w:val="09CB6B07"/>
    <w:rsid w:val="09CC1439"/>
    <w:rsid w:val="09CD0E22"/>
    <w:rsid w:val="09CD713D"/>
    <w:rsid w:val="09DA121F"/>
    <w:rsid w:val="09F43143"/>
    <w:rsid w:val="09FA2B3C"/>
    <w:rsid w:val="09FA772F"/>
    <w:rsid w:val="09FB6D64"/>
    <w:rsid w:val="09FD0F85"/>
    <w:rsid w:val="0A030CE9"/>
    <w:rsid w:val="0A0D0EE1"/>
    <w:rsid w:val="0A1B5347"/>
    <w:rsid w:val="0A33530F"/>
    <w:rsid w:val="0A346C5C"/>
    <w:rsid w:val="0A451ABA"/>
    <w:rsid w:val="0A4707FD"/>
    <w:rsid w:val="0A486965"/>
    <w:rsid w:val="0A4B2E8D"/>
    <w:rsid w:val="0A5317DF"/>
    <w:rsid w:val="0A534D83"/>
    <w:rsid w:val="0A564C39"/>
    <w:rsid w:val="0A5B0F4C"/>
    <w:rsid w:val="0A61640A"/>
    <w:rsid w:val="0A6536D8"/>
    <w:rsid w:val="0A6A580E"/>
    <w:rsid w:val="0A6B730C"/>
    <w:rsid w:val="0A7611EF"/>
    <w:rsid w:val="0A765DBA"/>
    <w:rsid w:val="0A7A1EF7"/>
    <w:rsid w:val="0A937773"/>
    <w:rsid w:val="0A987047"/>
    <w:rsid w:val="0AA05D85"/>
    <w:rsid w:val="0AAD109D"/>
    <w:rsid w:val="0ABB417A"/>
    <w:rsid w:val="0ABE47A4"/>
    <w:rsid w:val="0AC71E05"/>
    <w:rsid w:val="0ACC2910"/>
    <w:rsid w:val="0ACC3151"/>
    <w:rsid w:val="0AD014F5"/>
    <w:rsid w:val="0AD16821"/>
    <w:rsid w:val="0AD45A3C"/>
    <w:rsid w:val="0AD60B60"/>
    <w:rsid w:val="0ADC78D2"/>
    <w:rsid w:val="0ADF4793"/>
    <w:rsid w:val="0AE11813"/>
    <w:rsid w:val="0AE3323E"/>
    <w:rsid w:val="0AE3404E"/>
    <w:rsid w:val="0AEB11A6"/>
    <w:rsid w:val="0AEC3E44"/>
    <w:rsid w:val="0AEE609E"/>
    <w:rsid w:val="0AEF478A"/>
    <w:rsid w:val="0AF51E84"/>
    <w:rsid w:val="0AFA1E0F"/>
    <w:rsid w:val="0AFC1AD5"/>
    <w:rsid w:val="0B041299"/>
    <w:rsid w:val="0B062542"/>
    <w:rsid w:val="0B0E47F4"/>
    <w:rsid w:val="0B112BB9"/>
    <w:rsid w:val="0B14238E"/>
    <w:rsid w:val="0B1C17AD"/>
    <w:rsid w:val="0B1F62C7"/>
    <w:rsid w:val="0B283787"/>
    <w:rsid w:val="0B2D6F6E"/>
    <w:rsid w:val="0B324625"/>
    <w:rsid w:val="0B324CD2"/>
    <w:rsid w:val="0B345DB1"/>
    <w:rsid w:val="0B363DD8"/>
    <w:rsid w:val="0B3A4657"/>
    <w:rsid w:val="0B3C5BB9"/>
    <w:rsid w:val="0B4372E2"/>
    <w:rsid w:val="0B48487F"/>
    <w:rsid w:val="0B5979A6"/>
    <w:rsid w:val="0B5A2079"/>
    <w:rsid w:val="0B5B5996"/>
    <w:rsid w:val="0B5C3E34"/>
    <w:rsid w:val="0B5F7467"/>
    <w:rsid w:val="0B6075D7"/>
    <w:rsid w:val="0B627AD4"/>
    <w:rsid w:val="0B6A0BB3"/>
    <w:rsid w:val="0B735FF2"/>
    <w:rsid w:val="0B792EB2"/>
    <w:rsid w:val="0B8035EB"/>
    <w:rsid w:val="0B84164E"/>
    <w:rsid w:val="0B892750"/>
    <w:rsid w:val="0B89731E"/>
    <w:rsid w:val="0B904412"/>
    <w:rsid w:val="0B90485D"/>
    <w:rsid w:val="0B913EDA"/>
    <w:rsid w:val="0B9C76A8"/>
    <w:rsid w:val="0BA50775"/>
    <w:rsid w:val="0BA749E5"/>
    <w:rsid w:val="0BAC24A8"/>
    <w:rsid w:val="0BAE1323"/>
    <w:rsid w:val="0BB42E0A"/>
    <w:rsid w:val="0BBA3391"/>
    <w:rsid w:val="0BD05C8A"/>
    <w:rsid w:val="0BD62605"/>
    <w:rsid w:val="0BDC3258"/>
    <w:rsid w:val="0BDE3581"/>
    <w:rsid w:val="0BE52963"/>
    <w:rsid w:val="0BE57BC8"/>
    <w:rsid w:val="0BE85349"/>
    <w:rsid w:val="0BF57A28"/>
    <w:rsid w:val="0BF845E9"/>
    <w:rsid w:val="0BFA1A53"/>
    <w:rsid w:val="0C074F06"/>
    <w:rsid w:val="0C0B1E5B"/>
    <w:rsid w:val="0C146F99"/>
    <w:rsid w:val="0C163DCB"/>
    <w:rsid w:val="0C1A584B"/>
    <w:rsid w:val="0C1F5892"/>
    <w:rsid w:val="0C207391"/>
    <w:rsid w:val="0C2275D5"/>
    <w:rsid w:val="0C2D70F9"/>
    <w:rsid w:val="0C342312"/>
    <w:rsid w:val="0C363AA9"/>
    <w:rsid w:val="0C373B19"/>
    <w:rsid w:val="0C3F7E0B"/>
    <w:rsid w:val="0C456335"/>
    <w:rsid w:val="0C53740C"/>
    <w:rsid w:val="0C563E70"/>
    <w:rsid w:val="0C631545"/>
    <w:rsid w:val="0C6E187C"/>
    <w:rsid w:val="0C7D4D8F"/>
    <w:rsid w:val="0C80052F"/>
    <w:rsid w:val="0C8C06D3"/>
    <w:rsid w:val="0C900DC2"/>
    <w:rsid w:val="0C980884"/>
    <w:rsid w:val="0C9961AF"/>
    <w:rsid w:val="0C9A18AD"/>
    <w:rsid w:val="0C9A50FF"/>
    <w:rsid w:val="0C9B3EE0"/>
    <w:rsid w:val="0C9C2E80"/>
    <w:rsid w:val="0CA20B1F"/>
    <w:rsid w:val="0CA44E41"/>
    <w:rsid w:val="0CA77405"/>
    <w:rsid w:val="0CA83489"/>
    <w:rsid w:val="0CA96FA5"/>
    <w:rsid w:val="0CAE5B1B"/>
    <w:rsid w:val="0CB224D8"/>
    <w:rsid w:val="0CB31FF7"/>
    <w:rsid w:val="0CB45BFD"/>
    <w:rsid w:val="0CB7503A"/>
    <w:rsid w:val="0CB75099"/>
    <w:rsid w:val="0CB80D6E"/>
    <w:rsid w:val="0CBF360E"/>
    <w:rsid w:val="0CC10497"/>
    <w:rsid w:val="0CC30BC5"/>
    <w:rsid w:val="0CC42150"/>
    <w:rsid w:val="0CC45545"/>
    <w:rsid w:val="0CC71781"/>
    <w:rsid w:val="0CCB0FDF"/>
    <w:rsid w:val="0CCD2A5C"/>
    <w:rsid w:val="0CDC1817"/>
    <w:rsid w:val="0CDC515C"/>
    <w:rsid w:val="0D0167C5"/>
    <w:rsid w:val="0D0B2A13"/>
    <w:rsid w:val="0D112021"/>
    <w:rsid w:val="0D12133D"/>
    <w:rsid w:val="0D1F7151"/>
    <w:rsid w:val="0D200D54"/>
    <w:rsid w:val="0D2B7DB2"/>
    <w:rsid w:val="0D3152D9"/>
    <w:rsid w:val="0D354A50"/>
    <w:rsid w:val="0D384916"/>
    <w:rsid w:val="0D427E08"/>
    <w:rsid w:val="0D444358"/>
    <w:rsid w:val="0D4775E8"/>
    <w:rsid w:val="0D4A1977"/>
    <w:rsid w:val="0D4B602E"/>
    <w:rsid w:val="0D511FCD"/>
    <w:rsid w:val="0D52698E"/>
    <w:rsid w:val="0D583C5F"/>
    <w:rsid w:val="0D5D658F"/>
    <w:rsid w:val="0D6029A5"/>
    <w:rsid w:val="0D6063D4"/>
    <w:rsid w:val="0D665CD7"/>
    <w:rsid w:val="0D667E20"/>
    <w:rsid w:val="0D693967"/>
    <w:rsid w:val="0D6B6C90"/>
    <w:rsid w:val="0D7170F8"/>
    <w:rsid w:val="0D922931"/>
    <w:rsid w:val="0D95263C"/>
    <w:rsid w:val="0D9B6A6D"/>
    <w:rsid w:val="0DA81B9F"/>
    <w:rsid w:val="0DAD79F2"/>
    <w:rsid w:val="0DB403B1"/>
    <w:rsid w:val="0DB47CEC"/>
    <w:rsid w:val="0DBB3CA5"/>
    <w:rsid w:val="0DBB4EDD"/>
    <w:rsid w:val="0DC37BF2"/>
    <w:rsid w:val="0DC436B0"/>
    <w:rsid w:val="0DC62A65"/>
    <w:rsid w:val="0DC9693F"/>
    <w:rsid w:val="0DCC1715"/>
    <w:rsid w:val="0DCE4BC6"/>
    <w:rsid w:val="0DD82C48"/>
    <w:rsid w:val="0DDB6385"/>
    <w:rsid w:val="0DE057D2"/>
    <w:rsid w:val="0DF024FC"/>
    <w:rsid w:val="0DF0632D"/>
    <w:rsid w:val="0DF475E0"/>
    <w:rsid w:val="0E0E09E4"/>
    <w:rsid w:val="0E0E0AE3"/>
    <w:rsid w:val="0E184477"/>
    <w:rsid w:val="0E1A4501"/>
    <w:rsid w:val="0E1A78B5"/>
    <w:rsid w:val="0E21196E"/>
    <w:rsid w:val="0E227E98"/>
    <w:rsid w:val="0E27140B"/>
    <w:rsid w:val="0E275D7B"/>
    <w:rsid w:val="0E2D4D70"/>
    <w:rsid w:val="0E3B2663"/>
    <w:rsid w:val="0E443DBA"/>
    <w:rsid w:val="0E465F52"/>
    <w:rsid w:val="0E4C7DA3"/>
    <w:rsid w:val="0E576A70"/>
    <w:rsid w:val="0E587DB8"/>
    <w:rsid w:val="0E6B437E"/>
    <w:rsid w:val="0E6B6A22"/>
    <w:rsid w:val="0E6F53AB"/>
    <w:rsid w:val="0E701F1A"/>
    <w:rsid w:val="0E793535"/>
    <w:rsid w:val="0E795DEE"/>
    <w:rsid w:val="0E7B3260"/>
    <w:rsid w:val="0E804638"/>
    <w:rsid w:val="0E854758"/>
    <w:rsid w:val="0EA50BFC"/>
    <w:rsid w:val="0EAB0282"/>
    <w:rsid w:val="0EC370FE"/>
    <w:rsid w:val="0EC37F14"/>
    <w:rsid w:val="0EC4408A"/>
    <w:rsid w:val="0ECA6F05"/>
    <w:rsid w:val="0ECD6BD5"/>
    <w:rsid w:val="0EDA3DE0"/>
    <w:rsid w:val="0EDB5829"/>
    <w:rsid w:val="0EE241B0"/>
    <w:rsid w:val="0EE470B9"/>
    <w:rsid w:val="0EE51F3F"/>
    <w:rsid w:val="0EE67C37"/>
    <w:rsid w:val="0EE96C61"/>
    <w:rsid w:val="0EEF6278"/>
    <w:rsid w:val="0F043F0A"/>
    <w:rsid w:val="0F070719"/>
    <w:rsid w:val="0F0E340F"/>
    <w:rsid w:val="0F110F65"/>
    <w:rsid w:val="0F126FC2"/>
    <w:rsid w:val="0F167114"/>
    <w:rsid w:val="0F1821BC"/>
    <w:rsid w:val="0F1F71AB"/>
    <w:rsid w:val="0F206FE9"/>
    <w:rsid w:val="0F246E43"/>
    <w:rsid w:val="0F2F2F21"/>
    <w:rsid w:val="0F303168"/>
    <w:rsid w:val="0F3346BD"/>
    <w:rsid w:val="0F356B4F"/>
    <w:rsid w:val="0F3E6D6B"/>
    <w:rsid w:val="0F521390"/>
    <w:rsid w:val="0F551890"/>
    <w:rsid w:val="0F5A4BDF"/>
    <w:rsid w:val="0F5B58BB"/>
    <w:rsid w:val="0F6735DF"/>
    <w:rsid w:val="0F6A4B85"/>
    <w:rsid w:val="0F716691"/>
    <w:rsid w:val="0F735DB2"/>
    <w:rsid w:val="0F7840D6"/>
    <w:rsid w:val="0F7B2D75"/>
    <w:rsid w:val="0F873A0E"/>
    <w:rsid w:val="0F883C70"/>
    <w:rsid w:val="0F8B6CB6"/>
    <w:rsid w:val="0F9177B5"/>
    <w:rsid w:val="0F9A3FA1"/>
    <w:rsid w:val="0F9E606C"/>
    <w:rsid w:val="0FA17F55"/>
    <w:rsid w:val="0FA35FFE"/>
    <w:rsid w:val="0FA821B8"/>
    <w:rsid w:val="0FAE546F"/>
    <w:rsid w:val="0FB50512"/>
    <w:rsid w:val="0FB57FA4"/>
    <w:rsid w:val="0FB8781F"/>
    <w:rsid w:val="0FC24482"/>
    <w:rsid w:val="0FC754B6"/>
    <w:rsid w:val="0FCD46F4"/>
    <w:rsid w:val="0FCE3065"/>
    <w:rsid w:val="0FE107E2"/>
    <w:rsid w:val="0FE336DE"/>
    <w:rsid w:val="0FED1D3E"/>
    <w:rsid w:val="10010880"/>
    <w:rsid w:val="10026084"/>
    <w:rsid w:val="10065756"/>
    <w:rsid w:val="100A69A4"/>
    <w:rsid w:val="100E17EE"/>
    <w:rsid w:val="10140347"/>
    <w:rsid w:val="101B54B3"/>
    <w:rsid w:val="101C6175"/>
    <w:rsid w:val="102E7ECD"/>
    <w:rsid w:val="104210EE"/>
    <w:rsid w:val="10444B77"/>
    <w:rsid w:val="10447AF9"/>
    <w:rsid w:val="104835D9"/>
    <w:rsid w:val="10495D6E"/>
    <w:rsid w:val="104C1069"/>
    <w:rsid w:val="10513C3F"/>
    <w:rsid w:val="10541F36"/>
    <w:rsid w:val="105D2D1E"/>
    <w:rsid w:val="10623D8F"/>
    <w:rsid w:val="10625663"/>
    <w:rsid w:val="106737C7"/>
    <w:rsid w:val="10703686"/>
    <w:rsid w:val="1075160B"/>
    <w:rsid w:val="107760A9"/>
    <w:rsid w:val="10780D89"/>
    <w:rsid w:val="107B52AA"/>
    <w:rsid w:val="107D625B"/>
    <w:rsid w:val="107E75D8"/>
    <w:rsid w:val="10805AB8"/>
    <w:rsid w:val="108161A3"/>
    <w:rsid w:val="1089301A"/>
    <w:rsid w:val="108B29C7"/>
    <w:rsid w:val="10901F21"/>
    <w:rsid w:val="10974AA9"/>
    <w:rsid w:val="10A21388"/>
    <w:rsid w:val="10A60889"/>
    <w:rsid w:val="10AA391A"/>
    <w:rsid w:val="10B27075"/>
    <w:rsid w:val="10B27B37"/>
    <w:rsid w:val="10B33FFC"/>
    <w:rsid w:val="10BA25C0"/>
    <w:rsid w:val="10BE4FAA"/>
    <w:rsid w:val="10C02E80"/>
    <w:rsid w:val="10C121EA"/>
    <w:rsid w:val="10C2285B"/>
    <w:rsid w:val="10C54276"/>
    <w:rsid w:val="10D27169"/>
    <w:rsid w:val="10D309E2"/>
    <w:rsid w:val="10D621B1"/>
    <w:rsid w:val="10D81E5C"/>
    <w:rsid w:val="10DA39AB"/>
    <w:rsid w:val="10DE746C"/>
    <w:rsid w:val="10E154B4"/>
    <w:rsid w:val="10E35E53"/>
    <w:rsid w:val="10E657ED"/>
    <w:rsid w:val="10EB7A42"/>
    <w:rsid w:val="10F16967"/>
    <w:rsid w:val="10F21B48"/>
    <w:rsid w:val="10F61CDD"/>
    <w:rsid w:val="10F91FDE"/>
    <w:rsid w:val="10F941E9"/>
    <w:rsid w:val="10FD39C4"/>
    <w:rsid w:val="11083015"/>
    <w:rsid w:val="110A357B"/>
    <w:rsid w:val="110D2E2E"/>
    <w:rsid w:val="1113498F"/>
    <w:rsid w:val="11145DE6"/>
    <w:rsid w:val="111A2147"/>
    <w:rsid w:val="112252CB"/>
    <w:rsid w:val="11360EF9"/>
    <w:rsid w:val="113641BB"/>
    <w:rsid w:val="11390D90"/>
    <w:rsid w:val="113B0B58"/>
    <w:rsid w:val="113D4F12"/>
    <w:rsid w:val="113D775B"/>
    <w:rsid w:val="11410876"/>
    <w:rsid w:val="114608E7"/>
    <w:rsid w:val="11470C68"/>
    <w:rsid w:val="114F3D65"/>
    <w:rsid w:val="115347BC"/>
    <w:rsid w:val="11545887"/>
    <w:rsid w:val="11597C64"/>
    <w:rsid w:val="11602A9E"/>
    <w:rsid w:val="116228E3"/>
    <w:rsid w:val="11631325"/>
    <w:rsid w:val="116345A4"/>
    <w:rsid w:val="11667833"/>
    <w:rsid w:val="11687433"/>
    <w:rsid w:val="1178450A"/>
    <w:rsid w:val="117B53DF"/>
    <w:rsid w:val="117B71D3"/>
    <w:rsid w:val="117F3E6E"/>
    <w:rsid w:val="11814B86"/>
    <w:rsid w:val="11821F79"/>
    <w:rsid w:val="11845F00"/>
    <w:rsid w:val="11885DD3"/>
    <w:rsid w:val="118A58E4"/>
    <w:rsid w:val="118C56EA"/>
    <w:rsid w:val="118F0DB3"/>
    <w:rsid w:val="11916F88"/>
    <w:rsid w:val="11A51BB6"/>
    <w:rsid w:val="11AC6860"/>
    <w:rsid w:val="11B1238B"/>
    <w:rsid w:val="11B62D0B"/>
    <w:rsid w:val="11BB2EE7"/>
    <w:rsid w:val="11BE6E3E"/>
    <w:rsid w:val="11BF32D9"/>
    <w:rsid w:val="11C01746"/>
    <w:rsid w:val="11C24AE6"/>
    <w:rsid w:val="11C52A21"/>
    <w:rsid w:val="11C75474"/>
    <w:rsid w:val="11D26FDB"/>
    <w:rsid w:val="11D435B9"/>
    <w:rsid w:val="11D8409F"/>
    <w:rsid w:val="11D95083"/>
    <w:rsid w:val="11DD2AAB"/>
    <w:rsid w:val="11DE26F2"/>
    <w:rsid w:val="11DF6987"/>
    <w:rsid w:val="11EA23C8"/>
    <w:rsid w:val="11EB5C95"/>
    <w:rsid w:val="11ED6242"/>
    <w:rsid w:val="11F27C95"/>
    <w:rsid w:val="12010E7D"/>
    <w:rsid w:val="120506CD"/>
    <w:rsid w:val="12075A2C"/>
    <w:rsid w:val="120A0C4D"/>
    <w:rsid w:val="120A38DA"/>
    <w:rsid w:val="12101A57"/>
    <w:rsid w:val="12193170"/>
    <w:rsid w:val="12193813"/>
    <w:rsid w:val="121D6AE3"/>
    <w:rsid w:val="121F75CC"/>
    <w:rsid w:val="12271CB0"/>
    <w:rsid w:val="122C1A12"/>
    <w:rsid w:val="1232130B"/>
    <w:rsid w:val="12330478"/>
    <w:rsid w:val="123338D3"/>
    <w:rsid w:val="12395D63"/>
    <w:rsid w:val="12401AD9"/>
    <w:rsid w:val="124038C8"/>
    <w:rsid w:val="12421E9D"/>
    <w:rsid w:val="1248421F"/>
    <w:rsid w:val="12571C4D"/>
    <w:rsid w:val="125C09FF"/>
    <w:rsid w:val="12657F0C"/>
    <w:rsid w:val="126830F6"/>
    <w:rsid w:val="126B5207"/>
    <w:rsid w:val="126F57E1"/>
    <w:rsid w:val="12760E78"/>
    <w:rsid w:val="127673DB"/>
    <w:rsid w:val="127755C8"/>
    <w:rsid w:val="127E0189"/>
    <w:rsid w:val="12810A1D"/>
    <w:rsid w:val="12854B81"/>
    <w:rsid w:val="128E070E"/>
    <w:rsid w:val="12927837"/>
    <w:rsid w:val="129B0ED7"/>
    <w:rsid w:val="12A30BAA"/>
    <w:rsid w:val="12A709D5"/>
    <w:rsid w:val="12A867C5"/>
    <w:rsid w:val="12B56515"/>
    <w:rsid w:val="12BE11B2"/>
    <w:rsid w:val="12BE1828"/>
    <w:rsid w:val="12C10F70"/>
    <w:rsid w:val="12C21464"/>
    <w:rsid w:val="12C40A29"/>
    <w:rsid w:val="12C42DA1"/>
    <w:rsid w:val="12C45CF0"/>
    <w:rsid w:val="12C948D2"/>
    <w:rsid w:val="12CB14EE"/>
    <w:rsid w:val="12CE6902"/>
    <w:rsid w:val="12D54B1A"/>
    <w:rsid w:val="12E93B89"/>
    <w:rsid w:val="12EE0F39"/>
    <w:rsid w:val="12EF155A"/>
    <w:rsid w:val="12F17350"/>
    <w:rsid w:val="12F712FB"/>
    <w:rsid w:val="12FA0E2E"/>
    <w:rsid w:val="12FF7A62"/>
    <w:rsid w:val="13037A88"/>
    <w:rsid w:val="1318450B"/>
    <w:rsid w:val="133844CA"/>
    <w:rsid w:val="1347596A"/>
    <w:rsid w:val="13477178"/>
    <w:rsid w:val="134B5A55"/>
    <w:rsid w:val="134C0AA1"/>
    <w:rsid w:val="134F5D9B"/>
    <w:rsid w:val="135369A3"/>
    <w:rsid w:val="13576E97"/>
    <w:rsid w:val="136041BC"/>
    <w:rsid w:val="13663337"/>
    <w:rsid w:val="136F4FE6"/>
    <w:rsid w:val="13713F6F"/>
    <w:rsid w:val="13762A14"/>
    <w:rsid w:val="13790756"/>
    <w:rsid w:val="137B6EE7"/>
    <w:rsid w:val="137E2E27"/>
    <w:rsid w:val="138C25C7"/>
    <w:rsid w:val="138E61F6"/>
    <w:rsid w:val="138E741D"/>
    <w:rsid w:val="138F279E"/>
    <w:rsid w:val="1390357D"/>
    <w:rsid w:val="139670E5"/>
    <w:rsid w:val="13970D93"/>
    <w:rsid w:val="139F1C24"/>
    <w:rsid w:val="13A023E7"/>
    <w:rsid w:val="13A04270"/>
    <w:rsid w:val="13A86C77"/>
    <w:rsid w:val="13A90344"/>
    <w:rsid w:val="13A9454D"/>
    <w:rsid w:val="13AA7C1A"/>
    <w:rsid w:val="13B35BBD"/>
    <w:rsid w:val="13BF3D28"/>
    <w:rsid w:val="13C32466"/>
    <w:rsid w:val="13C5566A"/>
    <w:rsid w:val="13C77F07"/>
    <w:rsid w:val="13CE4E2F"/>
    <w:rsid w:val="13CF48B4"/>
    <w:rsid w:val="13E45E4B"/>
    <w:rsid w:val="13E62DA6"/>
    <w:rsid w:val="13EE5B08"/>
    <w:rsid w:val="13F211C8"/>
    <w:rsid w:val="13F5027E"/>
    <w:rsid w:val="13F57229"/>
    <w:rsid w:val="13F60043"/>
    <w:rsid w:val="13F63AC9"/>
    <w:rsid w:val="13FE1F68"/>
    <w:rsid w:val="13FF4761"/>
    <w:rsid w:val="1401651E"/>
    <w:rsid w:val="14065625"/>
    <w:rsid w:val="14127CF3"/>
    <w:rsid w:val="1416357F"/>
    <w:rsid w:val="14175C6D"/>
    <w:rsid w:val="14182B9E"/>
    <w:rsid w:val="141A193D"/>
    <w:rsid w:val="141E08F4"/>
    <w:rsid w:val="14211963"/>
    <w:rsid w:val="14213028"/>
    <w:rsid w:val="142160CA"/>
    <w:rsid w:val="142E4E6B"/>
    <w:rsid w:val="14332094"/>
    <w:rsid w:val="143B554F"/>
    <w:rsid w:val="144128ED"/>
    <w:rsid w:val="144D721A"/>
    <w:rsid w:val="14504C78"/>
    <w:rsid w:val="14552700"/>
    <w:rsid w:val="1455301F"/>
    <w:rsid w:val="145E0ED6"/>
    <w:rsid w:val="145F3E15"/>
    <w:rsid w:val="145F4E9E"/>
    <w:rsid w:val="14662A35"/>
    <w:rsid w:val="1468041E"/>
    <w:rsid w:val="146A5814"/>
    <w:rsid w:val="146D4E79"/>
    <w:rsid w:val="1479121F"/>
    <w:rsid w:val="147C1504"/>
    <w:rsid w:val="148112AD"/>
    <w:rsid w:val="148B2440"/>
    <w:rsid w:val="148B578A"/>
    <w:rsid w:val="14933736"/>
    <w:rsid w:val="149D19D1"/>
    <w:rsid w:val="14AA1497"/>
    <w:rsid w:val="14AD1F0C"/>
    <w:rsid w:val="14AD2447"/>
    <w:rsid w:val="14BD0C90"/>
    <w:rsid w:val="14BD7435"/>
    <w:rsid w:val="14D13225"/>
    <w:rsid w:val="14D41B03"/>
    <w:rsid w:val="14D63FB7"/>
    <w:rsid w:val="14E11E90"/>
    <w:rsid w:val="14EC7262"/>
    <w:rsid w:val="14F50637"/>
    <w:rsid w:val="14F56962"/>
    <w:rsid w:val="14FD3DC3"/>
    <w:rsid w:val="14FE4181"/>
    <w:rsid w:val="15052F44"/>
    <w:rsid w:val="1513143F"/>
    <w:rsid w:val="152446F6"/>
    <w:rsid w:val="15274A34"/>
    <w:rsid w:val="152C74BF"/>
    <w:rsid w:val="152E54C4"/>
    <w:rsid w:val="1535555F"/>
    <w:rsid w:val="15382813"/>
    <w:rsid w:val="154B27A9"/>
    <w:rsid w:val="154B6CF6"/>
    <w:rsid w:val="154D1CF1"/>
    <w:rsid w:val="15516306"/>
    <w:rsid w:val="155B06BC"/>
    <w:rsid w:val="155B6FCC"/>
    <w:rsid w:val="15620F8B"/>
    <w:rsid w:val="156514F3"/>
    <w:rsid w:val="15657023"/>
    <w:rsid w:val="156B264F"/>
    <w:rsid w:val="15707694"/>
    <w:rsid w:val="157477F0"/>
    <w:rsid w:val="157839EE"/>
    <w:rsid w:val="157F4B83"/>
    <w:rsid w:val="15862A25"/>
    <w:rsid w:val="15864057"/>
    <w:rsid w:val="158A2F64"/>
    <w:rsid w:val="158C53F6"/>
    <w:rsid w:val="15946EC2"/>
    <w:rsid w:val="1594709F"/>
    <w:rsid w:val="159B1410"/>
    <w:rsid w:val="159D2E6C"/>
    <w:rsid w:val="159E4A3E"/>
    <w:rsid w:val="15A412DF"/>
    <w:rsid w:val="15A625C0"/>
    <w:rsid w:val="15A70541"/>
    <w:rsid w:val="15A7643A"/>
    <w:rsid w:val="15AD4348"/>
    <w:rsid w:val="15AD7612"/>
    <w:rsid w:val="15B96153"/>
    <w:rsid w:val="15BC619F"/>
    <w:rsid w:val="15BD0132"/>
    <w:rsid w:val="15BF618A"/>
    <w:rsid w:val="15C256BE"/>
    <w:rsid w:val="15C40EFF"/>
    <w:rsid w:val="15CA097E"/>
    <w:rsid w:val="15D33940"/>
    <w:rsid w:val="15D92955"/>
    <w:rsid w:val="15F5535B"/>
    <w:rsid w:val="15F569FA"/>
    <w:rsid w:val="15F656C7"/>
    <w:rsid w:val="15F85F00"/>
    <w:rsid w:val="15F969EC"/>
    <w:rsid w:val="16005D04"/>
    <w:rsid w:val="160628EA"/>
    <w:rsid w:val="1607152F"/>
    <w:rsid w:val="160D7883"/>
    <w:rsid w:val="160E7A4D"/>
    <w:rsid w:val="16104DB0"/>
    <w:rsid w:val="16120AEC"/>
    <w:rsid w:val="1613433D"/>
    <w:rsid w:val="16200AF2"/>
    <w:rsid w:val="162A2BA0"/>
    <w:rsid w:val="162E270B"/>
    <w:rsid w:val="162E2ADD"/>
    <w:rsid w:val="16313AA6"/>
    <w:rsid w:val="163267A4"/>
    <w:rsid w:val="163C0B35"/>
    <w:rsid w:val="16405266"/>
    <w:rsid w:val="164561DB"/>
    <w:rsid w:val="1651617C"/>
    <w:rsid w:val="165A2EC2"/>
    <w:rsid w:val="16672683"/>
    <w:rsid w:val="166852CC"/>
    <w:rsid w:val="16696EE3"/>
    <w:rsid w:val="16713663"/>
    <w:rsid w:val="167518D2"/>
    <w:rsid w:val="167B69FF"/>
    <w:rsid w:val="168864E9"/>
    <w:rsid w:val="16900241"/>
    <w:rsid w:val="16907088"/>
    <w:rsid w:val="1697702E"/>
    <w:rsid w:val="169A4327"/>
    <w:rsid w:val="169D4FCC"/>
    <w:rsid w:val="16A26D59"/>
    <w:rsid w:val="16A31912"/>
    <w:rsid w:val="16A52825"/>
    <w:rsid w:val="16A56817"/>
    <w:rsid w:val="16A60389"/>
    <w:rsid w:val="16AC66DD"/>
    <w:rsid w:val="16AD326E"/>
    <w:rsid w:val="16B06BAD"/>
    <w:rsid w:val="16B17712"/>
    <w:rsid w:val="16B95CF7"/>
    <w:rsid w:val="16BC6189"/>
    <w:rsid w:val="16C42B77"/>
    <w:rsid w:val="16D55B33"/>
    <w:rsid w:val="16D74218"/>
    <w:rsid w:val="16DD2E8B"/>
    <w:rsid w:val="16E376E7"/>
    <w:rsid w:val="16E40C30"/>
    <w:rsid w:val="16E72981"/>
    <w:rsid w:val="16EA1CE7"/>
    <w:rsid w:val="16EB66D9"/>
    <w:rsid w:val="16EE35CD"/>
    <w:rsid w:val="16F47BF5"/>
    <w:rsid w:val="16F500A9"/>
    <w:rsid w:val="16F872C3"/>
    <w:rsid w:val="16FA06E3"/>
    <w:rsid w:val="1701047D"/>
    <w:rsid w:val="170167F2"/>
    <w:rsid w:val="17035AAC"/>
    <w:rsid w:val="17054499"/>
    <w:rsid w:val="170B0BD9"/>
    <w:rsid w:val="170D5EDA"/>
    <w:rsid w:val="17182913"/>
    <w:rsid w:val="17197EC3"/>
    <w:rsid w:val="171E08F7"/>
    <w:rsid w:val="171E2D1A"/>
    <w:rsid w:val="172E1BBE"/>
    <w:rsid w:val="17377B8C"/>
    <w:rsid w:val="173A6824"/>
    <w:rsid w:val="173B1FA1"/>
    <w:rsid w:val="173C594E"/>
    <w:rsid w:val="173D1596"/>
    <w:rsid w:val="173D2EC3"/>
    <w:rsid w:val="1748452F"/>
    <w:rsid w:val="17503F57"/>
    <w:rsid w:val="17505DD6"/>
    <w:rsid w:val="17586CB0"/>
    <w:rsid w:val="17596CA9"/>
    <w:rsid w:val="17600681"/>
    <w:rsid w:val="176142CC"/>
    <w:rsid w:val="176522E6"/>
    <w:rsid w:val="17665D9F"/>
    <w:rsid w:val="17694484"/>
    <w:rsid w:val="176958FE"/>
    <w:rsid w:val="17696EA4"/>
    <w:rsid w:val="17795030"/>
    <w:rsid w:val="177B0627"/>
    <w:rsid w:val="177D3C16"/>
    <w:rsid w:val="178501CB"/>
    <w:rsid w:val="178A042D"/>
    <w:rsid w:val="178A1F82"/>
    <w:rsid w:val="17916104"/>
    <w:rsid w:val="17920EA7"/>
    <w:rsid w:val="1797450B"/>
    <w:rsid w:val="17985148"/>
    <w:rsid w:val="17A644BF"/>
    <w:rsid w:val="17A90C9E"/>
    <w:rsid w:val="17A92F07"/>
    <w:rsid w:val="17A93B09"/>
    <w:rsid w:val="17B23E0F"/>
    <w:rsid w:val="17B31B32"/>
    <w:rsid w:val="17B80549"/>
    <w:rsid w:val="17BD6166"/>
    <w:rsid w:val="17C063A0"/>
    <w:rsid w:val="17C16366"/>
    <w:rsid w:val="17C76A67"/>
    <w:rsid w:val="17CA22FD"/>
    <w:rsid w:val="17CF3A14"/>
    <w:rsid w:val="17DA0F7A"/>
    <w:rsid w:val="17DC2D7F"/>
    <w:rsid w:val="17E95276"/>
    <w:rsid w:val="17E963D1"/>
    <w:rsid w:val="17EA38A1"/>
    <w:rsid w:val="17EB77A3"/>
    <w:rsid w:val="17EC5E41"/>
    <w:rsid w:val="17F8667B"/>
    <w:rsid w:val="17FC7C84"/>
    <w:rsid w:val="18060D81"/>
    <w:rsid w:val="1806537C"/>
    <w:rsid w:val="18066C18"/>
    <w:rsid w:val="1809630E"/>
    <w:rsid w:val="181A7494"/>
    <w:rsid w:val="181C2683"/>
    <w:rsid w:val="181E4167"/>
    <w:rsid w:val="18324998"/>
    <w:rsid w:val="18341D76"/>
    <w:rsid w:val="18351C27"/>
    <w:rsid w:val="18553A22"/>
    <w:rsid w:val="18590E01"/>
    <w:rsid w:val="18607956"/>
    <w:rsid w:val="1866144B"/>
    <w:rsid w:val="186E420E"/>
    <w:rsid w:val="187941B7"/>
    <w:rsid w:val="187A14AA"/>
    <w:rsid w:val="187B7B4F"/>
    <w:rsid w:val="1887188F"/>
    <w:rsid w:val="188900DF"/>
    <w:rsid w:val="18935E66"/>
    <w:rsid w:val="18A35548"/>
    <w:rsid w:val="18A63203"/>
    <w:rsid w:val="18A77689"/>
    <w:rsid w:val="18A816B2"/>
    <w:rsid w:val="18AC4CDE"/>
    <w:rsid w:val="18B25B64"/>
    <w:rsid w:val="18B8431F"/>
    <w:rsid w:val="18B90C48"/>
    <w:rsid w:val="18BC4ADF"/>
    <w:rsid w:val="18BD1521"/>
    <w:rsid w:val="18BD2E66"/>
    <w:rsid w:val="18BE7EAB"/>
    <w:rsid w:val="18CF2450"/>
    <w:rsid w:val="18D7372F"/>
    <w:rsid w:val="18DA12E6"/>
    <w:rsid w:val="18DD12E4"/>
    <w:rsid w:val="18E261B8"/>
    <w:rsid w:val="18E62F4B"/>
    <w:rsid w:val="18E85386"/>
    <w:rsid w:val="18FC503B"/>
    <w:rsid w:val="1901626E"/>
    <w:rsid w:val="19027C40"/>
    <w:rsid w:val="19087B90"/>
    <w:rsid w:val="190948C3"/>
    <w:rsid w:val="190E3326"/>
    <w:rsid w:val="190E3538"/>
    <w:rsid w:val="19164D1E"/>
    <w:rsid w:val="191C588D"/>
    <w:rsid w:val="192152C2"/>
    <w:rsid w:val="192502DE"/>
    <w:rsid w:val="1927395B"/>
    <w:rsid w:val="192D514C"/>
    <w:rsid w:val="193544CD"/>
    <w:rsid w:val="19443AA2"/>
    <w:rsid w:val="1945355B"/>
    <w:rsid w:val="194817FC"/>
    <w:rsid w:val="194A0D45"/>
    <w:rsid w:val="194A2ADB"/>
    <w:rsid w:val="195159CB"/>
    <w:rsid w:val="195961D5"/>
    <w:rsid w:val="195C14E8"/>
    <w:rsid w:val="195D3491"/>
    <w:rsid w:val="196515C3"/>
    <w:rsid w:val="197859DA"/>
    <w:rsid w:val="1980769C"/>
    <w:rsid w:val="19884F66"/>
    <w:rsid w:val="198F181A"/>
    <w:rsid w:val="198F1E18"/>
    <w:rsid w:val="19917CFC"/>
    <w:rsid w:val="199624F4"/>
    <w:rsid w:val="1997576B"/>
    <w:rsid w:val="1998697F"/>
    <w:rsid w:val="199A20B4"/>
    <w:rsid w:val="19A71B82"/>
    <w:rsid w:val="19B84C88"/>
    <w:rsid w:val="19C6694E"/>
    <w:rsid w:val="19CC0DE5"/>
    <w:rsid w:val="19D11E61"/>
    <w:rsid w:val="19D5618C"/>
    <w:rsid w:val="19E22401"/>
    <w:rsid w:val="19E23808"/>
    <w:rsid w:val="19F44B16"/>
    <w:rsid w:val="19F538D5"/>
    <w:rsid w:val="19FF0B74"/>
    <w:rsid w:val="1A00532F"/>
    <w:rsid w:val="1A040FBD"/>
    <w:rsid w:val="1A067DCA"/>
    <w:rsid w:val="1A0A198C"/>
    <w:rsid w:val="1A102A1C"/>
    <w:rsid w:val="1A13214F"/>
    <w:rsid w:val="1A3D169F"/>
    <w:rsid w:val="1A434C13"/>
    <w:rsid w:val="1A4E18BB"/>
    <w:rsid w:val="1A5C550E"/>
    <w:rsid w:val="1A5E5759"/>
    <w:rsid w:val="1A61514E"/>
    <w:rsid w:val="1A624E9D"/>
    <w:rsid w:val="1A6F769D"/>
    <w:rsid w:val="1A712AE5"/>
    <w:rsid w:val="1A74386E"/>
    <w:rsid w:val="1A783427"/>
    <w:rsid w:val="1A7B0419"/>
    <w:rsid w:val="1A8A143B"/>
    <w:rsid w:val="1A954C9C"/>
    <w:rsid w:val="1AA67BD3"/>
    <w:rsid w:val="1AB617F5"/>
    <w:rsid w:val="1AC70097"/>
    <w:rsid w:val="1ACC39D6"/>
    <w:rsid w:val="1ADD5293"/>
    <w:rsid w:val="1ADE0868"/>
    <w:rsid w:val="1AF7489C"/>
    <w:rsid w:val="1AF86B17"/>
    <w:rsid w:val="1AFA3523"/>
    <w:rsid w:val="1AFD3AEA"/>
    <w:rsid w:val="1B05238D"/>
    <w:rsid w:val="1B0C44A5"/>
    <w:rsid w:val="1B13587B"/>
    <w:rsid w:val="1B1D44BA"/>
    <w:rsid w:val="1B275D4E"/>
    <w:rsid w:val="1B2C07D2"/>
    <w:rsid w:val="1B2C5EE0"/>
    <w:rsid w:val="1B33077D"/>
    <w:rsid w:val="1B3604D3"/>
    <w:rsid w:val="1B364D11"/>
    <w:rsid w:val="1B3865C6"/>
    <w:rsid w:val="1B3E5EDE"/>
    <w:rsid w:val="1B420F74"/>
    <w:rsid w:val="1B433153"/>
    <w:rsid w:val="1B467529"/>
    <w:rsid w:val="1B4B00CA"/>
    <w:rsid w:val="1B566C78"/>
    <w:rsid w:val="1B5F1247"/>
    <w:rsid w:val="1B6307EA"/>
    <w:rsid w:val="1B717940"/>
    <w:rsid w:val="1B79696C"/>
    <w:rsid w:val="1B7E1824"/>
    <w:rsid w:val="1B825166"/>
    <w:rsid w:val="1B890C23"/>
    <w:rsid w:val="1B9411FC"/>
    <w:rsid w:val="1B972987"/>
    <w:rsid w:val="1B9D6CE8"/>
    <w:rsid w:val="1BA63F57"/>
    <w:rsid w:val="1BA866D1"/>
    <w:rsid w:val="1BBB422B"/>
    <w:rsid w:val="1BC600B5"/>
    <w:rsid w:val="1BCC6C51"/>
    <w:rsid w:val="1BCD55F8"/>
    <w:rsid w:val="1BD1784D"/>
    <w:rsid w:val="1BE011AE"/>
    <w:rsid w:val="1BE02AAF"/>
    <w:rsid w:val="1BE30F90"/>
    <w:rsid w:val="1BE31093"/>
    <w:rsid w:val="1BE461F3"/>
    <w:rsid w:val="1BE956C8"/>
    <w:rsid w:val="1C022294"/>
    <w:rsid w:val="1C0B35D4"/>
    <w:rsid w:val="1C12573D"/>
    <w:rsid w:val="1C1D1EE2"/>
    <w:rsid w:val="1C1E2D21"/>
    <w:rsid w:val="1C234861"/>
    <w:rsid w:val="1C2E319B"/>
    <w:rsid w:val="1C3477C5"/>
    <w:rsid w:val="1C350829"/>
    <w:rsid w:val="1C4F6563"/>
    <w:rsid w:val="1C545F3D"/>
    <w:rsid w:val="1C556488"/>
    <w:rsid w:val="1C56072A"/>
    <w:rsid w:val="1C563FE3"/>
    <w:rsid w:val="1C5A182A"/>
    <w:rsid w:val="1C612884"/>
    <w:rsid w:val="1C62402E"/>
    <w:rsid w:val="1C62587C"/>
    <w:rsid w:val="1C6818E0"/>
    <w:rsid w:val="1C6F3BF6"/>
    <w:rsid w:val="1C722E7E"/>
    <w:rsid w:val="1C784A9F"/>
    <w:rsid w:val="1C7D008B"/>
    <w:rsid w:val="1C7D2EB6"/>
    <w:rsid w:val="1C805B43"/>
    <w:rsid w:val="1C852BB0"/>
    <w:rsid w:val="1C8D54A8"/>
    <w:rsid w:val="1C8D59DD"/>
    <w:rsid w:val="1C8E63A1"/>
    <w:rsid w:val="1C9651FD"/>
    <w:rsid w:val="1C9C41C6"/>
    <w:rsid w:val="1CA41B36"/>
    <w:rsid w:val="1CA42FB6"/>
    <w:rsid w:val="1CAF4AE5"/>
    <w:rsid w:val="1CB21A29"/>
    <w:rsid w:val="1CBA12BF"/>
    <w:rsid w:val="1CCB32EE"/>
    <w:rsid w:val="1CCD4A46"/>
    <w:rsid w:val="1CD23361"/>
    <w:rsid w:val="1CD35882"/>
    <w:rsid w:val="1CE302F7"/>
    <w:rsid w:val="1CEC4F96"/>
    <w:rsid w:val="1CF139EE"/>
    <w:rsid w:val="1CF13B49"/>
    <w:rsid w:val="1CF52075"/>
    <w:rsid w:val="1CF70EE3"/>
    <w:rsid w:val="1CFE7E6D"/>
    <w:rsid w:val="1D011F4C"/>
    <w:rsid w:val="1D0D1F95"/>
    <w:rsid w:val="1D1C7AC2"/>
    <w:rsid w:val="1D1D6A85"/>
    <w:rsid w:val="1D207BFC"/>
    <w:rsid w:val="1D230741"/>
    <w:rsid w:val="1D2F0DCA"/>
    <w:rsid w:val="1D397D96"/>
    <w:rsid w:val="1D3A5DFA"/>
    <w:rsid w:val="1D3E30CF"/>
    <w:rsid w:val="1D3E57BA"/>
    <w:rsid w:val="1D3F5BF4"/>
    <w:rsid w:val="1D49558F"/>
    <w:rsid w:val="1D4A5741"/>
    <w:rsid w:val="1D4B1AFF"/>
    <w:rsid w:val="1D4B4B5A"/>
    <w:rsid w:val="1D5350C2"/>
    <w:rsid w:val="1D584348"/>
    <w:rsid w:val="1D597DDF"/>
    <w:rsid w:val="1D5D209F"/>
    <w:rsid w:val="1D65312D"/>
    <w:rsid w:val="1D6D4785"/>
    <w:rsid w:val="1D6E27CD"/>
    <w:rsid w:val="1D727268"/>
    <w:rsid w:val="1D747A6E"/>
    <w:rsid w:val="1D767ADA"/>
    <w:rsid w:val="1D7A0D45"/>
    <w:rsid w:val="1D845021"/>
    <w:rsid w:val="1D861B2D"/>
    <w:rsid w:val="1D896FB3"/>
    <w:rsid w:val="1D91741D"/>
    <w:rsid w:val="1D9318C5"/>
    <w:rsid w:val="1D941B55"/>
    <w:rsid w:val="1DA8115B"/>
    <w:rsid w:val="1DAB7998"/>
    <w:rsid w:val="1DB01072"/>
    <w:rsid w:val="1DB2076E"/>
    <w:rsid w:val="1DB43F2E"/>
    <w:rsid w:val="1DBE6DCD"/>
    <w:rsid w:val="1DC2628A"/>
    <w:rsid w:val="1DCF57CE"/>
    <w:rsid w:val="1DCF7FF5"/>
    <w:rsid w:val="1DD11EB5"/>
    <w:rsid w:val="1DD246EC"/>
    <w:rsid w:val="1DD63079"/>
    <w:rsid w:val="1DD859F5"/>
    <w:rsid w:val="1DDA6EEA"/>
    <w:rsid w:val="1DDB37BE"/>
    <w:rsid w:val="1DDD63A7"/>
    <w:rsid w:val="1DE56ABE"/>
    <w:rsid w:val="1DFC4DF9"/>
    <w:rsid w:val="1E0435A0"/>
    <w:rsid w:val="1E110D2A"/>
    <w:rsid w:val="1E1247A2"/>
    <w:rsid w:val="1E155062"/>
    <w:rsid w:val="1E193E9C"/>
    <w:rsid w:val="1E1B38E9"/>
    <w:rsid w:val="1E1B7186"/>
    <w:rsid w:val="1E303EF3"/>
    <w:rsid w:val="1E3065F6"/>
    <w:rsid w:val="1E3303CE"/>
    <w:rsid w:val="1E3835D5"/>
    <w:rsid w:val="1E3F6D05"/>
    <w:rsid w:val="1E494B8A"/>
    <w:rsid w:val="1E4F0222"/>
    <w:rsid w:val="1E5C2AF3"/>
    <w:rsid w:val="1E795C41"/>
    <w:rsid w:val="1E7E640D"/>
    <w:rsid w:val="1E7F3A72"/>
    <w:rsid w:val="1E8064D3"/>
    <w:rsid w:val="1E861E21"/>
    <w:rsid w:val="1EA72270"/>
    <w:rsid w:val="1EBD6E42"/>
    <w:rsid w:val="1EBF2B2C"/>
    <w:rsid w:val="1EC25D1C"/>
    <w:rsid w:val="1EC74AB4"/>
    <w:rsid w:val="1EC87ABC"/>
    <w:rsid w:val="1ED242FC"/>
    <w:rsid w:val="1ED56C03"/>
    <w:rsid w:val="1EDA0174"/>
    <w:rsid w:val="1EDA3DBE"/>
    <w:rsid w:val="1EDB3888"/>
    <w:rsid w:val="1EE05F54"/>
    <w:rsid w:val="1EE332A7"/>
    <w:rsid w:val="1EE45C8A"/>
    <w:rsid w:val="1EE94B13"/>
    <w:rsid w:val="1EF579A0"/>
    <w:rsid w:val="1F05532C"/>
    <w:rsid w:val="1F095121"/>
    <w:rsid w:val="1F0C3604"/>
    <w:rsid w:val="1F0D0383"/>
    <w:rsid w:val="1F0F4C7A"/>
    <w:rsid w:val="1F1527EE"/>
    <w:rsid w:val="1F20034A"/>
    <w:rsid w:val="1F251ABC"/>
    <w:rsid w:val="1F290391"/>
    <w:rsid w:val="1F2A2D10"/>
    <w:rsid w:val="1F304386"/>
    <w:rsid w:val="1F330402"/>
    <w:rsid w:val="1F370102"/>
    <w:rsid w:val="1F3F0073"/>
    <w:rsid w:val="1F43546C"/>
    <w:rsid w:val="1F48506F"/>
    <w:rsid w:val="1F4B10C3"/>
    <w:rsid w:val="1F5C7F87"/>
    <w:rsid w:val="1F6C1D79"/>
    <w:rsid w:val="1F792E9A"/>
    <w:rsid w:val="1F7B67F6"/>
    <w:rsid w:val="1F7C518B"/>
    <w:rsid w:val="1F881F59"/>
    <w:rsid w:val="1F8941F6"/>
    <w:rsid w:val="1F971B7F"/>
    <w:rsid w:val="1F977565"/>
    <w:rsid w:val="1F9B644E"/>
    <w:rsid w:val="1FA22246"/>
    <w:rsid w:val="1FA30C43"/>
    <w:rsid w:val="1FA429B4"/>
    <w:rsid w:val="1FAC06FF"/>
    <w:rsid w:val="1FB34801"/>
    <w:rsid w:val="1FB75185"/>
    <w:rsid w:val="1FB758D9"/>
    <w:rsid w:val="1FB9068D"/>
    <w:rsid w:val="1FB97163"/>
    <w:rsid w:val="1FBD0EE6"/>
    <w:rsid w:val="1FC10346"/>
    <w:rsid w:val="1FC16504"/>
    <w:rsid w:val="1FDB745E"/>
    <w:rsid w:val="1FDD028C"/>
    <w:rsid w:val="1FE218C2"/>
    <w:rsid w:val="1FF955B0"/>
    <w:rsid w:val="1FFA3EAB"/>
    <w:rsid w:val="1FFB3FF4"/>
    <w:rsid w:val="1FFC1294"/>
    <w:rsid w:val="1FFC4541"/>
    <w:rsid w:val="200B6448"/>
    <w:rsid w:val="20176E76"/>
    <w:rsid w:val="201C2D60"/>
    <w:rsid w:val="20270162"/>
    <w:rsid w:val="20347311"/>
    <w:rsid w:val="203F0CD6"/>
    <w:rsid w:val="20421E9D"/>
    <w:rsid w:val="204439A4"/>
    <w:rsid w:val="20655E4F"/>
    <w:rsid w:val="20721F6B"/>
    <w:rsid w:val="207308C3"/>
    <w:rsid w:val="207411D3"/>
    <w:rsid w:val="20743131"/>
    <w:rsid w:val="207536DF"/>
    <w:rsid w:val="20783BF9"/>
    <w:rsid w:val="20786435"/>
    <w:rsid w:val="20802CF5"/>
    <w:rsid w:val="20811113"/>
    <w:rsid w:val="208315A1"/>
    <w:rsid w:val="20874766"/>
    <w:rsid w:val="2088281D"/>
    <w:rsid w:val="2088475A"/>
    <w:rsid w:val="20917F9C"/>
    <w:rsid w:val="20930BD1"/>
    <w:rsid w:val="2094661E"/>
    <w:rsid w:val="20951ED4"/>
    <w:rsid w:val="20962536"/>
    <w:rsid w:val="20AF5726"/>
    <w:rsid w:val="20AF5A47"/>
    <w:rsid w:val="20B50E80"/>
    <w:rsid w:val="20B71F63"/>
    <w:rsid w:val="20B7483F"/>
    <w:rsid w:val="20BD02A3"/>
    <w:rsid w:val="20BE1841"/>
    <w:rsid w:val="20D078F3"/>
    <w:rsid w:val="20D200AD"/>
    <w:rsid w:val="20D95B71"/>
    <w:rsid w:val="20DA60A5"/>
    <w:rsid w:val="20DB223A"/>
    <w:rsid w:val="20E51C80"/>
    <w:rsid w:val="20E61367"/>
    <w:rsid w:val="20EC58CB"/>
    <w:rsid w:val="20F17304"/>
    <w:rsid w:val="21007C49"/>
    <w:rsid w:val="21014223"/>
    <w:rsid w:val="21200021"/>
    <w:rsid w:val="21257F04"/>
    <w:rsid w:val="21291A31"/>
    <w:rsid w:val="213445FE"/>
    <w:rsid w:val="21353F50"/>
    <w:rsid w:val="2138052E"/>
    <w:rsid w:val="213C3CC5"/>
    <w:rsid w:val="21404767"/>
    <w:rsid w:val="214776EA"/>
    <w:rsid w:val="21522E38"/>
    <w:rsid w:val="2159046C"/>
    <w:rsid w:val="21592762"/>
    <w:rsid w:val="215E62F3"/>
    <w:rsid w:val="215F3A68"/>
    <w:rsid w:val="21611A31"/>
    <w:rsid w:val="21635586"/>
    <w:rsid w:val="21760888"/>
    <w:rsid w:val="217B17E2"/>
    <w:rsid w:val="218810BD"/>
    <w:rsid w:val="218D61A9"/>
    <w:rsid w:val="218F2B85"/>
    <w:rsid w:val="218F6B13"/>
    <w:rsid w:val="218F7263"/>
    <w:rsid w:val="2190117D"/>
    <w:rsid w:val="219015DB"/>
    <w:rsid w:val="219140F2"/>
    <w:rsid w:val="21994057"/>
    <w:rsid w:val="219A79A2"/>
    <w:rsid w:val="219F1479"/>
    <w:rsid w:val="21A34664"/>
    <w:rsid w:val="21B80E8C"/>
    <w:rsid w:val="21B91F5E"/>
    <w:rsid w:val="21C24072"/>
    <w:rsid w:val="21C73828"/>
    <w:rsid w:val="21D55950"/>
    <w:rsid w:val="21D965A1"/>
    <w:rsid w:val="21E11782"/>
    <w:rsid w:val="21E14B35"/>
    <w:rsid w:val="21E617C0"/>
    <w:rsid w:val="21EC3E44"/>
    <w:rsid w:val="21F002DA"/>
    <w:rsid w:val="21F2539C"/>
    <w:rsid w:val="21F533B9"/>
    <w:rsid w:val="21F65A58"/>
    <w:rsid w:val="21FB61D0"/>
    <w:rsid w:val="22034BF9"/>
    <w:rsid w:val="220B3AD6"/>
    <w:rsid w:val="22191ECB"/>
    <w:rsid w:val="221E272E"/>
    <w:rsid w:val="2221560D"/>
    <w:rsid w:val="222A1FFE"/>
    <w:rsid w:val="222B075F"/>
    <w:rsid w:val="22367DC0"/>
    <w:rsid w:val="223C2D91"/>
    <w:rsid w:val="22426753"/>
    <w:rsid w:val="224D7BB0"/>
    <w:rsid w:val="22541D32"/>
    <w:rsid w:val="225474CD"/>
    <w:rsid w:val="225E1754"/>
    <w:rsid w:val="225F0409"/>
    <w:rsid w:val="225F51CF"/>
    <w:rsid w:val="226A54A8"/>
    <w:rsid w:val="226D42BA"/>
    <w:rsid w:val="226D7A71"/>
    <w:rsid w:val="227078B0"/>
    <w:rsid w:val="2271187B"/>
    <w:rsid w:val="22833161"/>
    <w:rsid w:val="228338C8"/>
    <w:rsid w:val="22840DDA"/>
    <w:rsid w:val="22876A0D"/>
    <w:rsid w:val="229C7857"/>
    <w:rsid w:val="22A11695"/>
    <w:rsid w:val="22A63B38"/>
    <w:rsid w:val="22A73490"/>
    <w:rsid w:val="22A8489A"/>
    <w:rsid w:val="22AA7376"/>
    <w:rsid w:val="22AB3B60"/>
    <w:rsid w:val="22AF11A1"/>
    <w:rsid w:val="22B2134F"/>
    <w:rsid w:val="22B22D1F"/>
    <w:rsid w:val="22B33D99"/>
    <w:rsid w:val="22B83EF7"/>
    <w:rsid w:val="22BB4A47"/>
    <w:rsid w:val="22BC2773"/>
    <w:rsid w:val="22BE29D6"/>
    <w:rsid w:val="22C27BE8"/>
    <w:rsid w:val="22C4003E"/>
    <w:rsid w:val="22CB2F4B"/>
    <w:rsid w:val="22D02654"/>
    <w:rsid w:val="22D10E4B"/>
    <w:rsid w:val="22D41929"/>
    <w:rsid w:val="22D7363B"/>
    <w:rsid w:val="22D90210"/>
    <w:rsid w:val="22D912F9"/>
    <w:rsid w:val="22E1284D"/>
    <w:rsid w:val="22E73006"/>
    <w:rsid w:val="22EB3773"/>
    <w:rsid w:val="22EC3898"/>
    <w:rsid w:val="22EE13BE"/>
    <w:rsid w:val="22F31E85"/>
    <w:rsid w:val="22F71A54"/>
    <w:rsid w:val="22F74CC6"/>
    <w:rsid w:val="22FB2321"/>
    <w:rsid w:val="22FF6AA7"/>
    <w:rsid w:val="2306325F"/>
    <w:rsid w:val="230749DA"/>
    <w:rsid w:val="230753E2"/>
    <w:rsid w:val="230E2CD5"/>
    <w:rsid w:val="230F5270"/>
    <w:rsid w:val="2311101C"/>
    <w:rsid w:val="231869B1"/>
    <w:rsid w:val="2319089C"/>
    <w:rsid w:val="231B2491"/>
    <w:rsid w:val="232515D0"/>
    <w:rsid w:val="232F45E5"/>
    <w:rsid w:val="23382F5D"/>
    <w:rsid w:val="233857DC"/>
    <w:rsid w:val="233E2231"/>
    <w:rsid w:val="23443C8F"/>
    <w:rsid w:val="235578EA"/>
    <w:rsid w:val="23561548"/>
    <w:rsid w:val="23561CD1"/>
    <w:rsid w:val="235E47B6"/>
    <w:rsid w:val="23644FB5"/>
    <w:rsid w:val="23646298"/>
    <w:rsid w:val="236B32CC"/>
    <w:rsid w:val="2372506B"/>
    <w:rsid w:val="2376691B"/>
    <w:rsid w:val="2378146C"/>
    <w:rsid w:val="238D2D50"/>
    <w:rsid w:val="238D66BE"/>
    <w:rsid w:val="2390261F"/>
    <w:rsid w:val="23950A55"/>
    <w:rsid w:val="239540DC"/>
    <w:rsid w:val="23965F67"/>
    <w:rsid w:val="23A00272"/>
    <w:rsid w:val="23A02531"/>
    <w:rsid w:val="23A11F4F"/>
    <w:rsid w:val="23A963A4"/>
    <w:rsid w:val="23B41225"/>
    <w:rsid w:val="23BA6237"/>
    <w:rsid w:val="23BC048E"/>
    <w:rsid w:val="23C9616F"/>
    <w:rsid w:val="23CC0919"/>
    <w:rsid w:val="23CE659F"/>
    <w:rsid w:val="23CF7FD3"/>
    <w:rsid w:val="23D4199E"/>
    <w:rsid w:val="23D94F43"/>
    <w:rsid w:val="23DC01C4"/>
    <w:rsid w:val="23DC60E2"/>
    <w:rsid w:val="23E17EC8"/>
    <w:rsid w:val="23E47406"/>
    <w:rsid w:val="23E91B93"/>
    <w:rsid w:val="23F6160A"/>
    <w:rsid w:val="23FA4415"/>
    <w:rsid w:val="23FB72B1"/>
    <w:rsid w:val="24026C92"/>
    <w:rsid w:val="24027DBA"/>
    <w:rsid w:val="240657B6"/>
    <w:rsid w:val="240B36D8"/>
    <w:rsid w:val="240C2CCA"/>
    <w:rsid w:val="240C553C"/>
    <w:rsid w:val="241722EB"/>
    <w:rsid w:val="24193E65"/>
    <w:rsid w:val="241B2B4F"/>
    <w:rsid w:val="242B021E"/>
    <w:rsid w:val="24323334"/>
    <w:rsid w:val="243336DA"/>
    <w:rsid w:val="24373DE9"/>
    <w:rsid w:val="243D6215"/>
    <w:rsid w:val="244F01D0"/>
    <w:rsid w:val="245226BE"/>
    <w:rsid w:val="245550BB"/>
    <w:rsid w:val="245A0102"/>
    <w:rsid w:val="2461318F"/>
    <w:rsid w:val="24662623"/>
    <w:rsid w:val="24673502"/>
    <w:rsid w:val="24676BCD"/>
    <w:rsid w:val="24676F22"/>
    <w:rsid w:val="2468531E"/>
    <w:rsid w:val="246D7EC6"/>
    <w:rsid w:val="24741D21"/>
    <w:rsid w:val="24750E49"/>
    <w:rsid w:val="2479502B"/>
    <w:rsid w:val="2479597F"/>
    <w:rsid w:val="247D3C6E"/>
    <w:rsid w:val="24860612"/>
    <w:rsid w:val="24872D53"/>
    <w:rsid w:val="248E7D90"/>
    <w:rsid w:val="249321BF"/>
    <w:rsid w:val="249C0D83"/>
    <w:rsid w:val="24A033EE"/>
    <w:rsid w:val="24B51B12"/>
    <w:rsid w:val="24C434A5"/>
    <w:rsid w:val="24C92612"/>
    <w:rsid w:val="24CA496C"/>
    <w:rsid w:val="24CB78C2"/>
    <w:rsid w:val="24CC60AA"/>
    <w:rsid w:val="24D35568"/>
    <w:rsid w:val="24D72C44"/>
    <w:rsid w:val="24DB51FA"/>
    <w:rsid w:val="24E954E0"/>
    <w:rsid w:val="24F37FEF"/>
    <w:rsid w:val="24F82FB3"/>
    <w:rsid w:val="2501080F"/>
    <w:rsid w:val="2504405A"/>
    <w:rsid w:val="251809ED"/>
    <w:rsid w:val="251B27EB"/>
    <w:rsid w:val="25241C4A"/>
    <w:rsid w:val="25265A8E"/>
    <w:rsid w:val="252A5159"/>
    <w:rsid w:val="25364407"/>
    <w:rsid w:val="25380B4A"/>
    <w:rsid w:val="253C2F3D"/>
    <w:rsid w:val="253C65AF"/>
    <w:rsid w:val="25410D56"/>
    <w:rsid w:val="254D55BA"/>
    <w:rsid w:val="254F6D5C"/>
    <w:rsid w:val="25644E19"/>
    <w:rsid w:val="256F1EB3"/>
    <w:rsid w:val="25720D21"/>
    <w:rsid w:val="257B7A7B"/>
    <w:rsid w:val="257C63F7"/>
    <w:rsid w:val="257E458B"/>
    <w:rsid w:val="258426BC"/>
    <w:rsid w:val="25867F54"/>
    <w:rsid w:val="25873766"/>
    <w:rsid w:val="258B4AE4"/>
    <w:rsid w:val="258C3B89"/>
    <w:rsid w:val="258C6B00"/>
    <w:rsid w:val="258F1E2E"/>
    <w:rsid w:val="259114ED"/>
    <w:rsid w:val="2593720A"/>
    <w:rsid w:val="25996F48"/>
    <w:rsid w:val="259A3CB2"/>
    <w:rsid w:val="259E4C39"/>
    <w:rsid w:val="259E5828"/>
    <w:rsid w:val="25A035EC"/>
    <w:rsid w:val="25A24497"/>
    <w:rsid w:val="25A45B04"/>
    <w:rsid w:val="25A92B92"/>
    <w:rsid w:val="25AB0A3D"/>
    <w:rsid w:val="25AC370D"/>
    <w:rsid w:val="25B22B68"/>
    <w:rsid w:val="25B5218E"/>
    <w:rsid w:val="25B824AD"/>
    <w:rsid w:val="25BF3BCD"/>
    <w:rsid w:val="25C15D16"/>
    <w:rsid w:val="25C55B83"/>
    <w:rsid w:val="25CD5BF1"/>
    <w:rsid w:val="25CD62C3"/>
    <w:rsid w:val="25D31208"/>
    <w:rsid w:val="25DA65CA"/>
    <w:rsid w:val="25DB6649"/>
    <w:rsid w:val="25DC1D12"/>
    <w:rsid w:val="25DD0809"/>
    <w:rsid w:val="25E27416"/>
    <w:rsid w:val="25E46656"/>
    <w:rsid w:val="25E47484"/>
    <w:rsid w:val="25E92FBE"/>
    <w:rsid w:val="25F17275"/>
    <w:rsid w:val="25F31E31"/>
    <w:rsid w:val="25F70EE4"/>
    <w:rsid w:val="25F83FB0"/>
    <w:rsid w:val="25FC0B75"/>
    <w:rsid w:val="26006C23"/>
    <w:rsid w:val="260139F3"/>
    <w:rsid w:val="260556D5"/>
    <w:rsid w:val="26080DD9"/>
    <w:rsid w:val="26082798"/>
    <w:rsid w:val="260830B3"/>
    <w:rsid w:val="26095114"/>
    <w:rsid w:val="260E454E"/>
    <w:rsid w:val="26132277"/>
    <w:rsid w:val="261464EE"/>
    <w:rsid w:val="26280E6C"/>
    <w:rsid w:val="262E05B0"/>
    <w:rsid w:val="26327A25"/>
    <w:rsid w:val="26331CBB"/>
    <w:rsid w:val="26372014"/>
    <w:rsid w:val="263C3D6D"/>
    <w:rsid w:val="263E0859"/>
    <w:rsid w:val="263E1A96"/>
    <w:rsid w:val="26405937"/>
    <w:rsid w:val="26433FB7"/>
    <w:rsid w:val="26452DA3"/>
    <w:rsid w:val="26474B98"/>
    <w:rsid w:val="264D3294"/>
    <w:rsid w:val="264E03C6"/>
    <w:rsid w:val="266A2AD6"/>
    <w:rsid w:val="266C2FED"/>
    <w:rsid w:val="26783498"/>
    <w:rsid w:val="267A33D1"/>
    <w:rsid w:val="268246BC"/>
    <w:rsid w:val="268B7473"/>
    <w:rsid w:val="26952295"/>
    <w:rsid w:val="269626DF"/>
    <w:rsid w:val="269B7137"/>
    <w:rsid w:val="26A265DC"/>
    <w:rsid w:val="26AE5F52"/>
    <w:rsid w:val="26AE6F7F"/>
    <w:rsid w:val="26B32654"/>
    <w:rsid w:val="26B40C48"/>
    <w:rsid w:val="26B8056C"/>
    <w:rsid w:val="26C87742"/>
    <w:rsid w:val="26D00BF3"/>
    <w:rsid w:val="26E272BC"/>
    <w:rsid w:val="26E33E5B"/>
    <w:rsid w:val="26E70CA8"/>
    <w:rsid w:val="26EA7605"/>
    <w:rsid w:val="26EB47D6"/>
    <w:rsid w:val="26F17CAD"/>
    <w:rsid w:val="26F51567"/>
    <w:rsid w:val="26F54808"/>
    <w:rsid w:val="26F81366"/>
    <w:rsid w:val="26FB5D95"/>
    <w:rsid w:val="26FC2F8C"/>
    <w:rsid w:val="27094F93"/>
    <w:rsid w:val="270E05C8"/>
    <w:rsid w:val="27101BFD"/>
    <w:rsid w:val="27172021"/>
    <w:rsid w:val="27190D99"/>
    <w:rsid w:val="271927EF"/>
    <w:rsid w:val="271A253D"/>
    <w:rsid w:val="271A4B23"/>
    <w:rsid w:val="271C2CE9"/>
    <w:rsid w:val="27235746"/>
    <w:rsid w:val="273E49F4"/>
    <w:rsid w:val="274321B1"/>
    <w:rsid w:val="27450C2D"/>
    <w:rsid w:val="274525DC"/>
    <w:rsid w:val="274652E6"/>
    <w:rsid w:val="27470851"/>
    <w:rsid w:val="27480748"/>
    <w:rsid w:val="274900F9"/>
    <w:rsid w:val="274E0335"/>
    <w:rsid w:val="275D1356"/>
    <w:rsid w:val="275D186B"/>
    <w:rsid w:val="275D4A89"/>
    <w:rsid w:val="27625310"/>
    <w:rsid w:val="27641213"/>
    <w:rsid w:val="277A2EC6"/>
    <w:rsid w:val="277E3D2C"/>
    <w:rsid w:val="27841ADD"/>
    <w:rsid w:val="278B7262"/>
    <w:rsid w:val="278E7D5F"/>
    <w:rsid w:val="279429E3"/>
    <w:rsid w:val="27966F4A"/>
    <w:rsid w:val="27A74D7A"/>
    <w:rsid w:val="27A75735"/>
    <w:rsid w:val="27A91AD2"/>
    <w:rsid w:val="27AE6E2D"/>
    <w:rsid w:val="27AF57B8"/>
    <w:rsid w:val="27B24596"/>
    <w:rsid w:val="27B25FFF"/>
    <w:rsid w:val="27B82A21"/>
    <w:rsid w:val="27BA12A7"/>
    <w:rsid w:val="27BA6BC4"/>
    <w:rsid w:val="27BC2EEA"/>
    <w:rsid w:val="27C93064"/>
    <w:rsid w:val="27C96B67"/>
    <w:rsid w:val="27CB38EC"/>
    <w:rsid w:val="27CB5FF9"/>
    <w:rsid w:val="27CC0A3D"/>
    <w:rsid w:val="27D34267"/>
    <w:rsid w:val="27D62E6F"/>
    <w:rsid w:val="27D745E8"/>
    <w:rsid w:val="27E4169F"/>
    <w:rsid w:val="27E476BC"/>
    <w:rsid w:val="27E7338B"/>
    <w:rsid w:val="27EA3B97"/>
    <w:rsid w:val="27EF0430"/>
    <w:rsid w:val="27F32107"/>
    <w:rsid w:val="27F851C0"/>
    <w:rsid w:val="27FA5F82"/>
    <w:rsid w:val="28014303"/>
    <w:rsid w:val="280410A7"/>
    <w:rsid w:val="2809034F"/>
    <w:rsid w:val="28152D65"/>
    <w:rsid w:val="281713C1"/>
    <w:rsid w:val="281C4FE1"/>
    <w:rsid w:val="28201807"/>
    <w:rsid w:val="28202089"/>
    <w:rsid w:val="28210C3B"/>
    <w:rsid w:val="282136DB"/>
    <w:rsid w:val="282408A9"/>
    <w:rsid w:val="2833186C"/>
    <w:rsid w:val="283E3927"/>
    <w:rsid w:val="28432F7C"/>
    <w:rsid w:val="285065F4"/>
    <w:rsid w:val="28557C44"/>
    <w:rsid w:val="28564AD0"/>
    <w:rsid w:val="285E1540"/>
    <w:rsid w:val="285E4E49"/>
    <w:rsid w:val="28634EA7"/>
    <w:rsid w:val="2868554F"/>
    <w:rsid w:val="286A70A6"/>
    <w:rsid w:val="286B31A7"/>
    <w:rsid w:val="286D715D"/>
    <w:rsid w:val="286F13E7"/>
    <w:rsid w:val="28707EB9"/>
    <w:rsid w:val="28710251"/>
    <w:rsid w:val="287270BD"/>
    <w:rsid w:val="287508F6"/>
    <w:rsid w:val="288C7056"/>
    <w:rsid w:val="288F598A"/>
    <w:rsid w:val="289910F7"/>
    <w:rsid w:val="28A14F66"/>
    <w:rsid w:val="28A4234C"/>
    <w:rsid w:val="28A63531"/>
    <w:rsid w:val="28A773FC"/>
    <w:rsid w:val="28CA5B35"/>
    <w:rsid w:val="28D02425"/>
    <w:rsid w:val="28D36FD2"/>
    <w:rsid w:val="28D527CA"/>
    <w:rsid w:val="28DB1A3D"/>
    <w:rsid w:val="28F133CC"/>
    <w:rsid w:val="28F729CE"/>
    <w:rsid w:val="28F934CA"/>
    <w:rsid w:val="28FA5F7F"/>
    <w:rsid w:val="29056F59"/>
    <w:rsid w:val="2907017C"/>
    <w:rsid w:val="29094B16"/>
    <w:rsid w:val="291218C3"/>
    <w:rsid w:val="2912731C"/>
    <w:rsid w:val="29150A19"/>
    <w:rsid w:val="29157321"/>
    <w:rsid w:val="291F35AA"/>
    <w:rsid w:val="2925391D"/>
    <w:rsid w:val="292B0670"/>
    <w:rsid w:val="292E0A29"/>
    <w:rsid w:val="29325A72"/>
    <w:rsid w:val="2938341E"/>
    <w:rsid w:val="293A10FF"/>
    <w:rsid w:val="293A6E92"/>
    <w:rsid w:val="29566904"/>
    <w:rsid w:val="29582224"/>
    <w:rsid w:val="29585835"/>
    <w:rsid w:val="296074D7"/>
    <w:rsid w:val="29692EBD"/>
    <w:rsid w:val="29712D8F"/>
    <w:rsid w:val="29736267"/>
    <w:rsid w:val="297B31D3"/>
    <w:rsid w:val="298103BD"/>
    <w:rsid w:val="298412A3"/>
    <w:rsid w:val="298D4850"/>
    <w:rsid w:val="29966295"/>
    <w:rsid w:val="29971F57"/>
    <w:rsid w:val="299C7DCA"/>
    <w:rsid w:val="29A021A8"/>
    <w:rsid w:val="29A942FB"/>
    <w:rsid w:val="29A94F7F"/>
    <w:rsid w:val="29B344DC"/>
    <w:rsid w:val="29B539E6"/>
    <w:rsid w:val="29BA1399"/>
    <w:rsid w:val="29BC2699"/>
    <w:rsid w:val="29C8428C"/>
    <w:rsid w:val="29D4298C"/>
    <w:rsid w:val="29DD7E33"/>
    <w:rsid w:val="29E31C9C"/>
    <w:rsid w:val="29E55C12"/>
    <w:rsid w:val="29E81D60"/>
    <w:rsid w:val="29F035C0"/>
    <w:rsid w:val="29F05E16"/>
    <w:rsid w:val="29F54832"/>
    <w:rsid w:val="2A111075"/>
    <w:rsid w:val="2A160D87"/>
    <w:rsid w:val="2A22248B"/>
    <w:rsid w:val="2A2351F4"/>
    <w:rsid w:val="2A307EBE"/>
    <w:rsid w:val="2A3E413F"/>
    <w:rsid w:val="2A430F4D"/>
    <w:rsid w:val="2A5303B9"/>
    <w:rsid w:val="2A534A67"/>
    <w:rsid w:val="2A5F67A3"/>
    <w:rsid w:val="2A6151C4"/>
    <w:rsid w:val="2A664C59"/>
    <w:rsid w:val="2A6B464E"/>
    <w:rsid w:val="2A722830"/>
    <w:rsid w:val="2A8F4AAD"/>
    <w:rsid w:val="2A944B48"/>
    <w:rsid w:val="2A9A0F2B"/>
    <w:rsid w:val="2AA07917"/>
    <w:rsid w:val="2AA1140C"/>
    <w:rsid w:val="2AA67F8B"/>
    <w:rsid w:val="2AAA31D9"/>
    <w:rsid w:val="2AAC289A"/>
    <w:rsid w:val="2AB138BA"/>
    <w:rsid w:val="2AC51079"/>
    <w:rsid w:val="2ACA0984"/>
    <w:rsid w:val="2AD05182"/>
    <w:rsid w:val="2AE47A17"/>
    <w:rsid w:val="2AEB2740"/>
    <w:rsid w:val="2AF44191"/>
    <w:rsid w:val="2AF74347"/>
    <w:rsid w:val="2B0A4D59"/>
    <w:rsid w:val="2B162169"/>
    <w:rsid w:val="2B165967"/>
    <w:rsid w:val="2B1A32A0"/>
    <w:rsid w:val="2B26693B"/>
    <w:rsid w:val="2B2F1FC7"/>
    <w:rsid w:val="2B2F2F22"/>
    <w:rsid w:val="2B342280"/>
    <w:rsid w:val="2B37764D"/>
    <w:rsid w:val="2B3F6547"/>
    <w:rsid w:val="2B430D5F"/>
    <w:rsid w:val="2B4F2967"/>
    <w:rsid w:val="2B5C1A7C"/>
    <w:rsid w:val="2B5C469F"/>
    <w:rsid w:val="2B6525E9"/>
    <w:rsid w:val="2B6E19DB"/>
    <w:rsid w:val="2B756050"/>
    <w:rsid w:val="2B7C5660"/>
    <w:rsid w:val="2B8944AA"/>
    <w:rsid w:val="2B92679C"/>
    <w:rsid w:val="2B96506D"/>
    <w:rsid w:val="2B986BC6"/>
    <w:rsid w:val="2B9C0A86"/>
    <w:rsid w:val="2B9D451B"/>
    <w:rsid w:val="2BA16669"/>
    <w:rsid w:val="2BAE20A5"/>
    <w:rsid w:val="2BAE6BB7"/>
    <w:rsid w:val="2BAF2381"/>
    <w:rsid w:val="2BB1376A"/>
    <w:rsid w:val="2BB60AD9"/>
    <w:rsid w:val="2BBA7E05"/>
    <w:rsid w:val="2BBB17D5"/>
    <w:rsid w:val="2BBD6DA0"/>
    <w:rsid w:val="2BC3413A"/>
    <w:rsid w:val="2BC45396"/>
    <w:rsid w:val="2BD540AD"/>
    <w:rsid w:val="2BDA10DE"/>
    <w:rsid w:val="2BDA2AEC"/>
    <w:rsid w:val="2BF336C9"/>
    <w:rsid w:val="2BF33ED5"/>
    <w:rsid w:val="2BFB7405"/>
    <w:rsid w:val="2C006833"/>
    <w:rsid w:val="2C034F7B"/>
    <w:rsid w:val="2C040D89"/>
    <w:rsid w:val="2C0509D9"/>
    <w:rsid w:val="2C05481D"/>
    <w:rsid w:val="2C056AF9"/>
    <w:rsid w:val="2C096EF6"/>
    <w:rsid w:val="2C220DB4"/>
    <w:rsid w:val="2C247FF1"/>
    <w:rsid w:val="2C3C0030"/>
    <w:rsid w:val="2C3F3887"/>
    <w:rsid w:val="2C45016F"/>
    <w:rsid w:val="2C516E38"/>
    <w:rsid w:val="2C533A6A"/>
    <w:rsid w:val="2C560EA3"/>
    <w:rsid w:val="2C617496"/>
    <w:rsid w:val="2C62156F"/>
    <w:rsid w:val="2C6A047D"/>
    <w:rsid w:val="2C6F41F6"/>
    <w:rsid w:val="2C730778"/>
    <w:rsid w:val="2C7E030A"/>
    <w:rsid w:val="2C833FFB"/>
    <w:rsid w:val="2C84380F"/>
    <w:rsid w:val="2C8F430E"/>
    <w:rsid w:val="2C970335"/>
    <w:rsid w:val="2CA21894"/>
    <w:rsid w:val="2CA4476E"/>
    <w:rsid w:val="2CAD4F6B"/>
    <w:rsid w:val="2CB17FD2"/>
    <w:rsid w:val="2CC16AFA"/>
    <w:rsid w:val="2CC95D10"/>
    <w:rsid w:val="2CC96A11"/>
    <w:rsid w:val="2CCA43FF"/>
    <w:rsid w:val="2CCB5A72"/>
    <w:rsid w:val="2CD57684"/>
    <w:rsid w:val="2CD67A0B"/>
    <w:rsid w:val="2CD75666"/>
    <w:rsid w:val="2CD83FF1"/>
    <w:rsid w:val="2CDC6591"/>
    <w:rsid w:val="2CDE08F2"/>
    <w:rsid w:val="2CE03AB0"/>
    <w:rsid w:val="2CE86737"/>
    <w:rsid w:val="2CEB494F"/>
    <w:rsid w:val="2CEF53E3"/>
    <w:rsid w:val="2CF53A56"/>
    <w:rsid w:val="2CF649A9"/>
    <w:rsid w:val="2CF9444D"/>
    <w:rsid w:val="2CFC27E4"/>
    <w:rsid w:val="2D061051"/>
    <w:rsid w:val="2D0766E4"/>
    <w:rsid w:val="2D0B702A"/>
    <w:rsid w:val="2D107EBA"/>
    <w:rsid w:val="2D12609F"/>
    <w:rsid w:val="2D1B67A1"/>
    <w:rsid w:val="2D1F4BCA"/>
    <w:rsid w:val="2D221AAA"/>
    <w:rsid w:val="2D254ED3"/>
    <w:rsid w:val="2D2651C9"/>
    <w:rsid w:val="2D397977"/>
    <w:rsid w:val="2D3D74EA"/>
    <w:rsid w:val="2D476C62"/>
    <w:rsid w:val="2D504333"/>
    <w:rsid w:val="2D521264"/>
    <w:rsid w:val="2D567058"/>
    <w:rsid w:val="2D57290A"/>
    <w:rsid w:val="2D5D7FE8"/>
    <w:rsid w:val="2D5E7E01"/>
    <w:rsid w:val="2D6030A2"/>
    <w:rsid w:val="2D660EF9"/>
    <w:rsid w:val="2D6A677C"/>
    <w:rsid w:val="2D6C2B47"/>
    <w:rsid w:val="2D763F45"/>
    <w:rsid w:val="2D820204"/>
    <w:rsid w:val="2D8402FC"/>
    <w:rsid w:val="2D88024C"/>
    <w:rsid w:val="2D935488"/>
    <w:rsid w:val="2D960FB5"/>
    <w:rsid w:val="2D9B4423"/>
    <w:rsid w:val="2DAC2EF4"/>
    <w:rsid w:val="2DAD4BCD"/>
    <w:rsid w:val="2DAD789E"/>
    <w:rsid w:val="2DB453FF"/>
    <w:rsid w:val="2DB72446"/>
    <w:rsid w:val="2DBE4237"/>
    <w:rsid w:val="2DBF1693"/>
    <w:rsid w:val="2DCA22C7"/>
    <w:rsid w:val="2DCB10F0"/>
    <w:rsid w:val="2DCB38A1"/>
    <w:rsid w:val="2DD066E9"/>
    <w:rsid w:val="2DDC0ED4"/>
    <w:rsid w:val="2DE3054F"/>
    <w:rsid w:val="2DE7186E"/>
    <w:rsid w:val="2DF036FB"/>
    <w:rsid w:val="2DF21CB3"/>
    <w:rsid w:val="2DFD78B4"/>
    <w:rsid w:val="2DFE083B"/>
    <w:rsid w:val="2E0708FF"/>
    <w:rsid w:val="2E11457C"/>
    <w:rsid w:val="2E1643B9"/>
    <w:rsid w:val="2E184C0F"/>
    <w:rsid w:val="2E187142"/>
    <w:rsid w:val="2E1F18AD"/>
    <w:rsid w:val="2E282709"/>
    <w:rsid w:val="2E285E19"/>
    <w:rsid w:val="2E28757C"/>
    <w:rsid w:val="2E2C723F"/>
    <w:rsid w:val="2E332EEF"/>
    <w:rsid w:val="2E3D0855"/>
    <w:rsid w:val="2E3F6B8A"/>
    <w:rsid w:val="2E406C31"/>
    <w:rsid w:val="2E467FE7"/>
    <w:rsid w:val="2E527715"/>
    <w:rsid w:val="2E530660"/>
    <w:rsid w:val="2E531152"/>
    <w:rsid w:val="2E5448E2"/>
    <w:rsid w:val="2E565287"/>
    <w:rsid w:val="2E5F1E47"/>
    <w:rsid w:val="2E682652"/>
    <w:rsid w:val="2E6B6D27"/>
    <w:rsid w:val="2E7A506F"/>
    <w:rsid w:val="2E7B0600"/>
    <w:rsid w:val="2E7B273D"/>
    <w:rsid w:val="2E7D30EA"/>
    <w:rsid w:val="2E8028E0"/>
    <w:rsid w:val="2E88139A"/>
    <w:rsid w:val="2E8B051E"/>
    <w:rsid w:val="2E8F062E"/>
    <w:rsid w:val="2E905D65"/>
    <w:rsid w:val="2E916275"/>
    <w:rsid w:val="2E9D560F"/>
    <w:rsid w:val="2E9F7EC1"/>
    <w:rsid w:val="2EA234E1"/>
    <w:rsid w:val="2EB17C70"/>
    <w:rsid w:val="2EB411B5"/>
    <w:rsid w:val="2EBD49E1"/>
    <w:rsid w:val="2EBF0ED1"/>
    <w:rsid w:val="2EC42186"/>
    <w:rsid w:val="2EC7495E"/>
    <w:rsid w:val="2EC776BB"/>
    <w:rsid w:val="2ECA39AD"/>
    <w:rsid w:val="2ECC0C07"/>
    <w:rsid w:val="2ED03009"/>
    <w:rsid w:val="2EED4C9D"/>
    <w:rsid w:val="2EF01DA9"/>
    <w:rsid w:val="2EF224CD"/>
    <w:rsid w:val="2EF67D61"/>
    <w:rsid w:val="2EFA2F2B"/>
    <w:rsid w:val="2F010C22"/>
    <w:rsid w:val="2F195BDC"/>
    <w:rsid w:val="2F2913A5"/>
    <w:rsid w:val="2F2E23A6"/>
    <w:rsid w:val="2F2E289C"/>
    <w:rsid w:val="2F350F19"/>
    <w:rsid w:val="2F383567"/>
    <w:rsid w:val="2F3B1918"/>
    <w:rsid w:val="2F415DC8"/>
    <w:rsid w:val="2F514AAE"/>
    <w:rsid w:val="2F531FEB"/>
    <w:rsid w:val="2F5A4EA5"/>
    <w:rsid w:val="2F5B5B3B"/>
    <w:rsid w:val="2F615468"/>
    <w:rsid w:val="2F655F0E"/>
    <w:rsid w:val="2F6B73F9"/>
    <w:rsid w:val="2F6D4FA6"/>
    <w:rsid w:val="2F6E6713"/>
    <w:rsid w:val="2F743486"/>
    <w:rsid w:val="2F756E65"/>
    <w:rsid w:val="2F77354F"/>
    <w:rsid w:val="2F7A7069"/>
    <w:rsid w:val="2F7B2789"/>
    <w:rsid w:val="2F8001B6"/>
    <w:rsid w:val="2F897AA1"/>
    <w:rsid w:val="2F8D4D67"/>
    <w:rsid w:val="2F8E2F8D"/>
    <w:rsid w:val="2F9051B8"/>
    <w:rsid w:val="2F910893"/>
    <w:rsid w:val="2F9A69D2"/>
    <w:rsid w:val="2F9A7210"/>
    <w:rsid w:val="2F9C6646"/>
    <w:rsid w:val="2F9D4AA3"/>
    <w:rsid w:val="2F9F094E"/>
    <w:rsid w:val="2FA213D6"/>
    <w:rsid w:val="2FA5152D"/>
    <w:rsid w:val="2FA96250"/>
    <w:rsid w:val="2FAA31BA"/>
    <w:rsid w:val="2FB11323"/>
    <w:rsid w:val="2FBB6A2A"/>
    <w:rsid w:val="2FC2166F"/>
    <w:rsid w:val="2FCB0952"/>
    <w:rsid w:val="2FD53529"/>
    <w:rsid w:val="2FD80709"/>
    <w:rsid w:val="2FDF2368"/>
    <w:rsid w:val="2FDF7CD4"/>
    <w:rsid w:val="2FEC08C6"/>
    <w:rsid w:val="2FF532B7"/>
    <w:rsid w:val="2FF674CB"/>
    <w:rsid w:val="2FF7251F"/>
    <w:rsid w:val="30007788"/>
    <w:rsid w:val="30093592"/>
    <w:rsid w:val="301977C7"/>
    <w:rsid w:val="301E3E25"/>
    <w:rsid w:val="30205153"/>
    <w:rsid w:val="30253FAB"/>
    <w:rsid w:val="30270D6F"/>
    <w:rsid w:val="303B3B59"/>
    <w:rsid w:val="303C0C41"/>
    <w:rsid w:val="303D6437"/>
    <w:rsid w:val="30443F81"/>
    <w:rsid w:val="304F6AE3"/>
    <w:rsid w:val="305831D6"/>
    <w:rsid w:val="3058428D"/>
    <w:rsid w:val="305A4537"/>
    <w:rsid w:val="30632880"/>
    <w:rsid w:val="3070014A"/>
    <w:rsid w:val="307B4FFA"/>
    <w:rsid w:val="308136E0"/>
    <w:rsid w:val="308719BC"/>
    <w:rsid w:val="3095375A"/>
    <w:rsid w:val="30977E19"/>
    <w:rsid w:val="309B2688"/>
    <w:rsid w:val="30A90B96"/>
    <w:rsid w:val="30A91070"/>
    <w:rsid w:val="30B26464"/>
    <w:rsid w:val="30B420CD"/>
    <w:rsid w:val="30B86332"/>
    <w:rsid w:val="30C91D87"/>
    <w:rsid w:val="30D10B78"/>
    <w:rsid w:val="30D251E3"/>
    <w:rsid w:val="30D36EB7"/>
    <w:rsid w:val="30D45137"/>
    <w:rsid w:val="30D51A41"/>
    <w:rsid w:val="30E7233C"/>
    <w:rsid w:val="30F3215C"/>
    <w:rsid w:val="30FB3BF4"/>
    <w:rsid w:val="31061593"/>
    <w:rsid w:val="31076B28"/>
    <w:rsid w:val="31076EFA"/>
    <w:rsid w:val="310866BC"/>
    <w:rsid w:val="31154DED"/>
    <w:rsid w:val="3120790D"/>
    <w:rsid w:val="31215B33"/>
    <w:rsid w:val="312A36B1"/>
    <w:rsid w:val="31337532"/>
    <w:rsid w:val="313A1C55"/>
    <w:rsid w:val="313A2CAC"/>
    <w:rsid w:val="313E6356"/>
    <w:rsid w:val="31460C29"/>
    <w:rsid w:val="314B3239"/>
    <w:rsid w:val="31596E9F"/>
    <w:rsid w:val="315B21E9"/>
    <w:rsid w:val="315B5E62"/>
    <w:rsid w:val="31604DC0"/>
    <w:rsid w:val="31607973"/>
    <w:rsid w:val="3163108E"/>
    <w:rsid w:val="3167538F"/>
    <w:rsid w:val="316A2AFE"/>
    <w:rsid w:val="317544CD"/>
    <w:rsid w:val="31765162"/>
    <w:rsid w:val="317A487D"/>
    <w:rsid w:val="317D76C8"/>
    <w:rsid w:val="31833BCE"/>
    <w:rsid w:val="318A1515"/>
    <w:rsid w:val="31944F6F"/>
    <w:rsid w:val="31963456"/>
    <w:rsid w:val="31A47F00"/>
    <w:rsid w:val="31A51052"/>
    <w:rsid w:val="31A77BCC"/>
    <w:rsid w:val="31A84B64"/>
    <w:rsid w:val="31B12D3C"/>
    <w:rsid w:val="31B2653B"/>
    <w:rsid w:val="31B266EC"/>
    <w:rsid w:val="31B45163"/>
    <w:rsid w:val="31B4700F"/>
    <w:rsid w:val="31B81D35"/>
    <w:rsid w:val="31C3729F"/>
    <w:rsid w:val="31CB617D"/>
    <w:rsid w:val="31CC0ECB"/>
    <w:rsid w:val="31DD2EC1"/>
    <w:rsid w:val="31DF1DB8"/>
    <w:rsid w:val="31E56082"/>
    <w:rsid w:val="31F020DC"/>
    <w:rsid w:val="31F072F8"/>
    <w:rsid w:val="31FE06B9"/>
    <w:rsid w:val="32007322"/>
    <w:rsid w:val="32061C7F"/>
    <w:rsid w:val="320A52D8"/>
    <w:rsid w:val="320D2005"/>
    <w:rsid w:val="32136025"/>
    <w:rsid w:val="32220D79"/>
    <w:rsid w:val="32252577"/>
    <w:rsid w:val="3228412F"/>
    <w:rsid w:val="32294648"/>
    <w:rsid w:val="322F0831"/>
    <w:rsid w:val="3238009F"/>
    <w:rsid w:val="323F5519"/>
    <w:rsid w:val="32442E52"/>
    <w:rsid w:val="32471CC6"/>
    <w:rsid w:val="324F0134"/>
    <w:rsid w:val="32540593"/>
    <w:rsid w:val="32575B7F"/>
    <w:rsid w:val="32582CC3"/>
    <w:rsid w:val="3269055E"/>
    <w:rsid w:val="326F43FE"/>
    <w:rsid w:val="327179A4"/>
    <w:rsid w:val="32775626"/>
    <w:rsid w:val="3281262C"/>
    <w:rsid w:val="32835AB1"/>
    <w:rsid w:val="328A3A5F"/>
    <w:rsid w:val="328D7371"/>
    <w:rsid w:val="328E2231"/>
    <w:rsid w:val="328F22F9"/>
    <w:rsid w:val="329326B7"/>
    <w:rsid w:val="329426A2"/>
    <w:rsid w:val="329708DE"/>
    <w:rsid w:val="32AD1211"/>
    <w:rsid w:val="32BE0045"/>
    <w:rsid w:val="32E12F9A"/>
    <w:rsid w:val="32E87F66"/>
    <w:rsid w:val="32E97C5E"/>
    <w:rsid w:val="32EC46FB"/>
    <w:rsid w:val="32F64CAC"/>
    <w:rsid w:val="32FF12B8"/>
    <w:rsid w:val="33000B4D"/>
    <w:rsid w:val="330073AA"/>
    <w:rsid w:val="33020BF1"/>
    <w:rsid w:val="330710D7"/>
    <w:rsid w:val="331264BB"/>
    <w:rsid w:val="331A102D"/>
    <w:rsid w:val="331E3887"/>
    <w:rsid w:val="33224534"/>
    <w:rsid w:val="332742E9"/>
    <w:rsid w:val="332850C4"/>
    <w:rsid w:val="332A1AC1"/>
    <w:rsid w:val="332C71E1"/>
    <w:rsid w:val="332E1BC2"/>
    <w:rsid w:val="332E224E"/>
    <w:rsid w:val="332F3B66"/>
    <w:rsid w:val="333B116B"/>
    <w:rsid w:val="333E2024"/>
    <w:rsid w:val="33427ABB"/>
    <w:rsid w:val="33501AF9"/>
    <w:rsid w:val="33616D4E"/>
    <w:rsid w:val="338134D4"/>
    <w:rsid w:val="33821BAB"/>
    <w:rsid w:val="338378EA"/>
    <w:rsid w:val="33885755"/>
    <w:rsid w:val="339E18BC"/>
    <w:rsid w:val="33A57822"/>
    <w:rsid w:val="33A77C3C"/>
    <w:rsid w:val="33AA7345"/>
    <w:rsid w:val="33B37087"/>
    <w:rsid w:val="33BA7C82"/>
    <w:rsid w:val="33BC4D91"/>
    <w:rsid w:val="33BF4D9D"/>
    <w:rsid w:val="33C233CD"/>
    <w:rsid w:val="33C35B22"/>
    <w:rsid w:val="33C504FF"/>
    <w:rsid w:val="33C968FA"/>
    <w:rsid w:val="33D23DF5"/>
    <w:rsid w:val="33D246C3"/>
    <w:rsid w:val="33DF11C8"/>
    <w:rsid w:val="33E442C9"/>
    <w:rsid w:val="33E61B12"/>
    <w:rsid w:val="33EF44FC"/>
    <w:rsid w:val="33F751C3"/>
    <w:rsid w:val="33FB4B21"/>
    <w:rsid w:val="33FE7E15"/>
    <w:rsid w:val="33FF1154"/>
    <w:rsid w:val="340074AF"/>
    <w:rsid w:val="340948E1"/>
    <w:rsid w:val="340D3904"/>
    <w:rsid w:val="340F116F"/>
    <w:rsid w:val="341212B1"/>
    <w:rsid w:val="341321BE"/>
    <w:rsid w:val="34155C01"/>
    <w:rsid w:val="34293255"/>
    <w:rsid w:val="34314E1D"/>
    <w:rsid w:val="34315823"/>
    <w:rsid w:val="34346CEE"/>
    <w:rsid w:val="34374868"/>
    <w:rsid w:val="34376C25"/>
    <w:rsid w:val="343D2D4C"/>
    <w:rsid w:val="34417702"/>
    <w:rsid w:val="34417EB0"/>
    <w:rsid w:val="3446518F"/>
    <w:rsid w:val="344A296C"/>
    <w:rsid w:val="344C25CD"/>
    <w:rsid w:val="344E045C"/>
    <w:rsid w:val="344F610D"/>
    <w:rsid w:val="34512060"/>
    <w:rsid w:val="345232B0"/>
    <w:rsid w:val="345A0779"/>
    <w:rsid w:val="345B15DB"/>
    <w:rsid w:val="346B1ADA"/>
    <w:rsid w:val="346C4A94"/>
    <w:rsid w:val="346E7A5A"/>
    <w:rsid w:val="3477244E"/>
    <w:rsid w:val="34782617"/>
    <w:rsid w:val="347946FA"/>
    <w:rsid w:val="347A6171"/>
    <w:rsid w:val="348146D7"/>
    <w:rsid w:val="348440EB"/>
    <w:rsid w:val="348D33D3"/>
    <w:rsid w:val="3496737A"/>
    <w:rsid w:val="349C03F2"/>
    <w:rsid w:val="34A152D5"/>
    <w:rsid w:val="34A238C5"/>
    <w:rsid w:val="34AC0653"/>
    <w:rsid w:val="34AC2DE9"/>
    <w:rsid w:val="34B24855"/>
    <w:rsid w:val="34B3070C"/>
    <w:rsid w:val="34B55560"/>
    <w:rsid w:val="34B84D9B"/>
    <w:rsid w:val="34BE7103"/>
    <w:rsid w:val="34C82B00"/>
    <w:rsid w:val="34C9343D"/>
    <w:rsid w:val="34CC0600"/>
    <w:rsid w:val="34CE3369"/>
    <w:rsid w:val="34DC1C67"/>
    <w:rsid w:val="34E416EC"/>
    <w:rsid w:val="34E47162"/>
    <w:rsid w:val="34E664D6"/>
    <w:rsid w:val="34F64CDD"/>
    <w:rsid w:val="34FF095B"/>
    <w:rsid w:val="3500311A"/>
    <w:rsid w:val="350B76BF"/>
    <w:rsid w:val="350C5C16"/>
    <w:rsid w:val="351710F0"/>
    <w:rsid w:val="351F4B47"/>
    <w:rsid w:val="352B4097"/>
    <w:rsid w:val="352E435E"/>
    <w:rsid w:val="3534069E"/>
    <w:rsid w:val="353807E2"/>
    <w:rsid w:val="353D45FA"/>
    <w:rsid w:val="353F0E06"/>
    <w:rsid w:val="35422CF2"/>
    <w:rsid w:val="354933C6"/>
    <w:rsid w:val="35505013"/>
    <w:rsid w:val="35522298"/>
    <w:rsid w:val="35531CAD"/>
    <w:rsid w:val="3559121F"/>
    <w:rsid w:val="355A18A2"/>
    <w:rsid w:val="35652ACF"/>
    <w:rsid w:val="356D51F7"/>
    <w:rsid w:val="35735BCB"/>
    <w:rsid w:val="357972DF"/>
    <w:rsid w:val="357D79D3"/>
    <w:rsid w:val="35804F9D"/>
    <w:rsid w:val="35843B49"/>
    <w:rsid w:val="35884385"/>
    <w:rsid w:val="35890016"/>
    <w:rsid w:val="358B0F26"/>
    <w:rsid w:val="35924A15"/>
    <w:rsid w:val="359753B1"/>
    <w:rsid w:val="35991DF7"/>
    <w:rsid w:val="35A251D2"/>
    <w:rsid w:val="35A25468"/>
    <w:rsid w:val="35A82DEE"/>
    <w:rsid w:val="35AC56FE"/>
    <w:rsid w:val="35C3354B"/>
    <w:rsid w:val="35C635D8"/>
    <w:rsid w:val="35C8705E"/>
    <w:rsid w:val="35CB283C"/>
    <w:rsid w:val="35D02A2E"/>
    <w:rsid w:val="35D16387"/>
    <w:rsid w:val="35DF2011"/>
    <w:rsid w:val="35E1012B"/>
    <w:rsid w:val="35E1505C"/>
    <w:rsid w:val="35E328B8"/>
    <w:rsid w:val="35E3701E"/>
    <w:rsid w:val="35E420DE"/>
    <w:rsid w:val="35E607CD"/>
    <w:rsid w:val="35EB34A9"/>
    <w:rsid w:val="35EC6F4A"/>
    <w:rsid w:val="35EE6A38"/>
    <w:rsid w:val="35F5734F"/>
    <w:rsid w:val="35F65884"/>
    <w:rsid w:val="35F715DC"/>
    <w:rsid w:val="36023BFE"/>
    <w:rsid w:val="36057267"/>
    <w:rsid w:val="360632C2"/>
    <w:rsid w:val="362131A7"/>
    <w:rsid w:val="362E1546"/>
    <w:rsid w:val="36330CA5"/>
    <w:rsid w:val="363828C2"/>
    <w:rsid w:val="363F061B"/>
    <w:rsid w:val="364236D7"/>
    <w:rsid w:val="3645509F"/>
    <w:rsid w:val="3654563C"/>
    <w:rsid w:val="365763B3"/>
    <w:rsid w:val="366F70DE"/>
    <w:rsid w:val="367C0A7E"/>
    <w:rsid w:val="367E5840"/>
    <w:rsid w:val="36856B5A"/>
    <w:rsid w:val="36883C27"/>
    <w:rsid w:val="36950061"/>
    <w:rsid w:val="36A32443"/>
    <w:rsid w:val="36A61ADA"/>
    <w:rsid w:val="36AC504E"/>
    <w:rsid w:val="36AE7AB6"/>
    <w:rsid w:val="36B45F51"/>
    <w:rsid w:val="36B7013F"/>
    <w:rsid w:val="36D37FB9"/>
    <w:rsid w:val="36D40D9D"/>
    <w:rsid w:val="36D71D0D"/>
    <w:rsid w:val="36DC4984"/>
    <w:rsid w:val="36E17BD4"/>
    <w:rsid w:val="36E30071"/>
    <w:rsid w:val="36E31151"/>
    <w:rsid w:val="36E61D1E"/>
    <w:rsid w:val="36EF4947"/>
    <w:rsid w:val="36F76FAD"/>
    <w:rsid w:val="37060D5C"/>
    <w:rsid w:val="370F6D7D"/>
    <w:rsid w:val="3711176D"/>
    <w:rsid w:val="37113E21"/>
    <w:rsid w:val="37137BA3"/>
    <w:rsid w:val="3715441F"/>
    <w:rsid w:val="37244D17"/>
    <w:rsid w:val="373F483B"/>
    <w:rsid w:val="37451D56"/>
    <w:rsid w:val="374A1080"/>
    <w:rsid w:val="375C645A"/>
    <w:rsid w:val="37633810"/>
    <w:rsid w:val="376A27F4"/>
    <w:rsid w:val="37737FCD"/>
    <w:rsid w:val="377E4EC2"/>
    <w:rsid w:val="37831AFE"/>
    <w:rsid w:val="37855CA5"/>
    <w:rsid w:val="379747E4"/>
    <w:rsid w:val="37A10A3C"/>
    <w:rsid w:val="37A32862"/>
    <w:rsid w:val="37A771F1"/>
    <w:rsid w:val="37A83EE9"/>
    <w:rsid w:val="37AA1FED"/>
    <w:rsid w:val="37B033F0"/>
    <w:rsid w:val="37B25951"/>
    <w:rsid w:val="37B82D37"/>
    <w:rsid w:val="37BB1880"/>
    <w:rsid w:val="37BF7DD8"/>
    <w:rsid w:val="37CA6F5D"/>
    <w:rsid w:val="37CF39F4"/>
    <w:rsid w:val="37DE142C"/>
    <w:rsid w:val="37DF4E44"/>
    <w:rsid w:val="38074D9E"/>
    <w:rsid w:val="38093CF4"/>
    <w:rsid w:val="38132FDB"/>
    <w:rsid w:val="381523AC"/>
    <w:rsid w:val="3816611D"/>
    <w:rsid w:val="381A7833"/>
    <w:rsid w:val="381D6FCC"/>
    <w:rsid w:val="382276D7"/>
    <w:rsid w:val="38255502"/>
    <w:rsid w:val="382563C3"/>
    <w:rsid w:val="382B10C6"/>
    <w:rsid w:val="383D4592"/>
    <w:rsid w:val="384502C9"/>
    <w:rsid w:val="384757BF"/>
    <w:rsid w:val="38493B62"/>
    <w:rsid w:val="384A568A"/>
    <w:rsid w:val="384C2E85"/>
    <w:rsid w:val="384D7A6B"/>
    <w:rsid w:val="38527F5E"/>
    <w:rsid w:val="38576EB1"/>
    <w:rsid w:val="385B78DA"/>
    <w:rsid w:val="385E7289"/>
    <w:rsid w:val="386B3647"/>
    <w:rsid w:val="386E60E1"/>
    <w:rsid w:val="386F64C6"/>
    <w:rsid w:val="38724636"/>
    <w:rsid w:val="38755246"/>
    <w:rsid w:val="38850F2D"/>
    <w:rsid w:val="388A7003"/>
    <w:rsid w:val="388F47CD"/>
    <w:rsid w:val="3891497A"/>
    <w:rsid w:val="38921D1F"/>
    <w:rsid w:val="38934709"/>
    <w:rsid w:val="3899545E"/>
    <w:rsid w:val="389B63CB"/>
    <w:rsid w:val="389D36E7"/>
    <w:rsid w:val="38A039DA"/>
    <w:rsid w:val="38AD0AAC"/>
    <w:rsid w:val="38AF121A"/>
    <w:rsid w:val="38B10DA8"/>
    <w:rsid w:val="38B94B51"/>
    <w:rsid w:val="38B976FB"/>
    <w:rsid w:val="38BB5EDA"/>
    <w:rsid w:val="38C6779A"/>
    <w:rsid w:val="38D26097"/>
    <w:rsid w:val="38DC2A26"/>
    <w:rsid w:val="38DC5040"/>
    <w:rsid w:val="38EA0958"/>
    <w:rsid w:val="38EA292A"/>
    <w:rsid w:val="38EB3140"/>
    <w:rsid w:val="38F71493"/>
    <w:rsid w:val="38FC7F68"/>
    <w:rsid w:val="390150BD"/>
    <w:rsid w:val="39015BC8"/>
    <w:rsid w:val="39024400"/>
    <w:rsid w:val="390A29CF"/>
    <w:rsid w:val="390D7AA7"/>
    <w:rsid w:val="3910183F"/>
    <w:rsid w:val="39132EBE"/>
    <w:rsid w:val="39183836"/>
    <w:rsid w:val="39192D79"/>
    <w:rsid w:val="3923223F"/>
    <w:rsid w:val="39271D8A"/>
    <w:rsid w:val="392C3404"/>
    <w:rsid w:val="393D3E8F"/>
    <w:rsid w:val="393F3649"/>
    <w:rsid w:val="39434B25"/>
    <w:rsid w:val="39442CC4"/>
    <w:rsid w:val="39473C95"/>
    <w:rsid w:val="394A3B36"/>
    <w:rsid w:val="394C053B"/>
    <w:rsid w:val="394E0439"/>
    <w:rsid w:val="39532D05"/>
    <w:rsid w:val="395A1855"/>
    <w:rsid w:val="395E1405"/>
    <w:rsid w:val="3962425A"/>
    <w:rsid w:val="396E504E"/>
    <w:rsid w:val="396F7993"/>
    <w:rsid w:val="39734F7F"/>
    <w:rsid w:val="39741673"/>
    <w:rsid w:val="39764ECC"/>
    <w:rsid w:val="397F2866"/>
    <w:rsid w:val="39830655"/>
    <w:rsid w:val="39850A26"/>
    <w:rsid w:val="39875D3B"/>
    <w:rsid w:val="39893783"/>
    <w:rsid w:val="399108C7"/>
    <w:rsid w:val="399B6654"/>
    <w:rsid w:val="399C23C2"/>
    <w:rsid w:val="399E7C65"/>
    <w:rsid w:val="39A118CD"/>
    <w:rsid w:val="39A337DD"/>
    <w:rsid w:val="39B0295E"/>
    <w:rsid w:val="39B1002C"/>
    <w:rsid w:val="39B75345"/>
    <w:rsid w:val="39BA1CF7"/>
    <w:rsid w:val="39BA2065"/>
    <w:rsid w:val="39C83126"/>
    <w:rsid w:val="39CD4753"/>
    <w:rsid w:val="39D037AF"/>
    <w:rsid w:val="39D466BD"/>
    <w:rsid w:val="39D7158B"/>
    <w:rsid w:val="39D9675C"/>
    <w:rsid w:val="39DC1B39"/>
    <w:rsid w:val="39DE503F"/>
    <w:rsid w:val="39E03897"/>
    <w:rsid w:val="39E125BA"/>
    <w:rsid w:val="39E263ED"/>
    <w:rsid w:val="39EE1B0B"/>
    <w:rsid w:val="39F17FFD"/>
    <w:rsid w:val="39F24322"/>
    <w:rsid w:val="39FA1859"/>
    <w:rsid w:val="39FE1307"/>
    <w:rsid w:val="3A03384A"/>
    <w:rsid w:val="3A066160"/>
    <w:rsid w:val="3A083121"/>
    <w:rsid w:val="3A0D48B1"/>
    <w:rsid w:val="3A1810FA"/>
    <w:rsid w:val="3A1C5E08"/>
    <w:rsid w:val="3A2441B7"/>
    <w:rsid w:val="3A274488"/>
    <w:rsid w:val="3A28048B"/>
    <w:rsid w:val="3A336331"/>
    <w:rsid w:val="3A425B7A"/>
    <w:rsid w:val="3A431472"/>
    <w:rsid w:val="3A474B1C"/>
    <w:rsid w:val="3A5207B4"/>
    <w:rsid w:val="3A541BF5"/>
    <w:rsid w:val="3A553D9F"/>
    <w:rsid w:val="3A597477"/>
    <w:rsid w:val="3A5A285A"/>
    <w:rsid w:val="3A5E32B9"/>
    <w:rsid w:val="3A646A00"/>
    <w:rsid w:val="3A697F71"/>
    <w:rsid w:val="3A6A4AC7"/>
    <w:rsid w:val="3A6E26C3"/>
    <w:rsid w:val="3A6F0BDF"/>
    <w:rsid w:val="3A72622B"/>
    <w:rsid w:val="3A75769F"/>
    <w:rsid w:val="3A7A025B"/>
    <w:rsid w:val="3A7E2244"/>
    <w:rsid w:val="3A861E9F"/>
    <w:rsid w:val="3A897BA1"/>
    <w:rsid w:val="3A9038DA"/>
    <w:rsid w:val="3A922233"/>
    <w:rsid w:val="3A936647"/>
    <w:rsid w:val="3A9E4B32"/>
    <w:rsid w:val="3A9F1B2C"/>
    <w:rsid w:val="3AA00BCD"/>
    <w:rsid w:val="3AA04C49"/>
    <w:rsid w:val="3AA54470"/>
    <w:rsid w:val="3AA913CF"/>
    <w:rsid w:val="3AB86069"/>
    <w:rsid w:val="3AC036CC"/>
    <w:rsid w:val="3AC205A6"/>
    <w:rsid w:val="3AC257A4"/>
    <w:rsid w:val="3AC334CD"/>
    <w:rsid w:val="3AC52EB9"/>
    <w:rsid w:val="3AC75562"/>
    <w:rsid w:val="3ACF5E01"/>
    <w:rsid w:val="3AD16134"/>
    <w:rsid w:val="3AD17EBD"/>
    <w:rsid w:val="3ADB2291"/>
    <w:rsid w:val="3ADD199D"/>
    <w:rsid w:val="3ADE382E"/>
    <w:rsid w:val="3AEA3CFC"/>
    <w:rsid w:val="3AF044A5"/>
    <w:rsid w:val="3AF153E6"/>
    <w:rsid w:val="3AFC4CC9"/>
    <w:rsid w:val="3B00301D"/>
    <w:rsid w:val="3B031629"/>
    <w:rsid w:val="3B0D3370"/>
    <w:rsid w:val="3B1752EE"/>
    <w:rsid w:val="3B1C35AC"/>
    <w:rsid w:val="3B1F0CAE"/>
    <w:rsid w:val="3B22468C"/>
    <w:rsid w:val="3B292A67"/>
    <w:rsid w:val="3B3155AA"/>
    <w:rsid w:val="3B3E0B10"/>
    <w:rsid w:val="3B4F1508"/>
    <w:rsid w:val="3B580D61"/>
    <w:rsid w:val="3B58455D"/>
    <w:rsid w:val="3B5908EC"/>
    <w:rsid w:val="3B64699C"/>
    <w:rsid w:val="3B696BF9"/>
    <w:rsid w:val="3B6F0DCA"/>
    <w:rsid w:val="3B754E06"/>
    <w:rsid w:val="3B7B2B0A"/>
    <w:rsid w:val="3B7C7B97"/>
    <w:rsid w:val="3B8372AE"/>
    <w:rsid w:val="3B914065"/>
    <w:rsid w:val="3B9A7EDD"/>
    <w:rsid w:val="3B9F483C"/>
    <w:rsid w:val="3BB249F7"/>
    <w:rsid w:val="3BBE3122"/>
    <w:rsid w:val="3BC20515"/>
    <w:rsid w:val="3BC53C74"/>
    <w:rsid w:val="3BC60370"/>
    <w:rsid w:val="3BC62C0D"/>
    <w:rsid w:val="3BC772AB"/>
    <w:rsid w:val="3BC812C8"/>
    <w:rsid w:val="3BD741DE"/>
    <w:rsid w:val="3BE7491F"/>
    <w:rsid w:val="3BE82033"/>
    <w:rsid w:val="3BEA0B7F"/>
    <w:rsid w:val="3BEF3F98"/>
    <w:rsid w:val="3BF01125"/>
    <w:rsid w:val="3BF1165C"/>
    <w:rsid w:val="3BF82655"/>
    <w:rsid w:val="3BF90B59"/>
    <w:rsid w:val="3C035D20"/>
    <w:rsid w:val="3C0C1C74"/>
    <w:rsid w:val="3C12184A"/>
    <w:rsid w:val="3C165216"/>
    <w:rsid w:val="3C20030B"/>
    <w:rsid w:val="3C220A63"/>
    <w:rsid w:val="3C257E8D"/>
    <w:rsid w:val="3C286FD8"/>
    <w:rsid w:val="3C2D0C4A"/>
    <w:rsid w:val="3C326DEB"/>
    <w:rsid w:val="3C393537"/>
    <w:rsid w:val="3C3C1378"/>
    <w:rsid w:val="3C497D33"/>
    <w:rsid w:val="3C5A342C"/>
    <w:rsid w:val="3C5C0867"/>
    <w:rsid w:val="3C5E33A6"/>
    <w:rsid w:val="3C656EED"/>
    <w:rsid w:val="3C685003"/>
    <w:rsid w:val="3C6D452D"/>
    <w:rsid w:val="3C6E7843"/>
    <w:rsid w:val="3C727A71"/>
    <w:rsid w:val="3C732FE2"/>
    <w:rsid w:val="3C786DE5"/>
    <w:rsid w:val="3C7A20C3"/>
    <w:rsid w:val="3C7A3669"/>
    <w:rsid w:val="3C7D3E58"/>
    <w:rsid w:val="3C882BD0"/>
    <w:rsid w:val="3C94545E"/>
    <w:rsid w:val="3C975DCC"/>
    <w:rsid w:val="3C9912FB"/>
    <w:rsid w:val="3CAE0651"/>
    <w:rsid w:val="3CBC2D9B"/>
    <w:rsid w:val="3CC5588D"/>
    <w:rsid w:val="3CCD1D16"/>
    <w:rsid w:val="3CD83C07"/>
    <w:rsid w:val="3CD85D57"/>
    <w:rsid w:val="3CD87AA0"/>
    <w:rsid w:val="3CDA5112"/>
    <w:rsid w:val="3CDB62C1"/>
    <w:rsid w:val="3CE13BDF"/>
    <w:rsid w:val="3CE26359"/>
    <w:rsid w:val="3CE70364"/>
    <w:rsid w:val="3CE83CD2"/>
    <w:rsid w:val="3CFD4D35"/>
    <w:rsid w:val="3D064D69"/>
    <w:rsid w:val="3D0E3667"/>
    <w:rsid w:val="3D0E399D"/>
    <w:rsid w:val="3D123F8D"/>
    <w:rsid w:val="3D12721E"/>
    <w:rsid w:val="3D1B45BC"/>
    <w:rsid w:val="3D27093B"/>
    <w:rsid w:val="3D351ADA"/>
    <w:rsid w:val="3D3D6CB6"/>
    <w:rsid w:val="3D444248"/>
    <w:rsid w:val="3D4B2FA5"/>
    <w:rsid w:val="3D4C7BDB"/>
    <w:rsid w:val="3D527DA5"/>
    <w:rsid w:val="3D546058"/>
    <w:rsid w:val="3D5461A9"/>
    <w:rsid w:val="3D58650A"/>
    <w:rsid w:val="3D590765"/>
    <w:rsid w:val="3D5A6060"/>
    <w:rsid w:val="3D640E16"/>
    <w:rsid w:val="3D67132F"/>
    <w:rsid w:val="3D76421C"/>
    <w:rsid w:val="3D7B0D27"/>
    <w:rsid w:val="3D7E27A0"/>
    <w:rsid w:val="3D874F51"/>
    <w:rsid w:val="3D896CEB"/>
    <w:rsid w:val="3D9A2D6C"/>
    <w:rsid w:val="3D9D0681"/>
    <w:rsid w:val="3DA2325F"/>
    <w:rsid w:val="3DAF1596"/>
    <w:rsid w:val="3DB52668"/>
    <w:rsid w:val="3DB63F51"/>
    <w:rsid w:val="3DC60A0C"/>
    <w:rsid w:val="3DD3077A"/>
    <w:rsid w:val="3DDF7A0D"/>
    <w:rsid w:val="3DF176B5"/>
    <w:rsid w:val="3DFD4BBE"/>
    <w:rsid w:val="3E00097B"/>
    <w:rsid w:val="3E011326"/>
    <w:rsid w:val="3E024B7B"/>
    <w:rsid w:val="3E104548"/>
    <w:rsid w:val="3E19435F"/>
    <w:rsid w:val="3E1B47C8"/>
    <w:rsid w:val="3E20393D"/>
    <w:rsid w:val="3E205773"/>
    <w:rsid w:val="3E264105"/>
    <w:rsid w:val="3E264903"/>
    <w:rsid w:val="3E2806A1"/>
    <w:rsid w:val="3E286D72"/>
    <w:rsid w:val="3E2E35CB"/>
    <w:rsid w:val="3E2F087F"/>
    <w:rsid w:val="3E31025E"/>
    <w:rsid w:val="3E342DA3"/>
    <w:rsid w:val="3E471ABE"/>
    <w:rsid w:val="3E4755F9"/>
    <w:rsid w:val="3E492A39"/>
    <w:rsid w:val="3E4B1409"/>
    <w:rsid w:val="3E556354"/>
    <w:rsid w:val="3E6336EF"/>
    <w:rsid w:val="3E660D1B"/>
    <w:rsid w:val="3E6E2E9E"/>
    <w:rsid w:val="3E8222F7"/>
    <w:rsid w:val="3E8258B1"/>
    <w:rsid w:val="3E8821CE"/>
    <w:rsid w:val="3E92738B"/>
    <w:rsid w:val="3E944E87"/>
    <w:rsid w:val="3E99456A"/>
    <w:rsid w:val="3EA0570F"/>
    <w:rsid w:val="3EA2409C"/>
    <w:rsid w:val="3EA758E3"/>
    <w:rsid w:val="3EAD3D57"/>
    <w:rsid w:val="3EAF02B7"/>
    <w:rsid w:val="3EB1188E"/>
    <w:rsid w:val="3EB428B4"/>
    <w:rsid w:val="3EBD63D7"/>
    <w:rsid w:val="3EC07733"/>
    <w:rsid w:val="3EC172CA"/>
    <w:rsid w:val="3EC334A7"/>
    <w:rsid w:val="3EC678BC"/>
    <w:rsid w:val="3ECC70B0"/>
    <w:rsid w:val="3ED01824"/>
    <w:rsid w:val="3EE067CA"/>
    <w:rsid w:val="3EE919E0"/>
    <w:rsid w:val="3EEF26AB"/>
    <w:rsid w:val="3EF21C38"/>
    <w:rsid w:val="3EF57D05"/>
    <w:rsid w:val="3EF96B38"/>
    <w:rsid w:val="3F002CCF"/>
    <w:rsid w:val="3F012022"/>
    <w:rsid w:val="3F0566FF"/>
    <w:rsid w:val="3F0605BE"/>
    <w:rsid w:val="3F06365D"/>
    <w:rsid w:val="3F0A3CA5"/>
    <w:rsid w:val="3F0B1DB8"/>
    <w:rsid w:val="3F0C44E7"/>
    <w:rsid w:val="3F0E6EA3"/>
    <w:rsid w:val="3F122278"/>
    <w:rsid w:val="3F155D82"/>
    <w:rsid w:val="3F1B7922"/>
    <w:rsid w:val="3F261DEC"/>
    <w:rsid w:val="3F305E06"/>
    <w:rsid w:val="3F3737F8"/>
    <w:rsid w:val="3F453E8A"/>
    <w:rsid w:val="3F47737F"/>
    <w:rsid w:val="3F523976"/>
    <w:rsid w:val="3F52626A"/>
    <w:rsid w:val="3F5322DF"/>
    <w:rsid w:val="3F556A35"/>
    <w:rsid w:val="3F5867B3"/>
    <w:rsid w:val="3F595294"/>
    <w:rsid w:val="3F5A301C"/>
    <w:rsid w:val="3F637202"/>
    <w:rsid w:val="3F65418C"/>
    <w:rsid w:val="3F664F14"/>
    <w:rsid w:val="3F6763B0"/>
    <w:rsid w:val="3F6D1D36"/>
    <w:rsid w:val="3F6D2017"/>
    <w:rsid w:val="3F7339EB"/>
    <w:rsid w:val="3F770167"/>
    <w:rsid w:val="3F7D65D1"/>
    <w:rsid w:val="3F8157CB"/>
    <w:rsid w:val="3F836296"/>
    <w:rsid w:val="3F9526FD"/>
    <w:rsid w:val="3F960218"/>
    <w:rsid w:val="3F9956BA"/>
    <w:rsid w:val="3F9B508E"/>
    <w:rsid w:val="3FA01128"/>
    <w:rsid w:val="3FA10F73"/>
    <w:rsid w:val="3FA51002"/>
    <w:rsid w:val="3FA5548C"/>
    <w:rsid w:val="3FAE5C18"/>
    <w:rsid w:val="3FB1448E"/>
    <w:rsid w:val="3FB33F0F"/>
    <w:rsid w:val="3FB56B87"/>
    <w:rsid w:val="3FB827B0"/>
    <w:rsid w:val="3FB9798A"/>
    <w:rsid w:val="3FBB4D64"/>
    <w:rsid w:val="3FBC4DF5"/>
    <w:rsid w:val="3FBE226E"/>
    <w:rsid w:val="3FC74EA5"/>
    <w:rsid w:val="3FC80A13"/>
    <w:rsid w:val="3FC924C5"/>
    <w:rsid w:val="3FD001E0"/>
    <w:rsid w:val="3FD35125"/>
    <w:rsid w:val="3FD436D8"/>
    <w:rsid w:val="3FDD5AA3"/>
    <w:rsid w:val="3FDD60EB"/>
    <w:rsid w:val="3FE1611D"/>
    <w:rsid w:val="3FE9762E"/>
    <w:rsid w:val="3FEB7EF7"/>
    <w:rsid w:val="3FF0534A"/>
    <w:rsid w:val="3FF07D9D"/>
    <w:rsid w:val="3FFC6AA1"/>
    <w:rsid w:val="3FFE725C"/>
    <w:rsid w:val="400D4689"/>
    <w:rsid w:val="40171E63"/>
    <w:rsid w:val="401B305E"/>
    <w:rsid w:val="401C023A"/>
    <w:rsid w:val="401E624D"/>
    <w:rsid w:val="403C6E09"/>
    <w:rsid w:val="403E0A98"/>
    <w:rsid w:val="4040700B"/>
    <w:rsid w:val="4049653A"/>
    <w:rsid w:val="40505926"/>
    <w:rsid w:val="405074F9"/>
    <w:rsid w:val="40592E1A"/>
    <w:rsid w:val="40742B10"/>
    <w:rsid w:val="40807B7F"/>
    <w:rsid w:val="40851F94"/>
    <w:rsid w:val="40860806"/>
    <w:rsid w:val="408727EE"/>
    <w:rsid w:val="40881B05"/>
    <w:rsid w:val="408B015C"/>
    <w:rsid w:val="408D2092"/>
    <w:rsid w:val="40987E91"/>
    <w:rsid w:val="40A456BD"/>
    <w:rsid w:val="40AE535D"/>
    <w:rsid w:val="40B323C5"/>
    <w:rsid w:val="40B40F93"/>
    <w:rsid w:val="40B4759E"/>
    <w:rsid w:val="40B77C21"/>
    <w:rsid w:val="40BB1B3B"/>
    <w:rsid w:val="40BE2CAE"/>
    <w:rsid w:val="40C87F0D"/>
    <w:rsid w:val="40CE6434"/>
    <w:rsid w:val="40E13187"/>
    <w:rsid w:val="40E4111E"/>
    <w:rsid w:val="40F110C9"/>
    <w:rsid w:val="40F71EFC"/>
    <w:rsid w:val="40FA7D3C"/>
    <w:rsid w:val="40FC6040"/>
    <w:rsid w:val="41013098"/>
    <w:rsid w:val="41046C1A"/>
    <w:rsid w:val="410A66D3"/>
    <w:rsid w:val="411252F5"/>
    <w:rsid w:val="4114428E"/>
    <w:rsid w:val="41173D23"/>
    <w:rsid w:val="411832BB"/>
    <w:rsid w:val="41216561"/>
    <w:rsid w:val="4126157E"/>
    <w:rsid w:val="412E1703"/>
    <w:rsid w:val="41341D04"/>
    <w:rsid w:val="413D1085"/>
    <w:rsid w:val="41463814"/>
    <w:rsid w:val="414934AE"/>
    <w:rsid w:val="414E4666"/>
    <w:rsid w:val="415840E7"/>
    <w:rsid w:val="415C6645"/>
    <w:rsid w:val="415D4AA5"/>
    <w:rsid w:val="415E3F30"/>
    <w:rsid w:val="41634269"/>
    <w:rsid w:val="416D1041"/>
    <w:rsid w:val="416F185F"/>
    <w:rsid w:val="41755F8B"/>
    <w:rsid w:val="417E6FB2"/>
    <w:rsid w:val="41804E56"/>
    <w:rsid w:val="418B61F9"/>
    <w:rsid w:val="418C5064"/>
    <w:rsid w:val="41901D5A"/>
    <w:rsid w:val="41A26E55"/>
    <w:rsid w:val="41A7534C"/>
    <w:rsid w:val="41AE168E"/>
    <w:rsid w:val="41B000EA"/>
    <w:rsid w:val="41B625DB"/>
    <w:rsid w:val="41B75B9A"/>
    <w:rsid w:val="41BB28C5"/>
    <w:rsid w:val="41C505B5"/>
    <w:rsid w:val="41C64DF5"/>
    <w:rsid w:val="41D7643D"/>
    <w:rsid w:val="41D80DF6"/>
    <w:rsid w:val="41F41099"/>
    <w:rsid w:val="41F4144D"/>
    <w:rsid w:val="41F425A0"/>
    <w:rsid w:val="41FD1E4D"/>
    <w:rsid w:val="42004A07"/>
    <w:rsid w:val="42036CED"/>
    <w:rsid w:val="420445BE"/>
    <w:rsid w:val="42044B55"/>
    <w:rsid w:val="4210342F"/>
    <w:rsid w:val="42106699"/>
    <w:rsid w:val="4213466A"/>
    <w:rsid w:val="421D3532"/>
    <w:rsid w:val="422747DE"/>
    <w:rsid w:val="423D7E2C"/>
    <w:rsid w:val="42405192"/>
    <w:rsid w:val="4253494B"/>
    <w:rsid w:val="42563DD4"/>
    <w:rsid w:val="425F0874"/>
    <w:rsid w:val="42605991"/>
    <w:rsid w:val="42624CEC"/>
    <w:rsid w:val="42667AD5"/>
    <w:rsid w:val="42672F11"/>
    <w:rsid w:val="426B2083"/>
    <w:rsid w:val="42745271"/>
    <w:rsid w:val="42746AFF"/>
    <w:rsid w:val="427A2426"/>
    <w:rsid w:val="428622E0"/>
    <w:rsid w:val="428740C5"/>
    <w:rsid w:val="4295023B"/>
    <w:rsid w:val="42A72E3E"/>
    <w:rsid w:val="42A9771E"/>
    <w:rsid w:val="42AB3CF1"/>
    <w:rsid w:val="42AF06BF"/>
    <w:rsid w:val="42AF0D80"/>
    <w:rsid w:val="42AF744D"/>
    <w:rsid w:val="42B57D24"/>
    <w:rsid w:val="42B97DE2"/>
    <w:rsid w:val="42BE1411"/>
    <w:rsid w:val="42BF0482"/>
    <w:rsid w:val="42C3638C"/>
    <w:rsid w:val="42C53EF7"/>
    <w:rsid w:val="42C8399F"/>
    <w:rsid w:val="42CC1C77"/>
    <w:rsid w:val="42CE7CBC"/>
    <w:rsid w:val="42E67A2D"/>
    <w:rsid w:val="42EF6EDD"/>
    <w:rsid w:val="42F63370"/>
    <w:rsid w:val="42FF7166"/>
    <w:rsid w:val="4303189E"/>
    <w:rsid w:val="43043B4B"/>
    <w:rsid w:val="430C0701"/>
    <w:rsid w:val="431D662D"/>
    <w:rsid w:val="431D7413"/>
    <w:rsid w:val="43230977"/>
    <w:rsid w:val="43260906"/>
    <w:rsid w:val="4329778C"/>
    <w:rsid w:val="432A433E"/>
    <w:rsid w:val="432F48E4"/>
    <w:rsid w:val="433451E7"/>
    <w:rsid w:val="433454E3"/>
    <w:rsid w:val="43380FA2"/>
    <w:rsid w:val="433824BE"/>
    <w:rsid w:val="433914CB"/>
    <w:rsid w:val="433B21AA"/>
    <w:rsid w:val="434030C7"/>
    <w:rsid w:val="43413F90"/>
    <w:rsid w:val="434321EE"/>
    <w:rsid w:val="4348746D"/>
    <w:rsid w:val="434C3803"/>
    <w:rsid w:val="4357411B"/>
    <w:rsid w:val="43624524"/>
    <w:rsid w:val="436B215F"/>
    <w:rsid w:val="436E4602"/>
    <w:rsid w:val="43773B38"/>
    <w:rsid w:val="437C303F"/>
    <w:rsid w:val="437E59F4"/>
    <w:rsid w:val="437F0235"/>
    <w:rsid w:val="438108B1"/>
    <w:rsid w:val="438127FD"/>
    <w:rsid w:val="438C318F"/>
    <w:rsid w:val="438D2962"/>
    <w:rsid w:val="439125BA"/>
    <w:rsid w:val="439B6E00"/>
    <w:rsid w:val="439E21D0"/>
    <w:rsid w:val="43A136C2"/>
    <w:rsid w:val="43A47C8D"/>
    <w:rsid w:val="43A51CEB"/>
    <w:rsid w:val="43A922AD"/>
    <w:rsid w:val="43AE228C"/>
    <w:rsid w:val="43B03D9F"/>
    <w:rsid w:val="43B2322B"/>
    <w:rsid w:val="43B27B0F"/>
    <w:rsid w:val="43BD17B6"/>
    <w:rsid w:val="43BF433F"/>
    <w:rsid w:val="43C60D41"/>
    <w:rsid w:val="43C71A8C"/>
    <w:rsid w:val="43CB49D5"/>
    <w:rsid w:val="43CC296D"/>
    <w:rsid w:val="43D10BA3"/>
    <w:rsid w:val="43D51B86"/>
    <w:rsid w:val="43D5596E"/>
    <w:rsid w:val="43D946DF"/>
    <w:rsid w:val="43DD3E84"/>
    <w:rsid w:val="43E63A35"/>
    <w:rsid w:val="43EA4AD8"/>
    <w:rsid w:val="43EA731F"/>
    <w:rsid w:val="43EF4362"/>
    <w:rsid w:val="43F5608C"/>
    <w:rsid w:val="43F67648"/>
    <w:rsid w:val="43FA20D7"/>
    <w:rsid w:val="440433D0"/>
    <w:rsid w:val="44081998"/>
    <w:rsid w:val="440A1D09"/>
    <w:rsid w:val="44105FE6"/>
    <w:rsid w:val="44163757"/>
    <w:rsid w:val="442C57B9"/>
    <w:rsid w:val="442E6250"/>
    <w:rsid w:val="44304862"/>
    <w:rsid w:val="44336B29"/>
    <w:rsid w:val="44411D78"/>
    <w:rsid w:val="444255C8"/>
    <w:rsid w:val="44555450"/>
    <w:rsid w:val="44565401"/>
    <w:rsid w:val="445C184B"/>
    <w:rsid w:val="445C1F8C"/>
    <w:rsid w:val="445C2CEB"/>
    <w:rsid w:val="44623D2C"/>
    <w:rsid w:val="4469425C"/>
    <w:rsid w:val="446A38D3"/>
    <w:rsid w:val="446C5925"/>
    <w:rsid w:val="44715BA6"/>
    <w:rsid w:val="44744DE1"/>
    <w:rsid w:val="4480267E"/>
    <w:rsid w:val="44813BCD"/>
    <w:rsid w:val="44825908"/>
    <w:rsid w:val="448F333F"/>
    <w:rsid w:val="449A5595"/>
    <w:rsid w:val="44A273D7"/>
    <w:rsid w:val="44A3165A"/>
    <w:rsid w:val="44A472F3"/>
    <w:rsid w:val="44A949BB"/>
    <w:rsid w:val="44B47D28"/>
    <w:rsid w:val="44BE6AFA"/>
    <w:rsid w:val="44BE7B38"/>
    <w:rsid w:val="44C10C52"/>
    <w:rsid w:val="44C4343F"/>
    <w:rsid w:val="44CC5637"/>
    <w:rsid w:val="44CE1860"/>
    <w:rsid w:val="44D01EAB"/>
    <w:rsid w:val="44D61276"/>
    <w:rsid w:val="44D842C0"/>
    <w:rsid w:val="44F05372"/>
    <w:rsid w:val="44F550F4"/>
    <w:rsid w:val="44FB2020"/>
    <w:rsid w:val="450005C9"/>
    <w:rsid w:val="45076069"/>
    <w:rsid w:val="450E225C"/>
    <w:rsid w:val="450E5F3E"/>
    <w:rsid w:val="45156B4C"/>
    <w:rsid w:val="451C3C3F"/>
    <w:rsid w:val="45202195"/>
    <w:rsid w:val="45206477"/>
    <w:rsid w:val="45282E33"/>
    <w:rsid w:val="45361C96"/>
    <w:rsid w:val="45367180"/>
    <w:rsid w:val="453936A0"/>
    <w:rsid w:val="45404081"/>
    <w:rsid w:val="454174EC"/>
    <w:rsid w:val="454B27CA"/>
    <w:rsid w:val="4555071F"/>
    <w:rsid w:val="455B027F"/>
    <w:rsid w:val="45634F36"/>
    <w:rsid w:val="45642839"/>
    <w:rsid w:val="456433C3"/>
    <w:rsid w:val="4566286A"/>
    <w:rsid w:val="456653F0"/>
    <w:rsid w:val="456745BB"/>
    <w:rsid w:val="45677DA7"/>
    <w:rsid w:val="45736E48"/>
    <w:rsid w:val="45743F66"/>
    <w:rsid w:val="45761FD8"/>
    <w:rsid w:val="457B0C49"/>
    <w:rsid w:val="45825E81"/>
    <w:rsid w:val="45864B77"/>
    <w:rsid w:val="458A06CD"/>
    <w:rsid w:val="458D3A63"/>
    <w:rsid w:val="4597177B"/>
    <w:rsid w:val="45A85821"/>
    <w:rsid w:val="45AA0EA4"/>
    <w:rsid w:val="45AC57A6"/>
    <w:rsid w:val="45AF03CF"/>
    <w:rsid w:val="45B23BD8"/>
    <w:rsid w:val="45B31674"/>
    <w:rsid w:val="45B52BBB"/>
    <w:rsid w:val="45C3178B"/>
    <w:rsid w:val="45C56C6C"/>
    <w:rsid w:val="45C67344"/>
    <w:rsid w:val="45C81474"/>
    <w:rsid w:val="45C85D55"/>
    <w:rsid w:val="45C91BC6"/>
    <w:rsid w:val="45CD1312"/>
    <w:rsid w:val="45CE3F02"/>
    <w:rsid w:val="45D15325"/>
    <w:rsid w:val="45DE2684"/>
    <w:rsid w:val="45E349A9"/>
    <w:rsid w:val="45F22D7B"/>
    <w:rsid w:val="45F25B71"/>
    <w:rsid w:val="45F6092A"/>
    <w:rsid w:val="45FD29AC"/>
    <w:rsid w:val="46122C2B"/>
    <w:rsid w:val="461E6998"/>
    <w:rsid w:val="46202725"/>
    <w:rsid w:val="4622618B"/>
    <w:rsid w:val="4624768B"/>
    <w:rsid w:val="46283409"/>
    <w:rsid w:val="462E1DEC"/>
    <w:rsid w:val="462F257F"/>
    <w:rsid w:val="46316796"/>
    <w:rsid w:val="46436765"/>
    <w:rsid w:val="464C35D1"/>
    <w:rsid w:val="464C5980"/>
    <w:rsid w:val="464C598F"/>
    <w:rsid w:val="46541012"/>
    <w:rsid w:val="46595BDC"/>
    <w:rsid w:val="465B04AA"/>
    <w:rsid w:val="466467A4"/>
    <w:rsid w:val="466B7E63"/>
    <w:rsid w:val="46726232"/>
    <w:rsid w:val="46731512"/>
    <w:rsid w:val="46795DED"/>
    <w:rsid w:val="468843FE"/>
    <w:rsid w:val="469849B7"/>
    <w:rsid w:val="46991FD8"/>
    <w:rsid w:val="469D4E61"/>
    <w:rsid w:val="46A36DFD"/>
    <w:rsid w:val="46AF4C2E"/>
    <w:rsid w:val="46BC2272"/>
    <w:rsid w:val="46C45DEE"/>
    <w:rsid w:val="46D62B88"/>
    <w:rsid w:val="46D929E4"/>
    <w:rsid w:val="46DA3CDF"/>
    <w:rsid w:val="46DD3A97"/>
    <w:rsid w:val="46E122D5"/>
    <w:rsid w:val="46E51519"/>
    <w:rsid w:val="46E72217"/>
    <w:rsid w:val="46EB56D0"/>
    <w:rsid w:val="46EF6BE5"/>
    <w:rsid w:val="46F94629"/>
    <w:rsid w:val="46FE33A2"/>
    <w:rsid w:val="47001C0D"/>
    <w:rsid w:val="4700310A"/>
    <w:rsid w:val="47034B98"/>
    <w:rsid w:val="47067487"/>
    <w:rsid w:val="470675DD"/>
    <w:rsid w:val="47102BE0"/>
    <w:rsid w:val="47115999"/>
    <w:rsid w:val="47123D8D"/>
    <w:rsid w:val="471651A2"/>
    <w:rsid w:val="47195C33"/>
    <w:rsid w:val="47200180"/>
    <w:rsid w:val="472322A2"/>
    <w:rsid w:val="472E14A0"/>
    <w:rsid w:val="472F2F47"/>
    <w:rsid w:val="47304A60"/>
    <w:rsid w:val="47321070"/>
    <w:rsid w:val="47383706"/>
    <w:rsid w:val="473F3443"/>
    <w:rsid w:val="47442FEA"/>
    <w:rsid w:val="47476898"/>
    <w:rsid w:val="474825BA"/>
    <w:rsid w:val="474D1ED5"/>
    <w:rsid w:val="47524966"/>
    <w:rsid w:val="475E1AB6"/>
    <w:rsid w:val="4764753D"/>
    <w:rsid w:val="47663624"/>
    <w:rsid w:val="4779594B"/>
    <w:rsid w:val="477E3FE9"/>
    <w:rsid w:val="47861281"/>
    <w:rsid w:val="478E58BD"/>
    <w:rsid w:val="478E7E15"/>
    <w:rsid w:val="47933AFC"/>
    <w:rsid w:val="47946581"/>
    <w:rsid w:val="47997ECC"/>
    <w:rsid w:val="479C04C3"/>
    <w:rsid w:val="47A938A8"/>
    <w:rsid w:val="47AD2393"/>
    <w:rsid w:val="47AF4DB4"/>
    <w:rsid w:val="47C05960"/>
    <w:rsid w:val="47CA211A"/>
    <w:rsid w:val="47CE6AD8"/>
    <w:rsid w:val="47D00B76"/>
    <w:rsid w:val="47D266F4"/>
    <w:rsid w:val="47EB3A88"/>
    <w:rsid w:val="47ED09EA"/>
    <w:rsid w:val="47F03825"/>
    <w:rsid w:val="47F67231"/>
    <w:rsid w:val="47F72583"/>
    <w:rsid w:val="47FE4F97"/>
    <w:rsid w:val="48043BE9"/>
    <w:rsid w:val="48050F31"/>
    <w:rsid w:val="480A49CF"/>
    <w:rsid w:val="480B064E"/>
    <w:rsid w:val="48152A57"/>
    <w:rsid w:val="481B77EC"/>
    <w:rsid w:val="481F00E4"/>
    <w:rsid w:val="48230137"/>
    <w:rsid w:val="482A5E63"/>
    <w:rsid w:val="48324267"/>
    <w:rsid w:val="48357C17"/>
    <w:rsid w:val="483602D1"/>
    <w:rsid w:val="48360F72"/>
    <w:rsid w:val="48466EDC"/>
    <w:rsid w:val="486022F2"/>
    <w:rsid w:val="486505C9"/>
    <w:rsid w:val="48717233"/>
    <w:rsid w:val="487736C7"/>
    <w:rsid w:val="48794416"/>
    <w:rsid w:val="4886149A"/>
    <w:rsid w:val="48870995"/>
    <w:rsid w:val="488933F6"/>
    <w:rsid w:val="488F18B7"/>
    <w:rsid w:val="489C5A7F"/>
    <w:rsid w:val="489C5B95"/>
    <w:rsid w:val="489F248C"/>
    <w:rsid w:val="48A47128"/>
    <w:rsid w:val="48A53F58"/>
    <w:rsid w:val="48AA10E1"/>
    <w:rsid w:val="48AF1323"/>
    <w:rsid w:val="48B010C7"/>
    <w:rsid w:val="48B2080D"/>
    <w:rsid w:val="48B5518F"/>
    <w:rsid w:val="48BA7016"/>
    <w:rsid w:val="48BE6136"/>
    <w:rsid w:val="48C17060"/>
    <w:rsid w:val="48D22DB3"/>
    <w:rsid w:val="48D93445"/>
    <w:rsid w:val="48D9627C"/>
    <w:rsid w:val="48DA1D9C"/>
    <w:rsid w:val="48DC218D"/>
    <w:rsid w:val="48DF3D7D"/>
    <w:rsid w:val="48DF3DBB"/>
    <w:rsid w:val="48E4725A"/>
    <w:rsid w:val="48E90615"/>
    <w:rsid w:val="48E915DE"/>
    <w:rsid w:val="48EB611E"/>
    <w:rsid w:val="48F7177C"/>
    <w:rsid w:val="48F9720D"/>
    <w:rsid w:val="490008E6"/>
    <w:rsid w:val="490425AB"/>
    <w:rsid w:val="49047124"/>
    <w:rsid w:val="49076238"/>
    <w:rsid w:val="49104838"/>
    <w:rsid w:val="49200C47"/>
    <w:rsid w:val="49250443"/>
    <w:rsid w:val="49267368"/>
    <w:rsid w:val="49276313"/>
    <w:rsid w:val="492F1B04"/>
    <w:rsid w:val="492F25A6"/>
    <w:rsid w:val="4930158D"/>
    <w:rsid w:val="493166F2"/>
    <w:rsid w:val="493E2578"/>
    <w:rsid w:val="4941564C"/>
    <w:rsid w:val="4943084D"/>
    <w:rsid w:val="495B2F5A"/>
    <w:rsid w:val="49660B64"/>
    <w:rsid w:val="496E056A"/>
    <w:rsid w:val="497930F9"/>
    <w:rsid w:val="497E5F0E"/>
    <w:rsid w:val="49863345"/>
    <w:rsid w:val="49895BF9"/>
    <w:rsid w:val="49896889"/>
    <w:rsid w:val="498B006E"/>
    <w:rsid w:val="498F2FB2"/>
    <w:rsid w:val="499C126E"/>
    <w:rsid w:val="49A20032"/>
    <w:rsid w:val="49A82756"/>
    <w:rsid w:val="49A86BF4"/>
    <w:rsid w:val="49A902DE"/>
    <w:rsid w:val="49A961CD"/>
    <w:rsid w:val="49B31A93"/>
    <w:rsid w:val="49B337E8"/>
    <w:rsid w:val="49B57903"/>
    <w:rsid w:val="49BB0B72"/>
    <w:rsid w:val="49BD536F"/>
    <w:rsid w:val="49CD3C98"/>
    <w:rsid w:val="49D903D2"/>
    <w:rsid w:val="49E27CCF"/>
    <w:rsid w:val="49F44446"/>
    <w:rsid w:val="49F543E3"/>
    <w:rsid w:val="49FA00AE"/>
    <w:rsid w:val="4A03365C"/>
    <w:rsid w:val="4A037F7B"/>
    <w:rsid w:val="4A0C3345"/>
    <w:rsid w:val="4A12511A"/>
    <w:rsid w:val="4A1C6B3C"/>
    <w:rsid w:val="4A272B59"/>
    <w:rsid w:val="4A2A339F"/>
    <w:rsid w:val="4A2A4742"/>
    <w:rsid w:val="4A3849A0"/>
    <w:rsid w:val="4A3B0ADD"/>
    <w:rsid w:val="4A3D1213"/>
    <w:rsid w:val="4A405618"/>
    <w:rsid w:val="4A42752E"/>
    <w:rsid w:val="4A463FDD"/>
    <w:rsid w:val="4A4D2C8C"/>
    <w:rsid w:val="4A4D6FE1"/>
    <w:rsid w:val="4A4F464E"/>
    <w:rsid w:val="4A500FF5"/>
    <w:rsid w:val="4A51053D"/>
    <w:rsid w:val="4A541B9F"/>
    <w:rsid w:val="4A565C2E"/>
    <w:rsid w:val="4A5B2412"/>
    <w:rsid w:val="4A603371"/>
    <w:rsid w:val="4A665A8F"/>
    <w:rsid w:val="4A6B6C00"/>
    <w:rsid w:val="4A7A1A7F"/>
    <w:rsid w:val="4A7B1C95"/>
    <w:rsid w:val="4A7C6D92"/>
    <w:rsid w:val="4A80680F"/>
    <w:rsid w:val="4A8141FB"/>
    <w:rsid w:val="4A8758F1"/>
    <w:rsid w:val="4A8B2BFF"/>
    <w:rsid w:val="4A8B46F9"/>
    <w:rsid w:val="4A8C3D45"/>
    <w:rsid w:val="4A923316"/>
    <w:rsid w:val="4A996D58"/>
    <w:rsid w:val="4A9D364F"/>
    <w:rsid w:val="4AA637CE"/>
    <w:rsid w:val="4AAA2363"/>
    <w:rsid w:val="4AAC0232"/>
    <w:rsid w:val="4AB420A2"/>
    <w:rsid w:val="4AB42562"/>
    <w:rsid w:val="4AB971E8"/>
    <w:rsid w:val="4ABC4127"/>
    <w:rsid w:val="4ABE3518"/>
    <w:rsid w:val="4AC14B57"/>
    <w:rsid w:val="4AC462B3"/>
    <w:rsid w:val="4AC908CA"/>
    <w:rsid w:val="4AC95E08"/>
    <w:rsid w:val="4ACC60F1"/>
    <w:rsid w:val="4ACE3D63"/>
    <w:rsid w:val="4AD13FBF"/>
    <w:rsid w:val="4AD37FB6"/>
    <w:rsid w:val="4AED546D"/>
    <w:rsid w:val="4AF15169"/>
    <w:rsid w:val="4AF33411"/>
    <w:rsid w:val="4AFC4739"/>
    <w:rsid w:val="4AFF7966"/>
    <w:rsid w:val="4B08211A"/>
    <w:rsid w:val="4B0F4D9F"/>
    <w:rsid w:val="4B0F7B33"/>
    <w:rsid w:val="4B154062"/>
    <w:rsid w:val="4B1C2009"/>
    <w:rsid w:val="4B2B654D"/>
    <w:rsid w:val="4B2D2A9B"/>
    <w:rsid w:val="4B313BE7"/>
    <w:rsid w:val="4B331125"/>
    <w:rsid w:val="4B3405F9"/>
    <w:rsid w:val="4B3B6A66"/>
    <w:rsid w:val="4B3F276A"/>
    <w:rsid w:val="4B425A4D"/>
    <w:rsid w:val="4B473804"/>
    <w:rsid w:val="4B5151AA"/>
    <w:rsid w:val="4B537CBF"/>
    <w:rsid w:val="4B545E28"/>
    <w:rsid w:val="4B550153"/>
    <w:rsid w:val="4B625E90"/>
    <w:rsid w:val="4B641191"/>
    <w:rsid w:val="4B694B3A"/>
    <w:rsid w:val="4B730932"/>
    <w:rsid w:val="4B76529F"/>
    <w:rsid w:val="4B797876"/>
    <w:rsid w:val="4B7A237E"/>
    <w:rsid w:val="4B815FB3"/>
    <w:rsid w:val="4B86443F"/>
    <w:rsid w:val="4B9A0C4D"/>
    <w:rsid w:val="4B9B3B70"/>
    <w:rsid w:val="4B9E74F5"/>
    <w:rsid w:val="4B9E7936"/>
    <w:rsid w:val="4BA62ACE"/>
    <w:rsid w:val="4BAC176A"/>
    <w:rsid w:val="4BAF7A14"/>
    <w:rsid w:val="4BB7667A"/>
    <w:rsid w:val="4BBA25CD"/>
    <w:rsid w:val="4BBB242F"/>
    <w:rsid w:val="4BBB66CC"/>
    <w:rsid w:val="4BC15B7C"/>
    <w:rsid w:val="4BC22308"/>
    <w:rsid w:val="4BCC5B3C"/>
    <w:rsid w:val="4BD06F1C"/>
    <w:rsid w:val="4BD119E3"/>
    <w:rsid w:val="4BD11B2A"/>
    <w:rsid w:val="4BD13574"/>
    <w:rsid w:val="4BD47BEF"/>
    <w:rsid w:val="4BDA74DE"/>
    <w:rsid w:val="4BE06BCD"/>
    <w:rsid w:val="4BE413D6"/>
    <w:rsid w:val="4BE86538"/>
    <w:rsid w:val="4C001FDF"/>
    <w:rsid w:val="4C040A9A"/>
    <w:rsid w:val="4C0770C1"/>
    <w:rsid w:val="4C1F0776"/>
    <w:rsid w:val="4C232063"/>
    <w:rsid w:val="4C2503E2"/>
    <w:rsid w:val="4C2C299D"/>
    <w:rsid w:val="4C322608"/>
    <w:rsid w:val="4C3238CA"/>
    <w:rsid w:val="4C343A7F"/>
    <w:rsid w:val="4C3449FC"/>
    <w:rsid w:val="4C380D78"/>
    <w:rsid w:val="4C3D0756"/>
    <w:rsid w:val="4C3D5FB7"/>
    <w:rsid w:val="4C463137"/>
    <w:rsid w:val="4C4C1686"/>
    <w:rsid w:val="4C513E4B"/>
    <w:rsid w:val="4C542E8F"/>
    <w:rsid w:val="4C603F1D"/>
    <w:rsid w:val="4C6211EA"/>
    <w:rsid w:val="4C635D18"/>
    <w:rsid w:val="4C670EB1"/>
    <w:rsid w:val="4C712086"/>
    <w:rsid w:val="4C7120EC"/>
    <w:rsid w:val="4C7B3D80"/>
    <w:rsid w:val="4C7C605E"/>
    <w:rsid w:val="4C7E2355"/>
    <w:rsid w:val="4C847264"/>
    <w:rsid w:val="4C922A6A"/>
    <w:rsid w:val="4C970E7B"/>
    <w:rsid w:val="4CA371A5"/>
    <w:rsid w:val="4CC1054F"/>
    <w:rsid w:val="4CCB1948"/>
    <w:rsid w:val="4CCE079D"/>
    <w:rsid w:val="4CCE3699"/>
    <w:rsid w:val="4CEA4F4D"/>
    <w:rsid w:val="4CEC58DB"/>
    <w:rsid w:val="4CED4981"/>
    <w:rsid w:val="4CEF637A"/>
    <w:rsid w:val="4CF00FB6"/>
    <w:rsid w:val="4CF16277"/>
    <w:rsid w:val="4CF4672D"/>
    <w:rsid w:val="4CFA2AAF"/>
    <w:rsid w:val="4CFE26B6"/>
    <w:rsid w:val="4D0325CF"/>
    <w:rsid w:val="4D035A68"/>
    <w:rsid w:val="4D0F26CE"/>
    <w:rsid w:val="4D147026"/>
    <w:rsid w:val="4D1478EC"/>
    <w:rsid w:val="4D165C91"/>
    <w:rsid w:val="4D225412"/>
    <w:rsid w:val="4D235945"/>
    <w:rsid w:val="4D255F0E"/>
    <w:rsid w:val="4D2B263E"/>
    <w:rsid w:val="4D2D15D1"/>
    <w:rsid w:val="4D2F06BA"/>
    <w:rsid w:val="4D304130"/>
    <w:rsid w:val="4D386B0D"/>
    <w:rsid w:val="4D3B3869"/>
    <w:rsid w:val="4D4330D3"/>
    <w:rsid w:val="4D4B7DCE"/>
    <w:rsid w:val="4D545407"/>
    <w:rsid w:val="4D694F30"/>
    <w:rsid w:val="4D6B703C"/>
    <w:rsid w:val="4D717BA1"/>
    <w:rsid w:val="4D7F56C3"/>
    <w:rsid w:val="4D855FB9"/>
    <w:rsid w:val="4D8A0B26"/>
    <w:rsid w:val="4D904FEE"/>
    <w:rsid w:val="4D910D8A"/>
    <w:rsid w:val="4D935425"/>
    <w:rsid w:val="4D953CDB"/>
    <w:rsid w:val="4D97309D"/>
    <w:rsid w:val="4D9B559E"/>
    <w:rsid w:val="4D9E090F"/>
    <w:rsid w:val="4DAC6E91"/>
    <w:rsid w:val="4DAE3711"/>
    <w:rsid w:val="4DB63BC4"/>
    <w:rsid w:val="4DB7591C"/>
    <w:rsid w:val="4DBB2984"/>
    <w:rsid w:val="4DCC46DA"/>
    <w:rsid w:val="4DDD5EB7"/>
    <w:rsid w:val="4DDE45A5"/>
    <w:rsid w:val="4DE265E9"/>
    <w:rsid w:val="4DE5023D"/>
    <w:rsid w:val="4DEB419D"/>
    <w:rsid w:val="4DF267CF"/>
    <w:rsid w:val="4DF6484E"/>
    <w:rsid w:val="4E043A0E"/>
    <w:rsid w:val="4E0B5D31"/>
    <w:rsid w:val="4E125681"/>
    <w:rsid w:val="4E1339D8"/>
    <w:rsid w:val="4E145C86"/>
    <w:rsid w:val="4E187CF8"/>
    <w:rsid w:val="4E1A5C2E"/>
    <w:rsid w:val="4E1D303B"/>
    <w:rsid w:val="4E2B3781"/>
    <w:rsid w:val="4E2B74D5"/>
    <w:rsid w:val="4E304710"/>
    <w:rsid w:val="4E337E4B"/>
    <w:rsid w:val="4E365771"/>
    <w:rsid w:val="4E3C3064"/>
    <w:rsid w:val="4E3C5DC0"/>
    <w:rsid w:val="4E446F8B"/>
    <w:rsid w:val="4E4D4DE2"/>
    <w:rsid w:val="4E5669BF"/>
    <w:rsid w:val="4E651EA6"/>
    <w:rsid w:val="4E6757B0"/>
    <w:rsid w:val="4E6C4048"/>
    <w:rsid w:val="4E783D17"/>
    <w:rsid w:val="4E7F2A80"/>
    <w:rsid w:val="4E7F6123"/>
    <w:rsid w:val="4E805C19"/>
    <w:rsid w:val="4E836C4E"/>
    <w:rsid w:val="4E865BCD"/>
    <w:rsid w:val="4E8A6771"/>
    <w:rsid w:val="4E957162"/>
    <w:rsid w:val="4E9E60B6"/>
    <w:rsid w:val="4EA27ACB"/>
    <w:rsid w:val="4EA449D7"/>
    <w:rsid w:val="4EA60E85"/>
    <w:rsid w:val="4EA753EE"/>
    <w:rsid w:val="4EAE3E03"/>
    <w:rsid w:val="4EB379F2"/>
    <w:rsid w:val="4EB838E0"/>
    <w:rsid w:val="4EBC3167"/>
    <w:rsid w:val="4EBC6632"/>
    <w:rsid w:val="4EBD4562"/>
    <w:rsid w:val="4EBD5620"/>
    <w:rsid w:val="4EBE0F4C"/>
    <w:rsid w:val="4EC258F4"/>
    <w:rsid w:val="4EC866B8"/>
    <w:rsid w:val="4ECD0F14"/>
    <w:rsid w:val="4ED017E4"/>
    <w:rsid w:val="4ED03B4F"/>
    <w:rsid w:val="4ED43AE8"/>
    <w:rsid w:val="4EDC1716"/>
    <w:rsid w:val="4EDF6F4B"/>
    <w:rsid w:val="4EE24F10"/>
    <w:rsid w:val="4EE77077"/>
    <w:rsid w:val="4EE8461F"/>
    <w:rsid w:val="4F0206C2"/>
    <w:rsid w:val="4F06414B"/>
    <w:rsid w:val="4F19542F"/>
    <w:rsid w:val="4F1A4FD6"/>
    <w:rsid w:val="4F1C2B4C"/>
    <w:rsid w:val="4F1E1A5A"/>
    <w:rsid w:val="4F2D5479"/>
    <w:rsid w:val="4F2E4FDB"/>
    <w:rsid w:val="4F3127D8"/>
    <w:rsid w:val="4F353521"/>
    <w:rsid w:val="4F3B798B"/>
    <w:rsid w:val="4F424396"/>
    <w:rsid w:val="4F461737"/>
    <w:rsid w:val="4F4937A7"/>
    <w:rsid w:val="4F4A044C"/>
    <w:rsid w:val="4F501AA5"/>
    <w:rsid w:val="4F507138"/>
    <w:rsid w:val="4F5431F2"/>
    <w:rsid w:val="4F594949"/>
    <w:rsid w:val="4F5A315B"/>
    <w:rsid w:val="4F664358"/>
    <w:rsid w:val="4F664D4A"/>
    <w:rsid w:val="4F701C5E"/>
    <w:rsid w:val="4F7041A7"/>
    <w:rsid w:val="4F7349ED"/>
    <w:rsid w:val="4F7C7D62"/>
    <w:rsid w:val="4F8366CD"/>
    <w:rsid w:val="4F88390E"/>
    <w:rsid w:val="4F8865D2"/>
    <w:rsid w:val="4F9102E3"/>
    <w:rsid w:val="4F9A400D"/>
    <w:rsid w:val="4FA11827"/>
    <w:rsid w:val="4FA43120"/>
    <w:rsid w:val="4FA57761"/>
    <w:rsid w:val="4FA82F77"/>
    <w:rsid w:val="4FAB07C1"/>
    <w:rsid w:val="4FC12B67"/>
    <w:rsid w:val="4FC87D84"/>
    <w:rsid w:val="4FD33643"/>
    <w:rsid w:val="4FD409F7"/>
    <w:rsid w:val="4FD41054"/>
    <w:rsid w:val="4FD66F8D"/>
    <w:rsid w:val="4FDB5605"/>
    <w:rsid w:val="4FDF7D08"/>
    <w:rsid w:val="4FE45662"/>
    <w:rsid w:val="4FE66728"/>
    <w:rsid w:val="4FE74DC2"/>
    <w:rsid w:val="4FF81090"/>
    <w:rsid w:val="4FFA1BE3"/>
    <w:rsid w:val="4FFF560B"/>
    <w:rsid w:val="50001B8C"/>
    <w:rsid w:val="50033BDE"/>
    <w:rsid w:val="50036BC4"/>
    <w:rsid w:val="500B0DCA"/>
    <w:rsid w:val="500C2A95"/>
    <w:rsid w:val="50133F8A"/>
    <w:rsid w:val="50140C07"/>
    <w:rsid w:val="50176E6F"/>
    <w:rsid w:val="50200664"/>
    <w:rsid w:val="502151EE"/>
    <w:rsid w:val="5022333C"/>
    <w:rsid w:val="50312196"/>
    <w:rsid w:val="503C506C"/>
    <w:rsid w:val="50417E32"/>
    <w:rsid w:val="5042052F"/>
    <w:rsid w:val="504768E3"/>
    <w:rsid w:val="504F0FB9"/>
    <w:rsid w:val="504F769B"/>
    <w:rsid w:val="50537FDD"/>
    <w:rsid w:val="50622728"/>
    <w:rsid w:val="507554C6"/>
    <w:rsid w:val="507D0063"/>
    <w:rsid w:val="50803340"/>
    <w:rsid w:val="50871317"/>
    <w:rsid w:val="508F1D63"/>
    <w:rsid w:val="508F6AC4"/>
    <w:rsid w:val="509631CF"/>
    <w:rsid w:val="509A55F2"/>
    <w:rsid w:val="509B6BFA"/>
    <w:rsid w:val="50A36924"/>
    <w:rsid w:val="50A732FC"/>
    <w:rsid w:val="50AA341E"/>
    <w:rsid w:val="50AB4E2F"/>
    <w:rsid w:val="50AC2418"/>
    <w:rsid w:val="50B421A0"/>
    <w:rsid w:val="50B70FED"/>
    <w:rsid w:val="50BA643F"/>
    <w:rsid w:val="50BC2897"/>
    <w:rsid w:val="50D2215B"/>
    <w:rsid w:val="50DA2205"/>
    <w:rsid w:val="50E57F59"/>
    <w:rsid w:val="50EA61D3"/>
    <w:rsid w:val="50FC41E2"/>
    <w:rsid w:val="510319B4"/>
    <w:rsid w:val="5109098F"/>
    <w:rsid w:val="510A4E7D"/>
    <w:rsid w:val="51187091"/>
    <w:rsid w:val="51190722"/>
    <w:rsid w:val="511E5EB5"/>
    <w:rsid w:val="51205217"/>
    <w:rsid w:val="51217565"/>
    <w:rsid w:val="512D5787"/>
    <w:rsid w:val="51371434"/>
    <w:rsid w:val="51382F84"/>
    <w:rsid w:val="513B4CBD"/>
    <w:rsid w:val="513F2A79"/>
    <w:rsid w:val="514E5DF0"/>
    <w:rsid w:val="51505C49"/>
    <w:rsid w:val="515F5290"/>
    <w:rsid w:val="515F5E7D"/>
    <w:rsid w:val="51621B03"/>
    <w:rsid w:val="51677ABF"/>
    <w:rsid w:val="51736010"/>
    <w:rsid w:val="517F4109"/>
    <w:rsid w:val="518140E8"/>
    <w:rsid w:val="518961AE"/>
    <w:rsid w:val="518B0D8B"/>
    <w:rsid w:val="51905BB3"/>
    <w:rsid w:val="519D2A82"/>
    <w:rsid w:val="519E4C2D"/>
    <w:rsid w:val="51A15787"/>
    <w:rsid w:val="51A23180"/>
    <w:rsid w:val="51A44533"/>
    <w:rsid w:val="51B12C2B"/>
    <w:rsid w:val="51B625E5"/>
    <w:rsid w:val="51BB3190"/>
    <w:rsid w:val="51C31AB3"/>
    <w:rsid w:val="51C50057"/>
    <w:rsid w:val="51C83A24"/>
    <w:rsid w:val="51CA6470"/>
    <w:rsid w:val="51CC0195"/>
    <w:rsid w:val="51CF3752"/>
    <w:rsid w:val="51D221A2"/>
    <w:rsid w:val="51DB590D"/>
    <w:rsid w:val="51DC7D4F"/>
    <w:rsid w:val="51E372D3"/>
    <w:rsid w:val="51E952C3"/>
    <w:rsid w:val="51F763C2"/>
    <w:rsid w:val="52082F0E"/>
    <w:rsid w:val="520A4FD4"/>
    <w:rsid w:val="520A6A40"/>
    <w:rsid w:val="520B29B2"/>
    <w:rsid w:val="52165ED6"/>
    <w:rsid w:val="52170D68"/>
    <w:rsid w:val="521752D9"/>
    <w:rsid w:val="521832FA"/>
    <w:rsid w:val="521B5CF1"/>
    <w:rsid w:val="521E330E"/>
    <w:rsid w:val="52210969"/>
    <w:rsid w:val="5224158C"/>
    <w:rsid w:val="52250331"/>
    <w:rsid w:val="52251937"/>
    <w:rsid w:val="52291DE3"/>
    <w:rsid w:val="522D32DC"/>
    <w:rsid w:val="522E032A"/>
    <w:rsid w:val="522E48FA"/>
    <w:rsid w:val="52436B21"/>
    <w:rsid w:val="52476CBE"/>
    <w:rsid w:val="52486521"/>
    <w:rsid w:val="52541687"/>
    <w:rsid w:val="525808AD"/>
    <w:rsid w:val="52606B21"/>
    <w:rsid w:val="526142ED"/>
    <w:rsid w:val="5261554B"/>
    <w:rsid w:val="52675267"/>
    <w:rsid w:val="526A42D2"/>
    <w:rsid w:val="527456A0"/>
    <w:rsid w:val="52775B19"/>
    <w:rsid w:val="527820D3"/>
    <w:rsid w:val="527925C0"/>
    <w:rsid w:val="5286536B"/>
    <w:rsid w:val="528D1636"/>
    <w:rsid w:val="528F6528"/>
    <w:rsid w:val="52927920"/>
    <w:rsid w:val="5294173C"/>
    <w:rsid w:val="52A573D4"/>
    <w:rsid w:val="52AE3C1C"/>
    <w:rsid w:val="52B15A0B"/>
    <w:rsid w:val="52B277B6"/>
    <w:rsid w:val="52B539F6"/>
    <w:rsid w:val="52B87EDF"/>
    <w:rsid w:val="52C2471F"/>
    <w:rsid w:val="52C2744F"/>
    <w:rsid w:val="52CF2A7E"/>
    <w:rsid w:val="52D52D8A"/>
    <w:rsid w:val="52D70C29"/>
    <w:rsid w:val="52E07E6E"/>
    <w:rsid w:val="52E2403D"/>
    <w:rsid w:val="52E87FC9"/>
    <w:rsid w:val="52EA3010"/>
    <w:rsid w:val="52EE6354"/>
    <w:rsid w:val="52EF275D"/>
    <w:rsid w:val="52F87188"/>
    <w:rsid w:val="53035F10"/>
    <w:rsid w:val="530445BC"/>
    <w:rsid w:val="530646FD"/>
    <w:rsid w:val="53073E74"/>
    <w:rsid w:val="53130812"/>
    <w:rsid w:val="53176C42"/>
    <w:rsid w:val="53184746"/>
    <w:rsid w:val="531972CB"/>
    <w:rsid w:val="53227F73"/>
    <w:rsid w:val="532342A1"/>
    <w:rsid w:val="532E4AC7"/>
    <w:rsid w:val="533E55DF"/>
    <w:rsid w:val="5360600D"/>
    <w:rsid w:val="53703765"/>
    <w:rsid w:val="537149ED"/>
    <w:rsid w:val="5376095E"/>
    <w:rsid w:val="537A04E8"/>
    <w:rsid w:val="537D7719"/>
    <w:rsid w:val="53874180"/>
    <w:rsid w:val="53910730"/>
    <w:rsid w:val="53991F46"/>
    <w:rsid w:val="539D00C0"/>
    <w:rsid w:val="53A34926"/>
    <w:rsid w:val="53A430C7"/>
    <w:rsid w:val="53B10861"/>
    <w:rsid w:val="53B71A0D"/>
    <w:rsid w:val="53BA49C0"/>
    <w:rsid w:val="53BF11FF"/>
    <w:rsid w:val="53C2398F"/>
    <w:rsid w:val="53C92C10"/>
    <w:rsid w:val="53CF606A"/>
    <w:rsid w:val="53D111B0"/>
    <w:rsid w:val="53D73576"/>
    <w:rsid w:val="53E22364"/>
    <w:rsid w:val="53E35749"/>
    <w:rsid w:val="53EB4289"/>
    <w:rsid w:val="53EE07E8"/>
    <w:rsid w:val="53F67F24"/>
    <w:rsid w:val="53FE5A9E"/>
    <w:rsid w:val="540B221A"/>
    <w:rsid w:val="54193A5D"/>
    <w:rsid w:val="541C5A78"/>
    <w:rsid w:val="54210A3D"/>
    <w:rsid w:val="54257FE2"/>
    <w:rsid w:val="5428581F"/>
    <w:rsid w:val="542A7306"/>
    <w:rsid w:val="542B47E5"/>
    <w:rsid w:val="54312A0A"/>
    <w:rsid w:val="54451C08"/>
    <w:rsid w:val="54456D76"/>
    <w:rsid w:val="5450152B"/>
    <w:rsid w:val="545412A1"/>
    <w:rsid w:val="54591BCD"/>
    <w:rsid w:val="545A1A3D"/>
    <w:rsid w:val="546936FE"/>
    <w:rsid w:val="546A602B"/>
    <w:rsid w:val="547034CA"/>
    <w:rsid w:val="54724933"/>
    <w:rsid w:val="547801F9"/>
    <w:rsid w:val="54877824"/>
    <w:rsid w:val="54967702"/>
    <w:rsid w:val="549B60CA"/>
    <w:rsid w:val="54A746D1"/>
    <w:rsid w:val="54B14984"/>
    <w:rsid w:val="54B34E33"/>
    <w:rsid w:val="54BC09E2"/>
    <w:rsid w:val="54C257FC"/>
    <w:rsid w:val="54C51C65"/>
    <w:rsid w:val="54C649FB"/>
    <w:rsid w:val="54C766D3"/>
    <w:rsid w:val="54DB3842"/>
    <w:rsid w:val="54DB74B3"/>
    <w:rsid w:val="54DF4A41"/>
    <w:rsid w:val="54E32310"/>
    <w:rsid w:val="54E35B83"/>
    <w:rsid w:val="54E5570D"/>
    <w:rsid w:val="54E656A9"/>
    <w:rsid w:val="54E85406"/>
    <w:rsid w:val="54EE0227"/>
    <w:rsid w:val="54EE4DEC"/>
    <w:rsid w:val="54F1490A"/>
    <w:rsid w:val="54F93AE7"/>
    <w:rsid w:val="54F97DEB"/>
    <w:rsid w:val="5500459A"/>
    <w:rsid w:val="55012EF3"/>
    <w:rsid w:val="55022588"/>
    <w:rsid w:val="5507319C"/>
    <w:rsid w:val="550D4E7F"/>
    <w:rsid w:val="55147F46"/>
    <w:rsid w:val="55197706"/>
    <w:rsid w:val="551B3ADB"/>
    <w:rsid w:val="551F7D03"/>
    <w:rsid w:val="55252910"/>
    <w:rsid w:val="552677BE"/>
    <w:rsid w:val="552E2F45"/>
    <w:rsid w:val="55313992"/>
    <w:rsid w:val="553772EA"/>
    <w:rsid w:val="553A6D2E"/>
    <w:rsid w:val="5546635B"/>
    <w:rsid w:val="55507B46"/>
    <w:rsid w:val="55534568"/>
    <w:rsid w:val="555A0EDC"/>
    <w:rsid w:val="55677E49"/>
    <w:rsid w:val="55692EAC"/>
    <w:rsid w:val="55714147"/>
    <w:rsid w:val="55744904"/>
    <w:rsid w:val="557C295E"/>
    <w:rsid w:val="557C5B0B"/>
    <w:rsid w:val="55806AF4"/>
    <w:rsid w:val="55812735"/>
    <w:rsid w:val="55861EC8"/>
    <w:rsid w:val="5588140B"/>
    <w:rsid w:val="55891D85"/>
    <w:rsid w:val="5592013C"/>
    <w:rsid w:val="55A445F2"/>
    <w:rsid w:val="55A57957"/>
    <w:rsid w:val="55AA469C"/>
    <w:rsid w:val="55BC12E8"/>
    <w:rsid w:val="55BD3120"/>
    <w:rsid w:val="55BF56EA"/>
    <w:rsid w:val="55C103AC"/>
    <w:rsid w:val="55C423B5"/>
    <w:rsid w:val="55C6074D"/>
    <w:rsid w:val="55C86079"/>
    <w:rsid w:val="55CA75BB"/>
    <w:rsid w:val="55CC5297"/>
    <w:rsid w:val="55D31938"/>
    <w:rsid w:val="55DA77E0"/>
    <w:rsid w:val="55EE6E58"/>
    <w:rsid w:val="55F2238E"/>
    <w:rsid w:val="55F24132"/>
    <w:rsid w:val="55FB05FF"/>
    <w:rsid w:val="55FC794D"/>
    <w:rsid w:val="56012A7B"/>
    <w:rsid w:val="56150744"/>
    <w:rsid w:val="56172C84"/>
    <w:rsid w:val="56206259"/>
    <w:rsid w:val="562219AC"/>
    <w:rsid w:val="56230DC5"/>
    <w:rsid w:val="562B59B0"/>
    <w:rsid w:val="562B64D0"/>
    <w:rsid w:val="56351882"/>
    <w:rsid w:val="56387876"/>
    <w:rsid w:val="56391384"/>
    <w:rsid w:val="563F06E3"/>
    <w:rsid w:val="564C27AB"/>
    <w:rsid w:val="565078DE"/>
    <w:rsid w:val="565222DD"/>
    <w:rsid w:val="565907FF"/>
    <w:rsid w:val="565D6940"/>
    <w:rsid w:val="566101A8"/>
    <w:rsid w:val="56666AC5"/>
    <w:rsid w:val="56701442"/>
    <w:rsid w:val="56793306"/>
    <w:rsid w:val="56797C74"/>
    <w:rsid w:val="568116C5"/>
    <w:rsid w:val="568630E0"/>
    <w:rsid w:val="568F0B4D"/>
    <w:rsid w:val="5691640E"/>
    <w:rsid w:val="56927F4A"/>
    <w:rsid w:val="569C03A7"/>
    <w:rsid w:val="569E53D6"/>
    <w:rsid w:val="56A304C3"/>
    <w:rsid w:val="56AD16B1"/>
    <w:rsid w:val="56B44FF7"/>
    <w:rsid w:val="56B76AF7"/>
    <w:rsid w:val="56BA0EDB"/>
    <w:rsid w:val="56BA5BFC"/>
    <w:rsid w:val="56C6377A"/>
    <w:rsid w:val="56D60D34"/>
    <w:rsid w:val="56D76BB3"/>
    <w:rsid w:val="56DA1A1C"/>
    <w:rsid w:val="56E90EF6"/>
    <w:rsid w:val="56F50794"/>
    <w:rsid w:val="56F82259"/>
    <w:rsid w:val="56FC12BF"/>
    <w:rsid w:val="56FE5AE3"/>
    <w:rsid w:val="570255BE"/>
    <w:rsid w:val="570426CC"/>
    <w:rsid w:val="57100D05"/>
    <w:rsid w:val="57100E69"/>
    <w:rsid w:val="57103E85"/>
    <w:rsid w:val="57167A78"/>
    <w:rsid w:val="571E4103"/>
    <w:rsid w:val="5724356E"/>
    <w:rsid w:val="573B1E04"/>
    <w:rsid w:val="573B396A"/>
    <w:rsid w:val="576019A8"/>
    <w:rsid w:val="576E1A2E"/>
    <w:rsid w:val="576F00D0"/>
    <w:rsid w:val="57780B15"/>
    <w:rsid w:val="577C7921"/>
    <w:rsid w:val="577D6052"/>
    <w:rsid w:val="578130EB"/>
    <w:rsid w:val="5781472D"/>
    <w:rsid w:val="57842581"/>
    <w:rsid w:val="57860B1C"/>
    <w:rsid w:val="578F1CC6"/>
    <w:rsid w:val="579016BB"/>
    <w:rsid w:val="579131AA"/>
    <w:rsid w:val="57961B8E"/>
    <w:rsid w:val="579A34FF"/>
    <w:rsid w:val="57A05D52"/>
    <w:rsid w:val="57A65B21"/>
    <w:rsid w:val="57A93B1C"/>
    <w:rsid w:val="57AC3C72"/>
    <w:rsid w:val="57AC71EF"/>
    <w:rsid w:val="57B30CCB"/>
    <w:rsid w:val="57B82FE8"/>
    <w:rsid w:val="57BA183B"/>
    <w:rsid w:val="57BC21E8"/>
    <w:rsid w:val="57C563BF"/>
    <w:rsid w:val="57C64CE3"/>
    <w:rsid w:val="57CF1AC2"/>
    <w:rsid w:val="57CF411E"/>
    <w:rsid w:val="57CF6469"/>
    <w:rsid w:val="57D20F94"/>
    <w:rsid w:val="57E359C9"/>
    <w:rsid w:val="57E62EFD"/>
    <w:rsid w:val="57E8494C"/>
    <w:rsid w:val="57EA66DC"/>
    <w:rsid w:val="57F75230"/>
    <w:rsid w:val="57FA5E75"/>
    <w:rsid w:val="58000E35"/>
    <w:rsid w:val="58186CE6"/>
    <w:rsid w:val="58222E9F"/>
    <w:rsid w:val="58251D17"/>
    <w:rsid w:val="582D3231"/>
    <w:rsid w:val="58316A55"/>
    <w:rsid w:val="58327850"/>
    <w:rsid w:val="583F3207"/>
    <w:rsid w:val="58452DB9"/>
    <w:rsid w:val="5846017C"/>
    <w:rsid w:val="58484E27"/>
    <w:rsid w:val="58514B7B"/>
    <w:rsid w:val="58525C17"/>
    <w:rsid w:val="58592455"/>
    <w:rsid w:val="586815ED"/>
    <w:rsid w:val="586B3009"/>
    <w:rsid w:val="58775EED"/>
    <w:rsid w:val="58790B5B"/>
    <w:rsid w:val="588D7FDD"/>
    <w:rsid w:val="58924ECC"/>
    <w:rsid w:val="589511CE"/>
    <w:rsid w:val="5895256C"/>
    <w:rsid w:val="58965AA7"/>
    <w:rsid w:val="5899451C"/>
    <w:rsid w:val="589C6409"/>
    <w:rsid w:val="589D4D39"/>
    <w:rsid w:val="58A34E0C"/>
    <w:rsid w:val="58AE31F5"/>
    <w:rsid w:val="58B354B8"/>
    <w:rsid w:val="58B545E6"/>
    <w:rsid w:val="58B60FB7"/>
    <w:rsid w:val="58BB01CF"/>
    <w:rsid w:val="58BD1D42"/>
    <w:rsid w:val="58C04526"/>
    <w:rsid w:val="58C15643"/>
    <w:rsid w:val="58C25B98"/>
    <w:rsid w:val="58C925C7"/>
    <w:rsid w:val="58D215DA"/>
    <w:rsid w:val="58DE296B"/>
    <w:rsid w:val="58E05B85"/>
    <w:rsid w:val="58F141D6"/>
    <w:rsid w:val="58F9654F"/>
    <w:rsid w:val="58F979E8"/>
    <w:rsid w:val="58FB6C25"/>
    <w:rsid w:val="58FE08ED"/>
    <w:rsid w:val="59061DAE"/>
    <w:rsid w:val="590C2CEF"/>
    <w:rsid w:val="590E4EED"/>
    <w:rsid w:val="5914669F"/>
    <w:rsid w:val="591557DB"/>
    <w:rsid w:val="591A5C30"/>
    <w:rsid w:val="591C4B79"/>
    <w:rsid w:val="591F2957"/>
    <w:rsid w:val="59262A74"/>
    <w:rsid w:val="592F1CE2"/>
    <w:rsid w:val="59371CA9"/>
    <w:rsid w:val="593C5853"/>
    <w:rsid w:val="593E005D"/>
    <w:rsid w:val="5940158A"/>
    <w:rsid w:val="59454372"/>
    <w:rsid w:val="594606CC"/>
    <w:rsid w:val="594B6D49"/>
    <w:rsid w:val="596460E9"/>
    <w:rsid w:val="59697600"/>
    <w:rsid w:val="596C25D4"/>
    <w:rsid w:val="597028E6"/>
    <w:rsid w:val="597D38D7"/>
    <w:rsid w:val="598910A1"/>
    <w:rsid w:val="598A75D0"/>
    <w:rsid w:val="59935094"/>
    <w:rsid w:val="5995496F"/>
    <w:rsid w:val="59A62A34"/>
    <w:rsid w:val="59AB1748"/>
    <w:rsid w:val="59AF2059"/>
    <w:rsid w:val="59B159CB"/>
    <w:rsid w:val="59B51848"/>
    <w:rsid w:val="59B80057"/>
    <w:rsid w:val="59BC67AC"/>
    <w:rsid w:val="59C03938"/>
    <w:rsid w:val="59C811F1"/>
    <w:rsid w:val="59C83D69"/>
    <w:rsid w:val="59CB01B4"/>
    <w:rsid w:val="59CC0DAD"/>
    <w:rsid w:val="59CF1C3E"/>
    <w:rsid w:val="59D76A58"/>
    <w:rsid w:val="59D87B36"/>
    <w:rsid w:val="59E57113"/>
    <w:rsid w:val="59E91981"/>
    <w:rsid w:val="59F22823"/>
    <w:rsid w:val="59F35BF5"/>
    <w:rsid w:val="59F42704"/>
    <w:rsid w:val="59FD1C88"/>
    <w:rsid w:val="5A0020BE"/>
    <w:rsid w:val="5A004EC8"/>
    <w:rsid w:val="5A02215A"/>
    <w:rsid w:val="5A0823EC"/>
    <w:rsid w:val="5A0B4999"/>
    <w:rsid w:val="5A0C5C1F"/>
    <w:rsid w:val="5A1219E8"/>
    <w:rsid w:val="5A1601E1"/>
    <w:rsid w:val="5A1A2003"/>
    <w:rsid w:val="5A2023BC"/>
    <w:rsid w:val="5A2534E2"/>
    <w:rsid w:val="5A272110"/>
    <w:rsid w:val="5A2F52ED"/>
    <w:rsid w:val="5A307C26"/>
    <w:rsid w:val="5A307F73"/>
    <w:rsid w:val="5A341010"/>
    <w:rsid w:val="5A3A1517"/>
    <w:rsid w:val="5A4D351E"/>
    <w:rsid w:val="5A507300"/>
    <w:rsid w:val="5A51154D"/>
    <w:rsid w:val="5A523957"/>
    <w:rsid w:val="5A532CC8"/>
    <w:rsid w:val="5A612789"/>
    <w:rsid w:val="5A6543C4"/>
    <w:rsid w:val="5A6A5675"/>
    <w:rsid w:val="5A6E205B"/>
    <w:rsid w:val="5A7B2C70"/>
    <w:rsid w:val="5A7C2218"/>
    <w:rsid w:val="5A7C5822"/>
    <w:rsid w:val="5A847FE5"/>
    <w:rsid w:val="5A916654"/>
    <w:rsid w:val="5A9B3B8F"/>
    <w:rsid w:val="5A9D6553"/>
    <w:rsid w:val="5A9E6004"/>
    <w:rsid w:val="5AA206E2"/>
    <w:rsid w:val="5AAB402B"/>
    <w:rsid w:val="5AAF46FD"/>
    <w:rsid w:val="5AB36954"/>
    <w:rsid w:val="5ABB0D66"/>
    <w:rsid w:val="5ABE401A"/>
    <w:rsid w:val="5AC526EE"/>
    <w:rsid w:val="5ACB4B14"/>
    <w:rsid w:val="5AD45224"/>
    <w:rsid w:val="5ADA5032"/>
    <w:rsid w:val="5ADC6365"/>
    <w:rsid w:val="5AED2A7F"/>
    <w:rsid w:val="5B0A16D4"/>
    <w:rsid w:val="5B0B0FE2"/>
    <w:rsid w:val="5B1029A0"/>
    <w:rsid w:val="5B18258F"/>
    <w:rsid w:val="5B28216A"/>
    <w:rsid w:val="5B2B1ACA"/>
    <w:rsid w:val="5B302C2D"/>
    <w:rsid w:val="5B33397C"/>
    <w:rsid w:val="5B35552C"/>
    <w:rsid w:val="5B356E68"/>
    <w:rsid w:val="5B3A4E8A"/>
    <w:rsid w:val="5B43203B"/>
    <w:rsid w:val="5B485D9E"/>
    <w:rsid w:val="5B4E4DA1"/>
    <w:rsid w:val="5B5335BE"/>
    <w:rsid w:val="5B613886"/>
    <w:rsid w:val="5B6A6045"/>
    <w:rsid w:val="5B6C39BD"/>
    <w:rsid w:val="5B7B1E82"/>
    <w:rsid w:val="5B862B77"/>
    <w:rsid w:val="5B944D80"/>
    <w:rsid w:val="5B9509FD"/>
    <w:rsid w:val="5B957A5E"/>
    <w:rsid w:val="5BAB4BEE"/>
    <w:rsid w:val="5BB210AD"/>
    <w:rsid w:val="5BB47B97"/>
    <w:rsid w:val="5BB81EEF"/>
    <w:rsid w:val="5BC23198"/>
    <w:rsid w:val="5BC3049A"/>
    <w:rsid w:val="5BC52C1C"/>
    <w:rsid w:val="5BCE2157"/>
    <w:rsid w:val="5BD14762"/>
    <w:rsid w:val="5BD2376F"/>
    <w:rsid w:val="5BEA66B7"/>
    <w:rsid w:val="5BEB4DCC"/>
    <w:rsid w:val="5BF81226"/>
    <w:rsid w:val="5BFB7485"/>
    <w:rsid w:val="5C0042AF"/>
    <w:rsid w:val="5C021D5C"/>
    <w:rsid w:val="5C097E8B"/>
    <w:rsid w:val="5C0E1887"/>
    <w:rsid w:val="5C0E448E"/>
    <w:rsid w:val="5C116FBD"/>
    <w:rsid w:val="5C18254C"/>
    <w:rsid w:val="5C1B2C25"/>
    <w:rsid w:val="5C1E0099"/>
    <w:rsid w:val="5C24204D"/>
    <w:rsid w:val="5C261AD7"/>
    <w:rsid w:val="5C2A4D2E"/>
    <w:rsid w:val="5C2E032C"/>
    <w:rsid w:val="5C317C76"/>
    <w:rsid w:val="5C3344C7"/>
    <w:rsid w:val="5C35045C"/>
    <w:rsid w:val="5C3B0435"/>
    <w:rsid w:val="5C3C5668"/>
    <w:rsid w:val="5C3C56AD"/>
    <w:rsid w:val="5C3D32DD"/>
    <w:rsid w:val="5C3E4B55"/>
    <w:rsid w:val="5C404666"/>
    <w:rsid w:val="5C422461"/>
    <w:rsid w:val="5C48686D"/>
    <w:rsid w:val="5C4E616C"/>
    <w:rsid w:val="5C4F52A1"/>
    <w:rsid w:val="5C4F75E7"/>
    <w:rsid w:val="5C50319B"/>
    <w:rsid w:val="5C511614"/>
    <w:rsid w:val="5C520197"/>
    <w:rsid w:val="5C5371DE"/>
    <w:rsid w:val="5C5D4ED4"/>
    <w:rsid w:val="5C5F094C"/>
    <w:rsid w:val="5C603564"/>
    <w:rsid w:val="5C633837"/>
    <w:rsid w:val="5C6B674F"/>
    <w:rsid w:val="5C6D560E"/>
    <w:rsid w:val="5C6F57DC"/>
    <w:rsid w:val="5C7E0DF8"/>
    <w:rsid w:val="5C7E39D8"/>
    <w:rsid w:val="5C8A31FF"/>
    <w:rsid w:val="5C9C7108"/>
    <w:rsid w:val="5C9F55AA"/>
    <w:rsid w:val="5CA474D4"/>
    <w:rsid w:val="5CA84AC1"/>
    <w:rsid w:val="5CAC4293"/>
    <w:rsid w:val="5CB64B19"/>
    <w:rsid w:val="5CBD7A62"/>
    <w:rsid w:val="5CBF1A37"/>
    <w:rsid w:val="5CC164AE"/>
    <w:rsid w:val="5CC22998"/>
    <w:rsid w:val="5CC5766D"/>
    <w:rsid w:val="5CC829D4"/>
    <w:rsid w:val="5CD22245"/>
    <w:rsid w:val="5CD612EC"/>
    <w:rsid w:val="5CD620EF"/>
    <w:rsid w:val="5CD63CB1"/>
    <w:rsid w:val="5CD75EB0"/>
    <w:rsid w:val="5CE00BB1"/>
    <w:rsid w:val="5CE37D5E"/>
    <w:rsid w:val="5CE76E4E"/>
    <w:rsid w:val="5CE97CE3"/>
    <w:rsid w:val="5CF06B97"/>
    <w:rsid w:val="5CF85D55"/>
    <w:rsid w:val="5CFA67A0"/>
    <w:rsid w:val="5CFF26BA"/>
    <w:rsid w:val="5CFF2C7D"/>
    <w:rsid w:val="5CFF66F4"/>
    <w:rsid w:val="5D042519"/>
    <w:rsid w:val="5D0731E2"/>
    <w:rsid w:val="5D073D33"/>
    <w:rsid w:val="5D0A1CA8"/>
    <w:rsid w:val="5D0E09BF"/>
    <w:rsid w:val="5D10070C"/>
    <w:rsid w:val="5D1077A1"/>
    <w:rsid w:val="5D193562"/>
    <w:rsid w:val="5D232DD8"/>
    <w:rsid w:val="5D2360DD"/>
    <w:rsid w:val="5D360039"/>
    <w:rsid w:val="5D3A22F4"/>
    <w:rsid w:val="5D3D681F"/>
    <w:rsid w:val="5D421B63"/>
    <w:rsid w:val="5D435C8A"/>
    <w:rsid w:val="5D467576"/>
    <w:rsid w:val="5D4B2525"/>
    <w:rsid w:val="5D4F0CAA"/>
    <w:rsid w:val="5D543240"/>
    <w:rsid w:val="5D5434CB"/>
    <w:rsid w:val="5D5A25C6"/>
    <w:rsid w:val="5D645AF7"/>
    <w:rsid w:val="5D697151"/>
    <w:rsid w:val="5D7070A0"/>
    <w:rsid w:val="5D79361A"/>
    <w:rsid w:val="5D7B2BAE"/>
    <w:rsid w:val="5D87359C"/>
    <w:rsid w:val="5D893541"/>
    <w:rsid w:val="5D8C28B4"/>
    <w:rsid w:val="5D8E7C73"/>
    <w:rsid w:val="5D974515"/>
    <w:rsid w:val="5D9832F3"/>
    <w:rsid w:val="5D9934EC"/>
    <w:rsid w:val="5D9A7256"/>
    <w:rsid w:val="5D9C1E54"/>
    <w:rsid w:val="5DAB1E9E"/>
    <w:rsid w:val="5DB53FF3"/>
    <w:rsid w:val="5DB81F70"/>
    <w:rsid w:val="5DBC3F54"/>
    <w:rsid w:val="5DC328CA"/>
    <w:rsid w:val="5DCA57DD"/>
    <w:rsid w:val="5DD14137"/>
    <w:rsid w:val="5DD74A14"/>
    <w:rsid w:val="5DDB163B"/>
    <w:rsid w:val="5DDC2477"/>
    <w:rsid w:val="5DDC2877"/>
    <w:rsid w:val="5DF03AB4"/>
    <w:rsid w:val="5DF11D42"/>
    <w:rsid w:val="5DFA2E17"/>
    <w:rsid w:val="5DFB0C01"/>
    <w:rsid w:val="5E006537"/>
    <w:rsid w:val="5E1D2155"/>
    <w:rsid w:val="5E2374D1"/>
    <w:rsid w:val="5E2C6CCC"/>
    <w:rsid w:val="5E2F41CB"/>
    <w:rsid w:val="5E3A68B5"/>
    <w:rsid w:val="5E401AFE"/>
    <w:rsid w:val="5E454E01"/>
    <w:rsid w:val="5E490493"/>
    <w:rsid w:val="5E4C4204"/>
    <w:rsid w:val="5E4D4054"/>
    <w:rsid w:val="5E4F4CEC"/>
    <w:rsid w:val="5E517BBA"/>
    <w:rsid w:val="5E521705"/>
    <w:rsid w:val="5E650FB2"/>
    <w:rsid w:val="5E656142"/>
    <w:rsid w:val="5E680B19"/>
    <w:rsid w:val="5E6C40A3"/>
    <w:rsid w:val="5E6C53A1"/>
    <w:rsid w:val="5E7334F8"/>
    <w:rsid w:val="5E7805FF"/>
    <w:rsid w:val="5E7859D6"/>
    <w:rsid w:val="5E842B6A"/>
    <w:rsid w:val="5E875A07"/>
    <w:rsid w:val="5E8C1E30"/>
    <w:rsid w:val="5E911FAC"/>
    <w:rsid w:val="5E92137B"/>
    <w:rsid w:val="5E9373FC"/>
    <w:rsid w:val="5EA67DEF"/>
    <w:rsid w:val="5EA736D1"/>
    <w:rsid w:val="5EAA11B3"/>
    <w:rsid w:val="5EB30716"/>
    <w:rsid w:val="5EB70697"/>
    <w:rsid w:val="5EB95510"/>
    <w:rsid w:val="5EB956EE"/>
    <w:rsid w:val="5EC57A3D"/>
    <w:rsid w:val="5ECB275F"/>
    <w:rsid w:val="5ECE2836"/>
    <w:rsid w:val="5EDB5813"/>
    <w:rsid w:val="5EDE3A55"/>
    <w:rsid w:val="5EE2308E"/>
    <w:rsid w:val="5EE35C8C"/>
    <w:rsid w:val="5EEC409E"/>
    <w:rsid w:val="5EF2448C"/>
    <w:rsid w:val="5EF442F3"/>
    <w:rsid w:val="5F051F15"/>
    <w:rsid w:val="5F222082"/>
    <w:rsid w:val="5F37319D"/>
    <w:rsid w:val="5F3A21FA"/>
    <w:rsid w:val="5F490636"/>
    <w:rsid w:val="5F4A6244"/>
    <w:rsid w:val="5F555F58"/>
    <w:rsid w:val="5F6219E5"/>
    <w:rsid w:val="5F7C4F33"/>
    <w:rsid w:val="5F7D5743"/>
    <w:rsid w:val="5F810563"/>
    <w:rsid w:val="5F824D0A"/>
    <w:rsid w:val="5F85207D"/>
    <w:rsid w:val="5F902061"/>
    <w:rsid w:val="5F91364B"/>
    <w:rsid w:val="5F930102"/>
    <w:rsid w:val="5F942C15"/>
    <w:rsid w:val="5F982E68"/>
    <w:rsid w:val="5F983E67"/>
    <w:rsid w:val="5F9F2897"/>
    <w:rsid w:val="5FA57B43"/>
    <w:rsid w:val="5FB560BB"/>
    <w:rsid w:val="5FB62CD8"/>
    <w:rsid w:val="5FC20790"/>
    <w:rsid w:val="5FC87F8E"/>
    <w:rsid w:val="5FC91DE9"/>
    <w:rsid w:val="5FCE57F6"/>
    <w:rsid w:val="5FD820A7"/>
    <w:rsid w:val="5FDF0C33"/>
    <w:rsid w:val="5FE25D83"/>
    <w:rsid w:val="5FE5232B"/>
    <w:rsid w:val="5FEC3C05"/>
    <w:rsid w:val="5FF020A1"/>
    <w:rsid w:val="5FFC5DE4"/>
    <w:rsid w:val="600F241C"/>
    <w:rsid w:val="60112156"/>
    <w:rsid w:val="6012207B"/>
    <w:rsid w:val="601270E4"/>
    <w:rsid w:val="60127ACF"/>
    <w:rsid w:val="60195F65"/>
    <w:rsid w:val="601A6881"/>
    <w:rsid w:val="60200E33"/>
    <w:rsid w:val="6023016C"/>
    <w:rsid w:val="602924AC"/>
    <w:rsid w:val="602B5AAA"/>
    <w:rsid w:val="60334B2A"/>
    <w:rsid w:val="603E7B8A"/>
    <w:rsid w:val="60415FF4"/>
    <w:rsid w:val="60420933"/>
    <w:rsid w:val="6056292C"/>
    <w:rsid w:val="6063156C"/>
    <w:rsid w:val="606502AC"/>
    <w:rsid w:val="60656D53"/>
    <w:rsid w:val="60660D11"/>
    <w:rsid w:val="606611B7"/>
    <w:rsid w:val="60687B01"/>
    <w:rsid w:val="606D5453"/>
    <w:rsid w:val="607044B9"/>
    <w:rsid w:val="60760530"/>
    <w:rsid w:val="6078579C"/>
    <w:rsid w:val="608159C3"/>
    <w:rsid w:val="60841E8A"/>
    <w:rsid w:val="60904724"/>
    <w:rsid w:val="60924935"/>
    <w:rsid w:val="60934023"/>
    <w:rsid w:val="60947BEA"/>
    <w:rsid w:val="609B6315"/>
    <w:rsid w:val="60AC169F"/>
    <w:rsid w:val="60AF0E29"/>
    <w:rsid w:val="60B316F2"/>
    <w:rsid w:val="60B43DFD"/>
    <w:rsid w:val="60B55179"/>
    <w:rsid w:val="60B84522"/>
    <w:rsid w:val="60BF5745"/>
    <w:rsid w:val="60C47684"/>
    <w:rsid w:val="60C90EA4"/>
    <w:rsid w:val="60CA2396"/>
    <w:rsid w:val="60CE4002"/>
    <w:rsid w:val="60CF0514"/>
    <w:rsid w:val="60D07484"/>
    <w:rsid w:val="60D10C0F"/>
    <w:rsid w:val="60D3569F"/>
    <w:rsid w:val="60D4537B"/>
    <w:rsid w:val="60D74889"/>
    <w:rsid w:val="60E02B8F"/>
    <w:rsid w:val="60E26F48"/>
    <w:rsid w:val="60E92E1A"/>
    <w:rsid w:val="60ED6BA8"/>
    <w:rsid w:val="60F37DA9"/>
    <w:rsid w:val="60FA110C"/>
    <w:rsid w:val="60FA46E4"/>
    <w:rsid w:val="60FD3753"/>
    <w:rsid w:val="60FE00AF"/>
    <w:rsid w:val="60FE35D0"/>
    <w:rsid w:val="6101046D"/>
    <w:rsid w:val="61047EF9"/>
    <w:rsid w:val="61064296"/>
    <w:rsid w:val="610864CC"/>
    <w:rsid w:val="610958BB"/>
    <w:rsid w:val="610A63CC"/>
    <w:rsid w:val="611558FC"/>
    <w:rsid w:val="61163F01"/>
    <w:rsid w:val="61164EEF"/>
    <w:rsid w:val="61176A85"/>
    <w:rsid w:val="611A697F"/>
    <w:rsid w:val="61206479"/>
    <w:rsid w:val="612143A4"/>
    <w:rsid w:val="61216CB5"/>
    <w:rsid w:val="61221695"/>
    <w:rsid w:val="6124184C"/>
    <w:rsid w:val="61254671"/>
    <w:rsid w:val="612C0280"/>
    <w:rsid w:val="612E3337"/>
    <w:rsid w:val="61331CD5"/>
    <w:rsid w:val="614050A9"/>
    <w:rsid w:val="61465E1A"/>
    <w:rsid w:val="614B5BCE"/>
    <w:rsid w:val="614D1495"/>
    <w:rsid w:val="614D2B5A"/>
    <w:rsid w:val="61524121"/>
    <w:rsid w:val="6155426A"/>
    <w:rsid w:val="615755AF"/>
    <w:rsid w:val="615D6475"/>
    <w:rsid w:val="61620240"/>
    <w:rsid w:val="6166594C"/>
    <w:rsid w:val="616730ED"/>
    <w:rsid w:val="616C2054"/>
    <w:rsid w:val="616E3976"/>
    <w:rsid w:val="617D0D60"/>
    <w:rsid w:val="618321F0"/>
    <w:rsid w:val="618563BE"/>
    <w:rsid w:val="61861C69"/>
    <w:rsid w:val="61867017"/>
    <w:rsid w:val="618B084B"/>
    <w:rsid w:val="618E1E6E"/>
    <w:rsid w:val="618F22FB"/>
    <w:rsid w:val="61B15149"/>
    <w:rsid w:val="61B16AF8"/>
    <w:rsid w:val="61B66611"/>
    <w:rsid w:val="61B71C73"/>
    <w:rsid w:val="61B867C3"/>
    <w:rsid w:val="61C1068B"/>
    <w:rsid w:val="61C56900"/>
    <w:rsid w:val="61C73EC2"/>
    <w:rsid w:val="61D32FE5"/>
    <w:rsid w:val="61D9528D"/>
    <w:rsid w:val="61DA6BBA"/>
    <w:rsid w:val="61DE7C3D"/>
    <w:rsid w:val="61E1330A"/>
    <w:rsid w:val="61E508DE"/>
    <w:rsid w:val="61E51E0F"/>
    <w:rsid w:val="61E852C9"/>
    <w:rsid w:val="61E93953"/>
    <w:rsid w:val="61EE26FB"/>
    <w:rsid w:val="61EE28BD"/>
    <w:rsid w:val="61F0115C"/>
    <w:rsid w:val="61FA5B62"/>
    <w:rsid w:val="6203062B"/>
    <w:rsid w:val="62070260"/>
    <w:rsid w:val="620A5E09"/>
    <w:rsid w:val="62164CFF"/>
    <w:rsid w:val="6222428F"/>
    <w:rsid w:val="6226324A"/>
    <w:rsid w:val="623328EA"/>
    <w:rsid w:val="62390C34"/>
    <w:rsid w:val="6239162C"/>
    <w:rsid w:val="623D4624"/>
    <w:rsid w:val="623D5E3F"/>
    <w:rsid w:val="6241252A"/>
    <w:rsid w:val="62464E95"/>
    <w:rsid w:val="62475095"/>
    <w:rsid w:val="625377EA"/>
    <w:rsid w:val="625D49CE"/>
    <w:rsid w:val="6260455B"/>
    <w:rsid w:val="626114D6"/>
    <w:rsid w:val="6268560F"/>
    <w:rsid w:val="627C049D"/>
    <w:rsid w:val="627E327C"/>
    <w:rsid w:val="628E6DF2"/>
    <w:rsid w:val="628F77E2"/>
    <w:rsid w:val="62971DFA"/>
    <w:rsid w:val="629963D8"/>
    <w:rsid w:val="62A62474"/>
    <w:rsid w:val="62B22755"/>
    <w:rsid w:val="62B3642B"/>
    <w:rsid w:val="62B91CB2"/>
    <w:rsid w:val="62C3578D"/>
    <w:rsid w:val="62D000C9"/>
    <w:rsid w:val="62E05F11"/>
    <w:rsid w:val="62E70CE0"/>
    <w:rsid w:val="62F00E21"/>
    <w:rsid w:val="62F06C0E"/>
    <w:rsid w:val="62F571B6"/>
    <w:rsid w:val="62F91A8D"/>
    <w:rsid w:val="62FA0118"/>
    <w:rsid w:val="62FB5ADF"/>
    <w:rsid w:val="62FE0FE5"/>
    <w:rsid w:val="63016DD9"/>
    <w:rsid w:val="63026153"/>
    <w:rsid w:val="63060DC1"/>
    <w:rsid w:val="630B0513"/>
    <w:rsid w:val="630D5FB3"/>
    <w:rsid w:val="631D12C4"/>
    <w:rsid w:val="632A6383"/>
    <w:rsid w:val="632C6BDE"/>
    <w:rsid w:val="632F0EFF"/>
    <w:rsid w:val="633159CB"/>
    <w:rsid w:val="6332638D"/>
    <w:rsid w:val="633B2B0B"/>
    <w:rsid w:val="633C5BF9"/>
    <w:rsid w:val="633E36D1"/>
    <w:rsid w:val="6343466C"/>
    <w:rsid w:val="634A145E"/>
    <w:rsid w:val="634E753F"/>
    <w:rsid w:val="63607ED4"/>
    <w:rsid w:val="636469BD"/>
    <w:rsid w:val="63657E3D"/>
    <w:rsid w:val="63670D77"/>
    <w:rsid w:val="63685741"/>
    <w:rsid w:val="636A3942"/>
    <w:rsid w:val="636B5C5F"/>
    <w:rsid w:val="63716369"/>
    <w:rsid w:val="63767EE6"/>
    <w:rsid w:val="637919F5"/>
    <w:rsid w:val="637A710D"/>
    <w:rsid w:val="637D2E4D"/>
    <w:rsid w:val="63802ACC"/>
    <w:rsid w:val="6388225F"/>
    <w:rsid w:val="63947BA7"/>
    <w:rsid w:val="63B253E1"/>
    <w:rsid w:val="63B26566"/>
    <w:rsid w:val="63B601D2"/>
    <w:rsid w:val="63BD7E99"/>
    <w:rsid w:val="63D86821"/>
    <w:rsid w:val="63D8720B"/>
    <w:rsid w:val="63DF3F98"/>
    <w:rsid w:val="63E02D15"/>
    <w:rsid w:val="63E0457C"/>
    <w:rsid w:val="63E25AFD"/>
    <w:rsid w:val="63E57666"/>
    <w:rsid w:val="63F03B38"/>
    <w:rsid w:val="63F731A5"/>
    <w:rsid w:val="63FC766C"/>
    <w:rsid w:val="63FE2454"/>
    <w:rsid w:val="64022F76"/>
    <w:rsid w:val="64084173"/>
    <w:rsid w:val="640D3356"/>
    <w:rsid w:val="641269AD"/>
    <w:rsid w:val="64141212"/>
    <w:rsid w:val="641C56F8"/>
    <w:rsid w:val="64231408"/>
    <w:rsid w:val="64263EF4"/>
    <w:rsid w:val="64281DC7"/>
    <w:rsid w:val="6432123B"/>
    <w:rsid w:val="643A7824"/>
    <w:rsid w:val="644376F5"/>
    <w:rsid w:val="644A3F96"/>
    <w:rsid w:val="644B2286"/>
    <w:rsid w:val="64553AA4"/>
    <w:rsid w:val="64564ED9"/>
    <w:rsid w:val="645A5737"/>
    <w:rsid w:val="646029D7"/>
    <w:rsid w:val="64603768"/>
    <w:rsid w:val="646270E8"/>
    <w:rsid w:val="6467123E"/>
    <w:rsid w:val="646B1681"/>
    <w:rsid w:val="64706790"/>
    <w:rsid w:val="64724898"/>
    <w:rsid w:val="647C3BBA"/>
    <w:rsid w:val="64805997"/>
    <w:rsid w:val="64813A7C"/>
    <w:rsid w:val="64823A3A"/>
    <w:rsid w:val="64855B2D"/>
    <w:rsid w:val="64866B4F"/>
    <w:rsid w:val="64867427"/>
    <w:rsid w:val="648976FB"/>
    <w:rsid w:val="648A2250"/>
    <w:rsid w:val="648B1491"/>
    <w:rsid w:val="648B5259"/>
    <w:rsid w:val="648E1573"/>
    <w:rsid w:val="649A52C8"/>
    <w:rsid w:val="64AB4F48"/>
    <w:rsid w:val="64B0747D"/>
    <w:rsid w:val="64B6071F"/>
    <w:rsid w:val="64B73B84"/>
    <w:rsid w:val="64BE2F18"/>
    <w:rsid w:val="64C004BC"/>
    <w:rsid w:val="64C03551"/>
    <w:rsid w:val="64C317B4"/>
    <w:rsid w:val="64C6530B"/>
    <w:rsid w:val="64CB2A33"/>
    <w:rsid w:val="64D9451E"/>
    <w:rsid w:val="64DB77D5"/>
    <w:rsid w:val="64E105D2"/>
    <w:rsid w:val="64E37405"/>
    <w:rsid w:val="64F31974"/>
    <w:rsid w:val="64FA5C63"/>
    <w:rsid w:val="64FA6AE2"/>
    <w:rsid w:val="6507069F"/>
    <w:rsid w:val="65127100"/>
    <w:rsid w:val="6532464B"/>
    <w:rsid w:val="65341AC5"/>
    <w:rsid w:val="653A34E5"/>
    <w:rsid w:val="653C6B1D"/>
    <w:rsid w:val="65433415"/>
    <w:rsid w:val="65463750"/>
    <w:rsid w:val="654E3228"/>
    <w:rsid w:val="65537C6B"/>
    <w:rsid w:val="655C685E"/>
    <w:rsid w:val="656160AB"/>
    <w:rsid w:val="65622086"/>
    <w:rsid w:val="65644A63"/>
    <w:rsid w:val="65655B02"/>
    <w:rsid w:val="656E3321"/>
    <w:rsid w:val="65757B8D"/>
    <w:rsid w:val="65764BA6"/>
    <w:rsid w:val="6578354B"/>
    <w:rsid w:val="658E776E"/>
    <w:rsid w:val="65907AC2"/>
    <w:rsid w:val="65A3564C"/>
    <w:rsid w:val="65A62A91"/>
    <w:rsid w:val="65A8734A"/>
    <w:rsid w:val="65A9185C"/>
    <w:rsid w:val="65AB43EF"/>
    <w:rsid w:val="65B430CC"/>
    <w:rsid w:val="65CC6A3A"/>
    <w:rsid w:val="65DB0A99"/>
    <w:rsid w:val="65E919BF"/>
    <w:rsid w:val="65ED7EEF"/>
    <w:rsid w:val="65F46CFC"/>
    <w:rsid w:val="65F73BB4"/>
    <w:rsid w:val="65FB6DFE"/>
    <w:rsid w:val="660658FA"/>
    <w:rsid w:val="660B1805"/>
    <w:rsid w:val="660C035C"/>
    <w:rsid w:val="66103D06"/>
    <w:rsid w:val="66190E3D"/>
    <w:rsid w:val="661C061C"/>
    <w:rsid w:val="66233008"/>
    <w:rsid w:val="66235CDE"/>
    <w:rsid w:val="6628673A"/>
    <w:rsid w:val="662A259A"/>
    <w:rsid w:val="66300C32"/>
    <w:rsid w:val="6631536B"/>
    <w:rsid w:val="6639596A"/>
    <w:rsid w:val="663F1119"/>
    <w:rsid w:val="66401DD3"/>
    <w:rsid w:val="6644369D"/>
    <w:rsid w:val="66513A8B"/>
    <w:rsid w:val="66515333"/>
    <w:rsid w:val="66543F3A"/>
    <w:rsid w:val="6654755D"/>
    <w:rsid w:val="66553A9B"/>
    <w:rsid w:val="66706DA7"/>
    <w:rsid w:val="66715E7B"/>
    <w:rsid w:val="66741783"/>
    <w:rsid w:val="66847504"/>
    <w:rsid w:val="66870478"/>
    <w:rsid w:val="66892842"/>
    <w:rsid w:val="66917990"/>
    <w:rsid w:val="66941DAA"/>
    <w:rsid w:val="66972F96"/>
    <w:rsid w:val="66976DD4"/>
    <w:rsid w:val="669A7003"/>
    <w:rsid w:val="66A54376"/>
    <w:rsid w:val="66AD05F5"/>
    <w:rsid w:val="66AD1818"/>
    <w:rsid w:val="66AD4A88"/>
    <w:rsid w:val="66B4636B"/>
    <w:rsid w:val="66B93F76"/>
    <w:rsid w:val="66BE7A6E"/>
    <w:rsid w:val="66C2655F"/>
    <w:rsid w:val="66D01D1D"/>
    <w:rsid w:val="66D20F68"/>
    <w:rsid w:val="66D6103F"/>
    <w:rsid w:val="66DB5E51"/>
    <w:rsid w:val="66DC2051"/>
    <w:rsid w:val="66E1068E"/>
    <w:rsid w:val="66E13704"/>
    <w:rsid w:val="66E40BAD"/>
    <w:rsid w:val="66E77E06"/>
    <w:rsid w:val="66F861FA"/>
    <w:rsid w:val="670027A0"/>
    <w:rsid w:val="67037752"/>
    <w:rsid w:val="67050D51"/>
    <w:rsid w:val="67050D97"/>
    <w:rsid w:val="67051BD7"/>
    <w:rsid w:val="67091904"/>
    <w:rsid w:val="670E178E"/>
    <w:rsid w:val="6717419C"/>
    <w:rsid w:val="67212735"/>
    <w:rsid w:val="673611CB"/>
    <w:rsid w:val="67412B2B"/>
    <w:rsid w:val="674A450B"/>
    <w:rsid w:val="674B4E59"/>
    <w:rsid w:val="675005EC"/>
    <w:rsid w:val="675E366D"/>
    <w:rsid w:val="67635837"/>
    <w:rsid w:val="67690F3D"/>
    <w:rsid w:val="676B3A7C"/>
    <w:rsid w:val="676D52AA"/>
    <w:rsid w:val="677011BD"/>
    <w:rsid w:val="6770452E"/>
    <w:rsid w:val="67705A6F"/>
    <w:rsid w:val="67750EBE"/>
    <w:rsid w:val="67816012"/>
    <w:rsid w:val="67842D1C"/>
    <w:rsid w:val="678C278B"/>
    <w:rsid w:val="67991948"/>
    <w:rsid w:val="67A850E1"/>
    <w:rsid w:val="67AB3E74"/>
    <w:rsid w:val="67B0438B"/>
    <w:rsid w:val="67B33BE3"/>
    <w:rsid w:val="67B71656"/>
    <w:rsid w:val="67B723B3"/>
    <w:rsid w:val="67B743E8"/>
    <w:rsid w:val="67BD43E0"/>
    <w:rsid w:val="67BD4993"/>
    <w:rsid w:val="67BF12B5"/>
    <w:rsid w:val="67C0411D"/>
    <w:rsid w:val="67C95416"/>
    <w:rsid w:val="67D74048"/>
    <w:rsid w:val="67E041E2"/>
    <w:rsid w:val="67E164A0"/>
    <w:rsid w:val="67E51F56"/>
    <w:rsid w:val="67E97A89"/>
    <w:rsid w:val="67ED16B7"/>
    <w:rsid w:val="67F27764"/>
    <w:rsid w:val="67F94D8A"/>
    <w:rsid w:val="6802359C"/>
    <w:rsid w:val="68081463"/>
    <w:rsid w:val="680A257F"/>
    <w:rsid w:val="680E50C8"/>
    <w:rsid w:val="681541C3"/>
    <w:rsid w:val="681674DF"/>
    <w:rsid w:val="681D6FA0"/>
    <w:rsid w:val="682E4AF2"/>
    <w:rsid w:val="68373462"/>
    <w:rsid w:val="68447B3B"/>
    <w:rsid w:val="684F580A"/>
    <w:rsid w:val="685C0FCA"/>
    <w:rsid w:val="68650F7D"/>
    <w:rsid w:val="68655BE3"/>
    <w:rsid w:val="686926D4"/>
    <w:rsid w:val="68774A50"/>
    <w:rsid w:val="68784EDA"/>
    <w:rsid w:val="687A62EB"/>
    <w:rsid w:val="687B4F8F"/>
    <w:rsid w:val="688A20B8"/>
    <w:rsid w:val="688C0135"/>
    <w:rsid w:val="688D57D8"/>
    <w:rsid w:val="6892047F"/>
    <w:rsid w:val="689403A7"/>
    <w:rsid w:val="6897438E"/>
    <w:rsid w:val="68A01495"/>
    <w:rsid w:val="68A27905"/>
    <w:rsid w:val="68A550D0"/>
    <w:rsid w:val="68A57A2E"/>
    <w:rsid w:val="68A7533D"/>
    <w:rsid w:val="68BD6779"/>
    <w:rsid w:val="68C02111"/>
    <w:rsid w:val="68C42BDC"/>
    <w:rsid w:val="68CE3102"/>
    <w:rsid w:val="68D015E0"/>
    <w:rsid w:val="68D33B58"/>
    <w:rsid w:val="68D824C6"/>
    <w:rsid w:val="68E24545"/>
    <w:rsid w:val="68E31D7A"/>
    <w:rsid w:val="68E52DC7"/>
    <w:rsid w:val="68E71448"/>
    <w:rsid w:val="68E92B61"/>
    <w:rsid w:val="68F308C4"/>
    <w:rsid w:val="68F47E39"/>
    <w:rsid w:val="68F51C33"/>
    <w:rsid w:val="68FA62F0"/>
    <w:rsid w:val="68FE7853"/>
    <w:rsid w:val="68FF6668"/>
    <w:rsid w:val="6901117B"/>
    <w:rsid w:val="69021A4A"/>
    <w:rsid w:val="69052CE9"/>
    <w:rsid w:val="690F4CC7"/>
    <w:rsid w:val="69156DDD"/>
    <w:rsid w:val="691D61F1"/>
    <w:rsid w:val="691E3879"/>
    <w:rsid w:val="69211467"/>
    <w:rsid w:val="69214564"/>
    <w:rsid w:val="69257A7E"/>
    <w:rsid w:val="69277662"/>
    <w:rsid w:val="69344B19"/>
    <w:rsid w:val="69345F83"/>
    <w:rsid w:val="69356146"/>
    <w:rsid w:val="69392613"/>
    <w:rsid w:val="69392966"/>
    <w:rsid w:val="693C2B63"/>
    <w:rsid w:val="694E1147"/>
    <w:rsid w:val="69520D7A"/>
    <w:rsid w:val="69573B6E"/>
    <w:rsid w:val="696032C7"/>
    <w:rsid w:val="696206D3"/>
    <w:rsid w:val="6967756D"/>
    <w:rsid w:val="6968644A"/>
    <w:rsid w:val="697011ED"/>
    <w:rsid w:val="69826A24"/>
    <w:rsid w:val="698B2061"/>
    <w:rsid w:val="699004F5"/>
    <w:rsid w:val="699B6DC8"/>
    <w:rsid w:val="69A97058"/>
    <w:rsid w:val="69AB6F60"/>
    <w:rsid w:val="69B96524"/>
    <w:rsid w:val="69BE66B6"/>
    <w:rsid w:val="69C30046"/>
    <w:rsid w:val="69C8002E"/>
    <w:rsid w:val="69CF04C1"/>
    <w:rsid w:val="69D32FE1"/>
    <w:rsid w:val="69D457A0"/>
    <w:rsid w:val="69D463F2"/>
    <w:rsid w:val="69D72910"/>
    <w:rsid w:val="69D94035"/>
    <w:rsid w:val="69DC26A6"/>
    <w:rsid w:val="69E37874"/>
    <w:rsid w:val="69E56B54"/>
    <w:rsid w:val="69E96708"/>
    <w:rsid w:val="69ED002E"/>
    <w:rsid w:val="69ED2DB6"/>
    <w:rsid w:val="69ED6B4A"/>
    <w:rsid w:val="69EE54CD"/>
    <w:rsid w:val="69F92613"/>
    <w:rsid w:val="69FB7CD4"/>
    <w:rsid w:val="69FD723E"/>
    <w:rsid w:val="69FD7CEA"/>
    <w:rsid w:val="6A0229E5"/>
    <w:rsid w:val="6A067F83"/>
    <w:rsid w:val="6A097E59"/>
    <w:rsid w:val="6A0E4D51"/>
    <w:rsid w:val="6A171AFC"/>
    <w:rsid w:val="6A1B06CD"/>
    <w:rsid w:val="6A227A57"/>
    <w:rsid w:val="6A2A2D01"/>
    <w:rsid w:val="6A3225D7"/>
    <w:rsid w:val="6A3A620D"/>
    <w:rsid w:val="6A3B0B6C"/>
    <w:rsid w:val="6A3C0BF8"/>
    <w:rsid w:val="6A423E55"/>
    <w:rsid w:val="6A470981"/>
    <w:rsid w:val="6A4747AF"/>
    <w:rsid w:val="6A49294B"/>
    <w:rsid w:val="6A562B91"/>
    <w:rsid w:val="6A57299A"/>
    <w:rsid w:val="6A697946"/>
    <w:rsid w:val="6A6D6854"/>
    <w:rsid w:val="6A700CED"/>
    <w:rsid w:val="6A7017D7"/>
    <w:rsid w:val="6A7350A3"/>
    <w:rsid w:val="6A7F6B5C"/>
    <w:rsid w:val="6A984CE6"/>
    <w:rsid w:val="6AA235D3"/>
    <w:rsid w:val="6AA31D3D"/>
    <w:rsid w:val="6AB02B50"/>
    <w:rsid w:val="6AB14532"/>
    <w:rsid w:val="6ABB2ED0"/>
    <w:rsid w:val="6ABD7A51"/>
    <w:rsid w:val="6AC00593"/>
    <w:rsid w:val="6AC335C4"/>
    <w:rsid w:val="6AC55EC6"/>
    <w:rsid w:val="6ACC0F11"/>
    <w:rsid w:val="6ADB4318"/>
    <w:rsid w:val="6ADD7DFD"/>
    <w:rsid w:val="6AE2135D"/>
    <w:rsid w:val="6AE77D3D"/>
    <w:rsid w:val="6AE93C28"/>
    <w:rsid w:val="6AF05F1A"/>
    <w:rsid w:val="6B036D80"/>
    <w:rsid w:val="6B0451AB"/>
    <w:rsid w:val="6B0D42E2"/>
    <w:rsid w:val="6B110B6C"/>
    <w:rsid w:val="6B160110"/>
    <w:rsid w:val="6B167467"/>
    <w:rsid w:val="6B1A338E"/>
    <w:rsid w:val="6B21434C"/>
    <w:rsid w:val="6B237C36"/>
    <w:rsid w:val="6B2600DB"/>
    <w:rsid w:val="6B2718FD"/>
    <w:rsid w:val="6B2A147B"/>
    <w:rsid w:val="6B2B4CFC"/>
    <w:rsid w:val="6B2C290C"/>
    <w:rsid w:val="6B33476F"/>
    <w:rsid w:val="6B352059"/>
    <w:rsid w:val="6B3B4CA2"/>
    <w:rsid w:val="6B402B26"/>
    <w:rsid w:val="6B4514F6"/>
    <w:rsid w:val="6B4A50C0"/>
    <w:rsid w:val="6B4D3CED"/>
    <w:rsid w:val="6B5C7011"/>
    <w:rsid w:val="6B6A2B7E"/>
    <w:rsid w:val="6B705893"/>
    <w:rsid w:val="6B7221D1"/>
    <w:rsid w:val="6B725A81"/>
    <w:rsid w:val="6B7D16E0"/>
    <w:rsid w:val="6B7F30F3"/>
    <w:rsid w:val="6B873558"/>
    <w:rsid w:val="6B92645D"/>
    <w:rsid w:val="6B94060D"/>
    <w:rsid w:val="6B973734"/>
    <w:rsid w:val="6B975967"/>
    <w:rsid w:val="6B9A5777"/>
    <w:rsid w:val="6BA8277A"/>
    <w:rsid w:val="6BB248CC"/>
    <w:rsid w:val="6BBA4F60"/>
    <w:rsid w:val="6BBC0DCF"/>
    <w:rsid w:val="6BCA6179"/>
    <w:rsid w:val="6BCE3445"/>
    <w:rsid w:val="6BD0777F"/>
    <w:rsid w:val="6BD619EE"/>
    <w:rsid w:val="6BEA64E2"/>
    <w:rsid w:val="6BFA7E30"/>
    <w:rsid w:val="6BFB030F"/>
    <w:rsid w:val="6C016CAE"/>
    <w:rsid w:val="6C07197C"/>
    <w:rsid w:val="6C090252"/>
    <w:rsid w:val="6C0B7CD2"/>
    <w:rsid w:val="6C0D6AE8"/>
    <w:rsid w:val="6C100936"/>
    <w:rsid w:val="6C1962C3"/>
    <w:rsid w:val="6C1A6808"/>
    <w:rsid w:val="6C255AAD"/>
    <w:rsid w:val="6C276EFC"/>
    <w:rsid w:val="6C2C5801"/>
    <w:rsid w:val="6C2D7320"/>
    <w:rsid w:val="6C2E3E73"/>
    <w:rsid w:val="6C3321F9"/>
    <w:rsid w:val="6C33267C"/>
    <w:rsid w:val="6C3D0F56"/>
    <w:rsid w:val="6C410CB8"/>
    <w:rsid w:val="6C452BDF"/>
    <w:rsid w:val="6C593A56"/>
    <w:rsid w:val="6C5E1CDD"/>
    <w:rsid w:val="6C62391B"/>
    <w:rsid w:val="6C660C8B"/>
    <w:rsid w:val="6C6A716D"/>
    <w:rsid w:val="6C6C6ED7"/>
    <w:rsid w:val="6C71767A"/>
    <w:rsid w:val="6C7C1F44"/>
    <w:rsid w:val="6C827094"/>
    <w:rsid w:val="6C8559E0"/>
    <w:rsid w:val="6C891188"/>
    <w:rsid w:val="6C8D26FB"/>
    <w:rsid w:val="6C996561"/>
    <w:rsid w:val="6CB01397"/>
    <w:rsid w:val="6CC25213"/>
    <w:rsid w:val="6CD76A8F"/>
    <w:rsid w:val="6CDE47C9"/>
    <w:rsid w:val="6CDF1F89"/>
    <w:rsid w:val="6CE0702D"/>
    <w:rsid w:val="6CE83295"/>
    <w:rsid w:val="6CEE220B"/>
    <w:rsid w:val="6CEE246E"/>
    <w:rsid w:val="6CF27A30"/>
    <w:rsid w:val="6CF6067E"/>
    <w:rsid w:val="6D032BD4"/>
    <w:rsid w:val="6D0535EE"/>
    <w:rsid w:val="6D0565AF"/>
    <w:rsid w:val="6D077405"/>
    <w:rsid w:val="6D0A3519"/>
    <w:rsid w:val="6D0B62E2"/>
    <w:rsid w:val="6D133D59"/>
    <w:rsid w:val="6D175B2B"/>
    <w:rsid w:val="6D264EC5"/>
    <w:rsid w:val="6D26662C"/>
    <w:rsid w:val="6D287D4F"/>
    <w:rsid w:val="6D2B3CDC"/>
    <w:rsid w:val="6D330DB7"/>
    <w:rsid w:val="6D437763"/>
    <w:rsid w:val="6D47364D"/>
    <w:rsid w:val="6D4B2385"/>
    <w:rsid w:val="6D4C07B8"/>
    <w:rsid w:val="6D500E33"/>
    <w:rsid w:val="6D5B1179"/>
    <w:rsid w:val="6D671B76"/>
    <w:rsid w:val="6D6D28AF"/>
    <w:rsid w:val="6D6E5E4C"/>
    <w:rsid w:val="6D771293"/>
    <w:rsid w:val="6D78135E"/>
    <w:rsid w:val="6D7D0954"/>
    <w:rsid w:val="6D8153B2"/>
    <w:rsid w:val="6D876AB7"/>
    <w:rsid w:val="6D8A27B4"/>
    <w:rsid w:val="6D8F154F"/>
    <w:rsid w:val="6D9757D1"/>
    <w:rsid w:val="6D9C3974"/>
    <w:rsid w:val="6DA062EA"/>
    <w:rsid w:val="6DA65DBF"/>
    <w:rsid w:val="6DA76631"/>
    <w:rsid w:val="6DA77315"/>
    <w:rsid w:val="6DAE65DB"/>
    <w:rsid w:val="6DAF65CC"/>
    <w:rsid w:val="6DB157A2"/>
    <w:rsid w:val="6DB25F3D"/>
    <w:rsid w:val="6DBA586C"/>
    <w:rsid w:val="6DBE0B3F"/>
    <w:rsid w:val="6DBF7294"/>
    <w:rsid w:val="6DC2555F"/>
    <w:rsid w:val="6DC53FBD"/>
    <w:rsid w:val="6DC84395"/>
    <w:rsid w:val="6DC93FE2"/>
    <w:rsid w:val="6DCA77EA"/>
    <w:rsid w:val="6DD35114"/>
    <w:rsid w:val="6DDE35E8"/>
    <w:rsid w:val="6DE47135"/>
    <w:rsid w:val="6DE65A7A"/>
    <w:rsid w:val="6DE92FA2"/>
    <w:rsid w:val="6DEE0E7D"/>
    <w:rsid w:val="6DEF6BC8"/>
    <w:rsid w:val="6DF3002F"/>
    <w:rsid w:val="6DF574ED"/>
    <w:rsid w:val="6DF81839"/>
    <w:rsid w:val="6E0048DC"/>
    <w:rsid w:val="6E075019"/>
    <w:rsid w:val="6E0766A1"/>
    <w:rsid w:val="6E1419C0"/>
    <w:rsid w:val="6E166FE2"/>
    <w:rsid w:val="6E183FF4"/>
    <w:rsid w:val="6E1B11E5"/>
    <w:rsid w:val="6E1D151C"/>
    <w:rsid w:val="6E1D7756"/>
    <w:rsid w:val="6E245261"/>
    <w:rsid w:val="6E2E7D17"/>
    <w:rsid w:val="6E3323DD"/>
    <w:rsid w:val="6E3761D3"/>
    <w:rsid w:val="6E392DDA"/>
    <w:rsid w:val="6E3E2033"/>
    <w:rsid w:val="6E411943"/>
    <w:rsid w:val="6E440060"/>
    <w:rsid w:val="6E442CF5"/>
    <w:rsid w:val="6E54575C"/>
    <w:rsid w:val="6E5A2999"/>
    <w:rsid w:val="6E612C3F"/>
    <w:rsid w:val="6E650AD9"/>
    <w:rsid w:val="6E6F6D88"/>
    <w:rsid w:val="6E702FE8"/>
    <w:rsid w:val="6E706B87"/>
    <w:rsid w:val="6E766C71"/>
    <w:rsid w:val="6E7926F7"/>
    <w:rsid w:val="6E7B110F"/>
    <w:rsid w:val="6E8A2A35"/>
    <w:rsid w:val="6E8E20B5"/>
    <w:rsid w:val="6E8F2730"/>
    <w:rsid w:val="6E915314"/>
    <w:rsid w:val="6E991DD0"/>
    <w:rsid w:val="6EA04FAE"/>
    <w:rsid w:val="6EAA59A3"/>
    <w:rsid w:val="6EAA79ED"/>
    <w:rsid w:val="6EB029C1"/>
    <w:rsid w:val="6EB330A4"/>
    <w:rsid w:val="6EC161BE"/>
    <w:rsid w:val="6EC53240"/>
    <w:rsid w:val="6ECD08F1"/>
    <w:rsid w:val="6ED8031D"/>
    <w:rsid w:val="6EDF2531"/>
    <w:rsid w:val="6EE1335D"/>
    <w:rsid w:val="6EE50FBC"/>
    <w:rsid w:val="6EEF6508"/>
    <w:rsid w:val="6EF02682"/>
    <w:rsid w:val="6EFA4C0C"/>
    <w:rsid w:val="6EFF1809"/>
    <w:rsid w:val="6F19615F"/>
    <w:rsid w:val="6F1A3B57"/>
    <w:rsid w:val="6F1A60C4"/>
    <w:rsid w:val="6F231E41"/>
    <w:rsid w:val="6F244447"/>
    <w:rsid w:val="6F303DE1"/>
    <w:rsid w:val="6F331C81"/>
    <w:rsid w:val="6F331F52"/>
    <w:rsid w:val="6F362062"/>
    <w:rsid w:val="6F3815D3"/>
    <w:rsid w:val="6F3C0797"/>
    <w:rsid w:val="6F4048CA"/>
    <w:rsid w:val="6F405BD0"/>
    <w:rsid w:val="6F4713C5"/>
    <w:rsid w:val="6F4734D0"/>
    <w:rsid w:val="6F4B3953"/>
    <w:rsid w:val="6F555C91"/>
    <w:rsid w:val="6F603479"/>
    <w:rsid w:val="6F680494"/>
    <w:rsid w:val="6F6A56DA"/>
    <w:rsid w:val="6F6B5A9E"/>
    <w:rsid w:val="6F7A07E3"/>
    <w:rsid w:val="6F7D050B"/>
    <w:rsid w:val="6F8C33B0"/>
    <w:rsid w:val="6F8D5B36"/>
    <w:rsid w:val="6F953750"/>
    <w:rsid w:val="6F9B0C75"/>
    <w:rsid w:val="6FA04DA3"/>
    <w:rsid w:val="6FA10B29"/>
    <w:rsid w:val="6FAA2D8A"/>
    <w:rsid w:val="6FB62831"/>
    <w:rsid w:val="6FC02217"/>
    <w:rsid w:val="6FC34E9D"/>
    <w:rsid w:val="6FC60A07"/>
    <w:rsid w:val="6FC90F86"/>
    <w:rsid w:val="6FCD3BC3"/>
    <w:rsid w:val="6FCE2BBA"/>
    <w:rsid w:val="6FD656A8"/>
    <w:rsid w:val="6FD91844"/>
    <w:rsid w:val="6FDF40F5"/>
    <w:rsid w:val="6FE0165C"/>
    <w:rsid w:val="6FE05F95"/>
    <w:rsid w:val="6FE944E1"/>
    <w:rsid w:val="6FF021F5"/>
    <w:rsid w:val="6FF06B6B"/>
    <w:rsid w:val="6FF47B7F"/>
    <w:rsid w:val="6FF73491"/>
    <w:rsid w:val="6FF97C31"/>
    <w:rsid w:val="6FFC64FF"/>
    <w:rsid w:val="7001428F"/>
    <w:rsid w:val="700E7127"/>
    <w:rsid w:val="70133236"/>
    <w:rsid w:val="70156307"/>
    <w:rsid w:val="7016485B"/>
    <w:rsid w:val="701C590F"/>
    <w:rsid w:val="702033F7"/>
    <w:rsid w:val="7021034D"/>
    <w:rsid w:val="70252DA7"/>
    <w:rsid w:val="702D10A9"/>
    <w:rsid w:val="70315D3B"/>
    <w:rsid w:val="703D58C4"/>
    <w:rsid w:val="70453D87"/>
    <w:rsid w:val="704E5E48"/>
    <w:rsid w:val="7053674B"/>
    <w:rsid w:val="7055360F"/>
    <w:rsid w:val="70642BE6"/>
    <w:rsid w:val="706A4DCB"/>
    <w:rsid w:val="706F497B"/>
    <w:rsid w:val="70724AB3"/>
    <w:rsid w:val="70877819"/>
    <w:rsid w:val="70916EF8"/>
    <w:rsid w:val="709261ED"/>
    <w:rsid w:val="709605AE"/>
    <w:rsid w:val="709D31A3"/>
    <w:rsid w:val="70A02568"/>
    <w:rsid w:val="70AD230C"/>
    <w:rsid w:val="70B4798A"/>
    <w:rsid w:val="70B91785"/>
    <w:rsid w:val="70C41020"/>
    <w:rsid w:val="70C671BA"/>
    <w:rsid w:val="70CC1017"/>
    <w:rsid w:val="70CF255C"/>
    <w:rsid w:val="70D5454C"/>
    <w:rsid w:val="70DC2C89"/>
    <w:rsid w:val="70DD041E"/>
    <w:rsid w:val="70DD743F"/>
    <w:rsid w:val="70DD7EE0"/>
    <w:rsid w:val="70E3150B"/>
    <w:rsid w:val="70E67B77"/>
    <w:rsid w:val="70F323B0"/>
    <w:rsid w:val="70FA4DD2"/>
    <w:rsid w:val="70FD7C9B"/>
    <w:rsid w:val="70FE0735"/>
    <w:rsid w:val="710221FA"/>
    <w:rsid w:val="71094431"/>
    <w:rsid w:val="710D3478"/>
    <w:rsid w:val="710F7585"/>
    <w:rsid w:val="711805A6"/>
    <w:rsid w:val="711A79AD"/>
    <w:rsid w:val="71217446"/>
    <w:rsid w:val="71224F32"/>
    <w:rsid w:val="7123463F"/>
    <w:rsid w:val="713B1ED6"/>
    <w:rsid w:val="71402DA5"/>
    <w:rsid w:val="714463AC"/>
    <w:rsid w:val="7144693A"/>
    <w:rsid w:val="71525708"/>
    <w:rsid w:val="71542A3C"/>
    <w:rsid w:val="71584711"/>
    <w:rsid w:val="71595F23"/>
    <w:rsid w:val="716A4C59"/>
    <w:rsid w:val="716D3AF0"/>
    <w:rsid w:val="717106F9"/>
    <w:rsid w:val="71811922"/>
    <w:rsid w:val="7184567C"/>
    <w:rsid w:val="71866C06"/>
    <w:rsid w:val="718F2568"/>
    <w:rsid w:val="718F3086"/>
    <w:rsid w:val="71910B53"/>
    <w:rsid w:val="719D1BC1"/>
    <w:rsid w:val="719E09E3"/>
    <w:rsid w:val="719F5958"/>
    <w:rsid w:val="71A33FEC"/>
    <w:rsid w:val="71A601E7"/>
    <w:rsid w:val="71A953B8"/>
    <w:rsid w:val="71AC51C8"/>
    <w:rsid w:val="71C37CE8"/>
    <w:rsid w:val="71C402EA"/>
    <w:rsid w:val="71D4132F"/>
    <w:rsid w:val="71D53676"/>
    <w:rsid w:val="71DA32B4"/>
    <w:rsid w:val="71E32E83"/>
    <w:rsid w:val="71E83969"/>
    <w:rsid w:val="71F1228B"/>
    <w:rsid w:val="71F46D71"/>
    <w:rsid w:val="71F61946"/>
    <w:rsid w:val="71F96411"/>
    <w:rsid w:val="71FA7506"/>
    <w:rsid w:val="72061465"/>
    <w:rsid w:val="720F1ACD"/>
    <w:rsid w:val="721C0759"/>
    <w:rsid w:val="722F766C"/>
    <w:rsid w:val="723256D8"/>
    <w:rsid w:val="72382B26"/>
    <w:rsid w:val="72385872"/>
    <w:rsid w:val="723A6B6E"/>
    <w:rsid w:val="723B470E"/>
    <w:rsid w:val="72451F4F"/>
    <w:rsid w:val="72456442"/>
    <w:rsid w:val="7247128C"/>
    <w:rsid w:val="72493E35"/>
    <w:rsid w:val="725B0CD8"/>
    <w:rsid w:val="7264361A"/>
    <w:rsid w:val="726822A9"/>
    <w:rsid w:val="726C3438"/>
    <w:rsid w:val="727367E8"/>
    <w:rsid w:val="72791B78"/>
    <w:rsid w:val="727C5618"/>
    <w:rsid w:val="727F3E51"/>
    <w:rsid w:val="7287073E"/>
    <w:rsid w:val="728C70E1"/>
    <w:rsid w:val="7290542B"/>
    <w:rsid w:val="72913002"/>
    <w:rsid w:val="72917F17"/>
    <w:rsid w:val="72935E6A"/>
    <w:rsid w:val="729A7834"/>
    <w:rsid w:val="72A00661"/>
    <w:rsid w:val="72AF0710"/>
    <w:rsid w:val="72AF2463"/>
    <w:rsid w:val="72B05336"/>
    <w:rsid w:val="72B06D9D"/>
    <w:rsid w:val="72B715E4"/>
    <w:rsid w:val="72C32F53"/>
    <w:rsid w:val="72C77A8A"/>
    <w:rsid w:val="72CB7C4C"/>
    <w:rsid w:val="72D86D20"/>
    <w:rsid w:val="72DB6BCE"/>
    <w:rsid w:val="72F70D65"/>
    <w:rsid w:val="72F762C6"/>
    <w:rsid w:val="72FA1D93"/>
    <w:rsid w:val="72FE3E8E"/>
    <w:rsid w:val="731B711B"/>
    <w:rsid w:val="731C3ED2"/>
    <w:rsid w:val="731E5631"/>
    <w:rsid w:val="732009B8"/>
    <w:rsid w:val="732B0C72"/>
    <w:rsid w:val="733271A4"/>
    <w:rsid w:val="73330C63"/>
    <w:rsid w:val="733863E3"/>
    <w:rsid w:val="733A3332"/>
    <w:rsid w:val="733C1D9D"/>
    <w:rsid w:val="733E3B7F"/>
    <w:rsid w:val="733E46B2"/>
    <w:rsid w:val="733E586B"/>
    <w:rsid w:val="733E59D9"/>
    <w:rsid w:val="734B3969"/>
    <w:rsid w:val="73597F33"/>
    <w:rsid w:val="7375490C"/>
    <w:rsid w:val="73757E63"/>
    <w:rsid w:val="737D2F4F"/>
    <w:rsid w:val="738B029F"/>
    <w:rsid w:val="73900D21"/>
    <w:rsid w:val="739A7114"/>
    <w:rsid w:val="739D5416"/>
    <w:rsid w:val="739F2349"/>
    <w:rsid w:val="739F6287"/>
    <w:rsid w:val="73A242CD"/>
    <w:rsid w:val="73A935F2"/>
    <w:rsid w:val="73AC333B"/>
    <w:rsid w:val="73AD3C4B"/>
    <w:rsid w:val="73B11DBC"/>
    <w:rsid w:val="73B1795C"/>
    <w:rsid w:val="73B51018"/>
    <w:rsid w:val="73B67CAD"/>
    <w:rsid w:val="73B86EBC"/>
    <w:rsid w:val="73C340B3"/>
    <w:rsid w:val="73C72DB3"/>
    <w:rsid w:val="73C81AA9"/>
    <w:rsid w:val="73C854F0"/>
    <w:rsid w:val="73CC2F38"/>
    <w:rsid w:val="73CE0B05"/>
    <w:rsid w:val="73D007EE"/>
    <w:rsid w:val="73D27A00"/>
    <w:rsid w:val="73D31801"/>
    <w:rsid w:val="73D9581C"/>
    <w:rsid w:val="73DA2FBB"/>
    <w:rsid w:val="73DC2CAB"/>
    <w:rsid w:val="73DC5744"/>
    <w:rsid w:val="73E36876"/>
    <w:rsid w:val="73E72CB9"/>
    <w:rsid w:val="74014C0C"/>
    <w:rsid w:val="740B7234"/>
    <w:rsid w:val="741B5358"/>
    <w:rsid w:val="74202F12"/>
    <w:rsid w:val="742C093F"/>
    <w:rsid w:val="742F68DF"/>
    <w:rsid w:val="7435797F"/>
    <w:rsid w:val="7442738A"/>
    <w:rsid w:val="744A0545"/>
    <w:rsid w:val="744F0653"/>
    <w:rsid w:val="744F7C70"/>
    <w:rsid w:val="74521009"/>
    <w:rsid w:val="74532888"/>
    <w:rsid w:val="745C54BA"/>
    <w:rsid w:val="74632A31"/>
    <w:rsid w:val="7465205B"/>
    <w:rsid w:val="746954DB"/>
    <w:rsid w:val="74743C33"/>
    <w:rsid w:val="747640DF"/>
    <w:rsid w:val="747E6036"/>
    <w:rsid w:val="74807A49"/>
    <w:rsid w:val="7482175B"/>
    <w:rsid w:val="74843F0D"/>
    <w:rsid w:val="74A67409"/>
    <w:rsid w:val="74B37F42"/>
    <w:rsid w:val="74B539F8"/>
    <w:rsid w:val="74B94875"/>
    <w:rsid w:val="74BA4FF9"/>
    <w:rsid w:val="74C311F6"/>
    <w:rsid w:val="74C53F19"/>
    <w:rsid w:val="74C579E1"/>
    <w:rsid w:val="74CA0770"/>
    <w:rsid w:val="74D52F3D"/>
    <w:rsid w:val="74D81528"/>
    <w:rsid w:val="74D96025"/>
    <w:rsid w:val="74DA07A2"/>
    <w:rsid w:val="74DF39E4"/>
    <w:rsid w:val="74E133B4"/>
    <w:rsid w:val="74E1491C"/>
    <w:rsid w:val="74E67A31"/>
    <w:rsid w:val="74F61278"/>
    <w:rsid w:val="74F65697"/>
    <w:rsid w:val="74F90505"/>
    <w:rsid w:val="74FC67D7"/>
    <w:rsid w:val="7501178C"/>
    <w:rsid w:val="75092044"/>
    <w:rsid w:val="7510516D"/>
    <w:rsid w:val="75124563"/>
    <w:rsid w:val="751274A1"/>
    <w:rsid w:val="75190871"/>
    <w:rsid w:val="751C2143"/>
    <w:rsid w:val="75295853"/>
    <w:rsid w:val="752D2921"/>
    <w:rsid w:val="752F1869"/>
    <w:rsid w:val="752F2DAC"/>
    <w:rsid w:val="75387884"/>
    <w:rsid w:val="75475838"/>
    <w:rsid w:val="755D7E3D"/>
    <w:rsid w:val="75631790"/>
    <w:rsid w:val="7566472C"/>
    <w:rsid w:val="756B1E1E"/>
    <w:rsid w:val="756B62BD"/>
    <w:rsid w:val="756E6DDD"/>
    <w:rsid w:val="7578413D"/>
    <w:rsid w:val="757B64ED"/>
    <w:rsid w:val="757C232A"/>
    <w:rsid w:val="75851DCA"/>
    <w:rsid w:val="75895C6B"/>
    <w:rsid w:val="758F3A2A"/>
    <w:rsid w:val="7595284C"/>
    <w:rsid w:val="759638CA"/>
    <w:rsid w:val="7599617F"/>
    <w:rsid w:val="759A19E2"/>
    <w:rsid w:val="759D7802"/>
    <w:rsid w:val="75A011FF"/>
    <w:rsid w:val="75A70E4F"/>
    <w:rsid w:val="75AA3F51"/>
    <w:rsid w:val="75B11420"/>
    <w:rsid w:val="75B263D3"/>
    <w:rsid w:val="75CB7A28"/>
    <w:rsid w:val="75DA0294"/>
    <w:rsid w:val="75DC2372"/>
    <w:rsid w:val="75E16CC1"/>
    <w:rsid w:val="75F22E0F"/>
    <w:rsid w:val="7600000E"/>
    <w:rsid w:val="760021B6"/>
    <w:rsid w:val="760950F4"/>
    <w:rsid w:val="76122AB3"/>
    <w:rsid w:val="76127806"/>
    <w:rsid w:val="76154B74"/>
    <w:rsid w:val="761C414A"/>
    <w:rsid w:val="761D237D"/>
    <w:rsid w:val="762721D0"/>
    <w:rsid w:val="76292CB3"/>
    <w:rsid w:val="76380CDC"/>
    <w:rsid w:val="76383420"/>
    <w:rsid w:val="76411431"/>
    <w:rsid w:val="7649562B"/>
    <w:rsid w:val="764F7C59"/>
    <w:rsid w:val="76536622"/>
    <w:rsid w:val="765566B4"/>
    <w:rsid w:val="76605088"/>
    <w:rsid w:val="76617C2E"/>
    <w:rsid w:val="76636412"/>
    <w:rsid w:val="766477E2"/>
    <w:rsid w:val="7668119A"/>
    <w:rsid w:val="766966D4"/>
    <w:rsid w:val="766E17F9"/>
    <w:rsid w:val="76804CD3"/>
    <w:rsid w:val="76894FB9"/>
    <w:rsid w:val="768C1EBA"/>
    <w:rsid w:val="768E260E"/>
    <w:rsid w:val="769222A0"/>
    <w:rsid w:val="769568F8"/>
    <w:rsid w:val="76993596"/>
    <w:rsid w:val="769F0134"/>
    <w:rsid w:val="76A65C22"/>
    <w:rsid w:val="76B14AAD"/>
    <w:rsid w:val="76B44C21"/>
    <w:rsid w:val="76C118A2"/>
    <w:rsid w:val="76C32B57"/>
    <w:rsid w:val="76C63D93"/>
    <w:rsid w:val="76CB0A63"/>
    <w:rsid w:val="76D25527"/>
    <w:rsid w:val="76D81970"/>
    <w:rsid w:val="76DD3810"/>
    <w:rsid w:val="76E451C7"/>
    <w:rsid w:val="76E472DD"/>
    <w:rsid w:val="76E8548D"/>
    <w:rsid w:val="76ED3B38"/>
    <w:rsid w:val="76F13EA7"/>
    <w:rsid w:val="76F14581"/>
    <w:rsid w:val="76F3209A"/>
    <w:rsid w:val="76F77BBD"/>
    <w:rsid w:val="76FD22EC"/>
    <w:rsid w:val="76FD6D57"/>
    <w:rsid w:val="77030B27"/>
    <w:rsid w:val="77034D41"/>
    <w:rsid w:val="77041D95"/>
    <w:rsid w:val="77095079"/>
    <w:rsid w:val="7718408C"/>
    <w:rsid w:val="771D7BC5"/>
    <w:rsid w:val="7723073F"/>
    <w:rsid w:val="772527B2"/>
    <w:rsid w:val="772A6A8E"/>
    <w:rsid w:val="773B25F8"/>
    <w:rsid w:val="773B48CE"/>
    <w:rsid w:val="773D0C62"/>
    <w:rsid w:val="773F62E5"/>
    <w:rsid w:val="7743414C"/>
    <w:rsid w:val="774551B5"/>
    <w:rsid w:val="775124A2"/>
    <w:rsid w:val="77523DCF"/>
    <w:rsid w:val="77591191"/>
    <w:rsid w:val="77606B3D"/>
    <w:rsid w:val="776870B9"/>
    <w:rsid w:val="776967FB"/>
    <w:rsid w:val="776D4583"/>
    <w:rsid w:val="7776540C"/>
    <w:rsid w:val="777A37E1"/>
    <w:rsid w:val="778100C2"/>
    <w:rsid w:val="778121B3"/>
    <w:rsid w:val="77855EB4"/>
    <w:rsid w:val="779D35D8"/>
    <w:rsid w:val="77A94947"/>
    <w:rsid w:val="77AA135C"/>
    <w:rsid w:val="77AB510D"/>
    <w:rsid w:val="77AB7E27"/>
    <w:rsid w:val="77AC14DA"/>
    <w:rsid w:val="77AD64CA"/>
    <w:rsid w:val="77AF3504"/>
    <w:rsid w:val="77B36F7C"/>
    <w:rsid w:val="77BC6B30"/>
    <w:rsid w:val="77BE1BC2"/>
    <w:rsid w:val="77C75FA5"/>
    <w:rsid w:val="77C926F0"/>
    <w:rsid w:val="77CA0362"/>
    <w:rsid w:val="77D17A81"/>
    <w:rsid w:val="77D2359F"/>
    <w:rsid w:val="77E40C30"/>
    <w:rsid w:val="77FC1B84"/>
    <w:rsid w:val="77FF3177"/>
    <w:rsid w:val="780254EB"/>
    <w:rsid w:val="78055C6F"/>
    <w:rsid w:val="780752E6"/>
    <w:rsid w:val="780B6CC7"/>
    <w:rsid w:val="78153F77"/>
    <w:rsid w:val="78155CF2"/>
    <w:rsid w:val="78185315"/>
    <w:rsid w:val="781C67FA"/>
    <w:rsid w:val="782378AE"/>
    <w:rsid w:val="78296DAC"/>
    <w:rsid w:val="783267CC"/>
    <w:rsid w:val="783E418B"/>
    <w:rsid w:val="783F1754"/>
    <w:rsid w:val="784A7790"/>
    <w:rsid w:val="784E3C01"/>
    <w:rsid w:val="78570849"/>
    <w:rsid w:val="78575D9F"/>
    <w:rsid w:val="785B5DBF"/>
    <w:rsid w:val="78600977"/>
    <w:rsid w:val="78617AF2"/>
    <w:rsid w:val="78626899"/>
    <w:rsid w:val="786421F2"/>
    <w:rsid w:val="786616B3"/>
    <w:rsid w:val="786E5D08"/>
    <w:rsid w:val="787D41E5"/>
    <w:rsid w:val="787E7A1D"/>
    <w:rsid w:val="78812F7C"/>
    <w:rsid w:val="789054AC"/>
    <w:rsid w:val="789469EF"/>
    <w:rsid w:val="78975C7D"/>
    <w:rsid w:val="78A51B95"/>
    <w:rsid w:val="78AA6975"/>
    <w:rsid w:val="78B15E1D"/>
    <w:rsid w:val="78C15B1C"/>
    <w:rsid w:val="78C359B3"/>
    <w:rsid w:val="78C653C1"/>
    <w:rsid w:val="78C9190A"/>
    <w:rsid w:val="78C97D4F"/>
    <w:rsid w:val="78CC0493"/>
    <w:rsid w:val="78DB3FCA"/>
    <w:rsid w:val="78EC2D52"/>
    <w:rsid w:val="78F5480C"/>
    <w:rsid w:val="78FA7F8E"/>
    <w:rsid w:val="79036E66"/>
    <w:rsid w:val="790945D5"/>
    <w:rsid w:val="790B5E2B"/>
    <w:rsid w:val="790E47EA"/>
    <w:rsid w:val="790E548B"/>
    <w:rsid w:val="79104E2B"/>
    <w:rsid w:val="79135CA0"/>
    <w:rsid w:val="791467F0"/>
    <w:rsid w:val="7915089E"/>
    <w:rsid w:val="791A58CD"/>
    <w:rsid w:val="791D6D3A"/>
    <w:rsid w:val="791F537B"/>
    <w:rsid w:val="79344437"/>
    <w:rsid w:val="79367982"/>
    <w:rsid w:val="793D5C2F"/>
    <w:rsid w:val="793E1D3B"/>
    <w:rsid w:val="793F7F0E"/>
    <w:rsid w:val="794A336F"/>
    <w:rsid w:val="794B6C37"/>
    <w:rsid w:val="79537099"/>
    <w:rsid w:val="79552D08"/>
    <w:rsid w:val="7957124C"/>
    <w:rsid w:val="795E7ED2"/>
    <w:rsid w:val="79672E22"/>
    <w:rsid w:val="79677010"/>
    <w:rsid w:val="796E6578"/>
    <w:rsid w:val="79711579"/>
    <w:rsid w:val="797121AE"/>
    <w:rsid w:val="797761C6"/>
    <w:rsid w:val="797E1825"/>
    <w:rsid w:val="79994E18"/>
    <w:rsid w:val="79A7288D"/>
    <w:rsid w:val="79AA3C4E"/>
    <w:rsid w:val="79AE312A"/>
    <w:rsid w:val="79B3208C"/>
    <w:rsid w:val="79B70130"/>
    <w:rsid w:val="79BD5598"/>
    <w:rsid w:val="79C8453B"/>
    <w:rsid w:val="79CB0706"/>
    <w:rsid w:val="79CB0751"/>
    <w:rsid w:val="79CE66ED"/>
    <w:rsid w:val="79CF6E25"/>
    <w:rsid w:val="79D42664"/>
    <w:rsid w:val="79D51250"/>
    <w:rsid w:val="79DB4236"/>
    <w:rsid w:val="79E46B39"/>
    <w:rsid w:val="79E66C93"/>
    <w:rsid w:val="79F16E80"/>
    <w:rsid w:val="79F32B94"/>
    <w:rsid w:val="79F842C2"/>
    <w:rsid w:val="79FA0A29"/>
    <w:rsid w:val="79FC6E04"/>
    <w:rsid w:val="79FE2A4E"/>
    <w:rsid w:val="7A0241AD"/>
    <w:rsid w:val="7A081D42"/>
    <w:rsid w:val="7A0A6E0F"/>
    <w:rsid w:val="7A0A7223"/>
    <w:rsid w:val="7A0C4EA7"/>
    <w:rsid w:val="7A12552F"/>
    <w:rsid w:val="7A1524DD"/>
    <w:rsid w:val="7A1A1772"/>
    <w:rsid w:val="7A1E1DC3"/>
    <w:rsid w:val="7A2751AD"/>
    <w:rsid w:val="7A276994"/>
    <w:rsid w:val="7A2C129F"/>
    <w:rsid w:val="7A3B034D"/>
    <w:rsid w:val="7A3B1C6C"/>
    <w:rsid w:val="7A3F158B"/>
    <w:rsid w:val="7A4A132A"/>
    <w:rsid w:val="7A535840"/>
    <w:rsid w:val="7A5566EE"/>
    <w:rsid w:val="7A646A69"/>
    <w:rsid w:val="7A6736BC"/>
    <w:rsid w:val="7A6A7B3B"/>
    <w:rsid w:val="7A7060B4"/>
    <w:rsid w:val="7A7067FA"/>
    <w:rsid w:val="7A721F7E"/>
    <w:rsid w:val="7A746574"/>
    <w:rsid w:val="7A7678E5"/>
    <w:rsid w:val="7A7A585C"/>
    <w:rsid w:val="7A7B24DD"/>
    <w:rsid w:val="7A7D2094"/>
    <w:rsid w:val="7A7F65CA"/>
    <w:rsid w:val="7A844954"/>
    <w:rsid w:val="7A867241"/>
    <w:rsid w:val="7A876B11"/>
    <w:rsid w:val="7A88301C"/>
    <w:rsid w:val="7A963A48"/>
    <w:rsid w:val="7A9660A3"/>
    <w:rsid w:val="7A9861CB"/>
    <w:rsid w:val="7A986784"/>
    <w:rsid w:val="7ABB3E82"/>
    <w:rsid w:val="7AC3568E"/>
    <w:rsid w:val="7AC449C6"/>
    <w:rsid w:val="7AD17D6D"/>
    <w:rsid w:val="7AD71052"/>
    <w:rsid w:val="7AD9797E"/>
    <w:rsid w:val="7ADE3DB2"/>
    <w:rsid w:val="7AE5682B"/>
    <w:rsid w:val="7AEE60EE"/>
    <w:rsid w:val="7AFE6C9A"/>
    <w:rsid w:val="7B0E060E"/>
    <w:rsid w:val="7B0F5219"/>
    <w:rsid w:val="7B177A77"/>
    <w:rsid w:val="7B193032"/>
    <w:rsid w:val="7B1B1CF8"/>
    <w:rsid w:val="7B26484C"/>
    <w:rsid w:val="7B2B13FD"/>
    <w:rsid w:val="7B3339FA"/>
    <w:rsid w:val="7B346599"/>
    <w:rsid w:val="7B3C25E5"/>
    <w:rsid w:val="7B44094D"/>
    <w:rsid w:val="7B460BFD"/>
    <w:rsid w:val="7B4910BE"/>
    <w:rsid w:val="7B4A7A19"/>
    <w:rsid w:val="7B50325A"/>
    <w:rsid w:val="7B5D3226"/>
    <w:rsid w:val="7B5E4EEC"/>
    <w:rsid w:val="7B624A61"/>
    <w:rsid w:val="7B674BD7"/>
    <w:rsid w:val="7B6D1622"/>
    <w:rsid w:val="7B6E2192"/>
    <w:rsid w:val="7B71585E"/>
    <w:rsid w:val="7B722498"/>
    <w:rsid w:val="7B782690"/>
    <w:rsid w:val="7B793E87"/>
    <w:rsid w:val="7B7C50C8"/>
    <w:rsid w:val="7B7F3966"/>
    <w:rsid w:val="7B80148D"/>
    <w:rsid w:val="7B821ADA"/>
    <w:rsid w:val="7B8F5DA2"/>
    <w:rsid w:val="7B926883"/>
    <w:rsid w:val="7BA34FB1"/>
    <w:rsid w:val="7BA4369C"/>
    <w:rsid w:val="7BA71440"/>
    <w:rsid w:val="7BAE696E"/>
    <w:rsid w:val="7BAF3C86"/>
    <w:rsid w:val="7BC23E12"/>
    <w:rsid w:val="7BC45CF4"/>
    <w:rsid w:val="7BC92A6F"/>
    <w:rsid w:val="7BD36780"/>
    <w:rsid w:val="7BD4048E"/>
    <w:rsid w:val="7BD968AC"/>
    <w:rsid w:val="7BDE060F"/>
    <w:rsid w:val="7BDE524C"/>
    <w:rsid w:val="7BDF5DF5"/>
    <w:rsid w:val="7BE908F3"/>
    <w:rsid w:val="7BE9784F"/>
    <w:rsid w:val="7BEA5E74"/>
    <w:rsid w:val="7BF00328"/>
    <w:rsid w:val="7BF577C1"/>
    <w:rsid w:val="7BF9001B"/>
    <w:rsid w:val="7BFE0389"/>
    <w:rsid w:val="7BFE08FA"/>
    <w:rsid w:val="7C091716"/>
    <w:rsid w:val="7C126AEB"/>
    <w:rsid w:val="7C1F2070"/>
    <w:rsid w:val="7C260105"/>
    <w:rsid w:val="7C2900A2"/>
    <w:rsid w:val="7C295D17"/>
    <w:rsid w:val="7C2A10CD"/>
    <w:rsid w:val="7C2C0E73"/>
    <w:rsid w:val="7C2D2AE7"/>
    <w:rsid w:val="7C2E5247"/>
    <w:rsid w:val="7C4A06A1"/>
    <w:rsid w:val="7C4A5A50"/>
    <w:rsid w:val="7C4B681D"/>
    <w:rsid w:val="7C4C575E"/>
    <w:rsid w:val="7C640974"/>
    <w:rsid w:val="7C643EF7"/>
    <w:rsid w:val="7C690B20"/>
    <w:rsid w:val="7C71523C"/>
    <w:rsid w:val="7C724EAE"/>
    <w:rsid w:val="7C780AD5"/>
    <w:rsid w:val="7C7A14F2"/>
    <w:rsid w:val="7C7E2FFC"/>
    <w:rsid w:val="7C7F038C"/>
    <w:rsid w:val="7C867154"/>
    <w:rsid w:val="7C8A49AA"/>
    <w:rsid w:val="7C8F78D5"/>
    <w:rsid w:val="7C9427B3"/>
    <w:rsid w:val="7C9E5A77"/>
    <w:rsid w:val="7CA777DA"/>
    <w:rsid w:val="7CAD2B44"/>
    <w:rsid w:val="7CB74F4A"/>
    <w:rsid w:val="7CB80138"/>
    <w:rsid w:val="7CB838AF"/>
    <w:rsid w:val="7CBE6F50"/>
    <w:rsid w:val="7CC639C6"/>
    <w:rsid w:val="7CC96839"/>
    <w:rsid w:val="7CCC3CFE"/>
    <w:rsid w:val="7CCD12D3"/>
    <w:rsid w:val="7CD505D1"/>
    <w:rsid w:val="7CD534FD"/>
    <w:rsid w:val="7CD6692A"/>
    <w:rsid w:val="7CDE11DF"/>
    <w:rsid w:val="7CE215AC"/>
    <w:rsid w:val="7CE25B4A"/>
    <w:rsid w:val="7CE3422B"/>
    <w:rsid w:val="7CE5443B"/>
    <w:rsid w:val="7CE76B7F"/>
    <w:rsid w:val="7CED09D9"/>
    <w:rsid w:val="7CF436AD"/>
    <w:rsid w:val="7CF87323"/>
    <w:rsid w:val="7CFC65E9"/>
    <w:rsid w:val="7CFD1F2F"/>
    <w:rsid w:val="7CFF2442"/>
    <w:rsid w:val="7D0115A5"/>
    <w:rsid w:val="7D017D9A"/>
    <w:rsid w:val="7D080205"/>
    <w:rsid w:val="7D0A432A"/>
    <w:rsid w:val="7D0F2DDE"/>
    <w:rsid w:val="7D144B3C"/>
    <w:rsid w:val="7D167BA2"/>
    <w:rsid w:val="7D177687"/>
    <w:rsid w:val="7D1F5883"/>
    <w:rsid w:val="7D242066"/>
    <w:rsid w:val="7D282F0F"/>
    <w:rsid w:val="7D286550"/>
    <w:rsid w:val="7D3140B5"/>
    <w:rsid w:val="7D3874D2"/>
    <w:rsid w:val="7D405530"/>
    <w:rsid w:val="7D4241A1"/>
    <w:rsid w:val="7D452B7F"/>
    <w:rsid w:val="7D497FAA"/>
    <w:rsid w:val="7D520228"/>
    <w:rsid w:val="7D526E71"/>
    <w:rsid w:val="7D532432"/>
    <w:rsid w:val="7D5A5BFC"/>
    <w:rsid w:val="7D6518EB"/>
    <w:rsid w:val="7D6B77B5"/>
    <w:rsid w:val="7D7371E1"/>
    <w:rsid w:val="7D74008A"/>
    <w:rsid w:val="7D7862CF"/>
    <w:rsid w:val="7D7A4E9D"/>
    <w:rsid w:val="7D7F0E79"/>
    <w:rsid w:val="7D851CFF"/>
    <w:rsid w:val="7DA65B7D"/>
    <w:rsid w:val="7DA72A35"/>
    <w:rsid w:val="7DA86112"/>
    <w:rsid w:val="7DAE3829"/>
    <w:rsid w:val="7DB00509"/>
    <w:rsid w:val="7DB9268E"/>
    <w:rsid w:val="7DBF3388"/>
    <w:rsid w:val="7DC71DAD"/>
    <w:rsid w:val="7DC8040C"/>
    <w:rsid w:val="7DC85A3E"/>
    <w:rsid w:val="7DCD3893"/>
    <w:rsid w:val="7DCE15A0"/>
    <w:rsid w:val="7DCF3C5F"/>
    <w:rsid w:val="7DD03D33"/>
    <w:rsid w:val="7DD410E6"/>
    <w:rsid w:val="7DD603AD"/>
    <w:rsid w:val="7DD82F1A"/>
    <w:rsid w:val="7DDA1110"/>
    <w:rsid w:val="7DE020DC"/>
    <w:rsid w:val="7DE449CE"/>
    <w:rsid w:val="7DE7722C"/>
    <w:rsid w:val="7DEC05A8"/>
    <w:rsid w:val="7DED1348"/>
    <w:rsid w:val="7DEE71DF"/>
    <w:rsid w:val="7DF66186"/>
    <w:rsid w:val="7E007B1A"/>
    <w:rsid w:val="7E0A5EA4"/>
    <w:rsid w:val="7E0A72D5"/>
    <w:rsid w:val="7E0B3C08"/>
    <w:rsid w:val="7E154422"/>
    <w:rsid w:val="7E1C2B95"/>
    <w:rsid w:val="7E1E3CF4"/>
    <w:rsid w:val="7E212526"/>
    <w:rsid w:val="7E262B03"/>
    <w:rsid w:val="7E29766E"/>
    <w:rsid w:val="7E2E765A"/>
    <w:rsid w:val="7E324C10"/>
    <w:rsid w:val="7E324D32"/>
    <w:rsid w:val="7E3B7336"/>
    <w:rsid w:val="7E3D35D7"/>
    <w:rsid w:val="7E466A84"/>
    <w:rsid w:val="7E472FFE"/>
    <w:rsid w:val="7E4A6379"/>
    <w:rsid w:val="7E5248E3"/>
    <w:rsid w:val="7E5A2EA0"/>
    <w:rsid w:val="7E66305F"/>
    <w:rsid w:val="7E6854DB"/>
    <w:rsid w:val="7E6C43B3"/>
    <w:rsid w:val="7E7311AB"/>
    <w:rsid w:val="7E77762F"/>
    <w:rsid w:val="7E793E63"/>
    <w:rsid w:val="7E7B1715"/>
    <w:rsid w:val="7E8031F2"/>
    <w:rsid w:val="7E860496"/>
    <w:rsid w:val="7E956D81"/>
    <w:rsid w:val="7E9611E7"/>
    <w:rsid w:val="7E9963F8"/>
    <w:rsid w:val="7E9D0633"/>
    <w:rsid w:val="7EA82B9C"/>
    <w:rsid w:val="7EA95574"/>
    <w:rsid w:val="7EB13A3E"/>
    <w:rsid w:val="7EB16AB6"/>
    <w:rsid w:val="7EBD651F"/>
    <w:rsid w:val="7EC05F3D"/>
    <w:rsid w:val="7EC07C28"/>
    <w:rsid w:val="7ECB3BBC"/>
    <w:rsid w:val="7ED27810"/>
    <w:rsid w:val="7ED83896"/>
    <w:rsid w:val="7EDC2729"/>
    <w:rsid w:val="7EE15DD1"/>
    <w:rsid w:val="7EEB46E8"/>
    <w:rsid w:val="7EEE3759"/>
    <w:rsid w:val="7EF04016"/>
    <w:rsid w:val="7EF94F98"/>
    <w:rsid w:val="7EFB200E"/>
    <w:rsid w:val="7EFF41BF"/>
    <w:rsid w:val="7F0126E4"/>
    <w:rsid w:val="7F013802"/>
    <w:rsid w:val="7F051449"/>
    <w:rsid w:val="7F1A1324"/>
    <w:rsid w:val="7F1A4AEF"/>
    <w:rsid w:val="7F271E5F"/>
    <w:rsid w:val="7F29623C"/>
    <w:rsid w:val="7F2D4C74"/>
    <w:rsid w:val="7F341EAD"/>
    <w:rsid w:val="7F350A03"/>
    <w:rsid w:val="7F375587"/>
    <w:rsid w:val="7F3B2B2F"/>
    <w:rsid w:val="7F406D66"/>
    <w:rsid w:val="7F421AF0"/>
    <w:rsid w:val="7F516AFB"/>
    <w:rsid w:val="7F585C16"/>
    <w:rsid w:val="7F5B38C5"/>
    <w:rsid w:val="7F5C5B37"/>
    <w:rsid w:val="7F6566E6"/>
    <w:rsid w:val="7F6A7C64"/>
    <w:rsid w:val="7F6B0BA4"/>
    <w:rsid w:val="7F6E0CE1"/>
    <w:rsid w:val="7F6F6E86"/>
    <w:rsid w:val="7F8A3738"/>
    <w:rsid w:val="7F8B3191"/>
    <w:rsid w:val="7F8C0C31"/>
    <w:rsid w:val="7F8E4655"/>
    <w:rsid w:val="7F8E6809"/>
    <w:rsid w:val="7F987985"/>
    <w:rsid w:val="7F992C82"/>
    <w:rsid w:val="7F9C63C5"/>
    <w:rsid w:val="7F9E0C2E"/>
    <w:rsid w:val="7FA23301"/>
    <w:rsid w:val="7FAF35C9"/>
    <w:rsid w:val="7FAF535A"/>
    <w:rsid w:val="7FB620B9"/>
    <w:rsid w:val="7FBE4780"/>
    <w:rsid w:val="7FC07CDA"/>
    <w:rsid w:val="7FC33EC6"/>
    <w:rsid w:val="7FD30895"/>
    <w:rsid w:val="7FD52EF4"/>
    <w:rsid w:val="7FE932BA"/>
    <w:rsid w:val="7FEC3423"/>
    <w:rsid w:val="7FFD6B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8" w:lineRule="atLeast"/>
      <w:outlineLvl w:val="0"/>
    </w:pPr>
    <w:rPr>
      <w:rFonts w:ascii="Calibri" w:hAnsi="Calibri" w:cs="Times New Roman"/>
      <w:b/>
      <w:bCs/>
      <w:kern w:val="44"/>
      <w:sz w:val="44"/>
      <w:szCs w:val="44"/>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table" w:styleId="7">
    <w:name w:val="Table Gri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Strong"/>
    <w:basedOn w:val="8"/>
    <w:qFormat/>
    <w:uiPriority w:val="0"/>
    <w:rPr>
      <w:b/>
      <w:sz w:val="21"/>
      <w:szCs w:val="21"/>
    </w:rPr>
  </w:style>
  <w:style w:type="character" w:styleId="10">
    <w:name w:val="FollowedHyperlink"/>
    <w:basedOn w:val="8"/>
    <w:qFormat/>
    <w:uiPriority w:val="0"/>
    <w:rPr>
      <w:color w:val="4D7AD8"/>
      <w:u w:val="none"/>
    </w:rPr>
  </w:style>
  <w:style w:type="character" w:styleId="11">
    <w:name w:val="HTML Definition"/>
    <w:basedOn w:val="8"/>
    <w:qFormat/>
    <w:uiPriority w:val="0"/>
    <w:rPr>
      <w:i/>
      <w:bdr w:val="single" w:color="D9D9D9" w:sz="6" w:space="0"/>
      <w:shd w:val="clear" w:fill="FFFFFF"/>
    </w:rPr>
  </w:style>
  <w:style w:type="character" w:styleId="12">
    <w:name w:val="Hyperlink"/>
    <w:basedOn w:val="8"/>
    <w:qFormat/>
    <w:uiPriority w:val="0"/>
    <w:rPr>
      <w:color w:val="0000FF"/>
      <w:u w:val="single"/>
    </w:rPr>
  </w:style>
  <w:style w:type="character" w:styleId="13">
    <w:name w:val="HTML Code"/>
    <w:basedOn w:val="8"/>
    <w:qFormat/>
    <w:uiPriority w:val="0"/>
    <w:rPr>
      <w:rFonts w:hint="default" w:ascii="Consolas" w:hAnsi="Consolas" w:eastAsia="Consolas" w:cs="Consolas"/>
      <w:sz w:val="21"/>
      <w:szCs w:val="21"/>
    </w:rPr>
  </w:style>
  <w:style w:type="character" w:styleId="14">
    <w:name w:val="HTML Keyboard"/>
    <w:basedOn w:val="8"/>
    <w:qFormat/>
    <w:uiPriority w:val="0"/>
    <w:rPr>
      <w:rFonts w:ascii="Consolas" w:hAnsi="Consolas" w:eastAsia="Consolas" w:cs="Consolas"/>
      <w:color w:val="666666"/>
      <w:sz w:val="21"/>
      <w:szCs w:val="21"/>
    </w:rPr>
  </w:style>
  <w:style w:type="character" w:styleId="15">
    <w:name w:val="HTML Sample"/>
    <w:basedOn w:val="8"/>
    <w:qFormat/>
    <w:uiPriority w:val="0"/>
    <w:rPr>
      <w:rFonts w:hint="default" w:ascii="Consolas" w:hAnsi="Consolas" w:eastAsia="Consolas" w:cs="Consolas"/>
      <w:sz w:val="21"/>
      <w:szCs w:val="21"/>
    </w:rPr>
  </w:style>
  <w:style w:type="character" w:customStyle="1" w:styleId="16">
    <w:name w:val="first-child2"/>
    <w:basedOn w:val="8"/>
    <w:qFormat/>
    <w:uiPriority w:val="0"/>
    <w:rPr>
      <w:sz w:val="13"/>
      <w:szCs w:val="13"/>
    </w:rPr>
  </w:style>
  <w:style w:type="character" w:customStyle="1" w:styleId="17">
    <w:name w:val="ant-select-tree-switcher"/>
    <w:basedOn w:val="8"/>
    <w:qFormat/>
    <w:uiPriority w:val="0"/>
  </w:style>
  <w:style w:type="character" w:customStyle="1" w:styleId="18">
    <w:name w:val="ant-tree-iconele"/>
    <w:basedOn w:val="8"/>
    <w:qFormat/>
    <w:uiPriority w:val="0"/>
  </w:style>
  <w:style w:type="character" w:customStyle="1" w:styleId="19">
    <w:name w:val="ant-radio+*"/>
    <w:basedOn w:val="8"/>
    <w:qFormat/>
    <w:uiPriority w:val="0"/>
  </w:style>
  <w:style w:type="character" w:customStyle="1" w:styleId="20">
    <w:name w:val="selected4"/>
    <w:basedOn w:val="8"/>
    <w:qFormat/>
    <w:uiPriority w:val="0"/>
  </w:style>
  <w:style w:type="character" w:customStyle="1" w:styleId="21">
    <w:name w:val="selected5"/>
    <w:basedOn w:val="8"/>
    <w:qFormat/>
    <w:uiPriority w:val="0"/>
  </w:style>
  <w:style w:type="character" w:customStyle="1" w:styleId="22">
    <w:name w:val="selected6"/>
    <w:basedOn w:val="8"/>
    <w:qFormat/>
    <w:uiPriority w:val="0"/>
  </w:style>
  <w:style w:type="character" w:customStyle="1" w:styleId="23">
    <w:name w:val="button"/>
    <w:basedOn w:val="8"/>
    <w:qFormat/>
    <w:uiPriority w:val="0"/>
  </w:style>
  <w:style w:type="character" w:customStyle="1" w:styleId="24">
    <w:name w:val="hover19"/>
    <w:basedOn w:val="8"/>
    <w:qFormat/>
    <w:uiPriority w:val="0"/>
    <w:rPr>
      <w:color w:val="009DFF"/>
    </w:rPr>
  </w:style>
  <w:style w:type="character" w:customStyle="1" w:styleId="25">
    <w:name w:val="hover20"/>
    <w:basedOn w:val="8"/>
    <w:qFormat/>
    <w:uiPriority w:val="0"/>
    <w:rPr>
      <w:color w:val="009DFF"/>
    </w:rPr>
  </w:style>
  <w:style w:type="character" w:customStyle="1" w:styleId="26">
    <w:name w:val="ant-tree-switcher"/>
    <w:basedOn w:val="8"/>
    <w:qFormat/>
    <w:uiPriority w:val="0"/>
  </w:style>
  <w:style w:type="character" w:customStyle="1" w:styleId="27">
    <w:name w:val="ant-select-tree-checkbox2"/>
    <w:basedOn w:val="8"/>
    <w:qFormat/>
    <w:uiPriority w:val="0"/>
  </w:style>
  <w:style w:type="character" w:customStyle="1" w:styleId="28">
    <w:name w:val="ant-select-tree-iconele"/>
    <w:basedOn w:val="8"/>
    <w:qFormat/>
    <w:uiPriority w:val="0"/>
  </w:style>
  <w:style w:type="character" w:customStyle="1" w:styleId="29">
    <w:name w:val="ant-tree-checkbox6"/>
    <w:basedOn w:val="8"/>
    <w:qFormat/>
    <w:uiPriority w:val="0"/>
  </w:style>
  <w:style w:type="character" w:customStyle="1" w:styleId="30">
    <w:name w:val="wea-thumbnails-doc-content-subtitle"/>
    <w:basedOn w:val="8"/>
    <w:qFormat/>
    <w:uiPriority w:val="0"/>
    <w:rPr>
      <w:color w:val="9A9A9A"/>
    </w:rPr>
  </w:style>
  <w:style w:type="character" w:customStyle="1" w:styleId="31">
    <w:name w:val="ht_nestinglevel"/>
    <w:basedOn w:val="8"/>
    <w:qFormat/>
    <w:uiPriority w:val="0"/>
  </w:style>
  <w:style w:type="character" w:customStyle="1" w:styleId="32">
    <w:name w:val="ht_nestinglevel_empty"/>
    <w:basedOn w:val="8"/>
    <w:qFormat/>
    <w:uiPriority w:val="0"/>
  </w:style>
  <w:style w:type="character" w:customStyle="1" w:styleId="33">
    <w:name w:val="colheader"/>
    <w:basedOn w:val="8"/>
    <w:qFormat/>
    <w:uiPriority w:val="0"/>
  </w:style>
  <w:style w:type="character" w:customStyle="1" w:styleId="34">
    <w:name w:val="ant-tree-checkbox"/>
    <w:basedOn w:val="8"/>
    <w:qFormat/>
    <w:uiPriority w:val="0"/>
  </w:style>
  <w:style w:type="character" w:customStyle="1" w:styleId="35">
    <w:name w:val="first-child"/>
    <w:basedOn w:val="8"/>
    <w:qFormat/>
    <w:uiPriority w:val="0"/>
    <w:rPr>
      <w:sz w:val="13"/>
      <w:szCs w:val="13"/>
    </w:rPr>
  </w:style>
  <w:style w:type="character" w:customStyle="1" w:styleId="36">
    <w:name w:val="ant-tree-switcher6"/>
    <w:basedOn w:val="8"/>
    <w:qFormat/>
    <w:uiPriority w:val="0"/>
  </w:style>
  <w:style w:type="character" w:customStyle="1" w:styleId="37">
    <w:name w:val="selected"/>
    <w:basedOn w:val="8"/>
    <w:qFormat/>
    <w:uiPriority w:val="0"/>
  </w:style>
  <w:style w:type="character" w:customStyle="1" w:styleId="38">
    <w:name w:val="selected1"/>
    <w:basedOn w:val="8"/>
    <w:qFormat/>
    <w:uiPriority w:val="0"/>
  </w:style>
  <w:style w:type="character" w:customStyle="1" w:styleId="39">
    <w:name w:val="selected2"/>
    <w:basedOn w:val="8"/>
    <w:qFormat/>
    <w:uiPriority w:val="0"/>
  </w:style>
  <w:style w:type="character" w:customStyle="1" w:styleId="40">
    <w:name w:val="ant-select-tree-checkbox"/>
    <w:basedOn w:val="8"/>
    <w:qFormat/>
    <w:uiPriority w:val="0"/>
  </w:style>
  <w:style w:type="character" w:customStyle="1" w:styleId="41">
    <w:name w:val="ant-tree-switcher5"/>
    <w:basedOn w:val="8"/>
    <w:qFormat/>
    <w:uiPriority w:val="0"/>
  </w:style>
  <w:style w:type="character" w:customStyle="1" w:styleId="42">
    <w:name w:val="selected7"/>
    <w:basedOn w:val="8"/>
    <w:qFormat/>
    <w:uiPriority w:val="0"/>
  </w:style>
  <w:style w:type="character" w:customStyle="1" w:styleId="43">
    <w:name w:val="selected11"/>
    <w:basedOn w:val="8"/>
    <w:qFormat/>
    <w:uiPriority w:val="0"/>
  </w:style>
  <w:style w:type="character" w:customStyle="1" w:styleId="44">
    <w:name w:val="selected12"/>
    <w:basedOn w:val="8"/>
    <w:qFormat/>
    <w:uiPriority w:val="0"/>
  </w:style>
  <w:style w:type="character" w:customStyle="1" w:styleId="45">
    <w:name w:val="selected13"/>
    <w:basedOn w:val="8"/>
    <w:qFormat/>
    <w:uiPriority w:val="0"/>
  </w:style>
  <w:style w:type="character" w:customStyle="1" w:styleId="46">
    <w:name w:val="selected8"/>
    <w:basedOn w:val="8"/>
    <w:qFormat/>
    <w:uiPriority w:val="0"/>
  </w:style>
  <w:style w:type="character" w:customStyle="1" w:styleId="47">
    <w:name w:val="selected9"/>
    <w:basedOn w:val="8"/>
    <w:qFormat/>
    <w:uiPriority w:val="0"/>
  </w:style>
  <w:style w:type="character" w:customStyle="1" w:styleId="48">
    <w:name w:val="selected10"/>
    <w:basedOn w:val="8"/>
    <w:qFormat/>
    <w:uiPriority w:val="0"/>
  </w:style>
  <w:style w:type="character" w:customStyle="1" w:styleId="49">
    <w:name w:val="hover18"/>
    <w:basedOn w:val="8"/>
    <w:qFormat/>
    <w:uiPriority w:val="0"/>
    <w:rPr>
      <w:color w:val="009DFF"/>
    </w:rPr>
  </w:style>
  <w:style w:type="character" w:customStyle="1" w:styleId="50">
    <w:name w:val="ant-tree-checkbox5"/>
    <w:basedOn w:val="8"/>
    <w:qFormat/>
    <w:uiPriority w:val="0"/>
  </w:style>
  <w:style w:type="character" w:customStyle="1" w:styleId="51">
    <w:name w:val="ant-tree-switcher4"/>
    <w:basedOn w:val="8"/>
    <w:qFormat/>
    <w:uiPriority w:val="0"/>
  </w:style>
  <w:style w:type="character" w:customStyle="1" w:styleId="52">
    <w:name w:val="hover"/>
    <w:basedOn w:val="8"/>
    <w:qFormat/>
    <w:uiPriority w:val="0"/>
    <w:rPr>
      <w:color w:val="009DFF"/>
    </w:rPr>
  </w:style>
  <w:style w:type="character" w:customStyle="1" w:styleId="53">
    <w:name w:val="hover1"/>
    <w:basedOn w:val="8"/>
    <w:qFormat/>
    <w:uiPriority w:val="0"/>
    <w:rPr>
      <w:color w:val="009DFF"/>
    </w:rPr>
  </w:style>
  <w:style w:type="character" w:customStyle="1" w:styleId="54">
    <w:name w:val="hover15"/>
    <w:basedOn w:val="8"/>
    <w:qFormat/>
    <w:uiPriority w:val="0"/>
    <w:rPr>
      <w:color w:val="009DFF"/>
    </w:rPr>
  </w:style>
  <w:style w:type="character" w:customStyle="1" w:styleId="55">
    <w:name w:val="hover16"/>
    <w:basedOn w:val="8"/>
    <w:qFormat/>
    <w:uiPriority w:val="0"/>
    <w:rPr>
      <w:color w:val="009DFF"/>
    </w:rPr>
  </w:style>
  <w:style w:type="character" w:customStyle="1" w:styleId="56">
    <w:name w:val="ant-tree-checkbox4"/>
    <w:basedOn w:val="8"/>
    <w:qFormat/>
    <w:uiPriority w:val="0"/>
  </w:style>
  <w:style w:type="character" w:customStyle="1" w:styleId="57">
    <w:name w:val="hover17"/>
    <w:basedOn w:val="8"/>
    <w:qFormat/>
    <w:uiPriority w:val="0"/>
    <w:rPr>
      <w:color w:val="009DFF"/>
    </w:rPr>
  </w:style>
  <w:style w:type="character" w:customStyle="1" w:styleId="58">
    <w:name w:val="hover14"/>
    <w:basedOn w:val="8"/>
    <w:qFormat/>
    <w:uiPriority w:val="0"/>
    <w:rPr>
      <w:color w:val="009DFF"/>
    </w:rPr>
  </w:style>
  <w:style w:type="character" w:customStyle="1" w:styleId="59">
    <w:name w:val="hover13"/>
    <w:basedOn w:val="8"/>
    <w:qFormat/>
    <w:uiPriority w:val="0"/>
    <w:rPr>
      <w:color w:val="009DFF"/>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2.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contractReview xmlns="http://schemas.wps.cn/vas-ai-hub/contract-review">
  <reviewItems>
    <reviewItem>
      <errorID>a086dbbe-0440-4d99-bddd-ae87cd0bdbb1</errorID>
      <errorWord>免费赠阅</errorWord>
      <group>L1_Word</group>
      <groupName>字词问题</groupName>
      <ability>L2_Typo</ability>
      <abilityName>字词错误</abilityName>
      <candidateList>
        <item>赠阅</item>
      </candidateList>
      <explain/>
      <paraID>1EE33D88</paraID>
      <start>31</start>
      <end>35</end>
      <status>ignored</status>
      <modifiedWord/>
      <trackRevisions>false</trackRevisions>
    </reviewItem>
    <reviewItem>
      <errorID>baf12950-82e4-4eb3-ac4b-f7ebd192e9e5</errorID>
      <errorWord>示</errorWord>
      <group>L1_Word</group>
      <groupName>字词问题</groupName>
      <ability>L2_Typo</ability>
      <abilityName>字词错误</abilityName>
      <candidateList>
        <item>示了</item>
      </candidateList>
      <explain/>
      <paraID>517A3191</paraID>
      <start>242</start>
      <end>243</end>
      <status>ignored</status>
      <modifiedWord/>
      <trackRevisions>false</trackRevisions>
    </reviewItem>
    <reviewItem>
      <errorID>0234eab2-e1c6-4f77-9f19-19725812251f</errorID>
      <errorWord>战场之一</errorWord>
      <group>L1_Grammar</group>
      <groupName>语法问题</groupName>
      <ability>L2_Collocation</ability>
      <abilityName>搭配不当</abilityName>
      <candidateList>
        <item>战场</item>
      </candidateList>
      <explain>句子中可能存在主谓、动宾、定语中心语、状语中心语、补语中心语、关联词搭配不当等问题。</explain>
      <paraID>55AE4C38</paraID>
      <start>117</start>
      <end>121</end>
      <status>ignored</status>
      <modifiedWord/>
      <trackRevisions>false</trackRevisions>
    </reviewItem>
    <reviewItem>
      <errorID>da4b6c03-8440-4929-a920-dd8fea9f6c08</errorID>
      <errorWord>-</errorWord>
      <group>L1_Format</group>
      <groupName>格式问题</groupName>
      <ability>L2_HalfPunc_CN</ability>
      <abilityName/>
      <candidateList>
        <item>－</item>
      </candidateList>
      <explain>文本全半角错误。</explain>
      <paraID>1CA272F3</paraID>
      <start>55</start>
      <end>56</end>
      <status>ignored</status>
      <modifiedWord/>
      <trackRevisions>false</trackRevisions>
    </reviewItem>
    <reviewItem>
      <errorID>9ae4488a-2075-4527-927b-dae6c83faa51</errorID>
      <errorWord>-</errorWord>
      <group>L1_Format</group>
      <groupName>格式问题</groupName>
      <ability>L2_HalfPunc_CN</ability>
      <abilityName/>
      <candidateList>
        <item>－</item>
      </candidateList>
      <explain>文本全半角错误。</explain>
      <paraID>1CA272F3</paraID>
      <start>58</start>
      <end>59</end>
      <status>ignored</status>
      <modifiedWord/>
      <trackRevisions>false</trackRevisions>
    </reviewItem>
    <reviewItem>
      <errorID>ecbb4dd3-96c3-486d-adcc-c524f71d7eb9</errorID>
      <errorWord>-</errorWord>
      <group>L1_Format</group>
      <groupName>格式问题</groupName>
      <ability>L2_HalfPunc_CN</ability>
      <abilityName/>
      <candidateList>
        <item>－</item>
      </candidateList>
      <explain>文本全半角错误。</explain>
      <paraID>1CA272F3</paraID>
      <start>73</start>
      <end>74</end>
      <status>ignored</status>
      <modifiedWord/>
      <trackRevisions>false</trackRevisions>
    </reviewItem>
    <reviewItem>
      <errorID>8b4b17c7-7d3c-48df-bc35-6c6643a93e1f</errorID>
      <errorWord>-</errorWord>
      <group>L1_Format</group>
      <groupName>格式问题</groupName>
      <ability>L2_HalfPunc_CN</ability>
      <abilityName/>
      <candidateList>
        <item>－</item>
      </candidateList>
      <explain>文本全半角错误。</explain>
      <paraID>1CA272F3</paraID>
      <start>75</start>
      <end>76</end>
      <status>ignored</status>
      <modifiedWord/>
      <trackRevisions>false</trackRevisions>
    </reviewItem>
    <reviewItem>
      <errorID>25ec38ad-60af-4c9a-9c79-35dd4a5a1be8</errorID>
      <errorWord>-</errorWord>
      <group>L1_Format</group>
      <groupName>格式问题</groupName>
      <ability>L2_HalfPunc_CN</ability>
      <abilityName/>
      <candidateList>
        <item>－</item>
      </candidateList>
      <explain>文本全半角错误。</explain>
      <paraID>78362112</paraID>
      <start>117</start>
      <end>118</end>
      <status>ignored</status>
      <modifiedWord/>
      <trackRevisions>false</trackRevisions>
    </reviewItem>
    <reviewItem>
      <errorID>1b3c90b6-37e0-4cb4-aca0-d366f21f6036</errorID>
      <errorWord>最高法院</errorWord>
      <group>L1_Knowledge</group>
      <groupName>知识性问题</groupName>
      <ability>L2_Organization</ability>
      <abilityName>机构检查</abilityName>
      <candidateList>
        <item>最高人民法院</item>
      </candidateList>
      <explain>机关单位全简称表述错误</explain>
      <paraID>511262BE</paraID>
      <start>112</start>
      <end>116</end>
      <status>ignored</status>
      <modifiedWord/>
      <trackRevisions>false</trackRevisions>
    </reviewItem>
    <reviewItem>
      <errorID>9ecb8017-b6ea-4df8-bf67-c9c311de04ca</errorID>
      <errorWord>最高法院</errorWord>
      <group>L1_Knowledge</group>
      <groupName>知识性问题</groupName>
      <ability>L2_Organization</ability>
      <abilityName>机构检查</abilityName>
      <candidateList>
        <item>最高人民法院</item>
      </candidateList>
      <explain>机关单位全简称表述错误</explain>
      <paraID>548D62E8</paraID>
      <start>37</start>
      <end>41</end>
      <status>ignored</status>
      <modifiedWord/>
      <trackRevisions>false</trackRevisions>
    </reviewItem>
    <reviewItem>
      <errorID>d3e3f781-4f71-42c3-afc4-4bd3ba2f9671</errorID>
      <errorWord>最高法院</errorWord>
      <group>L1_Knowledge</group>
      <groupName>知识性问题</groupName>
      <ability>L2_Organization</ability>
      <abilityName>机构检查</abilityName>
      <candidateList>
        <item>最高人民法院</item>
      </candidateList>
      <explain>机关单位全简称表述错误</explain>
      <paraID>  DBB491</paraID>
      <start>12</start>
      <end>16</end>
      <status>ignored</status>
      <modifiedWord/>
      <trackRevisions>false</trackRevisions>
    </reviewItem>
    <reviewItem>
      <errorID>45ea2033-ff89-4582-aa44-7a790aa4fbdd</errorID>
      <errorWord>政治漩涡</errorWord>
      <group>L1_Word</group>
      <groupName>字词问题</groupName>
      <ability>L2_Typo</ability>
      <abilityName>字词错误</abilityName>
      <candidateList>
        <item>政治旋涡</item>
      </candidateList>
      <explain/>
      <paraID>2A958DF9</paraID>
      <start>99</start>
      <end>103</end>
      <status>ignored</status>
      <modifiedWord/>
      <trackRevisions>false</trackRevisions>
    </reviewItem>
    <reviewItem>
      <errorID>eb7fe21b-bd99-450a-aaeb-1ace03dc36f1</errorID>
      <errorWord>-</errorWord>
      <group>L1_Format</group>
      <groupName>格式问题</groupName>
      <ability>L2_HalfPunc_CN</ability>
      <abilityName/>
      <candidateList>
        <item>－</item>
      </candidateList>
      <explain>文本全半角错误。</explain>
      <paraID>4B20A2B0</paraID>
      <start>158</start>
      <end>159</end>
      <status>ignored</status>
      <modifiedWord/>
      <trackRevisions>false</trackRevisions>
    </reviewItem>
    <reviewItem>
      <errorID>edafd69e-a0f5-4440-8d33-c7cb2767f8ad</errorID>
      <errorWord>-</errorWord>
      <group>L1_Format</group>
      <groupName>格式问题</groupName>
      <ability>L2_HalfPunc_CN</ability>
      <abilityName/>
      <candidateList>
        <item>－</item>
      </candidateList>
      <explain>文本全半角错误。</explain>
      <paraID>6B2B244D</paraID>
      <start>165</start>
      <end>166</end>
      <status>ignored</status>
      <modifiedWord/>
      <trackRevisions>false</trackRevisions>
    </reviewItem>
    <reviewItem>
      <errorID>bffd36e7-29f2-4944-a171-4cf8747a2797</errorID>
      <errorWord>-</errorWord>
      <group>L1_Format</group>
      <groupName>格式问题</groupName>
      <ability>L2_HalfPunc_CN</ability>
      <abilityName/>
      <candidateList>
        <item>－</item>
      </candidateList>
      <explain>文本全半角错误。</explain>
      <paraID>6B2B244D</paraID>
      <start>168</start>
      <end>169</end>
      <status>ignored</status>
      <modifiedWord/>
      <trackRevisions>false</trackRevisions>
    </reviewItem>
    <reviewItem>
      <errorID>6bad0238-7424-4aad-b273-fccbe8a112a0</errorID>
      <errorWord>-</errorWord>
      <group>L1_Format</group>
      <groupName>格式问题</groupName>
      <ability>L2_HalfPunc_CN</ability>
      <abilityName/>
      <candidateList>
        <item>－</item>
      </candidateList>
      <explain>文本全半角错误。</explain>
      <paraID>65DDD2D2</paraID>
      <start>182</start>
      <end>183</end>
      <status>ignored</status>
      <modifiedWord/>
      <trackRevisions>false</trackRevisions>
    </reviewItem>
    <reviewItem>
      <errorID>7d36492a-f8ab-46ce-812b-c384309cf37a</errorID>
      <errorWord>-</errorWord>
      <group>L1_Format</group>
      <groupName>格式问题</groupName>
      <ability>L2_HalfPunc_CN</ability>
      <abilityName/>
      <candidateList>
        <item>－</item>
      </candidateList>
      <explain>文本全半角错误。</explain>
      <paraID>65DDD2D2</paraID>
      <start>185</start>
      <end>186</end>
      <status>ignored</status>
      <modifiedWord/>
      <trackRevisions>false</trackRevisions>
    </reviewItem>
    <reviewItem>
      <errorID>d31c981c-215e-4173-99f7-e6b3dabeb873</errorID>
      <errorWord>明</errorWord>
      <group>L1_Word</group>
      <groupName>字词问题</groupName>
      <ability>L2_Typo</ability>
      <abilityName>字词错误</abilityName>
      <candidateList>
        <item>明了</item>
      </candidateList>
      <explain/>
      <paraID>1B4C464F</paraID>
      <start>250</start>
      <end>251</end>
      <status>ignored</status>
      <modifiedWord/>
      <trackRevisions>false</trackRevisions>
    </reviewItem>
    <reviewItem>
      <errorID>17a54bed-e2a3-4181-9c68-097a5917ff76</errorID>
      <errorWord>晰</errorWord>
      <group>L1_Word</group>
      <groupName>字词问题</groupName>
      <ability>L2_Typo</ability>
      <abilityName>字词错误</abilityName>
      <candidateList>
        <item>晰地</item>
      </candidateList>
      <explain/>
      <paraID>14F68F6D</paraID>
      <start>6</start>
      <end>7</end>
      <status>ignored</status>
      <modifiedWord/>
      <trackRevisions>false</trackRevisions>
    </reviewItem>
    <reviewItem>
      <errorID>4c7618a6-910a-490a-9586-7e98b28c75bc</errorID>
      <errorWord>了</errorWord>
      <group>L1_Word</group>
      <groupName>字词问题</groupName>
      <ability>L2_Typo</ability>
      <abilityName>字词错误</abilityName>
      <candidateList>
        <item>了以</item>
      </candidateList>
      <explain/>
      <paraID>681F2ADF</paraID>
      <start>75</start>
      <end>76</end>
      <status>ignored</status>
      <modifiedWord/>
      <trackRevisions>false</trackRevisions>
    </reviewItem>
    <reviewItem>
      <errorID>f1a8b70b-ffbc-4dc7-9018-3c614210f158</errorID>
      <errorWord>清晰看到</errorWord>
      <group>L1_Word</group>
      <groupName>字词问题</groupName>
      <ability>L2_Typo</ability>
      <abilityName>字词错误</abilityName>
      <candidateList>
        <item>清晰地看到</item>
      </candidateList>
      <explain/>
      <paraID>3BB25C68</paraID>
      <start>164</start>
      <end>168</end>
      <status>ignored</status>
      <modifiedWord/>
      <trackRevisions>false</trackRevisions>
    </reviewItem>
    <reviewItem>
      <errorID>7f474fd0-b8b1-48d6-a805-b949e4763be0</errorID>
      <errorWord>正在</errorWord>
      <group>L1_Word</group>
      <groupName>字词问题</groupName>
      <ability>L2_Typo</ability>
      <abilityName>字词错误</abilityName>
      <candidateList>
        <item>在</item>
      </candidateList>
      <explain>❶〈动〉存在；生存：精神永～｜留得青山～，不怕没柴烧｜父母都～。❷〈动〉表示人或事物的位置：我今天晚上不～厂里｜你的钢笔～桌子上呢。❸〈动〉留在：～职｜～位。❹〈动〉参加（某团体）；属于（某团体）：～党｜～组织。❺〈动〉在于；决定于：事～人为｜学习好，主要～自己努力。❻“在”和“所”连用，表示强调，下面多连“不”：～所不辞｜～所不惜｜～所不计｜～所难免。</explain>
      <paraID> C86B8E0</paraID>
      <start>27</start>
      <end>29</end>
      <status>ignored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7599843-8632-4582-98f3-99b0efe48063}">
  <ds:schemaRefs/>
</ds:datastoreItem>
</file>

<file path=docProps/app.xml><?xml version="1.0" encoding="utf-8"?>
<Properties xmlns="http://schemas.openxmlformats.org/officeDocument/2006/extended-properties" xmlns:vt="http://schemas.openxmlformats.org/officeDocument/2006/docPropsVTypes">
  <Template>Normal.dotm</Template>
  <Pages>38</Pages>
  <Words>11376</Words>
  <Characters>11905</Characters>
  <Lines>1</Lines>
  <Paragraphs>1</Paragraphs>
  <TotalTime>1538</TotalTime>
  <ScaleCrop>false</ScaleCrop>
  <LinksUpToDate>false</LinksUpToDate>
  <CharactersWithSpaces>11956</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2023-12-15T03:58:00Z</dcterms:created>
  <dc:creator>admin</dc:creator>
  <cp:lastModifiedBy>左亮</cp:lastModifiedBy>
  <cp:lastPrinted>2026-05-25T00:55:50Z</cp:lastPrinted>
  <dcterms:modified xsi:type="dcterms:W3CDTF">2026-05-26T02:58:53Z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2AFE29251F2D47119EA111B2B617C6AF_13</vt:lpwstr>
  </property>
  <property fmtid="{D5CDD505-2E9C-101B-9397-08002B2CF9AE}" pid="4" name="KSOTemplateDocerSaveRecord">
    <vt:lpwstr>eyJoZGlkIjoiZjNiNGRkNzIwNDhhZDJkNTgzN2EzNjc2NjIxOGZjZjkiLCJ1c2VySWQiOiIxNzEwMjM3NzY5In0=</vt:lpwstr>
  </property>
</Properties>
</file>