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default" w:ascii="Times New Roman" w:hAnsi="Times New Roman" w:eastAsia="经典行楷简" w:cs="Times New Roman"/>
          <w:b w:val="0"/>
          <w:bCs/>
          <w:color w:val="2E75B6" w:themeColor="accent1" w:themeShade="BF"/>
          <w:kern w:val="36"/>
          <w:sz w:val="44"/>
          <w:szCs w:val="44"/>
          <w:lang w:val="en-US" w:eastAsia="zh-CN"/>
        </w:rPr>
        <w:t>4</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43</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scaled="0"/>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scaled="0"/>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scaled="0"/>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scaled="0"/>
            </w14:gradFill>
          </w14:textFill>
        </w:rPr>
        <w:t>289</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scaled="0"/>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scaled="0"/>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default" w:ascii="Times New Roman" w:hAnsi="Times New Roman" w:eastAsia="方正楷体_GBK" w:cs="Times New Roman"/>
          <w:b w:val="0"/>
          <w:bCs/>
          <w:color w:val="000000"/>
          <w:kern w:val="36"/>
          <w:sz w:val="32"/>
          <w:szCs w:val="32"/>
          <w:highlight w:val="none"/>
          <w:lang w:val="en-US" w:eastAsia="zh-CN"/>
        </w:rPr>
        <w:t>4</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10</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25</w:t>
      </w:r>
      <w:r>
        <w:rPr>
          <w:rFonts w:hint="default" w:ascii="Times New Roman" w:hAnsi="Times New Roman" w:eastAsia="方正楷体_GBK" w:cs="Times New Roman"/>
          <w:b w:val="0"/>
          <w:bCs/>
          <w:color w:val="000000"/>
          <w:kern w:val="36"/>
          <w:sz w:val="32"/>
          <w:szCs w:val="32"/>
          <w:highlight w:val="none"/>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44" w:firstLineChars="200"/>
        <w:jc w:val="left"/>
        <w:textAlignment w:val="auto"/>
        <w:rPr>
          <w:rFonts w:hint="default" w:ascii="Times New Roman" w:hAnsi="Times New Roman" w:eastAsia="方正楷体_GBK" w:cs="Times New Roman"/>
          <w:b/>
          <w:bCs w:val="0"/>
          <w:color w:val="auto"/>
          <w:spacing w:val="-6"/>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方正楷体_GBK" w:hAnsi="方正楷体_GBK" w:eastAsia="方正楷体_GBK" w:cs="方正楷体_GBK"/>
          <w:b/>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省贸促会领导出席环太湖国际商会联盟第二次联席会议</w:t>
      </w:r>
      <w:r>
        <w:rPr>
          <w:rFonts w:hint="eastAsia" w:ascii="方正楷体_GBK" w:hAnsi="方正楷体_GBK" w:eastAsia="方正楷体_GBK" w:cs="方正楷体_GBK"/>
          <w:b/>
          <w:color w:val="auto"/>
          <w:spacing w:val="-11"/>
          <w:kern w:val="36"/>
          <w:sz w:val="30"/>
          <w:szCs w:val="30"/>
          <w:lang w:val="en-US" w:eastAsia="zh-CN"/>
        </w:rPr>
        <w:t xml:space="preserve"> / </w:t>
      </w:r>
      <w:r>
        <w:rPr>
          <w:rFonts w:hint="eastAsia" w:ascii="Times New Roman" w:hAnsi="Times New Roman" w:eastAsia="方正楷体_GBK" w:cs="Times New Roman"/>
          <w:b/>
          <w:bCs w:val="0"/>
          <w:color w:val="auto"/>
          <w:spacing w:val="-11"/>
          <w:kern w:val="36"/>
          <w:sz w:val="30"/>
          <w:szCs w:val="30"/>
          <w:lang w:val="en-US" w:eastAsia="zh-CN"/>
        </w:rPr>
        <w:t>01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left="550" w:leftChars="284" w:firstLine="0" w:firstLineChars="0"/>
        <w:contextualSpacing/>
        <w:jc w:val="left"/>
        <w:textAlignment w:val="auto"/>
        <w:outlineLvl w:val="1"/>
        <w:rPr>
          <w:rFonts w:hint="eastAsia" w:ascii="方正楷体_GBK" w:hAnsi="方正楷体_GBK" w:eastAsia="方正楷体_GBK" w:cs="方正楷体_GBK"/>
          <w:b/>
          <w:color w:val="auto"/>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经贸大讲堂：企业ESG实施与报告披露 在无锡顺利举办</w:t>
      </w:r>
      <w:r>
        <w:rPr>
          <w:rFonts w:hint="eastAsia" w:ascii="方正楷体_GBK" w:hAnsi="方正楷体_GBK" w:eastAsia="方正楷体_GBK" w:cs="方正楷体_GBK"/>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02</w:t>
      </w:r>
      <w:r>
        <w:rPr>
          <w:rFonts w:hint="eastAsia" w:ascii="方正楷体_GBK" w:hAnsi="方正楷体_GBK" w:eastAsia="方正楷体_GBK" w:cs="方正楷体_GBK"/>
          <w:b/>
          <w:color w:val="auto"/>
          <w:spacing w:val="-11"/>
          <w:kern w:val="36"/>
          <w:sz w:val="30"/>
          <w:szCs w:val="30"/>
          <w:lang w:val="en-US" w:eastAsia="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left="550" w:leftChars="284" w:firstLine="0" w:firstLineChars="0"/>
        <w:contextualSpacing/>
        <w:jc w:val="left"/>
        <w:textAlignment w:val="auto"/>
        <w:outlineLvl w:val="1"/>
        <w:rPr>
          <w:rFonts w:hint="eastAsia" w:ascii="方正楷体_GBK" w:hAnsi="方正楷体_GBK" w:eastAsia="方正楷体_GBK" w:cs="方正楷体_GBK"/>
          <w:b/>
          <w:color w:val="auto"/>
          <w:spacing w:val="-11"/>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第十届中德农业周在盐城开幕</w:t>
      </w:r>
      <w:r>
        <w:rPr>
          <w:rFonts w:hint="eastAsia" w:ascii="方正楷体_GBK" w:hAnsi="方正楷体_GBK" w:eastAsia="方正楷体_GBK" w:cs="方正楷体_GBK"/>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03</w:t>
      </w:r>
      <w:r>
        <w:rPr>
          <w:rFonts w:hint="eastAsia" w:ascii="方正楷体_GBK" w:hAnsi="方正楷体_GBK" w:eastAsia="方正楷体_GBK" w:cs="方正楷体_GBK"/>
          <w:b/>
          <w:color w:val="auto"/>
          <w:spacing w:val="-11"/>
          <w:kern w:val="36"/>
          <w:sz w:val="30"/>
          <w:szCs w:val="30"/>
          <w:lang w:val="en-US" w:eastAsia="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left="550" w:leftChars="284" w:firstLine="0" w:firstLineChars="0"/>
        <w:contextualSpacing/>
        <w:jc w:val="left"/>
        <w:textAlignment w:val="auto"/>
        <w:outlineLvl w:val="1"/>
        <w:rPr>
          <w:rFonts w:hint="eastAsia" w:ascii="方正楷体_GBK" w:hAnsi="方正楷体_GBK" w:eastAsia="方正楷体_GBK" w:cs="方正楷体_GBK"/>
          <w:b/>
          <w:color w:val="auto"/>
          <w:spacing w:val="-11"/>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数字贸易高质量发展讲座在泰州成功举办</w:t>
      </w:r>
      <w:r>
        <w:rPr>
          <w:rFonts w:hint="eastAsia" w:ascii="方正楷体_GBK" w:hAnsi="方正楷体_GBK" w:eastAsia="方正楷体_GBK" w:cs="方正楷体_GBK"/>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05</w:t>
      </w:r>
      <w:r>
        <w:rPr>
          <w:rFonts w:hint="eastAsia" w:ascii="方正楷体_GBK" w:hAnsi="方正楷体_GBK" w:eastAsia="方正楷体_GBK" w:cs="方正楷体_GBK"/>
          <w:b/>
          <w:color w:val="auto"/>
          <w:spacing w:val="-11"/>
          <w:kern w:val="36"/>
          <w:sz w:val="30"/>
          <w:szCs w:val="30"/>
          <w:lang w:val="en-US" w:eastAsia="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left="550" w:leftChars="284" w:firstLine="0" w:firstLineChars="0"/>
        <w:contextualSpacing/>
        <w:jc w:val="left"/>
        <w:textAlignment w:val="auto"/>
        <w:outlineLvl w:val="1"/>
        <w:rPr>
          <w:rFonts w:hint="eastAsia" w:ascii="方正楷体_GBK" w:hAnsi="方正楷体_GBK" w:eastAsia="方正楷体_GBK" w:cs="方正楷体_GBK"/>
          <w:b/>
          <w:color w:val="auto"/>
          <w:spacing w:val="-11"/>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第136届广交会一期落幕 泰州分团成交超2700万美元</w:t>
      </w:r>
      <w:r>
        <w:rPr>
          <w:rFonts w:hint="eastAsia" w:ascii="方正楷体_GBK" w:hAnsi="方正楷体_GBK" w:eastAsia="方正楷体_GBK" w:cs="方正楷体_GBK"/>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06</w:t>
      </w:r>
      <w:r>
        <w:rPr>
          <w:rFonts w:hint="eastAsia" w:ascii="方正楷体_GBK" w:hAnsi="方正楷体_GBK" w:eastAsia="方正楷体_GBK" w:cs="方正楷体_GBK"/>
          <w:b/>
          <w:color w:val="auto"/>
          <w:spacing w:val="-11"/>
          <w:kern w:val="36"/>
          <w:sz w:val="30"/>
          <w:szCs w:val="30"/>
          <w:lang w:val="en-US" w:eastAsia="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left="550" w:leftChars="284" w:firstLine="0" w:firstLineChars="0"/>
        <w:contextualSpacing/>
        <w:jc w:val="left"/>
        <w:textAlignment w:val="auto"/>
        <w:outlineLvl w:val="1"/>
        <w:rPr>
          <w:rFonts w:hint="eastAsia" w:ascii="方正楷体_GBK" w:hAnsi="方正楷体_GBK" w:eastAsia="方正楷体_GBK" w:cs="方正楷体_GBK"/>
          <w:b/>
          <w:color w:val="auto"/>
          <w:spacing w:val="-11"/>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第136届广交会二期开幕 泰州企业展台洽谈询价热情高涨</w:t>
      </w:r>
      <w:r>
        <w:rPr>
          <w:rFonts w:hint="eastAsia" w:ascii="方正楷体_GBK" w:hAnsi="方正楷体_GBK" w:eastAsia="方正楷体_GBK" w:cs="方正楷体_GBK"/>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08</w:t>
      </w:r>
      <w:r>
        <w:rPr>
          <w:rFonts w:hint="eastAsia" w:ascii="方正楷体_GBK" w:hAnsi="方正楷体_GBK" w:eastAsia="方正楷体_GBK" w:cs="方正楷体_GBK"/>
          <w:b/>
          <w:color w:val="auto"/>
          <w:spacing w:val="-11"/>
          <w:kern w:val="36"/>
          <w:sz w:val="30"/>
          <w:szCs w:val="30"/>
          <w:lang w:val="en-US" w:eastAsia="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bookmarkStart w:id="0" w:name="_GoBack"/>
      <w:bookmarkEnd w:id="0"/>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default" w:ascii="Times New Roman" w:hAnsi="Times New Roman" w:eastAsia="方正楷体_GBK" w:cs="Times New Roman"/>
          <w:b/>
          <w:color w:val="auto"/>
          <w:spacing w:val="-17"/>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焦点科技入选2024中国互联网综合实力前百家企业</w:t>
      </w:r>
      <w:r>
        <w:rPr>
          <w:rFonts w:hint="eastAsia" w:ascii="Times New Roman" w:hAnsi="Times New Roman" w:eastAsia="方正楷体_GBK" w:cs="Times New Roman"/>
          <w:b/>
          <w:color w:val="auto"/>
          <w:spacing w:val="-17"/>
          <w:kern w:val="36"/>
          <w:sz w:val="30"/>
          <w:szCs w:val="30"/>
          <w:lang w:val="en-US" w:eastAsia="zh-CN"/>
        </w:rPr>
        <w:t xml:space="preserve"> / 10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44" w:firstLineChars="200"/>
        <w:contextualSpacing/>
        <w:textAlignment w:val="auto"/>
        <w:outlineLvl w:val="1"/>
        <w:rPr>
          <w:rFonts w:hint="default" w:ascii="Times New Roman" w:hAnsi="Times New Roman" w:eastAsia="方正楷体_GBK" w:cs="Times New Roman"/>
          <w:b/>
          <w:color w:val="auto"/>
          <w:spacing w:val="-17"/>
          <w:kern w:val="36"/>
          <w:sz w:val="30"/>
          <w:szCs w:val="30"/>
          <w:lang w:val="en-US" w:eastAsia="zh-CN"/>
        </w:rPr>
      </w:pPr>
      <w:r>
        <w:rPr>
          <w:rFonts w:hint="eastAsia" w:ascii="Times New Roman" w:hAnsi="Times New Roman" w:eastAsia="方正楷体_GBK" w:cs="Times New Roman"/>
          <w:b/>
          <w:color w:val="auto"/>
          <w:spacing w:val="-6"/>
          <w:kern w:val="36"/>
          <w:sz w:val="30"/>
          <w:szCs w:val="30"/>
          <w:lang w:val="en-US" w:eastAsia="zh-CN"/>
        </w:rPr>
        <w:t>洋河股份荣获“2023中国酒业ESG示范企业”</w:t>
      </w:r>
      <w:r>
        <w:rPr>
          <w:rFonts w:hint="eastAsia" w:ascii="Times New Roman" w:hAnsi="Times New Roman" w:eastAsia="方正楷体_GBK" w:cs="Times New Roman"/>
          <w:b/>
          <w:color w:val="auto"/>
          <w:spacing w:val="0"/>
          <w:kern w:val="36"/>
          <w:sz w:val="30"/>
          <w:szCs w:val="30"/>
          <w:lang w:val="en-US" w:eastAsia="zh-CN"/>
        </w:rPr>
        <w:t xml:space="preserve"> / 11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550" w:leftChars="284" w:firstLine="0" w:firstLineChars="0"/>
        <w:contextualSpacing/>
        <w:textAlignment w:val="auto"/>
        <w:outlineLvl w:val="1"/>
        <w:rPr>
          <w:rFonts w:hint="default" w:ascii="Times New Roman" w:hAnsi="Times New Roman" w:eastAsia="方正楷体_GBK" w:cs="Times New Roman"/>
          <w:b/>
          <w:color w:val="auto"/>
          <w:spacing w:val="-17"/>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default" w:ascii="Times New Roman" w:hAnsi="Times New Roman" w:eastAsia="方正楷体_GBK" w:cs="Times New Roman"/>
          <w:b/>
          <w:color w:val="auto"/>
          <w:spacing w:val="0"/>
          <w:kern w:val="36"/>
          <w:sz w:val="30"/>
          <w:szCs w:val="30"/>
          <w:lang w:val="en-US" w:eastAsia="zh-CN"/>
        </w:rPr>
        <w:t>苏豪爱涛文化承建“江苏·人民代表大会制度展”</w:t>
      </w:r>
      <w:r>
        <w:rPr>
          <w:rFonts w:hint="eastAsia" w:ascii="Times New Roman" w:hAnsi="Times New Roman" w:eastAsia="方正楷体_GBK" w:cs="Times New Roman"/>
          <w:b/>
          <w:color w:val="auto"/>
          <w:spacing w:val="-17"/>
          <w:kern w:val="36"/>
          <w:sz w:val="30"/>
          <w:szCs w:val="30"/>
          <w:lang w:val="en-US" w:eastAsia="zh-CN"/>
        </w:rPr>
        <w:t xml:space="preserve"> / 12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bCs/>
          <w:color w:val="FF0000"/>
          <w:sz w:val="96"/>
          <w:szCs w:val="96"/>
          <w:lang w:val="en-US" w:eastAsia="zh-CN"/>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600" w:lineRule="exact"/>
        <w:ind w:firstLine="0" w:firstLineChars="0"/>
        <w:contextualSpacing/>
        <w:jc w:val="center"/>
        <w:textAlignment w:val="auto"/>
        <w:outlineLvl w:val="1"/>
        <w:rPr>
          <w:rFonts w:hint="eastAsia" w:ascii="Times New Roman" w:hAnsi="Times New Roman" w:eastAsia="经典行楷简" w:cs="Times New Roman"/>
          <w:color w:val="2E75B6" w:themeColor="accent1" w:themeShade="BF"/>
          <w:spacing w:val="-20"/>
          <w:kern w:val="2"/>
          <w:sz w:val="52"/>
          <w:szCs w:val="52"/>
          <w:lang w:val="en-US" w:eastAsia="zh-CN" w:bidi="ar-SA"/>
        </w:rPr>
      </w:pPr>
      <w:r>
        <w:rPr>
          <w:rFonts w:hint="eastAsia" w:ascii="Times New Roman" w:hAnsi="Times New Roman" w:eastAsia="经典行楷简" w:cs="Times New Roman"/>
          <w:color w:val="2E75B6" w:themeColor="accent1" w:themeShade="BF"/>
          <w:spacing w:val="-20"/>
          <w:kern w:val="2"/>
          <w:sz w:val="52"/>
          <w:szCs w:val="52"/>
          <w:lang w:val="en-US" w:eastAsia="zh-CN" w:bidi="ar-SA"/>
        </w:rPr>
        <w:t>省贸促会领导出席环太湖</w:t>
      </w:r>
    </w:p>
    <w:p>
      <w:pPr>
        <w:keepNext w:val="0"/>
        <w:keepLines w:val="0"/>
        <w:pageBreakBefore w:val="0"/>
        <w:widowControl/>
        <w:shd w:val="clear" w:color="auto" w:fill="FFFFFF"/>
        <w:kinsoku/>
        <w:wordWrap/>
        <w:overflowPunct/>
        <w:topLinePunct w:val="0"/>
        <w:autoSpaceDE/>
        <w:autoSpaceDN/>
        <w:bidi w:val="0"/>
        <w:adjustRightInd/>
        <w:snapToGrid/>
        <w:spacing w:after="210" w:line="600" w:lineRule="exact"/>
        <w:ind w:firstLine="0" w:firstLineChars="0"/>
        <w:contextualSpacing/>
        <w:jc w:val="center"/>
        <w:textAlignment w:val="auto"/>
        <w:outlineLvl w:val="1"/>
        <w:rPr>
          <w:rFonts w:hint="eastAsia" w:ascii="Times New Roman" w:hAnsi="Times New Roman" w:eastAsia="经典行楷简" w:cs="Times New Roman"/>
          <w:color w:val="2E75B6" w:themeColor="accent1" w:themeShade="BF"/>
          <w:spacing w:val="-11"/>
          <w:kern w:val="2"/>
          <w:sz w:val="52"/>
          <w:szCs w:val="52"/>
          <w:lang w:val="en-US" w:eastAsia="zh-CN" w:bidi="ar-SA"/>
        </w:rPr>
      </w:pPr>
      <w:r>
        <w:rPr>
          <w:rFonts w:hint="eastAsia" w:ascii="Times New Roman" w:hAnsi="Times New Roman" w:eastAsia="经典行楷简" w:cs="Times New Roman"/>
          <w:color w:val="2E75B6" w:themeColor="accent1" w:themeShade="BF"/>
          <w:spacing w:val="-20"/>
          <w:kern w:val="2"/>
          <w:sz w:val="52"/>
          <w:szCs w:val="52"/>
          <w:lang w:val="en-US" w:eastAsia="zh-CN" w:bidi="ar-SA"/>
        </w:rPr>
        <w:t>国际商会联盟第二次联席会议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10月17日下午，省贸促会（国际商会）副会长丛苏峰应邀出席在无锡市召开的环太湖国际商会联盟第二次联席会议并作总结发言。</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会议听取联盟发起成立以来的工作情况汇报，审议通过《环太湖国际商会联盟章程》，并签署《环太湖国际商会联盟展会战略合作协议》。联盟各成员单位、部分会员企业围绕企业国际化经营进行经验分享与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丛苏峰在发言中表示，太湖流域是长三角区域一体化发展的关键地区，希望各成员单位充分发挥环太湖国际商会联盟的平台作用，进一步加强沟通交流，实现资源信息互享、政策互通，活动互动；进一步推动环太湖区域内企业间的合作，促进产业链、供应链、价值链的深度融合，营造优势互补、共同发展、互利共赢的良好商业生态；进一步加强对外联络，推动联盟与国内外政府机构和商协会组织建立常态化沟通合作机制，提升联盟的影响力和知名度，帮助更多区域内企业走出太湖、走向世界。江苏省贸促会（国际商会）将继续支持环太湖国际商会联盟的建设发展，共同为环太湖地区经济的繁荣发展贡献更大力量。</w:t>
      </w:r>
      <w:r>
        <w:rPr>
          <w:rFonts w:hint="eastAsia" w:asciiTheme="minorEastAsia" w:hAnsiTheme="minorEastAsia" w:cstheme="minorEastAsia"/>
          <w:color w:val="auto"/>
          <w:spacing w:val="0"/>
          <w:kern w:val="2"/>
          <w:sz w:val="32"/>
          <w:szCs w:val="32"/>
          <w:lang w:val="en-US" w:eastAsia="zh-CN" w:bidi="ar-SA"/>
        </w:rPr>
        <w:t xml:space="preserve">        </w:t>
      </w:r>
      <w:r>
        <w:rPr>
          <w:rFonts w:hint="eastAsia" w:ascii="方正楷体_GBK" w:hAnsi="方正楷体_GBK" w:eastAsia="方正楷体_GBK" w:cs="方正楷体_GBK"/>
          <w:b/>
          <w:bCs/>
          <w:color w:val="FF0000"/>
          <w:spacing w:val="0"/>
          <w:kern w:val="2"/>
          <w:sz w:val="32"/>
          <w:szCs w:val="32"/>
          <w:lang w:val="en-US" w:eastAsia="zh-CN" w:bidi="ar-SA"/>
        </w:rPr>
        <w:t>（国际商会秘书处）</w:t>
      </w:r>
    </w:p>
    <w:p>
      <w:pPr>
        <w:keepNext w:val="0"/>
        <w:keepLines w:val="0"/>
        <w:pageBreakBefore w:val="0"/>
        <w:widowControl/>
        <w:shd w:val="clear" w:color="auto" w:fill="FFFFFF"/>
        <w:kinsoku/>
        <w:wordWrap/>
        <w:overflowPunct/>
        <w:topLinePunct w:val="0"/>
        <w:autoSpaceDE/>
        <w:autoSpaceDN/>
        <w:bidi w:val="0"/>
        <w:adjustRightInd/>
        <w:snapToGrid/>
        <w:spacing w:after="210" w:line="600" w:lineRule="exact"/>
        <w:contextualSpacing/>
        <w:jc w:val="center"/>
        <w:textAlignment w:val="auto"/>
        <w:outlineLvl w:val="1"/>
        <w:rPr>
          <w:rFonts w:hint="eastAsia" w:ascii="Times New Roman" w:hAnsi="Times New Roman" w:eastAsia="经典行楷简" w:cs="Times New Roman"/>
          <w:color w:val="2E75B6" w:themeColor="accent1" w:themeShade="BF"/>
          <w:spacing w:val="-20"/>
          <w:kern w:val="2"/>
          <w:sz w:val="52"/>
          <w:szCs w:val="52"/>
          <w:lang w:val="en-US" w:eastAsia="zh-CN" w:bidi="ar-SA"/>
        </w:rPr>
      </w:pPr>
      <w:r>
        <w:rPr>
          <w:rFonts w:hint="eastAsia" w:ascii="Times New Roman" w:hAnsi="Times New Roman" w:eastAsia="经典行楷简" w:cs="Times New Roman"/>
          <w:color w:val="2E75B6" w:themeColor="accent1" w:themeShade="BF"/>
          <w:spacing w:val="-20"/>
          <w:kern w:val="2"/>
          <w:sz w:val="52"/>
          <w:szCs w:val="52"/>
          <w:lang w:val="en-US" w:eastAsia="zh-CN" w:bidi="ar-SA"/>
        </w:rPr>
        <w:t>经贸大讲堂：企业ESG实施与报告披露</w:t>
      </w:r>
    </w:p>
    <w:p>
      <w:pPr>
        <w:keepNext w:val="0"/>
        <w:keepLines w:val="0"/>
        <w:pageBreakBefore w:val="0"/>
        <w:widowControl/>
        <w:shd w:val="clear" w:color="auto" w:fill="FFFFFF"/>
        <w:kinsoku/>
        <w:wordWrap/>
        <w:overflowPunct/>
        <w:topLinePunct w:val="0"/>
        <w:autoSpaceDE/>
        <w:autoSpaceDN/>
        <w:bidi w:val="0"/>
        <w:adjustRightInd/>
        <w:snapToGrid/>
        <w:spacing w:after="210" w:line="600" w:lineRule="exact"/>
        <w:contextualSpacing/>
        <w:jc w:val="center"/>
        <w:textAlignment w:val="auto"/>
        <w:outlineLvl w:val="1"/>
        <w:rPr>
          <w:rFonts w:hint="eastAsia" w:asciiTheme="minorEastAsia" w:hAnsiTheme="minorEastAsia" w:eastAsiaTheme="minorEastAsia" w:cstheme="minorEastAsia"/>
          <w:color w:val="auto"/>
          <w:spacing w:val="-20"/>
          <w:kern w:val="2"/>
          <w:sz w:val="32"/>
          <w:szCs w:val="32"/>
          <w:lang w:val="en-US" w:eastAsia="zh-CN" w:bidi="ar-SA"/>
        </w:rPr>
      </w:pPr>
      <w:r>
        <w:rPr>
          <w:rFonts w:hint="eastAsia" w:ascii="Times New Roman" w:hAnsi="Times New Roman" w:eastAsia="经典行楷简" w:cs="Times New Roman"/>
          <w:color w:val="2E75B6" w:themeColor="accent1" w:themeShade="BF"/>
          <w:spacing w:val="-20"/>
          <w:kern w:val="2"/>
          <w:sz w:val="52"/>
          <w:szCs w:val="52"/>
          <w:lang w:val="en-US" w:eastAsia="zh-CN" w:bidi="ar-SA"/>
        </w:rPr>
        <w:t>在无锡顺利举办</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随着社会对企业可持续性和社会责任的关注度不断提高，企业需要更加透明地披露其环境、社会和治理（ESG）方面的信息，为帮助企业全面了解ESG信息披露的全流程，近日，由我会主办的经贸大讲堂：企业ESG实施与报告披露顺利举行，共吸引了线上线下200余人次收看了本期讲座。</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微伍拾(上海)科技有限公司市场与咨询部总裁刘茗为大家解读了什么是ESG、ESG披露报告如何实操等内容。随后，参会人员围绕ESG热门话题展开了热烈讨论与交流。与会者纷纷表示，通过此次大讲堂，不仅加深了对ESG理念的理解，还获得了实际操作中的宝贵经验，为各自企业在可持续发展道路上的探索提供了新思路。</w:t>
      </w:r>
      <w:r>
        <w:rPr>
          <w:rFonts w:hint="eastAsia" w:asciiTheme="minorEastAsia" w:hAnsiTheme="minorEastAsia" w:cstheme="minorEastAsia"/>
          <w:color w:val="auto"/>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776" w:firstLineChars="19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（无锡贸促会）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600" w:lineRule="exact"/>
        <w:contextualSpacing/>
        <w:jc w:val="center"/>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第十届中德农业周在盐城开幕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10月21日上午，第十届中德农业周在盐城开幕。农业农村部党组成员李敬辉，副省长夏心旻，德国联邦食品和农业部国务秘书西尔维娅·本德尔，德国驻华大使傅融，省农业农村厅厅长季辉，省政府副秘书长刘建，中国工程院院士沈其荣，盐城市委副书记吴炜等出席活动。农业农村部国际合作司司长隋鹏飞主持开幕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中德农业周是中德两国农业合作的品牌项目，本届活动以“中德农业合作十年共筑可持续未来”为主题，设置开幕式、技术培训、实地考察等系列活动，组织专家、学者、商协会、企业家围绕“农业可持续发展”开展多方位多层次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夏心旻说，德国是江苏在欧洲最大的贸易伙伴，与江苏农业合作势头良好。当前，我们正按照习近平主席的重要指示，着力推动农业现代化走在前，努力打造发展新质生产力的重要阵地。期望以此次活动举办为契机，进一步深化江苏与德国在农业领域的合作，交流借鉴精准农业、智能农业、数字农业、生态农业等做法经验，在农业投入品、农机装备、农产品精深加工等方面开拓更加广阔的合作空间。</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李敬辉在致辞中说，中德建立全方位战略伙伴关系十年来，农业合作机制不断完善，经贸合作稳步发展，科技协作多点开花，中德农业中心已成为中欧农业务实合作有影响力的重要载体和平台。中方愿与德方深化互利互信，拓展在乡村建设、科技创新等方面合作交流，发挥中德农业中心作用，共同为全球粮食安全和可持续发展做出积极贡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西尔维娅·本德尔对活动的成功举办表示祝贺，她说，德国与中国在农业领域始终保持紧密合作关系，中国许多农业创新取得的成绩值得德国学习借鉴。当前面临的农业发展全球挑战，需要中国和德国共同努力，为农业可持续发展创造更多的机遇。希望双方进一步加强国际合作，广泛开展各层次对话交流，携手为实现全球农业健康发展贡献更多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傅融表示，中德农业周活动旨在进一步激发德国和中国的创新潜力，更好促进中德两国间农业合作。中德农业间的合作交流，不仅是为了解决紧急粮食需求问题，更为确保未来大家都能够享受到更可持续的农业资源。共同面对和解决全球挑战，需要我们携起手来推广可持续的农业做法，不仅让中德两国受益，更要为全球发展做出贡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吴炜对与会嘉宾的到来表示欢迎，他说，德国是盐城在欧洲最重要的贸易合作国之一，许多著名德企相继落户盐城。我们希望以此为新契机，全力助推中德农业投资与贸易加速发展，彼此共享农业科技创新优势、农业资源优势、产品品质和优良生态优势，深化技术合作、产业合作和品牌合作，共同打造中德产业品牌建设“盐城样板”。</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在盐期间，夏心旻还深入高标准农田项目和秋粮生产现场调研考察。</w:t>
      </w:r>
      <w:r>
        <w:rPr>
          <w:rFonts w:hint="eastAsia" w:asciiTheme="minorEastAsia" w:hAnsiTheme="minorEastAsia" w:cstheme="minorEastAsia"/>
          <w:color w:val="auto"/>
          <w:spacing w:val="0"/>
          <w:kern w:val="2"/>
          <w:sz w:val="32"/>
          <w:szCs w:val="32"/>
          <w:lang w:val="en-US" w:eastAsia="zh-CN" w:bidi="ar-SA"/>
        </w:rPr>
        <w:t xml:space="preserve">                         </w:t>
      </w:r>
      <w:r>
        <w:rPr>
          <w:rFonts w:hint="eastAsia" w:ascii="方正楷体_GBK" w:hAnsi="方正楷体_GBK" w:eastAsia="方正楷体_GBK" w:cs="方正楷体_GBK"/>
          <w:b/>
          <w:bCs/>
          <w:color w:val="FF0000"/>
          <w:spacing w:val="0"/>
          <w:kern w:val="2"/>
          <w:sz w:val="32"/>
          <w:szCs w:val="32"/>
          <w:lang w:val="en-US" w:eastAsia="zh-CN" w:bidi="ar-SA"/>
        </w:rPr>
        <w:t>（盐城贸促会）</w:t>
      </w:r>
    </w:p>
    <w:p>
      <w:pPr>
        <w:keepNext w:val="0"/>
        <w:keepLines w:val="0"/>
        <w:pageBreakBefore w:val="0"/>
        <w:widowControl/>
        <w:shd w:val="clear" w:color="auto" w:fill="FFFFFF"/>
        <w:kinsoku/>
        <w:wordWrap/>
        <w:overflowPunct/>
        <w:topLinePunct w:val="0"/>
        <w:autoSpaceDE/>
        <w:autoSpaceDN/>
        <w:bidi w:val="0"/>
        <w:adjustRightInd/>
        <w:snapToGrid/>
        <w:spacing w:after="210" w:line="600" w:lineRule="exact"/>
        <w:contextualSpacing/>
        <w:jc w:val="center"/>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imes New Roman" w:hAnsi="Times New Roman" w:eastAsia="经典行楷简" w:cs="Times New Roman"/>
          <w:color w:val="2E75B6" w:themeColor="accent1" w:themeShade="BF"/>
          <w:spacing w:val="-62"/>
          <w:kern w:val="2"/>
          <w:sz w:val="52"/>
          <w:szCs w:val="52"/>
          <w:lang w:val="en-US" w:eastAsia="zh-CN" w:bidi="ar-SA"/>
        </w:rPr>
        <w:t>数字贸易高质量发展讲座在泰州成功举办</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为帮助企业深入了解知识产权保护相关政策，充分把握数字贸易发展机遇，拓展深耕国际市场，10月22日，泰州市商务局、贸促会联合举办数字贸易高质量发展讲座，近30家外经贸企业参加了此次活动。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活动中，泰州市知识产权保护中心叶平主任以数据知识产权保护为主题，就数据知识产权发展趋势、江苏和泰州数据知识产权发展和保护现状、发展与保护知识产权积极意义等方面进行了详细介绍；鼎韬产业研究院齐海涛院长为企业深入分析数字技术发展对货物和服务贸易的影响，以及数字贸易在全球和中国的最新进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本次活动现场气氛热烈、互动频繁，宣讲内容丰富，深受企业欢迎。加强知识产权保护，大力发展数字贸易，不仅是促进企业创新、维护企业合法权益的内在需求，也是培育和发展新质生产力、构建开放型经济新体制的重要支撑。市商务局、贸促会将认真研究借鉴本次讲座的知识内容，奋力开创数字贸易、跨境电商和知识产权保护新局面。</w:t>
      </w:r>
      <w:r>
        <w:rPr>
          <w:rFonts w:hint="eastAsia" w:asciiTheme="minorEastAsia" w:hAnsiTheme="minorEastAsia" w:cstheme="minorEastAsia"/>
          <w:color w:val="auto"/>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（泰州贸促会）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heme="minorEastAsia" w:hAnsiTheme="minorEastAsia" w:eastAsiaTheme="minorEastAsia" w:cstheme="minorEastAsia"/>
          <w:color w:val="auto"/>
          <w:spacing w:val="-79"/>
          <w:kern w:val="2"/>
          <w:sz w:val="32"/>
          <w:szCs w:val="32"/>
          <w:lang w:val="en-US" w:eastAsia="zh-CN" w:bidi="ar-SA"/>
        </w:rPr>
      </w:pPr>
      <w:r>
        <w:rPr>
          <w:rFonts w:hint="eastAsia" w:ascii="Times New Roman" w:hAnsi="Times New Roman" w:eastAsia="经典行楷简" w:cs="Times New Roman"/>
          <w:color w:val="2E75B6" w:themeColor="accent1" w:themeShade="BF"/>
          <w:spacing w:val="-79"/>
          <w:kern w:val="2"/>
          <w:sz w:val="52"/>
          <w:szCs w:val="52"/>
          <w:lang w:val="en-US" w:eastAsia="zh-CN" w:bidi="ar-SA"/>
        </w:rPr>
        <w:t>第136届广交会一期落幕 泰州分团成交超2700万美元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10月19日，第136届广交会一期落下帷幕。本期展览以家用电器、五金、机械、摩托车、新能源产品为主，泰州共有67家企业参展，拥有110个展位，先后接待世界各地的采购商近3000人次，累计成交额超2700万美元。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本届广交会，泰州市参展企业纷纷亮出自己的“王牌”产品，积极寻觅新商机、了解新趋势。</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顺达模具科技有限公司新研发了一款汽车显示屏背板，克服了压铸产品充填行程长、易变形的难点，在产品结构长度上再一次有了新的突破；兴化市凯普特动力机械有限公司针对欧美等市场需求，更新了部分产品的外观设计，使得产品更加新颖的同时，增加了机器的使用寿命，此次广交会更是重点推出了变频系列产品，体积小巧，节能环保；澎阳泵业泰州有限公司通过加大新能源技术研发力度，开发了更加环保、高效、可持续的新型能源技术，此次参加展会的太阳能提升泵系统就是该公司在新能源领域绿色创新的成果之一……精心布置的展位吸引着来自全球各地的采购商驻足观看、洽谈，新技术产品集中亮相广交会，彰显出“泰州制造”的强大实力。</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广交会不仅是一个展示和销售的平台，更是一个学习和交流的机会。通过与买家的直接对话，我们能够更准确地把握市场需求，调整产品策略。未来，我们希望能在广交会上进一步提升品牌影响力，扩大市场份额。提前做好充分准备，包括市场调研、产品定位、营销策略等，以便更好地利用这一国际平台。”江苏神驰机电有限公司相关负责人介绍。本届广交会，该公司先后接待了来自波兰、墨西哥、塞尔维亚、巴基斯坦、德国等不同国家的二十几位客户，新研发的四轮万向轮草坪机，锂电滚草机，自主品牌SENCI系列草坪机赢得了客户的青睐，成交金额超过100万美金，参展再创佳绩。</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广交会二期即将开始。泰州市贸促会将继续强化服务与保障，做好展会期间各项工作，全力以赴助力企业签订单、拓市场。</w:t>
      </w:r>
      <w:r>
        <w:rPr>
          <w:rFonts w:hint="eastAsia" w:asciiTheme="minorEastAsia" w:hAnsiTheme="minorEastAsia" w:cstheme="minorEastAsia"/>
          <w:color w:val="auto"/>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（泰州贸促会）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6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 xml:space="preserve">第136届广交会二期开幕 </w:t>
      </w:r>
    </w:p>
    <w:p>
      <w:pPr>
        <w:keepNext w:val="0"/>
        <w:keepLines w:val="0"/>
        <w:pageBreakBefore w:val="0"/>
        <w:widowControl/>
        <w:shd w:val="clear" w:color="auto" w:fill="FFFFFF"/>
        <w:kinsoku/>
        <w:wordWrap/>
        <w:overflowPunct/>
        <w:topLinePunct w:val="0"/>
        <w:autoSpaceDE/>
        <w:autoSpaceDN/>
        <w:bidi w:val="0"/>
        <w:adjustRightInd/>
        <w:snapToGrid/>
        <w:spacing w:after="210" w:line="600" w:lineRule="exact"/>
        <w:contextualSpacing/>
        <w:jc w:val="center"/>
        <w:textAlignment w:val="auto"/>
        <w:outlineLvl w:val="1"/>
        <w:rPr>
          <w:rFonts w:hint="eastAsia" w:ascii="Times New Roman" w:hAnsi="Times New Roman" w:eastAsia="经典行楷简" w:cs="Times New Roman"/>
          <w:color w:val="2E75B6" w:themeColor="accent1" w:themeShade="BF"/>
          <w:spacing w:val="-57"/>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泰州企业展台洽谈询价热情高涨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10月23日，第136届中国进出口商品交易会（简称“广交会”）二期开幕，泰州市共有40家企业参展，共53个展位，主要展品包括建筑及装饰材料、家居用品、节日用品、礼品及赠品、家具、餐厨用具、家居装饰品、卫浴设备、园林用品等。二期首日，泰州企业先后接待采购商440余人次，获得订单80余笔，成交金额（含意向）约230万美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泰州海达塑胶包装有限公司专业生产食品级软包装袋，本届广交会获得品牌展位，携旗下品牌“好易得”系列产品亮相二期，4个推广展位展示了各种有色单筋、宽筋、双筋及双筋插底、双筋响骨自封袋，注色贴链袋、插底贴链袋及有声贴链袋。企业负责人表示：“不仅许多老客户对我们的产品表达了满意的意向，许多新客户也提出了合作愿景。”开展首日，海达塑胶展位就与欧美、日本、东南亚等国的客户进行了深入的沟通，首日到访客商19人次，达成成交金额（含意向）18.8万美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泰州誉领金属制品有限公司把广交会作为企业拓展客户的主战场，整装出新的不锈钢扶手产品持续吸引客商眼球。誉领金属通过日常不断在“朋友圈”发布小视频展示企业最新产品，积累了一部分潜在客户，此次广交会国外客商络绎不绝，不断有客商驻足欣赏，现场洽谈询价热情高涨。摊位负责人反映，波兰一客商继上届交易会的首次接触后，这届又在交易现场签下了40万美元的室内装潢订单，企业的出口业务可望再次有新突破。</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泰州市中盛玻纤制品有限公司专注于灭火毯、玻璃纤维布、焊接毯、防火布等高性能产品的研发、生产、销售，为备战此次广交会，拿出了“看家产品”--BSI（英国标准协会）认证的灭火毯，展示了其在火灾防护领域的创新成果和技术实力。该灭火毯采用高性能的玻璃纤维材料，具有耐高温和抗燃烧性能，在火灾发生时，使用者可以迅速将灭火毯覆盖在火源上，有效切断氧气，迅速扑灭火焰。首日中盛玻纤制品展位询价客户达30余人次，意向客户3家，签订意向成交额10万美元。中盛玻纤制品希望通过此次广交会，在赢得客户最大满意度的基础上，推动火灾安全意识的普及，希望这些产品不仅能够提升人们的安全意识，也为各行业的安全管理提供切实可行的解决方案，携手各界共同建设安全的生活和工作环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二期首日，泰州市贸促会赴各企业展位走访检查，详细了解企业首日参展情况，指导企业规范使用展位、做好知识产权保护和贸易纠纷处理，保障企业顺利参展。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3952" w:firstLineChars="13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方正楷体_GBK" w:hAnsi="方正楷体_GBK" w:eastAsia="方正楷体_GBK" w:cs="方正楷体_GBK"/>
          <w:b/>
          <w:bCs/>
          <w:color w:val="FF0000"/>
          <w:spacing w:val="0"/>
          <w:kern w:val="2"/>
          <w:sz w:val="32"/>
          <w:szCs w:val="32"/>
          <w:lang w:val="en-US" w:eastAsia="zh-CN" w:bidi="ar-SA"/>
        </w:rPr>
        <w:t>（泰州贸促会）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br w:type="page"/>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华文新魏" w:cs="Times New Roman"/>
          <w:b/>
          <w:color w:val="FF0000"/>
          <w:spacing w:val="0"/>
          <w:kern w:val="36"/>
          <w:sz w:val="52"/>
          <w:szCs w:val="52"/>
          <w:lang w:val="en-US" w:eastAsia="zh-CN"/>
        </w:rPr>
      </w:pPr>
      <w:r>
        <w:rPr>
          <w:rFonts w:hint="eastAsia" w:ascii="Times New Roman" w:hAnsi="Times New Roman" w:eastAsia="华文新魏" w:cs="Times New Roman"/>
          <w:b/>
          <w:color w:val="FF0000"/>
          <w:spacing w:val="0"/>
          <w:kern w:val="36"/>
          <w:sz w:val="52"/>
          <w:szCs w:val="52"/>
          <w:lang w:val="en-US" w:eastAsia="zh-CN"/>
        </w:rPr>
        <w:t>焦点科技入选2024中国互联网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imes New Roman" w:hAnsi="Times New Roman" w:eastAsia="华文新魏" w:cs="Times New Roman"/>
          <w:b/>
          <w:color w:val="FF0000"/>
          <w:spacing w:val="0"/>
          <w:kern w:val="36"/>
          <w:sz w:val="52"/>
          <w:szCs w:val="52"/>
          <w:lang w:val="en-US" w:eastAsia="zh-CN"/>
        </w:rPr>
        <w:t>综合实力前百家企业</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近日，在中国互联网企业综合实力指数（2024）发布会上，2024年中国互联网综合实力前百家企业榜单重磅发布，我会副会长单位——焦点科技股份有限公司第8次成功入选。</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焦点科技自1996年成立以来，始终致力于推动传统行业与互联网的深度融合，先后将互联网引入外贸、保险、企业采购等多个领域，运营了中国制造网、Doba、inQbrands、焦点领动、新一站保险网等多个互联网品牌，还孵化了智慧教育、移动医疗等互联网项目。</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rPr>
      </w:pPr>
      <w:r>
        <w:rPr>
          <w:rFonts w:hint="eastAsia" w:asciiTheme="minorEastAsia" w:hAnsiTheme="minorEastAsia" w:cstheme="minorEastAsia"/>
          <w:i w:val="0"/>
          <w:caps w:val="0"/>
          <w:color w:val="000000"/>
          <w:spacing w:val="0"/>
          <w:sz w:val="32"/>
          <w:szCs w:val="32"/>
          <w:lang w:val="en-US" w:eastAsia="zh-CN"/>
        </w:rPr>
        <w:t xml:space="preserve">                  </w:t>
      </w:r>
      <w:r>
        <w:rPr>
          <w:rFonts w:hint="eastAsia" w:ascii="方正楷体_GBK" w:hAnsi="方正楷体_GBK" w:eastAsia="方正楷体_GBK" w:cs="方正楷体_GBK"/>
          <w:b/>
          <w:bCs w:val="0"/>
          <w:color w:val="FF0000"/>
          <w:sz w:val="32"/>
          <w:szCs w:val="32"/>
        </w:rPr>
        <w:t>（来源：焦点科技官网）</w:t>
      </w:r>
    </w:p>
    <w:p>
      <w:pPr>
        <w:keepNext w:val="0"/>
        <w:keepLines w:val="0"/>
        <w:pageBreakBefore w:val="0"/>
        <w:widowControl w:val="0"/>
        <w:kinsoku/>
        <w:wordWrap/>
        <w:overflowPunct/>
        <w:topLinePunct w:val="0"/>
        <w:autoSpaceDE/>
        <w:autoSpaceDN/>
        <w:bidi w:val="0"/>
        <w:adjustRightInd/>
        <w:snapToGrid/>
        <w:ind w:firstLine="872" w:firstLineChars="200"/>
        <w:jc w:val="both"/>
        <w:textAlignment w:val="auto"/>
        <w:outlineLvl w:val="9"/>
        <w:rPr>
          <w:rFonts w:hint="eastAsia" w:ascii="Times New Roman" w:hAnsi="Times New Roman" w:eastAsia="华文新魏" w:cs="Times New Roman"/>
          <w:b/>
          <w:color w:val="FF0000"/>
          <w:spacing w:val="-34"/>
          <w:kern w:val="36"/>
          <w:sz w:val="52"/>
          <w:szCs w:val="52"/>
          <w:lang w:val="en-US" w:eastAsia="zh-CN"/>
        </w:rPr>
      </w:pPr>
    </w:p>
    <w:p>
      <w:pPr>
        <w:keepNext w:val="0"/>
        <w:keepLines w:val="0"/>
        <w:pageBreakBefore w:val="0"/>
        <w:widowControl w:val="0"/>
        <w:kinsoku/>
        <w:wordWrap/>
        <w:overflowPunct/>
        <w:topLinePunct w:val="0"/>
        <w:autoSpaceDE/>
        <w:autoSpaceDN/>
        <w:bidi w:val="0"/>
        <w:adjustRightInd/>
        <w:snapToGrid/>
        <w:ind w:firstLine="872" w:firstLineChars="200"/>
        <w:jc w:val="both"/>
        <w:textAlignment w:val="auto"/>
        <w:outlineLvl w:val="9"/>
        <w:rPr>
          <w:rFonts w:hint="eastAsia" w:ascii="Times New Roman" w:hAnsi="Times New Roman" w:eastAsia="华文新魏" w:cs="Times New Roman"/>
          <w:b/>
          <w:color w:val="FF0000"/>
          <w:spacing w:val="-34"/>
          <w:kern w:val="36"/>
          <w:sz w:val="52"/>
          <w:szCs w:val="52"/>
          <w:lang w:val="en-US" w:eastAsia="zh-CN"/>
        </w:rPr>
      </w:pPr>
    </w:p>
    <w:p>
      <w:pPr>
        <w:keepNext w:val="0"/>
        <w:keepLines w:val="0"/>
        <w:pageBreakBefore w:val="0"/>
        <w:widowControl w:val="0"/>
        <w:kinsoku/>
        <w:wordWrap/>
        <w:overflowPunct/>
        <w:topLinePunct w:val="0"/>
        <w:autoSpaceDE/>
        <w:autoSpaceDN/>
        <w:bidi w:val="0"/>
        <w:adjustRightInd/>
        <w:snapToGrid/>
        <w:ind w:firstLine="872" w:firstLineChars="200"/>
        <w:jc w:val="both"/>
        <w:textAlignment w:val="auto"/>
        <w:outlineLvl w:val="9"/>
        <w:rPr>
          <w:rFonts w:hint="eastAsia" w:ascii="Times New Roman" w:hAnsi="Times New Roman" w:eastAsia="华文新魏" w:cs="Times New Roman"/>
          <w:b/>
          <w:color w:val="FF0000"/>
          <w:spacing w:val="-34"/>
          <w:kern w:val="36"/>
          <w:sz w:val="52"/>
          <w:szCs w:val="52"/>
          <w:lang w:val="en-US" w:eastAsia="zh-CN"/>
        </w:rPr>
      </w:pPr>
    </w:p>
    <w:p>
      <w:pPr>
        <w:keepNext w:val="0"/>
        <w:keepLines w:val="0"/>
        <w:pageBreakBefore w:val="0"/>
        <w:widowControl w:val="0"/>
        <w:kinsoku/>
        <w:wordWrap/>
        <w:overflowPunct/>
        <w:topLinePunct w:val="0"/>
        <w:autoSpaceDE/>
        <w:autoSpaceDN/>
        <w:bidi w:val="0"/>
        <w:adjustRightInd/>
        <w:snapToGrid/>
        <w:ind w:firstLine="872" w:firstLineChars="200"/>
        <w:jc w:val="both"/>
        <w:textAlignment w:val="auto"/>
        <w:outlineLvl w:val="9"/>
        <w:rPr>
          <w:rFonts w:hint="eastAsia" w:ascii="Times New Roman" w:hAnsi="Times New Roman" w:eastAsia="华文新魏" w:cs="Times New Roman"/>
          <w:b/>
          <w:color w:val="FF0000"/>
          <w:spacing w:val="-34"/>
          <w:kern w:val="36"/>
          <w:sz w:val="52"/>
          <w:szCs w:val="52"/>
          <w:lang w:val="en-US" w:eastAsia="zh-CN"/>
        </w:rPr>
      </w:pPr>
    </w:p>
    <w:p>
      <w:pPr>
        <w:keepNext w:val="0"/>
        <w:keepLines w:val="0"/>
        <w:pageBreakBefore w:val="0"/>
        <w:widowControl w:val="0"/>
        <w:kinsoku/>
        <w:wordWrap/>
        <w:overflowPunct/>
        <w:topLinePunct w:val="0"/>
        <w:autoSpaceDE/>
        <w:autoSpaceDN/>
        <w:bidi w:val="0"/>
        <w:adjustRightInd/>
        <w:snapToGrid/>
        <w:ind w:firstLine="872" w:firstLineChars="200"/>
        <w:jc w:val="both"/>
        <w:textAlignment w:val="auto"/>
        <w:outlineLvl w:val="9"/>
        <w:rPr>
          <w:rFonts w:hint="eastAsia" w:ascii="Times New Roman" w:hAnsi="Times New Roman" w:eastAsia="华文新魏" w:cs="Times New Roman"/>
          <w:b/>
          <w:color w:val="FF0000"/>
          <w:spacing w:val="-34"/>
          <w:kern w:val="36"/>
          <w:sz w:val="52"/>
          <w:szCs w:val="5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imes New Roman" w:hAnsi="Times New Roman" w:eastAsia="华文新魏" w:cs="Times New Roman"/>
          <w:b/>
          <w:color w:val="FF0000"/>
          <w:spacing w:val="-45"/>
          <w:kern w:val="36"/>
          <w:sz w:val="52"/>
          <w:szCs w:val="52"/>
          <w:lang w:val="en-US" w:eastAsia="zh-CN"/>
        </w:rPr>
        <w:t>洋河股份荣获“2023中国酒业ESG示范企业”</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近日，2024全国理性饮酒宣传周启动仪式暨第二届中国酒业ESG论坛在上海启动。中国酒业协会权威发布了2024中国酒业ESG示范企业榜单，我会副会长单位——江苏洋河酒厂股份有限公司凭借在环境治理、社会公益、公司治理等方面的先进成果，荣获“2023中国酒业ESG示范企业”。</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作为与生态环境休戚相关的白酒企业，洋河股份一直以“构建零碳白酒工厂，打造绿色供应链”的积极行动，主动履行环境责任，践行生态酿造，将生态文明融入企业文化和可持续发展中。</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rPr>
      </w:pPr>
      <w:r>
        <w:rPr>
          <w:rFonts w:hint="eastAsia" w:asciiTheme="minorEastAsia" w:hAnsiTheme="minorEastAsia" w:cstheme="minorEastAsia"/>
          <w:i w:val="0"/>
          <w:caps w:val="0"/>
          <w:color w:val="000000"/>
          <w:spacing w:val="0"/>
          <w:sz w:val="32"/>
          <w:szCs w:val="32"/>
          <w:lang w:val="en-US" w:eastAsia="zh-CN"/>
        </w:rPr>
        <w:t xml:space="preserve">                   </w:t>
      </w:r>
      <w:r>
        <w:rPr>
          <w:rFonts w:hint="eastAsia" w:ascii="方正楷体_GBK" w:hAnsi="方正楷体_GBK" w:eastAsia="方正楷体_GBK" w:cs="方正楷体_GBK"/>
          <w:b/>
          <w:bCs w:val="0"/>
          <w:color w:val="FF0000"/>
          <w:sz w:val="32"/>
          <w:szCs w:val="32"/>
        </w:rPr>
        <w:t>（来源：洋河股份微信公众号）</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方正楷体_GBK" w:hAnsi="方正楷体_GBK" w:eastAsia="方正楷体_GBK" w:cs="方正楷体_GBK"/>
          <w:b/>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方正楷体_GBK" w:hAnsi="方正楷体_GBK" w:eastAsia="方正楷体_GBK" w:cs="方正楷体_GBK"/>
          <w:b/>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方正楷体_GBK" w:hAnsi="方正楷体_GBK" w:eastAsia="方正楷体_GBK" w:cs="方正楷体_GBK"/>
          <w:b/>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方正楷体_GBK" w:hAnsi="方正楷体_GBK" w:eastAsia="方正楷体_GBK" w:cs="方正楷体_GBK"/>
          <w:b/>
          <w:bCs w:val="0"/>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华文新魏" w:cs="Times New Roman"/>
          <w:b/>
          <w:color w:val="FF0000"/>
          <w:spacing w:val="-45"/>
          <w:kern w:val="36"/>
          <w:sz w:val="52"/>
          <w:szCs w:val="52"/>
          <w:lang w:val="en-US" w:eastAsia="zh-CN"/>
        </w:rPr>
      </w:pPr>
      <w:r>
        <w:rPr>
          <w:rFonts w:hint="eastAsia" w:ascii="Times New Roman" w:hAnsi="Times New Roman" w:eastAsia="华文新魏" w:cs="Times New Roman"/>
          <w:b/>
          <w:color w:val="FF0000"/>
          <w:spacing w:val="-45"/>
          <w:kern w:val="36"/>
          <w:sz w:val="52"/>
          <w:szCs w:val="52"/>
          <w:lang w:val="en-US" w:eastAsia="zh-CN"/>
        </w:rPr>
        <w:t>苏豪爱涛文化承建“江苏·人民代表大会制度展”</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以庆祝中华人民共和国成立75周年、庆祝全国人民代表大会成立70周年及江苏省人民代表大会成立70周年为契机，在省人大常委会的有力领导下，我会理事单位——江苏苏豪爱涛文化有限公司承建“江苏·人民代表大会制度展”，回眸历史瞬间，重温光辉历程，感悟人民代表大会制度的薪火相传、历久弥新。</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此次展览的色调、流线型展线充分体现了水韵江苏的特点，可视化的展陈语言融合大量图片、文字、档案、实物和多媒体手法，绘制出我国、我省人民代表大会制度发展历程的全景式画卷，生动展示70年来人民代表大会制度在江苏的显著成就，成功打造宣传习近平总书记关于坚持和完善人民代表大会制度的思想阵地，成为展现中国民主故事、江苏人大故事、人大代表故事的重要窗口和重要载体。</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rPr>
      </w:pPr>
      <w:r>
        <w:rPr>
          <w:rFonts w:hint="eastAsia" w:asciiTheme="minorEastAsia" w:hAnsiTheme="minorEastAsia" w:cstheme="minorEastAsia"/>
          <w:i w:val="0"/>
          <w:caps w:val="0"/>
          <w:color w:val="000000"/>
          <w:spacing w:val="0"/>
          <w:sz w:val="32"/>
          <w:szCs w:val="32"/>
          <w:lang w:val="en-US" w:eastAsia="zh-CN"/>
        </w:rPr>
        <w:t xml:space="preserve">                      </w:t>
      </w:r>
      <w:r>
        <w:rPr>
          <w:rFonts w:hint="eastAsia" w:ascii="方正楷体_GBK" w:hAnsi="方正楷体_GBK" w:eastAsia="方正楷体_GBK" w:cs="方正楷体_GBK"/>
          <w:b/>
          <w:bCs w:val="0"/>
          <w:color w:val="FF0000"/>
          <w:sz w:val="32"/>
          <w:szCs w:val="32"/>
        </w:rPr>
        <w:t>（来源：苏豪爱涛文化官网）</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方正楷体_GBK" w:hAnsi="方正楷体_GBK" w:eastAsia="方正楷体_GBK" w:cs="方正楷体_GBK"/>
          <w:b/>
          <w:bCs w:val="0"/>
          <w:color w:val="FF0000"/>
          <w:sz w:val="32"/>
          <w:szCs w:val="32"/>
          <w:lang w:val="en-US" w:eastAsia="zh-CN"/>
        </w:rPr>
      </w:pPr>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DvTPUAAAACAEAAA8A&#10;AAAAAAAAAQAgAAAAIgAAAGRycy9kb3ducmV2LnhtbFBLAQIUABQAAAAIAIdO4kAjhYu2GwIAACEE&#10;AAAOAAAAAAAAAAEAIAAAACMBAABkcnMvZTJvRG9jLnhtbFBLBQYAAAAABgAGAFkBAACw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730647"/>
    <w:rsid w:val="017F7312"/>
    <w:rsid w:val="0183354F"/>
    <w:rsid w:val="018A4341"/>
    <w:rsid w:val="018D1ED5"/>
    <w:rsid w:val="018E0532"/>
    <w:rsid w:val="01944C0D"/>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636B5B"/>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5654E"/>
    <w:rsid w:val="064F5725"/>
    <w:rsid w:val="06510CDF"/>
    <w:rsid w:val="065C27A8"/>
    <w:rsid w:val="065F50DA"/>
    <w:rsid w:val="06602F2C"/>
    <w:rsid w:val="06626021"/>
    <w:rsid w:val="066D2CED"/>
    <w:rsid w:val="066E2C0B"/>
    <w:rsid w:val="06700010"/>
    <w:rsid w:val="06734EB6"/>
    <w:rsid w:val="067C24CF"/>
    <w:rsid w:val="068A1FDD"/>
    <w:rsid w:val="069002BE"/>
    <w:rsid w:val="06906B8C"/>
    <w:rsid w:val="069725BC"/>
    <w:rsid w:val="069A3A7C"/>
    <w:rsid w:val="06A24D7D"/>
    <w:rsid w:val="06A729E1"/>
    <w:rsid w:val="06A94232"/>
    <w:rsid w:val="06AB1C7E"/>
    <w:rsid w:val="06AC05E7"/>
    <w:rsid w:val="06AF1D16"/>
    <w:rsid w:val="06AF3414"/>
    <w:rsid w:val="06B15237"/>
    <w:rsid w:val="06BA5EB2"/>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04270"/>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9FD0F85"/>
    <w:rsid w:val="0A030CE9"/>
    <w:rsid w:val="0A0D0EE1"/>
    <w:rsid w:val="0A1B5347"/>
    <w:rsid w:val="0A33530F"/>
    <w:rsid w:val="0A346C5C"/>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D82C48"/>
    <w:rsid w:val="0DDB6385"/>
    <w:rsid w:val="0DE057D2"/>
    <w:rsid w:val="0DF024FC"/>
    <w:rsid w:val="0DF0632D"/>
    <w:rsid w:val="0DF475E0"/>
    <w:rsid w:val="0DFF26F8"/>
    <w:rsid w:val="0E0E09E4"/>
    <w:rsid w:val="0E0E0AE3"/>
    <w:rsid w:val="0E184477"/>
    <w:rsid w:val="0E1A4501"/>
    <w:rsid w:val="0E1A78B5"/>
    <w:rsid w:val="0E21196E"/>
    <w:rsid w:val="0E227E98"/>
    <w:rsid w:val="0E27140B"/>
    <w:rsid w:val="0E275D7B"/>
    <w:rsid w:val="0E2D4D70"/>
    <w:rsid w:val="0E3B2663"/>
    <w:rsid w:val="0E443DBA"/>
    <w:rsid w:val="0E465F52"/>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F3D65"/>
    <w:rsid w:val="115347BC"/>
    <w:rsid w:val="11545887"/>
    <w:rsid w:val="11597C64"/>
    <w:rsid w:val="11602A9E"/>
    <w:rsid w:val="116228E3"/>
    <w:rsid w:val="11631325"/>
    <w:rsid w:val="116345A4"/>
    <w:rsid w:val="11667833"/>
    <w:rsid w:val="11687433"/>
    <w:rsid w:val="1178450A"/>
    <w:rsid w:val="117B53DF"/>
    <w:rsid w:val="117B71D3"/>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4E9E"/>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67F2"/>
    <w:rsid w:val="17035AAC"/>
    <w:rsid w:val="17054499"/>
    <w:rsid w:val="170B0BD9"/>
    <w:rsid w:val="170D5EDA"/>
    <w:rsid w:val="17182913"/>
    <w:rsid w:val="17197EC3"/>
    <w:rsid w:val="171E2D1A"/>
    <w:rsid w:val="172E1BBE"/>
    <w:rsid w:val="17377B8C"/>
    <w:rsid w:val="173A6824"/>
    <w:rsid w:val="173B1FA1"/>
    <w:rsid w:val="173C594E"/>
    <w:rsid w:val="173D1596"/>
    <w:rsid w:val="17503F57"/>
    <w:rsid w:val="17505DD6"/>
    <w:rsid w:val="17586CB0"/>
    <w:rsid w:val="17596CA9"/>
    <w:rsid w:val="17600681"/>
    <w:rsid w:val="176142CC"/>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6515C3"/>
    <w:rsid w:val="197859DA"/>
    <w:rsid w:val="1980769C"/>
    <w:rsid w:val="19884F66"/>
    <w:rsid w:val="198F181A"/>
    <w:rsid w:val="198F1E18"/>
    <w:rsid w:val="19917CFC"/>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13587B"/>
    <w:rsid w:val="1B1D44BA"/>
    <w:rsid w:val="1B275D4E"/>
    <w:rsid w:val="1B2C07D2"/>
    <w:rsid w:val="1B2C5EE0"/>
    <w:rsid w:val="1B33077D"/>
    <w:rsid w:val="1B3604D3"/>
    <w:rsid w:val="1B364D11"/>
    <w:rsid w:val="1B3865C6"/>
    <w:rsid w:val="1B3E5EDE"/>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B1AFF"/>
    <w:rsid w:val="1D4B4B5A"/>
    <w:rsid w:val="1D5350C2"/>
    <w:rsid w:val="1D584348"/>
    <w:rsid w:val="1D597DDF"/>
    <w:rsid w:val="1D5D209F"/>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9D2C10"/>
    <w:rsid w:val="1FA22246"/>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6A452F"/>
    <w:rsid w:val="21760888"/>
    <w:rsid w:val="217B17E2"/>
    <w:rsid w:val="218810BD"/>
    <w:rsid w:val="218D61A9"/>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45415A"/>
    <w:rsid w:val="29566904"/>
    <w:rsid w:val="29582224"/>
    <w:rsid w:val="29585835"/>
    <w:rsid w:val="296074D7"/>
    <w:rsid w:val="29692EBD"/>
    <w:rsid w:val="29712D8F"/>
    <w:rsid w:val="29736267"/>
    <w:rsid w:val="297B31D3"/>
    <w:rsid w:val="298103BD"/>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A16669"/>
    <w:rsid w:val="2BAE20A5"/>
    <w:rsid w:val="2BAF2381"/>
    <w:rsid w:val="2BB1376A"/>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220DB4"/>
    <w:rsid w:val="2C247FF1"/>
    <w:rsid w:val="2C3C0030"/>
    <w:rsid w:val="2C3F3887"/>
    <w:rsid w:val="2C45016F"/>
    <w:rsid w:val="2C516E38"/>
    <w:rsid w:val="2C533A6A"/>
    <w:rsid w:val="2C560EA3"/>
    <w:rsid w:val="2C617496"/>
    <w:rsid w:val="2C62156F"/>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C27E4"/>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B21CE"/>
    <w:rsid w:val="2F2E23A6"/>
    <w:rsid w:val="2F2E289C"/>
    <w:rsid w:val="2F2E3B38"/>
    <w:rsid w:val="2F350F19"/>
    <w:rsid w:val="2F383567"/>
    <w:rsid w:val="2F3B1918"/>
    <w:rsid w:val="2F415DC8"/>
    <w:rsid w:val="2F514AAE"/>
    <w:rsid w:val="2F531FEB"/>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F43FE"/>
    <w:rsid w:val="327179A4"/>
    <w:rsid w:val="32775626"/>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F3B66"/>
    <w:rsid w:val="333B116B"/>
    <w:rsid w:val="333E2024"/>
    <w:rsid w:val="33427ABB"/>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238C5"/>
    <w:rsid w:val="34AC0653"/>
    <w:rsid w:val="34AC2DE9"/>
    <w:rsid w:val="34B24855"/>
    <w:rsid w:val="34B3070C"/>
    <w:rsid w:val="34B55560"/>
    <w:rsid w:val="34B84D9B"/>
    <w:rsid w:val="34BE7103"/>
    <w:rsid w:val="34C82B00"/>
    <w:rsid w:val="34C9343D"/>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6D51F7"/>
    <w:rsid w:val="35735BCB"/>
    <w:rsid w:val="357972DF"/>
    <w:rsid w:val="357D79D3"/>
    <w:rsid w:val="35804F9D"/>
    <w:rsid w:val="35843B49"/>
    <w:rsid w:val="35884385"/>
    <w:rsid w:val="35890016"/>
    <w:rsid w:val="358B0F26"/>
    <w:rsid w:val="35924A15"/>
    <w:rsid w:val="359753B1"/>
    <w:rsid w:val="35A251D2"/>
    <w:rsid w:val="35A25468"/>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3216F"/>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93CF4"/>
    <w:rsid w:val="38132FDB"/>
    <w:rsid w:val="381523AC"/>
    <w:rsid w:val="3816611D"/>
    <w:rsid w:val="381A7833"/>
    <w:rsid w:val="381D6FCC"/>
    <w:rsid w:val="382276D7"/>
    <w:rsid w:val="38255502"/>
    <w:rsid w:val="382563C3"/>
    <w:rsid w:val="382B10C6"/>
    <w:rsid w:val="383D4592"/>
    <w:rsid w:val="384502C9"/>
    <w:rsid w:val="384757BF"/>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41673"/>
    <w:rsid w:val="397F2866"/>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84218D"/>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326DEB"/>
    <w:rsid w:val="3C393537"/>
    <w:rsid w:val="3C3C1378"/>
    <w:rsid w:val="3C497D33"/>
    <w:rsid w:val="3C5A342C"/>
    <w:rsid w:val="3C5C0867"/>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FD4D35"/>
    <w:rsid w:val="3D064D69"/>
    <w:rsid w:val="3D0E3667"/>
    <w:rsid w:val="3D0E399D"/>
    <w:rsid w:val="3D123F8D"/>
    <w:rsid w:val="3D12721E"/>
    <w:rsid w:val="3D1B45BC"/>
    <w:rsid w:val="3D27093B"/>
    <w:rsid w:val="3D351ADA"/>
    <w:rsid w:val="3D3D6CB6"/>
    <w:rsid w:val="3D444248"/>
    <w:rsid w:val="3D4B2FA5"/>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E13187"/>
    <w:rsid w:val="40E4111E"/>
    <w:rsid w:val="40F110C9"/>
    <w:rsid w:val="40F71EFC"/>
    <w:rsid w:val="40FA7D3C"/>
    <w:rsid w:val="40FC6040"/>
    <w:rsid w:val="41013098"/>
    <w:rsid w:val="41046C1A"/>
    <w:rsid w:val="410A66D3"/>
    <w:rsid w:val="411252F5"/>
    <w:rsid w:val="41216561"/>
    <w:rsid w:val="4126157E"/>
    <w:rsid w:val="412E1703"/>
    <w:rsid w:val="41341D04"/>
    <w:rsid w:val="41463814"/>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23352"/>
    <w:rsid w:val="42C3638C"/>
    <w:rsid w:val="42C8399F"/>
    <w:rsid w:val="42CC1C77"/>
    <w:rsid w:val="42CE7CBC"/>
    <w:rsid w:val="42DC7B8F"/>
    <w:rsid w:val="42E67A2D"/>
    <w:rsid w:val="42EF6EDD"/>
    <w:rsid w:val="42F63370"/>
    <w:rsid w:val="4303189E"/>
    <w:rsid w:val="43043B4B"/>
    <w:rsid w:val="430C0701"/>
    <w:rsid w:val="431D662D"/>
    <w:rsid w:val="431D7413"/>
    <w:rsid w:val="43230977"/>
    <w:rsid w:val="43260906"/>
    <w:rsid w:val="4329778C"/>
    <w:rsid w:val="432A433E"/>
    <w:rsid w:val="432F48E4"/>
    <w:rsid w:val="433451E7"/>
    <w:rsid w:val="433454E3"/>
    <w:rsid w:val="43380FA2"/>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E225C"/>
    <w:rsid w:val="450E5F3E"/>
    <w:rsid w:val="45156B4C"/>
    <w:rsid w:val="451C3C3F"/>
    <w:rsid w:val="45202195"/>
    <w:rsid w:val="45206477"/>
    <w:rsid w:val="45282E33"/>
    <w:rsid w:val="45361C96"/>
    <w:rsid w:val="45367180"/>
    <w:rsid w:val="453936A0"/>
    <w:rsid w:val="45404081"/>
    <w:rsid w:val="454B27CA"/>
    <w:rsid w:val="4555071F"/>
    <w:rsid w:val="455B027F"/>
    <w:rsid w:val="45634F36"/>
    <w:rsid w:val="45642839"/>
    <w:rsid w:val="456433C3"/>
    <w:rsid w:val="4566286A"/>
    <w:rsid w:val="456653F0"/>
    <w:rsid w:val="456745BB"/>
    <w:rsid w:val="45677DA7"/>
    <w:rsid w:val="4569650F"/>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BC2272"/>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70907"/>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15DE"/>
    <w:rsid w:val="48EB611E"/>
    <w:rsid w:val="48F7177C"/>
    <w:rsid w:val="48F9720D"/>
    <w:rsid w:val="490008E6"/>
    <w:rsid w:val="490425AB"/>
    <w:rsid w:val="49047124"/>
    <w:rsid w:val="49076238"/>
    <w:rsid w:val="49104838"/>
    <w:rsid w:val="49200C47"/>
    <w:rsid w:val="49250443"/>
    <w:rsid w:val="49267368"/>
    <w:rsid w:val="49276313"/>
    <w:rsid w:val="492F1B04"/>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E27CCF"/>
    <w:rsid w:val="49F44446"/>
    <w:rsid w:val="49F543E3"/>
    <w:rsid w:val="49FA00AE"/>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B2412"/>
    <w:rsid w:val="4A603371"/>
    <w:rsid w:val="4A665A8F"/>
    <w:rsid w:val="4A6B6C00"/>
    <w:rsid w:val="4A7A1A7F"/>
    <w:rsid w:val="4A7B1C95"/>
    <w:rsid w:val="4A7C6D92"/>
    <w:rsid w:val="4A80680F"/>
    <w:rsid w:val="4A8141FB"/>
    <w:rsid w:val="4A8B2BFF"/>
    <w:rsid w:val="4A8B46F9"/>
    <w:rsid w:val="4A8C3D45"/>
    <w:rsid w:val="4A996D58"/>
    <w:rsid w:val="4AA637CE"/>
    <w:rsid w:val="4AAA2363"/>
    <w:rsid w:val="4AAC0232"/>
    <w:rsid w:val="4AB420A2"/>
    <w:rsid w:val="4AB42562"/>
    <w:rsid w:val="4AB971E8"/>
    <w:rsid w:val="4ABC4127"/>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2B654D"/>
    <w:rsid w:val="4B2D2A9B"/>
    <w:rsid w:val="4B313BE7"/>
    <w:rsid w:val="4B331125"/>
    <w:rsid w:val="4B3405F9"/>
    <w:rsid w:val="4B3B6A66"/>
    <w:rsid w:val="4B3F276A"/>
    <w:rsid w:val="4B425A4D"/>
    <w:rsid w:val="4B473804"/>
    <w:rsid w:val="4B5151AA"/>
    <w:rsid w:val="4B537CBF"/>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C1686"/>
    <w:rsid w:val="4C513E4B"/>
    <w:rsid w:val="4C603F1D"/>
    <w:rsid w:val="4C6211EA"/>
    <w:rsid w:val="4C635D18"/>
    <w:rsid w:val="4C670EB1"/>
    <w:rsid w:val="4C712086"/>
    <w:rsid w:val="4C7120EC"/>
    <w:rsid w:val="4C7B3D80"/>
    <w:rsid w:val="4C7C605E"/>
    <w:rsid w:val="4C7E2355"/>
    <w:rsid w:val="4C847264"/>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F06BA"/>
    <w:rsid w:val="4D304130"/>
    <w:rsid w:val="4D386B0D"/>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37E4B"/>
    <w:rsid w:val="4E365771"/>
    <w:rsid w:val="4E3C3064"/>
    <w:rsid w:val="4E3C5DC0"/>
    <w:rsid w:val="4E446F8B"/>
    <w:rsid w:val="4E4D4DE2"/>
    <w:rsid w:val="4E5669BF"/>
    <w:rsid w:val="4E651EA6"/>
    <w:rsid w:val="4E6757B0"/>
    <w:rsid w:val="4E6C4048"/>
    <w:rsid w:val="4E783D17"/>
    <w:rsid w:val="4E805C19"/>
    <w:rsid w:val="4E836C4E"/>
    <w:rsid w:val="4E865BCD"/>
    <w:rsid w:val="4E8A6771"/>
    <w:rsid w:val="4E957162"/>
    <w:rsid w:val="4E9E60B6"/>
    <w:rsid w:val="4EA27ACB"/>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744F"/>
    <w:rsid w:val="52CF2A7E"/>
    <w:rsid w:val="52D52D8A"/>
    <w:rsid w:val="52D70C29"/>
    <w:rsid w:val="52E07E6E"/>
    <w:rsid w:val="52E2403D"/>
    <w:rsid w:val="52E87FC9"/>
    <w:rsid w:val="52EA3010"/>
    <w:rsid w:val="52EE6354"/>
    <w:rsid w:val="52EF275D"/>
    <w:rsid w:val="52F87188"/>
    <w:rsid w:val="53035F10"/>
    <w:rsid w:val="530445BC"/>
    <w:rsid w:val="53073E74"/>
    <w:rsid w:val="53130812"/>
    <w:rsid w:val="53176C42"/>
    <w:rsid w:val="53184746"/>
    <w:rsid w:val="531972CB"/>
    <w:rsid w:val="53227F73"/>
    <w:rsid w:val="532342A1"/>
    <w:rsid w:val="532E4AC7"/>
    <w:rsid w:val="533E55DF"/>
    <w:rsid w:val="535C1994"/>
    <w:rsid w:val="5360600D"/>
    <w:rsid w:val="53703765"/>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12EF3"/>
    <w:rsid w:val="55022588"/>
    <w:rsid w:val="550D4E7F"/>
    <w:rsid w:val="55147F4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A78D9"/>
    <w:rsid w:val="56AD16B1"/>
    <w:rsid w:val="56B44FF7"/>
    <w:rsid w:val="56B76AF7"/>
    <w:rsid w:val="56BA0EDB"/>
    <w:rsid w:val="56BA5BFC"/>
    <w:rsid w:val="56D60D34"/>
    <w:rsid w:val="56D76BB3"/>
    <w:rsid w:val="56DA1A1C"/>
    <w:rsid w:val="56E90EF6"/>
    <w:rsid w:val="56F50794"/>
    <w:rsid w:val="56F82259"/>
    <w:rsid w:val="56FC12BF"/>
    <w:rsid w:val="56FE5AE3"/>
    <w:rsid w:val="570255BE"/>
    <w:rsid w:val="570426CC"/>
    <w:rsid w:val="57100D05"/>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13000"/>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3328EA"/>
    <w:rsid w:val="62390C34"/>
    <w:rsid w:val="6239162C"/>
    <w:rsid w:val="623A409B"/>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3642B"/>
    <w:rsid w:val="62B91CB2"/>
    <w:rsid w:val="62C3578D"/>
    <w:rsid w:val="62D000C9"/>
    <w:rsid w:val="62E05F11"/>
    <w:rsid w:val="62E70CE0"/>
    <w:rsid w:val="62F00E21"/>
    <w:rsid w:val="62F06C0E"/>
    <w:rsid w:val="62F571B6"/>
    <w:rsid w:val="62F91A8D"/>
    <w:rsid w:val="62FA0118"/>
    <w:rsid w:val="62FB5ADF"/>
    <w:rsid w:val="63016DD9"/>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D86821"/>
    <w:rsid w:val="63D8720B"/>
    <w:rsid w:val="63DF3F98"/>
    <w:rsid w:val="63E02D15"/>
    <w:rsid w:val="63E0457C"/>
    <w:rsid w:val="63E25AFD"/>
    <w:rsid w:val="63E57666"/>
    <w:rsid w:val="63F03B38"/>
    <w:rsid w:val="63F731A5"/>
    <w:rsid w:val="63FC766C"/>
    <w:rsid w:val="63FE2454"/>
    <w:rsid w:val="64022F76"/>
    <w:rsid w:val="64084173"/>
    <w:rsid w:val="641269AD"/>
    <w:rsid w:val="64141212"/>
    <w:rsid w:val="641C56F8"/>
    <w:rsid w:val="64231408"/>
    <w:rsid w:val="64263EF4"/>
    <w:rsid w:val="64281DC7"/>
    <w:rsid w:val="6432123B"/>
    <w:rsid w:val="643A7824"/>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B0747D"/>
    <w:rsid w:val="64B6071F"/>
    <w:rsid w:val="64B73B84"/>
    <w:rsid w:val="64BE2F18"/>
    <w:rsid w:val="64C004BC"/>
    <w:rsid w:val="64C03551"/>
    <w:rsid w:val="64C317B4"/>
    <w:rsid w:val="64C6530B"/>
    <w:rsid w:val="64CB2A33"/>
    <w:rsid w:val="64D9451E"/>
    <w:rsid w:val="64DB77D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60658FA"/>
    <w:rsid w:val="660B1805"/>
    <w:rsid w:val="660C035C"/>
    <w:rsid w:val="66103D06"/>
    <w:rsid w:val="66190E3D"/>
    <w:rsid w:val="661C061C"/>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802359C"/>
    <w:rsid w:val="68081463"/>
    <w:rsid w:val="680A257F"/>
    <w:rsid w:val="680E50C8"/>
    <w:rsid w:val="681541C3"/>
    <w:rsid w:val="681674DF"/>
    <w:rsid w:val="681D6FA0"/>
    <w:rsid w:val="682E4AF2"/>
    <w:rsid w:val="68373462"/>
    <w:rsid w:val="68447B3B"/>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A235D3"/>
    <w:rsid w:val="6AA31D3D"/>
    <w:rsid w:val="6AB02B50"/>
    <w:rsid w:val="6AB14532"/>
    <w:rsid w:val="6ABB2ED0"/>
    <w:rsid w:val="6ABD7A51"/>
    <w:rsid w:val="6AC335C4"/>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F65CC"/>
    <w:rsid w:val="6DB157A2"/>
    <w:rsid w:val="6DB25F3D"/>
    <w:rsid w:val="6DBA586C"/>
    <w:rsid w:val="6DBE0B3F"/>
    <w:rsid w:val="6DBF7294"/>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F1228B"/>
    <w:rsid w:val="71F46D71"/>
    <w:rsid w:val="71F96411"/>
    <w:rsid w:val="71FA7506"/>
    <w:rsid w:val="72061465"/>
    <w:rsid w:val="720F1ACD"/>
    <w:rsid w:val="721C0759"/>
    <w:rsid w:val="722F766C"/>
    <w:rsid w:val="723256D8"/>
    <w:rsid w:val="72382B26"/>
    <w:rsid w:val="72385872"/>
    <w:rsid w:val="723A6B6E"/>
    <w:rsid w:val="723B470E"/>
    <w:rsid w:val="72451F4F"/>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6D9D"/>
    <w:rsid w:val="72B715E4"/>
    <w:rsid w:val="72C32F53"/>
    <w:rsid w:val="72C77A8A"/>
    <w:rsid w:val="72CB7C4C"/>
    <w:rsid w:val="72D86D20"/>
    <w:rsid w:val="72DB6BCE"/>
    <w:rsid w:val="72F70D65"/>
    <w:rsid w:val="72F762C6"/>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957F3"/>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E133B4"/>
    <w:rsid w:val="74E1491C"/>
    <w:rsid w:val="74E67A31"/>
    <w:rsid w:val="74F61278"/>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36412"/>
    <w:rsid w:val="766477E2"/>
    <w:rsid w:val="7668119A"/>
    <w:rsid w:val="766966D4"/>
    <w:rsid w:val="766E17F9"/>
    <w:rsid w:val="76894FB9"/>
    <w:rsid w:val="768C1EBA"/>
    <w:rsid w:val="768E260E"/>
    <w:rsid w:val="769222A0"/>
    <w:rsid w:val="769568F8"/>
    <w:rsid w:val="76993596"/>
    <w:rsid w:val="769F0134"/>
    <w:rsid w:val="76A3356F"/>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B49EA"/>
    <w:rsid w:val="7A1E1DC3"/>
    <w:rsid w:val="7A2751AD"/>
    <w:rsid w:val="7A276994"/>
    <w:rsid w:val="7A2C129F"/>
    <w:rsid w:val="7A3B034D"/>
    <w:rsid w:val="7A3B1C6C"/>
    <w:rsid w:val="7A3F158B"/>
    <w:rsid w:val="7A4A132A"/>
    <w:rsid w:val="7A535840"/>
    <w:rsid w:val="7A5566EE"/>
    <w:rsid w:val="7A646A69"/>
    <w:rsid w:val="7A6736BC"/>
    <w:rsid w:val="7A6A7B3B"/>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5A50"/>
    <w:rsid w:val="7C4B681D"/>
    <w:rsid w:val="7C4C575E"/>
    <w:rsid w:val="7C640974"/>
    <w:rsid w:val="7C643EF7"/>
    <w:rsid w:val="7C690B20"/>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sz w:val="21"/>
      <w:szCs w:val="21"/>
    </w:rPr>
  </w:style>
  <w:style w:type="character" w:styleId="8">
    <w:name w:val="FollowedHyperlink"/>
    <w:basedOn w:val="6"/>
    <w:qFormat/>
    <w:uiPriority w:val="0"/>
    <w:rPr>
      <w:color w:val="4D7AD8"/>
      <w:u w:val="none"/>
    </w:rPr>
  </w:style>
  <w:style w:type="character" w:styleId="9">
    <w:name w:val="HTML Definition"/>
    <w:basedOn w:val="6"/>
    <w:qFormat/>
    <w:uiPriority w:val="0"/>
    <w:rPr>
      <w:i/>
      <w:bdr w:val="single" w:color="D9D9D9" w:sz="6" w:space="0"/>
      <w:shd w:val="clear" w:fill="FFFFFF"/>
    </w:rPr>
  </w:style>
  <w:style w:type="character" w:styleId="10">
    <w:name w:val="Hyperlink"/>
    <w:basedOn w:val="6"/>
    <w:qFormat/>
    <w:uiPriority w:val="0"/>
    <w:rPr>
      <w:color w:val="0000FF"/>
      <w:u w:val="single"/>
    </w:rPr>
  </w:style>
  <w:style w:type="character" w:styleId="11">
    <w:name w:val="HTML Code"/>
    <w:basedOn w:val="6"/>
    <w:qFormat/>
    <w:uiPriority w:val="0"/>
    <w:rPr>
      <w:rFonts w:hint="default" w:ascii="Consolas" w:hAnsi="Consolas" w:eastAsia="Consolas" w:cs="Consolas"/>
      <w:sz w:val="21"/>
      <w:szCs w:val="21"/>
    </w:rPr>
  </w:style>
  <w:style w:type="character" w:styleId="12">
    <w:name w:val="HTML Keyboard"/>
    <w:basedOn w:val="6"/>
    <w:qFormat/>
    <w:uiPriority w:val="0"/>
    <w:rPr>
      <w:rFonts w:ascii="Consolas" w:hAnsi="Consolas" w:eastAsia="Consolas" w:cs="Consolas"/>
      <w:color w:val="666666"/>
      <w:sz w:val="21"/>
      <w:szCs w:val="21"/>
    </w:rPr>
  </w:style>
  <w:style w:type="character" w:styleId="13">
    <w:name w:val="HTML Sample"/>
    <w:basedOn w:val="6"/>
    <w:qFormat/>
    <w:uiPriority w:val="0"/>
    <w:rPr>
      <w:rFonts w:hint="default" w:ascii="Consolas" w:hAnsi="Consolas" w:eastAsia="Consolas" w:cs="Consolas"/>
      <w:sz w:val="21"/>
      <w:szCs w:val="21"/>
    </w:rPr>
  </w:style>
  <w:style w:type="table" w:styleId="1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first-child2"/>
    <w:basedOn w:val="6"/>
    <w:qFormat/>
    <w:uiPriority w:val="0"/>
    <w:rPr>
      <w:sz w:val="13"/>
      <w:szCs w:val="13"/>
    </w:rPr>
  </w:style>
  <w:style w:type="character" w:customStyle="1" w:styleId="17">
    <w:name w:val="ant-select-tree-switcher"/>
    <w:basedOn w:val="6"/>
    <w:qFormat/>
    <w:uiPriority w:val="0"/>
  </w:style>
  <w:style w:type="character" w:customStyle="1" w:styleId="18">
    <w:name w:val="ant-tree-iconele"/>
    <w:basedOn w:val="6"/>
    <w:qFormat/>
    <w:uiPriority w:val="0"/>
  </w:style>
  <w:style w:type="character" w:customStyle="1" w:styleId="19">
    <w:name w:val="ant-radio+*"/>
    <w:basedOn w:val="6"/>
    <w:qFormat/>
    <w:uiPriority w:val="0"/>
  </w:style>
  <w:style w:type="character" w:customStyle="1" w:styleId="20">
    <w:name w:val="selected4"/>
    <w:basedOn w:val="6"/>
    <w:qFormat/>
    <w:uiPriority w:val="0"/>
  </w:style>
  <w:style w:type="character" w:customStyle="1" w:styleId="21">
    <w:name w:val="selected5"/>
    <w:basedOn w:val="6"/>
    <w:qFormat/>
    <w:uiPriority w:val="0"/>
  </w:style>
  <w:style w:type="character" w:customStyle="1" w:styleId="22">
    <w:name w:val="selected6"/>
    <w:basedOn w:val="6"/>
    <w:qFormat/>
    <w:uiPriority w:val="0"/>
  </w:style>
  <w:style w:type="character" w:customStyle="1" w:styleId="23">
    <w:name w:val="button"/>
    <w:basedOn w:val="6"/>
    <w:qFormat/>
    <w:uiPriority w:val="0"/>
  </w:style>
  <w:style w:type="character" w:customStyle="1" w:styleId="24">
    <w:name w:val="hover19"/>
    <w:basedOn w:val="6"/>
    <w:qFormat/>
    <w:uiPriority w:val="0"/>
    <w:rPr>
      <w:color w:val="009DFF"/>
    </w:rPr>
  </w:style>
  <w:style w:type="character" w:customStyle="1" w:styleId="25">
    <w:name w:val="hover20"/>
    <w:basedOn w:val="6"/>
    <w:qFormat/>
    <w:uiPriority w:val="0"/>
    <w:rPr>
      <w:color w:val="009DFF"/>
    </w:rPr>
  </w:style>
  <w:style w:type="character" w:customStyle="1" w:styleId="26">
    <w:name w:val="ant-tree-switcher"/>
    <w:basedOn w:val="6"/>
    <w:qFormat/>
    <w:uiPriority w:val="0"/>
  </w:style>
  <w:style w:type="character" w:customStyle="1" w:styleId="27">
    <w:name w:val="ant-select-tree-checkbox2"/>
    <w:basedOn w:val="6"/>
    <w:qFormat/>
    <w:uiPriority w:val="0"/>
  </w:style>
  <w:style w:type="character" w:customStyle="1" w:styleId="28">
    <w:name w:val="ant-select-tree-iconele"/>
    <w:basedOn w:val="6"/>
    <w:qFormat/>
    <w:uiPriority w:val="0"/>
  </w:style>
  <w:style w:type="character" w:customStyle="1" w:styleId="29">
    <w:name w:val="ant-tree-checkbox6"/>
    <w:basedOn w:val="6"/>
    <w:qFormat/>
    <w:uiPriority w:val="0"/>
  </w:style>
  <w:style w:type="character" w:customStyle="1" w:styleId="30">
    <w:name w:val="wea-thumbnails-doc-content-subtitle"/>
    <w:basedOn w:val="6"/>
    <w:qFormat/>
    <w:uiPriority w:val="0"/>
    <w:rPr>
      <w:color w:val="9A9A9A"/>
    </w:rPr>
  </w:style>
  <w:style w:type="character" w:customStyle="1" w:styleId="31">
    <w:name w:val="ht_nestinglevel"/>
    <w:basedOn w:val="6"/>
    <w:qFormat/>
    <w:uiPriority w:val="0"/>
  </w:style>
  <w:style w:type="character" w:customStyle="1" w:styleId="32">
    <w:name w:val="ht_nestinglevel_empty"/>
    <w:basedOn w:val="6"/>
    <w:qFormat/>
    <w:uiPriority w:val="0"/>
  </w:style>
  <w:style w:type="character" w:customStyle="1" w:styleId="33">
    <w:name w:val="colheader"/>
    <w:basedOn w:val="6"/>
    <w:qFormat/>
    <w:uiPriority w:val="0"/>
  </w:style>
  <w:style w:type="character" w:customStyle="1" w:styleId="34">
    <w:name w:val="ant-tree-checkbox"/>
    <w:basedOn w:val="6"/>
    <w:qFormat/>
    <w:uiPriority w:val="0"/>
  </w:style>
  <w:style w:type="character" w:customStyle="1" w:styleId="35">
    <w:name w:val="first-child"/>
    <w:basedOn w:val="6"/>
    <w:qFormat/>
    <w:uiPriority w:val="0"/>
    <w:rPr>
      <w:sz w:val="13"/>
      <w:szCs w:val="13"/>
    </w:rPr>
  </w:style>
  <w:style w:type="character" w:customStyle="1" w:styleId="36">
    <w:name w:val="ant-tree-switcher6"/>
    <w:basedOn w:val="6"/>
    <w:qFormat/>
    <w:uiPriority w:val="0"/>
  </w:style>
  <w:style w:type="character" w:customStyle="1" w:styleId="37">
    <w:name w:val="selected"/>
    <w:basedOn w:val="6"/>
    <w:qFormat/>
    <w:uiPriority w:val="0"/>
  </w:style>
  <w:style w:type="character" w:customStyle="1" w:styleId="38">
    <w:name w:val="selected1"/>
    <w:basedOn w:val="6"/>
    <w:qFormat/>
    <w:uiPriority w:val="0"/>
  </w:style>
  <w:style w:type="character" w:customStyle="1" w:styleId="39">
    <w:name w:val="selected2"/>
    <w:basedOn w:val="6"/>
    <w:qFormat/>
    <w:uiPriority w:val="0"/>
  </w:style>
  <w:style w:type="character" w:customStyle="1" w:styleId="40">
    <w:name w:val="ant-select-tree-checkbox"/>
    <w:basedOn w:val="6"/>
    <w:qFormat/>
    <w:uiPriority w:val="0"/>
  </w:style>
  <w:style w:type="character" w:customStyle="1" w:styleId="41">
    <w:name w:val="ant-tree-switcher5"/>
    <w:basedOn w:val="6"/>
    <w:qFormat/>
    <w:uiPriority w:val="0"/>
  </w:style>
  <w:style w:type="character" w:customStyle="1" w:styleId="42">
    <w:name w:val="selected7"/>
    <w:basedOn w:val="6"/>
    <w:qFormat/>
    <w:uiPriority w:val="0"/>
  </w:style>
  <w:style w:type="character" w:customStyle="1" w:styleId="43">
    <w:name w:val="selected11"/>
    <w:basedOn w:val="6"/>
    <w:qFormat/>
    <w:uiPriority w:val="0"/>
  </w:style>
  <w:style w:type="character" w:customStyle="1" w:styleId="44">
    <w:name w:val="selected12"/>
    <w:basedOn w:val="6"/>
    <w:qFormat/>
    <w:uiPriority w:val="0"/>
  </w:style>
  <w:style w:type="character" w:customStyle="1" w:styleId="45">
    <w:name w:val="selected13"/>
    <w:basedOn w:val="6"/>
    <w:qFormat/>
    <w:uiPriority w:val="0"/>
  </w:style>
  <w:style w:type="character" w:customStyle="1" w:styleId="46">
    <w:name w:val="selected8"/>
    <w:basedOn w:val="6"/>
    <w:qFormat/>
    <w:uiPriority w:val="0"/>
  </w:style>
  <w:style w:type="character" w:customStyle="1" w:styleId="47">
    <w:name w:val="selected9"/>
    <w:basedOn w:val="6"/>
    <w:qFormat/>
    <w:uiPriority w:val="0"/>
  </w:style>
  <w:style w:type="character" w:customStyle="1" w:styleId="48">
    <w:name w:val="selected10"/>
    <w:basedOn w:val="6"/>
    <w:qFormat/>
    <w:uiPriority w:val="0"/>
  </w:style>
  <w:style w:type="character" w:customStyle="1" w:styleId="49">
    <w:name w:val="hover18"/>
    <w:basedOn w:val="6"/>
    <w:qFormat/>
    <w:uiPriority w:val="0"/>
    <w:rPr>
      <w:color w:val="009DFF"/>
    </w:rPr>
  </w:style>
  <w:style w:type="character" w:customStyle="1" w:styleId="50">
    <w:name w:val="ant-tree-checkbox5"/>
    <w:basedOn w:val="6"/>
    <w:qFormat/>
    <w:uiPriority w:val="0"/>
  </w:style>
  <w:style w:type="character" w:customStyle="1" w:styleId="51">
    <w:name w:val="ant-tree-switcher4"/>
    <w:basedOn w:val="6"/>
    <w:qFormat/>
    <w:uiPriority w:val="0"/>
  </w:style>
  <w:style w:type="character" w:customStyle="1" w:styleId="52">
    <w:name w:val="hover"/>
    <w:basedOn w:val="6"/>
    <w:qFormat/>
    <w:uiPriority w:val="0"/>
    <w:rPr>
      <w:color w:val="009DFF"/>
    </w:rPr>
  </w:style>
  <w:style w:type="character" w:customStyle="1" w:styleId="53">
    <w:name w:val="hover1"/>
    <w:basedOn w:val="6"/>
    <w:qFormat/>
    <w:uiPriority w:val="0"/>
    <w:rPr>
      <w:color w:val="009DFF"/>
    </w:rPr>
  </w:style>
  <w:style w:type="character" w:customStyle="1" w:styleId="54">
    <w:name w:val="hover15"/>
    <w:basedOn w:val="6"/>
    <w:qFormat/>
    <w:uiPriority w:val="0"/>
    <w:rPr>
      <w:color w:val="009DFF"/>
    </w:rPr>
  </w:style>
  <w:style w:type="character" w:customStyle="1" w:styleId="55">
    <w:name w:val="hover16"/>
    <w:basedOn w:val="6"/>
    <w:qFormat/>
    <w:uiPriority w:val="0"/>
    <w:rPr>
      <w:color w:val="009DFF"/>
    </w:rPr>
  </w:style>
  <w:style w:type="character" w:customStyle="1" w:styleId="56">
    <w:name w:val="ant-tree-checkbox4"/>
    <w:basedOn w:val="6"/>
    <w:qFormat/>
    <w:uiPriority w:val="0"/>
  </w:style>
  <w:style w:type="character" w:customStyle="1" w:styleId="57">
    <w:name w:val="hover17"/>
    <w:basedOn w:val="6"/>
    <w:qFormat/>
    <w:uiPriority w:val="0"/>
    <w:rPr>
      <w:color w:val="009DFF"/>
    </w:rPr>
  </w:style>
  <w:style w:type="character" w:customStyle="1" w:styleId="58">
    <w:name w:val="hover14"/>
    <w:basedOn w:val="6"/>
    <w:qFormat/>
    <w:uiPriority w:val="0"/>
    <w:rPr>
      <w:color w:val="009DFF"/>
    </w:rPr>
  </w:style>
  <w:style w:type="character" w:customStyle="1" w:styleId="59">
    <w:name w:val="hover13"/>
    <w:basedOn w:val="6"/>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admin</cp:lastModifiedBy>
  <cp:lastPrinted>2024-09-20T03:10:00Z</cp:lastPrinted>
  <dcterms:modified xsi:type="dcterms:W3CDTF">2024-10-25T01:47:19Z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2AFE29251F2D47119EA111B2B617C6AF_13</vt:lpwstr>
  </property>
</Properties>
</file>