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jc w:val="center"/>
        <w:outlineLvl w:val="0"/>
        <w:rPr>
          <w:rFonts w:ascii="Times New Roman" w:hAnsi="Times New Roman" w:eastAsia="宋体" w:cs="Times New Roman"/>
          <w:b/>
          <w:color w:val="FF0000"/>
          <w:spacing w:val="-119"/>
          <w:kern w:val="36"/>
          <w:sz w:val="144"/>
          <w:szCs w:val="144"/>
        </w:rPr>
      </w:pPr>
      <w:r>
        <w:rPr>
          <w:rFonts w:ascii="Times New Roman" w:hAnsi="Times New Roman" w:eastAsia="经典行楷简" w:cs="Times New Roman"/>
          <w:b/>
          <w:color w:val="1F497D"/>
          <w:spacing w:val="-119"/>
          <w:kern w:val="36"/>
          <w:sz w:val="144"/>
          <w:szCs w:val="144"/>
          <w14:textFill>
            <w14:solidFill>
              <w14:srgbClr w14:val="1F497D">
                <w14:lumMod w14:val="60000"/>
                <w14:lumOff w14:val="40000"/>
              </w14:srgbClr>
            </w14:solidFill>
          </w14:textFill>
        </w:rPr>
        <w:t>江苏贸促周讯</w:t>
      </w:r>
    </w:p>
    <w:p>
      <w:pPr>
        <w:widowControl/>
        <w:spacing w:line="460" w:lineRule="exact"/>
        <w:jc w:val="center"/>
        <w:outlineLvl w:val="0"/>
        <w:rPr>
          <w:rFonts w:ascii="Times New Roman" w:hAnsi="Times New Roman" w:eastAsia="经典行楷简" w:cs="Times New Roman"/>
          <w:bCs/>
          <w:color w:val="2E75B6" w:themeColor="accent1" w:themeShade="BF"/>
          <w:kern w:val="36"/>
          <w:sz w:val="44"/>
          <w:szCs w:val="44"/>
        </w:rPr>
      </w:pPr>
      <w:r>
        <w:rPr>
          <w:rFonts w:ascii="Times New Roman" w:hAnsi="Times New Roman" w:eastAsia="经典行楷简" w:cs="Times New Roman"/>
          <w:bCs/>
          <w:color w:val="2E75B6" w:themeColor="accent1" w:themeShade="BF"/>
          <w:kern w:val="36"/>
          <w:sz w:val="44"/>
          <w:szCs w:val="44"/>
        </w:rPr>
        <w:t>2024年第</w:t>
      </w:r>
      <w:r>
        <w:rPr>
          <w:rFonts w:hint="eastAsia" w:ascii="Times New Roman" w:hAnsi="Times New Roman" w:eastAsia="经典行楷简" w:cs="Times New Roman"/>
          <w:bCs/>
          <w:color w:val="2E75B6" w:themeColor="accent1" w:themeShade="BF"/>
          <w:kern w:val="36"/>
          <w:sz w:val="44"/>
          <w:szCs w:val="44"/>
        </w:rPr>
        <w:t>17</w:t>
      </w:r>
      <w:r>
        <w:rPr>
          <w:rFonts w:ascii="Times New Roman" w:hAnsi="Times New Roman" w:eastAsia="经典行楷简" w:cs="Times New Roman"/>
          <w:bCs/>
          <w:color w:val="2E75B6" w:themeColor="accent1" w:themeShade="BF"/>
          <w:kern w:val="36"/>
          <w:sz w:val="44"/>
          <w:szCs w:val="44"/>
        </w:rPr>
        <w:t>期</w:t>
      </w:r>
    </w:p>
    <w:p>
      <w:pPr>
        <w:widowControl/>
        <w:spacing w:line="460" w:lineRule="exact"/>
        <w:jc w:val="center"/>
        <w:outlineLvl w:val="0"/>
        <w:rPr>
          <w:rFonts w:ascii="Times New Roman" w:hAnsi="Times New Roman" w:eastAsia="经典行楷简" w:cs="Times New Roman"/>
          <w:bCs/>
          <w:color w:val="2E75B5" w:themeColor="accent1" w:themeShade="BF"/>
          <w:kern w:val="36"/>
          <w:sz w:val="44"/>
          <w:szCs w:val="44"/>
          <w14:textFill>
            <w14:gradFill>
              <w14:gsLst>
                <w14:gs w14:pos="0">
                  <w14:srgbClr w14:val="FE4444"/>
                </w14:gs>
                <w14:gs w14:pos="100000">
                  <w14:srgbClr w14:val="832B2B"/>
                </w14:gs>
              </w14:gsLst>
              <w14:lin w14:ang="0" w14:scaled="0"/>
            </w14:gradFill>
          </w14:textFill>
        </w:rPr>
      </w:pPr>
      <w:r>
        <w:rPr>
          <w:rFonts w:ascii="Times New Roman" w:hAnsi="Times New Roman" w:eastAsia="经典行楷简" w:cs="Times New Roman"/>
          <w:bCs/>
          <w:color w:val="2E75B5" w:themeColor="accent1" w:themeShade="BF"/>
          <w:kern w:val="36"/>
          <w:sz w:val="44"/>
          <w:szCs w:val="44"/>
          <w14:textFill>
            <w14:gradFill>
              <w14:gsLst>
                <w14:gs w14:pos="0">
                  <w14:srgbClr w14:val="FE4444"/>
                </w14:gs>
                <w14:gs w14:pos="100000">
                  <w14:srgbClr w14:val="832B2B"/>
                </w14:gs>
              </w14:gsLst>
              <w14:lin w14:ang="0" w14:scaled="0"/>
            </w14:gradFill>
          </w14:textFill>
        </w:rPr>
        <w:t>（总第2</w:t>
      </w:r>
      <w:r>
        <w:rPr>
          <w:rFonts w:hint="eastAsia" w:ascii="Times New Roman" w:hAnsi="Times New Roman" w:eastAsia="经典行楷简" w:cs="Times New Roman"/>
          <w:bCs/>
          <w:color w:val="2E75B5" w:themeColor="accent1" w:themeShade="BF"/>
          <w:kern w:val="36"/>
          <w:sz w:val="44"/>
          <w:szCs w:val="44"/>
          <w14:textFill>
            <w14:gradFill>
              <w14:gsLst>
                <w14:gs w14:pos="0">
                  <w14:srgbClr w14:val="FE4444"/>
                </w14:gs>
                <w14:gs w14:pos="100000">
                  <w14:srgbClr w14:val="832B2B"/>
                </w14:gs>
              </w14:gsLst>
              <w14:lin w14:ang="0" w14:scaled="0"/>
            </w14:gradFill>
          </w14:textFill>
        </w:rPr>
        <w:t>63</w:t>
      </w:r>
      <w:r>
        <w:rPr>
          <w:rFonts w:ascii="Times New Roman" w:hAnsi="Times New Roman" w:eastAsia="经典行楷简" w:cs="Times New Roman"/>
          <w:bCs/>
          <w:color w:val="2E75B5" w:themeColor="accent1" w:themeShade="BF"/>
          <w:kern w:val="36"/>
          <w:sz w:val="44"/>
          <w:szCs w:val="44"/>
          <w14:textFill>
            <w14:gradFill>
              <w14:gsLst>
                <w14:gs w14:pos="0">
                  <w14:srgbClr w14:val="FE4444"/>
                </w14:gs>
                <w14:gs w14:pos="100000">
                  <w14:srgbClr w14:val="832B2B"/>
                </w14:gs>
              </w14:gsLst>
              <w14:lin w14:ang="0" w14:scaled="0"/>
            </w14:gradFill>
          </w14:textFill>
        </w:rPr>
        <w:t>期）</w:t>
      </w:r>
    </w:p>
    <w:p>
      <w:pPr>
        <w:widowControl/>
        <w:shd w:val="clear" w:color="auto" w:fill="FFFFFF"/>
        <w:spacing w:after="210"/>
        <w:ind w:firstLine="528" w:firstLineChars="200"/>
        <w:outlineLvl w:val="1"/>
        <w:rPr>
          <w:rFonts w:ascii="Times New Roman" w:hAnsi="Times New Roman" w:eastAsia="方正楷体_GBK" w:cs="Times New Roman"/>
          <w:bCs/>
          <w:color w:val="000000"/>
          <w:kern w:val="36"/>
          <w:sz w:val="36"/>
          <w:szCs w:val="36"/>
        </w:rPr>
      </w:pPr>
      <w:r>
        <w:rPr>
          <w:rFonts w:ascii="Times New Roman" w:hAnsi="Times New Roman" w:eastAsia="方正黑体_GBK" w:cs="Times New Roman"/>
          <w:bCs/>
          <w:color w:val="1F497D"/>
          <w:kern w:val="36"/>
          <w:sz w:val="28"/>
          <w:szCs w:val="28"/>
          <w14:textFill>
            <w14:solidFill>
              <w14:srgbClr w14:val="1F497D">
                <w14:lumMod w14:val="60000"/>
                <w14:lumOff w14:val="40000"/>
              </w14:srgbClr>
            </w14:solidFill>
          </w14:textFill>
        </w:rPr>
        <w:t>江苏省贸促会发展研究部</w:t>
      </w:r>
      <w:r>
        <w:rPr>
          <w:rFonts w:ascii="Times New Roman" w:hAnsi="Times New Roman" w:eastAsia="宋体" w:cs="Times New Roman"/>
          <w:b/>
          <w:color w:val="00B0F0"/>
          <w:kern w:val="36"/>
          <w:sz w:val="28"/>
          <w:szCs w:val="28"/>
        </w:rPr>
        <w:t xml:space="preserve"> </w:t>
      </w:r>
      <w:r>
        <w:rPr>
          <w:rFonts w:ascii="Times New Roman" w:hAnsi="Times New Roman" w:eastAsia="宋体" w:cs="Times New Roman"/>
          <w:b/>
          <w:color w:val="000000"/>
          <w:kern w:val="36"/>
          <w:sz w:val="36"/>
          <w:szCs w:val="36"/>
        </w:rPr>
        <w:t xml:space="preserve">        </w:t>
      </w:r>
      <w:r>
        <w:rPr>
          <w:rFonts w:ascii="Times New Roman" w:hAnsi="Times New Roman" w:eastAsia="方正楷体_GBK" w:cs="Times New Roman"/>
          <w:bCs/>
          <w:color w:val="000000"/>
          <w:kern w:val="36"/>
          <w:sz w:val="36"/>
          <w:szCs w:val="36"/>
        </w:rPr>
        <w:t xml:space="preserve">      </w:t>
      </w:r>
      <w:r>
        <w:rPr>
          <w:rFonts w:ascii="Times New Roman" w:hAnsi="Times New Roman" w:eastAsia="方正楷体_GBK" w:cs="Times New Roman"/>
          <w:bCs/>
          <w:color w:val="000000"/>
          <w:kern w:val="36"/>
          <w:sz w:val="32"/>
          <w:szCs w:val="32"/>
        </w:rPr>
        <w:t xml:space="preserve"> 2024年</w:t>
      </w:r>
      <w:r>
        <w:rPr>
          <w:rFonts w:hint="eastAsia" w:ascii="Times New Roman" w:hAnsi="Times New Roman" w:eastAsia="方正楷体_GBK" w:cs="Times New Roman"/>
          <w:bCs/>
          <w:color w:val="000000"/>
          <w:kern w:val="36"/>
          <w:sz w:val="32"/>
          <w:szCs w:val="32"/>
        </w:rPr>
        <w:t>4</w:t>
      </w:r>
      <w:r>
        <w:rPr>
          <w:rFonts w:ascii="Times New Roman" w:hAnsi="Times New Roman" w:eastAsia="方正楷体_GBK" w:cs="Times New Roman"/>
          <w:bCs/>
          <w:color w:val="000000"/>
          <w:kern w:val="36"/>
          <w:sz w:val="32"/>
          <w:szCs w:val="32"/>
        </w:rPr>
        <w:t>月</w:t>
      </w:r>
      <w:r>
        <w:rPr>
          <w:rFonts w:hint="eastAsia" w:ascii="Times New Roman" w:hAnsi="Times New Roman" w:eastAsia="方正楷体_GBK" w:cs="Times New Roman"/>
          <w:bCs/>
          <w:color w:val="000000"/>
          <w:kern w:val="36"/>
          <w:sz w:val="32"/>
          <w:szCs w:val="32"/>
        </w:rPr>
        <w:t>26</w:t>
      </w:r>
      <w:r>
        <w:rPr>
          <w:rFonts w:ascii="Times New Roman" w:hAnsi="Times New Roman" w:eastAsia="方正楷体_GBK" w:cs="Times New Roman"/>
          <w:bCs/>
          <w:color w:val="000000"/>
          <w:kern w:val="36"/>
          <w:sz w:val="32"/>
          <w:szCs w:val="32"/>
        </w:rPr>
        <w:t>日</w:t>
      </w:r>
    </w:p>
    <w:p>
      <w:pPr>
        <w:widowControl/>
        <w:shd w:val="clear" w:color="auto" w:fill="FFFFFF"/>
        <w:spacing w:before="435" w:beforeLines="150" w:after="210"/>
        <w:ind w:firstLine="424" w:firstLineChars="100"/>
        <w:outlineLvl w:val="1"/>
        <w:rPr>
          <w:rFonts w:ascii="Times New Roman" w:hAnsi="Times New Roman" w:eastAsia="方正黑体_GBK" w:cs="Times New Roman"/>
          <w:bCs/>
          <w:color w:val="000000"/>
          <w:kern w:val="36"/>
          <w:sz w:val="44"/>
          <w:szCs w:val="44"/>
        </w:rPr>
      </w:pPr>
      <w:r>
        <w:rPr>
          <w:rFonts w:ascii="Times New Roman" w:hAnsi="Times New Roman" w:eastAsia="方正黑体_GBK" w:cs="Times New Roman"/>
          <w:bCs/>
          <w:color w:val="000000"/>
          <w:kern w:val="36"/>
          <w:sz w:val="44"/>
          <w:szCs w:val="44"/>
        </w:rPr>
        <w:t>目录</w:t>
      </w:r>
      <w:r>
        <w:rPr>
          <w:rFonts w:ascii="Times New Roman" w:hAnsi="Times New Roman" w:eastAsia="方正黑体_GBK" w:cs="Times New Roman"/>
          <w:bCs/>
          <w:color w:val="000000"/>
          <w:kern w:val="36"/>
          <w:sz w:val="28"/>
          <w:szCs w:val="28"/>
        </w:rPr>
        <w:t>CONTENTS</w:t>
      </w:r>
      <w:r>
        <w:rPr>
          <w:rFonts w:ascii="Times New Roman" w:hAnsi="Times New Roman" w:eastAsia="方正黑体_GBK" w:cs="Times New Roman"/>
          <w:bCs/>
          <w:color w:val="000000"/>
          <w:kern w:val="36"/>
          <w:sz w:val="32"/>
          <w:szCs w:val="32"/>
        </w:rPr>
        <w:t xml:space="preserve">  </w:t>
      </w:r>
      <w:r>
        <w:rPr>
          <w:rFonts w:ascii="Times New Roman" w:hAnsi="Times New Roman" w:eastAsia="方正黑体_GBK" w:cs="Times New Roman"/>
          <w:bCs/>
          <w:color w:val="000000"/>
          <w:kern w:val="36"/>
          <w:sz w:val="24"/>
        </w:rPr>
        <w:t>——————————————内部资料 免费赠阅</w:t>
      </w:r>
    </w:p>
    <w:p>
      <w:pPr>
        <w:widowControl/>
        <w:shd w:val="clear" w:color="auto" w:fill="FFFFFF"/>
        <w:spacing w:after="210"/>
        <w:ind w:firstLine="528" w:firstLineChars="200"/>
        <w:contextualSpacing/>
        <w:jc w:val="left"/>
        <w:outlineLvl w:val="1"/>
        <w:rPr>
          <w:rFonts w:ascii="Times New Roman" w:hAnsi="Times New Roman" w:eastAsia="宋体" w:cs="Times New Roman"/>
          <w:b/>
          <w:color w:val="1F497D"/>
          <w:kern w:val="36"/>
          <w:sz w:val="28"/>
          <w:szCs w:val="28"/>
          <w14:textFill>
            <w14:solidFill>
              <w14:srgbClr w14:val="1F497D">
                <w14:lumMod w14:val="60000"/>
                <w14:lumOff w14:val="40000"/>
              </w14:srgbClr>
            </w14:solidFill>
          </w14:textFill>
        </w:rPr>
      </w:pPr>
    </w:p>
    <w:p>
      <w:pPr>
        <w:widowControl/>
        <w:shd w:val="clear" w:color="auto" w:fill="FFFFFF"/>
        <w:spacing w:after="210"/>
        <w:ind w:firstLine="528" w:firstLineChars="200"/>
        <w:contextualSpacing/>
        <w:jc w:val="left"/>
        <w:outlineLvl w:val="1"/>
        <w:rPr>
          <w:rFonts w:ascii="Times New Roman" w:hAnsi="Times New Roman" w:eastAsia="宋体" w:cs="Times New Roman"/>
          <w:b/>
          <w:color w:val="FF0000"/>
          <w:kern w:val="36"/>
          <w:sz w:val="24"/>
        </w:rPr>
      </w:pPr>
      <w:r>
        <w:rPr>
          <w:rFonts w:ascii="Times New Roman" w:hAnsi="Times New Roman" w:eastAsia="宋体" w:cs="Times New Roman"/>
          <w:b/>
          <w:color w:val="1F497D"/>
          <w:kern w:val="36"/>
          <w:sz w:val="28"/>
          <w:szCs w:val="28"/>
          <w14:textFill>
            <w14:solidFill>
              <w14:srgbClr w14:val="1F497D">
                <w14:lumMod w14:val="60000"/>
                <w14:lumOff w14:val="40000"/>
              </w14:srgbClr>
            </w14:solidFill>
          </w14:textFill>
        </w:rPr>
        <w:t xml:space="preserve">• </w:t>
      </w:r>
      <w:r>
        <w:rPr>
          <w:rFonts w:ascii="Times New Roman" w:hAnsi="Times New Roman" w:eastAsia="方正黑体_GBK" w:cs="Times New Roman"/>
          <w:b/>
          <w:color w:val="1F497D"/>
          <w:kern w:val="36"/>
          <w:sz w:val="32"/>
          <w:szCs w:val="32"/>
          <w14:textFill>
            <w14:solidFill>
              <w14:srgbClr w14:val="1F497D">
                <w14:lumMod w14:val="60000"/>
                <w14:lumOff w14:val="40000"/>
              </w14:srgbClr>
            </w14:solidFill>
          </w14:textFill>
        </w:rPr>
        <w:t xml:space="preserve">全球市场资讯 </w:t>
      </w:r>
      <w:r>
        <w:rPr>
          <w:rFonts w:ascii="Times New Roman" w:hAnsi="Times New Roman" w:eastAsia="宋体" w:cs="Times New Roman"/>
          <w:b/>
          <w:color w:val="1F497D"/>
          <w:kern w:val="36"/>
          <w:sz w:val="28"/>
          <w:szCs w:val="28"/>
          <w14:textFill>
            <w14:solidFill>
              <w14:srgbClr w14:val="1F497D">
                <w14:lumMod w14:val="60000"/>
                <w14:lumOff w14:val="40000"/>
              </w14:srgbClr>
            </w14:solidFill>
          </w14:textFill>
        </w:rPr>
        <w:t>•</w:t>
      </w:r>
      <w:r>
        <w:rPr>
          <w:rFonts w:ascii="Times New Roman" w:hAnsi="Times New Roman" w:eastAsia="宋体" w:cs="Times New Roman"/>
          <w:b/>
          <w:color w:val="00B0F0"/>
          <w:kern w:val="36"/>
          <w:sz w:val="36"/>
          <w:szCs w:val="36"/>
        </w:rPr>
        <w:t xml:space="preserve"> </w:t>
      </w:r>
      <w:r>
        <w:rPr>
          <w:rFonts w:ascii="Times New Roman" w:hAnsi="Times New Roman" w:eastAsia="宋体" w:cs="Times New Roman"/>
          <w:b/>
          <w:color w:val="FF0000"/>
          <w:kern w:val="36"/>
          <w:sz w:val="24"/>
        </w:rPr>
        <w:t>‧‧‧‧‧‧‧‧‧‧‧‧‧‧‧‧‧‧‧‧‧‧‧‧‧‧‧‧‧‧‧‧‧‧‧‧‧‧‧‧‧‧‧‧‧‧‧‧‧‧‧‧‧‧‧‧‧‧‧‧‧‧‧‧‧‧‧‧‧‧‧‧‧‧‧‧‧‧‧‧‧‧‧‧‧‧‧‧‧‧‧‧‧‧‧‧‧‧‧‧‧‧‧</w:t>
      </w:r>
    </w:p>
    <w:p>
      <w:pPr>
        <w:widowControl/>
        <w:shd w:val="clear" w:color="auto" w:fill="FFFFFF"/>
        <w:spacing w:after="210"/>
        <w:ind w:left="550" w:leftChars="284"/>
        <w:contextualSpacing/>
        <w:jc w:val="left"/>
        <w:outlineLvl w:val="1"/>
        <w:rPr>
          <w:rFonts w:ascii="Times New Roman" w:hAnsi="Times New Roman" w:eastAsia="方正楷体_GBK" w:cs="Times New Roman"/>
          <w:b/>
          <w:kern w:val="36"/>
          <w:sz w:val="30"/>
          <w:szCs w:val="30"/>
        </w:rPr>
      </w:pPr>
      <w:r>
        <w:rPr>
          <w:rFonts w:hint="eastAsia" w:ascii="Times New Roman" w:hAnsi="Times New Roman" w:eastAsia="方正楷体_GBK" w:cs="Times New Roman"/>
          <w:b/>
          <w:kern w:val="36"/>
          <w:sz w:val="30"/>
          <w:szCs w:val="30"/>
        </w:rPr>
        <w:t xml:space="preserve">4月20日（周六）“三把手”放鹰，股债市双跌 </w:t>
      </w:r>
      <w:r>
        <w:rPr>
          <w:rFonts w:ascii="Times New Roman" w:hAnsi="Times New Roman" w:eastAsia="方正楷体_GBK" w:cs="Times New Roman"/>
          <w:b/>
          <w:kern w:val="36"/>
          <w:sz w:val="30"/>
          <w:szCs w:val="30"/>
        </w:rPr>
        <w:t>/ 01</w:t>
      </w:r>
    </w:p>
    <w:p>
      <w:pPr>
        <w:ind w:left="550" w:leftChars="284"/>
        <w:jc w:val="left"/>
        <w:rPr>
          <w:rFonts w:ascii="Times New Roman" w:hAnsi="Times New Roman" w:eastAsia="方正楷体_GBK" w:cs="Times New Roman"/>
          <w:b/>
          <w:kern w:val="36"/>
          <w:sz w:val="30"/>
          <w:szCs w:val="30"/>
        </w:rPr>
      </w:pPr>
      <w:r>
        <w:rPr>
          <w:rFonts w:hint="eastAsia" w:ascii="Times New Roman" w:hAnsi="Times New Roman" w:eastAsia="方正楷体_GBK" w:cs="Times New Roman"/>
          <w:b/>
          <w:kern w:val="36"/>
          <w:sz w:val="30"/>
          <w:szCs w:val="30"/>
        </w:rPr>
        <w:t>4</w:t>
      </w:r>
      <w:r>
        <w:rPr>
          <w:rFonts w:ascii="Times New Roman" w:hAnsi="Times New Roman" w:eastAsia="方正楷体_GBK" w:cs="Times New Roman"/>
          <w:b/>
          <w:kern w:val="36"/>
          <w:sz w:val="30"/>
          <w:szCs w:val="30"/>
        </w:rPr>
        <w:t>月</w:t>
      </w:r>
      <w:r>
        <w:rPr>
          <w:rFonts w:hint="eastAsia" w:ascii="Times New Roman" w:hAnsi="Times New Roman" w:eastAsia="方正楷体_GBK" w:cs="Times New Roman"/>
          <w:b/>
          <w:kern w:val="36"/>
          <w:sz w:val="30"/>
          <w:szCs w:val="30"/>
        </w:rPr>
        <w:t>21</w:t>
      </w:r>
      <w:r>
        <w:rPr>
          <w:rFonts w:ascii="Times New Roman" w:hAnsi="Times New Roman" w:eastAsia="方正楷体_GBK" w:cs="Times New Roman"/>
          <w:b/>
          <w:kern w:val="36"/>
          <w:sz w:val="30"/>
          <w:szCs w:val="30"/>
        </w:rPr>
        <w:t>日（周</w:t>
      </w:r>
      <w:r>
        <w:rPr>
          <w:rFonts w:hint="eastAsia" w:ascii="Times New Roman" w:hAnsi="Times New Roman" w:eastAsia="方正楷体_GBK" w:cs="Times New Roman"/>
          <w:b/>
          <w:kern w:val="36"/>
          <w:sz w:val="30"/>
          <w:szCs w:val="30"/>
        </w:rPr>
        <w:t>日</w:t>
      </w:r>
      <w:r>
        <w:rPr>
          <w:rFonts w:ascii="Times New Roman" w:hAnsi="Times New Roman" w:eastAsia="方正楷体_GBK" w:cs="Times New Roman"/>
          <w:b/>
          <w:kern w:val="36"/>
          <w:sz w:val="30"/>
          <w:szCs w:val="30"/>
        </w:rPr>
        <w:t>）</w:t>
      </w:r>
      <w:r>
        <w:rPr>
          <w:rFonts w:hint="eastAsia" w:ascii="Times New Roman" w:hAnsi="Times New Roman" w:eastAsia="方正楷体_GBK" w:cs="Times New Roman"/>
          <w:b/>
          <w:kern w:val="36"/>
          <w:sz w:val="30"/>
          <w:szCs w:val="30"/>
        </w:rPr>
        <w:t xml:space="preserve"> 3月通胀率稳定，日央行下周议息</w:t>
      </w:r>
      <w:r>
        <w:rPr>
          <w:rFonts w:ascii="Times New Roman" w:hAnsi="Times New Roman" w:eastAsia="方正楷体_GBK" w:cs="Times New Roman"/>
          <w:b/>
          <w:kern w:val="36"/>
          <w:sz w:val="30"/>
          <w:szCs w:val="30"/>
        </w:rPr>
        <w:t>/</w:t>
      </w:r>
      <w:r>
        <w:rPr>
          <w:rFonts w:hint="eastAsia" w:ascii="Times New Roman" w:hAnsi="Times New Roman" w:eastAsia="方正楷体_GBK" w:cs="Times New Roman"/>
          <w:b/>
          <w:kern w:val="36"/>
          <w:sz w:val="30"/>
          <w:szCs w:val="30"/>
        </w:rPr>
        <w:t xml:space="preserve"> </w:t>
      </w:r>
      <w:r>
        <w:rPr>
          <w:rFonts w:ascii="Times New Roman" w:hAnsi="Times New Roman" w:eastAsia="方正楷体_GBK" w:cs="Times New Roman"/>
          <w:b/>
          <w:kern w:val="36"/>
          <w:sz w:val="30"/>
          <w:szCs w:val="30"/>
        </w:rPr>
        <w:t>0</w:t>
      </w:r>
      <w:r>
        <w:rPr>
          <w:rFonts w:hint="eastAsia" w:ascii="Times New Roman" w:hAnsi="Times New Roman" w:eastAsia="方正楷体_GBK" w:cs="Times New Roman"/>
          <w:b/>
          <w:kern w:val="36"/>
          <w:sz w:val="30"/>
          <w:szCs w:val="30"/>
        </w:rPr>
        <w:t>2</w:t>
      </w:r>
    </w:p>
    <w:p>
      <w:pPr>
        <w:ind w:left="550" w:leftChars="284"/>
        <w:jc w:val="left"/>
        <w:rPr>
          <w:rFonts w:ascii="Times New Roman" w:hAnsi="Times New Roman" w:eastAsia="方正楷体_GBK" w:cs="Times New Roman"/>
          <w:b/>
          <w:kern w:val="36"/>
          <w:sz w:val="30"/>
          <w:szCs w:val="30"/>
        </w:rPr>
      </w:pPr>
      <w:r>
        <w:rPr>
          <w:rFonts w:hint="eastAsia" w:ascii="Times New Roman" w:hAnsi="Times New Roman" w:eastAsia="方正楷体_GBK" w:cs="Times New Roman"/>
          <w:b/>
          <w:kern w:val="36"/>
          <w:sz w:val="30"/>
          <w:szCs w:val="30"/>
        </w:rPr>
        <w:t>4</w:t>
      </w:r>
      <w:r>
        <w:rPr>
          <w:rFonts w:ascii="Times New Roman" w:hAnsi="Times New Roman" w:eastAsia="方正楷体_GBK" w:cs="Times New Roman"/>
          <w:b/>
          <w:kern w:val="36"/>
          <w:sz w:val="30"/>
          <w:szCs w:val="30"/>
        </w:rPr>
        <w:t>月</w:t>
      </w:r>
      <w:r>
        <w:rPr>
          <w:rFonts w:hint="eastAsia" w:ascii="Times New Roman" w:hAnsi="Times New Roman" w:eastAsia="方正楷体_GBK" w:cs="Times New Roman"/>
          <w:b/>
          <w:kern w:val="36"/>
          <w:sz w:val="30"/>
          <w:szCs w:val="30"/>
        </w:rPr>
        <w:t>22</w:t>
      </w:r>
      <w:r>
        <w:rPr>
          <w:rFonts w:ascii="Times New Roman" w:hAnsi="Times New Roman" w:eastAsia="方正楷体_GBK" w:cs="Times New Roman"/>
          <w:b/>
          <w:kern w:val="36"/>
          <w:sz w:val="30"/>
          <w:szCs w:val="30"/>
        </w:rPr>
        <w:t>日（周</w:t>
      </w:r>
      <w:r>
        <w:rPr>
          <w:rFonts w:hint="eastAsia" w:ascii="Times New Roman" w:hAnsi="Times New Roman" w:eastAsia="方正楷体_GBK" w:cs="Times New Roman"/>
          <w:b/>
          <w:kern w:val="36"/>
          <w:sz w:val="30"/>
          <w:szCs w:val="30"/>
        </w:rPr>
        <w:t>一</w:t>
      </w:r>
      <w:r>
        <w:rPr>
          <w:rFonts w:ascii="Times New Roman" w:hAnsi="Times New Roman" w:eastAsia="方正楷体_GBK" w:cs="Times New Roman"/>
          <w:b/>
          <w:kern w:val="36"/>
          <w:sz w:val="30"/>
          <w:szCs w:val="30"/>
        </w:rPr>
        <w:t>）</w:t>
      </w:r>
      <w:r>
        <w:rPr>
          <w:rFonts w:hint="eastAsia" w:ascii="Times New Roman" w:hAnsi="Times New Roman" w:eastAsia="方正楷体_GBK" w:cs="Times New Roman"/>
          <w:b/>
          <w:kern w:val="36"/>
          <w:sz w:val="30"/>
          <w:szCs w:val="30"/>
        </w:rPr>
        <w:t xml:space="preserve">军事援助不停，国债扩张不止 </w:t>
      </w:r>
      <w:r>
        <w:rPr>
          <w:rFonts w:ascii="Times New Roman" w:hAnsi="Times New Roman" w:eastAsia="方正楷体_GBK" w:cs="Times New Roman"/>
          <w:b/>
          <w:kern w:val="36"/>
          <w:sz w:val="30"/>
          <w:szCs w:val="30"/>
        </w:rPr>
        <w:t>/ 0</w:t>
      </w:r>
      <w:r>
        <w:rPr>
          <w:rFonts w:hint="eastAsia" w:ascii="Times New Roman" w:hAnsi="Times New Roman" w:eastAsia="方正楷体_GBK" w:cs="Times New Roman"/>
          <w:b/>
          <w:kern w:val="36"/>
          <w:sz w:val="30"/>
          <w:szCs w:val="30"/>
        </w:rPr>
        <w:t>4</w:t>
      </w:r>
    </w:p>
    <w:p>
      <w:pPr>
        <w:pBdr>
          <w:top w:val="none" w:color="auto" w:sz="0" w:space="1"/>
          <w:left w:val="none" w:color="auto" w:sz="0" w:space="4"/>
          <w:bottom w:val="none" w:color="auto" w:sz="0" w:space="1"/>
          <w:right w:val="none" w:color="auto" w:sz="0" w:space="4"/>
        </w:pBdr>
        <w:ind w:firstLine="568" w:firstLineChars="200"/>
        <w:jc w:val="left"/>
        <w:rPr>
          <w:b/>
          <w:bCs/>
          <w:color w:val="0000FF"/>
          <w:highlight w:val="yellow"/>
        </w:rPr>
      </w:pPr>
      <w:r>
        <w:rPr>
          <w:rFonts w:hint="eastAsia" w:ascii="Times New Roman" w:hAnsi="Times New Roman" w:eastAsia="方正楷体_GBK" w:cs="Times New Roman"/>
          <w:b/>
          <w:kern w:val="36"/>
          <w:sz w:val="30"/>
          <w:szCs w:val="30"/>
        </w:rPr>
        <w:t>4</w:t>
      </w:r>
      <w:r>
        <w:rPr>
          <w:rFonts w:ascii="Times New Roman" w:hAnsi="Times New Roman" w:eastAsia="方正楷体_GBK" w:cs="Times New Roman"/>
          <w:b/>
          <w:kern w:val="36"/>
          <w:sz w:val="30"/>
          <w:szCs w:val="30"/>
        </w:rPr>
        <w:t>月</w:t>
      </w:r>
      <w:r>
        <w:rPr>
          <w:rFonts w:hint="eastAsia" w:ascii="Times New Roman" w:hAnsi="Times New Roman" w:eastAsia="方正楷体_GBK" w:cs="Times New Roman"/>
          <w:b/>
          <w:kern w:val="36"/>
          <w:sz w:val="30"/>
          <w:szCs w:val="30"/>
        </w:rPr>
        <w:t>23</w:t>
      </w:r>
      <w:r>
        <w:rPr>
          <w:rFonts w:ascii="Times New Roman" w:hAnsi="Times New Roman" w:eastAsia="方正楷体_GBK" w:cs="Times New Roman"/>
          <w:b/>
          <w:kern w:val="36"/>
          <w:sz w:val="30"/>
          <w:szCs w:val="30"/>
        </w:rPr>
        <w:t>日（周</w:t>
      </w:r>
      <w:r>
        <w:rPr>
          <w:rFonts w:hint="eastAsia" w:ascii="Times New Roman" w:hAnsi="Times New Roman" w:eastAsia="方正楷体_GBK" w:cs="Times New Roman"/>
          <w:b/>
          <w:kern w:val="36"/>
          <w:sz w:val="30"/>
          <w:szCs w:val="30"/>
        </w:rPr>
        <w:t>二</w:t>
      </w:r>
      <w:r>
        <w:rPr>
          <w:rFonts w:ascii="Times New Roman" w:hAnsi="Times New Roman" w:eastAsia="方正楷体_GBK" w:cs="Times New Roman"/>
          <w:b/>
          <w:kern w:val="36"/>
          <w:sz w:val="30"/>
          <w:szCs w:val="30"/>
        </w:rPr>
        <w:t>）</w:t>
      </w:r>
      <w:r>
        <w:rPr>
          <w:rFonts w:hint="eastAsia" w:ascii="Times New Roman" w:hAnsi="Times New Roman" w:eastAsia="方正楷体_GBK" w:cs="Times New Roman"/>
          <w:b/>
          <w:kern w:val="36"/>
          <w:sz w:val="30"/>
          <w:szCs w:val="30"/>
        </w:rPr>
        <w:t>AI科技股降温，大宗商品抬头</w:t>
      </w:r>
      <w:r>
        <w:rPr>
          <w:rFonts w:ascii="Times New Roman" w:hAnsi="Times New Roman" w:eastAsia="方正楷体_GBK" w:cs="Times New Roman"/>
          <w:b/>
          <w:kern w:val="36"/>
          <w:sz w:val="30"/>
          <w:szCs w:val="30"/>
        </w:rPr>
        <w:t>/ 0</w:t>
      </w:r>
      <w:r>
        <w:rPr>
          <w:rFonts w:hint="eastAsia" w:ascii="Times New Roman" w:hAnsi="Times New Roman" w:eastAsia="方正楷体_GBK" w:cs="Times New Roman"/>
          <w:b/>
          <w:kern w:val="36"/>
          <w:sz w:val="30"/>
          <w:szCs w:val="30"/>
        </w:rPr>
        <w:t>6</w:t>
      </w:r>
    </w:p>
    <w:p>
      <w:pPr>
        <w:pBdr>
          <w:top w:val="none" w:color="auto" w:sz="0" w:space="1"/>
          <w:left w:val="none" w:color="auto" w:sz="0" w:space="4"/>
          <w:bottom w:val="none" w:color="auto" w:sz="0" w:space="1"/>
          <w:right w:val="none" w:color="auto" w:sz="0" w:space="4"/>
        </w:pBdr>
        <w:ind w:firstLine="568" w:firstLineChars="200"/>
        <w:jc w:val="left"/>
        <w:rPr>
          <w:rFonts w:hint="eastAsia" w:ascii="Times New Roman" w:hAnsi="Times New Roman" w:eastAsia="方正楷体_GBK" w:cs="Times New Roman"/>
          <w:b/>
          <w:kern w:val="36"/>
          <w:sz w:val="30"/>
          <w:szCs w:val="30"/>
          <w:lang w:eastAsia="zh-CN"/>
        </w:rPr>
      </w:pPr>
      <w:r>
        <w:rPr>
          <w:rFonts w:hint="eastAsia" w:ascii="Times New Roman" w:hAnsi="Times New Roman" w:eastAsia="方正楷体_GBK" w:cs="Times New Roman"/>
          <w:b/>
          <w:kern w:val="36"/>
          <w:sz w:val="30"/>
          <w:szCs w:val="30"/>
        </w:rPr>
        <w:t>4</w:t>
      </w:r>
      <w:r>
        <w:rPr>
          <w:rFonts w:ascii="Times New Roman" w:hAnsi="Times New Roman" w:eastAsia="方正楷体_GBK" w:cs="Times New Roman"/>
          <w:b/>
          <w:kern w:val="36"/>
          <w:sz w:val="30"/>
          <w:szCs w:val="30"/>
        </w:rPr>
        <w:t>月</w:t>
      </w:r>
      <w:r>
        <w:rPr>
          <w:rFonts w:hint="eastAsia" w:ascii="Times New Roman" w:hAnsi="Times New Roman" w:eastAsia="方正楷体_GBK" w:cs="Times New Roman"/>
          <w:b/>
          <w:kern w:val="36"/>
          <w:sz w:val="30"/>
          <w:szCs w:val="30"/>
        </w:rPr>
        <w:t>24</w:t>
      </w:r>
      <w:r>
        <w:rPr>
          <w:rFonts w:ascii="Times New Roman" w:hAnsi="Times New Roman" w:eastAsia="方正楷体_GBK" w:cs="Times New Roman"/>
          <w:b/>
          <w:kern w:val="36"/>
          <w:sz w:val="30"/>
          <w:szCs w:val="30"/>
        </w:rPr>
        <w:t>日（周</w:t>
      </w:r>
      <w:r>
        <w:rPr>
          <w:rFonts w:hint="eastAsia" w:ascii="Times New Roman" w:hAnsi="Times New Roman" w:eastAsia="方正楷体_GBK" w:cs="Times New Roman"/>
          <w:b/>
          <w:kern w:val="36"/>
          <w:sz w:val="30"/>
          <w:szCs w:val="30"/>
        </w:rPr>
        <w:t>三</w:t>
      </w:r>
      <w:r>
        <w:rPr>
          <w:rFonts w:ascii="Times New Roman" w:hAnsi="Times New Roman" w:eastAsia="方正楷体_GBK" w:cs="Times New Roman"/>
          <w:b/>
          <w:kern w:val="36"/>
          <w:sz w:val="30"/>
          <w:szCs w:val="30"/>
        </w:rPr>
        <w:t>）</w:t>
      </w:r>
      <w:r>
        <w:rPr>
          <w:rFonts w:hint="eastAsia" w:ascii="Times New Roman" w:hAnsi="Times New Roman" w:eastAsia="方正楷体_GBK" w:cs="Times New Roman"/>
          <w:b/>
          <w:kern w:val="36"/>
          <w:sz w:val="30"/>
          <w:szCs w:val="30"/>
        </w:rPr>
        <w:t xml:space="preserve">PMI走势各异，投资者解读不同 </w:t>
      </w:r>
      <w:r>
        <w:rPr>
          <w:rFonts w:ascii="Times New Roman" w:hAnsi="Times New Roman" w:eastAsia="方正楷体_GBK" w:cs="Times New Roman"/>
          <w:b/>
          <w:kern w:val="36"/>
          <w:sz w:val="30"/>
          <w:szCs w:val="30"/>
        </w:rPr>
        <w:t>/ 0</w:t>
      </w:r>
      <w:r>
        <w:rPr>
          <w:rFonts w:hint="eastAsia" w:ascii="Times New Roman" w:hAnsi="Times New Roman" w:eastAsia="方正楷体_GBK" w:cs="Times New Roman"/>
          <w:b/>
          <w:kern w:val="36"/>
          <w:sz w:val="30"/>
          <w:szCs w:val="30"/>
          <w:lang w:val="en-US" w:eastAsia="zh-CN"/>
        </w:rPr>
        <w:t>8</w:t>
      </w:r>
    </w:p>
    <w:p>
      <w:pPr>
        <w:pBdr>
          <w:top w:val="none" w:color="auto" w:sz="0" w:space="1"/>
          <w:left w:val="none" w:color="auto" w:sz="0" w:space="4"/>
          <w:bottom w:val="none" w:color="auto" w:sz="0" w:space="1"/>
          <w:right w:val="none" w:color="auto" w:sz="0" w:space="4"/>
        </w:pBdr>
        <w:ind w:firstLine="568" w:firstLineChars="200"/>
        <w:jc w:val="left"/>
        <w:rPr>
          <w:rFonts w:hint="default" w:ascii="Times New Roman" w:hAnsi="Times New Roman" w:eastAsia="方正楷体_GBK" w:cs="Times New Roman"/>
          <w:b/>
          <w:kern w:val="36"/>
          <w:sz w:val="30"/>
          <w:szCs w:val="30"/>
          <w:lang w:val="en-US" w:eastAsia="zh-CN"/>
        </w:rPr>
      </w:pPr>
      <w:r>
        <w:rPr>
          <w:rFonts w:hint="eastAsia" w:ascii="Times New Roman" w:hAnsi="Times New Roman" w:eastAsia="方正楷体_GBK" w:cs="Times New Roman"/>
          <w:b/>
          <w:kern w:val="36"/>
          <w:sz w:val="30"/>
          <w:szCs w:val="30"/>
        </w:rPr>
        <w:t>4</w:t>
      </w:r>
      <w:r>
        <w:rPr>
          <w:rFonts w:ascii="Times New Roman" w:hAnsi="Times New Roman" w:eastAsia="方正楷体_GBK" w:cs="Times New Roman"/>
          <w:b/>
          <w:kern w:val="36"/>
          <w:sz w:val="30"/>
          <w:szCs w:val="30"/>
        </w:rPr>
        <w:t>月</w:t>
      </w:r>
      <w:r>
        <w:rPr>
          <w:rFonts w:hint="eastAsia" w:ascii="Times New Roman" w:hAnsi="Times New Roman" w:eastAsia="方正楷体_GBK" w:cs="Times New Roman"/>
          <w:b/>
          <w:kern w:val="36"/>
          <w:sz w:val="30"/>
          <w:szCs w:val="30"/>
        </w:rPr>
        <w:t>25</w:t>
      </w:r>
      <w:r>
        <w:rPr>
          <w:rFonts w:ascii="Times New Roman" w:hAnsi="Times New Roman" w:eastAsia="方正楷体_GBK" w:cs="Times New Roman"/>
          <w:b/>
          <w:kern w:val="36"/>
          <w:sz w:val="30"/>
          <w:szCs w:val="30"/>
        </w:rPr>
        <w:t>日（周</w:t>
      </w:r>
      <w:r>
        <w:rPr>
          <w:rFonts w:hint="eastAsia" w:ascii="Times New Roman" w:hAnsi="Times New Roman" w:eastAsia="方正楷体_GBK" w:cs="Times New Roman"/>
          <w:b/>
          <w:kern w:val="36"/>
          <w:sz w:val="30"/>
          <w:szCs w:val="30"/>
        </w:rPr>
        <w:t>四</w:t>
      </w:r>
      <w:r>
        <w:rPr>
          <w:rFonts w:ascii="Times New Roman" w:hAnsi="Times New Roman" w:eastAsia="方正楷体_GBK" w:cs="Times New Roman"/>
          <w:b/>
          <w:kern w:val="36"/>
          <w:sz w:val="30"/>
          <w:szCs w:val="30"/>
        </w:rPr>
        <w:t>）</w:t>
      </w:r>
      <w:r>
        <w:rPr>
          <w:rFonts w:hint="eastAsia" w:ascii="Times New Roman" w:hAnsi="Times New Roman" w:eastAsia="方正楷体_GBK" w:cs="Times New Roman"/>
          <w:b/>
          <w:kern w:val="36"/>
          <w:sz w:val="30"/>
          <w:szCs w:val="30"/>
        </w:rPr>
        <w:t>美债供应放大，日元汇率大跌</w:t>
      </w:r>
      <w:r>
        <w:rPr>
          <w:rFonts w:ascii="Times New Roman" w:hAnsi="Times New Roman" w:eastAsia="方正楷体_GBK" w:cs="Times New Roman"/>
          <w:b/>
          <w:kern w:val="36"/>
          <w:sz w:val="30"/>
          <w:szCs w:val="30"/>
        </w:rPr>
        <w:t xml:space="preserve">/ </w:t>
      </w:r>
      <w:r>
        <w:rPr>
          <w:rFonts w:hint="eastAsia" w:ascii="Times New Roman" w:hAnsi="Times New Roman" w:eastAsia="方正楷体_GBK" w:cs="Times New Roman"/>
          <w:b/>
          <w:kern w:val="36"/>
          <w:sz w:val="30"/>
          <w:szCs w:val="30"/>
          <w:lang w:val="en-US" w:eastAsia="zh-CN"/>
        </w:rPr>
        <w:t>10</w:t>
      </w:r>
    </w:p>
    <w:p>
      <w:pPr>
        <w:pBdr>
          <w:top w:val="none" w:color="auto" w:sz="0" w:space="1"/>
          <w:left w:val="none" w:color="auto" w:sz="0" w:space="4"/>
          <w:bottom w:val="none" w:color="auto" w:sz="0" w:space="1"/>
          <w:right w:val="none" w:color="auto" w:sz="0" w:space="4"/>
        </w:pBdr>
        <w:ind w:firstLine="568" w:firstLineChars="200"/>
        <w:jc w:val="left"/>
        <w:rPr>
          <w:rFonts w:hint="default" w:ascii="Times New Roman" w:hAnsi="Times New Roman" w:eastAsia="方正楷体_GBK" w:cs="Times New Roman"/>
          <w:b/>
          <w:kern w:val="36"/>
          <w:sz w:val="30"/>
          <w:szCs w:val="30"/>
          <w:lang w:val="en-US"/>
        </w:rPr>
      </w:pPr>
      <w:r>
        <w:rPr>
          <w:rFonts w:hint="eastAsia" w:ascii="Times New Roman" w:hAnsi="Times New Roman" w:eastAsia="方正楷体_GBK" w:cs="Times New Roman"/>
          <w:b/>
          <w:kern w:val="36"/>
          <w:sz w:val="30"/>
          <w:szCs w:val="30"/>
        </w:rPr>
        <w:t>4</w:t>
      </w:r>
      <w:r>
        <w:rPr>
          <w:rFonts w:ascii="Times New Roman" w:hAnsi="Times New Roman" w:eastAsia="方正楷体_GBK" w:cs="Times New Roman"/>
          <w:b/>
          <w:kern w:val="36"/>
          <w:sz w:val="30"/>
          <w:szCs w:val="30"/>
        </w:rPr>
        <w:t>月</w:t>
      </w:r>
      <w:r>
        <w:rPr>
          <w:rFonts w:hint="eastAsia" w:ascii="Times New Roman" w:hAnsi="Times New Roman" w:eastAsia="方正楷体_GBK" w:cs="Times New Roman"/>
          <w:b/>
          <w:kern w:val="36"/>
          <w:sz w:val="30"/>
          <w:szCs w:val="30"/>
        </w:rPr>
        <w:t>26</w:t>
      </w:r>
      <w:r>
        <w:rPr>
          <w:rFonts w:ascii="Times New Roman" w:hAnsi="Times New Roman" w:eastAsia="方正楷体_GBK" w:cs="Times New Roman"/>
          <w:b/>
          <w:kern w:val="36"/>
          <w:sz w:val="30"/>
          <w:szCs w:val="30"/>
        </w:rPr>
        <w:t>日（周</w:t>
      </w:r>
      <w:r>
        <w:rPr>
          <w:rFonts w:hint="eastAsia" w:ascii="Times New Roman" w:hAnsi="Times New Roman" w:eastAsia="方正楷体_GBK" w:cs="Times New Roman"/>
          <w:b/>
          <w:kern w:val="36"/>
          <w:sz w:val="30"/>
          <w:szCs w:val="30"/>
        </w:rPr>
        <w:t>五</w:t>
      </w:r>
      <w:r>
        <w:rPr>
          <w:rFonts w:ascii="Times New Roman" w:hAnsi="Times New Roman" w:eastAsia="方正楷体_GBK" w:cs="Times New Roman"/>
          <w:b/>
          <w:kern w:val="36"/>
          <w:sz w:val="30"/>
          <w:szCs w:val="30"/>
        </w:rPr>
        <w:t>）</w:t>
      </w:r>
      <w:r>
        <w:rPr>
          <w:rFonts w:hint="eastAsia" w:ascii="Times New Roman" w:hAnsi="Times New Roman" w:eastAsia="方正楷体_GBK" w:cs="Times New Roman"/>
          <w:b/>
          <w:kern w:val="36"/>
          <w:sz w:val="30"/>
          <w:szCs w:val="30"/>
        </w:rPr>
        <w:t>美国通胀反弹，经济增长放缓</w:t>
      </w:r>
      <w:r>
        <w:rPr>
          <w:rFonts w:hint="eastAsia" w:ascii="Times New Roman" w:hAnsi="Times New Roman" w:eastAsia="方正楷体_GBK" w:cs="Times New Roman"/>
          <w:b/>
          <w:kern w:val="36"/>
          <w:sz w:val="30"/>
          <w:szCs w:val="30"/>
          <w:lang w:val="en-US" w:eastAsia="zh-CN"/>
        </w:rPr>
        <w:t>/11</w:t>
      </w:r>
    </w:p>
    <w:p>
      <w:pPr>
        <w:widowControl/>
        <w:shd w:val="clear" w:color="auto" w:fill="FFFFFF"/>
        <w:spacing w:after="210"/>
        <w:ind w:firstLine="528" w:firstLineChars="200"/>
        <w:contextualSpacing/>
        <w:jc w:val="left"/>
        <w:outlineLvl w:val="1"/>
        <w:rPr>
          <w:rFonts w:ascii="Times New Roman" w:hAnsi="Times New Roman" w:eastAsia="方正黑体_GBK" w:cs="Times New Roman"/>
          <w:b/>
          <w:color w:val="FFC000"/>
          <w:kern w:val="36"/>
          <w:sz w:val="28"/>
          <w:szCs w:val="28"/>
        </w:rPr>
      </w:pPr>
      <w:r>
        <w:rPr>
          <w:rFonts w:ascii="Times New Roman" w:hAnsi="Times New Roman" w:eastAsia="方正黑体_GBK" w:cs="Times New Roman"/>
          <w:b/>
          <w:color w:val="1F497D"/>
          <w:kern w:val="36"/>
          <w:sz w:val="28"/>
          <w:szCs w:val="28"/>
          <w14:textFill>
            <w14:solidFill>
              <w14:srgbClr w14:val="1F497D">
                <w14:lumMod w14:val="60000"/>
                <w14:lumOff w14:val="40000"/>
              </w14:srgbClr>
            </w14:solidFill>
          </w14:textFill>
        </w:rPr>
        <w:t xml:space="preserve">• </w:t>
      </w:r>
      <w:r>
        <w:rPr>
          <w:rFonts w:ascii="Times New Roman" w:hAnsi="Times New Roman" w:eastAsia="方正黑体_GBK" w:cs="Times New Roman"/>
          <w:b/>
          <w:color w:val="1F497D"/>
          <w:kern w:val="36"/>
          <w:sz w:val="32"/>
          <w:szCs w:val="32"/>
          <w14:textFill>
            <w14:solidFill>
              <w14:srgbClr w14:val="1F497D">
                <w14:lumMod w14:val="60000"/>
                <w14:lumOff w14:val="40000"/>
              </w14:srgbClr>
            </w14:solidFill>
          </w14:textFill>
        </w:rPr>
        <w:t>江苏贸促动态</w:t>
      </w:r>
      <w:r>
        <w:rPr>
          <w:rFonts w:ascii="Times New Roman" w:hAnsi="Times New Roman" w:eastAsia="方正黑体_GBK" w:cs="Times New Roman"/>
          <w:b/>
          <w:color w:val="1F497D"/>
          <w:kern w:val="36"/>
          <w:sz w:val="28"/>
          <w:szCs w:val="28"/>
          <w14:textFill>
            <w14:solidFill>
              <w14:srgbClr w14:val="1F497D">
                <w14:lumMod w14:val="60000"/>
                <w14:lumOff w14:val="40000"/>
              </w14:srgbClr>
            </w14:solidFill>
          </w14:textFill>
        </w:rPr>
        <w:t xml:space="preserve"> •</w:t>
      </w:r>
      <w:r>
        <w:rPr>
          <w:rFonts w:ascii="Times New Roman" w:hAnsi="Times New Roman" w:eastAsia="方正黑体_GBK" w:cs="Times New Roman"/>
          <w:b/>
          <w:color w:val="00B0F0"/>
          <w:kern w:val="36"/>
          <w:sz w:val="28"/>
          <w:szCs w:val="28"/>
        </w:rPr>
        <w:t xml:space="preserve"> </w:t>
      </w:r>
      <w:r>
        <w:rPr>
          <w:rFonts w:ascii="Times New Roman" w:hAnsi="Times New Roman" w:eastAsia="宋体" w:cs="Times New Roman"/>
          <w:b/>
          <w:color w:val="FF0000"/>
          <w:kern w:val="36"/>
          <w:sz w:val="24"/>
        </w:rPr>
        <w:t>‧‧‧‧‧‧‧‧‧‧‧‧‧‧‧‧‧‧‧‧‧‧‧‧‧‧‧‧‧‧‧‧‧‧‧‧‧‧‧‧‧‧‧‧‧‧‧‧‧‧‧‧‧‧‧‧‧‧‧‧‧‧‧‧‧‧‧‧‧‧‧‧‧‧‧‧‧‧‧‧‧‧‧‧‧‧‧‧‧‧‧‧‧‧‧‧‧‧‧‧‧‧‧</w:t>
      </w:r>
    </w:p>
    <w:p>
      <w:pPr>
        <w:widowControl/>
        <w:shd w:val="clear" w:color="auto" w:fill="FFFFFF"/>
        <w:ind w:firstLine="568" w:firstLineChars="200"/>
        <w:contextualSpacing/>
        <w:outlineLvl w:val="1"/>
        <w:rPr>
          <w:rFonts w:hint="default" w:ascii="Times New Roman" w:hAnsi="Times New Roman" w:eastAsia="方正楷体_GBK" w:cs="Times New Roman"/>
          <w:b/>
          <w:kern w:val="36"/>
          <w:sz w:val="30"/>
          <w:szCs w:val="30"/>
          <w:lang w:val="en-US" w:eastAsia="zh-CN"/>
        </w:rPr>
      </w:pPr>
      <w:r>
        <w:rPr>
          <w:rFonts w:hint="eastAsia" w:ascii="Times New Roman" w:hAnsi="Times New Roman" w:eastAsia="方正楷体_GBK" w:cs="Times New Roman"/>
          <w:b/>
          <w:kern w:val="36"/>
          <w:sz w:val="30"/>
          <w:szCs w:val="30"/>
        </w:rPr>
        <w:t xml:space="preserve">省贸促会领导会见特斯拉东一区对外事务负责人蒋文渊 </w:t>
      </w:r>
      <w:r>
        <w:rPr>
          <w:rFonts w:ascii="Times New Roman" w:hAnsi="Times New Roman" w:eastAsia="方正楷体_GBK" w:cs="Times New Roman"/>
          <w:b/>
          <w:kern w:val="36"/>
          <w:sz w:val="30"/>
          <w:szCs w:val="30"/>
        </w:rPr>
        <w:t>/</w:t>
      </w:r>
      <w:r>
        <w:rPr>
          <w:rFonts w:hint="eastAsia" w:ascii="Times New Roman" w:hAnsi="Times New Roman" w:eastAsia="方正楷体_GBK" w:cs="Times New Roman"/>
          <w:b/>
          <w:kern w:val="36"/>
          <w:sz w:val="30"/>
          <w:szCs w:val="30"/>
        </w:rPr>
        <w:t xml:space="preserve"> </w:t>
      </w:r>
      <w:r>
        <w:rPr>
          <w:rFonts w:hint="eastAsia" w:ascii="Times New Roman" w:hAnsi="Times New Roman" w:eastAsia="方正楷体_GBK" w:cs="Times New Roman"/>
          <w:b/>
          <w:kern w:val="36"/>
          <w:sz w:val="30"/>
          <w:szCs w:val="30"/>
          <w:lang w:val="en-US" w:eastAsia="zh-CN"/>
        </w:rPr>
        <w:t>13</w:t>
      </w:r>
    </w:p>
    <w:p>
      <w:pPr>
        <w:widowControl/>
        <w:shd w:val="clear" w:color="auto" w:fill="FFFFFF"/>
        <w:ind w:left="550" w:leftChars="284" w:firstLine="0" w:firstLineChars="0"/>
        <w:contextualSpacing/>
        <w:outlineLvl w:val="1"/>
        <w:rPr>
          <w:rFonts w:hint="eastAsia" w:ascii="Times New Roman" w:hAnsi="Times New Roman" w:eastAsia="方正楷体_GBK" w:cs="Times New Roman"/>
          <w:b/>
          <w:kern w:val="36"/>
          <w:sz w:val="30"/>
          <w:szCs w:val="30"/>
        </w:rPr>
      </w:pPr>
      <w:r>
        <w:rPr>
          <w:rFonts w:hint="eastAsia" w:ascii="Times New Roman" w:hAnsi="Times New Roman" w:eastAsia="方正楷体_GBK" w:cs="Times New Roman"/>
          <w:b/>
          <w:kern w:val="36"/>
          <w:sz w:val="30"/>
          <w:szCs w:val="30"/>
        </w:rPr>
        <w:t>我会与南通开发区法院、南通贸促会签署涉外商事法律服务战略</w:t>
      </w:r>
    </w:p>
    <w:p>
      <w:pPr>
        <w:widowControl/>
        <w:shd w:val="clear" w:color="auto" w:fill="FFFFFF"/>
        <w:ind w:left="550" w:leftChars="284" w:firstLine="0" w:firstLineChars="0"/>
        <w:contextualSpacing/>
        <w:outlineLvl w:val="1"/>
        <w:rPr>
          <w:rFonts w:hint="default" w:ascii="Times New Roman" w:hAnsi="Times New Roman" w:eastAsia="方正楷体_GBK" w:cs="Times New Roman"/>
          <w:b/>
          <w:kern w:val="36"/>
          <w:sz w:val="30"/>
          <w:szCs w:val="30"/>
          <w:lang w:val="en-US" w:eastAsia="zh-CN"/>
        </w:rPr>
      </w:pPr>
      <w:r>
        <w:rPr>
          <w:rFonts w:hint="eastAsia" w:ascii="Times New Roman" w:hAnsi="Times New Roman" w:eastAsia="方正楷体_GBK" w:cs="Times New Roman"/>
          <w:b/>
          <w:kern w:val="36"/>
          <w:sz w:val="30"/>
          <w:szCs w:val="30"/>
        </w:rPr>
        <w:t xml:space="preserve">合作框架协议 </w:t>
      </w:r>
      <w:r>
        <w:rPr>
          <w:rFonts w:ascii="Times New Roman" w:hAnsi="Times New Roman" w:eastAsia="方正楷体_GBK" w:cs="Times New Roman"/>
          <w:b/>
          <w:kern w:val="36"/>
          <w:sz w:val="30"/>
          <w:szCs w:val="30"/>
        </w:rPr>
        <w:t>/</w:t>
      </w:r>
      <w:r>
        <w:rPr>
          <w:rFonts w:hint="eastAsia" w:ascii="Times New Roman" w:hAnsi="Times New Roman" w:eastAsia="方正楷体_GBK" w:cs="Times New Roman"/>
          <w:b/>
          <w:kern w:val="36"/>
          <w:sz w:val="30"/>
          <w:szCs w:val="30"/>
        </w:rPr>
        <w:t xml:space="preserve"> </w:t>
      </w:r>
      <w:r>
        <w:rPr>
          <w:rFonts w:hint="eastAsia" w:ascii="Times New Roman" w:hAnsi="Times New Roman" w:eastAsia="方正楷体_GBK" w:cs="Times New Roman"/>
          <w:b/>
          <w:kern w:val="36"/>
          <w:sz w:val="30"/>
          <w:szCs w:val="30"/>
          <w:lang w:val="en-US" w:eastAsia="zh-CN"/>
        </w:rPr>
        <w:t>14</w:t>
      </w:r>
    </w:p>
    <w:p>
      <w:pPr>
        <w:widowControl/>
        <w:shd w:val="clear" w:color="auto" w:fill="FFFFFF"/>
        <w:ind w:firstLine="568" w:firstLineChars="200"/>
        <w:contextualSpacing/>
        <w:outlineLvl w:val="1"/>
        <w:rPr>
          <w:rFonts w:hint="default" w:ascii="Times New Roman" w:hAnsi="Times New Roman" w:eastAsia="方正楷体_GBK" w:cs="Times New Roman"/>
          <w:b/>
          <w:kern w:val="36"/>
          <w:sz w:val="30"/>
          <w:szCs w:val="30"/>
          <w:lang w:val="en-US" w:eastAsia="zh-CN"/>
        </w:rPr>
      </w:pPr>
      <w:r>
        <w:rPr>
          <w:rFonts w:hint="eastAsia" w:ascii="Times New Roman" w:hAnsi="Times New Roman" w:eastAsia="方正楷体_GBK" w:cs="Times New Roman"/>
          <w:b/>
          <w:kern w:val="36"/>
          <w:sz w:val="30"/>
          <w:szCs w:val="30"/>
        </w:rPr>
        <w:t xml:space="preserve">省贸促会领导带队赴海安开展“走出去”企业调研 </w:t>
      </w:r>
      <w:r>
        <w:rPr>
          <w:rFonts w:ascii="Times New Roman" w:hAnsi="Times New Roman" w:eastAsia="方正楷体_GBK" w:cs="Times New Roman"/>
          <w:b/>
          <w:kern w:val="36"/>
          <w:sz w:val="30"/>
          <w:szCs w:val="30"/>
        </w:rPr>
        <w:t>/</w:t>
      </w:r>
      <w:r>
        <w:rPr>
          <w:rFonts w:hint="eastAsia" w:ascii="Times New Roman" w:hAnsi="Times New Roman" w:eastAsia="方正楷体_GBK" w:cs="Times New Roman"/>
          <w:b/>
          <w:kern w:val="36"/>
          <w:sz w:val="30"/>
          <w:szCs w:val="30"/>
        </w:rPr>
        <w:t xml:space="preserve"> </w:t>
      </w:r>
      <w:r>
        <w:rPr>
          <w:rFonts w:hint="eastAsia" w:ascii="Times New Roman" w:hAnsi="Times New Roman" w:eastAsia="方正楷体_GBK" w:cs="Times New Roman"/>
          <w:b/>
          <w:kern w:val="36"/>
          <w:sz w:val="30"/>
          <w:szCs w:val="30"/>
          <w:lang w:val="en-US" w:eastAsia="zh-CN"/>
        </w:rPr>
        <w:t>15</w:t>
      </w:r>
    </w:p>
    <w:p>
      <w:pPr>
        <w:widowControl/>
        <w:shd w:val="clear" w:color="auto" w:fill="FFFFFF"/>
        <w:ind w:firstLine="568" w:firstLineChars="200"/>
        <w:contextualSpacing/>
        <w:outlineLvl w:val="1"/>
        <w:rPr>
          <w:rFonts w:hint="default" w:ascii="Times New Roman" w:hAnsi="Times New Roman" w:eastAsia="方正楷体_GBK" w:cs="Times New Roman"/>
          <w:b/>
          <w:kern w:val="36"/>
          <w:sz w:val="30"/>
          <w:szCs w:val="30"/>
          <w:lang w:val="en-US" w:eastAsia="zh-CN"/>
        </w:rPr>
      </w:pPr>
      <w:r>
        <w:rPr>
          <w:rFonts w:hint="eastAsia" w:ascii="Times New Roman" w:hAnsi="Times New Roman" w:eastAsia="方正楷体_GBK" w:cs="Times New Roman"/>
          <w:b/>
          <w:kern w:val="36"/>
          <w:sz w:val="30"/>
          <w:szCs w:val="30"/>
        </w:rPr>
        <w:t xml:space="preserve">全国贸促系统法律工作会议在杭州召开 </w:t>
      </w:r>
      <w:r>
        <w:rPr>
          <w:rFonts w:ascii="Times New Roman" w:hAnsi="Times New Roman" w:eastAsia="方正楷体_GBK" w:cs="Times New Roman"/>
          <w:b/>
          <w:kern w:val="36"/>
          <w:sz w:val="30"/>
          <w:szCs w:val="30"/>
        </w:rPr>
        <w:t>/</w:t>
      </w:r>
      <w:r>
        <w:rPr>
          <w:rFonts w:hint="eastAsia" w:ascii="Times New Roman" w:hAnsi="Times New Roman" w:eastAsia="方正楷体_GBK" w:cs="Times New Roman"/>
          <w:b/>
          <w:kern w:val="36"/>
          <w:sz w:val="30"/>
          <w:szCs w:val="30"/>
        </w:rPr>
        <w:t xml:space="preserve"> </w:t>
      </w:r>
      <w:r>
        <w:rPr>
          <w:rFonts w:hint="eastAsia" w:ascii="Times New Roman" w:hAnsi="Times New Roman" w:eastAsia="方正楷体_GBK" w:cs="Times New Roman"/>
          <w:b/>
          <w:kern w:val="36"/>
          <w:sz w:val="30"/>
          <w:szCs w:val="30"/>
          <w:lang w:val="en-US" w:eastAsia="zh-CN"/>
        </w:rPr>
        <w:t>16</w:t>
      </w:r>
    </w:p>
    <w:p>
      <w:pPr>
        <w:widowControl/>
        <w:shd w:val="clear" w:color="auto" w:fill="FFFFFF"/>
        <w:ind w:firstLine="568" w:firstLineChars="200"/>
        <w:contextualSpacing/>
        <w:outlineLvl w:val="1"/>
        <w:rPr>
          <w:rFonts w:hint="default" w:ascii="Times New Roman" w:hAnsi="Times New Roman" w:eastAsia="方正楷体_GBK" w:cs="Times New Roman"/>
          <w:b/>
          <w:kern w:val="36"/>
          <w:sz w:val="30"/>
          <w:szCs w:val="30"/>
          <w:lang w:val="en-US" w:eastAsia="zh-CN"/>
        </w:rPr>
      </w:pPr>
      <w:r>
        <w:rPr>
          <w:rFonts w:hint="eastAsia" w:ascii="Times New Roman" w:hAnsi="Times New Roman" w:eastAsia="方正楷体_GBK" w:cs="Times New Roman"/>
          <w:b/>
          <w:kern w:val="36"/>
          <w:sz w:val="30"/>
          <w:szCs w:val="30"/>
        </w:rPr>
        <w:t xml:space="preserve">南京市贸促会开展国际商事法律服务基层行活动 </w:t>
      </w:r>
      <w:r>
        <w:rPr>
          <w:rFonts w:ascii="Times New Roman" w:hAnsi="Times New Roman" w:eastAsia="方正楷体_GBK" w:cs="Times New Roman"/>
          <w:b/>
          <w:kern w:val="36"/>
          <w:sz w:val="30"/>
          <w:szCs w:val="30"/>
        </w:rPr>
        <w:t>/</w:t>
      </w:r>
      <w:r>
        <w:rPr>
          <w:rFonts w:hint="eastAsia" w:ascii="Times New Roman" w:hAnsi="Times New Roman" w:eastAsia="方正楷体_GBK" w:cs="Times New Roman"/>
          <w:b/>
          <w:kern w:val="36"/>
          <w:sz w:val="30"/>
          <w:szCs w:val="30"/>
        </w:rPr>
        <w:t xml:space="preserve"> </w:t>
      </w:r>
      <w:r>
        <w:rPr>
          <w:rFonts w:hint="eastAsia" w:ascii="Times New Roman" w:hAnsi="Times New Roman" w:eastAsia="方正楷体_GBK" w:cs="Times New Roman"/>
          <w:b/>
          <w:kern w:val="36"/>
          <w:sz w:val="30"/>
          <w:szCs w:val="30"/>
          <w:lang w:val="en-US" w:eastAsia="zh-CN"/>
        </w:rPr>
        <w:t>17</w:t>
      </w:r>
    </w:p>
    <w:p>
      <w:pPr>
        <w:widowControl/>
        <w:shd w:val="clear" w:color="auto" w:fill="FFFFFF"/>
        <w:ind w:firstLine="568" w:firstLineChars="200"/>
        <w:contextualSpacing/>
        <w:outlineLvl w:val="1"/>
        <w:rPr>
          <w:rFonts w:hint="default" w:ascii="Times New Roman" w:hAnsi="Times New Roman" w:eastAsia="方正楷体_GBK" w:cs="Times New Roman"/>
          <w:b/>
          <w:kern w:val="36"/>
          <w:sz w:val="30"/>
          <w:szCs w:val="30"/>
          <w:lang w:val="en-US" w:eastAsia="zh-CN"/>
        </w:rPr>
      </w:pPr>
      <w:r>
        <w:rPr>
          <w:rFonts w:hint="eastAsia" w:ascii="Times New Roman" w:hAnsi="Times New Roman" w:eastAsia="方正楷体_GBK" w:cs="Times New Roman"/>
          <w:b/>
          <w:kern w:val="36"/>
          <w:sz w:val="30"/>
          <w:szCs w:val="30"/>
        </w:rPr>
        <w:t xml:space="preserve">无锡市贸促会组团开展澳新市场开拓行 </w:t>
      </w:r>
      <w:r>
        <w:rPr>
          <w:rFonts w:ascii="Times New Roman" w:hAnsi="Times New Roman" w:eastAsia="方正楷体_GBK" w:cs="Times New Roman"/>
          <w:b/>
          <w:kern w:val="36"/>
          <w:sz w:val="30"/>
          <w:szCs w:val="30"/>
        </w:rPr>
        <w:t>/</w:t>
      </w:r>
      <w:r>
        <w:rPr>
          <w:rFonts w:hint="eastAsia" w:ascii="Times New Roman" w:hAnsi="Times New Roman" w:eastAsia="方正楷体_GBK" w:cs="Times New Roman"/>
          <w:b/>
          <w:kern w:val="36"/>
          <w:sz w:val="30"/>
          <w:szCs w:val="30"/>
        </w:rPr>
        <w:t xml:space="preserve"> </w:t>
      </w:r>
      <w:r>
        <w:rPr>
          <w:rFonts w:hint="eastAsia" w:ascii="Times New Roman" w:hAnsi="Times New Roman" w:eastAsia="方正楷体_GBK" w:cs="Times New Roman"/>
          <w:b/>
          <w:kern w:val="36"/>
          <w:sz w:val="30"/>
          <w:szCs w:val="30"/>
          <w:lang w:val="en-US" w:eastAsia="zh-CN"/>
        </w:rPr>
        <w:t>18</w:t>
      </w:r>
    </w:p>
    <w:p>
      <w:pPr>
        <w:widowControl/>
        <w:shd w:val="clear" w:color="auto" w:fill="FFFFFF"/>
        <w:ind w:firstLine="568" w:firstLineChars="200"/>
        <w:contextualSpacing/>
        <w:outlineLvl w:val="1"/>
        <w:rPr>
          <w:rFonts w:ascii="Times New Roman" w:hAnsi="Times New Roman" w:eastAsia="方正楷体_GBK" w:cs="Times New Roman"/>
          <w:b/>
          <w:kern w:val="36"/>
          <w:sz w:val="30"/>
          <w:szCs w:val="30"/>
        </w:rPr>
      </w:pPr>
      <w:r>
        <w:rPr>
          <w:rFonts w:hint="eastAsia" w:ascii="Times New Roman" w:hAnsi="Times New Roman" w:eastAsia="方正楷体_GBK" w:cs="Times New Roman"/>
          <w:b/>
          <w:kern w:val="36"/>
          <w:sz w:val="30"/>
          <w:szCs w:val="30"/>
        </w:rPr>
        <w:t xml:space="preserve">无锡市贸促会举办锡品丝路行印尼新能源汽车行业专场活动 </w:t>
      </w:r>
      <w:r>
        <w:rPr>
          <w:rFonts w:ascii="Times New Roman" w:hAnsi="Times New Roman" w:eastAsia="方正楷体_GBK" w:cs="Times New Roman"/>
          <w:b/>
          <w:kern w:val="36"/>
          <w:sz w:val="30"/>
          <w:szCs w:val="30"/>
        </w:rPr>
        <w:t>/</w:t>
      </w:r>
      <w:r>
        <w:rPr>
          <w:rFonts w:hint="eastAsia" w:ascii="Times New Roman" w:hAnsi="Times New Roman" w:eastAsia="方正楷体_GBK" w:cs="Times New Roman"/>
          <w:b/>
          <w:kern w:val="36"/>
          <w:sz w:val="30"/>
          <w:szCs w:val="30"/>
          <w:lang w:val="en-US" w:eastAsia="zh-CN"/>
        </w:rPr>
        <w:t>19</w:t>
      </w:r>
      <w:r>
        <w:rPr>
          <w:rFonts w:hint="eastAsia" w:ascii="Times New Roman" w:hAnsi="Times New Roman" w:eastAsia="方正楷体_GBK" w:cs="Times New Roman"/>
          <w:b/>
          <w:kern w:val="36"/>
          <w:sz w:val="30"/>
          <w:szCs w:val="30"/>
        </w:rPr>
        <w:t xml:space="preserve"> </w:t>
      </w:r>
    </w:p>
    <w:p>
      <w:pPr>
        <w:widowControl/>
        <w:shd w:val="clear" w:color="auto" w:fill="FFFFFF"/>
        <w:ind w:firstLine="568" w:firstLineChars="200"/>
        <w:contextualSpacing/>
        <w:outlineLvl w:val="1"/>
        <w:rPr>
          <w:rFonts w:hint="default" w:ascii="Times New Roman" w:hAnsi="Times New Roman" w:eastAsia="方正楷体_GBK" w:cs="Times New Roman"/>
          <w:b/>
          <w:kern w:val="36"/>
          <w:sz w:val="30"/>
          <w:szCs w:val="30"/>
          <w:lang w:val="en-US" w:eastAsia="zh-CN"/>
        </w:rPr>
      </w:pPr>
      <w:r>
        <w:rPr>
          <w:rFonts w:hint="eastAsia" w:ascii="Times New Roman" w:hAnsi="Times New Roman" w:eastAsia="方正楷体_GBK" w:cs="Times New Roman"/>
          <w:b/>
          <w:kern w:val="36"/>
          <w:sz w:val="30"/>
          <w:szCs w:val="30"/>
        </w:rPr>
        <w:t xml:space="preserve">苏州贸促会成功举办中欧-苏州纺织行业交流会 </w:t>
      </w:r>
      <w:r>
        <w:rPr>
          <w:rFonts w:ascii="Times New Roman" w:hAnsi="Times New Roman" w:eastAsia="方正楷体_GBK" w:cs="Times New Roman"/>
          <w:b/>
          <w:kern w:val="36"/>
          <w:sz w:val="30"/>
          <w:szCs w:val="30"/>
        </w:rPr>
        <w:t>/</w:t>
      </w:r>
      <w:r>
        <w:rPr>
          <w:rFonts w:hint="eastAsia" w:ascii="Times New Roman" w:hAnsi="Times New Roman" w:eastAsia="方正楷体_GBK" w:cs="Times New Roman"/>
          <w:b/>
          <w:kern w:val="36"/>
          <w:sz w:val="30"/>
          <w:szCs w:val="30"/>
        </w:rPr>
        <w:t xml:space="preserve"> </w:t>
      </w:r>
      <w:r>
        <w:rPr>
          <w:rFonts w:hint="eastAsia" w:ascii="Times New Roman" w:hAnsi="Times New Roman" w:eastAsia="方正楷体_GBK" w:cs="Times New Roman"/>
          <w:b/>
          <w:kern w:val="36"/>
          <w:sz w:val="30"/>
          <w:szCs w:val="30"/>
          <w:lang w:val="en-US" w:eastAsia="zh-CN"/>
        </w:rPr>
        <w:t>20</w:t>
      </w:r>
    </w:p>
    <w:p>
      <w:pPr>
        <w:widowControl/>
        <w:shd w:val="clear" w:color="auto" w:fill="FFFFFF"/>
        <w:ind w:firstLine="568" w:firstLineChars="200"/>
        <w:contextualSpacing/>
        <w:outlineLvl w:val="1"/>
        <w:rPr>
          <w:rFonts w:hint="default" w:ascii="Times New Roman" w:hAnsi="Times New Roman" w:eastAsia="方正楷体_GBK" w:cs="Times New Roman"/>
          <w:b/>
          <w:kern w:val="36"/>
          <w:sz w:val="30"/>
          <w:szCs w:val="30"/>
          <w:lang w:val="en-US" w:eastAsia="zh-CN"/>
        </w:rPr>
      </w:pPr>
      <w:r>
        <w:rPr>
          <w:rFonts w:hint="eastAsia" w:ascii="Times New Roman" w:hAnsi="Times New Roman" w:eastAsia="方正楷体_GBK" w:cs="Times New Roman"/>
          <w:b/>
          <w:kern w:val="36"/>
          <w:sz w:val="30"/>
          <w:szCs w:val="30"/>
        </w:rPr>
        <w:t>第135届广交会一期落幕泰州参展企业成交额超2000万美元</w:t>
      </w:r>
      <w:r>
        <w:rPr>
          <w:rFonts w:ascii="Times New Roman" w:hAnsi="Times New Roman" w:eastAsia="方正楷体_GBK" w:cs="Times New Roman"/>
          <w:b/>
          <w:kern w:val="36"/>
          <w:sz w:val="30"/>
          <w:szCs w:val="30"/>
        </w:rPr>
        <w:t>/</w:t>
      </w:r>
      <w:r>
        <w:rPr>
          <w:rFonts w:hint="eastAsia" w:ascii="Times New Roman" w:hAnsi="Times New Roman" w:eastAsia="方正楷体_GBK" w:cs="Times New Roman"/>
          <w:b/>
          <w:kern w:val="36"/>
          <w:sz w:val="30"/>
          <w:szCs w:val="30"/>
        </w:rPr>
        <w:t xml:space="preserve"> </w:t>
      </w:r>
      <w:r>
        <w:rPr>
          <w:rFonts w:hint="eastAsia" w:ascii="Times New Roman" w:hAnsi="Times New Roman" w:eastAsia="方正楷体_GBK" w:cs="Times New Roman"/>
          <w:b/>
          <w:kern w:val="36"/>
          <w:sz w:val="30"/>
          <w:szCs w:val="30"/>
          <w:lang w:val="en-US" w:eastAsia="zh-CN"/>
        </w:rPr>
        <w:t>21</w:t>
      </w:r>
    </w:p>
    <w:p>
      <w:pPr>
        <w:widowControl/>
        <w:shd w:val="clear" w:color="auto" w:fill="FFFFFF"/>
        <w:spacing w:after="210"/>
        <w:ind w:firstLine="608" w:firstLineChars="200"/>
        <w:contextualSpacing/>
        <w:jc w:val="left"/>
        <w:outlineLvl w:val="1"/>
        <w:rPr>
          <w:rFonts w:ascii="Times New Roman" w:hAnsi="Times New Roman" w:eastAsia="方正黑体_GBK" w:cs="Times New Roman"/>
          <w:b/>
          <w:color w:val="FFC000"/>
          <w:kern w:val="36"/>
          <w:sz w:val="32"/>
          <w:szCs w:val="32"/>
        </w:rPr>
      </w:pPr>
      <w:r>
        <w:rPr>
          <w:rFonts w:ascii="Times New Roman" w:hAnsi="Times New Roman" w:eastAsia="方正黑体_GBK" w:cs="Times New Roman"/>
          <w:b/>
          <w:color w:val="1F497D"/>
          <w:kern w:val="36"/>
          <w:sz w:val="32"/>
          <w:szCs w:val="32"/>
          <w14:textFill>
            <w14:solidFill>
              <w14:srgbClr w14:val="1F497D">
                <w14:lumMod w14:val="60000"/>
                <w14:lumOff w14:val="40000"/>
              </w14:srgbClr>
            </w14:solidFill>
          </w14:textFill>
        </w:rPr>
        <w:t xml:space="preserve">• 会员企业风采 • </w:t>
      </w:r>
      <w:r>
        <w:rPr>
          <w:rFonts w:ascii="Times New Roman" w:hAnsi="Times New Roman" w:eastAsia="宋体" w:cs="Times New Roman"/>
          <w:b/>
          <w:color w:val="FF0000"/>
          <w:kern w:val="36"/>
          <w:sz w:val="32"/>
          <w:szCs w:val="32"/>
        </w:rPr>
        <w:t>‧‧‧‧‧‧‧‧‧‧‧‧‧‧‧‧‧‧‧‧‧‧‧‧‧‧‧‧‧‧‧‧‧‧‧‧‧‧‧‧‧‧‧‧‧‧‧‧‧‧‧‧‧‧‧‧‧‧‧‧‧‧‧‧‧‧‧‧‧‧‧‧‧‧‧‧‧‧</w:t>
      </w:r>
    </w:p>
    <w:p>
      <w:pPr>
        <w:widowControl/>
        <w:shd w:val="clear" w:color="auto" w:fill="FFFFFF"/>
        <w:ind w:firstLine="568" w:firstLineChars="200"/>
        <w:contextualSpacing/>
        <w:outlineLvl w:val="1"/>
        <w:rPr>
          <w:rFonts w:hint="default" w:ascii="Times New Roman" w:hAnsi="Times New Roman" w:eastAsia="方正楷体_GBK" w:cs="Times New Roman"/>
          <w:b/>
          <w:kern w:val="36"/>
          <w:sz w:val="30"/>
          <w:szCs w:val="30"/>
          <w:lang w:val="en-US" w:eastAsia="zh-CN"/>
        </w:rPr>
      </w:pPr>
      <w:r>
        <w:rPr>
          <w:rFonts w:hint="eastAsia" w:ascii="Times New Roman" w:hAnsi="Times New Roman" w:eastAsia="方正楷体_GBK" w:cs="Times New Roman"/>
          <w:b/>
          <w:kern w:val="36"/>
          <w:sz w:val="30"/>
          <w:szCs w:val="30"/>
        </w:rPr>
        <w:t xml:space="preserve">扬子国投实现全省首单停车数据资产入表 </w:t>
      </w:r>
      <w:r>
        <w:rPr>
          <w:rFonts w:ascii="Times New Roman" w:hAnsi="Times New Roman" w:eastAsia="方正楷体_GBK" w:cs="Times New Roman"/>
          <w:b/>
          <w:kern w:val="36"/>
          <w:sz w:val="30"/>
          <w:szCs w:val="30"/>
        </w:rPr>
        <w:t>/</w:t>
      </w:r>
      <w:r>
        <w:rPr>
          <w:rFonts w:hint="eastAsia" w:ascii="Times New Roman" w:hAnsi="Times New Roman" w:eastAsia="方正楷体_GBK" w:cs="Times New Roman"/>
          <w:b/>
          <w:kern w:val="36"/>
          <w:sz w:val="30"/>
          <w:szCs w:val="30"/>
        </w:rPr>
        <w:t xml:space="preserve"> </w:t>
      </w:r>
      <w:r>
        <w:rPr>
          <w:rFonts w:hint="eastAsia" w:ascii="Times New Roman" w:hAnsi="Times New Roman" w:eastAsia="方正楷体_GBK" w:cs="Times New Roman"/>
          <w:b/>
          <w:kern w:val="36"/>
          <w:sz w:val="30"/>
          <w:szCs w:val="30"/>
          <w:lang w:val="en-US" w:eastAsia="zh-CN"/>
        </w:rPr>
        <w:t>22</w:t>
      </w:r>
    </w:p>
    <w:p>
      <w:pPr>
        <w:widowControl/>
        <w:shd w:val="clear" w:color="auto" w:fill="FFFFFF"/>
        <w:ind w:firstLine="568" w:firstLineChars="200"/>
        <w:contextualSpacing/>
        <w:outlineLvl w:val="1"/>
        <w:rPr>
          <w:rFonts w:hint="default" w:ascii="Times New Roman" w:hAnsi="Times New Roman" w:eastAsia="方正楷体_GBK" w:cs="Times New Roman"/>
          <w:b/>
          <w:kern w:val="36"/>
          <w:sz w:val="30"/>
          <w:szCs w:val="30"/>
          <w:lang w:val="en-US" w:eastAsia="zh-CN"/>
        </w:rPr>
      </w:pPr>
      <w:r>
        <w:rPr>
          <w:rFonts w:hint="eastAsia" w:ascii="Times New Roman" w:hAnsi="Times New Roman" w:eastAsia="方正楷体_GBK" w:cs="Times New Roman"/>
          <w:b/>
          <w:kern w:val="36"/>
          <w:sz w:val="30"/>
          <w:szCs w:val="30"/>
        </w:rPr>
        <w:t>茂莱光学受邀参加中国南京—英国伦敦经贸合作交流会</w:t>
      </w:r>
      <w:r>
        <w:rPr>
          <w:rFonts w:ascii="Times New Roman" w:hAnsi="Times New Roman" w:eastAsia="方正楷体_GBK" w:cs="Times New Roman"/>
          <w:b/>
          <w:kern w:val="36"/>
          <w:sz w:val="30"/>
          <w:szCs w:val="30"/>
        </w:rPr>
        <w:t>/</w:t>
      </w:r>
      <w:r>
        <w:rPr>
          <w:rFonts w:hint="eastAsia" w:ascii="Times New Roman" w:hAnsi="Times New Roman" w:eastAsia="方正楷体_GBK" w:cs="Times New Roman"/>
          <w:b/>
          <w:kern w:val="36"/>
          <w:sz w:val="30"/>
          <w:szCs w:val="30"/>
        </w:rPr>
        <w:t xml:space="preserve"> </w:t>
      </w:r>
      <w:r>
        <w:rPr>
          <w:rFonts w:hint="eastAsia" w:ascii="Times New Roman" w:hAnsi="Times New Roman" w:eastAsia="方正楷体_GBK" w:cs="Times New Roman"/>
          <w:b/>
          <w:kern w:val="36"/>
          <w:sz w:val="30"/>
          <w:szCs w:val="30"/>
          <w:lang w:val="en-US" w:eastAsia="zh-CN"/>
        </w:rPr>
        <w:t>23</w:t>
      </w:r>
    </w:p>
    <w:p>
      <w:pPr>
        <w:widowControl/>
        <w:shd w:val="clear" w:color="auto" w:fill="FFFFFF"/>
        <w:ind w:firstLine="568" w:firstLineChars="200"/>
        <w:contextualSpacing/>
        <w:outlineLvl w:val="1"/>
        <w:rPr>
          <w:rFonts w:hint="default" w:ascii="Times New Roman" w:hAnsi="Times New Roman" w:eastAsia="方正楷体_GBK" w:cs="Times New Roman"/>
          <w:b/>
          <w:kern w:val="36"/>
          <w:sz w:val="30"/>
          <w:szCs w:val="30"/>
          <w:lang w:val="en-US" w:eastAsia="zh-CN"/>
        </w:rPr>
      </w:pPr>
      <w:r>
        <w:rPr>
          <w:rFonts w:hint="eastAsia" w:ascii="Times New Roman" w:hAnsi="Times New Roman" w:eastAsia="方正楷体_GBK" w:cs="Times New Roman"/>
          <w:b/>
          <w:kern w:val="36"/>
          <w:sz w:val="30"/>
          <w:szCs w:val="30"/>
        </w:rPr>
        <w:t>江苏天创荣获年度苏州市网络和数据安全技术支撑单位</w:t>
      </w:r>
      <w:r>
        <w:rPr>
          <w:rFonts w:ascii="Times New Roman" w:hAnsi="Times New Roman" w:eastAsia="方正楷体_GBK" w:cs="Times New Roman"/>
          <w:b/>
          <w:kern w:val="36"/>
          <w:sz w:val="30"/>
          <w:szCs w:val="30"/>
        </w:rPr>
        <w:t>/</w:t>
      </w:r>
      <w:r>
        <w:rPr>
          <w:rFonts w:hint="eastAsia" w:ascii="Times New Roman" w:hAnsi="Times New Roman" w:eastAsia="方正楷体_GBK" w:cs="Times New Roman"/>
          <w:b/>
          <w:kern w:val="36"/>
          <w:sz w:val="30"/>
          <w:szCs w:val="30"/>
        </w:rPr>
        <w:t xml:space="preserve"> </w:t>
      </w:r>
      <w:r>
        <w:rPr>
          <w:rFonts w:hint="eastAsia" w:ascii="Times New Roman" w:hAnsi="Times New Roman" w:eastAsia="方正楷体_GBK" w:cs="Times New Roman"/>
          <w:b/>
          <w:kern w:val="36"/>
          <w:sz w:val="30"/>
          <w:szCs w:val="30"/>
          <w:lang w:val="en-US" w:eastAsia="zh-CN"/>
        </w:rPr>
        <w:t>24</w:t>
      </w:r>
    </w:p>
    <w:p>
      <w:pPr>
        <w:widowControl/>
        <w:shd w:val="clear" w:color="auto" w:fill="FFFFFF"/>
        <w:ind w:firstLine="568" w:firstLineChars="200"/>
        <w:contextualSpacing/>
        <w:outlineLvl w:val="1"/>
        <w:rPr>
          <w:rFonts w:ascii="Times New Roman" w:hAnsi="Times New Roman" w:eastAsia="方正楷体_GBK" w:cs="Times New Roman"/>
          <w:b/>
          <w:kern w:val="36"/>
          <w:sz w:val="30"/>
          <w:szCs w:val="30"/>
        </w:rPr>
        <w:sectPr>
          <w:footerReference r:id="rId3" w:type="default"/>
          <w:pgSz w:w="11906" w:h="16838"/>
          <w:pgMar w:top="2098" w:right="1474" w:bottom="1984" w:left="1587" w:header="1417" w:footer="992" w:gutter="0"/>
          <w:pgBorders>
            <w:top w:val="single" w:color="F82206" w:sz="48" w:space="1"/>
            <w:left w:val="single" w:color="F82206" w:sz="48" w:space="4"/>
            <w:bottom w:val="single" w:color="F82206" w:sz="48" w:space="1"/>
            <w:right w:val="single" w:color="F82206" w:sz="48" w:space="4"/>
          </w:pgBorders>
          <w:pgNumType w:fmt="decimal" w:start="1"/>
          <w:cols w:space="425" w:num="1"/>
          <w:docGrid w:type="linesAndChars" w:linePitch="290" w:charSpace="-3420"/>
        </w:sectPr>
      </w:pPr>
    </w:p>
    <w:p>
      <w:pPr>
        <w:jc w:val="center"/>
        <w:rPr>
          <w:rFonts w:ascii="Times New Roman" w:hAnsi="Times New Roman" w:eastAsia="经典行楷简" w:cs="Times New Roman"/>
          <w:b/>
          <w:color w:val="1F497D"/>
          <w:kern w:val="36"/>
          <w:sz w:val="96"/>
          <w:szCs w:val="96"/>
          <w:u w:color="BB120F"/>
          <w14:textFill>
            <w14:solidFill>
              <w14:srgbClr w14:val="1F497D">
                <w14:lumMod w14:val="60000"/>
                <w14:lumOff w14:val="40000"/>
              </w14:srgbClr>
            </w14:solidFill>
          </w14:textFill>
        </w:rPr>
      </w:pPr>
      <w:r>
        <w:rPr>
          <w:rFonts w:ascii="Times New Roman" w:hAnsi="Times New Roman" w:eastAsia="经典行楷简" w:cs="Times New Roman"/>
          <w:b/>
          <w:color w:val="1F497D"/>
          <w:kern w:val="36"/>
          <w:sz w:val="96"/>
          <w:szCs w:val="96"/>
          <w:u w:color="BB120F"/>
          <w14:textFill>
            <w14:solidFill>
              <w14:srgbClr w14:val="1F497D">
                <w14:lumMod w14:val="60000"/>
                <w14:lumOff w14:val="40000"/>
              </w14:srgbClr>
            </w14:solidFill>
          </w14:textFill>
        </w:rPr>
        <w:t>全球市场资讯</w:t>
      </w:r>
    </w:p>
    <w:p>
      <w:pPr>
        <w:jc w:val="left"/>
        <w:rPr>
          <w:rFonts w:ascii="Times New Roman" w:hAnsi="Times New Roman" w:eastAsia="宋体" w:cs="Times New Roman"/>
          <w:b/>
          <w:bCs/>
          <w:color w:val="0000FF"/>
          <w:sz w:val="32"/>
          <w:szCs w:val="32"/>
          <w:highlight w:val="yellow"/>
        </w:rPr>
      </w:pPr>
      <w:r>
        <w:rPr>
          <w:rFonts w:hint="eastAsia" w:ascii="Times New Roman" w:hAnsi="Times New Roman" w:eastAsia="方正小标宋_GBK" w:cs="Times New Roman"/>
          <w:b/>
          <w:bCs/>
          <w:color w:val="FF0000"/>
          <w:sz w:val="32"/>
          <w:szCs w:val="40"/>
          <w:highlight w:val="yellow"/>
        </w:rPr>
        <w:t>4</w:t>
      </w:r>
      <w:r>
        <w:rPr>
          <w:rFonts w:ascii="Times New Roman" w:hAnsi="Times New Roman" w:eastAsia="方正小标宋_GBK" w:cs="Times New Roman"/>
          <w:b/>
          <w:bCs/>
          <w:color w:val="FF0000"/>
          <w:sz w:val="32"/>
          <w:szCs w:val="40"/>
          <w:highlight w:val="yellow"/>
        </w:rPr>
        <w:t>月</w:t>
      </w:r>
      <w:r>
        <w:rPr>
          <w:rFonts w:hint="eastAsia" w:ascii="Times New Roman" w:hAnsi="Times New Roman" w:eastAsia="方正小标宋_GBK" w:cs="Times New Roman"/>
          <w:b/>
          <w:bCs/>
          <w:color w:val="FF0000"/>
          <w:sz w:val="32"/>
          <w:szCs w:val="40"/>
          <w:highlight w:val="yellow"/>
        </w:rPr>
        <w:t>20</w:t>
      </w:r>
      <w:r>
        <w:rPr>
          <w:rFonts w:ascii="Times New Roman" w:hAnsi="Times New Roman" w:eastAsia="方正小标宋_GBK" w:cs="Times New Roman"/>
          <w:b/>
          <w:bCs/>
          <w:color w:val="FF0000"/>
          <w:sz w:val="32"/>
          <w:szCs w:val="40"/>
          <w:highlight w:val="yellow"/>
        </w:rPr>
        <w:t>日</w:t>
      </w:r>
      <w:r>
        <w:rPr>
          <w:rFonts w:ascii="Times New Roman" w:hAnsi="Times New Roman" w:eastAsia="方正魏碑简体" w:cs="Times New Roman"/>
          <w:b/>
          <w:bCs/>
          <w:color w:val="0000FF"/>
          <w:sz w:val="32"/>
          <w:szCs w:val="40"/>
          <w:highlight w:val="yellow"/>
        </w:rPr>
        <w:t>（周</w:t>
      </w:r>
      <w:r>
        <w:rPr>
          <w:rFonts w:hint="eastAsia" w:ascii="Times New Roman" w:hAnsi="Times New Roman" w:eastAsia="方正魏碑简体" w:cs="Times New Roman"/>
          <w:b/>
          <w:bCs/>
          <w:color w:val="0000FF"/>
          <w:sz w:val="32"/>
          <w:szCs w:val="40"/>
          <w:highlight w:val="yellow"/>
        </w:rPr>
        <w:t>六</w:t>
      </w:r>
      <w:r>
        <w:rPr>
          <w:rFonts w:ascii="Times New Roman" w:hAnsi="Times New Roman" w:eastAsia="方正魏碑简体" w:cs="Times New Roman"/>
          <w:b/>
          <w:bCs/>
          <w:color w:val="0000FF"/>
          <w:sz w:val="32"/>
          <w:szCs w:val="40"/>
          <w:highlight w:val="yellow"/>
        </w:rPr>
        <w:t>）</w:t>
      </w:r>
    </w:p>
    <w:p>
      <w:pPr>
        <w:jc w:val="center"/>
        <w:rPr>
          <w:rFonts w:ascii="Times New Roman" w:hAnsi="Times New Roman" w:eastAsia="方正小标宋_GBK" w:cs="Times New Roman"/>
          <w:b/>
          <w:bCs/>
          <w:color w:val="0000FF"/>
          <w:sz w:val="36"/>
          <w:szCs w:val="44"/>
          <w:highlight w:val="yellow"/>
        </w:rPr>
      </w:pPr>
      <w:r>
        <w:rPr>
          <w:rFonts w:hint="eastAsia" w:ascii="方正小标宋_GBK" w:hAnsi="方正小标宋_GBK" w:eastAsia="方正小标宋_GBK" w:cs="方正小标宋_GBK"/>
          <w:b/>
          <w:bCs/>
          <w:color w:val="0000FF"/>
          <w:sz w:val="36"/>
          <w:szCs w:val="36"/>
          <w:highlight w:val="yellow"/>
        </w:rPr>
        <w:t>“三把手”放鹰，股债市双跌</w:t>
      </w:r>
    </w:p>
    <w:p>
      <w:pPr>
        <w:ind w:firstLine="608" w:firstLineChars="200"/>
        <w:rPr>
          <w:rFonts w:asciiTheme="minorEastAsia" w:hAnsiTheme="minorEastAsia" w:cstheme="minorEastAsia"/>
          <w:sz w:val="32"/>
          <w:szCs w:val="32"/>
        </w:rPr>
      </w:pPr>
      <w:r>
        <w:rPr>
          <w:rFonts w:hint="eastAsia" w:asciiTheme="minorEastAsia" w:hAnsiTheme="minorEastAsia" w:cstheme="minorEastAsia"/>
          <w:sz w:val="32"/>
          <w:szCs w:val="32"/>
        </w:rPr>
        <w:t>4月18日（周四），两位美联储官员发表鹰派讲话。</w:t>
      </w:r>
    </w:p>
    <w:p>
      <w:pPr>
        <w:ind w:firstLine="608" w:firstLineChars="200"/>
        <w:rPr>
          <w:rFonts w:asciiTheme="minorEastAsia" w:hAnsiTheme="minorEastAsia" w:cstheme="minorEastAsia"/>
          <w:sz w:val="32"/>
          <w:szCs w:val="32"/>
        </w:rPr>
      </w:pPr>
      <w:r>
        <w:rPr>
          <w:rFonts w:hint="eastAsia" w:asciiTheme="minorEastAsia" w:hAnsiTheme="minorEastAsia" w:cstheme="minorEastAsia"/>
          <w:sz w:val="32"/>
          <w:szCs w:val="32"/>
        </w:rPr>
        <w:t>2024年的FOMC票委、亚特兰大联储银行行长博斯蒂克说：美国通胀太高了，在年底之前我们不会降低利率。</w:t>
      </w:r>
    </w:p>
    <w:p>
      <w:pPr>
        <w:ind w:firstLine="608" w:firstLineChars="200"/>
        <w:rPr>
          <w:rFonts w:asciiTheme="minorEastAsia" w:hAnsiTheme="minorEastAsia" w:cstheme="minorEastAsia"/>
          <w:sz w:val="32"/>
          <w:szCs w:val="32"/>
        </w:rPr>
      </w:pPr>
      <w:r>
        <w:rPr>
          <w:rFonts w:hint="eastAsia" w:asciiTheme="minorEastAsia" w:hAnsiTheme="minorEastAsia" w:cstheme="minorEastAsia"/>
          <w:sz w:val="32"/>
          <w:szCs w:val="32"/>
        </w:rPr>
        <w:t>FOMC永久票委、纽约联储银行行长威廉姆斯表示：货币政策处于良好状态，不必急于降息，降息的时机由经济数据决定。其本人并不预期会加息，但如果经济数据显示，必须加息才能完成美联储的通胀目标，那么加息也是可能的。</w:t>
      </w:r>
    </w:p>
    <w:p>
      <w:pPr>
        <w:ind w:firstLine="608" w:firstLineChars="200"/>
        <w:rPr>
          <w:rFonts w:asciiTheme="minorEastAsia" w:hAnsiTheme="minorEastAsia" w:cstheme="minorEastAsia"/>
          <w:sz w:val="32"/>
          <w:szCs w:val="32"/>
        </w:rPr>
      </w:pPr>
      <w:r>
        <w:rPr>
          <w:rFonts w:hint="eastAsia" w:asciiTheme="minorEastAsia" w:hAnsiTheme="minorEastAsia" w:cstheme="minorEastAsia"/>
          <w:sz w:val="32"/>
          <w:szCs w:val="32"/>
        </w:rPr>
        <w:t>“加息”二字一出，美股股指立即掉头向下、美债收益率短线冲高。</w:t>
      </w:r>
    </w:p>
    <w:p>
      <w:pPr>
        <w:ind w:firstLine="608" w:firstLineChars="200"/>
        <w:rPr>
          <w:rFonts w:asciiTheme="minorEastAsia" w:hAnsiTheme="minorEastAsia" w:cstheme="minorEastAsia"/>
          <w:sz w:val="32"/>
          <w:szCs w:val="32"/>
        </w:rPr>
      </w:pPr>
      <w:r>
        <w:rPr>
          <w:rFonts w:hint="eastAsia" w:asciiTheme="minorEastAsia" w:hAnsiTheme="minorEastAsia" w:cstheme="minorEastAsia"/>
          <w:sz w:val="32"/>
          <w:szCs w:val="32"/>
        </w:rPr>
        <w:t>纽约联储银行的行长是FOMC的永久票委，因此威廉姆斯也被称为“美联储三把手”（仅次于美联储主席和副主席），从今年年初起，他便与主席鲍威尔一道大力唱鸽，不停对市场表示降息的愿望。但1至3月份的通胀数据越来越不理想（CPI同比依次为3.1%，3.2%和3.5%），他不得不面对现实，改变态度。</w:t>
      </w:r>
    </w:p>
    <w:p>
      <w:pPr>
        <w:ind w:firstLine="608" w:firstLineChars="200"/>
        <w:rPr>
          <w:rFonts w:asciiTheme="minorEastAsia" w:hAnsiTheme="minorEastAsia" w:cstheme="minorEastAsia"/>
          <w:sz w:val="32"/>
          <w:szCs w:val="32"/>
        </w:rPr>
      </w:pPr>
      <w:r>
        <w:rPr>
          <w:rFonts w:hint="eastAsia" w:asciiTheme="minorEastAsia" w:hAnsiTheme="minorEastAsia" w:cstheme="minorEastAsia"/>
          <w:sz w:val="32"/>
          <w:szCs w:val="32"/>
        </w:rPr>
        <w:t>周二时，威廉姆斯还说：在过去1年半的时间里，各部门的通胀已经回落，所以并不认为最近的通胀数据（上升）是（通胀反弹的）转折点。但到周四，他居然直接提到了加息的可能。</w:t>
      </w:r>
    </w:p>
    <w:p>
      <w:pPr>
        <w:ind w:firstLine="608" w:firstLineChars="200"/>
        <w:rPr>
          <w:rFonts w:asciiTheme="minorEastAsia" w:hAnsiTheme="minorEastAsia" w:cstheme="minorEastAsia"/>
          <w:sz w:val="32"/>
          <w:szCs w:val="32"/>
        </w:rPr>
      </w:pPr>
      <w:r>
        <w:rPr>
          <w:rFonts w:hint="eastAsia" w:asciiTheme="minorEastAsia" w:hAnsiTheme="minorEastAsia" w:cstheme="minorEastAsia"/>
          <w:sz w:val="32"/>
          <w:szCs w:val="32"/>
        </w:rPr>
        <w:t>他的发言对资本市场的杀伤力巨大，周四美国股市反弹失败，三大股指中道琼斯指数微幅收涨，纳斯达克指数与标普500指数收跌。本周，标普500指数连续第三周收阴，从历史最高点（3月28日上探5264.85点）回落，在4月19日最低曾下行至4953.56点。</w:t>
      </w:r>
    </w:p>
    <w:p>
      <w:pPr>
        <w:ind w:firstLine="608" w:firstLineChars="200"/>
      </w:pPr>
      <w:r>
        <w:rPr>
          <w:rFonts w:hint="eastAsia" w:asciiTheme="minorEastAsia" w:hAnsiTheme="minorEastAsia" w:cstheme="minorEastAsia"/>
          <w:sz w:val="32"/>
          <w:szCs w:val="32"/>
        </w:rPr>
        <w:t>市场情绪已略显疲惫，投资者们基本上已经放弃了今年大幅降息的希望，同时也并不相信美联储真会再次加息。目前市场价格反映的加息概率仍然接近于零，最大可能性是今年累计降息25个基点（见图）。</w:t>
      </w:r>
    </w:p>
    <w:p>
      <w:pPr>
        <w:ind w:firstLine="608" w:firstLineChars="200"/>
        <w:jc w:val="left"/>
        <w:rPr>
          <w:rFonts w:ascii="Times New Roman" w:hAnsi="Times New Roman" w:cs="Times New Roman"/>
          <w:sz w:val="32"/>
          <w:szCs w:val="32"/>
        </w:rPr>
      </w:pPr>
      <w:r>
        <w:rPr>
          <w:rFonts w:hint="eastAsia" w:ascii="Times New Roman" w:hAnsi="Times New Roman" w:cs="Times New Roman"/>
          <w:sz w:val="32"/>
          <w:szCs w:val="32"/>
        </w:rPr>
        <w:drawing>
          <wp:anchor distT="0" distB="0" distL="114300" distR="114300" simplePos="0" relativeHeight="251658240" behindDoc="0" locked="0" layoutInCell="1" allowOverlap="1">
            <wp:simplePos x="0" y="0"/>
            <wp:positionH relativeFrom="column">
              <wp:posOffset>212725</wp:posOffset>
            </wp:positionH>
            <wp:positionV relativeFrom="paragraph">
              <wp:posOffset>240665</wp:posOffset>
            </wp:positionV>
            <wp:extent cx="5132705" cy="2854960"/>
            <wp:effectExtent l="0" t="0" r="10795" b="2540"/>
            <wp:wrapSquare wrapText="bothSides"/>
            <wp:docPr id="13" name="图片 13" descr="图片1-加息会议可能性预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图片1-加息会议可能性预测"/>
                    <pic:cNvPicPr>
                      <a:picLocks noChangeAspect="1"/>
                    </pic:cNvPicPr>
                  </pic:nvPicPr>
                  <pic:blipFill>
                    <a:blip r:embed="rId6"/>
                    <a:stretch>
                      <a:fillRect/>
                    </a:stretch>
                  </pic:blipFill>
                  <pic:spPr>
                    <a:xfrm>
                      <a:off x="0" y="0"/>
                      <a:ext cx="5132705" cy="2854960"/>
                    </a:xfrm>
                    <a:prstGeom prst="rect">
                      <a:avLst/>
                    </a:prstGeom>
                  </pic:spPr>
                </pic:pic>
              </a:graphicData>
            </a:graphic>
          </wp:anchor>
        </w:drawing>
      </w:r>
    </w:p>
    <w:p>
      <w:pPr>
        <w:ind w:firstLine="608" w:firstLineChars="200"/>
        <w:jc w:val="left"/>
        <w:rPr>
          <w:rFonts w:ascii="Times New Roman" w:hAnsi="Times New Roman" w:cs="Times New Roman"/>
          <w:sz w:val="32"/>
          <w:szCs w:val="32"/>
        </w:rPr>
      </w:pPr>
    </w:p>
    <w:p>
      <w:pPr>
        <w:jc w:val="left"/>
        <w:rPr>
          <w:rFonts w:ascii="Times New Roman" w:hAnsi="Times New Roman" w:eastAsia="宋体" w:cs="Times New Roman"/>
          <w:b/>
          <w:bCs/>
          <w:color w:val="0000FF"/>
          <w:sz w:val="32"/>
          <w:szCs w:val="32"/>
          <w:highlight w:val="yellow"/>
        </w:rPr>
      </w:pPr>
      <w:r>
        <w:rPr>
          <w:rFonts w:hint="eastAsia" w:ascii="Times New Roman" w:hAnsi="Times New Roman" w:eastAsia="方正小标宋_GBK" w:cs="Times New Roman"/>
          <w:b/>
          <w:bCs/>
          <w:color w:val="FF0000"/>
          <w:sz w:val="32"/>
          <w:szCs w:val="40"/>
          <w:highlight w:val="yellow"/>
        </w:rPr>
        <w:t>4</w:t>
      </w:r>
      <w:r>
        <w:rPr>
          <w:rFonts w:ascii="Times New Roman" w:hAnsi="Times New Roman" w:eastAsia="方正小标宋_GBK" w:cs="Times New Roman"/>
          <w:b/>
          <w:bCs/>
          <w:color w:val="FF0000"/>
          <w:sz w:val="32"/>
          <w:szCs w:val="40"/>
          <w:highlight w:val="yellow"/>
        </w:rPr>
        <w:t>月</w:t>
      </w:r>
      <w:r>
        <w:rPr>
          <w:rFonts w:hint="eastAsia" w:ascii="Times New Roman" w:hAnsi="Times New Roman" w:eastAsia="方正小标宋_GBK" w:cs="Times New Roman"/>
          <w:b/>
          <w:bCs/>
          <w:color w:val="FF0000"/>
          <w:sz w:val="32"/>
          <w:szCs w:val="40"/>
          <w:highlight w:val="yellow"/>
        </w:rPr>
        <w:t>21</w:t>
      </w:r>
      <w:r>
        <w:rPr>
          <w:rFonts w:ascii="Times New Roman" w:hAnsi="Times New Roman" w:eastAsia="方正小标宋_GBK" w:cs="Times New Roman"/>
          <w:b/>
          <w:bCs/>
          <w:color w:val="FF0000"/>
          <w:sz w:val="32"/>
          <w:szCs w:val="40"/>
          <w:highlight w:val="yellow"/>
        </w:rPr>
        <w:t>日</w:t>
      </w:r>
      <w:r>
        <w:rPr>
          <w:rFonts w:ascii="Times New Roman" w:hAnsi="Times New Roman" w:eastAsia="方正魏碑简体" w:cs="Times New Roman"/>
          <w:b/>
          <w:bCs/>
          <w:color w:val="0000FF"/>
          <w:sz w:val="32"/>
          <w:szCs w:val="40"/>
          <w:highlight w:val="yellow"/>
        </w:rPr>
        <w:t>（周</w:t>
      </w:r>
      <w:r>
        <w:rPr>
          <w:rFonts w:hint="eastAsia" w:ascii="Times New Roman" w:hAnsi="Times New Roman" w:eastAsia="方正魏碑简体" w:cs="Times New Roman"/>
          <w:b/>
          <w:bCs/>
          <w:color w:val="0000FF"/>
          <w:sz w:val="32"/>
          <w:szCs w:val="40"/>
          <w:highlight w:val="yellow"/>
        </w:rPr>
        <w:t>日</w:t>
      </w:r>
      <w:r>
        <w:rPr>
          <w:rFonts w:ascii="Times New Roman" w:hAnsi="Times New Roman" w:eastAsia="方正魏碑简体" w:cs="Times New Roman"/>
          <w:b/>
          <w:bCs/>
          <w:color w:val="0000FF"/>
          <w:sz w:val="32"/>
          <w:szCs w:val="40"/>
          <w:highlight w:val="yellow"/>
        </w:rPr>
        <w:t>）</w:t>
      </w:r>
    </w:p>
    <w:p>
      <w:pPr>
        <w:pBdr>
          <w:top w:val="none" w:color="auto" w:sz="0" w:space="1"/>
          <w:left w:val="none" w:color="auto" w:sz="0" w:space="4"/>
          <w:bottom w:val="none" w:color="auto" w:sz="0" w:space="1"/>
          <w:right w:val="none" w:color="auto" w:sz="0" w:space="4"/>
        </w:pBdr>
        <w:jc w:val="center"/>
        <w:rPr>
          <w:rFonts w:ascii="Times New Roman" w:hAnsi="Times New Roman" w:eastAsia="方正小标宋_GBK" w:cs="Times New Roman"/>
          <w:b/>
          <w:bCs/>
          <w:color w:val="0000FF"/>
          <w:sz w:val="36"/>
          <w:szCs w:val="44"/>
          <w:highlight w:val="yellow"/>
        </w:rPr>
      </w:pPr>
      <w:r>
        <w:rPr>
          <w:rFonts w:hint="eastAsia" w:ascii="方正小标宋_GBK" w:hAnsi="方正小标宋_GBK" w:eastAsia="方正小标宋_GBK" w:cs="方正小标宋_GBK"/>
          <w:b/>
          <w:bCs/>
          <w:color w:val="0000FF"/>
          <w:sz w:val="36"/>
          <w:szCs w:val="36"/>
          <w:highlight w:val="yellow"/>
        </w:rPr>
        <w:t>3月通胀率稳定，日央行下周议息</w:t>
      </w:r>
    </w:p>
    <w:p>
      <w:pPr>
        <w:ind w:firstLine="608" w:firstLineChars="200"/>
      </w:pPr>
      <w:r>
        <w:rPr>
          <w:rFonts w:hint="eastAsia" w:asciiTheme="minorEastAsia" w:hAnsiTheme="minorEastAsia" w:cstheme="minorEastAsia"/>
          <w:sz w:val="32"/>
          <w:szCs w:val="32"/>
        </w:rPr>
        <w:t>4月20日（周五），日本总务省公布的数据显示，3月份的核</w:t>
      </w:r>
      <w:r>
        <w:rPr>
          <w:rFonts w:hint="eastAsia" w:ascii="Times New Roman" w:hAnsi="Times New Roman" w:eastAsia="方正楷体_GBK" w:cs="仿宋_GB2312"/>
          <w:sz w:val="28"/>
          <w:szCs w:val="28"/>
        </w:rPr>
        <w:drawing>
          <wp:anchor distT="0" distB="0" distL="114300" distR="114300" simplePos="0" relativeHeight="251659264" behindDoc="0" locked="0" layoutInCell="1" allowOverlap="1">
            <wp:simplePos x="0" y="0"/>
            <wp:positionH relativeFrom="column">
              <wp:posOffset>69850</wp:posOffset>
            </wp:positionH>
            <wp:positionV relativeFrom="paragraph">
              <wp:posOffset>1198245</wp:posOffset>
            </wp:positionV>
            <wp:extent cx="5478780" cy="1035050"/>
            <wp:effectExtent l="0" t="0" r="7620" b="12700"/>
            <wp:wrapSquare wrapText="bothSides"/>
            <wp:docPr id="22" name="图片 22" descr="图片2-日本3月CPI表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图片2-日本3月CPI表格"/>
                    <pic:cNvPicPr>
                      <a:picLocks noChangeAspect="1"/>
                    </pic:cNvPicPr>
                  </pic:nvPicPr>
                  <pic:blipFill>
                    <a:blip r:embed="rId7"/>
                    <a:stretch>
                      <a:fillRect/>
                    </a:stretch>
                  </pic:blipFill>
                  <pic:spPr>
                    <a:xfrm>
                      <a:off x="0" y="0"/>
                      <a:ext cx="5478780" cy="1035050"/>
                    </a:xfrm>
                    <a:prstGeom prst="rect">
                      <a:avLst/>
                    </a:prstGeom>
                  </pic:spPr>
                </pic:pic>
              </a:graphicData>
            </a:graphic>
          </wp:anchor>
        </w:drawing>
      </w:r>
      <w:r>
        <w:rPr>
          <w:rFonts w:hint="eastAsia" w:asciiTheme="minorEastAsia" w:hAnsiTheme="minorEastAsia" w:cstheme="minorEastAsia"/>
          <w:sz w:val="32"/>
          <w:szCs w:val="32"/>
        </w:rPr>
        <w:t>心通胀指标（除食品外的消费价格指数）同比上涨2.6%，低于2月份的2.8%（见表格），该数据已是连续第24个月超过（或不低于）日本央行2%的目标通胀率了。</w:t>
      </w:r>
    </w:p>
    <w:p>
      <w:pPr>
        <w:ind w:firstLine="608" w:firstLineChars="200"/>
        <w:jc w:val="left"/>
        <w:rPr>
          <w:rFonts w:hint="eastAsia" w:asciiTheme="minorEastAsia" w:hAnsiTheme="minorEastAsia" w:cstheme="minorEastAsia"/>
          <w:sz w:val="32"/>
          <w:szCs w:val="32"/>
        </w:rPr>
      </w:pPr>
      <w:r>
        <w:rPr>
          <w:rFonts w:hint="eastAsia" w:asciiTheme="minorEastAsia" w:hAnsiTheme="minorEastAsia" w:cstheme="minorEastAsia"/>
          <w:sz w:val="32"/>
          <w:szCs w:val="32"/>
        </w:rPr>
        <w:t>相对稳定的通胀趋势，加上今年“春斗”带来的强劲工资增长，给了日本央行加息的信心。于是，上个月日本央行实施了自2007年以来首次升息，将基准利率从负0.1%至零之间的区间，上调到零至0.1%之间的区间。</w:t>
      </w:r>
    </w:p>
    <w:p>
      <w:pPr>
        <w:ind w:firstLine="608" w:firstLineChars="200"/>
        <w:jc w:val="left"/>
        <w:rPr>
          <w:rFonts w:hint="eastAsia" w:asciiTheme="minorEastAsia" w:hAnsiTheme="minorEastAsia" w:cstheme="minorEastAsia"/>
          <w:sz w:val="32"/>
          <w:szCs w:val="32"/>
        </w:rPr>
      </w:pPr>
      <w:r>
        <w:rPr>
          <w:rFonts w:hint="eastAsia" w:ascii="Times New Roman" w:hAnsi="Times New Roman" w:cs="Times New Roman"/>
          <w:sz w:val="32"/>
          <w:szCs w:val="32"/>
        </w:rPr>
        <w:drawing>
          <wp:anchor distT="0" distB="0" distL="0" distR="0" simplePos="0" relativeHeight="251667456" behindDoc="0" locked="0" layoutInCell="1" allowOverlap="1">
            <wp:simplePos x="0" y="0"/>
            <wp:positionH relativeFrom="column">
              <wp:posOffset>464185</wp:posOffset>
            </wp:positionH>
            <wp:positionV relativeFrom="paragraph">
              <wp:posOffset>132715</wp:posOffset>
            </wp:positionV>
            <wp:extent cx="4657725" cy="3105150"/>
            <wp:effectExtent l="0" t="0" r="9525" b="0"/>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4661341" cy="3107561"/>
                    </a:xfrm>
                    <a:prstGeom prst="rect">
                      <a:avLst/>
                    </a:prstGeom>
                  </pic:spPr>
                </pic:pic>
              </a:graphicData>
            </a:graphic>
          </wp:anchor>
        </w:drawing>
      </w:r>
    </w:p>
    <w:p>
      <w:pPr>
        <w:ind w:firstLine="608" w:firstLineChars="200"/>
        <w:jc w:val="left"/>
        <w:rPr>
          <w:rFonts w:hint="eastAsia" w:asciiTheme="minorEastAsia" w:hAnsiTheme="minorEastAsia" w:cstheme="minorEastAsia"/>
          <w:sz w:val="32"/>
          <w:szCs w:val="32"/>
        </w:rPr>
      </w:pPr>
    </w:p>
    <w:p>
      <w:pPr>
        <w:ind w:firstLine="608" w:firstLineChars="200"/>
        <w:jc w:val="left"/>
        <w:rPr>
          <w:rFonts w:hint="eastAsia" w:asciiTheme="minorEastAsia" w:hAnsiTheme="minorEastAsia" w:cstheme="minorEastAsia"/>
          <w:sz w:val="32"/>
          <w:szCs w:val="32"/>
        </w:rPr>
      </w:pPr>
    </w:p>
    <w:p>
      <w:pPr>
        <w:ind w:firstLine="608" w:firstLineChars="200"/>
        <w:jc w:val="left"/>
        <w:rPr>
          <w:rFonts w:hint="eastAsia" w:asciiTheme="minorEastAsia" w:hAnsiTheme="minorEastAsia" w:cstheme="minorEastAsia"/>
          <w:sz w:val="32"/>
          <w:szCs w:val="32"/>
        </w:rPr>
      </w:pPr>
    </w:p>
    <w:p>
      <w:pPr>
        <w:ind w:firstLine="608" w:firstLineChars="200"/>
        <w:jc w:val="left"/>
        <w:rPr>
          <w:rFonts w:hint="eastAsia" w:asciiTheme="minorEastAsia" w:hAnsiTheme="minorEastAsia" w:cstheme="minorEastAsia"/>
          <w:sz w:val="32"/>
          <w:szCs w:val="32"/>
        </w:rPr>
      </w:pPr>
    </w:p>
    <w:p>
      <w:pPr>
        <w:ind w:firstLine="608" w:firstLineChars="200"/>
        <w:jc w:val="left"/>
        <w:rPr>
          <w:rFonts w:hint="eastAsia" w:asciiTheme="minorEastAsia" w:hAnsiTheme="minorEastAsia" w:cstheme="minorEastAsia"/>
          <w:sz w:val="32"/>
          <w:szCs w:val="32"/>
        </w:rPr>
      </w:pPr>
    </w:p>
    <w:p>
      <w:pPr>
        <w:ind w:firstLine="608" w:firstLineChars="200"/>
        <w:jc w:val="left"/>
        <w:rPr>
          <w:rFonts w:hint="eastAsia" w:asciiTheme="minorEastAsia" w:hAnsiTheme="minorEastAsia" w:cstheme="minorEastAsia"/>
          <w:sz w:val="32"/>
          <w:szCs w:val="32"/>
        </w:rPr>
      </w:pPr>
    </w:p>
    <w:p>
      <w:pPr>
        <w:ind w:firstLine="608" w:firstLineChars="200"/>
        <w:jc w:val="left"/>
        <w:rPr>
          <w:rFonts w:hint="eastAsia" w:asciiTheme="minorEastAsia" w:hAnsiTheme="minorEastAsia" w:cstheme="minorEastAsia"/>
          <w:sz w:val="32"/>
          <w:szCs w:val="32"/>
        </w:rPr>
      </w:pPr>
    </w:p>
    <w:p>
      <w:pPr>
        <w:ind w:firstLine="608" w:firstLineChars="200"/>
        <w:jc w:val="left"/>
        <w:rPr>
          <w:rFonts w:hint="eastAsia" w:asciiTheme="minorEastAsia" w:hAnsiTheme="minorEastAsia" w:cstheme="minorEastAsia"/>
          <w:sz w:val="32"/>
          <w:szCs w:val="32"/>
        </w:rPr>
      </w:pPr>
    </w:p>
    <w:p>
      <w:pPr>
        <w:spacing w:line="400" w:lineRule="exact"/>
        <w:ind w:firstLine="528" w:firstLineChars="200"/>
        <w:jc w:val="left"/>
        <w:rPr>
          <w:rFonts w:ascii="方正楷体_GBK" w:hAnsi="方正楷体_GBK" w:eastAsia="方正楷体_GBK" w:cs="方正楷体_GBK"/>
          <w:sz w:val="28"/>
          <w:szCs w:val="28"/>
        </w:rPr>
      </w:pPr>
      <w:r>
        <w:rPr>
          <w:rFonts w:hint="eastAsia" w:ascii="Times New Roman" w:hAnsi="Times New Roman" w:eastAsia="方正楷体_GBK" w:cs="仿宋_GB2312"/>
          <w:sz w:val="28"/>
          <w:szCs w:val="28"/>
        </w:rPr>
        <w:t>（</w:t>
      </w:r>
      <w:r>
        <w:rPr>
          <w:rFonts w:hint="eastAsia" w:ascii="方正黑体_GBK" w:hAnsi="方正黑体_GBK" w:eastAsia="方正黑体_GBK" w:cs="方正黑体_GBK"/>
          <w:b/>
          <w:bCs/>
          <w:sz w:val="28"/>
          <w:szCs w:val="28"/>
        </w:rPr>
        <w:t>注：</w:t>
      </w:r>
      <w:r>
        <w:rPr>
          <w:rFonts w:ascii="Times New Roman" w:hAnsi="Times New Roman" w:eastAsia="方正楷体_GBK" w:cs="仿宋_GB2312"/>
          <w:b/>
          <w:bCs/>
          <w:sz w:val="28"/>
          <w:szCs w:val="28"/>
        </w:rPr>
        <w:t xml:space="preserve"> "</w:t>
      </w:r>
      <w:r>
        <w:rPr>
          <w:rFonts w:hint="eastAsia" w:ascii="Times New Roman" w:hAnsi="Times New Roman" w:eastAsia="方正楷体_GBK" w:cs="仿宋_GB2312"/>
          <w:b/>
          <w:bCs/>
          <w:sz w:val="28"/>
          <w:szCs w:val="28"/>
        </w:rPr>
        <w:t>春斗Shunto</w:t>
      </w:r>
      <w:r>
        <w:rPr>
          <w:rFonts w:ascii="Times New Roman" w:hAnsi="Times New Roman" w:eastAsia="方正楷体_GBK" w:cs="仿宋_GB2312"/>
          <w:b/>
          <w:bCs/>
          <w:sz w:val="28"/>
          <w:szCs w:val="28"/>
        </w:rPr>
        <w:t>"</w:t>
      </w:r>
      <w:r>
        <w:rPr>
          <w:rFonts w:hint="eastAsia" w:ascii="方正楷体_GBK" w:hAnsi="方正楷体_GBK" w:eastAsia="方正楷体_GBK" w:cs="方正楷体_GBK"/>
          <w:sz w:val="28"/>
          <w:szCs w:val="28"/>
        </w:rPr>
        <w:t>是日本劳资关系中一种特定形式的工资谈判，也被称为“春季劳资争议”或“春季工资协商”。即每年春季（通常是3月或4月），日本公司和工会会进行劳资谈判，以确定下一年度的工资水平和相关福利，过程被称为“春斗”。</w:t>
      </w:r>
    </w:p>
    <w:p>
      <w:pPr>
        <w:spacing w:line="400" w:lineRule="exact"/>
        <w:ind w:firstLine="528" w:firstLineChars="200"/>
        <w:rPr>
          <w:rFonts w:hint="eastAsia" w:ascii="Times New Roman" w:hAnsi="Times New Roman" w:eastAsia="方正楷体_GBK" w:cs="仿宋_GB2312"/>
          <w:sz w:val="28"/>
          <w:szCs w:val="28"/>
        </w:rPr>
      </w:pPr>
      <w:r>
        <w:rPr>
          <w:rFonts w:hint="eastAsia" w:ascii="方正楷体_GBK" w:hAnsi="方正楷体_GBK" w:eastAsia="方正楷体_GBK" w:cs="方正楷体_GBK"/>
          <w:sz w:val="28"/>
          <w:szCs w:val="28"/>
        </w:rPr>
        <w:t>春斗涉及各个行业和公司，劳资双方会就工资增长、奖金、福利待遇等问题进行协商和讨论。工会通常代表员工提出要求，而公司则考虑经济状况和业务前景，提出回应方案。如果劳资双方无法通过春斗达成协议，可能会出现罢工或其他形式的劳资冲突。</w:t>
      </w:r>
      <w:r>
        <w:rPr>
          <w:rFonts w:hint="eastAsia" w:ascii="Times New Roman" w:hAnsi="Times New Roman" w:eastAsia="方正楷体_GBK" w:cs="仿宋_GB2312"/>
          <w:sz w:val="28"/>
          <w:szCs w:val="28"/>
        </w:rPr>
        <w:t>）</w:t>
      </w:r>
    </w:p>
    <w:p>
      <w:pPr>
        <w:spacing w:line="400" w:lineRule="exact"/>
        <w:ind w:firstLine="528" w:firstLineChars="200"/>
        <w:rPr>
          <w:rFonts w:hint="eastAsia" w:ascii="Times New Roman" w:hAnsi="Times New Roman" w:eastAsia="方正楷体_GBK" w:cs="仿宋_GB2312"/>
          <w:sz w:val="28"/>
          <w:szCs w:val="28"/>
        </w:rPr>
      </w:pPr>
    </w:p>
    <w:p>
      <w:pPr>
        <w:ind w:firstLine="608" w:firstLineChars="200"/>
        <w:rPr>
          <w:rFonts w:asciiTheme="minorEastAsia" w:hAnsiTheme="minorEastAsia" w:cstheme="minorEastAsia"/>
          <w:sz w:val="32"/>
          <w:szCs w:val="32"/>
        </w:rPr>
      </w:pPr>
      <w:r>
        <w:rPr>
          <w:rFonts w:hint="eastAsia" w:asciiTheme="minorEastAsia" w:hAnsiTheme="minorEastAsia" w:cstheme="minorEastAsia"/>
          <w:sz w:val="32"/>
          <w:szCs w:val="32"/>
        </w:rPr>
        <w:t>通胀的未来走向决定日本央行的下一步行动。日央行官员明确表示，结束负利率政策并不意味着迅速进入紧缩周期（即加息周期）。市场普遍预计，在下周的议息会议上日本央行不会有什么动作，但在今年年底前至少还会再加息一次。</w:t>
      </w:r>
    </w:p>
    <w:p>
      <w:pPr>
        <w:ind w:firstLine="608" w:firstLineChars="200"/>
        <w:jc w:val="left"/>
        <w:rPr>
          <w:rFonts w:asciiTheme="minorEastAsia" w:hAnsiTheme="minorEastAsia" w:cstheme="minorEastAsia"/>
          <w:sz w:val="32"/>
          <w:szCs w:val="32"/>
        </w:rPr>
      </w:pPr>
      <w:r>
        <w:rPr>
          <w:rFonts w:hint="eastAsia" w:asciiTheme="minorEastAsia" w:hAnsiTheme="minorEastAsia" w:cstheme="minorEastAsia"/>
          <w:sz w:val="32"/>
          <w:szCs w:val="32"/>
        </w:rPr>
        <w:t>本周，受美联储官员鹰派言论的影响，市场对美国降息预期减弱，美元指数走强，（除人民币外的）主要亚洲货币对美元大幅贬值，其中日元贬幅最大，4月19日收盘时为154.64日元/美元。</w:t>
      </w:r>
    </w:p>
    <w:p>
      <w:pPr>
        <w:ind w:firstLine="608" w:firstLineChars="200"/>
        <w:jc w:val="left"/>
        <w:rPr>
          <w:rFonts w:ascii="Times New Roman" w:hAnsi="Times New Roman" w:cs="Times New Roman"/>
          <w:sz w:val="32"/>
          <w:szCs w:val="32"/>
        </w:rPr>
      </w:pPr>
    </w:p>
    <w:p>
      <w:pPr>
        <w:ind w:firstLine="608" w:firstLineChars="200"/>
        <w:jc w:val="left"/>
        <w:rPr>
          <w:rFonts w:ascii="Times New Roman" w:hAnsi="Times New Roman" w:cs="Times New Roman"/>
          <w:sz w:val="32"/>
          <w:szCs w:val="32"/>
        </w:rPr>
      </w:pPr>
    </w:p>
    <w:p>
      <w:pPr>
        <w:jc w:val="left"/>
        <w:rPr>
          <w:rFonts w:ascii="Times New Roman" w:hAnsi="Times New Roman" w:eastAsia="宋体" w:cs="Times New Roman"/>
          <w:b/>
          <w:bCs/>
          <w:color w:val="0000FF"/>
          <w:sz w:val="32"/>
          <w:szCs w:val="32"/>
          <w:highlight w:val="yellow"/>
        </w:rPr>
      </w:pPr>
      <w:r>
        <w:rPr>
          <w:rFonts w:hint="eastAsia" w:ascii="Times New Roman" w:hAnsi="Times New Roman" w:eastAsia="方正小标宋_GBK" w:cs="Times New Roman"/>
          <w:b/>
          <w:bCs/>
          <w:color w:val="FF0000"/>
          <w:sz w:val="32"/>
          <w:szCs w:val="40"/>
          <w:highlight w:val="yellow"/>
        </w:rPr>
        <w:t>4</w:t>
      </w:r>
      <w:r>
        <w:rPr>
          <w:rFonts w:ascii="Times New Roman" w:hAnsi="Times New Roman" w:eastAsia="方正小标宋_GBK" w:cs="Times New Roman"/>
          <w:b/>
          <w:bCs/>
          <w:color w:val="FF0000"/>
          <w:sz w:val="32"/>
          <w:szCs w:val="40"/>
          <w:highlight w:val="yellow"/>
        </w:rPr>
        <w:t>月</w:t>
      </w:r>
      <w:r>
        <w:rPr>
          <w:rFonts w:hint="eastAsia" w:ascii="Times New Roman" w:hAnsi="Times New Roman" w:eastAsia="方正小标宋_GBK" w:cs="Times New Roman"/>
          <w:b/>
          <w:bCs/>
          <w:color w:val="FF0000"/>
          <w:sz w:val="32"/>
          <w:szCs w:val="40"/>
          <w:highlight w:val="yellow"/>
        </w:rPr>
        <w:t>2</w:t>
      </w:r>
      <w:r>
        <w:rPr>
          <w:rFonts w:hint="eastAsia" w:ascii="Times New Roman" w:hAnsi="Times New Roman" w:eastAsia="方正小标宋_GBK" w:cs="Times New Roman"/>
          <w:b/>
          <w:bCs/>
          <w:color w:val="FF0000"/>
          <w:sz w:val="32"/>
          <w:szCs w:val="40"/>
          <w:highlight w:val="yellow"/>
          <w:lang w:val="en-US" w:eastAsia="zh-CN"/>
        </w:rPr>
        <w:t>2</w:t>
      </w:r>
      <w:r>
        <w:rPr>
          <w:rFonts w:ascii="Times New Roman" w:hAnsi="Times New Roman" w:eastAsia="方正小标宋_GBK" w:cs="Times New Roman"/>
          <w:b/>
          <w:bCs/>
          <w:color w:val="FF0000"/>
          <w:sz w:val="32"/>
          <w:szCs w:val="40"/>
          <w:highlight w:val="yellow"/>
        </w:rPr>
        <w:t>日</w:t>
      </w:r>
      <w:r>
        <w:rPr>
          <w:rFonts w:ascii="Times New Roman" w:hAnsi="Times New Roman" w:eastAsia="方正魏碑简体" w:cs="Times New Roman"/>
          <w:b/>
          <w:bCs/>
          <w:color w:val="0000FF"/>
          <w:sz w:val="32"/>
          <w:szCs w:val="40"/>
          <w:highlight w:val="yellow"/>
        </w:rPr>
        <w:t>（周</w:t>
      </w:r>
      <w:r>
        <w:rPr>
          <w:rFonts w:hint="eastAsia" w:ascii="Times New Roman" w:hAnsi="Times New Roman" w:eastAsia="方正魏碑简体" w:cs="Times New Roman"/>
          <w:b/>
          <w:bCs/>
          <w:color w:val="0000FF"/>
          <w:sz w:val="32"/>
          <w:szCs w:val="40"/>
          <w:highlight w:val="yellow"/>
        </w:rPr>
        <w:t>一</w:t>
      </w:r>
      <w:r>
        <w:rPr>
          <w:rFonts w:ascii="Times New Roman" w:hAnsi="Times New Roman" w:eastAsia="方正魏碑简体" w:cs="Times New Roman"/>
          <w:b/>
          <w:bCs/>
          <w:color w:val="0000FF"/>
          <w:sz w:val="32"/>
          <w:szCs w:val="40"/>
          <w:highlight w:val="yellow"/>
        </w:rPr>
        <w:t>）</w:t>
      </w:r>
    </w:p>
    <w:p>
      <w:pPr>
        <w:pBdr>
          <w:top w:val="none" w:color="auto" w:sz="0" w:space="1"/>
          <w:left w:val="none" w:color="auto" w:sz="0" w:space="4"/>
          <w:bottom w:val="none" w:color="auto" w:sz="0" w:space="1"/>
          <w:right w:val="none" w:color="auto" w:sz="0" w:space="4"/>
        </w:pBdr>
        <w:jc w:val="center"/>
        <w:rPr>
          <w:rFonts w:ascii="Times New Roman" w:hAnsi="Times New Roman" w:eastAsia="方正小标宋_GBK" w:cs="Times New Roman"/>
          <w:b/>
          <w:bCs/>
          <w:color w:val="0000FF"/>
          <w:sz w:val="36"/>
          <w:szCs w:val="44"/>
          <w:highlight w:val="yellow"/>
        </w:rPr>
      </w:pPr>
      <w:r>
        <w:rPr>
          <w:rFonts w:hint="eastAsia" w:ascii="方正小标宋_GBK" w:hAnsi="方正小标宋_GBK" w:eastAsia="方正小标宋_GBK" w:cs="方正小标宋_GBK"/>
          <w:b/>
          <w:bCs/>
          <w:color w:val="0000FF"/>
          <w:sz w:val="36"/>
          <w:szCs w:val="36"/>
          <w:highlight w:val="yellow"/>
        </w:rPr>
        <w:t>军事援助不停，国债扩张不止</w:t>
      </w:r>
    </w:p>
    <w:p>
      <w:pPr>
        <w:ind w:firstLine="608" w:firstLineChars="200"/>
        <w:rPr>
          <w:rFonts w:asciiTheme="minorEastAsia" w:hAnsiTheme="minorEastAsia" w:cstheme="minorEastAsia"/>
          <w:sz w:val="32"/>
          <w:szCs w:val="32"/>
        </w:rPr>
      </w:pPr>
      <w:r>
        <w:rPr>
          <w:rFonts w:hint="eastAsia" w:asciiTheme="minorEastAsia" w:hAnsiTheme="minorEastAsia" w:cstheme="minorEastAsia"/>
          <w:sz w:val="32"/>
          <w:szCs w:val="32"/>
        </w:rPr>
        <w:t>4月20日（周末），美国国会众议院通过了一项总额为950亿美元的对外援助法案。这项法案包括向乌克兰提供610亿美元的新军事援助，向以色列提供264亿美元的军事援助，以及将剩余的80亿美元分配给印度及太平洋地区的盟友。</w:t>
      </w:r>
    </w:p>
    <w:p>
      <w:pPr>
        <w:ind w:firstLine="608" w:firstLineChars="200"/>
        <w:rPr>
          <w:rFonts w:asciiTheme="minorEastAsia" w:hAnsiTheme="minorEastAsia" w:cstheme="minorEastAsia"/>
          <w:sz w:val="32"/>
          <w:szCs w:val="32"/>
        </w:rPr>
      </w:pPr>
      <w:r>
        <w:rPr>
          <w:rFonts w:hint="eastAsia" w:asciiTheme="minorEastAsia" w:hAnsiTheme="minorEastAsia" w:cstheme="minorEastAsia"/>
          <w:sz w:val="32"/>
          <w:szCs w:val="32"/>
        </w:rPr>
        <w:t>在这项法案中，约有230亿美元被用于补充美国的军事储备，为未来向乌克兰转移更多军事装备提供可能。此外，140亿美元将专项用于“乌克兰安全援助计划”，通过此计划，五角大楼将直接向国防承包商采购先进的武器系统供乌克兰军队使用。据报道，这一决定引发了议员之间的激烈辩论，但最终仍以压倒性多数（311票对112票）通过了该法案。</w:t>
      </w:r>
    </w:p>
    <w:p>
      <w:pPr>
        <w:ind w:firstLine="608" w:firstLineChars="200"/>
        <w:rPr>
          <w:rFonts w:asciiTheme="minorEastAsia" w:hAnsiTheme="minorEastAsia" w:cstheme="minorEastAsia"/>
          <w:sz w:val="32"/>
          <w:szCs w:val="32"/>
        </w:rPr>
      </w:pPr>
      <w:r>
        <w:rPr>
          <w:rFonts w:hint="eastAsia" w:asciiTheme="minorEastAsia" w:hAnsiTheme="minorEastAsia" w:cstheme="minorEastAsia"/>
          <w:sz w:val="32"/>
          <w:szCs w:val="32"/>
        </w:rPr>
        <w:t>目前这项法案还需要通过参议院，并最终由白宫签字生效。该法案本身就是参议院起草通过的，获得参议院通过几乎没有悬念。估计本周二参议院就会进行投票。</w:t>
      </w:r>
    </w:p>
    <w:p>
      <w:pPr>
        <w:ind w:firstLine="608" w:firstLineChars="200"/>
        <w:rPr>
          <w:rFonts w:hint="eastAsia" w:asciiTheme="minorEastAsia" w:hAnsiTheme="minorEastAsia" w:cstheme="minorEastAsia"/>
          <w:sz w:val="32"/>
          <w:szCs w:val="32"/>
        </w:rPr>
      </w:pPr>
      <w:r>
        <w:rPr>
          <w:rFonts w:hint="eastAsia" w:asciiTheme="minorEastAsia" w:hAnsiTheme="minorEastAsia" w:cstheme="minorEastAsia"/>
          <w:sz w:val="32"/>
          <w:szCs w:val="32"/>
        </w:rPr>
        <w:t>有分析机构将对乌军事援助与美国在阿富汗战争中的投入进行了比较：自2001 年美军入侵阿富汗以来，美国政府对阿富汗战争的总支出已达2.3万亿美元（见图），略低于意大利一年的GDP（意大利为G7成员国，GDP全球排名长据第8位，2023年GDP不过2.6万亿美元）。</w:t>
      </w:r>
    </w:p>
    <w:p>
      <w:pPr>
        <w:ind w:firstLine="388" w:firstLineChars="200"/>
        <w:rPr>
          <w:rFonts w:hint="eastAsia" w:asciiTheme="minorEastAsia" w:hAnsiTheme="minorEastAsia" w:cstheme="minorEastAsia"/>
          <w:sz w:val="32"/>
          <w:szCs w:val="32"/>
        </w:rPr>
      </w:pPr>
      <w:r>
        <w:rPr>
          <w:rFonts w:hint="eastAsia"/>
        </w:rPr>
        <w:drawing>
          <wp:anchor distT="0" distB="0" distL="114300" distR="114300" simplePos="0" relativeHeight="251661312" behindDoc="0" locked="0" layoutInCell="1" allowOverlap="1">
            <wp:simplePos x="0" y="0"/>
            <wp:positionH relativeFrom="column">
              <wp:posOffset>266700</wp:posOffset>
            </wp:positionH>
            <wp:positionV relativeFrom="paragraph">
              <wp:posOffset>182880</wp:posOffset>
            </wp:positionV>
            <wp:extent cx="4867275" cy="2739390"/>
            <wp:effectExtent l="0" t="0" r="9525" b="3810"/>
            <wp:wrapTopAndBottom/>
            <wp:docPr id="25" name="图片 25" descr="图片4-阿富汗战争花费构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图片4-阿富汗战争花费构成"/>
                    <pic:cNvPicPr>
                      <a:picLocks noChangeAspect="1"/>
                    </pic:cNvPicPr>
                  </pic:nvPicPr>
                  <pic:blipFill>
                    <a:blip r:embed="rId9"/>
                    <a:stretch>
                      <a:fillRect/>
                    </a:stretch>
                  </pic:blipFill>
                  <pic:spPr>
                    <a:xfrm>
                      <a:off x="0" y="0"/>
                      <a:ext cx="4867275" cy="2739390"/>
                    </a:xfrm>
                    <a:prstGeom prst="rect">
                      <a:avLst/>
                    </a:prstGeom>
                  </pic:spPr>
                </pic:pic>
              </a:graphicData>
            </a:graphic>
          </wp:anchor>
        </w:drawing>
      </w:r>
    </w:p>
    <w:p>
      <w:pPr>
        <w:jc w:val="center"/>
        <w:rPr>
          <w:rFonts w:hint="eastAsia" w:ascii="方正楷体_GBK" w:hAnsi="方正楷体_GBK" w:eastAsia="方正楷体_GBK" w:cs="方正楷体_GBK"/>
          <w:sz w:val="28"/>
          <w:szCs w:val="28"/>
        </w:rPr>
      </w:pPr>
      <w:r>
        <w:rPr>
          <w:rFonts w:hint="eastAsia" w:ascii="方正楷体_GBK" w:hAnsi="方正楷体_GBK" w:eastAsia="方正楷体_GBK" w:cs="方正楷体_GBK"/>
          <w:sz w:val="28"/>
          <w:szCs w:val="28"/>
        </w:rPr>
        <w:t>（图：美国在阿富汗战争中的总支出）</w:t>
      </w:r>
    </w:p>
    <w:p>
      <w:pPr>
        <w:jc w:val="center"/>
        <w:rPr>
          <w:rFonts w:hint="eastAsia" w:ascii="方正楷体_GBK" w:hAnsi="方正楷体_GBK" w:eastAsia="方正楷体_GBK" w:cs="方正楷体_GBK"/>
          <w:sz w:val="28"/>
          <w:szCs w:val="28"/>
        </w:rPr>
      </w:pPr>
    </w:p>
    <w:p>
      <w:pPr>
        <w:jc w:val="center"/>
        <w:rPr>
          <w:rFonts w:hint="eastAsia" w:ascii="方正楷体_GBK" w:hAnsi="方正楷体_GBK" w:eastAsia="方正楷体_GBK" w:cs="方正楷体_GBK"/>
          <w:sz w:val="28"/>
          <w:szCs w:val="28"/>
        </w:rPr>
      </w:pPr>
    </w:p>
    <w:p>
      <w:pPr>
        <w:ind w:firstLine="608" w:firstLineChars="200"/>
        <w:rPr>
          <w:rFonts w:asciiTheme="minorEastAsia" w:hAnsiTheme="minorEastAsia" w:cstheme="minorEastAsia"/>
          <w:sz w:val="32"/>
          <w:szCs w:val="32"/>
        </w:rPr>
      </w:pPr>
      <w:r>
        <w:rPr>
          <w:rFonts w:hint="eastAsia" w:asciiTheme="minorEastAsia" w:hAnsiTheme="minorEastAsia" w:cstheme="minorEastAsia"/>
          <w:sz w:val="32"/>
          <w:szCs w:val="32"/>
        </w:rPr>
        <w:t>此外，美国在阿富汗战争中的总支出，若全部以国债方式筹集，并按3%利率计息，每年的年息就高达690亿美元。因此，对于上述950亿的对外援助，美国国会应无压力通过。</w:t>
      </w:r>
    </w:p>
    <w:p>
      <w:pPr>
        <w:ind w:firstLine="608" w:firstLineChars="200"/>
        <w:rPr>
          <w:rFonts w:asciiTheme="minorEastAsia" w:hAnsiTheme="minorEastAsia" w:cstheme="minorEastAsia"/>
          <w:sz w:val="32"/>
          <w:szCs w:val="32"/>
        </w:rPr>
      </w:pPr>
      <w:r>
        <w:rPr>
          <w:rFonts w:hint="eastAsia" w:asciiTheme="minorEastAsia" w:hAnsiTheme="minorEastAsia" w:cstheme="minorEastAsia"/>
          <w:sz w:val="32"/>
          <w:szCs w:val="32"/>
        </w:rPr>
        <w:t>另，4月以来，美国10年期国债收益率不断上行，已经连续穿破4.5%和4.6%两个重要关口，需密切关注。</w:t>
      </w:r>
    </w:p>
    <w:p>
      <w:pPr>
        <w:pBdr>
          <w:top w:val="none" w:color="auto" w:sz="0" w:space="1"/>
          <w:left w:val="none" w:color="auto" w:sz="0" w:space="4"/>
          <w:bottom w:val="none" w:color="auto" w:sz="0" w:space="1"/>
          <w:right w:val="none" w:color="auto" w:sz="0" w:space="4"/>
        </w:pBdr>
        <w:jc w:val="center"/>
        <w:rPr>
          <w:rFonts w:ascii="Times New Roman" w:hAnsi="Times New Roman" w:cs="Times New Roman"/>
          <w:sz w:val="32"/>
          <w:szCs w:val="32"/>
        </w:rPr>
      </w:pPr>
    </w:p>
    <w:p>
      <w:pPr>
        <w:ind w:firstLine="608" w:firstLineChars="200"/>
        <w:rPr>
          <w:rFonts w:ascii="Times New Roman" w:hAnsi="Times New Roman" w:cs="Times New Roman"/>
          <w:sz w:val="32"/>
          <w:szCs w:val="32"/>
        </w:rPr>
      </w:pPr>
    </w:p>
    <w:p>
      <w:pPr>
        <w:pBdr>
          <w:top w:val="none" w:color="auto" w:sz="0" w:space="1"/>
          <w:left w:val="none" w:color="auto" w:sz="0" w:space="4"/>
          <w:bottom w:val="none" w:color="auto" w:sz="0" w:space="1"/>
          <w:right w:val="none" w:color="auto" w:sz="0" w:space="4"/>
        </w:pBdr>
        <w:jc w:val="center"/>
      </w:pPr>
    </w:p>
    <w:p>
      <w:pPr>
        <w:jc w:val="left"/>
        <w:rPr>
          <w:rFonts w:ascii="Times New Roman" w:hAnsi="Times New Roman" w:eastAsia="方正魏碑简体" w:cs="Times New Roman"/>
          <w:b/>
          <w:bCs/>
          <w:color w:val="0000FF"/>
          <w:sz w:val="32"/>
          <w:szCs w:val="40"/>
          <w:highlight w:val="yellow"/>
        </w:rPr>
      </w:pPr>
      <w:r>
        <w:rPr>
          <w:rFonts w:hint="eastAsia" w:ascii="Times New Roman" w:hAnsi="Times New Roman" w:eastAsia="方正小标宋_GBK" w:cs="Times New Roman"/>
          <w:b/>
          <w:bCs/>
          <w:color w:val="FF0000"/>
          <w:sz w:val="32"/>
          <w:szCs w:val="40"/>
          <w:highlight w:val="yellow"/>
        </w:rPr>
        <w:t>4</w:t>
      </w:r>
      <w:r>
        <w:rPr>
          <w:rFonts w:ascii="Times New Roman" w:hAnsi="Times New Roman" w:eastAsia="方正小标宋_GBK" w:cs="Times New Roman"/>
          <w:b/>
          <w:bCs/>
          <w:color w:val="FF0000"/>
          <w:sz w:val="32"/>
          <w:szCs w:val="40"/>
          <w:highlight w:val="yellow"/>
        </w:rPr>
        <w:t>月</w:t>
      </w:r>
      <w:r>
        <w:rPr>
          <w:rFonts w:hint="eastAsia" w:ascii="Times New Roman" w:hAnsi="Times New Roman" w:eastAsia="方正小标宋_GBK" w:cs="Times New Roman"/>
          <w:b/>
          <w:bCs/>
          <w:color w:val="FF0000"/>
          <w:sz w:val="32"/>
          <w:szCs w:val="40"/>
          <w:highlight w:val="yellow"/>
        </w:rPr>
        <w:t>23</w:t>
      </w:r>
      <w:r>
        <w:rPr>
          <w:rFonts w:ascii="Times New Roman" w:hAnsi="Times New Roman" w:eastAsia="方正小标宋_GBK" w:cs="Times New Roman"/>
          <w:b/>
          <w:bCs/>
          <w:color w:val="FF0000"/>
          <w:sz w:val="32"/>
          <w:szCs w:val="40"/>
          <w:highlight w:val="yellow"/>
        </w:rPr>
        <w:t>日</w:t>
      </w:r>
      <w:r>
        <w:rPr>
          <w:rFonts w:ascii="Times New Roman" w:hAnsi="Times New Roman" w:eastAsia="方正魏碑简体" w:cs="Times New Roman"/>
          <w:b/>
          <w:bCs/>
          <w:color w:val="0000FF"/>
          <w:sz w:val="32"/>
          <w:szCs w:val="40"/>
          <w:highlight w:val="yellow"/>
        </w:rPr>
        <w:t>（周</w:t>
      </w:r>
      <w:r>
        <w:rPr>
          <w:rFonts w:hint="eastAsia" w:ascii="Times New Roman" w:hAnsi="Times New Roman" w:eastAsia="方正魏碑简体" w:cs="Times New Roman"/>
          <w:b/>
          <w:bCs/>
          <w:color w:val="0000FF"/>
          <w:sz w:val="32"/>
          <w:szCs w:val="40"/>
          <w:highlight w:val="yellow"/>
        </w:rPr>
        <w:t>二</w:t>
      </w:r>
      <w:r>
        <w:rPr>
          <w:rFonts w:ascii="Times New Roman" w:hAnsi="Times New Roman" w:eastAsia="方正魏碑简体" w:cs="Times New Roman"/>
          <w:b/>
          <w:bCs/>
          <w:color w:val="0000FF"/>
          <w:sz w:val="32"/>
          <w:szCs w:val="40"/>
          <w:highlight w:val="yellow"/>
        </w:rPr>
        <w:t>）</w:t>
      </w:r>
    </w:p>
    <w:p>
      <w:pPr>
        <w:pBdr>
          <w:top w:val="none" w:color="auto" w:sz="0" w:space="1"/>
          <w:left w:val="none" w:color="auto" w:sz="0" w:space="4"/>
          <w:bottom w:val="none" w:color="auto" w:sz="0" w:space="1"/>
          <w:right w:val="none" w:color="auto" w:sz="0" w:space="4"/>
        </w:pBdr>
        <w:jc w:val="center"/>
        <w:rPr>
          <w:rFonts w:ascii="Times New Roman" w:hAnsi="Times New Roman" w:eastAsia="方正小标宋_GBK" w:cs="Times New Roman"/>
          <w:b/>
          <w:bCs/>
          <w:color w:val="0000FF"/>
          <w:sz w:val="36"/>
          <w:szCs w:val="44"/>
          <w:highlight w:val="yellow"/>
        </w:rPr>
      </w:pPr>
      <w:r>
        <w:rPr>
          <w:rFonts w:hint="eastAsia" w:ascii="方正小标宋_GBK" w:hAnsi="方正小标宋_GBK" w:eastAsia="方正小标宋_GBK" w:cs="方正小标宋_GBK"/>
          <w:b/>
          <w:bCs/>
          <w:color w:val="0000FF"/>
          <w:sz w:val="36"/>
          <w:szCs w:val="36"/>
          <w:highlight w:val="yellow"/>
        </w:rPr>
        <w:t>AI科技股降温，大宗商品抬头</w:t>
      </w:r>
    </w:p>
    <w:p>
      <w:pPr>
        <w:ind w:firstLine="608" w:firstLineChars="200"/>
        <w:rPr>
          <w:rFonts w:asciiTheme="minorEastAsia" w:hAnsiTheme="minorEastAsia" w:cstheme="minorEastAsia"/>
          <w:sz w:val="32"/>
          <w:szCs w:val="32"/>
        </w:rPr>
      </w:pPr>
      <w:r>
        <w:rPr>
          <w:rFonts w:hint="eastAsia" w:asciiTheme="minorEastAsia" w:hAnsiTheme="minorEastAsia" w:cstheme="minorEastAsia"/>
          <w:sz w:val="32"/>
          <w:szCs w:val="32"/>
        </w:rPr>
        <w:t>4月22日（周一），美国股市结束六连跌，收盘小幅上涨，标普500指数收于5000点上方。本周将公布一系列投资者关注的关键数据，包括美国的制造业数据、一季度GDP以及美联储首选的通胀指标“PCE”价格指数。</w:t>
      </w:r>
    </w:p>
    <w:p>
      <w:pPr>
        <w:ind w:firstLine="608" w:firstLineChars="200"/>
        <w:rPr>
          <w:rFonts w:asciiTheme="minorEastAsia" w:hAnsiTheme="minorEastAsia" w:cstheme="minorEastAsia"/>
          <w:sz w:val="32"/>
          <w:szCs w:val="32"/>
        </w:rPr>
      </w:pPr>
      <w:r>
        <w:rPr>
          <w:rFonts w:hint="eastAsia" w:asciiTheme="minorEastAsia" w:hAnsiTheme="minorEastAsia" w:cstheme="minorEastAsia"/>
          <w:sz w:val="32"/>
          <w:szCs w:val="32"/>
        </w:rPr>
        <w:t>美国财政部周二拍卖 690亿美元的两年期美债，本周计划拍卖1830亿美元的各类期限国债，因此市场预计美债收益率会维持在较高水平，甚至继续上行，这将对股市产生压力。</w:t>
      </w:r>
    </w:p>
    <w:p>
      <w:pPr>
        <w:ind w:firstLine="608" w:firstLineChars="200"/>
        <w:rPr>
          <w:rFonts w:ascii="Times New Roman" w:hAnsi="Times New Roman" w:cs="Times New Roman"/>
          <w:sz w:val="32"/>
          <w:szCs w:val="32"/>
        </w:rPr>
      </w:pPr>
      <w:r>
        <w:rPr>
          <w:rFonts w:hint="eastAsia" w:asciiTheme="minorEastAsia" w:hAnsiTheme="minorEastAsia" w:cstheme="minorEastAsia"/>
          <w:sz w:val="32"/>
          <w:szCs w:val="32"/>
        </w:rPr>
        <w:t>同日，英国富时100 指数（FTSE）创下收盘的历史新高（见图）。</w:t>
      </w:r>
    </w:p>
    <w:p>
      <w:pPr>
        <w:pBdr>
          <w:top w:val="none" w:color="auto" w:sz="0" w:space="1"/>
          <w:left w:val="none" w:color="auto" w:sz="0" w:space="4"/>
          <w:bottom w:val="none" w:color="auto" w:sz="0" w:space="1"/>
          <w:right w:val="none" w:color="auto" w:sz="0" w:space="4"/>
        </w:pBdr>
        <w:jc w:val="left"/>
      </w:pPr>
    </w:p>
    <w:p>
      <w:pPr>
        <w:pBdr>
          <w:top w:val="none" w:color="auto" w:sz="0" w:space="1"/>
          <w:left w:val="none" w:color="auto" w:sz="0" w:space="4"/>
          <w:bottom w:val="none" w:color="auto" w:sz="0" w:space="1"/>
          <w:right w:val="none" w:color="auto" w:sz="0" w:space="4"/>
        </w:pBdr>
        <w:jc w:val="center"/>
      </w:pPr>
    </w:p>
    <w:p>
      <w:pPr>
        <w:pBdr>
          <w:top w:val="none" w:color="auto" w:sz="0" w:space="1"/>
          <w:left w:val="none" w:color="auto" w:sz="0" w:space="4"/>
          <w:bottom w:val="none" w:color="auto" w:sz="0" w:space="1"/>
          <w:right w:val="none" w:color="auto" w:sz="0" w:space="4"/>
        </w:pBdr>
        <w:jc w:val="center"/>
      </w:pPr>
    </w:p>
    <w:p>
      <w:pPr>
        <w:ind w:firstLine="388" w:firstLineChars="200"/>
        <w:jc w:val="left"/>
        <w:rPr>
          <w:rFonts w:hint="eastAsia" w:asciiTheme="minorEastAsia" w:hAnsiTheme="minorEastAsia" w:cstheme="minorEastAsia"/>
          <w:sz w:val="32"/>
          <w:szCs w:val="32"/>
        </w:rPr>
      </w:pPr>
      <w:r>
        <w:rPr>
          <w:rFonts w:hint="eastAsia"/>
        </w:rPr>
        <w:drawing>
          <wp:anchor distT="0" distB="0" distL="114300" distR="114300" simplePos="0" relativeHeight="251662336" behindDoc="0" locked="0" layoutInCell="1" allowOverlap="1">
            <wp:simplePos x="0" y="0"/>
            <wp:positionH relativeFrom="column">
              <wp:posOffset>462280</wp:posOffset>
            </wp:positionH>
            <wp:positionV relativeFrom="paragraph">
              <wp:posOffset>780415</wp:posOffset>
            </wp:positionV>
            <wp:extent cx="4572000" cy="2452370"/>
            <wp:effectExtent l="0" t="0" r="0" b="5080"/>
            <wp:wrapTopAndBottom/>
            <wp:docPr id="26" name="图片 26" descr="图片5-英国富时100的K线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图片5-英国富时100的K线图"/>
                    <pic:cNvPicPr>
                      <a:picLocks noChangeAspect="1"/>
                    </pic:cNvPicPr>
                  </pic:nvPicPr>
                  <pic:blipFill>
                    <a:blip r:embed="rId10"/>
                    <a:stretch>
                      <a:fillRect/>
                    </a:stretch>
                  </pic:blipFill>
                  <pic:spPr>
                    <a:xfrm>
                      <a:off x="0" y="0"/>
                      <a:ext cx="4572000" cy="2452370"/>
                    </a:xfrm>
                    <a:prstGeom prst="rect">
                      <a:avLst/>
                    </a:prstGeom>
                  </pic:spPr>
                </pic:pic>
              </a:graphicData>
            </a:graphic>
          </wp:anchor>
        </w:drawing>
      </w:r>
    </w:p>
    <w:p>
      <w:pPr>
        <w:ind w:firstLine="608" w:firstLineChars="200"/>
        <w:jc w:val="left"/>
        <w:rPr>
          <w:rFonts w:hint="eastAsia" w:asciiTheme="minorEastAsia" w:hAnsiTheme="minorEastAsia" w:cstheme="minorEastAsia"/>
          <w:sz w:val="32"/>
          <w:szCs w:val="32"/>
        </w:rPr>
      </w:pPr>
    </w:p>
    <w:p>
      <w:pPr>
        <w:ind w:firstLine="608" w:firstLineChars="200"/>
        <w:jc w:val="left"/>
        <w:rPr>
          <w:rFonts w:hint="eastAsia" w:asciiTheme="minorEastAsia" w:hAnsiTheme="minorEastAsia" w:cstheme="minorEastAsia"/>
          <w:sz w:val="32"/>
          <w:szCs w:val="32"/>
        </w:rPr>
      </w:pPr>
    </w:p>
    <w:p>
      <w:pPr>
        <w:ind w:firstLine="608" w:firstLineChars="200"/>
        <w:jc w:val="left"/>
        <w:rPr>
          <w:rFonts w:asciiTheme="minorEastAsia" w:hAnsiTheme="minorEastAsia" w:cstheme="minorEastAsia"/>
          <w:sz w:val="32"/>
          <w:szCs w:val="32"/>
        </w:rPr>
      </w:pPr>
      <w:r>
        <w:rPr>
          <w:rFonts w:hint="eastAsia" w:asciiTheme="minorEastAsia" w:hAnsiTheme="minorEastAsia" w:cstheme="minorEastAsia"/>
          <w:sz w:val="32"/>
          <w:szCs w:val="32"/>
        </w:rPr>
        <w:t>市场分析，富时100指数近期迭创新高，一是因为英镑贬值，英镑汇率走低相当于英国上市公司的股价下跌，从而吸引更多的投资者和资金；二是市场预期英国央行即将降息，英国3月份的CPI同比从2月份的3.4%放缓至3.2%，为2021 年9 月以来的最低水平，同时，英国失业率上升、经济增长乏力，因此投资者对英国央行近期降息的预期较高。</w:t>
      </w:r>
    </w:p>
    <w:p>
      <w:pPr>
        <w:pBdr>
          <w:top w:val="none" w:color="auto" w:sz="0" w:space="1"/>
          <w:left w:val="none" w:color="auto" w:sz="0" w:space="4"/>
          <w:bottom w:val="none" w:color="auto" w:sz="0" w:space="1"/>
          <w:right w:val="none" w:color="auto" w:sz="0" w:space="4"/>
        </w:pBdr>
        <w:ind w:firstLine="608" w:firstLineChars="200"/>
        <w:jc w:val="left"/>
        <w:rPr>
          <w:rFonts w:asciiTheme="minorEastAsia" w:hAnsiTheme="minorEastAsia" w:cstheme="minorEastAsia"/>
          <w:sz w:val="32"/>
          <w:szCs w:val="32"/>
        </w:rPr>
      </w:pPr>
      <w:r>
        <w:rPr>
          <w:rFonts w:hint="eastAsia" w:asciiTheme="minorEastAsia" w:hAnsiTheme="minorEastAsia" w:cstheme="minorEastAsia"/>
          <w:sz w:val="32"/>
          <w:szCs w:val="32"/>
        </w:rPr>
        <w:t>此外，出于对AI科技股泡沫和地缘政治风险的担忧，投资者们开始转向大宗商品。富时100指数由英国前100家市值最大的上市公司编制而成，其中有相当多的企业在大宗商品领域有深度参与和广泛影响，因此能显著体现大宗商品部门的冷热。</w:t>
      </w:r>
    </w:p>
    <w:p>
      <w:pPr>
        <w:pBdr>
          <w:top w:val="none" w:color="auto" w:sz="0" w:space="1"/>
          <w:left w:val="none" w:color="auto" w:sz="0" w:space="4"/>
          <w:bottom w:val="none" w:color="auto" w:sz="0" w:space="1"/>
          <w:right w:val="none" w:color="auto" w:sz="0" w:space="4"/>
        </w:pBdr>
        <w:jc w:val="center"/>
        <w:rPr>
          <w:sz w:val="32"/>
          <w:szCs w:val="32"/>
        </w:rPr>
      </w:pPr>
    </w:p>
    <w:p>
      <w:pPr>
        <w:pBdr>
          <w:top w:val="none" w:color="auto" w:sz="0" w:space="1"/>
          <w:left w:val="none" w:color="auto" w:sz="0" w:space="4"/>
          <w:bottom w:val="none" w:color="auto" w:sz="0" w:space="1"/>
          <w:right w:val="none" w:color="auto" w:sz="0" w:space="4"/>
        </w:pBdr>
        <w:jc w:val="center"/>
        <w:rPr>
          <w:sz w:val="32"/>
          <w:szCs w:val="32"/>
        </w:rPr>
      </w:pPr>
    </w:p>
    <w:p>
      <w:pPr>
        <w:jc w:val="left"/>
        <w:rPr>
          <w:rFonts w:hint="eastAsia" w:ascii="Times New Roman" w:hAnsi="Times New Roman" w:eastAsia="方正小标宋_GBK" w:cs="Times New Roman"/>
          <w:b/>
          <w:bCs/>
          <w:color w:val="FF0000"/>
          <w:sz w:val="32"/>
          <w:szCs w:val="40"/>
          <w:highlight w:val="yellow"/>
        </w:rPr>
      </w:pPr>
    </w:p>
    <w:p>
      <w:pPr>
        <w:jc w:val="left"/>
        <w:rPr>
          <w:rFonts w:ascii="Times New Roman" w:hAnsi="Times New Roman" w:eastAsia="方正魏碑简体" w:cs="Times New Roman"/>
          <w:b/>
          <w:bCs/>
          <w:color w:val="0000FF"/>
          <w:sz w:val="32"/>
          <w:szCs w:val="40"/>
          <w:highlight w:val="yellow"/>
        </w:rPr>
      </w:pPr>
      <w:r>
        <w:rPr>
          <w:rFonts w:hint="eastAsia" w:ascii="Times New Roman" w:hAnsi="Times New Roman" w:eastAsia="方正小标宋_GBK" w:cs="Times New Roman"/>
          <w:b/>
          <w:bCs/>
          <w:color w:val="FF0000"/>
          <w:sz w:val="32"/>
          <w:szCs w:val="40"/>
          <w:highlight w:val="yellow"/>
        </w:rPr>
        <w:t>4</w:t>
      </w:r>
      <w:r>
        <w:rPr>
          <w:rFonts w:ascii="Times New Roman" w:hAnsi="Times New Roman" w:eastAsia="方正小标宋_GBK" w:cs="Times New Roman"/>
          <w:b/>
          <w:bCs/>
          <w:color w:val="FF0000"/>
          <w:sz w:val="32"/>
          <w:szCs w:val="40"/>
          <w:highlight w:val="yellow"/>
        </w:rPr>
        <w:t>月</w:t>
      </w:r>
      <w:r>
        <w:rPr>
          <w:rFonts w:hint="eastAsia" w:ascii="Times New Roman" w:hAnsi="Times New Roman" w:eastAsia="方正小标宋_GBK" w:cs="Times New Roman"/>
          <w:b/>
          <w:bCs/>
          <w:color w:val="FF0000"/>
          <w:sz w:val="32"/>
          <w:szCs w:val="40"/>
          <w:highlight w:val="yellow"/>
        </w:rPr>
        <w:t>24</w:t>
      </w:r>
      <w:r>
        <w:rPr>
          <w:rFonts w:ascii="Times New Roman" w:hAnsi="Times New Roman" w:eastAsia="方正小标宋_GBK" w:cs="Times New Roman"/>
          <w:b/>
          <w:bCs/>
          <w:color w:val="FF0000"/>
          <w:sz w:val="32"/>
          <w:szCs w:val="40"/>
          <w:highlight w:val="yellow"/>
        </w:rPr>
        <w:t>日</w:t>
      </w:r>
      <w:r>
        <w:rPr>
          <w:rFonts w:ascii="Times New Roman" w:hAnsi="Times New Roman" w:eastAsia="方正魏碑简体" w:cs="Times New Roman"/>
          <w:b/>
          <w:bCs/>
          <w:color w:val="0000FF"/>
          <w:sz w:val="32"/>
          <w:szCs w:val="40"/>
          <w:highlight w:val="yellow"/>
        </w:rPr>
        <w:t>（周</w:t>
      </w:r>
      <w:r>
        <w:rPr>
          <w:rFonts w:hint="eastAsia" w:ascii="Times New Roman" w:hAnsi="Times New Roman" w:eastAsia="方正魏碑简体" w:cs="Times New Roman"/>
          <w:b/>
          <w:bCs/>
          <w:color w:val="0000FF"/>
          <w:sz w:val="32"/>
          <w:szCs w:val="40"/>
          <w:highlight w:val="yellow"/>
        </w:rPr>
        <w:t>三</w:t>
      </w:r>
      <w:r>
        <w:rPr>
          <w:rFonts w:ascii="Times New Roman" w:hAnsi="Times New Roman" w:eastAsia="方正魏碑简体" w:cs="Times New Roman"/>
          <w:b/>
          <w:bCs/>
          <w:color w:val="0000FF"/>
          <w:sz w:val="32"/>
          <w:szCs w:val="40"/>
          <w:highlight w:val="yellow"/>
        </w:rPr>
        <w:t>）</w:t>
      </w:r>
    </w:p>
    <w:p>
      <w:pPr>
        <w:pBdr>
          <w:top w:val="none" w:color="auto" w:sz="0" w:space="1"/>
          <w:left w:val="none" w:color="auto" w:sz="0" w:space="4"/>
          <w:bottom w:val="none" w:color="auto" w:sz="0" w:space="1"/>
          <w:right w:val="none" w:color="auto" w:sz="0" w:space="4"/>
        </w:pBdr>
        <w:jc w:val="center"/>
        <w:rPr>
          <w:rFonts w:ascii="Times New Roman" w:hAnsi="Times New Roman" w:eastAsia="方正小标宋_GBK" w:cs="Times New Roman"/>
          <w:b/>
          <w:bCs/>
          <w:color w:val="0000FF"/>
          <w:sz w:val="36"/>
          <w:szCs w:val="44"/>
          <w:highlight w:val="yellow"/>
        </w:rPr>
      </w:pPr>
      <w:r>
        <w:rPr>
          <w:rFonts w:hint="eastAsia" w:ascii="方正小标宋_GBK" w:hAnsi="方正小标宋_GBK" w:eastAsia="方正小标宋_GBK" w:cs="方正小标宋_GBK"/>
          <w:b/>
          <w:bCs/>
          <w:color w:val="0000FF"/>
          <w:sz w:val="36"/>
          <w:szCs w:val="36"/>
          <w:highlight w:val="yellow"/>
        </w:rPr>
        <w:t>PMI走势各异，投资者解读不同</w:t>
      </w:r>
    </w:p>
    <w:p>
      <w:pPr>
        <w:ind w:firstLine="608" w:firstLineChars="200"/>
        <w:rPr>
          <w:rFonts w:asciiTheme="minorEastAsia" w:hAnsiTheme="minorEastAsia" w:cstheme="minorEastAsia"/>
          <w:sz w:val="32"/>
          <w:szCs w:val="32"/>
        </w:rPr>
      </w:pPr>
      <w:r>
        <w:rPr>
          <w:rFonts w:hint="eastAsia" w:asciiTheme="minorEastAsia" w:hAnsiTheme="minorEastAsia" w:cstheme="minorEastAsia"/>
          <w:sz w:val="32"/>
          <w:szCs w:val="32"/>
        </w:rPr>
        <w:t>4月23日（周二），一大批经济体公布了各自的“采购经理人指数”（PMI）初值。</w:t>
      </w:r>
    </w:p>
    <w:p>
      <w:pPr>
        <w:ind w:firstLine="608" w:firstLineChars="200"/>
        <w:rPr>
          <w:rFonts w:asciiTheme="minorEastAsia" w:hAnsiTheme="minorEastAsia" w:cstheme="minorEastAsia"/>
          <w:sz w:val="32"/>
          <w:szCs w:val="32"/>
        </w:rPr>
      </w:pPr>
      <w:r>
        <w:rPr>
          <w:rFonts w:hint="eastAsia" w:asciiTheme="minorEastAsia" w:hAnsiTheme="minorEastAsia" w:cstheme="minorEastAsia"/>
          <w:sz w:val="32"/>
          <w:szCs w:val="32"/>
        </w:rPr>
        <w:t>数据显示，尽管整个欧元区的制造业PMI有所上升，但德国制造业企业的经营状况仍不理想（见表格）。</w:t>
      </w:r>
    </w:p>
    <w:p>
      <w:pPr>
        <w:ind w:firstLine="608" w:firstLineChars="200"/>
        <w:jc w:val="left"/>
        <w:rPr>
          <w:rFonts w:asciiTheme="minorEastAsia" w:hAnsiTheme="minorEastAsia" w:cstheme="minorEastAsia"/>
          <w:b/>
          <w:bCs/>
          <w:sz w:val="32"/>
          <w:szCs w:val="32"/>
        </w:rPr>
      </w:pPr>
    </w:p>
    <w:p>
      <w:pPr>
        <w:ind w:firstLine="608" w:firstLineChars="200"/>
        <w:jc w:val="left"/>
        <w:rPr>
          <w:rFonts w:asciiTheme="minorEastAsia" w:hAnsiTheme="minorEastAsia" w:cstheme="minorEastAsia"/>
          <w:b/>
          <w:bCs/>
          <w:sz w:val="32"/>
          <w:szCs w:val="32"/>
        </w:rPr>
      </w:pPr>
      <w:r>
        <w:rPr>
          <w:rFonts w:hint="eastAsia" w:asciiTheme="minorEastAsia" w:hAnsiTheme="minorEastAsia" w:cstheme="minorEastAsia"/>
          <w:b/>
          <w:bCs/>
          <w:sz w:val="32"/>
          <w:szCs w:val="32"/>
        </w:rPr>
        <w:drawing>
          <wp:anchor distT="0" distB="0" distL="114300" distR="114300" simplePos="0" relativeHeight="251663360" behindDoc="0" locked="0" layoutInCell="1" allowOverlap="1">
            <wp:simplePos x="0" y="0"/>
            <wp:positionH relativeFrom="column">
              <wp:posOffset>124460</wp:posOffset>
            </wp:positionH>
            <wp:positionV relativeFrom="paragraph">
              <wp:posOffset>16510</wp:posOffset>
            </wp:positionV>
            <wp:extent cx="5391150" cy="1684020"/>
            <wp:effectExtent l="0" t="0" r="0" b="11430"/>
            <wp:wrapTopAndBottom/>
            <wp:docPr id="27" name="图片 27" descr="图片6-欧元区PMI表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图片6-欧元区PMI表格"/>
                    <pic:cNvPicPr>
                      <a:picLocks noChangeAspect="1"/>
                    </pic:cNvPicPr>
                  </pic:nvPicPr>
                  <pic:blipFill>
                    <a:blip r:embed="rId11"/>
                    <a:stretch>
                      <a:fillRect/>
                    </a:stretch>
                  </pic:blipFill>
                  <pic:spPr>
                    <a:xfrm>
                      <a:off x="0" y="0"/>
                      <a:ext cx="5391150" cy="1684020"/>
                    </a:xfrm>
                    <a:prstGeom prst="rect">
                      <a:avLst/>
                    </a:prstGeom>
                  </pic:spPr>
                </pic:pic>
              </a:graphicData>
            </a:graphic>
          </wp:anchor>
        </w:drawing>
      </w:r>
    </w:p>
    <w:p>
      <w:pPr>
        <w:ind w:firstLine="608" w:firstLineChars="200"/>
        <w:rPr>
          <w:rFonts w:asciiTheme="minorEastAsia" w:hAnsiTheme="minorEastAsia" w:cstheme="minorEastAsia"/>
          <w:sz w:val="32"/>
          <w:szCs w:val="32"/>
        </w:rPr>
      </w:pPr>
      <w:r>
        <w:rPr>
          <w:rFonts w:hint="eastAsia" w:asciiTheme="minorEastAsia" w:hAnsiTheme="minorEastAsia" w:cstheme="minorEastAsia"/>
          <w:sz w:val="32"/>
          <w:szCs w:val="32"/>
        </w:rPr>
        <w:t>制造业占德国经济总量的23%左右，根据德国央行的初步数据，虽然今年第一季度制造业略有增长，但尚未有持续改善的迹象。</w:t>
      </w:r>
    </w:p>
    <w:p>
      <w:pPr>
        <w:ind w:firstLine="608" w:firstLineChars="200"/>
        <w:rPr>
          <w:rFonts w:asciiTheme="minorEastAsia" w:hAnsiTheme="minorEastAsia" w:cstheme="minorEastAsia"/>
          <w:sz w:val="32"/>
          <w:szCs w:val="32"/>
        </w:rPr>
      </w:pPr>
      <w:r>
        <w:rPr>
          <w:rFonts w:hint="eastAsia" w:asciiTheme="minorEastAsia" w:hAnsiTheme="minorEastAsia" w:cstheme="minorEastAsia"/>
          <w:sz w:val="32"/>
          <w:szCs w:val="32"/>
        </w:rPr>
        <w:t>德国制造业受制于能源价格上涨、高利率、不稳定的经济政策，以及国内外市场的需求疲软。好在劳动力市场仍属强劲，通胀也正在缓解，期望二季度德国制造业能够复苏，拉动经济走出衰退。</w:t>
      </w:r>
    </w:p>
    <w:p>
      <w:pPr>
        <w:ind w:firstLine="608" w:firstLineChars="200"/>
        <w:rPr>
          <w:rFonts w:asciiTheme="minorEastAsia" w:hAnsiTheme="minorEastAsia" w:cstheme="minorEastAsia"/>
          <w:sz w:val="32"/>
          <w:szCs w:val="32"/>
        </w:rPr>
      </w:pPr>
      <w:r>
        <w:rPr>
          <w:rFonts w:hint="eastAsia" w:asciiTheme="minorEastAsia" w:hAnsiTheme="minorEastAsia" w:cstheme="minorEastAsia"/>
          <w:sz w:val="32"/>
          <w:szCs w:val="32"/>
        </w:rPr>
        <w:t>下图为中、美、日、德和欧元区的制造业PMI数据（50为荣枯线），德国制造业任重道远。</w:t>
      </w:r>
    </w:p>
    <w:p>
      <w:pPr>
        <w:ind w:firstLine="608" w:firstLineChars="200"/>
        <w:rPr>
          <w:rFonts w:hint="eastAsia" w:asciiTheme="minorEastAsia" w:hAnsiTheme="minorEastAsia" w:cstheme="minorEastAsia"/>
          <w:sz w:val="32"/>
          <w:szCs w:val="32"/>
        </w:rPr>
      </w:pPr>
    </w:p>
    <w:p>
      <w:pPr>
        <w:ind w:firstLine="608" w:firstLineChars="200"/>
        <w:rPr>
          <w:rFonts w:hint="eastAsia" w:asciiTheme="minorEastAsia" w:hAnsiTheme="minorEastAsia" w:cstheme="minorEastAsia"/>
          <w:sz w:val="32"/>
          <w:szCs w:val="32"/>
        </w:rPr>
      </w:pPr>
    </w:p>
    <w:p>
      <w:pPr>
        <w:ind w:firstLine="608" w:firstLineChars="200"/>
        <w:rPr>
          <w:rFonts w:hint="eastAsia" w:asciiTheme="minorEastAsia" w:hAnsiTheme="minorEastAsia" w:cstheme="minorEastAsia"/>
          <w:sz w:val="32"/>
          <w:szCs w:val="32"/>
        </w:rPr>
      </w:pPr>
      <w:r>
        <w:rPr>
          <w:rFonts w:hint="eastAsia" w:asciiTheme="minorEastAsia" w:hAnsiTheme="minorEastAsia" w:cstheme="minorEastAsia"/>
          <w:sz w:val="32"/>
          <w:szCs w:val="32"/>
        </w:rPr>
        <w:drawing>
          <wp:anchor distT="0" distB="0" distL="114300" distR="114300" simplePos="0" relativeHeight="251664384" behindDoc="0" locked="0" layoutInCell="1" allowOverlap="1">
            <wp:simplePos x="0" y="0"/>
            <wp:positionH relativeFrom="column">
              <wp:posOffset>172720</wp:posOffset>
            </wp:positionH>
            <wp:positionV relativeFrom="paragraph">
              <wp:posOffset>545465</wp:posOffset>
            </wp:positionV>
            <wp:extent cx="5248910" cy="3664585"/>
            <wp:effectExtent l="0" t="0" r="8890" b="12065"/>
            <wp:wrapTopAndBottom/>
            <wp:docPr id="29" name="图片 29" descr="图片7-各国制造业P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图片7-各国制造业PMI"/>
                    <pic:cNvPicPr>
                      <a:picLocks noChangeAspect="1"/>
                    </pic:cNvPicPr>
                  </pic:nvPicPr>
                  <pic:blipFill>
                    <a:blip r:embed="rId12"/>
                    <a:stretch>
                      <a:fillRect/>
                    </a:stretch>
                  </pic:blipFill>
                  <pic:spPr>
                    <a:xfrm>
                      <a:off x="0" y="0"/>
                      <a:ext cx="5248910" cy="3664585"/>
                    </a:xfrm>
                    <a:prstGeom prst="rect">
                      <a:avLst/>
                    </a:prstGeom>
                  </pic:spPr>
                </pic:pic>
              </a:graphicData>
            </a:graphic>
          </wp:anchor>
        </w:drawing>
      </w:r>
    </w:p>
    <w:p>
      <w:pPr>
        <w:ind w:firstLine="608" w:firstLineChars="200"/>
        <w:rPr>
          <w:rFonts w:hint="eastAsia" w:asciiTheme="minorEastAsia" w:hAnsiTheme="minorEastAsia" w:cstheme="minorEastAsia"/>
          <w:sz w:val="32"/>
          <w:szCs w:val="32"/>
        </w:rPr>
      </w:pPr>
    </w:p>
    <w:p>
      <w:pPr>
        <w:ind w:firstLine="608" w:firstLineChars="200"/>
        <w:rPr>
          <w:rFonts w:asciiTheme="minorEastAsia" w:hAnsiTheme="minorEastAsia" w:cstheme="minorEastAsia"/>
          <w:sz w:val="32"/>
          <w:szCs w:val="32"/>
        </w:rPr>
      </w:pPr>
      <w:r>
        <w:rPr>
          <w:rFonts w:hint="eastAsia" w:asciiTheme="minorEastAsia" w:hAnsiTheme="minorEastAsia" w:cstheme="minorEastAsia"/>
          <w:sz w:val="32"/>
          <w:szCs w:val="32"/>
        </w:rPr>
        <w:t>从图中可看出，美国的4月PMI初值回落。这出乎了市场预料，同时也缓解了对于通胀停滞的担忧，于是美元与美债收益率走低，美股延续周一的反弹势头，标普500指数与纳指均收涨超1%，道指收涨近0.7%。</w:t>
      </w:r>
    </w:p>
    <w:p>
      <w:pPr>
        <w:ind w:firstLine="608" w:firstLineChars="200"/>
        <w:jc w:val="left"/>
        <w:rPr>
          <w:rFonts w:hint="eastAsia"/>
        </w:rPr>
      </w:pPr>
      <w:r>
        <w:rPr>
          <w:rFonts w:hint="eastAsia" w:asciiTheme="minorEastAsia" w:hAnsiTheme="minorEastAsia" w:cstheme="minorEastAsia"/>
          <w:sz w:val="32"/>
          <w:szCs w:val="32"/>
        </w:rPr>
        <w:t>同日，美国财政部拍卖690亿美元的两年期美债，拍卖结果显示市场需求强劲，助推收益率降低。这也从侧面说明，市场仍存在着一定的降息预期，因此才会大笔买入短期美债，以此来锁定回报率</w:t>
      </w:r>
      <w:r>
        <w:rPr>
          <w:rFonts w:hint="eastAsia"/>
        </w:rPr>
        <w:t>。</w:t>
      </w:r>
    </w:p>
    <w:p>
      <w:pPr>
        <w:ind w:firstLine="388" w:firstLineChars="200"/>
        <w:jc w:val="left"/>
        <w:rPr>
          <w:rFonts w:hint="eastAsia"/>
        </w:rPr>
      </w:pPr>
    </w:p>
    <w:p>
      <w:pPr>
        <w:ind w:firstLine="388" w:firstLineChars="200"/>
        <w:jc w:val="left"/>
      </w:pPr>
    </w:p>
    <w:p>
      <w:pPr>
        <w:jc w:val="left"/>
        <w:rPr>
          <w:rFonts w:hint="eastAsia" w:ascii="Times New Roman" w:hAnsi="Times New Roman" w:eastAsia="方正小标宋_GBK" w:cs="Times New Roman"/>
          <w:b/>
          <w:bCs/>
          <w:color w:val="FF0000"/>
          <w:sz w:val="32"/>
          <w:szCs w:val="40"/>
          <w:highlight w:val="yellow"/>
        </w:rPr>
      </w:pPr>
    </w:p>
    <w:p>
      <w:pPr>
        <w:jc w:val="left"/>
        <w:rPr>
          <w:rFonts w:ascii="Times New Roman" w:hAnsi="Times New Roman" w:eastAsia="方正魏碑简体" w:cs="Times New Roman"/>
          <w:b/>
          <w:bCs/>
          <w:color w:val="0000FF"/>
          <w:sz w:val="32"/>
          <w:szCs w:val="40"/>
          <w:highlight w:val="yellow"/>
        </w:rPr>
      </w:pPr>
      <w:r>
        <w:rPr>
          <w:rFonts w:hint="eastAsia" w:ascii="Times New Roman" w:hAnsi="Times New Roman" w:eastAsia="方正小标宋_GBK" w:cs="Times New Roman"/>
          <w:b/>
          <w:bCs/>
          <w:color w:val="FF0000"/>
          <w:sz w:val="32"/>
          <w:szCs w:val="40"/>
          <w:highlight w:val="yellow"/>
        </w:rPr>
        <w:t>4</w:t>
      </w:r>
      <w:r>
        <w:rPr>
          <w:rFonts w:ascii="Times New Roman" w:hAnsi="Times New Roman" w:eastAsia="方正小标宋_GBK" w:cs="Times New Roman"/>
          <w:b/>
          <w:bCs/>
          <w:color w:val="FF0000"/>
          <w:sz w:val="32"/>
          <w:szCs w:val="40"/>
          <w:highlight w:val="yellow"/>
        </w:rPr>
        <w:t>月</w:t>
      </w:r>
      <w:r>
        <w:rPr>
          <w:rFonts w:hint="eastAsia" w:ascii="Times New Roman" w:hAnsi="Times New Roman" w:eastAsia="方正小标宋_GBK" w:cs="Times New Roman"/>
          <w:b/>
          <w:bCs/>
          <w:color w:val="FF0000"/>
          <w:sz w:val="32"/>
          <w:szCs w:val="40"/>
          <w:highlight w:val="yellow"/>
        </w:rPr>
        <w:t>25</w:t>
      </w:r>
      <w:r>
        <w:rPr>
          <w:rFonts w:ascii="Times New Roman" w:hAnsi="Times New Roman" w:eastAsia="方正小标宋_GBK" w:cs="Times New Roman"/>
          <w:b/>
          <w:bCs/>
          <w:color w:val="FF0000"/>
          <w:sz w:val="32"/>
          <w:szCs w:val="40"/>
          <w:highlight w:val="yellow"/>
        </w:rPr>
        <w:t>日</w:t>
      </w:r>
      <w:r>
        <w:rPr>
          <w:rFonts w:ascii="Times New Roman" w:hAnsi="Times New Roman" w:eastAsia="方正魏碑简体" w:cs="Times New Roman"/>
          <w:b/>
          <w:bCs/>
          <w:color w:val="0000FF"/>
          <w:sz w:val="32"/>
          <w:szCs w:val="40"/>
          <w:highlight w:val="yellow"/>
        </w:rPr>
        <w:t>（周</w:t>
      </w:r>
      <w:r>
        <w:rPr>
          <w:rFonts w:hint="eastAsia" w:ascii="Times New Roman" w:hAnsi="Times New Roman" w:eastAsia="方正魏碑简体" w:cs="Times New Roman"/>
          <w:b/>
          <w:bCs/>
          <w:color w:val="0000FF"/>
          <w:sz w:val="32"/>
          <w:szCs w:val="40"/>
          <w:highlight w:val="yellow"/>
        </w:rPr>
        <w:t>四</w:t>
      </w:r>
      <w:r>
        <w:rPr>
          <w:rFonts w:ascii="Times New Roman" w:hAnsi="Times New Roman" w:eastAsia="方正魏碑简体" w:cs="Times New Roman"/>
          <w:b/>
          <w:bCs/>
          <w:color w:val="0000FF"/>
          <w:sz w:val="32"/>
          <w:szCs w:val="40"/>
          <w:highlight w:val="yellow"/>
        </w:rPr>
        <w:t>）</w:t>
      </w:r>
    </w:p>
    <w:p>
      <w:pPr>
        <w:jc w:val="center"/>
        <w:rPr>
          <w:rFonts w:hint="eastAsia" w:ascii="Times New Roman" w:hAnsi="Times New Roman" w:eastAsia="方正小标宋_GBK" w:cs="Times New Roman"/>
          <w:b/>
          <w:bCs/>
          <w:color w:val="0000FF"/>
          <w:sz w:val="36"/>
          <w:szCs w:val="44"/>
          <w:highlight w:val="yellow"/>
        </w:rPr>
      </w:pPr>
      <w:r>
        <w:rPr>
          <w:rFonts w:hint="eastAsia" w:ascii="Times New Roman" w:hAnsi="Times New Roman" w:eastAsia="方正小标宋_GBK" w:cs="Times New Roman"/>
          <w:b/>
          <w:bCs/>
          <w:color w:val="0000FF"/>
          <w:sz w:val="36"/>
          <w:szCs w:val="44"/>
          <w:highlight w:val="yellow"/>
        </w:rPr>
        <w:t>美债供应放大，日元汇率大跌</w:t>
      </w:r>
    </w:p>
    <w:p>
      <w:pPr>
        <w:ind w:firstLine="608" w:firstLineChars="200"/>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4月24日（周三），美国财政部拍卖了创纪录的700 亿美元5年期美债，供应压力释放过大，削弱了美债价格，推动美债收益率不断创下短期新高。</w:t>
      </w:r>
    </w:p>
    <w:p>
      <w:pPr>
        <w:ind w:firstLine="608" w:firstLineChars="200"/>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在国债的期权市场上，一些交易员已经开始押注美联储今年不会降息，甚至有机构押注，10年期美债收益率将在1个月内升至5%以上。</w:t>
      </w:r>
    </w:p>
    <w:p>
      <w:pPr>
        <w:ind w:firstLine="608" w:firstLineChars="200"/>
        <w:jc w:val="left"/>
        <w:rPr>
          <w:rFonts w:hint="eastAsia" w:asciiTheme="minorEastAsia" w:hAnsiTheme="minorEastAsia" w:eastAsiaTheme="minorEastAsia" w:cstheme="minorEastAsia"/>
          <w:b/>
          <w:bCs/>
          <w:color w:val="0000FF"/>
          <w:sz w:val="32"/>
          <w:szCs w:val="32"/>
          <w:highlight w:val="yellow"/>
        </w:rPr>
      </w:pPr>
      <w:r>
        <w:rPr>
          <w:rFonts w:hint="eastAsia" w:asciiTheme="minorEastAsia" w:hAnsiTheme="minorEastAsia" w:eastAsiaTheme="minorEastAsia" w:cstheme="minorEastAsia"/>
          <w:sz w:val="32"/>
          <w:szCs w:val="32"/>
          <w:lang w:val="en-US" w:eastAsia="zh-CN"/>
        </w:rPr>
        <w:t>近期，日元持续走贬（见图），4月25日更上创下155.7445日元/美元的34年新低。</w:t>
      </w:r>
    </w:p>
    <w:p>
      <w:pPr>
        <w:ind w:firstLine="688" w:firstLineChars="200"/>
        <w:jc w:val="left"/>
        <w:rPr>
          <w:rFonts w:hint="eastAsia" w:ascii="Times New Roman" w:hAnsi="Times New Roman" w:eastAsia="方正小标宋_GBK" w:cs="Times New Roman"/>
          <w:b/>
          <w:bCs/>
          <w:color w:val="0000FF"/>
          <w:sz w:val="36"/>
          <w:szCs w:val="44"/>
          <w:highlight w:val="yellow"/>
        </w:rPr>
      </w:pPr>
      <w:r>
        <w:rPr>
          <w:rFonts w:hint="eastAsia" w:ascii="Times New Roman" w:hAnsi="Times New Roman" w:eastAsia="方正小标宋_GBK" w:cs="Times New Roman"/>
          <w:b/>
          <w:bCs/>
          <w:color w:val="0000FF"/>
          <w:sz w:val="36"/>
          <w:szCs w:val="44"/>
          <w:highlight w:val="yellow"/>
          <w:lang w:eastAsia="zh-CN"/>
        </w:rPr>
        <w:drawing>
          <wp:anchor distT="0" distB="0" distL="114300" distR="114300" simplePos="0" relativeHeight="251665408" behindDoc="0" locked="0" layoutInCell="1" allowOverlap="1">
            <wp:simplePos x="0" y="0"/>
            <wp:positionH relativeFrom="column">
              <wp:posOffset>514350</wp:posOffset>
            </wp:positionH>
            <wp:positionV relativeFrom="paragraph">
              <wp:posOffset>303530</wp:posOffset>
            </wp:positionV>
            <wp:extent cx="4415790" cy="2390775"/>
            <wp:effectExtent l="0" t="0" r="3810" b="9525"/>
            <wp:wrapTopAndBottom/>
            <wp:docPr id="2" name="图片 2" descr="图片7-美元兑日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片7-美元兑日元"/>
                    <pic:cNvPicPr>
                      <a:picLocks noChangeAspect="1"/>
                    </pic:cNvPicPr>
                  </pic:nvPicPr>
                  <pic:blipFill>
                    <a:blip r:embed="rId13"/>
                    <a:stretch>
                      <a:fillRect/>
                    </a:stretch>
                  </pic:blipFill>
                  <pic:spPr>
                    <a:xfrm>
                      <a:off x="0" y="0"/>
                      <a:ext cx="4415790" cy="2390775"/>
                    </a:xfrm>
                    <a:prstGeom prst="rect">
                      <a:avLst/>
                    </a:prstGeom>
                  </pic:spPr>
                </pic:pic>
              </a:graphicData>
            </a:graphic>
          </wp:anchor>
        </w:drawing>
      </w:r>
    </w:p>
    <w:p>
      <w:pPr>
        <w:ind w:firstLine="688" w:firstLineChars="200"/>
        <w:jc w:val="left"/>
        <w:rPr>
          <w:rFonts w:hint="eastAsia" w:ascii="Times New Roman" w:hAnsi="Times New Roman" w:eastAsia="方正小标宋_GBK" w:cs="Times New Roman"/>
          <w:b/>
          <w:bCs/>
          <w:color w:val="0000FF"/>
          <w:sz w:val="36"/>
          <w:szCs w:val="44"/>
          <w:highlight w:val="yellow"/>
        </w:rPr>
      </w:pPr>
    </w:p>
    <w:p>
      <w:pPr>
        <w:ind w:firstLine="688" w:firstLineChars="200"/>
        <w:jc w:val="left"/>
        <w:rPr>
          <w:rFonts w:hint="eastAsia" w:ascii="Times New Roman" w:hAnsi="Times New Roman" w:eastAsia="方正小标宋_GBK" w:cs="Times New Roman"/>
          <w:b/>
          <w:bCs/>
          <w:color w:val="0000FF"/>
          <w:sz w:val="36"/>
          <w:szCs w:val="44"/>
          <w:highlight w:val="yellow"/>
        </w:rPr>
      </w:pPr>
    </w:p>
    <w:p>
      <w:pPr>
        <w:keepNext w:val="0"/>
        <w:keepLines w:val="0"/>
        <w:pageBreakBefore w:val="0"/>
        <w:widowControl w:val="0"/>
        <w:kinsoku/>
        <w:wordWrap/>
        <w:overflowPunct/>
        <w:topLinePunct w:val="0"/>
        <w:autoSpaceDE/>
        <w:autoSpaceDN/>
        <w:bidi w:val="0"/>
        <w:adjustRightInd/>
        <w:snapToGrid/>
        <w:ind w:firstLine="608" w:firstLineChars="200"/>
        <w:textAlignment w:val="auto"/>
        <w:outlineLvl w:val="9"/>
        <w:rPr>
          <w:rFonts w:hint="default"/>
          <w:sz w:val="32"/>
          <w:szCs w:val="32"/>
          <w:lang w:val="en-US" w:eastAsia="zh-CN"/>
        </w:rPr>
      </w:pPr>
      <w:r>
        <w:rPr>
          <w:rFonts w:hint="default"/>
          <w:sz w:val="32"/>
          <w:szCs w:val="32"/>
          <w:lang w:val="en-US" w:eastAsia="zh-CN"/>
        </w:rPr>
        <w:t>日本</w:t>
      </w:r>
      <w:r>
        <w:rPr>
          <w:rFonts w:hint="eastAsia"/>
          <w:sz w:val="32"/>
          <w:szCs w:val="32"/>
          <w:lang w:val="en-US" w:eastAsia="zh-CN"/>
        </w:rPr>
        <w:t>已结束负利率时</w:t>
      </w:r>
      <w:r>
        <w:rPr>
          <w:rFonts w:hint="eastAsia"/>
          <w:color w:val="auto"/>
          <w:sz w:val="32"/>
          <w:szCs w:val="32"/>
          <w:lang w:val="en-US" w:eastAsia="zh-CN"/>
        </w:rPr>
        <w:t>代</w:t>
      </w:r>
      <w:r>
        <w:rPr>
          <w:rFonts w:hint="eastAsia"/>
          <w:sz w:val="32"/>
          <w:szCs w:val="32"/>
          <w:lang w:val="en-US" w:eastAsia="zh-CN"/>
        </w:rPr>
        <w:t>，但</w:t>
      </w:r>
      <w:r>
        <w:rPr>
          <w:rFonts w:hint="default"/>
          <w:sz w:val="32"/>
          <w:szCs w:val="32"/>
          <w:lang w:val="en-US" w:eastAsia="zh-CN"/>
        </w:rPr>
        <w:t>低利率</w:t>
      </w:r>
      <w:r>
        <w:rPr>
          <w:rFonts w:hint="eastAsia"/>
          <w:sz w:val="32"/>
          <w:szCs w:val="32"/>
          <w:lang w:val="en-US" w:eastAsia="zh-CN"/>
        </w:rPr>
        <w:t>环境仍将</w:t>
      </w:r>
      <w:r>
        <w:rPr>
          <w:rFonts w:hint="default"/>
          <w:sz w:val="32"/>
          <w:szCs w:val="32"/>
          <w:lang w:val="en-US" w:eastAsia="zh-CN"/>
        </w:rPr>
        <w:t>持续，</w:t>
      </w:r>
      <w:r>
        <w:rPr>
          <w:rFonts w:hint="eastAsia"/>
          <w:sz w:val="32"/>
          <w:szCs w:val="32"/>
          <w:lang w:val="en-US" w:eastAsia="zh-CN"/>
        </w:rPr>
        <w:t>美国通胀反弹，美联储降息预期消退，使得美日利差的预期扩大，</w:t>
      </w:r>
      <w:r>
        <w:rPr>
          <w:rFonts w:hint="default"/>
          <w:sz w:val="32"/>
          <w:szCs w:val="32"/>
          <w:lang w:val="en-US" w:eastAsia="zh-CN"/>
        </w:rPr>
        <w:t>大量资金</w:t>
      </w:r>
      <w:r>
        <w:rPr>
          <w:rFonts w:hint="eastAsia"/>
          <w:sz w:val="32"/>
          <w:szCs w:val="32"/>
          <w:lang w:val="en-US" w:eastAsia="zh-CN"/>
        </w:rPr>
        <w:t>自日本流出至美元</w:t>
      </w:r>
      <w:r>
        <w:rPr>
          <w:rFonts w:hint="default"/>
          <w:sz w:val="32"/>
          <w:szCs w:val="32"/>
          <w:lang w:val="en-US" w:eastAsia="zh-CN"/>
        </w:rPr>
        <w:t>，</w:t>
      </w:r>
      <w:r>
        <w:rPr>
          <w:rFonts w:hint="eastAsia"/>
          <w:sz w:val="32"/>
          <w:szCs w:val="32"/>
          <w:lang w:val="en-US" w:eastAsia="zh-CN"/>
        </w:rPr>
        <w:t>导致日元对</w:t>
      </w:r>
      <w:r>
        <w:rPr>
          <w:rFonts w:hint="default"/>
          <w:sz w:val="32"/>
          <w:szCs w:val="32"/>
          <w:lang w:val="en-US" w:eastAsia="zh-CN"/>
        </w:rPr>
        <w:t>美元持续</w:t>
      </w:r>
      <w:r>
        <w:rPr>
          <w:rFonts w:hint="eastAsia"/>
          <w:sz w:val="32"/>
          <w:szCs w:val="32"/>
          <w:lang w:val="en-US" w:eastAsia="zh-CN"/>
        </w:rPr>
        <w:t>贬值</w:t>
      </w:r>
      <w:r>
        <w:rPr>
          <w:rFonts w:hint="eastAsia"/>
          <w:color w:val="auto"/>
          <w:sz w:val="32"/>
          <w:szCs w:val="32"/>
          <w:lang w:val="en-US" w:eastAsia="zh-CN"/>
        </w:rPr>
        <w:t>。</w:t>
      </w:r>
    </w:p>
    <w:p>
      <w:pPr>
        <w:keepNext w:val="0"/>
        <w:keepLines w:val="0"/>
        <w:pageBreakBefore w:val="0"/>
        <w:widowControl w:val="0"/>
        <w:kinsoku/>
        <w:wordWrap/>
        <w:overflowPunct/>
        <w:topLinePunct w:val="0"/>
        <w:autoSpaceDE/>
        <w:autoSpaceDN/>
        <w:bidi w:val="0"/>
        <w:adjustRightInd/>
        <w:snapToGrid/>
        <w:ind w:firstLine="608" w:firstLineChars="200"/>
        <w:textAlignment w:val="auto"/>
        <w:outlineLvl w:val="9"/>
        <w:rPr>
          <w:rFonts w:hint="default"/>
          <w:sz w:val="32"/>
          <w:szCs w:val="32"/>
          <w:lang w:val="en-US" w:eastAsia="zh-CN"/>
        </w:rPr>
      </w:pPr>
      <w:r>
        <w:rPr>
          <w:rFonts w:hint="default"/>
          <w:sz w:val="32"/>
          <w:szCs w:val="32"/>
          <w:lang w:val="en-US" w:eastAsia="zh-CN"/>
        </w:rPr>
        <w:t>日元贬值速度过快，</w:t>
      </w:r>
      <w:r>
        <w:rPr>
          <w:rFonts w:hint="eastAsia"/>
          <w:sz w:val="32"/>
          <w:szCs w:val="32"/>
          <w:lang w:val="en-US" w:eastAsia="zh-CN"/>
        </w:rPr>
        <w:t>将</w:t>
      </w:r>
      <w:r>
        <w:rPr>
          <w:rFonts w:hint="default"/>
          <w:sz w:val="32"/>
          <w:szCs w:val="32"/>
          <w:lang w:val="en-US" w:eastAsia="zh-CN"/>
        </w:rPr>
        <w:t>给日本进出口企业带来</w:t>
      </w:r>
      <w:r>
        <w:rPr>
          <w:rFonts w:hint="eastAsia"/>
          <w:sz w:val="32"/>
          <w:szCs w:val="32"/>
          <w:lang w:val="en-US" w:eastAsia="zh-CN"/>
        </w:rPr>
        <w:t>压力</w:t>
      </w:r>
      <w:r>
        <w:rPr>
          <w:rFonts w:hint="default"/>
          <w:sz w:val="32"/>
          <w:szCs w:val="32"/>
          <w:lang w:val="en-US" w:eastAsia="zh-CN"/>
        </w:rPr>
        <w:t>。能源、矿石、食品等品类商品</w:t>
      </w:r>
      <w:r>
        <w:rPr>
          <w:rFonts w:hint="eastAsia"/>
          <w:sz w:val="32"/>
          <w:szCs w:val="32"/>
          <w:lang w:val="en-US" w:eastAsia="zh-CN"/>
        </w:rPr>
        <w:t>，</w:t>
      </w:r>
      <w:r>
        <w:rPr>
          <w:rFonts w:hint="default"/>
          <w:sz w:val="32"/>
          <w:szCs w:val="32"/>
          <w:lang w:val="en-US" w:eastAsia="zh-CN"/>
        </w:rPr>
        <w:t>日本主要依靠进口，进口</w:t>
      </w:r>
      <w:r>
        <w:rPr>
          <w:rFonts w:hint="eastAsia"/>
          <w:sz w:val="32"/>
          <w:szCs w:val="32"/>
          <w:lang w:val="en-US" w:eastAsia="zh-CN"/>
        </w:rPr>
        <w:t>商</w:t>
      </w:r>
      <w:r>
        <w:rPr>
          <w:rFonts w:hint="default"/>
          <w:sz w:val="32"/>
          <w:szCs w:val="32"/>
          <w:lang w:val="en-US" w:eastAsia="zh-CN"/>
        </w:rPr>
        <w:t>品成本增加</w:t>
      </w:r>
      <w:r>
        <w:rPr>
          <w:rFonts w:hint="eastAsia"/>
          <w:sz w:val="32"/>
          <w:szCs w:val="32"/>
          <w:lang w:val="en-US" w:eastAsia="zh-CN"/>
        </w:rPr>
        <w:t>将加重</w:t>
      </w:r>
      <w:r>
        <w:rPr>
          <w:rFonts w:hint="default"/>
          <w:sz w:val="32"/>
          <w:szCs w:val="32"/>
          <w:lang w:val="en-US" w:eastAsia="zh-CN"/>
        </w:rPr>
        <w:t>消费者负担，提高日本</w:t>
      </w:r>
      <w:r>
        <w:rPr>
          <w:rFonts w:hint="eastAsia"/>
          <w:sz w:val="32"/>
          <w:szCs w:val="32"/>
          <w:lang w:val="en-US" w:eastAsia="zh-CN"/>
        </w:rPr>
        <w:t>家庭</w:t>
      </w:r>
      <w:r>
        <w:rPr>
          <w:rFonts w:hint="default"/>
          <w:sz w:val="32"/>
          <w:szCs w:val="32"/>
          <w:lang w:val="en-US" w:eastAsia="zh-CN"/>
        </w:rPr>
        <w:t>的生活成本。</w:t>
      </w:r>
    </w:p>
    <w:p>
      <w:pPr>
        <w:keepNext w:val="0"/>
        <w:keepLines w:val="0"/>
        <w:pageBreakBefore w:val="0"/>
        <w:widowControl w:val="0"/>
        <w:kinsoku/>
        <w:wordWrap/>
        <w:overflowPunct/>
        <w:topLinePunct w:val="0"/>
        <w:autoSpaceDE/>
        <w:autoSpaceDN/>
        <w:bidi w:val="0"/>
        <w:adjustRightInd/>
        <w:snapToGrid/>
        <w:ind w:firstLine="608" w:firstLineChars="200"/>
        <w:textAlignment w:val="auto"/>
        <w:outlineLvl w:val="9"/>
        <w:rPr>
          <w:rFonts w:hint="eastAsia"/>
          <w:b/>
          <w:bCs/>
          <w:color w:val="0000FF"/>
          <w:highlight w:val="yellow"/>
          <w:lang w:val="en-US" w:eastAsia="zh-CN"/>
        </w:rPr>
      </w:pPr>
      <w:r>
        <w:rPr>
          <w:rFonts w:hint="default"/>
          <w:sz w:val="32"/>
          <w:szCs w:val="32"/>
          <w:lang w:val="en-US" w:eastAsia="zh-CN"/>
        </w:rPr>
        <w:t>日本政府不希望日元继续贬值，日本央行</w:t>
      </w:r>
      <w:r>
        <w:rPr>
          <w:rFonts w:hint="eastAsia"/>
          <w:sz w:val="32"/>
          <w:szCs w:val="32"/>
          <w:lang w:val="en-US" w:eastAsia="zh-CN"/>
        </w:rPr>
        <w:t>应会</w:t>
      </w:r>
      <w:r>
        <w:rPr>
          <w:rFonts w:hint="default"/>
          <w:sz w:val="32"/>
          <w:szCs w:val="32"/>
          <w:lang w:val="en-US" w:eastAsia="zh-CN"/>
        </w:rPr>
        <w:t>采取</w:t>
      </w:r>
      <w:r>
        <w:rPr>
          <w:rFonts w:hint="eastAsia"/>
          <w:sz w:val="32"/>
          <w:szCs w:val="32"/>
          <w:lang w:val="en-US" w:eastAsia="zh-CN"/>
        </w:rPr>
        <w:t>措施</w:t>
      </w:r>
      <w:r>
        <w:rPr>
          <w:rFonts w:hint="default"/>
          <w:sz w:val="32"/>
          <w:szCs w:val="32"/>
          <w:lang w:val="en-US" w:eastAsia="zh-CN"/>
        </w:rPr>
        <w:t>稳定汇率，但是</w:t>
      </w:r>
      <w:r>
        <w:rPr>
          <w:rFonts w:hint="eastAsia"/>
          <w:sz w:val="32"/>
          <w:szCs w:val="32"/>
          <w:lang w:val="en-US" w:eastAsia="zh-CN"/>
        </w:rPr>
        <w:t>效果如何</w:t>
      </w:r>
      <w:r>
        <w:rPr>
          <w:rFonts w:hint="default"/>
          <w:sz w:val="32"/>
          <w:szCs w:val="32"/>
          <w:lang w:val="en-US" w:eastAsia="zh-CN"/>
        </w:rPr>
        <w:t>有待观察。</w:t>
      </w:r>
    </w:p>
    <w:p>
      <w:pPr>
        <w:ind w:firstLine="688" w:firstLineChars="200"/>
        <w:jc w:val="left"/>
        <w:rPr>
          <w:rFonts w:hint="eastAsia" w:ascii="Times New Roman" w:hAnsi="Times New Roman" w:eastAsia="方正小标宋_GBK" w:cs="Times New Roman"/>
          <w:b/>
          <w:bCs/>
          <w:color w:val="0000FF"/>
          <w:sz w:val="36"/>
          <w:szCs w:val="44"/>
          <w:highlight w:val="yellow"/>
        </w:rPr>
      </w:pPr>
    </w:p>
    <w:p>
      <w:pPr>
        <w:ind w:firstLine="688" w:firstLineChars="200"/>
        <w:jc w:val="left"/>
        <w:rPr>
          <w:rFonts w:hint="eastAsia" w:ascii="Times New Roman" w:hAnsi="Times New Roman" w:eastAsia="方正小标宋_GBK" w:cs="Times New Roman"/>
          <w:b/>
          <w:bCs/>
          <w:color w:val="0000FF"/>
          <w:sz w:val="36"/>
          <w:szCs w:val="44"/>
          <w:highlight w:val="yellow"/>
        </w:rPr>
      </w:pPr>
    </w:p>
    <w:p>
      <w:pPr>
        <w:ind w:firstLine="688" w:firstLineChars="200"/>
        <w:jc w:val="left"/>
        <w:rPr>
          <w:rFonts w:hint="eastAsia" w:ascii="Times New Roman" w:hAnsi="Times New Roman" w:eastAsia="方正小标宋_GBK" w:cs="Times New Roman"/>
          <w:b/>
          <w:bCs/>
          <w:color w:val="0000FF"/>
          <w:sz w:val="36"/>
          <w:szCs w:val="44"/>
          <w:highlight w:val="yellow"/>
        </w:rPr>
      </w:pPr>
    </w:p>
    <w:p>
      <w:pPr>
        <w:jc w:val="left"/>
        <w:rPr>
          <w:rFonts w:ascii="Times New Roman" w:hAnsi="Times New Roman" w:eastAsia="方正魏碑简体" w:cs="Times New Roman"/>
          <w:b/>
          <w:bCs/>
          <w:color w:val="0000FF"/>
          <w:sz w:val="32"/>
          <w:szCs w:val="40"/>
          <w:highlight w:val="yellow"/>
        </w:rPr>
      </w:pPr>
      <w:r>
        <w:rPr>
          <w:rFonts w:hint="eastAsia" w:ascii="Times New Roman" w:hAnsi="Times New Roman" w:eastAsia="方正小标宋_GBK" w:cs="Times New Roman"/>
          <w:b/>
          <w:bCs/>
          <w:color w:val="FF0000"/>
          <w:sz w:val="32"/>
          <w:szCs w:val="40"/>
          <w:highlight w:val="yellow"/>
        </w:rPr>
        <w:t>4</w:t>
      </w:r>
      <w:r>
        <w:rPr>
          <w:rFonts w:ascii="Times New Roman" w:hAnsi="Times New Roman" w:eastAsia="方正小标宋_GBK" w:cs="Times New Roman"/>
          <w:b/>
          <w:bCs/>
          <w:color w:val="FF0000"/>
          <w:sz w:val="32"/>
          <w:szCs w:val="40"/>
          <w:highlight w:val="yellow"/>
        </w:rPr>
        <w:t>月</w:t>
      </w:r>
      <w:r>
        <w:rPr>
          <w:rFonts w:hint="eastAsia" w:ascii="Times New Roman" w:hAnsi="Times New Roman" w:eastAsia="方正小标宋_GBK" w:cs="Times New Roman"/>
          <w:b/>
          <w:bCs/>
          <w:color w:val="FF0000"/>
          <w:sz w:val="32"/>
          <w:szCs w:val="40"/>
          <w:highlight w:val="yellow"/>
        </w:rPr>
        <w:t>2</w:t>
      </w:r>
      <w:r>
        <w:rPr>
          <w:rFonts w:hint="eastAsia" w:ascii="Times New Roman" w:hAnsi="Times New Roman" w:eastAsia="方正小标宋_GBK" w:cs="Times New Roman"/>
          <w:b/>
          <w:bCs/>
          <w:color w:val="FF0000"/>
          <w:sz w:val="32"/>
          <w:szCs w:val="40"/>
          <w:highlight w:val="yellow"/>
          <w:lang w:val="en-US" w:eastAsia="zh-CN"/>
        </w:rPr>
        <w:t>6</w:t>
      </w:r>
      <w:r>
        <w:rPr>
          <w:rFonts w:ascii="Times New Roman" w:hAnsi="Times New Roman" w:eastAsia="方正小标宋_GBK" w:cs="Times New Roman"/>
          <w:b/>
          <w:bCs/>
          <w:color w:val="FF0000"/>
          <w:sz w:val="32"/>
          <w:szCs w:val="40"/>
          <w:highlight w:val="yellow"/>
        </w:rPr>
        <w:t>日</w:t>
      </w:r>
      <w:r>
        <w:rPr>
          <w:rFonts w:ascii="Times New Roman" w:hAnsi="Times New Roman" w:eastAsia="方正魏碑简体" w:cs="Times New Roman"/>
          <w:b/>
          <w:bCs/>
          <w:color w:val="0000FF"/>
          <w:sz w:val="32"/>
          <w:szCs w:val="40"/>
          <w:highlight w:val="yellow"/>
        </w:rPr>
        <w:t>（周</w:t>
      </w:r>
      <w:r>
        <w:rPr>
          <w:rFonts w:hint="eastAsia" w:ascii="Times New Roman" w:hAnsi="Times New Roman" w:eastAsia="方正魏碑简体" w:cs="Times New Roman"/>
          <w:b/>
          <w:bCs/>
          <w:color w:val="0000FF"/>
          <w:sz w:val="32"/>
          <w:szCs w:val="40"/>
          <w:highlight w:val="yellow"/>
          <w:lang w:val="en-US" w:eastAsia="zh-CN"/>
        </w:rPr>
        <w:t>五</w:t>
      </w:r>
      <w:r>
        <w:rPr>
          <w:rFonts w:ascii="Times New Roman" w:hAnsi="Times New Roman" w:eastAsia="方正魏碑简体" w:cs="Times New Roman"/>
          <w:b/>
          <w:bCs/>
          <w:color w:val="0000FF"/>
          <w:sz w:val="32"/>
          <w:szCs w:val="40"/>
          <w:highlight w:val="yellow"/>
        </w:rPr>
        <w:t>）</w:t>
      </w:r>
    </w:p>
    <w:p>
      <w:pPr>
        <w:jc w:val="center"/>
        <w:rPr>
          <w:rFonts w:hint="eastAsia" w:ascii="Times New Roman" w:hAnsi="Times New Roman" w:eastAsia="方正小标宋_GBK" w:cs="Times New Roman"/>
          <w:b/>
          <w:bCs/>
          <w:color w:val="0000FF"/>
          <w:sz w:val="36"/>
          <w:szCs w:val="44"/>
          <w:highlight w:val="yellow"/>
        </w:rPr>
      </w:pPr>
      <w:r>
        <w:rPr>
          <w:rFonts w:hint="eastAsia" w:ascii="Times New Roman" w:hAnsi="Times New Roman" w:eastAsia="方正小标宋_GBK" w:cs="Times New Roman"/>
          <w:b/>
          <w:bCs/>
          <w:color w:val="0000FF"/>
          <w:sz w:val="36"/>
          <w:szCs w:val="44"/>
          <w:highlight w:val="yellow"/>
        </w:rPr>
        <w:t>美国通胀反弹，经济增长放缓</w:t>
      </w:r>
    </w:p>
    <w:p>
      <w:pPr>
        <w:keepNext w:val="0"/>
        <w:keepLines w:val="0"/>
        <w:pageBreakBefore w:val="0"/>
        <w:widowControl w:val="0"/>
        <w:kinsoku/>
        <w:wordWrap/>
        <w:overflowPunct/>
        <w:topLinePunct w:val="0"/>
        <w:autoSpaceDE/>
        <w:autoSpaceDN/>
        <w:bidi w:val="0"/>
        <w:adjustRightInd/>
        <w:snapToGrid/>
        <w:ind w:firstLine="608" w:firstLineChars="200"/>
        <w:textAlignment w:val="auto"/>
        <w:outlineLvl w:val="9"/>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4月25日（周四），美国经济分析局公布了一季度核心通胀率“个人消费支出（PCE）”的物价指数，年化季环比初值为 3.7%，高于预计的3.4%和前值的2%，是2023年第二季度已来的新高。通胀反弹明显，美联储推迟降息的可能性增加。</w:t>
      </w:r>
    </w:p>
    <w:p>
      <w:pPr>
        <w:keepNext w:val="0"/>
        <w:keepLines w:val="0"/>
        <w:pageBreakBefore w:val="0"/>
        <w:widowControl w:val="0"/>
        <w:kinsoku/>
        <w:wordWrap/>
        <w:overflowPunct/>
        <w:topLinePunct w:val="0"/>
        <w:autoSpaceDE/>
        <w:autoSpaceDN/>
        <w:bidi w:val="0"/>
        <w:adjustRightInd/>
        <w:snapToGrid/>
        <w:ind w:firstLine="608" w:firstLineChars="200"/>
        <w:jc w:val="left"/>
        <w:textAlignment w:val="auto"/>
        <w:outlineLvl w:val="9"/>
        <w:rPr>
          <w:rFonts w:hint="eastAsia" w:asciiTheme="minorEastAsia" w:hAnsiTheme="minorEastAsia" w:eastAsiaTheme="minorEastAsia" w:cstheme="minorEastAsia"/>
          <w:b/>
          <w:bCs/>
          <w:color w:val="0000FF"/>
          <w:sz w:val="32"/>
          <w:szCs w:val="32"/>
          <w:highlight w:val="yellow"/>
        </w:rPr>
      </w:pPr>
      <w:r>
        <w:rPr>
          <w:rFonts w:hint="eastAsia" w:asciiTheme="minorEastAsia" w:hAnsiTheme="minorEastAsia" w:eastAsiaTheme="minorEastAsia" w:cstheme="minorEastAsia"/>
          <w:sz w:val="32"/>
          <w:szCs w:val="32"/>
          <w:lang w:val="en-US" w:eastAsia="zh-CN"/>
        </w:rPr>
        <w:t>另外，美国一季度的经济增长速度低于预期。实际GDP年化季环比初值1.6%，远不及市场预期的2.5%和前值的3.4%（见图）。美国商务部表示，国际贸易放缓和企业库存增加是导致经济增速下滑的原因。</w:t>
      </w:r>
    </w:p>
    <w:p>
      <w:pPr>
        <w:keepNext w:val="0"/>
        <w:keepLines w:val="0"/>
        <w:pageBreakBefore w:val="0"/>
        <w:widowControl w:val="0"/>
        <w:kinsoku/>
        <w:wordWrap/>
        <w:overflowPunct/>
        <w:topLinePunct w:val="0"/>
        <w:autoSpaceDE/>
        <w:autoSpaceDN/>
        <w:bidi w:val="0"/>
        <w:adjustRightInd/>
        <w:snapToGrid/>
        <w:ind w:firstLine="608" w:firstLineChars="200"/>
        <w:textAlignment w:val="auto"/>
        <w:outlineLvl w:val="9"/>
        <w:rPr>
          <w:rFonts w:hint="eastAsia" w:asciiTheme="minorEastAsia" w:hAnsiTheme="minorEastAsia" w:eastAsiaTheme="minorEastAsia" w:cstheme="minorEastAsia"/>
          <w:sz w:val="32"/>
          <w:szCs w:val="32"/>
          <w:lang w:val="en-US" w:eastAsia="zh-CN"/>
        </w:rPr>
      </w:pPr>
    </w:p>
    <w:p>
      <w:pPr>
        <w:keepNext w:val="0"/>
        <w:keepLines w:val="0"/>
        <w:pageBreakBefore w:val="0"/>
        <w:widowControl w:val="0"/>
        <w:kinsoku/>
        <w:wordWrap/>
        <w:overflowPunct/>
        <w:topLinePunct w:val="0"/>
        <w:autoSpaceDE/>
        <w:autoSpaceDN/>
        <w:bidi w:val="0"/>
        <w:adjustRightInd/>
        <w:snapToGrid/>
        <w:ind w:firstLine="608" w:firstLineChars="200"/>
        <w:textAlignment w:val="auto"/>
        <w:outlineLvl w:val="9"/>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b/>
          <w:bCs/>
          <w:color w:val="0000FF"/>
          <w:sz w:val="32"/>
          <w:szCs w:val="32"/>
          <w:highlight w:val="yellow"/>
        </w:rPr>
        <w:drawing>
          <wp:anchor distT="0" distB="0" distL="114300" distR="114300" simplePos="0" relativeHeight="251666432" behindDoc="0" locked="0" layoutInCell="1" allowOverlap="1">
            <wp:simplePos x="0" y="0"/>
            <wp:positionH relativeFrom="column">
              <wp:posOffset>561975</wp:posOffset>
            </wp:positionH>
            <wp:positionV relativeFrom="paragraph">
              <wp:posOffset>11430</wp:posOffset>
            </wp:positionV>
            <wp:extent cx="4547235" cy="3173730"/>
            <wp:effectExtent l="0" t="0" r="5715" b="7620"/>
            <wp:wrapTopAndBottom/>
            <wp:docPr id="3" name="图片 3" descr="图片8-美国GDP季度环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片8-美国GDP季度环比"/>
                    <pic:cNvPicPr>
                      <a:picLocks noChangeAspect="1"/>
                    </pic:cNvPicPr>
                  </pic:nvPicPr>
                  <pic:blipFill>
                    <a:blip r:embed="rId14"/>
                    <a:stretch>
                      <a:fillRect/>
                    </a:stretch>
                  </pic:blipFill>
                  <pic:spPr>
                    <a:xfrm>
                      <a:off x="0" y="0"/>
                      <a:ext cx="4547235" cy="3173730"/>
                    </a:xfrm>
                    <a:prstGeom prst="rect">
                      <a:avLst/>
                    </a:prstGeom>
                  </pic:spPr>
                </pic:pic>
              </a:graphicData>
            </a:graphic>
          </wp:anchor>
        </w:drawing>
      </w:r>
      <w:r>
        <w:rPr>
          <w:rFonts w:hint="eastAsia" w:asciiTheme="minorEastAsia" w:hAnsiTheme="minorEastAsia" w:eastAsiaTheme="minorEastAsia" w:cstheme="minorEastAsia"/>
          <w:sz w:val="32"/>
          <w:szCs w:val="32"/>
          <w:lang w:val="en-US" w:eastAsia="zh-CN"/>
        </w:rPr>
        <w:t>美国3月份逆差继续扩大，商品贸易账为-918亿美元，规模</w:t>
      </w:r>
      <w:r>
        <w:rPr>
          <w:rFonts w:hint="eastAsia" w:asciiTheme="minorEastAsia" w:hAnsiTheme="minorEastAsia" w:eastAsiaTheme="minorEastAsia" w:cstheme="minorEastAsia"/>
          <w:color w:val="auto"/>
          <w:sz w:val="32"/>
          <w:szCs w:val="32"/>
          <w:lang w:val="en-US" w:eastAsia="zh-CN"/>
        </w:rPr>
        <w:t>大于</w:t>
      </w:r>
      <w:r>
        <w:rPr>
          <w:rFonts w:hint="eastAsia" w:asciiTheme="minorEastAsia" w:hAnsiTheme="minorEastAsia" w:eastAsiaTheme="minorEastAsia" w:cstheme="minorEastAsia"/>
          <w:sz w:val="32"/>
          <w:szCs w:val="32"/>
          <w:lang w:val="en-US" w:eastAsia="zh-CN"/>
        </w:rPr>
        <w:t>前值的-903亿美元。美国商务部解释说，出口下降、逆差扩大，原因是国外需求的疲软，目前美国国内需求依然强劲，“国内最终销售”同比增长了2.8%。</w:t>
      </w:r>
    </w:p>
    <w:p>
      <w:pPr>
        <w:keepNext w:val="0"/>
        <w:keepLines w:val="0"/>
        <w:pageBreakBefore w:val="0"/>
        <w:widowControl w:val="0"/>
        <w:kinsoku/>
        <w:wordWrap/>
        <w:overflowPunct/>
        <w:topLinePunct w:val="0"/>
        <w:autoSpaceDE/>
        <w:autoSpaceDN/>
        <w:bidi w:val="0"/>
        <w:adjustRightInd/>
        <w:snapToGrid/>
        <w:spacing w:line="400" w:lineRule="exact"/>
        <w:ind w:firstLine="528" w:firstLineChars="200"/>
        <w:textAlignment w:val="auto"/>
        <w:outlineLvl w:val="9"/>
        <w:rPr>
          <w:rFonts w:hint="eastAsia" w:ascii="方正楷体_GBK" w:hAnsi="方正楷体_GBK" w:eastAsia="方正楷体_GBK" w:cs="方正楷体_GBK"/>
          <w:sz w:val="28"/>
          <w:szCs w:val="28"/>
          <w:lang w:val="en-US" w:eastAsia="zh-CN"/>
        </w:rPr>
      </w:pPr>
      <w:r>
        <w:rPr>
          <w:rFonts w:hint="eastAsia" w:ascii="方正楷体_GBK" w:hAnsi="方正楷体_GBK" w:eastAsia="方正楷体_GBK" w:cs="方正楷体_GBK"/>
          <w:sz w:val="28"/>
          <w:szCs w:val="28"/>
          <w:lang w:val="en-US" w:eastAsia="zh-CN"/>
        </w:rPr>
        <w:t>（</w:t>
      </w:r>
      <w:r>
        <w:rPr>
          <w:rFonts w:hint="eastAsia" w:ascii="方正黑体简体" w:hAnsi="方正黑体简体" w:eastAsia="方正黑体简体" w:cs="方正黑体简体"/>
          <w:b/>
          <w:bCs/>
          <w:sz w:val="28"/>
          <w:szCs w:val="28"/>
          <w:highlight w:val="none"/>
          <w:shd w:val="clear" w:color="auto" w:fill="auto"/>
          <w:lang w:val="en-US" w:eastAsia="zh-CN"/>
        </w:rPr>
        <w:t>注：</w:t>
      </w:r>
      <w:r>
        <w:rPr>
          <w:rFonts w:hint="eastAsia" w:ascii="方正楷体_GBK" w:hAnsi="方正楷体_GBK" w:eastAsia="方正楷体_GBK" w:cs="方正楷体_GBK"/>
          <w:b/>
          <w:bCs/>
          <w:sz w:val="28"/>
          <w:szCs w:val="28"/>
          <w:highlight w:val="none"/>
          <w:shd w:val="clear" w:color="auto" w:fill="auto"/>
          <w:lang w:val="en-US" w:eastAsia="zh-CN"/>
        </w:rPr>
        <w:t>“国内最终销售</w:t>
      </w:r>
      <w:r>
        <w:rPr>
          <w:rFonts w:hint="eastAsia" w:ascii="方正楷体_GBK" w:hAnsi="方正楷体_GBK" w:eastAsia="方正楷体_GBK" w:cs="方正楷体_GBK"/>
          <w:sz w:val="28"/>
          <w:szCs w:val="28"/>
          <w:lang w:val="en-US" w:eastAsia="zh-CN"/>
        </w:rPr>
        <w:t>”是一个衡量消费趋势的指标，涵盖了国内购买者对最终产品和服务的需求，包括个人和家庭的消费、政府在最终产品和服务上的支出，以及企业对于生产能力和资本设备</w:t>
      </w:r>
      <w:r>
        <w:rPr>
          <w:rFonts w:hint="eastAsia" w:ascii="方正楷体_GBK" w:hAnsi="方正楷体_GBK" w:eastAsia="方正楷体_GBK" w:cs="方正楷体_GBK"/>
          <w:color w:val="auto"/>
          <w:sz w:val="28"/>
          <w:szCs w:val="28"/>
          <w:lang w:val="en-US" w:eastAsia="zh-CN"/>
        </w:rPr>
        <w:t>的投资</w:t>
      </w:r>
      <w:r>
        <w:rPr>
          <w:rFonts w:hint="eastAsia" w:ascii="方正楷体_GBK" w:hAnsi="方正楷体_GBK" w:eastAsia="方正楷体_GBK" w:cs="方正楷体_GBK"/>
          <w:sz w:val="28"/>
          <w:szCs w:val="28"/>
          <w:lang w:val="en-US" w:eastAsia="zh-CN"/>
        </w:rPr>
        <w:t>。）</w:t>
      </w:r>
    </w:p>
    <w:p>
      <w:pPr>
        <w:keepNext w:val="0"/>
        <w:keepLines w:val="0"/>
        <w:pageBreakBefore w:val="0"/>
        <w:widowControl w:val="0"/>
        <w:kinsoku/>
        <w:wordWrap/>
        <w:overflowPunct/>
        <w:topLinePunct w:val="0"/>
        <w:autoSpaceDE/>
        <w:autoSpaceDN/>
        <w:bidi w:val="0"/>
        <w:adjustRightInd/>
        <w:snapToGrid/>
        <w:ind w:firstLine="608" w:firstLineChars="200"/>
        <w:textAlignment w:val="auto"/>
        <w:outlineLvl w:val="9"/>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但也有机构称，美国民众的消费热情可能已经降温：一季度个人消费支出年化季环比初值为2.5%，低于预期的3%和前值的3.3%；因此，在接下来的几个季度，美国经济可能会进一步放缓。</w:t>
      </w:r>
    </w:p>
    <w:p>
      <w:pPr>
        <w:rPr>
          <w:rFonts w:ascii="Times New Roman" w:hAnsi="Times New Roman" w:eastAsia="方正小标宋_GBK" w:cs="Times New Roman"/>
          <w:b/>
          <w:bCs/>
          <w:color w:val="0000FF"/>
          <w:sz w:val="36"/>
          <w:szCs w:val="44"/>
          <w:highlight w:val="yellow"/>
        </w:rPr>
      </w:pPr>
    </w:p>
    <w:p>
      <w:pPr>
        <w:rPr>
          <w:rFonts w:ascii="Times New Roman" w:hAnsi="Times New Roman" w:eastAsia="方正小标宋_GBK" w:cs="Times New Roman"/>
          <w:b/>
          <w:bCs/>
          <w:color w:val="0000FF"/>
          <w:sz w:val="36"/>
          <w:szCs w:val="44"/>
          <w:highlight w:val="yellow"/>
        </w:rPr>
      </w:pPr>
    </w:p>
    <w:p>
      <w:pPr>
        <w:rPr>
          <w:rFonts w:ascii="Times New Roman" w:hAnsi="Times New Roman" w:eastAsia="方正小标宋_GBK" w:cs="Times New Roman"/>
          <w:b/>
          <w:bCs/>
          <w:color w:val="0000FF"/>
          <w:sz w:val="36"/>
          <w:szCs w:val="44"/>
          <w:highlight w:val="yellow"/>
        </w:rPr>
      </w:pPr>
    </w:p>
    <w:p>
      <w:pPr>
        <w:rPr>
          <w:rFonts w:ascii="Times New Roman" w:hAnsi="Times New Roman" w:eastAsia="方正小标宋_GBK" w:cs="Times New Roman"/>
          <w:b/>
          <w:bCs/>
          <w:color w:val="0000FF"/>
          <w:sz w:val="36"/>
          <w:szCs w:val="44"/>
          <w:highlight w:val="yellow"/>
        </w:rPr>
      </w:pPr>
    </w:p>
    <w:p>
      <w:pPr>
        <w:ind w:firstLine="1888" w:firstLineChars="200"/>
        <w:jc w:val="left"/>
        <w:rPr>
          <w:rFonts w:ascii="Times New Roman" w:hAnsi="Times New Roman" w:eastAsia="经典行楷简" w:cs="Times New Roman"/>
          <w:b/>
          <w:bCs/>
          <w:color w:val="FF0000"/>
          <w:sz w:val="96"/>
          <w:szCs w:val="96"/>
        </w:rPr>
      </w:pPr>
      <w:r>
        <w:rPr>
          <w:rFonts w:ascii="Times New Roman" w:hAnsi="Times New Roman" w:eastAsia="经典行楷简" w:cs="Times New Roman"/>
          <w:b/>
          <w:bCs/>
          <w:color w:val="FF0000"/>
          <w:sz w:val="96"/>
          <w:szCs w:val="96"/>
        </w:rPr>
        <w:t>江苏贸促动态</w:t>
      </w:r>
    </w:p>
    <w:p>
      <w:pPr>
        <w:widowControl/>
        <w:shd w:val="clear" w:color="auto" w:fill="FFFFFF"/>
        <w:spacing w:line="700" w:lineRule="exact"/>
        <w:contextualSpacing/>
        <w:jc w:val="center"/>
        <w:outlineLvl w:val="1"/>
        <w:rPr>
          <w:rFonts w:ascii="Times New Roman" w:hAnsi="Times New Roman" w:eastAsia="经典行楷简" w:cs="Times New Roman"/>
          <w:color w:val="2E75B6" w:themeColor="accent1" w:themeShade="BF"/>
          <w:sz w:val="52"/>
          <w:szCs w:val="52"/>
        </w:rPr>
      </w:pPr>
      <w:r>
        <w:rPr>
          <w:rFonts w:hint="eastAsia" w:ascii="Times New Roman" w:hAnsi="Times New Roman" w:eastAsia="经典行楷简" w:cs="Times New Roman"/>
          <w:color w:val="2E75B6" w:themeColor="accent1" w:themeShade="BF"/>
          <w:sz w:val="52"/>
          <w:szCs w:val="52"/>
        </w:rPr>
        <w:t>省贸促会领导会见特斯拉东一区</w:t>
      </w:r>
    </w:p>
    <w:p>
      <w:pPr>
        <w:widowControl/>
        <w:shd w:val="clear" w:color="auto" w:fill="FFFFFF"/>
        <w:spacing w:line="700" w:lineRule="exact"/>
        <w:contextualSpacing/>
        <w:jc w:val="center"/>
        <w:outlineLvl w:val="1"/>
        <w:rPr>
          <w:rFonts w:ascii="Times New Roman" w:hAnsi="Times New Roman" w:eastAsia="经典行楷简" w:cs="Times New Roman"/>
          <w:color w:val="2E75B6" w:themeColor="accent1" w:themeShade="BF"/>
          <w:sz w:val="52"/>
          <w:szCs w:val="52"/>
        </w:rPr>
      </w:pPr>
      <w:r>
        <w:rPr>
          <w:rFonts w:hint="eastAsia" w:ascii="Times New Roman" w:hAnsi="Times New Roman" w:eastAsia="经典行楷简" w:cs="Times New Roman"/>
          <w:color w:val="2E75B6" w:themeColor="accent1" w:themeShade="BF"/>
          <w:sz w:val="52"/>
          <w:szCs w:val="52"/>
        </w:rPr>
        <w:t>对外事务负责人蒋文渊</w:t>
      </w:r>
    </w:p>
    <w:p>
      <w:pPr>
        <w:ind w:firstLine="608" w:firstLineChars="200"/>
        <w:rPr>
          <w:rFonts w:asciiTheme="minorEastAsia" w:hAnsiTheme="minorEastAsia" w:cstheme="minorEastAsia"/>
          <w:sz w:val="32"/>
          <w:szCs w:val="32"/>
        </w:rPr>
      </w:pPr>
      <w:r>
        <w:rPr>
          <w:rFonts w:hint="eastAsia" w:asciiTheme="minorEastAsia" w:hAnsiTheme="minorEastAsia" w:cstheme="minorEastAsia"/>
          <w:sz w:val="32"/>
          <w:szCs w:val="32"/>
        </w:rPr>
        <w:t>4月23日下午，省贸促会王善华会长与来访的特斯拉东一区对外事务负责人蒋文渊一行座谈交流。</w:t>
      </w:r>
    </w:p>
    <w:p>
      <w:pPr>
        <w:ind w:firstLine="608" w:firstLineChars="200"/>
        <w:rPr>
          <w:rFonts w:asciiTheme="minorEastAsia" w:hAnsiTheme="minorEastAsia" w:cstheme="minorEastAsia"/>
          <w:sz w:val="32"/>
          <w:szCs w:val="32"/>
        </w:rPr>
      </w:pPr>
      <w:r>
        <w:rPr>
          <w:rFonts w:hint="eastAsia" w:asciiTheme="minorEastAsia" w:hAnsiTheme="minorEastAsia" w:cstheme="minorEastAsia"/>
          <w:sz w:val="32"/>
          <w:szCs w:val="32"/>
        </w:rPr>
        <w:t>王善华会长对蒋文渊一行来访表示欢迎，并简要介绍了江苏开放型经济发展情况。他表示，新能源汽车产业链长、带动能力强，是汽车产业转型升级的主要方向。当前，江苏正深入贯彻落实习近平总书记重要讲话精神，加快建设具有世界聚合力的双向开放枢纽，扩大高水平对外开放，这将为包括特斯拉在内的世界各国企业带来新的发展机遇。我会将一如既往发挥联通政企、融通内外、畅通供需功能，助力包括特斯拉在内的外资企业在苏稳健经营。欢迎特斯拉进一步加大在江苏的投资，参与我会举办的重大经贸活动，进一步密切双方的贸易合作，希望特斯拉为江苏深化与美国经贸合作牵线搭桥，助力江苏高水平对外开放。他还现场积极回应了特斯拉公司的有关诉求。</w:t>
      </w:r>
    </w:p>
    <w:p>
      <w:pPr>
        <w:ind w:firstLine="608" w:firstLineChars="200"/>
        <w:rPr>
          <w:rFonts w:ascii="方正楷体_GBK" w:hAnsi="方正楷体_GBK" w:eastAsia="方正楷体_GBK" w:cs="方正楷体_GBK"/>
          <w:color w:val="FF0000"/>
          <w:sz w:val="32"/>
          <w:szCs w:val="32"/>
        </w:rPr>
      </w:pPr>
      <w:r>
        <w:rPr>
          <w:rFonts w:hint="eastAsia" w:asciiTheme="minorEastAsia" w:hAnsiTheme="minorEastAsia" w:cstheme="minorEastAsia"/>
          <w:sz w:val="32"/>
          <w:szCs w:val="32"/>
        </w:rPr>
        <w:t xml:space="preserve">蒋文渊介绍了特斯拉公司在江苏经营情况以及近期发展方向，感谢我会为公司布局苏北地区提供的支持。希望进一步加强与我会合作，实现公司在江苏区域长期稳定发展。    </w:t>
      </w:r>
      <w:r>
        <w:rPr>
          <w:rFonts w:hint="eastAsia" w:ascii="方正楷体_GBK" w:hAnsi="方正楷体_GBK" w:eastAsia="方正楷体_GBK" w:cs="方正楷体_GBK"/>
          <w:b/>
          <w:bCs/>
          <w:color w:val="FF0000"/>
          <w:sz w:val="32"/>
          <w:szCs w:val="32"/>
        </w:rPr>
        <w:t>（国际联络部）</w:t>
      </w:r>
    </w:p>
    <w:p>
      <w:pPr>
        <w:widowControl/>
        <w:shd w:val="clear" w:color="auto" w:fill="FFFFFF"/>
        <w:spacing w:line="700" w:lineRule="exact"/>
        <w:contextualSpacing/>
        <w:jc w:val="center"/>
        <w:outlineLvl w:val="1"/>
        <w:rPr>
          <w:rFonts w:ascii="Times New Roman" w:hAnsi="Times New Roman" w:eastAsia="经典行楷简" w:cs="Times New Roman"/>
          <w:color w:val="2E75B6" w:themeColor="accent1" w:themeShade="BF"/>
          <w:sz w:val="52"/>
          <w:szCs w:val="52"/>
        </w:rPr>
      </w:pPr>
      <w:r>
        <w:rPr>
          <w:rFonts w:hint="eastAsia" w:ascii="Times New Roman" w:hAnsi="Times New Roman" w:eastAsia="经典行楷简" w:cs="Times New Roman"/>
          <w:color w:val="2E75B6" w:themeColor="accent1" w:themeShade="BF"/>
          <w:sz w:val="52"/>
          <w:szCs w:val="52"/>
        </w:rPr>
        <w:t>我会与南通开发区法院、南通贸促会签署涉外商事法律服务战略合作框架协议</w:t>
      </w:r>
    </w:p>
    <w:p>
      <w:pPr>
        <w:ind w:firstLine="608" w:firstLineChars="200"/>
        <w:rPr>
          <w:rFonts w:asciiTheme="minorEastAsia" w:hAnsiTheme="minorEastAsia" w:cstheme="minorEastAsia"/>
          <w:sz w:val="32"/>
          <w:szCs w:val="32"/>
        </w:rPr>
      </w:pPr>
      <w:r>
        <w:rPr>
          <w:rFonts w:hint="eastAsia" w:asciiTheme="minorEastAsia" w:hAnsiTheme="minorEastAsia" w:cstheme="minorEastAsia"/>
          <w:sz w:val="32"/>
          <w:szCs w:val="32"/>
        </w:rPr>
        <w:t>4月18日上午，我会与南通经济技术开发区人民法院（以下简称南通开发区法院）、南通市贸促会在南通举行“涉外商事法律服务战略合作框架协议”签约仪式。我会会长王善华、南通开发区副主任王伟、南通开发区法院院长任智峰、南通市贸促会副会长袁杰等出席活动。</w:t>
      </w:r>
    </w:p>
    <w:p>
      <w:pPr>
        <w:ind w:firstLine="608" w:firstLineChars="200"/>
        <w:rPr>
          <w:rFonts w:asciiTheme="minorEastAsia" w:hAnsiTheme="minorEastAsia" w:cstheme="minorEastAsia"/>
          <w:sz w:val="32"/>
          <w:szCs w:val="32"/>
        </w:rPr>
      </w:pPr>
      <w:r>
        <w:rPr>
          <w:rFonts w:hint="eastAsia" w:asciiTheme="minorEastAsia" w:hAnsiTheme="minorEastAsia" w:cstheme="minorEastAsia"/>
          <w:sz w:val="32"/>
          <w:szCs w:val="32"/>
        </w:rPr>
        <w:t>2023年11月，根据江苏省高级人民法院关于全省法院第一审涉外民商事案件管辖的通知（苏高法〔2023〕119号），进一步明确了江苏省内各市第一审涉外民商事案件管辖法院，其中南通开发区法院管辖南通市辖区内应由基层人民法院管辖的第一审涉外民商事案件。本次签约为省市贸促系统首次与第一审涉外民商事案件集中管辖法院签约，是贯彻习近平法治思想、落实发展新时代“枫桥经验”重要指示精神的具体实践，也是推进我省涉外法律服务高质量发展先导区建设、保障中国式现代化江苏新实践的重要举措。</w:t>
      </w:r>
    </w:p>
    <w:p>
      <w:pPr>
        <w:ind w:firstLine="608" w:firstLineChars="200"/>
        <w:rPr>
          <w:rFonts w:asciiTheme="minorEastAsia" w:hAnsiTheme="minorEastAsia" w:cstheme="minorEastAsia"/>
          <w:sz w:val="32"/>
          <w:szCs w:val="32"/>
        </w:rPr>
      </w:pPr>
      <w:r>
        <w:rPr>
          <w:rFonts w:hint="eastAsia" w:asciiTheme="minorEastAsia" w:hAnsiTheme="minorEastAsia" w:cstheme="minorEastAsia"/>
          <w:sz w:val="32"/>
          <w:szCs w:val="32"/>
        </w:rPr>
        <w:t>交流中，王会长对开发区法院多年来对贸促工作的支持表示感谢，随后介绍了省贸促会的基本职能和涉外商事法律服务概况，尤其是为各类市场主体提供参与国际经贸活动事前预警评估、事中处置咨询和事后争议解决的全流程涉外法律服务优势，同时希望以此次三方签约为契机，进一步加强合作，提升涉外商事纠纷解决效率，为中外当事人提供高效便捷的服务，共同持续打造市场化、法治化、国际化一流营商环境。</w:t>
      </w:r>
    </w:p>
    <w:p>
      <w:pPr>
        <w:ind w:firstLine="608" w:firstLineChars="200"/>
        <w:rPr>
          <w:rFonts w:asciiTheme="minorEastAsia" w:hAnsiTheme="minorEastAsia" w:cstheme="minorEastAsia"/>
          <w:sz w:val="32"/>
          <w:szCs w:val="32"/>
        </w:rPr>
      </w:pPr>
      <w:r>
        <w:rPr>
          <w:rFonts w:hint="eastAsia" w:asciiTheme="minorEastAsia" w:hAnsiTheme="minorEastAsia" w:cstheme="minorEastAsia"/>
          <w:sz w:val="32"/>
          <w:szCs w:val="32"/>
        </w:rPr>
        <w:t>任智峰院长介绍了南通开发区法院的涉外商事审判工作，并表示南通开发区法院将以此次签约为契机，充分借助贸促会专家资源、专业调解优势，实现裁判权威性和调解便捷性的优势互补，共同推动完善多元化解涉外商事纠纷解决机制。</w:t>
      </w:r>
    </w:p>
    <w:p>
      <w:pPr>
        <w:ind w:firstLine="608" w:firstLineChars="200"/>
        <w:rPr>
          <w:rFonts w:asciiTheme="minorEastAsia" w:hAnsiTheme="minorEastAsia" w:cstheme="minorEastAsia"/>
          <w:sz w:val="32"/>
          <w:szCs w:val="32"/>
        </w:rPr>
      </w:pPr>
      <w:r>
        <w:rPr>
          <w:rFonts w:hint="eastAsia" w:asciiTheme="minorEastAsia" w:hAnsiTheme="minorEastAsia" w:cstheme="minorEastAsia"/>
          <w:sz w:val="32"/>
          <w:szCs w:val="32"/>
        </w:rPr>
        <w:t>袁杰副会长指出南通贸促机构与南通法院多年来一直保持良好的合作关系，双方在涉外商事纠纷诉调对接、法律咨询服务、培训、研讨、座谈以及走访企业、经贸预警、课题研究等方面开展通力协作，为南通企业提供了高效、便捷的服务。</w:t>
      </w:r>
    </w:p>
    <w:p>
      <w:pPr>
        <w:ind w:firstLine="608" w:firstLineChars="200"/>
      </w:pPr>
      <w:r>
        <w:rPr>
          <w:rFonts w:hint="eastAsia" w:asciiTheme="minorEastAsia" w:hAnsiTheme="minorEastAsia" w:cstheme="minorEastAsia"/>
          <w:sz w:val="32"/>
          <w:szCs w:val="32"/>
        </w:rPr>
        <w:t xml:space="preserve">此次签约是我会与省内第11家法院签署的合作协议，下一步，三方将依托协议确定的加强协同联动、建立涉外纠纷多元化解机制、联席会议及信息共享制度等内容，共同推进涉外商事法律服务的创新和发展，为南通涉外企业及外商提供更加全面、高效、便捷的法律服务，助力南通打造国际商事多元解纷优选地和涉外司法服务品牌。                        </w:t>
      </w:r>
      <w:r>
        <w:rPr>
          <w:rFonts w:hint="eastAsia" w:asciiTheme="minorEastAsia" w:hAnsiTheme="minorEastAsia" w:cstheme="minorEastAsia"/>
          <w:sz w:val="32"/>
          <w:szCs w:val="32"/>
          <w:lang w:val="en-US" w:eastAsia="zh-CN"/>
        </w:rPr>
        <w:t xml:space="preserve">    </w:t>
      </w:r>
      <w:r>
        <w:rPr>
          <w:rFonts w:hint="eastAsia" w:asciiTheme="minorEastAsia" w:hAnsiTheme="minorEastAsia" w:cstheme="minorEastAsia"/>
          <w:sz w:val="32"/>
          <w:szCs w:val="32"/>
        </w:rPr>
        <w:t xml:space="preserve">   </w:t>
      </w:r>
      <w:r>
        <w:rPr>
          <w:rFonts w:hint="eastAsia" w:ascii="方正楷体_GBK" w:hAnsi="方正楷体_GBK" w:eastAsia="方正楷体_GBK" w:cs="方正楷体_GBK"/>
          <w:b/>
          <w:bCs/>
          <w:color w:val="FF0000"/>
          <w:sz w:val="32"/>
          <w:szCs w:val="32"/>
        </w:rPr>
        <w:t>（法律事务部）</w:t>
      </w:r>
    </w:p>
    <w:p>
      <w:pPr>
        <w:widowControl/>
        <w:shd w:val="clear" w:color="auto" w:fill="FFFFFF"/>
        <w:spacing w:line="700" w:lineRule="exact"/>
        <w:contextualSpacing/>
        <w:jc w:val="center"/>
        <w:outlineLvl w:val="1"/>
        <w:rPr>
          <w:rFonts w:ascii="Times New Roman" w:hAnsi="Times New Roman" w:eastAsia="经典行楷简" w:cs="Times New Roman"/>
          <w:color w:val="2E75B6" w:themeColor="accent1" w:themeShade="BF"/>
          <w:sz w:val="52"/>
          <w:szCs w:val="52"/>
        </w:rPr>
      </w:pPr>
    </w:p>
    <w:p>
      <w:pPr>
        <w:widowControl/>
        <w:shd w:val="clear" w:color="auto" w:fill="FFFFFF"/>
        <w:spacing w:line="700" w:lineRule="exact"/>
        <w:contextualSpacing/>
        <w:jc w:val="center"/>
        <w:outlineLvl w:val="1"/>
        <w:rPr>
          <w:rFonts w:ascii="Times New Roman" w:hAnsi="Times New Roman" w:eastAsia="经典行楷简" w:cs="Times New Roman"/>
          <w:color w:val="2E75B6" w:themeColor="accent1" w:themeShade="BF"/>
          <w:sz w:val="52"/>
          <w:szCs w:val="52"/>
        </w:rPr>
      </w:pPr>
      <w:r>
        <w:rPr>
          <w:rFonts w:hint="eastAsia" w:ascii="Times New Roman" w:hAnsi="Times New Roman" w:eastAsia="经典行楷简" w:cs="Times New Roman"/>
          <w:color w:val="2E75B6" w:themeColor="accent1" w:themeShade="BF"/>
          <w:sz w:val="52"/>
          <w:szCs w:val="52"/>
        </w:rPr>
        <w:t>省贸促会领导带队</w:t>
      </w:r>
    </w:p>
    <w:p>
      <w:pPr>
        <w:widowControl/>
        <w:shd w:val="clear" w:color="auto" w:fill="FFFFFF"/>
        <w:spacing w:line="700" w:lineRule="exact"/>
        <w:contextualSpacing/>
        <w:jc w:val="center"/>
        <w:outlineLvl w:val="1"/>
        <w:rPr>
          <w:rFonts w:ascii="Times New Roman" w:hAnsi="Times New Roman" w:eastAsia="经典行楷简" w:cs="Times New Roman"/>
          <w:color w:val="2E75B6" w:themeColor="accent1" w:themeShade="BF"/>
          <w:sz w:val="52"/>
          <w:szCs w:val="52"/>
        </w:rPr>
      </w:pPr>
      <w:r>
        <w:rPr>
          <w:rFonts w:hint="eastAsia" w:ascii="Times New Roman" w:hAnsi="Times New Roman" w:eastAsia="经典行楷简" w:cs="Times New Roman"/>
          <w:color w:val="2E75B6" w:themeColor="accent1" w:themeShade="BF"/>
          <w:sz w:val="52"/>
          <w:szCs w:val="52"/>
        </w:rPr>
        <w:t>赴海安开展“走出去”企业调研</w:t>
      </w:r>
    </w:p>
    <w:p>
      <w:pPr>
        <w:ind w:firstLine="608" w:firstLineChars="200"/>
        <w:rPr>
          <w:rFonts w:asciiTheme="minorEastAsia" w:hAnsiTheme="minorEastAsia" w:cstheme="minorEastAsia"/>
          <w:sz w:val="32"/>
          <w:szCs w:val="32"/>
        </w:rPr>
      </w:pPr>
      <w:r>
        <w:rPr>
          <w:rFonts w:hint="eastAsia" w:asciiTheme="minorEastAsia" w:hAnsiTheme="minorEastAsia" w:cstheme="minorEastAsia"/>
          <w:sz w:val="32"/>
          <w:szCs w:val="32"/>
        </w:rPr>
        <w:t>为深入了解当前我省企业开展对外贸易投资合作情况，帮助企业解决面临的困难和问题，助力我省开放型经济高质量发展，4月18日下午，省贸促会会长王善华带队赴海安市开展“走出去”企业座谈调研。海安市副市长卢林、商务局局长陆秋艳、司法局局长谢志军陪同座谈，江苏联发集团、江苏苏中建设集团、南通江中光电等海安20家重点“走出去”企业代表参会交流。</w:t>
      </w:r>
    </w:p>
    <w:p>
      <w:pPr>
        <w:ind w:firstLine="608" w:firstLineChars="200"/>
      </w:pPr>
      <w:r>
        <w:rPr>
          <w:rFonts w:hint="eastAsia" w:asciiTheme="minorEastAsia" w:hAnsiTheme="minorEastAsia" w:cstheme="minorEastAsia"/>
          <w:sz w:val="32"/>
          <w:szCs w:val="32"/>
        </w:rPr>
        <w:t xml:space="preserve">座谈会上，海安市副市长卢林对王会长一行表示了热烈欢迎，并简要介绍了海安市开放型经济情况。我会法律工作人员介绍了贸促会涉外商事法律服务概况，并现场解答了企业关于贸易纠纷、在外劳务纠纷、对外收款结汇、新型贸易壁垒、欧盟碳边境调解机制等方面的具体问题。王会长表示，下一步贸促会将从加强国际经贸形势分析、支持企业开拓国际市场、强化涉外法律风险防范以及帮助企业化解国际商事争端四个方面，一如既往地为企业做好服务，更大力度支持海安企业国际化发展。          </w:t>
      </w:r>
      <w:r>
        <w:rPr>
          <w:rFonts w:hint="eastAsia" w:ascii="方正楷体_GBK" w:hAnsi="方正楷体_GBK" w:eastAsia="方正楷体_GBK" w:cs="方正楷体_GBK"/>
          <w:b/>
          <w:bCs/>
          <w:color w:val="FF0000"/>
          <w:sz w:val="32"/>
          <w:szCs w:val="32"/>
        </w:rPr>
        <w:t>（法律事务部）</w:t>
      </w:r>
    </w:p>
    <w:p>
      <w:pPr>
        <w:pStyle w:val="6"/>
        <w:widowControl/>
        <w:shd w:val="clear" w:color="auto" w:fill="FFFFFF"/>
        <w:spacing w:beforeAutospacing="0" w:afterAutospacing="0"/>
        <w:ind w:firstLine="608" w:firstLineChars="200"/>
        <w:rPr>
          <w:rFonts w:ascii="方正楷体_GBK" w:hAnsi="方正楷体_GBK" w:eastAsia="方正楷体_GBK" w:cs="方正楷体_GBK"/>
          <w:b/>
          <w:bCs/>
          <w:color w:val="FF0000"/>
          <w:kern w:val="2"/>
          <w:sz w:val="32"/>
          <w:szCs w:val="32"/>
        </w:rPr>
      </w:pPr>
    </w:p>
    <w:p>
      <w:pPr>
        <w:widowControl/>
        <w:shd w:val="clear" w:color="auto" w:fill="FFFFFF"/>
        <w:spacing w:line="700" w:lineRule="exact"/>
        <w:contextualSpacing/>
        <w:jc w:val="center"/>
        <w:outlineLvl w:val="1"/>
        <w:rPr>
          <w:rFonts w:ascii="Times New Roman" w:hAnsi="Times New Roman" w:eastAsia="经典行楷简" w:cs="Times New Roman"/>
          <w:color w:val="2E75B6" w:themeColor="accent1" w:themeShade="BF"/>
          <w:sz w:val="52"/>
          <w:szCs w:val="52"/>
        </w:rPr>
      </w:pPr>
      <w:r>
        <w:rPr>
          <w:rFonts w:hint="eastAsia" w:ascii="Times New Roman" w:hAnsi="Times New Roman" w:eastAsia="经典行楷简" w:cs="Times New Roman"/>
          <w:color w:val="2E75B6" w:themeColor="accent1" w:themeShade="BF"/>
          <w:sz w:val="52"/>
          <w:szCs w:val="52"/>
        </w:rPr>
        <w:t>全国贸促系统法律工作会议在杭州召开</w:t>
      </w:r>
    </w:p>
    <w:p>
      <w:pPr>
        <w:ind w:firstLine="608" w:firstLineChars="200"/>
        <w:rPr>
          <w:rFonts w:asciiTheme="minorEastAsia" w:hAnsiTheme="minorEastAsia" w:cstheme="minorEastAsia"/>
          <w:sz w:val="32"/>
          <w:szCs w:val="32"/>
        </w:rPr>
      </w:pPr>
      <w:r>
        <w:rPr>
          <w:rFonts w:hint="eastAsia" w:asciiTheme="minorEastAsia" w:hAnsiTheme="minorEastAsia" w:cstheme="minorEastAsia"/>
          <w:sz w:val="32"/>
          <w:szCs w:val="32"/>
        </w:rPr>
        <w:t>4月18日-19日，中国贸促会在浙江杭州召开2024年全国贸促系统法律工作会议，副会长于</w:t>
      </w:r>
      <w:r>
        <w:rPr>
          <w:rFonts w:hint="eastAsia" w:asciiTheme="minorEastAsia" w:hAnsiTheme="minorEastAsia" w:cstheme="minorEastAsia"/>
          <w:sz w:val="32"/>
          <w:szCs w:val="32"/>
          <w:lang w:val="en-US" w:eastAsia="zh-CN"/>
        </w:rPr>
        <w:t>健</w:t>
      </w:r>
      <w:r>
        <w:rPr>
          <w:rFonts w:hint="eastAsia" w:asciiTheme="minorEastAsia" w:hAnsiTheme="minorEastAsia" w:cstheme="minorEastAsia"/>
          <w:sz w:val="32"/>
          <w:szCs w:val="32"/>
        </w:rPr>
        <w:t>龙出席并作工作报告。中国贸促会直属单位和地方贸促会的相关领导、涉法部门负责人及业务人员近100人参加会议。我会秘书长杜培军及财务部、商法中心相关人员参会。</w:t>
      </w:r>
    </w:p>
    <w:p>
      <w:pPr>
        <w:ind w:firstLine="608" w:firstLineChars="200"/>
        <w:rPr>
          <w:rFonts w:asciiTheme="minorEastAsia" w:hAnsiTheme="minorEastAsia" w:cstheme="minorEastAsia"/>
          <w:sz w:val="32"/>
          <w:szCs w:val="32"/>
        </w:rPr>
      </w:pPr>
      <w:r>
        <w:rPr>
          <w:rFonts w:hint="eastAsia" w:asciiTheme="minorEastAsia" w:hAnsiTheme="minorEastAsia" w:cstheme="minorEastAsia"/>
          <w:sz w:val="32"/>
          <w:szCs w:val="32"/>
        </w:rPr>
        <w:t>于</w:t>
      </w:r>
      <w:r>
        <w:rPr>
          <w:rFonts w:hint="eastAsia" w:asciiTheme="minorEastAsia" w:hAnsiTheme="minorEastAsia" w:cstheme="minorEastAsia"/>
          <w:sz w:val="32"/>
          <w:szCs w:val="32"/>
          <w:lang w:val="en-US" w:eastAsia="zh-CN"/>
        </w:rPr>
        <w:t>健</w:t>
      </w:r>
      <w:r>
        <w:rPr>
          <w:rFonts w:hint="eastAsia" w:asciiTheme="minorEastAsia" w:hAnsiTheme="minorEastAsia" w:cstheme="minorEastAsia"/>
          <w:sz w:val="32"/>
          <w:szCs w:val="32"/>
        </w:rPr>
        <w:t>龙副会长在工作报告中全面总结了2023年全国贸促系统法律工作情况。他表示，在2023年复杂的国际形势下，全体贸促法律工作者攻坚克难、奋发实干，法律工作功能作用更加重要，平台载体更加多元，效果显著。他同时要求大家，深刻认识新形势，准确把握新要求，以习近平法治思想为根本遵循和行动指南，抓牢根本，找准定位，以高度责任感、使命感做好2024年贸促法律工作，奋力为打造市场化、法治化、国际化一流营商环境，为加强涉外法治建设，推进高水平对外开放，为中国式现代化全面推进强国建设，为民族复兴伟业贡献贸促力量。</w:t>
      </w:r>
    </w:p>
    <w:p>
      <w:pPr>
        <w:ind w:firstLine="608" w:firstLineChars="200"/>
        <w:rPr>
          <w:rFonts w:ascii="方正楷体_GBK" w:hAnsi="方正楷体_GBK" w:eastAsia="方正楷体_GBK" w:cs="方正楷体_GBK"/>
          <w:b/>
          <w:bCs/>
          <w:color w:val="FF0000"/>
          <w:sz w:val="32"/>
          <w:szCs w:val="32"/>
        </w:rPr>
      </w:pPr>
      <w:r>
        <w:rPr>
          <w:rFonts w:hint="eastAsia" w:asciiTheme="minorEastAsia" w:hAnsiTheme="minorEastAsia" w:cstheme="minorEastAsia"/>
          <w:sz w:val="32"/>
          <w:szCs w:val="32"/>
        </w:rPr>
        <w:t xml:space="preserve">会议还安排了分组讨论和工作交流，最后贸促会法律事务部郑伟副部长作会议总结。     </w:t>
      </w:r>
      <w:r>
        <w:rPr>
          <w:rFonts w:hint="eastAsia" w:asciiTheme="minorEastAsia" w:hAnsiTheme="minorEastAsia" w:cstheme="minorEastAsia"/>
          <w:sz w:val="32"/>
          <w:szCs w:val="32"/>
          <w:lang w:val="en-US" w:eastAsia="zh-CN"/>
        </w:rPr>
        <w:t xml:space="preserve">  </w:t>
      </w:r>
      <w:r>
        <w:rPr>
          <w:rFonts w:hint="eastAsia" w:asciiTheme="minorEastAsia" w:hAnsiTheme="minorEastAsia" w:cstheme="minorEastAsia"/>
          <w:sz w:val="32"/>
          <w:szCs w:val="32"/>
        </w:rPr>
        <w:t xml:space="preserve">        </w:t>
      </w:r>
      <w:r>
        <w:rPr>
          <w:rFonts w:hint="eastAsia" w:asciiTheme="minorEastAsia" w:hAnsiTheme="minorEastAsia" w:cstheme="minorEastAsia"/>
          <w:sz w:val="32"/>
          <w:szCs w:val="32"/>
          <w:lang w:val="en-US" w:eastAsia="zh-CN"/>
        </w:rPr>
        <w:t xml:space="preserve">    </w:t>
      </w:r>
      <w:r>
        <w:rPr>
          <w:rFonts w:hint="eastAsia" w:asciiTheme="minorEastAsia" w:hAnsiTheme="minorEastAsia" w:cstheme="minorEastAsia"/>
          <w:sz w:val="32"/>
          <w:szCs w:val="32"/>
        </w:rPr>
        <w:t xml:space="preserve"> </w:t>
      </w:r>
      <w:r>
        <w:rPr>
          <w:rFonts w:hint="eastAsia" w:ascii="方正楷体_GBK" w:hAnsi="方正楷体_GBK" w:eastAsia="方正楷体_GBK" w:cs="方正楷体_GBK"/>
          <w:b/>
          <w:bCs/>
          <w:color w:val="FF0000"/>
          <w:sz w:val="32"/>
          <w:szCs w:val="32"/>
        </w:rPr>
        <w:t>（商法中心）</w:t>
      </w:r>
    </w:p>
    <w:p>
      <w:pPr>
        <w:ind w:firstLine="608" w:firstLineChars="200"/>
        <w:rPr>
          <w:rFonts w:ascii="方正楷体_GBK" w:hAnsi="方正楷体_GBK" w:eastAsia="方正楷体_GBK" w:cs="方正楷体_GBK"/>
          <w:b/>
          <w:bCs/>
          <w:color w:val="FF0000"/>
          <w:sz w:val="32"/>
          <w:szCs w:val="32"/>
        </w:rPr>
      </w:pPr>
    </w:p>
    <w:p>
      <w:pPr>
        <w:widowControl/>
        <w:shd w:val="clear" w:color="auto" w:fill="FFFFFF"/>
        <w:spacing w:line="700" w:lineRule="exact"/>
        <w:contextualSpacing/>
        <w:jc w:val="center"/>
        <w:outlineLvl w:val="1"/>
        <w:rPr>
          <w:rFonts w:ascii="Times New Roman" w:hAnsi="Times New Roman" w:eastAsia="经典行楷简" w:cs="Times New Roman"/>
          <w:color w:val="2E75B6" w:themeColor="accent1" w:themeShade="BF"/>
          <w:sz w:val="52"/>
          <w:szCs w:val="52"/>
        </w:rPr>
      </w:pPr>
      <w:r>
        <w:rPr>
          <w:rFonts w:hint="eastAsia" w:ascii="Times New Roman" w:hAnsi="Times New Roman" w:eastAsia="经典行楷简" w:cs="Times New Roman"/>
          <w:color w:val="2E75B6" w:themeColor="accent1" w:themeShade="BF"/>
          <w:sz w:val="52"/>
          <w:szCs w:val="52"/>
        </w:rPr>
        <w:t>南京市贸促会开展</w:t>
      </w:r>
    </w:p>
    <w:p>
      <w:pPr>
        <w:widowControl/>
        <w:shd w:val="clear" w:color="auto" w:fill="FFFFFF"/>
        <w:spacing w:line="700" w:lineRule="exact"/>
        <w:contextualSpacing/>
        <w:jc w:val="center"/>
        <w:outlineLvl w:val="1"/>
        <w:rPr>
          <w:rFonts w:ascii="Times New Roman" w:hAnsi="Times New Roman" w:eastAsia="经典行楷简" w:cs="Times New Roman"/>
          <w:color w:val="2E75B6" w:themeColor="accent1" w:themeShade="BF"/>
          <w:sz w:val="52"/>
          <w:szCs w:val="52"/>
        </w:rPr>
      </w:pPr>
      <w:r>
        <w:rPr>
          <w:rFonts w:hint="eastAsia" w:ascii="Times New Roman" w:hAnsi="Times New Roman" w:eastAsia="经典行楷简" w:cs="Times New Roman"/>
          <w:color w:val="2E75B6" w:themeColor="accent1" w:themeShade="BF"/>
          <w:sz w:val="52"/>
          <w:szCs w:val="52"/>
        </w:rPr>
        <w:t>国际商事法律服务基层行活动</w:t>
      </w:r>
    </w:p>
    <w:p>
      <w:pPr>
        <w:ind w:firstLine="608" w:firstLineChars="200"/>
        <w:rPr>
          <w:rFonts w:asciiTheme="minorEastAsia" w:hAnsiTheme="minorEastAsia" w:cstheme="minorEastAsia"/>
          <w:sz w:val="32"/>
          <w:szCs w:val="32"/>
        </w:rPr>
      </w:pPr>
      <w:r>
        <w:rPr>
          <w:rFonts w:hint="eastAsia" w:asciiTheme="minorEastAsia" w:hAnsiTheme="minorEastAsia" w:cstheme="minorEastAsia"/>
          <w:sz w:val="32"/>
          <w:szCs w:val="32"/>
        </w:rPr>
        <w:t>4月19日，南京市贸促会联合江北新区管委会开展国际商事法律服务基层行活动，为企业提供国际商事法律服务保障。首场培训在中车南京浦镇车辆有限公司举行。</w:t>
      </w:r>
    </w:p>
    <w:p>
      <w:pPr>
        <w:ind w:firstLine="608" w:firstLineChars="200"/>
        <w:rPr>
          <w:rFonts w:asciiTheme="minorEastAsia" w:hAnsiTheme="minorEastAsia" w:cstheme="minorEastAsia"/>
          <w:sz w:val="32"/>
          <w:szCs w:val="32"/>
        </w:rPr>
      </w:pPr>
      <w:r>
        <w:rPr>
          <w:rFonts w:hint="eastAsia" w:asciiTheme="minorEastAsia" w:hAnsiTheme="minorEastAsia" w:cstheme="minorEastAsia"/>
          <w:sz w:val="32"/>
          <w:szCs w:val="32"/>
        </w:rPr>
        <w:t>南京市国际商会国际商事法律服务专业委员会副秘书长、国浩律师（南京）事务所高级合伙人李繇律师深入剖析当前进出口监管最新政策，围绕企业合规重要性，为企业讲解规避潜在法律风险实用操作建议。</w:t>
      </w:r>
    </w:p>
    <w:p>
      <w:pPr>
        <w:ind w:firstLine="608" w:firstLineChars="200"/>
        <w:rPr>
          <w:rFonts w:asciiTheme="minorEastAsia" w:hAnsiTheme="minorEastAsia" w:cstheme="minorEastAsia"/>
          <w:sz w:val="32"/>
          <w:szCs w:val="32"/>
        </w:rPr>
      </w:pPr>
      <w:r>
        <w:rPr>
          <w:rFonts w:hint="eastAsia" w:asciiTheme="minorEastAsia" w:hAnsiTheme="minorEastAsia" w:cstheme="minorEastAsia"/>
          <w:sz w:val="32"/>
          <w:szCs w:val="32"/>
        </w:rPr>
        <w:t>南京市贸促会法律部部长邹锐锐针对自贸协定应用场景及实操进行详细介绍；围绕企业降低贸易风险，指导企业利用自贸协定优化国际贸易和投资结构。</w:t>
      </w:r>
    </w:p>
    <w:p>
      <w:pPr>
        <w:pStyle w:val="6"/>
        <w:widowControl/>
        <w:spacing w:beforeAutospacing="0" w:afterAutospacing="0"/>
        <w:ind w:firstLine="608" w:firstLineChars="200"/>
        <w:rPr>
          <w:rFonts w:ascii="方正楷体_GBK" w:hAnsi="方正楷体_GBK" w:eastAsia="方正楷体_GBK" w:cs="方正楷体_GBK"/>
          <w:b/>
          <w:bCs/>
          <w:color w:val="FF0000"/>
          <w:kern w:val="2"/>
          <w:sz w:val="32"/>
          <w:szCs w:val="32"/>
        </w:rPr>
      </w:pPr>
      <w:r>
        <w:rPr>
          <w:rFonts w:hint="eastAsia" w:asciiTheme="minorEastAsia" w:hAnsiTheme="minorEastAsia" w:cstheme="minorEastAsia"/>
          <w:sz w:val="32"/>
          <w:szCs w:val="32"/>
        </w:rPr>
        <w:t xml:space="preserve">此次基层行活动，南京市贸促会与南京江北新区共同为南京自贸片区进出口企业创建了一个专业、高效的常态化国际商事法律培训机制。下一步将继续深化合作，不断完善法律服务体系，以提供优质、全面、及时法律服务为目标，为更多企业进一步拓展国际市场，提高自身竞争力。        </w:t>
      </w:r>
      <w:r>
        <w:rPr>
          <w:rFonts w:hint="eastAsia" w:asciiTheme="minorEastAsia" w:hAnsiTheme="minorEastAsia" w:cstheme="minorEastAsia"/>
          <w:sz w:val="32"/>
          <w:szCs w:val="32"/>
          <w:lang w:val="en-US" w:eastAsia="zh-CN"/>
        </w:rPr>
        <w:t xml:space="preserve">    </w:t>
      </w:r>
      <w:r>
        <w:rPr>
          <w:rFonts w:hint="eastAsia" w:asciiTheme="minorEastAsia" w:hAnsiTheme="minorEastAsia" w:cstheme="minorEastAsia"/>
          <w:sz w:val="32"/>
          <w:szCs w:val="32"/>
        </w:rPr>
        <w:t xml:space="preserve">   </w:t>
      </w:r>
      <w:r>
        <w:rPr>
          <w:rFonts w:hint="eastAsia" w:ascii="Times New Roman" w:hAnsi="Times New Roman" w:cstheme="minorEastAsia"/>
          <w:color w:val="333333"/>
          <w:sz w:val="32"/>
          <w:szCs w:val="32"/>
          <w:shd w:val="clear" w:color="auto" w:fill="FFFFFF"/>
          <w:lang w:bidi="ar"/>
        </w:rPr>
        <w:t xml:space="preserve"> </w:t>
      </w:r>
      <w:r>
        <w:rPr>
          <w:rFonts w:hint="eastAsia" w:ascii="方正楷体_GBK" w:hAnsi="方正楷体_GBK" w:eastAsia="方正楷体_GBK" w:cs="方正楷体_GBK"/>
          <w:b/>
          <w:bCs/>
          <w:color w:val="FF0000"/>
          <w:kern w:val="2"/>
          <w:sz w:val="32"/>
          <w:szCs w:val="32"/>
        </w:rPr>
        <w:t>（南京市贸促会）</w:t>
      </w:r>
    </w:p>
    <w:p>
      <w:pPr>
        <w:ind w:firstLine="608" w:firstLineChars="200"/>
        <w:rPr>
          <w:rFonts w:ascii="华文仿宋" w:hAnsi="华文仿宋" w:eastAsia="华文仿宋" w:cs="华文仿宋"/>
          <w:sz w:val="32"/>
          <w:szCs w:val="32"/>
        </w:rPr>
      </w:pPr>
    </w:p>
    <w:p>
      <w:pPr>
        <w:widowControl/>
        <w:shd w:val="clear" w:color="auto" w:fill="FFFFFF"/>
        <w:spacing w:line="700" w:lineRule="exact"/>
        <w:contextualSpacing/>
        <w:jc w:val="center"/>
        <w:outlineLvl w:val="1"/>
        <w:rPr>
          <w:rFonts w:ascii="Times New Roman" w:hAnsi="Times New Roman" w:eastAsia="经典行楷简" w:cs="Times New Roman"/>
          <w:color w:val="2E75B6" w:themeColor="accent1" w:themeShade="BF"/>
          <w:sz w:val="52"/>
          <w:szCs w:val="52"/>
        </w:rPr>
      </w:pPr>
      <w:r>
        <w:rPr>
          <w:rFonts w:hint="eastAsia" w:ascii="Times New Roman" w:hAnsi="Times New Roman" w:eastAsia="经典行楷简" w:cs="Times New Roman"/>
          <w:color w:val="2E75B6" w:themeColor="accent1" w:themeShade="BF"/>
          <w:sz w:val="52"/>
          <w:szCs w:val="52"/>
        </w:rPr>
        <w:t>无锡市贸促会组团开展澳新市场开拓行</w:t>
      </w:r>
    </w:p>
    <w:p>
      <w:pPr>
        <w:ind w:firstLine="608" w:firstLineChars="200"/>
        <w:rPr>
          <w:rFonts w:asciiTheme="minorEastAsia" w:hAnsiTheme="minorEastAsia" w:cstheme="minorEastAsia"/>
          <w:sz w:val="32"/>
          <w:szCs w:val="32"/>
        </w:rPr>
      </w:pPr>
      <w:r>
        <w:rPr>
          <w:rFonts w:hint="eastAsia" w:ascii="Times New Roman" w:hAnsi="Times New Roman" w:cstheme="minorEastAsia"/>
          <w:color w:val="333333"/>
          <w:kern w:val="0"/>
          <w:sz w:val="32"/>
          <w:szCs w:val="32"/>
          <w:shd w:val="clear" w:color="auto" w:fill="FFFFFF"/>
          <w:lang w:bidi="ar"/>
        </w:rPr>
        <w:t> </w:t>
      </w:r>
      <w:r>
        <w:rPr>
          <w:rFonts w:hint="eastAsia" w:asciiTheme="minorEastAsia" w:hAnsiTheme="minorEastAsia" w:cstheme="minorEastAsia"/>
          <w:sz w:val="32"/>
          <w:szCs w:val="32"/>
        </w:rPr>
        <w:t>4月14日-21日，无锡市贸促会副会长王雪松率无锡市企业家代表随中国贸促会会长任鸿斌率领的中国企业家代表团访问澳大利亚、新西兰，出席双边商务活动、组织企业交流对接、考察工业园区和科研院校、拜访贸促机构和商协会，推动无锡与澳新的交流合作。</w:t>
      </w:r>
    </w:p>
    <w:p>
      <w:pPr>
        <w:ind w:firstLine="608" w:firstLineChars="200"/>
        <w:rPr>
          <w:rFonts w:asciiTheme="minorEastAsia" w:hAnsiTheme="minorEastAsia" w:cstheme="minorEastAsia"/>
          <w:sz w:val="32"/>
          <w:szCs w:val="32"/>
        </w:rPr>
      </w:pPr>
      <w:r>
        <w:rPr>
          <w:rFonts w:hint="eastAsia" w:asciiTheme="minorEastAsia" w:hAnsiTheme="minorEastAsia" w:cstheme="minorEastAsia"/>
          <w:sz w:val="32"/>
          <w:szCs w:val="32"/>
        </w:rPr>
        <w:t>在澳大利亚期间，无锡团组考察了新南威尔士州技术与继续教育学院、麦考瑞大学及麦考瑞高科技商业园，与对口机构进行了交流对接和座谈，密集拜访了中国外运（澳大利亚）有限公司、隆华电力设备有限公司 、JQZ集团等走出去企业，宣传推介无锡优势产业和营商环境，拓展对澳国际联络网络。</w:t>
      </w:r>
    </w:p>
    <w:p>
      <w:pPr>
        <w:ind w:firstLine="608" w:firstLineChars="200"/>
        <w:rPr>
          <w:rFonts w:asciiTheme="minorEastAsia" w:hAnsiTheme="minorEastAsia" w:cstheme="minorEastAsia"/>
          <w:sz w:val="32"/>
          <w:szCs w:val="32"/>
        </w:rPr>
      </w:pPr>
      <w:r>
        <w:rPr>
          <w:rFonts w:hint="eastAsia" w:asciiTheme="minorEastAsia" w:hAnsiTheme="minorEastAsia" w:cstheme="minorEastAsia"/>
          <w:sz w:val="32"/>
          <w:szCs w:val="32"/>
        </w:rPr>
        <w:t>在新西兰期间，无锡团组调研了伊利大洋洲集团乳业公司，与新西兰—中国贸易协会、新西兰贸易发展局、奥克兰商会、新西兰中国商会、新西兰江苏总商会、新西兰华商俱乐部等对口机构交流对接和座谈，并出席了新西兰华商联合总会成立庆典。</w:t>
      </w:r>
    </w:p>
    <w:p>
      <w:pPr>
        <w:ind w:firstLine="608" w:firstLineChars="200"/>
        <w:rPr>
          <w:rFonts w:ascii="方正楷体_GBK" w:hAnsi="方正楷体_GBK" w:eastAsia="方正楷体_GBK" w:cs="方正楷体_GBK"/>
          <w:b/>
          <w:bCs/>
          <w:color w:val="FF0000"/>
          <w:sz w:val="32"/>
          <w:szCs w:val="32"/>
        </w:rPr>
      </w:pPr>
      <w:r>
        <w:rPr>
          <w:rFonts w:hint="eastAsia" w:asciiTheme="minorEastAsia" w:hAnsiTheme="minorEastAsia" w:cstheme="minorEastAsia"/>
          <w:sz w:val="32"/>
          <w:szCs w:val="32"/>
        </w:rPr>
        <w:t xml:space="preserve">作为无锡市贸促会“锡品出海”之“海外开拓行”系列活动之一，本次出访发掘了合作商机，取得了务实成果。无锡市贸促会与澳中商业联合会达成进一步交流合作意向，与新西兰中国商会签署了合作备忘录。                        </w:t>
      </w:r>
      <w:r>
        <w:rPr>
          <w:rFonts w:hint="eastAsia" w:ascii="方正楷体_GBK" w:hAnsi="方正楷体_GBK" w:eastAsia="方正楷体_GBK" w:cs="方正楷体_GBK"/>
          <w:b/>
          <w:bCs/>
          <w:color w:val="FF0000"/>
          <w:sz w:val="32"/>
          <w:szCs w:val="32"/>
        </w:rPr>
        <w:t>（无锡</w:t>
      </w:r>
      <w:r>
        <w:rPr>
          <w:rFonts w:hint="eastAsia" w:ascii="方正楷体_GBK" w:hAnsi="方正楷体_GBK" w:eastAsia="方正楷体_GBK" w:cs="方正楷体_GBK"/>
          <w:b/>
          <w:bCs/>
          <w:color w:val="FF0000"/>
          <w:sz w:val="32"/>
          <w:szCs w:val="32"/>
          <w:lang w:val="en-US" w:eastAsia="zh-CN"/>
        </w:rPr>
        <w:t>市</w:t>
      </w:r>
      <w:r>
        <w:rPr>
          <w:rFonts w:hint="eastAsia" w:ascii="方正楷体_GBK" w:hAnsi="方正楷体_GBK" w:eastAsia="方正楷体_GBK" w:cs="方正楷体_GBK"/>
          <w:b/>
          <w:bCs/>
          <w:color w:val="FF0000"/>
          <w:sz w:val="32"/>
          <w:szCs w:val="32"/>
        </w:rPr>
        <w:t>贸促会）</w:t>
      </w:r>
    </w:p>
    <w:p>
      <w:pPr>
        <w:widowControl/>
        <w:shd w:val="clear" w:color="auto" w:fill="FFFFFF"/>
        <w:spacing w:line="700" w:lineRule="exact"/>
        <w:contextualSpacing/>
        <w:jc w:val="center"/>
        <w:outlineLvl w:val="1"/>
        <w:rPr>
          <w:rFonts w:ascii="Times New Roman" w:hAnsi="Times New Roman" w:eastAsia="经典行楷简" w:cs="Times New Roman"/>
          <w:color w:val="2E75B6" w:themeColor="accent1" w:themeShade="BF"/>
          <w:sz w:val="52"/>
          <w:szCs w:val="52"/>
        </w:rPr>
      </w:pPr>
    </w:p>
    <w:p>
      <w:pPr>
        <w:widowControl/>
        <w:shd w:val="clear" w:color="auto" w:fill="FFFFFF"/>
        <w:spacing w:line="700" w:lineRule="exact"/>
        <w:contextualSpacing/>
        <w:jc w:val="center"/>
        <w:outlineLvl w:val="1"/>
        <w:rPr>
          <w:rFonts w:ascii="Times New Roman" w:hAnsi="Times New Roman" w:eastAsia="经典行楷简" w:cs="Times New Roman"/>
          <w:color w:val="2E75B6" w:themeColor="accent1" w:themeShade="BF"/>
          <w:sz w:val="52"/>
          <w:szCs w:val="52"/>
        </w:rPr>
      </w:pPr>
      <w:r>
        <w:rPr>
          <w:rFonts w:hint="eastAsia" w:ascii="Times New Roman" w:hAnsi="Times New Roman" w:eastAsia="经典行楷简" w:cs="Times New Roman"/>
          <w:color w:val="2E75B6" w:themeColor="accent1" w:themeShade="BF"/>
          <w:sz w:val="52"/>
          <w:szCs w:val="52"/>
        </w:rPr>
        <w:t>无锡市贸促会举办锡品丝路行——</w:t>
      </w:r>
    </w:p>
    <w:p>
      <w:pPr>
        <w:widowControl/>
        <w:shd w:val="clear" w:color="auto" w:fill="FFFFFF"/>
        <w:spacing w:line="700" w:lineRule="exact"/>
        <w:contextualSpacing/>
        <w:jc w:val="center"/>
        <w:outlineLvl w:val="1"/>
        <w:rPr>
          <w:rFonts w:ascii="Times New Roman" w:hAnsi="Times New Roman" w:eastAsia="经典行楷简" w:cs="Times New Roman"/>
          <w:color w:val="2E75B6" w:themeColor="accent1" w:themeShade="BF"/>
          <w:sz w:val="52"/>
          <w:szCs w:val="52"/>
        </w:rPr>
      </w:pPr>
      <w:r>
        <w:rPr>
          <w:rFonts w:hint="eastAsia" w:ascii="Times New Roman" w:hAnsi="Times New Roman" w:eastAsia="经典行楷简" w:cs="Times New Roman"/>
          <w:color w:val="2E75B6" w:themeColor="accent1" w:themeShade="BF"/>
          <w:sz w:val="52"/>
          <w:szCs w:val="52"/>
        </w:rPr>
        <w:t>印尼新能源汽车行业专场活动</w:t>
      </w:r>
    </w:p>
    <w:p>
      <w:pPr>
        <w:ind w:firstLine="608" w:firstLineChars="200"/>
        <w:rPr>
          <w:rFonts w:asciiTheme="minorEastAsia" w:hAnsiTheme="minorEastAsia" w:cstheme="minorEastAsia"/>
          <w:sz w:val="32"/>
          <w:szCs w:val="32"/>
        </w:rPr>
      </w:pPr>
      <w:r>
        <w:rPr>
          <w:rFonts w:hint="eastAsia" w:asciiTheme="minorEastAsia" w:hAnsiTheme="minorEastAsia" w:cstheme="minorEastAsia"/>
          <w:sz w:val="32"/>
          <w:szCs w:val="32"/>
        </w:rPr>
        <w:t>4月23日，由无锡市商务局、无锡市贸促会指导，无锡国际商会、无锡新能源商会主办，无锡国际经贸促进中心及米奥兰特国际会展承办的锡品丝路行——印尼新能源汽车行业专场活动盛大召开。本次对接交流会，得到了PERIKLINDO印尼电动汽车工业协会的支持，来自万帮数字能源、友诚新能源、江苏紫龙等充电桩及换电设备、电池、车载电子周边、新能源汽车及电动摩托车等产业的110余位企业代表参加会议。</w:t>
      </w:r>
    </w:p>
    <w:p>
      <w:pPr>
        <w:ind w:firstLine="608" w:firstLineChars="200"/>
        <w:rPr>
          <w:rFonts w:asciiTheme="minorEastAsia" w:hAnsiTheme="minorEastAsia" w:cstheme="minorEastAsia"/>
          <w:sz w:val="32"/>
          <w:szCs w:val="32"/>
        </w:rPr>
      </w:pPr>
      <w:r>
        <w:rPr>
          <w:rFonts w:hint="eastAsia" w:asciiTheme="minorEastAsia" w:hAnsiTheme="minorEastAsia" w:cstheme="minorEastAsia"/>
          <w:sz w:val="32"/>
          <w:szCs w:val="32"/>
        </w:rPr>
        <w:t>来自印尼电动汽车工业协会（PERIKLINDO）的主席Achmad Rofiqi，此次来访中国，首站选择无锡，他提到了“印尼作为东盟国家中最大的汽车市场，不仅拥有庞大的汽车保有量和销量，而且在新能源汽车领域展现出巨大的增长潜力” 他强调了印尼市场对于新能源汽车及配套产品的迫切需求，以及中国新能源企业在这一过程中扮演的重要角色。</w:t>
      </w:r>
    </w:p>
    <w:p>
      <w:pPr>
        <w:ind w:firstLine="608" w:firstLineChars="200"/>
        <w:rPr>
          <w:rFonts w:ascii="方正楷体_GBK" w:hAnsi="方正楷体_GBK" w:eastAsia="方正楷体_GBK" w:cs="方正楷体_GBK"/>
          <w:b/>
          <w:bCs/>
          <w:color w:val="FF0000"/>
          <w:sz w:val="32"/>
          <w:szCs w:val="32"/>
        </w:rPr>
      </w:pPr>
      <w:r>
        <w:rPr>
          <w:rFonts w:hint="eastAsia" w:asciiTheme="minorEastAsia" w:hAnsiTheme="minorEastAsia" w:cstheme="minorEastAsia"/>
          <w:sz w:val="32"/>
          <w:szCs w:val="32"/>
        </w:rPr>
        <w:t>无锡新能源商会与印尼电动汽车工业协会的战略合作签约仪式，成为本次活动的一大亮点。双方旨在更好地开展联合活动，达成协作成果，促进无锡企业的出海拓展事业。</w:t>
      </w:r>
      <w:r>
        <w:rPr>
          <w:rFonts w:hint="eastAsia" w:ascii="方正楷体_GBK" w:hAnsi="方正楷体_GBK" w:eastAsia="方正楷体_GBK" w:cs="方正楷体_GBK"/>
          <w:b/>
          <w:bCs/>
          <w:color w:val="FF0000"/>
          <w:sz w:val="32"/>
          <w:szCs w:val="32"/>
        </w:rPr>
        <w:t>（无锡市贸促会）</w:t>
      </w:r>
    </w:p>
    <w:p>
      <w:pPr>
        <w:widowControl/>
        <w:shd w:val="clear" w:color="auto" w:fill="FFFFFF"/>
        <w:spacing w:line="700" w:lineRule="exact"/>
        <w:contextualSpacing/>
        <w:jc w:val="center"/>
        <w:outlineLvl w:val="1"/>
        <w:rPr>
          <w:rFonts w:ascii="Times New Roman" w:hAnsi="Times New Roman" w:eastAsia="经典行楷简" w:cs="Times New Roman"/>
          <w:color w:val="2E75B6" w:themeColor="accent1" w:themeShade="BF"/>
          <w:sz w:val="52"/>
          <w:szCs w:val="52"/>
        </w:rPr>
      </w:pPr>
    </w:p>
    <w:p>
      <w:pPr>
        <w:widowControl/>
        <w:shd w:val="clear" w:color="auto" w:fill="FFFFFF"/>
        <w:spacing w:line="700" w:lineRule="exact"/>
        <w:contextualSpacing/>
        <w:jc w:val="center"/>
        <w:outlineLvl w:val="1"/>
        <w:rPr>
          <w:rFonts w:ascii="Times New Roman" w:hAnsi="Times New Roman" w:eastAsia="经典行楷简" w:cs="Times New Roman"/>
          <w:color w:val="2E75B6" w:themeColor="accent1" w:themeShade="BF"/>
          <w:sz w:val="52"/>
          <w:szCs w:val="52"/>
        </w:rPr>
      </w:pPr>
      <w:r>
        <w:rPr>
          <w:rFonts w:hint="eastAsia" w:ascii="Times New Roman" w:hAnsi="Times New Roman" w:eastAsia="经典行楷简" w:cs="Times New Roman"/>
          <w:color w:val="2E75B6" w:themeColor="accent1" w:themeShade="BF"/>
          <w:sz w:val="52"/>
          <w:szCs w:val="52"/>
        </w:rPr>
        <w:t>苏州贸促会成功举办</w:t>
      </w:r>
    </w:p>
    <w:p>
      <w:pPr>
        <w:widowControl/>
        <w:shd w:val="clear" w:color="auto" w:fill="FFFFFF"/>
        <w:spacing w:line="700" w:lineRule="exact"/>
        <w:contextualSpacing/>
        <w:jc w:val="center"/>
        <w:outlineLvl w:val="1"/>
        <w:rPr>
          <w:rFonts w:ascii="Times New Roman" w:hAnsi="Times New Roman" w:eastAsia="经典行楷简" w:cs="Times New Roman"/>
          <w:color w:val="2E75B6" w:themeColor="accent1" w:themeShade="BF"/>
          <w:sz w:val="52"/>
          <w:szCs w:val="52"/>
        </w:rPr>
      </w:pPr>
      <w:r>
        <w:rPr>
          <w:rFonts w:hint="eastAsia" w:ascii="Times New Roman" w:hAnsi="Times New Roman" w:eastAsia="经典行楷简" w:cs="Times New Roman"/>
          <w:color w:val="2E75B6" w:themeColor="accent1" w:themeShade="BF"/>
          <w:sz w:val="52"/>
          <w:szCs w:val="52"/>
        </w:rPr>
        <w:t>中欧-苏州纺织行业交流会</w:t>
      </w:r>
    </w:p>
    <w:p>
      <w:pPr>
        <w:ind w:firstLine="608" w:firstLineChars="200"/>
        <w:rPr>
          <w:rFonts w:asciiTheme="minorEastAsia" w:hAnsiTheme="minorEastAsia" w:cstheme="minorEastAsia"/>
          <w:sz w:val="32"/>
          <w:szCs w:val="32"/>
        </w:rPr>
      </w:pPr>
      <w:r>
        <w:rPr>
          <w:rFonts w:hint="eastAsia" w:asciiTheme="minorEastAsia" w:hAnsiTheme="minorEastAsia" w:cstheme="minorEastAsia"/>
          <w:sz w:val="32"/>
          <w:szCs w:val="32"/>
        </w:rPr>
        <w:t>4月16日，苏州市贸促会、苏州市国际商会热情会见了法兰克福（法国）展览有限公司总裁步书雅及中国贸促会纺织行业分会副会长张涛一行，举办中欧—苏州纺织行业交流会，与我市纺织企业进行深度交流，为企业更好开拓欧洲市场建言献策。交流会上，徐联全会长介绍了苏州市贸促会的基本情况及年度会展计划，他表示，要充分发挥同法兰克福展览集团的协议效用，组织苏州重点纺织产业企业积极参与系列展会，拓展产业链“链主”企业，完善上下游产业机遇。</w:t>
      </w:r>
    </w:p>
    <w:p>
      <w:pPr>
        <w:ind w:firstLine="608" w:firstLineChars="200"/>
        <w:rPr>
          <w:rFonts w:ascii="方正楷体_GBK" w:hAnsi="方正楷体_GBK" w:eastAsia="方正楷体_GBK" w:cs="方正楷体_GBK"/>
          <w:b/>
          <w:bCs/>
          <w:color w:val="FF0000"/>
          <w:sz w:val="32"/>
          <w:szCs w:val="32"/>
        </w:rPr>
      </w:pPr>
      <w:r>
        <w:rPr>
          <w:rFonts w:hint="eastAsia" w:asciiTheme="minorEastAsia" w:hAnsiTheme="minorEastAsia" w:cstheme="minorEastAsia"/>
          <w:sz w:val="32"/>
          <w:szCs w:val="32"/>
        </w:rPr>
        <w:t xml:space="preserve">法兰克福（法国）展览有限公司总裁步书雅介绍了法兰克福公司的会展活动和资源，以及今年7月的巴黎国际面料及服装服饰采购展的筹备工作，并就绿色制造与可持续发展理念在纺织行业的重要性进行解释。中国贸促会纺织行业分会副会长张涛对当前纺织服装行业参展情况及行业趋势进行了分析，并对企业参加巴黎展充满期待。                            </w:t>
      </w:r>
      <w:r>
        <w:rPr>
          <w:rFonts w:hint="eastAsia" w:asciiTheme="minorEastAsia" w:hAnsiTheme="minorEastAsia" w:cstheme="minorEastAsia"/>
          <w:sz w:val="32"/>
          <w:szCs w:val="32"/>
          <w:lang w:val="en-US" w:eastAsia="zh-CN"/>
        </w:rPr>
        <w:t xml:space="preserve">    </w:t>
      </w:r>
      <w:r>
        <w:rPr>
          <w:rFonts w:hint="eastAsia" w:asciiTheme="minorEastAsia" w:hAnsiTheme="minorEastAsia" w:cstheme="minorEastAsia"/>
          <w:sz w:val="32"/>
          <w:szCs w:val="32"/>
        </w:rPr>
        <w:t xml:space="preserve"> </w:t>
      </w:r>
      <w:r>
        <w:rPr>
          <w:rFonts w:hint="eastAsia" w:ascii="方正楷体_GBK" w:hAnsi="方正楷体_GBK" w:eastAsia="方正楷体_GBK" w:cs="方正楷体_GBK"/>
          <w:b/>
          <w:bCs/>
          <w:color w:val="FF0000"/>
          <w:sz w:val="32"/>
          <w:szCs w:val="32"/>
        </w:rPr>
        <w:t>（苏州</w:t>
      </w:r>
      <w:r>
        <w:rPr>
          <w:rFonts w:hint="eastAsia" w:ascii="方正楷体_GBK" w:hAnsi="方正楷体_GBK" w:eastAsia="方正楷体_GBK" w:cs="方正楷体_GBK"/>
          <w:b/>
          <w:bCs/>
          <w:color w:val="FF0000"/>
          <w:sz w:val="32"/>
          <w:szCs w:val="32"/>
          <w:lang w:val="en-US" w:eastAsia="zh-CN"/>
        </w:rPr>
        <w:t>市</w:t>
      </w:r>
      <w:r>
        <w:rPr>
          <w:rFonts w:hint="eastAsia" w:ascii="方正楷体_GBK" w:hAnsi="方正楷体_GBK" w:eastAsia="方正楷体_GBK" w:cs="方正楷体_GBK"/>
          <w:b/>
          <w:bCs/>
          <w:color w:val="FF0000"/>
          <w:sz w:val="32"/>
          <w:szCs w:val="32"/>
        </w:rPr>
        <w:t>贸促会）</w:t>
      </w:r>
    </w:p>
    <w:p>
      <w:pPr>
        <w:widowControl/>
        <w:shd w:val="clear" w:color="auto" w:fill="FFFFFF"/>
        <w:spacing w:line="700" w:lineRule="exact"/>
        <w:contextualSpacing/>
        <w:jc w:val="center"/>
        <w:outlineLvl w:val="1"/>
        <w:rPr>
          <w:rFonts w:ascii="Times New Roman" w:hAnsi="Times New Roman" w:eastAsia="经典行楷简" w:cs="Times New Roman"/>
          <w:color w:val="2E75B6" w:themeColor="accent1" w:themeShade="BF"/>
          <w:sz w:val="52"/>
          <w:szCs w:val="52"/>
        </w:rPr>
      </w:pPr>
    </w:p>
    <w:p>
      <w:pPr>
        <w:widowControl/>
        <w:shd w:val="clear" w:color="auto" w:fill="FFFFFF"/>
        <w:spacing w:line="700" w:lineRule="exact"/>
        <w:contextualSpacing/>
        <w:jc w:val="center"/>
        <w:outlineLvl w:val="1"/>
        <w:rPr>
          <w:rFonts w:ascii="Times New Roman" w:hAnsi="Times New Roman" w:eastAsia="经典行楷简" w:cs="Times New Roman"/>
          <w:color w:val="2E75B6" w:themeColor="accent1" w:themeShade="BF"/>
          <w:sz w:val="52"/>
          <w:szCs w:val="52"/>
        </w:rPr>
      </w:pPr>
      <w:r>
        <w:rPr>
          <w:rFonts w:hint="eastAsia" w:ascii="Times New Roman" w:hAnsi="Times New Roman" w:eastAsia="经典行楷简" w:cs="Times New Roman"/>
          <w:color w:val="2E75B6" w:themeColor="accent1" w:themeShade="BF"/>
          <w:sz w:val="52"/>
          <w:szCs w:val="52"/>
        </w:rPr>
        <w:t xml:space="preserve">第135届广交会一期落幕 </w:t>
      </w:r>
    </w:p>
    <w:p>
      <w:pPr>
        <w:widowControl/>
        <w:shd w:val="clear" w:color="auto" w:fill="FFFFFF"/>
        <w:spacing w:line="700" w:lineRule="exact"/>
        <w:contextualSpacing/>
        <w:jc w:val="center"/>
        <w:outlineLvl w:val="1"/>
        <w:rPr>
          <w:rFonts w:ascii="Times New Roman" w:hAnsi="Times New Roman" w:eastAsia="经典行楷简" w:cs="Times New Roman"/>
          <w:color w:val="2E75B6" w:themeColor="accent1" w:themeShade="BF"/>
          <w:sz w:val="52"/>
          <w:szCs w:val="52"/>
        </w:rPr>
      </w:pPr>
      <w:r>
        <w:rPr>
          <w:rFonts w:hint="eastAsia" w:ascii="Times New Roman" w:hAnsi="Times New Roman" w:eastAsia="经典行楷简" w:cs="Times New Roman"/>
          <w:color w:val="2E75B6" w:themeColor="accent1" w:themeShade="BF"/>
          <w:sz w:val="52"/>
          <w:szCs w:val="52"/>
        </w:rPr>
        <w:t>泰州参展企业成交额超2000万美元</w:t>
      </w:r>
    </w:p>
    <w:p>
      <w:pPr>
        <w:ind w:firstLine="608" w:firstLineChars="200"/>
        <w:rPr>
          <w:rFonts w:asciiTheme="minorEastAsia" w:hAnsiTheme="minorEastAsia" w:cstheme="minorEastAsia"/>
          <w:sz w:val="32"/>
          <w:szCs w:val="32"/>
        </w:rPr>
      </w:pPr>
      <w:r>
        <w:rPr>
          <w:rFonts w:hint="eastAsia" w:asciiTheme="minorEastAsia" w:hAnsiTheme="minorEastAsia" w:cstheme="minorEastAsia"/>
          <w:sz w:val="32"/>
          <w:szCs w:val="32"/>
        </w:rPr>
        <w:t>4月19日，第135届广交会一期落下帷幕。泰州共有64家企业参展，拥有104个展位，先后接待世界各地的采购商近4000人次，累计成交额（含意向成交）超2000万美元。</w:t>
      </w:r>
    </w:p>
    <w:p>
      <w:pPr>
        <w:ind w:firstLine="608" w:firstLineChars="200"/>
        <w:rPr>
          <w:rFonts w:asciiTheme="minorEastAsia" w:hAnsiTheme="minorEastAsia" w:cstheme="minorEastAsia"/>
          <w:sz w:val="32"/>
          <w:szCs w:val="32"/>
        </w:rPr>
      </w:pPr>
      <w:r>
        <w:rPr>
          <w:rFonts w:hint="eastAsia" w:asciiTheme="minorEastAsia" w:hAnsiTheme="minorEastAsia" w:cstheme="minorEastAsia"/>
          <w:sz w:val="32"/>
          <w:szCs w:val="32"/>
        </w:rPr>
        <w:t>广交会开幕以来，我市外贸企业同心协力，全力以赴，在广交会这个国际大舞台上绽放出不一样的魅力。展会一期，泰州市贸促会围绕“先进制造”主题，主动作为、强化服务，精心组织了澎阳泵业、长虹三杰、江苏光芒等新能源、新材料企业进行参展，全力支持“新三样”产品出口。订单纷至沓来，展现出“泰州制造”强大实力。</w:t>
      </w:r>
    </w:p>
    <w:p>
      <w:pPr>
        <w:ind w:firstLine="608" w:firstLineChars="200"/>
        <w:rPr>
          <w:rFonts w:asciiTheme="minorEastAsia" w:hAnsiTheme="minorEastAsia" w:cstheme="minorEastAsia"/>
          <w:sz w:val="32"/>
          <w:szCs w:val="32"/>
        </w:rPr>
      </w:pPr>
      <w:bookmarkStart w:id="0" w:name="_GoBack"/>
      <w:bookmarkEnd w:id="0"/>
      <w:r>
        <w:rPr>
          <w:rFonts w:hint="eastAsia" w:asciiTheme="minorEastAsia" w:hAnsiTheme="minorEastAsia" w:cstheme="minorEastAsia"/>
          <w:sz w:val="32"/>
          <w:szCs w:val="32"/>
        </w:rPr>
        <w:t xml:space="preserve">市贸促会将继续强化服务和保障，做好展会期间各项工作，全力以赴助力企业扩订单、拓市场、促出口。 </w:t>
      </w:r>
    </w:p>
    <w:p>
      <w:pPr>
        <w:ind w:firstLine="6080" w:firstLineChars="2000"/>
        <w:rPr>
          <w:rFonts w:ascii="方正楷体_GBK" w:hAnsi="方正楷体_GBK" w:eastAsia="方正楷体_GBK" w:cs="方正楷体_GBK"/>
          <w:color w:val="FF0000"/>
          <w:sz w:val="32"/>
          <w:szCs w:val="32"/>
        </w:rPr>
      </w:pPr>
      <w:r>
        <w:rPr>
          <w:rFonts w:hint="eastAsia" w:ascii="方正楷体_GBK" w:hAnsi="方正楷体_GBK" w:eastAsia="方正楷体_GBK" w:cs="方正楷体_GBK"/>
          <w:b/>
          <w:bCs/>
          <w:color w:val="FF0000"/>
          <w:sz w:val="32"/>
          <w:szCs w:val="32"/>
        </w:rPr>
        <w:t>（泰州</w:t>
      </w:r>
      <w:r>
        <w:rPr>
          <w:rFonts w:hint="eastAsia" w:ascii="方正楷体_GBK" w:hAnsi="方正楷体_GBK" w:eastAsia="方正楷体_GBK" w:cs="方正楷体_GBK"/>
          <w:b/>
          <w:bCs/>
          <w:color w:val="FF0000"/>
          <w:sz w:val="32"/>
          <w:szCs w:val="32"/>
          <w:lang w:val="en-US" w:eastAsia="zh-CN"/>
        </w:rPr>
        <w:t>市</w:t>
      </w:r>
      <w:r>
        <w:rPr>
          <w:rFonts w:hint="eastAsia" w:ascii="方正楷体_GBK" w:hAnsi="方正楷体_GBK" w:eastAsia="方正楷体_GBK" w:cs="方正楷体_GBK"/>
          <w:b/>
          <w:bCs/>
          <w:color w:val="FF0000"/>
          <w:sz w:val="32"/>
          <w:szCs w:val="32"/>
        </w:rPr>
        <w:t>贸促会）</w:t>
      </w:r>
    </w:p>
    <w:p>
      <w:pPr>
        <w:rPr>
          <w:rFonts w:ascii="Times New Roman" w:hAnsi="Times New Roman" w:eastAsia="经典行楷简" w:cs="Times New Roman"/>
          <w:b/>
          <w:color w:val="2E75B6" w:themeColor="accent1" w:themeShade="BF"/>
          <w:kern w:val="36"/>
          <w:sz w:val="96"/>
          <w:szCs w:val="96"/>
          <w:u w:color="BB120F"/>
        </w:rPr>
      </w:pPr>
    </w:p>
    <w:p>
      <w:pPr>
        <w:rPr>
          <w:rFonts w:ascii="Times New Roman" w:hAnsi="Times New Roman" w:eastAsia="经典行楷简" w:cs="Times New Roman"/>
          <w:b/>
          <w:color w:val="2E75B6" w:themeColor="accent1" w:themeShade="BF"/>
          <w:kern w:val="36"/>
          <w:sz w:val="96"/>
          <w:szCs w:val="96"/>
          <w:u w:color="BB120F"/>
        </w:rPr>
      </w:pPr>
      <w:r>
        <w:rPr>
          <w:rFonts w:ascii="Times New Roman" w:hAnsi="Times New Roman" w:eastAsia="经典行楷简" w:cs="Times New Roman"/>
          <w:b/>
          <w:color w:val="2E75B6" w:themeColor="accent1" w:themeShade="BF"/>
          <w:kern w:val="36"/>
          <w:sz w:val="96"/>
          <w:szCs w:val="96"/>
          <w:u w:color="BB120F"/>
        </w:rPr>
        <w:br w:type="page"/>
      </w:r>
    </w:p>
    <w:p>
      <w:pPr>
        <w:widowControl/>
        <w:shd w:val="clear" w:color="auto" w:fill="FFFFFF"/>
        <w:spacing w:after="210"/>
        <w:contextualSpacing/>
        <w:jc w:val="center"/>
        <w:outlineLvl w:val="1"/>
        <w:rPr>
          <w:rFonts w:ascii="Times New Roman" w:hAnsi="Times New Roman" w:eastAsia="经典行楷简" w:cs="Times New Roman"/>
          <w:b/>
          <w:color w:val="2E75B6" w:themeColor="accent1" w:themeShade="BF"/>
          <w:kern w:val="36"/>
          <w:sz w:val="96"/>
          <w:szCs w:val="96"/>
          <w:u w:color="BB120F"/>
        </w:rPr>
      </w:pPr>
      <w:r>
        <w:rPr>
          <w:rFonts w:ascii="Times New Roman" w:hAnsi="Times New Roman" w:eastAsia="经典行楷简" w:cs="Times New Roman"/>
          <w:b/>
          <w:color w:val="2E75B6" w:themeColor="accent1" w:themeShade="BF"/>
          <w:kern w:val="36"/>
          <w:sz w:val="96"/>
          <w:szCs w:val="96"/>
          <w:u w:color="BB120F"/>
        </w:rPr>
        <w:t>会员企业风采</w:t>
      </w:r>
    </w:p>
    <w:p>
      <w:pPr>
        <w:widowControl/>
        <w:shd w:val="clear" w:color="auto" w:fill="FFFFFF"/>
        <w:spacing w:after="210" w:line="700" w:lineRule="exact"/>
        <w:contextualSpacing/>
        <w:jc w:val="center"/>
        <w:outlineLvl w:val="1"/>
        <w:rPr>
          <w:rFonts w:ascii="Times New Roman" w:hAnsi="Times New Roman" w:eastAsia="华文新魏" w:cs="Times New Roman"/>
          <w:b/>
          <w:color w:val="FF0000"/>
          <w:spacing w:val="28"/>
          <w:kern w:val="36"/>
          <w:sz w:val="52"/>
          <w:szCs w:val="52"/>
        </w:rPr>
      </w:pPr>
      <w:r>
        <w:rPr>
          <w:rFonts w:hint="eastAsia" w:ascii="Times New Roman" w:hAnsi="Times New Roman" w:eastAsia="华文新魏" w:cs="Times New Roman"/>
          <w:b/>
          <w:color w:val="FF0000"/>
          <w:spacing w:val="28"/>
          <w:kern w:val="36"/>
          <w:sz w:val="52"/>
          <w:szCs w:val="52"/>
        </w:rPr>
        <w:t>扬子国投实现全省</w:t>
      </w:r>
    </w:p>
    <w:p>
      <w:pPr>
        <w:widowControl/>
        <w:shd w:val="clear" w:color="auto" w:fill="FFFFFF"/>
        <w:spacing w:after="210" w:line="700" w:lineRule="exact"/>
        <w:contextualSpacing/>
        <w:jc w:val="center"/>
        <w:outlineLvl w:val="1"/>
        <w:rPr>
          <w:rFonts w:ascii="Times New Roman" w:hAnsi="Times New Roman" w:eastAsia="华文新魏" w:cs="Times New Roman"/>
          <w:b/>
          <w:color w:val="FF0000"/>
          <w:spacing w:val="28"/>
          <w:kern w:val="36"/>
          <w:sz w:val="52"/>
          <w:szCs w:val="52"/>
        </w:rPr>
      </w:pPr>
      <w:r>
        <w:rPr>
          <w:rFonts w:hint="eastAsia" w:ascii="Times New Roman" w:hAnsi="Times New Roman" w:eastAsia="华文新魏" w:cs="Times New Roman"/>
          <w:b/>
          <w:color w:val="FF0000"/>
          <w:spacing w:val="28"/>
          <w:kern w:val="36"/>
          <w:sz w:val="52"/>
          <w:szCs w:val="52"/>
        </w:rPr>
        <w:t xml:space="preserve">首单停车数据资产入表 </w:t>
      </w:r>
    </w:p>
    <w:p>
      <w:pPr>
        <w:ind w:firstLine="608" w:firstLineChars="200"/>
        <w:rPr>
          <w:rFonts w:ascii="Times New Roman" w:hAnsi="Times New Roman" w:cstheme="minorEastAsia"/>
          <w:color w:val="000000"/>
          <w:sz w:val="32"/>
          <w:szCs w:val="32"/>
        </w:rPr>
      </w:pPr>
      <w:r>
        <w:rPr>
          <w:rFonts w:hint="eastAsia" w:ascii="Times New Roman" w:hAnsi="Times New Roman" w:cstheme="minorEastAsia"/>
          <w:color w:val="000000"/>
          <w:sz w:val="32"/>
          <w:szCs w:val="32"/>
        </w:rPr>
        <w:t>继全国水务行业首单数据资产入表后，我会副会长单位——南京扬子国资投资集团有限责任公司再接再厉，于近日成功打造江苏省首单停车数据资产入表案例。</w:t>
      </w:r>
    </w:p>
    <w:p>
      <w:pPr>
        <w:ind w:firstLine="608" w:firstLineChars="200"/>
        <w:rPr>
          <w:rFonts w:ascii="Times New Roman" w:hAnsi="Times New Roman" w:cstheme="minorEastAsia"/>
          <w:color w:val="000000"/>
          <w:sz w:val="32"/>
          <w:szCs w:val="32"/>
        </w:rPr>
      </w:pPr>
      <w:r>
        <w:rPr>
          <w:rFonts w:hint="eastAsia" w:ascii="Times New Roman" w:hAnsi="Times New Roman" w:cstheme="minorEastAsia"/>
          <w:color w:val="000000"/>
          <w:sz w:val="32"/>
          <w:szCs w:val="32"/>
        </w:rPr>
        <w:t>集团成员企业公用集团下属南京江北智慧交通有限公司，依托集团成员企业南京数字金融产业研究院有限公司的技术支持，以其运营管理的停车场数据为入表对象，在确保用户数据安全和隐私保护的前提下，将11个停车场运营期间产生的部分数据按账面归集成本，计入“无形资产—数据资源”科目，实现数据资产入表。</w:t>
      </w:r>
    </w:p>
    <w:p>
      <w:pPr>
        <w:ind w:firstLine="608" w:firstLineChars="200"/>
        <w:rPr>
          <w:rFonts w:ascii="Times New Roman" w:hAnsi="Times New Roman" w:cstheme="minorEastAsia"/>
          <w:color w:val="000000"/>
          <w:sz w:val="32"/>
          <w:szCs w:val="32"/>
        </w:rPr>
      </w:pPr>
      <w:r>
        <w:rPr>
          <w:rFonts w:hint="eastAsia" w:ascii="Times New Roman" w:hAnsi="Times New Roman" w:cstheme="minorEastAsia"/>
          <w:color w:val="000000"/>
          <w:sz w:val="32"/>
          <w:szCs w:val="32"/>
        </w:rPr>
        <w:t>此次停车数据入表，既是数据赋能业务的重要案例，也是扬子国投积极响应新质生产力的重要举措。这一入表实践，不仅有效融合了停车领域多维度数据，而且在显化数据资源价值、增加企业资产总额、提高企业信用和融资能力、降低资产负债率、助力企业ESG体系建设等方面发挥了重要作用。</w:t>
      </w:r>
    </w:p>
    <w:p>
      <w:pPr>
        <w:ind w:firstLine="608" w:firstLineChars="200"/>
        <w:rPr>
          <w:rFonts w:ascii="Times New Roman" w:hAnsi="Times New Roman" w:cstheme="minorEastAsia"/>
          <w:color w:val="000000"/>
          <w:sz w:val="32"/>
          <w:szCs w:val="32"/>
        </w:rPr>
      </w:pPr>
      <w:r>
        <w:rPr>
          <w:rFonts w:hint="eastAsia" w:ascii="Times New Roman" w:hAnsi="Times New Roman" w:cstheme="minorEastAsia"/>
          <w:color w:val="000000"/>
          <w:sz w:val="32"/>
          <w:szCs w:val="32"/>
        </w:rPr>
        <w:t>下一步，扬子国投将充分发挥国有企业在数字经济高质量发展中的引领作用，持续做好数据产品挂牌工作，推动数据资源转化为新质生产力，为促进地区数字经济发展贡献国资国企力量。</w:t>
      </w:r>
    </w:p>
    <w:p>
      <w:pPr>
        <w:ind w:firstLine="4560" w:firstLineChars="1500"/>
        <w:rPr>
          <w:rFonts w:ascii="Times New Roman" w:hAnsi="Times New Roman" w:eastAsia="华文新魏" w:cs="Times New Roman"/>
          <w:b/>
          <w:color w:val="FF0000"/>
          <w:spacing w:val="28"/>
          <w:kern w:val="36"/>
          <w:sz w:val="52"/>
          <w:szCs w:val="52"/>
        </w:rPr>
      </w:pPr>
      <w:r>
        <w:rPr>
          <w:rFonts w:hint="eastAsia" w:ascii="方正楷体_GBK" w:hAnsi="方正楷体_GBK" w:eastAsia="方正楷体_GBK" w:cs="方正楷体_GBK"/>
          <w:b/>
          <w:bCs/>
          <w:color w:val="FF0000"/>
          <w:sz w:val="32"/>
          <w:szCs w:val="32"/>
        </w:rPr>
        <w:t>（来源：扬子国投官网）</w:t>
      </w:r>
    </w:p>
    <w:p>
      <w:pPr>
        <w:widowControl/>
        <w:shd w:val="clear" w:color="auto" w:fill="FFFFFF"/>
        <w:spacing w:after="210" w:line="700" w:lineRule="exact"/>
        <w:contextualSpacing/>
        <w:jc w:val="center"/>
        <w:outlineLvl w:val="1"/>
        <w:rPr>
          <w:rFonts w:ascii="Times New Roman" w:hAnsi="Times New Roman" w:eastAsia="华文新魏" w:cs="Times New Roman"/>
          <w:b/>
          <w:color w:val="FF0000"/>
          <w:spacing w:val="28"/>
          <w:kern w:val="36"/>
          <w:sz w:val="52"/>
          <w:szCs w:val="52"/>
        </w:rPr>
      </w:pPr>
    </w:p>
    <w:p>
      <w:pPr>
        <w:widowControl/>
        <w:shd w:val="clear" w:color="auto" w:fill="FFFFFF"/>
        <w:spacing w:after="210" w:line="700" w:lineRule="exact"/>
        <w:contextualSpacing/>
        <w:jc w:val="center"/>
        <w:outlineLvl w:val="1"/>
        <w:rPr>
          <w:rFonts w:ascii="Times New Roman" w:hAnsi="Times New Roman" w:eastAsia="华文新魏" w:cs="Times New Roman"/>
          <w:b/>
          <w:color w:val="FF0000"/>
          <w:spacing w:val="28"/>
          <w:kern w:val="36"/>
          <w:sz w:val="52"/>
          <w:szCs w:val="52"/>
        </w:rPr>
      </w:pPr>
      <w:r>
        <w:rPr>
          <w:rFonts w:ascii="Times New Roman" w:hAnsi="Times New Roman" w:eastAsia="华文新魏" w:cs="Times New Roman"/>
          <w:b/>
          <w:color w:val="FF0000"/>
          <w:spacing w:val="28"/>
          <w:kern w:val="36"/>
          <w:sz w:val="52"/>
          <w:szCs w:val="52"/>
        </w:rPr>
        <w:t>茂莱光学受邀参加中国</w:t>
      </w:r>
    </w:p>
    <w:p>
      <w:pPr>
        <w:widowControl/>
        <w:shd w:val="clear" w:color="auto" w:fill="FFFFFF"/>
        <w:spacing w:after="210" w:line="700" w:lineRule="exact"/>
        <w:contextualSpacing/>
        <w:jc w:val="center"/>
        <w:outlineLvl w:val="1"/>
        <w:rPr>
          <w:rFonts w:ascii="Times New Roman" w:hAnsi="Times New Roman" w:eastAsia="华文新魏" w:cs="Times New Roman"/>
          <w:b/>
          <w:color w:val="FF0000"/>
          <w:spacing w:val="28"/>
          <w:kern w:val="36"/>
          <w:sz w:val="52"/>
          <w:szCs w:val="52"/>
        </w:rPr>
      </w:pPr>
      <w:r>
        <w:rPr>
          <w:rFonts w:ascii="Times New Roman" w:hAnsi="Times New Roman" w:eastAsia="华文新魏" w:cs="Times New Roman"/>
          <w:b/>
          <w:color w:val="FF0000"/>
          <w:spacing w:val="28"/>
          <w:kern w:val="36"/>
          <w:sz w:val="52"/>
          <w:szCs w:val="52"/>
        </w:rPr>
        <w:t>南京—英国伦敦经贸合作交流</w:t>
      </w:r>
      <w:r>
        <w:rPr>
          <w:rFonts w:hint="eastAsia" w:ascii="Times New Roman" w:hAnsi="Times New Roman" w:eastAsia="华文新魏" w:cs="Times New Roman"/>
          <w:b/>
          <w:color w:val="FF0000"/>
          <w:spacing w:val="28"/>
          <w:kern w:val="36"/>
          <w:sz w:val="52"/>
          <w:szCs w:val="52"/>
        </w:rPr>
        <w:t xml:space="preserve">会 </w:t>
      </w:r>
    </w:p>
    <w:p>
      <w:pPr>
        <w:ind w:firstLine="608" w:firstLineChars="200"/>
        <w:rPr>
          <w:rFonts w:ascii="Times New Roman" w:hAnsi="Times New Roman" w:cstheme="minorEastAsia"/>
          <w:color w:val="000000"/>
          <w:sz w:val="32"/>
          <w:szCs w:val="32"/>
        </w:rPr>
      </w:pPr>
      <w:r>
        <w:rPr>
          <w:rFonts w:hint="eastAsia" w:ascii="Times New Roman" w:hAnsi="Times New Roman" w:cstheme="minorEastAsia"/>
          <w:color w:val="000000"/>
          <w:sz w:val="32"/>
          <w:szCs w:val="32"/>
        </w:rPr>
        <w:t>近日，南京市委书记韩立明率南京市代表团在英国伦敦考察访问并举行了中国·南京——英国·伦敦经贸合作交流会。</w:t>
      </w:r>
    </w:p>
    <w:p>
      <w:pPr>
        <w:ind w:firstLine="608" w:firstLineChars="200"/>
        <w:rPr>
          <w:rFonts w:ascii="Times New Roman" w:hAnsi="Times New Roman" w:cstheme="minorEastAsia"/>
          <w:color w:val="000000"/>
          <w:sz w:val="32"/>
          <w:szCs w:val="32"/>
        </w:rPr>
      </w:pPr>
      <w:r>
        <w:rPr>
          <w:rFonts w:hint="eastAsia" w:ascii="Times New Roman" w:hAnsi="Times New Roman" w:cstheme="minorEastAsia"/>
          <w:color w:val="000000"/>
          <w:sz w:val="32"/>
          <w:szCs w:val="32"/>
        </w:rPr>
        <w:t>此次经贸合作交流会，得到了英国政、商、学界人士的热烈响应。中国驻英国大使郑泽光、英中贸易协会主席古沛勤、英中商业发展中心董事会主席麦克莱恩、英国中国商会会长方文建等应邀出席，爱瑞、渣打、汇丰等世界知名企业以及金融、科研机构负责人约120余名嘉宾参加。</w:t>
      </w:r>
    </w:p>
    <w:p>
      <w:pPr>
        <w:ind w:firstLine="608" w:firstLineChars="200"/>
        <w:rPr>
          <w:rFonts w:ascii="Times New Roman" w:hAnsi="Times New Roman" w:cstheme="minorEastAsia"/>
          <w:color w:val="000000"/>
          <w:sz w:val="32"/>
          <w:szCs w:val="32"/>
        </w:rPr>
      </w:pPr>
      <w:r>
        <w:rPr>
          <w:rFonts w:hint="eastAsia" w:ascii="Times New Roman" w:hAnsi="Times New Roman" w:cstheme="minorEastAsia"/>
          <w:color w:val="000000"/>
          <w:sz w:val="32"/>
          <w:szCs w:val="32"/>
        </w:rPr>
        <w:t>在此次交流会中，我会理事单位——南京茂莱光学科技股份有限公司CEO范一先生和普华永道、英力士等企业负责人一起分享了在南京和英国投资合作成功案例。从茂莱光学与英国合作伙伴的历史渊源故事开始，CEO范一先生与大家分享了在英国建厂投资的原因，茂莱光学的发展状态、主营业务及产品等。</w:t>
      </w:r>
    </w:p>
    <w:p>
      <w:pPr>
        <w:ind w:firstLine="608" w:firstLineChars="200"/>
        <w:rPr>
          <w:rFonts w:ascii="Times New Roman" w:hAnsi="Times New Roman" w:cstheme="minorEastAsia"/>
          <w:color w:val="000000"/>
          <w:sz w:val="32"/>
          <w:szCs w:val="32"/>
        </w:rPr>
      </w:pPr>
      <w:r>
        <w:rPr>
          <w:rFonts w:hint="eastAsia" w:ascii="Times New Roman" w:hAnsi="Times New Roman" w:cstheme="minorEastAsia"/>
          <w:color w:val="000000"/>
          <w:sz w:val="32"/>
          <w:szCs w:val="32"/>
        </w:rPr>
        <w:t xml:space="preserve">茂莱光学 ML PHOTONIC UK总经理Richard Green先生也受邀参加了交流会现场举办的项目签约仪式。和欧德油储、爱瑞集团、维万精准医疗等一起进行现场签约，涵盖生物医药、智能物流、现代化工等多个领域。      </w:t>
      </w:r>
    </w:p>
    <w:p>
      <w:pPr>
        <w:ind w:firstLine="3952" w:firstLineChars="1300"/>
        <w:rPr>
          <w:rFonts w:ascii="方正楷体_GBK" w:hAnsi="方正楷体_GBK" w:eastAsia="方正楷体_GBK" w:cs="方正楷体_GBK"/>
          <w:b/>
          <w:bCs/>
          <w:color w:val="FF0000"/>
          <w:sz w:val="32"/>
          <w:szCs w:val="32"/>
        </w:rPr>
      </w:pPr>
      <w:r>
        <w:rPr>
          <w:rFonts w:hint="eastAsia" w:ascii="Times New Roman" w:hAnsi="Times New Roman" w:cstheme="minorEastAsia"/>
          <w:color w:val="000000"/>
          <w:sz w:val="32"/>
          <w:szCs w:val="32"/>
        </w:rPr>
        <w:t xml:space="preserve">  </w:t>
      </w:r>
      <w:r>
        <w:rPr>
          <w:rFonts w:hint="eastAsia" w:ascii="方正楷体_GBK" w:hAnsi="方正楷体_GBK" w:eastAsia="方正楷体_GBK" w:cs="方正楷体_GBK"/>
          <w:b/>
          <w:bCs/>
          <w:color w:val="FF0000"/>
          <w:sz w:val="32"/>
          <w:szCs w:val="32"/>
        </w:rPr>
        <w:t>（来源：茂莱光学微信公众号）</w:t>
      </w:r>
    </w:p>
    <w:p>
      <w:pPr>
        <w:ind w:firstLine="608" w:firstLineChars="200"/>
        <w:rPr>
          <w:rFonts w:ascii="方正楷体_GBK" w:hAnsi="方正楷体_GBK" w:eastAsia="方正楷体_GBK" w:cs="方正楷体_GBK"/>
          <w:b/>
          <w:bCs/>
          <w:color w:val="FF0000"/>
          <w:sz w:val="32"/>
          <w:szCs w:val="32"/>
        </w:rPr>
      </w:pPr>
    </w:p>
    <w:p>
      <w:pPr>
        <w:ind w:firstLine="608" w:firstLineChars="200"/>
        <w:rPr>
          <w:rFonts w:ascii="方正楷体_GBK" w:hAnsi="方正楷体_GBK" w:eastAsia="方正楷体_GBK" w:cs="方正楷体_GBK"/>
          <w:b/>
          <w:bCs/>
          <w:color w:val="FF0000"/>
          <w:sz w:val="32"/>
          <w:szCs w:val="32"/>
        </w:rPr>
      </w:pPr>
    </w:p>
    <w:p>
      <w:pPr>
        <w:widowControl/>
        <w:shd w:val="clear" w:color="auto" w:fill="FFFFFF"/>
        <w:spacing w:after="210" w:line="700" w:lineRule="exact"/>
        <w:contextualSpacing/>
        <w:jc w:val="center"/>
        <w:outlineLvl w:val="1"/>
        <w:rPr>
          <w:rFonts w:hint="eastAsia" w:ascii="Times New Roman" w:hAnsi="Times New Roman" w:eastAsia="华文新魏" w:cs="Times New Roman"/>
          <w:b/>
          <w:color w:val="FF0000"/>
          <w:spacing w:val="28"/>
          <w:kern w:val="36"/>
          <w:sz w:val="52"/>
          <w:szCs w:val="52"/>
        </w:rPr>
      </w:pPr>
      <w:r>
        <w:rPr>
          <w:rFonts w:hint="eastAsia" w:ascii="Times New Roman" w:hAnsi="Times New Roman" w:eastAsia="华文新魏" w:cs="Times New Roman"/>
          <w:b/>
          <w:color w:val="FF0000"/>
          <w:spacing w:val="28"/>
          <w:kern w:val="36"/>
          <w:sz w:val="52"/>
          <w:szCs w:val="52"/>
        </w:rPr>
        <w:t>江苏天创荣获年度苏州市</w:t>
      </w:r>
    </w:p>
    <w:p>
      <w:pPr>
        <w:widowControl/>
        <w:shd w:val="clear" w:color="auto" w:fill="FFFFFF"/>
        <w:spacing w:after="210" w:line="700" w:lineRule="exact"/>
        <w:contextualSpacing/>
        <w:jc w:val="center"/>
        <w:outlineLvl w:val="1"/>
        <w:rPr>
          <w:rFonts w:ascii="Times New Roman" w:hAnsi="Times New Roman" w:eastAsia="方正楷体_GBK" w:cs="Times New Roman"/>
          <w:b/>
          <w:kern w:val="36"/>
          <w:sz w:val="30"/>
          <w:szCs w:val="30"/>
        </w:rPr>
      </w:pPr>
      <w:r>
        <w:rPr>
          <w:rFonts w:hint="eastAsia" w:ascii="Times New Roman" w:hAnsi="Times New Roman" w:eastAsia="华文新魏" w:cs="Times New Roman"/>
          <w:b/>
          <w:color w:val="FF0000"/>
          <w:spacing w:val="28"/>
          <w:kern w:val="36"/>
          <w:sz w:val="52"/>
          <w:szCs w:val="52"/>
        </w:rPr>
        <w:t>网络和数据安全技术支撑单位</w:t>
      </w:r>
    </w:p>
    <w:p>
      <w:pPr>
        <w:ind w:firstLine="608" w:firstLineChars="200"/>
        <w:rPr>
          <w:rFonts w:ascii="Times New Roman" w:hAnsi="Times New Roman" w:cstheme="minorEastAsia"/>
          <w:color w:val="000000"/>
          <w:sz w:val="32"/>
          <w:szCs w:val="32"/>
        </w:rPr>
      </w:pPr>
      <w:r>
        <w:rPr>
          <w:rFonts w:hint="eastAsia" w:ascii="Times New Roman" w:hAnsi="Times New Roman" w:cstheme="minorEastAsia"/>
          <w:color w:val="000000"/>
          <w:sz w:val="32"/>
          <w:szCs w:val="32"/>
        </w:rPr>
        <w:t>近日，苏州市网络和数据安全技术支撑单位交流座谈会暨自贸会客厅第50期“苏数通”数据跨境流动企业沙龙在苏州国际数据港隆重召开。旨在促进网络安全技术支撑单位之间的交流与合作，共同推动网络和数据安全保障体系和能力提升。</w:t>
      </w:r>
    </w:p>
    <w:p>
      <w:pPr>
        <w:ind w:firstLine="608" w:firstLineChars="200"/>
        <w:rPr>
          <w:rFonts w:ascii="Times New Roman" w:hAnsi="Times New Roman" w:cstheme="minorEastAsia"/>
          <w:color w:val="000000"/>
          <w:sz w:val="32"/>
          <w:szCs w:val="32"/>
        </w:rPr>
      </w:pPr>
      <w:r>
        <w:rPr>
          <w:rFonts w:hint="eastAsia" w:ascii="Times New Roman" w:hAnsi="Times New Roman" w:cstheme="minorEastAsia"/>
          <w:color w:val="000000"/>
          <w:sz w:val="32"/>
          <w:szCs w:val="32"/>
        </w:rPr>
        <w:t>苏州市委网信办、苏州工业园区宣传和统战部（网信办）、苏州工业园区自贸区综合协调局、苏州市互联网协会相关负责同志，苏州市网络和数据安全技术支撑单位相关负责人以及苏州工业园区部分企业代表齐聚一堂，共同探讨网络安全和数据保障的新思路、新举措。</w:t>
      </w:r>
    </w:p>
    <w:p>
      <w:pPr>
        <w:ind w:firstLine="608" w:firstLineChars="200"/>
        <w:rPr>
          <w:rFonts w:ascii="Times New Roman" w:hAnsi="Times New Roman" w:cstheme="minorEastAsia"/>
          <w:color w:val="000000"/>
          <w:sz w:val="32"/>
          <w:szCs w:val="32"/>
        </w:rPr>
      </w:pPr>
      <w:r>
        <w:rPr>
          <w:rFonts w:hint="eastAsia" w:ascii="Times New Roman" w:hAnsi="Times New Roman" w:cstheme="minorEastAsia"/>
          <w:color w:val="000000"/>
          <w:sz w:val="32"/>
          <w:szCs w:val="32"/>
        </w:rPr>
        <w:t>活动现场对2024-2025年度苏州市网络和数据安全技术支撑单位进行授牌。我会理事单位——江苏天创科技有限公司凭借其在网络安全和数据保障领域的优秀贡献荣膺殊荣。同时作为被授牌单位的代表之一，江苏天创副总经理徐昊博士在会上分享了公司在网络安全和数据保障领域的最新成果和实践经验。</w:t>
      </w:r>
    </w:p>
    <w:p>
      <w:pPr>
        <w:ind w:firstLine="608" w:firstLineChars="200"/>
        <w:rPr>
          <w:rFonts w:ascii="Times New Roman" w:hAnsi="Times New Roman" w:cstheme="minorEastAsia"/>
          <w:color w:val="000000"/>
          <w:sz w:val="32"/>
          <w:szCs w:val="32"/>
        </w:rPr>
      </w:pPr>
      <w:r>
        <w:rPr>
          <w:rFonts w:hint="eastAsia" w:ascii="Times New Roman" w:hAnsi="Times New Roman" w:cstheme="minorEastAsia"/>
          <w:color w:val="000000"/>
          <w:sz w:val="32"/>
          <w:szCs w:val="32"/>
        </w:rPr>
        <w:t>江苏天创将继续秉持创新、务实的理念，不断加强技术研发和创新能力，提升网络安全和数据保障的技术水平，为城市的可持续发展提供有力保障，为数字化时代的繁荣发展贡献智慧和力量。</w:t>
      </w:r>
    </w:p>
    <w:p>
      <w:pPr>
        <w:ind w:firstLine="4256" w:firstLineChars="1400"/>
        <w:rPr>
          <w:rFonts w:ascii="Times New Roman" w:hAnsi="Times New Roman" w:eastAsia="华文新魏" w:cs="Times New Roman"/>
          <w:b/>
          <w:color w:val="FF0000"/>
          <w:spacing w:val="28"/>
          <w:kern w:val="36"/>
          <w:sz w:val="52"/>
          <w:szCs w:val="52"/>
        </w:rPr>
      </w:pPr>
      <w:r>
        <w:rPr>
          <w:rFonts w:hint="eastAsia" w:ascii="方正楷体_GBK" w:hAnsi="方正楷体_GBK" w:eastAsia="方正楷体_GBK" w:cs="方正楷体_GBK"/>
          <w:b/>
          <w:bCs/>
          <w:color w:val="FF0000"/>
          <w:sz w:val="32"/>
          <w:szCs w:val="32"/>
        </w:rPr>
        <w:t>（来源：江苏天创微信公众号）</w:t>
      </w:r>
    </w:p>
    <w:p>
      <w:pPr>
        <w:widowControl/>
        <w:shd w:val="clear" w:color="auto" w:fill="FFFFFF"/>
        <w:spacing w:after="210" w:line="240" w:lineRule="exact"/>
        <w:contextualSpacing/>
        <w:jc w:val="center"/>
        <w:outlineLvl w:val="1"/>
        <w:rPr>
          <w:rFonts w:ascii="Times New Roman" w:hAnsi="Times New Roman" w:eastAsia="华文新魏" w:cs="Times New Roman"/>
          <w:b/>
          <w:color w:val="FF0000"/>
          <w:kern w:val="36"/>
          <w:sz w:val="52"/>
          <w:szCs w:val="52"/>
        </w:rPr>
      </w:pPr>
    </w:p>
    <w:sectPr>
      <w:footerReference r:id="rId4" w:type="default"/>
      <w:pgSz w:w="11906" w:h="16838"/>
      <w:pgMar w:top="2098" w:right="1474" w:bottom="1984" w:left="1587" w:header="1417" w:footer="992" w:gutter="0"/>
      <w:pgBorders>
        <w:top w:val="single" w:color="F82206" w:sz="48" w:space="1"/>
        <w:left w:val="single" w:color="F82206" w:sz="48" w:space="4"/>
        <w:bottom w:val="single" w:color="F82206" w:sz="48" w:space="1"/>
        <w:right w:val="single" w:color="F82206" w:sz="48" w:space="4"/>
      </w:pgBorders>
      <w:pgNumType w:fmt="decimal" w:start="1"/>
      <w:cols w:space="425" w:num="1"/>
      <w:docGrid w:type="linesAndChars" w:linePitch="290" w:charSpace="-34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Consolas">
    <w:panose1 w:val="020B0609020204030204"/>
    <w:charset w:val="00"/>
    <w:family w:val="modern"/>
    <w:pitch w:val="default"/>
    <w:sig w:usb0="E00006FF" w:usb1="0000FCFF" w:usb2="00000001" w:usb3="00000000" w:csb0="6000019F" w:csb1="DFD70000"/>
  </w:font>
  <w:font w:name="经典行楷简">
    <w:panose1 w:val="02010609000101010101"/>
    <w:charset w:val="86"/>
    <w:family w:val="modern"/>
    <w:pitch w:val="default"/>
    <w:sig w:usb0="A1007AEF" w:usb1="F9DF7CFB" w:usb2="0000001E" w:usb3="00000000" w:csb0="20040000" w:csb1="00000000"/>
  </w:font>
  <w:font w:name="方正楷体_GBK">
    <w:panose1 w:val="03000509000000000000"/>
    <w:charset w:val="86"/>
    <w:family w:val="script"/>
    <w:pitch w:val="default"/>
    <w:sig w:usb0="00000001" w:usb1="080E0000" w:usb2="00000000" w:usb3="00000000" w:csb0="00040000" w:csb1="00000000"/>
  </w:font>
  <w:font w:name="方正黑体_GBK">
    <w:panose1 w:val="03000509000000000000"/>
    <w:charset w:val="86"/>
    <w:family w:val="script"/>
    <w:pitch w:val="default"/>
    <w:sig w:usb0="00000001" w:usb1="080E0000" w:usb2="00000000" w:usb3="00000000" w:csb0="00040000" w:csb1="00000000"/>
  </w:font>
  <w:font w:name="方正小标宋_GBK">
    <w:panose1 w:val="03000509000000000000"/>
    <w:charset w:val="86"/>
    <w:family w:val="script"/>
    <w:pitch w:val="default"/>
    <w:sig w:usb0="00000001" w:usb1="080E0000" w:usb2="00000000" w:usb3="00000000" w:csb0="00040000" w:csb1="00000000"/>
  </w:font>
  <w:font w:name="方正魏碑简体">
    <w:altName w:val="微软雅黑"/>
    <w:panose1 w:val="00000000000000000000"/>
    <w:charset w:val="86"/>
    <w:family w:val="auto"/>
    <w:pitch w:val="default"/>
    <w:sig w:usb0="00000000" w:usb1="0000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方正黑体简体">
    <w:panose1 w:val="03000509000000000000"/>
    <w:charset w:val="86"/>
    <w:family w:val="auto"/>
    <w:pitch w:val="default"/>
    <w:sig w:usb0="00000001" w:usb1="080E0000" w:usb2="00000000" w:usb3="00000000" w:csb0="00040000" w:csb1="00000000"/>
  </w:font>
  <w:font w:name="华文仿宋">
    <w:panose1 w:val="02010600040101010101"/>
    <w:charset w:val="86"/>
    <w:family w:val="auto"/>
    <w:pitch w:val="default"/>
    <w:sig w:usb0="00000287" w:usb1="080F0000" w:usb2="00000000" w:usb3="00000000" w:csb0="0004009F" w:csb1="DFD70000"/>
  </w:font>
  <w:font w:name="华文新魏">
    <w:panose1 w:val="02010800040101010101"/>
    <w:charset w:val="86"/>
    <w:family w:val="auto"/>
    <w:pitch w:val="default"/>
    <w:sig w:usb0="00000001" w:usb1="080F0000" w:usb2="00000000" w:usb3="00000000" w:csb0="00040000"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snapToGrid w:val="0"/>
      <w:jc w:val="center"/>
      <w:rPr>
        <w:rFonts w:ascii="Calibri" w:hAnsi="Calibri" w:eastAsia="宋体" w:cs="Times New Roman"/>
        <w:sz w:val="18"/>
        <w:szCs w:val="18"/>
      </w:rPr>
    </w:pPr>
    <w:r>
      <w:rPr>
        <w:sz w:val="18"/>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JvSDC8VAgAAEwQAAA4AAAAAAAAA&#10;AQAgAAAAHwEAAGRycy9lMm9Eb2MueG1sUEsFBgAAAAAGAAYAWQEAAKYFAAAAAA==&#10;">
              <v:fill on="f" focussize="0,0"/>
              <v:stroke on="f" weight="0.5pt"/>
              <v:imagedata o:title=""/>
              <o:lock v:ext="edit" aspectratio="f"/>
              <v:textbox inset="0mm,0mm,0mm,0mm" style="mso-fit-shape-to-text:t;">
                <w:txbxContent>
                  <w:p>
                    <w:pPr>
                      <w:pStyle w:val="4"/>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p>
    <w:pPr>
      <w:tabs>
        <w:tab w:val="center" w:pos="4153"/>
        <w:tab w:val="right" w:pos="8306"/>
      </w:tabs>
      <w:snapToGrid w:val="0"/>
      <w:jc w:val="left"/>
      <w:rPr>
        <w:rFonts w:ascii="Calibri" w:hAnsi="Calibri" w:eastAsia="宋体" w:cs="Times New Roman"/>
        <w:sz w:val="18"/>
        <w:szCs w:val="1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snapToGrid w:val="0"/>
      <w:jc w:val="center"/>
      <w:rPr>
        <w:rFonts w:ascii="Calibri" w:hAnsi="Calibri" w:eastAsia="宋体" w:cs="Times New Roman"/>
        <w:sz w:val="18"/>
        <w:szCs w:val="18"/>
      </w:rPr>
    </w:pPr>
    <w:r>
      <w:rPr>
        <w:rFonts w:ascii="Calibri" w:hAnsi="Calibri" w:eastAsia="宋体" w:cs="Times New Roman"/>
        <w:sz w:val="18"/>
        <w:szCs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-235585</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tabs>
                              <w:tab w:val="center" w:pos="4153"/>
                              <w:tab w:val="right" w:pos="8306"/>
                            </w:tabs>
                            <w:snapToGrid w:val="0"/>
                            <w:jc w:val="left"/>
                            <w:rPr>
                              <w:rFonts w:ascii="Calibri" w:hAnsi="Calibri" w:eastAsia="宋体" w:cs="Times New Roman"/>
                              <w:sz w:val="18"/>
                              <w:szCs w:val="18"/>
                              <w:highlight w:val="yellow"/>
                            </w:rPr>
                          </w:pPr>
                          <w:r>
                            <w:rPr>
                              <w:rFonts w:ascii="Times New Roman" w:hAnsi="Times New Roman" w:eastAsia="宋体" w:cs="Times New Roman"/>
                              <w:color w:val="F7CAAC" w:themeColor="accent2" w:themeTint="66"/>
                              <w:sz w:val="32"/>
                              <w:szCs w:val="32"/>
                              <w:highlight w:val="yellow"/>
                              <w14:reflection w14:blurRad="6350" w14:stA="53000" w14:stPos="0" w14:endA="300" w14:endPos="35500" w14:dist="0" w14:dir="5400000" w14:fadeDir="5400000" w14:sx="100000" w14:sy="-90000" w14:kx="0" w14:ky="0" w14:algn="bl"/>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14:props3d w14:extrusionH="0" w14:contourW="0" w14:prstMaterial="clear"/>
                            </w:rPr>
                            <w:t xml:space="preserve">— </w:t>
                          </w:r>
                          <w:r>
                            <w:rPr>
                              <w:rFonts w:ascii="Times New Roman" w:hAnsi="Times New Roman" w:eastAsia="宋体" w:cs="Times New Roman"/>
                              <w:outline/>
                              <w:color w:val="FFFFFF"/>
                              <w:sz w:val="32"/>
                              <w:szCs w:val="32"/>
                              <w:highlight w:val="yellow"/>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props3d w14:extrusionH="0" w14:contourW="0" w14:prstMaterial="clear"/>
                            </w:rPr>
                            <w:fldChar w:fldCharType="begin"/>
                          </w:r>
                          <w:r>
                            <w:rPr>
                              <w:rFonts w:ascii="Times New Roman" w:hAnsi="Times New Roman" w:eastAsia="宋体" w:cs="Times New Roman"/>
                              <w:outline/>
                              <w:color w:val="FFFFFF"/>
                              <w:sz w:val="32"/>
                              <w:szCs w:val="32"/>
                              <w:highlight w:val="yellow"/>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props3d w14:extrusionH="0" w14:contourW="0" w14:prstMaterial="clear"/>
                            </w:rPr>
                            <w:instrText xml:space="preserve"> PAGE  \* MERGEFORMAT </w:instrText>
                          </w:r>
                          <w:r>
                            <w:rPr>
                              <w:rFonts w:ascii="Times New Roman" w:hAnsi="Times New Roman" w:eastAsia="宋体" w:cs="Times New Roman"/>
                              <w:outline/>
                              <w:color w:val="FFFFFF"/>
                              <w:sz w:val="32"/>
                              <w:szCs w:val="32"/>
                              <w:highlight w:val="yellow"/>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props3d w14:extrusionH="0" w14:contourW="0" w14:prstMaterial="clear"/>
                            </w:rPr>
                            <w:fldChar w:fldCharType="separate"/>
                          </w:r>
                          <w:r>
                            <w:rPr>
                              <w:rFonts w:ascii="Times New Roman" w:hAnsi="Times New Roman" w:eastAsia="宋体" w:cs="Times New Roman"/>
                              <w:outline/>
                              <w:color w:val="FFFFFF"/>
                              <w:sz w:val="32"/>
                              <w:szCs w:val="32"/>
                              <w:highlight w:val="yellow"/>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props3d w14:extrusionH="0" w14:contourW="0" w14:prstMaterial="clear"/>
                            </w:rPr>
                            <w:t>9</w:t>
                          </w:r>
                          <w:r>
                            <w:rPr>
                              <w:rFonts w:ascii="Times New Roman" w:hAnsi="Times New Roman" w:eastAsia="宋体" w:cs="Times New Roman"/>
                              <w:outline/>
                              <w:color w:val="FFFFFF"/>
                              <w:sz w:val="32"/>
                              <w:szCs w:val="32"/>
                              <w:highlight w:val="yellow"/>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props3d w14:extrusionH="0" w14:contourW="0" w14:prstMaterial="clear"/>
                            </w:rPr>
                            <w:fldChar w:fldCharType="end"/>
                          </w:r>
                          <w:r>
                            <w:rPr>
                              <w:rFonts w:ascii="Times New Roman" w:hAnsi="Times New Roman" w:eastAsia="宋体" w:cs="Times New Roman"/>
                              <w:outline/>
                              <w:color w:val="FFFFFF"/>
                              <w:sz w:val="32"/>
                              <w:szCs w:val="32"/>
                              <w:highlight w:val="yellow"/>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props3d w14:extrusionH="0" w14:contourW="0" w14:prstMaterial="clear"/>
                            </w:rPr>
                            <w:t xml:space="preserve"> </w:t>
                          </w:r>
                          <w:r>
                            <w:rPr>
                              <w:rFonts w:ascii="Times New Roman" w:hAnsi="Times New Roman" w:eastAsia="宋体" w:cs="Times New Roman"/>
                              <w:color w:val="F7CAAC" w:themeColor="accent2" w:themeTint="66"/>
                              <w:sz w:val="32"/>
                              <w:szCs w:val="32"/>
                              <w:highlight w:val="yellow"/>
                              <w14:reflection w14:blurRad="6350" w14:stA="53000" w14:stPos="0" w14:endA="300" w14:endPos="35500" w14:dist="0" w14:dir="5400000" w14:fadeDir="5400000" w14:sx="100000" w14:sy="-90000" w14:kx="0" w14:ky="0" w14:algn="bl"/>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14:props3d w14:extrusionH="0" w14:contourW="0" w14:prstMaterial="clear"/>
                            </w:rPr>
                            <w:t>—</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18.55pt;height:144pt;width:144pt;mso-position-horizontal:outside;mso-position-horizontal-relative:margin;mso-wrap-style:none;z-index:251659264;mso-width-relative:page;mso-height-relative:page;" filled="f" stroked="f" coordsize="21600,21600" o:gfxdata="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Ao5I2HWAAAACAEAAA8AAAAA&#10;AAAAAQAgAAAAIgAAAGRycy9kb3ducmV2LnhtbFBLAQIUABQAAAAIAIdO4kAn2tj0FgIAABUEAAAO&#10;AAAAAAAAAAEAIAAAACUBAABkcnMvZTJvRG9jLnhtbFBLBQYAAAAABgAGAFkBAACtBQAAAAA=&#10;">
              <v:fill on="f" focussize="0,0"/>
              <v:stroke on="f" weight="0.5pt"/>
              <v:imagedata o:title=""/>
              <o:lock v:ext="edit" aspectratio="f"/>
              <v:textbox inset="0mm,0mm,0mm,0mm" style="mso-fit-shape-to-text:t;">
                <w:txbxContent>
                  <w:p>
                    <w:pPr>
                      <w:tabs>
                        <w:tab w:val="center" w:pos="4153"/>
                        <w:tab w:val="right" w:pos="8306"/>
                      </w:tabs>
                      <w:snapToGrid w:val="0"/>
                      <w:jc w:val="left"/>
                      <w:rPr>
                        <w:rFonts w:ascii="Calibri" w:hAnsi="Calibri" w:eastAsia="宋体" w:cs="Times New Roman"/>
                        <w:sz w:val="18"/>
                        <w:szCs w:val="18"/>
                        <w:highlight w:val="yellow"/>
                      </w:rPr>
                    </w:pPr>
                    <w:r>
                      <w:rPr>
                        <w:rFonts w:ascii="Times New Roman" w:hAnsi="Times New Roman" w:eastAsia="宋体" w:cs="Times New Roman"/>
                        <w:color w:val="F7CAAC" w:themeColor="accent2" w:themeTint="66"/>
                        <w:sz w:val="32"/>
                        <w:szCs w:val="32"/>
                        <w:highlight w:val="yellow"/>
                        <w14:reflection w14:blurRad="6350" w14:stA="53000" w14:stPos="0" w14:endA="300" w14:endPos="35500" w14:dist="0" w14:dir="5400000" w14:fadeDir="5400000" w14:sx="100000" w14:sy="-90000" w14:kx="0" w14:ky="0" w14:algn="bl"/>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14:props3d w14:extrusionH="0" w14:contourW="0" w14:prstMaterial="clear"/>
                      </w:rPr>
                      <w:t xml:space="preserve">— </w:t>
                    </w:r>
                    <w:r>
                      <w:rPr>
                        <w:rFonts w:ascii="Times New Roman" w:hAnsi="Times New Roman" w:eastAsia="宋体" w:cs="Times New Roman"/>
                        <w:outline/>
                        <w:color w:val="FFFFFF"/>
                        <w:sz w:val="32"/>
                        <w:szCs w:val="32"/>
                        <w:highlight w:val="yellow"/>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props3d w14:extrusionH="0" w14:contourW="0" w14:prstMaterial="clear"/>
                      </w:rPr>
                      <w:fldChar w:fldCharType="begin"/>
                    </w:r>
                    <w:r>
                      <w:rPr>
                        <w:rFonts w:ascii="Times New Roman" w:hAnsi="Times New Roman" w:eastAsia="宋体" w:cs="Times New Roman"/>
                        <w:outline/>
                        <w:color w:val="FFFFFF"/>
                        <w:sz w:val="32"/>
                        <w:szCs w:val="32"/>
                        <w:highlight w:val="yellow"/>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props3d w14:extrusionH="0" w14:contourW="0" w14:prstMaterial="clear"/>
                      </w:rPr>
                      <w:instrText xml:space="preserve"> PAGE  \* MERGEFORMAT </w:instrText>
                    </w:r>
                    <w:r>
                      <w:rPr>
                        <w:rFonts w:ascii="Times New Roman" w:hAnsi="Times New Roman" w:eastAsia="宋体" w:cs="Times New Roman"/>
                        <w:outline/>
                        <w:color w:val="FFFFFF"/>
                        <w:sz w:val="32"/>
                        <w:szCs w:val="32"/>
                        <w:highlight w:val="yellow"/>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props3d w14:extrusionH="0" w14:contourW="0" w14:prstMaterial="clear"/>
                      </w:rPr>
                      <w:fldChar w:fldCharType="separate"/>
                    </w:r>
                    <w:r>
                      <w:rPr>
                        <w:rFonts w:ascii="Times New Roman" w:hAnsi="Times New Roman" w:eastAsia="宋体" w:cs="Times New Roman"/>
                        <w:outline/>
                        <w:color w:val="FFFFFF"/>
                        <w:sz w:val="32"/>
                        <w:szCs w:val="32"/>
                        <w:highlight w:val="yellow"/>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props3d w14:extrusionH="0" w14:contourW="0" w14:prstMaterial="clear"/>
                      </w:rPr>
                      <w:t>9</w:t>
                    </w:r>
                    <w:r>
                      <w:rPr>
                        <w:rFonts w:ascii="Times New Roman" w:hAnsi="Times New Roman" w:eastAsia="宋体" w:cs="Times New Roman"/>
                        <w:outline/>
                        <w:color w:val="FFFFFF"/>
                        <w:sz w:val="32"/>
                        <w:szCs w:val="32"/>
                        <w:highlight w:val="yellow"/>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props3d w14:extrusionH="0" w14:contourW="0" w14:prstMaterial="clear"/>
                      </w:rPr>
                      <w:fldChar w:fldCharType="end"/>
                    </w:r>
                    <w:r>
                      <w:rPr>
                        <w:rFonts w:ascii="Times New Roman" w:hAnsi="Times New Roman" w:eastAsia="宋体" w:cs="Times New Roman"/>
                        <w:outline/>
                        <w:color w:val="FFFFFF"/>
                        <w:sz w:val="32"/>
                        <w:szCs w:val="32"/>
                        <w:highlight w:val="yellow"/>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props3d w14:extrusionH="0" w14:contourW="0" w14:prstMaterial="clear"/>
                      </w:rPr>
                      <w:t xml:space="preserve"> </w:t>
                    </w:r>
                    <w:r>
                      <w:rPr>
                        <w:rFonts w:ascii="Times New Roman" w:hAnsi="Times New Roman" w:eastAsia="宋体" w:cs="Times New Roman"/>
                        <w:color w:val="F7CAAC" w:themeColor="accent2" w:themeTint="66"/>
                        <w:sz w:val="32"/>
                        <w:szCs w:val="32"/>
                        <w:highlight w:val="yellow"/>
                        <w14:reflection w14:blurRad="6350" w14:stA="53000" w14:stPos="0" w14:endA="300" w14:endPos="35500" w14:dist="0" w14:dir="5400000" w14:fadeDir="5400000" w14:sx="100000" w14:sy="-90000" w14:kx="0" w14:ky="0" w14:algn="bl"/>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14:props3d w14:extrusionH="0" w14:contourW="0" w14:prstMaterial="clear"/>
                      </w:rPr>
                      <w:t>—</w:t>
                    </w:r>
                  </w:p>
                </w:txbxContent>
              </v:textbox>
            </v:shape>
          </w:pict>
        </mc:Fallback>
      </mc:AlternateContent>
    </w:r>
  </w:p>
  <w:p>
    <w:pPr>
      <w:tabs>
        <w:tab w:val="center" w:pos="4153"/>
        <w:tab w:val="right" w:pos="8306"/>
      </w:tabs>
      <w:snapToGrid w:val="0"/>
      <w:jc w:val="left"/>
      <w:rPr>
        <w:rFonts w:ascii="Calibri" w:hAnsi="Calibri" w:eastAsia="宋体" w:cs="Times New Roman"/>
        <w:sz w:val="18"/>
        <w:szCs w:val="18"/>
      </w:rPr>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embedSystemFonts/>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gyY2JjZjUwZjliZTZiOTlhN2YyNWNiNDhlZDgzZjgifQ=="/>
  </w:docVars>
  <w:rsids>
    <w:rsidRoot w:val="09CD0E22"/>
    <w:rsid w:val="00030C0E"/>
    <w:rsid w:val="00043245"/>
    <w:rsid w:val="0007364F"/>
    <w:rsid w:val="000800B0"/>
    <w:rsid w:val="0008234C"/>
    <w:rsid w:val="00093D01"/>
    <w:rsid w:val="00097083"/>
    <w:rsid w:val="000C6CC2"/>
    <w:rsid w:val="001156B9"/>
    <w:rsid w:val="00145330"/>
    <w:rsid w:val="00154806"/>
    <w:rsid w:val="001F2C95"/>
    <w:rsid w:val="00215B64"/>
    <w:rsid w:val="002840B7"/>
    <w:rsid w:val="003208B4"/>
    <w:rsid w:val="003671B0"/>
    <w:rsid w:val="003C691D"/>
    <w:rsid w:val="003F32D7"/>
    <w:rsid w:val="0042623F"/>
    <w:rsid w:val="0043286B"/>
    <w:rsid w:val="00467C46"/>
    <w:rsid w:val="005279A4"/>
    <w:rsid w:val="005A092B"/>
    <w:rsid w:val="006B63D3"/>
    <w:rsid w:val="006C0C2E"/>
    <w:rsid w:val="00701AA7"/>
    <w:rsid w:val="00723B7D"/>
    <w:rsid w:val="007C2A82"/>
    <w:rsid w:val="007E11E9"/>
    <w:rsid w:val="008B2F92"/>
    <w:rsid w:val="008E3499"/>
    <w:rsid w:val="008F79A9"/>
    <w:rsid w:val="00906A61"/>
    <w:rsid w:val="00962249"/>
    <w:rsid w:val="00A0554E"/>
    <w:rsid w:val="00A55B3B"/>
    <w:rsid w:val="00B35803"/>
    <w:rsid w:val="00B45E3E"/>
    <w:rsid w:val="00B528B9"/>
    <w:rsid w:val="00C16462"/>
    <w:rsid w:val="00C66488"/>
    <w:rsid w:val="00CA656E"/>
    <w:rsid w:val="00CE04E4"/>
    <w:rsid w:val="00D0085C"/>
    <w:rsid w:val="00D9651F"/>
    <w:rsid w:val="00DB54B3"/>
    <w:rsid w:val="00DF053C"/>
    <w:rsid w:val="00E278B0"/>
    <w:rsid w:val="00E76B4E"/>
    <w:rsid w:val="00F12AEC"/>
    <w:rsid w:val="00F57182"/>
    <w:rsid w:val="00FC3867"/>
    <w:rsid w:val="00FD2FBC"/>
    <w:rsid w:val="010007F1"/>
    <w:rsid w:val="01123C24"/>
    <w:rsid w:val="01281FA6"/>
    <w:rsid w:val="0129652A"/>
    <w:rsid w:val="012C4A94"/>
    <w:rsid w:val="0134238F"/>
    <w:rsid w:val="01434062"/>
    <w:rsid w:val="014F3F68"/>
    <w:rsid w:val="015A28DE"/>
    <w:rsid w:val="015E7057"/>
    <w:rsid w:val="01603797"/>
    <w:rsid w:val="01607B5B"/>
    <w:rsid w:val="01614C4F"/>
    <w:rsid w:val="016607CF"/>
    <w:rsid w:val="01687C29"/>
    <w:rsid w:val="016C6133"/>
    <w:rsid w:val="016D0719"/>
    <w:rsid w:val="01730647"/>
    <w:rsid w:val="017F7312"/>
    <w:rsid w:val="0183354F"/>
    <w:rsid w:val="018A4341"/>
    <w:rsid w:val="018D1ED5"/>
    <w:rsid w:val="018E0532"/>
    <w:rsid w:val="01944C0D"/>
    <w:rsid w:val="019652A2"/>
    <w:rsid w:val="019A0A9C"/>
    <w:rsid w:val="019E5AF8"/>
    <w:rsid w:val="01A05888"/>
    <w:rsid w:val="01A2463C"/>
    <w:rsid w:val="01A277CA"/>
    <w:rsid w:val="01A536F0"/>
    <w:rsid w:val="01AB72AD"/>
    <w:rsid w:val="01AD0FC0"/>
    <w:rsid w:val="01AF0E83"/>
    <w:rsid w:val="01B746D8"/>
    <w:rsid w:val="01B74B80"/>
    <w:rsid w:val="01B76B70"/>
    <w:rsid w:val="01BC47E4"/>
    <w:rsid w:val="01BD0D3F"/>
    <w:rsid w:val="01C277DB"/>
    <w:rsid w:val="01CB201F"/>
    <w:rsid w:val="01D01DDD"/>
    <w:rsid w:val="01D83F23"/>
    <w:rsid w:val="01DA121B"/>
    <w:rsid w:val="01E02E8A"/>
    <w:rsid w:val="01EB6FF4"/>
    <w:rsid w:val="01EC6C1A"/>
    <w:rsid w:val="01F43D5D"/>
    <w:rsid w:val="01F53962"/>
    <w:rsid w:val="01F739C6"/>
    <w:rsid w:val="01FE284A"/>
    <w:rsid w:val="0202118C"/>
    <w:rsid w:val="020C0504"/>
    <w:rsid w:val="020F3F82"/>
    <w:rsid w:val="021337A8"/>
    <w:rsid w:val="02154F00"/>
    <w:rsid w:val="02200558"/>
    <w:rsid w:val="022C2DDE"/>
    <w:rsid w:val="024125AD"/>
    <w:rsid w:val="02424F98"/>
    <w:rsid w:val="02451830"/>
    <w:rsid w:val="024B4F65"/>
    <w:rsid w:val="02522774"/>
    <w:rsid w:val="02716397"/>
    <w:rsid w:val="02734BBB"/>
    <w:rsid w:val="027B1EF4"/>
    <w:rsid w:val="027D39C5"/>
    <w:rsid w:val="02842B55"/>
    <w:rsid w:val="02850B1B"/>
    <w:rsid w:val="028E239B"/>
    <w:rsid w:val="028E669E"/>
    <w:rsid w:val="02945151"/>
    <w:rsid w:val="02994D24"/>
    <w:rsid w:val="02AA4579"/>
    <w:rsid w:val="02B452E0"/>
    <w:rsid w:val="02B7449E"/>
    <w:rsid w:val="02B93913"/>
    <w:rsid w:val="02C7326C"/>
    <w:rsid w:val="02CA2014"/>
    <w:rsid w:val="02CE36F0"/>
    <w:rsid w:val="02D253BA"/>
    <w:rsid w:val="02D664A5"/>
    <w:rsid w:val="02D70120"/>
    <w:rsid w:val="02E746B3"/>
    <w:rsid w:val="02F03F7A"/>
    <w:rsid w:val="02F04987"/>
    <w:rsid w:val="02F3072B"/>
    <w:rsid w:val="02F4686A"/>
    <w:rsid w:val="02F50E1A"/>
    <w:rsid w:val="02FC365E"/>
    <w:rsid w:val="03032EA1"/>
    <w:rsid w:val="03055083"/>
    <w:rsid w:val="030A33B2"/>
    <w:rsid w:val="0312457C"/>
    <w:rsid w:val="03173E54"/>
    <w:rsid w:val="03276EB0"/>
    <w:rsid w:val="03320DD5"/>
    <w:rsid w:val="03367B19"/>
    <w:rsid w:val="033F3094"/>
    <w:rsid w:val="033F5E23"/>
    <w:rsid w:val="0341739D"/>
    <w:rsid w:val="034A5312"/>
    <w:rsid w:val="035906B9"/>
    <w:rsid w:val="035A07AB"/>
    <w:rsid w:val="035F7880"/>
    <w:rsid w:val="036572E0"/>
    <w:rsid w:val="036773BE"/>
    <w:rsid w:val="036B41D2"/>
    <w:rsid w:val="03745931"/>
    <w:rsid w:val="0375270B"/>
    <w:rsid w:val="0376026A"/>
    <w:rsid w:val="03763E10"/>
    <w:rsid w:val="03795E56"/>
    <w:rsid w:val="038F00BD"/>
    <w:rsid w:val="038F07EB"/>
    <w:rsid w:val="039F6B79"/>
    <w:rsid w:val="03A054FE"/>
    <w:rsid w:val="03A634A2"/>
    <w:rsid w:val="03A710E3"/>
    <w:rsid w:val="03B75E22"/>
    <w:rsid w:val="03B93704"/>
    <w:rsid w:val="03C7124D"/>
    <w:rsid w:val="03C956D7"/>
    <w:rsid w:val="03CD065E"/>
    <w:rsid w:val="03CD0F50"/>
    <w:rsid w:val="03D96519"/>
    <w:rsid w:val="03DC76EB"/>
    <w:rsid w:val="03DD4156"/>
    <w:rsid w:val="03DF3AAC"/>
    <w:rsid w:val="03DF7C94"/>
    <w:rsid w:val="03E4053E"/>
    <w:rsid w:val="03EE2D2D"/>
    <w:rsid w:val="03EE5120"/>
    <w:rsid w:val="03F95EAB"/>
    <w:rsid w:val="03FA4378"/>
    <w:rsid w:val="040D5A59"/>
    <w:rsid w:val="040E59E0"/>
    <w:rsid w:val="04177E90"/>
    <w:rsid w:val="041B3B0D"/>
    <w:rsid w:val="041F33A4"/>
    <w:rsid w:val="04227E09"/>
    <w:rsid w:val="04256881"/>
    <w:rsid w:val="042C1175"/>
    <w:rsid w:val="042E72BA"/>
    <w:rsid w:val="04361A54"/>
    <w:rsid w:val="043837D8"/>
    <w:rsid w:val="043F0FCC"/>
    <w:rsid w:val="04542514"/>
    <w:rsid w:val="0458216E"/>
    <w:rsid w:val="04633D2A"/>
    <w:rsid w:val="046441B2"/>
    <w:rsid w:val="0470619B"/>
    <w:rsid w:val="047264E0"/>
    <w:rsid w:val="047929EC"/>
    <w:rsid w:val="047931E4"/>
    <w:rsid w:val="047B754C"/>
    <w:rsid w:val="047C330E"/>
    <w:rsid w:val="04802BB2"/>
    <w:rsid w:val="048112FB"/>
    <w:rsid w:val="048A77DB"/>
    <w:rsid w:val="048B08F7"/>
    <w:rsid w:val="04997356"/>
    <w:rsid w:val="04B3013F"/>
    <w:rsid w:val="04BA605B"/>
    <w:rsid w:val="04BB6582"/>
    <w:rsid w:val="04BF51D4"/>
    <w:rsid w:val="04BF6C79"/>
    <w:rsid w:val="04C30370"/>
    <w:rsid w:val="04C369FD"/>
    <w:rsid w:val="04C87276"/>
    <w:rsid w:val="04CE7B7F"/>
    <w:rsid w:val="04D13EAB"/>
    <w:rsid w:val="04D81CE8"/>
    <w:rsid w:val="04E16ACF"/>
    <w:rsid w:val="04E92750"/>
    <w:rsid w:val="04ED1D07"/>
    <w:rsid w:val="04F33CBA"/>
    <w:rsid w:val="04FB0B72"/>
    <w:rsid w:val="05006805"/>
    <w:rsid w:val="05017788"/>
    <w:rsid w:val="051142A3"/>
    <w:rsid w:val="05150D13"/>
    <w:rsid w:val="052054D4"/>
    <w:rsid w:val="052C7639"/>
    <w:rsid w:val="054A7C8A"/>
    <w:rsid w:val="055D26AF"/>
    <w:rsid w:val="056534E0"/>
    <w:rsid w:val="056834A8"/>
    <w:rsid w:val="05684832"/>
    <w:rsid w:val="056C0F36"/>
    <w:rsid w:val="056E79C6"/>
    <w:rsid w:val="057A799E"/>
    <w:rsid w:val="058647BE"/>
    <w:rsid w:val="05880374"/>
    <w:rsid w:val="05881910"/>
    <w:rsid w:val="05913966"/>
    <w:rsid w:val="059F17BF"/>
    <w:rsid w:val="05A259F9"/>
    <w:rsid w:val="05A72CCC"/>
    <w:rsid w:val="05A73DC5"/>
    <w:rsid w:val="05B336D5"/>
    <w:rsid w:val="05CC2A3B"/>
    <w:rsid w:val="05CD0D9A"/>
    <w:rsid w:val="05CF249D"/>
    <w:rsid w:val="05D14319"/>
    <w:rsid w:val="05D714EA"/>
    <w:rsid w:val="05E536E6"/>
    <w:rsid w:val="05EA1C44"/>
    <w:rsid w:val="05F2445C"/>
    <w:rsid w:val="06077942"/>
    <w:rsid w:val="060A0D89"/>
    <w:rsid w:val="060C359D"/>
    <w:rsid w:val="060F3722"/>
    <w:rsid w:val="062B0B83"/>
    <w:rsid w:val="062C6587"/>
    <w:rsid w:val="062D67C8"/>
    <w:rsid w:val="06301A1B"/>
    <w:rsid w:val="0633380C"/>
    <w:rsid w:val="0638362B"/>
    <w:rsid w:val="063E600A"/>
    <w:rsid w:val="06405659"/>
    <w:rsid w:val="064F5725"/>
    <w:rsid w:val="06510CDF"/>
    <w:rsid w:val="065C27A8"/>
    <w:rsid w:val="065F50DA"/>
    <w:rsid w:val="06602F2C"/>
    <w:rsid w:val="06626021"/>
    <w:rsid w:val="066D2CED"/>
    <w:rsid w:val="066E2C0B"/>
    <w:rsid w:val="06700010"/>
    <w:rsid w:val="06734EB6"/>
    <w:rsid w:val="067C24CF"/>
    <w:rsid w:val="068A1FDD"/>
    <w:rsid w:val="069002BE"/>
    <w:rsid w:val="06906B8C"/>
    <w:rsid w:val="069725BC"/>
    <w:rsid w:val="069A3A7C"/>
    <w:rsid w:val="06A24D7D"/>
    <w:rsid w:val="06A729E1"/>
    <w:rsid w:val="06AB1C7E"/>
    <w:rsid w:val="06AC05E7"/>
    <w:rsid w:val="06AF1D16"/>
    <w:rsid w:val="06AF3414"/>
    <w:rsid w:val="06B15237"/>
    <w:rsid w:val="06B3436D"/>
    <w:rsid w:val="06BA5EB2"/>
    <w:rsid w:val="06D17DB1"/>
    <w:rsid w:val="06E444B8"/>
    <w:rsid w:val="06FA3D0F"/>
    <w:rsid w:val="070615F0"/>
    <w:rsid w:val="07085235"/>
    <w:rsid w:val="07146D7A"/>
    <w:rsid w:val="071A4300"/>
    <w:rsid w:val="0724090E"/>
    <w:rsid w:val="072C5901"/>
    <w:rsid w:val="072D6955"/>
    <w:rsid w:val="07355298"/>
    <w:rsid w:val="073633AE"/>
    <w:rsid w:val="0738618B"/>
    <w:rsid w:val="074E1705"/>
    <w:rsid w:val="074E279C"/>
    <w:rsid w:val="075268B6"/>
    <w:rsid w:val="075C0378"/>
    <w:rsid w:val="075C613A"/>
    <w:rsid w:val="07616A73"/>
    <w:rsid w:val="0768627D"/>
    <w:rsid w:val="07774E9B"/>
    <w:rsid w:val="07886D75"/>
    <w:rsid w:val="079322FB"/>
    <w:rsid w:val="079A77BC"/>
    <w:rsid w:val="079D6C92"/>
    <w:rsid w:val="079E20C5"/>
    <w:rsid w:val="07A757F6"/>
    <w:rsid w:val="07A92FCD"/>
    <w:rsid w:val="07AB5A16"/>
    <w:rsid w:val="07C32EAB"/>
    <w:rsid w:val="07CE7516"/>
    <w:rsid w:val="07DA5629"/>
    <w:rsid w:val="07DE3B60"/>
    <w:rsid w:val="07E54B9E"/>
    <w:rsid w:val="08010DA7"/>
    <w:rsid w:val="08033960"/>
    <w:rsid w:val="08036191"/>
    <w:rsid w:val="080F3123"/>
    <w:rsid w:val="08220E8F"/>
    <w:rsid w:val="08242F28"/>
    <w:rsid w:val="08252E6C"/>
    <w:rsid w:val="08275EA4"/>
    <w:rsid w:val="08294CB5"/>
    <w:rsid w:val="083036B5"/>
    <w:rsid w:val="08310F19"/>
    <w:rsid w:val="08331FC1"/>
    <w:rsid w:val="08342652"/>
    <w:rsid w:val="083611A9"/>
    <w:rsid w:val="083901EB"/>
    <w:rsid w:val="08394081"/>
    <w:rsid w:val="083943C5"/>
    <w:rsid w:val="08395DAB"/>
    <w:rsid w:val="08404FD2"/>
    <w:rsid w:val="084A2513"/>
    <w:rsid w:val="08515651"/>
    <w:rsid w:val="08587D37"/>
    <w:rsid w:val="085D6EF2"/>
    <w:rsid w:val="085F59AE"/>
    <w:rsid w:val="086303CB"/>
    <w:rsid w:val="08674312"/>
    <w:rsid w:val="0875786E"/>
    <w:rsid w:val="0881684A"/>
    <w:rsid w:val="08927463"/>
    <w:rsid w:val="08991A5A"/>
    <w:rsid w:val="089C49FA"/>
    <w:rsid w:val="08AF073A"/>
    <w:rsid w:val="08BD5FE1"/>
    <w:rsid w:val="08BE7798"/>
    <w:rsid w:val="08C333B4"/>
    <w:rsid w:val="08C46A4F"/>
    <w:rsid w:val="08C654F8"/>
    <w:rsid w:val="08CA79C7"/>
    <w:rsid w:val="08D54B6A"/>
    <w:rsid w:val="08D73E78"/>
    <w:rsid w:val="08DB6139"/>
    <w:rsid w:val="08DD4FAE"/>
    <w:rsid w:val="08DE001E"/>
    <w:rsid w:val="08DE502C"/>
    <w:rsid w:val="08DE7E03"/>
    <w:rsid w:val="08ED6D3B"/>
    <w:rsid w:val="08FB16E4"/>
    <w:rsid w:val="08FB2C3C"/>
    <w:rsid w:val="08FE2EDE"/>
    <w:rsid w:val="08FE5206"/>
    <w:rsid w:val="09140F8D"/>
    <w:rsid w:val="09155095"/>
    <w:rsid w:val="091D10D0"/>
    <w:rsid w:val="09210482"/>
    <w:rsid w:val="092105FC"/>
    <w:rsid w:val="09222AB2"/>
    <w:rsid w:val="09266115"/>
    <w:rsid w:val="093303B8"/>
    <w:rsid w:val="09446DB4"/>
    <w:rsid w:val="094811BB"/>
    <w:rsid w:val="094C7F56"/>
    <w:rsid w:val="094F18C1"/>
    <w:rsid w:val="0954257E"/>
    <w:rsid w:val="09583F76"/>
    <w:rsid w:val="095929D4"/>
    <w:rsid w:val="095A003F"/>
    <w:rsid w:val="095B02C8"/>
    <w:rsid w:val="09606CDC"/>
    <w:rsid w:val="09631FC1"/>
    <w:rsid w:val="09651D94"/>
    <w:rsid w:val="098A1F77"/>
    <w:rsid w:val="099872CF"/>
    <w:rsid w:val="09991A94"/>
    <w:rsid w:val="09A137B2"/>
    <w:rsid w:val="09A2636C"/>
    <w:rsid w:val="09A44BA0"/>
    <w:rsid w:val="09A46A03"/>
    <w:rsid w:val="09AA495F"/>
    <w:rsid w:val="09AC53C9"/>
    <w:rsid w:val="09B630C3"/>
    <w:rsid w:val="09BD4BE0"/>
    <w:rsid w:val="09C222A5"/>
    <w:rsid w:val="09C27E4D"/>
    <w:rsid w:val="09C57877"/>
    <w:rsid w:val="09C81C8D"/>
    <w:rsid w:val="09CB6B07"/>
    <w:rsid w:val="09CC1439"/>
    <w:rsid w:val="09CD0E22"/>
    <w:rsid w:val="09CD713D"/>
    <w:rsid w:val="09FA2B3C"/>
    <w:rsid w:val="09FA772F"/>
    <w:rsid w:val="09FB6D64"/>
    <w:rsid w:val="0A030CE9"/>
    <w:rsid w:val="0A0D0EE1"/>
    <w:rsid w:val="0A253B9A"/>
    <w:rsid w:val="0A33530F"/>
    <w:rsid w:val="0A346C5C"/>
    <w:rsid w:val="0A461CA1"/>
    <w:rsid w:val="0A4707FD"/>
    <w:rsid w:val="0A486965"/>
    <w:rsid w:val="0A4B2E8D"/>
    <w:rsid w:val="0A5317DF"/>
    <w:rsid w:val="0A534D83"/>
    <w:rsid w:val="0A564C39"/>
    <w:rsid w:val="0A5B0F4C"/>
    <w:rsid w:val="0A61640A"/>
    <w:rsid w:val="0A6536D8"/>
    <w:rsid w:val="0A6A580E"/>
    <w:rsid w:val="0A6B730C"/>
    <w:rsid w:val="0A7611EF"/>
    <w:rsid w:val="0A765DBA"/>
    <w:rsid w:val="0A7A1EF7"/>
    <w:rsid w:val="0A937773"/>
    <w:rsid w:val="0A987047"/>
    <w:rsid w:val="0AA05D85"/>
    <w:rsid w:val="0AAD109D"/>
    <w:rsid w:val="0ABB417A"/>
    <w:rsid w:val="0ABE47A4"/>
    <w:rsid w:val="0ACC2910"/>
    <w:rsid w:val="0ACC3151"/>
    <w:rsid w:val="0AD014F5"/>
    <w:rsid w:val="0AD16821"/>
    <w:rsid w:val="0AD45A3C"/>
    <w:rsid w:val="0AD60B60"/>
    <w:rsid w:val="0ADC78D2"/>
    <w:rsid w:val="0ADF4793"/>
    <w:rsid w:val="0AE11813"/>
    <w:rsid w:val="0AE3323E"/>
    <w:rsid w:val="0AEB11A6"/>
    <w:rsid w:val="0AEC3E44"/>
    <w:rsid w:val="0AEE609E"/>
    <w:rsid w:val="0AEF478A"/>
    <w:rsid w:val="0AF51E84"/>
    <w:rsid w:val="0B041299"/>
    <w:rsid w:val="0B062542"/>
    <w:rsid w:val="0B0B2FEB"/>
    <w:rsid w:val="0B0E47F4"/>
    <w:rsid w:val="0B1C17AD"/>
    <w:rsid w:val="0B283787"/>
    <w:rsid w:val="0B2D6F6E"/>
    <w:rsid w:val="0B324CD2"/>
    <w:rsid w:val="0B345DB1"/>
    <w:rsid w:val="0B363DD8"/>
    <w:rsid w:val="0B3A4657"/>
    <w:rsid w:val="0B3C5BB9"/>
    <w:rsid w:val="0B4372E2"/>
    <w:rsid w:val="0B5A2079"/>
    <w:rsid w:val="0B5B5996"/>
    <w:rsid w:val="0B5C3E34"/>
    <w:rsid w:val="0B6075D7"/>
    <w:rsid w:val="0B627AD4"/>
    <w:rsid w:val="0B6A0BB3"/>
    <w:rsid w:val="0B735FF2"/>
    <w:rsid w:val="0B792EB2"/>
    <w:rsid w:val="0B8035EB"/>
    <w:rsid w:val="0B84164E"/>
    <w:rsid w:val="0B89731E"/>
    <w:rsid w:val="0B904412"/>
    <w:rsid w:val="0B90485D"/>
    <w:rsid w:val="0B913EDA"/>
    <w:rsid w:val="0B9C76A8"/>
    <w:rsid w:val="0B9D60D2"/>
    <w:rsid w:val="0BA50775"/>
    <w:rsid w:val="0BA749E5"/>
    <w:rsid w:val="0BAC24A8"/>
    <w:rsid w:val="0BAE1323"/>
    <w:rsid w:val="0BB4128F"/>
    <w:rsid w:val="0BB42E0A"/>
    <w:rsid w:val="0BBA3391"/>
    <w:rsid w:val="0BDC3258"/>
    <w:rsid w:val="0BDE12A0"/>
    <w:rsid w:val="0BDE3581"/>
    <w:rsid w:val="0BE52963"/>
    <w:rsid w:val="0BE85349"/>
    <w:rsid w:val="0BF57A28"/>
    <w:rsid w:val="0BF845E9"/>
    <w:rsid w:val="0BFA1A53"/>
    <w:rsid w:val="0C074F06"/>
    <w:rsid w:val="0C0B1E5B"/>
    <w:rsid w:val="0C146F99"/>
    <w:rsid w:val="0C1A584B"/>
    <w:rsid w:val="0C2275D5"/>
    <w:rsid w:val="0C2D70F9"/>
    <w:rsid w:val="0C342312"/>
    <w:rsid w:val="0C3D1CBA"/>
    <w:rsid w:val="0C456335"/>
    <w:rsid w:val="0C53740C"/>
    <w:rsid w:val="0C563E70"/>
    <w:rsid w:val="0C631545"/>
    <w:rsid w:val="0C641DDB"/>
    <w:rsid w:val="0C6E187C"/>
    <w:rsid w:val="0C7D4D8F"/>
    <w:rsid w:val="0C80052F"/>
    <w:rsid w:val="0C8C06D3"/>
    <w:rsid w:val="0C900DC2"/>
    <w:rsid w:val="0C980884"/>
    <w:rsid w:val="0C9961AF"/>
    <w:rsid w:val="0C9A50FF"/>
    <w:rsid w:val="0C9B3EE0"/>
    <w:rsid w:val="0C9C2E80"/>
    <w:rsid w:val="0CA20B1F"/>
    <w:rsid w:val="0CA44E41"/>
    <w:rsid w:val="0CA77405"/>
    <w:rsid w:val="0CA83489"/>
    <w:rsid w:val="0CA96FA5"/>
    <w:rsid w:val="0CAE5B1B"/>
    <w:rsid w:val="0CB224D8"/>
    <w:rsid w:val="0CB31FF7"/>
    <w:rsid w:val="0CB45BFD"/>
    <w:rsid w:val="0CB75099"/>
    <w:rsid w:val="0CB80D6E"/>
    <w:rsid w:val="0CBF360E"/>
    <w:rsid w:val="0CC10497"/>
    <w:rsid w:val="0CC30BC5"/>
    <w:rsid w:val="0CC42150"/>
    <w:rsid w:val="0CC45545"/>
    <w:rsid w:val="0CC71781"/>
    <w:rsid w:val="0CCB0FDF"/>
    <w:rsid w:val="0CCF7454"/>
    <w:rsid w:val="0CDC1817"/>
    <w:rsid w:val="0CDC515C"/>
    <w:rsid w:val="0D0B2A13"/>
    <w:rsid w:val="0D112021"/>
    <w:rsid w:val="0D12133D"/>
    <w:rsid w:val="0D1F7151"/>
    <w:rsid w:val="0D200D54"/>
    <w:rsid w:val="0D2B7DB2"/>
    <w:rsid w:val="0D3152D9"/>
    <w:rsid w:val="0D384916"/>
    <w:rsid w:val="0D427E08"/>
    <w:rsid w:val="0D444358"/>
    <w:rsid w:val="0D4A1977"/>
    <w:rsid w:val="0D4B602E"/>
    <w:rsid w:val="0D511FCD"/>
    <w:rsid w:val="0D52698E"/>
    <w:rsid w:val="0D583C5F"/>
    <w:rsid w:val="0D5D658F"/>
    <w:rsid w:val="0D6029A5"/>
    <w:rsid w:val="0D6063D4"/>
    <w:rsid w:val="0D665CD7"/>
    <w:rsid w:val="0D667E20"/>
    <w:rsid w:val="0D6B6C90"/>
    <w:rsid w:val="0D7170F8"/>
    <w:rsid w:val="0D922931"/>
    <w:rsid w:val="0D95263C"/>
    <w:rsid w:val="0DA81B9F"/>
    <w:rsid w:val="0DAD79F2"/>
    <w:rsid w:val="0DB47CEC"/>
    <w:rsid w:val="0DBB3CA5"/>
    <w:rsid w:val="0DBB4EDD"/>
    <w:rsid w:val="0DC37BF2"/>
    <w:rsid w:val="0DC436B0"/>
    <w:rsid w:val="0DC9693F"/>
    <w:rsid w:val="0DCC1715"/>
    <w:rsid w:val="0DD82C48"/>
    <w:rsid w:val="0DDB6385"/>
    <w:rsid w:val="0DF024FC"/>
    <w:rsid w:val="0DF0632D"/>
    <w:rsid w:val="0DF475E0"/>
    <w:rsid w:val="0E0E09E4"/>
    <w:rsid w:val="0E0E0AE3"/>
    <w:rsid w:val="0E184477"/>
    <w:rsid w:val="0E1A4501"/>
    <w:rsid w:val="0E1A78B5"/>
    <w:rsid w:val="0E21196E"/>
    <w:rsid w:val="0E227E98"/>
    <w:rsid w:val="0E27140B"/>
    <w:rsid w:val="0E2D4D70"/>
    <w:rsid w:val="0E3B2663"/>
    <w:rsid w:val="0E443DBA"/>
    <w:rsid w:val="0E465F52"/>
    <w:rsid w:val="0E576A70"/>
    <w:rsid w:val="0E587DB8"/>
    <w:rsid w:val="0E6B437E"/>
    <w:rsid w:val="0E6B6A22"/>
    <w:rsid w:val="0E6F53AB"/>
    <w:rsid w:val="0E701F1A"/>
    <w:rsid w:val="0E793535"/>
    <w:rsid w:val="0E795DEE"/>
    <w:rsid w:val="0E7B3260"/>
    <w:rsid w:val="0E804638"/>
    <w:rsid w:val="0E854758"/>
    <w:rsid w:val="0EA50BFC"/>
    <w:rsid w:val="0EAB0282"/>
    <w:rsid w:val="0EC370FE"/>
    <w:rsid w:val="0EC4408A"/>
    <w:rsid w:val="0ECD6BD5"/>
    <w:rsid w:val="0EDA3DE0"/>
    <w:rsid w:val="0EE241B0"/>
    <w:rsid w:val="0EE470B9"/>
    <w:rsid w:val="0EE51F3F"/>
    <w:rsid w:val="0EE67C37"/>
    <w:rsid w:val="0EE96C61"/>
    <w:rsid w:val="0EEF6278"/>
    <w:rsid w:val="0F070719"/>
    <w:rsid w:val="0F0E340F"/>
    <w:rsid w:val="0F110F65"/>
    <w:rsid w:val="0F126FC2"/>
    <w:rsid w:val="0F1821BC"/>
    <w:rsid w:val="0F1F71AB"/>
    <w:rsid w:val="0F206FE9"/>
    <w:rsid w:val="0F246E43"/>
    <w:rsid w:val="0F2F2F21"/>
    <w:rsid w:val="0F303168"/>
    <w:rsid w:val="0F3346BD"/>
    <w:rsid w:val="0F356B4F"/>
    <w:rsid w:val="0F3E6D6B"/>
    <w:rsid w:val="0F4107FE"/>
    <w:rsid w:val="0F4E515E"/>
    <w:rsid w:val="0F521390"/>
    <w:rsid w:val="0F551890"/>
    <w:rsid w:val="0F59119B"/>
    <w:rsid w:val="0F5A4BDF"/>
    <w:rsid w:val="0F5B58BB"/>
    <w:rsid w:val="0F6735DF"/>
    <w:rsid w:val="0F6A4B85"/>
    <w:rsid w:val="0F716691"/>
    <w:rsid w:val="0F735DB2"/>
    <w:rsid w:val="0F7840D6"/>
    <w:rsid w:val="0F7B2D75"/>
    <w:rsid w:val="0F873A0E"/>
    <w:rsid w:val="0F883C70"/>
    <w:rsid w:val="0F8B6CB6"/>
    <w:rsid w:val="0F9177B5"/>
    <w:rsid w:val="0F9A3FA1"/>
    <w:rsid w:val="0F9E606C"/>
    <w:rsid w:val="0FA17F55"/>
    <w:rsid w:val="0FA35FFE"/>
    <w:rsid w:val="0FA821B8"/>
    <w:rsid w:val="0FAE546F"/>
    <w:rsid w:val="0FB50512"/>
    <w:rsid w:val="0FB50CF0"/>
    <w:rsid w:val="0FB57FA4"/>
    <w:rsid w:val="0FB8781F"/>
    <w:rsid w:val="0FC24482"/>
    <w:rsid w:val="0FC754B6"/>
    <w:rsid w:val="0FCD46F4"/>
    <w:rsid w:val="0FCE3065"/>
    <w:rsid w:val="0FE107E2"/>
    <w:rsid w:val="0FE336DE"/>
    <w:rsid w:val="0FED1D3E"/>
    <w:rsid w:val="10026084"/>
    <w:rsid w:val="10065756"/>
    <w:rsid w:val="100A69A4"/>
    <w:rsid w:val="100E17EE"/>
    <w:rsid w:val="10140347"/>
    <w:rsid w:val="101B54B3"/>
    <w:rsid w:val="101C6175"/>
    <w:rsid w:val="102E7ECD"/>
    <w:rsid w:val="104210EE"/>
    <w:rsid w:val="10444B77"/>
    <w:rsid w:val="10447AF9"/>
    <w:rsid w:val="104835D9"/>
    <w:rsid w:val="10495D6E"/>
    <w:rsid w:val="104C1069"/>
    <w:rsid w:val="10513C3F"/>
    <w:rsid w:val="10541F36"/>
    <w:rsid w:val="105D2D1E"/>
    <w:rsid w:val="10623D8F"/>
    <w:rsid w:val="10625663"/>
    <w:rsid w:val="106737C7"/>
    <w:rsid w:val="10703686"/>
    <w:rsid w:val="1075160B"/>
    <w:rsid w:val="107760A9"/>
    <w:rsid w:val="10780D89"/>
    <w:rsid w:val="107B52AA"/>
    <w:rsid w:val="107D625B"/>
    <w:rsid w:val="107E75D8"/>
    <w:rsid w:val="10805AB8"/>
    <w:rsid w:val="108161A3"/>
    <w:rsid w:val="10876830"/>
    <w:rsid w:val="1089301A"/>
    <w:rsid w:val="108B29C7"/>
    <w:rsid w:val="10901F21"/>
    <w:rsid w:val="10974AA9"/>
    <w:rsid w:val="10A21388"/>
    <w:rsid w:val="10A60889"/>
    <w:rsid w:val="10AA391A"/>
    <w:rsid w:val="10B27075"/>
    <w:rsid w:val="10B27B37"/>
    <w:rsid w:val="10B33FFC"/>
    <w:rsid w:val="10BA25C0"/>
    <w:rsid w:val="10C02E80"/>
    <w:rsid w:val="10C121EA"/>
    <w:rsid w:val="10C2285B"/>
    <w:rsid w:val="10C54276"/>
    <w:rsid w:val="10CC1572"/>
    <w:rsid w:val="10D27169"/>
    <w:rsid w:val="10D309E2"/>
    <w:rsid w:val="10D621B1"/>
    <w:rsid w:val="10D81E5C"/>
    <w:rsid w:val="10DA39AB"/>
    <w:rsid w:val="10DE746C"/>
    <w:rsid w:val="10EB7A42"/>
    <w:rsid w:val="10F16967"/>
    <w:rsid w:val="10F21B48"/>
    <w:rsid w:val="10F61CDD"/>
    <w:rsid w:val="10F91FDE"/>
    <w:rsid w:val="10F941E9"/>
    <w:rsid w:val="10FD39C4"/>
    <w:rsid w:val="11083015"/>
    <w:rsid w:val="110A357B"/>
    <w:rsid w:val="110D2E2E"/>
    <w:rsid w:val="1113498F"/>
    <w:rsid w:val="11145DE6"/>
    <w:rsid w:val="111A2147"/>
    <w:rsid w:val="112252CB"/>
    <w:rsid w:val="11360EF9"/>
    <w:rsid w:val="113641BB"/>
    <w:rsid w:val="113B0B58"/>
    <w:rsid w:val="113D2CC0"/>
    <w:rsid w:val="113D4F12"/>
    <w:rsid w:val="113D775B"/>
    <w:rsid w:val="11410876"/>
    <w:rsid w:val="114608E7"/>
    <w:rsid w:val="114F3D65"/>
    <w:rsid w:val="115347BC"/>
    <w:rsid w:val="11545887"/>
    <w:rsid w:val="11597C64"/>
    <w:rsid w:val="11602A9E"/>
    <w:rsid w:val="116228E3"/>
    <w:rsid w:val="11631325"/>
    <w:rsid w:val="116345A4"/>
    <w:rsid w:val="11667833"/>
    <w:rsid w:val="11687433"/>
    <w:rsid w:val="1178450A"/>
    <w:rsid w:val="117B53DF"/>
    <w:rsid w:val="117B71D3"/>
    <w:rsid w:val="11845F00"/>
    <w:rsid w:val="11885DD3"/>
    <w:rsid w:val="118A58E4"/>
    <w:rsid w:val="118C56EA"/>
    <w:rsid w:val="118F0DB3"/>
    <w:rsid w:val="11916F88"/>
    <w:rsid w:val="11A51BB6"/>
    <w:rsid w:val="11AC6860"/>
    <w:rsid w:val="11B62D0B"/>
    <w:rsid w:val="11BE6E3E"/>
    <w:rsid w:val="11C13153"/>
    <w:rsid w:val="11C52A21"/>
    <w:rsid w:val="11C75474"/>
    <w:rsid w:val="11D26FDB"/>
    <w:rsid w:val="11D435B9"/>
    <w:rsid w:val="11D8409F"/>
    <w:rsid w:val="11D95083"/>
    <w:rsid w:val="11DD2AAB"/>
    <w:rsid w:val="11DE26F2"/>
    <w:rsid w:val="11DF6987"/>
    <w:rsid w:val="11EA23C8"/>
    <w:rsid w:val="11EB5C95"/>
    <w:rsid w:val="11ED6242"/>
    <w:rsid w:val="11F27C95"/>
    <w:rsid w:val="12010E7D"/>
    <w:rsid w:val="120506CD"/>
    <w:rsid w:val="12075A2C"/>
    <w:rsid w:val="120A0C4D"/>
    <w:rsid w:val="120A38DA"/>
    <w:rsid w:val="12101A57"/>
    <w:rsid w:val="12193170"/>
    <w:rsid w:val="12193813"/>
    <w:rsid w:val="121D6AE3"/>
    <w:rsid w:val="121F75CC"/>
    <w:rsid w:val="12271CB0"/>
    <w:rsid w:val="122C1A12"/>
    <w:rsid w:val="1232130B"/>
    <w:rsid w:val="12395D63"/>
    <w:rsid w:val="12401AD9"/>
    <w:rsid w:val="12421E9D"/>
    <w:rsid w:val="1248421F"/>
    <w:rsid w:val="12571C4D"/>
    <w:rsid w:val="125C09FF"/>
    <w:rsid w:val="12657F0C"/>
    <w:rsid w:val="126830F6"/>
    <w:rsid w:val="126B5207"/>
    <w:rsid w:val="126F57E1"/>
    <w:rsid w:val="12760E78"/>
    <w:rsid w:val="127673DB"/>
    <w:rsid w:val="127E0189"/>
    <w:rsid w:val="12810A1D"/>
    <w:rsid w:val="12854B81"/>
    <w:rsid w:val="12927837"/>
    <w:rsid w:val="12A30BAA"/>
    <w:rsid w:val="12A709D5"/>
    <w:rsid w:val="12A867C5"/>
    <w:rsid w:val="12B56515"/>
    <w:rsid w:val="12BE11B2"/>
    <w:rsid w:val="12BE1828"/>
    <w:rsid w:val="12C10F70"/>
    <w:rsid w:val="12C21464"/>
    <w:rsid w:val="12C2399A"/>
    <w:rsid w:val="12C40A29"/>
    <w:rsid w:val="12C42DA1"/>
    <w:rsid w:val="12C45CF0"/>
    <w:rsid w:val="12C756E5"/>
    <w:rsid w:val="12C948D2"/>
    <w:rsid w:val="12CA7905"/>
    <w:rsid w:val="12CB14EE"/>
    <w:rsid w:val="12CE6902"/>
    <w:rsid w:val="12D54B1A"/>
    <w:rsid w:val="12EE0F39"/>
    <w:rsid w:val="12EF155A"/>
    <w:rsid w:val="12F17350"/>
    <w:rsid w:val="12F712FB"/>
    <w:rsid w:val="12FA0E2E"/>
    <w:rsid w:val="12FC6FFF"/>
    <w:rsid w:val="12FF7A62"/>
    <w:rsid w:val="13037A88"/>
    <w:rsid w:val="133844CA"/>
    <w:rsid w:val="1347596A"/>
    <w:rsid w:val="13477178"/>
    <w:rsid w:val="134B5A55"/>
    <w:rsid w:val="134C0AA1"/>
    <w:rsid w:val="134F5D9B"/>
    <w:rsid w:val="136041BC"/>
    <w:rsid w:val="136F4FE6"/>
    <w:rsid w:val="13713F6F"/>
    <w:rsid w:val="13762A14"/>
    <w:rsid w:val="13790756"/>
    <w:rsid w:val="137B6EE7"/>
    <w:rsid w:val="137E2E27"/>
    <w:rsid w:val="138C25C7"/>
    <w:rsid w:val="138E741D"/>
    <w:rsid w:val="138F279E"/>
    <w:rsid w:val="1390357D"/>
    <w:rsid w:val="139670E5"/>
    <w:rsid w:val="13970D93"/>
    <w:rsid w:val="139F1C24"/>
    <w:rsid w:val="13A023E7"/>
    <w:rsid w:val="13A04270"/>
    <w:rsid w:val="13A86C77"/>
    <w:rsid w:val="13A90344"/>
    <w:rsid w:val="13A9454D"/>
    <w:rsid w:val="13B35BBD"/>
    <w:rsid w:val="13BF3D28"/>
    <w:rsid w:val="13C32466"/>
    <w:rsid w:val="13C77F07"/>
    <w:rsid w:val="13CE4E2F"/>
    <w:rsid w:val="13CF48B4"/>
    <w:rsid w:val="13DB0A6E"/>
    <w:rsid w:val="13E45E4B"/>
    <w:rsid w:val="13F211C8"/>
    <w:rsid w:val="13F57229"/>
    <w:rsid w:val="13F60043"/>
    <w:rsid w:val="13F63AC9"/>
    <w:rsid w:val="13FC3FD0"/>
    <w:rsid w:val="13FF4761"/>
    <w:rsid w:val="1401651E"/>
    <w:rsid w:val="14065625"/>
    <w:rsid w:val="14127CF3"/>
    <w:rsid w:val="1416357F"/>
    <w:rsid w:val="14175C6D"/>
    <w:rsid w:val="14182B9E"/>
    <w:rsid w:val="141A193D"/>
    <w:rsid w:val="14211963"/>
    <w:rsid w:val="142160CA"/>
    <w:rsid w:val="142E4E6B"/>
    <w:rsid w:val="14332094"/>
    <w:rsid w:val="143B554F"/>
    <w:rsid w:val="144128ED"/>
    <w:rsid w:val="144D721A"/>
    <w:rsid w:val="14504C78"/>
    <w:rsid w:val="14552700"/>
    <w:rsid w:val="1455301F"/>
    <w:rsid w:val="145E0ED6"/>
    <w:rsid w:val="145F4E9E"/>
    <w:rsid w:val="1468041E"/>
    <w:rsid w:val="146A5814"/>
    <w:rsid w:val="146D4E79"/>
    <w:rsid w:val="1479121F"/>
    <w:rsid w:val="147C1504"/>
    <w:rsid w:val="148112AD"/>
    <w:rsid w:val="14933736"/>
    <w:rsid w:val="149D19D1"/>
    <w:rsid w:val="14AA1497"/>
    <w:rsid w:val="14AD2447"/>
    <w:rsid w:val="14BD0C90"/>
    <w:rsid w:val="14BD7435"/>
    <w:rsid w:val="14D41B03"/>
    <w:rsid w:val="14E11E90"/>
    <w:rsid w:val="14EC7262"/>
    <w:rsid w:val="14F50637"/>
    <w:rsid w:val="14F56962"/>
    <w:rsid w:val="14FD3DC3"/>
    <w:rsid w:val="15052F44"/>
    <w:rsid w:val="152446F6"/>
    <w:rsid w:val="15274A34"/>
    <w:rsid w:val="152C74BF"/>
    <w:rsid w:val="152E54C4"/>
    <w:rsid w:val="1535555F"/>
    <w:rsid w:val="15382813"/>
    <w:rsid w:val="1545488F"/>
    <w:rsid w:val="154B27A9"/>
    <w:rsid w:val="154B6CF6"/>
    <w:rsid w:val="15516306"/>
    <w:rsid w:val="155B06BC"/>
    <w:rsid w:val="155B6FCC"/>
    <w:rsid w:val="15620F8B"/>
    <w:rsid w:val="156514F3"/>
    <w:rsid w:val="15707694"/>
    <w:rsid w:val="157477F0"/>
    <w:rsid w:val="157839EE"/>
    <w:rsid w:val="157F4B83"/>
    <w:rsid w:val="1583637A"/>
    <w:rsid w:val="15864057"/>
    <w:rsid w:val="158A2F64"/>
    <w:rsid w:val="158C53F6"/>
    <w:rsid w:val="15946EC2"/>
    <w:rsid w:val="1594709F"/>
    <w:rsid w:val="159B1410"/>
    <w:rsid w:val="159D2E6C"/>
    <w:rsid w:val="15A625C0"/>
    <w:rsid w:val="15A70541"/>
    <w:rsid w:val="15A7643A"/>
    <w:rsid w:val="15AD4348"/>
    <w:rsid w:val="15AD7612"/>
    <w:rsid w:val="15B96153"/>
    <w:rsid w:val="15BC619F"/>
    <w:rsid w:val="15BF618A"/>
    <w:rsid w:val="15C40EFF"/>
    <w:rsid w:val="15CA097E"/>
    <w:rsid w:val="15D33940"/>
    <w:rsid w:val="15D56C97"/>
    <w:rsid w:val="15D92955"/>
    <w:rsid w:val="15F5535B"/>
    <w:rsid w:val="15F569FA"/>
    <w:rsid w:val="15F656C7"/>
    <w:rsid w:val="15F85F00"/>
    <w:rsid w:val="15F969EC"/>
    <w:rsid w:val="16005D04"/>
    <w:rsid w:val="1607152F"/>
    <w:rsid w:val="160D7883"/>
    <w:rsid w:val="160E7A4D"/>
    <w:rsid w:val="16104DB0"/>
    <w:rsid w:val="1613433D"/>
    <w:rsid w:val="16200AF2"/>
    <w:rsid w:val="162E270B"/>
    <w:rsid w:val="162E2ADD"/>
    <w:rsid w:val="16313AA6"/>
    <w:rsid w:val="163267A4"/>
    <w:rsid w:val="163C0B35"/>
    <w:rsid w:val="16405266"/>
    <w:rsid w:val="164561DB"/>
    <w:rsid w:val="1651617C"/>
    <w:rsid w:val="165A2EC2"/>
    <w:rsid w:val="16672683"/>
    <w:rsid w:val="166852CC"/>
    <w:rsid w:val="16696EE3"/>
    <w:rsid w:val="16713663"/>
    <w:rsid w:val="167518D2"/>
    <w:rsid w:val="168864E9"/>
    <w:rsid w:val="16900241"/>
    <w:rsid w:val="16907088"/>
    <w:rsid w:val="1697702E"/>
    <w:rsid w:val="169A4327"/>
    <w:rsid w:val="169D4FCC"/>
    <w:rsid w:val="16A22345"/>
    <w:rsid w:val="16A26D59"/>
    <w:rsid w:val="16A31912"/>
    <w:rsid w:val="16A52825"/>
    <w:rsid w:val="16A56817"/>
    <w:rsid w:val="16A60389"/>
    <w:rsid w:val="16A64429"/>
    <w:rsid w:val="16AC66DD"/>
    <w:rsid w:val="16AD326E"/>
    <w:rsid w:val="16B06BAD"/>
    <w:rsid w:val="16B17712"/>
    <w:rsid w:val="16B95CF7"/>
    <w:rsid w:val="16BC6189"/>
    <w:rsid w:val="16BF43B0"/>
    <w:rsid w:val="16C42B77"/>
    <w:rsid w:val="16D55B33"/>
    <w:rsid w:val="16D74218"/>
    <w:rsid w:val="16DD2E8B"/>
    <w:rsid w:val="16E376E7"/>
    <w:rsid w:val="16E40C30"/>
    <w:rsid w:val="16E72981"/>
    <w:rsid w:val="16EB66D9"/>
    <w:rsid w:val="16EE35CD"/>
    <w:rsid w:val="16F47BF5"/>
    <w:rsid w:val="16F500A9"/>
    <w:rsid w:val="16F872C3"/>
    <w:rsid w:val="16FA06E3"/>
    <w:rsid w:val="170167F2"/>
    <w:rsid w:val="17035AAC"/>
    <w:rsid w:val="17054499"/>
    <w:rsid w:val="170B0BD9"/>
    <w:rsid w:val="170D5EDA"/>
    <w:rsid w:val="17182913"/>
    <w:rsid w:val="17197EC3"/>
    <w:rsid w:val="171E2D1A"/>
    <w:rsid w:val="172E1BBE"/>
    <w:rsid w:val="17377B8C"/>
    <w:rsid w:val="173A6824"/>
    <w:rsid w:val="173B1FA1"/>
    <w:rsid w:val="173C594E"/>
    <w:rsid w:val="173D1596"/>
    <w:rsid w:val="17503F57"/>
    <w:rsid w:val="17505DD6"/>
    <w:rsid w:val="17586CB0"/>
    <w:rsid w:val="17596CA9"/>
    <w:rsid w:val="17600681"/>
    <w:rsid w:val="17665D9F"/>
    <w:rsid w:val="17696EA4"/>
    <w:rsid w:val="17795030"/>
    <w:rsid w:val="177B0627"/>
    <w:rsid w:val="177D3C16"/>
    <w:rsid w:val="178501CB"/>
    <w:rsid w:val="178A042D"/>
    <w:rsid w:val="178A1F82"/>
    <w:rsid w:val="17916104"/>
    <w:rsid w:val="17920EA7"/>
    <w:rsid w:val="1797450B"/>
    <w:rsid w:val="17985148"/>
    <w:rsid w:val="17A644BF"/>
    <w:rsid w:val="17A92F07"/>
    <w:rsid w:val="17B23E0F"/>
    <w:rsid w:val="17B31B32"/>
    <w:rsid w:val="17B80549"/>
    <w:rsid w:val="17C063A0"/>
    <w:rsid w:val="17C16366"/>
    <w:rsid w:val="17C76A67"/>
    <w:rsid w:val="17CA22FD"/>
    <w:rsid w:val="17CC43FB"/>
    <w:rsid w:val="17DA0F7A"/>
    <w:rsid w:val="17DC2D7F"/>
    <w:rsid w:val="17DE2F4F"/>
    <w:rsid w:val="17E95276"/>
    <w:rsid w:val="17EA38A1"/>
    <w:rsid w:val="17EB77A3"/>
    <w:rsid w:val="17EC5E41"/>
    <w:rsid w:val="17F8667B"/>
    <w:rsid w:val="1806537C"/>
    <w:rsid w:val="18066C18"/>
    <w:rsid w:val="1809630E"/>
    <w:rsid w:val="181C2683"/>
    <w:rsid w:val="181E4167"/>
    <w:rsid w:val="18341D76"/>
    <w:rsid w:val="18351C27"/>
    <w:rsid w:val="18553A22"/>
    <w:rsid w:val="18607956"/>
    <w:rsid w:val="1866144B"/>
    <w:rsid w:val="186E420E"/>
    <w:rsid w:val="187A14AA"/>
    <w:rsid w:val="187B7B4F"/>
    <w:rsid w:val="1887188F"/>
    <w:rsid w:val="18935E66"/>
    <w:rsid w:val="18A35548"/>
    <w:rsid w:val="18A63203"/>
    <w:rsid w:val="18A77689"/>
    <w:rsid w:val="18A816B2"/>
    <w:rsid w:val="18B25B64"/>
    <w:rsid w:val="18B8431F"/>
    <w:rsid w:val="18B90C48"/>
    <w:rsid w:val="18BC4ADF"/>
    <w:rsid w:val="18BD1521"/>
    <w:rsid w:val="18BD2E66"/>
    <w:rsid w:val="18BE7EAB"/>
    <w:rsid w:val="18CF2450"/>
    <w:rsid w:val="18D7372F"/>
    <w:rsid w:val="18DA12E6"/>
    <w:rsid w:val="18DD12E4"/>
    <w:rsid w:val="18E261B8"/>
    <w:rsid w:val="18E62F4B"/>
    <w:rsid w:val="18E85386"/>
    <w:rsid w:val="18FC503B"/>
    <w:rsid w:val="19027C40"/>
    <w:rsid w:val="19087B90"/>
    <w:rsid w:val="190E3326"/>
    <w:rsid w:val="190E3538"/>
    <w:rsid w:val="19164D1E"/>
    <w:rsid w:val="191C588D"/>
    <w:rsid w:val="1927395B"/>
    <w:rsid w:val="192D514C"/>
    <w:rsid w:val="193544CD"/>
    <w:rsid w:val="19443AA2"/>
    <w:rsid w:val="1945355B"/>
    <w:rsid w:val="194817FC"/>
    <w:rsid w:val="194A0D45"/>
    <w:rsid w:val="194A2ADB"/>
    <w:rsid w:val="195159CB"/>
    <w:rsid w:val="195961D5"/>
    <w:rsid w:val="195C14E8"/>
    <w:rsid w:val="196515C3"/>
    <w:rsid w:val="197859DA"/>
    <w:rsid w:val="1980769C"/>
    <w:rsid w:val="19884F66"/>
    <w:rsid w:val="19917CFC"/>
    <w:rsid w:val="1997576B"/>
    <w:rsid w:val="1998697F"/>
    <w:rsid w:val="199A20B4"/>
    <w:rsid w:val="19A71B82"/>
    <w:rsid w:val="19B84C88"/>
    <w:rsid w:val="19B90185"/>
    <w:rsid w:val="19C6694E"/>
    <w:rsid w:val="19CC0DE5"/>
    <w:rsid w:val="19D11E61"/>
    <w:rsid w:val="19D5618C"/>
    <w:rsid w:val="19E22401"/>
    <w:rsid w:val="19E23808"/>
    <w:rsid w:val="19F44B16"/>
    <w:rsid w:val="1A00532F"/>
    <w:rsid w:val="1A040FBD"/>
    <w:rsid w:val="1A0422C7"/>
    <w:rsid w:val="1A067DCA"/>
    <w:rsid w:val="1A102A1C"/>
    <w:rsid w:val="1A13214F"/>
    <w:rsid w:val="1A434C13"/>
    <w:rsid w:val="1A4E18BB"/>
    <w:rsid w:val="1A5C550E"/>
    <w:rsid w:val="1A5E5759"/>
    <w:rsid w:val="1A61514E"/>
    <w:rsid w:val="1A624E9D"/>
    <w:rsid w:val="1A6F769D"/>
    <w:rsid w:val="1A712AE5"/>
    <w:rsid w:val="1A74386E"/>
    <w:rsid w:val="1A783427"/>
    <w:rsid w:val="1A7B0419"/>
    <w:rsid w:val="1A8A143B"/>
    <w:rsid w:val="1A954C9C"/>
    <w:rsid w:val="1AA67BD3"/>
    <w:rsid w:val="1AC70097"/>
    <w:rsid w:val="1ACC39D6"/>
    <w:rsid w:val="1ADE0868"/>
    <w:rsid w:val="1AF7489C"/>
    <w:rsid w:val="1AF86B17"/>
    <w:rsid w:val="1AFA3523"/>
    <w:rsid w:val="1AFD3AEA"/>
    <w:rsid w:val="1B05238D"/>
    <w:rsid w:val="1B13587B"/>
    <w:rsid w:val="1B1D44BA"/>
    <w:rsid w:val="1B2C07D2"/>
    <w:rsid w:val="1B2C5EE0"/>
    <w:rsid w:val="1B33077D"/>
    <w:rsid w:val="1B3604D3"/>
    <w:rsid w:val="1B364D11"/>
    <w:rsid w:val="1B3865C6"/>
    <w:rsid w:val="1B3E5EDE"/>
    <w:rsid w:val="1B433153"/>
    <w:rsid w:val="1B467529"/>
    <w:rsid w:val="1B4B00CA"/>
    <w:rsid w:val="1B566C78"/>
    <w:rsid w:val="1B5F1247"/>
    <w:rsid w:val="1B6307EA"/>
    <w:rsid w:val="1B717940"/>
    <w:rsid w:val="1B79696C"/>
    <w:rsid w:val="1B7E1824"/>
    <w:rsid w:val="1B825166"/>
    <w:rsid w:val="1B890C23"/>
    <w:rsid w:val="1B9411FC"/>
    <w:rsid w:val="1B9D6CE8"/>
    <w:rsid w:val="1BA63F57"/>
    <w:rsid w:val="1BA866D1"/>
    <w:rsid w:val="1BBB422B"/>
    <w:rsid w:val="1BC600B5"/>
    <w:rsid w:val="1BCD55F8"/>
    <w:rsid w:val="1BE011AE"/>
    <w:rsid w:val="1BE02AAF"/>
    <w:rsid w:val="1BE30F90"/>
    <w:rsid w:val="1BE31093"/>
    <w:rsid w:val="1BE956C8"/>
    <w:rsid w:val="1C022294"/>
    <w:rsid w:val="1C0B35D4"/>
    <w:rsid w:val="1C12573D"/>
    <w:rsid w:val="1C1D1EE2"/>
    <w:rsid w:val="1C234861"/>
    <w:rsid w:val="1C2E319B"/>
    <w:rsid w:val="1C3477C5"/>
    <w:rsid w:val="1C4F6563"/>
    <w:rsid w:val="1C545F3D"/>
    <w:rsid w:val="1C556488"/>
    <w:rsid w:val="1C563FE3"/>
    <w:rsid w:val="1C5A182A"/>
    <w:rsid w:val="1C62402E"/>
    <w:rsid w:val="1C62587C"/>
    <w:rsid w:val="1C6818E0"/>
    <w:rsid w:val="1C6F3BF6"/>
    <w:rsid w:val="1C722E7E"/>
    <w:rsid w:val="1C784A9F"/>
    <w:rsid w:val="1C7D008B"/>
    <w:rsid w:val="1C7D2EB6"/>
    <w:rsid w:val="1C805B43"/>
    <w:rsid w:val="1C852BB0"/>
    <w:rsid w:val="1C8D54A8"/>
    <w:rsid w:val="1C8D59DD"/>
    <w:rsid w:val="1C8E63A1"/>
    <w:rsid w:val="1C9651FD"/>
    <w:rsid w:val="1C9C41C6"/>
    <w:rsid w:val="1CA42FB6"/>
    <w:rsid w:val="1CAF4AE5"/>
    <w:rsid w:val="1CB21A29"/>
    <w:rsid w:val="1CCB32EE"/>
    <w:rsid w:val="1CD23361"/>
    <w:rsid w:val="1CD35882"/>
    <w:rsid w:val="1CE302F7"/>
    <w:rsid w:val="1CEC4F96"/>
    <w:rsid w:val="1CF13B49"/>
    <w:rsid w:val="1CF52075"/>
    <w:rsid w:val="1CF70EE3"/>
    <w:rsid w:val="1CFE7E6D"/>
    <w:rsid w:val="1D011F4C"/>
    <w:rsid w:val="1D0D1F95"/>
    <w:rsid w:val="1D1C7AC2"/>
    <w:rsid w:val="1D1D6A85"/>
    <w:rsid w:val="1D207BFC"/>
    <w:rsid w:val="1D230741"/>
    <w:rsid w:val="1D2F0DCA"/>
    <w:rsid w:val="1D397D96"/>
    <w:rsid w:val="1D3A5DFA"/>
    <w:rsid w:val="1D3E30CF"/>
    <w:rsid w:val="1D3E57BA"/>
    <w:rsid w:val="1D3F5BF4"/>
    <w:rsid w:val="1D49558F"/>
    <w:rsid w:val="1D4B4B5A"/>
    <w:rsid w:val="1D584348"/>
    <w:rsid w:val="1D597DDF"/>
    <w:rsid w:val="1D5D209F"/>
    <w:rsid w:val="1D616DDA"/>
    <w:rsid w:val="1D6D4785"/>
    <w:rsid w:val="1D6E27CD"/>
    <w:rsid w:val="1D767ADA"/>
    <w:rsid w:val="1D7A0D45"/>
    <w:rsid w:val="1D845021"/>
    <w:rsid w:val="1D861B2D"/>
    <w:rsid w:val="1D896FB3"/>
    <w:rsid w:val="1D91741D"/>
    <w:rsid w:val="1D9318C5"/>
    <w:rsid w:val="1D936BFB"/>
    <w:rsid w:val="1D941B55"/>
    <w:rsid w:val="1DAB7998"/>
    <w:rsid w:val="1DB01072"/>
    <w:rsid w:val="1DB2076E"/>
    <w:rsid w:val="1DB43F2E"/>
    <w:rsid w:val="1DBE6DCD"/>
    <w:rsid w:val="1DC2628A"/>
    <w:rsid w:val="1DCF57CE"/>
    <w:rsid w:val="1DCF7FF5"/>
    <w:rsid w:val="1DD11EB5"/>
    <w:rsid w:val="1DD246EC"/>
    <w:rsid w:val="1DD63079"/>
    <w:rsid w:val="1DD859F5"/>
    <w:rsid w:val="1DDA6EEA"/>
    <w:rsid w:val="1DDD63A7"/>
    <w:rsid w:val="1DE56ABE"/>
    <w:rsid w:val="1DFC4DF9"/>
    <w:rsid w:val="1E0435A0"/>
    <w:rsid w:val="1E110D2A"/>
    <w:rsid w:val="1E1247A2"/>
    <w:rsid w:val="1E155062"/>
    <w:rsid w:val="1E193E9C"/>
    <w:rsid w:val="1E1B38E9"/>
    <w:rsid w:val="1E1B7186"/>
    <w:rsid w:val="1E303EF3"/>
    <w:rsid w:val="1E3303CE"/>
    <w:rsid w:val="1E3F6D05"/>
    <w:rsid w:val="1E494B8A"/>
    <w:rsid w:val="1E4F0222"/>
    <w:rsid w:val="1E5C2AF3"/>
    <w:rsid w:val="1E795C41"/>
    <w:rsid w:val="1E7E640D"/>
    <w:rsid w:val="1E7F3A72"/>
    <w:rsid w:val="1E8064D3"/>
    <w:rsid w:val="1E861E21"/>
    <w:rsid w:val="1EA72270"/>
    <w:rsid w:val="1EBD6E42"/>
    <w:rsid w:val="1EC25D1C"/>
    <w:rsid w:val="1EC74AB4"/>
    <w:rsid w:val="1EC87ABC"/>
    <w:rsid w:val="1ED242FC"/>
    <w:rsid w:val="1ED56C03"/>
    <w:rsid w:val="1EDA0174"/>
    <w:rsid w:val="1EDA3DBE"/>
    <w:rsid w:val="1EDB3888"/>
    <w:rsid w:val="1EE05F54"/>
    <w:rsid w:val="1EE332A7"/>
    <w:rsid w:val="1EF579A0"/>
    <w:rsid w:val="1F05532C"/>
    <w:rsid w:val="1F095121"/>
    <w:rsid w:val="1F0C3604"/>
    <w:rsid w:val="1F0D0383"/>
    <w:rsid w:val="1F0F4C7A"/>
    <w:rsid w:val="1F1527EE"/>
    <w:rsid w:val="1F20034A"/>
    <w:rsid w:val="1F251ABC"/>
    <w:rsid w:val="1F290391"/>
    <w:rsid w:val="1F2A2D10"/>
    <w:rsid w:val="1F3627B2"/>
    <w:rsid w:val="1F370102"/>
    <w:rsid w:val="1F3B1762"/>
    <w:rsid w:val="1F3F0073"/>
    <w:rsid w:val="1F43546C"/>
    <w:rsid w:val="1F48506F"/>
    <w:rsid w:val="1F4B10C3"/>
    <w:rsid w:val="1F5C7F87"/>
    <w:rsid w:val="1F6C1D79"/>
    <w:rsid w:val="1F792E9A"/>
    <w:rsid w:val="1F7B67F6"/>
    <w:rsid w:val="1F7C518B"/>
    <w:rsid w:val="1F881F59"/>
    <w:rsid w:val="1F971B7F"/>
    <w:rsid w:val="1F977565"/>
    <w:rsid w:val="1F9B644E"/>
    <w:rsid w:val="1FA22246"/>
    <w:rsid w:val="1FA429B4"/>
    <w:rsid w:val="1FAC06FF"/>
    <w:rsid w:val="1FB34801"/>
    <w:rsid w:val="1FB75185"/>
    <w:rsid w:val="1FB97163"/>
    <w:rsid w:val="1FBD0EE6"/>
    <w:rsid w:val="1FC10346"/>
    <w:rsid w:val="1FC16504"/>
    <w:rsid w:val="1FCB4902"/>
    <w:rsid w:val="1FDB745E"/>
    <w:rsid w:val="1FDD028C"/>
    <w:rsid w:val="1FF955B0"/>
    <w:rsid w:val="1FFA3EAB"/>
    <w:rsid w:val="1FFB3FF4"/>
    <w:rsid w:val="1FFC1294"/>
    <w:rsid w:val="1FFC4541"/>
    <w:rsid w:val="200B6448"/>
    <w:rsid w:val="201574D2"/>
    <w:rsid w:val="20176E76"/>
    <w:rsid w:val="201C2D60"/>
    <w:rsid w:val="20270162"/>
    <w:rsid w:val="203F0CD6"/>
    <w:rsid w:val="20421E9D"/>
    <w:rsid w:val="204439A4"/>
    <w:rsid w:val="20655E4F"/>
    <w:rsid w:val="20721F6B"/>
    <w:rsid w:val="207308C3"/>
    <w:rsid w:val="207411D3"/>
    <w:rsid w:val="20743131"/>
    <w:rsid w:val="207536DF"/>
    <w:rsid w:val="20783BF9"/>
    <w:rsid w:val="20786435"/>
    <w:rsid w:val="20802CF5"/>
    <w:rsid w:val="20811113"/>
    <w:rsid w:val="20874766"/>
    <w:rsid w:val="2088281D"/>
    <w:rsid w:val="2088475A"/>
    <w:rsid w:val="20917F9C"/>
    <w:rsid w:val="2094661E"/>
    <w:rsid w:val="20951ED4"/>
    <w:rsid w:val="20962536"/>
    <w:rsid w:val="20AF5726"/>
    <w:rsid w:val="20AF5A47"/>
    <w:rsid w:val="20B50E80"/>
    <w:rsid w:val="20B71F63"/>
    <w:rsid w:val="20B7483F"/>
    <w:rsid w:val="20BD02A3"/>
    <w:rsid w:val="20BE1841"/>
    <w:rsid w:val="20D078F3"/>
    <w:rsid w:val="20D200AD"/>
    <w:rsid w:val="20D95B71"/>
    <w:rsid w:val="20DA60A5"/>
    <w:rsid w:val="20DB223A"/>
    <w:rsid w:val="20E51C80"/>
    <w:rsid w:val="20E61367"/>
    <w:rsid w:val="20EC58CB"/>
    <w:rsid w:val="20F17304"/>
    <w:rsid w:val="21007C49"/>
    <w:rsid w:val="21014223"/>
    <w:rsid w:val="21200021"/>
    <w:rsid w:val="21257F04"/>
    <w:rsid w:val="21291A31"/>
    <w:rsid w:val="213445FE"/>
    <w:rsid w:val="21353F50"/>
    <w:rsid w:val="2138052E"/>
    <w:rsid w:val="21393CF8"/>
    <w:rsid w:val="213C3CC5"/>
    <w:rsid w:val="214776EA"/>
    <w:rsid w:val="21522E38"/>
    <w:rsid w:val="2159046C"/>
    <w:rsid w:val="21592762"/>
    <w:rsid w:val="215F3A68"/>
    <w:rsid w:val="21611A31"/>
    <w:rsid w:val="21635586"/>
    <w:rsid w:val="216E42CB"/>
    <w:rsid w:val="21760888"/>
    <w:rsid w:val="217B17E2"/>
    <w:rsid w:val="218810BD"/>
    <w:rsid w:val="218D61A9"/>
    <w:rsid w:val="218F7263"/>
    <w:rsid w:val="2190117D"/>
    <w:rsid w:val="219140F2"/>
    <w:rsid w:val="21994057"/>
    <w:rsid w:val="219A79A2"/>
    <w:rsid w:val="219F1479"/>
    <w:rsid w:val="21A34664"/>
    <w:rsid w:val="21B80E8C"/>
    <w:rsid w:val="21B91F5E"/>
    <w:rsid w:val="21C24072"/>
    <w:rsid w:val="21C73828"/>
    <w:rsid w:val="21D55950"/>
    <w:rsid w:val="21D965A1"/>
    <w:rsid w:val="21E11782"/>
    <w:rsid w:val="21E14B35"/>
    <w:rsid w:val="21E617C0"/>
    <w:rsid w:val="21EB0962"/>
    <w:rsid w:val="21EC3E44"/>
    <w:rsid w:val="21F002DA"/>
    <w:rsid w:val="21F2539C"/>
    <w:rsid w:val="21F533B9"/>
    <w:rsid w:val="21F65A58"/>
    <w:rsid w:val="21FB61D0"/>
    <w:rsid w:val="220B3AD6"/>
    <w:rsid w:val="22191ECB"/>
    <w:rsid w:val="221E272E"/>
    <w:rsid w:val="2221560D"/>
    <w:rsid w:val="222A1FFE"/>
    <w:rsid w:val="222B075F"/>
    <w:rsid w:val="22367DC0"/>
    <w:rsid w:val="223C2D91"/>
    <w:rsid w:val="22426753"/>
    <w:rsid w:val="224D7BB0"/>
    <w:rsid w:val="22541D32"/>
    <w:rsid w:val="225474CD"/>
    <w:rsid w:val="225E1754"/>
    <w:rsid w:val="225F0409"/>
    <w:rsid w:val="225F51CF"/>
    <w:rsid w:val="22683CEE"/>
    <w:rsid w:val="226A54A8"/>
    <w:rsid w:val="226D42BA"/>
    <w:rsid w:val="227078B0"/>
    <w:rsid w:val="2271187B"/>
    <w:rsid w:val="22833161"/>
    <w:rsid w:val="228338C8"/>
    <w:rsid w:val="22840DDA"/>
    <w:rsid w:val="22876A0D"/>
    <w:rsid w:val="22A11695"/>
    <w:rsid w:val="22A63B38"/>
    <w:rsid w:val="22A73490"/>
    <w:rsid w:val="22A8489A"/>
    <w:rsid w:val="22AA7376"/>
    <w:rsid w:val="22AB3B60"/>
    <w:rsid w:val="22AF11A1"/>
    <w:rsid w:val="22B22D1F"/>
    <w:rsid w:val="22B33D99"/>
    <w:rsid w:val="22B83EF7"/>
    <w:rsid w:val="22BB4A47"/>
    <w:rsid w:val="22BC2773"/>
    <w:rsid w:val="22BE29D6"/>
    <w:rsid w:val="22C27BE8"/>
    <w:rsid w:val="22C4003E"/>
    <w:rsid w:val="22C96719"/>
    <w:rsid w:val="22CB2F4B"/>
    <w:rsid w:val="22CE701A"/>
    <w:rsid w:val="22D02654"/>
    <w:rsid w:val="22D10E4B"/>
    <w:rsid w:val="22D90210"/>
    <w:rsid w:val="22D912F9"/>
    <w:rsid w:val="22E1284D"/>
    <w:rsid w:val="22E73006"/>
    <w:rsid w:val="22EB3773"/>
    <w:rsid w:val="22EE13BE"/>
    <w:rsid w:val="22F31E85"/>
    <w:rsid w:val="22F71A54"/>
    <w:rsid w:val="22F74CC6"/>
    <w:rsid w:val="22FB2321"/>
    <w:rsid w:val="22FF6AA7"/>
    <w:rsid w:val="2306325F"/>
    <w:rsid w:val="230749DA"/>
    <w:rsid w:val="230753E2"/>
    <w:rsid w:val="230F5270"/>
    <w:rsid w:val="2311101C"/>
    <w:rsid w:val="231869B1"/>
    <w:rsid w:val="2319089C"/>
    <w:rsid w:val="231B2491"/>
    <w:rsid w:val="232515D0"/>
    <w:rsid w:val="232D73AD"/>
    <w:rsid w:val="232F45E5"/>
    <w:rsid w:val="23382F5D"/>
    <w:rsid w:val="233857DC"/>
    <w:rsid w:val="233E2231"/>
    <w:rsid w:val="23443C8F"/>
    <w:rsid w:val="23561548"/>
    <w:rsid w:val="23561CD1"/>
    <w:rsid w:val="235E47B6"/>
    <w:rsid w:val="23644FB5"/>
    <w:rsid w:val="23646298"/>
    <w:rsid w:val="236B32CC"/>
    <w:rsid w:val="2372506B"/>
    <w:rsid w:val="2376691B"/>
    <w:rsid w:val="2378146C"/>
    <w:rsid w:val="238D2D50"/>
    <w:rsid w:val="238D66BE"/>
    <w:rsid w:val="23950A55"/>
    <w:rsid w:val="239540DC"/>
    <w:rsid w:val="23965F67"/>
    <w:rsid w:val="23A00272"/>
    <w:rsid w:val="23A02531"/>
    <w:rsid w:val="23A11F4F"/>
    <w:rsid w:val="23B41225"/>
    <w:rsid w:val="23BA6237"/>
    <w:rsid w:val="23BC048E"/>
    <w:rsid w:val="23C9616F"/>
    <w:rsid w:val="23CC0919"/>
    <w:rsid w:val="23CE659F"/>
    <w:rsid w:val="23CF7FD3"/>
    <w:rsid w:val="23D4199E"/>
    <w:rsid w:val="23DC01C4"/>
    <w:rsid w:val="23DC60E2"/>
    <w:rsid w:val="23E17EC8"/>
    <w:rsid w:val="23E47406"/>
    <w:rsid w:val="23E91B93"/>
    <w:rsid w:val="23F6160A"/>
    <w:rsid w:val="23FB72B1"/>
    <w:rsid w:val="24026C92"/>
    <w:rsid w:val="24027DBA"/>
    <w:rsid w:val="240657B6"/>
    <w:rsid w:val="240B36D8"/>
    <w:rsid w:val="240C2CCA"/>
    <w:rsid w:val="240C553C"/>
    <w:rsid w:val="241722EB"/>
    <w:rsid w:val="24323334"/>
    <w:rsid w:val="243336DA"/>
    <w:rsid w:val="24373DE9"/>
    <w:rsid w:val="243D6215"/>
    <w:rsid w:val="244F01D0"/>
    <w:rsid w:val="245226BE"/>
    <w:rsid w:val="245550BB"/>
    <w:rsid w:val="245A0102"/>
    <w:rsid w:val="2461318F"/>
    <w:rsid w:val="24662623"/>
    <w:rsid w:val="24673502"/>
    <w:rsid w:val="24676BCD"/>
    <w:rsid w:val="24676F22"/>
    <w:rsid w:val="2468531E"/>
    <w:rsid w:val="246D7EC6"/>
    <w:rsid w:val="24741D21"/>
    <w:rsid w:val="24750E49"/>
    <w:rsid w:val="24860612"/>
    <w:rsid w:val="24872D53"/>
    <w:rsid w:val="248E7D90"/>
    <w:rsid w:val="249321BF"/>
    <w:rsid w:val="249C0D83"/>
    <w:rsid w:val="249E7E27"/>
    <w:rsid w:val="24A033EE"/>
    <w:rsid w:val="24B51B12"/>
    <w:rsid w:val="24C434A5"/>
    <w:rsid w:val="24CA496C"/>
    <w:rsid w:val="24CB78C2"/>
    <w:rsid w:val="24D35568"/>
    <w:rsid w:val="24D72C44"/>
    <w:rsid w:val="24DB51FA"/>
    <w:rsid w:val="24E954E0"/>
    <w:rsid w:val="24EF1A3C"/>
    <w:rsid w:val="24F37FEF"/>
    <w:rsid w:val="24F82FB3"/>
    <w:rsid w:val="2504405A"/>
    <w:rsid w:val="251809ED"/>
    <w:rsid w:val="25241C4A"/>
    <w:rsid w:val="25265A8E"/>
    <w:rsid w:val="252A5159"/>
    <w:rsid w:val="25364407"/>
    <w:rsid w:val="25380B4A"/>
    <w:rsid w:val="253C2F3D"/>
    <w:rsid w:val="253C65AF"/>
    <w:rsid w:val="25410D56"/>
    <w:rsid w:val="254D55BA"/>
    <w:rsid w:val="254F6D5C"/>
    <w:rsid w:val="25644E19"/>
    <w:rsid w:val="256F1EB3"/>
    <w:rsid w:val="25720D21"/>
    <w:rsid w:val="257B7A7B"/>
    <w:rsid w:val="257C63F7"/>
    <w:rsid w:val="257E458B"/>
    <w:rsid w:val="258426BC"/>
    <w:rsid w:val="25867F54"/>
    <w:rsid w:val="258B4AE4"/>
    <w:rsid w:val="258C3B89"/>
    <w:rsid w:val="258C6B00"/>
    <w:rsid w:val="258F1E2E"/>
    <w:rsid w:val="259114ED"/>
    <w:rsid w:val="2593720A"/>
    <w:rsid w:val="25996F48"/>
    <w:rsid w:val="259A3CB2"/>
    <w:rsid w:val="259E4C39"/>
    <w:rsid w:val="259E5828"/>
    <w:rsid w:val="25A92B92"/>
    <w:rsid w:val="25AB0A3D"/>
    <w:rsid w:val="25AC370D"/>
    <w:rsid w:val="25B22B68"/>
    <w:rsid w:val="25B5218E"/>
    <w:rsid w:val="25C15D16"/>
    <w:rsid w:val="25C55B83"/>
    <w:rsid w:val="25CD5BF1"/>
    <w:rsid w:val="25CD62C3"/>
    <w:rsid w:val="25D31208"/>
    <w:rsid w:val="25DA65CA"/>
    <w:rsid w:val="25DB6649"/>
    <w:rsid w:val="25DD0809"/>
    <w:rsid w:val="25E27416"/>
    <w:rsid w:val="25E46656"/>
    <w:rsid w:val="25E47484"/>
    <w:rsid w:val="25E50947"/>
    <w:rsid w:val="25E92FBE"/>
    <w:rsid w:val="25F17275"/>
    <w:rsid w:val="25F247D7"/>
    <w:rsid w:val="25F31E31"/>
    <w:rsid w:val="25F70EE4"/>
    <w:rsid w:val="25F83FB0"/>
    <w:rsid w:val="25FC0B75"/>
    <w:rsid w:val="260139F3"/>
    <w:rsid w:val="260556D5"/>
    <w:rsid w:val="26080DD9"/>
    <w:rsid w:val="26082798"/>
    <w:rsid w:val="26095114"/>
    <w:rsid w:val="260E454E"/>
    <w:rsid w:val="261464EE"/>
    <w:rsid w:val="26280E6C"/>
    <w:rsid w:val="262E05B0"/>
    <w:rsid w:val="26327A25"/>
    <w:rsid w:val="26331CBB"/>
    <w:rsid w:val="26372014"/>
    <w:rsid w:val="263E0859"/>
    <w:rsid w:val="263E1A96"/>
    <w:rsid w:val="26405937"/>
    <w:rsid w:val="26433FB7"/>
    <w:rsid w:val="26452DA3"/>
    <w:rsid w:val="26474B98"/>
    <w:rsid w:val="264D3294"/>
    <w:rsid w:val="266A2AD6"/>
    <w:rsid w:val="266C2FED"/>
    <w:rsid w:val="26783498"/>
    <w:rsid w:val="267A33D1"/>
    <w:rsid w:val="268246BC"/>
    <w:rsid w:val="268B7473"/>
    <w:rsid w:val="26952295"/>
    <w:rsid w:val="269626DF"/>
    <w:rsid w:val="269B7137"/>
    <w:rsid w:val="26A265DC"/>
    <w:rsid w:val="26AE5F52"/>
    <w:rsid w:val="26AE6F7F"/>
    <w:rsid w:val="26B32654"/>
    <w:rsid w:val="26B40C48"/>
    <w:rsid w:val="26B8056C"/>
    <w:rsid w:val="26C87742"/>
    <w:rsid w:val="26E33E5B"/>
    <w:rsid w:val="26E70CA8"/>
    <w:rsid w:val="26EA7605"/>
    <w:rsid w:val="26F027D8"/>
    <w:rsid w:val="26F17CAD"/>
    <w:rsid w:val="26F51567"/>
    <w:rsid w:val="26F54808"/>
    <w:rsid w:val="26FB5D95"/>
    <w:rsid w:val="26FC2F8C"/>
    <w:rsid w:val="27094F93"/>
    <w:rsid w:val="270E05C8"/>
    <w:rsid w:val="27101BFD"/>
    <w:rsid w:val="27172021"/>
    <w:rsid w:val="27190D99"/>
    <w:rsid w:val="271927EF"/>
    <w:rsid w:val="271A253D"/>
    <w:rsid w:val="271A4B23"/>
    <w:rsid w:val="271C2CE9"/>
    <w:rsid w:val="27235746"/>
    <w:rsid w:val="273E49F4"/>
    <w:rsid w:val="274321B1"/>
    <w:rsid w:val="27450C2D"/>
    <w:rsid w:val="274525DC"/>
    <w:rsid w:val="274652E6"/>
    <w:rsid w:val="27470851"/>
    <w:rsid w:val="27480748"/>
    <w:rsid w:val="274E0335"/>
    <w:rsid w:val="275D1356"/>
    <w:rsid w:val="275D4A89"/>
    <w:rsid w:val="27625310"/>
    <w:rsid w:val="27641213"/>
    <w:rsid w:val="277A2EC6"/>
    <w:rsid w:val="27841ADD"/>
    <w:rsid w:val="278B7262"/>
    <w:rsid w:val="278E6B49"/>
    <w:rsid w:val="278E7D5F"/>
    <w:rsid w:val="279429E3"/>
    <w:rsid w:val="27966F4A"/>
    <w:rsid w:val="27A74D7A"/>
    <w:rsid w:val="27A75735"/>
    <w:rsid w:val="27A91AD2"/>
    <w:rsid w:val="27AE6E2D"/>
    <w:rsid w:val="27AF57B8"/>
    <w:rsid w:val="27B24596"/>
    <w:rsid w:val="27B25FFF"/>
    <w:rsid w:val="27BA12A7"/>
    <w:rsid w:val="27BA6BC4"/>
    <w:rsid w:val="27BC2EEA"/>
    <w:rsid w:val="27C93064"/>
    <w:rsid w:val="27C96B67"/>
    <w:rsid w:val="27CB38EC"/>
    <w:rsid w:val="27CB5FF9"/>
    <w:rsid w:val="27CC0A3D"/>
    <w:rsid w:val="27D34267"/>
    <w:rsid w:val="27D62E6F"/>
    <w:rsid w:val="27D745E8"/>
    <w:rsid w:val="27E4169F"/>
    <w:rsid w:val="27E476BC"/>
    <w:rsid w:val="27E7338B"/>
    <w:rsid w:val="27EA3B97"/>
    <w:rsid w:val="27EF0430"/>
    <w:rsid w:val="27F32107"/>
    <w:rsid w:val="27FA5F82"/>
    <w:rsid w:val="28014303"/>
    <w:rsid w:val="280410A7"/>
    <w:rsid w:val="281713C1"/>
    <w:rsid w:val="28202089"/>
    <w:rsid w:val="28210C3B"/>
    <w:rsid w:val="2836570A"/>
    <w:rsid w:val="283E3927"/>
    <w:rsid w:val="28432F7C"/>
    <w:rsid w:val="285065F4"/>
    <w:rsid w:val="28557C44"/>
    <w:rsid w:val="28564AD0"/>
    <w:rsid w:val="285E1540"/>
    <w:rsid w:val="28634EA7"/>
    <w:rsid w:val="2868554F"/>
    <w:rsid w:val="286A70A6"/>
    <w:rsid w:val="286D715D"/>
    <w:rsid w:val="28707EB9"/>
    <w:rsid w:val="28710251"/>
    <w:rsid w:val="287270BD"/>
    <w:rsid w:val="287508F6"/>
    <w:rsid w:val="288C7056"/>
    <w:rsid w:val="288F598A"/>
    <w:rsid w:val="289910F7"/>
    <w:rsid w:val="28A14F66"/>
    <w:rsid w:val="28A4234C"/>
    <w:rsid w:val="28A63531"/>
    <w:rsid w:val="28A773FC"/>
    <w:rsid w:val="28CA5B35"/>
    <w:rsid w:val="28D02425"/>
    <w:rsid w:val="28D527CA"/>
    <w:rsid w:val="28DB1A3D"/>
    <w:rsid w:val="28F133CC"/>
    <w:rsid w:val="28F729CE"/>
    <w:rsid w:val="28F934CA"/>
    <w:rsid w:val="28FA5F7F"/>
    <w:rsid w:val="29056F59"/>
    <w:rsid w:val="2907017C"/>
    <w:rsid w:val="291218C3"/>
    <w:rsid w:val="2912731C"/>
    <w:rsid w:val="29150A19"/>
    <w:rsid w:val="29157321"/>
    <w:rsid w:val="291F35AA"/>
    <w:rsid w:val="2925391D"/>
    <w:rsid w:val="292B0670"/>
    <w:rsid w:val="292E0A29"/>
    <w:rsid w:val="29325A72"/>
    <w:rsid w:val="2938341E"/>
    <w:rsid w:val="293A6E92"/>
    <w:rsid w:val="29566904"/>
    <w:rsid w:val="29582224"/>
    <w:rsid w:val="29585835"/>
    <w:rsid w:val="296074D7"/>
    <w:rsid w:val="29692EBD"/>
    <w:rsid w:val="29712D8F"/>
    <w:rsid w:val="29736267"/>
    <w:rsid w:val="297B31D3"/>
    <w:rsid w:val="298103BD"/>
    <w:rsid w:val="298D4850"/>
    <w:rsid w:val="29966295"/>
    <w:rsid w:val="29971F57"/>
    <w:rsid w:val="299C7DCA"/>
    <w:rsid w:val="299D07DF"/>
    <w:rsid w:val="29A021A8"/>
    <w:rsid w:val="29A942FB"/>
    <w:rsid w:val="29B344DC"/>
    <w:rsid w:val="29B539E6"/>
    <w:rsid w:val="29BA1399"/>
    <w:rsid w:val="29BC2699"/>
    <w:rsid w:val="29C8428C"/>
    <w:rsid w:val="29D4298C"/>
    <w:rsid w:val="29DD7E33"/>
    <w:rsid w:val="29E31C9C"/>
    <w:rsid w:val="29E55C12"/>
    <w:rsid w:val="29E81D60"/>
    <w:rsid w:val="29F035C0"/>
    <w:rsid w:val="29F05E16"/>
    <w:rsid w:val="29F54832"/>
    <w:rsid w:val="2A111075"/>
    <w:rsid w:val="2A160D87"/>
    <w:rsid w:val="2A22248B"/>
    <w:rsid w:val="2A307EBE"/>
    <w:rsid w:val="2A3E413F"/>
    <w:rsid w:val="2A430F4D"/>
    <w:rsid w:val="2A5303B9"/>
    <w:rsid w:val="2A534A67"/>
    <w:rsid w:val="2A5F67A3"/>
    <w:rsid w:val="2A6151C4"/>
    <w:rsid w:val="2A664C59"/>
    <w:rsid w:val="2A6B464E"/>
    <w:rsid w:val="2A944B48"/>
    <w:rsid w:val="2A9A0F2B"/>
    <w:rsid w:val="2AA07917"/>
    <w:rsid w:val="2AA1140C"/>
    <w:rsid w:val="2AA67F8B"/>
    <w:rsid w:val="2AAA31D9"/>
    <w:rsid w:val="2AAC289A"/>
    <w:rsid w:val="2AB138BA"/>
    <w:rsid w:val="2AB24906"/>
    <w:rsid w:val="2AC51079"/>
    <w:rsid w:val="2ACA0984"/>
    <w:rsid w:val="2AD05182"/>
    <w:rsid w:val="2AE47A17"/>
    <w:rsid w:val="2AEB2740"/>
    <w:rsid w:val="2AF44191"/>
    <w:rsid w:val="2AF74347"/>
    <w:rsid w:val="2B0A4D59"/>
    <w:rsid w:val="2B1A32A0"/>
    <w:rsid w:val="2B26693B"/>
    <w:rsid w:val="2B2F1FC7"/>
    <w:rsid w:val="2B2F2F22"/>
    <w:rsid w:val="2B37764D"/>
    <w:rsid w:val="2B3F6547"/>
    <w:rsid w:val="2B4F2967"/>
    <w:rsid w:val="2B5C1A7C"/>
    <w:rsid w:val="2B6525E9"/>
    <w:rsid w:val="2B6E19DB"/>
    <w:rsid w:val="2B756050"/>
    <w:rsid w:val="2B7C5660"/>
    <w:rsid w:val="2B8944AA"/>
    <w:rsid w:val="2B92679C"/>
    <w:rsid w:val="2B96506D"/>
    <w:rsid w:val="2B986BC6"/>
    <w:rsid w:val="2BA16669"/>
    <w:rsid w:val="2BAE20A5"/>
    <w:rsid w:val="2BAF2381"/>
    <w:rsid w:val="2BB1376A"/>
    <w:rsid w:val="2BBA7E05"/>
    <w:rsid w:val="2BBB17D5"/>
    <w:rsid w:val="2BC3413A"/>
    <w:rsid w:val="2BC45396"/>
    <w:rsid w:val="2BD540AD"/>
    <w:rsid w:val="2BDA10DE"/>
    <w:rsid w:val="2BF336C9"/>
    <w:rsid w:val="2BF33ED5"/>
    <w:rsid w:val="2BFB7405"/>
    <w:rsid w:val="2C006833"/>
    <w:rsid w:val="2C034F7B"/>
    <w:rsid w:val="2C040D89"/>
    <w:rsid w:val="2C0509D9"/>
    <w:rsid w:val="2C05481D"/>
    <w:rsid w:val="2C0564E6"/>
    <w:rsid w:val="2C056AF9"/>
    <w:rsid w:val="2C220DB4"/>
    <w:rsid w:val="2C247FF1"/>
    <w:rsid w:val="2C3C0030"/>
    <w:rsid w:val="2C3F3887"/>
    <w:rsid w:val="2C45016F"/>
    <w:rsid w:val="2C516E38"/>
    <w:rsid w:val="2C533A6A"/>
    <w:rsid w:val="2C560EA3"/>
    <w:rsid w:val="2C617496"/>
    <w:rsid w:val="2C62156F"/>
    <w:rsid w:val="2C6F41F6"/>
    <w:rsid w:val="2C730778"/>
    <w:rsid w:val="2C7E030A"/>
    <w:rsid w:val="2C833FFB"/>
    <w:rsid w:val="2C8F430E"/>
    <w:rsid w:val="2C970335"/>
    <w:rsid w:val="2CA21894"/>
    <w:rsid w:val="2CA4476E"/>
    <w:rsid w:val="2CAD4F6B"/>
    <w:rsid w:val="2CB17FD2"/>
    <w:rsid w:val="2CC16AFA"/>
    <w:rsid w:val="2CC95D10"/>
    <w:rsid w:val="2CCB5A72"/>
    <w:rsid w:val="2CD57684"/>
    <w:rsid w:val="2CD67A0B"/>
    <w:rsid w:val="2CD75666"/>
    <w:rsid w:val="2CD83FF1"/>
    <w:rsid w:val="2CDC6591"/>
    <w:rsid w:val="2CDE08F2"/>
    <w:rsid w:val="2CE03AB0"/>
    <w:rsid w:val="2CEB494F"/>
    <w:rsid w:val="2CEF53E3"/>
    <w:rsid w:val="2CF53A56"/>
    <w:rsid w:val="2CF649A9"/>
    <w:rsid w:val="2CFC27E4"/>
    <w:rsid w:val="2D0766E4"/>
    <w:rsid w:val="2D0B702A"/>
    <w:rsid w:val="2D107EBA"/>
    <w:rsid w:val="2D1B67A1"/>
    <w:rsid w:val="2D1F4BCA"/>
    <w:rsid w:val="2D221AAA"/>
    <w:rsid w:val="2D254ED3"/>
    <w:rsid w:val="2D2651C9"/>
    <w:rsid w:val="2D372C74"/>
    <w:rsid w:val="2D397977"/>
    <w:rsid w:val="2D3D74EA"/>
    <w:rsid w:val="2D476C62"/>
    <w:rsid w:val="2D504333"/>
    <w:rsid w:val="2D521264"/>
    <w:rsid w:val="2D567058"/>
    <w:rsid w:val="2D57290A"/>
    <w:rsid w:val="2D5D7FE8"/>
    <w:rsid w:val="2D5E7E01"/>
    <w:rsid w:val="2D6030A2"/>
    <w:rsid w:val="2D660EF9"/>
    <w:rsid w:val="2D6C2B47"/>
    <w:rsid w:val="2D763F45"/>
    <w:rsid w:val="2D820204"/>
    <w:rsid w:val="2D8402FC"/>
    <w:rsid w:val="2D88024C"/>
    <w:rsid w:val="2D935488"/>
    <w:rsid w:val="2D960FB5"/>
    <w:rsid w:val="2D9B4423"/>
    <w:rsid w:val="2DA152F5"/>
    <w:rsid w:val="2DAC2EF4"/>
    <w:rsid w:val="2DAD4BCD"/>
    <w:rsid w:val="2DB453FF"/>
    <w:rsid w:val="2DBE4237"/>
    <w:rsid w:val="2DCB10F0"/>
    <w:rsid w:val="2DCB38A1"/>
    <w:rsid w:val="2DD066E9"/>
    <w:rsid w:val="2DDC0ED4"/>
    <w:rsid w:val="2DE3054F"/>
    <w:rsid w:val="2DE7186E"/>
    <w:rsid w:val="2DF036FB"/>
    <w:rsid w:val="2DF21CB3"/>
    <w:rsid w:val="2DFD78B4"/>
    <w:rsid w:val="2DFE083B"/>
    <w:rsid w:val="2E0708FF"/>
    <w:rsid w:val="2E11457C"/>
    <w:rsid w:val="2E1643B9"/>
    <w:rsid w:val="2E184C0F"/>
    <w:rsid w:val="2E187142"/>
    <w:rsid w:val="2E1F18AD"/>
    <w:rsid w:val="2E285E19"/>
    <w:rsid w:val="2E28757C"/>
    <w:rsid w:val="2E2C723F"/>
    <w:rsid w:val="2E332EEF"/>
    <w:rsid w:val="2E3D0855"/>
    <w:rsid w:val="2E3F6B8A"/>
    <w:rsid w:val="2E406C31"/>
    <w:rsid w:val="2E467FE7"/>
    <w:rsid w:val="2E527715"/>
    <w:rsid w:val="2E530660"/>
    <w:rsid w:val="2E531152"/>
    <w:rsid w:val="2E5513E0"/>
    <w:rsid w:val="2E565287"/>
    <w:rsid w:val="2E5F1E47"/>
    <w:rsid w:val="2E682652"/>
    <w:rsid w:val="2E6B6D27"/>
    <w:rsid w:val="2E7A506F"/>
    <w:rsid w:val="2E7B0600"/>
    <w:rsid w:val="2E7B273D"/>
    <w:rsid w:val="2E7D30EA"/>
    <w:rsid w:val="2E8028E0"/>
    <w:rsid w:val="2E88139A"/>
    <w:rsid w:val="2E8B051E"/>
    <w:rsid w:val="2E8F062E"/>
    <w:rsid w:val="2E905D65"/>
    <w:rsid w:val="2E9D560F"/>
    <w:rsid w:val="2E9F7EC1"/>
    <w:rsid w:val="2EA234E1"/>
    <w:rsid w:val="2EB17C70"/>
    <w:rsid w:val="2EB411B5"/>
    <w:rsid w:val="2EBD49E1"/>
    <w:rsid w:val="2EBF0ED1"/>
    <w:rsid w:val="2EC42186"/>
    <w:rsid w:val="2EC7495E"/>
    <w:rsid w:val="2EC776BB"/>
    <w:rsid w:val="2ECA39AD"/>
    <w:rsid w:val="2ECC0C07"/>
    <w:rsid w:val="2ED03009"/>
    <w:rsid w:val="2EF224CD"/>
    <w:rsid w:val="2EF67D61"/>
    <w:rsid w:val="2EFA2F2B"/>
    <w:rsid w:val="2F195BDC"/>
    <w:rsid w:val="2F2E23A6"/>
    <w:rsid w:val="2F2E289C"/>
    <w:rsid w:val="2F350F19"/>
    <w:rsid w:val="2F383567"/>
    <w:rsid w:val="2F3B1918"/>
    <w:rsid w:val="2F415DC8"/>
    <w:rsid w:val="2F4222F9"/>
    <w:rsid w:val="2F514AAE"/>
    <w:rsid w:val="2F531FEB"/>
    <w:rsid w:val="2F5B5B3B"/>
    <w:rsid w:val="2F615468"/>
    <w:rsid w:val="2F655F0E"/>
    <w:rsid w:val="2F6B73F9"/>
    <w:rsid w:val="2F6D4FA6"/>
    <w:rsid w:val="2F743486"/>
    <w:rsid w:val="2F756E65"/>
    <w:rsid w:val="2F77354F"/>
    <w:rsid w:val="2F7A7069"/>
    <w:rsid w:val="2F7B2789"/>
    <w:rsid w:val="2F8001B6"/>
    <w:rsid w:val="2F897AA1"/>
    <w:rsid w:val="2F8D4D67"/>
    <w:rsid w:val="2F8E2F8D"/>
    <w:rsid w:val="2F9051B8"/>
    <w:rsid w:val="2F910893"/>
    <w:rsid w:val="2F9A69D2"/>
    <w:rsid w:val="2F9C6646"/>
    <w:rsid w:val="2F9D4AA3"/>
    <w:rsid w:val="2F9F094E"/>
    <w:rsid w:val="2FA5152D"/>
    <w:rsid w:val="2FA91D47"/>
    <w:rsid w:val="2FA96250"/>
    <w:rsid w:val="2FB11323"/>
    <w:rsid w:val="2FBB6A2A"/>
    <w:rsid w:val="2FC2166F"/>
    <w:rsid w:val="2FCB0952"/>
    <w:rsid w:val="2FD53529"/>
    <w:rsid w:val="2FD80709"/>
    <w:rsid w:val="2FDF2368"/>
    <w:rsid w:val="2FDF7CD4"/>
    <w:rsid w:val="2FEC08C6"/>
    <w:rsid w:val="2FEF70A5"/>
    <w:rsid w:val="2FF532B7"/>
    <w:rsid w:val="2FF674CB"/>
    <w:rsid w:val="2FF7251F"/>
    <w:rsid w:val="30007788"/>
    <w:rsid w:val="30037DA4"/>
    <w:rsid w:val="30093592"/>
    <w:rsid w:val="301977C7"/>
    <w:rsid w:val="301E3E25"/>
    <w:rsid w:val="30205153"/>
    <w:rsid w:val="30253FAB"/>
    <w:rsid w:val="30270D6F"/>
    <w:rsid w:val="303B3B59"/>
    <w:rsid w:val="303C0C41"/>
    <w:rsid w:val="303D6437"/>
    <w:rsid w:val="30443F81"/>
    <w:rsid w:val="305831D6"/>
    <w:rsid w:val="305A4537"/>
    <w:rsid w:val="30632880"/>
    <w:rsid w:val="3070014A"/>
    <w:rsid w:val="307B4FFA"/>
    <w:rsid w:val="308136E0"/>
    <w:rsid w:val="3095375A"/>
    <w:rsid w:val="309B2688"/>
    <w:rsid w:val="30A90B96"/>
    <w:rsid w:val="30A91070"/>
    <w:rsid w:val="30B26464"/>
    <w:rsid w:val="30B86332"/>
    <w:rsid w:val="30C91D87"/>
    <w:rsid w:val="30D10B78"/>
    <w:rsid w:val="30D251E3"/>
    <w:rsid w:val="30D36EB7"/>
    <w:rsid w:val="30D45137"/>
    <w:rsid w:val="30D51A41"/>
    <w:rsid w:val="30E7233C"/>
    <w:rsid w:val="31076B28"/>
    <w:rsid w:val="31076EFA"/>
    <w:rsid w:val="310866BC"/>
    <w:rsid w:val="31154DED"/>
    <w:rsid w:val="31215B33"/>
    <w:rsid w:val="312A36B1"/>
    <w:rsid w:val="313A2CAC"/>
    <w:rsid w:val="313E6356"/>
    <w:rsid w:val="31460C29"/>
    <w:rsid w:val="314B3239"/>
    <w:rsid w:val="315B21E9"/>
    <w:rsid w:val="315B5E62"/>
    <w:rsid w:val="31604DC0"/>
    <w:rsid w:val="31607973"/>
    <w:rsid w:val="3163108E"/>
    <w:rsid w:val="31631DE7"/>
    <w:rsid w:val="3167538F"/>
    <w:rsid w:val="317544CD"/>
    <w:rsid w:val="31765162"/>
    <w:rsid w:val="317A487D"/>
    <w:rsid w:val="317D76C8"/>
    <w:rsid w:val="31833BCE"/>
    <w:rsid w:val="318A1515"/>
    <w:rsid w:val="31944F6F"/>
    <w:rsid w:val="31963456"/>
    <w:rsid w:val="31A51052"/>
    <w:rsid w:val="31A77BCC"/>
    <w:rsid w:val="31A84B64"/>
    <w:rsid w:val="31B12D3C"/>
    <w:rsid w:val="31B2653B"/>
    <w:rsid w:val="31B266EC"/>
    <w:rsid w:val="31B45163"/>
    <w:rsid w:val="31B81D35"/>
    <w:rsid w:val="31C3729F"/>
    <w:rsid w:val="31CB617D"/>
    <w:rsid w:val="31CC0ECB"/>
    <w:rsid w:val="31D51D14"/>
    <w:rsid w:val="31DD2EC1"/>
    <w:rsid w:val="31DF1DB8"/>
    <w:rsid w:val="31E4008E"/>
    <w:rsid w:val="31F020DC"/>
    <w:rsid w:val="31F072F8"/>
    <w:rsid w:val="32061C7F"/>
    <w:rsid w:val="320A52D8"/>
    <w:rsid w:val="320D2005"/>
    <w:rsid w:val="32136025"/>
    <w:rsid w:val="32220D79"/>
    <w:rsid w:val="32252577"/>
    <w:rsid w:val="32294648"/>
    <w:rsid w:val="322F0831"/>
    <w:rsid w:val="3238009F"/>
    <w:rsid w:val="323F5519"/>
    <w:rsid w:val="32442E52"/>
    <w:rsid w:val="32471CC6"/>
    <w:rsid w:val="324F0134"/>
    <w:rsid w:val="32540593"/>
    <w:rsid w:val="32575B7F"/>
    <w:rsid w:val="32582CC3"/>
    <w:rsid w:val="327179A4"/>
    <w:rsid w:val="32775626"/>
    <w:rsid w:val="32835AB1"/>
    <w:rsid w:val="328A3A5F"/>
    <w:rsid w:val="328D7371"/>
    <w:rsid w:val="328E2231"/>
    <w:rsid w:val="329326B7"/>
    <w:rsid w:val="329426A2"/>
    <w:rsid w:val="329708DE"/>
    <w:rsid w:val="32AD1211"/>
    <w:rsid w:val="32BE0045"/>
    <w:rsid w:val="32C06EF1"/>
    <w:rsid w:val="32E12F9A"/>
    <w:rsid w:val="32E87F66"/>
    <w:rsid w:val="32EC46FB"/>
    <w:rsid w:val="32F2225C"/>
    <w:rsid w:val="32FA0962"/>
    <w:rsid w:val="32FF12B8"/>
    <w:rsid w:val="330073AA"/>
    <w:rsid w:val="33020BF1"/>
    <w:rsid w:val="330710D7"/>
    <w:rsid w:val="331264BB"/>
    <w:rsid w:val="331E3887"/>
    <w:rsid w:val="33224534"/>
    <w:rsid w:val="332742D9"/>
    <w:rsid w:val="332742E9"/>
    <w:rsid w:val="332850C4"/>
    <w:rsid w:val="332A1AC1"/>
    <w:rsid w:val="332C71E1"/>
    <w:rsid w:val="332E1BC2"/>
    <w:rsid w:val="332F3B66"/>
    <w:rsid w:val="333B116B"/>
    <w:rsid w:val="333E2024"/>
    <w:rsid w:val="33427ABB"/>
    <w:rsid w:val="33616D4E"/>
    <w:rsid w:val="33821BAB"/>
    <w:rsid w:val="338378EA"/>
    <w:rsid w:val="33885755"/>
    <w:rsid w:val="339E18BC"/>
    <w:rsid w:val="33A57822"/>
    <w:rsid w:val="33A77C3C"/>
    <w:rsid w:val="33AA7345"/>
    <w:rsid w:val="33B37087"/>
    <w:rsid w:val="33BA7C82"/>
    <w:rsid w:val="33BC4D91"/>
    <w:rsid w:val="33BF4D9D"/>
    <w:rsid w:val="33C233CD"/>
    <w:rsid w:val="33C504FF"/>
    <w:rsid w:val="33C968FA"/>
    <w:rsid w:val="33D23DF5"/>
    <w:rsid w:val="33D246C3"/>
    <w:rsid w:val="33DF11C8"/>
    <w:rsid w:val="33E442C9"/>
    <w:rsid w:val="33E61B12"/>
    <w:rsid w:val="33EF44FC"/>
    <w:rsid w:val="33F751C3"/>
    <w:rsid w:val="33FE7E15"/>
    <w:rsid w:val="33FF1154"/>
    <w:rsid w:val="340074AF"/>
    <w:rsid w:val="340948E1"/>
    <w:rsid w:val="340D3904"/>
    <w:rsid w:val="341212B1"/>
    <w:rsid w:val="341321BE"/>
    <w:rsid w:val="34155C01"/>
    <w:rsid w:val="34293255"/>
    <w:rsid w:val="34314E1D"/>
    <w:rsid w:val="34374868"/>
    <w:rsid w:val="343D2D4C"/>
    <w:rsid w:val="34417702"/>
    <w:rsid w:val="34417EB0"/>
    <w:rsid w:val="3446518F"/>
    <w:rsid w:val="344A296C"/>
    <w:rsid w:val="344C25CD"/>
    <w:rsid w:val="344E045C"/>
    <w:rsid w:val="344F610D"/>
    <w:rsid w:val="34512060"/>
    <w:rsid w:val="345232B0"/>
    <w:rsid w:val="345A0779"/>
    <w:rsid w:val="345B15DB"/>
    <w:rsid w:val="346B1ADA"/>
    <w:rsid w:val="346C4A94"/>
    <w:rsid w:val="346E7A5A"/>
    <w:rsid w:val="3477244E"/>
    <w:rsid w:val="34782617"/>
    <w:rsid w:val="347946FA"/>
    <w:rsid w:val="347A6171"/>
    <w:rsid w:val="348440EB"/>
    <w:rsid w:val="348D33D3"/>
    <w:rsid w:val="3496737A"/>
    <w:rsid w:val="349C03F2"/>
    <w:rsid w:val="34A238C5"/>
    <w:rsid w:val="34AC0653"/>
    <w:rsid w:val="34AC2DE9"/>
    <w:rsid w:val="34B24855"/>
    <w:rsid w:val="34B55560"/>
    <w:rsid w:val="34B84D9B"/>
    <w:rsid w:val="34BE7103"/>
    <w:rsid w:val="34C9343D"/>
    <w:rsid w:val="34CE3369"/>
    <w:rsid w:val="34DC1C67"/>
    <w:rsid w:val="34E47162"/>
    <w:rsid w:val="34E664D6"/>
    <w:rsid w:val="34F64CDD"/>
    <w:rsid w:val="34FF095B"/>
    <w:rsid w:val="3500311A"/>
    <w:rsid w:val="350B76BF"/>
    <w:rsid w:val="350C5C16"/>
    <w:rsid w:val="351710F0"/>
    <w:rsid w:val="351F4B47"/>
    <w:rsid w:val="352B4097"/>
    <w:rsid w:val="352E435E"/>
    <w:rsid w:val="3534069E"/>
    <w:rsid w:val="353807E2"/>
    <w:rsid w:val="353D45FA"/>
    <w:rsid w:val="353F0E06"/>
    <w:rsid w:val="35422CF2"/>
    <w:rsid w:val="35505013"/>
    <w:rsid w:val="35531CAD"/>
    <w:rsid w:val="356D51F7"/>
    <w:rsid w:val="357972DF"/>
    <w:rsid w:val="357D79D3"/>
    <w:rsid w:val="35804F9D"/>
    <w:rsid w:val="35843B49"/>
    <w:rsid w:val="35884385"/>
    <w:rsid w:val="35890016"/>
    <w:rsid w:val="358B0F26"/>
    <w:rsid w:val="35924A15"/>
    <w:rsid w:val="359753B1"/>
    <w:rsid w:val="35A251D2"/>
    <w:rsid w:val="35A25468"/>
    <w:rsid w:val="35AC56FE"/>
    <w:rsid w:val="35C3354B"/>
    <w:rsid w:val="35C8705E"/>
    <w:rsid w:val="35CB283C"/>
    <w:rsid w:val="35D02A2E"/>
    <w:rsid w:val="35D16387"/>
    <w:rsid w:val="35DC6BD7"/>
    <w:rsid w:val="35DF2011"/>
    <w:rsid w:val="35E1012B"/>
    <w:rsid w:val="35E1505C"/>
    <w:rsid w:val="35E328B8"/>
    <w:rsid w:val="35E3701E"/>
    <w:rsid w:val="35E420DE"/>
    <w:rsid w:val="35E607CD"/>
    <w:rsid w:val="35EB34A9"/>
    <w:rsid w:val="35EC6F4A"/>
    <w:rsid w:val="35EE6A38"/>
    <w:rsid w:val="35F5734F"/>
    <w:rsid w:val="35F65884"/>
    <w:rsid w:val="35F715DC"/>
    <w:rsid w:val="36057267"/>
    <w:rsid w:val="360632C2"/>
    <w:rsid w:val="362131A7"/>
    <w:rsid w:val="362E1546"/>
    <w:rsid w:val="36330CA5"/>
    <w:rsid w:val="363F061B"/>
    <w:rsid w:val="364236D7"/>
    <w:rsid w:val="3654563C"/>
    <w:rsid w:val="365763B3"/>
    <w:rsid w:val="366F70DE"/>
    <w:rsid w:val="367C0A7E"/>
    <w:rsid w:val="36856B5A"/>
    <w:rsid w:val="36883C27"/>
    <w:rsid w:val="36950061"/>
    <w:rsid w:val="36A32443"/>
    <w:rsid w:val="36A61ADA"/>
    <w:rsid w:val="36AC504E"/>
    <w:rsid w:val="36B45F51"/>
    <w:rsid w:val="36B7013F"/>
    <w:rsid w:val="36D37FB9"/>
    <w:rsid w:val="36D40D9D"/>
    <w:rsid w:val="36D71D0D"/>
    <w:rsid w:val="36E17BD4"/>
    <w:rsid w:val="36E30071"/>
    <w:rsid w:val="36E31151"/>
    <w:rsid w:val="36E61D1E"/>
    <w:rsid w:val="36EF4947"/>
    <w:rsid w:val="36F76FAD"/>
    <w:rsid w:val="37060D5C"/>
    <w:rsid w:val="370F6D7D"/>
    <w:rsid w:val="3711176D"/>
    <w:rsid w:val="37113E21"/>
    <w:rsid w:val="37244D17"/>
    <w:rsid w:val="373F483B"/>
    <w:rsid w:val="37451D56"/>
    <w:rsid w:val="375C645A"/>
    <w:rsid w:val="37633810"/>
    <w:rsid w:val="376A27F4"/>
    <w:rsid w:val="37737FCD"/>
    <w:rsid w:val="377E4EC2"/>
    <w:rsid w:val="37831AFE"/>
    <w:rsid w:val="37855CA5"/>
    <w:rsid w:val="379747E4"/>
    <w:rsid w:val="379E41F9"/>
    <w:rsid w:val="37A10A3C"/>
    <w:rsid w:val="37A32862"/>
    <w:rsid w:val="37A771F1"/>
    <w:rsid w:val="37A83EE9"/>
    <w:rsid w:val="37AA1FED"/>
    <w:rsid w:val="37B033F0"/>
    <w:rsid w:val="37B25951"/>
    <w:rsid w:val="37B82D37"/>
    <w:rsid w:val="37BB1880"/>
    <w:rsid w:val="37BF7DD8"/>
    <w:rsid w:val="37CA6F5D"/>
    <w:rsid w:val="37CF39F4"/>
    <w:rsid w:val="37DE142C"/>
    <w:rsid w:val="37DF4E44"/>
    <w:rsid w:val="38093CF4"/>
    <w:rsid w:val="38132FDB"/>
    <w:rsid w:val="381523AC"/>
    <w:rsid w:val="3816611D"/>
    <w:rsid w:val="381A7833"/>
    <w:rsid w:val="381D6FCC"/>
    <w:rsid w:val="38255502"/>
    <w:rsid w:val="382563C3"/>
    <w:rsid w:val="382B10C6"/>
    <w:rsid w:val="384502C9"/>
    <w:rsid w:val="384757BF"/>
    <w:rsid w:val="384A568A"/>
    <w:rsid w:val="384C2E85"/>
    <w:rsid w:val="384D7A6B"/>
    <w:rsid w:val="38527F5E"/>
    <w:rsid w:val="38576EB1"/>
    <w:rsid w:val="385B78DA"/>
    <w:rsid w:val="385E7289"/>
    <w:rsid w:val="386B3647"/>
    <w:rsid w:val="386F64C6"/>
    <w:rsid w:val="38724636"/>
    <w:rsid w:val="38755246"/>
    <w:rsid w:val="38850F2D"/>
    <w:rsid w:val="388F47CD"/>
    <w:rsid w:val="3891497A"/>
    <w:rsid w:val="38921D1F"/>
    <w:rsid w:val="38934709"/>
    <w:rsid w:val="3899545E"/>
    <w:rsid w:val="389B63CB"/>
    <w:rsid w:val="389D36E7"/>
    <w:rsid w:val="38AD0AAC"/>
    <w:rsid w:val="38AF121A"/>
    <w:rsid w:val="38B10DA8"/>
    <w:rsid w:val="38B94B51"/>
    <w:rsid w:val="38B976FB"/>
    <w:rsid w:val="38BB5EDA"/>
    <w:rsid w:val="38C6779A"/>
    <w:rsid w:val="38DC2A26"/>
    <w:rsid w:val="38DC5040"/>
    <w:rsid w:val="38E33CFC"/>
    <w:rsid w:val="38EA0958"/>
    <w:rsid w:val="38EA292A"/>
    <w:rsid w:val="38EB3140"/>
    <w:rsid w:val="38F71493"/>
    <w:rsid w:val="38FC7F68"/>
    <w:rsid w:val="390150BD"/>
    <w:rsid w:val="39015BC8"/>
    <w:rsid w:val="390A29CF"/>
    <w:rsid w:val="39132EBE"/>
    <w:rsid w:val="3923223F"/>
    <w:rsid w:val="392C3404"/>
    <w:rsid w:val="393F3649"/>
    <w:rsid w:val="39434B25"/>
    <w:rsid w:val="39442CC4"/>
    <w:rsid w:val="39473C95"/>
    <w:rsid w:val="394A3B36"/>
    <w:rsid w:val="394C053B"/>
    <w:rsid w:val="394E0439"/>
    <w:rsid w:val="39532D05"/>
    <w:rsid w:val="395A1855"/>
    <w:rsid w:val="395E1405"/>
    <w:rsid w:val="3962425A"/>
    <w:rsid w:val="396E504E"/>
    <w:rsid w:val="396F7993"/>
    <w:rsid w:val="39741673"/>
    <w:rsid w:val="397F2866"/>
    <w:rsid w:val="39850A26"/>
    <w:rsid w:val="39893783"/>
    <w:rsid w:val="399108C7"/>
    <w:rsid w:val="399B6654"/>
    <w:rsid w:val="399C23C2"/>
    <w:rsid w:val="399E7C65"/>
    <w:rsid w:val="39A118CD"/>
    <w:rsid w:val="39A337DD"/>
    <w:rsid w:val="39B1002C"/>
    <w:rsid w:val="39B75345"/>
    <w:rsid w:val="39BA1CF7"/>
    <w:rsid w:val="39BA2065"/>
    <w:rsid w:val="39C83126"/>
    <w:rsid w:val="39CD4753"/>
    <w:rsid w:val="39D037AF"/>
    <w:rsid w:val="39D466BD"/>
    <w:rsid w:val="39D7158B"/>
    <w:rsid w:val="39DC1B39"/>
    <w:rsid w:val="39E03897"/>
    <w:rsid w:val="39E125BA"/>
    <w:rsid w:val="39EE1B0B"/>
    <w:rsid w:val="39F17FFD"/>
    <w:rsid w:val="39F24322"/>
    <w:rsid w:val="39FA1859"/>
    <w:rsid w:val="39FC1FD5"/>
    <w:rsid w:val="3A03384A"/>
    <w:rsid w:val="3A066160"/>
    <w:rsid w:val="3A083121"/>
    <w:rsid w:val="3A0D48B1"/>
    <w:rsid w:val="3A1810FA"/>
    <w:rsid w:val="3A2441B7"/>
    <w:rsid w:val="3A274488"/>
    <w:rsid w:val="3A28048B"/>
    <w:rsid w:val="3A336331"/>
    <w:rsid w:val="3A425B7A"/>
    <w:rsid w:val="3A431472"/>
    <w:rsid w:val="3A474B1C"/>
    <w:rsid w:val="3A491BE6"/>
    <w:rsid w:val="3A5207B4"/>
    <w:rsid w:val="3A541BF5"/>
    <w:rsid w:val="3A553D9F"/>
    <w:rsid w:val="3A597477"/>
    <w:rsid w:val="3A5A285A"/>
    <w:rsid w:val="3A5E32B9"/>
    <w:rsid w:val="3A646A00"/>
    <w:rsid w:val="3A697F71"/>
    <w:rsid w:val="3A6A4AC7"/>
    <w:rsid w:val="3A6E26C3"/>
    <w:rsid w:val="3A6F0BDF"/>
    <w:rsid w:val="3A72622B"/>
    <w:rsid w:val="3A75769F"/>
    <w:rsid w:val="3A7A025B"/>
    <w:rsid w:val="3A7E2244"/>
    <w:rsid w:val="3A861E9F"/>
    <w:rsid w:val="3A897BA1"/>
    <w:rsid w:val="3A9038DA"/>
    <w:rsid w:val="3A936647"/>
    <w:rsid w:val="3A9E4B32"/>
    <w:rsid w:val="3A9F1B2C"/>
    <w:rsid w:val="3AA04C49"/>
    <w:rsid w:val="3AA54470"/>
    <w:rsid w:val="3AA913CF"/>
    <w:rsid w:val="3AB2009E"/>
    <w:rsid w:val="3AB86069"/>
    <w:rsid w:val="3AC036CC"/>
    <w:rsid w:val="3AC205A6"/>
    <w:rsid w:val="3AC257A4"/>
    <w:rsid w:val="3AC334CD"/>
    <w:rsid w:val="3AD16134"/>
    <w:rsid w:val="3AD17EBD"/>
    <w:rsid w:val="3ADE382E"/>
    <w:rsid w:val="3AEA3CFC"/>
    <w:rsid w:val="3AF044A5"/>
    <w:rsid w:val="3AF04F5E"/>
    <w:rsid w:val="3AFC4CC9"/>
    <w:rsid w:val="3B00301D"/>
    <w:rsid w:val="3B1752EE"/>
    <w:rsid w:val="3B1C35AC"/>
    <w:rsid w:val="3B1F0CAE"/>
    <w:rsid w:val="3B22468C"/>
    <w:rsid w:val="3B292A67"/>
    <w:rsid w:val="3B3155AA"/>
    <w:rsid w:val="3B3E0B10"/>
    <w:rsid w:val="3B4F1508"/>
    <w:rsid w:val="3B500D3A"/>
    <w:rsid w:val="3B580D61"/>
    <w:rsid w:val="3B696BF9"/>
    <w:rsid w:val="3B6F0DCA"/>
    <w:rsid w:val="3B754E06"/>
    <w:rsid w:val="3B7B2B0A"/>
    <w:rsid w:val="3B7C7B97"/>
    <w:rsid w:val="3B8372AE"/>
    <w:rsid w:val="3B914065"/>
    <w:rsid w:val="3B9F483C"/>
    <w:rsid w:val="3BB249F7"/>
    <w:rsid w:val="3BBE3122"/>
    <w:rsid w:val="3BC20515"/>
    <w:rsid w:val="3BC53C74"/>
    <w:rsid w:val="3BC60370"/>
    <w:rsid w:val="3BC62C0D"/>
    <w:rsid w:val="3BC772AB"/>
    <w:rsid w:val="3BC812C8"/>
    <w:rsid w:val="3BD741DE"/>
    <w:rsid w:val="3BE7491F"/>
    <w:rsid w:val="3BE82033"/>
    <w:rsid w:val="3BEF3F98"/>
    <w:rsid w:val="3BF01125"/>
    <w:rsid w:val="3BF1165C"/>
    <w:rsid w:val="3BF82655"/>
    <w:rsid w:val="3BF90B59"/>
    <w:rsid w:val="3C035D20"/>
    <w:rsid w:val="3C0C1C74"/>
    <w:rsid w:val="3C12184A"/>
    <w:rsid w:val="3C165216"/>
    <w:rsid w:val="3C20030B"/>
    <w:rsid w:val="3C220A63"/>
    <w:rsid w:val="3C257E8D"/>
    <w:rsid w:val="3C286FD8"/>
    <w:rsid w:val="3C326DEB"/>
    <w:rsid w:val="3C3C1378"/>
    <w:rsid w:val="3C497D33"/>
    <w:rsid w:val="3C5A342C"/>
    <w:rsid w:val="3C5C0867"/>
    <w:rsid w:val="3C656EED"/>
    <w:rsid w:val="3C685003"/>
    <w:rsid w:val="3C6D452D"/>
    <w:rsid w:val="3C6E7843"/>
    <w:rsid w:val="3C727A71"/>
    <w:rsid w:val="3C732FE2"/>
    <w:rsid w:val="3C786DE5"/>
    <w:rsid w:val="3C7A20C3"/>
    <w:rsid w:val="3C7A3669"/>
    <w:rsid w:val="3C7D3E58"/>
    <w:rsid w:val="3C882BD0"/>
    <w:rsid w:val="3C94545E"/>
    <w:rsid w:val="3C975DCC"/>
    <w:rsid w:val="3CAE0651"/>
    <w:rsid w:val="3CBC2D9B"/>
    <w:rsid w:val="3CC5588D"/>
    <w:rsid w:val="3CCD1D16"/>
    <w:rsid w:val="3CD83C07"/>
    <w:rsid w:val="3CD85D57"/>
    <w:rsid w:val="3CD87AA0"/>
    <w:rsid w:val="3CDA5112"/>
    <w:rsid w:val="3CDB62C1"/>
    <w:rsid w:val="3CE13BDF"/>
    <w:rsid w:val="3CE26359"/>
    <w:rsid w:val="3CE70364"/>
    <w:rsid w:val="3CFD4D35"/>
    <w:rsid w:val="3D064D69"/>
    <w:rsid w:val="3D0E3667"/>
    <w:rsid w:val="3D0E399D"/>
    <w:rsid w:val="3D123F8D"/>
    <w:rsid w:val="3D12721E"/>
    <w:rsid w:val="3D172422"/>
    <w:rsid w:val="3D1B45BC"/>
    <w:rsid w:val="3D27093B"/>
    <w:rsid w:val="3D2955EE"/>
    <w:rsid w:val="3D351ADA"/>
    <w:rsid w:val="3D3D6CB6"/>
    <w:rsid w:val="3D444248"/>
    <w:rsid w:val="3D4B2FA5"/>
    <w:rsid w:val="3D527DA5"/>
    <w:rsid w:val="3D546058"/>
    <w:rsid w:val="3D5461A9"/>
    <w:rsid w:val="3D58650A"/>
    <w:rsid w:val="3D590765"/>
    <w:rsid w:val="3D5A6060"/>
    <w:rsid w:val="3D640E16"/>
    <w:rsid w:val="3D67132F"/>
    <w:rsid w:val="3D7B0D27"/>
    <w:rsid w:val="3D7E27A0"/>
    <w:rsid w:val="3D874F51"/>
    <w:rsid w:val="3D896CEB"/>
    <w:rsid w:val="3D9A2D6C"/>
    <w:rsid w:val="3D9D0681"/>
    <w:rsid w:val="3DAF1596"/>
    <w:rsid w:val="3DB52668"/>
    <w:rsid w:val="3DD3077A"/>
    <w:rsid w:val="3DDF7A0D"/>
    <w:rsid w:val="3DFD4BBE"/>
    <w:rsid w:val="3E00097B"/>
    <w:rsid w:val="3E011326"/>
    <w:rsid w:val="3E024B7B"/>
    <w:rsid w:val="3E104548"/>
    <w:rsid w:val="3E19435F"/>
    <w:rsid w:val="3E20393D"/>
    <w:rsid w:val="3E205773"/>
    <w:rsid w:val="3E264903"/>
    <w:rsid w:val="3E2806A1"/>
    <w:rsid w:val="3E2E35CB"/>
    <w:rsid w:val="3E31025E"/>
    <w:rsid w:val="3E342DA3"/>
    <w:rsid w:val="3E3D1463"/>
    <w:rsid w:val="3E471ABE"/>
    <w:rsid w:val="3E4755F9"/>
    <w:rsid w:val="3E492A39"/>
    <w:rsid w:val="3E4B1409"/>
    <w:rsid w:val="3E556354"/>
    <w:rsid w:val="3E6336EF"/>
    <w:rsid w:val="3E660D1B"/>
    <w:rsid w:val="3E6E2E9E"/>
    <w:rsid w:val="3E7833E1"/>
    <w:rsid w:val="3E8222F7"/>
    <w:rsid w:val="3E8258B1"/>
    <w:rsid w:val="3E8821CE"/>
    <w:rsid w:val="3E92738B"/>
    <w:rsid w:val="3E99456A"/>
    <w:rsid w:val="3E9E1385"/>
    <w:rsid w:val="3EA0570F"/>
    <w:rsid w:val="3EA2409C"/>
    <w:rsid w:val="3EAD3D57"/>
    <w:rsid w:val="3EAF02B7"/>
    <w:rsid w:val="3EB1188E"/>
    <w:rsid w:val="3EB428B4"/>
    <w:rsid w:val="3EBD63D7"/>
    <w:rsid w:val="3EC07733"/>
    <w:rsid w:val="3EC334A7"/>
    <w:rsid w:val="3EC678BC"/>
    <w:rsid w:val="3ED01824"/>
    <w:rsid w:val="3EE067CA"/>
    <w:rsid w:val="3EEF26AB"/>
    <w:rsid w:val="3EF21C38"/>
    <w:rsid w:val="3EF57D05"/>
    <w:rsid w:val="3EF96B38"/>
    <w:rsid w:val="3F002CCF"/>
    <w:rsid w:val="3F0566FF"/>
    <w:rsid w:val="3F0605BE"/>
    <w:rsid w:val="3F06365D"/>
    <w:rsid w:val="3F0A3CA5"/>
    <w:rsid w:val="3F0B1DB8"/>
    <w:rsid w:val="3F0C44E7"/>
    <w:rsid w:val="3F0E6EA3"/>
    <w:rsid w:val="3F122278"/>
    <w:rsid w:val="3F155D82"/>
    <w:rsid w:val="3F261DEC"/>
    <w:rsid w:val="3F305E06"/>
    <w:rsid w:val="3F453E8A"/>
    <w:rsid w:val="3F47737F"/>
    <w:rsid w:val="3F523976"/>
    <w:rsid w:val="3F52626A"/>
    <w:rsid w:val="3F526B75"/>
    <w:rsid w:val="3F5322DF"/>
    <w:rsid w:val="3F556A35"/>
    <w:rsid w:val="3F5867B3"/>
    <w:rsid w:val="3F5A301C"/>
    <w:rsid w:val="3F637202"/>
    <w:rsid w:val="3F65418C"/>
    <w:rsid w:val="3F664F14"/>
    <w:rsid w:val="3F6763B0"/>
    <w:rsid w:val="3F6D1D36"/>
    <w:rsid w:val="3F6D2017"/>
    <w:rsid w:val="3F7339EB"/>
    <w:rsid w:val="3F770167"/>
    <w:rsid w:val="3F7D65D1"/>
    <w:rsid w:val="3F836296"/>
    <w:rsid w:val="3F9526FD"/>
    <w:rsid w:val="3F960218"/>
    <w:rsid w:val="3F9B508E"/>
    <w:rsid w:val="3FA01128"/>
    <w:rsid w:val="3FA10F73"/>
    <w:rsid w:val="3FA51002"/>
    <w:rsid w:val="3FA5548C"/>
    <w:rsid w:val="3FB1448E"/>
    <w:rsid w:val="3FB33F0F"/>
    <w:rsid w:val="3FB56B87"/>
    <w:rsid w:val="3FB827B0"/>
    <w:rsid w:val="3FB9798A"/>
    <w:rsid w:val="3FBC4DF5"/>
    <w:rsid w:val="3FBE226E"/>
    <w:rsid w:val="3FC1797E"/>
    <w:rsid w:val="3FC25752"/>
    <w:rsid w:val="3FC74EA5"/>
    <w:rsid w:val="3FC80A13"/>
    <w:rsid w:val="3FC924C5"/>
    <w:rsid w:val="3FD001E0"/>
    <w:rsid w:val="3FD35125"/>
    <w:rsid w:val="3FDD5AA3"/>
    <w:rsid w:val="3FDD60EB"/>
    <w:rsid w:val="3FE1611D"/>
    <w:rsid w:val="3FE9762E"/>
    <w:rsid w:val="3FEB7EF7"/>
    <w:rsid w:val="3FF0534A"/>
    <w:rsid w:val="3FFC6AA1"/>
    <w:rsid w:val="3FFE725C"/>
    <w:rsid w:val="400D4689"/>
    <w:rsid w:val="40171E63"/>
    <w:rsid w:val="401B305E"/>
    <w:rsid w:val="401C023A"/>
    <w:rsid w:val="401E624D"/>
    <w:rsid w:val="4040700B"/>
    <w:rsid w:val="404E183E"/>
    <w:rsid w:val="40505926"/>
    <w:rsid w:val="405074F9"/>
    <w:rsid w:val="40592E1A"/>
    <w:rsid w:val="40742B10"/>
    <w:rsid w:val="40851F94"/>
    <w:rsid w:val="40860806"/>
    <w:rsid w:val="408727EE"/>
    <w:rsid w:val="40881B05"/>
    <w:rsid w:val="408B015C"/>
    <w:rsid w:val="408D2092"/>
    <w:rsid w:val="40987E91"/>
    <w:rsid w:val="40AE535D"/>
    <w:rsid w:val="40B323C5"/>
    <w:rsid w:val="40B40F93"/>
    <w:rsid w:val="40B77C21"/>
    <w:rsid w:val="40BB1B3B"/>
    <w:rsid w:val="40C87F0D"/>
    <w:rsid w:val="40E13187"/>
    <w:rsid w:val="40E4111E"/>
    <w:rsid w:val="40F110C9"/>
    <w:rsid w:val="40F71EFC"/>
    <w:rsid w:val="40FA7D3C"/>
    <w:rsid w:val="40FC6040"/>
    <w:rsid w:val="41013098"/>
    <w:rsid w:val="41046C1A"/>
    <w:rsid w:val="410A66D3"/>
    <w:rsid w:val="411252F5"/>
    <w:rsid w:val="41216561"/>
    <w:rsid w:val="4126157E"/>
    <w:rsid w:val="412E1703"/>
    <w:rsid w:val="41341D04"/>
    <w:rsid w:val="413D5182"/>
    <w:rsid w:val="41463814"/>
    <w:rsid w:val="414E4666"/>
    <w:rsid w:val="415840E7"/>
    <w:rsid w:val="415C6645"/>
    <w:rsid w:val="415D4AA5"/>
    <w:rsid w:val="415E3F30"/>
    <w:rsid w:val="41634269"/>
    <w:rsid w:val="416F185F"/>
    <w:rsid w:val="41755F8B"/>
    <w:rsid w:val="417E6FB2"/>
    <w:rsid w:val="41804E56"/>
    <w:rsid w:val="418B61F9"/>
    <w:rsid w:val="418C5064"/>
    <w:rsid w:val="41901D5A"/>
    <w:rsid w:val="41A26E55"/>
    <w:rsid w:val="41AE168E"/>
    <w:rsid w:val="41B000EA"/>
    <w:rsid w:val="41B625DB"/>
    <w:rsid w:val="41BB28C5"/>
    <w:rsid w:val="41C505B5"/>
    <w:rsid w:val="41D7643D"/>
    <w:rsid w:val="41D80DF6"/>
    <w:rsid w:val="41F41099"/>
    <w:rsid w:val="41F4144D"/>
    <w:rsid w:val="41F425A0"/>
    <w:rsid w:val="41FD1E4D"/>
    <w:rsid w:val="41FF1232"/>
    <w:rsid w:val="42004A07"/>
    <w:rsid w:val="42036CED"/>
    <w:rsid w:val="420445BE"/>
    <w:rsid w:val="42044B55"/>
    <w:rsid w:val="42106699"/>
    <w:rsid w:val="421D3532"/>
    <w:rsid w:val="422747DE"/>
    <w:rsid w:val="423D7E2C"/>
    <w:rsid w:val="42405192"/>
    <w:rsid w:val="4253494B"/>
    <w:rsid w:val="42563DD4"/>
    <w:rsid w:val="425F0874"/>
    <w:rsid w:val="42605991"/>
    <w:rsid w:val="42624CEC"/>
    <w:rsid w:val="42667AD5"/>
    <w:rsid w:val="426B2083"/>
    <w:rsid w:val="42745271"/>
    <w:rsid w:val="42746AFF"/>
    <w:rsid w:val="427A2426"/>
    <w:rsid w:val="428622E0"/>
    <w:rsid w:val="428740C5"/>
    <w:rsid w:val="4295023B"/>
    <w:rsid w:val="42A72E3E"/>
    <w:rsid w:val="42A9771E"/>
    <w:rsid w:val="42AB3CF1"/>
    <w:rsid w:val="42AF06BF"/>
    <w:rsid w:val="42AF744D"/>
    <w:rsid w:val="42B97DE2"/>
    <w:rsid w:val="42BD3640"/>
    <w:rsid w:val="42BE1411"/>
    <w:rsid w:val="42BF0482"/>
    <w:rsid w:val="42C3638C"/>
    <w:rsid w:val="42C8399F"/>
    <w:rsid w:val="42CC1C77"/>
    <w:rsid w:val="42CE7CBC"/>
    <w:rsid w:val="42E67A2D"/>
    <w:rsid w:val="42EF6EDD"/>
    <w:rsid w:val="42F63370"/>
    <w:rsid w:val="4303189E"/>
    <w:rsid w:val="43043B4B"/>
    <w:rsid w:val="430C0701"/>
    <w:rsid w:val="431D662D"/>
    <w:rsid w:val="431D7413"/>
    <w:rsid w:val="43230977"/>
    <w:rsid w:val="43260906"/>
    <w:rsid w:val="4329778C"/>
    <w:rsid w:val="432A433E"/>
    <w:rsid w:val="432F48E4"/>
    <w:rsid w:val="433451E7"/>
    <w:rsid w:val="433454E3"/>
    <w:rsid w:val="43380FA2"/>
    <w:rsid w:val="433914CB"/>
    <w:rsid w:val="434030C7"/>
    <w:rsid w:val="434321EE"/>
    <w:rsid w:val="434C3803"/>
    <w:rsid w:val="4357411B"/>
    <w:rsid w:val="43624524"/>
    <w:rsid w:val="436E4602"/>
    <w:rsid w:val="43773B38"/>
    <w:rsid w:val="437C303F"/>
    <w:rsid w:val="437E59F4"/>
    <w:rsid w:val="437F0235"/>
    <w:rsid w:val="438108B1"/>
    <w:rsid w:val="438127FD"/>
    <w:rsid w:val="438C318F"/>
    <w:rsid w:val="438D2962"/>
    <w:rsid w:val="439125BA"/>
    <w:rsid w:val="439E21D0"/>
    <w:rsid w:val="43A136C2"/>
    <w:rsid w:val="43A47C8D"/>
    <w:rsid w:val="43A51CEB"/>
    <w:rsid w:val="43A81FCF"/>
    <w:rsid w:val="43A922AD"/>
    <w:rsid w:val="43AE228C"/>
    <w:rsid w:val="43B03D9F"/>
    <w:rsid w:val="43B2322B"/>
    <w:rsid w:val="43B27B0F"/>
    <w:rsid w:val="43BD17B6"/>
    <w:rsid w:val="43BF433F"/>
    <w:rsid w:val="43C60D41"/>
    <w:rsid w:val="43C71A8C"/>
    <w:rsid w:val="43CB49D5"/>
    <w:rsid w:val="43CC296D"/>
    <w:rsid w:val="43D10BA3"/>
    <w:rsid w:val="43D51B86"/>
    <w:rsid w:val="43D5596E"/>
    <w:rsid w:val="43D946DF"/>
    <w:rsid w:val="43DD3E84"/>
    <w:rsid w:val="43E63A35"/>
    <w:rsid w:val="43EA4AD8"/>
    <w:rsid w:val="43EA731F"/>
    <w:rsid w:val="43EF4362"/>
    <w:rsid w:val="43F5608C"/>
    <w:rsid w:val="43FA20D7"/>
    <w:rsid w:val="440433D0"/>
    <w:rsid w:val="44081998"/>
    <w:rsid w:val="440A1D09"/>
    <w:rsid w:val="44105FE6"/>
    <w:rsid w:val="44163757"/>
    <w:rsid w:val="442E6250"/>
    <w:rsid w:val="44304862"/>
    <w:rsid w:val="44336B29"/>
    <w:rsid w:val="44342374"/>
    <w:rsid w:val="44411D78"/>
    <w:rsid w:val="444255C8"/>
    <w:rsid w:val="44555450"/>
    <w:rsid w:val="44565401"/>
    <w:rsid w:val="445C184B"/>
    <w:rsid w:val="445C1F8C"/>
    <w:rsid w:val="445C2CEB"/>
    <w:rsid w:val="44623D2C"/>
    <w:rsid w:val="4469425C"/>
    <w:rsid w:val="446C5925"/>
    <w:rsid w:val="44715BA6"/>
    <w:rsid w:val="44744DE1"/>
    <w:rsid w:val="4480267E"/>
    <w:rsid w:val="44813BCD"/>
    <w:rsid w:val="44825908"/>
    <w:rsid w:val="448F333F"/>
    <w:rsid w:val="449A5595"/>
    <w:rsid w:val="44A273D7"/>
    <w:rsid w:val="44A3165A"/>
    <w:rsid w:val="44A949BB"/>
    <w:rsid w:val="44B47D28"/>
    <w:rsid w:val="44BE6AFA"/>
    <w:rsid w:val="44BE7B38"/>
    <w:rsid w:val="44C10C52"/>
    <w:rsid w:val="44C4343F"/>
    <w:rsid w:val="44CC5637"/>
    <w:rsid w:val="44CE1860"/>
    <w:rsid w:val="44D01EAB"/>
    <w:rsid w:val="44D61276"/>
    <w:rsid w:val="44F550F4"/>
    <w:rsid w:val="44FB2020"/>
    <w:rsid w:val="450005C9"/>
    <w:rsid w:val="450E225C"/>
    <w:rsid w:val="450E5F3E"/>
    <w:rsid w:val="451C3C3F"/>
    <w:rsid w:val="45202195"/>
    <w:rsid w:val="45282E33"/>
    <w:rsid w:val="45361C96"/>
    <w:rsid w:val="45367180"/>
    <w:rsid w:val="453936A0"/>
    <w:rsid w:val="454B27CA"/>
    <w:rsid w:val="4555071F"/>
    <w:rsid w:val="455B027F"/>
    <w:rsid w:val="45634F36"/>
    <w:rsid w:val="456433C3"/>
    <w:rsid w:val="4566286A"/>
    <w:rsid w:val="456653F0"/>
    <w:rsid w:val="456745BB"/>
    <w:rsid w:val="45677DA7"/>
    <w:rsid w:val="45736E48"/>
    <w:rsid w:val="45743F66"/>
    <w:rsid w:val="45761FD8"/>
    <w:rsid w:val="457B0C49"/>
    <w:rsid w:val="45864B77"/>
    <w:rsid w:val="458A06CD"/>
    <w:rsid w:val="458D3A63"/>
    <w:rsid w:val="4597177B"/>
    <w:rsid w:val="45A85821"/>
    <w:rsid w:val="45AA0EA4"/>
    <w:rsid w:val="45AC57A6"/>
    <w:rsid w:val="45AF03CF"/>
    <w:rsid w:val="45B23BD8"/>
    <w:rsid w:val="45B31674"/>
    <w:rsid w:val="45B52BBB"/>
    <w:rsid w:val="45C3178B"/>
    <w:rsid w:val="45C56C6C"/>
    <w:rsid w:val="45C81474"/>
    <w:rsid w:val="45C85D55"/>
    <w:rsid w:val="45C91BC6"/>
    <w:rsid w:val="45CC3D6F"/>
    <w:rsid w:val="45CD1312"/>
    <w:rsid w:val="45CE3F02"/>
    <w:rsid w:val="45D44802"/>
    <w:rsid w:val="45DE2684"/>
    <w:rsid w:val="45E349A9"/>
    <w:rsid w:val="45F22D7B"/>
    <w:rsid w:val="45F25B71"/>
    <w:rsid w:val="45F6092A"/>
    <w:rsid w:val="45FD29AC"/>
    <w:rsid w:val="46122C2B"/>
    <w:rsid w:val="461E6998"/>
    <w:rsid w:val="46202725"/>
    <w:rsid w:val="4622618B"/>
    <w:rsid w:val="4624768B"/>
    <w:rsid w:val="46283409"/>
    <w:rsid w:val="462E1DEC"/>
    <w:rsid w:val="462F257F"/>
    <w:rsid w:val="46316796"/>
    <w:rsid w:val="46436765"/>
    <w:rsid w:val="46445FDE"/>
    <w:rsid w:val="464C5980"/>
    <w:rsid w:val="464C598F"/>
    <w:rsid w:val="46541012"/>
    <w:rsid w:val="46595BDC"/>
    <w:rsid w:val="465B04AA"/>
    <w:rsid w:val="466467A4"/>
    <w:rsid w:val="466B7E63"/>
    <w:rsid w:val="46726232"/>
    <w:rsid w:val="46731512"/>
    <w:rsid w:val="46795DED"/>
    <w:rsid w:val="468843FE"/>
    <w:rsid w:val="469849B7"/>
    <w:rsid w:val="46991FD8"/>
    <w:rsid w:val="469D4E61"/>
    <w:rsid w:val="46A36DFD"/>
    <w:rsid w:val="46BC2272"/>
    <w:rsid w:val="46D62B88"/>
    <w:rsid w:val="46D929E4"/>
    <w:rsid w:val="46DA3CDF"/>
    <w:rsid w:val="46DD3A97"/>
    <w:rsid w:val="46E122D5"/>
    <w:rsid w:val="46E51519"/>
    <w:rsid w:val="46E72217"/>
    <w:rsid w:val="46EB56D0"/>
    <w:rsid w:val="46EF6BE5"/>
    <w:rsid w:val="46F94629"/>
    <w:rsid w:val="46FE33A2"/>
    <w:rsid w:val="47034B98"/>
    <w:rsid w:val="47067487"/>
    <w:rsid w:val="470675DD"/>
    <w:rsid w:val="47102BE0"/>
    <w:rsid w:val="47115999"/>
    <w:rsid w:val="47123D8D"/>
    <w:rsid w:val="471651A2"/>
    <w:rsid w:val="47195C33"/>
    <w:rsid w:val="472322A2"/>
    <w:rsid w:val="472D408E"/>
    <w:rsid w:val="472E14A0"/>
    <w:rsid w:val="472F2F47"/>
    <w:rsid w:val="47304A60"/>
    <w:rsid w:val="47321070"/>
    <w:rsid w:val="47382CDB"/>
    <w:rsid w:val="47383706"/>
    <w:rsid w:val="473F3443"/>
    <w:rsid w:val="47442FEA"/>
    <w:rsid w:val="47476898"/>
    <w:rsid w:val="474825BA"/>
    <w:rsid w:val="47524966"/>
    <w:rsid w:val="475E1AB6"/>
    <w:rsid w:val="4764753D"/>
    <w:rsid w:val="47663624"/>
    <w:rsid w:val="4779594B"/>
    <w:rsid w:val="477E3FE9"/>
    <w:rsid w:val="478E58BD"/>
    <w:rsid w:val="47933AFC"/>
    <w:rsid w:val="47946581"/>
    <w:rsid w:val="47997ECC"/>
    <w:rsid w:val="47A938A8"/>
    <w:rsid w:val="47AD2393"/>
    <w:rsid w:val="47AF4DB4"/>
    <w:rsid w:val="47C05960"/>
    <w:rsid w:val="47CA211A"/>
    <w:rsid w:val="47CE6AD8"/>
    <w:rsid w:val="47D00B76"/>
    <w:rsid w:val="47D266F4"/>
    <w:rsid w:val="47EA3D7A"/>
    <w:rsid w:val="47EB3A88"/>
    <w:rsid w:val="47ED09EA"/>
    <w:rsid w:val="47F03825"/>
    <w:rsid w:val="47F67231"/>
    <w:rsid w:val="47F72583"/>
    <w:rsid w:val="47FE4F97"/>
    <w:rsid w:val="48043BE9"/>
    <w:rsid w:val="48050F31"/>
    <w:rsid w:val="480B064E"/>
    <w:rsid w:val="48152A57"/>
    <w:rsid w:val="481B77EC"/>
    <w:rsid w:val="481F00E4"/>
    <w:rsid w:val="48230137"/>
    <w:rsid w:val="482A5E63"/>
    <w:rsid w:val="48357C17"/>
    <w:rsid w:val="483602D1"/>
    <w:rsid w:val="48360F72"/>
    <w:rsid w:val="48466EDC"/>
    <w:rsid w:val="486022F2"/>
    <w:rsid w:val="486505C9"/>
    <w:rsid w:val="48717233"/>
    <w:rsid w:val="487736C7"/>
    <w:rsid w:val="48794416"/>
    <w:rsid w:val="4886149A"/>
    <w:rsid w:val="48870995"/>
    <w:rsid w:val="488933F6"/>
    <w:rsid w:val="488F18B7"/>
    <w:rsid w:val="489C5A7F"/>
    <w:rsid w:val="489C5B95"/>
    <w:rsid w:val="489F248C"/>
    <w:rsid w:val="48A47128"/>
    <w:rsid w:val="48A53F58"/>
    <w:rsid w:val="48AA10E1"/>
    <w:rsid w:val="48AF1323"/>
    <w:rsid w:val="48B2080D"/>
    <w:rsid w:val="48B5518F"/>
    <w:rsid w:val="48BE6136"/>
    <w:rsid w:val="48C17060"/>
    <w:rsid w:val="48D22DB3"/>
    <w:rsid w:val="48D93445"/>
    <w:rsid w:val="48DA1D9C"/>
    <w:rsid w:val="48DC218D"/>
    <w:rsid w:val="48DF3D7D"/>
    <w:rsid w:val="48E4725A"/>
    <w:rsid w:val="48E915DE"/>
    <w:rsid w:val="48EB611E"/>
    <w:rsid w:val="48F7177C"/>
    <w:rsid w:val="48F9720D"/>
    <w:rsid w:val="490008E6"/>
    <w:rsid w:val="490425AB"/>
    <w:rsid w:val="49047124"/>
    <w:rsid w:val="49076238"/>
    <w:rsid w:val="49104838"/>
    <w:rsid w:val="49200C47"/>
    <w:rsid w:val="49250443"/>
    <w:rsid w:val="49267368"/>
    <w:rsid w:val="49276313"/>
    <w:rsid w:val="492F1B04"/>
    <w:rsid w:val="4930158D"/>
    <w:rsid w:val="493166F2"/>
    <w:rsid w:val="493D14A2"/>
    <w:rsid w:val="493E2578"/>
    <w:rsid w:val="4943084D"/>
    <w:rsid w:val="495B2F5A"/>
    <w:rsid w:val="49660B64"/>
    <w:rsid w:val="496E056A"/>
    <w:rsid w:val="497930F9"/>
    <w:rsid w:val="497E5F0E"/>
    <w:rsid w:val="49863345"/>
    <w:rsid w:val="49895BF9"/>
    <w:rsid w:val="49896889"/>
    <w:rsid w:val="498B006E"/>
    <w:rsid w:val="499C126E"/>
    <w:rsid w:val="49A20032"/>
    <w:rsid w:val="49A82756"/>
    <w:rsid w:val="49A86BF4"/>
    <w:rsid w:val="49A902DE"/>
    <w:rsid w:val="49A961CD"/>
    <w:rsid w:val="49B01F07"/>
    <w:rsid w:val="49B337E8"/>
    <w:rsid w:val="49B57903"/>
    <w:rsid w:val="49BB0B72"/>
    <w:rsid w:val="49CD3C98"/>
    <w:rsid w:val="49E27CCF"/>
    <w:rsid w:val="49F44446"/>
    <w:rsid w:val="49F543E3"/>
    <w:rsid w:val="49FA00AE"/>
    <w:rsid w:val="4A037F7B"/>
    <w:rsid w:val="4A0C3345"/>
    <w:rsid w:val="4A12511A"/>
    <w:rsid w:val="4A1C6B3C"/>
    <w:rsid w:val="4A2A339F"/>
    <w:rsid w:val="4A3849A0"/>
    <w:rsid w:val="4A3B0ADD"/>
    <w:rsid w:val="4A3D1213"/>
    <w:rsid w:val="4A405618"/>
    <w:rsid w:val="4A42752E"/>
    <w:rsid w:val="4A463FDD"/>
    <w:rsid w:val="4A4D2C8C"/>
    <w:rsid w:val="4A4D6FE1"/>
    <w:rsid w:val="4A4F464E"/>
    <w:rsid w:val="4A500FF5"/>
    <w:rsid w:val="4A51053D"/>
    <w:rsid w:val="4A541B9F"/>
    <w:rsid w:val="4A5B2412"/>
    <w:rsid w:val="4A603371"/>
    <w:rsid w:val="4A665A8F"/>
    <w:rsid w:val="4A6B6C00"/>
    <w:rsid w:val="4A7A1A7F"/>
    <w:rsid w:val="4A7B1C95"/>
    <w:rsid w:val="4A7C6D92"/>
    <w:rsid w:val="4A80680F"/>
    <w:rsid w:val="4A8B2BFF"/>
    <w:rsid w:val="4A8C3D45"/>
    <w:rsid w:val="4A996D58"/>
    <w:rsid w:val="4AA637CE"/>
    <w:rsid w:val="4AAA2363"/>
    <w:rsid w:val="4AAC0232"/>
    <w:rsid w:val="4AB420A2"/>
    <w:rsid w:val="4AB42562"/>
    <w:rsid w:val="4AB971E8"/>
    <w:rsid w:val="4ABC4127"/>
    <w:rsid w:val="4AC14B57"/>
    <w:rsid w:val="4AC462B3"/>
    <w:rsid w:val="4AC908CA"/>
    <w:rsid w:val="4AC95E08"/>
    <w:rsid w:val="4ACC60F1"/>
    <w:rsid w:val="4ACE3D63"/>
    <w:rsid w:val="4AD13FBF"/>
    <w:rsid w:val="4AD37FB6"/>
    <w:rsid w:val="4AED546D"/>
    <w:rsid w:val="4AF15169"/>
    <w:rsid w:val="4AF33411"/>
    <w:rsid w:val="4AFC4739"/>
    <w:rsid w:val="4AFF7966"/>
    <w:rsid w:val="4B0F4D9F"/>
    <w:rsid w:val="4B2B654D"/>
    <w:rsid w:val="4B2D2A9B"/>
    <w:rsid w:val="4B313BE7"/>
    <w:rsid w:val="4B331125"/>
    <w:rsid w:val="4B3405F9"/>
    <w:rsid w:val="4B473804"/>
    <w:rsid w:val="4B5151AA"/>
    <w:rsid w:val="4B537CBF"/>
    <w:rsid w:val="4B550153"/>
    <w:rsid w:val="4B641191"/>
    <w:rsid w:val="4B694B3A"/>
    <w:rsid w:val="4B730932"/>
    <w:rsid w:val="4B76529F"/>
    <w:rsid w:val="4B797876"/>
    <w:rsid w:val="4B7A237E"/>
    <w:rsid w:val="4B815FB3"/>
    <w:rsid w:val="4B86443F"/>
    <w:rsid w:val="4B9A0C4D"/>
    <w:rsid w:val="4B9B3B70"/>
    <w:rsid w:val="4B9E7936"/>
    <w:rsid w:val="4BAC176A"/>
    <w:rsid w:val="4BB7667A"/>
    <w:rsid w:val="4BBA25CD"/>
    <w:rsid w:val="4BBB242F"/>
    <w:rsid w:val="4BBB66CC"/>
    <w:rsid w:val="4BC15B7C"/>
    <w:rsid w:val="4BC22308"/>
    <w:rsid w:val="4BCC5B3C"/>
    <w:rsid w:val="4BD06F1C"/>
    <w:rsid w:val="4BD119E3"/>
    <w:rsid w:val="4BD11B2A"/>
    <w:rsid w:val="4BD13574"/>
    <w:rsid w:val="4BD47BEF"/>
    <w:rsid w:val="4BDA74DE"/>
    <w:rsid w:val="4BE06BCD"/>
    <w:rsid w:val="4BE413D6"/>
    <w:rsid w:val="4BE86538"/>
    <w:rsid w:val="4C001FDF"/>
    <w:rsid w:val="4C040A9A"/>
    <w:rsid w:val="4C0770C1"/>
    <w:rsid w:val="4C1F0776"/>
    <w:rsid w:val="4C232063"/>
    <w:rsid w:val="4C2503E2"/>
    <w:rsid w:val="4C2C299D"/>
    <w:rsid w:val="4C322608"/>
    <w:rsid w:val="4C3238CA"/>
    <w:rsid w:val="4C343A7F"/>
    <w:rsid w:val="4C380D78"/>
    <w:rsid w:val="4C3D0756"/>
    <w:rsid w:val="4C3D5FB7"/>
    <w:rsid w:val="4C4C1686"/>
    <w:rsid w:val="4C513E4B"/>
    <w:rsid w:val="4C603F1D"/>
    <w:rsid w:val="4C6211EA"/>
    <w:rsid w:val="4C635D18"/>
    <w:rsid w:val="4C670EB1"/>
    <w:rsid w:val="4C712086"/>
    <w:rsid w:val="4C7120EC"/>
    <w:rsid w:val="4C7B3D80"/>
    <w:rsid w:val="4C7C605E"/>
    <w:rsid w:val="4C7E2355"/>
    <w:rsid w:val="4C847264"/>
    <w:rsid w:val="4C970E7B"/>
    <w:rsid w:val="4CC1054F"/>
    <w:rsid w:val="4CCB1948"/>
    <w:rsid w:val="4CCE079D"/>
    <w:rsid w:val="4CCE3699"/>
    <w:rsid w:val="4CEA4F4D"/>
    <w:rsid w:val="4CEC58DB"/>
    <w:rsid w:val="4CEF637A"/>
    <w:rsid w:val="4CF00FB6"/>
    <w:rsid w:val="4CF16277"/>
    <w:rsid w:val="4CF4672D"/>
    <w:rsid w:val="4CFA2AAF"/>
    <w:rsid w:val="4CFB3299"/>
    <w:rsid w:val="4D035A68"/>
    <w:rsid w:val="4D0F26CE"/>
    <w:rsid w:val="4D147026"/>
    <w:rsid w:val="4D1478EC"/>
    <w:rsid w:val="4D165C91"/>
    <w:rsid w:val="4D235945"/>
    <w:rsid w:val="4D255F0E"/>
    <w:rsid w:val="4D2F06BA"/>
    <w:rsid w:val="4D304130"/>
    <w:rsid w:val="4D386B0D"/>
    <w:rsid w:val="4D4330D3"/>
    <w:rsid w:val="4D4B7DCE"/>
    <w:rsid w:val="4D545407"/>
    <w:rsid w:val="4D694F30"/>
    <w:rsid w:val="4D6B703C"/>
    <w:rsid w:val="4D717BA1"/>
    <w:rsid w:val="4D7F56C3"/>
    <w:rsid w:val="4D855FB9"/>
    <w:rsid w:val="4D8A0B26"/>
    <w:rsid w:val="4D904FEE"/>
    <w:rsid w:val="4D910D8A"/>
    <w:rsid w:val="4D935425"/>
    <w:rsid w:val="4D953CDB"/>
    <w:rsid w:val="4D97309D"/>
    <w:rsid w:val="4D9E090F"/>
    <w:rsid w:val="4DAC6E91"/>
    <w:rsid w:val="4DAE3711"/>
    <w:rsid w:val="4DB63BC4"/>
    <w:rsid w:val="4DB7591C"/>
    <w:rsid w:val="4DBB2984"/>
    <w:rsid w:val="4DCC46DA"/>
    <w:rsid w:val="4DDD5EB7"/>
    <w:rsid w:val="4DDE45A5"/>
    <w:rsid w:val="4DE15631"/>
    <w:rsid w:val="4DE265E9"/>
    <w:rsid w:val="4DE5023D"/>
    <w:rsid w:val="4DEB419D"/>
    <w:rsid w:val="4DF267CF"/>
    <w:rsid w:val="4DF6484E"/>
    <w:rsid w:val="4E043A0E"/>
    <w:rsid w:val="4E0B5D31"/>
    <w:rsid w:val="4E125681"/>
    <w:rsid w:val="4E1339D8"/>
    <w:rsid w:val="4E145C86"/>
    <w:rsid w:val="4E187CF8"/>
    <w:rsid w:val="4E1A5C2E"/>
    <w:rsid w:val="4E2B3781"/>
    <w:rsid w:val="4E337E4B"/>
    <w:rsid w:val="4E365771"/>
    <w:rsid w:val="4E396304"/>
    <w:rsid w:val="4E3C3064"/>
    <w:rsid w:val="4E3C5DC0"/>
    <w:rsid w:val="4E446F8B"/>
    <w:rsid w:val="4E4D4DE2"/>
    <w:rsid w:val="4E5669BF"/>
    <w:rsid w:val="4E651EA6"/>
    <w:rsid w:val="4E6757B0"/>
    <w:rsid w:val="4E6C4048"/>
    <w:rsid w:val="4E783D17"/>
    <w:rsid w:val="4E805C19"/>
    <w:rsid w:val="4E836C4E"/>
    <w:rsid w:val="4E865BCD"/>
    <w:rsid w:val="4E951D34"/>
    <w:rsid w:val="4E957162"/>
    <w:rsid w:val="4E9E60B6"/>
    <w:rsid w:val="4EA27ACB"/>
    <w:rsid w:val="4EA60E85"/>
    <w:rsid w:val="4EB379F2"/>
    <w:rsid w:val="4EB838E0"/>
    <w:rsid w:val="4EBC3167"/>
    <w:rsid w:val="4EBC6632"/>
    <w:rsid w:val="4EBD4562"/>
    <w:rsid w:val="4EBD5620"/>
    <w:rsid w:val="4EBE0F4C"/>
    <w:rsid w:val="4ECD0F14"/>
    <w:rsid w:val="4ED017E4"/>
    <w:rsid w:val="4ED03B4F"/>
    <w:rsid w:val="4ED43AE8"/>
    <w:rsid w:val="4EDC1716"/>
    <w:rsid w:val="4EDF6F4B"/>
    <w:rsid w:val="4EE24F10"/>
    <w:rsid w:val="4EE77077"/>
    <w:rsid w:val="4EE8461F"/>
    <w:rsid w:val="4F0206C2"/>
    <w:rsid w:val="4F06414B"/>
    <w:rsid w:val="4F1A4FD6"/>
    <w:rsid w:val="4F1C2B4C"/>
    <w:rsid w:val="4F1E1A5A"/>
    <w:rsid w:val="4F2D5479"/>
    <w:rsid w:val="4F2E4FDB"/>
    <w:rsid w:val="4F3127D8"/>
    <w:rsid w:val="4F353521"/>
    <w:rsid w:val="4F3B798B"/>
    <w:rsid w:val="4F424396"/>
    <w:rsid w:val="4F461737"/>
    <w:rsid w:val="4F501AA5"/>
    <w:rsid w:val="4F507138"/>
    <w:rsid w:val="4F5431F2"/>
    <w:rsid w:val="4F594949"/>
    <w:rsid w:val="4F5A315B"/>
    <w:rsid w:val="4F664358"/>
    <w:rsid w:val="4F7041A7"/>
    <w:rsid w:val="4F7349ED"/>
    <w:rsid w:val="4F7C7D62"/>
    <w:rsid w:val="4F88390E"/>
    <w:rsid w:val="4F8865D2"/>
    <w:rsid w:val="4F9102E3"/>
    <w:rsid w:val="4F9A400D"/>
    <w:rsid w:val="4FA11827"/>
    <w:rsid w:val="4FA57761"/>
    <w:rsid w:val="4FA82F77"/>
    <w:rsid w:val="4FA9697E"/>
    <w:rsid w:val="4FAB07C1"/>
    <w:rsid w:val="4FC12B67"/>
    <w:rsid w:val="4FD33643"/>
    <w:rsid w:val="4FD409F7"/>
    <w:rsid w:val="4FD41054"/>
    <w:rsid w:val="4FD66F8D"/>
    <w:rsid w:val="4FDB5605"/>
    <w:rsid w:val="4FDF7D08"/>
    <w:rsid w:val="4FE45662"/>
    <w:rsid w:val="4FE66728"/>
    <w:rsid w:val="4FE74DC2"/>
    <w:rsid w:val="4FF81090"/>
    <w:rsid w:val="4FFA1BE3"/>
    <w:rsid w:val="4FFF560B"/>
    <w:rsid w:val="50033BDE"/>
    <w:rsid w:val="50036BC4"/>
    <w:rsid w:val="500B0DCA"/>
    <w:rsid w:val="500C2A95"/>
    <w:rsid w:val="50133F8A"/>
    <w:rsid w:val="50140C07"/>
    <w:rsid w:val="50144A7C"/>
    <w:rsid w:val="50176E6F"/>
    <w:rsid w:val="501A5AFC"/>
    <w:rsid w:val="50200664"/>
    <w:rsid w:val="502151EE"/>
    <w:rsid w:val="5022333C"/>
    <w:rsid w:val="50312196"/>
    <w:rsid w:val="50417E32"/>
    <w:rsid w:val="504768E3"/>
    <w:rsid w:val="504F0FB9"/>
    <w:rsid w:val="504F769B"/>
    <w:rsid w:val="50537FDD"/>
    <w:rsid w:val="50622728"/>
    <w:rsid w:val="507554C6"/>
    <w:rsid w:val="507D0063"/>
    <w:rsid w:val="508F1D63"/>
    <w:rsid w:val="508F5F91"/>
    <w:rsid w:val="508F6AC4"/>
    <w:rsid w:val="509631CF"/>
    <w:rsid w:val="509A55F2"/>
    <w:rsid w:val="50A00365"/>
    <w:rsid w:val="50A36924"/>
    <w:rsid w:val="50A732FC"/>
    <w:rsid w:val="50AA341E"/>
    <w:rsid w:val="50AB4E2F"/>
    <w:rsid w:val="50AC2418"/>
    <w:rsid w:val="50B421A0"/>
    <w:rsid w:val="50B70FED"/>
    <w:rsid w:val="50BA643F"/>
    <w:rsid w:val="50BC2897"/>
    <w:rsid w:val="50DA2205"/>
    <w:rsid w:val="50E57F59"/>
    <w:rsid w:val="50E75488"/>
    <w:rsid w:val="50EA61D3"/>
    <w:rsid w:val="50FC41E2"/>
    <w:rsid w:val="510319B4"/>
    <w:rsid w:val="510A4E7D"/>
    <w:rsid w:val="51187091"/>
    <w:rsid w:val="511E5EB5"/>
    <w:rsid w:val="51205217"/>
    <w:rsid w:val="51217565"/>
    <w:rsid w:val="512D5787"/>
    <w:rsid w:val="51371434"/>
    <w:rsid w:val="51382F84"/>
    <w:rsid w:val="513B4CBD"/>
    <w:rsid w:val="513F2A79"/>
    <w:rsid w:val="514E5DF0"/>
    <w:rsid w:val="51505C49"/>
    <w:rsid w:val="51545313"/>
    <w:rsid w:val="515A1388"/>
    <w:rsid w:val="515F5290"/>
    <w:rsid w:val="515F5E7D"/>
    <w:rsid w:val="51621B03"/>
    <w:rsid w:val="51677ABF"/>
    <w:rsid w:val="51736010"/>
    <w:rsid w:val="517F1822"/>
    <w:rsid w:val="517F4109"/>
    <w:rsid w:val="518140E8"/>
    <w:rsid w:val="518961AE"/>
    <w:rsid w:val="518B0D8B"/>
    <w:rsid w:val="51905BB3"/>
    <w:rsid w:val="519E4C2D"/>
    <w:rsid w:val="51A00021"/>
    <w:rsid w:val="51A15787"/>
    <w:rsid w:val="51A23180"/>
    <w:rsid w:val="51A44533"/>
    <w:rsid w:val="51B12C2B"/>
    <w:rsid w:val="51B625E5"/>
    <w:rsid w:val="51BB3190"/>
    <w:rsid w:val="51BC4A55"/>
    <w:rsid w:val="51C31AB3"/>
    <w:rsid w:val="51C50057"/>
    <w:rsid w:val="51CA6470"/>
    <w:rsid w:val="51CF3752"/>
    <w:rsid w:val="51D221A2"/>
    <w:rsid w:val="51DB590D"/>
    <w:rsid w:val="51DC7D4F"/>
    <w:rsid w:val="51E372D3"/>
    <w:rsid w:val="51E952C3"/>
    <w:rsid w:val="51F763C2"/>
    <w:rsid w:val="52082F0E"/>
    <w:rsid w:val="520A4FD4"/>
    <w:rsid w:val="520A6A40"/>
    <w:rsid w:val="520B29B2"/>
    <w:rsid w:val="52165ED6"/>
    <w:rsid w:val="52170D68"/>
    <w:rsid w:val="521832FA"/>
    <w:rsid w:val="521B5CF1"/>
    <w:rsid w:val="521E330E"/>
    <w:rsid w:val="52210969"/>
    <w:rsid w:val="52250331"/>
    <w:rsid w:val="52251937"/>
    <w:rsid w:val="52291DE3"/>
    <w:rsid w:val="522D32DC"/>
    <w:rsid w:val="522E032A"/>
    <w:rsid w:val="522E48FA"/>
    <w:rsid w:val="52436B21"/>
    <w:rsid w:val="52476CBE"/>
    <w:rsid w:val="52541687"/>
    <w:rsid w:val="525808AD"/>
    <w:rsid w:val="52606B21"/>
    <w:rsid w:val="526142ED"/>
    <w:rsid w:val="52675267"/>
    <w:rsid w:val="526A42D2"/>
    <w:rsid w:val="527456A0"/>
    <w:rsid w:val="52775B19"/>
    <w:rsid w:val="527820D3"/>
    <w:rsid w:val="5286536B"/>
    <w:rsid w:val="528D1636"/>
    <w:rsid w:val="528F6528"/>
    <w:rsid w:val="5294173C"/>
    <w:rsid w:val="52A573D4"/>
    <w:rsid w:val="52AE3C1C"/>
    <w:rsid w:val="52B15A0B"/>
    <w:rsid w:val="52B277B6"/>
    <w:rsid w:val="52B539F6"/>
    <w:rsid w:val="52B87EDF"/>
    <w:rsid w:val="52C2744F"/>
    <w:rsid w:val="52CF2A7E"/>
    <w:rsid w:val="52D52D8A"/>
    <w:rsid w:val="52D70C29"/>
    <w:rsid w:val="52E07E6E"/>
    <w:rsid w:val="52E2403D"/>
    <w:rsid w:val="52E87FC9"/>
    <w:rsid w:val="52EA3010"/>
    <w:rsid w:val="52EE6354"/>
    <w:rsid w:val="52EF275D"/>
    <w:rsid w:val="53035F10"/>
    <w:rsid w:val="530445BC"/>
    <w:rsid w:val="53073E74"/>
    <w:rsid w:val="53176C42"/>
    <w:rsid w:val="53184746"/>
    <w:rsid w:val="531972CB"/>
    <w:rsid w:val="53227F73"/>
    <w:rsid w:val="532342A1"/>
    <w:rsid w:val="532E4AC7"/>
    <w:rsid w:val="533E55DF"/>
    <w:rsid w:val="5360600D"/>
    <w:rsid w:val="53703765"/>
    <w:rsid w:val="5376095E"/>
    <w:rsid w:val="537A04E8"/>
    <w:rsid w:val="537D7719"/>
    <w:rsid w:val="53874180"/>
    <w:rsid w:val="53910730"/>
    <w:rsid w:val="53991F46"/>
    <w:rsid w:val="539E075B"/>
    <w:rsid w:val="53A430C7"/>
    <w:rsid w:val="53B71A0D"/>
    <w:rsid w:val="53BA49C0"/>
    <w:rsid w:val="53BF11FF"/>
    <w:rsid w:val="53BF28F3"/>
    <w:rsid w:val="53BF55F8"/>
    <w:rsid w:val="53C2398F"/>
    <w:rsid w:val="53C92C10"/>
    <w:rsid w:val="53CF606A"/>
    <w:rsid w:val="53D111B0"/>
    <w:rsid w:val="53D73576"/>
    <w:rsid w:val="53E22364"/>
    <w:rsid w:val="53E35749"/>
    <w:rsid w:val="53EB4289"/>
    <w:rsid w:val="53EE07E8"/>
    <w:rsid w:val="53F67F24"/>
    <w:rsid w:val="53FE5A9E"/>
    <w:rsid w:val="540407A7"/>
    <w:rsid w:val="540B221A"/>
    <w:rsid w:val="54193A5D"/>
    <w:rsid w:val="541C5A78"/>
    <w:rsid w:val="54233727"/>
    <w:rsid w:val="54257FE2"/>
    <w:rsid w:val="5428581F"/>
    <w:rsid w:val="542B47E5"/>
    <w:rsid w:val="54312A0A"/>
    <w:rsid w:val="54451C08"/>
    <w:rsid w:val="5450152B"/>
    <w:rsid w:val="545412A1"/>
    <w:rsid w:val="54591BCD"/>
    <w:rsid w:val="546936FE"/>
    <w:rsid w:val="546A602B"/>
    <w:rsid w:val="547034CA"/>
    <w:rsid w:val="54724933"/>
    <w:rsid w:val="547801F9"/>
    <w:rsid w:val="54877824"/>
    <w:rsid w:val="54967702"/>
    <w:rsid w:val="549B60CA"/>
    <w:rsid w:val="54A746D1"/>
    <w:rsid w:val="54B14984"/>
    <w:rsid w:val="54B34E33"/>
    <w:rsid w:val="54BC09E2"/>
    <w:rsid w:val="54C257FC"/>
    <w:rsid w:val="54C51C65"/>
    <w:rsid w:val="54C766D3"/>
    <w:rsid w:val="54DB3842"/>
    <w:rsid w:val="54E32310"/>
    <w:rsid w:val="54E35B83"/>
    <w:rsid w:val="54E5570D"/>
    <w:rsid w:val="54E656A9"/>
    <w:rsid w:val="54E85406"/>
    <w:rsid w:val="54EE0227"/>
    <w:rsid w:val="54EE4DEC"/>
    <w:rsid w:val="54F93AE7"/>
    <w:rsid w:val="54F97DEB"/>
    <w:rsid w:val="55012EF3"/>
    <w:rsid w:val="55022588"/>
    <w:rsid w:val="550D4E7F"/>
    <w:rsid w:val="551B3ADB"/>
    <w:rsid w:val="55252910"/>
    <w:rsid w:val="552677BE"/>
    <w:rsid w:val="552E2F45"/>
    <w:rsid w:val="55313992"/>
    <w:rsid w:val="553772EA"/>
    <w:rsid w:val="553A6D2E"/>
    <w:rsid w:val="5546635B"/>
    <w:rsid w:val="55507B46"/>
    <w:rsid w:val="55534568"/>
    <w:rsid w:val="555A0EDC"/>
    <w:rsid w:val="55677E49"/>
    <w:rsid w:val="55692EAC"/>
    <w:rsid w:val="556C73AE"/>
    <w:rsid w:val="55714147"/>
    <w:rsid w:val="557C295E"/>
    <w:rsid w:val="557C5B0B"/>
    <w:rsid w:val="55806AF4"/>
    <w:rsid w:val="55812735"/>
    <w:rsid w:val="55861EC8"/>
    <w:rsid w:val="5588140B"/>
    <w:rsid w:val="55891D85"/>
    <w:rsid w:val="5592013C"/>
    <w:rsid w:val="55A57957"/>
    <w:rsid w:val="55AA469C"/>
    <w:rsid w:val="55BC12E8"/>
    <w:rsid w:val="55BD3120"/>
    <w:rsid w:val="55BF56EA"/>
    <w:rsid w:val="55C103AC"/>
    <w:rsid w:val="55C423B5"/>
    <w:rsid w:val="55C6074D"/>
    <w:rsid w:val="55C86079"/>
    <w:rsid w:val="55CC5297"/>
    <w:rsid w:val="55CD72FB"/>
    <w:rsid w:val="55D22641"/>
    <w:rsid w:val="55D31938"/>
    <w:rsid w:val="55DA77E0"/>
    <w:rsid w:val="55EE6E58"/>
    <w:rsid w:val="55F2238E"/>
    <w:rsid w:val="55F24132"/>
    <w:rsid w:val="55FB05FF"/>
    <w:rsid w:val="55FB3C8A"/>
    <w:rsid w:val="55FC794D"/>
    <w:rsid w:val="56012A7B"/>
    <w:rsid w:val="56172C84"/>
    <w:rsid w:val="56206259"/>
    <w:rsid w:val="562219AC"/>
    <w:rsid w:val="56230DC5"/>
    <w:rsid w:val="562B59B0"/>
    <w:rsid w:val="56387876"/>
    <w:rsid w:val="56391384"/>
    <w:rsid w:val="564C27AB"/>
    <w:rsid w:val="565222DD"/>
    <w:rsid w:val="565907FF"/>
    <w:rsid w:val="565D6940"/>
    <w:rsid w:val="566101A8"/>
    <w:rsid w:val="56666AC5"/>
    <w:rsid w:val="56701442"/>
    <w:rsid w:val="56793306"/>
    <w:rsid w:val="56797C74"/>
    <w:rsid w:val="568116C5"/>
    <w:rsid w:val="568F0B4D"/>
    <w:rsid w:val="5691640E"/>
    <w:rsid w:val="56927F4A"/>
    <w:rsid w:val="569C03A7"/>
    <w:rsid w:val="569E53D6"/>
    <w:rsid w:val="56A304C3"/>
    <w:rsid w:val="56AD16B1"/>
    <w:rsid w:val="56B44FF7"/>
    <w:rsid w:val="56B76AF7"/>
    <w:rsid w:val="56BA0EDB"/>
    <w:rsid w:val="56BA5BFC"/>
    <w:rsid w:val="56D60D34"/>
    <w:rsid w:val="56DA1A1C"/>
    <w:rsid w:val="56E90EF6"/>
    <w:rsid w:val="56EE51E4"/>
    <w:rsid w:val="56F50794"/>
    <w:rsid w:val="56F82259"/>
    <w:rsid w:val="56FC12BF"/>
    <w:rsid w:val="56FF05F9"/>
    <w:rsid w:val="570426CC"/>
    <w:rsid w:val="57103E85"/>
    <w:rsid w:val="57167A78"/>
    <w:rsid w:val="571E4103"/>
    <w:rsid w:val="5724356E"/>
    <w:rsid w:val="573B396A"/>
    <w:rsid w:val="576019A8"/>
    <w:rsid w:val="576E1A2E"/>
    <w:rsid w:val="576F00D0"/>
    <w:rsid w:val="57780B15"/>
    <w:rsid w:val="577C7921"/>
    <w:rsid w:val="577D6052"/>
    <w:rsid w:val="578130EB"/>
    <w:rsid w:val="5781472D"/>
    <w:rsid w:val="57842581"/>
    <w:rsid w:val="57860B1C"/>
    <w:rsid w:val="579016BB"/>
    <w:rsid w:val="579131AA"/>
    <w:rsid w:val="57961B8E"/>
    <w:rsid w:val="579A34FF"/>
    <w:rsid w:val="57A05D52"/>
    <w:rsid w:val="57A65B21"/>
    <w:rsid w:val="57A93B1C"/>
    <w:rsid w:val="57AC71EF"/>
    <w:rsid w:val="57B30CCB"/>
    <w:rsid w:val="57B82FE8"/>
    <w:rsid w:val="57BA183B"/>
    <w:rsid w:val="57BC21E8"/>
    <w:rsid w:val="57C64CE3"/>
    <w:rsid w:val="57CF1AC2"/>
    <w:rsid w:val="57CF411E"/>
    <w:rsid w:val="57CF6469"/>
    <w:rsid w:val="57D20F94"/>
    <w:rsid w:val="57E359C9"/>
    <w:rsid w:val="57E8494C"/>
    <w:rsid w:val="57EC2FF6"/>
    <w:rsid w:val="57F75230"/>
    <w:rsid w:val="57FA5E75"/>
    <w:rsid w:val="58000E35"/>
    <w:rsid w:val="58222E9F"/>
    <w:rsid w:val="582D3231"/>
    <w:rsid w:val="58316A55"/>
    <w:rsid w:val="583F3207"/>
    <w:rsid w:val="58452DB9"/>
    <w:rsid w:val="5846017C"/>
    <w:rsid w:val="58484E27"/>
    <w:rsid w:val="58514B7B"/>
    <w:rsid w:val="58525C17"/>
    <w:rsid w:val="58592455"/>
    <w:rsid w:val="586815ED"/>
    <w:rsid w:val="586B3009"/>
    <w:rsid w:val="58775EED"/>
    <w:rsid w:val="58790B5B"/>
    <w:rsid w:val="588D7FDD"/>
    <w:rsid w:val="58924ECC"/>
    <w:rsid w:val="589511CE"/>
    <w:rsid w:val="5895256C"/>
    <w:rsid w:val="58965AA7"/>
    <w:rsid w:val="5899451C"/>
    <w:rsid w:val="589C6409"/>
    <w:rsid w:val="589D4D39"/>
    <w:rsid w:val="58A34E0C"/>
    <w:rsid w:val="58AE31F5"/>
    <w:rsid w:val="58B354B8"/>
    <w:rsid w:val="58B60FB7"/>
    <w:rsid w:val="58BB01CF"/>
    <w:rsid w:val="58BD1D42"/>
    <w:rsid w:val="58C04526"/>
    <w:rsid w:val="58C15643"/>
    <w:rsid w:val="58C925C7"/>
    <w:rsid w:val="58DE296B"/>
    <w:rsid w:val="58E05B85"/>
    <w:rsid w:val="58F141D6"/>
    <w:rsid w:val="58F9654F"/>
    <w:rsid w:val="58F979E8"/>
    <w:rsid w:val="58FB6C25"/>
    <w:rsid w:val="58FE08ED"/>
    <w:rsid w:val="59061DAE"/>
    <w:rsid w:val="590E4EED"/>
    <w:rsid w:val="5914669F"/>
    <w:rsid w:val="591557DB"/>
    <w:rsid w:val="591A5C30"/>
    <w:rsid w:val="591C4B79"/>
    <w:rsid w:val="591F2957"/>
    <w:rsid w:val="59262A74"/>
    <w:rsid w:val="592F1CE2"/>
    <w:rsid w:val="59371CA9"/>
    <w:rsid w:val="593C5853"/>
    <w:rsid w:val="593E005D"/>
    <w:rsid w:val="5940158A"/>
    <w:rsid w:val="594606CC"/>
    <w:rsid w:val="594B6D49"/>
    <w:rsid w:val="595B4465"/>
    <w:rsid w:val="59697600"/>
    <w:rsid w:val="596C25D4"/>
    <w:rsid w:val="597028E6"/>
    <w:rsid w:val="597D38D7"/>
    <w:rsid w:val="598A75D0"/>
    <w:rsid w:val="59935094"/>
    <w:rsid w:val="5995496F"/>
    <w:rsid w:val="59A62A34"/>
    <w:rsid w:val="59AB1748"/>
    <w:rsid w:val="59B159CB"/>
    <w:rsid w:val="59B51848"/>
    <w:rsid w:val="59BC67AC"/>
    <w:rsid w:val="59C03938"/>
    <w:rsid w:val="59C811F1"/>
    <w:rsid w:val="59C83D69"/>
    <w:rsid w:val="59CB01B4"/>
    <w:rsid w:val="59CC0DAD"/>
    <w:rsid w:val="59CF1C3E"/>
    <w:rsid w:val="59D87B36"/>
    <w:rsid w:val="59E57113"/>
    <w:rsid w:val="59E91981"/>
    <w:rsid w:val="59F22823"/>
    <w:rsid w:val="59F35BF5"/>
    <w:rsid w:val="59F42704"/>
    <w:rsid w:val="59FD1C88"/>
    <w:rsid w:val="5A0020BE"/>
    <w:rsid w:val="5A02215A"/>
    <w:rsid w:val="5A0823EC"/>
    <w:rsid w:val="5A0B4999"/>
    <w:rsid w:val="5A1219E8"/>
    <w:rsid w:val="5A1601E1"/>
    <w:rsid w:val="5A1A2003"/>
    <w:rsid w:val="5A2023BC"/>
    <w:rsid w:val="5A2534E2"/>
    <w:rsid w:val="5A272110"/>
    <w:rsid w:val="5A2F52ED"/>
    <w:rsid w:val="5A307C26"/>
    <w:rsid w:val="5A341010"/>
    <w:rsid w:val="5A3A1517"/>
    <w:rsid w:val="5A4D351E"/>
    <w:rsid w:val="5A507300"/>
    <w:rsid w:val="5A51154D"/>
    <w:rsid w:val="5A523957"/>
    <w:rsid w:val="5A532CC8"/>
    <w:rsid w:val="5A612789"/>
    <w:rsid w:val="5A6543C4"/>
    <w:rsid w:val="5A6A5675"/>
    <w:rsid w:val="5A6E205B"/>
    <w:rsid w:val="5A7B2C70"/>
    <w:rsid w:val="5A7C2218"/>
    <w:rsid w:val="5A7C5822"/>
    <w:rsid w:val="5A847FE5"/>
    <w:rsid w:val="5A916654"/>
    <w:rsid w:val="5A9B3B8F"/>
    <w:rsid w:val="5A9E6004"/>
    <w:rsid w:val="5AAB402B"/>
    <w:rsid w:val="5AAF46FD"/>
    <w:rsid w:val="5AB36954"/>
    <w:rsid w:val="5ABE401A"/>
    <w:rsid w:val="5AC526EE"/>
    <w:rsid w:val="5ACB4B14"/>
    <w:rsid w:val="5AD45224"/>
    <w:rsid w:val="5ADA5032"/>
    <w:rsid w:val="5ADC6365"/>
    <w:rsid w:val="5B0A16D4"/>
    <w:rsid w:val="5B0B0FE2"/>
    <w:rsid w:val="5B1029A0"/>
    <w:rsid w:val="5B18258F"/>
    <w:rsid w:val="5B28216A"/>
    <w:rsid w:val="5B2B1ACA"/>
    <w:rsid w:val="5B302C2D"/>
    <w:rsid w:val="5B33397C"/>
    <w:rsid w:val="5B35552C"/>
    <w:rsid w:val="5B356E68"/>
    <w:rsid w:val="5B3A4E8A"/>
    <w:rsid w:val="5B43203B"/>
    <w:rsid w:val="5B4751B0"/>
    <w:rsid w:val="5B485D9E"/>
    <w:rsid w:val="5B4E4DA1"/>
    <w:rsid w:val="5B5335BE"/>
    <w:rsid w:val="5B613886"/>
    <w:rsid w:val="5B6A6045"/>
    <w:rsid w:val="5B6C39BD"/>
    <w:rsid w:val="5B74160A"/>
    <w:rsid w:val="5B763EE9"/>
    <w:rsid w:val="5B7B1E82"/>
    <w:rsid w:val="5B7C7804"/>
    <w:rsid w:val="5B862B77"/>
    <w:rsid w:val="5B944D80"/>
    <w:rsid w:val="5B9509FD"/>
    <w:rsid w:val="5BAB4BEE"/>
    <w:rsid w:val="5BB210AD"/>
    <w:rsid w:val="5BB47B97"/>
    <w:rsid w:val="5BB81EEF"/>
    <w:rsid w:val="5BC23198"/>
    <w:rsid w:val="5BC3049A"/>
    <w:rsid w:val="5BC52C1C"/>
    <w:rsid w:val="5BCE2157"/>
    <w:rsid w:val="5BD2376F"/>
    <w:rsid w:val="5BEA66B7"/>
    <w:rsid w:val="5BEB4DCC"/>
    <w:rsid w:val="5BF81226"/>
    <w:rsid w:val="5BFB7485"/>
    <w:rsid w:val="5C0042AF"/>
    <w:rsid w:val="5C021D5C"/>
    <w:rsid w:val="5C097E8B"/>
    <w:rsid w:val="5C0E1887"/>
    <w:rsid w:val="5C0E448E"/>
    <w:rsid w:val="5C116FBD"/>
    <w:rsid w:val="5C18254C"/>
    <w:rsid w:val="5C1B2C25"/>
    <w:rsid w:val="5C1E0099"/>
    <w:rsid w:val="5C24204D"/>
    <w:rsid w:val="5C261AD7"/>
    <w:rsid w:val="5C2A4D2E"/>
    <w:rsid w:val="5C2E032C"/>
    <w:rsid w:val="5C317C76"/>
    <w:rsid w:val="5C35045C"/>
    <w:rsid w:val="5C3B0435"/>
    <w:rsid w:val="5C3C5668"/>
    <w:rsid w:val="5C3C56AD"/>
    <w:rsid w:val="5C3D32DD"/>
    <w:rsid w:val="5C3E4B55"/>
    <w:rsid w:val="5C404666"/>
    <w:rsid w:val="5C422461"/>
    <w:rsid w:val="5C48686D"/>
    <w:rsid w:val="5C4F52A1"/>
    <w:rsid w:val="5C4F75E7"/>
    <w:rsid w:val="5C50319B"/>
    <w:rsid w:val="5C511614"/>
    <w:rsid w:val="5C520197"/>
    <w:rsid w:val="5C5371DE"/>
    <w:rsid w:val="5C5F094C"/>
    <w:rsid w:val="5C603564"/>
    <w:rsid w:val="5C633837"/>
    <w:rsid w:val="5C6B674F"/>
    <w:rsid w:val="5C6D3E36"/>
    <w:rsid w:val="5C6F57DC"/>
    <w:rsid w:val="5C7E0DF8"/>
    <w:rsid w:val="5C7E39D8"/>
    <w:rsid w:val="5C892834"/>
    <w:rsid w:val="5C8A31FF"/>
    <w:rsid w:val="5C9F55AA"/>
    <w:rsid w:val="5CA474D4"/>
    <w:rsid w:val="5CA84AC1"/>
    <w:rsid w:val="5CAC4293"/>
    <w:rsid w:val="5CB64B19"/>
    <w:rsid w:val="5CBD7A62"/>
    <w:rsid w:val="5CC164AE"/>
    <w:rsid w:val="5CC22998"/>
    <w:rsid w:val="5CC5766D"/>
    <w:rsid w:val="5CC829D4"/>
    <w:rsid w:val="5CCE7214"/>
    <w:rsid w:val="5CD22245"/>
    <w:rsid w:val="5CD612EC"/>
    <w:rsid w:val="5CD620EF"/>
    <w:rsid w:val="5CD63CB1"/>
    <w:rsid w:val="5CD75EB0"/>
    <w:rsid w:val="5CE00BB1"/>
    <w:rsid w:val="5CE76E4E"/>
    <w:rsid w:val="5CE97CE3"/>
    <w:rsid w:val="5CF06B97"/>
    <w:rsid w:val="5CF85D55"/>
    <w:rsid w:val="5CFA67A0"/>
    <w:rsid w:val="5CFF2C7D"/>
    <w:rsid w:val="5CFF66F4"/>
    <w:rsid w:val="5D042519"/>
    <w:rsid w:val="5D10070C"/>
    <w:rsid w:val="5D1077A1"/>
    <w:rsid w:val="5D193562"/>
    <w:rsid w:val="5D232DD8"/>
    <w:rsid w:val="5D2360DD"/>
    <w:rsid w:val="5D360039"/>
    <w:rsid w:val="5D3A22F4"/>
    <w:rsid w:val="5D3D681F"/>
    <w:rsid w:val="5D421B63"/>
    <w:rsid w:val="5D467576"/>
    <w:rsid w:val="5D4B2525"/>
    <w:rsid w:val="5D543240"/>
    <w:rsid w:val="5D5434CB"/>
    <w:rsid w:val="5D5A25C6"/>
    <w:rsid w:val="5D645AF7"/>
    <w:rsid w:val="5D697151"/>
    <w:rsid w:val="5D7070A0"/>
    <w:rsid w:val="5D7B2BAE"/>
    <w:rsid w:val="5D893541"/>
    <w:rsid w:val="5D8C28B4"/>
    <w:rsid w:val="5D8E7C73"/>
    <w:rsid w:val="5D974515"/>
    <w:rsid w:val="5D9832F3"/>
    <w:rsid w:val="5D9934EC"/>
    <w:rsid w:val="5D9C1E54"/>
    <w:rsid w:val="5DAB1E9E"/>
    <w:rsid w:val="5DB53FF3"/>
    <w:rsid w:val="5DB81F70"/>
    <w:rsid w:val="5DBC3F54"/>
    <w:rsid w:val="5DC328CA"/>
    <w:rsid w:val="5DCA57DD"/>
    <w:rsid w:val="5DD74A14"/>
    <w:rsid w:val="5DDB163B"/>
    <w:rsid w:val="5DDC2477"/>
    <w:rsid w:val="5DDC2877"/>
    <w:rsid w:val="5DF11D42"/>
    <w:rsid w:val="5DFA2E17"/>
    <w:rsid w:val="5DFB0C01"/>
    <w:rsid w:val="5E006537"/>
    <w:rsid w:val="5E1D2155"/>
    <w:rsid w:val="5E2374D1"/>
    <w:rsid w:val="5E401AFE"/>
    <w:rsid w:val="5E454E01"/>
    <w:rsid w:val="5E490493"/>
    <w:rsid w:val="5E4C4204"/>
    <w:rsid w:val="5E4D4054"/>
    <w:rsid w:val="5E4F4CEC"/>
    <w:rsid w:val="5E517BBA"/>
    <w:rsid w:val="5E521705"/>
    <w:rsid w:val="5E650FB2"/>
    <w:rsid w:val="5E656142"/>
    <w:rsid w:val="5E66593E"/>
    <w:rsid w:val="5E680B19"/>
    <w:rsid w:val="5E7334F8"/>
    <w:rsid w:val="5E7805FF"/>
    <w:rsid w:val="5E7859D6"/>
    <w:rsid w:val="5E842B6A"/>
    <w:rsid w:val="5E875A07"/>
    <w:rsid w:val="5E8C1E30"/>
    <w:rsid w:val="5E911FAC"/>
    <w:rsid w:val="5E92137B"/>
    <w:rsid w:val="5E9373FC"/>
    <w:rsid w:val="5EA67DEF"/>
    <w:rsid w:val="5EA736D1"/>
    <w:rsid w:val="5EAA11B3"/>
    <w:rsid w:val="5EB70697"/>
    <w:rsid w:val="5EB95510"/>
    <w:rsid w:val="5EB956EE"/>
    <w:rsid w:val="5EC57A3D"/>
    <w:rsid w:val="5ECB275F"/>
    <w:rsid w:val="5ECE2836"/>
    <w:rsid w:val="5EDB5813"/>
    <w:rsid w:val="5EE2308E"/>
    <w:rsid w:val="5EE35C8C"/>
    <w:rsid w:val="5EEC409E"/>
    <w:rsid w:val="5EF2448C"/>
    <w:rsid w:val="5EF442F3"/>
    <w:rsid w:val="5F051F15"/>
    <w:rsid w:val="5F222082"/>
    <w:rsid w:val="5F37319D"/>
    <w:rsid w:val="5F3A21FA"/>
    <w:rsid w:val="5F490636"/>
    <w:rsid w:val="5F4A6244"/>
    <w:rsid w:val="5F6219E5"/>
    <w:rsid w:val="5F7C4F33"/>
    <w:rsid w:val="5F7D5743"/>
    <w:rsid w:val="5F810563"/>
    <w:rsid w:val="5F824D0A"/>
    <w:rsid w:val="5F8A67E2"/>
    <w:rsid w:val="5F902061"/>
    <w:rsid w:val="5F91364B"/>
    <w:rsid w:val="5F942C15"/>
    <w:rsid w:val="5F982E68"/>
    <w:rsid w:val="5F983E67"/>
    <w:rsid w:val="5FA57B43"/>
    <w:rsid w:val="5FB560BB"/>
    <w:rsid w:val="5FB62CD8"/>
    <w:rsid w:val="5FC20790"/>
    <w:rsid w:val="5FC87F8E"/>
    <w:rsid w:val="5FC91DE9"/>
    <w:rsid w:val="5FCE57F6"/>
    <w:rsid w:val="5FD820A7"/>
    <w:rsid w:val="5FDF0C33"/>
    <w:rsid w:val="5FE25D83"/>
    <w:rsid w:val="5FE5232B"/>
    <w:rsid w:val="5FEC3C05"/>
    <w:rsid w:val="5FF020A1"/>
    <w:rsid w:val="5FFC5DE4"/>
    <w:rsid w:val="600F241C"/>
    <w:rsid w:val="60112156"/>
    <w:rsid w:val="60127ACF"/>
    <w:rsid w:val="60195F65"/>
    <w:rsid w:val="60200E33"/>
    <w:rsid w:val="6023016C"/>
    <w:rsid w:val="602924AC"/>
    <w:rsid w:val="602B5AAA"/>
    <w:rsid w:val="60334B2A"/>
    <w:rsid w:val="603E7B8A"/>
    <w:rsid w:val="60420933"/>
    <w:rsid w:val="6056292C"/>
    <w:rsid w:val="6063156C"/>
    <w:rsid w:val="606502AC"/>
    <w:rsid w:val="60660D11"/>
    <w:rsid w:val="606611B7"/>
    <w:rsid w:val="60687B01"/>
    <w:rsid w:val="60690D6A"/>
    <w:rsid w:val="606D5453"/>
    <w:rsid w:val="607044B9"/>
    <w:rsid w:val="60760530"/>
    <w:rsid w:val="6078579C"/>
    <w:rsid w:val="608159C3"/>
    <w:rsid w:val="60841E8A"/>
    <w:rsid w:val="6086096F"/>
    <w:rsid w:val="60904724"/>
    <w:rsid w:val="60924935"/>
    <w:rsid w:val="60934023"/>
    <w:rsid w:val="60947BEA"/>
    <w:rsid w:val="609B6315"/>
    <w:rsid w:val="60AC169F"/>
    <w:rsid w:val="60AF0E29"/>
    <w:rsid w:val="60B43DFD"/>
    <w:rsid w:val="60B55179"/>
    <w:rsid w:val="60BF5745"/>
    <w:rsid w:val="60C47684"/>
    <w:rsid w:val="60C90EA4"/>
    <w:rsid w:val="60CA2396"/>
    <w:rsid w:val="60CF0514"/>
    <w:rsid w:val="60D07484"/>
    <w:rsid w:val="60D10C0F"/>
    <w:rsid w:val="60D3569F"/>
    <w:rsid w:val="60D4537B"/>
    <w:rsid w:val="60D74889"/>
    <w:rsid w:val="60D845F6"/>
    <w:rsid w:val="60E02B8F"/>
    <w:rsid w:val="60E26F48"/>
    <w:rsid w:val="60E92E1A"/>
    <w:rsid w:val="60ED6BA8"/>
    <w:rsid w:val="60F37DA9"/>
    <w:rsid w:val="60FA110C"/>
    <w:rsid w:val="60FA46E4"/>
    <w:rsid w:val="60FD3753"/>
    <w:rsid w:val="60FE00AF"/>
    <w:rsid w:val="60FE35D0"/>
    <w:rsid w:val="6101046D"/>
    <w:rsid w:val="61047EF9"/>
    <w:rsid w:val="61064296"/>
    <w:rsid w:val="610864CC"/>
    <w:rsid w:val="610958BB"/>
    <w:rsid w:val="610A63CC"/>
    <w:rsid w:val="611558FC"/>
    <w:rsid w:val="61164EEF"/>
    <w:rsid w:val="61176A85"/>
    <w:rsid w:val="611A697F"/>
    <w:rsid w:val="61206479"/>
    <w:rsid w:val="612143A4"/>
    <w:rsid w:val="61221695"/>
    <w:rsid w:val="6124184C"/>
    <w:rsid w:val="61254671"/>
    <w:rsid w:val="612E3337"/>
    <w:rsid w:val="613004D4"/>
    <w:rsid w:val="613E4C7D"/>
    <w:rsid w:val="614050A9"/>
    <w:rsid w:val="61465E1A"/>
    <w:rsid w:val="614B5BCE"/>
    <w:rsid w:val="614D1495"/>
    <w:rsid w:val="614D2107"/>
    <w:rsid w:val="614D2B5A"/>
    <w:rsid w:val="614F66AA"/>
    <w:rsid w:val="6155426A"/>
    <w:rsid w:val="615755AF"/>
    <w:rsid w:val="615D6475"/>
    <w:rsid w:val="61620240"/>
    <w:rsid w:val="616730ED"/>
    <w:rsid w:val="616C2054"/>
    <w:rsid w:val="616E3976"/>
    <w:rsid w:val="617D0D60"/>
    <w:rsid w:val="618321F0"/>
    <w:rsid w:val="618563BE"/>
    <w:rsid w:val="61861C69"/>
    <w:rsid w:val="61867017"/>
    <w:rsid w:val="618B084B"/>
    <w:rsid w:val="618E1E6E"/>
    <w:rsid w:val="618F22FB"/>
    <w:rsid w:val="61A07583"/>
    <w:rsid w:val="61B15149"/>
    <w:rsid w:val="61B16AF8"/>
    <w:rsid w:val="61B71C73"/>
    <w:rsid w:val="61C56900"/>
    <w:rsid w:val="61C73EC2"/>
    <w:rsid w:val="61D32FE5"/>
    <w:rsid w:val="61D44144"/>
    <w:rsid w:val="61D9528D"/>
    <w:rsid w:val="61DA6BBA"/>
    <w:rsid w:val="61DE7C3D"/>
    <w:rsid w:val="61E1330A"/>
    <w:rsid w:val="61E51E0F"/>
    <w:rsid w:val="61E852C9"/>
    <w:rsid w:val="61EE26FB"/>
    <w:rsid w:val="61EE28BD"/>
    <w:rsid w:val="61F0115C"/>
    <w:rsid w:val="61FA5B62"/>
    <w:rsid w:val="6203062B"/>
    <w:rsid w:val="62070260"/>
    <w:rsid w:val="620A5E09"/>
    <w:rsid w:val="62164CFF"/>
    <w:rsid w:val="6222428F"/>
    <w:rsid w:val="623147D6"/>
    <w:rsid w:val="623328EA"/>
    <w:rsid w:val="62390C34"/>
    <w:rsid w:val="6239162C"/>
    <w:rsid w:val="623D4624"/>
    <w:rsid w:val="623D5E3F"/>
    <w:rsid w:val="6241252A"/>
    <w:rsid w:val="62464E95"/>
    <w:rsid w:val="62475095"/>
    <w:rsid w:val="625377EA"/>
    <w:rsid w:val="625D49CE"/>
    <w:rsid w:val="6260455B"/>
    <w:rsid w:val="626114D6"/>
    <w:rsid w:val="6268560F"/>
    <w:rsid w:val="627C049D"/>
    <w:rsid w:val="627E327C"/>
    <w:rsid w:val="628E6DF2"/>
    <w:rsid w:val="62971DFA"/>
    <w:rsid w:val="629963D8"/>
    <w:rsid w:val="62B3642B"/>
    <w:rsid w:val="62B64ACD"/>
    <w:rsid w:val="62B91CB2"/>
    <w:rsid w:val="62E05F11"/>
    <w:rsid w:val="62E70CE0"/>
    <w:rsid w:val="62F00E21"/>
    <w:rsid w:val="62F06C0E"/>
    <w:rsid w:val="62F571B6"/>
    <w:rsid w:val="62F91A8D"/>
    <w:rsid w:val="62FA0118"/>
    <w:rsid w:val="62FB5ADF"/>
    <w:rsid w:val="63016DD9"/>
    <w:rsid w:val="63060DC1"/>
    <w:rsid w:val="630B0513"/>
    <w:rsid w:val="630D5FB3"/>
    <w:rsid w:val="631D12C4"/>
    <w:rsid w:val="632F0EFF"/>
    <w:rsid w:val="633159CB"/>
    <w:rsid w:val="6332638D"/>
    <w:rsid w:val="633B2B0B"/>
    <w:rsid w:val="633C5BF9"/>
    <w:rsid w:val="633E36D1"/>
    <w:rsid w:val="6343466C"/>
    <w:rsid w:val="634A145E"/>
    <w:rsid w:val="634E753F"/>
    <w:rsid w:val="63607ED4"/>
    <w:rsid w:val="636469BD"/>
    <w:rsid w:val="63670D77"/>
    <w:rsid w:val="63685741"/>
    <w:rsid w:val="636A3942"/>
    <w:rsid w:val="636B5C5F"/>
    <w:rsid w:val="63716369"/>
    <w:rsid w:val="63767EE6"/>
    <w:rsid w:val="637919F5"/>
    <w:rsid w:val="637A710D"/>
    <w:rsid w:val="637D2E4D"/>
    <w:rsid w:val="63802ACC"/>
    <w:rsid w:val="6388225F"/>
    <w:rsid w:val="63947BA7"/>
    <w:rsid w:val="63B253E1"/>
    <w:rsid w:val="63B26566"/>
    <w:rsid w:val="63B601D2"/>
    <w:rsid w:val="63D86821"/>
    <w:rsid w:val="63D8720B"/>
    <w:rsid w:val="63DF3F98"/>
    <w:rsid w:val="63E02D15"/>
    <w:rsid w:val="63E0457C"/>
    <w:rsid w:val="63E25AFD"/>
    <w:rsid w:val="63E57666"/>
    <w:rsid w:val="63F03B38"/>
    <w:rsid w:val="63F731A5"/>
    <w:rsid w:val="63FC766C"/>
    <w:rsid w:val="63FE2454"/>
    <w:rsid w:val="64022F76"/>
    <w:rsid w:val="64084173"/>
    <w:rsid w:val="641269AD"/>
    <w:rsid w:val="641C56F8"/>
    <w:rsid w:val="642008B7"/>
    <w:rsid w:val="64231408"/>
    <w:rsid w:val="64281DC7"/>
    <w:rsid w:val="643A7824"/>
    <w:rsid w:val="644A3F96"/>
    <w:rsid w:val="64553AA4"/>
    <w:rsid w:val="64564ED9"/>
    <w:rsid w:val="645A5737"/>
    <w:rsid w:val="646029D7"/>
    <w:rsid w:val="64603768"/>
    <w:rsid w:val="646270E8"/>
    <w:rsid w:val="6467123E"/>
    <w:rsid w:val="64706790"/>
    <w:rsid w:val="64724898"/>
    <w:rsid w:val="647C3BBA"/>
    <w:rsid w:val="64805997"/>
    <w:rsid w:val="64813A7C"/>
    <w:rsid w:val="64823A3A"/>
    <w:rsid w:val="64855B2D"/>
    <w:rsid w:val="64867427"/>
    <w:rsid w:val="648976FB"/>
    <w:rsid w:val="648A2250"/>
    <w:rsid w:val="648B1491"/>
    <w:rsid w:val="648E1573"/>
    <w:rsid w:val="649A52C8"/>
    <w:rsid w:val="64B0747D"/>
    <w:rsid w:val="64B6071F"/>
    <w:rsid w:val="64BE2F18"/>
    <w:rsid w:val="64C004BC"/>
    <w:rsid w:val="64C03551"/>
    <w:rsid w:val="64C317B4"/>
    <w:rsid w:val="64C6530B"/>
    <w:rsid w:val="64D9451E"/>
    <w:rsid w:val="64DB77D5"/>
    <w:rsid w:val="64F31974"/>
    <w:rsid w:val="64FA5C63"/>
    <w:rsid w:val="6507069F"/>
    <w:rsid w:val="65127100"/>
    <w:rsid w:val="6532464B"/>
    <w:rsid w:val="65341AC5"/>
    <w:rsid w:val="653A34E5"/>
    <w:rsid w:val="653C6B1D"/>
    <w:rsid w:val="65433415"/>
    <w:rsid w:val="65463750"/>
    <w:rsid w:val="654E3228"/>
    <w:rsid w:val="65537C6B"/>
    <w:rsid w:val="655C685E"/>
    <w:rsid w:val="656160AB"/>
    <w:rsid w:val="65622086"/>
    <w:rsid w:val="65644A63"/>
    <w:rsid w:val="65655B02"/>
    <w:rsid w:val="656E3321"/>
    <w:rsid w:val="65757B8D"/>
    <w:rsid w:val="65764BA6"/>
    <w:rsid w:val="658E776E"/>
    <w:rsid w:val="65907AC2"/>
    <w:rsid w:val="659366DB"/>
    <w:rsid w:val="65A62A91"/>
    <w:rsid w:val="65A8734A"/>
    <w:rsid w:val="65A9185C"/>
    <w:rsid w:val="65AB43EF"/>
    <w:rsid w:val="65B430CC"/>
    <w:rsid w:val="65CC6A3A"/>
    <w:rsid w:val="65DB0A99"/>
    <w:rsid w:val="65E919BF"/>
    <w:rsid w:val="65ED7EEF"/>
    <w:rsid w:val="65F46CFC"/>
    <w:rsid w:val="65F73BB4"/>
    <w:rsid w:val="660658FA"/>
    <w:rsid w:val="660B1805"/>
    <w:rsid w:val="660C035C"/>
    <w:rsid w:val="66103D06"/>
    <w:rsid w:val="66190E3D"/>
    <w:rsid w:val="661C061C"/>
    <w:rsid w:val="6628673A"/>
    <w:rsid w:val="66300C32"/>
    <w:rsid w:val="6639596A"/>
    <w:rsid w:val="66401DD3"/>
    <w:rsid w:val="6644369D"/>
    <w:rsid w:val="66513A8B"/>
    <w:rsid w:val="66515333"/>
    <w:rsid w:val="66543F3A"/>
    <w:rsid w:val="6654755D"/>
    <w:rsid w:val="66706DA7"/>
    <w:rsid w:val="66715E7B"/>
    <w:rsid w:val="66741783"/>
    <w:rsid w:val="66847504"/>
    <w:rsid w:val="66870478"/>
    <w:rsid w:val="66892842"/>
    <w:rsid w:val="66917990"/>
    <w:rsid w:val="66941DAA"/>
    <w:rsid w:val="66972F96"/>
    <w:rsid w:val="66976DD4"/>
    <w:rsid w:val="669A7003"/>
    <w:rsid w:val="66A54376"/>
    <w:rsid w:val="66AD05F5"/>
    <w:rsid w:val="66AD1818"/>
    <w:rsid w:val="66AD4A88"/>
    <w:rsid w:val="66B4636B"/>
    <w:rsid w:val="66B93F76"/>
    <w:rsid w:val="66BE7A6E"/>
    <w:rsid w:val="66C2655F"/>
    <w:rsid w:val="66D01D1D"/>
    <w:rsid w:val="66D20F68"/>
    <w:rsid w:val="66D6103F"/>
    <w:rsid w:val="66DB5E51"/>
    <w:rsid w:val="66DC2051"/>
    <w:rsid w:val="66E77E06"/>
    <w:rsid w:val="66F861FA"/>
    <w:rsid w:val="670027A0"/>
    <w:rsid w:val="67037752"/>
    <w:rsid w:val="67050D51"/>
    <w:rsid w:val="67050D97"/>
    <w:rsid w:val="67091904"/>
    <w:rsid w:val="670E178E"/>
    <w:rsid w:val="6717419C"/>
    <w:rsid w:val="67212735"/>
    <w:rsid w:val="673611CB"/>
    <w:rsid w:val="674A450B"/>
    <w:rsid w:val="674B4E59"/>
    <w:rsid w:val="675005EC"/>
    <w:rsid w:val="675E366D"/>
    <w:rsid w:val="67635837"/>
    <w:rsid w:val="67690F3D"/>
    <w:rsid w:val="676B3A7C"/>
    <w:rsid w:val="676D52AA"/>
    <w:rsid w:val="677011BD"/>
    <w:rsid w:val="6770452E"/>
    <w:rsid w:val="67705A6F"/>
    <w:rsid w:val="67750EBE"/>
    <w:rsid w:val="67816012"/>
    <w:rsid w:val="67842D1C"/>
    <w:rsid w:val="678B76EE"/>
    <w:rsid w:val="678C278B"/>
    <w:rsid w:val="67991948"/>
    <w:rsid w:val="67A850E1"/>
    <w:rsid w:val="67AB3E74"/>
    <w:rsid w:val="67B0438B"/>
    <w:rsid w:val="67B33BE3"/>
    <w:rsid w:val="67B71656"/>
    <w:rsid w:val="67B723B3"/>
    <w:rsid w:val="67B743E8"/>
    <w:rsid w:val="67BD43E0"/>
    <w:rsid w:val="67BD4993"/>
    <w:rsid w:val="67C0411D"/>
    <w:rsid w:val="67C95416"/>
    <w:rsid w:val="67D74048"/>
    <w:rsid w:val="67E041E2"/>
    <w:rsid w:val="67E51F56"/>
    <w:rsid w:val="67E97A89"/>
    <w:rsid w:val="67F27764"/>
    <w:rsid w:val="67F47AB0"/>
    <w:rsid w:val="6802359C"/>
    <w:rsid w:val="6804038C"/>
    <w:rsid w:val="68081463"/>
    <w:rsid w:val="680A257F"/>
    <w:rsid w:val="680E50C8"/>
    <w:rsid w:val="681541C3"/>
    <w:rsid w:val="681674DF"/>
    <w:rsid w:val="681D6FA0"/>
    <w:rsid w:val="682927F0"/>
    <w:rsid w:val="68373462"/>
    <w:rsid w:val="68447B3B"/>
    <w:rsid w:val="685C0FCA"/>
    <w:rsid w:val="68650F7D"/>
    <w:rsid w:val="68655BE3"/>
    <w:rsid w:val="686926D4"/>
    <w:rsid w:val="68774A50"/>
    <w:rsid w:val="68784EDA"/>
    <w:rsid w:val="687A62EB"/>
    <w:rsid w:val="687B4F8F"/>
    <w:rsid w:val="688A20B8"/>
    <w:rsid w:val="688C0135"/>
    <w:rsid w:val="688D57D8"/>
    <w:rsid w:val="6892047F"/>
    <w:rsid w:val="6897438E"/>
    <w:rsid w:val="68A01495"/>
    <w:rsid w:val="68A27905"/>
    <w:rsid w:val="68A550D0"/>
    <w:rsid w:val="68A57A2E"/>
    <w:rsid w:val="68A7533D"/>
    <w:rsid w:val="68BD6779"/>
    <w:rsid w:val="68C02111"/>
    <w:rsid w:val="68C42BDC"/>
    <w:rsid w:val="68CE3102"/>
    <w:rsid w:val="68D015E0"/>
    <w:rsid w:val="68D33B58"/>
    <w:rsid w:val="68D824C6"/>
    <w:rsid w:val="68E24545"/>
    <w:rsid w:val="68E31D7A"/>
    <w:rsid w:val="68E71448"/>
    <w:rsid w:val="68E92B61"/>
    <w:rsid w:val="68F308C4"/>
    <w:rsid w:val="68F51C33"/>
    <w:rsid w:val="68FA62F0"/>
    <w:rsid w:val="68FE7853"/>
    <w:rsid w:val="68FF6668"/>
    <w:rsid w:val="6901117B"/>
    <w:rsid w:val="69021A4A"/>
    <w:rsid w:val="69052CE9"/>
    <w:rsid w:val="69156DDD"/>
    <w:rsid w:val="691D61F1"/>
    <w:rsid w:val="691E3879"/>
    <w:rsid w:val="69211467"/>
    <w:rsid w:val="69257A7E"/>
    <w:rsid w:val="69277662"/>
    <w:rsid w:val="69344B19"/>
    <w:rsid w:val="69345F83"/>
    <w:rsid w:val="69392613"/>
    <w:rsid w:val="69392966"/>
    <w:rsid w:val="693C2B63"/>
    <w:rsid w:val="694E1147"/>
    <w:rsid w:val="69520D7A"/>
    <w:rsid w:val="69573B6E"/>
    <w:rsid w:val="696032C7"/>
    <w:rsid w:val="696206D3"/>
    <w:rsid w:val="6967756D"/>
    <w:rsid w:val="6968644A"/>
    <w:rsid w:val="697011ED"/>
    <w:rsid w:val="69826A24"/>
    <w:rsid w:val="698B2061"/>
    <w:rsid w:val="699B6DC8"/>
    <w:rsid w:val="69A94726"/>
    <w:rsid w:val="69A97058"/>
    <w:rsid w:val="69AB6F60"/>
    <w:rsid w:val="69C8002E"/>
    <w:rsid w:val="69CF04C1"/>
    <w:rsid w:val="69D32FE1"/>
    <w:rsid w:val="69D463F2"/>
    <w:rsid w:val="69D72910"/>
    <w:rsid w:val="69D76974"/>
    <w:rsid w:val="69D94035"/>
    <w:rsid w:val="69DC26A6"/>
    <w:rsid w:val="69E37874"/>
    <w:rsid w:val="69E56B54"/>
    <w:rsid w:val="69E96708"/>
    <w:rsid w:val="69ED002E"/>
    <w:rsid w:val="69ED6B4A"/>
    <w:rsid w:val="69EE54CD"/>
    <w:rsid w:val="69F92613"/>
    <w:rsid w:val="69FB7CD4"/>
    <w:rsid w:val="69FD723E"/>
    <w:rsid w:val="69FD7CEA"/>
    <w:rsid w:val="6A0229E5"/>
    <w:rsid w:val="6A067F83"/>
    <w:rsid w:val="6A097E59"/>
    <w:rsid w:val="6A171AFC"/>
    <w:rsid w:val="6A227A57"/>
    <w:rsid w:val="6A2A2D01"/>
    <w:rsid w:val="6A3225D7"/>
    <w:rsid w:val="6A3B0B6C"/>
    <w:rsid w:val="6A3C0BF8"/>
    <w:rsid w:val="6A423E55"/>
    <w:rsid w:val="6A470981"/>
    <w:rsid w:val="6A4747AF"/>
    <w:rsid w:val="6A49294B"/>
    <w:rsid w:val="6A562B91"/>
    <w:rsid w:val="6A57299A"/>
    <w:rsid w:val="6A697946"/>
    <w:rsid w:val="6A6D6854"/>
    <w:rsid w:val="6A700CED"/>
    <w:rsid w:val="6A7017D7"/>
    <w:rsid w:val="6A8816CC"/>
    <w:rsid w:val="6AA235D3"/>
    <w:rsid w:val="6AA31D3D"/>
    <w:rsid w:val="6AB02B50"/>
    <w:rsid w:val="6AB14532"/>
    <w:rsid w:val="6ABB2ED0"/>
    <w:rsid w:val="6ABD7A51"/>
    <w:rsid w:val="6ABF4F5F"/>
    <w:rsid w:val="6AC335C4"/>
    <w:rsid w:val="6ACC0F11"/>
    <w:rsid w:val="6ADB4318"/>
    <w:rsid w:val="6ADD7DFD"/>
    <w:rsid w:val="6AE2135D"/>
    <w:rsid w:val="6AE77D3D"/>
    <w:rsid w:val="6AE93C28"/>
    <w:rsid w:val="6AF05F1A"/>
    <w:rsid w:val="6B036D80"/>
    <w:rsid w:val="6B0451AB"/>
    <w:rsid w:val="6B160110"/>
    <w:rsid w:val="6B21434C"/>
    <w:rsid w:val="6B237C36"/>
    <w:rsid w:val="6B2635C3"/>
    <w:rsid w:val="6B2718FD"/>
    <w:rsid w:val="6B2A147B"/>
    <w:rsid w:val="6B2B4CFC"/>
    <w:rsid w:val="6B2C290C"/>
    <w:rsid w:val="6B33476F"/>
    <w:rsid w:val="6B352059"/>
    <w:rsid w:val="6B3B4CA2"/>
    <w:rsid w:val="6B4514F6"/>
    <w:rsid w:val="6B4A50C0"/>
    <w:rsid w:val="6B4D3CED"/>
    <w:rsid w:val="6B5C7011"/>
    <w:rsid w:val="6B6A2B7E"/>
    <w:rsid w:val="6B705893"/>
    <w:rsid w:val="6B7221D1"/>
    <w:rsid w:val="6B725A81"/>
    <w:rsid w:val="6B7D16E0"/>
    <w:rsid w:val="6B7F30F3"/>
    <w:rsid w:val="6B873558"/>
    <w:rsid w:val="6B92645D"/>
    <w:rsid w:val="6B94060D"/>
    <w:rsid w:val="6B973734"/>
    <w:rsid w:val="6B975967"/>
    <w:rsid w:val="6B9A5777"/>
    <w:rsid w:val="6BAF41A0"/>
    <w:rsid w:val="6BB248CC"/>
    <w:rsid w:val="6BBC0DCF"/>
    <w:rsid w:val="6BCA6179"/>
    <w:rsid w:val="6BCE3445"/>
    <w:rsid w:val="6BD0777F"/>
    <w:rsid w:val="6BD619EE"/>
    <w:rsid w:val="6BEA64E2"/>
    <w:rsid w:val="6BFA7E30"/>
    <w:rsid w:val="6BFB030F"/>
    <w:rsid w:val="6C016CAE"/>
    <w:rsid w:val="6C07197C"/>
    <w:rsid w:val="6C090252"/>
    <w:rsid w:val="6C0B7CD2"/>
    <w:rsid w:val="6C0D6AE8"/>
    <w:rsid w:val="6C100936"/>
    <w:rsid w:val="6C1962C3"/>
    <w:rsid w:val="6C1A6808"/>
    <w:rsid w:val="6C255AAD"/>
    <w:rsid w:val="6C2C5801"/>
    <w:rsid w:val="6C2D7320"/>
    <w:rsid w:val="6C2E3E73"/>
    <w:rsid w:val="6C3321F9"/>
    <w:rsid w:val="6C33267C"/>
    <w:rsid w:val="6C3373F5"/>
    <w:rsid w:val="6C3D0F56"/>
    <w:rsid w:val="6C410CB8"/>
    <w:rsid w:val="6C452BDF"/>
    <w:rsid w:val="6C5E1CDD"/>
    <w:rsid w:val="6C62391B"/>
    <w:rsid w:val="6C660C8B"/>
    <w:rsid w:val="6C6A716D"/>
    <w:rsid w:val="6C6C6ED7"/>
    <w:rsid w:val="6C71767A"/>
    <w:rsid w:val="6C7C1F44"/>
    <w:rsid w:val="6C827094"/>
    <w:rsid w:val="6C8559E0"/>
    <w:rsid w:val="6C891188"/>
    <w:rsid w:val="6C8D26FB"/>
    <w:rsid w:val="6C996561"/>
    <w:rsid w:val="6CAB6DBD"/>
    <w:rsid w:val="6CB01397"/>
    <w:rsid w:val="6CC25213"/>
    <w:rsid w:val="6CD76A8F"/>
    <w:rsid w:val="6CDE47C9"/>
    <w:rsid w:val="6CDF1F89"/>
    <w:rsid w:val="6CE0702D"/>
    <w:rsid w:val="6CE83295"/>
    <w:rsid w:val="6CEE220B"/>
    <w:rsid w:val="6CEE246E"/>
    <w:rsid w:val="6CF023AA"/>
    <w:rsid w:val="6CF14721"/>
    <w:rsid w:val="6CF27A30"/>
    <w:rsid w:val="6CF6067E"/>
    <w:rsid w:val="6D032BD4"/>
    <w:rsid w:val="6D0535EE"/>
    <w:rsid w:val="6D077405"/>
    <w:rsid w:val="6D0A3519"/>
    <w:rsid w:val="6D133D59"/>
    <w:rsid w:val="6D175B2B"/>
    <w:rsid w:val="6D264EC5"/>
    <w:rsid w:val="6D26662C"/>
    <w:rsid w:val="6D2B3CDC"/>
    <w:rsid w:val="6D330DB7"/>
    <w:rsid w:val="6D437763"/>
    <w:rsid w:val="6D4B2385"/>
    <w:rsid w:val="6D4C07B8"/>
    <w:rsid w:val="6D5B1179"/>
    <w:rsid w:val="6D651946"/>
    <w:rsid w:val="6D671B76"/>
    <w:rsid w:val="6D6D28AF"/>
    <w:rsid w:val="6D771293"/>
    <w:rsid w:val="6D7D0954"/>
    <w:rsid w:val="6D8153B2"/>
    <w:rsid w:val="6D876AB7"/>
    <w:rsid w:val="6D8F154F"/>
    <w:rsid w:val="6D9757D1"/>
    <w:rsid w:val="6D9C3974"/>
    <w:rsid w:val="6DA062EA"/>
    <w:rsid w:val="6DA65DBF"/>
    <w:rsid w:val="6DA76631"/>
    <w:rsid w:val="6DAF65CC"/>
    <w:rsid w:val="6DB157A2"/>
    <w:rsid w:val="6DB25F3D"/>
    <w:rsid w:val="6DBA586C"/>
    <w:rsid w:val="6DBE0B3F"/>
    <w:rsid w:val="6DBF7294"/>
    <w:rsid w:val="6DC53FBD"/>
    <w:rsid w:val="6DC93FE2"/>
    <w:rsid w:val="6DCA77EA"/>
    <w:rsid w:val="6DD35114"/>
    <w:rsid w:val="6DDE35E8"/>
    <w:rsid w:val="6DE65A7A"/>
    <w:rsid w:val="6DE92FA2"/>
    <w:rsid w:val="6DEE0E7D"/>
    <w:rsid w:val="6DEF6BC8"/>
    <w:rsid w:val="6DF574ED"/>
    <w:rsid w:val="6DF81839"/>
    <w:rsid w:val="6E0048DC"/>
    <w:rsid w:val="6E075019"/>
    <w:rsid w:val="6E0766A1"/>
    <w:rsid w:val="6E0A3808"/>
    <w:rsid w:val="6E1419C0"/>
    <w:rsid w:val="6E166FE2"/>
    <w:rsid w:val="6E183FF4"/>
    <w:rsid w:val="6E1B11E5"/>
    <w:rsid w:val="6E1D151C"/>
    <w:rsid w:val="6E2E7D17"/>
    <w:rsid w:val="6E3323DD"/>
    <w:rsid w:val="6E3761D3"/>
    <w:rsid w:val="6E392DDA"/>
    <w:rsid w:val="6E3E2033"/>
    <w:rsid w:val="6E411943"/>
    <w:rsid w:val="6E440060"/>
    <w:rsid w:val="6E442CF5"/>
    <w:rsid w:val="6E54575C"/>
    <w:rsid w:val="6E5A2999"/>
    <w:rsid w:val="6E612C3F"/>
    <w:rsid w:val="6E650AD9"/>
    <w:rsid w:val="6E6F6D88"/>
    <w:rsid w:val="6E702FE8"/>
    <w:rsid w:val="6E706B87"/>
    <w:rsid w:val="6E766C71"/>
    <w:rsid w:val="6E7926F7"/>
    <w:rsid w:val="6E7B110F"/>
    <w:rsid w:val="6E8A2A35"/>
    <w:rsid w:val="6E915314"/>
    <w:rsid w:val="6EA04FAE"/>
    <w:rsid w:val="6EAA59A3"/>
    <w:rsid w:val="6EAA79ED"/>
    <w:rsid w:val="6EB029C1"/>
    <w:rsid w:val="6EC161BE"/>
    <w:rsid w:val="6ECD08F1"/>
    <w:rsid w:val="6ED8031D"/>
    <w:rsid w:val="6EDF2531"/>
    <w:rsid w:val="6EE1335D"/>
    <w:rsid w:val="6EE50FBC"/>
    <w:rsid w:val="6EEF6508"/>
    <w:rsid w:val="6EF02682"/>
    <w:rsid w:val="6EFF1809"/>
    <w:rsid w:val="6F19615F"/>
    <w:rsid w:val="6F1A60C4"/>
    <w:rsid w:val="6F231E41"/>
    <w:rsid w:val="6F244447"/>
    <w:rsid w:val="6F303DE1"/>
    <w:rsid w:val="6F331C81"/>
    <w:rsid w:val="6F331F52"/>
    <w:rsid w:val="6F362062"/>
    <w:rsid w:val="6F3C0797"/>
    <w:rsid w:val="6F4048CA"/>
    <w:rsid w:val="6F405BD0"/>
    <w:rsid w:val="6F4713C5"/>
    <w:rsid w:val="6F4734D0"/>
    <w:rsid w:val="6F4B3953"/>
    <w:rsid w:val="6F555C91"/>
    <w:rsid w:val="6F603479"/>
    <w:rsid w:val="6F680494"/>
    <w:rsid w:val="6F6B5A9E"/>
    <w:rsid w:val="6F7A07E3"/>
    <w:rsid w:val="6F7D050B"/>
    <w:rsid w:val="6F8C33B0"/>
    <w:rsid w:val="6F8D5B36"/>
    <w:rsid w:val="6F953750"/>
    <w:rsid w:val="6FA04DA3"/>
    <w:rsid w:val="6FA10B29"/>
    <w:rsid w:val="6FAA2D8A"/>
    <w:rsid w:val="6FC02217"/>
    <w:rsid w:val="6FC34E9D"/>
    <w:rsid w:val="6FC60A07"/>
    <w:rsid w:val="6FC90F86"/>
    <w:rsid w:val="6FCD3BC3"/>
    <w:rsid w:val="6FCE2BBA"/>
    <w:rsid w:val="6FDF40F5"/>
    <w:rsid w:val="6FE0165C"/>
    <w:rsid w:val="6FE05F95"/>
    <w:rsid w:val="6FF021F5"/>
    <w:rsid w:val="6FF06B6B"/>
    <w:rsid w:val="6FF97C31"/>
    <w:rsid w:val="6FFC64FF"/>
    <w:rsid w:val="7001428F"/>
    <w:rsid w:val="700E7127"/>
    <w:rsid w:val="70133236"/>
    <w:rsid w:val="70156307"/>
    <w:rsid w:val="7016485B"/>
    <w:rsid w:val="701C590F"/>
    <w:rsid w:val="702033F7"/>
    <w:rsid w:val="7021034D"/>
    <w:rsid w:val="702D10A9"/>
    <w:rsid w:val="70315D3B"/>
    <w:rsid w:val="703D58C4"/>
    <w:rsid w:val="70453D87"/>
    <w:rsid w:val="704E5E48"/>
    <w:rsid w:val="7053674B"/>
    <w:rsid w:val="7055360F"/>
    <w:rsid w:val="70642BE6"/>
    <w:rsid w:val="706F497B"/>
    <w:rsid w:val="70724AB3"/>
    <w:rsid w:val="70877819"/>
    <w:rsid w:val="70916EF8"/>
    <w:rsid w:val="709261ED"/>
    <w:rsid w:val="70A02568"/>
    <w:rsid w:val="70AD230C"/>
    <w:rsid w:val="70B91785"/>
    <w:rsid w:val="70C41020"/>
    <w:rsid w:val="70CC1017"/>
    <w:rsid w:val="70CF255C"/>
    <w:rsid w:val="70DC2C89"/>
    <w:rsid w:val="70DD041E"/>
    <w:rsid w:val="70DD743F"/>
    <w:rsid w:val="70DD7EE0"/>
    <w:rsid w:val="70E3150B"/>
    <w:rsid w:val="70E67B77"/>
    <w:rsid w:val="70F323B0"/>
    <w:rsid w:val="70FD7C9B"/>
    <w:rsid w:val="70FE1DF7"/>
    <w:rsid w:val="710221FA"/>
    <w:rsid w:val="71094431"/>
    <w:rsid w:val="710D3478"/>
    <w:rsid w:val="710F7585"/>
    <w:rsid w:val="711805A6"/>
    <w:rsid w:val="711A79AD"/>
    <w:rsid w:val="71217446"/>
    <w:rsid w:val="71224F32"/>
    <w:rsid w:val="7123463F"/>
    <w:rsid w:val="713B1ED6"/>
    <w:rsid w:val="714463AC"/>
    <w:rsid w:val="7144693A"/>
    <w:rsid w:val="714C0595"/>
    <w:rsid w:val="71525708"/>
    <w:rsid w:val="71542A3C"/>
    <w:rsid w:val="71584711"/>
    <w:rsid w:val="71595F23"/>
    <w:rsid w:val="716A4C59"/>
    <w:rsid w:val="716D3AF0"/>
    <w:rsid w:val="71707F0F"/>
    <w:rsid w:val="717106F9"/>
    <w:rsid w:val="71811922"/>
    <w:rsid w:val="7184567C"/>
    <w:rsid w:val="71866C06"/>
    <w:rsid w:val="718F2568"/>
    <w:rsid w:val="718F3086"/>
    <w:rsid w:val="71910B53"/>
    <w:rsid w:val="719D1BC1"/>
    <w:rsid w:val="719E09E3"/>
    <w:rsid w:val="719F5958"/>
    <w:rsid w:val="71A33FEC"/>
    <w:rsid w:val="71A601E7"/>
    <w:rsid w:val="71AC51C8"/>
    <w:rsid w:val="71C37CE8"/>
    <w:rsid w:val="71C402EA"/>
    <w:rsid w:val="71D4132F"/>
    <w:rsid w:val="71D53676"/>
    <w:rsid w:val="71DA32B4"/>
    <w:rsid w:val="71E32E83"/>
    <w:rsid w:val="71F46D71"/>
    <w:rsid w:val="71F96411"/>
    <w:rsid w:val="71FA7506"/>
    <w:rsid w:val="72061465"/>
    <w:rsid w:val="722F766C"/>
    <w:rsid w:val="723256D8"/>
    <w:rsid w:val="72382B26"/>
    <w:rsid w:val="72385872"/>
    <w:rsid w:val="72451F4F"/>
    <w:rsid w:val="7247128C"/>
    <w:rsid w:val="72493E35"/>
    <w:rsid w:val="725B0CD8"/>
    <w:rsid w:val="7264361A"/>
    <w:rsid w:val="726822A9"/>
    <w:rsid w:val="726C3438"/>
    <w:rsid w:val="726F3E43"/>
    <w:rsid w:val="727367E8"/>
    <w:rsid w:val="72772B43"/>
    <w:rsid w:val="72791B78"/>
    <w:rsid w:val="727C5618"/>
    <w:rsid w:val="727F3E51"/>
    <w:rsid w:val="7287073E"/>
    <w:rsid w:val="728C70E1"/>
    <w:rsid w:val="7290542B"/>
    <w:rsid w:val="72913002"/>
    <w:rsid w:val="72917F17"/>
    <w:rsid w:val="72935E6A"/>
    <w:rsid w:val="729A7834"/>
    <w:rsid w:val="72A00661"/>
    <w:rsid w:val="72AF2463"/>
    <w:rsid w:val="72B06D9D"/>
    <w:rsid w:val="72B715E4"/>
    <w:rsid w:val="72C32F53"/>
    <w:rsid w:val="72C77A8A"/>
    <w:rsid w:val="72CB7C4C"/>
    <w:rsid w:val="72D86D20"/>
    <w:rsid w:val="72DB6BCE"/>
    <w:rsid w:val="72F70D65"/>
    <w:rsid w:val="72F762C6"/>
    <w:rsid w:val="72FE3E8E"/>
    <w:rsid w:val="731B711B"/>
    <w:rsid w:val="731C3ED2"/>
    <w:rsid w:val="731E5631"/>
    <w:rsid w:val="732009B8"/>
    <w:rsid w:val="732B0C72"/>
    <w:rsid w:val="733271A4"/>
    <w:rsid w:val="73330C63"/>
    <w:rsid w:val="733863E3"/>
    <w:rsid w:val="733A3332"/>
    <w:rsid w:val="733C1D9D"/>
    <w:rsid w:val="733E46B2"/>
    <w:rsid w:val="733E586B"/>
    <w:rsid w:val="733E59D9"/>
    <w:rsid w:val="734B3969"/>
    <w:rsid w:val="73597F33"/>
    <w:rsid w:val="7375490C"/>
    <w:rsid w:val="73757E63"/>
    <w:rsid w:val="737D2F4F"/>
    <w:rsid w:val="738B029F"/>
    <w:rsid w:val="73900D21"/>
    <w:rsid w:val="739A7114"/>
    <w:rsid w:val="739F2349"/>
    <w:rsid w:val="739F6287"/>
    <w:rsid w:val="73A242CD"/>
    <w:rsid w:val="73A935F2"/>
    <w:rsid w:val="73AC333B"/>
    <w:rsid w:val="73B11DBC"/>
    <w:rsid w:val="73B1795C"/>
    <w:rsid w:val="73B51018"/>
    <w:rsid w:val="73B67CAD"/>
    <w:rsid w:val="73B86EBC"/>
    <w:rsid w:val="73BC7659"/>
    <w:rsid w:val="73C340B3"/>
    <w:rsid w:val="73C72DB3"/>
    <w:rsid w:val="73C854F0"/>
    <w:rsid w:val="73CE0B05"/>
    <w:rsid w:val="73D007EE"/>
    <w:rsid w:val="73D27A00"/>
    <w:rsid w:val="73D31801"/>
    <w:rsid w:val="73D9581C"/>
    <w:rsid w:val="73DA2FBB"/>
    <w:rsid w:val="73DC2CAB"/>
    <w:rsid w:val="73DC5744"/>
    <w:rsid w:val="73E36876"/>
    <w:rsid w:val="73E72CB9"/>
    <w:rsid w:val="74014C0C"/>
    <w:rsid w:val="740B7234"/>
    <w:rsid w:val="741B5358"/>
    <w:rsid w:val="74202F12"/>
    <w:rsid w:val="742B2256"/>
    <w:rsid w:val="742C093F"/>
    <w:rsid w:val="742F68DF"/>
    <w:rsid w:val="7435797F"/>
    <w:rsid w:val="7442738A"/>
    <w:rsid w:val="744A0545"/>
    <w:rsid w:val="744F0653"/>
    <w:rsid w:val="744F7C70"/>
    <w:rsid w:val="74521009"/>
    <w:rsid w:val="74632A31"/>
    <w:rsid w:val="7465205B"/>
    <w:rsid w:val="746954DB"/>
    <w:rsid w:val="74743C33"/>
    <w:rsid w:val="747640DF"/>
    <w:rsid w:val="747E6036"/>
    <w:rsid w:val="74807A49"/>
    <w:rsid w:val="7482175B"/>
    <w:rsid w:val="74843F0D"/>
    <w:rsid w:val="74A67409"/>
    <w:rsid w:val="74B37F42"/>
    <w:rsid w:val="74B539F8"/>
    <w:rsid w:val="74B94875"/>
    <w:rsid w:val="74BA4FF9"/>
    <w:rsid w:val="74C311F6"/>
    <w:rsid w:val="74C53F19"/>
    <w:rsid w:val="74CA0770"/>
    <w:rsid w:val="74D52F3D"/>
    <w:rsid w:val="74D81528"/>
    <w:rsid w:val="74D96025"/>
    <w:rsid w:val="74DA07A2"/>
    <w:rsid w:val="74DE69C5"/>
    <w:rsid w:val="74E1491C"/>
    <w:rsid w:val="74E67A31"/>
    <w:rsid w:val="74F61278"/>
    <w:rsid w:val="74F90505"/>
    <w:rsid w:val="74FC67D7"/>
    <w:rsid w:val="7501178C"/>
    <w:rsid w:val="75092044"/>
    <w:rsid w:val="75124563"/>
    <w:rsid w:val="751274A1"/>
    <w:rsid w:val="75190871"/>
    <w:rsid w:val="751C2143"/>
    <w:rsid w:val="75295853"/>
    <w:rsid w:val="752D2921"/>
    <w:rsid w:val="752F1869"/>
    <w:rsid w:val="752F2DAC"/>
    <w:rsid w:val="75387884"/>
    <w:rsid w:val="75631790"/>
    <w:rsid w:val="7566472C"/>
    <w:rsid w:val="756B1E1E"/>
    <w:rsid w:val="7578413D"/>
    <w:rsid w:val="757B64ED"/>
    <w:rsid w:val="757C232A"/>
    <w:rsid w:val="75851DCA"/>
    <w:rsid w:val="75895C6B"/>
    <w:rsid w:val="758F3A2A"/>
    <w:rsid w:val="7595284C"/>
    <w:rsid w:val="7599617F"/>
    <w:rsid w:val="759D7802"/>
    <w:rsid w:val="75A011FF"/>
    <w:rsid w:val="75A70E4F"/>
    <w:rsid w:val="75AA3F51"/>
    <w:rsid w:val="75B11420"/>
    <w:rsid w:val="75B263D3"/>
    <w:rsid w:val="75CB7A28"/>
    <w:rsid w:val="75DA0294"/>
    <w:rsid w:val="75DC2372"/>
    <w:rsid w:val="75E16CC1"/>
    <w:rsid w:val="75F22E0F"/>
    <w:rsid w:val="7600000E"/>
    <w:rsid w:val="760021B6"/>
    <w:rsid w:val="760113F9"/>
    <w:rsid w:val="760950F4"/>
    <w:rsid w:val="76122AB3"/>
    <w:rsid w:val="76154B74"/>
    <w:rsid w:val="761C414A"/>
    <w:rsid w:val="761D237D"/>
    <w:rsid w:val="76380CDC"/>
    <w:rsid w:val="76383420"/>
    <w:rsid w:val="76411431"/>
    <w:rsid w:val="7649562B"/>
    <w:rsid w:val="764F7C59"/>
    <w:rsid w:val="76536622"/>
    <w:rsid w:val="765566B4"/>
    <w:rsid w:val="76605088"/>
    <w:rsid w:val="76636412"/>
    <w:rsid w:val="766477E2"/>
    <w:rsid w:val="7668119A"/>
    <w:rsid w:val="766966D4"/>
    <w:rsid w:val="766E17F9"/>
    <w:rsid w:val="76894FB9"/>
    <w:rsid w:val="768C1EBA"/>
    <w:rsid w:val="768E260E"/>
    <w:rsid w:val="769222A0"/>
    <w:rsid w:val="769568F8"/>
    <w:rsid w:val="76993596"/>
    <w:rsid w:val="769F0134"/>
    <w:rsid w:val="76B14AAD"/>
    <w:rsid w:val="76C118A2"/>
    <w:rsid w:val="76C32B57"/>
    <w:rsid w:val="76C63D93"/>
    <w:rsid w:val="76CB0A63"/>
    <w:rsid w:val="76D25527"/>
    <w:rsid w:val="76D81970"/>
    <w:rsid w:val="76DD3810"/>
    <w:rsid w:val="76E451C7"/>
    <w:rsid w:val="76E472DD"/>
    <w:rsid w:val="76E8548D"/>
    <w:rsid w:val="76ED3B38"/>
    <w:rsid w:val="76F13EA7"/>
    <w:rsid w:val="76F14581"/>
    <w:rsid w:val="76F77BBD"/>
    <w:rsid w:val="76FD22EC"/>
    <w:rsid w:val="76FD6D57"/>
    <w:rsid w:val="77030B27"/>
    <w:rsid w:val="77041D95"/>
    <w:rsid w:val="77095079"/>
    <w:rsid w:val="7718408C"/>
    <w:rsid w:val="771D7BC5"/>
    <w:rsid w:val="7723073F"/>
    <w:rsid w:val="772527B2"/>
    <w:rsid w:val="772A6A8E"/>
    <w:rsid w:val="773B25F8"/>
    <w:rsid w:val="773B48CE"/>
    <w:rsid w:val="773D0C62"/>
    <w:rsid w:val="773F62E5"/>
    <w:rsid w:val="7743414C"/>
    <w:rsid w:val="774551B5"/>
    <w:rsid w:val="77523DCF"/>
    <w:rsid w:val="775B3FE4"/>
    <w:rsid w:val="77606B3D"/>
    <w:rsid w:val="776870B9"/>
    <w:rsid w:val="776967FB"/>
    <w:rsid w:val="776D4583"/>
    <w:rsid w:val="7776540C"/>
    <w:rsid w:val="777A37E1"/>
    <w:rsid w:val="778100C2"/>
    <w:rsid w:val="77855EB4"/>
    <w:rsid w:val="779D35D8"/>
    <w:rsid w:val="77AA135C"/>
    <w:rsid w:val="77AB7E27"/>
    <w:rsid w:val="77AC14DA"/>
    <w:rsid w:val="77AD64CA"/>
    <w:rsid w:val="77AF3504"/>
    <w:rsid w:val="77B36F7C"/>
    <w:rsid w:val="77BE1BC2"/>
    <w:rsid w:val="77C926F0"/>
    <w:rsid w:val="77CA0362"/>
    <w:rsid w:val="77D17A81"/>
    <w:rsid w:val="77E40C30"/>
    <w:rsid w:val="77FC1B84"/>
    <w:rsid w:val="78055C6F"/>
    <w:rsid w:val="780752E6"/>
    <w:rsid w:val="780B6CC7"/>
    <w:rsid w:val="78153F77"/>
    <w:rsid w:val="78185315"/>
    <w:rsid w:val="781C67FA"/>
    <w:rsid w:val="782378AE"/>
    <w:rsid w:val="78296DAC"/>
    <w:rsid w:val="783267CC"/>
    <w:rsid w:val="783E418B"/>
    <w:rsid w:val="783F1754"/>
    <w:rsid w:val="784E3C01"/>
    <w:rsid w:val="78570849"/>
    <w:rsid w:val="78575D9F"/>
    <w:rsid w:val="78600977"/>
    <w:rsid w:val="78617AF2"/>
    <w:rsid w:val="78626899"/>
    <w:rsid w:val="786421F2"/>
    <w:rsid w:val="786616B3"/>
    <w:rsid w:val="786E5D08"/>
    <w:rsid w:val="787E7A1D"/>
    <w:rsid w:val="78812F7C"/>
    <w:rsid w:val="78975C7D"/>
    <w:rsid w:val="78A51B95"/>
    <w:rsid w:val="78AA6975"/>
    <w:rsid w:val="78C15B1C"/>
    <w:rsid w:val="78C359B3"/>
    <w:rsid w:val="78C653C1"/>
    <w:rsid w:val="78C9190A"/>
    <w:rsid w:val="78C97D4F"/>
    <w:rsid w:val="78CC0493"/>
    <w:rsid w:val="78DB3FCA"/>
    <w:rsid w:val="78EC2D52"/>
    <w:rsid w:val="78F5480C"/>
    <w:rsid w:val="79036E66"/>
    <w:rsid w:val="790945D5"/>
    <w:rsid w:val="790B5E2B"/>
    <w:rsid w:val="790E47EA"/>
    <w:rsid w:val="790E548B"/>
    <w:rsid w:val="79104E2B"/>
    <w:rsid w:val="79135CA0"/>
    <w:rsid w:val="791467F0"/>
    <w:rsid w:val="7915089E"/>
    <w:rsid w:val="791A58CD"/>
    <w:rsid w:val="791F537B"/>
    <w:rsid w:val="79307F79"/>
    <w:rsid w:val="79344437"/>
    <w:rsid w:val="79367982"/>
    <w:rsid w:val="793D5C2F"/>
    <w:rsid w:val="793F7F0E"/>
    <w:rsid w:val="794A336F"/>
    <w:rsid w:val="79537099"/>
    <w:rsid w:val="79552D08"/>
    <w:rsid w:val="795E7ED2"/>
    <w:rsid w:val="79672E22"/>
    <w:rsid w:val="79677010"/>
    <w:rsid w:val="796E6578"/>
    <w:rsid w:val="79711579"/>
    <w:rsid w:val="797121AE"/>
    <w:rsid w:val="797E1825"/>
    <w:rsid w:val="79A7288D"/>
    <w:rsid w:val="79AA3C4E"/>
    <w:rsid w:val="79AE312A"/>
    <w:rsid w:val="79B3208C"/>
    <w:rsid w:val="79B70130"/>
    <w:rsid w:val="79BD5598"/>
    <w:rsid w:val="79C8453B"/>
    <w:rsid w:val="79CB0706"/>
    <w:rsid w:val="79CB0751"/>
    <w:rsid w:val="79CE66ED"/>
    <w:rsid w:val="79CF6E25"/>
    <w:rsid w:val="79D42664"/>
    <w:rsid w:val="79D51250"/>
    <w:rsid w:val="79DB4236"/>
    <w:rsid w:val="79E66C93"/>
    <w:rsid w:val="79F16E80"/>
    <w:rsid w:val="79F32B94"/>
    <w:rsid w:val="79F842C2"/>
    <w:rsid w:val="79FA0A29"/>
    <w:rsid w:val="79FC6E04"/>
    <w:rsid w:val="79FE2A4E"/>
    <w:rsid w:val="7A081D42"/>
    <w:rsid w:val="7A0A6E0F"/>
    <w:rsid w:val="7A0A7223"/>
    <w:rsid w:val="7A0C4EA7"/>
    <w:rsid w:val="7A12552F"/>
    <w:rsid w:val="7A1524DD"/>
    <w:rsid w:val="7A1A1772"/>
    <w:rsid w:val="7A1E1DC3"/>
    <w:rsid w:val="7A2751AD"/>
    <w:rsid w:val="7A276994"/>
    <w:rsid w:val="7A2C129F"/>
    <w:rsid w:val="7A3B034D"/>
    <w:rsid w:val="7A3F158B"/>
    <w:rsid w:val="7A4A132A"/>
    <w:rsid w:val="7A535840"/>
    <w:rsid w:val="7A646A69"/>
    <w:rsid w:val="7A6736BC"/>
    <w:rsid w:val="7A6A7B3B"/>
    <w:rsid w:val="7A7067FA"/>
    <w:rsid w:val="7A721F7E"/>
    <w:rsid w:val="7A746574"/>
    <w:rsid w:val="7A7678E5"/>
    <w:rsid w:val="7A7B24DD"/>
    <w:rsid w:val="7A7D2094"/>
    <w:rsid w:val="7A7F65CA"/>
    <w:rsid w:val="7A867241"/>
    <w:rsid w:val="7A876B11"/>
    <w:rsid w:val="7A88301C"/>
    <w:rsid w:val="7A963A48"/>
    <w:rsid w:val="7A9660A3"/>
    <w:rsid w:val="7A9861CB"/>
    <w:rsid w:val="7A986784"/>
    <w:rsid w:val="7A9D32DE"/>
    <w:rsid w:val="7ABB3E82"/>
    <w:rsid w:val="7AC3568E"/>
    <w:rsid w:val="7AD71052"/>
    <w:rsid w:val="7AD9797E"/>
    <w:rsid w:val="7ADE3DB2"/>
    <w:rsid w:val="7AE5682B"/>
    <w:rsid w:val="7AEE60EE"/>
    <w:rsid w:val="7B0E060E"/>
    <w:rsid w:val="7B0F5219"/>
    <w:rsid w:val="7B177A77"/>
    <w:rsid w:val="7B193032"/>
    <w:rsid w:val="7B1B1CF8"/>
    <w:rsid w:val="7B1C3E8D"/>
    <w:rsid w:val="7B26484C"/>
    <w:rsid w:val="7B2B13FD"/>
    <w:rsid w:val="7B3339FA"/>
    <w:rsid w:val="7B346599"/>
    <w:rsid w:val="7B44094D"/>
    <w:rsid w:val="7B460BFD"/>
    <w:rsid w:val="7B4910BE"/>
    <w:rsid w:val="7B4A7A19"/>
    <w:rsid w:val="7B5D3226"/>
    <w:rsid w:val="7B5E4EEC"/>
    <w:rsid w:val="7B674BD7"/>
    <w:rsid w:val="7B722498"/>
    <w:rsid w:val="7B782690"/>
    <w:rsid w:val="7B7F3966"/>
    <w:rsid w:val="7B80148D"/>
    <w:rsid w:val="7B821ADA"/>
    <w:rsid w:val="7B8F5DA2"/>
    <w:rsid w:val="7B926883"/>
    <w:rsid w:val="7BA4369C"/>
    <w:rsid w:val="7BA71440"/>
    <w:rsid w:val="7BAE696E"/>
    <w:rsid w:val="7BAF3C86"/>
    <w:rsid w:val="7BC23E12"/>
    <w:rsid w:val="7BC45CF4"/>
    <w:rsid w:val="7BC92A6F"/>
    <w:rsid w:val="7BD36780"/>
    <w:rsid w:val="7BD4048E"/>
    <w:rsid w:val="7BD968AC"/>
    <w:rsid w:val="7BDE524C"/>
    <w:rsid w:val="7BEA5E74"/>
    <w:rsid w:val="7BF00328"/>
    <w:rsid w:val="7BF577C1"/>
    <w:rsid w:val="7BF9001B"/>
    <w:rsid w:val="7BFE0389"/>
    <w:rsid w:val="7BFE08FA"/>
    <w:rsid w:val="7C091716"/>
    <w:rsid w:val="7C126AEB"/>
    <w:rsid w:val="7C1F2070"/>
    <w:rsid w:val="7C260105"/>
    <w:rsid w:val="7C2900A2"/>
    <w:rsid w:val="7C295D17"/>
    <w:rsid w:val="7C2A10CD"/>
    <w:rsid w:val="7C2D2AE7"/>
    <w:rsid w:val="7C4A5A50"/>
    <w:rsid w:val="7C4B681D"/>
    <w:rsid w:val="7C4C575E"/>
    <w:rsid w:val="7C640974"/>
    <w:rsid w:val="7C643EF7"/>
    <w:rsid w:val="7C690B20"/>
    <w:rsid w:val="7C724EAE"/>
    <w:rsid w:val="7C780AD5"/>
    <w:rsid w:val="7C7A14F2"/>
    <w:rsid w:val="7C7E2FFC"/>
    <w:rsid w:val="7C7F038C"/>
    <w:rsid w:val="7C867154"/>
    <w:rsid w:val="7C8F78D5"/>
    <w:rsid w:val="7C9427B3"/>
    <w:rsid w:val="7C9E5A77"/>
    <w:rsid w:val="7CAA1FF6"/>
    <w:rsid w:val="7CAD2B44"/>
    <w:rsid w:val="7CB74F4A"/>
    <w:rsid w:val="7CB80138"/>
    <w:rsid w:val="7CB838AF"/>
    <w:rsid w:val="7CBE6F50"/>
    <w:rsid w:val="7CC639C6"/>
    <w:rsid w:val="7CC96839"/>
    <w:rsid w:val="7CCC3CFE"/>
    <w:rsid w:val="7CCD12D3"/>
    <w:rsid w:val="7CD505D1"/>
    <w:rsid w:val="7CD534FD"/>
    <w:rsid w:val="7CD6692A"/>
    <w:rsid w:val="7CE215AC"/>
    <w:rsid w:val="7CE25B4A"/>
    <w:rsid w:val="7CE3422B"/>
    <w:rsid w:val="7CE5443B"/>
    <w:rsid w:val="7CE76B7F"/>
    <w:rsid w:val="7CED09D9"/>
    <w:rsid w:val="7CF436AD"/>
    <w:rsid w:val="7CF87323"/>
    <w:rsid w:val="7CFF2442"/>
    <w:rsid w:val="7D0115A5"/>
    <w:rsid w:val="7D017D9A"/>
    <w:rsid w:val="7D080205"/>
    <w:rsid w:val="7D0A432A"/>
    <w:rsid w:val="7D0F2DDE"/>
    <w:rsid w:val="7D144B3C"/>
    <w:rsid w:val="7D167BA2"/>
    <w:rsid w:val="7D177687"/>
    <w:rsid w:val="7D1F5883"/>
    <w:rsid w:val="7D242066"/>
    <w:rsid w:val="7D282F0F"/>
    <w:rsid w:val="7D286550"/>
    <w:rsid w:val="7D3140B5"/>
    <w:rsid w:val="7D3874D2"/>
    <w:rsid w:val="7D4241A1"/>
    <w:rsid w:val="7D452B7F"/>
    <w:rsid w:val="7D526E71"/>
    <w:rsid w:val="7D532432"/>
    <w:rsid w:val="7D5A5BFC"/>
    <w:rsid w:val="7D6518EB"/>
    <w:rsid w:val="7D6B77B5"/>
    <w:rsid w:val="7D7371E1"/>
    <w:rsid w:val="7D74008A"/>
    <w:rsid w:val="7D7862CF"/>
    <w:rsid w:val="7D7A4E9D"/>
    <w:rsid w:val="7D7F0E79"/>
    <w:rsid w:val="7D851CFF"/>
    <w:rsid w:val="7DA65B7D"/>
    <w:rsid w:val="7DA72A35"/>
    <w:rsid w:val="7DA86112"/>
    <w:rsid w:val="7DAE3829"/>
    <w:rsid w:val="7DB00509"/>
    <w:rsid w:val="7DB9268E"/>
    <w:rsid w:val="7DBF3388"/>
    <w:rsid w:val="7DC71DAD"/>
    <w:rsid w:val="7DC8040C"/>
    <w:rsid w:val="7DC85A3E"/>
    <w:rsid w:val="7DCD3893"/>
    <w:rsid w:val="7DCE15A0"/>
    <w:rsid w:val="7DCF3C5F"/>
    <w:rsid w:val="7DD03D33"/>
    <w:rsid w:val="7DD410E6"/>
    <w:rsid w:val="7DD603AD"/>
    <w:rsid w:val="7DD82F1A"/>
    <w:rsid w:val="7DDA1110"/>
    <w:rsid w:val="7DE020DC"/>
    <w:rsid w:val="7DE449CE"/>
    <w:rsid w:val="7DEC05A8"/>
    <w:rsid w:val="7DED1348"/>
    <w:rsid w:val="7DEE71DF"/>
    <w:rsid w:val="7DF66186"/>
    <w:rsid w:val="7E007B1A"/>
    <w:rsid w:val="7E032346"/>
    <w:rsid w:val="7E0A5EA4"/>
    <w:rsid w:val="7E0A72D5"/>
    <w:rsid w:val="7E0B3C08"/>
    <w:rsid w:val="7E1C2B95"/>
    <w:rsid w:val="7E1E3CF4"/>
    <w:rsid w:val="7E212526"/>
    <w:rsid w:val="7E262B03"/>
    <w:rsid w:val="7E2E765A"/>
    <w:rsid w:val="7E324C10"/>
    <w:rsid w:val="7E324D32"/>
    <w:rsid w:val="7E3B7336"/>
    <w:rsid w:val="7E3D35D7"/>
    <w:rsid w:val="7E466A84"/>
    <w:rsid w:val="7E472FFE"/>
    <w:rsid w:val="7E4A6379"/>
    <w:rsid w:val="7E5248E3"/>
    <w:rsid w:val="7E5A2EA0"/>
    <w:rsid w:val="7E624B5E"/>
    <w:rsid w:val="7E66305F"/>
    <w:rsid w:val="7E6854DB"/>
    <w:rsid w:val="7E6C43B3"/>
    <w:rsid w:val="7E77762F"/>
    <w:rsid w:val="7E793E63"/>
    <w:rsid w:val="7E7B1715"/>
    <w:rsid w:val="7E8031F2"/>
    <w:rsid w:val="7E860496"/>
    <w:rsid w:val="7E956D81"/>
    <w:rsid w:val="7E9611E7"/>
    <w:rsid w:val="7E9963F8"/>
    <w:rsid w:val="7E9D0633"/>
    <w:rsid w:val="7EA82B9C"/>
    <w:rsid w:val="7EA95574"/>
    <w:rsid w:val="7EB13A3E"/>
    <w:rsid w:val="7EB16AB6"/>
    <w:rsid w:val="7EBD651F"/>
    <w:rsid w:val="7EC05F3D"/>
    <w:rsid w:val="7EC07C28"/>
    <w:rsid w:val="7ECB3BBC"/>
    <w:rsid w:val="7ED3785E"/>
    <w:rsid w:val="7ED83896"/>
    <w:rsid w:val="7EDC2729"/>
    <w:rsid w:val="7EE15DD1"/>
    <w:rsid w:val="7EEB46E8"/>
    <w:rsid w:val="7EEE3759"/>
    <w:rsid w:val="7EF04016"/>
    <w:rsid w:val="7EF94F98"/>
    <w:rsid w:val="7EFB200E"/>
    <w:rsid w:val="7EFF41BF"/>
    <w:rsid w:val="7F0126E4"/>
    <w:rsid w:val="7F013802"/>
    <w:rsid w:val="7F051449"/>
    <w:rsid w:val="7F1A1324"/>
    <w:rsid w:val="7F1A4AEF"/>
    <w:rsid w:val="7F271E5F"/>
    <w:rsid w:val="7F29623C"/>
    <w:rsid w:val="7F2D4C74"/>
    <w:rsid w:val="7F341EAD"/>
    <w:rsid w:val="7F350A03"/>
    <w:rsid w:val="7F375587"/>
    <w:rsid w:val="7F3B2B2F"/>
    <w:rsid w:val="7F406D66"/>
    <w:rsid w:val="7F421AF0"/>
    <w:rsid w:val="7F516AFB"/>
    <w:rsid w:val="7F585C16"/>
    <w:rsid w:val="7F5B38C5"/>
    <w:rsid w:val="7F6566E6"/>
    <w:rsid w:val="7F6A7C64"/>
    <w:rsid w:val="7F6B0BA4"/>
    <w:rsid w:val="7F6E0CE1"/>
    <w:rsid w:val="7F6F6E86"/>
    <w:rsid w:val="7F8A3738"/>
    <w:rsid w:val="7F8B3191"/>
    <w:rsid w:val="7F8E4655"/>
    <w:rsid w:val="7F8E6809"/>
    <w:rsid w:val="7F987985"/>
    <w:rsid w:val="7F9C63C5"/>
    <w:rsid w:val="7F9E0C2E"/>
    <w:rsid w:val="7FAF35C9"/>
    <w:rsid w:val="7FAF535A"/>
    <w:rsid w:val="7FB620B9"/>
    <w:rsid w:val="7FBE4780"/>
    <w:rsid w:val="7FC07CDA"/>
    <w:rsid w:val="7FC33EC6"/>
    <w:rsid w:val="7FD30895"/>
    <w:rsid w:val="7FD52EF4"/>
    <w:rsid w:val="7FE932BA"/>
    <w:rsid w:val="7FEC3423"/>
    <w:rsid w:val="7FFD6BD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after="330" w:line="578" w:lineRule="atLeast"/>
      <w:outlineLvl w:val="0"/>
    </w:pPr>
    <w:rPr>
      <w:rFonts w:ascii="Calibri" w:hAnsi="Calibri" w:cs="Times New Roman"/>
      <w:b/>
      <w:bCs/>
      <w:kern w:val="44"/>
      <w:sz w:val="44"/>
      <w:szCs w:val="44"/>
    </w:rPr>
  </w:style>
  <w:style w:type="character" w:default="1" w:styleId="7">
    <w:name w:val="Default Paragraph Font"/>
    <w:semiHidden/>
    <w:unhideWhenUsed/>
    <w:qFormat/>
    <w:uiPriority w:val="1"/>
  </w:style>
  <w:style w:type="table" w:default="1" w:styleId="15">
    <w:name w:val="Normal Table"/>
    <w:semiHidden/>
    <w:unhideWhenUsed/>
    <w:uiPriority w:val="99"/>
    <w:tblPr>
      <w:tblLayout w:type="fixed"/>
      <w:tblCellMar>
        <w:top w:w="0" w:type="dxa"/>
        <w:left w:w="108" w:type="dxa"/>
        <w:bottom w:w="0" w:type="dxa"/>
        <w:right w:w="108" w:type="dxa"/>
      </w:tblCellMar>
    </w:tblPr>
  </w:style>
  <w:style w:type="paragraph" w:styleId="3">
    <w:name w:val="Balloon Text"/>
    <w:basedOn w:val="1"/>
    <w:link w:val="61"/>
    <w:uiPriority w:val="0"/>
    <w:rPr>
      <w:sz w:val="18"/>
      <w:szCs w:val="18"/>
    </w:r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6">
    <w:name w:val="Normal (Web)"/>
    <w:basedOn w:val="1"/>
    <w:qFormat/>
    <w:uiPriority w:val="0"/>
    <w:pPr>
      <w:spacing w:beforeAutospacing="1" w:afterAutospacing="1"/>
      <w:jc w:val="left"/>
    </w:pPr>
    <w:rPr>
      <w:rFonts w:cs="Times New Roman"/>
      <w:kern w:val="0"/>
      <w:sz w:val="24"/>
    </w:rPr>
  </w:style>
  <w:style w:type="character" w:styleId="8">
    <w:name w:val="Strong"/>
    <w:basedOn w:val="7"/>
    <w:qFormat/>
    <w:uiPriority w:val="0"/>
    <w:rPr>
      <w:b/>
      <w:sz w:val="21"/>
      <w:szCs w:val="21"/>
    </w:rPr>
  </w:style>
  <w:style w:type="character" w:styleId="9">
    <w:name w:val="FollowedHyperlink"/>
    <w:basedOn w:val="7"/>
    <w:qFormat/>
    <w:uiPriority w:val="0"/>
    <w:rPr>
      <w:color w:val="4D7AD8"/>
      <w:u w:val="none"/>
    </w:rPr>
  </w:style>
  <w:style w:type="character" w:styleId="10">
    <w:name w:val="HTML Definition"/>
    <w:basedOn w:val="7"/>
    <w:qFormat/>
    <w:uiPriority w:val="0"/>
    <w:rPr>
      <w:i/>
      <w:bdr w:val="single" w:color="D9D9D9" w:sz="6" w:space="0"/>
      <w:shd w:val="clear" w:color="auto" w:fill="FFFFFF"/>
    </w:rPr>
  </w:style>
  <w:style w:type="character" w:styleId="11">
    <w:name w:val="Hyperlink"/>
    <w:basedOn w:val="7"/>
    <w:qFormat/>
    <w:uiPriority w:val="0"/>
    <w:rPr>
      <w:color w:val="0000FF"/>
      <w:u w:val="single"/>
    </w:rPr>
  </w:style>
  <w:style w:type="character" w:styleId="12">
    <w:name w:val="HTML Code"/>
    <w:basedOn w:val="7"/>
    <w:qFormat/>
    <w:uiPriority w:val="0"/>
    <w:rPr>
      <w:rFonts w:hint="default" w:ascii="Consolas" w:hAnsi="Consolas" w:eastAsia="Consolas" w:cs="Consolas"/>
      <w:sz w:val="21"/>
      <w:szCs w:val="21"/>
    </w:rPr>
  </w:style>
  <w:style w:type="character" w:styleId="13">
    <w:name w:val="HTML Keyboard"/>
    <w:basedOn w:val="7"/>
    <w:qFormat/>
    <w:uiPriority w:val="0"/>
    <w:rPr>
      <w:rFonts w:ascii="Consolas" w:hAnsi="Consolas" w:eastAsia="Consolas" w:cs="Consolas"/>
      <w:color w:val="666666"/>
      <w:sz w:val="21"/>
      <w:szCs w:val="21"/>
    </w:rPr>
  </w:style>
  <w:style w:type="character" w:styleId="14">
    <w:name w:val="HTML Sample"/>
    <w:basedOn w:val="7"/>
    <w:qFormat/>
    <w:uiPriority w:val="0"/>
    <w:rPr>
      <w:rFonts w:hint="default" w:ascii="Consolas" w:hAnsi="Consolas" w:eastAsia="Consolas" w:cs="Consolas"/>
      <w:sz w:val="21"/>
      <w:szCs w:val="21"/>
    </w:rPr>
  </w:style>
  <w:style w:type="table" w:styleId="16">
    <w:name w:val="Table Grid"/>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customStyle="1" w:styleId="17">
    <w:name w:val="first-child2"/>
    <w:basedOn w:val="7"/>
    <w:qFormat/>
    <w:uiPriority w:val="0"/>
    <w:rPr>
      <w:sz w:val="13"/>
      <w:szCs w:val="13"/>
    </w:rPr>
  </w:style>
  <w:style w:type="character" w:customStyle="1" w:styleId="18">
    <w:name w:val="ant-select-tree-switcher"/>
    <w:basedOn w:val="7"/>
    <w:qFormat/>
    <w:uiPriority w:val="0"/>
  </w:style>
  <w:style w:type="character" w:customStyle="1" w:styleId="19">
    <w:name w:val="ant-tree-iconele"/>
    <w:basedOn w:val="7"/>
    <w:qFormat/>
    <w:uiPriority w:val="0"/>
  </w:style>
  <w:style w:type="character" w:customStyle="1" w:styleId="20">
    <w:name w:val="ant-radio+*"/>
    <w:basedOn w:val="7"/>
    <w:qFormat/>
    <w:uiPriority w:val="0"/>
  </w:style>
  <w:style w:type="character" w:customStyle="1" w:styleId="21">
    <w:name w:val="selected4"/>
    <w:basedOn w:val="7"/>
    <w:qFormat/>
    <w:uiPriority w:val="0"/>
  </w:style>
  <w:style w:type="character" w:customStyle="1" w:styleId="22">
    <w:name w:val="selected5"/>
    <w:basedOn w:val="7"/>
    <w:qFormat/>
    <w:uiPriority w:val="0"/>
  </w:style>
  <w:style w:type="character" w:customStyle="1" w:styleId="23">
    <w:name w:val="selected6"/>
    <w:basedOn w:val="7"/>
    <w:qFormat/>
    <w:uiPriority w:val="0"/>
  </w:style>
  <w:style w:type="character" w:customStyle="1" w:styleId="24">
    <w:name w:val="button"/>
    <w:basedOn w:val="7"/>
    <w:qFormat/>
    <w:uiPriority w:val="0"/>
  </w:style>
  <w:style w:type="character" w:customStyle="1" w:styleId="25">
    <w:name w:val="hover19"/>
    <w:basedOn w:val="7"/>
    <w:qFormat/>
    <w:uiPriority w:val="0"/>
    <w:rPr>
      <w:color w:val="009DFF"/>
    </w:rPr>
  </w:style>
  <w:style w:type="character" w:customStyle="1" w:styleId="26">
    <w:name w:val="hover20"/>
    <w:basedOn w:val="7"/>
    <w:qFormat/>
    <w:uiPriority w:val="0"/>
    <w:rPr>
      <w:color w:val="009DFF"/>
    </w:rPr>
  </w:style>
  <w:style w:type="character" w:customStyle="1" w:styleId="27">
    <w:name w:val="ant-tree-switcher"/>
    <w:basedOn w:val="7"/>
    <w:qFormat/>
    <w:uiPriority w:val="0"/>
  </w:style>
  <w:style w:type="character" w:customStyle="1" w:styleId="28">
    <w:name w:val="ant-select-tree-checkbox2"/>
    <w:basedOn w:val="7"/>
    <w:qFormat/>
    <w:uiPriority w:val="0"/>
  </w:style>
  <w:style w:type="character" w:customStyle="1" w:styleId="29">
    <w:name w:val="ant-select-tree-iconele"/>
    <w:basedOn w:val="7"/>
    <w:qFormat/>
    <w:uiPriority w:val="0"/>
  </w:style>
  <w:style w:type="character" w:customStyle="1" w:styleId="30">
    <w:name w:val="ant-tree-checkbox6"/>
    <w:basedOn w:val="7"/>
    <w:qFormat/>
    <w:uiPriority w:val="0"/>
  </w:style>
  <w:style w:type="character" w:customStyle="1" w:styleId="31">
    <w:name w:val="wea-thumbnails-doc-content-subtitle"/>
    <w:basedOn w:val="7"/>
    <w:qFormat/>
    <w:uiPriority w:val="0"/>
    <w:rPr>
      <w:color w:val="9A9A9A"/>
    </w:rPr>
  </w:style>
  <w:style w:type="character" w:customStyle="1" w:styleId="32">
    <w:name w:val="ht_nestinglevel"/>
    <w:basedOn w:val="7"/>
    <w:qFormat/>
    <w:uiPriority w:val="0"/>
  </w:style>
  <w:style w:type="character" w:customStyle="1" w:styleId="33">
    <w:name w:val="ht_nestinglevel_empty"/>
    <w:basedOn w:val="7"/>
    <w:qFormat/>
    <w:uiPriority w:val="0"/>
  </w:style>
  <w:style w:type="character" w:customStyle="1" w:styleId="34">
    <w:name w:val="colheader"/>
    <w:basedOn w:val="7"/>
    <w:qFormat/>
    <w:uiPriority w:val="0"/>
  </w:style>
  <w:style w:type="character" w:customStyle="1" w:styleId="35">
    <w:name w:val="ant-tree-checkbox"/>
    <w:basedOn w:val="7"/>
    <w:qFormat/>
    <w:uiPriority w:val="0"/>
  </w:style>
  <w:style w:type="character" w:customStyle="1" w:styleId="36">
    <w:name w:val="first-child"/>
    <w:basedOn w:val="7"/>
    <w:qFormat/>
    <w:uiPriority w:val="0"/>
    <w:rPr>
      <w:sz w:val="13"/>
      <w:szCs w:val="13"/>
    </w:rPr>
  </w:style>
  <w:style w:type="character" w:customStyle="1" w:styleId="37">
    <w:name w:val="ant-tree-switcher6"/>
    <w:basedOn w:val="7"/>
    <w:qFormat/>
    <w:uiPriority w:val="0"/>
  </w:style>
  <w:style w:type="character" w:customStyle="1" w:styleId="38">
    <w:name w:val="selected"/>
    <w:basedOn w:val="7"/>
    <w:qFormat/>
    <w:uiPriority w:val="0"/>
  </w:style>
  <w:style w:type="character" w:customStyle="1" w:styleId="39">
    <w:name w:val="selected1"/>
    <w:basedOn w:val="7"/>
    <w:qFormat/>
    <w:uiPriority w:val="0"/>
  </w:style>
  <w:style w:type="character" w:customStyle="1" w:styleId="40">
    <w:name w:val="selected2"/>
    <w:basedOn w:val="7"/>
    <w:qFormat/>
    <w:uiPriority w:val="0"/>
  </w:style>
  <w:style w:type="character" w:customStyle="1" w:styleId="41">
    <w:name w:val="ant-select-tree-checkbox"/>
    <w:basedOn w:val="7"/>
    <w:qFormat/>
    <w:uiPriority w:val="0"/>
  </w:style>
  <w:style w:type="character" w:customStyle="1" w:styleId="42">
    <w:name w:val="ant-tree-switcher5"/>
    <w:basedOn w:val="7"/>
    <w:qFormat/>
    <w:uiPriority w:val="0"/>
  </w:style>
  <w:style w:type="character" w:customStyle="1" w:styleId="43">
    <w:name w:val="selected7"/>
    <w:basedOn w:val="7"/>
    <w:qFormat/>
    <w:uiPriority w:val="0"/>
  </w:style>
  <w:style w:type="character" w:customStyle="1" w:styleId="44">
    <w:name w:val="selected11"/>
    <w:basedOn w:val="7"/>
    <w:qFormat/>
    <w:uiPriority w:val="0"/>
  </w:style>
  <w:style w:type="character" w:customStyle="1" w:styleId="45">
    <w:name w:val="selected12"/>
    <w:basedOn w:val="7"/>
    <w:qFormat/>
    <w:uiPriority w:val="0"/>
  </w:style>
  <w:style w:type="character" w:customStyle="1" w:styleId="46">
    <w:name w:val="selected13"/>
    <w:basedOn w:val="7"/>
    <w:qFormat/>
    <w:uiPriority w:val="0"/>
  </w:style>
  <w:style w:type="character" w:customStyle="1" w:styleId="47">
    <w:name w:val="selected8"/>
    <w:basedOn w:val="7"/>
    <w:qFormat/>
    <w:uiPriority w:val="0"/>
  </w:style>
  <w:style w:type="character" w:customStyle="1" w:styleId="48">
    <w:name w:val="selected9"/>
    <w:basedOn w:val="7"/>
    <w:qFormat/>
    <w:uiPriority w:val="0"/>
  </w:style>
  <w:style w:type="character" w:customStyle="1" w:styleId="49">
    <w:name w:val="selected10"/>
    <w:basedOn w:val="7"/>
    <w:qFormat/>
    <w:uiPriority w:val="0"/>
  </w:style>
  <w:style w:type="character" w:customStyle="1" w:styleId="50">
    <w:name w:val="hover18"/>
    <w:basedOn w:val="7"/>
    <w:qFormat/>
    <w:uiPriority w:val="0"/>
    <w:rPr>
      <w:color w:val="009DFF"/>
    </w:rPr>
  </w:style>
  <w:style w:type="character" w:customStyle="1" w:styleId="51">
    <w:name w:val="ant-tree-checkbox5"/>
    <w:basedOn w:val="7"/>
    <w:qFormat/>
    <w:uiPriority w:val="0"/>
  </w:style>
  <w:style w:type="character" w:customStyle="1" w:styleId="52">
    <w:name w:val="ant-tree-switcher4"/>
    <w:basedOn w:val="7"/>
    <w:qFormat/>
    <w:uiPriority w:val="0"/>
  </w:style>
  <w:style w:type="character" w:customStyle="1" w:styleId="53">
    <w:name w:val="hover"/>
    <w:basedOn w:val="7"/>
    <w:qFormat/>
    <w:uiPriority w:val="0"/>
    <w:rPr>
      <w:color w:val="009DFF"/>
    </w:rPr>
  </w:style>
  <w:style w:type="character" w:customStyle="1" w:styleId="54">
    <w:name w:val="hover1"/>
    <w:basedOn w:val="7"/>
    <w:qFormat/>
    <w:uiPriority w:val="0"/>
    <w:rPr>
      <w:color w:val="009DFF"/>
    </w:rPr>
  </w:style>
  <w:style w:type="character" w:customStyle="1" w:styleId="55">
    <w:name w:val="hover15"/>
    <w:basedOn w:val="7"/>
    <w:qFormat/>
    <w:uiPriority w:val="0"/>
    <w:rPr>
      <w:color w:val="009DFF"/>
    </w:rPr>
  </w:style>
  <w:style w:type="character" w:customStyle="1" w:styleId="56">
    <w:name w:val="hover16"/>
    <w:basedOn w:val="7"/>
    <w:qFormat/>
    <w:uiPriority w:val="0"/>
    <w:rPr>
      <w:color w:val="009DFF"/>
    </w:rPr>
  </w:style>
  <w:style w:type="character" w:customStyle="1" w:styleId="57">
    <w:name w:val="ant-tree-checkbox4"/>
    <w:basedOn w:val="7"/>
    <w:qFormat/>
    <w:uiPriority w:val="0"/>
  </w:style>
  <w:style w:type="character" w:customStyle="1" w:styleId="58">
    <w:name w:val="hover17"/>
    <w:basedOn w:val="7"/>
    <w:qFormat/>
    <w:uiPriority w:val="0"/>
    <w:rPr>
      <w:color w:val="009DFF"/>
    </w:rPr>
  </w:style>
  <w:style w:type="character" w:customStyle="1" w:styleId="59">
    <w:name w:val="hover14"/>
    <w:basedOn w:val="7"/>
    <w:qFormat/>
    <w:uiPriority w:val="0"/>
    <w:rPr>
      <w:color w:val="009DFF"/>
    </w:rPr>
  </w:style>
  <w:style w:type="character" w:customStyle="1" w:styleId="60">
    <w:name w:val="hover13"/>
    <w:basedOn w:val="7"/>
    <w:qFormat/>
    <w:uiPriority w:val="0"/>
    <w:rPr>
      <w:color w:val="009DFF"/>
    </w:rPr>
  </w:style>
  <w:style w:type="character" w:customStyle="1" w:styleId="61">
    <w:name w:val="批注框文本 Char"/>
    <w:basedOn w:val="7"/>
    <w:link w:val="3"/>
    <w:uiPriority w:val="0"/>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1.xml"/><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HP</Company>
  <Pages>25</Pages>
  <Words>1618</Words>
  <Characters>9224</Characters>
  <Lines>76</Lines>
  <Paragraphs>21</Paragraphs>
  <TotalTime>53</TotalTime>
  <ScaleCrop>false</ScaleCrop>
  <LinksUpToDate>false</LinksUpToDate>
  <CharactersWithSpaces>10821</CharactersWithSpaces>
  <Application>WPS Office_10.8.2.7058_F1E327BC-269C-435d-A152-05C5408002CA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2023-12-15T03:58:00Z</dcterms:created>
  <dc:creator>admin</dc:creator>
  <cp:lastModifiedBy>admin</cp:lastModifiedBy>
  <cp:lastPrinted>2024-04-26T06:37:00Z</cp:lastPrinted>
  <dcterms:modified xsi:type="dcterms:W3CDTF">2024-04-26T08:10:05Z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2052-10.8.2.7058</vt:lpwstr>
  </property>
  <property fmtid="{D5CDD505-2E9C-101B-9397-08002B2CF9AE}" pid="3" name="ICV">
    <vt:lpwstr>2AFE29251F2D47119EA111B2B617C6AF_13</vt:lpwstr>
  </property>
</Properties>
</file>