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11</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总第</w:t>
      </w:r>
      <w:r>
        <w:rPr>
          <w:rFonts w:hint="default"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25</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7</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default" w:ascii="Times New Roman" w:hAnsi="Times New Roman" w:eastAsia="方正楷体_GBK" w:cs="Times New Roman"/>
          <w:b w:val="0"/>
          <w:bCs/>
          <w:color w:val="000000"/>
          <w:kern w:val="36"/>
          <w:sz w:val="32"/>
          <w:szCs w:val="32"/>
          <w:highlight w:val="none"/>
          <w:lang w:val="en-US"/>
        </w:rPr>
        <w:t>3</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15</w:t>
      </w:r>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全球市场资讯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jc w:val="left"/>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3月7日（周四）“小非农”数据不及预期，</w:t>
      </w:r>
      <w:r>
        <w:rPr>
          <w:rFonts w:hint="default" w:ascii="Times New Roman" w:hAnsi="Times New Roman" w:eastAsia="方正楷体_GBK" w:cs="Times New Roman"/>
          <w:b/>
          <w:color w:val="auto"/>
          <w:spacing w:val="0"/>
          <w:kern w:val="36"/>
          <w:sz w:val="30"/>
          <w:szCs w:val="30"/>
          <w:lang w:val="en-US" w:eastAsia="zh-CN"/>
        </w:rPr>
        <w:t>NYCB</w:t>
      </w:r>
      <w:r>
        <w:rPr>
          <w:rFonts w:hint="eastAsia" w:ascii="Times New Roman" w:hAnsi="Times New Roman" w:eastAsia="方正楷体_GBK" w:cs="Times New Roman"/>
          <w:b/>
          <w:color w:val="auto"/>
          <w:spacing w:val="0"/>
          <w:kern w:val="36"/>
          <w:sz w:val="30"/>
          <w:szCs w:val="30"/>
          <w:lang w:val="en-US" w:eastAsia="zh-CN"/>
        </w:rPr>
        <w:t>情况依然</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jc w:val="left"/>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紧张</w:t>
      </w:r>
      <w:r>
        <w:rPr>
          <w:rFonts w:hint="default" w:ascii="Times New Roman" w:hAnsi="Times New Roman" w:eastAsia="方正楷体_GBK" w:cs="Times New Roman"/>
          <w:b/>
          <w:color w:val="auto"/>
          <w:spacing w:val="0"/>
          <w:kern w:val="36"/>
          <w:sz w:val="30"/>
          <w:szCs w:val="30"/>
          <w:lang w:val="en-US" w:eastAsia="zh-CN"/>
        </w:rPr>
        <w:t xml:space="preserve"> / 01</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jc w:val="left"/>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3</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8</w:t>
      </w:r>
      <w:r>
        <w:rPr>
          <w:rFonts w:hint="default" w:ascii="Times New Roman" w:hAnsi="Times New Roman" w:eastAsia="方正楷体_GBK" w:cs="Times New Roman"/>
          <w:b/>
          <w:color w:val="auto"/>
          <w:spacing w:val="0"/>
          <w:kern w:val="36"/>
          <w:sz w:val="30"/>
          <w:szCs w:val="30"/>
          <w:lang w:val="en-US" w:eastAsia="zh-CN"/>
        </w:rPr>
        <w:t>日（周</w:t>
      </w:r>
      <w:r>
        <w:rPr>
          <w:rFonts w:hint="eastAsia" w:ascii="Times New Roman" w:hAnsi="Times New Roman" w:eastAsia="方正楷体_GBK" w:cs="Times New Roman"/>
          <w:b/>
          <w:color w:val="auto"/>
          <w:spacing w:val="0"/>
          <w:kern w:val="36"/>
          <w:sz w:val="30"/>
          <w:szCs w:val="30"/>
          <w:lang w:val="en-US" w:eastAsia="zh-CN"/>
        </w:rPr>
        <w:t>五</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劳动力市场仍强劲，美联储又出新思路 </w:t>
      </w:r>
      <w:r>
        <w:rPr>
          <w:rFonts w:hint="default" w:ascii="Times New Roman" w:hAnsi="Times New Roman" w:eastAsia="方正楷体_GBK" w:cs="Times New Roman"/>
          <w:b/>
          <w:color w:val="auto"/>
          <w:spacing w:val="0"/>
          <w:kern w:val="36"/>
          <w:sz w:val="30"/>
          <w:szCs w:val="30"/>
          <w:lang w:val="en-US" w:eastAsia="zh-CN"/>
        </w:rPr>
        <w:t>/ 0</w:t>
      </w:r>
      <w:r>
        <w:rPr>
          <w:rFonts w:hint="eastAsia" w:ascii="Times New Roman" w:hAnsi="Times New Roman" w:eastAsia="方正楷体_GBK" w:cs="Times New Roman"/>
          <w:b/>
          <w:color w:val="auto"/>
          <w:spacing w:val="0"/>
          <w:kern w:val="36"/>
          <w:sz w:val="30"/>
          <w:szCs w:val="30"/>
          <w:lang w:val="en-US" w:eastAsia="zh-CN"/>
        </w:rPr>
        <w:t>2</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3</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9</w:t>
      </w:r>
      <w:r>
        <w:rPr>
          <w:rFonts w:hint="default" w:ascii="Times New Roman" w:hAnsi="Times New Roman" w:eastAsia="方正楷体_GBK" w:cs="Times New Roman"/>
          <w:b/>
          <w:color w:val="auto"/>
          <w:spacing w:val="0"/>
          <w:kern w:val="36"/>
          <w:sz w:val="30"/>
          <w:szCs w:val="30"/>
          <w:lang w:val="en-US" w:eastAsia="zh-CN"/>
        </w:rPr>
        <w:t>日（周</w:t>
      </w:r>
      <w:r>
        <w:rPr>
          <w:rFonts w:hint="eastAsia" w:ascii="Times New Roman" w:hAnsi="Times New Roman" w:eastAsia="方正楷体_GBK" w:cs="Times New Roman"/>
          <w:b/>
          <w:color w:val="auto"/>
          <w:spacing w:val="0"/>
          <w:kern w:val="36"/>
          <w:sz w:val="30"/>
          <w:szCs w:val="30"/>
          <w:lang w:val="en-US" w:eastAsia="zh-CN"/>
        </w:rPr>
        <w:t>六</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“大非农”数据中性，等待下周</w:t>
      </w:r>
      <w:r>
        <w:rPr>
          <w:rFonts w:hint="default" w:ascii="Times New Roman" w:hAnsi="Times New Roman" w:eastAsia="方正楷体_GBK" w:cs="Times New Roman"/>
          <w:b/>
          <w:color w:val="auto"/>
          <w:spacing w:val="0"/>
          <w:kern w:val="36"/>
          <w:sz w:val="30"/>
          <w:szCs w:val="30"/>
          <w:lang w:val="en-US" w:eastAsia="zh-CN"/>
        </w:rPr>
        <w:t>CPI</w:t>
      </w:r>
      <w:r>
        <w:rPr>
          <w:rFonts w:hint="eastAsia" w:ascii="Times New Roman" w:hAnsi="Times New Roman" w:eastAsia="方正楷体_GBK" w:cs="Times New Roman"/>
          <w:b/>
          <w:color w:val="auto"/>
          <w:spacing w:val="0"/>
          <w:kern w:val="36"/>
          <w:sz w:val="30"/>
          <w:szCs w:val="30"/>
          <w:lang w:val="en-US" w:eastAsia="zh-CN"/>
        </w:rPr>
        <w:t>出炉</w:t>
      </w:r>
      <w:r>
        <w:rPr>
          <w:rFonts w:hint="default" w:ascii="Times New Roman" w:hAnsi="Times New Roman" w:eastAsia="方正楷体_GBK" w:cs="Times New Roman"/>
          <w:b/>
          <w:color w:val="auto"/>
          <w:spacing w:val="-23"/>
          <w:kern w:val="36"/>
          <w:sz w:val="30"/>
          <w:szCs w:val="30"/>
          <w:lang w:val="en-US" w:eastAsia="zh-CN"/>
        </w:rPr>
        <w:t xml:space="preserve"> </w:t>
      </w:r>
      <w:r>
        <w:rPr>
          <w:rFonts w:hint="default" w:ascii="Times New Roman" w:hAnsi="Times New Roman" w:eastAsia="方正楷体_GBK" w:cs="Times New Roman"/>
          <w:b/>
          <w:color w:val="auto"/>
          <w:spacing w:val="0"/>
          <w:kern w:val="36"/>
          <w:sz w:val="30"/>
          <w:szCs w:val="30"/>
          <w:lang w:val="en-US" w:eastAsia="zh-CN"/>
        </w:rPr>
        <w:t>/ 0</w:t>
      </w:r>
      <w:r>
        <w:rPr>
          <w:rFonts w:hint="eastAsia" w:ascii="Times New Roman" w:hAnsi="Times New Roman" w:eastAsia="方正楷体_GBK" w:cs="Times New Roman"/>
          <w:b/>
          <w:color w:val="auto"/>
          <w:spacing w:val="0"/>
          <w:kern w:val="36"/>
          <w:sz w:val="30"/>
          <w:szCs w:val="30"/>
          <w:lang w:val="en-US" w:eastAsia="zh-CN"/>
        </w:rPr>
        <w:t>3</w:t>
      </w:r>
    </w:p>
    <w:p>
      <w:pPr>
        <w:keepNext w:val="0"/>
        <w:keepLines w:val="0"/>
        <w:pageBreakBefore w:val="0"/>
        <w:kinsoku/>
        <w:wordWrap/>
        <w:overflowPunct/>
        <w:topLinePunct w:val="0"/>
        <w:autoSpaceDE/>
        <w:autoSpaceDN/>
        <w:bidi w:val="0"/>
        <w:adjustRightInd/>
        <w:snapToGrid/>
        <w:ind w:firstLine="568" w:firstLineChars="200"/>
        <w:textAlignment w:val="auto"/>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3</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10日</w:t>
      </w:r>
      <w:r>
        <w:rPr>
          <w:rFonts w:hint="default" w:ascii="Times New Roman" w:hAnsi="Times New Roman" w:eastAsia="方正楷体_GBK" w:cs="Times New Roman"/>
          <w:b/>
          <w:color w:val="auto"/>
          <w:spacing w:val="0"/>
          <w:kern w:val="36"/>
          <w:sz w:val="30"/>
          <w:szCs w:val="30"/>
          <w:lang w:val="en-US" w:eastAsia="zh-CN"/>
        </w:rPr>
        <w:t>（周</w:t>
      </w:r>
      <w:r>
        <w:rPr>
          <w:rFonts w:hint="eastAsia" w:ascii="Times New Roman" w:hAnsi="Times New Roman" w:eastAsia="方正楷体_GBK" w:cs="Times New Roman"/>
          <w:b/>
          <w:color w:val="auto"/>
          <w:spacing w:val="0"/>
          <w:kern w:val="36"/>
          <w:sz w:val="30"/>
          <w:szCs w:val="30"/>
          <w:lang w:val="en-US" w:eastAsia="zh-CN"/>
        </w:rPr>
        <w:t>日</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三大央行的货币政策路径指引 </w:t>
      </w:r>
      <w:r>
        <w:rPr>
          <w:rFonts w:hint="default" w:ascii="Times New Roman" w:hAnsi="Times New Roman" w:eastAsia="方正楷体_GBK" w:cs="Times New Roman"/>
          <w:b/>
          <w:color w:val="auto"/>
          <w:spacing w:val="0"/>
          <w:kern w:val="36"/>
          <w:sz w:val="30"/>
          <w:szCs w:val="30"/>
          <w:lang w:val="en-US" w:eastAsia="zh-CN"/>
        </w:rPr>
        <w:t>/ 0</w:t>
      </w:r>
      <w:r>
        <w:rPr>
          <w:rFonts w:hint="eastAsia" w:ascii="Times New Roman" w:hAnsi="Times New Roman" w:eastAsia="方正楷体_GBK" w:cs="Times New Roman"/>
          <w:b/>
          <w:color w:val="auto"/>
          <w:spacing w:val="0"/>
          <w:kern w:val="36"/>
          <w:sz w:val="30"/>
          <w:szCs w:val="30"/>
          <w:lang w:val="en-US" w:eastAsia="zh-CN"/>
        </w:rPr>
        <w:t>4</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3</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11</w:t>
      </w:r>
      <w:r>
        <w:rPr>
          <w:rFonts w:hint="default" w:ascii="Times New Roman" w:hAnsi="Times New Roman" w:eastAsia="方正楷体_GBK" w:cs="Times New Roman"/>
          <w:b/>
          <w:color w:val="auto"/>
          <w:spacing w:val="0"/>
          <w:kern w:val="36"/>
          <w:sz w:val="30"/>
          <w:szCs w:val="30"/>
          <w:lang w:val="en-US" w:eastAsia="zh-CN"/>
        </w:rPr>
        <w:t>日（周</w:t>
      </w:r>
      <w:r>
        <w:rPr>
          <w:rFonts w:hint="eastAsia" w:ascii="Times New Roman" w:hAnsi="Times New Roman" w:eastAsia="方正楷体_GBK" w:cs="Times New Roman"/>
          <w:b/>
          <w:color w:val="auto"/>
          <w:spacing w:val="0"/>
          <w:kern w:val="36"/>
          <w:sz w:val="30"/>
          <w:szCs w:val="30"/>
          <w:lang w:val="en-US" w:eastAsia="zh-CN"/>
        </w:rPr>
        <w:t>一</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印度新签自贸协定，美国贸易账数据平淡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w:t>
      </w:r>
      <w:r>
        <w:rPr>
          <w:rFonts w:hint="default" w:ascii="Times New Roman" w:hAnsi="Times New Roman" w:eastAsia="方正楷体_GBK" w:cs="Times New Roman"/>
          <w:b/>
          <w:color w:val="auto"/>
          <w:spacing w:val="0"/>
          <w:kern w:val="36"/>
          <w:sz w:val="30"/>
          <w:szCs w:val="30"/>
          <w:lang w:val="en-US" w:eastAsia="zh-CN"/>
        </w:rPr>
        <w:t>0</w:t>
      </w:r>
      <w:r>
        <w:rPr>
          <w:rFonts w:hint="eastAsia" w:ascii="Times New Roman" w:hAnsi="Times New Roman" w:eastAsia="方正楷体_GBK" w:cs="Times New Roman"/>
          <w:b/>
          <w:color w:val="auto"/>
          <w:spacing w:val="0"/>
          <w:kern w:val="36"/>
          <w:sz w:val="30"/>
          <w:szCs w:val="30"/>
          <w:lang w:val="en-US" w:eastAsia="zh-CN"/>
        </w:rPr>
        <w:t>6</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3</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12日（周二）阿根廷经济正进入艰难时刻</w:t>
      </w:r>
      <w:r>
        <w:rPr>
          <w:rFonts w:hint="default" w:ascii="Times New Roman" w:hAnsi="Times New Roman" w:eastAsia="方正楷体_GBK" w:cs="Times New Roman"/>
          <w:b/>
          <w:color w:val="auto"/>
          <w:spacing w:val="-11"/>
          <w:kern w:val="36"/>
          <w:sz w:val="30"/>
          <w:szCs w:val="30"/>
          <w:lang w:val="en-US" w:eastAsia="zh-CN"/>
        </w:rPr>
        <w:t xml:space="preserve">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w:t>
      </w:r>
      <w:r>
        <w:rPr>
          <w:rFonts w:hint="default" w:ascii="Times New Roman" w:hAnsi="Times New Roman" w:eastAsia="方正楷体_GBK" w:cs="Times New Roman"/>
          <w:b/>
          <w:color w:val="auto"/>
          <w:spacing w:val="0"/>
          <w:kern w:val="36"/>
          <w:sz w:val="30"/>
          <w:szCs w:val="30"/>
          <w:lang w:val="en-US" w:eastAsia="zh-CN"/>
        </w:rPr>
        <w:t>0</w:t>
      </w:r>
      <w:r>
        <w:rPr>
          <w:rFonts w:hint="eastAsia" w:ascii="Times New Roman" w:hAnsi="Times New Roman" w:eastAsia="方正楷体_GBK" w:cs="Times New Roman"/>
          <w:b/>
          <w:color w:val="auto"/>
          <w:spacing w:val="0"/>
          <w:kern w:val="36"/>
          <w:sz w:val="30"/>
          <w:szCs w:val="30"/>
          <w:lang w:val="en-US" w:eastAsia="zh-CN"/>
        </w:rPr>
        <w:t>8</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3</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13日（周三）美国通胀情况未见缓解，服务业价格推升是主因</w:t>
      </w:r>
      <w:r>
        <w:rPr>
          <w:rFonts w:hint="default" w:ascii="Times New Roman" w:hAnsi="Times New Roman" w:eastAsia="方正楷体_GBK" w:cs="Times New Roman"/>
          <w:b/>
          <w:color w:val="auto"/>
          <w:spacing w:val="-11"/>
          <w:kern w:val="36"/>
          <w:sz w:val="30"/>
          <w:szCs w:val="30"/>
          <w:lang w:val="en-US" w:eastAsia="zh-CN"/>
        </w:rPr>
        <w:t xml:space="preserve">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w:t>
      </w:r>
      <w:r>
        <w:rPr>
          <w:rFonts w:hint="default" w:ascii="Times New Roman" w:hAnsi="Times New Roman" w:eastAsia="方正楷体_GBK" w:cs="Times New Roman"/>
          <w:b/>
          <w:color w:val="auto"/>
          <w:spacing w:val="0"/>
          <w:kern w:val="36"/>
          <w:sz w:val="30"/>
          <w:szCs w:val="30"/>
          <w:lang w:val="en-US" w:eastAsia="zh-CN"/>
        </w:rPr>
        <w:t>0</w:t>
      </w:r>
      <w:r>
        <w:rPr>
          <w:rFonts w:hint="eastAsia" w:ascii="Times New Roman" w:hAnsi="Times New Roman" w:eastAsia="方正楷体_GBK" w:cs="Times New Roman"/>
          <w:b/>
          <w:color w:val="auto"/>
          <w:spacing w:val="0"/>
          <w:kern w:val="36"/>
          <w:sz w:val="30"/>
          <w:szCs w:val="30"/>
          <w:lang w:val="en-US" w:eastAsia="zh-CN"/>
        </w:rPr>
        <w:t>9</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3</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14日（周四）美国的利率走向，</w:t>
      </w:r>
      <w:r>
        <w:rPr>
          <w:rFonts w:hint="default" w:ascii="Times New Roman" w:hAnsi="Times New Roman" w:eastAsia="方正楷体_GBK" w:cs="Times New Roman"/>
          <w:b/>
          <w:color w:val="auto"/>
          <w:spacing w:val="0"/>
          <w:kern w:val="36"/>
          <w:sz w:val="30"/>
          <w:szCs w:val="30"/>
          <w:lang w:val="en-US" w:eastAsia="zh-CN"/>
        </w:rPr>
        <w:t>10</w:t>
      </w:r>
      <w:r>
        <w:rPr>
          <w:rFonts w:hint="eastAsia" w:ascii="Times New Roman" w:hAnsi="Times New Roman" w:eastAsia="方正楷体_GBK" w:cs="Times New Roman"/>
          <w:b/>
          <w:color w:val="auto"/>
          <w:spacing w:val="0"/>
          <w:kern w:val="36"/>
          <w:sz w:val="30"/>
          <w:szCs w:val="30"/>
          <w:lang w:val="en-US" w:eastAsia="zh-CN"/>
        </w:rPr>
        <w:t xml:space="preserve">年期美债收益率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11</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中国贸促会发展研究部来我会开展外贸形势调研工作座谈交流</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12</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省贸促会领导走访中国外运长江有限公司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13</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“贸促服务助企行”无锡宣讲会举行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14</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发挥贸促优势 积极助企出海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14</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扬州市贸促会走访调研本市部分外贸企业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方正黑体_GBK" w:cs="Times New Roman"/>
          <w:b/>
          <w:color w:val="FFC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汇鸿中鼎公司荣获“南京老字号守正创新奖”</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1</w:t>
      </w:r>
      <w:r>
        <w:rPr>
          <w:rFonts w:hint="eastAsia" w:ascii="Times New Roman" w:hAnsi="Times New Roman" w:eastAsia="方正楷体_GBK" w:cs="Times New Roman"/>
          <w:b/>
          <w:color w:val="auto"/>
          <w:kern w:val="36"/>
          <w:sz w:val="30"/>
          <w:szCs w:val="30"/>
          <w:lang w:val="en-US" w:eastAsia="zh-CN"/>
        </w:rPr>
        <w:t>6</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康缘药业获国家药品不良反应监测中心表扬 </w:t>
      </w:r>
      <w:r>
        <w:rPr>
          <w:rFonts w:hint="default" w:ascii="Times New Roman" w:hAnsi="Times New Roman" w:eastAsia="方正楷体_GBK" w:cs="Times New Roman"/>
          <w:b/>
          <w:color w:val="auto"/>
          <w:kern w:val="36"/>
          <w:sz w:val="30"/>
          <w:szCs w:val="30"/>
          <w:lang w:val="en-US" w:eastAsia="zh-CN"/>
        </w:rPr>
        <w:t>/ 1</w:t>
      </w:r>
      <w:r>
        <w:rPr>
          <w:rFonts w:hint="eastAsia" w:ascii="Times New Roman" w:hAnsi="Times New Roman" w:eastAsia="方正楷体_GBK" w:cs="Times New Roman"/>
          <w:b/>
          <w:color w:val="auto"/>
          <w:kern w:val="36"/>
          <w:sz w:val="30"/>
          <w:szCs w:val="30"/>
          <w:lang w:val="en-US" w:eastAsia="zh-CN"/>
        </w:rPr>
        <w:t>6</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eastAsia" w:ascii="Times New Roman" w:hAnsi="Times New Roman" w:eastAsia="方正楷体_GBK" w:cs="Times New Roman"/>
          <w:b/>
          <w:color w:val="auto"/>
          <w:spacing w:val="0"/>
          <w:kern w:val="36"/>
          <w:sz w:val="30"/>
          <w:szCs w:val="30"/>
          <w:lang w:val="en-US" w:eastAsia="zh-CN"/>
        </w:rPr>
        <w:t xml:space="preserve">茂莱光学入选工信部第八批制造业单项冠军企业名单 </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17</w:t>
      </w:r>
      <w:bookmarkStart w:id="0" w:name="_GoBack"/>
      <w:bookmarkEnd w:id="0"/>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全球市场资讯</w:t>
      </w: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7</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四</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“小非农”数据不及预期，</w:t>
      </w:r>
      <w:r>
        <w:rPr>
          <w:rFonts w:hint="default" w:ascii="Times New Roman" w:hAnsi="Times New Roman" w:eastAsia="方正小标宋_GBK" w:cs="Times New Roman"/>
          <w:b/>
          <w:bCs/>
          <w:color w:val="0000FF"/>
          <w:sz w:val="36"/>
          <w:szCs w:val="44"/>
          <w:highlight w:val="yellow"/>
          <w:lang w:val="en-US" w:eastAsia="zh-CN"/>
        </w:rPr>
        <w:t>NYCB</w:t>
      </w:r>
      <w:r>
        <w:rPr>
          <w:rFonts w:hint="eastAsia" w:ascii="Times New Roman" w:hAnsi="Times New Roman" w:eastAsia="方正小标宋_GBK" w:cs="Times New Roman"/>
          <w:b/>
          <w:bCs/>
          <w:color w:val="0000FF"/>
          <w:sz w:val="36"/>
          <w:szCs w:val="44"/>
          <w:highlight w:val="yellow"/>
          <w:lang w:val="en-US" w:eastAsia="zh-CN"/>
        </w:rPr>
        <w:t>情况依然紧张</w:t>
      </w:r>
    </w:p>
    <w:p>
      <w:pPr>
        <w:ind w:firstLine="608" w:firstLineChars="200"/>
        <w:jc w:val="left"/>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一、“小非农”数据不及预期，美联储表示暂无降息计划</w:t>
      </w:r>
    </w:p>
    <w:p>
      <w:pPr>
        <w:ind w:firstLine="608" w:firstLineChars="200"/>
        <w:jc w:val="left"/>
        <w:rPr>
          <w:rFonts w:hint="eastAsia" w:ascii="Times New Roman" w:hAnsi="Times New Roman" w:cs="Times New Roman"/>
          <w:sz w:val="32"/>
          <w:szCs w:val="32"/>
          <w:lang w:val="en-US" w:eastAsia="zh-CN"/>
        </w:rPr>
      </w:pP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月</w:t>
      </w:r>
      <w:r>
        <w:rPr>
          <w:rFonts w:hint="default" w:ascii="Times New Roman" w:hAnsi="Times New Roman" w:cs="Times New Roman"/>
          <w:sz w:val="32"/>
          <w:szCs w:val="32"/>
          <w:lang w:val="en-US" w:eastAsia="zh-CN"/>
        </w:rPr>
        <w:t>6</w:t>
      </w:r>
      <w:r>
        <w:rPr>
          <w:rFonts w:hint="eastAsia" w:ascii="Times New Roman" w:hAnsi="Times New Roman" w:cs="Times New Roman"/>
          <w:sz w:val="32"/>
          <w:szCs w:val="32"/>
          <w:lang w:val="en-US" w:eastAsia="zh-CN"/>
        </w:rPr>
        <w:t>日（周三），美国公布2月“小非农”（ADP）数据，新增就业人数14万人，低于预期的15万，高于前值的1</w:t>
      </w:r>
      <w:r>
        <w:rPr>
          <w:rFonts w:hint="default" w:ascii="Times New Roman" w:hAnsi="Times New Roman" w:cs="Times New Roman"/>
          <w:sz w:val="32"/>
          <w:szCs w:val="32"/>
          <w:lang w:val="en-US" w:eastAsia="zh-CN"/>
        </w:rPr>
        <w:t>1.1</w:t>
      </w:r>
      <w:r>
        <w:rPr>
          <w:rFonts w:hint="eastAsia" w:ascii="Times New Roman" w:hAnsi="Times New Roman" w:cs="Times New Roman"/>
          <w:sz w:val="32"/>
          <w:szCs w:val="32"/>
          <w:lang w:val="en-US" w:eastAsia="zh-CN"/>
        </w:rPr>
        <w:t>万，小非农低于预期，让市场增加了对美联储上半年降息的押注。</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textAlignment w:val="auto"/>
        <w:outlineLvl w:val="9"/>
        <w:rPr>
          <w:rFonts w:hint="default" w:ascii="Times New Roman" w:hAnsi="Times New Roman" w:eastAsia="方正楷体_GBK" w:cs="Calibri"/>
          <w:sz w:val="28"/>
          <w:szCs w:val="28"/>
          <w:vertAlign w:val="baseline"/>
          <w:lang w:eastAsia="zh-CN"/>
        </w:rPr>
      </w:pPr>
      <w:r>
        <w:rPr>
          <w:rFonts w:hint="default" w:ascii="Times New Roman" w:hAnsi="Times New Roman" w:eastAsia="方正楷体_GBK" w:cs="Times New Roman"/>
          <w:sz w:val="28"/>
          <w:szCs w:val="28"/>
          <w:lang w:val="en-US" w:eastAsia="zh-CN"/>
        </w:rPr>
        <w:t>（</w:t>
      </w:r>
      <w:r>
        <w:rPr>
          <w:rFonts w:hint="default" w:ascii="方正黑体_GBK" w:hAnsi="方正黑体_GBK" w:eastAsia="方正黑体_GBK" w:cs="方正黑体_GBK"/>
          <w:b/>
          <w:bCs/>
          <w:sz w:val="28"/>
          <w:szCs w:val="28"/>
          <w:lang w:val="en-US" w:eastAsia="zh-CN"/>
        </w:rPr>
        <w:t>注：</w:t>
      </w:r>
      <w:r>
        <w:rPr>
          <w:rFonts w:hint="eastAsia" w:ascii="Times New Roman" w:hAnsi="Times New Roman" w:eastAsia="方正楷体_GBK" w:cs="Calibri"/>
          <w:b/>
          <w:bCs/>
          <w:sz w:val="28"/>
          <w:szCs w:val="28"/>
          <w:vertAlign w:val="baseline"/>
          <w:lang w:eastAsia="zh-CN"/>
        </w:rPr>
        <w:t>“</w:t>
      </w:r>
      <w:r>
        <w:rPr>
          <w:rFonts w:hint="default" w:ascii="Times New Roman" w:hAnsi="Times New Roman" w:eastAsia="方正楷体_GBK" w:cs="Calibri"/>
          <w:b/>
          <w:bCs/>
          <w:sz w:val="28"/>
          <w:szCs w:val="28"/>
          <w:vertAlign w:val="baseline"/>
          <w:lang w:eastAsia="zh-CN"/>
        </w:rPr>
        <w:t>小非农数据</w:t>
      </w:r>
      <w:r>
        <w:rPr>
          <w:rFonts w:hint="eastAsia" w:ascii="Times New Roman" w:hAnsi="Times New Roman" w:eastAsia="方正楷体_GBK" w:cs="Calibri"/>
          <w:b/>
          <w:bCs/>
          <w:sz w:val="28"/>
          <w:szCs w:val="28"/>
          <w:vertAlign w:val="baseline"/>
          <w:lang w:eastAsia="zh-CN"/>
        </w:rPr>
        <w:t>”</w:t>
      </w:r>
      <w:r>
        <w:rPr>
          <w:rFonts w:hint="eastAsia" w:ascii="Times New Roman" w:hAnsi="Times New Roman" w:eastAsia="方正楷体_GBK" w:cs="Calibri"/>
          <w:sz w:val="28"/>
          <w:szCs w:val="28"/>
          <w:vertAlign w:val="baseline"/>
          <w:lang w:eastAsia="zh-CN"/>
        </w:rPr>
        <w:t>，</w:t>
      </w:r>
      <w:r>
        <w:rPr>
          <w:rFonts w:hint="default" w:ascii="Times New Roman" w:hAnsi="Times New Roman" w:eastAsia="方正楷体_GBK" w:cs="Calibri"/>
          <w:sz w:val="28"/>
          <w:szCs w:val="28"/>
          <w:vertAlign w:val="baseline"/>
          <w:lang w:eastAsia="zh-CN"/>
        </w:rPr>
        <w:t>是指由</w:t>
      </w:r>
      <w:r>
        <w:rPr>
          <w:rFonts w:hint="eastAsia" w:ascii="Times New Roman" w:hAnsi="Times New Roman" w:eastAsia="方正楷体_GBK" w:cs="Calibri"/>
          <w:sz w:val="28"/>
          <w:szCs w:val="28"/>
          <w:vertAlign w:val="baseline"/>
          <w:lang w:eastAsia="zh-CN"/>
        </w:rPr>
        <w:t>“</w:t>
      </w:r>
      <w:r>
        <w:rPr>
          <w:rFonts w:hint="default" w:ascii="Times New Roman" w:hAnsi="Times New Roman" w:eastAsia="方正楷体_GBK" w:cs="Calibri"/>
          <w:sz w:val="28"/>
          <w:szCs w:val="28"/>
          <w:vertAlign w:val="baseline"/>
          <w:lang w:eastAsia="zh-CN"/>
        </w:rPr>
        <w:t>美国劳工数据处理公司</w:t>
      </w:r>
      <w:r>
        <w:rPr>
          <w:rFonts w:hint="eastAsia" w:ascii="Times New Roman" w:hAnsi="Times New Roman" w:eastAsia="方正楷体_GBK" w:cs="Calibri"/>
          <w:sz w:val="28"/>
          <w:szCs w:val="28"/>
          <w:vertAlign w:val="baseline"/>
          <w:lang w:eastAsia="zh-CN"/>
        </w:rPr>
        <w:t>”</w:t>
      </w:r>
      <w:r>
        <w:rPr>
          <w:rFonts w:hint="default" w:ascii="Times New Roman" w:hAnsi="Times New Roman" w:eastAsia="方正楷体_GBK" w:cs="Calibri"/>
          <w:sz w:val="28"/>
          <w:szCs w:val="28"/>
          <w:vertAlign w:val="baseline"/>
          <w:lang w:eastAsia="zh-CN"/>
        </w:rPr>
        <w:t>（Automatic Data Processing, Inc.</w:t>
      </w:r>
      <w:r>
        <w:rPr>
          <w:rFonts w:hint="eastAsia" w:ascii="Times New Roman" w:hAnsi="Times New Roman" w:eastAsia="方正楷体_GBK" w:cs="Calibri"/>
          <w:sz w:val="28"/>
          <w:szCs w:val="28"/>
          <w:vertAlign w:val="baseline"/>
          <w:lang w:eastAsia="zh-CN"/>
        </w:rPr>
        <w:t>，简称“</w:t>
      </w:r>
      <w:r>
        <w:rPr>
          <w:rFonts w:hint="default" w:ascii="Times New Roman" w:hAnsi="Times New Roman" w:eastAsia="方正楷体_GBK" w:cs="Calibri"/>
          <w:b/>
          <w:bCs/>
          <w:sz w:val="28"/>
          <w:szCs w:val="28"/>
          <w:vertAlign w:val="baseline"/>
          <w:lang w:val="en-US" w:eastAsia="zh-CN"/>
        </w:rPr>
        <w:t>ADP</w:t>
      </w:r>
      <w:r>
        <w:rPr>
          <w:rFonts w:hint="eastAsia" w:ascii="Times New Roman" w:hAnsi="Times New Roman" w:eastAsia="方正楷体_GBK" w:cs="Calibri"/>
          <w:sz w:val="28"/>
          <w:szCs w:val="28"/>
          <w:vertAlign w:val="baseline"/>
          <w:lang w:eastAsia="zh-CN"/>
        </w:rPr>
        <w:t>”</w:t>
      </w:r>
      <w:r>
        <w:rPr>
          <w:rFonts w:hint="default" w:ascii="Times New Roman" w:hAnsi="Times New Roman" w:eastAsia="方正楷体_GBK" w:cs="Calibri"/>
          <w:sz w:val="28"/>
          <w:szCs w:val="28"/>
          <w:vertAlign w:val="baseline"/>
          <w:lang w:eastAsia="zh-CN"/>
        </w:rPr>
        <w:t>）发布的</w:t>
      </w:r>
      <w:r>
        <w:rPr>
          <w:rFonts w:hint="eastAsia" w:ascii="Times New Roman" w:hAnsi="Times New Roman" w:eastAsia="方正楷体_GBK" w:cs="Calibri"/>
          <w:sz w:val="28"/>
          <w:szCs w:val="28"/>
          <w:vertAlign w:val="baseline"/>
          <w:lang w:eastAsia="zh-CN"/>
        </w:rPr>
        <w:t>，关于</w:t>
      </w:r>
      <w:r>
        <w:rPr>
          <w:rFonts w:hint="default" w:ascii="Times New Roman" w:hAnsi="Times New Roman" w:eastAsia="方正楷体_GBK" w:cs="Calibri"/>
          <w:sz w:val="28"/>
          <w:szCs w:val="28"/>
          <w:vertAlign w:val="baseline"/>
          <w:lang w:eastAsia="zh-CN"/>
        </w:rPr>
        <w:t>美国非农部门就业人口的变化情况</w:t>
      </w:r>
      <w:r>
        <w:rPr>
          <w:rFonts w:hint="eastAsia" w:ascii="Times New Roman" w:hAnsi="Times New Roman" w:eastAsia="方正楷体_GBK" w:cs="Calibri"/>
          <w:sz w:val="28"/>
          <w:szCs w:val="28"/>
          <w:vertAlign w:val="baseline"/>
          <w:lang w:eastAsia="zh-CN"/>
        </w:rPr>
        <w:t>指标</w:t>
      </w:r>
      <w:r>
        <w:rPr>
          <w:rFonts w:hint="default" w:ascii="Times New Roman" w:hAnsi="Times New Roman" w:eastAsia="方正楷体_GBK" w:cs="Calibri"/>
          <w:sz w:val="28"/>
          <w:szCs w:val="28"/>
          <w:vertAlign w:val="baseline"/>
          <w:lang w:eastAsia="zh-CN"/>
        </w:rPr>
        <w:t>（ADP Nonfarm Employment Change）</w:t>
      </w:r>
      <w:r>
        <w:rPr>
          <w:rFonts w:hint="eastAsia" w:ascii="Times New Roman" w:hAnsi="Times New Roman" w:eastAsia="方正楷体_GBK" w:cs="Calibri"/>
          <w:sz w:val="28"/>
          <w:szCs w:val="28"/>
          <w:vertAlign w:val="baseline"/>
          <w:lang w:eastAsia="zh-CN"/>
        </w:rPr>
        <w:t>。该指标是</w:t>
      </w:r>
      <w:r>
        <w:rPr>
          <w:rFonts w:hint="default" w:ascii="Times New Roman" w:hAnsi="Times New Roman" w:eastAsia="方正楷体_GBK" w:cs="Calibri"/>
          <w:sz w:val="28"/>
          <w:szCs w:val="28"/>
          <w:vertAlign w:val="baseline"/>
          <w:lang w:val="en-US" w:eastAsia="zh-CN"/>
        </w:rPr>
        <w:t>ADP</w:t>
      </w:r>
      <w:r>
        <w:rPr>
          <w:rFonts w:hint="default" w:ascii="Times New Roman" w:hAnsi="Times New Roman" w:eastAsia="方正楷体_GBK" w:cs="Calibri"/>
          <w:sz w:val="28"/>
          <w:szCs w:val="28"/>
          <w:vertAlign w:val="baseline"/>
          <w:lang w:eastAsia="zh-CN"/>
        </w:rPr>
        <w:t>通过对美国境内大约40万家企业的雇佣情况进行调查和数据收集得出的。</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textAlignment w:val="auto"/>
        <w:outlineLvl w:val="9"/>
        <w:rPr>
          <w:rFonts w:hint="eastAsia" w:ascii="Times New Roman" w:hAnsi="Times New Roman" w:eastAsia="方正楷体_GBK" w:cs="Calibri"/>
          <w:sz w:val="28"/>
          <w:szCs w:val="28"/>
          <w:vertAlign w:val="baseline"/>
          <w:lang w:eastAsia="zh-CN"/>
        </w:rPr>
      </w:pPr>
      <w:r>
        <w:rPr>
          <w:rFonts w:hint="default" w:ascii="Times New Roman" w:hAnsi="Times New Roman" w:eastAsia="方正楷体_GBK" w:cs="Calibri"/>
          <w:sz w:val="28"/>
          <w:szCs w:val="28"/>
          <w:vertAlign w:val="baseline"/>
          <w:lang w:val="en-US" w:eastAsia="zh-CN"/>
        </w:rPr>
        <w:t>ADP</w:t>
      </w:r>
      <w:r>
        <w:rPr>
          <w:rFonts w:hint="eastAsia" w:ascii="Times New Roman" w:hAnsi="Times New Roman" w:eastAsia="方正楷体_GBK" w:cs="Calibri"/>
          <w:sz w:val="28"/>
          <w:szCs w:val="28"/>
          <w:vertAlign w:val="baseline"/>
          <w:lang w:val="en-US" w:eastAsia="zh-CN"/>
        </w:rPr>
        <w:t>的</w:t>
      </w:r>
      <w:r>
        <w:rPr>
          <w:rFonts w:hint="default" w:ascii="Times New Roman" w:hAnsi="Times New Roman" w:eastAsia="方正楷体_GBK" w:cs="Calibri"/>
          <w:sz w:val="28"/>
          <w:szCs w:val="28"/>
          <w:vertAlign w:val="baseline"/>
          <w:lang w:eastAsia="zh-CN"/>
        </w:rPr>
        <w:t>非农数据</w:t>
      </w:r>
      <w:r>
        <w:rPr>
          <w:rFonts w:hint="eastAsia" w:ascii="Times New Roman" w:hAnsi="Times New Roman" w:eastAsia="方正楷体_GBK" w:cs="Calibri"/>
          <w:sz w:val="28"/>
          <w:szCs w:val="28"/>
          <w:vertAlign w:val="baseline"/>
          <w:lang w:eastAsia="zh-CN"/>
        </w:rPr>
        <w:t>可以与</w:t>
      </w:r>
      <w:r>
        <w:rPr>
          <w:rFonts w:hint="default" w:ascii="Times New Roman" w:hAnsi="Times New Roman" w:eastAsia="方正楷体_GBK" w:cs="Calibri"/>
          <w:sz w:val="28"/>
          <w:szCs w:val="28"/>
          <w:vertAlign w:val="baseline"/>
          <w:lang w:eastAsia="zh-CN"/>
        </w:rPr>
        <w:t>美国劳工部</w:t>
      </w:r>
      <w:r>
        <w:rPr>
          <w:rFonts w:hint="eastAsia" w:ascii="Times New Roman" w:hAnsi="Times New Roman" w:eastAsia="方正楷体_GBK" w:cs="Calibri"/>
          <w:sz w:val="28"/>
          <w:szCs w:val="28"/>
          <w:vertAlign w:val="baseline"/>
          <w:lang w:eastAsia="zh-CN"/>
        </w:rPr>
        <w:t>发布的官方非农数据（简称“大非农数据”）进行比较和对照，所以被市场称为“</w:t>
      </w:r>
      <w:r>
        <w:rPr>
          <w:rFonts w:hint="default" w:ascii="Times New Roman" w:hAnsi="Times New Roman" w:eastAsia="方正楷体_GBK" w:cs="Calibri"/>
          <w:sz w:val="28"/>
          <w:szCs w:val="28"/>
          <w:vertAlign w:val="baseline"/>
          <w:lang w:eastAsia="zh-CN"/>
        </w:rPr>
        <w:t>小非农数据</w:t>
      </w:r>
      <w:r>
        <w:rPr>
          <w:rFonts w:hint="eastAsia" w:ascii="Times New Roman" w:hAnsi="Times New Roman" w:eastAsia="方正楷体_GBK" w:cs="Calibri"/>
          <w:sz w:val="28"/>
          <w:szCs w:val="28"/>
          <w:vertAlign w:val="baseline"/>
          <w:lang w:eastAsia="zh-CN"/>
        </w:rPr>
        <w:t>”。该数据发布的时间比</w:t>
      </w:r>
      <w:r>
        <w:rPr>
          <w:rFonts w:hint="eastAsia" w:ascii="Times New Roman" w:hAnsi="Times New Roman" w:eastAsia="方正楷体_GBK" w:cs="Times New Roman"/>
          <w:sz w:val="28"/>
          <w:szCs w:val="28"/>
          <w:lang w:val="en-US" w:eastAsia="zh-CN"/>
        </w:rPr>
        <w:t>美国</w:t>
      </w:r>
      <w:r>
        <w:rPr>
          <w:rFonts w:hint="eastAsia" w:ascii="Times New Roman" w:hAnsi="Times New Roman" w:eastAsia="方正楷体_GBK" w:cs="Calibri"/>
          <w:sz w:val="28"/>
          <w:szCs w:val="28"/>
          <w:vertAlign w:val="baseline"/>
          <w:lang w:eastAsia="zh-CN"/>
        </w:rPr>
        <w:t>劳工部发布的日期早，因此具有前瞻指引的作用，被市场广泛关注。）</w:t>
      </w:r>
    </w:p>
    <w:tbl>
      <w:tblPr>
        <w:tblStyle w:val="15"/>
        <w:tblpPr w:leftFromText="180" w:rightFromText="180" w:vertAnchor="text" w:horzAnchor="page" w:tblpX="1675" w:tblpY="95"/>
        <w:tblOverlap w:val="never"/>
        <w:tblW w:w="90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11"/>
        <w:gridCol w:w="39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66" w:hRule="atLeast"/>
        </w:trPr>
        <w:tc>
          <w:tcPr>
            <w:tcW w:w="511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Times New Roman" w:hAnsi="Times New Roman" w:cs="Times New Roman"/>
                <w:sz w:val="32"/>
                <w:szCs w:val="32"/>
                <w:vertAlign w:val="baseline"/>
              </w:rPr>
            </w:pPr>
            <w:r>
              <w:rPr>
                <w:rFonts w:hint="eastAsia" w:ascii="Times New Roman" w:hAnsi="Times New Roman" w:cs="Times New Roman"/>
                <w:sz w:val="32"/>
                <w:szCs w:val="32"/>
                <w:lang w:val="en-US" w:eastAsia="zh-CN"/>
              </w:rPr>
              <w:t>同日上午，美联储主席鲍威尔在国会进行听证报告，他明确表示：“美联储尚未准备好降息，但今年会降息，过早或过慢降息都有风险。”</w:t>
            </w:r>
          </w:p>
        </w:tc>
        <w:tc>
          <w:tcPr>
            <w:tcW w:w="3936" w:type="dxa"/>
            <w:tcBorders>
              <w:tl2br w:val="nil"/>
              <w:tr2bl w:val="nil"/>
            </w:tcBorders>
            <w:vAlign w:val="top"/>
          </w:tcPr>
          <w:p>
            <w:pPr>
              <w:jc w:val="left"/>
              <w:rPr>
                <w:rFonts w:hint="default" w:ascii="Times New Roman" w:hAnsi="Times New Roman" w:cs="Times New Roman"/>
                <w:sz w:val="32"/>
                <w:szCs w:val="32"/>
                <w:vertAlign w:val="baseline"/>
              </w:rPr>
            </w:pPr>
            <w:r>
              <w:drawing>
                <wp:inline distT="0" distB="0" distL="114300" distR="114300">
                  <wp:extent cx="2320925" cy="1449070"/>
                  <wp:effectExtent l="0" t="0" r="3175" b="177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2320925" cy="1449070"/>
                          </a:xfrm>
                          <a:prstGeom prst="rect">
                            <a:avLst/>
                          </a:prstGeom>
                          <a:noFill/>
                          <a:ln>
                            <a:noFill/>
                          </a:ln>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spacing w:line="400" w:lineRule="exact"/>
        <w:ind w:firstLine="608" w:firstLineChars="200"/>
        <w:textAlignment w:val="auto"/>
        <w:outlineLvl w:val="9"/>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二、纽约社区银行的股价搭上“过山车”</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周三，纽约社区银行（</w:t>
      </w:r>
      <w:r>
        <w:rPr>
          <w:rFonts w:hint="default" w:ascii="Times New Roman" w:hAnsi="Times New Roman" w:cs="Times New Roman"/>
          <w:sz w:val="32"/>
          <w:szCs w:val="32"/>
          <w:lang w:val="en-US" w:eastAsia="zh-CN"/>
        </w:rPr>
        <w:t>NYCB</w:t>
      </w:r>
      <w:r>
        <w:rPr>
          <w:rFonts w:hint="eastAsia" w:ascii="Times New Roman" w:hAnsi="Times New Roman" w:cs="Times New Roman"/>
          <w:sz w:val="32"/>
          <w:szCs w:val="32"/>
          <w:lang w:val="en-US" w:eastAsia="zh-CN"/>
        </w:rPr>
        <w:t>）股价剧烈波动，在午盘时，《华尔街日报》称，纽约社区银行计划出售股权获得现金来度过难关。消息一出，股价狂跌，下跌速度过快，在盘中多次触发波动性停牌。</w:t>
      </w:r>
    </w:p>
    <w:tbl>
      <w:tblPr>
        <w:tblStyle w:val="15"/>
        <w:tblpPr w:leftFromText="180" w:rightFromText="180" w:vertAnchor="text" w:horzAnchor="page" w:tblpX="1668" w:tblpY="181"/>
        <w:tblOverlap w:val="never"/>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26"/>
        <w:gridCol w:w="48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69" w:hRule="atLeast"/>
        </w:trPr>
        <w:tc>
          <w:tcPr>
            <w:tcW w:w="4126" w:type="dxa"/>
            <w:tcBorders>
              <w:tl2br w:val="nil"/>
              <w:tr2bl w:val="nil"/>
            </w:tcBorders>
            <w:vAlign w:val="top"/>
          </w:tcPr>
          <w:p>
            <w:pPr>
              <w:ind w:firstLine="608" w:firstLineChars="200"/>
              <w:jc w:val="left"/>
              <w:rPr>
                <w:rFonts w:hint="default" w:ascii="Times New Roman" w:hAnsi="Times New Roman" w:cs="Times New Roman"/>
                <w:sz w:val="32"/>
                <w:szCs w:val="32"/>
                <w:vertAlign w:val="baseline"/>
              </w:rPr>
            </w:pPr>
            <w:r>
              <w:rPr>
                <w:rFonts w:hint="eastAsia" w:ascii="Times New Roman" w:hAnsi="Times New Roman" w:cs="Times New Roman"/>
                <w:sz w:val="32"/>
                <w:szCs w:val="32"/>
                <w:lang w:val="en-US" w:eastAsia="zh-CN"/>
              </w:rPr>
              <w:t>下午传出新的消息，一财团向该行注资10亿美元给予支持，股价恢复交易后直接跳涨30%，收市时涨幅收窄至7.75%（见图）。</w:t>
            </w:r>
          </w:p>
        </w:tc>
        <w:tc>
          <w:tcPr>
            <w:tcW w:w="4814" w:type="dxa"/>
            <w:tcBorders>
              <w:tl2br w:val="nil"/>
              <w:tr2bl w:val="nil"/>
            </w:tcBorders>
            <w:vAlign w:val="top"/>
          </w:tcPr>
          <w:p>
            <w:pPr>
              <w:jc w:val="left"/>
              <w:rPr>
                <w:rFonts w:hint="default" w:ascii="Times New Roman" w:hAnsi="Times New Roman" w:cs="Times New Roman"/>
                <w:sz w:val="32"/>
                <w:szCs w:val="32"/>
                <w:vertAlign w:val="baseline"/>
              </w:rPr>
            </w:pPr>
            <w:r>
              <w:drawing>
                <wp:inline distT="0" distB="0" distL="114300" distR="114300">
                  <wp:extent cx="2988310" cy="1807210"/>
                  <wp:effectExtent l="0" t="0" r="2540" b="25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a:stretch>
                            <a:fillRect/>
                          </a:stretch>
                        </pic:blipFill>
                        <pic:spPr>
                          <a:xfrm>
                            <a:off x="0" y="0"/>
                            <a:ext cx="2988310" cy="1807210"/>
                          </a:xfrm>
                          <a:prstGeom prst="rect">
                            <a:avLst/>
                          </a:prstGeom>
                          <a:noFill/>
                          <a:ln>
                            <a:noFill/>
                          </a:ln>
                        </pic:spPr>
                      </pic:pic>
                    </a:graphicData>
                  </a:graphic>
                </wp:inline>
              </w:drawing>
            </w:r>
          </w:p>
        </w:tc>
      </w:tr>
    </w:tbl>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国际货币基金组织（IMF）警告称，美国商业房地产市场严重下滑，而美国中小银行又与该市场联系过深，可能会出现去年硅谷银行倒闭引发的动荡。</w:t>
      </w:r>
    </w:p>
    <w:p>
      <w:pPr>
        <w:ind w:left="0" w:leftChars="0" w:firstLine="0" w:firstLineChars="0"/>
        <w:jc w:val="left"/>
        <w:rPr>
          <w:rFonts w:hint="eastAsia" w:ascii="Times New Roman" w:hAnsi="Times New Roman" w:eastAsia="方正小标宋_GBK" w:cs="Times New Roman"/>
          <w:b/>
          <w:bCs/>
          <w:color w:val="FF0000"/>
          <w:sz w:val="32"/>
          <w:szCs w:val="40"/>
          <w:highlight w:val="yellow"/>
          <w:lang w:val="en-US" w:eastAsia="zh-CN"/>
        </w:rPr>
      </w:pP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8</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五</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劳动力市场仍强劲，美联储又出新思路</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3月7日（周四），美国劳工部公布，上周“初请失业金”人数为21.7万人，前值21.5万，预期21.5万，显示出裁员人数依然很低；“续领失业金”人数为190.6万，预期188.9万，前值190.5万，处于历史低位。上述两组数据表明，美国劳动力市场依然强劲；明天将公布的2月“非农就业报告”，也应能印证此结论。</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美联储主席鲍威尔在国会继续作听证报告，他重申了前一日“将谨慎撤出限制性货币立场（降息）”的说法，另外，还暗示美联储可能会在资产负债表中增加短债的持仓比重。鲍威尔的暗示，呼应了3月1日（上周五）美联储理事沃勒提出的反向QT思路（具体分析请见2024年第4期《江苏贸促》“深度分析”专栏）。受鲍威尔讲话影响，2年期美债价格上涨收益率下跌，10年期美债收益率则维持稳定。</w:t>
      </w:r>
    </w:p>
    <w:p>
      <w:pPr>
        <w:ind w:firstLine="608" w:firstLineChars="200"/>
        <w:jc w:val="left"/>
        <w:rPr>
          <w:rFonts w:hint="default" w:ascii="Times New Roman" w:hAnsi="Times New Roman" w:cs="Times New Roman"/>
          <w:sz w:val="32"/>
          <w:szCs w:val="32"/>
          <w:lang w:val="en-US" w:eastAsia="zh-CN"/>
        </w:rPr>
      </w:pP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9</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六</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default"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“大非农”数据中性，等待下周</w:t>
      </w:r>
      <w:r>
        <w:rPr>
          <w:rFonts w:hint="default" w:ascii="Times New Roman" w:hAnsi="Times New Roman" w:eastAsia="方正小标宋_GBK" w:cs="Times New Roman"/>
          <w:b/>
          <w:bCs/>
          <w:color w:val="0000FF"/>
          <w:sz w:val="36"/>
          <w:szCs w:val="44"/>
          <w:highlight w:val="yellow"/>
          <w:lang w:val="en-US" w:eastAsia="zh-CN"/>
        </w:rPr>
        <w:t>CPI</w:t>
      </w:r>
      <w:r>
        <w:rPr>
          <w:rFonts w:hint="eastAsia" w:ascii="Times New Roman" w:hAnsi="Times New Roman" w:eastAsia="方正小标宋_GBK" w:cs="Times New Roman"/>
          <w:b/>
          <w:bCs/>
          <w:color w:val="0000FF"/>
          <w:sz w:val="36"/>
          <w:szCs w:val="44"/>
          <w:highlight w:val="yellow"/>
          <w:lang w:val="en-US" w:eastAsia="zh-CN"/>
        </w:rPr>
        <w:t>出炉</w:t>
      </w:r>
    </w:p>
    <w:p>
      <w:pPr>
        <w:ind w:firstLine="608" w:firstLineChars="200"/>
        <w:jc w:val="left"/>
        <w:rPr>
          <w:rFonts w:hint="eastAsia" w:ascii="Times New Roman" w:hAnsi="Times New Roman" w:cs="Times New Roman"/>
          <w:sz w:val="32"/>
          <w:szCs w:val="32"/>
          <w:lang w:val="en-US" w:eastAsia="zh-CN"/>
        </w:rPr>
      </w:pP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月</w:t>
      </w:r>
      <w:r>
        <w:rPr>
          <w:rFonts w:hint="default" w:ascii="Times New Roman" w:hAnsi="Times New Roman" w:cs="Times New Roman"/>
          <w:sz w:val="32"/>
          <w:szCs w:val="32"/>
          <w:lang w:val="en-US" w:eastAsia="zh-CN"/>
        </w:rPr>
        <w:t>8</w:t>
      </w:r>
      <w:r>
        <w:rPr>
          <w:rFonts w:hint="eastAsia" w:ascii="Times New Roman" w:hAnsi="Times New Roman" w:cs="Times New Roman"/>
          <w:sz w:val="32"/>
          <w:szCs w:val="32"/>
          <w:lang w:val="en-US" w:eastAsia="zh-CN"/>
        </w:rPr>
        <w:t>日（周五），美国劳工部公布“大非农”</w:t>
      </w:r>
      <w:r>
        <w:rPr>
          <w:rFonts w:hint="default" w:ascii="Times New Roman" w:hAnsi="Times New Roman" w:cs="Times New Roman"/>
          <w:sz w:val="32"/>
          <w:szCs w:val="32"/>
          <w:lang w:val="en-US" w:eastAsia="zh-CN"/>
        </w:rPr>
        <w:t>报告</w:t>
      </w:r>
      <w:r>
        <w:rPr>
          <w:rFonts w:hint="eastAsia" w:ascii="Times New Roman" w:hAnsi="Times New Roman" w:cs="Times New Roman"/>
          <w:sz w:val="32"/>
          <w:szCs w:val="32"/>
          <w:lang w:val="en-US" w:eastAsia="zh-CN"/>
        </w:rPr>
        <w:t>。</w:t>
      </w:r>
    </w:p>
    <w:p>
      <w:pPr>
        <w:ind w:firstLine="608" w:firstLineChars="200"/>
        <w:jc w:val="left"/>
        <w:rPr>
          <w:rFonts w:hint="eastAsia" w:ascii="Times New Roman" w:hAnsi="Times New Roman" w:cs="Times New Roman"/>
          <w:sz w:val="32"/>
          <w:szCs w:val="32"/>
          <w:lang w:val="en-US" w:eastAsia="zh-CN"/>
        </w:rPr>
      </w:pPr>
      <w:r>
        <w:rPr>
          <w:rFonts w:hint="default" w:ascii="Times New Roman" w:hAnsi="Times New Roman" w:cs="Times New Roman"/>
          <w:sz w:val="32"/>
          <w:szCs w:val="32"/>
          <w:lang w:val="en-US" w:eastAsia="zh-CN"/>
        </w:rPr>
        <w:t>数据显示，美国2月非农就业人口增加27.5万人，</w:t>
      </w:r>
      <w:r>
        <w:rPr>
          <w:rFonts w:hint="eastAsia" w:ascii="Times New Roman" w:hAnsi="Times New Roman" w:cs="Times New Roman"/>
          <w:sz w:val="32"/>
          <w:szCs w:val="32"/>
          <w:lang w:val="en-US" w:eastAsia="zh-CN"/>
        </w:rPr>
        <w:t>大大高于</w:t>
      </w:r>
      <w:r>
        <w:rPr>
          <w:rFonts w:hint="default" w:ascii="Times New Roman" w:hAnsi="Times New Roman" w:cs="Times New Roman"/>
          <w:sz w:val="32"/>
          <w:szCs w:val="32"/>
          <w:lang w:val="en-US" w:eastAsia="zh-CN"/>
        </w:rPr>
        <w:t>预期</w:t>
      </w:r>
      <w:r>
        <w:rPr>
          <w:rFonts w:hint="eastAsia" w:ascii="Times New Roman" w:hAnsi="Times New Roman" w:cs="Times New Roman"/>
          <w:sz w:val="32"/>
          <w:szCs w:val="32"/>
          <w:lang w:val="en-US" w:eastAsia="zh-CN"/>
        </w:rPr>
        <w:t>的</w:t>
      </w:r>
      <w:r>
        <w:rPr>
          <w:rFonts w:hint="default" w:ascii="Times New Roman" w:hAnsi="Times New Roman" w:cs="Times New Roman"/>
          <w:sz w:val="32"/>
          <w:szCs w:val="32"/>
          <w:lang w:val="en-US" w:eastAsia="zh-CN"/>
        </w:rPr>
        <w:t>20万，</w:t>
      </w:r>
      <w:r>
        <w:rPr>
          <w:rFonts w:hint="eastAsia" w:ascii="Times New Roman" w:hAnsi="Times New Roman" w:cs="Times New Roman"/>
          <w:sz w:val="32"/>
          <w:szCs w:val="32"/>
          <w:lang w:val="en-US" w:eastAsia="zh-CN"/>
        </w:rPr>
        <w:t>但</w:t>
      </w:r>
      <w:r>
        <w:rPr>
          <w:rFonts w:hint="default" w:ascii="Times New Roman" w:hAnsi="Times New Roman" w:cs="Times New Roman"/>
          <w:sz w:val="32"/>
          <w:szCs w:val="32"/>
          <w:lang w:val="en-US" w:eastAsia="zh-CN"/>
        </w:rPr>
        <w:t>前值从35.3万大幅下修至22.9万</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劳动力参与率保持在62.5%的水平，2月失业率升至3.9%，</w:t>
      </w:r>
      <w:r>
        <w:rPr>
          <w:rFonts w:hint="eastAsia" w:ascii="Times New Roman" w:hAnsi="Times New Roman" w:cs="Times New Roman"/>
          <w:sz w:val="32"/>
          <w:szCs w:val="32"/>
          <w:lang w:val="en-US" w:eastAsia="zh-CN"/>
        </w:rPr>
        <w:t>高于</w:t>
      </w:r>
      <w:r>
        <w:rPr>
          <w:rFonts w:hint="default" w:ascii="Times New Roman" w:hAnsi="Times New Roman" w:cs="Times New Roman"/>
          <w:sz w:val="32"/>
          <w:szCs w:val="32"/>
          <w:lang w:val="en-US" w:eastAsia="zh-CN"/>
        </w:rPr>
        <w:t>前值，为2022年1月</w:t>
      </w:r>
      <w:r>
        <w:rPr>
          <w:rFonts w:hint="eastAsia" w:ascii="Times New Roman" w:hAnsi="Times New Roman" w:cs="Times New Roman"/>
          <w:sz w:val="32"/>
          <w:szCs w:val="32"/>
          <w:lang w:val="en-US" w:eastAsia="zh-CN"/>
        </w:rPr>
        <w:t>以</w:t>
      </w:r>
      <w:r>
        <w:rPr>
          <w:rFonts w:hint="default" w:ascii="Times New Roman" w:hAnsi="Times New Roman" w:cs="Times New Roman"/>
          <w:sz w:val="32"/>
          <w:szCs w:val="32"/>
          <w:lang w:val="en-US" w:eastAsia="zh-CN"/>
        </w:rPr>
        <w:t>来新高</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2月时薪</w:t>
      </w:r>
      <w:r>
        <w:rPr>
          <w:rFonts w:hint="eastAsia" w:ascii="Times New Roman" w:hAnsi="Times New Roman" w:cs="Times New Roman"/>
          <w:sz w:val="32"/>
          <w:szCs w:val="32"/>
          <w:lang w:val="en-US" w:eastAsia="zh-CN"/>
        </w:rPr>
        <w:t>的同比和</w:t>
      </w:r>
      <w:r>
        <w:rPr>
          <w:rFonts w:hint="default" w:ascii="Times New Roman" w:hAnsi="Times New Roman" w:cs="Times New Roman"/>
          <w:sz w:val="32"/>
          <w:szCs w:val="32"/>
          <w:lang w:val="en-US" w:eastAsia="zh-CN"/>
        </w:rPr>
        <w:t>环比</w:t>
      </w:r>
      <w:r>
        <w:rPr>
          <w:rFonts w:hint="eastAsia" w:ascii="Times New Roman" w:hAnsi="Times New Roman" w:cs="Times New Roman"/>
          <w:sz w:val="32"/>
          <w:szCs w:val="32"/>
          <w:lang w:val="en-US" w:eastAsia="zh-CN"/>
        </w:rPr>
        <w:t>皆有</w:t>
      </w:r>
      <w:r>
        <w:rPr>
          <w:rFonts w:hint="default" w:ascii="Times New Roman" w:hAnsi="Times New Roman" w:cs="Times New Roman"/>
          <w:sz w:val="32"/>
          <w:szCs w:val="32"/>
          <w:lang w:val="en-US" w:eastAsia="zh-CN"/>
        </w:rPr>
        <w:t>增长</w:t>
      </w:r>
      <w:r>
        <w:rPr>
          <w:rFonts w:hint="eastAsia" w:ascii="Times New Roman" w:hAnsi="Times New Roman" w:cs="Times New Roman"/>
          <w:sz w:val="32"/>
          <w:szCs w:val="32"/>
          <w:lang w:val="en-US" w:eastAsia="zh-CN"/>
        </w:rPr>
        <w:t>，但环比在放缓（见表格）。</w:t>
      </w:r>
    </w:p>
    <w:p>
      <w:pPr>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inline distT="0" distB="0" distL="114300" distR="114300">
            <wp:extent cx="5612765" cy="2243455"/>
            <wp:effectExtent l="0" t="0" r="6985" b="4445"/>
            <wp:docPr id="16" name="图片 16" descr="微信截图_2024031315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截图_20240313150317"/>
                    <pic:cNvPicPr>
                      <a:picLocks noChangeAspect="1"/>
                    </pic:cNvPicPr>
                  </pic:nvPicPr>
                  <pic:blipFill>
                    <a:blip r:embed="rId8"/>
                    <a:stretch>
                      <a:fillRect/>
                    </a:stretch>
                  </pic:blipFill>
                  <pic:spPr>
                    <a:xfrm>
                      <a:off x="0" y="0"/>
                      <a:ext cx="5612765" cy="2243455"/>
                    </a:xfrm>
                    <a:prstGeom prst="rect">
                      <a:avLst/>
                    </a:prstGeom>
                  </pic:spPr>
                </pic:pic>
              </a:graphicData>
            </a:graphic>
          </wp:inline>
        </w:drawing>
      </w:r>
    </w:p>
    <w:p>
      <w:pPr>
        <w:ind w:firstLine="608" w:firstLineChars="200"/>
        <w:jc w:val="left"/>
        <w:rPr>
          <w:rFonts w:hint="eastAsia" w:ascii="Times New Roman" w:hAnsi="Times New Roman" w:cs="Times New Roman"/>
          <w:sz w:val="32"/>
          <w:szCs w:val="32"/>
          <w:lang w:val="en-US" w:eastAsia="zh-CN"/>
        </w:rPr>
      </w:pPr>
      <w:r>
        <w:rPr>
          <w:rFonts w:hint="default" w:ascii="Times New Roman" w:hAnsi="Times New Roman" w:cs="Times New Roman"/>
          <w:sz w:val="32"/>
          <w:szCs w:val="32"/>
          <w:lang w:val="en-US" w:eastAsia="zh-CN"/>
        </w:rPr>
        <w:t>失业率</w:t>
      </w:r>
      <w:r>
        <w:rPr>
          <w:rFonts w:hint="eastAsia" w:ascii="Times New Roman" w:hAnsi="Times New Roman" w:cs="Times New Roman"/>
          <w:sz w:val="32"/>
          <w:szCs w:val="32"/>
          <w:lang w:val="en-US" w:eastAsia="zh-CN"/>
        </w:rPr>
        <w:t>轻微</w:t>
      </w:r>
      <w:r>
        <w:rPr>
          <w:rFonts w:hint="default" w:ascii="Times New Roman" w:hAnsi="Times New Roman" w:cs="Times New Roman"/>
          <w:sz w:val="32"/>
          <w:szCs w:val="32"/>
          <w:lang w:val="en-US" w:eastAsia="zh-CN"/>
        </w:rPr>
        <w:t>上升</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1月新增就业人数被大幅下修</w:t>
      </w:r>
      <w:r>
        <w:rPr>
          <w:rFonts w:hint="eastAsia" w:ascii="Times New Roman" w:hAnsi="Times New Roman" w:cs="Times New Roman"/>
          <w:sz w:val="32"/>
          <w:szCs w:val="32"/>
          <w:lang w:val="en-US" w:eastAsia="zh-CN"/>
        </w:rPr>
        <w:t>，以及</w:t>
      </w:r>
      <w:r>
        <w:rPr>
          <w:rFonts w:hint="default" w:ascii="Times New Roman" w:hAnsi="Times New Roman" w:cs="Times New Roman"/>
          <w:sz w:val="32"/>
          <w:szCs w:val="32"/>
          <w:lang w:val="en-US" w:eastAsia="zh-CN"/>
        </w:rPr>
        <w:t>每小时薪资</w:t>
      </w:r>
      <w:r>
        <w:rPr>
          <w:rFonts w:hint="eastAsia" w:ascii="Times New Roman" w:hAnsi="Times New Roman" w:cs="Times New Roman"/>
          <w:sz w:val="32"/>
          <w:szCs w:val="32"/>
          <w:lang w:val="en-US" w:eastAsia="zh-CN"/>
        </w:rPr>
        <w:t>环比增长</w:t>
      </w:r>
      <w:r>
        <w:rPr>
          <w:rFonts w:hint="default" w:ascii="Times New Roman" w:hAnsi="Times New Roman" w:cs="Times New Roman"/>
          <w:sz w:val="32"/>
          <w:szCs w:val="32"/>
          <w:lang w:val="en-US" w:eastAsia="zh-CN"/>
        </w:rPr>
        <w:t>的</w:t>
      </w:r>
      <w:r>
        <w:rPr>
          <w:rFonts w:hint="eastAsia" w:ascii="Times New Roman" w:hAnsi="Times New Roman" w:cs="Times New Roman"/>
          <w:sz w:val="32"/>
          <w:szCs w:val="32"/>
          <w:lang w:val="en-US" w:eastAsia="zh-CN"/>
        </w:rPr>
        <w:t>放缓</w:t>
      </w:r>
      <w:r>
        <w:rPr>
          <w:rFonts w:hint="default" w:ascii="Times New Roman" w:hAnsi="Times New Roman" w:cs="Times New Roman"/>
          <w:sz w:val="32"/>
          <w:szCs w:val="32"/>
          <w:lang w:val="en-US" w:eastAsia="zh-CN"/>
        </w:rPr>
        <w:t>，这些数据</w:t>
      </w:r>
      <w:r>
        <w:rPr>
          <w:rFonts w:hint="eastAsia" w:ascii="Times New Roman" w:hAnsi="Times New Roman" w:cs="Times New Roman"/>
          <w:sz w:val="32"/>
          <w:szCs w:val="32"/>
          <w:lang w:val="en-US" w:eastAsia="zh-CN"/>
        </w:rPr>
        <w:t>都</w:t>
      </w:r>
      <w:r>
        <w:rPr>
          <w:rFonts w:hint="default" w:ascii="Times New Roman" w:hAnsi="Times New Roman" w:cs="Times New Roman"/>
          <w:sz w:val="32"/>
          <w:szCs w:val="32"/>
          <w:lang w:val="en-US" w:eastAsia="zh-CN"/>
        </w:rPr>
        <w:t>不利于市场对于</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金发</w:t>
      </w:r>
      <w:r>
        <w:rPr>
          <w:rFonts w:hint="eastAsia" w:ascii="Times New Roman" w:hAnsi="Times New Roman" w:cs="Times New Roman"/>
          <w:sz w:val="32"/>
          <w:szCs w:val="32"/>
          <w:lang w:val="en-US" w:eastAsia="zh-CN"/>
        </w:rPr>
        <w:t>女孩”经济的期望。所谓“金发女孩”，是指最完美的经济状态：增长不疾不徐，</w:t>
      </w:r>
      <w:r>
        <w:rPr>
          <w:rFonts w:hint="default" w:ascii="Times New Roman" w:hAnsi="Times New Roman" w:cs="Times New Roman"/>
          <w:sz w:val="32"/>
          <w:szCs w:val="32"/>
          <w:lang w:val="en-US" w:eastAsia="zh-CN"/>
        </w:rPr>
        <w:t>劳动力市场稳健</w:t>
      </w:r>
      <w:r>
        <w:rPr>
          <w:rFonts w:hint="eastAsia" w:ascii="Times New Roman" w:hAnsi="Times New Roman" w:cs="Times New Roman"/>
          <w:sz w:val="32"/>
          <w:szCs w:val="32"/>
          <w:lang w:val="en-US" w:eastAsia="zh-CN"/>
        </w:rPr>
        <w:t>，既可</w:t>
      </w:r>
      <w:r>
        <w:rPr>
          <w:rFonts w:hint="default" w:ascii="Times New Roman" w:hAnsi="Times New Roman" w:cs="Times New Roman"/>
          <w:sz w:val="32"/>
          <w:szCs w:val="32"/>
          <w:lang w:val="en-US" w:eastAsia="zh-CN"/>
        </w:rPr>
        <w:t>支撑消费支出，</w:t>
      </w:r>
      <w:r>
        <w:rPr>
          <w:rFonts w:hint="eastAsia" w:ascii="Times New Roman" w:hAnsi="Times New Roman" w:cs="Times New Roman"/>
          <w:sz w:val="32"/>
          <w:szCs w:val="32"/>
          <w:lang w:val="en-US" w:eastAsia="zh-CN"/>
        </w:rPr>
        <w:t>也不会让需求扩</w:t>
      </w:r>
      <w:r>
        <w:rPr>
          <w:rFonts w:hint="default" w:ascii="Times New Roman" w:hAnsi="Times New Roman" w:cs="Times New Roman"/>
          <w:sz w:val="32"/>
          <w:szCs w:val="32"/>
          <w:lang w:val="en-US" w:eastAsia="zh-CN"/>
        </w:rPr>
        <w:t>张</w:t>
      </w:r>
      <w:r>
        <w:rPr>
          <w:rFonts w:hint="eastAsia" w:ascii="Times New Roman" w:hAnsi="Times New Roman" w:cs="Times New Roman"/>
          <w:sz w:val="32"/>
          <w:szCs w:val="32"/>
          <w:lang w:val="en-US" w:eastAsia="zh-CN"/>
        </w:rPr>
        <w:t>过快，</w:t>
      </w:r>
      <w:r>
        <w:rPr>
          <w:rFonts w:hint="default" w:ascii="Times New Roman" w:hAnsi="Times New Roman" w:cs="Times New Roman"/>
          <w:sz w:val="32"/>
          <w:szCs w:val="32"/>
          <w:lang w:val="en-US" w:eastAsia="zh-CN"/>
        </w:rPr>
        <w:t>导致通胀上升</w:t>
      </w:r>
      <w:r>
        <w:rPr>
          <w:rFonts w:hint="eastAsia" w:ascii="Times New Roman" w:hAnsi="Times New Roman" w:cs="Times New Roman"/>
          <w:sz w:val="32"/>
          <w:szCs w:val="32"/>
          <w:lang w:val="en-US" w:eastAsia="zh-CN"/>
        </w:rPr>
        <w:t>。</w:t>
      </w:r>
    </w:p>
    <w:p>
      <w:pPr>
        <w:ind w:firstLine="388" w:firstLineChars="200"/>
        <w:jc w:val="center"/>
      </w:pPr>
      <w:r>
        <w:drawing>
          <wp:inline distT="0" distB="0" distL="114300" distR="114300">
            <wp:extent cx="3127375" cy="2181860"/>
            <wp:effectExtent l="0" t="0" r="15875" b="889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9"/>
                    <a:stretch>
                      <a:fillRect/>
                    </a:stretch>
                  </pic:blipFill>
                  <pic:spPr>
                    <a:xfrm>
                      <a:off x="0" y="0"/>
                      <a:ext cx="3127375" cy="2181860"/>
                    </a:xfrm>
                    <a:prstGeom prst="rect">
                      <a:avLst/>
                    </a:prstGeom>
                    <a:noFill/>
                    <a:ln>
                      <a:noFill/>
                    </a:ln>
                  </pic:spPr>
                </pic:pic>
              </a:graphicData>
            </a:graphic>
          </wp:inline>
        </w:drawing>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上述</w:t>
      </w:r>
      <w:r>
        <w:rPr>
          <w:rFonts w:hint="default" w:ascii="Times New Roman" w:hAnsi="Times New Roman" w:cs="Times New Roman"/>
          <w:sz w:val="32"/>
          <w:szCs w:val="32"/>
          <w:lang w:val="en-US" w:eastAsia="zh-CN"/>
        </w:rPr>
        <w:t>就业数据巩固了市场对美联储年内将进行三次降息的押注，报告公布后，互换市场充分定价</w:t>
      </w:r>
      <w:r>
        <w:rPr>
          <w:rFonts w:hint="eastAsia" w:ascii="Times New Roman" w:hAnsi="Times New Roman" w:cs="Times New Roman"/>
          <w:sz w:val="32"/>
          <w:szCs w:val="32"/>
          <w:lang w:val="en-US" w:eastAsia="zh-CN"/>
        </w:rPr>
        <w:t>了</w:t>
      </w:r>
      <w:r>
        <w:rPr>
          <w:rFonts w:hint="default" w:ascii="Times New Roman" w:hAnsi="Times New Roman" w:cs="Times New Roman"/>
          <w:sz w:val="32"/>
          <w:szCs w:val="32"/>
          <w:lang w:val="en-US" w:eastAsia="zh-CN"/>
        </w:rPr>
        <w:t>美联储6月份降息25个基点</w:t>
      </w:r>
      <w:r>
        <w:rPr>
          <w:rFonts w:hint="eastAsia" w:ascii="Times New Roman" w:hAnsi="Times New Roman" w:cs="Times New Roman"/>
          <w:sz w:val="32"/>
          <w:szCs w:val="32"/>
          <w:lang w:val="en-US" w:eastAsia="zh-CN"/>
        </w:rPr>
        <w:t>。</w:t>
      </w:r>
    </w:p>
    <w:p>
      <w:pPr>
        <w:ind w:firstLine="608" w:firstLineChars="200"/>
        <w:jc w:val="left"/>
        <w:rPr>
          <w:rFonts w:hint="eastAsia" w:ascii="Times New Roman" w:hAnsi="Times New Roman" w:cs="Times New Roman"/>
          <w:sz w:val="32"/>
          <w:szCs w:val="32"/>
          <w:lang w:val="en-US" w:eastAsia="zh-CN"/>
        </w:rPr>
      </w:pPr>
      <w:r>
        <w:rPr>
          <w:rFonts w:hint="default" w:ascii="Times New Roman" w:hAnsi="Times New Roman" w:cs="Times New Roman"/>
          <w:sz w:val="32"/>
          <w:szCs w:val="32"/>
          <w:lang w:val="en-US" w:eastAsia="zh-CN"/>
        </w:rPr>
        <w:t>市场现在等待下周二的CPI数据，如果CPI数据能够确认通胀下降的趋势，那么美联储就能早</w:t>
      </w:r>
      <w:r>
        <w:rPr>
          <w:rFonts w:hint="eastAsia" w:ascii="Times New Roman" w:hAnsi="Times New Roman" w:cs="Times New Roman"/>
          <w:sz w:val="32"/>
          <w:szCs w:val="32"/>
          <w:lang w:val="en-US" w:eastAsia="zh-CN"/>
        </w:rPr>
        <w:t>些</w:t>
      </w:r>
      <w:r>
        <w:rPr>
          <w:rFonts w:hint="default" w:ascii="Times New Roman" w:hAnsi="Times New Roman" w:cs="Times New Roman"/>
          <w:sz w:val="32"/>
          <w:szCs w:val="32"/>
          <w:lang w:val="en-US" w:eastAsia="zh-CN"/>
        </w:rPr>
        <w:t>降息</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反</w:t>
      </w:r>
      <w:r>
        <w:rPr>
          <w:rFonts w:hint="eastAsia" w:ascii="Times New Roman" w:hAnsi="Times New Roman" w:cs="Times New Roman"/>
          <w:sz w:val="32"/>
          <w:szCs w:val="32"/>
          <w:lang w:val="en-US" w:eastAsia="zh-CN"/>
        </w:rPr>
        <w:t>之</w:t>
      </w:r>
      <w:r>
        <w:rPr>
          <w:rFonts w:hint="default" w:ascii="Times New Roman" w:hAnsi="Times New Roman" w:cs="Times New Roman"/>
          <w:sz w:val="32"/>
          <w:szCs w:val="32"/>
          <w:lang w:val="en-US" w:eastAsia="zh-CN"/>
        </w:rPr>
        <w:t>，若2月CPI继续反弹</w:t>
      </w:r>
      <w:r>
        <w:rPr>
          <w:rFonts w:hint="eastAsia" w:ascii="Times New Roman" w:hAnsi="Times New Roman" w:cs="Times New Roman"/>
          <w:sz w:val="32"/>
          <w:szCs w:val="32"/>
          <w:lang w:val="en-US" w:eastAsia="zh-CN"/>
        </w:rPr>
        <w:t>走高</w:t>
      </w:r>
      <w:r>
        <w:rPr>
          <w:rFonts w:hint="default" w:ascii="Times New Roman" w:hAnsi="Times New Roman" w:cs="Times New Roman"/>
          <w:sz w:val="32"/>
          <w:szCs w:val="32"/>
          <w:lang w:val="en-US" w:eastAsia="zh-CN"/>
        </w:rPr>
        <w:t>，美联储</w:t>
      </w:r>
      <w:r>
        <w:rPr>
          <w:rFonts w:hint="eastAsia" w:ascii="Times New Roman" w:hAnsi="Times New Roman" w:cs="Times New Roman"/>
          <w:sz w:val="32"/>
          <w:szCs w:val="32"/>
          <w:lang w:val="en-US" w:eastAsia="zh-CN"/>
        </w:rPr>
        <w:t>将不得不维持目前的高利率水平，失业率也会继续上行。</w:t>
      </w:r>
    </w:p>
    <w:p>
      <w:pPr>
        <w:rPr>
          <w:rFonts w:hint="eastAsia"/>
          <w:lang w:val="en-US" w:eastAsia="zh-CN"/>
        </w:rPr>
      </w:pP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10</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default"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三大央行的货币政策路径指引</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本周，美欧日三大央行次第登场，发布各自的货币政策路径指引或决议。</w:t>
      </w:r>
    </w:p>
    <w:p>
      <w:pPr>
        <w:ind w:firstLine="608" w:firstLineChars="200"/>
        <w:jc w:val="lef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周三和周四两天，美联储主席鲍威尔在国会作半年度的听证汇报，阐述制定货币政策的依据和未来可能的决定（见前几日报道）。</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周四，欧洲央行公布了</w:t>
      </w: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月议息会议的决定：连续第四次会议维持其三大基准利率不变：存款便利利率</w:t>
      </w:r>
      <w:r>
        <w:rPr>
          <w:rFonts w:hint="default" w:ascii="Times New Roman" w:hAnsi="Times New Roman" w:cs="Times New Roman"/>
          <w:sz w:val="32"/>
          <w:szCs w:val="32"/>
          <w:lang w:val="en-US" w:eastAsia="zh-CN"/>
        </w:rPr>
        <w:t>4%</w:t>
      </w:r>
      <w:r>
        <w:rPr>
          <w:rFonts w:hint="eastAsia" w:ascii="Times New Roman" w:hAnsi="Times New Roman" w:cs="Times New Roman"/>
          <w:sz w:val="32"/>
          <w:szCs w:val="32"/>
          <w:lang w:val="en-US" w:eastAsia="zh-CN"/>
        </w:rPr>
        <w:t>、边际贷款利率</w:t>
      </w:r>
      <w:r>
        <w:rPr>
          <w:rFonts w:hint="default" w:ascii="Times New Roman" w:hAnsi="Times New Roman" w:cs="Times New Roman"/>
          <w:sz w:val="32"/>
          <w:szCs w:val="32"/>
          <w:lang w:val="en-US" w:eastAsia="zh-CN"/>
        </w:rPr>
        <w:t>4.75%</w:t>
      </w:r>
      <w:r>
        <w:rPr>
          <w:rFonts w:hint="eastAsia" w:ascii="Times New Roman" w:hAnsi="Times New Roman" w:cs="Times New Roman"/>
          <w:sz w:val="32"/>
          <w:szCs w:val="32"/>
          <w:lang w:val="en-US" w:eastAsia="zh-CN"/>
        </w:rPr>
        <w:t>，以及主要再融资利率</w:t>
      </w:r>
      <w:r>
        <w:rPr>
          <w:rFonts w:hint="default" w:ascii="Times New Roman" w:hAnsi="Times New Roman" w:cs="Times New Roman"/>
          <w:sz w:val="32"/>
          <w:szCs w:val="32"/>
          <w:lang w:val="en-US" w:eastAsia="zh-CN"/>
        </w:rPr>
        <w:t>4.5%</w:t>
      </w:r>
      <w:r>
        <w:rPr>
          <w:rFonts w:hint="eastAsia" w:ascii="Times New Roman" w:hAnsi="Times New Roman" w:cs="Times New Roman"/>
          <w:sz w:val="32"/>
          <w:szCs w:val="32"/>
          <w:lang w:val="en-US" w:eastAsia="zh-CN"/>
        </w:rPr>
        <w:t>。</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欧洲央行行长加拉德称，对通胀降至目标还没有足够信心，认为到</w:t>
      </w:r>
      <w:r>
        <w:rPr>
          <w:rFonts w:hint="default" w:ascii="Times New Roman" w:hAnsi="Times New Roman" w:cs="Times New Roman"/>
          <w:sz w:val="32"/>
          <w:szCs w:val="32"/>
          <w:lang w:val="en-US" w:eastAsia="zh-CN"/>
        </w:rPr>
        <w:t>6</w:t>
      </w:r>
      <w:r>
        <w:rPr>
          <w:rFonts w:hint="eastAsia" w:ascii="Times New Roman" w:hAnsi="Times New Roman" w:cs="Times New Roman"/>
          <w:sz w:val="32"/>
          <w:szCs w:val="32"/>
          <w:lang w:val="en-US" w:eastAsia="zh-CN"/>
        </w:rPr>
        <w:t>月会掌握更多信息，然后再作决定。鉴于目前欧元区经济的疲弱走势（见表格），市场分析认为，欧央行在</w:t>
      </w:r>
      <w:r>
        <w:rPr>
          <w:rFonts w:hint="default" w:ascii="Times New Roman" w:hAnsi="Times New Roman" w:cs="Times New Roman"/>
          <w:sz w:val="32"/>
          <w:szCs w:val="32"/>
          <w:lang w:val="en-US" w:eastAsia="zh-CN"/>
        </w:rPr>
        <w:t>6</w:t>
      </w:r>
      <w:r>
        <w:rPr>
          <w:rFonts w:hint="eastAsia" w:ascii="Times New Roman" w:hAnsi="Times New Roman" w:cs="Times New Roman"/>
          <w:sz w:val="32"/>
          <w:szCs w:val="32"/>
          <w:lang w:val="en-US" w:eastAsia="zh-CN"/>
        </w:rPr>
        <w:t>月降息的可能性越来越大。决议公布后，市场随即增加了</w:t>
      </w:r>
      <w:r>
        <w:rPr>
          <w:rFonts w:hint="default" w:ascii="Times New Roman" w:hAnsi="Times New Roman" w:cs="Times New Roman"/>
          <w:sz w:val="32"/>
          <w:szCs w:val="32"/>
          <w:lang w:val="en-US" w:eastAsia="zh-CN"/>
        </w:rPr>
        <w:t>6</w:t>
      </w:r>
      <w:r>
        <w:rPr>
          <w:rFonts w:hint="eastAsia" w:ascii="Times New Roman" w:hAnsi="Times New Roman" w:cs="Times New Roman"/>
          <w:sz w:val="32"/>
          <w:szCs w:val="32"/>
          <w:lang w:val="en-US" w:eastAsia="zh-CN"/>
        </w:rPr>
        <w:t>月的降息押注，欧元开始走强。</w:t>
      </w:r>
    </w:p>
    <w:p>
      <w:pPr>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inline distT="0" distB="0" distL="114300" distR="114300">
            <wp:extent cx="5615940" cy="1258570"/>
            <wp:effectExtent l="0" t="0" r="3810" b="17780"/>
            <wp:docPr id="1" name="图片 1" descr="微信截图_20240314094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截图_20240314094634"/>
                    <pic:cNvPicPr>
                      <a:picLocks noChangeAspect="1"/>
                    </pic:cNvPicPr>
                  </pic:nvPicPr>
                  <pic:blipFill>
                    <a:blip r:embed="rId10"/>
                    <a:stretch>
                      <a:fillRect/>
                    </a:stretch>
                  </pic:blipFill>
                  <pic:spPr>
                    <a:xfrm>
                      <a:off x="0" y="0"/>
                      <a:ext cx="5615940" cy="1258570"/>
                    </a:xfrm>
                    <a:prstGeom prst="rect">
                      <a:avLst/>
                    </a:prstGeom>
                  </pic:spPr>
                </pic:pic>
              </a:graphicData>
            </a:graphic>
          </wp:inline>
        </w:drawing>
      </w:r>
    </w:p>
    <w:tbl>
      <w:tblPr>
        <w:tblStyle w:val="15"/>
        <w:tblpPr w:leftFromText="180" w:rightFromText="180" w:vertAnchor="text" w:horzAnchor="page" w:tblpX="1668" w:tblpY="181"/>
        <w:tblOverlap w:val="never"/>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39"/>
        <w:gridCol w:w="38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38" w:hRule="atLeast"/>
        </w:trPr>
        <w:tc>
          <w:tcPr>
            <w:tcW w:w="5139" w:type="dxa"/>
            <w:vMerge w:val="restart"/>
            <w:tcBorders>
              <w:tl2br w:val="nil"/>
              <w:tr2bl w:val="nil"/>
            </w:tcBorders>
            <w:vAlign w:val="top"/>
          </w:tcPr>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周四，日本央行行长植田和男发表讲话，称实现央行中期通胀目标的可能性正逐渐上升，若能实现，将考虑调整宽松政策。于是，市场对日本</w:t>
            </w:r>
          </w:p>
          <w:p>
            <w:pPr>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央行</w:t>
            </w: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月加息的预期急剧升温。</w:t>
            </w:r>
          </w:p>
        </w:tc>
        <w:tc>
          <w:tcPr>
            <w:tcW w:w="3801" w:type="dxa"/>
            <w:tcBorders>
              <w:tl2br w:val="nil"/>
              <w:tr2bl w:val="nil"/>
            </w:tcBorders>
            <w:vAlign w:val="top"/>
          </w:tcPr>
          <w:p>
            <w:pPr>
              <w:jc w:val="left"/>
              <w:rPr>
                <w:rFonts w:hint="default" w:ascii="Times New Roman" w:hAnsi="Times New Roman" w:cs="Times New Roman"/>
                <w:sz w:val="32"/>
                <w:szCs w:val="32"/>
                <w:vertAlign w:val="baseline"/>
              </w:rPr>
            </w:pPr>
            <w:r>
              <w:drawing>
                <wp:inline distT="0" distB="0" distL="114300" distR="114300">
                  <wp:extent cx="2180590" cy="1416050"/>
                  <wp:effectExtent l="0" t="0" r="10160" b="1270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tretch>
                            <a:fillRect/>
                          </a:stretch>
                        </pic:blipFill>
                        <pic:spPr>
                          <a:xfrm>
                            <a:off x="0" y="0"/>
                            <a:ext cx="2180590" cy="1416050"/>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5139" w:type="dxa"/>
            <w:vMerge w:val="continue"/>
            <w:tcBorders>
              <w:tl2br w:val="nil"/>
              <w:tr2bl w:val="nil"/>
            </w:tcBorders>
            <w:vAlign w:val="top"/>
          </w:tcPr>
          <w:p>
            <w:pPr>
              <w:jc w:val="left"/>
              <w:rPr>
                <w:rFonts w:hint="eastAsia" w:ascii="Times New Roman" w:hAnsi="Times New Roman" w:cs="Times New Roman"/>
                <w:sz w:val="32"/>
                <w:szCs w:val="32"/>
                <w:lang w:val="en-US" w:eastAsia="zh-CN"/>
              </w:rPr>
            </w:pPr>
          </w:p>
        </w:tc>
        <w:tc>
          <w:tcPr>
            <w:tcW w:w="380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val="0"/>
              <w:textAlignment w:val="auto"/>
              <w:outlineLvl w:val="9"/>
            </w:pPr>
            <w:r>
              <w:rPr>
                <w:rFonts w:hint="eastAsia" w:ascii="方正楷体_GBK" w:hAnsi="方正楷体_GBK" w:eastAsia="方正楷体_GBK" w:cs="方正楷体_GBK"/>
                <w:lang w:eastAsia="zh-CN"/>
              </w:rPr>
              <w:t>（图：</w:t>
            </w:r>
            <w:r>
              <w:rPr>
                <w:rFonts w:hint="eastAsia" w:ascii="方正楷体_GBK" w:hAnsi="方正楷体_GBK" w:eastAsia="方正楷体_GBK" w:cs="方正楷体_GBK"/>
                <w:lang w:val="en-US" w:eastAsia="zh-CN"/>
              </w:rPr>
              <w:t>2023年8月，参加“美联储JACKSON HOLE央行年会”的三位行长</w:t>
            </w:r>
            <w:r>
              <w:rPr>
                <w:rFonts w:hint="eastAsia" w:ascii="方正楷体_GBK" w:hAnsi="方正楷体_GBK" w:eastAsia="方正楷体_GBK" w:cs="方正楷体_GBK"/>
                <w:lang w:eastAsia="zh-CN"/>
              </w:rPr>
              <w:t>）</w:t>
            </w:r>
          </w:p>
        </w:tc>
      </w:tr>
    </w:tbl>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美元连跌五日，周跌幅</w:t>
      </w:r>
      <w:r>
        <w:rPr>
          <w:rFonts w:hint="default" w:ascii="Times New Roman" w:hAnsi="Times New Roman" w:cs="Times New Roman"/>
          <w:sz w:val="32"/>
          <w:szCs w:val="32"/>
          <w:lang w:val="en-US" w:eastAsia="zh-CN"/>
        </w:rPr>
        <w:t>1.1%</w:t>
      </w:r>
      <w:r>
        <w:rPr>
          <w:rFonts w:hint="eastAsia" w:ascii="Times New Roman" w:hAnsi="Times New Roman" w:cs="Times New Roman"/>
          <w:sz w:val="32"/>
          <w:szCs w:val="32"/>
          <w:lang w:val="en-US" w:eastAsia="zh-CN"/>
        </w:rPr>
        <w:t>。全球各类资产则均迎来上涨，非美货币、股票、债券、比特币和黄金开启了普涨行情。</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eastAsia" w:ascii="Times New Roman" w:hAnsi="Times New Roman" w:eastAsia="方正楷体_GBK" w:cs="方正楷体_GBK"/>
          <w:sz w:val="28"/>
          <w:szCs w:val="28"/>
          <w:lang w:val="en-US" w:eastAsia="zh-CN"/>
        </w:rPr>
      </w:pPr>
      <w:r>
        <w:rPr>
          <w:rFonts w:hint="eastAsia" w:ascii="Times New Roman" w:hAnsi="Times New Roman" w:eastAsia="方正楷体_GBK" w:cs="方正楷体_GBK"/>
          <w:sz w:val="28"/>
          <w:szCs w:val="28"/>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eastAsia" w:ascii="Times New Roman" w:hAnsi="Times New Roman" w:eastAsia="方正楷体_GBK" w:cs="方正楷体_GBK"/>
          <w:b/>
          <w:bCs/>
          <w:sz w:val="28"/>
          <w:szCs w:val="28"/>
          <w:lang w:val="en-US" w:eastAsia="zh-CN"/>
        </w:rPr>
        <w:t>欧洲央行三大基准利率</w:t>
      </w:r>
      <w:r>
        <w:rPr>
          <w:rFonts w:hint="eastAsia" w:ascii="Times New Roman" w:hAnsi="Times New Roman" w:eastAsia="方正楷体_GBK" w:cs="方正楷体_GBK"/>
          <w:sz w:val="28"/>
          <w:szCs w:val="28"/>
          <w:lang w:val="en-US" w:eastAsia="zh-CN"/>
        </w:rPr>
        <w:t>，分别是存款便利利率（Deposit Facility Rate）、边际贷款利率（Marginal Lending Facility Rate）以及主要再融资利率（Main Refinancing Operations Rate）。</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eastAsia" w:ascii="Times New Roman" w:hAnsi="Times New Roman" w:eastAsia="方正楷体_GBK" w:cs="方正楷体_GBK"/>
          <w:sz w:val="28"/>
          <w:szCs w:val="28"/>
          <w:lang w:val="en-US" w:eastAsia="zh-CN"/>
        </w:rPr>
      </w:pPr>
      <w:r>
        <w:rPr>
          <w:rFonts w:hint="eastAsia" w:ascii="Times New Roman" w:hAnsi="Times New Roman" w:eastAsia="方正楷体_GBK" w:cs="方正楷体_GBK"/>
          <w:b/>
          <w:bCs/>
          <w:sz w:val="28"/>
          <w:szCs w:val="28"/>
          <w:lang w:val="en-US" w:eastAsia="zh-CN"/>
        </w:rPr>
        <w:t>存款便利利率</w:t>
      </w:r>
      <w:r>
        <w:rPr>
          <w:rFonts w:hint="eastAsia" w:ascii="Times New Roman" w:hAnsi="Times New Roman" w:eastAsia="方正楷体_GBK" w:cs="方正楷体_GBK"/>
          <w:sz w:val="28"/>
          <w:szCs w:val="28"/>
          <w:lang w:val="en-US" w:eastAsia="zh-CN"/>
        </w:rPr>
        <w:t>，是欧洲央行向商业银行提供存款便利的利率。它是央行存款利率的下限，即商业银行可以将超出其最低准备金要求的资金存放在欧洲央行，获取的利息就是存款便利利率。</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eastAsia" w:ascii="Times New Roman" w:hAnsi="Times New Roman" w:eastAsia="方正楷体_GBK" w:cs="方正楷体_GBK"/>
          <w:sz w:val="28"/>
          <w:szCs w:val="28"/>
          <w:lang w:val="en-US" w:eastAsia="zh-CN"/>
        </w:rPr>
      </w:pPr>
      <w:r>
        <w:rPr>
          <w:rFonts w:hint="eastAsia" w:ascii="Times New Roman" w:hAnsi="Times New Roman" w:eastAsia="方正楷体_GBK" w:cs="方正楷体_GBK"/>
          <w:b/>
          <w:bCs/>
          <w:sz w:val="28"/>
          <w:szCs w:val="28"/>
          <w:lang w:val="en-US" w:eastAsia="zh-CN"/>
        </w:rPr>
        <w:t>边际贷款利率</w:t>
      </w:r>
      <w:r>
        <w:rPr>
          <w:rFonts w:hint="eastAsia" w:ascii="Times New Roman" w:hAnsi="Times New Roman" w:eastAsia="方正楷体_GBK" w:cs="方正楷体_GBK"/>
          <w:sz w:val="28"/>
          <w:szCs w:val="28"/>
          <w:lang w:val="en-US" w:eastAsia="zh-CN"/>
        </w:rPr>
        <w:t>，是欧洲央行向商业银行提供短期流动性贷款的利率。当商业银行需要额外的流动性时，可以向欧洲央行申请贷款，而边际贷款利率则是商业银行从欧洲央行获得短期贷款所需支付的利率。</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eastAsia" w:ascii="Times New Roman" w:hAnsi="Times New Roman" w:eastAsia="方正楷体_GBK" w:cs="方正楷体_GBK"/>
          <w:sz w:val="28"/>
          <w:szCs w:val="28"/>
          <w:lang w:val="en-US" w:eastAsia="zh-CN"/>
        </w:rPr>
      </w:pPr>
      <w:r>
        <w:rPr>
          <w:rFonts w:hint="eastAsia" w:ascii="Times New Roman" w:hAnsi="Times New Roman" w:eastAsia="方正楷体_GBK" w:cs="方正楷体_GBK"/>
          <w:b/>
          <w:bCs/>
          <w:sz w:val="28"/>
          <w:szCs w:val="28"/>
          <w:lang w:val="en-US" w:eastAsia="zh-CN"/>
        </w:rPr>
        <w:t>主要再融资利率</w:t>
      </w:r>
      <w:r>
        <w:rPr>
          <w:rFonts w:hint="eastAsia" w:ascii="Times New Roman" w:hAnsi="Times New Roman" w:eastAsia="方正楷体_GBK" w:cs="方正楷体_GBK"/>
          <w:sz w:val="28"/>
          <w:szCs w:val="28"/>
          <w:lang w:val="en-US" w:eastAsia="zh-CN"/>
        </w:rPr>
        <w:t>，是欧洲央行对商业银行提供的主要再融资操作的利率。这是欧洲央行提供给商业银行的主要长期流动性，用于满足银行体系的整体融资需求。</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eastAsia" w:ascii="Times New Roman" w:hAnsi="Times New Roman" w:eastAsia="方正楷体_GBK" w:cs="方正楷体_GBK"/>
          <w:sz w:val="28"/>
          <w:szCs w:val="28"/>
          <w:lang w:val="en-US" w:eastAsia="zh-CN"/>
        </w:rPr>
      </w:pPr>
      <w:r>
        <w:rPr>
          <w:rFonts w:hint="eastAsia" w:ascii="Times New Roman" w:hAnsi="Times New Roman" w:eastAsia="方正楷体_GBK" w:cs="方正楷体_GBK"/>
          <w:sz w:val="28"/>
          <w:szCs w:val="28"/>
          <w:lang w:val="en-US" w:eastAsia="zh-CN"/>
        </w:rPr>
        <w:t>这三个利率在欧洲央行的货币政策中起着重要的作用，通过调整这些利率，欧洲央行可以影响市场上的短期利率、银行间流动性和长期借贷成本，以达到稳定通胀和促进经济增长的目标。）</w:t>
      </w:r>
    </w:p>
    <w:p>
      <w:pPr>
        <w:ind w:left="0" w:leftChars="0" w:firstLine="0" w:firstLineChars="0"/>
        <w:jc w:val="left"/>
        <w:rPr>
          <w:rFonts w:hint="eastAsia" w:ascii="Times New Roman" w:hAnsi="Times New Roman" w:eastAsia="方正小标宋_GBK" w:cs="Times New Roman"/>
          <w:b/>
          <w:bCs/>
          <w:color w:val="FF0000"/>
          <w:sz w:val="32"/>
          <w:szCs w:val="40"/>
          <w:highlight w:val="yellow"/>
          <w:lang w:val="en-US" w:eastAsia="zh-CN"/>
        </w:rPr>
      </w:pPr>
    </w:p>
    <w:p>
      <w:pPr>
        <w:ind w:left="0" w:leftChars="0" w:firstLine="0" w:firstLineChars="0"/>
        <w:jc w:val="left"/>
        <w:rPr>
          <w:rFonts w:hint="default" w:ascii="Calibri" w:hAnsi="Calibri" w:eastAsia="宋体" w:cs="Calibri"/>
          <w:b/>
          <w:bCs/>
          <w:color w:val="0000FF"/>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11</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一</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印度新签自贸协定，美国贸易账数据平淡</w:t>
      </w:r>
    </w:p>
    <w:p>
      <w:pPr>
        <w:keepNext w:val="0"/>
        <w:keepLines w:val="0"/>
        <w:pageBreakBefore w:val="0"/>
        <w:widowControl w:val="0"/>
        <w:kinsoku/>
        <w:wordWrap/>
        <w:overflowPunct/>
        <w:topLinePunct w:val="0"/>
        <w:autoSpaceDE/>
        <w:autoSpaceDN/>
        <w:bidi w:val="0"/>
        <w:adjustRightInd/>
        <w:snapToGrid/>
        <w:spacing w:line="400" w:lineRule="exact"/>
        <w:ind w:firstLine="608" w:firstLineChars="200"/>
        <w:textAlignment w:val="auto"/>
        <w:outlineLvl w:val="9"/>
        <w:rPr>
          <w:rFonts w:hint="default"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一、</w:t>
      </w:r>
      <w:r>
        <w:rPr>
          <w:rFonts w:hint="default" w:ascii="Times New Roman" w:hAnsi="Times New Roman" w:cs="Times New Roman"/>
          <w:b/>
          <w:bCs/>
          <w:sz w:val="32"/>
          <w:szCs w:val="32"/>
          <w:lang w:val="en-US" w:eastAsia="zh-CN"/>
        </w:rPr>
        <w:t>印度与EFTA签署贸易协定</w:t>
      </w:r>
    </w:p>
    <w:p>
      <w:pPr>
        <w:ind w:firstLine="608" w:firstLineChars="200"/>
        <w:jc w:val="left"/>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月</w:t>
      </w:r>
      <w:r>
        <w:rPr>
          <w:rFonts w:hint="default" w:ascii="Times New Roman" w:hAnsi="Times New Roman" w:cs="Times New Roman"/>
          <w:sz w:val="32"/>
          <w:szCs w:val="32"/>
          <w:lang w:val="en-US" w:eastAsia="zh-CN"/>
        </w:rPr>
        <w:t>10</w:t>
      </w:r>
      <w:r>
        <w:rPr>
          <w:rFonts w:hint="eastAsia" w:ascii="Times New Roman" w:hAnsi="Times New Roman" w:cs="Times New Roman"/>
          <w:sz w:val="32"/>
          <w:szCs w:val="32"/>
          <w:lang w:val="en-US" w:eastAsia="zh-CN"/>
        </w:rPr>
        <w:t>日，</w:t>
      </w:r>
      <w:r>
        <w:rPr>
          <w:rFonts w:hint="default" w:ascii="Times New Roman" w:hAnsi="Times New Roman" w:cs="Times New Roman"/>
          <w:sz w:val="32"/>
          <w:szCs w:val="32"/>
          <w:lang w:val="en-US" w:eastAsia="zh-CN"/>
        </w:rPr>
        <w:t>印度与</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欧洲自由贸易联盟EFTA</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签署贸易协定。根据协议，印度将对</w:t>
      </w:r>
      <w:r>
        <w:rPr>
          <w:rFonts w:hint="eastAsia" w:ascii="Times New Roman" w:hAnsi="Times New Roman" w:cs="Times New Roman"/>
          <w:sz w:val="32"/>
          <w:szCs w:val="32"/>
          <w:lang w:val="en-US" w:eastAsia="zh-CN"/>
        </w:rPr>
        <w:t>该联盟成员</w:t>
      </w:r>
      <w:r>
        <w:rPr>
          <w:rFonts w:hint="default" w:ascii="Times New Roman" w:hAnsi="Times New Roman" w:cs="Times New Roman"/>
          <w:sz w:val="32"/>
          <w:szCs w:val="32"/>
          <w:lang w:val="en-US" w:eastAsia="zh-CN"/>
        </w:rPr>
        <w:t>国的工业产品免除大部分关税</w:t>
      </w:r>
      <w:r>
        <w:rPr>
          <w:rFonts w:hint="eastAsia" w:ascii="Times New Roman" w:hAnsi="Times New Roman" w:cs="Times New Roman"/>
          <w:sz w:val="32"/>
          <w:szCs w:val="32"/>
          <w:lang w:val="en-US" w:eastAsia="zh-CN"/>
        </w:rPr>
        <w:t>，后者</w:t>
      </w:r>
      <w:r>
        <w:rPr>
          <w:rFonts w:hint="default" w:ascii="Times New Roman" w:hAnsi="Times New Roman" w:cs="Times New Roman"/>
          <w:sz w:val="32"/>
          <w:szCs w:val="32"/>
          <w:lang w:val="en-US" w:eastAsia="zh-CN"/>
        </w:rPr>
        <w:t>已同意在未来15年向印度投资1,000亿美元。</w:t>
      </w:r>
    </w:p>
    <w:tbl>
      <w:tblPr>
        <w:tblStyle w:val="15"/>
        <w:tblpPr w:leftFromText="180" w:rightFromText="180" w:vertAnchor="text" w:horzAnchor="page" w:tblpX="1632" w:tblpY="30"/>
        <w:tblOverlap w:val="never"/>
        <w:tblW w:w="90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43"/>
        <w:gridCol w:w="41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63" w:hRule="atLeast"/>
        </w:trPr>
        <w:tc>
          <w:tcPr>
            <w:tcW w:w="4843" w:type="dxa"/>
            <w:tcBorders>
              <w:tl2br w:val="nil"/>
              <w:tr2bl w:val="nil"/>
            </w:tcBorders>
            <w:vAlign w:val="top"/>
          </w:tcPr>
          <w:p>
            <w:pPr>
              <w:jc w:val="both"/>
              <w:rPr>
                <w:rFonts w:hint="default" w:ascii="Times New Roman" w:hAnsi="Times New Roman" w:cs="Times New Roman"/>
                <w:sz w:val="32"/>
                <w:szCs w:val="32"/>
                <w:vertAlign w:val="baseline"/>
              </w:rPr>
            </w:pPr>
            <w:r>
              <w:drawing>
                <wp:inline distT="0" distB="0" distL="114300" distR="114300">
                  <wp:extent cx="3020060" cy="1661160"/>
                  <wp:effectExtent l="0" t="0" r="8890" b="1524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2"/>
                          <a:stretch>
                            <a:fillRect/>
                          </a:stretch>
                        </pic:blipFill>
                        <pic:spPr>
                          <a:xfrm>
                            <a:off x="0" y="0"/>
                            <a:ext cx="3020060" cy="1661160"/>
                          </a:xfrm>
                          <a:prstGeom prst="rect">
                            <a:avLst/>
                          </a:prstGeom>
                          <a:noFill/>
                          <a:ln>
                            <a:noFill/>
                          </a:ln>
                        </pic:spPr>
                      </pic:pic>
                    </a:graphicData>
                  </a:graphic>
                </wp:inline>
              </w:drawing>
            </w:r>
          </w:p>
        </w:tc>
        <w:tc>
          <w:tcPr>
            <w:tcW w:w="4188" w:type="dxa"/>
            <w:tcBorders>
              <w:tl2br w:val="nil"/>
              <w:tr2bl w:val="nil"/>
            </w:tcBorders>
            <w:vAlign w:val="top"/>
          </w:tcPr>
          <w:p>
            <w:pPr>
              <w:jc w:val="left"/>
              <w:rPr>
                <w:rFonts w:hint="default" w:ascii="Times New Roman" w:hAnsi="Times New Roman" w:cs="Times New Roman"/>
                <w:sz w:val="32"/>
                <w:szCs w:val="32"/>
                <w:vertAlign w:val="baseline"/>
              </w:rPr>
            </w:pPr>
            <w:r>
              <w:rPr>
                <w:rFonts w:hint="default"/>
                <w:lang w:val="en-US" w:eastAsia="zh-CN"/>
              </w:rPr>
              <w:drawing>
                <wp:inline distT="0" distB="0" distL="114300" distR="114300">
                  <wp:extent cx="2574925" cy="1666240"/>
                  <wp:effectExtent l="0" t="0" r="15875" b="10160"/>
                  <wp:docPr id="8" name="图片 2" descr="5383e0551e0d3b0b032d6d0288d79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5383e0551e0d3b0b032d6d0288d798d"/>
                          <pic:cNvPicPr>
                            <a:picLocks noChangeAspect="1"/>
                          </pic:cNvPicPr>
                        </pic:nvPicPr>
                        <pic:blipFill>
                          <a:blip r:embed="rId13"/>
                          <a:stretch>
                            <a:fillRect/>
                          </a:stretch>
                        </pic:blipFill>
                        <pic:spPr>
                          <a:xfrm>
                            <a:off x="0" y="0"/>
                            <a:ext cx="2574925" cy="1666240"/>
                          </a:xfrm>
                          <a:prstGeom prst="rect">
                            <a:avLst/>
                          </a:prstGeom>
                          <a:noFill/>
                          <a:ln>
                            <a:noFill/>
                          </a:ln>
                        </pic:spPr>
                      </pic:pic>
                    </a:graphicData>
                  </a:graphic>
                </wp:inline>
              </w:drawing>
            </w:r>
          </w:p>
        </w:tc>
      </w:tr>
    </w:tbl>
    <w:p>
      <w:pPr>
        <w:ind w:firstLine="608" w:firstLineChars="200"/>
        <w:jc w:val="lef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这是</w:t>
      </w:r>
      <w:r>
        <w:rPr>
          <w:rFonts w:hint="default" w:ascii="Times New Roman" w:hAnsi="Times New Roman" w:cs="Times New Roman"/>
          <w:sz w:val="32"/>
          <w:szCs w:val="32"/>
          <w:lang w:val="en-US" w:eastAsia="zh-CN"/>
        </w:rPr>
        <w:t>继与澳大利亚和阿联酋签署类似协议后</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印度的又一重要</w:t>
      </w:r>
      <w:r>
        <w:rPr>
          <w:rFonts w:hint="eastAsia" w:ascii="Times New Roman" w:hAnsi="Times New Roman" w:cs="Times New Roman"/>
          <w:sz w:val="32"/>
          <w:szCs w:val="32"/>
          <w:lang w:val="en-US" w:eastAsia="zh-CN"/>
        </w:rPr>
        <w:t>合作举措</w:t>
      </w:r>
      <w:r>
        <w:rPr>
          <w:rFonts w:hint="default" w:ascii="Times New Roman" w:hAnsi="Times New Roman" w:cs="Times New Roman"/>
          <w:sz w:val="32"/>
          <w:szCs w:val="32"/>
          <w:lang w:val="en-US" w:eastAsia="zh-CN"/>
        </w:rPr>
        <w:t>。</w:t>
      </w:r>
      <w:r>
        <w:rPr>
          <w:rFonts w:hint="eastAsia" w:ascii="Times New Roman" w:hAnsi="Times New Roman" w:cs="Times New Roman"/>
          <w:sz w:val="32"/>
          <w:szCs w:val="32"/>
          <w:lang w:val="en-US" w:eastAsia="zh-CN"/>
        </w:rPr>
        <w:t>另</w:t>
      </w:r>
      <w:r>
        <w:rPr>
          <w:rFonts w:hint="default" w:ascii="Times New Roman" w:hAnsi="Times New Roman" w:cs="Times New Roman"/>
          <w:sz w:val="32"/>
          <w:szCs w:val="32"/>
          <w:lang w:val="en-US" w:eastAsia="zh-CN"/>
        </w:rPr>
        <w:t>据报道，印度与英国的贸易谈判已进入后期阶段。</w:t>
      </w:r>
    </w:p>
    <w:p>
      <w:pPr>
        <w:ind w:firstLine="608" w:firstLineChars="200"/>
        <w:jc w:val="lef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欧洲自由贸易联盟</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European Free Trade Association</w:t>
      </w:r>
      <w:r>
        <w:rPr>
          <w:rFonts w:hint="eastAsia" w:ascii="Times New Roman" w:hAnsi="Times New Roman" w:cs="Times New Roman"/>
          <w:sz w:val="32"/>
          <w:szCs w:val="32"/>
          <w:lang w:val="en-US" w:eastAsia="zh-CN"/>
        </w:rPr>
        <w:t>，EFTA</w:t>
      </w:r>
      <w:r>
        <w:rPr>
          <w:rFonts w:hint="default" w:ascii="Times New Roman" w:hAnsi="Times New Roman" w:cs="Times New Roman"/>
          <w:sz w:val="32"/>
          <w:szCs w:val="32"/>
          <w:lang w:val="en-US" w:eastAsia="zh-CN"/>
        </w:rPr>
        <w:t>）成立于1960年，是一个独立于欧盟的自由贸易组织，由冰岛、列支敦士登、挪威和瑞士四个</w:t>
      </w:r>
      <w:r>
        <w:rPr>
          <w:rFonts w:hint="eastAsia" w:ascii="Times New Roman" w:hAnsi="Times New Roman" w:cs="Times New Roman"/>
          <w:sz w:val="32"/>
          <w:szCs w:val="32"/>
          <w:lang w:val="en-US" w:eastAsia="zh-CN"/>
        </w:rPr>
        <w:t>非欧盟</w:t>
      </w:r>
      <w:r>
        <w:rPr>
          <w:rFonts w:hint="default" w:ascii="Times New Roman" w:hAnsi="Times New Roman" w:cs="Times New Roman"/>
          <w:sz w:val="32"/>
          <w:szCs w:val="32"/>
          <w:lang w:val="en-US" w:eastAsia="zh-CN"/>
        </w:rPr>
        <w:t>国</w:t>
      </w:r>
      <w:r>
        <w:rPr>
          <w:rFonts w:hint="eastAsia" w:ascii="Times New Roman" w:hAnsi="Times New Roman" w:cs="Times New Roman"/>
          <w:sz w:val="32"/>
          <w:szCs w:val="32"/>
          <w:lang w:val="en-US" w:eastAsia="zh-CN"/>
        </w:rPr>
        <w:t>家</w:t>
      </w:r>
      <w:r>
        <w:rPr>
          <w:rFonts w:hint="default" w:ascii="Times New Roman" w:hAnsi="Times New Roman" w:cs="Times New Roman"/>
          <w:sz w:val="32"/>
          <w:szCs w:val="32"/>
          <w:lang w:val="en-US" w:eastAsia="zh-CN"/>
        </w:rPr>
        <w:t>组成。该组织致力于推动成员国之间的关税减免、贸易便利化、服务贸易自由化以及投资保护等方面的合作。</w:t>
      </w:r>
      <w:r>
        <w:rPr>
          <w:rFonts w:hint="eastAsia" w:ascii="Times New Roman" w:hAnsi="Times New Roman" w:cs="Times New Roman"/>
          <w:sz w:val="32"/>
          <w:szCs w:val="32"/>
          <w:lang w:val="en-US" w:eastAsia="zh-CN"/>
        </w:rPr>
        <w:t>同时，</w:t>
      </w:r>
      <w:r>
        <w:rPr>
          <w:rFonts w:hint="default" w:ascii="Times New Roman" w:hAnsi="Times New Roman" w:cs="Times New Roman"/>
          <w:sz w:val="32"/>
          <w:szCs w:val="32"/>
          <w:lang w:val="en-US" w:eastAsia="zh-CN"/>
        </w:rPr>
        <w:t>与其他国家和地区开展自由贸易协定的谈判，以扩大其贸易网络。</w:t>
      </w:r>
    </w:p>
    <w:p>
      <w:pPr>
        <w:keepNext w:val="0"/>
        <w:keepLines w:val="0"/>
        <w:pageBreakBefore w:val="0"/>
        <w:widowControl w:val="0"/>
        <w:kinsoku/>
        <w:wordWrap/>
        <w:overflowPunct/>
        <w:topLinePunct w:val="0"/>
        <w:autoSpaceDE/>
        <w:autoSpaceDN/>
        <w:bidi w:val="0"/>
        <w:adjustRightInd/>
        <w:snapToGrid/>
        <w:spacing w:line="400" w:lineRule="exact"/>
        <w:ind w:firstLine="608" w:firstLineChars="200"/>
        <w:textAlignment w:val="auto"/>
        <w:outlineLvl w:val="9"/>
        <w:rPr>
          <w:rFonts w:hint="default"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二、美加法等国公布贸易账数据</w:t>
      </w:r>
    </w:p>
    <w:p>
      <w:pPr>
        <w:jc w:val="left"/>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drawing>
          <wp:inline distT="0" distB="0" distL="114300" distR="114300">
            <wp:extent cx="5612130" cy="1994535"/>
            <wp:effectExtent l="0" t="0" r="7620" b="5715"/>
            <wp:docPr id="14" name="图片 14" descr="微信截图_2024031410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截图_20240314101816"/>
                    <pic:cNvPicPr>
                      <a:picLocks noChangeAspect="1"/>
                    </pic:cNvPicPr>
                  </pic:nvPicPr>
                  <pic:blipFill>
                    <a:blip r:embed="rId14"/>
                    <a:stretch>
                      <a:fillRect/>
                    </a:stretch>
                  </pic:blipFill>
                  <pic:spPr>
                    <a:xfrm>
                      <a:off x="0" y="0"/>
                      <a:ext cx="5612130" cy="19945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0" w:lineRule="exact"/>
        <w:ind w:firstLine="528" w:firstLineChars="200"/>
        <w:textAlignment w:val="auto"/>
        <w:outlineLvl w:val="9"/>
        <w:rPr>
          <w:rFonts w:hint="default" w:ascii="Times New Roman" w:hAnsi="Times New Roman" w:eastAsia="方正楷体_GBK" w:cs="Calibri"/>
          <w:sz w:val="28"/>
          <w:szCs w:val="28"/>
          <w:lang w:val="en-US" w:eastAsia="zh-CN"/>
        </w:rPr>
      </w:pPr>
      <w:r>
        <w:rPr>
          <w:rFonts w:hint="eastAsia" w:ascii="Times New Roman" w:hAnsi="Times New Roman" w:eastAsia="方正楷体_GBK" w:cs="Calibri"/>
          <w:b w:val="0"/>
          <w:bCs w:val="0"/>
          <w:sz w:val="28"/>
          <w:szCs w:val="28"/>
          <w:highlight w:val="none"/>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eastAsia" w:ascii="方正黑体_GBK" w:hAnsi="方正黑体_GBK" w:eastAsia="方正黑体_GBK" w:cs="方正黑体_GBK"/>
          <w:b/>
          <w:bCs/>
          <w:sz w:val="28"/>
          <w:szCs w:val="28"/>
          <w:lang w:val="en-US" w:eastAsia="zh-CN"/>
        </w:rPr>
        <w:t>：</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贸易账</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和</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经常账</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是国际收支账户的两个重要组成部分。</w:t>
      </w:r>
    </w:p>
    <w:p>
      <w:pPr>
        <w:keepNext w:val="0"/>
        <w:keepLines w:val="0"/>
        <w:pageBreakBefore w:val="0"/>
        <w:widowControl w:val="0"/>
        <w:kinsoku/>
        <w:wordWrap/>
        <w:overflowPunct/>
        <w:topLinePunct w:val="0"/>
        <w:autoSpaceDE/>
        <w:autoSpaceDN/>
        <w:bidi w:val="0"/>
        <w:adjustRightInd/>
        <w:snapToGrid w:val="0"/>
        <w:spacing w:line="400" w:lineRule="exact"/>
        <w:ind w:firstLine="528" w:firstLineChars="200"/>
        <w:textAlignment w:val="auto"/>
        <w:outlineLvl w:val="9"/>
        <w:rPr>
          <w:rFonts w:hint="default" w:ascii="Times New Roman" w:hAnsi="Times New Roman" w:eastAsia="方正楷体_GBK" w:cs="Calibri"/>
          <w:sz w:val="28"/>
          <w:szCs w:val="28"/>
          <w:lang w:val="en-US" w:eastAsia="zh-CN"/>
        </w:rPr>
      </w:pP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b/>
          <w:bCs/>
          <w:sz w:val="28"/>
          <w:szCs w:val="28"/>
          <w:lang w:val="en-US" w:eastAsia="zh-CN"/>
        </w:rPr>
        <w:t>贸易账</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（Trade Account）</w:t>
      </w:r>
      <w:r>
        <w:rPr>
          <w:rFonts w:hint="eastAsia" w:ascii="Times New Roman" w:hAnsi="Times New Roman" w:eastAsia="方正楷体_GBK" w:cs="Calibri"/>
          <w:sz w:val="28"/>
          <w:szCs w:val="28"/>
          <w:lang w:val="en-US" w:eastAsia="zh-CN"/>
        </w:rPr>
        <w:t>，记录了</w:t>
      </w:r>
      <w:r>
        <w:rPr>
          <w:rFonts w:hint="default" w:ascii="Times New Roman" w:hAnsi="Times New Roman" w:eastAsia="方正楷体_GBK" w:cs="Calibri"/>
          <w:sz w:val="28"/>
          <w:szCs w:val="28"/>
          <w:lang w:val="en-US" w:eastAsia="zh-CN"/>
        </w:rPr>
        <w:t>一个国家</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地区</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货物</w:t>
      </w:r>
      <w:r>
        <w:rPr>
          <w:rFonts w:hint="eastAsia" w:ascii="Times New Roman" w:hAnsi="Times New Roman" w:eastAsia="方正楷体_GBK" w:cs="Calibri"/>
          <w:sz w:val="28"/>
          <w:szCs w:val="28"/>
          <w:lang w:val="en-US" w:eastAsia="zh-CN"/>
        </w:rPr>
        <w:t>贸易</w:t>
      </w:r>
      <w:r>
        <w:rPr>
          <w:rFonts w:hint="default" w:ascii="Times New Roman" w:hAnsi="Times New Roman" w:eastAsia="方正楷体_GBK" w:cs="Calibri"/>
          <w:sz w:val="28"/>
          <w:szCs w:val="28"/>
          <w:lang w:val="en-US" w:eastAsia="zh-CN"/>
        </w:rPr>
        <w:t>和服务贸易的总体情况</w:t>
      </w:r>
      <w:r>
        <w:rPr>
          <w:rFonts w:hint="eastAsia" w:ascii="Times New Roman" w:hAnsi="Times New Roman" w:eastAsia="方正楷体_GBK" w:cs="Calibri"/>
          <w:sz w:val="28"/>
          <w:szCs w:val="28"/>
          <w:lang w:val="en-US" w:eastAsia="zh-CN"/>
        </w:rPr>
        <w:t>，当账户余额（</w:t>
      </w:r>
      <w:r>
        <w:rPr>
          <w:rFonts w:hint="default" w:ascii="Times New Roman" w:hAnsi="Times New Roman" w:eastAsia="方正楷体_GBK" w:cs="Calibri"/>
          <w:sz w:val="28"/>
          <w:szCs w:val="28"/>
          <w:lang w:val="en-US" w:eastAsia="zh-CN"/>
        </w:rPr>
        <w:t>出口和进口之间的差额</w:t>
      </w:r>
      <w:r>
        <w:rPr>
          <w:rFonts w:hint="eastAsia" w:ascii="Times New Roman" w:hAnsi="Times New Roman" w:eastAsia="方正楷体_GBK" w:cs="Calibri"/>
          <w:sz w:val="28"/>
          <w:szCs w:val="28"/>
          <w:lang w:val="en-US" w:eastAsia="zh-CN"/>
        </w:rPr>
        <w:t>）为</w:t>
      </w:r>
      <w:r>
        <w:rPr>
          <w:rFonts w:hint="default" w:ascii="Times New Roman" w:hAnsi="Times New Roman" w:eastAsia="方正楷体_GBK" w:cs="Calibri"/>
          <w:sz w:val="28"/>
          <w:szCs w:val="28"/>
          <w:lang w:val="en-US" w:eastAsia="zh-CN"/>
        </w:rPr>
        <w:t>正值</w:t>
      </w:r>
      <w:r>
        <w:rPr>
          <w:rFonts w:hint="eastAsia" w:ascii="Times New Roman" w:hAnsi="Times New Roman" w:eastAsia="方正楷体_GBK" w:cs="Calibri"/>
          <w:sz w:val="28"/>
          <w:szCs w:val="28"/>
          <w:lang w:val="en-US" w:eastAsia="zh-CN"/>
        </w:rPr>
        <w:t>时，</w:t>
      </w:r>
      <w:r>
        <w:rPr>
          <w:rFonts w:hint="default" w:ascii="Times New Roman" w:hAnsi="Times New Roman" w:eastAsia="方正楷体_GBK" w:cs="Calibri"/>
          <w:sz w:val="28"/>
          <w:szCs w:val="28"/>
          <w:lang w:val="en-US" w:eastAsia="zh-CN"/>
        </w:rPr>
        <w:t>表示贸易顺</w:t>
      </w:r>
      <w:r>
        <w:rPr>
          <w:rFonts w:hint="eastAsia" w:ascii="Times New Roman" w:hAnsi="Times New Roman" w:eastAsia="方正楷体_GBK" w:cs="Calibri"/>
          <w:sz w:val="28"/>
          <w:szCs w:val="28"/>
          <w:lang w:val="en-US" w:eastAsia="zh-CN"/>
        </w:rPr>
        <w:t>差；</w:t>
      </w:r>
      <w:r>
        <w:rPr>
          <w:rFonts w:hint="default" w:ascii="Times New Roman" w:hAnsi="Times New Roman" w:eastAsia="方正楷体_GBK" w:cs="Calibri"/>
          <w:sz w:val="28"/>
          <w:szCs w:val="28"/>
          <w:lang w:val="en-US" w:eastAsia="zh-CN"/>
        </w:rPr>
        <w:t>负值</w:t>
      </w:r>
      <w:r>
        <w:rPr>
          <w:rFonts w:hint="eastAsia" w:ascii="Times New Roman" w:hAnsi="Times New Roman" w:eastAsia="方正楷体_GBK" w:cs="Calibri"/>
          <w:sz w:val="28"/>
          <w:szCs w:val="28"/>
          <w:lang w:val="en-US" w:eastAsia="zh-CN"/>
        </w:rPr>
        <w:t>，则</w:t>
      </w:r>
      <w:r>
        <w:rPr>
          <w:rFonts w:hint="default" w:ascii="Times New Roman" w:hAnsi="Times New Roman" w:eastAsia="方正楷体_GBK" w:cs="Calibri"/>
          <w:sz w:val="28"/>
          <w:szCs w:val="28"/>
          <w:lang w:val="en-US" w:eastAsia="zh-CN"/>
        </w:rPr>
        <w:t>表示贸易逆差。</w:t>
      </w:r>
    </w:p>
    <w:p>
      <w:pPr>
        <w:keepNext w:val="0"/>
        <w:keepLines w:val="0"/>
        <w:pageBreakBefore w:val="0"/>
        <w:widowControl w:val="0"/>
        <w:kinsoku/>
        <w:wordWrap/>
        <w:overflowPunct/>
        <w:topLinePunct w:val="0"/>
        <w:autoSpaceDE/>
        <w:autoSpaceDN/>
        <w:bidi w:val="0"/>
        <w:adjustRightInd/>
        <w:snapToGrid w:val="0"/>
        <w:spacing w:line="400" w:lineRule="exact"/>
        <w:ind w:firstLine="528" w:firstLineChars="200"/>
        <w:textAlignment w:val="auto"/>
        <w:outlineLvl w:val="9"/>
        <w:rPr>
          <w:rFonts w:hint="default" w:ascii="Times New Roman" w:hAnsi="Times New Roman" w:eastAsia="方正楷体_GBK" w:cs="Calibri"/>
          <w:sz w:val="28"/>
          <w:szCs w:val="28"/>
          <w:lang w:val="en-US" w:eastAsia="zh-CN"/>
        </w:rPr>
      </w:pP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b/>
          <w:bCs/>
          <w:sz w:val="28"/>
          <w:szCs w:val="28"/>
          <w:lang w:val="en-US" w:eastAsia="zh-CN"/>
        </w:rPr>
        <w:t>经常账</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（Current Account）是</w:t>
      </w:r>
      <w:r>
        <w:rPr>
          <w:rFonts w:hint="eastAsia" w:ascii="Times New Roman" w:hAnsi="Times New Roman" w:eastAsia="方正楷体_GBK" w:cs="Calibri"/>
          <w:sz w:val="28"/>
          <w:szCs w:val="28"/>
          <w:lang w:val="en-US" w:eastAsia="zh-CN"/>
        </w:rPr>
        <w:t>一个更</w:t>
      </w:r>
      <w:r>
        <w:rPr>
          <w:rFonts w:hint="default" w:ascii="Times New Roman" w:hAnsi="Times New Roman" w:eastAsia="方正楷体_GBK" w:cs="Calibri"/>
          <w:sz w:val="28"/>
          <w:szCs w:val="28"/>
          <w:lang w:val="en-US" w:eastAsia="zh-CN"/>
        </w:rPr>
        <w:t>广泛</w:t>
      </w:r>
      <w:r>
        <w:rPr>
          <w:rFonts w:hint="eastAsia" w:ascii="Times New Roman" w:hAnsi="Times New Roman" w:eastAsia="方正楷体_GBK" w:cs="Calibri"/>
          <w:sz w:val="28"/>
          <w:szCs w:val="28"/>
          <w:lang w:val="en-US" w:eastAsia="zh-CN"/>
        </w:rPr>
        <w:t>的</w:t>
      </w:r>
      <w:r>
        <w:rPr>
          <w:rFonts w:hint="default" w:ascii="Times New Roman" w:hAnsi="Times New Roman" w:eastAsia="方正楷体_GBK" w:cs="Calibri"/>
          <w:sz w:val="28"/>
          <w:szCs w:val="28"/>
          <w:lang w:val="en-US" w:eastAsia="zh-CN"/>
        </w:rPr>
        <w:t>概念，</w:t>
      </w:r>
      <w:r>
        <w:rPr>
          <w:rFonts w:hint="eastAsia" w:ascii="Times New Roman" w:hAnsi="Times New Roman" w:eastAsia="方正楷体_GBK" w:cs="Calibri"/>
          <w:sz w:val="28"/>
          <w:szCs w:val="28"/>
          <w:lang w:val="en-US" w:eastAsia="zh-CN"/>
        </w:rPr>
        <w:t>它</w:t>
      </w:r>
      <w:r>
        <w:rPr>
          <w:rFonts w:hint="default" w:ascii="Times New Roman" w:hAnsi="Times New Roman" w:eastAsia="方正楷体_GBK" w:cs="Calibri"/>
          <w:sz w:val="28"/>
          <w:szCs w:val="28"/>
          <w:lang w:val="en-US" w:eastAsia="zh-CN"/>
        </w:rPr>
        <w:t>包括贸易账以及其他项目，如收入（如利息和利润）、转移支付（如援助和汇款）等。</w:t>
      </w:r>
      <w:r>
        <w:rPr>
          <w:rFonts w:hint="eastAsia" w:ascii="Times New Roman" w:hAnsi="Times New Roman" w:eastAsia="方正楷体_GBK" w:cs="Calibri"/>
          <w:sz w:val="28"/>
          <w:szCs w:val="28"/>
          <w:lang w:val="en-US" w:eastAsia="zh-CN"/>
        </w:rPr>
        <w:t>因此，经常账</w:t>
      </w:r>
      <w:r>
        <w:rPr>
          <w:rFonts w:hint="default" w:ascii="Times New Roman" w:hAnsi="Times New Roman" w:eastAsia="方正楷体_GBK" w:cs="Calibri"/>
          <w:sz w:val="28"/>
          <w:szCs w:val="28"/>
          <w:lang w:val="en-US" w:eastAsia="zh-CN"/>
        </w:rPr>
        <w:t>记录了一个国家</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地区</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与其他国家</w:t>
      </w:r>
      <w:r>
        <w:rPr>
          <w:rFonts w:hint="eastAsia" w:ascii="Times New Roman" w:hAnsi="Times New Roman" w:eastAsia="方正楷体_GBK" w:cs="Calibri"/>
          <w:sz w:val="28"/>
          <w:szCs w:val="28"/>
          <w:lang w:val="en-US" w:eastAsia="zh-CN"/>
        </w:rPr>
        <w:t>（地区）</w:t>
      </w:r>
      <w:r>
        <w:rPr>
          <w:rFonts w:hint="default" w:ascii="Times New Roman" w:hAnsi="Times New Roman" w:eastAsia="方正楷体_GBK" w:cs="Calibri"/>
          <w:sz w:val="28"/>
          <w:szCs w:val="28"/>
          <w:lang w:val="en-US" w:eastAsia="zh-CN"/>
        </w:rPr>
        <w:t>之间的经济交流情况，包括货物、服务、收入和转移支付的流动。经常账的结余或赤字</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表示</w:t>
      </w:r>
      <w:r>
        <w:rPr>
          <w:rFonts w:hint="eastAsia" w:ascii="Times New Roman" w:hAnsi="Times New Roman" w:eastAsia="方正楷体_GBK" w:cs="Calibri"/>
          <w:sz w:val="28"/>
          <w:szCs w:val="28"/>
          <w:lang w:val="en-US" w:eastAsia="zh-CN"/>
        </w:rPr>
        <w:t>该</w:t>
      </w:r>
      <w:r>
        <w:rPr>
          <w:rFonts w:hint="default" w:ascii="Times New Roman" w:hAnsi="Times New Roman" w:eastAsia="方正楷体_GBK" w:cs="Calibri"/>
          <w:sz w:val="28"/>
          <w:szCs w:val="28"/>
          <w:lang w:val="en-US" w:eastAsia="zh-CN"/>
        </w:rPr>
        <w:t>国在国际经济交流中的净收入或净支出。通过分析经常账的各个子项，可以了解一国与他国之间的</w:t>
      </w:r>
      <w:r>
        <w:rPr>
          <w:rFonts w:hint="eastAsia" w:ascii="Times New Roman" w:hAnsi="Times New Roman" w:eastAsia="方正楷体_GBK" w:cs="Calibri"/>
          <w:sz w:val="28"/>
          <w:szCs w:val="28"/>
          <w:lang w:val="en-US" w:eastAsia="zh-CN"/>
        </w:rPr>
        <w:t>经贸往来</w:t>
      </w:r>
      <w:r>
        <w:rPr>
          <w:rFonts w:hint="default" w:ascii="Times New Roman" w:hAnsi="Times New Roman" w:eastAsia="方正楷体_GBK" w:cs="Calibri"/>
          <w:sz w:val="28"/>
          <w:szCs w:val="28"/>
          <w:lang w:val="en-US" w:eastAsia="zh-CN"/>
        </w:rPr>
        <w:t>和国际收支情况。</w:t>
      </w:r>
      <w:r>
        <w:rPr>
          <w:rFonts w:hint="eastAsia" w:ascii="Times New Roman" w:hAnsi="Times New Roman" w:eastAsia="方正楷体_GBK" w:cs="Calibri"/>
          <w:sz w:val="28"/>
          <w:szCs w:val="28"/>
          <w:lang w:val="en-US"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528" w:firstLineChars="200"/>
        <w:jc w:val="left"/>
        <w:textAlignment w:val="auto"/>
        <w:outlineLvl w:val="9"/>
        <w:rPr>
          <w:rFonts w:hint="default" w:ascii="Times New Roman" w:hAnsi="Times New Roman" w:eastAsia="方正楷体_GBK" w:cs="Calibri"/>
          <w:sz w:val="28"/>
          <w:szCs w:val="28"/>
          <w:lang w:val="en-US" w:eastAsia="zh-CN"/>
        </w:rPr>
      </w:pPr>
      <w:r>
        <w:rPr>
          <w:rFonts w:hint="eastAsia" w:ascii="Times New Roman" w:hAnsi="Times New Roman" w:eastAsia="方正楷体_GBK" w:cs="Calibri"/>
          <w:b w:val="0"/>
          <w:bCs w:val="0"/>
          <w:sz w:val="28"/>
          <w:szCs w:val="28"/>
          <w:highlight w:val="none"/>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default" w:ascii="Times New Roman" w:hAnsi="Times New Roman" w:eastAsia="方正楷体_GBK" w:cs="Calibri"/>
          <w:sz w:val="28"/>
          <w:szCs w:val="28"/>
          <w:lang w:val="en-US" w:eastAsia="zh-CN"/>
        </w:rPr>
        <w:t>在宏观经济统计中，</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b/>
          <w:bCs/>
          <w:sz w:val="28"/>
          <w:szCs w:val="28"/>
          <w:lang w:val="en-US" w:eastAsia="zh-CN"/>
        </w:rPr>
        <w:t>季调</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和</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b/>
          <w:bCs/>
          <w:sz w:val="28"/>
          <w:szCs w:val="28"/>
          <w:lang w:val="en-US" w:eastAsia="zh-CN"/>
        </w:rPr>
        <w:t>未季调</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是用来描述数据的两种状态或表示方式。</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未季调</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（Unadjusted）指的是原始数据，即没有经过季节性调整的数据。原始数据通常包含了季节性因素的影响，如节假日、季节变化等，因此可能呈现出周期性的波动。</w:t>
      </w:r>
    </w:p>
    <w:p>
      <w:pPr>
        <w:keepNext w:val="0"/>
        <w:keepLines w:val="0"/>
        <w:pageBreakBefore w:val="0"/>
        <w:widowControl w:val="0"/>
        <w:kinsoku/>
        <w:wordWrap/>
        <w:overflowPunct/>
        <w:topLinePunct w:val="0"/>
        <w:autoSpaceDE/>
        <w:autoSpaceDN/>
        <w:bidi w:val="0"/>
        <w:adjustRightInd/>
        <w:snapToGrid w:val="0"/>
        <w:spacing w:line="400" w:lineRule="exact"/>
        <w:ind w:firstLine="528" w:firstLineChars="200"/>
        <w:jc w:val="left"/>
        <w:textAlignment w:val="auto"/>
        <w:outlineLvl w:val="9"/>
        <w:rPr>
          <w:rFonts w:hint="default" w:ascii="Times New Roman" w:hAnsi="Times New Roman" w:eastAsia="方正楷体_GBK" w:cs="Calibri"/>
          <w:sz w:val="28"/>
          <w:szCs w:val="28"/>
          <w:lang w:val="en-US" w:eastAsia="zh-CN"/>
        </w:rPr>
      </w:pPr>
      <w:r>
        <w:rPr>
          <w:rFonts w:hint="default" w:ascii="Times New Roman" w:hAnsi="Times New Roman" w:eastAsia="方正楷体_GBK" w:cs="Calibri"/>
          <w:sz w:val="28"/>
          <w:szCs w:val="28"/>
          <w:lang w:val="en-US" w:eastAsia="zh-CN"/>
        </w:rPr>
        <w:t>为了消除季节性因素对数据的影响，经济统计机构会进行</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季调</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（Seasonal Adjustment）处理。季调是一种统计方法，通过对原始数据进行计算和调整，去除季节性因素的影响，使数据更具可比性和可解释性。季调数据更便于观察长期趋势、识别结构性变化和进行跨时间段的比较。</w:t>
      </w:r>
      <w:r>
        <w:rPr>
          <w:rFonts w:hint="eastAsia" w:ascii="Times New Roman" w:hAnsi="Times New Roman" w:eastAsia="方正楷体_GBK" w:cs="Calibri"/>
          <w:sz w:val="28"/>
          <w:szCs w:val="28"/>
          <w:lang w:val="en-US" w:eastAsia="zh-CN"/>
        </w:rPr>
        <w:t>）</w:t>
      </w:r>
    </w:p>
    <w:p>
      <w:pPr>
        <w:ind w:firstLine="608" w:firstLineChars="200"/>
        <w:jc w:val="left"/>
        <w:rPr>
          <w:rFonts w:hint="eastAsia" w:ascii="Times New Roman" w:hAnsi="Times New Roman" w:cs="Times New Roman"/>
          <w:sz w:val="32"/>
          <w:szCs w:val="32"/>
          <w:lang w:val="en-US" w:eastAsia="zh-CN"/>
        </w:rPr>
      </w:pPr>
    </w:p>
    <w:p>
      <w:pPr>
        <w:ind w:left="0" w:leftChars="0" w:firstLine="0" w:firstLineChars="0"/>
        <w:jc w:val="left"/>
        <w:rPr>
          <w:rFonts w:hint="default" w:ascii="Calibri" w:hAnsi="Calibri" w:eastAsia="宋体" w:cs="Calibri"/>
          <w:b/>
          <w:bCs/>
          <w:color w:val="0000FF"/>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12</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二</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阿根廷经济正进入艰难时刻</w:t>
      </w:r>
    </w:p>
    <w:p>
      <w:pPr>
        <w:ind w:firstLine="608" w:firstLineChars="200"/>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阿根廷</w:t>
      </w:r>
      <w:r>
        <w:rPr>
          <w:rFonts w:hint="default" w:ascii="Times New Roman" w:hAnsi="Times New Roman" w:cs="Times New Roman"/>
          <w:sz w:val="32"/>
          <w:szCs w:val="32"/>
          <w:lang w:val="en-US" w:eastAsia="zh-CN"/>
        </w:rPr>
        <w:t>出现了近12年来首次财政盈余</w:t>
      </w:r>
      <w:r>
        <w:rPr>
          <w:rFonts w:hint="eastAsia" w:ascii="Times New Roman" w:hAnsi="Times New Roman" w:cs="Times New Roman"/>
          <w:sz w:val="32"/>
          <w:szCs w:val="32"/>
          <w:lang w:val="en-US" w:eastAsia="zh-CN"/>
        </w:rPr>
        <w:t>，有</w:t>
      </w:r>
      <w:r>
        <w:rPr>
          <w:rFonts w:hint="default" w:ascii="Times New Roman" w:hAnsi="Times New Roman" w:cs="Times New Roman"/>
          <w:sz w:val="32"/>
          <w:szCs w:val="32"/>
          <w:lang w:val="en-US" w:eastAsia="zh-CN"/>
        </w:rPr>
        <w:t>些人</w:t>
      </w:r>
      <w:r>
        <w:rPr>
          <w:rFonts w:hint="eastAsia" w:ascii="Times New Roman" w:hAnsi="Times New Roman" w:cs="Times New Roman"/>
          <w:sz w:val="32"/>
          <w:szCs w:val="32"/>
          <w:lang w:val="en-US" w:eastAsia="zh-CN"/>
        </w:rPr>
        <w:t>认为</w:t>
      </w:r>
      <w:r>
        <w:rPr>
          <w:rFonts w:hint="default" w:ascii="Times New Roman" w:hAnsi="Times New Roman" w:cs="Times New Roman"/>
          <w:sz w:val="32"/>
          <w:szCs w:val="32"/>
          <w:lang w:val="en-US" w:eastAsia="zh-CN"/>
        </w:rPr>
        <w:t>，这证明</w:t>
      </w:r>
      <w:r>
        <w:rPr>
          <w:rFonts w:hint="eastAsia" w:ascii="Times New Roman" w:hAnsi="Times New Roman" w:cs="Times New Roman"/>
          <w:sz w:val="32"/>
          <w:szCs w:val="32"/>
          <w:lang w:val="en-US" w:eastAsia="zh-CN"/>
        </w:rPr>
        <w:t>了</w:t>
      </w:r>
      <w:r>
        <w:rPr>
          <w:rFonts w:hint="default" w:ascii="Times New Roman" w:hAnsi="Times New Roman" w:cs="Times New Roman"/>
          <w:sz w:val="32"/>
          <w:szCs w:val="32"/>
          <w:lang w:val="en-US" w:eastAsia="zh-CN"/>
        </w:rPr>
        <w:t>哈维尔</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米莱</w:t>
      </w:r>
      <w:r>
        <w:rPr>
          <w:rFonts w:hint="eastAsia" w:ascii="Times New Roman" w:hAnsi="Times New Roman" w:cs="Times New Roman"/>
          <w:sz w:val="32"/>
          <w:szCs w:val="32"/>
          <w:lang w:val="en-US" w:eastAsia="zh-CN"/>
        </w:rPr>
        <w:t>伊</w:t>
      </w:r>
      <w:r>
        <w:rPr>
          <w:rFonts w:hint="default" w:ascii="Times New Roman" w:hAnsi="Times New Roman" w:cs="Times New Roman"/>
          <w:sz w:val="32"/>
          <w:szCs w:val="32"/>
          <w:lang w:val="en-US" w:eastAsia="zh-CN"/>
        </w:rPr>
        <w:t>总统</w:t>
      </w:r>
      <w:r>
        <w:rPr>
          <w:rFonts w:hint="eastAsia" w:ascii="Times New Roman" w:hAnsi="Times New Roman" w:cs="Times New Roman"/>
          <w:sz w:val="32"/>
          <w:szCs w:val="32"/>
          <w:lang w:val="en-US" w:eastAsia="zh-CN"/>
        </w:rPr>
        <w:t>平衡</w:t>
      </w:r>
      <w:r>
        <w:rPr>
          <w:rFonts w:hint="default" w:ascii="Times New Roman" w:hAnsi="Times New Roman" w:cs="Times New Roman"/>
          <w:sz w:val="32"/>
          <w:szCs w:val="32"/>
          <w:lang w:val="en-US" w:eastAsia="zh-CN"/>
        </w:rPr>
        <w:t>财政的努力</w:t>
      </w:r>
      <w:r>
        <w:rPr>
          <w:rFonts w:hint="eastAsia" w:ascii="Times New Roman" w:hAnsi="Times New Roman" w:cs="Times New Roman"/>
          <w:sz w:val="32"/>
          <w:szCs w:val="32"/>
          <w:lang w:val="en-US" w:eastAsia="zh-CN"/>
        </w:rPr>
        <w:t>正在取得效果。为了平衡财政收入，米莱伊政府采取了一系列措施，</w:t>
      </w:r>
      <w:r>
        <w:rPr>
          <w:rFonts w:hint="default" w:ascii="Times New Roman" w:hAnsi="Times New Roman" w:cs="Times New Roman"/>
          <w:sz w:val="32"/>
          <w:szCs w:val="32"/>
          <w:lang w:val="en-US" w:eastAsia="zh-CN"/>
        </w:rPr>
        <w:t>包括</w:t>
      </w:r>
      <w:r>
        <w:rPr>
          <w:rFonts w:hint="eastAsia" w:ascii="Times New Roman" w:hAnsi="Times New Roman" w:cs="Times New Roman"/>
          <w:sz w:val="32"/>
          <w:szCs w:val="32"/>
          <w:lang w:val="en-US" w:eastAsia="zh-CN"/>
        </w:rPr>
        <w:t>让</w:t>
      </w:r>
      <w:r>
        <w:rPr>
          <w:rFonts w:hint="default" w:ascii="Times New Roman" w:hAnsi="Times New Roman" w:cs="Times New Roman"/>
          <w:sz w:val="32"/>
          <w:szCs w:val="32"/>
          <w:lang w:val="en-US" w:eastAsia="zh-CN"/>
        </w:rPr>
        <w:t>比索贬值</w:t>
      </w:r>
      <w:r>
        <w:rPr>
          <w:rFonts w:hint="eastAsia" w:ascii="Times New Roman" w:hAnsi="Times New Roman" w:cs="Times New Roman"/>
          <w:sz w:val="32"/>
          <w:szCs w:val="32"/>
          <w:lang w:val="en-US" w:eastAsia="zh-CN"/>
        </w:rPr>
        <w:t>（见图）</w:t>
      </w:r>
      <w:r>
        <w:rPr>
          <w:rFonts w:hint="default" w:ascii="Times New Roman" w:hAnsi="Times New Roman" w:cs="Times New Roman"/>
          <w:sz w:val="32"/>
          <w:szCs w:val="32"/>
          <w:lang w:val="en-US" w:eastAsia="zh-CN"/>
        </w:rPr>
        <w:t>、停止能源和交通补贴</w:t>
      </w:r>
      <w:r>
        <w:rPr>
          <w:rFonts w:hint="eastAsia" w:ascii="Times New Roman" w:hAnsi="Times New Roman" w:cs="Times New Roman"/>
          <w:sz w:val="32"/>
          <w:szCs w:val="32"/>
          <w:lang w:val="en-US" w:eastAsia="zh-CN"/>
        </w:rPr>
        <w:t>等，但对许多阿根廷人来</w:t>
      </w:r>
      <w:r>
        <w:rPr>
          <w:rFonts w:hint="default" w:ascii="Times New Roman" w:hAnsi="Times New Roman" w:cs="Times New Roman"/>
          <w:sz w:val="32"/>
          <w:szCs w:val="32"/>
          <w:lang w:val="en-US" w:eastAsia="zh-CN"/>
        </w:rPr>
        <w:t>说，这</w:t>
      </w:r>
      <w:r>
        <w:rPr>
          <w:rFonts w:hint="eastAsia" w:ascii="Times New Roman" w:hAnsi="Times New Roman" w:cs="Times New Roman"/>
          <w:sz w:val="32"/>
          <w:szCs w:val="32"/>
          <w:lang w:val="en-US" w:eastAsia="zh-CN"/>
        </w:rPr>
        <w:t>些改革措施对生活的冲击太大了。</w:t>
      </w:r>
    </w:p>
    <w:tbl>
      <w:tblPr>
        <w:tblStyle w:val="15"/>
        <w:tblpPr w:leftFromText="180" w:rightFromText="180" w:vertAnchor="text" w:horzAnchor="page" w:tblpX="1632" w:tblpY="30"/>
        <w:tblOverlap w:val="never"/>
        <w:tblW w:w="90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36"/>
        <w:gridCol w:w="45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63" w:hRule="atLeast"/>
        </w:trPr>
        <w:tc>
          <w:tcPr>
            <w:tcW w:w="4436" w:type="dxa"/>
            <w:tcBorders>
              <w:tl2br w:val="nil"/>
              <w:tr2bl w:val="nil"/>
            </w:tcBorders>
            <w:vAlign w:val="top"/>
          </w:tcPr>
          <w:p>
            <w:pPr>
              <w:jc w:val="both"/>
              <w:rPr>
                <w:rFonts w:hint="default" w:ascii="Times New Roman" w:hAnsi="Times New Roman" w:cs="Times New Roman"/>
                <w:sz w:val="32"/>
                <w:szCs w:val="32"/>
                <w:vertAlign w:val="baseline"/>
              </w:rPr>
            </w:pPr>
            <w:r>
              <w:drawing>
                <wp:inline distT="0" distB="0" distL="114300" distR="114300">
                  <wp:extent cx="2785110" cy="1943100"/>
                  <wp:effectExtent l="0" t="0" r="15240" b="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5"/>
                          <a:stretch>
                            <a:fillRect/>
                          </a:stretch>
                        </pic:blipFill>
                        <pic:spPr>
                          <a:xfrm>
                            <a:off x="0" y="0"/>
                            <a:ext cx="2785110" cy="1943100"/>
                          </a:xfrm>
                          <a:prstGeom prst="rect">
                            <a:avLst/>
                          </a:prstGeom>
                          <a:noFill/>
                          <a:ln>
                            <a:noFill/>
                          </a:ln>
                        </pic:spPr>
                      </pic:pic>
                    </a:graphicData>
                  </a:graphic>
                </wp:inline>
              </w:drawing>
            </w:r>
          </w:p>
        </w:tc>
        <w:tc>
          <w:tcPr>
            <w:tcW w:w="4595" w:type="dxa"/>
            <w:tcBorders>
              <w:tl2br w:val="nil"/>
              <w:tr2bl w:val="nil"/>
            </w:tcBorders>
            <w:vAlign w:val="top"/>
          </w:tcPr>
          <w:p>
            <w:pPr>
              <w:jc w:val="left"/>
              <w:rPr>
                <w:rFonts w:hint="default" w:ascii="Times New Roman" w:hAnsi="Times New Roman" w:cs="Times New Roman"/>
                <w:sz w:val="32"/>
                <w:szCs w:val="32"/>
                <w:vertAlign w:val="baseline"/>
              </w:rPr>
            </w:pPr>
            <w:r>
              <w:drawing>
                <wp:inline distT="0" distB="0" distL="114300" distR="114300">
                  <wp:extent cx="2802890" cy="1955800"/>
                  <wp:effectExtent l="0" t="0" r="16510" b="635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6"/>
                          <a:stretch>
                            <a:fillRect/>
                          </a:stretch>
                        </pic:blipFill>
                        <pic:spPr>
                          <a:xfrm>
                            <a:off x="0" y="0"/>
                            <a:ext cx="2802890" cy="1955800"/>
                          </a:xfrm>
                          <a:prstGeom prst="rect">
                            <a:avLst/>
                          </a:prstGeom>
                          <a:noFill/>
                          <a:ln>
                            <a:noFill/>
                          </a:ln>
                        </pic:spPr>
                      </pic:pic>
                    </a:graphicData>
                  </a:graphic>
                </wp:inline>
              </w:drawing>
            </w:r>
          </w:p>
        </w:tc>
      </w:tr>
    </w:tbl>
    <w:p>
      <w:pPr>
        <w:ind w:firstLine="608" w:firstLineChars="200"/>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今年1月，阿根廷的通货膨胀率</w:t>
      </w:r>
      <w:r>
        <w:rPr>
          <w:rFonts w:hint="eastAsia" w:ascii="Times New Roman" w:hAnsi="Times New Roman" w:cs="Times New Roman"/>
          <w:sz w:val="32"/>
          <w:szCs w:val="32"/>
          <w:lang w:val="en-US" w:eastAsia="zh-CN"/>
        </w:rPr>
        <w:t>同比增长</w:t>
      </w:r>
      <w:r>
        <w:rPr>
          <w:rFonts w:hint="default" w:ascii="Times New Roman" w:hAnsi="Times New Roman" w:cs="Times New Roman"/>
          <w:sz w:val="32"/>
          <w:szCs w:val="32"/>
          <w:lang w:val="en-US" w:eastAsia="zh-CN"/>
        </w:rPr>
        <w:t>254.2%，</w:t>
      </w:r>
      <w:r>
        <w:rPr>
          <w:rFonts w:hint="eastAsia" w:ascii="Times New Roman" w:hAnsi="Times New Roman" w:cs="Times New Roman"/>
          <w:sz w:val="32"/>
          <w:szCs w:val="32"/>
          <w:lang w:val="en-US" w:eastAsia="zh-CN"/>
        </w:rPr>
        <w:t>为</w:t>
      </w:r>
      <w:r>
        <w:rPr>
          <w:rFonts w:hint="default" w:ascii="Times New Roman" w:hAnsi="Times New Roman" w:cs="Times New Roman"/>
          <w:sz w:val="32"/>
          <w:szCs w:val="32"/>
          <w:lang w:val="en-US" w:eastAsia="zh-CN"/>
        </w:rPr>
        <w:t>1991年以来</w:t>
      </w:r>
      <w:r>
        <w:rPr>
          <w:rFonts w:hint="eastAsia" w:ascii="Times New Roman" w:hAnsi="Times New Roman" w:cs="Times New Roman"/>
          <w:sz w:val="32"/>
          <w:szCs w:val="32"/>
          <w:lang w:val="en-US" w:eastAsia="zh-CN"/>
        </w:rPr>
        <w:t>最高，环比增长</w:t>
      </w:r>
      <w:r>
        <w:rPr>
          <w:rFonts w:hint="default" w:ascii="Times New Roman" w:hAnsi="Times New Roman" w:cs="Times New Roman"/>
          <w:sz w:val="32"/>
          <w:szCs w:val="32"/>
          <w:lang w:val="en-US" w:eastAsia="zh-CN"/>
        </w:rPr>
        <w:t>为20.6%</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本周</w:t>
      </w:r>
      <w:r>
        <w:rPr>
          <w:rFonts w:hint="eastAsia" w:ascii="Times New Roman" w:hAnsi="Times New Roman" w:cs="Times New Roman"/>
          <w:sz w:val="32"/>
          <w:szCs w:val="32"/>
          <w:lang w:val="en-US" w:eastAsia="zh-CN"/>
        </w:rPr>
        <w:t>阿政府</w:t>
      </w:r>
      <w:r>
        <w:rPr>
          <w:rFonts w:hint="default" w:ascii="Times New Roman" w:hAnsi="Times New Roman" w:cs="Times New Roman"/>
          <w:sz w:val="32"/>
          <w:szCs w:val="32"/>
          <w:lang w:val="en-US" w:eastAsia="zh-CN"/>
        </w:rPr>
        <w:t>将公布2月份的通货膨胀数据，</w:t>
      </w:r>
      <w:r>
        <w:rPr>
          <w:rFonts w:hint="eastAsia" w:ascii="Times New Roman" w:hAnsi="Times New Roman" w:cs="Times New Roman"/>
          <w:sz w:val="32"/>
          <w:szCs w:val="32"/>
          <w:lang w:val="en-US" w:eastAsia="zh-CN"/>
        </w:rPr>
        <w:t>有</w:t>
      </w:r>
      <w:r>
        <w:rPr>
          <w:rFonts w:hint="default" w:ascii="Times New Roman" w:hAnsi="Times New Roman" w:cs="Times New Roman"/>
          <w:sz w:val="32"/>
          <w:szCs w:val="32"/>
          <w:lang w:val="en-US" w:eastAsia="zh-CN"/>
        </w:rPr>
        <w:t>预计月通胀率</w:t>
      </w:r>
      <w:r>
        <w:rPr>
          <w:rFonts w:hint="eastAsia" w:ascii="Times New Roman" w:hAnsi="Times New Roman" w:cs="Times New Roman"/>
          <w:sz w:val="32"/>
          <w:szCs w:val="32"/>
          <w:lang w:val="en-US" w:eastAsia="zh-CN"/>
        </w:rPr>
        <w:t>环比可能</w:t>
      </w:r>
      <w:r>
        <w:rPr>
          <w:rFonts w:hint="default" w:ascii="Times New Roman" w:hAnsi="Times New Roman" w:cs="Times New Roman"/>
          <w:sz w:val="32"/>
          <w:szCs w:val="32"/>
          <w:lang w:val="en-US" w:eastAsia="zh-CN"/>
        </w:rPr>
        <w:t>降至15%</w:t>
      </w:r>
      <w:r>
        <w:rPr>
          <w:rFonts w:hint="eastAsia" w:ascii="Times New Roman" w:hAnsi="Times New Roman" w:cs="Times New Roman"/>
          <w:sz w:val="32"/>
          <w:szCs w:val="32"/>
          <w:lang w:val="en-US" w:eastAsia="zh-CN"/>
        </w:rPr>
        <w:t>左右，即便如此，通胀水平仍属过高（见图）</w:t>
      </w:r>
      <w:r>
        <w:rPr>
          <w:rFonts w:hint="default" w:ascii="Times New Roman" w:hAnsi="Times New Roman" w:cs="Times New Roman"/>
          <w:sz w:val="32"/>
          <w:szCs w:val="32"/>
          <w:lang w:val="en-US" w:eastAsia="zh-CN"/>
        </w:rPr>
        <w:t>。</w:t>
      </w:r>
    </w:p>
    <w:p>
      <w:pPr>
        <w:ind w:firstLine="608" w:firstLineChars="200"/>
        <w:rPr>
          <w:rFonts w:hint="eastAsia" w:ascii="Times New Roman" w:hAnsi="Times New Roman" w:cs="Times New Roman"/>
          <w:sz w:val="32"/>
          <w:szCs w:val="32"/>
          <w:lang w:val="en-US" w:eastAsia="zh-CN"/>
        </w:rPr>
      </w:pPr>
      <w:r>
        <w:rPr>
          <w:rFonts w:hint="default" w:ascii="Times New Roman" w:hAnsi="Times New Roman" w:cs="Times New Roman"/>
          <w:sz w:val="32"/>
          <w:szCs w:val="32"/>
          <w:lang w:val="en-US" w:eastAsia="zh-CN"/>
        </w:rPr>
        <w:t>米莱伊</w:t>
      </w:r>
      <w:r>
        <w:rPr>
          <w:rFonts w:hint="eastAsia" w:ascii="Times New Roman" w:hAnsi="Times New Roman" w:cs="Times New Roman"/>
          <w:sz w:val="32"/>
          <w:szCs w:val="32"/>
          <w:lang w:val="en-US" w:eastAsia="zh-CN"/>
        </w:rPr>
        <w:t>承认</w:t>
      </w:r>
      <w:r>
        <w:rPr>
          <w:rFonts w:hint="default" w:ascii="Times New Roman" w:hAnsi="Times New Roman" w:cs="Times New Roman"/>
          <w:sz w:val="32"/>
          <w:szCs w:val="32"/>
          <w:lang w:val="en-US" w:eastAsia="zh-CN"/>
        </w:rPr>
        <w:t>，阿根廷</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还需要一段时间</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才能看到</w:t>
      </w:r>
      <w:r>
        <w:rPr>
          <w:rFonts w:hint="eastAsia" w:ascii="Times New Roman" w:hAnsi="Times New Roman" w:cs="Times New Roman"/>
          <w:sz w:val="32"/>
          <w:szCs w:val="32"/>
          <w:lang w:val="en-US" w:eastAsia="zh-CN"/>
        </w:rPr>
        <w:t>其改</w:t>
      </w:r>
      <w:r>
        <w:rPr>
          <w:rFonts w:hint="default" w:ascii="Times New Roman" w:hAnsi="Times New Roman" w:cs="Times New Roman"/>
          <w:sz w:val="32"/>
          <w:szCs w:val="32"/>
          <w:lang w:val="en-US" w:eastAsia="zh-CN"/>
        </w:rPr>
        <w:t>革所带来的好处。但现在</w:t>
      </w:r>
      <w:r>
        <w:rPr>
          <w:rFonts w:hint="eastAsia" w:ascii="Times New Roman" w:hAnsi="Times New Roman" w:cs="Times New Roman"/>
          <w:sz w:val="32"/>
          <w:szCs w:val="32"/>
          <w:lang w:val="en-US" w:eastAsia="zh-CN"/>
        </w:rPr>
        <w:t>已</w:t>
      </w:r>
      <w:r>
        <w:rPr>
          <w:rFonts w:hint="default" w:ascii="Times New Roman" w:hAnsi="Times New Roman" w:cs="Times New Roman"/>
          <w:sz w:val="32"/>
          <w:szCs w:val="32"/>
          <w:lang w:val="en-US" w:eastAsia="zh-CN"/>
        </w:rPr>
        <w:t>有57.4%的阿根廷人生活在贫困线以下，</w:t>
      </w:r>
      <w:r>
        <w:rPr>
          <w:rFonts w:hint="eastAsia" w:ascii="Times New Roman" w:hAnsi="Times New Roman" w:cs="Times New Roman"/>
          <w:sz w:val="32"/>
          <w:szCs w:val="32"/>
          <w:lang w:val="en-US" w:eastAsia="zh-CN"/>
        </w:rPr>
        <w:t>比例为</w:t>
      </w:r>
      <w:r>
        <w:rPr>
          <w:rFonts w:hint="default" w:ascii="Times New Roman" w:hAnsi="Times New Roman" w:cs="Times New Roman"/>
          <w:sz w:val="32"/>
          <w:szCs w:val="32"/>
          <w:lang w:val="en-US" w:eastAsia="zh-CN"/>
        </w:rPr>
        <w:t>二十年来最高</w:t>
      </w:r>
      <w:r>
        <w:rPr>
          <w:rFonts w:hint="eastAsia" w:ascii="Times New Roman" w:hAnsi="Times New Roman" w:cs="Times New Roman"/>
          <w:sz w:val="32"/>
          <w:szCs w:val="32"/>
          <w:lang w:val="en-US" w:eastAsia="zh-CN"/>
        </w:rPr>
        <w:t>。民众的生活压力与日俱增，阿根廷经济进入了相当艰难的时刻。</w:t>
      </w:r>
    </w:p>
    <w:p>
      <w:pPr>
        <w:jc w:val="center"/>
        <w:rPr>
          <w:rFonts w:hint="eastAsia" w:ascii="Times New Roman" w:hAnsi="Times New Roman" w:cs="Times New Roman"/>
          <w:sz w:val="32"/>
          <w:szCs w:val="32"/>
          <w:lang w:val="en-US" w:eastAsia="zh-CN"/>
        </w:rPr>
      </w:pPr>
      <w:r>
        <w:drawing>
          <wp:inline distT="0" distB="0" distL="114300" distR="114300">
            <wp:extent cx="2973070" cy="1672590"/>
            <wp:effectExtent l="0" t="0" r="17780" b="381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7"/>
                    <a:stretch>
                      <a:fillRect/>
                    </a:stretch>
                  </pic:blipFill>
                  <pic:spPr>
                    <a:xfrm>
                      <a:off x="0" y="0"/>
                      <a:ext cx="2973070" cy="1672590"/>
                    </a:xfrm>
                    <a:prstGeom prst="rect">
                      <a:avLst/>
                    </a:prstGeom>
                    <a:noFill/>
                    <a:ln>
                      <a:noFill/>
                    </a:ln>
                  </pic:spPr>
                </pic:pic>
              </a:graphicData>
            </a:graphic>
          </wp:inline>
        </w:drawing>
      </w:r>
    </w:p>
    <w:p>
      <w:pPr>
        <w:ind w:left="0" w:leftChars="0" w:firstLine="0" w:firstLineChars="0"/>
        <w:jc w:val="left"/>
        <w:rPr>
          <w:rFonts w:hint="eastAsia" w:ascii="Times New Roman" w:hAnsi="Times New Roman" w:eastAsia="方正小标宋_GBK" w:cs="Times New Roman"/>
          <w:b/>
          <w:bCs/>
          <w:color w:val="FF0000"/>
          <w:sz w:val="32"/>
          <w:szCs w:val="40"/>
          <w:highlight w:val="yellow"/>
          <w:lang w:val="en-US" w:eastAsia="zh-CN"/>
        </w:rPr>
      </w:pPr>
    </w:p>
    <w:p>
      <w:pPr>
        <w:ind w:left="0" w:leftChars="0" w:firstLine="0" w:firstLineChars="0"/>
        <w:jc w:val="left"/>
        <w:rPr>
          <w:rFonts w:hint="default" w:ascii="Calibri" w:hAnsi="Calibri" w:eastAsia="宋体" w:cs="Calibri"/>
          <w:b/>
          <w:bCs/>
          <w:color w:val="0000FF"/>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13</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三</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美国通胀情况未见缓解，服务业价格推升是主因</w:t>
      </w:r>
    </w:p>
    <w:p>
      <w:pPr>
        <w:ind w:firstLine="608" w:firstLineChars="200"/>
        <w:rPr>
          <w:rFonts w:hint="eastAsia" w:ascii="Times New Roman" w:hAnsi="Times New Roman" w:cs="Times New Roman"/>
          <w:sz w:val="32"/>
          <w:szCs w:val="32"/>
          <w:lang w:val="en-US" w:eastAsia="zh-CN"/>
        </w:rPr>
      </w:pP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月</w:t>
      </w:r>
      <w:r>
        <w:rPr>
          <w:rFonts w:hint="default" w:ascii="Times New Roman" w:hAnsi="Times New Roman" w:cs="Times New Roman"/>
          <w:sz w:val="32"/>
          <w:szCs w:val="32"/>
          <w:lang w:val="en-US" w:eastAsia="zh-CN"/>
        </w:rPr>
        <w:t>12</w:t>
      </w:r>
      <w:r>
        <w:rPr>
          <w:rFonts w:hint="eastAsia" w:ascii="Times New Roman" w:hAnsi="Times New Roman" w:cs="Times New Roman"/>
          <w:sz w:val="32"/>
          <w:szCs w:val="32"/>
          <w:lang w:val="en-US" w:eastAsia="zh-CN"/>
        </w:rPr>
        <w:t>日（周二），美国劳工统计局公布通胀数据（见下表）。截至2月底，美国</w:t>
      </w:r>
      <w:r>
        <w:rPr>
          <w:rFonts w:hint="default" w:ascii="Times New Roman" w:hAnsi="Times New Roman" w:cs="Times New Roman"/>
          <w:sz w:val="32"/>
          <w:szCs w:val="32"/>
          <w:lang w:val="en-US" w:eastAsia="zh-CN"/>
        </w:rPr>
        <w:t>CPI</w:t>
      </w:r>
      <w:r>
        <w:rPr>
          <w:rFonts w:hint="eastAsia" w:ascii="Times New Roman" w:hAnsi="Times New Roman" w:cs="Times New Roman"/>
          <w:sz w:val="32"/>
          <w:szCs w:val="32"/>
          <w:lang w:val="en-US" w:eastAsia="zh-CN"/>
        </w:rPr>
        <w:t>同比上涨3.2%，高于1月份的3.1%。（不包括能源和食品的）核心</w:t>
      </w:r>
      <w:r>
        <w:rPr>
          <w:rFonts w:hint="default" w:ascii="Times New Roman" w:hAnsi="Times New Roman" w:cs="Times New Roman"/>
          <w:sz w:val="32"/>
          <w:szCs w:val="32"/>
          <w:lang w:val="en-US" w:eastAsia="zh-CN"/>
        </w:rPr>
        <w:t>CPI</w:t>
      </w:r>
      <w:r>
        <w:rPr>
          <w:rFonts w:hint="eastAsia" w:ascii="Times New Roman" w:hAnsi="Times New Roman" w:cs="Times New Roman"/>
          <w:sz w:val="32"/>
          <w:szCs w:val="32"/>
          <w:lang w:val="en-US" w:eastAsia="zh-CN"/>
        </w:rPr>
        <w:t>，2月份环比增长0.4%，该指标已经连续两个月超出预期。</w:t>
      </w:r>
    </w:p>
    <w:p>
      <w:pPr>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inline distT="0" distB="0" distL="114300" distR="114300">
            <wp:extent cx="5610225" cy="1255395"/>
            <wp:effectExtent l="0" t="0" r="9525" b="1905"/>
            <wp:docPr id="22" name="图片 22" descr="微信截图_2024031410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截图_20240314104127"/>
                    <pic:cNvPicPr>
                      <a:picLocks noChangeAspect="1"/>
                    </pic:cNvPicPr>
                  </pic:nvPicPr>
                  <pic:blipFill>
                    <a:blip r:embed="rId18"/>
                    <a:stretch>
                      <a:fillRect/>
                    </a:stretch>
                  </pic:blipFill>
                  <pic:spPr>
                    <a:xfrm>
                      <a:off x="0" y="0"/>
                      <a:ext cx="5610225" cy="1255395"/>
                    </a:xfrm>
                    <a:prstGeom prst="rect">
                      <a:avLst/>
                    </a:prstGeom>
                  </pic:spPr>
                </pic:pic>
              </a:graphicData>
            </a:graphic>
          </wp:inline>
        </w:drawing>
      </w:r>
    </w:p>
    <w:p>
      <w:pPr>
        <w:ind w:firstLine="608" w:firstLineChars="200"/>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数据显示，物价中商品价格的变化趋于平缓，同比下滑</w:t>
      </w:r>
      <w:r>
        <w:rPr>
          <w:rFonts w:hint="default" w:ascii="Times New Roman" w:hAnsi="Times New Roman" w:cs="Times New Roman"/>
          <w:sz w:val="32"/>
          <w:szCs w:val="32"/>
          <w:lang w:val="en-US" w:eastAsia="zh-CN"/>
        </w:rPr>
        <w:t>0.3%</w:t>
      </w:r>
      <w:r>
        <w:rPr>
          <w:rFonts w:hint="eastAsia" w:ascii="Times New Roman" w:hAnsi="Times New Roman" w:cs="Times New Roman"/>
          <w:sz w:val="32"/>
          <w:szCs w:val="32"/>
          <w:lang w:val="en-US" w:eastAsia="zh-CN"/>
        </w:rPr>
        <w:t>；服务业价格仍居高不下，同比大幅增长</w:t>
      </w:r>
      <w:r>
        <w:rPr>
          <w:rFonts w:hint="default" w:ascii="Times New Roman" w:hAnsi="Times New Roman" w:cs="Times New Roman"/>
          <w:sz w:val="32"/>
          <w:szCs w:val="32"/>
          <w:lang w:val="en-US" w:eastAsia="zh-CN"/>
        </w:rPr>
        <w:t>5.2%</w:t>
      </w:r>
      <w:r>
        <w:rPr>
          <w:rFonts w:hint="eastAsia" w:ascii="Times New Roman" w:hAnsi="Times New Roman" w:cs="Times New Roman"/>
          <w:sz w:val="32"/>
          <w:szCs w:val="32"/>
          <w:lang w:val="en-US" w:eastAsia="zh-CN"/>
        </w:rPr>
        <w:t>。从核心</w:t>
      </w:r>
      <w:r>
        <w:rPr>
          <w:rFonts w:hint="default" w:ascii="Times New Roman" w:hAnsi="Times New Roman" w:cs="Times New Roman"/>
          <w:sz w:val="32"/>
          <w:szCs w:val="32"/>
          <w:lang w:val="en-US" w:eastAsia="zh-CN"/>
        </w:rPr>
        <w:t>CPI</w:t>
      </w:r>
      <w:r>
        <w:rPr>
          <w:rFonts w:hint="eastAsia" w:ascii="Times New Roman" w:hAnsi="Times New Roman" w:cs="Times New Roman"/>
          <w:sz w:val="32"/>
          <w:szCs w:val="32"/>
          <w:lang w:val="en-US" w:eastAsia="zh-CN"/>
        </w:rPr>
        <w:t>中剔除住房成本，即得到所谓的“超级核心通胀”，这是一个纯粹的服务价格指数，该指标环比上涨</w:t>
      </w:r>
      <w:r>
        <w:rPr>
          <w:rFonts w:hint="default" w:ascii="Times New Roman" w:hAnsi="Times New Roman" w:cs="Times New Roman"/>
          <w:sz w:val="32"/>
          <w:szCs w:val="32"/>
          <w:lang w:val="en-US" w:eastAsia="zh-CN"/>
        </w:rPr>
        <w:t>0.5%</w:t>
      </w:r>
      <w:r>
        <w:rPr>
          <w:rFonts w:hint="eastAsia" w:ascii="Times New Roman" w:hAnsi="Times New Roman" w:cs="Times New Roman"/>
          <w:sz w:val="32"/>
          <w:szCs w:val="32"/>
          <w:lang w:val="en-US" w:eastAsia="zh-CN"/>
        </w:rPr>
        <w:t>，同比增幅高达</w:t>
      </w:r>
      <w:r>
        <w:rPr>
          <w:rFonts w:hint="default" w:ascii="Times New Roman" w:hAnsi="Times New Roman" w:cs="Times New Roman"/>
          <w:sz w:val="32"/>
          <w:szCs w:val="32"/>
          <w:lang w:val="en-US" w:eastAsia="zh-CN"/>
        </w:rPr>
        <w:t>4.5%</w:t>
      </w:r>
      <w:r>
        <w:rPr>
          <w:rFonts w:hint="eastAsia" w:ascii="Times New Roman" w:hAnsi="Times New Roman" w:cs="Times New Roman"/>
          <w:sz w:val="32"/>
          <w:szCs w:val="32"/>
          <w:lang w:val="en-US" w:eastAsia="zh-CN"/>
        </w:rPr>
        <w:t>，创</w:t>
      </w:r>
      <w:r>
        <w:rPr>
          <w:rFonts w:hint="default" w:ascii="Times New Roman" w:hAnsi="Times New Roman" w:cs="Times New Roman"/>
          <w:sz w:val="32"/>
          <w:szCs w:val="32"/>
          <w:lang w:val="en-US" w:eastAsia="zh-CN"/>
        </w:rPr>
        <w:t>2023</w:t>
      </w:r>
      <w:r>
        <w:rPr>
          <w:rFonts w:hint="eastAsia" w:ascii="Times New Roman" w:hAnsi="Times New Roman" w:cs="Times New Roman"/>
          <w:sz w:val="32"/>
          <w:szCs w:val="32"/>
          <w:lang w:val="en-US" w:eastAsia="zh-CN"/>
        </w:rPr>
        <w:t>年</w:t>
      </w:r>
      <w:r>
        <w:rPr>
          <w:rFonts w:hint="default" w:ascii="Times New Roman" w:hAnsi="Times New Roman" w:cs="Times New Roman"/>
          <w:sz w:val="32"/>
          <w:szCs w:val="32"/>
          <w:lang w:val="en-US" w:eastAsia="zh-CN"/>
        </w:rPr>
        <w:t>5</w:t>
      </w:r>
      <w:r>
        <w:rPr>
          <w:rFonts w:hint="eastAsia" w:ascii="Times New Roman" w:hAnsi="Times New Roman" w:cs="Times New Roman"/>
          <w:sz w:val="32"/>
          <w:szCs w:val="32"/>
          <w:lang w:val="en-US" w:eastAsia="zh-CN"/>
        </w:rPr>
        <w:t>月以来的最大增长。</w:t>
      </w:r>
    </w:p>
    <w:p>
      <w:pPr>
        <w:ind w:firstLine="608" w:firstLineChars="200"/>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上述数据将为下周召开的美联储议息会议提供决策依据。目前，利率互换市场对美联储降息预期变化不大，6月降息的概率仍维持在72%不变。</w:t>
      </w:r>
    </w:p>
    <w:p>
      <w:pPr>
        <w:ind w:firstLine="608" w:firstLineChars="200"/>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同日，美国财政部标售了390亿美元的</w:t>
      </w:r>
      <w:r>
        <w:rPr>
          <w:rFonts w:hint="default" w:ascii="Times New Roman" w:hAnsi="Times New Roman" w:cs="Times New Roman"/>
          <w:sz w:val="32"/>
          <w:szCs w:val="32"/>
          <w:lang w:val="en-US" w:eastAsia="zh-CN"/>
        </w:rPr>
        <w:t>10</w:t>
      </w:r>
      <w:r>
        <w:rPr>
          <w:rFonts w:hint="eastAsia" w:ascii="Times New Roman" w:hAnsi="Times New Roman" w:cs="Times New Roman"/>
          <w:sz w:val="32"/>
          <w:szCs w:val="32"/>
          <w:lang w:val="en-US" w:eastAsia="zh-CN"/>
        </w:rPr>
        <w:t>年期美债。拍卖结果显示需求疲软，致使10年期美债收益率大幅上涨。若市场担忧未来美债海量供应引发的冲击，其收益率将持续走高。</w:t>
      </w:r>
      <w:r>
        <w:rPr>
          <w:rFonts w:hint="default" w:ascii="Times New Roman" w:hAnsi="Times New Roman" w:cs="Times New Roman"/>
          <w:sz w:val="32"/>
          <w:szCs w:val="32"/>
          <w:lang w:val="en-US" w:eastAsia="zh-CN"/>
        </w:rPr>
        <w:t>10</w:t>
      </w:r>
      <w:r>
        <w:rPr>
          <w:rFonts w:hint="eastAsia" w:ascii="Times New Roman" w:hAnsi="Times New Roman" w:cs="Times New Roman"/>
          <w:sz w:val="32"/>
          <w:szCs w:val="32"/>
          <w:lang w:val="en-US" w:eastAsia="zh-CN"/>
        </w:rPr>
        <w:t>年期美债收益率走高，一方面会给美股市场造成压力，另一方面有利于解除长短期限国债收益率倒挂的窘境。</w:t>
      </w:r>
    </w:p>
    <w:p>
      <w:pPr>
        <w:ind w:firstLine="608" w:firstLineChars="200"/>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同日，欧盟统计局也公布了德国</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月份</w:t>
      </w:r>
      <w:r>
        <w:rPr>
          <w:rFonts w:hint="default" w:ascii="Times New Roman" w:hAnsi="Times New Roman" w:cs="Times New Roman"/>
          <w:sz w:val="32"/>
          <w:szCs w:val="32"/>
          <w:lang w:val="en-US" w:eastAsia="zh-CN"/>
        </w:rPr>
        <w:t>CPI</w:t>
      </w:r>
      <w:r>
        <w:rPr>
          <w:rFonts w:hint="eastAsia" w:ascii="Times New Roman" w:hAnsi="Times New Roman" w:cs="Times New Roman"/>
          <w:sz w:val="32"/>
          <w:szCs w:val="32"/>
          <w:lang w:val="en-US" w:eastAsia="zh-CN"/>
        </w:rPr>
        <w:t>数据（见下表）。相比美国，德国通货膨胀程度较轻，但这是以经济衰退为代价的，市场普遍预测，欧洲央行将于</w:t>
      </w:r>
      <w:r>
        <w:rPr>
          <w:rFonts w:hint="default" w:ascii="Times New Roman" w:hAnsi="Times New Roman" w:cs="Times New Roman"/>
          <w:sz w:val="32"/>
          <w:szCs w:val="32"/>
          <w:lang w:val="en-US" w:eastAsia="zh-CN"/>
        </w:rPr>
        <w:t>6</w:t>
      </w:r>
      <w:r>
        <w:rPr>
          <w:rFonts w:hint="eastAsia" w:ascii="Times New Roman" w:hAnsi="Times New Roman" w:cs="Times New Roman"/>
          <w:sz w:val="32"/>
          <w:szCs w:val="32"/>
          <w:lang w:val="en-US" w:eastAsia="zh-CN"/>
        </w:rPr>
        <w:t>月底降息。</w:t>
      </w:r>
    </w:p>
    <w:p>
      <w:pPr>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inline distT="0" distB="0" distL="114300" distR="114300">
            <wp:extent cx="5610225" cy="1263650"/>
            <wp:effectExtent l="0" t="0" r="9525" b="12700"/>
            <wp:docPr id="23" name="图片 23" descr="微信截图_20240314104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截图_20240314104243"/>
                    <pic:cNvPicPr>
                      <a:picLocks noChangeAspect="1"/>
                    </pic:cNvPicPr>
                  </pic:nvPicPr>
                  <pic:blipFill>
                    <a:blip r:embed="rId19"/>
                    <a:stretch>
                      <a:fillRect/>
                    </a:stretch>
                  </pic:blipFill>
                  <pic:spPr>
                    <a:xfrm>
                      <a:off x="0" y="0"/>
                      <a:ext cx="5610225" cy="12636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0" w:lineRule="exact"/>
        <w:ind w:firstLine="528" w:firstLineChars="200"/>
        <w:textAlignment w:val="auto"/>
        <w:outlineLvl w:val="9"/>
        <w:rPr>
          <w:rFonts w:hint="eastAsia" w:ascii="方正楷体_GBK" w:hAnsi="方正楷体_GBK" w:eastAsia="方正楷体_GBK" w:cs="方正楷体_GBK"/>
          <w:sz w:val="28"/>
          <w:szCs w:val="28"/>
          <w:lang w:eastAsia="zh-CN"/>
        </w:rPr>
      </w:pPr>
      <w:r>
        <w:rPr>
          <w:rFonts w:hint="eastAsia" w:ascii="方正楷体_GBK" w:hAnsi="方正楷体_GBK" w:eastAsia="方正楷体_GBK" w:cs="方正楷体_GBK"/>
          <w:b/>
          <w:bCs/>
          <w:sz w:val="28"/>
          <w:szCs w:val="28"/>
          <w:lang w:eastAsia="zh-CN"/>
        </w:rPr>
        <w:t>（</w:t>
      </w:r>
      <w:r>
        <w:rPr>
          <w:rFonts w:hint="eastAsia" w:ascii="方正黑体_GBK" w:hAnsi="方正黑体_GBK" w:eastAsia="方正黑体_GBK" w:cs="方正黑体_GBK"/>
          <w:b/>
          <w:bCs/>
          <w:sz w:val="28"/>
          <w:szCs w:val="28"/>
          <w:highlight w:val="none"/>
          <w:lang w:eastAsia="zh-CN"/>
        </w:rPr>
        <w:t>注：</w:t>
      </w:r>
      <w:r>
        <w:rPr>
          <w:rFonts w:hint="eastAsia" w:ascii="方正楷体_GBK" w:hAnsi="方正楷体_GBK" w:eastAsia="方正楷体_GBK" w:cs="方正楷体_GBK"/>
          <w:b/>
          <w:bCs/>
          <w:sz w:val="28"/>
          <w:szCs w:val="28"/>
          <w:lang w:eastAsia="zh-CN"/>
        </w:rPr>
        <w:t>调和CPI</w:t>
      </w:r>
      <w:r>
        <w:rPr>
          <w:rFonts w:hint="eastAsia" w:ascii="方正楷体_GBK" w:hAnsi="方正楷体_GBK" w:eastAsia="方正楷体_GBK" w:cs="方正楷体_GBK"/>
          <w:sz w:val="28"/>
          <w:szCs w:val="28"/>
          <w:lang w:eastAsia="zh-CN"/>
        </w:rPr>
        <w:t>是适用于欧洲联盟成员国的统一通胀指标，旨在提供跨国比较和协调。它与普通CPI在构成和计算方法上有一些差异。主要区别如下：</w:t>
      </w:r>
    </w:p>
    <w:p>
      <w:pPr>
        <w:keepNext w:val="0"/>
        <w:keepLines w:val="0"/>
        <w:pageBreakBefore w:val="0"/>
        <w:widowControl w:val="0"/>
        <w:kinsoku/>
        <w:wordWrap/>
        <w:overflowPunct/>
        <w:topLinePunct w:val="0"/>
        <w:autoSpaceDE/>
        <w:autoSpaceDN/>
        <w:bidi w:val="0"/>
        <w:adjustRightInd/>
        <w:snapToGrid w:val="0"/>
        <w:spacing w:line="400" w:lineRule="exact"/>
        <w:ind w:firstLine="528" w:firstLineChars="200"/>
        <w:textAlignment w:val="auto"/>
        <w:outlineLvl w:val="9"/>
        <w:rPr>
          <w:rFonts w:hint="eastAsia" w:ascii="方正楷体_GBK" w:hAnsi="方正楷体_GBK" w:eastAsia="方正楷体_GBK" w:cs="方正楷体_GBK"/>
          <w:sz w:val="28"/>
          <w:szCs w:val="28"/>
          <w:lang w:eastAsia="zh-CN"/>
        </w:rPr>
      </w:pPr>
      <w:r>
        <w:rPr>
          <w:rFonts w:hint="eastAsia" w:ascii="方正楷体_GBK" w:hAnsi="方正楷体_GBK" w:eastAsia="方正楷体_GBK" w:cs="方正楷体_GBK"/>
          <w:sz w:val="28"/>
          <w:szCs w:val="28"/>
          <w:lang w:val="en-US" w:eastAsia="zh-CN"/>
        </w:rPr>
        <w:t xml:space="preserve">1. </w:t>
      </w:r>
      <w:r>
        <w:rPr>
          <w:rFonts w:hint="eastAsia" w:ascii="方正楷体_GBK" w:hAnsi="方正楷体_GBK" w:eastAsia="方正楷体_GBK" w:cs="方正楷体_GBK"/>
          <w:sz w:val="28"/>
          <w:szCs w:val="28"/>
          <w:lang w:eastAsia="zh-CN"/>
        </w:rPr>
        <w:t>调和CPI考虑了更广泛的消费品和服务，以便更好地反映国际比较和跨国消费模式。它还对各个国家的CPI进行了调整和标准化，以确保可比性。</w:t>
      </w:r>
    </w:p>
    <w:p>
      <w:pPr>
        <w:keepNext w:val="0"/>
        <w:keepLines w:val="0"/>
        <w:pageBreakBefore w:val="0"/>
        <w:widowControl w:val="0"/>
        <w:kinsoku/>
        <w:wordWrap/>
        <w:overflowPunct/>
        <w:topLinePunct w:val="0"/>
        <w:autoSpaceDE/>
        <w:autoSpaceDN/>
        <w:bidi w:val="0"/>
        <w:adjustRightInd/>
        <w:snapToGrid w:val="0"/>
        <w:spacing w:line="400" w:lineRule="exact"/>
        <w:ind w:firstLine="528" w:firstLineChars="200"/>
        <w:textAlignment w:val="auto"/>
        <w:outlineLvl w:val="9"/>
        <w:rPr>
          <w:rFonts w:hint="eastAsia" w:ascii="方正楷体_GBK" w:hAnsi="方正楷体_GBK" w:eastAsia="方正楷体_GBK" w:cs="方正楷体_GBK"/>
          <w:sz w:val="28"/>
          <w:szCs w:val="28"/>
          <w:lang w:eastAsia="zh-CN"/>
        </w:rPr>
      </w:pPr>
      <w:r>
        <w:rPr>
          <w:rFonts w:hint="eastAsia" w:ascii="方正楷体_GBK" w:hAnsi="方正楷体_GBK" w:eastAsia="方正楷体_GBK" w:cs="方正楷体_GBK"/>
          <w:sz w:val="28"/>
          <w:szCs w:val="28"/>
          <w:lang w:val="en-US" w:eastAsia="zh-CN"/>
        </w:rPr>
        <w:t xml:space="preserve">2. </w:t>
      </w:r>
      <w:r>
        <w:rPr>
          <w:rFonts w:hint="eastAsia" w:ascii="方正楷体_GBK" w:hAnsi="方正楷体_GBK" w:eastAsia="方正楷体_GBK" w:cs="方正楷体_GBK"/>
          <w:sz w:val="28"/>
          <w:szCs w:val="28"/>
          <w:lang w:eastAsia="zh-CN"/>
        </w:rPr>
        <w:t>加权方法：调和CPI使用了权重系数，以考虑各个国家的不同消费习惯和结构。这使得指数更准确地反映各个国家的整体通胀情况。</w:t>
      </w:r>
    </w:p>
    <w:p>
      <w:pPr>
        <w:keepNext w:val="0"/>
        <w:keepLines w:val="0"/>
        <w:pageBreakBefore w:val="0"/>
        <w:widowControl w:val="0"/>
        <w:kinsoku/>
        <w:wordWrap/>
        <w:overflowPunct/>
        <w:topLinePunct w:val="0"/>
        <w:autoSpaceDE/>
        <w:autoSpaceDN/>
        <w:bidi w:val="0"/>
        <w:adjustRightInd/>
        <w:snapToGrid w:val="0"/>
        <w:spacing w:line="400" w:lineRule="exact"/>
        <w:ind w:firstLine="528" w:firstLineChars="200"/>
        <w:textAlignment w:val="auto"/>
        <w:outlineLvl w:val="9"/>
        <w:rPr>
          <w:rFonts w:hint="eastAsia" w:ascii="方正楷体_GBK" w:hAnsi="方正楷体_GBK" w:eastAsia="方正楷体_GBK" w:cs="方正楷体_GBK"/>
          <w:sz w:val="28"/>
          <w:szCs w:val="28"/>
          <w:lang w:eastAsia="zh-CN"/>
        </w:rPr>
      </w:pPr>
      <w:r>
        <w:rPr>
          <w:rFonts w:hint="eastAsia" w:ascii="方正楷体_GBK" w:hAnsi="方正楷体_GBK" w:eastAsia="方正楷体_GBK" w:cs="方正楷体_GBK"/>
          <w:sz w:val="28"/>
          <w:szCs w:val="28"/>
          <w:lang w:eastAsia="zh-CN"/>
        </w:rPr>
        <w:t>即，与普通的CPI相比，调和CPI考虑了更广泛的消费品和服务，使用了权重系数，并且经过调整和标准化，以确保可比性。因此，无论是观察整体欧盟或欧元区的通货膨胀率，还是比较欧盟或欧元区内部的国家的通货膨胀情况，通常使用的指标都是调和</w:t>
      </w:r>
      <w:r>
        <w:rPr>
          <w:rFonts w:hint="eastAsia" w:ascii="方正楷体_GBK" w:hAnsi="方正楷体_GBK" w:eastAsia="方正楷体_GBK" w:cs="方正楷体_GBK"/>
          <w:sz w:val="28"/>
          <w:szCs w:val="28"/>
          <w:lang w:val="en-US" w:eastAsia="zh-CN"/>
        </w:rPr>
        <w:t>CPI，</w:t>
      </w:r>
      <w:r>
        <w:rPr>
          <w:rFonts w:hint="eastAsia" w:ascii="方正楷体_GBK" w:hAnsi="方正楷体_GBK" w:eastAsia="方正楷体_GBK" w:cs="方正楷体_GBK"/>
          <w:sz w:val="28"/>
          <w:szCs w:val="28"/>
          <w:lang w:eastAsia="zh-CN"/>
        </w:rPr>
        <w:t>以提供统一、可比的通货膨胀数据。）</w:t>
      </w:r>
    </w:p>
    <w:p>
      <w:pPr>
        <w:ind w:left="0" w:leftChars="0" w:firstLine="0" w:firstLineChars="0"/>
        <w:jc w:val="left"/>
        <w:rPr>
          <w:rFonts w:hint="eastAsia" w:ascii="Times New Roman" w:hAnsi="Times New Roman" w:eastAsia="方正小标宋_GBK" w:cs="Times New Roman"/>
          <w:b/>
          <w:bCs/>
          <w:color w:val="FF0000"/>
          <w:sz w:val="32"/>
          <w:szCs w:val="40"/>
          <w:highlight w:val="yellow"/>
          <w:lang w:val="en-US" w:eastAsia="zh-CN"/>
        </w:rPr>
      </w:pPr>
    </w:p>
    <w:p>
      <w:pPr>
        <w:ind w:left="0" w:leftChars="0" w:firstLine="0" w:firstLineChars="0"/>
        <w:jc w:val="left"/>
        <w:rPr>
          <w:rFonts w:hint="default" w:ascii="Calibri" w:hAnsi="Calibri" w:eastAsia="宋体" w:cs="Calibri"/>
          <w:b/>
          <w:bCs/>
          <w:color w:val="0000FF"/>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14</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四</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美国的利率走向，</w:t>
      </w:r>
      <w:r>
        <w:rPr>
          <w:rFonts w:hint="default" w:ascii="Times New Roman" w:hAnsi="Times New Roman" w:eastAsia="方正小标宋_GBK" w:cs="Times New Roman"/>
          <w:b/>
          <w:bCs/>
          <w:color w:val="0000FF"/>
          <w:sz w:val="36"/>
          <w:szCs w:val="44"/>
          <w:highlight w:val="yellow"/>
          <w:lang w:val="en-US" w:eastAsia="zh-CN"/>
        </w:rPr>
        <w:t>10</w:t>
      </w:r>
      <w:r>
        <w:rPr>
          <w:rFonts w:hint="eastAsia" w:ascii="Times New Roman" w:hAnsi="Times New Roman" w:eastAsia="方正小标宋_GBK" w:cs="Times New Roman"/>
          <w:b/>
          <w:bCs/>
          <w:color w:val="0000FF"/>
          <w:sz w:val="36"/>
          <w:szCs w:val="44"/>
          <w:highlight w:val="yellow"/>
          <w:lang w:val="en-US" w:eastAsia="zh-CN"/>
        </w:rPr>
        <w:t>年期美债收益率</w:t>
      </w:r>
    </w:p>
    <w:p>
      <w:pPr>
        <w:ind w:firstLine="608" w:firstLineChars="200"/>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近日，前任美联储主席、现任美国财政部长珍妮特·耶伦说，利率“不太可能”回到新冠疫情前的低水平。2010年至2020年间，</w:t>
      </w:r>
      <w:r>
        <w:rPr>
          <w:rFonts w:hint="default" w:ascii="Times New Roman" w:hAnsi="Times New Roman" w:cs="Times New Roman"/>
          <w:sz w:val="32"/>
          <w:szCs w:val="32"/>
          <w:lang w:val="en-US" w:eastAsia="zh-CN"/>
        </w:rPr>
        <w:t>10</w:t>
      </w:r>
      <w:r>
        <w:rPr>
          <w:rFonts w:hint="eastAsia" w:ascii="Times New Roman" w:hAnsi="Times New Roman" w:cs="Times New Roman"/>
          <w:sz w:val="32"/>
          <w:szCs w:val="32"/>
          <w:lang w:val="en-US" w:eastAsia="zh-CN"/>
        </w:rPr>
        <w:t>年期美国国债的平均收益率为2.4%；</w:t>
      </w:r>
      <w:r>
        <w:rPr>
          <w:rFonts w:hint="default" w:ascii="Times New Roman" w:hAnsi="Times New Roman" w:cs="Times New Roman"/>
          <w:sz w:val="32"/>
          <w:szCs w:val="32"/>
          <w:lang w:val="en-US" w:eastAsia="zh-CN"/>
        </w:rPr>
        <w:t>2022</w:t>
      </w:r>
      <w:r>
        <w:rPr>
          <w:rFonts w:hint="eastAsia" w:ascii="Times New Roman" w:hAnsi="Times New Roman" w:cs="Times New Roman"/>
          <w:sz w:val="32"/>
          <w:szCs w:val="32"/>
          <w:lang w:val="en-US" w:eastAsia="zh-CN"/>
        </w:rPr>
        <w:t>年年初美联储开始升息，</w:t>
      </w:r>
      <w:r>
        <w:rPr>
          <w:rFonts w:hint="default" w:ascii="Times New Roman" w:hAnsi="Times New Roman" w:cs="Times New Roman"/>
          <w:sz w:val="32"/>
          <w:szCs w:val="32"/>
          <w:lang w:val="en-US" w:eastAsia="zh-CN"/>
        </w:rPr>
        <w:t>10</w:t>
      </w:r>
      <w:r>
        <w:rPr>
          <w:rFonts w:hint="eastAsia" w:ascii="Times New Roman" w:hAnsi="Times New Roman" w:cs="Times New Roman"/>
          <w:sz w:val="32"/>
          <w:szCs w:val="32"/>
          <w:lang w:val="en-US" w:eastAsia="zh-CN"/>
        </w:rPr>
        <w:t>年期美债收益率也随之走高，去年</w:t>
      </w:r>
      <w:r>
        <w:rPr>
          <w:rFonts w:hint="default" w:ascii="Times New Roman" w:hAnsi="Times New Roman" w:cs="Times New Roman"/>
          <w:sz w:val="32"/>
          <w:szCs w:val="32"/>
          <w:lang w:val="en-US" w:eastAsia="zh-CN"/>
        </w:rPr>
        <w:t>10</w:t>
      </w:r>
      <w:r>
        <w:rPr>
          <w:rFonts w:hint="eastAsia" w:ascii="Times New Roman" w:hAnsi="Times New Roman" w:cs="Times New Roman"/>
          <w:sz w:val="32"/>
          <w:szCs w:val="32"/>
          <w:lang w:val="en-US" w:eastAsia="zh-CN"/>
        </w:rPr>
        <w:t>月曾上探5%，目前为4.2%。</w:t>
      </w:r>
    </w:p>
    <w:p>
      <w:pPr>
        <w:ind w:firstLine="608" w:firstLineChars="200"/>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美债收益率对借款成本和贷款利率有直接影响。银行和其他借款机构通常将美债收益率视为无风险利率之锚，当美债收益率上升时，借款成本也会上升，反之亦然。</w:t>
      </w:r>
    </w:p>
    <w:p>
      <w:pPr>
        <w:ind w:firstLine="608" w:firstLineChars="200"/>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10年期美债收益率，常被用作评估其他金融资产的参考标准。例如，股票、企业债券和房地产等资产的价格，会受到10年期美债收益率变动的影响。美债收益率走高，意味着低风险投资的固定收益走高，从而会使其他投资的吸引力下降。</w:t>
      </w:r>
    </w:p>
    <w:tbl>
      <w:tblPr>
        <w:tblStyle w:val="15"/>
        <w:tblpPr w:leftFromText="180" w:rightFromText="180" w:vertAnchor="text" w:horzAnchor="page" w:tblpX="1632" w:tblpY="30"/>
        <w:tblOverlap w:val="never"/>
        <w:tblW w:w="90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79"/>
        <w:gridCol w:w="39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945" w:hRule="atLeast"/>
        </w:trPr>
        <w:tc>
          <w:tcPr>
            <w:tcW w:w="5079" w:type="dxa"/>
            <w:tcBorders>
              <w:tl2br w:val="nil"/>
              <w:tr2bl w:val="nil"/>
            </w:tcBorders>
            <w:vAlign w:val="top"/>
          </w:tcPr>
          <w:p>
            <w:pPr>
              <w:ind w:firstLine="608" w:firstLineChars="200"/>
              <w:rPr>
                <w:rFonts w:hint="default" w:ascii="Times New Roman" w:hAnsi="Times New Roman" w:cs="Times New Roman"/>
                <w:sz w:val="32"/>
                <w:szCs w:val="32"/>
                <w:vertAlign w:val="baseline"/>
              </w:rPr>
            </w:pPr>
            <w:r>
              <w:rPr>
                <w:rFonts w:hint="eastAsia" w:ascii="Times New Roman" w:hAnsi="Times New Roman" w:cs="Times New Roman"/>
                <w:sz w:val="32"/>
                <w:szCs w:val="32"/>
                <w:lang w:val="en-US" w:eastAsia="zh-CN"/>
              </w:rPr>
              <w:t>总之，10年期美债收益率是一个重要的经济指标，它提供了关于经济前景、借贷成本、投资评估和货币政策的重要信息。目前，长短期限的美债收益率依然处于倒挂状态（见图）。</w:t>
            </w:r>
          </w:p>
        </w:tc>
        <w:tc>
          <w:tcPr>
            <w:tcW w:w="3952" w:type="dxa"/>
            <w:tcBorders>
              <w:tl2br w:val="nil"/>
              <w:tr2bl w:val="nil"/>
            </w:tcBorders>
            <w:vAlign w:val="top"/>
          </w:tcPr>
          <w:p>
            <w:pPr>
              <w:jc w:val="left"/>
              <w:rPr>
                <w:rFonts w:hint="default" w:ascii="Times New Roman" w:hAnsi="Times New Roman" w:cs="Times New Roman"/>
                <w:sz w:val="32"/>
                <w:szCs w:val="32"/>
                <w:vertAlign w:val="baseline"/>
              </w:rPr>
            </w:pPr>
            <w:r>
              <w:drawing>
                <wp:inline distT="0" distB="0" distL="114300" distR="114300">
                  <wp:extent cx="2386965" cy="1665605"/>
                  <wp:effectExtent l="0" t="0" r="1333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0"/>
                          <a:stretch>
                            <a:fillRect/>
                          </a:stretch>
                        </pic:blipFill>
                        <pic:spPr>
                          <a:xfrm>
                            <a:off x="0" y="0"/>
                            <a:ext cx="2386965" cy="1665605"/>
                          </a:xfrm>
                          <a:prstGeom prst="rect">
                            <a:avLst/>
                          </a:prstGeom>
                          <a:noFill/>
                          <a:ln>
                            <a:noFill/>
                          </a:ln>
                        </pic:spPr>
                      </pic:pic>
                    </a:graphicData>
                  </a:graphic>
                </wp:inline>
              </w:drawing>
            </w:r>
          </w:p>
        </w:tc>
      </w:tr>
    </w:tbl>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中国贸促会发展研究部来我会开展</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外贸形势调研工作座谈交流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3</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月</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13</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日下午，我会会长王善华、二级巡视员黄政与到访的中国贸促会发展研究部二级巡视员朱凌燕一行座谈交流。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王善华首先感谢中国贸促会发展研究部长期以来对江苏调查研究工作的关心支持。他简要介绍了今年以来江苏外贸主要情况和我会近年来开展的相关工作。他表示，当前江苏正深入学习贯彻习近平总书记重要讲话精神，聚焦建设具有世界聚合力的双向开放枢纽，推进高水平对外开放，持续打造一流营商环境，塑造开放型经济新优势。今年我会将积极融入中国贸促会“一盘棋”格局，以“贸促服务助企行”和专题调研为抓手，积极助力江苏企业稳外贸拓市场，为巩固外贸基本盘贡献贸促力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朱凌燕感谢我会对中国贸促会外贸形势季度调研工作的支持，介绍了今年相关重点工作和计划，希望继续加强与我会联动，发挥自身优势，助力江苏开放型经济高质量发展。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3</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月</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12</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日，我会在常州开展“贸促服务助企行”宣讲活动，结合中国贸促会发展研究部调研安排，联合常州市贸促会、溧阳市商务局（国际商会）召开外贸企业座谈会，当地</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13</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家外贸企业参加。</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（发展研究部）</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省贸促会领导走访中国外运长江</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有限公司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3月12日下午，省贸促会会长王善华、副会长丛苏峰带队走访江苏省国际商会副会长单位——中国外运长江有限公司，与公司总经理张峰和副总经理许军、李海初进行工作交流。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王善华表示，中国外运长江有限公司是江苏最大的综合性物流企业之一，拥有全方位的“供应链物流 一体化服务”经营平台，在数字化运营方面经验丰富，是区域内智慧物流的引领者。贸促会作为我省对外贸易投资促进的主渠道，将积极搭建平台，充分发挥在贸易投资促进、商事法律服务等方面的资源优势，为企业提供个性化、定制化会员服务。希望双方优势互补，开展多领域、深层次的务实合作，共同为江苏加快建设具有世界聚合力的双向开放枢纽贡献力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丛苏峰建议双方围绕中外对口机构交流、服务贸易型会员企业需求、培训中小物流企业以及党建联动等方面进一步加强合作。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default" w:ascii="Times New Roman" w:hAnsi="Times New Roman" w:cs="Times New Roman" w:eastAsiaTheme="minorEastAsia"/>
          <w:color w:val="auto"/>
          <w:spacing w:val="0"/>
          <w:kern w:val="2"/>
          <w:sz w:val="32"/>
          <w:szCs w:val="32"/>
          <w:lang w:val="en-US" w:eastAsia="zh-CN" w:bidi="ar-SA"/>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张峰对省贸促会一直以来的关心和支持表示感谢，并详细介绍公司基本情况及业务优势。他表示，省贸促会（国际商会）专业优势突出、企业资源丰富，中国外运长江有限公司将积极融入全省国际商会建设，希望省贸促会在助力企业发展、商事法律服务尤其是海事仲裁方面提供更大支持。</w:t>
      </w:r>
      <w:r>
        <w:rPr>
          <w:rFonts w:hint="eastAsia" w:ascii="Times New Roman" w:hAnsi="Times New Roman" w:cs="Times New Roman"/>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（国际商会秘书处）</w:t>
      </w: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“贸促服务助企行”无锡宣讲会举行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08" w:firstLineChars="200"/>
        <w:textAlignment w:val="auto"/>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3月7日，由省贸促会主办、无锡市贸促会（无锡国际商会）和中国信保江苏分公司无锡营业部承办的“贸促服务助企行”宣讲会在无锡举行。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08" w:firstLineChars="200"/>
        <w:textAlignment w:val="auto"/>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省贸促会以“全球经贸形势与宏观经济”为题，详细分析进出口、全省外贸发展、金融资本等方面的变化对国际经贸形势的影响，重点剖析“气候变化”和“双碳目标”下的新兴产业机遇，讲解国际贸易风险防范与化解。中国信保江苏分公司无锡营业部介绍中国信保基本情况和“一带一路”政策执行情况、服务共建“一带一路”情况，就企业“走出去”信保融资作专业指导。</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08"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无锡国际商会理事会成员单位及会员企业代表、重点外贸企业负责人等130余人参会。</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（无锡市贸促会）</w:t>
      </w: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default"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发挥贸促优势 积极助企出海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08" w:firstLineChars="200"/>
        <w:textAlignment w:val="auto"/>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3</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月</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7日，在泰州市贸促会的协调下，爱尔兰投资局上海办公室与</w:t>
      </w:r>
      <w:r>
        <w:rPr>
          <w:rFonts w:hint="eastAsia" w:ascii="Times New Roman" w:hAnsi="Times New Roman" w:cstheme="minorEastAsia"/>
          <w:i w:val="0"/>
          <w:caps w:val="0"/>
          <w:color w:val="333333"/>
          <w:spacing w:val="0"/>
          <w:kern w:val="0"/>
          <w:sz w:val="32"/>
          <w:szCs w:val="32"/>
          <w:shd w:val="clear" w:fill="FFFFFF"/>
          <w:lang w:val="en-US" w:eastAsia="zh-CN" w:bidi="ar"/>
        </w:rPr>
        <w:t>泰州某</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进出口有限公司就对外投资进行了深入的交流洽谈。爱尔兰投资局相关负责人详细介绍了爱尔兰在生命大健康领域的发展现状和投资环境，并就企业关心的商业运营、生产制造等问题进行了细致的解答。</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08" w:firstLineChars="200"/>
        <w:textAlignment w:val="auto"/>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在当今百年未有之大变局加速演进、国内市场竞争激烈的大背景下，拓展海外市场、推动企业国际化进程成为企业应对时代变革、寻找新增长点的重要手段。</w:t>
      </w:r>
      <w:r>
        <w:rPr>
          <w:rFonts w:hint="eastAsia" w:ascii="Times New Roman" w:hAnsi="Times New Roman" w:cstheme="minorEastAsia"/>
          <w:i w:val="0"/>
          <w:caps w:val="0"/>
          <w:color w:val="333333"/>
          <w:spacing w:val="0"/>
          <w:kern w:val="0"/>
          <w:sz w:val="32"/>
          <w:szCs w:val="32"/>
          <w:shd w:val="clear" w:fill="FFFFFF"/>
          <w:lang w:val="en-US" w:eastAsia="zh-CN" w:bidi="ar"/>
        </w:rPr>
        <w:t>泰州市</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贸促会将发挥好代言工商职能，为政府和企业搭建交流合作平台，不断提升</w:t>
      </w:r>
      <w:r>
        <w:rPr>
          <w:rFonts w:hint="eastAsia" w:ascii="Times New Roman" w:hAnsi="Times New Roman" w:cstheme="minorEastAsia"/>
          <w:i w:val="0"/>
          <w:caps w:val="0"/>
          <w:color w:val="333333"/>
          <w:spacing w:val="0"/>
          <w:kern w:val="0"/>
          <w:sz w:val="32"/>
          <w:szCs w:val="32"/>
          <w:shd w:val="clear" w:fill="FFFFFF"/>
          <w:lang w:val="en-US" w:eastAsia="zh-CN" w:bidi="ar"/>
        </w:rPr>
        <w:t>泰州</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对外开放水平，全力护航企业破浪出海。</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（泰州市贸促会）</w:t>
      </w: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扬州市贸促会走访调研</w:t>
      </w: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本市部分外贸企业</w:t>
      </w:r>
    </w:p>
    <w:p>
      <w:pPr>
        <w:ind w:firstLine="608" w:firstLineChars="200"/>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为更好服务会员企业，提升会员企业的获得感和满意度</w:t>
      </w:r>
      <w:r>
        <w:rPr>
          <w:rFonts w:hint="eastAsia" w:ascii="Times New Roman" w:hAnsi="Times New Roman" w:cstheme="minorEastAsia"/>
          <w:i w:val="0"/>
          <w:caps w:val="0"/>
          <w:color w:val="333333"/>
          <w:spacing w:val="0"/>
          <w:kern w:val="0"/>
          <w:sz w:val="32"/>
          <w:szCs w:val="32"/>
          <w:shd w:val="clear" w:fill="FFFFFF"/>
          <w:lang w:val="en-US" w:eastAsia="zh-CN" w:bidi="ar"/>
        </w:rPr>
        <w:t>，</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3月12</w:t>
      </w:r>
      <w:r>
        <w:rPr>
          <w:rFonts w:hint="eastAsia" w:ascii="Times New Roman" w:hAnsi="Times New Roman" w:cstheme="minorEastAsia"/>
          <w:i w:val="0"/>
          <w:caps w:val="0"/>
          <w:color w:val="333333"/>
          <w:spacing w:val="0"/>
          <w:kern w:val="0"/>
          <w:sz w:val="32"/>
          <w:szCs w:val="32"/>
          <w:shd w:val="clear" w:fill="FFFFFF"/>
          <w:lang w:val="en-US" w:eastAsia="zh-CN" w:bidi="ar"/>
        </w:rPr>
        <w:t>—</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14日</w:t>
      </w:r>
      <w:r>
        <w:rPr>
          <w:rFonts w:hint="eastAsia" w:ascii="Times New Roman" w:hAnsi="Times New Roman" w:cstheme="minorEastAsia"/>
          <w:i w:val="0"/>
          <w:caps w:val="0"/>
          <w:color w:val="333333"/>
          <w:spacing w:val="0"/>
          <w:kern w:val="0"/>
          <w:sz w:val="32"/>
          <w:szCs w:val="32"/>
          <w:shd w:val="clear" w:fill="FFFFFF"/>
          <w:lang w:val="en-US" w:eastAsia="zh-CN" w:bidi="ar"/>
        </w:rPr>
        <w:t>，扬州市贸促会</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韩世来副会长、潘阳春秘书长分别带队联合扬州市国际商会金融专业委员会主任单位扬州民生银行共同调研走访了扬州赛乐服饰有限公司、扬州帝腾玩具礼品有限公司、扬州新凤凰家庭用品有限公司、扬州卓和医用材料有限公司和扬州市岩特户外装备科技有限公司等企业，察实情、送服务、解难题</w:t>
      </w:r>
      <w:r>
        <w:rPr>
          <w:rFonts w:hint="eastAsia" w:ascii="Times New Roman" w:hAnsi="Times New Roman" w:cstheme="minorEastAsia"/>
          <w:i w:val="0"/>
          <w:caps w:val="0"/>
          <w:color w:val="333333"/>
          <w:spacing w:val="0"/>
          <w:kern w:val="0"/>
          <w:sz w:val="32"/>
          <w:szCs w:val="32"/>
          <w:shd w:val="clear" w:fill="FFFFFF"/>
          <w:lang w:val="en-US" w:eastAsia="zh-CN" w:bidi="ar"/>
        </w:rPr>
        <w:t>，</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详细了解企业生产经营、出境参展、法律纠纷、RCEP、海牙认证以及当前全球经济形势下面临的新问题、市场开拓等情况，并就企业提出的相关难题进行交流。</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（扬州市贸促会）</w:t>
      </w:r>
    </w:p>
    <w:p>
      <w:pPr>
        <w:rPr>
          <w:rFonts w:hint="default"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仿宋_GB2312" w:hAnsi="宋体" w:eastAsia="仿宋_GB2312" w:cs="仿宋_GB2312"/>
          <w:color w:val="000000"/>
          <w:sz w:val="31"/>
          <w:szCs w:val="31"/>
          <w:lang w:val="en-US" w:eastAsia="zh-CN"/>
        </w:rPr>
      </w:pPr>
    </w:p>
    <w:p>
      <w:pPr>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汇鸿中鼎公司荣获</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“南京老字号守正创新奖”</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exact"/>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近日，我会理事单位——江苏汇鸿国际集团中鼎控股股份有限公司荣获“南京老字号守正创新奖”，这一荣誉表彰了公司在业务创新、示范创建、社会公益、科技创新以及文化传承等方面的卓越成就。</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作为南京老字号的代表，公司一直致力于实施“老品牌振兴与新品牌建设”战略，不断探索品牌创新之道，守正而不失创新，使其老字号品牌焕发出新的生机与活力。此次获奖为公司发展注入了新的发展动力。未来，公司将以此为契机，进一步加强品牌建设和创新，为消费者提供更多优质、有特色的产品和服务。</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方正楷体_GBK" w:hAnsi="方正楷体_GBK" w:eastAsia="方正楷体_GBK" w:cs="方正楷体_GBK"/>
          <w:b/>
          <w:bCs/>
          <w:color w:val="FF0000"/>
          <w:sz w:val="32"/>
          <w:szCs w:val="32"/>
          <w:lang w:val="en-US" w:eastAsia="zh-CN"/>
        </w:rPr>
      </w:pPr>
      <w:r>
        <w:rPr>
          <w:rFonts w:hint="eastAsia" w:ascii="Times New Roman" w:hAnsi="Times New Roman" w:cstheme="minorEastAsia"/>
          <w:i w:val="0"/>
          <w:caps w:val="0"/>
          <w:color w:val="000000"/>
          <w:spacing w:val="0"/>
          <w:sz w:val="32"/>
          <w:szCs w:val="32"/>
          <w:lang w:val="en-US" w:eastAsia="zh-CN"/>
        </w:rPr>
        <w:t xml:space="preserve">                             </w:t>
      </w:r>
      <w:r>
        <w:rPr>
          <w:rFonts w:hint="default" w:ascii="方正楷体_GBK" w:hAnsi="方正楷体_GBK" w:eastAsia="方正楷体_GBK" w:cs="方正楷体_GBK"/>
          <w:b/>
          <w:bCs/>
          <w:color w:val="FF0000"/>
          <w:sz w:val="32"/>
          <w:szCs w:val="32"/>
          <w:lang w:val="en-US" w:eastAsia="zh-CN"/>
        </w:rPr>
        <w:t>（来源：</w:t>
      </w:r>
      <w:r>
        <w:rPr>
          <w:rFonts w:hint="eastAsia" w:ascii="方正楷体_GBK" w:hAnsi="方正楷体_GBK" w:eastAsia="方正楷体_GBK" w:cs="方正楷体_GBK"/>
          <w:b/>
          <w:bCs/>
          <w:color w:val="FF0000"/>
          <w:sz w:val="32"/>
          <w:szCs w:val="32"/>
          <w:lang w:val="en-US" w:eastAsia="zh-CN"/>
        </w:rPr>
        <w:t>汇鸿中鼎官网</w:t>
      </w:r>
      <w:r>
        <w:rPr>
          <w:rFonts w:hint="default" w:ascii="方正楷体_GBK" w:hAnsi="方正楷体_GBK" w:eastAsia="方正楷体_GBK" w:cs="方正楷体_GBK"/>
          <w:b/>
          <w:bCs/>
          <w:color w:val="FF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700" w:lineRule="exact"/>
        <w:ind w:firstLine="608" w:firstLineChars="200"/>
        <w:textAlignment w:val="auto"/>
        <w:outlineLvl w:val="9"/>
        <w:rPr>
          <w:rFonts w:hint="default" w:ascii="Times New Roman" w:hAnsi="Times New Roman" w:eastAsia="华文新魏" w:cs="Times New Roman"/>
          <w:b/>
          <w:color w:val="FF0000"/>
          <w:spacing w:val="0"/>
          <w:kern w:val="36"/>
          <w:sz w:val="52"/>
          <w:szCs w:val="52"/>
          <w:lang w:val="en-US" w:eastAsia="zh-CN"/>
        </w:rPr>
      </w:pPr>
      <w:r>
        <w:rPr>
          <w:rFonts w:hint="default" w:ascii="Times New Roman" w:hAnsi="Times New Roman" w:cs="Times New Roman"/>
          <w:sz w:val="32"/>
          <w:szCs w:val="32"/>
          <w:lang w:val="en-US"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jc w:val="center"/>
        <w:textAlignment w:val="auto"/>
        <w:outlineLvl w:val="0"/>
        <w:rPr>
          <w:rFonts w:hint="eastAsia" w:ascii="Times New Roman" w:hAnsi="Times New Roman" w:eastAsia="华文新魏" w:cs="Times New Roman"/>
          <w:b/>
          <w:bCs w:val="0"/>
          <w:color w:val="FF0000"/>
          <w:spacing w:val="28"/>
          <w:kern w:val="36"/>
          <w:sz w:val="52"/>
          <w:szCs w:val="52"/>
          <w:lang w:val="en-US" w:eastAsia="zh-CN" w:bidi="ar-SA"/>
        </w:rPr>
      </w:pPr>
      <w:r>
        <w:rPr>
          <w:rFonts w:hint="eastAsia" w:ascii="Times New Roman" w:hAnsi="Times New Roman" w:eastAsia="华文新魏" w:cs="Times New Roman"/>
          <w:b/>
          <w:bCs w:val="0"/>
          <w:color w:val="FF0000"/>
          <w:spacing w:val="28"/>
          <w:kern w:val="36"/>
          <w:sz w:val="52"/>
          <w:szCs w:val="52"/>
          <w:lang w:val="en-US" w:eastAsia="zh-CN" w:bidi="ar-SA"/>
        </w:rPr>
        <w:t>康缘药业获国家药品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jc w:val="center"/>
        <w:textAlignment w:val="auto"/>
        <w:outlineLvl w:val="0"/>
        <w:rPr>
          <w:rFonts w:hint="eastAsia" w:ascii="Times New Roman" w:hAnsi="Times New Roman" w:eastAsia="华文新魏" w:cs="Times New Roman"/>
          <w:b/>
          <w:bCs w:val="0"/>
          <w:color w:val="FF0000"/>
          <w:spacing w:val="28"/>
          <w:kern w:val="36"/>
          <w:sz w:val="52"/>
          <w:szCs w:val="52"/>
          <w:lang w:val="en-US" w:eastAsia="zh-CN" w:bidi="ar-SA"/>
        </w:rPr>
      </w:pPr>
      <w:r>
        <w:rPr>
          <w:rFonts w:hint="eastAsia" w:ascii="Times New Roman" w:hAnsi="Times New Roman" w:eastAsia="华文新魏" w:cs="Times New Roman"/>
          <w:b/>
          <w:bCs w:val="0"/>
          <w:color w:val="FF0000"/>
          <w:spacing w:val="28"/>
          <w:kern w:val="36"/>
          <w:sz w:val="52"/>
          <w:szCs w:val="52"/>
          <w:lang w:val="en-US" w:eastAsia="zh-CN" w:bidi="ar-SA"/>
        </w:rPr>
        <w:t>不良反应监测中心表扬</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近日，国家药品监督管理局药品评价中心、国家药品不良反应监测中心发布了《关于表扬2023年全国药品不良反应监测评价单位的通知》，经江苏省药品不良反应监测中心推荐及国家药品不良反应监测中心综合评定，我会理事单位——江苏康缘药业股份有限公司在2023年药品不良反应监测评价工作中表现突出，被通报表扬。</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长期以来，康缘药业高度重视药品安全，认真落实《药物警戒质量管理规范》等文件法规，规范建立和完善药物警戒体系，认真开展药物不良反应/事件监测报告工作，切实履行产品安全主体责任，不断加强药物警戒体系建设，基于药品安全性特征开展药物警戒活动，主动开展上市后安全性研究，不断促进药物警戒工作水平提升，实现医药产业高质量发展，保障公众用药安全。</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获得国家药品监督管理局药品评价中心、国家药品不良反应监测中心的表扬，是对康缘药业药品不良反应监测评价工作的肯定，也体现了康缘药业药品安全保障工作的可靠和专业。在保障药品安全的道路上，康缘药业将继续执行最严谨的标准、切实履行药品安全主体责任，进一步加强药物警戒体系建设，做好药品全生命周期管理，确保药品质量和安全，为公众用药安全保驾护航。</w:t>
      </w:r>
    </w:p>
    <w:p>
      <w:pPr>
        <w:spacing w:line="440" w:lineRule="exact"/>
        <w:jc w:val="right"/>
        <w:rPr>
          <w:rFonts w:hint="default" w:ascii="Times New Roman" w:hAnsi="Times New Roman" w:eastAsia="方正楷体_GBK" w:cs="Times New Roman"/>
          <w:bCs/>
          <w:sz w:val="32"/>
          <w:szCs w:val="32"/>
        </w:rPr>
      </w:pPr>
      <w:r>
        <w:rPr>
          <w:rFonts w:hint="default" w:ascii="方正楷体_GBK" w:hAnsi="方正楷体_GBK" w:eastAsia="方正楷体_GBK" w:cs="方正楷体_GBK"/>
          <w:b/>
          <w:bCs/>
          <w:color w:val="FF0000"/>
          <w:sz w:val="32"/>
          <w:szCs w:val="32"/>
          <w:lang w:val="en-US" w:eastAsia="zh-CN"/>
        </w:rPr>
        <w:t>（来源：</w:t>
      </w:r>
      <w:r>
        <w:rPr>
          <w:rFonts w:hint="eastAsia" w:ascii="方正楷体_GBK" w:hAnsi="方正楷体_GBK" w:eastAsia="方正楷体_GBK" w:cs="方正楷体_GBK"/>
          <w:b/>
          <w:bCs/>
          <w:color w:val="FF0000"/>
          <w:sz w:val="32"/>
          <w:szCs w:val="32"/>
          <w:lang w:val="en-US" w:eastAsia="zh-CN"/>
        </w:rPr>
        <w:t>康缘药业官网</w:t>
      </w:r>
      <w:r>
        <w:rPr>
          <w:rFonts w:hint="default" w:ascii="方正楷体_GBK" w:hAnsi="方正楷体_GBK" w:eastAsia="方正楷体_GBK" w:cs="方正楷体_GBK"/>
          <w:b/>
          <w:bCs/>
          <w:color w:val="FF0000"/>
          <w:sz w:val="32"/>
          <w:szCs w:val="32"/>
          <w:lang w:val="en-US"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华文新魏" w:cs="Times New Roman"/>
          <w:b/>
          <w:color w:val="FF0000"/>
          <w:spacing w:val="0"/>
          <w:kern w:val="36"/>
          <w:sz w:val="52"/>
          <w:szCs w:val="52"/>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jc w:val="center"/>
        <w:textAlignment w:val="auto"/>
        <w:outlineLvl w:val="0"/>
        <w:rPr>
          <w:rFonts w:hint="eastAsia" w:ascii="Times New Roman" w:hAnsi="Times New Roman" w:eastAsia="华文新魏" w:cs="Times New Roman"/>
          <w:b/>
          <w:color w:val="FF0000"/>
          <w:spacing w:val="0"/>
          <w:kern w:val="36"/>
          <w:sz w:val="52"/>
          <w:szCs w:val="52"/>
          <w:lang w:val="en-US" w:eastAsia="zh-CN" w:bidi="ar-SA"/>
        </w:rPr>
      </w:pPr>
      <w:r>
        <w:rPr>
          <w:rFonts w:hint="eastAsia" w:ascii="Times New Roman" w:hAnsi="Times New Roman" w:eastAsia="华文新魏" w:cs="Times New Roman"/>
          <w:b/>
          <w:color w:val="FF0000"/>
          <w:spacing w:val="0"/>
          <w:kern w:val="36"/>
          <w:sz w:val="52"/>
          <w:szCs w:val="52"/>
          <w:lang w:val="en-US" w:eastAsia="zh-CN" w:bidi="ar-SA"/>
        </w:rPr>
        <w:t>茂莱光学入选工信部第八批制造业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jc w:val="center"/>
        <w:textAlignment w:val="auto"/>
        <w:outlineLvl w:val="0"/>
        <w:rPr>
          <w:rFonts w:hint="eastAsia" w:ascii="Times New Roman" w:hAnsi="Times New Roman" w:eastAsia="华文新魏" w:cs="Times New Roman"/>
          <w:b/>
          <w:color w:val="FF0000"/>
          <w:spacing w:val="0"/>
          <w:kern w:val="36"/>
          <w:sz w:val="52"/>
          <w:szCs w:val="52"/>
          <w:lang w:val="en-US" w:eastAsia="zh-CN" w:bidi="ar-SA"/>
        </w:rPr>
      </w:pPr>
      <w:r>
        <w:rPr>
          <w:rFonts w:hint="eastAsia" w:ascii="Times New Roman" w:hAnsi="Times New Roman" w:eastAsia="华文新魏" w:cs="Times New Roman"/>
          <w:b/>
          <w:color w:val="FF0000"/>
          <w:spacing w:val="0"/>
          <w:kern w:val="36"/>
          <w:sz w:val="52"/>
          <w:szCs w:val="52"/>
          <w:lang w:val="en-US" w:eastAsia="zh-CN" w:bidi="ar-SA"/>
        </w:rPr>
        <w:t>单项冠军企业名单</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近日，省工信厅公示了入选工信部第八批制造业单项冠军企业名单。南京共13家企业入围，新增数量全省第一。我会理事单位——南京茂莱光学科技股份有限公司的高精度光学检测器件及系统入选其中。</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制造业单项冠军企业是优质企业培育体系中的重要一环，长期专注于制造业某些特定细分产品市场，生产技术或工艺国际领先，单项产品市场占有率位居全球或国内前列，代表制造业细分领域最高发展水平、最强市场实力。</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茂莱光学成立于1999年，专注于精密光学器件、光学镜头和光学系统的研发、设计、制造及销售，服务于半导体（包括光刻机及半导体检测装备）、生命科学（包括基因测序及口腔扫描等）、航空航天、无人驾驶、生物识别、AR/VR检测等应用领域，是中国最专业的光学设计、制造和综合解决方案供应商之一。截至到</w:t>
      </w:r>
      <w:r>
        <w:rPr>
          <w:rFonts w:hint="eastAsia" w:ascii="Times New Roman" w:hAnsi="Times New Roman" w:cstheme="minorEastAsia"/>
          <w:i w:val="0"/>
          <w:caps w:val="0"/>
          <w:color w:val="000000"/>
          <w:spacing w:val="0"/>
          <w:sz w:val="32"/>
          <w:szCs w:val="32"/>
          <w:lang w:val="en-US" w:eastAsia="zh-CN"/>
        </w:rPr>
        <w:t>20</w:t>
      </w:r>
      <w:r>
        <w:rPr>
          <w:rFonts w:hint="eastAsia" w:ascii="Times New Roman" w:hAnsi="Times New Roman" w:eastAsiaTheme="minorEastAsia" w:cstheme="minorEastAsia"/>
          <w:i w:val="0"/>
          <w:caps w:val="0"/>
          <w:color w:val="000000"/>
          <w:spacing w:val="0"/>
          <w:sz w:val="32"/>
          <w:szCs w:val="32"/>
          <w:lang w:val="en-US" w:eastAsia="zh-CN"/>
        </w:rPr>
        <w:t>23年6月30日，拥有148项境内外授权专利，其中发明专利31项，荣获2022年国家级专精特新“小巨人”企业等荣誉。</w:t>
      </w:r>
    </w:p>
    <w:p>
      <w:pPr>
        <w:keepNext w:val="0"/>
        <w:keepLines w:val="0"/>
        <w:pageBreakBefore w:val="0"/>
        <w:widowControl/>
        <w:shd w:val="clear" w:color="auto" w:fill="FFFFFF"/>
        <w:kinsoku/>
        <w:wordWrap/>
        <w:overflowPunct/>
        <w:topLinePunct w:val="0"/>
        <w:autoSpaceDE/>
        <w:autoSpaceDN/>
        <w:bidi w:val="0"/>
        <w:adjustRightInd/>
        <w:snapToGrid/>
        <w:spacing w:after="210" w:line="580" w:lineRule="exact"/>
        <w:ind w:firstLine="4256" w:firstLineChars="1400"/>
        <w:contextualSpacing/>
        <w:jc w:val="left"/>
        <w:textAlignment w:val="auto"/>
        <w:outlineLvl w:val="1"/>
        <w:rPr>
          <w:rFonts w:hint="default" w:ascii="方正楷体_GBK" w:hAnsi="方正楷体_GBK" w:eastAsia="方正楷体_GBK" w:cs="方正楷体_GBK"/>
          <w:b/>
          <w:bCs/>
          <w:color w:val="FF0000"/>
          <w:sz w:val="32"/>
          <w:szCs w:val="32"/>
          <w:lang w:val="en-US" w:eastAsia="zh-CN"/>
        </w:rPr>
      </w:pPr>
      <w:r>
        <w:rPr>
          <w:rFonts w:hint="default" w:ascii="方正楷体_GBK" w:hAnsi="方正楷体_GBK" w:eastAsia="方正楷体_GBK" w:cs="方正楷体_GBK"/>
          <w:b/>
          <w:bCs/>
          <w:color w:val="FF0000"/>
          <w:sz w:val="32"/>
          <w:szCs w:val="32"/>
          <w:lang w:val="en-US" w:eastAsia="zh-CN"/>
        </w:rPr>
        <w:t>（来源：</w:t>
      </w:r>
      <w:r>
        <w:rPr>
          <w:rFonts w:hint="eastAsia" w:ascii="方正楷体_GBK" w:hAnsi="方正楷体_GBK" w:eastAsia="方正楷体_GBK" w:cs="方正楷体_GBK"/>
          <w:b/>
          <w:bCs/>
          <w:color w:val="FF0000"/>
          <w:sz w:val="32"/>
          <w:szCs w:val="32"/>
          <w:lang w:val="en-US" w:eastAsia="zh-CN"/>
        </w:rPr>
        <w:t>茂莱光学微信公众号</w:t>
      </w:r>
      <w:r>
        <w:rPr>
          <w:rFonts w:hint="default" w:ascii="方正楷体_GBK" w:hAnsi="方正楷体_GBK" w:eastAsia="方正楷体_GBK" w:cs="方正楷体_GBK"/>
          <w:b/>
          <w:bCs/>
          <w:color w:val="FF0000"/>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exact"/>
        <w:contextualSpacing/>
        <w:jc w:val="center"/>
        <w:textAlignment w:val="auto"/>
        <w:outlineLvl w:val="1"/>
        <w:rPr>
          <w:rFonts w:hint="default" w:ascii="Times New Roman" w:hAnsi="Times New Roman" w:eastAsia="华文新魏" w:cs="Times New Roman"/>
          <w:b/>
          <w:color w:val="FF0000"/>
          <w:spacing w:val="0"/>
          <w:kern w:val="36"/>
          <w:sz w:val="52"/>
          <w:szCs w:val="52"/>
          <w:lang w:val="en-US" w:eastAsia="zh-CN"/>
        </w:rPr>
      </w:pP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魏碑简体">
    <w:altName w:val="微软雅黑"/>
    <w:panose1 w:val="02010601030101010101"/>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-235585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18.55pt;height:144pt;width:144pt;mso-position-horizontal-relative:margin;mso-wrap-style:none;z-index:251659264;mso-width-relative:page;mso-height-relative:page;" filled="f" stroked="f" coordsize="21600,21600" o:gfxdata="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CjkjYdYAAAAIAQAA&#10;DwAAAAAAAAABACAAAAAiAAAAZHJzL2Rvd25yZXYueG1sUEsBAhQAFAAAAAgAh07iQCOFi7YbAgAA&#10;IQQAAA4AAAAAAAAAAQAgAAAAJQEAAGRycy9lMm9Eb2MueG1sUEsFBgAAAAAGAAYAWQEAALIFAAAA&#10;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93D01"/>
    <w:rsid w:val="00097083"/>
    <w:rsid w:val="001156B9"/>
    <w:rsid w:val="00145330"/>
    <w:rsid w:val="00154806"/>
    <w:rsid w:val="001F2C95"/>
    <w:rsid w:val="00215B64"/>
    <w:rsid w:val="002840B7"/>
    <w:rsid w:val="003208B4"/>
    <w:rsid w:val="003671B0"/>
    <w:rsid w:val="003C691D"/>
    <w:rsid w:val="003F32D7"/>
    <w:rsid w:val="0042623F"/>
    <w:rsid w:val="0043286B"/>
    <w:rsid w:val="00467C46"/>
    <w:rsid w:val="005A092B"/>
    <w:rsid w:val="006B63D3"/>
    <w:rsid w:val="006C0C2E"/>
    <w:rsid w:val="007C2A82"/>
    <w:rsid w:val="007E11E9"/>
    <w:rsid w:val="008B2F92"/>
    <w:rsid w:val="008E3499"/>
    <w:rsid w:val="008F79A9"/>
    <w:rsid w:val="00906A61"/>
    <w:rsid w:val="00962249"/>
    <w:rsid w:val="00A0554E"/>
    <w:rsid w:val="00A55B3B"/>
    <w:rsid w:val="00B35803"/>
    <w:rsid w:val="00B45E3E"/>
    <w:rsid w:val="00C16462"/>
    <w:rsid w:val="00C66488"/>
    <w:rsid w:val="00CA656E"/>
    <w:rsid w:val="00CE04E4"/>
    <w:rsid w:val="00D0085C"/>
    <w:rsid w:val="00D9651F"/>
    <w:rsid w:val="00DB54B3"/>
    <w:rsid w:val="00DF053C"/>
    <w:rsid w:val="00E278B0"/>
    <w:rsid w:val="00FC3867"/>
    <w:rsid w:val="010007F1"/>
    <w:rsid w:val="01123C24"/>
    <w:rsid w:val="01281FA6"/>
    <w:rsid w:val="0129652A"/>
    <w:rsid w:val="012C4A94"/>
    <w:rsid w:val="0134238F"/>
    <w:rsid w:val="01434062"/>
    <w:rsid w:val="015A28DE"/>
    <w:rsid w:val="01603797"/>
    <w:rsid w:val="01614C4F"/>
    <w:rsid w:val="016607CF"/>
    <w:rsid w:val="01687C29"/>
    <w:rsid w:val="016C6133"/>
    <w:rsid w:val="016D0719"/>
    <w:rsid w:val="01730647"/>
    <w:rsid w:val="017F7312"/>
    <w:rsid w:val="0183354F"/>
    <w:rsid w:val="018A4341"/>
    <w:rsid w:val="018D1ED5"/>
    <w:rsid w:val="01944C0D"/>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277DB"/>
    <w:rsid w:val="01CB201F"/>
    <w:rsid w:val="01D01DDD"/>
    <w:rsid w:val="01D83F23"/>
    <w:rsid w:val="01DA121B"/>
    <w:rsid w:val="01E02E8A"/>
    <w:rsid w:val="01EB6FF4"/>
    <w:rsid w:val="01EC6C1A"/>
    <w:rsid w:val="01F43D5D"/>
    <w:rsid w:val="01F53962"/>
    <w:rsid w:val="01FE284A"/>
    <w:rsid w:val="020C0504"/>
    <w:rsid w:val="020F3F82"/>
    <w:rsid w:val="021337A8"/>
    <w:rsid w:val="02154F00"/>
    <w:rsid w:val="022C2DDE"/>
    <w:rsid w:val="024125AD"/>
    <w:rsid w:val="02424F98"/>
    <w:rsid w:val="02451830"/>
    <w:rsid w:val="024B4F65"/>
    <w:rsid w:val="02522774"/>
    <w:rsid w:val="02716397"/>
    <w:rsid w:val="027B1EF4"/>
    <w:rsid w:val="027D39C5"/>
    <w:rsid w:val="02842B55"/>
    <w:rsid w:val="02850B1B"/>
    <w:rsid w:val="028E239B"/>
    <w:rsid w:val="028E669E"/>
    <w:rsid w:val="02945151"/>
    <w:rsid w:val="02994D24"/>
    <w:rsid w:val="02AA4579"/>
    <w:rsid w:val="02B7449E"/>
    <w:rsid w:val="02B93913"/>
    <w:rsid w:val="02CA2014"/>
    <w:rsid w:val="02CE36F0"/>
    <w:rsid w:val="02D253BA"/>
    <w:rsid w:val="02D664A5"/>
    <w:rsid w:val="02D70120"/>
    <w:rsid w:val="02E746B3"/>
    <w:rsid w:val="02F04987"/>
    <w:rsid w:val="02F3072B"/>
    <w:rsid w:val="02F4686A"/>
    <w:rsid w:val="02F50E1A"/>
    <w:rsid w:val="02FC365E"/>
    <w:rsid w:val="03055083"/>
    <w:rsid w:val="030A33B2"/>
    <w:rsid w:val="0312457C"/>
    <w:rsid w:val="03173E54"/>
    <w:rsid w:val="03276EB0"/>
    <w:rsid w:val="03320DD5"/>
    <w:rsid w:val="03367B19"/>
    <w:rsid w:val="033F3094"/>
    <w:rsid w:val="033F5E23"/>
    <w:rsid w:val="0341739D"/>
    <w:rsid w:val="035906B9"/>
    <w:rsid w:val="035A07AB"/>
    <w:rsid w:val="036572E0"/>
    <w:rsid w:val="036773BE"/>
    <w:rsid w:val="036B41D2"/>
    <w:rsid w:val="03745931"/>
    <w:rsid w:val="0375270B"/>
    <w:rsid w:val="0376026A"/>
    <w:rsid w:val="03763E10"/>
    <w:rsid w:val="03795E56"/>
    <w:rsid w:val="038F00BD"/>
    <w:rsid w:val="038F07EB"/>
    <w:rsid w:val="039F6B79"/>
    <w:rsid w:val="03A054FE"/>
    <w:rsid w:val="03A710E3"/>
    <w:rsid w:val="03B75E22"/>
    <w:rsid w:val="03B93704"/>
    <w:rsid w:val="03C7124D"/>
    <w:rsid w:val="03C956D7"/>
    <w:rsid w:val="03CD065E"/>
    <w:rsid w:val="03CD0F50"/>
    <w:rsid w:val="03D96519"/>
    <w:rsid w:val="03DC76EB"/>
    <w:rsid w:val="03DF3AAC"/>
    <w:rsid w:val="03DF7C94"/>
    <w:rsid w:val="03E4053E"/>
    <w:rsid w:val="03EE2D2D"/>
    <w:rsid w:val="03EE5120"/>
    <w:rsid w:val="03F95EAB"/>
    <w:rsid w:val="03FA4378"/>
    <w:rsid w:val="040E59E0"/>
    <w:rsid w:val="04177E90"/>
    <w:rsid w:val="041B3B0D"/>
    <w:rsid w:val="041F33A4"/>
    <w:rsid w:val="04227E09"/>
    <w:rsid w:val="04256881"/>
    <w:rsid w:val="042C1175"/>
    <w:rsid w:val="042E72BA"/>
    <w:rsid w:val="04361A54"/>
    <w:rsid w:val="043837D8"/>
    <w:rsid w:val="043F0FCC"/>
    <w:rsid w:val="0458216E"/>
    <w:rsid w:val="04633D2A"/>
    <w:rsid w:val="046441B2"/>
    <w:rsid w:val="0470619B"/>
    <w:rsid w:val="047264E0"/>
    <w:rsid w:val="047929EC"/>
    <w:rsid w:val="047931E4"/>
    <w:rsid w:val="047B754C"/>
    <w:rsid w:val="047C330E"/>
    <w:rsid w:val="04802BB2"/>
    <w:rsid w:val="048112FB"/>
    <w:rsid w:val="048B08F7"/>
    <w:rsid w:val="04997356"/>
    <w:rsid w:val="04B3013F"/>
    <w:rsid w:val="04BA605B"/>
    <w:rsid w:val="04BB6582"/>
    <w:rsid w:val="04BF51D4"/>
    <w:rsid w:val="04C30370"/>
    <w:rsid w:val="04C369FD"/>
    <w:rsid w:val="04C87276"/>
    <w:rsid w:val="04CE7B7F"/>
    <w:rsid w:val="04D13EAB"/>
    <w:rsid w:val="04E16ACF"/>
    <w:rsid w:val="04E92750"/>
    <w:rsid w:val="04ED1D07"/>
    <w:rsid w:val="04F33CBA"/>
    <w:rsid w:val="05006805"/>
    <w:rsid w:val="05017788"/>
    <w:rsid w:val="05150D13"/>
    <w:rsid w:val="052054D4"/>
    <w:rsid w:val="052C7639"/>
    <w:rsid w:val="054A7C8A"/>
    <w:rsid w:val="055D26AF"/>
    <w:rsid w:val="056534E0"/>
    <w:rsid w:val="056834A8"/>
    <w:rsid w:val="05684832"/>
    <w:rsid w:val="056E79C6"/>
    <w:rsid w:val="057A799E"/>
    <w:rsid w:val="058647BE"/>
    <w:rsid w:val="05880374"/>
    <w:rsid w:val="05881910"/>
    <w:rsid w:val="05913966"/>
    <w:rsid w:val="059F17BF"/>
    <w:rsid w:val="05A259F9"/>
    <w:rsid w:val="05A73DC5"/>
    <w:rsid w:val="05B336D5"/>
    <w:rsid w:val="05CC2A3B"/>
    <w:rsid w:val="05CD0D9A"/>
    <w:rsid w:val="05CF249D"/>
    <w:rsid w:val="05D14319"/>
    <w:rsid w:val="05D714EA"/>
    <w:rsid w:val="05E536E6"/>
    <w:rsid w:val="05EA1C44"/>
    <w:rsid w:val="05F2445C"/>
    <w:rsid w:val="06077942"/>
    <w:rsid w:val="060A0D89"/>
    <w:rsid w:val="060C359D"/>
    <w:rsid w:val="060F3722"/>
    <w:rsid w:val="062B0B83"/>
    <w:rsid w:val="062C6587"/>
    <w:rsid w:val="062D67C8"/>
    <w:rsid w:val="06301A1B"/>
    <w:rsid w:val="0633380C"/>
    <w:rsid w:val="0638362B"/>
    <w:rsid w:val="063E600A"/>
    <w:rsid w:val="06405659"/>
    <w:rsid w:val="064F5725"/>
    <w:rsid w:val="06510CDF"/>
    <w:rsid w:val="065C27A8"/>
    <w:rsid w:val="065F50DA"/>
    <w:rsid w:val="06602F2C"/>
    <w:rsid w:val="06626021"/>
    <w:rsid w:val="066D2CED"/>
    <w:rsid w:val="066E2C0B"/>
    <w:rsid w:val="06700010"/>
    <w:rsid w:val="06734EB6"/>
    <w:rsid w:val="067C24CF"/>
    <w:rsid w:val="068A1FDD"/>
    <w:rsid w:val="069002BE"/>
    <w:rsid w:val="06906B8C"/>
    <w:rsid w:val="069725BC"/>
    <w:rsid w:val="069A3A7C"/>
    <w:rsid w:val="06A729E1"/>
    <w:rsid w:val="06AB1C7E"/>
    <w:rsid w:val="06AC05E7"/>
    <w:rsid w:val="06AF1D16"/>
    <w:rsid w:val="06AF3414"/>
    <w:rsid w:val="06B15237"/>
    <w:rsid w:val="06BA5EB2"/>
    <w:rsid w:val="06D17DB1"/>
    <w:rsid w:val="06E444B8"/>
    <w:rsid w:val="070615F0"/>
    <w:rsid w:val="07085235"/>
    <w:rsid w:val="07146D7A"/>
    <w:rsid w:val="071A4300"/>
    <w:rsid w:val="072C5901"/>
    <w:rsid w:val="072D6955"/>
    <w:rsid w:val="07355298"/>
    <w:rsid w:val="073633AE"/>
    <w:rsid w:val="0738618B"/>
    <w:rsid w:val="074E1705"/>
    <w:rsid w:val="074E279C"/>
    <w:rsid w:val="075268B6"/>
    <w:rsid w:val="075C0378"/>
    <w:rsid w:val="075C613A"/>
    <w:rsid w:val="0768627D"/>
    <w:rsid w:val="07774E9B"/>
    <w:rsid w:val="07886D75"/>
    <w:rsid w:val="079A77BC"/>
    <w:rsid w:val="079D6C92"/>
    <w:rsid w:val="079E20C5"/>
    <w:rsid w:val="07A92FCD"/>
    <w:rsid w:val="07AB5A16"/>
    <w:rsid w:val="07C32EAB"/>
    <w:rsid w:val="07CE7516"/>
    <w:rsid w:val="07DA5629"/>
    <w:rsid w:val="07DE3B60"/>
    <w:rsid w:val="07E54B9E"/>
    <w:rsid w:val="08010DA7"/>
    <w:rsid w:val="08033960"/>
    <w:rsid w:val="080F3123"/>
    <w:rsid w:val="08220E8F"/>
    <w:rsid w:val="08242F28"/>
    <w:rsid w:val="08252E6C"/>
    <w:rsid w:val="08275EA4"/>
    <w:rsid w:val="08294CB5"/>
    <w:rsid w:val="083036B5"/>
    <w:rsid w:val="08310F19"/>
    <w:rsid w:val="08331FC1"/>
    <w:rsid w:val="083611A9"/>
    <w:rsid w:val="083901EB"/>
    <w:rsid w:val="08394081"/>
    <w:rsid w:val="083943C5"/>
    <w:rsid w:val="08404FD2"/>
    <w:rsid w:val="084A2513"/>
    <w:rsid w:val="08515651"/>
    <w:rsid w:val="085D6EF2"/>
    <w:rsid w:val="085F59AE"/>
    <w:rsid w:val="086303CB"/>
    <w:rsid w:val="08674312"/>
    <w:rsid w:val="0875786E"/>
    <w:rsid w:val="0881684A"/>
    <w:rsid w:val="08927463"/>
    <w:rsid w:val="08991A5A"/>
    <w:rsid w:val="089C49FA"/>
    <w:rsid w:val="08AF073A"/>
    <w:rsid w:val="08BD5FE1"/>
    <w:rsid w:val="08BE7798"/>
    <w:rsid w:val="08C46A4F"/>
    <w:rsid w:val="08C654F8"/>
    <w:rsid w:val="08CA79C7"/>
    <w:rsid w:val="08D54B6A"/>
    <w:rsid w:val="08D73E78"/>
    <w:rsid w:val="08DB6139"/>
    <w:rsid w:val="08DD4FAE"/>
    <w:rsid w:val="08DE001E"/>
    <w:rsid w:val="08DE502C"/>
    <w:rsid w:val="08DE7E03"/>
    <w:rsid w:val="08ED6D3B"/>
    <w:rsid w:val="08FB16E4"/>
    <w:rsid w:val="08FB2C3C"/>
    <w:rsid w:val="08FE2EDE"/>
    <w:rsid w:val="08FE5206"/>
    <w:rsid w:val="09140F8D"/>
    <w:rsid w:val="09155095"/>
    <w:rsid w:val="091D10D0"/>
    <w:rsid w:val="09210482"/>
    <w:rsid w:val="092105FC"/>
    <w:rsid w:val="09222AB2"/>
    <w:rsid w:val="09266115"/>
    <w:rsid w:val="093303B8"/>
    <w:rsid w:val="09446DB4"/>
    <w:rsid w:val="094811BB"/>
    <w:rsid w:val="094F18C1"/>
    <w:rsid w:val="0954257E"/>
    <w:rsid w:val="095929D4"/>
    <w:rsid w:val="095A003F"/>
    <w:rsid w:val="095B02C8"/>
    <w:rsid w:val="09606CDC"/>
    <w:rsid w:val="09631FC1"/>
    <w:rsid w:val="09651D94"/>
    <w:rsid w:val="098A1F77"/>
    <w:rsid w:val="099872CF"/>
    <w:rsid w:val="09A137B2"/>
    <w:rsid w:val="09A2636C"/>
    <w:rsid w:val="09A44BA0"/>
    <w:rsid w:val="09AA495F"/>
    <w:rsid w:val="09AC53C9"/>
    <w:rsid w:val="09B630C3"/>
    <w:rsid w:val="09BD4BE0"/>
    <w:rsid w:val="09C222A5"/>
    <w:rsid w:val="09C27E4D"/>
    <w:rsid w:val="09C81C8D"/>
    <w:rsid w:val="09CB6B07"/>
    <w:rsid w:val="09CC1439"/>
    <w:rsid w:val="09CD0E22"/>
    <w:rsid w:val="09CD713D"/>
    <w:rsid w:val="09FA2B3C"/>
    <w:rsid w:val="09FA772F"/>
    <w:rsid w:val="09FB6D64"/>
    <w:rsid w:val="0A030CE9"/>
    <w:rsid w:val="0A0D0EE1"/>
    <w:rsid w:val="0A33530F"/>
    <w:rsid w:val="0A346C5C"/>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C2910"/>
    <w:rsid w:val="0ACC3151"/>
    <w:rsid w:val="0AD16821"/>
    <w:rsid w:val="0AD45A3C"/>
    <w:rsid w:val="0AD60B60"/>
    <w:rsid w:val="0ADC78D2"/>
    <w:rsid w:val="0AE11813"/>
    <w:rsid w:val="0AE3323E"/>
    <w:rsid w:val="0AEB11A6"/>
    <w:rsid w:val="0AEC3E44"/>
    <w:rsid w:val="0AEE609E"/>
    <w:rsid w:val="0AEF478A"/>
    <w:rsid w:val="0B041299"/>
    <w:rsid w:val="0B062542"/>
    <w:rsid w:val="0B0E47F4"/>
    <w:rsid w:val="0B1C17AD"/>
    <w:rsid w:val="0B283787"/>
    <w:rsid w:val="0B2D6F6E"/>
    <w:rsid w:val="0B324CD2"/>
    <w:rsid w:val="0B345DB1"/>
    <w:rsid w:val="0B363DD8"/>
    <w:rsid w:val="0B3A4657"/>
    <w:rsid w:val="0B3C5BB9"/>
    <w:rsid w:val="0B4372E2"/>
    <w:rsid w:val="0B5A2079"/>
    <w:rsid w:val="0B5B5996"/>
    <w:rsid w:val="0B5C3E34"/>
    <w:rsid w:val="0B6075D7"/>
    <w:rsid w:val="0B627AD4"/>
    <w:rsid w:val="0B6A0BB3"/>
    <w:rsid w:val="0B792EB2"/>
    <w:rsid w:val="0B8035EB"/>
    <w:rsid w:val="0B84164E"/>
    <w:rsid w:val="0B89731E"/>
    <w:rsid w:val="0B904412"/>
    <w:rsid w:val="0B913EDA"/>
    <w:rsid w:val="0B9C76A8"/>
    <w:rsid w:val="0BA50775"/>
    <w:rsid w:val="0BA749E5"/>
    <w:rsid w:val="0BAC24A8"/>
    <w:rsid w:val="0BAE1323"/>
    <w:rsid w:val="0BB42E0A"/>
    <w:rsid w:val="0BBA3391"/>
    <w:rsid w:val="0BDC3258"/>
    <w:rsid w:val="0BDE3581"/>
    <w:rsid w:val="0BE52963"/>
    <w:rsid w:val="0BE85349"/>
    <w:rsid w:val="0BF57A28"/>
    <w:rsid w:val="0BF845E9"/>
    <w:rsid w:val="0BFA1A53"/>
    <w:rsid w:val="0C074F06"/>
    <w:rsid w:val="0C0B1E5B"/>
    <w:rsid w:val="0C146F99"/>
    <w:rsid w:val="0C1A584B"/>
    <w:rsid w:val="0C2275D5"/>
    <w:rsid w:val="0C2D70F9"/>
    <w:rsid w:val="0C342312"/>
    <w:rsid w:val="0C53740C"/>
    <w:rsid w:val="0C563E70"/>
    <w:rsid w:val="0C631545"/>
    <w:rsid w:val="0C6E187C"/>
    <w:rsid w:val="0C7D4D8F"/>
    <w:rsid w:val="0C80052F"/>
    <w:rsid w:val="0C8C06D3"/>
    <w:rsid w:val="0C980884"/>
    <w:rsid w:val="0C9961AF"/>
    <w:rsid w:val="0C9A50FF"/>
    <w:rsid w:val="0C9B3EE0"/>
    <w:rsid w:val="0C9C2E80"/>
    <w:rsid w:val="0CA20B1F"/>
    <w:rsid w:val="0CA44E41"/>
    <w:rsid w:val="0CA77405"/>
    <w:rsid w:val="0CA83489"/>
    <w:rsid w:val="0CA96FA5"/>
    <w:rsid w:val="0CAE5B1B"/>
    <w:rsid w:val="0CB224D8"/>
    <w:rsid w:val="0CB31FF7"/>
    <w:rsid w:val="0CB45BFD"/>
    <w:rsid w:val="0CB75099"/>
    <w:rsid w:val="0CB80D6E"/>
    <w:rsid w:val="0CBF360E"/>
    <w:rsid w:val="0CC10497"/>
    <w:rsid w:val="0CC30BC5"/>
    <w:rsid w:val="0CC42150"/>
    <w:rsid w:val="0CC45545"/>
    <w:rsid w:val="0CC71781"/>
    <w:rsid w:val="0CCB0FDF"/>
    <w:rsid w:val="0CDC1817"/>
    <w:rsid w:val="0CDC515C"/>
    <w:rsid w:val="0D0B2A13"/>
    <w:rsid w:val="0D112021"/>
    <w:rsid w:val="0D12133D"/>
    <w:rsid w:val="0D1F7151"/>
    <w:rsid w:val="0D200D54"/>
    <w:rsid w:val="0D2B7DB2"/>
    <w:rsid w:val="0D3152D9"/>
    <w:rsid w:val="0D384916"/>
    <w:rsid w:val="0D427E08"/>
    <w:rsid w:val="0D4A1977"/>
    <w:rsid w:val="0D511FCD"/>
    <w:rsid w:val="0D52698E"/>
    <w:rsid w:val="0D583C5F"/>
    <w:rsid w:val="0D5D658F"/>
    <w:rsid w:val="0D6029A5"/>
    <w:rsid w:val="0D6063D4"/>
    <w:rsid w:val="0D667E20"/>
    <w:rsid w:val="0D6B6C90"/>
    <w:rsid w:val="0D922931"/>
    <w:rsid w:val="0D95263C"/>
    <w:rsid w:val="0DA81B9F"/>
    <w:rsid w:val="0DAD79F2"/>
    <w:rsid w:val="0DB47CEC"/>
    <w:rsid w:val="0DBB3CA5"/>
    <w:rsid w:val="0DBB4EDD"/>
    <w:rsid w:val="0DC37BF2"/>
    <w:rsid w:val="0DC436B0"/>
    <w:rsid w:val="0DC9693F"/>
    <w:rsid w:val="0DCC1715"/>
    <w:rsid w:val="0DD82C48"/>
    <w:rsid w:val="0DDB6385"/>
    <w:rsid w:val="0DF024FC"/>
    <w:rsid w:val="0DF0632D"/>
    <w:rsid w:val="0DF475E0"/>
    <w:rsid w:val="0E0E09E4"/>
    <w:rsid w:val="0E0E0AE3"/>
    <w:rsid w:val="0E184477"/>
    <w:rsid w:val="0E1A4501"/>
    <w:rsid w:val="0E21196E"/>
    <w:rsid w:val="0E227E98"/>
    <w:rsid w:val="0E27140B"/>
    <w:rsid w:val="0E2D4D70"/>
    <w:rsid w:val="0E3B2663"/>
    <w:rsid w:val="0E443DBA"/>
    <w:rsid w:val="0E465F52"/>
    <w:rsid w:val="0E576A70"/>
    <w:rsid w:val="0E587DB8"/>
    <w:rsid w:val="0E6B437E"/>
    <w:rsid w:val="0E6B6A22"/>
    <w:rsid w:val="0E6F53AB"/>
    <w:rsid w:val="0E701F1A"/>
    <w:rsid w:val="0E793535"/>
    <w:rsid w:val="0E795DEE"/>
    <w:rsid w:val="0E7B3260"/>
    <w:rsid w:val="0E804638"/>
    <w:rsid w:val="0E854758"/>
    <w:rsid w:val="0EAB0282"/>
    <w:rsid w:val="0EC370FE"/>
    <w:rsid w:val="0EC4408A"/>
    <w:rsid w:val="0ECD6BD5"/>
    <w:rsid w:val="0EDA3DE0"/>
    <w:rsid w:val="0EE241B0"/>
    <w:rsid w:val="0EE470B9"/>
    <w:rsid w:val="0EE51F3F"/>
    <w:rsid w:val="0EE67C37"/>
    <w:rsid w:val="0EE96C61"/>
    <w:rsid w:val="0EEF6278"/>
    <w:rsid w:val="0F070719"/>
    <w:rsid w:val="0F0E340F"/>
    <w:rsid w:val="0F110F65"/>
    <w:rsid w:val="0F126FC2"/>
    <w:rsid w:val="0F1821BC"/>
    <w:rsid w:val="0F1F71AB"/>
    <w:rsid w:val="0F206FE9"/>
    <w:rsid w:val="0F246E43"/>
    <w:rsid w:val="0F2F2F21"/>
    <w:rsid w:val="0F303168"/>
    <w:rsid w:val="0F3346BD"/>
    <w:rsid w:val="0F521390"/>
    <w:rsid w:val="0F551890"/>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8781F"/>
    <w:rsid w:val="0FC24482"/>
    <w:rsid w:val="0FC754B6"/>
    <w:rsid w:val="0FCD46F4"/>
    <w:rsid w:val="0FCE3065"/>
    <w:rsid w:val="0FE107E2"/>
    <w:rsid w:val="0FE336DE"/>
    <w:rsid w:val="0FED1D3E"/>
    <w:rsid w:val="10065756"/>
    <w:rsid w:val="100A69A4"/>
    <w:rsid w:val="100E17EE"/>
    <w:rsid w:val="10140347"/>
    <w:rsid w:val="101B54B3"/>
    <w:rsid w:val="101C6175"/>
    <w:rsid w:val="104210EE"/>
    <w:rsid w:val="10495D6E"/>
    <w:rsid w:val="104C1069"/>
    <w:rsid w:val="10513C3F"/>
    <w:rsid w:val="10541F36"/>
    <w:rsid w:val="105D2D1E"/>
    <w:rsid w:val="10623D8F"/>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C02E80"/>
    <w:rsid w:val="10C121EA"/>
    <w:rsid w:val="10C2285B"/>
    <w:rsid w:val="10C54276"/>
    <w:rsid w:val="10D27169"/>
    <w:rsid w:val="10D309E2"/>
    <w:rsid w:val="10D621B1"/>
    <w:rsid w:val="10D81E5C"/>
    <w:rsid w:val="10DA39AB"/>
    <w:rsid w:val="10DE746C"/>
    <w:rsid w:val="10EB7A42"/>
    <w:rsid w:val="10F16967"/>
    <w:rsid w:val="10F21B48"/>
    <w:rsid w:val="10F61CDD"/>
    <w:rsid w:val="10F91FDE"/>
    <w:rsid w:val="10F941E9"/>
    <w:rsid w:val="11083015"/>
    <w:rsid w:val="110A357B"/>
    <w:rsid w:val="110D2E2E"/>
    <w:rsid w:val="1113498F"/>
    <w:rsid w:val="11145DE6"/>
    <w:rsid w:val="111A2147"/>
    <w:rsid w:val="112252CB"/>
    <w:rsid w:val="11360EF9"/>
    <w:rsid w:val="113641BB"/>
    <w:rsid w:val="113B0B58"/>
    <w:rsid w:val="113D775B"/>
    <w:rsid w:val="11410876"/>
    <w:rsid w:val="114608E7"/>
    <w:rsid w:val="114F3D65"/>
    <w:rsid w:val="115347BC"/>
    <w:rsid w:val="11545887"/>
    <w:rsid w:val="11597C64"/>
    <w:rsid w:val="116228E3"/>
    <w:rsid w:val="11631325"/>
    <w:rsid w:val="116345A4"/>
    <w:rsid w:val="11667833"/>
    <w:rsid w:val="11687433"/>
    <w:rsid w:val="1178450A"/>
    <w:rsid w:val="117B53DF"/>
    <w:rsid w:val="117B71D3"/>
    <w:rsid w:val="11845F00"/>
    <w:rsid w:val="118A58E4"/>
    <w:rsid w:val="118F0DB3"/>
    <w:rsid w:val="11916F88"/>
    <w:rsid w:val="11A51BB6"/>
    <w:rsid w:val="11AC6860"/>
    <w:rsid w:val="11B62D0B"/>
    <w:rsid w:val="11BE6E3E"/>
    <w:rsid w:val="11C52A21"/>
    <w:rsid w:val="11C75474"/>
    <w:rsid w:val="11D26FDB"/>
    <w:rsid w:val="11D435B9"/>
    <w:rsid w:val="11D8409F"/>
    <w:rsid w:val="11D95083"/>
    <w:rsid w:val="11DD2AAB"/>
    <w:rsid w:val="11DE26F2"/>
    <w:rsid w:val="11DF6987"/>
    <w:rsid w:val="11EA23C8"/>
    <w:rsid w:val="11EB5C95"/>
    <w:rsid w:val="11ED6242"/>
    <w:rsid w:val="12010E7D"/>
    <w:rsid w:val="120506CD"/>
    <w:rsid w:val="12075A2C"/>
    <w:rsid w:val="120A0C4D"/>
    <w:rsid w:val="120A38DA"/>
    <w:rsid w:val="12101A57"/>
    <w:rsid w:val="12193170"/>
    <w:rsid w:val="12193813"/>
    <w:rsid w:val="121D6AE3"/>
    <w:rsid w:val="121F75CC"/>
    <w:rsid w:val="12271CB0"/>
    <w:rsid w:val="122C1A12"/>
    <w:rsid w:val="1232130B"/>
    <w:rsid w:val="12395D63"/>
    <w:rsid w:val="12401AD9"/>
    <w:rsid w:val="12421E9D"/>
    <w:rsid w:val="12571C4D"/>
    <w:rsid w:val="125C09FF"/>
    <w:rsid w:val="12657F0C"/>
    <w:rsid w:val="126830F6"/>
    <w:rsid w:val="126B5207"/>
    <w:rsid w:val="126F57E1"/>
    <w:rsid w:val="12760E78"/>
    <w:rsid w:val="127673DB"/>
    <w:rsid w:val="127E0189"/>
    <w:rsid w:val="12810A1D"/>
    <w:rsid w:val="12854B81"/>
    <w:rsid w:val="12927837"/>
    <w:rsid w:val="12A30BAA"/>
    <w:rsid w:val="12A709D5"/>
    <w:rsid w:val="12A867C5"/>
    <w:rsid w:val="12B56515"/>
    <w:rsid w:val="12BE11B2"/>
    <w:rsid w:val="12C21464"/>
    <w:rsid w:val="12C40A29"/>
    <w:rsid w:val="12C42DA1"/>
    <w:rsid w:val="12C45CF0"/>
    <w:rsid w:val="12C948D2"/>
    <w:rsid w:val="12CB14EE"/>
    <w:rsid w:val="12CE6902"/>
    <w:rsid w:val="12D54B1A"/>
    <w:rsid w:val="12EE0F39"/>
    <w:rsid w:val="12EF155A"/>
    <w:rsid w:val="12F17350"/>
    <w:rsid w:val="12F712FB"/>
    <w:rsid w:val="12FA0E2E"/>
    <w:rsid w:val="12FF7A62"/>
    <w:rsid w:val="13037A88"/>
    <w:rsid w:val="133844CA"/>
    <w:rsid w:val="1347596A"/>
    <w:rsid w:val="13477178"/>
    <w:rsid w:val="134B5A55"/>
    <w:rsid w:val="134C0AA1"/>
    <w:rsid w:val="136041BC"/>
    <w:rsid w:val="136F4FE6"/>
    <w:rsid w:val="13713F6F"/>
    <w:rsid w:val="13762A14"/>
    <w:rsid w:val="137E2E27"/>
    <w:rsid w:val="138C25C7"/>
    <w:rsid w:val="138E741D"/>
    <w:rsid w:val="1390357D"/>
    <w:rsid w:val="139670E5"/>
    <w:rsid w:val="13970D93"/>
    <w:rsid w:val="139F1C24"/>
    <w:rsid w:val="13A023E7"/>
    <w:rsid w:val="13A04270"/>
    <w:rsid w:val="13A86C77"/>
    <w:rsid w:val="13A90344"/>
    <w:rsid w:val="13A9454D"/>
    <w:rsid w:val="13B35BBD"/>
    <w:rsid w:val="13BF3D28"/>
    <w:rsid w:val="13C32466"/>
    <w:rsid w:val="13C77F07"/>
    <w:rsid w:val="13CE4E2F"/>
    <w:rsid w:val="13CF48B4"/>
    <w:rsid w:val="13E45E4B"/>
    <w:rsid w:val="13F57229"/>
    <w:rsid w:val="13F60043"/>
    <w:rsid w:val="13F63AC9"/>
    <w:rsid w:val="13FF4761"/>
    <w:rsid w:val="1401651E"/>
    <w:rsid w:val="14065625"/>
    <w:rsid w:val="14127CF3"/>
    <w:rsid w:val="1416357F"/>
    <w:rsid w:val="14175C6D"/>
    <w:rsid w:val="14182B9E"/>
    <w:rsid w:val="141A193D"/>
    <w:rsid w:val="14211963"/>
    <w:rsid w:val="142160CA"/>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933736"/>
    <w:rsid w:val="149D19D1"/>
    <w:rsid w:val="14AD2447"/>
    <w:rsid w:val="14BD0C90"/>
    <w:rsid w:val="14BD7435"/>
    <w:rsid w:val="14D41B03"/>
    <w:rsid w:val="14EC7262"/>
    <w:rsid w:val="14F50637"/>
    <w:rsid w:val="14F56962"/>
    <w:rsid w:val="14FD3DC3"/>
    <w:rsid w:val="15052F44"/>
    <w:rsid w:val="152446F6"/>
    <w:rsid w:val="15274A34"/>
    <w:rsid w:val="152C74BF"/>
    <w:rsid w:val="152E54C4"/>
    <w:rsid w:val="1535555F"/>
    <w:rsid w:val="15382813"/>
    <w:rsid w:val="154B27A9"/>
    <w:rsid w:val="154B6CF6"/>
    <w:rsid w:val="15516306"/>
    <w:rsid w:val="155B06BC"/>
    <w:rsid w:val="155B6FCC"/>
    <w:rsid w:val="15620F8B"/>
    <w:rsid w:val="156514F3"/>
    <w:rsid w:val="15707694"/>
    <w:rsid w:val="157477F0"/>
    <w:rsid w:val="157F4B83"/>
    <w:rsid w:val="15864057"/>
    <w:rsid w:val="158A2F64"/>
    <w:rsid w:val="158C53F6"/>
    <w:rsid w:val="15946EC2"/>
    <w:rsid w:val="1594709F"/>
    <w:rsid w:val="159B1410"/>
    <w:rsid w:val="159D2E6C"/>
    <w:rsid w:val="15A625C0"/>
    <w:rsid w:val="15A70541"/>
    <w:rsid w:val="15A7643A"/>
    <w:rsid w:val="15AD4348"/>
    <w:rsid w:val="15AD7612"/>
    <w:rsid w:val="15B96153"/>
    <w:rsid w:val="15BC619F"/>
    <w:rsid w:val="15BF618A"/>
    <w:rsid w:val="15C40EFF"/>
    <w:rsid w:val="15CA097E"/>
    <w:rsid w:val="15D92955"/>
    <w:rsid w:val="15F5535B"/>
    <w:rsid w:val="15F569FA"/>
    <w:rsid w:val="15F656C7"/>
    <w:rsid w:val="15F85F00"/>
    <w:rsid w:val="15F969EC"/>
    <w:rsid w:val="16005D04"/>
    <w:rsid w:val="1607152F"/>
    <w:rsid w:val="160D7883"/>
    <w:rsid w:val="160E7A4D"/>
    <w:rsid w:val="16104DB0"/>
    <w:rsid w:val="1613433D"/>
    <w:rsid w:val="16200AF2"/>
    <w:rsid w:val="162E270B"/>
    <w:rsid w:val="162E2ADD"/>
    <w:rsid w:val="16313AA6"/>
    <w:rsid w:val="163267A4"/>
    <w:rsid w:val="163C0B35"/>
    <w:rsid w:val="16405266"/>
    <w:rsid w:val="164561DB"/>
    <w:rsid w:val="1651617C"/>
    <w:rsid w:val="166852CC"/>
    <w:rsid w:val="16696EE3"/>
    <w:rsid w:val="16713663"/>
    <w:rsid w:val="167518D2"/>
    <w:rsid w:val="168864E9"/>
    <w:rsid w:val="16907088"/>
    <w:rsid w:val="1697702E"/>
    <w:rsid w:val="169A4327"/>
    <w:rsid w:val="169D4FCC"/>
    <w:rsid w:val="16A26D59"/>
    <w:rsid w:val="16A31912"/>
    <w:rsid w:val="16A52825"/>
    <w:rsid w:val="16A60389"/>
    <w:rsid w:val="16AC66DD"/>
    <w:rsid w:val="16AD326E"/>
    <w:rsid w:val="16B06BAD"/>
    <w:rsid w:val="16B17712"/>
    <w:rsid w:val="16B95CF7"/>
    <w:rsid w:val="16C42B77"/>
    <w:rsid w:val="16D55B33"/>
    <w:rsid w:val="16D74218"/>
    <w:rsid w:val="16DD2E8B"/>
    <w:rsid w:val="16E376E7"/>
    <w:rsid w:val="16E40C30"/>
    <w:rsid w:val="16E72981"/>
    <w:rsid w:val="16EB66D9"/>
    <w:rsid w:val="16EE35CD"/>
    <w:rsid w:val="16F47BF5"/>
    <w:rsid w:val="16F500A9"/>
    <w:rsid w:val="16F872C3"/>
    <w:rsid w:val="16FA06E3"/>
    <w:rsid w:val="170167F2"/>
    <w:rsid w:val="17035AAC"/>
    <w:rsid w:val="17054499"/>
    <w:rsid w:val="170B0BD9"/>
    <w:rsid w:val="170D5EDA"/>
    <w:rsid w:val="17197EC3"/>
    <w:rsid w:val="171E2D1A"/>
    <w:rsid w:val="172E1BBE"/>
    <w:rsid w:val="173A6824"/>
    <w:rsid w:val="173B1FA1"/>
    <w:rsid w:val="173C594E"/>
    <w:rsid w:val="17503F57"/>
    <w:rsid w:val="17505DD6"/>
    <w:rsid w:val="17586CB0"/>
    <w:rsid w:val="17596CA9"/>
    <w:rsid w:val="17600681"/>
    <w:rsid w:val="17665D9F"/>
    <w:rsid w:val="17696EA4"/>
    <w:rsid w:val="17795030"/>
    <w:rsid w:val="177B0627"/>
    <w:rsid w:val="177D3C16"/>
    <w:rsid w:val="178501CB"/>
    <w:rsid w:val="178A042D"/>
    <w:rsid w:val="178A1F82"/>
    <w:rsid w:val="17920EA7"/>
    <w:rsid w:val="1797450B"/>
    <w:rsid w:val="17A644BF"/>
    <w:rsid w:val="17A92F07"/>
    <w:rsid w:val="17B23E0F"/>
    <w:rsid w:val="17B31B32"/>
    <w:rsid w:val="17B80549"/>
    <w:rsid w:val="17C063A0"/>
    <w:rsid w:val="17C16366"/>
    <w:rsid w:val="17C76A67"/>
    <w:rsid w:val="17DA0F7A"/>
    <w:rsid w:val="17DC2D7F"/>
    <w:rsid w:val="17E95276"/>
    <w:rsid w:val="17EA38A1"/>
    <w:rsid w:val="17EB77A3"/>
    <w:rsid w:val="17EC5E41"/>
    <w:rsid w:val="1806537C"/>
    <w:rsid w:val="18066C18"/>
    <w:rsid w:val="181C2683"/>
    <w:rsid w:val="181E4167"/>
    <w:rsid w:val="18341D76"/>
    <w:rsid w:val="18351C27"/>
    <w:rsid w:val="18553A22"/>
    <w:rsid w:val="18607956"/>
    <w:rsid w:val="186E420E"/>
    <w:rsid w:val="187A14AA"/>
    <w:rsid w:val="187B7B4F"/>
    <w:rsid w:val="1887188F"/>
    <w:rsid w:val="18935E66"/>
    <w:rsid w:val="18A35548"/>
    <w:rsid w:val="18A63203"/>
    <w:rsid w:val="18A77689"/>
    <w:rsid w:val="18A816B2"/>
    <w:rsid w:val="18B25B64"/>
    <w:rsid w:val="18B8431F"/>
    <w:rsid w:val="18B90C48"/>
    <w:rsid w:val="18BC4ADF"/>
    <w:rsid w:val="18BD1521"/>
    <w:rsid w:val="18BD2E66"/>
    <w:rsid w:val="18BE7EAB"/>
    <w:rsid w:val="18CF2450"/>
    <w:rsid w:val="18DA12E6"/>
    <w:rsid w:val="18E62F4B"/>
    <w:rsid w:val="18E85386"/>
    <w:rsid w:val="18FC503B"/>
    <w:rsid w:val="19027C40"/>
    <w:rsid w:val="190E3326"/>
    <w:rsid w:val="190E3538"/>
    <w:rsid w:val="19164D1E"/>
    <w:rsid w:val="192D514C"/>
    <w:rsid w:val="193544CD"/>
    <w:rsid w:val="19443AA2"/>
    <w:rsid w:val="1945355B"/>
    <w:rsid w:val="194817FC"/>
    <w:rsid w:val="194A0D45"/>
    <w:rsid w:val="195159CB"/>
    <w:rsid w:val="195961D5"/>
    <w:rsid w:val="195C14E8"/>
    <w:rsid w:val="196515C3"/>
    <w:rsid w:val="197859DA"/>
    <w:rsid w:val="1980769C"/>
    <w:rsid w:val="19884F66"/>
    <w:rsid w:val="19917CFC"/>
    <w:rsid w:val="1997576B"/>
    <w:rsid w:val="1998697F"/>
    <w:rsid w:val="199A20B4"/>
    <w:rsid w:val="19A71B82"/>
    <w:rsid w:val="19B84C88"/>
    <w:rsid w:val="19C6694E"/>
    <w:rsid w:val="19D11E61"/>
    <w:rsid w:val="19D5618C"/>
    <w:rsid w:val="19E22401"/>
    <w:rsid w:val="19E23808"/>
    <w:rsid w:val="19F44B16"/>
    <w:rsid w:val="1A00532F"/>
    <w:rsid w:val="1A040FBD"/>
    <w:rsid w:val="1A067DCA"/>
    <w:rsid w:val="1A102A1C"/>
    <w:rsid w:val="1A13214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C70097"/>
    <w:rsid w:val="1ACC39D6"/>
    <w:rsid w:val="1ADE0868"/>
    <w:rsid w:val="1AF7489C"/>
    <w:rsid w:val="1AFA3523"/>
    <w:rsid w:val="1AFD3AEA"/>
    <w:rsid w:val="1B05238D"/>
    <w:rsid w:val="1B13587B"/>
    <w:rsid w:val="1B1D44BA"/>
    <w:rsid w:val="1B2C07D2"/>
    <w:rsid w:val="1B2C5EE0"/>
    <w:rsid w:val="1B3604D3"/>
    <w:rsid w:val="1B364D11"/>
    <w:rsid w:val="1B3865C6"/>
    <w:rsid w:val="1B3E5EDE"/>
    <w:rsid w:val="1B433153"/>
    <w:rsid w:val="1B467529"/>
    <w:rsid w:val="1B4B00CA"/>
    <w:rsid w:val="1B566C78"/>
    <w:rsid w:val="1B5F1247"/>
    <w:rsid w:val="1B6307EA"/>
    <w:rsid w:val="1B79696C"/>
    <w:rsid w:val="1B7E1824"/>
    <w:rsid w:val="1B825166"/>
    <w:rsid w:val="1B890C23"/>
    <w:rsid w:val="1B9411FC"/>
    <w:rsid w:val="1B9D6CE8"/>
    <w:rsid w:val="1BA866D1"/>
    <w:rsid w:val="1BBB422B"/>
    <w:rsid w:val="1BC600B5"/>
    <w:rsid w:val="1BCD55F8"/>
    <w:rsid w:val="1BE011AE"/>
    <w:rsid w:val="1BE30F90"/>
    <w:rsid w:val="1BE31093"/>
    <w:rsid w:val="1BE956C8"/>
    <w:rsid w:val="1C022294"/>
    <w:rsid w:val="1C0B35D4"/>
    <w:rsid w:val="1C12573D"/>
    <w:rsid w:val="1C1D1EE2"/>
    <w:rsid w:val="1C234861"/>
    <w:rsid w:val="1C2E319B"/>
    <w:rsid w:val="1C3477C5"/>
    <w:rsid w:val="1C4F6563"/>
    <w:rsid w:val="1C545F3D"/>
    <w:rsid w:val="1C556488"/>
    <w:rsid w:val="1C563FE3"/>
    <w:rsid w:val="1C5A182A"/>
    <w:rsid w:val="1C62402E"/>
    <w:rsid w:val="1C62587C"/>
    <w:rsid w:val="1C6818E0"/>
    <w:rsid w:val="1C6F3BF6"/>
    <w:rsid w:val="1C722E7E"/>
    <w:rsid w:val="1C784A9F"/>
    <w:rsid w:val="1C7D008B"/>
    <w:rsid w:val="1C7D2EB6"/>
    <w:rsid w:val="1C805B43"/>
    <w:rsid w:val="1C852BB0"/>
    <w:rsid w:val="1C8D54A8"/>
    <w:rsid w:val="1C8E63A1"/>
    <w:rsid w:val="1C9651FD"/>
    <w:rsid w:val="1C9C41C6"/>
    <w:rsid w:val="1CA42FB6"/>
    <w:rsid w:val="1CB21A29"/>
    <w:rsid w:val="1CCB32EE"/>
    <w:rsid w:val="1CD23361"/>
    <w:rsid w:val="1CD35882"/>
    <w:rsid w:val="1CE302F7"/>
    <w:rsid w:val="1CEC4F96"/>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B4B5A"/>
    <w:rsid w:val="1D584348"/>
    <w:rsid w:val="1D597DDF"/>
    <w:rsid w:val="1D5D209F"/>
    <w:rsid w:val="1D6D4785"/>
    <w:rsid w:val="1D6E27CD"/>
    <w:rsid w:val="1D767ADA"/>
    <w:rsid w:val="1D7A0D45"/>
    <w:rsid w:val="1D845021"/>
    <w:rsid w:val="1D861B2D"/>
    <w:rsid w:val="1D896FB3"/>
    <w:rsid w:val="1D91741D"/>
    <w:rsid w:val="1D9318C5"/>
    <w:rsid w:val="1D941B55"/>
    <w:rsid w:val="1DAB7998"/>
    <w:rsid w:val="1DB01072"/>
    <w:rsid w:val="1DB2076E"/>
    <w:rsid w:val="1DB43F2E"/>
    <w:rsid w:val="1DBE6DCD"/>
    <w:rsid w:val="1DC2628A"/>
    <w:rsid w:val="1DCF57CE"/>
    <w:rsid w:val="1DD11EB5"/>
    <w:rsid w:val="1DD246EC"/>
    <w:rsid w:val="1DD63079"/>
    <w:rsid w:val="1DD859F5"/>
    <w:rsid w:val="1DDA6EEA"/>
    <w:rsid w:val="1DDD63A7"/>
    <w:rsid w:val="1DE56ABE"/>
    <w:rsid w:val="1DFC4DF9"/>
    <w:rsid w:val="1E0435A0"/>
    <w:rsid w:val="1E110D2A"/>
    <w:rsid w:val="1E1247A2"/>
    <w:rsid w:val="1E155062"/>
    <w:rsid w:val="1E193E9C"/>
    <w:rsid w:val="1E1B38E9"/>
    <w:rsid w:val="1E1B7186"/>
    <w:rsid w:val="1E303EF3"/>
    <w:rsid w:val="1E3F6D05"/>
    <w:rsid w:val="1E494B8A"/>
    <w:rsid w:val="1E4F0222"/>
    <w:rsid w:val="1E5C2AF3"/>
    <w:rsid w:val="1E795C41"/>
    <w:rsid w:val="1E7E640D"/>
    <w:rsid w:val="1E7F3A72"/>
    <w:rsid w:val="1E8064D3"/>
    <w:rsid w:val="1E861E21"/>
    <w:rsid w:val="1EA72270"/>
    <w:rsid w:val="1EBD6E42"/>
    <w:rsid w:val="1EC25D1C"/>
    <w:rsid w:val="1EC74AB4"/>
    <w:rsid w:val="1EC87ABC"/>
    <w:rsid w:val="1ED242FC"/>
    <w:rsid w:val="1ED56C03"/>
    <w:rsid w:val="1EDA0174"/>
    <w:rsid w:val="1EDB3888"/>
    <w:rsid w:val="1EE05F54"/>
    <w:rsid w:val="1EE332A7"/>
    <w:rsid w:val="1EF579A0"/>
    <w:rsid w:val="1F05532C"/>
    <w:rsid w:val="1F095121"/>
    <w:rsid w:val="1F0C3604"/>
    <w:rsid w:val="1F0D0383"/>
    <w:rsid w:val="1F0F4C7A"/>
    <w:rsid w:val="1F1527EE"/>
    <w:rsid w:val="1F20034A"/>
    <w:rsid w:val="1F251ABC"/>
    <w:rsid w:val="1F290391"/>
    <w:rsid w:val="1F2A2D10"/>
    <w:rsid w:val="1F370102"/>
    <w:rsid w:val="1F3F0073"/>
    <w:rsid w:val="1F43546C"/>
    <w:rsid w:val="1F48506F"/>
    <w:rsid w:val="1F4B10C3"/>
    <w:rsid w:val="1F5C7F87"/>
    <w:rsid w:val="1F6C1D79"/>
    <w:rsid w:val="1F792E9A"/>
    <w:rsid w:val="1F7B67F6"/>
    <w:rsid w:val="1F7C518B"/>
    <w:rsid w:val="1F881F59"/>
    <w:rsid w:val="1F977565"/>
    <w:rsid w:val="1F9B644E"/>
    <w:rsid w:val="1FA429B4"/>
    <w:rsid w:val="1FB34801"/>
    <w:rsid w:val="1FB75185"/>
    <w:rsid w:val="1FB97163"/>
    <w:rsid w:val="1FBD0EE6"/>
    <w:rsid w:val="1FC10346"/>
    <w:rsid w:val="1FC16504"/>
    <w:rsid w:val="1FDB745E"/>
    <w:rsid w:val="1FDD028C"/>
    <w:rsid w:val="1FF955B0"/>
    <w:rsid w:val="1FFA3EAB"/>
    <w:rsid w:val="1FFB3FF4"/>
    <w:rsid w:val="20176E76"/>
    <w:rsid w:val="20270162"/>
    <w:rsid w:val="203F0CD6"/>
    <w:rsid w:val="20655E4F"/>
    <w:rsid w:val="207308C3"/>
    <w:rsid w:val="207411D3"/>
    <w:rsid w:val="20743131"/>
    <w:rsid w:val="207536DF"/>
    <w:rsid w:val="20783BF9"/>
    <w:rsid w:val="20786435"/>
    <w:rsid w:val="20811113"/>
    <w:rsid w:val="20874766"/>
    <w:rsid w:val="2088281D"/>
    <w:rsid w:val="2088475A"/>
    <w:rsid w:val="20917F9C"/>
    <w:rsid w:val="2094661E"/>
    <w:rsid w:val="20951ED4"/>
    <w:rsid w:val="20962536"/>
    <w:rsid w:val="20AF5726"/>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14223"/>
    <w:rsid w:val="21200021"/>
    <w:rsid w:val="21257F04"/>
    <w:rsid w:val="21291A31"/>
    <w:rsid w:val="21353F50"/>
    <w:rsid w:val="2138052E"/>
    <w:rsid w:val="213C3CC5"/>
    <w:rsid w:val="214776EA"/>
    <w:rsid w:val="21522E38"/>
    <w:rsid w:val="2159046C"/>
    <w:rsid w:val="21592762"/>
    <w:rsid w:val="215F3A68"/>
    <w:rsid w:val="21611A31"/>
    <w:rsid w:val="21635586"/>
    <w:rsid w:val="21760888"/>
    <w:rsid w:val="217B17E2"/>
    <w:rsid w:val="218810BD"/>
    <w:rsid w:val="218D61A9"/>
    <w:rsid w:val="2190117D"/>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2539C"/>
    <w:rsid w:val="21F65A58"/>
    <w:rsid w:val="21FB61D0"/>
    <w:rsid w:val="220B3AD6"/>
    <w:rsid w:val="22191ECB"/>
    <w:rsid w:val="221E272E"/>
    <w:rsid w:val="2221560D"/>
    <w:rsid w:val="222A1FFE"/>
    <w:rsid w:val="222B075F"/>
    <w:rsid w:val="22367DC0"/>
    <w:rsid w:val="223C2D91"/>
    <w:rsid w:val="22426753"/>
    <w:rsid w:val="224D7BB0"/>
    <w:rsid w:val="22541D32"/>
    <w:rsid w:val="225474CD"/>
    <w:rsid w:val="225E1754"/>
    <w:rsid w:val="225F0409"/>
    <w:rsid w:val="226D42BA"/>
    <w:rsid w:val="227078B0"/>
    <w:rsid w:val="2271187B"/>
    <w:rsid w:val="22833161"/>
    <w:rsid w:val="228338C8"/>
    <w:rsid w:val="22840DDA"/>
    <w:rsid w:val="22876A0D"/>
    <w:rsid w:val="22A11695"/>
    <w:rsid w:val="22A63B38"/>
    <w:rsid w:val="22A73490"/>
    <w:rsid w:val="22A8489A"/>
    <w:rsid w:val="22AA7376"/>
    <w:rsid w:val="22AB3B60"/>
    <w:rsid w:val="22AF11A1"/>
    <w:rsid w:val="22B22D1F"/>
    <w:rsid w:val="22B33D99"/>
    <w:rsid w:val="22BB4A47"/>
    <w:rsid w:val="22BC2773"/>
    <w:rsid w:val="22BE29D6"/>
    <w:rsid w:val="22C27BE8"/>
    <w:rsid w:val="22C4003E"/>
    <w:rsid w:val="22D02654"/>
    <w:rsid w:val="22D10E4B"/>
    <w:rsid w:val="22D90210"/>
    <w:rsid w:val="22D912F9"/>
    <w:rsid w:val="22E1284D"/>
    <w:rsid w:val="22E73006"/>
    <w:rsid w:val="22EB3773"/>
    <w:rsid w:val="22EE13BE"/>
    <w:rsid w:val="22F31E85"/>
    <w:rsid w:val="22F71A54"/>
    <w:rsid w:val="22F74CC6"/>
    <w:rsid w:val="22FB2321"/>
    <w:rsid w:val="22FF6AA7"/>
    <w:rsid w:val="2306325F"/>
    <w:rsid w:val="230749DA"/>
    <w:rsid w:val="230753E2"/>
    <w:rsid w:val="230F5270"/>
    <w:rsid w:val="2311101C"/>
    <w:rsid w:val="231869B1"/>
    <w:rsid w:val="2319089C"/>
    <w:rsid w:val="231B2491"/>
    <w:rsid w:val="232515D0"/>
    <w:rsid w:val="232F45E5"/>
    <w:rsid w:val="23382F5D"/>
    <w:rsid w:val="233857DC"/>
    <w:rsid w:val="233E2231"/>
    <w:rsid w:val="23443C8F"/>
    <w:rsid w:val="23561548"/>
    <w:rsid w:val="23561CD1"/>
    <w:rsid w:val="235E47B6"/>
    <w:rsid w:val="23644FB5"/>
    <w:rsid w:val="23646298"/>
    <w:rsid w:val="236B32CC"/>
    <w:rsid w:val="2372506B"/>
    <w:rsid w:val="2376691B"/>
    <w:rsid w:val="2378146C"/>
    <w:rsid w:val="238D2D50"/>
    <w:rsid w:val="238D66BE"/>
    <w:rsid w:val="239540DC"/>
    <w:rsid w:val="23965F67"/>
    <w:rsid w:val="23A00272"/>
    <w:rsid w:val="23A02531"/>
    <w:rsid w:val="23A11F4F"/>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B72B1"/>
    <w:rsid w:val="24026C92"/>
    <w:rsid w:val="24027DBA"/>
    <w:rsid w:val="240657B6"/>
    <w:rsid w:val="240B36D8"/>
    <w:rsid w:val="240C2CCA"/>
    <w:rsid w:val="240C553C"/>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860612"/>
    <w:rsid w:val="24872D53"/>
    <w:rsid w:val="248E7D90"/>
    <w:rsid w:val="249321BF"/>
    <w:rsid w:val="249C0D83"/>
    <w:rsid w:val="24A033EE"/>
    <w:rsid w:val="24B51B12"/>
    <w:rsid w:val="24C434A5"/>
    <w:rsid w:val="24CA496C"/>
    <w:rsid w:val="24D35568"/>
    <w:rsid w:val="24D72C44"/>
    <w:rsid w:val="24DB51FA"/>
    <w:rsid w:val="24E954E0"/>
    <w:rsid w:val="24F37FEF"/>
    <w:rsid w:val="24F82FB3"/>
    <w:rsid w:val="2504405A"/>
    <w:rsid w:val="251809ED"/>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B4AE4"/>
    <w:rsid w:val="258C3B89"/>
    <w:rsid w:val="258C6B00"/>
    <w:rsid w:val="259114ED"/>
    <w:rsid w:val="2593720A"/>
    <w:rsid w:val="25996F48"/>
    <w:rsid w:val="259A3CB2"/>
    <w:rsid w:val="259E4C39"/>
    <w:rsid w:val="259E5828"/>
    <w:rsid w:val="25A92B92"/>
    <w:rsid w:val="25AB0A3D"/>
    <w:rsid w:val="25AC370D"/>
    <w:rsid w:val="25B22B68"/>
    <w:rsid w:val="25B5218E"/>
    <w:rsid w:val="25C15D16"/>
    <w:rsid w:val="25C55B83"/>
    <w:rsid w:val="25CD5BF1"/>
    <w:rsid w:val="25CD62C3"/>
    <w:rsid w:val="25D31208"/>
    <w:rsid w:val="25DA65CA"/>
    <w:rsid w:val="25DB6649"/>
    <w:rsid w:val="25DD0809"/>
    <w:rsid w:val="25E27416"/>
    <w:rsid w:val="25E46656"/>
    <w:rsid w:val="25E47484"/>
    <w:rsid w:val="25E92FBE"/>
    <w:rsid w:val="25F17275"/>
    <w:rsid w:val="25F31E31"/>
    <w:rsid w:val="25F70EE4"/>
    <w:rsid w:val="25FC0B75"/>
    <w:rsid w:val="260139F3"/>
    <w:rsid w:val="260556D5"/>
    <w:rsid w:val="26080DD9"/>
    <w:rsid w:val="26082798"/>
    <w:rsid w:val="26095114"/>
    <w:rsid w:val="260E454E"/>
    <w:rsid w:val="261464EE"/>
    <w:rsid w:val="26280E6C"/>
    <w:rsid w:val="262E05B0"/>
    <w:rsid w:val="26327A25"/>
    <w:rsid w:val="26372014"/>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E33E5B"/>
    <w:rsid w:val="26E70CA8"/>
    <w:rsid w:val="26F17CAD"/>
    <w:rsid w:val="26F51567"/>
    <w:rsid w:val="26F54808"/>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E0335"/>
    <w:rsid w:val="275D1356"/>
    <w:rsid w:val="275D4A89"/>
    <w:rsid w:val="27625310"/>
    <w:rsid w:val="27641213"/>
    <w:rsid w:val="277A2EC6"/>
    <w:rsid w:val="27841ADD"/>
    <w:rsid w:val="278B7262"/>
    <w:rsid w:val="278E7D5F"/>
    <w:rsid w:val="279429E3"/>
    <w:rsid w:val="27966F4A"/>
    <w:rsid w:val="27A74D7A"/>
    <w:rsid w:val="27A75735"/>
    <w:rsid w:val="27A91AD2"/>
    <w:rsid w:val="27AE6E2D"/>
    <w:rsid w:val="27AF57B8"/>
    <w:rsid w:val="27B24596"/>
    <w:rsid w:val="27B25FFF"/>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A5F82"/>
    <w:rsid w:val="28014303"/>
    <w:rsid w:val="280410A7"/>
    <w:rsid w:val="281713C1"/>
    <w:rsid w:val="28202089"/>
    <w:rsid w:val="28210C3B"/>
    <w:rsid w:val="283E3927"/>
    <w:rsid w:val="28432F7C"/>
    <w:rsid w:val="285065F4"/>
    <w:rsid w:val="28557C44"/>
    <w:rsid w:val="28564AD0"/>
    <w:rsid w:val="285E1540"/>
    <w:rsid w:val="28634EA7"/>
    <w:rsid w:val="2868554F"/>
    <w:rsid w:val="286A70A6"/>
    <w:rsid w:val="286D715D"/>
    <w:rsid w:val="28710251"/>
    <w:rsid w:val="287270BD"/>
    <w:rsid w:val="287508F6"/>
    <w:rsid w:val="288C7056"/>
    <w:rsid w:val="288F598A"/>
    <w:rsid w:val="289910F7"/>
    <w:rsid w:val="28A14F66"/>
    <w:rsid w:val="28A4234C"/>
    <w:rsid w:val="28A63531"/>
    <w:rsid w:val="28A773FC"/>
    <w:rsid w:val="28CA5B35"/>
    <w:rsid w:val="28D02425"/>
    <w:rsid w:val="28D527CA"/>
    <w:rsid w:val="28DB1A3D"/>
    <w:rsid w:val="28F133CC"/>
    <w:rsid w:val="28F729CE"/>
    <w:rsid w:val="28F934CA"/>
    <w:rsid w:val="28FA5F7F"/>
    <w:rsid w:val="29056F59"/>
    <w:rsid w:val="2907017C"/>
    <w:rsid w:val="291218C3"/>
    <w:rsid w:val="2912731C"/>
    <w:rsid w:val="29150A19"/>
    <w:rsid w:val="29157321"/>
    <w:rsid w:val="291F35AA"/>
    <w:rsid w:val="2925391D"/>
    <w:rsid w:val="292B0670"/>
    <w:rsid w:val="292E0A29"/>
    <w:rsid w:val="29325A72"/>
    <w:rsid w:val="2938341E"/>
    <w:rsid w:val="293A6E92"/>
    <w:rsid w:val="29566904"/>
    <w:rsid w:val="29582224"/>
    <w:rsid w:val="29585835"/>
    <w:rsid w:val="296074D7"/>
    <w:rsid w:val="29712D8F"/>
    <w:rsid w:val="29736267"/>
    <w:rsid w:val="297B31D3"/>
    <w:rsid w:val="298103BD"/>
    <w:rsid w:val="298D4850"/>
    <w:rsid w:val="29971F57"/>
    <w:rsid w:val="299C7DCA"/>
    <w:rsid w:val="29A021A8"/>
    <w:rsid w:val="29A942FB"/>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307EBE"/>
    <w:rsid w:val="2A3E413F"/>
    <w:rsid w:val="2A430F4D"/>
    <w:rsid w:val="2A5303B9"/>
    <w:rsid w:val="2A534A67"/>
    <w:rsid w:val="2A5F67A3"/>
    <w:rsid w:val="2A6151C4"/>
    <w:rsid w:val="2A664C59"/>
    <w:rsid w:val="2A6B464E"/>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A32A0"/>
    <w:rsid w:val="2B26693B"/>
    <w:rsid w:val="2B2F1FC7"/>
    <w:rsid w:val="2B2F2F22"/>
    <w:rsid w:val="2B37764D"/>
    <w:rsid w:val="2B3F6547"/>
    <w:rsid w:val="2B4F2967"/>
    <w:rsid w:val="2B5C1A7C"/>
    <w:rsid w:val="2B6525E9"/>
    <w:rsid w:val="2B6E19DB"/>
    <w:rsid w:val="2B756050"/>
    <w:rsid w:val="2B7C5660"/>
    <w:rsid w:val="2B8944AA"/>
    <w:rsid w:val="2B92679C"/>
    <w:rsid w:val="2B96506D"/>
    <w:rsid w:val="2B986BC6"/>
    <w:rsid w:val="2BA16669"/>
    <w:rsid w:val="2BAE20A5"/>
    <w:rsid w:val="2BAF2381"/>
    <w:rsid w:val="2BB1376A"/>
    <w:rsid w:val="2BBA7E05"/>
    <w:rsid w:val="2BBB17D5"/>
    <w:rsid w:val="2BC3413A"/>
    <w:rsid w:val="2BC45396"/>
    <w:rsid w:val="2BD540AD"/>
    <w:rsid w:val="2BF336C9"/>
    <w:rsid w:val="2BF33ED5"/>
    <w:rsid w:val="2BFB7405"/>
    <w:rsid w:val="2C006833"/>
    <w:rsid w:val="2C034F7B"/>
    <w:rsid w:val="2C040D89"/>
    <w:rsid w:val="2C0509D9"/>
    <w:rsid w:val="2C05481D"/>
    <w:rsid w:val="2C056AF9"/>
    <w:rsid w:val="2C220DB4"/>
    <w:rsid w:val="2C247FF1"/>
    <w:rsid w:val="2C3C0030"/>
    <w:rsid w:val="2C3F3887"/>
    <w:rsid w:val="2C45016F"/>
    <w:rsid w:val="2C516E38"/>
    <w:rsid w:val="2C533A6A"/>
    <w:rsid w:val="2C560EA3"/>
    <w:rsid w:val="2C617496"/>
    <w:rsid w:val="2C62156F"/>
    <w:rsid w:val="2C6F41F6"/>
    <w:rsid w:val="2C730778"/>
    <w:rsid w:val="2C7E030A"/>
    <w:rsid w:val="2C833FFB"/>
    <w:rsid w:val="2C8F430E"/>
    <w:rsid w:val="2C970335"/>
    <w:rsid w:val="2CA21894"/>
    <w:rsid w:val="2CA4476E"/>
    <w:rsid w:val="2CAD4F6B"/>
    <w:rsid w:val="2CB17FD2"/>
    <w:rsid w:val="2CC16AFA"/>
    <w:rsid w:val="2CC95D10"/>
    <w:rsid w:val="2CCB5A72"/>
    <w:rsid w:val="2CD57684"/>
    <w:rsid w:val="2CD67A0B"/>
    <w:rsid w:val="2CD75666"/>
    <w:rsid w:val="2CD83FF1"/>
    <w:rsid w:val="2CDC6591"/>
    <w:rsid w:val="2CDE08F2"/>
    <w:rsid w:val="2CE03AB0"/>
    <w:rsid w:val="2CEB494F"/>
    <w:rsid w:val="2CEF53E3"/>
    <w:rsid w:val="2CF53A56"/>
    <w:rsid w:val="2CF649A9"/>
    <w:rsid w:val="2CFC27E4"/>
    <w:rsid w:val="2D0766E4"/>
    <w:rsid w:val="2D0B702A"/>
    <w:rsid w:val="2D107EBA"/>
    <w:rsid w:val="2D1B67A1"/>
    <w:rsid w:val="2D1F4BCA"/>
    <w:rsid w:val="2D221AAA"/>
    <w:rsid w:val="2D2651C9"/>
    <w:rsid w:val="2D476C62"/>
    <w:rsid w:val="2D504333"/>
    <w:rsid w:val="2D521264"/>
    <w:rsid w:val="2D567058"/>
    <w:rsid w:val="2D57290A"/>
    <w:rsid w:val="2D5D7FE8"/>
    <w:rsid w:val="2D5E7E01"/>
    <w:rsid w:val="2D6030A2"/>
    <w:rsid w:val="2D660EF9"/>
    <w:rsid w:val="2D6C2B47"/>
    <w:rsid w:val="2D763F45"/>
    <w:rsid w:val="2D820204"/>
    <w:rsid w:val="2D8402FC"/>
    <w:rsid w:val="2D88024C"/>
    <w:rsid w:val="2D935488"/>
    <w:rsid w:val="2D960FB5"/>
    <w:rsid w:val="2D9B4423"/>
    <w:rsid w:val="2DAC2EF4"/>
    <w:rsid w:val="2DAD4BCD"/>
    <w:rsid w:val="2DB453FF"/>
    <w:rsid w:val="2DBE423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F18AD"/>
    <w:rsid w:val="2E28757C"/>
    <w:rsid w:val="2E2C723F"/>
    <w:rsid w:val="2E332EEF"/>
    <w:rsid w:val="2E3F6B8A"/>
    <w:rsid w:val="2E406C31"/>
    <w:rsid w:val="2E467FE7"/>
    <w:rsid w:val="2E527715"/>
    <w:rsid w:val="2E530660"/>
    <w:rsid w:val="2E531152"/>
    <w:rsid w:val="2E565287"/>
    <w:rsid w:val="2E5F1E47"/>
    <w:rsid w:val="2E682652"/>
    <w:rsid w:val="2E6B6D27"/>
    <w:rsid w:val="2E7A506F"/>
    <w:rsid w:val="2E7B0600"/>
    <w:rsid w:val="2E7B273D"/>
    <w:rsid w:val="2E7D30EA"/>
    <w:rsid w:val="2E8028E0"/>
    <w:rsid w:val="2E88139A"/>
    <w:rsid w:val="2E8B051E"/>
    <w:rsid w:val="2E8F062E"/>
    <w:rsid w:val="2E905D65"/>
    <w:rsid w:val="2E9D560F"/>
    <w:rsid w:val="2E9F7EC1"/>
    <w:rsid w:val="2EA234E1"/>
    <w:rsid w:val="2EB17C70"/>
    <w:rsid w:val="2EB411B5"/>
    <w:rsid w:val="2EBD49E1"/>
    <w:rsid w:val="2EBF0ED1"/>
    <w:rsid w:val="2EC42186"/>
    <w:rsid w:val="2EC7495E"/>
    <w:rsid w:val="2EC776BB"/>
    <w:rsid w:val="2ECA39AD"/>
    <w:rsid w:val="2ECC0C07"/>
    <w:rsid w:val="2ED03009"/>
    <w:rsid w:val="2EF224CD"/>
    <w:rsid w:val="2EF67D61"/>
    <w:rsid w:val="2EFA2F2B"/>
    <w:rsid w:val="2F2E23A6"/>
    <w:rsid w:val="2F350F19"/>
    <w:rsid w:val="2F383567"/>
    <w:rsid w:val="2F3B1918"/>
    <w:rsid w:val="2F415DC8"/>
    <w:rsid w:val="2F514AAE"/>
    <w:rsid w:val="2F531FEB"/>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C6646"/>
    <w:rsid w:val="2F9D4AA3"/>
    <w:rsid w:val="2F9F094E"/>
    <w:rsid w:val="2FB11323"/>
    <w:rsid w:val="2FBB6A2A"/>
    <w:rsid w:val="2FC2166F"/>
    <w:rsid w:val="2FCB0952"/>
    <w:rsid w:val="2FD53529"/>
    <w:rsid w:val="2FD80709"/>
    <w:rsid w:val="2FDF2368"/>
    <w:rsid w:val="2FDF7CD4"/>
    <w:rsid w:val="2FEC08C6"/>
    <w:rsid w:val="2FF532B7"/>
    <w:rsid w:val="2FF674CB"/>
    <w:rsid w:val="2FF7251F"/>
    <w:rsid w:val="30007788"/>
    <w:rsid w:val="301977C7"/>
    <w:rsid w:val="30205153"/>
    <w:rsid w:val="30253FAB"/>
    <w:rsid w:val="30270D6F"/>
    <w:rsid w:val="303B3B59"/>
    <w:rsid w:val="303C0C41"/>
    <w:rsid w:val="303D6437"/>
    <w:rsid w:val="30443F81"/>
    <w:rsid w:val="305831D6"/>
    <w:rsid w:val="305A4537"/>
    <w:rsid w:val="30632880"/>
    <w:rsid w:val="3070014A"/>
    <w:rsid w:val="307B4FFA"/>
    <w:rsid w:val="308136E0"/>
    <w:rsid w:val="3095375A"/>
    <w:rsid w:val="309B2688"/>
    <w:rsid w:val="30A90B96"/>
    <w:rsid w:val="30A91070"/>
    <w:rsid w:val="30B86332"/>
    <w:rsid w:val="30C91D87"/>
    <w:rsid w:val="30D10B78"/>
    <w:rsid w:val="30D251E3"/>
    <w:rsid w:val="30D36EB7"/>
    <w:rsid w:val="30D45137"/>
    <w:rsid w:val="30D51A41"/>
    <w:rsid w:val="30E7233C"/>
    <w:rsid w:val="31076B28"/>
    <w:rsid w:val="31076EFA"/>
    <w:rsid w:val="310866BC"/>
    <w:rsid w:val="31154DED"/>
    <w:rsid w:val="31215B33"/>
    <w:rsid w:val="312A36B1"/>
    <w:rsid w:val="313A2CAC"/>
    <w:rsid w:val="313E6356"/>
    <w:rsid w:val="31460C29"/>
    <w:rsid w:val="314B3239"/>
    <w:rsid w:val="315B21E9"/>
    <w:rsid w:val="315B5E62"/>
    <w:rsid w:val="31604DC0"/>
    <w:rsid w:val="31607973"/>
    <w:rsid w:val="3163108E"/>
    <w:rsid w:val="3167538F"/>
    <w:rsid w:val="317544CD"/>
    <w:rsid w:val="31765162"/>
    <w:rsid w:val="317A487D"/>
    <w:rsid w:val="31833BCE"/>
    <w:rsid w:val="318A1515"/>
    <w:rsid w:val="31944F6F"/>
    <w:rsid w:val="31963456"/>
    <w:rsid w:val="31A51052"/>
    <w:rsid w:val="31A84B64"/>
    <w:rsid w:val="31B12D3C"/>
    <w:rsid w:val="31B2653B"/>
    <w:rsid w:val="31B266EC"/>
    <w:rsid w:val="31B45163"/>
    <w:rsid w:val="31B81D35"/>
    <w:rsid w:val="31C3729F"/>
    <w:rsid w:val="31CB617D"/>
    <w:rsid w:val="31CC0ECB"/>
    <w:rsid w:val="31DD2EC1"/>
    <w:rsid w:val="31DF1DB8"/>
    <w:rsid w:val="31F020DC"/>
    <w:rsid w:val="31F072F8"/>
    <w:rsid w:val="32061C7F"/>
    <w:rsid w:val="320A52D8"/>
    <w:rsid w:val="320D2005"/>
    <w:rsid w:val="32136025"/>
    <w:rsid w:val="32220D79"/>
    <w:rsid w:val="32252577"/>
    <w:rsid w:val="32294648"/>
    <w:rsid w:val="322F0831"/>
    <w:rsid w:val="3238009F"/>
    <w:rsid w:val="323F5519"/>
    <w:rsid w:val="32471CC6"/>
    <w:rsid w:val="324F0134"/>
    <w:rsid w:val="32540593"/>
    <w:rsid w:val="32582CC3"/>
    <w:rsid w:val="327179A4"/>
    <w:rsid w:val="32775626"/>
    <w:rsid w:val="32835AB1"/>
    <w:rsid w:val="328A3A5F"/>
    <w:rsid w:val="328D7371"/>
    <w:rsid w:val="328E2231"/>
    <w:rsid w:val="329326B7"/>
    <w:rsid w:val="329426A2"/>
    <w:rsid w:val="329708DE"/>
    <w:rsid w:val="32AD1211"/>
    <w:rsid w:val="32E12F9A"/>
    <w:rsid w:val="32E87F66"/>
    <w:rsid w:val="32EC46FB"/>
    <w:rsid w:val="32FF12B8"/>
    <w:rsid w:val="330073AA"/>
    <w:rsid w:val="33020BF1"/>
    <w:rsid w:val="330710D7"/>
    <w:rsid w:val="331E3887"/>
    <w:rsid w:val="33224534"/>
    <w:rsid w:val="332742E9"/>
    <w:rsid w:val="332A1AC1"/>
    <w:rsid w:val="332C71E1"/>
    <w:rsid w:val="332E1BC2"/>
    <w:rsid w:val="332F3B66"/>
    <w:rsid w:val="333B116B"/>
    <w:rsid w:val="333E2024"/>
    <w:rsid w:val="33427ABB"/>
    <w:rsid w:val="33616D4E"/>
    <w:rsid w:val="33821BAB"/>
    <w:rsid w:val="338378EA"/>
    <w:rsid w:val="33885755"/>
    <w:rsid w:val="339E18B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F44FC"/>
    <w:rsid w:val="33FE7E15"/>
    <w:rsid w:val="33FF1154"/>
    <w:rsid w:val="340074AF"/>
    <w:rsid w:val="340948E1"/>
    <w:rsid w:val="340D3904"/>
    <w:rsid w:val="341212B1"/>
    <w:rsid w:val="341321BE"/>
    <w:rsid w:val="34155C01"/>
    <w:rsid w:val="34293255"/>
    <w:rsid w:val="34314E1D"/>
    <w:rsid w:val="34374868"/>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440EB"/>
    <w:rsid w:val="348D33D3"/>
    <w:rsid w:val="3496737A"/>
    <w:rsid w:val="34A238C5"/>
    <w:rsid w:val="34AC0653"/>
    <w:rsid w:val="34AC2DE9"/>
    <w:rsid w:val="34B24855"/>
    <w:rsid w:val="34B84D9B"/>
    <w:rsid w:val="34BE7103"/>
    <w:rsid w:val="34C9343D"/>
    <w:rsid w:val="34CE3369"/>
    <w:rsid w:val="34DC1C67"/>
    <w:rsid w:val="34E47162"/>
    <w:rsid w:val="34E664D6"/>
    <w:rsid w:val="34F64CDD"/>
    <w:rsid w:val="34FF095B"/>
    <w:rsid w:val="3500311A"/>
    <w:rsid w:val="350B76BF"/>
    <w:rsid w:val="350C5C16"/>
    <w:rsid w:val="351710F0"/>
    <w:rsid w:val="351F4B47"/>
    <w:rsid w:val="352E435E"/>
    <w:rsid w:val="3534069E"/>
    <w:rsid w:val="353807E2"/>
    <w:rsid w:val="353D45FA"/>
    <w:rsid w:val="353F0E06"/>
    <w:rsid w:val="35422CF2"/>
    <w:rsid w:val="35505013"/>
    <w:rsid w:val="356D51F7"/>
    <w:rsid w:val="357972DF"/>
    <w:rsid w:val="357D79D3"/>
    <w:rsid w:val="35804F9D"/>
    <w:rsid w:val="35843B49"/>
    <w:rsid w:val="35884385"/>
    <w:rsid w:val="35890016"/>
    <w:rsid w:val="358B0F26"/>
    <w:rsid w:val="35924A15"/>
    <w:rsid w:val="359753B1"/>
    <w:rsid w:val="35A25468"/>
    <w:rsid w:val="35AC56FE"/>
    <w:rsid w:val="35C3354B"/>
    <w:rsid w:val="35D02A2E"/>
    <w:rsid w:val="35DF2011"/>
    <w:rsid w:val="35E1012B"/>
    <w:rsid w:val="35E1505C"/>
    <w:rsid w:val="35E328B8"/>
    <w:rsid w:val="35E3701E"/>
    <w:rsid w:val="35E420DE"/>
    <w:rsid w:val="35E607CD"/>
    <w:rsid w:val="35EB34A9"/>
    <w:rsid w:val="35EC6F4A"/>
    <w:rsid w:val="35EE6A38"/>
    <w:rsid w:val="35F5734F"/>
    <w:rsid w:val="35F65884"/>
    <w:rsid w:val="35F715DC"/>
    <w:rsid w:val="36057267"/>
    <w:rsid w:val="362131A7"/>
    <w:rsid w:val="362E1546"/>
    <w:rsid w:val="36330CA5"/>
    <w:rsid w:val="364236D7"/>
    <w:rsid w:val="3654563C"/>
    <w:rsid w:val="365763B3"/>
    <w:rsid w:val="366F70DE"/>
    <w:rsid w:val="367C0A7E"/>
    <w:rsid w:val="36856B5A"/>
    <w:rsid w:val="36883C27"/>
    <w:rsid w:val="36950061"/>
    <w:rsid w:val="36A32443"/>
    <w:rsid w:val="36A61ADA"/>
    <w:rsid w:val="36AC504E"/>
    <w:rsid w:val="36B45F51"/>
    <w:rsid w:val="36B7013F"/>
    <w:rsid w:val="36D40D9D"/>
    <w:rsid w:val="36D71D0D"/>
    <w:rsid w:val="36E17BD4"/>
    <w:rsid w:val="36E30071"/>
    <w:rsid w:val="36E31151"/>
    <w:rsid w:val="36E61D1E"/>
    <w:rsid w:val="36EF4947"/>
    <w:rsid w:val="36F76FAD"/>
    <w:rsid w:val="37060D5C"/>
    <w:rsid w:val="370F6D7D"/>
    <w:rsid w:val="3711176D"/>
    <w:rsid w:val="37113E21"/>
    <w:rsid w:val="37244D17"/>
    <w:rsid w:val="373F483B"/>
    <w:rsid w:val="37451D56"/>
    <w:rsid w:val="375C645A"/>
    <w:rsid w:val="37633810"/>
    <w:rsid w:val="37737FCD"/>
    <w:rsid w:val="377E4EC2"/>
    <w:rsid w:val="37831AFE"/>
    <w:rsid w:val="37855CA5"/>
    <w:rsid w:val="379747E4"/>
    <w:rsid w:val="37A10A3C"/>
    <w:rsid w:val="37A32862"/>
    <w:rsid w:val="37A771F1"/>
    <w:rsid w:val="37AA1FED"/>
    <w:rsid w:val="37B033F0"/>
    <w:rsid w:val="37B25951"/>
    <w:rsid w:val="37B82D37"/>
    <w:rsid w:val="37BB1880"/>
    <w:rsid w:val="37BF7DD8"/>
    <w:rsid w:val="37CA6F5D"/>
    <w:rsid w:val="37CF39F4"/>
    <w:rsid w:val="37DF4E44"/>
    <w:rsid w:val="38093CF4"/>
    <w:rsid w:val="38132FDB"/>
    <w:rsid w:val="381523AC"/>
    <w:rsid w:val="3816611D"/>
    <w:rsid w:val="381D6FCC"/>
    <w:rsid w:val="38255502"/>
    <w:rsid w:val="382563C3"/>
    <w:rsid w:val="382B10C6"/>
    <w:rsid w:val="384502C9"/>
    <w:rsid w:val="384757BF"/>
    <w:rsid w:val="384A568A"/>
    <w:rsid w:val="384C2E85"/>
    <w:rsid w:val="384D7A6B"/>
    <w:rsid w:val="38527F5E"/>
    <w:rsid w:val="38576EB1"/>
    <w:rsid w:val="385B78DA"/>
    <w:rsid w:val="385E7289"/>
    <w:rsid w:val="386B3647"/>
    <w:rsid w:val="386F64C6"/>
    <w:rsid w:val="38755246"/>
    <w:rsid w:val="38850F2D"/>
    <w:rsid w:val="388F47CD"/>
    <w:rsid w:val="3891497A"/>
    <w:rsid w:val="38934709"/>
    <w:rsid w:val="3899545E"/>
    <w:rsid w:val="389B63CB"/>
    <w:rsid w:val="389D36E7"/>
    <w:rsid w:val="38AD0AAC"/>
    <w:rsid w:val="38AF121A"/>
    <w:rsid w:val="38B10DA8"/>
    <w:rsid w:val="38B94B51"/>
    <w:rsid w:val="38B976FB"/>
    <w:rsid w:val="38BB5EDA"/>
    <w:rsid w:val="38C6779A"/>
    <w:rsid w:val="38DC2A26"/>
    <w:rsid w:val="38DC5040"/>
    <w:rsid w:val="38EA0958"/>
    <w:rsid w:val="38EA292A"/>
    <w:rsid w:val="38EB3140"/>
    <w:rsid w:val="38F71493"/>
    <w:rsid w:val="38FC7F68"/>
    <w:rsid w:val="390150BD"/>
    <w:rsid w:val="39015BC8"/>
    <w:rsid w:val="39132EBE"/>
    <w:rsid w:val="3923223F"/>
    <w:rsid w:val="393F3649"/>
    <w:rsid w:val="39434B25"/>
    <w:rsid w:val="39442CC4"/>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B6654"/>
    <w:rsid w:val="399C23C2"/>
    <w:rsid w:val="399E7C65"/>
    <w:rsid w:val="39A118CD"/>
    <w:rsid w:val="39A337DD"/>
    <w:rsid w:val="39B1002C"/>
    <w:rsid w:val="39B75345"/>
    <w:rsid w:val="39BA1CF7"/>
    <w:rsid w:val="39BA2065"/>
    <w:rsid w:val="39C83126"/>
    <w:rsid w:val="39CD4753"/>
    <w:rsid w:val="39D037AF"/>
    <w:rsid w:val="39D466BD"/>
    <w:rsid w:val="39D7158B"/>
    <w:rsid w:val="39DC1B39"/>
    <w:rsid w:val="39E03897"/>
    <w:rsid w:val="39E125BA"/>
    <w:rsid w:val="39EE1B0B"/>
    <w:rsid w:val="39F17FFD"/>
    <w:rsid w:val="3A03384A"/>
    <w:rsid w:val="3A066160"/>
    <w:rsid w:val="3A0D48B1"/>
    <w:rsid w:val="3A1810FA"/>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E2244"/>
    <w:rsid w:val="3A861E9F"/>
    <w:rsid w:val="3A897BA1"/>
    <w:rsid w:val="3A9038DA"/>
    <w:rsid w:val="3A936647"/>
    <w:rsid w:val="3A9E4B32"/>
    <w:rsid w:val="3A9F1B2C"/>
    <w:rsid w:val="3AA04C49"/>
    <w:rsid w:val="3AA54470"/>
    <w:rsid w:val="3AA913CF"/>
    <w:rsid w:val="3AB86069"/>
    <w:rsid w:val="3AC036CC"/>
    <w:rsid w:val="3AC205A6"/>
    <w:rsid w:val="3AC257A4"/>
    <w:rsid w:val="3AC334CD"/>
    <w:rsid w:val="3AD16134"/>
    <w:rsid w:val="3AD17EBD"/>
    <w:rsid w:val="3ADE382E"/>
    <w:rsid w:val="3AEA3CFC"/>
    <w:rsid w:val="3AF044A5"/>
    <w:rsid w:val="3AFC4CC9"/>
    <w:rsid w:val="3B00301D"/>
    <w:rsid w:val="3B1752EE"/>
    <w:rsid w:val="3B1C35AC"/>
    <w:rsid w:val="3B1F0CAE"/>
    <w:rsid w:val="3B22468C"/>
    <w:rsid w:val="3B292A67"/>
    <w:rsid w:val="3B3155AA"/>
    <w:rsid w:val="3B3E0B10"/>
    <w:rsid w:val="3B4F1508"/>
    <w:rsid w:val="3B580D61"/>
    <w:rsid w:val="3B696BF9"/>
    <w:rsid w:val="3B6F0DCA"/>
    <w:rsid w:val="3B7B2B0A"/>
    <w:rsid w:val="3B7C7B97"/>
    <w:rsid w:val="3B8372AE"/>
    <w:rsid w:val="3B914065"/>
    <w:rsid w:val="3B9F483C"/>
    <w:rsid w:val="3BB249F7"/>
    <w:rsid w:val="3BBE3122"/>
    <w:rsid w:val="3BC20515"/>
    <w:rsid w:val="3BC53C74"/>
    <w:rsid w:val="3BC62C0D"/>
    <w:rsid w:val="3BC772AB"/>
    <w:rsid w:val="3BC812C8"/>
    <w:rsid w:val="3BD741DE"/>
    <w:rsid w:val="3BE7491F"/>
    <w:rsid w:val="3BE82033"/>
    <w:rsid w:val="3BEF3F98"/>
    <w:rsid w:val="3BF01125"/>
    <w:rsid w:val="3BF82655"/>
    <w:rsid w:val="3BF90B59"/>
    <w:rsid w:val="3C035D20"/>
    <w:rsid w:val="3C0C1C74"/>
    <w:rsid w:val="3C12184A"/>
    <w:rsid w:val="3C165216"/>
    <w:rsid w:val="3C20030B"/>
    <w:rsid w:val="3C220A63"/>
    <w:rsid w:val="3C257E8D"/>
    <w:rsid w:val="3C286FD8"/>
    <w:rsid w:val="3C326DEB"/>
    <w:rsid w:val="3C3C1378"/>
    <w:rsid w:val="3C497D33"/>
    <w:rsid w:val="3C5A342C"/>
    <w:rsid w:val="3C5C0867"/>
    <w:rsid w:val="3C656EED"/>
    <w:rsid w:val="3C685003"/>
    <w:rsid w:val="3C6D452D"/>
    <w:rsid w:val="3C6E7843"/>
    <w:rsid w:val="3C727A71"/>
    <w:rsid w:val="3C732FE2"/>
    <w:rsid w:val="3C786DE5"/>
    <w:rsid w:val="3C7A3669"/>
    <w:rsid w:val="3C7D3E58"/>
    <w:rsid w:val="3C882BD0"/>
    <w:rsid w:val="3C94545E"/>
    <w:rsid w:val="3CAE0651"/>
    <w:rsid w:val="3CBC2D9B"/>
    <w:rsid w:val="3CC5588D"/>
    <w:rsid w:val="3CCD1D16"/>
    <w:rsid w:val="3CD83C07"/>
    <w:rsid w:val="3CD85D57"/>
    <w:rsid w:val="3CD87AA0"/>
    <w:rsid w:val="3CDA5112"/>
    <w:rsid w:val="3CDB62C1"/>
    <w:rsid w:val="3CE13BDF"/>
    <w:rsid w:val="3CE26359"/>
    <w:rsid w:val="3CE70364"/>
    <w:rsid w:val="3CFD4D35"/>
    <w:rsid w:val="3D064D69"/>
    <w:rsid w:val="3D0E399D"/>
    <w:rsid w:val="3D123F8D"/>
    <w:rsid w:val="3D12721E"/>
    <w:rsid w:val="3D1B45BC"/>
    <w:rsid w:val="3D27093B"/>
    <w:rsid w:val="3D351ADA"/>
    <w:rsid w:val="3D3D6CB6"/>
    <w:rsid w:val="3D444248"/>
    <w:rsid w:val="3D4B2FA5"/>
    <w:rsid w:val="3D527DA5"/>
    <w:rsid w:val="3D546058"/>
    <w:rsid w:val="3D5461A9"/>
    <w:rsid w:val="3D58650A"/>
    <w:rsid w:val="3D590765"/>
    <w:rsid w:val="3D5A6060"/>
    <w:rsid w:val="3D640E16"/>
    <w:rsid w:val="3D67132F"/>
    <w:rsid w:val="3D7B0D27"/>
    <w:rsid w:val="3D7E27A0"/>
    <w:rsid w:val="3D874F51"/>
    <w:rsid w:val="3D896CEB"/>
    <w:rsid w:val="3D9A2D6C"/>
    <w:rsid w:val="3D9D0681"/>
    <w:rsid w:val="3DAF1596"/>
    <w:rsid w:val="3DB52668"/>
    <w:rsid w:val="3DD3077A"/>
    <w:rsid w:val="3DDF7A0D"/>
    <w:rsid w:val="3DFD4BBE"/>
    <w:rsid w:val="3E00097B"/>
    <w:rsid w:val="3E011326"/>
    <w:rsid w:val="3E024B7B"/>
    <w:rsid w:val="3E104548"/>
    <w:rsid w:val="3E19435F"/>
    <w:rsid w:val="3E20393D"/>
    <w:rsid w:val="3E264903"/>
    <w:rsid w:val="3E2806A1"/>
    <w:rsid w:val="3E2E35CB"/>
    <w:rsid w:val="3E31025E"/>
    <w:rsid w:val="3E342DA3"/>
    <w:rsid w:val="3E471ABE"/>
    <w:rsid w:val="3E4755F9"/>
    <w:rsid w:val="3E492A39"/>
    <w:rsid w:val="3E556354"/>
    <w:rsid w:val="3E6336EF"/>
    <w:rsid w:val="3E660D1B"/>
    <w:rsid w:val="3E6E2E9E"/>
    <w:rsid w:val="3E8222F7"/>
    <w:rsid w:val="3E8258B1"/>
    <w:rsid w:val="3E8821CE"/>
    <w:rsid w:val="3E92738B"/>
    <w:rsid w:val="3E99456A"/>
    <w:rsid w:val="3EA0570F"/>
    <w:rsid w:val="3EAD3D57"/>
    <w:rsid w:val="3EAF02B7"/>
    <w:rsid w:val="3EB1188E"/>
    <w:rsid w:val="3EB428B4"/>
    <w:rsid w:val="3EBD63D7"/>
    <w:rsid w:val="3EC07733"/>
    <w:rsid w:val="3EC334A7"/>
    <w:rsid w:val="3EC678BC"/>
    <w:rsid w:val="3EE067CA"/>
    <w:rsid w:val="3EEF26AB"/>
    <w:rsid w:val="3EF21C38"/>
    <w:rsid w:val="3EF57D05"/>
    <w:rsid w:val="3EF96B38"/>
    <w:rsid w:val="3F002CCF"/>
    <w:rsid w:val="3F0566FF"/>
    <w:rsid w:val="3F0605BE"/>
    <w:rsid w:val="3F06365D"/>
    <w:rsid w:val="3F0A3CA5"/>
    <w:rsid w:val="3F0B1DB8"/>
    <w:rsid w:val="3F0E6EA3"/>
    <w:rsid w:val="3F122278"/>
    <w:rsid w:val="3F155D82"/>
    <w:rsid w:val="3F261DEC"/>
    <w:rsid w:val="3F305E06"/>
    <w:rsid w:val="3F47737F"/>
    <w:rsid w:val="3F523976"/>
    <w:rsid w:val="3F52626A"/>
    <w:rsid w:val="3F5322DF"/>
    <w:rsid w:val="3F556A35"/>
    <w:rsid w:val="3F5867B3"/>
    <w:rsid w:val="3F5A301C"/>
    <w:rsid w:val="3F637202"/>
    <w:rsid w:val="3F65418C"/>
    <w:rsid w:val="3F664F14"/>
    <w:rsid w:val="3F6763B0"/>
    <w:rsid w:val="3F6D1D36"/>
    <w:rsid w:val="3F6D2017"/>
    <w:rsid w:val="3F7339EB"/>
    <w:rsid w:val="3F770167"/>
    <w:rsid w:val="3F7D65D1"/>
    <w:rsid w:val="3F836296"/>
    <w:rsid w:val="3F9526FD"/>
    <w:rsid w:val="3F960218"/>
    <w:rsid w:val="3FA10F73"/>
    <w:rsid w:val="3FA51002"/>
    <w:rsid w:val="3FA5548C"/>
    <w:rsid w:val="3FB1448E"/>
    <w:rsid w:val="3FB33F0F"/>
    <w:rsid w:val="3FB56B87"/>
    <w:rsid w:val="3FB827B0"/>
    <w:rsid w:val="3FB9798A"/>
    <w:rsid w:val="3FBC4DF5"/>
    <w:rsid w:val="3FBE226E"/>
    <w:rsid w:val="3FC74EA5"/>
    <w:rsid w:val="3FC80A13"/>
    <w:rsid w:val="3FC924C5"/>
    <w:rsid w:val="3FD001E0"/>
    <w:rsid w:val="3FD35125"/>
    <w:rsid w:val="3FDD5AA3"/>
    <w:rsid w:val="3FDD60EB"/>
    <w:rsid w:val="3FE1611D"/>
    <w:rsid w:val="3FE9762E"/>
    <w:rsid w:val="3FEB7EF7"/>
    <w:rsid w:val="3FF0534A"/>
    <w:rsid w:val="3FFC6AA1"/>
    <w:rsid w:val="3FFE725C"/>
    <w:rsid w:val="400D4689"/>
    <w:rsid w:val="40171E63"/>
    <w:rsid w:val="401C023A"/>
    <w:rsid w:val="401E624D"/>
    <w:rsid w:val="4040700B"/>
    <w:rsid w:val="40505926"/>
    <w:rsid w:val="405074F9"/>
    <w:rsid w:val="40592E1A"/>
    <w:rsid w:val="40742B10"/>
    <w:rsid w:val="40851F94"/>
    <w:rsid w:val="40860806"/>
    <w:rsid w:val="408727EE"/>
    <w:rsid w:val="40881B05"/>
    <w:rsid w:val="408B015C"/>
    <w:rsid w:val="408D2092"/>
    <w:rsid w:val="40987E91"/>
    <w:rsid w:val="40AE535D"/>
    <w:rsid w:val="40B323C5"/>
    <w:rsid w:val="40B40F93"/>
    <w:rsid w:val="40B77C21"/>
    <w:rsid w:val="40BB1B3B"/>
    <w:rsid w:val="40C87F0D"/>
    <w:rsid w:val="40E13187"/>
    <w:rsid w:val="40E4111E"/>
    <w:rsid w:val="40F71EFC"/>
    <w:rsid w:val="40FA7D3C"/>
    <w:rsid w:val="40FC6040"/>
    <w:rsid w:val="41013098"/>
    <w:rsid w:val="410A66D3"/>
    <w:rsid w:val="411252F5"/>
    <w:rsid w:val="41216561"/>
    <w:rsid w:val="4126157E"/>
    <w:rsid w:val="412E1703"/>
    <w:rsid w:val="41341D04"/>
    <w:rsid w:val="41463814"/>
    <w:rsid w:val="414E4666"/>
    <w:rsid w:val="415840E7"/>
    <w:rsid w:val="415C6645"/>
    <w:rsid w:val="415D4AA5"/>
    <w:rsid w:val="415E3F30"/>
    <w:rsid w:val="41634269"/>
    <w:rsid w:val="416F185F"/>
    <w:rsid w:val="41755F8B"/>
    <w:rsid w:val="417E6FB2"/>
    <w:rsid w:val="41804E56"/>
    <w:rsid w:val="418B61F9"/>
    <w:rsid w:val="418C5064"/>
    <w:rsid w:val="41901D5A"/>
    <w:rsid w:val="41AE168E"/>
    <w:rsid w:val="41B000EA"/>
    <w:rsid w:val="41B625DB"/>
    <w:rsid w:val="41BB28C5"/>
    <w:rsid w:val="41C505B5"/>
    <w:rsid w:val="41D7643D"/>
    <w:rsid w:val="41D80DF6"/>
    <w:rsid w:val="41F41099"/>
    <w:rsid w:val="41F4144D"/>
    <w:rsid w:val="41F425A0"/>
    <w:rsid w:val="41FD1E4D"/>
    <w:rsid w:val="42004A07"/>
    <w:rsid w:val="42036CED"/>
    <w:rsid w:val="420445BE"/>
    <w:rsid w:val="42044B55"/>
    <w:rsid w:val="42106699"/>
    <w:rsid w:val="421D3532"/>
    <w:rsid w:val="422747DE"/>
    <w:rsid w:val="423D7E2C"/>
    <w:rsid w:val="4253494B"/>
    <w:rsid w:val="42563DD4"/>
    <w:rsid w:val="425F0874"/>
    <w:rsid w:val="42605991"/>
    <w:rsid w:val="42624CEC"/>
    <w:rsid w:val="426B2083"/>
    <w:rsid w:val="42745271"/>
    <w:rsid w:val="42746AFF"/>
    <w:rsid w:val="427A2426"/>
    <w:rsid w:val="428622E0"/>
    <w:rsid w:val="428740C5"/>
    <w:rsid w:val="4295023B"/>
    <w:rsid w:val="42A72E3E"/>
    <w:rsid w:val="42A9771E"/>
    <w:rsid w:val="42AF06BF"/>
    <w:rsid w:val="42AF744D"/>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3451E7"/>
    <w:rsid w:val="433454E3"/>
    <w:rsid w:val="43380FA2"/>
    <w:rsid w:val="433914CB"/>
    <w:rsid w:val="434030C7"/>
    <w:rsid w:val="434321EE"/>
    <w:rsid w:val="4357411B"/>
    <w:rsid w:val="43624524"/>
    <w:rsid w:val="436E4602"/>
    <w:rsid w:val="43773B38"/>
    <w:rsid w:val="437C303F"/>
    <w:rsid w:val="437E59F4"/>
    <w:rsid w:val="437F0235"/>
    <w:rsid w:val="438127FD"/>
    <w:rsid w:val="438C318F"/>
    <w:rsid w:val="438D2962"/>
    <w:rsid w:val="439125BA"/>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51B86"/>
    <w:rsid w:val="43D5596E"/>
    <w:rsid w:val="43D946DF"/>
    <w:rsid w:val="43DD3E84"/>
    <w:rsid w:val="43E63A35"/>
    <w:rsid w:val="43EA4AD8"/>
    <w:rsid w:val="43EA731F"/>
    <w:rsid w:val="43EF4362"/>
    <w:rsid w:val="43F5608C"/>
    <w:rsid w:val="43FA20D7"/>
    <w:rsid w:val="440A1D09"/>
    <w:rsid w:val="44105FE6"/>
    <w:rsid w:val="44163757"/>
    <w:rsid w:val="442E6250"/>
    <w:rsid w:val="44336B29"/>
    <w:rsid w:val="44411D78"/>
    <w:rsid w:val="444255C8"/>
    <w:rsid w:val="44555450"/>
    <w:rsid w:val="44565401"/>
    <w:rsid w:val="445C184B"/>
    <w:rsid w:val="445C1F8C"/>
    <w:rsid w:val="445C2CEB"/>
    <w:rsid w:val="44623D2C"/>
    <w:rsid w:val="4469425C"/>
    <w:rsid w:val="446C5925"/>
    <w:rsid w:val="44715BA6"/>
    <w:rsid w:val="44744DE1"/>
    <w:rsid w:val="4480267E"/>
    <w:rsid w:val="44813BCD"/>
    <w:rsid w:val="448F333F"/>
    <w:rsid w:val="449A5595"/>
    <w:rsid w:val="44A273D7"/>
    <w:rsid w:val="44A3165A"/>
    <w:rsid w:val="44A949BB"/>
    <w:rsid w:val="44B47D28"/>
    <w:rsid w:val="44BE6AFA"/>
    <w:rsid w:val="44BE7B38"/>
    <w:rsid w:val="44C10C52"/>
    <w:rsid w:val="44C4343F"/>
    <w:rsid w:val="44CC5637"/>
    <w:rsid w:val="44CE1860"/>
    <w:rsid w:val="44D01EAB"/>
    <w:rsid w:val="44D61276"/>
    <w:rsid w:val="44FB2020"/>
    <w:rsid w:val="450005C9"/>
    <w:rsid w:val="450E225C"/>
    <w:rsid w:val="450E5F3E"/>
    <w:rsid w:val="451C3C3F"/>
    <w:rsid w:val="45202195"/>
    <w:rsid w:val="45282E33"/>
    <w:rsid w:val="45361C96"/>
    <w:rsid w:val="45367180"/>
    <w:rsid w:val="453936A0"/>
    <w:rsid w:val="4555071F"/>
    <w:rsid w:val="455B027F"/>
    <w:rsid w:val="45634F36"/>
    <w:rsid w:val="456433C3"/>
    <w:rsid w:val="4566286A"/>
    <w:rsid w:val="456653F0"/>
    <w:rsid w:val="456745BB"/>
    <w:rsid w:val="45677DA7"/>
    <w:rsid w:val="45743F66"/>
    <w:rsid w:val="45761FD8"/>
    <w:rsid w:val="457B0C49"/>
    <w:rsid w:val="45864B77"/>
    <w:rsid w:val="458A06CD"/>
    <w:rsid w:val="458D3A63"/>
    <w:rsid w:val="4597177B"/>
    <w:rsid w:val="45A85821"/>
    <w:rsid w:val="45AA0EA4"/>
    <w:rsid w:val="45AC57A6"/>
    <w:rsid w:val="45AF03CF"/>
    <w:rsid w:val="45B23BD8"/>
    <w:rsid w:val="45B52BBB"/>
    <w:rsid w:val="45C3178B"/>
    <w:rsid w:val="45C81474"/>
    <w:rsid w:val="45C85D55"/>
    <w:rsid w:val="45C91BC6"/>
    <w:rsid w:val="45CD1312"/>
    <w:rsid w:val="45CE3F02"/>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5980"/>
    <w:rsid w:val="464C598F"/>
    <w:rsid w:val="46541012"/>
    <w:rsid w:val="46595BDC"/>
    <w:rsid w:val="465B04AA"/>
    <w:rsid w:val="466467A4"/>
    <w:rsid w:val="466B7E63"/>
    <w:rsid w:val="46726232"/>
    <w:rsid w:val="46731512"/>
    <w:rsid w:val="46795DED"/>
    <w:rsid w:val="468843FE"/>
    <w:rsid w:val="469849B7"/>
    <w:rsid w:val="46991FD8"/>
    <w:rsid w:val="469D4E61"/>
    <w:rsid w:val="46BC2272"/>
    <w:rsid w:val="46D62B88"/>
    <w:rsid w:val="46D929E4"/>
    <w:rsid w:val="46DA3CDF"/>
    <w:rsid w:val="46DD3A97"/>
    <w:rsid w:val="46E122D5"/>
    <w:rsid w:val="46E51519"/>
    <w:rsid w:val="46E72217"/>
    <w:rsid w:val="46EB56D0"/>
    <w:rsid w:val="46EF6BE5"/>
    <w:rsid w:val="46F94629"/>
    <w:rsid w:val="46FE33A2"/>
    <w:rsid w:val="47034B98"/>
    <w:rsid w:val="47067487"/>
    <w:rsid w:val="470675DD"/>
    <w:rsid w:val="47102BE0"/>
    <w:rsid w:val="47115999"/>
    <w:rsid w:val="47123D8D"/>
    <w:rsid w:val="471651A2"/>
    <w:rsid w:val="47195C33"/>
    <w:rsid w:val="472322A2"/>
    <w:rsid w:val="472E14A0"/>
    <w:rsid w:val="47304A60"/>
    <w:rsid w:val="47321070"/>
    <w:rsid w:val="47383706"/>
    <w:rsid w:val="473F3443"/>
    <w:rsid w:val="47442FEA"/>
    <w:rsid w:val="47476898"/>
    <w:rsid w:val="474825BA"/>
    <w:rsid w:val="47524966"/>
    <w:rsid w:val="4764753D"/>
    <w:rsid w:val="47663624"/>
    <w:rsid w:val="4779594B"/>
    <w:rsid w:val="477E3FE9"/>
    <w:rsid w:val="478E58BD"/>
    <w:rsid w:val="47997ECC"/>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B064E"/>
    <w:rsid w:val="48152A57"/>
    <w:rsid w:val="481B77EC"/>
    <w:rsid w:val="481F00E4"/>
    <w:rsid w:val="48230137"/>
    <w:rsid w:val="482A5E63"/>
    <w:rsid w:val="48357C17"/>
    <w:rsid w:val="483602D1"/>
    <w:rsid w:val="48360F72"/>
    <w:rsid w:val="48466EDC"/>
    <w:rsid w:val="486022F2"/>
    <w:rsid w:val="486505C9"/>
    <w:rsid w:val="48717233"/>
    <w:rsid w:val="487736C7"/>
    <w:rsid w:val="4886149A"/>
    <w:rsid w:val="48870995"/>
    <w:rsid w:val="488933F6"/>
    <w:rsid w:val="488F18B7"/>
    <w:rsid w:val="489C5A7F"/>
    <w:rsid w:val="489C5B95"/>
    <w:rsid w:val="489F248C"/>
    <w:rsid w:val="48A47128"/>
    <w:rsid w:val="48A53F58"/>
    <w:rsid w:val="48AA10E1"/>
    <w:rsid w:val="48AF1323"/>
    <w:rsid w:val="48B2080D"/>
    <w:rsid w:val="48B5518F"/>
    <w:rsid w:val="48BE6136"/>
    <w:rsid w:val="48C17060"/>
    <w:rsid w:val="48D22DB3"/>
    <w:rsid w:val="48D93445"/>
    <w:rsid w:val="48DA1D9C"/>
    <w:rsid w:val="48DC218D"/>
    <w:rsid w:val="48DF3D7D"/>
    <w:rsid w:val="48E915DE"/>
    <w:rsid w:val="48EB611E"/>
    <w:rsid w:val="48F7177C"/>
    <w:rsid w:val="490008E6"/>
    <w:rsid w:val="490425AB"/>
    <w:rsid w:val="49076238"/>
    <w:rsid w:val="49104838"/>
    <w:rsid w:val="49200C47"/>
    <w:rsid w:val="49250443"/>
    <w:rsid w:val="49267368"/>
    <w:rsid w:val="49276313"/>
    <w:rsid w:val="492F1B04"/>
    <w:rsid w:val="4930158D"/>
    <w:rsid w:val="493166F2"/>
    <w:rsid w:val="4943084D"/>
    <w:rsid w:val="495B2F5A"/>
    <w:rsid w:val="49660B64"/>
    <w:rsid w:val="496E056A"/>
    <w:rsid w:val="497930F9"/>
    <w:rsid w:val="497E5F0E"/>
    <w:rsid w:val="49895BF9"/>
    <w:rsid w:val="49896889"/>
    <w:rsid w:val="498B006E"/>
    <w:rsid w:val="499C126E"/>
    <w:rsid w:val="49A20032"/>
    <w:rsid w:val="49A82756"/>
    <w:rsid w:val="49A86BF4"/>
    <w:rsid w:val="49A902DE"/>
    <w:rsid w:val="49A961CD"/>
    <w:rsid w:val="49B337E8"/>
    <w:rsid w:val="49B57903"/>
    <w:rsid w:val="49BB0B72"/>
    <w:rsid w:val="49CD3C98"/>
    <w:rsid w:val="49E27CCF"/>
    <w:rsid w:val="49F44446"/>
    <w:rsid w:val="49FA00AE"/>
    <w:rsid w:val="4A037F7B"/>
    <w:rsid w:val="4A0C3345"/>
    <w:rsid w:val="4A12511A"/>
    <w:rsid w:val="4A2A339F"/>
    <w:rsid w:val="4A3849A0"/>
    <w:rsid w:val="4A3B0ADD"/>
    <w:rsid w:val="4A3D1213"/>
    <w:rsid w:val="4A405618"/>
    <w:rsid w:val="4A42752E"/>
    <w:rsid w:val="4A463FDD"/>
    <w:rsid w:val="4A4D2C8C"/>
    <w:rsid w:val="4A4D6FE1"/>
    <w:rsid w:val="4A4F464E"/>
    <w:rsid w:val="4A500FF5"/>
    <w:rsid w:val="4A51053D"/>
    <w:rsid w:val="4A541B9F"/>
    <w:rsid w:val="4A5B2412"/>
    <w:rsid w:val="4A603371"/>
    <w:rsid w:val="4A665A8F"/>
    <w:rsid w:val="4A6B6C00"/>
    <w:rsid w:val="4A7A1A7F"/>
    <w:rsid w:val="4A7B1C95"/>
    <w:rsid w:val="4A7C6D92"/>
    <w:rsid w:val="4A80680F"/>
    <w:rsid w:val="4A8B2BFF"/>
    <w:rsid w:val="4A8C3D45"/>
    <w:rsid w:val="4A996D58"/>
    <w:rsid w:val="4AA637CE"/>
    <w:rsid w:val="4AAA2363"/>
    <w:rsid w:val="4AAC0232"/>
    <w:rsid w:val="4AB420A2"/>
    <w:rsid w:val="4AB42562"/>
    <w:rsid w:val="4AB971E8"/>
    <w:rsid w:val="4ABC4127"/>
    <w:rsid w:val="4AC14B57"/>
    <w:rsid w:val="4AC462B3"/>
    <w:rsid w:val="4AC908CA"/>
    <w:rsid w:val="4AC95E08"/>
    <w:rsid w:val="4ACC60F1"/>
    <w:rsid w:val="4ACE3D63"/>
    <w:rsid w:val="4AD13FBF"/>
    <w:rsid w:val="4AD37FB6"/>
    <w:rsid w:val="4AF15169"/>
    <w:rsid w:val="4AF33411"/>
    <w:rsid w:val="4AFC4739"/>
    <w:rsid w:val="4AFF7966"/>
    <w:rsid w:val="4B0F4D9F"/>
    <w:rsid w:val="4B2B654D"/>
    <w:rsid w:val="4B2D2A9B"/>
    <w:rsid w:val="4B313BE7"/>
    <w:rsid w:val="4B331125"/>
    <w:rsid w:val="4B3405F9"/>
    <w:rsid w:val="4B473804"/>
    <w:rsid w:val="4B5151AA"/>
    <w:rsid w:val="4B537CBF"/>
    <w:rsid w:val="4B550153"/>
    <w:rsid w:val="4B641191"/>
    <w:rsid w:val="4B694B3A"/>
    <w:rsid w:val="4B76529F"/>
    <w:rsid w:val="4B7A237E"/>
    <w:rsid w:val="4B815FB3"/>
    <w:rsid w:val="4B86443F"/>
    <w:rsid w:val="4B9A0C4D"/>
    <w:rsid w:val="4B9B3B70"/>
    <w:rsid w:val="4B9E7936"/>
    <w:rsid w:val="4BB7667A"/>
    <w:rsid w:val="4BBA25CD"/>
    <w:rsid w:val="4BBB242F"/>
    <w:rsid w:val="4BC15B7C"/>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80D78"/>
    <w:rsid w:val="4C3D0756"/>
    <w:rsid w:val="4C3D5FB7"/>
    <w:rsid w:val="4C4C1686"/>
    <w:rsid w:val="4C513E4B"/>
    <w:rsid w:val="4C603F1D"/>
    <w:rsid w:val="4C635D18"/>
    <w:rsid w:val="4C670EB1"/>
    <w:rsid w:val="4C712086"/>
    <w:rsid w:val="4C7120EC"/>
    <w:rsid w:val="4C7B3D80"/>
    <w:rsid w:val="4C7C605E"/>
    <w:rsid w:val="4C7E2355"/>
    <w:rsid w:val="4C847264"/>
    <w:rsid w:val="4C970E7B"/>
    <w:rsid w:val="4CC1054F"/>
    <w:rsid w:val="4CCE079D"/>
    <w:rsid w:val="4CCE3699"/>
    <w:rsid w:val="4CEA4F4D"/>
    <w:rsid w:val="4CEC58DB"/>
    <w:rsid w:val="4CEF637A"/>
    <w:rsid w:val="4CF00FB6"/>
    <w:rsid w:val="4CF16277"/>
    <w:rsid w:val="4CF4672D"/>
    <w:rsid w:val="4CFA2AAF"/>
    <w:rsid w:val="4D035A68"/>
    <w:rsid w:val="4D0F26CE"/>
    <w:rsid w:val="4D147026"/>
    <w:rsid w:val="4D1478EC"/>
    <w:rsid w:val="4D165C91"/>
    <w:rsid w:val="4D235945"/>
    <w:rsid w:val="4D255F0E"/>
    <w:rsid w:val="4D2F06BA"/>
    <w:rsid w:val="4D304130"/>
    <w:rsid w:val="4D386B0D"/>
    <w:rsid w:val="4D4330D3"/>
    <w:rsid w:val="4D4B7DCE"/>
    <w:rsid w:val="4D545407"/>
    <w:rsid w:val="4D694F30"/>
    <w:rsid w:val="4D717BA1"/>
    <w:rsid w:val="4D7F56C3"/>
    <w:rsid w:val="4D855FB9"/>
    <w:rsid w:val="4D8A0B26"/>
    <w:rsid w:val="4D904FEE"/>
    <w:rsid w:val="4D910D8A"/>
    <w:rsid w:val="4D935425"/>
    <w:rsid w:val="4D953CDB"/>
    <w:rsid w:val="4D97309D"/>
    <w:rsid w:val="4D9E090F"/>
    <w:rsid w:val="4DAC6E91"/>
    <w:rsid w:val="4DAE3711"/>
    <w:rsid w:val="4DB63BC4"/>
    <w:rsid w:val="4DB7591C"/>
    <w:rsid w:val="4DBB2984"/>
    <w:rsid w:val="4DCC46DA"/>
    <w:rsid w:val="4DDD5EB7"/>
    <w:rsid w:val="4DDE45A5"/>
    <w:rsid w:val="4DE5023D"/>
    <w:rsid w:val="4DEB419D"/>
    <w:rsid w:val="4DF267CF"/>
    <w:rsid w:val="4DF6484E"/>
    <w:rsid w:val="4E043A0E"/>
    <w:rsid w:val="4E0B5D31"/>
    <w:rsid w:val="4E125681"/>
    <w:rsid w:val="4E1339D8"/>
    <w:rsid w:val="4E145C86"/>
    <w:rsid w:val="4E187CF8"/>
    <w:rsid w:val="4E1A5C2E"/>
    <w:rsid w:val="4E2B3781"/>
    <w:rsid w:val="4E337E4B"/>
    <w:rsid w:val="4E365771"/>
    <w:rsid w:val="4E3C5DC0"/>
    <w:rsid w:val="4E446F8B"/>
    <w:rsid w:val="4E4D4DE2"/>
    <w:rsid w:val="4E5669BF"/>
    <w:rsid w:val="4E651EA6"/>
    <w:rsid w:val="4E6757B0"/>
    <w:rsid w:val="4E6C4048"/>
    <w:rsid w:val="4E783D17"/>
    <w:rsid w:val="4E805C19"/>
    <w:rsid w:val="4E836C4E"/>
    <w:rsid w:val="4E865BCD"/>
    <w:rsid w:val="4E957162"/>
    <w:rsid w:val="4E9E60B6"/>
    <w:rsid w:val="4EA27ACB"/>
    <w:rsid w:val="4EB379F2"/>
    <w:rsid w:val="4EB838E0"/>
    <w:rsid w:val="4EBC3167"/>
    <w:rsid w:val="4EBC6632"/>
    <w:rsid w:val="4EBD4562"/>
    <w:rsid w:val="4EBD5620"/>
    <w:rsid w:val="4EBE0F4C"/>
    <w:rsid w:val="4ECD0F14"/>
    <w:rsid w:val="4ED017E4"/>
    <w:rsid w:val="4ED03B4F"/>
    <w:rsid w:val="4ED43AE8"/>
    <w:rsid w:val="4EDC1716"/>
    <w:rsid w:val="4EDF6F4B"/>
    <w:rsid w:val="4EE24F10"/>
    <w:rsid w:val="4EE77077"/>
    <w:rsid w:val="4EE8461F"/>
    <w:rsid w:val="4F0206C2"/>
    <w:rsid w:val="4F06414B"/>
    <w:rsid w:val="4F1A4FD6"/>
    <w:rsid w:val="4F1C2B4C"/>
    <w:rsid w:val="4F1E1A5A"/>
    <w:rsid w:val="4F2D5479"/>
    <w:rsid w:val="4F2E4FDB"/>
    <w:rsid w:val="4F3127D8"/>
    <w:rsid w:val="4F353521"/>
    <w:rsid w:val="4F3B798B"/>
    <w:rsid w:val="4F424396"/>
    <w:rsid w:val="4F461737"/>
    <w:rsid w:val="4F501AA5"/>
    <w:rsid w:val="4F507138"/>
    <w:rsid w:val="4F5431F2"/>
    <w:rsid w:val="4F594949"/>
    <w:rsid w:val="4F5A315B"/>
    <w:rsid w:val="4F7041A7"/>
    <w:rsid w:val="4F7349ED"/>
    <w:rsid w:val="4F7C7D62"/>
    <w:rsid w:val="4F88390E"/>
    <w:rsid w:val="4F8865D2"/>
    <w:rsid w:val="4F9102E3"/>
    <w:rsid w:val="4F9A400D"/>
    <w:rsid w:val="4FA11827"/>
    <w:rsid w:val="4FA57761"/>
    <w:rsid w:val="4FAB07C1"/>
    <w:rsid w:val="4FC12B67"/>
    <w:rsid w:val="4FD409F7"/>
    <w:rsid w:val="4FD41054"/>
    <w:rsid w:val="4FD66F8D"/>
    <w:rsid w:val="4FDB5605"/>
    <w:rsid w:val="4FDF7D08"/>
    <w:rsid w:val="4FE45662"/>
    <w:rsid w:val="4FE66728"/>
    <w:rsid w:val="4FE74DC2"/>
    <w:rsid w:val="4FF81090"/>
    <w:rsid w:val="4FFA1BE3"/>
    <w:rsid w:val="4FFF560B"/>
    <w:rsid w:val="50033BDE"/>
    <w:rsid w:val="50036BC4"/>
    <w:rsid w:val="500B0DCA"/>
    <w:rsid w:val="500C2A95"/>
    <w:rsid w:val="50133F8A"/>
    <w:rsid w:val="50140C07"/>
    <w:rsid w:val="50176E6F"/>
    <w:rsid w:val="50200664"/>
    <w:rsid w:val="502151EE"/>
    <w:rsid w:val="5022333C"/>
    <w:rsid w:val="50312196"/>
    <w:rsid w:val="50417E32"/>
    <w:rsid w:val="504768E3"/>
    <w:rsid w:val="504F0FB9"/>
    <w:rsid w:val="504F769B"/>
    <w:rsid w:val="50537FDD"/>
    <w:rsid w:val="50622728"/>
    <w:rsid w:val="507554C6"/>
    <w:rsid w:val="507D0063"/>
    <w:rsid w:val="508F1D63"/>
    <w:rsid w:val="508F6AC4"/>
    <w:rsid w:val="509A55F2"/>
    <w:rsid w:val="50A36924"/>
    <w:rsid w:val="50A732FC"/>
    <w:rsid w:val="50AA341E"/>
    <w:rsid w:val="50AB4E2F"/>
    <w:rsid w:val="50AC2418"/>
    <w:rsid w:val="50B421A0"/>
    <w:rsid w:val="50B70FED"/>
    <w:rsid w:val="50BA643F"/>
    <w:rsid w:val="50BC2897"/>
    <w:rsid w:val="50DA2205"/>
    <w:rsid w:val="50E57F59"/>
    <w:rsid w:val="50EA61D3"/>
    <w:rsid w:val="50FC41E2"/>
    <w:rsid w:val="510319B4"/>
    <w:rsid w:val="510A4E7D"/>
    <w:rsid w:val="51187091"/>
    <w:rsid w:val="51205217"/>
    <w:rsid w:val="51217565"/>
    <w:rsid w:val="512D5787"/>
    <w:rsid w:val="51371434"/>
    <w:rsid w:val="51382F84"/>
    <w:rsid w:val="513B4CBD"/>
    <w:rsid w:val="513F2A79"/>
    <w:rsid w:val="514E5DF0"/>
    <w:rsid w:val="51505C49"/>
    <w:rsid w:val="515F5E7D"/>
    <w:rsid w:val="51621B03"/>
    <w:rsid w:val="51677ABF"/>
    <w:rsid w:val="51736010"/>
    <w:rsid w:val="517F4109"/>
    <w:rsid w:val="518140E8"/>
    <w:rsid w:val="518961AE"/>
    <w:rsid w:val="518B0D8B"/>
    <w:rsid w:val="51905BB3"/>
    <w:rsid w:val="519E4C2D"/>
    <w:rsid w:val="51A15787"/>
    <w:rsid w:val="51A23180"/>
    <w:rsid w:val="51A44533"/>
    <w:rsid w:val="51B12C2B"/>
    <w:rsid w:val="51B625E5"/>
    <w:rsid w:val="51BB3190"/>
    <w:rsid w:val="51C31AB3"/>
    <w:rsid w:val="51C50057"/>
    <w:rsid w:val="51CA6470"/>
    <w:rsid w:val="51CF3752"/>
    <w:rsid w:val="51D221A2"/>
    <w:rsid w:val="51DC7D4F"/>
    <w:rsid w:val="51E372D3"/>
    <w:rsid w:val="51E952C3"/>
    <w:rsid w:val="51F763C2"/>
    <w:rsid w:val="52082F0E"/>
    <w:rsid w:val="520B29B2"/>
    <w:rsid w:val="52165ED6"/>
    <w:rsid w:val="52170D68"/>
    <w:rsid w:val="521832FA"/>
    <w:rsid w:val="521B5CF1"/>
    <w:rsid w:val="521E330E"/>
    <w:rsid w:val="52210969"/>
    <w:rsid w:val="52250331"/>
    <w:rsid w:val="52251937"/>
    <w:rsid w:val="52291DE3"/>
    <w:rsid w:val="522D32DC"/>
    <w:rsid w:val="522E032A"/>
    <w:rsid w:val="522E48FA"/>
    <w:rsid w:val="52436B21"/>
    <w:rsid w:val="52476CBE"/>
    <w:rsid w:val="52541687"/>
    <w:rsid w:val="525808AD"/>
    <w:rsid w:val="52606B21"/>
    <w:rsid w:val="526142ED"/>
    <w:rsid w:val="52675267"/>
    <w:rsid w:val="526A42D2"/>
    <w:rsid w:val="527456A0"/>
    <w:rsid w:val="52775B19"/>
    <w:rsid w:val="527820D3"/>
    <w:rsid w:val="528F6528"/>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3035F10"/>
    <w:rsid w:val="530445BC"/>
    <w:rsid w:val="53073E74"/>
    <w:rsid w:val="53184746"/>
    <w:rsid w:val="531972CB"/>
    <w:rsid w:val="53227F73"/>
    <w:rsid w:val="532342A1"/>
    <w:rsid w:val="532E4AC7"/>
    <w:rsid w:val="533E55DF"/>
    <w:rsid w:val="5360600D"/>
    <w:rsid w:val="53703765"/>
    <w:rsid w:val="5376095E"/>
    <w:rsid w:val="537A04E8"/>
    <w:rsid w:val="537D7719"/>
    <w:rsid w:val="53874180"/>
    <w:rsid w:val="53991F46"/>
    <w:rsid w:val="53A430C7"/>
    <w:rsid w:val="53B71A0D"/>
    <w:rsid w:val="53BA49C0"/>
    <w:rsid w:val="53BF11FF"/>
    <w:rsid w:val="53C2398F"/>
    <w:rsid w:val="53C92C10"/>
    <w:rsid w:val="53CF606A"/>
    <w:rsid w:val="53D111B0"/>
    <w:rsid w:val="53D73576"/>
    <w:rsid w:val="53E22364"/>
    <w:rsid w:val="53E35749"/>
    <w:rsid w:val="53EB4289"/>
    <w:rsid w:val="53F67F24"/>
    <w:rsid w:val="53FE5A9E"/>
    <w:rsid w:val="541C5A78"/>
    <w:rsid w:val="54257FE2"/>
    <w:rsid w:val="5428581F"/>
    <w:rsid w:val="542B47E5"/>
    <w:rsid w:val="54312A0A"/>
    <w:rsid w:val="54451C08"/>
    <w:rsid w:val="5450152B"/>
    <w:rsid w:val="545412A1"/>
    <w:rsid w:val="54591BCD"/>
    <w:rsid w:val="546936FE"/>
    <w:rsid w:val="546A602B"/>
    <w:rsid w:val="547034CA"/>
    <w:rsid w:val="547801F9"/>
    <w:rsid w:val="54877824"/>
    <w:rsid w:val="54967702"/>
    <w:rsid w:val="549B60CA"/>
    <w:rsid w:val="54A746D1"/>
    <w:rsid w:val="54B14984"/>
    <w:rsid w:val="54B34E33"/>
    <w:rsid w:val="54C257FC"/>
    <w:rsid w:val="54C51C65"/>
    <w:rsid w:val="54C766D3"/>
    <w:rsid w:val="54E32310"/>
    <w:rsid w:val="54E35B83"/>
    <w:rsid w:val="54E5570D"/>
    <w:rsid w:val="54E656A9"/>
    <w:rsid w:val="54E85406"/>
    <w:rsid w:val="54EE4DEC"/>
    <w:rsid w:val="54F93AE7"/>
    <w:rsid w:val="54F97DEB"/>
    <w:rsid w:val="55012EF3"/>
    <w:rsid w:val="55022588"/>
    <w:rsid w:val="550D4E7F"/>
    <w:rsid w:val="551B3ADB"/>
    <w:rsid w:val="55252910"/>
    <w:rsid w:val="552677BE"/>
    <w:rsid w:val="55313992"/>
    <w:rsid w:val="553772EA"/>
    <w:rsid w:val="553A6D2E"/>
    <w:rsid w:val="5546635B"/>
    <w:rsid w:val="55507B46"/>
    <w:rsid w:val="55534568"/>
    <w:rsid w:val="555A0EDC"/>
    <w:rsid w:val="55677E49"/>
    <w:rsid w:val="55692EAC"/>
    <w:rsid w:val="55714147"/>
    <w:rsid w:val="557C295E"/>
    <w:rsid w:val="557C5B0B"/>
    <w:rsid w:val="55812735"/>
    <w:rsid w:val="55861EC8"/>
    <w:rsid w:val="5588140B"/>
    <w:rsid w:val="55891D85"/>
    <w:rsid w:val="5592013C"/>
    <w:rsid w:val="55A57957"/>
    <w:rsid w:val="55AA469C"/>
    <w:rsid w:val="55BC12E8"/>
    <w:rsid w:val="55BD3120"/>
    <w:rsid w:val="55BF56EA"/>
    <w:rsid w:val="55C103AC"/>
    <w:rsid w:val="55C423B5"/>
    <w:rsid w:val="55C6074D"/>
    <w:rsid w:val="55C86079"/>
    <w:rsid w:val="55CC5297"/>
    <w:rsid w:val="55EE6E58"/>
    <w:rsid w:val="55F2238E"/>
    <w:rsid w:val="55F24132"/>
    <w:rsid w:val="55FB05FF"/>
    <w:rsid w:val="55FC794D"/>
    <w:rsid w:val="56012A7B"/>
    <w:rsid w:val="56172C84"/>
    <w:rsid w:val="562219AC"/>
    <w:rsid w:val="56230DC5"/>
    <w:rsid w:val="562B59B0"/>
    <w:rsid w:val="56387876"/>
    <w:rsid w:val="56391384"/>
    <w:rsid w:val="564C27AB"/>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D60D34"/>
    <w:rsid w:val="56DA1A1C"/>
    <w:rsid w:val="56E90EF6"/>
    <w:rsid w:val="56F50794"/>
    <w:rsid w:val="56F82259"/>
    <w:rsid w:val="56FC12BF"/>
    <w:rsid w:val="570426CC"/>
    <w:rsid w:val="57103E85"/>
    <w:rsid w:val="571E4103"/>
    <w:rsid w:val="5724356E"/>
    <w:rsid w:val="573B396A"/>
    <w:rsid w:val="576019A8"/>
    <w:rsid w:val="576E1A2E"/>
    <w:rsid w:val="576F00D0"/>
    <w:rsid w:val="57780B15"/>
    <w:rsid w:val="577C7921"/>
    <w:rsid w:val="578130EB"/>
    <w:rsid w:val="5781472D"/>
    <w:rsid w:val="57842581"/>
    <w:rsid w:val="57860B1C"/>
    <w:rsid w:val="579016BB"/>
    <w:rsid w:val="579131AA"/>
    <w:rsid w:val="57961B8E"/>
    <w:rsid w:val="579A34FF"/>
    <w:rsid w:val="57A05D52"/>
    <w:rsid w:val="57A65B21"/>
    <w:rsid w:val="57A93B1C"/>
    <w:rsid w:val="57AC71EF"/>
    <w:rsid w:val="57B30CCB"/>
    <w:rsid w:val="57B82FE8"/>
    <w:rsid w:val="57BA183B"/>
    <w:rsid w:val="57BC21E8"/>
    <w:rsid w:val="57C64CE3"/>
    <w:rsid w:val="57CF1AC2"/>
    <w:rsid w:val="57CF411E"/>
    <w:rsid w:val="57CF6469"/>
    <w:rsid w:val="57E359C9"/>
    <w:rsid w:val="57E8494C"/>
    <w:rsid w:val="57F75230"/>
    <w:rsid w:val="57FA5E75"/>
    <w:rsid w:val="58000E35"/>
    <w:rsid w:val="58222E9F"/>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60FB7"/>
    <w:rsid w:val="58BB01CF"/>
    <w:rsid w:val="58BD1D42"/>
    <w:rsid w:val="58C04526"/>
    <w:rsid w:val="58C15643"/>
    <w:rsid w:val="58DE296B"/>
    <w:rsid w:val="58E05B85"/>
    <w:rsid w:val="58F141D6"/>
    <w:rsid w:val="58F9654F"/>
    <w:rsid w:val="58F979E8"/>
    <w:rsid w:val="58FB6C25"/>
    <w:rsid w:val="58FE08ED"/>
    <w:rsid w:val="59061DAE"/>
    <w:rsid w:val="5914669F"/>
    <w:rsid w:val="591557DB"/>
    <w:rsid w:val="591A5C30"/>
    <w:rsid w:val="591C4B79"/>
    <w:rsid w:val="591F2957"/>
    <w:rsid w:val="59371CA9"/>
    <w:rsid w:val="593C5853"/>
    <w:rsid w:val="593E005D"/>
    <w:rsid w:val="5940158A"/>
    <w:rsid w:val="594606CC"/>
    <w:rsid w:val="594B6D49"/>
    <w:rsid w:val="59697600"/>
    <w:rsid w:val="596C25D4"/>
    <w:rsid w:val="597028E6"/>
    <w:rsid w:val="597D38D7"/>
    <w:rsid w:val="598A75D0"/>
    <w:rsid w:val="59935094"/>
    <w:rsid w:val="5995496F"/>
    <w:rsid w:val="59A62A34"/>
    <w:rsid w:val="59AB1748"/>
    <w:rsid w:val="59B159CB"/>
    <w:rsid w:val="59B51848"/>
    <w:rsid w:val="59BC67AC"/>
    <w:rsid w:val="59C03938"/>
    <w:rsid w:val="59C811F1"/>
    <w:rsid w:val="59C83D69"/>
    <w:rsid w:val="59CB01B4"/>
    <w:rsid w:val="59CF1C3E"/>
    <w:rsid w:val="59D87B36"/>
    <w:rsid w:val="59E57113"/>
    <w:rsid w:val="59E91981"/>
    <w:rsid w:val="59F22823"/>
    <w:rsid w:val="59F35BF5"/>
    <w:rsid w:val="59F42704"/>
    <w:rsid w:val="59FD1C88"/>
    <w:rsid w:val="5A0020BE"/>
    <w:rsid w:val="5A02215A"/>
    <w:rsid w:val="5A0823EC"/>
    <w:rsid w:val="5A0B4999"/>
    <w:rsid w:val="5A1219E8"/>
    <w:rsid w:val="5A1601E1"/>
    <w:rsid w:val="5A1A2003"/>
    <w:rsid w:val="5A2023BC"/>
    <w:rsid w:val="5A2534E2"/>
    <w:rsid w:val="5A272110"/>
    <w:rsid w:val="5A2F52ED"/>
    <w:rsid w:val="5A307C26"/>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B3B8F"/>
    <w:rsid w:val="5A9E6004"/>
    <w:rsid w:val="5AAB402B"/>
    <w:rsid w:val="5AAF46FD"/>
    <w:rsid w:val="5AB36954"/>
    <w:rsid w:val="5ABE401A"/>
    <w:rsid w:val="5AC526EE"/>
    <w:rsid w:val="5ACB4B14"/>
    <w:rsid w:val="5AD45224"/>
    <w:rsid w:val="5ADC6365"/>
    <w:rsid w:val="5B0A16D4"/>
    <w:rsid w:val="5B0B0FE2"/>
    <w:rsid w:val="5B1029A0"/>
    <w:rsid w:val="5B18258F"/>
    <w:rsid w:val="5B28216A"/>
    <w:rsid w:val="5B2B1ACA"/>
    <w:rsid w:val="5B33397C"/>
    <w:rsid w:val="5B35552C"/>
    <w:rsid w:val="5B356E68"/>
    <w:rsid w:val="5B3A4E8A"/>
    <w:rsid w:val="5B43203B"/>
    <w:rsid w:val="5B4E4DA1"/>
    <w:rsid w:val="5B5335BE"/>
    <w:rsid w:val="5B613886"/>
    <w:rsid w:val="5B6A6045"/>
    <w:rsid w:val="5B6C39BD"/>
    <w:rsid w:val="5B7B1E82"/>
    <w:rsid w:val="5B862B77"/>
    <w:rsid w:val="5B944D80"/>
    <w:rsid w:val="5B9509FD"/>
    <w:rsid w:val="5BAB4BEE"/>
    <w:rsid w:val="5BB210AD"/>
    <w:rsid w:val="5BB47B97"/>
    <w:rsid w:val="5BB81EEF"/>
    <w:rsid w:val="5BC23198"/>
    <w:rsid w:val="5BC52C1C"/>
    <w:rsid w:val="5BCE2157"/>
    <w:rsid w:val="5BD2376F"/>
    <w:rsid w:val="5BEA66B7"/>
    <w:rsid w:val="5BEB4DCC"/>
    <w:rsid w:val="5BF81226"/>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C5668"/>
    <w:rsid w:val="5C3C56AD"/>
    <w:rsid w:val="5C3D32DD"/>
    <w:rsid w:val="5C3E4B55"/>
    <w:rsid w:val="5C404666"/>
    <w:rsid w:val="5C422461"/>
    <w:rsid w:val="5C48686D"/>
    <w:rsid w:val="5C4F52A1"/>
    <w:rsid w:val="5C4F75E7"/>
    <w:rsid w:val="5C50319B"/>
    <w:rsid w:val="5C511614"/>
    <w:rsid w:val="5C520197"/>
    <w:rsid w:val="5C5371DE"/>
    <w:rsid w:val="5C5F094C"/>
    <w:rsid w:val="5C603564"/>
    <w:rsid w:val="5C633837"/>
    <w:rsid w:val="5C6B674F"/>
    <w:rsid w:val="5C6F57DC"/>
    <w:rsid w:val="5C7E0DF8"/>
    <w:rsid w:val="5C7E39D8"/>
    <w:rsid w:val="5C8A31FF"/>
    <w:rsid w:val="5C9F55AA"/>
    <w:rsid w:val="5CA474D4"/>
    <w:rsid w:val="5CA84AC1"/>
    <w:rsid w:val="5CAC4293"/>
    <w:rsid w:val="5CB64B19"/>
    <w:rsid w:val="5CBD7A62"/>
    <w:rsid w:val="5CC164AE"/>
    <w:rsid w:val="5CC22998"/>
    <w:rsid w:val="5CC5766D"/>
    <w:rsid w:val="5CC829D4"/>
    <w:rsid w:val="5CD22245"/>
    <w:rsid w:val="5CD612EC"/>
    <w:rsid w:val="5CD620EF"/>
    <w:rsid w:val="5CD63CB1"/>
    <w:rsid w:val="5CD75EB0"/>
    <w:rsid w:val="5CE00BB1"/>
    <w:rsid w:val="5CE76E4E"/>
    <w:rsid w:val="5CE97CE3"/>
    <w:rsid w:val="5CF06B97"/>
    <w:rsid w:val="5CF85D55"/>
    <w:rsid w:val="5CFF2C7D"/>
    <w:rsid w:val="5CFF66F4"/>
    <w:rsid w:val="5D042519"/>
    <w:rsid w:val="5D10070C"/>
    <w:rsid w:val="5D1077A1"/>
    <w:rsid w:val="5D193562"/>
    <w:rsid w:val="5D232DD8"/>
    <w:rsid w:val="5D2360DD"/>
    <w:rsid w:val="5D360039"/>
    <w:rsid w:val="5D3A22F4"/>
    <w:rsid w:val="5D3D681F"/>
    <w:rsid w:val="5D421B63"/>
    <w:rsid w:val="5D467576"/>
    <w:rsid w:val="5D4B2525"/>
    <w:rsid w:val="5D543240"/>
    <w:rsid w:val="5D5434CB"/>
    <w:rsid w:val="5D5A25C6"/>
    <w:rsid w:val="5D645AF7"/>
    <w:rsid w:val="5D697151"/>
    <w:rsid w:val="5D7070A0"/>
    <w:rsid w:val="5D7B2BAE"/>
    <w:rsid w:val="5D893541"/>
    <w:rsid w:val="5D8C28B4"/>
    <w:rsid w:val="5D9832F3"/>
    <w:rsid w:val="5D9934EC"/>
    <w:rsid w:val="5D9C1E54"/>
    <w:rsid w:val="5DAB1E9E"/>
    <w:rsid w:val="5DB53FF3"/>
    <w:rsid w:val="5DBC3F54"/>
    <w:rsid w:val="5DC328CA"/>
    <w:rsid w:val="5DCA57DD"/>
    <w:rsid w:val="5DD74A14"/>
    <w:rsid w:val="5DDB163B"/>
    <w:rsid w:val="5DDC2477"/>
    <w:rsid w:val="5DF11D42"/>
    <w:rsid w:val="5DFA2E17"/>
    <w:rsid w:val="5DFB0C01"/>
    <w:rsid w:val="5E006537"/>
    <w:rsid w:val="5E1D2155"/>
    <w:rsid w:val="5E2374D1"/>
    <w:rsid w:val="5E401AFE"/>
    <w:rsid w:val="5E454E01"/>
    <w:rsid w:val="5E490493"/>
    <w:rsid w:val="5E4D4054"/>
    <w:rsid w:val="5E4F4CEC"/>
    <w:rsid w:val="5E517BBA"/>
    <w:rsid w:val="5E521705"/>
    <w:rsid w:val="5E656142"/>
    <w:rsid w:val="5E680B19"/>
    <w:rsid w:val="5E7334F8"/>
    <w:rsid w:val="5E7805FF"/>
    <w:rsid w:val="5E7859D6"/>
    <w:rsid w:val="5E842B6A"/>
    <w:rsid w:val="5E875A07"/>
    <w:rsid w:val="5E8C1E30"/>
    <w:rsid w:val="5E911FAC"/>
    <w:rsid w:val="5E92137B"/>
    <w:rsid w:val="5E9373FC"/>
    <w:rsid w:val="5EA67DEF"/>
    <w:rsid w:val="5EAA11B3"/>
    <w:rsid w:val="5EB95510"/>
    <w:rsid w:val="5EB956EE"/>
    <w:rsid w:val="5EC57A3D"/>
    <w:rsid w:val="5ECB275F"/>
    <w:rsid w:val="5ECE2836"/>
    <w:rsid w:val="5EDB5813"/>
    <w:rsid w:val="5EE2308E"/>
    <w:rsid w:val="5EEC409E"/>
    <w:rsid w:val="5EF2448C"/>
    <w:rsid w:val="5EF442F3"/>
    <w:rsid w:val="5F051F15"/>
    <w:rsid w:val="5F222082"/>
    <w:rsid w:val="5F3A21FA"/>
    <w:rsid w:val="5F490636"/>
    <w:rsid w:val="5F4A6244"/>
    <w:rsid w:val="5F6219E5"/>
    <w:rsid w:val="5F7D5743"/>
    <w:rsid w:val="5F810563"/>
    <w:rsid w:val="5F902061"/>
    <w:rsid w:val="5F91364B"/>
    <w:rsid w:val="5F942C15"/>
    <w:rsid w:val="5F982E68"/>
    <w:rsid w:val="5F983E6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95F65"/>
    <w:rsid w:val="60200E33"/>
    <w:rsid w:val="6023016C"/>
    <w:rsid w:val="602924AC"/>
    <w:rsid w:val="602B5AAA"/>
    <w:rsid w:val="60334B2A"/>
    <w:rsid w:val="603E7B8A"/>
    <w:rsid w:val="60420933"/>
    <w:rsid w:val="6056292C"/>
    <w:rsid w:val="6063156C"/>
    <w:rsid w:val="606502AC"/>
    <w:rsid w:val="60660D11"/>
    <w:rsid w:val="606611B7"/>
    <w:rsid w:val="60687B01"/>
    <w:rsid w:val="606D5453"/>
    <w:rsid w:val="607044B9"/>
    <w:rsid w:val="60760530"/>
    <w:rsid w:val="6078579C"/>
    <w:rsid w:val="608159C3"/>
    <w:rsid w:val="60904724"/>
    <w:rsid w:val="60924935"/>
    <w:rsid w:val="60934023"/>
    <w:rsid w:val="60947BEA"/>
    <w:rsid w:val="609B6315"/>
    <w:rsid w:val="60AC169F"/>
    <w:rsid w:val="60AF0E29"/>
    <w:rsid w:val="60B43DFD"/>
    <w:rsid w:val="60B55179"/>
    <w:rsid w:val="60BF5745"/>
    <w:rsid w:val="60C47684"/>
    <w:rsid w:val="60C90EA4"/>
    <w:rsid w:val="60CA2396"/>
    <w:rsid w:val="60CF0514"/>
    <w:rsid w:val="60D07484"/>
    <w:rsid w:val="60D10C0F"/>
    <w:rsid w:val="60D3569F"/>
    <w:rsid w:val="60D4537B"/>
    <w:rsid w:val="60D74889"/>
    <w:rsid w:val="60E02B8F"/>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4EEF"/>
    <w:rsid w:val="61176A85"/>
    <w:rsid w:val="611A697F"/>
    <w:rsid w:val="61206479"/>
    <w:rsid w:val="612143A4"/>
    <w:rsid w:val="61221695"/>
    <w:rsid w:val="6124184C"/>
    <w:rsid w:val="61254671"/>
    <w:rsid w:val="612E3337"/>
    <w:rsid w:val="614050A9"/>
    <w:rsid w:val="61465E1A"/>
    <w:rsid w:val="614B5BCE"/>
    <w:rsid w:val="614D1495"/>
    <w:rsid w:val="614D2B5A"/>
    <w:rsid w:val="6155426A"/>
    <w:rsid w:val="615755AF"/>
    <w:rsid w:val="615D6475"/>
    <w:rsid w:val="61620240"/>
    <w:rsid w:val="616C2054"/>
    <w:rsid w:val="616E3976"/>
    <w:rsid w:val="617D0D60"/>
    <w:rsid w:val="618321F0"/>
    <w:rsid w:val="618563BE"/>
    <w:rsid w:val="61867017"/>
    <w:rsid w:val="618B084B"/>
    <w:rsid w:val="618E1E6E"/>
    <w:rsid w:val="618F22FB"/>
    <w:rsid w:val="61B15149"/>
    <w:rsid w:val="61B16AF8"/>
    <w:rsid w:val="61B71C73"/>
    <w:rsid w:val="61C56900"/>
    <w:rsid w:val="61C73EC2"/>
    <w:rsid w:val="61D32FE5"/>
    <w:rsid w:val="61D9528D"/>
    <w:rsid w:val="61DA6BBA"/>
    <w:rsid w:val="61DE7C3D"/>
    <w:rsid w:val="61E1330A"/>
    <w:rsid w:val="61E51E0F"/>
    <w:rsid w:val="61E852C9"/>
    <w:rsid w:val="61EE26FB"/>
    <w:rsid w:val="61EE28BD"/>
    <w:rsid w:val="61F0115C"/>
    <w:rsid w:val="61FA5B62"/>
    <w:rsid w:val="6203062B"/>
    <w:rsid w:val="62070260"/>
    <w:rsid w:val="6222428F"/>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B3642B"/>
    <w:rsid w:val="62B91CB2"/>
    <w:rsid w:val="62E05F11"/>
    <w:rsid w:val="62F00E21"/>
    <w:rsid w:val="62F06C0E"/>
    <w:rsid w:val="62F571B6"/>
    <w:rsid w:val="62F91A8D"/>
    <w:rsid w:val="62FA0118"/>
    <w:rsid w:val="62FB5ADF"/>
    <w:rsid w:val="63016DD9"/>
    <w:rsid w:val="63060DC1"/>
    <w:rsid w:val="630B0513"/>
    <w:rsid w:val="630D5FB3"/>
    <w:rsid w:val="631D12C4"/>
    <w:rsid w:val="632F0EFF"/>
    <w:rsid w:val="633159CB"/>
    <w:rsid w:val="6332638D"/>
    <w:rsid w:val="633B2B0B"/>
    <w:rsid w:val="633C5BF9"/>
    <w:rsid w:val="633E36D1"/>
    <w:rsid w:val="6343466C"/>
    <w:rsid w:val="634A145E"/>
    <w:rsid w:val="634E753F"/>
    <w:rsid w:val="63607ED4"/>
    <w:rsid w:val="636469B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D86821"/>
    <w:rsid w:val="63D8720B"/>
    <w:rsid w:val="63DF3F98"/>
    <w:rsid w:val="63E02D15"/>
    <w:rsid w:val="63E0457C"/>
    <w:rsid w:val="63E25AFD"/>
    <w:rsid w:val="63F03B38"/>
    <w:rsid w:val="63F731A5"/>
    <w:rsid w:val="63FC766C"/>
    <w:rsid w:val="63FE2454"/>
    <w:rsid w:val="64022F76"/>
    <w:rsid w:val="64084173"/>
    <w:rsid w:val="641269AD"/>
    <w:rsid w:val="641C56F8"/>
    <w:rsid w:val="64231408"/>
    <w:rsid w:val="643A7824"/>
    <w:rsid w:val="64553AA4"/>
    <w:rsid w:val="64564ED9"/>
    <w:rsid w:val="645A5737"/>
    <w:rsid w:val="64603768"/>
    <w:rsid w:val="6467123E"/>
    <w:rsid w:val="64706790"/>
    <w:rsid w:val="64724898"/>
    <w:rsid w:val="647C3BBA"/>
    <w:rsid w:val="64805997"/>
    <w:rsid w:val="64813A7C"/>
    <w:rsid w:val="64823A3A"/>
    <w:rsid w:val="64855B2D"/>
    <w:rsid w:val="64867427"/>
    <w:rsid w:val="648976FB"/>
    <w:rsid w:val="648A2250"/>
    <w:rsid w:val="648B1491"/>
    <w:rsid w:val="648E1573"/>
    <w:rsid w:val="649A52C8"/>
    <w:rsid w:val="64B0747D"/>
    <w:rsid w:val="64B6071F"/>
    <w:rsid w:val="64BE2F18"/>
    <w:rsid w:val="64C03551"/>
    <w:rsid w:val="64C6530B"/>
    <w:rsid w:val="64D9451E"/>
    <w:rsid w:val="64DB77D5"/>
    <w:rsid w:val="64F31974"/>
    <w:rsid w:val="64FA5C63"/>
    <w:rsid w:val="65127100"/>
    <w:rsid w:val="6532464B"/>
    <w:rsid w:val="653A34E5"/>
    <w:rsid w:val="653C6B1D"/>
    <w:rsid w:val="65433415"/>
    <w:rsid w:val="65463750"/>
    <w:rsid w:val="654E3228"/>
    <w:rsid w:val="65537C6B"/>
    <w:rsid w:val="655C685E"/>
    <w:rsid w:val="656160AB"/>
    <w:rsid w:val="65622086"/>
    <w:rsid w:val="65644A63"/>
    <w:rsid w:val="656E3321"/>
    <w:rsid w:val="65757B8D"/>
    <w:rsid w:val="65764BA6"/>
    <w:rsid w:val="658E776E"/>
    <w:rsid w:val="65907AC2"/>
    <w:rsid w:val="65A62A91"/>
    <w:rsid w:val="65A8734A"/>
    <w:rsid w:val="65A9185C"/>
    <w:rsid w:val="65AB43EF"/>
    <w:rsid w:val="65B430CC"/>
    <w:rsid w:val="65CC6A3A"/>
    <w:rsid w:val="65DB0A99"/>
    <w:rsid w:val="65E919BF"/>
    <w:rsid w:val="65ED7EEF"/>
    <w:rsid w:val="65F46CFC"/>
    <w:rsid w:val="65F73BB4"/>
    <w:rsid w:val="660658FA"/>
    <w:rsid w:val="660B1805"/>
    <w:rsid w:val="660C035C"/>
    <w:rsid w:val="66190E3D"/>
    <w:rsid w:val="661C061C"/>
    <w:rsid w:val="6628673A"/>
    <w:rsid w:val="66300C32"/>
    <w:rsid w:val="6639596A"/>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C2655F"/>
    <w:rsid w:val="66D01D1D"/>
    <w:rsid w:val="66D20F68"/>
    <w:rsid w:val="66D6103F"/>
    <w:rsid w:val="66DB5E51"/>
    <w:rsid w:val="66DC2051"/>
    <w:rsid w:val="66E77E06"/>
    <w:rsid w:val="66F861FA"/>
    <w:rsid w:val="670027A0"/>
    <w:rsid w:val="67037752"/>
    <w:rsid w:val="67050D51"/>
    <w:rsid w:val="67050D97"/>
    <w:rsid w:val="67091904"/>
    <w:rsid w:val="670E178E"/>
    <w:rsid w:val="6717419C"/>
    <w:rsid w:val="67212735"/>
    <w:rsid w:val="673611CB"/>
    <w:rsid w:val="674A450B"/>
    <w:rsid w:val="674B4E59"/>
    <w:rsid w:val="675005EC"/>
    <w:rsid w:val="675E366D"/>
    <w:rsid w:val="67635837"/>
    <w:rsid w:val="67690F3D"/>
    <w:rsid w:val="676B3A7C"/>
    <w:rsid w:val="676D52AA"/>
    <w:rsid w:val="677011BD"/>
    <w:rsid w:val="6770452E"/>
    <w:rsid w:val="67750EBE"/>
    <w:rsid w:val="67816012"/>
    <w:rsid w:val="67842D1C"/>
    <w:rsid w:val="678C278B"/>
    <w:rsid w:val="67991948"/>
    <w:rsid w:val="67A850E1"/>
    <w:rsid w:val="67AB3E74"/>
    <w:rsid w:val="67B0438B"/>
    <w:rsid w:val="67B33BE3"/>
    <w:rsid w:val="67B71656"/>
    <w:rsid w:val="67B723B3"/>
    <w:rsid w:val="67B743E8"/>
    <w:rsid w:val="67BD43E0"/>
    <w:rsid w:val="67BD4993"/>
    <w:rsid w:val="67C0411D"/>
    <w:rsid w:val="67C95416"/>
    <w:rsid w:val="67D74048"/>
    <w:rsid w:val="67E041E2"/>
    <w:rsid w:val="67E51F56"/>
    <w:rsid w:val="67F27764"/>
    <w:rsid w:val="6802359C"/>
    <w:rsid w:val="68081463"/>
    <w:rsid w:val="680A257F"/>
    <w:rsid w:val="680E50C8"/>
    <w:rsid w:val="681541C3"/>
    <w:rsid w:val="681674DF"/>
    <w:rsid w:val="68373462"/>
    <w:rsid w:val="68447B3B"/>
    <w:rsid w:val="685C0FCA"/>
    <w:rsid w:val="68650F7D"/>
    <w:rsid w:val="68655BE3"/>
    <w:rsid w:val="686926D4"/>
    <w:rsid w:val="68774A50"/>
    <w:rsid w:val="68784EDA"/>
    <w:rsid w:val="687A62EB"/>
    <w:rsid w:val="687B4F8F"/>
    <w:rsid w:val="688A20B8"/>
    <w:rsid w:val="688C0135"/>
    <w:rsid w:val="688D57D8"/>
    <w:rsid w:val="6892047F"/>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71448"/>
    <w:rsid w:val="68E92B61"/>
    <w:rsid w:val="68F308C4"/>
    <w:rsid w:val="68F51C33"/>
    <w:rsid w:val="68FA62F0"/>
    <w:rsid w:val="68FE7853"/>
    <w:rsid w:val="68FF6668"/>
    <w:rsid w:val="6901117B"/>
    <w:rsid w:val="69021A4A"/>
    <w:rsid w:val="69052CE9"/>
    <w:rsid w:val="691D61F1"/>
    <w:rsid w:val="691E3879"/>
    <w:rsid w:val="69211467"/>
    <w:rsid w:val="69257A7E"/>
    <w:rsid w:val="69277662"/>
    <w:rsid w:val="69345F83"/>
    <w:rsid w:val="69392613"/>
    <w:rsid w:val="69392966"/>
    <w:rsid w:val="693C2B63"/>
    <w:rsid w:val="694E1147"/>
    <w:rsid w:val="69520D7A"/>
    <w:rsid w:val="69573B6E"/>
    <w:rsid w:val="696206D3"/>
    <w:rsid w:val="6967756D"/>
    <w:rsid w:val="6968644A"/>
    <w:rsid w:val="697011ED"/>
    <w:rsid w:val="69826A24"/>
    <w:rsid w:val="699B6DC8"/>
    <w:rsid w:val="69A97058"/>
    <w:rsid w:val="69AB6F60"/>
    <w:rsid w:val="69C8002E"/>
    <w:rsid w:val="69CF04C1"/>
    <w:rsid w:val="69D32FE1"/>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B0B6C"/>
    <w:rsid w:val="6A423E55"/>
    <w:rsid w:val="6A470981"/>
    <w:rsid w:val="6A4747AF"/>
    <w:rsid w:val="6A49294B"/>
    <w:rsid w:val="6A562B91"/>
    <w:rsid w:val="6A57299A"/>
    <w:rsid w:val="6A697946"/>
    <w:rsid w:val="6A6D6854"/>
    <w:rsid w:val="6A700CED"/>
    <w:rsid w:val="6A7017D7"/>
    <w:rsid w:val="6AA235D3"/>
    <w:rsid w:val="6AA31D3D"/>
    <w:rsid w:val="6AB02B50"/>
    <w:rsid w:val="6AB14532"/>
    <w:rsid w:val="6ABB2ED0"/>
    <w:rsid w:val="6AC335C4"/>
    <w:rsid w:val="6ACC0F11"/>
    <w:rsid w:val="6ADB4318"/>
    <w:rsid w:val="6ADD7DFD"/>
    <w:rsid w:val="6AE2135D"/>
    <w:rsid w:val="6AE77D3D"/>
    <w:rsid w:val="6AE93C28"/>
    <w:rsid w:val="6AF05F1A"/>
    <w:rsid w:val="6B036D80"/>
    <w:rsid w:val="6B0451AB"/>
    <w:rsid w:val="6B160110"/>
    <w:rsid w:val="6B21434C"/>
    <w:rsid w:val="6B237C36"/>
    <w:rsid w:val="6B2718FD"/>
    <w:rsid w:val="6B2A147B"/>
    <w:rsid w:val="6B2C290C"/>
    <w:rsid w:val="6B33476F"/>
    <w:rsid w:val="6B352059"/>
    <w:rsid w:val="6B3B4CA2"/>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B248CC"/>
    <w:rsid w:val="6BBC0DCF"/>
    <w:rsid w:val="6BCA6179"/>
    <w:rsid w:val="6BD0777F"/>
    <w:rsid w:val="6BD619EE"/>
    <w:rsid w:val="6BEA64E2"/>
    <w:rsid w:val="6BFA7E30"/>
    <w:rsid w:val="6BFB030F"/>
    <w:rsid w:val="6C016CAE"/>
    <w:rsid w:val="6C090252"/>
    <w:rsid w:val="6C0B7CD2"/>
    <w:rsid w:val="6C0D6AE8"/>
    <w:rsid w:val="6C100936"/>
    <w:rsid w:val="6C1962C3"/>
    <w:rsid w:val="6C1A6808"/>
    <w:rsid w:val="6C255AAD"/>
    <w:rsid w:val="6C2C5801"/>
    <w:rsid w:val="6C2D7320"/>
    <w:rsid w:val="6C2E3E73"/>
    <w:rsid w:val="6C3321F9"/>
    <w:rsid w:val="6C33267C"/>
    <w:rsid w:val="6C3D0F56"/>
    <w:rsid w:val="6C410CB8"/>
    <w:rsid w:val="6C452BDF"/>
    <w:rsid w:val="6C5E1CDD"/>
    <w:rsid w:val="6C660C8B"/>
    <w:rsid w:val="6C6A716D"/>
    <w:rsid w:val="6C71767A"/>
    <w:rsid w:val="6C7C1F44"/>
    <w:rsid w:val="6C827094"/>
    <w:rsid w:val="6C8559E0"/>
    <w:rsid w:val="6C8D26FB"/>
    <w:rsid w:val="6CC25213"/>
    <w:rsid w:val="6CD76A8F"/>
    <w:rsid w:val="6CE0702D"/>
    <w:rsid w:val="6CE83295"/>
    <w:rsid w:val="6CEE220B"/>
    <w:rsid w:val="6CEE246E"/>
    <w:rsid w:val="6CF27A30"/>
    <w:rsid w:val="6CF6067E"/>
    <w:rsid w:val="6D032BD4"/>
    <w:rsid w:val="6D0535EE"/>
    <w:rsid w:val="6D077405"/>
    <w:rsid w:val="6D0A3519"/>
    <w:rsid w:val="6D133D59"/>
    <w:rsid w:val="6D175B2B"/>
    <w:rsid w:val="6D264EC5"/>
    <w:rsid w:val="6D26662C"/>
    <w:rsid w:val="6D330DB7"/>
    <w:rsid w:val="6D437763"/>
    <w:rsid w:val="6D4C07B8"/>
    <w:rsid w:val="6D671B76"/>
    <w:rsid w:val="6D6D28AF"/>
    <w:rsid w:val="6D771293"/>
    <w:rsid w:val="6D7D0954"/>
    <w:rsid w:val="6D8153B2"/>
    <w:rsid w:val="6D876AB7"/>
    <w:rsid w:val="6D8F154F"/>
    <w:rsid w:val="6D9757D1"/>
    <w:rsid w:val="6D9C3974"/>
    <w:rsid w:val="6DA062EA"/>
    <w:rsid w:val="6DA65DBF"/>
    <w:rsid w:val="6DA76631"/>
    <w:rsid w:val="6DAF65CC"/>
    <w:rsid w:val="6DB157A2"/>
    <w:rsid w:val="6DB25F3D"/>
    <w:rsid w:val="6DBA586C"/>
    <w:rsid w:val="6DBE0B3F"/>
    <w:rsid w:val="6DBF7294"/>
    <w:rsid w:val="6DC53FBD"/>
    <w:rsid w:val="6DC93FE2"/>
    <w:rsid w:val="6DCA77EA"/>
    <w:rsid w:val="6DD35114"/>
    <w:rsid w:val="6DDE35E8"/>
    <w:rsid w:val="6DE65A7A"/>
    <w:rsid w:val="6DE92FA2"/>
    <w:rsid w:val="6DEE0E7D"/>
    <w:rsid w:val="6DEF6BC8"/>
    <w:rsid w:val="6DF574ED"/>
    <w:rsid w:val="6DF81839"/>
    <w:rsid w:val="6E0048DC"/>
    <w:rsid w:val="6E075019"/>
    <w:rsid w:val="6E0766A1"/>
    <w:rsid w:val="6E1419C0"/>
    <w:rsid w:val="6E166FE2"/>
    <w:rsid w:val="6E183FF4"/>
    <w:rsid w:val="6E1B11E5"/>
    <w:rsid w:val="6E1D151C"/>
    <w:rsid w:val="6E2E7D17"/>
    <w:rsid w:val="6E3323DD"/>
    <w:rsid w:val="6E3761D3"/>
    <w:rsid w:val="6E392DDA"/>
    <w:rsid w:val="6E3E2033"/>
    <w:rsid w:val="6E411943"/>
    <w:rsid w:val="6E440060"/>
    <w:rsid w:val="6E442CF5"/>
    <w:rsid w:val="6E54575C"/>
    <w:rsid w:val="6E5A2999"/>
    <w:rsid w:val="6E612C3F"/>
    <w:rsid w:val="6E6F6D88"/>
    <w:rsid w:val="6E702FE8"/>
    <w:rsid w:val="6E706B87"/>
    <w:rsid w:val="6E766C71"/>
    <w:rsid w:val="6E7926F7"/>
    <w:rsid w:val="6E7B110F"/>
    <w:rsid w:val="6E8A2A35"/>
    <w:rsid w:val="6EA04FAE"/>
    <w:rsid w:val="6EAA59A3"/>
    <w:rsid w:val="6EAA79ED"/>
    <w:rsid w:val="6EC161BE"/>
    <w:rsid w:val="6ECD08F1"/>
    <w:rsid w:val="6EDF2531"/>
    <w:rsid w:val="6EE1335D"/>
    <w:rsid w:val="6EEF6508"/>
    <w:rsid w:val="6EF02682"/>
    <w:rsid w:val="6EFF1809"/>
    <w:rsid w:val="6F19615F"/>
    <w:rsid w:val="6F1A60C4"/>
    <w:rsid w:val="6F231E41"/>
    <w:rsid w:val="6F244447"/>
    <w:rsid w:val="6F303DE1"/>
    <w:rsid w:val="6F331C81"/>
    <w:rsid w:val="6F331F52"/>
    <w:rsid w:val="6F362062"/>
    <w:rsid w:val="6F3C0797"/>
    <w:rsid w:val="6F4048CA"/>
    <w:rsid w:val="6F405BD0"/>
    <w:rsid w:val="6F4713C5"/>
    <w:rsid w:val="6F4734D0"/>
    <w:rsid w:val="6F4B3953"/>
    <w:rsid w:val="6F555C91"/>
    <w:rsid w:val="6F603479"/>
    <w:rsid w:val="6F680494"/>
    <w:rsid w:val="6F6B5A9E"/>
    <w:rsid w:val="6F7A07E3"/>
    <w:rsid w:val="6F7D050B"/>
    <w:rsid w:val="6F8C33B0"/>
    <w:rsid w:val="6F8D5B36"/>
    <w:rsid w:val="6F953750"/>
    <w:rsid w:val="6FA10B29"/>
    <w:rsid w:val="6FAA2D8A"/>
    <w:rsid w:val="6FC02217"/>
    <w:rsid w:val="6FC34E9D"/>
    <w:rsid w:val="6FC60A07"/>
    <w:rsid w:val="6FC90F86"/>
    <w:rsid w:val="6FCD3BC3"/>
    <w:rsid w:val="6FCE2BBA"/>
    <w:rsid w:val="6FDF40F5"/>
    <w:rsid w:val="6FE0165C"/>
    <w:rsid w:val="6FE05F95"/>
    <w:rsid w:val="6FF06B6B"/>
    <w:rsid w:val="6FF97C31"/>
    <w:rsid w:val="6FFC64FF"/>
    <w:rsid w:val="7001428F"/>
    <w:rsid w:val="70133236"/>
    <w:rsid w:val="70156307"/>
    <w:rsid w:val="7016485B"/>
    <w:rsid w:val="701C590F"/>
    <w:rsid w:val="702033F7"/>
    <w:rsid w:val="702D10A9"/>
    <w:rsid w:val="70315D3B"/>
    <w:rsid w:val="703D58C4"/>
    <w:rsid w:val="70453D87"/>
    <w:rsid w:val="704E5E48"/>
    <w:rsid w:val="7053674B"/>
    <w:rsid w:val="7055360F"/>
    <w:rsid w:val="70642BE6"/>
    <w:rsid w:val="706F497B"/>
    <w:rsid w:val="70724AB3"/>
    <w:rsid w:val="70916EF8"/>
    <w:rsid w:val="709261ED"/>
    <w:rsid w:val="70A02568"/>
    <w:rsid w:val="70AD230C"/>
    <w:rsid w:val="70B91785"/>
    <w:rsid w:val="70C41020"/>
    <w:rsid w:val="70CC1017"/>
    <w:rsid w:val="70CF255C"/>
    <w:rsid w:val="70DC2C89"/>
    <w:rsid w:val="70DD041E"/>
    <w:rsid w:val="70DD743F"/>
    <w:rsid w:val="70E3150B"/>
    <w:rsid w:val="70E67B77"/>
    <w:rsid w:val="70F323B0"/>
    <w:rsid w:val="710221FA"/>
    <w:rsid w:val="71094431"/>
    <w:rsid w:val="710D3478"/>
    <w:rsid w:val="710F7585"/>
    <w:rsid w:val="711805A6"/>
    <w:rsid w:val="711A79AD"/>
    <w:rsid w:val="71217446"/>
    <w:rsid w:val="71224F32"/>
    <w:rsid w:val="7123463F"/>
    <w:rsid w:val="713B1ED6"/>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F46D71"/>
    <w:rsid w:val="71F96411"/>
    <w:rsid w:val="71FA7506"/>
    <w:rsid w:val="72061465"/>
    <w:rsid w:val="722F766C"/>
    <w:rsid w:val="72385872"/>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6D9D"/>
    <w:rsid w:val="72B715E4"/>
    <w:rsid w:val="72C32F53"/>
    <w:rsid w:val="72C77A8A"/>
    <w:rsid w:val="72CB7C4C"/>
    <w:rsid w:val="72D86D20"/>
    <w:rsid w:val="72FE3E8E"/>
    <w:rsid w:val="731B711B"/>
    <w:rsid w:val="731C3ED2"/>
    <w:rsid w:val="731E5631"/>
    <w:rsid w:val="732B0C72"/>
    <w:rsid w:val="733271A4"/>
    <w:rsid w:val="73330C63"/>
    <w:rsid w:val="733863E3"/>
    <w:rsid w:val="733A3332"/>
    <w:rsid w:val="733C1D9D"/>
    <w:rsid w:val="733E46B2"/>
    <w:rsid w:val="733E59D9"/>
    <w:rsid w:val="73597F33"/>
    <w:rsid w:val="7375490C"/>
    <w:rsid w:val="73757E63"/>
    <w:rsid w:val="737D2F4F"/>
    <w:rsid w:val="738B029F"/>
    <w:rsid w:val="73900D21"/>
    <w:rsid w:val="739A7114"/>
    <w:rsid w:val="739F2349"/>
    <w:rsid w:val="739F6287"/>
    <w:rsid w:val="73A242CD"/>
    <w:rsid w:val="73AC333B"/>
    <w:rsid w:val="73B11DBC"/>
    <w:rsid w:val="73B1795C"/>
    <w:rsid w:val="73B51018"/>
    <w:rsid w:val="73C340B3"/>
    <w:rsid w:val="73C72DB3"/>
    <w:rsid w:val="73C854F0"/>
    <w:rsid w:val="73CE0B05"/>
    <w:rsid w:val="73D007EE"/>
    <w:rsid w:val="73D27A00"/>
    <w:rsid w:val="73D31801"/>
    <w:rsid w:val="73D9581C"/>
    <w:rsid w:val="73DA2FBB"/>
    <w:rsid w:val="73DC2CAB"/>
    <w:rsid w:val="73DC5744"/>
    <w:rsid w:val="73E36876"/>
    <w:rsid w:val="73E72CB9"/>
    <w:rsid w:val="74014C0C"/>
    <w:rsid w:val="741B5358"/>
    <w:rsid w:val="74202F12"/>
    <w:rsid w:val="742C093F"/>
    <w:rsid w:val="742F68DF"/>
    <w:rsid w:val="7435797F"/>
    <w:rsid w:val="7442738A"/>
    <w:rsid w:val="744A0545"/>
    <w:rsid w:val="744F7C70"/>
    <w:rsid w:val="74521009"/>
    <w:rsid w:val="74632A31"/>
    <w:rsid w:val="7465205B"/>
    <w:rsid w:val="746954DB"/>
    <w:rsid w:val="74743C33"/>
    <w:rsid w:val="747640DF"/>
    <w:rsid w:val="747E6036"/>
    <w:rsid w:val="7482175B"/>
    <w:rsid w:val="74843F0D"/>
    <w:rsid w:val="74B37F42"/>
    <w:rsid w:val="74B94875"/>
    <w:rsid w:val="74BA4FF9"/>
    <w:rsid w:val="74C311F6"/>
    <w:rsid w:val="74C53F19"/>
    <w:rsid w:val="74CA0770"/>
    <w:rsid w:val="74D52F3D"/>
    <w:rsid w:val="74D81528"/>
    <w:rsid w:val="74D96025"/>
    <w:rsid w:val="74DA07A2"/>
    <w:rsid w:val="74E1491C"/>
    <w:rsid w:val="74E67A31"/>
    <w:rsid w:val="74F61278"/>
    <w:rsid w:val="74F90505"/>
    <w:rsid w:val="74FC67D7"/>
    <w:rsid w:val="7501178C"/>
    <w:rsid w:val="75092044"/>
    <w:rsid w:val="75124563"/>
    <w:rsid w:val="751274A1"/>
    <w:rsid w:val="751C2143"/>
    <w:rsid w:val="75295853"/>
    <w:rsid w:val="752D2921"/>
    <w:rsid w:val="752F1869"/>
    <w:rsid w:val="752F2DAC"/>
    <w:rsid w:val="75631790"/>
    <w:rsid w:val="7566472C"/>
    <w:rsid w:val="756B1E1E"/>
    <w:rsid w:val="7578413D"/>
    <w:rsid w:val="757B64ED"/>
    <w:rsid w:val="757C232A"/>
    <w:rsid w:val="75851DCA"/>
    <w:rsid w:val="758F3A2A"/>
    <w:rsid w:val="7599617F"/>
    <w:rsid w:val="759D7802"/>
    <w:rsid w:val="75A011FF"/>
    <w:rsid w:val="75A70E4F"/>
    <w:rsid w:val="75AA3F51"/>
    <w:rsid w:val="75B11420"/>
    <w:rsid w:val="75B263D3"/>
    <w:rsid w:val="75DC2372"/>
    <w:rsid w:val="75E16CC1"/>
    <w:rsid w:val="75F22E0F"/>
    <w:rsid w:val="7600000E"/>
    <w:rsid w:val="760021B6"/>
    <w:rsid w:val="760950F4"/>
    <w:rsid w:val="76122AB3"/>
    <w:rsid w:val="76154B74"/>
    <w:rsid w:val="761C414A"/>
    <w:rsid w:val="761D237D"/>
    <w:rsid w:val="76380CDC"/>
    <w:rsid w:val="76383420"/>
    <w:rsid w:val="76411431"/>
    <w:rsid w:val="7649562B"/>
    <w:rsid w:val="764F7C59"/>
    <w:rsid w:val="76536622"/>
    <w:rsid w:val="765566B4"/>
    <w:rsid w:val="76605088"/>
    <w:rsid w:val="766477E2"/>
    <w:rsid w:val="7668119A"/>
    <w:rsid w:val="766966D4"/>
    <w:rsid w:val="766E17F9"/>
    <w:rsid w:val="76894FB9"/>
    <w:rsid w:val="768C1EBA"/>
    <w:rsid w:val="768E260E"/>
    <w:rsid w:val="769568F8"/>
    <w:rsid w:val="76993596"/>
    <w:rsid w:val="769F0134"/>
    <w:rsid w:val="76B14AAD"/>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41D95"/>
    <w:rsid w:val="77095079"/>
    <w:rsid w:val="7718408C"/>
    <w:rsid w:val="7723073F"/>
    <w:rsid w:val="772527B2"/>
    <w:rsid w:val="772A6A8E"/>
    <w:rsid w:val="773B25F8"/>
    <w:rsid w:val="773B48CE"/>
    <w:rsid w:val="773D0C62"/>
    <w:rsid w:val="7743414C"/>
    <w:rsid w:val="774551B5"/>
    <w:rsid w:val="77523DCF"/>
    <w:rsid w:val="77606B3D"/>
    <w:rsid w:val="776870B9"/>
    <w:rsid w:val="776967FB"/>
    <w:rsid w:val="776D4583"/>
    <w:rsid w:val="7776540C"/>
    <w:rsid w:val="777A37E1"/>
    <w:rsid w:val="778100C2"/>
    <w:rsid w:val="77855EB4"/>
    <w:rsid w:val="779D35D8"/>
    <w:rsid w:val="77AA135C"/>
    <w:rsid w:val="77AB7E27"/>
    <w:rsid w:val="77AC14DA"/>
    <w:rsid w:val="77AD64CA"/>
    <w:rsid w:val="77AF3504"/>
    <w:rsid w:val="77B36F7C"/>
    <w:rsid w:val="77C926F0"/>
    <w:rsid w:val="77CA0362"/>
    <w:rsid w:val="77D17A81"/>
    <w:rsid w:val="77E40C30"/>
    <w:rsid w:val="77FC1B84"/>
    <w:rsid w:val="780752E6"/>
    <w:rsid w:val="780B6CC7"/>
    <w:rsid w:val="78153F77"/>
    <w:rsid w:val="78185315"/>
    <w:rsid w:val="781C67FA"/>
    <w:rsid w:val="782378AE"/>
    <w:rsid w:val="78296DAC"/>
    <w:rsid w:val="783267CC"/>
    <w:rsid w:val="783E418B"/>
    <w:rsid w:val="783F1754"/>
    <w:rsid w:val="784E3C01"/>
    <w:rsid w:val="78570849"/>
    <w:rsid w:val="78575D9F"/>
    <w:rsid w:val="78600977"/>
    <w:rsid w:val="78617AF2"/>
    <w:rsid w:val="78626899"/>
    <w:rsid w:val="786421F2"/>
    <w:rsid w:val="786616B3"/>
    <w:rsid w:val="786E5D08"/>
    <w:rsid w:val="78812F7C"/>
    <w:rsid w:val="78975C7D"/>
    <w:rsid w:val="78A51B95"/>
    <w:rsid w:val="78AA6975"/>
    <w:rsid w:val="78C15B1C"/>
    <w:rsid w:val="78C359B3"/>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A58CD"/>
    <w:rsid w:val="791F537B"/>
    <w:rsid w:val="79344437"/>
    <w:rsid w:val="79367982"/>
    <w:rsid w:val="793D5C2F"/>
    <w:rsid w:val="793F7F0E"/>
    <w:rsid w:val="794A336F"/>
    <w:rsid w:val="79537099"/>
    <w:rsid w:val="79552D08"/>
    <w:rsid w:val="795E7ED2"/>
    <w:rsid w:val="79672E22"/>
    <w:rsid w:val="79677010"/>
    <w:rsid w:val="796E6578"/>
    <w:rsid w:val="797121AE"/>
    <w:rsid w:val="797E1825"/>
    <w:rsid w:val="79A7288D"/>
    <w:rsid w:val="79AA3C4E"/>
    <w:rsid w:val="79AE312A"/>
    <w:rsid w:val="79B3208C"/>
    <w:rsid w:val="79B70130"/>
    <w:rsid w:val="79BD5598"/>
    <w:rsid w:val="79CB0706"/>
    <w:rsid w:val="79CB0751"/>
    <w:rsid w:val="79CE66ED"/>
    <w:rsid w:val="79CF6E25"/>
    <w:rsid w:val="79D42664"/>
    <w:rsid w:val="79D51250"/>
    <w:rsid w:val="79DB4236"/>
    <w:rsid w:val="79E66C93"/>
    <w:rsid w:val="79F16E80"/>
    <w:rsid w:val="79F842C2"/>
    <w:rsid w:val="79FA0A29"/>
    <w:rsid w:val="79FC6E04"/>
    <w:rsid w:val="79FE2A4E"/>
    <w:rsid w:val="7A081D42"/>
    <w:rsid w:val="7A0A6E0F"/>
    <w:rsid w:val="7A0A7223"/>
    <w:rsid w:val="7A0C4EA7"/>
    <w:rsid w:val="7A12552F"/>
    <w:rsid w:val="7A1524DD"/>
    <w:rsid w:val="7A1A1772"/>
    <w:rsid w:val="7A1E1DC3"/>
    <w:rsid w:val="7A2751AD"/>
    <w:rsid w:val="7A276994"/>
    <w:rsid w:val="7A3B034D"/>
    <w:rsid w:val="7A3F158B"/>
    <w:rsid w:val="7A4A132A"/>
    <w:rsid w:val="7A535840"/>
    <w:rsid w:val="7A6736BC"/>
    <w:rsid w:val="7A6A7B3B"/>
    <w:rsid w:val="7A721F7E"/>
    <w:rsid w:val="7A746574"/>
    <w:rsid w:val="7A7678E5"/>
    <w:rsid w:val="7A7B24DD"/>
    <w:rsid w:val="7A7D2094"/>
    <w:rsid w:val="7A7F65CA"/>
    <w:rsid w:val="7A867241"/>
    <w:rsid w:val="7A876B11"/>
    <w:rsid w:val="7A88301C"/>
    <w:rsid w:val="7A963A48"/>
    <w:rsid w:val="7A9660A3"/>
    <w:rsid w:val="7A9861CB"/>
    <w:rsid w:val="7A986784"/>
    <w:rsid w:val="7ABB3E82"/>
    <w:rsid w:val="7AC3568E"/>
    <w:rsid w:val="7AD71052"/>
    <w:rsid w:val="7AD9797E"/>
    <w:rsid w:val="7ADE3DB2"/>
    <w:rsid w:val="7AEE60EE"/>
    <w:rsid w:val="7B0E060E"/>
    <w:rsid w:val="7B0F5219"/>
    <w:rsid w:val="7B177A77"/>
    <w:rsid w:val="7B193032"/>
    <w:rsid w:val="7B26484C"/>
    <w:rsid w:val="7B2B13FD"/>
    <w:rsid w:val="7B3339FA"/>
    <w:rsid w:val="7B346599"/>
    <w:rsid w:val="7B44094D"/>
    <w:rsid w:val="7B460BFD"/>
    <w:rsid w:val="7B4910BE"/>
    <w:rsid w:val="7B4A7A19"/>
    <w:rsid w:val="7B5D3226"/>
    <w:rsid w:val="7B5E4EEC"/>
    <w:rsid w:val="7B674BD7"/>
    <w:rsid w:val="7B722498"/>
    <w:rsid w:val="7B782690"/>
    <w:rsid w:val="7B7F3966"/>
    <w:rsid w:val="7B80148D"/>
    <w:rsid w:val="7B821ADA"/>
    <w:rsid w:val="7B8F5DA2"/>
    <w:rsid w:val="7B926883"/>
    <w:rsid w:val="7BA4369C"/>
    <w:rsid w:val="7BA71440"/>
    <w:rsid w:val="7BAE696E"/>
    <w:rsid w:val="7BAF3C86"/>
    <w:rsid w:val="7BC23E12"/>
    <w:rsid w:val="7BC92A6F"/>
    <w:rsid w:val="7BD36780"/>
    <w:rsid w:val="7BD4048E"/>
    <w:rsid w:val="7BD968AC"/>
    <w:rsid w:val="7BDE524C"/>
    <w:rsid w:val="7BEA5E74"/>
    <w:rsid w:val="7BF577C1"/>
    <w:rsid w:val="7BF9001B"/>
    <w:rsid w:val="7BFE0389"/>
    <w:rsid w:val="7BFE08FA"/>
    <w:rsid w:val="7C091716"/>
    <w:rsid w:val="7C126AEB"/>
    <w:rsid w:val="7C1F2070"/>
    <w:rsid w:val="7C260105"/>
    <w:rsid w:val="7C2900A2"/>
    <w:rsid w:val="7C295D17"/>
    <w:rsid w:val="7C2A10CD"/>
    <w:rsid w:val="7C2D2AE7"/>
    <w:rsid w:val="7C4A5A50"/>
    <w:rsid w:val="7C4B681D"/>
    <w:rsid w:val="7C4C575E"/>
    <w:rsid w:val="7C640974"/>
    <w:rsid w:val="7C643EF7"/>
    <w:rsid w:val="7C690B20"/>
    <w:rsid w:val="7C724EAE"/>
    <w:rsid w:val="7C780AD5"/>
    <w:rsid w:val="7C7A14F2"/>
    <w:rsid w:val="7C7E2FFC"/>
    <w:rsid w:val="7C867154"/>
    <w:rsid w:val="7C9427B3"/>
    <w:rsid w:val="7C9E5A77"/>
    <w:rsid w:val="7CB74F4A"/>
    <w:rsid w:val="7CB80138"/>
    <w:rsid w:val="7CB838AF"/>
    <w:rsid w:val="7CBE6F50"/>
    <w:rsid w:val="7CC639C6"/>
    <w:rsid w:val="7CC96839"/>
    <w:rsid w:val="7CCC3CFE"/>
    <w:rsid w:val="7CCD12D3"/>
    <w:rsid w:val="7CD505D1"/>
    <w:rsid w:val="7CD6692A"/>
    <w:rsid w:val="7CE215AC"/>
    <w:rsid w:val="7CE25B4A"/>
    <w:rsid w:val="7CE3422B"/>
    <w:rsid w:val="7CE5443B"/>
    <w:rsid w:val="7CE76B7F"/>
    <w:rsid w:val="7CED09D9"/>
    <w:rsid w:val="7CF87323"/>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241A1"/>
    <w:rsid w:val="7D452B7F"/>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8040C"/>
    <w:rsid w:val="7DC85A3E"/>
    <w:rsid w:val="7DCE15A0"/>
    <w:rsid w:val="7DD03D33"/>
    <w:rsid w:val="7DD410E6"/>
    <w:rsid w:val="7DD603AD"/>
    <w:rsid w:val="7DD82F1A"/>
    <w:rsid w:val="7DDA1110"/>
    <w:rsid w:val="7DE020DC"/>
    <w:rsid w:val="7DE449CE"/>
    <w:rsid w:val="7DEC05A8"/>
    <w:rsid w:val="7DED1348"/>
    <w:rsid w:val="7DEE71DF"/>
    <w:rsid w:val="7DF66186"/>
    <w:rsid w:val="7E007B1A"/>
    <w:rsid w:val="7E0A5EA4"/>
    <w:rsid w:val="7E0A72D5"/>
    <w:rsid w:val="7E0B3C08"/>
    <w:rsid w:val="7E1C2B95"/>
    <w:rsid w:val="7E1E3CF4"/>
    <w:rsid w:val="7E212526"/>
    <w:rsid w:val="7E262B03"/>
    <w:rsid w:val="7E2E765A"/>
    <w:rsid w:val="7E324C10"/>
    <w:rsid w:val="7E3B7336"/>
    <w:rsid w:val="7E3D35D7"/>
    <w:rsid w:val="7E466A84"/>
    <w:rsid w:val="7E472FFE"/>
    <w:rsid w:val="7E4A6379"/>
    <w:rsid w:val="7E5248E3"/>
    <w:rsid w:val="7E6854DB"/>
    <w:rsid w:val="7E6C43B3"/>
    <w:rsid w:val="7E77762F"/>
    <w:rsid w:val="7E793E63"/>
    <w:rsid w:val="7E7B1715"/>
    <w:rsid w:val="7E8031F2"/>
    <w:rsid w:val="7E860496"/>
    <w:rsid w:val="7E956D81"/>
    <w:rsid w:val="7E9611E7"/>
    <w:rsid w:val="7E9963F8"/>
    <w:rsid w:val="7E9D0633"/>
    <w:rsid w:val="7EA82B9C"/>
    <w:rsid w:val="7EB13A3E"/>
    <w:rsid w:val="7EB16AB6"/>
    <w:rsid w:val="7EBD651F"/>
    <w:rsid w:val="7EC07C28"/>
    <w:rsid w:val="7ECB3BBC"/>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6566E6"/>
    <w:rsid w:val="7F6A7C64"/>
    <w:rsid w:val="7F6B0BA4"/>
    <w:rsid w:val="7F6E0CE1"/>
    <w:rsid w:val="7F6F6E86"/>
    <w:rsid w:val="7F8A3738"/>
    <w:rsid w:val="7F8B3191"/>
    <w:rsid w:val="7F8E4655"/>
    <w:rsid w:val="7F8E6809"/>
    <w:rsid w:val="7F987985"/>
    <w:rsid w:val="7F9C63C5"/>
    <w:rsid w:val="7F9E0C2E"/>
    <w:rsid w:val="7FAF35C9"/>
    <w:rsid w:val="7FAF535A"/>
    <w:rsid w:val="7FB620B9"/>
    <w:rsid w:val="7FBE4780"/>
    <w:rsid w:val="7FC07CDA"/>
    <w:rsid w:val="7FC33EC6"/>
    <w:rsid w:val="7FD30895"/>
    <w:rsid w:val="7FD52EF4"/>
    <w:rsid w:val="7FE932BA"/>
    <w:rsid w:val="7FEC3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6">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sz w:val="21"/>
      <w:szCs w:val="21"/>
    </w:rPr>
  </w:style>
  <w:style w:type="character" w:styleId="8">
    <w:name w:val="FollowedHyperlink"/>
    <w:basedOn w:val="6"/>
    <w:qFormat/>
    <w:uiPriority w:val="0"/>
    <w:rPr>
      <w:color w:val="4D7AD8"/>
      <w:u w:val="none"/>
    </w:rPr>
  </w:style>
  <w:style w:type="character" w:styleId="9">
    <w:name w:val="HTML Definition"/>
    <w:basedOn w:val="6"/>
    <w:qFormat/>
    <w:uiPriority w:val="0"/>
    <w:rPr>
      <w:i/>
      <w:bdr w:val="single" w:color="D9D9D9" w:sz="6" w:space="0"/>
      <w:shd w:val="clear" w:fill="FFFFFF"/>
    </w:rPr>
  </w:style>
  <w:style w:type="character" w:styleId="10">
    <w:name w:val="Hyperlink"/>
    <w:basedOn w:val="6"/>
    <w:qFormat/>
    <w:uiPriority w:val="0"/>
    <w:rPr>
      <w:color w:val="0000FF"/>
      <w:u w:val="single"/>
    </w:rPr>
  </w:style>
  <w:style w:type="character" w:styleId="11">
    <w:name w:val="HTML Code"/>
    <w:basedOn w:val="6"/>
    <w:qFormat/>
    <w:uiPriority w:val="0"/>
    <w:rPr>
      <w:rFonts w:hint="default" w:ascii="Consolas" w:hAnsi="Consolas" w:eastAsia="Consolas" w:cs="Consolas"/>
      <w:sz w:val="21"/>
      <w:szCs w:val="21"/>
    </w:rPr>
  </w:style>
  <w:style w:type="character" w:styleId="12">
    <w:name w:val="HTML Keyboard"/>
    <w:basedOn w:val="6"/>
    <w:qFormat/>
    <w:uiPriority w:val="0"/>
    <w:rPr>
      <w:rFonts w:ascii="Consolas" w:hAnsi="Consolas" w:eastAsia="Consolas" w:cs="Consolas"/>
      <w:color w:val="666666"/>
      <w:sz w:val="21"/>
      <w:szCs w:val="21"/>
    </w:rPr>
  </w:style>
  <w:style w:type="character" w:styleId="13">
    <w:name w:val="HTML Sample"/>
    <w:basedOn w:val="6"/>
    <w:qFormat/>
    <w:uiPriority w:val="0"/>
    <w:rPr>
      <w:rFonts w:hint="default" w:ascii="Consolas" w:hAnsi="Consolas" w:eastAsia="Consolas" w:cs="Consolas"/>
      <w:sz w:val="21"/>
      <w:szCs w:val="21"/>
    </w:rPr>
  </w:style>
  <w:style w:type="table" w:styleId="1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first-child2"/>
    <w:basedOn w:val="6"/>
    <w:qFormat/>
    <w:uiPriority w:val="0"/>
    <w:rPr>
      <w:sz w:val="13"/>
      <w:szCs w:val="13"/>
    </w:rPr>
  </w:style>
  <w:style w:type="character" w:customStyle="1" w:styleId="17">
    <w:name w:val="ant-select-tree-switcher"/>
    <w:basedOn w:val="6"/>
    <w:qFormat/>
    <w:uiPriority w:val="0"/>
  </w:style>
  <w:style w:type="character" w:customStyle="1" w:styleId="18">
    <w:name w:val="ant-tree-iconele"/>
    <w:basedOn w:val="6"/>
    <w:qFormat/>
    <w:uiPriority w:val="0"/>
  </w:style>
  <w:style w:type="character" w:customStyle="1" w:styleId="19">
    <w:name w:val="ant-radio+*"/>
    <w:basedOn w:val="6"/>
    <w:qFormat/>
    <w:uiPriority w:val="0"/>
  </w:style>
  <w:style w:type="character" w:customStyle="1" w:styleId="20">
    <w:name w:val="selected4"/>
    <w:basedOn w:val="6"/>
    <w:qFormat/>
    <w:uiPriority w:val="0"/>
  </w:style>
  <w:style w:type="character" w:customStyle="1" w:styleId="21">
    <w:name w:val="selected5"/>
    <w:basedOn w:val="6"/>
    <w:qFormat/>
    <w:uiPriority w:val="0"/>
  </w:style>
  <w:style w:type="character" w:customStyle="1" w:styleId="22">
    <w:name w:val="selected6"/>
    <w:basedOn w:val="6"/>
    <w:qFormat/>
    <w:uiPriority w:val="0"/>
  </w:style>
  <w:style w:type="character" w:customStyle="1" w:styleId="23">
    <w:name w:val="button"/>
    <w:basedOn w:val="6"/>
    <w:qFormat/>
    <w:uiPriority w:val="0"/>
  </w:style>
  <w:style w:type="character" w:customStyle="1" w:styleId="24">
    <w:name w:val="hover19"/>
    <w:basedOn w:val="6"/>
    <w:qFormat/>
    <w:uiPriority w:val="0"/>
    <w:rPr>
      <w:color w:val="009DFF"/>
    </w:rPr>
  </w:style>
  <w:style w:type="character" w:customStyle="1" w:styleId="25">
    <w:name w:val="hover20"/>
    <w:basedOn w:val="6"/>
    <w:qFormat/>
    <w:uiPriority w:val="0"/>
    <w:rPr>
      <w:color w:val="009DFF"/>
    </w:rPr>
  </w:style>
  <w:style w:type="character" w:customStyle="1" w:styleId="26">
    <w:name w:val="ant-tree-switcher"/>
    <w:basedOn w:val="6"/>
    <w:qFormat/>
    <w:uiPriority w:val="0"/>
  </w:style>
  <w:style w:type="character" w:customStyle="1" w:styleId="27">
    <w:name w:val="ant-select-tree-checkbox2"/>
    <w:basedOn w:val="6"/>
    <w:qFormat/>
    <w:uiPriority w:val="0"/>
  </w:style>
  <w:style w:type="character" w:customStyle="1" w:styleId="28">
    <w:name w:val="ant-select-tree-iconele"/>
    <w:basedOn w:val="6"/>
    <w:qFormat/>
    <w:uiPriority w:val="0"/>
  </w:style>
  <w:style w:type="character" w:customStyle="1" w:styleId="29">
    <w:name w:val="ant-tree-checkbox6"/>
    <w:basedOn w:val="6"/>
    <w:qFormat/>
    <w:uiPriority w:val="0"/>
  </w:style>
  <w:style w:type="character" w:customStyle="1" w:styleId="30">
    <w:name w:val="wea-thumbnails-doc-content-subtitle"/>
    <w:basedOn w:val="6"/>
    <w:qFormat/>
    <w:uiPriority w:val="0"/>
    <w:rPr>
      <w:color w:val="9A9A9A"/>
    </w:rPr>
  </w:style>
  <w:style w:type="character" w:customStyle="1" w:styleId="31">
    <w:name w:val="ht_nestinglevel"/>
    <w:basedOn w:val="6"/>
    <w:qFormat/>
    <w:uiPriority w:val="0"/>
  </w:style>
  <w:style w:type="character" w:customStyle="1" w:styleId="32">
    <w:name w:val="ht_nestinglevel_empty"/>
    <w:basedOn w:val="6"/>
    <w:qFormat/>
    <w:uiPriority w:val="0"/>
  </w:style>
  <w:style w:type="character" w:customStyle="1" w:styleId="33">
    <w:name w:val="colheader"/>
    <w:basedOn w:val="6"/>
    <w:qFormat/>
    <w:uiPriority w:val="0"/>
  </w:style>
  <w:style w:type="character" w:customStyle="1" w:styleId="34">
    <w:name w:val="ant-tree-checkbox"/>
    <w:basedOn w:val="6"/>
    <w:qFormat/>
    <w:uiPriority w:val="0"/>
  </w:style>
  <w:style w:type="character" w:customStyle="1" w:styleId="35">
    <w:name w:val="first-child"/>
    <w:basedOn w:val="6"/>
    <w:qFormat/>
    <w:uiPriority w:val="0"/>
    <w:rPr>
      <w:sz w:val="13"/>
      <w:szCs w:val="13"/>
    </w:rPr>
  </w:style>
  <w:style w:type="character" w:customStyle="1" w:styleId="36">
    <w:name w:val="ant-tree-switcher6"/>
    <w:basedOn w:val="6"/>
    <w:qFormat/>
    <w:uiPriority w:val="0"/>
  </w:style>
  <w:style w:type="character" w:customStyle="1" w:styleId="37">
    <w:name w:val="selected"/>
    <w:basedOn w:val="6"/>
    <w:qFormat/>
    <w:uiPriority w:val="0"/>
  </w:style>
  <w:style w:type="character" w:customStyle="1" w:styleId="38">
    <w:name w:val="selected1"/>
    <w:basedOn w:val="6"/>
    <w:qFormat/>
    <w:uiPriority w:val="0"/>
  </w:style>
  <w:style w:type="character" w:customStyle="1" w:styleId="39">
    <w:name w:val="selected2"/>
    <w:basedOn w:val="6"/>
    <w:qFormat/>
    <w:uiPriority w:val="0"/>
  </w:style>
  <w:style w:type="character" w:customStyle="1" w:styleId="40">
    <w:name w:val="ant-select-tree-checkbox"/>
    <w:basedOn w:val="6"/>
    <w:qFormat/>
    <w:uiPriority w:val="0"/>
  </w:style>
  <w:style w:type="character" w:customStyle="1" w:styleId="41">
    <w:name w:val="ant-tree-switcher5"/>
    <w:basedOn w:val="6"/>
    <w:qFormat/>
    <w:uiPriority w:val="0"/>
  </w:style>
  <w:style w:type="character" w:customStyle="1" w:styleId="42">
    <w:name w:val="selected7"/>
    <w:basedOn w:val="6"/>
    <w:qFormat/>
    <w:uiPriority w:val="0"/>
  </w:style>
  <w:style w:type="character" w:customStyle="1" w:styleId="43">
    <w:name w:val="selected11"/>
    <w:basedOn w:val="6"/>
    <w:qFormat/>
    <w:uiPriority w:val="0"/>
  </w:style>
  <w:style w:type="character" w:customStyle="1" w:styleId="44">
    <w:name w:val="selected12"/>
    <w:basedOn w:val="6"/>
    <w:qFormat/>
    <w:uiPriority w:val="0"/>
  </w:style>
  <w:style w:type="character" w:customStyle="1" w:styleId="45">
    <w:name w:val="selected13"/>
    <w:basedOn w:val="6"/>
    <w:qFormat/>
    <w:uiPriority w:val="0"/>
  </w:style>
  <w:style w:type="character" w:customStyle="1" w:styleId="46">
    <w:name w:val="selected8"/>
    <w:basedOn w:val="6"/>
    <w:qFormat/>
    <w:uiPriority w:val="0"/>
  </w:style>
  <w:style w:type="character" w:customStyle="1" w:styleId="47">
    <w:name w:val="selected9"/>
    <w:basedOn w:val="6"/>
    <w:qFormat/>
    <w:uiPriority w:val="0"/>
  </w:style>
  <w:style w:type="character" w:customStyle="1" w:styleId="48">
    <w:name w:val="selected10"/>
    <w:basedOn w:val="6"/>
    <w:qFormat/>
    <w:uiPriority w:val="0"/>
  </w:style>
  <w:style w:type="character" w:customStyle="1" w:styleId="49">
    <w:name w:val="hover18"/>
    <w:basedOn w:val="6"/>
    <w:qFormat/>
    <w:uiPriority w:val="0"/>
    <w:rPr>
      <w:color w:val="009DFF"/>
    </w:rPr>
  </w:style>
  <w:style w:type="character" w:customStyle="1" w:styleId="50">
    <w:name w:val="ant-tree-checkbox5"/>
    <w:basedOn w:val="6"/>
    <w:qFormat/>
    <w:uiPriority w:val="0"/>
  </w:style>
  <w:style w:type="character" w:customStyle="1" w:styleId="51">
    <w:name w:val="ant-tree-switcher4"/>
    <w:basedOn w:val="6"/>
    <w:qFormat/>
    <w:uiPriority w:val="0"/>
  </w:style>
  <w:style w:type="character" w:customStyle="1" w:styleId="52">
    <w:name w:val="hover"/>
    <w:basedOn w:val="6"/>
    <w:qFormat/>
    <w:uiPriority w:val="0"/>
    <w:rPr>
      <w:color w:val="009DFF"/>
    </w:rPr>
  </w:style>
  <w:style w:type="character" w:customStyle="1" w:styleId="53">
    <w:name w:val="hover1"/>
    <w:basedOn w:val="6"/>
    <w:qFormat/>
    <w:uiPriority w:val="0"/>
    <w:rPr>
      <w:color w:val="009DFF"/>
    </w:rPr>
  </w:style>
  <w:style w:type="character" w:customStyle="1" w:styleId="54">
    <w:name w:val="hover15"/>
    <w:basedOn w:val="6"/>
    <w:qFormat/>
    <w:uiPriority w:val="0"/>
    <w:rPr>
      <w:color w:val="009DFF"/>
    </w:rPr>
  </w:style>
  <w:style w:type="character" w:customStyle="1" w:styleId="55">
    <w:name w:val="hover16"/>
    <w:basedOn w:val="6"/>
    <w:qFormat/>
    <w:uiPriority w:val="0"/>
    <w:rPr>
      <w:color w:val="009DFF"/>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15</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未定义</cp:lastModifiedBy>
  <cp:lastPrinted>2024-03-07T06:33:00Z</cp:lastPrinted>
  <dcterms:modified xsi:type="dcterms:W3CDTF">2024-03-15T01:50:30Z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y fmtid="{D5CDD505-2E9C-101B-9397-08002B2CF9AE}" pid="3" name="ICV">
    <vt:lpwstr>2AFE29251F2D47119EA111B2B617C6AF_13</vt:lpwstr>
  </property>
</Properties>
</file>