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default" w:ascii="Times New Roman" w:hAnsi="Times New Roman" w:eastAsia="经典行楷简" w:cs="Times New Roman"/>
          <w:b w:val="0"/>
          <w:bCs/>
          <w:color w:val="2E75B6" w:themeColor="accent1" w:themeShade="BF"/>
          <w:kern w:val="36"/>
          <w:sz w:val="44"/>
          <w:szCs w:val="44"/>
          <w:lang w:val="en-US" w:eastAsia="zh-CN"/>
        </w:rPr>
        <w:t>4</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30</w:t>
      </w:r>
      <w:r>
        <w:rPr>
          <w:rFonts w:hint="default" w:ascii="Times New Roman" w:hAnsi="Times New Roman" w:eastAsia="经典行楷简" w:cs="Times New Roman"/>
          <w:b w:val="0"/>
          <w:bCs/>
          <w:color w:val="2E75B6" w:themeColor="accent1" w:themeShade="BF"/>
          <w:kern w:val="36"/>
          <w:sz w:val="44"/>
          <w:szCs w:val="44"/>
        </w:rPr>
        <w:t>期</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总第</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276</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rPr>
      </w:pPr>
      <w:r>
        <w:rPr>
          <w:rFonts w:hint="default" w:ascii="Times New Roman" w:hAnsi="Times New Roman" w:eastAsia="方正黑体_GBK" w:cs="Times New Roman"/>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default" w:ascii="Times New Roman" w:hAnsi="Times New Roman" w:eastAsia="方正楷体_GBK" w:cs="Times New Roman"/>
          <w:b w:val="0"/>
          <w:bCs/>
          <w:color w:val="000000"/>
          <w:kern w:val="36"/>
          <w:sz w:val="32"/>
          <w:szCs w:val="32"/>
          <w:highlight w:val="none"/>
          <w:lang w:val="en-US" w:eastAsia="zh-CN"/>
        </w:rPr>
        <w:t>4</w:t>
      </w:r>
      <w:r>
        <w:rPr>
          <w:rFonts w:hint="default" w:ascii="Times New Roman" w:hAnsi="Times New Roman" w:eastAsia="方正楷体_GBK" w:cs="Times New Roman"/>
          <w:b w:val="0"/>
          <w:bCs/>
          <w:color w:val="000000"/>
          <w:kern w:val="36"/>
          <w:sz w:val="32"/>
          <w:szCs w:val="32"/>
          <w:highlight w:val="none"/>
        </w:rPr>
        <w:t>年</w:t>
      </w:r>
      <w:r>
        <w:rPr>
          <w:rFonts w:hint="eastAsia" w:ascii="Times New Roman" w:hAnsi="Times New Roman" w:eastAsia="方正楷体_GBK" w:cs="Times New Roman"/>
          <w:b w:val="0"/>
          <w:bCs/>
          <w:color w:val="000000"/>
          <w:kern w:val="36"/>
          <w:sz w:val="32"/>
          <w:szCs w:val="32"/>
          <w:highlight w:val="none"/>
          <w:lang w:val="en-US" w:eastAsia="zh-CN"/>
        </w:rPr>
        <w:t>7</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26</w:t>
      </w:r>
      <w:r>
        <w:rPr>
          <w:rFonts w:hint="default" w:ascii="Times New Roman" w:hAnsi="Times New Roman" w:eastAsia="方正楷体_GBK" w:cs="Times New Roman"/>
          <w:b w:val="0"/>
          <w:bCs/>
          <w:color w:val="000000"/>
          <w:kern w:val="36"/>
          <w:sz w:val="32"/>
          <w:szCs w:val="32"/>
          <w:highlight w:val="none"/>
        </w:rPr>
        <w:t>日</w:t>
      </w:r>
    </w:p>
    <w:p>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44"/>
          <w:szCs w:val="4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全球</w:t>
      </w:r>
      <w:r>
        <w:rPr>
          <w:rFonts w:hint="eastAsia"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经贸分析</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left="550" w:leftChars="284" w:firstLine="0" w:firstLineChars="0"/>
        <w:contextualSpacing/>
        <w:jc w:val="left"/>
        <w:textAlignment w:val="auto"/>
        <w:outlineLvl w:val="1"/>
        <w:rPr>
          <w:rFonts w:hint="default" w:ascii="Times New Roman" w:hAnsi="Times New Roman" w:eastAsia="方正楷体_GBK" w:cs="Times New Roman"/>
          <w:b/>
          <w:bCs w:val="0"/>
          <w:color w:val="auto"/>
          <w:spacing w:val="-2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7月18日（周四）</w:t>
      </w:r>
      <w:r>
        <w:rPr>
          <w:rFonts w:hint="eastAsia" w:ascii="Times New Roman" w:hAnsi="Times New Roman" w:eastAsia="方正楷体_GBK" w:cs="Times New Roman"/>
          <w:b/>
          <w:color w:val="auto"/>
          <w:spacing w:val="-20"/>
          <w:kern w:val="36"/>
          <w:sz w:val="30"/>
          <w:szCs w:val="30"/>
          <w:lang w:val="en-US" w:eastAsia="zh-CN"/>
        </w:rPr>
        <w:t xml:space="preserve">日央行两度出手撑汇率，有效果但难持续须改革 </w:t>
      </w:r>
      <w:r>
        <w:rPr>
          <w:rFonts w:hint="default" w:ascii="Times New Roman" w:hAnsi="Times New Roman" w:eastAsia="方正楷体_GBK" w:cs="Times New Roman"/>
          <w:b/>
          <w:bCs w:val="0"/>
          <w:color w:val="auto"/>
          <w:spacing w:val="-20"/>
          <w:kern w:val="36"/>
          <w:sz w:val="30"/>
          <w:szCs w:val="30"/>
          <w:lang w:val="en-US" w:eastAsia="zh-CN"/>
        </w:rPr>
        <w:t>/ 01</w:t>
      </w:r>
    </w:p>
    <w:p>
      <w:pPr>
        <w:keepNext w:val="0"/>
        <w:keepLines w:val="0"/>
        <w:pageBreakBefore w:val="0"/>
        <w:widowControl w:val="0"/>
        <w:kinsoku/>
        <w:wordWrap/>
        <w:overflowPunct/>
        <w:topLinePunct w:val="0"/>
        <w:autoSpaceDE/>
        <w:autoSpaceDN/>
        <w:bidi w:val="0"/>
        <w:adjustRightInd/>
        <w:snapToGrid/>
        <w:ind w:left="550" w:leftChars="284" w:firstLine="0" w:firstLineChars="0"/>
        <w:jc w:val="left"/>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7月19日（周五）欧洲央行暂缓降息，通胀高企恐成常态</w:t>
      </w:r>
      <w:r>
        <w:rPr>
          <w:rFonts w:hint="eastAsia" w:ascii="Times New Roman" w:hAnsi="Times New Roman" w:eastAsia="方正楷体_GBK" w:cs="Times New Roman"/>
          <w:b/>
          <w:color w:val="auto"/>
          <w:spacing w:val="0"/>
          <w:kern w:val="36"/>
          <w:sz w:val="30"/>
          <w:szCs w:val="30"/>
          <w:lang w:val="en-US" w:eastAsia="zh-CN"/>
        </w:rPr>
        <w:t xml:space="preserve"> </w:t>
      </w:r>
      <w:r>
        <w:rPr>
          <w:rFonts w:hint="default" w:ascii="Times New Roman" w:hAnsi="Times New Roman" w:eastAsia="方正楷体_GBK" w:cs="Times New Roman"/>
          <w:b/>
          <w:bCs w:val="0"/>
          <w:color w:val="auto"/>
          <w:spacing w:val="0"/>
          <w:kern w:val="36"/>
          <w:sz w:val="30"/>
          <w:szCs w:val="30"/>
          <w:lang w:val="en-US" w:eastAsia="zh-CN"/>
        </w:rPr>
        <w:t>/ 0</w:t>
      </w:r>
      <w:r>
        <w:rPr>
          <w:rFonts w:hint="eastAsia" w:ascii="Times New Roman" w:hAnsi="Times New Roman" w:eastAsia="方正楷体_GBK" w:cs="Times New Roman"/>
          <w:b/>
          <w:bCs w:val="0"/>
          <w:color w:val="auto"/>
          <w:spacing w:val="0"/>
          <w:kern w:val="36"/>
          <w:sz w:val="30"/>
          <w:szCs w:val="30"/>
          <w:lang w:val="en-US" w:eastAsia="zh-CN"/>
        </w:rPr>
        <w:t>4</w:t>
      </w:r>
    </w:p>
    <w:p>
      <w:pPr>
        <w:keepNext w:val="0"/>
        <w:keepLines w:val="0"/>
        <w:pageBreakBefore w:val="0"/>
        <w:widowControl w:val="0"/>
        <w:kinsoku/>
        <w:wordWrap/>
        <w:overflowPunct/>
        <w:topLinePunct w:val="0"/>
        <w:autoSpaceDE/>
        <w:autoSpaceDN/>
        <w:bidi w:val="0"/>
        <w:adjustRightInd/>
        <w:snapToGrid/>
        <w:ind w:left="550" w:leftChars="284" w:firstLine="0" w:firstLineChars="0"/>
        <w:jc w:val="left"/>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7月20日（周六）</w:t>
      </w:r>
      <w:r>
        <w:rPr>
          <w:rFonts w:hint="eastAsia" w:ascii="Times New Roman" w:hAnsi="Times New Roman" w:eastAsia="方正楷体_GBK" w:cs="Times New Roman"/>
          <w:b/>
          <w:bCs w:val="0"/>
          <w:color w:val="auto"/>
          <w:spacing w:val="-11"/>
          <w:kern w:val="36"/>
          <w:sz w:val="30"/>
          <w:szCs w:val="30"/>
          <w:lang w:val="en-US" w:eastAsia="zh-CN"/>
        </w:rPr>
        <w:t>梅西百货，感恩节大游行，美联储《褐皮书》</w:t>
      </w:r>
      <w:r>
        <w:rPr>
          <w:rFonts w:hint="eastAsia" w:ascii="Times New Roman" w:hAnsi="Times New Roman" w:eastAsia="方正楷体_GBK" w:cs="Times New Roman"/>
          <w:b/>
          <w:color w:val="auto"/>
          <w:spacing w:val="-11"/>
          <w:kern w:val="36"/>
          <w:sz w:val="30"/>
          <w:szCs w:val="30"/>
          <w:lang w:val="en-US" w:eastAsia="zh-CN"/>
        </w:rPr>
        <w:t xml:space="preserve"> </w:t>
      </w:r>
      <w:r>
        <w:rPr>
          <w:rFonts w:hint="default" w:ascii="Times New Roman" w:hAnsi="Times New Roman" w:eastAsia="方正楷体_GBK" w:cs="Times New Roman"/>
          <w:b/>
          <w:bCs w:val="0"/>
          <w:color w:val="auto"/>
          <w:spacing w:val="-11"/>
          <w:kern w:val="36"/>
          <w:sz w:val="30"/>
          <w:szCs w:val="30"/>
          <w:lang w:val="en-US" w:eastAsia="zh-CN"/>
        </w:rPr>
        <w:t>/ 0</w:t>
      </w:r>
      <w:r>
        <w:rPr>
          <w:rFonts w:hint="eastAsia" w:ascii="Times New Roman" w:hAnsi="Times New Roman" w:eastAsia="方正楷体_GBK" w:cs="Times New Roman"/>
          <w:b/>
          <w:bCs w:val="0"/>
          <w:color w:val="auto"/>
          <w:spacing w:val="-11"/>
          <w:kern w:val="36"/>
          <w:sz w:val="30"/>
          <w:szCs w:val="30"/>
          <w:lang w:val="en-US" w:eastAsia="zh-CN"/>
        </w:rPr>
        <w:t>8</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68" w:firstLineChars="200"/>
        <w:jc w:val="left"/>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7月21日（周日）美国的财政赤字和国债，以及对全球的影响 </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 xml:space="preserve"> 12</w:t>
      </w:r>
      <w:r>
        <w:rPr>
          <w:rFonts w:hint="default" w:ascii="Times New Roman" w:hAnsi="Times New Roman" w:eastAsia="方正楷体_GBK" w:cs="Times New Roman"/>
          <w:b/>
          <w:bCs w:val="0"/>
          <w:color w:val="auto"/>
          <w:spacing w:val="0"/>
          <w:kern w:val="36"/>
          <w:sz w:val="30"/>
          <w:szCs w:val="30"/>
          <w:lang w:val="en-US" w:eastAsia="zh-CN"/>
        </w:rPr>
        <w:t xml:space="preserve"> </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68" w:firstLineChars="200"/>
        <w:jc w:val="left"/>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default" w:ascii="Times New Roman" w:hAnsi="Times New Roman" w:eastAsia="方正楷体_GBK" w:cs="Times New Roman"/>
          <w:b/>
          <w:bCs w:val="0"/>
          <w:color w:val="auto"/>
          <w:spacing w:val="0"/>
          <w:kern w:val="36"/>
          <w:sz w:val="30"/>
          <w:szCs w:val="30"/>
          <w:lang w:val="en-US" w:eastAsia="zh-CN"/>
        </w:rPr>
        <w:t>7月22日（周一）看劳动力市场变化，推测货币政策走向</w:t>
      </w:r>
      <w:r>
        <w:rPr>
          <w:rFonts w:hint="eastAsia" w:ascii="Times New Roman" w:hAnsi="Times New Roman" w:eastAsia="方正楷体_GBK" w:cs="Times New Roman"/>
          <w:b/>
          <w:bCs w:val="0"/>
          <w:color w:val="auto"/>
          <w:spacing w:val="0"/>
          <w:kern w:val="36"/>
          <w:sz w:val="30"/>
          <w:szCs w:val="30"/>
          <w:lang w:val="en-US" w:eastAsia="zh-CN"/>
        </w:rPr>
        <w:t xml:space="preserve"> / 21</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68" w:firstLineChars="200"/>
        <w:jc w:val="left"/>
        <w:textAlignment w:val="auto"/>
        <w:rPr>
          <w:rFonts w:hint="default" w:ascii="Times New Roman" w:hAnsi="Times New Roman" w:eastAsia="方正楷体_GBK" w:cs="Times New Roman"/>
          <w:b/>
          <w:bCs w:val="0"/>
          <w:color w:val="auto"/>
          <w:spacing w:val="-6"/>
          <w:kern w:val="36"/>
          <w:sz w:val="30"/>
          <w:szCs w:val="30"/>
          <w:lang w:val="en-US" w:eastAsia="zh-CN"/>
        </w:rPr>
      </w:pPr>
      <w:r>
        <w:rPr>
          <w:rFonts w:hint="default" w:ascii="Times New Roman" w:hAnsi="Times New Roman" w:eastAsia="方正楷体_GBK" w:cs="Times New Roman"/>
          <w:b/>
          <w:bCs w:val="0"/>
          <w:color w:val="auto"/>
          <w:spacing w:val="0"/>
          <w:kern w:val="36"/>
          <w:sz w:val="30"/>
          <w:szCs w:val="30"/>
          <w:lang w:val="en-US" w:eastAsia="zh-CN"/>
        </w:rPr>
        <w:t>7月23日（周二）</w:t>
      </w:r>
      <w:r>
        <w:rPr>
          <w:rFonts w:hint="default" w:ascii="Times New Roman" w:hAnsi="Times New Roman" w:eastAsia="方正楷体_GBK" w:cs="Times New Roman"/>
          <w:b/>
          <w:bCs w:val="0"/>
          <w:color w:val="auto"/>
          <w:spacing w:val="-6"/>
          <w:kern w:val="36"/>
          <w:sz w:val="30"/>
          <w:szCs w:val="30"/>
          <w:lang w:val="en-US" w:eastAsia="zh-CN"/>
        </w:rPr>
        <w:t>无视西方制裁，俄房地产火热、市场前景可期</w:t>
      </w:r>
      <w:r>
        <w:rPr>
          <w:rFonts w:hint="eastAsia" w:ascii="Times New Roman" w:hAnsi="Times New Roman" w:eastAsia="方正楷体_GBK" w:cs="Times New Roman"/>
          <w:b/>
          <w:bCs w:val="0"/>
          <w:color w:val="auto"/>
          <w:spacing w:val="-6"/>
          <w:kern w:val="36"/>
          <w:sz w:val="30"/>
          <w:szCs w:val="30"/>
          <w:lang w:val="en-US" w:eastAsia="zh-CN"/>
        </w:rPr>
        <w:t xml:space="preserve"> / 25</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68" w:firstLineChars="200"/>
        <w:jc w:val="left"/>
        <w:textAlignment w:val="auto"/>
        <w:rPr>
          <w:rFonts w:hint="default" w:ascii="Times New Roman" w:hAnsi="Times New Roman" w:eastAsia="方正楷体_GBK" w:cs="Times New Roman"/>
          <w:b/>
          <w:bCs w:val="0"/>
          <w:color w:val="auto"/>
          <w:spacing w:val="-6"/>
          <w:kern w:val="36"/>
          <w:sz w:val="30"/>
          <w:szCs w:val="30"/>
          <w:lang w:val="en-US" w:eastAsia="zh-CN"/>
        </w:rPr>
      </w:pPr>
      <w:r>
        <w:rPr>
          <w:rFonts w:hint="default" w:ascii="Times New Roman" w:hAnsi="Times New Roman" w:eastAsia="方正楷体_GBK" w:cs="Times New Roman"/>
          <w:b/>
          <w:bCs w:val="0"/>
          <w:color w:val="auto"/>
          <w:spacing w:val="0"/>
          <w:kern w:val="36"/>
          <w:sz w:val="30"/>
          <w:szCs w:val="30"/>
          <w:lang w:val="en-US" w:eastAsia="zh-CN"/>
        </w:rPr>
        <w:t>7月2</w:t>
      </w:r>
      <w:r>
        <w:rPr>
          <w:rFonts w:hint="eastAsia" w:ascii="Times New Roman" w:hAnsi="Times New Roman" w:eastAsia="方正楷体_GBK" w:cs="Times New Roman"/>
          <w:b/>
          <w:bCs w:val="0"/>
          <w:color w:val="auto"/>
          <w:spacing w:val="0"/>
          <w:kern w:val="36"/>
          <w:sz w:val="30"/>
          <w:szCs w:val="30"/>
          <w:lang w:val="en-US" w:eastAsia="zh-CN"/>
        </w:rPr>
        <w:t>4</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三</w:t>
      </w:r>
      <w:r>
        <w:rPr>
          <w:rFonts w:hint="default" w:ascii="Times New Roman" w:hAnsi="Times New Roman" w:eastAsia="方正楷体_GBK" w:cs="Times New Roman"/>
          <w:b/>
          <w:bCs w:val="0"/>
          <w:color w:val="auto"/>
          <w:spacing w:val="0"/>
          <w:kern w:val="36"/>
          <w:sz w:val="30"/>
          <w:szCs w:val="30"/>
          <w:lang w:val="en-US" w:eastAsia="zh-CN"/>
        </w:rPr>
        <w:t>）科技巨头领跌，美股指数重挫</w:t>
      </w:r>
      <w:r>
        <w:rPr>
          <w:rFonts w:hint="eastAsia" w:ascii="Times New Roman" w:hAnsi="Times New Roman" w:eastAsia="方正楷体_GBK" w:cs="Times New Roman"/>
          <w:b/>
          <w:bCs w:val="0"/>
          <w:color w:val="auto"/>
          <w:spacing w:val="-6"/>
          <w:kern w:val="36"/>
          <w:sz w:val="30"/>
          <w:szCs w:val="30"/>
          <w:lang w:val="en-US" w:eastAsia="zh-CN"/>
        </w:rPr>
        <w:t xml:space="preserve"> / 30</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方正黑体_GBK" w:cs="Times New Roman"/>
          <w:b/>
          <w:color w:val="FFC000"/>
          <w:kern w:val="36"/>
          <w:sz w:val="28"/>
          <w:szCs w:val="28"/>
          <w:lang w:val="en-US" w:eastAsia="zh-CN"/>
        </w:rPr>
      </w:pP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江苏贸促动态</w:t>
      </w: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00B0F0"/>
          <w:kern w:val="36"/>
          <w:sz w:val="28"/>
          <w:szCs w:val="28"/>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省贸促会领导会见乌兹别克斯坦客人 / 32</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eastAsia"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境外机构、跨国公司江苏行——英企南通行活动成功举行 / 33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省贸促会组织百家企业参加2024“苏韵伊情”伊犁州汽配产业招商暨拓展中亚市场推介会</w:t>
      </w:r>
      <w:r>
        <w:rPr>
          <w:rFonts w:hint="eastAsia" w:ascii="Times New Roman" w:hAnsi="Times New Roman" w:eastAsia="方正楷体_GBK" w:cs="Times New Roman"/>
          <w:b/>
          <w:color w:val="auto"/>
          <w:spacing w:val="0"/>
          <w:kern w:val="36"/>
          <w:sz w:val="30"/>
          <w:szCs w:val="30"/>
          <w:lang w:val="en-US" w:eastAsia="zh-CN"/>
        </w:rPr>
        <w:t xml:space="preserve"> / 34</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南京市贸促会到玄武区走访调研</w:t>
      </w:r>
      <w:r>
        <w:rPr>
          <w:rFonts w:hint="eastAsia" w:ascii="Times New Roman" w:hAnsi="Times New Roman" w:eastAsia="方正楷体_GBK" w:cs="Times New Roman"/>
          <w:b/>
          <w:color w:val="auto"/>
          <w:spacing w:val="0"/>
          <w:kern w:val="36"/>
          <w:sz w:val="30"/>
          <w:szCs w:val="30"/>
          <w:lang w:val="en-US" w:eastAsia="zh-CN"/>
        </w:rPr>
        <w:t xml:space="preserve"> / 35</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11"/>
          <w:kern w:val="36"/>
          <w:sz w:val="30"/>
          <w:szCs w:val="30"/>
          <w:lang w:val="en-US" w:eastAsia="zh-CN"/>
        </w:rPr>
        <w:t>常州市贸促会举办新能源储能企业国际市场（欧洲）开拓交流会</w:t>
      </w:r>
      <w:r>
        <w:rPr>
          <w:rFonts w:hint="eastAsia" w:ascii="Times New Roman" w:hAnsi="Times New Roman" w:eastAsia="方正楷体_GBK" w:cs="Times New Roman"/>
          <w:b/>
          <w:color w:val="auto"/>
          <w:spacing w:val="0"/>
          <w:kern w:val="36"/>
          <w:sz w:val="30"/>
          <w:szCs w:val="30"/>
          <w:lang w:val="en-US" w:eastAsia="zh-CN"/>
        </w:rPr>
        <w:t xml:space="preserve"> / 35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中韩（盐城）商务合作交流会举行 / 37</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方正黑体_GBK" w:cs="Times New Roman"/>
          <w:b/>
          <w:color w:val="FFC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会员企业风采 • </w:t>
      </w:r>
      <w:r>
        <w:rPr>
          <w:rFonts w:hint="default" w:ascii="Times New Roman" w:hAnsi="Times New Roman" w:eastAsia="宋体" w:cs="Times New Roman"/>
          <w:b/>
          <w:color w:val="FF0000"/>
          <w:kern w:val="36"/>
          <w:sz w:val="32"/>
          <w:szCs w:val="32"/>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eastAsia" w:ascii="Times New Roman" w:hAnsi="Times New Roman" w:eastAsia="方正楷体_GBK" w:cs="Times New Roman"/>
          <w:b/>
          <w:color w:val="auto"/>
          <w:kern w:val="36"/>
          <w:sz w:val="30"/>
          <w:szCs w:val="30"/>
          <w:lang w:val="en-US" w:eastAsia="zh-CN"/>
        </w:rPr>
      </w:pPr>
      <w:r>
        <w:rPr>
          <w:rFonts w:hint="default" w:ascii="Times New Roman" w:hAnsi="Times New Roman" w:eastAsia="方正楷体_GBK" w:cs="Times New Roman"/>
          <w:b/>
          <w:color w:val="auto"/>
          <w:kern w:val="36"/>
          <w:sz w:val="30"/>
          <w:szCs w:val="30"/>
          <w:lang w:val="en-US" w:eastAsia="zh-CN"/>
        </w:rPr>
        <w:t>乐美包装获评2023年度省跨国公司功能性机构</w:t>
      </w:r>
      <w:r>
        <w:rPr>
          <w:rFonts w:hint="eastAsia" w:ascii="Times New Roman" w:hAnsi="Times New Roman" w:eastAsia="方正楷体_GBK" w:cs="Times New Roman"/>
          <w:b/>
          <w:color w:val="auto"/>
          <w:kern w:val="36"/>
          <w:sz w:val="30"/>
          <w:szCs w:val="30"/>
          <w:lang w:val="en-US" w:eastAsia="zh-CN"/>
        </w:rPr>
        <w:t xml:space="preserve"> / 39</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eastAsia" w:ascii="Times New Roman" w:hAnsi="Times New Roman" w:eastAsia="方正楷体_GBK" w:cs="Times New Roman"/>
          <w:b/>
          <w:color w:val="auto"/>
          <w:kern w:val="36"/>
          <w:sz w:val="30"/>
          <w:szCs w:val="30"/>
          <w:lang w:val="en-US" w:eastAsia="zh-CN"/>
        </w:rPr>
      </w:pPr>
      <w:r>
        <w:rPr>
          <w:rFonts w:hint="default" w:ascii="Times New Roman" w:hAnsi="Times New Roman" w:eastAsia="方正楷体_GBK" w:cs="Times New Roman"/>
          <w:b/>
          <w:color w:val="auto"/>
          <w:kern w:val="36"/>
          <w:sz w:val="30"/>
          <w:szCs w:val="30"/>
          <w:lang w:val="en-US" w:eastAsia="zh-CN"/>
        </w:rPr>
        <w:t>远东电缆荣获CCC认证A类企业</w:t>
      </w:r>
      <w:r>
        <w:rPr>
          <w:rFonts w:hint="eastAsia" w:ascii="Times New Roman" w:hAnsi="Times New Roman" w:eastAsia="方正楷体_GBK" w:cs="Times New Roman"/>
          <w:b/>
          <w:color w:val="auto"/>
          <w:kern w:val="36"/>
          <w:sz w:val="30"/>
          <w:szCs w:val="30"/>
          <w:lang w:val="en-US" w:eastAsia="zh-CN"/>
        </w:rPr>
        <w:t xml:space="preserve"> / 39</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default" w:ascii="Times New Roman" w:hAnsi="Times New Roman" w:eastAsia="方正楷体_GBK" w:cs="Times New Roman"/>
          <w:b/>
          <w:color w:val="auto"/>
          <w:kern w:val="36"/>
          <w:sz w:val="30"/>
          <w:szCs w:val="30"/>
          <w:lang w:val="en-US" w:eastAsia="zh-CN"/>
        </w:rPr>
        <w:t>苏豪文化集团调研玉龙县并签署战略合作协议</w:t>
      </w:r>
      <w:r>
        <w:rPr>
          <w:rFonts w:hint="eastAsia" w:ascii="Times New Roman" w:hAnsi="Times New Roman" w:eastAsia="方正楷体_GBK" w:cs="Times New Roman"/>
          <w:b/>
          <w:color w:val="auto"/>
          <w:kern w:val="36"/>
          <w:sz w:val="30"/>
          <w:szCs w:val="30"/>
          <w:lang w:val="en-US" w:eastAsia="zh-CN"/>
        </w:rPr>
        <w:t xml:space="preserve"> / 40</w:t>
      </w:r>
      <w:bookmarkStart w:id="0" w:name="_GoBack"/>
      <w:bookmarkEnd w:id="0"/>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kern w:val="36"/>
          <w:sz w:val="30"/>
          <w:szCs w:val="3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w:t>
      </w:r>
      <w:r>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经贸分析</w:t>
      </w:r>
    </w:p>
    <w:p>
      <w:pPr>
        <w:keepNext w:val="0"/>
        <w:keepLines w:val="0"/>
        <w:pageBreakBefore w:val="0"/>
        <w:widowControl w:val="0"/>
        <w:kinsoku/>
        <w:wordWrap/>
        <w:overflowPunct/>
        <w:topLinePunct w:val="0"/>
        <w:autoSpaceDE/>
        <w:autoSpaceDN/>
        <w:bidi w:val="0"/>
        <w:adjustRightInd/>
        <w:snapToGrid/>
        <w:jc w:val="left"/>
        <w:textAlignment w:val="auto"/>
        <w:rPr>
          <w:rFonts w:hint="default"/>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7月18日（周四）</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日央行两度出手撑汇率，有效果但难持续须改革</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7月3日晚间，日元对美元一度跌至161.96日元/美元，创下1986年12月（即38年）以来日元汇率的新低。经过几日的高位盘整后，在7月11日及其后的交易日中，日元汇率急速上涨（见图）。市场普遍认为，这是日本央行出手进行了干预。</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有交易数据显示，在7月11日至12日的两个交易日内，日本央行可能买入了近6万亿日元（380亿美元），以支撑日元的货币价值。央行采取干预措施后，日元汇率攀升至近期6周的高点。</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上一次日元汇率大跌后，日本央行出手救市，发</w:t>
      </w:r>
      <w:r>
        <w:rPr>
          <w:rFonts w:hint="eastAsia" w:asciiTheme="minorEastAsia" w:hAnsiTheme="minorEastAsia" w:eastAsiaTheme="minorEastAsia" w:cstheme="minorEastAsia"/>
          <w:sz w:val="32"/>
          <w:szCs w:val="32"/>
          <w:highlight w:val="none"/>
          <w:lang w:val="en-US" w:eastAsia="zh-CN"/>
        </w:rPr>
        <w:t>生</w:t>
      </w:r>
      <w:r>
        <w:rPr>
          <w:rFonts w:hint="eastAsia" w:asciiTheme="minorEastAsia" w:hAnsiTheme="minorEastAsia" w:eastAsiaTheme="minorEastAsia" w:cstheme="minorEastAsia"/>
          <w:sz w:val="32"/>
          <w:szCs w:val="32"/>
          <w:lang w:val="en-US" w:eastAsia="zh-CN"/>
        </w:rPr>
        <w:t>在4月底5月初。4月29日亚洲市场开盘时，日元兑美元的汇率，在之前3年的大幅持续下跌的基础上暴跌，跌至34年来的最低点160日元/美元。在随后的交易日中，汇率突然反转，升至155日元/美元的水平。</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drawing>
          <wp:anchor distT="0" distB="0" distL="114300" distR="114300" simplePos="0" relativeHeight="251658240" behindDoc="0" locked="0" layoutInCell="1" allowOverlap="1">
            <wp:simplePos x="0" y="0"/>
            <wp:positionH relativeFrom="column">
              <wp:posOffset>2028825</wp:posOffset>
            </wp:positionH>
            <wp:positionV relativeFrom="paragraph">
              <wp:posOffset>129540</wp:posOffset>
            </wp:positionV>
            <wp:extent cx="3392170" cy="1547495"/>
            <wp:effectExtent l="0" t="0" r="17780" b="14605"/>
            <wp:wrapSquare wrapText="bothSides"/>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6"/>
                    <a:stretch>
                      <a:fillRect/>
                    </a:stretch>
                  </pic:blipFill>
                  <pic:spPr>
                    <a:xfrm>
                      <a:off x="0" y="0"/>
                      <a:ext cx="3392170" cy="154749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市场判断这是日本央行在出手干预，于是将日元汇率的心理价位设在了160日元。交易记录显示，此次央行可能花费了超过300亿美元来支撑汇率。但好景不长，5月6日起日元再度走软，160日元的心理价位在6月26日被突破，并持续贬值，直到7月3日（见图）。</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日本央行两次出手，从长期看并不能缓解日元的跌势。</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首先，美日利差依然巨大</w:t>
      </w:r>
      <w:r>
        <w:rPr>
          <w:rFonts w:hint="eastAsia" w:asciiTheme="minorEastAsia" w:hAnsiTheme="minorEastAsia" w:eastAsiaTheme="minorEastAsia" w:cstheme="minorEastAsia"/>
          <w:sz w:val="32"/>
          <w:szCs w:val="32"/>
          <w:lang w:val="en-US" w:eastAsia="zh-CN"/>
        </w:rPr>
        <w:t>。虽然日本央行已经结束了“收益率曲线控制”的政策，并在3月份将基准利率从-0.1%至0%提高到0%</w:t>
      </w:r>
      <w:r>
        <w:rPr>
          <w:rFonts w:hint="eastAsia" w:asciiTheme="minorEastAsia" w:hAnsiTheme="minorEastAsia" w:eastAsiaTheme="minorEastAsia" w:cstheme="minorEastAsia"/>
          <w:sz w:val="32"/>
          <w:szCs w:val="32"/>
          <w:highlight w:val="none"/>
          <w:lang w:val="en-US" w:eastAsia="zh-CN"/>
        </w:rPr>
        <w:t>至</w:t>
      </w:r>
      <w:r>
        <w:rPr>
          <w:rFonts w:hint="eastAsia" w:asciiTheme="minorEastAsia" w:hAnsiTheme="minorEastAsia" w:eastAsiaTheme="minorEastAsia" w:cstheme="minorEastAsia"/>
          <w:sz w:val="32"/>
          <w:szCs w:val="32"/>
          <w:lang w:val="en-US" w:eastAsia="zh-CN"/>
        </w:rPr>
        <w:t>0.1%，但从全球范围来看，这一转变可谓微不足道。自2022年通胀爆发以来，美国、英国和欧元区的基准利率至少上升了4.5个百分点。因此，如此巨大的利率，意味着投资日本以外的资产能带来更高的回报。</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其次，日本是世界上最大的债权国，日本企业拥有巨额海外投资</w:t>
      </w:r>
      <w:r>
        <w:rPr>
          <w:rFonts w:hint="eastAsia" w:asciiTheme="minorEastAsia" w:hAnsiTheme="minorEastAsia" w:eastAsiaTheme="minorEastAsia" w:cstheme="minorEastAsia"/>
          <w:sz w:val="32"/>
          <w:szCs w:val="32"/>
          <w:lang w:val="en-US" w:eastAsia="zh-CN"/>
        </w:rPr>
        <w:t>。截至今年2月，海外投资的回报激增至57万亿日元（4000亿美元），是10年前的2倍多。然而，相关企业似乎并没有将大量海外利润汇回国内；相反，它们重新投资于回报率更高的海外资产。如此一来，事实上减少了市场对日元的需求。</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第三，为了稳定日元汇率，日本央行不得不减持美债。</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美国财政部公布的国际资本流动报告（TIC）显示，5月日本的美国国债持仓，比4月减少220亿美元，降至1.1283万亿美元。这是日本央行接连第2个月减持美债，两个月合计减持了595亿美元。</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自2019年6月持仓超过中国以来，日本一直是美国国债最大的海外持有国。目前，美国财政赤字持续放大，美债供给随之涌出。此时，日本持续抛出美债，估计会承受相当大的外部压力。</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日元走弱对日本经济意味着什么</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自2020年以来，日本进口商品的价格上涨了64%，令人瞠目。日本的燃料几乎全部依赖进口，因此企业和家庭面临着更高的能源成本。</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日元贬值对出口的影响也不如以往那么积极</w:t>
      </w:r>
      <w:r>
        <w:rPr>
          <w:rFonts w:hint="eastAsia" w:asciiTheme="minorEastAsia" w:hAnsiTheme="minorEastAsia" w:eastAsiaTheme="minorEastAsia" w:cstheme="minorEastAsia"/>
          <w:sz w:val="32"/>
          <w:szCs w:val="32"/>
          <w:lang w:val="en-US" w:eastAsia="zh-CN"/>
        </w:rPr>
        <w:t>。过去，本币贬值能使国内生产的商品更加便宜，从而增强出口竞争力，但现在日本企业在欧洲、北美和东南亚都有相当规模的业务，在本土的生产已经并不多了。</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受益最大的产业可能是旅游业，</w:t>
      </w:r>
      <w:r>
        <w:rPr>
          <w:rFonts w:hint="eastAsia" w:asciiTheme="minorEastAsia" w:hAnsiTheme="minorEastAsia" w:eastAsiaTheme="minorEastAsia" w:cstheme="minorEastAsia"/>
          <w:sz w:val="32"/>
          <w:szCs w:val="32"/>
          <w:lang w:val="en-US" w:eastAsia="zh-CN"/>
        </w:rPr>
        <w:t>因为日元贬值，外国游客在日本度假的成本变低了。在2月份，有280万外国游客抵达日本，比去年同期增长了89%，比2019年同期（新冠疫情之前）增长了7%。2024年第一季度，访日外国游客人数达到856万人，超过2019年同期6.3%，外国游客的消费额创下历史新高。</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市场普遍认为，目前日本央行只有升息，缩小与美国的利率，才能解决日元持续贬</w:t>
      </w:r>
      <w:r>
        <w:rPr>
          <w:rFonts w:hint="eastAsia" w:asciiTheme="minorEastAsia" w:hAnsiTheme="minorEastAsia" w:eastAsiaTheme="minorEastAsia" w:cstheme="minorEastAsia"/>
          <w:sz w:val="32"/>
          <w:szCs w:val="32"/>
          <w:highlight w:val="none"/>
          <w:lang w:val="en-US" w:eastAsia="zh-CN"/>
        </w:rPr>
        <w:t>值</w:t>
      </w:r>
      <w:r>
        <w:rPr>
          <w:rFonts w:hint="eastAsia" w:asciiTheme="minorEastAsia" w:hAnsiTheme="minorEastAsia" w:eastAsiaTheme="minorEastAsia" w:cstheme="minorEastAsia"/>
          <w:sz w:val="32"/>
          <w:szCs w:val="32"/>
          <w:lang w:val="en-US" w:eastAsia="zh-CN"/>
        </w:rPr>
        <w:t>的压力。如果为了支撑日元汇率而一次次抛出巨额外汇，最终很可能是徒劳的。</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sz w:val="32"/>
          <w:szCs w:val="32"/>
        </w:rPr>
        <w:drawing>
          <wp:anchor distT="0" distB="0" distL="114300" distR="114300" simplePos="0" relativeHeight="251659264" behindDoc="0" locked="0" layoutInCell="1" allowOverlap="1">
            <wp:simplePos x="0" y="0"/>
            <wp:positionH relativeFrom="column">
              <wp:posOffset>3094355</wp:posOffset>
            </wp:positionH>
            <wp:positionV relativeFrom="paragraph">
              <wp:posOffset>123190</wp:posOffset>
            </wp:positionV>
            <wp:extent cx="2447290" cy="1708785"/>
            <wp:effectExtent l="0" t="0" r="10160" b="5715"/>
            <wp:wrapSquare wrapText="bothSides"/>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7"/>
                    <a:stretch>
                      <a:fillRect/>
                    </a:stretch>
                  </pic:blipFill>
                  <pic:spPr>
                    <a:xfrm>
                      <a:off x="0" y="0"/>
                      <a:ext cx="2447290" cy="170878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但升息又会把日本刚刚过2%的通胀率给打下去，如果再陷入通货紧缩，经济增长就更难了（见图）。现在看来，只能被动地等待美联储降息了，只有这样才能从根本上缓解日元贬值的压力。</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default" w:eastAsiaTheme="minorEastAsia"/>
          <w:lang w:val="en-US" w:eastAsia="zh-CN"/>
        </w:rPr>
      </w:pPr>
      <w:r>
        <w:rPr>
          <w:rFonts w:hint="eastAsia" w:asciiTheme="minorEastAsia" w:hAnsiTheme="minorEastAsia" w:eastAsiaTheme="minorEastAsia" w:cstheme="minorEastAsia"/>
          <w:sz w:val="32"/>
          <w:szCs w:val="32"/>
          <w:lang w:val="en-US" w:eastAsia="zh-CN"/>
        </w:rPr>
        <w:t>2023年度和今年上半年，我国与日本货物贸易情况总体呈下降趋势（见表格）。</w:t>
      </w:r>
    </w:p>
    <w:p>
      <w:pPr>
        <w:keepNext w:val="0"/>
        <w:keepLines w:val="0"/>
        <w:pageBreakBefore w:val="0"/>
        <w:widowControl w:val="0"/>
        <w:kinsoku/>
        <w:wordWrap/>
        <w:overflowPunct/>
        <w:topLinePunct w:val="0"/>
        <w:autoSpaceDE/>
        <w:autoSpaceDN/>
        <w:bidi w:val="0"/>
        <w:adjustRightInd/>
        <w:snapToGrid/>
        <w:ind w:firstLine="1008" w:firstLineChars="200"/>
        <w:jc w:val="both"/>
        <w:textAlignment w:val="auto"/>
        <w:rPr>
          <w:rFonts w:hint="eastAsia" w:asciiTheme="minorEastAsia" w:hAnsiTheme="minorEastAsia" w:eastAsiaTheme="minorEastAsia" w:cstheme="minorEastAsia"/>
          <w:sz w:val="32"/>
          <w:szCs w:val="32"/>
          <w:lang w:val="en-US" w:eastAsia="zh-CN"/>
        </w:rPr>
      </w:pPr>
      <w:r>
        <w:rPr>
          <w:rFonts w:hint="default" w:ascii="Times New Roman" w:hAnsi="Times New Roman" w:eastAsia="华文新魏" w:cs="Times New Roman"/>
          <w:b/>
          <w:color w:val="FF0000"/>
          <w:spacing w:val="0"/>
          <w:kern w:val="36"/>
          <w:sz w:val="52"/>
          <w:szCs w:val="52"/>
          <w:lang w:val="en-US" w:eastAsia="zh-CN"/>
        </w:rPr>
        <w:drawing>
          <wp:anchor distT="0" distB="0" distL="114300" distR="114300" simplePos="0" relativeHeight="251660288" behindDoc="0" locked="0" layoutInCell="1" allowOverlap="1">
            <wp:simplePos x="0" y="0"/>
            <wp:positionH relativeFrom="column">
              <wp:posOffset>238125</wp:posOffset>
            </wp:positionH>
            <wp:positionV relativeFrom="paragraph">
              <wp:posOffset>66675</wp:posOffset>
            </wp:positionV>
            <wp:extent cx="4919980" cy="1189355"/>
            <wp:effectExtent l="0" t="0" r="13970" b="10795"/>
            <wp:wrapTopAndBottom/>
            <wp:docPr id="3" name="图片 3" descr="图片1-7月18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7月18日"/>
                    <pic:cNvPicPr>
                      <a:picLocks noChangeAspect="1"/>
                    </pic:cNvPicPr>
                  </pic:nvPicPr>
                  <pic:blipFill>
                    <a:blip r:embed="rId8"/>
                    <a:stretch>
                      <a:fillRect/>
                    </a:stretch>
                  </pic:blipFill>
                  <pic:spPr>
                    <a:xfrm>
                      <a:off x="0" y="0"/>
                      <a:ext cx="4919980" cy="11893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default"/>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7月19日（周五）</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欧洲央行暂缓降息，通胀高企恐成常态</w:t>
      </w:r>
    </w:p>
    <w:p>
      <w:pPr>
        <w:keepNext w:val="0"/>
        <w:keepLines w:val="0"/>
        <w:pageBreakBefore w:val="0"/>
        <w:widowControl w:val="0"/>
        <w:kinsoku/>
        <w:wordWrap/>
        <w:overflowPunct/>
        <w:topLinePunct w:val="0"/>
        <w:autoSpaceDE/>
        <w:autoSpaceDN/>
        <w:bidi w:val="0"/>
        <w:adjustRightInd/>
        <w:snapToGrid/>
        <w:ind w:firstLine="504" w:firstLineChars="100"/>
        <w:jc w:val="both"/>
        <w:textAlignment w:val="auto"/>
        <w:outlineLvl w:val="9"/>
        <w:rPr>
          <w:rFonts w:hint="eastAsia" w:asciiTheme="minorEastAsia" w:hAnsiTheme="minorEastAsia" w:eastAsiaTheme="minorEastAsia" w:cstheme="minorEastAsia"/>
          <w:sz w:val="32"/>
          <w:szCs w:val="32"/>
          <w:lang w:val="en-US" w:eastAsia="zh-CN"/>
        </w:rPr>
      </w:pPr>
      <w:r>
        <w:rPr>
          <w:rFonts w:hint="default" w:ascii="Times New Roman" w:hAnsi="Times New Roman" w:eastAsia="华文新魏" w:cs="Times New Roman"/>
          <w:b/>
          <w:color w:val="FF0000"/>
          <w:spacing w:val="0"/>
          <w:kern w:val="36"/>
          <w:sz w:val="52"/>
          <w:szCs w:val="52"/>
          <w:lang w:val="en-US" w:eastAsia="zh-CN"/>
        </w:rPr>
        <w:drawing>
          <wp:anchor distT="0" distB="0" distL="114300" distR="114300" simplePos="0" relativeHeight="251661312" behindDoc="0" locked="0" layoutInCell="1" allowOverlap="1">
            <wp:simplePos x="0" y="0"/>
            <wp:positionH relativeFrom="column">
              <wp:posOffset>200025</wp:posOffset>
            </wp:positionH>
            <wp:positionV relativeFrom="paragraph">
              <wp:posOffset>825500</wp:posOffset>
            </wp:positionV>
            <wp:extent cx="5065395" cy="920750"/>
            <wp:effectExtent l="0" t="0" r="1905" b="12700"/>
            <wp:wrapTopAndBottom/>
            <wp:docPr id="4" name="图片 4" descr="图片2-7月19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7月19日"/>
                    <pic:cNvPicPr>
                      <a:picLocks noChangeAspect="1"/>
                    </pic:cNvPicPr>
                  </pic:nvPicPr>
                  <pic:blipFill>
                    <a:blip r:embed="rId9"/>
                    <a:stretch>
                      <a:fillRect/>
                    </a:stretch>
                  </pic:blipFill>
                  <pic:spPr>
                    <a:xfrm>
                      <a:off x="0" y="0"/>
                      <a:ext cx="5065395" cy="920750"/>
                    </a:xfrm>
                    <a:prstGeom prst="rect">
                      <a:avLst/>
                    </a:prstGeom>
                  </pic:spPr>
                </pic:pic>
              </a:graphicData>
            </a:graphic>
          </wp:anchor>
        </w:drawing>
      </w:r>
      <w:r>
        <w:rPr>
          <w:rFonts w:hint="eastAsia" w:asciiTheme="minorEastAsia" w:hAnsiTheme="minorEastAsia" w:eastAsiaTheme="minorEastAsia" w:cstheme="minorEastAsia"/>
          <w:sz w:val="32"/>
          <w:szCs w:val="32"/>
          <w:lang w:val="en-US" w:eastAsia="zh-CN"/>
        </w:rPr>
        <w:t>7月17日（周三），欧盟统计局公布了欧元区6月份的通胀情况（见表格）。</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总体上看，欧元区通胀率正在向欧洲央行设定的2%目标移动，但同时通胀粘性有加大的迹象——通胀率自2月份以来一直停留在大致相同的水平。</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6月份的CPI与前值相同，仍为2.5%。（剔除能源和食品价格波动因素后的）核心通胀率亦保持在2.9%。同时，服务业通胀率录得4.1%；根据招聘网站Indeed的数据，欧洲的工资增长最近再次回升，这对欧洲央行来说，都不是好消息。</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欧洲央行6月已经开始降息，第一次下调了25个基点。但若通胀不退，只能暂停降息，等待更多数据出台后再作决定。7月18日（周四），欧洲央行的议息会议决定，维持三大关键利率不变，且未给出下一步的行动指引。其行长拉加德表示，9月降息悬而未决，未来的行动将由数据决定。</w:t>
      </w: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eastAsia" w:asciiTheme="minorEastAsia" w:hAnsiTheme="minorEastAsia" w:eastAsiaTheme="minorEastAsia" w:cstheme="minorEastAsia"/>
          <w:sz w:val="32"/>
          <w:szCs w:val="32"/>
          <w:lang w:val="en-US" w:eastAsia="zh-CN"/>
        </w:rPr>
      </w:pPr>
      <w:r>
        <w:drawing>
          <wp:anchor distT="0" distB="0" distL="114300" distR="114300" simplePos="0" relativeHeight="251662336" behindDoc="0" locked="0" layoutInCell="1" allowOverlap="1">
            <wp:simplePos x="0" y="0"/>
            <wp:positionH relativeFrom="column">
              <wp:posOffset>2407285</wp:posOffset>
            </wp:positionH>
            <wp:positionV relativeFrom="paragraph">
              <wp:posOffset>55245</wp:posOffset>
            </wp:positionV>
            <wp:extent cx="3001645" cy="2059940"/>
            <wp:effectExtent l="0" t="0" r="8255" b="16510"/>
            <wp:wrapSquare wrapText="bothSides"/>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10"/>
                    <a:stretch>
                      <a:fillRect/>
                    </a:stretch>
                  </pic:blipFill>
                  <pic:spPr>
                    <a:xfrm>
                      <a:off x="0" y="0"/>
                      <a:ext cx="3001645" cy="205994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在本月初（1日至3日）欧洲央行举办的“央行论坛”上，拉加德行长心情比现在轻松得多，她说：“我知道这听起来有点自大。但高通胀的缓解已经相当明显了。”财经媒体报道，会议的“空气弥漫着一股淡淡的自鸣得意”。会上，美联储主席鲍威尔也说，“我们已经取得了很大进展。”国际清算银行更是称赞道：“各国央行挺身而出，成功应对了高通胀的挑战。”</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在“央行论坛”，美联储和欧洲央行确有轻松的理由。2021年至2023年，美国和欧元区的物价累计涨幅分别为15%和18%，而5月的年通胀率分别仅为2.6%（核心PCE）和2.5%（调和CPI）。然而，开心的时光非常短暂，6月的数据显示通胀率降低陷入了停滞。</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事实上，通胀的两大推力仍在存在</w:t>
      </w:r>
      <w:r>
        <w:rPr>
          <w:rFonts w:hint="eastAsia" w:asciiTheme="minorEastAsia" w:hAnsiTheme="minorEastAsia" w:eastAsiaTheme="minorEastAsia" w:cstheme="minorEastAsia"/>
          <w:sz w:val="32"/>
          <w:szCs w:val="32"/>
          <w:lang w:val="en-US" w:eastAsia="zh-CN"/>
        </w:rPr>
        <w:t>。</w:t>
      </w:r>
      <w:r>
        <w:rPr>
          <w:rFonts w:hint="eastAsia" w:asciiTheme="minorEastAsia" w:hAnsiTheme="minorEastAsia" w:eastAsiaTheme="minorEastAsia" w:cstheme="minorEastAsia"/>
          <w:b/>
          <w:bCs/>
          <w:sz w:val="32"/>
          <w:szCs w:val="32"/>
          <w:lang w:val="en-US" w:eastAsia="zh-CN"/>
        </w:rPr>
        <w:t>第一</w:t>
      </w:r>
      <w:r>
        <w:rPr>
          <w:rFonts w:hint="eastAsia" w:asciiTheme="minorEastAsia" w:hAnsiTheme="minorEastAsia" w:eastAsiaTheme="minorEastAsia" w:cstheme="minorEastAsia"/>
          <w:sz w:val="32"/>
          <w:szCs w:val="32"/>
          <w:lang w:val="en-US" w:eastAsia="zh-CN"/>
        </w:rPr>
        <w:t>，全球供给链方面的危险并未消除，以阿冲突、俄乌冲突、红海航运危机等，仍有恶化的可能，物流中断、供应短缺必然导致物价上涨，形成加剧通胀压力。</w:t>
      </w:r>
      <w:r>
        <w:rPr>
          <w:rFonts w:hint="eastAsia" w:asciiTheme="minorEastAsia" w:hAnsiTheme="minorEastAsia" w:eastAsiaTheme="minorEastAsia" w:cstheme="minorEastAsia"/>
          <w:b/>
          <w:bCs/>
          <w:sz w:val="32"/>
          <w:szCs w:val="32"/>
          <w:lang w:val="en-US" w:eastAsia="zh-CN"/>
        </w:rPr>
        <w:t>第二</w:t>
      </w:r>
      <w:r>
        <w:rPr>
          <w:rFonts w:hint="eastAsia" w:asciiTheme="minorEastAsia" w:hAnsiTheme="minorEastAsia" w:eastAsiaTheme="minorEastAsia" w:cstheme="minorEastAsia"/>
          <w:sz w:val="32"/>
          <w:szCs w:val="32"/>
          <w:lang w:val="en-US" w:eastAsia="zh-CN"/>
        </w:rPr>
        <w:t>，美国和欧洲的民粹主义卷土重来，财政赤字暴增几成定局，更大的价格压力难以避免……</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上述两大推力甚至可能叠加，一场抗击通胀的战争，才刚刚开始</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如果美国大选后新政府对主要的贸易伙伴加征关税，势必会造成通胀压力。有理论认为，央行可以忽略供给冲击（如短期供应短缺或原材料价格上涨等），因为这类冲击对通货膨胀的影响是短暂的、一过性的，不会长期持续地推高通胀水平。</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然而，在实践中，情况恰恰相反，贸易战一旦开始，成本与价格将成螺旋上升态势。央行只能提高利率抑制通胀，其代价将是总需求的下降，即经济生活的萎缩。如果每次贸易战升级，都招致利率的提高，全球经济将变得更加对立与动荡。</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政府大举借债，可以解燃眉之急，但债券市场会在定价上作出选择，债券的收益率（即融资成本）将越来越高。近期法国的议会选举就是一个很好的例证。</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default" w:ascii="宋体" w:hAnsi="宋体" w:eastAsia="宋体" w:cs="宋体"/>
          <w:lang w:val="en-US" w:eastAsia="zh-CN"/>
        </w:rPr>
      </w:pPr>
      <w:r>
        <w:rPr>
          <w:rFonts w:hint="eastAsia" w:asciiTheme="minorEastAsia" w:hAnsiTheme="minorEastAsia" w:eastAsiaTheme="minorEastAsia" w:cstheme="minorEastAsia"/>
          <w:sz w:val="32"/>
          <w:szCs w:val="32"/>
          <w:lang w:val="en-US" w:eastAsia="zh-CN"/>
        </w:rPr>
        <w:t>在6月初举行的欧洲议会选举中，法国执政党“复兴党”的得票率远低于民粹主义的“国民联盟”，法国总统马克龙随即宣布解散国民议会、提前举行新一届国民议会选举。</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市场普遍认为“国民联盟”将在议会选举中大获全胜，投资者开始逃离法国国债，法债收益率飙升（见图）。6月30日第一轮投票结束后，虽然“国民联盟”获得了最多的票数（33%），但并非绝对多数，左翼联盟“新人民阵线”获得28.5%的选票，排名第二；执政的“复兴党”及中间派联盟获得22%的选票，位居第三 。如此一来，“悬峙议会”出现，投资者们才稍稍冷静下来。</w:t>
      </w: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eastAsia" w:ascii="宋体" w:hAnsi="宋体" w:eastAsia="宋体" w:cs="宋体"/>
          <w:sz w:val="32"/>
          <w:szCs w:val="32"/>
          <w:lang w:val="en-US" w:eastAsia="zh-CN"/>
        </w:rPr>
      </w:pPr>
      <w:r>
        <w:drawing>
          <wp:anchor distT="0" distB="0" distL="114300" distR="114300" simplePos="0" relativeHeight="251663360" behindDoc="0" locked="0" layoutInCell="1" allowOverlap="1">
            <wp:simplePos x="0" y="0"/>
            <wp:positionH relativeFrom="column">
              <wp:posOffset>793115</wp:posOffset>
            </wp:positionH>
            <wp:positionV relativeFrom="paragraph">
              <wp:posOffset>20955</wp:posOffset>
            </wp:positionV>
            <wp:extent cx="3865245" cy="2174875"/>
            <wp:effectExtent l="0" t="0" r="1905" b="15875"/>
            <wp:wrapTopAndBottom/>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11"/>
                    <a:stretch>
                      <a:fillRect/>
                    </a:stretch>
                  </pic:blipFill>
                  <pic:spPr>
                    <a:xfrm>
                      <a:off x="0" y="0"/>
                      <a:ext cx="3865245" cy="2174875"/>
                    </a:xfrm>
                    <a:prstGeom prst="rect">
                      <a:avLst/>
                    </a:prstGeom>
                    <a:noFill/>
                    <a:ln>
                      <a:noFill/>
                    </a:ln>
                  </pic:spPr>
                </pic:pic>
              </a:graphicData>
            </a:graphic>
          </wp:anchor>
        </w:drawing>
      </w:r>
      <w:r>
        <w:rPr>
          <w:rFonts w:hint="eastAsia" w:ascii="宋体" w:hAnsi="宋体" w:eastAsia="宋体" w:cs="宋体"/>
          <w:sz w:val="32"/>
          <w:szCs w:val="32"/>
          <w:lang w:val="en-US" w:eastAsia="zh-CN"/>
        </w:rPr>
        <w:t>在某些国家的议会选举中，如果没有任何政党或联盟能够获得多数席位（议席的一半加一），就会形成“悬峙议会”，意味着没有任何一方能够独立形成稳定的多数派政府。在这种情况下，政党需要寻求组建联合政府或与其他政党合作来获得多数支持，所以也称为“无多数议会”。法国形成“悬峙议会”，表示“国民联盟”无法完全主导政府，财政赤字扩张必然有所约束。</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综上所述，有经济学家预测，新冠疫情标志着欧美进入了一个新时代——在该时代中，财政政策将越来越积极，高通胀将成为常态，央行的工作将变得愈来愈艰难；与高通胀如影随行的，则是经济的低增长。</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华文新魏" w:cs="Times New Roman"/>
          <w:b/>
          <w:color w:val="FF0000"/>
          <w:spacing w:val="0"/>
          <w:kern w:val="36"/>
          <w:sz w:val="52"/>
          <w:szCs w:val="52"/>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方正小标宋_GBK" w:hAnsi="方正小标宋_GBK" w:eastAsia="方正小标宋_GBK" w:cs="方正小标宋_GBK"/>
          <w:b/>
          <w:bCs/>
          <w:color w:val="0000FF"/>
          <w:sz w:val="32"/>
          <w:szCs w:val="32"/>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7月20日（周六）</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_GBK" w:hAnsi="方正小标宋_GBK" w:eastAsia="方正小标宋_GBK" w:cs="方正小标宋_GBK"/>
          <w:b/>
          <w:bCs/>
          <w:color w:val="0000FF"/>
          <w:sz w:val="36"/>
          <w:szCs w:val="36"/>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梅西百货，感恩节大游行，美联储《褐皮书》</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本周，美联储发布了最新一期《褐皮书》（Beige Book）。这是一份定期发布的研究报告，每年发布8次。因其惯用的米黄色（beige）封面而得名。</w:t>
      </w:r>
    </w:p>
    <w:p>
      <w:pPr>
        <w:keepNext w:val="0"/>
        <w:keepLines w:val="0"/>
        <w:pageBreakBefore w:val="0"/>
        <w:widowControl w:val="0"/>
        <w:kinsoku/>
        <w:wordWrap/>
        <w:overflowPunct/>
        <w:topLinePunct w:val="0"/>
        <w:autoSpaceDE/>
        <w:autoSpaceDN/>
        <w:bidi w:val="0"/>
        <w:adjustRightInd/>
        <w:snapToGrid/>
        <w:ind w:firstLine="388" w:firstLineChars="200"/>
        <w:jc w:val="both"/>
        <w:textAlignment w:val="auto"/>
        <w:rPr>
          <w:rFonts w:hint="eastAsia" w:asciiTheme="minorEastAsia" w:hAnsiTheme="minorEastAsia" w:eastAsiaTheme="minorEastAsia" w:cstheme="minorEastAsia"/>
          <w:sz w:val="32"/>
          <w:szCs w:val="32"/>
          <w:lang w:val="en-US" w:eastAsia="zh-CN"/>
        </w:rPr>
      </w:pPr>
      <w:r>
        <w:drawing>
          <wp:anchor distT="0" distB="0" distL="114300" distR="114300" simplePos="0" relativeHeight="251664384" behindDoc="0" locked="0" layoutInCell="1" allowOverlap="1">
            <wp:simplePos x="0" y="0"/>
            <wp:positionH relativeFrom="column">
              <wp:posOffset>3140710</wp:posOffset>
            </wp:positionH>
            <wp:positionV relativeFrom="paragraph">
              <wp:posOffset>114300</wp:posOffset>
            </wp:positionV>
            <wp:extent cx="2301875" cy="1296035"/>
            <wp:effectExtent l="0" t="0" r="3175" b="18415"/>
            <wp:wrapSquare wrapText="bothSides"/>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12"/>
                    <a:stretch>
                      <a:fillRect/>
                    </a:stretch>
                  </pic:blipFill>
                  <pic:spPr>
                    <a:xfrm>
                      <a:off x="0" y="0"/>
                      <a:ext cx="2301875" cy="129603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美联储的12个地区银行收集、分析当地的经济数据、企业调查和行业报告，编制出各自地区的经济状况报告，汇总而成《褐皮书》。它不仅涵盖就业、工资、物价、房地产、消费者支出、制造业、金融市场和其他经济指标，还提供了来自各个地区的商业人士、企业家、经济学家和学者的观点和意见，是美联储和决策者进行利率调整、制订经济政策的参考依据。</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本期《褐皮书》警告，因即将到来的总统大选可能导致国内政策变化，以及地缘政治冲突和通货膨胀的不确定性，人们对未来6个月的预期是增长放缓。</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褐皮书》称，美国总体经济活动仍保持积极态势，但显示出放缓的迹象，消费支出稳定但没有增长，消费者对价格更加敏感。目前，经济仍在增长但速度缓慢，且有越来越多的迹象表明，增长有可能进入停滞或衰退。</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从微观层面看，以“梅西百货”为例，可以得出与《褐皮书》相近的结论。</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“梅西百货”（Macy's）是美国最大的线下百货公司连锁品牌之一。它成立于1858年，总部位于纽约，在美国各地拥有多家实体门店。提供的商品包括时尚服装、家居用品、化妆品、珠宝首饰和家电等。</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1990年代，梅西百货开始并购各地的竞争对手，到了2000年代末，其成为全美最大连锁百货公司，但这个行业的规模却在不断缩小，有机构戏称其为“不断蒸发的池塘中最大的那条鱼”。池塘不断变小的主要原因，是消费者转向了网上购物，从衣服到家电的购买都在网上完成，线下百货公司的营业活动受到挤压。</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drawing>
          <wp:anchor distT="0" distB="0" distL="114300" distR="114300" simplePos="0" relativeHeight="251665408" behindDoc="0" locked="0" layoutInCell="1" allowOverlap="1">
            <wp:simplePos x="0" y="0"/>
            <wp:positionH relativeFrom="column">
              <wp:posOffset>2503805</wp:posOffset>
            </wp:positionH>
            <wp:positionV relativeFrom="paragraph">
              <wp:posOffset>196850</wp:posOffset>
            </wp:positionV>
            <wp:extent cx="2991485" cy="2244725"/>
            <wp:effectExtent l="0" t="0" r="18415" b="3175"/>
            <wp:wrapSquare wrapText="bothSides"/>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13"/>
                    <a:stretch>
                      <a:fillRect/>
                    </a:stretch>
                  </pic:blipFill>
                  <pic:spPr>
                    <a:xfrm>
                      <a:off x="0" y="0"/>
                      <a:ext cx="2991485" cy="224472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美国百货公司行业的销售额，从2000年的2,320亿美元下降到2023年的1,330亿美元，梅西百货的许多竞争对手在此期间倒闭。西尔斯百货（Sears）曾是美国最大的线下零售商，于2018年破产；2020年，因新冠疫情期的停业，导致JCPenney收入枯竭而破产。</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近年来，随着通货膨胀居高不下，百货公司的经营遭遇到新的挑战，</w:t>
      </w:r>
      <w:r>
        <w:rPr>
          <w:rFonts w:hint="eastAsia" w:asciiTheme="minorEastAsia" w:hAnsiTheme="minorEastAsia" w:eastAsiaTheme="minorEastAsia" w:cstheme="minorEastAsia"/>
          <w:b/>
          <w:bCs/>
          <w:sz w:val="32"/>
          <w:szCs w:val="32"/>
          <w:lang w:val="en-US" w:eastAsia="zh-CN"/>
        </w:rPr>
        <w:t>生活成本的飙升，促使购物者在百货公司之外寻找更便宜的替代品</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从去年12月开始，有两家收购公司开始盯上梅西百货，今年1月，这两家公司出价58亿美元，拟收购梅西百货，提议遭到了拒绝。之后，它们又抛出一个更优厚的方案，梅西百货同意就此方案进行谈判。</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7月15日，梅西百货公司取消了该谈判，理由是交易融资方式具有不确定性。公司股价当日暴跌近12%，市值降至47亿美元。</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拟收购梅西百货的资本，看好的并不是百货业务本身。梅西百货的销售额，在2014年达到280亿美元的峰值，之后便一路下滑，2023年为240亿美元。</w:t>
      </w:r>
      <w:r>
        <w:rPr>
          <w:rFonts w:hint="eastAsia" w:asciiTheme="minorEastAsia" w:hAnsiTheme="minorEastAsia" w:eastAsiaTheme="minorEastAsia" w:cstheme="minorEastAsia"/>
          <w:b/>
          <w:bCs/>
          <w:sz w:val="32"/>
          <w:szCs w:val="32"/>
          <w:lang w:val="en-US" w:eastAsia="zh-CN"/>
        </w:rPr>
        <w:t>收购方看重的，是梅西百货拥有的不动产</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梅西百货拥有718家门店，其中包括其更高端的姊妹品牌“布鲁明戴尔百货”（Bloomingdale's），以及2015年收购的高端化妆品精品店Bluemercury各自的门店。在这些门店中，梅西百货拥其中286栋建筑的产权，其中包括位于纽约先驱广场的旗舰店（见图）。</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相关机构估计，这些资产的价值在79亿到105亿美元之间，超过了梅西百货目前的股票市值。如果梅西百货公司决定出售这些房产，然后以租赁的方式使用这些楼层空间，财务报告会变成很漂亮，股市的估值会大大提高。</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对收购方来说，此笔交易能快速获利，但对梅西百货的前景来说，却可能是灾难性的。因为不断上涨的房屋租金会侵蚀百货的销售利润，这也解释这么多年来，为何梅西百货迟迟不肯出售自己的产业。</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i w:val="0"/>
          <w:iCs w:val="0"/>
          <w:sz w:val="32"/>
          <w:szCs w:val="32"/>
          <w:lang w:val="en-US" w:eastAsia="zh-CN"/>
        </w:rPr>
      </w:pPr>
      <w:r>
        <w:rPr>
          <w:rFonts w:hint="eastAsia" w:asciiTheme="minorEastAsia" w:hAnsiTheme="minorEastAsia" w:eastAsiaTheme="minorEastAsia" w:cstheme="minorEastAsia"/>
          <w:i w:val="0"/>
          <w:iCs w:val="0"/>
          <w:sz w:val="32"/>
          <w:szCs w:val="32"/>
          <w:lang w:val="en-US" w:eastAsia="zh-CN"/>
        </w:rPr>
        <w:t>前鉴不远，西尔斯百货公司（Sears）当年在对冲基金老板的管理下，使用的就是这一经营策略，没几年就宣布破产了。</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梅西百货在今年2月公布了自己的扭亏计划。</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一是正视客观困难，再关闭150家梅西百货门店。梅西百货的门店数量在2015年达到了868家的峰值，但随着电子商务的兴起，其不得不持续缩减门店规模和数量。</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二是改善网上购物体验。其实，梅西百货从1996年就开始尝试网上销售，此后又反复修改，但效果不彰，2023年，其电子商务的销售额还不到全美总额的1%。</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三是扩大“布鲁明戴尔百货公司”和Bluemercury的规模。即，扩大在高端百货业的投入，以此争取高收入群体的青睐。但市场对此有所担忧，认为此赛道的竞争也相当激烈，有钱人更难取悦。</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11月，梅西百货公司将庆祝其“感恩节大游行”100周年，届时，代表卡通人物的巨型充气气球将从曼哈顿中央公园游行至先驱广场的梅西百货公司。“感恩节大游行”（Thanksgiving Day Parade）是一场盛大的游行活动，也是美国一项著名的传统活动，吸引了数以百万计的观众通过电视直播或现场观看。</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drawing>
          <wp:anchor distT="0" distB="0" distL="114300" distR="114300" simplePos="0" relativeHeight="251666432" behindDoc="0" locked="0" layoutInCell="1" allowOverlap="1">
            <wp:simplePos x="0" y="0"/>
            <wp:positionH relativeFrom="column">
              <wp:posOffset>2753995</wp:posOffset>
            </wp:positionH>
            <wp:positionV relativeFrom="paragraph">
              <wp:posOffset>129540</wp:posOffset>
            </wp:positionV>
            <wp:extent cx="2495550" cy="1945005"/>
            <wp:effectExtent l="0" t="0" r="0" b="17145"/>
            <wp:wrapSquare wrapText="bothSides"/>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14"/>
                    <a:stretch>
                      <a:fillRect/>
                    </a:stretch>
                  </pic:blipFill>
                  <pic:spPr>
                    <a:xfrm>
                      <a:off x="0" y="0"/>
                      <a:ext cx="2495550" cy="194500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这项活动，是梅西百货公司于1924年创办的，目的是庆祝感恩节、迎接圣诞节，当时被称为“梅西百货圣诞游行”（见图）。</w:t>
      </w:r>
      <w:r>
        <w:rPr>
          <w:rFonts w:hint="eastAsia" w:asciiTheme="minorEastAsia" w:hAnsiTheme="minorEastAsia" w:eastAsiaTheme="minorEastAsia" w:cstheme="minorEastAsia"/>
          <w:i w:val="0"/>
          <w:iCs w:val="0"/>
          <w:sz w:val="32"/>
          <w:szCs w:val="32"/>
          <w:lang w:val="en-US" w:eastAsia="zh-CN"/>
        </w:rPr>
        <w:t>其特点之一，是巨大的气球飞行器，这些气球以卡通人物、动物或其他形象为主题，漂浮在游行路线上。</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i w:val="0"/>
          <w:iCs w:val="0"/>
          <w:sz w:val="32"/>
          <w:szCs w:val="32"/>
          <w:lang w:val="en-US" w:eastAsia="zh-CN"/>
        </w:rPr>
        <w:t>此外，游行还包括乐队、舞蹈表演、花车、明星表演和其他各种娱乐节目。</w:t>
      </w:r>
      <w:r>
        <w:rPr>
          <w:rFonts w:hint="eastAsia" w:asciiTheme="minorEastAsia" w:hAnsiTheme="minorEastAsia" w:eastAsiaTheme="minorEastAsia" w:cstheme="minorEastAsia"/>
          <w:sz w:val="32"/>
          <w:szCs w:val="32"/>
          <w:lang w:val="en-US" w:eastAsia="zh-CN"/>
        </w:rPr>
        <w:t>随着时间的推移，它逐渐发展成为一项具有国际知名度和影响力的盛事，吸引了来自世界各地的观众和参与者。</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财经媒体揶揄道，今年的“感恩节大游行”，其组织者的心情应该比较复杂吧。</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7月18日（周四），美国劳工部发布申领失业金数据（见表格）。</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color w:val="FF0000"/>
          <w:spacing w:val="0"/>
          <w:kern w:val="36"/>
          <w:sz w:val="32"/>
          <w:szCs w:val="32"/>
          <w:lang w:val="en-US" w:eastAsia="zh-CN"/>
        </w:rPr>
        <w:drawing>
          <wp:anchor distT="0" distB="0" distL="114300" distR="114300" simplePos="0" relativeHeight="251667456" behindDoc="0" locked="0" layoutInCell="1" allowOverlap="1">
            <wp:simplePos x="0" y="0"/>
            <wp:positionH relativeFrom="column">
              <wp:posOffset>191135</wp:posOffset>
            </wp:positionH>
            <wp:positionV relativeFrom="paragraph">
              <wp:posOffset>58420</wp:posOffset>
            </wp:positionV>
            <wp:extent cx="4996180" cy="710565"/>
            <wp:effectExtent l="0" t="0" r="13970" b="13335"/>
            <wp:wrapTopAndBottom/>
            <wp:docPr id="5" name="图片 5" descr="图片3-7月20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7月20日"/>
                    <pic:cNvPicPr>
                      <a:picLocks noChangeAspect="1"/>
                    </pic:cNvPicPr>
                  </pic:nvPicPr>
                  <pic:blipFill>
                    <a:blip r:embed="rId15"/>
                    <a:stretch>
                      <a:fillRect/>
                    </a:stretch>
                  </pic:blipFill>
                  <pic:spPr>
                    <a:xfrm>
                      <a:off x="0" y="0"/>
                      <a:ext cx="4996180" cy="710565"/>
                    </a:xfrm>
                    <a:prstGeom prst="rect">
                      <a:avLst/>
                    </a:prstGeom>
                  </pic:spPr>
                </pic:pic>
              </a:graphicData>
            </a:graphic>
          </wp:anchor>
        </w:drawing>
      </w:r>
      <w:r>
        <w:rPr>
          <w:rFonts w:hint="eastAsia" w:asciiTheme="minorEastAsia" w:hAnsiTheme="minorEastAsia" w:eastAsiaTheme="minorEastAsia" w:cstheme="minorEastAsia"/>
          <w:sz w:val="32"/>
          <w:szCs w:val="32"/>
          <w:lang w:val="en-US" w:eastAsia="zh-CN"/>
        </w:rPr>
        <w:t>数据显示，劳动力市场正在降温，目前市场对美联储9月降息已基本形成共识，但后者并未做出任何明确的预测，只一再表示须持续观察各项经济数据的变化。</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sz w:val="32"/>
          <w:szCs w:val="32"/>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7月21日（周日）</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美国的财政赤字和国债，以及对全球的影响</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在过去的12个月时间里，美国联邦政府的支出达到2万亿美元，占GDP的7%，大大超过税收收入，形成巨大的财政赤字。自2015年以来，美国联邦政府财政赤字占GDP的比例，就一直高于3%，弥合赤字的办法只有一个——发行国债。</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美国政府的“净债务”10年来增长了约40%，目前占GDP的98%，明年将超过GDP的100%。“净债务”是指政府的总债务减去其持有的所有金融资产（如现金储备、投资等），即政府所欠债务的净值。</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美国政府净债务与GDP的比率，在全球排名第八。发达经济体中只有两个高于美国：一个是日本，为158%；另一个是意大利，为129%。但美国该比例增长的速度实在太快，令人担忧。</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drawing>
          <wp:anchor distT="0" distB="0" distL="114300" distR="114300" simplePos="0" relativeHeight="251668480" behindDoc="0" locked="0" layoutInCell="1" allowOverlap="1">
            <wp:simplePos x="0" y="0"/>
            <wp:positionH relativeFrom="column">
              <wp:posOffset>2807335</wp:posOffset>
            </wp:positionH>
            <wp:positionV relativeFrom="paragraph">
              <wp:posOffset>137795</wp:posOffset>
            </wp:positionV>
            <wp:extent cx="2689225" cy="1877695"/>
            <wp:effectExtent l="0" t="0" r="15875" b="8255"/>
            <wp:wrapSquare wrapText="bothSides"/>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16"/>
                    <a:stretch>
                      <a:fillRect/>
                    </a:stretch>
                  </pic:blipFill>
                  <pic:spPr>
                    <a:xfrm>
                      <a:off x="0" y="0"/>
                      <a:ext cx="2689225" cy="187769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2022年初美联储开启了升息周期，在之前的很长一段时间（2008年至2019年），市场利率水平近乎于0，经济增长率高于利率。偿债成本占财政收入的比例呈下降趋势，约为1990年的一半。简单地说：即使政府借贷增加，债务占GDP的比重仍然保持稳定。这让美国政府负担得起巨额债务。</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如今利率走高，基准利率已升至5.25%-5.50%之间，美国政府的国债利息支出随之攀升，超过了国防开支。2024财年，美国联邦政府的国债利息支出预计将达到8920亿美元，占GDP的3.1%；而国防预算为8860亿美元。</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全球金融危机、频繁的海外战争、新冠疫情、上届政府的减税方案，以及本届政府的经济刺激计划，所有这些形成了巨大的财政支出缺口，最终致使美债堆积成山。共和党和民主党都说要承担财政责任，但二者的执政记录显示，他们都未遵守财政纪律，坐视赤字和国债与日俱增。</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这种财政的“狂欢”不可能永远持续下去，在未来的某个时刻，利息支出将上升到无法忍受的水平。因此，必须开始直面国债问题。</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最无痛的解决方案是利率回落</w:t>
      </w:r>
      <w:r>
        <w:rPr>
          <w:rFonts w:hint="eastAsia" w:asciiTheme="minorEastAsia" w:hAnsiTheme="minorEastAsia" w:eastAsiaTheme="minorEastAsia" w:cstheme="minorEastAsia"/>
          <w:sz w:val="32"/>
          <w:szCs w:val="32"/>
          <w:lang w:val="en-US" w:eastAsia="zh-CN"/>
        </w:rPr>
        <w:t>。利率下降当然会减轻融资成本。以日本为例，相对于GDP而言，其净债务规模大约是美国的1.5倍，但由于日本接近0的利率水平，日本政府勉强还能够应付。如果美国市场的通货膨胀被有效遏制，美联储快速降息，美国联邦政府也一样可以摆脱困境。</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最积极的解决方案是生产率增长</w:t>
      </w:r>
      <w:r>
        <w:rPr>
          <w:rFonts w:hint="eastAsia" w:asciiTheme="minorEastAsia" w:hAnsiTheme="minorEastAsia" w:eastAsiaTheme="minorEastAsia" w:cstheme="minorEastAsia"/>
          <w:sz w:val="32"/>
          <w:szCs w:val="32"/>
          <w:lang w:val="en-US" w:eastAsia="zh-CN"/>
        </w:rPr>
        <w:t>。如果生产率激增，比如说人工智能的发展，使美国的产出增长大大超过了债务余额的增长，债务利息支出自然也就不是问题了。</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但上述两个方案都可遇不可求，完全凭运气。</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真正负责任且有效的办法，是增收节支</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国际货币基金组织（IMF）估计，美国联邦政府必</w:t>
      </w:r>
      <w:r>
        <w:rPr>
          <w:rFonts w:hint="eastAsia" w:asciiTheme="minorEastAsia" w:hAnsiTheme="minorEastAsia" w:eastAsiaTheme="minorEastAsia" w:cstheme="minorEastAsia"/>
          <w:sz w:val="32"/>
          <w:szCs w:val="32"/>
          <w:highlight w:val="none"/>
          <w:lang w:val="en-US" w:eastAsia="zh-CN"/>
        </w:rPr>
        <w:t>须</w:t>
      </w:r>
      <w:r>
        <w:rPr>
          <w:rFonts w:hint="eastAsia" w:asciiTheme="minorEastAsia" w:hAnsiTheme="minorEastAsia" w:eastAsiaTheme="minorEastAsia" w:cstheme="minorEastAsia"/>
          <w:sz w:val="32"/>
          <w:szCs w:val="32"/>
          <w:lang w:val="en-US" w:eastAsia="zh-CN"/>
        </w:rPr>
        <w:t>削减开支或增加收入（即增加税收），且减支量（或增收量）须达到GDP的4%，才能在2029年前稳定其债务规模。</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1980年代初，由于在冷战中与苏联展开军备竞赛、对内实施减税政策、增加社会福利的支出，导致了美国的财政收支失衡，美国政府面临着巨额的财政赤字和债务问题。随着美债余额的快速增长，市场投资者开始对美债的规模和可持续性表示担忧，担心债务水平持续攀升会导致通胀加剧或破坏经济稳定。</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于是，拥有大量美债的投资者开始向华盛顿施加压力，他们大量抛售美债，使债券价格下跌，收益率上升，显著增加了联邦政府的融资成本，迫使其采取行动，市场称他们为“债券监护人”。</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美国政府面对“债券监护人”的压力和市场的广泛担忧，开始采取一系列措施来控制债务和改善财政状况。从1989年至2000年，联邦政府重视削减开支、实施财政改革和加强财政纪律，取得了成功，债务水平重新得到控制。</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1992年，罗斯·佩罗（Ross Perot）以“财政稳健”为政纲，创下了自1912年以来第三方候选人在总统选举中的最佳表现。两年后，共和党在1994年的中期选举中获胜，40年来首次控制了国会，当年其政纲的第一条就是承诺平衡预算。又过了两年，在1996年底的大选中，民主党人比尔·克林顿轻松赢得连任，部分原因是其政府在共和党国会的压力下削减了开支，使美国财政实现了一代人以来的首次盈余，从而得到了选民的普遍认可。</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但要明了的是，彼时的环境非常适合财政节支，原因如下。</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一是冷战的结束带来了和平红利。1991年12月26日，苏联最高苏维埃通过了决议，宣布苏联自愿解散。苏联解体，美国的国防开支大幅下降，占到了财政支出缩减的60%，换言之，冷战结束，军备方面的需求锐减，显著降低了财政支出。</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二是劳动力在人口中所占的比例攀升至历史最高，当时的人口结构呈现中间大两头小的格局，所以财政收入（比如所得税）来源多，支出（比如医疗养老等社会保障支出）需要少。</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三是由于计算机的普及和互联网的出现，生产力水平不断提高，生产率的提高带来了实际工资不断增长，使人们更能承受税收增加带来的压力，宏观经济的增长，增加了联邦收入，赤字自然缩减。</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如今的情况与当年大不相同</w:t>
      </w:r>
      <w:r>
        <w:rPr>
          <w:rFonts w:hint="eastAsia" w:asciiTheme="minorEastAsia" w:hAnsiTheme="minorEastAsia" w:eastAsiaTheme="minorEastAsia" w:cstheme="minorEastAsia"/>
          <w:sz w:val="32"/>
          <w:szCs w:val="32"/>
          <w:lang w:val="en-US" w:eastAsia="zh-CN"/>
        </w:rPr>
        <w:t>，1992年，罗斯·佩罗以“财政稳健”为政纲参选时，美国的净债务占GDP的比重为46%，如今已达到96%。当前，欧洲和中东烽烟四起、地缘政治紧张局势日益加剧，推动国防开支上升；婴儿潮一代正在成批退休，人口结构进入老龄化，医疗保健和养老金方面的开支，在联邦预算中所占的比例最大，随着人口老龄化的加剧，这两项开支还将进一步增加。到2020年代末，这两项开支将占（除利息支出外的）联邦总支出的60%左右。没有候选人敢贸然削减这两项开支，因为老年选民的投票率最高。</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所以说，当前联邦政府即使有决心节支，也无从下手。更重要的是，美国政界对赤字和债务的态度发生了转变，两党都认为财政纪律并不会带来政治收益。</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乔治·布什（1989年1月至1993年1月）在1990年代初通过提高税收开始削减赤字，但却遭到本党（共和党）选民的激烈批评，1992年输掉了连任竞选。</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胜选的（民主党）克林顿（1993年1月至2001年1月）政府，接受了共和党国会的监督，大力实施减支政策，出现了财政盈余。</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但克林顿的继任者、老布什总统的儿子小布什（2001年1月至2009年1月），却通过大幅减税，将由此产生的盈余挥霍一空。</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从此，两党和在任总统再也没有兴趣去遵守什么财政纪律了，取悦选民才是第一要务。</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小布什的减税政策在很大程度上被其继任者奥巴马（2009年1月至2017年1月）延续，特朗普（2017年1月至2021年1月）则进一步扩大了减税范围。</w:t>
      </w:r>
    </w:p>
    <w:p>
      <w:pPr>
        <w:keepNext w:val="0"/>
        <w:keepLines w:val="0"/>
        <w:pageBreakBefore w:val="0"/>
        <w:widowControl w:val="0"/>
        <w:kinsoku/>
        <w:wordWrap/>
        <w:overflowPunct/>
        <w:topLinePunct w:val="0"/>
        <w:autoSpaceDE/>
        <w:autoSpaceDN/>
        <w:bidi w:val="0"/>
        <w:adjustRightInd/>
        <w:snapToGrid/>
        <w:ind w:firstLine="388" w:firstLineChars="200"/>
        <w:jc w:val="both"/>
        <w:textAlignment w:val="auto"/>
        <w:rPr>
          <w:rFonts w:hint="eastAsia" w:asciiTheme="minorEastAsia" w:hAnsiTheme="minorEastAsia" w:eastAsiaTheme="minorEastAsia" w:cstheme="minorEastAsia"/>
          <w:sz w:val="32"/>
          <w:szCs w:val="32"/>
          <w:lang w:val="en-US" w:eastAsia="zh-CN"/>
        </w:rPr>
      </w:pPr>
      <w:r>
        <w:drawing>
          <wp:anchor distT="0" distB="0" distL="114300" distR="114300" simplePos="0" relativeHeight="251669504" behindDoc="0" locked="0" layoutInCell="1" allowOverlap="1">
            <wp:simplePos x="0" y="0"/>
            <wp:positionH relativeFrom="column">
              <wp:posOffset>135890</wp:posOffset>
            </wp:positionH>
            <wp:positionV relativeFrom="paragraph">
              <wp:posOffset>145415</wp:posOffset>
            </wp:positionV>
            <wp:extent cx="2804795" cy="1958340"/>
            <wp:effectExtent l="0" t="0" r="14605" b="3810"/>
            <wp:wrapSquare wrapText="bothSides"/>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17"/>
                    <a:stretch>
                      <a:fillRect/>
                    </a:stretch>
                  </pic:blipFill>
                  <pic:spPr>
                    <a:xfrm>
                      <a:off x="0" y="0"/>
                      <a:ext cx="2804795" cy="195834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同时，选民们对这一话题也态度轻松，在民调机构对美国面临的最大问题的统计中，这一问题几乎没有被提及，而在1990年代，赤字经常是选民最关心的问题之一，今天恰恰相反。其中一个原因是财政支出的挥霍无度，一部分直接作为纾困资金直接进入了家庭的账户，造就了今天美国消费支出旺盛、经济增长强劲。</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拜登政府对此沾沾自喜，负责预算工作的官员称：“我们从以往的经济衰退中认识到，财政刺激计划的规模过小，给美国人民带来了重大损失。这一次我们没有犯同样的错误。”</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因此，虽然拜登和特朗普都不时对严峻的财政前景表示不满，但两人都没有将改善财政状况作为竞选活动的核心。相反，两人都很会增加美国的债务——拜登偏爱增加支出，特朗普钟爱减少税收。</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综合上述情况，CBO预测，在未来30年内，美国的净债务与GDP之比将从目前的96%上升到约166%。</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这就引出了不负责任但有效的办法，让债权人承担损失。</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这里说的“损失”，并非指债务违约。美国联邦政府永远不会被逼到违约的地步，因为美联储可以充当美债的最后购买人。</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美联储持有美债，可以被视为向市场投放货币的一种方式。当美联储购买美债时，它以现金支付，这就意味着将更多的货币流入市场。这种行为被称为量化宽松（quantitative easing），它是一种货币政策工具，旨在增加市场上的货币供应量。</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lang w:val="en-US" w:eastAsia="zh-CN"/>
        </w:rPr>
      </w:pPr>
      <w:r>
        <w:rPr>
          <w:sz w:val="24"/>
          <w:szCs w:val="24"/>
        </w:rPr>
        <w:drawing>
          <wp:anchor distT="0" distB="0" distL="114300" distR="114300" simplePos="0" relativeHeight="251670528" behindDoc="0" locked="0" layoutInCell="1" allowOverlap="1">
            <wp:simplePos x="0" y="0"/>
            <wp:positionH relativeFrom="column">
              <wp:posOffset>402590</wp:posOffset>
            </wp:positionH>
            <wp:positionV relativeFrom="paragraph">
              <wp:posOffset>22225</wp:posOffset>
            </wp:positionV>
            <wp:extent cx="4398645" cy="3070860"/>
            <wp:effectExtent l="0" t="0" r="1905" b="15240"/>
            <wp:wrapTopAndBottom/>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18"/>
                    <a:stretch>
                      <a:fillRect/>
                    </a:stretch>
                  </pic:blipFill>
                  <pic:spPr>
                    <a:xfrm>
                      <a:off x="0" y="0"/>
                      <a:ext cx="4398645" cy="3070860"/>
                    </a:xfrm>
                    <a:prstGeom prst="rect">
                      <a:avLst/>
                    </a:prstGeom>
                    <a:noFill/>
                    <a:ln>
                      <a:noFill/>
                    </a:ln>
                  </pic:spPr>
                </pic:pic>
              </a:graphicData>
            </a:graphic>
          </wp:anchor>
        </w:drawing>
      </w:r>
      <w:r>
        <w:rPr>
          <w:rFonts w:hint="eastAsia" w:ascii="方正仿宋_GBK" w:hAnsi="方正仿宋_GBK" w:eastAsia="方正仿宋_GBK" w:cs="方正仿宋_GBK"/>
          <w:sz w:val="24"/>
          <w:szCs w:val="24"/>
          <w:lang w:eastAsia="zh-CN"/>
        </w:rPr>
        <w:t>（图：美联储持有的美债金额）</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因此，通过对应美债的大量货币释放，财政宽松一样可以导致通货膨胀。而通货膨胀必然稀释债务，承受损失的则是美债和美元的持有者。财政宽松导致高通胀的路径非常简单，只要将低利率与不断增长的赤字相结合，通货膨胀就会激增。</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Calibri" w:hAnsi="Calibri" w:eastAsia="宋体" w:cs="Calibri"/>
          <w:lang w:val="en-US" w:eastAsia="zh-CN"/>
        </w:rPr>
      </w:pPr>
      <w:r>
        <w:rPr>
          <w:rFonts w:hint="eastAsia" w:asciiTheme="minorEastAsia" w:hAnsiTheme="minorEastAsia" w:eastAsiaTheme="minorEastAsia" w:cstheme="minorEastAsia"/>
          <w:sz w:val="32"/>
          <w:szCs w:val="32"/>
          <w:lang w:val="en-US" w:eastAsia="zh-CN"/>
        </w:rPr>
        <w:t>甚至推高基准利率也不行，只要美国国会允许联邦政府无限制举债（这是大概率事件），即便美联储保持了自身的政策独立性，也一样无能为力——美联储提高基准利率，联邦政府的还债压力增大，于是借更多的钱来偿还债务——如果一来，提高利率反而是刺激而非遏制通胀。</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这个“反馈环路”在拉丁美洲国家屡见不鲜，有分析机构认为，美国已经在这个反馈环路中了，因为较高的利率很快就能传导给预算。</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在新冠疫情之前的二十年里，每年的国债利息支出约占联邦赤字的三分之一。据“国会预算办公室”估计，在接下来的20年里，每年的利息支出将占赤字的三分之二。CBO官员说：“当净债务高达GDP的100%时，利率的每一点上升都会变得更加重要。因此，现在的风险比过去大得多。”</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今年1月份，市场曾预计美联储今年将降息约1.5个百分点。美国银行分析称，如果降息成真，财政部最终将在2024年支付约1.2万亿美元的利息。然而，如果美联储一直将利率维持在当前水平，那么财政部的利息支出将达到1.6万亿美元。4,000亿美元的差额将使联邦赤字占GDP的比重再增加一个百分点以上。</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最终，利率推高赤字，赤字变成国债，国债进入市场，通货膨胀激增。</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美国持续的高通胀，会给其国内和全球经济带来负面影响。</w:t>
      </w:r>
    </w:p>
    <w:p>
      <w:pPr>
        <w:keepNext w:val="0"/>
        <w:keepLines w:val="0"/>
        <w:pageBreakBefore w:val="0"/>
        <w:widowControl w:val="0"/>
        <w:kinsoku/>
        <w:wordWrap/>
        <w:overflowPunct/>
        <w:topLinePunct w:val="0"/>
        <w:autoSpaceDE/>
        <w:autoSpaceDN/>
        <w:bidi w:val="0"/>
        <w:adjustRightInd/>
        <w:snapToGrid/>
        <w:ind w:left="0" w:leftChars="0"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首先，高通胀是财富从债权人向债务人的一次重新分配，即高通胀会削减债权人权益和普通人的储蓄价值。这实际上是一种变相征税，会引发一系列的不确定性和经济动荡。</w:t>
      </w:r>
    </w:p>
    <w:p>
      <w:pPr>
        <w:keepNext w:val="0"/>
        <w:keepLines w:val="0"/>
        <w:pageBreakBefore w:val="0"/>
        <w:widowControl w:val="0"/>
        <w:kinsoku/>
        <w:wordWrap/>
        <w:overflowPunct/>
        <w:topLinePunct w:val="0"/>
        <w:autoSpaceDE/>
        <w:autoSpaceDN/>
        <w:bidi w:val="0"/>
        <w:adjustRightInd/>
        <w:snapToGrid/>
        <w:ind w:left="0" w:leftChars="0"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随着国债拍卖的规模越来越大，出现动荡的几率也随之上升。除非美国财政部提供更高的收益率，否则市场可能会对美债需求不足。但美债收益率上升，将引发市场震荡——因为美债收益率是全球资产价格的定锚。</w:t>
      </w:r>
    </w:p>
    <w:p>
      <w:pPr>
        <w:keepNext w:val="0"/>
        <w:keepLines w:val="0"/>
        <w:pageBreakBefore w:val="0"/>
        <w:widowControl w:val="0"/>
        <w:kinsoku/>
        <w:wordWrap/>
        <w:overflowPunct/>
        <w:topLinePunct w:val="0"/>
        <w:autoSpaceDE/>
        <w:autoSpaceDN/>
        <w:bidi w:val="0"/>
        <w:adjustRightInd/>
        <w:snapToGrid/>
        <w:ind w:left="0" w:leftChars="0"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其次，全球也为美国的高通胀所苦</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left="0" w:leftChars="0"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美元是全球储备货币，通过美元，美国向全球提供一种独一无二的服务：海量可投资资产的供给。</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这些可投资资产的后盾，是美国庞大的经济体量、完备透明的市场法治、高度发达的资本市场，以及开放的资本账户。今天，还没有任何其他经济体的资产可以扮演这一角色，所以，即便美国经济处于高通胀之中，美元在实际购买力方面存在贬值风险，全球的投资者和贸易商也不得不继续使用美元。</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但当美元的购买力下降，即全球储备货币贬值，全球各地的资本成本将上升，全球金融体系的效率将降低，投资者将不断寻找美元的可行替代品，当有替代货币出现，大概率也会出现一个混乱的转型过渡期。</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因此，美国的财政纪律崩坏，是其联邦政府自己的失误，但却是全世界的问题。IMF称，美国的借贷规模如此之大，已危及全球金融稳定。标普（S&amp;P）和惠誉（Fitch）两家信用评级机构，已经下调了美国的债务评级；第三家评级机构穆迪（Moody's）也威胁要下调评级。</w:t>
      </w: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default" w:ascii="Calibri" w:hAnsi="Calibri" w:eastAsia="宋体" w:cs="Calibri"/>
          <w:b/>
          <w:bCs/>
          <w:color w:val="0000FF"/>
          <w:highlight w:val="yellow"/>
          <w:lang w:val="en-US" w:eastAsia="zh-CN"/>
        </w:rPr>
      </w:pP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default" w:ascii="Calibri" w:hAnsi="Calibri" w:eastAsia="宋体" w:cs="Calibri"/>
          <w:b/>
          <w:bCs/>
          <w:color w:val="0000FF"/>
          <w:highlight w:val="yellow"/>
          <w:lang w:val="en-US" w:eastAsia="zh-CN"/>
        </w:rPr>
      </w:pP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default" w:ascii="Calibri" w:hAnsi="Calibri" w:eastAsia="宋体" w:cs="Calibri"/>
          <w:b/>
          <w:bCs/>
          <w:color w:val="0000FF"/>
          <w:highlight w:val="yellow"/>
          <w:lang w:val="en-US" w:eastAsia="zh-CN"/>
        </w:rPr>
      </w:pP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default" w:ascii="Calibri" w:hAnsi="Calibri" w:eastAsia="宋体" w:cs="Calibri"/>
          <w:b/>
          <w:bCs/>
          <w:color w:val="0000FF"/>
          <w:highlight w:val="yellow"/>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7月22日（周一）</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看劳动力市场变化，推测货币政策走向</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7月5日</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美国劳工统计局</w:t>
      </w:r>
      <w:r>
        <w:rPr>
          <w:rFonts w:hint="eastAsia" w:asciiTheme="minorEastAsia" w:hAnsiTheme="minorEastAsia" w:eastAsiaTheme="minorEastAsia" w:cstheme="minorEastAsia"/>
          <w:sz w:val="32"/>
          <w:szCs w:val="32"/>
          <w:lang w:eastAsia="zh-CN"/>
        </w:rPr>
        <w:t>发</w:t>
      </w:r>
      <w:r>
        <w:rPr>
          <w:rFonts w:hint="eastAsia" w:asciiTheme="minorEastAsia" w:hAnsiTheme="minorEastAsia" w:eastAsiaTheme="minorEastAsia" w:cstheme="minorEastAsia"/>
          <w:sz w:val="32"/>
          <w:szCs w:val="32"/>
        </w:rPr>
        <w:t>布了6月份的非农就业报告</w:t>
      </w:r>
      <w:r>
        <w:rPr>
          <w:rFonts w:hint="eastAsia" w:asciiTheme="minorEastAsia" w:hAnsiTheme="minorEastAsia" w:eastAsiaTheme="minorEastAsia" w:cstheme="minorEastAsia"/>
          <w:sz w:val="32"/>
          <w:szCs w:val="32"/>
          <w:lang w:eastAsia="zh-CN"/>
        </w:rPr>
        <w:t>（即“大非农”）。数据显示，</w:t>
      </w:r>
      <w:r>
        <w:rPr>
          <w:rFonts w:hint="eastAsia" w:asciiTheme="minorEastAsia" w:hAnsiTheme="minorEastAsia" w:eastAsiaTheme="minorEastAsia" w:cstheme="minorEastAsia"/>
          <w:sz w:val="32"/>
          <w:szCs w:val="32"/>
        </w:rPr>
        <w:t>非农就业单月新增20.6万</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高于市场预期的19万</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失业率4.1%</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高于市场预期的4.0%</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平均时薪</w:t>
      </w:r>
      <w:r>
        <w:rPr>
          <w:rFonts w:hint="eastAsia" w:asciiTheme="minorEastAsia" w:hAnsiTheme="minorEastAsia" w:eastAsiaTheme="minorEastAsia" w:cstheme="minorEastAsia"/>
          <w:sz w:val="32"/>
          <w:szCs w:val="32"/>
          <w:lang w:eastAsia="zh-CN"/>
        </w:rPr>
        <w:t>同比</w:t>
      </w:r>
      <w:r>
        <w:rPr>
          <w:rFonts w:hint="eastAsia" w:asciiTheme="minorEastAsia" w:hAnsiTheme="minorEastAsia" w:eastAsiaTheme="minorEastAsia" w:cstheme="minorEastAsia"/>
          <w:sz w:val="32"/>
          <w:szCs w:val="32"/>
        </w:rPr>
        <w:t>增</w:t>
      </w:r>
      <w:r>
        <w:rPr>
          <w:rFonts w:hint="eastAsia" w:asciiTheme="minorEastAsia" w:hAnsiTheme="minorEastAsia" w:eastAsiaTheme="minorEastAsia" w:cstheme="minorEastAsia"/>
          <w:sz w:val="32"/>
          <w:szCs w:val="32"/>
          <w:lang w:eastAsia="zh-CN"/>
        </w:rPr>
        <w:t>长</w:t>
      </w:r>
      <w:r>
        <w:rPr>
          <w:rFonts w:hint="eastAsia" w:asciiTheme="minorEastAsia" w:hAnsiTheme="minorEastAsia" w:eastAsiaTheme="minorEastAsia" w:cstheme="minorEastAsia"/>
          <w:sz w:val="32"/>
          <w:szCs w:val="32"/>
        </w:rPr>
        <w:t>3.9%</w:t>
      </w:r>
      <w:r>
        <w:rPr>
          <w:rFonts w:hint="eastAsia" w:asciiTheme="minorEastAsia" w:hAnsiTheme="minorEastAsia" w:eastAsiaTheme="minorEastAsia" w:cstheme="minorEastAsia"/>
          <w:sz w:val="32"/>
          <w:szCs w:val="32"/>
          <w:lang w:eastAsia="zh-CN"/>
        </w:rPr>
        <w:t>，环比</w:t>
      </w:r>
      <w:r>
        <w:rPr>
          <w:rFonts w:hint="eastAsia" w:asciiTheme="minorEastAsia" w:hAnsiTheme="minorEastAsia" w:eastAsiaTheme="minorEastAsia" w:cstheme="minorEastAsia"/>
          <w:sz w:val="32"/>
          <w:szCs w:val="32"/>
        </w:rPr>
        <w:t>增</w:t>
      </w:r>
      <w:r>
        <w:rPr>
          <w:rFonts w:hint="eastAsia" w:asciiTheme="minorEastAsia" w:hAnsiTheme="minorEastAsia" w:eastAsiaTheme="minorEastAsia" w:cstheme="minorEastAsia"/>
          <w:sz w:val="32"/>
          <w:szCs w:val="32"/>
          <w:lang w:eastAsia="zh-CN"/>
        </w:rPr>
        <w:t>长</w:t>
      </w:r>
      <w:r>
        <w:rPr>
          <w:rFonts w:hint="eastAsia" w:asciiTheme="minorEastAsia" w:hAnsiTheme="minorEastAsia" w:eastAsiaTheme="minorEastAsia" w:cstheme="minorEastAsia"/>
          <w:sz w:val="32"/>
          <w:szCs w:val="32"/>
        </w:rPr>
        <w:t>0.3%</w:t>
      </w:r>
      <w:r>
        <w:rPr>
          <w:rFonts w:hint="eastAsia" w:asciiTheme="minorEastAsia" w:hAnsiTheme="minorEastAsia" w:eastAsiaTheme="minorEastAsia" w:cstheme="minorEastAsia"/>
          <w:sz w:val="32"/>
          <w:szCs w:val="32"/>
          <w:lang w:eastAsia="zh-CN"/>
        </w:rPr>
        <w:t>，虽低于前值，</w:t>
      </w:r>
      <w:r>
        <w:rPr>
          <w:rFonts w:hint="eastAsia" w:asciiTheme="minorEastAsia" w:hAnsiTheme="minorEastAsia" w:eastAsiaTheme="minorEastAsia" w:cstheme="minorEastAsia"/>
          <w:sz w:val="32"/>
          <w:szCs w:val="32"/>
        </w:rPr>
        <w:t>但符合市场预期</w:t>
      </w:r>
      <w:r>
        <w:rPr>
          <w:rFonts w:hint="eastAsia" w:asciiTheme="minorEastAsia" w:hAnsiTheme="minorEastAsia" w:eastAsiaTheme="minorEastAsia" w:cstheme="minorEastAsia"/>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t>从表面上来看</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这是一份</w:t>
      </w:r>
      <w:r>
        <w:rPr>
          <w:rFonts w:hint="eastAsia" w:asciiTheme="minorEastAsia" w:hAnsiTheme="minorEastAsia" w:eastAsiaTheme="minorEastAsia" w:cstheme="minorEastAsia"/>
          <w:sz w:val="32"/>
          <w:szCs w:val="32"/>
          <w:lang w:eastAsia="zh-CN"/>
        </w:rPr>
        <w:t>有些平淡</w:t>
      </w:r>
      <w:r>
        <w:rPr>
          <w:rFonts w:hint="eastAsia" w:asciiTheme="minorEastAsia" w:hAnsiTheme="minorEastAsia" w:eastAsiaTheme="minorEastAsia" w:cstheme="minorEastAsia"/>
          <w:sz w:val="32"/>
          <w:szCs w:val="32"/>
        </w:rPr>
        <w:t>的非农就业报告</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但</w:t>
      </w:r>
      <w:r>
        <w:rPr>
          <w:rFonts w:hint="eastAsia" w:asciiTheme="minorEastAsia" w:hAnsiTheme="minorEastAsia" w:eastAsiaTheme="minorEastAsia" w:cstheme="minorEastAsia"/>
          <w:sz w:val="32"/>
          <w:szCs w:val="32"/>
          <w:lang w:eastAsia="zh-CN"/>
        </w:rPr>
        <w:t>观察</w:t>
      </w:r>
      <w:r>
        <w:rPr>
          <w:rFonts w:hint="eastAsia" w:asciiTheme="minorEastAsia" w:hAnsiTheme="minorEastAsia" w:eastAsiaTheme="minorEastAsia" w:cstheme="minorEastAsia"/>
          <w:sz w:val="32"/>
          <w:szCs w:val="32"/>
        </w:rPr>
        <w:t>细节</w:t>
      </w:r>
      <w:r>
        <w:rPr>
          <w:rFonts w:hint="eastAsia" w:asciiTheme="minorEastAsia" w:hAnsiTheme="minorEastAsia" w:eastAsiaTheme="minorEastAsia" w:cstheme="minorEastAsia"/>
          <w:sz w:val="32"/>
          <w:szCs w:val="32"/>
          <w:lang w:eastAsia="zh-CN"/>
        </w:rPr>
        <w:t>却能发现，就业开始走弱。</w:t>
      </w:r>
      <w:r>
        <w:rPr>
          <w:rFonts w:hint="eastAsia" w:asciiTheme="minorEastAsia" w:hAnsiTheme="minorEastAsia" w:eastAsiaTheme="minorEastAsia" w:cstheme="minorEastAsia"/>
          <w:sz w:val="32"/>
          <w:szCs w:val="32"/>
        </w:rPr>
        <w:t>首先</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6月份非农就业</w:t>
      </w:r>
      <w:r>
        <w:rPr>
          <w:rFonts w:hint="eastAsia" w:asciiTheme="minorEastAsia" w:hAnsiTheme="minorEastAsia" w:eastAsiaTheme="minorEastAsia" w:cstheme="minorEastAsia"/>
          <w:sz w:val="32"/>
          <w:szCs w:val="32"/>
          <w:lang w:eastAsia="zh-CN"/>
        </w:rPr>
        <w:t>单月</w:t>
      </w:r>
      <w:r>
        <w:rPr>
          <w:rFonts w:hint="eastAsia" w:asciiTheme="minorEastAsia" w:hAnsiTheme="minorEastAsia" w:eastAsiaTheme="minorEastAsia" w:cstheme="minorEastAsia"/>
          <w:sz w:val="32"/>
          <w:szCs w:val="32"/>
        </w:rPr>
        <w:t>新增</w:t>
      </w:r>
      <w:r>
        <w:rPr>
          <w:rFonts w:hint="eastAsia" w:asciiTheme="minorEastAsia" w:hAnsiTheme="minorEastAsia" w:eastAsiaTheme="minorEastAsia" w:cstheme="minorEastAsia"/>
          <w:sz w:val="32"/>
          <w:szCs w:val="32"/>
          <w:lang w:eastAsia="zh-CN"/>
        </w:rPr>
        <w:t>的</w:t>
      </w:r>
      <w:r>
        <w:rPr>
          <w:rFonts w:hint="eastAsia" w:asciiTheme="minorEastAsia" w:hAnsiTheme="minorEastAsia" w:eastAsiaTheme="minorEastAsia" w:cstheme="minorEastAsia"/>
          <w:sz w:val="32"/>
          <w:szCs w:val="32"/>
          <w:lang w:val="en-US" w:eastAsia="zh-CN"/>
        </w:rPr>
        <w:t>20.6万</w:t>
      </w:r>
      <w:r>
        <w:rPr>
          <w:rFonts w:hint="eastAsia" w:asciiTheme="minorEastAsia" w:hAnsiTheme="minorEastAsia" w:eastAsiaTheme="minorEastAsia" w:cstheme="minorEastAsia"/>
          <w:sz w:val="32"/>
          <w:szCs w:val="32"/>
          <w:lang w:eastAsia="zh-CN"/>
        </w:rPr>
        <w:t>中，有四分之三</w:t>
      </w:r>
      <w:r>
        <w:rPr>
          <w:rFonts w:hint="eastAsia" w:asciiTheme="minorEastAsia" w:hAnsiTheme="minorEastAsia" w:eastAsiaTheme="minorEastAsia" w:cstheme="minorEastAsia"/>
          <w:sz w:val="32"/>
          <w:szCs w:val="32"/>
          <w:lang w:val="en-US" w:eastAsia="zh-CN"/>
        </w:rPr>
        <w:t>来</w:t>
      </w:r>
      <w:r>
        <w:rPr>
          <w:rFonts w:hint="eastAsia" w:asciiTheme="minorEastAsia" w:hAnsiTheme="minorEastAsia" w:eastAsiaTheme="minorEastAsia" w:cstheme="minorEastAsia"/>
          <w:sz w:val="32"/>
          <w:szCs w:val="32"/>
        </w:rPr>
        <w:t>自于</w:t>
      </w:r>
      <w:r>
        <w:rPr>
          <w:rFonts w:hint="eastAsia" w:asciiTheme="minorEastAsia" w:hAnsiTheme="minorEastAsia" w:eastAsiaTheme="minorEastAsia" w:cstheme="minorEastAsia"/>
          <w:sz w:val="32"/>
          <w:szCs w:val="32"/>
          <w:lang w:eastAsia="zh-CN"/>
        </w:rPr>
        <w:t>三</w:t>
      </w:r>
      <w:r>
        <w:rPr>
          <w:rFonts w:hint="eastAsia" w:asciiTheme="minorEastAsia" w:hAnsiTheme="minorEastAsia" w:eastAsiaTheme="minorEastAsia" w:cstheme="minorEastAsia"/>
          <w:sz w:val="32"/>
          <w:szCs w:val="32"/>
        </w:rPr>
        <w:t>个相对</w:t>
      </w:r>
      <w:r>
        <w:rPr>
          <w:rFonts w:hint="eastAsia" w:asciiTheme="minorEastAsia" w:hAnsiTheme="minorEastAsia" w:eastAsiaTheme="minorEastAsia" w:cstheme="minorEastAsia"/>
          <w:sz w:val="32"/>
          <w:szCs w:val="32"/>
          <w:lang w:eastAsia="zh-CN"/>
        </w:rPr>
        <w:t>“非</w:t>
      </w:r>
      <w:r>
        <w:rPr>
          <w:rFonts w:hint="eastAsia" w:asciiTheme="minorEastAsia" w:hAnsiTheme="minorEastAsia" w:eastAsiaTheme="minorEastAsia" w:cstheme="minorEastAsia"/>
          <w:sz w:val="32"/>
          <w:szCs w:val="32"/>
        </w:rPr>
        <w:t>循环性</w:t>
      </w:r>
      <w:r>
        <w:rPr>
          <w:rFonts w:hint="eastAsia" w:asciiTheme="minorEastAsia" w:hAnsiTheme="minorEastAsia" w:eastAsiaTheme="minorEastAsia" w:cstheme="minorEastAsia"/>
          <w:sz w:val="32"/>
          <w:szCs w:val="32"/>
          <w:lang w:eastAsia="zh-CN"/>
        </w:rPr>
        <w:t>”（或称“防御性”）</w:t>
      </w:r>
      <w:r>
        <w:rPr>
          <w:rFonts w:hint="eastAsia" w:asciiTheme="minorEastAsia" w:hAnsiTheme="minorEastAsia" w:eastAsiaTheme="minorEastAsia" w:cstheme="minorEastAsia"/>
          <w:sz w:val="32"/>
          <w:szCs w:val="32"/>
        </w:rPr>
        <w:t>的产业</w:t>
      </w:r>
      <w:r>
        <w:rPr>
          <w:rFonts w:hint="eastAsia" w:asciiTheme="minorEastAsia" w:hAnsiTheme="minorEastAsia" w:eastAsiaTheme="minorEastAsia" w:cstheme="minorEastAsia"/>
          <w:sz w:val="32"/>
          <w:szCs w:val="32"/>
          <w:lang w:eastAsia="zh-CN"/>
        </w:rPr>
        <w:t>，即</w:t>
      </w:r>
      <w:r>
        <w:rPr>
          <w:rFonts w:hint="eastAsia" w:asciiTheme="minorEastAsia" w:hAnsiTheme="minorEastAsia" w:eastAsiaTheme="minorEastAsia" w:cstheme="minorEastAsia"/>
          <w:sz w:val="32"/>
          <w:szCs w:val="32"/>
        </w:rPr>
        <w:t>政府部门</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医疗服务</w:t>
      </w:r>
      <w:r>
        <w:rPr>
          <w:rFonts w:hint="eastAsia" w:asciiTheme="minorEastAsia" w:hAnsiTheme="minorEastAsia" w:eastAsiaTheme="minorEastAsia" w:cstheme="minorEastAsia"/>
          <w:sz w:val="32"/>
          <w:szCs w:val="32"/>
          <w:lang w:eastAsia="zh-CN"/>
        </w:rPr>
        <w:t>和社会救助，分别</w:t>
      </w:r>
      <w:r>
        <w:rPr>
          <w:rFonts w:hint="eastAsia" w:asciiTheme="minorEastAsia" w:hAnsiTheme="minorEastAsia" w:eastAsiaTheme="minorEastAsia" w:cstheme="minorEastAsia"/>
          <w:sz w:val="32"/>
          <w:szCs w:val="32"/>
        </w:rPr>
        <w:t>新增</w:t>
      </w:r>
      <w:r>
        <w:rPr>
          <w:rFonts w:hint="eastAsia" w:asciiTheme="minorEastAsia" w:hAnsiTheme="minorEastAsia" w:eastAsiaTheme="minorEastAsia" w:cstheme="minorEastAsia"/>
          <w:sz w:val="32"/>
          <w:szCs w:val="32"/>
          <w:lang w:eastAsia="zh-CN"/>
        </w:rPr>
        <w:t>了</w:t>
      </w:r>
      <w:r>
        <w:rPr>
          <w:rFonts w:hint="eastAsia" w:asciiTheme="minorEastAsia" w:hAnsiTheme="minorEastAsia" w:eastAsiaTheme="minorEastAsia" w:cstheme="minorEastAsia"/>
          <w:sz w:val="32"/>
          <w:szCs w:val="32"/>
        </w:rPr>
        <w:t>7</w:t>
      </w:r>
      <w:r>
        <w:rPr>
          <w:rFonts w:hint="eastAsia" w:asciiTheme="minorEastAsia" w:hAnsiTheme="minorEastAsia" w:eastAsiaTheme="minorEastAsia" w:cstheme="minorEastAsia"/>
          <w:sz w:val="32"/>
          <w:szCs w:val="32"/>
          <w:lang w:eastAsia="zh-CN"/>
        </w:rPr>
        <w:t>万、</w:t>
      </w:r>
      <w:r>
        <w:rPr>
          <w:rFonts w:hint="eastAsia" w:asciiTheme="minorEastAsia" w:hAnsiTheme="minorEastAsia" w:eastAsiaTheme="minorEastAsia" w:cstheme="minorEastAsia"/>
          <w:sz w:val="32"/>
          <w:szCs w:val="32"/>
          <w:lang w:val="en-US" w:eastAsia="zh-CN"/>
        </w:rPr>
        <w:t>4.9</w:t>
      </w:r>
      <w:r>
        <w:rPr>
          <w:rFonts w:hint="eastAsia" w:asciiTheme="minorEastAsia" w:hAnsiTheme="minorEastAsia" w:eastAsiaTheme="minorEastAsia" w:cstheme="minorEastAsia"/>
          <w:sz w:val="32"/>
          <w:szCs w:val="32"/>
        </w:rPr>
        <w:t>万</w:t>
      </w:r>
      <w:r>
        <w:rPr>
          <w:rFonts w:hint="eastAsia" w:asciiTheme="minorEastAsia" w:hAnsiTheme="minorEastAsia" w:eastAsiaTheme="minorEastAsia" w:cstheme="minorEastAsia"/>
          <w:sz w:val="32"/>
          <w:szCs w:val="32"/>
          <w:lang w:eastAsia="zh-CN"/>
        </w:rPr>
        <w:t>和</w:t>
      </w:r>
      <w:r>
        <w:rPr>
          <w:rFonts w:hint="eastAsia" w:asciiTheme="minorEastAsia" w:hAnsiTheme="minorEastAsia" w:eastAsiaTheme="minorEastAsia" w:cstheme="minorEastAsia"/>
          <w:sz w:val="32"/>
          <w:szCs w:val="32"/>
          <w:lang w:val="en-US" w:eastAsia="zh-CN"/>
        </w:rPr>
        <w:t>3.4万。</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而“循环性”的产业，通常指的是那些受经济周期影响较大的行业，它们在经济扩张期和衰退期的表现会有显著的不同。这些产业的业绩往往与整体经济活动的波动紧密相关，如制造业、建筑业和零售业。</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val="en-US" w:eastAsia="zh-CN"/>
        </w:rPr>
        <w:t>上述三个循环性行业中，只有建筑业新增了3.4万，</w:t>
      </w:r>
      <w:r>
        <w:rPr>
          <w:rFonts w:hint="eastAsia" w:asciiTheme="minorEastAsia" w:hAnsiTheme="minorEastAsia" w:eastAsiaTheme="minorEastAsia" w:cstheme="minorEastAsia"/>
          <w:sz w:val="32"/>
          <w:szCs w:val="32"/>
        </w:rPr>
        <w:t>零售</w:t>
      </w:r>
      <w:r>
        <w:rPr>
          <w:rFonts w:hint="eastAsia" w:asciiTheme="minorEastAsia" w:hAnsiTheme="minorEastAsia" w:eastAsiaTheme="minorEastAsia" w:cstheme="minorEastAsia"/>
          <w:sz w:val="32"/>
          <w:szCs w:val="32"/>
          <w:lang w:eastAsia="zh-CN"/>
        </w:rPr>
        <w:t>业则</w:t>
      </w:r>
      <w:r>
        <w:rPr>
          <w:rFonts w:hint="eastAsia" w:asciiTheme="minorEastAsia" w:hAnsiTheme="minorEastAsia" w:eastAsiaTheme="minorEastAsia" w:cstheme="minorEastAsia"/>
          <w:sz w:val="32"/>
          <w:szCs w:val="32"/>
        </w:rPr>
        <w:t>减少了0.9万</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制造业减少了0.8万</w:t>
      </w:r>
      <w:r>
        <w:rPr>
          <w:rFonts w:hint="eastAsia" w:asciiTheme="minorEastAsia" w:hAnsiTheme="minorEastAsia" w:eastAsiaTheme="minorEastAsia" w:cstheme="minorEastAsia"/>
          <w:sz w:val="32"/>
          <w:szCs w:val="32"/>
          <w:lang w:eastAsia="zh-CN"/>
        </w:rPr>
        <w:t>，此外，用工大户“专业与商业服务”减少</w:t>
      </w:r>
      <w:r>
        <w:rPr>
          <w:rFonts w:hint="eastAsia" w:asciiTheme="minorEastAsia" w:hAnsiTheme="minorEastAsia" w:eastAsiaTheme="minorEastAsia" w:cstheme="minorEastAsia"/>
          <w:sz w:val="32"/>
          <w:szCs w:val="32"/>
          <w:lang w:val="en-US" w:eastAsia="zh-CN"/>
        </w:rPr>
        <w:t>1.7万，通常</w:t>
      </w:r>
      <w:r>
        <w:rPr>
          <w:rFonts w:hint="eastAsia" w:asciiTheme="minorEastAsia" w:hAnsiTheme="minorEastAsia" w:eastAsiaTheme="minorEastAsia" w:cstheme="minorEastAsia"/>
          <w:sz w:val="32"/>
          <w:szCs w:val="32"/>
        </w:rPr>
        <w:t>被认为是就业市场领先指标的</w:t>
      </w:r>
      <w:r>
        <w:rPr>
          <w:rFonts w:hint="eastAsia" w:asciiTheme="minorEastAsia" w:hAnsiTheme="minorEastAsia" w:eastAsiaTheme="minorEastAsia" w:cstheme="minorEastAsia"/>
          <w:sz w:val="32"/>
          <w:szCs w:val="32"/>
          <w:lang w:eastAsia="zh-CN"/>
        </w:rPr>
        <w:t>“临时劳务派遣服务”，</w:t>
      </w:r>
      <w:r>
        <w:rPr>
          <w:rFonts w:hint="eastAsia" w:asciiTheme="minorEastAsia" w:hAnsiTheme="minorEastAsia" w:eastAsiaTheme="minorEastAsia" w:cstheme="minorEastAsia"/>
          <w:sz w:val="32"/>
          <w:szCs w:val="32"/>
        </w:rPr>
        <w:t>在6月的就业减少了4.9万</w:t>
      </w:r>
      <w:r>
        <w:rPr>
          <w:rFonts w:hint="eastAsia" w:asciiTheme="minorEastAsia" w:hAnsiTheme="minorEastAsia" w:eastAsiaTheme="minorEastAsia" w:cstheme="minorEastAsia"/>
          <w:sz w:val="32"/>
          <w:szCs w:val="32"/>
          <w:lang w:eastAsia="zh-CN"/>
        </w:rPr>
        <w:t>，为</w:t>
      </w:r>
      <w:r>
        <w:rPr>
          <w:rFonts w:hint="eastAsia" w:asciiTheme="minorEastAsia" w:hAnsiTheme="minorEastAsia" w:eastAsiaTheme="minorEastAsia" w:cstheme="minorEastAsia"/>
          <w:sz w:val="32"/>
          <w:szCs w:val="32"/>
        </w:rPr>
        <w:t>2021年4月以来的最大月减</w:t>
      </w:r>
      <w:r>
        <w:rPr>
          <w:rFonts w:hint="eastAsia" w:asciiTheme="minorEastAsia" w:hAnsiTheme="minorEastAsia" w:eastAsiaTheme="minorEastAsia" w:cstheme="minorEastAsia"/>
          <w:sz w:val="32"/>
          <w:szCs w:val="32"/>
          <w:lang w:eastAsia="zh-CN"/>
        </w:rPr>
        <w:t>幅。</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drawing>
          <wp:anchor distT="0" distB="0" distL="114300" distR="114300" simplePos="0" relativeHeight="251671552" behindDoc="0" locked="0" layoutInCell="1" allowOverlap="1">
            <wp:simplePos x="0" y="0"/>
            <wp:positionH relativeFrom="column">
              <wp:posOffset>0</wp:posOffset>
            </wp:positionH>
            <wp:positionV relativeFrom="paragraph">
              <wp:posOffset>53975</wp:posOffset>
            </wp:positionV>
            <wp:extent cx="2777490" cy="1939290"/>
            <wp:effectExtent l="0" t="0" r="3810" b="3810"/>
            <wp:wrapSquare wrapText="bothSides"/>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19"/>
                    <a:stretch>
                      <a:fillRect/>
                    </a:stretch>
                  </pic:blipFill>
                  <pic:spPr>
                    <a:xfrm>
                      <a:off x="0" y="0"/>
                      <a:ext cx="2777490" cy="193929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从图中可以看出，自2023年12月以来，非农的新增就业人数是在显著减少之中。</w:t>
      </w:r>
      <w:r>
        <w:rPr>
          <w:rFonts w:hint="eastAsia" w:asciiTheme="minorEastAsia" w:hAnsiTheme="minorEastAsia" w:eastAsiaTheme="minorEastAsia" w:cstheme="minorEastAsia"/>
          <w:sz w:val="32"/>
          <w:szCs w:val="32"/>
        </w:rPr>
        <w:t>失业率</w:t>
      </w:r>
      <w:r>
        <w:rPr>
          <w:rFonts w:hint="eastAsia" w:asciiTheme="minorEastAsia" w:hAnsiTheme="minorEastAsia" w:eastAsiaTheme="minorEastAsia" w:cstheme="minorEastAsia"/>
          <w:sz w:val="32"/>
          <w:szCs w:val="32"/>
          <w:lang w:eastAsia="zh-CN"/>
        </w:rPr>
        <w:t>也</w:t>
      </w:r>
      <w:r>
        <w:rPr>
          <w:rFonts w:hint="eastAsia" w:asciiTheme="minorEastAsia" w:hAnsiTheme="minorEastAsia" w:eastAsiaTheme="minorEastAsia" w:cstheme="minorEastAsia"/>
          <w:sz w:val="32"/>
          <w:szCs w:val="32"/>
        </w:rPr>
        <w:t>从</w:t>
      </w:r>
      <w:r>
        <w:rPr>
          <w:rFonts w:hint="eastAsia" w:asciiTheme="minorEastAsia" w:hAnsiTheme="minorEastAsia" w:eastAsiaTheme="minorEastAsia" w:cstheme="minorEastAsia"/>
          <w:sz w:val="32"/>
          <w:szCs w:val="32"/>
          <w:lang w:val="en-US" w:eastAsia="zh-CN"/>
        </w:rPr>
        <w:t>5</w:t>
      </w:r>
      <w:r>
        <w:rPr>
          <w:rFonts w:hint="eastAsia" w:asciiTheme="minorEastAsia" w:hAnsiTheme="minorEastAsia" w:eastAsiaTheme="minorEastAsia" w:cstheme="minorEastAsia"/>
          <w:sz w:val="32"/>
          <w:szCs w:val="32"/>
        </w:rPr>
        <w:t>月</w:t>
      </w:r>
      <w:r>
        <w:rPr>
          <w:rFonts w:hint="eastAsia" w:asciiTheme="minorEastAsia" w:hAnsiTheme="minorEastAsia" w:eastAsiaTheme="minorEastAsia" w:cstheme="minorEastAsia"/>
          <w:sz w:val="32"/>
          <w:szCs w:val="32"/>
          <w:lang w:eastAsia="zh-CN"/>
        </w:rPr>
        <w:t>份</w:t>
      </w:r>
      <w:r>
        <w:rPr>
          <w:rFonts w:hint="eastAsia" w:asciiTheme="minorEastAsia" w:hAnsiTheme="minorEastAsia" w:eastAsiaTheme="minorEastAsia" w:cstheme="minorEastAsia"/>
          <w:sz w:val="32"/>
          <w:szCs w:val="32"/>
        </w:rPr>
        <w:t>的</w:t>
      </w:r>
      <w:r>
        <w:rPr>
          <w:rFonts w:hint="eastAsia" w:asciiTheme="minorEastAsia" w:hAnsiTheme="minorEastAsia" w:eastAsiaTheme="minorEastAsia" w:cstheme="minorEastAsia"/>
          <w:sz w:val="32"/>
          <w:szCs w:val="32"/>
          <w:lang w:val="en-US" w:eastAsia="zh-CN"/>
        </w:rPr>
        <w:t>4.0</w:t>
      </w:r>
      <w:r>
        <w:rPr>
          <w:rFonts w:hint="eastAsia" w:asciiTheme="minorEastAsia" w:hAnsiTheme="minorEastAsia" w:eastAsiaTheme="minorEastAsia" w:cstheme="minorEastAsia"/>
          <w:sz w:val="32"/>
          <w:szCs w:val="32"/>
        </w:rPr>
        <w:t>%上升</w:t>
      </w:r>
      <w:r>
        <w:rPr>
          <w:rFonts w:hint="eastAsia" w:asciiTheme="minorEastAsia" w:hAnsiTheme="minorEastAsia" w:eastAsiaTheme="minorEastAsia" w:cstheme="minorEastAsia"/>
          <w:sz w:val="32"/>
          <w:szCs w:val="32"/>
          <w:lang w:eastAsia="zh-CN"/>
        </w:rPr>
        <w:t>到</w:t>
      </w:r>
      <w:r>
        <w:rPr>
          <w:rFonts w:hint="eastAsia" w:asciiTheme="minorEastAsia" w:hAnsiTheme="minorEastAsia" w:eastAsiaTheme="minorEastAsia" w:cstheme="minorEastAsia"/>
          <w:sz w:val="32"/>
          <w:szCs w:val="32"/>
        </w:rPr>
        <w:t>6月份的4.</w:t>
      </w:r>
      <w:r>
        <w:rPr>
          <w:rFonts w:hint="eastAsia" w:asciiTheme="minorEastAsia" w:hAnsiTheme="minorEastAsia" w:eastAsiaTheme="minorEastAsia" w:cstheme="minorEastAsia"/>
          <w:sz w:val="32"/>
          <w:szCs w:val="32"/>
          <w:lang w:val="en-US" w:eastAsia="zh-CN"/>
        </w:rPr>
        <w:t>1</w:t>
      </w:r>
      <w:r>
        <w:rPr>
          <w:rFonts w:hint="eastAsia" w:asciiTheme="minorEastAsia" w:hAnsiTheme="minorEastAsia" w:eastAsiaTheme="minorEastAsia" w:cstheme="minorEastAsia"/>
          <w:sz w:val="32"/>
          <w:szCs w:val="32"/>
        </w:rPr>
        <w:t>%</w:t>
      </w:r>
      <w:r>
        <w:rPr>
          <w:rFonts w:hint="eastAsia" w:asciiTheme="minorEastAsia" w:hAnsiTheme="minorEastAsia" w:eastAsiaTheme="minorEastAsia" w:cstheme="minorEastAsia"/>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前任</w:t>
      </w:r>
      <w:r>
        <w:rPr>
          <w:rFonts w:hint="eastAsia" w:asciiTheme="minorEastAsia" w:hAnsiTheme="minorEastAsia" w:eastAsiaTheme="minorEastAsia" w:cstheme="minorEastAsia"/>
          <w:sz w:val="32"/>
          <w:szCs w:val="32"/>
          <w:lang w:eastAsia="zh-CN"/>
        </w:rPr>
        <w:t>美联储</w:t>
      </w:r>
      <w:r>
        <w:rPr>
          <w:rFonts w:hint="eastAsia" w:asciiTheme="minorEastAsia" w:hAnsiTheme="minorEastAsia" w:eastAsiaTheme="minorEastAsia" w:cstheme="minorEastAsia"/>
          <w:sz w:val="32"/>
          <w:szCs w:val="32"/>
        </w:rPr>
        <w:t>经济学家Claudia Sahm</w:t>
      </w:r>
      <w:r>
        <w:rPr>
          <w:rFonts w:hint="eastAsia" w:asciiTheme="minorEastAsia" w:hAnsiTheme="minorEastAsia" w:eastAsiaTheme="minorEastAsia" w:cstheme="minorEastAsia"/>
          <w:sz w:val="32"/>
          <w:szCs w:val="32"/>
          <w:lang w:eastAsia="zh-CN"/>
        </w:rPr>
        <w:t>曾总结出一个经济衰退的指标，称为“</w:t>
      </w:r>
      <w:r>
        <w:rPr>
          <w:rFonts w:hint="eastAsia" w:asciiTheme="minorEastAsia" w:hAnsiTheme="minorEastAsia" w:eastAsiaTheme="minorEastAsia" w:cstheme="minorEastAsia"/>
          <w:b/>
          <w:bCs/>
          <w:sz w:val="32"/>
          <w:szCs w:val="32"/>
          <w:lang w:eastAsia="zh-CN"/>
        </w:rPr>
        <w:t>萨姆规则</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Sahm Rule</w:t>
      </w:r>
      <w:r>
        <w:rPr>
          <w:rFonts w:hint="eastAsia" w:asciiTheme="minorEastAsia" w:hAnsiTheme="minorEastAsia" w:eastAsiaTheme="minorEastAsia" w:cstheme="minorEastAsia"/>
          <w:sz w:val="32"/>
          <w:szCs w:val="32"/>
          <w:lang w:eastAsia="zh-CN"/>
        </w:rPr>
        <w:t>）。该规则称，</w:t>
      </w:r>
      <w:r>
        <w:rPr>
          <w:rFonts w:hint="eastAsia" w:asciiTheme="minorEastAsia" w:hAnsiTheme="minorEastAsia" w:eastAsiaTheme="minorEastAsia" w:cstheme="minorEastAsia"/>
          <w:sz w:val="32"/>
          <w:szCs w:val="32"/>
        </w:rPr>
        <w:t>当美国失业率的三个月移动平均值</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比过去12个月中最低的三个月移动平均值高出至少0.5个百分点时，就标志着经济衰退的早期阶段。</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lang w:eastAsia="zh-CN"/>
        </w:rPr>
      </w:pPr>
      <w:r>
        <w:rPr>
          <w:rFonts w:hint="eastAsia"/>
          <w:sz w:val="32"/>
          <w:szCs w:val="32"/>
          <w:lang w:eastAsia="zh-CN"/>
        </w:rPr>
        <w:t>“萨姆规则”只是一个经验指标，但成功率相当高（见图），现在成为美联储颇为重视的预测指标。</w:t>
      </w:r>
    </w:p>
    <w:p>
      <w:pPr>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drawing>
          <wp:anchor distT="0" distB="0" distL="114300" distR="114300" simplePos="0" relativeHeight="251672576" behindDoc="0" locked="0" layoutInCell="1" allowOverlap="1">
            <wp:simplePos x="0" y="0"/>
            <wp:positionH relativeFrom="column">
              <wp:posOffset>166370</wp:posOffset>
            </wp:positionH>
            <wp:positionV relativeFrom="paragraph">
              <wp:posOffset>30480</wp:posOffset>
            </wp:positionV>
            <wp:extent cx="5091430" cy="1738630"/>
            <wp:effectExtent l="0" t="0" r="13970" b="13970"/>
            <wp:wrapTopAndBottom/>
            <wp:docPr id="51" name="图片 51" descr="fred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redgraph"/>
                    <pic:cNvPicPr>
                      <a:picLocks noChangeAspect="1"/>
                    </pic:cNvPicPr>
                  </pic:nvPicPr>
                  <pic:blipFill>
                    <a:blip r:embed="rId20"/>
                    <a:stretch>
                      <a:fillRect/>
                    </a:stretch>
                  </pic:blipFill>
                  <pic:spPr>
                    <a:xfrm>
                      <a:off x="0" y="0"/>
                      <a:ext cx="5091430" cy="1738630"/>
                    </a:xfrm>
                    <a:prstGeom prst="rect">
                      <a:avLst/>
                    </a:prstGeom>
                  </pic:spPr>
                </pic:pic>
              </a:graphicData>
            </a:graphic>
          </wp:anchor>
        </w:drawing>
      </w:r>
      <w:r>
        <w:rPr>
          <w:rFonts w:hint="eastAsia" w:ascii="方正仿宋_GBK" w:hAnsi="方正仿宋_GBK" w:eastAsia="方正仿宋_GBK" w:cs="方正仿宋_GBK"/>
          <w:sz w:val="24"/>
          <w:szCs w:val="24"/>
          <w:lang w:val="en-US" w:eastAsia="zh-CN"/>
        </w:rPr>
        <w:t>（图：萨姆规则</w:t>
      </w:r>
      <w:r>
        <w:rPr>
          <w:rFonts w:hint="eastAsia" w:ascii="方正仿宋_GBK" w:hAnsi="方正仿宋_GBK" w:eastAsia="方正仿宋_GBK" w:cs="方正仿宋_GBK"/>
          <w:sz w:val="24"/>
          <w:szCs w:val="24"/>
        </w:rPr>
        <w:t>Sahm Rule</w:t>
      </w:r>
      <w:r>
        <w:rPr>
          <w:rFonts w:hint="eastAsia" w:ascii="方正仿宋_GBK" w:hAnsi="方正仿宋_GBK" w:eastAsia="方正仿宋_GBK" w:cs="方正仿宋_GBK"/>
          <w:sz w:val="24"/>
          <w:szCs w:val="24"/>
          <w:lang w:val="en-US" w:eastAsia="zh-CN"/>
        </w:rPr>
        <w:t>，灰色阴影部分是经济衰退期）</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过去12个月失业率的</w:t>
      </w:r>
      <w:r>
        <w:rPr>
          <w:rFonts w:hint="eastAsia" w:asciiTheme="minorEastAsia" w:hAnsiTheme="minorEastAsia" w:eastAsiaTheme="minorEastAsia" w:cstheme="minorEastAsia"/>
          <w:sz w:val="32"/>
          <w:szCs w:val="32"/>
          <w:lang w:eastAsia="zh-CN"/>
        </w:rPr>
        <w:t>三个</w:t>
      </w:r>
      <w:r>
        <w:rPr>
          <w:rFonts w:hint="eastAsia" w:asciiTheme="minorEastAsia" w:hAnsiTheme="minorEastAsia" w:eastAsiaTheme="minorEastAsia" w:cstheme="minorEastAsia"/>
          <w:sz w:val="32"/>
          <w:szCs w:val="32"/>
        </w:rPr>
        <w:t>月平均低点</w:t>
      </w:r>
      <w:r>
        <w:rPr>
          <w:rFonts w:hint="eastAsia" w:asciiTheme="minorEastAsia" w:hAnsiTheme="minorEastAsia" w:eastAsiaTheme="minorEastAsia" w:cstheme="minorEastAsia"/>
          <w:sz w:val="32"/>
          <w:szCs w:val="32"/>
          <w:lang w:eastAsia="zh-CN"/>
        </w:rPr>
        <w:t>，是</w:t>
      </w:r>
      <w:r>
        <w:rPr>
          <w:rFonts w:hint="eastAsia" w:asciiTheme="minorEastAsia" w:hAnsiTheme="minorEastAsia" w:eastAsiaTheme="minorEastAsia" w:cstheme="minorEastAsia"/>
          <w:sz w:val="32"/>
          <w:szCs w:val="32"/>
        </w:rPr>
        <w:t>2023年的5</w:t>
      </w:r>
      <w:r>
        <w:rPr>
          <w:rFonts w:hint="eastAsia" w:asciiTheme="minorEastAsia" w:hAnsiTheme="minorEastAsia" w:eastAsiaTheme="minorEastAsia" w:cstheme="minorEastAsia"/>
          <w:sz w:val="32"/>
          <w:szCs w:val="32"/>
          <w:lang w:eastAsia="zh-CN"/>
        </w:rPr>
        <w:t>月至</w:t>
      </w:r>
      <w:r>
        <w:rPr>
          <w:rFonts w:hint="eastAsia" w:asciiTheme="minorEastAsia" w:hAnsiTheme="minorEastAsia" w:eastAsiaTheme="minorEastAsia" w:cstheme="minorEastAsia"/>
          <w:sz w:val="32"/>
          <w:szCs w:val="32"/>
        </w:rPr>
        <w:t>7月的3.6%</w:t>
      </w:r>
      <w:r>
        <w:rPr>
          <w:rFonts w:hint="eastAsia" w:asciiTheme="minorEastAsia" w:hAnsiTheme="minorEastAsia" w:eastAsiaTheme="minorEastAsia" w:cstheme="minorEastAsia"/>
          <w:sz w:val="32"/>
          <w:szCs w:val="32"/>
          <w:lang w:eastAsia="zh-CN"/>
        </w:rPr>
        <w:t>，目前</w:t>
      </w:r>
      <w:r>
        <w:rPr>
          <w:rFonts w:hint="eastAsia" w:asciiTheme="minorEastAsia" w:hAnsiTheme="minorEastAsia" w:eastAsiaTheme="minorEastAsia" w:cstheme="minorEastAsia"/>
          <w:sz w:val="32"/>
          <w:szCs w:val="32"/>
        </w:rPr>
        <w:t>失业率</w:t>
      </w:r>
      <w:r>
        <w:rPr>
          <w:rFonts w:hint="eastAsia" w:asciiTheme="minorEastAsia" w:hAnsiTheme="minorEastAsia" w:eastAsiaTheme="minorEastAsia" w:cstheme="minorEastAsia"/>
          <w:sz w:val="32"/>
          <w:szCs w:val="32"/>
          <w:lang w:eastAsia="zh-CN"/>
        </w:rPr>
        <w:t>三</w:t>
      </w:r>
      <w:r>
        <w:rPr>
          <w:rFonts w:hint="eastAsia" w:asciiTheme="minorEastAsia" w:hAnsiTheme="minorEastAsia" w:eastAsiaTheme="minorEastAsia" w:cstheme="minorEastAsia"/>
          <w:sz w:val="32"/>
          <w:szCs w:val="32"/>
        </w:rPr>
        <w:t>个月</w:t>
      </w:r>
      <w:r>
        <w:rPr>
          <w:rFonts w:hint="eastAsia" w:asciiTheme="minorEastAsia" w:hAnsiTheme="minorEastAsia" w:eastAsiaTheme="minorEastAsia" w:cstheme="minorEastAsia"/>
          <w:sz w:val="32"/>
          <w:szCs w:val="32"/>
          <w:lang w:eastAsia="zh-CN"/>
        </w:rPr>
        <w:t>的</w:t>
      </w:r>
      <w:r>
        <w:rPr>
          <w:rFonts w:hint="eastAsia" w:asciiTheme="minorEastAsia" w:hAnsiTheme="minorEastAsia" w:eastAsiaTheme="minorEastAsia" w:cstheme="minorEastAsia"/>
          <w:sz w:val="32"/>
          <w:szCs w:val="32"/>
        </w:rPr>
        <w:t>平均</w:t>
      </w:r>
      <w:r>
        <w:rPr>
          <w:rFonts w:hint="eastAsia" w:asciiTheme="minorEastAsia" w:hAnsiTheme="minorEastAsia" w:eastAsiaTheme="minorEastAsia" w:cstheme="minorEastAsia"/>
          <w:sz w:val="32"/>
          <w:szCs w:val="32"/>
          <w:lang w:eastAsia="zh-CN"/>
        </w:rPr>
        <w:t>值为</w:t>
      </w:r>
      <w:r>
        <w:rPr>
          <w:rFonts w:hint="eastAsia" w:asciiTheme="minorEastAsia" w:hAnsiTheme="minorEastAsia" w:eastAsiaTheme="minorEastAsia" w:cstheme="minorEastAsia"/>
          <w:sz w:val="32"/>
          <w:szCs w:val="32"/>
        </w:rPr>
        <w:t>4.0%</w:t>
      </w:r>
      <w:r>
        <w:rPr>
          <w:rFonts w:hint="eastAsia" w:asciiTheme="minorEastAsia" w:hAnsiTheme="minorEastAsia" w:eastAsiaTheme="minorEastAsia" w:cstheme="minorEastAsia"/>
          <w:sz w:val="32"/>
          <w:szCs w:val="32"/>
          <w:lang w:eastAsia="zh-CN"/>
        </w:rPr>
        <w:t>，高于前期三个月的</w:t>
      </w:r>
      <w:r>
        <w:rPr>
          <w:rFonts w:hint="eastAsia" w:asciiTheme="minorEastAsia" w:hAnsiTheme="minorEastAsia" w:eastAsiaTheme="minorEastAsia" w:cstheme="minorEastAsia"/>
          <w:sz w:val="32"/>
          <w:szCs w:val="32"/>
        </w:rPr>
        <w:t>低点0.4%</w:t>
      </w:r>
      <w:r>
        <w:rPr>
          <w:rFonts w:hint="eastAsia" w:asciiTheme="minorEastAsia" w:hAnsiTheme="minorEastAsia" w:eastAsiaTheme="minorEastAsia" w:cstheme="minorEastAsia"/>
          <w:sz w:val="32"/>
          <w:szCs w:val="32"/>
          <w:lang w:eastAsia="zh-CN"/>
        </w:rPr>
        <w:t>，已经接近萨姆规则的</w:t>
      </w:r>
      <w:r>
        <w:rPr>
          <w:rFonts w:hint="eastAsia" w:asciiTheme="minorEastAsia" w:hAnsiTheme="minorEastAsia" w:eastAsiaTheme="minorEastAsia" w:cstheme="minorEastAsia"/>
          <w:sz w:val="32"/>
          <w:szCs w:val="32"/>
        </w:rPr>
        <w:t>触发</w:t>
      </w:r>
      <w:r>
        <w:rPr>
          <w:rFonts w:hint="eastAsia" w:asciiTheme="minorEastAsia" w:hAnsiTheme="minorEastAsia" w:eastAsiaTheme="minorEastAsia" w:cstheme="minorEastAsia"/>
          <w:sz w:val="32"/>
          <w:szCs w:val="32"/>
          <w:lang w:eastAsia="zh-CN"/>
        </w:rPr>
        <w:t>条件了，大家都在关注着该指标。</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除了萨姆规则之外，美联储官员们还特别重视“贝弗里奇曲线”（</w:t>
      </w:r>
      <w:r>
        <w:rPr>
          <w:rFonts w:hint="eastAsia" w:asciiTheme="minorEastAsia" w:hAnsiTheme="minorEastAsia" w:eastAsiaTheme="minorEastAsia" w:cstheme="minorEastAsia"/>
          <w:sz w:val="32"/>
          <w:szCs w:val="32"/>
        </w:rPr>
        <w:t>Beveridge Curve</w:t>
      </w:r>
      <w:r>
        <w:rPr>
          <w:rFonts w:hint="eastAsia" w:asciiTheme="minorEastAsia" w:hAnsiTheme="minorEastAsia" w:eastAsiaTheme="minorEastAsia" w:cstheme="minorEastAsia"/>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388" w:firstLineChars="200"/>
        <w:jc w:val="both"/>
        <w:textAlignment w:val="auto"/>
        <w:outlineLvl w:val="9"/>
        <w:rPr>
          <w:rFonts w:hint="eastAsia" w:asciiTheme="minorEastAsia" w:hAnsiTheme="minorEastAsia" w:eastAsiaTheme="minorEastAsia" w:cstheme="minorEastAsia"/>
          <w:sz w:val="32"/>
          <w:szCs w:val="32"/>
          <w:lang w:eastAsia="zh-CN"/>
        </w:rPr>
      </w:pPr>
      <w:r>
        <w:drawing>
          <wp:anchor distT="0" distB="0" distL="114300" distR="114300" simplePos="0" relativeHeight="251673600" behindDoc="0" locked="0" layoutInCell="1" allowOverlap="1">
            <wp:simplePos x="0" y="0"/>
            <wp:positionH relativeFrom="column">
              <wp:posOffset>2885440</wp:posOffset>
            </wp:positionH>
            <wp:positionV relativeFrom="paragraph">
              <wp:posOffset>136525</wp:posOffset>
            </wp:positionV>
            <wp:extent cx="2510790" cy="1670685"/>
            <wp:effectExtent l="0" t="0" r="3810" b="5715"/>
            <wp:wrapSquare wrapText="bothSides"/>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21"/>
                    <a:stretch>
                      <a:fillRect/>
                    </a:stretch>
                  </pic:blipFill>
                  <pic:spPr>
                    <a:xfrm>
                      <a:off x="0" y="0"/>
                      <a:ext cx="2510790" cy="167068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b/>
          <w:bCs/>
          <w:sz w:val="32"/>
          <w:szCs w:val="32"/>
          <w:lang w:eastAsia="zh-CN"/>
        </w:rPr>
        <w:t>贝弗里奇曲线</w:t>
      </w:r>
      <w:r>
        <w:rPr>
          <w:rFonts w:hint="eastAsia" w:asciiTheme="minorEastAsia" w:hAnsiTheme="minorEastAsia" w:eastAsiaTheme="minorEastAsia" w:cstheme="minorEastAsia"/>
          <w:sz w:val="32"/>
          <w:szCs w:val="32"/>
          <w:lang w:eastAsia="zh-CN"/>
        </w:rPr>
        <w:t>”，描述的是失业率与职位空缺率之间的关系。以经济学家William Henry Beveridge的名字命名，他在</w:t>
      </w:r>
      <w:r>
        <w:rPr>
          <w:rFonts w:hint="eastAsia" w:asciiTheme="minorEastAsia" w:hAnsiTheme="minorEastAsia" w:eastAsiaTheme="minorEastAsia" w:cstheme="minorEastAsia"/>
          <w:sz w:val="32"/>
          <w:szCs w:val="32"/>
          <w:lang w:val="en-US" w:eastAsia="zh-CN"/>
        </w:rPr>
        <w:t>19</w:t>
      </w:r>
      <w:r>
        <w:rPr>
          <w:rFonts w:hint="eastAsia" w:asciiTheme="minorEastAsia" w:hAnsiTheme="minorEastAsia" w:eastAsiaTheme="minorEastAsia" w:cstheme="minorEastAsia"/>
          <w:sz w:val="32"/>
          <w:szCs w:val="32"/>
          <w:lang w:eastAsia="zh-CN"/>
        </w:rPr>
        <w:t>30年代首次研究了这个现象。</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b/>
          <w:bCs/>
          <w:sz w:val="32"/>
          <w:szCs w:val="32"/>
          <w:lang w:eastAsia="zh-CN"/>
        </w:rPr>
        <w:t>贝弗里奇曲线的横轴表示“失业率”，纵轴表示“职位空缺率”</w:t>
      </w:r>
      <w:r>
        <w:rPr>
          <w:rFonts w:hint="eastAsia" w:asciiTheme="minorEastAsia" w:hAnsiTheme="minorEastAsia" w:eastAsiaTheme="minorEastAsia" w:cstheme="minorEastAsia"/>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所谓“</w:t>
      </w:r>
      <w:r>
        <w:rPr>
          <w:rFonts w:hint="eastAsia" w:asciiTheme="minorEastAsia" w:hAnsiTheme="minorEastAsia" w:eastAsiaTheme="minorEastAsia" w:cstheme="minorEastAsia"/>
          <w:b/>
          <w:bCs/>
          <w:sz w:val="32"/>
          <w:szCs w:val="32"/>
          <w:lang w:eastAsia="zh-CN"/>
        </w:rPr>
        <w:t>失业率</w:t>
      </w:r>
      <w:r>
        <w:rPr>
          <w:rFonts w:hint="eastAsia" w:asciiTheme="minorEastAsia" w:hAnsiTheme="minorEastAsia" w:eastAsiaTheme="minorEastAsia" w:cstheme="minorEastAsia"/>
          <w:sz w:val="32"/>
          <w:szCs w:val="32"/>
          <w:lang w:eastAsia="zh-CN"/>
        </w:rPr>
        <w:t>”，指劳动力市场上正在寻找工作但没有找到工作的人口，占劳动力人口的比例，反映了劳动力市场中的就业需求与供给之间的关系。</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所谓“</w:t>
      </w:r>
      <w:r>
        <w:rPr>
          <w:rFonts w:hint="eastAsia" w:asciiTheme="minorEastAsia" w:hAnsiTheme="minorEastAsia" w:eastAsiaTheme="minorEastAsia" w:cstheme="minorEastAsia"/>
          <w:b/>
          <w:bCs/>
          <w:sz w:val="32"/>
          <w:szCs w:val="32"/>
          <w:lang w:eastAsia="zh-CN"/>
        </w:rPr>
        <w:t>职位空缺率</w:t>
      </w:r>
      <w:r>
        <w:rPr>
          <w:rFonts w:hint="eastAsia" w:asciiTheme="minorEastAsia" w:hAnsiTheme="minorEastAsia" w:eastAsiaTheme="minorEastAsia" w:cstheme="minorEastAsia"/>
          <w:sz w:val="32"/>
          <w:szCs w:val="32"/>
          <w:lang w:eastAsia="zh-CN"/>
        </w:rPr>
        <w:t>”，指已经对外招聘但尚未招到人的工作职位，占就业岗位总数的比例，反映了劳动力市场中的工作机会供给情况。</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于是，贝弗里奇曲线将失业率与职位空缺率联系起来，以</w:t>
      </w:r>
      <w:r>
        <w:rPr>
          <w:rFonts w:hint="eastAsia" w:asciiTheme="minorEastAsia" w:hAnsiTheme="minorEastAsia" w:eastAsiaTheme="minorEastAsia" w:cstheme="minorEastAsia"/>
          <w:b/>
          <w:bCs/>
          <w:sz w:val="32"/>
          <w:szCs w:val="32"/>
          <w:lang w:eastAsia="zh-CN"/>
        </w:rPr>
        <w:t>展示劳动力市场的供求条件</w:t>
      </w:r>
      <w:r>
        <w:rPr>
          <w:rFonts w:hint="eastAsia" w:asciiTheme="minorEastAsia" w:hAnsiTheme="minorEastAsia" w:eastAsiaTheme="minorEastAsia" w:cstheme="minorEastAsia"/>
          <w:sz w:val="32"/>
          <w:szCs w:val="32"/>
          <w:lang w:eastAsia="zh-CN"/>
        </w:rPr>
        <w:t>。通常情况下，曲线呈现出一个向右下方倾斜的关系图形，意味着当职位空缺率较高时，失业率较低，反之亦然。曲线的中心部分，表示失业率和职位空缺率之间的某种平衡状态，即劳动力市场供求相对匹配。</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根据历史经验</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当整个经济体里的职缺</w:t>
      </w:r>
      <w:r>
        <w:rPr>
          <w:rFonts w:hint="eastAsia" w:asciiTheme="minorEastAsia" w:hAnsiTheme="minorEastAsia" w:eastAsiaTheme="minorEastAsia" w:cstheme="minorEastAsia"/>
          <w:sz w:val="32"/>
          <w:szCs w:val="32"/>
          <w:lang w:eastAsia="zh-CN"/>
        </w:rPr>
        <w:t>非常</w:t>
      </w:r>
      <w:r>
        <w:rPr>
          <w:rFonts w:hint="eastAsia" w:asciiTheme="minorEastAsia" w:hAnsiTheme="minorEastAsia" w:eastAsiaTheme="minorEastAsia" w:cstheme="minorEastAsia"/>
          <w:sz w:val="32"/>
          <w:szCs w:val="32"/>
        </w:rPr>
        <w:t>多</w:t>
      </w:r>
      <w:r>
        <w:rPr>
          <w:rFonts w:hint="eastAsia" w:asciiTheme="minorEastAsia" w:hAnsiTheme="minorEastAsia" w:eastAsiaTheme="minorEastAsia" w:cstheme="minorEastAsia"/>
          <w:sz w:val="32"/>
          <w:szCs w:val="32"/>
          <w:lang w:eastAsia="zh-CN"/>
        </w:rPr>
        <w:t>，即职缺率非常高</w:t>
      </w:r>
      <w:r>
        <w:rPr>
          <w:rFonts w:hint="eastAsia" w:asciiTheme="minorEastAsia" w:hAnsiTheme="minorEastAsia" w:eastAsiaTheme="minorEastAsia" w:cstheme="minorEastAsia"/>
          <w:sz w:val="32"/>
          <w:szCs w:val="32"/>
        </w:rPr>
        <w:t>的时候</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想要找工作的人</w:t>
      </w:r>
      <w:r>
        <w:rPr>
          <w:rFonts w:hint="eastAsia" w:asciiTheme="minorEastAsia" w:hAnsiTheme="minorEastAsia" w:eastAsiaTheme="minorEastAsia" w:cstheme="minorEastAsia"/>
          <w:sz w:val="32"/>
          <w:szCs w:val="32"/>
          <w:lang w:eastAsia="zh-CN"/>
        </w:rPr>
        <w:t>大概率</w:t>
      </w:r>
      <w:r>
        <w:rPr>
          <w:rFonts w:hint="eastAsia" w:asciiTheme="minorEastAsia" w:hAnsiTheme="minorEastAsia" w:eastAsiaTheme="minorEastAsia" w:cstheme="minorEastAsia"/>
          <w:sz w:val="32"/>
          <w:szCs w:val="32"/>
        </w:rPr>
        <w:t>都</w:t>
      </w:r>
      <w:r>
        <w:rPr>
          <w:rFonts w:hint="eastAsia" w:asciiTheme="minorEastAsia" w:hAnsiTheme="minorEastAsia" w:eastAsiaTheme="minorEastAsia" w:cstheme="minorEastAsia"/>
          <w:sz w:val="32"/>
          <w:szCs w:val="32"/>
          <w:lang w:eastAsia="zh-CN"/>
        </w:rPr>
        <w:t>能</w:t>
      </w:r>
      <w:r>
        <w:rPr>
          <w:rFonts w:hint="eastAsia" w:asciiTheme="minorEastAsia" w:hAnsiTheme="minorEastAsia" w:eastAsiaTheme="minorEastAsia" w:cstheme="minorEastAsia"/>
          <w:sz w:val="32"/>
          <w:szCs w:val="32"/>
        </w:rPr>
        <w:t>找到</w:t>
      </w:r>
      <w:r>
        <w:rPr>
          <w:rFonts w:hint="eastAsia" w:asciiTheme="minorEastAsia" w:hAnsiTheme="minorEastAsia" w:eastAsiaTheme="minorEastAsia" w:cstheme="minorEastAsia"/>
          <w:sz w:val="32"/>
          <w:szCs w:val="32"/>
          <w:lang w:eastAsia="zh-CN"/>
        </w:rPr>
        <w:t>工作，</w:t>
      </w:r>
      <w:r>
        <w:rPr>
          <w:rFonts w:hint="eastAsia" w:asciiTheme="minorEastAsia" w:hAnsiTheme="minorEastAsia" w:eastAsiaTheme="minorEastAsia" w:cstheme="minorEastAsia"/>
          <w:sz w:val="32"/>
          <w:szCs w:val="32"/>
        </w:rPr>
        <w:t>所以职缺</w:t>
      </w:r>
      <w:r>
        <w:rPr>
          <w:rFonts w:hint="eastAsia" w:asciiTheme="minorEastAsia" w:hAnsiTheme="minorEastAsia" w:eastAsiaTheme="minorEastAsia" w:cstheme="minorEastAsia"/>
          <w:sz w:val="32"/>
          <w:szCs w:val="32"/>
          <w:lang w:eastAsia="zh-CN"/>
        </w:rPr>
        <w:t>率</w:t>
      </w:r>
      <w:r>
        <w:rPr>
          <w:rFonts w:hint="eastAsia" w:asciiTheme="minorEastAsia" w:hAnsiTheme="minorEastAsia" w:eastAsiaTheme="minorEastAsia" w:cstheme="minorEastAsia"/>
          <w:sz w:val="32"/>
          <w:szCs w:val="32"/>
        </w:rPr>
        <w:t>的增</w:t>
      </w:r>
      <w:r>
        <w:rPr>
          <w:rFonts w:hint="eastAsia" w:asciiTheme="minorEastAsia" w:hAnsiTheme="minorEastAsia" w:eastAsiaTheme="minorEastAsia" w:cstheme="minorEastAsia"/>
          <w:sz w:val="32"/>
          <w:szCs w:val="32"/>
          <w:lang w:eastAsia="zh-CN"/>
        </w:rPr>
        <w:t>增减</w:t>
      </w:r>
      <w:r>
        <w:rPr>
          <w:rFonts w:hint="eastAsia" w:asciiTheme="minorEastAsia" w:hAnsiTheme="minorEastAsia" w:eastAsiaTheme="minorEastAsia" w:cstheme="minorEastAsia"/>
          <w:sz w:val="32"/>
          <w:szCs w:val="32"/>
        </w:rPr>
        <w:t>减</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对失业率的影响没有那么</w:t>
      </w:r>
      <w:r>
        <w:rPr>
          <w:rFonts w:hint="eastAsia" w:asciiTheme="minorEastAsia" w:hAnsiTheme="minorEastAsia" w:eastAsiaTheme="minorEastAsia" w:cstheme="minorEastAsia"/>
          <w:sz w:val="32"/>
          <w:szCs w:val="32"/>
          <w:lang w:eastAsia="zh-CN"/>
        </w:rPr>
        <w:t>明显；即，</w:t>
      </w:r>
      <w:r>
        <w:rPr>
          <w:rFonts w:hint="eastAsia" w:asciiTheme="minorEastAsia" w:hAnsiTheme="minorEastAsia" w:eastAsiaTheme="minorEastAsia" w:cstheme="minorEastAsia"/>
          <w:sz w:val="32"/>
          <w:szCs w:val="32"/>
        </w:rPr>
        <w:t>职缺</w:t>
      </w:r>
      <w:r>
        <w:rPr>
          <w:rFonts w:hint="eastAsia" w:asciiTheme="minorEastAsia" w:hAnsiTheme="minorEastAsia" w:eastAsiaTheme="minorEastAsia" w:cstheme="minorEastAsia"/>
          <w:sz w:val="32"/>
          <w:szCs w:val="32"/>
          <w:lang w:eastAsia="zh-CN"/>
        </w:rPr>
        <w:t>率显著变化时，</w:t>
      </w:r>
      <w:r>
        <w:rPr>
          <w:rFonts w:hint="eastAsia" w:asciiTheme="minorEastAsia" w:hAnsiTheme="minorEastAsia" w:eastAsiaTheme="minorEastAsia" w:cstheme="minorEastAsia"/>
          <w:sz w:val="32"/>
          <w:szCs w:val="32"/>
        </w:rPr>
        <w:t>失业率</w:t>
      </w:r>
      <w:r>
        <w:rPr>
          <w:rFonts w:hint="eastAsia" w:asciiTheme="minorEastAsia" w:hAnsiTheme="minorEastAsia" w:eastAsiaTheme="minorEastAsia" w:cstheme="minorEastAsia"/>
          <w:sz w:val="32"/>
          <w:szCs w:val="32"/>
          <w:lang w:eastAsia="zh-CN"/>
        </w:rPr>
        <w:t>并不随之明显变化，</w:t>
      </w:r>
      <w:r>
        <w:rPr>
          <w:rFonts w:hint="eastAsia" w:asciiTheme="minorEastAsia" w:hAnsiTheme="minorEastAsia" w:eastAsiaTheme="minorEastAsia" w:cstheme="minorEastAsia"/>
          <w:sz w:val="32"/>
          <w:szCs w:val="32"/>
        </w:rPr>
        <w:t>这</w:t>
      </w:r>
      <w:r>
        <w:rPr>
          <w:rFonts w:hint="eastAsia" w:asciiTheme="minorEastAsia" w:hAnsiTheme="minorEastAsia" w:eastAsiaTheme="minorEastAsia" w:cstheme="minorEastAsia"/>
          <w:sz w:val="32"/>
          <w:szCs w:val="32"/>
          <w:lang w:eastAsia="zh-CN"/>
        </w:rPr>
        <w:t>部分</w:t>
      </w:r>
      <w:r>
        <w:rPr>
          <w:rFonts w:hint="eastAsia" w:asciiTheme="minorEastAsia" w:hAnsiTheme="minorEastAsia" w:eastAsiaTheme="minorEastAsia" w:cstheme="minorEastAsia"/>
          <w:sz w:val="32"/>
          <w:szCs w:val="32"/>
        </w:rPr>
        <w:t>被称作是</w:t>
      </w:r>
      <w:r>
        <w:rPr>
          <w:rFonts w:hint="eastAsia" w:asciiTheme="minorEastAsia" w:hAnsiTheme="minorEastAsia" w:eastAsiaTheme="minorEastAsia" w:cstheme="minorEastAsia"/>
          <w:sz w:val="32"/>
          <w:szCs w:val="32"/>
          <w:lang w:eastAsia="zh-CN"/>
        </w:rPr>
        <w:t>贝弗里奇曲线“</w:t>
      </w:r>
      <w:r>
        <w:rPr>
          <w:rFonts w:hint="eastAsia" w:asciiTheme="minorEastAsia" w:hAnsiTheme="minorEastAsia" w:eastAsiaTheme="minorEastAsia" w:cstheme="minorEastAsia"/>
          <w:sz w:val="32"/>
          <w:szCs w:val="32"/>
        </w:rPr>
        <w:t>比较陡的部分</w:t>
      </w:r>
      <w:r>
        <w:rPr>
          <w:rFonts w:hint="eastAsia" w:asciiTheme="minorEastAsia" w:hAnsiTheme="minorEastAsia" w:eastAsiaTheme="minorEastAsia" w:cstheme="minorEastAsia"/>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当职缺数越来越少</w:t>
      </w:r>
      <w:r>
        <w:rPr>
          <w:rFonts w:hint="eastAsia" w:asciiTheme="minorEastAsia" w:hAnsiTheme="minorEastAsia" w:eastAsiaTheme="minorEastAsia" w:cstheme="minorEastAsia"/>
          <w:sz w:val="32"/>
          <w:szCs w:val="32"/>
          <w:lang w:val="en-US" w:eastAsia="zh-CN"/>
        </w:rPr>
        <w:t xml:space="preserve"> 即职缺率越来越低</w:t>
      </w:r>
      <w:r>
        <w:rPr>
          <w:rFonts w:hint="eastAsia" w:asciiTheme="minorEastAsia" w:hAnsiTheme="minorEastAsia" w:eastAsiaTheme="minorEastAsia" w:cstheme="minorEastAsia"/>
          <w:sz w:val="32"/>
          <w:szCs w:val="32"/>
          <w:lang w:eastAsia="zh-CN"/>
        </w:rPr>
        <w:t>，且</w:t>
      </w:r>
      <w:r>
        <w:rPr>
          <w:rFonts w:hint="eastAsia" w:asciiTheme="minorEastAsia" w:hAnsiTheme="minorEastAsia" w:eastAsiaTheme="minorEastAsia" w:cstheme="minorEastAsia"/>
          <w:sz w:val="32"/>
          <w:szCs w:val="32"/>
        </w:rPr>
        <w:t>过了</w:t>
      </w:r>
      <w:r>
        <w:rPr>
          <w:rFonts w:hint="eastAsia" w:asciiTheme="minorEastAsia" w:hAnsiTheme="minorEastAsia" w:eastAsiaTheme="minorEastAsia" w:cstheme="minorEastAsia"/>
          <w:sz w:val="32"/>
          <w:szCs w:val="32"/>
          <w:lang w:eastAsia="zh-CN"/>
        </w:rPr>
        <w:t>某</w:t>
      </w:r>
      <w:r>
        <w:rPr>
          <w:rFonts w:hint="eastAsia" w:asciiTheme="minorEastAsia" w:hAnsiTheme="minorEastAsia" w:eastAsiaTheme="minorEastAsia" w:cstheme="minorEastAsia"/>
          <w:sz w:val="32"/>
          <w:szCs w:val="32"/>
        </w:rPr>
        <w:t>个转折点</w:t>
      </w:r>
      <w:r>
        <w:rPr>
          <w:rFonts w:hint="eastAsia" w:asciiTheme="minorEastAsia" w:hAnsiTheme="minorEastAsia" w:eastAsiaTheme="minorEastAsia" w:cstheme="minorEastAsia"/>
          <w:sz w:val="32"/>
          <w:szCs w:val="32"/>
          <w:lang w:eastAsia="zh-CN"/>
        </w:rPr>
        <w:t>后，</w:t>
      </w:r>
      <w:r>
        <w:rPr>
          <w:rFonts w:hint="eastAsia" w:asciiTheme="minorEastAsia" w:hAnsiTheme="minorEastAsia" w:eastAsiaTheme="minorEastAsia" w:cstheme="minorEastAsia"/>
          <w:sz w:val="32"/>
          <w:szCs w:val="32"/>
        </w:rPr>
        <w:t>失业率开始</w:t>
      </w:r>
      <w:r>
        <w:rPr>
          <w:rFonts w:hint="eastAsia" w:asciiTheme="minorEastAsia" w:hAnsiTheme="minorEastAsia" w:eastAsiaTheme="minorEastAsia" w:cstheme="minorEastAsia"/>
          <w:sz w:val="32"/>
          <w:szCs w:val="32"/>
          <w:lang w:eastAsia="zh-CN"/>
        </w:rPr>
        <w:t>显著</w:t>
      </w:r>
      <w:r>
        <w:rPr>
          <w:rFonts w:hint="eastAsia" w:asciiTheme="minorEastAsia" w:hAnsiTheme="minorEastAsia" w:eastAsiaTheme="minorEastAsia" w:cstheme="minorEastAsia"/>
          <w:sz w:val="32"/>
          <w:szCs w:val="32"/>
        </w:rPr>
        <w:t>上升</w:t>
      </w:r>
      <w:r>
        <w:rPr>
          <w:rFonts w:hint="eastAsia" w:asciiTheme="minorEastAsia" w:hAnsiTheme="minorEastAsia" w:eastAsiaTheme="minorEastAsia" w:cstheme="minorEastAsia"/>
          <w:sz w:val="32"/>
          <w:szCs w:val="32"/>
          <w:lang w:eastAsia="zh-CN"/>
        </w:rPr>
        <w:t>，说不定这时不少企业都开始</w:t>
      </w:r>
      <w:r>
        <w:rPr>
          <w:rFonts w:hint="eastAsia" w:asciiTheme="minorEastAsia" w:hAnsiTheme="minorEastAsia" w:eastAsiaTheme="minorEastAsia" w:cstheme="minorEastAsia"/>
          <w:sz w:val="32"/>
          <w:szCs w:val="32"/>
        </w:rPr>
        <w:t>裁员</w:t>
      </w:r>
      <w:r>
        <w:rPr>
          <w:rFonts w:hint="eastAsia" w:asciiTheme="minorEastAsia" w:hAnsiTheme="minorEastAsia" w:eastAsiaTheme="minorEastAsia" w:cstheme="minorEastAsia"/>
          <w:sz w:val="32"/>
          <w:szCs w:val="32"/>
          <w:lang w:eastAsia="zh-CN"/>
        </w:rPr>
        <w:t>了，</w:t>
      </w:r>
      <w:r>
        <w:rPr>
          <w:rFonts w:hint="eastAsia" w:asciiTheme="minorEastAsia" w:hAnsiTheme="minorEastAsia" w:eastAsiaTheme="minorEastAsia" w:cstheme="minorEastAsia"/>
          <w:sz w:val="32"/>
          <w:szCs w:val="32"/>
        </w:rPr>
        <w:t>这</w:t>
      </w:r>
      <w:r>
        <w:rPr>
          <w:rFonts w:hint="eastAsia" w:asciiTheme="minorEastAsia" w:hAnsiTheme="minorEastAsia" w:eastAsiaTheme="minorEastAsia" w:cstheme="minorEastAsia"/>
          <w:sz w:val="32"/>
          <w:szCs w:val="32"/>
          <w:lang w:eastAsia="zh-CN"/>
        </w:rPr>
        <w:t>部分</w:t>
      </w:r>
      <w:r>
        <w:rPr>
          <w:rFonts w:hint="eastAsia" w:asciiTheme="minorEastAsia" w:hAnsiTheme="minorEastAsia" w:eastAsiaTheme="minorEastAsia" w:cstheme="minorEastAsia"/>
          <w:sz w:val="32"/>
          <w:szCs w:val="32"/>
        </w:rPr>
        <w:t>就被称作是</w:t>
      </w:r>
      <w:r>
        <w:rPr>
          <w:rFonts w:hint="eastAsia" w:asciiTheme="minorEastAsia" w:hAnsiTheme="minorEastAsia" w:eastAsiaTheme="minorEastAsia" w:cstheme="minorEastAsia"/>
          <w:sz w:val="32"/>
          <w:szCs w:val="32"/>
          <w:lang w:eastAsia="zh-CN"/>
        </w:rPr>
        <w:t>贝弗里奇曲线“</w:t>
      </w:r>
      <w:r>
        <w:rPr>
          <w:rFonts w:hint="eastAsia" w:asciiTheme="minorEastAsia" w:hAnsiTheme="minorEastAsia" w:eastAsiaTheme="minorEastAsia" w:cstheme="minorEastAsia"/>
          <w:sz w:val="32"/>
          <w:szCs w:val="32"/>
        </w:rPr>
        <w:t>比较平缓的部分</w:t>
      </w:r>
      <w:r>
        <w:rPr>
          <w:rFonts w:hint="eastAsia" w:asciiTheme="minorEastAsia" w:hAnsiTheme="minorEastAsia" w:eastAsiaTheme="minorEastAsia" w:cstheme="minorEastAsia"/>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今年1月</w:t>
      </w:r>
      <w:r>
        <w:rPr>
          <w:rFonts w:hint="eastAsia" w:asciiTheme="minorEastAsia" w:hAnsiTheme="minorEastAsia" w:eastAsiaTheme="minorEastAsia" w:cstheme="minorEastAsia"/>
          <w:sz w:val="32"/>
          <w:szCs w:val="32"/>
          <w:lang w:eastAsia="zh-CN"/>
        </w:rPr>
        <w:t>中旬，</w:t>
      </w:r>
      <w:r>
        <w:rPr>
          <w:rFonts w:hint="eastAsia" w:asciiTheme="minorEastAsia" w:hAnsiTheme="minorEastAsia" w:eastAsiaTheme="minorEastAsia" w:cstheme="minorEastAsia"/>
          <w:sz w:val="32"/>
          <w:szCs w:val="32"/>
        </w:rPr>
        <w:t>在</w:t>
      </w:r>
      <w:r>
        <w:rPr>
          <w:rFonts w:hint="eastAsia" w:asciiTheme="minorEastAsia" w:hAnsiTheme="minorEastAsia" w:eastAsiaTheme="minorEastAsia" w:cstheme="minorEastAsia"/>
          <w:sz w:val="32"/>
          <w:szCs w:val="32"/>
          <w:lang w:eastAsia="zh-CN"/>
        </w:rPr>
        <w:t>“布鲁金斯学会”</w:t>
      </w:r>
      <w:r>
        <w:rPr>
          <w:rFonts w:hint="eastAsia" w:asciiTheme="minorEastAsia" w:hAnsiTheme="minorEastAsia" w:eastAsiaTheme="minorEastAsia" w:cstheme="minorEastAsia"/>
          <w:sz w:val="32"/>
          <w:szCs w:val="32"/>
        </w:rPr>
        <w:t>的演讲上</w:t>
      </w:r>
      <w:r>
        <w:rPr>
          <w:rFonts w:hint="eastAsia" w:asciiTheme="minorEastAsia" w:hAnsiTheme="minorEastAsia" w:eastAsiaTheme="minorEastAsia" w:cstheme="minorEastAsia"/>
          <w:sz w:val="32"/>
          <w:szCs w:val="32"/>
          <w:lang w:eastAsia="zh-CN"/>
        </w:rPr>
        <w:t>，美联储</w:t>
      </w:r>
      <w:r>
        <w:rPr>
          <w:rFonts w:hint="eastAsia" w:asciiTheme="minorEastAsia" w:hAnsiTheme="minorEastAsia" w:eastAsiaTheme="minorEastAsia" w:cstheme="minorEastAsia"/>
          <w:sz w:val="32"/>
          <w:szCs w:val="32"/>
        </w:rPr>
        <w:t>的常任理事Christopher Waller</w:t>
      </w:r>
      <w:r>
        <w:rPr>
          <w:rFonts w:hint="eastAsia" w:asciiTheme="minorEastAsia" w:hAnsiTheme="minorEastAsia" w:eastAsiaTheme="minorEastAsia" w:cstheme="minorEastAsia"/>
          <w:sz w:val="32"/>
          <w:szCs w:val="32"/>
          <w:lang w:eastAsia="zh-CN"/>
        </w:rPr>
        <w:t>解释称，</w:t>
      </w:r>
      <w:r>
        <w:rPr>
          <w:rFonts w:hint="eastAsia" w:asciiTheme="minorEastAsia" w:hAnsiTheme="minorEastAsia" w:eastAsiaTheme="minorEastAsia" w:cstheme="minorEastAsia"/>
          <w:sz w:val="32"/>
          <w:szCs w:val="32"/>
        </w:rPr>
        <w:t>根据</w:t>
      </w:r>
      <w:r>
        <w:rPr>
          <w:rFonts w:hint="eastAsia" w:asciiTheme="minorEastAsia" w:hAnsiTheme="minorEastAsia" w:eastAsiaTheme="minorEastAsia" w:cstheme="minorEastAsia"/>
          <w:sz w:val="32"/>
          <w:szCs w:val="32"/>
          <w:lang w:eastAsia="zh-CN"/>
        </w:rPr>
        <w:t>美联储对贝弗里奇曲线的</w:t>
      </w:r>
      <w:r>
        <w:rPr>
          <w:rFonts w:hint="eastAsia" w:asciiTheme="minorEastAsia" w:hAnsiTheme="minorEastAsia" w:eastAsiaTheme="minorEastAsia" w:cstheme="minorEastAsia"/>
          <w:sz w:val="32"/>
          <w:szCs w:val="32"/>
        </w:rPr>
        <w:t>研究</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如果</w:t>
      </w:r>
      <w:r>
        <w:rPr>
          <w:rFonts w:hint="eastAsia" w:asciiTheme="minorEastAsia" w:hAnsiTheme="minorEastAsia" w:eastAsiaTheme="minorEastAsia" w:cstheme="minorEastAsia"/>
          <w:sz w:val="32"/>
          <w:szCs w:val="32"/>
          <w:lang w:eastAsia="zh-CN"/>
        </w:rPr>
        <w:t>美国就业市场的</w:t>
      </w:r>
      <w:r>
        <w:rPr>
          <w:rFonts w:hint="eastAsia" w:asciiTheme="minorEastAsia" w:hAnsiTheme="minorEastAsia" w:eastAsiaTheme="minorEastAsia" w:cstheme="minorEastAsia"/>
          <w:sz w:val="32"/>
          <w:szCs w:val="32"/>
        </w:rPr>
        <w:t>职缺率持续滑落</w:t>
      </w:r>
      <w:r>
        <w:rPr>
          <w:rFonts w:hint="eastAsia" w:asciiTheme="minorEastAsia" w:hAnsiTheme="minorEastAsia" w:eastAsiaTheme="minorEastAsia" w:cstheme="minorEastAsia"/>
          <w:sz w:val="32"/>
          <w:szCs w:val="32"/>
          <w:lang w:eastAsia="zh-CN"/>
        </w:rPr>
        <w:t>，跌至</w:t>
      </w:r>
      <w:r>
        <w:rPr>
          <w:rFonts w:hint="eastAsia" w:asciiTheme="minorEastAsia" w:hAnsiTheme="minorEastAsia" w:eastAsiaTheme="minorEastAsia" w:cstheme="minorEastAsia"/>
          <w:sz w:val="32"/>
          <w:szCs w:val="32"/>
        </w:rPr>
        <w:t>4.5%以下</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失业率就</w:t>
      </w:r>
      <w:r>
        <w:rPr>
          <w:rFonts w:hint="eastAsia" w:asciiTheme="minorEastAsia" w:hAnsiTheme="minorEastAsia" w:eastAsiaTheme="minorEastAsia" w:cstheme="minorEastAsia"/>
          <w:sz w:val="32"/>
          <w:szCs w:val="32"/>
          <w:lang w:eastAsia="zh-CN"/>
        </w:rPr>
        <w:t>可能开始</w:t>
      </w:r>
      <w:r>
        <w:rPr>
          <w:rFonts w:hint="eastAsia" w:asciiTheme="minorEastAsia" w:hAnsiTheme="minorEastAsia" w:eastAsiaTheme="minorEastAsia" w:cstheme="minorEastAsia"/>
          <w:sz w:val="32"/>
          <w:szCs w:val="32"/>
        </w:rPr>
        <w:t>迅速攀升</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所以</w:t>
      </w:r>
      <w:r>
        <w:rPr>
          <w:rFonts w:hint="eastAsia" w:asciiTheme="minorEastAsia" w:hAnsiTheme="minorEastAsia" w:eastAsiaTheme="minorEastAsia" w:cstheme="minorEastAsia"/>
          <w:sz w:val="32"/>
          <w:szCs w:val="32"/>
          <w:lang w:eastAsia="zh-CN"/>
        </w:rPr>
        <w:t>到了该拐点位置后，货币政策的制定需要非常谨慎，以</w:t>
      </w:r>
      <w:r>
        <w:rPr>
          <w:rFonts w:hint="eastAsia" w:asciiTheme="minorEastAsia" w:hAnsiTheme="minorEastAsia" w:eastAsiaTheme="minorEastAsia" w:cstheme="minorEastAsia"/>
          <w:sz w:val="32"/>
          <w:szCs w:val="32"/>
        </w:rPr>
        <w:t>避免过度紧缩</w:t>
      </w:r>
      <w:r>
        <w:rPr>
          <w:rFonts w:hint="eastAsia" w:asciiTheme="minorEastAsia" w:hAnsiTheme="minorEastAsia" w:eastAsiaTheme="minorEastAsia" w:cstheme="minorEastAsia"/>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val="en-US" w:eastAsia="zh-CN"/>
        </w:rPr>
        <w:t>6月下旬，美联储</w:t>
      </w:r>
      <w:r>
        <w:rPr>
          <w:rFonts w:hint="eastAsia" w:asciiTheme="minorEastAsia" w:hAnsiTheme="minorEastAsia" w:eastAsiaTheme="minorEastAsia" w:cstheme="minorEastAsia"/>
          <w:sz w:val="32"/>
          <w:szCs w:val="32"/>
        </w:rPr>
        <w:t>旧金山</w:t>
      </w:r>
      <w:r>
        <w:rPr>
          <w:rFonts w:hint="eastAsia" w:asciiTheme="minorEastAsia" w:hAnsiTheme="minorEastAsia" w:eastAsiaTheme="minorEastAsia" w:cstheme="minorEastAsia"/>
          <w:sz w:val="32"/>
          <w:szCs w:val="32"/>
          <w:lang w:eastAsia="zh-CN"/>
        </w:rPr>
        <w:t>分行行长</w:t>
      </w:r>
      <w:r>
        <w:rPr>
          <w:rFonts w:hint="eastAsia" w:asciiTheme="minorEastAsia" w:hAnsiTheme="minorEastAsia" w:eastAsiaTheme="minorEastAsia" w:cstheme="minorEastAsia"/>
          <w:sz w:val="32"/>
          <w:szCs w:val="32"/>
        </w:rPr>
        <w:t>Mary Daly在一场演讲</w:t>
      </w:r>
      <w:r>
        <w:rPr>
          <w:rFonts w:hint="eastAsia" w:asciiTheme="minorEastAsia" w:hAnsiTheme="minorEastAsia" w:eastAsiaTheme="minorEastAsia" w:cstheme="minorEastAsia"/>
          <w:sz w:val="32"/>
          <w:szCs w:val="32"/>
          <w:lang w:eastAsia="zh-CN"/>
        </w:rPr>
        <w:t>中，</w:t>
      </w:r>
      <w:r>
        <w:rPr>
          <w:rFonts w:hint="eastAsia" w:asciiTheme="minorEastAsia" w:hAnsiTheme="minorEastAsia" w:eastAsiaTheme="minorEastAsia" w:cstheme="minorEastAsia"/>
          <w:sz w:val="32"/>
          <w:szCs w:val="32"/>
        </w:rPr>
        <w:t>花了</w:t>
      </w:r>
      <w:r>
        <w:rPr>
          <w:rFonts w:hint="eastAsia" w:asciiTheme="minorEastAsia" w:hAnsiTheme="minorEastAsia" w:eastAsiaTheme="minorEastAsia" w:cstheme="minorEastAsia"/>
          <w:sz w:val="32"/>
          <w:szCs w:val="32"/>
          <w:lang w:eastAsia="zh-CN"/>
        </w:rPr>
        <w:t>相当长</w:t>
      </w:r>
      <w:r>
        <w:rPr>
          <w:rFonts w:hint="eastAsia" w:asciiTheme="minorEastAsia" w:hAnsiTheme="minorEastAsia" w:eastAsiaTheme="minorEastAsia" w:cstheme="minorEastAsia"/>
          <w:sz w:val="32"/>
          <w:szCs w:val="32"/>
        </w:rPr>
        <w:t>的篇幅</w:t>
      </w:r>
      <w:r>
        <w:rPr>
          <w:rFonts w:hint="eastAsia" w:asciiTheme="minorEastAsia" w:hAnsiTheme="minorEastAsia" w:eastAsiaTheme="minorEastAsia" w:cstheme="minorEastAsia"/>
          <w:sz w:val="32"/>
          <w:szCs w:val="32"/>
          <w:lang w:eastAsia="zh-CN"/>
        </w:rPr>
        <w:t>，向听众仔细</w:t>
      </w:r>
      <w:r>
        <w:rPr>
          <w:rFonts w:hint="eastAsia" w:asciiTheme="minorEastAsia" w:hAnsiTheme="minorEastAsia" w:eastAsiaTheme="minorEastAsia" w:cstheme="minorEastAsia"/>
          <w:sz w:val="32"/>
          <w:szCs w:val="32"/>
        </w:rPr>
        <w:t>解释</w:t>
      </w:r>
      <w:r>
        <w:rPr>
          <w:rFonts w:hint="eastAsia" w:asciiTheme="minorEastAsia" w:hAnsiTheme="minorEastAsia" w:eastAsiaTheme="minorEastAsia" w:cstheme="minorEastAsia"/>
          <w:sz w:val="32"/>
          <w:szCs w:val="32"/>
          <w:lang w:eastAsia="zh-CN"/>
        </w:rPr>
        <w:t>了贝弗里奇曲线。她说，从曲线上看，</w:t>
      </w:r>
      <w:r>
        <w:rPr>
          <w:rFonts w:hint="eastAsia" w:asciiTheme="minorEastAsia" w:hAnsiTheme="minorEastAsia" w:eastAsiaTheme="minorEastAsia" w:cstheme="minorEastAsia"/>
          <w:sz w:val="32"/>
          <w:szCs w:val="32"/>
        </w:rPr>
        <w:t>美国的</w:t>
      </w:r>
      <w:r>
        <w:rPr>
          <w:rFonts w:hint="eastAsia" w:asciiTheme="minorEastAsia" w:hAnsiTheme="minorEastAsia" w:eastAsiaTheme="minorEastAsia" w:cstheme="minorEastAsia"/>
          <w:sz w:val="32"/>
          <w:szCs w:val="32"/>
          <w:lang w:eastAsia="zh-CN"/>
        </w:rPr>
        <w:t>劳动力市场已经接近拐点，马上将进入</w:t>
      </w:r>
      <w:r>
        <w:rPr>
          <w:rFonts w:hint="eastAsia" w:asciiTheme="minorEastAsia" w:hAnsiTheme="minorEastAsia" w:eastAsiaTheme="minorEastAsia" w:cstheme="minorEastAsia"/>
          <w:sz w:val="32"/>
          <w:szCs w:val="32"/>
        </w:rPr>
        <w:t>曲线的</w:t>
      </w:r>
      <w:r>
        <w:rPr>
          <w:rFonts w:hint="eastAsia" w:asciiTheme="minorEastAsia" w:hAnsiTheme="minorEastAsia" w:eastAsiaTheme="minorEastAsia" w:cstheme="minorEastAsia"/>
          <w:sz w:val="32"/>
          <w:szCs w:val="32"/>
          <w:lang w:eastAsia="zh-CN"/>
        </w:rPr>
        <w:t>的平缓</w:t>
      </w:r>
      <w:r>
        <w:rPr>
          <w:rFonts w:hint="eastAsia" w:asciiTheme="minorEastAsia" w:hAnsiTheme="minorEastAsia" w:eastAsiaTheme="minorEastAsia" w:cstheme="minorEastAsia"/>
          <w:sz w:val="32"/>
          <w:szCs w:val="32"/>
        </w:rPr>
        <w:t>部分</w:t>
      </w:r>
      <w:r>
        <w:rPr>
          <w:rFonts w:hint="eastAsia" w:asciiTheme="minorEastAsia" w:hAnsiTheme="minorEastAsia" w:eastAsiaTheme="minorEastAsia" w:cstheme="minorEastAsia"/>
          <w:sz w:val="32"/>
          <w:szCs w:val="32"/>
          <w:lang w:eastAsia="zh-CN"/>
        </w:rPr>
        <w:t>。由此，她总结道，通货膨胀已不是目前的唯一风险，高失业率可能会很快出现。</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7月2日</w:t>
      </w:r>
      <w:r>
        <w:rPr>
          <w:rFonts w:hint="eastAsia" w:asciiTheme="minorEastAsia" w:hAnsiTheme="minorEastAsia" w:eastAsiaTheme="minorEastAsia" w:cstheme="minorEastAsia"/>
          <w:sz w:val="32"/>
          <w:szCs w:val="32"/>
          <w:lang w:eastAsia="zh-CN"/>
        </w:rPr>
        <w:t>，美联储</w:t>
      </w:r>
      <w:r>
        <w:rPr>
          <w:rFonts w:hint="eastAsia" w:asciiTheme="minorEastAsia" w:hAnsiTheme="minorEastAsia" w:eastAsiaTheme="minorEastAsia" w:cstheme="minorEastAsia"/>
          <w:sz w:val="32"/>
          <w:szCs w:val="32"/>
        </w:rPr>
        <w:t>主席</w:t>
      </w:r>
      <w:r>
        <w:rPr>
          <w:rFonts w:hint="eastAsia" w:asciiTheme="minorEastAsia" w:hAnsiTheme="minorEastAsia" w:eastAsiaTheme="minorEastAsia" w:cstheme="minorEastAsia"/>
          <w:sz w:val="32"/>
          <w:szCs w:val="32"/>
          <w:lang w:eastAsia="zh-CN"/>
        </w:rPr>
        <w:t>鲍威尔，参加</w:t>
      </w:r>
      <w:r>
        <w:rPr>
          <w:rFonts w:hint="eastAsia" w:asciiTheme="minorEastAsia" w:hAnsiTheme="minorEastAsia" w:eastAsiaTheme="minorEastAsia" w:cstheme="minorEastAsia"/>
          <w:sz w:val="32"/>
          <w:szCs w:val="32"/>
        </w:rPr>
        <w:t>了欧洲央行在葡萄牙举办的</w:t>
      </w:r>
      <w:r>
        <w:rPr>
          <w:rFonts w:hint="eastAsia" w:asciiTheme="minorEastAsia" w:hAnsiTheme="minorEastAsia" w:eastAsiaTheme="minorEastAsia" w:cstheme="minorEastAsia"/>
          <w:sz w:val="32"/>
          <w:szCs w:val="32"/>
          <w:lang w:eastAsia="zh-CN"/>
        </w:rPr>
        <w:t>“央行论坛”。在讨论环节，</w:t>
      </w:r>
      <w:r>
        <w:rPr>
          <w:rFonts w:hint="eastAsia" w:asciiTheme="minorEastAsia" w:hAnsiTheme="minorEastAsia" w:eastAsiaTheme="minorEastAsia" w:cstheme="minorEastAsia"/>
          <w:sz w:val="32"/>
          <w:szCs w:val="32"/>
        </w:rPr>
        <w:t>主持人</w:t>
      </w:r>
      <w:r>
        <w:rPr>
          <w:rFonts w:hint="eastAsia" w:asciiTheme="minorEastAsia" w:hAnsiTheme="minorEastAsia" w:eastAsiaTheme="minorEastAsia" w:cstheme="minorEastAsia"/>
          <w:sz w:val="32"/>
          <w:szCs w:val="32"/>
          <w:lang w:eastAsia="zh-CN"/>
        </w:rPr>
        <w:t>询问</w:t>
      </w:r>
      <w:r>
        <w:rPr>
          <w:rFonts w:hint="eastAsia" w:asciiTheme="minorEastAsia" w:hAnsiTheme="minorEastAsia" w:eastAsiaTheme="minorEastAsia" w:cstheme="minorEastAsia"/>
          <w:sz w:val="32"/>
          <w:szCs w:val="32"/>
        </w:rPr>
        <w:t>他</w:t>
      </w:r>
      <w:r>
        <w:rPr>
          <w:rFonts w:hint="eastAsia" w:asciiTheme="minorEastAsia" w:hAnsiTheme="minorEastAsia" w:eastAsiaTheme="minorEastAsia" w:cstheme="minorEastAsia"/>
          <w:sz w:val="32"/>
          <w:szCs w:val="32"/>
          <w:lang w:eastAsia="zh-CN"/>
        </w:rPr>
        <w:t>：“对于目前的美国经济而言，</w:t>
      </w:r>
      <w:r>
        <w:rPr>
          <w:rFonts w:hint="eastAsia" w:asciiTheme="minorEastAsia" w:hAnsiTheme="minorEastAsia" w:eastAsiaTheme="minorEastAsia" w:cstheme="minorEastAsia"/>
          <w:sz w:val="32"/>
          <w:szCs w:val="32"/>
        </w:rPr>
        <w:t>到底是降息太早</w:t>
      </w:r>
      <w:r>
        <w:rPr>
          <w:rFonts w:hint="eastAsia" w:asciiTheme="minorEastAsia" w:hAnsiTheme="minorEastAsia" w:eastAsiaTheme="minorEastAsia" w:cstheme="minorEastAsia"/>
          <w:sz w:val="32"/>
          <w:szCs w:val="32"/>
          <w:lang w:eastAsia="zh-CN"/>
        </w:rPr>
        <w:t>风险比较大，</w:t>
      </w:r>
      <w:r>
        <w:rPr>
          <w:rFonts w:hint="eastAsia" w:asciiTheme="minorEastAsia" w:hAnsiTheme="minorEastAsia" w:eastAsiaTheme="minorEastAsia" w:cstheme="minorEastAsia"/>
          <w:sz w:val="32"/>
          <w:szCs w:val="32"/>
        </w:rPr>
        <w:t>还是降息太</w:t>
      </w:r>
      <w:r>
        <w:rPr>
          <w:rFonts w:hint="eastAsia" w:asciiTheme="minorEastAsia" w:hAnsiTheme="minorEastAsia" w:eastAsiaTheme="minorEastAsia" w:cstheme="minorEastAsia"/>
          <w:sz w:val="32"/>
          <w:szCs w:val="32"/>
          <w:lang w:eastAsia="zh-CN"/>
        </w:rPr>
        <w:t>迟</w:t>
      </w:r>
      <w:r>
        <w:rPr>
          <w:rFonts w:hint="eastAsia" w:asciiTheme="minorEastAsia" w:hAnsiTheme="minorEastAsia" w:eastAsiaTheme="minorEastAsia" w:cstheme="minorEastAsia"/>
          <w:sz w:val="32"/>
          <w:szCs w:val="32"/>
        </w:rPr>
        <w:t>的风险比较大</w:t>
      </w:r>
      <w:r>
        <w:rPr>
          <w:rFonts w:hint="eastAsia" w:asciiTheme="minorEastAsia" w:hAnsiTheme="minorEastAsia" w:eastAsiaTheme="minorEastAsia" w:cstheme="minorEastAsia"/>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鲍威尔回答说：“要</w:t>
      </w:r>
      <w:r>
        <w:rPr>
          <w:rFonts w:hint="eastAsia" w:asciiTheme="minorEastAsia" w:hAnsiTheme="minorEastAsia" w:eastAsiaTheme="minorEastAsia" w:cstheme="minorEastAsia"/>
          <w:sz w:val="32"/>
          <w:szCs w:val="32"/>
        </w:rPr>
        <w:t>解释这个状况</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其中一个好方法就是看</w:t>
      </w:r>
      <w:r>
        <w:rPr>
          <w:rFonts w:hint="eastAsia" w:asciiTheme="minorEastAsia" w:hAnsiTheme="minorEastAsia" w:eastAsiaTheme="minorEastAsia" w:cstheme="minorEastAsia"/>
          <w:sz w:val="32"/>
          <w:szCs w:val="32"/>
          <w:lang w:eastAsia="zh-CN"/>
        </w:rPr>
        <w:t>贝弗里奇曲线。最</w:t>
      </w:r>
      <w:r>
        <w:rPr>
          <w:rFonts w:hint="eastAsia" w:asciiTheme="minorEastAsia" w:hAnsiTheme="minorEastAsia" w:eastAsiaTheme="minorEastAsia" w:cstheme="minorEastAsia"/>
          <w:sz w:val="32"/>
          <w:szCs w:val="32"/>
        </w:rPr>
        <w:t>近</w:t>
      </w:r>
      <w:r>
        <w:rPr>
          <w:rFonts w:hint="eastAsia" w:asciiTheme="minorEastAsia" w:hAnsiTheme="minorEastAsia" w:eastAsiaTheme="minorEastAsia" w:cstheme="minorEastAsia"/>
          <w:sz w:val="32"/>
          <w:szCs w:val="32"/>
          <w:lang w:eastAsia="zh-CN"/>
        </w:rPr>
        <w:t>，大家</w:t>
      </w:r>
      <w:r>
        <w:rPr>
          <w:rFonts w:hint="eastAsia" w:asciiTheme="minorEastAsia" w:hAnsiTheme="minorEastAsia" w:eastAsiaTheme="minorEastAsia" w:cstheme="minorEastAsia"/>
          <w:sz w:val="32"/>
          <w:szCs w:val="32"/>
        </w:rPr>
        <w:t>都在关注</w:t>
      </w:r>
      <w:r>
        <w:rPr>
          <w:rFonts w:hint="eastAsia" w:asciiTheme="minorEastAsia" w:hAnsiTheme="minorEastAsia" w:eastAsiaTheme="minorEastAsia" w:cstheme="minorEastAsia"/>
          <w:sz w:val="32"/>
          <w:szCs w:val="32"/>
          <w:lang w:eastAsia="zh-CN"/>
        </w:rPr>
        <w:t>它，</w:t>
      </w:r>
      <w:r>
        <w:rPr>
          <w:rFonts w:hint="eastAsia" w:asciiTheme="minorEastAsia" w:hAnsiTheme="minorEastAsia" w:eastAsiaTheme="minorEastAsia" w:cstheme="minorEastAsia"/>
          <w:sz w:val="32"/>
          <w:szCs w:val="32"/>
        </w:rPr>
        <w:t>我们正在沿着</w:t>
      </w:r>
      <w:r>
        <w:rPr>
          <w:rFonts w:hint="eastAsia" w:asciiTheme="minorEastAsia" w:hAnsiTheme="minorEastAsia" w:eastAsiaTheme="minorEastAsia" w:cstheme="minorEastAsia"/>
          <w:sz w:val="32"/>
          <w:szCs w:val="32"/>
          <w:lang w:eastAsia="zh-CN"/>
        </w:rPr>
        <w:t>贝弗里奇曲线</w:t>
      </w:r>
      <w:r>
        <w:rPr>
          <w:rFonts w:hint="eastAsia" w:asciiTheme="minorEastAsia" w:hAnsiTheme="minorEastAsia" w:eastAsiaTheme="minorEastAsia" w:cstheme="minorEastAsia"/>
          <w:sz w:val="32"/>
          <w:szCs w:val="32"/>
        </w:rPr>
        <w:t>向下移</w:t>
      </w:r>
      <w:r>
        <w:rPr>
          <w:rFonts w:hint="eastAsia" w:asciiTheme="minorEastAsia" w:hAnsiTheme="minorEastAsia" w:eastAsiaTheme="minorEastAsia" w:cstheme="minorEastAsia"/>
          <w:sz w:val="32"/>
          <w:szCs w:val="32"/>
          <w:lang w:eastAsia="zh-CN"/>
        </w:rPr>
        <w:t>动，</w:t>
      </w:r>
      <w:r>
        <w:rPr>
          <w:rFonts w:hint="eastAsia" w:asciiTheme="minorEastAsia" w:hAnsiTheme="minorEastAsia" w:eastAsiaTheme="minorEastAsia" w:cstheme="minorEastAsia"/>
          <w:sz w:val="32"/>
          <w:szCs w:val="32"/>
        </w:rPr>
        <w:t>可能即将进入一个位置</w:t>
      </w:r>
      <w:r>
        <w:rPr>
          <w:rFonts w:hint="eastAsia" w:asciiTheme="minorEastAsia" w:hAnsiTheme="minorEastAsia" w:eastAsiaTheme="minorEastAsia" w:cstheme="minorEastAsia"/>
          <w:sz w:val="32"/>
          <w:szCs w:val="32"/>
          <w:lang w:eastAsia="zh-CN"/>
        </w:rPr>
        <w:t>，这时曲线将</w:t>
      </w:r>
      <w:r>
        <w:rPr>
          <w:rFonts w:hint="eastAsia" w:asciiTheme="minorEastAsia" w:hAnsiTheme="minorEastAsia" w:eastAsiaTheme="minorEastAsia" w:cstheme="minorEastAsia"/>
          <w:sz w:val="32"/>
          <w:szCs w:val="32"/>
        </w:rPr>
        <w:t>变的较为平缓</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意味着职缺进一步减少</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导致失业率上升</w:t>
      </w:r>
      <w:r>
        <w:rPr>
          <w:rFonts w:hint="eastAsia" w:asciiTheme="minorEastAsia" w:hAnsiTheme="minorEastAsia" w:eastAsiaTheme="minorEastAsia" w:cstheme="minorEastAsia"/>
          <w:sz w:val="32"/>
          <w:szCs w:val="32"/>
          <w:lang w:eastAsia="zh-CN"/>
        </w:rPr>
        <w:t>。我们</w:t>
      </w:r>
      <w:r>
        <w:rPr>
          <w:rFonts w:hint="eastAsia" w:asciiTheme="minorEastAsia" w:hAnsiTheme="minorEastAsia" w:eastAsiaTheme="minorEastAsia" w:cstheme="minorEastAsia"/>
          <w:sz w:val="32"/>
          <w:szCs w:val="32"/>
        </w:rPr>
        <w:t>无法确切知道</w:t>
      </w:r>
      <w:r>
        <w:rPr>
          <w:rFonts w:hint="eastAsia" w:asciiTheme="minorEastAsia" w:hAnsiTheme="minorEastAsia" w:eastAsiaTheme="minorEastAsia" w:cstheme="minorEastAsia"/>
          <w:sz w:val="32"/>
          <w:szCs w:val="32"/>
          <w:lang w:eastAsia="zh-CN"/>
        </w:rPr>
        <w:t>在</w:t>
      </w:r>
      <w:r>
        <w:rPr>
          <w:rFonts w:hint="eastAsia" w:asciiTheme="minorEastAsia" w:hAnsiTheme="minorEastAsia" w:eastAsiaTheme="minorEastAsia" w:cstheme="minorEastAsia"/>
          <w:sz w:val="32"/>
          <w:szCs w:val="32"/>
        </w:rPr>
        <w:t>何时、</w:t>
      </w:r>
      <w:r>
        <w:rPr>
          <w:rFonts w:hint="eastAsia" w:asciiTheme="minorEastAsia" w:hAnsiTheme="minorEastAsia" w:eastAsiaTheme="minorEastAsia" w:cstheme="minorEastAsia"/>
          <w:sz w:val="32"/>
          <w:szCs w:val="32"/>
          <w:lang w:eastAsia="zh-CN"/>
        </w:rPr>
        <w:t>在</w:t>
      </w:r>
      <w:r>
        <w:rPr>
          <w:rFonts w:hint="eastAsia" w:asciiTheme="minorEastAsia" w:hAnsiTheme="minorEastAsia" w:eastAsiaTheme="minorEastAsia" w:cstheme="minorEastAsia"/>
          <w:sz w:val="32"/>
          <w:szCs w:val="32"/>
        </w:rPr>
        <w:t>何处</w:t>
      </w:r>
      <w:r>
        <w:rPr>
          <w:rFonts w:hint="eastAsia" w:asciiTheme="minorEastAsia" w:hAnsiTheme="minorEastAsia" w:eastAsiaTheme="minorEastAsia" w:cstheme="minorEastAsia"/>
          <w:sz w:val="32"/>
          <w:szCs w:val="32"/>
          <w:lang w:eastAsia="zh-CN"/>
        </w:rPr>
        <w:t>经过拐点，</w:t>
      </w:r>
      <w:r>
        <w:rPr>
          <w:rFonts w:hint="eastAsia" w:asciiTheme="minorEastAsia" w:hAnsiTheme="minorEastAsia" w:eastAsiaTheme="minorEastAsia" w:cstheme="minorEastAsia"/>
          <w:sz w:val="32"/>
          <w:szCs w:val="32"/>
        </w:rPr>
        <w:t>但我们非常清楚我们</w:t>
      </w:r>
      <w:r>
        <w:rPr>
          <w:rFonts w:hint="eastAsia" w:asciiTheme="minorEastAsia" w:hAnsiTheme="minorEastAsia" w:eastAsiaTheme="minorEastAsia" w:cstheme="minorEastAsia"/>
          <w:sz w:val="32"/>
          <w:szCs w:val="32"/>
          <w:lang w:eastAsia="zh-CN"/>
        </w:rPr>
        <w:t>正</w:t>
      </w:r>
      <w:r>
        <w:rPr>
          <w:rFonts w:hint="eastAsia" w:asciiTheme="minorEastAsia" w:hAnsiTheme="minorEastAsia" w:eastAsiaTheme="minorEastAsia" w:cstheme="minorEastAsia"/>
          <w:sz w:val="32"/>
          <w:szCs w:val="32"/>
        </w:rPr>
        <w:t>面临双</w:t>
      </w:r>
      <w:r>
        <w:rPr>
          <w:rFonts w:hint="eastAsia" w:asciiTheme="minorEastAsia" w:hAnsiTheme="minorEastAsia" w:eastAsiaTheme="minorEastAsia" w:cstheme="minorEastAsia"/>
          <w:sz w:val="32"/>
          <w:szCs w:val="32"/>
          <w:lang w:eastAsia="zh-CN"/>
        </w:rPr>
        <w:t>重</w:t>
      </w:r>
      <w:r>
        <w:rPr>
          <w:rFonts w:hint="eastAsia" w:asciiTheme="minorEastAsia" w:hAnsiTheme="minorEastAsia" w:eastAsiaTheme="minorEastAsia" w:cstheme="minorEastAsia"/>
          <w:sz w:val="32"/>
          <w:szCs w:val="32"/>
        </w:rPr>
        <w:t>风险</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我们必须</w:t>
      </w:r>
      <w:r>
        <w:rPr>
          <w:rFonts w:hint="eastAsia" w:asciiTheme="minorEastAsia" w:hAnsiTheme="minorEastAsia" w:eastAsiaTheme="minorEastAsia" w:cstheme="minorEastAsia"/>
          <w:sz w:val="32"/>
          <w:szCs w:val="32"/>
          <w:lang w:eastAsia="zh-CN"/>
        </w:rPr>
        <w:t>要妥善处理。”</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上述发言，都是</w:t>
      </w:r>
      <w:r>
        <w:rPr>
          <w:rFonts w:hint="eastAsia" w:asciiTheme="minorEastAsia" w:hAnsiTheme="minorEastAsia" w:eastAsiaTheme="minorEastAsia" w:cstheme="minorEastAsia"/>
          <w:sz w:val="32"/>
          <w:szCs w:val="32"/>
        </w:rPr>
        <w:t>在</w:t>
      </w:r>
      <w:r>
        <w:rPr>
          <w:rFonts w:hint="eastAsia" w:asciiTheme="minorEastAsia" w:hAnsiTheme="minorEastAsia" w:eastAsiaTheme="minorEastAsia" w:cstheme="minorEastAsia"/>
          <w:sz w:val="32"/>
          <w:szCs w:val="32"/>
          <w:lang w:val="en-US" w:eastAsia="zh-CN"/>
        </w:rPr>
        <w:t>6</w:t>
      </w:r>
      <w:r>
        <w:rPr>
          <w:rFonts w:hint="eastAsia" w:asciiTheme="minorEastAsia" w:hAnsiTheme="minorEastAsia" w:eastAsiaTheme="minorEastAsia" w:cstheme="minorEastAsia"/>
          <w:sz w:val="32"/>
          <w:szCs w:val="32"/>
        </w:rPr>
        <w:t>月</w:t>
      </w:r>
      <w:r>
        <w:rPr>
          <w:rFonts w:hint="eastAsia" w:asciiTheme="minorEastAsia" w:hAnsiTheme="minorEastAsia" w:eastAsiaTheme="minorEastAsia" w:cstheme="minorEastAsia"/>
          <w:sz w:val="32"/>
          <w:szCs w:val="32"/>
          <w:lang w:eastAsia="zh-CN"/>
        </w:rPr>
        <w:t>大</w:t>
      </w:r>
      <w:r>
        <w:rPr>
          <w:rFonts w:hint="eastAsia" w:asciiTheme="minorEastAsia" w:hAnsiTheme="minorEastAsia" w:eastAsiaTheme="minorEastAsia" w:cstheme="minorEastAsia"/>
          <w:sz w:val="32"/>
          <w:szCs w:val="32"/>
        </w:rPr>
        <w:t>非农数据公布之前</w:t>
      </w:r>
      <w:r>
        <w:rPr>
          <w:rFonts w:hint="eastAsia" w:asciiTheme="minorEastAsia" w:hAnsiTheme="minorEastAsia" w:eastAsiaTheme="minorEastAsia" w:cstheme="minorEastAsia"/>
          <w:sz w:val="32"/>
          <w:szCs w:val="32"/>
          <w:lang w:eastAsia="zh-CN"/>
        </w:rPr>
        <w:t>做出的；而</w:t>
      </w:r>
      <w:r>
        <w:rPr>
          <w:rFonts w:hint="eastAsia" w:asciiTheme="minorEastAsia" w:hAnsiTheme="minorEastAsia" w:eastAsiaTheme="minorEastAsia" w:cstheme="minorEastAsia"/>
          <w:sz w:val="32"/>
          <w:szCs w:val="32"/>
          <w:lang w:val="en-US" w:eastAsia="zh-CN"/>
        </w:rPr>
        <w:t>6月就业数据不及预期，各位美联储官员对</w:t>
      </w:r>
      <w:r>
        <w:rPr>
          <w:rFonts w:hint="eastAsia" w:asciiTheme="minorEastAsia" w:hAnsiTheme="minorEastAsia" w:eastAsiaTheme="minorEastAsia" w:cstheme="minorEastAsia"/>
          <w:sz w:val="32"/>
          <w:szCs w:val="32"/>
        </w:rPr>
        <w:t>就业市场风险的担忧</w:t>
      </w:r>
      <w:r>
        <w:rPr>
          <w:rFonts w:hint="eastAsia" w:asciiTheme="minorEastAsia" w:hAnsiTheme="minorEastAsia" w:eastAsiaTheme="minorEastAsia" w:cstheme="minorEastAsia"/>
          <w:sz w:val="32"/>
          <w:szCs w:val="32"/>
          <w:lang w:eastAsia="zh-CN"/>
        </w:rPr>
        <w:t>，应该</w:t>
      </w:r>
      <w:r>
        <w:rPr>
          <w:rFonts w:hint="eastAsia" w:asciiTheme="minorEastAsia" w:hAnsiTheme="minorEastAsia" w:eastAsiaTheme="minorEastAsia" w:cstheme="minorEastAsia"/>
          <w:sz w:val="32"/>
          <w:szCs w:val="32"/>
        </w:rPr>
        <w:t>有增无减</w:t>
      </w:r>
      <w:r>
        <w:rPr>
          <w:rFonts w:hint="eastAsia" w:asciiTheme="minorEastAsia" w:hAnsiTheme="minorEastAsia" w:eastAsiaTheme="minorEastAsia" w:cstheme="minorEastAsia"/>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根据美国劳工统计局的数据</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lang w:val="en-US" w:eastAsia="zh-CN"/>
        </w:rPr>
        <w:t>4</w:t>
      </w:r>
      <w:r>
        <w:rPr>
          <w:rFonts w:hint="eastAsia" w:asciiTheme="minorEastAsia" w:hAnsiTheme="minorEastAsia" w:eastAsiaTheme="minorEastAsia" w:cstheme="minorEastAsia"/>
          <w:sz w:val="32"/>
          <w:szCs w:val="32"/>
        </w:rPr>
        <w:t>月</w:t>
      </w:r>
      <w:r>
        <w:rPr>
          <w:rFonts w:hint="eastAsia" w:asciiTheme="minorEastAsia" w:hAnsiTheme="minorEastAsia" w:eastAsiaTheme="minorEastAsia" w:cstheme="minorEastAsia"/>
          <w:sz w:val="32"/>
          <w:szCs w:val="32"/>
          <w:lang w:eastAsia="zh-CN"/>
        </w:rPr>
        <w:t>和</w:t>
      </w:r>
      <w:r>
        <w:rPr>
          <w:rFonts w:hint="eastAsia" w:asciiTheme="minorEastAsia" w:hAnsiTheme="minorEastAsia" w:eastAsiaTheme="minorEastAsia" w:cstheme="minorEastAsia"/>
          <w:sz w:val="32"/>
          <w:szCs w:val="32"/>
          <w:lang w:val="en-US" w:eastAsia="zh-CN"/>
        </w:rPr>
        <w:t>5</w:t>
      </w:r>
      <w:r>
        <w:rPr>
          <w:rFonts w:hint="eastAsia" w:asciiTheme="minorEastAsia" w:hAnsiTheme="minorEastAsia" w:eastAsiaTheme="minorEastAsia" w:cstheme="minorEastAsia"/>
          <w:sz w:val="32"/>
          <w:szCs w:val="32"/>
        </w:rPr>
        <w:t>月的</w:t>
      </w:r>
      <w:r>
        <w:rPr>
          <w:rFonts w:hint="eastAsia" w:asciiTheme="minorEastAsia" w:hAnsiTheme="minorEastAsia" w:eastAsiaTheme="minorEastAsia" w:cstheme="minorEastAsia"/>
          <w:sz w:val="32"/>
          <w:szCs w:val="32"/>
          <w:lang w:eastAsia="zh-CN"/>
        </w:rPr>
        <w:t>职缺率</w:t>
      </w:r>
      <w:r>
        <w:rPr>
          <w:rFonts w:hint="eastAsia" w:asciiTheme="minorEastAsia" w:hAnsiTheme="minorEastAsia" w:eastAsiaTheme="minorEastAsia" w:cstheme="minorEastAsia"/>
          <w:sz w:val="32"/>
          <w:szCs w:val="32"/>
        </w:rPr>
        <w:t>分别</w:t>
      </w:r>
      <w:r>
        <w:rPr>
          <w:rFonts w:hint="eastAsia" w:asciiTheme="minorEastAsia" w:hAnsiTheme="minorEastAsia" w:eastAsiaTheme="minorEastAsia" w:cstheme="minorEastAsia"/>
          <w:sz w:val="32"/>
          <w:szCs w:val="32"/>
          <w:lang w:eastAsia="zh-CN"/>
        </w:rPr>
        <w:t>是</w:t>
      </w:r>
      <w:r>
        <w:rPr>
          <w:rFonts w:hint="eastAsia" w:asciiTheme="minorEastAsia" w:hAnsiTheme="minorEastAsia" w:eastAsiaTheme="minorEastAsia" w:cstheme="minorEastAsia"/>
          <w:sz w:val="32"/>
          <w:szCs w:val="32"/>
        </w:rPr>
        <w:t>4.8%</w:t>
      </w:r>
      <w:r>
        <w:rPr>
          <w:rFonts w:hint="eastAsia" w:asciiTheme="minorEastAsia" w:hAnsiTheme="minorEastAsia" w:eastAsiaTheme="minorEastAsia" w:cstheme="minorEastAsia"/>
          <w:sz w:val="32"/>
          <w:szCs w:val="32"/>
          <w:lang w:eastAsia="zh-CN"/>
        </w:rPr>
        <w:t>和</w:t>
      </w:r>
      <w:r>
        <w:rPr>
          <w:rFonts w:hint="eastAsia" w:asciiTheme="minorEastAsia" w:hAnsiTheme="minorEastAsia" w:eastAsiaTheme="minorEastAsia" w:cstheme="minorEastAsia"/>
          <w:sz w:val="32"/>
          <w:szCs w:val="32"/>
        </w:rPr>
        <w:t>4.9%</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lang w:val="en-US" w:eastAsia="zh-CN"/>
        </w:rPr>
        <w:t>6月尚未发布，但距离常任理事</w:t>
      </w:r>
      <w:r>
        <w:rPr>
          <w:rFonts w:hint="eastAsia" w:asciiTheme="minorEastAsia" w:hAnsiTheme="minorEastAsia" w:eastAsiaTheme="minorEastAsia" w:cstheme="minorEastAsia"/>
          <w:sz w:val="32"/>
          <w:szCs w:val="32"/>
        </w:rPr>
        <w:t>Christopher Waller在一月</w:t>
      </w:r>
      <w:r>
        <w:rPr>
          <w:rFonts w:hint="eastAsia" w:asciiTheme="minorEastAsia" w:hAnsiTheme="minorEastAsia" w:eastAsiaTheme="minorEastAsia" w:cstheme="minorEastAsia"/>
          <w:sz w:val="32"/>
          <w:szCs w:val="32"/>
          <w:lang w:eastAsia="zh-CN"/>
        </w:rPr>
        <w:t>份时</w:t>
      </w:r>
      <w:r>
        <w:rPr>
          <w:rFonts w:hint="eastAsia" w:asciiTheme="minorEastAsia" w:hAnsiTheme="minorEastAsia" w:eastAsiaTheme="minorEastAsia" w:cstheme="minorEastAsia"/>
          <w:sz w:val="32"/>
          <w:szCs w:val="32"/>
        </w:rPr>
        <w:t>提的4.5%转折点</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已经越来越接近了</w:t>
      </w:r>
      <w:r>
        <w:rPr>
          <w:rFonts w:hint="eastAsia" w:asciiTheme="minorEastAsia" w:hAnsiTheme="minorEastAsia" w:eastAsiaTheme="minorEastAsia" w:cstheme="minorEastAsia"/>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近期，</w:t>
      </w:r>
      <w:r>
        <w:rPr>
          <w:rFonts w:hint="eastAsia" w:asciiTheme="minorEastAsia" w:hAnsiTheme="minorEastAsia" w:eastAsiaTheme="minorEastAsia" w:cstheme="minorEastAsia"/>
          <w:sz w:val="32"/>
          <w:szCs w:val="32"/>
        </w:rPr>
        <w:t>失业率、初领失业金人数</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续领失业金人数</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都呈现</w:t>
      </w:r>
      <w:r>
        <w:rPr>
          <w:rFonts w:hint="eastAsia" w:asciiTheme="minorEastAsia" w:hAnsiTheme="minorEastAsia" w:eastAsiaTheme="minorEastAsia" w:cstheme="minorEastAsia"/>
          <w:sz w:val="32"/>
          <w:szCs w:val="32"/>
          <w:lang w:eastAsia="zh-CN"/>
        </w:rPr>
        <w:t>上</w:t>
      </w:r>
      <w:r>
        <w:rPr>
          <w:rFonts w:hint="eastAsia" w:asciiTheme="minorEastAsia" w:hAnsiTheme="minorEastAsia" w:eastAsiaTheme="minorEastAsia" w:cstheme="minorEastAsia"/>
          <w:sz w:val="32"/>
          <w:szCs w:val="32"/>
        </w:rPr>
        <w:t>升趋势</w:t>
      </w:r>
      <w:r>
        <w:rPr>
          <w:rFonts w:hint="eastAsia" w:asciiTheme="minorEastAsia" w:hAnsiTheme="minorEastAsia" w:eastAsiaTheme="minorEastAsia" w:cstheme="minorEastAsia"/>
          <w:sz w:val="32"/>
          <w:szCs w:val="32"/>
          <w:lang w:eastAsia="zh-CN"/>
        </w:rPr>
        <w:t>，现在</w:t>
      </w:r>
      <w:r>
        <w:rPr>
          <w:rFonts w:hint="eastAsia" w:asciiTheme="minorEastAsia" w:hAnsiTheme="minorEastAsia" w:eastAsiaTheme="minorEastAsia" w:cstheme="minorEastAsia"/>
          <w:sz w:val="32"/>
          <w:szCs w:val="32"/>
        </w:rPr>
        <w:t>距离</w:t>
      </w:r>
      <w:r>
        <w:rPr>
          <w:rFonts w:hint="eastAsia" w:asciiTheme="minorEastAsia" w:hAnsiTheme="minorEastAsia" w:eastAsiaTheme="minorEastAsia" w:cstheme="minorEastAsia"/>
          <w:sz w:val="32"/>
          <w:szCs w:val="32"/>
          <w:lang w:eastAsia="zh-CN"/>
        </w:rPr>
        <w:t>美联储</w:t>
      </w:r>
      <w:r>
        <w:rPr>
          <w:rFonts w:hint="eastAsia" w:asciiTheme="minorEastAsia" w:hAnsiTheme="minorEastAsia" w:eastAsiaTheme="minorEastAsia" w:cstheme="minorEastAsia"/>
          <w:sz w:val="32"/>
          <w:szCs w:val="32"/>
          <w:lang w:val="en-US" w:eastAsia="zh-CN"/>
        </w:rPr>
        <w:t>9</w:t>
      </w:r>
      <w:r>
        <w:rPr>
          <w:rFonts w:hint="eastAsia" w:asciiTheme="minorEastAsia" w:hAnsiTheme="minorEastAsia" w:eastAsiaTheme="minorEastAsia" w:cstheme="minorEastAsia"/>
          <w:sz w:val="32"/>
          <w:szCs w:val="32"/>
        </w:rPr>
        <w:t>月的</w:t>
      </w:r>
      <w:r>
        <w:rPr>
          <w:rFonts w:hint="eastAsia" w:asciiTheme="minorEastAsia" w:hAnsiTheme="minorEastAsia" w:eastAsiaTheme="minorEastAsia" w:cstheme="minorEastAsia"/>
          <w:sz w:val="32"/>
          <w:szCs w:val="32"/>
          <w:lang w:eastAsia="zh-CN"/>
        </w:rPr>
        <w:t>议息</w:t>
      </w:r>
      <w:r>
        <w:rPr>
          <w:rFonts w:hint="eastAsia" w:asciiTheme="minorEastAsia" w:hAnsiTheme="minorEastAsia" w:eastAsiaTheme="minorEastAsia" w:cstheme="minorEastAsia"/>
          <w:sz w:val="32"/>
          <w:szCs w:val="32"/>
        </w:rPr>
        <w:t>会议</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还有</w:t>
      </w:r>
      <w:r>
        <w:rPr>
          <w:rFonts w:hint="eastAsia" w:asciiTheme="minorEastAsia" w:hAnsiTheme="minorEastAsia" w:eastAsiaTheme="minorEastAsia" w:cstheme="minorEastAsia"/>
          <w:sz w:val="32"/>
          <w:szCs w:val="32"/>
          <w:lang w:val="en-US" w:eastAsia="zh-CN"/>
        </w:rPr>
        <w:t>7月和8月</w:t>
      </w:r>
      <w:r>
        <w:rPr>
          <w:rFonts w:hint="eastAsia" w:asciiTheme="minorEastAsia" w:hAnsiTheme="minorEastAsia" w:eastAsiaTheme="minorEastAsia" w:cstheme="minorEastAsia"/>
          <w:sz w:val="32"/>
          <w:szCs w:val="32"/>
        </w:rPr>
        <w:t>两份非农就业报告</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如果就业市场的降温趋势延续</w:t>
      </w:r>
      <w:r>
        <w:rPr>
          <w:rFonts w:hint="eastAsia" w:asciiTheme="minorEastAsia" w:hAnsiTheme="minorEastAsia" w:eastAsiaTheme="minorEastAsia" w:cstheme="minorEastAsia"/>
          <w:sz w:val="32"/>
          <w:szCs w:val="32"/>
          <w:lang w:eastAsia="zh-CN"/>
        </w:rPr>
        <w:t>，议息会议有可能以贝弗里奇曲线为依据，开始降息。</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lang w:val="en-US" w:eastAsia="zh-CN"/>
        </w:rPr>
      </w:pPr>
      <w:r>
        <w:rPr>
          <w:rFonts w:hint="eastAsia" w:asciiTheme="minorEastAsia" w:hAnsiTheme="minorEastAsia" w:eastAsiaTheme="minorEastAsia" w:cstheme="minorEastAsia"/>
          <w:sz w:val="32"/>
          <w:szCs w:val="32"/>
          <w:lang w:eastAsia="zh-CN"/>
        </w:rPr>
        <w:t>但也有机构坚持说，如果不是特别明显的衰退威胁，美联储不可能也不应该在</w:t>
      </w:r>
      <w:r>
        <w:rPr>
          <w:rFonts w:hint="eastAsia" w:asciiTheme="minorEastAsia" w:hAnsiTheme="minorEastAsia" w:eastAsiaTheme="minorEastAsia" w:cstheme="minorEastAsia"/>
          <w:sz w:val="32"/>
          <w:szCs w:val="32"/>
          <w:lang w:val="en-US" w:eastAsia="zh-CN"/>
        </w:rPr>
        <w:t>9月降息，因为这样做会影响今年的大选。</w:t>
      </w: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eastAsia"/>
          <w:b/>
          <w:bCs/>
          <w:color w:val="0000FF"/>
          <w:highlight w:val="yellow"/>
          <w:lang w:val="en-US" w:eastAsia="zh-CN"/>
        </w:rPr>
      </w:pP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eastAsia"/>
          <w:b/>
          <w:bCs/>
          <w:color w:val="0000FF"/>
          <w:highlight w:val="yellow"/>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方正小标宋_GBK" w:hAnsi="方正小标宋_GBK" w:eastAsia="方正小标宋_GBK" w:cs="方正小标宋_GBK"/>
          <w:b/>
          <w:bCs/>
          <w:color w:val="0000FF"/>
          <w:sz w:val="32"/>
          <w:szCs w:val="32"/>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7月23日（周二）</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无视西方制裁，俄房地产火热、市场前景可期</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2014年克里米亚事件发生后，美国和欧盟对俄罗斯实施了一系列经济制裁措施。2022年俄乌冲突爆发后，制裁的级别和内容进一步升级。</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经济制裁措施包括以下方面</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一、金融领域制裁：美国和欧盟限制了俄罗斯银行和金融机构</w:t>
      </w:r>
      <w:r>
        <w:rPr>
          <w:rFonts w:hint="eastAsia" w:asciiTheme="minorEastAsia" w:hAnsiTheme="minorEastAsia" w:eastAsiaTheme="minorEastAsia" w:cstheme="minorEastAsia"/>
          <w:sz w:val="32"/>
          <w:szCs w:val="32"/>
          <w:highlight w:val="none"/>
          <w:lang w:val="en-US" w:eastAsia="zh-CN"/>
        </w:rPr>
        <w:t>参与</w:t>
      </w:r>
      <w:r>
        <w:rPr>
          <w:rFonts w:hint="eastAsia" w:asciiTheme="minorEastAsia" w:hAnsiTheme="minorEastAsia" w:eastAsiaTheme="minorEastAsia" w:cstheme="minorEastAsia"/>
          <w:sz w:val="32"/>
          <w:szCs w:val="32"/>
          <w:lang w:val="en-US" w:eastAsia="zh-CN"/>
        </w:rPr>
        <w:t>国际金融市场，禁止向其提供融资和贷款。这使得俄罗斯的金融体系面临困难，限制了其能够进行跨境交易和融资的能力。</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二、能源领域制裁：美国和欧盟对俄罗斯的能源行业实施了一系列制裁。这包括限制对俄罗斯相关能源公司的技术和投资支持，以及禁止出口一些高技术能源设备和技术到俄罗斯。</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三、军事技术领域制裁：制裁还包括对军事技术和军事装备的出口限制，以限制俄罗斯的国防和安全能力。</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四、贸易限制：美国和欧盟对与俄罗斯的贸易进行了一定程度的限制，包括禁止出口特定商品和技术到俄罗斯，以及限制从俄罗斯进口特定商品。</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b/>
          <w:bCs/>
          <w:sz w:val="32"/>
          <w:szCs w:val="32"/>
          <w:lang w:val="en-US" w:eastAsia="zh-CN"/>
        </w:rPr>
      </w:pPr>
      <w:r>
        <w:rPr>
          <w:sz w:val="32"/>
          <w:szCs w:val="32"/>
        </w:rPr>
        <w:drawing>
          <wp:anchor distT="0" distB="0" distL="114300" distR="114300" simplePos="0" relativeHeight="251674624" behindDoc="0" locked="0" layoutInCell="1" allowOverlap="1">
            <wp:simplePos x="0" y="0"/>
            <wp:positionH relativeFrom="column">
              <wp:posOffset>104775</wp:posOffset>
            </wp:positionH>
            <wp:positionV relativeFrom="paragraph">
              <wp:posOffset>159385</wp:posOffset>
            </wp:positionV>
            <wp:extent cx="3165475" cy="2210435"/>
            <wp:effectExtent l="0" t="0" r="15875" b="18415"/>
            <wp:wrapSquare wrapText="bothSides"/>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22"/>
                    <a:stretch>
                      <a:fillRect/>
                    </a:stretch>
                  </pic:blipFill>
                  <pic:spPr>
                    <a:xfrm>
                      <a:off x="0" y="0"/>
                      <a:ext cx="3165475" cy="221043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2014年迄今，美西方对俄罗斯的制裁总规模接近2万项（19282项），其中16587项是2022年以后实施的。尽管俄罗斯遭受了空前的制裁，但其经济在</w:t>
      </w:r>
      <w:r>
        <w:rPr>
          <w:rFonts w:hint="eastAsia" w:asciiTheme="minorEastAsia" w:hAnsiTheme="minorEastAsia" w:eastAsiaTheme="minorEastAsia" w:cstheme="minorEastAsia"/>
          <w:b/>
          <w:bCs/>
          <w:sz w:val="32"/>
          <w:szCs w:val="32"/>
          <w:lang w:val="en-US" w:eastAsia="zh-CN"/>
        </w:rPr>
        <w:t>2023年表现出较强的韧性，GDP增长3.6%，失业率仅为3.2%</w:t>
      </w:r>
      <w:r>
        <w:rPr>
          <w:rFonts w:hint="eastAsia" w:asciiTheme="minorEastAsia" w:hAnsiTheme="minorEastAsia" w:eastAsiaTheme="minorEastAsia" w:cstheme="minorEastAsia"/>
          <w:b w:val="0"/>
          <w:bCs w:val="0"/>
          <w:sz w:val="32"/>
          <w:szCs w:val="32"/>
          <w:lang w:val="en-US" w:eastAsia="zh-CN"/>
        </w:rPr>
        <w:t>（见图）</w:t>
      </w:r>
      <w:r>
        <w:rPr>
          <w:rFonts w:hint="eastAsia" w:asciiTheme="minorEastAsia" w:hAnsiTheme="minorEastAsia" w:eastAsiaTheme="minorEastAsia" w:cstheme="minorEastAsia"/>
          <w:b/>
          <w:bCs/>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在经济产出增长的同时，俄罗斯的经济结构也在发生着变化。</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过去在俄罗斯，普通家庭对贷款买房总是心存疑虑，觉得几十年的房贷是难以承受的负担，害怕自己成为“房奴”，他们宁愿存钱，直到能够直接买房为止。俄罗斯政府，甚至普京总统本人，都在努力劝说民众转变观点。2003年，他对大家说，住房抵押贷款有助于解决俄罗斯人面临的“严峻的住房问题”。</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但俄罗斯家庭一直听不进去。没有债务的加持，购房者的能力有限，俄罗斯的房地产市场也就发展得比较“平静”。</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因为美西方的制裁，俄罗斯的经济发展遇到了困难，为了挖掘自身潜力，刺激国内需求，俄罗斯政府开始对贷款买房的投资行为进行补贴。</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2020年，新冠疫情来袭，面对疫情和制裁双重压力，俄罗斯加大了对购买“新建房屋”的补贴，以期发展房地产支撑经济。起初，银行给予房贷申请者6%的优惠利率，这比市场平均贷款利率低2个百分点，差额部分由财政补足。</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2022年，俄乌冲突全面爆发后，住房抵押贷款的金额开始大幅上升。2023年，银行共发放了价值77万亿卢布（约合880亿美元，占俄GDP的4%）的抵押贷款，远高于2020年的43万亿卢布。目前，平均每个月的住房贷款，都在6千亿卢布以上。</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在机构分析称，这反映出俄乌冲突爆发后，投资条件发生的变化。</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首先，美西方经济制裁对俄罗斯的股市造成了压力</w:t>
      </w:r>
      <w:r>
        <w:rPr>
          <w:rFonts w:hint="eastAsia" w:asciiTheme="minorEastAsia" w:hAnsiTheme="minorEastAsia" w:eastAsiaTheme="minorEastAsia" w:cstheme="minorEastAsia"/>
          <w:sz w:val="32"/>
          <w:szCs w:val="32"/>
          <w:lang w:val="en-US" w:eastAsia="zh-CN"/>
        </w:rPr>
        <w:t>。原因有三：</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第一，投资者信心受挫。当一个国家遭受经济制裁时，可能会引发对其经济稳定性和商业环境的担忧。这可能削弱投资者的信心，导致其撤回或减少对股市的投资。结果必然是股价下跌，整体市场表现疲弱。</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第二，资本获取受限。制裁限制或阻碍了俄罗斯企业进入国际资本市场，这使得俄企难以筹集资金用于扩张、投资，甚至无法履行财务义务。资本获取能力的限制可能对企业的增长前景和财务状况产生负面影响，导致股价下降。</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第三，流动性下降。证券市场的流动性，是指能够在不引起重大价格波动的情况下，买卖证券的便利程度。遭遇制裁后，境外投资者可能被禁止与特定的俄罗斯公司或个人进行交易，境外投资者无法买卖俄罗斯股票，流动性的下降，最终导致交易成本增加，行情出现大幅波动。</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其次，货币管制使俄罗斯人难以将资金转移到国外。</w:t>
      </w:r>
      <w:r>
        <w:rPr>
          <w:rFonts w:hint="eastAsia" w:asciiTheme="minorEastAsia" w:hAnsiTheme="minorEastAsia" w:eastAsiaTheme="minorEastAsia" w:cstheme="minorEastAsia"/>
          <w:sz w:val="32"/>
          <w:szCs w:val="32"/>
          <w:lang w:val="en-US" w:eastAsia="zh-CN"/>
        </w:rPr>
        <w:t>货币管制的作法有二：</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第一，限制外汇兑换。政府可以设置限制或审查机制，限制个人和企业将本国货币兑换成外汇的操作。这意味着俄罗斯人在尝试将本国货币转移到国外时，会面临更多的限制和审查。</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第二，资本流动限制。政府可以采取措施限制或监管资本流出国外的行为，以控制外汇储备和维护国内金融稳定。这使得俄罗斯企业难以将资金顺利地转移出国。</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val="0"/>
          <w:bCs w:val="0"/>
          <w:sz w:val="32"/>
          <w:szCs w:val="32"/>
          <w:lang w:val="en-US" w:eastAsia="zh-CN"/>
        </w:rPr>
        <w:t>股市承压、换汇不</w:t>
      </w:r>
      <w:r>
        <w:rPr>
          <w:rFonts w:hint="eastAsia" w:asciiTheme="minorEastAsia" w:hAnsiTheme="minorEastAsia" w:eastAsiaTheme="minorEastAsia" w:cstheme="minorEastAsia"/>
          <w:sz w:val="32"/>
          <w:szCs w:val="32"/>
          <w:lang w:val="en-US" w:eastAsia="zh-CN"/>
        </w:rPr>
        <w:t>便，使得俄罗斯民众缺乏投资机会，</w:t>
      </w:r>
      <w:r>
        <w:rPr>
          <w:rFonts w:hint="eastAsia" w:asciiTheme="minorEastAsia" w:hAnsiTheme="minorEastAsia" w:eastAsiaTheme="minorEastAsia" w:cstheme="minorEastAsia"/>
          <w:b/>
          <w:bCs/>
          <w:sz w:val="32"/>
          <w:szCs w:val="32"/>
          <w:lang w:val="en-US" w:eastAsia="zh-CN"/>
        </w:rPr>
        <w:t>房地产就成了一个很不错的投资标的</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2023年年中，俄罗斯</w:t>
      </w:r>
      <w:r>
        <w:rPr>
          <w:rFonts w:hint="eastAsia" w:asciiTheme="minorEastAsia" w:hAnsiTheme="minorEastAsia" w:eastAsiaTheme="minorEastAsia" w:cstheme="minorEastAsia"/>
          <w:b/>
          <w:bCs/>
          <w:sz w:val="32"/>
          <w:szCs w:val="32"/>
          <w:lang w:val="en-US" w:eastAsia="zh-CN"/>
        </w:rPr>
        <w:t>通货膨胀骤升，也对房地产市场起到了一定的推动作用</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388" w:firstLineChars="200"/>
        <w:jc w:val="both"/>
        <w:textAlignment w:val="auto"/>
        <w:rPr>
          <w:rFonts w:hint="eastAsia" w:asciiTheme="minorEastAsia" w:hAnsiTheme="minorEastAsia" w:eastAsiaTheme="minorEastAsia" w:cstheme="minorEastAsia"/>
          <w:sz w:val="32"/>
          <w:szCs w:val="32"/>
          <w:lang w:val="en-US" w:eastAsia="zh-CN"/>
        </w:rPr>
      </w:pPr>
      <w:r>
        <w:drawing>
          <wp:anchor distT="0" distB="0" distL="114300" distR="114300" simplePos="0" relativeHeight="251675648" behindDoc="0" locked="0" layoutInCell="1" allowOverlap="1">
            <wp:simplePos x="0" y="0"/>
            <wp:positionH relativeFrom="column">
              <wp:posOffset>655320</wp:posOffset>
            </wp:positionH>
            <wp:positionV relativeFrom="paragraph">
              <wp:posOffset>1913255</wp:posOffset>
            </wp:positionV>
            <wp:extent cx="4142740" cy="2892425"/>
            <wp:effectExtent l="0" t="0" r="10160" b="3175"/>
            <wp:wrapTopAndBottom/>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23"/>
                    <a:stretch>
                      <a:fillRect/>
                    </a:stretch>
                  </pic:blipFill>
                  <pic:spPr>
                    <a:xfrm>
                      <a:off x="0" y="0"/>
                      <a:ext cx="4142740" cy="289242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为遏制节节攀升的通胀率，俄罗斯央行开始提高利率水平；市场利率越高，购房贷款补贴的吸引力就越强，当俄央行将基准利率提高到16%时（见图），俄政府仅将购房贷款的优惠利率提高到8%。今年6月时，优惠利率与市场利率之间的差距，超过了10个百分点。</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eastAsia="zh-CN"/>
        </w:rPr>
        <w:t>（图：自</w:t>
      </w:r>
      <w:r>
        <w:rPr>
          <w:rFonts w:hint="eastAsia" w:ascii="方正仿宋_GBK" w:hAnsi="方正仿宋_GBK" w:eastAsia="方正仿宋_GBK" w:cs="方正仿宋_GBK"/>
          <w:sz w:val="24"/>
          <w:szCs w:val="24"/>
          <w:lang w:val="en-US" w:eastAsia="zh-CN"/>
        </w:rPr>
        <w:t>2020年初以来，</w:t>
      </w:r>
      <w:r>
        <w:rPr>
          <w:rFonts w:hint="eastAsia" w:ascii="方正仿宋_GBK" w:hAnsi="方正仿宋_GBK" w:eastAsia="方正仿宋_GBK" w:cs="方正仿宋_GBK"/>
          <w:sz w:val="24"/>
          <w:szCs w:val="24"/>
          <w:lang w:eastAsia="zh-CN"/>
        </w:rPr>
        <w:t>俄罗斯的通胀率</w:t>
      </w:r>
      <w:r>
        <w:rPr>
          <w:rFonts w:hint="eastAsia" w:ascii="方正仿宋_GBK" w:hAnsi="方正仿宋_GBK" w:eastAsia="方正仿宋_GBK" w:cs="方正仿宋_GBK"/>
          <w:sz w:val="24"/>
          <w:szCs w:val="24"/>
          <w:lang w:val="en-US" w:eastAsia="zh-CN"/>
        </w:rPr>
        <w:t>和基准利率</w:t>
      </w:r>
      <w:r>
        <w:rPr>
          <w:rFonts w:hint="eastAsia" w:ascii="方正仿宋_GBK" w:hAnsi="方正仿宋_GBK" w:eastAsia="方正仿宋_GBK" w:cs="方正仿宋_GBK"/>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为了补贴利差，俄财政部已经花出去5千亿卢布。鉴于目前居高不下的通胀率，俄央行计划7月底将基准利率提高到18%，利差也将进一步扩大。</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经济制裁、补贴贷款共同促成了俄罗斯的房地产繁荣。2023年新建了1.1亿平方米的住房，而此前年均仅建造5900万平方米。与此同时，房价也在飙升，出现了资产泡沫迹象。有机构估算，2020年至2023年间，俄罗斯大城市的房价上涨了172%。</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俄央行对此颇为担心，纳比乌林娜行长直言，正是财政补贴造成了住房市场“过热”，如果再不停止，将会有“助长通胀的风险”。俄联邦政府接受了央行的预警，7月初终止了对新屋购买最大的一种优惠补贴。市场预期，到今年下半年，新的抵押贷款数量将会有显著下降。</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但大家也认为，这并不会造成俄罗斯房地产市场的崩盘，因为其经济成长有力，就业市场火热，工资增长迅猛，即使面对更高的利率和缩减的财政支持，俄罗斯的购房家庭和投资者也能维持一个强劲的房地产市场。</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drawing>
          <wp:anchor distT="0" distB="0" distL="114300" distR="114300" simplePos="0" relativeHeight="251676672" behindDoc="0" locked="0" layoutInCell="1" allowOverlap="1">
            <wp:simplePos x="0" y="0"/>
            <wp:positionH relativeFrom="column">
              <wp:posOffset>299085</wp:posOffset>
            </wp:positionH>
            <wp:positionV relativeFrom="paragraph">
              <wp:posOffset>51435</wp:posOffset>
            </wp:positionV>
            <wp:extent cx="4783455" cy="1195705"/>
            <wp:effectExtent l="0" t="0" r="17145" b="4445"/>
            <wp:wrapTopAndBottom/>
            <wp:docPr id="6" name="图片 6" descr="图片4-7月23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7月23日"/>
                    <pic:cNvPicPr>
                      <a:picLocks noChangeAspect="1"/>
                    </pic:cNvPicPr>
                  </pic:nvPicPr>
                  <pic:blipFill>
                    <a:blip r:embed="rId24"/>
                    <a:stretch>
                      <a:fillRect/>
                    </a:stretch>
                  </pic:blipFill>
                  <pic:spPr>
                    <a:xfrm>
                      <a:off x="0" y="0"/>
                      <a:ext cx="4783455" cy="1195705"/>
                    </a:xfrm>
                    <a:prstGeom prst="rect">
                      <a:avLst/>
                    </a:prstGeom>
                  </pic:spPr>
                </pic:pic>
              </a:graphicData>
            </a:graphic>
          </wp:anchor>
        </w:drawing>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sz w:val="32"/>
          <w:szCs w:val="32"/>
          <w:lang w:val="en-US" w:eastAsia="zh-CN"/>
        </w:rPr>
      </w:pPr>
    </w:p>
    <w:p>
      <w:pPr>
        <w:rPr>
          <w:rFonts w:hint="eastAsia" w:asciiTheme="majorEastAsia" w:hAnsiTheme="majorEastAsia" w:eastAsiaTheme="majorEastAsia" w:cstheme="majorEastAsia"/>
          <w:b/>
          <w:bCs/>
          <w:color w:val="0000FF"/>
          <w:highlight w:val="yellow"/>
        </w:rPr>
      </w:pPr>
      <w:r>
        <w:rPr>
          <w:rFonts w:hint="eastAsia" w:ascii="方正小标宋_GBK" w:hAnsi="方正小标宋_GBK" w:eastAsia="方正小标宋_GBK" w:cs="方正小标宋_GBK"/>
          <w:b/>
          <w:bCs/>
          <w:color w:val="0000FF"/>
          <w:sz w:val="32"/>
          <w:szCs w:val="32"/>
          <w:highlight w:val="yellow"/>
        </w:rPr>
        <w:t>7月24日（周三）</w:t>
      </w:r>
    </w:p>
    <w:p>
      <w:pPr>
        <w:jc w:val="center"/>
        <w:rPr>
          <w:rFonts w:hint="eastAsia"/>
          <w:b/>
          <w:bCs/>
          <w:color w:val="0000FF"/>
          <w:highlight w:val="yellow"/>
        </w:rPr>
      </w:pPr>
      <w:r>
        <w:rPr>
          <w:rFonts w:hint="eastAsia" w:ascii="方正小标宋_GBK" w:hAnsi="方正小标宋_GBK" w:eastAsia="方正小标宋_GBK" w:cs="方正小标宋_GBK"/>
          <w:b/>
          <w:bCs/>
          <w:color w:val="0000FF"/>
          <w:sz w:val="36"/>
          <w:szCs w:val="36"/>
          <w:highlight w:val="yellow"/>
        </w:rPr>
        <w:t>科技巨头领跌，美股指数重挫</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今日，美国股市重挫。纳斯达克和标普500指数分别下跌了3.64%和2.31%，创下了自2022年以来的最大单日跌幅。</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科技股是大盘下跌的主要动力，原因是多家知名科技公司发布的第二季度财报未能达到市场预期，引发了投资者的广泛抛售。</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特斯拉第二季度净收入下降了45%，当日下跌12.33%。</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在财报中，特斯拉将收入大幅下降归因于供应链问题和市场需求的波动。尽管特斯拉在电动汽车市场的领导地位依然稳固，但投资者开始担忧其未来的盈利能力。</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eastAsiaTheme="minorEastAsia"/>
          <w:sz w:val="32"/>
          <w:szCs w:val="32"/>
          <w:lang w:eastAsia="zh-CN"/>
        </w:rPr>
        <w:drawing>
          <wp:anchor distT="0" distB="0" distL="114300" distR="114300" simplePos="0" relativeHeight="251677696" behindDoc="0" locked="0" layoutInCell="1" allowOverlap="1">
            <wp:simplePos x="0" y="0"/>
            <wp:positionH relativeFrom="column">
              <wp:posOffset>3201035</wp:posOffset>
            </wp:positionH>
            <wp:positionV relativeFrom="paragraph">
              <wp:posOffset>75565</wp:posOffset>
            </wp:positionV>
            <wp:extent cx="2297430" cy="2250440"/>
            <wp:effectExtent l="0" t="0" r="7620" b="16510"/>
            <wp:wrapSquare wrapText="bothSides"/>
            <wp:docPr id="1" name="图片 1" descr="微信图片_2024072518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725181250"/>
                    <pic:cNvPicPr>
                      <a:picLocks noChangeAspect="1"/>
                    </pic:cNvPicPr>
                  </pic:nvPicPr>
                  <pic:blipFill>
                    <a:blip r:embed="rId25"/>
                    <a:stretch>
                      <a:fillRect/>
                    </a:stretch>
                  </pic:blipFill>
                  <pic:spPr>
                    <a:xfrm>
                      <a:off x="0" y="0"/>
                      <a:ext cx="2297430" cy="2250440"/>
                    </a:xfrm>
                    <a:prstGeom prst="rect">
                      <a:avLst/>
                    </a:prstGeom>
                  </pic:spPr>
                </pic:pic>
              </a:graphicData>
            </a:graphic>
          </wp:anchor>
        </w:drawing>
      </w:r>
      <w:r>
        <w:rPr>
          <w:rFonts w:hint="eastAsia" w:asciiTheme="minorEastAsia" w:hAnsiTheme="minorEastAsia" w:eastAsiaTheme="minorEastAsia" w:cstheme="minorEastAsia"/>
          <w:sz w:val="32"/>
          <w:szCs w:val="32"/>
        </w:rPr>
        <w:t>谷歌母公司Alphabet的财报显示，来自YouTube的广告收入低于预期。尽管Alphabet整体营收有所增长，但YouTube是其重要的营收来源之一，收入不及预期引发了市场对其未来增长潜力的质疑。此外，Alphabet的其他业务，如云计算和硬件销售，也未能完全达到市场预期。Alphabet股价当日下跌5.04%。</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受其拖累，当日苹果下跌了2.84%，微软下跌了3.60%，亚马逊下跌了2.96%，英伟达下跌了6.71%，Meta下跌了5.62%。由此，美股“七巨头”的市值单日总计蒸发超过7500亿美元。</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投资者对这些科技巨头的财报反应强烈，主要是因为其前期涨幅已大，</w:t>
      </w:r>
      <w:r>
        <w:rPr>
          <w:rFonts w:hint="eastAsia" w:asciiTheme="minorEastAsia" w:hAnsiTheme="minorEastAsia" w:eastAsiaTheme="minorEastAsia" w:cstheme="minorEastAsia"/>
          <w:b/>
          <w:bCs/>
          <w:sz w:val="32"/>
          <w:szCs w:val="32"/>
        </w:rPr>
        <w:t>为了维持高估值的合理性，就必须展示出更强大的盈利能力，</w:t>
      </w:r>
      <w:r>
        <w:rPr>
          <w:rFonts w:hint="eastAsia" w:asciiTheme="minorEastAsia" w:hAnsiTheme="minorEastAsia" w:eastAsiaTheme="minorEastAsia" w:cstheme="minorEastAsia"/>
          <w:sz w:val="32"/>
          <w:szCs w:val="32"/>
        </w:rPr>
        <w:t>即市场对这些公司的未来增长产生了非常高的预期，一旦实际数据未能满足预期，就可能触发抛售。</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从长期来看，上述科技巨头依然具备强劲的增长潜力。</w:t>
      </w:r>
    </w:p>
    <w:p>
      <w:pPr>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88" w:firstLineChars="200"/>
        <w:textAlignment w:val="auto"/>
        <w:outlineLvl w:val="9"/>
        <w:rPr>
          <w:rFonts w:hint="eastAsia" w:ascii="方正楷体_GBK" w:hAnsi="方正楷体_GBK" w:eastAsia="方正楷体_GBK" w:cs="方正楷体_GBK"/>
          <w:lang w:eastAsia="zh-CN"/>
        </w:rPr>
      </w:pPr>
      <w:r>
        <w:rPr>
          <w:rFonts w:hint="eastAsia" w:ascii="方正楷体_GBK" w:hAnsi="方正楷体_GBK" w:eastAsia="方正楷体_GBK" w:cs="方正楷体_GBK"/>
          <w:lang w:eastAsia="zh-CN"/>
        </w:rPr>
        <w:t>（</w:t>
      </w:r>
      <w:r>
        <w:rPr>
          <w:rFonts w:hint="eastAsia" w:ascii="方正黑体_GBK" w:hAnsi="方正黑体_GBK" w:eastAsia="方正黑体_GBK" w:cs="方正黑体_GBK"/>
          <w:b/>
          <w:bCs/>
          <w:highlight w:val="none"/>
          <w:lang w:eastAsia="zh-CN"/>
        </w:rPr>
        <w:t>注</w:t>
      </w:r>
      <w:r>
        <w:rPr>
          <w:rFonts w:hint="eastAsia" w:ascii="方正楷体_GBK" w:hAnsi="方正楷体_GBK" w:eastAsia="方正楷体_GBK" w:cs="方正楷体_GBK"/>
          <w:lang w:eastAsia="zh-CN"/>
        </w:rPr>
        <w:t>：DJIA是道琼斯工业平均指数（Dow Jones Industrial Average）的简称，由30家美国大型企业股价的加权平均数构成，反映一部分大型公司股价的整体走势，是美国股市的一个重要指标。）</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r>
        <w:rPr>
          <w:rFonts w:hint="default" w:ascii="Times New Roman" w:hAnsi="Times New Roman" w:eastAsia="经典行楷简" w:cs="Times New Roman"/>
          <w:b/>
          <w:bCs/>
          <w:color w:val="FF0000"/>
          <w:sz w:val="96"/>
          <w:szCs w:val="96"/>
          <w:lang w:val="en-US" w:eastAsia="zh-CN"/>
        </w:rPr>
        <w:t>江苏贸促动态</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heme="minorEastAsia" w:hAnsiTheme="minorEastAsia" w:eastAsiaTheme="minorEastAsia" w:cstheme="minorEastAsia"/>
          <w:color w:val="5784BB"/>
          <w:spacing w:val="0"/>
          <w:sz w:val="32"/>
          <w:szCs w:val="32"/>
        </w:rPr>
      </w:pPr>
      <w:r>
        <w:rPr>
          <w:rFonts w:hint="eastAsia" w:ascii="经典行楷简" w:hAnsi="经典行楷简" w:eastAsia="经典行楷简" w:cs="经典行楷简"/>
          <w:color w:val="0070C0"/>
          <w:spacing w:val="0"/>
          <w:sz w:val="52"/>
          <w:szCs w:val="52"/>
        </w:rPr>
        <w:t>省贸促会领导会见乌兹别克斯坦客人</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7月23日下午，省贸促会会长王善华会见来访的乌兹别克斯坦撒马尔罕州副州长卡比洛夫·鲁斯塔姆一行。双方就即将举办的乌兹别克斯坦撒马尔罕州-中国江苏经贸合作交流会进行深入交流。乌兹别克斯坦驻沪总领事阿扎姆琼·曼苏罗夫、省贸促会二级巡视员黄政参加会见。</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王善华简要介绍江苏开放型经济发展情况及营商环境优势，对举办乌兹别克斯坦撒马尔罕州-中国江苏经贸合作交流会表示全力配合与支持。他说，去年许昆林省长率团访问撒马尔罕州，双方建立友好交流合作关系，经贸合作交往热度不断上升。江苏省贸促会作为地方贸易投资促进主渠道，将在友好省州机制化合作框架下，加强交流合作、挖掘贸易潜力、扩大经贸往来，为促进中乌经贸交流作出更大贡献。</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卡比洛夫·鲁斯塔姆感谢江苏省贸促会一直以来支持和推动两省州间经贸投资合作，希望进一步加强交流合作，办好乌兹别克斯坦撒马尔罕州-中国江苏经贸合作交流会，实现更高水平的互利共赢。</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省外办亚欧处负责人陪同会见。</w:t>
      </w:r>
      <w:r>
        <w:rPr>
          <w:rFonts w:hint="eastAsia" w:asciiTheme="minorEastAsia" w:hAnsiTheme="minorEastAsia" w:cstheme="minorEastAsia"/>
          <w:sz w:val="32"/>
          <w:szCs w:val="32"/>
          <w:lang w:val="en-US" w:eastAsia="zh-CN"/>
        </w:rPr>
        <w:t xml:space="preserve">        </w:t>
      </w:r>
      <w:r>
        <w:rPr>
          <w:rFonts w:hint="eastAsia" w:ascii="方正楷体_GBK" w:hAnsi="方正楷体_GBK" w:eastAsia="方正楷体_GBK" w:cs="方正楷体_GBK"/>
          <w:b/>
          <w:bCs/>
          <w:color w:val="FF0000"/>
          <w:sz w:val="32"/>
          <w:szCs w:val="32"/>
          <w:lang w:eastAsia="zh-CN"/>
        </w:rPr>
        <w:t>（国际联络部）</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both"/>
        <w:textAlignment w:val="auto"/>
        <w:outlineLvl w:val="1"/>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经典行楷简" w:hAnsi="经典行楷简" w:eastAsia="经典行楷简" w:cs="经典行楷简"/>
          <w:color w:val="0070C0"/>
          <w:spacing w:val="0"/>
          <w:sz w:val="52"/>
          <w:szCs w:val="52"/>
        </w:rPr>
      </w:pPr>
      <w:r>
        <w:rPr>
          <w:rFonts w:hint="eastAsia" w:ascii="经典行楷简" w:hAnsi="经典行楷简" w:eastAsia="经典行楷简" w:cs="经典行楷简"/>
          <w:color w:val="0070C0"/>
          <w:spacing w:val="0"/>
          <w:sz w:val="52"/>
          <w:szCs w:val="52"/>
        </w:rPr>
        <w:t>境外机构、跨国公司江苏行</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heme="minorEastAsia" w:hAnsiTheme="minorEastAsia" w:eastAsiaTheme="minorEastAsia" w:cstheme="minorEastAsia"/>
          <w:color w:val="5784BB"/>
          <w:spacing w:val="0"/>
          <w:sz w:val="32"/>
          <w:szCs w:val="32"/>
        </w:rPr>
      </w:pPr>
      <w:r>
        <w:rPr>
          <w:rFonts w:hint="eastAsia" w:ascii="经典行楷简" w:hAnsi="经典行楷简" w:eastAsia="经典行楷简" w:cs="经典行楷简"/>
          <w:color w:val="0070C0"/>
          <w:spacing w:val="0"/>
          <w:sz w:val="52"/>
          <w:szCs w:val="52"/>
        </w:rPr>
        <w:t>——英企南通行活动成功举行</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7月18日，江苏省贸促会联合英中贸易协会组织境外机构、跨国公司江苏行——英企南通行活动。南通市副市长李玲、江苏省贸促会副会长丛苏峰、英中贸易协会中国区商务项目交付总监江屹本、英国驻沪领事馆华东区域合作领事何书亚等出席相关活动并致辞。11家英国贸促机构、跨国公司及南通市有关部门和企业近60名代表参加活动。</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活动期间举办南通市与英国驻华机构、跨国公司对接会。南通市贸促会介绍当地开放型经济发展情况，英国柯兰斯威克有限公司、伦敦发展促进署、施乐辉集团、伟灏工程机械（上海）有限公司、第一太平戴维斯、汇丰银行等英资企业代表作分享发言。英国驻沪领事馆、英中贸易协会和跨国公司与南通市发改委、科技局、商务局、卫健委、外办、市场监管局、海关、开发区招商局等相关部门及企业代表进行了互动交流。</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英国驻华机构代表、跨国公司高管参观了南通规划馆和南通经济技术开发区，并前往得福乐和默克制药实地考察。</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cstheme="minorEastAsia"/>
          <w:sz w:val="32"/>
          <w:szCs w:val="32"/>
          <w:lang w:val="en-US" w:eastAsia="zh-CN"/>
        </w:rPr>
        <w:t xml:space="preserve">                              </w:t>
      </w:r>
      <w:r>
        <w:rPr>
          <w:rFonts w:hint="eastAsia" w:ascii="方正楷体_GBK" w:hAnsi="方正楷体_GBK" w:eastAsia="方正楷体_GBK" w:cs="方正楷体_GBK"/>
          <w:b/>
          <w:bCs/>
          <w:color w:val="FF0000"/>
          <w:sz w:val="32"/>
          <w:szCs w:val="32"/>
          <w:lang w:eastAsia="zh-CN"/>
        </w:rPr>
        <w:t>（国际联络部、跨采中心）</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both"/>
        <w:textAlignment w:val="auto"/>
        <w:outlineLvl w:val="1"/>
        <w:rPr>
          <w:rFonts w:hint="eastAsia" w:asciiTheme="minorEastAsia" w:hAnsiTheme="minorEastAsia" w:eastAsiaTheme="minorEastAsia" w:cstheme="minorEastAsia"/>
          <w:sz w:val="32"/>
          <w:szCs w:val="32"/>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both"/>
        <w:textAlignment w:val="auto"/>
        <w:outlineLvl w:val="1"/>
        <w:rPr>
          <w:rFonts w:hint="eastAsia" w:asciiTheme="minorEastAsia" w:hAnsiTheme="minorEastAsia" w:eastAsiaTheme="minorEastAsia" w:cstheme="minorEastAsia"/>
          <w:sz w:val="32"/>
          <w:szCs w:val="32"/>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both"/>
        <w:textAlignment w:val="auto"/>
        <w:outlineLvl w:val="1"/>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9"/>
        <w:rPr>
          <w:rFonts w:hint="eastAsia" w:ascii="经典行楷简" w:hAnsi="经典行楷简" w:eastAsia="经典行楷简" w:cs="经典行楷简"/>
          <w:color w:val="0070C0"/>
          <w:spacing w:val="-57"/>
          <w:sz w:val="52"/>
          <w:szCs w:val="52"/>
        </w:rPr>
      </w:pPr>
      <w:r>
        <w:rPr>
          <w:rFonts w:hint="eastAsia" w:ascii="经典行楷简" w:hAnsi="经典行楷简" w:eastAsia="经典行楷简" w:cs="经典行楷简"/>
          <w:color w:val="0070C0"/>
          <w:spacing w:val="-57"/>
          <w:sz w:val="52"/>
          <w:szCs w:val="52"/>
        </w:rPr>
        <w:t>省贸促会组织百家企业参加2024“苏韵伊情”</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9"/>
        <w:rPr>
          <w:rFonts w:hint="eastAsia" w:asciiTheme="minorEastAsia" w:hAnsiTheme="minorEastAsia" w:eastAsiaTheme="minorEastAsia" w:cstheme="minorEastAsia"/>
          <w:spacing w:val="-57"/>
          <w:sz w:val="32"/>
          <w:szCs w:val="32"/>
        </w:rPr>
      </w:pPr>
      <w:r>
        <w:rPr>
          <w:rFonts w:hint="eastAsia" w:ascii="经典行楷简" w:hAnsi="经典行楷简" w:eastAsia="经典行楷简" w:cs="经典行楷简"/>
          <w:color w:val="0070C0"/>
          <w:spacing w:val="-57"/>
          <w:sz w:val="52"/>
          <w:szCs w:val="52"/>
        </w:rPr>
        <w:t>伊犁州汽配产业招商暨拓展中亚市场推介会</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7月24日，省贸促会组织102家汽配企业和跨境电商平台参加在镇江举行的2024“苏韵伊情”江苏省对口支援新疆伊犁州汽配产业招商暨拓展中亚市场推介会。省贸促会二级巡视员黄政出席会议。</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新时代党的治疆方略为贸促系统更好支持新疆发展指明了前进方向、提供了根本遵循。省贸促会深刻认识做好支持新疆发展工作的重大意义，发挥广泛联系企业的职能优势，加强与江苏省对口支援伊犁州前方指挥部合作，积极促进江苏省与伊犁州的产业链供应链合作，加快江苏优势产业集群与中亚市场的深度融合，切实将两地区位优势、资源优势变为产业优势、发展优势，助力伊犁州经济实现高质量发展。</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会上，与会代表纷纷表示将积极响应国家对口援疆政策，加强与伊犁的合作，为建设美好新疆贡献江苏力量。镇江市国际商会与伊宁市汽车行业协会签订战略合作框架协议，江苏荣诚拍卖有限公司与伊犁中等职业技术学校就互设新能源汽车现代产业学院实习就业基地、汽车现代产业学院培训基地签订合作协议，江苏荣诚拍卖有限公司与伊犁星河商贸有限责任公司签订新能源汽车出口中亚合作协议，江苏苏豪天泓汽车有限责任公司与伊犁星河商贸有限责任公司签订整车及零部件出口中亚合作协议。</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方正楷体_GBK" w:hAnsi="方正楷体_GBK" w:eastAsia="方正楷体_GBK" w:cs="方正楷体_GBK"/>
          <w:b/>
          <w:bCs/>
          <w:color w:val="FF0000"/>
          <w:sz w:val="32"/>
          <w:szCs w:val="32"/>
          <w:lang w:eastAsia="zh-CN"/>
        </w:rPr>
      </w:pPr>
      <w:r>
        <w:rPr>
          <w:rFonts w:hint="eastAsia" w:asciiTheme="minorEastAsia" w:hAnsiTheme="minorEastAsia" w:cstheme="minorEastAsia"/>
          <w:sz w:val="32"/>
          <w:szCs w:val="32"/>
          <w:lang w:val="en-US" w:eastAsia="zh-CN"/>
        </w:rPr>
        <w:t xml:space="preserve">                              </w:t>
      </w:r>
      <w:r>
        <w:rPr>
          <w:rFonts w:hint="eastAsia" w:ascii="方正楷体_GBK" w:hAnsi="方正楷体_GBK" w:eastAsia="方正楷体_GBK" w:cs="方正楷体_GBK"/>
          <w:b/>
          <w:bCs/>
          <w:color w:val="FF0000"/>
          <w:sz w:val="32"/>
          <w:szCs w:val="32"/>
          <w:lang w:eastAsia="zh-CN"/>
        </w:rPr>
        <w:t>（贸易促进部）</w:t>
      </w:r>
    </w:p>
    <w:p>
      <w:pPr>
        <w:keepNext w:val="0"/>
        <w:keepLines w:val="0"/>
        <w:pageBreakBefore w:val="0"/>
        <w:widowControl w:val="0"/>
        <w:kinsoku/>
        <w:wordWrap/>
        <w:overflowPunct/>
        <w:topLinePunct w:val="0"/>
        <w:autoSpaceDE/>
        <w:autoSpaceDN/>
        <w:bidi w:val="0"/>
        <w:adjustRightInd/>
        <w:snapToGrid/>
        <w:ind w:firstLine="1008" w:firstLineChars="200"/>
        <w:textAlignment w:val="auto"/>
        <w:outlineLvl w:val="9"/>
        <w:rPr>
          <w:rFonts w:hint="eastAsia" w:asciiTheme="minorEastAsia" w:hAnsiTheme="minorEastAsia" w:eastAsiaTheme="minorEastAsia" w:cstheme="minorEastAsia"/>
          <w:sz w:val="32"/>
          <w:szCs w:val="32"/>
        </w:rPr>
      </w:pPr>
      <w:r>
        <w:rPr>
          <w:rFonts w:hint="eastAsia" w:ascii="经典行楷简" w:hAnsi="经典行楷简" w:eastAsia="经典行楷简" w:cs="经典行楷简"/>
          <w:color w:val="0070C0"/>
          <w:spacing w:val="0"/>
          <w:sz w:val="52"/>
          <w:szCs w:val="52"/>
        </w:rPr>
        <w:t>南京市贸促会到玄武区走访调研</w:t>
      </w:r>
      <w:r>
        <w:rPr>
          <w:rFonts w:hint="eastAsia" w:asciiTheme="minorEastAsia" w:hAnsiTheme="minorEastAsia" w:eastAsiaTheme="minorEastAsia" w:cstheme="minorEastAsia"/>
          <w:sz w:val="32"/>
          <w:szCs w:val="32"/>
        </w:rPr>
        <w:t> </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近日，南京市贸促会会长梁洁带队到南京市玄武区走访调研，与区委书记闵一峰就落实南京会展业高质量发展行动计划和贸促业务建设进行会谈交流。</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双方围绕玄武区域特色发展，就持续开展双向贸易投资促进工作，建立长效合作机制进行了深入探讨。双方表示，将依托会展板块经济新动能提升、国际商事法律服务、贸易创新资源赋能项目等方面，进一步密切协同、务实行动。</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随后，梁洁一行还就开展“一带一路”国家服务平台有关项目实地调研，以发挥好贸易合作、商业对接、技术输出、文化交流、宣传展示强化场景创造和落地实效作用。</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cstheme="minorEastAsia"/>
          <w:sz w:val="32"/>
          <w:szCs w:val="32"/>
          <w:lang w:val="en-US" w:eastAsia="zh-CN"/>
        </w:rPr>
        <w:t xml:space="preserve">                              </w:t>
      </w:r>
      <w:r>
        <w:rPr>
          <w:rFonts w:hint="eastAsia" w:ascii="方正楷体_GBK" w:hAnsi="方正楷体_GBK" w:eastAsia="方正楷体_GBK" w:cs="方正楷体_GBK"/>
          <w:b/>
          <w:bCs/>
          <w:color w:val="FF0000"/>
          <w:sz w:val="32"/>
          <w:szCs w:val="32"/>
          <w:lang w:eastAsia="zh-CN"/>
        </w:rPr>
        <w:t>（南京贸促会）</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both"/>
        <w:textAlignment w:val="auto"/>
        <w:outlineLvl w:val="1"/>
        <w:rPr>
          <w:rFonts w:hint="eastAsia" w:asciiTheme="minorEastAsia" w:hAnsiTheme="minorEastAsia" w:eastAsiaTheme="minorEastAsia" w:cstheme="minorEastAsia"/>
          <w:sz w:val="32"/>
          <w:szCs w:val="32"/>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both"/>
        <w:textAlignment w:val="auto"/>
        <w:outlineLvl w:val="1"/>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经典行楷简" w:hAnsi="经典行楷简" w:eastAsia="经典行楷简" w:cs="经典行楷简"/>
          <w:color w:val="0070C0"/>
          <w:spacing w:val="0"/>
          <w:sz w:val="52"/>
          <w:szCs w:val="52"/>
        </w:rPr>
      </w:pPr>
      <w:r>
        <w:rPr>
          <w:rFonts w:hint="eastAsia" w:ascii="经典行楷简" w:hAnsi="经典行楷简" w:eastAsia="经典行楷简" w:cs="经典行楷简"/>
          <w:color w:val="0070C0"/>
          <w:spacing w:val="0"/>
          <w:sz w:val="52"/>
          <w:szCs w:val="52"/>
        </w:rPr>
        <w:t>常州市贸促会举办新能源储能企业</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heme="minorEastAsia" w:hAnsiTheme="minorEastAsia" w:eastAsiaTheme="minorEastAsia" w:cstheme="minorEastAsia"/>
          <w:color w:val="5784BB"/>
          <w:spacing w:val="0"/>
          <w:sz w:val="32"/>
          <w:szCs w:val="32"/>
        </w:rPr>
      </w:pPr>
      <w:r>
        <w:rPr>
          <w:rFonts w:hint="eastAsia" w:ascii="经典行楷简" w:hAnsi="经典行楷简" w:eastAsia="经典行楷简" w:cs="经典行楷简"/>
          <w:color w:val="0070C0"/>
          <w:spacing w:val="0"/>
          <w:sz w:val="52"/>
          <w:szCs w:val="52"/>
        </w:rPr>
        <w:t>国际市场（欧洲）开拓交流会</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为帮助我市新能源企业更好地开拓国际市场，17日，常州市新能源储能企业国际市场（欧洲）开拓交流会顺利举行，就国内企业“出海”欧洲的有关问题答疑解惑，并对欧洲新能源项目进行推介。交流会由荷兰江苏商会、常州市贸促会主办，新能源储能产业园区及企业代表80余人参会。</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常州市贸促会会长季斌在致辞中介绍了常州新能源之都建设的优势地位和发展潜力，以及贸促会服务我市新能源企业的重点工作。荷兰江苏商会会长沈礼发致辞中介绍了荷兰江苏商会情况及搭建的新能源领域重要合作平台。</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荷兰贸促会有关负责人介绍了荷兰的国情及营商环境，展示了荷兰经贸关系及重点产业。咨询机构代表向企业解读了中资企业投资欧洲的主要难点与便利化政策。欧洲储能行业协会有关负责人作欧洲储能产业市场分析主题演讲。会议还对今年10月即将召开的荷兰国际储能智慧能源展（ESTEC）进行了现场推介，多个欧洲新能源项目获得介绍，与会新能源企业代表展开了交流洽谈。</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 xml:space="preserve"> 荷兰是全球最大的太阳能电池进口国之一，也是欧盟从中国进口的第一大国，针对太阳能等可持续能源开发利用出台了一系列投资营商支持政策。近年来，常州抢抓新能源产业发展机遇，加快新型储能布局，增强消纳输送能力，太阳能电池、新能源汽车、动力电池等“新三样”产品年出口规模近300亿元，常州新能源企业有望进一步拓展“出海”机遇，与荷兰等海外市场加深贸易投资往来。</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方正楷体_GBK" w:hAnsi="方正楷体_GBK" w:eastAsia="方正楷体_GBK" w:cs="方正楷体_GBK"/>
          <w:b/>
          <w:bCs/>
          <w:color w:val="FF0000"/>
          <w:sz w:val="32"/>
          <w:szCs w:val="32"/>
          <w:lang w:eastAsia="zh-CN"/>
        </w:rPr>
      </w:pPr>
      <w:r>
        <w:rPr>
          <w:rFonts w:hint="eastAsia" w:asciiTheme="minorEastAsia" w:hAnsiTheme="minorEastAsia" w:eastAsiaTheme="minorEastAsia" w:cstheme="minorEastAsia"/>
          <w:sz w:val="32"/>
          <w:szCs w:val="32"/>
        </w:rPr>
        <w:t>后续，常州市贸促会将发挥创新载体支撑引领作用，紧抓新能源产业转型升级新机遇，构建务实高效交流合作平台，积极指导企业参加荷兰国际储能暨智慧能源展等境内外展会，切实帮助企业拓展新能源储能产业国际市场，助力我市国际化新能源之都建设工作。</w:t>
      </w:r>
      <w:r>
        <w:rPr>
          <w:rFonts w:hint="eastAsia" w:asciiTheme="minorEastAsia" w:hAnsiTheme="minorEastAsia" w:cstheme="minorEastAsia"/>
          <w:sz w:val="32"/>
          <w:szCs w:val="32"/>
          <w:lang w:val="en-US" w:eastAsia="zh-CN"/>
        </w:rPr>
        <w:t xml:space="preserve">                             </w:t>
      </w:r>
      <w:r>
        <w:rPr>
          <w:rFonts w:hint="eastAsia" w:ascii="方正楷体_GBK" w:hAnsi="方正楷体_GBK" w:eastAsia="方正楷体_GBK" w:cs="方正楷体_GBK"/>
          <w:b/>
          <w:bCs/>
          <w:color w:val="FF0000"/>
          <w:sz w:val="32"/>
          <w:szCs w:val="32"/>
          <w:lang w:eastAsia="zh-CN"/>
        </w:rPr>
        <w:t xml:space="preserve">（常州贸促会） </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heme="minorEastAsia" w:hAnsiTheme="minorEastAsia" w:eastAsiaTheme="minorEastAsia" w:cstheme="minorEastAsia"/>
          <w:color w:val="5784BB"/>
          <w:spacing w:val="0"/>
          <w:sz w:val="32"/>
          <w:szCs w:val="32"/>
        </w:rPr>
      </w:pPr>
      <w:r>
        <w:rPr>
          <w:rFonts w:hint="eastAsia" w:ascii="经典行楷简" w:hAnsi="经典行楷简" w:eastAsia="经典行楷简" w:cs="经典行楷简"/>
          <w:color w:val="0070C0"/>
          <w:spacing w:val="0"/>
          <w:sz w:val="52"/>
          <w:szCs w:val="52"/>
        </w:rPr>
        <w:t>中韩（盐城）商务合作交流会举行</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7月17日，中韩（盐城）商务合作交流会举行。会前，盐城市委书记周斌会见与会嘉宾。盐城市委副书记、市长张明康，韩国进口协会会长金炳官，韩国驻上海总领事金英俊，省商务厅副厅长周晓阳等出席开幕式。</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周斌在会见时对金炳官一行表示欢迎，并简要介绍盐城经济社会发展情况。他说，盐城与韩国隔海相望，历来人文相亲、文化相融，和韩国13个城市建立友好城市或友好交流城市关系，尤其是国务院批准在盐城设立中韩（盐城）产业园，为双方进一步扩大合作交流搭建了重要平台，近千家韩资企业落户盐城、深耕盐城。韩国已成为盐城第一大外资来源国和第一大贸易合作国，盐城也成为中韩两国合作最密切、韩资企业最集聚、投资回报最好的城市之一。当前，盐城正深入学习贯彻习近平总书记在盐城考察时重要指示精神，坚持以高水平对外开放引领高质量发展，持续巩固和增强经济回升向好态势，全面建设绿色低碳发展示范区，勇当全省发展新质生产力重要阵地“碳路先锋”。期待双方各展所长、发挥优势，深化全产业链、全市域、全方位交流，积极扩大投资贸易合作，共同开创合作共赢的美好明天。</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张明康在致辞中对与会嘉宾的到来表示欢迎。他说，目前，盐城正处于跨越发展、大有可为的关键时期，绿色低碳的资源优势、产业优势、生态优势正在全面彰显。我们愿与韩国携手，以友城和商会为纽带，积极探索交流合作新路径，谋求产业合作新突破，共享绿色发展新机遇，构建全面交往新格局，让更多韩国企业走进盐城，让更多盐城产品漂洋过海，不断开辟互利共赢新空间。今年我们将举办第六届中韩贸易投资博览会，诚挚邀请更多韩国企业积极参展参会，利用这一平台更好分享盐城发展红利，形成更多务实合作成果。也期待各位韩国朋友在盐城期间多走一走、看一看，亲自体验“大美湿地”的神奇美妙，亲身感受“韩风盐韵”的独特魅力。</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金炳官表示，盐城历史悠久、生态优美，是一座充满发展活力的城市，韩国进口协会将充分发挥桥梁纽带作用，为进一步推动中韩两国的合作而努力，让更多的韩国企业家到盐城投资兴业，在携手发展中实现互利共赢。金英俊表示，希望通过此次活动，进一步加深韩国进口协会与盐城之间的交流合作，促进两国企业进一步携手合作，共谋发展、互惠共赢。领事馆将不遗余力地推动盐城与韩国在经贸、文化、旅游等领域的交流与合作不断取得新的成果。周晓阳在致辞中表示，江苏与韩国互为重要的经贸合作伙伴，江苏是中国对韩贸易第一大省、韩国在华投资第一大省。省商务厅将持续打造市场化、国际化、法治化的营商环境，做好对韩经贸合作大文章，为促进对韩经贸合作创造更多的机遇、提供更加广阔的舞台。</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当天，韩国进口协会与盐城市签订战略合作协议；韩国企业与江苏相关企业进行一对一贸易洽谈。</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在盐期间，与会人员还将参观中韩（盐城）产业园规划展示馆、悦达起亚、盐城综合保税区等地。</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方正楷体_GBK" w:hAnsi="方正楷体_GBK" w:eastAsia="方正楷体_GBK" w:cs="方正楷体_GBK"/>
          <w:b/>
          <w:bCs/>
          <w:color w:val="FF0000"/>
          <w:sz w:val="32"/>
          <w:szCs w:val="32"/>
          <w:lang w:eastAsia="zh-CN"/>
        </w:rPr>
      </w:pPr>
      <w:r>
        <w:rPr>
          <w:rFonts w:hint="eastAsia" w:asciiTheme="minorEastAsia" w:hAnsiTheme="minorEastAsia" w:cstheme="minorEastAsia"/>
          <w:sz w:val="32"/>
          <w:szCs w:val="32"/>
          <w:lang w:val="en-US" w:eastAsia="zh-CN"/>
        </w:rPr>
        <w:t xml:space="preserve">                              </w:t>
      </w:r>
      <w:r>
        <w:rPr>
          <w:rFonts w:hint="eastAsia" w:ascii="方正楷体_GBK" w:hAnsi="方正楷体_GBK" w:eastAsia="方正楷体_GBK" w:cs="方正楷体_GBK"/>
          <w:b/>
          <w:bCs/>
          <w:color w:val="FF0000"/>
          <w:sz w:val="32"/>
          <w:szCs w:val="32"/>
          <w:lang w:eastAsia="zh-CN"/>
        </w:rPr>
        <w:t>（盐城贸促会）</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华文新魏" w:hAnsi="华文新魏" w:eastAsia="华文新魏" w:cs="华文新魏"/>
          <w:b/>
          <w:bCs w:val="0"/>
          <w:color w:val="FF0000"/>
          <w:spacing w:val="0"/>
          <w:sz w:val="52"/>
          <w:szCs w:val="52"/>
        </w:rPr>
      </w:pPr>
      <w:r>
        <w:rPr>
          <w:rFonts w:hint="eastAsia" w:ascii="华文新魏" w:hAnsi="华文新魏" w:eastAsia="华文新魏" w:cs="华文新魏"/>
          <w:b/>
          <w:bCs w:val="0"/>
          <w:color w:val="FF0000"/>
          <w:spacing w:val="0"/>
          <w:sz w:val="52"/>
          <w:szCs w:val="52"/>
        </w:rPr>
        <w:t>乐美包装获评2023年度</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华文新魏" w:hAnsi="华文新魏" w:eastAsia="华文新魏" w:cs="华文新魏"/>
          <w:b/>
          <w:bCs w:val="0"/>
          <w:color w:val="FF0000"/>
          <w:spacing w:val="0"/>
          <w:sz w:val="52"/>
          <w:szCs w:val="52"/>
        </w:rPr>
      </w:pPr>
      <w:r>
        <w:rPr>
          <w:rFonts w:hint="eastAsia" w:ascii="华文新魏" w:hAnsi="华文新魏" w:eastAsia="华文新魏" w:cs="华文新魏"/>
          <w:b/>
          <w:bCs w:val="0"/>
          <w:color w:val="FF0000"/>
          <w:spacing w:val="0"/>
          <w:sz w:val="52"/>
          <w:szCs w:val="52"/>
        </w:rPr>
        <w:t>省跨国公司功能性机构</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近日，昆山市现代服务业高质量发展大会召开。我会副会长单位——乐美包装（昆山）有限公司参加会议。会上，授牌表彰了一批优秀企业，第一批上台授牌企业为成功获评“2023年度省跨国公司地区总部和功能性机构”的五家企业，乐美包装为其中之一，也是高新区唯一一家获评该荣誉的企业。</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乐美包装为客户提供高档液体无菌包装解决方案，研发出免漂白的本色无菌包、替代塑料吸管的纸吸管等新产品，产品远销70多个国家和地区的300多家客户。2023年，企业销售收入达23亿元。</w:t>
      </w:r>
    </w:p>
    <w:p>
      <w:pPr>
        <w:ind w:firstLine="3648" w:firstLineChars="1200"/>
        <w:rPr>
          <w:rFonts w:hint="eastAsia" w:ascii="方正楷体_GBK" w:hAnsi="方正楷体_GBK" w:eastAsia="方正楷体_GBK" w:cs="方正楷体_GBK"/>
          <w:b/>
          <w:bCs w:val="0"/>
          <w:color w:val="FF0000"/>
          <w:sz w:val="32"/>
          <w:szCs w:val="32"/>
        </w:rPr>
      </w:pPr>
      <w:r>
        <w:rPr>
          <w:rFonts w:hint="eastAsia" w:ascii="方正楷体_GBK" w:hAnsi="方正楷体_GBK" w:eastAsia="方正楷体_GBK" w:cs="方正楷体_GBK"/>
          <w:b/>
          <w:bCs w:val="0"/>
          <w:color w:val="FF0000"/>
          <w:sz w:val="32"/>
          <w:szCs w:val="32"/>
        </w:rPr>
        <w:t>（来源：乐美包装微信公众号）</w:t>
      </w:r>
    </w:p>
    <w:p>
      <w:pPr>
        <w:spacing w:line="440" w:lineRule="exact"/>
        <w:jc w:val="left"/>
        <w:rPr>
          <w:rFonts w:hint="default" w:ascii="方正楷体_GBK" w:hAnsi="方正楷体_GBK" w:eastAsia="方正楷体_GBK" w:cs="方正楷体_GBK"/>
          <w:b/>
          <w:bCs/>
          <w:color w:val="FF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华文新魏" w:hAnsi="华文新魏" w:eastAsia="华文新魏" w:cs="华文新魏"/>
          <w:b/>
          <w:bCs w:val="0"/>
          <w:color w:val="FF0000"/>
          <w:sz w:val="52"/>
          <w:szCs w:val="52"/>
        </w:rPr>
      </w:pPr>
      <w:r>
        <w:rPr>
          <w:rFonts w:hint="eastAsia" w:ascii="华文新魏" w:hAnsi="华文新魏" w:eastAsia="华文新魏" w:cs="华文新魏"/>
          <w:b/>
          <w:bCs w:val="0"/>
          <w:color w:val="FF0000"/>
          <w:sz w:val="52"/>
          <w:szCs w:val="52"/>
        </w:rPr>
        <w:t>远东电缆荣获CCC认证A类企业</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近日，中国质量认证中心为我会副会长单位——远东电缆有限公司颁发CCC认证A类企业（数字化认证）证书。中国强制性产品认证（简称3C认证）是国家设立的一种产品质量认证制度，对于保障消费者权益、提升产品质量、促进产业升级具有重要意义。</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一直以来，远东电缆始终坚持提供“极致的产品和服务”，通过引进先进的生产线和辅助设备，实现了生产数据的自动采集、工艺信息的互联互通以及生产过程的自动化监控，提高产品的稳定性和生产效率，降低运营成本，为企业的高质量发展奠定了坚实基础。</w:t>
      </w:r>
    </w:p>
    <w:p>
      <w:pPr>
        <w:keepNext w:val="0"/>
        <w:keepLines w:val="0"/>
        <w:pageBreakBefore w:val="0"/>
        <w:widowControl w:val="0"/>
        <w:kinsoku/>
        <w:wordWrap/>
        <w:overflowPunct/>
        <w:topLinePunct w:val="0"/>
        <w:autoSpaceDE/>
        <w:autoSpaceDN/>
        <w:bidi w:val="0"/>
        <w:adjustRightInd/>
        <w:snapToGrid/>
        <w:ind w:firstLine="3432" w:firstLineChars="1300"/>
        <w:textAlignment w:val="auto"/>
        <w:outlineLvl w:val="9"/>
        <w:rPr>
          <w:rFonts w:hint="eastAsia" w:ascii="方正楷体_GBK" w:hAnsi="方正楷体_GBK" w:eastAsia="方正楷体_GBK" w:cs="方正楷体_GBK"/>
          <w:b/>
          <w:bCs w:val="0"/>
          <w:color w:val="FF0000"/>
          <w:spacing w:val="-20"/>
          <w:sz w:val="32"/>
          <w:szCs w:val="32"/>
        </w:rPr>
      </w:pPr>
      <w:r>
        <w:rPr>
          <w:rFonts w:hint="eastAsia" w:ascii="方正楷体_GBK" w:hAnsi="方正楷体_GBK" w:eastAsia="方正楷体_GBK" w:cs="方正楷体_GBK"/>
          <w:b/>
          <w:bCs w:val="0"/>
          <w:color w:val="FF0000"/>
          <w:spacing w:val="-20"/>
          <w:sz w:val="32"/>
          <w:szCs w:val="32"/>
        </w:rPr>
        <w:t>（来源：远东电缆微信公众号）</w:t>
      </w:r>
    </w:p>
    <w:p>
      <w:pPr>
        <w:spacing w:line="440" w:lineRule="exact"/>
        <w:jc w:val="left"/>
        <w:rPr>
          <w:rFonts w:hint="default" w:ascii="方正楷体_GBK" w:hAnsi="方正楷体_GBK" w:eastAsia="方正楷体_GBK" w:cs="方正楷体_GBK"/>
          <w:b/>
          <w:bCs/>
          <w:color w:val="FF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华文新魏" w:hAnsi="华文新魏" w:eastAsia="华文新魏" w:cs="华文新魏"/>
          <w:b/>
          <w:bCs w:val="0"/>
          <w:color w:val="FF0000"/>
          <w:sz w:val="52"/>
          <w:szCs w:val="52"/>
        </w:rPr>
      </w:pPr>
      <w:r>
        <w:rPr>
          <w:rFonts w:hint="eastAsia" w:ascii="华文新魏" w:hAnsi="华文新魏" w:eastAsia="华文新魏" w:cs="华文新魏"/>
          <w:b/>
          <w:bCs w:val="0"/>
          <w:color w:val="FF0000"/>
          <w:sz w:val="52"/>
          <w:szCs w:val="52"/>
        </w:rPr>
        <w:t>苏豪文化集团调研玉龙县</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Times New Roman" w:hAnsi="Times New Roman" w:eastAsia="方正楷体_GBK" w:cs="Times New Roman"/>
          <w:bCs/>
          <w:sz w:val="32"/>
          <w:szCs w:val="32"/>
        </w:rPr>
      </w:pPr>
      <w:r>
        <w:rPr>
          <w:rFonts w:hint="eastAsia" w:ascii="华文新魏" w:hAnsi="华文新魏" w:eastAsia="华文新魏" w:cs="华文新魏"/>
          <w:b/>
          <w:bCs w:val="0"/>
          <w:color w:val="FF0000"/>
          <w:sz w:val="52"/>
          <w:szCs w:val="52"/>
        </w:rPr>
        <w:t>并签署战略合作协议</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近日，我会理事单位——苏豪文化集团有限公司总经理陈云梅率团队调研玉龙县，双方就玉龙县文旅产业转型升级、现代农文商旅融合更好助力乡村振兴、纳西文化的传承与传播等进行交流座谈。</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color w:val="000000"/>
          <w:sz w:val="32"/>
          <w:szCs w:val="32"/>
        </w:rPr>
      </w:pPr>
      <w:r>
        <w:rPr>
          <w:rFonts w:hint="eastAsia" w:asciiTheme="minorEastAsia" w:hAnsiTheme="minorEastAsia" w:eastAsiaTheme="minorEastAsia" w:cstheme="minorEastAsia"/>
          <w:color w:val="000000"/>
          <w:sz w:val="32"/>
          <w:szCs w:val="32"/>
        </w:rPr>
        <w:t>调研会上，陈云梅介绍了苏豪文化集团的基本情况。她表示，玉龙县文旅资源富集，文旅产业基础扎实，希望双方以本次签约为契机，进一步发挥各自优势，以文旅景区运营、景区设备更新、景区交通、酒店建设等项目合作为切入点，持续推进文旅产业提档升级，积极探索农文商旅深度融合的创新实践路径，加快谋划推动更多项目落地落实，携手更高层次互利共赢。</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color w:val="000000"/>
          <w:sz w:val="32"/>
          <w:szCs w:val="32"/>
        </w:rPr>
        <w:t>会上，玉龙县、苏豪文化集团、丽江天意集旅游发展有限公司三方签订合作框架协议，三方将进一步加大文旅等各方面的投资建设力度，不断拓展合作成果、丰富合作领域、提升合作层次，为促进玉龙文旅产业转型升级提供更多支持。</w:t>
      </w:r>
      <w:r>
        <w:rPr>
          <w:rFonts w:hint="eastAsia" w:ascii="方正楷体_GBK" w:hAnsi="方正楷体_GBK" w:eastAsia="方正楷体_GBK" w:cs="方正楷体_GBK"/>
          <w:b/>
          <w:bCs w:val="0"/>
          <w:color w:val="FF0000"/>
          <w:spacing w:val="-20"/>
          <w:sz w:val="32"/>
          <w:szCs w:val="32"/>
        </w:rPr>
        <w:t>（来源：苏豪文化集团官网）</w:t>
      </w:r>
    </w:p>
    <w:sectPr>
      <w:footerReference r:id="rId4"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经典行楷简">
    <w:panose1 w:val="02010609000101010101"/>
    <w:charset w:val="86"/>
    <w:family w:val="auto"/>
    <w:pitch w:val="default"/>
    <w:sig w:usb0="A1007AEF" w:usb1="F9DF7CFB" w:usb2="0000001E" w:usb3="00000000" w:csb0="2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Malgun Gothic">
    <w:panose1 w:val="020B0503020000020004"/>
    <w:charset w:val="81"/>
    <w:family w:val="auto"/>
    <w:pitch w:val="default"/>
    <w:sig w:usb0="9000002F" w:usb1="29D77CFB" w:usb2="00000012" w:usb3="00000000" w:csb0="00080001" w:csb1="00000000"/>
  </w:font>
  <w:font w:name="Calibri Light">
    <w:panose1 w:val="020F0302020204030204"/>
    <w:charset w:val="00"/>
    <w:family w:val="auto"/>
    <w:pitch w:val="default"/>
    <w:sig w:usb0="E0002A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新宋体">
    <w:panose1 w:val="02010609030101010101"/>
    <w:charset w:val="86"/>
    <w:family w:val="auto"/>
    <w:pitch w:val="default"/>
    <w:sig w:usb0="00000283" w:usb1="288F0000" w:usb2="00000006" w:usb3="00000000" w:csb0="00040001" w:csb1="00000000"/>
  </w:font>
  <w:font w:name="方正兰亭超细黑简体">
    <w:panose1 w:val="02000000000000000000"/>
    <w:charset w:val="86"/>
    <w:family w:val="auto"/>
    <w:pitch w:val="default"/>
    <w:sig w:usb0="00000001" w:usb1="08000000" w:usb2="00000000" w:usb3="00000000" w:csb0="00040000" w:csb1="00000000"/>
  </w:font>
  <w:font w:name="方正大标宋简体">
    <w:panose1 w:val="03000509000000000000"/>
    <w:charset w:val="86"/>
    <w:family w:val="auto"/>
    <w:pitch w:val="default"/>
    <w:sig w:usb0="00000001"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-235585</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pt;margin-top:-18.55pt;height:144pt;width:144pt;mso-position-horizontal-relative:margin;mso-wrap-style:none;z-index:251659264;mso-width-relative:page;mso-height-relative:page;" filled="f" stroked="f" coordsize="21600,21600" o:gfxdata="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jkjYdYAAAAIAQAA&#10;DwAAAAAAAAABACAAAAAiAAAAZHJzL2Rvd25yZXYueG1sUEsBAhQAFAAAAAgAh07iQCOFi7YbAgAA&#10;IQQAAA4AAAAAAAAAAQAgAAAAJQEAAGRycy9lMm9Eb2MueG1sUEsFBgAAAAAGAAYAWQEAALIFAAAA&#10;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800B0"/>
    <w:rsid w:val="00093D01"/>
    <w:rsid w:val="00097083"/>
    <w:rsid w:val="000C6CC2"/>
    <w:rsid w:val="001156B9"/>
    <w:rsid w:val="00145330"/>
    <w:rsid w:val="00154806"/>
    <w:rsid w:val="001F2C95"/>
    <w:rsid w:val="00215B64"/>
    <w:rsid w:val="002840B7"/>
    <w:rsid w:val="003208B4"/>
    <w:rsid w:val="003671B0"/>
    <w:rsid w:val="003C691D"/>
    <w:rsid w:val="003F32D7"/>
    <w:rsid w:val="0042623F"/>
    <w:rsid w:val="0043286B"/>
    <w:rsid w:val="00467C46"/>
    <w:rsid w:val="005279A4"/>
    <w:rsid w:val="005A092B"/>
    <w:rsid w:val="006B63D3"/>
    <w:rsid w:val="006C0C2E"/>
    <w:rsid w:val="00723B7D"/>
    <w:rsid w:val="007C2A82"/>
    <w:rsid w:val="007E11E9"/>
    <w:rsid w:val="008B2F92"/>
    <w:rsid w:val="008E3499"/>
    <w:rsid w:val="008F79A9"/>
    <w:rsid w:val="00906A61"/>
    <w:rsid w:val="00962249"/>
    <w:rsid w:val="00A0554E"/>
    <w:rsid w:val="00A55B3B"/>
    <w:rsid w:val="00B35803"/>
    <w:rsid w:val="00B45E3E"/>
    <w:rsid w:val="00B528B9"/>
    <w:rsid w:val="00C16462"/>
    <w:rsid w:val="00C66488"/>
    <w:rsid w:val="00CA656E"/>
    <w:rsid w:val="00CE04E4"/>
    <w:rsid w:val="00D0085C"/>
    <w:rsid w:val="00D9651F"/>
    <w:rsid w:val="00DB54B3"/>
    <w:rsid w:val="00DF053C"/>
    <w:rsid w:val="00E278B0"/>
    <w:rsid w:val="00E76B4E"/>
    <w:rsid w:val="00FC3867"/>
    <w:rsid w:val="010007F1"/>
    <w:rsid w:val="01123C24"/>
    <w:rsid w:val="01281FA6"/>
    <w:rsid w:val="0129652A"/>
    <w:rsid w:val="012C4A94"/>
    <w:rsid w:val="0134238F"/>
    <w:rsid w:val="01434062"/>
    <w:rsid w:val="014F3F68"/>
    <w:rsid w:val="015A28DE"/>
    <w:rsid w:val="01603797"/>
    <w:rsid w:val="01607B5B"/>
    <w:rsid w:val="01614C4F"/>
    <w:rsid w:val="016607CF"/>
    <w:rsid w:val="01687C29"/>
    <w:rsid w:val="016C6133"/>
    <w:rsid w:val="016D0719"/>
    <w:rsid w:val="01730647"/>
    <w:rsid w:val="017F7312"/>
    <w:rsid w:val="0183354F"/>
    <w:rsid w:val="018A4341"/>
    <w:rsid w:val="018D1ED5"/>
    <w:rsid w:val="018E0532"/>
    <w:rsid w:val="01944C0D"/>
    <w:rsid w:val="019652A2"/>
    <w:rsid w:val="019A0A9C"/>
    <w:rsid w:val="019E5AF8"/>
    <w:rsid w:val="01A05888"/>
    <w:rsid w:val="01A2463C"/>
    <w:rsid w:val="01A277CA"/>
    <w:rsid w:val="01A536F0"/>
    <w:rsid w:val="01AB72AD"/>
    <w:rsid w:val="01AD0FC0"/>
    <w:rsid w:val="01AF0E83"/>
    <w:rsid w:val="01B74B80"/>
    <w:rsid w:val="01B76B70"/>
    <w:rsid w:val="01BC47E4"/>
    <w:rsid w:val="01BD0D3F"/>
    <w:rsid w:val="01C277DB"/>
    <w:rsid w:val="01CB201F"/>
    <w:rsid w:val="01D01DDD"/>
    <w:rsid w:val="01D83F23"/>
    <w:rsid w:val="01DA121B"/>
    <w:rsid w:val="01E02E8A"/>
    <w:rsid w:val="01EB6FF4"/>
    <w:rsid w:val="01EC6C1A"/>
    <w:rsid w:val="01F43D5D"/>
    <w:rsid w:val="01F53962"/>
    <w:rsid w:val="01F739C6"/>
    <w:rsid w:val="01FE284A"/>
    <w:rsid w:val="0202118C"/>
    <w:rsid w:val="020C0504"/>
    <w:rsid w:val="020F3F82"/>
    <w:rsid w:val="021337A8"/>
    <w:rsid w:val="02154F00"/>
    <w:rsid w:val="02200558"/>
    <w:rsid w:val="022C2DDE"/>
    <w:rsid w:val="023265E5"/>
    <w:rsid w:val="024125AD"/>
    <w:rsid w:val="02424F98"/>
    <w:rsid w:val="02451830"/>
    <w:rsid w:val="024B4F65"/>
    <w:rsid w:val="02522774"/>
    <w:rsid w:val="02716397"/>
    <w:rsid w:val="027B1EF4"/>
    <w:rsid w:val="027D39C5"/>
    <w:rsid w:val="02842B55"/>
    <w:rsid w:val="02850B1B"/>
    <w:rsid w:val="028D4134"/>
    <w:rsid w:val="028E239B"/>
    <w:rsid w:val="028E669E"/>
    <w:rsid w:val="02945151"/>
    <w:rsid w:val="02994D24"/>
    <w:rsid w:val="02AA4579"/>
    <w:rsid w:val="02B452E0"/>
    <w:rsid w:val="02B7449E"/>
    <w:rsid w:val="02B93913"/>
    <w:rsid w:val="02C7326C"/>
    <w:rsid w:val="02CA2014"/>
    <w:rsid w:val="02CE36F0"/>
    <w:rsid w:val="02D253BA"/>
    <w:rsid w:val="02D664A5"/>
    <w:rsid w:val="02D70120"/>
    <w:rsid w:val="02E746B3"/>
    <w:rsid w:val="02EA0804"/>
    <w:rsid w:val="02F03F7A"/>
    <w:rsid w:val="02F04987"/>
    <w:rsid w:val="02F3072B"/>
    <w:rsid w:val="02F35039"/>
    <w:rsid w:val="02F4686A"/>
    <w:rsid w:val="02F50E1A"/>
    <w:rsid w:val="02FC365E"/>
    <w:rsid w:val="03032EA1"/>
    <w:rsid w:val="03055083"/>
    <w:rsid w:val="030A33B2"/>
    <w:rsid w:val="0312457C"/>
    <w:rsid w:val="03173E54"/>
    <w:rsid w:val="03276EB0"/>
    <w:rsid w:val="03320DD5"/>
    <w:rsid w:val="03367B19"/>
    <w:rsid w:val="033F3094"/>
    <w:rsid w:val="033F5E23"/>
    <w:rsid w:val="0341739D"/>
    <w:rsid w:val="034A5312"/>
    <w:rsid w:val="035906B9"/>
    <w:rsid w:val="035A07AB"/>
    <w:rsid w:val="035F7880"/>
    <w:rsid w:val="036572E0"/>
    <w:rsid w:val="036773BE"/>
    <w:rsid w:val="036B41D2"/>
    <w:rsid w:val="03745931"/>
    <w:rsid w:val="0375270B"/>
    <w:rsid w:val="0376026A"/>
    <w:rsid w:val="03763E10"/>
    <w:rsid w:val="03795E56"/>
    <w:rsid w:val="038F00BD"/>
    <w:rsid w:val="038F07EB"/>
    <w:rsid w:val="039F6B79"/>
    <w:rsid w:val="03A054FE"/>
    <w:rsid w:val="03A634A2"/>
    <w:rsid w:val="03A710E3"/>
    <w:rsid w:val="03AB7076"/>
    <w:rsid w:val="03B75E22"/>
    <w:rsid w:val="03B93704"/>
    <w:rsid w:val="03C7124D"/>
    <w:rsid w:val="03C956D7"/>
    <w:rsid w:val="03CD065E"/>
    <w:rsid w:val="03CD0F50"/>
    <w:rsid w:val="03D96519"/>
    <w:rsid w:val="03DC76EB"/>
    <w:rsid w:val="03DD4156"/>
    <w:rsid w:val="03DF3AAC"/>
    <w:rsid w:val="03DF7C94"/>
    <w:rsid w:val="03E4053E"/>
    <w:rsid w:val="03EE2D2D"/>
    <w:rsid w:val="03EE5120"/>
    <w:rsid w:val="03F95EAB"/>
    <w:rsid w:val="03FA4378"/>
    <w:rsid w:val="040D5A59"/>
    <w:rsid w:val="040E59E0"/>
    <w:rsid w:val="04177E90"/>
    <w:rsid w:val="041B3B0D"/>
    <w:rsid w:val="041F33A4"/>
    <w:rsid w:val="04227E09"/>
    <w:rsid w:val="04256881"/>
    <w:rsid w:val="042C1175"/>
    <w:rsid w:val="042E72BA"/>
    <w:rsid w:val="042F6E48"/>
    <w:rsid w:val="04361A54"/>
    <w:rsid w:val="043837D8"/>
    <w:rsid w:val="043F0FCC"/>
    <w:rsid w:val="0458216E"/>
    <w:rsid w:val="04633D2A"/>
    <w:rsid w:val="046441B2"/>
    <w:rsid w:val="0470619B"/>
    <w:rsid w:val="047264E0"/>
    <w:rsid w:val="047929EC"/>
    <w:rsid w:val="047931E4"/>
    <w:rsid w:val="047B754C"/>
    <w:rsid w:val="047C330E"/>
    <w:rsid w:val="04802BB2"/>
    <w:rsid w:val="048112FB"/>
    <w:rsid w:val="048A77DB"/>
    <w:rsid w:val="048B08F7"/>
    <w:rsid w:val="04997356"/>
    <w:rsid w:val="04B3013F"/>
    <w:rsid w:val="04BA605B"/>
    <w:rsid w:val="04BB6582"/>
    <w:rsid w:val="04BF51D4"/>
    <w:rsid w:val="04C30370"/>
    <w:rsid w:val="04C369FD"/>
    <w:rsid w:val="04C87276"/>
    <w:rsid w:val="04CE7B7F"/>
    <w:rsid w:val="04D13EAB"/>
    <w:rsid w:val="04D81CE8"/>
    <w:rsid w:val="04E16ACF"/>
    <w:rsid w:val="04E92750"/>
    <w:rsid w:val="04ED1D07"/>
    <w:rsid w:val="04F33CBA"/>
    <w:rsid w:val="04FB0B72"/>
    <w:rsid w:val="05006805"/>
    <w:rsid w:val="05017788"/>
    <w:rsid w:val="051142A3"/>
    <w:rsid w:val="05150D13"/>
    <w:rsid w:val="052054D4"/>
    <w:rsid w:val="052C7639"/>
    <w:rsid w:val="054A7C8A"/>
    <w:rsid w:val="055D26AF"/>
    <w:rsid w:val="056534E0"/>
    <w:rsid w:val="056834A8"/>
    <w:rsid w:val="05684832"/>
    <w:rsid w:val="056C0F36"/>
    <w:rsid w:val="056E79C6"/>
    <w:rsid w:val="057A799E"/>
    <w:rsid w:val="058647BE"/>
    <w:rsid w:val="05880374"/>
    <w:rsid w:val="05881910"/>
    <w:rsid w:val="05913966"/>
    <w:rsid w:val="059F17BF"/>
    <w:rsid w:val="05A259F9"/>
    <w:rsid w:val="05A72CCC"/>
    <w:rsid w:val="05A73DC5"/>
    <w:rsid w:val="05B336D5"/>
    <w:rsid w:val="05CC2A3B"/>
    <w:rsid w:val="05CD0D9A"/>
    <w:rsid w:val="05CF249D"/>
    <w:rsid w:val="05D14319"/>
    <w:rsid w:val="05D714EA"/>
    <w:rsid w:val="05E536E6"/>
    <w:rsid w:val="05EA1C44"/>
    <w:rsid w:val="05F2445C"/>
    <w:rsid w:val="06077942"/>
    <w:rsid w:val="060A0D89"/>
    <w:rsid w:val="060C359D"/>
    <w:rsid w:val="060F3722"/>
    <w:rsid w:val="062B0B83"/>
    <w:rsid w:val="062C6587"/>
    <w:rsid w:val="062D67C8"/>
    <w:rsid w:val="06301A1B"/>
    <w:rsid w:val="0633380C"/>
    <w:rsid w:val="0638362B"/>
    <w:rsid w:val="063E600A"/>
    <w:rsid w:val="06405659"/>
    <w:rsid w:val="064F5725"/>
    <w:rsid w:val="06510CDF"/>
    <w:rsid w:val="065C27A8"/>
    <w:rsid w:val="065F50DA"/>
    <w:rsid w:val="06602F2C"/>
    <w:rsid w:val="06626021"/>
    <w:rsid w:val="066D2CED"/>
    <w:rsid w:val="066E2C0B"/>
    <w:rsid w:val="06700010"/>
    <w:rsid w:val="06734EB6"/>
    <w:rsid w:val="067C24CF"/>
    <w:rsid w:val="068A1FDD"/>
    <w:rsid w:val="069002BE"/>
    <w:rsid w:val="06906B8C"/>
    <w:rsid w:val="069725BC"/>
    <w:rsid w:val="069A3A7C"/>
    <w:rsid w:val="06A24D7D"/>
    <w:rsid w:val="06A5790B"/>
    <w:rsid w:val="06A729E1"/>
    <w:rsid w:val="06AB1C7E"/>
    <w:rsid w:val="06AC05E7"/>
    <w:rsid w:val="06AF1D16"/>
    <w:rsid w:val="06AF3414"/>
    <w:rsid w:val="06B15237"/>
    <w:rsid w:val="06BA5EB2"/>
    <w:rsid w:val="06D17DB1"/>
    <w:rsid w:val="06E444B8"/>
    <w:rsid w:val="070615F0"/>
    <w:rsid w:val="07085235"/>
    <w:rsid w:val="07146D7A"/>
    <w:rsid w:val="071A4300"/>
    <w:rsid w:val="0724090E"/>
    <w:rsid w:val="072C5901"/>
    <w:rsid w:val="072D6955"/>
    <w:rsid w:val="07355298"/>
    <w:rsid w:val="073633AE"/>
    <w:rsid w:val="0738618B"/>
    <w:rsid w:val="074E1705"/>
    <w:rsid w:val="074E279C"/>
    <w:rsid w:val="075268B6"/>
    <w:rsid w:val="075C0378"/>
    <w:rsid w:val="075C613A"/>
    <w:rsid w:val="07616A73"/>
    <w:rsid w:val="0768627D"/>
    <w:rsid w:val="07774E9B"/>
    <w:rsid w:val="07886D75"/>
    <w:rsid w:val="079A77BC"/>
    <w:rsid w:val="079D6C92"/>
    <w:rsid w:val="079E20C5"/>
    <w:rsid w:val="07A757F6"/>
    <w:rsid w:val="07A92FCD"/>
    <w:rsid w:val="07AB5A16"/>
    <w:rsid w:val="07C32EAB"/>
    <w:rsid w:val="07CE7516"/>
    <w:rsid w:val="07DA5629"/>
    <w:rsid w:val="07DE3B60"/>
    <w:rsid w:val="07E54B9E"/>
    <w:rsid w:val="08010DA7"/>
    <w:rsid w:val="08033960"/>
    <w:rsid w:val="080F3123"/>
    <w:rsid w:val="08220E8F"/>
    <w:rsid w:val="08242F28"/>
    <w:rsid w:val="08252E6C"/>
    <w:rsid w:val="08275EA4"/>
    <w:rsid w:val="08294CB5"/>
    <w:rsid w:val="083036B5"/>
    <w:rsid w:val="08310F19"/>
    <w:rsid w:val="08331FC1"/>
    <w:rsid w:val="083611A9"/>
    <w:rsid w:val="083901EB"/>
    <w:rsid w:val="08394081"/>
    <w:rsid w:val="083943C5"/>
    <w:rsid w:val="08395DAB"/>
    <w:rsid w:val="08404FD2"/>
    <w:rsid w:val="084A2513"/>
    <w:rsid w:val="08515651"/>
    <w:rsid w:val="08587D37"/>
    <w:rsid w:val="085D6EF2"/>
    <w:rsid w:val="085F59AE"/>
    <w:rsid w:val="086303CB"/>
    <w:rsid w:val="08674312"/>
    <w:rsid w:val="0875786E"/>
    <w:rsid w:val="0881684A"/>
    <w:rsid w:val="08927463"/>
    <w:rsid w:val="08991A5A"/>
    <w:rsid w:val="089C49FA"/>
    <w:rsid w:val="08AF073A"/>
    <w:rsid w:val="08BD5FE1"/>
    <w:rsid w:val="08BE7798"/>
    <w:rsid w:val="08C333B4"/>
    <w:rsid w:val="08C46A4F"/>
    <w:rsid w:val="08C654F8"/>
    <w:rsid w:val="08CA79C7"/>
    <w:rsid w:val="08D54B6A"/>
    <w:rsid w:val="08D73E78"/>
    <w:rsid w:val="08DB6139"/>
    <w:rsid w:val="08DD4FAE"/>
    <w:rsid w:val="08DE001E"/>
    <w:rsid w:val="08DE502C"/>
    <w:rsid w:val="08DE7E03"/>
    <w:rsid w:val="08ED6D3B"/>
    <w:rsid w:val="08FB16E4"/>
    <w:rsid w:val="08FB2C3C"/>
    <w:rsid w:val="08FE2EDE"/>
    <w:rsid w:val="08FE5206"/>
    <w:rsid w:val="09140F8D"/>
    <w:rsid w:val="09155095"/>
    <w:rsid w:val="091D10D0"/>
    <w:rsid w:val="09210482"/>
    <w:rsid w:val="092105FC"/>
    <w:rsid w:val="09222AB2"/>
    <w:rsid w:val="09266115"/>
    <w:rsid w:val="093303B8"/>
    <w:rsid w:val="094318A6"/>
    <w:rsid w:val="09446DB4"/>
    <w:rsid w:val="094811BB"/>
    <w:rsid w:val="094F18C1"/>
    <w:rsid w:val="0954257E"/>
    <w:rsid w:val="09583F76"/>
    <w:rsid w:val="095929D4"/>
    <w:rsid w:val="095A003F"/>
    <w:rsid w:val="095B02C8"/>
    <w:rsid w:val="09606CDC"/>
    <w:rsid w:val="09631FC1"/>
    <w:rsid w:val="09651D94"/>
    <w:rsid w:val="098A1F77"/>
    <w:rsid w:val="099872CF"/>
    <w:rsid w:val="09991A94"/>
    <w:rsid w:val="09A137B2"/>
    <w:rsid w:val="09A2636C"/>
    <w:rsid w:val="09A44BA0"/>
    <w:rsid w:val="09AA495F"/>
    <w:rsid w:val="09AC53C9"/>
    <w:rsid w:val="09B630C3"/>
    <w:rsid w:val="09BD4BE0"/>
    <w:rsid w:val="09C222A5"/>
    <w:rsid w:val="09C27E4D"/>
    <w:rsid w:val="09C81C8D"/>
    <w:rsid w:val="09CB6B07"/>
    <w:rsid w:val="09CC1439"/>
    <w:rsid w:val="09CD0E22"/>
    <w:rsid w:val="09CD713D"/>
    <w:rsid w:val="09FA2B3C"/>
    <w:rsid w:val="09FA772F"/>
    <w:rsid w:val="09FB6D64"/>
    <w:rsid w:val="0A030CE9"/>
    <w:rsid w:val="0A0D0EE1"/>
    <w:rsid w:val="0A33530F"/>
    <w:rsid w:val="0A346C5C"/>
    <w:rsid w:val="0A4707FD"/>
    <w:rsid w:val="0A486965"/>
    <w:rsid w:val="0A4B2E8D"/>
    <w:rsid w:val="0A5317DF"/>
    <w:rsid w:val="0A534D83"/>
    <w:rsid w:val="0A564C39"/>
    <w:rsid w:val="0A5B0F4C"/>
    <w:rsid w:val="0A61640A"/>
    <w:rsid w:val="0A6536D8"/>
    <w:rsid w:val="0A6A580E"/>
    <w:rsid w:val="0A6B730C"/>
    <w:rsid w:val="0A7611EF"/>
    <w:rsid w:val="0A765DBA"/>
    <w:rsid w:val="0A7A1EF7"/>
    <w:rsid w:val="0A937773"/>
    <w:rsid w:val="0A987047"/>
    <w:rsid w:val="0AA05D85"/>
    <w:rsid w:val="0AAD109D"/>
    <w:rsid w:val="0ABB417A"/>
    <w:rsid w:val="0ABE47A4"/>
    <w:rsid w:val="0ACC2910"/>
    <w:rsid w:val="0ACC3151"/>
    <w:rsid w:val="0AD014F5"/>
    <w:rsid w:val="0AD16821"/>
    <w:rsid w:val="0AD45A3C"/>
    <w:rsid w:val="0AD60B60"/>
    <w:rsid w:val="0AD90962"/>
    <w:rsid w:val="0ADC78D2"/>
    <w:rsid w:val="0ADF4793"/>
    <w:rsid w:val="0AE11813"/>
    <w:rsid w:val="0AE3323E"/>
    <w:rsid w:val="0AEB11A6"/>
    <w:rsid w:val="0AEC3E44"/>
    <w:rsid w:val="0AEE609E"/>
    <w:rsid w:val="0AEF478A"/>
    <w:rsid w:val="0AF51E84"/>
    <w:rsid w:val="0B041299"/>
    <w:rsid w:val="0B062542"/>
    <w:rsid w:val="0B0E47F4"/>
    <w:rsid w:val="0B1C17AD"/>
    <w:rsid w:val="0B283787"/>
    <w:rsid w:val="0B2D6F6E"/>
    <w:rsid w:val="0B324CD2"/>
    <w:rsid w:val="0B345DB1"/>
    <w:rsid w:val="0B363DD8"/>
    <w:rsid w:val="0B3A4657"/>
    <w:rsid w:val="0B3C5BB9"/>
    <w:rsid w:val="0B4372E2"/>
    <w:rsid w:val="0B4A2280"/>
    <w:rsid w:val="0B5A2079"/>
    <w:rsid w:val="0B5B5996"/>
    <w:rsid w:val="0B5C3E34"/>
    <w:rsid w:val="0B6075D7"/>
    <w:rsid w:val="0B627AD4"/>
    <w:rsid w:val="0B6A0BB3"/>
    <w:rsid w:val="0B735FF2"/>
    <w:rsid w:val="0B792EB2"/>
    <w:rsid w:val="0B8035EB"/>
    <w:rsid w:val="0B84164E"/>
    <w:rsid w:val="0B89731E"/>
    <w:rsid w:val="0B904412"/>
    <w:rsid w:val="0B90485D"/>
    <w:rsid w:val="0B913EDA"/>
    <w:rsid w:val="0B9C76A8"/>
    <w:rsid w:val="0BA50775"/>
    <w:rsid w:val="0BA749E5"/>
    <w:rsid w:val="0BAC24A8"/>
    <w:rsid w:val="0BAE1323"/>
    <w:rsid w:val="0BB42E0A"/>
    <w:rsid w:val="0BBA3391"/>
    <w:rsid w:val="0BDC3258"/>
    <w:rsid w:val="0BDE3581"/>
    <w:rsid w:val="0BE52963"/>
    <w:rsid w:val="0BE85349"/>
    <w:rsid w:val="0BF57A28"/>
    <w:rsid w:val="0BF845E9"/>
    <w:rsid w:val="0BFA1A53"/>
    <w:rsid w:val="0C074F06"/>
    <w:rsid w:val="0C0B1E5B"/>
    <w:rsid w:val="0C146F99"/>
    <w:rsid w:val="0C1A584B"/>
    <w:rsid w:val="0C1B147F"/>
    <w:rsid w:val="0C2275D5"/>
    <w:rsid w:val="0C2D70F9"/>
    <w:rsid w:val="0C342312"/>
    <w:rsid w:val="0C363AA9"/>
    <w:rsid w:val="0C456335"/>
    <w:rsid w:val="0C53740C"/>
    <w:rsid w:val="0C563E70"/>
    <w:rsid w:val="0C631545"/>
    <w:rsid w:val="0C6E187C"/>
    <w:rsid w:val="0C7D4D8F"/>
    <w:rsid w:val="0C80052F"/>
    <w:rsid w:val="0C8C06D3"/>
    <w:rsid w:val="0C900DC2"/>
    <w:rsid w:val="0C980884"/>
    <w:rsid w:val="0C9961AF"/>
    <w:rsid w:val="0C9A50FF"/>
    <w:rsid w:val="0C9B3EE0"/>
    <w:rsid w:val="0C9C2E80"/>
    <w:rsid w:val="0CA20B1F"/>
    <w:rsid w:val="0CA44E41"/>
    <w:rsid w:val="0CA77405"/>
    <w:rsid w:val="0CA83489"/>
    <w:rsid w:val="0CA96FA5"/>
    <w:rsid w:val="0CAE5B1B"/>
    <w:rsid w:val="0CB224D8"/>
    <w:rsid w:val="0CB31FF7"/>
    <w:rsid w:val="0CB45BFD"/>
    <w:rsid w:val="0CB7503A"/>
    <w:rsid w:val="0CB75099"/>
    <w:rsid w:val="0CB80D6E"/>
    <w:rsid w:val="0CBF360E"/>
    <w:rsid w:val="0CC10497"/>
    <w:rsid w:val="0CC30BC5"/>
    <w:rsid w:val="0CC42150"/>
    <w:rsid w:val="0CC45545"/>
    <w:rsid w:val="0CC71781"/>
    <w:rsid w:val="0CCB0FDF"/>
    <w:rsid w:val="0CDC1817"/>
    <w:rsid w:val="0CDC515C"/>
    <w:rsid w:val="0D0B2A13"/>
    <w:rsid w:val="0D112021"/>
    <w:rsid w:val="0D12133D"/>
    <w:rsid w:val="0D1F7151"/>
    <w:rsid w:val="0D200D54"/>
    <w:rsid w:val="0D2B7DB2"/>
    <w:rsid w:val="0D3152D9"/>
    <w:rsid w:val="0D384916"/>
    <w:rsid w:val="0D427E08"/>
    <w:rsid w:val="0D444358"/>
    <w:rsid w:val="0D4A1977"/>
    <w:rsid w:val="0D4B602E"/>
    <w:rsid w:val="0D511FCD"/>
    <w:rsid w:val="0D52698E"/>
    <w:rsid w:val="0D583C5F"/>
    <w:rsid w:val="0D5D658F"/>
    <w:rsid w:val="0D6029A5"/>
    <w:rsid w:val="0D6063D4"/>
    <w:rsid w:val="0D665CD7"/>
    <w:rsid w:val="0D667E20"/>
    <w:rsid w:val="0D6B6C90"/>
    <w:rsid w:val="0D7170F8"/>
    <w:rsid w:val="0D922931"/>
    <w:rsid w:val="0D95263C"/>
    <w:rsid w:val="0DA81B9F"/>
    <w:rsid w:val="0DAD79F2"/>
    <w:rsid w:val="0DB403B1"/>
    <w:rsid w:val="0DB47CEC"/>
    <w:rsid w:val="0DBB3CA5"/>
    <w:rsid w:val="0DBB4EDD"/>
    <w:rsid w:val="0DC37BF2"/>
    <w:rsid w:val="0DC436B0"/>
    <w:rsid w:val="0DC9693F"/>
    <w:rsid w:val="0DCC1715"/>
    <w:rsid w:val="0DD82C48"/>
    <w:rsid w:val="0DDB6385"/>
    <w:rsid w:val="0DF024FC"/>
    <w:rsid w:val="0DF0632D"/>
    <w:rsid w:val="0DF475E0"/>
    <w:rsid w:val="0E0E09E4"/>
    <w:rsid w:val="0E0E0AE3"/>
    <w:rsid w:val="0E184477"/>
    <w:rsid w:val="0E1A4501"/>
    <w:rsid w:val="0E1A78B5"/>
    <w:rsid w:val="0E21196E"/>
    <w:rsid w:val="0E227E98"/>
    <w:rsid w:val="0E27140B"/>
    <w:rsid w:val="0E2D4D70"/>
    <w:rsid w:val="0E3B2663"/>
    <w:rsid w:val="0E443DBA"/>
    <w:rsid w:val="0E465F52"/>
    <w:rsid w:val="0E576A70"/>
    <w:rsid w:val="0E587DB8"/>
    <w:rsid w:val="0E6B437E"/>
    <w:rsid w:val="0E6B6A22"/>
    <w:rsid w:val="0E6F53AB"/>
    <w:rsid w:val="0E701F1A"/>
    <w:rsid w:val="0E793535"/>
    <w:rsid w:val="0E795DEE"/>
    <w:rsid w:val="0E7B3260"/>
    <w:rsid w:val="0E804638"/>
    <w:rsid w:val="0E854758"/>
    <w:rsid w:val="0EA50BFC"/>
    <w:rsid w:val="0EAB0282"/>
    <w:rsid w:val="0EC370FE"/>
    <w:rsid w:val="0EC4408A"/>
    <w:rsid w:val="0ECD6BD5"/>
    <w:rsid w:val="0EDA3DE0"/>
    <w:rsid w:val="0EE241B0"/>
    <w:rsid w:val="0EE470B9"/>
    <w:rsid w:val="0EE51F3F"/>
    <w:rsid w:val="0EE67C37"/>
    <w:rsid w:val="0EE96C61"/>
    <w:rsid w:val="0EEF6278"/>
    <w:rsid w:val="0F070719"/>
    <w:rsid w:val="0F0E340F"/>
    <w:rsid w:val="0F110F65"/>
    <w:rsid w:val="0F126FC2"/>
    <w:rsid w:val="0F1821BC"/>
    <w:rsid w:val="0F1F71AB"/>
    <w:rsid w:val="0F206FE9"/>
    <w:rsid w:val="0F246E43"/>
    <w:rsid w:val="0F2F2F21"/>
    <w:rsid w:val="0F303168"/>
    <w:rsid w:val="0F3346BD"/>
    <w:rsid w:val="0F356B4F"/>
    <w:rsid w:val="0F3E6D6B"/>
    <w:rsid w:val="0F521390"/>
    <w:rsid w:val="0F551890"/>
    <w:rsid w:val="0F5A4BDF"/>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821B8"/>
    <w:rsid w:val="0FAE546F"/>
    <w:rsid w:val="0FB50512"/>
    <w:rsid w:val="0FB57FA4"/>
    <w:rsid w:val="0FB8781F"/>
    <w:rsid w:val="0FC24482"/>
    <w:rsid w:val="0FC754B6"/>
    <w:rsid w:val="0FCD46F4"/>
    <w:rsid w:val="0FCE3065"/>
    <w:rsid w:val="0FE107E2"/>
    <w:rsid w:val="0FE336DE"/>
    <w:rsid w:val="0FED1D3E"/>
    <w:rsid w:val="10026084"/>
    <w:rsid w:val="10065756"/>
    <w:rsid w:val="100A69A4"/>
    <w:rsid w:val="100E17EE"/>
    <w:rsid w:val="10140347"/>
    <w:rsid w:val="101B54B3"/>
    <w:rsid w:val="101C6175"/>
    <w:rsid w:val="102E7ECD"/>
    <w:rsid w:val="104210EE"/>
    <w:rsid w:val="10444B77"/>
    <w:rsid w:val="10447AF9"/>
    <w:rsid w:val="104835D9"/>
    <w:rsid w:val="10495D6E"/>
    <w:rsid w:val="104C1069"/>
    <w:rsid w:val="10513C3F"/>
    <w:rsid w:val="10541F36"/>
    <w:rsid w:val="105D2D1E"/>
    <w:rsid w:val="10623D8F"/>
    <w:rsid w:val="10625663"/>
    <w:rsid w:val="106737C7"/>
    <w:rsid w:val="10703686"/>
    <w:rsid w:val="1075160B"/>
    <w:rsid w:val="107760A9"/>
    <w:rsid w:val="10780D89"/>
    <w:rsid w:val="107B52AA"/>
    <w:rsid w:val="107D625B"/>
    <w:rsid w:val="107E75D8"/>
    <w:rsid w:val="10805AB8"/>
    <w:rsid w:val="108161A3"/>
    <w:rsid w:val="1089301A"/>
    <w:rsid w:val="108B29C7"/>
    <w:rsid w:val="10901F21"/>
    <w:rsid w:val="10974AA9"/>
    <w:rsid w:val="10A21388"/>
    <w:rsid w:val="10A60889"/>
    <w:rsid w:val="10AA391A"/>
    <w:rsid w:val="10B27075"/>
    <w:rsid w:val="10B27B37"/>
    <w:rsid w:val="10B33FFC"/>
    <w:rsid w:val="10BA25C0"/>
    <w:rsid w:val="10BE4FAA"/>
    <w:rsid w:val="10C02E80"/>
    <w:rsid w:val="10C121EA"/>
    <w:rsid w:val="10C2285B"/>
    <w:rsid w:val="10C54276"/>
    <w:rsid w:val="10D27169"/>
    <w:rsid w:val="10D309E2"/>
    <w:rsid w:val="10D621B1"/>
    <w:rsid w:val="10D81E5C"/>
    <w:rsid w:val="10DA39AB"/>
    <w:rsid w:val="10DE746C"/>
    <w:rsid w:val="10EB7A42"/>
    <w:rsid w:val="10F16967"/>
    <w:rsid w:val="10F21B48"/>
    <w:rsid w:val="10F61CDD"/>
    <w:rsid w:val="10F91FDE"/>
    <w:rsid w:val="10F941E9"/>
    <w:rsid w:val="10FD39C4"/>
    <w:rsid w:val="11083015"/>
    <w:rsid w:val="110A357B"/>
    <w:rsid w:val="110D2E2E"/>
    <w:rsid w:val="1113498F"/>
    <w:rsid w:val="11145DE6"/>
    <w:rsid w:val="111A2147"/>
    <w:rsid w:val="112252CB"/>
    <w:rsid w:val="11360EF9"/>
    <w:rsid w:val="113641BB"/>
    <w:rsid w:val="113B0B58"/>
    <w:rsid w:val="113D4F12"/>
    <w:rsid w:val="113D775B"/>
    <w:rsid w:val="11410876"/>
    <w:rsid w:val="114608E7"/>
    <w:rsid w:val="114F3D65"/>
    <w:rsid w:val="115347BC"/>
    <w:rsid w:val="11545887"/>
    <w:rsid w:val="11597C64"/>
    <w:rsid w:val="11602A9E"/>
    <w:rsid w:val="116228E3"/>
    <w:rsid w:val="11631325"/>
    <w:rsid w:val="116345A4"/>
    <w:rsid w:val="11667833"/>
    <w:rsid w:val="11687433"/>
    <w:rsid w:val="1178450A"/>
    <w:rsid w:val="117B53DF"/>
    <w:rsid w:val="117B71D3"/>
    <w:rsid w:val="11845F00"/>
    <w:rsid w:val="11885DD3"/>
    <w:rsid w:val="118A58E4"/>
    <w:rsid w:val="118C56EA"/>
    <w:rsid w:val="118F0DB3"/>
    <w:rsid w:val="11916F88"/>
    <w:rsid w:val="11A51BB6"/>
    <w:rsid w:val="11AC6860"/>
    <w:rsid w:val="11B62D0B"/>
    <w:rsid w:val="11BE6E3E"/>
    <w:rsid w:val="11C52A21"/>
    <w:rsid w:val="11C75474"/>
    <w:rsid w:val="11D26FDB"/>
    <w:rsid w:val="11D435B9"/>
    <w:rsid w:val="11D8409F"/>
    <w:rsid w:val="11D95083"/>
    <w:rsid w:val="11DD2AAB"/>
    <w:rsid w:val="11DE26F2"/>
    <w:rsid w:val="11DF6987"/>
    <w:rsid w:val="11EA23C8"/>
    <w:rsid w:val="11EB5C95"/>
    <w:rsid w:val="11ED6242"/>
    <w:rsid w:val="11F27C95"/>
    <w:rsid w:val="12010E7D"/>
    <w:rsid w:val="120506CD"/>
    <w:rsid w:val="12075A2C"/>
    <w:rsid w:val="120A0C4D"/>
    <w:rsid w:val="120A38DA"/>
    <w:rsid w:val="12101A57"/>
    <w:rsid w:val="12193170"/>
    <w:rsid w:val="12193813"/>
    <w:rsid w:val="121D6AE3"/>
    <w:rsid w:val="121F75CC"/>
    <w:rsid w:val="12271CB0"/>
    <w:rsid w:val="122C1A12"/>
    <w:rsid w:val="1232130B"/>
    <w:rsid w:val="12395D63"/>
    <w:rsid w:val="12401AD9"/>
    <w:rsid w:val="124038C8"/>
    <w:rsid w:val="12421E9D"/>
    <w:rsid w:val="1248421F"/>
    <w:rsid w:val="12571C4D"/>
    <w:rsid w:val="125C09FF"/>
    <w:rsid w:val="12657F0C"/>
    <w:rsid w:val="126830F6"/>
    <w:rsid w:val="126B5207"/>
    <w:rsid w:val="126F57E1"/>
    <w:rsid w:val="12760E78"/>
    <w:rsid w:val="127673DB"/>
    <w:rsid w:val="127755C8"/>
    <w:rsid w:val="127E0189"/>
    <w:rsid w:val="12810A1D"/>
    <w:rsid w:val="12854B81"/>
    <w:rsid w:val="12927837"/>
    <w:rsid w:val="12A30BAA"/>
    <w:rsid w:val="12A709D5"/>
    <w:rsid w:val="12A867C5"/>
    <w:rsid w:val="12B56515"/>
    <w:rsid w:val="12BE11B2"/>
    <w:rsid w:val="12BE1828"/>
    <w:rsid w:val="12C10F70"/>
    <w:rsid w:val="12C21464"/>
    <w:rsid w:val="12C40A29"/>
    <w:rsid w:val="12C42DA1"/>
    <w:rsid w:val="12C45CF0"/>
    <w:rsid w:val="12C948D2"/>
    <w:rsid w:val="12CB14EE"/>
    <w:rsid w:val="12CE6902"/>
    <w:rsid w:val="12D54B1A"/>
    <w:rsid w:val="12EE0F39"/>
    <w:rsid w:val="12EF155A"/>
    <w:rsid w:val="12F17350"/>
    <w:rsid w:val="12F712FB"/>
    <w:rsid w:val="12FA0E2E"/>
    <w:rsid w:val="12FF7A62"/>
    <w:rsid w:val="13037A88"/>
    <w:rsid w:val="133844CA"/>
    <w:rsid w:val="1347596A"/>
    <w:rsid w:val="13477178"/>
    <w:rsid w:val="134B5A55"/>
    <w:rsid w:val="134C0AA1"/>
    <w:rsid w:val="134F5D9B"/>
    <w:rsid w:val="136041BC"/>
    <w:rsid w:val="136F4FE6"/>
    <w:rsid w:val="13713F6F"/>
    <w:rsid w:val="13762A14"/>
    <w:rsid w:val="13790756"/>
    <w:rsid w:val="137B6EE7"/>
    <w:rsid w:val="137E2E27"/>
    <w:rsid w:val="138C25C7"/>
    <w:rsid w:val="138E61F6"/>
    <w:rsid w:val="138E741D"/>
    <w:rsid w:val="138F279E"/>
    <w:rsid w:val="1390357D"/>
    <w:rsid w:val="139670E5"/>
    <w:rsid w:val="13970D93"/>
    <w:rsid w:val="139F1C24"/>
    <w:rsid w:val="13A023E7"/>
    <w:rsid w:val="13A04270"/>
    <w:rsid w:val="13A86C77"/>
    <w:rsid w:val="13A90344"/>
    <w:rsid w:val="13A9454D"/>
    <w:rsid w:val="13B35BBD"/>
    <w:rsid w:val="13BF3D28"/>
    <w:rsid w:val="13C32466"/>
    <w:rsid w:val="13C77F07"/>
    <w:rsid w:val="13CE4E2F"/>
    <w:rsid w:val="13CF48B4"/>
    <w:rsid w:val="13E45E4B"/>
    <w:rsid w:val="13F211C8"/>
    <w:rsid w:val="13F57229"/>
    <w:rsid w:val="13F60043"/>
    <w:rsid w:val="13F63AC9"/>
    <w:rsid w:val="13FF4761"/>
    <w:rsid w:val="1401651E"/>
    <w:rsid w:val="14065625"/>
    <w:rsid w:val="14127CF3"/>
    <w:rsid w:val="1416357F"/>
    <w:rsid w:val="14175C6D"/>
    <w:rsid w:val="14182B9E"/>
    <w:rsid w:val="141A193D"/>
    <w:rsid w:val="14211963"/>
    <w:rsid w:val="142160CA"/>
    <w:rsid w:val="142E4E6B"/>
    <w:rsid w:val="14332094"/>
    <w:rsid w:val="143B554F"/>
    <w:rsid w:val="144128ED"/>
    <w:rsid w:val="144D721A"/>
    <w:rsid w:val="14504C78"/>
    <w:rsid w:val="14552700"/>
    <w:rsid w:val="1455301F"/>
    <w:rsid w:val="145E0ED6"/>
    <w:rsid w:val="145F4E9E"/>
    <w:rsid w:val="1468041E"/>
    <w:rsid w:val="146A5814"/>
    <w:rsid w:val="146D4E79"/>
    <w:rsid w:val="1479121F"/>
    <w:rsid w:val="147C1504"/>
    <w:rsid w:val="148112AD"/>
    <w:rsid w:val="14933736"/>
    <w:rsid w:val="149D19D1"/>
    <w:rsid w:val="14AA1497"/>
    <w:rsid w:val="14AD2447"/>
    <w:rsid w:val="14BD0C90"/>
    <w:rsid w:val="14BD7435"/>
    <w:rsid w:val="14D41B03"/>
    <w:rsid w:val="14E11E90"/>
    <w:rsid w:val="14EC7262"/>
    <w:rsid w:val="14F50637"/>
    <w:rsid w:val="14F56962"/>
    <w:rsid w:val="14FD3DC3"/>
    <w:rsid w:val="15052F44"/>
    <w:rsid w:val="1513143F"/>
    <w:rsid w:val="152446F6"/>
    <w:rsid w:val="15274A34"/>
    <w:rsid w:val="152C74BF"/>
    <w:rsid w:val="152E54C4"/>
    <w:rsid w:val="1535555F"/>
    <w:rsid w:val="15382813"/>
    <w:rsid w:val="154B27A9"/>
    <w:rsid w:val="154B6CF6"/>
    <w:rsid w:val="15516306"/>
    <w:rsid w:val="155B06BC"/>
    <w:rsid w:val="155B6FCC"/>
    <w:rsid w:val="15620F8B"/>
    <w:rsid w:val="156514F3"/>
    <w:rsid w:val="15707694"/>
    <w:rsid w:val="157477F0"/>
    <w:rsid w:val="157839EE"/>
    <w:rsid w:val="157F4B83"/>
    <w:rsid w:val="15864057"/>
    <w:rsid w:val="158A2F64"/>
    <w:rsid w:val="158C53F6"/>
    <w:rsid w:val="15946EC2"/>
    <w:rsid w:val="1594709F"/>
    <w:rsid w:val="159B1410"/>
    <w:rsid w:val="159D2E6C"/>
    <w:rsid w:val="15A625C0"/>
    <w:rsid w:val="15A70541"/>
    <w:rsid w:val="15A7643A"/>
    <w:rsid w:val="15AD4348"/>
    <w:rsid w:val="15AD7612"/>
    <w:rsid w:val="15B96153"/>
    <w:rsid w:val="15BC619F"/>
    <w:rsid w:val="15BD0132"/>
    <w:rsid w:val="15BF618A"/>
    <w:rsid w:val="15C40EFF"/>
    <w:rsid w:val="15CA097E"/>
    <w:rsid w:val="15D33940"/>
    <w:rsid w:val="15D92955"/>
    <w:rsid w:val="15F5535B"/>
    <w:rsid w:val="15F569FA"/>
    <w:rsid w:val="15F656C7"/>
    <w:rsid w:val="15F85F00"/>
    <w:rsid w:val="15F969EC"/>
    <w:rsid w:val="16005D04"/>
    <w:rsid w:val="1607152F"/>
    <w:rsid w:val="160D7883"/>
    <w:rsid w:val="160E7A4D"/>
    <w:rsid w:val="16104DB0"/>
    <w:rsid w:val="1613433D"/>
    <w:rsid w:val="16200AF2"/>
    <w:rsid w:val="162E270B"/>
    <w:rsid w:val="162E2ADD"/>
    <w:rsid w:val="16313AA6"/>
    <w:rsid w:val="163267A4"/>
    <w:rsid w:val="163C0B35"/>
    <w:rsid w:val="16405266"/>
    <w:rsid w:val="164561DB"/>
    <w:rsid w:val="1651617C"/>
    <w:rsid w:val="165A2EC2"/>
    <w:rsid w:val="16672683"/>
    <w:rsid w:val="166852CC"/>
    <w:rsid w:val="16696EE3"/>
    <w:rsid w:val="16713663"/>
    <w:rsid w:val="167518D2"/>
    <w:rsid w:val="167B69FF"/>
    <w:rsid w:val="168864E9"/>
    <w:rsid w:val="16900241"/>
    <w:rsid w:val="16907088"/>
    <w:rsid w:val="1697702E"/>
    <w:rsid w:val="169A4327"/>
    <w:rsid w:val="169D4FCC"/>
    <w:rsid w:val="16A26D59"/>
    <w:rsid w:val="16A31912"/>
    <w:rsid w:val="16A52825"/>
    <w:rsid w:val="16A56817"/>
    <w:rsid w:val="16A60389"/>
    <w:rsid w:val="16AC66DD"/>
    <w:rsid w:val="16AD326E"/>
    <w:rsid w:val="16B06BAD"/>
    <w:rsid w:val="16B17712"/>
    <w:rsid w:val="16B95CF7"/>
    <w:rsid w:val="16BC6189"/>
    <w:rsid w:val="16C42B77"/>
    <w:rsid w:val="16D55B33"/>
    <w:rsid w:val="16D74218"/>
    <w:rsid w:val="16DD2E8B"/>
    <w:rsid w:val="16E376E7"/>
    <w:rsid w:val="16E40C30"/>
    <w:rsid w:val="16E72981"/>
    <w:rsid w:val="16EB66D9"/>
    <w:rsid w:val="16EE35CD"/>
    <w:rsid w:val="16F47BF5"/>
    <w:rsid w:val="16F500A9"/>
    <w:rsid w:val="16F872C3"/>
    <w:rsid w:val="16FA06E3"/>
    <w:rsid w:val="170167F2"/>
    <w:rsid w:val="17035AAC"/>
    <w:rsid w:val="17054499"/>
    <w:rsid w:val="170B0BD9"/>
    <w:rsid w:val="170D5EDA"/>
    <w:rsid w:val="17182913"/>
    <w:rsid w:val="17197EC3"/>
    <w:rsid w:val="171E2D1A"/>
    <w:rsid w:val="172E1BBE"/>
    <w:rsid w:val="17377B8C"/>
    <w:rsid w:val="173A6824"/>
    <w:rsid w:val="173B1FA1"/>
    <w:rsid w:val="173C594E"/>
    <w:rsid w:val="173D1596"/>
    <w:rsid w:val="17503F57"/>
    <w:rsid w:val="17505DD6"/>
    <w:rsid w:val="17586CB0"/>
    <w:rsid w:val="17596CA9"/>
    <w:rsid w:val="17600681"/>
    <w:rsid w:val="17665D9F"/>
    <w:rsid w:val="176958FE"/>
    <w:rsid w:val="17696EA4"/>
    <w:rsid w:val="17795030"/>
    <w:rsid w:val="177B0627"/>
    <w:rsid w:val="177D3C16"/>
    <w:rsid w:val="178501CB"/>
    <w:rsid w:val="178A042D"/>
    <w:rsid w:val="178A1F82"/>
    <w:rsid w:val="17916104"/>
    <w:rsid w:val="17920EA7"/>
    <w:rsid w:val="1797450B"/>
    <w:rsid w:val="17985148"/>
    <w:rsid w:val="17A644BF"/>
    <w:rsid w:val="17A92F07"/>
    <w:rsid w:val="17B23E0F"/>
    <w:rsid w:val="17B31B32"/>
    <w:rsid w:val="17B80549"/>
    <w:rsid w:val="17C063A0"/>
    <w:rsid w:val="17C16366"/>
    <w:rsid w:val="17C76A67"/>
    <w:rsid w:val="17CA22FD"/>
    <w:rsid w:val="17DA0F7A"/>
    <w:rsid w:val="17DC2D7F"/>
    <w:rsid w:val="17E95276"/>
    <w:rsid w:val="17EA38A1"/>
    <w:rsid w:val="17EB77A3"/>
    <w:rsid w:val="17EC5E41"/>
    <w:rsid w:val="17F8667B"/>
    <w:rsid w:val="1806537C"/>
    <w:rsid w:val="18066C18"/>
    <w:rsid w:val="1809630E"/>
    <w:rsid w:val="181C2683"/>
    <w:rsid w:val="181E4167"/>
    <w:rsid w:val="18324998"/>
    <w:rsid w:val="18341D76"/>
    <w:rsid w:val="18351C27"/>
    <w:rsid w:val="18553A22"/>
    <w:rsid w:val="18607956"/>
    <w:rsid w:val="1866144B"/>
    <w:rsid w:val="186E420E"/>
    <w:rsid w:val="187A14AA"/>
    <w:rsid w:val="187B7B4F"/>
    <w:rsid w:val="1887188F"/>
    <w:rsid w:val="18935E66"/>
    <w:rsid w:val="18A35548"/>
    <w:rsid w:val="18A63203"/>
    <w:rsid w:val="18A77689"/>
    <w:rsid w:val="18A816B2"/>
    <w:rsid w:val="18B25B64"/>
    <w:rsid w:val="18B8431F"/>
    <w:rsid w:val="18B90C48"/>
    <w:rsid w:val="18BC4ADF"/>
    <w:rsid w:val="18BD1521"/>
    <w:rsid w:val="18BD2E66"/>
    <w:rsid w:val="18BE7EAB"/>
    <w:rsid w:val="18CF2450"/>
    <w:rsid w:val="18D7372F"/>
    <w:rsid w:val="18DA12E6"/>
    <w:rsid w:val="18DD12E4"/>
    <w:rsid w:val="18E261B8"/>
    <w:rsid w:val="18E62F4B"/>
    <w:rsid w:val="18E85386"/>
    <w:rsid w:val="18FC503B"/>
    <w:rsid w:val="19027C40"/>
    <w:rsid w:val="19087B90"/>
    <w:rsid w:val="190E3326"/>
    <w:rsid w:val="190E3538"/>
    <w:rsid w:val="19164D1E"/>
    <w:rsid w:val="191C588D"/>
    <w:rsid w:val="1927395B"/>
    <w:rsid w:val="192D514C"/>
    <w:rsid w:val="193544CD"/>
    <w:rsid w:val="19443AA2"/>
    <w:rsid w:val="1945355B"/>
    <w:rsid w:val="194817FC"/>
    <w:rsid w:val="194A0D45"/>
    <w:rsid w:val="194A2ADB"/>
    <w:rsid w:val="195159CB"/>
    <w:rsid w:val="195961D5"/>
    <w:rsid w:val="195C14E8"/>
    <w:rsid w:val="196515C3"/>
    <w:rsid w:val="197859DA"/>
    <w:rsid w:val="1980769C"/>
    <w:rsid w:val="19884F66"/>
    <w:rsid w:val="19917CFC"/>
    <w:rsid w:val="1997576B"/>
    <w:rsid w:val="1998697F"/>
    <w:rsid w:val="199A20B4"/>
    <w:rsid w:val="19A71B82"/>
    <w:rsid w:val="19B84C88"/>
    <w:rsid w:val="19C6694E"/>
    <w:rsid w:val="19CC0DE5"/>
    <w:rsid w:val="19D11E61"/>
    <w:rsid w:val="19D5618C"/>
    <w:rsid w:val="19E22401"/>
    <w:rsid w:val="19E23808"/>
    <w:rsid w:val="19F44B16"/>
    <w:rsid w:val="1A00532F"/>
    <w:rsid w:val="1A040FBD"/>
    <w:rsid w:val="1A067DCA"/>
    <w:rsid w:val="1A102A1C"/>
    <w:rsid w:val="1A13214F"/>
    <w:rsid w:val="1A434C13"/>
    <w:rsid w:val="1A4E18BB"/>
    <w:rsid w:val="1A5C550E"/>
    <w:rsid w:val="1A5E5759"/>
    <w:rsid w:val="1A61514E"/>
    <w:rsid w:val="1A624E9D"/>
    <w:rsid w:val="1A6F769D"/>
    <w:rsid w:val="1A712AE5"/>
    <w:rsid w:val="1A74386E"/>
    <w:rsid w:val="1A783427"/>
    <w:rsid w:val="1A7B0419"/>
    <w:rsid w:val="1A8A143B"/>
    <w:rsid w:val="1A954C9C"/>
    <w:rsid w:val="1AA67BD3"/>
    <w:rsid w:val="1AC70097"/>
    <w:rsid w:val="1ACC39D6"/>
    <w:rsid w:val="1ADE0868"/>
    <w:rsid w:val="1AF7489C"/>
    <w:rsid w:val="1AF86B17"/>
    <w:rsid w:val="1AFA3523"/>
    <w:rsid w:val="1AFD3AEA"/>
    <w:rsid w:val="1B05238D"/>
    <w:rsid w:val="1B13587B"/>
    <w:rsid w:val="1B1D44BA"/>
    <w:rsid w:val="1B2C07D2"/>
    <w:rsid w:val="1B2C5EE0"/>
    <w:rsid w:val="1B33077D"/>
    <w:rsid w:val="1B3604D3"/>
    <w:rsid w:val="1B364D11"/>
    <w:rsid w:val="1B3865C6"/>
    <w:rsid w:val="1B3E5EDE"/>
    <w:rsid w:val="1B433153"/>
    <w:rsid w:val="1B467529"/>
    <w:rsid w:val="1B4B00CA"/>
    <w:rsid w:val="1B566C78"/>
    <w:rsid w:val="1B5F1247"/>
    <w:rsid w:val="1B6307EA"/>
    <w:rsid w:val="1B717940"/>
    <w:rsid w:val="1B79696C"/>
    <w:rsid w:val="1B7E1824"/>
    <w:rsid w:val="1B825166"/>
    <w:rsid w:val="1B890C23"/>
    <w:rsid w:val="1B9411FC"/>
    <w:rsid w:val="1B9D6CE8"/>
    <w:rsid w:val="1BA63F57"/>
    <w:rsid w:val="1BA866D1"/>
    <w:rsid w:val="1BBB422B"/>
    <w:rsid w:val="1BC600B5"/>
    <w:rsid w:val="1BCD55F8"/>
    <w:rsid w:val="1BD1784D"/>
    <w:rsid w:val="1BE011AE"/>
    <w:rsid w:val="1BE02AAF"/>
    <w:rsid w:val="1BE30F90"/>
    <w:rsid w:val="1BE31093"/>
    <w:rsid w:val="1BE956C8"/>
    <w:rsid w:val="1C022294"/>
    <w:rsid w:val="1C0B35D4"/>
    <w:rsid w:val="1C12573D"/>
    <w:rsid w:val="1C1D1EE2"/>
    <w:rsid w:val="1C234861"/>
    <w:rsid w:val="1C2E319B"/>
    <w:rsid w:val="1C3477C5"/>
    <w:rsid w:val="1C4F6563"/>
    <w:rsid w:val="1C545F3D"/>
    <w:rsid w:val="1C556488"/>
    <w:rsid w:val="1C563FE3"/>
    <w:rsid w:val="1C5A182A"/>
    <w:rsid w:val="1C62402E"/>
    <w:rsid w:val="1C62587C"/>
    <w:rsid w:val="1C6818E0"/>
    <w:rsid w:val="1C6F3BF6"/>
    <w:rsid w:val="1C722E7E"/>
    <w:rsid w:val="1C784A9F"/>
    <w:rsid w:val="1C7D008B"/>
    <w:rsid w:val="1C7D2EB6"/>
    <w:rsid w:val="1C805B43"/>
    <w:rsid w:val="1C852BB0"/>
    <w:rsid w:val="1C8D54A8"/>
    <w:rsid w:val="1C8D59DD"/>
    <w:rsid w:val="1C8E63A1"/>
    <w:rsid w:val="1C9651FD"/>
    <w:rsid w:val="1C9C41C6"/>
    <w:rsid w:val="1CA42FB6"/>
    <w:rsid w:val="1CAF4AE5"/>
    <w:rsid w:val="1CB21A29"/>
    <w:rsid w:val="1CCB32EE"/>
    <w:rsid w:val="1CD23361"/>
    <w:rsid w:val="1CD35882"/>
    <w:rsid w:val="1CE302F7"/>
    <w:rsid w:val="1CEC4F96"/>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B1AFF"/>
    <w:rsid w:val="1D4B4B5A"/>
    <w:rsid w:val="1D584348"/>
    <w:rsid w:val="1D597DDF"/>
    <w:rsid w:val="1D5D209F"/>
    <w:rsid w:val="1D6D4785"/>
    <w:rsid w:val="1D6E27CD"/>
    <w:rsid w:val="1D767ADA"/>
    <w:rsid w:val="1D7A0D45"/>
    <w:rsid w:val="1D845021"/>
    <w:rsid w:val="1D861B2D"/>
    <w:rsid w:val="1D896FB3"/>
    <w:rsid w:val="1D91741D"/>
    <w:rsid w:val="1D9318C5"/>
    <w:rsid w:val="1D941B55"/>
    <w:rsid w:val="1DAB7998"/>
    <w:rsid w:val="1DB01072"/>
    <w:rsid w:val="1DB2076E"/>
    <w:rsid w:val="1DB43F2E"/>
    <w:rsid w:val="1DBE6DCD"/>
    <w:rsid w:val="1DC2628A"/>
    <w:rsid w:val="1DCF57CE"/>
    <w:rsid w:val="1DCF7FF5"/>
    <w:rsid w:val="1DD11EB5"/>
    <w:rsid w:val="1DD246EC"/>
    <w:rsid w:val="1DD63079"/>
    <w:rsid w:val="1DD859F5"/>
    <w:rsid w:val="1DDA6EEA"/>
    <w:rsid w:val="1DDB37BE"/>
    <w:rsid w:val="1DDD63A7"/>
    <w:rsid w:val="1DE56ABE"/>
    <w:rsid w:val="1DFC4DF9"/>
    <w:rsid w:val="1E0435A0"/>
    <w:rsid w:val="1E110D2A"/>
    <w:rsid w:val="1E1247A2"/>
    <w:rsid w:val="1E155062"/>
    <w:rsid w:val="1E193E9C"/>
    <w:rsid w:val="1E1B38E9"/>
    <w:rsid w:val="1E1B7186"/>
    <w:rsid w:val="1E303EF3"/>
    <w:rsid w:val="1E3303CE"/>
    <w:rsid w:val="1E3F6D05"/>
    <w:rsid w:val="1E494B8A"/>
    <w:rsid w:val="1E4F0222"/>
    <w:rsid w:val="1E5C2AF3"/>
    <w:rsid w:val="1E795C41"/>
    <w:rsid w:val="1E7E640D"/>
    <w:rsid w:val="1E7F3A72"/>
    <w:rsid w:val="1E8064D3"/>
    <w:rsid w:val="1E861E21"/>
    <w:rsid w:val="1EA72270"/>
    <w:rsid w:val="1EBD6E42"/>
    <w:rsid w:val="1EC25D1C"/>
    <w:rsid w:val="1EC74AB4"/>
    <w:rsid w:val="1EC87ABC"/>
    <w:rsid w:val="1ED242FC"/>
    <w:rsid w:val="1ED56C03"/>
    <w:rsid w:val="1EDA0174"/>
    <w:rsid w:val="1EDA3DBE"/>
    <w:rsid w:val="1EDB3888"/>
    <w:rsid w:val="1EE05F54"/>
    <w:rsid w:val="1EE332A7"/>
    <w:rsid w:val="1EF579A0"/>
    <w:rsid w:val="1F05532C"/>
    <w:rsid w:val="1F095121"/>
    <w:rsid w:val="1F0C3604"/>
    <w:rsid w:val="1F0D0383"/>
    <w:rsid w:val="1F0F4C7A"/>
    <w:rsid w:val="1F1527EE"/>
    <w:rsid w:val="1F20034A"/>
    <w:rsid w:val="1F251ABC"/>
    <w:rsid w:val="1F290391"/>
    <w:rsid w:val="1F2A2D10"/>
    <w:rsid w:val="1F370102"/>
    <w:rsid w:val="1F3F0073"/>
    <w:rsid w:val="1F43546C"/>
    <w:rsid w:val="1F48506F"/>
    <w:rsid w:val="1F4B10C3"/>
    <w:rsid w:val="1F5C7F87"/>
    <w:rsid w:val="1F6C1D79"/>
    <w:rsid w:val="1F792E9A"/>
    <w:rsid w:val="1F7B67F6"/>
    <w:rsid w:val="1F7C518B"/>
    <w:rsid w:val="1F881F59"/>
    <w:rsid w:val="1F971B7F"/>
    <w:rsid w:val="1F977565"/>
    <w:rsid w:val="1F9B644E"/>
    <w:rsid w:val="1FA22246"/>
    <w:rsid w:val="1FA429B4"/>
    <w:rsid w:val="1FAC06FF"/>
    <w:rsid w:val="1FB34801"/>
    <w:rsid w:val="1FB75185"/>
    <w:rsid w:val="1FB97163"/>
    <w:rsid w:val="1FBD0EE6"/>
    <w:rsid w:val="1FC10346"/>
    <w:rsid w:val="1FC16504"/>
    <w:rsid w:val="1FDB745E"/>
    <w:rsid w:val="1FDD028C"/>
    <w:rsid w:val="1FF955B0"/>
    <w:rsid w:val="1FFA3EAB"/>
    <w:rsid w:val="1FFB3FF4"/>
    <w:rsid w:val="1FFC1294"/>
    <w:rsid w:val="1FFC4541"/>
    <w:rsid w:val="200B6448"/>
    <w:rsid w:val="20176E76"/>
    <w:rsid w:val="201C2D60"/>
    <w:rsid w:val="20270162"/>
    <w:rsid w:val="203F0CD6"/>
    <w:rsid w:val="20421E9D"/>
    <w:rsid w:val="204439A4"/>
    <w:rsid w:val="20655E4F"/>
    <w:rsid w:val="20721F6B"/>
    <w:rsid w:val="207308C3"/>
    <w:rsid w:val="207411D3"/>
    <w:rsid w:val="20743131"/>
    <w:rsid w:val="207536DF"/>
    <w:rsid w:val="20783BF9"/>
    <w:rsid w:val="20786435"/>
    <w:rsid w:val="20802CF5"/>
    <w:rsid w:val="20811113"/>
    <w:rsid w:val="20874766"/>
    <w:rsid w:val="2088281D"/>
    <w:rsid w:val="2088475A"/>
    <w:rsid w:val="20917F9C"/>
    <w:rsid w:val="2094661E"/>
    <w:rsid w:val="20951ED4"/>
    <w:rsid w:val="20962536"/>
    <w:rsid w:val="20AF5726"/>
    <w:rsid w:val="20AF5A47"/>
    <w:rsid w:val="20B50E80"/>
    <w:rsid w:val="20B71F63"/>
    <w:rsid w:val="20B7483F"/>
    <w:rsid w:val="20BD02A3"/>
    <w:rsid w:val="20BE1841"/>
    <w:rsid w:val="20D078F3"/>
    <w:rsid w:val="20D200AD"/>
    <w:rsid w:val="20D95B71"/>
    <w:rsid w:val="20DA60A5"/>
    <w:rsid w:val="20DB223A"/>
    <w:rsid w:val="20E51C80"/>
    <w:rsid w:val="20E61367"/>
    <w:rsid w:val="20EC58CB"/>
    <w:rsid w:val="20F17304"/>
    <w:rsid w:val="20F478BA"/>
    <w:rsid w:val="21007C49"/>
    <w:rsid w:val="21014223"/>
    <w:rsid w:val="21200021"/>
    <w:rsid w:val="21257F04"/>
    <w:rsid w:val="21291A31"/>
    <w:rsid w:val="213445FE"/>
    <w:rsid w:val="21353F50"/>
    <w:rsid w:val="2138052E"/>
    <w:rsid w:val="213C3CC5"/>
    <w:rsid w:val="214776EA"/>
    <w:rsid w:val="21522E38"/>
    <w:rsid w:val="2159046C"/>
    <w:rsid w:val="21592762"/>
    <w:rsid w:val="215F3A68"/>
    <w:rsid w:val="21611A31"/>
    <w:rsid w:val="21635586"/>
    <w:rsid w:val="21760888"/>
    <w:rsid w:val="217B17E2"/>
    <w:rsid w:val="218810BD"/>
    <w:rsid w:val="218D61A9"/>
    <w:rsid w:val="218F7263"/>
    <w:rsid w:val="2190117D"/>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002DA"/>
    <w:rsid w:val="21F2539C"/>
    <w:rsid w:val="21F533B9"/>
    <w:rsid w:val="21F65A58"/>
    <w:rsid w:val="21FB61D0"/>
    <w:rsid w:val="220B3AD6"/>
    <w:rsid w:val="22191ECB"/>
    <w:rsid w:val="221E272E"/>
    <w:rsid w:val="2221560D"/>
    <w:rsid w:val="222A1FFE"/>
    <w:rsid w:val="222B075F"/>
    <w:rsid w:val="22367DC0"/>
    <w:rsid w:val="223C2D91"/>
    <w:rsid w:val="22426753"/>
    <w:rsid w:val="224D7BB0"/>
    <w:rsid w:val="22541D32"/>
    <w:rsid w:val="225474CD"/>
    <w:rsid w:val="225E1754"/>
    <w:rsid w:val="225F0409"/>
    <w:rsid w:val="225F51CF"/>
    <w:rsid w:val="226A54A8"/>
    <w:rsid w:val="226D42BA"/>
    <w:rsid w:val="226D7A71"/>
    <w:rsid w:val="227078B0"/>
    <w:rsid w:val="2271187B"/>
    <w:rsid w:val="22833161"/>
    <w:rsid w:val="228338C8"/>
    <w:rsid w:val="22840DDA"/>
    <w:rsid w:val="22876A0D"/>
    <w:rsid w:val="22A11695"/>
    <w:rsid w:val="22A63B38"/>
    <w:rsid w:val="22A73490"/>
    <w:rsid w:val="22A8489A"/>
    <w:rsid w:val="22AA7376"/>
    <w:rsid w:val="22AB3B60"/>
    <w:rsid w:val="22AF11A1"/>
    <w:rsid w:val="22B22D1F"/>
    <w:rsid w:val="22B33D99"/>
    <w:rsid w:val="22B83EF7"/>
    <w:rsid w:val="22BB4A47"/>
    <w:rsid w:val="22BC2773"/>
    <w:rsid w:val="22BE29D6"/>
    <w:rsid w:val="22C27BE8"/>
    <w:rsid w:val="22C4003E"/>
    <w:rsid w:val="22CB2F4B"/>
    <w:rsid w:val="22D02654"/>
    <w:rsid w:val="22D10E4B"/>
    <w:rsid w:val="22D90210"/>
    <w:rsid w:val="22D912F9"/>
    <w:rsid w:val="22E1284D"/>
    <w:rsid w:val="22E73006"/>
    <w:rsid w:val="22EB3773"/>
    <w:rsid w:val="22EE13BE"/>
    <w:rsid w:val="22F31E85"/>
    <w:rsid w:val="22F71A54"/>
    <w:rsid w:val="22F74CC6"/>
    <w:rsid w:val="22FB2321"/>
    <w:rsid w:val="22FF6AA7"/>
    <w:rsid w:val="2306325F"/>
    <w:rsid w:val="230749DA"/>
    <w:rsid w:val="230753E2"/>
    <w:rsid w:val="230F5270"/>
    <w:rsid w:val="2311101C"/>
    <w:rsid w:val="231869B1"/>
    <w:rsid w:val="2319089C"/>
    <w:rsid w:val="231B2491"/>
    <w:rsid w:val="232515D0"/>
    <w:rsid w:val="232F45E5"/>
    <w:rsid w:val="23382F5D"/>
    <w:rsid w:val="233857DC"/>
    <w:rsid w:val="233E2231"/>
    <w:rsid w:val="23443C8F"/>
    <w:rsid w:val="23561548"/>
    <w:rsid w:val="23561CD1"/>
    <w:rsid w:val="235E47B6"/>
    <w:rsid w:val="23644FB5"/>
    <w:rsid w:val="23646298"/>
    <w:rsid w:val="236B32CC"/>
    <w:rsid w:val="2372506B"/>
    <w:rsid w:val="2376691B"/>
    <w:rsid w:val="2378146C"/>
    <w:rsid w:val="238D2D50"/>
    <w:rsid w:val="238D66BE"/>
    <w:rsid w:val="23950A55"/>
    <w:rsid w:val="239540DC"/>
    <w:rsid w:val="23965F67"/>
    <w:rsid w:val="23A00272"/>
    <w:rsid w:val="23A02531"/>
    <w:rsid w:val="23A11F4F"/>
    <w:rsid w:val="23B41225"/>
    <w:rsid w:val="23BA6237"/>
    <w:rsid w:val="23BC048E"/>
    <w:rsid w:val="23C948DC"/>
    <w:rsid w:val="23C9616F"/>
    <w:rsid w:val="23CC0919"/>
    <w:rsid w:val="23CE659F"/>
    <w:rsid w:val="23CF7FD3"/>
    <w:rsid w:val="23D4199E"/>
    <w:rsid w:val="23DC01C4"/>
    <w:rsid w:val="23DC60E2"/>
    <w:rsid w:val="23E17EC8"/>
    <w:rsid w:val="23E47406"/>
    <w:rsid w:val="23E91B93"/>
    <w:rsid w:val="23F6160A"/>
    <w:rsid w:val="23FB72B1"/>
    <w:rsid w:val="24026C92"/>
    <w:rsid w:val="24027DBA"/>
    <w:rsid w:val="240657B6"/>
    <w:rsid w:val="240B36D8"/>
    <w:rsid w:val="240C2CCA"/>
    <w:rsid w:val="240C553C"/>
    <w:rsid w:val="241722EB"/>
    <w:rsid w:val="24323334"/>
    <w:rsid w:val="243336DA"/>
    <w:rsid w:val="24373DE9"/>
    <w:rsid w:val="243D6215"/>
    <w:rsid w:val="244F01D0"/>
    <w:rsid w:val="245226BE"/>
    <w:rsid w:val="245550BB"/>
    <w:rsid w:val="245A0102"/>
    <w:rsid w:val="2461318F"/>
    <w:rsid w:val="24662623"/>
    <w:rsid w:val="24673502"/>
    <w:rsid w:val="24676BCD"/>
    <w:rsid w:val="24676F22"/>
    <w:rsid w:val="2468531E"/>
    <w:rsid w:val="246D7EC6"/>
    <w:rsid w:val="24741D21"/>
    <w:rsid w:val="24750E49"/>
    <w:rsid w:val="247D3C6E"/>
    <w:rsid w:val="24860612"/>
    <w:rsid w:val="24872D53"/>
    <w:rsid w:val="248E7D90"/>
    <w:rsid w:val="249321BF"/>
    <w:rsid w:val="249C0D83"/>
    <w:rsid w:val="24A033EE"/>
    <w:rsid w:val="24B51B12"/>
    <w:rsid w:val="24C434A5"/>
    <w:rsid w:val="24CA496C"/>
    <w:rsid w:val="24CB78C2"/>
    <w:rsid w:val="24D35568"/>
    <w:rsid w:val="24D72C44"/>
    <w:rsid w:val="24DB51FA"/>
    <w:rsid w:val="24E954E0"/>
    <w:rsid w:val="24F37FEF"/>
    <w:rsid w:val="24F82FB3"/>
    <w:rsid w:val="2504405A"/>
    <w:rsid w:val="251809ED"/>
    <w:rsid w:val="25241C4A"/>
    <w:rsid w:val="25265A8E"/>
    <w:rsid w:val="252A5159"/>
    <w:rsid w:val="25364407"/>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B4AE4"/>
    <w:rsid w:val="258C3B89"/>
    <w:rsid w:val="258C6B00"/>
    <w:rsid w:val="258F1E2E"/>
    <w:rsid w:val="259114ED"/>
    <w:rsid w:val="2593720A"/>
    <w:rsid w:val="25996F48"/>
    <w:rsid w:val="259A3CB2"/>
    <w:rsid w:val="259E4C39"/>
    <w:rsid w:val="259E5828"/>
    <w:rsid w:val="25A45B04"/>
    <w:rsid w:val="25A92B92"/>
    <w:rsid w:val="25AB0A3D"/>
    <w:rsid w:val="25AC370D"/>
    <w:rsid w:val="25B22B68"/>
    <w:rsid w:val="25B5218E"/>
    <w:rsid w:val="25C15D16"/>
    <w:rsid w:val="25C55B83"/>
    <w:rsid w:val="25CD5BF1"/>
    <w:rsid w:val="25CD62C3"/>
    <w:rsid w:val="25D31208"/>
    <w:rsid w:val="25DA65CA"/>
    <w:rsid w:val="25DB6649"/>
    <w:rsid w:val="25DD0809"/>
    <w:rsid w:val="25E27416"/>
    <w:rsid w:val="25E46656"/>
    <w:rsid w:val="25E47484"/>
    <w:rsid w:val="25E92FBE"/>
    <w:rsid w:val="25F17275"/>
    <w:rsid w:val="25F31E31"/>
    <w:rsid w:val="25F70EE4"/>
    <w:rsid w:val="25F83FB0"/>
    <w:rsid w:val="25FC0B75"/>
    <w:rsid w:val="260139F3"/>
    <w:rsid w:val="260556D5"/>
    <w:rsid w:val="26080DD9"/>
    <w:rsid w:val="26082798"/>
    <w:rsid w:val="26095114"/>
    <w:rsid w:val="260E454E"/>
    <w:rsid w:val="261464EE"/>
    <w:rsid w:val="26280E6C"/>
    <w:rsid w:val="262E05B0"/>
    <w:rsid w:val="26327A25"/>
    <w:rsid w:val="26331CBB"/>
    <w:rsid w:val="26372014"/>
    <w:rsid w:val="263E0859"/>
    <w:rsid w:val="263E1A96"/>
    <w:rsid w:val="26405937"/>
    <w:rsid w:val="26433FB7"/>
    <w:rsid w:val="26452DA3"/>
    <w:rsid w:val="26474B98"/>
    <w:rsid w:val="264D3294"/>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E33E5B"/>
    <w:rsid w:val="26E70CA8"/>
    <w:rsid w:val="26EA7605"/>
    <w:rsid w:val="26F17CAD"/>
    <w:rsid w:val="26F51567"/>
    <w:rsid w:val="26F54808"/>
    <w:rsid w:val="26FB5D95"/>
    <w:rsid w:val="26FC2F8C"/>
    <w:rsid w:val="27094F93"/>
    <w:rsid w:val="270E05C8"/>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E0335"/>
    <w:rsid w:val="275D1356"/>
    <w:rsid w:val="275D4A89"/>
    <w:rsid w:val="27625310"/>
    <w:rsid w:val="27641213"/>
    <w:rsid w:val="277A2EC6"/>
    <w:rsid w:val="27841ADD"/>
    <w:rsid w:val="278B7262"/>
    <w:rsid w:val="278E7D5F"/>
    <w:rsid w:val="279429E3"/>
    <w:rsid w:val="27966F4A"/>
    <w:rsid w:val="27A74D7A"/>
    <w:rsid w:val="27A75735"/>
    <w:rsid w:val="27A91AD2"/>
    <w:rsid w:val="27AE6E2D"/>
    <w:rsid w:val="27AF57B8"/>
    <w:rsid w:val="27B24596"/>
    <w:rsid w:val="27B25FFF"/>
    <w:rsid w:val="27BA12A7"/>
    <w:rsid w:val="27BA6BC4"/>
    <w:rsid w:val="27BC2EEA"/>
    <w:rsid w:val="27C93064"/>
    <w:rsid w:val="27C96B67"/>
    <w:rsid w:val="27CB38EC"/>
    <w:rsid w:val="27CB5FF9"/>
    <w:rsid w:val="27CC0A3D"/>
    <w:rsid w:val="27D34267"/>
    <w:rsid w:val="27D62E6F"/>
    <w:rsid w:val="27D745E8"/>
    <w:rsid w:val="27E4169F"/>
    <w:rsid w:val="27E476BC"/>
    <w:rsid w:val="27E7338B"/>
    <w:rsid w:val="27EA3B97"/>
    <w:rsid w:val="27EF0430"/>
    <w:rsid w:val="27F32107"/>
    <w:rsid w:val="27FA5F82"/>
    <w:rsid w:val="28014303"/>
    <w:rsid w:val="280410A7"/>
    <w:rsid w:val="281713C1"/>
    <w:rsid w:val="28202089"/>
    <w:rsid w:val="28210C3B"/>
    <w:rsid w:val="283E3927"/>
    <w:rsid w:val="28432F7C"/>
    <w:rsid w:val="285065F4"/>
    <w:rsid w:val="28557C44"/>
    <w:rsid w:val="28564AD0"/>
    <w:rsid w:val="285E1540"/>
    <w:rsid w:val="28634EA7"/>
    <w:rsid w:val="2868554F"/>
    <w:rsid w:val="286A70A6"/>
    <w:rsid w:val="286D715D"/>
    <w:rsid w:val="28707EB9"/>
    <w:rsid w:val="28710251"/>
    <w:rsid w:val="287270BD"/>
    <w:rsid w:val="287508F6"/>
    <w:rsid w:val="288C7056"/>
    <w:rsid w:val="288F598A"/>
    <w:rsid w:val="289910F7"/>
    <w:rsid w:val="28A14F66"/>
    <w:rsid w:val="28A4234C"/>
    <w:rsid w:val="28A63531"/>
    <w:rsid w:val="28A773FC"/>
    <w:rsid w:val="28CA5B35"/>
    <w:rsid w:val="28D02425"/>
    <w:rsid w:val="28D527CA"/>
    <w:rsid w:val="28DB1A3D"/>
    <w:rsid w:val="28F133CC"/>
    <w:rsid w:val="28F729CE"/>
    <w:rsid w:val="28F934CA"/>
    <w:rsid w:val="28FA5F7F"/>
    <w:rsid w:val="29056F59"/>
    <w:rsid w:val="2907017C"/>
    <w:rsid w:val="291218C3"/>
    <w:rsid w:val="2912731C"/>
    <w:rsid w:val="29150A19"/>
    <w:rsid w:val="29157321"/>
    <w:rsid w:val="291F35AA"/>
    <w:rsid w:val="2925391D"/>
    <w:rsid w:val="292B0670"/>
    <w:rsid w:val="292E0A29"/>
    <w:rsid w:val="29325A72"/>
    <w:rsid w:val="2938341E"/>
    <w:rsid w:val="293A6E92"/>
    <w:rsid w:val="29566904"/>
    <w:rsid w:val="29582224"/>
    <w:rsid w:val="29585835"/>
    <w:rsid w:val="296074D7"/>
    <w:rsid w:val="29692EBD"/>
    <w:rsid w:val="29712D8F"/>
    <w:rsid w:val="29736267"/>
    <w:rsid w:val="297B31D3"/>
    <w:rsid w:val="298103BD"/>
    <w:rsid w:val="298D4850"/>
    <w:rsid w:val="29966295"/>
    <w:rsid w:val="29971F57"/>
    <w:rsid w:val="299C7DCA"/>
    <w:rsid w:val="29A021A8"/>
    <w:rsid w:val="29A942FB"/>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22248B"/>
    <w:rsid w:val="2A307EBE"/>
    <w:rsid w:val="2A3E413F"/>
    <w:rsid w:val="2A430F4D"/>
    <w:rsid w:val="2A5303B9"/>
    <w:rsid w:val="2A534A67"/>
    <w:rsid w:val="2A5F67A3"/>
    <w:rsid w:val="2A6151C4"/>
    <w:rsid w:val="2A664C59"/>
    <w:rsid w:val="2A6B464E"/>
    <w:rsid w:val="2A944B48"/>
    <w:rsid w:val="2A9A0F2B"/>
    <w:rsid w:val="2AA07917"/>
    <w:rsid w:val="2AA1140C"/>
    <w:rsid w:val="2AA67F8B"/>
    <w:rsid w:val="2AAA31D9"/>
    <w:rsid w:val="2AAC289A"/>
    <w:rsid w:val="2AB138BA"/>
    <w:rsid w:val="2AC51079"/>
    <w:rsid w:val="2ACA0984"/>
    <w:rsid w:val="2AD05182"/>
    <w:rsid w:val="2AE47A17"/>
    <w:rsid w:val="2AEB2740"/>
    <w:rsid w:val="2AF44191"/>
    <w:rsid w:val="2AF74347"/>
    <w:rsid w:val="2B0A4D59"/>
    <w:rsid w:val="2B1A32A0"/>
    <w:rsid w:val="2B26693B"/>
    <w:rsid w:val="2B2F1FC7"/>
    <w:rsid w:val="2B2F2F22"/>
    <w:rsid w:val="2B37764D"/>
    <w:rsid w:val="2B3F6547"/>
    <w:rsid w:val="2B4F2967"/>
    <w:rsid w:val="2B5C1A7C"/>
    <w:rsid w:val="2B5C469F"/>
    <w:rsid w:val="2B6525E9"/>
    <w:rsid w:val="2B6E19DB"/>
    <w:rsid w:val="2B756050"/>
    <w:rsid w:val="2B7C5660"/>
    <w:rsid w:val="2B8944AA"/>
    <w:rsid w:val="2B92679C"/>
    <w:rsid w:val="2B96506D"/>
    <w:rsid w:val="2B986BC6"/>
    <w:rsid w:val="2BA16669"/>
    <w:rsid w:val="2BAE20A5"/>
    <w:rsid w:val="2BAF2381"/>
    <w:rsid w:val="2BB1376A"/>
    <w:rsid w:val="2BBA7E05"/>
    <w:rsid w:val="2BBB17D5"/>
    <w:rsid w:val="2BC3413A"/>
    <w:rsid w:val="2BC45396"/>
    <w:rsid w:val="2BD540AD"/>
    <w:rsid w:val="2BDA10DE"/>
    <w:rsid w:val="2BDA2AEC"/>
    <w:rsid w:val="2BF336C9"/>
    <w:rsid w:val="2BF33ED5"/>
    <w:rsid w:val="2BFB7405"/>
    <w:rsid w:val="2C006833"/>
    <w:rsid w:val="2C034F7B"/>
    <w:rsid w:val="2C040D89"/>
    <w:rsid w:val="2C0509D9"/>
    <w:rsid w:val="2C05481D"/>
    <w:rsid w:val="2C056AF9"/>
    <w:rsid w:val="2C220DB4"/>
    <w:rsid w:val="2C247FF1"/>
    <w:rsid w:val="2C3C0030"/>
    <w:rsid w:val="2C3F3887"/>
    <w:rsid w:val="2C45016F"/>
    <w:rsid w:val="2C516E38"/>
    <w:rsid w:val="2C533A6A"/>
    <w:rsid w:val="2C560EA3"/>
    <w:rsid w:val="2C617496"/>
    <w:rsid w:val="2C62156F"/>
    <w:rsid w:val="2C6F41F6"/>
    <w:rsid w:val="2C730778"/>
    <w:rsid w:val="2C7E030A"/>
    <w:rsid w:val="2C833FFB"/>
    <w:rsid w:val="2C8F430E"/>
    <w:rsid w:val="2C970335"/>
    <w:rsid w:val="2CA21894"/>
    <w:rsid w:val="2CA4476E"/>
    <w:rsid w:val="2CAD4F6B"/>
    <w:rsid w:val="2CB17FD2"/>
    <w:rsid w:val="2CBA3041"/>
    <w:rsid w:val="2CC16AFA"/>
    <w:rsid w:val="2CC95D10"/>
    <w:rsid w:val="2CCA43FF"/>
    <w:rsid w:val="2CCB5A72"/>
    <w:rsid w:val="2CD57684"/>
    <w:rsid w:val="2CD67A0B"/>
    <w:rsid w:val="2CD75666"/>
    <w:rsid w:val="2CD83FF1"/>
    <w:rsid w:val="2CDC6591"/>
    <w:rsid w:val="2CDE08F2"/>
    <w:rsid w:val="2CE03AB0"/>
    <w:rsid w:val="2CEB494F"/>
    <w:rsid w:val="2CEF53E3"/>
    <w:rsid w:val="2CF53A56"/>
    <w:rsid w:val="2CF649A9"/>
    <w:rsid w:val="2CFC27E4"/>
    <w:rsid w:val="2D0766E4"/>
    <w:rsid w:val="2D0B702A"/>
    <w:rsid w:val="2D107EBA"/>
    <w:rsid w:val="2D1B67A1"/>
    <w:rsid w:val="2D1F4BCA"/>
    <w:rsid w:val="2D221AAA"/>
    <w:rsid w:val="2D254ED3"/>
    <w:rsid w:val="2D2651C9"/>
    <w:rsid w:val="2D397977"/>
    <w:rsid w:val="2D3D74EA"/>
    <w:rsid w:val="2D476C62"/>
    <w:rsid w:val="2D504333"/>
    <w:rsid w:val="2D521264"/>
    <w:rsid w:val="2D567058"/>
    <w:rsid w:val="2D57290A"/>
    <w:rsid w:val="2D5D7FE8"/>
    <w:rsid w:val="2D5E7E01"/>
    <w:rsid w:val="2D6030A2"/>
    <w:rsid w:val="2D660EF9"/>
    <w:rsid w:val="2D6C2B47"/>
    <w:rsid w:val="2D763F45"/>
    <w:rsid w:val="2D820204"/>
    <w:rsid w:val="2D8402FC"/>
    <w:rsid w:val="2D88024C"/>
    <w:rsid w:val="2D935488"/>
    <w:rsid w:val="2D960FB5"/>
    <w:rsid w:val="2D9B4423"/>
    <w:rsid w:val="2DAC2EF4"/>
    <w:rsid w:val="2DAD4BCD"/>
    <w:rsid w:val="2DB453FF"/>
    <w:rsid w:val="2DBE4237"/>
    <w:rsid w:val="2DCB10F0"/>
    <w:rsid w:val="2DCB38A1"/>
    <w:rsid w:val="2DD066E9"/>
    <w:rsid w:val="2DDC0ED4"/>
    <w:rsid w:val="2DE3054F"/>
    <w:rsid w:val="2DE7186E"/>
    <w:rsid w:val="2DF036FB"/>
    <w:rsid w:val="2DF21CB3"/>
    <w:rsid w:val="2DFD78B4"/>
    <w:rsid w:val="2DFE083B"/>
    <w:rsid w:val="2E0708FF"/>
    <w:rsid w:val="2E11457C"/>
    <w:rsid w:val="2E1643B9"/>
    <w:rsid w:val="2E184C0F"/>
    <w:rsid w:val="2E187142"/>
    <w:rsid w:val="2E1F18AD"/>
    <w:rsid w:val="2E285E19"/>
    <w:rsid w:val="2E28757C"/>
    <w:rsid w:val="2E2C723F"/>
    <w:rsid w:val="2E332EEF"/>
    <w:rsid w:val="2E3D0855"/>
    <w:rsid w:val="2E3F6B8A"/>
    <w:rsid w:val="2E406C31"/>
    <w:rsid w:val="2E467FE7"/>
    <w:rsid w:val="2E527715"/>
    <w:rsid w:val="2E530660"/>
    <w:rsid w:val="2E531152"/>
    <w:rsid w:val="2E565287"/>
    <w:rsid w:val="2E5F1E47"/>
    <w:rsid w:val="2E682652"/>
    <w:rsid w:val="2E6B6D27"/>
    <w:rsid w:val="2E7A506F"/>
    <w:rsid w:val="2E7B0600"/>
    <w:rsid w:val="2E7B273D"/>
    <w:rsid w:val="2E7D30EA"/>
    <w:rsid w:val="2E8028E0"/>
    <w:rsid w:val="2E88139A"/>
    <w:rsid w:val="2E8B051E"/>
    <w:rsid w:val="2E8F062E"/>
    <w:rsid w:val="2E905D65"/>
    <w:rsid w:val="2E9D560F"/>
    <w:rsid w:val="2E9F7EC1"/>
    <w:rsid w:val="2EA234E1"/>
    <w:rsid w:val="2EB17C70"/>
    <w:rsid w:val="2EB411B5"/>
    <w:rsid w:val="2EBD49E1"/>
    <w:rsid w:val="2EBF0ED1"/>
    <w:rsid w:val="2EC42186"/>
    <w:rsid w:val="2EC7495E"/>
    <w:rsid w:val="2EC776BB"/>
    <w:rsid w:val="2ECA39AD"/>
    <w:rsid w:val="2ECC0C07"/>
    <w:rsid w:val="2ED03009"/>
    <w:rsid w:val="2EF224CD"/>
    <w:rsid w:val="2EF67D61"/>
    <w:rsid w:val="2EFA2F2B"/>
    <w:rsid w:val="2F195BDC"/>
    <w:rsid w:val="2F2E23A6"/>
    <w:rsid w:val="2F2E289C"/>
    <w:rsid w:val="2F350F19"/>
    <w:rsid w:val="2F383567"/>
    <w:rsid w:val="2F3B1918"/>
    <w:rsid w:val="2F415DC8"/>
    <w:rsid w:val="2F514AAE"/>
    <w:rsid w:val="2F531FEB"/>
    <w:rsid w:val="2F5B5B3B"/>
    <w:rsid w:val="2F615468"/>
    <w:rsid w:val="2F655F0E"/>
    <w:rsid w:val="2F6B73F9"/>
    <w:rsid w:val="2F6D4FA6"/>
    <w:rsid w:val="2F743486"/>
    <w:rsid w:val="2F756E65"/>
    <w:rsid w:val="2F77354F"/>
    <w:rsid w:val="2F7A7069"/>
    <w:rsid w:val="2F7B2789"/>
    <w:rsid w:val="2F8001B6"/>
    <w:rsid w:val="2F897AA1"/>
    <w:rsid w:val="2F8D4D67"/>
    <w:rsid w:val="2F8E2F8D"/>
    <w:rsid w:val="2F9051B8"/>
    <w:rsid w:val="2F910893"/>
    <w:rsid w:val="2F9A69D2"/>
    <w:rsid w:val="2F9C6646"/>
    <w:rsid w:val="2F9D4AA3"/>
    <w:rsid w:val="2F9F094E"/>
    <w:rsid w:val="2FA5152D"/>
    <w:rsid w:val="2FA96250"/>
    <w:rsid w:val="2FB11323"/>
    <w:rsid w:val="2FBB6A2A"/>
    <w:rsid w:val="2FC2166F"/>
    <w:rsid w:val="2FCB0952"/>
    <w:rsid w:val="2FD53529"/>
    <w:rsid w:val="2FD80709"/>
    <w:rsid w:val="2FDF2368"/>
    <w:rsid w:val="2FDF7CD4"/>
    <w:rsid w:val="2FEC08C6"/>
    <w:rsid w:val="2FF532B7"/>
    <w:rsid w:val="2FF674CB"/>
    <w:rsid w:val="2FF7251F"/>
    <w:rsid w:val="30007788"/>
    <w:rsid w:val="30093592"/>
    <w:rsid w:val="301977C7"/>
    <w:rsid w:val="301E3E25"/>
    <w:rsid w:val="30205153"/>
    <w:rsid w:val="30253FAB"/>
    <w:rsid w:val="30270D6F"/>
    <w:rsid w:val="303B3B59"/>
    <w:rsid w:val="303C0C41"/>
    <w:rsid w:val="303D6437"/>
    <w:rsid w:val="30443F81"/>
    <w:rsid w:val="305831D6"/>
    <w:rsid w:val="305A4537"/>
    <w:rsid w:val="30632880"/>
    <w:rsid w:val="3070014A"/>
    <w:rsid w:val="307B4FFA"/>
    <w:rsid w:val="308136E0"/>
    <w:rsid w:val="3095375A"/>
    <w:rsid w:val="309B2688"/>
    <w:rsid w:val="30A90B96"/>
    <w:rsid w:val="30A91070"/>
    <w:rsid w:val="30B26464"/>
    <w:rsid w:val="30B86332"/>
    <w:rsid w:val="30C91D87"/>
    <w:rsid w:val="30D10B78"/>
    <w:rsid w:val="30D251E3"/>
    <w:rsid w:val="30D36EB7"/>
    <w:rsid w:val="30D45137"/>
    <w:rsid w:val="30D51A41"/>
    <w:rsid w:val="30E7233C"/>
    <w:rsid w:val="30F3215C"/>
    <w:rsid w:val="30FB3BF4"/>
    <w:rsid w:val="31076B28"/>
    <w:rsid w:val="31076EFA"/>
    <w:rsid w:val="310866BC"/>
    <w:rsid w:val="31154DED"/>
    <w:rsid w:val="31215B33"/>
    <w:rsid w:val="312A36B1"/>
    <w:rsid w:val="31337532"/>
    <w:rsid w:val="313A2CAC"/>
    <w:rsid w:val="313E6356"/>
    <w:rsid w:val="31460C29"/>
    <w:rsid w:val="314B3239"/>
    <w:rsid w:val="315B21E9"/>
    <w:rsid w:val="315B5E62"/>
    <w:rsid w:val="31604DC0"/>
    <w:rsid w:val="31607973"/>
    <w:rsid w:val="3163108E"/>
    <w:rsid w:val="3167538F"/>
    <w:rsid w:val="317544CD"/>
    <w:rsid w:val="31765162"/>
    <w:rsid w:val="317A487D"/>
    <w:rsid w:val="317D76C8"/>
    <w:rsid w:val="31833BCE"/>
    <w:rsid w:val="318A1515"/>
    <w:rsid w:val="31944F6F"/>
    <w:rsid w:val="31963456"/>
    <w:rsid w:val="31A51052"/>
    <w:rsid w:val="31A77BCC"/>
    <w:rsid w:val="31A84B64"/>
    <w:rsid w:val="31B12D3C"/>
    <w:rsid w:val="31B2653B"/>
    <w:rsid w:val="31B266EC"/>
    <w:rsid w:val="31B45163"/>
    <w:rsid w:val="31B81D35"/>
    <w:rsid w:val="31C3729F"/>
    <w:rsid w:val="31CB617D"/>
    <w:rsid w:val="31CC0ECB"/>
    <w:rsid w:val="31DD2EC1"/>
    <w:rsid w:val="31DF1DB8"/>
    <w:rsid w:val="31F020DC"/>
    <w:rsid w:val="31F072F8"/>
    <w:rsid w:val="32061C7F"/>
    <w:rsid w:val="320A52D8"/>
    <w:rsid w:val="320D2005"/>
    <w:rsid w:val="32136025"/>
    <w:rsid w:val="32220D79"/>
    <w:rsid w:val="32252577"/>
    <w:rsid w:val="32294648"/>
    <w:rsid w:val="322F0831"/>
    <w:rsid w:val="3238009F"/>
    <w:rsid w:val="323F5519"/>
    <w:rsid w:val="32442E52"/>
    <w:rsid w:val="32471CC6"/>
    <w:rsid w:val="324F0134"/>
    <w:rsid w:val="32540593"/>
    <w:rsid w:val="32575B7F"/>
    <w:rsid w:val="32582CC3"/>
    <w:rsid w:val="327179A4"/>
    <w:rsid w:val="32775626"/>
    <w:rsid w:val="32835AB1"/>
    <w:rsid w:val="328A3A5F"/>
    <w:rsid w:val="328D7371"/>
    <w:rsid w:val="328E2231"/>
    <w:rsid w:val="329326B7"/>
    <w:rsid w:val="329426A2"/>
    <w:rsid w:val="329708DE"/>
    <w:rsid w:val="32AD1211"/>
    <w:rsid w:val="32BE0045"/>
    <w:rsid w:val="32E12F9A"/>
    <w:rsid w:val="32E87F66"/>
    <w:rsid w:val="32E97C5E"/>
    <w:rsid w:val="32EC46FB"/>
    <w:rsid w:val="32FF12B8"/>
    <w:rsid w:val="330073AA"/>
    <w:rsid w:val="33020BF1"/>
    <w:rsid w:val="330710D7"/>
    <w:rsid w:val="331264BB"/>
    <w:rsid w:val="331E3887"/>
    <w:rsid w:val="33224534"/>
    <w:rsid w:val="332742E9"/>
    <w:rsid w:val="332850C4"/>
    <w:rsid w:val="332A1AC1"/>
    <w:rsid w:val="332C71E1"/>
    <w:rsid w:val="332E1BC2"/>
    <w:rsid w:val="332F3B66"/>
    <w:rsid w:val="333B116B"/>
    <w:rsid w:val="333E2024"/>
    <w:rsid w:val="33427ABB"/>
    <w:rsid w:val="33616D4E"/>
    <w:rsid w:val="338134D4"/>
    <w:rsid w:val="33821BAB"/>
    <w:rsid w:val="338378EA"/>
    <w:rsid w:val="33885755"/>
    <w:rsid w:val="339E18BC"/>
    <w:rsid w:val="33A57822"/>
    <w:rsid w:val="33A77C3C"/>
    <w:rsid w:val="33AA7345"/>
    <w:rsid w:val="33B37087"/>
    <w:rsid w:val="33BA7C82"/>
    <w:rsid w:val="33BC4D91"/>
    <w:rsid w:val="33BF4D9D"/>
    <w:rsid w:val="33C233CD"/>
    <w:rsid w:val="33C504FF"/>
    <w:rsid w:val="33C968FA"/>
    <w:rsid w:val="33D23DF5"/>
    <w:rsid w:val="33D246C3"/>
    <w:rsid w:val="33DF11C8"/>
    <w:rsid w:val="33E442C9"/>
    <w:rsid w:val="33E61B12"/>
    <w:rsid w:val="33EF44FC"/>
    <w:rsid w:val="33F751C3"/>
    <w:rsid w:val="33FB4B21"/>
    <w:rsid w:val="33FE7E15"/>
    <w:rsid w:val="33FF1154"/>
    <w:rsid w:val="340074AF"/>
    <w:rsid w:val="340948E1"/>
    <w:rsid w:val="340D3904"/>
    <w:rsid w:val="341212B1"/>
    <w:rsid w:val="341321BE"/>
    <w:rsid w:val="34155C01"/>
    <w:rsid w:val="34293255"/>
    <w:rsid w:val="34314E1D"/>
    <w:rsid w:val="34374868"/>
    <w:rsid w:val="343D2D4C"/>
    <w:rsid w:val="34417702"/>
    <w:rsid w:val="34417EB0"/>
    <w:rsid w:val="3446518F"/>
    <w:rsid w:val="344A296C"/>
    <w:rsid w:val="344C25CD"/>
    <w:rsid w:val="344E045C"/>
    <w:rsid w:val="344F610D"/>
    <w:rsid w:val="34512060"/>
    <w:rsid w:val="345232B0"/>
    <w:rsid w:val="345A0779"/>
    <w:rsid w:val="345B15DB"/>
    <w:rsid w:val="346B1ADA"/>
    <w:rsid w:val="346C4A94"/>
    <w:rsid w:val="346E7A5A"/>
    <w:rsid w:val="3477244E"/>
    <w:rsid w:val="34782617"/>
    <w:rsid w:val="347946FA"/>
    <w:rsid w:val="347A6171"/>
    <w:rsid w:val="348440EB"/>
    <w:rsid w:val="348D33D3"/>
    <w:rsid w:val="3496737A"/>
    <w:rsid w:val="349C03F2"/>
    <w:rsid w:val="34A238C5"/>
    <w:rsid w:val="34AC0653"/>
    <w:rsid w:val="34AC2DE9"/>
    <w:rsid w:val="34B24855"/>
    <w:rsid w:val="34B55560"/>
    <w:rsid w:val="34B84D9B"/>
    <w:rsid w:val="34BE7103"/>
    <w:rsid w:val="34C9343D"/>
    <w:rsid w:val="34CE3369"/>
    <w:rsid w:val="34DC1C67"/>
    <w:rsid w:val="34E47162"/>
    <w:rsid w:val="34E664D6"/>
    <w:rsid w:val="34F64CDD"/>
    <w:rsid w:val="34FF095B"/>
    <w:rsid w:val="3500311A"/>
    <w:rsid w:val="350B76BF"/>
    <w:rsid w:val="350C5C16"/>
    <w:rsid w:val="351710F0"/>
    <w:rsid w:val="351F4B47"/>
    <w:rsid w:val="352B4097"/>
    <w:rsid w:val="352E435E"/>
    <w:rsid w:val="3534069E"/>
    <w:rsid w:val="353807E2"/>
    <w:rsid w:val="353D45FA"/>
    <w:rsid w:val="353F0E06"/>
    <w:rsid w:val="35422CF2"/>
    <w:rsid w:val="35505013"/>
    <w:rsid w:val="35531CAD"/>
    <w:rsid w:val="356D51F7"/>
    <w:rsid w:val="357972DF"/>
    <w:rsid w:val="357D79D3"/>
    <w:rsid w:val="35804F9D"/>
    <w:rsid w:val="35843B49"/>
    <w:rsid w:val="35884385"/>
    <w:rsid w:val="35890016"/>
    <w:rsid w:val="358B0F26"/>
    <w:rsid w:val="35924A15"/>
    <w:rsid w:val="359753B1"/>
    <w:rsid w:val="35A251D2"/>
    <w:rsid w:val="35A25468"/>
    <w:rsid w:val="35AC56FE"/>
    <w:rsid w:val="35C3354B"/>
    <w:rsid w:val="35C8705E"/>
    <w:rsid w:val="35CB283C"/>
    <w:rsid w:val="35D02A2E"/>
    <w:rsid w:val="35D16387"/>
    <w:rsid w:val="35DF2011"/>
    <w:rsid w:val="35E1012B"/>
    <w:rsid w:val="35E1505C"/>
    <w:rsid w:val="35E328B8"/>
    <w:rsid w:val="35E3701E"/>
    <w:rsid w:val="35E420DE"/>
    <w:rsid w:val="35E607CD"/>
    <w:rsid w:val="35EB34A9"/>
    <w:rsid w:val="35EC6F4A"/>
    <w:rsid w:val="35EE6A38"/>
    <w:rsid w:val="35F5734F"/>
    <w:rsid w:val="35F65884"/>
    <w:rsid w:val="35F715DC"/>
    <w:rsid w:val="36057267"/>
    <w:rsid w:val="360632C2"/>
    <w:rsid w:val="362131A7"/>
    <w:rsid w:val="362E1546"/>
    <w:rsid w:val="36330CA5"/>
    <w:rsid w:val="363F061B"/>
    <w:rsid w:val="364236D7"/>
    <w:rsid w:val="3654563C"/>
    <w:rsid w:val="365763B3"/>
    <w:rsid w:val="366F70DE"/>
    <w:rsid w:val="367C0A7E"/>
    <w:rsid w:val="36856B5A"/>
    <w:rsid w:val="36883C27"/>
    <w:rsid w:val="36950061"/>
    <w:rsid w:val="36A32443"/>
    <w:rsid w:val="36A61ADA"/>
    <w:rsid w:val="36AC504E"/>
    <w:rsid w:val="36B45F51"/>
    <w:rsid w:val="36B7013F"/>
    <w:rsid w:val="36D37FB9"/>
    <w:rsid w:val="36D40D9D"/>
    <w:rsid w:val="36D71D0D"/>
    <w:rsid w:val="36E17BD4"/>
    <w:rsid w:val="36E30071"/>
    <w:rsid w:val="36E31151"/>
    <w:rsid w:val="36E61D1E"/>
    <w:rsid w:val="36EF4947"/>
    <w:rsid w:val="36F76FAD"/>
    <w:rsid w:val="37060D5C"/>
    <w:rsid w:val="370F6D7D"/>
    <w:rsid w:val="3711176D"/>
    <w:rsid w:val="37113E21"/>
    <w:rsid w:val="37244D17"/>
    <w:rsid w:val="373F483B"/>
    <w:rsid w:val="37451D56"/>
    <w:rsid w:val="375C645A"/>
    <w:rsid w:val="37633810"/>
    <w:rsid w:val="376A27F4"/>
    <w:rsid w:val="37737FCD"/>
    <w:rsid w:val="377E4EC2"/>
    <w:rsid w:val="37831AFE"/>
    <w:rsid w:val="37855CA5"/>
    <w:rsid w:val="379747E4"/>
    <w:rsid w:val="37A10A3C"/>
    <w:rsid w:val="37A32862"/>
    <w:rsid w:val="37A771F1"/>
    <w:rsid w:val="37A83EE9"/>
    <w:rsid w:val="37AA1FED"/>
    <w:rsid w:val="37B033F0"/>
    <w:rsid w:val="37B25951"/>
    <w:rsid w:val="37B82D37"/>
    <w:rsid w:val="37BB1880"/>
    <w:rsid w:val="37BF7DD8"/>
    <w:rsid w:val="37CA6F5D"/>
    <w:rsid w:val="37CF39F4"/>
    <w:rsid w:val="37DE142C"/>
    <w:rsid w:val="37DF4E44"/>
    <w:rsid w:val="38093CF4"/>
    <w:rsid w:val="38132FDB"/>
    <w:rsid w:val="381523AC"/>
    <w:rsid w:val="3816611D"/>
    <w:rsid w:val="381A7833"/>
    <w:rsid w:val="381D6FCC"/>
    <w:rsid w:val="38255502"/>
    <w:rsid w:val="382563C3"/>
    <w:rsid w:val="382B10C6"/>
    <w:rsid w:val="384502C9"/>
    <w:rsid w:val="384757BF"/>
    <w:rsid w:val="384A568A"/>
    <w:rsid w:val="384C2E85"/>
    <w:rsid w:val="384D7A6B"/>
    <w:rsid w:val="38527F5E"/>
    <w:rsid w:val="38576EB1"/>
    <w:rsid w:val="385B78DA"/>
    <w:rsid w:val="385E7289"/>
    <w:rsid w:val="386106B9"/>
    <w:rsid w:val="386B3647"/>
    <w:rsid w:val="386E60E1"/>
    <w:rsid w:val="386F64C6"/>
    <w:rsid w:val="38724636"/>
    <w:rsid w:val="38755246"/>
    <w:rsid w:val="38850F2D"/>
    <w:rsid w:val="388F47CD"/>
    <w:rsid w:val="3891497A"/>
    <w:rsid w:val="38921D1F"/>
    <w:rsid w:val="38934709"/>
    <w:rsid w:val="3899545E"/>
    <w:rsid w:val="389B63CB"/>
    <w:rsid w:val="389D36E7"/>
    <w:rsid w:val="38A039DA"/>
    <w:rsid w:val="38AD0AAC"/>
    <w:rsid w:val="38AF121A"/>
    <w:rsid w:val="38B10DA8"/>
    <w:rsid w:val="38B94B51"/>
    <w:rsid w:val="38B976FB"/>
    <w:rsid w:val="38BB5EDA"/>
    <w:rsid w:val="38C6779A"/>
    <w:rsid w:val="38DC2A26"/>
    <w:rsid w:val="38DC5040"/>
    <w:rsid w:val="38EA0958"/>
    <w:rsid w:val="38EA292A"/>
    <w:rsid w:val="38EB3140"/>
    <w:rsid w:val="38F71493"/>
    <w:rsid w:val="38FC7F68"/>
    <w:rsid w:val="390150BD"/>
    <w:rsid w:val="39015BC8"/>
    <w:rsid w:val="390A29CF"/>
    <w:rsid w:val="39132EBE"/>
    <w:rsid w:val="3923223F"/>
    <w:rsid w:val="392C3404"/>
    <w:rsid w:val="393F3649"/>
    <w:rsid w:val="39434B25"/>
    <w:rsid w:val="39442CC4"/>
    <w:rsid w:val="39473C95"/>
    <w:rsid w:val="394A3B36"/>
    <w:rsid w:val="394C053B"/>
    <w:rsid w:val="394E0439"/>
    <w:rsid w:val="3953146F"/>
    <w:rsid w:val="39532D05"/>
    <w:rsid w:val="395A1855"/>
    <w:rsid w:val="395E1405"/>
    <w:rsid w:val="3962425A"/>
    <w:rsid w:val="396E504E"/>
    <w:rsid w:val="396F7993"/>
    <w:rsid w:val="39741673"/>
    <w:rsid w:val="397F2866"/>
    <w:rsid w:val="39850A26"/>
    <w:rsid w:val="39893783"/>
    <w:rsid w:val="399108C7"/>
    <w:rsid w:val="399B6654"/>
    <w:rsid w:val="399C23C2"/>
    <w:rsid w:val="399E7C65"/>
    <w:rsid w:val="39A118CD"/>
    <w:rsid w:val="39A337DD"/>
    <w:rsid w:val="39B1002C"/>
    <w:rsid w:val="39B75345"/>
    <w:rsid w:val="39BA1CF7"/>
    <w:rsid w:val="39BA2065"/>
    <w:rsid w:val="39C83126"/>
    <w:rsid w:val="39CD4753"/>
    <w:rsid w:val="39D037AF"/>
    <w:rsid w:val="39D466BD"/>
    <w:rsid w:val="39D7158B"/>
    <w:rsid w:val="39DC1B39"/>
    <w:rsid w:val="39E03897"/>
    <w:rsid w:val="39E125BA"/>
    <w:rsid w:val="39EE1B0B"/>
    <w:rsid w:val="39F17FFD"/>
    <w:rsid w:val="39F24322"/>
    <w:rsid w:val="39FA1859"/>
    <w:rsid w:val="3A03384A"/>
    <w:rsid w:val="3A066160"/>
    <w:rsid w:val="3A083121"/>
    <w:rsid w:val="3A0D48B1"/>
    <w:rsid w:val="3A1810FA"/>
    <w:rsid w:val="3A2441B7"/>
    <w:rsid w:val="3A274488"/>
    <w:rsid w:val="3A28048B"/>
    <w:rsid w:val="3A336331"/>
    <w:rsid w:val="3A425B7A"/>
    <w:rsid w:val="3A431472"/>
    <w:rsid w:val="3A474B1C"/>
    <w:rsid w:val="3A5207B4"/>
    <w:rsid w:val="3A541BF5"/>
    <w:rsid w:val="3A553D9F"/>
    <w:rsid w:val="3A597477"/>
    <w:rsid w:val="3A5A285A"/>
    <w:rsid w:val="3A5E32B9"/>
    <w:rsid w:val="3A646A00"/>
    <w:rsid w:val="3A697F71"/>
    <w:rsid w:val="3A6A4AC7"/>
    <w:rsid w:val="3A6E26C3"/>
    <w:rsid w:val="3A6F0BDF"/>
    <w:rsid w:val="3A72622B"/>
    <w:rsid w:val="3A75769F"/>
    <w:rsid w:val="3A7A025B"/>
    <w:rsid w:val="3A7E2244"/>
    <w:rsid w:val="3A861E9F"/>
    <w:rsid w:val="3A897BA1"/>
    <w:rsid w:val="3A9038DA"/>
    <w:rsid w:val="3A936647"/>
    <w:rsid w:val="3A9E4B32"/>
    <w:rsid w:val="3A9F1B2C"/>
    <w:rsid w:val="3AA04C49"/>
    <w:rsid w:val="3AA54470"/>
    <w:rsid w:val="3AA913CF"/>
    <w:rsid w:val="3AB86069"/>
    <w:rsid w:val="3AC036CC"/>
    <w:rsid w:val="3AC205A6"/>
    <w:rsid w:val="3AC257A4"/>
    <w:rsid w:val="3AC334CD"/>
    <w:rsid w:val="3AD16134"/>
    <w:rsid w:val="3AD17EBD"/>
    <w:rsid w:val="3ADE382E"/>
    <w:rsid w:val="3AEA3CFC"/>
    <w:rsid w:val="3AF044A5"/>
    <w:rsid w:val="3AFC4CC9"/>
    <w:rsid w:val="3B00301D"/>
    <w:rsid w:val="3B1752EE"/>
    <w:rsid w:val="3B1C35AC"/>
    <w:rsid w:val="3B1F0CAE"/>
    <w:rsid w:val="3B22468C"/>
    <w:rsid w:val="3B292A67"/>
    <w:rsid w:val="3B3155AA"/>
    <w:rsid w:val="3B3E0B10"/>
    <w:rsid w:val="3B4F1508"/>
    <w:rsid w:val="3B580D61"/>
    <w:rsid w:val="3B696BF9"/>
    <w:rsid w:val="3B6F0DCA"/>
    <w:rsid w:val="3B754E06"/>
    <w:rsid w:val="3B7B2B0A"/>
    <w:rsid w:val="3B7C7B97"/>
    <w:rsid w:val="3B8372AE"/>
    <w:rsid w:val="3B914065"/>
    <w:rsid w:val="3B9F483C"/>
    <w:rsid w:val="3BB249F7"/>
    <w:rsid w:val="3BBE3122"/>
    <w:rsid w:val="3BC20515"/>
    <w:rsid w:val="3BC53C74"/>
    <w:rsid w:val="3BC60370"/>
    <w:rsid w:val="3BC62C0D"/>
    <w:rsid w:val="3BC772AB"/>
    <w:rsid w:val="3BC812C8"/>
    <w:rsid w:val="3BD741DE"/>
    <w:rsid w:val="3BE7491F"/>
    <w:rsid w:val="3BE82033"/>
    <w:rsid w:val="3BEF3F98"/>
    <w:rsid w:val="3BF01125"/>
    <w:rsid w:val="3BF1165C"/>
    <w:rsid w:val="3BF82655"/>
    <w:rsid w:val="3BF90B59"/>
    <w:rsid w:val="3C035D20"/>
    <w:rsid w:val="3C0C1C74"/>
    <w:rsid w:val="3C12184A"/>
    <w:rsid w:val="3C165216"/>
    <w:rsid w:val="3C20030B"/>
    <w:rsid w:val="3C220A63"/>
    <w:rsid w:val="3C257E8D"/>
    <w:rsid w:val="3C286FD8"/>
    <w:rsid w:val="3C326DEB"/>
    <w:rsid w:val="3C3C1378"/>
    <w:rsid w:val="3C497D33"/>
    <w:rsid w:val="3C5A342C"/>
    <w:rsid w:val="3C5C0867"/>
    <w:rsid w:val="3C656EED"/>
    <w:rsid w:val="3C685003"/>
    <w:rsid w:val="3C6D452D"/>
    <w:rsid w:val="3C6E7843"/>
    <w:rsid w:val="3C727A71"/>
    <w:rsid w:val="3C732FE2"/>
    <w:rsid w:val="3C786DE5"/>
    <w:rsid w:val="3C7A20C3"/>
    <w:rsid w:val="3C7A3669"/>
    <w:rsid w:val="3C7D3E58"/>
    <w:rsid w:val="3C882BD0"/>
    <w:rsid w:val="3C94545E"/>
    <w:rsid w:val="3C975DCC"/>
    <w:rsid w:val="3C9912FB"/>
    <w:rsid w:val="3CAE0651"/>
    <w:rsid w:val="3CBC2D9B"/>
    <w:rsid w:val="3CC5588D"/>
    <w:rsid w:val="3CCD1D16"/>
    <w:rsid w:val="3CD83C07"/>
    <w:rsid w:val="3CD85D57"/>
    <w:rsid w:val="3CD87AA0"/>
    <w:rsid w:val="3CDA5112"/>
    <w:rsid w:val="3CDB62C1"/>
    <w:rsid w:val="3CE13BDF"/>
    <w:rsid w:val="3CE26359"/>
    <w:rsid w:val="3CE70364"/>
    <w:rsid w:val="3CFD4D35"/>
    <w:rsid w:val="3D064D69"/>
    <w:rsid w:val="3D0E3667"/>
    <w:rsid w:val="3D0E399D"/>
    <w:rsid w:val="3D123F8D"/>
    <w:rsid w:val="3D12721E"/>
    <w:rsid w:val="3D1B45BC"/>
    <w:rsid w:val="3D27093B"/>
    <w:rsid w:val="3D351ADA"/>
    <w:rsid w:val="3D3D6CB6"/>
    <w:rsid w:val="3D444248"/>
    <w:rsid w:val="3D4B2FA5"/>
    <w:rsid w:val="3D527DA5"/>
    <w:rsid w:val="3D546058"/>
    <w:rsid w:val="3D5461A9"/>
    <w:rsid w:val="3D58650A"/>
    <w:rsid w:val="3D590765"/>
    <w:rsid w:val="3D5A6060"/>
    <w:rsid w:val="3D640E16"/>
    <w:rsid w:val="3D67132F"/>
    <w:rsid w:val="3D7B0D27"/>
    <w:rsid w:val="3D7E27A0"/>
    <w:rsid w:val="3D874F51"/>
    <w:rsid w:val="3D896CEB"/>
    <w:rsid w:val="3D9A2D6C"/>
    <w:rsid w:val="3D9D0681"/>
    <w:rsid w:val="3DA2325F"/>
    <w:rsid w:val="3DAF1596"/>
    <w:rsid w:val="3DB52668"/>
    <w:rsid w:val="3DD3077A"/>
    <w:rsid w:val="3DDF7A0D"/>
    <w:rsid w:val="3DFD4BBE"/>
    <w:rsid w:val="3E00097B"/>
    <w:rsid w:val="3E011326"/>
    <w:rsid w:val="3E024B7B"/>
    <w:rsid w:val="3E104548"/>
    <w:rsid w:val="3E19435F"/>
    <w:rsid w:val="3E1B47C8"/>
    <w:rsid w:val="3E20393D"/>
    <w:rsid w:val="3E205773"/>
    <w:rsid w:val="3E264903"/>
    <w:rsid w:val="3E2806A1"/>
    <w:rsid w:val="3E2E35CB"/>
    <w:rsid w:val="3E31025E"/>
    <w:rsid w:val="3E342DA3"/>
    <w:rsid w:val="3E471ABE"/>
    <w:rsid w:val="3E4755F9"/>
    <w:rsid w:val="3E492A39"/>
    <w:rsid w:val="3E4B1409"/>
    <w:rsid w:val="3E556354"/>
    <w:rsid w:val="3E6336EF"/>
    <w:rsid w:val="3E660D1B"/>
    <w:rsid w:val="3E6E2E9E"/>
    <w:rsid w:val="3E8222F7"/>
    <w:rsid w:val="3E8258B1"/>
    <w:rsid w:val="3E8821CE"/>
    <w:rsid w:val="3E92738B"/>
    <w:rsid w:val="3E99456A"/>
    <w:rsid w:val="3EA0570F"/>
    <w:rsid w:val="3EA2409C"/>
    <w:rsid w:val="3EAD3D57"/>
    <w:rsid w:val="3EAF02B7"/>
    <w:rsid w:val="3EB1188E"/>
    <w:rsid w:val="3EB428B4"/>
    <w:rsid w:val="3EBD63D7"/>
    <w:rsid w:val="3EC07733"/>
    <w:rsid w:val="3EC334A7"/>
    <w:rsid w:val="3EC678BC"/>
    <w:rsid w:val="3ED01824"/>
    <w:rsid w:val="3EE067CA"/>
    <w:rsid w:val="3EEF26AB"/>
    <w:rsid w:val="3EF21C38"/>
    <w:rsid w:val="3EF57D05"/>
    <w:rsid w:val="3EF96B38"/>
    <w:rsid w:val="3F002CCF"/>
    <w:rsid w:val="3F0566FF"/>
    <w:rsid w:val="3F0605BE"/>
    <w:rsid w:val="3F06365D"/>
    <w:rsid w:val="3F0A3CA5"/>
    <w:rsid w:val="3F0B1DB8"/>
    <w:rsid w:val="3F0C44E7"/>
    <w:rsid w:val="3F0E6EA3"/>
    <w:rsid w:val="3F122278"/>
    <w:rsid w:val="3F155D82"/>
    <w:rsid w:val="3F261DEC"/>
    <w:rsid w:val="3F305E06"/>
    <w:rsid w:val="3F453E8A"/>
    <w:rsid w:val="3F47737F"/>
    <w:rsid w:val="3F523976"/>
    <w:rsid w:val="3F52626A"/>
    <w:rsid w:val="3F5322DF"/>
    <w:rsid w:val="3F556A35"/>
    <w:rsid w:val="3F5867B3"/>
    <w:rsid w:val="3F5A301C"/>
    <w:rsid w:val="3F637202"/>
    <w:rsid w:val="3F65418C"/>
    <w:rsid w:val="3F664F14"/>
    <w:rsid w:val="3F6763B0"/>
    <w:rsid w:val="3F6D1D36"/>
    <w:rsid w:val="3F6D2017"/>
    <w:rsid w:val="3F7339EB"/>
    <w:rsid w:val="3F770167"/>
    <w:rsid w:val="3F7D65D1"/>
    <w:rsid w:val="3F836296"/>
    <w:rsid w:val="3F9526FD"/>
    <w:rsid w:val="3F960218"/>
    <w:rsid w:val="3F9B508E"/>
    <w:rsid w:val="3FA01128"/>
    <w:rsid w:val="3FA10F73"/>
    <w:rsid w:val="3FA51002"/>
    <w:rsid w:val="3FA5548C"/>
    <w:rsid w:val="3FB1448E"/>
    <w:rsid w:val="3FB33F0F"/>
    <w:rsid w:val="3FB56B87"/>
    <w:rsid w:val="3FB827B0"/>
    <w:rsid w:val="3FB9798A"/>
    <w:rsid w:val="3FBC4DF5"/>
    <w:rsid w:val="3FBE226E"/>
    <w:rsid w:val="3FC74EA5"/>
    <w:rsid w:val="3FC80A13"/>
    <w:rsid w:val="3FC924C5"/>
    <w:rsid w:val="3FD001E0"/>
    <w:rsid w:val="3FD35125"/>
    <w:rsid w:val="3FDD5AA3"/>
    <w:rsid w:val="3FDD60EB"/>
    <w:rsid w:val="3FE1611D"/>
    <w:rsid w:val="3FE9762E"/>
    <w:rsid w:val="3FEB7EF7"/>
    <w:rsid w:val="3FF0534A"/>
    <w:rsid w:val="3FFC6AA1"/>
    <w:rsid w:val="3FFE725C"/>
    <w:rsid w:val="400D4689"/>
    <w:rsid w:val="40171E63"/>
    <w:rsid w:val="401B305E"/>
    <w:rsid w:val="401C023A"/>
    <w:rsid w:val="401E624D"/>
    <w:rsid w:val="4040700B"/>
    <w:rsid w:val="40505926"/>
    <w:rsid w:val="405074F9"/>
    <w:rsid w:val="40592E1A"/>
    <w:rsid w:val="40742B10"/>
    <w:rsid w:val="40851F94"/>
    <w:rsid w:val="40860806"/>
    <w:rsid w:val="408727EE"/>
    <w:rsid w:val="40881B05"/>
    <w:rsid w:val="408B015C"/>
    <w:rsid w:val="408D2092"/>
    <w:rsid w:val="40987E91"/>
    <w:rsid w:val="40AE535D"/>
    <w:rsid w:val="40B323C5"/>
    <w:rsid w:val="40B40F93"/>
    <w:rsid w:val="40B77C21"/>
    <w:rsid w:val="40BB1B3B"/>
    <w:rsid w:val="40C87F0D"/>
    <w:rsid w:val="40E13187"/>
    <w:rsid w:val="40E4111E"/>
    <w:rsid w:val="40F110C9"/>
    <w:rsid w:val="40F71EFC"/>
    <w:rsid w:val="40FA7D3C"/>
    <w:rsid w:val="40FC6040"/>
    <w:rsid w:val="41013098"/>
    <w:rsid w:val="41046C1A"/>
    <w:rsid w:val="410A66D3"/>
    <w:rsid w:val="411252F5"/>
    <w:rsid w:val="41216561"/>
    <w:rsid w:val="4126157E"/>
    <w:rsid w:val="412E1703"/>
    <w:rsid w:val="41341D04"/>
    <w:rsid w:val="41463814"/>
    <w:rsid w:val="414E4666"/>
    <w:rsid w:val="415840E7"/>
    <w:rsid w:val="415C6645"/>
    <w:rsid w:val="415D4AA5"/>
    <w:rsid w:val="415E3F30"/>
    <w:rsid w:val="41634269"/>
    <w:rsid w:val="416D1041"/>
    <w:rsid w:val="416F185F"/>
    <w:rsid w:val="41755F8B"/>
    <w:rsid w:val="417E6FB2"/>
    <w:rsid w:val="41804E56"/>
    <w:rsid w:val="418B61F9"/>
    <w:rsid w:val="418C5064"/>
    <w:rsid w:val="41901D5A"/>
    <w:rsid w:val="41A26E55"/>
    <w:rsid w:val="41AE168E"/>
    <w:rsid w:val="41B000EA"/>
    <w:rsid w:val="41B625DB"/>
    <w:rsid w:val="41BB28C5"/>
    <w:rsid w:val="41C505B5"/>
    <w:rsid w:val="41D7643D"/>
    <w:rsid w:val="41D80DF6"/>
    <w:rsid w:val="41F41099"/>
    <w:rsid w:val="41F4144D"/>
    <w:rsid w:val="41F425A0"/>
    <w:rsid w:val="41FD1E4D"/>
    <w:rsid w:val="42004A07"/>
    <w:rsid w:val="42036CED"/>
    <w:rsid w:val="420445BE"/>
    <w:rsid w:val="42044B55"/>
    <w:rsid w:val="42106699"/>
    <w:rsid w:val="421D3532"/>
    <w:rsid w:val="422747DE"/>
    <w:rsid w:val="423D7E2C"/>
    <w:rsid w:val="42405192"/>
    <w:rsid w:val="4253494B"/>
    <w:rsid w:val="42563DD4"/>
    <w:rsid w:val="425F0874"/>
    <w:rsid w:val="42605991"/>
    <w:rsid w:val="42624CEC"/>
    <w:rsid w:val="42667AD5"/>
    <w:rsid w:val="426B2083"/>
    <w:rsid w:val="42745271"/>
    <w:rsid w:val="42746AFF"/>
    <w:rsid w:val="427A2426"/>
    <w:rsid w:val="428622E0"/>
    <w:rsid w:val="428740C5"/>
    <w:rsid w:val="4295023B"/>
    <w:rsid w:val="42A72E3E"/>
    <w:rsid w:val="42A9771E"/>
    <w:rsid w:val="42AB3CF1"/>
    <w:rsid w:val="42AF06BF"/>
    <w:rsid w:val="42AF744D"/>
    <w:rsid w:val="42B97DE2"/>
    <w:rsid w:val="42BE1411"/>
    <w:rsid w:val="42BF0482"/>
    <w:rsid w:val="42C3638C"/>
    <w:rsid w:val="42C8399F"/>
    <w:rsid w:val="42CC1C77"/>
    <w:rsid w:val="42CE7CBC"/>
    <w:rsid w:val="42E67A2D"/>
    <w:rsid w:val="42EF6EDD"/>
    <w:rsid w:val="42F63370"/>
    <w:rsid w:val="4303189E"/>
    <w:rsid w:val="43043B4B"/>
    <w:rsid w:val="430C0701"/>
    <w:rsid w:val="431D662D"/>
    <w:rsid w:val="431D7413"/>
    <w:rsid w:val="43230977"/>
    <w:rsid w:val="43260906"/>
    <w:rsid w:val="4329778C"/>
    <w:rsid w:val="432A433E"/>
    <w:rsid w:val="432F48E4"/>
    <w:rsid w:val="433451E7"/>
    <w:rsid w:val="433454E3"/>
    <w:rsid w:val="43380FA2"/>
    <w:rsid w:val="433914CB"/>
    <w:rsid w:val="434030C7"/>
    <w:rsid w:val="434321EE"/>
    <w:rsid w:val="434C3803"/>
    <w:rsid w:val="4357411B"/>
    <w:rsid w:val="43624524"/>
    <w:rsid w:val="436E4602"/>
    <w:rsid w:val="43773B38"/>
    <w:rsid w:val="437C303F"/>
    <w:rsid w:val="437E59F4"/>
    <w:rsid w:val="437F0235"/>
    <w:rsid w:val="438108B1"/>
    <w:rsid w:val="438127FD"/>
    <w:rsid w:val="438C318F"/>
    <w:rsid w:val="438D2962"/>
    <w:rsid w:val="439125BA"/>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10BA3"/>
    <w:rsid w:val="43D51B86"/>
    <w:rsid w:val="43D5596E"/>
    <w:rsid w:val="43D946DF"/>
    <w:rsid w:val="43DD3E84"/>
    <w:rsid w:val="43E63A35"/>
    <w:rsid w:val="43EA4AD8"/>
    <w:rsid w:val="43EA731F"/>
    <w:rsid w:val="43EF4362"/>
    <w:rsid w:val="43F5608C"/>
    <w:rsid w:val="43FA20D7"/>
    <w:rsid w:val="440433D0"/>
    <w:rsid w:val="44081998"/>
    <w:rsid w:val="440A1D09"/>
    <w:rsid w:val="44105FE6"/>
    <w:rsid w:val="44163757"/>
    <w:rsid w:val="442E6250"/>
    <w:rsid w:val="44304862"/>
    <w:rsid w:val="44336B29"/>
    <w:rsid w:val="44411D78"/>
    <w:rsid w:val="444255C8"/>
    <w:rsid w:val="44555450"/>
    <w:rsid w:val="44565401"/>
    <w:rsid w:val="445C184B"/>
    <w:rsid w:val="445C1F8C"/>
    <w:rsid w:val="445C2CEB"/>
    <w:rsid w:val="44623D2C"/>
    <w:rsid w:val="4469425C"/>
    <w:rsid w:val="446C5925"/>
    <w:rsid w:val="44715BA6"/>
    <w:rsid w:val="44744DE1"/>
    <w:rsid w:val="4480267E"/>
    <w:rsid w:val="44813BCD"/>
    <w:rsid w:val="44825908"/>
    <w:rsid w:val="448F333F"/>
    <w:rsid w:val="449A5595"/>
    <w:rsid w:val="44A273D7"/>
    <w:rsid w:val="44A3165A"/>
    <w:rsid w:val="44A949BB"/>
    <w:rsid w:val="44B47D28"/>
    <w:rsid w:val="44BE6AFA"/>
    <w:rsid w:val="44BE7B38"/>
    <w:rsid w:val="44C10C52"/>
    <w:rsid w:val="44C20413"/>
    <w:rsid w:val="44C4343F"/>
    <w:rsid w:val="44CC5637"/>
    <w:rsid w:val="44CE1860"/>
    <w:rsid w:val="44D01EAB"/>
    <w:rsid w:val="44D61276"/>
    <w:rsid w:val="44F550F4"/>
    <w:rsid w:val="44FB2020"/>
    <w:rsid w:val="450005C9"/>
    <w:rsid w:val="450E225C"/>
    <w:rsid w:val="450E5F3E"/>
    <w:rsid w:val="451C3C3F"/>
    <w:rsid w:val="45202195"/>
    <w:rsid w:val="45282E33"/>
    <w:rsid w:val="45361C96"/>
    <w:rsid w:val="45367180"/>
    <w:rsid w:val="453936A0"/>
    <w:rsid w:val="454B27CA"/>
    <w:rsid w:val="4555071F"/>
    <w:rsid w:val="455B027F"/>
    <w:rsid w:val="45634F36"/>
    <w:rsid w:val="456433C3"/>
    <w:rsid w:val="4566286A"/>
    <w:rsid w:val="456653F0"/>
    <w:rsid w:val="456745BB"/>
    <w:rsid w:val="45677DA7"/>
    <w:rsid w:val="45736E48"/>
    <w:rsid w:val="45743F66"/>
    <w:rsid w:val="45761FD8"/>
    <w:rsid w:val="457B0C49"/>
    <w:rsid w:val="45864B77"/>
    <w:rsid w:val="458A06CD"/>
    <w:rsid w:val="458D3A63"/>
    <w:rsid w:val="4597177B"/>
    <w:rsid w:val="45A85821"/>
    <w:rsid w:val="45AA0EA4"/>
    <w:rsid w:val="45AC57A6"/>
    <w:rsid w:val="45AF03CF"/>
    <w:rsid w:val="45B23BD8"/>
    <w:rsid w:val="45B31674"/>
    <w:rsid w:val="45B52BBB"/>
    <w:rsid w:val="45C3178B"/>
    <w:rsid w:val="45C56C6C"/>
    <w:rsid w:val="45C81474"/>
    <w:rsid w:val="45C85D55"/>
    <w:rsid w:val="45C91BC6"/>
    <w:rsid w:val="45CD1312"/>
    <w:rsid w:val="45CE3F02"/>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5980"/>
    <w:rsid w:val="464C598F"/>
    <w:rsid w:val="46541012"/>
    <w:rsid w:val="46595BDC"/>
    <w:rsid w:val="465B04AA"/>
    <w:rsid w:val="466467A4"/>
    <w:rsid w:val="466B7E63"/>
    <w:rsid w:val="46726232"/>
    <w:rsid w:val="46731512"/>
    <w:rsid w:val="46795DED"/>
    <w:rsid w:val="468843FE"/>
    <w:rsid w:val="469849B7"/>
    <w:rsid w:val="46991FD8"/>
    <w:rsid w:val="469D4E61"/>
    <w:rsid w:val="46A36DFD"/>
    <w:rsid w:val="46BC2272"/>
    <w:rsid w:val="46D62B88"/>
    <w:rsid w:val="46D929E4"/>
    <w:rsid w:val="46DA3CDF"/>
    <w:rsid w:val="46DD3A97"/>
    <w:rsid w:val="46E122D5"/>
    <w:rsid w:val="46E51519"/>
    <w:rsid w:val="46E72217"/>
    <w:rsid w:val="46EB56D0"/>
    <w:rsid w:val="46EF6BE5"/>
    <w:rsid w:val="46F94629"/>
    <w:rsid w:val="46FE33A2"/>
    <w:rsid w:val="47034B98"/>
    <w:rsid w:val="47067487"/>
    <w:rsid w:val="470675DD"/>
    <w:rsid w:val="47102BE0"/>
    <w:rsid w:val="47115999"/>
    <w:rsid w:val="47123D8D"/>
    <w:rsid w:val="471651A2"/>
    <w:rsid w:val="47195C33"/>
    <w:rsid w:val="472322A2"/>
    <w:rsid w:val="472E14A0"/>
    <w:rsid w:val="472F2F47"/>
    <w:rsid w:val="47304A60"/>
    <w:rsid w:val="47321070"/>
    <w:rsid w:val="47383706"/>
    <w:rsid w:val="473F3443"/>
    <w:rsid w:val="47442FEA"/>
    <w:rsid w:val="47476898"/>
    <w:rsid w:val="474825BA"/>
    <w:rsid w:val="47524966"/>
    <w:rsid w:val="475E1AB6"/>
    <w:rsid w:val="4764753D"/>
    <w:rsid w:val="47663624"/>
    <w:rsid w:val="4779594B"/>
    <w:rsid w:val="477E3FE9"/>
    <w:rsid w:val="47861281"/>
    <w:rsid w:val="478E58BD"/>
    <w:rsid w:val="47933AFC"/>
    <w:rsid w:val="47946581"/>
    <w:rsid w:val="47997ECC"/>
    <w:rsid w:val="47A938A8"/>
    <w:rsid w:val="47AD2393"/>
    <w:rsid w:val="47AF4DB4"/>
    <w:rsid w:val="47C05960"/>
    <w:rsid w:val="47CA211A"/>
    <w:rsid w:val="47CE6AD8"/>
    <w:rsid w:val="47D00B76"/>
    <w:rsid w:val="47D266F4"/>
    <w:rsid w:val="47EB3A88"/>
    <w:rsid w:val="47ED09EA"/>
    <w:rsid w:val="47F03825"/>
    <w:rsid w:val="47F67231"/>
    <w:rsid w:val="47F72583"/>
    <w:rsid w:val="47FE4F97"/>
    <w:rsid w:val="48043BE9"/>
    <w:rsid w:val="48050F31"/>
    <w:rsid w:val="480B064E"/>
    <w:rsid w:val="48152A57"/>
    <w:rsid w:val="481B77EC"/>
    <w:rsid w:val="481F00E4"/>
    <w:rsid w:val="48230137"/>
    <w:rsid w:val="482A5E63"/>
    <w:rsid w:val="48324267"/>
    <w:rsid w:val="48357C17"/>
    <w:rsid w:val="483602D1"/>
    <w:rsid w:val="48360F72"/>
    <w:rsid w:val="48466EDC"/>
    <w:rsid w:val="486022F2"/>
    <w:rsid w:val="486505C9"/>
    <w:rsid w:val="48717233"/>
    <w:rsid w:val="487736C7"/>
    <w:rsid w:val="48794416"/>
    <w:rsid w:val="4886149A"/>
    <w:rsid w:val="48870995"/>
    <w:rsid w:val="488933F6"/>
    <w:rsid w:val="488F18B7"/>
    <w:rsid w:val="489C5A7F"/>
    <w:rsid w:val="489C5B95"/>
    <w:rsid w:val="489F248C"/>
    <w:rsid w:val="48A47128"/>
    <w:rsid w:val="48A53F58"/>
    <w:rsid w:val="48AA10E1"/>
    <w:rsid w:val="48AF1323"/>
    <w:rsid w:val="48B2080D"/>
    <w:rsid w:val="48B5518F"/>
    <w:rsid w:val="48BE6136"/>
    <w:rsid w:val="48C17060"/>
    <w:rsid w:val="48D22DB3"/>
    <w:rsid w:val="48D93445"/>
    <w:rsid w:val="48D9627C"/>
    <w:rsid w:val="48DA1D9C"/>
    <w:rsid w:val="48DC218D"/>
    <w:rsid w:val="48DF3D7D"/>
    <w:rsid w:val="48E4725A"/>
    <w:rsid w:val="48E915DE"/>
    <w:rsid w:val="48EB611E"/>
    <w:rsid w:val="48F7177C"/>
    <w:rsid w:val="48F9720D"/>
    <w:rsid w:val="490008E6"/>
    <w:rsid w:val="490425AB"/>
    <w:rsid w:val="49047124"/>
    <w:rsid w:val="49076238"/>
    <w:rsid w:val="49104838"/>
    <w:rsid w:val="49200C47"/>
    <w:rsid w:val="49250443"/>
    <w:rsid w:val="49267368"/>
    <w:rsid w:val="49276313"/>
    <w:rsid w:val="492F1B04"/>
    <w:rsid w:val="4930158D"/>
    <w:rsid w:val="493166F2"/>
    <w:rsid w:val="493E2578"/>
    <w:rsid w:val="4943084D"/>
    <w:rsid w:val="495B2F5A"/>
    <w:rsid w:val="49660B64"/>
    <w:rsid w:val="496E056A"/>
    <w:rsid w:val="497930F9"/>
    <w:rsid w:val="497E5F0E"/>
    <w:rsid w:val="49863345"/>
    <w:rsid w:val="49895BF9"/>
    <w:rsid w:val="49896889"/>
    <w:rsid w:val="498B006E"/>
    <w:rsid w:val="499C126E"/>
    <w:rsid w:val="49A20032"/>
    <w:rsid w:val="49A82756"/>
    <w:rsid w:val="49A86BF4"/>
    <w:rsid w:val="49A902DE"/>
    <w:rsid w:val="49A961CD"/>
    <w:rsid w:val="49B337E8"/>
    <w:rsid w:val="49B57903"/>
    <w:rsid w:val="49BB0B72"/>
    <w:rsid w:val="49CD3C98"/>
    <w:rsid w:val="49E27CCF"/>
    <w:rsid w:val="49F44446"/>
    <w:rsid w:val="49F543E3"/>
    <w:rsid w:val="49FA00AE"/>
    <w:rsid w:val="4A037F7B"/>
    <w:rsid w:val="4A0C3345"/>
    <w:rsid w:val="4A12511A"/>
    <w:rsid w:val="4A1C6B3C"/>
    <w:rsid w:val="4A2A339F"/>
    <w:rsid w:val="4A3849A0"/>
    <w:rsid w:val="4A3B0ADD"/>
    <w:rsid w:val="4A3D1213"/>
    <w:rsid w:val="4A405618"/>
    <w:rsid w:val="4A42752E"/>
    <w:rsid w:val="4A463FDD"/>
    <w:rsid w:val="4A4D2C8C"/>
    <w:rsid w:val="4A4D6FE1"/>
    <w:rsid w:val="4A4F464E"/>
    <w:rsid w:val="4A500FF5"/>
    <w:rsid w:val="4A51053D"/>
    <w:rsid w:val="4A541B9F"/>
    <w:rsid w:val="4A5B2412"/>
    <w:rsid w:val="4A603371"/>
    <w:rsid w:val="4A665A8F"/>
    <w:rsid w:val="4A6B6C00"/>
    <w:rsid w:val="4A7A1A7F"/>
    <w:rsid w:val="4A7B1C95"/>
    <w:rsid w:val="4A7C6D92"/>
    <w:rsid w:val="4A80680F"/>
    <w:rsid w:val="4A8B2BFF"/>
    <w:rsid w:val="4A8C3D45"/>
    <w:rsid w:val="4A996D58"/>
    <w:rsid w:val="4AA637CE"/>
    <w:rsid w:val="4AAA2363"/>
    <w:rsid w:val="4AAC0232"/>
    <w:rsid w:val="4AB420A2"/>
    <w:rsid w:val="4AB42562"/>
    <w:rsid w:val="4AB971E8"/>
    <w:rsid w:val="4ABC4127"/>
    <w:rsid w:val="4AC14B57"/>
    <w:rsid w:val="4AC462B3"/>
    <w:rsid w:val="4AC908CA"/>
    <w:rsid w:val="4AC95E08"/>
    <w:rsid w:val="4ACC60F1"/>
    <w:rsid w:val="4ACE3D63"/>
    <w:rsid w:val="4AD13FBF"/>
    <w:rsid w:val="4AD37FB6"/>
    <w:rsid w:val="4AED546D"/>
    <w:rsid w:val="4AF15169"/>
    <w:rsid w:val="4AF33411"/>
    <w:rsid w:val="4AFC4739"/>
    <w:rsid w:val="4AFF7966"/>
    <w:rsid w:val="4B0F4D9F"/>
    <w:rsid w:val="4B2B654D"/>
    <w:rsid w:val="4B2D2A9B"/>
    <w:rsid w:val="4B313BE7"/>
    <w:rsid w:val="4B331125"/>
    <w:rsid w:val="4B3405F9"/>
    <w:rsid w:val="4B473804"/>
    <w:rsid w:val="4B5151AA"/>
    <w:rsid w:val="4B537CBF"/>
    <w:rsid w:val="4B550153"/>
    <w:rsid w:val="4B641191"/>
    <w:rsid w:val="4B694B3A"/>
    <w:rsid w:val="4B730932"/>
    <w:rsid w:val="4B76529F"/>
    <w:rsid w:val="4B797876"/>
    <w:rsid w:val="4B7A237E"/>
    <w:rsid w:val="4B815FB3"/>
    <w:rsid w:val="4B86443F"/>
    <w:rsid w:val="4B9A0C4D"/>
    <w:rsid w:val="4B9B3B70"/>
    <w:rsid w:val="4B9E7936"/>
    <w:rsid w:val="4BAC176A"/>
    <w:rsid w:val="4BAF7A14"/>
    <w:rsid w:val="4BB7667A"/>
    <w:rsid w:val="4BBA25CD"/>
    <w:rsid w:val="4BBB242F"/>
    <w:rsid w:val="4BBB66CC"/>
    <w:rsid w:val="4BC15B7C"/>
    <w:rsid w:val="4BC22308"/>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22608"/>
    <w:rsid w:val="4C3238CA"/>
    <w:rsid w:val="4C343A7F"/>
    <w:rsid w:val="4C380D78"/>
    <w:rsid w:val="4C3D0756"/>
    <w:rsid w:val="4C3D5FB7"/>
    <w:rsid w:val="4C4C1686"/>
    <w:rsid w:val="4C513E4B"/>
    <w:rsid w:val="4C603F1D"/>
    <w:rsid w:val="4C6211EA"/>
    <w:rsid w:val="4C635D18"/>
    <w:rsid w:val="4C670EB1"/>
    <w:rsid w:val="4C712086"/>
    <w:rsid w:val="4C7120EC"/>
    <w:rsid w:val="4C7B3D80"/>
    <w:rsid w:val="4C7C605E"/>
    <w:rsid w:val="4C7E2355"/>
    <w:rsid w:val="4C847264"/>
    <w:rsid w:val="4C970E7B"/>
    <w:rsid w:val="4CC1054F"/>
    <w:rsid w:val="4CCB1948"/>
    <w:rsid w:val="4CCE079D"/>
    <w:rsid w:val="4CCE3699"/>
    <w:rsid w:val="4CEA4F4D"/>
    <w:rsid w:val="4CEC58DB"/>
    <w:rsid w:val="4CEF637A"/>
    <w:rsid w:val="4CF00FB6"/>
    <w:rsid w:val="4CF16277"/>
    <w:rsid w:val="4CF4672D"/>
    <w:rsid w:val="4CFA2AAF"/>
    <w:rsid w:val="4D0325CF"/>
    <w:rsid w:val="4D035A68"/>
    <w:rsid w:val="4D0F26CE"/>
    <w:rsid w:val="4D147026"/>
    <w:rsid w:val="4D1478EC"/>
    <w:rsid w:val="4D165C91"/>
    <w:rsid w:val="4D235945"/>
    <w:rsid w:val="4D255F0E"/>
    <w:rsid w:val="4D2F06BA"/>
    <w:rsid w:val="4D304130"/>
    <w:rsid w:val="4D386B0D"/>
    <w:rsid w:val="4D4330D3"/>
    <w:rsid w:val="4D4B7DCE"/>
    <w:rsid w:val="4D545407"/>
    <w:rsid w:val="4D694F30"/>
    <w:rsid w:val="4D6B703C"/>
    <w:rsid w:val="4D717BA1"/>
    <w:rsid w:val="4D7F56C3"/>
    <w:rsid w:val="4D855FB9"/>
    <w:rsid w:val="4D8A0B26"/>
    <w:rsid w:val="4D904FEE"/>
    <w:rsid w:val="4D910D8A"/>
    <w:rsid w:val="4D935425"/>
    <w:rsid w:val="4D953CDB"/>
    <w:rsid w:val="4D97309D"/>
    <w:rsid w:val="4D9B559E"/>
    <w:rsid w:val="4D9E090F"/>
    <w:rsid w:val="4DAC6E91"/>
    <w:rsid w:val="4DAE3711"/>
    <w:rsid w:val="4DB63BC4"/>
    <w:rsid w:val="4DB7591C"/>
    <w:rsid w:val="4DBB2984"/>
    <w:rsid w:val="4DCC46DA"/>
    <w:rsid w:val="4DDD5EB7"/>
    <w:rsid w:val="4DDE45A5"/>
    <w:rsid w:val="4DE265E9"/>
    <w:rsid w:val="4DE5023D"/>
    <w:rsid w:val="4DEB419D"/>
    <w:rsid w:val="4DF267CF"/>
    <w:rsid w:val="4DF6484E"/>
    <w:rsid w:val="4E043A0E"/>
    <w:rsid w:val="4E0B5D31"/>
    <w:rsid w:val="4E125681"/>
    <w:rsid w:val="4E1339D8"/>
    <w:rsid w:val="4E145C86"/>
    <w:rsid w:val="4E187CF8"/>
    <w:rsid w:val="4E1A5C2E"/>
    <w:rsid w:val="4E2B3781"/>
    <w:rsid w:val="4E337E4B"/>
    <w:rsid w:val="4E365771"/>
    <w:rsid w:val="4E3C3064"/>
    <w:rsid w:val="4E3C5DC0"/>
    <w:rsid w:val="4E446F8B"/>
    <w:rsid w:val="4E4D4DE2"/>
    <w:rsid w:val="4E5669BF"/>
    <w:rsid w:val="4E651EA6"/>
    <w:rsid w:val="4E6757B0"/>
    <w:rsid w:val="4E6C4048"/>
    <w:rsid w:val="4E783D17"/>
    <w:rsid w:val="4E805C19"/>
    <w:rsid w:val="4E836C4E"/>
    <w:rsid w:val="4E865BCD"/>
    <w:rsid w:val="4E957162"/>
    <w:rsid w:val="4E9E60B6"/>
    <w:rsid w:val="4EA27ACB"/>
    <w:rsid w:val="4EA60E85"/>
    <w:rsid w:val="4EAE3E03"/>
    <w:rsid w:val="4EB379F2"/>
    <w:rsid w:val="4EB838E0"/>
    <w:rsid w:val="4EBC3167"/>
    <w:rsid w:val="4EBC6632"/>
    <w:rsid w:val="4EBD4562"/>
    <w:rsid w:val="4EBD5620"/>
    <w:rsid w:val="4EBE0F4C"/>
    <w:rsid w:val="4ECD0F14"/>
    <w:rsid w:val="4ED017E4"/>
    <w:rsid w:val="4ED03B4F"/>
    <w:rsid w:val="4ED43AE8"/>
    <w:rsid w:val="4EDC1716"/>
    <w:rsid w:val="4EDF6F4B"/>
    <w:rsid w:val="4EE24F10"/>
    <w:rsid w:val="4EE77077"/>
    <w:rsid w:val="4EE8461F"/>
    <w:rsid w:val="4F0206C2"/>
    <w:rsid w:val="4F06414B"/>
    <w:rsid w:val="4F1A4FD6"/>
    <w:rsid w:val="4F1C2B4C"/>
    <w:rsid w:val="4F1E1A5A"/>
    <w:rsid w:val="4F2D5479"/>
    <w:rsid w:val="4F2E4FDB"/>
    <w:rsid w:val="4F3127D8"/>
    <w:rsid w:val="4F353521"/>
    <w:rsid w:val="4F3B798B"/>
    <w:rsid w:val="4F424396"/>
    <w:rsid w:val="4F461737"/>
    <w:rsid w:val="4F501AA5"/>
    <w:rsid w:val="4F507138"/>
    <w:rsid w:val="4F5431F2"/>
    <w:rsid w:val="4F594949"/>
    <w:rsid w:val="4F5A315B"/>
    <w:rsid w:val="4F664358"/>
    <w:rsid w:val="4F7041A7"/>
    <w:rsid w:val="4F7349ED"/>
    <w:rsid w:val="4F7C7D62"/>
    <w:rsid w:val="4F88390E"/>
    <w:rsid w:val="4F8865D2"/>
    <w:rsid w:val="4F9102E3"/>
    <w:rsid w:val="4F9A400D"/>
    <w:rsid w:val="4FA11827"/>
    <w:rsid w:val="4FA57761"/>
    <w:rsid w:val="4FA82F77"/>
    <w:rsid w:val="4FAB07C1"/>
    <w:rsid w:val="4FC12B67"/>
    <w:rsid w:val="4FD33643"/>
    <w:rsid w:val="4FD409F7"/>
    <w:rsid w:val="4FD41054"/>
    <w:rsid w:val="4FD66F8D"/>
    <w:rsid w:val="4FDB5605"/>
    <w:rsid w:val="4FDF7D08"/>
    <w:rsid w:val="4FE45662"/>
    <w:rsid w:val="4FE66728"/>
    <w:rsid w:val="4FE74DC2"/>
    <w:rsid w:val="4FF81090"/>
    <w:rsid w:val="4FFA1BE3"/>
    <w:rsid w:val="4FFF560B"/>
    <w:rsid w:val="50033BDE"/>
    <w:rsid w:val="50036BC4"/>
    <w:rsid w:val="500B0DCA"/>
    <w:rsid w:val="500C2A95"/>
    <w:rsid w:val="50133F8A"/>
    <w:rsid w:val="50140C07"/>
    <w:rsid w:val="50176E6F"/>
    <w:rsid w:val="50200664"/>
    <w:rsid w:val="502151EE"/>
    <w:rsid w:val="5022333C"/>
    <w:rsid w:val="50312196"/>
    <w:rsid w:val="50417E32"/>
    <w:rsid w:val="504768E3"/>
    <w:rsid w:val="504F0FB9"/>
    <w:rsid w:val="504F769B"/>
    <w:rsid w:val="50537FDD"/>
    <w:rsid w:val="50622728"/>
    <w:rsid w:val="507554C6"/>
    <w:rsid w:val="507D0063"/>
    <w:rsid w:val="508F1D63"/>
    <w:rsid w:val="508F6AC4"/>
    <w:rsid w:val="509631CF"/>
    <w:rsid w:val="509A55F2"/>
    <w:rsid w:val="50A36924"/>
    <w:rsid w:val="50A732FC"/>
    <w:rsid w:val="50AA341E"/>
    <w:rsid w:val="50AB4E2F"/>
    <w:rsid w:val="50AC2418"/>
    <w:rsid w:val="50B421A0"/>
    <w:rsid w:val="50B70FED"/>
    <w:rsid w:val="50BA643F"/>
    <w:rsid w:val="50BC2897"/>
    <w:rsid w:val="50D2215B"/>
    <w:rsid w:val="50DA2205"/>
    <w:rsid w:val="50E57F59"/>
    <w:rsid w:val="50EA61D3"/>
    <w:rsid w:val="50FC41E2"/>
    <w:rsid w:val="510319B4"/>
    <w:rsid w:val="510A4E7D"/>
    <w:rsid w:val="51187091"/>
    <w:rsid w:val="511E5EB5"/>
    <w:rsid w:val="51205217"/>
    <w:rsid w:val="51217565"/>
    <w:rsid w:val="512D5787"/>
    <w:rsid w:val="51371434"/>
    <w:rsid w:val="51382F84"/>
    <w:rsid w:val="513B4CBD"/>
    <w:rsid w:val="513F2A79"/>
    <w:rsid w:val="514E5DF0"/>
    <w:rsid w:val="51505C49"/>
    <w:rsid w:val="515F5290"/>
    <w:rsid w:val="515F5E7D"/>
    <w:rsid w:val="51621B03"/>
    <w:rsid w:val="51677ABF"/>
    <w:rsid w:val="51736010"/>
    <w:rsid w:val="517F4109"/>
    <w:rsid w:val="518140E8"/>
    <w:rsid w:val="518961AE"/>
    <w:rsid w:val="518B0D8B"/>
    <w:rsid w:val="51905BB3"/>
    <w:rsid w:val="519E4C2D"/>
    <w:rsid w:val="51A15787"/>
    <w:rsid w:val="51A23180"/>
    <w:rsid w:val="51A44533"/>
    <w:rsid w:val="51B12C2B"/>
    <w:rsid w:val="51B625E5"/>
    <w:rsid w:val="51BB3190"/>
    <w:rsid w:val="51C31AB3"/>
    <w:rsid w:val="51C50057"/>
    <w:rsid w:val="51CA6470"/>
    <w:rsid w:val="51CC0195"/>
    <w:rsid w:val="51CF3752"/>
    <w:rsid w:val="51D221A2"/>
    <w:rsid w:val="51DB590D"/>
    <w:rsid w:val="51DC7D4F"/>
    <w:rsid w:val="51E372D3"/>
    <w:rsid w:val="51E952C3"/>
    <w:rsid w:val="51F763C2"/>
    <w:rsid w:val="52082F0E"/>
    <w:rsid w:val="520A4FD4"/>
    <w:rsid w:val="520A6A40"/>
    <w:rsid w:val="520B29B2"/>
    <w:rsid w:val="52165ED6"/>
    <w:rsid w:val="52170D68"/>
    <w:rsid w:val="521832FA"/>
    <w:rsid w:val="521B5CF1"/>
    <w:rsid w:val="521E330E"/>
    <w:rsid w:val="52210969"/>
    <w:rsid w:val="52250331"/>
    <w:rsid w:val="52251937"/>
    <w:rsid w:val="52291DE3"/>
    <w:rsid w:val="522D32DC"/>
    <w:rsid w:val="522E032A"/>
    <w:rsid w:val="522E48FA"/>
    <w:rsid w:val="52436B21"/>
    <w:rsid w:val="52476CBE"/>
    <w:rsid w:val="52541687"/>
    <w:rsid w:val="525808AD"/>
    <w:rsid w:val="52606B21"/>
    <w:rsid w:val="526142ED"/>
    <w:rsid w:val="52675267"/>
    <w:rsid w:val="526A42D2"/>
    <w:rsid w:val="527456A0"/>
    <w:rsid w:val="52775B19"/>
    <w:rsid w:val="527820D3"/>
    <w:rsid w:val="5286536B"/>
    <w:rsid w:val="528D1636"/>
    <w:rsid w:val="528F6528"/>
    <w:rsid w:val="5294173C"/>
    <w:rsid w:val="52A573D4"/>
    <w:rsid w:val="52AE3C1C"/>
    <w:rsid w:val="52B15A0B"/>
    <w:rsid w:val="52B277B6"/>
    <w:rsid w:val="52B539F6"/>
    <w:rsid w:val="52B87EDF"/>
    <w:rsid w:val="52C2744F"/>
    <w:rsid w:val="52CF2A7E"/>
    <w:rsid w:val="52D52D8A"/>
    <w:rsid w:val="52D70C29"/>
    <w:rsid w:val="52E07E6E"/>
    <w:rsid w:val="52E2403D"/>
    <w:rsid w:val="52E87FC9"/>
    <w:rsid w:val="52EA3010"/>
    <w:rsid w:val="52EE6354"/>
    <w:rsid w:val="52EF275D"/>
    <w:rsid w:val="53035F10"/>
    <w:rsid w:val="530445BC"/>
    <w:rsid w:val="53073E74"/>
    <w:rsid w:val="53176C42"/>
    <w:rsid w:val="53184746"/>
    <w:rsid w:val="531972CB"/>
    <w:rsid w:val="53227F73"/>
    <w:rsid w:val="532342A1"/>
    <w:rsid w:val="532E4AC7"/>
    <w:rsid w:val="533E55DF"/>
    <w:rsid w:val="5360600D"/>
    <w:rsid w:val="53703765"/>
    <w:rsid w:val="5376095E"/>
    <w:rsid w:val="537A04E8"/>
    <w:rsid w:val="537D7719"/>
    <w:rsid w:val="53874180"/>
    <w:rsid w:val="53910730"/>
    <w:rsid w:val="53991F46"/>
    <w:rsid w:val="53A430C7"/>
    <w:rsid w:val="53B71A0D"/>
    <w:rsid w:val="53BA49C0"/>
    <w:rsid w:val="53BF11FF"/>
    <w:rsid w:val="53C2398F"/>
    <w:rsid w:val="53C92C10"/>
    <w:rsid w:val="53CF606A"/>
    <w:rsid w:val="53D111B0"/>
    <w:rsid w:val="53D73576"/>
    <w:rsid w:val="53E22364"/>
    <w:rsid w:val="53E35749"/>
    <w:rsid w:val="53EB4289"/>
    <w:rsid w:val="53EE07E8"/>
    <w:rsid w:val="53F67F24"/>
    <w:rsid w:val="53FE5A9E"/>
    <w:rsid w:val="540B221A"/>
    <w:rsid w:val="54193A5D"/>
    <w:rsid w:val="541C5A78"/>
    <w:rsid w:val="54257FE2"/>
    <w:rsid w:val="5428581F"/>
    <w:rsid w:val="542B47E5"/>
    <w:rsid w:val="54312A0A"/>
    <w:rsid w:val="54451C08"/>
    <w:rsid w:val="5450152B"/>
    <w:rsid w:val="545412A1"/>
    <w:rsid w:val="54591BCD"/>
    <w:rsid w:val="546936FE"/>
    <w:rsid w:val="546A602B"/>
    <w:rsid w:val="547034CA"/>
    <w:rsid w:val="54724933"/>
    <w:rsid w:val="547801F9"/>
    <w:rsid w:val="54877824"/>
    <w:rsid w:val="54967702"/>
    <w:rsid w:val="549B60CA"/>
    <w:rsid w:val="54A746D1"/>
    <w:rsid w:val="54B14984"/>
    <w:rsid w:val="54B34E33"/>
    <w:rsid w:val="54BC09E2"/>
    <w:rsid w:val="54C257FC"/>
    <w:rsid w:val="54C51C65"/>
    <w:rsid w:val="54C766D3"/>
    <w:rsid w:val="54DB3842"/>
    <w:rsid w:val="54E32310"/>
    <w:rsid w:val="54E35B83"/>
    <w:rsid w:val="54E5570D"/>
    <w:rsid w:val="54E656A9"/>
    <w:rsid w:val="54E85406"/>
    <w:rsid w:val="54EE0227"/>
    <w:rsid w:val="54EE4DEC"/>
    <w:rsid w:val="54F1490A"/>
    <w:rsid w:val="54F93AE7"/>
    <w:rsid w:val="54F97DEB"/>
    <w:rsid w:val="55012EF3"/>
    <w:rsid w:val="55022588"/>
    <w:rsid w:val="550D4E7F"/>
    <w:rsid w:val="551B3ADB"/>
    <w:rsid w:val="551F7D03"/>
    <w:rsid w:val="55252910"/>
    <w:rsid w:val="552677BE"/>
    <w:rsid w:val="552E2F45"/>
    <w:rsid w:val="55313992"/>
    <w:rsid w:val="553772EA"/>
    <w:rsid w:val="553A6D2E"/>
    <w:rsid w:val="5546635B"/>
    <w:rsid w:val="55507B46"/>
    <w:rsid w:val="55534568"/>
    <w:rsid w:val="555A0EDC"/>
    <w:rsid w:val="55677E49"/>
    <w:rsid w:val="55692EAC"/>
    <w:rsid w:val="55714147"/>
    <w:rsid w:val="557C295E"/>
    <w:rsid w:val="557C5B0B"/>
    <w:rsid w:val="55806AF4"/>
    <w:rsid w:val="55812735"/>
    <w:rsid w:val="55861EC8"/>
    <w:rsid w:val="5588140B"/>
    <w:rsid w:val="55891D85"/>
    <w:rsid w:val="5592013C"/>
    <w:rsid w:val="55A57957"/>
    <w:rsid w:val="55AA469C"/>
    <w:rsid w:val="55AD379F"/>
    <w:rsid w:val="55BC12E8"/>
    <w:rsid w:val="55BD3120"/>
    <w:rsid w:val="55BF56EA"/>
    <w:rsid w:val="55C103AC"/>
    <w:rsid w:val="55C423B5"/>
    <w:rsid w:val="55C6074D"/>
    <w:rsid w:val="55C86079"/>
    <w:rsid w:val="55CC5297"/>
    <w:rsid w:val="55D31938"/>
    <w:rsid w:val="55DA77E0"/>
    <w:rsid w:val="55EE6E58"/>
    <w:rsid w:val="55F2238E"/>
    <w:rsid w:val="55F24132"/>
    <w:rsid w:val="55FB05FF"/>
    <w:rsid w:val="55FC794D"/>
    <w:rsid w:val="56012A7B"/>
    <w:rsid w:val="56172C84"/>
    <w:rsid w:val="56206259"/>
    <w:rsid w:val="562219AC"/>
    <w:rsid w:val="56230DC5"/>
    <w:rsid w:val="562B59B0"/>
    <w:rsid w:val="56387876"/>
    <w:rsid w:val="56391384"/>
    <w:rsid w:val="564C27AB"/>
    <w:rsid w:val="565222DD"/>
    <w:rsid w:val="565907FF"/>
    <w:rsid w:val="565D6940"/>
    <w:rsid w:val="566101A8"/>
    <w:rsid w:val="56666AC5"/>
    <w:rsid w:val="56701442"/>
    <w:rsid w:val="56793306"/>
    <w:rsid w:val="56797C74"/>
    <w:rsid w:val="568116C5"/>
    <w:rsid w:val="568F0B4D"/>
    <w:rsid w:val="5691640E"/>
    <w:rsid w:val="56927F4A"/>
    <w:rsid w:val="569C03A7"/>
    <w:rsid w:val="569E53D6"/>
    <w:rsid w:val="56A304C3"/>
    <w:rsid w:val="56AD16B1"/>
    <w:rsid w:val="56B44FF7"/>
    <w:rsid w:val="56B76AF7"/>
    <w:rsid w:val="56BA0EDB"/>
    <w:rsid w:val="56BA5BFC"/>
    <w:rsid w:val="56D60D34"/>
    <w:rsid w:val="56DA1A1C"/>
    <w:rsid w:val="56E90EF6"/>
    <w:rsid w:val="56F50794"/>
    <w:rsid w:val="56F82259"/>
    <w:rsid w:val="56FC12BF"/>
    <w:rsid w:val="56FE5AE3"/>
    <w:rsid w:val="570426CC"/>
    <w:rsid w:val="57103E85"/>
    <w:rsid w:val="57167A78"/>
    <w:rsid w:val="571E4103"/>
    <w:rsid w:val="5724356E"/>
    <w:rsid w:val="573B396A"/>
    <w:rsid w:val="576019A8"/>
    <w:rsid w:val="576E1A2E"/>
    <w:rsid w:val="576F00D0"/>
    <w:rsid w:val="57780B15"/>
    <w:rsid w:val="577C7921"/>
    <w:rsid w:val="577D6052"/>
    <w:rsid w:val="578130EB"/>
    <w:rsid w:val="5781472D"/>
    <w:rsid w:val="57842581"/>
    <w:rsid w:val="57860B1C"/>
    <w:rsid w:val="578F1CC6"/>
    <w:rsid w:val="579016BB"/>
    <w:rsid w:val="579131AA"/>
    <w:rsid w:val="57961B8E"/>
    <w:rsid w:val="579A34FF"/>
    <w:rsid w:val="57A05D52"/>
    <w:rsid w:val="57A65B21"/>
    <w:rsid w:val="57A93B1C"/>
    <w:rsid w:val="57AC71EF"/>
    <w:rsid w:val="57B30CCB"/>
    <w:rsid w:val="57B82FE8"/>
    <w:rsid w:val="57BA183B"/>
    <w:rsid w:val="57BC21E8"/>
    <w:rsid w:val="57C64CE3"/>
    <w:rsid w:val="57CF1AC2"/>
    <w:rsid w:val="57CF411E"/>
    <w:rsid w:val="57CF6469"/>
    <w:rsid w:val="57D20F94"/>
    <w:rsid w:val="57E359C9"/>
    <w:rsid w:val="57E8494C"/>
    <w:rsid w:val="57F75230"/>
    <w:rsid w:val="57FA5E75"/>
    <w:rsid w:val="58000E35"/>
    <w:rsid w:val="58222E9F"/>
    <w:rsid w:val="582D3231"/>
    <w:rsid w:val="58316A55"/>
    <w:rsid w:val="583F3207"/>
    <w:rsid w:val="58452DB9"/>
    <w:rsid w:val="5846017C"/>
    <w:rsid w:val="58484E27"/>
    <w:rsid w:val="58514B7B"/>
    <w:rsid w:val="58525C17"/>
    <w:rsid w:val="58592455"/>
    <w:rsid w:val="586815ED"/>
    <w:rsid w:val="586B3009"/>
    <w:rsid w:val="58775EED"/>
    <w:rsid w:val="58790B5B"/>
    <w:rsid w:val="588D7FDD"/>
    <w:rsid w:val="58924ECC"/>
    <w:rsid w:val="589511CE"/>
    <w:rsid w:val="5895256C"/>
    <w:rsid w:val="58965AA7"/>
    <w:rsid w:val="5899451C"/>
    <w:rsid w:val="589C6409"/>
    <w:rsid w:val="589D4D39"/>
    <w:rsid w:val="58A34E0C"/>
    <w:rsid w:val="58AE31F5"/>
    <w:rsid w:val="58B354B8"/>
    <w:rsid w:val="58B60FB7"/>
    <w:rsid w:val="58BB01CF"/>
    <w:rsid w:val="58BD1D42"/>
    <w:rsid w:val="58C04526"/>
    <w:rsid w:val="58C15643"/>
    <w:rsid w:val="58C925C7"/>
    <w:rsid w:val="58DE296B"/>
    <w:rsid w:val="58E05B85"/>
    <w:rsid w:val="58F141D6"/>
    <w:rsid w:val="58F9654F"/>
    <w:rsid w:val="58F979E8"/>
    <w:rsid w:val="58FB6C25"/>
    <w:rsid w:val="58FE08ED"/>
    <w:rsid w:val="59061DAE"/>
    <w:rsid w:val="590E4EED"/>
    <w:rsid w:val="5914669F"/>
    <w:rsid w:val="591557DB"/>
    <w:rsid w:val="591A5C30"/>
    <w:rsid w:val="591C4B79"/>
    <w:rsid w:val="591F2957"/>
    <w:rsid w:val="59262A74"/>
    <w:rsid w:val="592F1CE2"/>
    <w:rsid w:val="59371CA9"/>
    <w:rsid w:val="593C5853"/>
    <w:rsid w:val="593E005D"/>
    <w:rsid w:val="5940158A"/>
    <w:rsid w:val="594606CC"/>
    <w:rsid w:val="594B6D49"/>
    <w:rsid w:val="59697600"/>
    <w:rsid w:val="596C25D4"/>
    <w:rsid w:val="597028E6"/>
    <w:rsid w:val="597D38D7"/>
    <w:rsid w:val="598A75D0"/>
    <w:rsid w:val="59935094"/>
    <w:rsid w:val="5995496F"/>
    <w:rsid w:val="59A62A34"/>
    <w:rsid w:val="59AB1748"/>
    <w:rsid w:val="59B159CB"/>
    <w:rsid w:val="59B51848"/>
    <w:rsid w:val="59BC67AC"/>
    <w:rsid w:val="59C03938"/>
    <w:rsid w:val="59C811F1"/>
    <w:rsid w:val="59C83D69"/>
    <w:rsid w:val="59CB01B4"/>
    <w:rsid w:val="59CC0DAD"/>
    <w:rsid w:val="59CF1C3E"/>
    <w:rsid w:val="59D87B36"/>
    <w:rsid w:val="59E57113"/>
    <w:rsid w:val="59E91981"/>
    <w:rsid w:val="59F22823"/>
    <w:rsid w:val="59F35BF5"/>
    <w:rsid w:val="59F42704"/>
    <w:rsid w:val="59FD1C88"/>
    <w:rsid w:val="5A0020BE"/>
    <w:rsid w:val="5A02215A"/>
    <w:rsid w:val="5A0823EC"/>
    <w:rsid w:val="5A0B4999"/>
    <w:rsid w:val="5A1219E8"/>
    <w:rsid w:val="5A1601E1"/>
    <w:rsid w:val="5A1A2003"/>
    <w:rsid w:val="5A2023BC"/>
    <w:rsid w:val="5A2534E2"/>
    <w:rsid w:val="5A272110"/>
    <w:rsid w:val="5A2F52ED"/>
    <w:rsid w:val="5A307C26"/>
    <w:rsid w:val="5A341010"/>
    <w:rsid w:val="5A3A1517"/>
    <w:rsid w:val="5A4D351E"/>
    <w:rsid w:val="5A507300"/>
    <w:rsid w:val="5A51154D"/>
    <w:rsid w:val="5A523957"/>
    <w:rsid w:val="5A532CC8"/>
    <w:rsid w:val="5A612789"/>
    <w:rsid w:val="5A6543C4"/>
    <w:rsid w:val="5A6A5675"/>
    <w:rsid w:val="5A6E205B"/>
    <w:rsid w:val="5A7B2C70"/>
    <w:rsid w:val="5A7C2218"/>
    <w:rsid w:val="5A7C5822"/>
    <w:rsid w:val="5A847FE5"/>
    <w:rsid w:val="5A916654"/>
    <w:rsid w:val="5A9B3B8F"/>
    <w:rsid w:val="5A9E6004"/>
    <w:rsid w:val="5AAB402B"/>
    <w:rsid w:val="5AAF46FD"/>
    <w:rsid w:val="5AB36954"/>
    <w:rsid w:val="5ABE401A"/>
    <w:rsid w:val="5AC526EE"/>
    <w:rsid w:val="5ACB4B14"/>
    <w:rsid w:val="5AD45224"/>
    <w:rsid w:val="5ADA5032"/>
    <w:rsid w:val="5ADC6365"/>
    <w:rsid w:val="5B0A16D4"/>
    <w:rsid w:val="5B0B0FE2"/>
    <w:rsid w:val="5B1029A0"/>
    <w:rsid w:val="5B18258F"/>
    <w:rsid w:val="5B28216A"/>
    <w:rsid w:val="5B2B1ACA"/>
    <w:rsid w:val="5B302C2D"/>
    <w:rsid w:val="5B33397C"/>
    <w:rsid w:val="5B35552C"/>
    <w:rsid w:val="5B356E68"/>
    <w:rsid w:val="5B3A4E8A"/>
    <w:rsid w:val="5B43203B"/>
    <w:rsid w:val="5B485D9E"/>
    <w:rsid w:val="5B4E4DA1"/>
    <w:rsid w:val="5B5335BE"/>
    <w:rsid w:val="5B613886"/>
    <w:rsid w:val="5B6A6045"/>
    <w:rsid w:val="5B6C39BD"/>
    <w:rsid w:val="5B7B1E82"/>
    <w:rsid w:val="5B862B77"/>
    <w:rsid w:val="5B944D80"/>
    <w:rsid w:val="5B9509FD"/>
    <w:rsid w:val="5BAB4BEE"/>
    <w:rsid w:val="5BB210AD"/>
    <w:rsid w:val="5BB47B97"/>
    <w:rsid w:val="5BB81EEF"/>
    <w:rsid w:val="5BC23198"/>
    <w:rsid w:val="5BC3049A"/>
    <w:rsid w:val="5BC52C1C"/>
    <w:rsid w:val="5BCE2157"/>
    <w:rsid w:val="5BD14762"/>
    <w:rsid w:val="5BD2376F"/>
    <w:rsid w:val="5BEA66B7"/>
    <w:rsid w:val="5BEB4DCC"/>
    <w:rsid w:val="5BF81226"/>
    <w:rsid w:val="5BFB7485"/>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5045C"/>
    <w:rsid w:val="5C3B0435"/>
    <w:rsid w:val="5C3C5668"/>
    <w:rsid w:val="5C3C56AD"/>
    <w:rsid w:val="5C3D32DD"/>
    <w:rsid w:val="5C3E4B55"/>
    <w:rsid w:val="5C404666"/>
    <w:rsid w:val="5C422461"/>
    <w:rsid w:val="5C426CCB"/>
    <w:rsid w:val="5C48686D"/>
    <w:rsid w:val="5C4F52A1"/>
    <w:rsid w:val="5C4F75E7"/>
    <w:rsid w:val="5C50319B"/>
    <w:rsid w:val="5C511614"/>
    <w:rsid w:val="5C520197"/>
    <w:rsid w:val="5C5371DE"/>
    <w:rsid w:val="5C5F094C"/>
    <w:rsid w:val="5C603564"/>
    <w:rsid w:val="5C633837"/>
    <w:rsid w:val="5C6B674F"/>
    <w:rsid w:val="5C6F57DC"/>
    <w:rsid w:val="5C7E0DF8"/>
    <w:rsid w:val="5C7E39D8"/>
    <w:rsid w:val="5C8A31FF"/>
    <w:rsid w:val="5C9F55AA"/>
    <w:rsid w:val="5CA474D4"/>
    <w:rsid w:val="5CA84AC1"/>
    <w:rsid w:val="5CAC4293"/>
    <w:rsid w:val="5CB64B19"/>
    <w:rsid w:val="5CBD7A62"/>
    <w:rsid w:val="5CC164AE"/>
    <w:rsid w:val="5CC22998"/>
    <w:rsid w:val="5CC5766D"/>
    <w:rsid w:val="5CC829D4"/>
    <w:rsid w:val="5CD22245"/>
    <w:rsid w:val="5CD612EC"/>
    <w:rsid w:val="5CD620EF"/>
    <w:rsid w:val="5CD63CB1"/>
    <w:rsid w:val="5CD75EB0"/>
    <w:rsid w:val="5CE00BB1"/>
    <w:rsid w:val="5CE37D5E"/>
    <w:rsid w:val="5CE76E4E"/>
    <w:rsid w:val="5CE97CE3"/>
    <w:rsid w:val="5CF06B97"/>
    <w:rsid w:val="5CF85D55"/>
    <w:rsid w:val="5CFA67A0"/>
    <w:rsid w:val="5CFF2C7D"/>
    <w:rsid w:val="5CFF66F4"/>
    <w:rsid w:val="5D042519"/>
    <w:rsid w:val="5D0E09BF"/>
    <w:rsid w:val="5D10070C"/>
    <w:rsid w:val="5D1077A1"/>
    <w:rsid w:val="5D193562"/>
    <w:rsid w:val="5D232DD8"/>
    <w:rsid w:val="5D2360DD"/>
    <w:rsid w:val="5D26184E"/>
    <w:rsid w:val="5D360039"/>
    <w:rsid w:val="5D3A22F4"/>
    <w:rsid w:val="5D3D681F"/>
    <w:rsid w:val="5D421B63"/>
    <w:rsid w:val="5D467576"/>
    <w:rsid w:val="5D4B2525"/>
    <w:rsid w:val="5D543240"/>
    <w:rsid w:val="5D5434CB"/>
    <w:rsid w:val="5D5A25C6"/>
    <w:rsid w:val="5D645AF7"/>
    <w:rsid w:val="5D697151"/>
    <w:rsid w:val="5D7070A0"/>
    <w:rsid w:val="5D7B2BAE"/>
    <w:rsid w:val="5D893541"/>
    <w:rsid w:val="5D8C28B4"/>
    <w:rsid w:val="5D8E7C73"/>
    <w:rsid w:val="5D974515"/>
    <w:rsid w:val="5D9832F3"/>
    <w:rsid w:val="5D9934EC"/>
    <w:rsid w:val="5D9C1E54"/>
    <w:rsid w:val="5DAB1E9E"/>
    <w:rsid w:val="5DB53FF3"/>
    <w:rsid w:val="5DB81F70"/>
    <w:rsid w:val="5DBC3F54"/>
    <w:rsid w:val="5DC328CA"/>
    <w:rsid w:val="5DCA57DD"/>
    <w:rsid w:val="5DD74A14"/>
    <w:rsid w:val="5DDB163B"/>
    <w:rsid w:val="5DDC2477"/>
    <w:rsid w:val="5DDC2877"/>
    <w:rsid w:val="5DF03AB4"/>
    <w:rsid w:val="5DF11D42"/>
    <w:rsid w:val="5DFA2E17"/>
    <w:rsid w:val="5DFB0C01"/>
    <w:rsid w:val="5E006537"/>
    <w:rsid w:val="5E1D2155"/>
    <w:rsid w:val="5E2374D1"/>
    <w:rsid w:val="5E401AFE"/>
    <w:rsid w:val="5E454E01"/>
    <w:rsid w:val="5E490493"/>
    <w:rsid w:val="5E4C4204"/>
    <w:rsid w:val="5E4D4054"/>
    <w:rsid w:val="5E4F4CEC"/>
    <w:rsid w:val="5E517BBA"/>
    <w:rsid w:val="5E521705"/>
    <w:rsid w:val="5E650FB2"/>
    <w:rsid w:val="5E656142"/>
    <w:rsid w:val="5E680B19"/>
    <w:rsid w:val="5E7334F8"/>
    <w:rsid w:val="5E7805FF"/>
    <w:rsid w:val="5E7859D6"/>
    <w:rsid w:val="5E842B6A"/>
    <w:rsid w:val="5E875A07"/>
    <w:rsid w:val="5E8C1E30"/>
    <w:rsid w:val="5E911FAC"/>
    <w:rsid w:val="5E92137B"/>
    <w:rsid w:val="5E9373FC"/>
    <w:rsid w:val="5EA67DEF"/>
    <w:rsid w:val="5EA736D1"/>
    <w:rsid w:val="5EAA11B3"/>
    <w:rsid w:val="5EB70697"/>
    <w:rsid w:val="5EB95510"/>
    <w:rsid w:val="5EB956EE"/>
    <w:rsid w:val="5EC57A3D"/>
    <w:rsid w:val="5ECB275F"/>
    <w:rsid w:val="5ECE2836"/>
    <w:rsid w:val="5EDB5813"/>
    <w:rsid w:val="5EDE3A55"/>
    <w:rsid w:val="5EE2308E"/>
    <w:rsid w:val="5EE35C8C"/>
    <w:rsid w:val="5EEC409E"/>
    <w:rsid w:val="5EF2448C"/>
    <w:rsid w:val="5EF442F3"/>
    <w:rsid w:val="5F051F15"/>
    <w:rsid w:val="5F222082"/>
    <w:rsid w:val="5F37319D"/>
    <w:rsid w:val="5F3A21FA"/>
    <w:rsid w:val="5F490636"/>
    <w:rsid w:val="5F4A6244"/>
    <w:rsid w:val="5F6219E5"/>
    <w:rsid w:val="5F7C4F33"/>
    <w:rsid w:val="5F7D5743"/>
    <w:rsid w:val="5F810563"/>
    <w:rsid w:val="5F824D0A"/>
    <w:rsid w:val="5F902061"/>
    <w:rsid w:val="5F91364B"/>
    <w:rsid w:val="5F942C15"/>
    <w:rsid w:val="5F982E68"/>
    <w:rsid w:val="5F983E67"/>
    <w:rsid w:val="5FA57B43"/>
    <w:rsid w:val="5FB560BB"/>
    <w:rsid w:val="5FB62CD8"/>
    <w:rsid w:val="5FC20790"/>
    <w:rsid w:val="5FC87F8E"/>
    <w:rsid w:val="5FC91DE9"/>
    <w:rsid w:val="5FCE57F6"/>
    <w:rsid w:val="5FD820A7"/>
    <w:rsid w:val="5FDD0B70"/>
    <w:rsid w:val="5FDF0C33"/>
    <w:rsid w:val="5FE25D83"/>
    <w:rsid w:val="5FE5232B"/>
    <w:rsid w:val="5FEC3C05"/>
    <w:rsid w:val="5FF020A1"/>
    <w:rsid w:val="5FFC5DE4"/>
    <w:rsid w:val="600F241C"/>
    <w:rsid w:val="60112156"/>
    <w:rsid w:val="60127ACF"/>
    <w:rsid w:val="60195F65"/>
    <w:rsid w:val="60200E33"/>
    <w:rsid w:val="6023016C"/>
    <w:rsid w:val="602924AC"/>
    <w:rsid w:val="602B5AAA"/>
    <w:rsid w:val="60334B2A"/>
    <w:rsid w:val="603E7B8A"/>
    <w:rsid w:val="60420933"/>
    <w:rsid w:val="6056292C"/>
    <w:rsid w:val="6063156C"/>
    <w:rsid w:val="606502AC"/>
    <w:rsid w:val="60660D11"/>
    <w:rsid w:val="606611B7"/>
    <w:rsid w:val="60687B01"/>
    <w:rsid w:val="606D5453"/>
    <w:rsid w:val="607044B9"/>
    <w:rsid w:val="60760530"/>
    <w:rsid w:val="6078579C"/>
    <w:rsid w:val="608159C3"/>
    <w:rsid w:val="60841E8A"/>
    <w:rsid w:val="60904724"/>
    <w:rsid w:val="60924935"/>
    <w:rsid w:val="60934023"/>
    <w:rsid w:val="60947BEA"/>
    <w:rsid w:val="609B6315"/>
    <w:rsid w:val="60AC169F"/>
    <w:rsid w:val="60AF0E29"/>
    <w:rsid w:val="60B43DFD"/>
    <w:rsid w:val="60B55179"/>
    <w:rsid w:val="60BF5745"/>
    <w:rsid w:val="60C47684"/>
    <w:rsid w:val="60C90EA4"/>
    <w:rsid w:val="60CA2396"/>
    <w:rsid w:val="60CF0514"/>
    <w:rsid w:val="60D07484"/>
    <w:rsid w:val="60D10C0F"/>
    <w:rsid w:val="60D3569F"/>
    <w:rsid w:val="60D4537B"/>
    <w:rsid w:val="60D74889"/>
    <w:rsid w:val="60E02B8F"/>
    <w:rsid w:val="60E26F48"/>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4EEF"/>
    <w:rsid w:val="61176A85"/>
    <w:rsid w:val="611A697F"/>
    <w:rsid w:val="61206479"/>
    <w:rsid w:val="612143A4"/>
    <w:rsid w:val="61221695"/>
    <w:rsid w:val="6124184C"/>
    <w:rsid w:val="61254671"/>
    <w:rsid w:val="612E3337"/>
    <w:rsid w:val="614050A9"/>
    <w:rsid w:val="61465E1A"/>
    <w:rsid w:val="614B5BCE"/>
    <w:rsid w:val="614D1495"/>
    <w:rsid w:val="614D2B5A"/>
    <w:rsid w:val="6155426A"/>
    <w:rsid w:val="615755AF"/>
    <w:rsid w:val="615D6475"/>
    <w:rsid w:val="61620240"/>
    <w:rsid w:val="616730ED"/>
    <w:rsid w:val="616C2054"/>
    <w:rsid w:val="616E3976"/>
    <w:rsid w:val="617D0D60"/>
    <w:rsid w:val="618321F0"/>
    <w:rsid w:val="618563BE"/>
    <w:rsid w:val="61861C69"/>
    <w:rsid w:val="61867017"/>
    <w:rsid w:val="618B084B"/>
    <w:rsid w:val="618E1E6E"/>
    <w:rsid w:val="618F22FB"/>
    <w:rsid w:val="61B15149"/>
    <w:rsid w:val="61B16AF8"/>
    <w:rsid w:val="61B71C73"/>
    <w:rsid w:val="61C56900"/>
    <w:rsid w:val="61C73EC2"/>
    <w:rsid w:val="61D32FE5"/>
    <w:rsid w:val="61D9528D"/>
    <w:rsid w:val="61DA6BBA"/>
    <w:rsid w:val="61DE7C3D"/>
    <w:rsid w:val="61E1330A"/>
    <w:rsid w:val="61E51E0F"/>
    <w:rsid w:val="61E852C9"/>
    <w:rsid w:val="61EE26FB"/>
    <w:rsid w:val="61EE28BD"/>
    <w:rsid w:val="61F0115C"/>
    <w:rsid w:val="61FA5B62"/>
    <w:rsid w:val="6203062B"/>
    <w:rsid w:val="62070260"/>
    <w:rsid w:val="620A5E09"/>
    <w:rsid w:val="62164CFF"/>
    <w:rsid w:val="6222428F"/>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E6DF2"/>
    <w:rsid w:val="62971DFA"/>
    <w:rsid w:val="629963D8"/>
    <w:rsid w:val="62B3642B"/>
    <w:rsid w:val="62B91CB2"/>
    <w:rsid w:val="62E05F11"/>
    <w:rsid w:val="62E70CE0"/>
    <w:rsid w:val="62F00E21"/>
    <w:rsid w:val="62F06C0E"/>
    <w:rsid w:val="62F571B6"/>
    <w:rsid w:val="62F91A8D"/>
    <w:rsid w:val="62FA0118"/>
    <w:rsid w:val="62FB5ADF"/>
    <w:rsid w:val="63016DD9"/>
    <w:rsid w:val="63060DC1"/>
    <w:rsid w:val="630B0513"/>
    <w:rsid w:val="630D5FB3"/>
    <w:rsid w:val="631D12C4"/>
    <w:rsid w:val="632F0EFF"/>
    <w:rsid w:val="633159CB"/>
    <w:rsid w:val="6332638D"/>
    <w:rsid w:val="633B2B0B"/>
    <w:rsid w:val="633C5BF9"/>
    <w:rsid w:val="633E36D1"/>
    <w:rsid w:val="6343466C"/>
    <w:rsid w:val="634A145E"/>
    <w:rsid w:val="634E753F"/>
    <w:rsid w:val="63607ED4"/>
    <w:rsid w:val="636469BD"/>
    <w:rsid w:val="63670D77"/>
    <w:rsid w:val="63685741"/>
    <w:rsid w:val="636A3942"/>
    <w:rsid w:val="636B5C5F"/>
    <w:rsid w:val="63716369"/>
    <w:rsid w:val="63767EE6"/>
    <w:rsid w:val="637919F5"/>
    <w:rsid w:val="637A710D"/>
    <w:rsid w:val="637D2E4D"/>
    <w:rsid w:val="63802ACC"/>
    <w:rsid w:val="6388225F"/>
    <w:rsid w:val="63947BA7"/>
    <w:rsid w:val="63B253E1"/>
    <w:rsid w:val="63B26566"/>
    <w:rsid w:val="63B601D2"/>
    <w:rsid w:val="63D86821"/>
    <w:rsid w:val="63D8720B"/>
    <w:rsid w:val="63DF3F98"/>
    <w:rsid w:val="63E02D15"/>
    <w:rsid w:val="63E0457C"/>
    <w:rsid w:val="63E25AFD"/>
    <w:rsid w:val="63E3547A"/>
    <w:rsid w:val="63E57666"/>
    <w:rsid w:val="63F03B38"/>
    <w:rsid w:val="63F731A5"/>
    <w:rsid w:val="63FC766C"/>
    <w:rsid w:val="63FE2454"/>
    <w:rsid w:val="64022F76"/>
    <w:rsid w:val="64084173"/>
    <w:rsid w:val="641269AD"/>
    <w:rsid w:val="641C56F8"/>
    <w:rsid w:val="64231408"/>
    <w:rsid w:val="64281DC7"/>
    <w:rsid w:val="643A7824"/>
    <w:rsid w:val="644A3F96"/>
    <w:rsid w:val="64553AA4"/>
    <w:rsid w:val="64564ED9"/>
    <w:rsid w:val="645A5737"/>
    <w:rsid w:val="646029D7"/>
    <w:rsid w:val="64603768"/>
    <w:rsid w:val="646270E8"/>
    <w:rsid w:val="6467123E"/>
    <w:rsid w:val="64706790"/>
    <w:rsid w:val="64724898"/>
    <w:rsid w:val="647B3FF6"/>
    <w:rsid w:val="647C3BBA"/>
    <w:rsid w:val="64805997"/>
    <w:rsid w:val="64813A7C"/>
    <w:rsid w:val="64823A3A"/>
    <w:rsid w:val="64840C08"/>
    <w:rsid w:val="64855B2D"/>
    <w:rsid w:val="64867427"/>
    <w:rsid w:val="648976FB"/>
    <w:rsid w:val="648A2250"/>
    <w:rsid w:val="648B1491"/>
    <w:rsid w:val="648E1573"/>
    <w:rsid w:val="649A52C8"/>
    <w:rsid w:val="64B0747D"/>
    <w:rsid w:val="64B6071F"/>
    <w:rsid w:val="64BE2F18"/>
    <w:rsid w:val="64C004BC"/>
    <w:rsid w:val="64C03551"/>
    <w:rsid w:val="64C317B4"/>
    <w:rsid w:val="64C6530B"/>
    <w:rsid w:val="64D9451E"/>
    <w:rsid w:val="64DB77D5"/>
    <w:rsid w:val="64F31974"/>
    <w:rsid w:val="64FA5C63"/>
    <w:rsid w:val="64FA6AE2"/>
    <w:rsid w:val="6507069F"/>
    <w:rsid w:val="65127100"/>
    <w:rsid w:val="6532464B"/>
    <w:rsid w:val="65341AC5"/>
    <w:rsid w:val="653A34E5"/>
    <w:rsid w:val="653C6B1D"/>
    <w:rsid w:val="65433415"/>
    <w:rsid w:val="65463750"/>
    <w:rsid w:val="654E3228"/>
    <w:rsid w:val="65537C6B"/>
    <w:rsid w:val="655C685E"/>
    <w:rsid w:val="656160AB"/>
    <w:rsid w:val="65622086"/>
    <w:rsid w:val="65644A63"/>
    <w:rsid w:val="65655B02"/>
    <w:rsid w:val="656E3321"/>
    <w:rsid w:val="65757B8D"/>
    <w:rsid w:val="65764BA6"/>
    <w:rsid w:val="658E776E"/>
    <w:rsid w:val="65907AC2"/>
    <w:rsid w:val="65A62A91"/>
    <w:rsid w:val="65A8734A"/>
    <w:rsid w:val="65A9185C"/>
    <w:rsid w:val="65AB43EF"/>
    <w:rsid w:val="65B430CC"/>
    <w:rsid w:val="65CC6A3A"/>
    <w:rsid w:val="65DB0A99"/>
    <w:rsid w:val="65E919BF"/>
    <w:rsid w:val="65ED7EEF"/>
    <w:rsid w:val="65EF66B8"/>
    <w:rsid w:val="65F46CFC"/>
    <w:rsid w:val="65F73BB4"/>
    <w:rsid w:val="660658FA"/>
    <w:rsid w:val="660B1805"/>
    <w:rsid w:val="660C035C"/>
    <w:rsid w:val="66103D06"/>
    <w:rsid w:val="66190E3D"/>
    <w:rsid w:val="661C061C"/>
    <w:rsid w:val="6628673A"/>
    <w:rsid w:val="662F3D00"/>
    <w:rsid w:val="66300C32"/>
    <w:rsid w:val="6639596A"/>
    <w:rsid w:val="66401DD3"/>
    <w:rsid w:val="6644369D"/>
    <w:rsid w:val="66513A8B"/>
    <w:rsid w:val="66515333"/>
    <w:rsid w:val="66543F3A"/>
    <w:rsid w:val="6654755D"/>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B93F76"/>
    <w:rsid w:val="66BE7A6E"/>
    <w:rsid w:val="66C2655F"/>
    <w:rsid w:val="66D01D1D"/>
    <w:rsid w:val="66D20F68"/>
    <w:rsid w:val="66D6103F"/>
    <w:rsid w:val="66DB5E51"/>
    <w:rsid w:val="66DC2051"/>
    <w:rsid w:val="66E40BAD"/>
    <w:rsid w:val="66E77E06"/>
    <w:rsid w:val="66F861FA"/>
    <w:rsid w:val="670027A0"/>
    <w:rsid w:val="67037752"/>
    <w:rsid w:val="67050D51"/>
    <w:rsid w:val="67050D97"/>
    <w:rsid w:val="67091904"/>
    <w:rsid w:val="670E178E"/>
    <w:rsid w:val="6717419C"/>
    <w:rsid w:val="67212735"/>
    <w:rsid w:val="673611CB"/>
    <w:rsid w:val="674A450B"/>
    <w:rsid w:val="674B4E59"/>
    <w:rsid w:val="675005EC"/>
    <w:rsid w:val="675E366D"/>
    <w:rsid w:val="67635837"/>
    <w:rsid w:val="67690F3D"/>
    <w:rsid w:val="676B3A7C"/>
    <w:rsid w:val="676D52AA"/>
    <w:rsid w:val="677011BD"/>
    <w:rsid w:val="6770452E"/>
    <w:rsid w:val="67705A6F"/>
    <w:rsid w:val="67750EBE"/>
    <w:rsid w:val="67816012"/>
    <w:rsid w:val="67842D1C"/>
    <w:rsid w:val="678C278B"/>
    <w:rsid w:val="67991948"/>
    <w:rsid w:val="67A850E1"/>
    <w:rsid w:val="67AB3E74"/>
    <w:rsid w:val="67B0438B"/>
    <w:rsid w:val="67B33BE3"/>
    <w:rsid w:val="67B71656"/>
    <w:rsid w:val="67B723B3"/>
    <w:rsid w:val="67B743E8"/>
    <w:rsid w:val="67BD43E0"/>
    <w:rsid w:val="67BD4993"/>
    <w:rsid w:val="67C0411D"/>
    <w:rsid w:val="67C95416"/>
    <w:rsid w:val="67D74048"/>
    <w:rsid w:val="67E041E2"/>
    <w:rsid w:val="67E51F56"/>
    <w:rsid w:val="67E97A89"/>
    <w:rsid w:val="67F27764"/>
    <w:rsid w:val="6802359C"/>
    <w:rsid w:val="68081463"/>
    <w:rsid w:val="680A257F"/>
    <w:rsid w:val="680E50C8"/>
    <w:rsid w:val="681541C3"/>
    <w:rsid w:val="681674DF"/>
    <w:rsid w:val="681D6FA0"/>
    <w:rsid w:val="68373462"/>
    <w:rsid w:val="68447B3B"/>
    <w:rsid w:val="685C0FCA"/>
    <w:rsid w:val="68650F7D"/>
    <w:rsid w:val="68655BE3"/>
    <w:rsid w:val="686926D4"/>
    <w:rsid w:val="68774A50"/>
    <w:rsid w:val="68784EDA"/>
    <w:rsid w:val="687A62EB"/>
    <w:rsid w:val="687B4F8F"/>
    <w:rsid w:val="688A20B8"/>
    <w:rsid w:val="688C0135"/>
    <w:rsid w:val="688D57D8"/>
    <w:rsid w:val="6892047F"/>
    <w:rsid w:val="6897438E"/>
    <w:rsid w:val="68A01495"/>
    <w:rsid w:val="68A27905"/>
    <w:rsid w:val="68A550D0"/>
    <w:rsid w:val="68A57A2E"/>
    <w:rsid w:val="68A7533D"/>
    <w:rsid w:val="68BD6779"/>
    <w:rsid w:val="68C02111"/>
    <w:rsid w:val="68C42BDC"/>
    <w:rsid w:val="68CE3102"/>
    <w:rsid w:val="68D015E0"/>
    <w:rsid w:val="68D33B58"/>
    <w:rsid w:val="68D824C6"/>
    <w:rsid w:val="68E24545"/>
    <w:rsid w:val="68E31D7A"/>
    <w:rsid w:val="68E71448"/>
    <w:rsid w:val="68E92B61"/>
    <w:rsid w:val="68F308C4"/>
    <w:rsid w:val="68F51C33"/>
    <w:rsid w:val="68FA62F0"/>
    <w:rsid w:val="68FE7853"/>
    <w:rsid w:val="68FF6668"/>
    <w:rsid w:val="6901117B"/>
    <w:rsid w:val="69021A4A"/>
    <w:rsid w:val="69052CE9"/>
    <w:rsid w:val="69156DDD"/>
    <w:rsid w:val="691D61F1"/>
    <w:rsid w:val="691E3879"/>
    <w:rsid w:val="69211467"/>
    <w:rsid w:val="69257A7E"/>
    <w:rsid w:val="69277662"/>
    <w:rsid w:val="69344B19"/>
    <w:rsid w:val="69345F83"/>
    <w:rsid w:val="69392613"/>
    <w:rsid w:val="69392966"/>
    <w:rsid w:val="693C2B63"/>
    <w:rsid w:val="694E1147"/>
    <w:rsid w:val="69520D7A"/>
    <w:rsid w:val="69573B6E"/>
    <w:rsid w:val="696032C7"/>
    <w:rsid w:val="696206D3"/>
    <w:rsid w:val="6967756D"/>
    <w:rsid w:val="6968644A"/>
    <w:rsid w:val="697011ED"/>
    <w:rsid w:val="69826A24"/>
    <w:rsid w:val="698B2061"/>
    <w:rsid w:val="699004F5"/>
    <w:rsid w:val="699B6DC8"/>
    <w:rsid w:val="69A97058"/>
    <w:rsid w:val="69AB6F60"/>
    <w:rsid w:val="69C8002E"/>
    <w:rsid w:val="69CF04C1"/>
    <w:rsid w:val="69D32FE1"/>
    <w:rsid w:val="69D457A0"/>
    <w:rsid w:val="69D463F2"/>
    <w:rsid w:val="69D72910"/>
    <w:rsid w:val="69D94035"/>
    <w:rsid w:val="69DC26A6"/>
    <w:rsid w:val="69E37874"/>
    <w:rsid w:val="69E56B54"/>
    <w:rsid w:val="69E96708"/>
    <w:rsid w:val="69ED002E"/>
    <w:rsid w:val="69ED6B4A"/>
    <w:rsid w:val="69EE54CD"/>
    <w:rsid w:val="69F92613"/>
    <w:rsid w:val="69FB7CD4"/>
    <w:rsid w:val="69FD723E"/>
    <w:rsid w:val="69FD7CEA"/>
    <w:rsid w:val="6A0229E5"/>
    <w:rsid w:val="6A067F83"/>
    <w:rsid w:val="6A097E59"/>
    <w:rsid w:val="6A171AFC"/>
    <w:rsid w:val="6A227A57"/>
    <w:rsid w:val="6A2A2D01"/>
    <w:rsid w:val="6A3225D7"/>
    <w:rsid w:val="6A3B0B6C"/>
    <w:rsid w:val="6A3C0BF8"/>
    <w:rsid w:val="6A423E55"/>
    <w:rsid w:val="6A470981"/>
    <w:rsid w:val="6A4747AF"/>
    <w:rsid w:val="6A49294B"/>
    <w:rsid w:val="6A562B91"/>
    <w:rsid w:val="6A57299A"/>
    <w:rsid w:val="6A697946"/>
    <w:rsid w:val="6A6D6854"/>
    <w:rsid w:val="6A700CED"/>
    <w:rsid w:val="6A7017D7"/>
    <w:rsid w:val="6AA235D3"/>
    <w:rsid w:val="6AA31D3D"/>
    <w:rsid w:val="6AB02B50"/>
    <w:rsid w:val="6AB14532"/>
    <w:rsid w:val="6ABB2ED0"/>
    <w:rsid w:val="6ABD7A51"/>
    <w:rsid w:val="6AC335C4"/>
    <w:rsid w:val="6ACC0F11"/>
    <w:rsid w:val="6ADB4318"/>
    <w:rsid w:val="6ADD7DFD"/>
    <w:rsid w:val="6AE2135D"/>
    <w:rsid w:val="6AE77D3D"/>
    <w:rsid w:val="6AE93C28"/>
    <w:rsid w:val="6AF05F1A"/>
    <w:rsid w:val="6B036D80"/>
    <w:rsid w:val="6B0451AB"/>
    <w:rsid w:val="6B160110"/>
    <w:rsid w:val="6B21434C"/>
    <w:rsid w:val="6B237C36"/>
    <w:rsid w:val="6B2718FD"/>
    <w:rsid w:val="6B2A147B"/>
    <w:rsid w:val="6B2B4CFC"/>
    <w:rsid w:val="6B2C290C"/>
    <w:rsid w:val="6B33476F"/>
    <w:rsid w:val="6B352059"/>
    <w:rsid w:val="6B3B4CA2"/>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B248CC"/>
    <w:rsid w:val="6BBC0DCF"/>
    <w:rsid w:val="6BCA6179"/>
    <w:rsid w:val="6BCE3445"/>
    <w:rsid w:val="6BD0777F"/>
    <w:rsid w:val="6BD619EE"/>
    <w:rsid w:val="6BEA64E2"/>
    <w:rsid w:val="6BF73BA6"/>
    <w:rsid w:val="6BFA7E30"/>
    <w:rsid w:val="6BFB030F"/>
    <w:rsid w:val="6C016CAE"/>
    <w:rsid w:val="6C07197C"/>
    <w:rsid w:val="6C090252"/>
    <w:rsid w:val="6C0B7CD2"/>
    <w:rsid w:val="6C0D6AE8"/>
    <w:rsid w:val="6C100936"/>
    <w:rsid w:val="6C1962C3"/>
    <w:rsid w:val="6C1A6808"/>
    <w:rsid w:val="6C255AAD"/>
    <w:rsid w:val="6C2C5801"/>
    <w:rsid w:val="6C2D7320"/>
    <w:rsid w:val="6C2E3E73"/>
    <w:rsid w:val="6C3321F9"/>
    <w:rsid w:val="6C33267C"/>
    <w:rsid w:val="6C3D0F56"/>
    <w:rsid w:val="6C410CB8"/>
    <w:rsid w:val="6C452BDF"/>
    <w:rsid w:val="6C5E1CDD"/>
    <w:rsid w:val="6C62391B"/>
    <w:rsid w:val="6C660C8B"/>
    <w:rsid w:val="6C6A716D"/>
    <w:rsid w:val="6C6C6ED7"/>
    <w:rsid w:val="6C71767A"/>
    <w:rsid w:val="6C7C1F44"/>
    <w:rsid w:val="6C827094"/>
    <w:rsid w:val="6C8559E0"/>
    <w:rsid w:val="6C891188"/>
    <w:rsid w:val="6C8D26FB"/>
    <w:rsid w:val="6C996561"/>
    <w:rsid w:val="6CB01397"/>
    <w:rsid w:val="6CC25213"/>
    <w:rsid w:val="6CD76A8F"/>
    <w:rsid w:val="6CDE47C9"/>
    <w:rsid w:val="6CDF1F89"/>
    <w:rsid w:val="6CE0702D"/>
    <w:rsid w:val="6CE83295"/>
    <w:rsid w:val="6CEE220B"/>
    <w:rsid w:val="6CEE246E"/>
    <w:rsid w:val="6CF27A30"/>
    <w:rsid w:val="6CF6067E"/>
    <w:rsid w:val="6D032BD4"/>
    <w:rsid w:val="6D0535EE"/>
    <w:rsid w:val="6D077405"/>
    <w:rsid w:val="6D0A3519"/>
    <w:rsid w:val="6D133D59"/>
    <w:rsid w:val="6D175B2B"/>
    <w:rsid w:val="6D264EC5"/>
    <w:rsid w:val="6D26662C"/>
    <w:rsid w:val="6D2B3CDC"/>
    <w:rsid w:val="6D330DB7"/>
    <w:rsid w:val="6D437763"/>
    <w:rsid w:val="6D4B2385"/>
    <w:rsid w:val="6D4C07B8"/>
    <w:rsid w:val="6D5B1179"/>
    <w:rsid w:val="6D671B76"/>
    <w:rsid w:val="6D6D28AF"/>
    <w:rsid w:val="6D771293"/>
    <w:rsid w:val="6D7D0954"/>
    <w:rsid w:val="6D8153B2"/>
    <w:rsid w:val="6D876AB7"/>
    <w:rsid w:val="6D8F154F"/>
    <w:rsid w:val="6D9757D1"/>
    <w:rsid w:val="6D9C3974"/>
    <w:rsid w:val="6DA062EA"/>
    <w:rsid w:val="6DA65DBF"/>
    <w:rsid w:val="6DA76631"/>
    <w:rsid w:val="6DA77315"/>
    <w:rsid w:val="6DAF65CC"/>
    <w:rsid w:val="6DB157A2"/>
    <w:rsid w:val="6DB25F3D"/>
    <w:rsid w:val="6DBA586C"/>
    <w:rsid w:val="6DBE0B3F"/>
    <w:rsid w:val="6DBF7294"/>
    <w:rsid w:val="6DC53FBD"/>
    <w:rsid w:val="6DC93FE2"/>
    <w:rsid w:val="6DCA77EA"/>
    <w:rsid w:val="6DD35114"/>
    <w:rsid w:val="6DDE35E8"/>
    <w:rsid w:val="6DE65A7A"/>
    <w:rsid w:val="6DE92FA2"/>
    <w:rsid w:val="6DEE0E7D"/>
    <w:rsid w:val="6DEF6BC8"/>
    <w:rsid w:val="6DF574ED"/>
    <w:rsid w:val="6DF81839"/>
    <w:rsid w:val="6E0048DC"/>
    <w:rsid w:val="6E075019"/>
    <w:rsid w:val="6E0766A1"/>
    <w:rsid w:val="6E1419C0"/>
    <w:rsid w:val="6E166FE2"/>
    <w:rsid w:val="6E183FF4"/>
    <w:rsid w:val="6E1B11E5"/>
    <w:rsid w:val="6E1D151C"/>
    <w:rsid w:val="6E2E7D17"/>
    <w:rsid w:val="6E3323DD"/>
    <w:rsid w:val="6E3761D3"/>
    <w:rsid w:val="6E392DDA"/>
    <w:rsid w:val="6E3E2033"/>
    <w:rsid w:val="6E411943"/>
    <w:rsid w:val="6E440060"/>
    <w:rsid w:val="6E442CF5"/>
    <w:rsid w:val="6E54575C"/>
    <w:rsid w:val="6E5A2999"/>
    <w:rsid w:val="6E612C3F"/>
    <w:rsid w:val="6E650AD9"/>
    <w:rsid w:val="6E6F6D88"/>
    <w:rsid w:val="6E702FE8"/>
    <w:rsid w:val="6E706B87"/>
    <w:rsid w:val="6E766C71"/>
    <w:rsid w:val="6E7926F7"/>
    <w:rsid w:val="6E7B110F"/>
    <w:rsid w:val="6E8A2A35"/>
    <w:rsid w:val="6E915314"/>
    <w:rsid w:val="6EA04FAE"/>
    <w:rsid w:val="6EAA59A3"/>
    <w:rsid w:val="6EAA79ED"/>
    <w:rsid w:val="6EB029C1"/>
    <w:rsid w:val="6EC161BE"/>
    <w:rsid w:val="6ECD08F1"/>
    <w:rsid w:val="6ED8031D"/>
    <w:rsid w:val="6EDF2531"/>
    <w:rsid w:val="6EE1335D"/>
    <w:rsid w:val="6EE50FBC"/>
    <w:rsid w:val="6EEF6508"/>
    <w:rsid w:val="6EF02682"/>
    <w:rsid w:val="6EFF1809"/>
    <w:rsid w:val="6F19615F"/>
    <w:rsid w:val="6F1A60C4"/>
    <w:rsid w:val="6F231E41"/>
    <w:rsid w:val="6F244447"/>
    <w:rsid w:val="6F303DE1"/>
    <w:rsid w:val="6F331C81"/>
    <w:rsid w:val="6F331F52"/>
    <w:rsid w:val="6F362062"/>
    <w:rsid w:val="6F3C0797"/>
    <w:rsid w:val="6F4048CA"/>
    <w:rsid w:val="6F405BD0"/>
    <w:rsid w:val="6F4713C5"/>
    <w:rsid w:val="6F4734D0"/>
    <w:rsid w:val="6F4B3953"/>
    <w:rsid w:val="6F555C91"/>
    <w:rsid w:val="6F603479"/>
    <w:rsid w:val="6F680494"/>
    <w:rsid w:val="6F6B5A9E"/>
    <w:rsid w:val="6F7A07E3"/>
    <w:rsid w:val="6F7D050B"/>
    <w:rsid w:val="6F8C33B0"/>
    <w:rsid w:val="6F8D5B36"/>
    <w:rsid w:val="6F953750"/>
    <w:rsid w:val="6FA04DA3"/>
    <w:rsid w:val="6FA10B29"/>
    <w:rsid w:val="6FAA2D8A"/>
    <w:rsid w:val="6FC02217"/>
    <w:rsid w:val="6FC34E9D"/>
    <w:rsid w:val="6FC60A07"/>
    <w:rsid w:val="6FC90F86"/>
    <w:rsid w:val="6FCD3BC3"/>
    <w:rsid w:val="6FCE2BBA"/>
    <w:rsid w:val="6FDF40F5"/>
    <w:rsid w:val="6FE0165C"/>
    <w:rsid w:val="6FE05F95"/>
    <w:rsid w:val="6FF021F5"/>
    <w:rsid w:val="6FF06B6B"/>
    <w:rsid w:val="6FF97C31"/>
    <w:rsid w:val="6FFC64FF"/>
    <w:rsid w:val="7001428F"/>
    <w:rsid w:val="700E7127"/>
    <w:rsid w:val="70133236"/>
    <w:rsid w:val="70156307"/>
    <w:rsid w:val="7016485B"/>
    <w:rsid w:val="701C590F"/>
    <w:rsid w:val="702033F7"/>
    <w:rsid w:val="7021034D"/>
    <w:rsid w:val="702D10A9"/>
    <w:rsid w:val="70315D3B"/>
    <w:rsid w:val="703D58C4"/>
    <w:rsid w:val="70453D87"/>
    <w:rsid w:val="704E5E48"/>
    <w:rsid w:val="7053674B"/>
    <w:rsid w:val="7055360F"/>
    <w:rsid w:val="70642BE6"/>
    <w:rsid w:val="706F497B"/>
    <w:rsid w:val="70724AB3"/>
    <w:rsid w:val="70877819"/>
    <w:rsid w:val="70916EF8"/>
    <w:rsid w:val="709261ED"/>
    <w:rsid w:val="70A02568"/>
    <w:rsid w:val="70AD230C"/>
    <w:rsid w:val="70B91785"/>
    <w:rsid w:val="70C41020"/>
    <w:rsid w:val="70C671BA"/>
    <w:rsid w:val="70CC1017"/>
    <w:rsid w:val="70CF255C"/>
    <w:rsid w:val="70DC2C89"/>
    <w:rsid w:val="70DD041E"/>
    <w:rsid w:val="70DD743F"/>
    <w:rsid w:val="70DD7EE0"/>
    <w:rsid w:val="70E3150B"/>
    <w:rsid w:val="70E67B77"/>
    <w:rsid w:val="70F323B0"/>
    <w:rsid w:val="70FD7C9B"/>
    <w:rsid w:val="70FE0735"/>
    <w:rsid w:val="710221FA"/>
    <w:rsid w:val="71094431"/>
    <w:rsid w:val="710D3478"/>
    <w:rsid w:val="710F7585"/>
    <w:rsid w:val="711805A6"/>
    <w:rsid w:val="711A79AD"/>
    <w:rsid w:val="71217446"/>
    <w:rsid w:val="71224F32"/>
    <w:rsid w:val="7123463F"/>
    <w:rsid w:val="713B1ED6"/>
    <w:rsid w:val="71402DA5"/>
    <w:rsid w:val="714463AC"/>
    <w:rsid w:val="7144693A"/>
    <w:rsid w:val="71525708"/>
    <w:rsid w:val="71542A3C"/>
    <w:rsid w:val="71584711"/>
    <w:rsid w:val="71595F23"/>
    <w:rsid w:val="716A4C59"/>
    <w:rsid w:val="716D3AF0"/>
    <w:rsid w:val="717106F9"/>
    <w:rsid w:val="71811922"/>
    <w:rsid w:val="7184567C"/>
    <w:rsid w:val="71866C06"/>
    <w:rsid w:val="718F2568"/>
    <w:rsid w:val="718F3086"/>
    <w:rsid w:val="71910B53"/>
    <w:rsid w:val="719D1BC1"/>
    <w:rsid w:val="719E09E3"/>
    <w:rsid w:val="719F5958"/>
    <w:rsid w:val="71A33FEC"/>
    <w:rsid w:val="71A601E7"/>
    <w:rsid w:val="71AC51C8"/>
    <w:rsid w:val="71C37CE8"/>
    <w:rsid w:val="71C402EA"/>
    <w:rsid w:val="71D4132F"/>
    <w:rsid w:val="71D53676"/>
    <w:rsid w:val="71DA32B4"/>
    <w:rsid w:val="71E32E83"/>
    <w:rsid w:val="71F46D71"/>
    <w:rsid w:val="71F96411"/>
    <w:rsid w:val="71FA7506"/>
    <w:rsid w:val="72061465"/>
    <w:rsid w:val="722F766C"/>
    <w:rsid w:val="723256D8"/>
    <w:rsid w:val="72382B26"/>
    <w:rsid w:val="72385872"/>
    <w:rsid w:val="72451F4F"/>
    <w:rsid w:val="7247128C"/>
    <w:rsid w:val="72493E35"/>
    <w:rsid w:val="725B0CD8"/>
    <w:rsid w:val="7264361A"/>
    <w:rsid w:val="726822A9"/>
    <w:rsid w:val="726C3438"/>
    <w:rsid w:val="727367E8"/>
    <w:rsid w:val="72791B78"/>
    <w:rsid w:val="727C5618"/>
    <w:rsid w:val="727F3E51"/>
    <w:rsid w:val="7287073E"/>
    <w:rsid w:val="728C70E1"/>
    <w:rsid w:val="7290542B"/>
    <w:rsid w:val="72913002"/>
    <w:rsid w:val="72917F17"/>
    <w:rsid w:val="72935E6A"/>
    <w:rsid w:val="729A7834"/>
    <w:rsid w:val="72A00661"/>
    <w:rsid w:val="72AF2463"/>
    <w:rsid w:val="72B06D9D"/>
    <w:rsid w:val="72B715E4"/>
    <w:rsid w:val="72C32F53"/>
    <w:rsid w:val="72C77A8A"/>
    <w:rsid w:val="72CB7C4C"/>
    <w:rsid w:val="72D86D20"/>
    <w:rsid w:val="72DB6BCE"/>
    <w:rsid w:val="72F70D65"/>
    <w:rsid w:val="72F762C6"/>
    <w:rsid w:val="72FE3E8E"/>
    <w:rsid w:val="731B711B"/>
    <w:rsid w:val="731C3ED2"/>
    <w:rsid w:val="731E5631"/>
    <w:rsid w:val="732009B8"/>
    <w:rsid w:val="732B0C72"/>
    <w:rsid w:val="733271A4"/>
    <w:rsid w:val="73330C63"/>
    <w:rsid w:val="733863E3"/>
    <w:rsid w:val="733A3332"/>
    <w:rsid w:val="733C1D9D"/>
    <w:rsid w:val="733E46B2"/>
    <w:rsid w:val="733E586B"/>
    <w:rsid w:val="733E59D9"/>
    <w:rsid w:val="734B3969"/>
    <w:rsid w:val="73597F33"/>
    <w:rsid w:val="7375490C"/>
    <w:rsid w:val="73757E63"/>
    <w:rsid w:val="737D2F4F"/>
    <w:rsid w:val="738B029F"/>
    <w:rsid w:val="73900D21"/>
    <w:rsid w:val="739A7114"/>
    <w:rsid w:val="739F2349"/>
    <w:rsid w:val="739F6287"/>
    <w:rsid w:val="73A242CD"/>
    <w:rsid w:val="73A935F2"/>
    <w:rsid w:val="73AC333B"/>
    <w:rsid w:val="73B11DBC"/>
    <w:rsid w:val="73B1795C"/>
    <w:rsid w:val="73B51018"/>
    <w:rsid w:val="73B67CAD"/>
    <w:rsid w:val="73B86EBC"/>
    <w:rsid w:val="73C340B3"/>
    <w:rsid w:val="73C72DB3"/>
    <w:rsid w:val="73C854F0"/>
    <w:rsid w:val="73CE0B05"/>
    <w:rsid w:val="73D007EE"/>
    <w:rsid w:val="73D27A00"/>
    <w:rsid w:val="73D31801"/>
    <w:rsid w:val="73D9581C"/>
    <w:rsid w:val="73DA2FBB"/>
    <w:rsid w:val="73DC2CAB"/>
    <w:rsid w:val="73DC5744"/>
    <w:rsid w:val="73E36876"/>
    <w:rsid w:val="73E72CB9"/>
    <w:rsid w:val="74014C0C"/>
    <w:rsid w:val="740B7234"/>
    <w:rsid w:val="741B5358"/>
    <w:rsid w:val="74202F12"/>
    <w:rsid w:val="742C093F"/>
    <w:rsid w:val="742F68DF"/>
    <w:rsid w:val="7435797F"/>
    <w:rsid w:val="7442738A"/>
    <w:rsid w:val="744A0545"/>
    <w:rsid w:val="744F0653"/>
    <w:rsid w:val="744F7C70"/>
    <w:rsid w:val="74521009"/>
    <w:rsid w:val="74632A31"/>
    <w:rsid w:val="7465205B"/>
    <w:rsid w:val="746954DB"/>
    <w:rsid w:val="74743C33"/>
    <w:rsid w:val="747640DF"/>
    <w:rsid w:val="747E6036"/>
    <w:rsid w:val="74807A49"/>
    <w:rsid w:val="7482175B"/>
    <w:rsid w:val="74843F0D"/>
    <w:rsid w:val="74A67409"/>
    <w:rsid w:val="74B37F42"/>
    <w:rsid w:val="74B539F8"/>
    <w:rsid w:val="74B94875"/>
    <w:rsid w:val="74BA4FF9"/>
    <w:rsid w:val="74C311F6"/>
    <w:rsid w:val="74C53F19"/>
    <w:rsid w:val="74C579E1"/>
    <w:rsid w:val="74CA0770"/>
    <w:rsid w:val="74D52F3D"/>
    <w:rsid w:val="74D81528"/>
    <w:rsid w:val="74D96025"/>
    <w:rsid w:val="74DA07A2"/>
    <w:rsid w:val="74E1491C"/>
    <w:rsid w:val="74E67A31"/>
    <w:rsid w:val="74F61278"/>
    <w:rsid w:val="74F90505"/>
    <w:rsid w:val="74FC67D7"/>
    <w:rsid w:val="7501178C"/>
    <w:rsid w:val="75092044"/>
    <w:rsid w:val="75124563"/>
    <w:rsid w:val="751274A1"/>
    <w:rsid w:val="75190871"/>
    <w:rsid w:val="751C2143"/>
    <w:rsid w:val="75295853"/>
    <w:rsid w:val="752D2921"/>
    <w:rsid w:val="752F1869"/>
    <w:rsid w:val="752F2DAC"/>
    <w:rsid w:val="75387884"/>
    <w:rsid w:val="75475838"/>
    <w:rsid w:val="75631790"/>
    <w:rsid w:val="7566472C"/>
    <w:rsid w:val="756B1E1E"/>
    <w:rsid w:val="7578413D"/>
    <w:rsid w:val="757B64ED"/>
    <w:rsid w:val="757C232A"/>
    <w:rsid w:val="75851DCA"/>
    <w:rsid w:val="75895C6B"/>
    <w:rsid w:val="758F3A2A"/>
    <w:rsid w:val="7595284C"/>
    <w:rsid w:val="7599617F"/>
    <w:rsid w:val="759D7802"/>
    <w:rsid w:val="75A011FF"/>
    <w:rsid w:val="75A70E4F"/>
    <w:rsid w:val="75AA3F51"/>
    <w:rsid w:val="75B11420"/>
    <w:rsid w:val="75B263D3"/>
    <w:rsid w:val="75CB7A28"/>
    <w:rsid w:val="75DA0294"/>
    <w:rsid w:val="75DC2372"/>
    <w:rsid w:val="75E16CC1"/>
    <w:rsid w:val="75F22E0F"/>
    <w:rsid w:val="7600000E"/>
    <w:rsid w:val="760021B6"/>
    <w:rsid w:val="760950F4"/>
    <w:rsid w:val="76122AB3"/>
    <w:rsid w:val="76154B74"/>
    <w:rsid w:val="761C414A"/>
    <w:rsid w:val="761D237D"/>
    <w:rsid w:val="76380CDC"/>
    <w:rsid w:val="76383420"/>
    <w:rsid w:val="76411431"/>
    <w:rsid w:val="7649562B"/>
    <w:rsid w:val="764F7C59"/>
    <w:rsid w:val="76536622"/>
    <w:rsid w:val="765566B4"/>
    <w:rsid w:val="76605088"/>
    <w:rsid w:val="76636412"/>
    <w:rsid w:val="766477E2"/>
    <w:rsid w:val="7668119A"/>
    <w:rsid w:val="766966D4"/>
    <w:rsid w:val="766E17F9"/>
    <w:rsid w:val="76894FB9"/>
    <w:rsid w:val="768C1EBA"/>
    <w:rsid w:val="768E260E"/>
    <w:rsid w:val="769222A0"/>
    <w:rsid w:val="769568F8"/>
    <w:rsid w:val="76993596"/>
    <w:rsid w:val="769F0134"/>
    <w:rsid w:val="76B14AAD"/>
    <w:rsid w:val="76C118A2"/>
    <w:rsid w:val="76C32B57"/>
    <w:rsid w:val="76C63D93"/>
    <w:rsid w:val="76CB0A63"/>
    <w:rsid w:val="76D25527"/>
    <w:rsid w:val="76D81970"/>
    <w:rsid w:val="76DD3810"/>
    <w:rsid w:val="76E451C7"/>
    <w:rsid w:val="76E472DD"/>
    <w:rsid w:val="76E8548D"/>
    <w:rsid w:val="76ED3B38"/>
    <w:rsid w:val="76F13EA7"/>
    <w:rsid w:val="76F14581"/>
    <w:rsid w:val="76F77BBD"/>
    <w:rsid w:val="76FD22EC"/>
    <w:rsid w:val="76FD6D57"/>
    <w:rsid w:val="77030B27"/>
    <w:rsid w:val="77041D95"/>
    <w:rsid w:val="77095079"/>
    <w:rsid w:val="7718408C"/>
    <w:rsid w:val="771D7BC5"/>
    <w:rsid w:val="7723073F"/>
    <w:rsid w:val="772527B2"/>
    <w:rsid w:val="772A6A8E"/>
    <w:rsid w:val="773B25F8"/>
    <w:rsid w:val="773B48CE"/>
    <w:rsid w:val="773D0C62"/>
    <w:rsid w:val="773F62E5"/>
    <w:rsid w:val="7743414C"/>
    <w:rsid w:val="774551B5"/>
    <w:rsid w:val="77523DCF"/>
    <w:rsid w:val="77606B3D"/>
    <w:rsid w:val="776870B9"/>
    <w:rsid w:val="776967FB"/>
    <w:rsid w:val="776D4583"/>
    <w:rsid w:val="7776540C"/>
    <w:rsid w:val="777A37E1"/>
    <w:rsid w:val="778100C2"/>
    <w:rsid w:val="77855EB4"/>
    <w:rsid w:val="779D35D8"/>
    <w:rsid w:val="77AA135C"/>
    <w:rsid w:val="77AB7E27"/>
    <w:rsid w:val="77AC14DA"/>
    <w:rsid w:val="77AD64CA"/>
    <w:rsid w:val="77AF3504"/>
    <w:rsid w:val="77B36F7C"/>
    <w:rsid w:val="77BE1BC2"/>
    <w:rsid w:val="77C926F0"/>
    <w:rsid w:val="77CA0362"/>
    <w:rsid w:val="77D17A81"/>
    <w:rsid w:val="77E40C30"/>
    <w:rsid w:val="77FC1B84"/>
    <w:rsid w:val="78055C6F"/>
    <w:rsid w:val="780752E6"/>
    <w:rsid w:val="780B6CC7"/>
    <w:rsid w:val="78153F77"/>
    <w:rsid w:val="78185315"/>
    <w:rsid w:val="781C67FA"/>
    <w:rsid w:val="782378AE"/>
    <w:rsid w:val="78296DAC"/>
    <w:rsid w:val="783267CC"/>
    <w:rsid w:val="783E418B"/>
    <w:rsid w:val="783F1754"/>
    <w:rsid w:val="784E3C01"/>
    <w:rsid w:val="78570849"/>
    <w:rsid w:val="78575D9F"/>
    <w:rsid w:val="78600977"/>
    <w:rsid w:val="78617AF2"/>
    <w:rsid w:val="78626899"/>
    <w:rsid w:val="786421F2"/>
    <w:rsid w:val="786616B3"/>
    <w:rsid w:val="786E5D08"/>
    <w:rsid w:val="787E7A1D"/>
    <w:rsid w:val="78812F7C"/>
    <w:rsid w:val="78975C7D"/>
    <w:rsid w:val="78A51B95"/>
    <w:rsid w:val="78AA6975"/>
    <w:rsid w:val="78C15B1C"/>
    <w:rsid w:val="78C359B3"/>
    <w:rsid w:val="78C653C1"/>
    <w:rsid w:val="78C9190A"/>
    <w:rsid w:val="78C97D4F"/>
    <w:rsid w:val="78CC0493"/>
    <w:rsid w:val="78DB3FCA"/>
    <w:rsid w:val="78EC2D52"/>
    <w:rsid w:val="78F5480C"/>
    <w:rsid w:val="79036E66"/>
    <w:rsid w:val="790945D5"/>
    <w:rsid w:val="790B5E2B"/>
    <w:rsid w:val="790E47EA"/>
    <w:rsid w:val="790E548B"/>
    <w:rsid w:val="79104E2B"/>
    <w:rsid w:val="79135CA0"/>
    <w:rsid w:val="791467F0"/>
    <w:rsid w:val="7915089E"/>
    <w:rsid w:val="791A58CD"/>
    <w:rsid w:val="791F537B"/>
    <w:rsid w:val="79344437"/>
    <w:rsid w:val="79367982"/>
    <w:rsid w:val="793D5C2F"/>
    <w:rsid w:val="793F7F0E"/>
    <w:rsid w:val="794A336F"/>
    <w:rsid w:val="79537099"/>
    <w:rsid w:val="79552D08"/>
    <w:rsid w:val="795E7ED2"/>
    <w:rsid w:val="79672E22"/>
    <w:rsid w:val="79677010"/>
    <w:rsid w:val="796E6578"/>
    <w:rsid w:val="79711579"/>
    <w:rsid w:val="797121AE"/>
    <w:rsid w:val="797E1825"/>
    <w:rsid w:val="79A7288D"/>
    <w:rsid w:val="79AA3C4E"/>
    <w:rsid w:val="79AE312A"/>
    <w:rsid w:val="79B3208C"/>
    <w:rsid w:val="79B70130"/>
    <w:rsid w:val="79BD5598"/>
    <w:rsid w:val="79C8453B"/>
    <w:rsid w:val="79CB0706"/>
    <w:rsid w:val="79CB0751"/>
    <w:rsid w:val="79CE66ED"/>
    <w:rsid w:val="79CF6E25"/>
    <w:rsid w:val="79D42664"/>
    <w:rsid w:val="79D51250"/>
    <w:rsid w:val="79D72FF4"/>
    <w:rsid w:val="79DB4236"/>
    <w:rsid w:val="79E66C93"/>
    <w:rsid w:val="79F16E80"/>
    <w:rsid w:val="79F32B94"/>
    <w:rsid w:val="79F842C2"/>
    <w:rsid w:val="79FA0A29"/>
    <w:rsid w:val="79FC6E04"/>
    <w:rsid w:val="79FE2A4E"/>
    <w:rsid w:val="7A081D42"/>
    <w:rsid w:val="7A0A6E0F"/>
    <w:rsid w:val="7A0A7223"/>
    <w:rsid w:val="7A0C4EA7"/>
    <w:rsid w:val="7A12552F"/>
    <w:rsid w:val="7A1524DD"/>
    <w:rsid w:val="7A1A1772"/>
    <w:rsid w:val="7A1E1DC3"/>
    <w:rsid w:val="7A2751AD"/>
    <w:rsid w:val="7A276994"/>
    <w:rsid w:val="7A2C129F"/>
    <w:rsid w:val="7A3B034D"/>
    <w:rsid w:val="7A3F158B"/>
    <w:rsid w:val="7A4A132A"/>
    <w:rsid w:val="7A535840"/>
    <w:rsid w:val="7A5C7D67"/>
    <w:rsid w:val="7A5D7F31"/>
    <w:rsid w:val="7A646A69"/>
    <w:rsid w:val="7A6736BC"/>
    <w:rsid w:val="7A6A7B3B"/>
    <w:rsid w:val="7A7067FA"/>
    <w:rsid w:val="7A721F7E"/>
    <w:rsid w:val="7A746574"/>
    <w:rsid w:val="7A7678E5"/>
    <w:rsid w:val="7A7B24DD"/>
    <w:rsid w:val="7A7D2094"/>
    <w:rsid w:val="7A7F65CA"/>
    <w:rsid w:val="7A867241"/>
    <w:rsid w:val="7A876B11"/>
    <w:rsid w:val="7A88301C"/>
    <w:rsid w:val="7A963A48"/>
    <w:rsid w:val="7A9660A3"/>
    <w:rsid w:val="7A9861CB"/>
    <w:rsid w:val="7A986784"/>
    <w:rsid w:val="7ABB3E82"/>
    <w:rsid w:val="7AC3568E"/>
    <w:rsid w:val="7AC449C6"/>
    <w:rsid w:val="7AD71052"/>
    <w:rsid w:val="7AD9797E"/>
    <w:rsid w:val="7ADE3DB2"/>
    <w:rsid w:val="7AE5682B"/>
    <w:rsid w:val="7AEE60EE"/>
    <w:rsid w:val="7B0E060E"/>
    <w:rsid w:val="7B0F5219"/>
    <w:rsid w:val="7B177A77"/>
    <w:rsid w:val="7B193032"/>
    <w:rsid w:val="7B1B1CF8"/>
    <w:rsid w:val="7B26484C"/>
    <w:rsid w:val="7B2B13FD"/>
    <w:rsid w:val="7B3339FA"/>
    <w:rsid w:val="7B346599"/>
    <w:rsid w:val="7B44094D"/>
    <w:rsid w:val="7B460BFD"/>
    <w:rsid w:val="7B4910BE"/>
    <w:rsid w:val="7B4A7A19"/>
    <w:rsid w:val="7B5D3226"/>
    <w:rsid w:val="7B5E4EEC"/>
    <w:rsid w:val="7B674BD7"/>
    <w:rsid w:val="7B6E2192"/>
    <w:rsid w:val="7B722498"/>
    <w:rsid w:val="7B782690"/>
    <w:rsid w:val="7B7F3966"/>
    <w:rsid w:val="7B80148D"/>
    <w:rsid w:val="7B821ADA"/>
    <w:rsid w:val="7B8F5DA2"/>
    <w:rsid w:val="7B926883"/>
    <w:rsid w:val="7BA4369C"/>
    <w:rsid w:val="7BA71440"/>
    <w:rsid w:val="7BAE696E"/>
    <w:rsid w:val="7BAF3C86"/>
    <w:rsid w:val="7BC23E12"/>
    <w:rsid w:val="7BC45CF4"/>
    <w:rsid w:val="7BC92A6F"/>
    <w:rsid w:val="7BD36780"/>
    <w:rsid w:val="7BD4048E"/>
    <w:rsid w:val="7BD968AC"/>
    <w:rsid w:val="7BDE524C"/>
    <w:rsid w:val="7BEA5E74"/>
    <w:rsid w:val="7BF00328"/>
    <w:rsid w:val="7BF577C1"/>
    <w:rsid w:val="7BF9001B"/>
    <w:rsid w:val="7BFE0389"/>
    <w:rsid w:val="7BFE08FA"/>
    <w:rsid w:val="7C091716"/>
    <w:rsid w:val="7C126AEB"/>
    <w:rsid w:val="7C1F2070"/>
    <w:rsid w:val="7C260105"/>
    <w:rsid w:val="7C2900A2"/>
    <w:rsid w:val="7C295D17"/>
    <w:rsid w:val="7C2A10CD"/>
    <w:rsid w:val="7C2C0E73"/>
    <w:rsid w:val="7C2D2AE7"/>
    <w:rsid w:val="7C4A5A50"/>
    <w:rsid w:val="7C4B681D"/>
    <w:rsid w:val="7C4C575E"/>
    <w:rsid w:val="7C640974"/>
    <w:rsid w:val="7C643EF7"/>
    <w:rsid w:val="7C690B20"/>
    <w:rsid w:val="7C724EAE"/>
    <w:rsid w:val="7C780AD5"/>
    <w:rsid w:val="7C7A14F2"/>
    <w:rsid w:val="7C7E2FFC"/>
    <w:rsid w:val="7C7F038C"/>
    <w:rsid w:val="7C867154"/>
    <w:rsid w:val="7C8F78D5"/>
    <w:rsid w:val="7C9427B3"/>
    <w:rsid w:val="7C9E5A77"/>
    <w:rsid w:val="7CAD2B44"/>
    <w:rsid w:val="7CB74F4A"/>
    <w:rsid w:val="7CB80138"/>
    <w:rsid w:val="7CB838AF"/>
    <w:rsid w:val="7CBE6F50"/>
    <w:rsid w:val="7CC639C6"/>
    <w:rsid w:val="7CC96839"/>
    <w:rsid w:val="7CCC3CFE"/>
    <w:rsid w:val="7CCD12D3"/>
    <w:rsid w:val="7CD505D1"/>
    <w:rsid w:val="7CD534FD"/>
    <w:rsid w:val="7CD6692A"/>
    <w:rsid w:val="7CE215AC"/>
    <w:rsid w:val="7CE25B4A"/>
    <w:rsid w:val="7CE3422B"/>
    <w:rsid w:val="7CE5443B"/>
    <w:rsid w:val="7CE76B7F"/>
    <w:rsid w:val="7CED09D9"/>
    <w:rsid w:val="7CF436AD"/>
    <w:rsid w:val="7CF87323"/>
    <w:rsid w:val="7CFF2442"/>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05530"/>
    <w:rsid w:val="7D4241A1"/>
    <w:rsid w:val="7D452B7F"/>
    <w:rsid w:val="7D526E71"/>
    <w:rsid w:val="7D532432"/>
    <w:rsid w:val="7D5A5BFC"/>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71DAD"/>
    <w:rsid w:val="7DC8040C"/>
    <w:rsid w:val="7DC85A3E"/>
    <w:rsid w:val="7DCD3893"/>
    <w:rsid w:val="7DCE15A0"/>
    <w:rsid w:val="7DCF3C5F"/>
    <w:rsid w:val="7DD03D33"/>
    <w:rsid w:val="7DD410E6"/>
    <w:rsid w:val="7DD603AD"/>
    <w:rsid w:val="7DD82F1A"/>
    <w:rsid w:val="7DDA1110"/>
    <w:rsid w:val="7DE020DC"/>
    <w:rsid w:val="7DE449CE"/>
    <w:rsid w:val="7DEC05A8"/>
    <w:rsid w:val="7DED1348"/>
    <w:rsid w:val="7DEE71DF"/>
    <w:rsid w:val="7DF66186"/>
    <w:rsid w:val="7E007B1A"/>
    <w:rsid w:val="7E0A5EA4"/>
    <w:rsid w:val="7E0A72D5"/>
    <w:rsid w:val="7E0B3C08"/>
    <w:rsid w:val="7E1C2B95"/>
    <w:rsid w:val="7E1E3CF4"/>
    <w:rsid w:val="7E212526"/>
    <w:rsid w:val="7E262B03"/>
    <w:rsid w:val="7E2E765A"/>
    <w:rsid w:val="7E324C10"/>
    <w:rsid w:val="7E324D32"/>
    <w:rsid w:val="7E3B7336"/>
    <w:rsid w:val="7E3D35D7"/>
    <w:rsid w:val="7E466A84"/>
    <w:rsid w:val="7E472FFE"/>
    <w:rsid w:val="7E4A6379"/>
    <w:rsid w:val="7E5248E3"/>
    <w:rsid w:val="7E5A2EA0"/>
    <w:rsid w:val="7E66305F"/>
    <w:rsid w:val="7E6854DB"/>
    <w:rsid w:val="7E6C43B3"/>
    <w:rsid w:val="7E77762F"/>
    <w:rsid w:val="7E793E63"/>
    <w:rsid w:val="7E7B1715"/>
    <w:rsid w:val="7E8031F2"/>
    <w:rsid w:val="7E8173F7"/>
    <w:rsid w:val="7E860496"/>
    <w:rsid w:val="7E956D81"/>
    <w:rsid w:val="7E9611E7"/>
    <w:rsid w:val="7E9963F8"/>
    <w:rsid w:val="7E9D0633"/>
    <w:rsid w:val="7EA82B9C"/>
    <w:rsid w:val="7EA95574"/>
    <w:rsid w:val="7EB13A3E"/>
    <w:rsid w:val="7EB16AB6"/>
    <w:rsid w:val="7EBD651F"/>
    <w:rsid w:val="7EC05F3D"/>
    <w:rsid w:val="7EC07C28"/>
    <w:rsid w:val="7ECB3BBC"/>
    <w:rsid w:val="7ED83896"/>
    <w:rsid w:val="7EDC2729"/>
    <w:rsid w:val="7EE15DD1"/>
    <w:rsid w:val="7EEB46E8"/>
    <w:rsid w:val="7EEE3759"/>
    <w:rsid w:val="7EF04016"/>
    <w:rsid w:val="7EF94F98"/>
    <w:rsid w:val="7EFB200E"/>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6566E6"/>
    <w:rsid w:val="7F6A7C64"/>
    <w:rsid w:val="7F6B0BA4"/>
    <w:rsid w:val="7F6E0CE1"/>
    <w:rsid w:val="7F6F6E86"/>
    <w:rsid w:val="7F8A3738"/>
    <w:rsid w:val="7F8B3191"/>
    <w:rsid w:val="7F8E4655"/>
    <w:rsid w:val="7F8E6809"/>
    <w:rsid w:val="7F987985"/>
    <w:rsid w:val="7F9C63C5"/>
    <w:rsid w:val="7F9E0C2E"/>
    <w:rsid w:val="7FAF35C9"/>
    <w:rsid w:val="7FAF535A"/>
    <w:rsid w:val="7FB620B9"/>
    <w:rsid w:val="7FBE4780"/>
    <w:rsid w:val="7FC07CDA"/>
    <w:rsid w:val="7FC33EC6"/>
    <w:rsid w:val="7FD30895"/>
    <w:rsid w:val="7FD52EF4"/>
    <w:rsid w:val="7FE932BA"/>
    <w:rsid w:val="7FEC3423"/>
    <w:rsid w:val="7FFD6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rFonts w:ascii="Calibri" w:hAnsi="Calibri" w:cs="Times New Roman"/>
      <w:b/>
      <w:bCs/>
      <w:kern w:val="44"/>
      <w:sz w:val="44"/>
      <w:szCs w:val="44"/>
    </w:rPr>
  </w:style>
  <w:style w:type="character" w:default="1" w:styleId="6">
    <w:name w:val="Default Paragraph Font"/>
    <w:semiHidden/>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sz w:val="21"/>
      <w:szCs w:val="21"/>
    </w:rPr>
  </w:style>
  <w:style w:type="character" w:styleId="8">
    <w:name w:val="FollowedHyperlink"/>
    <w:basedOn w:val="6"/>
    <w:qFormat/>
    <w:uiPriority w:val="0"/>
    <w:rPr>
      <w:color w:val="4D7AD8"/>
      <w:u w:val="none"/>
    </w:rPr>
  </w:style>
  <w:style w:type="character" w:styleId="9">
    <w:name w:val="HTML Definition"/>
    <w:basedOn w:val="6"/>
    <w:qFormat/>
    <w:uiPriority w:val="0"/>
    <w:rPr>
      <w:i/>
      <w:bdr w:val="single" w:color="D9D9D9" w:sz="6" w:space="0"/>
      <w:shd w:val="clear" w:fill="FFFFFF"/>
    </w:rPr>
  </w:style>
  <w:style w:type="character" w:styleId="10">
    <w:name w:val="Hyperlink"/>
    <w:basedOn w:val="6"/>
    <w:qFormat/>
    <w:uiPriority w:val="0"/>
    <w:rPr>
      <w:color w:val="0000FF"/>
      <w:u w:val="single"/>
    </w:rPr>
  </w:style>
  <w:style w:type="character" w:styleId="11">
    <w:name w:val="HTML Code"/>
    <w:basedOn w:val="6"/>
    <w:qFormat/>
    <w:uiPriority w:val="0"/>
    <w:rPr>
      <w:rFonts w:hint="default" w:ascii="Consolas" w:hAnsi="Consolas" w:eastAsia="Consolas" w:cs="Consolas"/>
      <w:sz w:val="21"/>
      <w:szCs w:val="21"/>
    </w:rPr>
  </w:style>
  <w:style w:type="character" w:styleId="12">
    <w:name w:val="HTML Keyboard"/>
    <w:basedOn w:val="6"/>
    <w:qFormat/>
    <w:uiPriority w:val="0"/>
    <w:rPr>
      <w:rFonts w:ascii="Consolas" w:hAnsi="Consolas" w:eastAsia="Consolas" w:cs="Consolas"/>
      <w:color w:val="666666"/>
      <w:sz w:val="21"/>
      <w:szCs w:val="21"/>
    </w:rPr>
  </w:style>
  <w:style w:type="character" w:styleId="13">
    <w:name w:val="HTML Sample"/>
    <w:basedOn w:val="6"/>
    <w:qFormat/>
    <w:uiPriority w:val="0"/>
    <w:rPr>
      <w:rFonts w:hint="default" w:ascii="Consolas" w:hAnsi="Consolas" w:eastAsia="Consolas" w:cs="Consolas"/>
      <w:sz w:val="21"/>
      <w:szCs w:val="21"/>
    </w:rPr>
  </w:style>
  <w:style w:type="table" w:styleId="15">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first-child2"/>
    <w:basedOn w:val="6"/>
    <w:qFormat/>
    <w:uiPriority w:val="0"/>
    <w:rPr>
      <w:sz w:val="13"/>
      <w:szCs w:val="13"/>
    </w:rPr>
  </w:style>
  <w:style w:type="character" w:customStyle="1" w:styleId="17">
    <w:name w:val="ant-select-tree-switcher"/>
    <w:basedOn w:val="6"/>
    <w:qFormat/>
    <w:uiPriority w:val="0"/>
  </w:style>
  <w:style w:type="character" w:customStyle="1" w:styleId="18">
    <w:name w:val="ant-tree-iconele"/>
    <w:basedOn w:val="6"/>
    <w:qFormat/>
    <w:uiPriority w:val="0"/>
  </w:style>
  <w:style w:type="character" w:customStyle="1" w:styleId="19">
    <w:name w:val="ant-radio+*"/>
    <w:basedOn w:val="6"/>
    <w:qFormat/>
    <w:uiPriority w:val="0"/>
  </w:style>
  <w:style w:type="character" w:customStyle="1" w:styleId="20">
    <w:name w:val="selected4"/>
    <w:basedOn w:val="6"/>
    <w:qFormat/>
    <w:uiPriority w:val="0"/>
  </w:style>
  <w:style w:type="character" w:customStyle="1" w:styleId="21">
    <w:name w:val="selected5"/>
    <w:basedOn w:val="6"/>
    <w:qFormat/>
    <w:uiPriority w:val="0"/>
  </w:style>
  <w:style w:type="character" w:customStyle="1" w:styleId="22">
    <w:name w:val="selected6"/>
    <w:basedOn w:val="6"/>
    <w:qFormat/>
    <w:uiPriority w:val="0"/>
  </w:style>
  <w:style w:type="character" w:customStyle="1" w:styleId="23">
    <w:name w:val="button"/>
    <w:basedOn w:val="6"/>
    <w:qFormat/>
    <w:uiPriority w:val="0"/>
  </w:style>
  <w:style w:type="character" w:customStyle="1" w:styleId="24">
    <w:name w:val="hover19"/>
    <w:basedOn w:val="6"/>
    <w:qFormat/>
    <w:uiPriority w:val="0"/>
    <w:rPr>
      <w:color w:val="009DFF"/>
    </w:rPr>
  </w:style>
  <w:style w:type="character" w:customStyle="1" w:styleId="25">
    <w:name w:val="hover20"/>
    <w:basedOn w:val="6"/>
    <w:qFormat/>
    <w:uiPriority w:val="0"/>
    <w:rPr>
      <w:color w:val="009DFF"/>
    </w:rPr>
  </w:style>
  <w:style w:type="character" w:customStyle="1" w:styleId="26">
    <w:name w:val="ant-tree-switcher"/>
    <w:basedOn w:val="6"/>
    <w:qFormat/>
    <w:uiPriority w:val="0"/>
  </w:style>
  <w:style w:type="character" w:customStyle="1" w:styleId="27">
    <w:name w:val="ant-select-tree-checkbox2"/>
    <w:basedOn w:val="6"/>
    <w:qFormat/>
    <w:uiPriority w:val="0"/>
  </w:style>
  <w:style w:type="character" w:customStyle="1" w:styleId="28">
    <w:name w:val="ant-select-tree-iconele"/>
    <w:basedOn w:val="6"/>
    <w:qFormat/>
    <w:uiPriority w:val="0"/>
  </w:style>
  <w:style w:type="character" w:customStyle="1" w:styleId="29">
    <w:name w:val="ant-tree-checkbox6"/>
    <w:basedOn w:val="6"/>
    <w:qFormat/>
    <w:uiPriority w:val="0"/>
  </w:style>
  <w:style w:type="character" w:customStyle="1" w:styleId="30">
    <w:name w:val="wea-thumbnails-doc-content-subtitle"/>
    <w:basedOn w:val="6"/>
    <w:qFormat/>
    <w:uiPriority w:val="0"/>
    <w:rPr>
      <w:color w:val="9A9A9A"/>
    </w:rPr>
  </w:style>
  <w:style w:type="character" w:customStyle="1" w:styleId="31">
    <w:name w:val="ht_nestinglevel"/>
    <w:basedOn w:val="6"/>
    <w:qFormat/>
    <w:uiPriority w:val="0"/>
  </w:style>
  <w:style w:type="character" w:customStyle="1" w:styleId="32">
    <w:name w:val="ht_nestinglevel_empty"/>
    <w:basedOn w:val="6"/>
    <w:qFormat/>
    <w:uiPriority w:val="0"/>
  </w:style>
  <w:style w:type="character" w:customStyle="1" w:styleId="33">
    <w:name w:val="colheader"/>
    <w:basedOn w:val="6"/>
    <w:qFormat/>
    <w:uiPriority w:val="0"/>
  </w:style>
  <w:style w:type="character" w:customStyle="1" w:styleId="34">
    <w:name w:val="ant-tree-checkbox"/>
    <w:basedOn w:val="6"/>
    <w:qFormat/>
    <w:uiPriority w:val="0"/>
  </w:style>
  <w:style w:type="character" w:customStyle="1" w:styleId="35">
    <w:name w:val="first-child"/>
    <w:basedOn w:val="6"/>
    <w:qFormat/>
    <w:uiPriority w:val="0"/>
    <w:rPr>
      <w:sz w:val="13"/>
      <w:szCs w:val="13"/>
    </w:rPr>
  </w:style>
  <w:style w:type="character" w:customStyle="1" w:styleId="36">
    <w:name w:val="ant-tree-switcher6"/>
    <w:basedOn w:val="6"/>
    <w:qFormat/>
    <w:uiPriority w:val="0"/>
  </w:style>
  <w:style w:type="character" w:customStyle="1" w:styleId="37">
    <w:name w:val="selected"/>
    <w:basedOn w:val="6"/>
    <w:qFormat/>
    <w:uiPriority w:val="0"/>
  </w:style>
  <w:style w:type="character" w:customStyle="1" w:styleId="38">
    <w:name w:val="selected1"/>
    <w:basedOn w:val="6"/>
    <w:qFormat/>
    <w:uiPriority w:val="0"/>
  </w:style>
  <w:style w:type="character" w:customStyle="1" w:styleId="39">
    <w:name w:val="selected2"/>
    <w:basedOn w:val="6"/>
    <w:qFormat/>
    <w:uiPriority w:val="0"/>
  </w:style>
  <w:style w:type="character" w:customStyle="1" w:styleId="40">
    <w:name w:val="ant-select-tree-checkbox"/>
    <w:basedOn w:val="6"/>
    <w:qFormat/>
    <w:uiPriority w:val="0"/>
  </w:style>
  <w:style w:type="character" w:customStyle="1" w:styleId="41">
    <w:name w:val="ant-tree-switcher5"/>
    <w:basedOn w:val="6"/>
    <w:qFormat/>
    <w:uiPriority w:val="0"/>
  </w:style>
  <w:style w:type="character" w:customStyle="1" w:styleId="42">
    <w:name w:val="selected7"/>
    <w:basedOn w:val="6"/>
    <w:qFormat/>
    <w:uiPriority w:val="0"/>
  </w:style>
  <w:style w:type="character" w:customStyle="1" w:styleId="43">
    <w:name w:val="selected11"/>
    <w:basedOn w:val="6"/>
    <w:qFormat/>
    <w:uiPriority w:val="0"/>
  </w:style>
  <w:style w:type="character" w:customStyle="1" w:styleId="44">
    <w:name w:val="selected12"/>
    <w:basedOn w:val="6"/>
    <w:qFormat/>
    <w:uiPriority w:val="0"/>
  </w:style>
  <w:style w:type="character" w:customStyle="1" w:styleId="45">
    <w:name w:val="selected13"/>
    <w:basedOn w:val="6"/>
    <w:qFormat/>
    <w:uiPriority w:val="0"/>
  </w:style>
  <w:style w:type="character" w:customStyle="1" w:styleId="46">
    <w:name w:val="selected8"/>
    <w:basedOn w:val="6"/>
    <w:qFormat/>
    <w:uiPriority w:val="0"/>
  </w:style>
  <w:style w:type="character" w:customStyle="1" w:styleId="47">
    <w:name w:val="selected9"/>
    <w:basedOn w:val="6"/>
    <w:qFormat/>
    <w:uiPriority w:val="0"/>
  </w:style>
  <w:style w:type="character" w:customStyle="1" w:styleId="48">
    <w:name w:val="selected10"/>
    <w:basedOn w:val="6"/>
    <w:qFormat/>
    <w:uiPriority w:val="0"/>
  </w:style>
  <w:style w:type="character" w:customStyle="1" w:styleId="49">
    <w:name w:val="hover18"/>
    <w:basedOn w:val="6"/>
    <w:qFormat/>
    <w:uiPriority w:val="0"/>
    <w:rPr>
      <w:color w:val="009DFF"/>
    </w:rPr>
  </w:style>
  <w:style w:type="character" w:customStyle="1" w:styleId="50">
    <w:name w:val="ant-tree-checkbox5"/>
    <w:basedOn w:val="6"/>
    <w:qFormat/>
    <w:uiPriority w:val="0"/>
  </w:style>
  <w:style w:type="character" w:customStyle="1" w:styleId="51">
    <w:name w:val="ant-tree-switcher4"/>
    <w:basedOn w:val="6"/>
    <w:qFormat/>
    <w:uiPriority w:val="0"/>
  </w:style>
  <w:style w:type="character" w:customStyle="1" w:styleId="52">
    <w:name w:val="hover"/>
    <w:basedOn w:val="6"/>
    <w:qFormat/>
    <w:uiPriority w:val="0"/>
    <w:rPr>
      <w:color w:val="009DFF"/>
    </w:rPr>
  </w:style>
  <w:style w:type="character" w:customStyle="1" w:styleId="53">
    <w:name w:val="hover1"/>
    <w:basedOn w:val="6"/>
    <w:qFormat/>
    <w:uiPriority w:val="0"/>
    <w:rPr>
      <w:color w:val="009DFF"/>
    </w:rPr>
  </w:style>
  <w:style w:type="character" w:customStyle="1" w:styleId="54">
    <w:name w:val="hover15"/>
    <w:basedOn w:val="6"/>
    <w:qFormat/>
    <w:uiPriority w:val="0"/>
    <w:rPr>
      <w:color w:val="009DFF"/>
    </w:rPr>
  </w:style>
  <w:style w:type="character" w:customStyle="1" w:styleId="55">
    <w:name w:val="hover16"/>
    <w:basedOn w:val="6"/>
    <w:qFormat/>
    <w:uiPriority w:val="0"/>
    <w:rPr>
      <w:color w:val="009DFF"/>
    </w:rPr>
  </w:style>
  <w:style w:type="character" w:customStyle="1" w:styleId="56">
    <w:name w:val="ant-tree-checkbox4"/>
    <w:basedOn w:val="6"/>
    <w:qFormat/>
    <w:uiPriority w:val="0"/>
  </w:style>
  <w:style w:type="character" w:customStyle="1" w:styleId="57">
    <w:name w:val="hover17"/>
    <w:basedOn w:val="6"/>
    <w:qFormat/>
    <w:uiPriority w:val="0"/>
    <w:rPr>
      <w:color w:val="009DFF"/>
    </w:rPr>
  </w:style>
  <w:style w:type="character" w:customStyle="1" w:styleId="58">
    <w:name w:val="hover14"/>
    <w:basedOn w:val="6"/>
    <w:qFormat/>
    <w:uiPriority w:val="0"/>
    <w:rPr>
      <w:color w:val="009DFF"/>
    </w:rPr>
  </w:style>
  <w:style w:type="character" w:customStyle="1" w:styleId="59">
    <w:name w:val="hover13"/>
    <w:basedOn w:val="6"/>
    <w:qFormat/>
    <w:uiPriority w:val="0"/>
    <w:rPr>
      <w:color w:val="009DFF"/>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6</TotalTime>
  <ScaleCrop>false</ScaleCrop>
  <LinksUpToDate>false</LinksUpToDate>
  <CharactersWithSpaces>0</CharactersWithSpaces>
  <Application>WPS Office_10.8.2.7058_F1E327BC-269C-435d-A152-05C5408002CA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admin</cp:lastModifiedBy>
  <cp:lastPrinted>2024-07-24T08:39:00Z</cp:lastPrinted>
  <dcterms:modified xsi:type="dcterms:W3CDTF">2024-07-26T01:24:13Z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2052-10.8.2.7058</vt:lpwstr>
  </property>
  <property fmtid="{D5CDD505-2E9C-101B-9397-08002B2CF9AE}" pid="3" name="ICV">
    <vt:lpwstr>2AFE29251F2D47119EA111B2B617C6AF_13</vt:lpwstr>
  </property>
</Properties>
</file>