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default" w:ascii="Times New Roman" w:hAnsi="Times New Roman" w:eastAsia="经典行楷简" w:cs="Times New Roman"/>
          <w:b w:val="0"/>
          <w:bCs/>
          <w:color w:val="2E75B6" w:themeColor="accent1" w:themeShade="BF"/>
          <w:kern w:val="36"/>
          <w:sz w:val="44"/>
          <w:szCs w:val="44"/>
          <w:lang w:val="en-US" w:eastAsia="zh-CN"/>
        </w:rPr>
        <w:t>4</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7</w:t>
      </w:r>
      <w:r>
        <w:rPr>
          <w:rFonts w:hint="default" w:ascii="Times New Roman" w:hAnsi="Times New Roman" w:eastAsia="经典行楷简" w:cs="Times New Roman"/>
          <w:b w:val="0"/>
          <w:bCs/>
          <w:color w:val="2E75B6" w:themeColor="accent1" w:themeShade="BF"/>
          <w:kern w:val="36"/>
          <w:sz w:val="44"/>
          <w:szCs w:val="44"/>
        </w:rPr>
        <w:t>期</w:t>
      </w:r>
    </w:p>
    <w:p>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总第</w:t>
      </w:r>
      <w:r>
        <w:rPr>
          <w:rFonts w:hint="default"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25</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scaled="0"/>
            </w14:gradFill>
          </w14:textFill>
        </w:rPr>
        <w:t>3</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scaled="0"/>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scaled="0"/>
            </w14:gradFill>
          </w14:textFill>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rPr>
      </w:pPr>
      <w:r>
        <w:rPr>
          <w:rFonts w:hint="default" w:ascii="Times New Roman" w:hAnsi="Times New Roman" w:eastAsia="方正黑体_GBK" w:cs="Times New Roman"/>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default" w:ascii="Times New Roman" w:hAnsi="Times New Roman" w:eastAsia="方正楷体_GBK" w:cs="Times New Roman"/>
          <w:b w:val="0"/>
          <w:bCs/>
          <w:color w:val="000000"/>
          <w:kern w:val="36"/>
          <w:sz w:val="32"/>
          <w:szCs w:val="32"/>
          <w:highlight w:val="none"/>
          <w:lang w:val="en-US" w:eastAsia="zh-CN"/>
        </w:rPr>
        <w:t>4</w:t>
      </w:r>
      <w:r>
        <w:rPr>
          <w:rFonts w:hint="default" w:ascii="Times New Roman" w:hAnsi="Times New Roman" w:eastAsia="方正楷体_GBK" w:cs="Times New Roman"/>
          <w:b w:val="0"/>
          <w:bCs/>
          <w:color w:val="000000"/>
          <w:kern w:val="36"/>
          <w:sz w:val="32"/>
          <w:szCs w:val="32"/>
          <w:highlight w:val="none"/>
        </w:rPr>
        <w:t>年</w:t>
      </w:r>
      <w:r>
        <w:rPr>
          <w:rFonts w:hint="default" w:ascii="Times New Roman" w:hAnsi="Times New Roman" w:eastAsia="方正楷体_GBK" w:cs="Times New Roman"/>
          <w:b w:val="0"/>
          <w:bCs/>
          <w:color w:val="000000"/>
          <w:kern w:val="36"/>
          <w:sz w:val="32"/>
          <w:szCs w:val="32"/>
          <w:highlight w:val="none"/>
          <w:lang w:val="en-US" w:eastAsia="zh-CN"/>
        </w:rPr>
        <w:t>2</w:t>
      </w:r>
      <w:r>
        <w:rPr>
          <w:rFonts w:hint="default" w:ascii="Times New Roman" w:hAnsi="Times New Roman" w:eastAsia="方正楷体_GBK" w:cs="Times New Roman"/>
          <w:b w:val="0"/>
          <w:bCs/>
          <w:color w:val="000000"/>
          <w:kern w:val="36"/>
          <w:sz w:val="32"/>
          <w:szCs w:val="32"/>
          <w:highlight w:val="none"/>
        </w:rPr>
        <w:t>月</w:t>
      </w:r>
      <w:r>
        <w:rPr>
          <w:rFonts w:hint="default" w:ascii="Times New Roman" w:hAnsi="Times New Roman" w:eastAsia="方正楷体_GBK" w:cs="Times New Roman"/>
          <w:b w:val="0"/>
          <w:bCs/>
          <w:color w:val="000000"/>
          <w:kern w:val="36"/>
          <w:sz w:val="32"/>
          <w:szCs w:val="32"/>
          <w:highlight w:val="none"/>
          <w:lang w:val="en-US" w:eastAsia="zh-CN"/>
        </w:rPr>
        <w:t>21</w:t>
      </w:r>
      <w:r>
        <w:rPr>
          <w:rFonts w:hint="default" w:ascii="Times New Roman" w:hAnsi="Times New Roman" w:eastAsia="方正楷体_GBK" w:cs="Times New Roman"/>
          <w:b w:val="0"/>
          <w:bCs/>
          <w:color w:val="000000"/>
          <w:kern w:val="36"/>
          <w:sz w:val="32"/>
          <w:szCs w:val="32"/>
          <w:highlight w:val="none"/>
        </w:rPr>
        <w:t>日</w:t>
      </w:r>
    </w:p>
    <w:p>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44"/>
          <w:szCs w:val="4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全球市场资讯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eastAsia" w:ascii="Times New Roman" w:hAnsi="Times New Roman" w:eastAsia="方正楷体_GBK" w:cs="Times New Roman"/>
          <w:b/>
          <w:color w:val="auto"/>
          <w:spacing w:val="0"/>
          <w:kern w:val="36"/>
          <w:sz w:val="30"/>
          <w:szCs w:val="30"/>
          <w:lang w:val="en-US" w:eastAsia="zh-CN"/>
        </w:rPr>
        <w:t>2月 9日（周五）</w:t>
      </w:r>
      <w:r>
        <w:rPr>
          <w:rFonts w:hint="default" w:ascii="Times New Roman" w:hAnsi="Times New Roman" w:eastAsia="方正楷体_GBK" w:cs="Times New Roman"/>
          <w:b/>
          <w:color w:val="auto"/>
          <w:spacing w:val="0"/>
          <w:kern w:val="36"/>
          <w:sz w:val="30"/>
          <w:szCs w:val="30"/>
          <w:lang w:val="en-US" w:eastAsia="zh-CN"/>
        </w:rPr>
        <w:t>就业、美债、降息，对银行危机的担忧 / 01</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jc w:val="left"/>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2月</w:t>
      </w:r>
      <w:r>
        <w:rPr>
          <w:rFonts w:hint="eastAsia" w:ascii="Times New Roman" w:hAnsi="Times New Roman" w:eastAsia="方正楷体_GBK" w:cs="Times New Roman"/>
          <w:b/>
          <w:color w:val="auto"/>
          <w:spacing w:val="0"/>
          <w:kern w:val="36"/>
          <w:sz w:val="30"/>
          <w:szCs w:val="30"/>
          <w:lang w:val="en-US" w:eastAsia="zh-CN"/>
        </w:rPr>
        <w:t>10</w:t>
      </w:r>
      <w:r>
        <w:rPr>
          <w:rFonts w:hint="default" w:ascii="Times New Roman" w:hAnsi="Times New Roman" w:eastAsia="方正楷体_GBK" w:cs="Times New Roman"/>
          <w:b/>
          <w:color w:val="auto"/>
          <w:spacing w:val="0"/>
          <w:kern w:val="36"/>
          <w:sz w:val="30"/>
          <w:szCs w:val="30"/>
          <w:lang w:val="en-US" w:eastAsia="zh-CN"/>
        </w:rPr>
        <w:t>日（周</w:t>
      </w:r>
      <w:r>
        <w:rPr>
          <w:rFonts w:hint="eastAsia" w:ascii="Times New Roman" w:hAnsi="Times New Roman" w:eastAsia="方正楷体_GBK" w:cs="Times New Roman"/>
          <w:b/>
          <w:color w:val="auto"/>
          <w:spacing w:val="0"/>
          <w:kern w:val="36"/>
          <w:sz w:val="30"/>
          <w:szCs w:val="30"/>
          <w:lang w:val="en-US" w:eastAsia="zh-CN"/>
        </w:rPr>
        <w:t>六</w:t>
      </w:r>
      <w:r>
        <w:rPr>
          <w:rFonts w:hint="default" w:ascii="Times New Roman" w:hAnsi="Times New Roman" w:eastAsia="方正楷体_GBK" w:cs="Times New Roman"/>
          <w:b/>
          <w:color w:val="auto"/>
          <w:spacing w:val="0"/>
          <w:kern w:val="36"/>
          <w:sz w:val="30"/>
          <w:szCs w:val="30"/>
          <w:lang w:val="en-US" w:eastAsia="zh-CN"/>
        </w:rPr>
        <w:t>）美国赤字与国债，百事可乐与通胀 / 03</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2月</w:t>
      </w:r>
      <w:r>
        <w:rPr>
          <w:rFonts w:hint="eastAsia" w:ascii="Times New Roman" w:hAnsi="Times New Roman" w:eastAsia="方正楷体_GBK" w:cs="Times New Roman"/>
          <w:b/>
          <w:color w:val="auto"/>
          <w:spacing w:val="0"/>
          <w:kern w:val="36"/>
          <w:sz w:val="30"/>
          <w:szCs w:val="30"/>
          <w:lang w:val="en-US" w:eastAsia="zh-CN"/>
        </w:rPr>
        <w:t>11</w:t>
      </w:r>
      <w:r>
        <w:rPr>
          <w:rFonts w:hint="default" w:ascii="Times New Roman" w:hAnsi="Times New Roman" w:eastAsia="方正楷体_GBK" w:cs="Times New Roman"/>
          <w:b/>
          <w:color w:val="auto"/>
          <w:spacing w:val="0"/>
          <w:kern w:val="36"/>
          <w:sz w:val="30"/>
          <w:szCs w:val="30"/>
          <w:lang w:val="en-US" w:eastAsia="zh-CN"/>
        </w:rPr>
        <w:t>日（周</w:t>
      </w:r>
      <w:r>
        <w:rPr>
          <w:rFonts w:hint="eastAsia" w:ascii="Times New Roman" w:hAnsi="Times New Roman" w:eastAsia="方正楷体_GBK" w:cs="Times New Roman"/>
          <w:b/>
          <w:color w:val="auto"/>
          <w:spacing w:val="0"/>
          <w:kern w:val="36"/>
          <w:sz w:val="30"/>
          <w:szCs w:val="30"/>
          <w:lang w:val="en-US" w:eastAsia="zh-CN"/>
        </w:rPr>
        <w:t>日</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第58届“超级碗”开幕</w:t>
      </w:r>
      <w:r>
        <w:rPr>
          <w:rFonts w:hint="default" w:ascii="Times New Roman" w:hAnsi="Times New Roman" w:eastAsia="方正楷体_GBK" w:cs="Times New Roman"/>
          <w:b/>
          <w:color w:val="auto"/>
          <w:spacing w:val="0"/>
          <w:kern w:val="36"/>
          <w:sz w:val="30"/>
          <w:szCs w:val="30"/>
          <w:lang w:val="en-US" w:eastAsia="zh-CN"/>
        </w:rPr>
        <w:t xml:space="preserve"> / 05</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2月</w:t>
      </w:r>
      <w:r>
        <w:rPr>
          <w:rFonts w:hint="eastAsia" w:ascii="Times New Roman" w:hAnsi="Times New Roman" w:eastAsia="方正楷体_GBK" w:cs="Times New Roman"/>
          <w:b/>
          <w:color w:val="auto"/>
          <w:spacing w:val="0"/>
          <w:kern w:val="36"/>
          <w:sz w:val="30"/>
          <w:szCs w:val="30"/>
          <w:lang w:val="en-US" w:eastAsia="zh-CN"/>
        </w:rPr>
        <w:t>13日</w:t>
      </w:r>
      <w:r>
        <w:rPr>
          <w:rFonts w:hint="default" w:ascii="Times New Roman" w:hAnsi="Times New Roman" w:eastAsia="方正楷体_GBK" w:cs="Times New Roman"/>
          <w:b/>
          <w:color w:val="auto"/>
          <w:spacing w:val="0"/>
          <w:kern w:val="36"/>
          <w:sz w:val="30"/>
          <w:szCs w:val="30"/>
          <w:lang w:val="en-US" w:eastAsia="zh-CN"/>
        </w:rPr>
        <w:t>（周</w:t>
      </w:r>
      <w:r>
        <w:rPr>
          <w:rFonts w:hint="eastAsia" w:ascii="Times New Roman" w:hAnsi="Times New Roman" w:eastAsia="方正楷体_GBK" w:cs="Times New Roman"/>
          <w:b/>
          <w:color w:val="auto"/>
          <w:spacing w:val="0"/>
          <w:kern w:val="36"/>
          <w:sz w:val="30"/>
          <w:szCs w:val="30"/>
          <w:lang w:val="en-US" w:eastAsia="zh-CN"/>
        </w:rPr>
        <w:t>二</w:t>
      </w:r>
      <w:r>
        <w:rPr>
          <w:rFonts w:hint="default" w:ascii="Times New Roman" w:hAnsi="Times New Roman" w:eastAsia="方正楷体_GBK" w:cs="Times New Roman"/>
          <w:b/>
          <w:color w:val="auto"/>
          <w:spacing w:val="0"/>
          <w:kern w:val="36"/>
          <w:sz w:val="30"/>
          <w:szCs w:val="30"/>
          <w:lang w:val="en-US" w:eastAsia="zh-CN"/>
        </w:rPr>
        <w:t>）美债成本惊人，印度经济增长 / 07</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2月</w:t>
      </w:r>
      <w:r>
        <w:rPr>
          <w:rFonts w:hint="eastAsia" w:ascii="Times New Roman" w:hAnsi="Times New Roman" w:eastAsia="方正楷体_GBK" w:cs="Times New Roman"/>
          <w:b/>
          <w:color w:val="auto"/>
          <w:spacing w:val="0"/>
          <w:kern w:val="36"/>
          <w:sz w:val="30"/>
          <w:szCs w:val="30"/>
          <w:lang w:val="en-US" w:eastAsia="zh-CN"/>
        </w:rPr>
        <w:t>14</w:t>
      </w:r>
      <w:r>
        <w:rPr>
          <w:rFonts w:hint="default" w:ascii="Times New Roman" w:hAnsi="Times New Roman" w:eastAsia="方正楷体_GBK" w:cs="Times New Roman"/>
          <w:b/>
          <w:color w:val="auto"/>
          <w:spacing w:val="0"/>
          <w:kern w:val="36"/>
          <w:sz w:val="30"/>
          <w:szCs w:val="30"/>
          <w:lang w:val="en-US" w:eastAsia="zh-CN"/>
        </w:rPr>
        <w:t>日（周</w:t>
      </w:r>
      <w:r>
        <w:rPr>
          <w:rFonts w:hint="eastAsia" w:ascii="Times New Roman" w:hAnsi="Times New Roman" w:eastAsia="方正楷体_GBK" w:cs="Times New Roman"/>
          <w:b/>
          <w:color w:val="auto"/>
          <w:spacing w:val="0"/>
          <w:kern w:val="36"/>
          <w:sz w:val="30"/>
          <w:szCs w:val="30"/>
          <w:lang w:val="en-US" w:eastAsia="zh-CN"/>
        </w:rPr>
        <w:t>三</w:t>
      </w:r>
      <w:r>
        <w:rPr>
          <w:rFonts w:hint="default" w:ascii="Times New Roman" w:hAnsi="Times New Roman" w:eastAsia="方正楷体_GBK" w:cs="Times New Roman"/>
          <w:b/>
          <w:color w:val="auto"/>
          <w:spacing w:val="0"/>
          <w:kern w:val="36"/>
          <w:sz w:val="30"/>
          <w:szCs w:val="30"/>
          <w:lang w:val="en-US" w:eastAsia="zh-CN"/>
        </w:rPr>
        <w:t>）</w:t>
      </w:r>
      <w:r>
        <w:rPr>
          <w:rFonts w:hint="eastAsia" w:ascii="Times New Roman" w:hAnsi="Times New Roman" w:eastAsia="方正楷体_GBK" w:cs="Times New Roman"/>
          <w:b/>
          <w:color w:val="auto"/>
          <w:spacing w:val="0"/>
          <w:kern w:val="36"/>
          <w:sz w:val="30"/>
          <w:szCs w:val="30"/>
          <w:lang w:val="en-US" w:eastAsia="zh-CN"/>
        </w:rPr>
        <w:t>美国1月通胀强劲，降息预期延后</w:t>
      </w:r>
      <w:r>
        <w:rPr>
          <w:rFonts w:hint="default" w:ascii="Times New Roman" w:hAnsi="Times New Roman" w:eastAsia="方正楷体_GBK" w:cs="Times New Roman"/>
          <w:b/>
          <w:color w:val="auto"/>
          <w:spacing w:val="0"/>
          <w:kern w:val="36"/>
          <w:sz w:val="30"/>
          <w:szCs w:val="30"/>
          <w:lang w:val="en-US" w:eastAsia="zh-CN"/>
        </w:rPr>
        <w:t xml:space="preserve"> /09</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2月</w:t>
      </w:r>
      <w:r>
        <w:rPr>
          <w:rFonts w:hint="eastAsia" w:ascii="Times New Roman" w:hAnsi="Times New Roman" w:eastAsia="方正楷体_GBK" w:cs="Times New Roman"/>
          <w:b/>
          <w:color w:val="auto"/>
          <w:spacing w:val="0"/>
          <w:kern w:val="36"/>
          <w:sz w:val="30"/>
          <w:szCs w:val="30"/>
          <w:lang w:val="en-US" w:eastAsia="zh-CN"/>
        </w:rPr>
        <w:t>15日（周四）新能源产业，阿根廷通胀，巴菲特持股</w:t>
      </w:r>
      <w:r>
        <w:rPr>
          <w:rFonts w:hint="default" w:ascii="Times New Roman" w:hAnsi="Times New Roman" w:eastAsia="方正楷体_GBK" w:cs="Times New Roman"/>
          <w:b/>
          <w:color w:val="auto"/>
          <w:spacing w:val="0"/>
          <w:kern w:val="36"/>
          <w:sz w:val="30"/>
          <w:szCs w:val="30"/>
          <w:lang w:val="en-US" w:eastAsia="zh-CN"/>
        </w:rPr>
        <w:t>/ 11</w:t>
      </w:r>
    </w:p>
    <w:p>
      <w:pPr>
        <w:keepNext w:val="0"/>
        <w:keepLines w:val="0"/>
        <w:pageBreakBefore w:val="0"/>
        <w:widowControl/>
        <w:numPr>
          <w:ilvl w:val="0"/>
          <w:numId w:val="0"/>
        </w:numPr>
        <w:shd w:val="clear" w:color="auto" w:fill="FFFFFF"/>
        <w:tabs>
          <w:tab w:val="left" w:pos="7915"/>
        </w:tabs>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2月</w:t>
      </w:r>
      <w:r>
        <w:rPr>
          <w:rFonts w:hint="eastAsia" w:ascii="Times New Roman" w:hAnsi="Times New Roman" w:eastAsia="方正楷体_GBK" w:cs="Times New Roman"/>
          <w:b/>
          <w:color w:val="auto"/>
          <w:spacing w:val="0"/>
          <w:kern w:val="36"/>
          <w:sz w:val="30"/>
          <w:szCs w:val="30"/>
          <w:lang w:val="en-US" w:eastAsia="zh-CN"/>
        </w:rPr>
        <w:t>16日（周五）美国零售销售看淡，中小企业信心走弱</w:t>
      </w:r>
      <w:r>
        <w:rPr>
          <w:rFonts w:hint="default" w:ascii="Times New Roman" w:hAnsi="Times New Roman" w:eastAsia="方正楷体_GBK" w:cs="Times New Roman"/>
          <w:b/>
          <w:color w:val="auto"/>
          <w:spacing w:val="0"/>
          <w:kern w:val="36"/>
          <w:sz w:val="30"/>
          <w:szCs w:val="30"/>
          <w:lang w:val="en-US" w:eastAsia="zh-CN"/>
        </w:rPr>
        <w:t>/ 14</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方正黑体_GBK" w:cs="Times New Roman"/>
          <w:b/>
          <w:color w:val="FFC000"/>
          <w:kern w:val="36"/>
          <w:sz w:val="28"/>
          <w:szCs w:val="28"/>
          <w:lang w:val="en-US" w:eastAsia="zh-CN"/>
        </w:rPr>
      </w:pP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江苏贸促动态</w:t>
      </w:r>
      <w:r>
        <w:rPr>
          <w:rFonts w:hint="default" w:ascii="Times New Roman" w:hAnsi="Times New Roman" w:eastAsia="方正黑体_GBK"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default" w:ascii="Times New Roman" w:hAnsi="Times New Roman" w:eastAsia="方正黑体_GBK" w:cs="Times New Roman"/>
          <w:b/>
          <w:color w:val="00B0F0"/>
          <w:kern w:val="36"/>
          <w:sz w:val="28"/>
          <w:szCs w:val="28"/>
          <w:lang w:val="en-US" w:eastAsia="zh-CN"/>
        </w:rPr>
        <w:t xml:space="preserve"> </w:t>
      </w:r>
      <w:r>
        <w:rPr>
          <w:rFonts w:hint="default" w:ascii="Times New Roman" w:hAnsi="Times New Roman" w:eastAsia="宋体" w:cs="Times New Roman"/>
          <w:b/>
          <w:color w:val="FF0000"/>
          <w:kern w:val="36"/>
          <w:sz w:val="24"/>
          <w:szCs w:val="24"/>
          <w:lang w:val="en-US"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江苏贸促服务龙年新春不停歇 / 16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近百家苏州企业，出海“抢订单”！ / 16</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68" w:firstLineChars="200"/>
        <w:contextualSpacing/>
        <w:textAlignment w:val="auto"/>
        <w:outlineLvl w:val="1"/>
        <w:rPr>
          <w:rFonts w:hint="default" w:ascii="Times New Roman" w:hAnsi="Times New Roman" w:eastAsia="方正楷体_GBK" w:cs="Times New Roman"/>
          <w:b/>
          <w:color w:val="auto"/>
          <w:spacing w:val="0"/>
          <w:kern w:val="36"/>
          <w:sz w:val="30"/>
          <w:szCs w:val="30"/>
          <w:lang w:val="en-US" w:eastAsia="zh-CN"/>
        </w:rPr>
      </w:pPr>
      <w:r>
        <w:rPr>
          <w:rFonts w:hint="default" w:ascii="Times New Roman" w:hAnsi="Times New Roman" w:eastAsia="方正楷体_GBK" w:cs="Times New Roman"/>
          <w:b/>
          <w:color w:val="auto"/>
          <w:spacing w:val="0"/>
          <w:kern w:val="36"/>
          <w:sz w:val="30"/>
          <w:szCs w:val="30"/>
          <w:lang w:val="en-US" w:eastAsia="zh-CN"/>
        </w:rPr>
        <w:t>春节假期镇江市贸促会出证认证服务“不打烊”  / 17</w:t>
      </w:r>
      <w:bookmarkStart w:id="0" w:name="_GoBack"/>
      <w:bookmarkEnd w:id="0"/>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全球市场资讯</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w:t>
      </w:r>
      <w:r>
        <w:rPr>
          <w:rFonts w:hint="eastAsia" w:ascii="Times New Roman" w:hAnsi="Times New Roman" w:eastAsia="方正小标宋_GBK" w:cs="Times New Roman"/>
          <w:b/>
          <w:bCs/>
          <w:color w:val="FF0000"/>
          <w:sz w:val="32"/>
          <w:szCs w:val="40"/>
          <w:highlight w:val="yellow"/>
          <w:lang w:val="en-US" w:eastAsia="zh-CN"/>
        </w:rPr>
        <w:t>9</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五</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就业、美债、降息，对银行危机的担忧</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一、就业、美债和基准利率</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2月8日（周四），美国劳工部公布，上周初请失业金人数21.8万人，预期22万</w:t>
      </w:r>
      <w:r>
        <w:rPr>
          <w:rFonts w:hint="eastAsia" w:ascii="Times New Roman" w:hAnsi="Times New Roman" w:eastAsia="宋体" w:cs="Times New Roman"/>
          <w:sz w:val="32"/>
          <w:szCs w:val="32"/>
          <w:lang w:val="en-US" w:eastAsia="zh-CN"/>
        </w:rPr>
        <w:t>人</w:t>
      </w:r>
      <w:r>
        <w:rPr>
          <w:rFonts w:hint="default" w:ascii="Times New Roman" w:hAnsi="Times New Roman" w:eastAsia="宋体" w:cs="Times New Roman"/>
          <w:sz w:val="32"/>
          <w:szCs w:val="32"/>
          <w:lang w:val="en-US" w:eastAsia="zh-CN"/>
        </w:rPr>
        <w:t>，前值22.4万</w:t>
      </w:r>
      <w:r>
        <w:rPr>
          <w:rFonts w:hint="eastAsia" w:ascii="Times New Roman" w:hAnsi="Times New Roman" w:eastAsia="宋体" w:cs="Times New Roman"/>
          <w:sz w:val="32"/>
          <w:szCs w:val="32"/>
          <w:lang w:val="en-US" w:eastAsia="zh-CN"/>
        </w:rPr>
        <w:t>人</w:t>
      </w:r>
      <w:r>
        <w:rPr>
          <w:rFonts w:hint="default" w:ascii="Times New Roman" w:hAnsi="Times New Roman" w:eastAsia="宋体" w:cs="Times New Roman"/>
          <w:sz w:val="32"/>
          <w:szCs w:val="32"/>
          <w:lang w:val="en-US" w:eastAsia="zh-CN"/>
        </w:rPr>
        <w:t>，表明劳动力市场依然强劲，因此美联储应会在更长时间内保持限制性政策。</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同日，美国财政部250亿美元的30年期美债标售，拍卖结果显示，美国国内需求疲软，海外需求良好。</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美国财政部在4月之前有较大规模的国债标售计划，因此需要将美债收益率维持在一定的高位，以吸引海外买家。美债收益率与基准利率具有联动关系，这在另一方面也佐证了，美联储难以在</w:t>
      </w:r>
      <w:r>
        <w:rPr>
          <w:rFonts w:hint="eastAsia" w:ascii="Times New Roman" w:hAnsi="Times New Roman" w:eastAsia="宋体" w:cs="Times New Roman"/>
          <w:sz w:val="32"/>
          <w:szCs w:val="32"/>
          <w:lang w:val="en-US" w:eastAsia="zh-CN"/>
        </w:rPr>
        <w:t>4</w:t>
      </w:r>
      <w:r>
        <w:rPr>
          <w:rFonts w:hint="default" w:ascii="Times New Roman" w:hAnsi="Times New Roman" w:eastAsia="宋体" w:cs="Times New Roman"/>
          <w:sz w:val="32"/>
          <w:szCs w:val="32"/>
          <w:lang w:val="en-US" w:eastAsia="zh-CN"/>
        </w:rPr>
        <w:t>月前降息。</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目前市场对3月降息的押注</w:t>
      </w:r>
      <w:r>
        <w:rPr>
          <w:rFonts w:hint="eastAsia" w:ascii="Times New Roman" w:hAnsi="Times New Roman" w:eastAsia="宋体" w:cs="Times New Roman"/>
          <w:sz w:val="32"/>
          <w:szCs w:val="32"/>
          <w:lang w:val="en-US" w:eastAsia="zh-CN"/>
        </w:rPr>
        <w:t>已经</w:t>
      </w:r>
      <w:r>
        <w:rPr>
          <w:rFonts w:hint="default" w:ascii="Times New Roman" w:hAnsi="Times New Roman" w:eastAsia="宋体" w:cs="Times New Roman"/>
          <w:sz w:val="32"/>
          <w:szCs w:val="32"/>
          <w:lang w:val="en-US" w:eastAsia="zh-CN"/>
        </w:rPr>
        <w:t>降至19%，低于一周前的53%，对5月降息的押注升至64%。</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b/>
          <w:bCs/>
          <w:sz w:val="32"/>
          <w:szCs w:val="32"/>
          <w:lang w:val="en-US" w:eastAsia="zh-CN"/>
        </w:rPr>
      </w:pPr>
      <w:r>
        <w:rPr>
          <w:rFonts w:hint="default" w:ascii="Times New Roman" w:hAnsi="Times New Roman" w:eastAsia="宋体" w:cs="Times New Roman"/>
          <w:b/>
          <w:bCs/>
          <w:sz w:val="32"/>
          <w:szCs w:val="32"/>
          <w:lang w:val="en-US" w:eastAsia="zh-CN"/>
        </w:rPr>
        <w:t>二、对银行危机的担忧显现</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纽约社区银行</w:t>
      </w:r>
      <w:r>
        <w:rPr>
          <w:rFonts w:hint="default" w:ascii="Times New Roman" w:hAnsi="Times New Roman" w:eastAsia="宋体" w:cs="Times New Roman"/>
          <w:sz w:val="32"/>
          <w:szCs w:val="32"/>
          <w:lang w:val="en-US" w:eastAsia="zh-CN"/>
        </w:rPr>
        <w:t>NYCB</w:t>
      </w:r>
      <w:r>
        <w:rPr>
          <w:rFonts w:hint="eastAsia" w:ascii="Times New Roman" w:hAnsi="Times New Roman" w:eastAsia="宋体" w:cs="Times New Roman"/>
          <w:sz w:val="32"/>
          <w:szCs w:val="32"/>
          <w:lang w:val="en-US" w:eastAsia="zh-CN"/>
        </w:rPr>
        <w:t>的股价再度下跌。</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heme="minorAscii" w:hAnsiTheme="minorAscii"/>
          <w:lang w:eastAsia="zh-CN"/>
        </w:rPr>
      </w:pPr>
      <w:r>
        <w:rPr>
          <w:rFonts w:hint="eastAsia" w:ascii="Times New Roman" w:hAnsi="Times New Roman" w:eastAsia="宋体" w:cs="Times New Roman"/>
          <w:sz w:val="32"/>
          <w:szCs w:val="32"/>
          <w:lang w:val="en-US" w:eastAsia="zh-CN"/>
        </w:rPr>
        <w:t>商业地产贷款业务较重的一些地区银行，股价也出现跟跌，引发了市场对更广泛银行业危机的担忧。</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heme="minorAscii" w:hAnsiTheme="minorAscii"/>
        </w:rPr>
      </w:pPr>
      <w:r>
        <w:rPr>
          <w:rFonts w:asciiTheme="minorAscii" w:hAnsiTheme="minorAscii"/>
        </w:rPr>
        <w:drawing>
          <wp:inline distT="0" distB="0" distL="114300" distR="114300">
            <wp:extent cx="4081145" cy="2296160"/>
            <wp:effectExtent l="0" t="0" r="1460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081145" cy="22961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穆迪已将</w:t>
      </w:r>
      <w:r>
        <w:rPr>
          <w:rFonts w:hint="default" w:ascii="Times New Roman" w:hAnsi="Times New Roman" w:eastAsia="宋体" w:cs="Times New Roman"/>
          <w:sz w:val="32"/>
          <w:szCs w:val="32"/>
          <w:lang w:val="en-US" w:eastAsia="zh-CN"/>
        </w:rPr>
        <w:t>NYCB</w:t>
      </w:r>
      <w:r>
        <w:rPr>
          <w:rFonts w:hint="eastAsia" w:ascii="Times New Roman" w:hAnsi="Times New Roman" w:eastAsia="宋体" w:cs="Times New Roman"/>
          <w:sz w:val="32"/>
          <w:szCs w:val="32"/>
          <w:lang w:val="en-US" w:eastAsia="zh-CN"/>
        </w:rPr>
        <w:t>的信用等级下调为“垃圾”级，穆迪表示，该行正面临“财务、风险管理和公司治理的挑战”，如果情况恶化，它可能会进一步下调该银行的评级。</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尽管地区银行们正在拨备更多准备金，以应对商业地产危机，但市场担心，它们还是会对“商业地产信贷拨备不足”；另一方面，为了吸收商业地产未来的可能损失，当这些地区银行（中小银行）不得不计提更多的拨备时，也意味着盈利将减少，这将对银行的运营产生负面影响。</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对于市场的担忧，美国财政部部长耶伦出言安抚：虽然商业地产方面的损失令人担忧，但美国监管机构正与银行密切合作，努力确保银行有足够的贷款损失准备金来应对潜在的损失，并通过合理的股息政策来确保银行的稳定性以抵御风险。</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耶伦总结说，尽管一些机构会因这个问题承受很大压力，但我相信这是可以控制的。</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sz w:val="32"/>
          <w:szCs w:val="32"/>
          <w:lang w:val="en-US" w:eastAsia="zh-CN"/>
        </w:rPr>
      </w:pPr>
    </w:p>
    <w:p>
      <w:pPr>
        <w:ind w:firstLine="388" w:firstLineChars="200"/>
        <w:jc w:val="left"/>
        <w:rPr>
          <w:rFonts w:hint="default" w:ascii="Calibri" w:hAnsi="Calibri" w:eastAsia="宋体" w:cs="Calibri"/>
          <w:b/>
          <w:bCs/>
          <w:color w:val="0000FF"/>
          <w:highlight w:val="yellow"/>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w:t>
      </w:r>
      <w:r>
        <w:rPr>
          <w:rFonts w:hint="eastAsia" w:ascii="Times New Roman" w:hAnsi="Times New Roman" w:eastAsia="方正小标宋_GBK" w:cs="Times New Roman"/>
          <w:b/>
          <w:bCs/>
          <w:color w:val="FF0000"/>
          <w:sz w:val="32"/>
          <w:szCs w:val="40"/>
          <w:highlight w:val="yellow"/>
          <w:lang w:val="en-US" w:eastAsia="zh-CN"/>
        </w:rPr>
        <w:t>10</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六</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美国赤字与国债，百事可乐与通胀</w:t>
      </w:r>
    </w:p>
    <w:p>
      <w:pPr>
        <w:ind w:firstLine="608" w:firstLineChars="200"/>
        <w:jc w:val="left"/>
        <w:rPr>
          <w:rFonts w:hint="eastAsia" w:asciiTheme="minorAscii" w:hAnsiTheme="minorAscii"/>
          <w:b/>
          <w:bCs/>
          <w:sz w:val="32"/>
          <w:szCs w:val="32"/>
          <w:lang w:val="en-US" w:eastAsia="zh-CN"/>
        </w:rPr>
      </w:pPr>
      <w:r>
        <w:rPr>
          <w:rFonts w:hint="eastAsia" w:asciiTheme="minorAscii" w:hAnsiTheme="minorAscii"/>
          <w:b/>
          <w:bCs/>
          <w:sz w:val="32"/>
          <w:szCs w:val="32"/>
          <w:lang w:val="en-US" w:eastAsia="zh-CN"/>
        </w:rPr>
        <w:t>一、美国赤字和国债规模</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asciiTheme="minorAscii" w:hAnsiTheme="minorAscii"/>
        </w:rPr>
      </w:pPr>
      <w:r>
        <w:rPr>
          <w:rFonts w:hint="eastAsia" w:ascii="Times New Roman" w:hAnsi="Times New Roman" w:eastAsia="宋体" w:cs="Times New Roman"/>
          <w:sz w:val="32"/>
          <w:szCs w:val="32"/>
          <w:lang w:val="en-US" w:eastAsia="zh-CN"/>
        </w:rPr>
        <w:t>近日，美国国会预算办公室（</w:t>
      </w:r>
      <w:r>
        <w:rPr>
          <w:rFonts w:hint="default" w:ascii="Times New Roman" w:hAnsi="Times New Roman" w:eastAsia="宋体" w:cs="Times New Roman"/>
          <w:sz w:val="32"/>
          <w:szCs w:val="32"/>
          <w:lang w:val="en-US" w:eastAsia="zh-CN"/>
        </w:rPr>
        <w:t>CBO</w:t>
      </w:r>
      <w:r>
        <w:rPr>
          <w:rFonts w:hint="eastAsia" w:ascii="Times New Roman" w:hAnsi="Times New Roman" w:eastAsia="宋体" w:cs="Times New Roman"/>
          <w:sz w:val="32"/>
          <w:szCs w:val="32"/>
          <w:lang w:val="en-US" w:eastAsia="zh-CN"/>
        </w:rPr>
        <w:t>）警告称，受利率上升的影响，未来</w:t>
      </w:r>
      <w:r>
        <w:rPr>
          <w:rFonts w:hint="default" w:ascii="Times New Roman" w:hAnsi="Times New Roman" w:eastAsia="宋体" w:cs="Times New Roman"/>
          <w:sz w:val="32"/>
          <w:szCs w:val="32"/>
          <w:lang w:val="en-US" w:eastAsia="zh-CN"/>
        </w:rPr>
        <w:t>10</w:t>
      </w:r>
      <w:r>
        <w:rPr>
          <w:rFonts w:hint="eastAsia" w:ascii="Times New Roman" w:hAnsi="Times New Roman" w:eastAsia="宋体" w:cs="Times New Roman"/>
          <w:sz w:val="32"/>
          <w:szCs w:val="32"/>
          <w:lang w:val="en-US" w:eastAsia="zh-CN"/>
        </w:rPr>
        <w:t>年，美国预算赤字将飙升近三分之二，从</w:t>
      </w:r>
      <w:r>
        <w:rPr>
          <w:rFonts w:hint="default" w:ascii="Times New Roman" w:hAnsi="Times New Roman" w:eastAsia="宋体" w:cs="Times New Roman"/>
          <w:sz w:val="32"/>
          <w:szCs w:val="32"/>
          <w:lang w:val="en-US" w:eastAsia="zh-CN"/>
        </w:rPr>
        <w:t>1.6</w:t>
      </w:r>
      <w:r>
        <w:rPr>
          <w:rFonts w:hint="eastAsia" w:ascii="Times New Roman" w:hAnsi="Times New Roman" w:eastAsia="宋体" w:cs="Times New Roman"/>
          <w:sz w:val="32"/>
          <w:szCs w:val="32"/>
          <w:lang w:val="en-US" w:eastAsia="zh-CN"/>
        </w:rPr>
        <w:t>万亿美元增至</w:t>
      </w:r>
      <w:r>
        <w:rPr>
          <w:rFonts w:hint="default" w:ascii="Times New Roman" w:hAnsi="Times New Roman" w:eastAsia="宋体" w:cs="Times New Roman"/>
          <w:sz w:val="32"/>
          <w:szCs w:val="32"/>
          <w:lang w:val="en-US" w:eastAsia="zh-CN"/>
        </w:rPr>
        <w:t>2.6</w:t>
      </w:r>
      <w:r>
        <w:rPr>
          <w:rFonts w:hint="eastAsia" w:ascii="Times New Roman" w:hAnsi="Times New Roman" w:eastAsia="宋体" w:cs="Times New Roman"/>
          <w:sz w:val="32"/>
          <w:szCs w:val="32"/>
          <w:lang w:val="en-US" w:eastAsia="zh-CN"/>
        </w:rPr>
        <w:t>万亿美元。</w:t>
      </w:r>
      <w:r>
        <w:rPr>
          <w:rFonts w:hint="default" w:ascii="Times New Roman" w:hAnsi="Times New Roman" w:eastAsia="宋体" w:cs="Times New Roman"/>
          <w:sz w:val="32"/>
          <w:szCs w:val="32"/>
          <w:lang w:val="en-US" w:eastAsia="zh-CN"/>
        </w:rPr>
        <w:t>10</w:t>
      </w:r>
      <w:r>
        <w:rPr>
          <w:rFonts w:hint="eastAsia" w:ascii="Times New Roman" w:hAnsi="Times New Roman" w:eastAsia="宋体" w:cs="Times New Roman"/>
          <w:sz w:val="32"/>
          <w:szCs w:val="32"/>
          <w:lang w:val="en-US" w:eastAsia="zh-CN"/>
        </w:rPr>
        <w:t>年内，美国政府债务的利息支出，将占赤字增量的约四分之三。</w:t>
      </w:r>
    </w:p>
    <w:tbl>
      <w:tblPr>
        <w:tblStyle w:val="6"/>
        <w:tblpPr w:leftFromText="180" w:rightFromText="180" w:vertAnchor="text" w:horzAnchor="page" w:tblpX="1645" w:tblpY="245"/>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15"/>
        <w:gridCol w:w="48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5" w:type="dxa"/>
            <w:tcBorders>
              <w:tl2br w:val="nil"/>
              <w:tr2bl w:val="nil"/>
            </w:tcBorders>
            <w:vAlign w:val="top"/>
          </w:tcPr>
          <w:p>
            <w:pPr>
              <w:jc w:val="center"/>
              <w:rPr>
                <w:rFonts w:asciiTheme="minorAscii" w:hAnsiTheme="minorAscii"/>
                <w:vertAlign w:val="baseline"/>
              </w:rPr>
            </w:pPr>
            <w:r>
              <w:rPr>
                <w:rFonts w:asciiTheme="minorAscii" w:hAnsiTheme="minorAscii"/>
              </w:rPr>
              <w:drawing>
                <wp:inline distT="0" distB="0" distL="114300" distR="114300">
                  <wp:extent cx="2621280" cy="2994025"/>
                  <wp:effectExtent l="0" t="0" r="7620" b="1587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
                          <a:stretch>
                            <a:fillRect/>
                          </a:stretch>
                        </pic:blipFill>
                        <pic:spPr>
                          <a:xfrm>
                            <a:off x="0" y="0"/>
                            <a:ext cx="2621280" cy="2994025"/>
                          </a:xfrm>
                          <a:prstGeom prst="rect">
                            <a:avLst/>
                          </a:prstGeom>
                          <a:noFill/>
                          <a:ln>
                            <a:noFill/>
                          </a:ln>
                        </pic:spPr>
                      </pic:pic>
                    </a:graphicData>
                  </a:graphic>
                </wp:inline>
              </w:drawing>
            </w:r>
          </w:p>
        </w:tc>
        <w:tc>
          <w:tcPr>
            <w:tcW w:w="4846" w:type="dxa"/>
            <w:tcBorders>
              <w:tl2br w:val="nil"/>
              <w:tr2bl w:val="nil"/>
            </w:tcBorders>
            <w:vAlign w:val="top"/>
          </w:tcPr>
          <w:p>
            <w:pPr>
              <w:jc w:val="center"/>
              <w:rPr>
                <w:rFonts w:asciiTheme="minorAscii" w:hAnsiTheme="minorAscii"/>
                <w:vertAlign w:val="baseline"/>
              </w:rPr>
            </w:pPr>
            <w:r>
              <w:rPr>
                <w:rFonts w:asciiTheme="minorAscii" w:hAnsiTheme="minorAscii"/>
              </w:rPr>
              <w:drawing>
                <wp:inline distT="0" distB="0" distL="114300" distR="114300">
                  <wp:extent cx="2959100" cy="2971800"/>
                  <wp:effectExtent l="0" t="0" r="1270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2959100" cy="29718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1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8"/>
                <w:szCs w:val="36"/>
                <w:lang w:eastAsia="zh-CN"/>
              </w:rPr>
            </w:pPr>
            <w:r>
              <w:rPr>
                <w:rFonts w:hint="eastAsia" w:ascii="楷体" w:hAnsi="楷体" w:eastAsia="楷体" w:cs="楷体"/>
                <w:sz w:val="28"/>
                <w:szCs w:val="36"/>
                <w:lang w:eastAsia="zh-CN"/>
              </w:rPr>
              <w:t>（图释：美国联邦政府财政赤字</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heme="minorAscii" w:hAnsiTheme="minorAscii"/>
                <w:vertAlign w:val="baseline"/>
              </w:rPr>
            </w:pPr>
            <w:r>
              <w:rPr>
                <w:rFonts w:hint="eastAsia" w:ascii="楷体" w:hAnsi="楷体" w:eastAsia="楷体" w:cs="楷体"/>
                <w:sz w:val="28"/>
                <w:szCs w:val="36"/>
                <w:lang w:eastAsia="zh-CN"/>
              </w:rPr>
              <w:t>的变化情况）</w:t>
            </w:r>
          </w:p>
        </w:tc>
        <w:tc>
          <w:tcPr>
            <w:tcW w:w="484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Theme="minorAscii" w:hAnsiTheme="minorAscii"/>
                <w:vertAlign w:val="baseline"/>
              </w:rPr>
            </w:pPr>
            <w:r>
              <w:rPr>
                <w:rFonts w:hint="default" w:ascii="Times New Roman" w:hAnsi="Times New Roman" w:eastAsia="楷体" w:cs="Times New Roman"/>
                <w:sz w:val="28"/>
                <w:szCs w:val="36"/>
                <w:lang w:eastAsia="zh-CN"/>
              </w:rPr>
              <w:t>（图释：红色柱为</w:t>
            </w:r>
            <w:r>
              <w:rPr>
                <w:rFonts w:hint="default" w:ascii="Times New Roman" w:hAnsi="Times New Roman" w:eastAsia="楷体" w:cs="Times New Roman"/>
                <w:sz w:val="28"/>
                <w:szCs w:val="36"/>
                <w:lang w:val="en-US" w:eastAsia="zh-CN"/>
              </w:rPr>
              <w:t>CBO预测，美国国债的利息支出占GDP的比重</w:t>
            </w:r>
            <w:r>
              <w:rPr>
                <w:rFonts w:hint="default" w:ascii="Times New Roman" w:hAnsi="Times New Roman" w:eastAsia="楷体" w:cs="Times New Roman"/>
                <w:sz w:val="28"/>
                <w:szCs w:val="36"/>
                <w:lang w:eastAsia="zh-CN"/>
              </w:rPr>
              <w:t>）</w:t>
            </w:r>
          </w:p>
        </w:tc>
      </w:tr>
    </w:tbl>
    <w:p>
      <w:pPr>
        <w:jc w:val="center"/>
        <w:rPr>
          <w:rFonts w:asciiTheme="minorAscii" w:hAnsiTheme="minorAscii"/>
        </w:rPr>
      </w:pP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华尔街显得非常淡定，甚至有机构笑称，“</w:t>
      </w:r>
      <w:r>
        <w:rPr>
          <w:rFonts w:hint="default" w:ascii="Times New Roman" w:hAnsi="Times New Roman" w:eastAsia="宋体" w:cs="Times New Roman"/>
          <w:sz w:val="32"/>
          <w:szCs w:val="32"/>
          <w:lang w:val="en-US" w:eastAsia="zh-CN"/>
        </w:rPr>
        <w:t>CBO</w:t>
      </w:r>
      <w:r>
        <w:rPr>
          <w:rFonts w:hint="eastAsia" w:ascii="Times New Roman" w:hAnsi="Times New Roman" w:eastAsia="宋体" w:cs="Times New Roman"/>
          <w:sz w:val="32"/>
          <w:szCs w:val="32"/>
          <w:lang w:val="en-US" w:eastAsia="zh-CN"/>
        </w:rPr>
        <w:t>的警告不算坏消息，它只是确认了我们都知道的情况。既然最差的预期已经有了，之后所有的工作都是成绩。”</w:t>
      </w:r>
    </w:p>
    <w:p>
      <w:pPr>
        <w:jc w:val="center"/>
        <w:rPr>
          <w:rFonts w:asciiTheme="minorAscii" w:hAnsiTheme="minorAscii"/>
        </w:rPr>
      </w:pPr>
      <w:r>
        <w:rPr>
          <w:rFonts w:hint="eastAsia" w:asciiTheme="minorAscii" w:hAnsiTheme="minorAscii"/>
          <w:lang w:val="en-US" w:eastAsia="zh-CN"/>
        </w:rPr>
        <w:t xml:space="preserve">        </w:t>
      </w:r>
      <w:r>
        <w:rPr>
          <w:rFonts w:asciiTheme="minorAscii" w:hAnsiTheme="minorAscii"/>
        </w:rPr>
        <w:drawing>
          <wp:inline distT="0" distB="0" distL="114300" distR="114300">
            <wp:extent cx="4770120" cy="2739390"/>
            <wp:effectExtent l="0" t="0" r="11430" b="381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4770120" cy="27393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default" w:ascii="Times New Roman" w:hAnsi="Times New Roman" w:eastAsia="楷体" w:cs="Times New Roman"/>
          <w:sz w:val="28"/>
          <w:szCs w:val="36"/>
          <w:lang w:val="en-US" w:eastAsia="zh-CN"/>
        </w:rPr>
      </w:pPr>
      <w:r>
        <w:rPr>
          <w:rFonts w:hint="default" w:ascii="Times New Roman" w:hAnsi="Times New Roman" w:eastAsia="楷体" w:cs="Times New Roman"/>
          <w:sz w:val="28"/>
          <w:szCs w:val="36"/>
          <w:lang w:eastAsia="zh-CN"/>
        </w:rPr>
        <w:t>（图释：除美联储以外的公众部门，包括个人、企业、机构和外国政府等持有美国国债务，占美国</w:t>
      </w:r>
      <w:r>
        <w:rPr>
          <w:rFonts w:hint="default" w:ascii="Times New Roman" w:hAnsi="Times New Roman" w:eastAsia="楷体" w:cs="Times New Roman"/>
          <w:sz w:val="28"/>
          <w:szCs w:val="36"/>
          <w:lang w:val="en-US" w:eastAsia="zh-CN"/>
        </w:rPr>
        <w:t>GDP的比重</w:t>
      </w:r>
      <w:r>
        <w:rPr>
          <w:rFonts w:hint="default" w:ascii="Times New Roman" w:hAnsi="Times New Roman" w:eastAsia="楷体" w:cs="Times New Roman"/>
          <w:sz w:val="28"/>
          <w:szCs w:val="36"/>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百事公司（PepsiCo）在2023年第四季度的财报中披露，美国市场的销售额和收入均有所下降，低于市场预期。该公司</w:t>
      </w:r>
      <w:r>
        <w:rPr>
          <w:rFonts w:hint="default" w:ascii="Times New Roman" w:hAnsi="Times New Roman" w:eastAsia="宋体" w:cs="Times New Roman"/>
          <w:sz w:val="32"/>
          <w:szCs w:val="32"/>
          <w:lang w:val="en-US" w:eastAsia="zh-CN"/>
        </w:rPr>
        <w:t>CEO</w:t>
      </w:r>
      <w:r>
        <w:rPr>
          <w:rFonts w:hint="eastAsia" w:ascii="Times New Roman" w:hAnsi="Times New Roman" w:eastAsia="宋体" w:cs="Times New Roman"/>
          <w:sz w:val="32"/>
          <w:szCs w:val="32"/>
          <w:lang w:val="en-US" w:eastAsia="zh-CN"/>
        </w:rPr>
        <w:t>表示，通胀导致的消费者可支配收入下降，将抑制业务增长。受此消息影响，股价下跌。</w:t>
      </w:r>
    </w:p>
    <w:p>
      <w:pPr>
        <w:ind w:firstLine="608" w:firstLineChars="200"/>
        <w:jc w:val="left"/>
        <w:rPr>
          <w:rFonts w:hint="eastAsia" w:asciiTheme="minorAscii" w:hAnsiTheme="minorAscii"/>
          <w:b/>
          <w:bCs/>
          <w:sz w:val="32"/>
          <w:szCs w:val="40"/>
          <w:lang w:val="en-US" w:eastAsia="zh-CN"/>
        </w:rPr>
      </w:pPr>
      <w:r>
        <w:rPr>
          <w:rFonts w:hint="eastAsia" w:asciiTheme="minorAscii" w:hAnsiTheme="minorAscii"/>
          <w:b/>
          <w:bCs/>
          <w:sz w:val="32"/>
          <w:szCs w:val="40"/>
          <w:lang w:val="en-US" w:eastAsia="zh-CN"/>
        </w:rPr>
        <w:t>二、德国通货膨胀率下降</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2</w:t>
      </w:r>
      <w:r>
        <w:rPr>
          <w:rFonts w:hint="eastAsia" w:ascii="Times New Roman" w:hAnsi="Times New Roman" w:eastAsia="宋体" w:cs="Times New Roman"/>
          <w:sz w:val="32"/>
          <w:szCs w:val="32"/>
          <w:lang w:val="en-US" w:eastAsia="zh-CN"/>
        </w:rPr>
        <w:t>月</w:t>
      </w:r>
      <w:r>
        <w:rPr>
          <w:rFonts w:hint="default" w:ascii="Times New Roman" w:hAnsi="Times New Roman" w:eastAsia="宋体" w:cs="Times New Roman"/>
          <w:sz w:val="32"/>
          <w:szCs w:val="32"/>
          <w:lang w:val="en-US" w:eastAsia="zh-CN"/>
        </w:rPr>
        <w:t>9</w:t>
      </w:r>
      <w:r>
        <w:rPr>
          <w:rFonts w:hint="eastAsia" w:ascii="Times New Roman" w:hAnsi="Times New Roman" w:eastAsia="宋体" w:cs="Times New Roman"/>
          <w:sz w:val="32"/>
          <w:szCs w:val="32"/>
          <w:lang w:val="en-US" w:eastAsia="zh-CN"/>
        </w:rPr>
        <w:t>日是（周五），德国联邦统计局公布了德国一月份的通胀数据终值。数据显示，1月份的</w:t>
      </w:r>
      <w:r>
        <w:rPr>
          <w:rFonts w:hint="default" w:ascii="Times New Roman" w:hAnsi="Times New Roman" w:eastAsia="宋体" w:cs="Times New Roman"/>
          <w:sz w:val="32"/>
          <w:szCs w:val="32"/>
          <w:lang w:val="en-US" w:eastAsia="zh-CN"/>
        </w:rPr>
        <w:t>CPI</w:t>
      </w:r>
      <w:r>
        <w:rPr>
          <w:rFonts w:hint="eastAsia" w:ascii="Times New Roman" w:hAnsi="Times New Roman" w:eastAsia="宋体" w:cs="Times New Roman"/>
          <w:sz w:val="32"/>
          <w:szCs w:val="32"/>
          <w:lang w:val="en-US" w:eastAsia="zh-CN"/>
        </w:rPr>
        <w:t>同比为2.9%，为2021年6月以来的最低值。通胀率的下降使人们对欧洲央行将很快降息产生希望，市场开始押注4月份降息。</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但欧洲央行董事会成员、德国经济学家伊莎贝尔</w:t>
      </w:r>
      <w:r>
        <w:rPr>
          <w:rFonts w:hint="default" w:ascii="Times New Roman" w:hAnsi="Times New Roman" w:eastAsia="宋体" w:cs="Times New Roman"/>
          <w:sz w:val="32"/>
          <w:szCs w:val="32"/>
          <w:lang w:val="en-US" w:eastAsia="zh-CN"/>
        </w:rPr>
        <w:t>‧</w:t>
      </w:r>
      <w:r>
        <w:rPr>
          <w:rFonts w:hint="eastAsia" w:ascii="Times New Roman" w:hAnsi="Times New Roman" w:eastAsia="宋体" w:cs="Times New Roman"/>
          <w:sz w:val="32"/>
          <w:szCs w:val="32"/>
          <w:lang w:val="en-US" w:eastAsia="zh-CN"/>
        </w:rPr>
        <w:t>施纳贝尔（Isabel Schnabel）警告说，央行必须保持耐心，因为通胀率可能会再次飙升。地缘政治风险，如胡塞武装对红海集装箱船的袭击，正在扰乱供应链，并可能对全球市场价格产生连锁反应。</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w:t>
      </w:r>
      <w:r>
        <w:rPr>
          <w:rFonts w:hint="eastAsia" w:ascii="Times New Roman" w:hAnsi="Times New Roman" w:eastAsia="方正小标宋_GBK" w:cs="Times New Roman"/>
          <w:b/>
          <w:bCs/>
          <w:color w:val="FF0000"/>
          <w:sz w:val="32"/>
          <w:szCs w:val="40"/>
          <w:highlight w:val="yellow"/>
          <w:lang w:val="en-US" w:eastAsia="zh-CN"/>
        </w:rPr>
        <w:t>11</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第58届</w:t>
      </w:r>
      <w:r>
        <w:rPr>
          <w:rFonts w:hint="eastAsia" w:ascii="Times New Roman" w:hAnsi="Times New Roman" w:eastAsia="方正小标宋_GBK" w:cs="Times New Roman"/>
          <w:b/>
          <w:bCs/>
          <w:color w:val="0000FF"/>
          <w:sz w:val="36"/>
          <w:szCs w:val="44"/>
          <w:highlight w:val="yellow"/>
          <w:lang w:val="en-US" w:eastAsia="zh-CN"/>
        </w:rPr>
        <w:t>“</w:t>
      </w:r>
      <w:r>
        <w:rPr>
          <w:rFonts w:hint="default" w:ascii="Times New Roman" w:hAnsi="Times New Roman" w:eastAsia="方正小标宋_GBK" w:cs="Times New Roman"/>
          <w:b/>
          <w:bCs/>
          <w:color w:val="0000FF"/>
          <w:sz w:val="36"/>
          <w:szCs w:val="44"/>
          <w:highlight w:val="yellow"/>
          <w:lang w:val="en-US" w:eastAsia="zh-CN"/>
        </w:rPr>
        <w:t>超级碗</w:t>
      </w:r>
      <w:r>
        <w:rPr>
          <w:rFonts w:hint="eastAsia" w:ascii="Times New Roman" w:hAnsi="Times New Roman" w:eastAsia="方正小标宋_GBK" w:cs="Times New Roman"/>
          <w:b/>
          <w:bCs/>
          <w:color w:val="0000FF"/>
          <w:sz w:val="36"/>
          <w:szCs w:val="44"/>
          <w:highlight w:val="yellow"/>
          <w:lang w:val="en-US" w:eastAsia="zh-CN"/>
        </w:rPr>
        <w:t>”</w:t>
      </w:r>
      <w:r>
        <w:rPr>
          <w:rFonts w:hint="default" w:ascii="Times New Roman" w:hAnsi="Times New Roman" w:eastAsia="方正小标宋_GBK" w:cs="Times New Roman"/>
          <w:b/>
          <w:bCs/>
          <w:color w:val="0000FF"/>
          <w:sz w:val="36"/>
          <w:szCs w:val="44"/>
          <w:highlight w:val="yellow"/>
          <w:lang w:val="en-US" w:eastAsia="zh-CN"/>
        </w:rPr>
        <w:t>开幕</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第</w:t>
      </w:r>
      <w:r>
        <w:rPr>
          <w:rFonts w:hint="default" w:ascii="Times New Roman" w:hAnsi="Times New Roman" w:eastAsia="宋体" w:cs="Times New Roman"/>
          <w:sz w:val="32"/>
          <w:szCs w:val="32"/>
          <w:lang w:val="en-US" w:eastAsia="zh-CN"/>
        </w:rPr>
        <w:t>58</w:t>
      </w:r>
      <w:r>
        <w:rPr>
          <w:rFonts w:hint="eastAsia" w:ascii="Times New Roman" w:hAnsi="Times New Roman" w:eastAsia="宋体" w:cs="Times New Roman"/>
          <w:sz w:val="32"/>
          <w:szCs w:val="32"/>
          <w:lang w:val="en-US" w:eastAsia="zh-CN"/>
        </w:rPr>
        <w:t>届“超级碗“（Super Bowl LVIII），将于当地时间</w:t>
      </w:r>
      <w:r>
        <w:rPr>
          <w:rFonts w:hint="default" w:ascii="Times New Roman" w:hAnsi="Times New Roman" w:eastAsia="宋体" w:cs="Times New Roman"/>
          <w:sz w:val="32"/>
          <w:szCs w:val="32"/>
          <w:lang w:val="en-US" w:eastAsia="zh-CN"/>
        </w:rPr>
        <w:t>11</w:t>
      </w:r>
      <w:r>
        <w:rPr>
          <w:rFonts w:hint="eastAsia" w:ascii="Times New Roman" w:hAnsi="Times New Roman" w:eastAsia="宋体" w:cs="Times New Roman"/>
          <w:sz w:val="32"/>
          <w:szCs w:val="32"/>
          <w:lang w:val="en-US" w:eastAsia="zh-CN"/>
        </w:rPr>
        <w:t>日（周日）晚，在内华达州拉斯维加斯的阿莱金特体育场（见图）举行。</w:t>
      </w:r>
    </w:p>
    <w:tbl>
      <w:tblPr>
        <w:tblStyle w:val="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76"/>
        <w:gridCol w:w="42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30" w:type="dxa"/>
            <w:tcBorders>
              <w:tl2br w:val="nil"/>
              <w:tr2bl w:val="nil"/>
            </w:tcBorders>
            <w:vAlign w:val="top"/>
          </w:tcPr>
          <w:p>
            <w:pPr>
              <w:jc w:val="center"/>
              <w:rPr>
                <w:rFonts w:asciiTheme="minorAscii" w:hAnsiTheme="minorAscii"/>
                <w:vertAlign w:val="baseline"/>
              </w:rPr>
            </w:pPr>
            <w:r>
              <w:rPr>
                <w:rFonts w:asciiTheme="minorAscii" w:hAnsiTheme="minorAscii"/>
              </w:rPr>
              <w:drawing>
                <wp:inline distT="0" distB="0" distL="114300" distR="114300">
                  <wp:extent cx="2878455" cy="2522855"/>
                  <wp:effectExtent l="0" t="0" r="17145" b="1079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10"/>
                          <a:stretch>
                            <a:fillRect/>
                          </a:stretch>
                        </pic:blipFill>
                        <pic:spPr>
                          <a:xfrm>
                            <a:off x="0" y="0"/>
                            <a:ext cx="2878455" cy="2522855"/>
                          </a:xfrm>
                          <a:prstGeom prst="rect">
                            <a:avLst/>
                          </a:prstGeom>
                          <a:noFill/>
                          <a:ln>
                            <a:noFill/>
                          </a:ln>
                        </pic:spPr>
                      </pic:pic>
                    </a:graphicData>
                  </a:graphic>
                </wp:inline>
              </w:drawing>
            </w:r>
          </w:p>
        </w:tc>
        <w:tc>
          <w:tcPr>
            <w:tcW w:w="4531"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asciiTheme="minorAscii" w:hAnsiTheme="minorAscii"/>
                <w:vertAlign w:val="baseline"/>
              </w:rPr>
            </w:pPr>
            <w:r>
              <w:rPr>
                <w:rFonts w:hint="eastAsia" w:ascii="Times New Roman" w:hAnsi="Times New Roman" w:eastAsia="宋体" w:cs="Times New Roman"/>
                <w:sz w:val="32"/>
                <w:szCs w:val="32"/>
                <w:lang w:val="en-US" w:eastAsia="zh-CN"/>
              </w:rPr>
              <w:t>“超级碗”是美国橄榄球联盟（NFL）的冠军赛，也是美国最大的年度体育盛事之一。本届冠军赛，是堪萨斯城酋长队对阵旧金山49人队。超级碗吸引了大量的观众，成为美国体育文化的重要组成部分。</w:t>
            </w:r>
          </w:p>
        </w:tc>
      </w:tr>
    </w:tbl>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超级碗的中场秀被中国网友戏称为“美国春晚”，最初是由大学的行进乐队（Marching Band）在中场休息时间进行表演，从1991年起开始邀请大牌明星和音乐家进行演出，形成15分钟左右的“超级碗中场秀”。</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993年，著名歌手迈克尔</w:t>
      </w:r>
      <w:r>
        <w:rPr>
          <w:rFonts w:hint="eastAsia" w:ascii="微软雅黑" w:hAnsi="微软雅黑" w:eastAsia="微软雅黑" w:cs="微软雅黑"/>
          <w:sz w:val="32"/>
          <w:szCs w:val="32"/>
          <w:lang w:val="en-US" w:eastAsia="zh-CN"/>
        </w:rPr>
        <w:t>·</w:t>
      </w:r>
      <w:r>
        <w:rPr>
          <w:rFonts w:hint="eastAsia" w:ascii="Times New Roman" w:hAnsi="Times New Roman" w:eastAsia="宋体" w:cs="Times New Roman"/>
          <w:sz w:val="32"/>
          <w:szCs w:val="32"/>
          <w:lang w:val="en-US" w:eastAsia="zh-CN"/>
        </w:rPr>
        <w:t>杰克逊在超级碗中场秀的表演轰动全球，从而令超级碗中场秀成为美国流行文化的年度盛典之一。时长也由最开始的</w:t>
      </w:r>
      <w:r>
        <w:rPr>
          <w:rFonts w:hint="default" w:ascii="Times New Roman" w:hAnsi="Times New Roman" w:eastAsia="宋体" w:cs="Times New Roman"/>
          <w:sz w:val="32"/>
          <w:szCs w:val="32"/>
          <w:lang w:val="en-US" w:eastAsia="zh-CN"/>
        </w:rPr>
        <w:t>15</w:t>
      </w:r>
      <w:r>
        <w:rPr>
          <w:rFonts w:hint="eastAsia" w:ascii="Times New Roman" w:hAnsi="Times New Roman" w:eastAsia="宋体" w:cs="Times New Roman"/>
          <w:sz w:val="32"/>
          <w:szCs w:val="32"/>
          <w:lang w:val="en-US" w:eastAsia="zh-CN"/>
        </w:rPr>
        <w:t>分钟左右，发展至今日的30分钟。超级碗中场秀成为了当红歌手的里程埤——能上超级碗的中场秀，就如同在中国登上春晚的舞台。</w:t>
      </w:r>
    </w:p>
    <w:p>
      <w:pPr>
        <w:jc w:val="both"/>
        <w:rPr>
          <w:rFonts w:hint="eastAsia" w:asciiTheme="minorAscii" w:hAnsiTheme="minorAscii"/>
          <w:lang w:val="en-US" w:eastAsia="zh-CN"/>
        </w:rPr>
      </w:pPr>
      <w:r>
        <w:rPr>
          <w:rFonts w:hint="eastAsia" w:asciiTheme="minorAscii" w:hAnsiTheme="minorAscii"/>
          <w:lang w:val="en-US" w:eastAsia="zh-CN"/>
        </w:rPr>
        <w:t xml:space="preserve">   </w:t>
      </w:r>
      <w:r>
        <w:rPr>
          <w:rFonts w:asciiTheme="minorAscii" w:hAnsiTheme="minorAscii"/>
        </w:rPr>
        <w:drawing>
          <wp:inline distT="0" distB="0" distL="114300" distR="114300">
            <wp:extent cx="2887345" cy="1925955"/>
            <wp:effectExtent l="0" t="0" r="8255" b="1714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1"/>
                    <a:stretch>
                      <a:fillRect/>
                    </a:stretch>
                  </pic:blipFill>
                  <pic:spPr>
                    <a:xfrm>
                      <a:off x="0" y="0"/>
                      <a:ext cx="2887345" cy="1925955"/>
                    </a:xfrm>
                    <a:prstGeom prst="rect">
                      <a:avLst/>
                    </a:prstGeom>
                    <a:noFill/>
                    <a:ln>
                      <a:noFill/>
                    </a:ln>
                  </pic:spPr>
                </pic:pic>
              </a:graphicData>
            </a:graphic>
          </wp:inline>
        </w:drawing>
      </w:r>
      <w:r>
        <w:rPr>
          <w:rFonts w:asciiTheme="minorAscii" w:hAnsiTheme="minorAscii"/>
        </w:rPr>
        <w:drawing>
          <wp:inline distT="0" distB="0" distL="114300" distR="114300">
            <wp:extent cx="2623185" cy="1950085"/>
            <wp:effectExtent l="0" t="0" r="5715" b="1206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2"/>
                    <a:stretch>
                      <a:fillRect/>
                    </a:stretch>
                  </pic:blipFill>
                  <pic:spPr>
                    <a:xfrm>
                      <a:off x="0" y="0"/>
                      <a:ext cx="2623185" cy="19500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heme="minorAscii" w:hAnsiTheme="minorAscii"/>
          <w:lang w:val="en-US" w:eastAsia="zh-CN"/>
        </w:rPr>
      </w:pPr>
      <w:r>
        <w:rPr>
          <w:rFonts w:hint="eastAsia" w:ascii="Times New Roman" w:hAnsi="Times New Roman" w:eastAsia="宋体" w:cs="Times New Roman"/>
          <w:sz w:val="32"/>
          <w:szCs w:val="32"/>
          <w:lang w:val="en-US" w:eastAsia="zh-CN"/>
        </w:rPr>
        <w:t>“超级碗”不仅是一场全球体育和流行音乐盛事，也是备受关注的年度商业盛宴。分布在比赛不同时段的广告时间被众多国际品牌追捧，它们斥重金购买“超级碗”广告时长，推出精心打造的新制广告。每个品牌的广告时长（</w:t>
      </w:r>
      <w:r>
        <w:rPr>
          <w:rFonts w:hint="default" w:ascii="Times New Roman" w:hAnsi="Times New Roman" w:eastAsia="宋体" w:cs="Times New Roman"/>
          <w:sz w:val="32"/>
          <w:szCs w:val="32"/>
          <w:lang w:val="en-US" w:eastAsia="zh-CN"/>
        </w:rPr>
        <w:t>广告以30秒为单位计价，价格见图</w:t>
      </w:r>
      <w:r>
        <w:rPr>
          <w:rFonts w:hint="eastAsia" w:ascii="Times New Roman" w:hAnsi="Times New Roman" w:eastAsia="宋体" w:cs="Times New Roman"/>
          <w:sz w:val="32"/>
          <w:szCs w:val="32"/>
          <w:lang w:val="en-US" w:eastAsia="zh-CN"/>
        </w:rPr>
        <w:t>）、创意突破、市场回响等，都会成为市场营销和广告设计领域的分析案例。</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拉斯维加斯成为体育中心的时间并不长，但发展神速。2018年，美国最高法院解除了对体育博彩的联邦禁令。之前，作为博彩之都，拉斯维加斯与体育赛事一直没什么联系；禁令解除之后，职业球队开始向拉斯迁移。</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2018年当年，拉斯引来了女子篮球联赛（WNBA）的球队Aces；2020年，拉斯成为美国橄榄球联盟（NFL）的一支球队——Raiders的主场；2023年，拉斯还举办了一场一级方程式（F1）大奖赛。此外，拉斯维加斯还拥有一支顶级冰球队，并有可能很快增加棒球和男子篮球队。</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拉斯维加斯不仅是博彩之都，也有望成为美国的体育之都。</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w:t>
      </w:r>
      <w:r>
        <w:rPr>
          <w:rFonts w:hint="eastAsia" w:ascii="Times New Roman" w:hAnsi="Times New Roman" w:eastAsia="方正小标宋_GBK" w:cs="Times New Roman"/>
          <w:b/>
          <w:bCs/>
          <w:color w:val="FF0000"/>
          <w:sz w:val="32"/>
          <w:szCs w:val="40"/>
          <w:highlight w:val="yellow"/>
          <w:lang w:val="en-US" w:eastAsia="zh-CN"/>
        </w:rPr>
        <w:t>13</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二</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美债成本惊人，印度经济增长</w:t>
      </w:r>
    </w:p>
    <w:p>
      <w:pPr>
        <w:ind w:firstLine="608" w:firstLineChars="200"/>
        <w:jc w:val="left"/>
        <w:rPr>
          <w:rFonts w:hint="default" w:asciiTheme="minorAscii" w:hAnsiTheme="minorAscii"/>
          <w:b/>
          <w:bCs/>
          <w:sz w:val="32"/>
          <w:szCs w:val="32"/>
          <w:lang w:val="en-US" w:eastAsia="zh-CN"/>
        </w:rPr>
      </w:pPr>
      <w:r>
        <w:rPr>
          <w:rFonts w:hint="eastAsia" w:asciiTheme="minorAscii" w:hAnsiTheme="minorAscii"/>
          <w:b/>
          <w:bCs/>
          <w:sz w:val="32"/>
          <w:szCs w:val="32"/>
          <w:lang w:val="en-US" w:eastAsia="zh-CN"/>
        </w:rPr>
        <w:t>一、美债、利息、利率</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2</w:t>
      </w:r>
      <w:r>
        <w:rPr>
          <w:rFonts w:hint="eastAsia" w:ascii="Times New Roman" w:hAnsi="Times New Roman" w:eastAsia="宋体" w:cs="Times New Roman"/>
          <w:sz w:val="32"/>
          <w:szCs w:val="32"/>
          <w:lang w:val="en-US" w:eastAsia="zh-CN"/>
        </w:rPr>
        <w:t>月</w:t>
      </w:r>
      <w:r>
        <w:rPr>
          <w:rFonts w:hint="default" w:ascii="Times New Roman" w:hAnsi="Times New Roman" w:eastAsia="宋体" w:cs="Times New Roman"/>
          <w:sz w:val="32"/>
          <w:szCs w:val="32"/>
          <w:lang w:val="en-US" w:eastAsia="zh-CN"/>
        </w:rPr>
        <w:t>12</w:t>
      </w:r>
      <w:r>
        <w:rPr>
          <w:rFonts w:hint="eastAsia" w:ascii="Times New Roman" w:hAnsi="Times New Roman" w:eastAsia="宋体" w:cs="Times New Roman"/>
          <w:sz w:val="32"/>
          <w:szCs w:val="32"/>
          <w:lang w:val="en-US" w:eastAsia="zh-CN"/>
        </w:rPr>
        <w:t>日（</w:t>
      </w:r>
      <w:r>
        <w:rPr>
          <w:rFonts w:hint="default" w:ascii="Times New Roman" w:hAnsi="Times New Roman" w:eastAsia="宋体" w:cs="Times New Roman"/>
          <w:sz w:val="32"/>
          <w:szCs w:val="32"/>
          <w:lang w:val="en-US" w:eastAsia="zh-CN"/>
        </w:rPr>
        <w:t>周一</w:t>
      </w:r>
      <w:r>
        <w:rPr>
          <w:rFonts w:hint="eastAsia" w:ascii="Times New Roman" w:hAnsi="Times New Roman" w:eastAsia="宋体" w:cs="Times New Roman"/>
          <w:sz w:val="32"/>
          <w:szCs w:val="32"/>
          <w:lang w:val="en-US" w:eastAsia="zh-CN"/>
        </w:rPr>
        <w:t>），美国财政部公布了2024财年前4个月（</w:t>
      </w:r>
      <w:r>
        <w:rPr>
          <w:rFonts w:hint="default" w:ascii="Times New Roman" w:hAnsi="Times New Roman" w:eastAsia="宋体" w:cs="Times New Roman"/>
          <w:sz w:val="32"/>
          <w:szCs w:val="32"/>
          <w:lang w:val="en-US" w:eastAsia="zh-CN"/>
        </w:rPr>
        <w:t>2023</w:t>
      </w:r>
      <w:r>
        <w:rPr>
          <w:rFonts w:hint="eastAsia" w:ascii="Times New Roman" w:hAnsi="Times New Roman" w:eastAsia="宋体" w:cs="Times New Roman"/>
          <w:sz w:val="32"/>
          <w:szCs w:val="32"/>
          <w:lang w:val="en-US" w:eastAsia="zh-CN"/>
        </w:rPr>
        <w:t>年</w:t>
      </w:r>
      <w:r>
        <w:rPr>
          <w:rFonts w:hint="default" w:ascii="Times New Roman" w:hAnsi="Times New Roman" w:eastAsia="宋体" w:cs="Times New Roman"/>
          <w:sz w:val="32"/>
          <w:szCs w:val="32"/>
          <w:lang w:val="en-US" w:eastAsia="zh-CN"/>
        </w:rPr>
        <w:t>10</w:t>
      </w:r>
      <w:r>
        <w:rPr>
          <w:rFonts w:hint="eastAsia" w:ascii="Times New Roman" w:hAnsi="Times New Roman" w:eastAsia="宋体" w:cs="Times New Roman"/>
          <w:sz w:val="32"/>
          <w:szCs w:val="32"/>
          <w:lang w:val="en-US" w:eastAsia="zh-CN"/>
        </w:rPr>
        <w:t>月</w:t>
      </w: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日至</w:t>
      </w:r>
      <w:r>
        <w:rPr>
          <w:rFonts w:hint="default" w:ascii="Times New Roman" w:hAnsi="Times New Roman" w:eastAsia="宋体" w:cs="Times New Roman"/>
          <w:sz w:val="32"/>
          <w:szCs w:val="32"/>
          <w:lang w:val="en-US" w:eastAsia="zh-CN"/>
        </w:rPr>
        <w:t>2024</w:t>
      </w:r>
      <w:r>
        <w:rPr>
          <w:rFonts w:hint="eastAsia" w:ascii="Times New Roman" w:hAnsi="Times New Roman" w:eastAsia="宋体" w:cs="Times New Roman"/>
          <w:sz w:val="32"/>
          <w:szCs w:val="32"/>
          <w:lang w:val="en-US" w:eastAsia="zh-CN"/>
        </w:rPr>
        <w:t>年</w:t>
      </w: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月</w:t>
      </w:r>
      <w:r>
        <w:rPr>
          <w:rFonts w:hint="default" w:ascii="Times New Roman" w:hAnsi="Times New Roman" w:eastAsia="宋体" w:cs="Times New Roman"/>
          <w:sz w:val="32"/>
          <w:szCs w:val="32"/>
          <w:lang w:val="en-US" w:eastAsia="zh-CN"/>
        </w:rPr>
        <w:t>31</w:t>
      </w:r>
      <w:r>
        <w:rPr>
          <w:rFonts w:hint="eastAsia" w:ascii="Times New Roman" w:hAnsi="Times New Roman" w:eastAsia="宋体" w:cs="Times New Roman"/>
          <w:sz w:val="32"/>
          <w:szCs w:val="32"/>
          <w:lang w:val="en-US" w:eastAsia="zh-CN"/>
        </w:rPr>
        <w:t>日）的预算赤字。</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数据显示，四个月的赤字达到5320亿美元，同比增长16%。期内国债利息支出为3570亿美元，同比增长37%，超过了国防支出。按此速度推算，</w:t>
      </w:r>
      <w:r>
        <w:rPr>
          <w:rFonts w:hint="default" w:ascii="Times New Roman" w:hAnsi="Times New Roman" w:eastAsia="宋体" w:cs="Times New Roman"/>
          <w:sz w:val="32"/>
          <w:szCs w:val="32"/>
          <w:lang w:val="en-US" w:eastAsia="zh-CN"/>
        </w:rPr>
        <w:t>2024</w:t>
      </w:r>
      <w:r>
        <w:rPr>
          <w:rFonts w:hint="eastAsia" w:ascii="Times New Roman" w:hAnsi="Times New Roman" w:eastAsia="宋体" w:cs="Times New Roman"/>
          <w:sz w:val="32"/>
          <w:szCs w:val="32"/>
          <w:lang w:val="en-US" w:eastAsia="zh-CN"/>
        </w:rPr>
        <w:t>财年仅国债利息的支出，就要超过</w:t>
      </w: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万亿美元，而</w:t>
      </w:r>
      <w:r>
        <w:rPr>
          <w:rFonts w:hint="default" w:ascii="Times New Roman" w:hAnsi="Times New Roman" w:eastAsia="宋体" w:cs="Times New Roman"/>
          <w:sz w:val="32"/>
          <w:szCs w:val="32"/>
          <w:lang w:val="en-US" w:eastAsia="zh-CN"/>
        </w:rPr>
        <w:t>2024</w:t>
      </w:r>
      <w:r>
        <w:rPr>
          <w:rFonts w:hint="eastAsia" w:ascii="Times New Roman" w:hAnsi="Times New Roman" w:eastAsia="宋体" w:cs="Times New Roman"/>
          <w:sz w:val="32"/>
          <w:szCs w:val="32"/>
          <w:lang w:val="en-US" w:eastAsia="zh-CN"/>
        </w:rPr>
        <w:t>财年全年的联邦财政预算收入也才</w:t>
      </w:r>
      <w:r>
        <w:rPr>
          <w:rFonts w:hint="default" w:ascii="Times New Roman" w:hAnsi="Times New Roman" w:eastAsia="宋体" w:cs="Times New Roman"/>
          <w:sz w:val="32"/>
          <w:szCs w:val="32"/>
          <w:lang w:val="en-US" w:eastAsia="zh-CN"/>
        </w:rPr>
        <w:t>5</w:t>
      </w:r>
      <w:r>
        <w:rPr>
          <w:rFonts w:hint="eastAsia" w:ascii="Times New Roman" w:hAnsi="Times New Roman" w:eastAsia="宋体" w:cs="Times New Roman"/>
          <w:sz w:val="32"/>
          <w:szCs w:val="32"/>
          <w:lang w:val="en-US" w:eastAsia="zh-CN"/>
        </w:rPr>
        <w:t>万亿美元。</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目前的高利率，推高了债务成本，加大了美国财政的负担，必将进一步导致国债规模的扩张。从财政部的立场出发，希望立即降息；但从美联储的角度看，迫切性还没那么强。</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周一美联储理事鲍曼发表讲话：美联储在抗击通胀方面仍面临许多风险，现在预测何时降息以及降息幅度为时过早，不认为在近期降息是合适的。</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近期美联储官员们发表的言论都开始偏鹰，努力淡化短期内降息的预期。原因是美国劳动力市场依然火热、家庭支出仍然强劲，如果急于降息，很可能会重蹈</w:t>
      </w:r>
      <w:r>
        <w:rPr>
          <w:rFonts w:hint="default" w:ascii="Times New Roman" w:hAnsi="Times New Roman" w:eastAsia="宋体" w:cs="Times New Roman"/>
          <w:sz w:val="32"/>
          <w:szCs w:val="32"/>
          <w:lang w:val="en-US" w:eastAsia="zh-CN"/>
        </w:rPr>
        <w:t>1980</w:t>
      </w:r>
      <w:r>
        <w:rPr>
          <w:rFonts w:hint="eastAsia" w:ascii="Times New Roman" w:hAnsi="Times New Roman" w:eastAsia="宋体" w:cs="Times New Roman"/>
          <w:sz w:val="32"/>
          <w:szCs w:val="32"/>
          <w:lang w:val="en-US" w:eastAsia="zh-CN"/>
        </w:rPr>
        <w:t>年代初的覆辙——降息太早，让通胀再度飙升。</w:t>
      </w:r>
    </w:p>
    <w:p>
      <w:pPr>
        <w:ind w:firstLine="608" w:firstLineChars="200"/>
        <w:jc w:val="left"/>
        <w:rPr>
          <w:rFonts w:hint="default" w:asciiTheme="minorAscii" w:hAnsiTheme="minorAscii"/>
          <w:b/>
          <w:bCs/>
          <w:sz w:val="32"/>
          <w:szCs w:val="32"/>
          <w:lang w:val="en-US" w:eastAsia="zh-CN"/>
        </w:rPr>
      </w:pPr>
      <w:r>
        <w:rPr>
          <w:rFonts w:hint="eastAsia" w:asciiTheme="minorAscii" w:hAnsiTheme="minorAscii"/>
          <w:b/>
          <w:bCs/>
          <w:sz w:val="32"/>
          <w:szCs w:val="32"/>
          <w:lang w:val="en-US" w:eastAsia="zh-CN"/>
        </w:rPr>
        <w:t>二、</w:t>
      </w:r>
      <w:r>
        <w:rPr>
          <w:rFonts w:hint="default" w:asciiTheme="minorAscii" w:hAnsiTheme="minorAscii"/>
          <w:b/>
          <w:bCs/>
          <w:sz w:val="32"/>
          <w:szCs w:val="32"/>
          <w:lang w:val="en-US" w:eastAsia="zh-CN"/>
        </w:rPr>
        <w:t>印度经济</w:t>
      </w:r>
      <w:r>
        <w:rPr>
          <w:rFonts w:hint="eastAsia" w:asciiTheme="minorAscii" w:hAnsiTheme="minorAscii"/>
          <w:b/>
          <w:bCs/>
          <w:sz w:val="32"/>
          <w:szCs w:val="32"/>
          <w:lang w:val="en-US" w:eastAsia="zh-CN"/>
        </w:rPr>
        <w:t>增长</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2</w:t>
      </w:r>
      <w:r>
        <w:rPr>
          <w:rFonts w:hint="eastAsia" w:ascii="Times New Roman" w:hAnsi="Times New Roman" w:eastAsia="宋体" w:cs="Times New Roman"/>
          <w:sz w:val="32"/>
          <w:szCs w:val="32"/>
          <w:lang w:val="en-US" w:eastAsia="zh-CN"/>
        </w:rPr>
        <w:t>月</w:t>
      </w:r>
      <w:r>
        <w:rPr>
          <w:rFonts w:hint="default" w:ascii="Times New Roman" w:hAnsi="Times New Roman" w:eastAsia="宋体" w:cs="Times New Roman"/>
          <w:sz w:val="32"/>
          <w:szCs w:val="32"/>
          <w:lang w:val="en-US" w:eastAsia="zh-CN"/>
        </w:rPr>
        <w:t>12</w:t>
      </w:r>
      <w:r>
        <w:rPr>
          <w:rFonts w:hint="eastAsia" w:ascii="Times New Roman" w:hAnsi="Times New Roman" w:eastAsia="宋体" w:cs="Times New Roman"/>
          <w:sz w:val="32"/>
          <w:szCs w:val="32"/>
          <w:lang w:val="en-US" w:eastAsia="zh-CN"/>
        </w:rPr>
        <w:t>日（</w:t>
      </w:r>
      <w:r>
        <w:rPr>
          <w:rFonts w:hint="default" w:ascii="Times New Roman" w:hAnsi="Times New Roman" w:eastAsia="宋体" w:cs="Times New Roman"/>
          <w:sz w:val="32"/>
          <w:szCs w:val="32"/>
          <w:lang w:val="en-US" w:eastAsia="zh-CN"/>
        </w:rPr>
        <w:t>周一</w:t>
      </w:r>
      <w:r>
        <w:rPr>
          <w:rFonts w:hint="eastAsia" w:ascii="Times New Roman" w:hAnsi="Times New Roman" w:eastAsia="宋体" w:cs="Times New Roman"/>
          <w:sz w:val="32"/>
          <w:szCs w:val="32"/>
          <w:lang w:val="en-US" w:eastAsia="zh-CN"/>
        </w:rPr>
        <w:t>），印度</w:t>
      </w:r>
      <w:r>
        <w:rPr>
          <w:rFonts w:hint="default" w:ascii="Times New Roman" w:hAnsi="Times New Roman" w:eastAsia="宋体" w:cs="Times New Roman"/>
          <w:sz w:val="32"/>
          <w:szCs w:val="32"/>
          <w:lang w:val="en-US" w:eastAsia="zh-CN"/>
        </w:rPr>
        <w:t>公布通胀和制造业数据。1月份的年通胀率从12月份的5.7%降至5.1%的三个月低点。根据</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lang w:val="en-US" w:eastAsia="zh-CN"/>
        </w:rPr>
        <w:t>标普全球</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lang w:val="en-US" w:eastAsia="zh-CN"/>
        </w:rPr>
        <w:t>（S&amp;P Global）编制的指数，</w:t>
      </w:r>
      <w:r>
        <w:rPr>
          <w:rFonts w:hint="eastAsia" w:ascii="Times New Roman" w:hAnsi="Times New Roman" w:eastAsia="宋体" w:cs="Times New Roman"/>
          <w:sz w:val="32"/>
          <w:szCs w:val="32"/>
          <w:lang w:val="en-US" w:eastAsia="zh-CN"/>
        </w:rPr>
        <w:t>印度</w:t>
      </w:r>
      <w:r>
        <w:rPr>
          <w:rFonts w:hint="default" w:ascii="Times New Roman" w:hAnsi="Times New Roman" w:eastAsia="宋体" w:cs="Times New Roman"/>
          <w:sz w:val="32"/>
          <w:szCs w:val="32"/>
          <w:lang w:val="en-US" w:eastAsia="zh-CN"/>
        </w:rPr>
        <w:t>1月份的制造业产出创下了四个月来的新高。</w:t>
      </w:r>
    </w:p>
    <w:p>
      <w:pPr>
        <w:ind w:firstLine="388" w:firstLineChars="200"/>
        <w:jc w:val="center"/>
        <w:rPr>
          <w:rFonts w:hint="default" w:asciiTheme="minorAscii" w:hAnsiTheme="minorAscii"/>
          <w:lang w:val="en-US" w:eastAsia="zh-CN"/>
        </w:rPr>
      </w:pPr>
      <w:r>
        <w:rPr>
          <w:rFonts w:asciiTheme="minorAscii" w:hAnsiTheme="minorAscii"/>
        </w:rPr>
        <w:drawing>
          <wp:inline distT="0" distB="0" distL="114300" distR="114300">
            <wp:extent cx="4535170" cy="2503170"/>
            <wp:effectExtent l="0" t="0" r="17780" b="1143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3"/>
                    <a:stretch>
                      <a:fillRect/>
                    </a:stretch>
                  </pic:blipFill>
                  <pic:spPr>
                    <a:xfrm>
                      <a:off x="0" y="0"/>
                      <a:ext cx="4535170" cy="25031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印度今年仍将是全球增长最快的大型经济体。印度财长</w:t>
      </w:r>
      <w:r>
        <w:rPr>
          <w:rFonts w:hint="eastAsia" w:ascii="Times New Roman" w:hAnsi="Times New Roman" w:eastAsia="宋体" w:cs="Times New Roman"/>
          <w:sz w:val="32"/>
          <w:szCs w:val="32"/>
          <w:lang w:val="en-US" w:eastAsia="zh-CN"/>
        </w:rPr>
        <w:t>称</w:t>
      </w:r>
      <w:r>
        <w:rPr>
          <w:rFonts w:hint="default" w:ascii="Times New Roman" w:hAnsi="Times New Roman" w:eastAsia="宋体" w:cs="Times New Roman"/>
          <w:sz w:val="32"/>
          <w:szCs w:val="32"/>
          <w:lang w:val="en-US" w:eastAsia="zh-CN"/>
        </w:rPr>
        <w:t>，经济</w:t>
      </w:r>
      <w:r>
        <w:rPr>
          <w:rFonts w:hint="eastAsia" w:ascii="Times New Roman" w:hAnsi="Times New Roman" w:eastAsia="宋体" w:cs="Times New Roman"/>
          <w:sz w:val="32"/>
          <w:szCs w:val="32"/>
          <w:lang w:val="en-US" w:eastAsia="zh-CN"/>
        </w:rPr>
        <w:t>增长</w:t>
      </w:r>
      <w:r>
        <w:rPr>
          <w:rFonts w:hint="default" w:ascii="Times New Roman" w:hAnsi="Times New Roman" w:eastAsia="宋体" w:cs="Times New Roman"/>
          <w:sz w:val="32"/>
          <w:szCs w:val="32"/>
          <w:lang w:val="en-US" w:eastAsia="zh-CN"/>
        </w:rPr>
        <w:t>应给</w:t>
      </w:r>
      <w:r>
        <w:rPr>
          <w:rFonts w:hint="eastAsia" w:ascii="Times New Roman" w:hAnsi="Times New Roman" w:eastAsia="宋体" w:cs="Times New Roman"/>
          <w:sz w:val="32"/>
          <w:szCs w:val="32"/>
          <w:lang w:val="en-US" w:eastAsia="zh-CN"/>
        </w:rPr>
        <w:t>国民</w:t>
      </w:r>
      <w:r>
        <w:rPr>
          <w:rFonts w:hint="default" w:ascii="Times New Roman" w:hAnsi="Times New Roman" w:eastAsia="宋体" w:cs="Times New Roman"/>
          <w:sz w:val="32"/>
          <w:szCs w:val="32"/>
          <w:lang w:val="en-US" w:eastAsia="zh-CN"/>
        </w:rPr>
        <w:t>带来希望。</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sz w:val="32"/>
          <w:szCs w:val="32"/>
          <w:vertAlign w:val="baseline"/>
          <w:lang w:val="en-US" w:eastAsia="zh-CN"/>
        </w:rPr>
      </w:pPr>
      <w:r>
        <w:rPr>
          <w:rFonts w:hint="eastAsia" w:ascii="Times New Roman" w:hAnsi="Times New Roman" w:eastAsia="宋体" w:cs="Times New Roman"/>
          <w:sz w:val="32"/>
          <w:szCs w:val="32"/>
          <w:lang w:val="en-US" w:eastAsia="zh-CN"/>
        </w:rPr>
        <w:t>目前印度经济的主要问题有：城市经济中，正规</w:t>
      </w:r>
      <w:r>
        <w:rPr>
          <w:rFonts w:hint="default" w:ascii="Times New Roman" w:hAnsi="Times New Roman" w:eastAsia="宋体" w:cs="Times New Roman"/>
          <w:sz w:val="32"/>
          <w:szCs w:val="32"/>
          <w:lang w:val="en-US" w:eastAsia="zh-CN"/>
        </w:rPr>
        <w:t>就业岗位</w:t>
      </w:r>
      <w:r>
        <w:rPr>
          <w:rFonts w:hint="eastAsia" w:ascii="Times New Roman" w:hAnsi="Times New Roman" w:eastAsia="宋体" w:cs="Times New Roman"/>
          <w:sz w:val="32"/>
          <w:szCs w:val="32"/>
          <w:lang w:val="en-US" w:eastAsia="zh-CN"/>
        </w:rPr>
        <w:t>的</w:t>
      </w:r>
      <w:r>
        <w:rPr>
          <w:rFonts w:hint="default" w:ascii="Times New Roman" w:hAnsi="Times New Roman" w:eastAsia="宋体" w:cs="Times New Roman"/>
          <w:sz w:val="32"/>
          <w:szCs w:val="32"/>
          <w:lang w:val="en-US" w:eastAsia="zh-CN"/>
        </w:rPr>
        <w:t>创造</w:t>
      </w:r>
      <w:r>
        <w:rPr>
          <w:rFonts w:hint="eastAsia" w:ascii="Times New Roman" w:hAnsi="Times New Roman" w:eastAsia="宋体" w:cs="Times New Roman"/>
          <w:sz w:val="32"/>
          <w:szCs w:val="32"/>
          <w:lang w:val="en-US" w:eastAsia="zh-CN"/>
        </w:rPr>
        <w:t>仍然不足。</w:t>
      </w:r>
      <w:r>
        <w:rPr>
          <w:rFonts w:hint="default" w:ascii="Times New Roman" w:hAnsi="Times New Roman" w:eastAsia="宋体" w:cs="Times New Roman"/>
          <w:sz w:val="32"/>
          <w:szCs w:val="32"/>
          <w:lang w:val="en-US" w:eastAsia="zh-CN"/>
        </w:rPr>
        <w:t>农村经济疲软</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lang w:val="en-US" w:eastAsia="zh-CN"/>
        </w:rPr>
        <w:t>农业工人的工资停滞不前</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lang w:val="en-US" w:eastAsia="zh-CN"/>
        </w:rPr>
        <w:t>极端天气导致农作物减产，土地所有者的收入减少。</w:t>
      </w:r>
    </w:p>
    <w:tbl>
      <w:tblPr>
        <w:tblStyle w:val="6"/>
        <w:tblW w:w="0" w:type="auto"/>
        <w:tblInd w:w="31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63"/>
        <w:gridCol w:w="4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063"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default" w:ascii="Times New Roman" w:hAnsi="Times New Roman" w:eastAsia="宋体" w:cs="Times New Roman"/>
                <w:sz w:val="32"/>
                <w:szCs w:val="32"/>
                <w:vertAlign w:val="baseline"/>
                <w:lang w:val="en-US" w:eastAsia="zh-CN"/>
              </w:rPr>
            </w:pPr>
            <w:r>
              <w:rPr>
                <w:rFonts w:hint="default" w:ascii="Times New Roman" w:hAnsi="Times New Roman" w:eastAsia="宋体" w:cs="Times New Roman"/>
                <w:sz w:val="32"/>
                <w:szCs w:val="32"/>
                <w:lang w:val="en-US" w:eastAsia="zh-CN"/>
              </w:rPr>
              <w:t>五分之三的印度人生活在农村，</w:t>
            </w:r>
            <w:r>
              <w:rPr>
                <w:rFonts w:hint="eastAsia" w:ascii="Times New Roman" w:hAnsi="Times New Roman" w:eastAsia="宋体" w:cs="Times New Roman"/>
                <w:sz w:val="32"/>
                <w:szCs w:val="32"/>
                <w:lang w:val="en-US" w:eastAsia="zh-CN"/>
              </w:rPr>
              <w:t>改善农村经济是执政党（</w:t>
            </w:r>
            <w:r>
              <w:rPr>
                <w:rFonts w:hint="default" w:ascii="Times New Roman" w:hAnsi="Times New Roman" w:eastAsia="宋体" w:cs="Times New Roman"/>
                <w:sz w:val="32"/>
                <w:szCs w:val="32"/>
                <w:lang w:val="en-US" w:eastAsia="zh-CN"/>
              </w:rPr>
              <w:t>印度人民党</w:t>
            </w:r>
            <w:r>
              <w:rPr>
                <w:rFonts w:hint="eastAsia" w:ascii="Times New Roman" w:hAnsi="Times New Roman" w:eastAsia="宋体" w:cs="Times New Roman"/>
                <w:sz w:val="32"/>
                <w:szCs w:val="32"/>
                <w:lang w:val="en-US" w:eastAsia="zh-CN"/>
              </w:rPr>
              <w:t>）的重要工作目标</w:t>
            </w:r>
            <w:r>
              <w:rPr>
                <w:rFonts w:hint="default" w:ascii="Times New Roman" w:hAnsi="Times New Roman" w:eastAsia="宋体" w:cs="Times New Roman"/>
                <w:sz w:val="32"/>
                <w:szCs w:val="32"/>
                <w:lang w:val="en-US" w:eastAsia="zh-CN"/>
              </w:rPr>
              <w:t>。</w:t>
            </w:r>
            <w:r>
              <w:rPr>
                <w:rFonts w:hint="eastAsia" w:ascii="Times New Roman" w:hAnsi="Times New Roman" w:eastAsia="宋体" w:cs="Times New Roman"/>
                <w:sz w:val="32"/>
                <w:szCs w:val="32"/>
                <w:lang w:val="en-US" w:eastAsia="zh-CN"/>
              </w:rPr>
              <w:t>印度“</w:t>
            </w:r>
            <w:r>
              <w:rPr>
                <w:rFonts w:hint="default" w:ascii="Times New Roman" w:hAnsi="Times New Roman" w:eastAsia="宋体" w:cs="Times New Roman"/>
                <w:sz w:val="32"/>
                <w:szCs w:val="32"/>
                <w:lang w:val="en-US" w:eastAsia="zh-CN"/>
              </w:rPr>
              <w:t>2024-2025年</w:t>
            </w:r>
            <w:r>
              <w:rPr>
                <w:rFonts w:hint="eastAsia" w:ascii="Times New Roman" w:hAnsi="Times New Roman" w:eastAsia="宋体" w:cs="Times New Roman"/>
                <w:sz w:val="32"/>
                <w:szCs w:val="32"/>
                <w:lang w:val="en-US" w:eastAsia="zh-CN"/>
              </w:rPr>
              <w:t>政府</w:t>
            </w:r>
            <w:r>
              <w:rPr>
                <w:rFonts w:hint="default" w:ascii="Times New Roman" w:hAnsi="Times New Roman" w:eastAsia="宋体" w:cs="Times New Roman"/>
                <w:sz w:val="32"/>
                <w:szCs w:val="32"/>
                <w:lang w:val="en-US" w:eastAsia="zh-CN"/>
              </w:rPr>
              <w:t>预算</w:t>
            </w:r>
            <w:r>
              <w:rPr>
                <w:rFonts w:hint="eastAsia" w:ascii="Times New Roman" w:hAnsi="Times New Roman" w:eastAsia="宋体" w:cs="Times New Roman"/>
                <w:sz w:val="32"/>
                <w:szCs w:val="32"/>
                <w:lang w:val="en-US" w:eastAsia="zh-CN"/>
              </w:rPr>
              <w:t>”中，</w:t>
            </w:r>
            <w:r>
              <w:rPr>
                <w:rFonts w:hint="default" w:ascii="Times New Roman" w:hAnsi="Times New Roman" w:eastAsia="宋体" w:cs="Times New Roman"/>
                <w:sz w:val="32"/>
                <w:szCs w:val="32"/>
                <w:lang w:val="en-US" w:eastAsia="zh-CN"/>
              </w:rPr>
              <w:t>大幅增加了农村发展部的资金。</w:t>
            </w:r>
          </w:p>
        </w:tc>
        <w:tc>
          <w:tcPr>
            <w:tcW w:w="4686"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32"/>
                <w:szCs w:val="32"/>
                <w:vertAlign w:val="baseline"/>
                <w:lang w:val="en-US" w:eastAsia="zh-CN"/>
              </w:rPr>
            </w:pPr>
            <w:r>
              <w:rPr>
                <w:rFonts w:hint="default" w:asciiTheme="minorAscii" w:hAnsiTheme="minorAscii"/>
                <w:lang w:val="en-US" w:eastAsia="zh-CN"/>
              </w:rPr>
              <w:drawing>
                <wp:inline distT="0" distB="0" distL="114300" distR="114300">
                  <wp:extent cx="2832100" cy="2072005"/>
                  <wp:effectExtent l="0" t="0" r="6350" b="4445"/>
                  <wp:docPr id="26" name="图片 26" descr="（20240213）印度农村经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40213）印度农村经济－2"/>
                          <pic:cNvPicPr>
                            <a:picLocks noChangeAspect="1"/>
                          </pic:cNvPicPr>
                        </pic:nvPicPr>
                        <pic:blipFill>
                          <a:blip r:embed="rId14"/>
                          <a:stretch>
                            <a:fillRect/>
                          </a:stretch>
                        </pic:blipFill>
                        <pic:spPr>
                          <a:xfrm>
                            <a:off x="0" y="0"/>
                            <a:ext cx="2832100" cy="2072005"/>
                          </a:xfrm>
                          <a:prstGeom prst="rect">
                            <a:avLst/>
                          </a:prstGeom>
                        </pic:spPr>
                      </pic:pic>
                    </a:graphicData>
                  </a:graphic>
                </wp:inline>
              </w:drawing>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32"/>
          <w:szCs w:val="32"/>
          <w:lang w:val="en-US" w:eastAsia="zh-CN"/>
        </w:rPr>
      </w:pPr>
    </w:p>
    <w:p>
      <w:pPr>
        <w:ind w:left="0" w:leftChars="0" w:firstLine="0" w:firstLineChars="0"/>
        <w:jc w:val="left"/>
        <w:rPr>
          <w:rFonts w:hint="default"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w:t>
      </w:r>
      <w:r>
        <w:rPr>
          <w:rFonts w:hint="eastAsia" w:ascii="Times New Roman" w:hAnsi="Times New Roman" w:eastAsia="方正小标宋_GBK" w:cs="Times New Roman"/>
          <w:b/>
          <w:bCs/>
          <w:color w:val="FF0000"/>
          <w:sz w:val="32"/>
          <w:szCs w:val="40"/>
          <w:highlight w:val="yellow"/>
          <w:lang w:val="en-US" w:eastAsia="zh-CN"/>
        </w:rPr>
        <w:t>14</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三</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美国1月通胀强劲，降息预期延后</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2</w:t>
      </w:r>
      <w:r>
        <w:rPr>
          <w:rFonts w:hint="eastAsia" w:ascii="Times New Roman" w:hAnsi="Times New Roman" w:eastAsia="宋体" w:cs="Times New Roman"/>
          <w:sz w:val="32"/>
          <w:szCs w:val="32"/>
          <w:lang w:val="en-US" w:eastAsia="zh-CN"/>
        </w:rPr>
        <w:t>月</w:t>
      </w:r>
      <w:r>
        <w:rPr>
          <w:rFonts w:hint="default" w:ascii="Times New Roman" w:hAnsi="Times New Roman" w:eastAsia="宋体" w:cs="Times New Roman"/>
          <w:sz w:val="32"/>
          <w:szCs w:val="32"/>
          <w:lang w:val="en-US" w:eastAsia="zh-CN"/>
        </w:rPr>
        <w:t>13</w:t>
      </w:r>
      <w:r>
        <w:rPr>
          <w:rFonts w:hint="eastAsia" w:ascii="Times New Roman" w:hAnsi="Times New Roman" w:eastAsia="宋体" w:cs="Times New Roman"/>
          <w:sz w:val="32"/>
          <w:szCs w:val="32"/>
          <w:lang w:val="en-US" w:eastAsia="zh-CN"/>
        </w:rPr>
        <w:t>日（周二），美国劳工统计局公布上月通货膨胀数据。</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32"/>
          <w:szCs w:val="32"/>
          <w:lang w:val="en-US" w:eastAsia="zh-CN"/>
        </w:rPr>
      </w:pPr>
      <w:r>
        <w:drawing>
          <wp:inline distT="0" distB="0" distL="114300" distR="114300">
            <wp:extent cx="5182870" cy="1871980"/>
            <wp:effectExtent l="0" t="0" r="17780"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5182870" cy="18719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1月CPI同比增长3.1%，未能如市场所期望的下降到</w:t>
      </w:r>
      <w:r>
        <w:rPr>
          <w:rFonts w:hint="default" w:ascii="Times New Roman" w:hAnsi="Times New Roman" w:eastAsia="宋体" w:cs="Times New Roman"/>
          <w:sz w:val="32"/>
          <w:szCs w:val="32"/>
          <w:lang w:val="en-US" w:eastAsia="zh-CN"/>
        </w:rPr>
        <w:t>3%</w:t>
      </w:r>
      <w:r>
        <w:rPr>
          <w:rFonts w:hint="eastAsia" w:ascii="Times New Roman" w:hAnsi="Times New Roman" w:eastAsia="宋体" w:cs="Times New Roman"/>
          <w:sz w:val="32"/>
          <w:szCs w:val="32"/>
          <w:lang w:val="en-US" w:eastAsia="zh-CN"/>
        </w:rPr>
        <w:t>之下，住房租金是引发通胀上升的主要因素之一，服务成本和食品成本也保持坚挺。1月核心CPI同比增长3.9%，也高于预期（见表格）。</w:t>
      </w:r>
    </w:p>
    <w:p>
      <w:pPr>
        <w:jc w:val="center"/>
        <w:rPr>
          <w:rFonts w:asciiTheme="minorAscii" w:hAnsiTheme="minorAscii"/>
        </w:rPr>
      </w:pPr>
      <w:r>
        <w:rPr>
          <w:rFonts w:hint="eastAsia" w:asciiTheme="minorAscii" w:hAnsiTheme="minorAscii"/>
          <w:lang w:val="en-US" w:eastAsia="zh-CN"/>
        </w:rPr>
        <w:t xml:space="preserve">  </w:t>
      </w:r>
      <w:r>
        <w:rPr>
          <w:rFonts w:asciiTheme="minorAscii" w:hAnsiTheme="minorAscii"/>
        </w:rPr>
        <w:drawing>
          <wp:inline distT="0" distB="0" distL="114300" distR="114300">
            <wp:extent cx="5363845" cy="3618230"/>
            <wp:effectExtent l="0" t="0" r="8255" b="127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6"/>
                    <a:stretch>
                      <a:fillRect/>
                    </a:stretch>
                  </pic:blipFill>
                  <pic:spPr>
                    <a:xfrm>
                      <a:off x="0" y="0"/>
                      <a:ext cx="5363845" cy="3618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1月CPI数据超预期，引发对利率走势的重新定价，美股全线下跌，当日三大股指都跌超1%，美元指数和美债收益率短线走高。</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在计算1月CPI数据时，美国劳工统计局采用了新的权重，将住房（租金）占比上升，新车和二手车占比下降，这能在一定程度上解释了为何1月CPI数据强于预期。</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目前，市场已将3月降息的可能性排除，对5月降息押注为五五开。在CPI数据公布之前，今年FOMC票委、亚特兰大联储主席博斯蒂克表示：对今年通胀轨迹的看法是颠簸而缓慢的，降息会在今年夏季的某个时候出现。</w:t>
      </w:r>
    </w:p>
    <w:p>
      <w:pPr>
        <w:ind w:firstLine="528" w:firstLineChars="200"/>
        <w:jc w:val="left"/>
        <w:rPr>
          <w:rFonts w:hint="default" w:ascii="Times New Roman" w:hAnsi="Times New Roman" w:eastAsia="楷体" w:cs="Times New Roman"/>
          <w:sz w:val="28"/>
          <w:szCs w:val="28"/>
          <w:lang w:eastAsia="zh-CN"/>
        </w:rPr>
      </w:pPr>
      <w:r>
        <w:rPr>
          <w:rFonts w:hint="default" w:ascii="Times New Roman" w:hAnsi="Times New Roman" w:eastAsia="楷体" w:cs="Times New Roman"/>
          <w:sz w:val="28"/>
          <w:szCs w:val="28"/>
          <w:lang w:eastAsia="zh-CN"/>
        </w:rPr>
        <w:t>（注：美联储每年一般召开8次</w:t>
      </w:r>
      <w:r>
        <w:rPr>
          <w:rFonts w:hint="eastAsia" w:ascii="Times New Roman" w:hAnsi="Times New Roman" w:eastAsia="楷体" w:cs="Times New Roman"/>
          <w:sz w:val="28"/>
          <w:szCs w:val="28"/>
          <w:lang w:eastAsia="zh-CN"/>
        </w:rPr>
        <w:t>“</w:t>
      </w:r>
      <w:r>
        <w:rPr>
          <w:rFonts w:hint="default" w:ascii="Times New Roman" w:hAnsi="Times New Roman" w:eastAsia="楷体" w:cs="Times New Roman"/>
          <w:sz w:val="28"/>
          <w:szCs w:val="28"/>
          <w:lang w:eastAsia="zh-CN"/>
        </w:rPr>
        <w:t>联邦公开市场委员会</w:t>
      </w:r>
      <w:r>
        <w:rPr>
          <w:rFonts w:hint="eastAsia" w:ascii="Times New Roman" w:hAnsi="Times New Roman" w:eastAsia="楷体" w:cs="Times New Roman"/>
          <w:sz w:val="28"/>
          <w:szCs w:val="28"/>
          <w:lang w:eastAsia="zh-CN"/>
        </w:rPr>
        <w:t>”</w:t>
      </w:r>
      <w:r>
        <w:rPr>
          <w:rFonts w:hint="default" w:ascii="Times New Roman" w:hAnsi="Times New Roman" w:eastAsia="楷体" w:cs="Times New Roman"/>
          <w:sz w:val="28"/>
          <w:szCs w:val="28"/>
          <w:lang w:eastAsia="zh-CN"/>
        </w:rPr>
        <w:t>（Federal Open Market Committee，简称FOMC）会议，审议当前的经济状况、通胀水平、就业数据和其他相关指标，以及全球经济环境等因素。就是否需要调整利率水平、采取其他货币政策工具等问题进行讨论和决策，因此也被称为</w:t>
      </w:r>
      <w:r>
        <w:rPr>
          <w:rFonts w:hint="eastAsia" w:ascii="Times New Roman" w:hAnsi="Times New Roman" w:eastAsia="楷体" w:cs="Times New Roman"/>
          <w:sz w:val="28"/>
          <w:szCs w:val="28"/>
          <w:lang w:eastAsia="zh-CN"/>
        </w:rPr>
        <w:t>“</w:t>
      </w:r>
      <w:r>
        <w:rPr>
          <w:rFonts w:hint="default" w:ascii="Times New Roman" w:hAnsi="Times New Roman" w:eastAsia="楷体" w:cs="Times New Roman"/>
          <w:sz w:val="28"/>
          <w:szCs w:val="28"/>
          <w:lang w:eastAsia="zh-CN"/>
        </w:rPr>
        <w:t>议息会议</w:t>
      </w:r>
      <w:r>
        <w:rPr>
          <w:rFonts w:hint="eastAsia" w:ascii="Times New Roman" w:hAnsi="Times New Roman" w:eastAsia="楷体" w:cs="Times New Roman"/>
          <w:sz w:val="28"/>
          <w:szCs w:val="28"/>
          <w:lang w:eastAsia="zh-CN"/>
        </w:rPr>
        <w:t>”</w:t>
      </w:r>
      <w:r>
        <w:rPr>
          <w:rFonts w:hint="default" w:ascii="Times New Roman" w:hAnsi="Times New Roman" w:eastAsia="楷体" w:cs="Times New Roman"/>
          <w:sz w:val="28"/>
          <w:szCs w:val="28"/>
          <w:lang w:eastAsia="zh-CN"/>
        </w:rPr>
        <w:t>或</w:t>
      </w:r>
      <w:r>
        <w:rPr>
          <w:rFonts w:hint="eastAsia" w:ascii="Times New Roman" w:hAnsi="Times New Roman" w:eastAsia="楷体" w:cs="Times New Roman"/>
          <w:sz w:val="28"/>
          <w:szCs w:val="28"/>
          <w:lang w:eastAsia="zh-CN"/>
        </w:rPr>
        <w:t>“</w:t>
      </w:r>
      <w:r>
        <w:rPr>
          <w:rFonts w:hint="default" w:ascii="Times New Roman" w:hAnsi="Times New Roman" w:eastAsia="楷体" w:cs="Times New Roman"/>
          <w:sz w:val="28"/>
          <w:szCs w:val="28"/>
          <w:lang w:eastAsia="zh-CN"/>
        </w:rPr>
        <w:t>利率会议</w:t>
      </w:r>
      <w:r>
        <w:rPr>
          <w:rFonts w:hint="eastAsia" w:ascii="Times New Roman" w:hAnsi="Times New Roman" w:eastAsia="楷体" w:cs="Times New Roman"/>
          <w:sz w:val="28"/>
          <w:szCs w:val="28"/>
          <w:lang w:eastAsia="zh-CN"/>
        </w:rPr>
        <w:t>”</w:t>
      </w:r>
      <w:r>
        <w:rPr>
          <w:rFonts w:hint="default" w:ascii="Times New Roman" w:hAnsi="Times New Roman" w:eastAsia="楷体" w:cs="Times New Roman"/>
          <w:sz w:val="28"/>
          <w:szCs w:val="28"/>
          <w:lang w:eastAsia="zh-CN"/>
        </w:rPr>
        <w:t>。</w:t>
      </w:r>
    </w:p>
    <w:p>
      <w:pPr>
        <w:ind w:firstLine="528" w:firstLineChars="200"/>
        <w:jc w:val="left"/>
        <w:rPr>
          <w:rFonts w:hint="default" w:ascii="Times New Roman" w:hAnsi="Times New Roman" w:eastAsia="楷体" w:cs="Times New Roman"/>
          <w:sz w:val="28"/>
          <w:szCs w:val="28"/>
          <w:lang w:eastAsia="zh-CN"/>
        </w:rPr>
      </w:pPr>
      <w:r>
        <w:rPr>
          <w:rFonts w:hint="default" w:ascii="Times New Roman" w:hAnsi="Times New Roman" w:eastAsia="楷体" w:cs="Times New Roman"/>
          <w:sz w:val="28"/>
          <w:szCs w:val="28"/>
          <w:lang w:eastAsia="zh-CN"/>
        </w:rPr>
        <w:t>FOMC由12位成员组成，其中7位是美联储的理事（含正副主席），5位是12个地区联邦储备银行行长。这12人参加FOMC会议，并拥有对会议决策的投票权，所以被称为</w:t>
      </w:r>
      <w:r>
        <w:rPr>
          <w:rFonts w:hint="eastAsia" w:ascii="Times New Roman" w:hAnsi="Times New Roman" w:eastAsia="楷体" w:cs="Times New Roman"/>
          <w:sz w:val="28"/>
          <w:szCs w:val="28"/>
          <w:lang w:eastAsia="zh-CN"/>
        </w:rPr>
        <w:t>“</w:t>
      </w:r>
      <w:r>
        <w:rPr>
          <w:rFonts w:hint="default" w:ascii="Times New Roman" w:hAnsi="Times New Roman" w:eastAsia="楷体" w:cs="Times New Roman"/>
          <w:b/>
          <w:bCs/>
          <w:sz w:val="28"/>
          <w:szCs w:val="28"/>
          <w:lang w:eastAsia="zh-CN"/>
        </w:rPr>
        <w:t>票委</w:t>
      </w:r>
      <w:r>
        <w:rPr>
          <w:rFonts w:hint="eastAsia" w:ascii="Times New Roman" w:hAnsi="Times New Roman" w:eastAsia="楷体" w:cs="Times New Roman"/>
          <w:sz w:val="28"/>
          <w:szCs w:val="28"/>
          <w:lang w:eastAsia="zh-CN"/>
        </w:rPr>
        <w:t>”</w:t>
      </w:r>
      <w:r>
        <w:rPr>
          <w:rFonts w:hint="default" w:ascii="Times New Roman" w:hAnsi="Times New Roman" w:eastAsia="楷体" w:cs="Times New Roman"/>
          <w:sz w:val="28"/>
          <w:szCs w:val="28"/>
          <w:lang w:eastAsia="zh-CN"/>
        </w:rPr>
        <w:t>。</w:t>
      </w:r>
    </w:p>
    <w:p>
      <w:pPr>
        <w:ind w:firstLine="528" w:firstLineChars="200"/>
        <w:jc w:val="left"/>
        <w:rPr>
          <w:rFonts w:hint="default" w:ascii="Times New Roman" w:hAnsi="Times New Roman" w:eastAsia="楷体" w:cs="Times New Roman"/>
          <w:sz w:val="28"/>
          <w:szCs w:val="28"/>
          <w:lang w:eastAsia="zh-CN"/>
        </w:rPr>
      </w:pPr>
      <w:r>
        <w:rPr>
          <w:rFonts w:hint="default" w:ascii="Times New Roman" w:hAnsi="Times New Roman" w:eastAsia="楷体" w:cs="Times New Roman"/>
          <w:sz w:val="28"/>
          <w:szCs w:val="28"/>
          <w:lang w:eastAsia="zh-CN"/>
        </w:rPr>
        <w:t>在12位地区联储银行的行长中，纽约储备银行行长与美联储理事一样，是FOMC的固定成员，其他4席按照轮值制度轮流担当。）</w:t>
      </w:r>
    </w:p>
    <w:p>
      <w:pPr>
        <w:jc w:val="left"/>
        <w:rPr>
          <w:rFonts w:hint="default" w:ascii="Calibri" w:hAnsi="Calibri" w:eastAsia="宋体" w:cs="Calibri"/>
          <w:b/>
          <w:bCs/>
          <w:color w:val="0000FF"/>
          <w:highlight w:val="yellow"/>
          <w:lang w:val="en-US" w:eastAsia="zh-CN"/>
        </w:rPr>
      </w:pPr>
    </w:p>
    <w:p>
      <w:pPr>
        <w:ind w:left="0" w:leftChars="0" w:firstLine="0" w:firstLineChars="0"/>
        <w:jc w:val="left"/>
        <w:rPr>
          <w:rFonts w:hint="default"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Times New Roman" w:hAnsi="Times New Roman" w:eastAsia="方正小标宋_GBK" w:cs="Times New Roman"/>
          <w:b/>
          <w:bCs/>
          <w:color w:val="FF0000"/>
          <w:sz w:val="32"/>
          <w:szCs w:val="40"/>
          <w:highlight w:val="yellow"/>
          <w:lang w:val="en-US" w:eastAsia="zh-CN"/>
        </w:rPr>
      </w:pP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w:t>
      </w:r>
      <w:r>
        <w:rPr>
          <w:rFonts w:hint="eastAsia" w:ascii="Times New Roman" w:hAnsi="Times New Roman" w:eastAsia="方正小标宋_GBK" w:cs="Times New Roman"/>
          <w:b/>
          <w:bCs/>
          <w:color w:val="FF0000"/>
          <w:sz w:val="32"/>
          <w:szCs w:val="40"/>
          <w:highlight w:val="yellow"/>
          <w:lang w:val="en-US" w:eastAsia="zh-CN"/>
        </w:rPr>
        <w:t>15</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四</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新能源产业，阿根廷通胀，巴菲特持股</w:t>
      </w:r>
    </w:p>
    <w:p>
      <w:pPr>
        <w:ind w:firstLine="584" w:firstLineChars="200"/>
        <w:jc w:val="left"/>
        <w:rPr>
          <w:rFonts w:hint="default" w:asciiTheme="minorAscii" w:hAnsiTheme="minorAscii" w:eastAsiaTheme="minorEastAsia"/>
          <w:b/>
          <w:bCs/>
          <w:spacing w:val="-6"/>
          <w:sz w:val="32"/>
          <w:szCs w:val="32"/>
          <w:lang w:eastAsia="zh-CN"/>
        </w:rPr>
      </w:pPr>
      <w:r>
        <w:rPr>
          <w:rFonts w:hint="default" w:asciiTheme="minorAscii" w:hAnsiTheme="minorAscii" w:eastAsiaTheme="minorEastAsia"/>
          <w:b/>
          <w:bCs/>
          <w:spacing w:val="-6"/>
          <w:sz w:val="32"/>
          <w:szCs w:val="32"/>
          <w:lang w:eastAsia="zh-CN"/>
        </w:rPr>
        <w:t>一、全球可再生能源发电能力仍需高速增长，相关产业增长可期</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本周，各国能源部长齐聚巴黎，参加国际能源署（IEA，International Energy Agency）的年度聚会。该机构成立于</w:t>
      </w:r>
      <w:r>
        <w:rPr>
          <w:rFonts w:hint="default" w:ascii="Times New Roman" w:hAnsi="Times New Roman" w:eastAsia="宋体" w:cs="Times New Roman"/>
          <w:sz w:val="32"/>
          <w:szCs w:val="32"/>
          <w:lang w:val="en-US" w:eastAsia="zh-CN"/>
        </w:rPr>
        <w:t>1974</w:t>
      </w:r>
      <w:r>
        <w:rPr>
          <w:rFonts w:hint="eastAsia" w:ascii="Times New Roman" w:hAnsi="Times New Roman" w:eastAsia="宋体" w:cs="Times New Roman"/>
          <w:sz w:val="32"/>
          <w:szCs w:val="32"/>
          <w:lang w:val="en-US" w:eastAsia="zh-CN"/>
        </w:rPr>
        <w:t>年，今年正好是50周年。</w:t>
      </w:r>
      <w:r>
        <w:rPr>
          <w:rFonts w:hint="default" w:ascii="Times New Roman" w:hAnsi="Times New Roman" w:eastAsia="宋体" w:cs="Times New Roman"/>
          <w:sz w:val="32"/>
          <w:szCs w:val="32"/>
          <w:lang w:val="en-US" w:eastAsia="zh-CN"/>
        </w:rPr>
        <w:t>IEA</w:t>
      </w:r>
      <w:r>
        <w:rPr>
          <w:rFonts w:hint="eastAsia" w:ascii="Times New Roman" w:hAnsi="Times New Roman" w:eastAsia="宋体" w:cs="Times New Roman"/>
          <w:sz w:val="32"/>
          <w:szCs w:val="32"/>
          <w:lang w:val="en-US" w:eastAsia="zh-CN"/>
        </w:rPr>
        <w:t>成立，旨在确保能源进口国的石油供应安全，现在却在为全球经济摆脱化石能源而努力。</w:t>
      </w:r>
    </w:p>
    <w:p>
      <w:pPr>
        <w:keepNext w:val="0"/>
        <w:keepLines w:val="0"/>
        <w:pageBreakBefore w:val="0"/>
        <w:widowControl w:val="0"/>
        <w:kinsoku/>
        <w:wordWrap/>
        <w:overflowPunct/>
        <w:topLinePunct w:val="0"/>
        <w:autoSpaceDE/>
        <w:autoSpaceDN/>
        <w:bidi w:val="0"/>
        <w:adjustRightInd/>
        <w:snapToGrid/>
        <w:spacing w:line="240" w:lineRule="auto"/>
        <w:ind w:firstLine="388" w:firstLineChars="200"/>
        <w:jc w:val="left"/>
        <w:textAlignment w:val="auto"/>
        <w:rPr>
          <w:rFonts w:hint="eastAsia" w:ascii="Times New Roman" w:hAnsi="Times New Roman" w:eastAsia="宋体" w:cs="Times New Roman"/>
          <w:sz w:val="32"/>
          <w:szCs w:val="32"/>
          <w:lang w:val="en-US" w:eastAsia="zh-CN"/>
        </w:rPr>
      </w:pPr>
      <w:r>
        <w:rPr>
          <w:rFonts w:asciiTheme="minorAscii" w:hAnsiTheme="minorAscii"/>
        </w:rPr>
        <w:drawing>
          <wp:inline distT="0" distB="0" distL="114300" distR="114300">
            <wp:extent cx="5012690" cy="2656840"/>
            <wp:effectExtent l="0" t="0" r="16510" b="1016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17"/>
                    <a:stretch>
                      <a:fillRect/>
                    </a:stretch>
                  </pic:blipFill>
                  <pic:spPr>
                    <a:xfrm>
                      <a:off x="0" y="0"/>
                      <a:ext cx="5012690" cy="26568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IEA</w:t>
      </w:r>
      <w:r>
        <w:rPr>
          <w:rFonts w:hint="eastAsia" w:ascii="Times New Roman" w:hAnsi="Times New Roman" w:eastAsia="宋体" w:cs="Times New Roman"/>
          <w:sz w:val="32"/>
          <w:szCs w:val="32"/>
          <w:lang w:val="en-US" w:eastAsia="zh-CN"/>
        </w:rPr>
        <w:t>的最新报告指出，2023年全球可再生能源装机容量增长了近50%，是过去二十年来增速最快的一年，这得益于欧洲、美洲、巴西和尤其是中国的加速发展。</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然而，报告警告称目前的增长速度可能会放缓：到2030年，预计可再生能源装机容量仅会增长2.5倍，达不到去年气候峰会COP28设定的目标，即将可再生能源装机容量增长三倍。</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IEA</w:t>
      </w:r>
      <w:r>
        <w:rPr>
          <w:rFonts w:hint="eastAsia" w:ascii="Times New Roman" w:hAnsi="Times New Roman" w:eastAsia="宋体" w:cs="Times New Roman"/>
          <w:sz w:val="32"/>
          <w:szCs w:val="32"/>
          <w:lang w:val="en-US" w:eastAsia="zh-CN"/>
        </w:rPr>
        <w:t>提醒，各国政府需要更加努力。</w:t>
      </w:r>
    </w:p>
    <w:p>
      <w:pPr>
        <w:jc w:val="center"/>
        <w:rPr>
          <w:rFonts w:asciiTheme="minorAscii" w:hAnsiTheme="minorAscii"/>
        </w:rPr>
      </w:pPr>
      <w:r>
        <w:rPr>
          <w:rFonts w:asciiTheme="minorAscii" w:hAnsiTheme="minorAscii"/>
        </w:rPr>
        <w:drawing>
          <wp:inline distT="0" distB="0" distL="114300" distR="114300">
            <wp:extent cx="4944745" cy="1786890"/>
            <wp:effectExtent l="0" t="0" r="8255" b="38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8"/>
                    <a:stretch>
                      <a:fillRect/>
                    </a:stretch>
                  </pic:blipFill>
                  <pic:spPr>
                    <a:xfrm>
                      <a:off x="0" y="0"/>
                      <a:ext cx="4944745" cy="1786890"/>
                    </a:xfrm>
                    <a:prstGeom prst="rect">
                      <a:avLst/>
                    </a:prstGeom>
                    <a:noFill/>
                    <a:ln>
                      <a:noFill/>
                    </a:ln>
                  </pic:spPr>
                </pic:pic>
              </a:graphicData>
            </a:graphic>
          </wp:inline>
        </w:drawing>
      </w:r>
    </w:p>
    <w:p>
      <w:pPr>
        <w:jc w:val="center"/>
        <w:rPr>
          <w:rFonts w:hint="eastAsia" w:asciiTheme="minorAscii" w:hAnsiTheme="minorAscii" w:eastAsiaTheme="minorEastAsia"/>
          <w:lang w:eastAsia="zh-CN"/>
        </w:rPr>
      </w:pPr>
      <w:r>
        <w:rPr>
          <w:rFonts w:hint="default" w:ascii="Times New Roman" w:hAnsi="Times New Roman" w:eastAsia="楷体" w:cs="Times New Roman"/>
          <w:sz w:val="28"/>
          <w:szCs w:val="28"/>
          <w:lang w:eastAsia="zh-CN"/>
        </w:rPr>
        <w:t>（图示：红、蓝和深蓝分别代表光电、风电和水电，灰色为生物能及其他）</w:t>
      </w:r>
    </w:p>
    <w:p>
      <w:pPr>
        <w:ind w:firstLine="608" w:firstLineChars="200"/>
        <w:jc w:val="left"/>
        <w:rPr>
          <w:rFonts w:hint="eastAsia" w:asciiTheme="minorAscii" w:hAnsiTheme="minorAscii"/>
          <w:b/>
          <w:bCs/>
          <w:sz w:val="32"/>
          <w:szCs w:val="32"/>
          <w:lang w:val="en-US" w:eastAsia="zh-CN"/>
        </w:rPr>
      </w:pPr>
      <w:r>
        <w:rPr>
          <w:rFonts w:hint="eastAsia" w:asciiTheme="minorAscii" w:hAnsiTheme="minorAscii"/>
          <w:b/>
          <w:bCs/>
          <w:sz w:val="32"/>
          <w:szCs w:val="32"/>
          <w:lang w:val="en-US" w:eastAsia="zh-CN"/>
        </w:rPr>
        <w:t>二、阿根廷</w:t>
      </w:r>
      <w:r>
        <w:rPr>
          <w:rFonts w:hint="default" w:asciiTheme="minorAscii" w:hAnsiTheme="minorAscii"/>
          <w:b/>
          <w:bCs/>
          <w:sz w:val="32"/>
          <w:szCs w:val="32"/>
          <w:lang w:val="en-US" w:eastAsia="zh-CN"/>
        </w:rPr>
        <w:t>1</w:t>
      </w:r>
      <w:r>
        <w:rPr>
          <w:rFonts w:hint="eastAsia" w:asciiTheme="minorAscii" w:hAnsiTheme="minorAscii"/>
          <w:b/>
          <w:bCs/>
          <w:sz w:val="32"/>
          <w:szCs w:val="32"/>
          <w:lang w:val="en-US" w:eastAsia="zh-CN"/>
        </w:rPr>
        <w:t>月通胀走高，新政府压力巨大</w:t>
      </w:r>
    </w:p>
    <w:p>
      <w:pPr>
        <w:keepNext w:val="0"/>
        <w:keepLines w:val="0"/>
        <w:pageBreakBefore w:val="0"/>
        <w:widowControl w:val="0"/>
        <w:kinsoku/>
        <w:wordWrap/>
        <w:overflowPunct/>
        <w:topLinePunct w:val="0"/>
        <w:autoSpaceDE/>
        <w:autoSpaceDN/>
        <w:bidi w:val="0"/>
        <w:adjustRightInd/>
        <w:snapToGrid/>
        <w:spacing w:line="520" w:lineRule="exact"/>
        <w:ind w:firstLine="584" w:firstLineChars="200"/>
        <w:jc w:val="left"/>
        <w:textAlignment w:val="auto"/>
        <w:rPr>
          <w:rFonts w:hint="eastAsia" w:ascii="Times New Roman" w:hAnsi="Times New Roman" w:eastAsia="宋体" w:cs="Times New Roman"/>
          <w:spacing w:val="-6"/>
          <w:sz w:val="32"/>
          <w:szCs w:val="32"/>
          <w:lang w:val="en-US" w:eastAsia="zh-CN"/>
        </w:rPr>
      </w:pPr>
      <w:r>
        <w:rPr>
          <w:rFonts w:hint="default" w:ascii="Times New Roman" w:hAnsi="Times New Roman" w:eastAsia="宋体" w:cs="Times New Roman"/>
          <w:spacing w:val="-6"/>
          <w:sz w:val="32"/>
          <w:szCs w:val="32"/>
          <w:lang w:val="en-US" w:eastAsia="zh-CN"/>
        </w:rPr>
        <w:t>2</w:t>
      </w:r>
      <w:r>
        <w:rPr>
          <w:rFonts w:hint="eastAsia" w:ascii="Times New Roman" w:hAnsi="Times New Roman" w:eastAsia="宋体" w:cs="Times New Roman"/>
          <w:spacing w:val="-6"/>
          <w:sz w:val="32"/>
          <w:szCs w:val="32"/>
          <w:lang w:val="en-US" w:eastAsia="zh-CN"/>
        </w:rPr>
        <w:t>月</w:t>
      </w:r>
      <w:r>
        <w:rPr>
          <w:rFonts w:hint="default" w:ascii="Times New Roman" w:hAnsi="Times New Roman" w:eastAsia="宋体" w:cs="Times New Roman"/>
          <w:spacing w:val="-6"/>
          <w:sz w:val="32"/>
          <w:szCs w:val="32"/>
          <w:lang w:val="en-US" w:eastAsia="zh-CN"/>
        </w:rPr>
        <w:t>14</w:t>
      </w:r>
      <w:r>
        <w:rPr>
          <w:rFonts w:hint="eastAsia" w:ascii="Times New Roman" w:hAnsi="Times New Roman" w:eastAsia="宋体" w:cs="Times New Roman"/>
          <w:spacing w:val="-6"/>
          <w:sz w:val="32"/>
          <w:szCs w:val="32"/>
          <w:lang w:val="en-US" w:eastAsia="zh-CN"/>
        </w:rPr>
        <w:t>日（周三），阿根廷统计局发布通胀数据，阿根廷1月份通胀率环比增长20.6%，比较12月份数据（</w:t>
      </w:r>
      <w:r>
        <w:rPr>
          <w:rFonts w:hint="default" w:ascii="Times New Roman" w:hAnsi="Times New Roman" w:eastAsia="宋体" w:cs="Times New Roman"/>
          <w:spacing w:val="-6"/>
          <w:sz w:val="32"/>
          <w:szCs w:val="32"/>
          <w:lang w:val="en-US" w:eastAsia="zh-CN"/>
        </w:rPr>
        <w:t>25.5%</w:t>
      </w:r>
      <w:r>
        <w:rPr>
          <w:rFonts w:hint="eastAsia" w:ascii="Times New Roman" w:hAnsi="Times New Roman" w:eastAsia="宋体" w:cs="Times New Roman"/>
          <w:spacing w:val="-6"/>
          <w:sz w:val="32"/>
          <w:szCs w:val="32"/>
          <w:lang w:val="en-US" w:eastAsia="zh-CN"/>
        </w:rPr>
        <w:t>）有所放缓；</w:t>
      </w:r>
      <w:r>
        <w:rPr>
          <w:rFonts w:hint="default" w:ascii="Times New Roman" w:hAnsi="Times New Roman" w:eastAsia="宋体" w:cs="Times New Roman"/>
          <w:spacing w:val="-6"/>
          <w:sz w:val="32"/>
          <w:szCs w:val="32"/>
          <w:lang w:val="en-US" w:eastAsia="zh-CN"/>
        </w:rPr>
        <w:t>1</w:t>
      </w:r>
      <w:r>
        <w:rPr>
          <w:rFonts w:hint="eastAsia" w:ascii="Times New Roman" w:hAnsi="Times New Roman" w:eastAsia="宋体" w:cs="Times New Roman"/>
          <w:spacing w:val="-6"/>
          <w:sz w:val="32"/>
          <w:szCs w:val="32"/>
          <w:lang w:val="en-US" w:eastAsia="zh-CN"/>
        </w:rPr>
        <w:t>月份通胀率增长254.2%，低于市场预测，但高于</w:t>
      </w:r>
      <w:r>
        <w:rPr>
          <w:rFonts w:hint="default" w:ascii="Times New Roman" w:hAnsi="Times New Roman" w:eastAsia="宋体" w:cs="Times New Roman"/>
          <w:spacing w:val="-6"/>
          <w:sz w:val="32"/>
          <w:szCs w:val="32"/>
          <w:lang w:val="en-US" w:eastAsia="zh-CN"/>
        </w:rPr>
        <w:t>12</w:t>
      </w:r>
      <w:r>
        <w:rPr>
          <w:rFonts w:hint="eastAsia" w:ascii="Times New Roman" w:hAnsi="Times New Roman" w:eastAsia="宋体" w:cs="Times New Roman"/>
          <w:spacing w:val="-6"/>
          <w:sz w:val="32"/>
          <w:szCs w:val="32"/>
          <w:lang w:val="en-US" w:eastAsia="zh-CN"/>
        </w:rPr>
        <w:t>月的数据（</w:t>
      </w:r>
      <w:r>
        <w:rPr>
          <w:rFonts w:hint="default" w:ascii="Times New Roman" w:hAnsi="Times New Roman" w:eastAsia="宋体" w:cs="Times New Roman"/>
          <w:spacing w:val="-6"/>
          <w:sz w:val="32"/>
          <w:szCs w:val="32"/>
          <w:lang w:val="en-US" w:eastAsia="zh-CN"/>
        </w:rPr>
        <w:t>211%</w:t>
      </w:r>
      <w:r>
        <w:rPr>
          <w:rFonts w:hint="eastAsia" w:ascii="Times New Roman" w:hAnsi="Times New Roman" w:eastAsia="宋体" w:cs="Times New Roman"/>
          <w:spacing w:val="-6"/>
          <w:sz w:val="32"/>
          <w:szCs w:val="32"/>
          <w:lang w:val="en-US" w:eastAsia="zh-CN"/>
        </w:rPr>
        <w:t>）。</w:t>
      </w:r>
    </w:p>
    <w:p>
      <w:pPr>
        <w:jc w:val="center"/>
        <w:rPr>
          <w:rFonts w:hint="eastAsia" w:asciiTheme="minorAscii" w:hAnsiTheme="minorAscii"/>
          <w:lang w:val="en-US" w:eastAsia="zh-CN"/>
        </w:rPr>
      </w:pPr>
      <w:r>
        <w:rPr>
          <w:rFonts w:asciiTheme="minorAscii" w:hAnsiTheme="minorAscii"/>
        </w:rPr>
        <w:drawing>
          <wp:inline distT="0" distB="0" distL="114300" distR="114300">
            <wp:extent cx="4707255" cy="2125345"/>
            <wp:effectExtent l="0" t="0" r="17145" b="825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9"/>
                    <a:stretch>
                      <a:fillRect/>
                    </a:stretch>
                  </pic:blipFill>
                  <pic:spPr>
                    <a:xfrm>
                      <a:off x="0" y="0"/>
                      <a:ext cx="4707255" cy="21253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阿根廷通胀率飙升的主要原因是新任总统米莱伊实施的“休克疗法”，包括比索贬值、减少能源和交通补贴等。这是阿根廷政府为解决高额预算赤字（约占</w:t>
      </w:r>
      <w:r>
        <w:rPr>
          <w:rFonts w:hint="default" w:ascii="Times New Roman" w:hAnsi="Times New Roman" w:eastAsia="宋体" w:cs="Times New Roman"/>
          <w:sz w:val="32"/>
          <w:szCs w:val="32"/>
          <w:lang w:val="en-US" w:eastAsia="zh-CN"/>
        </w:rPr>
        <w:t>GDP</w:t>
      </w:r>
      <w:r>
        <w:rPr>
          <w:rFonts w:hint="eastAsia" w:ascii="Times New Roman" w:hAnsi="Times New Roman" w:eastAsia="宋体" w:cs="Times New Roman"/>
          <w:sz w:val="32"/>
          <w:szCs w:val="32"/>
          <w:lang w:val="en-US" w:eastAsia="zh-CN"/>
        </w:rPr>
        <w:t>的</w:t>
      </w:r>
      <w:r>
        <w:rPr>
          <w:rFonts w:hint="default" w:ascii="Times New Roman" w:hAnsi="Times New Roman" w:eastAsia="宋体" w:cs="Times New Roman"/>
          <w:sz w:val="32"/>
          <w:szCs w:val="32"/>
          <w:lang w:val="en-US" w:eastAsia="zh-CN"/>
        </w:rPr>
        <w:t>5.5%</w:t>
      </w:r>
      <w:r>
        <w:rPr>
          <w:rFonts w:hint="eastAsia" w:ascii="Times New Roman" w:hAnsi="Times New Roman" w:eastAsia="宋体" w:cs="Times New Roman"/>
          <w:sz w:val="32"/>
          <w:szCs w:val="32"/>
          <w:lang w:val="en-US" w:eastAsia="zh-CN"/>
        </w:rPr>
        <w:t>）所采取的措施。</w:t>
      </w:r>
    </w:p>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left"/>
        <w:textAlignment w:val="auto"/>
        <w:rPr>
          <w:rFonts w:hint="eastAsia"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最近的民意调查显示，阿根廷</w:t>
      </w:r>
      <w:r>
        <w:rPr>
          <w:rFonts w:hint="eastAsia" w:ascii="Times New Roman" w:hAnsi="Times New Roman" w:eastAsia="宋体" w:cs="Times New Roman"/>
          <w:sz w:val="32"/>
          <w:szCs w:val="32"/>
          <w:lang w:val="en-US" w:eastAsia="zh-CN"/>
        </w:rPr>
        <w:t>选民仍</w:t>
      </w:r>
      <w:r>
        <w:rPr>
          <w:rFonts w:hint="default" w:ascii="Times New Roman" w:hAnsi="Times New Roman" w:eastAsia="宋体" w:cs="Times New Roman"/>
          <w:sz w:val="32"/>
          <w:szCs w:val="32"/>
          <w:lang w:val="en-US" w:eastAsia="zh-CN"/>
        </w:rPr>
        <w:t>对</w:t>
      </w:r>
      <w:r>
        <w:rPr>
          <w:rFonts w:hint="eastAsia" w:ascii="Times New Roman" w:hAnsi="Times New Roman" w:eastAsia="宋体" w:cs="Times New Roman"/>
          <w:sz w:val="32"/>
          <w:szCs w:val="32"/>
          <w:lang w:val="en-US" w:eastAsia="zh-CN"/>
        </w:rPr>
        <w:t>米莱伊</w:t>
      </w:r>
      <w:r>
        <w:rPr>
          <w:rFonts w:hint="default" w:ascii="Times New Roman" w:hAnsi="Times New Roman" w:eastAsia="宋体" w:cs="Times New Roman"/>
          <w:sz w:val="32"/>
          <w:szCs w:val="32"/>
          <w:lang w:val="en-US" w:eastAsia="zh-CN"/>
        </w:rPr>
        <w:t>表示支持</w:t>
      </w:r>
      <w:r>
        <w:rPr>
          <w:rFonts w:hint="eastAsia" w:ascii="Times New Roman" w:hAnsi="Times New Roman" w:eastAsia="宋体" w:cs="Times New Roman"/>
          <w:sz w:val="32"/>
          <w:szCs w:val="32"/>
          <w:lang w:val="en-US" w:eastAsia="zh-CN"/>
        </w:rPr>
        <w:t>；</w:t>
      </w:r>
      <w:r>
        <w:rPr>
          <w:rFonts w:hint="default" w:ascii="Times New Roman" w:hAnsi="Times New Roman" w:eastAsia="宋体" w:cs="Times New Roman"/>
          <w:sz w:val="32"/>
          <w:szCs w:val="32"/>
          <w:lang w:val="en-US" w:eastAsia="zh-CN"/>
        </w:rPr>
        <w:t>但如果通货膨胀持续下去，这种支持可能会减弱。</w:t>
      </w:r>
      <w:r>
        <w:rPr>
          <w:rFonts w:hint="eastAsia" w:ascii="Times New Roman" w:hAnsi="Times New Roman" w:eastAsia="宋体" w:cs="Times New Roman"/>
          <w:sz w:val="32"/>
          <w:szCs w:val="32"/>
          <w:lang w:val="en-US" w:eastAsia="zh-CN"/>
        </w:rPr>
        <w:t>阿根廷一月份爆发大罢工，国会上周否决了政府提出的“综合法案”，该法案概述了国有企业私有化和宏大的财政改革计划。</w:t>
      </w:r>
    </w:p>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left"/>
        <w:textAlignment w:val="auto"/>
        <w:rPr>
          <w:rFonts w:hint="eastAsia" w:asciiTheme="minorAscii" w:hAnsiTheme="minorAscii"/>
          <w:b/>
          <w:bCs/>
          <w:sz w:val="32"/>
          <w:szCs w:val="32"/>
          <w:lang w:val="en-US" w:eastAsia="zh-CN"/>
        </w:rPr>
      </w:pPr>
      <w:r>
        <w:rPr>
          <w:rFonts w:hint="eastAsia" w:asciiTheme="minorAscii" w:hAnsiTheme="minorAscii"/>
          <w:b/>
          <w:bCs/>
          <w:sz w:val="32"/>
          <w:szCs w:val="32"/>
          <w:lang w:val="en-US" w:eastAsia="zh-CN"/>
        </w:rPr>
        <w:t>三、巴菲特调仓，转向能源股</w:t>
      </w:r>
    </w:p>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left"/>
        <w:textAlignment w:val="auto"/>
        <w:rPr>
          <w:rFonts w:hint="eastAsia" w:ascii="Times New Roman" w:hAnsi="Times New Roman" w:eastAsia="宋体" w:cs="Times New Roman"/>
          <w:spacing w:val="0"/>
          <w:sz w:val="32"/>
          <w:szCs w:val="32"/>
          <w:lang w:val="en-US" w:eastAsia="zh-CN"/>
        </w:rPr>
      </w:pPr>
      <w:r>
        <w:rPr>
          <w:rFonts w:hint="default" w:ascii="Times New Roman" w:hAnsi="Times New Roman" w:eastAsia="宋体" w:cs="Times New Roman"/>
          <w:spacing w:val="0"/>
          <w:sz w:val="32"/>
          <w:szCs w:val="32"/>
          <w:lang w:val="en-US" w:eastAsia="zh-CN"/>
        </w:rPr>
        <w:t>2</w:t>
      </w:r>
      <w:r>
        <w:rPr>
          <w:rFonts w:hint="eastAsia" w:ascii="Times New Roman" w:hAnsi="Times New Roman" w:eastAsia="宋体" w:cs="Times New Roman"/>
          <w:spacing w:val="0"/>
          <w:sz w:val="32"/>
          <w:szCs w:val="32"/>
          <w:lang w:val="en-US" w:eastAsia="zh-CN"/>
        </w:rPr>
        <w:t>月</w:t>
      </w:r>
      <w:r>
        <w:rPr>
          <w:rFonts w:hint="default" w:ascii="Times New Roman" w:hAnsi="Times New Roman" w:eastAsia="宋体" w:cs="Times New Roman"/>
          <w:spacing w:val="0"/>
          <w:sz w:val="32"/>
          <w:szCs w:val="32"/>
          <w:lang w:val="en-US" w:eastAsia="zh-CN"/>
        </w:rPr>
        <w:t>14</w:t>
      </w:r>
      <w:r>
        <w:rPr>
          <w:rFonts w:hint="eastAsia" w:ascii="Times New Roman" w:hAnsi="Times New Roman" w:eastAsia="宋体" w:cs="Times New Roman"/>
          <w:spacing w:val="0"/>
          <w:sz w:val="32"/>
          <w:szCs w:val="32"/>
          <w:lang w:val="en-US" w:eastAsia="zh-CN"/>
        </w:rPr>
        <w:t>日（周三）盘后，美国证券交易委员会（</w:t>
      </w:r>
      <w:r>
        <w:rPr>
          <w:rFonts w:hint="default" w:ascii="Times New Roman" w:hAnsi="Times New Roman" w:eastAsia="宋体" w:cs="Times New Roman"/>
          <w:spacing w:val="0"/>
          <w:sz w:val="32"/>
          <w:szCs w:val="32"/>
          <w:lang w:val="en-US" w:eastAsia="zh-CN"/>
        </w:rPr>
        <w:t>SEC</w:t>
      </w:r>
      <w:r>
        <w:rPr>
          <w:rFonts w:hint="eastAsia" w:ascii="Times New Roman" w:hAnsi="Times New Roman" w:eastAsia="宋体" w:cs="Times New Roman"/>
          <w:spacing w:val="0"/>
          <w:sz w:val="32"/>
          <w:szCs w:val="32"/>
          <w:lang w:val="en-US" w:eastAsia="zh-CN"/>
        </w:rPr>
        <w:t>）公布的“</w:t>
      </w:r>
      <w:r>
        <w:rPr>
          <w:rFonts w:hint="default" w:ascii="Times New Roman" w:hAnsi="Times New Roman" w:eastAsia="宋体" w:cs="Times New Roman"/>
          <w:spacing w:val="0"/>
          <w:sz w:val="32"/>
          <w:szCs w:val="32"/>
          <w:lang w:val="en-US" w:eastAsia="zh-CN"/>
        </w:rPr>
        <w:t>13F</w:t>
      </w:r>
      <w:r>
        <w:rPr>
          <w:rFonts w:hint="eastAsia" w:ascii="Times New Roman" w:hAnsi="Times New Roman" w:eastAsia="宋体" w:cs="Times New Roman"/>
          <w:spacing w:val="0"/>
          <w:sz w:val="32"/>
          <w:szCs w:val="32"/>
          <w:lang w:val="en-US" w:eastAsia="zh-CN"/>
        </w:rPr>
        <w:t>”持仓报告显示，巴菲特的伯克希尔撒哈韦公司在去年第四季度作了多项调仓操作。</w:t>
      </w:r>
    </w:p>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left"/>
        <w:textAlignment w:val="auto"/>
        <w:rPr>
          <w:rFonts w:hint="default" w:ascii="Times New Roman" w:hAnsi="Times New Roman" w:eastAsia="宋体" w:cs="Times New Roman"/>
          <w:spacing w:val="0"/>
          <w:sz w:val="32"/>
          <w:szCs w:val="32"/>
          <w:lang w:val="en-US" w:eastAsia="zh-CN"/>
        </w:rPr>
      </w:pPr>
      <w:r>
        <w:rPr>
          <w:rFonts w:hint="eastAsia" w:ascii="Times New Roman" w:hAnsi="Times New Roman" w:eastAsia="宋体" w:cs="Times New Roman"/>
          <w:spacing w:val="0"/>
          <w:sz w:val="32"/>
          <w:szCs w:val="32"/>
          <w:lang w:val="en-US" w:eastAsia="zh-CN"/>
        </w:rPr>
        <w:t>第一，减持了公司重仓的苹果公司股票，约占该公司苹果持股的</w:t>
      </w:r>
      <w:r>
        <w:rPr>
          <w:rFonts w:hint="default" w:ascii="Times New Roman" w:hAnsi="Times New Roman" w:eastAsia="宋体" w:cs="Times New Roman"/>
          <w:spacing w:val="0"/>
          <w:sz w:val="32"/>
          <w:szCs w:val="32"/>
          <w:lang w:val="en-US" w:eastAsia="zh-CN"/>
        </w:rPr>
        <w:t>1%</w:t>
      </w:r>
      <w:r>
        <w:rPr>
          <w:rFonts w:hint="eastAsia" w:ascii="Times New Roman" w:hAnsi="Times New Roman" w:eastAsia="宋体" w:cs="Times New Roman"/>
          <w:spacing w:val="0"/>
          <w:sz w:val="32"/>
          <w:szCs w:val="32"/>
          <w:lang w:val="en-US" w:eastAsia="zh-CN"/>
        </w:rPr>
        <w:t>，苹果目前仍是伯克希尔的第一大重仓股（在其持有资产中占比略超</w:t>
      </w:r>
      <w:r>
        <w:rPr>
          <w:rFonts w:hint="default" w:ascii="Times New Roman" w:hAnsi="Times New Roman" w:eastAsia="宋体" w:cs="Times New Roman"/>
          <w:spacing w:val="0"/>
          <w:sz w:val="32"/>
          <w:szCs w:val="32"/>
          <w:lang w:val="en-US" w:eastAsia="zh-CN"/>
        </w:rPr>
        <w:t>50%</w:t>
      </w:r>
      <w:r>
        <w:rPr>
          <w:rFonts w:hint="eastAsia" w:ascii="Times New Roman" w:hAnsi="Times New Roman" w:eastAsia="宋体" w:cs="Times New Roman"/>
          <w:spacing w:val="0"/>
          <w:sz w:val="32"/>
          <w:szCs w:val="32"/>
          <w:lang w:val="en-US" w:eastAsia="zh-CN"/>
        </w:rPr>
        <w:t>）共计</w:t>
      </w:r>
      <w:r>
        <w:rPr>
          <w:rFonts w:hint="default" w:ascii="Times New Roman" w:hAnsi="Times New Roman" w:eastAsia="宋体" w:cs="Times New Roman"/>
          <w:spacing w:val="0"/>
          <w:sz w:val="32"/>
          <w:szCs w:val="32"/>
          <w:lang w:val="en-US" w:eastAsia="zh-CN"/>
        </w:rPr>
        <w:t>9.06</w:t>
      </w:r>
      <w:r>
        <w:rPr>
          <w:rFonts w:hint="eastAsia" w:ascii="Times New Roman" w:hAnsi="Times New Roman" w:eastAsia="宋体" w:cs="Times New Roman"/>
          <w:spacing w:val="0"/>
          <w:sz w:val="32"/>
          <w:szCs w:val="32"/>
          <w:lang w:val="en-US" w:eastAsia="zh-CN"/>
        </w:rPr>
        <w:t>亿股，价值为</w:t>
      </w:r>
      <w:r>
        <w:rPr>
          <w:rFonts w:hint="default" w:ascii="Times New Roman" w:hAnsi="Times New Roman" w:eastAsia="宋体" w:cs="Times New Roman"/>
          <w:spacing w:val="0"/>
          <w:sz w:val="32"/>
          <w:szCs w:val="32"/>
          <w:lang w:val="en-US" w:eastAsia="zh-CN"/>
        </w:rPr>
        <w:t>1743</w:t>
      </w:r>
      <w:r>
        <w:rPr>
          <w:rFonts w:hint="eastAsia" w:ascii="Times New Roman" w:hAnsi="Times New Roman" w:eastAsia="宋体" w:cs="Times New Roman"/>
          <w:spacing w:val="0"/>
          <w:sz w:val="32"/>
          <w:szCs w:val="32"/>
          <w:lang w:val="en-US" w:eastAsia="zh-CN"/>
        </w:rPr>
        <w:t>亿美元。苹果股价最近跑输大盘，失去美国市值最高公司的地位（让位于微软），在经营方面，苹果面临一系列挑战。</w:t>
      </w:r>
    </w:p>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第二，继续增持能源股。增持了</w:t>
      </w:r>
      <w:r>
        <w:rPr>
          <w:rFonts w:hint="default" w:ascii="Times New Roman" w:hAnsi="Times New Roman" w:eastAsia="宋体" w:cs="Times New Roman"/>
          <w:sz w:val="32"/>
          <w:szCs w:val="32"/>
          <w:lang w:val="en-US" w:eastAsia="zh-CN"/>
        </w:rPr>
        <w:t>1580</w:t>
      </w:r>
      <w:r>
        <w:rPr>
          <w:rFonts w:hint="eastAsia" w:ascii="Times New Roman" w:hAnsi="Times New Roman" w:eastAsia="宋体" w:cs="Times New Roman"/>
          <w:sz w:val="32"/>
          <w:szCs w:val="32"/>
          <w:lang w:val="en-US" w:eastAsia="zh-CN"/>
        </w:rPr>
        <w:t>万股雪佛龙（</w:t>
      </w:r>
      <w:r>
        <w:rPr>
          <w:rFonts w:hint="default" w:ascii="Times New Roman" w:hAnsi="Times New Roman" w:eastAsia="宋体" w:cs="Times New Roman"/>
          <w:sz w:val="32"/>
          <w:szCs w:val="32"/>
          <w:lang w:val="en-US" w:eastAsia="zh-CN"/>
        </w:rPr>
        <w:t>Chevron</w:t>
      </w:r>
      <w:r>
        <w:rPr>
          <w:rFonts w:hint="eastAsia" w:ascii="Times New Roman" w:hAnsi="Times New Roman" w:eastAsia="宋体" w:cs="Times New Roman"/>
          <w:sz w:val="32"/>
          <w:szCs w:val="32"/>
          <w:lang w:val="en-US" w:eastAsia="zh-CN"/>
        </w:rPr>
        <w:t>）股份，雪佛龙由此成为伯克希尔的第五大持股。此外，还增加了对西方石油（</w:t>
      </w:r>
      <w:r>
        <w:rPr>
          <w:rFonts w:hint="default" w:ascii="Times New Roman" w:hAnsi="Times New Roman" w:eastAsia="宋体" w:cs="Times New Roman"/>
          <w:sz w:val="32"/>
          <w:szCs w:val="32"/>
          <w:lang w:val="en-US" w:eastAsia="zh-CN"/>
        </w:rPr>
        <w:t>Occidental Petroleum</w:t>
      </w:r>
      <w:r>
        <w:rPr>
          <w:rFonts w:hint="eastAsia" w:ascii="Times New Roman" w:hAnsi="Times New Roman" w:eastAsia="宋体" w:cs="Times New Roman"/>
          <w:sz w:val="32"/>
          <w:szCs w:val="32"/>
          <w:lang w:val="en-US" w:eastAsia="zh-CN"/>
        </w:rPr>
        <w:t>）的持股，截至去年底，已经持有</w:t>
      </w:r>
      <w:r>
        <w:rPr>
          <w:rFonts w:hint="eastAsia" w:ascii="Times New Roman" w:hAnsi="Times New Roman" w:eastAsia="宋体" w:cs="Times New Roman"/>
          <w:spacing w:val="-6"/>
          <w:sz w:val="32"/>
          <w:szCs w:val="32"/>
          <w:lang w:val="en-US" w:eastAsia="zh-CN"/>
        </w:rPr>
        <w:t>了西方石油</w:t>
      </w:r>
      <w:r>
        <w:rPr>
          <w:rFonts w:hint="default" w:ascii="Times New Roman" w:hAnsi="Times New Roman" w:eastAsia="宋体" w:cs="Times New Roman"/>
          <w:spacing w:val="-6"/>
          <w:sz w:val="32"/>
          <w:szCs w:val="32"/>
          <w:lang w:val="en-US" w:eastAsia="zh-CN"/>
        </w:rPr>
        <w:t>30%</w:t>
      </w:r>
      <w:r>
        <w:rPr>
          <w:rFonts w:hint="eastAsia" w:ascii="Times New Roman" w:hAnsi="Times New Roman" w:eastAsia="宋体" w:cs="Times New Roman"/>
          <w:spacing w:val="-6"/>
          <w:sz w:val="32"/>
          <w:szCs w:val="32"/>
          <w:lang w:val="en-US" w:eastAsia="zh-CN"/>
        </w:rPr>
        <w:t>的股份。几个季度以来，伯克希尔一直在增持能源股。</w:t>
      </w:r>
    </w:p>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left"/>
        <w:textAlignment w:val="auto"/>
        <w:rPr>
          <w:rFonts w:hint="eastAsia" w:ascii="Times New Roman" w:hAnsi="Times New Roman" w:eastAsia="宋体" w:cs="Times New Roman"/>
          <w:spacing w:val="-11"/>
          <w:sz w:val="32"/>
          <w:szCs w:val="32"/>
          <w:lang w:val="en-US" w:eastAsia="zh-CN"/>
        </w:rPr>
      </w:pPr>
      <w:r>
        <w:rPr>
          <w:rFonts w:hint="eastAsia" w:ascii="Times New Roman" w:hAnsi="Times New Roman" w:eastAsia="宋体" w:cs="Times New Roman"/>
          <w:spacing w:val="0"/>
          <w:sz w:val="32"/>
          <w:szCs w:val="32"/>
          <w:lang w:val="en-US" w:eastAsia="zh-CN"/>
        </w:rPr>
        <w:t>第三，增加了</w:t>
      </w:r>
      <w:r>
        <w:rPr>
          <w:rFonts w:hint="default" w:ascii="Times New Roman" w:hAnsi="Times New Roman" w:eastAsia="宋体" w:cs="Times New Roman"/>
          <w:spacing w:val="0"/>
          <w:sz w:val="32"/>
          <w:szCs w:val="32"/>
          <w:lang w:val="en-US" w:eastAsia="zh-CN"/>
        </w:rPr>
        <w:t>3060</w:t>
      </w:r>
      <w:r>
        <w:rPr>
          <w:rFonts w:hint="eastAsia" w:ascii="Times New Roman" w:hAnsi="Times New Roman" w:eastAsia="宋体" w:cs="Times New Roman"/>
          <w:spacing w:val="0"/>
          <w:sz w:val="32"/>
          <w:szCs w:val="32"/>
          <w:lang w:val="en-US" w:eastAsia="zh-CN"/>
        </w:rPr>
        <w:t>万股美国卫星广播公司（</w:t>
      </w:r>
      <w:r>
        <w:rPr>
          <w:rFonts w:hint="default" w:ascii="Times New Roman" w:hAnsi="Times New Roman" w:eastAsia="宋体" w:cs="Times New Roman"/>
          <w:spacing w:val="0"/>
          <w:sz w:val="32"/>
          <w:szCs w:val="32"/>
          <w:lang w:val="en-US" w:eastAsia="zh-CN"/>
        </w:rPr>
        <w:t>Sirius XM</w:t>
      </w:r>
      <w:r>
        <w:rPr>
          <w:rFonts w:hint="eastAsia" w:ascii="Times New Roman" w:hAnsi="Times New Roman" w:eastAsia="宋体" w:cs="Times New Roman"/>
          <w:spacing w:val="0"/>
          <w:sz w:val="32"/>
          <w:szCs w:val="32"/>
          <w:lang w:val="en-US" w:eastAsia="zh-CN"/>
        </w:rPr>
        <w:t>）股票，减持了派拉蒙、惠普的股票，清仓了家居建造商霍顿（</w:t>
      </w:r>
      <w:r>
        <w:rPr>
          <w:rFonts w:hint="default" w:ascii="Times New Roman" w:hAnsi="Times New Roman" w:eastAsia="宋体" w:cs="Times New Roman"/>
          <w:spacing w:val="0"/>
          <w:sz w:val="32"/>
          <w:szCs w:val="32"/>
          <w:lang w:val="en-US" w:eastAsia="zh-CN"/>
        </w:rPr>
        <w:t>DR Horton</w:t>
      </w:r>
      <w:r>
        <w:rPr>
          <w:rFonts w:hint="eastAsia" w:ascii="Times New Roman" w:hAnsi="Times New Roman" w:eastAsia="宋体" w:cs="Times New Roman"/>
          <w:spacing w:val="0"/>
          <w:sz w:val="32"/>
          <w:szCs w:val="32"/>
          <w:lang w:val="en-US" w:eastAsia="zh-CN"/>
        </w:rPr>
        <w:t>）和保险公司</w:t>
      </w:r>
      <w:r>
        <w:rPr>
          <w:rFonts w:hint="default" w:ascii="Times New Roman" w:hAnsi="Times New Roman" w:eastAsia="宋体" w:cs="Times New Roman"/>
          <w:spacing w:val="0"/>
          <w:sz w:val="32"/>
          <w:szCs w:val="32"/>
          <w:lang w:val="en-US" w:eastAsia="zh-CN"/>
        </w:rPr>
        <w:t>Globe Life</w:t>
      </w:r>
      <w:r>
        <w:rPr>
          <w:rFonts w:hint="eastAsia" w:ascii="Times New Roman" w:hAnsi="Times New Roman" w:eastAsia="宋体" w:cs="Times New Roman"/>
          <w:spacing w:val="0"/>
          <w:sz w:val="32"/>
          <w:szCs w:val="32"/>
          <w:lang w:val="en-US" w:eastAsia="zh-CN"/>
        </w:rPr>
        <w:t>、保险和投资公司</w:t>
      </w:r>
      <w:r>
        <w:rPr>
          <w:rFonts w:hint="default" w:ascii="Times New Roman" w:hAnsi="Times New Roman" w:eastAsia="宋体" w:cs="Times New Roman"/>
          <w:spacing w:val="0"/>
          <w:sz w:val="32"/>
          <w:szCs w:val="32"/>
          <w:lang w:val="en-US" w:eastAsia="zh-CN"/>
        </w:rPr>
        <w:t>Markel</w:t>
      </w:r>
      <w:r>
        <w:rPr>
          <w:rFonts w:hint="eastAsia" w:ascii="Times New Roman" w:hAnsi="Times New Roman" w:eastAsia="宋体" w:cs="Times New Roman"/>
          <w:spacing w:val="0"/>
          <w:sz w:val="32"/>
          <w:szCs w:val="32"/>
          <w:lang w:val="en-US" w:eastAsia="zh-CN"/>
        </w:rPr>
        <w:t>等三家保险金融机构的股票。</w:t>
      </w:r>
    </w:p>
    <w:p>
      <w:pPr>
        <w:keepNext w:val="0"/>
        <w:keepLines w:val="0"/>
        <w:pageBreakBefore w:val="0"/>
        <w:widowControl w:val="0"/>
        <w:kinsoku/>
        <w:wordWrap/>
        <w:overflowPunct/>
        <w:topLinePunct w:val="0"/>
        <w:autoSpaceDE/>
        <w:autoSpaceDN/>
        <w:bidi w:val="0"/>
        <w:adjustRightInd/>
        <w:snapToGrid/>
        <w:spacing w:line="520" w:lineRule="exact"/>
        <w:ind w:firstLine="584" w:firstLineChars="200"/>
        <w:jc w:val="left"/>
        <w:textAlignment w:val="auto"/>
        <w:rPr>
          <w:rFonts w:hint="default" w:ascii="Times New Roman" w:hAnsi="Times New Roman" w:eastAsia="宋体" w:cs="Times New Roman"/>
          <w:spacing w:val="-6"/>
          <w:sz w:val="32"/>
          <w:szCs w:val="32"/>
          <w:lang w:val="en-US" w:eastAsia="zh-CN"/>
        </w:rPr>
      </w:pPr>
      <w:r>
        <w:rPr>
          <w:rFonts w:hint="eastAsia" w:ascii="Times New Roman" w:hAnsi="Times New Roman" w:eastAsia="宋体" w:cs="Times New Roman"/>
          <w:spacing w:val="-6"/>
          <w:sz w:val="32"/>
          <w:szCs w:val="32"/>
          <w:lang w:val="en-US" w:eastAsia="zh-CN"/>
        </w:rPr>
        <w:t>根据去年四季度的“</w:t>
      </w:r>
      <w:r>
        <w:rPr>
          <w:rFonts w:hint="default" w:ascii="Times New Roman" w:hAnsi="Times New Roman" w:eastAsia="宋体" w:cs="Times New Roman"/>
          <w:spacing w:val="-6"/>
          <w:sz w:val="32"/>
          <w:szCs w:val="32"/>
          <w:lang w:val="en-US" w:eastAsia="zh-CN"/>
        </w:rPr>
        <w:t>13F</w:t>
      </w:r>
      <w:r>
        <w:rPr>
          <w:rFonts w:hint="eastAsia" w:ascii="Times New Roman" w:hAnsi="Times New Roman" w:eastAsia="宋体" w:cs="Times New Roman"/>
          <w:spacing w:val="-6"/>
          <w:sz w:val="32"/>
          <w:szCs w:val="32"/>
          <w:lang w:val="en-US" w:eastAsia="zh-CN"/>
        </w:rPr>
        <w:t>”报告，伯克希尔撒哈韦前六大持仓股依次为苹果、美国银行、美国运通、可口可乐、雪佛龙、西方石油。</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default" w:ascii="Times New Roman" w:hAnsi="Times New Roman" w:eastAsia="楷体" w:cs="Times New Roman"/>
          <w:sz w:val="28"/>
          <w:szCs w:val="28"/>
          <w:lang w:val="en-US" w:eastAsia="zh-CN"/>
        </w:rPr>
      </w:pPr>
      <w:r>
        <w:rPr>
          <w:rFonts w:hint="default" w:ascii="Times New Roman" w:hAnsi="Times New Roman" w:eastAsia="楷体" w:cs="Times New Roman"/>
          <w:sz w:val="28"/>
          <w:szCs w:val="28"/>
          <w:lang w:val="en-US" w:eastAsia="zh-CN"/>
        </w:rPr>
        <w:t>（注：</w:t>
      </w:r>
      <w:r>
        <w:rPr>
          <w:rFonts w:hint="eastAsia" w:ascii="Times New Roman" w:hAnsi="Times New Roman" w:eastAsia="楷体" w:cs="Times New Roman"/>
          <w:sz w:val="28"/>
          <w:szCs w:val="28"/>
          <w:lang w:val="en-US" w:eastAsia="zh-CN"/>
        </w:rPr>
        <w:t>“</w:t>
      </w:r>
      <w:r>
        <w:rPr>
          <w:rFonts w:hint="default" w:ascii="Times New Roman" w:hAnsi="Times New Roman" w:eastAsia="楷体" w:cs="Times New Roman"/>
          <w:b/>
          <w:bCs/>
          <w:sz w:val="28"/>
          <w:szCs w:val="28"/>
          <w:lang w:val="en-US" w:eastAsia="zh-CN"/>
        </w:rPr>
        <w:t>13F</w:t>
      </w:r>
      <w:r>
        <w:rPr>
          <w:rFonts w:hint="eastAsia" w:ascii="Times New Roman" w:hAnsi="Times New Roman" w:eastAsia="楷体" w:cs="Times New Roman"/>
          <w:b/>
          <w:bCs/>
          <w:sz w:val="28"/>
          <w:szCs w:val="28"/>
          <w:lang w:val="en-US" w:eastAsia="zh-CN"/>
        </w:rPr>
        <w:t>”</w:t>
      </w:r>
      <w:r>
        <w:rPr>
          <w:rFonts w:hint="default" w:ascii="Times New Roman" w:hAnsi="Times New Roman" w:eastAsia="楷体" w:cs="Times New Roman"/>
          <w:b/>
          <w:bCs/>
          <w:sz w:val="28"/>
          <w:szCs w:val="28"/>
          <w:lang w:val="en-US" w:eastAsia="zh-CN"/>
        </w:rPr>
        <w:t>持仓报告</w:t>
      </w:r>
      <w:r>
        <w:rPr>
          <w:rFonts w:hint="default" w:ascii="Times New Roman" w:hAnsi="Times New Roman" w:eastAsia="楷体" w:cs="Times New Roman"/>
          <w:sz w:val="28"/>
          <w:szCs w:val="28"/>
          <w:lang w:val="en-US" w:eastAsia="zh-CN"/>
        </w:rPr>
        <w:t>，是指美国证券交易委员会（SEC）要求特定的投资管理公司（通常为超过1亿美元资产）提交的报告。这个名称来源于提交报告的表格号码，即</w:t>
      </w:r>
      <w:r>
        <w:rPr>
          <w:rFonts w:hint="eastAsia" w:ascii="Times New Roman" w:hAnsi="Times New Roman" w:eastAsia="楷体" w:cs="Times New Roman"/>
          <w:sz w:val="28"/>
          <w:szCs w:val="28"/>
          <w:lang w:val="en-US" w:eastAsia="zh-CN"/>
        </w:rPr>
        <w:t>“</w:t>
      </w:r>
      <w:r>
        <w:rPr>
          <w:rFonts w:hint="default" w:ascii="Times New Roman" w:hAnsi="Times New Roman" w:eastAsia="楷体" w:cs="Times New Roman"/>
          <w:sz w:val="28"/>
          <w:szCs w:val="28"/>
          <w:lang w:val="en-US" w:eastAsia="zh-CN"/>
        </w:rPr>
        <w:t>13F</w:t>
      </w:r>
      <w:r>
        <w:rPr>
          <w:rFonts w:hint="eastAsia" w:ascii="Times New Roman" w:hAnsi="Times New Roman" w:eastAsia="楷体" w:cs="Times New Roman"/>
          <w:sz w:val="28"/>
          <w:szCs w:val="28"/>
          <w:lang w:val="en-US" w:eastAsia="zh-CN"/>
        </w:rPr>
        <w:t>”</w:t>
      </w:r>
      <w:r>
        <w:rPr>
          <w:rFonts w:hint="default" w:ascii="Times New Roman" w:hAnsi="Times New Roman" w:eastAsia="楷体" w:cs="Times New Roman"/>
          <w:sz w:val="28"/>
          <w:szCs w:val="28"/>
          <w:lang w:val="en-US" w:eastAsia="zh-CN"/>
        </w:rPr>
        <w:t>表格。</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eastAsia" w:asciiTheme="minorAscii" w:hAnsiTheme="minorAscii"/>
          <w:lang w:val="en-US" w:eastAsia="zh-CN"/>
        </w:rPr>
      </w:pPr>
      <w:r>
        <w:rPr>
          <w:rFonts w:hint="eastAsia" w:ascii="Times New Roman" w:hAnsi="Times New Roman" w:eastAsia="楷体" w:cs="Times New Roman"/>
          <w:sz w:val="28"/>
          <w:szCs w:val="28"/>
          <w:lang w:val="en-US" w:eastAsia="zh-CN"/>
        </w:rPr>
        <w:t>“</w:t>
      </w:r>
      <w:r>
        <w:rPr>
          <w:rFonts w:hint="default" w:ascii="Times New Roman" w:hAnsi="Times New Roman" w:eastAsia="楷体" w:cs="Times New Roman"/>
          <w:sz w:val="28"/>
          <w:szCs w:val="28"/>
          <w:lang w:val="en-US" w:eastAsia="zh-CN"/>
        </w:rPr>
        <w:t>13F</w:t>
      </w:r>
      <w:r>
        <w:rPr>
          <w:rFonts w:hint="eastAsia" w:ascii="Times New Roman" w:hAnsi="Times New Roman" w:eastAsia="楷体" w:cs="Times New Roman"/>
          <w:sz w:val="28"/>
          <w:szCs w:val="28"/>
          <w:lang w:val="en-US" w:eastAsia="zh-CN"/>
        </w:rPr>
        <w:t>”</w:t>
      </w:r>
      <w:r>
        <w:rPr>
          <w:rFonts w:hint="default" w:ascii="Times New Roman" w:hAnsi="Times New Roman" w:eastAsia="楷体" w:cs="Times New Roman"/>
          <w:sz w:val="28"/>
          <w:szCs w:val="28"/>
          <w:lang w:val="en-US" w:eastAsia="zh-CN"/>
        </w:rPr>
        <w:t>报告提供该投资管理公司持有的股票、期权和其他证券的详细信息。报告的目的是增加市场透明度，并帮助监管机构、投资者和其他市场参与者了解特定投资管理公司的投资组合情况。该信息可以用于研究和分析市场趋势、投资策略以及投资者之间的交互作用。）</w:t>
      </w:r>
    </w:p>
    <w:p>
      <w:pPr>
        <w:ind w:left="0" w:leftChars="0" w:firstLine="0" w:firstLineChars="0"/>
        <w:jc w:val="left"/>
        <w:rPr>
          <w:rFonts w:hint="default" w:ascii="Times New Roman" w:hAnsi="Times New Roman" w:eastAsia="宋体" w:cs="Times New Roman"/>
          <w:b/>
          <w:bCs/>
          <w:color w:val="0000FF"/>
          <w:sz w:val="32"/>
          <w:szCs w:val="32"/>
          <w:highlight w:val="yellow"/>
          <w:lang w:val="en-US" w:eastAsia="zh-CN"/>
        </w:rPr>
      </w:pPr>
      <w:r>
        <w:rPr>
          <w:rFonts w:hint="default" w:ascii="Times New Roman" w:hAnsi="Times New Roman" w:eastAsia="方正小标宋_GBK" w:cs="Times New Roman"/>
          <w:b/>
          <w:bCs/>
          <w:color w:val="FF0000"/>
          <w:sz w:val="32"/>
          <w:szCs w:val="40"/>
          <w:highlight w:val="yellow"/>
          <w:lang w:val="en-US" w:eastAsia="zh-CN"/>
        </w:rPr>
        <w:t>2月</w:t>
      </w:r>
      <w:r>
        <w:rPr>
          <w:rFonts w:hint="eastAsia" w:ascii="Times New Roman" w:hAnsi="Times New Roman" w:eastAsia="方正小标宋_GBK" w:cs="Times New Roman"/>
          <w:b/>
          <w:bCs/>
          <w:color w:val="FF0000"/>
          <w:sz w:val="32"/>
          <w:szCs w:val="40"/>
          <w:highlight w:val="yellow"/>
          <w:lang w:val="en-US" w:eastAsia="zh-CN"/>
        </w:rPr>
        <w:t>16</w:t>
      </w:r>
      <w:r>
        <w:rPr>
          <w:rFonts w:hint="default" w:ascii="Times New Roman" w:hAnsi="Times New Roman" w:eastAsia="方正小标宋_GBK" w:cs="Times New Roman"/>
          <w:b/>
          <w:bCs/>
          <w:color w:val="FF0000"/>
          <w:sz w:val="32"/>
          <w:szCs w:val="40"/>
          <w:highlight w:val="yellow"/>
          <w:lang w:val="en-US" w:eastAsia="zh-CN"/>
        </w:rPr>
        <w:t>日</w:t>
      </w:r>
      <w:r>
        <w:rPr>
          <w:rFonts w:hint="default" w:ascii="Times New Roman" w:hAnsi="Times New Roman" w:eastAsia="方正魏碑简体" w:cs="Times New Roman"/>
          <w:b/>
          <w:bCs/>
          <w:color w:val="0000FF"/>
          <w:sz w:val="32"/>
          <w:szCs w:val="40"/>
          <w:highlight w:val="yellow"/>
          <w:lang w:val="en-US" w:eastAsia="zh-CN"/>
        </w:rPr>
        <w:t>（周</w:t>
      </w:r>
      <w:r>
        <w:rPr>
          <w:rFonts w:hint="eastAsia" w:ascii="Times New Roman" w:hAnsi="Times New Roman" w:eastAsia="方正魏碑简体" w:cs="Times New Roman"/>
          <w:b/>
          <w:bCs/>
          <w:color w:val="0000FF"/>
          <w:sz w:val="32"/>
          <w:szCs w:val="40"/>
          <w:highlight w:val="yellow"/>
          <w:lang w:val="en-US" w:eastAsia="zh-CN"/>
        </w:rPr>
        <w:t>五</w:t>
      </w:r>
      <w:r>
        <w:rPr>
          <w:rFonts w:hint="default" w:ascii="Times New Roman" w:hAnsi="Times New Roman" w:eastAsia="方正魏碑简体" w:cs="Times New Roman"/>
          <w:b/>
          <w:bCs/>
          <w:color w:val="0000FF"/>
          <w:sz w:val="32"/>
          <w:szCs w:val="40"/>
          <w:highlight w:val="yellow"/>
          <w:lang w:val="en-US" w:eastAsia="zh-CN"/>
        </w:rPr>
        <w:t>）</w:t>
      </w:r>
    </w:p>
    <w:p>
      <w:pPr>
        <w:jc w:val="center"/>
        <w:rPr>
          <w:rFonts w:hint="default" w:ascii="Calibri" w:hAnsi="Calibri" w:eastAsia="宋体" w:cs="Calibri"/>
          <w:b/>
          <w:bCs/>
          <w:color w:val="0000FF"/>
          <w:highlight w:val="yellow"/>
          <w:lang w:val="en-US" w:eastAsia="zh-CN"/>
        </w:rPr>
      </w:pPr>
      <w:r>
        <w:rPr>
          <w:rFonts w:hint="default" w:ascii="Times New Roman" w:hAnsi="Times New Roman" w:eastAsia="方正小标宋_GBK" w:cs="Times New Roman"/>
          <w:b/>
          <w:bCs/>
          <w:color w:val="0000FF"/>
          <w:sz w:val="36"/>
          <w:szCs w:val="44"/>
          <w:highlight w:val="yellow"/>
          <w:lang w:val="en-US" w:eastAsia="zh-CN"/>
        </w:rPr>
        <w:t>美国零售销售看淡，中小企业信心走弱</w:t>
      </w:r>
    </w:p>
    <w:p>
      <w:pPr>
        <w:ind w:firstLine="608" w:firstLineChars="200"/>
        <w:jc w:val="left"/>
        <w:rPr>
          <w:rFonts w:hint="eastAsia" w:asciiTheme="minorAscii" w:hAnsiTheme="minorAscii"/>
          <w:b/>
          <w:bCs/>
          <w:sz w:val="32"/>
          <w:szCs w:val="32"/>
          <w:lang w:val="en-US" w:eastAsia="zh-CN"/>
        </w:rPr>
      </w:pPr>
      <w:r>
        <w:rPr>
          <w:rFonts w:hint="eastAsia" w:asciiTheme="minorAscii" w:hAnsiTheme="minorAscii"/>
          <w:b/>
          <w:bCs/>
          <w:sz w:val="32"/>
          <w:szCs w:val="32"/>
          <w:lang w:val="en-US" w:eastAsia="zh-CN"/>
        </w:rPr>
        <w:t>一、美国的零售销售</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2</w:t>
      </w:r>
      <w:r>
        <w:rPr>
          <w:rFonts w:hint="eastAsia" w:ascii="Times New Roman" w:hAnsi="Times New Roman" w:eastAsia="宋体" w:cs="Times New Roman"/>
          <w:sz w:val="32"/>
          <w:szCs w:val="32"/>
          <w:lang w:val="en-US" w:eastAsia="zh-CN"/>
        </w:rPr>
        <w:t>月</w:t>
      </w:r>
      <w:r>
        <w:rPr>
          <w:rFonts w:hint="default" w:ascii="Times New Roman" w:hAnsi="Times New Roman" w:eastAsia="宋体" w:cs="Times New Roman"/>
          <w:sz w:val="32"/>
          <w:szCs w:val="32"/>
          <w:lang w:val="en-US" w:eastAsia="zh-CN"/>
        </w:rPr>
        <w:t>15</w:t>
      </w:r>
      <w:r>
        <w:rPr>
          <w:rFonts w:hint="eastAsia" w:ascii="Times New Roman" w:hAnsi="Times New Roman" w:eastAsia="宋体" w:cs="Times New Roman"/>
          <w:sz w:val="32"/>
          <w:szCs w:val="32"/>
          <w:lang w:val="en-US" w:eastAsia="zh-CN"/>
        </w:rPr>
        <w:t>日（周三），美国商务部公布</w:t>
      </w: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月零售销售数据，美国</w:t>
      </w: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月零售销售环比</w:t>
      </w:r>
      <w:r>
        <w:rPr>
          <w:rFonts w:hint="default" w:ascii="Times New Roman" w:hAnsi="Times New Roman" w:eastAsia="宋体" w:cs="Times New Roman"/>
          <w:sz w:val="32"/>
          <w:szCs w:val="32"/>
          <w:lang w:val="en-US" w:eastAsia="zh-CN"/>
        </w:rPr>
        <w:t>-0.8%</w:t>
      </w:r>
      <w:r>
        <w:rPr>
          <w:rFonts w:hint="eastAsia" w:ascii="Times New Roman" w:hAnsi="Times New Roman" w:eastAsia="宋体" w:cs="Times New Roman"/>
          <w:sz w:val="32"/>
          <w:szCs w:val="32"/>
          <w:lang w:val="en-US" w:eastAsia="zh-CN"/>
        </w:rPr>
        <w:t>，低于预期值</w:t>
      </w:r>
      <w:r>
        <w:rPr>
          <w:rFonts w:hint="default" w:ascii="Times New Roman" w:hAnsi="Times New Roman" w:eastAsia="宋体" w:cs="Times New Roman"/>
          <w:sz w:val="32"/>
          <w:szCs w:val="32"/>
          <w:lang w:val="en-US" w:eastAsia="zh-CN"/>
        </w:rPr>
        <w:t>-0.2%</w:t>
      </w:r>
      <w:r>
        <w:rPr>
          <w:rFonts w:hint="eastAsia" w:ascii="Times New Roman" w:hAnsi="Times New Roman" w:eastAsia="宋体" w:cs="Times New Roman"/>
          <w:sz w:val="32"/>
          <w:szCs w:val="32"/>
          <w:lang w:val="en-US" w:eastAsia="zh-CN"/>
        </w:rPr>
        <w:t>，也远低于前值的</w:t>
      </w:r>
      <w:r>
        <w:rPr>
          <w:rFonts w:hint="default" w:ascii="Times New Roman" w:hAnsi="Times New Roman" w:eastAsia="宋体" w:cs="Times New Roman"/>
          <w:sz w:val="32"/>
          <w:szCs w:val="32"/>
          <w:lang w:val="en-US" w:eastAsia="zh-CN"/>
        </w:rPr>
        <w:t>0.6%</w:t>
      </w:r>
      <w:r>
        <w:rPr>
          <w:rFonts w:hint="eastAsia" w:ascii="Times New Roman" w:hAnsi="Times New Roman" w:eastAsia="宋体" w:cs="Times New Roman"/>
          <w:sz w:val="32"/>
          <w:szCs w:val="32"/>
          <w:lang w:val="en-US" w:eastAsia="zh-CN"/>
        </w:rPr>
        <w:t>，但同比增长了</w:t>
      </w:r>
      <w:r>
        <w:rPr>
          <w:rFonts w:hint="default" w:ascii="Times New Roman" w:hAnsi="Times New Roman" w:eastAsia="宋体" w:cs="Times New Roman"/>
          <w:sz w:val="32"/>
          <w:szCs w:val="32"/>
          <w:lang w:val="en-US" w:eastAsia="zh-CN"/>
        </w:rPr>
        <w:t>0.6%</w:t>
      </w:r>
      <w:r>
        <w:rPr>
          <w:rFonts w:hint="eastAsia" w:ascii="Times New Roman" w:hAnsi="Times New Roman" w:eastAsia="宋体" w:cs="Times New Roman"/>
          <w:sz w:val="32"/>
          <w:szCs w:val="32"/>
          <w:lang w:val="en-US" w:eastAsia="zh-CN"/>
        </w:rPr>
        <w:t>，说明</w:t>
      </w: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月份零售销售疲弱是惯常现象——在圣诞销售季之后的</w:t>
      </w: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月份，零售销售不振是常态。</w:t>
      </w:r>
    </w:p>
    <w:p>
      <w:pPr>
        <w:jc w:val="center"/>
        <w:rPr>
          <w:rFonts w:hint="default" w:asciiTheme="minorAscii" w:hAnsiTheme="minorAscii"/>
          <w:lang w:val="en-US" w:eastAsia="zh-CN"/>
        </w:rPr>
      </w:pPr>
      <w:r>
        <w:rPr>
          <w:rFonts w:hint="eastAsia" w:asciiTheme="minorAscii" w:hAnsiTheme="minorAscii"/>
          <w:lang w:val="en-US" w:eastAsia="zh-CN"/>
        </w:rPr>
        <w:t xml:space="preserve"> </w:t>
      </w:r>
      <w:r>
        <w:rPr>
          <w:rFonts w:asciiTheme="minorAscii" w:hAnsiTheme="minorAscii"/>
        </w:rPr>
        <w:drawing>
          <wp:inline distT="0" distB="0" distL="114300" distR="114300">
            <wp:extent cx="4844415" cy="2297430"/>
            <wp:effectExtent l="0" t="0" r="13335" b="762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0"/>
                    <a:stretch>
                      <a:fillRect/>
                    </a:stretch>
                  </pic:blipFill>
                  <pic:spPr>
                    <a:xfrm>
                      <a:off x="0" y="0"/>
                      <a:ext cx="4844415" cy="2297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left"/>
        <w:textAlignment w:val="auto"/>
        <w:rPr>
          <w:rFonts w:hint="default"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数据显示，在</w:t>
      </w:r>
      <w:r>
        <w:rPr>
          <w:rFonts w:hint="default" w:ascii="Times New Roman" w:hAnsi="Times New Roman" w:eastAsia="宋体" w:cs="Times New Roman"/>
          <w:sz w:val="32"/>
          <w:szCs w:val="32"/>
          <w:lang w:val="en-US" w:eastAsia="zh-CN"/>
        </w:rPr>
        <w:t>13</w:t>
      </w:r>
      <w:r>
        <w:rPr>
          <w:rFonts w:hint="eastAsia" w:ascii="Times New Roman" w:hAnsi="Times New Roman" w:eastAsia="宋体" w:cs="Times New Roman"/>
          <w:sz w:val="32"/>
          <w:szCs w:val="32"/>
          <w:lang w:val="en-US" w:eastAsia="zh-CN"/>
        </w:rPr>
        <w:t>个品类中，有</w:t>
      </w:r>
      <w:r>
        <w:rPr>
          <w:rFonts w:hint="default" w:ascii="Times New Roman" w:hAnsi="Times New Roman" w:eastAsia="宋体" w:cs="Times New Roman"/>
          <w:sz w:val="32"/>
          <w:szCs w:val="32"/>
          <w:lang w:val="en-US" w:eastAsia="zh-CN"/>
        </w:rPr>
        <w:t>9</w:t>
      </w:r>
      <w:r>
        <w:rPr>
          <w:rFonts w:hint="eastAsia" w:ascii="Times New Roman" w:hAnsi="Times New Roman" w:eastAsia="宋体" w:cs="Times New Roman"/>
          <w:sz w:val="32"/>
          <w:szCs w:val="32"/>
          <w:lang w:val="en-US" w:eastAsia="zh-CN"/>
        </w:rPr>
        <w:t>个品类出现下降，其中建材商店和汽车经销商跌幅最大。有分析指出，这是因为今年</w:t>
      </w:r>
      <w:r>
        <w:rPr>
          <w:rFonts w:hint="default" w:ascii="Times New Roman" w:hAnsi="Times New Roman" w:eastAsia="宋体" w:cs="Times New Roman"/>
          <w:sz w:val="32"/>
          <w:szCs w:val="32"/>
          <w:lang w:val="en-US" w:eastAsia="zh-CN"/>
        </w:rPr>
        <w:t>1</w:t>
      </w:r>
      <w:r>
        <w:rPr>
          <w:rFonts w:hint="eastAsia" w:ascii="Times New Roman" w:hAnsi="Times New Roman" w:eastAsia="宋体" w:cs="Times New Roman"/>
          <w:sz w:val="32"/>
          <w:szCs w:val="32"/>
          <w:lang w:val="en-US" w:eastAsia="zh-CN"/>
        </w:rPr>
        <w:t>月份席卷全美的寒潮所至。</w:t>
      </w:r>
    </w:p>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零售销售数据，主要涵盖消费者在零售业购买商品的支出情况，不包括消费者在服务行业的支出，随着疫情彻底结束，工作和生活恢复正常，商品购买在美国消费者总支出中所占的比例逐步缩减，在服务方面的开支增长。</w:t>
      </w:r>
    </w:p>
    <w:p>
      <w:pPr>
        <w:keepNext w:val="0"/>
        <w:keepLines w:val="0"/>
        <w:pageBreakBefore w:val="0"/>
        <w:widowControl w:val="0"/>
        <w:kinsoku/>
        <w:wordWrap/>
        <w:overflowPunct/>
        <w:topLinePunct w:val="0"/>
        <w:autoSpaceDE/>
        <w:autoSpaceDN/>
        <w:bidi w:val="0"/>
        <w:adjustRightInd/>
        <w:snapToGrid/>
        <w:spacing w:line="520" w:lineRule="exact"/>
        <w:ind w:firstLine="608" w:firstLineChars="200"/>
        <w:jc w:val="left"/>
        <w:textAlignment w:val="auto"/>
        <w:rPr>
          <w:rFonts w:hint="eastAsia" w:ascii="Times New Roman" w:hAnsi="Times New Roman" w:eastAsia="宋体" w:cs="Times New Roman"/>
          <w:sz w:val="32"/>
          <w:szCs w:val="32"/>
          <w:lang w:val="en-US" w:eastAsia="zh-CN"/>
        </w:rPr>
      </w:pPr>
      <w:r>
        <w:rPr>
          <w:rFonts w:hint="eastAsia" w:ascii="Times New Roman" w:hAnsi="Times New Roman" w:eastAsia="宋体" w:cs="Times New Roman"/>
          <w:sz w:val="32"/>
          <w:szCs w:val="32"/>
          <w:lang w:val="en-US" w:eastAsia="zh-CN"/>
        </w:rPr>
        <w:t>由此推测，今年美国市场上消费者的商品支出可能不会有太大增长。</w:t>
      </w:r>
    </w:p>
    <w:p>
      <w:pPr>
        <w:ind w:firstLine="608" w:firstLineChars="200"/>
        <w:jc w:val="left"/>
        <w:rPr>
          <w:rFonts w:hint="eastAsia" w:asciiTheme="minorAscii" w:hAnsiTheme="minorAscii" w:eastAsiaTheme="minorEastAsia"/>
          <w:b/>
          <w:bCs/>
          <w:sz w:val="32"/>
          <w:szCs w:val="32"/>
          <w:lang w:val="en-US" w:eastAsia="zh-CN"/>
        </w:rPr>
      </w:pPr>
      <w:r>
        <w:rPr>
          <w:rFonts w:hint="eastAsia" w:asciiTheme="minorAscii" w:hAnsiTheme="minorAscii"/>
          <w:b/>
          <w:bCs/>
          <w:sz w:val="32"/>
          <w:szCs w:val="32"/>
          <w:lang w:eastAsia="zh-CN"/>
        </w:rPr>
        <w:t>二、美国的中小企业</w:t>
      </w:r>
    </w:p>
    <w:p>
      <w:pPr>
        <w:keepNext w:val="0"/>
        <w:keepLines w:val="0"/>
        <w:pageBreakBefore w:val="0"/>
        <w:widowControl w:val="0"/>
        <w:kinsoku/>
        <w:wordWrap/>
        <w:overflowPunct/>
        <w:topLinePunct w:val="0"/>
        <w:autoSpaceDE/>
        <w:autoSpaceDN/>
        <w:bidi w:val="0"/>
        <w:adjustRightInd/>
        <w:snapToGrid/>
        <w:spacing w:line="240" w:lineRule="auto"/>
        <w:ind w:firstLine="584" w:firstLineChars="200"/>
        <w:jc w:val="left"/>
        <w:textAlignment w:val="auto"/>
        <w:rPr>
          <w:rFonts w:hint="eastAsia" w:ascii="Times New Roman" w:hAnsi="Times New Roman" w:eastAsia="宋体" w:cs="Times New Roman"/>
          <w:spacing w:val="-6"/>
          <w:sz w:val="32"/>
          <w:szCs w:val="32"/>
          <w:lang w:val="en-US" w:eastAsia="zh-CN"/>
        </w:rPr>
      </w:pPr>
      <w:r>
        <w:rPr>
          <w:rFonts w:hint="eastAsia" w:ascii="Times New Roman" w:hAnsi="Times New Roman" w:eastAsia="宋体" w:cs="Times New Roman"/>
          <w:spacing w:val="-6"/>
          <w:sz w:val="32"/>
          <w:szCs w:val="32"/>
          <w:lang w:val="en-US" w:eastAsia="zh-CN"/>
        </w:rPr>
        <w:t>2月13日，“全美独立企业联合会”（</w:t>
      </w:r>
      <w:r>
        <w:rPr>
          <w:rFonts w:hint="default" w:ascii="Times New Roman" w:hAnsi="Times New Roman" w:eastAsia="宋体" w:cs="Times New Roman"/>
          <w:spacing w:val="-6"/>
          <w:sz w:val="32"/>
          <w:szCs w:val="32"/>
          <w:lang w:val="en-US" w:eastAsia="zh-CN"/>
        </w:rPr>
        <w:t>NFIB, National Federation of Independent Business</w:t>
      </w:r>
      <w:r>
        <w:rPr>
          <w:rFonts w:hint="eastAsia" w:ascii="Times New Roman" w:hAnsi="Times New Roman" w:eastAsia="宋体" w:cs="Times New Roman"/>
          <w:spacing w:val="-6"/>
          <w:sz w:val="32"/>
          <w:szCs w:val="32"/>
          <w:lang w:val="en-US" w:eastAsia="zh-CN"/>
        </w:rPr>
        <w:t>）公布</w:t>
      </w:r>
      <w:r>
        <w:rPr>
          <w:rFonts w:hint="default" w:ascii="Times New Roman" w:hAnsi="Times New Roman" w:eastAsia="宋体" w:cs="Times New Roman"/>
          <w:spacing w:val="-6"/>
          <w:sz w:val="32"/>
          <w:szCs w:val="32"/>
          <w:lang w:val="en-US" w:eastAsia="zh-CN"/>
        </w:rPr>
        <w:t>1</w:t>
      </w:r>
      <w:r>
        <w:rPr>
          <w:rFonts w:hint="eastAsia" w:ascii="Times New Roman" w:hAnsi="Times New Roman" w:eastAsia="宋体" w:cs="Times New Roman"/>
          <w:spacing w:val="-6"/>
          <w:sz w:val="32"/>
          <w:szCs w:val="32"/>
          <w:lang w:val="en-US" w:eastAsia="zh-CN"/>
        </w:rPr>
        <w:t>月份“小型企业乐观指数”（Small Business Optimism Index），当前值为89.9，预期值92.3，前值为91.9。</w:t>
      </w:r>
    </w:p>
    <w:p>
      <w:pPr>
        <w:keepNext w:val="0"/>
        <w:keepLines w:val="0"/>
        <w:pageBreakBefore w:val="0"/>
        <w:widowControl w:val="0"/>
        <w:kinsoku/>
        <w:wordWrap/>
        <w:overflowPunct/>
        <w:topLinePunct w:val="0"/>
        <w:autoSpaceDE/>
        <w:autoSpaceDN/>
        <w:bidi w:val="0"/>
        <w:adjustRightInd/>
        <w:snapToGrid/>
        <w:spacing w:line="240" w:lineRule="auto"/>
        <w:ind w:firstLine="608" w:firstLineChars="200"/>
        <w:jc w:val="left"/>
        <w:textAlignment w:val="auto"/>
        <w:rPr>
          <w:rFonts w:hint="eastAsia" w:ascii="Times New Roman" w:hAnsi="Times New Roman" w:eastAsia="宋体" w:cs="Times New Roman"/>
          <w:spacing w:val="-6"/>
          <w:sz w:val="32"/>
          <w:szCs w:val="32"/>
          <w:lang w:val="en-US" w:eastAsia="zh-CN"/>
        </w:rPr>
      </w:pPr>
      <w:r>
        <w:rPr>
          <w:rFonts w:hint="eastAsia" w:ascii="Times New Roman" w:hAnsi="Times New Roman" w:eastAsia="宋体" w:cs="Times New Roman"/>
          <w:spacing w:val="0"/>
          <w:sz w:val="32"/>
          <w:szCs w:val="32"/>
          <w:lang w:val="en-US" w:eastAsia="zh-CN"/>
        </w:rPr>
        <w:t>NFIB表示，由于利润恶化和销售预期下降，</w:t>
      </w:r>
      <w:r>
        <w:rPr>
          <w:rFonts w:hint="default" w:ascii="Times New Roman" w:hAnsi="Times New Roman" w:eastAsia="宋体" w:cs="Times New Roman"/>
          <w:spacing w:val="0"/>
          <w:sz w:val="32"/>
          <w:szCs w:val="32"/>
          <w:lang w:val="en-US" w:eastAsia="zh-CN"/>
        </w:rPr>
        <w:t>1</w:t>
      </w:r>
      <w:r>
        <w:rPr>
          <w:rFonts w:hint="eastAsia" w:ascii="Times New Roman" w:hAnsi="Times New Roman" w:eastAsia="宋体" w:cs="Times New Roman"/>
          <w:spacing w:val="0"/>
          <w:sz w:val="32"/>
          <w:szCs w:val="32"/>
          <w:lang w:val="en-US" w:eastAsia="zh-CN"/>
        </w:rPr>
        <w:t>月份美国小企业的乐观情绪遭遇</w:t>
      </w:r>
      <w:r>
        <w:rPr>
          <w:rFonts w:hint="eastAsia" w:ascii="Times New Roman" w:hAnsi="Times New Roman" w:eastAsia="宋体" w:cs="Times New Roman"/>
          <w:spacing w:val="-6"/>
          <w:sz w:val="32"/>
          <w:szCs w:val="32"/>
          <w:lang w:val="en-US" w:eastAsia="zh-CN"/>
        </w:rPr>
        <w:t>一年多来的最大跌幅（见图）。此外，过去三个月业绩下降的小企业主占比上升。主要问题是融资成本非常高，同时，有</w:t>
      </w:r>
      <w:r>
        <w:rPr>
          <w:rFonts w:hint="default" w:ascii="Times New Roman" w:hAnsi="Times New Roman" w:eastAsia="宋体" w:cs="Times New Roman"/>
          <w:spacing w:val="-6"/>
          <w:sz w:val="32"/>
          <w:szCs w:val="32"/>
          <w:lang w:val="en-US" w:eastAsia="zh-CN"/>
        </w:rPr>
        <w:t>15%</w:t>
      </w:r>
      <w:r>
        <w:rPr>
          <w:rFonts w:hint="eastAsia" w:ascii="Times New Roman" w:hAnsi="Times New Roman" w:eastAsia="宋体" w:cs="Times New Roman"/>
          <w:spacing w:val="-6"/>
          <w:sz w:val="32"/>
          <w:szCs w:val="32"/>
          <w:lang w:val="en-US" w:eastAsia="zh-CN"/>
        </w:rPr>
        <w:t>的企业主报告下调了售价，为</w:t>
      </w:r>
      <w:r>
        <w:rPr>
          <w:rFonts w:hint="default" w:ascii="Times New Roman" w:hAnsi="Times New Roman" w:eastAsia="宋体" w:cs="Times New Roman"/>
          <w:spacing w:val="-6"/>
          <w:sz w:val="32"/>
          <w:szCs w:val="32"/>
          <w:lang w:val="en-US" w:eastAsia="zh-CN"/>
        </w:rPr>
        <w:t>2020</w:t>
      </w:r>
      <w:r>
        <w:rPr>
          <w:rFonts w:hint="eastAsia" w:ascii="Times New Roman" w:hAnsi="Times New Roman" w:eastAsia="宋体" w:cs="Times New Roman"/>
          <w:spacing w:val="-6"/>
          <w:sz w:val="32"/>
          <w:szCs w:val="32"/>
          <w:lang w:val="en-US" w:eastAsia="zh-CN"/>
        </w:rPr>
        <w:t>年</w:t>
      </w:r>
      <w:r>
        <w:rPr>
          <w:rFonts w:hint="default" w:ascii="Times New Roman" w:hAnsi="Times New Roman" w:eastAsia="宋体" w:cs="Times New Roman"/>
          <w:spacing w:val="-6"/>
          <w:sz w:val="32"/>
          <w:szCs w:val="32"/>
          <w:lang w:val="en-US" w:eastAsia="zh-CN"/>
        </w:rPr>
        <w:t>8</w:t>
      </w:r>
      <w:r>
        <w:rPr>
          <w:rFonts w:hint="eastAsia" w:ascii="Times New Roman" w:hAnsi="Times New Roman" w:eastAsia="宋体" w:cs="Times New Roman"/>
          <w:spacing w:val="-6"/>
          <w:sz w:val="32"/>
          <w:szCs w:val="32"/>
          <w:lang w:val="en-US" w:eastAsia="zh-CN"/>
        </w:rPr>
        <w:t>月以来的最大占比。</w:t>
      </w:r>
    </w:p>
    <w:p>
      <w:pPr>
        <w:jc w:val="center"/>
        <w:rPr>
          <w:rFonts w:asciiTheme="minorAscii" w:hAnsiTheme="minorAscii"/>
        </w:rPr>
      </w:pPr>
      <w:r>
        <w:rPr>
          <w:rFonts w:hint="eastAsia" w:asciiTheme="minorAscii" w:hAnsiTheme="minorAscii"/>
          <w:lang w:val="en-US" w:eastAsia="zh-CN"/>
        </w:rPr>
        <w:t xml:space="preserve">  </w:t>
      </w:r>
      <w:r>
        <w:rPr>
          <w:rFonts w:asciiTheme="minorAscii" w:hAnsiTheme="minorAscii"/>
        </w:rPr>
        <w:drawing>
          <wp:inline distT="0" distB="0" distL="114300" distR="114300">
            <wp:extent cx="5113020" cy="3104515"/>
            <wp:effectExtent l="0" t="0" r="11430" b="63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21"/>
                    <a:stretch>
                      <a:fillRect/>
                    </a:stretch>
                  </pic:blipFill>
                  <pic:spPr>
                    <a:xfrm>
                      <a:off x="0" y="0"/>
                      <a:ext cx="5113020" cy="31045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default" w:ascii="Times New Roman" w:hAnsi="Times New Roman" w:eastAsia="楷体" w:cs="Times New Roman"/>
          <w:sz w:val="28"/>
          <w:szCs w:val="28"/>
          <w:lang w:val="en-US" w:eastAsia="zh-CN"/>
        </w:rPr>
      </w:pPr>
      <w:r>
        <w:rPr>
          <w:rFonts w:hint="default" w:ascii="Times New Roman" w:hAnsi="Times New Roman" w:eastAsia="楷体" w:cs="Times New Roman"/>
          <w:sz w:val="28"/>
          <w:szCs w:val="28"/>
          <w:lang w:val="en-US" w:eastAsia="zh-CN"/>
        </w:rPr>
        <w:t>（注：</w:t>
      </w:r>
      <w:r>
        <w:rPr>
          <w:rFonts w:hint="eastAsia" w:ascii="Times New Roman" w:hAnsi="Times New Roman" w:eastAsia="楷体" w:cs="Times New Roman"/>
          <w:sz w:val="28"/>
          <w:szCs w:val="28"/>
          <w:lang w:val="en-US" w:eastAsia="zh-CN"/>
        </w:rPr>
        <w:t>“</w:t>
      </w:r>
      <w:r>
        <w:rPr>
          <w:rFonts w:hint="default" w:ascii="Times New Roman" w:hAnsi="Times New Roman" w:eastAsia="楷体" w:cs="Times New Roman"/>
          <w:b/>
          <w:bCs/>
          <w:sz w:val="28"/>
          <w:szCs w:val="28"/>
          <w:lang w:val="en-US" w:eastAsia="zh-CN"/>
        </w:rPr>
        <w:t>全美独立企业联合会</w:t>
      </w:r>
      <w:r>
        <w:rPr>
          <w:rFonts w:hint="eastAsia" w:ascii="Times New Roman" w:hAnsi="Times New Roman" w:eastAsia="楷体" w:cs="Times New Roman"/>
          <w:sz w:val="28"/>
          <w:szCs w:val="28"/>
          <w:lang w:val="en-US" w:eastAsia="zh-CN"/>
        </w:rPr>
        <w:t>”</w:t>
      </w:r>
      <w:r>
        <w:rPr>
          <w:rFonts w:hint="default" w:ascii="Times New Roman" w:hAnsi="Times New Roman" w:eastAsia="楷体" w:cs="Times New Roman"/>
          <w:sz w:val="28"/>
          <w:szCs w:val="28"/>
          <w:lang w:val="en-US" w:eastAsia="zh-CN"/>
        </w:rPr>
        <w:t>（</w:t>
      </w:r>
      <w:r>
        <w:rPr>
          <w:rFonts w:hint="default" w:ascii="Times New Roman" w:hAnsi="Times New Roman" w:eastAsia="楷体" w:cs="Times New Roman"/>
          <w:b/>
          <w:bCs/>
          <w:sz w:val="28"/>
          <w:szCs w:val="28"/>
          <w:lang w:val="en-US" w:eastAsia="zh-CN"/>
        </w:rPr>
        <w:t>NFIB</w:t>
      </w:r>
      <w:r>
        <w:rPr>
          <w:rFonts w:hint="default" w:ascii="Times New Roman" w:hAnsi="Times New Roman" w:eastAsia="楷体" w:cs="Times New Roman"/>
          <w:sz w:val="28"/>
          <w:szCs w:val="28"/>
          <w:lang w:val="en-US" w:eastAsia="zh-CN"/>
        </w:rPr>
        <w:t>，National Federation of Independent Business）是美国最大的小型企业组织之一，成立于1943年。该组织的会员包括来自各行各业的小型企业主，他们代表了美国经济中重要的就业和创业群体。</w:t>
      </w:r>
    </w:p>
    <w:p>
      <w:pPr>
        <w:keepNext w:val="0"/>
        <w:keepLines w:val="0"/>
        <w:pageBreakBefore w:val="0"/>
        <w:widowControl w:val="0"/>
        <w:kinsoku/>
        <w:wordWrap/>
        <w:overflowPunct/>
        <w:topLinePunct w:val="0"/>
        <w:autoSpaceDE/>
        <w:autoSpaceDN/>
        <w:bidi w:val="0"/>
        <w:adjustRightInd/>
        <w:snapToGrid/>
        <w:spacing w:line="400" w:lineRule="exact"/>
        <w:ind w:firstLine="528" w:firstLineChars="200"/>
        <w:jc w:val="left"/>
        <w:textAlignment w:val="auto"/>
        <w:rPr>
          <w:rFonts w:hint="default" w:ascii="Calibri" w:hAnsi="Calibri" w:eastAsia="仿宋_GB2312" w:cs="Calibri"/>
          <w:lang w:val="en-US" w:eastAsia="zh-CN"/>
        </w:rPr>
      </w:pPr>
      <w:r>
        <w:rPr>
          <w:rFonts w:hint="eastAsia" w:ascii="Times New Roman" w:hAnsi="Times New Roman" w:eastAsia="楷体" w:cs="Times New Roman"/>
          <w:sz w:val="28"/>
          <w:szCs w:val="28"/>
          <w:lang w:val="en-US" w:eastAsia="zh-CN"/>
        </w:rPr>
        <w:t>“</w:t>
      </w:r>
      <w:r>
        <w:rPr>
          <w:rFonts w:hint="default" w:ascii="Times New Roman" w:hAnsi="Times New Roman" w:eastAsia="楷体" w:cs="Times New Roman"/>
          <w:b/>
          <w:bCs/>
          <w:sz w:val="28"/>
          <w:szCs w:val="28"/>
          <w:lang w:val="en-US" w:eastAsia="zh-CN"/>
        </w:rPr>
        <w:t>小型企业乐观指数</w:t>
      </w:r>
      <w:r>
        <w:rPr>
          <w:rFonts w:hint="eastAsia" w:ascii="Times New Roman" w:hAnsi="Times New Roman" w:eastAsia="楷体" w:cs="Times New Roman"/>
          <w:sz w:val="28"/>
          <w:szCs w:val="28"/>
          <w:lang w:val="en-US" w:eastAsia="zh-CN"/>
        </w:rPr>
        <w:t>”</w:t>
      </w:r>
      <w:r>
        <w:rPr>
          <w:rFonts w:hint="default" w:ascii="Times New Roman" w:hAnsi="Times New Roman" w:eastAsia="楷体" w:cs="Times New Roman"/>
          <w:sz w:val="28"/>
          <w:szCs w:val="28"/>
          <w:lang w:val="en-US" w:eastAsia="zh-CN"/>
        </w:rPr>
        <w:t>（Small Business Optimism Index）是NFIB编制的重要经济指标。该指数基于对会员企业的调查，衡量了小型企业主对经济前景、销售预期、雇佣意向、贷款条件等方面的信心水平。）</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bCs/>
          <w:color w:val="FF0000"/>
          <w:sz w:val="96"/>
          <w:szCs w:val="96"/>
          <w:lang w:val="en-US" w:eastAsia="zh-CN"/>
        </w:rPr>
      </w:pPr>
      <w:r>
        <w:rPr>
          <w:rFonts w:hint="default" w:ascii="Times New Roman" w:hAnsi="Times New Roman" w:eastAsia="经典行楷简" w:cs="Times New Roman"/>
          <w:b/>
          <w:bCs/>
          <w:color w:val="FF0000"/>
          <w:sz w:val="96"/>
          <w:szCs w:val="96"/>
          <w:lang w:val="en-US" w:eastAsia="zh-CN"/>
        </w:rPr>
        <w:t>江苏贸促动态</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color w:val="2E75B6" w:themeColor="accent1" w:themeShade="BF"/>
          <w:spacing w:val="0"/>
          <w:sz w:val="52"/>
          <w:szCs w:val="52"/>
          <w:lang w:val="en-US" w:eastAsia="zh-CN"/>
        </w:rPr>
      </w:pPr>
      <w:r>
        <w:rPr>
          <w:rFonts w:hint="default" w:ascii="Times New Roman" w:hAnsi="Times New Roman" w:eastAsia="经典行楷简" w:cs="Times New Roman"/>
          <w:color w:val="2E75B6" w:themeColor="accent1" w:themeShade="BF"/>
          <w:spacing w:val="0"/>
          <w:sz w:val="52"/>
          <w:szCs w:val="52"/>
          <w:lang w:val="en-US" w:eastAsia="zh-CN"/>
        </w:rPr>
        <w:t>江苏贸促服务龙年新春不停歇</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楷体_GBK" w:cs="Times New Roman"/>
          <w:b/>
          <w:bCs/>
          <w:color w:val="FF0000"/>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2024年春节期间，江苏省贸促会商服中心为江苏省陶瓷进出口集团、南京中机进出口有限公司等企业办理原产地证17份，其中办理自贸协定项下优惠原产地证10份，涉及FOB金额30.13万美元，预计可为企业节约关税成本1.5万美元；为江苏沙钢、南通新丰粮油储运等企业办理各类进出口许可证16份，有效保障了春节期间为企服务</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绿色通道</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畅通。</w:t>
      </w:r>
      <w:r>
        <w:rPr>
          <w:rFonts w:hint="default" w:ascii="Times New Roman" w:hAnsi="Times New Roman" w:cs="Times New Roman"/>
          <w:color w:val="auto"/>
          <w:spacing w:val="0"/>
          <w:sz w:val="32"/>
          <w:szCs w:val="32"/>
          <w:lang w:val="en-US" w:eastAsia="zh-CN"/>
        </w:rPr>
        <w:t xml:space="preserve"> </w:t>
      </w:r>
      <w:r>
        <w:rPr>
          <w:rFonts w:hint="default" w:ascii="Times New Roman" w:hAnsi="Times New Roman" w:eastAsia="方正楷体_GBK" w:cs="Times New Roman"/>
          <w:b/>
          <w:bCs/>
          <w:color w:val="FF0000"/>
          <w:spacing w:val="0"/>
          <w:sz w:val="32"/>
          <w:szCs w:val="32"/>
          <w:lang w:val="en-US" w:eastAsia="zh-CN"/>
        </w:rPr>
        <w:t>（法律事务部、商服中心）</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color w:val="2E75B6" w:themeColor="accent1" w:themeShade="BF"/>
          <w:spacing w:val="0"/>
          <w:sz w:val="52"/>
          <w:szCs w:val="52"/>
          <w:lang w:val="en-US" w:eastAsia="zh-CN"/>
        </w:rPr>
      </w:pPr>
      <w:r>
        <w:rPr>
          <w:rFonts w:hint="default" w:ascii="Times New Roman" w:hAnsi="Times New Roman" w:eastAsia="经典行楷简" w:cs="Times New Roman"/>
          <w:color w:val="2E75B6" w:themeColor="accent1" w:themeShade="BF"/>
          <w:spacing w:val="0"/>
          <w:sz w:val="52"/>
          <w:szCs w:val="52"/>
          <w:lang w:val="en-US" w:eastAsia="zh-CN"/>
        </w:rPr>
        <w:t>近百家苏州企业，出海</w:t>
      </w:r>
      <w:r>
        <w:rPr>
          <w:rFonts w:hint="eastAsia" w:ascii="Times New Roman" w:hAnsi="Times New Roman" w:eastAsia="经典行楷简" w:cs="Times New Roman"/>
          <w:color w:val="2E75B6" w:themeColor="accent1" w:themeShade="BF"/>
          <w:spacing w:val="0"/>
          <w:sz w:val="52"/>
          <w:szCs w:val="52"/>
          <w:lang w:val="en-US" w:eastAsia="zh-CN"/>
        </w:rPr>
        <w:t>“</w:t>
      </w:r>
      <w:r>
        <w:rPr>
          <w:rFonts w:hint="default" w:ascii="Times New Roman" w:hAnsi="Times New Roman" w:eastAsia="经典行楷简" w:cs="Times New Roman"/>
          <w:color w:val="2E75B6" w:themeColor="accent1" w:themeShade="BF"/>
          <w:spacing w:val="0"/>
          <w:sz w:val="52"/>
          <w:szCs w:val="52"/>
          <w:lang w:val="en-US" w:eastAsia="zh-CN"/>
        </w:rPr>
        <w:t>抢订单</w:t>
      </w:r>
      <w:r>
        <w:rPr>
          <w:rFonts w:hint="eastAsia" w:ascii="Times New Roman" w:hAnsi="Times New Roman" w:eastAsia="经典行楷简" w:cs="Times New Roman"/>
          <w:color w:val="2E75B6" w:themeColor="accent1" w:themeShade="BF"/>
          <w:spacing w:val="0"/>
          <w:sz w:val="52"/>
          <w:szCs w:val="52"/>
          <w:lang w:val="en-US" w:eastAsia="zh-CN"/>
        </w:rPr>
        <w:t>”</w:t>
      </w:r>
      <w:r>
        <w:rPr>
          <w:rFonts w:hint="default" w:ascii="Times New Roman" w:hAnsi="Times New Roman" w:eastAsia="经典行楷简" w:cs="Times New Roman"/>
          <w:color w:val="2E75B6" w:themeColor="accent1" w:themeShade="BF"/>
          <w:spacing w:val="0"/>
          <w:sz w:val="52"/>
          <w:szCs w:val="52"/>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近日，苏州市贸促会组织恒润、国泰、丝科、石也等85家企业参加了法国巴黎纺织面料展览会。虽然临近春节，但苏企</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出海</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抢订单、拓市场的脚步一刻也不停歇。</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法国巴黎纺织面料展览会（Texworld）是全球最有影响力的大型国际面料展之一，其展出规模之大、专业性之强在纺织品面料行业首屈一指。展览首日，苏州企业展位吸引了众多参展商前来咨询，通过面对面沟通，一大批国外企业与苏州企业达成合作意向。</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展会期间，苏州市贸促会与展览会主办机构</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法兰克福展览（法国）有限公司举行座谈，就加强交流合作，推动更多苏州企业参加展会达成共识，并现场签署合作协议。</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方正楷体_GBK" w:cs="Times New Roman"/>
          <w:b/>
          <w:bCs/>
          <w:color w:val="FF0000"/>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下一步，苏州市贸促会将系统谋划实施外贸企业</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全球行</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计划，进一步加快企业拓市场、抢订单步伐，为全市稳外贸提供更好支撑。</w:t>
      </w:r>
      <w:r>
        <w:rPr>
          <w:rFonts w:hint="default" w:ascii="Times New Roman" w:hAnsi="Times New Roman" w:cs="Times New Roman"/>
          <w:color w:val="auto"/>
          <w:spacing w:val="0"/>
          <w:sz w:val="32"/>
          <w:szCs w:val="32"/>
          <w:lang w:val="en-US" w:eastAsia="zh-CN"/>
        </w:rPr>
        <w:t xml:space="preserve">                             </w:t>
      </w:r>
      <w:r>
        <w:rPr>
          <w:rFonts w:hint="default" w:ascii="Times New Roman" w:hAnsi="Times New Roman" w:eastAsia="方正楷体_GBK" w:cs="Times New Roman"/>
          <w:b/>
          <w:bCs/>
          <w:color w:val="FF0000"/>
          <w:spacing w:val="0"/>
          <w:sz w:val="32"/>
          <w:szCs w:val="32"/>
          <w:lang w:val="en-US" w:eastAsia="zh-CN"/>
        </w:rPr>
        <w:t>（</w:t>
      </w:r>
      <w:r>
        <w:rPr>
          <w:rFonts w:hint="eastAsia" w:ascii="Times New Roman" w:hAnsi="Times New Roman" w:eastAsia="方正楷体_GBK" w:cs="Times New Roman"/>
          <w:b/>
          <w:bCs/>
          <w:color w:val="FF0000"/>
          <w:spacing w:val="0"/>
          <w:sz w:val="32"/>
          <w:szCs w:val="32"/>
          <w:lang w:val="en-US" w:eastAsia="zh-CN"/>
        </w:rPr>
        <w:t>苏州市贸促会</w:t>
      </w:r>
      <w:r>
        <w:rPr>
          <w:rFonts w:hint="default" w:ascii="Times New Roman" w:hAnsi="Times New Roman" w:eastAsia="方正楷体_GBK" w:cs="Times New Roman"/>
          <w:b/>
          <w:bCs/>
          <w:color w:val="FF0000"/>
          <w:spacing w:val="0"/>
          <w:sz w:val="32"/>
          <w:szCs w:val="32"/>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color w:val="2E75B6" w:themeColor="accent1" w:themeShade="BF"/>
          <w:spacing w:val="0"/>
          <w:sz w:val="52"/>
          <w:szCs w:val="52"/>
          <w:lang w:val="en-US" w:eastAsia="zh-CN"/>
        </w:rPr>
      </w:pPr>
      <w:r>
        <w:rPr>
          <w:rFonts w:hint="default" w:ascii="Times New Roman" w:hAnsi="Times New Roman" w:eastAsia="经典行楷简" w:cs="Times New Roman"/>
          <w:color w:val="2E75B6" w:themeColor="accent1" w:themeShade="BF"/>
          <w:spacing w:val="0"/>
          <w:sz w:val="52"/>
          <w:szCs w:val="52"/>
          <w:lang w:val="en-US" w:eastAsia="zh-CN"/>
        </w:rPr>
        <w:t>春节假期镇江市贸促会出证认证服务</w:t>
      </w:r>
      <w:r>
        <w:rPr>
          <w:rFonts w:hint="eastAsia" w:ascii="Times New Roman" w:hAnsi="Times New Roman" w:eastAsia="经典行楷简" w:cs="Times New Roman"/>
          <w:color w:val="2E75B6" w:themeColor="accent1" w:themeShade="BF"/>
          <w:spacing w:val="0"/>
          <w:sz w:val="52"/>
          <w:szCs w:val="52"/>
          <w:lang w:val="en-US" w:eastAsia="zh-CN"/>
        </w:rPr>
        <w:t>“</w:t>
      </w:r>
      <w:r>
        <w:rPr>
          <w:rFonts w:hint="default" w:ascii="Times New Roman" w:hAnsi="Times New Roman" w:eastAsia="经典行楷简" w:cs="Times New Roman"/>
          <w:color w:val="2E75B6" w:themeColor="accent1" w:themeShade="BF"/>
          <w:spacing w:val="0"/>
          <w:sz w:val="52"/>
          <w:szCs w:val="52"/>
          <w:lang w:val="en-US" w:eastAsia="zh-CN"/>
        </w:rPr>
        <w:t>不打烊</w:t>
      </w:r>
      <w:r>
        <w:rPr>
          <w:rFonts w:hint="eastAsia" w:ascii="Times New Roman" w:hAnsi="Times New Roman" w:eastAsia="经典行楷简" w:cs="Times New Roman"/>
          <w:color w:val="2E75B6" w:themeColor="accent1" w:themeShade="BF"/>
          <w:spacing w:val="0"/>
          <w:sz w:val="52"/>
          <w:szCs w:val="52"/>
          <w:lang w:val="en-US" w:eastAsia="zh-CN"/>
        </w:rPr>
        <w:t>”</w:t>
      </w:r>
      <w:r>
        <w:rPr>
          <w:rFonts w:hint="default" w:ascii="Times New Roman" w:hAnsi="Times New Roman" w:eastAsia="经典行楷简" w:cs="Times New Roman"/>
          <w:color w:val="2E75B6" w:themeColor="accent1" w:themeShade="BF"/>
          <w:spacing w:val="0"/>
          <w:sz w:val="52"/>
          <w:szCs w:val="52"/>
          <w:lang w:val="en-US" w:eastAsia="zh-CN"/>
        </w:rPr>
        <w:t>并实行</w:t>
      </w:r>
      <w:r>
        <w:rPr>
          <w:rFonts w:hint="eastAsia" w:ascii="Times New Roman" w:hAnsi="Times New Roman" w:eastAsia="经典行楷简" w:cs="Times New Roman"/>
          <w:color w:val="2E75B6" w:themeColor="accent1" w:themeShade="BF"/>
          <w:spacing w:val="0"/>
          <w:sz w:val="52"/>
          <w:szCs w:val="52"/>
          <w:lang w:val="en-US" w:eastAsia="zh-CN"/>
        </w:rPr>
        <w:t>“</w:t>
      </w:r>
      <w:r>
        <w:rPr>
          <w:rFonts w:hint="default" w:ascii="Times New Roman" w:hAnsi="Times New Roman" w:eastAsia="经典行楷简" w:cs="Times New Roman"/>
          <w:color w:val="2E75B6" w:themeColor="accent1" w:themeShade="BF"/>
          <w:spacing w:val="0"/>
          <w:sz w:val="52"/>
          <w:szCs w:val="52"/>
          <w:lang w:val="en-US" w:eastAsia="zh-CN"/>
        </w:rPr>
        <w:t>24小时全天候回复</w:t>
      </w:r>
      <w:r>
        <w:rPr>
          <w:rFonts w:hint="eastAsia" w:ascii="Times New Roman" w:hAnsi="Times New Roman" w:eastAsia="经典行楷简" w:cs="Times New Roman"/>
          <w:color w:val="2E75B6" w:themeColor="accent1" w:themeShade="BF"/>
          <w:spacing w:val="0"/>
          <w:sz w:val="52"/>
          <w:szCs w:val="52"/>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春节期间</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为保障</w:t>
      </w:r>
      <w:r>
        <w:rPr>
          <w:rFonts w:hint="eastAsia" w:ascii="Times New Roman" w:hAnsi="Times New Roman" w:cs="Times New Roman"/>
          <w:color w:val="auto"/>
          <w:spacing w:val="0"/>
          <w:sz w:val="32"/>
          <w:szCs w:val="32"/>
          <w:lang w:val="en-US" w:eastAsia="zh-CN"/>
        </w:rPr>
        <w:t>镇江</w:t>
      </w:r>
      <w:r>
        <w:rPr>
          <w:rFonts w:hint="default" w:ascii="Times New Roman" w:hAnsi="Times New Roman" w:cs="Times New Roman" w:eastAsiaTheme="minorEastAsia"/>
          <w:color w:val="auto"/>
          <w:spacing w:val="0"/>
          <w:sz w:val="32"/>
          <w:szCs w:val="32"/>
          <w:lang w:val="en-US" w:eastAsia="zh-CN"/>
        </w:rPr>
        <w:t>外贸企业及时办理涉外认证业务</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确保产品出口不受假期影响，镇江市贸促会出证认证服务窗口主动担当、坚守岗位，假期正常办理各种涉外认证服务。</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节前</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市贸促会提前制定假期对外办公工作方案，在公众号、企业群等多个平台发布假期窗口值班办证服务通知。消息发布后，得到广大企业积极响应，并提前与服务大厅预约办证业务</w:t>
      </w:r>
      <w:r>
        <w:rPr>
          <w:rFonts w:hint="eastAsia" w:ascii="Times New Roman" w:hAnsi="Times New Roman" w:cs="Times New Roman"/>
          <w:color w:val="auto"/>
          <w:spacing w:val="0"/>
          <w:sz w:val="32"/>
          <w:szCs w:val="32"/>
          <w:lang w:val="en-US" w:eastAsia="zh-CN"/>
        </w:rPr>
        <w:t>。节日</w:t>
      </w:r>
      <w:r>
        <w:rPr>
          <w:rFonts w:hint="default" w:ascii="Times New Roman" w:hAnsi="Times New Roman" w:cs="Times New Roman" w:eastAsiaTheme="minorEastAsia"/>
          <w:color w:val="auto"/>
          <w:spacing w:val="0"/>
          <w:sz w:val="32"/>
          <w:szCs w:val="32"/>
          <w:lang w:val="en-US" w:eastAsia="zh-CN"/>
        </w:rPr>
        <w:t>期间</w:t>
      </w:r>
      <w:r>
        <w:rPr>
          <w:rFonts w:hint="eastAsia" w:ascii="Times New Roman" w:hAnsi="Times New Roman" w:cs="Times New Roman"/>
          <w:color w:val="auto"/>
          <w:spacing w:val="0"/>
          <w:sz w:val="32"/>
          <w:szCs w:val="32"/>
          <w:lang w:val="en-US" w:eastAsia="zh-CN"/>
        </w:rPr>
        <w:t>，市贸促会</w:t>
      </w:r>
      <w:r>
        <w:rPr>
          <w:rFonts w:hint="default" w:ascii="Times New Roman" w:hAnsi="Times New Roman" w:cs="Times New Roman" w:eastAsiaTheme="minorEastAsia"/>
          <w:color w:val="auto"/>
          <w:spacing w:val="0"/>
          <w:sz w:val="32"/>
          <w:szCs w:val="32"/>
          <w:lang w:val="en-US" w:eastAsia="zh-CN"/>
        </w:rPr>
        <w:t>共为金东纸业、艾柚眼镜、奥兰特机械等50余家企业办理各类原产地证74份，涉及出口额4230万元人民币，国际商事证明书1份，邮寄产地证11份。同时企业工作群、热线电话实行</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24小时全天候回复</w:t>
      </w:r>
      <w:r>
        <w:rPr>
          <w:rFonts w:hint="eastAsia" w:ascii="Times New Roman" w:hAnsi="Times New Roman" w:cs="Times New Roman"/>
          <w:color w:val="auto"/>
          <w:spacing w:val="0"/>
          <w:sz w:val="32"/>
          <w:szCs w:val="32"/>
          <w:lang w:val="en-US" w:eastAsia="zh-CN"/>
        </w:rPr>
        <w:t>”</w:t>
      </w:r>
      <w:r>
        <w:rPr>
          <w:rFonts w:hint="default" w:ascii="Times New Roman" w:hAnsi="Times New Roman" w:cs="Times New Roman" w:eastAsiaTheme="minorEastAsia"/>
          <w:color w:val="auto"/>
          <w:spacing w:val="0"/>
          <w:sz w:val="32"/>
          <w:szCs w:val="32"/>
          <w:lang w:val="en-US" w:eastAsia="zh-CN"/>
        </w:rPr>
        <w:t>，及时帮助企业解决近航船期短、避免滞港额外增加仓储成本等问题，为落实</w:t>
      </w:r>
      <w:r>
        <w:rPr>
          <w:rFonts w:hint="eastAsia" w:ascii="Times New Roman" w:hAnsi="Times New Roman" w:cs="Times New Roman"/>
          <w:color w:val="auto"/>
          <w:spacing w:val="0"/>
          <w:sz w:val="32"/>
          <w:szCs w:val="32"/>
          <w:lang w:val="en-US" w:eastAsia="zh-CN"/>
        </w:rPr>
        <w:t>全</w:t>
      </w:r>
      <w:r>
        <w:rPr>
          <w:rFonts w:hint="default" w:ascii="Times New Roman" w:hAnsi="Times New Roman" w:cs="Times New Roman" w:eastAsiaTheme="minorEastAsia"/>
          <w:color w:val="auto"/>
          <w:spacing w:val="0"/>
          <w:sz w:val="32"/>
          <w:szCs w:val="32"/>
          <w:lang w:val="en-US" w:eastAsia="zh-CN"/>
        </w:rPr>
        <w:t>市稳外贸相关工作部署和确保外贸企业节假日期间进出口业务的顺利开展保驾护航。</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center"/>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cs="Times New Roman" w:eastAsiaTheme="minorEastAsia"/>
          <w:color w:val="auto"/>
          <w:spacing w:val="0"/>
          <w:sz w:val="32"/>
          <w:szCs w:val="32"/>
          <w:lang w:val="en-US" w:eastAsia="zh-CN"/>
        </w:rPr>
        <w:t>市贸促会出证认证窗口假期贴心高效的服务赢得了企业赞誉。</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608" w:firstLineChars="200"/>
        <w:contextualSpacing/>
        <w:jc w:val="center"/>
        <w:textAlignment w:val="auto"/>
        <w:outlineLvl w:val="1"/>
        <w:rPr>
          <w:rFonts w:hint="default" w:ascii="Times New Roman" w:hAnsi="Times New Roman" w:cs="Times New Roman" w:eastAsiaTheme="minorEastAsia"/>
          <w:color w:val="auto"/>
          <w:spacing w:val="0"/>
          <w:sz w:val="32"/>
          <w:szCs w:val="32"/>
          <w:lang w:val="en-US" w:eastAsia="zh-CN"/>
        </w:rPr>
      </w:pPr>
      <w:r>
        <w:rPr>
          <w:rFonts w:hint="default" w:ascii="Times New Roman" w:hAnsi="Times New Roman" w:eastAsia="方正楷体_GBK" w:cs="Times New Roman"/>
          <w:b/>
          <w:bCs/>
          <w:color w:val="FF0000"/>
          <w:spacing w:val="0"/>
          <w:sz w:val="32"/>
          <w:szCs w:val="32"/>
          <w:lang w:val="en-US" w:eastAsia="zh-CN"/>
        </w:rPr>
        <w:t xml:space="preserve">                           （</w:t>
      </w:r>
      <w:r>
        <w:rPr>
          <w:rFonts w:hint="eastAsia" w:ascii="Times New Roman" w:hAnsi="Times New Roman" w:eastAsia="方正楷体_GBK" w:cs="Times New Roman"/>
          <w:b/>
          <w:bCs/>
          <w:color w:val="FF0000"/>
          <w:spacing w:val="0"/>
          <w:sz w:val="32"/>
          <w:szCs w:val="32"/>
          <w:lang w:val="en-US" w:eastAsia="zh-CN"/>
        </w:rPr>
        <w:t>镇江市贸促会</w:t>
      </w:r>
      <w:r>
        <w:rPr>
          <w:rFonts w:hint="default" w:ascii="Times New Roman" w:hAnsi="Times New Roman" w:eastAsia="方正楷体_GBK" w:cs="Times New Roman"/>
          <w:b/>
          <w:bCs/>
          <w:color w:val="FF0000"/>
          <w:spacing w:val="0"/>
          <w:sz w:val="32"/>
          <w:szCs w:val="32"/>
          <w:lang w:val="en-US" w:eastAsia="zh-CN"/>
        </w:rPr>
        <w:t>）</w:t>
      </w:r>
    </w:p>
    <w:p>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left"/>
        <w:textAlignment w:val="auto"/>
        <w:outlineLvl w:val="1"/>
        <w:rPr>
          <w:rFonts w:hint="default" w:ascii="Times New Roman" w:hAnsi="Times New Roman" w:eastAsia="经典行楷简" w:cs="Times New Roman"/>
          <w:color w:val="2E75B6" w:themeColor="accent1" w:themeShade="BF"/>
          <w:spacing w:val="0"/>
          <w:sz w:val="52"/>
          <w:szCs w:val="52"/>
          <w:lang w:val="en-US" w:eastAsia="zh-CN"/>
        </w:rPr>
      </w:pPr>
    </w:p>
    <w:sectPr>
      <w:footerReference r:id="rId4"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经典行楷简">
    <w:panose1 w:val="02010609000101010101"/>
    <w:charset w:val="86"/>
    <w:family w:val="auto"/>
    <w:pitch w:val="default"/>
    <w:sig w:usb0="A1007AEF" w:usb1="F9DF7CFB" w:usb2="0000001E" w:usb3="00000000" w:csb0="2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魏碑简体">
    <w:panose1 w:val="02010601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-328930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5.9pt;height:144pt;width:144pt;mso-position-horizontal:outside;mso-position-horizontal-relative:margin;mso-wrap-style:none;z-index:251659264;mso-width-relative:page;mso-height-relative:page;" filled="f" stroked="f" coordsize="21600,21600" o:gfxdata="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tvwsC1gAAAAgBAAAPAAAAAAAAAAEAIAAAACIAAABkcnMvZG93bnJl&#10;di54bWxQSwECFAAUAAAACACHTuJAOeIrFDgCAABvBAAADgAAAAAAAAABACAAAAAlAQAAZHJzL2Uy&#10;b0RvYy54bWxQSwUGAAAAAAYABgBZAQAAzwUAAAAA&#10;">
              <v:fill on="f" focussize="0,0"/>
              <v:stroke on="f" weight="0.5pt"/>
              <v:imagedata o:title=""/>
              <o:lock v:ext="edit" aspectratio="f"/>
              <v:textbox inset="0mm,0mm,0mm,0mm" style="mso-fit-shape-to-text:t;">
                <w:txbxContent>
                  <w:p>
                    <w:pPr>
                      <w:widowControl w:val="0"/>
                      <w:tabs>
                        <w:tab w:val="center" w:pos="4153"/>
                        <w:tab w:val="right" w:pos="8306"/>
                      </w:tabs>
                      <w:snapToGrid w:val="0"/>
                      <w:jc w:val="left"/>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8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97083"/>
    <w:rsid w:val="001156B9"/>
    <w:rsid w:val="00154806"/>
    <w:rsid w:val="001F2C95"/>
    <w:rsid w:val="003208B4"/>
    <w:rsid w:val="003671B0"/>
    <w:rsid w:val="003C691D"/>
    <w:rsid w:val="003F32D7"/>
    <w:rsid w:val="0042623F"/>
    <w:rsid w:val="0043286B"/>
    <w:rsid w:val="00467C46"/>
    <w:rsid w:val="005A092B"/>
    <w:rsid w:val="006B63D3"/>
    <w:rsid w:val="006C0C2E"/>
    <w:rsid w:val="007C2A82"/>
    <w:rsid w:val="007E11E9"/>
    <w:rsid w:val="008B2F92"/>
    <w:rsid w:val="008E3499"/>
    <w:rsid w:val="00906A61"/>
    <w:rsid w:val="00A0554E"/>
    <w:rsid w:val="00A55B3B"/>
    <w:rsid w:val="00B35803"/>
    <w:rsid w:val="00B45E3E"/>
    <w:rsid w:val="00C16462"/>
    <w:rsid w:val="00C66488"/>
    <w:rsid w:val="00CA656E"/>
    <w:rsid w:val="00CE04E4"/>
    <w:rsid w:val="00D0085C"/>
    <w:rsid w:val="00DB54B3"/>
    <w:rsid w:val="00E278B0"/>
    <w:rsid w:val="010007F1"/>
    <w:rsid w:val="01123C24"/>
    <w:rsid w:val="01281FA6"/>
    <w:rsid w:val="0129652A"/>
    <w:rsid w:val="012C4A94"/>
    <w:rsid w:val="0134238F"/>
    <w:rsid w:val="01434062"/>
    <w:rsid w:val="015A28DE"/>
    <w:rsid w:val="01603797"/>
    <w:rsid w:val="01687C29"/>
    <w:rsid w:val="016D0719"/>
    <w:rsid w:val="01730647"/>
    <w:rsid w:val="017F7312"/>
    <w:rsid w:val="0183354F"/>
    <w:rsid w:val="018A4341"/>
    <w:rsid w:val="018D1ED5"/>
    <w:rsid w:val="01944C0D"/>
    <w:rsid w:val="019652A2"/>
    <w:rsid w:val="019A0A9C"/>
    <w:rsid w:val="019E5AF8"/>
    <w:rsid w:val="01A05888"/>
    <w:rsid w:val="01A2463C"/>
    <w:rsid w:val="01A536F0"/>
    <w:rsid w:val="01AB72AD"/>
    <w:rsid w:val="01AD0FC0"/>
    <w:rsid w:val="01B74B80"/>
    <w:rsid w:val="01B76B70"/>
    <w:rsid w:val="01BC47E4"/>
    <w:rsid w:val="01BD0D3F"/>
    <w:rsid w:val="01C277DB"/>
    <w:rsid w:val="01CB201F"/>
    <w:rsid w:val="01D01DDD"/>
    <w:rsid w:val="01D83F23"/>
    <w:rsid w:val="01DA121B"/>
    <w:rsid w:val="01EB6FF4"/>
    <w:rsid w:val="01EC6C1A"/>
    <w:rsid w:val="01F43D5D"/>
    <w:rsid w:val="01F53962"/>
    <w:rsid w:val="01FE284A"/>
    <w:rsid w:val="020C0504"/>
    <w:rsid w:val="021337A8"/>
    <w:rsid w:val="02154F00"/>
    <w:rsid w:val="022C2DDE"/>
    <w:rsid w:val="02424F98"/>
    <w:rsid w:val="024B4F65"/>
    <w:rsid w:val="02522774"/>
    <w:rsid w:val="02716397"/>
    <w:rsid w:val="027D39C5"/>
    <w:rsid w:val="02842B55"/>
    <w:rsid w:val="02850B1B"/>
    <w:rsid w:val="028E239B"/>
    <w:rsid w:val="028E669E"/>
    <w:rsid w:val="02945151"/>
    <w:rsid w:val="02994D24"/>
    <w:rsid w:val="02AA4579"/>
    <w:rsid w:val="02B7449E"/>
    <w:rsid w:val="02CA2014"/>
    <w:rsid w:val="02CE36F0"/>
    <w:rsid w:val="02D253BA"/>
    <w:rsid w:val="02D664A5"/>
    <w:rsid w:val="02D70120"/>
    <w:rsid w:val="02F04987"/>
    <w:rsid w:val="02F3072B"/>
    <w:rsid w:val="02F4686A"/>
    <w:rsid w:val="02F50E1A"/>
    <w:rsid w:val="02FC365E"/>
    <w:rsid w:val="03055083"/>
    <w:rsid w:val="030A33B2"/>
    <w:rsid w:val="0312457C"/>
    <w:rsid w:val="03173E54"/>
    <w:rsid w:val="03276EB0"/>
    <w:rsid w:val="03320DD5"/>
    <w:rsid w:val="03367B19"/>
    <w:rsid w:val="033F3094"/>
    <w:rsid w:val="0341739D"/>
    <w:rsid w:val="035906B9"/>
    <w:rsid w:val="035A07AB"/>
    <w:rsid w:val="036773BE"/>
    <w:rsid w:val="03745931"/>
    <w:rsid w:val="0375270B"/>
    <w:rsid w:val="0376026A"/>
    <w:rsid w:val="03763E10"/>
    <w:rsid w:val="03795E56"/>
    <w:rsid w:val="038F00BD"/>
    <w:rsid w:val="038F07EB"/>
    <w:rsid w:val="039F6B79"/>
    <w:rsid w:val="03A054FE"/>
    <w:rsid w:val="03A710E3"/>
    <w:rsid w:val="03B75E22"/>
    <w:rsid w:val="03C7124D"/>
    <w:rsid w:val="03C956D7"/>
    <w:rsid w:val="03CD065E"/>
    <w:rsid w:val="03D96519"/>
    <w:rsid w:val="03DC76EB"/>
    <w:rsid w:val="03DF3AAC"/>
    <w:rsid w:val="03DF7C94"/>
    <w:rsid w:val="03EE2D2D"/>
    <w:rsid w:val="03EE5120"/>
    <w:rsid w:val="03F95EAB"/>
    <w:rsid w:val="03FA4378"/>
    <w:rsid w:val="040E59E0"/>
    <w:rsid w:val="04177E90"/>
    <w:rsid w:val="04227E09"/>
    <w:rsid w:val="04256881"/>
    <w:rsid w:val="042E72BA"/>
    <w:rsid w:val="04361A54"/>
    <w:rsid w:val="043837D8"/>
    <w:rsid w:val="043F0FCC"/>
    <w:rsid w:val="0458216E"/>
    <w:rsid w:val="04633D2A"/>
    <w:rsid w:val="046441B2"/>
    <w:rsid w:val="0470619B"/>
    <w:rsid w:val="047264E0"/>
    <w:rsid w:val="047929EC"/>
    <w:rsid w:val="047931E4"/>
    <w:rsid w:val="047B754C"/>
    <w:rsid w:val="047C330E"/>
    <w:rsid w:val="04802BB2"/>
    <w:rsid w:val="048112FB"/>
    <w:rsid w:val="048B08F7"/>
    <w:rsid w:val="04997356"/>
    <w:rsid w:val="04B3013F"/>
    <w:rsid w:val="04BA605B"/>
    <w:rsid w:val="04BB6582"/>
    <w:rsid w:val="04BF51D4"/>
    <w:rsid w:val="04C30370"/>
    <w:rsid w:val="04C369FD"/>
    <w:rsid w:val="04C87276"/>
    <w:rsid w:val="04CE7B7F"/>
    <w:rsid w:val="04D13EAB"/>
    <w:rsid w:val="04E16ACF"/>
    <w:rsid w:val="04F33CBA"/>
    <w:rsid w:val="05006805"/>
    <w:rsid w:val="05017788"/>
    <w:rsid w:val="05150D13"/>
    <w:rsid w:val="052054D4"/>
    <w:rsid w:val="052C7639"/>
    <w:rsid w:val="054A7C8A"/>
    <w:rsid w:val="055D26AF"/>
    <w:rsid w:val="056534E0"/>
    <w:rsid w:val="056834A8"/>
    <w:rsid w:val="05684832"/>
    <w:rsid w:val="056E79C6"/>
    <w:rsid w:val="057A799E"/>
    <w:rsid w:val="058647BE"/>
    <w:rsid w:val="05880374"/>
    <w:rsid w:val="05881910"/>
    <w:rsid w:val="05913966"/>
    <w:rsid w:val="059F17BF"/>
    <w:rsid w:val="05A259F9"/>
    <w:rsid w:val="05A73DC5"/>
    <w:rsid w:val="05B336D5"/>
    <w:rsid w:val="05CD0D9A"/>
    <w:rsid w:val="05CF249D"/>
    <w:rsid w:val="05D14319"/>
    <w:rsid w:val="05D714EA"/>
    <w:rsid w:val="05E536E6"/>
    <w:rsid w:val="05EA1C44"/>
    <w:rsid w:val="05F2445C"/>
    <w:rsid w:val="06077942"/>
    <w:rsid w:val="060A0D89"/>
    <w:rsid w:val="060F3722"/>
    <w:rsid w:val="062B0B83"/>
    <w:rsid w:val="062C6587"/>
    <w:rsid w:val="062D67C8"/>
    <w:rsid w:val="06301A1B"/>
    <w:rsid w:val="0633380C"/>
    <w:rsid w:val="0638362B"/>
    <w:rsid w:val="063E600A"/>
    <w:rsid w:val="06405659"/>
    <w:rsid w:val="064F5725"/>
    <w:rsid w:val="065C27A8"/>
    <w:rsid w:val="065F50DA"/>
    <w:rsid w:val="06626021"/>
    <w:rsid w:val="066D2CED"/>
    <w:rsid w:val="066E2C0B"/>
    <w:rsid w:val="06700010"/>
    <w:rsid w:val="06734EB6"/>
    <w:rsid w:val="067C24CF"/>
    <w:rsid w:val="069002BE"/>
    <w:rsid w:val="06906B8C"/>
    <w:rsid w:val="069725BC"/>
    <w:rsid w:val="069A3A7C"/>
    <w:rsid w:val="06A729E1"/>
    <w:rsid w:val="06AB1C7E"/>
    <w:rsid w:val="06AC05E7"/>
    <w:rsid w:val="06AF1D16"/>
    <w:rsid w:val="06AF3414"/>
    <w:rsid w:val="06BA5EB2"/>
    <w:rsid w:val="070615F0"/>
    <w:rsid w:val="07085235"/>
    <w:rsid w:val="07146D7A"/>
    <w:rsid w:val="072C5901"/>
    <w:rsid w:val="07355298"/>
    <w:rsid w:val="073633AE"/>
    <w:rsid w:val="0738618B"/>
    <w:rsid w:val="074E1705"/>
    <w:rsid w:val="075C0378"/>
    <w:rsid w:val="075C613A"/>
    <w:rsid w:val="0768627D"/>
    <w:rsid w:val="07774E9B"/>
    <w:rsid w:val="07886D75"/>
    <w:rsid w:val="079A77BC"/>
    <w:rsid w:val="079D6C92"/>
    <w:rsid w:val="07A92FCD"/>
    <w:rsid w:val="07C32EAB"/>
    <w:rsid w:val="07CE7516"/>
    <w:rsid w:val="07DA5629"/>
    <w:rsid w:val="07DE3B60"/>
    <w:rsid w:val="07E54B9E"/>
    <w:rsid w:val="08010DA7"/>
    <w:rsid w:val="080F3123"/>
    <w:rsid w:val="08220E8F"/>
    <w:rsid w:val="08242F28"/>
    <w:rsid w:val="08275EA4"/>
    <w:rsid w:val="08294CB5"/>
    <w:rsid w:val="083036B5"/>
    <w:rsid w:val="08310F19"/>
    <w:rsid w:val="08331FC1"/>
    <w:rsid w:val="083611A9"/>
    <w:rsid w:val="08394081"/>
    <w:rsid w:val="083943C5"/>
    <w:rsid w:val="08404FD2"/>
    <w:rsid w:val="084A2513"/>
    <w:rsid w:val="08515651"/>
    <w:rsid w:val="085D6EF2"/>
    <w:rsid w:val="085F59AE"/>
    <w:rsid w:val="086303CB"/>
    <w:rsid w:val="08674312"/>
    <w:rsid w:val="0875786E"/>
    <w:rsid w:val="0881684A"/>
    <w:rsid w:val="08927463"/>
    <w:rsid w:val="08991A5A"/>
    <w:rsid w:val="089C49FA"/>
    <w:rsid w:val="08AF073A"/>
    <w:rsid w:val="08BD5FE1"/>
    <w:rsid w:val="08BE7798"/>
    <w:rsid w:val="08C654F8"/>
    <w:rsid w:val="08CA79C7"/>
    <w:rsid w:val="08D73E78"/>
    <w:rsid w:val="08DB6139"/>
    <w:rsid w:val="08DD4FAE"/>
    <w:rsid w:val="08DE001E"/>
    <w:rsid w:val="08DE502C"/>
    <w:rsid w:val="08DE7E03"/>
    <w:rsid w:val="08ED6D3B"/>
    <w:rsid w:val="08FB16E4"/>
    <w:rsid w:val="08FB2C3C"/>
    <w:rsid w:val="08FE2EDE"/>
    <w:rsid w:val="08FE5206"/>
    <w:rsid w:val="09140F8D"/>
    <w:rsid w:val="09155095"/>
    <w:rsid w:val="091D10D0"/>
    <w:rsid w:val="09210482"/>
    <w:rsid w:val="092105FC"/>
    <w:rsid w:val="09222AB2"/>
    <w:rsid w:val="09266115"/>
    <w:rsid w:val="093303B8"/>
    <w:rsid w:val="09446DB4"/>
    <w:rsid w:val="094811BB"/>
    <w:rsid w:val="094F18C1"/>
    <w:rsid w:val="0954257E"/>
    <w:rsid w:val="095929D4"/>
    <w:rsid w:val="095A003F"/>
    <w:rsid w:val="095B02C8"/>
    <w:rsid w:val="09606CDC"/>
    <w:rsid w:val="09631FC1"/>
    <w:rsid w:val="098A1F77"/>
    <w:rsid w:val="099872CF"/>
    <w:rsid w:val="09A137B2"/>
    <w:rsid w:val="09A2636C"/>
    <w:rsid w:val="09A44BA0"/>
    <w:rsid w:val="09AA495F"/>
    <w:rsid w:val="09AC53C9"/>
    <w:rsid w:val="09B630C3"/>
    <w:rsid w:val="09C222A5"/>
    <w:rsid w:val="09C27E4D"/>
    <w:rsid w:val="09C81C8D"/>
    <w:rsid w:val="09CB6B07"/>
    <w:rsid w:val="09CD0E22"/>
    <w:rsid w:val="09FA2B3C"/>
    <w:rsid w:val="09FA772F"/>
    <w:rsid w:val="09FB6D64"/>
    <w:rsid w:val="0A030CE9"/>
    <w:rsid w:val="0A0D0EE1"/>
    <w:rsid w:val="0A346C5C"/>
    <w:rsid w:val="0A4707FD"/>
    <w:rsid w:val="0A4B2E8D"/>
    <w:rsid w:val="0A5317DF"/>
    <w:rsid w:val="0A564C39"/>
    <w:rsid w:val="0A5B0F4C"/>
    <w:rsid w:val="0A61640A"/>
    <w:rsid w:val="0A6536D8"/>
    <w:rsid w:val="0A6A580E"/>
    <w:rsid w:val="0A7611EF"/>
    <w:rsid w:val="0A765DBA"/>
    <w:rsid w:val="0A7A1EF7"/>
    <w:rsid w:val="0A987047"/>
    <w:rsid w:val="0AA05D85"/>
    <w:rsid w:val="0AAD109D"/>
    <w:rsid w:val="0ABB417A"/>
    <w:rsid w:val="0ABE47A4"/>
    <w:rsid w:val="0ACC2910"/>
    <w:rsid w:val="0ACC3151"/>
    <w:rsid w:val="0AD16821"/>
    <w:rsid w:val="0AD60B60"/>
    <w:rsid w:val="0ADC78D2"/>
    <w:rsid w:val="0AE11813"/>
    <w:rsid w:val="0AE3323E"/>
    <w:rsid w:val="0AEB11A6"/>
    <w:rsid w:val="0AEC3E44"/>
    <w:rsid w:val="0AEF478A"/>
    <w:rsid w:val="0B062542"/>
    <w:rsid w:val="0B0E47F4"/>
    <w:rsid w:val="0B283787"/>
    <w:rsid w:val="0B2D6F6E"/>
    <w:rsid w:val="0B345DB1"/>
    <w:rsid w:val="0B363DD8"/>
    <w:rsid w:val="0B3A4657"/>
    <w:rsid w:val="0B3C5BB9"/>
    <w:rsid w:val="0B4372E2"/>
    <w:rsid w:val="0B5A2079"/>
    <w:rsid w:val="0B5B5996"/>
    <w:rsid w:val="0B5C3E34"/>
    <w:rsid w:val="0B6075D7"/>
    <w:rsid w:val="0B627AD4"/>
    <w:rsid w:val="0B6A0BB3"/>
    <w:rsid w:val="0B792EB2"/>
    <w:rsid w:val="0B8035EB"/>
    <w:rsid w:val="0B84164E"/>
    <w:rsid w:val="0B89731E"/>
    <w:rsid w:val="0B904412"/>
    <w:rsid w:val="0B913EDA"/>
    <w:rsid w:val="0B9C76A8"/>
    <w:rsid w:val="0BA749E5"/>
    <w:rsid w:val="0BAC24A8"/>
    <w:rsid w:val="0BAE1323"/>
    <w:rsid w:val="0BB42E0A"/>
    <w:rsid w:val="0BDC3258"/>
    <w:rsid w:val="0BDE3581"/>
    <w:rsid w:val="0BE85349"/>
    <w:rsid w:val="0BF57A28"/>
    <w:rsid w:val="0BF845E9"/>
    <w:rsid w:val="0BFA1A53"/>
    <w:rsid w:val="0C0B1E5B"/>
    <w:rsid w:val="0C146F99"/>
    <w:rsid w:val="0C1A584B"/>
    <w:rsid w:val="0C2275D5"/>
    <w:rsid w:val="0C2D70F9"/>
    <w:rsid w:val="0C342312"/>
    <w:rsid w:val="0C53740C"/>
    <w:rsid w:val="0C563E70"/>
    <w:rsid w:val="0C6E187C"/>
    <w:rsid w:val="0C7D4D8F"/>
    <w:rsid w:val="0C80052F"/>
    <w:rsid w:val="0C8C06D3"/>
    <w:rsid w:val="0C980884"/>
    <w:rsid w:val="0C9961AF"/>
    <w:rsid w:val="0C9A50FF"/>
    <w:rsid w:val="0C9B3EE0"/>
    <w:rsid w:val="0CA20B1F"/>
    <w:rsid w:val="0CA44E41"/>
    <w:rsid w:val="0CA77405"/>
    <w:rsid w:val="0CAE5B1B"/>
    <w:rsid w:val="0CB224D8"/>
    <w:rsid w:val="0CB31FF7"/>
    <w:rsid w:val="0CB45BFD"/>
    <w:rsid w:val="0CB75099"/>
    <w:rsid w:val="0CB80D6E"/>
    <w:rsid w:val="0CBF360E"/>
    <w:rsid w:val="0CC10497"/>
    <w:rsid w:val="0CC30BC5"/>
    <w:rsid w:val="0CC42150"/>
    <w:rsid w:val="0CC45545"/>
    <w:rsid w:val="0CC71781"/>
    <w:rsid w:val="0CCB0FDF"/>
    <w:rsid w:val="0CDC515C"/>
    <w:rsid w:val="0D0B2A13"/>
    <w:rsid w:val="0D112021"/>
    <w:rsid w:val="0D12133D"/>
    <w:rsid w:val="0D1F7151"/>
    <w:rsid w:val="0D200D54"/>
    <w:rsid w:val="0D2B7DB2"/>
    <w:rsid w:val="0D3152D9"/>
    <w:rsid w:val="0D384916"/>
    <w:rsid w:val="0D427E08"/>
    <w:rsid w:val="0D4A1977"/>
    <w:rsid w:val="0D511FCD"/>
    <w:rsid w:val="0D583C5F"/>
    <w:rsid w:val="0D5D658F"/>
    <w:rsid w:val="0D6029A5"/>
    <w:rsid w:val="0D6063D4"/>
    <w:rsid w:val="0D667E20"/>
    <w:rsid w:val="0D922931"/>
    <w:rsid w:val="0D95263C"/>
    <w:rsid w:val="0DA81B9F"/>
    <w:rsid w:val="0DAD79F2"/>
    <w:rsid w:val="0DC436B0"/>
    <w:rsid w:val="0DC9693F"/>
    <w:rsid w:val="0DCC1715"/>
    <w:rsid w:val="0DD82C48"/>
    <w:rsid w:val="0DDB6385"/>
    <w:rsid w:val="0DF0632D"/>
    <w:rsid w:val="0DF475E0"/>
    <w:rsid w:val="0E0E09E4"/>
    <w:rsid w:val="0E184477"/>
    <w:rsid w:val="0E1A4501"/>
    <w:rsid w:val="0E21196E"/>
    <w:rsid w:val="0E227E98"/>
    <w:rsid w:val="0E27140B"/>
    <w:rsid w:val="0E2D4D70"/>
    <w:rsid w:val="0E3B2663"/>
    <w:rsid w:val="0E443DBA"/>
    <w:rsid w:val="0E465F52"/>
    <w:rsid w:val="0E576A70"/>
    <w:rsid w:val="0E6B437E"/>
    <w:rsid w:val="0E6B6A22"/>
    <w:rsid w:val="0E793535"/>
    <w:rsid w:val="0E795DEE"/>
    <w:rsid w:val="0E7B3260"/>
    <w:rsid w:val="0E804638"/>
    <w:rsid w:val="0E854758"/>
    <w:rsid w:val="0ECD6BD5"/>
    <w:rsid w:val="0EDA3DE0"/>
    <w:rsid w:val="0EE241B0"/>
    <w:rsid w:val="0EE470B9"/>
    <w:rsid w:val="0EE51F3F"/>
    <w:rsid w:val="0EE96C61"/>
    <w:rsid w:val="0EEF6278"/>
    <w:rsid w:val="0F110F65"/>
    <w:rsid w:val="0F126FC2"/>
    <w:rsid w:val="0F1821BC"/>
    <w:rsid w:val="0F1F71AB"/>
    <w:rsid w:val="0F206FE9"/>
    <w:rsid w:val="0F246E43"/>
    <w:rsid w:val="0F2F2F21"/>
    <w:rsid w:val="0F303168"/>
    <w:rsid w:val="0F3346BD"/>
    <w:rsid w:val="0F521390"/>
    <w:rsid w:val="0F551890"/>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C24482"/>
    <w:rsid w:val="0FC754B6"/>
    <w:rsid w:val="0FCD46F4"/>
    <w:rsid w:val="0FCE3065"/>
    <w:rsid w:val="0FE107E2"/>
    <w:rsid w:val="0FE336DE"/>
    <w:rsid w:val="0FED1D3E"/>
    <w:rsid w:val="10065756"/>
    <w:rsid w:val="100A69A4"/>
    <w:rsid w:val="100E17EE"/>
    <w:rsid w:val="10140347"/>
    <w:rsid w:val="101B54B3"/>
    <w:rsid w:val="101C6175"/>
    <w:rsid w:val="104210EE"/>
    <w:rsid w:val="10513C3F"/>
    <w:rsid w:val="10541F36"/>
    <w:rsid w:val="105D2D1E"/>
    <w:rsid w:val="10623D8F"/>
    <w:rsid w:val="10703686"/>
    <w:rsid w:val="1075160B"/>
    <w:rsid w:val="107760A9"/>
    <w:rsid w:val="10780D89"/>
    <w:rsid w:val="107B52AA"/>
    <w:rsid w:val="107E75D8"/>
    <w:rsid w:val="10805AB8"/>
    <w:rsid w:val="108161A3"/>
    <w:rsid w:val="1089301A"/>
    <w:rsid w:val="108B29C7"/>
    <w:rsid w:val="10901F21"/>
    <w:rsid w:val="10974AA9"/>
    <w:rsid w:val="10A21388"/>
    <w:rsid w:val="10A60889"/>
    <w:rsid w:val="10AA391A"/>
    <w:rsid w:val="10B27075"/>
    <w:rsid w:val="10B27B37"/>
    <w:rsid w:val="10B33FFC"/>
    <w:rsid w:val="10BA25C0"/>
    <w:rsid w:val="10C02E80"/>
    <w:rsid w:val="10C121EA"/>
    <w:rsid w:val="10D27169"/>
    <w:rsid w:val="10D309E2"/>
    <w:rsid w:val="10D621B1"/>
    <w:rsid w:val="10D81E5C"/>
    <w:rsid w:val="10DA39AB"/>
    <w:rsid w:val="10DE746C"/>
    <w:rsid w:val="10EB7A42"/>
    <w:rsid w:val="10F16967"/>
    <w:rsid w:val="10F21B48"/>
    <w:rsid w:val="10F61CDD"/>
    <w:rsid w:val="10F91FDE"/>
    <w:rsid w:val="10F941E9"/>
    <w:rsid w:val="11083015"/>
    <w:rsid w:val="110A357B"/>
    <w:rsid w:val="110D2E2E"/>
    <w:rsid w:val="1113498F"/>
    <w:rsid w:val="11145DE6"/>
    <w:rsid w:val="111A2147"/>
    <w:rsid w:val="112252CB"/>
    <w:rsid w:val="11360EF9"/>
    <w:rsid w:val="113B0B58"/>
    <w:rsid w:val="113D775B"/>
    <w:rsid w:val="11410876"/>
    <w:rsid w:val="114608E7"/>
    <w:rsid w:val="114F3D65"/>
    <w:rsid w:val="115347BC"/>
    <w:rsid w:val="11545887"/>
    <w:rsid w:val="11597C64"/>
    <w:rsid w:val="116228E3"/>
    <w:rsid w:val="11631325"/>
    <w:rsid w:val="116345A4"/>
    <w:rsid w:val="11667833"/>
    <w:rsid w:val="11687433"/>
    <w:rsid w:val="117B53DF"/>
    <w:rsid w:val="117B71D3"/>
    <w:rsid w:val="11845F00"/>
    <w:rsid w:val="118A58E4"/>
    <w:rsid w:val="11916F88"/>
    <w:rsid w:val="11B62D0B"/>
    <w:rsid w:val="11C52A21"/>
    <w:rsid w:val="11C75474"/>
    <w:rsid w:val="11D26FDB"/>
    <w:rsid w:val="11D435B9"/>
    <w:rsid w:val="11D8409F"/>
    <w:rsid w:val="11D95083"/>
    <w:rsid w:val="11DE26F2"/>
    <w:rsid w:val="11DF6987"/>
    <w:rsid w:val="11EA23C8"/>
    <w:rsid w:val="11EB5C95"/>
    <w:rsid w:val="11ED6242"/>
    <w:rsid w:val="12010E7D"/>
    <w:rsid w:val="12075A2C"/>
    <w:rsid w:val="120A0C4D"/>
    <w:rsid w:val="120A38DA"/>
    <w:rsid w:val="12101A57"/>
    <w:rsid w:val="12193170"/>
    <w:rsid w:val="12193813"/>
    <w:rsid w:val="121D6AE3"/>
    <w:rsid w:val="121F75CC"/>
    <w:rsid w:val="122C1A12"/>
    <w:rsid w:val="1232130B"/>
    <w:rsid w:val="12395D63"/>
    <w:rsid w:val="12401AD9"/>
    <w:rsid w:val="12421E9D"/>
    <w:rsid w:val="12571C4D"/>
    <w:rsid w:val="125C09FF"/>
    <w:rsid w:val="12657F0C"/>
    <w:rsid w:val="126830F6"/>
    <w:rsid w:val="126B5207"/>
    <w:rsid w:val="126F57E1"/>
    <w:rsid w:val="12760E78"/>
    <w:rsid w:val="127673DB"/>
    <w:rsid w:val="127E0189"/>
    <w:rsid w:val="12810A1D"/>
    <w:rsid w:val="12927837"/>
    <w:rsid w:val="12A30BAA"/>
    <w:rsid w:val="12A709D5"/>
    <w:rsid w:val="12A867C5"/>
    <w:rsid w:val="12B56515"/>
    <w:rsid w:val="12BE11B2"/>
    <w:rsid w:val="12C21464"/>
    <w:rsid w:val="12C40A29"/>
    <w:rsid w:val="12C42DA1"/>
    <w:rsid w:val="12C45CF0"/>
    <w:rsid w:val="12C948D2"/>
    <w:rsid w:val="12CB14EE"/>
    <w:rsid w:val="12CE6902"/>
    <w:rsid w:val="12D54B1A"/>
    <w:rsid w:val="12EF155A"/>
    <w:rsid w:val="12F17350"/>
    <w:rsid w:val="12F712FB"/>
    <w:rsid w:val="12FF7A62"/>
    <w:rsid w:val="13037A88"/>
    <w:rsid w:val="133844CA"/>
    <w:rsid w:val="1347596A"/>
    <w:rsid w:val="13477178"/>
    <w:rsid w:val="134B5A55"/>
    <w:rsid w:val="134C0AA1"/>
    <w:rsid w:val="136041BC"/>
    <w:rsid w:val="136F4FE6"/>
    <w:rsid w:val="13713F6F"/>
    <w:rsid w:val="13762A14"/>
    <w:rsid w:val="138C25C7"/>
    <w:rsid w:val="1390357D"/>
    <w:rsid w:val="139670E5"/>
    <w:rsid w:val="139F1C24"/>
    <w:rsid w:val="13A023E7"/>
    <w:rsid w:val="13A04270"/>
    <w:rsid w:val="13A90344"/>
    <w:rsid w:val="13A9454D"/>
    <w:rsid w:val="13B35BBD"/>
    <w:rsid w:val="13BF3D28"/>
    <w:rsid w:val="13C32466"/>
    <w:rsid w:val="13C77F07"/>
    <w:rsid w:val="13CE4E2F"/>
    <w:rsid w:val="13CF48B4"/>
    <w:rsid w:val="13E45E4B"/>
    <w:rsid w:val="13F57229"/>
    <w:rsid w:val="13F60043"/>
    <w:rsid w:val="13F63AC9"/>
    <w:rsid w:val="13FF4761"/>
    <w:rsid w:val="1401651E"/>
    <w:rsid w:val="14065625"/>
    <w:rsid w:val="14127CF3"/>
    <w:rsid w:val="1416357F"/>
    <w:rsid w:val="14175C6D"/>
    <w:rsid w:val="14182B9E"/>
    <w:rsid w:val="14211963"/>
    <w:rsid w:val="142160CA"/>
    <w:rsid w:val="142E4E6B"/>
    <w:rsid w:val="14332094"/>
    <w:rsid w:val="143B554F"/>
    <w:rsid w:val="144128ED"/>
    <w:rsid w:val="144D721A"/>
    <w:rsid w:val="14504C78"/>
    <w:rsid w:val="14552700"/>
    <w:rsid w:val="1455301F"/>
    <w:rsid w:val="145E0ED6"/>
    <w:rsid w:val="146A5814"/>
    <w:rsid w:val="147C1504"/>
    <w:rsid w:val="148112AD"/>
    <w:rsid w:val="14933736"/>
    <w:rsid w:val="149D19D1"/>
    <w:rsid w:val="14AD2447"/>
    <w:rsid w:val="14BD7435"/>
    <w:rsid w:val="14D41B03"/>
    <w:rsid w:val="14EC7262"/>
    <w:rsid w:val="14F50637"/>
    <w:rsid w:val="14F56962"/>
    <w:rsid w:val="14FD3DC3"/>
    <w:rsid w:val="15274A34"/>
    <w:rsid w:val="152C74BF"/>
    <w:rsid w:val="152E54C4"/>
    <w:rsid w:val="1535555F"/>
    <w:rsid w:val="15382813"/>
    <w:rsid w:val="154B27A9"/>
    <w:rsid w:val="154B6CF6"/>
    <w:rsid w:val="15516306"/>
    <w:rsid w:val="155B06BC"/>
    <w:rsid w:val="155B6FCC"/>
    <w:rsid w:val="15620F8B"/>
    <w:rsid w:val="156514F3"/>
    <w:rsid w:val="15707694"/>
    <w:rsid w:val="157477F0"/>
    <w:rsid w:val="15864057"/>
    <w:rsid w:val="158A2F64"/>
    <w:rsid w:val="158C53F6"/>
    <w:rsid w:val="15946EC2"/>
    <w:rsid w:val="1594709F"/>
    <w:rsid w:val="159B1410"/>
    <w:rsid w:val="15A625C0"/>
    <w:rsid w:val="15A70541"/>
    <w:rsid w:val="15AD4348"/>
    <w:rsid w:val="15AD7612"/>
    <w:rsid w:val="15B96153"/>
    <w:rsid w:val="15BC619F"/>
    <w:rsid w:val="15C40EFF"/>
    <w:rsid w:val="15CA097E"/>
    <w:rsid w:val="15D92955"/>
    <w:rsid w:val="15F5535B"/>
    <w:rsid w:val="15F569FA"/>
    <w:rsid w:val="15F656C7"/>
    <w:rsid w:val="15F85F00"/>
    <w:rsid w:val="16005D04"/>
    <w:rsid w:val="1607152F"/>
    <w:rsid w:val="160D7883"/>
    <w:rsid w:val="16104DB0"/>
    <w:rsid w:val="1613433D"/>
    <w:rsid w:val="16200AF2"/>
    <w:rsid w:val="162E2ADD"/>
    <w:rsid w:val="16313AA6"/>
    <w:rsid w:val="163267A4"/>
    <w:rsid w:val="16405266"/>
    <w:rsid w:val="1651617C"/>
    <w:rsid w:val="166852CC"/>
    <w:rsid w:val="16696EE3"/>
    <w:rsid w:val="16713663"/>
    <w:rsid w:val="167518D2"/>
    <w:rsid w:val="168864E9"/>
    <w:rsid w:val="16907088"/>
    <w:rsid w:val="1697702E"/>
    <w:rsid w:val="169A4327"/>
    <w:rsid w:val="169D4FCC"/>
    <w:rsid w:val="16A26D59"/>
    <w:rsid w:val="16A31912"/>
    <w:rsid w:val="16A52825"/>
    <w:rsid w:val="16A60389"/>
    <w:rsid w:val="16AC66DD"/>
    <w:rsid w:val="16B06BAD"/>
    <w:rsid w:val="16B17712"/>
    <w:rsid w:val="16B95CF7"/>
    <w:rsid w:val="16C42B77"/>
    <w:rsid w:val="16D55B33"/>
    <w:rsid w:val="16D74218"/>
    <w:rsid w:val="16DD2E8B"/>
    <w:rsid w:val="16E376E7"/>
    <w:rsid w:val="16E40C30"/>
    <w:rsid w:val="16E72981"/>
    <w:rsid w:val="16EB66D9"/>
    <w:rsid w:val="16F47BF5"/>
    <w:rsid w:val="16F872C3"/>
    <w:rsid w:val="16FA06E3"/>
    <w:rsid w:val="170167F2"/>
    <w:rsid w:val="17035AAC"/>
    <w:rsid w:val="17054499"/>
    <w:rsid w:val="170B0BD9"/>
    <w:rsid w:val="171E2D1A"/>
    <w:rsid w:val="172E1BBE"/>
    <w:rsid w:val="173A6824"/>
    <w:rsid w:val="173B1FA1"/>
    <w:rsid w:val="173C594E"/>
    <w:rsid w:val="17503F57"/>
    <w:rsid w:val="17505DD6"/>
    <w:rsid w:val="17586CB0"/>
    <w:rsid w:val="17596CA9"/>
    <w:rsid w:val="17600681"/>
    <w:rsid w:val="17665D9F"/>
    <w:rsid w:val="17696EA4"/>
    <w:rsid w:val="17795030"/>
    <w:rsid w:val="177B0627"/>
    <w:rsid w:val="177D3C16"/>
    <w:rsid w:val="178501CB"/>
    <w:rsid w:val="178A042D"/>
    <w:rsid w:val="178A1F82"/>
    <w:rsid w:val="17920EA7"/>
    <w:rsid w:val="1797450B"/>
    <w:rsid w:val="17A644BF"/>
    <w:rsid w:val="17A92F07"/>
    <w:rsid w:val="17B23E0F"/>
    <w:rsid w:val="17B31B32"/>
    <w:rsid w:val="17B80549"/>
    <w:rsid w:val="17C063A0"/>
    <w:rsid w:val="17C76A67"/>
    <w:rsid w:val="17DA0F7A"/>
    <w:rsid w:val="17DC2D7F"/>
    <w:rsid w:val="17E95276"/>
    <w:rsid w:val="17EA38A1"/>
    <w:rsid w:val="17EB77A3"/>
    <w:rsid w:val="17EC5E41"/>
    <w:rsid w:val="1806537C"/>
    <w:rsid w:val="181C2683"/>
    <w:rsid w:val="181E4167"/>
    <w:rsid w:val="18341D76"/>
    <w:rsid w:val="18553A22"/>
    <w:rsid w:val="18607956"/>
    <w:rsid w:val="186E420E"/>
    <w:rsid w:val="187A14AA"/>
    <w:rsid w:val="187B7B4F"/>
    <w:rsid w:val="1887188F"/>
    <w:rsid w:val="18A35548"/>
    <w:rsid w:val="18A63203"/>
    <w:rsid w:val="18A77689"/>
    <w:rsid w:val="18A816B2"/>
    <w:rsid w:val="18B8431F"/>
    <w:rsid w:val="18B90C48"/>
    <w:rsid w:val="18BC4ADF"/>
    <w:rsid w:val="18BD1521"/>
    <w:rsid w:val="18BD2E66"/>
    <w:rsid w:val="18CF2450"/>
    <w:rsid w:val="18DA12E6"/>
    <w:rsid w:val="18E85386"/>
    <w:rsid w:val="18FC503B"/>
    <w:rsid w:val="19027C40"/>
    <w:rsid w:val="190E3326"/>
    <w:rsid w:val="190E3538"/>
    <w:rsid w:val="19164D1E"/>
    <w:rsid w:val="192D514C"/>
    <w:rsid w:val="193544CD"/>
    <w:rsid w:val="19443AA2"/>
    <w:rsid w:val="1945355B"/>
    <w:rsid w:val="194817FC"/>
    <w:rsid w:val="194A0D45"/>
    <w:rsid w:val="195159CB"/>
    <w:rsid w:val="195961D5"/>
    <w:rsid w:val="195C14E8"/>
    <w:rsid w:val="196515C3"/>
    <w:rsid w:val="197859DA"/>
    <w:rsid w:val="1980769C"/>
    <w:rsid w:val="19884F66"/>
    <w:rsid w:val="19917CFC"/>
    <w:rsid w:val="1997576B"/>
    <w:rsid w:val="1998697F"/>
    <w:rsid w:val="199A20B4"/>
    <w:rsid w:val="19A71B82"/>
    <w:rsid w:val="19B84C88"/>
    <w:rsid w:val="19C6694E"/>
    <w:rsid w:val="19D11E61"/>
    <w:rsid w:val="19D5618C"/>
    <w:rsid w:val="19E22401"/>
    <w:rsid w:val="19E23808"/>
    <w:rsid w:val="1A00532F"/>
    <w:rsid w:val="1A040FBD"/>
    <w:rsid w:val="1A067DCA"/>
    <w:rsid w:val="1A13214F"/>
    <w:rsid w:val="1A434C13"/>
    <w:rsid w:val="1A4E18BB"/>
    <w:rsid w:val="1A5C550E"/>
    <w:rsid w:val="1A5E5759"/>
    <w:rsid w:val="1A61514E"/>
    <w:rsid w:val="1A624E9D"/>
    <w:rsid w:val="1A6F769D"/>
    <w:rsid w:val="1A712AE5"/>
    <w:rsid w:val="1A74386E"/>
    <w:rsid w:val="1A783427"/>
    <w:rsid w:val="1A7B0419"/>
    <w:rsid w:val="1A8A143B"/>
    <w:rsid w:val="1AA67BD3"/>
    <w:rsid w:val="1AC70097"/>
    <w:rsid w:val="1ACC39D6"/>
    <w:rsid w:val="1AF7489C"/>
    <w:rsid w:val="1AFA3523"/>
    <w:rsid w:val="1AFD3AEA"/>
    <w:rsid w:val="1B05238D"/>
    <w:rsid w:val="1B13587B"/>
    <w:rsid w:val="1B1D44BA"/>
    <w:rsid w:val="1B2C07D2"/>
    <w:rsid w:val="1B2C5EE0"/>
    <w:rsid w:val="1B3604D3"/>
    <w:rsid w:val="1B364D11"/>
    <w:rsid w:val="1B3E5EDE"/>
    <w:rsid w:val="1B467529"/>
    <w:rsid w:val="1B4B00CA"/>
    <w:rsid w:val="1B566C78"/>
    <w:rsid w:val="1B6307EA"/>
    <w:rsid w:val="1B79696C"/>
    <w:rsid w:val="1B7E1824"/>
    <w:rsid w:val="1B825166"/>
    <w:rsid w:val="1B890C23"/>
    <w:rsid w:val="1B9411FC"/>
    <w:rsid w:val="1B9D6CE8"/>
    <w:rsid w:val="1BBB422B"/>
    <w:rsid w:val="1BC600B5"/>
    <w:rsid w:val="1BCD55F8"/>
    <w:rsid w:val="1BE011AE"/>
    <w:rsid w:val="1BE956C8"/>
    <w:rsid w:val="1C022294"/>
    <w:rsid w:val="1C0B35D4"/>
    <w:rsid w:val="1C12573D"/>
    <w:rsid w:val="1C1D1EE2"/>
    <w:rsid w:val="1C234861"/>
    <w:rsid w:val="1C2E319B"/>
    <w:rsid w:val="1C3477C5"/>
    <w:rsid w:val="1C4F6563"/>
    <w:rsid w:val="1C545F3D"/>
    <w:rsid w:val="1C556488"/>
    <w:rsid w:val="1C563FE3"/>
    <w:rsid w:val="1C5A182A"/>
    <w:rsid w:val="1C62402E"/>
    <w:rsid w:val="1C62587C"/>
    <w:rsid w:val="1C6818E0"/>
    <w:rsid w:val="1C6F3BF6"/>
    <w:rsid w:val="1C7D2EB6"/>
    <w:rsid w:val="1C805B43"/>
    <w:rsid w:val="1C852BB0"/>
    <w:rsid w:val="1C8D54A8"/>
    <w:rsid w:val="1C9651FD"/>
    <w:rsid w:val="1CB21A29"/>
    <w:rsid w:val="1CCB32EE"/>
    <w:rsid w:val="1CD23361"/>
    <w:rsid w:val="1CE302F7"/>
    <w:rsid w:val="1CEC4F96"/>
    <w:rsid w:val="1CF13B49"/>
    <w:rsid w:val="1CF52075"/>
    <w:rsid w:val="1CF70EE3"/>
    <w:rsid w:val="1CFE7E6D"/>
    <w:rsid w:val="1D011F4C"/>
    <w:rsid w:val="1D0D1F95"/>
    <w:rsid w:val="1D1C7AC2"/>
    <w:rsid w:val="1D1D6A85"/>
    <w:rsid w:val="1D207BFC"/>
    <w:rsid w:val="1D230741"/>
    <w:rsid w:val="1D2F0DCA"/>
    <w:rsid w:val="1D3E30CF"/>
    <w:rsid w:val="1D3E57BA"/>
    <w:rsid w:val="1D3F5BF4"/>
    <w:rsid w:val="1D49558F"/>
    <w:rsid w:val="1D4B4B5A"/>
    <w:rsid w:val="1D584348"/>
    <w:rsid w:val="1D5D209F"/>
    <w:rsid w:val="1D6D4785"/>
    <w:rsid w:val="1D767ADA"/>
    <w:rsid w:val="1D845021"/>
    <w:rsid w:val="1D861B2D"/>
    <w:rsid w:val="1D896FB3"/>
    <w:rsid w:val="1D91741D"/>
    <w:rsid w:val="1D9318C5"/>
    <w:rsid w:val="1D941B55"/>
    <w:rsid w:val="1DAB7998"/>
    <w:rsid w:val="1DB01072"/>
    <w:rsid w:val="1DB2076E"/>
    <w:rsid w:val="1DB43F2E"/>
    <w:rsid w:val="1DBE6DCD"/>
    <w:rsid w:val="1DC2628A"/>
    <w:rsid w:val="1DCF57CE"/>
    <w:rsid w:val="1DD11EB5"/>
    <w:rsid w:val="1DD246EC"/>
    <w:rsid w:val="1DD63079"/>
    <w:rsid w:val="1DD859F5"/>
    <w:rsid w:val="1DDD63A7"/>
    <w:rsid w:val="1DFC4DF9"/>
    <w:rsid w:val="1E0435A0"/>
    <w:rsid w:val="1E110D2A"/>
    <w:rsid w:val="1E1247A2"/>
    <w:rsid w:val="1E155062"/>
    <w:rsid w:val="1E193E9C"/>
    <w:rsid w:val="1E1B38E9"/>
    <w:rsid w:val="1E303EF3"/>
    <w:rsid w:val="1E3F6D05"/>
    <w:rsid w:val="1E494B8A"/>
    <w:rsid w:val="1E4F0222"/>
    <w:rsid w:val="1E5C2AF3"/>
    <w:rsid w:val="1E795C41"/>
    <w:rsid w:val="1E7E640D"/>
    <w:rsid w:val="1E7F3A72"/>
    <w:rsid w:val="1E8064D3"/>
    <w:rsid w:val="1E861E21"/>
    <w:rsid w:val="1EA72270"/>
    <w:rsid w:val="1EBD6E42"/>
    <w:rsid w:val="1EC25D1C"/>
    <w:rsid w:val="1EC74AB4"/>
    <w:rsid w:val="1EC87ABC"/>
    <w:rsid w:val="1ED242FC"/>
    <w:rsid w:val="1ED56C03"/>
    <w:rsid w:val="1EDB3888"/>
    <w:rsid w:val="1EE05F54"/>
    <w:rsid w:val="1EE332A7"/>
    <w:rsid w:val="1EF579A0"/>
    <w:rsid w:val="1F05532C"/>
    <w:rsid w:val="1F095121"/>
    <w:rsid w:val="1F0F4C7A"/>
    <w:rsid w:val="1F1527EE"/>
    <w:rsid w:val="1F20034A"/>
    <w:rsid w:val="1F251ABC"/>
    <w:rsid w:val="1F290391"/>
    <w:rsid w:val="1F2A2D10"/>
    <w:rsid w:val="1F370102"/>
    <w:rsid w:val="1F3F0073"/>
    <w:rsid w:val="1F43546C"/>
    <w:rsid w:val="1F48506F"/>
    <w:rsid w:val="1F4B10C3"/>
    <w:rsid w:val="1F5C7F87"/>
    <w:rsid w:val="1F6C1D79"/>
    <w:rsid w:val="1F792E9A"/>
    <w:rsid w:val="1F7B67F6"/>
    <w:rsid w:val="1F7C518B"/>
    <w:rsid w:val="1F881F59"/>
    <w:rsid w:val="1F977565"/>
    <w:rsid w:val="1F9B644E"/>
    <w:rsid w:val="1FA429B4"/>
    <w:rsid w:val="1FB75185"/>
    <w:rsid w:val="1FB97163"/>
    <w:rsid w:val="1FBD0EE6"/>
    <w:rsid w:val="1FC10346"/>
    <w:rsid w:val="1FC16504"/>
    <w:rsid w:val="1FDD028C"/>
    <w:rsid w:val="1FF955B0"/>
    <w:rsid w:val="1FFA3EAB"/>
    <w:rsid w:val="1FFB3FF4"/>
    <w:rsid w:val="20176E76"/>
    <w:rsid w:val="20270162"/>
    <w:rsid w:val="203F0CD6"/>
    <w:rsid w:val="20655E4F"/>
    <w:rsid w:val="207308C3"/>
    <w:rsid w:val="207411D3"/>
    <w:rsid w:val="20743131"/>
    <w:rsid w:val="207536DF"/>
    <w:rsid w:val="20783BF9"/>
    <w:rsid w:val="20786435"/>
    <w:rsid w:val="20811113"/>
    <w:rsid w:val="20874766"/>
    <w:rsid w:val="2088281D"/>
    <w:rsid w:val="20917F9C"/>
    <w:rsid w:val="2094661E"/>
    <w:rsid w:val="20951ED4"/>
    <w:rsid w:val="20962536"/>
    <w:rsid w:val="20B50E80"/>
    <w:rsid w:val="20B7483F"/>
    <w:rsid w:val="20BD02A3"/>
    <w:rsid w:val="20BE1841"/>
    <w:rsid w:val="20D078F3"/>
    <w:rsid w:val="20D200AD"/>
    <w:rsid w:val="20D95B71"/>
    <w:rsid w:val="20DA60A5"/>
    <w:rsid w:val="20DB223A"/>
    <w:rsid w:val="20EC58CB"/>
    <w:rsid w:val="21014223"/>
    <w:rsid w:val="21257F04"/>
    <w:rsid w:val="21291A31"/>
    <w:rsid w:val="21353F50"/>
    <w:rsid w:val="2138052E"/>
    <w:rsid w:val="214776EA"/>
    <w:rsid w:val="21522E38"/>
    <w:rsid w:val="2159046C"/>
    <w:rsid w:val="21592762"/>
    <w:rsid w:val="215F3A68"/>
    <w:rsid w:val="21611A31"/>
    <w:rsid w:val="21635586"/>
    <w:rsid w:val="217B17E2"/>
    <w:rsid w:val="218D61A9"/>
    <w:rsid w:val="2190117D"/>
    <w:rsid w:val="219140F2"/>
    <w:rsid w:val="21994057"/>
    <w:rsid w:val="219F1479"/>
    <w:rsid w:val="21A34664"/>
    <w:rsid w:val="21B80E8C"/>
    <w:rsid w:val="21B91F5E"/>
    <w:rsid w:val="21C24072"/>
    <w:rsid w:val="21C73828"/>
    <w:rsid w:val="21D55950"/>
    <w:rsid w:val="21D965A1"/>
    <w:rsid w:val="21E11782"/>
    <w:rsid w:val="21E14B35"/>
    <w:rsid w:val="21E617C0"/>
    <w:rsid w:val="21EC3E44"/>
    <w:rsid w:val="21F2539C"/>
    <w:rsid w:val="21F65A58"/>
    <w:rsid w:val="21FB61D0"/>
    <w:rsid w:val="220B3AD6"/>
    <w:rsid w:val="221E272E"/>
    <w:rsid w:val="222A1FFE"/>
    <w:rsid w:val="222B075F"/>
    <w:rsid w:val="22367DC0"/>
    <w:rsid w:val="223C2D91"/>
    <w:rsid w:val="224D7BB0"/>
    <w:rsid w:val="22541D32"/>
    <w:rsid w:val="225474CD"/>
    <w:rsid w:val="225E1754"/>
    <w:rsid w:val="225F0409"/>
    <w:rsid w:val="226D42BA"/>
    <w:rsid w:val="227078B0"/>
    <w:rsid w:val="2271187B"/>
    <w:rsid w:val="22833161"/>
    <w:rsid w:val="228338C8"/>
    <w:rsid w:val="22840DDA"/>
    <w:rsid w:val="22876A0D"/>
    <w:rsid w:val="22A11695"/>
    <w:rsid w:val="22A63B38"/>
    <w:rsid w:val="22A8489A"/>
    <w:rsid w:val="22AB3B60"/>
    <w:rsid w:val="22B22D1F"/>
    <w:rsid w:val="22B33D99"/>
    <w:rsid w:val="22BB4A47"/>
    <w:rsid w:val="22BC2773"/>
    <w:rsid w:val="22BE29D6"/>
    <w:rsid w:val="22C4003E"/>
    <w:rsid w:val="22D02654"/>
    <w:rsid w:val="22D10E4B"/>
    <w:rsid w:val="22D90210"/>
    <w:rsid w:val="22D912F9"/>
    <w:rsid w:val="22E1284D"/>
    <w:rsid w:val="22E73006"/>
    <w:rsid w:val="22EB3773"/>
    <w:rsid w:val="22EE13BE"/>
    <w:rsid w:val="22F31E85"/>
    <w:rsid w:val="22F71A54"/>
    <w:rsid w:val="22F74CC6"/>
    <w:rsid w:val="22FB2321"/>
    <w:rsid w:val="22FF6AA7"/>
    <w:rsid w:val="2306325F"/>
    <w:rsid w:val="2311101C"/>
    <w:rsid w:val="2319089C"/>
    <w:rsid w:val="231B2491"/>
    <w:rsid w:val="232515D0"/>
    <w:rsid w:val="232F45E5"/>
    <w:rsid w:val="23382F5D"/>
    <w:rsid w:val="233857DC"/>
    <w:rsid w:val="23561548"/>
    <w:rsid w:val="23561CD1"/>
    <w:rsid w:val="235E47B6"/>
    <w:rsid w:val="23646298"/>
    <w:rsid w:val="236B32CC"/>
    <w:rsid w:val="2372506B"/>
    <w:rsid w:val="2376691B"/>
    <w:rsid w:val="238D2D50"/>
    <w:rsid w:val="238D66BE"/>
    <w:rsid w:val="239540DC"/>
    <w:rsid w:val="23965F67"/>
    <w:rsid w:val="23A02531"/>
    <w:rsid w:val="23A11F4F"/>
    <w:rsid w:val="23B41225"/>
    <w:rsid w:val="23BA6237"/>
    <w:rsid w:val="23BC048E"/>
    <w:rsid w:val="23C9616F"/>
    <w:rsid w:val="23CE659F"/>
    <w:rsid w:val="23CF7FD3"/>
    <w:rsid w:val="23D4199E"/>
    <w:rsid w:val="23DC01C4"/>
    <w:rsid w:val="23DC60E2"/>
    <w:rsid w:val="23E17EC8"/>
    <w:rsid w:val="23E47406"/>
    <w:rsid w:val="23E91B93"/>
    <w:rsid w:val="23F6160A"/>
    <w:rsid w:val="23FB72B1"/>
    <w:rsid w:val="24026C92"/>
    <w:rsid w:val="24027DBA"/>
    <w:rsid w:val="240657B6"/>
    <w:rsid w:val="240C2CCA"/>
    <w:rsid w:val="240C553C"/>
    <w:rsid w:val="24323334"/>
    <w:rsid w:val="243336DA"/>
    <w:rsid w:val="24373DE9"/>
    <w:rsid w:val="243D6215"/>
    <w:rsid w:val="244F01D0"/>
    <w:rsid w:val="245226BE"/>
    <w:rsid w:val="245550BB"/>
    <w:rsid w:val="2461318F"/>
    <w:rsid w:val="24662623"/>
    <w:rsid w:val="24676BCD"/>
    <w:rsid w:val="24750E49"/>
    <w:rsid w:val="24872D53"/>
    <w:rsid w:val="248E7D90"/>
    <w:rsid w:val="249321BF"/>
    <w:rsid w:val="249C0D83"/>
    <w:rsid w:val="24A033EE"/>
    <w:rsid w:val="24B51B12"/>
    <w:rsid w:val="24C434A5"/>
    <w:rsid w:val="24CA496C"/>
    <w:rsid w:val="24D35568"/>
    <w:rsid w:val="24D72C44"/>
    <w:rsid w:val="24DB51FA"/>
    <w:rsid w:val="24E954E0"/>
    <w:rsid w:val="24F37FEF"/>
    <w:rsid w:val="24F82FB3"/>
    <w:rsid w:val="2504405A"/>
    <w:rsid w:val="251809ED"/>
    <w:rsid w:val="25241C4A"/>
    <w:rsid w:val="25265A8E"/>
    <w:rsid w:val="252A5159"/>
    <w:rsid w:val="25380B4A"/>
    <w:rsid w:val="253C2F3D"/>
    <w:rsid w:val="253C65AF"/>
    <w:rsid w:val="25410D56"/>
    <w:rsid w:val="254D55BA"/>
    <w:rsid w:val="254F6D5C"/>
    <w:rsid w:val="25644E19"/>
    <w:rsid w:val="256F1EB3"/>
    <w:rsid w:val="25720D21"/>
    <w:rsid w:val="257B7A7B"/>
    <w:rsid w:val="257C63F7"/>
    <w:rsid w:val="258426BC"/>
    <w:rsid w:val="25867F54"/>
    <w:rsid w:val="258B4AE4"/>
    <w:rsid w:val="259114ED"/>
    <w:rsid w:val="2593720A"/>
    <w:rsid w:val="25996F48"/>
    <w:rsid w:val="259A3CB2"/>
    <w:rsid w:val="259E5828"/>
    <w:rsid w:val="25AB0A3D"/>
    <w:rsid w:val="25AC370D"/>
    <w:rsid w:val="25B22B68"/>
    <w:rsid w:val="25B5218E"/>
    <w:rsid w:val="25C15D16"/>
    <w:rsid w:val="25C55B83"/>
    <w:rsid w:val="25CD5BF1"/>
    <w:rsid w:val="25D31208"/>
    <w:rsid w:val="25DB6649"/>
    <w:rsid w:val="25DD0809"/>
    <w:rsid w:val="25E27416"/>
    <w:rsid w:val="25E46656"/>
    <w:rsid w:val="25E47484"/>
    <w:rsid w:val="25E92FBE"/>
    <w:rsid w:val="25F31E31"/>
    <w:rsid w:val="25F70EE4"/>
    <w:rsid w:val="260139F3"/>
    <w:rsid w:val="260556D5"/>
    <w:rsid w:val="26080DD9"/>
    <w:rsid w:val="26082798"/>
    <w:rsid w:val="26095114"/>
    <w:rsid w:val="261464EE"/>
    <w:rsid w:val="26280E6C"/>
    <w:rsid w:val="262E05B0"/>
    <w:rsid w:val="26372014"/>
    <w:rsid w:val="263E0859"/>
    <w:rsid w:val="263E1A96"/>
    <w:rsid w:val="26405937"/>
    <w:rsid w:val="26433FB7"/>
    <w:rsid w:val="26452DA3"/>
    <w:rsid w:val="266A2AD6"/>
    <w:rsid w:val="266C2FED"/>
    <w:rsid w:val="26783498"/>
    <w:rsid w:val="267A33D1"/>
    <w:rsid w:val="268246BC"/>
    <w:rsid w:val="26952295"/>
    <w:rsid w:val="269626DF"/>
    <w:rsid w:val="269B7137"/>
    <w:rsid w:val="26A265DC"/>
    <w:rsid w:val="26AE5F52"/>
    <w:rsid w:val="26AE6F7F"/>
    <w:rsid w:val="26B32654"/>
    <w:rsid w:val="26B40C48"/>
    <w:rsid w:val="26B8056C"/>
    <w:rsid w:val="26C87742"/>
    <w:rsid w:val="26E33E5B"/>
    <w:rsid w:val="26E70CA8"/>
    <w:rsid w:val="26F54808"/>
    <w:rsid w:val="26FC2F8C"/>
    <w:rsid w:val="27094F93"/>
    <w:rsid w:val="270E05C8"/>
    <w:rsid w:val="27101BFD"/>
    <w:rsid w:val="27172021"/>
    <w:rsid w:val="27190D99"/>
    <w:rsid w:val="271927EF"/>
    <w:rsid w:val="271A253D"/>
    <w:rsid w:val="271C2CE9"/>
    <w:rsid w:val="27235746"/>
    <w:rsid w:val="273E49F4"/>
    <w:rsid w:val="274321B1"/>
    <w:rsid w:val="27450C2D"/>
    <w:rsid w:val="274525DC"/>
    <w:rsid w:val="274652E6"/>
    <w:rsid w:val="27480748"/>
    <w:rsid w:val="274E0335"/>
    <w:rsid w:val="275D1356"/>
    <w:rsid w:val="275D4A89"/>
    <w:rsid w:val="27625310"/>
    <w:rsid w:val="27641213"/>
    <w:rsid w:val="277A2EC6"/>
    <w:rsid w:val="27841ADD"/>
    <w:rsid w:val="278B7262"/>
    <w:rsid w:val="278E7D5F"/>
    <w:rsid w:val="279429E3"/>
    <w:rsid w:val="27966F4A"/>
    <w:rsid w:val="27A74D7A"/>
    <w:rsid w:val="27A91AD2"/>
    <w:rsid w:val="27AE6E2D"/>
    <w:rsid w:val="27AF57B8"/>
    <w:rsid w:val="27B25FFF"/>
    <w:rsid w:val="27BA12A7"/>
    <w:rsid w:val="27BA6BC4"/>
    <w:rsid w:val="27BC2EEA"/>
    <w:rsid w:val="27C93064"/>
    <w:rsid w:val="27C96B67"/>
    <w:rsid w:val="27CB38EC"/>
    <w:rsid w:val="27CB5FF9"/>
    <w:rsid w:val="27CC0A3D"/>
    <w:rsid w:val="27D34267"/>
    <w:rsid w:val="27D745E8"/>
    <w:rsid w:val="27E4169F"/>
    <w:rsid w:val="27E476BC"/>
    <w:rsid w:val="27EA3B97"/>
    <w:rsid w:val="27EF0430"/>
    <w:rsid w:val="27FA5F82"/>
    <w:rsid w:val="280410A7"/>
    <w:rsid w:val="281713C1"/>
    <w:rsid w:val="28202089"/>
    <w:rsid w:val="28210C3B"/>
    <w:rsid w:val="283E3927"/>
    <w:rsid w:val="28432F7C"/>
    <w:rsid w:val="285065F4"/>
    <w:rsid w:val="28557C44"/>
    <w:rsid w:val="28564AD0"/>
    <w:rsid w:val="285E1540"/>
    <w:rsid w:val="28634EA7"/>
    <w:rsid w:val="2868554F"/>
    <w:rsid w:val="286A70A6"/>
    <w:rsid w:val="286D715D"/>
    <w:rsid w:val="28710251"/>
    <w:rsid w:val="287270BD"/>
    <w:rsid w:val="287508F6"/>
    <w:rsid w:val="288C7056"/>
    <w:rsid w:val="288F598A"/>
    <w:rsid w:val="289910F7"/>
    <w:rsid w:val="28A14F66"/>
    <w:rsid w:val="28A4234C"/>
    <w:rsid w:val="28A63531"/>
    <w:rsid w:val="28A773FC"/>
    <w:rsid w:val="28CA5B35"/>
    <w:rsid w:val="28D02425"/>
    <w:rsid w:val="28D527CA"/>
    <w:rsid w:val="28DB1A3D"/>
    <w:rsid w:val="28F729CE"/>
    <w:rsid w:val="28F934CA"/>
    <w:rsid w:val="29056F59"/>
    <w:rsid w:val="2907017C"/>
    <w:rsid w:val="291218C3"/>
    <w:rsid w:val="2912731C"/>
    <w:rsid w:val="29157321"/>
    <w:rsid w:val="291F35AA"/>
    <w:rsid w:val="2925391D"/>
    <w:rsid w:val="292B0670"/>
    <w:rsid w:val="292E0A29"/>
    <w:rsid w:val="29325A72"/>
    <w:rsid w:val="2938341E"/>
    <w:rsid w:val="293A6E92"/>
    <w:rsid w:val="29566904"/>
    <w:rsid w:val="29582224"/>
    <w:rsid w:val="29585835"/>
    <w:rsid w:val="29712D8F"/>
    <w:rsid w:val="29736267"/>
    <w:rsid w:val="297B31D3"/>
    <w:rsid w:val="298103BD"/>
    <w:rsid w:val="298D4850"/>
    <w:rsid w:val="299C7DCA"/>
    <w:rsid w:val="29A021A8"/>
    <w:rsid w:val="29A942FB"/>
    <w:rsid w:val="29B344DC"/>
    <w:rsid w:val="29B539E6"/>
    <w:rsid w:val="29BA1399"/>
    <w:rsid w:val="29BC2699"/>
    <w:rsid w:val="29C8428C"/>
    <w:rsid w:val="29D4298C"/>
    <w:rsid w:val="29DD7E33"/>
    <w:rsid w:val="29E31C9C"/>
    <w:rsid w:val="29E81D60"/>
    <w:rsid w:val="29F035C0"/>
    <w:rsid w:val="29F05E16"/>
    <w:rsid w:val="29F54832"/>
    <w:rsid w:val="2A111075"/>
    <w:rsid w:val="2A160D87"/>
    <w:rsid w:val="2A307EBE"/>
    <w:rsid w:val="2A3E413F"/>
    <w:rsid w:val="2A430F4D"/>
    <w:rsid w:val="2A534A67"/>
    <w:rsid w:val="2A5F67A3"/>
    <w:rsid w:val="2A6151C4"/>
    <w:rsid w:val="2A664C59"/>
    <w:rsid w:val="2A6B464E"/>
    <w:rsid w:val="2A944B48"/>
    <w:rsid w:val="2A9A0F2B"/>
    <w:rsid w:val="2AA07917"/>
    <w:rsid w:val="2AA1140C"/>
    <w:rsid w:val="2AA67F8B"/>
    <w:rsid w:val="2AAA31D9"/>
    <w:rsid w:val="2AAC289A"/>
    <w:rsid w:val="2AB138BA"/>
    <w:rsid w:val="2AC51079"/>
    <w:rsid w:val="2AD05182"/>
    <w:rsid w:val="2AE47A17"/>
    <w:rsid w:val="2AEB2740"/>
    <w:rsid w:val="2AF44191"/>
    <w:rsid w:val="2AF74347"/>
    <w:rsid w:val="2B0A4D59"/>
    <w:rsid w:val="2B1A32A0"/>
    <w:rsid w:val="2B26693B"/>
    <w:rsid w:val="2B2F1FC7"/>
    <w:rsid w:val="2B2F2F22"/>
    <w:rsid w:val="2B37764D"/>
    <w:rsid w:val="2B3F6547"/>
    <w:rsid w:val="2B4F2967"/>
    <w:rsid w:val="2B5C1A7C"/>
    <w:rsid w:val="2B6525E9"/>
    <w:rsid w:val="2B6E19DB"/>
    <w:rsid w:val="2B756050"/>
    <w:rsid w:val="2B7C5660"/>
    <w:rsid w:val="2B8944AA"/>
    <w:rsid w:val="2B92679C"/>
    <w:rsid w:val="2B986BC6"/>
    <w:rsid w:val="2BA16669"/>
    <w:rsid w:val="2BAE20A5"/>
    <w:rsid w:val="2BAF2381"/>
    <w:rsid w:val="2BB1376A"/>
    <w:rsid w:val="2BBA7E05"/>
    <w:rsid w:val="2BBB17D5"/>
    <w:rsid w:val="2BC3413A"/>
    <w:rsid w:val="2BC45396"/>
    <w:rsid w:val="2BD540AD"/>
    <w:rsid w:val="2BF336C9"/>
    <w:rsid w:val="2BF33ED5"/>
    <w:rsid w:val="2BFB7405"/>
    <w:rsid w:val="2C006833"/>
    <w:rsid w:val="2C034F7B"/>
    <w:rsid w:val="2C040D89"/>
    <w:rsid w:val="2C0509D9"/>
    <w:rsid w:val="2C05481D"/>
    <w:rsid w:val="2C056AF9"/>
    <w:rsid w:val="2C247FF1"/>
    <w:rsid w:val="2C3F3887"/>
    <w:rsid w:val="2C516E38"/>
    <w:rsid w:val="2C533A6A"/>
    <w:rsid w:val="2C560EA3"/>
    <w:rsid w:val="2C617496"/>
    <w:rsid w:val="2C62156F"/>
    <w:rsid w:val="2C6F41F6"/>
    <w:rsid w:val="2C730778"/>
    <w:rsid w:val="2C7E030A"/>
    <w:rsid w:val="2C833FFB"/>
    <w:rsid w:val="2C8F430E"/>
    <w:rsid w:val="2C970335"/>
    <w:rsid w:val="2CA21894"/>
    <w:rsid w:val="2CA4476E"/>
    <w:rsid w:val="2CAD4F6B"/>
    <w:rsid w:val="2CB17FD2"/>
    <w:rsid w:val="2CC95D10"/>
    <w:rsid w:val="2CCB5A72"/>
    <w:rsid w:val="2CD57684"/>
    <w:rsid w:val="2CD67A0B"/>
    <w:rsid w:val="2CD75666"/>
    <w:rsid w:val="2CDC6591"/>
    <w:rsid w:val="2CDE08F2"/>
    <w:rsid w:val="2CE03AB0"/>
    <w:rsid w:val="2CEF53E3"/>
    <w:rsid w:val="2CF53A56"/>
    <w:rsid w:val="2CF649A9"/>
    <w:rsid w:val="2CFC27E4"/>
    <w:rsid w:val="2D0B702A"/>
    <w:rsid w:val="2D107EBA"/>
    <w:rsid w:val="2D1F4BCA"/>
    <w:rsid w:val="2D221AAA"/>
    <w:rsid w:val="2D504333"/>
    <w:rsid w:val="2D521264"/>
    <w:rsid w:val="2D567058"/>
    <w:rsid w:val="2D57290A"/>
    <w:rsid w:val="2D5D7FE8"/>
    <w:rsid w:val="2D5E7E01"/>
    <w:rsid w:val="2D6030A2"/>
    <w:rsid w:val="2D660EF9"/>
    <w:rsid w:val="2D6C2B47"/>
    <w:rsid w:val="2D820204"/>
    <w:rsid w:val="2D88024C"/>
    <w:rsid w:val="2D935488"/>
    <w:rsid w:val="2D960FB5"/>
    <w:rsid w:val="2D9B4423"/>
    <w:rsid w:val="2DAC2EF4"/>
    <w:rsid w:val="2DAD4BCD"/>
    <w:rsid w:val="2DB453FF"/>
    <w:rsid w:val="2DBE4237"/>
    <w:rsid w:val="2DCB10F0"/>
    <w:rsid w:val="2DCB38A1"/>
    <w:rsid w:val="2DD066E9"/>
    <w:rsid w:val="2DDC0ED4"/>
    <w:rsid w:val="2DF036FB"/>
    <w:rsid w:val="2DF21CB3"/>
    <w:rsid w:val="2DFD78B4"/>
    <w:rsid w:val="2DFE083B"/>
    <w:rsid w:val="2E0708FF"/>
    <w:rsid w:val="2E11457C"/>
    <w:rsid w:val="2E1643B9"/>
    <w:rsid w:val="2E184C0F"/>
    <w:rsid w:val="2E1F18AD"/>
    <w:rsid w:val="2E28757C"/>
    <w:rsid w:val="2E2C723F"/>
    <w:rsid w:val="2E332EEF"/>
    <w:rsid w:val="2E3F6B8A"/>
    <w:rsid w:val="2E406C31"/>
    <w:rsid w:val="2E527715"/>
    <w:rsid w:val="2E530660"/>
    <w:rsid w:val="2E531152"/>
    <w:rsid w:val="2E565287"/>
    <w:rsid w:val="2E5F1E47"/>
    <w:rsid w:val="2E682652"/>
    <w:rsid w:val="2E6B6D27"/>
    <w:rsid w:val="2E7A506F"/>
    <w:rsid w:val="2E7B273D"/>
    <w:rsid w:val="2E7D30EA"/>
    <w:rsid w:val="2E8028E0"/>
    <w:rsid w:val="2E8B051E"/>
    <w:rsid w:val="2E8F062E"/>
    <w:rsid w:val="2E905D65"/>
    <w:rsid w:val="2E9D560F"/>
    <w:rsid w:val="2E9F7EC1"/>
    <w:rsid w:val="2EB17C70"/>
    <w:rsid w:val="2EB411B5"/>
    <w:rsid w:val="2EBF0ED1"/>
    <w:rsid w:val="2EC7495E"/>
    <w:rsid w:val="2EC776BB"/>
    <w:rsid w:val="2ECA39AD"/>
    <w:rsid w:val="2ECC0C07"/>
    <w:rsid w:val="2EF224CD"/>
    <w:rsid w:val="2EF67D61"/>
    <w:rsid w:val="2EFA2F2B"/>
    <w:rsid w:val="2F2E23A6"/>
    <w:rsid w:val="2F350F19"/>
    <w:rsid w:val="2F383567"/>
    <w:rsid w:val="2F3B1918"/>
    <w:rsid w:val="2F415DC8"/>
    <w:rsid w:val="2F514AAE"/>
    <w:rsid w:val="2F531FEB"/>
    <w:rsid w:val="2F5B5B3B"/>
    <w:rsid w:val="2F615468"/>
    <w:rsid w:val="2F655F0E"/>
    <w:rsid w:val="2F6B73F9"/>
    <w:rsid w:val="2F6D4FA6"/>
    <w:rsid w:val="2F743486"/>
    <w:rsid w:val="2F756E65"/>
    <w:rsid w:val="2F77354F"/>
    <w:rsid w:val="2F7A7069"/>
    <w:rsid w:val="2F897AA1"/>
    <w:rsid w:val="2F8D4D67"/>
    <w:rsid w:val="2F9051B8"/>
    <w:rsid w:val="2F910893"/>
    <w:rsid w:val="2F9A69D2"/>
    <w:rsid w:val="2F9C6646"/>
    <w:rsid w:val="2F9D4AA3"/>
    <w:rsid w:val="2F9F094E"/>
    <w:rsid w:val="2FB11323"/>
    <w:rsid w:val="2FBB6A2A"/>
    <w:rsid w:val="2FCB0952"/>
    <w:rsid w:val="2FD53529"/>
    <w:rsid w:val="2FDF2368"/>
    <w:rsid w:val="2FDF7CD4"/>
    <w:rsid w:val="2FEC08C6"/>
    <w:rsid w:val="2FF532B7"/>
    <w:rsid w:val="2FF674CB"/>
    <w:rsid w:val="2FF7251F"/>
    <w:rsid w:val="30007788"/>
    <w:rsid w:val="301977C7"/>
    <w:rsid w:val="30205153"/>
    <w:rsid w:val="30253FAB"/>
    <w:rsid w:val="30270D6F"/>
    <w:rsid w:val="303B3B59"/>
    <w:rsid w:val="303C0C41"/>
    <w:rsid w:val="303D6437"/>
    <w:rsid w:val="30443F81"/>
    <w:rsid w:val="305831D6"/>
    <w:rsid w:val="305A4537"/>
    <w:rsid w:val="30632880"/>
    <w:rsid w:val="3070014A"/>
    <w:rsid w:val="307B4FFA"/>
    <w:rsid w:val="308136E0"/>
    <w:rsid w:val="3095375A"/>
    <w:rsid w:val="30A90B96"/>
    <w:rsid w:val="30A91070"/>
    <w:rsid w:val="30B86332"/>
    <w:rsid w:val="30C91D87"/>
    <w:rsid w:val="30D10B78"/>
    <w:rsid w:val="30D251E3"/>
    <w:rsid w:val="30D36EB7"/>
    <w:rsid w:val="30D45137"/>
    <w:rsid w:val="30D51A41"/>
    <w:rsid w:val="30E7233C"/>
    <w:rsid w:val="31076B28"/>
    <w:rsid w:val="31076EFA"/>
    <w:rsid w:val="310866BC"/>
    <w:rsid w:val="31154DED"/>
    <w:rsid w:val="31215B33"/>
    <w:rsid w:val="312A36B1"/>
    <w:rsid w:val="313A2CAC"/>
    <w:rsid w:val="313E6356"/>
    <w:rsid w:val="31460C29"/>
    <w:rsid w:val="314B3239"/>
    <w:rsid w:val="315B5E62"/>
    <w:rsid w:val="3163108E"/>
    <w:rsid w:val="3167538F"/>
    <w:rsid w:val="31765162"/>
    <w:rsid w:val="317A487D"/>
    <w:rsid w:val="31833BCE"/>
    <w:rsid w:val="318A1515"/>
    <w:rsid w:val="31944F6F"/>
    <w:rsid w:val="31963456"/>
    <w:rsid w:val="31A84B64"/>
    <w:rsid w:val="31B12D3C"/>
    <w:rsid w:val="31B2653B"/>
    <w:rsid w:val="31B266EC"/>
    <w:rsid w:val="31B45163"/>
    <w:rsid w:val="31B81D35"/>
    <w:rsid w:val="31C3729F"/>
    <w:rsid w:val="31CB617D"/>
    <w:rsid w:val="31CC0ECB"/>
    <w:rsid w:val="31DF1DB8"/>
    <w:rsid w:val="31F020DC"/>
    <w:rsid w:val="31F072F8"/>
    <w:rsid w:val="32061C7F"/>
    <w:rsid w:val="320A52D8"/>
    <w:rsid w:val="320D2005"/>
    <w:rsid w:val="32136025"/>
    <w:rsid w:val="32220D79"/>
    <w:rsid w:val="32252577"/>
    <w:rsid w:val="32294648"/>
    <w:rsid w:val="322F0831"/>
    <w:rsid w:val="323F5519"/>
    <w:rsid w:val="32471CC6"/>
    <w:rsid w:val="324F0134"/>
    <w:rsid w:val="32540593"/>
    <w:rsid w:val="32582CC3"/>
    <w:rsid w:val="327179A4"/>
    <w:rsid w:val="32775626"/>
    <w:rsid w:val="32835AB1"/>
    <w:rsid w:val="328A3A5F"/>
    <w:rsid w:val="328D7371"/>
    <w:rsid w:val="328E2231"/>
    <w:rsid w:val="329326B7"/>
    <w:rsid w:val="329426A2"/>
    <w:rsid w:val="329708DE"/>
    <w:rsid w:val="32AD1211"/>
    <w:rsid w:val="32E12F9A"/>
    <w:rsid w:val="32E87F66"/>
    <w:rsid w:val="32EC46FB"/>
    <w:rsid w:val="32FF12B8"/>
    <w:rsid w:val="330073AA"/>
    <w:rsid w:val="33020BF1"/>
    <w:rsid w:val="330710D7"/>
    <w:rsid w:val="33224534"/>
    <w:rsid w:val="332742E9"/>
    <w:rsid w:val="332A1AC1"/>
    <w:rsid w:val="332C71E1"/>
    <w:rsid w:val="332E1BC2"/>
    <w:rsid w:val="332F3B66"/>
    <w:rsid w:val="333B116B"/>
    <w:rsid w:val="33427ABB"/>
    <w:rsid w:val="33616D4E"/>
    <w:rsid w:val="33821BAB"/>
    <w:rsid w:val="338378EA"/>
    <w:rsid w:val="33885755"/>
    <w:rsid w:val="339E18BC"/>
    <w:rsid w:val="33A57822"/>
    <w:rsid w:val="33A77C3C"/>
    <w:rsid w:val="33AA7345"/>
    <w:rsid w:val="33B37087"/>
    <w:rsid w:val="33BC4D91"/>
    <w:rsid w:val="33BF4D9D"/>
    <w:rsid w:val="33C233CD"/>
    <w:rsid w:val="33C504FF"/>
    <w:rsid w:val="33C968FA"/>
    <w:rsid w:val="33D23DF5"/>
    <w:rsid w:val="33D246C3"/>
    <w:rsid w:val="33DF11C8"/>
    <w:rsid w:val="33E442C9"/>
    <w:rsid w:val="33E61B12"/>
    <w:rsid w:val="33FE7E15"/>
    <w:rsid w:val="33FF1154"/>
    <w:rsid w:val="340074AF"/>
    <w:rsid w:val="340948E1"/>
    <w:rsid w:val="340D3904"/>
    <w:rsid w:val="341212B1"/>
    <w:rsid w:val="341321BE"/>
    <w:rsid w:val="34155C01"/>
    <w:rsid w:val="34293255"/>
    <w:rsid w:val="34314E1D"/>
    <w:rsid w:val="34374868"/>
    <w:rsid w:val="343D2D4C"/>
    <w:rsid w:val="34417702"/>
    <w:rsid w:val="34417EB0"/>
    <w:rsid w:val="3446518F"/>
    <w:rsid w:val="344A296C"/>
    <w:rsid w:val="344C25CD"/>
    <w:rsid w:val="344F610D"/>
    <w:rsid w:val="345A0779"/>
    <w:rsid w:val="345B15DB"/>
    <w:rsid w:val="346B1ADA"/>
    <w:rsid w:val="346C4A94"/>
    <w:rsid w:val="346E7A5A"/>
    <w:rsid w:val="3477244E"/>
    <w:rsid w:val="34782617"/>
    <w:rsid w:val="347946FA"/>
    <w:rsid w:val="347A6171"/>
    <w:rsid w:val="348440EB"/>
    <w:rsid w:val="348D33D3"/>
    <w:rsid w:val="3496737A"/>
    <w:rsid w:val="34AC0653"/>
    <w:rsid w:val="34AC2DE9"/>
    <w:rsid w:val="34B84D9B"/>
    <w:rsid w:val="34BE7103"/>
    <w:rsid w:val="34CE3369"/>
    <w:rsid w:val="34DC1C67"/>
    <w:rsid w:val="34E47162"/>
    <w:rsid w:val="34F64CDD"/>
    <w:rsid w:val="34FF095B"/>
    <w:rsid w:val="3500311A"/>
    <w:rsid w:val="350B76BF"/>
    <w:rsid w:val="350C5C16"/>
    <w:rsid w:val="351710F0"/>
    <w:rsid w:val="352E435E"/>
    <w:rsid w:val="3534069E"/>
    <w:rsid w:val="353D45FA"/>
    <w:rsid w:val="353F0E06"/>
    <w:rsid w:val="35505013"/>
    <w:rsid w:val="356D51F7"/>
    <w:rsid w:val="357D79D3"/>
    <w:rsid w:val="35804F9D"/>
    <w:rsid w:val="35884385"/>
    <w:rsid w:val="35890016"/>
    <w:rsid w:val="358B0F26"/>
    <w:rsid w:val="35924A15"/>
    <w:rsid w:val="359753B1"/>
    <w:rsid w:val="35A25468"/>
    <w:rsid w:val="35AC56FE"/>
    <w:rsid w:val="35C3354B"/>
    <w:rsid w:val="35E1012B"/>
    <w:rsid w:val="35E1505C"/>
    <w:rsid w:val="35E328B8"/>
    <w:rsid w:val="35E3701E"/>
    <w:rsid w:val="35E420DE"/>
    <w:rsid w:val="35E607CD"/>
    <w:rsid w:val="35EC6F4A"/>
    <w:rsid w:val="35EE6A38"/>
    <w:rsid w:val="35F5734F"/>
    <w:rsid w:val="35F65884"/>
    <w:rsid w:val="35F715DC"/>
    <w:rsid w:val="36057267"/>
    <w:rsid w:val="362131A7"/>
    <w:rsid w:val="362E1546"/>
    <w:rsid w:val="36330CA5"/>
    <w:rsid w:val="364236D7"/>
    <w:rsid w:val="3654563C"/>
    <w:rsid w:val="365763B3"/>
    <w:rsid w:val="367C0A7E"/>
    <w:rsid w:val="36856B5A"/>
    <w:rsid w:val="36883C27"/>
    <w:rsid w:val="36950061"/>
    <w:rsid w:val="36A32443"/>
    <w:rsid w:val="36A61ADA"/>
    <w:rsid w:val="36AC504E"/>
    <w:rsid w:val="36B45F51"/>
    <w:rsid w:val="36B7013F"/>
    <w:rsid w:val="36D71D0D"/>
    <w:rsid w:val="36E17BD4"/>
    <w:rsid w:val="36E31151"/>
    <w:rsid w:val="36E61D1E"/>
    <w:rsid w:val="36EF4947"/>
    <w:rsid w:val="36F76FAD"/>
    <w:rsid w:val="37060D5C"/>
    <w:rsid w:val="370F6D7D"/>
    <w:rsid w:val="3711176D"/>
    <w:rsid w:val="37113E21"/>
    <w:rsid w:val="37244D17"/>
    <w:rsid w:val="373F483B"/>
    <w:rsid w:val="37451D56"/>
    <w:rsid w:val="375C645A"/>
    <w:rsid w:val="37633810"/>
    <w:rsid w:val="37737FCD"/>
    <w:rsid w:val="37831AFE"/>
    <w:rsid w:val="37855CA5"/>
    <w:rsid w:val="379747E4"/>
    <w:rsid w:val="37A10A3C"/>
    <w:rsid w:val="37A32862"/>
    <w:rsid w:val="37A771F1"/>
    <w:rsid w:val="37AA1FED"/>
    <w:rsid w:val="37B033F0"/>
    <w:rsid w:val="37B25951"/>
    <w:rsid w:val="37B82D37"/>
    <w:rsid w:val="37BF7DD8"/>
    <w:rsid w:val="38093CF4"/>
    <w:rsid w:val="381523AC"/>
    <w:rsid w:val="3816611D"/>
    <w:rsid w:val="381D6FCC"/>
    <w:rsid w:val="382563C3"/>
    <w:rsid w:val="382B10C6"/>
    <w:rsid w:val="384502C9"/>
    <w:rsid w:val="384757BF"/>
    <w:rsid w:val="384D7A6B"/>
    <w:rsid w:val="38527F5E"/>
    <w:rsid w:val="38576EB1"/>
    <w:rsid w:val="385B78DA"/>
    <w:rsid w:val="386F64C6"/>
    <w:rsid w:val="38755246"/>
    <w:rsid w:val="38850F2D"/>
    <w:rsid w:val="3891497A"/>
    <w:rsid w:val="38934709"/>
    <w:rsid w:val="3899545E"/>
    <w:rsid w:val="389B63CB"/>
    <w:rsid w:val="389D36E7"/>
    <w:rsid w:val="38AD0AAC"/>
    <w:rsid w:val="38AF121A"/>
    <w:rsid w:val="38B10DA8"/>
    <w:rsid w:val="38B976FB"/>
    <w:rsid w:val="38BB5EDA"/>
    <w:rsid w:val="38C6779A"/>
    <w:rsid w:val="38DC2A26"/>
    <w:rsid w:val="38DC5040"/>
    <w:rsid w:val="38EA0958"/>
    <w:rsid w:val="38EA292A"/>
    <w:rsid w:val="38EB3140"/>
    <w:rsid w:val="38FC7F68"/>
    <w:rsid w:val="390150BD"/>
    <w:rsid w:val="39015BC8"/>
    <w:rsid w:val="39132EBE"/>
    <w:rsid w:val="3923223F"/>
    <w:rsid w:val="393F3649"/>
    <w:rsid w:val="39434B25"/>
    <w:rsid w:val="39442CC4"/>
    <w:rsid w:val="394A3B36"/>
    <w:rsid w:val="394C053B"/>
    <w:rsid w:val="394E0439"/>
    <w:rsid w:val="39532D05"/>
    <w:rsid w:val="395A1855"/>
    <w:rsid w:val="3962425A"/>
    <w:rsid w:val="396E504E"/>
    <w:rsid w:val="396F7993"/>
    <w:rsid w:val="39741673"/>
    <w:rsid w:val="397F2866"/>
    <w:rsid w:val="39850A26"/>
    <w:rsid w:val="39893783"/>
    <w:rsid w:val="399108C7"/>
    <w:rsid w:val="399C23C2"/>
    <w:rsid w:val="39A118CD"/>
    <w:rsid w:val="39A337DD"/>
    <w:rsid w:val="39B1002C"/>
    <w:rsid w:val="39B75345"/>
    <w:rsid w:val="39BA1CF7"/>
    <w:rsid w:val="39BA2065"/>
    <w:rsid w:val="39C83126"/>
    <w:rsid w:val="39D037AF"/>
    <w:rsid w:val="39D466BD"/>
    <w:rsid w:val="39D7158B"/>
    <w:rsid w:val="39DC1B39"/>
    <w:rsid w:val="39E03897"/>
    <w:rsid w:val="39E125BA"/>
    <w:rsid w:val="39F17FFD"/>
    <w:rsid w:val="3A03384A"/>
    <w:rsid w:val="3A066160"/>
    <w:rsid w:val="3A0D48B1"/>
    <w:rsid w:val="3A1810FA"/>
    <w:rsid w:val="3A2441B7"/>
    <w:rsid w:val="3A274488"/>
    <w:rsid w:val="3A336331"/>
    <w:rsid w:val="3A431472"/>
    <w:rsid w:val="3A474B1C"/>
    <w:rsid w:val="3A5207B4"/>
    <w:rsid w:val="3A541BF5"/>
    <w:rsid w:val="3A553D9F"/>
    <w:rsid w:val="3A5A285A"/>
    <w:rsid w:val="3A5E32B9"/>
    <w:rsid w:val="3A697F71"/>
    <w:rsid w:val="3A6A4AC7"/>
    <w:rsid w:val="3A6E26C3"/>
    <w:rsid w:val="3A6F0BDF"/>
    <w:rsid w:val="3A72622B"/>
    <w:rsid w:val="3A75769F"/>
    <w:rsid w:val="3A897BA1"/>
    <w:rsid w:val="3A9038DA"/>
    <w:rsid w:val="3A936647"/>
    <w:rsid w:val="3A9E4B32"/>
    <w:rsid w:val="3A9F1B2C"/>
    <w:rsid w:val="3AA54470"/>
    <w:rsid w:val="3AA913CF"/>
    <w:rsid w:val="3AC036CC"/>
    <w:rsid w:val="3AC205A6"/>
    <w:rsid w:val="3AC257A4"/>
    <w:rsid w:val="3AC334CD"/>
    <w:rsid w:val="3AD16134"/>
    <w:rsid w:val="3AD17EBD"/>
    <w:rsid w:val="3AEA3CFC"/>
    <w:rsid w:val="3AF044A5"/>
    <w:rsid w:val="3AFC4CC9"/>
    <w:rsid w:val="3B00301D"/>
    <w:rsid w:val="3B1752EE"/>
    <w:rsid w:val="3B1C35AC"/>
    <w:rsid w:val="3B22468C"/>
    <w:rsid w:val="3B3155AA"/>
    <w:rsid w:val="3B3E0B10"/>
    <w:rsid w:val="3B4F1508"/>
    <w:rsid w:val="3B580D61"/>
    <w:rsid w:val="3B696BF9"/>
    <w:rsid w:val="3B6F0DCA"/>
    <w:rsid w:val="3B7B2B0A"/>
    <w:rsid w:val="3B7C7B97"/>
    <w:rsid w:val="3B8372AE"/>
    <w:rsid w:val="3B914065"/>
    <w:rsid w:val="3B9F483C"/>
    <w:rsid w:val="3BB249F7"/>
    <w:rsid w:val="3BBE3122"/>
    <w:rsid w:val="3BC20515"/>
    <w:rsid w:val="3BC53C74"/>
    <w:rsid w:val="3BC62C0D"/>
    <w:rsid w:val="3BC772AB"/>
    <w:rsid w:val="3BC812C8"/>
    <w:rsid w:val="3BD741DE"/>
    <w:rsid w:val="3BE7491F"/>
    <w:rsid w:val="3BE82033"/>
    <w:rsid w:val="3BEF3F98"/>
    <w:rsid w:val="3BF01125"/>
    <w:rsid w:val="3C035D20"/>
    <w:rsid w:val="3C0C1C74"/>
    <w:rsid w:val="3C12184A"/>
    <w:rsid w:val="3C165216"/>
    <w:rsid w:val="3C20030B"/>
    <w:rsid w:val="3C220A63"/>
    <w:rsid w:val="3C257E8D"/>
    <w:rsid w:val="3C286FD8"/>
    <w:rsid w:val="3C326DEB"/>
    <w:rsid w:val="3C3C1378"/>
    <w:rsid w:val="3C497D33"/>
    <w:rsid w:val="3C5A342C"/>
    <w:rsid w:val="3C5C0867"/>
    <w:rsid w:val="3C656EED"/>
    <w:rsid w:val="3C685003"/>
    <w:rsid w:val="3C6E7843"/>
    <w:rsid w:val="3C727A71"/>
    <w:rsid w:val="3C732FE2"/>
    <w:rsid w:val="3C7A3669"/>
    <w:rsid w:val="3C882BD0"/>
    <w:rsid w:val="3C94545E"/>
    <w:rsid w:val="3CAE0651"/>
    <w:rsid w:val="3CBC2D9B"/>
    <w:rsid w:val="3CC5588D"/>
    <w:rsid w:val="3CCD1D16"/>
    <w:rsid w:val="3CD85D57"/>
    <w:rsid w:val="3CD87AA0"/>
    <w:rsid w:val="3CDA5112"/>
    <w:rsid w:val="3CDB62C1"/>
    <w:rsid w:val="3CE26359"/>
    <w:rsid w:val="3CE70364"/>
    <w:rsid w:val="3CFD4D35"/>
    <w:rsid w:val="3D064D69"/>
    <w:rsid w:val="3D0E399D"/>
    <w:rsid w:val="3D123F8D"/>
    <w:rsid w:val="3D12721E"/>
    <w:rsid w:val="3D1B45BC"/>
    <w:rsid w:val="3D27093B"/>
    <w:rsid w:val="3D351ADA"/>
    <w:rsid w:val="3D3D6CB6"/>
    <w:rsid w:val="3D444248"/>
    <w:rsid w:val="3D4B2FA5"/>
    <w:rsid w:val="3D527DA5"/>
    <w:rsid w:val="3D546058"/>
    <w:rsid w:val="3D5461A9"/>
    <w:rsid w:val="3D58650A"/>
    <w:rsid w:val="3D590765"/>
    <w:rsid w:val="3D5A6060"/>
    <w:rsid w:val="3D640E16"/>
    <w:rsid w:val="3D67132F"/>
    <w:rsid w:val="3D7B0D27"/>
    <w:rsid w:val="3D7E27A0"/>
    <w:rsid w:val="3D874F51"/>
    <w:rsid w:val="3D896CEB"/>
    <w:rsid w:val="3D9A2D6C"/>
    <w:rsid w:val="3D9D0681"/>
    <w:rsid w:val="3DAF1596"/>
    <w:rsid w:val="3DB52668"/>
    <w:rsid w:val="3DD3077A"/>
    <w:rsid w:val="3DDF7A0D"/>
    <w:rsid w:val="3DFD4BBE"/>
    <w:rsid w:val="3E00097B"/>
    <w:rsid w:val="3E011326"/>
    <w:rsid w:val="3E024B7B"/>
    <w:rsid w:val="3E19435F"/>
    <w:rsid w:val="3E20393D"/>
    <w:rsid w:val="3E264903"/>
    <w:rsid w:val="3E2806A1"/>
    <w:rsid w:val="3E2E35CB"/>
    <w:rsid w:val="3E31025E"/>
    <w:rsid w:val="3E342DA3"/>
    <w:rsid w:val="3E4755F9"/>
    <w:rsid w:val="3E492A39"/>
    <w:rsid w:val="3E556354"/>
    <w:rsid w:val="3E6336EF"/>
    <w:rsid w:val="3E660D1B"/>
    <w:rsid w:val="3E6E2E9E"/>
    <w:rsid w:val="3E8222F7"/>
    <w:rsid w:val="3E8258B1"/>
    <w:rsid w:val="3E8821CE"/>
    <w:rsid w:val="3E92738B"/>
    <w:rsid w:val="3E99456A"/>
    <w:rsid w:val="3EAD3D57"/>
    <w:rsid w:val="3EAF02B7"/>
    <w:rsid w:val="3EB1188E"/>
    <w:rsid w:val="3EBD63D7"/>
    <w:rsid w:val="3EC07733"/>
    <w:rsid w:val="3EC334A7"/>
    <w:rsid w:val="3EC678BC"/>
    <w:rsid w:val="3EE067CA"/>
    <w:rsid w:val="3EEF26AB"/>
    <w:rsid w:val="3EF57D05"/>
    <w:rsid w:val="3EF96B38"/>
    <w:rsid w:val="3F002CCF"/>
    <w:rsid w:val="3F0566FF"/>
    <w:rsid w:val="3F0605BE"/>
    <w:rsid w:val="3F06365D"/>
    <w:rsid w:val="3F0A3CA5"/>
    <w:rsid w:val="3F0B1DB8"/>
    <w:rsid w:val="3F0E6EA3"/>
    <w:rsid w:val="3F122278"/>
    <w:rsid w:val="3F155D82"/>
    <w:rsid w:val="3F261DEC"/>
    <w:rsid w:val="3F47737F"/>
    <w:rsid w:val="3F523976"/>
    <w:rsid w:val="3F52626A"/>
    <w:rsid w:val="3F5322DF"/>
    <w:rsid w:val="3F556A35"/>
    <w:rsid w:val="3F5867B3"/>
    <w:rsid w:val="3F637202"/>
    <w:rsid w:val="3F664F14"/>
    <w:rsid w:val="3F6D1D36"/>
    <w:rsid w:val="3F6D2017"/>
    <w:rsid w:val="3F7339EB"/>
    <w:rsid w:val="3F7D65D1"/>
    <w:rsid w:val="3F836296"/>
    <w:rsid w:val="3F9526FD"/>
    <w:rsid w:val="3FA10F73"/>
    <w:rsid w:val="3FA51002"/>
    <w:rsid w:val="3FB1448E"/>
    <w:rsid w:val="3FB33F0F"/>
    <w:rsid w:val="3FB56B87"/>
    <w:rsid w:val="3FB827B0"/>
    <w:rsid w:val="3FB9798A"/>
    <w:rsid w:val="3FBC4DF5"/>
    <w:rsid w:val="3FBE226E"/>
    <w:rsid w:val="3FC74EA5"/>
    <w:rsid w:val="3FC80A13"/>
    <w:rsid w:val="3FC924C5"/>
    <w:rsid w:val="3FD001E0"/>
    <w:rsid w:val="3FDD5AA3"/>
    <w:rsid w:val="3FDD60EB"/>
    <w:rsid w:val="3FE1611D"/>
    <w:rsid w:val="3FEB7EF7"/>
    <w:rsid w:val="3FFC6AA1"/>
    <w:rsid w:val="3FFE725C"/>
    <w:rsid w:val="400D4689"/>
    <w:rsid w:val="40171E63"/>
    <w:rsid w:val="401C023A"/>
    <w:rsid w:val="401E624D"/>
    <w:rsid w:val="4040700B"/>
    <w:rsid w:val="40505926"/>
    <w:rsid w:val="405074F9"/>
    <w:rsid w:val="40592E1A"/>
    <w:rsid w:val="40742B10"/>
    <w:rsid w:val="40851F94"/>
    <w:rsid w:val="40860806"/>
    <w:rsid w:val="408727EE"/>
    <w:rsid w:val="40881B05"/>
    <w:rsid w:val="408B015C"/>
    <w:rsid w:val="408D2092"/>
    <w:rsid w:val="40987E91"/>
    <w:rsid w:val="40AE535D"/>
    <w:rsid w:val="40B323C5"/>
    <w:rsid w:val="40BB1B3B"/>
    <w:rsid w:val="40C87F0D"/>
    <w:rsid w:val="40E13187"/>
    <w:rsid w:val="40E4111E"/>
    <w:rsid w:val="40F71EFC"/>
    <w:rsid w:val="40FC6040"/>
    <w:rsid w:val="41013098"/>
    <w:rsid w:val="410A66D3"/>
    <w:rsid w:val="41216561"/>
    <w:rsid w:val="4126157E"/>
    <w:rsid w:val="412E1703"/>
    <w:rsid w:val="41341D04"/>
    <w:rsid w:val="41463814"/>
    <w:rsid w:val="414E4666"/>
    <w:rsid w:val="415840E7"/>
    <w:rsid w:val="415C6645"/>
    <w:rsid w:val="415D4AA5"/>
    <w:rsid w:val="415E3F30"/>
    <w:rsid w:val="41634269"/>
    <w:rsid w:val="416F185F"/>
    <w:rsid w:val="41755F8B"/>
    <w:rsid w:val="417E6FB2"/>
    <w:rsid w:val="41804E56"/>
    <w:rsid w:val="418B61F9"/>
    <w:rsid w:val="418C5064"/>
    <w:rsid w:val="41901D5A"/>
    <w:rsid w:val="41AE168E"/>
    <w:rsid w:val="41B000EA"/>
    <w:rsid w:val="41B625DB"/>
    <w:rsid w:val="41BB28C5"/>
    <w:rsid w:val="41D7643D"/>
    <w:rsid w:val="41D80DF6"/>
    <w:rsid w:val="41F41099"/>
    <w:rsid w:val="41F4144D"/>
    <w:rsid w:val="41F425A0"/>
    <w:rsid w:val="41FD1E4D"/>
    <w:rsid w:val="42004A07"/>
    <w:rsid w:val="42036CED"/>
    <w:rsid w:val="420445BE"/>
    <w:rsid w:val="42044B55"/>
    <w:rsid w:val="42106699"/>
    <w:rsid w:val="421D3532"/>
    <w:rsid w:val="422747DE"/>
    <w:rsid w:val="423D7E2C"/>
    <w:rsid w:val="4253494B"/>
    <w:rsid w:val="42563DD4"/>
    <w:rsid w:val="425F0874"/>
    <w:rsid w:val="42605991"/>
    <w:rsid w:val="42624CEC"/>
    <w:rsid w:val="426B2083"/>
    <w:rsid w:val="42745271"/>
    <w:rsid w:val="42746AFF"/>
    <w:rsid w:val="427A2426"/>
    <w:rsid w:val="428622E0"/>
    <w:rsid w:val="42A72E3E"/>
    <w:rsid w:val="42A9771E"/>
    <w:rsid w:val="42AF06BF"/>
    <w:rsid w:val="42AF744D"/>
    <w:rsid w:val="42B97DE2"/>
    <w:rsid w:val="42BE1411"/>
    <w:rsid w:val="42BF0482"/>
    <w:rsid w:val="42C3638C"/>
    <w:rsid w:val="42CC1C77"/>
    <w:rsid w:val="42CE7CBC"/>
    <w:rsid w:val="42E67A2D"/>
    <w:rsid w:val="42EF6EDD"/>
    <w:rsid w:val="42F63370"/>
    <w:rsid w:val="4303189E"/>
    <w:rsid w:val="43043B4B"/>
    <w:rsid w:val="430C0701"/>
    <w:rsid w:val="431D662D"/>
    <w:rsid w:val="431D7413"/>
    <w:rsid w:val="43230977"/>
    <w:rsid w:val="43260906"/>
    <w:rsid w:val="4329778C"/>
    <w:rsid w:val="433451E7"/>
    <w:rsid w:val="433454E3"/>
    <w:rsid w:val="434030C7"/>
    <w:rsid w:val="434321EE"/>
    <w:rsid w:val="4357411B"/>
    <w:rsid w:val="43624524"/>
    <w:rsid w:val="436E4602"/>
    <w:rsid w:val="43773B38"/>
    <w:rsid w:val="437C303F"/>
    <w:rsid w:val="437E59F4"/>
    <w:rsid w:val="437F0235"/>
    <w:rsid w:val="438127FD"/>
    <w:rsid w:val="438C318F"/>
    <w:rsid w:val="438D2962"/>
    <w:rsid w:val="439125BA"/>
    <w:rsid w:val="439E21D0"/>
    <w:rsid w:val="43A136C2"/>
    <w:rsid w:val="43A47C8D"/>
    <w:rsid w:val="43A51CEB"/>
    <w:rsid w:val="43AE228C"/>
    <w:rsid w:val="43B03D9F"/>
    <w:rsid w:val="43B2322B"/>
    <w:rsid w:val="43B27B0F"/>
    <w:rsid w:val="43BD17B6"/>
    <w:rsid w:val="43C60D41"/>
    <w:rsid w:val="43C71A8C"/>
    <w:rsid w:val="43CB49D5"/>
    <w:rsid w:val="43CC296D"/>
    <w:rsid w:val="43D51B86"/>
    <w:rsid w:val="43D5596E"/>
    <w:rsid w:val="43D946DF"/>
    <w:rsid w:val="43EA4AD8"/>
    <w:rsid w:val="43EA731F"/>
    <w:rsid w:val="43EF4362"/>
    <w:rsid w:val="43F5608C"/>
    <w:rsid w:val="43FA20D7"/>
    <w:rsid w:val="440A1D09"/>
    <w:rsid w:val="44105FE6"/>
    <w:rsid w:val="44163757"/>
    <w:rsid w:val="442E6250"/>
    <w:rsid w:val="44336B29"/>
    <w:rsid w:val="44411D78"/>
    <w:rsid w:val="444255C8"/>
    <w:rsid w:val="44555450"/>
    <w:rsid w:val="44565401"/>
    <w:rsid w:val="445C184B"/>
    <w:rsid w:val="445C1F8C"/>
    <w:rsid w:val="445C2CEB"/>
    <w:rsid w:val="44623D2C"/>
    <w:rsid w:val="4469425C"/>
    <w:rsid w:val="446C5925"/>
    <w:rsid w:val="44715BA6"/>
    <w:rsid w:val="44744DE1"/>
    <w:rsid w:val="4480267E"/>
    <w:rsid w:val="44813BCD"/>
    <w:rsid w:val="448F333F"/>
    <w:rsid w:val="449A5595"/>
    <w:rsid w:val="44A273D7"/>
    <w:rsid w:val="44A3165A"/>
    <w:rsid w:val="44A949BB"/>
    <w:rsid w:val="44B47D28"/>
    <w:rsid w:val="44BE6AFA"/>
    <w:rsid w:val="44BE7B38"/>
    <w:rsid w:val="44C10C52"/>
    <w:rsid w:val="44C4343F"/>
    <w:rsid w:val="44CC5637"/>
    <w:rsid w:val="44CE1860"/>
    <w:rsid w:val="44D61276"/>
    <w:rsid w:val="44FB2020"/>
    <w:rsid w:val="450E225C"/>
    <w:rsid w:val="450E5F3E"/>
    <w:rsid w:val="451C3C3F"/>
    <w:rsid w:val="45282E33"/>
    <w:rsid w:val="45361C96"/>
    <w:rsid w:val="45367180"/>
    <w:rsid w:val="453936A0"/>
    <w:rsid w:val="4555071F"/>
    <w:rsid w:val="45634F36"/>
    <w:rsid w:val="456433C3"/>
    <w:rsid w:val="4566286A"/>
    <w:rsid w:val="456653F0"/>
    <w:rsid w:val="456745BB"/>
    <w:rsid w:val="45677DA7"/>
    <w:rsid w:val="45743F66"/>
    <w:rsid w:val="45761FD8"/>
    <w:rsid w:val="457B0C49"/>
    <w:rsid w:val="45864B77"/>
    <w:rsid w:val="458D3A63"/>
    <w:rsid w:val="4597177B"/>
    <w:rsid w:val="45A85821"/>
    <w:rsid w:val="45AA0EA4"/>
    <w:rsid w:val="45AC57A6"/>
    <w:rsid w:val="45AF03CF"/>
    <w:rsid w:val="45B23BD8"/>
    <w:rsid w:val="45B52BBB"/>
    <w:rsid w:val="45C3178B"/>
    <w:rsid w:val="45C81474"/>
    <w:rsid w:val="45C85D55"/>
    <w:rsid w:val="45C91BC6"/>
    <w:rsid w:val="45CD1312"/>
    <w:rsid w:val="45CE3F02"/>
    <w:rsid w:val="45DE2684"/>
    <w:rsid w:val="45E349A9"/>
    <w:rsid w:val="45F22D7B"/>
    <w:rsid w:val="45F25B71"/>
    <w:rsid w:val="45F6092A"/>
    <w:rsid w:val="46122C2B"/>
    <w:rsid w:val="46202725"/>
    <w:rsid w:val="4622618B"/>
    <w:rsid w:val="4624768B"/>
    <w:rsid w:val="46283409"/>
    <w:rsid w:val="462E1DEC"/>
    <w:rsid w:val="462F257F"/>
    <w:rsid w:val="46316796"/>
    <w:rsid w:val="46436765"/>
    <w:rsid w:val="464C5980"/>
    <w:rsid w:val="464C598F"/>
    <w:rsid w:val="46541012"/>
    <w:rsid w:val="46595BDC"/>
    <w:rsid w:val="465B04AA"/>
    <w:rsid w:val="466467A4"/>
    <w:rsid w:val="466B7E63"/>
    <w:rsid w:val="46726232"/>
    <w:rsid w:val="46731512"/>
    <w:rsid w:val="46795DED"/>
    <w:rsid w:val="468843FE"/>
    <w:rsid w:val="469849B7"/>
    <w:rsid w:val="46991FD8"/>
    <w:rsid w:val="469D4E61"/>
    <w:rsid w:val="46BC2272"/>
    <w:rsid w:val="46D62B88"/>
    <w:rsid w:val="46D929E4"/>
    <w:rsid w:val="46DA3CDF"/>
    <w:rsid w:val="46DD3A97"/>
    <w:rsid w:val="46E122D5"/>
    <w:rsid w:val="46E51519"/>
    <w:rsid w:val="46E72217"/>
    <w:rsid w:val="46EB56D0"/>
    <w:rsid w:val="46EF6BE5"/>
    <w:rsid w:val="46F94629"/>
    <w:rsid w:val="46FE33A2"/>
    <w:rsid w:val="47034B98"/>
    <w:rsid w:val="47067487"/>
    <w:rsid w:val="470675DD"/>
    <w:rsid w:val="47102BE0"/>
    <w:rsid w:val="47115999"/>
    <w:rsid w:val="47123D8D"/>
    <w:rsid w:val="471651A2"/>
    <w:rsid w:val="47195C33"/>
    <w:rsid w:val="472322A2"/>
    <w:rsid w:val="47304A60"/>
    <w:rsid w:val="47321070"/>
    <w:rsid w:val="47383706"/>
    <w:rsid w:val="473F3443"/>
    <w:rsid w:val="47442FEA"/>
    <w:rsid w:val="47476898"/>
    <w:rsid w:val="474825BA"/>
    <w:rsid w:val="47524966"/>
    <w:rsid w:val="4764753D"/>
    <w:rsid w:val="47663624"/>
    <w:rsid w:val="4779594B"/>
    <w:rsid w:val="477E3FE9"/>
    <w:rsid w:val="478E58BD"/>
    <w:rsid w:val="47997ECC"/>
    <w:rsid w:val="47A938A8"/>
    <w:rsid w:val="47AD2393"/>
    <w:rsid w:val="47C05960"/>
    <w:rsid w:val="47CA211A"/>
    <w:rsid w:val="47CE6AD8"/>
    <w:rsid w:val="47D00B76"/>
    <w:rsid w:val="47D266F4"/>
    <w:rsid w:val="47EB3A88"/>
    <w:rsid w:val="47ED09EA"/>
    <w:rsid w:val="47F03825"/>
    <w:rsid w:val="47F72583"/>
    <w:rsid w:val="47FE4F97"/>
    <w:rsid w:val="48043BE9"/>
    <w:rsid w:val="48050F31"/>
    <w:rsid w:val="480B064E"/>
    <w:rsid w:val="48152A57"/>
    <w:rsid w:val="481B77EC"/>
    <w:rsid w:val="481F00E4"/>
    <w:rsid w:val="48230137"/>
    <w:rsid w:val="482A5E63"/>
    <w:rsid w:val="48357C17"/>
    <w:rsid w:val="48360F72"/>
    <w:rsid w:val="48466EDC"/>
    <w:rsid w:val="486505C9"/>
    <w:rsid w:val="48717233"/>
    <w:rsid w:val="487736C7"/>
    <w:rsid w:val="4886149A"/>
    <w:rsid w:val="488933F6"/>
    <w:rsid w:val="489C5A7F"/>
    <w:rsid w:val="489C5B95"/>
    <w:rsid w:val="489F248C"/>
    <w:rsid w:val="48A53F58"/>
    <w:rsid w:val="48AA10E1"/>
    <w:rsid w:val="48AF1323"/>
    <w:rsid w:val="48B2080D"/>
    <w:rsid w:val="48B5518F"/>
    <w:rsid w:val="48BE6136"/>
    <w:rsid w:val="48C17060"/>
    <w:rsid w:val="48D22DB3"/>
    <w:rsid w:val="48D93445"/>
    <w:rsid w:val="48DA1D9C"/>
    <w:rsid w:val="48DC218D"/>
    <w:rsid w:val="48E915DE"/>
    <w:rsid w:val="48F7177C"/>
    <w:rsid w:val="490008E6"/>
    <w:rsid w:val="490425AB"/>
    <w:rsid w:val="49076238"/>
    <w:rsid w:val="49104838"/>
    <w:rsid w:val="49250443"/>
    <w:rsid w:val="49267368"/>
    <w:rsid w:val="49276313"/>
    <w:rsid w:val="492F1B04"/>
    <w:rsid w:val="4930158D"/>
    <w:rsid w:val="493166F2"/>
    <w:rsid w:val="4943084D"/>
    <w:rsid w:val="495B2F5A"/>
    <w:rsid w:val="49660B64"/>
    <w:rsid w:val="496E056A"/>
    <w:rsid w:val="497930F9"/>
    <w:rsid w:val="497E5F0E"/>
    <w:rsid w:val="49895BF9"/>
    <w:rsid w:val="49896889"/>
    <w:rsid w:val="498B006E"/>
    <w:rsid w:val="49A20032"/>
    <w:rsid w:val="49A82756"/>
    <w:rsid w:val="49A86BF4"/>
    <w:rsid w:val="49A902DE"/>
    <w:rsid w:val="49A961CD"/>
    <w:rsid w:val="49B337E8"/>
    <w:rsid w:val="49B57903"/>
    <w:rsid w:val="49BB0B72"/>
    <w:rsid w:val="49F44446"/>
    <w:rsid w:val="4A037F7B"/>
    <w:rsid w:val="4A0C3345"/>
    <w:rsid w:val="4A12511A"/>
    <w:rsid w:val="4A2A339F"/>
    <w:rsid w:val="4A3B0ADD"/>
    <w:rsid w:val="4A3D1213"/>
    <w:rsid w:val="4A405618"/>
    <w:rsid w:val="4A42752E"/>
    <w:rsid w:val="4A463FDD"/>
    <w:rsid w:val="4A4D6FE1"/>
    <w:rsid w:val="4A4F464E"/>
    <w:rsid w:val="4A51053D"/>
    <w:rsid w:val="4A541B9F"/>
    <w:rsid w:val="4A5B2412"/>
    <w:rsid w:val="4A603371"/>
    <w:rsid w:val="4A665A8F"/>
    <w:rsid w:val="4A6B6C00"/>
    <w:rsid w:val="4A7A1A7F"/>
    <w:rsid w:val="4A7B1C95"/>
    <w:rsid w:val="4A7C6D92"/>
    <w:rsid w:val="4A80680F"/>
    <w:rsid w:val="4A8B2BFF"/>
    <w:rsid w:val="4A8C3D45"/>
    <w:rsid w:val="4A996D58"/>
    <w:rsid w:val="4AA637CE"/>
    <w:rsid w:val="4AAA2363"/>
    <w:rsid w:val="4AAC0232"/>
    <w:rsid w:val="4AB420A2"/>
    <w:rsid w:val="4AB42562"/>
    <w:rsid w:val="4AB971E8"/>
    <w:rsid w:val="4ABC4127"/>
    <w:rsid w:val="4AC462B3"/>
    <w:rsid w:val="4AC908CA"/>
    <w:rsid w:val="4AC95E08"/>
    <w:rsid w:val="4ACC60F1"/>
    <w:rsid w:val="4ACE3D63"/>
    <w:rsid w:val="4AD13FBF"/>
    <w:rsid w:val="4AD37FB6"/>
    <w:rsid w:val="4AF15169"/>
    <w:rsid w:val="4AF33411"/>
    <w:rsid w:val="4AFC4739"/>
    <w:rsid w:val="4AFF7966"/>
    <w:rsid w:val="4B0F4D9F"/>
    <w:rsid w:val="4B2B654D"/>
    <w:rsid w:val="4B2D2A9B"/>
    <w:rsid w:val="4B331125"/>
    <w:rsid w:val="4B3405F9"/>
    <w:rsid w:val="4B473804"/>
    <w:rsid w:val="4B5151AA"/>
    <w:rsid w:val="4B537CBF"/>
    <w:rsid w:val="4B550153"/>
    <w:rsid w:val="4B641191"/>
    <w:rsid w:val="4B694B3A"/>
    <w:rsid w:val="4B76529F"/>
    <w:rsid w:val="4B7A237E"/>
    <w:rsid w:val="4B815FB3"/>
    <w:rsid w:val="4B86443F"/>
    <w:rsid w:val="4B9A0C4D"/>
    <w:rsid w:val="4B9B3B70"/>
    <w:rsid w:val="4BB7667A"/>
    <w:rsid w:val="4BBA25CD"/>
    <w:rsid w:val="4BBB242F"/>
    <w:rsid w:val="4BC15B7C"/>
    <w:rsid w:val="4BCC5B3C"/>
    <w:rsid w:val="4BD06F1C"/>
    <w:rsid w:val="4BD11B2A"/>
    <w:rsid w:val="4BD47BEF"/>
    <w:rsid w:val="4BDA74DE"/>
    <w:rsid w:val="4BE06BCD"/>
    <w:rsid w:val="4BE413D6"/>
    <w:rsid w:val="4BE86538"/>
    <w:rsid w:val="4C001FDF"/>
    <w:rsid w:val="4C040A9A"/>
    <w:rsid w:val="4C0770C1"/>
    <w:rsid w:val="4C1F0776"/>
    <w:rsid w:val="4C232063"/>
    <w:rsid w:val="4C2C299D"/>
    <w:rsid w:val="4C322608"/>
    <w:rsid w:val="4C3238CA"/>
    <w:rsid w:val="4C380D78"/>
    <w:rsid w:val="4C3D0756"/>
    <w:rsid w:val="4C3D5FB7"/>
    <w:rsid w:val="4C4C1686"/>
    <w:rsid w:val="4C513E4B"/>
    <w:rsid w:val="4C603F1D"/>
    <w:rsid w:val="4C635D18"/>
    <w:rsid w:val="4C670EB1"/>
    <w:rsid w:val="4C712086"/>
    <w:rsid w:val="4C7120EC"/>
    <w:rsid w:val="4C7B3D80"/>
    <w:rsid w:val="4C7C605E"/>
    <w:rsid w:val="4C7E2355"/>
    <w:rsid w:val="4C847264"/>
    <w:rsid w:val="4C970E7B"/>
    <w:rsid w:val="4CC1054F"/>
    <w:rsid w:val="4CCE079D"/>
    <w:rsid w:val="4CEA4F4D"/>
    <w:rsid w:val="4CEC58DB"/>
    <w:rsid w:val="4CEF637A"/>
    <w:rsid w:val="4CF00FB6"/>
    <w:rsid w:val="4CF16277"/>
    <w:rsid w:val="4CF4672D"/>
    <w:rsid w:val="4D035A68"/>
    <w:rsid w:val="4D147026"/>
    <w:rsid w:val="4D1478EC"/>
    <w:rsid w:val="4D165C91"/>
    <w:rsid w:val="4D235945"/>
    <w:rsid w:val="4D255F0E"/>
    <w:rsid w:val="4D2F06BA"/>
    <w:rsid w:val="4D304130"/>
    <w:rsid w:val="4D4330D3"/>
    <w:rsid w:val="4D4B7DCE"/>
    <w:rsid w:val="4D545407"/>
    <w:rsid w:val="4D694F30"/>
    <w:rsid w:val="4D717BA1"/>
    <w:rsid w:val="4D7F56C3"/>
    <w:rsid w:val="4D855FB9"/>
    <w:rsid w:val="4D8A0B26"/>
    <w:rsid w:val="4D904FEE"/>
    <w:rsid w:val="4D910D8A"/>
    <w:rsid w:val="4D97309D"/>
    <w:rsid w:val="4D9E090F"/>
    <w:rsid w:val="4DAC6E91"/>
    <w:rsid w:val="4DB63BC4"/>
    <w:rsid w:val="4DB7591C"/>
    <w:rsid w:val="4DBB2984"/>
    <w:rsid w:val="4DCC46DA"/>
    <w:rsid w:val="4DDD5EB7"/>
    <w:rsid w:val="4DDE45A5"/>
    <w:rsid w:val="4DF267CF"/>
    <w:rsid w:val="4DF6484E"/>
    <w:rsid w:val="4E043A0E"/>
    <w:rsid w:val="4E0B5D31"/>
    <w:rsid w:val="4E125681"/>
    <w:rsid w:val="4E1339D8"/>
    <w:rsid w:val="4E145C86"/>
    <w:rsid w:val="4E1A5C2E"/>
    <w:rsid w:val="4E2B3781"/>
    <w:rsid w:val="4E337E4B"/>
    <w:rsid w:val="4E365771"/>
    <w:rsid w:val="4E3C5DC0"/>
    <w:rsid w:val="4E446F8B"/>
    <w:rsid w:val="4E4D4DE2"/>
    <w:rsid w:val="4E5669BF"/>
    <w:rsid w:val="4E651EA6"/>
    <w:rsid w:val="4E6757B0"/>
    <w:rsid w:val="4E6C4048"/>
    <w:rsid w:val="4E783D17"/>
    <w:rsid w:val="4E805C19"/>
    <w:rsid w:val="4E836C4E"/>
    <w:rsid w:val="4E865BCD"/>
    <w:rsid w:val="4E957162"/>
    <w:rsid w:val="4E9E60B6"/>
    <w:rsid w:val="4EA27ACB"/>
    <w:rsid w:val="4EB379F2"/>
    <w:rsid w:val="4EBC3167"/>
    <w:rsid w:val="4EBC6632"/>
    <w:rsid w:val="4EBD4562"/>
    <w:rsid w:val="4EBE0F4C"/>
    <w:rsid w:val="4ECD0F14"/>
    <w:rsid w:val="4ED017E4"/>
    <w:rsid w:val="4ED03B4F"/>
    <w:rsid w:val="4EDC1716"/>
    <w:rsid w:val="4EDF6F4B"/>
    <w:rsid w:val="4EE24F10"/>
    <w:rsid w:val="4EE77077"/>
    <w:rsid w:val="4EE8461F"/>
    <w:rsid w:val="4F0206C2"/>
    <w:rsid w:val="4F1A4FD6"/>
    <w:rsid w:val="4F1C2B4C"/>
    <w:rsid w:val="4F1E1A5A"/>
    <w:rsid w:val="4F2D5479"/>
    <w:rsid w:val="4F3127D8"/>
    <w:rsid w:val="4F353521"/>
    <w:rsid w:val="4F3B798B"/>
    <w:rsid w:val="4F424396"/>
    <w:rsid w:val="4F461737"/>
    <w:rsid w:val="4F501AA5"/>
    <w:rsid w:val="4F507138"/>
    <w:rsid w:val="4F5431F2"/>
    <w:rsid w:val="4F594949"/>
    <w:rsid w:val="4F5A315B"/>
    <w:rsid w:val="4F7041A7"/>
    <w:rsid w:val="4F7C7D62"/>
    <w:rsid w:val="4F8865D2"/>
    <w:rsid w:val="4F9A400D"/>
    <w:rsid w:val="4FA11827"/>
    <w:rsid w:val="4FA57761"/>
    <w:rsid w:val="4FAB07C1"/>
    <w:rsid w:val="4FC12B67"/>
    <w:rsid w:val="4FD409F7"/>
    <w:rsid w:val="4FD41054"/>
    <w:rsid w:val="4FD66F8D"/>
    <w:rsid w:val="4FDB5605"/>
    <w:rsid w:val="4FDF7D08"/>
    <w:rsid w:val="4FE45662"/>
    <w:rsid w:val="4FE66728"/>
    <w:rsid w:val="4FF81090"/>
    <w:rsid w:val="4FFA1BE3"/>
    <w:rsid w:val="50033BDE"/>
    <w:rsid w:val="50036BC4"/>
    <w:rsid w:val="500B0DCA"/>
    <w:rsid w:val="500C2A95"/>
    <w:rsid w:val="50133F8A"/>
    <w:rsid w:val="50140C07"/>
    <w:rsid w:val="50200664"/>
    <w:rsid w:val="50312196"/>
    <w:rsid w:val="50417E32"/>
    <w:rsid w:val="504768E3"/>
    <w:rsid w:val="504F0FB9"/>
    <w:rsid w:val="504F769B"/>
    <w:rsid w:val="50537FDD"/>
    <w:rsid w:val="50622728"/>
    <w:rsid w:val="507554C6"/>
    <w:rsid w:val="508F1D63"/>
    <w:rsid w:val="508F6AC4"/>
    <w:rsid w:val="509A55F2"/>
    <w:rsid w:val="50A36924"/>
    <w:rsid w:val="50A732FC"/>
    <w:rsid w:val="50AA341E"/>
    <w:rsid w:val="50AB4E2F"/>
    <w:rsid w:val="50AC2418"/>
    <w:rsid w:val="50B421A0"/>
    <w:rsid w:val="50B70FED"/>
    <w:rsid w:val="50BA643F"/>
    <w:rsid w:val="50DA2205"/>
    <w:rsid w:val="50E57F59"/>
    <w:rsid w:val="50FC41E2"/>
    <w:rsid w:val="510319B4"/>
    <w:rsid w:val="510A4E7D"/>
    <w:rsid w:val="51187091"/>
    <w:rsid w:val="51217565"/>
    <w:rsid w:val="512D5787"/>
    <w:rsid w:val="513B4CBD"/>
    <w:rsid w:val="513F2A79"/>
    <w:rsid w:val="514E5DF0"/>
    <w:rsid w:val="51505C49"/>
    <w:rsid w:val="515F5E7D"/>
    <w:rsid w:val="51621B03"/>
    <w:rsid w:val="51736010"/>
    <w:rsid w:val="518140E8"/>
    <w:rsid w:val="518961AE"/>
    <w:rsid w:val="518B0D8B"/>
    <w:rsid w:val="51905BB3"/>
    <w:rsid w:val="519E4C2D"/>
    <w:rsid w:val="51A23180"/>
    <w:rsid w:val="51B12C2B"/>
    <w:rsid w:val="51B625E5"/>
    <w:rsid w:val="51BB3190"/>
    <w:rsid w:val="51C31AB3"/>
    <w:rsid w:val="51C50057"/>
    <w:rsid w:val="51CA6470"/>
    <w:rsid w:val="51D221A2"/>
    <w:rsid w:val="51DC7D4F"/>
    <w:rsid w:val="51E372D3"/>
    <w:rsid w:val="51E952C3"/>
    <w:rsid w:val="51F763C2"/>
    <w:rsid w:val="520B29B2"/>
    <w:rsid w:val="52165ED6"/>
    <w:rsid w:val="52170D68"/>
    <w:rsid w:val="521832FA"/>
    <w:rsid w:val="521B5CF1"/>
    <w:rsid w:val="521E330E"/>
    <w:rsid w:val="52210969"/>
    <w:rsid w:val="52250331"/>
    <w:rsid w:val="52251937"/>
    <w:rsid w:val="522D32DC"/>
    <w:rsid w:val="522E032A"/>
    <w:rsid w:val="522E48FA"/>
    <w:rsid w:val="52436B21"/>
    <w:rsid w:val="52476CBE"/>
    <w:rsid w:val="52541687"/>
    <w:rsid w:val="525808AD"/>
    <w:rsid w:val="52606B21"/>
    <w:rsid w:val="526142ED"/>
    <w:rsid w:val="52675267"/>
    <w:rsid w:val="526A42D2"/>
    <w:rsid w:val="527456A0"/>
    <w:rsid w:val="52775B19"/>
    <w:rsid w:val="528F6528"/>
    <w:rsid w:val="5294173C"/>
    <w:rsid w:val="52A573D4"/>
    <w:rsid w:val="52AE3C1C"/>
    <w:rsid w:val="52B15A0B"/>
    <w:rsid w:val="52B277B6"/>
    <w:rsid w:val="52B539F6"/>
    <w:rsid w:val="52B87EDF"/>
    <w:rsid w:val="52C2744F"/>
    <w:rsid w:val="52CF2A7E"/>
    <w:rsid w:val="52D52D8A"/>
    <w:rsid w:val="52D70C29"/>
    <w:rsid w:val="52E07E6E"/>
    <w:rsid w:val="52E2403D"/>
    <w:rsid w:val="52E87FC9"/>
    <w:rsid w:val="52EA3010"/>
    <w:rsid w:val="52EE6354"/>
    <w:rsid w:val="53035F10"/>
    <w:rsid w:val="530445BC"/>
    <w:rsid w:val="53073E74"/>
    <w:rsid w:val="53184746"/>
    <w:rsid w:val="531972CB"/>
    <w:rsid w:val="53227F73"/>
    <w:rsid w:val="532E4AC7"/>
    <w:rsid w:val="533E55DF"/>
    <w:rsid w:val="53703765"/>
    <w:rsid w:val="5376095E"/>
    <w:rsid w:val="537A04E8"/>
    <w:rsid w:val="53874180"/>
    <w:rsid w:val="53991F46"/>
    <w:rsid w:val="53A430C7"/>
    <w:rsid w:val="53B71A0D"/>
    <w:rsid w:val="53BA49C0"/>
    <w:rsid w:val="53C92C10"/>
    <w:rsid w:val="53CF606A"/>
    <w:rsid w:val="53D111B0"/>
    <w:rsid w:val="53D73576"/>
    <w:rsid w:val="53EB4289"/>
    <w:rsid w:val="53FE5A9E"/>
    <w:rsid w:val="54257FE2"/>
    <w:rsid w:val="5428581F"/>
    <w:rsid w:val="542B47E5"/>
    <w:rsid w:val="54451C08"/>
    <w:rsid w:val="5450152B"/>
    <w:rsid w:val="545412A1"/>
    <w:rsid w:val="54591BCD"/>
    <w:rsid w:val="546936FE"/>
    <w:rsid w:val="546A602B"/>
    <w:rsid w:val="547034CA"/>
    <w:rsid w:val="547801F9"/>
    <w:rsid w:val="54967702"/>
    <w:rsid w:val="54B14984"/>
    <w:rsid w:val="54B34E33"/>
    <w:rsid w:val="54C51C65"/>
    <w:rsid w:val="54C766D3"/>
    <w:rsid w:val="54E35B83"/>
    <w:rsid w:val="54E5570D"/>
    <w:rsid w:val="54E85406"/>
    <w:rsid w:val="54EE4DEC"/>
    <w:rsid w:val="54F93AE7"/>
    <w:rsid w:val="54F97DEB"/>
    <w:rsid w:val="55012EF3"/>
    <w:rsid w:val="55022588"/>
    <w:rsid w:val="551B3ADB"/>
    <w:rsid w:val="55252910"/>
    <w:rsid w:val="552677BE"/>
    <w:rsid w:val="553772EA"/>
    <w:rsid w:val="553A6D2E"/>
    <w:rsid w:val="5546635B"/>
    <w:rsid w:val="55507B46"/>
    <w:rsid w:val="55534568"/>
    <w:rsid w:val="555A0EDC"/>
    <w:rsid w:val="55677E49"/>
    <w:rsid w:val="55692EAC"/>
    <w:rsid w:val="55714147"/>
    <w:rsid w:val="557C5B0B"/>
    <w:rsid w:val="55861EC8"/>
    <w:rsid w:val="5588140B"/>
    <w:rsid w:val="55891D85"/>
    <w:rsid w:val="55A57957"/>
    <w:rsid w:val="55AA469C"/>
    <w:rsid w:val="55BC12E8"/>
    <w:rsid w:val="55BD3120"/>
    <w:rsid w:val="55BF56EA"/>
    <w:rsid w:val="55C103AC"/>
    <w:rsid w:val="55C423B5"/>
    <w:rsid w:val="55C6074D"/>
    <w:rsid w:val="55C86079"/>
    <w:rsid w:val="55EE6E58"/>
    <w:rsid w:val="55F2238E"/>
    <w:rsid w:val="55F24132"/>
    <w:rsid w:val="55FB05FF"/>
    <w:rsid w:val="55FC794D"/>
    <w:rsid w:val="56012A7B"/>
    <w:rsid w:val="56172C84"/>
    <w:rsid w:val="56387876"/>
    <w:rsid w:val="56391384"/>
    <w:rsid w:val="565907FF"/>
    <w:rsid w:val="565D6940"/>
    <w:rsid w:val="566101A8"/>
    <w:rsid w:val="56666AC5"/>
    <w:rsid w:val="56701442"/>
    <w:rsid w:val="56793306"/>
    <w:rsid w:val="56797C74"/>
    <w:rsid w:val="568116C5"/>
    <w:rsid w:val="568F0B4D"/>
    <w:rsid w:val="56927F4A"/>
    <w:rsid w:val="569C03A7"/>
    <w:rsid w:val="56A304C3"/>
    <w:rsid w:val="56B44FF7"/>
    <w:rsid w:val="56B76AF7"/>
    <w:rsid w:val="56BA0EDB"/>
    <w:rsid w:val="56BA5BFC"/>
    <w:rsid w:val="56D60D34"/>
    <w:rsid w:val="56DA1A1C"/>
    <w:rsid w:val="56E90EF6"/>
    <w:rsid w:val="56F50794"/>
    <w:rsid w:val="56F82259"/>
    <w:rsid w:val="56FC12BF"/>
    <w:rsid w:val="57103E85"/>
    <w:rsid w:val="5724356E"/>
    <w:rsid w:val="576019A8"/>
    <w:rsid w:val="576F00D0"/>
    <w:rsid w:val="57780B15"/>
    <w:rsid w:val="577C7921"/>
    <w:rsid w:val="578130EB"/>
    <w:rsid w:val="57842581"/>
    <w:rsid w:val="57860B1C"/>
    <w:rsid w:val="579016BB"/>
    <w:rsid w:val="579131AA"/>
    <w:rsid w:val="57961B8E"/>
    <w:rsid w:val="579A34FF"/>
    <w:rsid w:val="57A05D52"/>
    <w:rsid w:val="57A65B21"/>
    <w:rsid w:val="57A93B1C"/>
    <w:rsid w:val="57AC71EF"/>
    <w:rsid w:val="57B30CCB"/>
    <w:rsid w:val="57B82FE8"/>
    <w:rsid w:val="57BA183B"/>
    <w:rsid w:val="57BC21E8"/>
    <w:rsid w:val="57C64CE3"/>
    <w:rsid w:val="57CF1AC2"/>
    <w:rsid w:val="57CF411E"/>
    <w:rsid w:val="57CF6469"/>
    <w:rsid w:val="57E359C9"/>
    <w:rsid w:val="57F75230"/>
    <w:rsid w:val="57FA5E75"/>
    <w:rsid w:val="58000E35"/>
    <w:rsid w:val="58222E9F"/>
    <w:rsid w:val="582D3231"/>
    <w:rsid w:val="58316A55"/>
    <w:rsid w:val="583F3207"/>
    <w:rsid w:val="58452DB9"/>
    <w:rsid w:val="5846017C"/>
    <w:rsid w:val="58484E27"/>
    <w:rsid w:val="58525C17"/>
    <w:rsid w:val="58592455"/>
    <w:rsid w:val="586815ED"/>
    <w:rsid w:val="586B3009"/>
    <w:rsid w:val="58775EED"/>
    <w:rsid w:val="58790B5B"/>
    <w:rsid w:val="588D7FDD"/>
    <w:rsid w:val="58924ECC"/>
    <w:rsid w:val="5895256C"/>
    <w:rsid w:val="58965AA7"/>
    <w:rsid w:val="589D4D39"/>
    <w:rsid w:val="58A34E0C"/>
    <w:rsid w:val="58AE31F5"/>
    <w:rsid w:val="58B60FB7"/>
    <w:rsid w:val="58BD1D42"/>
    <w:rsid w:val="58C04526"/>
    <w:rsid w:val="58C15643"/>
    <w:rsid w:val="58DE296B"/>
    <w:rsid w:val="58E05B85"/>
    <w:rsid w:val="58F9654F"/>
    <w:rsid w:val="58F979E8"/>
    <w:rsid w:val="58FB6C25"/>
    <w:rsid w:val="58FE08ED"/>
    <w:rsid w:val="59061DAE"/>
    <w:rsid w:val="5914669F"/>
    <w:rsid w:val="591557DB"/>
    <w:rsid w:val="591A5C30"/>
    <w:rsid w:val="591C4B79"/>
    <w:rsid w:val="59371CA9"/>
    <w:rsid w:val="593C5853"/>
    <w:rsid w:val="5940158A"/>
    <w:rsid w:val="594606CC"/>
    <w:rsid w:val="594B6D49"/>
    <w:rsid w:val="59697600"/>
    <w:rsid w:val="596C25D4"/>
    <w:rsid w:val="597028E6"/>
    <w:rsid w:val="597D38D7"/>
    <w:rsid w:val="59935094"/>
    <w:rsid w:val="5995496F"/>
    <w:rsid w:val="59A62A34"/>
    <w:rsid w:val="59AB1748"/>
    <w:rsid w:val="59B159CB"/>
    <w:rsid w:val="59B51848"/>
    <w:rsid w:val="59BC67AC"/>
    <w:rsid w:val="59C03938"/>
    <w:rsid w:val="59C811F1"/>
    <w:rsid w:val="59C83D69"/>
    <w:rsid w:val="59CB01B4"/>
    <w:rsid w:val="59CF1C3E"/>
    <w:rsid w:val="59D87B36"/>
    <w:rsid w:val="59E57113"/>
    <w:rsid w:val="59E91981"/>
    <w:rsid w:val="59F22823"/>
    <w:rsid w:val="59F42704"/>
    <w:rsid w:val="59FD1C88"/>
    <w:rsid w:val="5A02215A"/>
    <w:rsid w:val="5A0823EC"/>
    <w:rsid w:val="5A0B4999"/>
    <w:rsid w:val="5A1219E8"/>
    <w:rsid w:val="5A1601E1"/>
    <w:rsid w:val="5A1A2003"/>
    <w:rsid w:val="5A2534E2"/>
    <w:rsid w:val="5A272110"/>
    <w:rsid w:val="5A2F52ED"/>
    <w:rsid w:val="5A307C26"/>
    <w:rsid w:val="5A341010"/>
    <w:rsid w:val="5A3A1517"/>
    <w:rsid w:val="5A4D351E"/>
    <w:rsid w:val="5A507300"/>
    <w:rsid w:val="5A51154D"/>
    <w:rsid w:val="5A523957"/>
    <w:rsid w:val="5A532CC8"/>
    <w:rsid w:val="5A612789"/>
    <w:rsid w:val="5A6543C4"/>
    <w:rsid w:val="5A6E205B"/>
    <w:rsid w:val="5A7B2C70"/>
    <w:rsid w:val="5A7C2218"/>
    <w:rsid w:val="5A7C5822"/>
    <w:rsid w:val="5A847FE5"/>
    <w:rsid w:val="5A9B3B8F"/>
    <w:rsid w:val="5A9E6004"/>
    <w:rsid w:val="5AAB402B"/>
    <w:rsid w:val="5AAF46FD"/>
    <w:rsid w:val="5ABE401A"/>
    <w:rsid w:val="5AC526EE"/>
    <w:rsid w:val="5AD45224"/>
    <w:rsid w:val="5ADC6365"/>
    <w:rsid w:val="5B0A16D4"/>
    <w:rsid w:val="5B0B0FE2"/>
    <w:rsid w:val="5B1029A0"/>
    <w:rsid w:val="5B28216A"/>
    <w:rsid w:val="5B2B1ACA"/>
    <w:rsid w:val="5B33397C"/>
    <w:rsid w:val="5B356E68"/>
    <w:rsid w:val="5B43203B"/>
    <w:rsid w:val="5B4E4DA1"/>
    <w:rsid w:val="5B5335BE"/>
    <w:rsid w:val="5B6A6045"/>
    <w:rsid w:val="5B6C39BD"/>
    <w:rsid w:val="5B7B1E82"/>
    <w:rsid w:val="5B944D80"/>
    <w:rsid w:val="5B9509FD"/>
    <w:rsid w:val="5BAB4BEE"/>
    <w:rsid w:val="5BB47B97"/>
    <w:rsid w:val="5BB81EEF"/>
    <w:rsid w:val="5BC23198"/>
    <w:rsid w:val="5BC52C1C"/>
    <w:rsid w:val="5BCE2157"/>
    <w:rsid w:val="5BD2376F"/>
    <w:rsid w:val="5BEA66B7"/>
    <w:rsid w:val="5BEB4DCC"/>
    <w:rsid w:val="5C0042AF"/>
    <w:rsid w:val="5C021D5C"/>
    <w:rsid w:val="5C097E8B"/>
    <w:rsid w:val="5C0E448E"/>
    <w:rsid w:val="5C116FBD"/>
    <w:rsid w:val="5C18254C"/>
    <w:rsid w:val="5C1B2C25"/>
    <w:rsid w:val="5C1E0099"/>
    <w:rsid w:val="5C24204D"/>
    <w:rsid w:val="5C261AD7"/>
    <w:rsid w:val="5C2A4D2E"/>
    <w:rsid w:val="5C2E032C"/>
    <w:rsid w:val="5C317C76"/>
    <w:rsid w:val="5C35045C"/>
    <w:rsid w:val="5C3C5668"/>
    <w:rsid w:val="5C3C56AD"/>
    <w:rsid w:val="5C3D32DD"/>
    <w:rsid w:val="5C404666"/>
    <w:rsid w:val="5C422461"/>
    <w:rsid w:val="5C48686D"/>
    <w:rsid w:val="5C4F52A1"/>
    <w:rsid w:val="5C4F75E7"/>
    <w:rsid w:val="5C50319B"/>
    <w:rsid w:val="5C520197"/>
    <w:rsid w:val="5C5371DE"/>
    <w:rsid w:val="5C5F094C"/>
    <w:rsid w:val="5C603564"/>
    <w:rsid w:val="5C633837"/>
    <w:rsid w:val="5C6B674F"/>
    <w:rsid w:val="5C6F57DC"/>
    <w:rsid w:val="5C7E0DF8"/>
    <w:rsid w:val="5C7E39D8"/>
    <w:rsid w:val="5C8A31FF"/>
    <w:rsid w:val="5C9F55AA"/>
    <w:rsid w:val="5CA474D4"/>
    <w:rsid w:val="5CA84AC1"/>
    <w:rsid w:val="5CAC4293"/>
    <w:rsid w:val="5CB64B19"/>
    <w:rsid w:val="5CC22998"/>
    <w:rsid w:val="5CC829D4"/>
    <w:rsid w:val="5CD22245"/>
    <w:rsid w:val="5CD612EC"/>
    <w:rsid w:val="5CD620EF"/>
    <w:rsid w:val="5CD63CB1"/>
    <w:rsid w:val="5CE00BB1"/>
    <w:rsid w:val="5CE76E4E"/>
    <w:rsid w:val="5CE97CE3"/>
    <w:rsid w:val="5CF06B97"/>
    <w:rsid w:val="5CF85D55"/>
    <w:rsid w:val="5CFF2C7D"/>
    <w:rsid w:val="5D042519"/>
    <w:rsid w:val="5D10070C"/>
    <w:rsid w:val="5D1077A1"/>
    <w:rsid w:val="5D193562"/>
    <w:rsid w:val="5D232DD8"/>
    <w:rsid w:val="5D2360DD"/>
    <w:rsid w:val="5D360039"/>
    <w:rsid w:val="5D3A22F4"/>
    <w:rsid w:val="5D3D681F"/>
    <w:rsid w:val="5D421B63"/>
    <w:rsid w:val="5D467576"/>
    <w:rsid w:val="5D4B2525"/>
    <w:rsid w:val="5D543240"/>
    <w:rsid w:val="5D5434CB"/>
    <w:rsid w:val="5D5A25C6"/>
    <w:rsid w:val="5D697151"/>
    <w:rsid w:val="5D7070A0"/>
    <w:rsid w:val="5D7B2BAE"/>
    <w:rsid w:val="5D893541"/>
    <w:rsid w:val="5D8C28B4"/>
    <w:rsid w:val="5D9832F3"/>
    <w:rsid w:val="5D9934EC"/>
    <w:rsid w:val="5D9C1E54"/>
    <w:rsid w:val="5DAB1E9E"/>
    <w:rsid w:val="5DB53FF3"/>
    <w:rsid w:val="5DBC3F54"/>
    <w:rsid w:val="5DCA57DD"/>
    <w:rsid w:val="5DD74A14"/>
    <w:rsid w:val="5DDC2477"/>
    <w:rsid w:val="5DF11D42"/>
    <w:rsid w:val="5DFA2E17"/>
    <w:rsid w:val="5DFB0C01"/>
    <w:rsid w:val="5E006537"/>
    <w:rsid w:val="5E2374D1"/>
    <w:rsid w:val="5E401AFE"/>
    <w:rsid w:val="5E454E01"/>
    <w:rsid w:val="5E490493"/>
    <w:rsid w:val="5E4D4054"/>
    <w:rsid w:val="5E4F4CEC"/>
    <w:rsid w:val="5E517BBA"/>
    <w:rsid w:val="5E521705"/>
    <w:rsid w:val="5E656142"/>
    <w:rsid w:val="5E680B19"/>
    <w:rsid w:val="5E7334F8"/>
    <w:rsid w:val="5E7805FF"/>
    <w:rsid w:val="5E7859D6"/>
    <w:rsid w:val="5E842B6A"/>
    <w:rsid w:val="5E875A07"/>
    <w:rsid w:val="5E8C1E30"/>
    <w:rsid w:val="5E911FAC"/>
    <w:rsid w:val="5E92137B"/>
    <w:rsid w:val="5E9373FC"/>
    <w:rsid w:val="5EA67DEF"/>
    <w:rsid w:val="5EAA11B3"/>
    <w:rsid w:val="5EB95510"/>
    <w:rsid w:val="5EC57A3D"/>
    <w:rsid w:val="5ECB275F"/>
    <w:rsid w:val="5ECE2836"/>
    <w:rsid w:val="5EDB5813"/>
    <w:rsid w:val="5EEC409E"/>
    <w:rsid w:val="5EF2448C"/>
    <w:rsid w:val="5EF442F3"/>
    <w:rsid w:val="5F3A21FA"/>
    <w:rsid w:val="5F490636"/>
    <w:rsid w:val="5F4A6244"/>
    <w:rsid w:val="5F7D5743"/>
    <w:rsid w:val="5F810563"/>
    <w:rsid w:val="5F902061"/>
    <w:rsid w:val="5F91364B"/>
    <w:rsid w:val="5F942C15"/>
    <w:rsid w:val="5F983E67"/>
    <w:rsid w:val="5FA57B43"/>
    <w:rsid w:val="5FB560BB"/>
    <w:rsid w:val="5FB62CD8"/>
    <w:rsid w:val="5FC20790"/>
    <w:rsid w:val="5FC91DE9"/>
    <w:rsid w:val="5FCE57F6"/>
    <w:rsid w:val="5FD820A7"/>
    <w:rsid w:val="5FDF0C33"/>
    <w:rsid w:val="5FE25D83"/>
    <w:rsid w:val="5FEC3C05"/>
    <w:rsid w:val="5FF020A1"/>
    <w:rsid w:val="5FFC5DE4"/>
    <w:rsid w:val="60195F65"/>
    <w:rsid w:val="60200E33"/>
    <w:rsid w:val="6023016C"/>
    <w:rsid w:val="602924AC"/>
    <w:rsid w:val="602B5AAA"/>
    <w:rsid w:val="60334B2A"/>
    <w:rsid w:val="603E7B8A"/>
    <w:rsid w:val="60420933"/>
    <w:rsid w:val="6056292C"/>
    <w:rsid w:val="6063156C"/>
    <w:rsid w:val="606502AC"/>
    <w:rsid w:val="60660D11"/>
    <w:rsid w:val="606611B7"/>
    <w:rsid w:val="60687B01"/>
    <w:rsid w:val="606D5453"/>
    <w:rsid w:val="607044B9"/>
    <w:rsid w:val="6078579C"/>
    <w:rsid w:val="608159C3"/>
    <w:rsid w:val="60904724"/>
    <w:rsid w:val="60924935"/>
    <w:rsid w:val="60934023"/>
    <w:rsid w:val="60947BEA"/>
    <w:rsid w:val="609B6315"/>
    <w:rsid w:val="60AC169F"/>
    <w:rsid w:val="60AF0E29"/>
    <w:rsid w:val="60B43DFD"/>
    <w:rsid w:val="60B55179"/>
    <w:rsid w:val="60BF5745"/>
    <w:rsid w:val="60C47684"/>
    <w:rsid w:val="60C90EA4"/>
    <w:rsid w:val="60CA2396"/>
    <w:rsid w:val="60CF0514"/>
    <w:rsid w:val="60D07484"/>
    <w:rsid w:val="60D3569F"/>
    <w:rsid w:val="60D4537B"/>
    <w:rsid w:val="60E02B8F"/>
    <w:rsid w:val="60E92E1A"/>
    <w:rsid w:val="60ED6BA8"/>
    <w:rsid w:val="60F37DA9"/>
    <w:rsid w:val="60FA110C"/>
    <w:rsid w:val="60FA46E4"/>
    <w:rsid w:val="60FD3753"/>
    <w:rsid w:val="60FE00AF"/>
    <w:rsid w:val="60FE35D0"/>
    <w:rsid w:val="6101046D"/>
    <w:rsid w:val="61047EF9"/>
    <w:rsid w:val="61064296"/>
    <w:rsid w:val="610864CC"/>
    <w:rsid w:val="610958BB"/>
    <w:rsid w:val="611558FC"/>
    <w:rsid w:val="61164EEF"/>
    <w:rsid w:val="61176A85"/>
    <w:rsid w:val="611A697F"/>
    <w:rsid w:val="61206479"/>
    <w:rsid w:val="612143A4"/>
    <w:rsid w:val="61221695"/>
    <w:rsid w:val="6124184C"/>
    <w:rsid w:val="61254671"/>
    <w:rsid w:val="612E3337"/>
    <w:rsid w:val="61465E1A"/>
    <w:rsid w:val="614B5BCE"/>
    <w:rsid w:val="614D1495"/>
    <w:rsid w:val="614D2B5A"/>
    <w:rsid w:val="6155426A"/>
    <w:rsid w:val="615755AF"/>
    <w:rsid w:val="616C2054"/>
    <w:rsid w:val="616E3976"/>
    <w:rsid w:val="617D0D60"/>
    <w:rsid w:val="618563BE"/>
    <w:rsid w:val="61867017"/>
    <w:rsid w:val="618E1E6E"/>
    <w:rsid w:val="618F22FB"/>
    <w:rsid w:val="61B15149"/>
    <w:rsid w:val="61B16AF8"/>
    <w:rsid w:val="61B71C73"/>
    <w:rsid w:val="61C56900"/>
    <w:rsid w:val="61C73EC2"/>
    <w:rsid w:val="61D9528D"/>
    <w:rsid w:val="61DA6BBA"/>
    <w:rsid w:val="61E51E0F"/>
    <w:rsid w:val="61E852C9"/>
    <w:rsid w:val="61EE26FB"/>
    <w:rsid w:val="61EE28BD"/>
    <w:rsid w:val="61F0115C"/>
    <w:rsid w:val="62070260"/>
    <w:rsid w:val="6222428F"/>
    <w:rsid w:val="623328EA"/>
    <w:rsid w:val="62390C34"/>
    <w:rsid w:val="6239162C"/>
    <w:rsid w:val="623D4624"/>
    <w:rsid w:val="623D5E3F"/>
    <w:rsid w:val="6241252A"/>
    <w:rsid w:val="62464E95"/>
    <w:rsid w:val="62475095"/>
    <w:rsid w:val="625377EA"/>
    <w:rsid w:val="625D49CE"/>
    <w:rsid w:val="6260455B"/>
    <w:rsid w:val="626114D6"/>
    <w:rsid w:val="627E327C"/>
    <w:rsid w:val="628E6DF2"/>
    <w:rsid w:val="62971DFA"/>
    <w:rsid w:val="629963D8"/>
    <w:rsid w:val="62B3642B"/>
    <w:rsid w:val="62B91CB2"/>
    <w:rsid w:val="62E05F11"/>
    <w:rsid w:val="62F00E21"/>
    <w:rsid w:val="62F06C0E"/>
    <w:rsid w:val="62F571B6"/>
    <w:rsid w:val="62F91A8D"/>
    <w:rsid w:val="62FA0118"/>
    <w:rsid w:val="62FB5ADF"/>
    <w:rsid w:val="63016DD9"/>
    <w:rsid w:val="630B0513"/>
    <w:rsid w:val="630D5FB3"/>
    <w:rsid w:val="631D12C4"/>
    <w:rsid w:val="632F0EFF"/>
    <w:rsid w:val="633159CB"/>
    <w:rsid w:val="6332638D"/>
    <w:rsid w:val="633B2B0B"/>
    <w:rsid w:val="633E36D1"/>
    <w:rsid w:val="6343466C"/>
    <w:rsid w:val="634A145E"/>
    <w:rsid w:val="634E753F"/>
    <w:rsid w:val="63607ED4"/>
    <w:rsid w:val="636469BD"/>
    <w:rsid w:val="636A3942"/>
    <w:rsid w:val="636B5C5F"/>
    <w:rsid w:val="63716369"/>
    <w:rsid w:val="637919F5"/>
    <w:rsid w:val="637A710D"/>
    <w:rsid w:val="637D2E4D"/>
    <w:rsid w:val="63802ACC"/>
    <w:rsid w:val="6388225F"/>
    <w:rsid w:val="63B253E1"/>
    <w:rsid w:val="63D86821"/>
    <w:rsid w:val="63D8720B"/>
    <w:rsid w:val="63E02D15"/>
    <w:rsid w:val="63E0457C"/>
    <w:rsid w:val="63E25AFD"/>
    <w:rsid w:val="63F03B38"/>
    <w:rsid w:val="63F731A5"/>
    <w:rsid w:val="63FC766C"/>
    <w:rsid w:val="63FE2454"/>
    <w:rsid w:val="64022F76"/>
    <w:rsid w:val="64084173"/>
    <w:rsid w:val="641269AD"/>
    <w:rsid w:val="641C56F8"/>
    <w:rsid w:val="64231408"/>
    <w:rsid w:val="643A7824"/>
    <w:rsid w:val="64553AA4"/>
    <w:rsid w:val="64564ED9"/>
    <w:rsid w:val="645A5737"/>
    <w:rsid w:val="6467123E"/>
    <w:rsid w:val="64706790"/>
    <w:rsid w:val="64724898"/>
    <w:rsid w:val="647C3BBA"/>
    <w:rsid w:val="64805997"/>
    <w:rsid w:val="64823A3A"/>
    <w:rsid w:val="64855B2D"/>
    <w:rsid w:val="64867427"/>
    <w:rsid w:val="648976FB"/>
    <w:rsid w:val="648A2250"/>
    <w:rsid w:val="648B1491"/>
    <w:rsid w:val="648E1573"/>
    <w:rsid w:val="649A52C8"/>
    <w:rsid w:val="64B0747D"/>
    <w:rsid w:val="64B6071F"/>
    <w:rsid w:val="64BE2F18"/>
    <w:rsid w:val="64C03551"/>
    <w:rsid w:val="64C6530B"/>
    <w:rsid w:val="64D9451E"/>
    <w:rsid w:val="64DB77D5"/>
    <w:rsid w:val="64F31974"/>
    <w:rsid w:val="64FA5C63"/>
    <w:rsid w:val="6532464B"/>
    <w:rsid w:val="653A34E5"/>
    <w:rsid w:val="653C6B1D"/>
    <w:rsid w:val="65433415"/>
    <w:rsid w:val="65463750"/>
    <w:rsid w:val="654E3228"/>
    <w:rsid w:val="65537C6B"/>
    <w:rsid w:val="655C685E"/>
    <w:rsid w:val="656160AB"/>
    <w:rsid w:val="65622086"/>
    <w:rsid w:val="65644A63"/>
    <w:rsid w:val="656E3321"/>
    <w:rsid w:val="65757B8D"/>
    <w:rsid w:val="65764BA6"/>
    <w:rsid w:val="658E776E"/>
    <w:rsid w:val="65907AC2"/>
    <w:rsid w:val="65A62A91"/>
    <w:rsid w:val="65A8734A"/>
    <w:rsid w:val="65A9185C"/>
    <w:rsid w:val="65AB43EF"/>
    <w:rsid w:val="65B430CC"/>
    <w:rsid w:val="65CC6A3A"/>
    <w:rsid w:val="65DB0A99"/>
    <w:rsid w:val="65E919BF"/>
    <w:rsid w:val="65ED7EEF"/>
    <w:rsid w:val="65F46CFC"/>
    <w:rsid w:val="65F73BB4"/>
    <w:rsid w:val="660658FA"/>
    <w:rsid w:val="660B1805"/>
    <w:rsid w:val="660C035C"/>
    <w:rsid w:val="66190E3D"/>
    <w:rsid w:val="661C061C"/>
    <w:rsid w:val="6628673A"/>
    <w:rsid w:val="66300C32"/>
    <w:rsid w:val="6639596A"/>
    <w:rsid w:val="6644369D"/>
    <w:rsid w:val="66513A8B"/>
    <w:rsid w:val="66515333"/>
    <w:rsid w:val="66543F3A"/>
    <w:rsid w:val="6654755D"/>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C2655F"/>
    <w:rsid w:val="66D01D1D"/>
    <w:rsid w:val="66D20F68"/>
    <w:rsid w:val="66D6103F"/>
    <w:rsid w:val="66DC2051"/>
    <w:rsid w:val="66E77E06"/>
    <w:rsid w:val="66F861FA"/>
    <w:rsid w:val="670027A0"/>
    <w:rsid w:val="67050D51"/>
    <w:rsid w:val="670E178E"/>
    <w:rsid w:val="6717419C"/>
    <w:rsid w:val="67212735"/>
    <w:rsid w:val="673611CB"/>
    <w:rsid w:val="674A450B"/>
    <w:rsid w:val="674B4E59"/>
    <w:rsid w:val="675005EC"/>
    <w:rsid w:val="675E366D"/>
    <w:rsid w:val="67635837"/>
    <w:rsid w:val="67690F3D"/>
    <w:rsid w:val="676B3A7C"/>
    <w:rsid w:val="676D52AA"/>
    <w:rsid w:val="677011BD"/>
    <w:rsid w:val="6770452E"/>
    <w:rsid w:val="67750EBE"/>
    <w:rsid w:val="67816012"/>
    <w:rsid w:val="67842D1C"/>
    <w:rsid w:val="678C278B"/>
    <w:rsid w:val="67991948"/>
    <w:rsid w:val="67A850E1"/>
    <w:rsid w:val="67AB3E74"/>
    <w:rsid w:val="67B0438B"/>
    <w:rsid w:val="67B71656"/>
    <w:rsid w:val="67B723B3"/>
    <w:rsid w:val="67B743E8"/>
    <w:rsid w:val="67BD4993"/>
    <w:rsid w:val="67D74048"/>
    <w:rsid w:val="67E51F56"/>
    <w:rsid w:val="6802359C"/>
    <w:rsid w:val="68081463"/>
    <w:rsid w:val="680A257F"/>
    <w:rsid w:val="680E50C8"/>
    <w:rsid w:val="681541C3"/>
    <w:rsid w:val="681674DF"/>
    <w:rsid w:val="68373462"/>
    <w:rsid w:val="68447B3B"/>
    <w:rsid w:val="685C0FCA"/>
    <w:rsid w:val="68650F7D"/>
    <w:rsid w:val="68655BE3"/>
    <w:rsid w:val="686926D4"/>
    <w:rsid w:val="68774A50"/>
    <w:rsid w:val="68784EDA"/>
    <w:rsid w:val="687A62EB"/>
    <w:rsid w:val="687B4F8F"/>
    <w:rsid w:val="688C0135"/>
    <w:rsid w:val="688D57D8"/>
    <w:rsid w:val="6892047F"/>
    <w:rsid w:val="6897438E"/>
    <w:rsid w:val="68A27905"/>
    <w:rsid w:val="68A550D0"/>
    <w:rsid w:val="68A57A2E"/>
    <w:rsid w:val="68A7533D"/>
    <w:rsid w:val="68BD6779"/>
    <w:rsid w:val="68CE3102"/>
    <w:rsid w:val="68D015E0"/>
    <w:rsid w:val="68D33B58"/>
    <w:rsid w:val="68D824C6"/>
    <w:rsid w:val="68E31D7A"/>
    <w:rsid w:val="68E71448"/>
    <w:rsid w:val="68E92B61"/>
    <w:rsid w:val="68F308C4"/>
    <w:rsid w:val="68F51C33"/>
    <w:rsid w:val="68FE7853"/>
    <w:rsid w:val="68FF6668"/>
    <w:rsid w:val="6901117B"/>
    <w:rsid w:val="69052CE9"/>
    <w:rsid w:val="691D61F1"/>
    <w:rsid w:val="691E3879"/>
    <w:rsid w:val="69211467"/>
    <w:rsid w:val="69257A7E"/>
    <w:rsid w:val="69277662"/>
    <w:rsid w:val="69345F83"/>
    <w:rsid w:val="69392613"/>
    <w:rsid w:val="69392966"/>
    <w:rsid w:val="693C2B63"/>
    <w:rsid w:val="694E1147"/>
    <w:rsid w:val="69520D7A"/>
    <w:rsid w:val="69573B6E"/>
    <w:rsid w:val="696206D3"/>
    <w:rsid w:val="6967756D"/>
    <w:rsid w:val="6968644A"/>
    <w:rsid w:val="697011ED"/>
    <w:rsid w:val="699B6DC8"/>
    <w:rsid w:val="69A97058"/>
    <w:rsid w:val="69AB6F60"/>
    <w:rsid w:val="69C8002E"/>
    <w:rsid w:val="69D463F2"/>
    <w:rsid w:val="69D72910"/>
    <w:rsid w:val="69D94035"/>
    <w:rsid w:val="69DC26A6"/>
    <w:rsid w:val="69E37874"/>
    <w:rsid w:val="69E56B54"/>
    <w:rsid w:val="69E96708"/>
    <w:rsid w:val="69ED002E"/>
    <w:rsid w:val="69EE54CD"/>
    <w:rsid w:val="69F92613"/>
    <w:rsid w:val="69FB7CD4"/>
    <w:rsid w:val="69FD7CEA"/>
    <w:rsid w:val="6A0229E5"/>
    <w:rsid w:val="6A067F83"/>
    <w:rsid w:val="6A097E59"/>
    <w:rsid w:val="6A171AFC"/>
    <w:rsid w:val="6A227A57"/>
    <w:rsid w:val="6A2A2D01"/>
    <w:rsid w:val="6A3225D7"/>
    <w:rsid w:val="6A3B0B6C"/>
    <w:rsid w:val="6A470981"/>
    <w:rsid w:val="6A4747AF"/>
    <w:rsid w:val="6A49294B"/>
    <w:rsid w:val="6A562B91"/>
    <w:rsid w:val="6A57299A"/>
    <w:rsid w:val="6A697946"/>
    <w:rsid w:val="6A6D6854"/>
    <w:rsid w:val="6A700CED"/>
    <w:rsid w:val="6A7017D7"/>
    <w:rsid w:val="6AA235D3"/>
    <w:rsid w:val="6AB02B50"/>
    <w:rsid w:val="6ABB2ED0"/>
    <w:rsid w:val="6AC335C4"/>
    <w:rsid w:val="6ADD7DFD"/>
    <w:rsid w:val="6AE2135D"/>
    <w:rsid w:val="6AE77D3D"/>
    <w:rsid w:val="6AE93C28"/>
    <w:rsid w:val="6B036D80"/>
    <w:rsid w:val="6B160110"/>
    <w:rsid w:val="6B21434C"/>
    <w:rsid w:val="6B237C36"/>
    <w:rsid w:val="6B2C290C"/>
    <w:rsid w:val="6B33476F"/>
    <w:rsid w:val="6B352059"/>
    <w:rsid w:val="6B3B4CA2"/>
    <w:rsid w:val="6B4514F6"/>
    <w:rsid w:val="6B4A50C0"/>
    <w:rsid w:val="6B4D3CED"/>
    <w:rsid w:val="6B5C7011"/>
    <w:rsid w:val="6B6A2B7E"/>
    <w:rsid w:val="6B705893"/>
    <w:rsid w:val="6B7221D1"/>
    <w:rsid w:val="6B725A81"/>
    <w:rsid w:val="6B7F30F3"/>
    <w:rsid w:val="6B873558"/>
    <w:rsid w:val="6B92645D"/>
    <w:rsid w:val="6B94060D"/>
    <w:rsid w:val="6B973734"/>
    <w:rsid w:val="6B975967"/>
    <w:rsid w:val="6BBC0DCF"/>
    <w:rsid w:val="6BCA6179"/>
    <w:rsid w:val="6BD0777F"/>
    <w:rsid w:val="6BD619EE"/>
    <w:rsid w:val="6BEA64E2"/>
    <w:rsid w:val="6BFA7E30"/>
    <w:rsid w:val="6C016CAE"/>
    <w:rsid w:val="6C090252"/>
    <w:rsid w:val="6C0B7CD2"/>
    <w:rsid w:val="6C0D6AE8"/>
    <w:rsid w:val="6C100936"/>
    <w:rsid w:val="6C1962C3"/>
    <w:rsid w:val="6C1A6808"/>
    <w:rsid w:val="6C255AAD"/>
    <w:rsid w:val="6C2C5801"/>
    <w:rsid w:val="6C2D7320"/>
    <w:rsid w:val="6C2E3E73"/>
    <w:rsid w:val="6C3321F9"/>
    <w:rsid w:val="6C33267C"/>
    <w:rsid w:val="6C3D0F56"/>
    <w:rsid w:val="6C410CB8"/>
    <w:rsid w:val="6C452BDF"/>
    <w:rsid w:val="6C5E1CDD"/>
    <w:rsid w:val="6C660C8B"/>
    <w:rsid w:val="6C6A716D"/>
    <w:rsid w:val="6C71767A"/>
    <w:rsid w:val="6C7C1F44"/>
    <w:rsid w:val="6C827094"/>
    <w:rsid w:val="6C8559E0"/>
    <w:rsid w:val="6C8D26FB"/>
    <w:rsid w:val="6CC25213"/>
    <w:rsid w:val="6CD76A8F"/>
    <w:rsid w:val="6CE0702D"/>
    <w:rsid w:val="6CE83295"/>
    <w:rsid w:val="6CEE220B"/>
    <w:rsid w:val="6CEE246E"/>
    <w:rsid w:val="6CF27A30"/>
    <w:rsid w:val="6CF6067E"/>
    <w:rsid w:val="6D032BD4"/>
    <w:rsid w:val="6D0535EE"/>
    <w:rsid w:val="6D077405"/>
    <w:rsid w:val="6D0A3519"/>
    <w:rsid w:val="6D133D59"/>
    <w:rsid w:val="6D175B2B"/>
    <w:rsid w:val="6D264EC5"/>
    <w:rsid w:val="6D26662C"/>
    <w:rsid w:val="6D437763"/>
    <w:rsid w:val="6D671B76"/>
    <w:rsid w:val="6D6D28AF"/>
    <w:rsid w:val="6D771293"/>
    <w:rsid w:val="6D7D0954"/>
    <w:rsid w:val="6D876AB7"/>
    <w:rsid w:val="6D8F154F"/>
    <w:rsid w:val="6D9757D1"/>
    <w:rsid w:val="6D9C3974"/>
    <w:rsid w:val="6DA062EA"/>
    <w:rsid w:val="6DA65DBF"/>
    <w:rsid w:val="6DA76631"/>
    <w:rsid w:val="6DAF65CC"/>
    <w:rsid w:val="6DB157A2"/>
    <w:rsid w:val="6DB25F3D"/>
    <w:rsid w:val="6DC53FBD"/>
    <w:rsid w:val="6DC93FE2"/>
    <w:rsid w:val="6DCA77EA"/>
    <w:rsid w:val="6DD35114"/>
    <w:rsid w:val="6DDE35E8"/>
    <w:rsid w:val="6DE92FA2"/>
    <w:rsid w:val="6DEE0E7D"/>
    <w:rsid w:val="6DF574ED"/>
    <w:rsid w:val="6DF81839"/>
    <w:rsid w:val="6E0048DC"/>
    <w:rsid w:val="6E075019"/>
    <w:rsid w:val="6E0766A1"/>
    <w:rsid w:val="6E1419C0"/>
    <w:rsid w:val="6E166FE2"/>
    <w:rsid w:val="6E183FF4"/>
    <w:rsid w:val="6E1B11E5"/>
    <w:rsid w:val="6E1D151C"/>
    <w:rsid w:val="6E2E7D17"/>
    <w:rsid w:val="6E3323DD"/>
    <w:rsid w:val="6E3761D3"/>
    <w:rsid w:val="6E392DDA"/>
    <w:rsid w:val="6E3E2033"/>
    <w:rsid w:val="6E411943"/>
    <w:rsid w:val="6E440060"/>
    <w:rsid w:val="6E442CF5"/>
    <w:rsid w:val="6E54575C"/>
    <w:rsid w:val="6E5A2999"/>
    <w:rsid w:val="6E612C3F"/>
    <w:rsid w:val="6E6F6D88"/>
    <w:rsid w:val="6E702FE8"/>
    <w:rsid w:val="6E766C71"/>
    <w:rsid w:val="6E7926F7"/>
    <w:rsid w:val="6E7B110F"/>
    <w:rsid w:val="6E8A2A35"/>
    <w:rsid w:val="6EA04FAE"/>
    <w:rsid w:val="6EAA79ED"/>
    <w:rsid w:val="6ECD08F1"/>
    <w:rsid w:val="6EDF2531"/>
    <w:rsid w:val="6EEF6508"/>
    <w:rsid w:val="6EFF1809"/>
    <w:rsid w:val="6F1A60C4"/>
    <w:rsid w:val="6F231E41"/>
    <w:rsid w:val="6F244447"/>
    <w:rsid w:val="6F303DE1"/>
    <w:rsid w:val="6F331C81"/>
    <w:rsid w:val="6F331F52"/>
    <w:rsid w:val="6F362062"/>
    <w:rsid w:val="6F3C0797"/>
    <w:rsid w:val="6F4048CA"/>
    <w:rsid w:val="6F4713C5"/>
    <w:rsid w:val="6F4734D0"/>
    <w:rsid w:val="6F4B3953"/>
    <w:rsid w:val="6F555C91"/>
    <w:rsid w:val="6F603479"/>
    <w:rsid w:val="6F680494"/>
    <w:rsid w:val="6F6B5A9E"/>
    <w:rsid w:val="6F7A07E3"/>
    <w:rsid w:val="6F7D050B"/>
    <w:rsid w:val="6F8C33B0"/>
    <w:rsid w:val="6F8D5B36"/>
    <w:rsid w:val="6F953750"/>
    <w:rsid w:val="6FA10B29"/>
    <w:rsid w:val="6FAA2D8A"/>
    <w:rsid w:val="6FC02217"/>
    <w:rsid w:val="6FC60A07"/>
    <w:rsid w:val="6FC90F86"/>
    <w:rsid w:val="6FCE2BBA"/>
    <w:rsid w:val="6FDF40F5"/>
    <w:rsid w:val="6FE0165C"/>
    <w:rsid w:val="6FE05F95"/>
    <w:rsid w:val="6FF06B6B"/>
    <w:rsid w:val="6FF97C31"/>
    <w:rsid w:val="6FFC64FF"/>
    <w:rsid w:val="7001428F"/>
    <w:rsid w:val="70133236"/>
    <w:rsid w:val="70156307"/>
    <w:rsid w:val="701C590F"/>
    <w:rsid w:val="702033F7"/>
    <w:rsid w:val="70315D3B"/>
    <w:rsid w:val="703D58C4"/>
    <w:rsid w:val="70453D87"/>
    <w:rsid w:val="7055360F"/>
    <w:rsid w:val="70642BE6"/>
    <w:rsid w:val="706F497B"/>
    <w:rsid w:val="70724AB3"/>
    <w:rsid w:val="70916EF8"/>
    <w:rsid w:val="709261ED"/>
    <w:rsid w:val="70A02568"/>
    <w:rsid w:val="70C41020"/>
    <w:rsid w:val="70CF255C"/>
    <w:rsid w:val="70DC2C89"/>
    <w:rsid w:val="70DD743F"/>
    <w:rsid w:val="70E3150B"/>
    <w:rsid w:val="70E67B77"/>
    <w:rsid w:val="70F323B0"/>
    <w:rsid w:val="710221FA"/>
    <w:rsid w:val="710D3478"/>
    <w:rsid w:val="710F7585"/>
    <w:rsid w:val="711805A6"/>
    <w:rsid w:val="711A79AD"/>
    <w:rsid w:val="71217446"/>
    <w:rsid w:val="71224F32"/>
    <w:rsid w:val="7123463F"/>
    <w:rsid w:val="713B1ED6"/>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C51C8"/>
    <w:rsid w:val="71C37CE8"/>
    <w:rsid w:val="71C402EA"/>
    <w:rsid w:val="71D53676"/>
    <w:rsid w:val="71DA32B4"/>
    <w:rsid w:val="71E32E83"/>
    <w:rsid w:val="71F46D71"/>
    <w:rsid w:val="71F96411"/>
    <w:rsid w:val="71FA7506"/>
    <w:rsid w:val="722F766C"/>
    <w:rsid w:val="72385872"/>
    <w:rsid w:val="72451F4F"/>
    <w:rsid w:val="7247128C"/>
    <w:rsid w:val="72493E35"/>
    <w:rsid w:val="725B0CD8"/>
    <w:rsid w:val="7264361A"/>
    <w:rsid w:val="726822A9"/>
    <w:rsid w:val="726C3438"/>
    <w:rsid w:val="727367E8"/>
    <w:rsid w:val="727C5618"/>
    <w:rsid w:val="727F3E51"/>
    <w:rsid w:val="7287073E"/>
    <w:rsid w:val="7290542B"/>
    <w:rsid w:val="72917F17"/>
    <w:rsid w:val="72935E6A"/>
    <w:rsid w:val="729A7834"/>
    <w:rsid w:val="72A00661"/>
    <w:rsid w:val="72AF2463"/>
    <w:rsid w:val="72B06D9D"/>
    <w:rsid w:val="72B715E4"/>
    <w:rsid w:val="72C32F53"/>
    <w:rsid w:val="72C77A8A"/>
    <w:rsid w:val="72CB7C4C"/>
    <w:rsid w:val="72D86D20"/>
    <w:rsid w:val="72FE3E8E"/>
    <w:rsid w:val="731B711B"/>
    <w:rsid w:val="731C3ED2"/>
    <w:rsid w:val="731E5631"/>
    <w:rsid w:val="732B0C72"/>
    <w:rsid w:val="73330C63"/>
    <w:rsid w:val="733863E3"/>
    <w:rsid w:val="733A3332"/>
    <w:rsid w:val="733C1D9D"/>
    <w:rsid w:val="733E46B2"/>
    <w:rsid w:val="73597F33"/>
    <w:rsid w:val="7375490C"/>
    <w:rsid w:val="73757E63"/>
    <w:rsid w:val="737D2F4F"/>
    <w:rsid w:val="73900D21"/>
    <w:rsid w:val="739A7114"/>
    <w:rsid w:val="739F2349"/>
    <w:rsid w:val="739F6287"/>
    <w:rsid w:val="73A242CD"/>
    <w:rsid w:val="73AC333B"/>
    <w:rsid w:val="73B11DBC"/>
    <w:rsid w:val="73B1795C"/>
    <w:rsid w:val="73B51018"/>
    <w:rsid w:val="73C340B3"/>
    <w:rsid w:val="73C72DB3"/>
    <w:rsid w:val="73C854F0"/>
    <w:rsid w:val="73CE0B05"/>
    <w:rsid w:val="73D007EE"/>
    <w:rsid w:val="73D27A00"/>
    <w:rsid w:val="73D9581C"/>
    <w:rsid w:val="73DA2FBB"/>
    <w:rsid w:val="73DC2CAB"/>
    <w:rsid w:val="73DC5744"/>
    <w:rsid w:val="73E72CB9"/>
    <w:rsid w:val="741B5358"/>
    <w:rsid w:val="74202F12"/>
    <w:rsid w:val="742C093F"/>
    <w:rsid w:val="742F68DF"/>
    <w:rsid w:val="7435797F"/>
    <w:rsid w:val="744A0545"/>
    <w:rsid w:val="744F7C70"/>
    <w:rsid w:val="74521009"/>
    <w:rsid w:val="74632A31"/>
    <w:rsid w:val="7465205B"/>
    <w:rsid w:val="746954DB"/>
    <w:rsid w:val="74743C33"/>
    <w:rsid w:val="747640DF"/>
    <w:rsid w:val="747E6036"/>
    <w:rsid w:val="7482175B"/>
    <w:rsid w:val="74843F0D"/>
    <w:rsid w:val="74B37F42"/>
    <w:rsid w:val="74BA4FF9"/>
    <w:rsid w:val="74CA0770"/>
    <w:rsid w:val="74D52F3D"/>
    <w:rsid w:val="74D81528"/>
    <w:rsid w:val="74D96025"/>
    <w:rsid w:val="74DA07A2"/>
    <w:rsid w:val="74E1491C"/>
    <w:rsid w:val="74E67A31"/>
    <w:rsid w:val="74F61278"/>
    <w:rsid w:val="74F90505"/>
    <w:rsid w:val="74FC67D7"/>
    <w:rsid w:val="7501178C"/>
    <w:rsid w:val="75124563"/>
    <w:rsid w:val="751C2143"/>
    <w:rsid w:val="75295853"/>
    <w:rsid w:val="752D2921"/>
    <w:rsid w:val="752F2DAC"/>
    <w:rsid w:val="75631790"/>
    <w:rsid w:val="7566472C"/>
    <w:rsid w:val="756B1E1E"/>
    <w:rsid w:val="7578413D"/>
    <w:rsid w:val="757B64ED"/>
    <w:rsid w:val="757C232A"/>
    <w:rsid w:val="75851DCA"/>
    <w:rsid w:val="7599617F"/>
    <w:rsid w:val="759D7802"/>
    <w:rsid w:val="75A011FF"/>
    <w:rsid w:val="75A70E4F"/>
    <w:rsid w:val="75AA3F51"/>
    <w:rsid w:val="75B11420"/>
    <w:rsid w:val="75B263D3"/>
    <w:rsid w:val="75DC2372"/>
    <w:rsid w:val="75E16CC1"/>
    <w:rsid w:val="75F22E0F"/>
    <w:rsid w:val="760021B6"/>
    <w:rsid w:val="760950F4"/>
    <w:rsid w:val="76122AB3"/>
    <w:rsid w:val="76154B74"/>
    <w:rsid w:val="761C414A"/>
    <w:rsid w:val="76380CDC"/>
    <w:rsid w:val="76383420"/>
    <w:rsid w:val="76411431"/>
    <w:rsid w:val="7649562B"/>
    <w:rsid w:val="764F7C59"/>
    <w:rsid w:val="76536622"/>
    <w:rsid w:val="765566B4"/>
    <w:rsid w:val="766477E2"/>
    <w:rsid w:val="7668119A"/>
    <w:rsid w:val="766966D4"/>
    <w:rsid w:val="76894FB9"/>
    <w:rsid w:val="768C1EBA"/>
    <w:rsid w:val="769568F8"/>
    <w:rsid w:val="76993596"/>
    <w:rsid w:val="769F0134"/>
    <w:rsid w:val="76B14AAD"/>
    <w:rsid w:val="76C118A2"/>
    <w:rsid w:val="76C32B57"/>
    <w:rsid w:val="76CB0A63"/>
    <w:rsid w:val="76D25527"/>
    <w:rsid w:val="76D81970"/>
    <w:rsid w:val="76DD3810"/>
    <w:rsid w:val="76E451C7"/>
    <w:rsid w:val="76E472DD"/>
    <w:rsid w:val="76E8548D"/>
    <w:rsid w:val="76ED3B38"/>
    <w:rsid w:val="76F13EA7"/>
    <w:rsid w:val="76F14581"/>
    <w:rsid w:val="76F77BBD"/>
    <w:rsid w:val="76FD22EC"/>
    <w:rsid w:val="76FD6D57"/>
    <w:rsid w:val="77030B27"/>
    <w:rsid w:val="77041D95"/>
    <w:rsid w:val="7718408C"/>
    <w:rsid w:val="772527B2"/>
    <w:rsid w:val="772A6A8E"/>
    <w:rsid w:val="773B25F8"/>
    <w:rsid w:val="773D0C62"/>
    <w:rsid w:val="7743414C"/>
    <w:rsid w:val="774551B5"/>
    <w:rsid w:val="77523DCF"/>
    <w:rsid w:val="77606B3D"/>
    <w:rsid w:val="776870B9"/>
    <w:rsid w:val="776967FB"/>
    <w:rsid w:val="776D4583"/>
    <w:rsid w:val="7776540C"/>
    <w:rsid w:val="777A37E1"/>
    <w:rsid w:val="778100C2"/>
    <w:rsid w:val="77855EB4"/>
    <w:rsid w:val="779D35D8"/>
    <w:rsid w:val="77AA135C"/>
    <w:rsid w:val="77AB7E27"/>
    <w:rsid w:val="77AC14DA"/>
    <w:rsid w:val="77AD64CA"/>
    <w:rsid w:val="77AF3504"/>
    <w:rsid w:val="77B36F7C"/>
    <w:rsid w:val="77C926F0"/>
    <w:rsid w:val="77CA0362"/>
    <w:rsid w:val="77FC1B84"/>
    <w:rsid w:val="780752E6"/>
    <w:rsid w:val="78153F77"/>
    <w:rsid w:val="78185315"/>
    <w:rsid w:val="781C67FA"/>
    <w:rsid w:val="782378AE"/>
    <w:rsid w:val="78296DAC"/>
    <w:rsid w:val="783267CC"/>
    <w:rsid w:val="783E418B"/>
    <w:rsid w:val="783F1754"/>
    <w:rsid w:val="784E3C01"/>
    <w:rsid w:val="78570849"/>
    <w:rsid w:val="78617AF2"/>
    <w:rsid w:val="78626899"/>
    <w:rsid w:val="786421F2"/>
    <w:rsid w:val="786616B3"/>
    <w:rsid w:val="786E5D08"/>
    <w:rsid w:val="78812F7C"/>
    <w:rsid w:val="78A51B95"/>
    <w:rsid w:val="78AA6975"/>
    <w:rsid w:val="78C15B1C"/>
    <w:rsid w:val="78C359B3"/>
    <w:rsid w:val="78C9190A"/>
    <w:rsid w:val="78C97D4F"/>
    <w:rsid w:val="78CC0493"/>
    <w:rsid w:val="78EC2D52"/>
    <w:rsid w:val="78F5480C"/>
    <w:rsid w:val="79036E66"/>
    <w:rsid w:val="790B5E2B"/>
    <w:rsid w:val="790E47EA"/>
    <w:rsid w:val="790E548B"/>
    <w:rsid w:val="79104E2B"/>
    <w:rsid w:val="79135CA0"/>
    <w:rsid w:val="791A58CD"/>
    <w:rsid w:val="791F537B"/>
    <w:rsid w:val="79344437"/>
    <w:rsid w:val="79367982"/>
    <w:rsid w:val="793D5C2F"/>
    <w:rsid w:val="793F7F0E"/>
    <w:rsid w:val="794A336F"/>
    <w:rsid w:val="79537099"/>
    <w:rsid w:val="79552D08"/>
    <w:rsid w:val="795E7ED2"/>
    <w:rsid w:val="79672E22"/>
    <w:rsid w:val="79677010"/>
    <w:rsid w:val="797121AE"/>
    <w:rsid w:val="797E1825"/>
    <w:rsid w:val="79A7288D"/>
    <w:rsid w:val="79AA3C4E"/>
    <w:rsid w:val="79AE312A"/>
    <w:rsid w:val="79B3208C"/>
    <w:rsid w:val="79B70130"/>
    <w:rsid w:val="79BD5598"/>
    <w:rsid w:val="79CB0706"/>
    <w:rsid w:val="79CE66ED"/>
    <w:rsid w:val="79CF6E25"/>
    <w:rsid w:val="79D42664"/>
    <w:rsid w:val="79D51250"/>
    <w:rsid w:val="79DB4236"/>
    <w:rsid w:val="79E66C93"/>
    <w:rsid w:val="79F16E80"/>
    <w:rsid w:val="79F842C2"/>
    <w:rsid w:val="79FA0A29"/>
    <w:rsid w:val="79FC6E04"/>
    <w:rsid w:val="79FE2A4E"/>
    <w:rsid w:val="7A081D42"/>
    <w:rsid w:val="7A0A6E0F"/>
    <w:rsid w:val="7A0A7223"/>
    <w:rsid w:val="7A0C4EA7"/>
    <w:rsid w:val="7A12552F"/>
    <w:rsid w:val="7A1524DD"/>
    <w:rsid w:val="7A1A1772"/>
    <w:rsid w:val="7A1E1DC3"/>
    <w:rsid w:val="7A276994"/>
    <w:rsid w:val="7A3B034D"/>
    <w:rsid w:val="7A3F158B"/>
    <w:rsid w:val="7A4A132A"/>
    <w:rsid w:val="7A6736BC"/>
    <w:rsid w:val="7A6A7B3B"/>
    <w:rsid w:val="7A721F7E"/>
    <w:rsid w:val="7A746574"/>
    <w:rsid w:val="7A7678E5"/>
    <w:rsid w:val="7A7B24DD"/>
    <w:rsid w:val="7A7D2094"/>
    <w:rsid w:val="7A867241"/>
    <w:rsid w:val="7A876B11"/>
    <w:rsid w:val="7A88301C"/>
    <w:rsid w:val="7A963A48"/>
    <w:rsid w:val="7A9660A3"/>
    <w:rsid w:val="7A9861CB"/>
    <w:rsid w:val="7A986784"/>
    <w:rsid w:val="7ABB3E82"/>
    <w:rsid w:val="7AC3568E"/>
    <w:rsid w:val="7AD71052"/>
    <w:rsid w:val="7AD9797E"/>
    <w:rsid w:val="7ADE3DB2"/>
    <w:rsid w:val="7AEE60EE"/>
    <w:rsid w:val="7B0E060E"/>
    <w:rsid w:val="7B0F5219"/>
    <w:rsid w:val="7B177A77"/>
    <w:rsid w:val="7B193032"/>
    <w:rsid w:val="7B26484C"/>
    <w:rsid w:val="7B2B13FD"/>
    <w:rsid w:val="7B3339FA"/>
    <w:rsid w:val="7B346599"/>
    <w:rsid w:val="7B44094D"/>
    <w:rsid w:val="7B460BFD"/>
    <w:rsid w:val="7B4910BE"/>
    <w:rsid w:val="7B5E4EEC"/>
    <w:rsid w:val="7B674BD7"/>
    <w:rsid w:val="7B722498"/>
    <w:rsid w:val="7B782690"/>
    <w:rsid w:val="7B7F3966"/>
    <w:rsid w:val="7B80148D"/>
    <w:rsid w:val="7B821ADA"/>
    <w:rsid w:val="7B8F5DA2"/>
    <w:rsid w:val="7B926883"/>
    <w:rsid w:val="7BA4369C"/>
    <w:rsid w:val="7BA71440"/>
    <w:rsid w:val="7BAE696E"/>
    <w:rsid w:val="7BAF3C86"/>
    <w:rsid w:val="7BC23E12"/>
    <w:rsid w:val="7BC92A6F"/>
    <w:rsid w:val="7BD36780"/>
    <w:rsid w:val="7BD4048E"/>
    <w:rsid w:val="7BD968AC"/>
    <w:rsid w:val="7BDE524C"/>
    <w:rsid w:val="7BEA5E74"/>
    <w:rsid w:val="7BF9001B"/>
    <w:rsid w:val="7BFE0389"/>
    <w:rsid w:val="7BFE08FA"/>
    <w:rsid w:val="7C126AEB"/>
    <w:rsid w:val="7C1F2070"/>
    <w:rsid w:val="7C260105"/>
    <w:rsid w:val="7C2900A2"/>
    <w:rsid w:val="7C295D17"/>
    <w:rsid w:val="7C2A10CD"/>
    <w:rsid w:val="7C2D2AE7"/>
    <w:rsid w:val="7C4B681D"/>
    <w:rsid w:val="7C4C575E"/>
    <w:rsid w:val="7C640974"/>
    <w:rsid w:val="7C690B20"/>
    <w:rsid w:val="7C780AD5"/>
    <w:rsid w:val="7C7A14F2"/>
    <w:rsid w:val="7C7E2FFC"/>
    <w:rsid w:val="7C867154"/>
    <w:rsid w:val="7C9427B3"/>
    <w:rsid w:val="7C9E5A77"/>
    <w:rsid w:val="7CB74F4A"/>
    <w:rsid w:val="7CB80138"/>
    <w:rsid w:val="7CB838AF"/>
    <w:rsid w:val="7CBE6F50"/>
    <w:rsid w:val="7CC639C6"/>
    <w:rsid w:val="7CCC3CFE"/>
    <w:rsid w:val="7CCD12D3"/>
    <w:rsid w:val="7CD505D1"/>
    <w:rsid w:val="7CD6692A"/>
    <w:rsid w:val="7CE215AC"/>
    <w:rsid w:val="7CE25B4A"/>
    <w:rsid w:val="7CE3422B"/>
    <w:rsid w:val="7CE5443B"/>
    <w:rsid w:val="7CE76B7F"/>
    <w:rsid w:val="7CED09D9"/>
    <w:rsid w:val="7CF87323"/>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241A1"/>
    <w:rsid w:val="7D452B7F"/>
    <w:rsid w:val="7D526E71"/>
    <w:rsid w:val="7D532432"/>
    <w:rsid w:val="7D5A5BFC"/>
    <w:rsid w:val="7D6518EB"/>
    <w:rsid w:val="7D6B77B5"/>
    <w:rsid w:val="7D7371E1"/>
    <w:rsid w:val="7D74008A"/>
    <w:rsid w:val="7D7862CF"/>
    <w:rsid w:val="7D7A4E9D"/>
    <w:rsid w:val="7D7F0E79"/>
    <w:rsid w:val="7D851CFF"/>
    <w:rsid w:val="7DA65B7D"/>
    <w:rsid w:val="7DA86112"/>
    <w:rsid w:val="7DAE3829"/>
    <w:rsid w:val="7DB00509"/>
    <w:rsid w:val="7DB9268E"/>
    <w:rsid w:val="7DBF3388"/>
    <w:rsid w:val="7DC8040C"/>
    <w:rsid w:val="7DC85A3E"/>
    <w:rsid w:val="7DD03D33"/>
    <w:rsid w:val="7DD410E6"/>
    <w:rsid w:val="7DD603AD"/>
    <w:rsid w:val="7DD82F1A"/>
    <w:rsid w:val="7DDA1110"/>
    <w:rsid w:val="7DE020DC"/>
    <w:rsid w:val="7DE449CE"/>
    <w:rsid w:val="7DEC05A8"/>
    <w:rsid w:val="7DED1348"/>
    <w:rsid w:val="7DEE71DF"/>
    <w:rsid w:val="7DF66186"/>
    <w:rsid w:val="7E0A5EA4"/>
    <w:rsid w:val="7E0A72D5"/>
    <w:rsid w:val="7E0B3C08"/>
    <w:rsid w:val="7E1C2B95"/>
    <w:rsid w:val="7E1E3CF4"/>
    <w:rsid w:val="7E212526"/>
    <w:rsid w:val="7E262B03"/>
    <w:rsid w:val="7E2E765A"/>
    <w:rsid w:val="7E324C10"/>
    <w:rsid w:val="7E3B7336"/>
    <w:rsid w:val="7E3D35D7"/>
    <w:rsid w:val="7E466A84"/>
    <w:rsid w:val="7E472FFE"/>
    <w:rsid w:val="7E4A6379"/>
    <w:rsid w:val="7E5248E3"/>
    <w:rsid w:val="7E6854DB"/>
    <w:rsid w:val="7E6C43B3"/>
    <w:rsid w:val="7E77762F"/>
    <w:rsid w:val="7E793E63"/>
    <w:rsid w:val="7E7B1715"/>
    <w:rsid w:val="7E8031F2"/>
    <w:rsid w:val="7E860496"/>
    <w:rsid w:val="7E9611E7"/>
    <w:rsid w:val="7E9963F8"/>
    <w:rsid w:val="7E9D0633"/>
    <w:rsid w:val="7EA82B9C"/>
    <w:rsid w:val="7EB16AB6"/>
    <w:rsid w:val="7EBD651F"/>
    <w:rsid w:val="7EC07C28"/>
    <w:rsid w:val="7ECB3BBC"/>
    <w:rsid w:val="7ED83896"/>
    <w:rsid w:val="7EDC2729"/>
    <w:rsid w:val="7EE15DD1"/>
    <w:rsid w:val="7EEB46E8"/>
    <w:rsid w:val="7EF04016"/>
    <w:rsid w:val="7EFB200E"/>
    <w:rsid w:val="7EFF41BF"/>
    <w:rsid w:val="7F0126E4"/>
    <w:rsid w:val="7F013802"/>
    <w:rsid w:val="7F1A1324"/>
    <w:rsid w:val="7F1A4AEF"/>
    <w:rsid w:val="7F271E5F"/>
    <w:rsid w:val="7F29623C"/>
    <w:rsid w:val="7F2D4C74"/>
    <w:rsid w:val="7F341EAD"/>
    <w:rsid w:val="7F350A03"/>
    <w:rsid w:val="7F375587"/>
    <w:rsid w:val="7F3B2B2F"/>
    <w:rsid w:val="7F406D66"/>
    <w:rsid w:val="7F421AF0"/>
    <w:rsid w:val="7F516AFB"/>
    <w:rsid w:val="7F585C16"/>
    <w:rsid w:val="7F5B38C5"/>
    <w:rsid w:val="7F6566E6"/>
    <w:rsid w:val="7F6A7C64"/>
    <w:rsid w:val="7F6B0BA4"/>
    <w:rsid w:val="7F6E0CE1"/>
    <w:rsid w:val="7F6F6E86"/>
    <w:rsid w:val="7F8A3738"/>
    <w:rsid w:val="7F8B3191"/>
    <w:rsid w:val="7F8E4655"/>
    <w:rsid w:val="7F8E6809"/>
    <w:rsid w:val="7F987985"/>
    <w:rsid w:val="7F9E0C2E"/>
    <w:rsid w:val="7FAF35C9"/>
    <w:rsid w:val="7FB620B9"/>
    <w:rsid w:val="7FBE4780"/>
    <w:rsid w:val="7FC07CDA"/>
    <w:rsid w:val="7FD30895"/>
    <w:rsid w:val="7FEC34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2</TotalTime>
  <ScaleCrop>false</ScaleCrop>
  <LinksUpToDate>false</LinksUpToDate>
  <CharactersWithSpaces>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admin</cp:lastModifiedBy>
  <cp:lastPrinted>2024-02-21T02:50:03Z</cp:lastPrinted>
  <dcterms:modified xsi:type="dcterms:W3CDTF">2024-02-21T02:51:57Z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2AFE29251F2D47119EA111B2B617C6AF_13</vt:lpwstr>
  </property>
</Properties>
</file>