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宋体" w:cs="Times New Roman"/>
          <w:b/>
          <w:color w:val="FF0000"/>
          <w:spacing w:val="-119"/>
          <w:kern w:val="36"/>
          <w:sz w:val="144"/>
          <w:szCs w:val="144"/>
        </w:rPr>
      </w:pPr>
      <w:r>
        <w:rPr>
          <w:rFonts w:hint="default" w:ascii="Times New Roman" w:hAnsi="Times New Roman" w:eastAsia="经典行楷简" w:cs="Times New Roman"/>
          <w:b/>
          <w:color w:val="1F497D"/>
          <w:spacing w:val="-119"/>
          <w:kern w:val="36"/>
          <w:sz w:val="144"/>
          <w:szCs w:val="144"/>
          <w14:textFill>
            <w14:solidFill>
              <w14:srgbClr w14:val="1F497D">
                <w14:lumMod w14:val="60000"/>
                <w14:lumOff w14:val="40000"/>
              </w14:srgbClr>
            </w14:solidFill>
          </w14:textFill>
        </w:rPr>
        <w:t>江苏贸促周讯</w:t>
      </w:r>
    </w:p>
    <w:p>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0"/>
        <w:rPr>
          <w:rFonts w:hint="default" w:ascii="Times New Roman" w:hAnsi="Times New Roman" w:eastAsia="经典行楷简" w:cs="Times New Roman"/>
          <w:b w:val="0"/>
          <w:bCs/>
          <w:color w:val="2E75B6" w:themeColor="accent1" w:themeShade="BF"/>
          <w:kern w:val="36"/>
          <w:sz w:val="44"/>
          <w:szCs w:val="44"/>
        </w:rPr>
      </w:pPr>
      <w:r>
        <w:rPr>
          <w:rFonts w:hint="default" w:ascii="Times New Roman" w:hAnsi="Times New Roman" w:eastAsia="经典行楷简" w:cs="Times New Roman"/>
          <w:b w:val="0"/>
          <w:bCs/>
          <w:color w:val="2E75B6" w:themeColor="accent1" w:themeShade="BF"/>
          <w:kern w:val="36"/>
          <w:sz w:val="44"/>
          <w:szCs w:val="44"/>
        </w:rPr>
        <w:t>202</w:t>
      </w:r>
      <w:r>
        <w:rPr>
          <w:rFonts w:hint="default" w:ascii="Times New Roman" w:hAnsi="Times New Roman" w:eastAsia="经典行楷简" w:cs="Times New Roman"/>
          <w:b w:val="0"/>
          <w:bCs/>
          <w:color w:val="2E75B6" w:themeColor="accent1" w:themeShade="BF"/>
          <w:kern w:val="36"/>
          <w:sz w:val="44"/>
          <w:szCs w:val="44"/>
          <w:lang w:val="en-US" w:eastAsia="zh-CN"/>
        </w:rPr>
        <w:t>4</w:t>
      </w:r>
      <w:r>
        <w:rPr>
          <w:rFonts w:hint="default" w:ascii="Times New Roman" w:hAnsi="Times New Roman" w:eastAsia="经典行楷简" w:cs="Times New Roman"/>
          <w:b w:val="0"/>
          <w:bCs/>
          <w:color w:val="2E75B6" w:themeColor="accent1" w:themeShade="BF"/>
          <w:kern w:val="36"/>
          <w:sz w:val="44"/>
          <w:szCs w:val="44"/>
        </w:rPr>
        <w:t>年第</w:t>
      </w:r>
      <w:r>
        <w:rPr>
          <w:rFonts w:hint="eastAsia" w:ascii="Times New Roman" w:hAnsi="Times New Roman" w:eastAsia="经典行楷简" w:cs="Times New Roman"/>
          <w:b w:val="0"/>
          <w:bCs/>
          <w:color w:val="2E75B6" w:themeColor="accent1" w:themeShade="BF"/>
          <w:kern w:val="36"/>
          <w:sz w:val="44"/>
          <w:szCs w:val="44"/>
          <w:lang w:val="en-US" w:eastAsia="zh-CN"/>
        </w:rPr>
        <w:t>18</w:t>
      </w:r>
      <w:r>
        <w:rPr>
          <w:rFonts w:hint="default" w:ascii="Times New Roman" w:hAnsi="Times New Roman" w:eastAsia="经典行楷简" w:cs="Times New Roman"/>
          <w:b w:val="0"/>
          <w:bCs/>
          <w:color w:val="2E75B6" w:themeColor="accent1" w:themeShade="BF"/>
          <w:kern w:val="36"/>
          <w:sz w:val="44"/>
          <w:szCs w:val="44"/>
        </w:rPr>
        <w:t>期</w:t>
      </w:r>
    </w:p>
    <w:p>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0"/>
        <w:rPr>
          <w:rFonts w:hint="default" w:ascii="Times New Roman" w:hAnsi="Times New Roman" w:eastAsia="经典行楷简" w:cs="Times New Roman"/>
          <w:b w:val="0"/>
          <w:bCs/>
          <w:color w:val="2E75B5" w:themeColor="accent1" w:themeShade="BF"/>
          <w:kern w:val="36"/>
          <w:sz w:val="44"/>
          <w:szCs w:val="44"/>
          <w:lang w:eastAsia="zh-CN"/>
          <w14:textFill>
            <w14:gradFill>
              <w14:gsLst>
                <w14:gs w14:pos="0">
                  <w14:srgbClr w14:val="FE4444"/>
                </w14:gs>
                <w14:gs w14:pos="100000">
                  <w14:srgbClr w14:val="832B2B"/>
                </w14:gs>
              </w14:gsLst>
              <w14:lin w14:scaled="0"/>
            </w14:gradFill>
          </w14:textFill>
        </w:rPr>
      </w:pPr>
      <w:r>
        <w:rPr>
          <w:rFonts w:hint="default" w:ascii="Times New Roman" w:hAnsi="Times New Roman" w:eastAsia="经典行楷简" w:cs="Times New Roman"/>
          <w:b w:val="0"/>
          <w:bCs/>
          <w:color w:val="2E75B5" w:themeColor="accent1" w:themeShade="BF"/>
          <w:kern w:val="36"/>
          <w:sz w:val="44"/>
          <w:szCs w:val="44"/>
          <w:lang w:eastAsia="zh-CN"/>
          <w14:textFill>
            <w14:gradFill>
              <w14:gsLst>
                <w14:gs w14:pos="0">
                  <w14:srgbClr w14:val="FE4444"/>
                </w14:gs>
                <w14:gs w14:pos="100000">
                  <w14:srgbClr w14:val="832B2B"/>
                </w14:gs>
              </w14:gsLst>
              <w14:lin w14:scaled="0"/>
            </w14:gradFill>
          </w14:textFill>
        </w:rPr>
        <w:t>（</w:t>
      </w:r>
      <w:r>
        <w:rPr>
          <w:rFonts w:hint="default" w:ascii="Times New Roman" w:hAnsi="Times New Roman" w:eastAsia="经典行楷简" w:cs="Times New Roman"/>
          <w:b w:val="0"/>
          <w:bCs/>
          <w:color w:val="2E75B5" w:themeColor="accent1" w:themeShade="BF"/>
          <w:kern w:val="36"/>
          <w:sz w:val="44"/>
          <w:szCs w:val="44"/>
          <w14:textFill>
            <w14:gradFill>
              <w14:gsLst>
                <w14:gs w14:pos="0">
                  <w14:srgbClr w14:val="FE4444"/>
                </w14:gs>
                <w14:gs w14:pos="100000">
                  <w14:srgbClr w14:val="832B2B"/>
                </w14:gs>
              </w14:gsLst>
              <w14:lin w14:scaled="0"/>
            </w14:gradFill>
          </w14:textFill>
        </w:rPr>
        <w:t>总第</w:t>
      </w:r>
      <w:r>
        <w:rPr>
          <w:rFonts w:hint="default" w:ascii="Times New Roman" w:hAnsi="Times New Roman" w:eastAsia="经典行楷简" w:cs="Times New Roman"/>
          <w:b w:val="0"/>
          <w:bCs/>
          <w:color w:val="2E75B5" w:themeColor="accent1" w:themeShade="BF"/>
          <w:kern w:val="36"/>
          <w:sz w:val="44"/>
          <w:szCs w:val="44"/>
          <w:lang w:val="en-US" w:eastAsia="zh-CN"/>
          <w14:textFill>
            <w14:gradFill>
              <w14:gsLst>
                <w14:gs w14:pos="0">
                  <w14:srgbClr w14:val="FE4444"/>
                </w14:gs>
                <w14:gs w14:pos="100000">
                  <w14:srgbClr w14:val="832B2B"/>
                </w14:gs>
              </w14:gsLst>
              <w14:lin w14:scaled="0"/>
            </w14:gradFill>
          </w14:textFill>
        </w:rPr>
        <w:t>2</w:t>
      </w:r>
      <w:r>
        <w:rPr>
          <w:rFonts w:hint="eastAsia" w:ascii="Times New Roman" w:hAnsi="Times New Roman" w:eastAsia="经典行楷简" w:cs="Times New Roman"/>
          <w:b w:val="0"/>
          <w:bCs/>
          <w:color w:val="2E75B5" w:themeColor="accent1" w:themeShade="BF"/>
          <w:kern w:val="36"/>
          <w:sz w:val="44"/>
          <w:szCs w:val="44"/>
          <w:lang w:val="en-US" w:eastAsia="zh-CN"/>
          <w14:textFill>
            <w14:gradFill>
              <w14:gsLst>
                <w14:gs w14:pos="0">
                  <w14:srgbClr w14:val="FE4444"/>
                </w14:gs>
                <w14:gs w14:pos="100000">
                  <w14:srgbClr w14:val="832B2B"/>
                </w14:gs>
              </w14:gsLst>
              <w14:lin w14:scaled="0"/>
            </w14:gradFill>
          </w14:textFill>
        </w:rPr>
        <w:t>64</w:t>
      </w:r>
      <w:r>
        <w:rPr>
          <w:rFonts w:hint="default" w:ascii="Times New Roman" w:hAnsi="Times New Roman" w:eastAsia="经典行楷简" w:cs="Times New Roman"/>
          <w:b w:val="0"/>
          <w:bCs/>
          <w:color w:val="2E75B5" w:themeColor="accent1" w:themeShade="BF"/>
          <w:kern w:val="36"/>
          <w:sz w:val="44"/>
          <w:szCs w:val="44"/>
          <w14:textFill>
            <w14:gradFill>
              <w14:gsLst>
                <w14:gs w14:pos="0">
                  <w14:srgbClr w14:val="FE4444"/>
                </w14:gs>
                <w14:gs w14:pos="100000">
                  <w14:srgbClr w14:val="832B2B"/>
                </w14:gs>
              </w14:gsLst>
              <w14:lin w14:scaled="0"/>
            </w14:gradFill>
          </w14:textFill>
        </w:rPr>
        <w:t>期</w:t>
      </w:r>
      <w:r>
        <w:rPr>
          <w:rFonts w:hint="default" w:ascii="Times New Roman" w:hAnsi="Times New Roman" w:eastAsia="经典行楷简" w:cs="Times New Roman"/>
          <w:b w:val="0"/>
          <w:bCs/>
          <w:color w:val="2E75B5" w:themeColor="accent1" w:themeShade="BF"/>
          <w:kern w:val="36"/>
          <w:sz w:val="44"/>
          <w:szCs w:val="44"/>
          <w:lang w:eastAsia="zh-CN"/>
          <w14:textFill>
            <w14:gradFill>
              <w14:gsLst>
                <w14:gs w14:pos="0">
                  <w14:srgbClr w14:val="FE4444"/>
                </w14:gs>
                <w14:gs w14:pos="100000">
                  <w14:srgbClr w14:val="832B2B"/>
                </w14:gs>
              </w14:gsLst>
              <w14:lin w14:scaled="0"/>
            </w14:gradFill>
          </w14:textFill>
        </w:rPr>
        <w:t>）</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528" w:firstLineChars="200"/>
        <w:jc w:val="both"/>
        <w:textAlignment w:val="auto"/>
        <w:outlineLvl w:val="1"/>
        <w:rPr>
          <w:rFonts w:hint="default" w:ascii="Times New Roman" w:hAnsi="Times New Roman" w:eastAsia="方正楷体_GBK" w:cs="Times New Roman"/>
          <w:b w:val="0"/>
          <w:bCs/>
          <w:color w:val="000000"/>
          <w:kern w:val="36"/>
          <w:sz w:val="36"/>
          <w:szCs w:val="36"/>
          <w:highlight w:val="none"/>
        </w:rPr>
      </w:pPr>
      <w:r>
        <w:rPr>
          <w:rFonts w:hint="default" w:ascii="Times New Roman" w:hAnsi="Times New Roman" w:eastAsia="方正黑体_GBK" w:cs="Times New Roman"/>
          <w:b w:val="0"/>
          <w:bCs/>
          <w:color w:val="1F497D"/>
          <w:kern w:val="36"/>
          <w:sz w:val="28"/>
          <w:szCs w:val="28"/>
          <w:highlight w:val="none"/>
          <w14:textFill>
            <w14:solidFill>
              <w14:srgbClr w14:val="1F497D">
                <w14:lumMod w14:val="60000"/>
                <w14:lumOff w14:val="40000"/>
              </w14:srgbClr>
            </w14:solidFill>
          </w14:textFill>
        </w:rPr>
        <w:t>江苏省贸促会发展研究部</w:t>
      </w:r>
      <w:r>
        <w:rPr>
          <w:rFonts w:hint="default" w:ascii="Times New Roman" w:hAnsi="Times New Roman" w:eastAsia="宋体" w:cs="Times New Roman"/>
          <w:b/>
          <w:color w:val="00B0F0"/>
          <w:kern w:val="36"/>
          <w:sz w:val="28"/>
          <w:szCs w:val="28"/>
          <w:highlight w:val="none"/>
        </w:rPr>
        <w:t xml:space="preserve"> </w:t>
      </w:r>
      <w:r>
        <w:rPr>
          <w:rFonts w:hint="default" w:ascii="Times New Roman" w:hAnsi="Times New Roman" w:eastAsia="宋体" w:cs="Times New Roman"/>
          <w:b/>
          <w:color w:val="000000"/>
          <w:kern w:val="36"/>
          <w:sz w:val="36"/>
          <w:szCs w:val="36"/>
          <w:highlight w:val="none"/>
        </w:rPr>
        <w:t xml:space="preserve">        </w:t>
      </w:r>
      <w:r>
        <w:rPr>
          <w:rFonts w:hint="default" w:ascii="Times New Roman" w:hAnsi="Times New Roman" w:eastAsia="方正楷体_GBK" w:cs="Times New Roman"/>
          <w:b w:val="0"/>
          <w:bCs/>
          <w:color w:val="000000"/>
          <w:kern w:val="36"/>
          <w:sz w:val="36"/>
          <w:szCs w:val="36"/>
          <w:highlight w:val="none"/>
        </w:rPr>
        <w:t xml:space="preserve"> </w:t>
      </w:r>
      <w:r>
        <w:rPr>
          <w:rFonts w:hint="default" w:ascii="Times New Roman" w:hAnsi="Times New Roman" w:eastAsia="方正楷体_GBK" w:cs="Times New Roman"/>
          <w:b w:val="0"/>
          <w:bCs/>
          <w:color w:val="000000"/>
          <w:kern w:val="36"/>
          <w:sz w:val="36"/>
          <w:szCs w:val="36"/>
          <w:highlight w:val="none"/>
          <w:lang w:val="en-US"/>
        </w:rPr>
        <w:t xml:space="preserve">     </w:t>
      </w:r>
      <w:r>
        <w:rPr>
          <w:rFonts w:hint="default" w:ascii="Times New Roman" w:hAnsi="Times New Roman" w:eastAsia="方正楷体_GBK" w:cs="Times New Roman"/>
          <w:b w:val="0"/>
          <w:bCs/>
          <w:color w:val="000000"/>
          <w:kern w:val="36"/>
          <w:sz w:val="32"/>
          <w:szCs w:val="32"/>
          <w:highlight w:val="none"/>
          <w:lang w:val="en-US"/>
        </w:rPr>
        <w:t xml:space="preserve"> </w:t>
      </w:r>
      <w:r>
        <w:rPr>
          <w:rFonts w:hint="default" w:ascii="Times New Roman" w:hAnsi="Times New Roman" w:eastAsia="方正楷体_GBK" w:cs="Times New Roman"/>
          <w:b w:val="0"/>
          <w:bCs/>
          <w:color w:val="000000"/>
          <w:kern w:val="36"/>
          <w:sz w:val="32"/>
          <w:szCs w:val="32"/>
          <w:highlight w:val="none"/>
        </w:rPr>
        <w:t>202</w:t>
      </w:r>
      <w:r>
        <w:rPr>
          <w:rFonts w:hint="default" w:ascii="Times New Roman" w:hAnsi="Times New Roman" w:eastAsia="方正楷体_GBK" w:cs="Times New Roman"/>
          <w:b w:val="0"/>
          <w:bCs/>
          <w:color w:val="000000"/>
          <w:kern w:val="36"/>
          <w:sz w:val="32"/>
          <w:szCs w:val="32"/>
          <w:highlight w:val="none"/>
          <w:lang w:val="en-US" w:eastAsia="zh-CN"/>
        </w:rPr>
        <w:t>4</w:t>
      </w:r>
      <w:r>
        <w:rPr>
          <w:rFonts w:hint="default" w:ascii="Times New Roman" w:hAnsi="Times New Roman" w:eastAsia="方正楷体_GBK" w:cs="Times New Roman"/>
          <w:b w:val="0"/>
          <w:bCs/>
          <w:color w:val="000000"/>
          <w:kern w:val="36"/>
          <w:sz w:val="32"/>
          <w:szCs w:val="32"/>
          <w:highlight w:val="none"/>
        </w:rPr>
        <w:t>年</w:t>
      </w:r>
      <w:r>
        <w:rPr>
          <w:rFonts w:hint="eastAsia" w:ascii="Times New Roman" w:hAnsi="Times New Roman" w:eastAsia="方正楷体_GBK" w:cs="Times New Roman"/>
          <w:b w:val="0"/>
          <w:bCs/>
          <w:color w:val="000000"/>
          <w:kern w:val="36"/>
          <w:sz w:val="32"/>
          <w:szCs w:val="32"/>
          <w:highlight w:val="none"/>
          <w:lang w:val="en-US" w:eastAsia="zh-CN"/>
        </w:rPr>
        <w:t>5</w:t>
      </w:r>
      <w:r>
        <w:rPr>
          <w:rFonts w:hint="default" w:ascii="Times New Roman" w:hAnsi="Times New Roman" w:eastAsia="方正楷体_GBK" w:cs="Times New Roman"/>
          <w:b w:val="0"/>
          <w:bCs/>
          <w:color w:val="000000"/>
          <w:kern w:val="36"/>
          <w:sz w:val="32"/>
          <w:szCs w:val="32"/>
          <w:highlight w:val="none"/>
        </w:rPr>
        <w:t>月</w:t>
      </w:r>
      <w:r>
        <w:rPr>
          <w:rFonts w:hint="eastAsia" w:ascii="Times New Roman" w:hAnsi="Times New Roman" w:eastAsia="方正楷体_GBK" w:cs="Times New Roman"/>
          <w:b w:val="0"/>
          <w:bCs/>
          <w:color w:val="000000"/>
          <w:kern w:val="36"/>
          <w:sz w:val="32"/>
          <w:szCs w:val="32"/>
          <w:highlight w:val="none"/>
          <w:lang w:val="en-US" w:eastAsia="zh-CN"/>
        </w:rPr>
        <w:t>6</w:t>
      </w:r>
      <w:r>
        <w:rPr>
          <w:rFonts w:hint="default" w:ascii="Times New Roman" w:hAnsi="Times New Roman" w:eastAsia="方正楷体_GBK" w:cs="Times New Roman"/>
          <w:b w:val="0"/>
          <w:bCs/>
          <w:color w:val="000000"/>
          <w:kern w:val="36"/>
          <w:sz w:val="32"/>
          <w:szCs w:val="32"/>
          <w:highlight w:val="none"/>
        </w:rPr>
        <w:t>日</w:t>
      </w:r>
    </w:p>
    <w:p>
      <w:pPr>
        <w:keepNext w:val="0"/>
        <w:keepLines w:val="0"/>
        <w:pageBreakBefore w:val="0"/>
        <w:widowControl/>
        <w:shd w:val="clear" w:color="auto" w:fill="FFFFFF"/>
        <w:kinsoku/>
        <w:wordWrap/>
        <w:overflowPunct/>
        <w:topLinePunct w:val="0"/>
        <w:autoSpaceDE/>
        <w:autoSpaceDN/>
        <w:bidi w:val="0"/>
        <w:adjustRightInd/>
        <w:snapToGrid/>
        <w:spacing w:before="435" w:beforeLines="150" w:after="210" w:line="240" w:lineRule="auto"/>
        <w:ind w:firstLine="424" w:firstLineChars="100"/>
        <w:jc w:val="both"/>
        <w:textAlignment w:val="auto"/>
        <w:outlineLvl w:val="1"/>
        <w:rPr>
          <w:rFonts w:hint="default" w:ascii="Times New Roman" w:hAnsi="Times New Roman" w:eastAsia="方正黑体_GBK" w:cs="Times New Roman"/>
          <w:b w:val="0"/>
          <w:bCs/>
          <w:color w:val="000000"/>
          <w:kern w:val="36"/>
          <w:sz w:val="44"/>
          <w:szCs w:val="44"/>
          <w:lang w:val="en-US" w:eastAsia="zh-CN"/>
        </w:rPr>
      </w:pPr>
      <w:r>
        <w:rPr>
          <w:rFonts w:hint="default" w:ascii="Times New Roman" w:hAnsi="Times New Roman" w:eastAsia="方正黑体_GBK" w:cs="Times New Roman"/>
          <w:b w:val="0"/>
          <w:bCs/>
          <w:color w:val="000000"/>
          <w:kern w:val="36"/>
          <w:sz w:val="44"/>
          <w:szCs w:val="44"/>
        </w:rPr>
        <w:t>目录</w:t>
      </w:r>
      <w:r>
        <w:rPr>
          <w:rFonts w:hint="default" w:ascii="Times New Roman" w:hAnsi="Times New Roman" w:eastAsia="方正黑体_GBK" w:cs="Times New Roman"/>
          <w:b w:val="0"/>
          <w:bCs/>
          <w:color w:val="000000"/>
          <w:kern w:val="36"/>
          <w:sz w:val="28"/>
          <w:szCs w:val="28"/>
          <w:lang w:val="en-US"/>
        </w:rPr>
        <w:t>CONTENTS</w:t>
      </w:r>
      <w:r>
        <w:rPr>
          <w:rFonts w:hint="default" w:ascii="Times New Roman" w:hAnsi="Times New Roman" w:eastAsia="方正黑体_GBK" w:cs="Times New Roman"/>
          <w:b w:val="0"/>
          <w:bCs/>
          <w:color w:val="000000"/>
          <w:kern w:val="36"/>
          <w:sz w:val="32"/>
          <w:szCs w:val="32"/>
          <w:lang w:val="en-US"/>
        </w:rPr>
        <w:t xml:space="preserve">  </w:t>
      </w:r>
      <w:r>
        <w:rPr>
          <w:rFonts w:hint="default" w:ascii="Times New Roman" w:hAnsi="Times New Roman" w:eastAsia="方正黑体_GBK" w:cs="Times New Roman"/>
          <w:b w:val="0"/>
          <w:bCs/>
          <w:color w:val="000000"/>
          <w:kern w:val="36"/>
          <w:sz w:val="24"/>
          <w:szCs w:val="24"/>
          <w:lang w:val="en-US" w:eastAsia="zh-CN"/>
        </w:rPr>
        <w:t>——————————————内部资料 免费赠阅</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28" w:firstLineChars="200"/>
        <w:contextualSpacing/>
        <w:jc w:val="left"/>
        <w:textAlignment w:val="auto"/>
        <w:outlineLvl w:val="1"/>
        <w:rPr>
          <w:rFonts w:hint="default" w:ascii="Times New Roman" w:hAnsi="Times New Roman" w:eastAsia="宋体" w:cs="Times New Roman"/>
          <w:b/>
          <w:color w:val="1F497D"/>
          <w:kern w:val="36"/>
          <w:sz w:val="28"/>
          <w:szCs w:val="28"/>
          <w:lang w:val="en-US" w:eastAsia="zh-CN"/>
          <w14:textFill>
            <w14:solidFill>
              <w14:srgbClr w14:val="1F497D">
                <w14:lumMod w14:val="60000"/>
                <w14:lumOff w14:val="40000"/>
              </w14:srgbClr>
            </w14:solidFill>
          </w14:textFill>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28" w:firstLineChars="200"/>
        <w:contextualSpacing/>
        <w:jc w:val="left"/>
        <w:textAlignment w:val="auto"/>
        <w:outlineLvl w:val="1"/>
        <w:rPr>
          <w:rFonts w:hint="default" w:ascii="Times New Roman" w:hAnsi="Times New Roman" w:eastAsia="宋体" w:cs="Times New Roman"/>
          <w:b/>
          <w:color w:val="FF0000"/>
          <w:kern w:val="36"/>
          <w:sz w:val="24"/>
          <w:szCs w:val="24"/>
          <w:lang w:val="en-US" w:eastAsia="zh-CN"/>
        </w:rPr>
      </w:pPr>
      <w:r>
        <w:rPr>
          <w:rFonts w:hint="default" w:ascii="Times New Roman" w:hAnsi="Times New Roman" w:eastAsia="宋体" w:cs="Times New Roman"/>
          <w:b/>
          <w:color w:val="1F497D"/>
          <w:kern w:val="36"/>
          <w:sz w:val="28"/>
          <w:szCs w:val="28"/>
          <w:lang w:val="en-US" w:eastAsia="zh-CN"/>
          <w14:textFill>
            <w14:solidFill>
              <w14:srgbClr w14:val="1F497D">
                <w14:lumMod w14:val="60000"/>
                <w14:lumOff w14:val="40000"/>
              </w14:srgbClr>
            </w14:solidFill>
          </w14:textFill>
        </w:rPr>
        <w:t xml:space="preserve">• </w:t>
      </w:r>
      <w:r>
        <w:rPr>
          <w:rFonts w:hint="default" w:ascii="Times New Roman" w:hAnsi="Times New Roman" w:eastAsia="方正黑体_GBK" w:cs="Times New Roman"/>
          <w:b/>
          <w:color w:val="1F497D"/>
          <w:kern w:val="36"/>
          <w:sz w:val="32"/>
          <w:szCs w:val="32"/>
          <w:lang w:val="en-US" w:eastAsia="zh-CN"/>
          <w14:textFill>
            <w14:solidFill>
              <w14:srgbClr w14:val="1F497D">
                <w14:lumMod w14:val="60000"/>
                <w14:lumOff w14:val="40000"/>
              </w14:srgbClr>
            </w14:solidFill>
          </w14:textFill>
        </w:rPr>
        <w:t xml:space="preserve">全球市场资讯 </w:t>
      </w:r>
      <w:r>
        <w:rPr>
          <w:rFonts w:hint="default" w:ascii="Times New Roman" w:hAnsi="Times New Roman" w:eastAsia="宋体" w:cs="Times New Roman"/>
          <w:b/>
          <w:color w:val="1F497D"/>
          <w:kern w:val="36"/>
          <w:sz w:val="28"/>
          <w:szCs w:val="28"/>
          <w:lang w:val="en-US" w:eastAsia="zh-CN"/>
          <w14:textFill>
            <w14:solidFill>
              <w14:srgbClr w14:val="1F497D">
                <w14:lumMod w14:val="60000"/>
                <w14:lumOff w14:val="40000"/>
              </w14:srgbClr>
            </w14:solidFill>
          </w14:textFill>
        </w:rPr>
        <w:t>•</w:t>
      </w:r>
      <w:r>
        <w:rPr>
          <w:rFonts w:hint="default" w:ascii="Times New Roman" w:hAnsi="Times New Roman" w:eastAsia="宋体" w:cs="Times New Roman"/>
          <w:b/>
          <w:color w:val="00B0F0"/>
          <w:kern w:val="36"/>
          <w:sz w:val="36"/>
          <w:szCs w:val="36"/>
          <w:lang w:val="en-US" w:eastAsia="zh-CN"/>
        </w:rPr>
        <w:t xml:space="preserve"> </w:t>
      </w:r>
      <w:r>
        <w:rPr>
          <w:rFonts w:hint="default" w:ascii="Times New Roman" w:hAnsi="Times New Roman" w:eastAsia="宋体" w:cs="Times New Roman"/>
          <w:b/>
          <w:color w:val="FF0000"/>
          <w:kern w:val="36"/>
          <w:sz w:val="24"/>
          <w:szCs w:val="24"/>
          <w:lang w:val="en-US" w:eastAsia="zh-CN"/>
        </w:rPr>
        <w:t>‧‧‧‧‧‧‧‧‧‧‧‧‧‧‧‧‧‧‧‧‧‧‧‧‧‧‧‧‧‧‧‧‧‧‧‧‧‧‧‧‧‧‧‧‧‧‧‧‧‧‧‧‧‧‧‧‧‧‧‧‧‧‧‧‧‧‧‧‧‧‧‧‧‧‧‧‧‧‧‧‧‧‧‧‧‧‧‧‧‧‧‧‧‧‧‧‧‧‧‧‧‧‧</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68" w:firstLineChars="200"/>
        <w:contextualSpacing/>
        <w:jc w:val="left"/>
        <w:textAlignment w:val="auto"/>
        <w:outlineLvl w:val="1"/>
        <w:rPr>
          <w:rFonts w:hint="default" w:ascii="Times New Roman" w:hAnsi="Times New Roman" w:eastAsia="方正楷体_GBK" w:cs="Times New Roman"/>
          <w:b/>
          <w:bCs w:val="0"/>
          <w:color w:val="auto"/>
          <w:spacing w:val="0"/>
          <w:kern w:val="36"/>
          <w:sz w:val="30"/>
          <w:szCs w:val="30"/>
          <w:lang w:val="en-US" w:eastAsia="zh-CN"/>
        </w:rPr>
      </w:pPr>
      <w:r>
        <w:rPr>
          <w:rFonts w:hint="eastAsia" w:ascii="Times New Roman" w:hAnsi="Times New Roman" w:eastAsia="方正楷体_GBK" w:cs="Times New Roman"/>
          <w:b/>
          <w:color w:val="auto"/>
          <w:spacing w:val="0"/>
          <w:kern w:val="36"/>
          <w:sz w:val="30"/>
          <w:szCs w:val="30"/>
          <w:lang w:val="en-US" w:eastAsia="zh-CN"/>
        </w:rPr>
        <w:t xml:space="preserve">4月27日（周六）3月PCE超预期，上半年降息似无望 </w:t>
      </w:r>
      <w:r>
        <w:rPr>
          <w:rFonts w:hint="default" w:ascii="Times New Roman" w:hAnsi="Times New Roman" w:eastAsia="方正楷体_GBK" w:cs="Times New Roman"/>
          <w:b/>
          <w:bCs w:val="0"/>
          <w:color w:val="auto"/>
          <w:spacing w:val="0"/>
          <w:kern w:val="36"/>
          <w:sz w:val="30"/>
          <w:szCs w:val="30"/>
          <w:lang w:val="en-US" w:eastAsia="zh-CN"/>
        </w:rPr>
        <w:t>/ 01</w:t>
      </w:r>
    </w:p>
    <w:p>
      <w:pPr>
        <w:keepNext w:val="0"/>
        <w:keepLines w:val="0"/>
        <w:pageBreakBefore w:val="0"/>
        <w:widowControl w:val="0"/>
        <w:kinsoku/>
        <w:wordWrap/>
        <w:overflowPunct/>
        <w:topLinePunct w:val="0"/>
        <w:autoSpaceDE/>
        <w:autoSpaceDN/>
        <w:bidi w:val="0"/>
        <w:adjustRightInd/>
        <w:snapToGrid/>
        <w:ind w:left="550" w:leftChars="284" w:firstLine="0" w:firstLineChars="0"/>
        <w:jc w:val="left"/>
        <w:textAlignment w:val="auto"/>
        <w:rPr>
          <w:rFonts w:hint="default" w:ascii="Times New Roman" w:hAnsi="Times New Roman" w:eastAsia="方正楷体_GBK" w:cs="Times New Roman"/>
          <w:b/>
          <w:bCs w:val="0"/>
          <w:color w:val="auto"/>
          <w:spacing w:val="0"/>
          <w:kern w:val="36"/>
          <w:sz w:val="30"/>
          <w:szCs w:val="30"/>
          <w:lang w:val="en-US" w:eastAsia="zh-CN"/>
        </w:rPr>
      </w:pPr>
      <w:r>
        <w:rPr>
          <w:rFonts w:hint="eastAsia" w:ascii="Times New Roman" w:hAnsi="Times New Roman" w:eastAsia="方正楷体_GBK" w:cs="Times New Roman"/>
          <w:b/>
          <w:bCs w:val="0"/>
          <w:color w:val="auto"/>
          <w:spacing w:val="0"/>
          <w:kern w:val="36"/>
          <w:sz w:val="30"/>
          <w:szCs w:val="30"/>
          <w:lang w:val="en-US" w:eastAsia="zh-CN"/>
        </w:rPr>
        <w:t>4</w:t>
      </w:r>
      <w:r>
        <w:rPr>
          <w:rFonts w:hint="default" w:ascii="Times New Roman" w:hAnsi="Times New Roman" w:eastAsia="方正楷体_GBK" w:cs="Times New Roman"/>
          <w:b/>
          <w:bCs w:val="0"/>
          <w:color w:val="auto"/>
          <w:spacing w:val="0"/>
          <w:kern w:val="36"/>
          <w:sz w:val="30"/>
          <w:szCs w:val="30"/>
          <w:lang w:val="en-US" w:eastAsia="zh-CN"/>
        </w:rPr>
        <w:t>月</w:t>
      </w:r>
      <w:r>
        <w:rPr>
          <w:rFonts w:hint="eastAsia" w:ascii="Times New Roman" w:hAnsi="Times New Roman" w:eastAsia="方正楷体_GBK" w:cs="Times New Roman"/>
          <w:b/>
          <w:bCs w:val="0"/>
          <w:color w:val="auto"/>
          <w:spacing w:val="0"/>
          <w:kern w:val="36"/>
          <w:sz w:val="30"/>
          <w:szCs w:val="30"/>
          <w:lang w:val="en-US" w:eastAsia="zh-CN"/>
        </w:rPr>
        <w:t>28</w:t>
      </w:r>
      <w:r>
        <w:rPr>
          <w:rFonts w:hint="default" w:ascii="Times New Roman" w:hAnsi="Times New Roman" w:eastAsia="方正楷体_GBK" w:cs="Times New Roman"/>
          <w:b/>
          <w:bCs w:val="0"/>
          <w:color w:val="auto"/>
          <w:spacing w:val="0"/>
          <w:kern w:val="36"/>
          <w:sz w:val="30"/>
          <w:szCs w:val="30"/>
          <w:lang w:val="en-US" w:eastAsia="zh-CN"/>
        </w:rPr>
        <w:t>日（周</w:t>
      </w:r>
      <w:r>
        <w:rPr>
          <w:rFonts w:hint="eastAsia" w:ascii="Times New Roman" w:hAnsi="Times New Roman" w:eastAsia="方正楷体_GBK" w:cs="Times New Roman"/>
          <w:b/>
          <w:bCs w:val="0"/>
          <w:color w:val="auto"/>
          <w:spacing w:val="0"/>
          <w:kern w:val="36"/>
          <w:sz w:val="30"/>
          <w:szCs w:val="30"/>
          <w:lang w:val="en-US" w:eastAsia="zh-CN"/>
        </w:rPr>
        <w:t>日</w:t>
      </w:r>
      <w:r>
        <w:rPr>
          <w:rFonts w:hint="default" w:ascii="Times New Roman" w:hAnsi="Times New Roman" w:eastAsia="方正楷体_GBK" w:cs="Times New Roman"/>
          <w:b/>
          <w:bCs w:val="0"/>
          <w:color w:val="auto"/>
          <w:spacing w:val="0"/>
          <w:kern w:val="36"/>
          <w:sz w:val="30"/>
          <w:szCs w:val="30"/>
          <w:lang w:val="en-US" w:eastAsia="zh-CN"/>
        </w:rPr>
        <w:t>）</w:t>
      </w:r>
      <w:r>
        <w:rPr>
          <w:rFonts w:hint="eastAsia" w:ascii="Times New Roman" w:hAnsi="Times New Roman" w:eastAsia="方正楷体_GBK" w:cs="Times New Roman"/>
          <w:b/>
          <w:color w:val="auto"/>
          <w:spacing w:val="0"/>
          <w:kern w:val="36"/>
          <w:sz w:val="30"/>
          <w:szCs w:val="30"/>
          <w:lang w:val="en-US" w:eastAsia="zh-CN"/>
        </w:rPr>
        <w:t xml:space="preserve">因全球气候变暖，登革热疫情蔓延 </w:t>
      </w:r>
      <w:r>
        <w:rPr>
          <w:rFonts w:hint="default" w:ascii="Times New Roman" w:hAnsi="Times New Roman" w:eastAsia="方正楷体_GBK" w:cs="Times New Roman"/>
          <w:b/>
          <w:bCs w:val="0"/>
          <w:color w:val="auto"/>
          <w:spacing w:val="0"/>
          <w:kern w:val="36"/>
          <w:sz w:val="30"/>
          <w:szCs w:val="30"/>
          <w:lang w:val="en-US" w:eastAsia="zh-CN"/>
        </w:rPr>
        <w:t>/ 0</w:t>
      </w:r>
      <w:r>
        <w:rPr>
          <w:rFonts w:hint="eastAsia" w:ascii="Times New Roman" w:hAnsi="Times New Roman" w:eastAsia="方正楷体_GBK" w:cs="Times New Roman"/>
          <w:b/>
          <w:bCs w:val="0"/>
          <w:color w:val="auto"/>
          <w:spacing w:val="0"/>
          <w:kern w:val="36"/>
          <w:sz w:val="30"/>
          <w:szCs w:val="30"/>
          <w:lang w:val="en-US" w:eastAsia="zh-CN"/>
        </w:rPr>
        <w:t>1</w:t>
      </w:r>
    </w:p>
    <w:p>
      <w:pPr>
        <w:keepNext w:val="0"/>
        <w:keepLines w:val="0"/>
        <w:pageBreakBefore w:val="0"/>
        <w:widowControl w:val="0"/>
        <w:kinsoku/>
        <w:wordWrap/>
        <w:overflowPunct/>
        <w:topLinePunct w:val="0"/>
        <w:autoSpaceDE/>
        <w:autoSpaceDN/>
        <w:bidi w:val="0"/>
        <w:adjustRightInd/>
        <w:snapToGrid/>
        <w:ind w:left="550" w:leftChars="284" w:firstLine="0" w:firstLineChars="0"/>
        <w:jc w:val="left"/>
        <w:textAlignment w:val="auto"/>
        <w:rPr>
          <w:rFonts w:hint="default" w:ascii="Times New Roman" w:hAnsi="Times New Roman" w:eastAsia="方正楷体_GBK" w:cs="Times New Roman"/>
          <w:b/>
          <w:bCs w:val="0"/>
          <w:color w:val="auto"/>
          <w:spacing w:val="0"/>
          <w:kern w:val="36"/>
          <w:sz w:val="30"/>
          <w:szCs w:val="30"/>
          <w:lang w:val="en-US" w:eastAsia="zh-CN"/>
        </w:rPr>
      </w:pPr>
      <w:r>
        <w:rPr>
          <w:rFonts w:hint="eastAsia" w:ascii="Times New Roman" w:hAnsi="Times New Roman" w:eastAsia="方正楷体_GBK" w:cs="Times New Roman"/>
          <w:b/>
          <w:bCs w:val="0"/>
          <w:color w:val="auto"/>
          <w:spacing w:val="0"/>
          <w:kern w:val="36"/>
          <w:sz w:val="30"/>
          <w:szCs w:val="30"/>
          <w:lang w:val="en-US" w:eastAsia="zh-CN"/>
        </w:rPr>
        <w:t>4</w:t>
      </w:r>
      <w:r>
        <w:rPr>
          <w:rFonts w:hint="default" w:ascii="Times New Roman" w:hAnsi="Times New Roman" w:eastAsia="方正楷体_GBK" w:cs="Times New Roman"/>
          <w:b/>
          <w:bCs w:val="0"/>
          <w:color w:val="auto"/>
          <w:spacing w:val="0"/>
          <w:kern w:val="36"/>
          <w:sz w:val="30"/>
          <w:szCs w:val="30"/>
          <w:lang w:val="en-US" w:eastAsia="zh-CN"/>
        </w:rPr>
        <w:t>月</w:t>
      </w:r>
      <w:r>
        <w:rPr>
          <w:rFonts w:hint="eastAsia" w:ascii="Times New Roman" w:hAnsi="Times New Roman" w:eastAsia="方正楷体_GBK" w:cs="Times New Roman"/>
          <w:b/>
          <w:bCs w:val="0"/>
          <w:color w:val="auto"/>
          <w:spacing w:val="0"/>
          <w:kern w:val="36"/>
          <w:sz w:val="30"/>
          <w:szCs w:val="30"/>
          <w:lang w:val="en-US" w:eastAsia="zh-CN"/>
        </w:rPr>
        <w:t>29</w:t>
      </w:r>
      <w:r>
        <w:rPr>
          <w:rFonts w:hint="default" w:ascii="Times New Roman" w:hAnsi="Times New Roman" w:eastAsia="方正楷体_GBK" w:cs="Times New Roman"/>
          <w:b/>
          <w:bCs w:val="0"/>
          <w:color w:val="auto"/>
          <w:spacing w:val="0"/>
          <w:kern w:val="36"/>
          <w:sz w:val="30"/>
          <w:szCs w:val="30"/>
          <w:lang w:val="en-US" w:eastAsia="zh-CN"/>
        </w:rPr>
        <w:t>日（周</w:t>
      </w:r>
      <w:r>
        <w:rPr>
          <w:rFonts w:hint="eastAsia" w:ascii="Times New Roman" w:hAnsi="Times New Roman" w:eastAsia="方正楷体_GBK" w:cs="Times New Roman"/>
          <w:b/>
          <w:bCs w:val="0"/>
          <w:color w:val="auto"/>
          <w:spacing w:val="0"/>
          <w:kern w:val="36"/>
          <w:sz w:val="30"/>
          <w:szCs w:val="30"/>
          <w:lang w:val="en-US" w:eastAsia="zh-CN"/>
        </w:rPr>
        <w:t>一</w:t>
      </w:r>
      <w:r>
        <w:rPr>
          <w:rFonts w:hint="default" w:ascii="Times New Roman" w:hAnsi="Times New Roman" w:eastAsia="方正楷体_GBK" w:cs="Times New Roman"/>
          <w:b/>
          <w:bCs w:val="0"/>
          <w:color w:val="auto"/>
          <w:spacing w:val="0"/>
          <w:kern w:val="36"/>
          <w:sz w:val="30"/>
          <w:szCs w:val="30"/>
          <w:lang w:val="en-US" w:eastAsia="zh-CN"/>
        </w:rPr>
        <w:t>）</w:t>
      </w:r>
      <w:r>
        <w:rPr>
          <w:rFonts w:hint="eastAsia" w:ascii="Times New Roman" w:hAnsi="Times New Roman" w:eastAsia="方正楷体_GBK" w:cs="Times New Roman"/>
          <w:b/>
          <w:color w:val="auto"/>
          <w:spacing w:val="0"/>
          <w:kern w:val="36"/>
          <w:sz w:val="30"/>
          <w:szCs w:val="30"/>
          <w:lang w:val="en-US" w:eastAsia="zh-CN"/>
        </w:rPr>
        <w:t xml:space="preserve">日元持续狂贬，美股上下两难 </w:t>
      </w:r>
      <w:r>
        <w:rPr>
          <w:rFonts w:hint="default" w:ascii="Times New Roman" w:hAnsi="Times New Roman" w:eastAsia="方正楷体_GBK" w:cs="Times New Roman"/>
          <w:b/>
          <w:bCs w:val="0"/>
          <w:color w:val="auto"/>
          <w:spacing w:val="0"/>
          <w:kern w:val="36"/>
          <w:sz w:val="30"/>
          <w:szCs w:val="30"/>
          <w:lang w:val="en-US" w:eastAsia="zh-CN"/>
        </w:rPr>
        <w:t>/ 0</w:t>
      </w:r>
      <w:r>
        <w:rPr>
          <w:rFonts w:hint="eastAsia" w:ascii="Times New Roman" w:hAnsi="Times New Roman" w:eastAsia="方正楷体_GBK" w:cs="Times New Roman"/>
          <w:b/>
          <w:bCs w:val="0"/>
          <w:color w:val="auto"/>
          <w:spacing w:val="0"/>
          <w:kern w:val="36"/>
          <w:sz w:val="30"/>
          <w:szCs w:val="30"/>
          <w:lang w:val="en-US" w:eastAsia="zh-CN"/>
        </w:rPr>
        <w:t>3</w:t>
      </w:r>
    </w:p>
    <w:p>
      <w:pPr>
        <w:keepNext w:val="0"/>
        <w:keepLines w:val="0"/>
        <w:pageBreakBefore w:val="0"/>
        <w:widowControl w:val="0"/>
        <w:kinsoku/>
        <w:wordWrap/>
        <w:overflowPunct/>
        <w:topLinePunct w:val="0"/>
        <w:autoSpaceDE/>
        <w:autoSpaceDN/>
        <w:bidi w:val="0"/>
        <w:adjustRightInd/>
        <w:snapToGrid/>
        <w:ind w:left="550" w:leftChars="284" w:firstLine="0" w:firstLineChars="0"/>
        <w:jc w:val="left"/>
        <w:textAlignment w:val="auto"/>
        <w:rPr>
          <w:rFonts w:hint="default" w:ascii="Times New Roman" w:hAnsi="Times New Roman" w:eastAsia="方正楷体_GBK" w:cs="Times New Roman"/>
          <w:b/>
          <w:bCs w:val="0"/>
          <w:color w:val="auto"/>
          <w:spacing w:val="0"/>
          <w:kern w:val="36"/>
          <w:sz w:val="30"/>
          <w:szCs w:val="30"/>
          <w:lang w:val="en-US" w:eastAsia="zh-CN"/>
        </w:rPr>
      </w:pPr>
      <w:r>
        <w:rPr>
          <w:rFonts w:hint="eastAsia" w:ascii="Times New Roman" w:hAnsi="Times New Roman" w:eastAsia="方正楷体_GBK" w:cs="Times New Roman"/>
          <w:b/>
          <w:bCs w:val="0"/>
          <w:color w:val="auto"/>
          <w:spacing w:val="0"/>
          <w:kern w:val="36"/>
          <w:sz w:val="30"/>
          <w:szCs w:val="30"/>
          <w:lang w:val="en-US" w:eastAsia="zh-CN"/>
        </w:rPr>
        <w:t>4</w:t>
      </w:r>
      <w:r>
        <w:rPr>
          <w:rFonts w:hint="default" w:ascii="Times New Roman" w:hAnsi="Times New Roman" w:eastAsia="方正楷体_GBK" w:cs="Times New Roman"/>
          <w:b/>
          <w:bCs w:val="0"/>
          <w:color w:val="auto"/>
          <w:spacing w:val="0"/>
          <w:kern w:val="36"/>
          <w:sz w:val="30"/>
          <w:szCs w:val="30"/>
          <w:lang w:val="en-US" w:eastAsia="zh-CN"/>
        </w:rPr>
        <w:t>月</w:t>
      </w:r>
      <w:r>
        <w:rPr>
          <w:rFonts w:hint="eastAsia" w:ascii="Times New Roman" w:hAnsi="Times New Roman" w:eastAsia="方正楷体_GBK" w:cs="Times New Roman"/>
          <w:b/>
          <w:bCs w:val="0"/>
          <w:color w:val="auto"/>
          <w:spacing w:val="0"/>
          <w:kern w:val="36"/>
          <w:sz w:val="30"/>
          <w:szCs w:val="30"/>
          <w:lang w:val="en-US" w:eastAsia="zh-CN"/>
        </w:rPr>
        <w:t>30</w:t>
      </w:r>
      <w:r>
        <w:rPr>
          <w:rFonts w:hint="default" w:ascii="Times New Roman" w:hAnsi="Times New Roman" w:eastAsia="方正楷体_GBK" w:cs="Times New Roman"/>
          <w:b/>
          <w:bCs w:val="0"/>
          <w:color w:val="auto"/>
          <w:spacing w:val="0"/>
          <w:kern w:val="36"/>
          <w:sz w:val="30"/>
          <w:szCs w:val="30"/>
          <w:lang w:val="en-US" w:eastAsia="zh-CN"/>
        </w:rPr>
        <w:t>日（周</w:t>
      </w:r>
      <w:r>
        <w:rPr>
          <w:rFonts w:hint="eastAsia" w:ascii="Times New Roman" w:hAnsi="Times New Roman" w:eastAsia="方正楷体_GBK" w:cs="Times New Roman"/>
          <w:b/>
          <w:bCs w:val="0"/>
          <w:color w:val="auto"/>
          <w:spacing w:val="0"/>
          <w:kern w:val="36"/>
          <w:sz w:val="30"/>
          <w:szCs w:val="30"/>
          <w:lang w:val="en-US" w:eastAsia="zh-CN"/>
        </w:rPr>
        <w:t>二</w:t>
      </w:r>
      <w:r>
        <w:rPr>
          <w:rFonts w:hint="default" w:ascii="Times New Roman" w:hAnsi="Times New Roman" w:eastAsia="方正楷体_GBK" w:cs="Times New Roman"/>
          <w:b/>
          <w:bCs w:val="0"/>
          <w:color w:val="auto"/>
          <w:spacing w:val="0"/>
          <w:kern w:val="36"/>
          <w:sz w:val="30"/>
          <w:szCs w:val="30"/>
          <w:lang w:val="en-US" w:eastAsia="zh-CN"/>
        </w:rPr>
        <w:t>）</w:t>
      </w:r>
      <w:r>
        <w:rPr>
          <w:rFonts w:hint="eastAsia" w:ascii="Times New Roman" w:hAnsi="Times New Roman" w:eastAsia="方正楷体_GBK" w:cs="Times New Roman"/>
          <w:b/>
          <w:color w:val="auto"/>
          <w:spacing w:val="0"/>
          <w:kern w:val="36"/>
          <w:sz w:val="30"/>
          <w:szCs w:val="30"/>
          <w:lang w:val="en-US" w:eastAsia="zh-CN"/>
        </w:rPr>
        <w:t xml:space="preserve">欧元区经济景气走低，货币政策调整须小心 </w:t>
      </w:r>
      <w:r>
        <w:rPr>
          <w:rFonts w:hint="default" w:ascii="Times New Roman" w:hAnsi="Times New Roman" w:eastAsia="方正楷体_GBK" w:cs="Times New Roman"/>
          <w:b/>
          <w:bCs w:val="0"/>
          <w:color w:val="auto"/>
          <w:spacing w:val="0"/>
          <w:kern w:val="36"/>
          <w:sz w:val="30"/>
          <w:szCs w:val="30"/>
          <w:lang w:val="en-US" w:eastAsia="zh-CN"/>
        </w:rPr>
        <w:t>/ 0</w:t>
      </w:r>
      <w:r>
        <w:rPr>
          <w:rFonts w:hint="eastAsia" w:ascii="Times New Roman" w:hAnsi="Times New Roman" w:eastAsia="方正楷体_GBK" w:cs="Times New Roman"/>
          <w:b/>
          <w:bCs w:val="0"/>
          <w:color w:val="auto"/>
          <w:spacing w:val="0"/>
          <w:kern w:val="36"/>
          <w:sz w:val="30"/>
          <w:szCs w:val="30"/>
          <w:lang w:val="en-US" w:eastAsia="zh-CN"/>
        </w:rPr>
        <w:t>5</w:t>
      </w:r>
    </w:p>
    <w:p>
      <w:pPr>
        <w:keepNext w:val="0"/>
        <w:keepLines w:val="0"/>
        <w:pageBreakBefore w:val="0"/>
        <w:widowControl w:val="0"/>
        <w:kinsoku/>
        <w:wordWrap/>
        <w:overflowPunct/>
        <w:topLinePunct w:val="0"/>
        <w:autoSpaceDE/>
        <w:autoSpaceDN/>
        <w:bidi w:val="0"/>
        <w:adjustRightInd/>
        <w:snapToGrid/>
        <w:ind w:left="550" w:leftChars="284" w:firstLine="0" w:firstLineChars="0"/>
        <w:jc w:val="left"/>
        <w:textAlignment w:val="auto"/>
        <w:rPr>
          <w:rFonts w:hint="default" w:ascii="Times New Roman" w:hAnsi="Times New Roman" w:eastAsia="方正楷体_GBK" w:cs="Times New Roman"/>
          <w:b/>
          <w:bCs w:val="0"/>
          <w:color w:val="auto"/>
          <w:spacing w:val="0"/>
          <w:kern w:val="36"/>
          <w:sz w:val="30"/>
          <w:szCs w:val="30"/>
          <w:lang w:val="en-US" w:eastAsia="zh-CN"/>
        </w:rPr>
      </w:pPr>
      <w:r>
        <w:rPr>
          <w:rFonts w:hint="eastAsia" w:ascii="Times New Roman" w:hAnsi="Times New Roman" w:eastAsia="方正楷体_GBK" w:cs="Times New Roman"/>
          <w:b/>
          <w:bCs w:val="0"/>
          <w:color w:val="auto"/>
          <w:spacing w:val="0"/>
          <w:kern w:val="36"/>
          <w:sz w:val="30"/>
          <w:szCs w:val="30"/>
          <w:lang w:val="en-US" w:eastAsia="zh-CN"/>
        </w:rPr>
        <w:t>5</w:t>
      </w:r>
      <w:r>
        <w:rPr>
          <w:rFonts w:hint="default" w:ascii="Times New Roman" w:hAnsi="Times New Roman" w:eastAsia="方正楷体_GBK" w:cs="Times New Roman"/>
          <w:b/>
          <w:bCs w:val="0"/>
          <w:color w:val="auto"/>
          <w:spacing w:val="0"/>
          <w:kern w:val="36"/>
          <w:sz w:val="30"/>
          <w:szCs w:val="30"/>
          <w:lang w:val="en-US" w:eastAsia="zh-CN"/>
        </w:rPr>
        <w:t>月</w:t>
      </w:r>
      <w:r>
        <w:rPr>
          <w:rFonts w:hint="eastAsia" w:ascii="Times New Roman" w:hAnsi="Times New Roman" w:eastAsia="方正楷体_GBK" w:cs="Times New Roman"/>
          <w:b/>
          <w:bCs w:val="0"/>
          <w:color w:val="auto"/>
          <w:spacing w:val="0"/>
          <w:kern w:val="36"/>
          <w:sz w:val="30"/>
          <w:szCs w:val="30"/>
          <w:lang w:val="en-US" w:eastAsia="zh-CN"/>
        </w:rPr>
        <w:t>1</w:t>
      </w:r>
      <w:r>
        <w:rPr>
          <w:rFonts w:hint="default" w:ascii="Times New Roman" w:hAnsi="Times New Roman" w:eastAsia="方正楷体_GBK" w:cs="Times New Roman"/>
          <w:b/>
          <w:bCs w:val="0"/>
          <w:color w:val="auto"/>
          <w:spacing w:val="0"/>
          <w:kern w:val="36"/>
          <w:sz w:val="30"/>
          <w:szCs w:val="30"/>
          <w:lang w:val="en-US" w:eastAsia="zh-CN"/>
        </w:rPr>
        <w:t>日（周</w:t>
      </w:r>
      <w:r>
        <w:rPr>
          <w:rFonts w:hint="eastAsia" w:ascii="Times New Roman" w:hAnsi="Times New Roman" w:eastAsia="方正楷体_GBK" w:cs="Times New Roman"/>
          <w:b/>
          <w:bCs w:val="0"/>
          <w:color w:val="auto"/>
          <w:spacing w:val="0"/>
          <w:kern w:val="36"/>
          <w:sz w:val="30"/>
          <w:szCs w:val="30"/>
          <w:lang w:val="en-US" w:eastAsia="zh-CN"/>
        </w:rPr>
        <w:t>三</w:t>
      </w:r>
      <w:r>
        <w:rPr>
          <w:rFonts w:hint="default" w:ascii="Times New Roman" w:hAnsi="Times New Roman" w:eastAsia="方正楷体_GBK" w:cs="Times New Roman"/>
          <w:b/>
          <w:bCs w:val="0"/>
          <w:color w:val="auto"/>
          <w:spacing w:val="0"/>
          <w:kern w:val="36"/>
          <w:sz w:val="30"/>
          <w:szCs w:val="30"/>
          <w:lang w:val="en-US" w:eastAsia="zh-CN"/>
        </w:rPr>
        <w:t>）</w:t>
      </w:r>
      <w:r>
        <w:rPr>
          <w:rFonts w:hint="eastAsia" w:ascii="Times New Roman" w:hAnsi="Times New Roman" w:eastAsia="方正楷体_GBK" w:cs="Times New Roman"/>
          <w:b/>
          <w:color w:val="auto"/>
          <w:spacing w:val="0"/>
          <w:kern w:val="36"/>
          <w:sz w:val="30"/>
          <w:szCs w:val="30"/>
          <w:lang w:val="en-US" w:eastAsia="zh-CN"/>
        </w:rPr>
        <w:t xml:space="preserve">美国的通胀担忧升温，欧元区经济增长飘摇 </w:t>
      </w:r>
      <w:r>
        <w:rPr>
          <w:rFonts w:hint="default" w:ascii="Times New Roman" w:hAnsi="Times New Roman" w:eastAsia="方正楷体_GBK" w:cs="Times New Roman"/>
          <w:b/>
          <w:bCs w:val="0"/>
          <w:color w:val="auto"/>
          <w:spacing w:val="0"/>
          <w:kern w:val="36"/>
          <w:sz w:val="30"/>
          <w:szCs w:val="30"/>
          <w:lang w:val="en-US" w:eastAsia="zh-CN"/>
        </w:rPr>
        <w:t>/ 0</w:t>
      </w:r>
      <w:r>
        <w:rPr>
          <w:rFonts w:hint="eastAsia" w:ascii="Times New Roman" w:hAnsi="Times New Roman" w:eastAsia="方正楷体_GBK" w:cs="Times New Roman"/>
          <w:b/>
          <w:bCs w:val="0"/>
          <w:color w:val="auto"/>
          <w:spacing w:val="0"/>
          <w:kern w:val="36"/>
          <w:sz w:val="30"/>
          <w:szCs w:val="30"/>
          <w:lang w:val="en-US" w:eastAsia="zh-CN"/>
        </w:rPr>
        <w:t>6</w:t>
      </w:r>
    </w:p>
    <w:p>
      <w:pPr>
        <w:keepNext w:val="0"/>
        <w:keepLines w:val="0"/>
        <w:pageBreakBefore w:val="0"/>
        <w:widowControl w:val="0"/>
        <w:kinsoku/>
        <w:wordWrap/>
        <w:overflowPunct/>
        <w:topLinePunct w:val="0"/>
        <w:autoSpaceDE/>
        <w:autoSpaceDN/>
        <w:bidi w:val="0"/>
        <w:adjustRightInd/>
        <w:snapToGrid/>
        <w:ind w:left="550" w:leftChars="284" w:firstLine="0" w:firstLineChars="0"/>
        <w:jc w:val="left"/>
        <w:textAlignment w:val="auto"/>
        <w:rPr>
          <w:rFonts w:hint="default" w:ascii="Times New Roman" w:hAnsi="Times New Roman" w:eastAsia="方正楷体_GBK" w:cs="Times New Roman"/>
          <w:b/>
          <w:bCs w:val="0"/>
          <w:color w:val="auto"/>
          <w:spacing w:val="0"/>
          <w:kern w:val="36"/>
          <w:sz w:val="30"/>
          <w:szCs w:val="30"/>
          <w:lang w:val="en-US" w:eastAsia="zh-CN"/>
        </w:rPr>
      </w:pPr>
      <w:r>
        <w:rPr>
          <w:rFonts w:hint="eastAsia" w:ascii="Times New Roman" w:hAnsi="Times New Roman" w:eastAsia="方正楷体_GBK" w:cs="Times New Roman"/>
          <w:b/>
          <w:bCs w:val="0"/>
          <w:color w:val="auto"/>
          <w:spacing w:val="0"/>
          <w:kern w:val="36"/>
          <w:sz w:val="30"/>
          <w:szCs w:val="30"/>
          <w:lang w:val="en-US" w:eastAsia="zh-CN"/>
        </w:rPr>
        <w:t>5</w:t>
      </w:r>
      <w:r>
        <w:rPr>
          <w:rFonts w:hint="default" w:ascii="Times New Roman" w:hAnsi="Times New Roman" w:eastAsia="方正楷体_GBK" w:cs="Times New Roman"/>
          <w:b/>
          <w:bCs w:val="0"/>
          <w:color w:val="auto"/>
          <w:spacing w:val="0"/>
          <w:kern w:val="36"/>
          <w:sz w:val="30"/>
          <w:szCs w:val="30"/>
          <w:lang w:val="en-US" w:eastAsia="zh-CN"/>
        </w:rPr>
        <w:t>月</w:t>
      </w:r>
      <w:r>
        <w:rPr>
          <w:rFonts w:hint="eastAsia" w:ascii="Times New Roman" w:hAnsi="Times New Roman" w:eastAsia="方正楷体_GBK" w:cs="Times New Roman"/>
          <w:b/>
          <w:bCs w:val="0"/>
          <w:color w:val="auto"/>
          <w:spacing w:val="0"/>
          <w:kern w:val="36"/>
          <w:sz w:val="30"/>
          <w:szCs w:val="30"/>
          <w:lang w:val="en-US" w:eastAsia="zh-CN"/>
        </w:rPr>
        <w:t>2</w:t>
      </w:r>
      <w:r>
        <w:rPr>
          <w:rFonts w:hint="default" w:ascii="Times New Roman" w:hAnsi="Times New Roman" w:eastAsia="方正楷体_GBK" w:cs="Times New Roman"/>
          <w:b/>
          <w:bCs w:val="0"/>
          <w:color w:val="auto"/>
          <w:spacing w:val="0"/>
          <w:kern w:val="36"/>
          <w:sz w:val="30"/>
          <w:szCs w:val="30"/>
          <w:lang w:val="en-US" w:eastAsia="zh-CN"/>
        </w:rPr>
        <w:t>日（周</w:t>
      </w:r>
      <w:r>
        <w:rPr>
          <w:rFonts w:hint="eastAsia" w:ascii="Times New Roman" w:hAnsi="Times New Roman" w:eastAsia="方正楷体_GBK" w:cs="Times New Roman"/>
          <w:b/>
          <w:bCs w:val="0"/>
          <w:color w:val="auto"/>
          <w:spacing w:val="0"/>
          <w:kern w:val="36"/>
          <w:sz w:val="30"/>
          <w:szCs w:val="30"/>
          <w:lang w:val="en-US" w:eastAsia="zh-CN"/>
        </w:rPr>
        <w:t>四</w:t>
      </w:r>
      <w:r>
        <w:rPr>
          <w:rFonts w:hint="default" w:ascii="Times New Roman" w:hAnsi="Times New Roman" w:eastAsia="方正楷体_GBK" w:cs="Times New Roman"/>
          <w:b/>
          <w:bCs w:val="0"/>
          <w:color w:val="auto"/>
          <w:spacing w:val="0"/>
          <w:kern w:val="36"/>
          <w:sz w:val="30"/>
          <w:szCs w:val="30"/>
          <w:lang w:val="en-US" w:eastAsia="zh-CN"/>
        </w:rPr>
        <w:t>）</w:t>
      </w:r>
      <w:r>
        <w:rPr>
          <w:rFonts w:hint="eastAsia" w:ascii="Times New Roman" w:hAnsi="Times New Roman" w:eastAsia="方正楷体_GBK" w:cs="Times New Roman"/>
          <w:b/>
          <w:color w:val="auto"/>
          <w:spacing w:val="0"/>
          <w:kern w:val="36"/>
          <w:sz w:val="30"/>
          <w:szCs w:val="30"/>
          <w:lang w:val="en-US" w:eastAsia="zh-CN"/>
        </w:rPr>
        <w:t xml:space="preserve">维持高利率打通胀，放缓缩表保市场 </w:t>
      </w:r>
      <w:r>
        <w:rPr>
          <w:rFonts w:hint="default" w:ascii="Times New Roman" w:hAnsi="Times New Roman" w:eastAsia="方正楷体_GBK" w:cs="Times New Roman"/>
          <w:b/>
          <w:bCs w:val="0"/>
          <w:color w:val="auto"/>
          <w:spacing w:val="0"/>
          <w:kern w:val="36"/>
          <w:sz w:val="30"/>
          <w:szCs w:val="30"/>
          <w:lang w:val="en-US" w:eastAsia="zh-CN"/>
        </w:rPr>
        <w:t xml:space="preserve">/ </w:t>
      </w:r>
      <w:r>
        <w:rPr>
          <w:rFonts w:hint="eastAsia" w:ascii="Times New Roman" w:hAnsi="Times New Roman" w:eastAsia="方正楷体_GBK" w:cs="Times New Roman"/>
          <w:b/>
          <w:bCs w:val="0"/>
          <w:color w:val="auto"/>
          <w:spacing w:val="0"/>
          <w:kern w:val="36"/>
          <w:sz w:val="30"/>
          <w:szCs w:val="30"/>
          <w:lang w:val="en-US" w:eastAsia="zh-CN"/>
        </w:rPr>
        <w:t>10</w:t>
      </w:r>
    </w:p>
    <w:p>
      <w:pPr>
        <w:keepNext w:val="0"/>
        <w:keepLines w:val="0"/>
        <w:pageBreakBefore w:val="0"/>
        <w:widowControl w:val="0"/>
        <w:kinsoku/>
        <w:wordWrap/>
        <w:overflowPunct/>
        <w:topLinePunct w:val="0"/>
        <w:autoSpaceDE/>
        <w:autoSpaceDN/>
        <w:bidi w:val="0"/>
        <w:adjustRightInd/>
        <w:snapToGrid/>
        <w:ind w:left="550" w:leftChars="284" w:firstLine="0" w:firstLineChars="0"/>
        <w:jc w:val="left"/>
        <w:textAlignment w:val="auto"/>
        <w:rPr>
          <w:rFonts w:hint="default" w:ascii="Times New Roman" w:hAnsi="Times New Roman" w:eastAsia="方正楷体_GBK" w:cs="Times New Roman"/>
          <w:b/>
          <w:bCs w:val="0"/>
          <w:color w:val="auto"/>
          <w:spacing w:val="0"/>
          <w:kern w:val="36"/>
          <w:sz w:val="30"/>
          <w:szCs w:val="30"/>
          <w:lang w:val="en-US" w:eastAsia="zh-CN"/>
        </w:rPr>
      </w:pPr>
      <w:r>
        <w:rPr>
          <w:rFonts w:hint="eastAsia" w:ascii="Times New Roman" w:hAnsi="Times New Roman" w:eastAsia="方正楷体_GBK" w:cs="Times New Roman"/>
          <w:b/>
          <w:bCs w:val="0"/>
          <w:color w:val="auto"/>
          <w:spacing w:val="0"/>
          <w:kern w:val="36"/>
          <w:sz w:val="30"/>
          <w:szCs w:val="30"/>
          <w:lang w:val="en-US" w:eastAsia="zh-CN"/>
        </w:rPr>
        <w:t>5</w:t>
      </w:r>
      <w:r>
        <w:rPr>
          <w:rFonts w:hint="default" w:ascii="Times New Roman" w:hAnsi="Times New Roman" w:eastAsia="方正楷体_GBK" w:cs="Times New Roman"/>
          <w:b/>
          <w:bCs w:val="0"/>
          <w:color w:val="auto"/>
          <w:spacing w:val="0"/>
          <w:kern w:val="36"/>
          <w:sz w:val="30"/>
          <w:szCs w:val="30"/>
          <w:lang w:val="en-US" w:eastAsia="zh-CN"/>
        </w:rPr>
        <w:t>月</w:t>
      </w:r>
      <w:r>
        <w:rPr>
          <w:rFonts w:hint="eastAsia" w:ascii="Times New Roman" w:hAnsi="Times New Roman" w:eastAsia="方正楷体_GBK" w:cs="Times New Roman"/>
          <w:b/>
          <w:bCs w:val="0"/>
          <w:color w:val="auto"/>
          <w:spacing w:val="0"/>
          <w:kern w:val="36"/>
          <w:sz w:val="30"/>
          <w:szCs w:val="30"/>
          <w:lang w:val="en-US" w:eastAsia="zh-CN"/>
        </w:rPr>
        <w:t>3</w:t>
      </w:r>
      <w:r>
        <w:rPr>
          <w:rFonts w:hint="default" w:ascii="Times New Roman" w:hAnsi="Times New Roman" w:eastAsia="方正楷体_GBK" w:cs="Times New Roman"/>
          <w:b/>
          <w:bCs w:val="0"/>
          <w:color w:val="auto"/>
          <w:spacing w:val="0"/>
          <w:kern w:val="36"/>
          <w:sz w:val="30"/>
          <w:szCs w:val="30"/>
          <w:lang w:val="en-US" w:eastAsia="zh-CN"/>
        </w:rPr>
        <w:t>日（周</w:t>
      </w:r>
      <w:r>
        <w:rPr>
          <w:rFonts w:hint="eastAsia" w:ascii="Times New Roman" w:hAnsi="Times New Roman" w:eastAsia="方正楷体_GBK" w:cs="Times New Roman"/>
          <w:b/>
          <w:bCs w:val="0"/>
          <w:color w:val="auto"/>
          <w:spacing w:val="0"/>
          <w:kern w:val="36"/>
          <w:sz w:val="30"/>
          <w:szCs w:val="30"/>
          <w:lang w:val="en-US" w:eastAsia="zh-CN"/>
        </w:rPr>
        <w:t>五</w:t>
      </w:r>
      <w:r>
        <w:rPr>
          <w:rFonts w:hint="default" w:ascii="Times New Roman" w:hAnsi="Times New Roman" w:eastAsia="方正楷体_GBK" w:cs="Times New Roman"/>
          <w:b/>
          <w:bCs w:val="0"/>
          <w:color w:val="auto"/>
          <w:spacing w:val="0"/>
          <w:kern w:val="36"/>
          <w:sz w:val="30"/>
          <w:szCs w:val="30"/>
          <w:lang w:val="en-US" w:eastAsia="zh-CN"/>
        </w:rPr>
        <w:t>）</w:t>
      </w:r>
      <w:r>
        <w:rPr>
          <w:rFonts w:hint="eastAsia" w:ascii="Times New Roman" w:hAnsi="Times New Roman" w:eastAsia="方正楷体_GBK" w:cs="Times New Roman"/>
          <w:b/>
          <w:color w:val="auto"/>
          <w:spacing w:val="0"/>
          <w:kern w:val="36"/>
          <w:sz w:val="30"/>
          <w:szCs w:val="30"/>
          <w:lang w:val="en-US" w:eastAsia="zh-CN"/>
        </w:rPr>
        <w:t xml:space="preserve">美国经济指标出现“滞胀”迹象 </w:t>
      </w:r>
      <w:r>
        <w:rPr>
          <w:rFonts w:hint="default" w:ascii="Times New Roman" w:hAnsi="Times New Roman" w:eastAsia="方正楷体_GBK" w:cs="Times New Roman"/>
          <w:b/>
          <w:bCs w:val="0"/>
          <w:color w:val="auto"/>
          <w:spacing w:val="0"/>
          <w:kern w:val="36"/>
          <w:sz w:val="30"/>
          <w:szCs w:val="30"/>
          <w:lang w:val="en-US" w:eastAsia="zh-CN"/>
        </w:rPr>
        <w:t xml:space="preserve">/ </w:t>
      </w:r>
      <w:r>
        <w:rPr>
          <w:rFonts w:hint="eastAsia" w:ascii="Times New Roman" w:hAnsi="Times New Roman" w:eastAsia="方正楷体_GBK" w:cs="Times New Roman"/>
          <w:b/>
          <w:bCs w:val="0"/>
          <w:color w:val="auto"/>
          <w:spacing w:val="0"/>
          <w:kern w:val="36"/>
          <w:sz w:val="30"/>
          <w:szCs w:val="30"/>
          <w:lang w:val="en-US" w:eastAsia="zh-CN"/>
        </w:rPr>
        <w:t>12</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left="550" w:leftChars="284" w:firstLine="0" w:firstLineChars="0"/>
        <w:jc w:val="left"/>
        <w:textAlignment w:val="auto"/>
        <w:rPr>
          <w:rFonts w:hint="default" w:ascii="Times New Roman" w:hAnsi="Times New Roman" w:eastAsia="方正楷体_GBK" w:cs="Times New Roman"/>
          <w:b/>
          <w:bCs w:val="0"/>
          <w:color w:val="auto"/>
          <w:spacing w:val="0"/>
          <w:kern w:val="36"/>
          <w:sz w:val="30"/>
          <w:szCs w:val="30"/>
          <w:lang w:val="en-US" w:eastAsia="zh-CN"/>
        </w:rPr>
      </w:pPr>
      <w:r>
        <w:rPr>
          <w:rFonts w:hint="eastAsia" w:ascii="Times New Roman" w:hAnsi="Times New Roman" w:eastAsia="方正楷体_GBK" w:cs="Times New Roman"/>
          <w:b/>
          <w:bCs w:val="0"/>
          <w:color w:val="auto"/>
          <w:spacing w:val="0"/>
          <w:kern w:val="36"/>
          <w:sz w:val="30"/>
          <w:szCs w:val="30"/>
          <w:lang w:val="en-US" w:eastAsia="zh-CN"/>
        </w:rPr>
        <w:t>5</w:t>
      </w:r>
      <w:r>
        <w:rPr>
          <w:rFonts w:hint="default" w:ascii="Times New Roman" w:hAnsi="Times New Roman" w:eastAsia="方正楷体_GBK" w:cs="Times New Roman"/>
          <w:b/>
          <w:bCs w:val="0"/>
          <w:color w:val="auto"/>
          <w:spacing w:val="0"/>
          <w:kern w:val="36"/>
          <w:sz w:val="30"/>
          <w:szCs w:val="30"/>
          <w:lang w:val="en-US" w:eastAsia="zh-CN"/>
        </w:rPr>
        <w:t>月</w:t>
      </w:r>
      <w:r>
        <w:rPr>
          <w:rFonts w:hint="eastAsia" w:ascii="Times New Roman" w:hAnsi="Times New Roman" w:eastAsia="方正楷体_GBK" w:cs="Times New Roman"/>
          <w:b/>
          <w:bCs w:val="0"/>
          <w:color w:val="auto"/>
          <w:spacing w:val="0"/>
          <w:kern w:val="36"/>
          <w:sz w:val="30"/>
          <w:szCs w:val="30"/>
          <w:lang w:val="en-US" w:eastAsia="zh-CN"/>
        </w:rPr>
        <w:t>4</w:t>
      </w:r>
      <w:r>
        <w:rPr>
          <w:rFonts w:hint="default" w:ascii="Times New Roman" w:hAnsi="Times New Roman" w:eastAsia="方正楷体_GBK" w:cs="Times New Roman"/>
          <w:b/>
          <w:bCs w:val="0"/>
          <w:color w:val="auto"/>
          <w:spacing w:val="0"/>
          <w:kern w:val="36"/>
          <w:sz w:val="30"/>
          <w:szCs w:val="30"/>
          <w:lang w:val="en-US" w:eastAsia="zh-CN"/>
        </w:rPr>
        <w:t>日（周</w:t>
      </w:r>
      <w:r>
        <w:rPr>
          <w:rFonts w:hint="eastAsia" w:ascii="Times New Roman" w:hAnsi="Times New Roman" w:eastAsia="方正楷体_GBK" w:cs="Times New Roman"/>
          <w:b/>
          <w:bCs w:val="0"/>
          <w:color w:val="auto"/>
          <w:spacing w:val="0"/>
          <w:kern w:val="36"/>
          <w:sz w:val="30"/>
          <w:szCs w:val="30"/>
          <w:lang w:val="en-US" w:eastAsia="zh-CN"/>
        </w:rPr>
        <w:t>六</w:t>
      </w:r>
      <w:r>
        <w:rPr>
          <w:rFonts w:hint="default" w:ascii="Times New Roman" w:hAnsi="Times New Roman" w:eastAsia="方正楷体_GBK" w:cs="Times New Roman"/>
          <w:b/>
          <w:bCs w:val="0"/>
          <w:color w:val="auto"/>
          <w:spacing w:val="0"/>
          <w:kern w:val="36"/>
          <w:sz w:val="30"/>
          <w:szCs w:val="30"/>
          <w:lang w:val="en-US" w:eastAsia="zh-CN"/>
        </w:rPr>
        <w:t>）</w:t>
      </w:r>
      <w:r>
        <w:rPr>
          <w:rFonts w:hint="eastAsia" w:ascii="Times New Roman" w:hAnsi="Times New Roman" w:eastAsia="方正楷体_GBK" w:cs="Times New Roman"/>
          <w:b/>
          <w:bCs w:val="0"/>
          <w:color w:val="auto"/>
          <w:spacing w:val="0"/>
          <w:kern w:val="36"/>
          <w:sz w:val="30"/>
          <w:szCs w:val="30"/>
          <w:lang w:val="en-US" w:eastAsia="zh-CN"/>
        </w:rPr>
        <w:t>“</w:t>
      </w:r>
      <w:r>
        <w:rPr>
          <w:rFonts w:hint="eastAsia" w:ascii="Times New Roman" w:hAnsi="Times New Roman" w:eastAsia="方正楷体_GBK" w:cs="Times New Roman"/>
          <w:b/>
          <w:color w:val="auto"/>
          <w:spacing w:val="0"/>
          <w:kern w:val="36"/>
          <w:sz w:val="30"/>
          <w:szCs w:val="30"/>
          <w:lang w:val="en-US" w:eastAsia="zh-CN"/>
        </w:rPr>
        <w:t xml:space="preserve">大非农”数据爆冷受欢迎，PMI指标分歧惹狐疑 </w:t>
      </w:r>
      <w:r>
        <w:rPr>
          <w:rFonts w:hint="default" w:ascii="Times New Roman" w:hAnsi="Times New Roman" w:eastAsia="方正楷体_GBK" w:cs="Times New Roman"/>
          <w:b/>
          <w:bCs w:val="0"/>
          <w:color w:val="auto"/>
          <w:spacing w:val="0"/>
          <w:kern w:val="36"/>
          <w:sz w:val="30"/>
          <w:szCs w:val="30"/>
          <w:lang w:val="en-US" w:eastAsia="zh-CN"/>
        </w:rPr>
        <w:t xml:space="preserve">/ </w:t>
      </w:r>
      <w:r>
        <w:rPr>
          <w:rFonts w:hint="eastAsia" w:ascii="Times New Roman" w:hAnsi="Times New Roman" w:eastAsia="方正楷体_GBK" w:cs="Times New Roman"/>
          <w:b/>
          <w:bCs w:val="0"/>
          <w:color w:val="auto"/>
          <w:spacing w:val="0"/>
          <w:kern w:val="36"/>
          <w:sz w:val="30"/>
          <w:szCs w:val="30"/>
          <w:lang w:val="en-US" w:eastAsia="zh-CN"/>
        </w:rPr>
        <w:t>14</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28" w:firstLineChars="200"/>
        <w:contextualSpacing/>
        <w:jc w:val="left"/>
        <w:textAlignment w:val="auto"/>
        <w:outlineLvl w:val="1"/>
        <w:rPr>
          <w:rFonts w:hint="default" w:ascii="Times New Roman" w:hAnsi="Times New Roman" w:eastAsia="方正黑体_GBK" w:cs="Times New Roman"/>
          <w:b/>
          <w:color w:val="1F497D"/>
          <w:kern w:val="36"/>
          <w:sz w:val="28"/>
          <w:szCs w:val="28"/>
          <w:lang w:val="en-US" w:eastAsia="zh-CN"/>
          <w14:textFill>
            <w14:solidFill>
              <w14:srgbClr w14:val="1F497D">
                <w14:lumMod w14:val="60000"/>
                <w14:lumOff w14:val="40000"/>
              </w14:srgbClr>
            </w14:solidFill>
          </w14:textFill>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28" w:firstLineChars="200"/>
        <w:contextualSpacing/>
        <w:jc w:val="left"/>
        <w:textAlignment w:val="auto"/>
        <w:outlineLvl w:val="1"/>
        <w:rPr>
          <w:rFonts w:hint="default" w:ascii="Times New Roman" w:hAnsi="Times New Roman" w:eastAsia="方正黑体_GBK" w:cs="Times New Roman"/>
          <w:b/>
          <w:color w:val="FFC000"/>
          <w:kern w:val="36"/>
          <w:sz w:val="28"/>
          <w:szCs w:val="28"/>
          <w:lang w:val="en-US" w:eastAsia="zh-CN"/>
        </w:rPr>
      </w:pPr>
      <w:r>
        <w:rPr>
          <w:rFonts w:hint="default" w:ascii="Times New Roman" w:hAnsi="Times New Roman" w:eastAsia="方正黑体_GBK" w:cs="Times New Roman"/>
          <w:b/>
          <w:color w:val="1F497D"/>
          <w:kern w:val="36"/>
          <w:sz w:val="28"/>
          <w:szCs w:val="28"/>
          <w:lang w:val="en-US" w:eastAsia="zh-CN"/>
          <w14:textFill>
            <w14:solidFill>
              <w14:srgbClr w14:val="1F497D">
                <w14:lumMod w14:val="60000"/>
                <w14:lumOff w14:val="40000"/>
              </w14:srgbClr>
            </w14:solidFill>
          </w14:textFill>
        </w:rPr>
        <w:t xml:space="preserve">• </w:t>
      </w:r>
      <w:r>
        <w:rPr>
          <w:rFonts w:hint="default" w:ascii="Times New Roman" w:hAnsi="Times New Roman" w:eastAsia="方正黑体_GBK" w:cs="Times New Roman"/>
          <w:b/>
          <w:color w:val="1F497D"/>
          <w:kern w:val="36"/>
          <w:sz w:val="32"/>
          <w:szCs w:val="32"/>
          <w:lang w:val="en-US" w:eastAsia="zh-CN"/>
          <w14:textFill>
            <w14:solidFill>
              <w14:srgbClr w14:val="1F497D">
                <w14:lumMod w14:val="60000"/>
                <w14:lumOff w14:val="40000"/>
              </w14:srgbClr>
            </w14:solidFill>
          </w14:textFill>
        </w:rPr>
        <w:t>江苏贸促动态</w:t>
      </w:r>
      <w:r>
        <w:rPr>
          <w:rFonts w:hint="default" w:ascii="Times New Roman" w:hAnsi="Times New Roman" w:eastAsia="方正黑体_GBK" w:cs="Times New Roman"/>
          <w:b/>
          <w:color w:val="1F497D"/>
          <w:kern w:val="36"/>
          <w:sz w:val="28"/>
          <w:szCs w:val="28"/>
          <w:lang w:val="en-US" w:eastAsia="zh-CN"/>
          <w14:textFill>
            <w14:solidFill>
              <w14:srgbClr w14:val="1F497D">
                <w14:lumMod w14:val="60000"/>
                <w14:lumOff w14:val="40000"/>
              </w14:srgbClr>
            </w14:solidFill>
          </w14:textFill>
        </w:rPr>
        <w:t xml:space="preserve"> •</w:t>
      </w:r>
      <w:r>
        <w:rPr>
          <w:rFonts w:hint="default" w:ascii="Times New Roman" w:hAnsi="Times New Roman" w:eastAsia="方正黑体_GBK" w:cs="Times New Roman"/>
          <w:b/>
          <w:color w:val="00B0F0"/>
          <w:kern w:val="36"/>
          <w:sz w:val="28"/>
          <w:szCs w:val="28"/>
          <w:lang w:val="en-US" w:eastAsia="zh-CN"/>
        </w:rPr>
        <w:t xml:space="preserve"> </w:t>
      </w:r>
      <w:r>
        <w:rPr>
          <w:rFonts w:hint="default" w:ascii="Times New Roman" w:hAnsi="Times New Roman" w:eastAsia="宋体" w:cs="Times New Roman"/>
          <w:b/>
          <w:color w:val="FF0000"/>
          <w:kern w:val="36"/>
          <w:sz w:val="24"/>
          <w:szCs w:val="24"/>
          <w:lang w:val="en-US" w:eastAsia="zh-CN"/>
        </w:rPr>
        <w:t>‧‧‧‧‧‧‧‧‧‧‧‧‧‧‧‧‧‧‧‧‧‧‧‧‧‧‧‧‧‧‧‧‧‧‧‧‧‧‧‧‧‧‧‧‧‧‧‧‧‧‧‧‧‧‧‧‧‧‧‧‧‧‧‧‧‧‧‧‧‧‧‧‧‧‧‧‧‧‧‧‧‧‧‧‧‧‧‧‧‧‧‧‧‧‧‧‧‧‧‧‧‧‧</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left="550" w:leftChars="284" w:firstLine="0" w:firstLineChars="0"/>
        <w:contextualSpacing/>
        <w:textAlignment w:val="auto"/>
        <w:outlineLvl w:val="1"/>
        <w:rPr>
          <w:rFonts w:hint="eastAsia" w:ascii="Times New Roman" w:hAnsi="Times New Roman" w:eastAsia="方正楷体_GBK" w:cs="Times New Roman"/>
          <w:b/>
          <w:color w:val="auto"/>
          <w:spacing w:val="0"/>
          <w:kern w:val="36"/>
          <w:sz w:val="30"/>
          <w:szCs w:val="30"/>
          <w:lang w:val="en-US" w:eastAsia="zh-CN"/>
        </w:rPr>
      </w:pPr>
      <w:r>
        <w:rPr>
          <w:rFonts w:hint="eastAsia" w:ascii="Times New Roman" w:hAnsi="Times New Roman" w:eastAsia="方正楷体_GBK" w:cs="Times New Roman"/>
          <w:b/>
          <w:color w:val="auto"/>
          <w:spacing w:val="0"/>
          <w:kern w:val="36"/>
          <w:sz w:val="30"/>
          <w:szCs w:val="30"/>
          <w:lang w:val="en-US" w:eastAsia="zh-CN"/>
        </w:rPr>
        <w:t xml:space="preserve">省贸促会举办会党组理论学习中心组学习（扩大）会暨党纪学习教育专题读书班 </w:t>
      </w:r>
      <w:r>
        <w:rPr>
          <w:rFonts w:hint="default" w:ascii="Times New Roman" w:hAnsi="Times New Roman" w:eastAsia="方正楷体_GBK" w:cs="Times New Roman"/>
          <w:b/>
          <w:color w:val="auto"/>
          <w:spacing w:val="0"/>
          <w:kern w:val="36"/>
          <w:sz w:val="30"/>
          <w:szCs w:val="30"/>
          <w:lang w:val="en-US" w:eastAsia="zh-CN"/>
        </w:rPr>
        <w:t>/</w:t>
      </w:r>
      <w:r>
        <w:rPr>
          <w:rFonts w:hint="eastAsia" w:ascii="Times New Roman" w:hAnsi="Times New Roman" w:eastAsia="方正楷体_GBK" w:cs="Times New Roman"/>
          <w:b/>
          <w:color w:val="auto"/>
          <w:spacing w:val="0"/>
          <w:kern w:val="36"/>
          <w:sz w:val="30"/>
          <w:szCs w:val="30"/>
          <w:lang w:val="en-US" w:eastAsia="zh-CN"/>
        </w:rPr>
        <w:t xml:space="preserve"> 1</w:t>
      </w:r>
      <w:r>
        <w:rPr>
          <w:rFonts w:hint="eastAsia" w:ascii="Times New Roman" w:hAnsi="Times New Roman" w:eastAsia="方正楷体_GBK" w:cs="Times New Roman"/>
          <w:b/>
          <w:bCs w:val="0"/>
          <w:color w:val="auto"/>
          <w:spacing w:val="0"/>
          <w:kern w:val="36"/>
          <w:sz w:val="30"/>
          <w:szCs w:val="30"/>
          <w:lang w:val="en-US" w:eastAsia="zh-CN"/>
        </w:rPr>
        <w:t>7</w:t>
      </w:r>
      <w:r>
        <w:rPr>
          <w:rFonts w:hint="eastAsia" w:ascii="Times New Roman" w:hAnsi="Times New Roman" w:eastAsia="方正楷体_GBK" w:cs="Times New Roman"/>
          <w:b/>
          <w:color w:val="auto"/>
          <w:spacing w:val="0"/>
          <w:kern w:val="36"/>
          <w:sz w:val="30"/>
          <w:szCs w:val="30"/>
          <w:lang w:val="en-US" w:eastAsia="zh-CN"/>
        </w:rPr>
        <w:t xml:space="preserve"> </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568" w:firstLineChars="200"/>
        <w:contextualSpacing/>
        <w:textAlignment w:val="auto"/>
        <w:outlineLvl w:val="1"/>
        <w:rPr>
          <w:rFonts w:hint="default" w:ascii="Times New Roman" w:hAnsi="Times New Roman" w:eastAsia="方正楷体_GBK" w:cs="Times New Roman"/>
          <w:b/>
          <w:color w:val="auto"/>
          <w:spacing w:val="0"/>
          <w:kern w:val="36"/>
          <w:sz w:val="30"/>
          <w:szCs w:val="30"/>
          <w:lang w:val="en-US" w:eastAsia="zh-CN"/>
        </w:rPr>
      </w:pPr>
      <w:r>
        <w:rPr>
          <w:rFonts w:hint="eastAsia" w:ascii="Times New Roman" w:hAnsi="Times New Roman" w:eastAsia="方正楷体_GBK" w:cs="Times New Roman"/>
          <w:b/>
          <w:color w:val="auto"/>
          <w:spacing w:val="0"/>
          <w:kern w:val="36"/>
          <w:sz w:val="30"/>
          <w:szCs w:val="30"/>
          <w:lang w:val="en-US" w:eastAsia="zh-CN"/>
        </w:rPr>
        <w:t>省贸促会开展德企泰州行活动需求调研活动</w:t>
      </w:r>
      <w:r>
        <w:rPr>
          <w:rFonts w:hint="default" w:ascii="Times New Roman" w:hAnsi="Times New Roman" w:eastAsia="方正楷体_GBK" w:cs="Times New Roman"/>
          <w:b/>
          <w:color w:val="auto"/>
          <w:spacing w:val="0"/>
          <w:kern w:val="36"/>
          <w:sz w:val="30"/>
          <w:szCs w:val="30"/>
          <w:lang w:val="en-US" w:eastAsia="zh-CN"/>
        </w:rPr>
        <w:t>/</w:t>
      </w:r>
      <w:r>
        <w:rPr>
          <w:rFonts w:hint="eastAsia" w:ascii="Times New Roman" w:hAnsi="Times New Roman" w:eastAsia="方正楷体_GBK" w:cs="Times New Roman"/>
          <w:b/>
          <w:color w:val="auto"/>
          <w:spacing w:val="0"/>
          <w:kern w:val="36"/>
          <w:sz w:val="30"/>
          <w:szCs w:val="30"/>
          <w:lang w:val="en-US" w:eastAsia="zh-CN"/>
        </w:rPr>
        <w:t>20</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568" w:firstLineChars="200"/>
        <w:contextualSpacing/>
        <w:textAlignment w:val="auto"/>
        <w:outlineLvl w:val="1"/>
        <w:rPr>
          <w:rFonts w:hint="eastAsia" w:ascii="Times New Roman" w:hAnsi="Times New Roman" w:eastAsia="方正楷体_GBK" w:cs="Times New Roman"/>
          <w:b/>
          <w:color w:val="auto"/>
          <w:spacing w:val="0"/>
          <w:kern w:val="36"/>
          <w:sz w:val="30"/>
          <w:szCs w:val="30"/>
          <w:lang w:val="en-US" w:eastAsia="zh-CN"/>
        </w:rPr>
      </w:pPr>
      <w:r>
        <w:rPr>
          <w:rFonts w:hint="eastAsia" w:ascii="Times New Roman" w:hAnsi="Times New Roman" w:eastAsia="方正楷体_GBK" w:cs="Times New Roman"/>
          <w:b/>
          <w:color w:val="auto"/>
          <w:spacing w:val="0"/>
          <w:kern w:val="36"/>
          <w:sz w:val="30"/>
          <w:szCs w:val="30"/>
          <w:lang w:val="en-US" w:eastAsia="zh-CN"/>
        </w:rPr>
        <w:t xml:space="preserve">省贸促会领导出席美中贸易全国委员会上海代表处活动 </w:t>
      </w:r>
      <w:r>
        <w:rPr>
          <w:rFonts w:hint="default" w:ascii="Times New Roman" w:hAnsi="Times New Roman" w:eastAsia="方正楷体_GBK" w:cs="Times New Roman"/>
          <w:b/>
          <w:color w:val="auto"/>
          <w:spacing w:val="0"/>
          <w:kern w:val="36"/>
          <w:sz w:val="30"/>
          <w:szCs w:val="30"/>
          <w:lang w:val="en-US" w:eastAsia="zh-CN"/>
        </w:rPr>
        <w:t>/</w:t>
      </w:r>
      <w:r>
        <w:rPr>
          <w:rFonts w:hint="eastAsia" w:ascii="Times New Roman" w:hAnsi="Times New Roman" w:eastAsia="方正楷体_GBK" w:cs="Times New Roman"/>
          <w:b/>
          <w:color w:val="auto"/>
          <w:spacing w:val="0"/>
          <w:kern w:val="36"/>
          <w:sz w:val="30"/>
          <w:szCs w:val="30"/>
          <w:lang w:val="en-US" w:eastAsia="zh-CN"/>
        </w:rPr>
        <w:t xml:space="preserve"> 21 </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568" w:firstLineChars="200"/>
        <w:contextualSpacing/>
        <w:textAlignment w:val="auto"/>
        <w:outlineLvl w:val="1"/>
        <w:rPr>
          <w:rFonts w:hint="default" w:ascii="Times New Roman" w:hAnsi="Times New Roman" w:eastAsia="方正楷体_GBK" w:cs="Times New Roman"/>
          <w:b/>
          <w:color w:val="auto"/>
          <w:spacing w:val="0"/>
          <w:kern w:val="36"/>
          <w:sz w:val="30"/>
          <w:szCs w:val="30"/>
          <w:lang w:val="en-US" w:eastAsia="zh-CN"/>
        </w:rPr>
      </w:pPr>
      <w:r>
        <w:rPr>
          <w:rFonts w:hint="eastAsia" w:ascii="Times New Roman" w:hAnsi="Times New Roman" w:eastAsia="方正楷体_GBK" w:cs="Times New Roman"/>
          <w:b/>
          <w:color w:val="auto"/>
          <w:spacing w:val="0"/>
          <w:kern w:val="36"/>
          <w:sz w:val="30"/>
          <w:szCs w:val="30"/>
          <w:lang w:val="en-US" w:eastAsia="zh-CN"/>
        </w:rPr>
        <w:t xml:space="preserve">中国国际商会贸易促进中心领导赴南通调研考察 </w:t>
      </w:r>
      <w:r>
        <w:rPr>
          <w:rFonts w:hint="default" w:ascii="Times New Roman" w:hAnsi="Times New Roman" w:eastAsia="方正楷体_GBK" w:cs="Times New Roman"/>
          <w:b/>
          <w:color w:val="auto"/>
          <w:spacing w:val="0"/>
          <w:kern w:val="36"/>
          <w:sz w:val="30"/>
          <w:szCs w:val="30"/>
          <w:lang w:val="en-US" w:eastAsia="zh-CN"/>
        </w:rPr>
        <w:t>/</w:t>
      </w:r>
      <w:r>
        <w:rPr>
          <w:rFonts w:hint="eastAsia" w:ascii="Times New Roman" w:hAnsi="Times New Roman" w:eastAsia="方正楷体_GBK" w:cs="Times New Roman"/>
          <w:b/>
          <w:color w:val="auto"/>
          <w:spacing w:val="0"/>
          <w:kern w:val="36"/>
          <w:sz w:val="30"/>
          <w:szCs w:val="30"/>
          <w:lang w:val="en-US" w:eastAsia="zh-CN"/>
        </w:rPr>
        <w:t xml:space="preserve"> 21</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568" w:firstLineChars="200"/>
        <w:contextualSpacing/>
        <w:textAlignment w:val="auto"/>
        <w:outlineLvl w:val="1"/>
        <w:rPr>
          <w:rFonts w:hint="eastAsia" w:ascii="Times New Roman" w:hAnsi="Times New Roman" w:eastAsia="方正楷体_GBK" w:cs="Times New Roman"/>
          <w:b/>
          <w:color w:val="auto"/>
          <w:spacing w:val="0"/>
          <w:kern w:val="36"/>
          <w:sz w:val="30"/>
          <w:szCs w:val="30"/>
          <w:lang w:val="en-US" w:eastAsia="zh-CN"/>
        </w:rPr>
      </w:pPr>
      <w:r>
        <w:rPr>
          <w:rFonts w:hint="eastAsia" w:ascii="Times New Roman" w:hAnsi="Times New Roman" w:eastAsia="方正楷体_GBK" w:cs="Times New Roman"/>
          <w:b/>
          <w:color w:val="auto"/>
          <w:spacing w:val="0"/>
          <w:kern w:val="36"/>
          <w:sz w:val="30"/>
          <w:szCs w:val="30"/>
          <w:lang w:val="en-US" w:eastAsia="zh-CN"/>
        </w:rPr>
        <w:t xml:space="preserve">阿里淘工厂扬州优势产业对接会成功举办 </w:t>
      </w:r>
      <w:r>
        <w:rPr>
          <w:rFonts w:hint="default" w:ascii="Times New Roman" w:hAnsi="Times New Roman" w:eastAsia="方正楷体_GBK" w:cs="Times New Roman"/>
          <w:b/>
          <w:color w:val="auto"/>
          <w:spacing w:val="0"/>
          <w:kern w:val="36"/>
          <w:sz w:val="30"/>
          <w:szCs w:val="30"/>
          <w:lang w:val="en-US" w:eastAsia="zh-CN"/>
        </w:rPr>
        <w:t>/</w:t>
      </w:r>
      <w:r>
        <w:rPr>
          <w:rFonts w:hint="eastAsia" w:ascii="Times New Roman" w:hAnsi="Times New Roman" w:eastAsia="方正楷体_GBK" w:cs="Times New Roman"/>
          <w:b/>
          <w:color w:val="auto"/>
          <w:spacing w:val="0"/>
          <w:kern w:val="36"/>
          <w:sz w:val="30"/>
          <w:szCs w:val="30"/>
          <w:lang w:val="en-US" w:eastAsia="zh-CN"/>
        </w:rPr>
        <w:t xml:space="preserve"> 22 </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568" w:firstLineChars="200"/>
        <w:contextualSpacing/>
        <w:textAlignment w:val="auto"/>
        <w:outlineLvl w:val="1"/>
        <w:rPr>
          <w:rFonts w:hint="default" w:ascii="Times New Roman" w:hAnsi="Times New Roman" w:eastAsia="方正楷体_GBK" w:cs="Times New Roman"/>
          <w:b/>
          <w:color w:val="auto"/>
          <w:spacing w:val="0"/>
          <w:kern w:val="36"/>
          <w:sz w:val="30"/>
          <w:szCs w:val="30"/>
          <w:lang w:val="en-US" w:eastAsia="zh-CN"/>
        </w:rPr>
      </w:pPr>
      <w:r>
        <w:rPr>
          <w:rFonts w:hint="eastAsia" w:ascii="Times New Roman" w:hAnsi="Times New Roman" w:eastAsia="方正楷体_GBK" w:cs="Times New Roman"/>
          <w:b/>
          <w:color w:val="auto"/>
          <w:spacing w:val="0"/>
          <w:kern w:val="36"/>
          <w:sz w:val="30"/>
          <w:szCs w:val="30"/>
          <w:lang w:val="en-US" w:eastAsia="zh-CN"/>
        </w:rPr>
        <w:t xml:space="preserve">昆山市首场企业贸易合规业务交流活动成功举办 </w:t>
      </w:r>
      <w:r>
        <w:rPr>
          <w:rFonts w:hint="default" w:ascii="Times New Roman" w:hAnsi="Times New Roman" w:eastAsia="方正楷体_GBK" w:cs="Times New Roman"/>
          <w:b/>
          <w:color w:val="auto"/>
          <w:spacing w:val="0"/>
          <w:kern w:val="36"/>
          <w:sz w:val="30"/>
          <w:szCs w:val="30"/>
          <w:lang w:val="en-US" w:eastAsia="zh-CN"/>
        </w:rPr>
        <w:t>/</w:t>
      </w:r>
      <w:r>
        <w:rPr>
          <w:rFonts w:hint="eastAsia" w:ascii="Times New Roman" w:hAnsi="Times New Roman" w:eastAsia="方正楷体_GBK" w:cs="Times New Roman"/>
          <w:b/>
          <w:color w:val="auto"/>
          <w:spacing w:val="0"/>
          <w:kern w:val="36"/>
          <w:sz w:val="30"/>
          <w:szCs w:val="30"/>
          <w:lang w:val="en-US" w:eastAsia="zh-CN"/>
        </w:rPr>
        <w:t xml:space="preserve"> 23</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imes New Roman" w:hAnsi="Times New Roman" w:eastAsia="方正黑体_GBK" w:cs="Times New Roman"/>
          <w:b/>
          <w:color w:val="FFC000"/>
          <w:kern w:val="36"/>
          <w:sz w:val="32"/>
          <w:szCs w:val="32"/>
          <w:lang w:val="en-US" w:eastAsia="zh-CN"/>
        </w:rPr>
      </w:pPr>
      <w:r>
        <w:rPr>
          <w:rFonts w:hint="default" w:ascii="Times New Roman" w:hAnsi="Times New Roman" w:eastAsia="方正黑体_GBK" w:cs="Times New Roman"/>
          <w:b/>
          <w:color w:val="1F497D"/>
          <w:kern w:val="36"/>
          <w:sz w:val="32"/>
          <w:szCs w:val="32"/>
          <w:lang w:val="en-US" w:eastAsia="zh-CN"/>
          <w14:textFill>
            <w14:solidFill>
              <w14:srgbClr w14:val="1F497D">
                <w14:lumMod w14:val="60000"/>
                <w14:lumOff w14:val="40000"/>
              </w14:srgbClr>
            </w14:solidFill>
          </w14:textFill>
        </w:rPr>
        <w:t xml:space="preserve">• 会员企业风采 • </w:t>
      </w:r>
      <w:r>
        <w:rPr>
          <w:rFonts w:hint="default" w:ascii="Times New Roman" w:hAnsi="Times New Roman" w:eastAsia="宋体" w:cs="Times New Roman"/>
          <w:b/>
          <w:color w:val="FF0000"/>
          <w:kern w:val="36"/>
          <w:sz w:val="32"/>
          <w:szCs w:val="32"/>
          <w:lang w:val="en-US" w:eastAsia="zh-CN"/>
        </w:rPr>
        <w:t>‧‧‧‧‧‧‧‧‧‧‧‧‧‧‧‧‧‧‧‧‧‧‧‧‧‧‧‧‧‧‧‧‧‧‧‧‧‧‧‧‧‧‧‧‧‧‧‧‧‧‧‧‧‧‧‧‧‧‧‧‧‧‧‧‧‧‧‧‧‧‧‧‧‧‧‧‧‧</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left="550" w:leftChars="284" w:firstLine="0" w:firstLineChars="0"/>
        <w:contextualSpacing/>
        <w:textAlignment w:val="auto"/>
        <w:outlineLvl w:val="1"/>
        <w:rPr>
          <w:rFonts w:hint="default" w:ascii="Times New Roman" w:hAnsi="Times New Roman" w:eastAsia="方正楷体_GBK" w:cs="Times New Roman"/>
          <w:b/>
          <w:color w:val="auto"/>
          <w:spacing w:val="0"/>
          <w:kern w:val="36"/>
          <w:sz w:val="30"/>
          <w:szCs w:val="30"/>
          <w:lang w:val="en-US" w:eastAsia="zh-CN"/>
        </w:rPr>
      </w:pPr>
      <w:r>
        <w:rPr>
          <w:rFonts w:hint="eastAsia" w:ascii="Times New Roman" w:hAnsi="Times New Roman" w:eastAsia="方正楷体_GBK" w:cs="Times New Roman"/>
          <w:b/>
          <w:color w:val="auto"/>
          <w:spacing w:val="0"/>
          <w:kern w:val="36"/>
          <w:sz w:val="30"/>
          <w:szCs w:val="30"/>
          <w:lang w:val="en-US" w:eastAsia="zh-CN"/>
        </w:rPr>
        <w:t xml:space="preserve">《创新世界周刊》刊发江苏悦达集团党委书记、董事长张乃文的署名文章：加快建设绿色甲醇认证标准体系 </w:t>
      </w:r>
      <w:r>
        <w:rPr>
          <w:rFonts w:hint="default" w:ascii="Times New Roman" w:hAnsi="Times New Roman" w:eastAsia="方正楷体_GBK" w:cs="Times New Roman"/>
          <w:b/>
          <w:color w:val="auto"/>
          <w:spacing w:val="0"/>
          <w:kern w:val="36"/>
          <w:sz w:val="30"/>
          <w:szCs w:val="30"/>
          <w:lang w:val="en-US" w:eastAsia="zh-CN"/>
        </w:rPr>
        <w:t>/</w:t>
      </w:r>
      <w:r>
        <w:rPr>
          <w:rFonts w:hint="eastAsia" w:ascii="Times New Roman" w:hAnsi="Times New Roman" w:eastAsia="方正楷体_GBK" w:cs="Times New Roman"/>
          <w:b/>
          <w:color w:val="auto"/>
          <w:spacing w:val="0"/>
          <w:kern w:val="36"/>
          <w:sz w:val="30"/>
          <w:szCs w:val="30"/>
          <w:lang w:val="en-US" w:eastAsia="zh-CN"/>
        </w:rPr>
        <w:t xml:space="preserve"> 25</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left="550" w:leftChars="284" w:firstLine="0" w:firstLineChars="0"/>
        <w:contextualSpacing/>
        <w:textAlignment w:val="auto"/>
        <w:outlineLvl w:val="1"/>
        <w:rPr>
          <w:rFonts w:hint="default" w:ascii="Times New Roman" w:hAnsi="Times New Roman" w:eastAsia="方正楷体_GBK" w:cs="Times New Roman"/>
          <w:b/>
          <w:color w:val="auto"/>
          <w:kern w:val="36"/>
          <w:sz w:val="30"/>
          <w:szCs w:val="30"/>
          <w:lang w:val="en-US" w:eastAsia="zh-CN"/>
        </w:rPr>
      </w:pPr>
      <w:r>
        <w:rPr>
          <w:rFonts w:hint="eastAsia" w:ascii="Times New Roman" w:hAnsi="Times New Roman" w:eastAsia="方正楷体_GBK" w:cs="Times New Roman"/>
          <w:b/>
          <w:color w:val="auto"/>
          <w:spacing w:val="0"/>
          <w:kern w:val="36"/>
          <w:sz w:val="30"/>
          <w:szCs w:val="30"/>
          <w:lang w:val="en-US" w:eastAsia="zh-CN"/>
        </w:rPr>
        <w:t>镔钢集团荣获“2024年长三角优特钢行业最具潜力生产企业”殊荣</w:t>
      </w:r>
      <w:r>
        <w:rPr>
          <w:rFonts w:hint="default" w:ascii="Times New Roman" w:hAnsi="Times New Roman" w:eastAsia="方正楷体_GBK" w:cs="Times New Roman"/>
          <w:b/>
          <w:color w:val="auto"/>
          <w:kern w:val="36"/>
          <w:sz w:val="30"/>
          <w:szCs w:val="30"/>
          <w:lang w:val="en-US" w:eastAsia="zh-CN"/>
        </w:rPr>
        <w:t>/</w:t>
      </w:r>
      <w:r>
        <w:rPr>
          <w:rFonts w:hint="eastAsia" w:ascii="Times New Roman" w:hAnsi="Times New Roman" w:eastAsia="方正楷体_GBK" w:cs="Times New Roman"/>
          <w:b/>
          <w:color w:val="auto"/>
          <w:kern w:val="36"/>
          <w:sz w:val="30"/>
          <w:szCs w:val="30"/>
          <w:lang w:val="en-US" w:eastAsia="zh-CN"/>
        </w:rPr>
        <w:t xml:space="preserve"> 29</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left="550" w:leftChars="284" w:firstLine="0" w:firstLineChars="0"/>
        <w:contextualSpacing/>
        <w:textAlignment w:val="auto"/>
        <w:outlineLvl w:val="1"/>
        <w:rPr>
          <w:rFonts w:hint="default" w:ascii="Times New Roman" w:hAnsi="Times New Roman" w:eastAsia="方正楷体_GBK" w:cs="Times New Roman"/>
          <w:b/>
          <w:color w:val="auto"/>
          <w:kern w:val="36"/>
          <w:sz w:val="30"/>
          <w:szCs w:val="30"/>
          <w:lang w:val="en-US" w:eastAsia="zh-CN"/>
        </w:rPr>
      </w:pPr>
      <w:r>
        <w:rPr>
          <w:rFonts w:hint="eastAsia" w:ascii="Times New Roman" w:hAnsi="Times New Roman" w:eastAsia="方正楷体_GBK" w:cs="Times New Roman"/>
          <w:b/>
          <w:color w:val="auto"/>
          <w:spacing w:val="0"/>
          <w:kern w:val="36"/>
          <w:sz w:val="30"/>
          <w:szCs w:val="30"/>
          <w:lang w:val="en-US" w:eastAsia="zh-CN"/>
        </w:rPr>
        <w:t>瑞祥全球购超市有限公司入选“2023年度江苏省‘正版正货’企业”</w:t>
      </w:r>
      <w:r>
        <w:rPr>
          <w:rFonts w:hint="default" w:ascii="Times New Roman" w:hAnsi="Times New Roman" w:eastAsia="方正楷体_GBK" w:cs="Times New Roman"/>
          <w:b/>
          <w:color w:val="auto"/>
          <w:kern w:val="36"/>
          <w:sz w:val="30"/>
          <w:szCs w:val="30"/>
          <w:lang w:val="en-US" w:eastAsia="zh-CN"/>
        </w:rPr>
        <w:t>/</w:t>
      </w:r>
      <w:r>
        <w:rPr>
          <w:rFonts w:hint="eastAsia" w:ascii="Times New Roman" w:hAnsi="Times New Roman" w:eastAsia="方正楷体_GBK" w:cs="Times New Roman"/>
          <w:b/>
          <w:color w:val="auto"/>
          <w:kern w:val="36"/>
          <w:sz w:val="30"/>
          <w:szCs w:val="30"/>
          <w:lang w:val="en-US" w:eastAsia="zh-CN"/>
        </w:rPr>
        <w:t xml:space="preserve"> 30</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568" w:firstLineChars="200"/>
        <w:contextualSpacing/>
        <w:textAlignment w:val="auto"/>
        <w:outlineLvl w:val="1"/>
        <w:rPr>
          <w:rFonts w:hint="default" w:ascii="Times New Roman" w:hAnsi="Times New Roman" w:eastAsia="方正楷体_GBK" w:cs="Times New Roman"/>
          <w:b/>
          <w:color w:val="auto"/>
          <w:spacing w:val="0"/>
          <w:kern w:val="36"/>
          <w:sz w:val="30"/>
          <w:szCs w:val="30"/>
          <w:lang w:val="en-US" w:eastAsia="zh-CN"/>
        </w:rPr>
        <w:sectPr>
          <w:footerReference r:id="rId3" w:type="default"/>
          <w:pgSz w:w="11906" w:h="16838"/>
          <w:pgMar w:top="2098" w:right="1474" w:bottom="1984" w:left="1587" w:header="1417" w:footer="992" w:gutter="0"/>
          <w:pgBorders>
            <w:top w:val="single" w:color="F82206" w:sz="48" w:space="1"/>
            <w:left w:val="single" w:color="F82206" w:sz="48" w:space="4"/>
            <w:bottom w:val="single" w:color="F82206" w:sz="48" w:space="1"/>
            <w:right w:val="single" w:color="F82206" w:sz="48" w:space="4"/>
          </w:pgBorders>
          <w:pgNumType w:fmt="decimal" w:start="1"/>
          <w:cols w:space="425" w:num="1"/>
          <w:docGrid w:type="linesAndChars" w:linePitch="290" w:charSpace="-3420"/>
        </w:sectPr>
      </w:pP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经典行楷简" w:cs="Times New Roman"/>
          <w:b/>
          <w:color w:val="1F497D"/>
          <w:kern w:val="36"/>
          <w:sz w:val="96"/>
          <w:szCs w:val="96"/>
          <w:u w:val="none" w:color="BB120F"/>
          <w:lang w:val="en-US" w:eastAsia="zh-CN"/>
          <w14:textFill>
            <w14:solidFill>
              <w14:srgbClr w14:val="1F497D">
                <w14:lumMod w14:val="60000"/>
                <w14:lumOff w14:val="40000"/>
              </w14:srgbClr>
            </w14:solidFill>
          </w14:textFill>
        </w:rPr>
      </w:pPr>
      <w:r>
        <w:rPr>
          <w:rFonts w:hint="default" w:ascii="Times New Roman" w:hAnsi="Times New Roman" w:eastAsia="经典行楷简" w:cs="Times New Roman"/>
          <w:b/>
          <w:color w:val="1F497D"/>
          <w:kern w:val="36"/>
          <w:sz w:val="96"/>
          <w:szCs w:val="96"/>
          <w:u w:val="none" w:color="BB120F"/>
          <w:lang w:val="en-US" w:eastAsia="zh-CN"/>
          <w14:textFill>
            <w14:solidFill>
              <w14:srgbClr w14:val="1F497D">
                <w14:lumMod w14:val="60000"/>
                <w14:lumOff w14:val="40000"/>
              </w14:srgbClr>
            </w14:solidFill>
          </w14:textFill>
        </w:rPr>
        <w:t>全球市场资讯</w:t>
      </w:r>
    </w:p>
    <w:p>
      <w:pPr>
        <w:jc w:val="left"/>
        <w:rPr>
          <w:rFonts w:hint="eastAsia" w:ascii="Times New Roman" w:hAnsi="Times New Roman" w:eastAsia="方正小标宋_GBK" w:cs="Times New Roman"/>
          <w:b/>
          <w:bCs/>
          <w:color w:val="FF0000"/>
          <w:sz w:val="32"/>
          <w:szCs w:val="40"/>
          <w:highlight w:val="yellow"/>
          <w:lang w:val="en-US" w:eastAsia="zh-CN"/>
        </w:rPr>
      </w:pPr>
      <w:r>
        <w:rPr>
          <w:rFonts w:hint="eastAsia" w:ascii="Times New Roman" w:hAnsi="Times New Roman" w:eastAsia="方正小标宋_GBK" w:cs="Times New Roman"/>
          <w:b/>
          <w:bCs/>
          <w:color w:val="FF0000"/>
          <w:sz w:val="32"/>
          <w:szCs w:val="40"/>
          <w:highlight w:val="yellow"/>
          <w:lang w:val="en-US" w:eastAsia="zh-CN"/>
        </w:rPr>
        <w:t>4月27日（周六）</w:t>
      </w:r>
    </w:p>
    <w:p>
      <w:pPr>
        <w:jc w:val="center"/>
        <w:rPr>
          <w:rFonts w:hint="eastAsia" w:ascii="Times New Roman" w:hAnsi="Times New Roman" w:eastAsia="方正小标宋_GBK" w:cs="Times New Roman"/>
          <w:b/>
          <w:bCs/>
          <w:color w:val="0000FF"/>
          <w:sz w:val="36"/>
          <w:szCs w:val="44"/>
          <w:highlight w:val="yellow"/>
          <w:lang w:val="en-US" w:eastAsia="zh-CN"/>
        </w:rPr>
      </w:pPr>
      <w:r>
        <w:rPr>
          <w:rFonts w:hint="eastAsia" w:ascii="Times New Roman" w:hAnsi="Times New Roman" w:eastAsia="方正小标宋_GBK" w:cs="Times New Roman"/>
          <w:b/>
          <w:bCs/>
          <w:color w:val="0000FF"/>
          <w:sz w:val="36"/>
          <w:szCs w:val="44"/>
          <w:highlight w:val="yellow"/>
          <w:lang w:val="en-US" w:eastAsia="zh-CN"/>
        </w:rPr>
        <w:t>3月PCE超预期，上半年降息似无望</w:t>
      </w:r>
    </w:p>
    <w:p>
      <w:pPr>
        <w:ind w:firstLine="608" w:firstLineChars="200"/>
        <w:jc w:val="both"/>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美国经济分析局在周四发布PCE物价指数的一季度数据后，于次日（周五）发布了3月份数据（见表格）。</w:t>
      </w:r>
    </w:p>
    <w:p>
      <w:pPr>
        <w:jc w:val="center"/>
      </w:pPr>
      <w:r>
        <w:rPr>
          <w:rFonts w:hint="eastAsia" w:ascii="Times New Roman" w:hAnsi="Times New Roman" w:cs="Times New Roman"/>
          <w:sz w:val="32"/>
          <w:szCs w:val="32"/>
          <w:lang w:val="en-US" w:eastAsia="zh-CN"/>
        </w:rPr>
        <w:drawing>
          <wp:anchor distT="0" distB="0" distL="114300" distR="114300" simplePos="0" relativeHeight="251659264" behindDoc="0" locked="0" layoutInCell="1" allowOverlap="1">
            <wp:simplePos x="0" y="0"/>
            <wp:positionH relativeFrom="column">
              <wp:posOffset>99060</wp:posOffset>
            </wp:positionH>
            <wp:positionV relativeFrom="paragraph">
              <wp:posOffset>34925</wp:posOffset>
            </wp:positionV>
            <wp:extent cx="5470525" cy="1223645"/>
            <wp:effectExtent l="0" t="0" r="15875" b="14605"/>
            <wp:wrapSquare wrapText="bothSides"/>
            <wp:docPr id="1" name="图片 1" descr="图片1-4月29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4月29日"/>
                    <pic:cNvPicPr>
                      <a:picLocks noChangeAspect="1"/>
                    </pic:cNvPicPr>
                  </pic:nvPicPr>
                  <pic:blipFill>
                    <a:blip r:embed="rId6"/>
                    <a:stretch>
                      <a:fillRect/>
                    </a:stretch>
                  </pic:blipFill>
                  <pic:spPr>
                    <a:xfrm>
                      <a:off x="0" y="0"/>
                      <a:ext cx="5470525" cy="1223645"/>
                    </a:xfrm>
                    <a:prstGeom prst="rect">
                      <a:avLst/>
                    </a:prstGeom>
                  </pic:spPr>
                </pic:pic>
              </a:graphicData>
            </a:graphic>
          </wp:anchor>
        </w:drawing>
      </w:r>
    </w:p>
    <w:p>
      <w:pPr>
        <w:ind w:firstLine="608" w:firstLineChars="200"/>
        <w:jc w:val="left"/>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3月份PCE数据超预期，服务业通胀是主要推手。</w:t>
      </w:r>
    </w:p>
    <w:p>
      <w:pPr>
        <w:ind w:firstLine="608" w:firstLineChars="200"/>
        <w:jc w:val="both"/>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服务业的定价相对复杂，涉及到人力资源成本、运营成本以及市场竞争等因素，价格调整需要时间和考虑多个因素，因此价格调整速度相对较慢；相比之下，商品通胀一般受供需关系、原材料成本和市场竞争等因素的影响，价格更易波动和调整。所以，服务业通胀比商品通胀更具有粘性，解决起来也更为棘手。</w:t>
      </w:r>
    </w:p>
    <w:p>
      <w:pPr>
        <w:ind w:firstLine="608" w:firstLineChars="200"/>
        <w:jc w:val="both"/>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鉴于此，市场普遍对美联储6月降息已不抱期望——2024年上半年，美联储的首要任务仍是与通胀作斗争。</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jc w:val="left"/>
        <w:textAlignment w:val="auto"/>
        <w:rPr>
          <w:rFonts w:hint="eastAsia" w:ascii="Times New Roman" w:hAnsi="Times New Roman" w:eastAsia="方正小标宋_GBK" w:cs="Times New Roman"/>
          <w:b/>
          <w:bCs/>
          <w:color w:val="FF0000"/>
          <w:sz w:val="32"/>
          <w:szCs w:val="40"/>
          <w:highlight w:val="yellow"/>
          <w:lang w:val="en-US" w:eastAsia="zh-CN"/>
        </w:rPr>
      </w:pPr>
      <w:r>
        <w:rPr>
          <w:rFonts w:hint="eastAsia" w:ascii="Times New Roman" w:hAnsi="Times New Roman" w:eastAsia="方正小标宋_GBK" w:cs="Times New Roman"/>
          <w:b/>
          <w:bCs/>
          <w:color w:val="FF0000"/>
          <w:sz w:val="32"/>
          <w:szCs w:val="40"/>
          <w:highlight w:val="yellow"/>
          <w:lang w:val="en-US" w:eastAsia="zh-CN"/>
        </w:rPr>
        <w:t>4月28日（周日）</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jc w:val="center"/>
        <w:textAlignment w:val="auto"/>
        <w:rPr>
          <w:rFonts w:hint="eastAsia" w:ascii="Times New Roman" w:hAnsi="Times New Roman" w:eastAsia="方正小标宋_GBK" w:cs="Times New Roman"/>
          <w:b/>
          <w:bCs/>
          <w:color w:val="0000FF"/>
          <w:sz w:val="36"/>
          <w:szCs w:val="44"/>
          <w:highlight w:val="yellow"/>
          <w:lang w:val="en-US" w:eastAsia="zh-CN"/>
        </w:rPr>
      </w:pPr>
      <w:r>
        <w:rPr>
          <w:rFonts w:hint="eastAsia" w:ascii="Times New Roman" w:hAnsi="Times New Roman" w:eastAsia="方正小标宋_GBK" w:cs="Times New Roman"/>
          <w:b/>
          <w:bCs/>
          <w:color w:val="0000FF"/>
          <w:sz w:val="36"/>
          <w:szCs w:val="44"/>
          <w:highlight w:val="yellow"/>
          <w:lang w:val="en-US" w:eastAsia="zh-CN"/>
        </w:rPr>
        <w:t>因全球气候变暖，登革热疫情蔓延</w:t>
      </w:r>
    </w:p>
    <w:p>
      <w:pPr>
        <w:ind w:firstLine="608" w:firstLineChars="200"/>
        <w:jc w:val="both"/>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随着登革热在巴西全国蔓延，数百万民众患病。各地医院的急</w:t>
      </w:r>
    </w:p>
    <w:p>
      <w:pPr>
        <w:jc w:val="left"/>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诊室无法承受病患大量涌入，巴西军方开始建造野战医院，搭建（蚊帐）帐篷提供登革热的急诊服务。</w:t>
      </w:r>
    </w:p>
    <w:p>
      <w:pPr>
        <w:ind w:firstLine="608" w:firstLineChars="200"/>
        <w:jc w:val="both"/>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巴西是登革热爆发的集中区。根据世卫组织的数据，2023年，全球80%的登革热确诊病例出现在巴西。巴西卫生部估计，从今年年初到4月23日，巴西已有380万人感染登革热，约占总人口的1.7%。</w:t>
      </w:r>
    </w:p>
    <w:p>
      <w:pPr>
        <w:ind w:firstLine="608" w:firstLineChars="200"/>
        <w:jc w:val="both"/>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登革热的病毒是由蚊子携带的。随着气候变暖，蚊子的活动范围不断扩大，整个拉丁美洲的登革热发病率都在飙升。</w:t>
      </w:r>
    </w:p>
    <w:p>
      <w:pPr>
        <w:ind w:firstLine="608" w:firstLineChars="200"/>
        <w:jc w:val="both"/>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目前，在墨西哥和中美洲登革热已开始迅速蔓延，过去这些地方通常要再晚些才会出现大量病例。登革热甚至出现在乌拉圭和智利等国，这些地方以前从未受到登革热的严重影响。</w:t>
      </w:r>
    </w:p>
    <w:p>
      <w:pPr>
        <w:ind w:firstLine="608" w:firstLineChars="200"/>
        <w:jc w:val="both"/>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拉美各国的消费者都开始囤积驱蚊剂，阿根廷的超市和药店已经连续数周销售一空，巴西的货架上也是空空如也，乌拉圭的零售商报告说出现了恐慌性购买……</w:t>
      </w:r>
    </w:p>
    <w:tbl>
      <w:tblPr>
        <w:tblStyle w:val="7"/>
        <w:tblpPr w:leftFromText="180" w:rightFromText="180" w:vertAnchor="text" w:horzAnchor="page" w:tblpX="1622" w:tblpY="263"/>
        <w:tblOverlap w:val="never"/>
        <w:tblW w:w="89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630"/>
        <w:gridCol w:w="33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4" w:hRule="atLeast"/>
        </w:trPr>
        <w:tc>
          <w:tcPr>
            <w:tcW w:w="5630" w:type="dxa"/>
            <w:tcBorders>
              <w:tl2br w:val="nil"/>
              <w:tr2bl w:val="nil"/>
            </w:tcBorders>
            <w:vAlign w:val="top"/>
          </w:tcPr>
          <w:p>
            <w:pPr>
              <w:jc w:val="left"/>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drawing>
                <wp:inline distT="0" distB="0" distL="114300" distR="114300">
                  <wp:extent cx="3453130" cy="1944370"/>
                  <wp:effectExtent l="0" t="0" r="13970" b="17780"/>
                  <wp:docPr id="4" name="图片 4" descr="图片2-4月30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2-4月30日"/>
                          <pic:cNvPicPr>
                            <a:picLocks noChangeAspect="1"/>
                          </pic:cNvPicPr>
                        </pic:nvPicPr>
                        <pic:blipFill>
                          <a:blip r:embed="rId7"/>
                          <a:stretch>
                            <a:fillRect/>
                          </a:stretch>
                        </pic:blipFill>
                        <pic:spPr>
                          <a:xfrm>
                            <a:off x="0" y="0"/>
                            <a:ext cx="3453130" cy="1944370"/>
                          </a:xfrm>
                          <a:prstGeom prst="rect">
                            <a:avLst/>
                          </a:prstGeom>
                        </pic:spPr>
                      </pic:pic>
                    </a:graphicData>
                  </a:graphic>
                </wp:inline>
              </w:drawing>
            </w:r>
          </w:p>
        </w:tc>
        <w:tc>
          <w:tcPr>
            <w:tcW w:w="3310" w:type="dxa"/>
            <w:tcBorders>
              <w:tl2br w:val="nil"/>
              <w:tr2bl w:val="nil"/>
            </w:tcBorders>
            <w:vAlign w:val="top"/>
          </w:tcPr>
          <w:p>
            <w:pPr>
              <w:jc w:val="left"/>
              <w:rPr>
                <w:rFonts w:hint="eastAsia" w:ascii="Times New Roman" w:hAnsi="Times New Roman" w:cs="Times New Roman" w:eastAsiaTheme="minorEastAsia"/>
                <w:sz w:val="32"/>
                <w:szCs w:val="32"/>
                <w:vertAlign w:val="baseline"/>
                <w:lang w:eastAsia="zh-CN"/>
              </w:rPr>
            </w:pPr>
            <w:r>
              <w:rPr>
                <w:rFonts w:hint="eastAsia" w:ascii="Times New Roman" w:hAnsi="Times New Roman" w:cs="Times New Roman" w:eastAsiaTheme="minorEastAsia"/>
                <w:sz w:val="32"/>
                <w:szCs w:val="32"/>
                <w:vertAlign w:val="baseline"/>
                <w:lang w:eastAsia="zh-CN"/>
              </w:rPr>
              <w:drawing>
                <wp:inline distT="0" distB="0" distL="114300" distR="114300">
                  <wp:extent cx="1995805" cy="1917065"/>
                  <wp:effectExtent l="0" t="0" r="4445" b="6985"/>
                  <wp:docPr id="5" name="图片 5" descr="图片3-4月30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片3-4月30日"/>
                          <pic:cNvPicPr>
                            <a:picLocks noChangeAspect="1"/>
                          </pic:cNvPicPr>
                        </pic:nvPicPr>
                        <pic:blipFill>
                          <a:blip r:embed="rId8"/>
                          <a:stretch>
                            <a:fillRect/>
                          </a:stretch>
                        </pic:blipFill>
                        <pic:spPr>
                          <a:xfrm>
                            <a:off x="0" y="0"/>
                            <a:ext cx="1995805" cy="1917065"/>
                          </a:xfrm>
                          <a:prstGeom prst="rect">
                            <a:avLst/>
                          </a:prstGeom>
                        </pic:spPr>
                      </pic:pic>
                    </a:graphicData>
                  </a:graphic>
                </wp:inline>
              </w:drawing>
            </w:r>
          </w:p>
        </w:tc>
      </w:tr>
    </w:tbl>
    <w:p>
      <w:pPr>
        <w:ind w:firstLine="608" w:firstLineChars="200"/>
        <w:jc w:val="left"/>
        <w:rPr>
          <w:rFonts w:hint="eastAsia" w:ascii="Times New Roman" w:hAnsi="Times New Roman" w:cs="Times New Roman"/>
          <w:sz w:val="32"/>
          <w:szCs w:val="32"/>
          <w:lang w:val="en-US" w:eastAsia="zh-CN"/>
        </w:rPr>
      </w:pPr>
    </w:p>
    <w:p>
      <w:pPr>
        <w:ind w:firstLine="608" w:firstLineChars="200"/>
        <w:jc w:val="left"/>
        <w:rPr>
          <w:rFonts w:hint="eastAsia" w:ascii="Times New Roman" w:hAnsi="Times New Roman" w:cs="Times New Roman"/>
          <w:sz w:val="32"/>
          <w:szCs w:val="32"/>
          <w:lang w:val="en-US" w:eastAsia="zh-CN"/>
        </w:rPr>
      </w:pPr>
    </w:p>
    <w:p>
      <w:pPr>
        <w:ind w:firstLine="608" w:firstLineChars="200"/>
        <w:jc w:val="both"/>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拉丁美洲今年的病例数是2023年同期的三倍，而2023年本身就是创纪录的一年。根据“泛美卫生组织”（联合国的另一个下属机构）的数据，在2000年至2005年期间，每年平均有53.5万个登革热病例，2023年达到450万例，今年更是达到590万例。</w:t>
      </w:r>
    </w:p>
    <w:p>
      <w:pPr>
        <w:ind w:firstLine="608" w:firstLineChars="200"/>
        <w:jc w:val="left"/>
        <w:rPr>
          <w:rFonts w:hint="eastAsia" w:ascii="Times New Roman" w:hAnsi="Times New Roman" w:cs="Times New Roman"/>
          <w:sz w:val="32"/>
          <w:szCs w:val="32"/>
          <w:lang w:val="en-US" w:eastAsia="zh-CN"/>
        </w:rPr>
      </w:pPr>
    </w:p>
    <w:p>
      <w:pPr>
        <w:ind w:left="0" w:leftChars="0" w:firstLine="0" w:firstLineChars="0"/>
        <w:jc w:val="left"/>
        <w:rPr>
          <w:rFonts w:hint="default" w:ascii="Times New Roman" w:hAnsi="Times New Roman" w:eastAsia="宋体" w:cs="Times New Roman"/>
          <w:b/>
          <w:bCs/>
          <w:color w:val="0000FF"/>
          <w:sz w:val="32"/>
          <w:szCs w:val="32"/>
          <w:highlight w:val="yellow"/>
          <w:lang w:val="en-US" w:eastAsia="zh-CN"/>
        </w:rPr>
      </w:pPr>
      <w:r>
        <w:rPr>
          <w:rFonts w:hint="eastAsia" w:ascii="Times New Roman" w:hAnsi="Times New Roman" w:eastAsia="方正小标宋_GBK" w:cs="Times New Roman"/>
          <w:b/>
          <w:bCs/>
          <w:color w:val="FF0000"/>
          <w:sz w:val="32"/>
          <w:szCs w:val="40"/>
          <w:highlight w:val="yellow"/>
          <w:lang w:val="en-US" w:eastAsia="zh-CN"/>
        </w:rPr>
        <w:t>4</w:t>
      </w:r>
      <w:r>
        <w:rPr>
          <w:rFonts w:hint="default" w:ascii="Times New Roman" w:hAnsi="Times New Roman" w:eastAsia="方正小标宋_GBK" w:cs="Times New Roman"/>
          <w:b/>
          <w:bCs/>
          <w:color w:val="FF0000"/>
          <w:sz w:val="32"/>
          <w:szCs w:val="40"/>
          <w:highlight w:val="yellow"/>
          <w:lang w:val="en-US" w:eastAsia="zh-CN"/>
        </w:rPr>
        <w:t>月</w:t>
      </w:r>
      <w:r>
        <w:rPr>
          <w:rFonts w:hint="eastAsia" w:ascii="Times New Roman" w:hAnsi="Times New Roman" w:eastAsia="方正小标宋_GBK" w:cs="Times New Roman"/>
          <w:b/>
          <w:bCs/>
          <w:color w:val="FF0000"/>
          <w:sz w:val="32"/>
          <w:szCs w:val="40"/>
          <w:highlight w:val="yellow"/>
          <w:lang w:val="en-US" w:eastAsia="zh-CN"/>
        </w:rPr>
        <w:t>29</w:t>
      </w:r>
      <w:r>
        <w:rPr>
          <w:rFonts w:hint="default" w:ascii="Times New Roman" w:hAnsi="Times New Roman" w:eastAsia="方正小标宋_GBK" w:cs="Times New Roman"/>
          <w:b/>
          <w:bCs/>
          <w:color w:val="FF0000"/>
          <w:sz w:val="32"/>
          <w:szCs w:val="40"/>
          <w:highlight w:val="yellow"/>
          <w:lang w:val="en-US" w:eastAsia="zh-CN"/>
        </w:rPr>
        <w:t>日</w:t>
      </w:r>
      <w:r>
        <w:rPr>
          <w:rFonts w:hint="default" w:ascii="Times New Roman" w:hAnsi="Times New Roman" w:eastAsia="方正魏碑简体" w:cs="Times New Roman"/>
          <w:b/>
          <w:bCs/>
          <w:color w:val="0000FF"/>
          <w:sz w:val="32"/>
          <w:szCs w:val="40"/>
          <w:highlight w:val="yellow"/>
          <w:lang w:val="en-US" w:eastAsia="zh-CN"/>
        </w:rPr>
        <w:t>（周</w:t>
      </w:r>
      <w:r>
        <w:rPr>
          <w:rFonts w:hint="eastAsia" w:ascii="Times New Roman" w:hAnsi="Times New Roman" w:eastAsia="方正魏碑简体" w:cs="Times New Roman"/>
          <w:b/>
          <w:bCs/>
          <w:color w:val="0000FF"/>
          <w:sz w:val="32"/>
          <w:szCs w:val="40"/>
          <w:highlight w:val="yellow"/>
          <w:lang w:val="en-US" w:eastAsia="zh-CN"/>
        </w:rPr>
        <w:t>一</w:t>
      </w:r>
      <w:r>
        <w:rPr>
          <w:rFonts w:hint="default" w:ascii="Times New Roman" w:hAnsi="Times New Roman" w:eastAsia="方正魏碑简体" w:cs="Times New Roman"/>
          <w:b/>
          <w:bCs/>
          <w:color w:val="0000FF"/>
          <w:sz w:val="32"/>
          <w:szCs w:val="40"/>
          <w:highlight w:val="yellow"/>
          <w:lang w:val="en-US" w:eastAsia="zh-CN"/>
        </w:rPr>
        <w:t>）</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jc w:val="center"/>
        <w:textAlignment w:val="auto"/>
        <w:rPr>
          <w:rFonts w:hint="eastAsia" w:ascii="Times New Roman" w:hAnsi="Times New Roman" w:eastAsia="方正小标宋_GBK" w:cs="Times New Roman"/>
          <w:b/>
          <w:bCs/>
          <w:color w:val="0000FF"/>
          <w:sz w:val="36"/>
          <w:szCs w:val="44"/>
          <w:highlight w:val="yellow"/>
          <w:lang w:val="en-US" w:eastAsia="zh-CN"/>
        </w:rPr>
      </w:pPr>
      <w:r>
        <w:rPr>
          <w:rFonts w:hint="eastAsia" w:ascii="Times New Roman" w:hAnsi="Times New Roman" w:eastAsia="方正小标宋_GBK" w:cs="Times New Roman"/>
          <w:b/>
          <w:bCs/>
          <w:color w:val="0000FF"/>
          <w:sz w:val="36"/>
          <w:szCs w:val="44"/>
          <w:highlight w:val="yellow"/>
          <w:lang w:val="en-US" w:eastAsia="zh-CN"/>
        </w:rPr>
        <w:t>日元持续狂贬，美股上下两难</w:t>
      </w:r>
    </w:p>
    <w:p>
      <w:pPr>
        <w:ind w:firstLine="608" w:firstLineChars="200"/>
        <w:jc w:val="left"/>
        <w:rPr>
          <w:rFonts w:hint="default" w:ascii="Times New Roman" w:hAnsi="Times New Roman" w:cs="Times New Roman"/>
          <w:b/>
          <w:bCs/>
          <w:sz w:val="32"/>
          <w:szCs w:val="32"/>
          <w:lang w:val="en-US" w:eastAsia="zh-CN"/>
        </w:rPr>
      </w:pPr>
      <w:r>
        <w:rPr>
          <w:rFonts w:hint="eastAsia" w:ascii="Times New Roman" w:hAnsi="Times New Roman" w:cs="Times New Roman"/>
          <w:b/>
          <w:bCs/>
          <w:sz w:val="32"/>
          <w:szCs w:val="32"/>
          <w:lang w:val="en-US" w:eastAsia="zh-CN"/>
        </w:rPr>
        <w:t>一、日本央行应出手护盘</w:t>
      </w:r>
    </w:p>
    <w:p>
      <w:pPr>
        <w:ind w:firstLine="608" w:firstLineChars="200"/>
        <w:jc w:val="both"/>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上周日元（兑美元）汇率连破多个重要的整数关口，收于158.3255，创下34年来的新低（见图）。上周五，日本央行议息会议决定，仍维持政策利率不变。</w:t>
      </w:r>
    </w:p>
    <w:p>
      <w:pPr>
        <w:ind w:firstLine="608" w:firstLineChars="200"/>
        <w:jc w:val="left"/>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drawing>
          <wp:anchor distT="0" distB="0" distL="114300" distR="114300" simplePos="0" relativeHeight="251677696" behindDoc="0" locked="0" layoutInCell="1" allowOverlap="1">
            <wp:simplePos x="0" y="0"/>
            <wp:positionH relativeFrom="column">
              <wp:posOffset>657860</wp:posOffset>
            </wp:positionH>
            <wp:positionV relativeFrom="paragraph">
              <wp:posOffset>53975</wp:posOffset>
            </wp:positionV>
            <wp:extent cx="4223385" cy="2273935"/>
            <wp:effectExtent l="0" t="0" r="5715" b="12065"/>
            <wp:wrapTopAndBottom/>
            <wp:docPr id="6" name="图片 6" descr="图片4-4月29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片4-4月29日"/>
                    <pic:cNvPicPr>
                      <a:picLocks noChangeAspect="1"/>
                    </pic:cNvPicPr>
                  </pic:nvPicPr>
                  <pic:blipFill>
                    <a:blip r:embed="rId9"/>
                    <a:stretch>
                      <a:fillRect/>
                    </a:stretch>
                  </pic:blipFill>
                  <pic:spPr>
                    <a:xfrm>
                      <a:off x="0" y="0"/>
                      <a:ext cx="4223385" cy="2273935"/>
                    </a:xfrm>
                    <a:prstGeom prst="rect">
                      <a:avLst/>
                    </a:prstGeom>
                  </pic:spPr>
                </pic:pic>
              </a:graphicData>
            </a:graphic>
          </wp:anchor>
        </w:drawing>
      </w:r>
    </w:p>
    <w:p>
      <w:pPr>
        <w:ind w:firstLine="608" w:firstLineChars="200"/>
        <w:jc w:val="both"/>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特别提款权”（SDR）前五大权重货币，依次为美元、欧元、人民币、日元和英镑。美联储升息以来，欧元、人民币和英镑对美元贬值都在10%左右，日元却贬值了50%之多。意味着所有以日元计价的资产都已大幅缩水。</w:t>
      </w:r>
    </w:p>
    <w:p>
      <w:pPr>
        <w:ind w:firstLine="608" w:firstLineChars="200"/>
        <w:jc w:val="both"/>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本周因劳动节原因，全球各大市场密集休市。在流动性不足的情形下，行情波动更容易走向极端。市场数据显示，对冲基金和资产管理公司对日元的做空规模已破纪录，日元交易有出现“黑天鹅”事件的可能。</w:t>
      </w:r>
    </w:p>
    <w:p>
      <w:pPr>
        <w:ind w:firstLine="608" w:firstLineChars="200"/>
        <w:jc w:val="both"/>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因此，市场普遍预测，日本央行将于本周开始干预货币市场以支撑日元。</w:t>
      </w:r>
    </w:p>
    <w:p>
      <w:pPr>
        <w:numPr>
          <w:ilvl w:val="0"/>
          <w:numId w:val="1"/>
        </w:numPr>
        <w:ind w:firstLine="608" w:firstLineChars="200"/>
        <w:jc w:val="left"/>
        <w:rPr>
          <w:rFonts w:hint="eastAsia" w:ascii="Times New Roman" w:hAnsi="Times New Roman" w:cs="Times New Roman"/>
          <w:b/>
          <w:bCs/>
          <w:sz w:val="32"/>
          <w:szCs w:val="32"/>
          <w:lang w:val="en-US" w:eastAsia="zh-CN"/>
        </w:rPr>
      </w:pPr>
      <w:r>
        <w:rPr>
          <w:rFonts w:hint="eastAsia" w:ascii="Times New Roman" w:hAnsi="Times New Roman" w:cs="Times New Roman"/>
          <w:b/>
          <w:bCs/>
          <w:sz w:val="32"/>
          <w:szCs w:val="32"/>
          <w:lang w:val="en-US" w:eastAsia="zh-CN"/>
        </w:rPr>
        <w:t>美国股市上下两难</w:t>
      </w:r>
    </w:p>
    <w:p>
      <w:pPr>
        <w:numPr>
          <w:ilvl w:val="0"/>
          <w:numId w:val="0"/>
        </w:numPr>
        <w:ind w:firstLine="608" w:firstLineChars="200"/>
        <w:jc w:val="both"/>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2024 年第一季度，美国股市一路高歌猛进。现在，警钟已经敲响——标普500指数在过去四周中有三周收跌。上周，微软和谷歌母公司Alphabet的业绩大增，提振了市场情绪，本周投资者则密切关注着亚马逊和苹果的财报。</w:t>
      </w:r>
    </w:p>
    <w:p>
      <w:pPr>
        <w:numPr>
          <w:ilvl w:val="0"/>
          <w:numId w:val="0"/>
        </w:numPr>
        <w:ind w:firstLine="608" w:firstLineChars="200"/>
        <w:jc w:val="both"/>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drawing>
          <wp:anchor distT="0" distB="0" distL="114300" distR="114300" simplePos="0" relativeHeight="251660288" behindDoc="0" locked="0" layoutInCell="1" allowOverlap="1">
            <wp:simplePos x="0" y="0"/>
            <wp:positionH relativeFrom="column">
              <wp:posOffset>308610</wp:posOffset>
            </wp:positionH>
            <wp:positionV relativeFrom="paragraph">
              <wp:posOffset>1235075</wp:posOffset>
            </wp:positionV>
            <wp:extent cx="5105400" cy="2242185"/>
            <wp:effectExtent l="0" t="0" r="0" b="5715"/>
            <wp:wrapSquare wrapText="bothSides"/>
            <wp:docPr id="7" name="图片 7" descr="图片5-4月29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片5-4月29日"/>
                    <pic:cNvPicPr>
                      <a:picLocks noChangeAspect="1"/>
                    </pic:cNvPicPr>
                  </pic:nvPicPr>
                  <pic:blipFill>
                    <a:blip r:embed="rId10"/>
                    <a:stretch>
                      <a:fillRect/>
                    </a:stretch>
                  </pic:blipFill>
                  <pic:spPr>
                    <a:xfrm>
                      <a:off x="0" y="0"/>
                      <a:ext cx="5105400" cy="2242185"/>
                    </a:xfrm>
                    <a:prstGeom prst="rect">
                      <a:avLst/>
                    </a:prstGeom>
                  </pic:spPr>
                </pic:pic>
              </a:graphicData>
            </a:graphic>
          </wp:anchor>
        </w:drawing>
      </w:r>
      <w:r>
        <w:rPr>
          <w:rFonts w:hint="eastAsia" w:ascii="Times New Roman" w:hAnsi="Times New Roman" w:cs="Times New Roman"/>
          <w:sz w:val="32"/>
          <w:szCs w:val="32"/>
          <w:lang w:val="en-US" w:eastAsia="zh-CN"/>
        </w:rPr>
        <w:t>美国通胀指标反弹，降低了美联储很快降息的可能性，资金成本变得越来越高。同时，美国股市的泡沫也开始显现，市盈率几乎升至其长期平均值的两倍，说明股票价格的累计涨幅已相当可观。</w:t>
      </w:r>
    </w:p>
    <w:p>
      <w:pPr>
        <w:ind w:firstLine="608" w:firstLineChars="200"/>
        <w:jc w:val="both"/>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目前支撑美国股市的力量，主要是上市公司的良好业绩。美股财报季已经过半，尽管宏观经济存在着一些不利因素，比如PMI数据降温、一季度GDP增长放缓，以及通胀意外顽固，但美国企业的盈利基本达到了华尔街的乐观预期。</w:t>
      </w:r>
    </w:p>
    <w:p>
      <w:pPr>
        <w:ind w:firstLine="608" w:firstLineChars="200"/>
        <w:jc w:val="both"/>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数据显示，在已发布财报的约230家标普500成份公司中，约81%的公司业绩出现了上扬，显著超过75%的10年平均水平。尤其是大型科技公司的优秀业绩，推升了市场的乐观预期，抵消了对宏观经济背景的担忧，使美国股市表现稳定。</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388" w:firstLineChars="200"/>
        <w:jc w:val="left"/>
        <w:textAlignment w:val="auto"/>
        <w:rPr>
          <w:rFonts w:hint="eastAsia"/>
          <w:lang w:val="en-US" w:eastAsia="zh-CN"/>
        </w:rPr>
      </w:pPr>
    </w:p>
    <w:p>
      <w:pPr>
        <w:ind w:left="0" w:leftChars="0" w:firstLine="0" w:firstLineChars="0"/>
        <w:jc w:val="left"/>
        <w:rPr>
          <w:rFonts w:hint="default" w:ascii="Times New Roman" w:hAnsi="Times New Roman" w:eastAsia="方正魏碑简体" w:cs="Times New Roman"/>
          <w:b/>
          <w:bCs/>
          <w:color w:val="0000FF"/>
          <w:sz w:val="32"/>
          <w:szCs w:val="40"/>
          <w:highlight w:val="yellow"/>
          <w:lang w:val="en-US" w:eastAsia="zh-CN"/>
        </w:rPr>
      </w:pPr>
      <w:r>
        <w:rPr>
          <w:rFonts w:hint="eastAsia" w:ascii="Times New Roman" w:hAnsi="Times New Roman" w:eastAsia="方正小标宋_GBK" w:cs="Times New Roman"/>
          <w:b/>
          <w:bCs/>
          <w:color w:val="FF0000"/>
          <w:sz w:val="32"/>
          <w:szCs w:val="40"/>
          <w:highlight w:val="yellow"/>
          <w:lang w:val="en-US" w:eastAsia="zh-CN"/>
        </w:rPr>
        <w:t>4</w:t>
      </w:r>
      <w:r>
        <w:rPr>
          <w:rFonts w:hint="default" w:ascii="Times New Roman" w:hAnsi="Times New Roman" w:eastAsia="方正小标宋_GBK" w:cs="Times New Roman"/>
          <w:b/>
          <w:bCs/>
          <w:color w:val="FF0000"/>
          <w:sz w:val="32"/>
          <w:szCs w:val="40"/>
          <w:highlight w:val="yellow"/>
          <w:lang w:val="en-US" w:eastAsia="zh-CN"/>
        </w:rPr>
        <w:t>月</w:t>
      </w:r>
      <w:r>
        <w:rPr>
          <w:rFonts w:hint="eastAsia" w:ascii="Times New Roman" w:hAnsi="Times New Roman" w:eastAsia="方正小标宋_GBK" w:cs="Times New Roman"/>
          <w:b/>
          <w:bCs/>
          <w:color w:val="FF0000"/>
          <w:sz w:val="32"/>
          <w:szCs w:val="40"/>
          <w:highlight w:val="yellow"/>
          <w:lang w:val="en-US" w:eastAsia="zh-CN"/>
        </w:rPr>
        <w:t>30</w:t>
      </w:r>
      <w:r>
        <w:rPr>
          <w:rFonts w:hint="default" w:ascii="Times New Roman" w:hAnsi="Times New Roman" w:eastAsia="方正小标宋_GBK" w:cs="Times New Roman"/>
          <w:b/>
          <w:bCs/>
          <w:color w:val="FF0000"/>
          <w:sz w:val="32"/>
          <w:szCs w:val="40"/>
          <w:highlight w:val="yellow"/>
          <w:lang w:val="en-US" w:eastAsia="zh-CN"/>
        </w:rPr>
        <w:t>日</w:t>
      </w:r>
      <w:r>
        <w:rPr>
          <w:rFonts w:hint="default" w:ascii="Times New Roman" w:hAnsi="Times New Roman" w:eastAsia="方正魏碑简体" w:cs="Times New Roman"/>
          <w:b/>
          <w:bCs/>
          <w:color w:val="0000FF"/>
          <w:sz w:val="32"/>
          <w:szCs w:val="40"/>
          <w:highlight w:val="yellow"/>
          <w:lang w:val="en-US" w:eastAsia="zh-CN"/>
        </w:rPr>
        <w:t>（周</w:t>
      </w:r>
      <w:r>
        <w:rPr>
          <w:rFonts w:hint="eastAsia" w:ascii="Times New Roman" w:hAnsi="Times New Roman" w:eastAsia="方正魏碑简体" w:cs="Times New Roman"/>
          <w:b/>
          <w:bCs/>
          <w:color w:val="0000FF"/>
          <w:sz w:val="32"/>
          <w:szCs w:val="40"/>
          <w:highlight w:val="yellow"/>
          <w:lang w:val="en-US" w:eastAsia="zh-CN"/>
        </w:rPr>
        <w:t>二</w:t>
      </w:r>
      <w:r>
        <w:rPr>
          <w:rFonts w:hint="default" w:ascii="Times New Roman" w:hAnsi="Times New Roman" w:eastAsia="方正魏碑简体" w:cs="Times New Roman"/>
          <w:b/>
          <w:bCs/>
          <w:color w:val="0000FF"/>
          <w:sz w:val="32"/>
          <w:szCs w:val="40"/>
          <w:highlight w:val="yellow"/>
          <w:lang w:val="en-US" w:eastAsia="zh-CN"/>
        </w:rPr>
        <w:t>）</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jc w:val="center"/>
        <w:textAlignment w:val="auto"/>
        <w:rPr>
          <w:rFonts w:hint="default" w:ascii="Times New Roman" w:hAnsi="Times New Roman" w:eastAsia="方正小标宋_GBK" w:cs="Times New Roman"/>
          <w:b/>
          <w:bCs/>
          <w:color w:val="0000FF"/>
          <w:sz w:val="36"/>
          <w:szCs w:val="44"/>
          <w:highlight w:val="yellow"/>
          <w:lang w:val="en-US" w:eastAsia="zh-CN"/>
        </w:rPr>
      </w:pPr>
      <w:r>
        <w:rPr>
          <w:rFonts w:hint="eastAsia" w:ascii="Times New Roman" w:hAnsi="Times New Roman" w:eastAsia="方正小标宋_GBK" w:cs="Times New Roman"/>
          <w:b/>
          <w:bCs/>
          <w:color w:val="0000FF"/>
          <w:sz w:val="36"/>
          <w:szCs w:val="44"/>
          <w:highlight w:val="yellow"/>
          <w:lang w:val="en-US" w:eastAsia="zh-CN"/>
        </w:rPr>
        <w:t>欧元区经济景气走低，货币政策调整须小心</w:t>
      </w:r>
    </w:p>
    <w:p>
      <w:pPr>
        <w:ind w:firstLine="608" w:firstLineChars="200"/>
        <w:jc w:val="both"/>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4月29日（周一），欧盟统计局发布欧元区经济景气指标（见表格一）。数据显示，4月份欧元区消费者和企业主对经济增长的信心，比3月份时更弱。</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default" w:ascii="Times New Roman" w:hAnsi="Times New Roman" w:eastAsia="方正楷体_GBK" w:cs="Calibri"/>
          <w:sz w:val="28"/>
          <w:szCs w:val="28"/>
          <w:highlight w:val="none"/>
          <w:lang w:val="en-US" w:eastAsia="zh-CN"/>
        </w:rPr>
      </w:pPr>
      <w:r>
        <w:rPr>
          <w:rFonts w:hint="default" w:ascii="Times New Roman" w:hAnsi="Times New Roman" w:cs="Times New Roman"/>
          <w:sz w:val="32"/>
          <w:szCs w:val="32"/>
          <w:lang w:val="en-US" w:eastAsia="zh-CN"/>
        </w:rPr>
        <w:drawing>
          <wp:anchor distT="0" distB="0" distL="114300" distR="114300" simplePos="0" relativeHeight="251661312" behindDoc="0" locked="0" layoutInCell="1" allowOverlap="1">
            <wp:simplePos x="0" y="0"/>
            <wp:positionH relativeFrom="column">
              <wp:posOffset>114300</wp:posOffset>
            </wp:positionH>
            <wp:positionV relativeFrom="paragraph">
              <wp:posOffset>111125</wp:posOffset>
            </wp:positionV>
            <wp:extent cx="5438775" cy="1216025"/>
            <wp:effectExtent l="0" t="0" r="9525" b="3175"/>
            <wp:wrapTopAndBottom/>
            <wp:docPr id="8" name="图片 8" descr="图片6-4月30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图片6-4月30日"/>
                    <pic:cNvPicPr>
                      <a:picLocks noChangeAspect="1"/>
                    </pic:cNvPicPr>
                  </pic:nvPicPr>
                  <pic:blipFill>
                    <a:blip r:embed="rId11"/>
                    <a:stretch>
                      <a:fillRect/>
                    </a:stretch>
                  </pic:blipFill>
                  <pic:spPr>
                    <a:xfrm>
                      <a:off x="0" y="0"/>
                      <a:ext cx="5438775" cy="1216025"/>
                    </a:xfrm>
                    <a:prstGeom prst="rect">
                      <a:avLst/>
                    </a:prstGeom>
                  </pic:spPr>
                </pic:pic>
              </a:graphicData>
            </a:graphic>
          </wp:anchor>
        </w:drawing>
      </w:r>
      <w:r>
        <w:rPr>
          <w:rFonts w:hint="eastAsia" w:ascii="Times New Roman" w:hAnsi="Times New Roman" w:cs="Times New Roman"/>
          <w:sz w:val="32"/>
          <w:szCs w:val="32"/>
          <w:lang w:val="en-US" w:eastAsia="zh-CN"/>
        </w:rPr>
        <w:t xml:space="preserve">    </w:t>
      </w:r>
      <w:r>
        <w:rPr>
          <w:rFonts w:hint="eastAsia" w:ascii="方正楷体_GBK" w:hAnsi="方正楷体_GBK" w:eastAsia="方正楷体_GBK" w:cs="方正楷体_GBK"/>
          <w:b/>
          <w:bCs/>
          <w:sz w:val="28"/>
          <w:szCs w:val="28"/>
          <w:highlight w:val="none"/>
          <w:lang w:val="en-US" w:eastAsia="zh-CN"/>
        </w:rPr>
        <w:t>（</w:t>
      </w:r>
      <w:r>
        <w:rPr>
          <w:rFonts w:hint="eastAsia" w:ascii="方正黑体_GBK" w:hAnsi="方正黑体_GBK" w:eastAsia="方正黑体_GBK" w:cs="方正黑体_GBK"/>
          <w:b/>
          <w:bCs/>
          <w:sz w:val="28"/>
          <w:szCs w:val="28"/>
          <w:highlight w:val="none"/>
          <w:lang w:val="en-US" w:eastAsia="zh-CN"/>
        </w:rPr>
        <w:t>注:</w:t>
      </w:r>
      <w:r>
        <w:rPr>
          <w:rFonts w:hint="eastAsia" w:ascii="Times New Roman" w:hAnsi="Times New Roman" w:eastAsia="方正楷体_GBK" w:cs="Calibri"/>
          <w:b/>
          <w:bCs/>
          <w:sz w:val="28"/>
          <w:szCs w:val="28"/>
          <w:highlight w:val="none"/>
          <w:lang w:val="en-US" w:eastAsia="zh-CN"/>
        </w:rPr>
        <w:t>“欧元区经济景气指数”</w:t>
      </w:r>
      <w:r>
        <w:rPr>
          <w:rFonts w:hint="eastAsia" w:ascii="Times New Roman" w:hAnsi="Times New Roman" w:eastAsia="方正楷体_GBK" w:cs="Calibri"/>
          <w:sz w:val="28"/>
          <w:szCs w:val="28"/>
          <w:highlight w:val="none"/>
          <w:lang w:val="en-US" w:eastAsia="zh-CN"/>
        </w:rPr>
        <w:t>，由欧盟统计局进行调查、编撰并公布。该指数反映出消费者、企业主对未来经济和消费的预期，是一个先行指标，对未来经济的走向有预示作用。)</w:t>
      </w:r>
    </w:p>
    <w:p>
      <w:pPr>
        <w:ind w:firstLine="608" w:firstLineChars="200"/>
        <w:jc w:val="both"/>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同日，欧盟统计局还公布了4月德国通胀率的系列初值（见表格二），初值显示，德国的通胀已基本得到控制。鉴于欧元区经济增长乏力的现状，欧洲央行可以也应该尽早降息；但目前美国通胀反弹，美联储降息预期延后。如果欧洲央行先行降息，会导致“美德利差”扩大，欧洲资金外流，欧元贬值。</w:t>
      </w:r>
    </w:p>
    <w:p>
      <w:pPr>
        <w:keepNext w:val="0"/>
        <w:keepLines w:val="0"/>
        <w:pageBreakBefore w:val="0"/>
        <w:widowControl w:val="0"/>
        <w:kinsoku/>
        <w:wordWrap/>
        <w:overflowPunct/>
        <w:topLinePunct w:val="0"/>
        <w:autoSpaceDE/>
        <w:autoSpaceDN/>
        <w:bidi w:val="0"/>
        <w:adjustRightInd/>
        <w:snapToGrid/>
        <w:spacing w:line="400" w:lineRule="exact"/>
        <w:ind w:firstLine="608" w:firstLineChars="200"/>
        <w:jc w:val="both"/>
        <w:textAlignment w:val="auto"/>
        <w:outlineLvl w:val="9"/>
        <w:rPr>
          <w:rFonts w:hint="eastAsia" w:ascii="Times New Roman" w:hAnsi="Times New Roman" w:cs="Times New Roman"/>
          <w:sz w:val="32"/>
          <w:szCs w:val="32"/>
          <w:lang w:val="en-US" w:eastAsia="zh-CN"/>
        </w:rPr>
      </w:pPr>
      <w:r>
        <w:rPr>
          <w:rFonts w:hint="eastAsia" w:ascii="Times New Roman" w:hAnsi="Times New Roman" w:cs="Times New Roman"/>
          <w:b/>
          <w:bCs/>
          <w:sz w:val="32"/>
          <w:szCs w:val="32"/>
          <w:lang w:val="en-US" w:eastAsia="zh-CN"/>
        </w:rPr>
        <w:drawing>
          <wp:anchor distT="0" distB="0" distL="114300" distR="114300" simplePos="0" relativeHeight="251662336" behindDoc="0" locked="0" layoutInCell="1" allowOverlap="1">
            <wp:simplePos x="0" y="0"/>
            <wp:positionH relativeFrom="column">
              <wp:posOffset>105410</wp:posOffset>
            </wp:positionH>
            <wp:positionV relativeFrom="paragraph">
              <wp:posOffset>3175</wp:posOffset>
            </wp:positionV>
            <wp:extent cx="5363210" cy="1296035"/>
            <wp:effectExtent l="0" t="0" r="8890" b="18415"/>
            <wp:wrapSquare wrapText="bothSides"/>
            <wp:docPr id="10" name="图片 10" descr="图片7-4月30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图片7-4月30日"/>
                    <pic:cNvPicPr>
                      <a:picLocks noChangeAspect="1"/>
                    </pic:cNvPicPr>
                  </pic:nvPicPr>
                  <pic:blipFill>
                    <a:blip r:embed="rId12"/>
                    <a:stretch>
                      <a:fillRect/>
                    </a:stretch>
                  </pic:blipFill>
                  <pic:spPr>
                    <a:xfrm>
                      <a:off x="0" y="0"/>
                      <a:ext cx="5363210" cy="1296035"/>
                    </a:xfrm>
                    <a:prstGeom prst="rect">
                      <a:avLst/>
                    </a:prstGeom>
                  </pic:spPr>
                </pic:pic>
              </a:graphicData>
            </a:graphic>
          </wp:anchor>
        </w:drawing>
      </w:r>
      <w:r>
        <w:rPr>
          <w:rFonts w:hint="eastAsia" w:ascii="方正楷体_GBK" w:hAnsi="方正楷体_GBK" w:eastAsia="方正楷体_GBK" w:cs="方正楷体_GBK"/>
          <w:b/>
          <w:bCs/>
          <w:sz w:val="28"/>
          <w:szCs w:val="28"/>
          <w:highlight w:val="none"/>
          <w:lang w:val="en-US" w:eastAsia="zh-CN"/>
        </w:rPr>
        <w:t>（</w:t>
      </w:r>
      <w:r>
        <w:rPr>
          <w:rFonts w:hint="eastAsia" w:ascii="方正黑体_GBK" w:hAnsi="方正黑体_GBK" w:eastAsia="方正黑体_GBK" w:cs="方正黑体_GBK"/>
          <w:b/>
          <w:bCs/>
          <w:sz w:val="28"/>
          <w:szCs w:val="28"/>
          <w:highlight w:val="none"/>
          <w:lang w:val="en-US" w:eastAsia="zh-CN"/>
        </w:rPr>
        <w:t>注:</w:t>
      </w:r>
      <w:r>
        <w:rPr>
          <w:rFonts w:hint="eastAsia" w:ascii="Times New Roman" w:hAnsi="Times New Roman" w:eastAsia="方正楷体_GBK" w:cs="Calibri"/>
          <w:b/>
          <w:bCs/>
          <w:sz w:val="28"/>
          <w:szCs w:val="28"/>
          <w:highlight w:val="none"/>
          <w:lang w:val="en-US" w:eastAsia="zh-CN"/>
        </w:rPr>
        <w:t>“调和CPI”（HICP）</w:t>
      </w:r>
      <w:r>
        <w:rPr>
          <w:rFonts w:hint="eastAsia" w:ascii="Times New Roman" w:hAnsi="Times New Roman" w:eastAsia="方正楷体_GBK" w:cs="Calibri"/>
          <w:sz w:val="28"/>
          <w:szCs w:val="28"/>
          <w:highlight w:val="none"/>
          <w:lang w:val="en-US" w:eastAsia="zh-CN"/>
        </w:rPr>
        <w:t>，是适用于欧盟成员国的统一通胀指标，旨在提供跨国比较和协调。</w:t>
      </w:r>
      <w:r>
        <w:rPr>
          <w:rFonts w:hint="eastAsia" w:ascii="Times New Roman" w:hAnsi="Times New Roman" w:eastAsia="方正楷体_GBK" w:cs="Calibri"/>
          <w:b/>
          <w:bCs/>
          <w:sz w:val="28"/>
          <w:szCs w:val="28"/>
          <w:highlight w:val="none"/>
          <w:lang w:val="en-US" w:eastAsia="zh-CN"/>
        </w:rPr>
        <w:t>）</w:t>
      </w:r>
    </w:p>
    <w:p>
      <w:pPr>
        <w:ind w:firstLine="608" w:firstLineChars="200"/>
        <w:jc w:val="both"/>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欧元贬值有利于欧元区经济体的出口，但同时也会推升大宗商品的进口成本。欧洲央行须经过综合考虑，方能形成货币决策。</w:t>
      </w:r>
    </w:p>
    <w:p>
      <w:pPr>
        <w:ind w:firstLine="608" w:firstLineChars="200"/>
        <w:jc w:val="left"/>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drawing>
          <wp:anchor distT="0" distB="0" distL="114300" distR="114300" simplePos="0" relativeHeight="251663360" behindDoc="0" locked="0" layoutInCell="1" allowOverlap="1">
            <wp:simplePos x="0" y="0"/>
            <wp:positionH relativeFrom="column">
              <wp:posOffset>765810</wp:posOffset>
            </wp:positionH>
            <wp:positionV relativeFrom="paragraph">
              <wp:posOffset>57150</wp:posOffset>
            </wp:positionV>
            <wp:extent cx="3844925" cy="2685415"/>
            <wp:effectExtent l="0" t="0" r="3175" b="635"/>
            <wp:wrapSquare wrapText="bothSides"/>
            <wp:docPr id="11" name="图片 11" descr="图片8-4月30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图片8-4月30日"/>
                    <pic:cNvPicPr>
                      <a:picLocks noChangeAspect="1"/>
                    </pic:cNvPicPr>
                  </pic:nvPicPr>
                  <pic:blipFill>
                    <a:blip r:embed="rId13"/>
                    <a:stretch>
                      <a:fillRect/>
                    </a:stretch>
                  </pic:blipFill>
                  <pic:spPr>
                    <a:xfrm>
                      <a:off x="0" y="0"/>
                      <a:ext cx="3844925" cy="2685415"/>
                    </a:xfrm>
                    <a:prstGeom prst="rect">
                      <a:avLst/>
                    </a:prstGeom>
                  </pic:spPr>
                </pic:pic>
              </a:graphicData>
            </a:graphic>
          </wp:anchor>
        </w:drawing>
      </w:r>
    </w:p>
    <w:p>
      <w:pPr>
        <w:ind w:firstLine="608" w:firstLineChars="200"/>
        <w:jc w:val="left"/>
        <w:rPr>
          <w:rFonts w:hint="eastAsia" w:ascii="Times New Roman" w:hAnsi="Times New Roman" w:cs="Times New Roman"/>
          <w:sz w:val="32"/>
          <w:szCs w:val="32"/>
          <w:lang w:val="en-US" w:eastAsia="zh-CN"/>
        </w:rPr>
      </w:pPr>
    </w:p>
    <w:p>
      <w:pPr>
        <w:ind w:firstLine="608" w:firstLineChars="200"/>
        <w:jc w:val="left"/>
        <w:rPr>
          <w:rFonts w:hint="eastAsia" w:ascii="Times New Roman" w:hAnsi="Times New Roman" w:cs="Times New Roman"/>
          <w:sz w:val="32"/>
          <w:szCs w:val="32"/>
          <w:lang w:val="en-US" w:eastAsia="zh-CN"/>
        </w:rPr>
      </w:pPr>
    </w:p>
    <w:p>
      <w:pPr>
        <w:ind w:firstLine="608" w:firstLineChars="200"/>
        <w:jc w:val="left"/>
        <w:rPr>
          <w:rFonts w:hint="eastAsia" w:ascii="Times New Roman" w:hAnsi="Times New Roman" w:cs="Times New Roman"/>
          <w:sz w:val="32"/>
          <w:szCs w:val="32"/>
          <w:lang w:val="en-US" w:eastAsia="zh-CN"/>
        </w:rPr>
      </w:pPr>
    </w:p>
    <w:p>
      <w:pPr>
        <w:ind w:firstLine="608" w:firstLineChars="200"/>
        <w:jc w:val="left"/>
        <w:rPr>
          <w:rFonts w:hint="eastAsia" w:ascii="Times New Roman" w:hAnsi="Times New Roman" w:cs="Times New Roman"/>
          <w:sz w:val="32"/>
          <w:szCs w:val="32"/>
          <w:lang w:val="en-US" w:eastAsia="zh-CN"/>
        </w:rPr>
      </w:pPr>
    </w:p>
    <w:p>
      <w:pPr>
        <w:ind w:firstLine="608" w:firstLineChars="200"/>
        <w:jc w:val="left"/>
        <w:rPr>
          <w:rFonts w:hint="eastAsia" w:ascii="Times New Roman" w:hAnsi="Times New Roman" w:cs="Times New Roman"/>
          <w:sz w:val="32"/>
          <w:szCs w:val="32"/>
          <w:lang w:val="en-US" w:eastAsia="zh-CN"/>
        </w:rPr>
      </w:pPr>
    </w:p>
    <w:p>
      <w:pPr>
        <w:ind w:firstLine="608" w:firstLineChars="200"/>
        <w:jc w:val="left"/>
        <w:rPr>
          <w:rFonts w:hint="eastAsia" w:ascii="Times New Roman" w:hAnsi="Times New Roman" w:cs="Times New Roman"/>
          <w:sz w:val="32"/>
          <w:szCs w:val="32"/>
          <w:lang w:val="en-US" w:eastAsia="zh-CN"/>
        </w:rPr>
      </w:pPr>
    </w:p>
    <w:p>
      <w:pPr>
        <w:ind w:firstLine="608" w:firstLineChars="200"/>
        <w:jc w:val="left"/>
        <w:rPr>
          <w:rFonts w:hint="eastAsia" w:ascii="Times New Roman" w:hAnsi="Times New Roman" w:cs="Times New Roman"/>
          <w:sz w:val="32"/>
          <w:szCs w:val="32"/>
          <w:lang w:val="en-US" w:eastAsia="zh-CN"/>
        </w:rPr>
      </w:pPr>
    </w:p>
    <w:p>
      <w:pPr>
        <w:ind w:left="0" w:leftChars="0" w:firstLine="0" w:firstLineChars="0"/>
        <w:jc w:val="left"/>
        <w:rPr>
          <w:rFonts w:hint="default" w:ascii="Times New Roman" w:hAnsi="Times New Roman" w:eastAsia="宋体" w:cs="Times New Roman"/>
          <w:b/>
          <w:bCs/>
          <w:color w:val="0000FF"/>
          <w:sz w:val="32"/>
          <w:szCs w:val="32"/>
          <w:highlight w:val="yellow"/>
          <w:lang w:val="en-US" w:eastAsia="zh-CN"/>
        </w:rPr>
      </w:pPr>
      <w:r>
        <w:rPr>
          <w:rFonts w:hint="eastAsia" w:ascii="Times New Roman" w:hAnsi="Times New Roman" w:eastAsia="方正小标宋_GBK" w:cs="Times New Roman"/>
          <w:b/>
          <w:bCs/>
          <w:color w:val="FF0000"/>
          <w:sz w:val="32"/>
          <w:szCs w:val="40"/>
          <w:highlight w:val="yellow"/>
          <w:lang w:val="en-US" w:eastAsia="zh-CN"/>
        </w:rPr>
        <w:t>5</w:t>
      </w:r>
      <w:r>
        <w:rPr>
          <w:rFonts w:hint="default" w:ascii="Times New Roman" w:hAnsi="Times New Roman" w:eastAsia="方正小标宋_GBK" w:cs="Times New Roman"/>
          <w:b/>
          <w:bCs/>
          <w:color w:val="FF0000"/>
          <w:sz w:val="32"/>
          <w:szCs w:val="40"/>
          <w:highlight w:val="yellow"/>
          <w:lang w:val="en-US" w:eastAsia="zh-CN"/>
        </w:rPr>
        <w:t>月</w:t>
      </w:r>
      <w:r>
        <w:rPr>
          <w:rFonts w:hint="eastAsia" w:ascii="Times New Roman" w:hAnsi="Times New Roman" w:eastAsia="方正小标宋_GBK" w:cs="Times New Roman"/>
          <w:b/>
          <w:bCs/>
          <w:color w:val="FF0000"/>
          <w:sz w:val="32"/>
          <w:szCs w:val="40"/>
          <w:highlight w:val="yellow"/>
          <w:lang w:val="en-US" w:eastAsia="zh-CN"/>
        </w:rPr>
        <w:t>1</w:t>
      </w:r>
      <w:r>
        <w:rPr>
          <w:rFonts w:hint="default" w:ascii="Times New Roman" w:hAnsi="Times New Roman" w:eastAsia="方正小标宋_GBK" w:cs="Times New Roman"/>
          <w:b/>
          <w:bCs/>
          <w:color w:val="FF0000"/>
          <w:sz w:val="32"/>
          <w:szCs w:val="40"/>
          <w:highlight w:val="yellow"/>
          <w:lang w:val="en-US" w:eastAsia="zh-CN"/>
        </w:rPr>
        <w:t>日</w:t>
      </w:r>
      <w:r>
        <w:rPr>
          <w:rFonts w:hint="default" w:ascii="Times New Roman" w:hAnsi="Times New Roman" w:eastAsia="方正魏碑简体" w:cs="Times New Roman"/>
          <w:b/>
          <w:bCs/>
          <w:color w:val="0000FF"/>
          <w:sz w:val="32"/>
          <w:szCs w:val="40"/>
          <w:highlight w:val="yellow"/>
          <w:lang w:val="en-US" w:eastAsia="zh-CN"/>
        </w:rPr>
        <w:t>（周</w:t>
      </w:r>
      <w:r>
        <w:rPr>
          <w:rFonts w:hint="eastAsia" w:ascii="Times New Roman" w:hAnsi="Times New Roman" w:eastAsia="方正魏碑简体" w:cs="Times New Roman"/>
          <w:b/>
          <w:bCs/>
          <w:color w:val="0000FF"/>
          <w:sz w:val="32"/>
          <w:szCs w:val="40"/>
          <w:highlight w:val="yellow"/>
          <w:lang w:val="en-US" w:eastAsia="zh-CN"/>
        </w:rPr>
        <w:t>三</w:t>
      </w:r>
      <w:r>
        <w:rPr>
          <w:rFonts w:hint="default" w:ascii="Times New Roman" w:hAnsi="Times New Roman" w:eastAsia="方正魏碑简体" w:cs="Times New Roman"/>
          <w:b/>
          <w:bCs/>
          <w:color w:val="0000FF"/>
          <w:sz w:val="32"/>
          <w:szCs w:val="40"/>
          <w:highlight w:val="yellow"/>
          <w:lang w:val="en-US" w:eastAsia="zh-CN"/>
        </w:rPr>
        <w:t>）</w:t>
      </w:r>
    </w:p>
    <w:p>
      <w:pPr>
        <w:jc w:val="center"/>
        <w:rPr>
          <w:rFonts w:hint="default" w:ascii="Times New Roman" w:hAnsi="Times New Roman" w:eastAsia="方正小标宋_GBK" w:cs="Times New Roman"/>
          <w:b/>
          <w:bCs/>
          <w:color w:val="0000FF"/>
          <w:sz w:val="36"/>
          <w:szCs w:val="44"/>
          <w:highlight w:val="yellow"/>
          <w:lang w:val="en-US" w:eastAsia="zh-CN"/>
        </w:rPr>
      </w:pPr>
      <w:r>
        <w:rPr>
          <w:rFonts w:hint="eastAsia" w:ascii="Times New Roman" w:hAnsi="Times New Roman" w:eastAsia="方正小标宋_GBK" w:cs="Times New Roman"/>
          <w:b/>
          <w:bCs/>
          <w:color w:val="0000FF"/>
          <w:sz w:val="36"/>
          <w:szCs w:val="44"/>
          <w:highlight w:val="yellow"/>
          <w:lang w:val="en-US" w:eastAsia="zh-CN"/>
        </w:rPr>
        <w:t>美国的通胀担忧升温，欧元区经济增长飘摇</w:t>
      </w:r>
    </w:p>
    <w:p>
      <w:pPr>
        <w:ind w:firstLine="608" w:firstLineChars="200"/>
        <w:jc w:val="left"/>
        <w:rPr>
          <w:rFonts w:hint="default" w:ascii="Times New Roman" w:hAnsi="Times New Roman" w:cs="Times New Roman"/>
          <w:b/>
          <w:bCs/>
          <w:sz w:val="32"/>
          <w:szCs w:val="32"/>
          <w:lang w:val="en-US" w:eastAsia="zh-CN"/>
        </w:rPr>
      </w:pPr>
      <w:r>
        <w:rPr>
          <w:rFonts w:hint="eastAsia" w:ascii="Times New Roman" w:hAnsi="Times New Roman" w:cs="Times New Roman"/>
          <w:b/>
          <w:bCs/>
          <w:sz w:val="32"/>
          <w:szCs w:val="32"/>
          <w:lang w:val="en-US" w:eastAsia="zh-CN"/>
        </w:rPr>
        <w:t>一、美国的通胀担忧升温</w:t>
      </w:r>
    </w:p>
    <w:p>
      <w:pPr>
        <w:ind w:firstLine="608" w:firstLineChars="200"/>
        <w:jc w:val="both"/>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4月30日（周二），美国劳工统计局公布，美国一季度“劳工成本指数”季环比1.2%，高于预期的1%和前值的0.9%，创一年来最大涨幅（见图）。即，美国第一季度劳动力成本加速上升，创一年来的最大升幅，凸显了持续的工资压力。</w:t>
      </w:r>
    </w:p>
    <w:p>
      <w:pPr>
        <w:ind w:firstLine="608" w:firstLineChars="200"/>
        <w:jc w:val="left"/>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drawing>
          <wp:anchor distT="0" distB="0" distL="114300" distR="114300" simplePos="0" relativeHeight="251664384" behindDoc="0" locked="0" layoutInCell="1" allowOverlap="1">
            <wp:simplePos x="0" y="0"/>
            <wp:positionH relativeFrom="column">
              <wp:posOffset>384810</wp:posOffset>
            </wp:positionH>
            <wp:positionV relativeFrom="paragraph">
              <wp:posOffset>53975</wp:posOffset>
            </wp:positionV>
            <wp:extent cx="4565015" cy="2286000"/>
            <wp:effectExtent l="0" t="0" r="6985" b="0"/>
            <wp:wrapSquare wrapText="bothSides"/>
            <wp:docPr id="19" name="图片 19" descr="图片9-5月1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图片9-5月1日"/>
                    <pic:cNvPicPr>
                      <a:picLocks noChangeAspect="1"/>
                    </pic:cNvPicPr>
                  </pic:nvPicPr>
                  <pic:blipFill>
                    <a:blip r:embed="rId14"/>
                    <a:stretch>
                      <a:fillRect/>
                    </a:stretch>
                  </pic:blipFill>
                  <pic:spPr>
                    <a:xfrm>
                      <a:off x="0" y="0"/>
                      <a:ext cx="4565015" cy="2286000"/>
                    </a:xfrm>
                    <a:prstGeom prst="rect">
                      <a:avLst/>
                    </a:prstGeom>
                  </pic:spPr>
                </pic:pic>
              </a:graphicData>
            </a:graphic>
          </wp:anchor>
        </w:drawing>
      </w:r>
    </w:p>
    <w:p>
      <w:pPr>
        <w:ind w:firstLine="608" w:firstLineChars="200"/>
        <w:jc w:val="left"/>
        <w:rPr>
          <w:rFonts w:hint="eastAsia" w:ascii="Times New Roman" w:hAnsi="Times New Roman" w:cs="Times New Roman"/>
          <w:sz w:val="32"/>
          <w:szCs w:val="32"/>
          <w:lang w:val="en-US" w:eastAsia="zh-CN"/>
        </w:rPr>
      </w:pPr>
    </w:p>
    <w:p>
      <w:pPr>
        <w:ind w:firstLine="608" w:firstLineChars="200"/>
        <w:jc w:val="left"/>
        <w:rPr>
          <w:rFonts w:hint="eastAsia" w:ascii="Times New Roman" w:hAnsi="Times New Roman" w:cs="Times New Roman"/>
          <w:sz w:val="32"/>
          <w:szCs w:val="32"/>
          <w:lang w:val="en-US" w:eastAsia="zh-CN"/>
        </w:rPr>
      </w:pPr>
    </w:p>
    <w:p>
      <w:pPr>
        <w:ind w:firstLine="608" w:firstLineChars="200"/>
        <w:jc w:val="left"/>
        <w:rPr>
          <w:rFonts w:hint="eastAsia" w:ascii="Times New Roman" w:hAnsi="Times New Roman" w:cs="Times New Roman"/>
          <w:sz w:val="32"/>
          <w:szCs w:val="32"/>
          <w:lang w:val="en-US" w:eastAsia="zh-CN"/>
        </w:rPr>
      </w:pPr>
    </w:p>
    <w:p>
      <w:pPr>
        <w:ind w:firstLine="608" w:firstLineChars="200"/>
        <w:jc w:val="left"/>
        <w:rPr>
          <w:rFonts w:hint="eastAsia" w:ascii="Times New Roman" w:hAnsi="Times New Roman" w:cs="Times New Roman"/>
          <w:sz w:val="32"/>
          <w:szCs w:val="32"/>
          <w:lang w:val="en-US" w:eastAsia="zh-CN"/>
        </w:rPr>
      </w:pPr>
    </w:p>
    <w:p>
      <w:pPr>
        <w:ind w:firstLine="608" w:firstLineChars="200"/>
        <w:jc w:val="left"/>
        <w:rPr>
          <w:rFonts w:hint="eastAsia" w:ascii="Times New Roman" w:hAnsi="Times New Roman" w:cs="Times New Roman"/>
          <w:sz w:val="32"/>
          <w:szCs w:val="32"/>
          <w:lang w:val="en-US" w:eastAsia="zh-CN"/>
        </w:rPr>
      </w:pPr>
    </w:p>
    <w:p>
      <w:pPr>
        <w:jc w:val="left"/>
        <w:rPr>
          <w:rFonts w:hint="eastAsia" w:ascii="Times New Roman" w:hAnsi="Times New Roman"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firstLine="528" w:firstLineChars="200"/>
        <w:jc w:val="both"/>
        <w:textAlignment w:val="auto"/>
        <w:outlineLvl w:val="9"/>
        <w:rPr>
          <w:rFonts w:hint="default" w:ascii="Times New Roman" w:hAnsi="Times New Roman" w:eastAsia="方正楷体_GBK" w:cs="Calibri"/>
          <w:sz w:val="28"/>
          <w:szCs w:val="28"/>
          <w:highlight w:val="none"/>
          <w:lang w:val="en-US" w:eastAsia="zh-CN"/>
        </w:rPr>
      </w:pPr>
      <w:r>
        <w:rPr>
          <w:rFonts w:hint="eastAsia" w:ascii="方正楷体_GBK" w:hAnsi="方正楷体_GBK" w:eastAsia="方正楷体_GBK" w:cs="方正楷体_GBK"/>
          <w:b/>
          <w:bCs/>
          <w:sz w:val="28"/>
          <w:szCs w:val="28"/>
          <w:highlight w:val="none"/>
          <w:lang w:val="en-US" w:eastAsia="zh-CN"/>
        </w:rPr>
        <w:t>（</w:t>
      </w:r>
      <w:r>
        <w:rPr>
          <w:rFonts w:hint="eastAsia" w:ascii="方正黑体_GBK" w:hAnsi="方正黑体_GBK" w:eastAsia="方正黑体_GBK" w:cs="方正黑体_GBK"/>
          <w:b/>
          <w:bCs/>
          <w:sz w:val="28"/>
          <w:szCs w:val="28"/>
          <w:highlight w:val="none"/>
          <w:lang w:val="en-US" w:eastAsia="zh-CN"/>
        </w:rPr>
        <w:t>注:</w:t>
      </w:r>
      <w:r>
        <w:rPr>
          <w:rFonts w:hint="eastAsia" w:ascii="Times New Roman" w:hAnsi="Times New Roman" w:eastAsia="方正楷体_GBK" w:cs="Calibri"/>
          <w:b/>
          <w:bCs/>
          <w:sz w:val="28"/>
          <w:szCs w:val="28"/>
          <w:highlight w:val="none"/>
          <w:lang w:val="en-US" w:eastAsia="zh-CN"/>
        </w:rPr>
        <w:t>美国劳工成本指数：</w:t>
      </w:r>
      <w:r>
        <w:rPr>
          <w:rFonts w:hint="eastAsia" w:ascii="Times New Roman" w:hAnsi="Times New Roman" w:eastAsia="方正楷体_GBK" w:cs="Calibri"/>
          <w:sz w:val="28"/>
          <w:szCs w:val="28"/>
          <w:highlight w:val="none"/>
          <w:lang w:val="en-US" w:eastAsia="zh-CN"/>
        </w:rPr>
        <w:t>是衡量劳动力成本的最广泛指标，包括工资、福利和雇主支付的社会保险，因此也称为</w:t>
      </w:r>
      <w:r>
        <w:rPr>
          <w:rFonts w:hint="eastAsia" w:ascii="Times New Roman" w:hAnsi="Times New Roman" w:eastAsia="方正楷体_GBK" w:cs="Calibri"/>
          <w:b/>
          <w:bCs/>
          <w:sz w:val="28"/>
          <w:szCs w:val="28"/>
          <w:highlight w:val="none"/>
          <w:lang w:val="en-US" w:eastAsia="zh-CN"/>
        </w:rPr>
        <w:t>“就业成本指数”</w:t>
      </w:r>
      <w:r>
        <w:rPr>
          <w:rFonts w:hint="eastAsia" w:ascii="Times New Roman" w:hAnsi="Times New Roman" w:eastAsia="方正楷体_GBK" w:cs="Calibri"/>
          <w:sz w:val="28"/>
          <w:szCs w:val="28"/>
          <w:highlight w:val="none"/>
          <w:lang w:val="en-US" w:eastAsia="zh-CN"/>
        </w:rPr>
        <w:t>（</w:t>
      </w:r>
      <w:r>
        <w:rPr>
          <w:rFonts w:hint="eastAsia" w:ascii="Times New Roman" w:hAnsi="Times New Roman" w:eastAsia="方正楷体_GBK" w:cs="Calibri"/>
          <w:b/>
          <w:bCs/>
          <w:sz w:val="28"/>
          <w:szCs w:val="28"/>
          <w:highlight w:val="none"/>
          <w:lang w:val="en-US" w:eastAsia="zh-CN"/>
        </w:rPr>
        <w:t>ECI</w:t>
      </w:r>
      <w:r>
        <w:rPr>
          <w:rFonts w:hint="eastAsia" w:ascii="Times New Roman" w:hAnsi="Times New Roman" w:eastAsia="方正楷体_GBK" w:cs="Calibri"/>
          <w:sz w:val="28"/>
          <w:szCs w:val="28"/>
          <w:highlight w:val="none"/>
          <w:lang w:val="en-US" w:eastAsia="zh-CN"/>
        </w:rPr>
        <w:t>，Employment Cost Index）。通过跟踪劳动力成本的变化，投资者可以预测企业是否将提高产品或服务的价格，即劳动力成本变化是否会推升通胀水平。)</w:t>
      </w:r>
    </w:p>
    <w:p>
      <w:pPr>
        <w:ind w:firstLine="608" w:firstLineChars="200"/>
        <w:jc w:val="both"/>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ECI数据一出，美债收益率随即飙升，说明市场担心劳动力成本上涨会推高通胀，使美联储不得不在更长时间内维持较高的利率水平；由此，对政策利率最敏感的2年期美债收益率日内直接突破了5%的关键关口，美元指数亦同步走高。</w:t>
      </w:r>
    </w:p>
    <w:p>
      <w:pPr>
        <w:ind w:firstLine="608" w:firstLineChars="200"/>
        <w:jc w:val="both"/>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同日，美国S&amp;P/CS20座大城市房价的2月份指数公布，同比上涨7.29%，高于预期和前值；环比大涨0.92%，大大高于前值的-0.11%（环比值见图的次右轴）。房价对经济的影响极大。房价上涨会鼓励新的建设，反之亦然；同时，房价的波动直接关系到消费者支出和消费者金融健康。</w:t>
      </w:r>
    </w:p>
    <w:p>
      <w:pPr>
        <w:ind w:firstLine="608" w:firstLineChars="200"/>
        <w:jc w:val="left"/>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drawing>
          <wp:anchor distT="0" distB="0" distL="114300" distR="114300" simplePos="0" relativeHeight="251665408" behindDoc="0" locked="0" layoutInCell="1" allowOverlap="1">
            <wp:simplePos x="0" y="0"/>
            <wp:positionH relativeFrom="column">
              <wp:posOffset>626110</wp:posOffset>
            </wp:positionH>
            <wp:positionV relativeFrom="paragraph">
              <wp:posOffset>346075</wp:posOffset>
            </wp:positionV>
            <wp:extent cx="4119245" cy="2872105"/>
            <wp:effectExtent l="0" t="0" r="14605" b="4445"/>
            <wp:wrapSquare wrapText="bothSides"/>
            <wp:docPr id="20" name="图片 20" descr="图片10-5月1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图片10-5月1日"/>
                    <pic:cNvPicPr>
                      <a:picLocks noChangeAspect="1"/>
                    </pic:cNvPicPr>
                  </pic:nvPicPr>
                  <pic:blipFill>
                    <a:blip r:embed="rId15"/>
                    <a:stretch>
                      <a:fillRect/>
                    </a:stretch>
                  </pic:blipFill>
                  <pic:spPr>
                    <a:xfrm>
                      <a:off x="0" y="0"/>
                      <a:ext cx="4119245" cy="2872105"/>
                    </a:xfrm>
                    <a:prstGeom prst="rect">
                      <a:avLst/>
                    </a:prstGeom>
                  </pic:spPr>
                </pic:pic>
              </a:graphicData>
            </a:graphic>
          </wp:anchor>
        </w:drawing>
      </w:r>
    </w:p>
    <w:p>
      <w:pPr>
        <w:ind w:firstLine="608" w:firstLineChars="200"/>
        <w:jc w:val="left"/>
        <w:rPr>
          <w:rFonts w:hint="eastAsia" w:ascii="Times New Roman" w:hAnsi="Times New Roman" w:cs="Times New Roman"/>
          <w:sz w:val="32"/>
          <w:szCs w:val="32"/>
          <w:lang w:val="en-US" w:eastAsia="zh-CN"/>
        </w:rPr>
      </w:pPr>
    </w:p>
    <w:p>
      <w:pPr>
        <w:ind w:firstLine="608" w:firstLineChars="200"/>
        <w:jc w:val="left"/>
        <w:rPr>
          <w:rFonts w:hint="eastAsia" w:ascii="Times New Roman" w:hAnsi="Times New Roman" w:cs="Times New Roman"/>
          <w:sz w:val="32"/>
          <w:szCs w:val="32"/>
          <w:lang w:val="en-US" w:eastAsia="zh-CN"/>
        </w:rPr>
      </w:pPr>
    </w:p>
    <w:p>
      <w:pPr>
        <w:ind w:firstLine="608" w:firstLineChars="200"/>
        <w:jc w:val="left"/>
        <w:rPr>
          <w:rFonts w:hint="eastAsia" w:ascii="Times New Roman" w:hAnsi="Times New Roman" w:cs="Times New Roman"/>
          <w:sz w:val="32"/>
          <w:szCs w:val="32"/>
          <w:lang w:val="en-US" w:eastAsia="zh-CN"/>
        </w:rPr>
      </w:pPr>
    </w:p>
    <w:p>
      <w:pPr>
        <w:ind w:firstLine="608" w:firstLineChars="200"/>
        <w:jc w:val="left"/>
        <w:rPr>
          <w:rFonts w:hint="eastAsia" w:ascii="Times New Roman" w:hAnsi="Times New Roman" w:cs="Times New Roman"/>
          <w:sz w:val="32"/>
          <w:szCs w:val="32"/>
          <w:lang w:val="en-US" w:eastAsia="zh-CN"/>
        </w:rPr>
      </w:pPr>
    </w:p>
    <w:p>
      <w:pPr>
        <w:ind w:firstLine="608" w:firstLineChars="200"/>
        <w:jc w:val="left"/>
        <w:rPr>
          <w:rFonts w:hint="eastAsia" w:ascii="Times New Roman" w:hAnsi="Times New Roman" w:cs="Times New Roman"/>
          <w:sz w:val="32"/>
          <w:szCs w:val="32"/>
          <w:lang w:val="en-US" w:eastAsia="zh-CN"/>
        </w:rPr>
      </w:pPr>
    </w:p>
    <w:p>
      <w:pPr>
        <w:ind w:firstLine="608" w:firstLineChars="200"/>
        <w:jc w:val="left"/>
        <w:rPr>
          <w:rFonts w:hint="eastAsia" w:ascii="Times New Roman" w:hAnsi="Times New Roman" w:cs="Times New Roman"/>
          <w:sz w:val="32"/>
          <w:szCs w:val="32"/>
          <w:lang w:val="en-US" w:eastAsia="zh-CN"/>
        </w:rPr>
      </w:pPr>
    </w:p>
    <w:p>
      <w:pPr>
        <w:ind w:firstLine="608" w:firstLineChars="200"/>
        <w:jc w:val="left"/>
        <w:rPr>
          <w:rFonts w:hint="eastAsia" w:ascii="Times New Roman" w:hAnsi="Times New Roman"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firstLine="528" w:firstLineChars="200"/>
        <w:textAlignment w:val="auto"/>
        <w:outlineLvl w:val="9"/>
        <w:rPr>
          <w:rFonts w:hint="eastAsia" w:ascii="Times New Roman" w:hAnsi="Times New Roman" w:eastAsia="方正楷体_GBK" w:cs="方正楷体_GBK"/>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firstLine="528" w:firstLineChars="200"/>
        <w:textAlignment w:val="auto"/>
        <w:outlineLvl w:val="9"/>
        <w:rPr>
          <w:rFonts w:hint="eastAsia" w:ascii="Times New Roman" w:hAnsi="Times New Roman" w:eastAsia="方正楷体_GBK" w:cs="方正楷体_GBK"/>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firstLine="528" w:firstLineChars="200"/>
        <w:jc w:val="both"/>
        <w:textAlignment w:val="auto"/>
        <w:outlineLvl w:val="9"/>
        <w:rPr>
          <w:rFonts w:hint="eastAsia" w:ascii="Times New Roman" w:hAnsi="Times New Roman" w:eastAsia="方正楷体_GBK" w:cs="方正楷体_GBK"/>
          <w:sz w:val="28"/>
          <w:szCs w:val="28"/>
          <w:lang w:val="en-US" w:eastAsia="zh-CN"/>
        </w:rPr>
      </w:pPr>
      <w:r>
        <w:rPr>
          <w:rFonts w:hint="eastAsia" w:ascii="Times New Roman" w:hAnsi="Times New Roman" w:eastAsia="方正楷体_GBK" w:cs="方正楷体_GBK"/>
          <w:sz w:val="28"/>
          <w:szCs w:val="28"/>
          <w:lang w:val="en-US" w:eastAsia="zh-CN"/>
        </w:rPr>
        <w:t>（</w:t>
      </w:r>
      <w:r>
        <w:rPr>
          <w:rFonts w:hint="eastAsia" w:ascii="方正黑体_GBK" w:hAnsi="方正黑体_GBK" w:eastAsia="方正黑体_GBK" w:cs="方正黑体_GBK"/>
          <w:b/>
          <w:bCs/>
          <w:sz w:val="28"/>
          <w:szCs w:val="28"/>
          <w:highlight w:val="none"/>
          <w:lang w:val="en-US" w:eastAsia="zh-CN"/>
        </w:rPr>
        <w:t>注</w:t>
      </w:r>
      <w:r>
        <w:rPr>
          <w:rFonts w:hint="eastAsia" w:ascii="Times New Roman" w:hAnsi="Times New Roman" w:eastAsia="方正楷体_GBK" w:cs="方正楷体_GBK"/>
          <w:sz w:val="28"/>
          <w:szCs w:val="28"/>
          <w:lang w:val="en-US" w:eastAsia="zh-CN"/>
        </w:rPr>
        <w:t>：</w:t>
      </w:r>
      <w:r>
        <w:rPr>
          <w:rFonts w:hint="eastAsia" w:ascii="Times New Roman" w:hAnsi="Times New Roman" w:eastAsia="方正楷体_GBK" w:cs="方正楷体_GBK"/>
          <w:b/>
          <w:bCs/>
          <w:sz w:val="28"/>
          <w:szCs w:val="28"/>
          <w:vertAlign w:val="baseline"/>
        </w:rPr>
        <w:t>美国S&amp;P/CS20座大城市房价指数：</w:t>
      </w:r>
      <w:r>
        <w:rPr>
          <w:rFonts w:hint="eastAsia" w:ascii="Times New Roman" w:hAnsi="Times New Roman" w:eastAsia="方正楷体_GBK" w:cs="方正楷体_GBK"/>
          <w:sz w:val="28"/>
          <w:szCs w:val="28"/>
          <w:vertAlign w:val="baseline"/>
        </w:rPr>
        <w:t>衡量全美20个大都市地区住宅房地产价值的月度变化。关注的是现有房价的变化，以单户住宅转售为基础，共管公寓和合作公寓被排除在外。新的建筑也不包括在内。</w:t>
      </w:r>
      <w:r>
        <w:rPr>
          <w:rFonts w:hint="eastAsia" w:ascii="Times New Roman" w:hAnsi="Times New Roman" w:eastAsia="方正楷体_GBK" w:cs="方正楷体_GBK"/>
          <w:sz w:val="28"/>
          <w:szCs w:val="28"/>
          <w:lang w:val="en-US" w:eastAsia="zh-CN"/>
        </w:rPr>
        <w:t>）</w:t>
      </w:r>
    </w:p>
    <w:p>
      <w:pPr>
        <w:ind w:firstLine="608" w:firstLineChars="200"/>
        <w:jc w:val="left"/>
        <w:rPr>
          <w:rFonts w:hint="eastAsia" w:ascii="Times New Roman" w:hAnsi="Times New Roman" w:cs="Times New Roman"/>
          <w:sz w:val="32"/>
          <w:szCs w:val="32"/>
          <w:lang w:val="en-US" w:eastAsia="zh-CN"/>
        </w:rPr>
      </w:pPr>
    </w:p>
    <w:p>
      <w:pPr>
        <w:ind w:firstLine="608" w:firstLineChars="200"/>
        <w:jc w:val="both"/>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同日，美国谘商会发布的消费者情绪指数，稍稍缓解了市场的通胀焦虑。</w:t>
      </w:r>
    </w:p>
    <w:p>
      <w:pPr>
        <w:ind w:firstLine="606"/>
        <w:jc w:val="both"/>
        <w:rPr>
          <w:rFonts w:hint="eastAsia" w:ascii="Times New Roman" w:hAnsi="Times New Roman" w:cs="Times New Roman"/>
          <w:sz w:val="32"/>
          <w:szCs w:val="32"/>
          <w:lang w:val="en-US" w:eastAsia="zh-CN"/>
        </w:rPr>
      </w:pPr>
      <w:r>
        <w:rPr>
          <w:rFonts w:hint="default" w:ascii="Times New Roman" w:hAnsi="Times New Roman" w:cs="Times New Roman"/>
          <w:sz w:val="32"/>
          <w:szCs w:val="32"/>
          <w:lang w:val="en-US" w:eastAsia="zh-CN"/>
        </w:rPr>
        <w:drawing>
          <wp:anchor distT="0" distB="0" distL="114300" distR="114300" simplePos="0" relativeHeight="251666432" behindDoc="0" locked="0" layoutInCell="1" allowOverlap="1">
            <wp:simplePos x="0" y="0"/>
            <wp:positionH relativeFrom="column">
              <wp:posOffset>0</wp:posOffset>
            </wp:positionH>
            <wp:positionV relativeFrom="paragraph">
              <wp:posOffset>28575</wp:posOffset>
            </wp:positionV>
            <wp:extent cx="5609590" cy="1036955"/>
            <wp:effectExtent l="0" t="0" r="10160" b="10795"/>
            <wp:wrapSquare wrapText="bothSides"/>
            <wp:docPr id="21" name="图片 21" descr="图片11-5月1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图片11-5月1日"/>
                    <pic:cNvPicPr>
                      <a:picLocks noChangeAspect="1"/>
                    </pic:cNvPicPr>
                  </pic:nvPicPr>
                  <pic:blipFill>
                    <a:blip r:embed="rId16"/>
                    <a:stretch>
                      <a:fillRect/>
                    </a:stretch>
                  </pic:blipFill>
                  <pic:spPr>
                    <a:xfrm>
                      <a:off x="0" y="0"/>
                      <a:ext cx="5609590" cy="1036955"/>
                    </a:xfrm>
                    <a:prstGeom prst="rect">
                      <a:avLst/>
                    </a:prstGeom>
                  </pic:spPr>
                </pic:pic>
              </a:graphicData>
            </a:graphic>
          </wp:anchor>
        </w:drawing>
      </w:r>
      <w:r>
        <w:rPr>
          <w:rFonts w:hint="eastAsia" w:ascii="Times New Roman" w:hAnsi="Times New Roman" w:cs="Times New Roman"/>
          <w:sz w:val="32"/>
          <w:szCs w:val="32"/>
          <w:lang w:val="en-US" w:eastAsia="zh-CN"/>
        </w:rPr>
        <w:t>数据显示，美国消费者的预期、现况和信心都有所下滑，预示消费者支出将有所放缓。</w:t>
      </w:r>
    </w:p>
    <w:p>
      <w:pPr>
        <w:keepNext w:val="0"/>
        <w:keepLines w:val="0"/>
        <w:pageBreakBefore w:val="0"/>
        <w:widowControl w:val="0"/>
        <w:kinsoku/>
        <w:wordWrap/>
        <w:overflowPunct/>
        <w:topLinePunct w:val="0"/>
        <w:autoSpaceDE/>
        <w:autoSpaceDN/>
        <w:bidi w:val="0"/>
        <w:adjustRightInd/>
        <w:snapToGrid/>
        <w:spacing w:line="400" w:lineRule="exact"/>
        <w:ind w:firstLine="528" w:firstLineChars="200"/>
        <w:jc w:val="both"/>
        <w:textAlignment w:val="auto"/>
        <w:outlineLvl w:val="9"/>
        <w:rPr>
          <w:rFonts w:hint="default" w:ascii="Times New Roman" w:hAnsi="Times New Roman" w:eastAsia="方正楷体_GBK" w:cs="方正楷体_GBK"/>
          <w:sz w:val="28"/>
          <w:szCs w:val="28"/>
          <w:lang w:eastAsia="zh-CN"/>
        </w:rPr>
      </w:pPr>
      <w:r>
        <w:rPr>
          <w:rFonts w:hint="eastAsia" w:ascii="Times New Roman" w:hAnsi="Times New Roman" w:eastAsia="方正楷体_GBK" w:cs="方正楷体_GBK"/>
          <w:sz w:val="28"/>
          <w:szCs w:val="28"/>
          <w:lang w:val="en-US" w:eastAsia="zh-CN"/>
        </w:rPr>
        <w:t>（</w:t>
      </w:r>
      <w:r>
        <w:rPr>
          <w:rFonts w:hint="eastAsia" w:ascii="方正黑体_GBK" w:hAnsi="方正黑体_GBK" w:eastAsia="方正黑体_GBK" w:cs="方正黑体_GBK"/>
          <w:b/>
          <w:bCs/>
          <w:sz w:val="28"/>
          <w:szCs w:val="28"/>
          <w:lang w:val="en-US" w:eastAsia="zh-CN"/>
        </w:rPr>
        <w:t>注：</w:t>
      </w:r>
      <w:r>
        <w:rPr>
          <w:rFonts w:hint="default" w:ascii="Times New Roman" w:hAnsi="Times New Roman" w:eastAsia="方正楷体_GBK" w:cs="方正楷体_GBK"/>
          <w:b/>
          <w:bCs/>
          <w:sz w:val="28"/>
          <w:szCs w:val="28"/>
          <w:lang w:eastAsia="zh-CN"/>
        </w:rPr>
        <w:t>美国谘商会消费者情绪指数：</w:t>
      </w:r>
      <w:r>
        <w:rPr>
          <w:rFonts w:hint="default" w:ascii="Times New Roman" w:hAnsi="Times New Roman" w:eastAsia="方正楷体_GBK" w:cs="方正楷体_GBK"/>
          <w:sz w:val="28"/>
          <w:szCs w:val="28"/>
          <w:lang w:eastAsia="zh-CN"/>
        </w:rPr>
        <w:t>谘商会每月对全美3000户家庭进行调查，了解消费者对当前商业和就业状况的看法，以及他们六个月来对商业状况、就业和收入的预期。</w:t>
      </w:r>
      <w:r>
        <w:rPr>
          <w:rFonts w:hint="eastAsia" w:ascii="Times New Roman" w:hAnsi="Times New Roman" w:eastAsia="方正楷体_GBK" w:cs="方正楷体_GBK"/>
          <w:sz w:val="28"/>
          <w:szCs w:val="28"/>
          <w:lang w:eastAsia="zh-CN"/>
        </w:rPr>
        <w:t>）</w:t>
      </w:r>
    </w:p>
    <w:p>
      <w:pPr>
        <w:ind w:firstLine="608" w:firstLineChars="200"/>
        <w:jc w:val="left"/>
        <w:rPr>
          <w:rFonts w:hint="eastAsia" w:ascii="Times New Roman" w:hAnsi="Times New Roman" w:cs="Times New Roman"/>
          <w:b/>
          <w:bCs/>
          <w:sz w:val="32"/>
          <w:szCs w:val="32"/>
          <w:lang w:val="en-US" w:eastAsia="zh-CN"/>
        </w:rPr>
      </w:pPr>
      <w:r>
        <w:rPr>
          <w:rFonts w:hint="eastAsia" w:ascii="Times New Roman" w:hAnsi="Times New Roman" w:cs="Times New Roman"/>
          <w:b/>
          <w:bCs/>
          <w:sz w:val="32"/>
          <w:szCs w:val="32"/>
          <w:lang w:val="en-US" w:eastAsia="zh-CN"/>
        </w:rPr>
        <w:t>二、欧元区经济增长飘摇</w:t>
      </w:r>
    </w:p>
    <w:p>
      <w:pPr>
        <w:ind w:firstLine="608" w:firstLineChars="200"/>
        <w:jc w:val="left"/>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4月30日（周二），欧盟统计局发布相关数据。</w:t>
      </w:r>
    </w:p>
    <w:p>
      <w:pPr>
        <w:ind w:firstLine="608" w:firstLineChars="200"/>
        <w:jc w:val="both"/>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欧元区4月份的CPI指数同比上涨了2.4%，与3月份持平；（不包括食品和能源的）核心CPI从2.9%降至2.7%，而且服务业的通胀率自去年11月以来首次下降。</w:t>
      </w:r>
    </w:p>
    <w:p>
      <w:pPr>
        <w:ind w:firstLine="608" w:firstLineChars="200"/>
        <w:jc w:val="both"/>
        <w:rPr>
          <w:rFonts w:hint="eastAsia" w:ascii="Times New Roman" w:hAnsi="Times New Roman" w:cs="Times New Roman"/>
          <w:b/>
          <w:bCs/>
          <w:sz w:val="32"/>
          <w:szCs w:val="32"/>
          <w:lang w:val="en-US" w:eastAsia="zh-CN"/>
        </w:rPr>
      </w:pPr>
      <w:r>
        <w:rPr>
          <w:rFonts w:hint="eastAsia" w:ascii="Times New Roman" w:hAnsi="Times New Roman" w:cs="Times New Roman"/>
          <w:sz w:val="32"/>
          <w:szCs w:val="32"/>
          <w:lang w:val="en-US" w:eastAsia="zh-CN"/>
        </w:rPr>
        <w:drawing>
          <wp:anchor distT="0" distB="0" distL="114300" distR="114300" simplePos="0" relativeHeight="251667456" behindDoc="0" locked="0" layoutInCell="1" allowOverlap="1">
            <wp:simplePos x="0" y="0"/>
            <wp:positionH relativeFrom="column">
              <wp:posOffset>10160</wp:posOffset>
            </wp:positionH>
            <wp:positionV relativeFrom="paragraph">
              <wp:posOffset>19050</wp:posOffset>
            </wp:positionV>
            <wp:extent cx="5610860" cy="1257935"/>
            <wp:effectExtent l="0" t="0" r="8890" b="18415"/>
            <wp:wrapSquare wrapText="bothSides"/>
            <wp:docPr id="22" name="图片 22" descr="图片12-5月1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图片12-5月1日"/>
                    <pic:cNvPicPr>
                      <a:picLocks noChangeAspect="1"/>
                    </pic:cNvPicPr>
                  </pic:nvPicPr>
                  <pic:blipFill>
                    <a:blip r:embed="rId17"/>
                    <a:stretch>
                      <a:fillRect/>
                    </a:stretch>
                  </pic:blipFill>
                  <pic:spPr>
                    <a:xfrm>
                      <a:off x="0" y="0"/>
                      <a:ext cx="5610860" cy="1257935"/>
                    </a:xfrm>
                    <a:prstGeom prst="rect">
                      <a:avLst/>
                    </a:prstGeom>
                  </pic:spPr>
                </pic:pic>
              </a:graphicData>
            </a:graphic>
          </wp:anchor>
        </w:drawing>
      </w:r>
      <w:r>
        <w:rPr>
          <w:rFonts w:hint="eastAsia" w:ascii="Times New Roman" w:hAnsi="Times New Roman" w:cs="Times New Roman"/>
          <w:sz w:val="32"/>
          <w:szCs w:val="32"/>
          <w:lang w:val="en-US" w:eastAsia="zh-CN"/>
        </w:rPr>
        <w:t>欧元区经济在一季度恢复了增长，但非常微弱：GDP的季环比增长只有0.3%（见图）。其中，德国一季度GDP环比增长0.2%、法国0.2%、意大利0.3%。</w:t>
      </w:r>
    </w:p>
    <w:p>
      <w:pPr>
        <w:jc w:val="center"/>
        <w:rPr>
          <w:rFonts w:hint="default" w:ascii="Calibri" w:hAnsi="Calibri" w:eastAsia="仿宋_GB2312" w:cs="Calibri"/>
          <w:sz w:val="24"/>
          <w:szCs w:val="32"/>
          <w:lang w:val="en-US" w:eastAsia="zh-CN"/>
        </w:rPr>
      </w:pPr>
      <w:r>
        <w:rPr>
          <w:rFonts w:hint="eastAsia" w:ascii="Times New Roman" w:hAnsi="Times New Roman" w:cs="Times New Roman"/>
          <w:b/>
          <w:bCs/>
          <w:sz w:val="32"/>
          <w:szCs w:val="32"/>
          <w:lang w:val="en-US" w:eastAsia="zh-CN"/>
        </w:rPr>
        <w:drawing>
          <wp:anchor distT="0" distB="0" distL="114300" distR="114300" simplePos="0" relativeHeight="251668480" behindDoc="0" locked="0" layoutInCell="1" allowOverlap="1">
            <wp:simplePos x="0" y="0"/>
            <wp:positionH relativeFrom="column">
              <wp:posOffset>626110</wp:posOffset>
            </wp:positionH>
            <wp:positionV relativeFrom="paragraph">
              <wp:posOffset>248920</wp:posOffset>
            </wp:positionV>
            <wp:extent cx="4223385" cy="3167380"/>
            <wp:effectExtent l="0" t="0" r="5715" b="13970"/>
            <wp:wrapTopAndBottom/>
            <wp:docPr id="23" name="图片 23" descr="图片13-5月1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图片13-5月1日"/>
                    <pic:cNvPicPr>
                      <a:picLocks noChangeAspect="1"/>
                    </pic:cNvPicPr>
                  </pic:nvPicPr>
                  <pic:blipFill>
                    <a:blip r:embed="rId18"/>
                    <a:stretch>
                      <a:fillRect/>
                    </a:stretch>
                  </pic:blipFill>
                  <pic:spPr>
                    <a:xfrm>
                      <a:off x="0" y="0"/>
                      <a:ext cx="4223385" cy="3167380"/>
                    </a:xfrm>
                    <a:prstGeom prst="rect">
                      <a:avLst/>
                    </a:prstGeom>
                  </pic:spPr>
                </pic:pic>
              </a:graphicData>
            </a:graphic>
          </wp:anchor>
        </w:drawing>
      </w:r>
      <w:r>
        <w:rPr>
          <w:rFonts w:hint="default" w:ascii="Calibri" w:hAnsi="Calibri" w:eastAsia="仿宋_GB2312" w:cs="Calibri"/>
          <w:sz w:val="24"/>
          <w:szCs w:val="32"/>
          <w:lang w:eastAsia="zh-CN"/>
        </w:rPr>
        <w:t>（图注：</w:t>
      </w:r>
      <w:r>
        <w:rPr>
          <w:rFonts w:hint="default" w:ascii="Calibri" w:hAnsi="Calibri" w:eastAsia="仿宋_GB2312" w:cs="Calibri"/>
          <w:sz w:val="24"/>
          <w:szCs w:val="32"/>
          <w:lang w:val="en-US" w:eastAsia="zh-CN"/>
        </w:rPr>
        <w:t>Q/Q为季环比，Y/Y为同比</w:t>
      </w:r>
      <w:r>
        <w:rPr>
          <w:rFonts w:hint="default" w:ascii="Calibri" w:hAnsi="Calibri" w:eastAsia="仿宋_GB2312" w:cs="Calibri"/>
          <w:sz w:val="24"/>
          <w:szCs w:val="32"/>
          <w:lang w:eastAsia="zh-CN"/>
        </w:rPr>
        <w:t>）</w:t>
      </w:r>
    </w:p>
    <w:p>
      <w:pPr>
        <w:ind w:firstLine="608" w:firstLineChars="200"/>
        <w:jc w:val="both"/>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以企业为例，大众和梅赛德斯是欧洲最大的两家汽车制造商，其利润在一季度都急剧下降，同比分别下降了20%和30%。在其最大的市场欧洲，高利率抑制了消费者购车欲望；在其第二大市场中国，由于本土品牌的激烈竞争和年初消费者的疲弱情绪，对德系车的总体需求下降。上述二因素合力，压降了大众和梅赛德斯在一季度的全球销售。</w:t>
      </w:r>
    </w:p>
    <w:p>
      <w:pPr>
        <w:ind w:left="0" w:leftChars="0" w:firstLine="0" w:firstLineChars="0"/>
        <w:jc w:val="left"/>
        <w:rPr>
          <w:rFonts w:hint="default" w:ascii="Times New Roman" w:hAnsi="Times New Roman" w:eastAsia="宋体" w:cs="Times New Roman"/>
          <w:b/>
          <w:bCs/>
          <w:color w:val="0000FF"/>
          <w:sz w:val="32"/>
          <w:szCs w:val="32"/>
          <w:highlight w:val="yellow"/>
          <w:lang w:val="en-US" w:eastAsia="zh-CN"/>
        </w:rPr>
      </w:pPr>
      <w:r>
        <w:rPr>
          <w:rFonts w:hint="eastAsia" w:ascii="Times New Roman" w:hAnsi="Times New Roman" w:eastAsia="方正小标宋_GBK" w:cs="Times New Roman"/>
          <w:b/>
          <w:bCs/>
          <w:color w:val="FF0000"/>
          <w:sz w:val="32"/>
          <w:szCs w:val="40"/>
          <w:highlight w:val="yellow"/>
          <w:lang w:val="en-US" w:eastAsia="zh-CN"/>
        </w:rPr>
        <w:t>5</w:t>
      </w:r>
      <w:r>
        <w:rPr>
          <w:rFonts w:hint="default" w:ascii="Times New Roman" w:hAnsi="Times New Roman" w:eastAsia="方正小标宋_GBK" w:cs="Times New Roman"/>
          <w:b/>
          <w:bCs/>
          <w:color w:val="FF0000"/>
          <w:sz w:val="32"/>
          <w:szCs w:val="40"/>
          <w:highlight w:val="yellow"/>
          <w:lang w:val="en-US" w:eastAsia="zh-CN"/>
        </w:rPr>
        <w:t>月</w:t>
      </w:r>
      <w:r>
        <w:rPr>
          <w:rFonts w:hint="eastAsia" w:ascii="Times New Roman" w:hAnsi="Times New Roman" w:eastAsia="方正小标宋_GBK" w:cs="Times New Roman"/>
          <w:b/>
          <w:bCs/>
          <w:color w:val="FF0000"/>
          <w:sz w:val="32"/>
          <w:szCs w:val="40"/>
          <w:highlight w:val="yellow"/>
          <w:lang w:val="en-US" w:eastAsia="zh-CN"/>
        </w:rPr>
        <w:t>2</w:t>
      </w:r>
      <w:r>
        <w:rPr>
          <w:rFonts w:hint="default" w:ascii="Times New Roman" w:hAnsi="Times New Roman" w:eastAsia="方正小标宋_GBK" w:cs="Times New Roman"/>
          <w:b/>
          <w:bCs/>
          <w:color w:val="FF0000"/>
          <w:sz w:val="32"/>
          <w:szCs w:val="40"/>
          <w:highlight w:val="yellow"/>
          <w:lang w:val="en-US" w:eastAsia="zh-CN"/>
        </w:rPr>
        <w:t>日</w:t>
      </w:r>
      <w:r>
        <w:rPr>
          <w:rFonts w:hint="default" w:ascii="Times New Roman" w:hAnsi="Times New Roman" w:eastAsia="方正魏碑简体" w:cs="Times New Roman"/>
          <w:b/>
          <w:bCs/>
          <w:color w:val="0000FF"/>
          <w:sz w:val="32"/>
          <w:szCs w:val="40"/>
          <w:highlight w:val="yellow"/>
          <w:lang w:val="en-US" w:eastAsia="zh-CN"/>
        </w:rPr>
        <w:t>（周</w:t>
      </w:r>
      <w:r>
        <w:rPr>
          <w:rFonts w:hint="eastAsia" w:ascii="Times New Roman" w:hAnsi="Times New Roman" w:eastAsia="方正魏碑简体" w:cs="Times New Roman"/>
          <w:b/>
          <w:bCs/>
          <w:color w:val="0000FF"/>
          <w:sz w:val="32"/>
          <w:szCs w:val="40"/>
          <w:highlight w:val="yellow"/>
          <w:lang w:val="en-US" w:eastAsia="zh-CN"/>
        </w:rPr>
        <w:t>四</w:t>
      </w:r>
      <w:r>
        <w:rPr>
          <w:rFonts w:hint="default" w:ascii="Times New Roman" w:hAnsi="Times New Roman" w:eastAsia="方正魏碑简体" w:cs="Times New Roman"/>
          <w:b/>
          <w:bCs/>
          <w:color w:val="0000FF"/>
          <w:sz w:val="32"/>
          <w:szCs w:val="40"/>
          <w:highlight w:val="yellow"/>
          <w:lang w:val="en-US" w:eastAsia="zh-CN"/>
        </w:rPr>
        <w:t>）</w:t>
      </w:r>
    </w:p>
    <w:p>
      <w:pPr>
        <w:jc w:val="center"/>
        <w:rPr>
          <w:rFonts w:hint="eastAsia" w:ascii="Times New Roman" w:hAnsi="Times New Roman" w:eastAsia="方正小标宋_GBK" w:cs="Times New Roman"/>
          <w:b/>
          <w:bCs/>
          <w:color w:val="0000FF"/>
          <w:sz w:val="36"/>
          <w:szCs w:val="44"/>
          <w:highlight w:val="yellow"/>
          <w:lang w:val="en-US" w:eastAsia="zh-CN"/>
        </w:rPr>
      </w:pPr>
      <w:r>
        <w:rPr>
          <w:rFonts w:hint="eastAsia" w:ascii="Times New Roman" w:hAnsi="Times New Roman" w:eastAsia="方正小标宋_GBK" w:cs="Times New Roman"/>
          <w:b/>
          <w:bCs/>
          <w:color w:val="0000FF"/>
          <w:sz w:val="36"/>
          <w:szCs w:val="44"/>
          <w:highlight w:val="yellow"/>
          <w:lang w:val="en-US" w:eastAsia="zh-CN"/>
        </w:rPr>
        <w:t>维持高利率打通胀，放缓缩表保市场</w:t>
      </w:r>
    </w:p>
    <w:p>
      <w:pPr>
        <w:ind w:firstLine="608" w:firstLineChars="200"/>
        <w:jc w:val="left"/>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5月1日（周三），美联储结束了为期2天的议息会议。</w:t>
      </w:r>
    </w:p>
    <w:p>
      <w:pPr>
        <w:ind w:firstLine="608" w:firstLineChars="200"/>
        <w:jc w:val="both"/>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会议决定，连续第六次将基准利率维持在5.25%至5.50%之间的区间不变（见图），这基本符合市场预期。美联储在其政策声明中承认，近期遏制通胀的进程受挫，降息将会推迟。</w:t>
      </w:r>
    </w:p>
    <w:p>
      <w:pPr>
        <w:ind w:firstLine="608" w:firstLineChars="200"/>
        <w:jc w:val="both"/>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drawing>
          <wp:anchor distT="0" distB="0" distL="114300" distR="114300" simplePos="0" relativeHeight="251669504" behindDoc="0" locked="0" layoutInCell="1" allowOverlap="1">
            <wp:simplePos x="0" y="0"/>
            <wp:positionH relativeFrom="column">
              <wp:posOffset>384810</wp:posOffset>
            </wp:positionH>
            <wp:positionV relativeFrom="paragraph">
              <wp:posOffset>66675</wp:posOffset>
            </wp:positionV>
            <wp:extent cx="4572635" cy="3169920"/>
            <wp:effectExtent l="0" t="0" r="18415" b="11430"/>
            <wp:wrapTopAndBottom/>
            <wp:docPr id="24" name="图片 24" descr="图片14-5月2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图片14-5月2日"/>
                    <pic:cNvPicPr>
                      <a:picLocks noChangeAspect="1"/>
                    </pic:cNvPicPr>
                  </pic:nvPicPr>
                  <pic:blipFill>
                    <a:blip r:embed="rId19"/>
                    <a:stretch>
                      <a:fillRect/>
                    </a:stretch>
                  </pic:blipFill>
                  <pic:spPr>
                    <a:xfrm>
                      <a:off x="0" y="0"/>
                      <a:ext cx="4572635" cy="3169920"/>
                    </a:xfrm>
                    <a:prstGeom prst="rect">
                      <a:avLst/>
                    </a:prstGeom>
                  </pic:spPr>
                </pic:pic>
              </a:graphicData>
            </a:graphic>
          </wp:anchor>
        </w:drawing>
      </w:r>
      <w:r>
        <w:rPr>
          <w:rFonts w:hint="eastAsia" w:ascii="Times New Roman" w:hAnsi="Times New Roman" w:cs="Times New Roman"/>
          <w:sz w:val="32"/>
          <w:szCs w:val="32"/>
          <w:lang w:val="en-US" w:eastAsia="zh-CN"/>
        </w:rPr>
        <w:t>同时，美联储将从6月开始放缓“缩减资产负债表”（QT）的步伐：对美国国债的到期兑现（回收资金）规模，将从每个月600亿美元降至250亿美元，对“抵押贷款支持证券”（MBS）的减持规模，维持在每月350亿美元不变。</w:t>
      </w:r>
    </w:p>
    <w:p>
      <w:pPr>
        <w:ind w:firstLine="608" w:firstLineChars="200"/>
        <w:jc w:val="both"/>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将减持国债的速度放缓超过一半，对流动性来说是一个利好；对于债券市场来说，也是一个利好，相当于减少了债券市场上的供给。但拜登政府财政纪律松弛，预算赤字增长，美国财政部今年将不得不发行数万亿美元的债券，为财政支出进行融资。</w:t>
      </w:r>
    </w:p>
    <w:p>
      <w:pPr>
        <w:ind w:firstLine="608" w:firstLineChars="200"/>
        <w:jc w:val="both"/>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5月1日，有“小非农”之称的ADP就业数据公布，4月份数据超预期，表明美国劳动力市场仍然强劲稳健（见表格）。</w:t>
      </w:r>
    </w:p>
    <w:p>
      <w:pPr>
        <w:ind w:firstLine="608" w:firstLineChars="200"/>
        <w:jc w:val="left"/>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drawing>
          <wp:anchor distT="0" distB="0" distL="114300" distR="114300" simplePos="0" relativeHeight="251670528" behindDoc="0" locked="0" layoutInCell="1" allowOverlap="1">
            <wp:simplePos x="0" y="0"/>
            <wp:positionH relativeFrom="column">
              <wp:posOffset>41910</wp:posOffset>
            </wp:positionH>
            <wp:positionV relativeFrom="paragraph">
              <wp:posOffset>241300</wp:posOffset>
            </wp:positionV>
            <wp:extent cx="5495925" cy="775335"/>
            <wp:effectExtent l="0" t="0" r="9525" b="5715"/>
            <wp:wrapTopAndBottom/>
            <wp:docPr id="25" name="图片 25" descr="图片15-5月2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图片15-5月2日"/>
                    <pic:cNvPicPr>
                      <a:picLocks noChangeAspect="1"/>
                    </pic:cNvPicPr>
                  </pic:nvPicPr>
                  <pic:blipFill>
                    <a:blip r:embed="rId20"/>
                    <a:stretch>
                      <a:fillRect/>
                    </a:stretch>
                  </pic:blipFill>
                  <pic:spPr>
                    <a:xfrm>
                      <a:off x="0" y="0"/>
                      <a:ext cx="5495925" cy="775335"/>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400" w:lineRule="exact"/>
        <w:ind w:firstLine="528" w:firstLineChars="200"/>
        <w:jc w:val="both"/>
        <w:textAlignment w:val="auto"/>
        <w:outlineLvl w:val="9"/>
        <w:rPr>
          <w:rFonts w:hint="eastAsia" w:ascii="Times New Roman" w:hAnsi="Times New Roman" w:eastAsia="方正楷体_GBK" w:cs="Calibri"/>
          <w:sz w:val="28"/>
          <w:szCs w:val="28"/>
          <w:lang w:val="en-US" w:eastAsia="zh-CN"/>
        </w:rPr>
      </w:pPr>
      <w:r>
        <w:rPr>
          <w:rFonts w:hint="eastAsia" w:ascii="Times New Roman" w:hAnsi="Times New Roman" w:eastAsia="方正楷体_GBK" w:cs="Calibri"/>
          <w:sz w:val="28"/>
          <w:szCs w:val="28"/>
          <w:lang w:val="en-US" w:eastAsia="zh-CN"/>
        </w:rPr>
        <w:t>（</w:t>
      </w:r>
      <w:r>
        <w:rPr>
          <w:rFonts w:hint="eastAsia" w:ascii="方正黑体_GBK" w:hAnsi="方正黑体_GBK" w:eastAsia="方正黑体_GBK" w:cs="方正黑体_GBK"/>
          <w:b/>
          <w:bCs/>
          <w:sz w:val="28"/>
          <w:szCs w:val="28"/>
          <w:lang w:val="en-US" w:eastAsia="zh-CN"/>
        </w:rPr>
        <w:t>注：</w:t>
      </w:r>
      <w:r>
        <w:rPr>
          <w:rFonts w:hint="eastAsia" w:ascii="Times New Roman" w:hAnsi="Times New Roman" w:eastAsia="方正楷体_GBK" w:cs="Calibri"/>
          <w:b/>
          <w:bCs/>
          <w:sz w:val="28"/>
          <w:szCs w:val="28"/>
          <w:lang w:val="en-US" w:eastAsia="zh-CN"/>
        </w:rPr>
        <w:t>“JOLTS职位空缺数”</w:t>
      </w:r>
      <w:r>
        <w:rPr>
          <w:rFonts w:hint="eastAsia" w:ascii="Times New Roman" w:hAnsi="Times New Roman" w:eastAsia="方正楷体_GBK" w:cs="Calibri"/>
          <w:sz w:val="28"/>
          <w:szCs w:val="28"/>
          <w:lang w:val="en-US" w:eastAsia="zh-CN"/>
        </w:rPr>
        <w:t>是美国劳工部发布的一个宏观经济指标。JOLTS，是“职位空缺和劳动力流动调查”（Job Openings and Labor Turnover Survey）的缩写。该指标提供了美国劳动力市场的一系列关键信息，包括职位空缺数量、新聘人数、离职率等，以了解劳动力市场的紧张程度和就业趋势。该指标通常比非农就业数据滞后一个月。</w:t>
      </w:r>
      <w:r>
        <w:rPr>
          <w:rFonts w:hint="eastAsia" w:ascii="Times New Roman" w:hAnsi="Times New Roman" w:eastAsia="方正楷体_GBK" w:cs="Calibri"/>
          <w:b/>
          <w:bCs/>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528" w:firstLineChars="200"/>
        <w:jc w:val="both"/>
        <w:textAlignment w:val="auto"/>
        <w:outlineLvl w:val="9"/>
        <w:rPr>
          <w:rFonts w:hint="eastAsia" w:ascii="Times New Roman" w:hAnsi="Times New Roman" w:eastAsia="方正楷体_GBK" w:cs="Calibri"/>
          <w:sz w:val="28"/>
          <w:szCs w:val="28"/>
          <w:lang w:val="en-US" w:eastAsia="zh-CN"/>
        </w:rPr>
      </w:pPr>
      <w:r>
        <w:rPr>
          <w:rFonts w:hint="eastAsia" w:ascii="Times New Roman" w:hAnsi="Times New Roman" w:eastAsia="方正楷体_GBK" w:cs="Calibri"/>
          <w:b/>
          <w:bCs/>
          <w:sz w:val="28"/>
          <w:szCs w:val="28"/>
          <w:lang w:val="en-US" w:eastAsia="zh-CN"/>
        </w:rPr>
        <w:t>（</w:t>
      </w:r>
      <w:r>
        <w:rPr>
          <w:rFonts w:hint="eastAsia" w:ascii="方正黑体简体" w:hAnsi="方正黑体简体" w:eastAsia="方正黑体简体" w:cs="方正黑体简体"/>
          <w:sz w:val="28"/>
          <w:szCs w:val="28"/>
          <w:lang w:val="en-US" w:eastAsia="zh-CN"/>
        </w:rPr>
        <w:t>注：</w:t>
      </w:r>
      <w:r>
        <w:rPr>
          <w:rFonts w:hint="eastAsia" w:ascii="Times New Roman" w:hAnsi="Times New Roman" w:eastAsia="方正楷体_GBK" w:cs="Calibri"/>
          <w:b/>
          <w:bCs/>
          <w:sz w:val="28"/>
          <w:szCs w:val="28"/>
          <w:lang w:val="en-US" w:eastAsia="zh-CN"/>
        </w:rPr>
        <w:t>“小非农数据”，</w:t>
      </w:r>
      <w:r>
        <w:rPr>
          <w:rFonts w:hint="eastAsia" w:ascii="Times New Roman" w:hAnsi="Times New Roman" w:eastAsia="方正楷体_GBK" w:cs="Calibri"/>
          <w:sz w:val="28"/>
          <w:szCs w:val="28"/>
          <w:lang w:val="en-US" w:eastAsia="zh-CN"/>
        </w:rPr>
        <w:t>是指由“自动数据处理公司”（Automatic Data Processing, Inc.，简称</w:t>
      </w:r>
      <w:r>
        <w:rPr>
          <w:rFonts w:hint="eastAsia" w:ascii="Times New Roman" w:hAnsi="Times New Roman" w:eastAsia="方正楷体_GBK" w:cs="Calibri"/>
          <w:b/>
          <w:bCs/>
          <w:sz w:val="28"/>
          <w:szCs w:val="28"/>
          <w:lang w:val="en-US" w:eastAsia="zh-CN"/>
        </w:rPr>
        <w:t>“ADP”</w:t>
      </w:r>
      <w:r>
        <w:rPr>
          <w:rFonts w:hint="eastAsia" w:ascii="Times New Roman" w:hAnsi="Times New Roman" w:eastAsia="方正楷体_GBK" w:cs="Calibri"/>
          <w:sz w:val="28"/>
          <w:szCs w:val="28"/>
          <w:lang w:val="en-US" w:eastAsia="zh-CN"/>
        </w:rPr>
        <w:t>）发布的，关于美国非农部门就业人口的变化情况指标（ADP Nonfarm Employment Change）。该指标是ADP通过对美国境内大约40万家企业的雇佣情况进行调查和数据收集得出的。</w:t>
      </w:r>
    </w:p>
    <w:p>
      <w:pPr>
        <w:keepNext w:val="0"/>
        <w:keepLines w:val="0"/>
        <w:pageBreakBefore w:val="0"/>
        <w:widowControl w:val="0"/>
        <w:kinsoku/>
        <w:wordWrap/>
        <w:overflowPunct/>
        <w:topLinePunct w:val="0"/>
        <w:autoSpaceDE/>
        <w:autoSpaceDN/>
        <w:bidi w:val="0"/>
        <w:adjustRightInd/>
        <w:snapToGrid/>
        <w:spacing w:line="400" w:lineRule="exact"/>
        <w:ind w:firstLine="528" w:firstLineChars="200"/>
        <w:textAlignment w:val="auto"/>
        <w:outlineLvl w:val="9"/>
        <w:rPr>
          <w:rFonts w:hint="eastAsia" w:ascii="Times New Roman" w:hAnsi="Times New Roman" w:eastAsia="方正楷体_GBK" w:cs="Calibri"/>
          <w:sz w:val="28"/>
          <w:szCs w:val="28"/>
          <w:lang w:val="en-US" w:eastAsia="zh-CN"/>
        </w:rPr>
      </w:pPr>
      <w:r>
        <w:rPr>
          <w:rFonts w:hint="eastAsia" w:ascii="Times New Roman" w:hAnsi="Times New Roman" w:eastAsia="方正楷体_GBK" w:cs="Calibri"/>
          <w:sz w:val="28"/>
          <w:szCs w:val="28"/>
          <w:lang w:val="en-US" w:eastAsia="zh-CN"/>
        </w:rPr>
        <w:t>ADP的非农数据可以与美国劳工部发布的官方非农数据（简称</w:t>
      </w:r>
      <w:r>
        <w:rPr>
          <w:rFonts w:hint="eastAsia" w:ascii="Times New Roman" w:hAnsi="Times New Roman" w:eastAsia="方正楷体_GBK" w:cs="Calibri"/>
          <w:b/>
          <w:bCs/>
          <w:sz w:val="28"/>
          <w:szCs w:val="28"/>
          <w:lang w:val="en-US" w:eastAsia="zh-CN"/>
        </w:rPr>
        <w:t>“大非农数据”</w:t>
      </w:r>
      <w:r>
        <w:rPr>
          <w:rFonts w:hint="eastAsia" w:ascii="Times New Roman" w:hAnsi="Times New Roman" w:eastAsia="方正楷体_GBK" w:cs="Calibri"/>
          <w:sz w:val="28"/>
          <w:szCs w:val="28"/>
          <w:lang w:val="en-US" w:eastAsia="zh-CN"/>
        </w:rPr>
        <w:t>）进行比较和对照，所以被市场称为“小非农数据”。该数据发布的时间比美国劳工部发布的日期稍早，因此具有前瞻指引的作用，被市场广泛关注。</w:t>
      </w:r>
      <w:r>
        <w:rPr>
          <w:rFonts w:hint="eastAsia" w:ascii="Times New Roman" w:hAnsi="Times New Roman" w:eastAsia="方正楷体_GBK" w:cs="Calibri"/>
          <w:b/>
          <w:bCs/>
          <w:sz w:val="28"/>
          <w:szCs w:val="28"/>
          <w:lang w:val="en-US" w:eastAsia="zh-CN"/>
        </w:rPr>
        <w:t>）</w:t>
      </w:r>
    </w:p>
    <w:p>
      <w:pPr>
        <w:ind w:left="0" w:leftChars="0" w:firstLine="0" w:firstLineChars="0"/>
        <w:jc w:val="left"/>
        <w:rPr>
          <w:rFonts w:hint="default" w:ascii="Times New Roman" w:hAnsi="Times New Roman" w:eastAsia="宋体" w:cs="Times New Roman"/>
          <w:b/>
          <w:bCs/>
          <w:color w:val="0000FF"/>
          <w:sz w:val="32"/>
          <w:szCs w:val="32"/>
          <w:highlight w:val="yellow"/>
          <w:lang w:val="en-US" w:eastAsia="zh-CN"/>
        </w:rPr>
      </w:pPr>
      <w:r>
        <w:rPr>
          <w:rFonts w:hint="eastAsia" w:ascii="Times New Roman" w:hAnsi="Times New Roman" w:eastAsia="方正小标宋_GBK" w:cs="Times New Roman"/>
          <w:b/>
          <w:bCs/>
          <w:color w:val="FF0000"/>
          <w:sz w:val="32"/>
          <w:szCs w:val="40"/>
          <w:highlight w:val="yellow"/>
          <w:lang w:val="en-US" w:eastAsia="zh-CN"/>
        </w:rPr>
        <w:t>5</w:t>
      </w:r>
      <w:r>
        <w:rPr>
          <w:rFonts w:hint="default" w:ascii="Times New Roman" w:hAnsi="Times New Roman" w:eastAsia="方正小标宋_GBK" w:cs="Times New Roman"/>
          <w:b/>
          <w:bCs/>
          <w:color w:val="FF0000"/>
          <w:sz w:val="32"/>
          <w:szCs w:val="40"/>
          <w:highlight w:val="yellow"/>
          <w:lang w:val="en-US" w:eastAsia="zh-CN"/>
        </w:rPr>
        <w:t>月</w:t>
      </w:r>
      <w:r>
        <w:rPr>
          <w:rFonts w:hint="eastAsia" w:ascii="Times New Roman" w:hAnsi="Times New Roman" w:eastAsia="方正小标宋_GBK" w:cs="Times New Roman"/>
          <w:b/>
          <w:bCs/>
          <w:color w:val="FF0000"/>
          <w:sz w:val="32"/>
          <w:szCs w:val="40"/>
          <w:highlight w:val="yellow"/>
          <w:lang w:val="en-US" w:eastAsia="zh-CN"/>
        </w:rPr>
        <w:t>3</w:t>
      </w:r>
      <w:r>
        <w:rPr>
          <w:rFonts w:hint="default" w:ascii="Times New Roman" w:hAnsi="Times New Roman" w:eastAsia="方正小标宋_GBK" w:cs="Times New Roman"/>
          <w:b/>
          <w:bCs/>
          <w:color w:val="FF0000"/>
          <w:sz w:val="32"/>
          <w:szCs w:val="40"/>
          <w:highlight w:val="yellow"/>
          <w:lang w:val="en-US" w:eastAsia="zh-CN"/>
        </w:rPr>
        <w:t>日</w:t>
      </w:r>
      <w:r>
        <w:rPr>
          <w:rFonts w:hint="default" w:ascii="Times New Roman" w:hAnsi="Times New Roman" w:eastAsia="方正魏碑简体" w:cs="Times New Roman"/>
          <w:b/>
          <w:bCs/>
          <w:color w:val="0000FF"/>
          <w:sz w:val="32"/>
          <w:szCs w:val="40"/>
          <w:highlight w:val="yellow"/>
          <w:lang w:val="en-US" w:eastAsia="zh-CN"/>
        </w:rPr>
        <w:t>（周</w:t>
      </w:r>
      <w:r>
        <w:rPr>
          <w:rFonts w:hint="eastAsia" w:ascii="Times New Roman" w:hAnsi="Times New Roman" w:eastAsia="方正魏碑简体" w:cs="Times New Roman"/>
          <w:b/>
          <w:bCs/>
          <w:color w:val="0000FF"/>
          <w:sz w:val="32"/>
          <w:szCs w:val="40"/>
          <w:highlight w:val="yellow"/>
          <w:lang w:val="en-US" w:eastAsia="zh-CN"/>
        </w:rPr>
        <w:t>五</w:t>
      </w:r>
      <w:r>
        <w:rPr>
          <w:rFonts w:hint="default" w:ascii="Times New Roman" w:hAnsi="Times New Roman" w:eastAsia="方正魏碑简体" w:cs="Times New Roman"/>
          <w:b/>
          <w:bCs/>
          <w:color w:val="0000FF"/>
          <w:sz w:val="32"/>
          <w:szCs w:val="40"/>
          <w:highlight w:val="yellow"/>
          <w:lang w:val="en-US" w:eastAsia="zh-CN"/>
        </w:rPr>
        <w:t>）</w:t>
      </w:r>
    </w:p>
    <w:p>
      <w:pPr>
        <w:jc w:val="center"/>
        <w:rPr>
          <w:rFonts w:hint="default" w:ascii="Times New Roman" w:hAnsi="Times New Roman" w:eastAsia="方正小标宋_GBK" w:cs="Times New Roman"/>
          <w:b/>
          <w:bCs/>
          <w:color w:val="0000FF"/>
          <w:sz w:val="36"/>
          <w:szCs w:val="44"/>
          <w:highlight w:val="yellow"/>
          <w:lang w:val="en-US" w:eastAsia="zh-CN"/>
        </w:rPr>
      </w:pPr>
      <w:r>
        <w:rPr>
          <w:rFonts w:hint="eastAsia" w:ascii="Times New Roman" w:hAnsi="Times New Roman" w:eastAsia="方正小标宋_GBK" w:cs="Times New Roman"/>
          <w:b/>
          <w:bCs/>
          <w:color w:val="0000FF"/>
          <w:sz w:val="36"/>
          <w:szCs w:val="44"/>
          <w:highlight w:val="yellow"/>
          <w:lang w:val="en-US" w:eastAsia="zh-CN"/>
        </w:rPr>
        <w:t>美国经济指标出现“滞胀”迹象</w:t>
      </w:r>
    </w:p>
    <w:p>
      <w:pPr>
        <w:ind w:firstLine="608" w:firstLineChars="200"/>
        <w:jc w:val="left"/>
        <w:rPr>
          <w:rFonts w:hint="eastAsia" w:ascii="Times New Roman" w:hAnsi="Times New Roman" w:cs="Times New Roman"/>
          <w:b/>
          <w:bCs/>
          <w:sz w:val="32"/>
          <w:szCs w:val="32"/>
          <w:lang w:val="en-US" w:eastAsia="zh-CN"/>
        </w:rPr>
      </w:pPr>
      <w:r>
        <w:rPr>
          <w:rFonts w:hint="eastAsia" w:ascii="Times New Roman" w:hAnsi="Times New Roman" w:cs="Times New Roman"/>
          <w:b/>
          <w:bCs/>
          <w:sz w:val="32"/>
          <w:szCs w:val="32"/>
          <w:lang w:val="en-US" w:eastAsia="zh-CN"/>
        </w:rPr>
        <w:t>一、经济增长放缓</w:t>
      </w:r>
    </w:p>
    <w:p>
      <w:pPr>
        <w:ind w:firstLine="608" w:firstLineChars="200"/>
        <w:jc w:val="left"/>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从PMI数据上看，美国经济的增速似在放缓，欧元区经济持续乏力（见表格一）。</w:t>
      </w:r>
    </w:p>
    <w:p>
      <w:pPr>
        <w:keepNext w:val="0"/>
        <w:keepLines w:val="0"/>
        <w:pageBreakBefore w:val="0"/>
        <w:widowControl w:val="0"/>
        <w:kinsoku/>
        <w:wordWrap/>
        <w:overflowPunct/>
        <w:topLinePunct w:val="0"/>
        <w:autoSpaceDE/>
        <w:autoSpaceDN/>
        <w:bidi w:val="0"/>
        <w:adjustRightInd/>
        <w:snapToGrid/>
        <w:spacing w:line="400" w:lineRule="exact"/>
        <w:ind w:firstLine="608" w:firstLineChars="200"/>
        <w:jc w:val="both"/>
        <w:textAlignment w:val="auto"/>
        <w:outlineLvl w:val="9"/>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drawing>
          <wp:anchor distT="0" distB="0" distL="114300" distR="114300" simplePos="0" relativeHeight="251671552" behindDoc="0" locked="0" layoutInCell="1" allowOverlap="1">
            <wp:simplePos x="0" y="0"/>
            <wp:positionH relativeFrom="column">
              <wp:posOffset>213360</wp:posOffset>
            </wp:positionH>
            <wp:positionV relativeFrom="paragraph">
              <wp:posOffset>25400</wp:posOffset>
            </wp:positionV>
            <wp:extent cx="5242560" cy="1621155"/>
            <wp:effectExtent l="0" t="0" r="15240" b="17145"/>
            <wp:wrapTopAndBottom/>
            <wp:docPr id="26" name="图片 26" descr="图片16-5月3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图片16-5月3日"/>
                    <pic:cNvPicPr>
                      <a:picLocks noChangeAspect="1"/>
                    </pic:cNvPicPr>
                  </pic:nvPicPr>
                  <pic:blipFill>
                    <a:blip r:embed="rId21"/>
                    <a:stretch>
                      <a:fillRect/>
                    </a:stretch>
                  </pic:blipFill>
                  <pic:spPr>
                    <a:xfrm>
                      <a:off x="0" y="0"/>
                      <a:ext cx="5242560" cy="1621155"/>
                    </a:xfrm>
                    <a:prstGeom prst="rect">
                      <a:avLst/>
                    </a:prstGeom>
                  </pic:spPr>
                </pic:pic>
              </a:graphicData>
            </a:graphic>
          </wp:anchor>
        </w:drawing>
      </w:r>
      <w:r>
        <w:rPr>
          <w:rFonts w:hint="eastAsia" w:ascii="Times New Roman" w:hAnsi="Times New Roman" w:eastAsia="方正楷体_GBK" w:cs="方正楷体_GBK"/>
          <w:sz w:val="28"/>
          <w:szCs w:val="28"/>
          <w:lang w:val="en-US" w:eastAsia="zh-CN"/>
        </w:rPr>
        <w:t>（</w:t>
      </w:r>
      <w:r>
        <w:rPr>
          <w:rFonts w:hint="eastAsia" w:ascii="方正黑体_GBK" w:hAnsi="方正黑体_GBK" w:eastAsia="方正黑体_GBK" w:cs="方正黑体_GBK"/>
          <w:b/>
          <w:bCs/>
          <w:sz w:val="28"/>
          <w:szCs w:val="28"/>
          <w:lang w:val="en-US" w:eastAsia="zh-CN"/>
        </w:rPr>
        <w:t>注：</w:t>
      </w:r>
      <w:r>
        <w:rPr>
          <w:rFonts w:hint="default" w:ascii="Times New Roman" w:hAnsi="Times New Roman" w:eastAsia="方正楷体_GBK" w:cs="方正楷体_GBK"/>
          <w:b/>
          <w:bCs/>
          <w:sz w:val="28"/>
          <w:szCs w:val="28"/>
          <w:lang w:eastAsia="zh-CN"/>
        </w:rPr>
        <w:t>“采购经理人指数”（PMI）</w:t>
      </w:r>
      <w:r>
        <w:rPr>
          <w:rFonts w:hint="default" w:ascii="Times New Roman" w:hAnsi="Times New Roman" w:eastAsia="方正楷体_GBK" w:cs="方正楷体_GBK"/>
          <w:sz w:val="28"/>
          <w:szCs w:val="28"/>
          <w:lang w:eastAsia="zh-CN"/>
        </w:rPr>
        <w:t>是一项用于衡量制造业和服务业活动的指标，通过调查企业采购经理人的意见来反映经济状况。PMI指数以50为分界线，数值高于50表示经济活动扩张，数值低于50表示经济活动收缩。具体数值的大小反映了经济活动的增长或衰退程度。</w:t>
      </w:r>
      <w:r>
        <w:rPr>
          <w:rFonts w:hint="default" w:ascii="Times New Roman" w:hAnsi="Times New Roman" w:eastAsia="方正楷体_GBK" w:cs="方正楷体_GBK"/>
          <w:b/>
          <w:bCs/>
          <w:sz w:val="28"/>
          <w:szCs w:val="28"/>
          <w:lang w:eastAsia="zh-CN"/>
        </w:rPr>
        <w:t>ISM PMI</w:t>
      </w:r>
      <w:r>
        <w:rPr>
          <w:rFonts w:hint="default" w:ascii="Times New Roman" w:hAnsi="Times New Roman" w:eastAsia="方正楷体_GBK" w:cs="方正楷体_GBK"/>
          <w:sz w:val="28"/>
          <w:szCs w:val="28"/>
          <w:lang w:eastAsia="zh-CN"/>
        </w:rPr>
        <w:t>由“美国供应管理学会”（</w:t>
      </w:r>
      <w:r>
        <w:rPr>
          <w:rFonts w:hint="default" w:ascii="Times New Roman" w:hAnsi="Times New Roman" w:eastAsia="方正楷体_GBK" w:cs="方正楷体_GBK"/>
          <w:b/>
          <w:bCs/>
          <w:sz w:val="28"/>
          <w:szCs w:val="28"/>
          <w:lang w:eastAsia="zh-CN"/>
        </w:rPr>
        <w:t>ISM</w:t>
      </w:r>
      <w:r>
        <w:rPr>
          <w:rFonts w:hint="default" w:ascii="Times New Roman" w:hAnsi="Times New Roman" w:eastAsia="方正楷体_GBK" w:cs="方正楷体_GBK"/>
          <w:sz w:val="28"/>
          <w:szCs w:val="28"/>
          <w:lang w:eastAsia="zh-CN"/>
        </w:rPr>
        <w:t>，Institute for Supply Management）发布，是对全美数百家制造企业进行调查编制而成的。</w:t>
      </w:r>
      <w:r>
        <w:rPr>
          <w:rFonts w:hint="eastAsia" w:ascii="Times New Roman" w:hAnsi="Times New Roman" w:eastAsia="方正楷体_GBK" w:cs="方正楷体_GBK"/>
          <w:sz w:val="28"/>
          <w:szCs w:val="28"/>
          <w:lang w:eastAsia="zh-CN"/>
        </w:rPr>
        <w:t>）</w:t>
      </w:r>
    </w:p>
    <w:p>
      <w:pPr>
        <w:ind w:firstLine="608" w:firstLineChars="200"/>
        <w:jc w:val="left"/>
        <w:rPr>
          <w:rFonts w:hint="eastAsia" w:ascii="Times New Roman" w:hAnsi="Times New Roman" w:cs="Times New Roman"/>
          <w:b/>
          <w:bCs/>
          <w:sz w:val="32"/>
          <w:szCs w:val="32"/>
          <w:lang w:val="en-US" w:eastAsia="zh-CN"/>
        </w:rPr>
      </w:pPr>
      <w:r>
        <w:rPr>
          <w:rFonts w:hint="eastAsia" w:ascii="Times New Roman" w:hAnsi="Times New Roman" w:cs="Times New Roman"/>
          <w:b/>
          <w:bCs/>
          <w:sz w:val="32"/>
          <w:szCs w:val="32"/>
          <w:lang w:val="en-US" w:eastAsia="zh-CN"/>
        </w:rPr>
        <w:t>二、通胀压力加剧</w:t>
      </w:r>
    </w:p>
    <w:p>
      <w:pPr>
        <w:ind w:firstLine="608" w:firstLineChars="200"/>
        <w:jc w:val="left"/>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5月2日（周四），美国劳工部公布就业和劳动力成本相关数据（见表格二）。</w:t>
      </w:r>
    </w:p>
    <w:p>
      <w:pPr>
        <w:keepNext w:val="0"/>
        <w:keepLines w:val="0"/>
        <w:pageBreakBefore w:val="0"/>
        <w:widowControl w:val="0"/>
        <w:kinsoku/>
        <w:wordWrap/>
        <w:overflowPunct/>
        <w:topLinePunct w:val="0"/>
        <w:autoSpaceDE/>
        <w:autoSpaceDN/>
        <w:bidi w:val="0"/>
        <w:adjustRightInd/>
        <w:snapToGrid/>
        <w:spacing w:line="400" w:lineRule="exact"/>
        <w:ind w:firstLine="608" w:firstLineChars="200"/>
        <w:jc w:val="both"/>
        <w:textAlignment w:val="auto"/>
        <w:outlineLvl w:val="9"/>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drawing>
          <wp:anchor distT="0" distB="0" distL="114300" distR="114300" simplePos="0" relativeHeight="251672576" behindDoc="0" locked="0" layoutInCell="1" allowOverlap="1">
            <wp:simplePos x="0" y="0"/>
            <wp:positionH relativeFrom="column">
              <wp:posOffset>86360</wp:posOffset>
            </wp:positionH>
            <wp:positionV relativeFrom="paragraph">
              <wp:posOffset>38100</wp:posOffset>
            </wp:positionV>
            <wp:extent cx="5431790" cy="985520"/>
            <wp:effectExtent l="0" t="0" r="16510" b="5080"/>
            <wp:wrapTopAndBottom/>
            <wp:docPr id="27" name="图片 27" descr="图片17-5月3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图片17-5月3日"/>
                    <pic:cNvPicPr>
                      <a:picLocks noChangeAspect="1"/>
                    </pic:cNvPicPr>
                  </pic:nvPicPr>
                  <pic:blipFill>
                    <a:blip r:embed="rId22"/>
                    <a:stretch>
                      <a:fillRect/>
                    </a:stretch>
                  </pic:blipFill>
                  <pic:spPr>
                    <a:xfrm>
                      <a:off x="0" y="0"/>
                      <a:ext cx="5431790" cy="985520"/>
                    </a:xfrm>
                    <a:prstGeom prst="rect">
                      <a:avLst/>
                    </a:prstGeom>
                  </pic:spPr>
                </pic:pic>
              </a:graphicData>
            </a:graphic>
          </wp:anchor>
        </w:drawing>
      </w:r>
      <w:r>
        <w:rPr>
          <w:rFonts w:hint="eastAsia" w:ascii="Times New Roman" w:hAnsi="Times New Roman" w:eastAsia="方正楷体_GBK" w:cs="方正楷体_GBK"/>
          <w:sz w:val="28"/>
          <w:szCs w:val="28"/>
          <w:lang w:val="en-US" w:eastAsia="zh-CN"/>
        </w:rPr>
        <w:t>（</w:t>
      </w:r>
      <w:r>
        <w:rPr>
          <w:rFonts w:hint="eastAsia" w:ascii="方正黑体_GBK" w:hAnsi="方正黑体_GBK" w:eastAsia="方正黑体_GBK" w:cs="方正黑体_GBK"/>
          <w:b/>
          <w:bCs/>
          <w:sz w:val="28"/>
          <w:szCs w:val="28"/>
          <w:lang w:val="en-US" w:eastAsia="zh-CN"/>
        </w:rPr>
        <w:t>注：</w:t>
      </w:r>
      <w:r>
        <w:rPr>
          <w:rFonts w:hint="default" w:ascii="Times New Roman" w:hAnsi="Times New Roman" w:eastAsia="方正楷体_GBK" w:cs="方正楷体_GBK"/>
          <w:b/>
          <w:bCs/>
          <w:sz w:val="28"/>
          <w:szCs w:val="28"/>
          <w:lang w:eastAsia="zh-CN"/>
        </w:rPr>
        <w:t>“单位劳动力成本”</w:t>
      </w:r>
      <w:r>
        <w:rPr>
          <w:rFonts w:hint="default" w:ascii="Times New Roman" w:hAnsi="Times New Roman" w:eastAsia="方正楷体_GBK" w:cs="方正楷体_GBK"/>
          <w:sz w:val="28"/>
          <w:szCs w:val="28"/>
          <w:lang w:eastAsia="zh-CN"/>
        </w:rPr>
        <w:t>（Unit Labor Costs），通过计算工资、薪水和福利等劳动力成本与单位产出之间的比率，来衡量企业每单位生产所需的劳动力成本。</w:t>
      </w:r>
      <w:r>
        <w:rPr>
          <w:rFonts w:hint="eastAsia" w:ascii="Times New Roman" w:hAnsi="Times New Roman" w:eastAsia="方正楷体_GBK" w:cs="方正楷体_GBK"/>
          <w:sz w:val="28"/>
          <w:szCs w:val="28"/>
          <w:lang w:eastAsia="zh-CN"/>
        </w:rPr>
        <w:t>）</w:t>
      </w:r>
    </w:p>
    <w:p>
      <w:pPr>
        <w:ind w:firstLine="608" w:firstLineChars="200"/>
        <w:jc w:val="both"/>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一季度“非农单位劳动力成本”的环比数据，可与4月30日美国劳工统计局公布的一季度“劳工成本指数ECI”的环比数据（1.2%）相互印证，两数据凸显出持续增长的成本压力，进一步加重了市场对通胀的担忧。</w:t>
      </w:r>
    </w:p>
    <w:p>
      <w:pPr>
        <w:ind w:firstLine="608" w:firstLineChars="200"/>
        <w:jc w:val="left"/>
        <w:rPr>
          <w:rFonts w:hint="eastAsia" w:ascii="Times New Roman" w:hAnsi="Times New Roman" w:cs="Times New Roman"/>
          <w:b/>
          <w:bCs/>
          <w:sz w:val="32"/>
          <w:szCs w:val="32"/>
          <w:lang w:val="en-US" w:eastAsia="zh-CN"/>
        </w:rPr>
      </w:pPr>
      <w:r>
        <w:rPr>
          <w:rFonts w:hint="eastAsia" w:ascii="Times New Roman" w:hAnsi="Times New Roman" w:cs="Times New Roman"/>
          <w:b/>
          <w:bCs/>
          <w:sz w:val="32"/>
          <w:szCs w:val="32"/>
          <w:lang w:val="en-US" w:eastAsia="zh-CN"/>
        </w:rPr>
        <w:t>三、贸易逆差扩大</w:t>
      </w:r>
    </w:p>
    <w:p>
      <w:pPr>
        <w:ind w:firstLine="608" w:firstLineChars="200"/>
        <w:jc w:val="both"/>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5月2日（周四），美国商务部发布美国3月贸易账数据，为-693.72亿美元，比前值（-689.01亿美元）略有扩大。2023年3月后，美国的贸易逆差一直处于放大趋势（见图）。</w:t>
      </w:r>
    </w:p>
    <w:p>
      <w:pPr>
        <w:keepNext w:val="0"/>
        <w:keepLines w:val="0"/>
        <w:pageBreakBefore w:val="0"/>
        <w:widowControl w:val="0"/>
        <w:kinsoku/>
        <w:wordWrap/>
        <w:overflowPunct/>
        <w:topLinePunct w:val="0"/>
        <w:autoSpaceDE/>
        <w:autoSpaceDN/>
        <w:bidi w:val="0"/>
        <w:adjustRightInd/>
        <w:snapToGrid/>
        <w:spacing w:line="400" w:lineRule="exact"/>
        <w:ind w:firstLine="528" w:firstLineChars="200"/>
        <w:jc w:val="both"/>
        <w:textAlignment w:val="auto"/>
        <w:outlineLvl w:val="9"/>
        <w:rPr>
          <w:rFonts w:hint="eastAsia" w:ascii="Times New Roman" w:hAnsi="Times New Roman" w:cs="Times New Roman"/>
          <w:sz w:val="32"/>
          <w:szCs w:val="32"/>
          <w:lang w:val="en-US" w:eastAsia="zh-CN"/>
        </w:rPr>
      </w:pPr>
      <w:r>
        <w:rPr>
          <w:rFonts w:hint="eastAsia" w:ascii="Times New Roman" w:hAnsi="Times New Roman" w:eastAsia="方正楷体_GBK" w:cs="方正楷体_GBK"/>
          <w:sz w:val="28"/>
          <w:szCs w:val="28"/>
          <w:lang w:val="en-US" w:eastAsia="zh-CN"/>
        </w:rPr>
        <w:t>（</w:t>
      </w:r>
      <w:r>
        <w:rPr>
          <w:rFonts w:hint="eastAsia" w:ascii="方正黑体_GBK" w:hAnsi="方正黑体_GBK" w:eastAsia="方正黑体_GBK" w:cs="方正黑体_GBK"/>
          <w:b/>
          <w:bCs/>
          <w:sz w:val="28"/>
          <w:szCs w:val="28"/>
          <w:lang w:val="en-US" w:eastAsia="zh-CN"/>
        </w:rPr>
        <w:t>注：</w:t>
      </w:r>
      <w:r>
        <w:rPr>
          <w:rFonts w:hint="default" w:ascii="Times New Roman" w:hAnsi="Times New Roman" w:eastAsia="方正楷体_GBK" w:cs="方正楷体_GBK"/>
          <w:b/>
          <w:bCs/>
          <w:sz w:val="28"/>
          <w:szCs w:val="28"/>
          <w:lang w:eastAsia="zh-CN"/>
        </w:rPr>
        <w:t>“贸易账户”</w:t>
      </w:r>
      <w:r>
        <w:rPr>
          <w:rFonts w:hint="default" w:ascii="Times New Roman" w:hAnsi="Times New Roman" w:eastAsia="方正楷体_GBK" w:cs="方正楷体_GBK"/>
          <w:b w:val="0"/>
          <w:bCs w:val="0"/>
          <w:sz w:val="28"/>
          <w:szCs w:val="28"/>
          <w:lang w:eastAsia="zh-CN"/>
        </w:rPr>
        <w:t>（Trade Account）</w:t>
      </w:r>
      <w:r>
        <w:rPr>
          <w:rFonts w:hint="default" w:ascii="Times New Roman" w:hAnsi="Times New Roman" w:eastAsia="方正楷体_GBK" w:cs="方正楷体_GBK"/>
          <w:sz w:val="28"/>
          <w:szCs w:val="28"/>
          <w:lang w:eastAsia="zh-CN"/>
        </w:rPr>
        <w:t>，记录了一个国家（地区）在一定时期内，货物贸易和服务贸易的总体情况，当出口和进口相减差额为正值时，表示贸易顺差；负值，则表示贸易逆差。</w:t>
      </w:r>
      <w:r>
        <w:rPr>
          <w:rFonts w:hint="default" w:ascii="Times New Roman" w:hAnsi="Times New Roman" w:eastAsia="方正楷体_GBK" w:cs="方正楷体_GBK"/>
          <w:b/>
          <w:bCs/>
          <w:sz w:val="28"/>
          <w:szCs w:val="28"/>
          <w:lang w:eastAsia="zh-CN"/>
        </w:rPr>
        <w:t>“商品贸易账</w:t>
      </w:r>
      <w:r>
        <w:rPr>
          <w:rFonts w:hint="default" w:ascii="Times New Roman" w:hAnsi="Times New Roman" w:eastAsia="方正楷体_GBK" w:cs="方正楷体_GBK"/>
          <w:sz w:val="28"/>
          <w:szCs w:val="28"/>
          <w:lang w:eastAsia="zh-CN"/>
        </w:rPr>
        <w:t>”则指其中货物贸易出口与进口相较的差额。</w:t>
      </w:r>
      <w:r>
        <w:rPr>
          <w:rFonts w:hint="eastAsia" w:ascii="Times New Roman" w:hAnsi="Times New Roman" w:eastAsia="方正楷体_GBK" w:cs="方正楷体_GBK"/>
          <w:sz w:val="28"/>
          <w:szCs w:val="28"/>
          <w:lang w:eastAsia="zh-CN"/>
        </w:rPr>
        <w:t>）</w:t>
      </w:r>
    </w:p>
    <w:p>
      <w:pPr>
        <w:ind w:left="0" w:leftChars="0" w:firstLine="0" w:firstLineChars="0"/>
        <w:jc w:val="left"/>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drawing>
          <wp:anchor distT="0" distB="0" distL="114300" distR="114300" simplePos="0" relativeHeight="251673600" behindDoc="0" locked="0" layoutInCell="1" allowOverlap="1">
            <wp:simplePos x="0" y="0"/>
            <wp:positionH relativeFrom="column">
              <wp:posOffset>397510</wp:posOffset>
            </wp:positionH>
            <wp:positionV relativeFrom="paragraph">
              <wp:posOffset>298450</wp:posOffset>
            </wp:positionV>
            <wp:extent cx="4559935" cy="3183890"/>
            <wp:effectExtent l="0" t="0" r="12065" b="16510"/>
            <wp:wrapTopAndBottom/>
            <wp:docPr id="30" name="图片 30" descr="图片18-5月3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图片18-5月3日"/>
                    <pic:cNvPicPr>
                      <a:picLocks noChangeAspect="1"/>
                    </pic:cNvPicPr>
                  </pic:nvPicPr>
                  <pic:blipFill>
                    <a:blip r:embed="rId23"/>
                    <a:stretch>
                      <a:fillRect/>
                    </a:stretch>
                  </pic:blipFill>
                  <pic:spPr>
                    <a:xfrm>
                      <a:off x="0" y="0"/>
                      <a:ext cx="4559935" cy="3183890"/>
                    </a:xfrm>
                    <a:prstGeom prst="rect">
                      <a:avLst/>
                    </a:prstGeom>
                  </pic:spPr>
                </pic:pic>
              </a:graphicData>
            </a:graphic>
          </wp:anchor>
        </w:drawing>
      </w:r>
    </w:p>
    <w:p>
      <w:pPr>
        <w:ind w:left="0" w:leftChars="0" w:firstLine="608" w:firstLineChars="200"/>
        <w:jc w:val="both"/>
        <w:rPr>
          <w:rFonts w:hint="eastAsia" w:ascii="Times New Roman" w:hAnsi="Times New Roman" w:eastAsia="方正小标宋_GBK" w:cs="Times New Roman"/>
          <w:b/>
          <w:bCs/>
          <w:color w:val="FF0000"/>
          <w:sz w:val="32"/>
          <w:szCs w:val="40"/>
          <w:highlight w:val="yellow"/>
          <w:lang w:val="en-US" w:eastAsia="zh-CN"/>
        </w:rPr>
      </w:pPr>
      <w:r>
        <w:rPr>
          <w:rFonts w:hint="eastAsia" w:ascii="Times New Roman" w:hAnsi="Times New Roman" w:cs="Times New Roman"/>
          <w:sz w:val="32"/>
          <w:szCs w:val="32"/>
          <w:lang w:val="en-US" w:eastAsia="zh-CN"/>
        </w:rPr>
        <w:t>由图可见，美国的服务贸易常年顺差，但商品贸易逆差巨大，在2022年3月见顶后开始缩减，但自2023年3月后重新开始缓慢放大。美国的贸易账余额基本上由商品贸易的差额决定。</w:t>
      </w:r>
    </w:p>
    <w:p>
      <w:pPr>
        <w:ind w:left="0" w:leftChars="0" w:firstLine="0" w:firstLineChars="0"/>
        <w:jc w:val="left"/>
        <w:rPr>
          <w:rFonts w:hint="default" w:ascii="Times New Roman" w:hAnsi="Times New Roman" w:eastAsia="方正魏碑简体" w:cs="Times New Roman"/>
          <w:b/>
          <w:bCs/>
          <w:color w:val="0000FF"/>
          <w:sz w:val="32"/>
          <w:szCs w:val="40"/>
          <w:highlight w:val="yellow"/>
          <w:lang w:val="en-US" w:eastAsia="zh-CN"/>
        </w:rPr>
      </w:pPr>
      <w:r>
        <w:rPr>
          <w:rFonts w:hint="eastAsia" w:ascii="Times New Roman" w:hAnsi="Times New Roman" w:eastAsia="方正小标宋_GBK" w:cs="Times New Roman"/>
          <w:b/>
          <w:bCs/>
          <w:color w:val="FF0000"/>
          <w:sz w:val="32"/>
          <w:szCs w:val="40"/>
          <w:highlight w:val="yellow"/>
          <w:lang w:val="en-US" w:eastAsia="zh-CN"/>
        </w:rPr>
        <w:t>5</w:t>
      </w:r>
      <w:r>
        <w:rPr>
          <w:rFonts w:hint="default" w:ascii="Times New Roman" w:hAnsi="Times New Roman" w:eastAsia="方正小标宋_GBK" w:cs="Times New Roman"/>
          <w:b/>
          <w:bCs/>
          <w:color w:val="FF0000"/>
          <w:sz w:val="32"/>
          <w:szCs w:val="40"/>
          <w:highlight w:val="yellow"/>
          <w:lang w:val="en-US" w:eastAsia="zh-CN"/>
        </w:rPr>
        <w:t>月</w:t>
      </w:r>
      <w:r>
        <w:rPr>
          <w:rFonts w:hint="eastAsia" w:ascii="Times New Roman" w:hAnsi="Times New Roman" w:eastAsia="方正小标宋_GBK" w:cs="Times New Roman"/>
          <w:b/>
          <w:bCs/>
          <w:color w:val="FF0000"/>
          <w:sz w:val="32"/>
          <w:szCs w:val="40"/>
          <w:highlight w:val="yellow"/>
          <w:lang w:val="en-US" w:eastAsia="zh-CN"/>
        </w:rPr>
        <w:t>4</w:t>
      </w:r>
      <w:r>
        <w:rPr>
          <w:rFonts w:hint="default" w:ascii="Times New Roman" w:hAnsi="Times New Roman" w:eastAsia="方正小标宋_GBK" w:cs="Times New Roman"/>
          <w:b/>
          <w:bCs/>
          <w:color w:val="FF0000"/>
          <w:sz w:val="32"/>
          <w:szCs w:val="40"/>
          <w:highlight w:val="yellow"/>
          <w:lang w:val="en-US" w:eastAsia="zh-CN"/>
        </w:rPr>
        <w:t>日</w:t>
      </w:r>
      <w:r>
        <w:rPr>
          <w:rFonts w:hint="default" w:ascii="Times New Roman" w:hAnsi="Times New Roman" w:eastAsia="方正魏碑简体" w:cs="Times New Roman"/>
          <w:b/>
          <w:bCs/>
          <w:color w:val="0000FF"/>
          <w:sz w:val="32"/>
          <w:szCs w:val="40"/>
          <w:highlight w:val="yellow"/>
          <w:lang w:val="en-US" w:eastAsia="zh-CN"/>
        </w:rPr>
        <w:t>（周</w:t>
      </w:r>
      <w:r>
        <w:rPr>
          <w:rFonts w:hint="eastAsia" w:ascii="Times New Roman" w:hAnsi="Times New Roman" w:eastAsia="方正魏碑简体" w:cs="Times New Roman"/>
          <w:b/>
          <w:bCs/>
          <w:color w:val="0000FF"/>
          <w:sz w:val="32"/>
          <w:szCs w:val="40"/>
          <w:highlight w:val="yellow"/>
          <w:lang w:val="en-US" w:eastAsia="zh-CN"/>
        </w:rPr>
        <w:t>六</w:t>
      </w:r>
      <w:r>
        <w:rPr>
          <w:rFonts w:hint="default" w:ascii="Times New Roman" w:hAnsi="Times New Roman" w:eastAsia="方正魏碑简体" w:cs="Times New Roman"/>
          <w:b/>
          <w:bCs/>
          <w:color w:val="0000FF"/>
          <w:sz w:val="32"/>
          <w:szCs w:val="40"/>
          <w:highlight w:val="yellow"/>
          <w:lang w:val="en-US" w:eastAsia="zh-CN"/>
        </w:rPr>
        <w:t>）</w:t>
      </w:r>
    </w:p>
    <w:p>
      <w:pPr>
        <w:jc w:val="center"/>
        <w:rPr>
          <w:rFonts w:hint="eastAsia" w:ascii="Times New Roman" w:hAnsi="Times New Roman" w:eastAsia="方正小标宋_GBK" w:cs="Times New Roman"/>
          <w:b/>
          <w:bCs/>
          <w:color w:val="0000FF"/>
          <w:sz w:val="36"/>
          <w:szCs w:val="44"/>
          <w:highlight w:val="yellow"/>
          <w:lang w:val="en-US" w:eastAsia="zh-CN"/>
        </w:rPr>
      </w:pPr>
      <w:r>
        <w:rPr>
          <w:rFonts w:hint="eastAsia" w:ascii="Times New Roman" w:hAnsi="Times New Roman" w:eastAsia="方正小标宋_GBK" w:cs="Times New Roman"/>
          <w:b/>
          <w:bCs/>
          <w:color w:val="0000FF"/>
          <w:sz w:val="36"/>
          <w:szCs w:val="44"/>
          <w:highlight w:val="yellow"/>
          <w:lang w:val="en-US" w:eastAsia="zh-CN"/>
        </w:rPr>
        <w:t>“大非农”数据爆冷受欢迎，PMI指标分歧惹狐疑</w:t>
      </w:r>
    </w:p>
    <w:p>
      <w:pPr>
        <w:keepNext w:val="0"/>
        <w:keepLines w:val="0"/>
        <w:pageBreakBefore w:val="0"/>
        <w:widowControl w:val="0"/>
        <w:kinsoku/>
        <w:wordWrap/>
        <w:overflowPunct/>
        <w:topLinePunct w:val="0"/>
        <w:autoSpaceDE/>
        <w:autoSpaceDN/>
        <w:bidi w:val="0"/>
        <w:adjustRightInd/>
        <w:snapToGrid/>
        <w:ind w:firstLine="608" w:firstLineChars="200"/>
        <w:jc w:val="left"/>
        <w:textAlignment w:val="auto"/>
        <w:outlineLvl w:val="9"/>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5月3日（周五），美国劳工统计局发布就业市场的相关数据（见表格一）。</w:t>
      </w:r>
    </w:p>
    <w:p>
      <w:pPr>
        <w:keepNext w:val="0"/>
        <w:keepLines w:val="0"/>
        <w:pageBreakBefore w:val="0"/>
        <w:widowControl w:val="0"/>
        <w:kinsoku/>
        <w:wordWrap/>
        <w:overflowPunct/>
        <w:topLinePunct w:val="0"/>
        <w:autoSpaceDE/>
        <w:autoSpaceDN/>
        <w:bidi w:val="0"/>
        <w:adjustRightInd/>
        <w:snapToGrid/>
        <w:ind w:firstLine="608" w:firstLineChars="200"/>
        <w:jc w:val="left"/>
        <w:textAlignment w:val="auto"/>
        <w:outlineLvl w:val="9"/>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美国就业市场出现降温迹象。4月份的失业率从3月份的3.8%上升至3.9%，新增非农就业岗位17.5万，少于预期，也远低于3月份的31.5万。此前，美联储议息会议决定推迟降息时间，以应对顽固的通货膨胀。劳动力市场降温，则有利于抑制通胀。</w:t>
      </w:r>
    </w:p>
    <w:p>
      <w:pPr>
        <w:keepNext w:val="0"/>
        <w:keepLines w:val="0"/>
        <w:pageBreakBefore w:val="0"/>
        <w:widowControl w:val="0"/>
        <w:kinsoku/>
        <w:wordWrap/>
        <w:overflowPunct/>
        <w:topLinePunct w:val="0"/>
        <w:autoSpaceDE/>
        <w:autoSpaceDN/>
        <w:bidi w:val="0"/>
        <w:adjustRightInd/>
        <w:snapToGrid/>
        <w:spacing w:line="400" w:lineRule="exact"/>
        <w:ind w:firstLine="608" w:firstLineChars="200"/>
        <w:jc w:val="left"/>
        <w:textAlignment w:val="auto"/>
        <w:outlineLvl w:val="9"/>
        <w:rPr>
          <w:rFonts w:hint="eastAsia" w:ascii="Times New Roman" w:hAnsi="Times New Roman" w:eastAsia="方正楷体_GBK" w:cs="方正楷体_GBK"/>
          <w:sz w:val="28"/>
          <w:szCs w:val="28"/>
          <w:lang w:val="en-US" w:eastAsia="zh-CN"/>
        </w:rPr>
      </w:pPr>
      <w:r>
        <w:rPr>
          <w:rFonts w:hint="eastAsia" w:ascii="Times New Roman" w:hAnsi="Times New Roman" w:cs="Times New Roman"/>
          <w:sz w:val="32"/>
          <w:szCs w:val="32"/>
          <w:lang w:val="en-US" w:eastAsia="zh-CN"/>
        </w:rPr>
        <w:drawing>
          <wp:anchor distT="0" distB="0" distL="114300" distR="114300" simplePos="0" relativeHeight="251674624" behindDoc="0" locked="0" layoutInCell="1" allowOverlap="1">
            <wp:simplePos x="0" y="0"/>
            <wp:positionH relativeFrom="column">
              <wp:posOffset>137160</wp:posOffset>
            </wp:positionH>
            <wp:positionV relativeFrom="paragraph">
              <wp:posOffset>44450</wp:posOffset>
            </wp:positionV>
            <wp:extent cx="5414010" cy="1921510"/>
            <wp:effectExtent l="0" t="0" r="15240" b="2540"/>
            <wp:wrapTopAndBottom/>
            <wp:docPr id="31" name="图片 31" descr="图片19-5月4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图片19-5月4日"/>
                    <pic:cNvPicPr>
                      <a:picLocks noChangeAspect="1"/>
                    </pic:cNvPicPr>
                  </pic:nvPicPr>
                  <pic:blipFill>
                    <a:blip r:embed="rId24"/>
                    <a:stretch>
                      <a:fillRect/>
                    </a:stretch>
                  </pic:blipFill>
                  <pic:spPr>
                    <a:xfrm>
                      <a:off x="0" y="0"/>
                      <a:ext cx="5414010" cy="1921510"/>
                    </a:xfrm>
                    <a:prstGeom prst="rect">
                      <a:avLst/>
                    </a:prstGeom>
                  </pic:spPr>
                </pic:pic>
              </a:graphicData>
            </a:graphic>
          </wp:anchor>
        </w:drawing>
      </w:r>
      <w:r>
        <w:rPr>
          <w:rFonts w:hint="eastAsia" w:ascii="Times New Roman" w:hAnsi="Times New Roman" w:eastAsia="方正楷体_GBK" w:cs="方正楷体_GBK"/>
          <w:sz w:val="28"/>
          <w:szCs w:val="28"/>
          <w:lang w:val="en-US" w:eastAsia="zh-CN"/>
        </w:rPr>
        <w:t>（</w:t>
      </w:r>
      <w:r>
        <w:rPr>
          <w:rFonts w:hint="eastAsia" w:ascii="方正黑体_GBK" w:hAnsi="方正黑体_GBK" w:eastAsia="方正黑体_GBK" w:cs="方正黑体_GBK"/>
          <w:b/>
          <w:bCs/>
          <w:sz w:val="28"/>
          <w:szCs w:val="28"/>
          <w:highlight w:val="none"/>
          <w:lang w:val="en-US" w:eastAsia="zh-CN"/>
        </w:rPr>
        <w:t>注</w:t>
      </w:r>
      <w:r>
        <w:rPr>
          <w:rFonts w:hint="eastAsia" w:ascii="Times New Roman" w:hAnsi="Times New Roman" w:eastAsia="方正楷体_GBK" w:cs="方正楷体_GBK"/>
          <w:sz w:val="28"/>
          <w:szCs w:val="28"/>
          <w:lang w:val="en-US" w:eastAsia="zh-CN"/>
        </w:rPr>
        <w:t>：</w:t>
      </w:r>
      <w:r>
        <w:rPr>
          <w:rFonts w:hint="eastAsia" w:ascii="Times New Roman" w:hAnsi="Times New Roman" w:eastAsia="方正楷体_GBK" w:cs="方正楷体_GBK"/>
          <w:b/>
          <w:bCs/>
          <w:sz w:val="28"/>
          <w:szCs w:val="28"/>
          <w:lang w:val="en-US" w:eastAsia="zh-CN"/>
        </w:rPr>
        <w:t>“美国非农就业人口变动”</w:t>
      </w:r>
      <w:r>
        <w:rPr>
          <w:rFonts w:hint="eastAsia" w:ascii="Times New Roman" w:hAnsi="Times New Roman" w:eastAsia="方正楷体_GBK" w:cs="方正楷体_GBK"/>
          <w:sz w:val="28"/>
          <w:szCs w:val="28"/>
          <w:lang w:val="en-US" w:eastAsia="zh-CN"/>
        </w:rPr>
        <w:t>（Nonfarm Payrolls），是美国劳工部每月公布的一个重要经济指标，衡量美国非农部门（不包括农业部门）在特定月份内新增的就业岗位数量，因此也称为</w:t>
      </w:r>
      <w:r>
        <w:rPr>
          <w:rFonts w:hint="eastAsia" w:ascii="Times New Roman" w:hAnsi="Times New Roman" w:eastAsia="方正楷体_GBK" w:cs="方正楷体_GBK"/>
          <w:b/>
          <w:bCs/>
          <w:sz w:val="28"/>
          <w:szCs w:val="28"/>
          <w:lang w:val="en-US" w:eastAsia="zh-CN"/>
        </w:rPr>
        <w:t>“新增非农就业岗位”</w:t>
      </w:r>
      <w:r>
        <w:rPr>
          <w:rFonts w:hint="eastAsia" w:ascii="Times New Roman" w:hAnsi="Times New Roman" w:eastAsia="方正楷体_GBK" w:cs="方正楷体_GBK"/>
          <w:sz w:val="28"/>
          <w:szCs w:val="28"/>
          <w:lang w:val="en-US" w:eastAsia="zh-CN"/>
        </w:rPr>
        <w:t>。同时，市场亦称之为</w:t>
      </w:r>
      <w:r>
        <w:rPr>
          <w:rFonts w:hint="eastAsia" w:ascii="Times New Roman" w:hAnsi="Times New Roman" w:eastAsia="方正楷体_GBK" w:cs="方正楷体_GBK"/>
          <w:b/>
          <w:bCs/>
          <w:sz w:val="28"/>
          <w:szCs w:val="28"/>
          <w:lang w:val="en-US" w:eastAsia="zh-CN"/>
        </w:rPr>
        <w:t>“大非农数据”</w:t>
      </w:r>
      <w:r>
        <w:rPr>
          <w:rFonts w:hint="eastAsia" w:ascii="Times New Roman" w:hAnsi="Times New Roman" w:eastAsia="方正楷体_GBK" w:cs="方正楷体_GBK"/>
          <w:sz w:val="28"/>
          <w:szCs w:val="28"/>
          <w:lang w:val="en-US" w:eastAsia="zh-CN"/>
        </w:rPr>
        <w:t>，以区别ADP编制发布的非农数据（即“小非农数据”。</w:t>
      </w:r>
    </w:p>
    <w:p>
      <w:pPr>
        <w:keepNext w:val="0"/>
        <w:keepLines w:val="0"/>
        <w:pageBreakBefore w:val="0"/>
        <w:widowControl w:val="0"/>
        <w:kinsoku/>
        <w:wordWrap/>
        <w:overflowPunct/>
        <w:topLinePunct w:val="0"/>
        <w:autoSpaceDE/>
        <w:autoSpaceDN/>
        <w:bidi w:val="0"/>
        <w:adjustRightInd/>
        <w:snapToGrid/>
        <w:spacing w:line="400" w:lineRule="exact"/>
        <w:ind w:firstLine="528" w:firstLineChars="200"/>
        <w:jc w:val="left"/>
        <w:textAlignment w:val="auto"/>
        <w:outlineLvl w:val="9"/>
        <w:rPr>
          <w:rFonts w:hint="eastAsia" w:ascii="Times New Roman" w:hAnsi="Times New Roman" w:eastAsia="方正楷体_GBK" w:cs="方正楷体_GBK"/>
          <w:sz w:val="28"/>
          <w:szCs w:val="28"/>
          <w:lang w:val="en-US" w:eastAsia="zh-CN"/>
        </w:rPr>
      </w:pPr>
      <w:r>
        <w:rPr>
          <w:rFonts w:hint="eastAsia" w:ascii="Times New Roman" w:hAnsi="Times New Roman" w:eastAsia="方正楷体_GBK" w:cs="方正楷体_GBK"/>
          <w:b/>
          <w:bCs/>
          <w:sz w:val="28"/>
          <w:szCs w:val="28"/>
          <w:lang w:val="en-US" w:eastAsia="zh-CN"/>
        </w:rPr>
        <w:t>“非农就业人口变动</w:t>
      </w:r>
      <w:r>
        <w:rPr>
          <w:rFonts w:hint="eastAsia" w:ascii="Times New Roman" w:hAnsi="Times New Roman" w:eastAsia="方正楷体_GBK" w:cs="方正楷体_GBK"/>
          <w:sz w:val="28"/>
          <w:szCs w:val="28"/>
          <w:lang w:val="en-US" w:eastAsia="zh-CN"/>
        </w:rPr>
        <w:t>”反映一个国家的就业情况和经济增长的强度。通常情况下，就业岗位增加，意味着更多的人获得了工作机会和收入来源，是经济增长和繁荣的标志。）</w:t>
      </w:r>
    </w:p>
    <w:p>
      <w:pPr>
        <w:ind w:firstLine="608" w:firstLineChars="200"/>
        <w:jc w:val="left"/>
        <w:rPr>
          <w:rFonts w:hint="eastAsia" w:ascii="Times New Roman" w:hAnsi="Times New Roman" w:cs="Times New Roman"/>
          <w:sz w:val="32"/>
          <w:szCs w:val="32"/>
          <w:lang w:val="en-US" w:eastAsia="zh-CN"/>
        </w:rPr>
      </w:pPr>
    </w:p>
    <w:p>
      <w:pPr>
        <w:ind w:firstLine="608" w:firstLineChars="200"/>
        <w:jc w:val="both"/>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drawing>
          <wp:anchor distT="0" distB="0" distL="114300" distR="114300" simplePos="0" relativeHeight="251675648" behindDoc="0" locked="0" layoutInCell="1" allowOverlap="1">
            <wp:simplePos x="0" y="0"/>
            <wp:positionH relativeFrom="column">
              <wp:posOffset>111760</wp:posOffset>
            </wp:positionH>
            <wp:positionV relativeFrom="paragraph">
              <wp:posOffset>31750</wp:posOffset>
            </wp:positionV>
            <wp:extent cx="3241040" cy="3241040"/>
            <wp:effectExtent l="0" t="0" r="16510" b="16510"/>
            <wp:wrapSquare wrapText="bothSides"/>
            <wp:docPr id="32" name="图片 32" descr="图片20-5月4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图片20-5月4日"/>
                    <pic:cNvPicPr>
                      <a:picLocks noChangeAspect="1"/>
                    </pic:cNvPicPr>
                  </pic:nvPicPr>
                  <pic:blipFill>
                    <a:blip r:embed="rId25"/>
                    <a:stretch>
                      <a:fillRect/>
                    </a:stretch>
                  </pic:blipFill>
                  <pic:spPr>
                    <a:xfrm>
                      <a:off x="0" y="0"/>
                      <a:ext cx="3241040" cy="3241040"/>
                    </a:xfrm>
                    <a:prstGeom prst="rect">
                      <a:avLst/>
                    </a:prstGeom>
                  </pic:spPr>
                </pic:pic>
              </a:graphicData>
            </a:graphic>
          </wp:anchor>
        </w:drawing>
      </w:r>
      <w:r>
        <w:rPr>
          <w:rFonts w:hint="eastAsia" w:ascii="Times New Roman" w:hAnsi="Times New Roman" w:cs="Times New Roman"/>
          <w:sz w:val="32"/>
          <w:szCs w:val="32"/>
          <w:lang w:val="en-US" w:eastAsia="zh-CN"/>
        </w:rPr>
        <w:t>美国就业市场虽有降温迹象，但依然表现良好。在此之前的四个月里，美国经济持续走强，新增就业岗位超过100万个。从历史标准来看，失业率低于4%已经非常不错了；相比美国，欧元区的失业率近一年来始终在6.5%上下徘徊。</w:t>
      </w:r>
    </w:p>
    <w:p>
      <w:pPr>
        <w:ind w:firstLine="608" w:firstLineChars="200"/>
        <w:jc w:val="both"/>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更重要的是，美国就业市场降温终于转化为薪资增长的放缓，4月时薪同比增长放缓至3.9%（见表格一），这是自2021年中期以来首次低于4%。对于美联储和投资者来说，这是抗击通胀的重大利好，于是降息预期重新抬头。4月就业市场的系列数据公布后，美国股市随即上扬。</w:t>
      </w:r>
    </w:p>
    <w:p>
      <w:pPr>
        <w:ind w:firstLine="608" w:firstLineChars="200"/>
        <w:jc w:val="both"/>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但同时，不同机构编制的4月份PMI指标出现了分歧（见表格二）。</w:t>
      </w:r>
    </w:p>
    <w:p>
      <w:pPr>
        <w:ind w:firstLine="608" w:firstLineChars="200"/>
        <w:jc w:val="both"/>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在美国，供应管理学会（ISM）和IHS Markit都发布“采购经理人指数”（PMI）数据，二者采集数据的方法和覆盖范围略有不同。ISM PMI倾向于本土特征，IHS Markit的数据则更倾向于全球标准。研究机构会同时参考两个指标，互相印证。</w:t>
      </w:r>
    </w:p>
    <w:p>
      <w:pPr>
        <w:ind w:firstLine="608" w:firstLineChars="200"/>
        <w:jc w:val="left"/>
        <w:rPr>
          <w:rFonts w:hint="eastAsia" w:ascii="Times New Roman" w:hAnsi="Times New Roman" w:cs="Times New Roman"/>
          <w:sz w:val="32"/>
          <w:szCs w:val="32"/>
          <w:lang w:val="en-US" w:eastAsia="zh-CN"/>
        </w:rPr>
      </w:pPr>
    </w:p>
    <w:p>
      <w:pPr>
        <w:ind w:firstLine="608" w:firstLineChars="200"/>
        <w:jc w:val="left"/>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drawing>
          <wp:anchor distT="0" distB="0" distL="114300" distR="114300" simplePos="0" relativeHeight="251676672" behindDoc="0" locked="0" layoutInCell="1" allowOverlap="1">
            <wp:simplePos x="0" y="0"/>
            <wp:positionH relativeFrom="column">
              <wp:posOffset>105410</wp:posOffset>
            </wp:positionH>
            <wp:positionV relativeFrom="paragraph">
              <wp:posOffset>69850</wp:posOffset>
            </wp:positionV>
            <wp:extent cx="5424805" cy="1242060"/>
            <wp:effectExtent l="0" t="0" r="4445" b="15240"/>
            <wp:wrapTopAndBottom/>
            <wp:docPr id="33" name="图片 33" descr="图片21-5月4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图片21-5月4日"/>
                    <pic:cNvPicPr>
                      <a:picLocks noChangeAspect="1"/>
                    </pic:cNvPicPr>
                  </pic:nvPicPr>
                  <pic:blipFill>
                    <a:blip r:embed="rId26"/>
                    <a:stretch>
                      <a:fillRect/>
                    </a:stretch>
                  </pic:blipFill>
                  <pic:spPr>
                    <a:xfrm>
                      <a:off x="0" y="0"/>
                      <a:ext cx="5424805" cy="1242060"/>
                    </a:xfrm>
                    <a:prstGeom prst="rect">
                      <a:avLst/>
                    </a:prstGeom>
                  </pic:spPr>
                </pic:pic>
              </a:graphicData>
            </a:graphic>
          </wp:anchor>
        </w:drawing>
      </w:r>
    </w:p>
    <w:p>
      <w:pPr>
        <w:ind w:firstLine="608" w:firstLineChars="200"/>
        <w:jc w:val="both"/>
        <w:rPr>
          <w:rFonts w:hint="default"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ISM的PMI低于50荣枯线，表示制造业和非制造业活动处于收缩状态，即经济活动减弱，而IHS Markit的PMI却相反。当两个PMI出现背离时，表示不同的数据源对于经济活动的看法存在差异。这可能是由于数据采集方法、样本选择、行业覆盖范围等因素导致的。此时，需要进一步观察研究，以了解经济的实际动态和趋势。</w:t>
      </w:r>
    </w:p>
    <w:p>
      <w:pPr>
        <w:rPr>
          <w:rFonts w:hint="default" w:ascii="Times New Roman" w:hAnsi="Times New Roman" w:eastAsia="经典行楷简" w:cs="Times New Roman"/>
          <w:b/>
          <w:bCs/>
          <w:color w:val="FF0000"/>
          <w:sz w:val="96"/>
          <w:szCs w:val="96"/>
          <w:lang w:val="en-US" w:eastAsia="zh-CN"/>
        </w:rPr>
      </w:pPr>
      <w:r>
        <w:rPr>
          <w:rFonts w:hint="default" w:ascii="Times New Roman" w:hAnsi="Times New Roman" w:eastAsia="经典行楷简" w:cs="Times New Roman"/>
          <w:b/>
          <w:bCs/>
          <w:color w:val="FF0000"/>
          <w:sz w:val="96"/>
          <w:szCs w:val="96"/>
          <w:lang w:val="en-US" w:eastAsia="zh-CN"/>
        </w:rPr>
        <w:br w:type="page"/>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b/>
          <w:bCs/>
          <w:color w:val="FF0000"/>
          <w:sz w:val="96"/>
          <w:szCs w:val="96"/>
          <w:lang w:val="en-US" w:eastAsia="zh-CN"/>
        </w:rPr>
      </w:pPr>
      <w:r>
        <w:rPr>
          <w:rFonts w:hint="default" w:ascii="Times New Roman" w:hAnsi="Times New Roman" w:eastAsia="经典行楷简" w:cs="Times New Roman"/>
          <w:b/>
          <w:bCs/>
          <w:color w:val="FF0000"/>
          <w:sz w:val="96"/>
          <w:szCs w:val="96"/>
          <w:lang w:val="en-US" w:eastAsia="zh-CN"/>
        </w:rPr>
        <w:t>江苏贸促动态</w:t>
      </w:r>
    </w:p>
    <w:p>
      <w:pPr>
        <w:keepNext w:val="0"/>
        <w:keepLines w:val="0"/>
        <w:pageBreakBefore w:val="0"/>
        <w:widowControl/>
        <w:shd w:val="clear" w:color="auto" w:fill="FFFFFF"/>
        <w:kinsoku/>
        <w:wordWrap/>
        <w:overflowPunct/>
        <w:topLinePunct w:val="0"/>
        <w:autoSpaceDE/>
        <w:autoSpaceDN/>
        <w:bidi w:val="0"/>
        <w:adjustRightInd/>
        <w:snapToGrid/>
        <w:spacing w:line="700" w:lineRule="exact"/>
        <w:contextualSpacing/>
        <w:jc w:val="center"/>
        <w:textAlignment w:val="auto"/>
        <w:outlineLvl w:val="1"/>
        <w:rPr>
          <w:rFonts w:hint="eastAsia" w:ascii="Times New Roman" w:hAnsi="Times New Roman" w:eastAsia="经典行楷简" w:cs="Times New Roman"/>
          <w:color w:val="2E75B6" w:themeColor="accent1" w:themeShade="BF"/>
          <w:spacing w:val="0"/>
          <w:kern w:val="2"/>
          <w:sz w:val="52"/>
          <w:szCs w:val="52"/>
          <w:lang w:val="en-US" w:eastAsia="zh-CN" w:bidi="ar-SA"/>
        </w:rPr>
      </w:pPr>
      <w:r>
        <w:rPr>
          <w:rFonts w:hint="eastAsia" w:ascii="Times New Roman" w:hAnsi="Times New Roman" w:eastAsia="经典行楷简" w:cs="Times New Roman"/>
          <w:color w:val="2E75B6" w:themeColor="accent1" w:themeShade="BF"/>
          <w:spacing w:val="-20"/>
          <w:kern w:val="2"/>
          <w:sz w:val="52"/>
          <w:szCs w:val="52"/>
          <w:lang w:val="en-US" w:eastAsia="zh-CN" w:bidi="ar-SA"/>
        </w:rPr>
        <w:t>省贸促会举办会党组理论学习中心组学习（扩大）会暨党纪学习教育专题读书班</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firstLine="608" w:firstLineChars="200"/>
        <w:textAlignment w:val="auto"/>
        <w:rPr>
          <w:rFonts w:hint="default"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default" w:ascii="Times New Roman" w:hAnsi="Times New Roman" w:eastAsiaTheme="minorEastAsia" w:cstheme="minorEastAsia"/>
          <w:i w:val="0"/>
          <w:caps w:val="0"/>
          <w:color w:val="333333"/>
          <w:spacing w:val="0"/>
          <w:kern w:val="0"/>
          <w:sz w:val="32"/>
          <w:szCs w:val="32"/>
          <w:shd w:val="clear" w:fill="FFFFFF"/>
          <w:lang w:val="en-US" w:eastAsia="zh-CN" w:bidi="ar"/>
        </w:rPr>
        <w:t>4月28日至29日，省贸促会举办会党组理论学习中心组学习（扩大）会暨党纪学习教育专题读书班，深入学习领会习近平总书记关于加强党的纪律建设的重要论述，集中学习新修订的《中国共产党纪律处分条例》。会党组书记、会长王善华主持开班式并讲话。</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firstLine="608" w:firstLineChars="200"/>
        <w:textAlignment w:val="auto"/>
        <w:rPr>
          <w:rFonts w:hint="default"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default" w:ascii="Times New Roman" w:hAnsi="Times New Roman" w:eastAsiaTheme="minorEastAsia" w:cstheme="minorEastAsia"/>
          <w:i w:val="0"/>
          <w:caps w:val="0"/>
          <w:color w:val="333333"/>
          <w:spacing w:val="0"/>
          <w:kern w:val="0"/>
          <w:sz w:val="32"/>
          <w:szCs w:val="32"/>
          <w:shd w:val="clear" w:fill="FFFFFF"/>
          <w:lang w:val="en-US" w:eastAsia="zh-CN" w:bidi="ar"/>
        </w:rPr>
        <w:t>会议指出，坚持学思践悟，深刻领会开展党纪学习教育的重大意义。做到学纪、知纪、明纪、守纪，搞清楚党的纪律规矩是什么，弄明白能干什么、不能干什么，把遵规守纪刻印在心，内化为言行准则，进一步强化纪律意识、加强自我约束、提高免疫能力，增强政治定力、纪律定力、道德定力、抵腐定力，始终做到忠诚干净担当。</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firstLine="608" w:firstLineChars="200"/>
        <w:textAlignment w:val="auto"/>
        <w:rPr>
          <w:rFonts w:hint="default"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default" w:ascii="Times New Roman" w:hAnsi="Times New Roman" w:eastAsiaTheme="minorEastAsia" w:cstheme="minorEastAsia"/>
          <w:i w:val="0"/>
          <w:caps w:val="0"/>
          <w:color w:val="333333"/>
          <w:spacing w:val="0"/>
          <w:kern w:val="0"/>
          <w:sz w:val="32"/>
          <w:szCs w:val="32"/>
          <w:shd w:val="clear" w:fill="FFFFFF"/>
          <w:lang w:val="en-US" w:eastAsia="zh-CN" w:bidi="ar"/>
        </w:rPr>
        <w:t>会议强调，要坚持笃学笃行，全面系统掌握“六项纪律”的主旨要义和规定要求。要深刻认识政治纪律是党最根本、最重要的纪律，始终保持政治清醒。深刻认识组织纪律是维护党的集中统一、保持党的战斗力的重要保障，始终做到集中统一、步调一致。深刻认识廉洁纪律是党员干部为官从政、履职用权的边界底线，始终保持廉洁奉公。深刻认识群众纪律是党的宗旨性质的根本要求，自觉走好党的群众路线。深刻认识工作纪律是正常开展工作的重要保证，真抓实干、履职尽责。深刻认识生活纪律是党员在日常生活和社会交往的行为准则，从近身处筑牢防腐堤坝。</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firstLine="608" w:firstLineChars="200"/>
        <w:textAlignment w:val="auto"/>
        <w:rPr>
          <w:rFonts w:hint="default"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default" w:ascii="Times New Roman" w:hAnsi="Times New Roman" w:eastAsiaTheme="minorEastAsia" w:cstheme="minorEastAsia"/>
          <w:i w:val="0"/>
          <w:caps w:val="0"/>
          <w:color w:val="333333"/>
          <w:spacing w:val="0"/>
          <w:kern w:val="0"/>
          <w:sz w:val="32"/>
          <w:szCs w:val="32"/>
          <w:shd w:val="clear" w:fill="FFFFFF"/>
          <w:lang w:val="en-US" w:eastAsia="zh-CN" w:bidi="ar"/>
        </w:rPr>
        <w:t>会议强调，扎实推进党纪学习教育，要坚持原原本本学，通过集中学习、个人自学、交流研讨等方式组织党员干部原原本本、逐章逐句学好《条例》。要坚持融会贯通学，把学习《条例》与学习习近平总书记关于党的纪律建设的重要论述结合起来，把政治纪律、组织纪律、廉洁纪律、群众纪律、工作纪律、生活纪律贯通起来学，确保学习、研讨全员覆盖、不落一人。要坚持联系实际学，使学习党纪的过程成为增强党性修养、推动崇廉拒腐的过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firstLine="608" w:firstLineChars="200"/>
        <w:textAlignment w:val="auto"/>
        <w:rPr>
          <w:rFonts w:hint="eastAsia" w:ascii="方正楷体_GBK" w:hAnsi="方正楷体_GBK" w:eastAsia="方正楷体_GBK" w:cs="方正楷体_GBK"/>
          <w:b/>
          <w:bCs/>
          <w:color w:val="FF0000"/>
          <w:spacing w:val="0"/>
          <w:kern w:val="2"/>
          <w:sz w:val="32"/>
          <w:szCs w:val="32"/>
          <w:lang w:val="en-US" w:eastAsia="zh-CN" w:bidi="ar-SA"/>
        </w:rPr>
      </w:pPr>
      <w:r>
        <w:rPr>
          <w:rFonts w:hint="default" w:ascii="Times New Roman" w:hAnsi="Times New Roman" w:eastAsiaTheme="minorEastAsia" w:cstheme="minorEastAsia"/>
          <w:i w:val="0"/>
          <w:caps w:val="0"/>
          <w:color w:val="333333"/>
          <w:spacing w:val="0"/>
          <w:kern w:val="0"/>
          <w:sz w:val="32"/>
          <w:szCs w:val="32"/>
          <w:shd w:val="clear" w:fill="FFFFFF"/>
          <w:lang w:val="en-US" w:eastAsia="zh-CN" w:bidi="ar"/>
        </w:rPr>
        <w:t>此次党纪学习教育专题读书班以集中学习、专题辅导、交流研讨等方式，深刻领悟习近平总书记关于加强党的纪律建设的重要论述，逐章逐条学习《条例》。会领导班子成员、各部（室）四调及以上处级干部及所属单位领导班子成员参加了开班式。全体与会人员集中观看了中央党校（国家行政学院）任进教授解读新修订的《中国共产党纪律处分条例》视频。会党组书记、会长王善华同志联系个人自学与集中学习的深研细读，结合专题讲解环节的体悟收获，围绕《中国共产党纪律处分条例》进行了研讨交流。班子成员围绕严守政治纪律和政治规矩、严明组织纪律和组织规矩以及加强党性修养、落实“一岗双责”等，结合职能职责、难点问题、具体案例，在所在党支部进行深入交流。</w:t>
      </w:r>
      <w:r>
        <w:rPr>
          <w:rFonts w:hint="eastAsia" w:ascii="Times New Roman" w:hAnsi="Times New Roman" w:cstheme="minorEastAsia"/>
          <w:i w:val="0"/>
          <w:caps w:val="0"/>
          <w:color w:val="333333"/>
          <w:spacing w:val="0"/>
          <w:kern w:val="0"/>
          <w:sz w:val="32"/>
          <w:szCs w:val="32"/>
          <w:shd w:val="clear" w:fill="FFFFFF"/>
          <w:lang w:val="en-US" w:eastAsia="zh-CN" w:bidi="ar"/>
        </w:rPr>
        <w:t xml:space="preserve">                 </w:t>
      </w:r>
      <w:r>
        <w:rPr>
          <w:rFonts w:hint="eastAsia" w:ascii="方正楷体_GBK" w:hAnsi="方正楷体_GBK" w:eastAsia="方正楷体_GBK" w:cs="方正楷体_GBK"/>
          <w:b/>
          <w:bCs/>
          <w:color w:val="FF0000"/>
          <w:spacing w:val="0"/>
          <w:kern w:val="2"/>
          <w:sz w:val="32"/>
          <w:szCs w:val="32"/>
          <w:lang w:val="en-US" w:eastAsia="zh-CN" w:bidi="ar-SA"/>
        </w:rPr>
        <w:t>（机关党委）</w:t>
      </w:r>
    </w:p>
    <w:p>
      <w:pPr>
        <w:keepNext w:val="0"/>
        <w:keepLines w:val="0"/>
        <w:pageBreakBefore w:val="0"/>
        <w:widowControl/>
        <w:shd w:val="clear" w:color="auto" w:fill="FFFFFF"/>
        <w:kinsoku/>
        <w:wordWrap/>
        <w:overflowPunct/>
        <w:topLinePunct w:val="0"/>
        <w:autoSpaceDE/>
        <w:autoSpaceDN/>
        <w:bidi w:val="0"/>
        <w:adjustRightInd/>
        <w:snapToGrid/>
        <w:spacing w:line="700" w:lineRule="exact"/>
        <w:contextualSpacing/>
        <w:jc w:val="center"/>
        <w:textAlignment w:val="auto"/>
        <w:outlineLvl w:val="1"/>
        <w:rPr>
          <w:rFonts w:hint="eastAsia" w:ascii="Times New Roman" w:hAnsi="Times New Roman" w:eastAsia="经典行楷简" w:cs="Times New Roman"/>
          <w:color w:val="2E75B6" w:themeColor="accent1" w:themeShade="BF"/>
          <w:spacing w:val="0"/>
          <w:kern w:val="2"/>
          <w:sz w:val="52"/>
          <w:szCs w:val="5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line="240" w:lineRule="auto"/>
        <w:contextualSpacing/>
        <w:jc w:val="both"/>
        <w:textAlignment w:val="auto"/>
        <w:outlineLvl w:val="1"/>
        <w:rPr>
          <w:rFonts w:hint="eastAsia" w:ascii="Times New Roman" w:hAnsi="Times New Roman" w:eastAsia="经典行楷简" w:cs="Times New Roman"/>
          <w:color w:val="2E75B6" w:themeColor="accent1" w:themeShade="BF"/>
          <w:spacing w:val="0"/>
          <w:kern w:val="2"/>
          <w:sz w:val="52"/>
          <w:szCs w:val="52"/>
          <w:lang w:val="en-US" w:eastAsia="zh-CN" w:bidi="ar-SA"/>
        </w:rPr>
      </w:pPr>
      <w:bookmarkStart w:id="0" w:name="_GoBack"/>
      <w:bookmarkEnd w:id="0"/>
    </w:p>
    <w:p>
      <w:pPr>
        <w:keepNext w:val="0"/>
        <w:keepLines w:val="0"/>
        <w:pageBreakBefore w:val="0"/>
        <w:widowControl/>
        <w:shd w:val="clear" w:color="auto" w:fill="FFFFFF"/>
        <w:kinsoku/>
        <w:wordWrap/>
        <w:overflowPunct/>
        <w:topLinePunct w:val="0"/>
        <w:autoSpaceDE/>
        <w:autoSpaceDN/>
        <w:bidi w:val="0"/>
        <w:adjustRightInd/>
        <w:snapToGrid/>
        <w:spacing w:line="700" w:lineRule="exact"/>
        <w:contextualSpacing/>
        <w:jc w:val="center"/>
        <w:textAlignment w:val="auto"/>
        <w:outlineLvl w:val="1"/>
        <w:rPr>
          <w:rFonts w:hint="eastAsia" w:ascii="Times New Roman" w:hAnsi="Times New Roman" w:eastAsia="经典行楷简" w:cs="Times New Roman"/>
          <w:color w:val="2E75B6" w:themeColor="accent1" w:themeShade="BF"/>
          <w:spacing w:val="0"/>
          <w:kern w:val="2"/>
          <w:sz w:val="52"/>
          <w:szCs w:val="52"/>
          <w:lang w:val="en-US" w:eastAsia="zh-CN" w:bidi="ar-SA"/>
        </w:rPr>
      </w:pPr>
      <w:r>
        <w:rPr>
          <w:rFonts w:hint="eastAsia" w:ascii="Times New Roman" w:hAnsi="Times New Roman" w:eastAsia="经典行楷简" w:cs="Times New Roman"/>
          <w:color w:val="2E75B6" w:themeColor="accent1" w:themeShade="BF"/>
          <w:spacing w:val="0"/>
          <w:kern w:val="2"/>
          <w:sz w:val="52"/>
          <w:szCs w:val="52"/>
          <w:lang w:val="en-US" w:eastAsia="zh-CN" w:bidi="ar-SA"/>
        </w:rPr>
        <w:t>省贸促会开展德企泰州行活动</w:t>
      </w:r>
    </w:p>
    <w:p>
      <w:pPr>
        <w:keepNext w:val="0"/>
        <w:keepLines w:val="0"/>
        <w:pageBreakBefore w:val="0"/>
        <w:widowControl/>
        <w:shd w:val="clear" w:color="auto" w:fill="FFFFFF"/>
        <w:kinsoku/>
        <w:wordWrap/>
        <w:overflowPunct/>
        <w:topLinePunct w:val="0"/>
        <w:autoSpaceDE/>
        <w:autoSpaceDN/>
        <w:bidi w:val="0"/>
        <w:adjustRightInd/>
        <w:snapToGrid/>
        <w:spacing w:line="700" w:lineRule="exact"/>
        <w:contextualSpacing/>
        <w:jc w:val="center"/>
        <w:textAlignment w:val="auto"/>
        <w:outlineLvl w:val="1"/>
        <w:rPr>
          <w:rFonts w:hint="eastAsia" w:ascii="Times New Roman" w:hAnsi="Times New Roman" w:eastAsia="经典行楷简" w:cs="Times New Roman"/>
          <w:color w:val="2E75B6" w:themeColor="accent1" w:themeShade="BF"/>
          <w:spacing w:val="0"/>
          <w:kern w:val="2"/>
          <w:sz w:val="52"/>
          <w:szCs w:val="52"/>
          <w:lang w:val="en-US" w:eastAsia="zh-CN" w:bidi="ar-SA"/>
        </w:rPr>
      </w:pPr>
      <w:r>
        <w:rPr>
          <w:rFonts w:hint="eastAsia" w:ascii="Times New Roman" w:hAnsi="Times New Roman" w:eastAsia="经典行楷简" w:cs="Times New Roman"/>
          <w:color w:val="2E75B6" w:themeColor="accent1" w:themeShade="BF"/>
          <w:spacing w:val="0"/>
          <w:kern w:val="2"/>
          <w:sz w:val="52"/>
          <w:szCs w:val="52"/>
          <w:lang w:val="en-US" w:eastAsia="zh-CN" w:bidi="ar-SA"/>
        </w:rPr>
        <w:t>需求调研活动</w:t>
      </w:r>
    </w:p>
    <w:p>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608" w:firstLineChars="200"/>
        <w:contextualSpacing/>
        <w:jc w:val="left"/>
        <w:textAlignment w:val="auto"/>
        <w:outlineLvl w:val="1"/>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4月23-24日，根据我会“2024年境外机构、跨国公司江苏行”工作计划，丛苏峰副会长带队赴泰州开展德企泰州行活动需求调研活动。</w:t>
      </w:r>
    </w:p>
    <w:p>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608" w:firstLineChars="200"/>
        <w:contextualSpacing/>
        <w:jc w:val="left"/>
        <w:textAlignment w:val="auto"/>
        <w:outlineLvl w:val="1"/>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23日下午，我会与泰州市贸促会、泰州市商务局共同组织召开需求调研座谈会。泰州市及各市（区）商务局、重点园区、相关企业代表以及德国海外商会联盟大中华区相关负责人等20余人参加座谈会。丛苏峰表示，此次座谈会的主要目的是通过面对面交流，具体收集地方与企业的实际需求，有针对性地定制地方行活动内容，最大限度地实现各方资源整合与需求精准对接。座谈会上，各方从自身实际出发，对招商引资、项目合作需求进行了说明，大家对此次座谈所取得的需求对接意向表示认可，期待德企泰州行活动如期举办。</w:t>
      </w:r>
    </w:p>
    <w:p>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608" w:firstLineChars="200"/>
        <w:contextualSpacing/>
        <w:jc w:val="left"/>
        <w:textAlignment w:val="auto"/>
        <w:outlineLvl w:val="1"/>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24日上午，丛苏峰带队先后前往泰州医药博物馆、泰迩生物医药泰州有限公司、江苏耀海生物制药有限公司、扬子江药业集团，了解企业在生产经营（国际化布局）、项目规划、产品定位等方面的情况，听取企业在出海筹备方面的计划与现实难题，鼓励企业要大力进行产品与工艺创新，要善于利用境外专业机构平台，既能引进来也要走出去。</w:t>
      </w:r>
    </w:p>
    <w:p>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608" w:firstLineChars="200"/>
        <w:contextualSpacing/>
        <w:jc w:val="left"/>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 xml:space="preserve">泰州市贸促会会长唐驰，国际联络部、跨采中心相关负责人参加调研活动。                 </w:t>
      </w:r>
      <w:r>
        <w:rPr>
          <w:rFonts w:hint="eastAsia" w:ascii="Times New Roman" w:hAnsi="Times New Roman" w:cstheme="minorEastAsia"/>
          <w:i w:val="0"/>
          <w:caps w:val="0"/>
          <w:color w:val="333333"/>
          <w:spacing w:val="0"/>
          <w:kern w:val="0"/>
          <w:sz w:val="32"/>
          <w:szCs w:val="32"/>
          <w:shd w:val="clear" w:fill="FFFFFF"/>
          <w:lang w:val="en-US" w:eastAsia="zh-CN" w:bidi="ar"/>
        </w:rPr>
        <w:t xml:space="preserve">            </w:t>
      </w:r>
      <w:r>
        <w:rPr>
          <w:rFonts w:hint="eastAsia" w:ascii="方正楷体_GBK" w:hAnsi="方正楷体_GBK" w:eastAsia="方正楷体_GBK" w:cs="方正楷体_GBK"/>
          <w:b/>
          <w:bCs/>
          <w:color w:val="FF0000"/>
          <w:spacing w:val="0"/>
          <w:kern w:val="2"/>
          <w:sz w:val="32"/>
          <w:szCs w:val="32"/>
          <w:lang w:val="en-US" w:eastAsia="zh-CN" w:bidi="ar-SA"/>
        </w:rPr>
        <w:t>（跨采中心）</w:t>
      </w:r>
    </w:p>
    <w:p>
      <w:pPr>
        <w:keepNext w:val="0"/>
        <w:keepLines w:val="0"/>
        <w:pageBreakBefore w:val="0"/>
        <w:widowControl/>
        <w:shd w:val="clear" w:color="auto" w:fill="FFFFFF"/>
        <w:kinsoku/>
        <w:wordWrap/>
        <w:overflowPunct/>
        <w:topLinePunct w:val="0"/>
        <w:autoSpaceDE/>
        <w:autoSpaceDN/>
        <w:bidi w:val="0"/>
        <w:adjustRightInd/>
        <w:snapToGrid/>
        <w:spacing w:line="700" w:lineRule="exact"/>
        <w:contextualSpacing/>
        <w:jc w:val="center"/>
        <w:textAlignment w:val="auto"/>
        <w:outlineLvl w:val="1"/>
        <w:rPr>
          <w:rFonts w:hint="eastAsia" w:ascii="Times New Roman" w:hAnsi="Times New Roman" w:eastAsia="经典行楷简" w:cs="Times New Roman"/>
          <w:color w:val="2E75B6" w:themeColor="accent1" w:themeShade="BF"/>
          <w:spacing w:val="0"/>
          <w:kern w:val="2"/>
          <w:sz w:val="52"/>
          <w:szCs w:val="5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line="700" w:lineRule="exact"/>
        <w:contextualSpacing/>
        <w:jc w:val="center"/>
        <w:textAlignment w:val="auto"/>
        <w:outlineLvl w:val="1"/>
        <w:rPr>
          <w:rFonts w:hint="eastAsia" w:ascii="Times New Roman" w:hAnsi="Times New Roman" w:eastAsia="经典行楷简" w:cs="Times New Roman"/>
          <w:color w:val="2E75B6" w:themeColor="accent1" w:themeShade="BF"/>
          <w:spacing w:val="0"/>
          <w:kern w:val="2"/>
          <w:sz w:val="52"/>
          <w:szCs w:val="52"/>
          <w:lang w:val="en-US" w:eastAsia="zh-CN" w:bidi="ar-SA"/>
        </w:rPr>
      </w:pPr>
      <w:r>
        <w:rPr>
          <w:rFonts w:hint="eastAsia" w:ascii="Times New Roman" w:hAnsi="Times New Roman" w:eastAsia="经典行楷简" w:cs="Times New Roman"/>
          <w:color w:val="2E75B6" w:themeColor="accent1" w:themeShade="BF"/>
          <w:spacing w:val="0"/>
          <w:kern w:val="2"/>
          <w:sz w:val="52"/>
          <w:szCs w:val="52"/>
          <w:lang w:val="en-US" w:eastAsia="zh-CN" w:bidi="ar-SA"/>
        </w:rPr>
        <w:t>省贸促会领导出席美中贸易全国委员会上海代表处活动</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646"/>
        <w:jc w:val="both"/>
        <w:textAlignment w:val="auto"/>
        <w:outlineLvl w:val="9"/>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4月25日，在美中贸易全国委员会成立五十周年、中美建交四十五周年之际，美中贸易全国委员会上海代表处举办乔迁仪式，开启了在华运营新篇章。活动现场，100余名中外嘉宾共同回顾委员会和中美多方密切合作的成果，提振美资企业在华营商信心。我会丛苏峰副会长应邀出席活动并与美方代表及美资企业高管互动交流。</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646"/>
        <w:jc w:val="both"/>
        <w:textAlignment w:val="auto"/>
        <w:outlineLvl w:val="9"/>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美中贸易全国委员会自1973年成立以来，一直是中美两国互利互惠商业关系的倡导者，积极发挥中美经贸合作桥梁作用，编织更多务实合作的纽带。</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646"/>
        <w:jc w:val="both"/>
        <w:textAlignment w:val="auto"/>
        <w:outlineLvl w:val="9"/>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国际联络部、跨采中心相关人员陪同参加。</w:t>
      </w:r>
      <w:r>
        <w:rPr>
          <w:rFonts w:hint="eastAsia" w:ascii="Times New Roman" w:hAnsi="Times New Roman" w:cstheme="minorEastAsia"/>
          <w:i w:val="0"/>
          <w:caps w:val="0"/>
          <w:color w:val="333333"/>
          <w:spacing w:val="0"/>
          <w:kern w:val="0"/>
          <w:sz w:val="32"/>
          <w:szCs w:val="32"/>
          <w:shd w:val="clear" w:fill="FFFFFF"/>
          <w:lang w:val="en-US" w:eastAsia="zh-CN" w:bidi="ar"/>
        </w:rPr>
        <w:t xml:space="preserve">  </w:t>
      </w:r>
      <w:r>
        <w:rPr>
          <w:rFonts w:hint="eastAsia" w:ascii="方正楷体_GBK" w:hAnsi="方正楷体_GBK" w:eastAsia="方正楷体_GBK" w:cs="方正楷体_GBK"/>
          <w:b/>
          <w:bCs/>
          <w:color w:val="FF0000"/>
          <w:spacing w:val="0"/>
          <w:kern w:val="2"/>
          <w:sz w:val="32"/>
          <w:szCs w:val="32"/>
          <w:lang w:val="en-US" w:eastAsia="zh-CN" w:bidi="ar-SA"/>
        </w:rPr>
        <w:t>（国际联络部）</w:t>
      </w:r>
    </w:p>
    <w:p>
      <w:pPr>
        <w:jc w:val="center"/>
        <w:rPr>
          <w:rFonts w:hint="eastAsia" w:ascii="Times New Roman" w:hAnsi="Times New Roman" w:eastAsia="经典行楷简" w:cs="Times New Roman"/>
          <w:color w:val="2E75B6" w:themeColor="accent1" w:themeShade="BF"/>
          <w:spacing w:val="0"/>
          <w:kern w:val="2"/>
          <w:sz w:val="52"/>
          <w:szCs w:val="52"/>
          <w:lang w:val="en-US" w:eastAsia="zh-CN" w:bidi="ar-SA"/>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outlineLvl w:val="9"/>
        <w:rPr>
          <w:rFonts w:hint="eastAsia" w:ascii="Times New Roman" w:hAnsi="Times New Roman" w:eastAsia="经典行楷简" w:cs="Times New Roman"/>
          <w:color w:val="2E75B6" w:themeColor="accent1" w:themeShade="BF"/>
          <w:spacing w:val="0"/>
          <w:kern w:val="2"/>
          <w:sz w:val="52"/>
          <w:szCs w:val="52"/>
          <w:lang w:val="en-US" w:eastAsia="zh-CN" w:bidi="ar-SA"/>
        </w:rPr>
      </w:pPr>
      <w:r>
        <w:rPr>
          <w:rFonts w:hint="eastAsia" w:ascii="Times New Roman" w:hAnsi="Times New Roman" w:eastAsia="经典行楷简" w:cs="Times New Roman"/>
          <w:color w:val="2E75B6" w:themeColor="accent1" w:themeShade="BF"/>
          <w:spacing w:val="0"/>
          <w:kern w:val="2"/>
          <w:sz w:val="52"/>
          <w:szCs w:val="52"/>
          <w:lang w:val="en-US" w:eastAsia="zh-CN" w:bidi="ar-SA"/>
        </w:rPr>
        <w:t>中国国际商会贸易促进中心领导</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outlineLvl w:val="9"/>
        <w:rPr>
          <w:rFonts w:hint="eastAsia" w:ascii="Times New Roman" w:hAnsi="Times New Roman" w:eastAsia="经典行楷简" w:cs="Times New Roman"/>
          <w:color w:val="2E75B6" w:themeColor="accent1" w:themeShade="BF"/>
          <w:spacing w:val="0"/>
          <w:kern w:val="2"/>
          <w:sz w:val="52"/>
          <w:szCs w:val="52"/>
          <w:lang w:val="en-US" w:eastAsia="zh-CN" w:bidi="ar-SA"/>
        </w:rPr>
      </w:pPr>
      <w:r>
        <w:rPr>
          <w:rFonts w:hint="eastAsia" w:ascii="Times New Roman" w:hAnsi="Times New Roman" w:eastAsia="经典行楷简" w:cs="Times New Roman"/>
          <w:color w:val="2E75B6" w:themeColor="accent1" w:themeShade="BF"/>
          <w:spacing w:val="0"/>
          <w:kern w:val="2"/>
          <w:sz w:val="52"/>
          <w:szCs w:val="52"/>
          <w:lang w:val="en-US" w:eastAsia="zh-CN" w:bidi="ar-SA"/>
        </w:rPr>
        <w:t>赴南通调研考察</w:t>
      </w:r>
    </w:p>
    <w:p>
      <w:pPr>
        <w:ind w:firstLine="608" w:firstLineChars="200"/>
        <w:jc w:val="left"/>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 xml:space="preserve">为深入了解南通市外贸发展情况，4月25日，中国国际商会贸易促进中心汲琳主任、产业发展处副处长睢洋一行来通调研考察。市商务局党组副书记、副局长、市贸促会（国际商会）会长左晓明陪同调研。 </w:t>
      </w:r>
    </w:p>
    <w:p>
      <w:pPr>
        <w:ind w:firstLine="608" w:firstLineChars="200"/>
        <w:jc w:val="left"/>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汲主任一行先后调研了瑞翔新材料、中天科技等我市重点先进制造型外贸企业，参观了南通开发区规划展示厅。公司负责人分别介绍了企业生产经营、进出口贸易情况以及当前行业走势、国际经贸形势对企业发展影响、下一步公司发展设想等，并与汲主任一行进行了深入交流。汲主任高度评价了我市和企业近年来高质量发展所取得的成就，并表示，中国国际商会将发挥职能优势，当好外经贸企业的娘家人，在出认证、商事法律、商标专利注册、国内外展会等涉外事项方面努力为企业和地方提供全方位、精准化服务。</w:t>
      </w:r>
    </w:p>
    <w:p>
      <w:pPr>
        <w:ind w:firstLine="608" w:firstLineChars="200"/>
        <w:jc w:val="left"/>
        <w:rPr>
          <w:rFonts w:hint="default" w:ascii="方正楷体_GBK" w:hAnsi="方正楷体_GBK" w:eastAsia="方正楷体_GBK" w:cs="方正楷体_GBK"/>
          <w:b/>
          <w:bCs/>
          <w:color w:val="FF0000"/>
          <w:spacing w:val="0"/>
          <w:kern w:val="2"/>
          <w:sz w:val="32"/>
          <w:szCs w:val="32"/>
          <w:lang w:val="en-US" w:eastAsia="zh-CN" w:bidi="ar-SA"/>
        </w:rPr>
      </w:pP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左会长提醒企业，要进一步增强合规意识，健全合规制度建设，确保在国际市场上行稳致远，努力为南通开放型经济发展多做贡献。</w:t>
      </w:r>
      <w:r>
        <w:rPr>
          <w:rFonts w:hint="eastAsia" w:ascii="Times New Roman" w:hAnsi="Times New Roman" w:cstheme="minorEastAsia"/>
          <w:i w:val="0"/>
          <w:caps w:val="0"/>
          <w:color w:val="333333"/>
          <w:spacing w:val="0"/>
          <w:kern w:val="0"/>
          <w:sz w:val="32"/>
          <w:szCs w:val="32"/>
          <w:shd w:val="clear" w:fill="FFFFFF"/>
          <w:lang w:val="en-US" w:eastAsia="zh-CN" w:bidi="ar"/>
        </w:rPr>
        <w:t xml:space="preserve">                                 </w:t>
      </w:r>
      <w:r>
        <w:rPr>
          <w:rFonts w:hint="eastAsia" w:ascii="方正楷体_GBK" w:hAnsi="方正楷体_GBK" w:eastAsia="方正楷体_GBK" w:cs="方正楷体_GBK"/>
          <w:b/>
          <w:bCs/>
          <w:color w:val="FF0000"/>
          <w:spacing w:val="0"/>
          <w:kern w:val="2"/>
          <w:sz w:val="32"/>
          <w:szCs w:val="32"/>
          <w:lang w:val="en-US" w:eastAsia="zh-CN" w:bidi="ar-SA"/>
        </w:rPr>
        <w:t>（南通市贸促会）</w:t>
      </w:r>
    </w:p>
    <w:p>
      <w:pPr>
        <w:keepNext w:val="0"/>
        <w:keepLines w:val="0"/>
        <w:pageBreakBefore w:val="0"/>
        <w:widowControl/>
        <w:shd w:val="clear" w:color="auto" w:fill="FFFFFF"/>
        <w:kinsoku/>
        <w:wordWrap/>
        <w:overflowPunct/>
        <w:topLinePunct w:val="0"/>
        <w:autoSpaceDE/>
        <w:autoSpaceDN/>
        <w:bidi w:val="0"/>
        <w:adjustRightInd/>
        <w:snapToGrid/>
        <w:spacing w:line="700" w:lineRule="exact"/>
        <w:contextualSpacing/>
        <w:jc w:val="center"/>
        <w:textAlignment w:val="auto"/>
        <w:outlineLvl w:val="1"/>
        <w:rPr>
          <w:rFonts w:hint="eastAsia" w:ascii="Times New Roman" w:hAnsi="Times New Roman" w:eastAsia="经典行楷简" w:cs="Times New Roman"/>
          <w:color w:val="2E75B6" w:themeColor="accent1" w:themeShade="BF"/>
          <w:spacing w:val="0"/>
          <w:kern w:val="2"/>
          <w:sz w:val="52"/>
          <w:szCs w:val="5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line="700" w:lineRule="exact"/>
        <w:contextualSpacing/>
        <w:jc w:val="center"/>
        <w:textAlignment w:val="auto"/>
        <w:outlineLvl w:val="1"/>
        <w:rPr>
          <w:rFonts w:hint="eastAsia" w:ascii="Times New Roman" w:hAnsi="Times New Roman" w:eastAsia="经典行楷简" w:cs="Times New Roman"/>
          <w:color w:val="2E75B6" w:themeColor="accent1" w:themeShade="BF"/>
          <w:spacing w:val="0"/>
          <w:kern w:val="2"/>
          <w:sz w:val="52"/>
          <w:szCs w:val="52"/>
          <w:lang w:val="en-US" w:eastAsia="zh-CN" w:bidi="ar-SA"/>
        </w:rPr>
      </w:pPr>
      <w:r>
        <w:rPr>
          <w:rFonts w:hint="eastAsia" w:ascii="Times New Roman" w:hAnsi="Times New Roman" w:eastAsia="经典行楷简" w:cs="Times New Roman"/>
          <w:color w:val="2E75B6" w:themeColor="accent1" w:themeShade="BF"/>
          <w:spacing w:val="0"/>
          <w:kern w:val="2"/>
          <w:sz w:val="52"/>
          <w:szCs w:val="52"/>
          <w:lang w:val="en-US" w:eastAsia="zh-CN" w:bidi="ar-SA"/>
        </w:rPr>
        <w:t>阿里淘工厂扬州优势产业</w:t>
      </w:r>
    </w:p>
    <w:p>
      <w:pPr>
        <w:keepNext w:val="0"/>
        <w:keepLines w:val="0"/>
        <w:pageBreakBefore w:val="0"/>
        <w:widowControl/>
        <w:shd w:val="clear" w:color="auto" w:fill="FFFFFF"/>
        <w:kinsoku/>
        <w:wordWrap/>
        <w:overflowPunct/>
        <w:topLinePunct w:val="0"/>
        <w:autoSpaceDE/>
        <w:autoSpaceDN/>
        <w:bidi w:val="0"/>
        <w:adjustRightInd/>
        <w:snapToGrid/>
        <w:spacing w:line="700" w:lineRule="exact"/>
        <w:contextualSpacing/>
        <w:jc w:val="center"/>
        <w:textAlignment w:val="auto"/>
        <w:outlineLvl w:val="1"/>
        <w:rPr>
          <w:rFonts w:hint="eastAsia" w:ascii="Times New Roman" w:hAnsi="Times New Roman" w:eastAsia="经典行楷简" w:cs="Times New Roman"/>
          <w:color w:val="2E75B6" w:themeColor="accent1" w:themeShade="BF"/>
          <w:spacing w:val="0"/>
          <w:kern w:val="2"/>
          <w:sz w:val="52"/>
          <w:szCs w:val="52"/>
          <w:lang w:val="en-US" w:eastAsia="zh-CN" w:bidi="ar-SA"/>
        </w:rPr>
      </w:pPr>
      <w:r>
        <w:rPr>
          <w:rFonts w:hint="eastAsia" w:ascii="Times New Roman" w:hAnsi="Times New Roman" w:eastAsia="经典行楷简" w:cs="Times New Roman"/>
          <w:color w:val="2E75B6" w:themeColor="accent1" w:themeShade="BF"/>
          <w:spacing w:val="0"/>
          <w:kern w:val="2"/>
          <w:sz w:val="52"/>
          <w:szCs w:val="52"/>
          <w:lang w:val="en-US" w:eastAsia="zh-CN" w:bidi="ar-SA"/>
        </w:rPr>
        <w:t>对接会成功举办</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firstLine="608" w:firstLineChars="200"/>
        <w:jc w:val="left"/>
        <w:textAlignment w:val="auto"/>
        <w:outlineLvl w:val="9"/>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4月23日，由江苏省电子商务协会、江苏省跨国采购促进中心共同主办，淘天集团、扬州市贸促会、扬州市国际商会承办的阿里淘工厂优势产业扬州对接活动在我市成功举办。扬州市贸促会副会长韩世来出席会议，省电子商务协会、省跨国采购促进中心、阿里淘天集团、扬州市国际商会相关负责人，扬州市涉及牙刷、毛绒玩具、床上用品、礼品等多个领域25家企业33名负责人参加了此次活动。</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firstLine="608" w:firstLineChars="200"/>
        <w:jc w:val="left"/>
        <w:textAlignment w:val="auto"/>
        <w:outlineLvl w:val="9"/>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会上,韩会长重点介绍了扬州产业的优势打造情况，以及企业借助成熟的电商平台定制营销思路和未来的电子商务策略,希望助力传统产业通过电商平台拓展销售渠道、提升产品和服务的供给质量，更好发挥电商稳增长促消费作用，为进一步推动产业带提质增效、区域实体经济发展探索更多可能。</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firstLine="608" w:firstLineChars="200"/>
        <w:jc w:val="left"/>
        <w:textAlignment w:val="auto"/>
        <w:outlineLvl w:val="9"/>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阿里淘工厂项目负责人楚楠、岩冰分别介绍了口腔行业趋势、重点招商项目等方面，指导大家如何注册入驻淘工厂，提升店铺销售产品的TOP以及引导扬州特色优势产业在线做全新的突破，多渠道、多种促销模式，打通各个环节，使电子商务体系能高效的运转。</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firstLine="608" w:firstLineChars="200"/>
        <w:jc w:val="left"/>
        <w:textAlignment w:val="auto"/>
        <w:outlineLvl w:val="9"/>
        <w:rPr>
          <w:rFonts w:hint="eastAsia" w:ascii="方正楷体_GBK" w:hAnsi="方正楷体_GBK" w:eastAsia="方正楷体_GBK" w:cs="方正楷体_GBK"/>
          <w:b/>
          <w:bCs/>
          <w:color w:val="FF0000"/>
          <w:spacing w:val="0"/>
          <w:kern w:val="2"/>
          <w:sz w:val="32"/>
          <w:szCs w:val="32"/>
          <w:lang w:val="en-US" w:eastAsia="zh-CN" w:bidi="ar-SA"/>
        </w:rPr>
      </w:pP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 xml:space="preserve">对接会现场互动频繁，气氛热烈，企业代表纷纷表示将依托对接会平台，进一步加强沟通交流，开展有效互动。本次活动取得预期效果。                   </w:t>
      </w:r>
      <w:r>
        <w:rPr>
          <w:rFonts w:hint="eastAsia" w:ascii="Times New Roman" w:hAnsi="Times New Roman" w:cstheme="minorEastAsia"/>
          <w:i w:val="0"/>
          <w:caps w:val="0"/>
          <w:color w:val="333333"/>
          <w:spacing w:val="0"/>
          <w:kern w:val="0"/>
          <w:sz w:val="32"/>
          <w:szCs w:val="32"/>
          <w:shd w:val="clear" w:fill="FFFFFF"/>
          <w:lang w:val="en-US" w:eastAsia="zh-CN" w:bidi="ar"/>
        </w:rPr>
        <w:t xml:space="preserve">            </w:t>
      </w: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 xml:space="preserve">  </w:t>
      </w:r>
      <w:r>
        <w:rPr>
          <w:rFonts w:hint="eastAsia" w:ascii="方正楷体_GBK" w:hAnsi="方正楷体_GBK" w:eastAsia="方正楷体_GBK" w:cs="方正楷体_GBK"/>
          <w:b/>
          <w:bCs/>
          <w:color w:val="FF0000"/>
          <w:spacing w:val="0"/>
          <w:kern w:val="2"/>
          <w:sz w:val="32"/>
          <w:szCs w:val="32"/>
          <w:lang w:val="en-US" w:eastAsia="zh-CN" w:bidi="ar-SA"/>
        </w:rPr>
        <w:t>（扬州市贸促会）</w:t>
      </w:r>
    </w:p>
    <w:p>
      <w:pPr>
        <w:jc w:val="center"/>
        <w:rPr>
          <w:rFonts w:hint="eastAsia" w:ascii="Times New Roman" w:hAnsi="Times New Roman" w:eastAsia="经典行楷简" w:cs="Times New Roman"/>
          <w:color w:val="2E75B6" w:themeColor="accent1" w:themeShade="BF"/>
          <w:spacing w:val="0"/>
          <w:kern w:val="2"/>
          <w:sz w:val="52"/>
          <w:szCs w:val="52"/>
          <w:lang w:val="en-US" w:eastAsia="zh-CN" w:bidi="ar-SA"/>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outlineLvl w:val="9"/>
        <w:rPr>
          <w:rFonts w:hint="eastAsia" w:ascii="Times New Roman" w:hAnsi="Times New Roman" w:eastAsia="经典行楷简" w:cs="Times New Roman"/>
          <w:color w:val="2E75B6" w:themeColor="accent1" w:themeShade="BF"/>
          <w:spacing w:val="0"/>
          <w:kern w:val="2"/>
          <w:sz w:val="52"/>
          <w:szCs w:val="52"/>
          <w:lang w:val="en-US" w:eastAsia="zh-CN" w:bidi="ar-SA"/>
        </w:rPr>
      </w:pPr>
      <w:r>
        <w:rPr>
          <w:rFonts w:hint="eastAsia" w:ascii="Times New Roman" w:hAnsi="Times New Roman" w:eastAsia="经典行楷简" w:cs="Times New Roman"/>
          <w:color w:val="2E75B6" w:themeColor="accent1" w:themeShade="BF"/>
          <w:spacing w:val="0"/>
          <w:kern w:val="2"/>
          <w:sz w:val="52"/>
          <w:szCs w:val="52"/>
          <w:lang w:val="en-US" w:eastAsia="zh-CN" w:bidi="ar-SA"/>
        </w:rPr>
        <w:t>昆山市首场企业贸易合规</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outlineLvl w:val="9"/>
        <w:rPr>
          <w:rFonts w:hint="eastAsia" w:ascii="Times New Roman" w:hAnsi="Times New Roman" w:eastAsia="经典行楷简" w:cs="Times New Roman"/>
          <w:color w:val="2E75B6" w:themeColor="accent1" w:themeShade="BF"/>
          <w:spacing w:val="0"/>
          <w:kern w:val="2"/>
          <w:sz w:val="52"/>
          <w:szCs w:val="52"/>
          <w:lang w:val="en-US" w:eastAsia="zh-CN" w:bidi="ar-SA"/>
        </w:rPr>
      </w:pPr>
      <w:r>
        <w:rPr>
          <w:rFonts w:hint="eastAsia" w:ascii="Times New Roman" w:hAnsi="Times New Roman" w:eastAsia="经典行楷简" w:cs="Times New Roman"/>
          <w:color w:val="2E75B6" w:themeColor="accent1" w:themeShade="BF"/>
          <w:spacing w:val="0"/>
          <w:kern w:val="2"/>
          <w:sz w:val="52"/>
          <w:szCs w:val="52"/>
          <w:lang w:val="en-US" w:eastAsia="zh-CN" w:bidi="ar-SA"/>
        </w:rPr>
        <w:t>业务交流活动成功举办</w:t>
      </w:r>
    </w:p>
    <w:p>
      <w:pPr>
        <w:ind w:firstLine="608" w:firstLineChars="200"/>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为助力企业建立和完善有效的贸易合规应对机制，提升企业风险防控和国际化经营能力，在江苏省贸促会的指导和支持下，4月24日下午，我市成功举办首场企业贸易合规业务交流活动。活动由市商务局和市贸促会共同举办、市司法局协办，市贸促会副会长张琴主持，市贸促会会长朱晓江、副会长李国海，市司法局副局长徐超出席，全市120余位企业和律师代表参加活动。朱会长在致辞中表示，此次活动旨在帮助企业在国际商贸规则变革中应对合规新形势、迎接合规新挑战，助力企业建立健全与国际通行规则相衔接的合规管理体系，提升国际竞争力。</w:t>
      </w:r>
    </w:p>
    <w:p>
      <w:pPr>
        <w:ind w:firstLine="608" w:firstLineChars="200"/>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徐局长表示，合规经营是现代企业管理的必由之路，市司法局创新打造了全省首家企业合规服务中心，致力于为企业合规建设提供全方位的法律服务，专业护航企业“走出去”。</w:t>
      </w:r>
    </w:p>
    <w:p>
      <w:pPr>
        <w:ind w:firstLine="608" w:firstLineChars="200"/>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活动现场，授课讲师安杰世泽律师事务所合伙人韦雪萍、立信中联会计师事务所合伙人赵泽、汇智集团南京机构合伙人王丰，为企业有效规避合规风险提供了高效、专业、务实的指导和建议，讲授了企业经营合规风险及防范措施，介绍了“走出去”企业常见税收问题和解决途径，讲解了国际贸易架构合规分析等七大商业应用场景评测，与会人员热情互动、收获满满。</w:t>
      </w:r>
    </w:p>
    <w:p>
      <w:pPr>
        <w:ind w:firstLine="608" w:firstLineChars="200"/>
        <w:rPr>
          <w:rFonts w:hint="eastAsia" w:ascii="方正楷体_GBK" w:hAnsi="方正楷体_GBK" w:eastAsia="方正楷体_GBK" w:cs="方正楷体_GBK"/>
          <w:b/>
          <w:bCs/>
          <w:color w:val="FF0000"/>
          <w:spacing w:val="0"/>
          <w:kern w:val="2"/>
          <w:sz w:val="32"/>
          <w:szCs w:val="32"/>
          <w:lang w:val="en-US" w:eastAsia="zh-CN" w:bidi="ar-SA"/>
        </w:rPr>
      </w:pP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 xml:space="preserve">下阶段，昆山市贸促会将进一步发挥职能优势，切实为企业开展对外贸易提供便利化、专业化、多元化的商事服务，助力昆山企业在国际化经营中行稳致远。      </w:t>
      </w:r>
      <w:r>
        <w:rPr>
          <w:rFonts w:hint="eastAsia" w:ascii="Times New Roman" w:hAnsi="Times New Roman" w:cstheme="minorEastAsia"/>
          <w:i w:val="0"/>
          <w:caps w:val="0"/>
          <w:color w:val="333333"/>
          <w:spacing w:val="0"/>
          <w:kern w:val="0"/>
          <w:sz w:val="32"/>
          <w:szCs w:val="32"/>
          <w:shd w:val="clear" w:fill="FFFFFF"/>
          <w:lang w:val="en-US" w:eastAsia="zh-CN" w:bidi="ar"/>
        </w:rPr>
        <w:t xml:space="preserve">     </w:t>
      </w:r>
      <w:r>
        <w:rPr>
          <w:rFonts w:hint="eastAsia" w:ascii="方正楷体_GBK" w:hAnsi="方正楷体_GBK" w:eastAsia="方正楷体_GBK" w:cs="方正楷体_GBK"/>
          <w:b/>
          <w:bCs/>
          <w:color w:val="FF0000"/>
          <w:spacing w:val="0"/>
          <w:kern w:val="2"/>
          <w:sz w:val="32"/>
          <w:szCs w:val="32"/>
          <w:lang w:val="en-US" w:eastAsia="zh-CN" w:bidi="ar-SA"/>
        </w:rPr>
        <w:t>（昆山市贸促会）</w:t>
      </w:r>
    </w:p>
    <w:p>
      <w:pPr>
        <w:rPr>
          <w:rFonts w:hint="default" w:ascii="Times New Roman" w:hAnsi="Times New Roman" w:eastAsia="经典行楷简" w:cs="Times New Roman"/>
          <w:b/>
          <w:color w:val="2E75B6" w:themeColor="accent1" w:themeShade="BF"/>
          <w:kern w:val="36"/>
          <w:sz w:val="96"/>
          <w:szCs w:val="96"/>
          <w:u w:val="none" w:color="BB120F"/>
          <w:lang w:val="en-US" w:eastAsia="zh-CN"/>
        </w:rPr>
      </w:pPr>
      <w:r>
        <w:rPr>
          <w:rFonts w:hint="default" w:ascii="Times New Roman" w:hAnsi="Times New Roman" w:eastAsia="经典行楷简" w:cs="Times New Roman"/>
          <w:b/>
          <w:color w:val="2E75B6" w:themeColor="accent1" w:themeShade="BF"/>
          <w:kern w:val="36"/>
          <w:sz w:val="96"/>
          <w:szCs w:val="96"/>
          <w:u w:val="none" w:color="BB120F"/>
          <w:lang w:val="en-US" w:eastAsia="zh-CN"/>
        </w:rPr>
        <w:br w:type="page"/>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b/>
          <w:color w:val="2E75B6" w:themeColor="accent1" w:themeShade="BF"/>
          <w:kern w:val="36"/>
          <w:sz w:val="96"/>
          <w:szCs w:val="96"/>
          <w:u w:val="none" w:color="BB120F"/>
          <w:lang w:val="en-US" w:eastAsia="zh-CN"/>
        </w:rPr>
      </w:pPr>
      <w:r>
        <w:rPr>
          <w:rFonts w:hint="default" w:ascii="Times New Roman" w:hAnsi="Times New Roman" w:eastAsia="经典行楷简" w:cs="Times New Roman"/>
          <w:b/>
          <w:color w:val="2E75B6" w:themeColor="accent1" w:themeShade="BF"/>
          <w:kern w:val="36"/>
          <w:sz w:val="96"/>
          <w:szCs w:val="96"/>
          <w:u w:val="none" w:color="BB120F"/>
          <w:lang w:val="en-US" w:eastAsia="zh-CN"/>
        </w:rPr>
        <w:t>会员企业风采</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700" w:lineRule="exact"/>
        <w:contextualSpacing/>
        <w:jc w:val="center"/>
        <w:textAlignment w:val="auto"/>
        <w:outlineLvl w:val="1"/>
        <w:rPr>
          <w:rFonts w:hint="eastAsia" w:ascii="Times New Roman" w:hAnsi="Times New Roman" w:eastAsia="华文新魏" w:cs="Times New Roman"/>
          <w:b/>
          <w:color w:val="FF0000"/>
          <w:spacing w:val="28"/>
          <w:kern w:val="36"/>
          <w:sz w:val="52"/>
          <w:szCs w:val="52"/>
          <w:lang w:val="en-US" w:eastAsia="zh-CN"/>
        </w:rPr>
      </w:pPr>
      <w:r>
        <w:rPr>
          <w:rFonts w:hint="eastAsia" w:ascii="Times New Roman" w:hAnsi="Times New Roman" w:eastAsia="华文新魏" w:cs="Times New Roman"/>
          <w:b/>
          <w:color w:val="FF0000"/>
          <w:spacing w:val="28"/>
          <w:kern w:val="36"/>
          <w:sz w:val="52"/>
          <w:szCs w:val="52"/>
          <w:lang w:val="en-US" w:eastAsia="zh-CN"/>
        </w:rPr>
        <w:t xml:space="preserve">《创新世界周刊》刊发江苏悦达集团党委书记、董事长张乃文的署名文章：加快建设绿色甲醇认证标准体系 </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outlineLvl w:val="9"/>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heme="minorEastAsia" w:hAnsiTheme="minorEastAsia" w:eastAsiaTheme="minorEastAsia" w:cstheme="minorEastAsia"/>
          <w:i w:val="0"/>
          <w:caps w:val="0"/>
          <w:color w:val="000000"/>
          <w:spacing w:val="0"/>
          <w:sz w:val="32"/>
          <w:szCs w:val="32"/>
          <w:lang w:val="en-US" w:eastAsia="zh-CN"/>
        </w:rPr>
        <w:t>“要推动我国绿色甲醇产业健康发展，并实现稳健的国际贸易合作，构建一套既符合国情又接轨国际的绿色甲醇认证标准体系显得尤为重要。”在2024年全国两会上，全国人大代表、我会副会长单位——江苏悦达集团有限公司党委书记、董事长张乃文提出建议。</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outlineLvl w:val="9"/>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heme="minorEastAsia" w:hAnsiTheme="minorEastAsia" w:eastAsiaTheme="minorEastAsia" w:cstheme="minorEastAsia"/>
          <w:b/>
          <w:bCs/>
          <w:i w:val="0"/>
          <w:caps w:val="0"/>
          <w:color w:val="000000"/>
          <w:spacing w:val="0"/>
          <w:sz w:val="32"/>
          <w:szCs w:val="32"/>
          <w:lang w:val="en-US" w:eastAsia="zh-CN"/>
        </w:rPr>
        <w:t>绿色甲醇产业实现高质量发展的需要</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outlineLvl w:val="9"/>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heme="minorEastAsia" w:hAnsiTheme="minorEastAsia" w:eastAsiaTheme="minorEastAsia" w:cstheme="minorEastAsia"/>
          <w:i w:val="0"/>
          <w:caps w:val="0"/>
          <w:color w:val="000000"/>
          <w:spacing w:val="0"/>
          <w:sz w:val="32"/>
          <w:szCs w:val="32"/>
          <w:lang w:val="en-US" w:eastAsia="zh-CN"/>
        </w:rPr>
        <w:t>随着国际海事组织通过《2023年船舶温室气体减排战略》，以及欧盟将航运业纳入碳排放交易体系等一系列国际政策的发布，绿色甲醇已成为航运业脱碳的核心选择。</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outlineLvl w:val="9"/>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heme="minorEastAsia" w:hAnsiTheme="minorEastAsia" w:eastAsiaTheme="minorEastAsia" w:cstheme="minorEastAsia"/>
          <w:i w:val="0"/>
          <w:caps w:val="0"/>
          <w:color w:val="000000"/>
          <w:spacing w:val="0"/>
          <w:sz w:val="32"/>
          <w:szCs w:val="32"/>
          <w:lang w:val="en-US" w:eastAsia="zh-CN"/>
        </w:rPr>
        <w:t>同时，以马士基为主的国际航运巨头纷纷实施燃料绿色化战略部署，甲醇燃料动力船舶成为替代燃料动力船舶的主流，极大地推动了绿色甲醇的需求与发展。</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outlineLvl w:val="9"/>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heme="minorEastAsia" w:hAnsiTheme="minorEastAsia" w:eastAsiaTheme="minorEastAsia" w:cstheme="minorEastAsia"/>
          <w:i w:val="0"/>
          <w:caps w:val="0"/>
          <w:color w:val="000000"/>
          <w:spacing w:val="0"/>
          <w:sz w:val="32"/>
          <w:szCs w:val="32"/>
          <w:lang w:val="en-US" w:eastAsia="zh-CN"/>
        </w:rPr>
        <w:t>据国际可再生能源署预测，到2050年，全球甲醇产量将达到5亿吨，其中绿色甲醇（含生物甲醇）达3.85亿吨，绿色甲醇行业市场前景广阔。</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outlineLvl w:val="9"/>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heme="minorEastAsia" w:hAnsiTheme="minorEastAsia" w:eastAsiaTheme="minorEastAsia" w:cstheme="minorEastAsia"/>
          <w:i w:val="0"/>
          <w:caps w:val="0"/>
          <w:color w:val="000000"/>
          <w:spacing w:val="0"/>
          <w:sz w:val="32"/>
          <w:szCs w:val="32"/>
          <w:lang w:val="en-US" w:eastAsia="zh-CN"/>
        </w:rPr>
        <w:t>近年来，为了与国际形势接轨，我国也在甲醇航运业多有布局，开启了以绿色甲醇为核心的航运业绿色转型崭新篇章。</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outlineLvl w:val="9"/>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heme="minorEastAsia" w:hAnsiTheme="minorEastAsia" w:eastAsiaTheme="minorEastAsia" w:cstheme="minorEastAsia"/>
          <w:i w:val="0"/>
          <w:caps w:val="0"/>
          <w:color w:val="000000"/>
          <w:spacing w:val="0"/>
          <w:sz w:val="32"/>
          <w:szCs w:val="32"/>
          <w:lang w:val="en-US" w:eastAsia="zh-CN"/>
        </w:rPr>
        <w:t>值得注意的是，我国甲醇产能虽排名世界第一，但仍是以煤制甲醇为主，绿色甲醇产能占比极低。同时，我国绿电资源和生物质资源禀赋得天独厚，绿电制绿氢并耦合CO2制绿色甲醇不仅能解决波动性绿电的规模化消纳问题，还能实现CO2的额外消纳；生物质废弃物制备绿色甲醇，不仅能实现废弃物的资源化利用，还能降低环境污染。</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outlineLvl w:val="9"/>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heme="minorEastAsia" w:hAnsiTheme="minorEastAsia" w:eastAsiaTheme="minorEastAsia" w:cstheme="minorEastAsia"/>
          <w:i w:val="0"/>
          <w:caps w:val="0"/>
          <w:color w:val="000000"/>
          <w:spacing w:val="0"/>
          <w:sz w:val="32"/>
          <w:szCs w:val="32"/>
          <w:lang w:val="en-US" w:eastAsia="zh-CN"/>
        </w:rPr>
        <w:t>对此，我国先后出台了一系列支持绿色甲醇产业发展的政策。</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outlineLvl w:val="9"/>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heme="minorEastAsia" w:hAnsiTheme="minorEastAsia" w:eastAsiaTheme="minorEastAsia" w:cstheme="minorEastAsia"/>
          <w:i w:val="0"/>
          <w:caps w:val="0"/>
          <w:color w:val="000000"/>
          <w:spacing w:val="0"/>
          <w:sz w:val="32"/>
          <w:szCs w:val="32"/>
          <w:lang w:val="en-US" w:eastAsia="zh-CN"/>
        </w:rPr>
        <w:t>2023年底，国家发展改革委将“CO2催化合成绿色甲醇”列入《产业结构调整指导目录（2024年本）》，为绿色甲醇生产及利用指明了方向。</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outlineLvl w:val="9"/>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heme="minorEastAsia" w:hAnsiTheme="minorEastAsia" w:eastAsiaTheme="minorEastAsia" w:cstheme="minorEastAsia"/>
          <w:i w:val="0"/>
          <w:caps w:val="0"/>
          <w:color w:val="000000"/>
          <w:spacing w:val="0"/>
          <w:sz w:val="32"/>
          <w:szCs w:val="32"/>
          <w:lang w:val="en-US" w:eastAsia="zh-CN"/>
        </w:rPr>
        <w:t>总的来说，绿色甲醇项目有利于我国将自然资源优势有效转变为可持续高质量发展的战略新兴产业优势，且随着未来我国生产技术的进步和规模化生产的推进、绿电成本的不断减低、碳交易机制的不断完善，以及碳税补贴的稳步落实，我国绿色甲醇产业将体现出极大的成本优势和竞争力。</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outlineLvl w:val="9"/>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heme="minorEastAsia" w:hAnsiTheme="minorEastAsia" w:eastAsiaTheme="minorEastAsia" w:cstheme="minorEastAsia"/>
          <w:i w:val="0"/>
          <w:caps w:val="0"/>
          <w:color w:val="000000"/>
          <w:spacing w:val="0"/>
          <w:sz w:val="32"/>
          <w:szCs w:val="32"/>
          <w:lang w:val="en-US" w:eastAsia="zh-CN"/>
        </w:rPr>
        <w:t>当前，我国已有多家企业正在积极开拓绿色甲醇产业链。其中，悦达集团立足盐城丰富的可再生资源要素和建设绿色低碳发展示范区的政策基础，正着力将绿色甲醇作为绿氢产业实现高质量发展的关键和打造绿色之城的切入点和支撑点。</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outlineLvl w:val="9"/>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heme="minorEastAsia" w:hAnsiTheme="minorEastAsia" w:eastAsiaTheme="minorEastAsia" w:cstheme="minorEastAsia"/>
          <w:i w:val="0"/>
          <w:caps w:val="0"/>
          <w:color w:val="000000"/>
          <w:spacing w:val="0"/>
          <w:sz w:val="32"/>
          <w:szCs w:val="32"/>
          <w:lang w:val="en-US" w:eastAsia="zh-CN"/>
        </w:rPr>
        <w:t>不过令人忧心的是，国际市场上绿色甲醇认证标准认可度比较高的是国际可持续发展和碳认证（ISCC）体系，而我国绿色甲醇产业处于发展初期阶段，缺乏统一、清晰、成熟的绿色甲醇认证标准体系，对绿色甲醇的定义还没有明确的边界。这在很大程度上限制了我国与国际绿色甲醇行业的接轨。</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outlineLvl w:val="9"/>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heme="minorEastAsia" w:hAnsiTheme="minorEastAsia" w:eastAsiaTheme="minorEastAsia" w:cstheme="minorEastAsia"/>
          <w:i w:val="0"/>
          <w:caps w:val="0"/>
          <w:color w:val="000000"/>
          <w:spacing w:val="0"/>
          <w:sz w:val="32"/>
          <w:szCs w:val="32"/>
          <w:lang w:val="en-US" w:eastAsia="zh-CN"/>
        </w:rPr>
        <w:t>因此，要推动我国绿色甲醇产业健康发展，并实现稳健的国际贸易合作，构建一套既符合国情又接轨国际的绿色甲醇认证标准体系显得尤为重要。</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outlineLvl w:val="9"/>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heme="minorEastAsia" w:hAnsiTheme="minorEastAsia" w:eastAsiaTheme="minorEastAsia" w:cstheme="minorEastAsia"/>
          <w:b/>
          <w:bCs/>
          <w:i w:val="0"/>
          <w:caps w:val="0"/>
          <w:color w:val="000000"/>
          <w:spacing w:val="0"/>
          <w:sz w:val="32"/>
          <w:szCs w:val="32"/>
          <w:lang w:val="en-US" w:eastAsia="zh-CN"/>
        </w:rPr>
        <w:t>从六个方面推进国家级标准体系建设</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outlineLvl w:val="9"/>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heme="minorEastAsia" w:hAnsiTheme="minorEastAsia" w:eastAsiaTheme="minorEastAsia" w:cstheme="minorEastAsia"/>
          <w:i w:val="0"/>
          <w:caps w:val="0"/>
          <w:color w:val="000000"/>
          <w:spacing w:val="0"/>
          <w:sz w:val="32"/>
          <w:szCs w:val="32"/>
          <w:lang w:val="en-US" w:eastAsia="zh-CN"/>
        </w:rPr>
        <w:t>如何推进我国绿色甲醇认证标准体系的建设？建议由工业和信息化部、生态环境部等政府部门共同牵头，组建生物质能、化学化工、环境科学、能源经济等领域的专家团队（包括行业权威企业及科研机构人员），由国务院标准化行政主管部门（国家标准化管理委员会）、中国产业发展促进会等相关权威机构负责协调标准化工作，共同推进国家级绿色甲醇认证标准体系建设。</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outlineLvl w:val="9"/>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heme="minorEastAsia" w:hAnsiTheme="minorEastAsia" w:eastAsiaTheme="minorEastAsia" w:cstheme="minorEastAsia"/>
          <w:i w:val="0"/>
          <w:caps w:val="0"/>
          <w:color w:val="000000"/>
          <w:spacing w:val="0"/>
          <w:sz w:val="32"/>
          <w:szCs w:val="32"/>
          <w:lang w:val="en-US" w:eastAsia="zh-CN"/>
        </w:rPr>
        <w:t>具体来说，可从以下六个方面着手：</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outlineLvl w:val="9"/>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heme="minorEastAsia" w:hAnsiTheme="minorEastAsia" w:eastAsiaTheme="minorEastAsia" w:cstheme="minorEastAsia"/>
          <w:i w:val="0"/>
          <w:caps w:val="0"/>
          <w:color w:val="000000"/>
          <w:spacing w:val="0"/>
          <w:sz w:val="32"/>
          <w:szCs w:val="32"/>
          <w:lang w:val="en-US" w:eastAsia="zh-CN"/>
        </w:rPr>
        <w:t>一是跟踪了解国际上（重点是欧盟）绿色甲醇相关标准和指导文件，分析比较不同国家和地区的绿色甲醇定义、技术指标、生命周期评估方法等。</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outlineLvl w:val="9"/>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heme="minorEastAsia" w:hAnsiTheme="minorEastAsia" w:eastAsiaTheme="minorEastAsia" w:cstheme="minorEastAsia"/>
          <w:i w:val="0"/>
          <w:caps w:val="0"/>
          <w:color w:val="000000"/>
          <w:spacing w:val="0"/>
          <w:sz w:val="32"/>
          <w:szCs w:val="32"/>
          <w:lang w:val="en-US" w:eastAsia="zh-CN"/>
        </w:rPr>
        <w:t>二是根据国内外研究成果和实践经验，确定我国绿色甲醇的定义边界，明确全生命周期内不同阶段（包括原料获取、生产、运输、使用及废弃阶段）的能源消耗、温室气体排放要求以及环保性能指标，并构建相应的评价体系。</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outlineLvl w:val="9"/>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heme="minorEastAsia" w:hAnsiTheme="minorEastAsia" w:eastAsiaTheme="minorEastAsia" w:cstheme="minorEastAsia"/>
          <w:i w:val="0"/>
          <w:caps w:val="0"/>
          <w:color w:val="000000"/>
          <w:spacing w:val="0"/>
          <w:sz w:val="32"/>
          <w:szCs w:val="32"/>
          <w:lang w:val="en-US" w:eastAsia="zh-CN"/>
        </w:rPr>
        <w:t>三是专家团队组织制定绿色甲醇团体或国家标准，明确具体的技术参数、测试方法、认证流程等，并建立严谨的质量管理体系。</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outlineLvl w:val="9"/>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heme="minorEastAsia" w:hAnsiTheme="minorEastAsia" w:eastAsiaTheme="minorEastAsia" w:cstheme="minorEastAsia"/>
          <w:i w:val="0"/>
          <w:caps w:val="0"/>
          <w:color w:val="000000"/>
          <w:spacing w:val="0"/>
          <w:sz w:val="32"/>
          <w:szCs w:val="32"/>
          <w:lang w:val="en-US" w:eastAsia="zh-CN"/>
        </w:rPr>
        <w:t>四是建立第三方认证机制，加强对绿色甲醇认证市场的监管，同步推进与国际认证机构的合作，推动国内外绿色甲醇认证标准互认，并制定相应的政策措施，鼓励企业生产和使用符合绿色甲醇认证标准的产品。</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outlineLvl w:val="9"/>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heme="minorEastAsia" w:hAnsiTheme="minorEastAsia" w:eastAsiaTheme="minorEastAsia" w:cstheme="minorEastAsia"/>
          <w:i w:val="0"/>
          <w:caps w:val="0"/>
          <w:color w:val="000000"/>
          <w:spacing w:val="0"/>
          <w:sz w:val="32"/>
          <w:szCs w:val="32"/>
          <w:lang w:val="en-US" w:eastAsia="zh-CN"/>
        </w:rPr>
        <w:t>五是加强对绿色甲醇认证标准的宣传，通过开展培训活动，提高公众对绿色甲醇认证标准体系的认知度和参与度。</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outlineLvl w:val="9"/>
        <w:rPr>
          <w:rFonts w:hint="eastAsia" w:asciiTheme="minorEastAsia" w:hAnsiTheme="minorEastAsia" w:eastAsiaTheme="minorEastAsia" w:cstheme="minorEastAsia"/>
          <w:b w:val="0"/>
          <w:bCs/>
          <w:kern w:val="0"/>
          <w:sz w:val="32"/>
          <w:szCs w:val="32"/>
          <w:lang w:val="en-US" w:eastAsia="zh-CN" w:bidi="ar-SA"/>
        </w:rPr>
      </w:pPr>
      <w:r>
        <w:rPr>
          <w:rFonts w:hint="eastAsia" w:asciiTheme="minorEastAsia" w:hAnsiTheme="minorEastAsia" w:eastAsiaTheme="minorEastAsia" w:cstheme="minorEastAsia"/>
          <w:i w:val="0"/>
          <w:caps w:val="0"/>
          <w:color w:val="000000"/>
          <w:spacing w:val="0"/>
          <w:sz w:val="32"/>
          <w:szCs w:val="32"/>
          <w:lang w:val="en-US" w:eastAsia="zh-CN"/>
        </w:rPr>
        <w:t>六是及时跟踪国内外产业动态，根据技术进步、政策调整和市场需求变化，适时修订完善认证标准，在确保与国际接轨的前提下，鼓励并推广更先进的绿色甲醇生产技术。</w:t>
      </w:r>
    </w:p>
    <w:p>
      <w:pPr>
        <w:spacing w:line="440" w:lineRule="exact"/>
        <w:ind w:firstLine="608" w:firstLineChars="200"/>
        <w:jc w:val="right"/>
        <w:rPr>
          <w:rFonts w:hint="eastAsia" w:ascii="Times New Roman" w:hAnsi="Times New Roman" w:eastAsia="方正楷体_GBK" w:cs="Times New Roman"/>
          <w:bCs/>
          <w:sz w:val="32"/>
          <w:szCs w:val="32"/>
          <w:lang w:val="en-US" w:eastAsia="zh-CN"/>
        </w:rPr>
      </w:pPr>
      <w:r>
        <w:rPr>
          <w:rFonts w:hint="default" w:ascii="方正楷体_GBK" w:hAnsi="方正楷体_GBK" w:eastAsia="方正楷体_GBK" w:cs="方正楷体_GBK"/>
          <w:b/>
          <w:bCs/>
          <w:color w:val="FF0000"/>
          <w:sz w:val="32"/>
          <w:szCs w:val="32"/>
          <w:lang w:val="en-US" w:eastAsia="zh-CN"/>
        </w:rPr>
        <w:t>（来源：悦达集团官网）</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700" w:lineRule="exact"/>
        <w:contextualSpacing/>
        <w:jc w:val="center"/>
        <w:textAlignment w:val="auto"/>
        <w:outlineLvl w:val="1"/>
        <w:rPr>
          <w:rFonts w:hint="eastAsia" w:ascii="Times New Roman" w:hAnsi="Times New Roman" w:eastAsia="华文新魏" w:cs="Times New Roman"/>
          <w:b/>
          <w:color w:val="FF0000"/>
          <w:spacing w:val="28"/>
          <w:kern w:val="36"/>
          <w:sz w:val="52"/>
          <w:szCs w:val="52"/>
          <w:lang w:val="en-US" w:eastAsia="zh-CN"/>
        </w:rPr>
      </w:pPr>
    </w:p>
    <w:p>
      <w:pPr>
        <w:rPr>
          <w:rFonts w:hint="eastAsia" w:ascii="Times New Roman" w:hAnsi="Times New Roman" w:eastAsia="华文新魏" w:cs="Times New Roman"/>
          <w:b/>
          <w:color w:val="FF0000"/>
          <w:spacing w:val="28"/>
          <w:kern w:val="36"/>
          <w:sz w:val="52"/>
          <w:szCs w:val="52"/>
          <w:lang w:val="en-US" w:eastAsia="zh-CN"/>
        </w:rPr>
      </w:pPr>
      <w:r>
        <w:rPr>
          <w:rFonts w:hint="eastAsia" w:ascii="Times New Roman" w:hAnsi="Times New Roman" w:eastAsia="华文新魏" w:cs="Times New Roman"/>
          <w:b/>
          <w:color w:val="FF0000"/>
          <w:spacing w:val="28"/>
          <w:kern w:val="36"/>
          <w:sz w:val="52"/>
          <w:szCs w:val="52"/>
          <w:lang w:val="en-US" w:eastAsia="zh-CN"/>
        </w:rPr>
        <w:br w:type="page"/>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700" w:lineRule="exact"/>
        <w:contextualSpacing/>
        <w:jc w:val="center"/>
        <w:textAlignment w:val="auto"/>
        <w:outlineLvl w:val="1"/>
        <w:rPr>
          <w:rFonts w:hint="eastAsia" w:ascii="Times New Roman" w:hAnsi="Times New Roman" w:eastAsia="华文新魏" w:cs="Times New Roman"/>
          <w:b/>
          <w:color w:val="FF0000"/>
          <w:spacing w:val="28"/>
          <w:kern w:val="36"/>
          <w:sz w:val="52"/>
          <w:szCs w:val="52"/>
          <w:lang w:val="en-US" w:eastAsia="zh-CN"/>
        </w:rPr>
      </w:pPr>
      <w:r>
        <w:rPr>
          <w:rFonts w:hint="eastAsia" w:ascii="Times New Roman" w:hAnsi="Times New Roman" w:eastAsia="华文新魏" w:cs="Times New Roman"/>
          <w:b/>
          <w:color w:val="FF0000"/>
          <w:spacing w:val="28"/>
          <w:kern w:val="36"/>
          <w:sz w:val="52"/>
          <w:szCs w:val="52"/>
          <w:lang w:val="en-US" w:eastAsia="zh-CN"/>
        </w:rPr>
        <w:t>镔钢集团荣获“2024年长三角优特钢行业最具潜力生产企业”殊荣</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heme="minorEastAsia" w:hAnsiTheme="minorEastAsia" w:eastAsiaTheme="minorEastAsia" w:cstheme="minorEastAsia"/>
          <w:i w:val="0"/>
          <w:caps w:val="0"/>
          <w:color w:val="000000"/>
          <w:spacing w:val="0"/>
          <w:sz w:val="32"/>
          <w:szCs w:val="32"/>
          <w:lang w:val="en-US" w:eastAsia="zh-CN"/>
        </w:rPr>
        <w:t>近日，“2024钢铁中国·第一届长三角优特钢产业链大会”在江阴顺利召开。我会副会长单位——江苏省镔鑫钢铁集团有限公司应邀参加会议。</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heme="minorEastAsia" w:hAnsiTheme="minorEastAsia" w:eastAsiaTheme="minorEastAsia" w:cstheme="minorEastAsia"/>
          <w:i w:val="0"/>
          <w:caps w:val="0"/>
          <w:color w:val="000000"/>
          <w:spacing w:val="0"/>
          <w:sz w:val="32"/>
          <w:szCs w:val="32"/>
          <w:lang w:val="en-US" w:eastAsia="zh-CN"/>
        </w:rPr>
        <w:t>此次分别从供给端、需求端、价格端、成本端、利润端、外贸端等方面回顾分析了2023年国内钢铁行业运行情况、2024年钢铁行业运行特点及发展方向，提出特纲产业的发展路径与重点发展产品。会上，镔钢集团获评“2024年长三角优特钢行业最具潜力生产企业”。</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outlineLvl w:val="9"/>
        <w:rPr>
          <w:rFonts w:hint="eastAsia" w:ascii="Times New Roman" w:hAnsi="Times New Roman" w:eastAsia="华文新魏" w:cs="Times New Roman"/>
          <w:b/>
          <w:color w:val="FF0000"/>
          <w:spacing w:val="28"/>
          <w:kern w:val="36"/>
          <w:sz w:val="52"/>
          <w:szCs w:val="52"/>
          <w:lang w:val="en-US" w:eastAsia="zh-CN"/>
        </w:rPr>
      </w:pPr>
      <w:r>
        <w:rPr>
          <w:rFonts w:hint="eastAsia" w:asciiTheme="minorEastAsia" w:hAnsiTheme="minorEastAsia" w:eastAsiaTheme="minorEastAsia" w:cstheme="minorEastAsia"/>
          <w:i w:val="0"/>
          <w:caps w:val="0"/>
          <w:color w:val="000000"/>
          <w:spacing w:val="0"/>
          <w:sz w:val="32"/>
          <w:szCs w:val="32"/>
          <w:lang w:val="en-US" w:eastAsia="zh-CN"/>
        </w:rPr>
        <w:t>当前，镔钢集团正紧扣时代脉搏，积极响应国家号召，不断做深、做长产业链，大力推动公司产品结构转型升级，提高公司品牌效应及产品可持续发展能力。在这个变革的时刻，镔钢集团将持续思变、不断创新，与发展同频共振，力争在激烈的市场竞争中脱颖而出，打开高质量发展的新局面。</w:t>
      </w:r>
      <w:r>
        <w:rPr>
          <w:rFonts w:hint="default" w:ascii="方正楷体_GBK" w:hAnsi="方正楷体_GBK" w:eastAsia="方正楷体_GBK" w:cs="方正楷体_GBK"/>
          <w:b/>
          <w:bCs/>
          <w:color w:val="FF0000"/>
          <w:sz w:val="32"/>
          <w:szCs w:val="32"/>
          <w:lang w:val="en-US" w:eastAsia="zh-CN"/>
        </w:rPr>
        <w:t>（来源：镔钢集团微信公众号）</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Times New Roman" w:hAnsi="Times New Roman" w:eastAsia="华文新魏" w:cs="Times New Roman"/>
          <w:b/>
          <w:color w:val="FF0000"/>
          <w:spacing w:val="28"/>
          <w:kern w:val="36"/>
          <w:sz w:val="52"/>
          <w:szCs w:val="5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Times New Roman" w:hAnsi="Times New Roman" w:eastAsia="华文新魏" w:cs="Times New Roman"/>
          <w:b/>
          <w:color w:val="FF0000"/>
          <w:spacing w:val="28"/>
          <w:kern w:val="36"/>
          <w:sz w:val="52"/>
          <w:szCs w:val="5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Times New Roman" w:hAnsi="Times New Roman" w:eastAsia="华文新魏" w:cs="Times New Roman"/>
          <w:b/>
          <w:color w:val="FF0000"/>
          <w:spacing w:val="28"/>
          <w:kern w:val="36"/>
          <w:sz w:val="52"/>
          <w:szCs w:val="5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Times New Roman" w:hAnsi="Times New Roman" w:eastAsia="华文新魏" w:cs="Times New Roman"/>
          <w:b/>
          <w:color w:val="FF0000"/>
          <w:spacing w:val="28"/>
          <w:kern w:val="36"/>
          <w:sz w:val="52"/>
          <w:szCs w:val="5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Times New Roman" w:hAnsi="Times New Roman" w:eastAsia="华文新魏" w:cs="Times New Roman"/>
          <w:b/>
          <w:color w:val="FF0000"/>
          <w:spacing w:val="28"/>
          <w:kern w:val="36"/>
          <w:sz w:val="52"/>
          <w:szCs w:val="52"/>
          <w:lang w:val="en-US" w:eastAsia="zh-CN"/>
        </w:rPr>
      </w:pPr>
      <w:r>
        <w:rPr>
          <w:rFonts w:hint="eastAsia" w:ascii="Times New Roman" w:hAnsi="Times New Roman" w:eastAsia="华文新魏" w:cs="Times New Roman"/>
          <w:b/>
          <w:color w:val="FF0000"/>
          <w:spacing w:val="28"/>
          <w:kern w:val="36"/>
          <w:sz w:val="52"/>
          <w:szCs w:val="52"/>
          <w:lang w:val="en-US" w:eastAsia="zh-CN"/>
        </w:rPr>
        <w:t>瑞祥全球购超市有限公司入选2023年度江苏省‘正版正货’企业</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outlineLvl w:val="9"/>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heme="minorEastAsia" w:hAnsiTheme="minorEastAsia" w:eastAsiaTheme="minorEastAsia" w:cstheme="minorEastAsia"/>
          <w:i w:val="0"/>
          <w:caps w:val="0"/>
          <w:color w:val="000000"/>
          <w:spacing w:val="0"/>
          <w:sz w:val="32"/>
          <w:szCs w:val="32"/>
          <w:lang w:val="en-US" w:eastAsia="zh-CN"/>
        </w:rPr>
        <w:t>近日，《2023年度江苏省“正版正货”承诺企业名单》公布，我会理事单位——瑞祥全球购超市有限公司成功上榜，该荣誉的获得不仅是瑞祥在知识产权保护方面的重要成果，也充分展现了其在诚信经营、推动行业健康发展方面的坚定决心和积极贡献。</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outlineLvl w:val="9"/>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heme="minorEastAsia" w:hAnsiTheme="minorEastAsia" w:eastAsiaTheme="minorEastAsia" w:cstheme="minorEastAsia"/>
          <w:i w:val="0"/>
          <w:caps w:val="0"/>
          <w:color w:val="000000"/>
          <w:spacing w:val="0"/>
          <w:sz w:val="32"/>
          <w:szCs w:val="32"/>
          <w:lang w:val="en-US" w:eastAsia="zh-CN"/>
        </w:rPr>
        <w:t>多年来，瑞祥全球购超市有限公司始终坚持把企业诚信经营、保护知识产权视为经营管理过程中的重点工作之一，公司完善管理制度，不断强化诚信意识，建立健全企业信用管理机制。</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outlineLvl w:val="9"/>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heme="minorEastAsia" w:hAnsiTheme="minorEastAsia" w:eastAsiaTheme="minorEastAsia" w:cstheme="minorEastAsia"/>
          <w:i w:val="0"/>
          <w:caps w:val="0"/>
          <w:color w:val="000000"/>
          <w:spacing w:val="0"/>
          <w:sz w:val="32"/>
          <w:szCs w:val="32"/>
          <w:lang w:val="en-US" w:eastAsia="zh-CN"/>
        </w:rPr>
        <w:t>瑞祥全球购超市有限公司将继续秉持“诚信、创新、合作、共赢”的经营理念，发挥示范带动作用，加强从采购到产品销售全流程知识产权管理，为消费者提供更加优质、安全、放心的购物体验。瑞祥也将以新质生产力助推企业高质量发展，为建设“诚信江苏、法治江苏”、优化江苏省营商环境作出贡献。</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outlineLvl w:val="9"/>
        <w:rPr>
          <w:rFonts w:hint="eastAsia" w:ascii="Times New Roman" w:hAnsi="Times New Roman" w:eastAsiaTheme="minorEastAsia" w:cstheme="minorEastAsia"/>
          <w:i w:val="0"/>
          <w:caps w:val="0"/>
          <w:color w:val="000000"/>
          <w:spacing w:val="0"/>
          <w:sz w:val="32"/>
          <w:szCs w:val="32"/>
          <w:lang w:val="en-US" w:eastAsia="zh-CN"/>
        </w:rPr>
      </w:pPr>
    </w:p>
    <w:p>
      <w:pPr>
        <w:spacing w:line="440" w:lineRule="exact"/>
        <w:jc w:val="right"/>
        <w:rPr>
          <w:rFonts w:hint="default" w:ascii="方正楷体_GBK" w:hAnsi="方正楷体_GBK" w:eastAsia="方正楷体_GBK" w:cs="方正楷体_GBK"/>
          <w:b/>
          <w:bCs/>
          <w:color w:val="FF0000"/>
          <w:sz w:val="32"/>
          <w:szCs w:val="32"/>
          <w:lang w:val="en-US" w:eastAsia="zh-CN"/>
        </w:rPr>
      </w:pPr>
      <w:r>
        <w:rPr>
          <w:rFonts w:hint="default" w:ascii="方正楷体_GBK" w:hAnsi="方正楷体_GBK" w:eastAsia="方正楷体_GBK" w:cs="方正楷体_GBK"/>
          <w:b/>
          <w:bCs/>
          <w:color w:val="FF0000"/>
          <w:sz w:val="32"/>
          <w:szCs w:val="32"/>
          <w:lang w:val="en-US" w:eastAsia="zh-CN"/>
        </w:rPr>
        <w:t>（来源：瑞祥科技集团微信公众号）</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exact"/>
        <w:contextualSpacing/>
        <w:jc w:val="center"/>
        <w:textAlignment w:val="auto"/>
        <w:outlineLvl w:val="1"/>
        <w:rPr>
          <w:rFonts w:hint="default" w:ascii="Times New Roman" w:hAnsi="Times New Roman" w:eastAsia="华文新魏" w:cs="Times New Roman"/>
          <w:b/>
          <w:color w:val="FF0000"/>
          <w:spacing w:val="0"/>
          <w:kern w:val="36"/>
          <w:sz w:val="52"/>
          <w:szCs w:val="52"/>
          <w:lang w:val="en-US" w:eastAsia="zh-CN"/>
        </w:rPr>
      </w:pPr>
    </w:p>
    <w:sectPr>
      <w:footerReference r:id="rId4" w:type="default"/>
      <w:pgSz w:w="11906" w:h="16838"/>
      <w:pgMar w:top="2098" w:right="1474" w:bottom="1984" w:left="1587" w:header="1417" w:footer="992" w:gutter="0"/>
      <w:pgBorders>
        <w:top w:val="single" w:color="F82206" w:sz="48" w:space="1"/>
        <w:left w:val="single" w:color="F82206" w:sz="48" w:space="4"/>
        <w:bottom w:val="single" w:color="F82206" w:sz="48" w:space="1"/>
        <w:right w:val="single" w:color="F82206" w:sz="48" w:space="4"/>
      </w:pgBorders>
      <w:pgNumType w:fmt="decimal" w:start="1"/>
      <w:cols w:space="425" w:num="1"/>
      <w:docGrid w:type="linesAndChars" w:linePitch="290" w:charSpace="-34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9E219040-9233-43BA-B991-2D17451773A1}"/>
  </w:font>
  <w:font w:name="Consolas">
    <w:panose1 w:val="020B0609020204030204"/>
    <w:charset w:val="00"/>
    <w:family w:val="auto"/>
    <w:pitch w:val="default"/>
    <w:sig w:usb0="E00006FF" w:usb1="0000FCFF" w:usb2="00000001" w:usb3="00000000" w:csb0="6000019F" w:csb1="DFD70000"/>
  </w:font>
  <w:font w:name="经典行楷简">
    <w:panose1 w:val="02010609000101010101"/>
    <w:charset w:val="86"/>
    <w:family w:val="auto"/>
    <w:pitch w:val="default"/>
    <w:sig w:usb0="A1007AEF" w:usb1="F9DF7CFB" w:usb2="0000001E" w:usb3="00000000" w:csb0="20040000" w:csb1="00000000"/>
    <w:embedRegular r:id="rId2" w:fontKey="{B87CE822-E5DD-4C8F-8D83-142767B45D06}"/>
  </w:font>
  <w:font w:name="方正楷体_GBK">
    <w:panose1 w:val="03000509000000000000"/>
    <w:charset w:val="86"/>
    <w:family w:val="auto"/>
    <w:pitch w:val="default"/>
    <w:sig w:usb0="00000001" w:usb1="080E0000" w:usb2="00000000" w:usb3="00000000" w:csb0="00040000" w:csb1="00000000"/>
    <w:embedRegular r:id="rId3" w:fontKey="{DD5B4D16-FE0C-4009-9599-BC545AFA3177}"/>
  </w:font>
  <w:font w:name="方正黑体_GBK">
    <w:altName w:val="微软雅黑"/>
    <w:panose1 w:val="03000509000000000000"/>
    <w:charset w:val="86"/>
    <w:family w:val="auto"/>
    <w:pitch w:val="default"/>
    <w:sig w:usb0="00000000" w:usb1="00000000" w:usb2="00000000" w:usb3="00000000" w:csb0="00040000" w:csb1="00000000"/>
    <w:embedRegular r:id="rId4" w:fontKey="{8E630BAA-1E35-40BD-BF6D-884FCD7BFD5A}"/>
  </w:font>
  <w:font w:name="方正小标宋_GBK">
    <w:panose1 w:val="02000000000000000000"/>
    <w:charset w:val="86"/>
    <w:family w:val="auto"/>
    <w:pitch w:val="default"/>
    <w:sig w:usb0="A00002BF" w:usb1="38CF7CFA" w:usb2="00082016" w:usb3="00000000" w:csb0="00040001" w:csb1="00000000"/>
    <w:embedRegular r:id="rId5" w:fontKey="{B8FD9083-FD7F-4486-A5B7-1F942B6A4F75}"/>
  </w:font>
  <w:font w:name="方正魏碑简体">
    <w:altName w:val="微软雅黑"/>
    <w:panose1 w:val="02010601030101010101"/>
    <w:charset w:val="86"/>
    <w:family w:val="auto"/>
    <w:pitch w:val="default"/>
    <w:sig w:usb0="00000000" w:usb1="00000000" w:usb2="00000000" w:usb3="00000000" w:csb0="00040000" w:csb1="00000000"/>
    <w:embedRegular r:id="rId6" w:fontKey="{3E8CB99A-114F-4F2A-8A10-266A744AD990}"/>
  </w:font>
  <w:font w:name="仿宋_GB2312">
    <w:altName w:val="仿宋"/>
    <w:panose1 w:val="02010609030101010101"/>
    <w:charset w:val="86"/>
    <w:family w:val="auto"/>
    <w:pitch w:val="default"/>
    <w:sig w:usb0="00000000" w:usb1="00000000" w:usb2="00000000" w:usb3="00000000" w:csb0="00040000" w:csb1="00000000"/>
    <w:embedRegular r:id="rId7" w:fontKey="{69421DAC-BCB9-4923-ACA9-F6044D4CF746}"/>
  </w:font>
  <w:font w:name="方正黑体简体">
    <w:panose1 w:val="03000509000000000000"/>
    <w:charset w:val="86"/>
    <w:family w:val="auto"/>
    <w:pitch w:val="default"/>
    <w:sig w:usb0="00000001" w:usb1="080E0000" w:usb2="00000000" w:usb3="00000000" w:csb0="00040000" w:csb1="00000000"/>
    <w:embedRegular r:id="rId8" w:fontKey="{29D57290-F007-405C-A442-F08DE4F4885D}"/>
  </w:font>
  <w:font w:name="华文新魏">
    <w:panose1 w:val="02010800040101010101"/>
    <w:charset w:val="86"/>
    <w:family w:val="auto"/>
    <w:pitch w:val="default"/>
    <w:sig w:usb0="00000001" w:usb1="080F0000" w:usb2="00000000" w:usb3="00000000" w:csb0="00040000" w:csb1="00000000"/>
    <w:embedRegular r:id="rId9" w:fontKey="{6CD18AE2-BD5A-42F7-A830-409D28AE72AB}"/>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jc w:val="center"/>
      <w:rPr>
        <w:rFonts w:ascii="Calibri" w:hAnsi="Calibri" w:eastAsia="宋体" w:cs="Times New Roman"/>
        <w:kern w:val="2"/>
        <w:sz w:val="18"/>
        <w:szCs w:val="18"/>
        <w:lang w:val="en-US" w:eastAsia="zh-CN" w:bidi="ar-SA"/>
      </w:rPr>
    </w:pPr>
  </w:p>
  <w:p>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jc w:val="center"/>
      <w:rPr>
        <w:rFonts w:ascii="Calibri" w:hAnsi="Calibri" w:eastAsia="宋体" w:cs="Times New Roman"/>
        <w:kern w:val="2"/>
        <w:sz w:val="18"/>
        <w:szCs w:val="18"/>
        <w:lang w:val="en-US" w:eastAsia="zh-CN" w:bidi="ar-SA"/>
      </w:rPr>
    </w:pPr>
    <w:r>
      <w:rPr>
        <w:rFonts w:ascii="Calibri" w:hAnsi="Calibri" w:eastAsia="宋体" w:cs="Times New Roman"/>
        <w:kern w:val="2"/>
        <w:sz w:val="1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posOffset>0</wp:posOffset>
              </wp:positionH>
              <wp:positionV relativeFrom="paragraph">
                <wp:posOffset>-235585</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widowControl w:val="0"/>
                            <w:tabs>
                              <w:tab w:val="center" w:pos="4153"/>
                              <w:tab w:val="right" w:pos="8306"/>
                            </w:tabs>
                            <w:snapToGrid w:val="0"/>
                            <w:jc w:val="left"/>
                            <w:rPr>
                              <w:rFonts w:ascii="Calibri" w:hAnsi="Calibri" w:eastAsia="宋体" w:cs="Times New Roman"/>
                              <w:kern w:val="2"/>
                              <w:sz w:val="18"/>
                              <w:szCs w:val="18"/>
                              <w:highlight w:val="yellow"/>
                              <w:lang w:val="en-US" w:eastAsia="zh-CN" w:bidi="ar-SA"/>
                            </w:rPr>
                          </w:pP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 xml:space="preserve">— </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begin"/>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instrText xml:space="preserve"> PAGE  \* MERGEFORMAT </w:instrTex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separate"/>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1</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end"/>
                          </w:r>
                          <w:r>
                            <w:rPr>
                              <w:rFonts w:hint="default" w:ascii="Times New Roman" w:hAnsi="Times New Roman" w:eastAsia="宋体" w:cs="Times New Roman"/>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 xml:space="preserve"> </w:t>
                          </w: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0pt;margin-top:-18.55pt;height:144pt;width:144pt;mso-position-horizontal-relative:margin;mso-wrap-style:none;z-index:251660288;mso-width-relative:page;mso-height-relative:page;" filled="f" stroked="f" coordsize="21600,21600" o:gfxdata="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KOSNh1gAAAAgBAAAPAAAAAAAAAAEAIAAAACIAAABkcnMvZG93bnJl&#10;di54bWxQSwECFAAUAAAACACHTuJAtVl6sjgCAABvBAAADgAAAAAAAAABACAAAAAlAQAAZHJzL2Uy&#10;b0RvYy54bWxQSwUGAAAAAAYABgBZAQAAzwUAAAAA&#10;">
              <v:fill on="f" focussize="0,0"/>
              <v:stroke on="f" weight="0.5pt"/>
              <v:imagedata o:title=""/>
              <o:lock v:ext="edit" aspectratio="f"/>
              <v:textbox inset="0mm,0mm,0mm,0mm" style="mso-fit-shape-to-text:t;">
                <w:txbxContent>
                  <w:p>
                    <w:pPr>
                      <w:widowControl w:val="0"/>
                      <w:tabs>
                        <w:tab w:val="center" w:pos="4153"/>
                        <w:tab w:val="right" w:pos="8306"/>
                      </w:tabs>
                      <w:snapToGrid w:val="0"/>
                      <w:jc w:val="left"/>
                      <w:rPr>
                        <w:rFonts w:ascii="Calibri" w:hAnsi="Calibri" w:eastAsia="宋体" w:cs="Times New Roman"/>
                        <w:kern w:val="2"/>
                        <w:sz w:val="18"/>
                        <w:szCs w:val="18"/>
                        <w:highlight w:val="yellow"/>
                        <w:lang w:val="en-US" w:eastAsia="zh-CN" w:bidi="ar-SA"/>
                      </w:rPr>
                    </w:pP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 xml:space="preserve">— </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begin"/>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instrText xml:space="preserve"> PAGE  \* MERGEFORMAT </w:instrTex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separate"/>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1</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end"/>
                    </w:r>
                    <w:r>
                      <w:rPr>
                        <w:rFonts w:hint="default" w:ascii="Times New Roman" w:hAnsi="Times New Roman" w:eastAsia="宋体" w:cs="Times New Roman"/>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 xml:space="preserve"> </w:t>
                    </w: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w:t>
                    </w:r>
                  </w:p>
                </w:txbxContent>
              </v:textbox>
            </v:shape>
          </w:pict>
        </mc:Fallback>
      </mc:AlternateContent>
    </w:r>
  </w:p>
  <w:p>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32C0D4E"/>
    <w:multiLevelType w:val="singleLevel"/>
    <w:tmpl w:val="632C0D4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QwYzE4ODk1NjVlMzZkYjY3YjJhNDdmNzk5NjMwN2YifQ=="/>
  </w:docVars>
  <w:rsids>
    <w:rsidRoot w:val="09CD0E22"/>
    <w:rsid w:val="00030C0E"/>
    <w:rsid w:val="00043245"/>
    <w:rsid w:val="0007364F"/>
    <w:rsid w:val="000800B0"/>
    <w:rsid w:val="00093D01"/>
    <w:rsid w:val="00097083"/>
    <w:rsid w:val="000C6CC2"/>
    <w:rsid w:val="001156B9"/>
    <w:rsid w:val="00145330"/>
    <w:rsid w:val="00154806"/>
    <w:rsid w:val="001F2C95"/>
    <w:rsid w:val="00215B64"/>
    <w:rsid w:val="002840B7"/>
    <w:rsid w:val="003208B4"/>
    <w:rsid w:val="003671B0"/>
    <w:rsid w:val="003C691D"/>
    <w:rsid w:val="003F32D7"/>
    <w:rsid w:val="0042623F"/>
    <w:rsid w:val="0043286B"/>
    <w:rsid w:val="00467C46"/>
    <w:rsid w:val="005279A4"/>
    <w:rsid w:val="005A092B"/>
    <w:rsid w:val="006B63D3"/>
    <w:rsid w:val="006C0C2E"/>
    <w:rsid w:val="00723B7D"/>
    <w:rsid w:val="007C2A82"/>
    <w:rsid w:val="007E11E9"/>
    <w:rsid w:val="008B2F92"/>
    <w:rsid w:val="008E3499"/>
    <w:rsid w:val="008F79A9"/>
    <w:rsid w:val="00906A61"/>
    <w:rsid w:val="00962249"/>
    <w:rsid w:val="00A0554E"/>
    <w:rsid w:val="00A55B3B"/>
    <w:rsid w:val="00B35803"/>
    <w:rsid w:val="00B45E3E"/>
    <w:rsid w:val="00B528B9"/>
    <w:rsid w:val="00C16462"/>
    <w:rsid w:val="00C66488"/>
    <w:rsid w:val="00CA656E"/>
    <w:rsid w:val="00CE04E4"/>
    <w:rsid w:val="00D0085C"/>
    <w:rsid w:val="00D9651F"/>
    <w:rsid w:val="00DB54B3"/>
    <w:rsid w:val="00DF053C"/>
    <w:rsid w:val="00E278B0"/>
    <w:rsid w:val="00E76B4E"/>
    <w:rsid w:val="00FC3867"/>
    <w:rsid w:val="010007F1"/>
    <w:rsid w:val="01123C24"/>
    <w:rsid w:val="01281FA6"/>
    <w:rsid w:val="0129652A"/>
    <w:rsid w:val="012C4A94"/>
    <w:rsid w:val="0134238F"/>
    <w:rsid w:val="01434062"/>
    <w:rsid w:val="014F3F68"/>
    <w:rsid w:val="015850A5"/>
    <w:rsid w:val="015A28DE"/>
    <w:rsid w:val="01603797"/>
    <w:rsid w:val="01607B5B"/>
    <w:rsid w:val="01614C4F"/>
    <w:rsid w:val="016607CF"/>
    <w:rsid w:val="01687C29"/>
    <w:rsid w:val="016C6133"/>
    <w:rsid w:val="016D0719"/>
    <w:rsid w:val="01730647"/>
    <w:rsid w:val="017F7312"/>
    <w:rsid w:val="0183354F"/>
    <w:rsid w:val="018A4341"/>
    <w:rsid w:val="018D1ED5"/>
    <w:rsid w:val="018E0532"/>
    <w:rsid w:val="01944C0D"/>
    <w:rsid w:val="019652A2"/>
    <w:rsid w:val="019A0A9C"/>
    <w:rsid w:val="019E5AF8"/>
    <w:rsid w:val="01A05888"/>
    <w:rsid w:val="01A2463C"/>
    <w:rsid w:val="01A277CA"/>
    <w:rsid w:val="01A536F0"/>
    <w:rsid w:val="01AB72AD"/>
    <w:rsid w:val="01AD0FC0"/>
    <w:rsid w:val="01AF0E83"/>
    <w:rsid w:val="01B74B80"/>
    <w:rsid w:val="01B76B70"/>
    <w:rsid w:val="01BC47E4"/>
    <w:rsid w:val="01BD0D3F"/>
    <w:rsid w:val="01C277DB"/>
    <w:rsid w:val="01CB201F"/>
    <w:rsid w:val="01D01DDD"/>
    <w:rsid w:val="01D83F23"/>
    <w:rsid w:val="01DA121B"/>
    <w:rsid w:val="01E02E8A"/>
    <w:rsid w:val="01EB6FF4"/>
    <w:rsid w:val="01EC6C1A"/>
    <w:rsid w:val="01F43D5D"/>
    <w:rsid w:val="01F53962"/>
    <w:rsid w:val="01F739C6"/>
    <w:rsid w:val="01FE284A"/>
    <w:rsid w:val="0202118C"/>
    <w:rsid w:val="02084161"/>
    <w:rsid w:val="020C0504"/>
    <w:rsid w:val="020F3F82"/>
    <w:rsid w:val="021337A8"/>
    <w:rsid w:val="02154F00"/>
    <w:rsid w:val="02200558"/>
    <w:rsid w:val="022C2DDE"/>
    <w:rsid w:val="024125AD"/>
    <w:rsid w:val="02424F98"/>
    <w:rsid w:val="02451830"/>
    <w:rsid w:val="024B4F65"/>
    <w:rsid w:val="02522774"/>
    <w:rsid w:val="02716397"/>
    <w:rsid w:val="027B1EF4"/>
    <w:rsid w:val="027D39C5"/>
    <w:rsid w:val="02842B55"/>
    <w:rsid w:val="02850B1B"/>
    <w:rsid w:val="028E239B"/>
    <w:rsid w:val="028E669E"/>
    <w:rsid w:val="02945151"/>
    <w:rsid w:val="02994D24"/>
    <w:rsid w:val="02AA4579"/>
    <w:rsid w:val="02B452E0"/>
    <w:rsid w:val="02B7449E"/>
    <w:rsid w:val="02B93913"/>
    <w:rsid w:val="02C7326C"/>
    <w:rsid w:val="02CA2014"/>
    <w:rsid w:val="02CE36F0"/>
    <w:rsid w:val="02D253BA"/>
    <w:rsid w:val="02D664A5"/>
    <w:rsid w:val="02D70120"/>
    <w:rsid w:val="02E746B3"/>
    <w:rsid w:val="02F03F7A"/>
    <w:rsid w:val="02F04987"/>
    <w:rsid w:val="02F3072B"/>
    <w:rsid w:val="02F4686A"/>
    <w:rsid w:val="02F50E1A"/>
    <w:rsid w:val="02FC365E"/>
    <w:rsid w:val="03032EA1"/>
    <w:rsid w:val="03055083"/>
    <w:rsid w:val="030A33B2"/>
    <w:rsid w:val="0312457C"/>
    <w:rsid w:val="03173E54"/>
    <w:rsid w:val="03276EB0"/>
    <w:rsid w:val="03320DD5"/>
    <w:rsid w:val="03367B19"/>
    <w:rsid w:val="033F3094"/>
    <w:rsid w:val="033F5E23"/>
    <w:rsid w:val="0341739D"/>
    <w:rsid w:val="034A5312"/>
    <w:rsid w:val="035906B9"/>
    <w:rsid w:val="035A07AB"/>
    <w:rsid w:val="035F7880"/>
    <w:rsid w:val="036572E0"/>
    <w:rsid w:val="036773BE"/>
    <w:rsid w:val="036B41D2"/>
    <w:rsid w:val="03745931"/>
    <w:rsid w:val="0375270B"/>
    <w:rsid w:val="0376026A"/>
    <w:rsid w:val="03763E10"/>
    <w:rsid w:val="03795E56"/>
    <w:rsid w:val="038F00BD"/>
    <w:rsid w:val="038F07EB"/>
    <w:rsid w:val="039F6B79"/>
    <w:rsid w:val="03A054FE"/>
    <w:rsid w:val="03A634A2"/>
    <w:rsid w:val="03A710E3"/>
    <w:rsid w:val="03B75E22"/>
    <w:rsid w:val="03B93704"/>
    <w:rsid w:val="03C7124D"/>
    <w:rsid w:val="03C956D7"/>
    <w:rsid w:val="03CD065E"/>
    <w:rsid w:val="03CD0F50"/>
    <w:rsid w:val="03D96519"/>
    <w:rsid w:val="03DC76EB"/>
    <w:rsid w:val="03DD4156"/>
    <w:rsid w:val="03DF3AAC"/>
    <w:rsid w:val="03DF7C94"/>
    <w:rsid w:val="03E4053E"/>
    <w:rsid w:val="03EE2D2D"/>
    <w:rsid w:val="03EE5120"/>
    <w:rsid w:val="03F95EAB"/>
    <w:rsid w:val="03FA4378"/>
    <w:rsid w:val="040B1779"/>
    <w:rsid w:val="040D5A59"/>
    <w:rsid w:val="040E59E0"/>
    <w:rsid w:val="04177E90"/>
    <w:rsid w:val="041B3B0D"/>
    <w:rsid w:val="041F33A4"/>
    <w:rsid w:val="04227E09"/>
    <w:rsid w:val="04256881"/>
    <w:rsid w:val="042C1175"/>
    <w:rsid w:val="042E72BA"/>
    <w:rsid w:val="04361A54"/>
    <w:rsid w:val="043837D8"/>
    <w:rsid w:val="043F0FCC"/>
    <w:rsid w:val="0458216E"/>
    <w:rsid w:val="04633D2A"/>
    <w:rsid w:val="046441B2"/>
    <w:rsid w:val="0470619B"/>
    <w:rsid w:val="047264E0"/>
    <w:rsid w:val="047929EC"/>
    <w:rsid w:val="047931E4"/>
    <w:rsid w:val="047B754C"/>
    <w:rsid w:val="047C330E"/>
    <w:rsid w:val="04802BB2"/>
    <w:rsid w:val="048112FB"/>
    <w:rsid w:val="048A77DB"/>
    <w:rsid w:val="048B08F7"/>
    <w:rsid w:val="04997356"/>
    <w:rsid w:val="04B3013F"/>
    <w:rsid w:val="04BA605B"/>
    <w:rsid w:val="04BB6582"/>
    <w:rsid w:val="04BF51D4"/>
    <w:rsid w:val="04C30370"/>
    <w:rsid w:val="04C369FD"/>
    <w:rsid w:val="04C87276"/>
    <w:rsid w:val="04CE7B7F"/>
    <w:rsid w:val="04D13EAB"/>
    <w:rsid w:val="04D81CE8"/>
    <w:rsid w:val="04E16ACF"/>
    <w:rsid w:val="04E92750"/>
    <w:rsid w:val="04ED1D07"/>
    <w:rsid w:val="04F33CBA"/>
    <w:rsid w:val="04F40BD0"/>
    <w:rsid w:val="04FB0B72"/>
    <w:rsid w:val="05006805"/>
    <w:rsid w:val="05017788"/>
    <w:rsid w:val="051142A3"/>
    <w:rsid w:val="05150D13"/>
    <w:rsid w:val="052054D4"/>
    <w:rsid w:val="052C7639"/>
    <w:rsid w:val="054A7C8A"/>
    <w:rsid w:val="055D26AF"/>
    <w:rsid w:val="056534E0"/>
    <w:rsid w:val="056834A8"/>
    <w:rsid w:val="05684832"/>
    <w:rsid w:val="056C0F36"/>
    <w:rsid w:val="056E79C6"/>
    <w:rsid w:val="057A799E"/>
    <w:rsid w:val="058647BE"/>
    <w:rsid w:val="05880374"/>
    <w:rsid w:val="05881910"/>
    <w:rsid w:val="05913966"/>
    <w:rsid w:val="059F17BF"/>
    <w:rsid w:val="05A259F9"/>
    <w:rsid w:val="05A72CCC"/>
    <w:rsid w:val="05A73DC5"/>
    <w:rsid w:val="05B336D5"/>
    <w:rsid w:val="05CC2A3B"/>
    <w:rsid w:val="05CD0D9A"/>
    <w:rsid w:val="05CF249D"/>
    <w:rsid w:val="05D14319"/>
    <w:rsid w:val="05D714EA"/>
    <w:rsid w:val="05E536E6"/>
    <w:rsid w:val="05EA1C44"/>
    <w:rsid w:val="05F2445C"/>
    <w:rsid w:val="06077942"/>
    <w:rsid w:val="060A0D89"/>
    <w:rsid w:val="060C359D"/>
    <w:rsid w:val="060F3722"/>
    <w:rsid w:val="062B0B83"/>
    <w:rsid w:val="062C6587"/>
    <w:rsid w:val="062D67C8"/>
    <w:rsid w:val="06301A1B"/>
    <w:rsid w:val="0633380C"/>
    <w:rsid w:val="0638362B"/>
    <w:rsid w:val="063E600A"/>
    <w:rsid w:val="06405659"/>
    <w:rsid w:val="064F5725"/>
    <w:rsid w:val="06510CDF"/>
    <w:rsid w:val="065C27A8"/>
    <w:rsid w:val="065F50DA"/>
    <w:rsid w:val="06602F2C"/>
    <w:rsid w:val="06626021"/>
    <w:rsid w:val="066D2CED"/>
    <w:rsid w:val="066E2C0B"/>
    <w:rsid w:val="06700010"/>
    <w:rsid w:val="06734EB6"/>
    <w:rsid w:val="067C24CF"/>
    <w:rsid w:val="068A1FDD"/>
    <w:rsid w:val="069002BE"/>
    <w:rsid w:val="06906B8C"/>
    <w:rsid w:val="069725BC"/>
    <w:rsid w:val="069A3A7C"/>
    <w:rsid w:val="06A24D7D"/>
    <w:rsid w:val="06A729E1"/>
    <w:rsid w:val="06AB0999"/>
    <w:rsid w:val="06AB1C7E"/>
    <w:rsid w:val="06AC05E7"/>
    <w:rsid w:val="06AF1D16"/>
    <w:rsid w:val="06AF3414"/>
    <w:rsid w:val="06B15237"/>
    <w:rsid w:val="06BA5EB2"/>
    <w:rsid w:val="06D17DB1"/>
    <w:rsid w:val="06E444B8"/>
    <w:rsid w:val="06EE1EAC"/>
    <w:rsid w:val="070252FD"/>
    <w:rsid w:val="070615F0"/>
    <w:rsid w:val="07085235"/>
    <w:rsid w:val="07146D7A"/>
    <w:rsid w:val="071A4300"/>
    <w:rsid w:val="0724090E"/>
    <w:rsid w:val="072C5901"/>
    <w:rsid w:val="072D6955"/>
    <w:rsid w:val="07355298"/>
    <w:rsid w:val="073633AE"/>
    <w:rsid w:val="0738618B"/>
    <w:rsid w:val="074E1705"/>
    <w:rsid w:val="074E279C"/>
    <w:rsid w:val="075268B6"/>
    <w:rsid w:val="075C0378"/>
    <w:rsid w:val="075C613A"/>
    <w:rsid w:val="07616A73"/>
    <w:rsid w:val="0768627D"/>
    <w:rsid w:val="07774E9B"/>
    <w:rsid w:val="07870F9B"/>
    <w:rsid w:val="07886D75"/>
    <w:rsid w:val="079A77BC"/>
    <w:rsid w:val="079D6C92"/>
    <w:rsid w:val="079E20C5"/>
    <w:rsid w:val="07A757F6"/>
    <w:rsid w:val="07A92FCD"/>
    <w:rsid w:val="07AB5A16"/>
    <w:rsid w:val="07C32EAB"/>
    <w:rsid w:val="07CE7516"/>
    <w:rsid w:val="07DA5629"/>
    <w:rsid w:val="07DE3B60"/>
    <w:rsid w:val="07E54B9E"/>
    <w:rsid w:val="08010DA7"/>
    <w:rsid w:val="08033960"/>
    <w:rsid w:val="080F3123"/>
    <w:rsid w:val="08220E8F"/>
    <w:rsid w:val="08242F28"/>
    <w:rsid w:val="08252E6C"/>
    <w:rsid w:val="08275EA4"/>
    <w:rsid w:val="08294CB5"/>
    <w:rsid w:val="083036B5"/>
    <w:rsid w:val="08310F19"/>
    <w:rsid w:val="08331FC1"/>
    <w:rsid w:val="083611A9"/>
    <w:rsid w:val="08361968"/>
    <w:rsid w:val="083901EB"/>
    <w:rsid w:val="08394081"/>
    <w:rsid w:val="083943C5"/>
    <w:rsid w:val="08395DAB"/>
    <w:rsid w:val="08404FD2"/>
    <w:rsid w:val="084A2513"/>
    <w:rsid w:val="08515651"/>
    <w:rsid w:val="08587D37"/>
    <w:rsid w:val="085D6EF2"/>
    <w:rsid w:val="085F59AE"/>
    <w:rsid w:val="086303CB"/>
    <w:rsid w:val="08674312"/>
    <w:rsid w:val="0875786E"/>
    <w:rsid w:val="0881684A"/>
    <w:rsid w:val="08927463"/>
    <w:rsid w:val="08991A5A"/>
    <w:rsid w:val="089C49FA"/>
    <w:rsid w:val="08AF073A"/>
    <w:rsid w:val="08BD5FE1"/>
    <w:rsid w:val="08BE7798"/>
    <w:rsid w:val="08C333B4"/>
    <w:rsid w:val="08C46A4F"/>
    <w:rsid w:val="08C654F8"/>
    <w:rsid w:val="08CA79C7"/>
    <w:rsid w:val="08D54B6A"/>
    <w:rsid w:val="08D73E78"/>
    <w:rsid w:val="08DB6139"/>
    <w:rsid w:val="08DD4FAE"/>
    <w:rsid w:val="08DE001E"/>
    <w:rsid w:val="08DE502C"/>
    <w:rsid w:val="08DE7E03"/>
    <w:rsid w:val="08ED6D3B"/>
    <w:rsid w:val="08FB16E4"/>
    <w:rsid w:val="08FB2C3C"/>
    <w:rsid w:val="08FE2EDE"/>
    <w:rsid w:val="08FE5206"/>
    <w:rsid w:val="09140F8D"/>
    <w:rsid w:val="09155095"/>
    <w:rsid w:val="091D10D0"/>
    <w:rsid w:val="09210482"/>
    <w:rsid w:val="092105FC"/>
    <w:rsid w:val="09222AB2"/>
    <w:rsid w:val="09266115"/>
    <w:rsid w:val="093303B8"/>
    <w:rsid w:val="09446DB4"/>
    <w:rsid w:val="094811BB"/>
    <w:rsid w:val="094F18C1"/>
    <w:rsid w:val="0954257E"/>
    <w:rsid w:val="09583F76"/>
    <w:rsid w:val="095929D4"/>
    <w:rsid w:val="095A003F"/>
    <w:rsid w:val="095B02C8"/>
    <w:rsid w:val="09606CDC"/>
    <w:rsid w:val="09631FC1"/>
    <w:rsid w:val="09651D94"/>
    <w:rsid w:val="098A1F77"/>
    <w:rsid w:val="099872CF"/>
    <w:rsid w:val="09991A94"/>
    <w:rsid w:val="09A137B2"/>
    <w:rsid w:val="09A2636C"/>
    <w:rsid w:val="09A44BA0"/>
    <w:rsid w:val="09AA495F"/>
    <w:rsid w:val="09AC53C9"/>
    <w:rsid w:val="09B630C3"/>
    <w:rsid w:val="09BD4BE0"/>
    <w:rsid w:val="09C222A5"/>
    <w:rsid w:val="09C27E4D"/>
    <w:rsid w:val="09C81C8D"/>
    <w:rsid w:val="09CB6B07"/>
    <w:rsid w:val="09CC1439"/>
    <w:rsid w:val="09CD0E22"/>
    <w:rsid w:val="09CD713D"/>
    <w:rsid w:val="09FA2B3C"/>
    <w:rsid w:val="09FA772F"/>
    <w:rsid w:val="09FB6D64"/>
    <w:rsid w:val="0A030CE9"/>
    <w:rsid w:val="0A0D0EE1"/>
    <w:rsid w:val="0A2A486E"/>
    <w:rsid w:val="0A33530F"/>
    <w:rsid w:val="0A346C5C"/>
    <w:rsid w:val="0A4707FD"/>
    <w:rsid w:val="0A486965"/>
    <w:rsid w:val="0A4B2E8D"/>
    <w:rsid w:val="0A5317DF"/>
    <w:rsid w:val="0A534D83"/>
    <w:rsid w:val="0A564C39"/>
    <w:rsid w:val="0A5A51B6"/>
    <w:rsid w:val="0A5B0F4C"/>
    <w:rsid w:val="0A61640A"/>
    <w:rsid w:val="0A6536D8"/>
    <w:rsid w:val="0A6A580E"/>
    <w:rsid w:val="0A6B730C"/>
    <w:rsid w:val="0A7611EF"/>
    <w:rsid w:val="0A765DBA"/>
    <w:rsid w:val="0A7A1EF7"/>
    <w:rsid w:val="0A937773"/>
    <w:rsid w:val="0A987047"/>
    <w:rsid w:val="0AA05D85"/>
    <w:rsid w:val="0AAD109D"/>
    <w:rsid w:val="0ABB417A"/>
    <w:rsid w:val="0ABE47A4"/>
    <w:rsid w:val="0ACC2910"/>
    <w:rsid w:val="0ACC3151"/>
    <w:rsid w:val="0AD014F5"/>
    <w:rsid w:val="0AD16821"/>
    <w:rsid w:val="0AD45A3C"/>
    <w:rsid w:val="0AD60B60"/>
    <w:rsid w:val="0ADC78D2"/>
    <w:rsid w:val="0ADF4793"/>
    <w:rsid w:val="0AE11813"/>
    <w:rsid w:val="0AE3323E"/>
    <w:rsid w:val="0AEB11A6"/>
    <w:rsid w:val="0AEC3E44"/>
    <w:rsid w:val="0AEE609E"/>
    <w:rsid w:val="0AEF478A"/>
    <w:rsid w:val="0AF51E84"/>
    <w:rsid w:val="0B041299"/>
    <w:rsid w:val="0B062542"/>
    <w:rsid w:val="0B0E47F4"/>
    <w:rsid w:val="0B1665D8"/>
    <w:rsid w:val="0B1C17AD"/>
    <w:rsid w:val="0B283787"/>
    <w:rsid w:val="0B2D6F6E"/>
    <w:rsid w:val="0B324CD2"/>
    <w:rsid w:val="0B345DB1"/>
    <w:rsid w:val="0B363DD8"/>
    <w:rsid w:val="0B3A4657"/>
    <w:rsid w:val="0B3C5BB9"/>
    <w:rsid w:val="0B4372E2"/>
    <w:rsid w:val="0B5A2079"/>
    <w:rsid w:val="0B5B5996"/>
    <w:rsid w:val="0B5C3E34"/>
    <w:rsid w:val="0B6075D7"/>
    <w:rsid w:val="0B627AD4"/>
    <w:rsid w:val="0B6A0BB3"/>
    <w:rsid w:val="0B735FF2"/>
    <w:rsid w:val="0B792EB2"/>
    <w:rsid w:val="0B8035EB"/>
    <w:rsid w:val="0B84164E"/>
    <w:rsid w:val="0B89731E"/>
    <w:rsid w:val="0B904412"/>
    <w:rsid w:val="0B90485D"/>
    <w:rsid w:val="0B913EDA"/>
    <w:rsid w:val="0B9C76A8"/>
    <w:rsid w:val="0BA50775"/>
    <w:rsid w:val="0BA749E5"/>
    <w:rsid w:val="0BAC24A8"/>
    <w:rsid w:val="0BAE1323"/>
    <w:rsid w:val="0BB42E0A"/>
    <w:rsid w:val="0BBA3391"/>
    <w:rsid w:val="0BDC3258"/>
    <w:rsid w:val="0BDE3581"/>
    <w:rsid w:val="0BE52963"/>
    <w:rsid w:val="0BE85349"/>
    <w:rsid w:val="0BF57A28"/>
    <w:rsid w:val="0BF845E9"/>
    <w:rsid w:val="0BFA1A53"/>
    <w:rsid w:val="0C074F06"/>
    <w:rsid w:val="0C0B1E5B"/>
    <w:rsid w:val="0C146F99"/>
    <w:rsid w:val="0C1A584B"/>
    <w:rsid w:val="0C2275D5"/>
    <w:rsid w:val="0C2D70F9"/>
    <w:rsid w:val="0C342312"/>
    <w:rsid w:val="0C456335"/>
    <w:rsid w:val="0C53740C"/>
    <w:rsid w:val="0C563E70"/>
    <w:rsid w:val="0C631545"/>
    <w:rsid w:val="0C6E187C"/>
    <w:rsid w:val="0C767E38"/>
    <w:rsid w:val="0C7D4D8F"/>
    <w:rsid w:val="0C80052F"/>
    <w:rsid w:val="0C8C06D3"/>
    <w:rsid w:val="0C900DC2"/>
    <w:rsid w:val="0C980884"/>
    <w:rsid w:val="0C9961AF"/>
    <w:rsid w:val="0C9A50FF"/>
    <w:rsid w:val="0C9B3EE0"/>
    <w:rsid w:val="0C9C2E80"/>
    <w:rsid w:val="0CA20B1F"/>
    <w:rsid w:val="0CA44E41"/>
    <w:rsid w:val="0CA77405"/>
    <w:rsid w:val="0CA83489"/>
    <w:rsid w:val="0CA96FA5"/>
    <w:rsid w:val="0CAE5B1B"/>
    <w:rsid w:val="0CB224D8"/>
    <w:rsid w:val="0CB31FF7"/>
    <w:rsid w:val="0CB45BFD"/>
    <w:rsid w:val="0CB75099"/>
    <w:rsid w:val="0CB80D6E"/>
    <w:rsid w:val="0CBF360E"/>
    <w:rsid w:val="0CC10497"/>
    <w:rsid w:val="0CC30BC5"/>
    <w:rsid w:val="0CC42150"/>
    <w:rsid w:val="0CC45545"/>
    <w:rsid w:val="0CC71781"/>
    <w:rsid w:val="0CCB0FDF"/>
    <w:rsid w:val="0CDC1817"/>
    <w:rsid w:val="0CDC515C"/>
    <w:rsid w:val="0D0B2A13"/>
    <w:rsid w:val="0D112021"/>
    <w:rsid w:val="0D12133D"/>
    <w:rsid w:val="0D1F7151"/>
    <w:rsid w:val="0D200D54"/>
    <w:rsid w:val="0D2B7DB2"/>
    <w:rsid w:val="0D3152D9"/>
    <w:rsid w:val="0D384916"/>
    <w:rsid w:val="0D427E08"/>
    <w:rsid w:val="0D444358"/>
    <w:rsid w:val="0D4A1977"/>
    <w:rsid w:val="0D4B602E"/>
    <w:rsid w:val="0D511FCD"/>
    <w:rsid w:val="0D52698E"/>
    <w:rsid w:val="0D583C5F"/>
    <w:rsid w:val="0D5D658F"/>
    <w:rsid w:val="0D6029A5"/>
    <w:rsid w:val="0D6063D4"/>
    <w:rsid w:val="0D665CD7"/>
    <w:rsid w:val="0D667E20"/>
    <w:rsid w:val="0D6B6C90"/>
    <w:rsid w:val="0D7170F8"/>
    <w:rsid w:val="0D922931"/>
    <w:rsid w:val="0D95263C"/>
    <w:rsid w:val="0DA81B9F"/>
    <w:rsid w:val="0DAD79F2"/>
    <w:rsid w:val="0DB47CEC"/>
    <w:rsid w:val="0DBB3CA5"/>
    <w:rsid w:val="0DBB4EDD"/>
    <w:rsid w:val="0DC37BF2"/>
    <w:rsid w:val="0DC436B0"/>
    <w:rsid w:val="0DC9693F"/>
    <w:rsid w:val="0DCC1715"/>
    <w:rsid w:val="0DD82C48"/>
    <w:rsid w:val="0DDB6385"/>
    <w:rsid w:val="0DF024FC"/>
    <w:rsid w:val="0DF0632D"/>
    <w:rsid w:val="0DF475E0"/>
    <w:rsid w:val="0E0E09E4"/>
    <w:rsid w:val="0E0E0AE3"/>
    <w:rsid w:val="0E184477"/>
    <w:rsid w:val="0E1A4501"/>
    <w:rsid w:val="0E1A78B5"/>
    <w:rsid w:val="0E21196E"/>
    <w:rsid w:val="0E227E98"/>
    <w:rsid w:val="0E27140B"/>
    <w:rsid w:val="0E2D4D70"/>
    <w:rsid w:val="0E3B2663"/>
    <w:rsid w:val="0E443DBA"/>
    <w:rsid w:val="0E465F52"/>
    <w:rsid w:val="0E576A70"/>
    <w:rsid w:val="0E587DB8"/>
    <w:rsid w:val="0E6B437E"/>
    <w:rsid w:val="0E6B6A22"/>
    <w:rsid w:val="0E6F53AB"/>
    <w:rsid w:val="0E701F1A"/>
    <w:rsid w:val="0E793535"/>
    <w:rsid w:val="0E795DEE"/>
    <w:rsid w:val="0E7B3260"/>
    <w:rsid w:val="0E804638"/>
    <w:rsid w:val="0E854758"/>
    <w:rsid w:val="0E951BFF"/>
    <w:rsid w:val="0EA50BFC"/>
    <w:rsid w:val="0EAB0282"/>
    <w:rsid w:val="0EC370FE"/>
    <w:rsid w:val="0EC4408A"/>
    <w:rsid w:val="0ECD6BD5"/>
    <w:rsid w:val="0EDA3DE0"/>
    <w:rsid w:val="0EE241B0"/>
    <w:rsid w:val="0EE470B9"/>
    <w:rsid w:val="0EE51F3F"/>
    <w:rsid w:val="0EE67C37"/>
    <w:rsid w:val="0EE96C61"/>
    <w:rsid w:val="0EEF6278"/>
    <w:rsid w:val="0F070719"/>
    <w:rsid w:val="0F0E340F"/>
    <w:rsid w:val="0F110F65"/>
    <w:rsid w:val="0F126FC2"/>
    <w:rsid w:val="0F1821BC"/>
    <w:rsid w:val="0F1F71AB"/>
    <w:rsid w:val="0F206FE9"/>
    <w:rsid w:val="0F246E43"/>
    <w:rsid w:val="0F2F2F21"/>
    <w:rsid w:val="0F303168"/>
    <w:rsid w:val="0F3346BD"/>
    <w:rsid w:val="0F356B4F"/>
    <w:rsid w:val="0F3E6D6B"/>
    <w:rsid w:val="0F521390"/>
    <w:rsid w:val="0F551890"/>
    <w:rsid w:val="0F5A4BDF"/>
    <w:rsid w:val="0F5B58BB"/>
    <w:rsid w:val="0F6735DF"/>
    <w:rsid w:val="0F6A4B85"/>
    <w:rsid w:val="0F716691"/>
    <w:rsid w:val="0F735DB2"/>
    <w:rsid w:val="0F7840D6"/>
    <w:rsid w:val="0F7B2D75"/>
    <w:rsid w:val="0F873A0E"/>
    <w:rsid w:val="0F883C70"/>
    <w:rsid w:val="0F8B6CB6"/>
    <w:rsid w:val="0F9177B5"/>
    <w:rsid w:val="0F9A3FA1"/>
    <w:rsid w:val="0F9E606C"/>
    <w:rsid w:val="0FA17F55"/>
    <w:rsid w:val="0FA35FFE"/>
    <w:rsid w:val="0FA821B8"/>
    <w:rsid w:val="0FAE546F"/>
    <w:rsid w:val="0FB50512"/>
    <w:rsid w:val="0FB57FA4"/>
    <w:rsid w:val="0FB8781F"/>
    <w:rsid w:val="0FC24482"/>
    <w:rsid w:val="0FC754B6"/>
    <w:rsid w:val="0FCD46F4"/>
    <w:rsid w:val="0FCE3065"/>
    <w:rsid w:val="0FE107E2"/>
    <w:rsid w:val="0FE336DE"/>
    <w:rsid w:val="0FED1D3E"/>
    <w:rsid w:val="10026084"/>
    <w:rsid w:val="10065756"/>
    <w:rsid w:val="100A69A4"/>
    <w:rsid w:val="100E17EE"/>
    <w:rsid w:val="10140347"/>
    <w:rsid w:val="101B54B3"/>
    <w:rsid w:val="101C6175"/>
    <w:rsid w:val="102E7ECD"/>
    <w:rsid w:val="104210EE"/>
    <w:rsid w:val="10444B77"/>
    <w:rsid w:val="10447AF9"/>
    <w:rsid w:val="104835D9"/>
    <w:rsid w:val="10495D6E"/>
    <w:rsid w:val="104C1069"/>
    <w:rsid w:val="10513C3F"/>
    <w:rsid w:val="10541F36"/>
    <w:rsid w:val="105D2D1E"/>
    <w:rsid w:val="10623D8F"/>
    <w:rsid w:val="10625663"/>
    <w:rsid w:val="106737C7"/>
    <w:rsid w:val="10703686"/>
    <w:rsid w:val="1075160B"/>
    <w:rsid w:val="107760A9"/>
    <w:rsid w:val="10780D89"/>
    <w:rsid w:val="107B52AA"/>
    <w:rsid w:val="107D625B"/>
    <w:rsid w:val="107E75D8"/>
    <w:rsid w:val="10805AB8"/>
    <w:rsid w:val="108161A3"/>
    <w:rsid w:val="1089301A"/>
    <w:rsid w:val="108B29C7"/>
    <w:rsid w:val="10901F21"/>
    <w:rsid w:val="10974AA9"/>
    <w:rsid w:val="109F78B5"/>
    <w:rsid w:val="10A21388"/>
    <w:rsid w:val="10A60889"/>
    <w:rsid w:val="10AA391A"/>
    <w:rsid w:val="10B27075"/>
    <w:rsid w:val="10B27B37"/>
    <w:rsid w:val="10B33FFC"/>
    <w:rsid w:val="10BA25C0"/>
    <w:rsid w:val="10C02E80"/>
    <w:rsid w:val="10C121EA"/>
    <w:rsid w:val="10C2285B"/>
    <w:rsid w:val="10C54276"/>
    <w:rsid w:val="10D27169"/>
    <w:rsid w:val="10D309E2"/>
    <w:rsid w:val="10D621B1"/>
    <w:rsid w:val="10D81E5C"/>
    <w:rsid w:val="10DA39AB"/>
    <w:rsid w:val="10DE746C"/>
    <w:rsid w:val="10EB7A42"/>
    <w:rsid w:val="10F16967"/>
    <w:rsid w:val="10F21B48"/>
    <w:rsid w:val="10F61CDD"/>
    <w:rsid w:val="10F91FDE"/>
    <w:rsid w:val="10F941E9"/>
    <w:rsid w:val="10FD39C4"/>
    <w:rsid w:val="11083015"/>
    <w:rsid w:val="110A357B"/>
    <w:rsid w:val="110D2E2E"/>
    <w:rsid w:val="11116C1D"/>
    <w:rsid w:val="1113498F"/>
    <w:rsid w:val="11145DE6"/>
    <w:rsid w:val="111A2147"/>
    <w:rsid w:val="112252CB"/>
    <w:rsid w:val="11360EF9"/>
    <w:rsid w:val="113641BB"/>
    <w:rsid w:val="113B0B58"/>
    <w:rsid w:val="113D4F12"/>
    <w:rsid w:val="113D775B"/>
    <w:rsid w:val="11410876"/>
    <w:rsid w:val="114608E7"/>
    <w:rsid w:val="114F3D65"/>
    <w:rsid w:val="115347BC"/>
    <w:rsid w:val="11545887"/>
    <w:rsid w:val="11597C64"/>
    <w:rsid w:val="11602A9E"/>
    <w:rsid w:val="116228E3"/>
    <w:rsid w:val="11631325"/>
    <w:rsid w:val="116345A4"/>
    <w:rsid w:val="11667833"/>
    <w:rsid w:val="11687433"/>
    <w:rsid w:val="1178450A"/>
    <w:rsid w:val="117B53DF"/>
    <w:rsid w:val="117B71D3"/>
    <w:rsid w:val="11845F00"/>
    <w:rsid w:val="11885DD3"/>
    <w:rsid w:val="118A58E4"/>
    <w:rsid w:val="118C56EA"/>
    <w:rsid w:val="118F0DB3"/>
    <w:rsid w:val="11916F88"/>
    <w:rsid w:val="11A51BB6"/>
    <w:rsid w:val="11AC6860"/>
    <w:rsid w:val="11B62D0B"/>
    <w:rsid w:val="11BE6E3E"/>
    <w:rsid w:val="11C52A21"/>
    <w:rsid w:val="11C75474"/>
    <w:rsid w:val="11D26FDB"/>
    <w:rsid w:val="11D435B9"/>
    <w:rsid w:val="11D8409F"/>
    <w:rsid w:val="11D95083"/>
    <w:rsid w:val="11DD2AAB"/>
    <w:rsid w:val="11DE26F2"/>
    <w:rsid w:val="11DF6987"/>
    <w:rsid w:val="11EA23C8"/>
    <w:rsid w:val="11EB5C95"/>
    <w:rsid w:val="11ED6242"/>
    <w:rsid w:val="11F27C95"/>
    <w:rsid w:val="12010E7D"/>
    <w:rsid w:val="12011B1E"/>
    <w:rsid w:val="120506CD"/>
    <w:rsid w:val="12075A2C"/>
    <w:rsid w:val="120A0C4D"/>
    <w:rsid w:val="120A38DA"/>
    <w:rsid w:val="12101A57"/>
    <w:rsid w:val="12193170"/>
    <w:rsid w:val="12193813"/>
    <w:rsid w:val="121D6AE3"/>
    <w:rsid w:val="121F75CC"/>
    <w:rsid w:val="12271CB0"/>
    <w:rsid w:val="122C1A12"/>
    <w:rsid w:val="1232130B"/>
    <w:rsid w:val="12395D63"/>
    <w:rsid w:val="12401AD9"/>
    <w:rsid w:val="12421E9D"/>
    <w:rsid w:val="1248421F"/>
    <w:rsid w:val="12571C4D"/>
    <w:rsid w:val="125C09FF"/>
    <w:rsid w:val="12657F0C"/>
    <w:rsid w:val="126830F6"/>
    <w:rsid w:val="126B5207"/>
    <w:rsid w:val="126F57E1"/>
    <w:rsid w:val="12760E78"/>
    <w:rsid w:val="127673DB"/>
    <w:rsid w:val="127E0189"/>
    <w:rsid w:val="12810A1D"/>
    <w:rsid w:val="12854B81"/>
    <w:rsid w:val="12927837"/>
    <w:rsid w:val="12A30BAA"/>
    <w:rsid w:val="12A709D5"/>
    <w:rsid w:val="12A867C5"/>
    <w:rsid w:val="12B56515"/>
    <w:rsid w:val="12BE11B2"/>
    <w:rsid w:val="12BE1828"/>
    <w:rsid w:val="12C10F70"/>
    <w:rsid w:val="12C21464"/>
    <w:rsid w:val="12C40A29"/>
    <w:rsid w:val="12C42DA1"/>
    <w:rsid w:val="12C45CF0"/>
    <w:rsid w:val="12C948D2"/>
    <w:rsid w:val="12CB14EE"/>
    <w:rsid w:val="12CE6902"/>
    <w:rsid w:val="12D54B1A"/>
    <w:rsid w:val="12EE0F39"/>
    <w:rsid w:val="12EF155A"/>
    <w:rsid w:val="12F17350"/>
    <w:rsid w:val="12F712FB"/>
    <w:rsid w:val="12FA0E2E"/>
    <w:rsid w:val="12FF7A62"/>
    <w:rsid w:val="13037A88"/>
    <w:rsid w:val="133844CA"/>
    <w:rsid w:val="1347596A"/>
    <w:rsid w:val="13477178"/>
    <w:rsid w:val="134B5A55"/>
    <w:rsid w:val="134C0AA1"/>
    <w:rsid w:val="134F5D9B"/>
    <w:rsid w:val="136041BC"/>
    <w:rsid w:val="136F4FE6"/>
    <w:rsid w:val="13713F6F"/>
    <w:rsid w:val="13762A14"/>
    <w:rsid w:val="13790756"/>
    <w:rsid w:val="137B6EE7"/>
    <w:rsid w:val="137E2E27"/>
    <w:rsid w:val="138C25C7"/>
    <w:rsid w:val="138E741D"/>
    <w:rsid w:val="138F279E"/>
    <w:rsid w:val="1390357D"/>
    <w:rsid w:val="139670E5"/>
    <w:rsid w:val="13970D93"/>
    <w:rsid w:val="139F1C24"/>
    <w:rsid w:val="13A023E7"/>
    <w:rsid w:val="13A04270"/>
    <w:rsid w:val="13A86C77"/>
    <w:rsid w:val="13A90344"/>
    <w:rsid w:val="13A9454D"/>
    <w:rsid w:val="13B35BBD"/>
    <w:rsid w:val="13BF3D28"/>
    <w:rsid w:val="13C32466"/>
    <w:rsid w:val="13C77F07"/>
    <w:rsid w:val="13CE4E2F"/>
    <w:rsid w:val="13CF48B4"/>
    <w:rsid w:val="13E45E4B"/>
    <w:rsid w:val="13F211C8"/>
    <w:rsid w:val="13F57229"/>
    <w:rsid w:val="13F60043"/>
    <w:rsid w:val="13F63AC9"/>
    <w:rsid w:val="13FF4761"/>
    <w:rsid w:val="1401651E"/>
    <w:rsid w:val="14065625"/>
    <w:rsid w:val="14127CF3"/>
    <w:rsid w:val="1416357F"/>
    <w:rsid w:val="14175C6D"/>
    <w:rsid w:val="14182B9E"/>
    <w:rsid w:val="141A193D"/>
    <w:rsid w:val="14211963"/>
    <w:rsid w:val="142160CA"/>
    <w:rsid w:val="142E4E6B"/>
    <w:rsid w:val="14332094"/>
    <w:rsid w:val="143B554F"/>
    <w:rsid w:val="144128ED"/>
    <w:rsid w:val="144D721A"/>
    <w:rsid w:val="14504C78"/>
    <w:rsid w:val="14552700"/>
    <w:rsid w:val="1455301F"/>
    <w:rsid w:val="145E0ED6"/>
    <w:rsid w:val="145F4E9E"/>
    <w:rsid w:val="1468041E"/>
    <w:rsid w:val="146A5814"/>
    <w:rsid w:val="146D4E79"/>
    <w:rsid w:val="1479121F"/>
    <w:rsid w:val="147C1504"/>
    <w:rsid w:val="148112AD"/>
    <w:rsid w:val="14933736"/>
    <w:rsid w:val="149D19D1"/>
    <w:rsid w:val="14AA1497"/>
    <w:rsid w:val="14AD2447"/>
    <w:rsid w:val="14BD0C90"/>
    <w:rsid w:val="14BD7435"/>
    <w:rsid w:val="14D41B03"/>
    <w:rsid w:val="14E11E90"/>
    <w:rsid w:val="14EC7262"/>
    <w:rsid w:val="14F50637"/>
    <w:rsid w:val="14F56962"/>
    <w:rsid w:val="14FD3DC3"/>
    <w:rsid w:val="15052F44"/>
    <w:rsid w:val="152446F6"/>
    <w:rsid w:val="15274A34"/>
    <w:rsid w:val="152C74BF"/>
    <w:rsid w:val="152E54C4"/>
    <w:rsid w:val="1535555F"/>
    <w:rsid w:val="15382813"/>
    <w:rsid w:val="154B27A9"/>
    <w:rsid w:val="154B6CF6"/>
    <w:rsid w:val="15516306"/>
    <w:rsid w:val="155B06BC"/>
    <w:rsid w:val="155B6FCC"/>
    <w:rsid w:val="15620F8B"/>
    <w:rsid w:val="156514F3"/>
    <w:rsid w:val="156816E7"/>
    <w:rsid w:val="15707694"/>
    <w:rsid w:val="157477F0"/>
    <w:rsid w:val="157839EE"/>
    <w:rsid w:val="157F4B83"/>
    <w:rsid w:val="15864057"/>
    <w:rsid w:val="158A2F64"/>
    <w:rsid w:val="158C53F6"/>
    <w:rsid w:val="15946EC2"/>
    <w:rsid w:val="1594709F"/>
    <w:rsid w:val="159B1410"/>
    <w:rsid w:val="159D2E6C"/>
    <w:rsid w:val="15A625C0"/>
    <w:rsid w:val="15A70541"/>
    <w:rsid w:val="15A7643A"/>
    <w:rsid w:val="15AD4348"/>
    <w:rsid w:val="15AD7612"/>
    <w:rsid w:val="15B96153"/>
    <w:rsid w:val="15BC619F"/>
    <w:rsid w:val="15BF618A"/>
    <w:rsid w:val="15C40EFF"/>
    <w:rsid w:val="15CA097E"/>
    <w:rsid w:val="15D33940"/>
    <w:rsid w:val="15D92955"/>
    <w:rsid w:val="15EF3424"/>
    <w:rsid w:val="15F5535B"/>
    <w:rsid w:val="15F569FA"/>
    <w:rsid w:val="15F656C7"/>
    <w:rsid w:val="15F85F00"/>
    <w:rsid w:val="15F969EC"/>
    <w:rsid w:val="16005D04"/>
    <w:rsid w:val="1607152F"/>
    <w:rsid w:val="160D7883"/>
    <w:rsid w:val="160E7A4D"/>
    <w:rsid w:val="16104DB0"/>
    <w:rsid w:val="1613433D"/>
    <w:rsid w:val="16200AF2"/>
    <w:rsid w:val="162E270B"/>
    <w:rsid w:val="162E2ADD"/>
    <w:rsid w:val="16313AA6"/>
    <w:rsid w:val="163267A4"/>
    <w:rsid w:val="163C0B35"/>
    <w:rsid w:val="16405266"/>
    <w:rsid w:val="164561DB"/>
    <w:rsid w:val="1651617C"/>
    <w:rsid w:val="165A2EC2"/>
    <w:rsid w:val="165F5BB0"/>
    <w:rsid w:val="16672683"/>
    <w:rsid w:val="166852CC"/>
    <w:rsid w:val="16696EE3"/>
    <w:rsid w:val="16713663"/>
    <w:rsid w:val="167518D2"/>
    <w:rsid w:val="168864E9"/>
    <w:rsid w:val="16900241"/>
    <w:rsid w:val="16907088"/>
    <w:rsid w:val="1697702E"/>
    <w:rsid w:val="169A4327"/>
    <w:rsid w:val="169D4FCC"/>
    <w:rsid w:val="16A26D59"/>
    <w:rsid w:val="16A31912"/>
    <w:rsid w:val="16A52825"/>
    <w:rsid w:val="16A56817"/>
    <w:rsid w:val="16A60389"/>
    <w:rsid w:val="16AC66DD"/>
    <w:rsid w:val="16AD326E"/>
    <w:rsid w:val="16B06BAD"/>
    <w:rsid w:val="16B17712"/>
    <w:rsid w:val="16B95CF7"/>
    <w:rsid w:val="16BC6189"/>
    <w:rsid w:val="16C42B77"/>
    <w:rsid w:val="16D55B33"/>
    <w:rsid w:val="16D74218"/>
    <w:rsid w:val="16DD2E8B"/>
    <w:rsid w:val="16E376E7"/>
    <w:rsid w:val="16E40C30"/>
    <w:rsid w:val="16E72981"/>
    <w:rsid w:val="16EB66D9"/>
    <w:rsid w:val="16EE35CD"/>
    <w:rsid w:val="16F47BF5"/>
    <w:rsid w:val="16F500A9"/>
    <w:rsid w:val="16F872C3"/>
    <w:rsid w:val="16FA06E3"/>
    <w:rsid w:val="170167F2"/>
    <w:rsid w:val="17035AAC"/>
    <w:rsid w:val="17054499"/>
    <w:rsid w:val="170B0BD9"/>
    <w:rsid w:val="170D5EDA"/>
    <w:rsid w:val="17182913"/>
    <w:rsid w:val="17197EC3"/>
    <w:rsid w:val="171D173A"/>
    <w:rsid w:val="171E2D1A"/>
    <w:rsid w:val="172E1BBE"/>
    <w:rsid w:val="17377B8C"/>
    <w:rsid w:val="173A6824"/>
    <w:rsid w:val="173B1FA1"/>
    <w:rsid w:val="173B2D4F"/>
    <w:rsid w:val="173C594E"/>
    <w:rsid w:val="173D1596"/>
    <w:rsid w:val="17503F57"/>
    <w:rsid w:val="17505DD6"/>
    <w:rsid w:val="17586CB0"/>
    <w:rsid w:val="17596CA9"/>
    <w:rsid w:val="17600681"/>
    <w:rsid w:val="17665D9F"/>
    <w:rsid w:val="17696EA4"/>
    <w:rsid w:val="17795030"/>
    <w:rsid w:val="177B0627"/>
    <w:rsid w:val="177D3C16"/>
    <w:rsid w:val="178501CB"/>
    <w:rsid w:val="178A042D"/>
    <w:rsid w:val="178A1F82"/>
    <w:rsid w:val="17916104"/>
    <w:rsid w:val="17920EA7"/>
    <w:rsid w:val="1797450B"/>
    <w:rsid w:val="17985148"/>
    <w:rsid w:val="17A644BF"/>
    <w:rsid w:val="17A92F07"/>
    <w:rsid w:val="17B23E0F"/>
    <w:rsid w:val="17B31B32"/>
    <w:rsid w:val="17B80549"/>
    <w:rsid w:val="17C063A0"/>
    <w:rsid w:val="17C16366"/>
    <w:rsid w:val="17C76A67"/>
    <w:rsid w:val="17CA22FD"/>
    <w:rsid w:val="17DA0F7A"/>
    <w:rsid w:val="17DC2D7F"/>
    <w:rsid w:val="17E95276"/>
    <w:rsid w:val="17EA38A1"/>
    <w:rsid w:val="17EB77A3"/>
    <w:rsid w:val="17EC5E41"/>
    <w:rsid w:val="17F8667B"/>
    <w:rsid w:val="1806537C"/>
    <w:rsid w:val="18066C18"/>
    <w:rsid w:val="1809630E"/>
    <w:rsid w:val="181C2683"/>
    <w:rsid w:val="181E4167"/>
    <w:rsid w:val="18341D76"/>
    <w:rsid w:val="18351C27"/>
    <w:rsid w:val="18553A22"/>
    <w:rsid w:val="18607956"/>
    <w:rsid w:val="1866144B"/>
    <w:rsid w:val="186E420E"/>
    <w:rsid w:val="187A14AA"/>
    <w:rsid w:val="187B7B4F"/>
    <w:rsid w:val="1887188F"/>
    <w:rsid w:val="18931E98"/>
    <w:rsid w:val="18935E66"/>
    <w:rsid w:val="18A35548"/>
    <w:rsid w:val="18A63203"/>
    <w:rsid w:val="18A77689"/>
    <w:rsid w:val="18A816B2"/>
    <w:rsid w:val="18B25B64"/>
    <w:rsid w:val="18B8431F"/>
    <w:rsid w:val="18B90C48"/>
    <w:rsid w:val="18BC4ADF"/>
    <w:rsid w:val="18BD1521"/>
    <w:rsid w:val="18BD2E66"/>
    <w:rsid w:val="18BE7EAB"/>
    <w:rsid w:val="18CF2450"/>
    <w:rsid w:val="18D7372F"/>
    <w:rsid w:val="18DA12E6"/>
    <w:rsid w:val="18DD12E4"/>
    <w:rsid w:val="18E261B8"/>
    <w:rsid w:val="18E62F4B"/>
    <w:rsid w:val="18E85386"/>
    <w:rsid w:val="18FC503B"/>
    <w:rsid w:val="19027C40"/>
    <w:rsid w:val="19087B90"/>
    <w:rsid w:val="190E3326"/>
    <w:rsid w:val="190E3538"/>
    <w:rsid w:val="19164D1E"/>
    <w:rsid w:val="191C588D"/>
    <w:rsid w:val="1927395B"/>
    <w:rsid w:val="192D514C"/>
    <w:rsid w:val="193544CD"/>
    <w:rsid w:val="19443AA2"/>
    <w:rsid w:val="1945355B"/>
    <w:rsid w:val="194817FC"/>
    <w:rsid w:val="194A0D45"/>
    <w:rsid w:val="194A2ADB"/>
    <w:rsid w:val="195159CB"/>
    <w:rsid w:val="195961D5"/>
    <w:rsid w:val="195C14E8"/>
    <w:rsid w:val="196515C3"/>
    <w:rsid w:val="197859DA"/>
    <w:rsid w:val="1980769C"/>
    <w:rsid w:val="19884F66"/>
    <w:rsid w:val="19917CFC"/>
    <w:rsid w:val="1997576B"/>
    <w:rsid w:val="1998697F"/>
    <w:rsid w:val="199A20B4"/>
    <w:rsid w:val="19A71B82"/>
    <w:rsid w:val="19A7328C"/>
    <w:rsid w:val="19B84C88"/>
    <w:rsid w:val="19C50AD6"/>
    <w:rsid w:val="19C6694E"/>
    <w:rsid w:val="19CC0DE5"/>
    <w:rsid w:val="19D11E61"/>
    <w:rsid w:val="19D5618C"/>
    <w:rsid w:val="19E22401"/>
    <w:rsid w:val="19E23808"/>
    <w:rsid w:val="19F44B16"/>
    <w:rsid w:val="1A00532F"/>
    <w:rsid w:val="1A040FBD"/>
    <w:rsid w:val="1A067DCA"/>
    <w:rsid w:val="1A102A1C"/>
    <w:rsid w:val="1A13214F"/>
    <w:rsid w:val="1A434C13"/>
    <w:rsid w:val="1A4E18BB"/>
    <w:rsid w:val="1A5C550E"/>
    <w:rsid w:val="1A5E5759"/>
    <w:rsid w:val="1A61514E"/>
    <w:rsid w:val="1A624E9D"/>
    <w:rsid w:val="1A6F769D"/>
    <w:rsid w:val="1A712AE5"/>
    <w:rsid w:val="1A74386E"/>
    <w:rsid w:val="1A783427"/>
    <w:rsid w:val="1A7B0419"/>
    <w:rsid w:val="1A8A143B"/>
    <w:rsid w:val="1A954C9C"/>
    <w:rsid w:val="1AA67BD3"/>
    <w:rsid w:val="1AC70097"/>
    <w:rsid w:val="1ACC39D6"/>
    <w:rsid w:val="1ADE0868"/>
    <w:rsid w:val="1AF7489C"/>
    <w:rsid w:val="1AF86B17"/>
    <w:rsid w:val="1AFA3523"/>
    <w:rsid w:val="1AFD3AEA"/>
    <w:rsid w:val="1B05238D"/>
    <w:rsid w:val="1B13587B"/>
    <w:rsid w:val="1B1D44BA"/>
    <w:rsid w:val="1B2C07D2"/>
    <w:rsid w:val="1B2C5EE0"/>
    <w:rsid w:val="1B33077D"/>
    <w:rsid w:val="1B3604D3"/>
    <w:rsid w:val="1B364D11"/>
    <w:rsid w:val="1B3865C6"/>
    <w:rsid w:val="1B3E5EDE"/>
    <w:rsid w:val="1B433153"/>
    <w:rsid w:val="1B467529"/>
    <w:rsid w:val="1B4B00CA"/>
    <w:rsid w:val="1B566C78"/>
    <w:rsid w:val="1B5F1247"/>
    <w:rsid w:val="1B6307EA"/>
    <w:rsid w:val="1B717940"/>
    <w:rsid w:val="1B79696C"/>
    <w:rsid w:val="1B7E1824"/>
    <w:rsid w:val="1B825166"/>
    <w:rsid w:val="1B890C23"/>
    <w:rsid w:val="1B9411FC"/>
    <w:rsid w:val="1B9D6CE8"/>
    <w:rsid w:val="1BA63F57"/>
    <w:rsid w:val="1BA866D1"/>
    <w:rsid w:val="1BBB422B"/>
    <w:rsid w:val="1BC600B5"/>
    <w:rsid w:val="1BCD55F8"/>
    <w:rsid w:val="1BE011AE"/>
    <w:rsid w:val="1BE02AAF"/>
    <w:rsid w:val="1BE30F90"/>
    <w:rsid w:val="1BE31093"/>
    <w:rsid w:val="1BE956C8"/>
    <w:rsid w:val="1C022294"/>
    <w:rsid w:val="1C0B35D4"/>
    <w:rsid w:val="1C0E49E6"/>
    <w:rsid w:val="1C12573D"/>
    <w:rsid w:val="1C1D1EE2"/>
    <w:rsid w:val="1C234861"/>
    <w:rsid w:val="1C2E319B"/>
    <w:rsid w:val="1C3477C5"/>
    <w:rsid w:val="1C4F6563"/>
    <w:rsid w:val="1C545F3D"/>
    <w:rsid w:val="1C556488"/>
    <w:rsid w:val="1C563FE3"/>
    <w:rsid w:val="1C5A182A"/>
    <w:rsid w:val="1C62402E"/>
    <w:rsid w:val="1C62587C"/>
    <w:rsid w:val="1C6818E0"/>
    <w:rsid w:val="1C6F3BF6"/>
    <w:rsid w:val="1C722E7E"/>
    <w:rsid w:val="1C784A9F"/>
    <w:rsid w:val="1C7D008B"/>
    <w:rsid w:val="1C7D2EB6"/>
    <w:rsid w:val="1C805B43"/>
    <w:rsid w:val="1C852BB0"/>
    <w:rsid w:val="1C8D54A8"/>
    <w:rsid w:val="1C8D59DD"/>
    <w:rsid w:val="1C8E63A1"/>
    <w:rsid w:val="1C9651FD"/>
    <w:rsid w:val="1C9C41C6"/>
    <w:rsid w:val="1CA42FB6"/>
    <w:rsid w:val="1CAF4AE5"/>
    <w:rsid w:val="1CB21A29"/>
    <w:rsid w:val="1CCB32EE"/>
    <w:rsid w:val="1CD23361"/>
    <w:rsid w:val="1CD35882"/>
    <w:rsid w:val="1CE302F7"/>
    <w:rsid w:val="1CEC4F96"/>
    <w:rsid w:val="1CF13B49"/>
    <w:rsid w:val="1CF52075"/>
    <w:rsid w:val="1CF70EE3"/>
    <w:rsid w:val="1CFE7E6D"/>
    <w:rsid w:val="1D011F4C"/>
    <w:rsid w:val="1D0D1F95"/>
    <w:rsid w:val="1D1C7AC2"/>
    <w:rsid w:val="1D1D6A85"/>
    <w:rsid w:val="1D207BFC"/>
    <w:rsid w:val="1D230741"/>
    <w:rsid w:val="1D2F0DCA"/>
    <w:rsid w:val="1D397D96"/>
    <w:rsid w:val="1D3A5DFA"/>
    <w:rsid w:val="1D3E30CF"/>
    <w:rsid w:val="1D3E57BA"/>
    <w:rsid w:val="1D3F5BF4"/>
    <w:rsid w:val="1D49558F"/>
    <w:rsid w:val="1D4B4B5A"/>
    <w:rsid w:val="1D584348"/>
    <w:rsid w:val="1D597DDF"/>
    <w:rsid w:val="1D5D209F"/>
    <w:rsid w:val="1D6D4785"/>
    <w:rsid w:val="1D6E27CD"/>
    <w:rsid w:val="1D767ADA"/>
    <w:rsid w:val="1D7A0D45"/>
    <w:rsid w:val="1D845021"/>
    <w:rsid w:val="1D861B2D"/>
    <w:rsid w:val="1D896FB3"/>
    <w:rsid w:val="1D91741D"/>
    <w:rsid w:val="1D9318C5"/>
    <w:rsid w:val="1D941B55"/>
    <w:rsid w:val="1DAB7998"/>
    <w:rsid w:val="1DB01072"/>
    <w:rsid w:val="1DB2076E"/>
    <w:rsid w:val="1DB43F2E"/>
    <w:rsid w:val="1DBE6DCD"/>
    <w:rsid w:val="1DC2628A"/>
    <w:rsid w:val="1DCF57CE"/>
    <w:rsid w:val="1DCF7FF5"/>
    <w:rsid w:val="1DD11EB5"/>
    <w:rsid w:val="1DD246EC"/>
    <w:rsid w:val="1DD63079"/>
    <w:rsid w:val="1DD859F5"/>
    <w:rsid w:val="1DDA6EEA"/>
    <w:rsid w:val="1DDD63A7"/>
    <w:rsid w:val="1DE56ABE"/>
    <w:rsid w:val="1DFC4DF9"/>
    <w:rsid w:val="1E0435A0"/>
    <w:rsid w:val="1E110D2A"/>
    <w:rsid w:val="1E1247A2"/>
    <w:rsid w:val="1E155062"/>
    <w:rsid w:val="1E193E9C"/>
    <w:rsid w:val="1E1B38E9"/>
    <w:rsid w:val="1E1B7186"/>
    <w:rsid w:val="1E303EF3"/>
    <w:rsid w:val="1E3303CE"/>
    <w:rsid w:val="1E3F6D05"/>
    <w:rsid w:val="1E494B8A"/>
    <w:rsid w:val="1E4F0222"/>
    <w:rsid w:val="1E5C2AF3"/>
    <w:rsid w:val="1E795C41"/>
    <w:rsid w:val="1E7E640D"/>
    <w:rsid w:val="1E7F3A72"/>
    <w:rsid w:val="1E8064D3"/>
    <w:rsid w:val="1E861E21"/>
    <w:rsid w:val="1E8A4B46"/>
    <w:rsid w:val="1EA72270"/>
    <w:rsid w:val="1EBD6E42"/>
    <w:rsid w:val="1EC25D1C"/>
    <w:rsid w:val="1EC74AB4"/>
    <w:rsid w:val="1EC87ABC"/>
    <w:rsid w:val="1ED242FC"/>
    <w:rsid w:val="1ED56C03"/>
    <w:rsid w:val="1EDA0174"/>
    <w:rsid w:val="1EDA3DBE"/>
    <w:rsid w:val="1EDB3888"/>
    <w:rsid w:val="1EE05F54"/>
    <w:rsid w:val="1EE332A7"/>
    <w:rsid w:val="1EF579A0"/>
    <w:rsid w:val="1F05532C"/>
    <w:rsid w:val="1F095121"/>
    <w:rsid w:val="1F0C3604"/>
    <w:rsid w:val="1F0D0383"/>
    <w:rsid w:val="1F0F4C7A"/>
    <w:rsid w:val="1F1527EE"/>
    <w:rsid w:val="1F20034A"/>
    <w:rsid w:val="1F251ABC"/>
    <w:rsid w:val="1F290391"/>
    <w:rsid w:val="1F2A2D10"/>
    <w:rsid w:val="1F370102"/>
    <w:rsid w:val="1F3F0073"/>
    <w:rsid w:val="1F43546C"/>
    <w:rsid w:val="1F48506F"/>
    <w:rsid w:val="1F4B10C3"/>
    <w:rsid w:val="1F5C7F87"/>
    <w:rsid w:val="1F6C1D79"/>
    <w:rsid w:val="1F792E9A"/>
    <w:rsid w:val="1F7B67F6"/>
    <w:rsid w:val="1F7C518B"/>
    <w:rsid w:val="1F881F59"/>
    <w:rsid w:val="1F971B7F"/>
    <w:rsid w:val="1F977565"/>
    <w:rsid w:val="1F9B644E"/>
    <w:rsid w:val="1FA22246"/>
    <w:rsid w:val="1FA429B4"/>
    <w:rsid w:val="1FAC06FF"/>
    <w:rsid w:val="1FB34801"/>
    <w:rsid w:val="1FB75185"/>
    <w:rsid w:val="1FB97163"/>
    <w:rsid w:val="1FBD0EE6"/>
    <w:rsid w:val="1FC10346"/>
    <w:rsid w:val="1FC16504"/>
    <w:rsid w:val="1FDB745E"/>
    <w:rsid w:val="1FDD028C"/>
    <w:rsid w:val="1FF33513"/>
    <w:rsid w:val="1FF955B0"/>
    <w:rsid w:val="1FFA3EAB"/>
    <w:rsid w:val="1FFB3FF4"/>
    <w:rsid w:val="1FFC1294"/>
    <w:rsid w:val="1FFC4541"/>
    <w:rsid w:val="200B6448"/>
    <w:rsid w:val="20176E76"/>
    <w:rsid w:val="201C2D60"/>
    <w:rsid w:val="20270162"/>
    <w:rsid w:val="203F0CD6"/>
    <w:rsid w:val="20421E9D"/>
    <w:rsid w:val="204439A4"/>
    <w:rsid w:val="20655E4F"/>
    <w:rsid w:val="20721F6B"/>
    <w:rsid w:val="207308C3"/>
    <w:rsid w:val="207411D3"/>
    <w:rsid w:val="20743131"/>
    <w:rsid w:val="207536DF"/>
    <w:rsid w:val="20783BF9"/>
    <w:rsid w:val="20786435"/>
    <w:rsid w:val="20802CF5"/>
    <w:rsid w:val="20811113"/>
    <w:rsid w:val="20874766"/>
    <w:rsid w:val="2088281D"/>
    <w:rsid w:val="2088475A"/>
    <w:rsid w:val="20917F9C"/>
    <w:rsid w:val="2094661E"/>
    <w:rsid w:val="20951ED4"/>
    <w:rsid w:val="20962536"/>
    <w:rsid w:val="20AF5726"/>
    <w:rsid w:val="20AF5A47"/>
    <w:rsid w:val="20B50E80"/>
    <w:rsid w:val="20B71F63"/>
    <w:rsid w:val="20B7483F"/>
    <w:rsid w:val="20BD02A3"/>
    <w:rsid w:val="20BE1841"/>
    <w:rsid w:val="20D078F3"/>
    <w:rsid w:val="20D200AD"/>
    <w:rsid w:val="20D95B71"/>
    <w:rsid w:val="20DA60A5"/>
    <w:rsid w:val="20DB223A"/>
    <w:rsid w:val="20E51C80"/>
    <w:rsid w:val="20E61367"/>
    <w:rsid w:val="20EC58CB"/>
    <w:rsid w:val="20F17304"/>
    <w:rsid w:val="21007C49"/>
    <w:rsid w:val="21014223"/>
    <w:rsid w:val="21200021"/>
    <w:rsid w:val="21257F04"/>
    <w:rsid w:val="21291A31"/>
    <w:rsid w:val="213445FE"/>
    <w:rsid w:val="21353F50"/>
    <w:rsid w:val="2138052E"/>
    <w:rsid w:val="213C3CC5"/>
    <w:rsid w:val="214776EA"/>
    <w:rsid w:val="21522E38"/>
    <w:rsid w:val="2159046C"/>
    <w:rsid w:val="21592762"/>
    <w:rsid w:val="215F3A68"/>
    <w:rsid w:val="21611A31"/>
    <w:rsid w:val="21635586"/>
    <w:rsid w:val="21760888"/>
    <w:rsid w:val="217B17E2"/>
    <w:rsid w:val="217F1BFD"/>
    <w:rsid w:val="218810BD"/>
    <w:rsid w:val="218D61A9"/>
    <w:rsid w:val="218F7263"/>
    <w:rsid w:val="2190117D"/>
    <w:rsid w:val="219140F2"/>
    <w:rsid w:val="21994057"/>
    <w:rsid w:val="219A79A2"/>
    <w:rsid w:val="219F1479"/>
    <w:rsid w:val="21A34664"/>
    <w:rsid w:val="21B80E8C"/>
    <w:rsid w:val="21B91F5E"/>
    <w:rsid w:val="21C24072"/>
    <w:rsid w:val="21C73828"/>
    <w:rsid w:val="21D55950"/>
    <w:rsid w:val="21D965A1"/>
    <w:rsid w:val="21E11782"/>
    <w:rsid w:val="21E14B35"/>
    <w:rsid w:val="21E617C0"/>
    <w:rsid w:val="21EC3E44"/>
    <w:rsid w:val="21F002DA"/>
    <w:rsid w:val="21F2539C"/>
    <w:rsid w:val="21F533B9"/>
    <w:rsid w:val="21F65A58"/>
    <w:rsid w:val="21FB61D0"/>
    <w:rsid w:val="220B3AD6"/>
    <w:rsid w:val="22191ECB"/>
    <w:rsid w:val="221E272E"/>
    <w:rsid w:val="2221560D"/>
    <w:rsid w:val="222A1FFE"/>
    <w:rsid w:val="222B075F"/>
    <w:rsid w:val="22367DC0"/>
    <w:rsid w:val="223C2D91"/>
    <w:rsid w:val="22426753"/>
    <w:rsid w:val="224D7BB0"/>
    <w:rsid w:val="22541D32"/>
    <w:rsid w:val="225474CD"/>
    <w:rsid w:val="225E1754"/>
    <w:rsid w:val="225F0409"/>
    <w:rsid w:val="225F51CF"/>
    <w:rsid w:val="226A54A8"/>
    <w:rsid w:val="226D42BA"/>
    <w:rsid w:val="227078B0"/>
    <w:rsid w:val="2271187B"/>
    <w:rsid w:val="22833161"/>
    <w:rsid w:val="228338C8"/>
    <w:rsid w:val="22840DDA"/>
    <w:rsid w:val="22876A0D"/>
    <w:rsid w:val="22A11695"/>
    <w:rsid w:val="22A63B38"/>
    <w:rsid w:val="22A73490"/>
    <w:rsid w:val="22A8489A"/>
    <w:rsid w:val="22AA7376"/>
    <w:rsid w:val="22AB3B60"/>
    <w:rsid w:val="22AF11A1"/>
    <w:rsid w:val="22B22D1F"/>
    <w:rsid w:val="22B33D99"/>
    <w:rsid w:val="22B83EF7"/>
    <w:rsid w:val="22BB4A47"/>
    <w:rsid w:val="22BC2773"/>
    <w:rsid w:val="22BE29D6"/>
    <w:rsid w:val="22C27BE8"/>
    <w:rsid w:val="22C4003E"/>
    <w:rsid w:val="22CB2F4B"/>
    <w:rsid w:val="22D02654"/>
    <w:rsid w:val="22D10E4B"/>
    <w:rsid w:val="22D90210"/>
    <w:rsid w:val="22D912F9"/>
    <w:rsid w:val="22E1284D"/>
    <w:rsid w:val="22E73006"/>
    <w:rsid w:val="22EB3773"/>
    <w:rsid w:val="22EE13BE"/>
    <w:rsid w:val="22F31E85"/>
    <w:rsid w:val="22F71A54"/>
    <w:rsid w:val="22F74CC6"/>
    <w:rsid w:val="22FB2321"/>
    <w:rsid w:val="22FF6AA7"/>
    <w:rsid w:val="2306325F"/>
    <w:rsid w:val="230749DA"/>
    <w:rsid w:val="230753E2"/>
    <w:rsid w:val="230F5270"/>
    <w:rsid w:val="2311101C"/>
    <w:rsid w:val="231869B1"/>
    <w:rsid w:val="2319089C"/>
    <w:rsid w:val="231B2491"/>
    <w:rsid w:val="232515D0"/>
    <w:rsid w:val="232F45E5"/>
    <w:rsid w:val="23382F5D"/>
    <w:rsid w:val="233857DC"/>
    <w:rsid w:val="233E2231"/>
    <w:rsid w:val="23443C8F"/>
    <w:rsid w:val="23561548"/>
    <w:rsid w:val="23561CD1"/>
    <w:rsid w:val="235E47B6"/>
    <w:rsid w:val="23644FB5"/>
    <w:rsid w:val="23646298"/>
    <w:rsid w:val="236B32CC"/>
    <w:rsid w:val="2372506B"/>
    <w:rsid w:val="2376691B"/>
    <w:rsid w:val="2378146C"/>
    <w:rsid w:val="238D2D50"/>
    <w:rsid w:val="238D66BE"/>
    <w:rsid w:val="23950A55"/>
    <w:rsid w:val="239540DC"/>
    <w:rsid w:val="23965F67"/>
    <w:rsid w:val="23A00272"/>
    <w:rsid w:val="23A02531"/>
    <w:rsid w:val="23A11F4F"/>
    <w:rsid w:val="23B41225"/>
    <w:rsid w:val="23BA6237"/>
    <w:rsid w:val="23BC048E"/>
    <w:rsid w:val="23C9616F"/>
    <w:rsid w:val="23CC0919"/>
    <w:rsid w:val="23CE659F"/>
    <w:rsid w:val="23CF7FD3"/>
    <w:rsid w:val="23D4199E"/>
    <w:rsid w:val="23DA6722"/>
    <w:rsid w:val="23DC01C4"/>
    <w:rsid w:val="23DC60E2"/>
    <w:rsid w:val="23E17EC8"/>
    <w:rsid w:val="23E47406"/>
    <w:rsid w:val="23E91B93"/>
    <w:rsid w:val="23F6160A"/>
    <w:rsid w:val="23FB72B1"/>
    <w:rsid w:val="24026C92"/>
    <w:rsid w:val="24027DBA"/>
    <w:rsid w:val="240657B6"/>
    <w:rsid w:val="240B36D8"/>
    <w:rsid w:val="240C2CCA"/>
    <w:rsid w:val="240C553C"/>
    <w:rsid w:val="241722EB"/>
    <w:rsid w:val="24323334"/>
    <w:rsid w:val="243336DA"/>
    <w:rsid w:val="24373DE9"/>
    <w:rsid w:val="243D6215"/>
    <w:rsid w:val="24482045"/>
    <w:rsid w:val="244F01D0"/>
    <w:rsid w:val="245226BE"/>
    <w:rsid w:val="245550BB"/>
    <w:rsid w:val="245A0102"/>
    <w:rsid w:val="2461318F"/>
    <w:rsid w:val="24662623"/>
    <w:rsid w:val="24673502"/>
    <w:rsid w:val="24676BCD"/>
    <w:rsid w:val="24676F22"/>
    <w:rsid w:val="2468531E"/>
    <w:rsid w:val="246D7EC6"/>
    <w:rsid w:val="24741D21"/>
    <w:rsid w:val="24750E49"/>
    <w:rsid w:val="24860612"/>
    <w:rsid w:val="24872D53"/>
    <w:rsid w:val="248E7D90"/>
    <w:rsid w:val="249321BF"/>
    <w:rsid w:val="249C0D83"/>
    <w:rsid w:val="24A033EE"/>
    <w:rsid w:val="24B51B12"/>
    <w:rsid w:val="24C434A5"/>
    <w:rsid w:val="24CA496C"/>
    <w:rsid w:val="24CB78C2"/>
    <w:rsid w:val="24D35568"/>
    <w:rsid w:val="24D72C44"/>
    <w:rsid w:val="24DB51FA"/>
    <w:rsid w:val="24E954E0"/>
    <w:rsid w:val="24F37FEF"/>
    <w:rsid w:val="24F82FB3"/>
    <w:rsid w:val="2504405A"/>
    <w:rsid w:val="251809ED"/>
    <w:rsid w:val="25241C4A"/>
    <w:rsid w:val="25265A8E"/>
    <w:rsid w:val="252A5159"/>
    <w:rsid w:val="25364407"/>
    <w:rsid w:val="25380B4A"/>
    <w:rsid w:val="253C2F3D"/>
    <w:rsid w:val="253C65AF"/>
    <w:rsid w:val="25410D56"/>
    <w:rsid w:val="254D55BA"/>
    <w:rsid w:val="254F6D5C"/>
    <w:rsid w:val="25644E19"/>
    <w:rsid w:val="256F1EB3"/>
    <w:rsid w:val="25720D21"/>
    <w:rsid w:val="257B7A7B"/>
    <w:rsid w:val="257C63F7"/>
    <w:rsid w:val="257E458B"/>
    <w:rsid w:val="258426BC"/>
    <w:rsid w:val="25867F54"/>
    <w:rsid w:val="258B4AE4"/>
    <w:rsid w:val="258C3B89"/>
    <w:rsid w:val="258C6B00"/>
    <w:rsid w:val="258F1E2E"/>
    <w:rsid w:val="259114ED"/>
    <w:rsid w:val="2593720A"/>
    <w:rsid w:val="25996F48"/>
    <w:rsid w:val="259A3CB2"/>
    <w:rsid w:val="259E4C39"/>
    <w:rsid w:val="259E5828"/>
    <w:rsid w:val="25A92B92"/>
    <w:rsid w:val="25AB0A3D"/>
    <w:rsid w:val="25AC370D"/>
    <w:rsid w:val="25B22B68"/>
    <w:rsid w:val="25B5218E"/>
    <w:rsid w:val="25C15D16"/>
    <w:rsid w:val="25C20202"/>
    <w:rsid w:val="25C55B83"/>
    <w:rsid w:val="25CD5BF1"/>
    <w:rsid w:val="25CD62C3"/>
    <w:rsid w:val="25D31208"/>
    <w:rsid w:val="25DA65CA"/>
    <w:rsid w:val="25DB6649"/>
    <w:rsid w:val="25DD0809"/>
    <w:rsid w:val="25E27416"/>
    <w:rsid w:val="25E46656"/>
    <w:rsid w:val="25E47484"/>
    <w:rsid w:val="25E92FBE"/>
    <w:rsid w:val="25F17275"/>
    <w:rsid w:val="25F31E31"/>
    <w:rsid w:val="25F70EE4"/>
    <w:rsid w:val="25F83FB0"/>
    <w:rsid w:val="25FC0B75"/>
    <w:rsid w:val="260139F3"/>
    <w:rsid w:val="260556D5"/>
    <w:rsid w:val="26080DD9"/>
    <w:rsid w:val="26082798"/>
    <w:rsid w:val="26095114"/>
    <w:rsid w:val="260E454E"/>
    <w:rsid w:val="261464EE"/>
    <w:rsid w:val="26280E6C"/>
    <w:rsid w:val="262E05B0"/>
    <w:rsid w:val="26327A25"/>
    <w:rsid w:val="26331CBB"/>
    <w:rsid w:val="26372014"/>
    <w:rsid w:val="263E0859"/>
    <w:rsid w:val="263E1A96"/>
    <w:rsid w:val="26405937"/>
    <w:rsid w:val="26433FB7"/>
    <w:rsid w:val="26452DA3"/>
    <w:rsid w:val="26474B98"/>
    <w:rsid w:val="264D3294"/>
    <w:rsid w:val="266A2AD6"/>
    <w:rsid w:val="266C2FED"/>
    <w:rsid w:val="26783498"/>
    <w:rsid w:val="267A33D1"/>
    <w:rsid w:val="268246BC"/>
    <w:rsid w:val="268B7473"/>
    <w:rsid w:val="26952295"/>
    <w:rsid w:val="269626DF"/>
    <w:rsid w:val="269B7137"/>
    <w:rsid w:val="26A265DC"/>
    <w:rsid w:val="26AE5F52"/>
    <w:rsid w:val="26AE6F7F"/>
    <w:rsid w:val="26B32654"/>
    <w:rsid w:val="26B40C48"/>
    <w:rsid w:val="26B8056C"/>
    <w:rsid w:val="26C02BE5"/>
    <w:rsid w:val="26C87742"/>
    <w:rsid w:val="26CE5298"/>
    <w:rsid w:val="26E33E5B"/>
    <w:rsid w:val="26E70CA8"/>
    <w:rsid w:val="26EA7605"/>
    <w:rsid w:val="26F17CAD"/>
    <w:rsid w:val="26F51567"/>
    <w:rsid w:val="26F54808"/>
    <w:rsid w:val="26FB5D95"/>
    <w:rsid w:val="26FC2F8C"/>
    <w:rsid w:val="27094F93"/>
    <w:rsid w:val="270E05C8"/>
    <w:rsid w:val="27101BFD"/>
    <w:rsid w:val="27172021"/>
    <w:rsid w:val="27190D99"/>
    <w:rsid w:val="271927EF"/>
    <w:rsid w:val="271A253D"/>
    <w:rsid w:val="271A4B23"/>
    <w:rsid w:val="271C2CE9"/>
    <w:rsid w:val="27235746"/>
    <w:rsid w:val="2728264F"/>
    <w:rsid w:val="273E49F4"/>
    <w:rsid w:val="274321B1"/>
    <w:rsid w:val="27450C2D"/>
    <w:rsid w:val="274525DC"/>
    <w:rsid w:val="274652E6"/>
    <w:rsid w:val="27470851"/>
    <w:rsid w:val="27480748"/>
    <w:rsid w:val="274E0335"/>
    <w:rsid w:val="275D1356"/>
    <w:rsid w:val="275D4A89"/>
    <w:rsid w:val="27625310"/>
    <w:rsid w:val="27641213"/>
    <w:rsid w:val="277A2EC6"/>
    <w:rsid w:val="27841ADD"/>
    <w:rsid w:val="278B7262"/>
    <w:rsid w:val="278E7D5F"/>
    <w:rsid w:val="279429E3"/>
    <w:rsid w:val="27966F4A"/>
    <w:rsid w:val="27A16840"/>
    <w:rsid w:val="27A748BD"/>
    <w:rsid w:val="27A74D7A"/>
    <w:rsid w:val="27A75735"/>
    <w:rsid w:val="27A91AD2"/>
    <w:rsid w:val="27AE6E2D"/>
    <w:rsid w:val="27AF57B8"/>
    <w:rsid w:val="27B24596"/>
    <w:rsid w:val="27B25FFF"/>
    <w:rsid w:val="27BA12A7"/>
    <w:rsid w:val="27BA6BC4"/>
    <w:rsid w:val="27BC2EEA"/>
    <w:rsid w:val="27C70950"/>
    <w:rsid w:val="27C93064"/>
    <w:rsid w:val="27C96B67"/>
    <w:rsid w:val="27CB38EC"/>
    <w:rsid w:val="27CB5FF9"/>
    <w:rsid w:val="27CC0A3D"/>
    <w:rsid w:val="27D34267"/>
    <w:rsid w:val="27D62E6F"/>
    <w:rsid w:val="27D745E8"/>
    <w:rsid w:val="27E4169F"/>
    <w:rsid w:val="27E476BC"/>
    <w:rsid w:val="27E7338B"/>
    <w:rsid w:val="27EA3B97"/>
    <w:rsid w:val="27EF0430"/>
    <w:rsid w:val="27F32107"/>
    <w:rsid w:val="27FA5F82"/>
    <w:rsid w:val="28014303"/>
    <w:rsid w:val="280410A7"/>
    <w:rsid w:val="281713C1"/>
    <w:rsid w:val="28202089"/>
    <w:rsid w:val="28210C3B"/>
    <w:rsid w:val="283E3927"/>
    <w:rsid w:val="28432F7C"/>
    <w:rsid w:val="285065F4"/>
    <w:rsid w:val="28557C44"/>
    <w:rsid w:val="28564AD0"/>
    <w:rsid w:val="285E1540"/>
    <w:rsid w:val="28634EA7"/>
    <w:rsid w:val="2868554F"/>
    <w:rsid w:val="286A70A6"/>
    <w:rsid w:val="286D715D"/>
    <w:rsid w:val="28707EB9"/>
    <w:rsid w:val="28710251"/>
    <w:rsid w:val="287270BD"/>
    <w:rsid w:val="287508F6"/>
    <w:rsid w:val="288C7056"/>
    <w:rsid w:val="288F598A"/>
    <w:rsid w:val="289910F7"/>
    <w:rsid w:val="28A14F66"/>
    <w:rsid w:val="28A4234C"/>
    <w:rsid w:val="28A63531"/>
    <w:rsid w:val="28A773FC"/>
    <w:rsid w:val="28CA5B35"/>
    <w:rsid w:val="28D02425"/>
    <w:rsid w:val="28D527CA"/>
    <w:rsid w:val="28DB1A3D"/>
    <w:rsid w:val="28F133CC"/>
    <w:rsid w:val="28F729CE"/>
    <w:rsid w:val="28F934CA"/>
    <w:rsid w:val="28FA5F7F"/>
    <w:rsid w:val="29056F59"/>
    <w:rsid w:val="2907017C"/>
    <w:rsid w:val="29096557"/>
    <w:rsid w:val="291218C3"/>
    <w:rsid w:val="2912731C"/>
    <w:rsid w:val="29150A19"/>
    <w:rsid w:val="29157321"/>
    <w:rsid w:val="291F35AA"/>
    <w:rsid w:val="2925391D"/>
    <w:rsid w:val="292B0670"/>
    <w:rsid w:val="292E0A29"/>
    <w:rsid w:val="29325A72"/>
    <w:rsid w:val="2938341E"/>
    <w:rsid w:val="293A6E92"/>
    <w:rsid w:val="29566904"/>
    <w:rsid w:val="29582224"/>
    <w:rsid w:val="29585835"/>
    <w:rsid w:val="296074D7"/>
    <w:rsid w:val="29692EBD"/>
    <w:rsid w:val="29712D8F"/>
    <w:rsid w:val="29736267"/>
    <w:rsid w:val="297B31D3"/>
    <w:rsid w:val="298103BD"/>
    <w:rsid w:val="298D4850"/>
    <w:rsid w:val="29966295"/>
    <w:rsid w:val="29971F57"/>
    <w:rsid w:val="299C7DCA"/>
    <w:rsid w:val="29A021A8"/>
    <w:rsid w:val="29A942FB"/>
    <w:rsid w:val="29B344DC"/>
    <w:rsid w:val="29B539E6"/>
    <w:rsid w:val="29BA1399"/>
    <w:rsid w:val="29BC2699"/>
    <w:rsid w:val="29C8428C"/>
    <w:rsid w:val="29D4298C"/>
    <w:rsid w:val="29DD7E33"/>
    <w:rsid w:val="29E31C9C"/>
    <w:rsid w:val="29E55C12"/>
    <w:rsid w:val="29E81D60"/>
    <w:rsid w:val="29EA239E"/>
    <w:rsid w:val="29F035C0"/>
    <w:rsid w:val="29F05E16"/>
    <w:rsid w:val="29F54832"/>
    <w:rsid w:val="2A111075"/>
    <w:rsid w:val="2A160D87"/>
    <w:rsid w:val="2A22248B"/>
    <w:rsid w:val="2A307EBE"/>
    <w:rsid w:val="2A3E413F"/>
    <w:rsid w:val="2A430F4D"/>
    <w:rsid w:val="2A5303B9"/>
    <w:rsid w:val="2A534A67"/>
    <w:rsid w:val="2A5F67A3"/>
    <w:rsid w:val="2A6151C4"/>
    <w:rsid w:val="2A664C59"/>
    <w:rsid w:val="2A6B464E"/>
    <w:rsid w:val="2A944B48"/>
    <w:rsid w:val="2A9A0F2B"/>
    <w:rsid w:val="2AA07917"/>
    <w:rsid w:val="2AA1140C"/>
    <w:rsid w:val="2AA67F8B"/>
    <w:rsid w:val="2AAA31D9"/>
    <w:rsid w:val="2AAC289A"/>
    <w:rsid w:val="2AAF7EA7"/>
    <w:rsid w:val="2AB138BA"/>
    <w:rsid w:val="2AC51079"/>
    <w:rsid w:val="2ACA0984"/>
    <w:rsid w:val="2AD05182"/>
    <w:rsid w:val="2AE47A17"/>
    <w:rsid w:val="2AEB2740"/>
    <w:rsid w:val="2AF10140"/>
    <w:rsid w:val="2AF44191"/>
    <w:rsid w:val="2AF74347"/>
    <w:rsid w:val="2B0A4D59"/>
    <w:rsid w:val="2B1A32A0"/>
    <w:rsid w:val="2B26693B"/>
    <w:rsid w:val="2B2F1FC7"/>
    <w:rsid w:val="2B2F2F22"/>
    <w:rsid w:val="2B37764D"/>
    <w:rsid w:val="2B3B2AAC"/>
    <w:rsid w:val="2B3F6547"/>
    <w:rsid w:val="2B4F2967"/>
    <w:rsid w:val="2B5C1A7C"/>
    <w:rsid w:val="2B6525E9"/>
    <w:rsid w:val="2B6E19DB"/>
    <w:rsid w:val="2B756050"/>
    <w:rsid w:val="2B7C5660"/>
    <w:rsid w:val="2B8944AA"/>
    <w:rsid w:val="2B92679C"/>
    <w:rsid w:val="2B96506D"/>
    <w:rsid w:val="2B986BC6"/>
    <w:rsid w:val="2BA16669"/>
    <w:rsid w:val="2BAE20A5"/>
    <w:rsid w:val="2BAF2381"/>
    <w:rsid w:val="2BB1376A"/>
    <w:rsid w:val="2BB72470"/>
    <w:rsid w:val="2BBA7E05"/>
    <w:rsid w:val="2BBB17D5"/>
    <w:rsid w:val="2BC3413A"/>
    <w:rsid w:val="2BC45396"/>
    <w:rsid w:val="2BD540AD"/>
    <w:rsid w:val="2BDA10DE"/>
    <w:rsid w:val="2BF336C9"/>
    <w:rsid w:val="2BF33ED5"/>
    <w:rsid w:val="2BFB7405"/>
    <w:rsid w:val="2C006833"/>
    <w:rsid w:val="2C034F7B"/>
    <w:rsid w:val="2C040D89"/>
    <w:rsid w:val="2C0509D9"/>
    <w:rsid w:val="2C05481D"/>
    <w:rsid w:val="2C056AF9"/>
    <w:rsid w:val="2C220DB4"/>
    <w:rsid w:val="2C247FF1"/>
    <w:rsid w:val="2C3C0030"/>
    <w:rsid w:val="2C3F3887"/>
    <w:rsid w:val="2C45016F"/>
    <w:rsid w:val="2C516E38"/>
    <w:rsid w:val="2C533A6A"/>
    <w:rsid w:val="2C560EA3"/>
    <w:rsid w:val="2C617496"/>
    <w:rsid w:val="2C62156F"/>
    <w:rsid w:val="2C6D60F5"/>
    <w:rsid w:val="2C6F41F6"/>
    <w:rsid w:val="2C730778"/>
    <w:rsid w:val="2C7E030A"/>
    <w:rsid w:val="2C833FFB"/>
    <w:rsid w:val="2C8F430E"/>
    <w:rsid w:val="2C970335"/>
    <w:rsid w:val="2CA21894"/>
    <w:rsid w:val="2CA4476E"/>
    <w:rsid w:val="2CAD4F6B"/>
    <w:rsid w:val="2CB17FD2"/>
    <w:rsid w:val="2CC16AFA"/>
    <w:rsid w:val="2CC95D10"/>
    <w:rsid w:val="2CCB5A72"/>
    <w:rsid w:val="2CD57684"/>
    <w:rsid w:val="2CD67A0B"/>
    <w:rsid w:val="2CD75666"/>
    <w:rsid w:val="2CD83FF1"/>
    <w:rsid w:val="2CDC6591"/>
    <w:rsid w:val="2CDE08F2"/>
    <w:rsid w:val="2CE03AB0"/>
    <w:rsid w:val="2CEB494F"/>
    <w:rsid w:val="2CEF53E3"/>
    <w:rsid w:val="2CF53A56"/>
    <w:rsid w:val="2CF649A9"/>
    <w:rsid w:val="2CFC27E4"/>
    <w:rsid w:val="2D0766E4"/>
    <w:rsid w:val="2D0B702A"/>
    <w:rsid w:val="2D107EBA"/>
    <w:rsid w:val="2D1B67A1"/>
    <w:rsid w:val="2D1F4BCA"/>
    <w:rsid w:val="2D221AAA"/>
    <w:rsid w:val="2D254ED3"/>
    <w:rsid w:val="2D2651C9"/>
    <w:rsid w:val="2D2A1622"/>
    <w:rsid w:val="2D397977"/>
    <w:rsid w:val="2D3D74EA"/>
    <w:rsid w:val="2D476C62"/>
    <w:rsid w:val="2D504333"/>
    <w:rsid w:val="2D521264"/>
    <w:rsid w:val="2D567058"/>
    <w:rsid w:val="2D57290A"/>
    <w:rsid w:val="2D5D7FE8"/>
    <w:rsid w:val="2D5E7E01"/>
    <w:rsid w:val="2D6030A2"/>
    <w:rsid w:val="2D660EF9"/>
    <w:rsid w:val="2D6C2B47"/>
    <w:rsid w:val="2D763F45"/>
    <w:rsid w:val="2D820204"/>
    <w:rsid w:val="2D8402FC"/>
    <w:rsid w:val="2D88024C"/>
    <w:rsid w:val="2D935488"/>
    <w:rsid w:val="2D960FB5"/>
    <w:rsid w:val="2D9B4423"/>
    <w:rsid w:val="2DAC2EF4"/>
    <w:rsid w:val="2DAD4BCD"/>
    <w:rsid w:val="2DB453FF"/>
    <w:rsid w:val="2DBE4237"/>
    <w:rsid w:val="2DCB10F0"/>
    <w:rsid w:val="2DCB38A1"/>
    <w:rsid w:val="2DD066E9"/>
    <w:rsid w:val="2DDC0ED4"/>
    <w:rsid w:val="2DE3054F"/>
    <w:rsid w:val="2DE7186E"/>
    <w:rsid w:val="2DF036FB"/>
    <w:rsid w:val="2DF21CB3"/>
    <w:rsid w:val="2DFD78B4"/>
    <w:rsid w:val="2DFE083B"/>
    <w:rsid w:val="2E0708FF"/>
    <w:rsid w:val="2E11457C"/>
    <w:rsid w:val="2E1643B9"/>
    <w:rsid w:val="2E184C0F"/>
    <w:rsid w:val="2E187142"/>
    <w:rsid w:val="2E1F18AD"/>
    <w:rsid w:val="2E28160E"/>
    <w:rsid w:val="2E285E19"/>
    <w:rsid w:val="2E28757C"/>
    <w:rsid w:val="2E2C723F"/>
    <w:rsid w:val="2E332EEF"/>
    <w:rsid w:val="2E3D0855"/>
    <w:rsid w:val="2E3F6B8A"/>
    <w:rsid w:val="2E406C31"/>
    <w:rsid w:val="2E467FE7"/>
    <w:rsid w:val="2E527715"/>
    <w:rsid w:val="2E530660"/>
    <w:rsid w:val="2E531152"/>
    <w:rsid w:val="2E565287"/>
    <w:rsid w:val="2E5F1E47"/>
    <w:rsid w:val="2E682652"/>
    <w:rsid w:val="2E6B6D27"/>
    <w:rsid w:val="2E7A506F"/>
    <w:rsid w:val="2E7B0600"/>
    <w:rsid w:val="2E7B273D"/>
    <w:rsid w:val="2E7D30EA"/>
    <w:rsid w:val="2E8028E0"/>
    <w:rsid w:val="2E88139A"/>
    <w:rsid w:val="2E8B051E"/>
    <w:rsid w:val="2E8F062E"/>
    <w:rsid w:val="2E905D65"/>
    <w:rsid w:val="2E9D560F"/>
    <w:rsid w:val="2E9F7EC1"/>
    <w:rsid w:val="2EA234E1"/>
    <w:rsid w:val="2EB17C70"/>
    <w:rsid w:val="2EB411B5"/>
    <w:rsid w:val="2EBD49E1"/>
    <w:rsid w:val="2EBF0ED1"/>
    <w:rsid w:val="2EC42186"/>
    <w:rsid w:val="2EC7495E"/>
    <w:rsid w:val="2EC776BB"/>
    <w:rsid w:val="2ECA39AD"/>
    <w:rsid w:val="2ECC0C07"/>
    <w:rsid w:val="2ED03009"/>
    <w:rsid w:val="2EF224CD"/>
    <w:rsid w:val="2EF67D61"/>
    <w:rsid w:val="2EFA2F2B"/>
    <w:rsid w:val="2F195BDC"/>
    <w:rsid w:val="2F2E23A6"/>
    <w:rsid w:val="2F2E289C"/>
    <w:rsid w:val="2F350F19"/>
    <w:rsid w:val="2F383567"/>
    <w:rsid w:val="2F3B1918"/>
    <w:rsid w:val="2F415DC8"/>
    <w:rsid w:val="2F514AAE"/>
    <w:rsid w:val="2F531FEB"/>
    <w:rsid w:val="2F5B5B3B"/>
    <w:rsid w:val="2F615468"/>
    <w:rsid w:val="2F655F0E"/>
    <w:rsid w:val="2F6B73F9"/>
    <w:rsid w:val="2F6D4FA6"/>
    <w:rsid w:val="2F743486"/>
    <w:rsid w:val="2F756E65"/>
    <w:rsid w:val="2F77354F"/>
    <w:rsid w:val="2F7A7069"/>
    <w:rsid w:val="2F7B2789"/>
    <w:rsid w:val="2F8001B6"/>
    <w:rsid w:val="2F897AA1"/>
    <w:rsid w:val="2F8D4D67"/>
    <w:rsid w:val="2F8E2F8D"/>
    <w:rsid w:val="2F9051B8"/>
    <w:rsid w:val="2F910893"/>
    <w:rsid w:val="2F9A69D2"/>
    <w:rsid w:val="2F9C6646"/>
    <w:rsid w:val="2F9D4AA3"/>
    <w:rsid w:val="2F9F094E"/>
    <w:rsid w:val="2FA5152D"/>
    <w:rsid w:val="2FA96250"/>
    <w:rsid w:val="2FB11323"/>
    <w:rsid w:val="2FBB6A2A"/>
    <w:rsid w:val="2FC2166F"/>
    <w:rsid w:val="2FCB0952"/>
    <w:rsid w:val="2FD53529"/>
    <w:rsid w:val="2FD80709"/>
    <w:rsid w:val="2FDF2368"/>
    <w:rsid w:val="2FDF7CD4"/>
    <w:rsid w:val="2FEC08C6"/>
    <w:rsid w:val="2FF532B7"/>
    <w:rsid w:val="2FF674CB"/>
    <w:rsid w:val="2FF7251F"/>
    <w:rsid w:val="30007788"/>
    <w:rsid w:val="30093592"/>
    <w:rsid w:val="301977C7"/>
    <w:rsid w:val="301E3E25"/>
    <w:rsid w:val="30205153"/>
    <w:rsid w:val="30253FAB"/>
    <w:rsid w:val="30270D6F"/>
    <w:rsid w:val="303B3B59"/>
    <w:rsid w:val="303C0C41"/>
    <w:rsid w:val="303D6437"/>
    <w:rsid w:val="30443F81"/>
    <w:rsid w:val="305831D6"/>
    <w:rsid w:val="305A4537"/>
    <w:rsid w:val="30632880"/>
    <w:rsid w:val="3070014A"/>
    <w:rsid w:val="307B4FFA"/>
    <w:rsid w:val="308136E0"/>
    <w:rsid w:val="3095375A"/>
    <w:rsid w:val="309B2688"/>
    <w:rsid w:val="30A90B96"/>
    <w:rsid w:val="30A91070"/>
    <w:rsid w:val="30B26464"/>
    <w:rsid w:val="30B86332"/>
    <w:rsid w:val="30C91D87"/>
    <w:rsid w:val="30D10B78"/>
    <w:rsid w:val="30D251E3"/>
    <w:rsid w:val="30D36EB7"/>
    <w:rsid w:val="30D45137"/>
    <w:rsid w:val="30D51A41"/>
    <w:rsid w:val="30E7233C"/>
    <w:rsid w:val="31076B28"/>
    <w:rsid w:val="31076EFA"/>
    <w:rsid w:val="310866BC"/>
    <w:rsid w:val="31154DED"/>
    <w:rsid w:val="31215B33"/>
    <w:rsid w:val="312A36B1"/>
    <w:rsid w:val="313A2CAC"/>
    <w:rsid w:val="313E6356"/>
    <w:rsid w:val="31460C29"/>
    <w:rsid w:val="314B3239"/>
    <w:rsid w:val="315B21E9"/>
    <w:rsid w:val="315B5E62"/>
    <w:rsid w:val="31604DC0"/>
    <w:rsid w:val="31607973"/>
    <w:rsid w:val="3163108E"/>
    <w:rsid w:val="3167538F"/>
    <w:rsid w:val="317544CD"/>
    <w:rsid w:val="31765162"/>
    <w:rsid w:val="317A487D"/>
    <w:rsid w:val="317D76C8"/>
    <w:rsid w:val="31833BCE"/>
    <w:rsid w:val="318A1515"/>
    <w:rsid w:val="31944F6F"/>
    <w:rsid w:val="31963456"/>
    <w:rsid w:val="31A51052"/>
    <w:rsid w:val="31A77BCC"/>
    <w:rsid w:val="31A84B64"/>
    <w:rsid w:val="31B12D3C"/>
    <w:rsid w:val="31B2653B"/>
    <w:rsid w:val="31B266EC"/>
    <w:rsid w:val="31B45163"/>
    <w:rsid w:val="31B81D35"/>
    <w:rsid w:val="31C3729F"/>
    <w:rsid w:val="31CB617D"/>
    <w:rsid w:val="31CC0ECB"/>
    <w:rsid w:val="31DD2EC1"/>
    <w:rsid w:val="31DF1DB8"/>
    <w:rsid w:val="31F020DC"/>
    <w:rsid w:val="31F072F8"/>
    <w:rsid w:val="32061C7F"/>
    <w:rsid w:val="320A52D8"/>
    <w:rsid w:val="320D2005"/>
    <w:rsid w:val="32136025"/>
    <w:rsid w:val="32220D79"/>
    <w:rsid w:val="32252577"/>
    <w:rsid w:val="32294648"/>
    <w:rsid w:val="322F0831"/>
    <w:rsid w:val="3238009F"/>
    <w:rsid w:val="323F5519"/>
    <w:rsid w:val="32442E52"/>
    <w:rsid w:val="32471CC6"/>
    <w:rsid w:val="324F0134"/>
    <w:rsid w:val="32540593"/>
    <w:rsid w:val="32575B7F"/>
    <w:rsid w:val="32582CC3"/>
    <w:rsid w:val="327179A4"/>
    <w:rsid w:val="32775626"/>
    <w:rsid w:val="32835AB1"/>
    <w:rsid w:val="328A3A5F"/>
    <w:rsid w:val="328D7371"/>
    <w:rsid w:val="328E2231"/>
    <w:rsid w:val="329326B7"/>
    <w:rsid w:val="329426A2"/>
    <w:rsid w:val="329708DE"/>
    <w:rsid w:val="32AD1211"/>
    <w:rsid w:val="32BE0045"/>
    <w:rsid w:val="32DD2F7F"/>
    <w:rsid w:val="32E12F9A"/>
    <w:rsid w:val="32E87F66"/>
    <w:rsid w:val="32EC46FB"/>
    <w:rsid w:val="32FF12B8"/>
    <w:rsid w:val="330073AA"/>
    <w:rsid w:val="33020BF1"/>
    <w:rsid w:val="330710D7"/>
    <w:rsid w:val="331264BB"/>
    <w:rsid w:val="331B2C4D"/>
    <w:rsid w:val="331E3887"/>
    <w:rsid w:val="33224534"/>
    <w:rsid w:val="332742E9"/>
    <w:rsid w:val="332850C4"/>
    <w:rsid w:val="332A1AC1"/>
    <w:rsid w:val="332C71E1"/>
    <w:rsid w:val="332E1BC2"/>
    <w:rsid w:val="332F3B66"/>
    <w:rsid w:val="333B116B"/>
    <w:rsid w:val="333E2024"/>
    <w:rsid w:val="33427ABB"/>
    <w:rsid w:val="33616D4E"/>
    <w:rsid w:val="33737532"/>
    <w:rsid w:val="33821BAB"/>
    <w:rsid w:val="338378EA"/>
    <w:rsid w:val="33885755"/>
    <w:rsid w:val="339E18BC"/>
    <w:rsid w:val="33A57822"/>
    <w:rsid w:val="33A77C3C"/>
    <w:rsid w:val="33AA7345"/>
    <w:rsid w:val="33B37087"/>
    <w:rsid w:val="33BA7C82"/>
    <w:rsid w:val="33BC4D91"/>
    <w:rsid w:val="33BF4D9D"/>
    <w:rsid w:val="33C233CD"/>
    <w:rsid w:val="33C504FF"/>
    <w:rsid w:val="33C968FA"/>
    <w:rsid w:val="33D23DF5"/>
    <w:rsid w:val="33D246C3"/>
    <w:rsid w:val="33DA573D"/>
    <w:rsid w:val="33DF11C8"/>
    <w:rsid w:val="33E442C9"/>
    <w:rsid w:val="33E61B12"/>
    <w:rsid w:val="33EF44FC"/>
    <w:rsid w:val="33F751C3"/>
    <w:rsid w:val="33FE7E15"/>
    <w:rsid w:val="33FF1154"/>
    <w:rsid w:val="340074AF"/>
    <w:rsid w:val="340948E1"/>
    <w:rsid w:val="340D3904"/>
    <w:rsid w:val="341212B1"/>
    <w:rsid w:val="341321BE"/>
    <w:rsid w:val="34155C01"/>
    <w:rsid w:val="34293255"/>
    <w:rsid w:val="34314E1D"/>
    <w:rsid w:val="34374868"/>
    <w:rsid w:val="343D2D4C"/>
    <w:rsid w:val="34417702"/>
    <w:rsid w:val="34417EB0"/>
    <w:rsid w:val="3446518F"/>
    <w:rsid w:val="344A296C"/>
    <w:rsid w:val="344C25CD"/>
    <w:rsid w:val="344E045C"/>
    <w:rsid w:val="344F610D"/>
    <w:rsid w:val="34512060"/>
    <w:rsid w:val="345232B0"/>
    <w:rsid w:val="345A0779"/>
    <w:rsid w:val="345B15DB"/>
    <w:rsid w:val="346B1ADA"/>
    <w:rsid w:val="346C4A94"/>
    <w:rsid w:val="346E7A5A"/>
    <w:rsid w:val="3477244E"/>
    <w:rsid w:val="34782617"/>
    <w:rsid w:val="347946FA"/>
    <w:rsid w:val="347A6171"/>
    <w:rsid w:val="348440EB"/>
    <w:rsid w:val="348D33D3"/>
    <w:rsid w:val="3496737A"/>
    <w:rsid w:val="349C03F2"/>
    <w:rsid w:val="34A238C5"/>
    <w:rsid w:val="34AC0653"/>
    <w:rsid w:val="34AC2DE9"/>
    <w:rsid w:val="34B24855"/>
    <w:rsid w:val="34B55560"/>
    <w:rsid w:val="34B84D9B"/>
    <w:rsid w:val="34BE7103"/>
    <w:rsid w:val="34C9343D"/>
    <w:rsid w:val="34CE3369"/>
    <w:rsid w:val="34DC1C67"/>
    <w:rsid w:val="34E47162"/>
    <w:rsid w:val="34E664D6"/>
    <w:rsid w:val="34F64CDD"/>
    <w:rsid w:val="34FF095B"/>
    <w:rsid w:val="3500311A"/>
    <w:rsid w:val="350B76BF"/>
    <w:rsid w:val="350C5C16"/>
    <w:rsid w:val="351710F0"/>
    <w:rsid w:val="351F4B47"/>
    <w:rsid w:val="352B4097"/>
    <w:rsid w:val="352E435E"/>
    <w:rsid w:val="3534069E"/>
    <w:rsid w:val="353807E2"/>
    <w:rsid w:val="353D45FA"/>
    <w:rsid w:val="353F0E06"/>
    <w:rsid w:val="35422CF2"/>
    <w:rsid w:val="35505013"/>
    <w:rsid w:val="35531CAD"/>
    <w:rsid w:val="356D51F7"/>
    <w:rsid w:val="357972DF"/>
    <w:rsid w:val="357D79D3"/>
    <w:rsid w:val="35804F9D"/>
    <w:rsid w:val="35843B49"/>
    <w:rsid w:val="35884385"/>
    <w:rsid w:val="35890016"/>
    <w:rsid w:val="358B0F26"/>
    <w:rsid w:val="35924A15"/>
    <w:rsid w:val="359753B1"/>
    <w:rsid w:val="35A251D2"/>
    <w:rsid w:val="35A25468"/>
    <w:rsid w:val="35AC56FE"/>
    <w:rsid w:val="35C3354B"/>
    <w:rsid w:val="35C8705E"/>
    <w:rsid w:val="35CB283C"/>
    <w:rsid w:val="35D02A2E"/>
    <w:rsid w:val="35D16387"/>
    <w:rsid w:val="35DF2011"/>
    <w:rsid w:val="35E1012B"/>
    <w:rsid w:val="35E1505C"/>
    <w:rsid w:val="35E328B8"/>
    <w:rsid w:val="35E3701E"/>
    <w:rsid w:val="35E420DE"/>
    <w:rsid w:val="35E607CD"/>
    <w:rsid w:val="35EB34A9"/>
    <w:rsid w:val="35EC6F4A"/>
    <w:rsid w:val="35EE6A38"/>
    <w:rsid w:val="35F5734F"/>
    <w:rsid w:val="35F65884"/>
    <w:rsid w:val="35F715DC"/>
    <w:rsid w:val="36057267"/>
    <w:rsid w:val="360632C2"/>
    <w:rsid w:val="362131A7"/>
    <w:rsid w:val="362E1546"/>
    <w:rsid w:val="36330CA5"/>
    <w:rsid w:val="363F061B"/>
    <w:rsid w:val="364236D7"/>
    <w:rsid w:val="3654563C"/>
    <w:rsid w:val="365763B3"/>
    <w:rsid w:val="366F70DE"/>
    <w:rsid w:val="367C0A7E"/>
    <w:rsid w:val="36856B5A"/>
    <w:rsid w:val="36883C27"/>
    <w:rsid w:val="36950061"/>
    <w:rsid w:val="36A32443"/>
    <w:rsid w:val="36A61ADA"/>
    <w:rsid w:val="36AC504E"/>
    <w:rsid w:val="36B45F51"/>
    <w:rsid w:val="36B7013F"/>
    <w:rsid w:val="36D37FB9"/>
    <w:rsid w:val="36D40D9D"/>
    <w:rsid w:val="36D71D0D"/>
    <w:rsid w:val="36E17BD4"/>
    <w:rsid w:val="36E30071"/>
    <w:rsid w:val="36E31151"/>
    <w:rsid w:val="36E61D1E"/>
    <w:rsid w:val="36EF4947"/>
    <w:rsid w:val="36F76FAD"/>
    <w:rsid w:val="37060D5C"/>
    <w:rsid w:val="370F6D7D"/>
    <w:rsid w:val="3711176D"/>
    <w:rsid w:val="37113E21"/>
    <w:rsid w:val="37244D17"/>
    <w:rsid w:val="373F483B"/>
    <w:rsid w:val="374207ED"/>
    <w:rsid w:val="37451D56"/>
    <w:rsid w:val="375C645A"/>
    <w:rsid w:val="37633810"/>
    <w:rsid w:val="376A27F4"/>
    <w:rsid w:val="37737FCD"/>
    <w:rsid w:val="377E4EC2"/>
    <w:rsid w:val="37831AFE"/>
    <w:rsid w:val="37855CA5"/>
    <w:rsid w:val="379747E4"/>
    <w:rsid w:val="37A10A3C"/>
    <w:rsid w:val="37A32862"/>
    <w:rsid w:val="37A771F1"/>
    <w:rsid w:val="37A83EE9"/>
    <w:rsid w:val="37AA1FED"/>
    <w:rsid w:val="37AD47B4"/>
    <w:rsid w:val="37B033F0"/>
    <w:rsid w:val="37B25951"/>
    <w:rsid w:val="37B82D37"/>
    <w:rsid w:val="37BB1880"/>
    <w:rsid w:val="37BF7DD8"/>
    <w:rsid w:val="37CA6F5D"/>
    <w:rsid w:val="37CF39F4"/>
    <w:rsid w:val="37DE142C"/>
    <w:rsid w:val="37DF4E44"/>
    <w:rsid w:val="38093CF4"/>
    <w:rsid w:val="38132FDB"/>
    <w:rsid w:val="381523AC"/>
    <w:rsid w:val="3816611D"/>
    <w:rsid w:val="381A7833"/>
    <w:rsid w:val="381D6FCC"/>
    <w:rsid w:val="38255502"/>
    <w:rsid w:val="382563C3"/>
    <w:rsid w:val="382B10C6"/>
    <w:rsid w:val="384502C9"/>
    <w:rsid w:val="384757BF"/>
    <w:rsid w:val="384A568A"/>
    <w:rsid w:val="384B11C2"/>
    <w:rsid w:val="384C2E85"/>
    <w:rsid w:val="384D7A6B"/>
    <w:rsid w:val="38527F5E"/>
    <w:rsid w:val="38576EB1"/>
    <w:rsid w:val="385B78DA"/>
    <w:rsid w:val="385E7289"/>
    <w:rsid w:val="386B3647"/>
    <w:rsid w:val="386F64C6"/>
    <w:rsid w:val="38724636"/>
    <w:rsid w:val="38755246"/>
    <w:rsid w:val="38850F2D"/>
    <w:rsid w:val="388F47CD"/>
    <w:rsid w:val="3891497A"/>
    <w:rsid w:val="38921D1F"/>
    <w:rsid w:val="38934709"/>
    <w:rsid w:val="3899545E"/>
    <w:rsid w:val="389B63CB"/>
    <w:rsid w:val="389D36E7"/>
    <w:rsid w:val="38AD0AAC"/>
    <w:rsid w:val="38AF121A"/>
    <w:rsid w:val="38B10DA8"/>
    <w:rsid w:val="38B94B51"/>
    <w:rsid w:val="38B976FB"/>
    <w:rsid w:val="38BB5EDA"/>
    <w:rsid w:val="38C6779A"/>
    <w:rsid w:val="38DC2A26"/>
    <w:rsid w:val="38DC5040"/>
    <w:rsid w:val="38EA0958"/>
    <w:rsid w:val="38EA292A"/>
    <w:rsid w:val="38EB3140"/>
    <w:rsid w:val="38F71493"/>
    <w:rsid w:val="38FC7F68"/>
    <w:rsid w:val="390150BD"/>
    <w:rsid w:val="39015BC8"/>
    <w:rsid w:val="390A29CF"/>
    <w:rsid w:val="39132EBE"/>
    <w:rsid w:val="3923223F"/>
    <w:rsid w:val="392C3404"/>
    <w:rsid w:val="393F3649"/>
    <w:rsid w:val="39434B25"/>
    <w:rsid w:val="39442CC4"/>
    <w:rsid w:val="39473C95"/>
    <w:rsid w:val="394A3B36"/>
    <w:rsid w:val="394C053B"/>
    <w:rsid w:val="394E0439"/>
    <w:rsid w:val="39532D05"/>
    <w:rsid w:val="395A1855"/>
    <w:rsid w:val="395E1405"/>
    <w:rsid w:val="3962425A"/>
    <w:rsid w:val="396E504E"/>
    <w:rsid w:val="396F7993"/>
    <w:rsid w:val="39741673"/>
    <w:rsid w:val="397F2866"/>
    <w:rsid w:val="39850A26"/>
    <w:rsid w:val="39893783"/>
    <w:rsid w:val="399108C7"/>
    <w:rsid w:val="399B6654"/>
    <w:rsid w:val="399C23C2"/>
    <w:rsid w:val="399E7C65"/>
    <w:rsid w:val="39A118CD"/>
    <w:rsid w:val="39A337DD"/>
    <w:rsid w:val="39B1002C"/>
    <w:rsid w:val="39B75345"/>
    <w:rsid w:val="39BA1CF7"/>
    <w:rsid w:val="39BA2065"/>
    <w:rsid w:val="39C83126"/>
    <w:rsid w:val="39CD4753"/>
    <w:rsid w:val="39D037AF"/>
    <w:rsid w:val="39D466BD"/>
    <w:rsid w:val="39D7158B"/>
    <w:rsid w:val="39DC1B39"/>
    <w:rsid w:val="39E03897"/>
    <w:rsid w:val="39E125BA"/>
    <w:rsid w:val="39EE1B0B"/>
    <w:rsid w:val="39F17FFD"/>
    <w:rsid w:val="39F24322"/>
    <w:rsid w:val="39FA1859"/>
    <w:rsid w:val="3A03384A"/>
    <w:rsid w:val="3A066160"/>
    <w:rsid w:val="3A083121"/>
    <w:rsid w:val="3A0D48B1"/>
    <w:rsid w:val="3A1810FA"/>
    <w:rsid w:val="3A2441B7"/>
    <w:rsid w:val="3A274488"/>
    <w:rsid w:val="3A28048B"/>
    <w:rsid w:val="3A336331"/>
    <w:rsid w:val="3A425B7A"/>
    <w:rsid w:val="3A431472"/>
    <w:rsid w:val="3A474B1C"/>
    <w:rsid w:val="3A5207B4"/>
    <w:rsid w:val="3A541BF5"/>
    <w:rsid w:val="3A553D9F"/>
    <w:rsid w:val="3A597477"/>
    <w:rsid w:val="3A5A285A"/>
    <w:rsid w:val="3A5E32B9"/>
    <w:rsid w:val="3A646A00"/>
    <w:rsid w:val="3A697F71"/>
    <w:rsid w:val="3A6A4AC7"/>
    <w:rsid w:val="3A6E26C3"/>
    <w:rsid w:val="3A6F0BDF"/>
    <w:rsid w:val="3A72622B"/>
    <w:rsid w:val="3A75769F"/>
    <w:rsid w:val="3A7A025B"/>
    <w:rsid w:val="3A7E2244"/>
    <w:rsid w:val="3A861E9F"/>
    <w:rsid w:val="3A897BA1"/>
    <w:rsid w:val="3A9038DA"/>
    <w:rsid w:val="3A936647"/>
    <w:rsid w:val="3A9E4B32"/>
    <w:rsid w:val="3A9F1B2C"/>
    <w:rsid w:val="3AA04C49"/>
    <w:rsid w:val="3AA54470"/>
    <w:rsid w:val="3AA913CF"/>
    <w:rsid w:val="3AB86069"/>
    <w:rsid w:val="3AC036CC"/>
    <w:rsid w:val="3AC205A6"/>
    <w:rsid w:val="3AC257A4"/>
    <w:rsid w:val="3AC334CD"/>
    <w:rsid w:val="3AD16134"/>
    <w:rsid w:val="3AD17EBD"/>
    <w:rsid w:val="3ADE382E"/>
    <w:rsid w:val="3AEA3CFC"/>
    <w:rsid w:val="3AF044A5"/>
    <w:rsid w:val="3AFC4CC9"/>
    <w:rsid w:val="3B00301D"/>
    <w:rsid w:val="3B1752EE"/>
    <w:rsid w:val="3B1C35AC"/>
    <w:rsid w:val="3B1F0CAE"/>
    <w:rsid w:val="3B22468C"/>
    <w:rsid w:val="3B292A67"/>
    <w:rsid w:val="3B3155AA"/>
    <w:rsid w:val="3B3E0B10"/>
    <w:rsid w:val="3B4F1508"/>
    <w:rsid w:val="3B580D61"/>
    <w:rsid w:val="3B696BF9"/>
    <w:rsid w:val="3B6F0DCA"/>
    <w:rsid w:val="3B754E06"/>
    <w:rsid w:val="3B7B2B0A"/>
    <w:rsid w:val="3B7C7B97"/>
    <w:rsid w:val="3B8372AE"/>
    <w:rsid w:val="3B8B102D"/>
    <w:rsid w:val="3B914065"/>
    <w:rsid w:val="3B9F483C"/>
    <w:rsid w:val="3BB249F7"/>
    <w:rsid w:val="3BBE3122"/>
    <w:rsid w:val="3BC20515"/>
    <w:rsid w:val="3BC53C74"/>
    <w:rsid w:val="3BC60370"/>
    <w:rsid w:val="3BC62C0D"/>
    <w:rsid w:val="3BC772AB"/>
    <w:rsid w:val="3BC812C8"/>
    <w:rsid w:val="3BD741DE"/>
    <w:rsid w:val="3BE7491F"/>
    <w:rsid w:val="3BE82033"/>
    <w:rsid w:val="3BEF3F98"/>
    <w:rsid w:val="3BF01125"/>
    <w:rsid w:val="3BF1165C"/>
    <w:rsid w:val="3BF82655"/>
    <w:rsid w:val="3BF90B59"/>
    <w:rsid w:val="3C035D20"/>
    <w:rsid w:val="3C0C1C74"/>
    <w:rsid w:val="3C12184A"/>
    <w:rsid w:val="3C165216"/>
    <w:rsid w:val="3C20030B"/>
    <w:rsid w:val="3C220A63"/>
    <w:rsid w:val="3C257E8D"/>
    <w:rsid w:val="3C286FD8"/>
    <w:rsid w:val="3C326DEB"/>
    <w:rsid w:val="3C3C1378"/>
    <w:rsid w:val="3C497D33"/>
    <w:rsid w:val="3C5A342C"/>
    <w:rsid w:val="3C5C0867"/>
    <w:rsid w:val="3C656EED"/>
    <w:rsid w:val="3C685003"/>
    <w:rsid w:val="3C6D452D"/>
    <w:rsid w:val="3C6E7843"/>
    <w:rsid w:val="3C727A71"/>
    <w:rsid w:val="3C732FE2"/>
    <w:rsid w:val="3C786DE5"/>
    <w:rsid w:val="3C7A20C3"/>
    <w:rsid w:val="3C7A3669"/>
    <w:rsid w:val="3C7D3E58"/>
    <w:rsid w:val="3C882BD0"/>
    <w:rsid w:val="3C94545E"/>
    <w:rsid w:val="3C975DCC"/>
    <w:rsid w:val="3CAE0651"/>
    <w:rsid w:val="3CBC2D9B"/>
    <w:rsid w:val="3CC5588D"/>
    <w:rsid w:val="3CCD1D16"/>
    <w:rsid w:val="3CD83C07"/>
    <w:rsid w:val="3CD85D57"/>
    <w:rsid w:val="3CD87AA0"/>
    <w:rsid w:val="3CDA5112"/>
    <w:rsid w:val="3CDB62C1"/>
    <w:rsid w:val="3CE13BDF"/>
    <w:rsid w:val="3CE26359"/>
    <w:rsid w:val="3CE70364"/>
    <w:rsid w:val="3CFD4D35"/>
    <w:rsid w:val="3D064D69"/>
    <w:rsid w:val="3D0E3667"/>
    <w:rsid w:val="3D0E399D"/>
    <w:rsid w:val="3D123F8D"/>
    <w:rsid w:val="3D12721E"/>
    <w:rsid w:val="3D1B45BC"/>
    <w:rsid w:val="3D27093B"/>
    <w:rsid w:val="3D351ADA"/>
    <w:rsid w:val="3D3D6CB6"/>
    <w:rsid w:val="3D41656E"/>
    <w:rsid w:val="3D444248"/>
    <w:rsid w:val="3D4B2FA5"/>
    <w:rsid w:val="3D527DA5"/>
    <w:rsid w:val="3D546058"/>
    <w:rsid w:val="3D5461A9"/>
    <w:rsid w:val="3D58650A"/>
    <w:rsid w:val="3D590765"/>
    <w:rsid w:val="3D5A6060"/>
    <w:rsid w:val="3D640E16"/>
    <w:rsid w:val="3D67132F"/>
    <w:rsid w:val="3D7B0D27"/>
    <w:rsid w:val="3D7E27A0"/>
    <w:rsid w:val="3D874F51"/>
    <w:rsid w:val="3D896CEB"/>
    <w:rsid w:val="3D9A2D6C"/>
    <w:rsid w:val="3D9D0681"/>
    <w:rsid w:val="3DAF1596"/>
    <w:rsid w:val="3DB52668"/>
    <w:rsid w:val="3DD3077A"/>
    <w:rsid w:val="3DDF7A0D"/>
    <w:rsid w:val="3DFD4BBE"/>
    <w:rsid w:val="3E00097B"/>
    <w:rsid w:val="3E011326"/>
    <w:rsid w:val="3E024B7B"/>
    <w:rsid w:val="3E104548"/>
    <w:rsid w:val="3E131090"/>
    <w:rsid w:val="3E19435F"/>
    <w:rsid w:val="3E20393D"/>
    <w:rsid w:val="3E205773"/>
    <w:rsid w:val="3E264903"/>
    <w:rsid w:val="3E2806A1"/>
    <w:rsid w:val="3E2E35CB"/>
    <w:rsid w:val="3E31025E"/>
    <w:rsid w:val="3E342DA3"/>
    <w:rsid w:val="3E471ABE"/>
    <w:rsid w:val="3E4755F9"/>
    <w:rsid w:val="3E492A39"/>
    <w:rsid w:val="3E4B1409"/>
    <w:rsid w:val="3E556354"/>
    <w:rsid w:val="3E6336EF"/>
    <w:rsid w:val="3E660D1B"/>
    <w:rsid w:val="3E6E2E9E"/>
    <w:rsid w:val="3E8222F7"/>
    <w:rsid w:val="3E8258B1"/>
    <w:rsid w:val="3E8821CE"/>
    <w:rsid w:val="3E92738B"/>
    <w:rsid w:val="3E99456A"/>
    <w:rsid w:val="3EA0570F"/>
    <w:rsid w:val="3EA2409C"/>
    <w:rsid w:val="3EAD3D57"/>
    <w:rsid w:val="3EAF02B7"/>
    <w:rsid w:val="3EB1188E"/>
    <w:rsid w:val="3EB428B4"/>
    <w:rsid w:val="3EBD63D7"/>
    <w:rsid w:val="3EC07733"/>
    <w:rsid w:val="3EC334A7"/>
    <w:rsid w:val="3EC678BC"/>
    <w:rsid w:val="3ED01824"/>
    <w:rsid w:val="3EE067CA"/>
    <w:rsid w:val="3EEF26AB"/>
    <w:rsid w:val="3EF21C38"/>
    <w:rsid w:val="3EF57D05"/>
    <w:rsid w:val="3EF96B38"/>
    <w:rsid w:val="3F002CCF"/>
    <w:rsid w:val="3F0566FF"/>
    <w:rsid w:val="3F0605BE"/>
    <w:rsid w:val="3F06365D"/>
    <w:rsid w:val="3F0A3CA5"/>
    <w:rsid w:val="3F0B1DB8"/>
    <w:rsid w:val="3F0C44E7"/>
    <w:rsid w:val="3F0E6EA3"/>
    <w:rsid w:val="3F122278"/>
    <w:rsid w:val="3F155D82"/>
    <w:rsid w:val="3F261DEC"/>
    <w:rsid w:val="3F305E06"/>
    <w:rsid w:val="3F453E8A"/>
    <w:rsid w:val="3F47737F"/>
    <w:rsid w:val="3F523976"/>
    <w:rsid w:val="3F52626A"/>
    <w:rsid w:val="3F5322DF"/>
    <w:rsid w:val="3F556A35"/>
    <w:rsid w:val="3F5867B3"/>
    <w:rsid w:val="3F5A301C"/>
    <w:rsid w:val="3F637202"/>
    <w:rsid w:val="3F65418C"/>
    <w:rsid w:val="3F664F14"/>
    <w:rsid w:val="3F6763B0"/>
    <w:rsid w:val="3F6D1D36"/>
    <w:rsid w:val="3F6D2017"/>
    <w:rsid w:val="3F7339EB"/>
    <w:rsid w:val="3F770167"/>
    <w:rsid w:val="3F7D65D1"/>
    <w:rsid w:val="3F836296"/>
    <w:rsid w:val="3F9526FD"/>
    <w:rsid w:val="3F960218"/>
    <w:rsid w:val="3F9B508E"/>
    <w:rsid w:val="3FA01128"/>
    <w:rsid w:val="3FA10F73"/>
    <w:rsid w:val="3FA51002"/>
    <w:rsid w:val="3FA5548C"/>
    <w:rsid w:val="3FB1448E"/>
    <w:rsid w:val="3FB33F0F"/>
    <w:rsid w:val="3FB56B87"/>
    <w:rsid w:val="3FB827B0"/>
    <w:rsid w:val="3FB9798A"/>
    <w:rsid w:val="3FBC4DF5"/>
    <w:rsid w:val="3FBE226E"/>
    <w:rsid w:val="3FC74EA5"/>
    <w:rsid w:val="3FC80A13"/>
    <w:rsid w:val="3FC924C5"/>
    <w:rsid w:val="3FD001E0"/>
    <w:rsid w:val="3FD35125"/>
    <w:rsid w:val="3FDD5AA3"/>
    <w:rsid w:val="3FDD60EB"/>
    <w:rsid w:val="3FE1611D"/>
    <w:rsid w:val="3FE9762E"/>
    <w:rsid w:val="3FEB7EF7"/>
    <w:rsid w:val="3FF0534A"/>
    <w:rsid w:val="3FFC6AA1"/>
    <w:rsid w:val="3FFE725C"/>
    <w:rsid w:val="400D4689"/>
    <w:rsid w:val="400F29AB"/>
    <w:rsid w:val="40171E63"/>
    <w:rsid w:val="401B305E"/>
    <w:rsid w:val="401C023A"/>
    <w:rsid w:val="401E624D"/>
    <w:rsid w:val="4040700B"/>
    <w:rsid w:val="40505926"/>
    <w:rsid w:val="405074F9"/>
    <w:rsid w:val="40592E1A"/>
    <w:rsid w:val="40742B10"/>
    <w:rsid w:val="40851F94"/>
    <w:rsid w:val="40860806"/>
    <w:rsid w:val="408727EE"/>
    <w:rsid w:val="40881B05"/>
    <w:rsid w:val="408B015C"/>
    <w:rsid w:val="408D2092"/>
    <w:rsid w:val="40987E91"/>
    <w:rsid w:val="40AE535D"/>
    <w:rsid w:val="40B323C5"/>
    <w:rsid w:val="40B40F93"/>
    <w:rsid w:val="40B77C21"/>
    <w:rsid w:val="40B81725"/>
    <w:rsid w:val="40B960CF"/>
    <w:rsid w:val="40BB1B3B"/>
    <w:rsid w:val="40C87F0D"/>
    <w:rsid w:val="40E13187"/>
    <w:rsid w:val="40E4111E"/>
    <w:rsid w:val="40F110C9"/>
    <w:rsid w:val="40F71EFC"/>
    <w:rsid w:val="40FA7D3C"/>
    <w:rsid w:val="40FC6040"/>
    <w:rsid w:val="41013098"/>
    <w:rsid w:val="41046C1A"/>
    <w:rsid w:val="410A66D3"/>
    <w:rsid w:val="411252F5"/>
    <w:rsid w:val="41216561"/>
    <w:rsid w:val="4126157E"/>
    <w:rsid w:val="412E1703"/>
    <w:rsid w:val="41341D04"/>
    <w:rsid w:val="41463814"/>
    <w:rsid w:val="414E4666"/>
    <w:rsid w:val="415840E7"/>
    <w:rsid w:val="415C6645"/>
    <w:rsid w:val="415D4AA5"/>
    <w:rsid w:val="415E3F30"/>
    <w:rsid w:val="4162063E"/>
    <w:rsid w:val="41634269"/>
    <w:rsid w:val="416F185F"/>
    <w:rsid w:val="41755F8B"/>
    <w:rsid w:val="417E6FB2"/>
    <w:rsid w:val="41804E56"/>
    <w:rsid w:val="418B61F9"/>
    <w:rsid w:val="418C5064"/>
    <w:rsid w:val="41901D5A"/>
    <w:rsid w:val="41A26E55"/>
    <w:rsid w:val="41AE168E"/>
    <w:rsid w:val="41B000EA"/>
    <w:rsid w:val="41B625DB"/>
    <w:rsid w:val="41BB28C5"/>
    <w:rsid w:val="41C505B5"/>
    <w:rsid w:val="41D7643D"/>
    <w:rsid w:val="41D80DF6"/>
    <w:rsid w:val="41F41099"/>
    <w:rsid w:val="41F4144D"/>
    <w:rsid w:val="41F425A0"/>
    <w:rsid w:val="41FD1E4D"/>
    <w:rsid w:val="42004A07"/>
    <w:rsid w:val="42036CED"/>
    <w:rsid w:val="420445BE"/>
    <w:rsid w:val="42044B55"/>
    <w:rsid w:val="42106699"/>
    <w:rsid w:val="421D3532"/>
    <w:rsid w:val="422747DE"/>
    <w:rsid w:val="423D7E2C"/>
    <w:rsid w:val="42405192"/>
    <w:rsid w:val="4253494B"/>
    <w:rsid w:val="42563DD4"/>
    <w:rsid w:val="425F0874"/>
    <w:rsid w:val="42605991"/>
    <w:rsid w:val="42624CEC"/>
    <w:rsid w:val="42667AD5"/>
    <w:rsid w:val="426B2083"/>
    <w:rsid w:val="42745271"/>
    <w:rsid w:val="42746AFF"/>
    <w:rsid w:val="427A2426"/>
    <w:rsid w:val="428622E0"/>
    <w:rsid w:val="428740C5"/>
    <w:rsid w:val="4295023B"/>
    <w:rsid w:val="42A72E3E"/>
    <w:rsid w:val="42A9771E"/>
    <w:rsid w:val="42AB3CF1"/>
    <w:rsid w:val="42AF06BF"/>
    <w:rsid w:val="42AF744D"/>
    <w:rsid w:val="42B97DE2"/>
    <w:rsid w:val="42BE1411"/>
    <w:rsid w:val="42BF0482"/>
    <w:rsid w:val="42C3638C"/>
    <w:rsid w:val="42C8399F"/>
    <w:rsid w:val="42CC1C77"/>
    <w:rsid w:val="42CE7CBC"/>
    <w:rsid w:val="42E67A2D"/>
    <w:rsid w:val="42EF6EDD"/>
    <w:rsid w:val="42F63370"/>
    <w:rsid w:val="4303189E"/>
    <w:rsid w:val="43043B4B"/>
    <w:rsid w:val="430C0701"/>
    <w:rsid w:val="431D662D"/>
    <w:rsid w:val="431D7413"/>
    <w:rsid w:val="43230977"/>
    <w:rsid w:val="43260906"/>
    <w:rsid w:val="4329778C"/>
    <w:rsid w:val="432A433E"/>
    <w:rsid w:val="432F48E4"/>
    <w:rsid w:val="433451E7"/>
    <w:rsid w:val="433454E3"/>
    <w:rsid w:val="43380FA2"/>
    <w:rsid w:val="433914CB"/>
    <w:rsid w:val="434030C7"/>
    <w:rsid w:val="434321EE"/>
    <w:rsid w:val="434C3803"/>
    <w:rsid w:val="4357411B"/>
    <w:rsid w:val="43624524"/>
    <w:rsid w:val="436E4602"/>
    <w:rsid w:val="43773B38"/>
    <w:rsid w:val="437C303F"/>
    <w:rsid w:val="437E59F4"/>
    <w:rsid w:val="437F0235"/>
    <w:rsid w:val="438108B1"/>
    <w:rsid w:val="438127FD"/>
    <w:rsid w:val="438C318F"/>
    <w:rsid w:val="438D2962"/>
    <w:rsid w:val="439125BA"/>
    <w:rsid w:val="439E21D0"/>
    <w:rsid w:val="43A136C2"/>
    <w:rsid w:val="43A47C8D"/>
    <w:rsid w:val="43A51CEB"/>
    <w:rsid w:val="43A922AD"/>
    <w:rsid w:val="43AE228C"/>
    <w:rsid w:val="43B03D9F"/>
    <w:rsid w:val="43B2322B"/>
    <w:rsid w:val="43B27B0F"/>
    <w:rsid w:val="43BD17B6"/>
    <w:rsid w:val="43BF433F"/>
    <w:rsid w:val="43C60D41"/>
    <w:rsid w:val="43C71A8C"/>
    <w:rsid w:val="43CB49D5"/>
    <w:rsid w:val="43CC296D"/>
    <w:rsid w:val="43CC32E7"/>
    <w:rsid w:val="43D10BA3"/>
    <w:rsid w:val="43D51B86"/>
    <w:rsid w:val="43D5596E"/>
    <w:rsid w:val="43D946DF"/>
    <w:rsid w:val="43DD3E84"/>
    <w:rsid w:val="43E63A35"/>
    <w:rsid w:val="43EA4AD8"/>
    <w:rsid w:val="43EA731F"/>
    <w:rsid w:val="43EF4362"/>
    <w:rsid w:val="43F5608C"/>
    <w:rsid w:val="43FA20D7"/>
    <w:rsid w:val="440433D0"/>
    <w:rsid w:val="44081998"/>
    <w:rsid w:val="440A1D09"/>
    <w:rsid w:val="44105FE6"/>
    <w:rsid w:val="44163757"/>
    <w:rsid w:val="442E6250"/>
    <w:rsid w:val="44304862"/>
    <w:rsid w:val="44336B29"/>
    <w:rsid w:val="44411D78"/>
    <w:rsid w:val="444255C8"/>
    <w:rsid w:val="44555450"/>
    <w:rsid w:val="44565401"/>
    <w:rsid w:val="445C184B"/>
    <w:rsid w:val="445C1F8C"/>
    <w:rsid w:val="445C2CEB"/>
    <w:rsid w:val="44623D2C"/>
    <w:rsid w:val="4469425C"/>
    <w:rsid w:val="446C5925"/>
    <w:rsid w:val="44715BA6"/>
    <w:rsid w:val="44744DE1"/>
    <w:rsid w:val="4480267E"/>
    <w:rsid w:val="44813BCD"/>
    <w:rsid w:val="44825908"/>
    <w:rsid w:val="448F333F"/>
    <w:rsid w:val="449A5595"/>
    <w:rsid w:val="44A273D7"/>
    <w:rsid w:val="44A3165A"/>
    <w:rsid w:val="44A949BB"/>
    <w:rsid w:val="44B47D28"/>
    <w:rsid w:val="44BE6AFA"/>
    <w:rsid w:val="44BE7B38"/>
    <w:rsid w:val="44C10C52"/>
    <w:rsid w:val="44C4343F"/>
    <w:rsid w:val="44CC5637"/>
    <w:rsid w:val="44CE1860"/>
    <w:rsid w:val="44D01EAB"/>
    <w:rsid w:val="44D61276"/>
    <w:rsid w:val="44F550F4"/>
    <w:rsid w:val="44FB2020"/>
    <w:rsid w:val="450005C9"/>
    <w:rsid w:val="450E225C"/>
    <w:rsid w:val="450E5F3E"/>
    <w:rsid w:val="451C3C3F"/>
    <w:rsid w:val="45202195"/>
    <w:rsid w:val="45282E33"/>
    <w:rsid w:val="45361C96"/>
    <w:rsid w:val="45367180"/>
    <w:rsid w:val="453936A0"/>
    <w:rsid w:val="454B27CA"/>
    <w:rsid w:val="4555071F"/>
    <w:rsid w:val="455B027F"/>
    <w:rsid w:val="45634F36"/>
    <w:rsid w:val="456433C3"/>
    <w:rsid w:val="4566286A"/>
    <w:rsid w:val="456653F0"/>
    <w:rsid w:val="456745BB"/>
    <w:rsid w:val="45677DA7"/>
    <w:rsid w:val="45736E48"/>
    <w:rsid w:val="45743F66"/>
    <w:rsid w:val="45761FD8"/>
    <w:rsid w:val="457B0C49"/>
    <w:rsid w:val="45864B77"/>
    <w:rsid w:val="458A06CD"/>
    <w:rsid w:val="458D3A63"/>
    <w:rsid w:val="4597177B"/>
    <w:rsid w:val="459936B5"/>
    <w:rsid w:val="45A85821"/>
    <w:rsid w:val="45AA0EA4"/>
    <w:rsid w:val="45AC57A6"/>
    <w:rsid w:val="45AF03CF"/>
    <w:rsid w:val="45B23BD8"/>
    <w:rsid w:val="45B31674"/>
    <w:rsid w:val="45B52BBB"/>
    <w:rsid w:val="45C3178B"/>
    <w:rsid w:val="45C56C6C"/>
    <w:rsid w:val="45C81474"/>
    <w:rsid w:val="45C85D55"/>
    <w:rsid w:val="45C91BC6"/>
    <w:rsid w:val="45CD1312"/>
    <w:rsid w:val="45CE3F02"/>
    <w:rsid w:val="45DE2684"/>
    <w:rsid w:val="45E349A9"/>
    <w:rsid w:val="45F22D7B"/>
    <w:rsid w:val="45F25B71"/>
    <w:rsid w:val="45F6092A"/>
    <w:rsid w:val="45FD29AC"/>
    <w:rsid w:val="46122C2B"/>
    <w:rsid w:val="461E6998"/>
    <w:rsid w:val="46202725"/>
    <w:rsid w:val="4622618B"/>
    <w:rsid w:val="4624768B"/>
    <w:rsid w:val="46283409"/>
    <w:rsid w:val="462E1DEC"/>
    <w:rsid w:val="462F257F"/>
    <w:rsid w:val="46316796"/>
    <w:rsid w:val="46436765"/>
    <w:rsid w:val="464C5980"/>
    <w:rsid w:val="464C598F"/>
    <w:rsid w:val="46541012"/>
    <w:rsid w:val="46595BDC"/>
    <w:rsid w:val="465B04AA"/>
    <w:rsid w:val="466467A4"/>
    <w:rsid w:val="466B7E63"/>
    <w:rsid w:val="46726232"/>
    <w:rsid w:val="46731512"/>
    <w:rsid w:val="46795DED"/>
    <w:rsid w:val="468843FE"/>
    <w:rsid w:val="469849B7"/>
    <w:rsid w:val="46991FD8"/>
    <w:rsid w:val="469D4E61"/>
    <w:rsid w:val="46A36DFD"/>
    <w:rsid w:val="46BC2272"/>
    <w:rsid w:val="46D62B88"/>
    <w:rsid w:val="46D929E4"/>
    <w:rsid w:val="46DA3CDF"/>
    <w:rsid w:val="46DD3A97"/>
    <w:rsid w:val="46E122D5"/>
    <w:rsid w:val="46E51519"/>
    <w:rsid w:val="46E72217"/>
    <w:rsid w:val="46EB56D0"/>
    <w:rsid w:val="46EF6BE5"/>
    <w:rsid w:val="46F94629"/>
    <w:rsid w:val="46FE33A2"/>
    <w:rsid w:val="47034B98"/>
    <w:rsid w:val="47067487"/>
    <w:rsid w:val="470675DD"/>
    <w:rsid w:val="47102BE0"/>
    <w:rsid w:val="47115999"/>
    <w:rsid w:val="47123D8D"/>
    <w:rsid w:val="471651A2"/>
    <w:rsid w:val="47195C33"/>
    <w:rsid w:val="472322A2"/>
    <w:rsid w:val="472E14A0"/>
    <w:rsid w:val="472F2F47"/>
    <w:rsid w:val="47304A60"/>
    <w:rsid w:val="47321070"/>
    <w:rsid w:val="47383706"/>
    <w:rsid w:val="473F3443"/>
    <w:rsid w:val="47442FEA"/>
    <w:rsid w:val="47476898"/>
    <w:rsid w:val="474825BA"/>
    <w:rsid w:val="47524966"/>
    <w:rsid w:val="475E1AB6"/>
    <w:rsid w:val="4764753D"/>
    <w:rsid w:val="47663624"/>
    <w:rsid w:val="4779594B"/>
    <w:rsid w:val="477E3FE9"/>
    <w:rsid w:val="478E58BD"/>
    <w:rsid w:val="47933AFC"/>
    <w:rsid w:val="47946581"/>
    <w:rsid w:val="47997ECC"/>
    <w:rsid w:val="47A938A8"/>
    <w:rsid w:val="47AD2393"/>
    <w:rsid w:val="47AF4DB4"/>
    <w:rsid w:val="47B436FF"/>
    <w:rsid w:val="47C05960"/>
    <w:rsid w:val="47CA211A"/>
    <w:rsid w:val="47CE6AD8"/>
    <w:rsid w:val="47D00B76"/>
    <w:rsid w:val="47D266F4"/>
    <w:rsid w:val="47EB3A88"/>
    <w:rsid w:val="47ED09EA"/>
    <w:rsid w:val="47F03825"/>
    <w:rsid w:val="47F67231"/>
    <w:rsid w:val="47F72583"/>
    <w:rsid w:val="47FE4F97"/>
    <w:rsid w:val="48043BE9"/>
    <w:rsid w:val="48050F31"/>
    <w:rsid w:val="480B064E"/>
    <w:rsid w:val="48152A57"/>
    <w:rsid w:val="481B77EC"/>
    <w:rsid w:val="481F00E4"/>
    <w:rsid w:val="48230137"/>
    <w:rsid w:val="482A5E63"/>
    <w:rsid w:val="48357C17"/>
    <w:rsid w:val="483602D1"/>
    <w:rsid w:val="48360F72"/>
    <w:rsid w:val="48466EDC"/>
    <w:rsid w:val="486022F2"/>
    <w:rsid w:val="486505C9"/>
    <w:rsid w:val="48717233"/>
    <w:rsid w:val="487736C7"/>
    <w:rsid w:val="48794416"/>
    <w:rsid w:val="48796AFA"/>
    <w:rsid w:val="4886149A"/>
    <w:rsid w:val="48870995"/>
    <w:rsid w:val="488933F6"/>
    <w:rsid w:val="488F18B7"/>
    <w:rsid w:val="489C5A7F"/>
    <w:rsid w:val="489C5B95"/>
    <w:rsid w:val="489F248C"/>
    <w:rsid w:val="48A47128"/>
    <w:rsid w:val="48A53F58"/>
    <w:rsid w:val="48AA10E1"/>
    <w:rsid w:val="48AF1323"/>
    <w:rsid w:val="48B2080D"/>
    <w:rsid w:val="48B5518F"/>
    <w:rsid w:val="48BE6136"/>
    <w:rsid w:val="48C17060"/>
    <w:rsid w:val="48D16236"/>
    <w:rsid w:val="48D22DB3"/>
    <w:rsid w:val="48D93445"/>
    <w:rsid w:val="48DA1D9C"/>
    <w:rsid w:val="48DC218D"/>
    <w:rsid w:val="48DF3D7D"/>
    <w:rsid w:val="48E4725A"/>
    <w:rsid w:val="48E915DE"/>
    <w:rsid w:val="48EB611E"/>
    <w:rsid w:val="48F7177C"/>
    <w:rsid w:val="48F9720D"/>
    <w:rsid w:val="490008E6"/>
    <w:rsid w:val="490425AB"/>
    <w:rsid w:val="49047124"/>
    <w:rsid w:val="49076238"/>
    <w:rsid w:val="49104838"/>
    <w:rsid w:val="49200C47"/>
    <w:rsid w:val="49250443"/>
    <w:rsid w:val="49267368"/>
    <w:rsid w:val="49276313"/>
    <w:rsid w:val="492F1B04"/>
    <w:rsid w:val="4930158D"/>
    <w:rsid w:val="493166F2"/>
    <w:rsid w:val="493E2578"/>
    <w:rsid w:val="4943084D"/>
    <w:rsid w:val="495B2F5A"/>
    <w:rsid w:val="49660B64"/>
    <w:rsid w:val="496E056A"/>
    <w:rsid w:val="497930F9"/>
    <w:rsid w:val="497E5F0E"/>
    <w:rsid w:val="49863345"/>
    <w:rsid w:val="49895BF9"/>
    <w:rsid w:val="49896889"/>
    <w:rsid w:val="498B006E"/>
    <w:rsid w:val="499C126E"/>
    <w:rsid w:val="49A20032"/>
    <w:rsid w:val="49A82756"/>
    <w:rsid w:val="49A86BF4"/>
    <w:rsid w:val="49A902DE"/>
    <w:rsid w:val="49A961CD"/>
    <w:rsid w:val="49B337E8"/>
    <w:rsid w:val="49B57903"/>
    <w:rsid w:val="49BB0B72"/>
    <w:rsid w:val="49CD3C98"/>
    <w:rsid w:val="49E27CCF"/>
    <w:rsid w:val="49F44446"/>
    <w:rsid w:val="49F543E3"/>
    <w:rsid w:val="49FA00AE"/>
    <w:rsid w:val="4A037F7B"/>
    <w:rsid w:val="4A0C3345"/>
    <w:rsid w:val="4A12511A"/>
    <w:rsid w:val="4A1C6B3C"/>
    <w:rsid w:val="4A2A339F"/>
    <w:rsid w:val="4A3849A0"/>
    <w:rsid w:val="4A3B0ADD"/>
    <w:rsid w:val="4A3D1213"/>
    <w:rsid w:val="4A405618"/>
    <w:rsid w:val="4A42752E"/>
    <w:rsid w:val="4A463FDD"/>
    <w:rsid w:val="4A4D2C8C"/>
    <w:rsid w:val="4A4D6FE1"/>
    <w:rsid w:val="4A4F464E"/>
    <w:rsid w:val="4A500FF5"/>
    <w:rsid w:val="4A51053D"/>
    <w:rsid w:val="4A541B9F"/>
    <w:rsid w:val="4A5B2412"/>
    <w:rsid w:val="4A603371"/>
    <w:rsid w:val="4A665A8F"/>
    <w:rsid w:val="4A6B6C00"/>
    <w:rsid w:val="4A7A1A7F"/>
    <w:rsid w:val="4A7B1C95"/>
    <w:rsid w:val="4A7C6D92"/>
    <w:rsid w:val="4A80680F"/>
    <w:rsid w:val="4A8B2BFF"/>
    <w:rsid w:val="4A8C3D45"/>
    <w:rsid w:val="4A996D58"/>
    <w:rsid w:val="4AA637CE"/>
    <w:rsid w:val="4AAA2363"/>
    <w:rsid w:val="4AAC0232"/>
    <w:rsid w:val="4AB420A2"/>
    <w:rsid w:val="4AB42562"/>
    <w:rsid w:val="4AB971E8"/>
    <w:rsid w:val="4ABC4127"/>
    <w:rsid w:val="4AC14B57"/>
    <w:rsid w:val="4AC462B3"/>
    <w:rsid w:val="4AC908CA"/>
    <w:rsid w:val="4AC95E08"/>
    <w:rsid w:val="4ACC60F1"/>
    <w:rsid w:val="4ACE3D63"/>
    <w:rsid w:val="4AD13FBF"/>
    <w:rsid w:val="4AD37FB6"/>
    <w:rsid w:val="4AED546D"/>
    <w:rsid w:val="4AF15169"/>
    <w:rsid w:val="4AF33411"/>
    <w:rsid w:val="4AFC4739"/>
    <w:rsid w:val="4AFF7966"/>
    <w:rsid w:val="4B0F4D9F"/>
    <w:rsid w:val="4B2B654D"/>
    <w:rsid w:val="4B2D2A9B"/>
    <w:rsid w:val="4B313BE7"/>
    <w:rsid w:val="4B331125"/>
    <w:rsid w:val="4B3405F9"/>
    <w:rsid w:val="4B473804"/>
    <w:rsid w:val="4B5151AA"/>
    <w:rsid w:val="4B537CBF"/>
    <w:rsid w:val="4B550153"/>
    <w:rsid w:val="4B641191"/>
    <w:rsid w:val="4B694B3A"/>
    <w:rsid w:val="4B730932"/>
    <w:rsid w:val="4B76529F"/>
    <w:rsid w:val="4B797876"/>
    <w:rsid w:val="4B7A237E"/>
    <w:rsid w:val="4B815FB3"/>
    <w:rsid w:val="4B86443F"/>
    <w:rsid w:val="4B9A0C4D"/>
    <w:rsid w:val="4B9B3B70"/>
    <w:rsid w:val="4B9E7936"/>
    <w:rsid w:val="4BAC176A"/>
    <w:rsid w:val="4BB7667A"/>
    <w:rsid w:val="4BBA25CD"/>
    <w:rsid w:val="4BBB242F"/>
    <w:rsid w:val="4BBB66CC"/>
    <w:rsid w:val="4BC15B7C"/>
    <w:rsid w:val="4BC22308"/>
    <w:rsid w:val="4BCC5B3C"/>
    <w:rsid w:val="4BD06F1C"/>
    <w:rsid w:val="4BD119E3"/>
    <w:rsid w:val="4BD11B2A"/>
    <w:rsid w:val="4BD13574"/>
    <w:rsid w:val="4BD47BEF"/>
    <w:rsid w:val="4BDA74DE"/>
    <w:rsid w:val="4BE06BCD"/>
    <w:rsid w:val="4BE413D6"/>
    <w:rsid w:val="4BE86538"/>
    <w:rsid w:val="4C001FDF"/>
    <w:rsid w:val="4C040A9A"/>
    <w:rsid w:val="4C0770C1"/>
    <w:rsid w:val="4C1F0776"/>
    <w:rsid w:val="4C232063"/>
    <w:rsid w:val="4C2503E2"/>
    <w:rsid w:val="4C2C299D"/>
    <w:rsid w:val="4C322608"/>
    <w:rsid w:val="4C3238CA"/>
    <w:rsid w:val="4C343A7F"/>
    <w:rsid w:val="4C380D78"/>
    <w:rsid w:val="4C3D0756"/>
    <w:rsid w:val="4C3D5FB7"/>
    <w:rsid w:val="4C4C1686"/>
    <w:rsid w:val="4C513E4B"/>
    <w:rsid w:val="4C603F1D"/>
    <w:rsid w:val="4C6211EA"/>
    <w:rsid w:val="4C635D18"/>
    <w:rsid w:val="4C670EB1"/>
    <w:rsid w:val="4C712086"/>
    <w:rsid w:val="4C7120EC"/>
    <w:rsid w:val="4C7B3D80"/>
    <w:rsid w:val="4C7C605E"/>
    <w:rsid w:val="4C7E2355"/>
    <w:rsid w:val="4C847264"/>
    <w:rsid w:val="4C970E7B"/>
    <w:rsid w:val="4CC1054F"/>
    <w:rsid w:val="4CCB1948"/>
    <w:rsid w:val="4CCE079D"/>
    <w:rsid w:val="4CCE3699"/>
    <w:rsid w:val="4CEA4F4D"/>
    <w:rsid w:val="4CEC58DB"/>
    <w:rsid w:val="4CEF637A"/>
    <w:rsid w:val="4CF00FB6"/>
    <w:rsid w:val="4CF16277"/>
    <w:rsid w:val="4CF4672D"/>
    <w:rsid w:val="4CFA2AAF"/>
    <w:rsid w:val="4D035A68"/>
    <w:rsid w:val="4D0F26CE"/>
    <w:rsid w:val="4D147026"/>
    <w:rsid w:val="4D1478EC"/>
    <w:rsid w:val="4D165C91"/>
    <w:rsid w:val="4D235945"/>
    <w:rsid w:val="4D255F0E"/>
    <w:rsid w:val="4D2F06BA"/>
    <w:rsid w:val="4D304130"/>
    <w:rsid w:val="4D386B0D"/>
    <w:rsid w:val="4D4330D3"/>
    <w:rsid w:val="4D4B7DCE"/>
    <w:rsid w:val="4D545407"/>
    <w:rsid w:val="4D694F30"/>
    <w:rsid w:val="4D6B703C"/>
    <w:rsid w:val="4D717BA1"/>
    <w:rsid w:val="4D7F56C3"/>
    <w:rsid w:val="4D855FB9"/>
    <w:rsid w:val="4D8A0B26"/>
    <w:rsid w:val="4D904FEE"/>
    <w:rsid w:val="4D910D8A"/>
    <w:rsid w:val="4D935425"/>
    <w:rsid w:val="4D953CDB"/>
    <w:rsid w:val="4D97309D"/>
    <w:rsid w:val="4D9E090F"/>
    <w:rsid w:val="4DAC6E91"/>
    <w:rsid w:val="4DAE3711"/>
    <w:rsid w:val="4DB63BC4"/>
    <w:rsid w:val="4DB7591C"/>
    <w:rsid w:val="4DBB2984"/>
    <w:rsid w:val="4DCC46DA"/>
    <w:rsid w:val="4DDD5EB7"/>
    <w:rsid w:val="4DDE45A5"/>
    <w:rsid w:val="4DE265E9"/>
    <w:rsid w:val="4DE5023D"/>
    <w:rsid w:val="4DEB419D"/>
    <w:rsid w:val="4DF267CF"/>
    <w:rsid w:val="4DF6484E"/>
    <w:rsid w:val="4E043A0E"/>
    <w:rsid w:val="4E0B5D31"/>
    <w:rsid w:val="4E125681"/>
    <w:rsid w:val="4E1339D8"/>
    <w:rsid w:val="4E145C86"/>
    <w:rsid w:val="4E187CF8"/>
    <w:rsid w:val="4E1A5C2E"/>
    <w:rsid w:val="4E2B3781"/>
    <w:rsid w:val="4E337E4B"/>
    <w:rsid w:val="4E365771"/>
    <w:rsid w:val="4E3C3064"/>
    <w:rsid w:val="4E3C5DC0"/>
    <w:rsid w:val="4E446F8B"/>
    <w:rsid w:val="4E4D0EBB"/>
    <w:rsid w:val="4E4D4DE2"/>
    <w:rsid w:val="4E5669BF"/>
    <w:rsid w:val="4E5F6EBC"/>
    <w:rsid w:val="4E651EA6"/>
    <w:rsid w:val="4E6757B0"/>
    <w:rsid w:val="4E6C4048"/>
    <w:rsid w:val="4E783D17"/>
    <w:rsid w:val="4E805C19"/>
    <w:rsid w:val="4E836C4E"/>
    <w:rsid w:val="4E865BCD"/>
    <w:rsid w:val="4E957162"/>
    <w:rsid w:val="4E9E60B6"/>
    <w:rsid w:val="4EA27ACB"/>
    <w:rsid w:val="4EA60E85"/>
    <w:rsid w:val="4EB379F2"/>
    <w:rsid w:val="4EB838E0"/>
    <w:rsid w:val="4EBC3167"/>
    <w:rsid w:val="4EBC6632"/>
    <w:rsid w:val="4EBD4562"/>
    <w:rsid w:val="4EBD5620"/>
    <w:rsid w:val="4EBE0F4C"/>
    <w:rsid w:val="4ECD0F14"/>
    <w:rsid w:val="4ED017E4"/>
    <w:rsid w:val="4ED03B4F"/>
    <w:rsid w:val="4ED43AE8"/>
    <w:rsid w:val="4EDC1716"/>
    <w:rsid w:val="4EDF6F4B"/>
    <w:rsid w:val="4EE24F10"/>
    <w:rsid w:val="4EE77077"/>
    <w:rsid w:val="4EE8461F"/>
    <w:rsid w:val="4F0206C2"/>
    <w:rsid w:val="4F06414B"/>
    <w:rsid w:val="4F1A4FD6"/>
    <w:rsid w:val="4F1C2B4C"/>
    <w:rsid w:val="4F1E1A5A"/>
    <w:rsid w:val="4F2D5479"/>
    <w:rsid w:val="4F2E4FDB"/>
    <w:rsid w:val="4F3127D8"/>
    <w:rsid w:val="4F353521"/>
    <w:rsid w:val="4F3B798B"/>
    <w:rsid w:val="4F424396"/>
    <w:rsid w:val="4F461737"/>
    <w:rsid w:val="4F501AA5"/>
    <w:rsid w:val="4F507138"/>
    <w:rsid w:val="4F5431F2"/>
    <w:rsid w:val="4F594949"/>
    <w:rsid w:val="4F5A315B"/>
    <w:rsid w:val="4F664358"/>
    <w:rsid w:val="4F7041A7"/>
    <w:rsid w:val="4F7349ED"/>
    <w:rsid w:val="4F7C7D62"/>
    <w:rsid w:val="4F88390E"/>
    <w:rsid w:val="4F8865D2"/>
    <w:rsid w:val="4F9102E3"/>
    <w:rsid w:val="4F9A400D"/>
    <w:rsid w:val="4FA11827"/>
    <w:rsid w:val="4FA57761"/>
    <w:rsid w:val="4FA82F77"/>
    <w:rsid w:val="4FAB07C1"/>
    <w:rsid w:val="4FC12B67"/>
    <w:rsid w:val="4FD33643"/>
    <w:rsid w:val="4FD409F7"/>
    <w:rsid w:val="4FD41054"/>
    <w:rsid w:val="4FD66F8D"/>
    <w:rsid w:val="4FDB5605"/>
    <w:rsid w:val="4FDF7D08"/>
    <w:rsid w:val="4FE45662"/>
    <w:rsid w:val="4FE66728"/>
    <w:rsid w:val="4FE74DC2"/>
    <w:rsid w:val="4FF81090"/>
    <w:rsid w:val="4FFA1BE3"/>
    <w:rsid w:val="4FFF560B"/>
    <w:rsid w:val="50033BDE"/>
    <w:rsid w:val="50036BC4"/>
    <w:rsid w:val="500B0DCA"/>
    <w:rsid w:val="500C2A95"/>
    <w:rsid w:val="50133F8A"/>
    <w:rsid w:val="50140C07"/>
    <w:rsid w:val="50176E6F"/>
    <w:rsid w:val="50200664"/>
    <w:rsid w:val="502151EE"/>
    <w:rsid w:val="5022333C"/>
    <w:rsid w:val="50312196"/>
    <w:rsid w:val="50417E32"/>
    <w:rsid w:val="504768E3"/>
    <w:rsid w:val="50486EA2"/>
    <w:rsid w:val="504F0FB9"/>
    <w:rsid w:val="504F769B"/>
    <w:rsid w:val="50537FDD"/>
    <w:rsid w:val="50622728"/>
    <w:rsid w:val="507554C6"/>
    <w:rsid w:val="507D0063"/>
    <w:rsid w:val="508D38D6"/>
    <w:rsid w:val="508F1D63"/>
    <w:rsid w:val="508F6AC4"/>
    <w:rsid w:val="509631CF"/>
    <w:rsid w:val="509A55F2"/>
    <w:rsid w:val="50A36924"/>
    <w:rsid w:val="50A732FC"/>
    <w:rsid w:val="50AA341E"/>
    <w:rsid w:val="50AB4E2F"/>
    <w:rsid w:val="50AC2418"/>
    <w:rsid w:val="50B421A0"/>
    <w:rsid w:val="50B70FED"/>
    <w:rsid w:val="50BA643F"/>
    <w:rsid w:val="50BC2897"/>
    <w:rsid w:val="50DA2205"/>
    <w:rsid w:val="50E26E09"/>
    <w:rsid w:val="50E57F59"/>
    <w:rsid w:val="50EA61D3"/>
    <w:rsid w:val="50FC41E2"/>
    <w:rsid w:val="510319B4"/>
    <w:rsid w:val="510A4E7D"/>
    <w:rsid w:val="51187091"/>
    <w:rsid w:val="511E5EB5"/>
    <w:rsid w:val="51205217"/>
    <w:rsid w:val="51217565"/>
    <w:rsid w:val="512D5787"/>
    <w:rsid w:val="51371434"/>
    <w:rsid w:val="51382F84"/>
    <w:rsid w:val="5138518B"/>
    <w:rsid w:val="513B4CBD"/>
    <w:rsid w:val="513F2A79"/>
    <w:rsid w:val="514E5DF0"/>
    <w:rsid w:val="51505C49"/>
    <w:rsid w:val="515F5290"/>
    <w:rsid w:val="515F5E7D"/>
    <w:rsid w:val="51621B03"/>
    <w:rsid w:val="51677ABF"/>
    <w:rsid w:val="51736010"/>
    <w:rsid w:val="517F4109"/>
    <w:rsid w:val="518140E8"/>
    <w:rsid w:val="51871EFE"/>
    <w:rsid w:val="518961AE"/>
    <w:rsid w:val="518A7880"/>
    <w:rsid w:val="518B0D8B"/>
    <w:rsid w:val="51905BB3"/>
    <w:rsid w:val="519E4C2D"/>
    <w:rsid w:val="51A15787"/>
    <w:rsid w:val="51A23180"/>
    <w:rsid w:val="51A44533"/>
    <w:rsid w:val="51B12C2B"/>
    <w:rsid w:val="51B625E5"/>
    <w:rsid w:val="51BB3190"/>
    <w:rsid w:val="51C30F32"/>
    <w:rsid w:val="51C31AB3"/>
    <w:rsid w:val="51C50057"/>
    <w:rsid w:val="51CA6470"/>
    <w:rsid w:val="51CF3752"/>
    <w:rsid w:val="51D221A2"/>
    <w:rsid w:val="51DB590D"/>
    <w:rsid w:val="51DC7D4F"/>
    <w:rsid w:val="51E372D3"/>
    <w:rsid w:val="51E952C3"/>
    <w:rsid w:val="51F763C2"/>
    <w:rsid w:val="52082F0E"/>
    <w:rsid w:val="520A4FD4"/>
    <w:rsid w:val="520A6A40"/>
    <w:rsid w:val="520B29B2"/>
    <w:rsid w:val="52165ED6"/>
    <w:rsid w:val="52170D68"/>
    <w:rsid w:val="521832FA"/>
    <w:rsid w:val="521B5CF1"/>
    <w:rsid w:val="521E330E"/>
    <w:rsid w:val="52210969"/>
    <w:rsid w:val="52250331"/>
    <w:rsid w:val="52251937"/>
    <w:rsid w:val="52291DE3"/>
    <w:rsid w:val="522D32DC"/>
    <w:rsid w:val="522E032A"/>
    <w:rsid w:val="522E48FA"/>
    <w:rsid w:val="52436B21"/>
    <w:rsid w:val="52476CBE"/>
    <w:rsid w:val="52541687"/>
    <w:rsid w:val="525808AD"/>
    <w:rsid w:val="52606B21"/>
    <w:rsid w:val="526142ED"/>
    <w:rsid w:val="52675267"/>
    <w:rsid w:val="526A42D2"/>
    <w:rsid w:val="527456A0"/>
    <w:rsid w:val="52775B19"/>
    <w:rsid w:val="527820D3"/>
    <w:rsid w:val="5286536B"/>
    <w:rsid w:val="528D1636"/>
    <w:rsid w:val="528F6528"/>
    <w:rsid w:val="5294173C"/>
    <w:rsid w:val="52A573D4"/>
    <w:rsid w:val="52AE3C1C"/>
    <w:rsid w:val="52B15A0B"/>
    <w:rsid w:val="52B277B6"/>
    <w:rsid w:val="52B539F6"/>
    <w:rsid w:val="52B87EDF"/>
    <w:rsid w:val="52C2744F"/>
    <w:rsid w:val="52CF2A7E"/>
    <w:rsid w:val="52D52D8A"/>
    <w:rsid w:val="52D70C29"/>
    <w:rsid w:val="52E07E6E"/>
    <w:rsid w:val="52E2403D"/>
    <w:rsid w:val="52E87FC9"/>
    <w:rsid w:val="52EA3010"/>
    <w:rsid w:val="52EE6354"/>
    <w:rsid w:val="52EF275D"/>
    <w:rsid w:val="53035F10"/>
    <w:rsid w:val="530445BC"/>
    <w:rsid w:val="53073E74"/>
    <w:rsid w:val="53176C42"/>
    <w:rsid w:val="53184746"/>
    <w:rsid w:val="531972CB"/>
    <w:rsid w:val="53220BFA"/>
    <w:rsid w:val="53227F73"/>
    <w:rsid w:val="532342A1"/>
    <w:rsid w:val="532E4AC7"/>
    <w:rsid w:val="533E55DF"/>
    <w:rsid w:val="5360600D"/>
    <w:rsid w:val="53703765"/>
    <w:rsid w:val="5376095E"/>
    <w:rsid w:val="537A04E8"/>
    <w:rsid w:val="537D7719"/>
    <w:rsid w:val="53874180"/>
    <w:rsid w:val="53910730"/>
    <w:rsid w:val="53991F46"/>
    <w:rsid w:val="53A430C7"/>
    <w:rsid w:val="53AC44F8"/>
    <w:rsid w:val="53B71A0D"/>
    <w:rsid w:val="53BA49C0"/>
    <w:rsid w:val="53BF11FF"/>
    <w:rsid w:val="53C2398F"/>
    <w:rsid w:val="53C92C10"/>
    <w:rsid w:val="53CF606A"/>
    <w:rsid w:val="53D111B0"/>
    <w:rsid w:val="53D73576"/>
    <w:rsid w:val="53E22364"/>
    <w:rsid w:val="53E35749"/>
    <w:rsid w:val="53EB4289"/>
    <w:rsid w:val="53EE07E8"/>
    <w:rsid w:val="53F67F24"/>
    <w:rsid w:val="53FE5A9E"/>
    <w:rsid w:val="540B221A"/>
    <w:rsid w:val="54193A5D"/>
    <w:rsid w:val="541C5A78"/>
    <w:rsid w:val="54257FE2"/>
    <w:rsid w:val="5428581F"/>
    <w:rsid w:val="542B47E5"/>
    <w:rsid w:val="54312A0A"/>
    <w:rsid w:val="54451C08"/>
    <w:rsid w:val="5450152B"/>
    <w:rsid w:val="545412A1"/>
    <w:rsid w:val="54591BCD"/>
    <w:rsid w:val="546936FE"/>
    <w:rsid w:val="546A602B"/>
    <w:rsid w:val="547034CA"/>
    <w:rsid w:val="54724933"/>
    <w:rsid w:val="547801F9"/>
    <w:rsid w:val="54790E90"/>
    <w:rsid w:val="54824C9F"/>
    <w:rsid w:val="54877824"/>
    <w:rsid w:val="54967702"/>
    <w:rsid w:val="549B60CA"/>
    <w:rsid w:val="54A746D1"/>
    <w:rsid w:val="54B14984"/>
    <w:rsid w:val="54B34E33"/>
    <w:rsid w:val="54BC09E2"/>
    <w:rsid w:val="54C257FC"/>
    <w:rsid w:val="54C51C65"/>
    <w:rsid w:val="54C766D3"/>
    <w:rsid w:val="54DB3842"/>
    <w:rsid w:val="54E32310"/>
    <w:rsid w:val="54E35B83"/>
    <w:rsid w:val="54E5570D"/>
    <w:rsid w:val="54E656A9"/>
    <w:rsid w:val="54E85406"/>
    <w:rsid w:val="54EE0227"/>
    <w:rsid w:val="54EE4DEC"/>
    <w:rsid w:val="54F93AE7"/>
    <w:rsid w:val="54F97DEB"/>
    <w:rsid w:val="55012EF3"/>
    <w:rsid w:val="55022588"/>
    <w:rsid w:val="550D4E7F"/>
    <w:rsid w:val="551B3ADB"/>
    <w:rsid w:val="55252910"/>
    <w:rsid w:val="552677BE"/>
    <w:rsid w:val="552E2F45"/>
    <w:rsid w:val="55313992"/>
    <w:rsid w:val="553772EA"/>
    <w:rsid w:val="553A6D2E"/>
    <w:rsid w:val="5546635B"/>
    <w:rsid w:val="55507B46"/>
    <w:rsid w:val="55534568"/>
    <w:rsid w:val="555A0EDC"/>
    <w:rsid w:val="55677E49"/>
    <w:rsid w:val="55692EAC"/>
    <w:rsid w:val="55714147"/>
    <w:rsid w:val="557C295E"/>
    <w:rsid w:val="557C5B0B"/>
    <w:rsid w:val="55806AF4"/>
    <w:rsid w:val="55812735"/>
    <w:rsid w:val="55861EC8"/>
    <w:rsid w:val="5588140B"/>
    <w:rsid w:val="55891D85"/>
    <w:rsid w:val="5592013C"/>
    <w:rsid w:val="55A57957"/>
    <w:rsid w:val="55AA469C"/>
    <w:rsid w:val="55BC12E8"/>
    <w:rsid w:val="55BD3120"/>
    <w:rsid w:val="55BF56EA"/>
    <w:rsid w:val="55C103AC"/>
    <w:rsid w:val="55C423B5"/>
    <w:rsid w:val="55C6074D"/>
    <w:rsid w:val="55C86079"/>
    <w:rsid w:val="55CC5297"/>
    <w:rsid w:val="55D31938"/>
    <w:rsid w:val="55DA77E0"/>
    <w:rsid w:val="55EE6E58"/>
    <w:rsid w:val="55F2238E"/>
    <w:rsid w:val="55F24132"/>
    <w:rsid w:val="55FB05FF"/>
    <w:rsid w:val="55FC794D"/>
    <w:rsid w:val="56012A7B"/>
    <w:rsid w:val="56172C84"/>
    <w:rsid w:val="56206259"/>
    <w:rsid w:val="562219AC"/>
    <w:rsid w:val="56230DC5"/>
    <w:rsid w:val="562B59B0"/>
    <w:rsid w:val="56387876"/>
    <w:rsid w:val="56391384"/>
    <w:rsid w:val="564C27AB"/>
    <w:rsid w:val="565222DD"/>
    <w:rsid w:val="565907FF"/>
    <w:rsid w:val="565D6940"/>
    <w:rsid w:val="566101A8"/>
    <w:rsid w:val="56666AC5"/>
    <w:rsid w:val="56701442"/>
    <w:rsid w:val="56793306"/>
    <w:rsid w:val="56797C74"/>
    <w:rsid w:val="568116C5"/>
    <w:rsid w:val="568F0B4D"/>
    <w:rsid w:val="5691640E"/>
    <w:rsid w:val="56927F4A"/>
    <w:rsid w:val="569C03A7"/>
    <w:rsid w:val="569E53D6"/>
    <w:rsid w:val="56A304C3"/>
    <w:rsid w:val="56AD16B1"/>
    <w:rsid w:val="56B44FF7"/>
    <w:rsid w:val="56B76AF7"/>
    <w:rsid w:val="56BA0EDB"/>
    <w:rsid w:val="56BA5BFC"/>
    <w:rsid w:val="56D60D34"/>
    <w:rsid w:val="56DA1A1C"/>
    <w:rsid w:val="56E90EF6"/>
    <w:rsid w:val="56F50794"/>
    <w:rsid w:val="56F82259"/>
    <w:rsid w:val="56FC12BF"/>
    <w:rsid w:val="570426CC"/>
    <w:rsid w:val="57103E85"/>
    <w:rsid w:val="57167A78"/>
    <w:rsid w:val="571E4103"/>
    <w:rsid w:val="5724356E"/>
    <w:rsid w:val="573B396A"/>
    <w:rsid w:val="576019A8"/>
    <w:rsid w:val="576E1A2E"/>
    <w:rsid w:val="576F00D0"/>
    <w:rsid w:val="57780B15"/>
    <w:rsid w:val="577C7921"/>
    <w:rsid w:val="577D6052"/>
    <w:rsid w:val="578130EB"/>
    <w:rsid w:val="5781472D"/>
    <w:rsid w:val="57842581"/>
    <w:rsid w:val="57860B1C"/>
    <w:rsid w:val="579016BB"/>
    <w:rsid w:val="579131AA"/>
    <w:rsid w:val="57937EC6"/>
    <w:rsid w:val="57961B8E"/>
    <w:rsid w:val="579A34FF"/>
    <w:rsid w:val="57A05D52"/>
    <w:rsid w:val="57A65B21"/>
    <w:rsid w:val="57A93B1C"/>
    <w:rsid w:val="57AC71EF"/>
    <w:rsid w:val="57B30CCB"/>
    <w:rsid w:val="57B82FE8"/>
    <w:rsid w:val="57BA183B"/>
    <w:rsid w:val="57BC21E8"/>
    <w:rsid w:val="57C64CE3"/>
    <w:rsid w:val="57CF1AC2"/>
    <w:rsid w:val="57CF411E"/>
    <w:rsid w:val="57CF6469"/>
    <w:rsid w:val="57D20F94"/>
    <w:rsid w:val="57E359C9"/>
    <w:rsid w:val="57E8494C"/>
    <w:rsid w:val="57F75230"/>
    <w:rsid w:val="57FA5E75"/>
    <w:rsid w:val="58000E35"/>
    <w:rsid w:val="58222E9F"/>
    <w:rsid w:val="582D3231"/>
    <w:rsid w:val="58316A55"/>
    <w:rsid w:val="583F3207"/>
    <w:rsid w:val="58452DB9"/>
    <w:rsid w:val="5846017C"/>
    <w:rsid w:val="58484E27"/>
    <w:rsid w:val="58514B7B"/>
    <w:rsid w:val="58525C17"/>
    <w:rsid w:val="58592455"/>
    <w:rsid w:val="586815ED"/>
    <w:rsid w:val="586B3009"/>
    <w:rsid w:val="58775EED"/>
    <w:rsid w:val="58790B5B"/>
    <w:rsid w:val="588D7FDD"/>
    <w:rsid w:val="58924ECC"/>
    <w:rsid w:val="589511CE"/>
    <w:rsid w:val="5895256C"/>
    <w:rsid w:val="58965AA7"/>
    <w:rsid w:val="5899451C"/>
    <w:rsid w:val="589C6409"/>
    <w:rsid w:val="589D4D39"/>
    <w:rsid w:val="58A34E0C"/>
    <w:rsid w:val="58AE31F5"/>
    <w:rsid w:val="58B354B8"/>
    <w:rsid w:val="58B60FB7"/>
    <w:rsid w:val="58BB01CF"/>
    <w:rsid w:val="58BD1D42"/>
    <w:rsid w:val="58C04526"/>
    <w:rsid w:val="58C15643"/>
    <w:rsid w:val="58C925C7"/>
    <w:rsid w:val="58DE296B"/>
    <w:rsid w:val="58E05B85"/>
    <w:rsid w:val="58F141D6"/>
    <w:rsid w:val="58F9654F"/>
    <w:rsid w:val="58F979E8"/>
    <w:rsid w:val="58FB6C25"/>
    <w:rsid w:val="58FE08ED"/>
    <w:rsid w:val="59061DAE"/>
    <w:rsid w:val="590E4EED"/>
    <w:rsid w:val="5914669F"/>
    <w:rsid w:val="591557DB"/>
    <w:rsid w:val="591A5C30"/>
    <w:rsid w:val="591C4B79"/>
    <w:rsid w:val="591F2957"/>
    <w:rsid w:val="59262A74"/>
    <w:rsid w:val="592E7398"/>
    <w:rsid w:val="592F1CE2"/>
    <w:rsid w:val="59371CA9"/>
    <w:rsid w:val="593C5853"/>
    <w:rsid w:val="593E005D"/>
    <w:rsid w:val="5940158A"/>
    <w:rsid w:val="594606CC"/>
    <w:rsid w:val="594B6D49"/>
    <w:rsid w:val="59697600"/>
    <w:rsid w:val="596C25D4"/>
    <w:rsid w:val="597028E6"/>
    <w:rsid w:val="597D38D7"/>
    <w:rsid w:val="598A75D0"/>
    <w:rsid w:val="59935094"/>
    <w:rsid w:val="5995496F"/>
    <w:rsid w:val="59A62A34"/>
    <w:rsid w:val="59AB1748"/>
    <w:rsid w:val="59B159CB"/>
    <w:rsid w:val="59B51848"/>
    <w:rsid w:val="59BC67AC"/>
    <w:rsid w:val="59C03938"/>
    <w:rsid w:val="59C811F1"/>
    <w:rsid w:val="59C83D69"/>
    <w:rsid w:val="59CB01B4"/>
    <w:rsid w:val="59CC0DAD"/>
    <w:rsid w:val="59CF1C3E"/>
    <w:rsid w:val="59D87B36"/>
    <w:rsid w:val="59E57113"/>
    <w:rsid w:val="59E91981"/>
    <w:rsid w:val="59F22823"/>
    <w:rsid w:val="59F35BF5"/>
    <w:rsid w:val="59F42704"/>
    <w:rsid w:val="59FD1C88"/>
    <w:rsid w:val="5A0020BE"/>
    <w:rsid w:val="5A02215A"/>
    <w:rsid w:val="5A0823EC"/>
    <w:rsid w:val="5A0B4999"/>
    <w:rsid w:val="5A1219E8"/>
    <w:rsid w:val="5A1601E1"/>
    <w:rsid w:val="5A1A2003"/>
    <w:rsid w:val="5A2023BC"/>
    <w:rsid w:val="5A2534E2"/>
    <w:rsid w:val="5A272110"/>
    <w:rsid w:val="5A2F52ED"/>
    <w:rsid w:val="5A307C26"/>
    <w:rsid w:val="5A341010"/>
    <w:rsid w:val="5A3A1517"/>
    <w:rsid w:val="5A4D351E"/>
    <w:rsid w:val="5A507300"/>
    <w:rsid w:val="5A51154D"/>
    <w:rsid w:val="5A523957"/>
    <w:rsid w:val="5A532CC8"/>
    <w:rsid w:val="5A612789"/>
    <w:rsid w:val="5A6543C4"/>
    <w:rsid w:val="5A6A5675"/>
    <w:rsid w:val="5A6E205B"/>
    <w:rsid w:val="5A7B2C70"/>
    <w:rsid w:val="5A7C2218"/>
    <w:rsid w:val="5A7C5822"/>
    <w:rsid w:val="5A847FE5"/>
    <w:rsid w:val="5A916654"/>
    <w:rsid w:val="5A9B3B8F"/>
    <w:rsid w:val="5A9E6004"/>
    <w:rsid w:val="5AAB402B"/>
    <w:rsid w:val="5AAF46FD"/>
    <w:rsid w:val="5AB01941"/>
    <w:rsid w:val="5AB36954"/>
    <w:rsid w:val="5ABE401A"/>
    <w:rsid w:val="5AC526EE"/>
    <w:rsid w:val="5ACB4B14"/>
    <w:rsid w:val="5AD45224"/>
    <w:rsid w:val="5ADA5032"/>
    <w:rsid w:val="5ADC6365"/>
    <w:rsid w:val="5B0A16D4"/>
    <w:rsid w:val="5B0B0FE2"/>
    <w:rsid w:val="5B1029A0"/>
    <w:rsid w:val="5B18258F"/>
    <w:rsid w:val="5B28216A"/>
    <w:rsid w:val="5B2B1ACA"/>
    <w:rsid w:val="5B302C2D"/>
    <w:rsid w:val="5B33397C"/>
    <w:rsid w:val="5B35552C"/>
    <w:rsid w:val="5B356E68"/>
    <w:rsid w:val="5B3A4E8A"/>
    <w:rsid w:val="5B43203B"/>
    <w:rsid w:val="5B485D9E"/>
    <w:rsid w:val="5B4E4DA1"/>
    <w:rsid w:val="5B5335BE"/>
    <w:rsid w:val="5B613886"/>
    <w:rsid w:val="5B6A6045"/>
    <w:rsid w:val="5B6C39BD"/>
    <w:rsid w:val="5B7B1E82"/>
    <w:rsid w:val="5B862B77"/>
    <w:rsid w:val="5B944D80"/>
    <w:rsid w:val="5B9509FD"/>
    <w:rsid w:val="5BAB4BEE"/>
    <w:rsid w:val="5BB210AD"/>
    <w:rsid w:val="5BB47B97"/>
    <w:rsid w:val="5BB81EEF"/>
    <w:rsid w:val="5BC23198"/>
    <w:rsid w:val="5BC3049A"/>
    <w:rsid w:val="5BC52C1C"/>
    <w:rsid w:val="5BCE2157"/>
    <w:rsid w:val="5BD2376F"/>
    <w:rsid w:val="5BEA66B7"/>
    <w:rsid w:val="5BEB4DCC"/>
    <w:rsid w:val="5BF81226"/>
    <w:rsid w:val="5BFB7485"/>
    <w:rsid w:val="5C0042AF"/>
    <w:rsid w:val="5C021D5C"/>
    <w:rsid w:val="5C097E8B"/>
    <w:rsid w:val="5C0E1887"/>
    <w:rsid w:val="5C0E448E"/>
    <w:rsid w:val="5C116FBD"/>
    <w:rsid w:val="5C18254C"/>
    <w:rsid w:val="5C1B2C25"/>
    <w:rsid w:val="5C1E0099"/>
    <w:rsid w:val="5C24204D"/>
    <w:rsid w:val="5C261AD7"/>
    <w:rsid w:val="5C2A4D2E"/>
    <w:rsid w:val="5C2E032C"/>
    <w:rsid w:val="5C317C76"/>
    <w:rsid w:val="5C35045C"/>
    <w:rsid w:val="5C3B0435"/>
    <w:rsid w:val="5C3C5668"/>
    <w:rsid w:val="5C3C56AD"/>
    <w:rsid w:val="5C3D32DD"/>
    <w:rsid w:val="5C3E4B55"/>
    <w:rsid w:val="5C404666"/>
    <w:rsid w:val="5C422461"/>
    <w:rsid w:val="5C48686D"/>
    <w:rsid w:val="5C4F52A1"/>
    <w:rsid w:val="5C4F75E7"/>
    <w:rsid w:val="5C50319B"/>
    <w:rsid w:val="5C511614"/>
    <w:rsid w:val="5C520197"/>
    <w:rsid w:val="5C5371DE"/>
    <w:rsid w:val="5C5F094C"/>
    <w:rsid w:val="5C603564"/>
    <w:rsid w:val="5C633837"/>
    <w:rsid w:val="5C6B674F"/>
    <w:rsid w:val="5C6F57DC"/>
    <w:rsid w:val="5C7E0DF8"/>
    <w:rsid w:val="5C7E39D8"/>
    <w:rsid w:val="5C8A31FF"/>
    <w:rsid w:val="5C9F55AA"/>
    <w:rsid w:val="5CA474D4"/>
    <w:rsid w:val="5CA84AC1"/>
    <w:rsid w:val="5CAC4293"/>
    <w:rsid w:val="5CB64B19"/>
    <w:rsid w:val="5CBD7A62"/>
    <w:rsid w:val="5CBF1903"/>
    <w:rsid w:val="5CC164AE"/>
    <w:rsid w:val="5CC22998"/>
    <w:rsid w:val="5CC5766D"/>
    <w:rsid w:val="5CC829D4"/>
    <w:rsid w:val="5CD22245"/>
    <w:rsid w:val="5CD612EC"/>
    <w:rsid w:val="5CD620EF"/>
    <w:rsid w:val="5CD63CB1"/>
    <w:rsid w:val="5CD75EB0"/>
    <w:rsid w:val="5CE00BB1"/>
    <w:rsid w:val="5CE76E4E"/>
    <w:rsid w:val="5CE97CE3"/>
    <w:rsid w:val="5CF06B97"/>
    <w:rsid w:val="5CF85D55"/>
    <w:rsid w:val="5CFA67A0"/>
    <w:rsid w:val="5CFF2C7D"/>
    <w:rsid w:val="5CFF66F4"/>
    <w:rsid w:val="5D042519"/>
    <w:rsid w:val="5D10070C"/>
    <w:rsid w:val="5D1077A1"/>
    <w:rsid w:val="5D193562"/>
    <w:rsid w:val="5D232DD8"/>
    <w:rsid w:val="5D2360DD"/>
    <w:rsid w:val="5D360039"/>
    <w:rsid w:val="5D3A22F4"/>
    <w:rsid w:val="5D3D681F"/>
    <w:rsid w:val="5D421B63"/>
    <w:rsid w:val="5D467576"/>
    <w:rsid w:val="5D4B2525"/>
    <w:rsid w:val="5D543240"/>
    <w:rsid w:val="5D5434CB"/>
    <w:rsid w:val="5D5A25C6"/>
    <w:rsid w:val="5D645AF7"/>
    <w:rsid w:val="5D697151"/>
    <w:rsid w:val="5D7070A0"/>
    <w:rsid w:val="5D7B2BAE"/>
    <w:rsid w:val="5D893541"/>
    <w:rsid w:val="5D8C28B4"/>
    <w:rsid w:val="5D8E7C73"/>
    <w:rsid w:val="5D974515"/>
    <w:rsid w:val="5D9832F3"/>
    <w:rsid w:val="5D9934EC"/>
    <w:rsid w:val="5D9C1E54"/>
    <w:rsid w:val="5DAB1E9E"/>
    <w:rsid w:val="5DB53FF3"/>
    <w:rsid w:val="5DB81F70"/>
    <w:rsid w:val="5DBC3F54"/>
    <w:rsid w:val="5DC328CA"/>
    <w:rsid w:val="5DCA57DD"/>
    <w:rsid w:val="5DD74A14"/>
    <w:rsid w:val="5DD853AD"/>
    <w:rsid w:val="5DDB163B"/>
    <w:rsid w:val="5DDC2477"/>
    <w:rsid w:val="5DDC2877"/>
    <w:rsid w:val="5DF11D42"/>
    <w:rsid w:val="5DFA2E17"/>
    <w:rsid w:val="5DFB0C01"/>
    <w:rsid w:val="5E006537"/>
    <w:rsid w:val="5E1D2155"/>
    <w:rsid w:val="5E2374D1"/>
    <w:rsid w:val="5E401AFE"/>
    <w:rsid w:val="5E454E01"/>
    <w:rsid w:val="5E490493"/>
    <w:rsid w:val="5E4C4204"/>
    <w:rsid w:val="5E4D4054"/>
    <w:rsid w:val="5E4F4CEC"/>
    <w:rsid w:val="5E517BBA"/>
    <w:rsid w:val="5E521705"/>
    <w:rsid w:val="5E650FB2"/>
    <w:rsid w:val="5E656142"/>
    <w:rsid w:val="5E680B19"/>
    <w:rsid w:val="5E7334F8"/>
    <w:rsid w:val="5E7805FF"/>
    <w:rsid w:val="5E7859D6"/>
    <w:rsid w:val="5E842B6A"/>
    <w:rsid w:val="5E875A07"/>
    <w:rsid w:val="5E8C1E30"/>
    <w:rsid w:val="5E911FAC"/>
    <w:rsid w:val="5E92137B"/>
    <w:rsid w:val="5E9373FC"/>
    <w:rsid w:val="5EA67DEF"/>
    <w:rsid w:val="5EA736D1"/>
    <w:rsid w:val="5EAA11B3"/>
    <w:rsid w:val="5EB70697"/>
    <w:rsid w:val="5EB95510"/>
    <w:rsid w:val="5EB956EE"/>
    <w:rsid w:val="5EC57A3D"/>
    <w:rsid w:val="5ECB275F"/>
    <w:rsid w:val="5ECE2836"/>
    <w:rsid w:val="5EDB5813"/>
    <w:rsid w:val="5EE2308E"/>
    <w:rsid w:val="5EE35C8C"/>
    <w:rsid w:val="5EEC409E"/>
    <w:rsid w:val="5EF2448C"/>
    <w:rsid w:val="5EF442F3"/>
    <w:rsid w:val="5F051F15"/>
    <w:rsid w:val="5F222082"/>
    <w:rsid w:val="5F355FC9"/>
    <w:rsid w:val="5F37319D"/>
    <w:rsid w:val="5F3A21FA"/>
    <w:rsid w:val="5F490636"/>
    <w:rsid w:val="5F4A6244"/>
    <w:rsid w:val="5F6219E5"/>
    <w:rsid w:val="5F710C1D"/>
    <w:rsid w:val="5F7C4F33"/>
    <w:rsid w:val="5F7D5743"/>
    <w:rsid w:val="5F810563"/>
    <w:rsid w:val="5F824D0A"/>
    <w:rsid w:val="5F902061"/>
    <w:rsid w:val="5F91364B"/>
    <w:rsid w:val="5F942C15"/>
    <w:rsid w:val="5F982E68"/>
    <w:rsid w:val="5F983E67"/>
    <w:rsid w:val="5FA57B43"/>
    <w:rsid w:val="5FB560BB"/>
    <w:rsid w:val="5FB62CD8"/>
    <w:rsid w:val="5FC20790"/>
    <w:rsid w:val="5FC87F8E"/>
    <w:rsid w:val="5FC91DE9"/>
    <w:rsid w:val="5FCE57F6"/>
    <w:rsid w:val="5FD820A7"/>
    <w:rsid w:val="5FDF0C33"/>
    <w:rsid w:val="5FE25D83"/>
    <w:rsid w:val="5FE5232B"/>
    <w:rsid w:val="5FEC3C05"/>
    <w:rsid w:val="5FF020A1"/>
    <w:rsid w:val="5FFC5DE4"/>
    <w:rsid w:val="600F241C"/>
    <w:rsid w:val="60112156"/>
    <w:rsid w:val="60127ACF"/>
    <w:rsid w:val="60195F65"/>
    <w:rsid w:val="60200E33"/>
    <w:rsid w:val="6023016C"/>
    <w:rsid w:val="602924AC"/>
    <w:rsid w:val="602B5AAA"/>
    <w:rsid w:val="60334B2A"/>
    <w:rsid w:val="603E7B8A"/>
    <w:rsid w:val="60420933"/>
    <w:rsid w:val="6056292C"/>
    <w:rsid w:val="6063156C"/>
    <w:rsid w:val="606502AC"/>
    <w:rsid w:val="60660D11"/>
    <w:rsid w:val="606611B7"/>
    <w:rsid w:val="60687B01"/>
    <w:rsid w:val="606D5453"/>
    <w:rsid w:val="607044B9"/>
    <w:rsid w:val="60760530"/>
    <w:rsid w:val="6078579C"/>
    <w:rsid w:val="608159C3"/>
    <w:rsid w:val="60841E8A"/>
    <w:rsid w:val="60904724"/>
    <w:rsid w:val="60924935"/>
    <w:rsid w:val="60932C72"/>
    <w:rsid w:val="60934023"/>
    <w:rsid w:val="60947BEA"/>
    <w:rsid w:val="609B6315"/>
    <w:rsid w:val="60AC169F"/>
    <w:rsid w:val="60AF0E29"/>
    <w:rsid w:val="60B43DFD"/>
    <w:rsid w:val="60B55179"/>
    <w:rsid w:val="60BF5745"/>
    <w:rsid w:val="60C47684"/>
    <w:rsid w:val="60C90EA4"/>
    <w:rsid w:val="60CA2396"/>
    <w:rsid w:val="60CF0514"/>
    <w:rsid w:val="60D07484"/>
    <w:rsid w:val="60D10C0F"/>
    <w:rsid w:val="60D3569F"/>
    <w:rsid w:val="60D4537B"/>
    <w:rsid w:val="60D74889"/>
    <w:rsid w:val="60E02B8F"/>
    <w:rsid w:val="60E26F48"/>
    <w:rsid w:val="60E92E1A"/>
    <w:rsid w:val="60ED6BA8"/>
    <w:rsid w:val="60F37DA9"/>
    <w:rsid w:val="60FA110C"/>
    <w:rsid w:val="60FA46E4"/>
    <w:rsid w:val="60FD3753"/>
    <w:rsid w:val="60FE00AF"/>
    <w:rsid w:val="60FE35D0"/>
    <w:rsid w:val="6101046D"/>
    <w:rsid w:val="61047EF9"/>
    <w:rsid w:val="61064296"/>
    <w:rsid w:val="610864CC"/>
    <w:rsid w:val="610958BB"/>
    <w:rsid w:val="610A63CC"/>
    <w:rsid w:val="611558FC"/>
    <w:rsid w:val="61164EEF"/>
    <w:rsid w:val="61176A85"/>
    <w:rsid w:val="611A697F"/>
    <w:rsid w:val="61206479"/>
    <w:rsid w:val="612143A4"/>
    <w:rsid w:val="61221695"/>
    <w:rsid w:val="6124184C"/>
    <w:rsid w:val="61254671"/>
    <w:rsid w:val="612E3337"/>
    <w:rsid w:val="614050A9"/>
    <w:rsid w:val="61465E1A"/>
    <w:rsid w:val="614B5BCE"/>
    <w:rsid w:val="614D1495"/>
    <w:rsid w:val="614D2B5A"/>
    <w:rsid w:val="6155426A"/>
    <w:rsid w:val="615755AF"/>
    <w:rsid w:val="615D6475"/>
    <w:rsid w:val="61620240"/>
    <w:rsid w:val="616730ED"/>
    <w:rsid w:val="616C2054"/>
    <w:rsid w:val="616E3976"/>
    <w:rsid w:val="617D0D60"/>
    <w:rsid w:val="618321F0"/>
    <w:rsid w:val="618563BE"/>
    <w:rsid w:val="61861C69"/>
    <w:rsid w:val="61867017"/>
    <w:rsid w:val="618B084B"/>
    <w:rsid w:val="618E1E6E"/>
    <w:rsid w:val="618F22FB"/>
    <w:rsid w:val="61B15149"/>
    <w:rsid w:val="61B16AF8"/>
    <w:rsid w:val="61B71C73"/>
    <w:rsid w:val="61C56900"/>
    <w:rsid w:val="61C73EC2"/>
    <w:rsid w:val="61D32FE5"/>
    <w:rsid w:val="61D9528D"/>
    <w:rsid w:val="61DA6BBA"/>
    <w:rsid w:val="61DE7C3D"/>
    <w:rsid w:val="61E1330A"/>
    <w:rsid w:val="61E51E0F"/>
    <w:rsid w:val="61E852C9"/>
    <w:rsid w:val="61EE26FB"/>
    <w:rsid w:val="61EE28BD"/>
    <w:rsid w:val="61F0115C"/>
    <w:rsid w:val="61FA5B62"/>
    <w:rsid w:val="6203062B"/>
    <w:rsid w:val="62070260"/>
    <w:rsid w:val="620A5E09"/>
    <w:rsid w:val="62164CFF"/>
    <w:rsid w:val="6222428F"/>
    <w:rsid w:val="623328EA"/>
    <w:rsid w:val="62390C34"/>
    <w:rsid w:val="6239162C"/>
    <w:rsid w:val="623D4624"/>
    <w:rsid w:val="623D5E3F"/>
    <w:rsid w:val="6241252A"/>
    <w:rsid w:val="62464E95"/>
    <w:rsid w:val="62475095"/>
    <w:rsid w:val="625377EA"/>
    <w:rsid w:val="625D49CE"/>
    <w:rsid w:val="6260455B"/>
    <w:rsid w:val="626114D6"/>
    <w:rsid w:val="6268560F"/>
    <w:rsid w:val="627C049D"/>
    <w:rsid w:val="627E327C"/>
    <w:rsid w:val="628E6DF2"/>
    <w:rsid w:val="62971DFA"/>
    <w:rsid w:val="629963D8"/>
    <w:rsid w:val="629D5617"/>
    <w:rsid w:val="62B3642B"/>
    <w:rsid w:val="62B91CB2"/>
    <w:rsid w:val="62E05F11"/>
    <w:rsid w:val="62E70CE0"/>
    <w:rsid w:val="62F00E21"/>
    <w:rsid w:val="62F06C0E"/>
    <w:rsid w:val="62F571B6"/>
    <w:rsid w:val="62F91A8D"/>
    <w:rsid w:val="62FA0118"/>
    <w:rsid w:val="62FB5ADF"/>
    <w:rsid w:val="63016DD9"/>
    <w:rsid w:val="63060DC1"/>
    <w:rsid w:val="630B0513"/>
    <w:rsid w:val="630D5FB3"/>
    <w:rsid w:val="631D12C4"/>
    <w:rsid w:val="632F0EFF"/>
    <w:rsid w:val="633159CB"/>
    <w:rsid w:val="6332638D"/>
    <w:rsid w:val="633B2B0B"/>
    <w:rsid w:val="633C5BF9"/>
    <w:rsid w:val="633E36D1"/>
    <w:rsid w:val="6343466C"/>
    <w:rsid w:val="634A145E"/>
    <w:rsid w:val="634E753F"/>
    <w:rsid w:val="63607ED4"/>
    <w:rsid w:val="636469BD"/>
    <w:rsid w:val="63670D77"/>
    <w:rsid w:val="63685741"/>
    <w:rsid w:val="636A3942"/>
    <w:rsid w:val="636B5C5F"/>
    <w:rsid w:val="63716369"/>
    <w:rsid w:val="63767EE6"/>
    <w:rsid w:val="637919F5"/>
    <w:rsid w:val="637A710D"/>
    <w:rsid w:val="637D2E4D"/>
    <w:rsid w:val="63802ACC"/>
    <w:rsid w:val="6388225F"/>
    <w:rsid w:val="63947BA7"/>
    <w:rsid w:val="63B253E1"/>
    <w:rsid w:val="63B26566"/>
    <w:rsid w:val="63B601D2"/>
    <w:rsid w:val="63BF085E"/>
    <w:rsid w:val="63D86821"/>
    <w:rsid w:val="63D8720B"/>
    <w:rsid w:val="63DF3F98"/>
    <w:rsid w:val="63E02D15"/>
    <w:rsid w:val="63E0457C"/>
    <w:rsid w:val="63E25AFD"/>
    <w:rsid w:val="63E57666"/>
    <w:rsid w:val="63F03B38"/>
    <w:rsid w:val="63F731A5"/>
    <w:rsid w:val="63FC766C"/>
    <w:rsid w:val="63FE2454"/>
    <w:rsid w:val="64022F76"/>
    <w:rsid w:val="64084173"/>
    <w:rsid w:val="641269AD"/>
    <w:rsid w:val="641C56F8"/>
    <w:rsid w:val="64231408"/>
    <w:rsid w:val="64281DC7"/>
    <w:rsid w:val="643A7824"/>
    <w:rsid w:val="644A3F96"/>
    <w:rsid w:val="64553AA4"/>
    <w:rsid w:val="64564ED9"/>
    <w:rsid w:val="645A5737"/>
    <w:rsid w:val="646029D7"/>
    <w:rsid w:val="64603768"/>
    <w:rsid w:val="646270E8"/>
    <w:rsid w:val="6467123E"/>
    <w:rsid w:val="64706790"/>
    <w:rsid w:val="64724898"/>
    <w:rsid w:val="647C3BBA"/>
    <w:rsid w:val="64805997"/>
    <w:rsid w:val="64813A7C"/>
    <w:rsid w:val="64823A3A"/>
    <w:rsid w:val="64855B2D"/>
    <w:rsid w:val="64867427"/>
    <w:rsid w:val="648976FB"/>
    <w:rsid w:val="648A2250"/>
    <w:rsid w:val="648B131F"/>
    <w:rsid w:val="648B1491"/>
    <w:rsid w:val="648E1573"/>
    <w:rsid w:val="649A52C8"/>
    <w:rsid w:val="64B0747D"/>
    <w:rsid w:val="64B6071F"/>
    <w:rsid w:val="64BE2F18"/>
    <w:rsid w:val="64C004BC"/>
    <w:rsid w:val="64C03551"/>
    <w:rsid w:val="64C317B4"/>
    <w:rsid w:val="64C6530B"/>
    <w:rsid w:val="64D9451E"/>
    <w:rsid w:val="64DB77D5"/>
    <w:rsid w:val="64F314E4"/>
    <w:rsid w:val="64F31974"/>
    <w:rsid w:val="64FA5C63"/>
    <w:rsid w:val="6507069F"/>
    <w:rsid w:val="65127100"/>
    <w:rsid w:val="6532464B"/>
    <w:rsid w:val="65341AC5"/>
    <w:rsid w:val="653A34E5"/>
    <w:rsid w:val="653C6B1D"/>
    <w:rsid w:val="65433415"/>
    <w:rsid w:val="65463750"/>
    <w:rsid w:val="654E3228"/>
    <w:rsid w:val="65537C6B"/>
    <w:rsid w:val="655C685E"/>
    <w:rsid w:val="656160AB"/>
    <w:rsid w:val="65622086"/>
    <w:rsid w:val="65644A63"/>
    <w:rsid w:val="65655B02"/>
    <w:rsid w:val="656E3321"/>
    <w:rsid w:val="65757B8D"/>
    <w:rsid w:val="65764BA6"/>
    <w:rsid w:val="658E776E"/>
    <w:rsid w:val="65907AC2"/>
    <w:rsid w:val="65A62A91"/>
    <w:rsid w:val="65A8734A"/>
    <w:rsid w:val="65A9185C"/>
    <w:rsid w:val="65AB43EF"/>
    <w:rsid w:val="65B430CC"/>
    <w:rsid w:val="65CC6A3A"/>
    <w:rsid w:val="65DB0A99"/>
    <w:rsid w:val="65E919BF"/>
    <w:rsid w:val="65ED7EEF"/>
    <w:rsid w:val="65F46CFC"/>
    <w:rsid w:val="65F73BB4"/>
    <w:rsid w:val="660658FA"/>
    <w:rsid w:val="660B1805"/>
    <w:rsid w:val="660C035C"/>
    <w:rsid w:val="66103D06"/>
    <w:rsid w:val="66190E3D"/>
    <w:rsid w:val="661C061C"/>
    <w:rsid w:val="6628673A"/>
    <w:rsid w:val="66300C32"/>
    <w:rsid w:val="6639596A"/>
    <w:rsid w:val="66401DD3"/>
    <w:rsid w:val="6644369D"/>
    <w:rsid w:val="66513A8B"/>
    <w:rsid w:val="66515333"/>
    <w:rsid w:val="66543F3A"/>
    <w:rsid w:val="6654755D"/>
    <w:rsid w:val="66706DA7"/>
    <w:rsid w:val="66715E7B"/>
    <w:rsid w:val="66741783"/>
    <w:rsid w:val="66847504"/>
    <w:rsid w:val="66870478"/>
    <w:rsid w:val="66892842"/>
    <w:rsid w:val="66917990"/>
    <w:rsid w:val="66941DAA"/>
    <w:rsid w:val="66972F96"/>
    <w:rsid w:val="66976DD4"/>
    <w:rsid w:val="669A7003"/>
    <w:rsid w:val="66A54376"/>
    <w:rsid w:val="66AD05F5"/>
    <w:rsid w:val="66AD1818"/>
    <w:rsid w:val="66AD4A88"/>
    <w:rsid w:val="66B4636B"/>
    <w:rsid w:val="66B93F76"/>
    <w:rsid w:val="66BE7A6E"/>
    <w:rsid w:val="66C2655F"/>
    <w:rsid w:val="66D01D1D"/>
    <w:rsid w:val="66D20F68"/>
    <w:rsid w:val="66D6103F"/>
    <w:rsid w:val="66DB5E51"/>
    <w:rsid w:val="66DC2051"/>
    <w:rsid w:val="66E77E06"/>
    <w:rsid w:val="66F861FA"/>
    <w:rsid w:val="670027A0"/>
    <w:rsid w:val="67037752"/>
    <w:rsid w:val="67050D51"/>
    <w:rsid w:val="67050D97"/>
    <w:rsid w:val="67091904"/>
    <w:rsid w:val="670E178E"/>
    <w:rsid w:val="6717419C"/>
    <w:rsid w:val="67212735"/>
    <w:rsid w:val="673611CB"/>
    <w:rsid w:val="67494011"/>
    <w:rsid w:val="674A450B"/>
    <w:rsid w:val="674B4E59"/>
    <w:rsid w:val="675005EC"/>
    <w:rsid w:val="675E366D"/>
    <w:rsid w:val="67635837"/>
    <w:rsid w:val="67690F3D"/>
    <w:rsid w:val="676B3A7C"/>
    <w:rsid w:val="676D52AA"/>
    <w:rsid w:val="677011BD"/>
    <w:rsid w:val="6770452E"/>
    <w:rsid w:val="67705A6F"/>
    <w:rsid w:val="67750EBE"/>
    <w:rsid w:val="67816012"/>
    <w:rsid w:val="67842D1C"/>
    <w:rsid w:val="678C278B"/>
    <w:rsid w:val="67991948"/>
    <w:rsid w:val="67A850E1"/>
    <w:rsid w:val="67AB3E74"/>
    <w:rsid w:val="67B0438B"/>
    <w:rsid w:val="67B33BE3"/>
    <w:rsid w:val="67B71656"/>
    <w:rsid w:val="67B723B3"/>
    <w:rsid w:val="67B743E8"/>
    <w:rsid w:val="67BD43E0"/>
    <w:rsid w:val="67BD4993"/>
    <w:rsid w:val="67C0411D"/>
    <w:rsid w:val="67C716FE"/>
    <w:rsid w:val="67C95416"/>
    <w:rsid w:val="67D74048"/>
    <w:rsid w:val="67E041E2"/>
    <w:rsid w:val="67E356EB"/>
    <w:rsid w:val="67E51F56"/>
    <w:rsid w:val="67E97A89"/>
    <w:rsid w:val="67F27764"/>
    <w:rsid w:val="6802359C"/>
    <w:rsid w:val="680319FB"/>
    <w:rsid w:val="68081463"/>
    <w:rsid w:val="680A257F"/>
    <w:rsid w:val="680E50C8"/>
    <w:rsid w:val="681541C3"/>
    <w:rsid w:val="681674DF"/>
    <w:rsid w:val="681D6FA0"/>
    <w:rsid w:val="68373462"/>
    <w:rsid w:val="68447B3B"/>
    <w:rsid w:val="685C0FCA"/>
    <w:rsid w:val="68650F7D"/>
    <w:rsid w:val="68655BE3"/>
    <w:rsid w:val="686926D4"/>
    <w:rsid w:val="68774A50"/>
    <w:rsid w:val="68784EDA"/>
    <w:rsid w:val="687A62EB"/>
    <w:rsid w:val="687B4F8F"/>
    <w:rsid w:val="688A20B8"/>
    <w:rsid w:val="688C0135"/>
    <w:rsid w:val="688D57D8"/>
    <w:rsid w:val="6892047F"/>
    <w:rsid w:val="6897438E"/>
    <w:rsid w:val="68A01495"/>
    <w:rsid w:val="68A27905"/>
    <w:rsid w:val="68A550D0"/>
    <w:rsid w:val="68A57A2E"/>
    <w:rsid w:val="68A7533D"/>
    <w:rsid w:val="68BD6779"/>
    <w:rsid w:val="68C02111"/>
    <w:rsid w:val="68C42BDC"/>
    <w:rsid w:val="68CE3102"/>
    <w:rsid w:val="68D015E0"/>
    <w:rsid w:val="68D33B58"/>
    <w:rsid w:val="68D824C6"/>
    <w:rsid w:val="68E24545"/>
    <w:rsid w:val="68E31D7A"/>
    <w:rsid w:val="68E71448"/>
    <w:rsid w:val="68E92B61"/>
    <w:rsid w:val="68F308C4"/>
    <w:rsid w:val="68F51C33"/>
    <w:rsid w:val="68FA62F0"/>
    <w:rsid w:val="68FA757F"/>
    <w:rsid w:val="68FE7853"/>
    <w:rsid w:val="68FF6668"/>
    <w:rsid w:val="6901117B"/>
    <w:rsid w:val="69021A4A"/>
    <w:rsid w:val="69052CE9"/>
    <w:rsid w:val="69156DDD"/>
    <w:rsid w:val="691D61F1"/>
    <w:rsid w:val="691E3879"/>
    <w:rsid w:val="69211467"/>
    <w:rsid w:val="69257A7E"/>
    <w:rsid w:val="69277662"/>
    <w:rsid w:val="69344B19"/>
    <w:rsid w:val="69345F83"/>
    <w:rsid w:val="69392613"/>
    <w:rsid w:val="69392966"/>
    <w:rsid w:val="693C2B63"/>
    <w:rsid w:val="694E1147"/>
    <w:rsid w:val="69520D7A"/>
    <w:rsid w:val="69573B6E"/>
    <w:rsid w:val="696032C7"/>
    <w:rsid w:val="696206D3"/>
    <w:rsid w:val="6967756D"/>
    <w:rsid w:val="6968644A"/>
    <w:rsid w:val="697011ED"/>
    <w:rsid w:val="69826A24"/>
    <w:rsid w:val="698B2061"/>
    <w:rsid w:val="699B6DC8"/>
    <w:rsid w:val="69A97058"/>
    <w:rsid w:val="69AB6F60"/>
    <w:rsid w:val="69C8002E"/>
    <w:rsid w:val="69CF04C1"/>
    <w:rsid w:val="69D32FE1"/>
    <w:rsid w:val="69D463F2"/>
    <w:rsid w:val="69D72910"/>
    <w:rsid w:val="69D94035"/>
    <w:rsid w:val="69DC26A6"/>
    <w:rsid w:val="69E37874"/>
    <w:rsid w:val="69E56B54"/>
    <w:rsid w:val="69E96708"/>
    <w:rsid w:val="69ED002E"/>
    <w:rsid w:val="69ED6B4A"/>
    <w:rsid w:val="69EE54CD"/>
    <w:rsid w:val="69F92613"/>
    <w:rsid w:val="69FB7CD4"/>
    <w:rsid w:val="69FD723E"/>
    <w:rsid w:val="69FD7CEA"/>
    <w:rsid w:val="6A0229E5"/>
    <w:rsid w:val="6A067F83"/>
    <w:rsid w:val="6A097E59"/>
    <w:rsid w:val="6A171AFC"/>
    <w:rsid w:val="6A227A57"/>
    <w:rsid w:val="6A2A2D01"/>
    <w:rsid w:val="6A3225D7"/>
    <w:rsid w:val="6A3B0B6C"/>
    <w:rsid w:val="6A3C0BF8"/>
    <w:rsid w:val="6A423E55"/>
    <w:rsid w:val="6A470981"/>
    <w:rsid w:val="6A4747AF"/>
    <w:rsid w:val="6A49294B"/>
    <w:rsid w:val="6A562B91"/>
    <w:rsid w:val="6A57299A"/>
    <w:rsid w:val="6A697946"/>
    <w:rsid w:val="6A6D6854"/>
    <w:rsid w:val="6A700CED"/>
    <w:rsid w:val="6A7017D7"/>
    <w:rsid w:val="6AA235D3"/>
    <w:rsid w:val="6AA31D3D"/>
    <w:rsid w:val="6AB02B50"/>
    <w:rsid w:val="6AB14532"/>
    <w:rsid w:val="6ABB2ED0"/>
    <w:rsid w:val="6ABD7A51"/>
    <w:rsid w:val="6AC335C4"/>
    <w:rsid w:val="6ACC0F11"/>
    <w:rsid w:val="6ADB4318"/>
    <w:rsid w:val="6ADD7DFD"/>
    <w:rsid w:val="6AE2135D"/>
    <w:rsid w:val="6AE77D3D"/>
    <w:rsid w:val="6AE93C28"/>
    <w:rsid w:val="6AF05F1A"/>
    <w:rsid w:val="6B036D80"/>
    <w:rsid w:val="6B0451AB"/>
    <w:rsid w:val="6B160110"/>
    <w:rsid w:val="6B21434C"/>
    <w:rsid w:val="6B237C36"/>
    <w:rsid w:val="6B2718FD"/>
    <w:rsid w:val="6B2A147B"/>
    <w:rsid w:val="6B2B4CFC"/>
    <w:rsid w:val="6B2C290C"/>
    <w:rsid w:val="6B33476F"/>
    <w:rsid w:val="6B352059"/>
    <w:rsid w:val="6B3B4CA2"/>
    <w:rsid w:val="6B4514F6"/>
    <w:rsid w:val="6B4A50C0"/>
    <w:rsid w:val="6B4D3CED"/>
    <w:rsid w:val="6B5C7011"/>
    <w:rsid w:val="6B6A2B7E"/>
    <w:rsid w:val="6B705893"/>
    <w:rsid w:val="6B7221D1"/>
    <w:rsid w:val="6B725A81"/>
    <w:rsid w:val="6B7D16E0"/>
    <w:rsid w:val="6B7F30F3"/>
    <w:rsid w:val="6B873558"/>
    <w:rsid w:val="6B92645D"/>
    <w:rsid w:val="6B94060D"/>
    <w:rsid w:val="6B973734"/>
    <w:rsid w:val="6B975967"/>
    <w:rsid w:val="6B9A5777"/>
    <w:rsid w:val="6BB248CC"/>
    <w:rsid w:val="6BBC0DCF"/>
    <w:rsid w:val="6BCA6179"/>
    <w:rsid w:val="6BCE3445"/>
    <w:rsid w:val="6BD0777F"/>
    <w:rsid w:val="6BD619EE"/>
    <w:rsid w:val="6BEA64E2"/>
    <w:rsid w:val="6BFA7E30"/>
    <w:rsid w:val="6BFB030F"/>
    <w:rsid w:val="6C016CAE"/>
    <w:rsid w:val="6C07197C"/>
    <w:rsid w:val="6C090252"/>
    <w:rsid w:val="6C0B7CD2"/>
    <w:rsid w:val="6C0D6AE8"/>
    <w:rsid w:val="6C100936"/>
    <w:rsid w:val="6C1962C3"/>
    <w:rsid w:val="6C1A6808"/>
    <w:rsid w:val="6C255AAD"/>
    <w:rsid w:val="6C2C5801"/>
    <w:rsid w:val="6C2D7320"/>
    <w:rsid w:val="6C2E3E73"/>
    <w:rsid w:val="6C3321F9"/>
    <w:rsid w:val="6C33267C"/>
    <w:rsid w:val="6C3D0F56"/>
    <w:rsid w:val="6C410CB8"/>
    <w:rsid w:val="6C452BDF"/>
    <w:rsid w:val="6C5E1CDD"/>
    <w:rsid w:val="6C62391B"/>
    <w:rsid w:val="6C660C8B"/>
    <w:rsid w:val="6C6A716D"/>
    <w:rsid w:val="6C6C6ED7"/>
    <w:rsid w:val="6C71767A"/>
    <w:rsid w:val="6C7C1F44"/>
    <w:rsid w:val="6C827094"/>
    <w:rsid w:val="6C8559E0"/>
    <w:rsid w:val="6C891188"/>
    <w:rsid w:val="6C8D26FB"/>
    <w:rsid w:val="6C996561"/>
    <w:rsid w:val="6CB01397"/>
    <w:rsid w:val="6CC25213"/>
    <w:rsid w:val="6CD76A8F"/>
    <w:rsid w:val="6CDE47C9"/>
    <w:rsid w:val="6CDF1F89"/>
    <w:rsid w:val="6CE0702D"/>
    <w:rsid w:val="6CE83295"/>
    <w:rsid w:val="6CEE220B"/>
    <w:rsid w:val="6CEE246E"/>
    <w:rsid w:val="6CF27A30"/>
    <w:rsid w:val="6CF6067E"/>
    <w:rsid w:val="6D032BD4"/>
    <w:rsid w:val="6D0535EE"/>
    <w:rsid w:val="6D077405"/>
    <w:rsid w:val="6D0A3519"/>
    <w:rsid w:val="6D133D59"/>
    <w:rsid w:val="6D175B2B"/>
    <w:rsid w:val="6D264EC5"/>
    <w:rsid w:val="6D26662C"/>
    <w:rsid w:val="6D2B3CDC"/>
    <w:rsid w:val="6D330DB7"/>
    <w:rsid w:val="6D3C1702"/>
    <w:rsid w:val="6D437763"/>
    <w:rsid w:val="6D4B2385"/>
    <w:rsid w:val="6D4C07B8"/>
    <w:rsid w:val="6D5B1179"/>
    <w:rsid w:val="6D671B76"/>
    <w:rsid w:val="6D6D28AF"/>
    <w:rsid w:val="6D771293"/>
    <w:rsid w:val="6D7D0954"/>
    <w:rsid w:val="6D8153B2"/>
    <w:rsid w:val="6D876AB7"/>
    <w:rsid w:val="6D8F154F"/>
    <w:rsid w:val="6D9757D1"/>
    <w:rsid w:val="6D9C3974"/>
    <w:rsid w:val="6DA062EA"/>
    <w:rsid w:val="6DA65DBF"/>
    <w:rsid w:val="6DA76631"/>
    <w:rsid w:val="6DAF65CC"/>
    <w:rsid w:val="6DB157A2"/>
    <w:rsid w:val="6DB25F3D"/>
    <w:rsid w:val="6DBA586C"/>
    <w:rsid w:val="6DBE0B3F"/>
    <w:rsid w:val="6DBF7294"/>
    <w:rsid w:val="6DC53FBD"/>
    <w:rsid w:val="6DC93FE2"/>
    <w:rsid w:val="6DCA77EA"/>
    <w:rsid w:val="6DD35114"/>
    <w:rsid w:val="6DDE35E8"/>
    <w:rsid w:val="6DE65A7A"/>
    <w:rsid w:val="6DE92FA2"/>
    <w:rsid w:val="6DEE0E7D"/>
    <w:rsid w:val="6DEF6BC8"/>
    <w:rsid w:val="6DF574ED"/>
    <w:rsid w:val="6DF81839"/>
    <w:rsid w:val="6E0048DC"/>
    <w:rsid w:val="6E075019"/>
    <w:rsid w:val="6E0766A1"/>
    <w:rsid w:val="6E1419C0"/>
    <w:rsid w:val="6E166FE2"/>
    <w:rsid w:val="6E183FF4"/>
    <w:rsid w:val="6E1B11E5"/>
    <w:rsid w:val="6E1D151C"/>
    <w:rsid w:val="6E2E7D17"/>
    <w:rsid w:val="6E3323DD"/>
    <w:rsid w:val="6E3761D3"/>
    <w:rsid w:val="6E392DDA"/>
    <w:rsid w:val="6E3E2033"/>
    <w:rsid w:val="6E411943"/>
    <w:rsid w:val="6E440060"/>
    <w:rsid w:val="6E442CF5"/>
    <w:rsid w:val="6E54575C"/>
    <w:rsid w:val="6E5A2999"/>
    <w:rsid w:val="6E612C3F"/>
    <w:rsid w:val="6E650AD9"/>
    <w:rsid w:val="6E6F6D88"/>
    <w:rsid w:val="6E702FE8"/>
    <w:rsid w:val="6E706B87"/>
    <w:rsid w:val="6E766C71"/>
    <w:rsid w:val="6E7926F7"/>
    <w:rsid w:val="6E7B110F"/>
    <w:rsid w:val="6E8A2A35"/>
    <w:rsid w:val="6E915314"/>
    <w:rsid w:val="6EA04FAE"/>
    <w:rsid w:val="6EAA59A3"/>
    <w:rsid w:val="6EAA79ED"/>
    <w:rsid w:val="6EB029C1"/>
    <w:rsid w:val="6EC161BE"/>
    <w:rsid w:val="6ECD08F1"/>
    <w:rsid w:val="6ECE2AFD"/>
    <w:rsid w:val="6ED8031D"/>
    <w:rsid w:val="6EDF2531"/>
    <w:rsid w:val="6EE1335D"/>
    <w:rsid w:val="6EE50FBC"/>
    <w:rsid w:val="6EEF6508"/>
    <w:rsid w:val="6EF02682"/>
    <w:rsid w:val="6EFF1809"/>
    <w:rsid w:val="6F19615F"/>
    <w:rsid w:val="6F1A60C4"/>
    <w:rsid w:val="6F231E41"/>
    <w:rsid w:val="6F244447"/>
    <w:rsid w:val="6F303DE1"/>
    <w:rsid w:val="6F331C81"/>
    <w:rsid w:val="6F331F52"/>
    <w:rsid w:val="6F362062"/>
    <w:rsid w:val="6F3C0797"/>
    <w:rsid w:val="6F4048CA"/>
    <w:rsid w:val="6F405BD0"/>
    <w:rsid w:val="6F4713C5"/>
    <w:rsid w:val="6F4734D0"/>
    <w:rsid w:val="6F4B3953"/>
    <w:rsid w:val="6F555C91"/>
    <w:rsid w:val="6F603479"/>
    <w:rsid w:val="6F680494"/>
    <w:rsid w:val="6F6B5A9E"/>
    <w:rsid w:val="6F7A07E3"/>
    <w:rsid w:val="6F7D050B"/>
    <w:rsid w:val="6F8C33B0"/>
    <w:rsid w:val="6F8D5B36"/>
    <w:rsid w:val="6F953750"/>
    <w:rsid w:val="6FA04DA3"/>
    <w:rsid w:val="6FA10B29"/>
    <w:rsid w:val="6FAA2D8A"/>
    <w:rsid w:val="6FC02217"/>
    <w:rsid w:val="6FC34E9D"/>
    <w:rsid w:val="6FC60A07"/>
    <w:rsid w:val="6FC90F86"/>
    <w:rsid w:val="6FCD3BC3"/>
    <w:rsid w:val="6FCE2BBA"/>
    <w:rsid w:val="6FDF40F5"/>
    <w:rsid w:val="6FE0165C"/>
    <w:rsid w:val="6FE05F95"/>
    <w:rsid w:val="6FF021F5"/>
    <w:rsid w:val="6FF06B6B"/>
    <w:rsid w:val="6FF97C31"/>
    <w:rsid w:val="6FFC64FF"/>
    <w:rsid w:val="7001428F"/>
    <w:rsid w:val="700E7127"/>
    <w:rsid w:val="70133236"/>
    <w:rsid w:val="70156307"/>
    <w:rsid w:val="7016485B"/>
    <w:rsid w:val="701C590F"/>
    <w:rsid w:val="702033F7"/>
    <w:rsid w:val="7021034D"/>
    <w:rsid w:val="702C02EE"/>
    <w:rsid w:val="702D10A9"/>
    <w:rsid w:val="70315D3B"/>
    <w:rsid w:val="703D58C4"/>
    <w:rsid w:val="70453D87"/>
    <w:rsid w:val="704E5E48"/>
    <w:rsid w:val="7053674B"/>
    <w:rsid w:val="7055360F"/>
    <w:rsid w:val="70642BE6"/>
    <w:rsid w:val="706F497B"/>
    <w:rsid w:val="70724AB3"/>
    <w:rsid w:val="70877819"/>
    <w:rsid w:val="70916EF8"/>
    <w:rsid w:val="709261ED"/>
    <w:rsid w:val="70A02568"/>
    <w:rsid w:val="70AD230C"/>
    <w:rsid w:val="70B91785"/>
    <w:rsid w:val="70C41020"/>
    <w:rsid w:val="70CC1017"/>
    <w:rsid w:val="70CF255C"/>
    <w:rsid w:val="70DC2C89"/>
    <w:rsid w:val="70DD041E"/>
    <w:rsid w:val="70DD743F"/>
    <w:rsid w:val="70DD7EE0"/>
    <w:rsid w:val="70E3150B"/>
    <w:rsid w:val="70E67B77"/>
    <w:rsid w:val="70F323B0"/>
    <w:rsid w:val="70FD7C9B"/>
    <w:rsid w:val="710221FA"/>
    <w:rsid w:val="710560C7"/>
    <w:rsid w:val="71094431"/>
    <w:rsid w:val="710D3478"/>
    <w:rsid w:val="710F7585"/>
    <w:rsid w:val="711805A6"/>
    <w:rsid w:val="711A79AD"/>
    <w:rsid w:val="71217446"/>
    <w:rsid w:val="71224F32"/>
    <w:rsid w:val="7123463F"/>
    <w:rsid w:val="71322854"/>
    <w:rsid w:val="713B1ED6"/>
    <w:rsid w:val="713D34FF"/>
    <w:rsid w:val="714463AC"/>
    <w:rsid w:val="7144693A"/>
    <w:rsid w:val="71525708"/>
    <w:rsid w:val="71542A3C"/>
    <w:rsid w:val="71584711"/>
    <w:rsid w:val="71595F23"/>
    <w:rsid w:val="716A4C59"/>
    <w:rsid w:val="716D3AF0"/>
    <w:rsid w:val="717106F9"/>
    <w:rsid w:val="71811922"/>
    <w:rsid w:val="7184567C"/>
    <w:rsid w:val="71866C06"/>
    <w:rsid w:val="718F2568"/>
    <w:rsid w:val="718F3086"/>
    <w:rsid w:val="71910B53"/>
    <w:rsid w:val="719D1BC1"/>
    <w:rsid w:val="719E09E3"/>
    <w:rsid w:val="719F5958"/>
    <w:rsid w:val="71A33FEC"/>
    <w:rsid w:val="71A601E7"/>
    <w:rsid w:val="71AC51C8"/>
    <w:rsid w:val="71C37CE8"/>
    <w:rsid w:val="71C402EA"/>
    <w:rsid w:val="71D4132F"/>
    <w:rsid w:val="71D53676"/>
    <w:rsid w:val="71DA32B4"/>
    <w:rsid w:val="71E32E83"/>
    <w:rsid w:val="71F46D71"/>
    <w:rsid w:val="71F96411"/>
    <w:rsid w:val="71FA7506"/>
    <w:rsid w:val="72061465"/>
    <w:rsid w:val="722F766C"/>
    <w:rsid w:val="723256D8"/>
    <w:rsid w:val="72382B26"/>
    <w:rsid w:val="72385872"/>
    <w:rsid w:val="72451F4F"/>
    <w:rsid w:val="7247128C"/>
    <w:rsid w:val="72493E35"/>
    <w:rsid w:val="725B0CD8"/>
    <w:rsid w:val="7264361A"/>
    <w:rsid w:val="726822A9"/>
    <w:rsid w:val="726C3438"/>
    <w:rsid w:val="727367E8"/>
    <w:rsid w:val="72791B78"/>
    <w:rsid w:val="727C5618"/>
    <w:rsid w:val="727F3E51"/>
    <w:rsid w:val="7287073E"/>
    <w:rsid w:val="728C70E1"/>
    <w:rsid w:val="7290542B"/>
    <w:rsid w:val="72913002"/>
    <w:rsid w:val="72917F17"/>
    <w:rsid w:val="72935E6A"/>
    <w:rsid w:val="729A7834"/>
    <w:rsid w:val="72A00661"/>
    <w:rsid w:val="72AF2463"/>
    <w:rsid w:val="72B06D9D"/>
    <w:rsid w:val="72B715E4"/>
    <w:rsid w:val="72C32F53"/>
    <w:rsid w:val="72C77A8A"/>
    <w:rsid w:val="72CB7C4C"/>
    <w:rsid w:val="72D86D20"/>
    <w:rsid w:val="72DB6BCE"/>
    <w:rsid w:val="72F70D65"/>
    <w:rsid w:val="72F762C6"/>
    <w:rsid w:val="72F76B46"/>
    <w:rsid w:val="72FA3B21"/>
    <w:rsid w:val="72FE3E8E"/>
    <w:rsid w:val="731B711B"/>
    <w:rsid w:val="731C3ED2"/>
    <w:rsid w:val="731E5631"/>
    <w:rsid w:val="732009B8"/>
    <w:rsid w:val="732B0C72"/>
    <w:rsid w:val="733271A4"/>
    <w:rsid w:val="73330C63"/>
    <w:rsid w:val="733863E3"/>
    <w:rsid w:val="733A3332"/>
    <w:rsid w:val="733C1D9D"/>
    <w:rsid w:val="733E46B2"/>
    <w:rsid w:val="733E586B"/>
    <w:rsid w:val="733E59D9"/>
    <w:rsid w:val="734B3969"/>
    <w:rsid w:val="73597F33"/>
    <w:rsid w:val="7375490C"/>
    <w:rsid w:val="73757E63"/>
    <w:rsid w:val="737D2F4F"/>
    <w:rsid w:val="738B029F"/>
    <w:rsid w:val="73900D21"/>
    <w:rsid w:val="739A7114"/>
    <w:rsid w:val="739F2349"/>
    <w:rsid w:val="739F6287"/>
    <w:rsid w:val="73A242CD"/>
    <w:rsid w:val="73A935F2"/>
    <w:rsid w:val="73AC333B"/>
    <w:rsid w:val="73B11DBC"/>
    <w:rsid w:val="73B1795C"/>
    <w:rsid w:val="73B51018"/>
    <w:rsid w:val="73B67CAD"/>
    <w:rsid w:val="73B86EBC"/>
    <w:rsid w:val="73C340B3"/>
    <w:rsid w:val="73C72DB3"/>
    <w:rsid w:val="73C854F0"/>
    <w:rsid w:val="73CE0B05"/>
    <w:rsid w:val="73D007EE"/>
    <w:rsid w:val="73D27A00"/>
    <w:rsid w:val="73D31801"/>
    <w:rsid w:val="73D9581C"/>
    <w:rsid w:val="73DA2FBB"/>
    <w:rsid w:val="73DC2CAB"/>
    <w:rsid w:val="73DC5744"/>
    <w:rsid w:val="73E36876"/>
    <w:rsid w:val="73E72CB9"/>
    <w:rsid w:val="74014C0C"/>
    <w:rsid w:val="740B7234"/>
    <w:rsid w:val="741B5358"/>
    <w:rsid w:val="74202F12"/>
    <w:rsid w:val="742C093F"/>
    <w:rsid w:val="742F68DF"/>
    <w:rsid w:val="7435797F"/>
    <w:rsid w:val="7442738A"/>
    <w:rsid w:val="744A0545"/>
    <w:rsid w:val="744C691C"/>
    <w:rsid w:val="744F0653"/>
    <w:rsid w:val="744F7C70"/>
    <w:rsid w:val="74521009"/>
    <w:rsid w:val="74632A31"/>
    <w:rsid w:val="7465205B"/>
    <w:rsid w:val="746954DB"/>
    <w:rsid w:val="74743C33"/>
    <w:rsid w:val="747640DF"/>
    <w:rsid w:val="747E6036"/>
    <w:rsid w:val="74807A49"/>
    <w:rsid w:val="7482175B"/>
    <w:rsid w:val="74843F0D"/>
    <w:rsid w:val="74A67409"/>
    <w:rsid w:val="74B37F42"/>
    <w:rsid w:val="74B539F8"/>
    <w:rsid w:val="74B94875"/>
    <w:rsid w:val="74BA4FF9"/>
    <w:rsid w:val="74C311F6"/>
    <w:rsid w:val="74C53F19"/>
    <w:rsid w:val="74CA0770"/>
    <w:rsid w:val="74D52F3D"/>
    <w:rsid w:val="74D81528"/>
    <w:rsid w:val="74D96025"/>
    <w:rsid w:val="74DA07A2"/>
    <w:rsid w:val="74E1491C"/>
    <w:rsid w:val="74E67A31"/>
    <w:rsid w:val="74F61278"/>
    <w:rsid w:val="74F90505"/>
    <w:rsid w:val="74FC67D7"/>
    <w:rsid w:val="7501178C"/>
    <w:rsid w:val="75092044"/>
    <w:rsid w:val="75124563"/>
    <w:rsid w:val="751274A1"/>
    <w:rsid w:val="75190871"/>
    <w:rsid w:val="751C2143"/>
    <w:rsid w:val="75295853"/>
    <w:rsid w:val="752D2921"/>
    <w:rsid w:val="752F1869"/>
    <w:rsid w:val="752F2DAC"/>
    <w:rsid w:val="75387884"/>
    <w:rsid w:val="75631790"/>
    <w:rsid w:val="7566472C"/>
    <w:rsid w:val="756B1E1E"/>
    <w:rsid w:val="7578413D"/>
    <w:rsid w:val="757B64ED"/>
    <w:rsid w:val="757C232A"/>
    <w:rsid w:val="75851DCA"/>
    <w:rsid w:val="75895C6B"/>
    <w:rsid w:val="758F3A2A"/>
    <w:rsid w:val="7595284C"/>
    <w:rsid w:val="7599617F"/>
    <w:rsid w:val="759D7802"/>
    <w:rsid w:val="75A011FF"/>
    <w:rsid w:val="75A70E4F"/>
    <w:rsid w:val="75AA3F51"/>
    <w:rsid w:val="75B11420"/>
    <w:rsid w:val="75B263D3"/>
    <w:rsid w:val="75CB7A28"/>
    <w:rsid w:val="75DA0294"/>
    <w:rsid w:val="75DC2372"/>
    <w:rsid w:val="75E16CC1"/>
    <w:rsid w:val="75F22E0F"/>
    <w:rsid w:val="7600000E"/>
    <w:rsid w:val="760021B6"/>
    <w:rsid w:val="760950F4"/>
    <w:rsid w:val="76122AB3"/>
    <w:rsid w:val="76154B74"/>
    <w:rsid w:val="761C414A"/>
    <w:rsid w:val="761D237D"/>
    <w:rsid w:val="76380CDC"/>
    <w:rsid w:val="76383420"/>
    <w:rsid w:val="76411431"/>
    <w:rsid w:val="7649562B"/>
    <w:rsid w:val="764F7C59"/>
    <w:rsid w:val="76536622"/>
    <w:rsid w:val="765566B4"/>
    <w:rsid w:val="76605088"/>
    <w:rsid w:val="76636412"/>
    <w:rsid w:val="766477E2"/>
    <w:rsid w:val="7668119A"/>
    <w:rsid w:val="766966D4"/>
    <w:rsid w:val="766E17F9"/>
    <w:rsid w:val="76894FB9"/>
    <w:rsid w:val="768C1EBA"/>
    <w:rsid w:val="768E260E"/>
    <w:rsid w:val="769222A0"/>
    <w:rsid w:val="769568F8"/>
    <w:rsid w:val="76983FB4"/>
    <w:rsid w:val="76993596"/>
    <w:rsid w:val="769F0134"/>
    <w:rsid w:val="76B14AAD"/>
    <w:rsid w:val="76C118A2"/>
    <w:rsid w:val="76C32B57"/>
    <w:rsid w:val="76C63D93"/>
    <w:rsid w:val="76CB0A63"/>
    <w:rsid w:val="76D25527"/>
    <w:rsid w:val="76D81970"/>
    <w:rsid w:val="76DD3810"/>
    <w:rsid w:val="76E451C7"/>
    <w:rsid w:val="76E472DD"/>
    <w:rsid w:val="76E8548D"/>
    <w:rsid w:val="76ED3B38"/>
    <w:rsid w:val="76F13EA7"/>
    <w:rsid w:val="76F14581"/>
    <w:rsid w:val="76F77BBD"/>
    <w:rsid w:val="76FD22EC"/>
    <w:rsid w:val="76FD6D57"/>
    <w:rsid w:val="77030B27"/>
    <w:rsid w:val="77041D95"/>
    <w:rsid w:val="77095079"/>
    <w:rsid w:val="7718408C"/>
    <w:rsid w:val="771D7BC5"/>
    <w:rsid w:val="7723073F"/>
    <w:rsid w:val="772527B2"/>
    <w:rsid w:val="772A6A8E"/>
    <w:rsid w:val="773B25F8"/>
    <w:rsid w:val="773B48CE"/>
    <w:rsid w:val="773D0C62"/>
    <w:rsid w:val="773F62E5"/>
    <w:rsid w:val="7743414C"/>
    <w:rsid w:val="774551B5"/>
    <w:rsid w:val="77523DCF"/>
    <w:rsid w:val="77606B3D"/>
    <w:rsid w:val="776870B9"/>
    <w:rsid w:val="776967FB"/>
    <w:rsid w:val="776D4583"/>
    <w:rsid w:val="7776540C"/>
    <w:rsid w:val="777A37E1"/>
    <w:rsid w:val="778100C2"/>
    <w:rsid w:val="77855EB4"/>
    <w:rsid w:val="779D35D8"/>
    <w:rsid w:val="77AA135C"/>
    <w:rsid w:val="77AB7E27"/>
    <w:rsid w:val="77AC14DA"/>
    <w:rsid w:val="77AD64CA"/>
    <w:rsid w:val="77AF3504"/>
    <w:rsid w:val="77B36F7C"/>
    <w:rsid w:val="77BE1BC2"/>
    <w:rsid w:val="77C926F0"/>
    <w:rsid w:val="77CA0362"/>
    <w:rsid w:val="77D17A81"/>
    <w:rsid w:val="77E40C30"/>
    <w:rsid w:val="77FC1B84"/>
    <w:rsid w:val="78055C6F"/>
    <w:rsid w:val="780752E6"/>
    <w:rsid w:val="780B6CC7"/>
    <w:rsid w:val="78153F77"/>
    <w:rsid w:val="78185315"/>
    <w:rsid w:val="781C67FA"/>
    <w:rsid w:val="782378AE"/>
    <w:rsid w:val="78296DAC"/>
    <w:rsid w:val="783267CC"/>
    <w:rsid w:val="783E418B"/>
    <w:rsid w:val="783F1754"/>
    <w:rsid w:val="784E3C01"/>
    <w:rsid w:val="78570849"/>
    <w:rsid w:val="78575D9F"/>
    <w:rsid w:val="78600977"/>
    <w:rsid w:val="78617AF2"/>
    <w:rsid w:val="78626899"/>
    <w:rsid w:val="786421F2"/>
    <w:rsid w:val="786616B3"/>
    <w:rsid w:val="786E5D08"/>
    <w:rsid w:val="787E7A1D"/>
    <w:rsid w:val="78812F7C"/>
    <w:rsid w:val="78975C7D"/>
    <w:rsid w:val="78A51B95"/>
    <w:rsid w:val="78AA6975"/>
    <w:rsid w:val="78C15B1C"/>
    <w:rsid w:val="78C359B3"/>
    <w:rsid w:val="78C653C1"/>
    <w:rsid w:val="78C9190A"/>
    <w:rsid w:val="78C97D4F"/>
    <w:rsid w:val="78CC0493"/>
    <w:rsid w:val="78DB3FCA"/>
    <w:rsid w:val="78EC2D52"/>
    <w:rsid w:val="78F5480C"/>
    <w:rsid w:val="79036E66"/>
    <w:rsid w:val="790945D5"/>
    <w:rsid w:val="790B5E2B"/>
    <w:rsid w:val="790E47EA"/>
    <w:rsid w:val="790E548B"/>
    <w:rsid w:val="79104E2B"/>
    <w:rsid w:val="79135CA0"/>
    <w:rsid w:val="791467F0"/>
    <w:rsid w:val="7915089E"/>
    <w:rsid w:val="791A58CD"/>
    <w:rsid w:val="791F537B"/>
    <w:rsid w:val="79344437"/>
    <w:rsid w:val="79367982"/>
    <w:rsid w:val="793D5C2F"/>
    <w:rsid w:val="793F7F0E"/>
    <w:rsid w:val="794A336F"/>
    <w:rsid w:val="79537099"/>
    <w:rsid w:val="79552D08"/>
    <w:rsid w:val="795E7ED2"/>
    <w:rsid w:val="79672E22"/>
    <w:rsid w:val="79677010"/>
    <w:rsid w:val="796E6578"/>
    <w:rsid w:val="79711579"/>
    <w:rsid w:val="797121AE"/>
    <w:rsid w:val="797E1825"/>
    <w:rsid w:val="79A7288D"/>
    <w:rsid w:val="79AA3C4E"/>
    <w:rsid w:val="79AE312A"/>
    <w:rsid w:val="79B3208C"/>
    <w:rsid w:val="79B70130"/>
    <w:rsid w:val="79BD5598"/>
    <w:rsid w:val="79C8453B"/>
    <w:rsid w:val="79CB0706"/>
    <w:rsid w:val="79CB0751"/>
    <w:rsid w:val="79CE66ED"/>
    <w:rsid w:val="79CF6E25"/>
    <w:rsid w:val="79D42664"/>
    <w:rsid w:val="79D51250"/>
    <w:rsid w:val="79DB4236"/>
    <w:rsid w:val="79E66C93"/>
    <w:rsid w:val="79F16E80"/>
    <w:rsid w:val="79F32B94"/>
    <w:rsid w:val="79F842C2"/>
    <w:rsid w:val="79FA0A29"/>
    <w:rsid w:val="79FC6E04"/>
    <w:rsid w:val="79FE2A4E"/>
    <w:rsid w:val="7A081D42"/>
    <w:rsid w:val="7A0A6E0F"/>
    <w:rsid w:val="7A0A7223"/>
    <w:rsid w:val="7A0C4EA7"/>
    <w:rsid w:val="7A12552F"/>
    <w:rsid w:val="7A1524DD"/>
    <w:rsid w:val="7A1A1772"/>
    <w:rsid w:val="7A1E1DC3"/>
    <w:rsid w:val="7A2751AD"/>
    <w:rsid w:val="7A276994"/>
    <w:rsid w:val="7A2C129F"/>
    <w:rsid w:val="7A3B034D"/>
    <w:rsid w:val="7A3F158B"/>
    <w:rsid w:val="7A4A132A"/>
    <w:rsid w:val="7A535840"/>
    <w:rsid w:val="7A646A69"/>
    <w:rsid w:val="7A6736BC"/>
    <w:rsid w:val="7A6A7B3B"/>
    <w:rsid w:val="7A7067FA"/>
    <w:rsid w:val="7A721F7E"/>
    <w:rsid w:val="7A746574"/>
    <w:rsid w:val="7A7678E5"/>
    <w:rsid w:val="7A7B24DD"/>
    <w:rsid w:val="7A7D2094"/>
    <w:rsid w:val="7A7F65CA"/>
    <w:rsid w:val="7A867241"/>
    <w:rsid w:val="7A876B11"/>
    <w:rsid w:val="7A88301C"/>
    <w:rsid w:val="7A963A48"/>
    <w:rsid w:val="7A9660A3"/>
    <w:rsid w:val="7A9861CB"/>
    <w:rsid w:val="7A986784"/>
    <w:rsid w:val="7ABB3E82"/>
    <w:rsid w:val="7AC3568E"/>
    <w:rsid w:val="7AD71052"/>
    <w:rsid w:val="7AD9797E"/>
    <w:rsid w:val="7ADE3DB2"/>
    <w:rsid w:val="7AE5682B"/>
    <w:rsid w:val="7AEE60EE"/>
    <w:rsid w:val="7B0E060E"/>
    <w:rsid w:val="7B0F5219"/>
    <w:rsid w:val="7B177A77"/>
    <w:rsid w:val="7B193032"/>
    <w:rsid w:val="7B1B1CF8"/>
    <w:rsid w:val="7B26484C"/>
    <w:rsid w:val="7B2B13FD"/>
    <w:rsid w:val="7B3339FA"/>
    <w:rsid w:val="7B346599"/>
    <w:rsid w:val="7B44094D"/>
    <w:rsid w:val="7B460BFD"/>
    <w:rsid w:val="7B4910BE"/>
    <w:rsid w:val="7B4A7A19"/>
    <w:rsid w:val="7B5D3226"/>
    <w:rsid w:val="7B5E4EEC"/>
    <w:rsid w:val="7B674BD7"/>
    <w:rsid w:val="7B722498"/>
    <w:rsid w:val="7B782690"/>
    <w:rsid w:val="7B7A4A2A"/>
    <w:rsid w:val="7B7F3966"/>
    <w:rsid w:val="7B80148D"/>
    <w:rsid w:val="7B821ADA"/>
    <w:rsid w:val="7B8F5DA2"/>
    <w:rsid w:val="7B926883"/>
    <w:rsid w:val="7BA4369C"/>
    <w:rsid w:val="7BA71440"/>
    <w:rsid w:val="7BAE696E"/>
    <w:rsid w:val="7BAF3C86"/>
    <w:rsid w:val="7BB50960"/>
    <w:rsid w:val="7BC23E12"/>
    <w:rsid w:val="7BC45CF4"/>
    <w:rsid w:val="7BC92A6F"/>
    <w:rsid w:val="7BD36780"/>
    <w:rsid w:val="7BD4048E"/>
    <w:rsid w:val="7BD968AC"/>
    <w:rsid w:val="7BDE524C"/>
    <w:rsid w:val="7BEA5E74"/>
    <w:rsid w:val="7BF00328"/>
    <w:rsid w:val="7BF577C1"/>
    <w:rsid w:val="7BF9001B"/>
    <w:rsid w:val="7BFE0389"/>
    <w:rsid w:val="7BFE08FA"/>
    <w:rsid w:val="7C091716"/>
    <w:rsid w:val="7C126AEB"/>
    <w:rsid w:val="7C1F2070"/>
    <w:rsid w:val="7C260105"/>
    <w:rsid w:val="7C2900A2"/>
    <w:rsid w:val="7C295D17"/>
    <w:rsid w:val="7C2A10CD"/>
    <w:rsid w:val="7C2D2AE7"/>
    <w:rsid w:val="7C452BB0"/>
    <w:rsid w:val="7C4A5A50"/>
    <w:rsid w:val="7C4B681D"/>
    <w:rsid w:val="7C4C575E"/>
    <w:rsid w:val="7C640974"/>
    <w:rsid w:val="7C643EF7"/>
    <w:rsid w:val="7C690B20"/>
    <w:rsid w:val="7C724EAE"/>
    <w:rsid w:val="7C780AD5"/>
    <w:rsid w:val="7C7A14F2"/>
    <w:rsid w:val="7C7E2FFC"/>
    <w:rsid w:val="7C7F038C"/>
    <w:rsid w:val="7C867154"/>
    <w:rsid w:val="7C8F78D5"/>
    <w:rsid w:val="7C9427B3"/>
    <w:rsid w:val="7C9E5A77"/>
    <w:rsid w:val="7CAD2B44"/>
    <w:rsid w:val="7CB74F4A"/>
    <w:rsid w:val="7CB80138"/>
    <w:rsid w:val="7CB838AF"/>
    <w:rsid w:val="7CBE6F50"/>
    <w:rsid w:val="7CC639C6"/>
    <w:rsid w:val="7CC96839"/>
    <w:rsid w:val="7CCC3CFE"/>
    <w:rsid w:val="7CCD12D3"/>
    <w:rsid w:val="7CD505D1"/>
    <w:rsid w:val="7CD534FD"/>
    <w:rsid w:val="7CD6692A"/>
    <w:rsid w:val="7CE215AC"/>
    <w:rsid w:val="7CE25B4A"/>
    <w:rsid w:val="7CE3422B"/>
    <w:rsid w:val="7CE5443B"/>
    <w:rsid w:val="7CE76B7F"/>
    <w:rsid w:val="7CED09D9"/>
    <w:rsid w:val="7CF436AD"/>
    <w:rsid w:val="7CF87323"/>
    <w:rsid w:val="7CFF2442"/>
    <w:rsid w:val="7D0115A5"/>
    <w:rsid w:val="7D017D9A"/>
    <w:rsid w:val="7D080205"/>
    <w:rsid w:val="7D0A432A"/>
    <w:rsid w:val="7D0F2DDE"/>
    <w:rsid w:val="7D144B3C"/>
    <w:rsid w:val="7D167BA2"/>
    <w:rsid w:val="7D177687"/>
    <w:rsid w:val="7D1F5883"/>
    <w:rsid w:val="7D242066"/>
    <w:rsid w:val="7D282F0F"/>
    <w:rsid w:val="7D286550"/>
    <w:rsid w:val="7D3140B5"/>
    <w:rsid w:val="7D3874D2"/>
    <w:rsid w:val="7D4241A1"/>
    <w:rsid w:val="7D452B7F"/>
    <w:rsid w:val="7D526E71"/>
    <w:rsid w:val="7D532432"/>
    <w:rsid w:val="7D5A5BFC"/>
    <w:rsid w:val="7D6518EB"/>
    <w:rsid w:val="7D6B77B5"/>
    <w:rsid w:val="7D7371E1"/>
    <w:rsid w:val="7D74008A"/>
    <w:rsid w:val="7D7862CF"/>
    <w:rsid w:val="7D7A4E9D"/>
    <w:rsid w:val="7D7F0E79"/>
    <w:rsid w:val="7D851CFF"/>
    <w:rsid w:val="7DA65B7D"/>
    <w:rsid w:val="7DA72A35"/>
    <w:rsid w:val="7DA86112"/>
    <w:rsid w:val="7DAE3829"/>
    <w:rsid w:val="7DB00509"/>
    <w:rsid w:val="7DB9268E"/>
    <w:rsid w:val="7DBF3388"/>
    <w:rsid w:val="7DC71DAD"/>
    <w:rsid w:val="7DC8040C"/>
    <w:rsid w:val="7DC85A3E"/>
    <w:rsid w:val="7DCD3893"/>
    <w:rsid w:val="7DCE15A0"/>
    <w:rsid w:val="7DCF3C5F"/>
    <w:rsid w:val="7DD03D33"/>
    <w:rsid w:val="7DD410E6"/>
    <w:rsid w:val="7DD603AD"/>
    <w:rsid w:val="7DD82F1A"/>
    <w:rsid w:val="7DDA1110"/>
    <w:rsid w:val="7DE020DC"/>
    <w:rsid w:val="7DE449CE"/>
    <w:rsid w:val="7DEC05A8"/>
    <w:rsid w:val="7DED1348"/>
    <w:rsid w:val="7DEE71DF"/>
    <w:rsid w:val="7DF66186"/>
    <w:rsid w:val="7E007B1A"/>
    <w:rsid w:val="7E0A5EA4"/>
    <w:rsid w:val="7E0A72D5"/>
    <w:rsid w:val="7E0B3C08"/>
    <w:rsid w:val="7E1C2B95"/>
    <w:rsid w:val="7E1E3CF4"/>
    <w:rsid w:val="7E212526"/>
    <w:rsid w:val="7E262B03"/>
    <w:rsid w:val="7E2E765A"/>
    <w:rsid w:val="7E324C10"/>
    <w:rsid w:val="7E324D32"/>
    <w:rsid w:val="7E3B7336"/>
    <w:rsid w:val="7E3D35D7"/>
    <w:rsid w:val="7E466A84"/>
    <w:rsid w:val="7E472FFE"/>
    <w:rsid w:val="7E4A6379"/>
    <w:rsid w:val="7E5248E3"/>
    <w:rsid w:val="7E5A2EA0"/>
    <w:rsid w:val="7E66305F"/>
    <w:rsid w:val="7E6854DB"/>
    <w:rsid w:val="7E6C43B3"/>
    <w:rsid w:val="7E77762F"/>
    <w:rsid w:val="7E793E63"/>
    <w:rsid w:val="7E7B1715"/>
    <w:rsid w:val="7E8031F2"/>
    <w:rsid w:val="7E860496"/>
    <w:rsid w:val="7E956D81"/>
    <w:rsid w:val="7E9611E7"/>
    <w:rsid w:val="7E9963F8"/>
    <w:rsid w:val="7E9D0633"/>
    <w:rsid w:val="7EA82B9C"/>
    <w:rsid w:val="7EA95574"/>
    <w:rsid w:val="7EAD1658"/>
    <w:rsid w:val="7EB13A3E"/>
    <w:rsid w:val="7EB16AB6"/>
    <w:rsid w:val="7EBD651F"/>
    <w:rsid w:val="7EC05F3D"/>
    <w:rsid w:val="7EC07C28"/>
    <w:rsid w:val="7ECB3BBC"/>
    <w:rsid w:val="7ED83896"/>
    <w:rsid w:val="7EDC2729"/>
    <w:rsid w:val="7EE15DD1"/>
    <w:rsid w:val="7EEB46E8"/>
    <w:rsid w:val="7EEE3759"/>
    <w:rsid w:val="7EF04016"/>
    <w:rsid w:val="7EF94F98"/>
    <w:rsid w:val="7EFB200E"/>
    <w:rsid w:val="7EFF41BF"/>
    <w:rsid w:val="7F0126E4"/>
    <w:rsid w:val="7F013802"/>
    <w:rsid w:val="7F051449"/>
    <w:rsid w:val="7F1A1324"/>
    <w:rsid w:val="7F1A4AEF"/>
    <w:rsid w:val="7F271E5F"/>
    <w:rsid w:val="7F29623C"/>
    <w:rsid w:val="7F2D4C74"/>
    <w:rsid w:val="7F341EAD"/>
    <w:rsid w:val="7F350A03"/>
    <w:rsid w:val="7F375587"/>
    <w:rsid w:val="7F3B2B2F"/>
    <w:rsid w:val="7F406D66"/>
    <w:rsid w:val="7F421AF0"/>
    <w:rsid w:val="7F516AFB"/>
    <w:rsid w:val="7F585C16"/>
    <w:rsid w:val="7F5B38C5"/>
    <w:rsid w:val="7F6566E6"/>
    <w:rsid w:val="7F6A7C64"/>
    <w:rsid w:val="7F6B0BA4"/>
    <w:rsid w:val="7F6E0CE1"/>
    <w:rsid w:val="7F6F6E86"/>
    <w:rsid w:val="7F8A3738"/>
    <w:rsid w:val="7F8B3191"/>
    <w:rsid w:val="7F8E4655"/>
    <w:rsid w:val="7F8E6809"/>
    <w:rsid w:val="7F987985"/>
    <w:rsid w:val="7F9C63C5"/>
    <w:rsid w:val="7F9E0C2E"/>
    <w:rsid w:val="7FAF35C9"/>
    <w:rsid w:val="7FAF535A"/>
    <w:rsid w:val="7FB620B9"/>
    <w:rsid w:val="7FBE4780"/>
    <w:rsid w:val="7FC07CDA"/>
    <w:rsid w:val="7FC33EC6"/>
    <w:rsid w:val="7FD30895"/>
    <w:rsid w:val="7FD52EF4"/>
    <w:rsid w:val="7FE932BA"/>
    <w:rsid w:val="7FEC3423"/>
    <w:rsid w:val="7FFD6B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tLeast"/>
      <w:outlineLvl w:val="0"/>
    </w:pPr>
    <w:rPr>
      <w:rFonts w:ascii="Calibri" w:hAnsi="Calibri" w:cs="Times New Roman"/>
      <w:b/>
      <w:bCs/>
      <w:kern w:val="44"/>
      <w:sz w:val="44"/>
      <w:szCs w:val="44"/>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autoRedefine/>
    <w:qFormat/>
    <w:uiPriority w:val="0"/>
    <w:rPr>
      <w:b/>
      <w:sz w:val="21"/>
      <w:szCs w:val="21"/>
    </w:rPr>
  </w:style>
  <w:style w:type="character" w:styleId="10">
    <w:name w:val="FollowedHyperlink"/>
    <w:basedOn w:val="8"/>
    <w:qFormat/>
    <w:uiPriority w:val="0"/>
    <w:rPr>
      <w:color w:val="4D7AD8"/>
      <w:u w:val="none"/>
    </w:rPr>
  </w:style>
  <w:style w:type="character" w:styleId="11">
    <w:name w:val="HTML Definition"/>
    <w:basedOn w:val="8"/>
    <w:autoRedefine/>
    <w:qFormat/>
    <w:uiPriority w:val="0"/>
    <w:rPr>
      <w:i/>
      <w:bdr w:val="single" w:color="D9D9D9" w:sz="6" w:space="0"/>
      <w:shd w:val="clear" w:fill="FFFFFF"/>
    </w:rPr>
  </w:style>
  <w:style w:type="character" w:styleId="12">
    <w:name w:val="Hyperlink"/>
    <w:basedOn w:val="8"/>
    <w:qFormat/>
    <w:uiPriority w:val="0"/>
    <w:rPr>
      <w:color w:val="0000FF"/>
      <w:u w:val="single"/>
    </w:rPr>
  </w:style>
  <w:style w:type="character" w:styleId="13">
    <w:name w:val="HTML Code"/>
    <w:basedOn w:val="8"/>
    <w:qFormat/>
    <w:uiPriority w:val="0"/>
    <w:rPr>
      <w:rFonts w:hint="default" w:ascii="Consolas" w:hAnsi="Consolas" w:eastAsia="Consolas" w:cs="Consolas"/>
      <w:sz w:val="21"/>
      <w:szCs w:val="21"/>
    </w:rPr>
  </w:style>
  <w:style w:type="character" w:styleId="14">
    <w:name w:val="HTML Keyboard"/>
    <w:basedOn w:val="8"/>
    <w:autoRedefine/>
    <w:qFormat/>
    <w:uiPriority w:val="0"/>
    <w:rPr>
      <w:rFonts w:ascii="Consolas" w:hAnsi="Consolas" w:eastAsia="Consolas" w:cs="Consolas"/>
      <w:color w:val="666666"/>
      <w:sz w:val="21"/>
      <w:szCs w:val="21"/>
    </w:rPr>
  </w:style>
  <w:style w:type="character" w:styleId="15">
    <w:name w:val="HTML Sample"/>
    <w:basedOn w:val="8"/>
    <w:qFormat/>
    <w:uiPriority w:val="0"/>
    <w:rPr>
      <w:rFonts w:hint="default" w:ascii="Consolas" w:hAnsi="Consolas" w:eastAsia="Consolas" w:cs="Consolas"/>
      <w:sz w:val="21"/>
      <w:szCs w:val="21"/>
    </w:rPr>
  </w:style>
  <w:style w:type="character" w:customStyle="1" w:styleId="16">
    <w:name w:val="first-child2"/>
    <w:basedOn w:val="8"/>
    <w:qFormat/>
    <w:uiPriority w:val="0"/>
    <w:rPr>
      <w:sz w:val="13"/>
      <w:szCs w:val="13"/>
    </w:rPr>
  </w:style>
  <w:style w:type="character" w:customStyle="1" w:styleId="17">
    <w:name w:val="ant-select-tree-switcher"/>
    <w:basedOn w:val="8"/>
    <w:qFormat/>
    <w:uiPriority w:val="0"/>
  </w:style>
  <w:style w:type="character" w:customStyle="1" w:styleId="18">
    <w:name w:val="ant-tree-iconele"/>
    <w:basedOn w:val="8"/>
    <w:autoRedefine/>
    <w:qFormat/>
    <w:uiPriority w:val="0"/>
  </w:style>
  <w:style w:type="character" w:customStyle="1" w:styleId="19">
    <w:name w:val="ant-radio+*"/>
    <w:basedOn w:val="8"/>
    <w:qFormat/>
    <w:uiPriority w:val="0"/>
  </w:style>
  <w:style w:type="character" w:customStyle="1" w:styleId="20">
    <w:name w:val="selected4"/>
    <w:basedOn w:val="8"/>
    <w:qFormat/>
    <w:uiPriority w:val="0"/>
  </w:style>
  <w:style w:type="character" w:customStyle="1" w:styleId="21">
    <w:name w:val="selected5"/>
    <w:basedOn w:val="8"/>
    <w:autoRedefine/>
    <w:qFormat/>
    <w:uiPriority w:val="0"/>
  </w:style>
  <w:style w:type="character" w:customStyle="1" w:styleId="22">
    <w:name w:val="selected6"/>
    <w:basedOn w:val="8"/>
    <w:qFormat/>
    <w:uiPriority w:val="0"/>
  </w:style>
  <w:style w:type="character" w:customStyle="1" w:styleId="23">
    <w:name w:val="button"/>
    <w:basedOn w:val="8"/>
    <w:autoRedefine/>
    <w:qFormat/>
    <w:uiPriority w:val="0"/>
  </w:style>
  <w:style w:type="character" w:customStyle="1" w:styleId="24">
    <w:name w:val="hover19"/>
    <w:basedOn w:val="8"/>
    <w:qFormat/>
    <w:uiPriority w:val="0"/>
    <w:rPr>
      <w:color w:val="009DFF"/>
    </w:rPr>
  </w:style>
  <w:style w:type="character" w:customStyle="1" w:styleId="25">
    <w:name w:val="hover20"/>
    <w:basedOn w:val="8"/>
    <w:autoRedefine/>
    <w:qFormat/>
    <w:uiPriority w:val="0"/>
    <w:rPr>
      <w:color w:val="009DFF"/>
    </w:rPr>
  </w:style>
  <w:style w:type="character" w:customStyle="1" w:styleId="26">
    <w:name w:val="ant-tree-switcher"/>
    <w:basedOn w:val="8"/>
    <w:autoRedefine/>
    <w:qFormat/>
    <w:uiPriority w:val="0"/>
  </w:style>
  <w:style w:type="character" w:customStyle="1" w:styleId="27">
    <w:name w:val="ant-select-tree-checkbox2"/>
    <w:basedOn w:val="8"/>
    <w:qFormat/>
    <w:uiPriority w:val="0"/>
  </w:style>
  <w:style w:type="character" w:customStyle="1" w:styleId="28">
    <w:name w:val="ant-select-tree-iconele"/>
    <w:basedOn w:val="8"/>
    <w:autoRedefine/>
    <w:qFormat/>
    <w:uiPriority w:val="0"/>
  </w:style>
  <w:style w:type="character" w:customStyle="1" w:styleId="29">
    <w:name w:val="ant-tree-checkbox6"/>
    <w:basedOn w:val="8"/>
    <w:autoRedefine/>
    <w:qFormat/>
    <w:uiPriority w:val="0"/>
  </w:style>
  <w:style w:type="character" w:customStyle="1" w:styleId="30">
    <w:name w:val="wea-thumbnails-doc-content-subtitle"/>
    <w:basedOn w:val="8"/>
    <w:autoRedefine/>
    <w:qFormat/>
    <w:uiPriority w:val="0"/>
    <w:rPr>
      <w:color w:val="9A9A9A"/>
    </w:rPr>
  </w:style>
  <w:style w:type="character" w:customStyle="1" w:styleId="31">
    <w:name w:val="ht_nestinglevel"/>
    <w:basedOn w:val="8"/>
    <w:autoRedefine/>
    <w:qFormat/>
    <w:uiPriority w:val="0"/>
  </w:style>
  <w:style w:type="character" w:customStyle="1" w:styleId="32">
    <w:name w:val="ht_nestinglevel_empty"/>
    <w:basedOn w:val="8"/>
    <w:autoRedefine/>
    <w:qFormat/>
    <w:uiPriority w:val="0"/>
  </w:style>
  <w:style w:type="character" w:customStyle="1" w:styleId="33">
    <w:name w:val="colheader"/>
    <w:basedOn w:val="8"/>
    <w:autoRedefine/>
    <w:qFormat/>
    <w:uiPriority w:val="0"/>
  </w:style>
  <w:style w:type="character" w:customStyle="1" w:styleId="34">
    <w:name w:val="ant-tree-checkbox"/>
    <w:basedOn w:val="8"/>
    <w:autoRedefine/>
    <w:qFormat/>
    <w:uiPriority w:val="0"/>
  </w:style>
  <w:style w:type="character" w:customStyle="1" w:styleId="35">
    <w:name w:val="first-child"/>
    <w:basedOn w:val="8"/>
    <w:autoRedefine/>
    <w:qFormat/>
    <w:uiPriority w:val="0"/>
    <w:rPr>
      <w:sz w:val="13"/>
      <w:szCs w:val="13"/>
    </w:rPr>
  </w:style>
  <w:style w:type="character" w:customStyle="1" w:styleId="36">
    <w:name w:val="ant-tree-switcher6"/>
    <w:basedOn w:val="8"/>
    <w:autoRedefine/>
    <w:qFormat/>
    <w:uiPriority w:val="0"/>
  </w:style>
  <w:style w:type="character" w:customStyle="1" w:styleId="37">
    <w:name w:val="selected"/>
    <w:basedOn w:val="8"/>
    <w:autoRedefine/>
    <w:qFormat/>
    <w:uiPriority w:val="0"/>
  </w:style>
  <w:style w:type="character" w:customStyle="1" w:styleId="38">
    <w:name w:val="selected1"/>
    <w:basedOn w:val="8"/>
    <w:autoRedefine/>
    <w:qFormat/>
    <w:uiPriority w:val="0"/>
  </w:style>
  <w:style w:type="character" w:customStyle="1" w:styleId="39">
    <w:name w:val="selected2"/>
    <w:basedOn w:val="8"/>
    <w:autoRedefine/>
    <w:qFormat/>
    <w:uiPriority w:val="0"/>
  </w:style>
  <w:style w:type="character" w:customStyle="1" w:styleId="40">
    <w:name w:val="ant-select-tree-checkbox"/>
    <w:basedOn w:val="8"/>
    <w:autoRedefine/>
    <w:qFormat/>
    <w:uiPriority w:val="0"/>
  </w:style>
  <w:style w:type="character" w:customStyle="1" w:styleId="41">
    <w:name w:val="ant-tree-switcher5"/>
    <w:basedOn w:val="8"/>
    <w:autoRedefine/>
    <w:qFormat/>
    <w:uiPriority w:val="0"/>
  </w:style>
  <w:style w:type="character" w:customStyle="1" w:styleId="42">
    <w:name w:val="selected7"/>
    <w:basedOn w:val="8"/>
    <w:autoRedefine/>
    <w:qFormat/>
    <w:uiPriority w:val="0"/>
  </w:style>
  <w:style w:type="character" w:customStyle="1" w:styleId="43">
    <w:name w:val="selected11"/>
    <w:basedOn w:val="8"/>
    <w:autoRedefine/>
    <w:qFormat/>
    <w:uiPriority w:val="0"/>
  </w:style>
  <w:style w:type="character" w:customStyle="1" w:styleId="44">
    <w:name w:val="selected12"/>
    <w:basedOn w:val="8"/>
    <w:autoRedefine/>
    <w:qFormat/>
    <w:uiPriority w:val="0"/>
  </w:style>
  <w:style w:type="character" w:customStyle="1" w:styleId="45">
    <w:name w:val="selected13"/>
    <w:basedOn w:val="8"/>
    <w:autoRedefine/>
    <w:qFormat/>
    <w:uiPriority w:val="0"/>
  </w:style>
  <w:style w:type="character" w:customStyle="1" w:styleId="46">
    <w:name w:val="selected8"/>
    <w:basedOn w:val="8"/>
    <w:autoRedefine/>
    <w:qFormat/>
    <w:uiPriority w:val="0"/>
  </w:style>
  <w:style w:type="character" w:customStyle="1" w:styleId="47">
    <w:name w:val="selected9"/>
    <w:basedOn w:val="8"/>
    <w:autoRedefine/>
    <w:qFormat/>
    <w:uiPriority w:val="0"/>
  </w:style>
  <w:style w:type="character" w:customStyle="1" w:styleId="48">
    <w:name w:val="selected10"/>
    <w:basedOn w:val="8"/>
    <w:autoRedefine/>
    <w:qFormat/>
    <w:uiPriority w:val="0"/>
  </w:style>
  <w:style w:type="character" w:customStyle="1" w:styleId="49">
    <w:name w:val="hover18"/>
    <w:basedOn w:val="8"/>
    <w:autoRedefine/>
    <w:qFormat/>
    <w:uiPriority w:val="0"/>
    <w:rPr>
      <w:color w:val="009DFF"/>
    </w:rPr>
  </w:style>
  <w:style w:type="character" w:customStyle="1" w:styleId="50">
    <w:name w:val="ant-tree-checkbox5"/>
    <w:basedOn w:val="8"/>
    <w:autoRedefine/>
    <w:qFormat/>
    <w:uiPriority w:val="0"/>
  </w:style>
  <w:style w:type="character" w:customStyle="1" w:styleId="51">
    <w:name w:val="ant-tree-switcher4"/>
    <w:basedOn w:val="8"/>
    <w:autoRedefine/>
    <w:qFormat/>
    <w:uiPriority w:val="0"/>
  </w:style>
  <w:style w:type="character" w:customStyle="1" w:styleId="52">
    <w:name w:val="hover"/>
    <w:basedOn w:val="8"/>
    <w:autoRedefine/>
    <w:qFormat/>
    <w:uiPriority w:val="0"/>
    <w:rPr>
      <w:color w:val="009DFF"/>
    </w:rPr>
  </w:style>
  <w:style w:type="character" w:customStyle="1" w:styleId="53">
    <w:name w:val="hover1"/>
    <w:basedOn w:val="8"/>
    <w:autoRedefine/>
    <w:qFormat/>
    <w:uiPriority w:val="0"/>
    <w:rPr>
      <w:color w:val="009DFF"/>
    </w:rPr>
  </w:style>
  <w:style w:type="character" w:customStyle="1" w:styleId="54">
    <w:name w:val="hover15"/>
    <w:basedOn w:val="8"/>
    <w:autoRedefine/>
    <w:qFormat/>
    <w:uiPriority w:val="0"/>
    <w:rPr>
      <w:color w:val="009DFF"/>
    </w:rPr>
  </w:style>
  <w:style w:type="character" w:customStyle="1" w:styleId="55">
    <w:name w:val="hover16"/>
    <w:basedOn w:val="8"/>
    <w:autoRedefine/>
    <w:qFormat/>
    <w:uiPriority w:val="0"/>
    <w:rPr>
      <w:color w:val="009DFF"/>
    </w:rPr>
  </w:style>
  <w:style w:type="character" w:customStyle="1" w:styleId="56">
    <w:name w:val="ant-tree-checkbox4"/>
    <w:basedOn w:val="8"/>
    <w:autoRedefine/>
    <w:qFormat/>
    <w:uiPriority w:val="0"/>
  </w:style>
  <w:style w:type="character" w:customStyle="1" w:styleId="57">
    <w:name w:val="hover17"/>
    <w:basedOn w:val="8"/>
    <w:autoRedefine/>
    <w:qFormat/>
    <w:uiPriority w:val="0"/>
    <w:rPr>
      <w:color w:val="009DFF"/>
    </w:rPr>
  </w:style>
  <w:style w:type="character" w:customStyle="1" w:styleId="58">
    <w:name w:val="hover14"/>
    <w:basedOn w:val="8"/>
    <w:autoRedefine/>
    <w:qFormat/>
    <w:uiPriority w:val="0"/>
    <w:rPr>
      <w:color w:val="009DFF"/>
    </w:rPr>
  </w:style>
  <w:style w:type="character" w:customStyle="1" w:styleId="59">
    <w:name w:val="hover13"/>
    <w:basedOn w:val="8"/>
    <w:qFormat/>
    <w:uiPriority w:val="0"/>
    <w:rPr>
      <w:color w:val="009DFF"/>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9" Type="http://schemas.openxmlformats.org/officeDocument/2006/relationships/fontTable" Target="fontTable.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0</Words>
  <Characters>0</Characters>
  <Lines>1</Lines>
  <Paragraphs>1</Paragraphs>
  <TotalTime>198</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2023-12-15T03:58:00Z</dcterms:created>
  <dc:creator>admin</dc:creator>
  <cp:lastModifiedBy>wowowo0080</cp:lastModifiedBy>
  <cp:lastPrinted>2024-05-06T06:15:00Z</cp:lastPrinted>
  <dcterms:modified xsi:type="dcterms:W3CDTF">2024-05-06T08:50:05Z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2AFE29251F2D47119EA111B2B617C6AF_13</vt:lpwstr>
  </property>
</Properties>
</file>