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14</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10</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6</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江苏国际知识产权应用暨项目合作推介会在南京举行</w:t>
      </w:r>
      <w:r>
        <w:rPr>
          <w:rFonts w:hint="eastAsia" w:ascii="Times New Roman" w:hAnsi="Times New Roman" w:eastAsia="方正楷体_GBK" w:cs="Times New Roman"/>
          <w:b/>
          <w:color w:val="auto"/>
          <w:spacing w:val="-11"/>
          <w:kern w:val="36"/>
          <w:sz w:val="30"/>
          <w:szCs w:val="30"/>
          <w:lang w:val="en-US" w:eastAsia="zh-CN"/>
        </w:rPr>
        <w:t xml:space="preserve"> /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全省贸促法律工作会议在南京召开</w:t>
      </w:r>
      <w:r>
        <w:rPr>
          <w:rFonts w:hint="default" w:ascii="Times New Roman" w:hAnsi="Times New Roman" w:eastAsia="方正楷体_GBK" w:cs="Times New Roman"/>
          <w:b/>
          <w:color w:val="auto"/>
          <w:spacing w:val="-11"/>
          <w:kern w:val="36"/>
          <w:sz w:val="30"/>
          <w:szCs w:val="30"/>
          <w:lang w:val="en-US" w:eastAsia="zh-CN"/>
        </w:rPr>
        <w:t xml:space="preserve"> </w:t>
      </w:r>
      <w:bookmarkStart w:id="0" w:name="OLE_LINK4"/>
      <w:bookmarkStart w:id="1" w:name="OLE_LINK11"/>
      <w:r>
        <w:rPr>
          <w:rFonts w:hint="eastAsia" w:ascii="Times New Roman" w:hAnsi="Times New Roman" w:eastAsia="方正楷体_GBK" w:cs="Times New Roman"/>
          <w:b/>
          <w:color w:val="auto"/>
          <w:spacing w:val="-11"/>
          <w:kern w:val="36"/>
          <w:sz w:val="30"/>
          <w:szCs w:val="30"/>
          <w:lang w:val="en-US" w:eastAsia="zh-CN"/>
        </w:rPr>
        <w:t>/ 0</w:t>
      </w:r>
      <w:bookmarkEnd w:id="0"/>
      <w:bookmarkEnd w:id="1"/>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“跨境电商赋能产业带”环保产业专场活动在上海举行  </w:t>
      </w:r>
      <w:bookmarkStart w:id="2" w:name="OLE_LINK12"/>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3</w:t>
      </w:r>
      <w:bookmarkEnd w:id="2"/>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省贸促会与省高院在宁召开涉外商事纠纷多元化解工作推进交流会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省贸促会领导赴镇江调研外贸企业</w:t>
      </w:r>
      <w:r>
        <w:rPr>
          <w:rFonts w:hint="eastAsia" w:ascii="方正楷体_GBK" w:hAnsi="方正楷体_GBK" w:eastAsia="方正楷体_GBK" w:cs="方正楷体_GBK"/>
          <w:b/>
          <w:color w:val="auto"/>
          <w:spacing w:val="0"/>
          <w:kern w:val="36"/>
          <w:sz w:val="30"/>
          <w:szCs w:val="30"/>
          <w:lang w:val="en-US" w:eastAsia="zh-CN"/>
        </w:rPr>
        <w:t xml:space="preserve"> </w:t>
      </w:r>
      <w:bookmarkStart w:id="3" w:name="OLE_LINK1"/>
      <w:r>
        <w:rPr>
          <w:rFonts w:hint="eastAsia" w:ascii="Times New Roman" w:hAnsi="Times New Roman" w:eastAsia="方正楷体_GBK" w:cs="Times New Roman"/>
          <w:b/>
          <w:color w:val="auto"/>
          <w:spacing w:val="-11"/>
          <w:kern w:val="36"/>
          <w:sz w:val="30"/>
          <w:szCs w:val="30"/>
          <w:lang w:val="en-US" w:eastAsia="zh-CN"/>
        </w:rPr>
        <w:t>/ 0</w:t>
      </w:r>
      <w:bookmarkEnd w:id="3"/>
      <w:r>
        <w:rPr>
          <w:rFonts w:hint="default"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6"/>
          <w:kern w:val="36"/>
          <w:sz w:val="30"/>
          <w:szCs w:val="30"/>
          <w:lang w:val="en-US" w:eastAsia="zh-CN"/>
        </w:rPr>
        <w:t>国补换新热潮席卷全国，国家首批消费名品雅迪领跑行业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4"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6"/>
          <w:kern w:val="36"/>
          <w:sz w:val="30"/>
          <w:szCs w:val="30"/>
          <w:lang w:val="en-US" w:eastAsia="zh-CN"/>
        </w:rPr>
        <w:t>协鑫集成可融资性评级提升，获市场高度认可</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4" w:firstLineChars="200"/>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6"/>
          <w:kern w:val="36"/>
          <w:sz w:val="30"/>
          <w:szCs w:val="30"/>
          <w:lang w:val="en-US" w:eastAsia="zh-CN"/>
        </w:rPr>
        <w:t>诺唯赞联合真迈推出NGS联合解决方案</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10</w:t>
      </w:r>
      <w:bookmarkStart w:id="9" w:name="_GoBack"/>
      <w:bookmarkEnd w:id="9"/>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江苏国际知识产权应用暨项目合作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推介会在南京举行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4月25日，江苏国际知识产权应用暨项目合作推介会在南京举行。省贸促会会长王善华、省知识产权局局长李杰、南京江北新区管委会副主任陈文斌出席并致辞。省贸促会副会长丛苏峰主持推介会。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7"/>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王善华表示，江苏把知识产权保护作为优化营商环境的重要方面，吸引了越来越多外资企业前来申请专利和转化实施专利。贸促会是中国知识</w:t>
      </w:r>
      <w:r>
        <w:rPr>
          <w:rFonts w:hint="default" w:ascii="Calibri" w:hAnsi="Calibri" w:eastAsiaTheme="minorEastAsia" w:cstheme="minorEastAsia"/>
          <w:color w:val="auto"/>
          <w:spacing w:val="-17"/>
          <w:kern w:val="2"/>
          <w:sz w:val="32"/>
          <w:szCs w:val="32"/>
          <w:lang w:val="en-US" w:eastAsia="zh-CN" w:bidi="ar-SA"/>
        </w:rPr>
        <w:t>产权事业的重要开拓者、推动者和建设者。江苏省贸促会作为省知识产权工作领导小组成员单位之一，将充分发挥联通政企、融通内外、畅通供需的作用，搭建更多交流平台，进一步擦亮知识产权服务“金字招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李杰表示，近年来省知识产权局聚焦创造、运用、保护、管理服务全链条，全面提升知识产权法制化水平。知识产权是生物医药产业破浪前行的核心引擎，是创新发展的战略基石。省知识产权局将充分发挥知识产权制度供给和技术供给作用，助力科学创新与产业创新深度融合，更好地促进知识产权大保护、大融合、大开发，更大力度地吸引全球资源要素集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陈文斌表示，南京江北新区是江苏未来发展的策源地、引领区和重要增长极。当前江北新区正深入实施“四大行动”，聚焦“六大重点”，全面推动产业科技创新实验区和江北新主城建设，努力在全省打造发展新质生产力重要阵地的火热实践中走在前、做示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在中外生物医药科技创新成果转化交流发布环节，全国高校生物医药区域技术转移转化中心（江苏南京）、加拿大白求恩医学基金会、江苏省现代服务业联合会生物医药创新转化专业委员会、匈牙利出口促进局南京代表处、西班牙加泰罗尼亚自治区贸易投资局上海代表处、德国茵创国际并购有限公司分别介绍科技创新和产业创新深度融合成果。现场还发布基于生物导电材料的房颤高效治疗技术、流行病毒研究解决方案、药用一站式质量检测、数字健康领域临床决策支持系统、定制药物解决方案、数字牙科技术、智能医药采购销售系统、医疗用硅胶及注塑件技术等生物医药创新项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当前AI正重塑创新赋能知识产权的高质量发展，知识产权与人工智能共生演进、相互促进又互为支撑。在专题访谈环节，北京派特恩知识产权代理有限公司、北京派道律师事务所生物医药负责人与阿斯利康、先声药业、金斯瑞生物、南京大学人工智能生物医药技术研究院、联合国和平大学欧洲和平与发展中心、江苏瑞途律师事务所嘉宾围绕AI赋能生物医药产业研发，提升知识产权创造的质量、运用的效益、保护的水平等进行深入交流，为促进生物医药产业新兴领域发展提供参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来自加拿大、英国、德国、西班牙、匈牙利的贸易投资促进机构、知识产权专家、科研机构、专业服务机构和企业代表150余人参会。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076" w:firstLineChars="18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全省贸促法律工作会议在南京召开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4月28日下午，2025年全省贸促法律工作会议在南京召开，全面学习贯彻全国贸促法律工作会议精神，总结2024年工作，部署2025年重点任务。省贸促会会长王善华到会讲话。</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中国贸促会法律事务部公平贸易处处长陈怀生传达中国贸促会相关工作情况，要求全国贸促系统针对当前复杂的国际经贸形势，主动建言发声、加强平台建设、开展案件应对，及时提出有力对策建议，组织开展行业磋商、推动业界合作，多措并举对受制裁企业进行帮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省贸促会秘书长、二级巡视员杜培军传达全国贸促法律工作会议精神并作全省贸促法律工作报告。2024年，全省贸促系统服务中心大局，不断强化涉外法律风险防控；优化法治营商环境，持续完善多元化争议解决体系；推进贸易便利化，创新提升商事认证服务，工作成效显著。下一步，江苏贸促系统将贯彻落实全国贸促法律工作会议精神，深化贸促系统“一盘棋”思想，强化风险应对和合规建设，护航企业安全发展；发力多元纠纷解决机制建设，打造“有纠纷找贸促”品牌；做优商事认证服务，助企拓展海外市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会上发布《2024年商事调解典型案例》和《2024合规工作报告》，帮助企业防范和规避“走出去”风险，稳步提升国际供应链安全和韧性。</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各市贸促机构在交流发言中分享涉美重大案件应对、创新发展多元解纷机制、拓展商事认证和贸易便利化服务等方面的经验和举措，为进一步开拓贸促商事法律业务提供了新思路。</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在讲话中强调，在当前全球经贸形势日益复杂严峻的情况下，做好贸促商事法律工作是践行习近平法治思想的政治担当，是应对国际经贸变局的迫切需要，也是服务新质生产力发展的关键支撑。全省贸促系统要深刻认识做好贸促商事法律工作的重大意义，百尺竿头更进一步。一要聚焦精准供给，提升服务效能；二要聚焦统筹协同，推动均衡发展；三要聚焦品牌建设，持续提升影响，以实干担当奋力谱写江苏贸促法律事业的新篇章。</w:t>
      </w:r>
      <w:r>
        <w:rPr>
          <w:rFonts w:hint="default" w:ascii="Calibri" w:hAnsi="Calibri" w:cstheme="minorEastAsia"/>
          <w:color w:val="auto"/>
          <w:spacing w:val="-11"/>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bookmarkStart w:id="4" w:name="OLE_LINK13"/>
      <w:r>
        <w:rPr>
          <w:rFonts w:hint="eastAsia" w:ascii="方正楷体_GBK" w:hAnsi="方正楷体_GBK" w:eastAsia="方正楷体_GBK" w:cs="方正楷体_GBK"/>
          <w:b/>
          <w:bCs/>
          <w:color w:val="FF0000"/>
          <w:spacing w:val="0"/>
          <w:kern w:val="2"/>
          <w:sz w:val="32"/>
          <w:szCs w:val="32"/>
          <w:lang w:val="en-US" w:eastAsia="zh-CN" w:bidi="ar-SA"/>
        </w:rPr>
        <w:t>（法律事务部）</w:t>
      </w:r>
    </w:p>
    <w:bookmarkEnd w:id="4"/>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076" w:firstLineChars="18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省贸促会与省高院在宁召开涉外商事纠纷多元化解工作推进交流会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28日上午，省贸促会与省高院在南京联合召开涉外商事纠纷多元化解工作推进交流会，正式发布《关于建立涉外商事纠纷诉调对接机制的通知》，标志着全省涉外商事纠纷“调解优先、调判结合”多元化解机制全面落地。中国贸促会商事法律服务中心主任蔡晨风、江苏省高级人民法院副院长孙辙和江苏省贸促会会长王善华、二级巡视员杜培军等出席会议并讲话。全省法院、贸促系统及专家学者代表近百人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会议同步发布《诉调对接涉外商事调解员名单》及诉调对接典型案例，首批纳入涵盖国际贸易、知识产权等领域的专业调解员50名，精选10起跨境纠纷调解示范案例。根据双方合作机制，全省法院将通过线上平台把适宜调解的涉外商事案件推送至贸促系统调解组织，贸促会调解组织对受委托案件在确认受理后30日内开展先行调解、制作调解协议等相关调解工作，调解成功可申请司法确认或请求制作调解书，未达成协议的则快速转入诉讼程序，形成“一站式”解纷闭环。</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会上，南京市中级人民法院副院长赵雪雁、镇江市中级人民法院副院长刘宇玥、南京海事法院审判委员会专职委员谭筱清、无锡市贸促会副会长王雪松等作为法院和贸促会代表分别发言，原全国人大常委会法工委民法室巡视员扈纪华、上海经贸商事调解中心主任张巍、江苏省律师协会副会长王小清和江苏苏美达集团法律及风控部总经理助理唐莹等专家围绕商事调解的时代意义、如何促进商事调解健康发展以及我国批准《新加坡调解公约》可能面临的问题等作分享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此次省高院与省贸促会协同合作，旨在充分发挥人民法院的司法保障作用和贸促会的专业资源优势，通过“调解优先、调判结合”的方式，高效化解涉外商事纠纷，为江苏开放型经济高质量发展提供法治支撑。未来，双方将持续深化诉调衔接机制，推动国际商事规则对接，助力江苏成为国际商事纠纷解决优选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（法律事务部）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076" w:firstLineChars="18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940" w:firstLineChars="200"/>
        <w:contextualSpacing/>
        <w:jc w:val="left"/>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940" w:firstLineChars="200"/>
        <w:contextualSpacing/>
        <w:jc w:val="left"/>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省贸促会领导赴镇江调研外贸企业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4月29日，省贸促会（省国际商会）党组书记、会长王善华赴镇江走访天工集团、大亚车轮、安用座椅等外贸企业，与镇江经开区党工委书记李朝阳、丹阳市市长宋飞雄座谈交流，助力推动外贸高质量发展。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详细了解当前外部环境变化对企业出口产生的影响，并介绍日本大阪世博会中国馆江苏周、第三届中国国际供应链促进博览会和省贸促会在中亚、北非举办的展会等重点经贸活动。他表示，省贸促会（省国际商会）将认真落实省委省政府工作要求，充分发挥省国际商会海外联络处作用，全力支持企业强化市场多元化布局，通过专业的涉外商事法律服务，积极帮助企业解决实际困难，助力塑造开放型经济新动能新优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相关企业负责人感谢省贸促会（省国际商会）对企业的关心和支持，表示将进一步提高产品附加值和品牌影响力，在主动应变中打开新的空间。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384" w:firstLineChars="21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办公室</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5" w:name="OLE_LINK9"/>
      <w:bookmarkStart w:id="6" w:name="OLE_LINK3"/>
      <w:bookmarkStart w:id="7" w:name="OLE_LINK2"/>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国补换新热潮席卷全国，国家首批</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消费名品雅迪领跑行业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随着2025年两轮电动车国补政策的持续升温，我会副会长单位——雅迪科技集团有限公司“以旧换新”热潮席卷全国。2025年第一季度，雅迪销量始终保持行业领先，作为首批入选“中国消费名品”的国民品牌，雅迪连续八年全球销量第一，被全球超1亿用户选择。</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2025国补行动如火如荼，雅迪积极响应，以品质和性价比，助力用户轻松换新，畅享每一次出行。雅迪电动车再度刷屏春日街头，以热销态势领跑行业，无论是续航、安全还是外观、舒适度，雅迪都做到了行业标杆，用心服务全球超1亿用户，印证了消费者对雅迪品质与服务的信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：雅迪科技微信公众号）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cs="Times New Roman"/>
          <w:i w:val="0"/>
          <w:caps w:val="0"/>
          <w:color w:val="000000"/>
          <w:spacing w:val="0"/>
          <w:sz w:val="31"/>
          <w:szCs w:val="31"/>
          <w:lang w:val="en-US" w:eastAsia="zh-CN"/>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bookmarkStart w:id="8" w:name="OLE_LINK5"/>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协鑫集成可融资性评级提升</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获市场高度认可</w:t>
      </w:r>
    </w:p>
    <w:bookmarkEnd w:id="8"/>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近日，全球光伏领域权威媒体 PV Tech 发布《2025 Q1 PV ModuleTech Bankability Ratings Quarterly Report》。报告显示，凭借卓越的综合实力，我会副会长单位——协鑫集成科技股份有限公司成功获评BBB级可融资性评级。标志着公司在财务稳健性、技术创新力和市场竞争力等方面获得国际权威认可。</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PV ModuleTech可融资性评级是全球光伏行业最具公信力的评估体系之一，深度聚焦财务状况、生产能力、产品质量与技术创新四大维度，对组件制造商进行严苛的季度性评估，精准衡量企业的可融资性水平。该评级已成为全球金融机构、投资者及EPC承包商筛选合作伙伴时的重要参考依据。值得一提的是，早在2月协鑫集成就荣登BNEF 2024全球光伏组件可融资性TOP10。此次PV Tech的权威认证，再次印证了公司国际市场竞争力进一步增强。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：协鑫集成微信公众号）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诺唯赞联合真迈推出NGS联合解决方案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在基因测序技术迈向精准化、普惠化的浪潮中，国产自主创新力量正加速崛起。近日，我会理事单位——南京诺唯赞生物科技股份有限公司与真迈生物宣布深化战略合作，将诺唯赞突破性的全场景建库试剂盒与真迈生物自主研发的高性能基因测序仪深度适配，推出NGS联合解决方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Calibri" w:hAnsi="Calibri" w:eastAsiaTheme="minorEastAsia" w:cstheme="minorEastAsia"/>
          <w:color w:val="auto"/>
          <w:spacing w:val="-11"/>
          <w:kern w:val="2"/>
          <w:sz w:val="32"/>
          <w:szCs w:val="32"/>
          <w:lang w:val="en-US" w:eastAsia="zh-CN" w:bidi="ar-SA"/>
        </w:rPr>
      </w:pPr>
      <w:r>
        <w:rPr>
          <w:rFonts w:hint="eastAsia" w:ascii="Calibri" w:hAnsi="Calibri" w:eastAsiaTheme="minorEastAsia" w:cstheme="minorEastAsia"/>
          <w:color w:val="auto"/>
          <w:spacing w:val="-11"/>
          <w:kern w:val="2"/>
          <w:sz w:val="32"/>
          <w:szCs w:val="32"/>
          <w:lang w:val="en-US" w:eastAsia="zh-CN" w:bidi="ar-SA"/>
        </w:rPr>
        <w:t>诺唯赞依托自主研发的酶定向进化技术平台，在文库构建试剂领域实现关键技术突破。产品具备超高检测灵敏度、极低样本起始量要求和高度兼容自动化流程等显著优势，全面满足单细胞测序、肿瘤早筛、遗传病诊断、病原微生物精准检测等多元化场景需求。通过持续技术创新，诺唯赞正推动基因检测技术向更精准、更高效、更具成本效益的方向发展。</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Times New Roman"/>
          <w:bCs/>
          <w:sz w:val="32"/>
          <w:szCs w:val="32"/>
          <w:lang w:val="en-US" w:eastAsia="zh-CN"/>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：诺唯赞微信公众号）</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5"/>
      <w:bookmarkEnd w:id="6"/>
      <w:bookmarkEnd w:id="7"/>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2025-03-28T08:45:00Z</cp:lastPrinted>
  <dcterms:modified xsi:type="dcterms:W3CDTF">2025-04-30T09:11:35Z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