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16</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352</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18日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574858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0B5D1FF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 xml:space="preserve">威士忌在中国：逆势扩张背后的长期资本逻辑 / </w:t>
      </w:r>
      <w:r>
        <w:rPr>
          <w:rFonts w:hint="eastAsia" w:ascii="Times New Roman" w:hAnsi="Times New Roman" w:eastAsia="方正楷体_GBK" w:cs="Times New Roman"/>
          <w:b/>
          <w:bCs w:val="0"/>
          <w:color w:val="auto"/>
          <w:spacing w:val="-20"/>
          <w:kern w:val="36"/>
          <w:sz w:val="30"/>
          <w:szCs w:val="30"/>
          <w:lang w:val="en-US" w:eastAsia="zh-CN"/>
        </w:rPr>
        <w:t>02</w:t>
      </w:r>
    </w:p>
    <w:p w14:paraId="10312D6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算法驱动的文化“中国化”：从数字文化符号到商品和服务贸易的富矿  /</w:t>
      </w:r>
      <w:r>
        <w:rPr>
          <w:rFonts w:hint="eastAsia" w:ascii="Times New Roman" w:hAnsi="Times New Roman" w:eastAsia="方正楷体_GBK" w:cs="Times New Roman"/>
          <w:b/>
          <w:bCs w:val="0"/>
          <w:color w:val="auto"/>
          <w:spacing w:val="-20"/>
          <w:kern w:val="36"/>
          <w:sz w:val="30"/>
          <w:szCs w:val="30"/>
          <w:lang w:val="en-US" w:eastAsia="zh-CN"/>
        </w:rPr>
        <w:t xml:space="preserve"> 11</w:t>
      </w:r>
      <w:bookmarkStart w:id="2" w:name="_GoBack"/>
      <w:bookmarkEnd w:id="2"/>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恒力集团第四次入选《财富》中国ESG影响力榜</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22</w:t>
      </w:r>
    </w:p>
    <w:p w14:paraId="5ED6037D">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江苏优品北美展销中心落地inQbrands洛杉矶跨境园</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23</w:t>
      </w:r>
    </w:p>
    <w:p w14:paraId="085A8133">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江南电缆荣获“江苏机械工业科技进步奖”一等奖</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24 </w:t>
      </w:r>
    </w:p>
    <w:p w14:paraId="302B3E09">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19A7AC7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73C42F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67F9637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威士忌在中国：逆势扩张背后的长期资本逻辑</w:t>
      </w:r>
    </w:p>
    <w:p w14:paraId="74201EA4">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152CC00B">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聚焦中国整体酒类消费下行背景下威士忌产业的逆势扩张现象，围绕其背后的长期资本逻辑与产业发展路径展开研究，属于消费产业经济、跨国投资与产业政策交叉研究领域。文章首先通过数据对比，指出威士忌进口量连续增长并非短期贸易投机，而是帝亚吉欧、保乐力加等全球烈酒巨头及本土资本向生产端的重资产战略布局。研究结合日本、台湾威士忌的成功经验，分析了中国威士忌出口百倍增长的阶段性特征与未来溢价空间。文章重点阐释了</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中国单一麦芽威士忌国家标准的产业价值，指出其通过强制陈酿期等严苛门槛逼退热钱、重塑资本耐心的核心作用，揭示了宏观经济放缓下消费向差异化高端品转型、资本培育新兴产业动态比较优势的深层逻辑。</w:t>
      </w:r>
    </w:p>
    <w:p w14:paraId="578C699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29B6F0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3F287E6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中国酒类消费显著下行的背景下，威士忌却展现出强劲的反周期增长态势。这一现象并非简单的进口热潮，而是全球资本与本土产业政策共同塑造的长期战略布局。它揭示了宏观经济放缓背景下，消费者偏好如何从大众品转向差异化高端品，以及资本如何通过重资产投入和严格标准，培育新兴产业的动态比较优势。</w:t>
      </w:r>
    </w:p>
    <w:p w14:paraId="12FE8CD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p>
    <w:p w14:paraId="6B454BB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一、宏观数据的不对称</w:t>
      </w:r>
    </w:p>
    <w:p w14:paraId="3344EB3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近年来，根据中国酒业协会及行业监测数据，白酒销量整体萎缩约15%，啤酒市场持续疲软，葡萄酒自2017年触顶后一路下滑。年轻一代饮酒量减少，家庭消费支出增长放缓，整个酒类板块面临结构性压力。</w:t>
      </w:r>
    </w:p>
    <w:p w14:paraId="15934F4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根据中国海关总署数据，威士忌进口量却逆势上扬：2024年进口约2919万升，2025年跃升至3584万升，同比增长约23%；2025年1-3月进口610万升，2026年同期增至684万升。即使进口金额因价格波动略有差异，体积增长的势头仍清晰可见。这一扩张与传统烈酒的疲软形成鲜明对比，凸显出威士忌在宏观经济放缓背景下的反周期特性。</w:t>
      </w:r>
    </w:p>
    <w:p w14:paraId="3C5F9BA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有人将这一增长简单归因于短期“跟风效应”或“长鞭效应”导致的经销商库存堆积。所谓“跟风效应”，是指市场突然流行某款商品，大家一哄而上抢购，经销商为抓住风口大量备货；“长鞭效应”则描述供应链上的波动放大：当下游消费者需求稍有增加，经销商便会向上游供应商追加订货，以保障或扩大自己的市场份额；收到订单的上游供应商也会作出同样选择……逐级传导，最终像挥动长鞭一样，末端小幅波动却被逐级放大成上游巨幅震荡。</w:t>
      </w:r>
    </w:p>
    <w:p w14:paraId="4B32210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上述两种效应往往会导致某种商品的进口数据短期激增，但这些通常是暂时现象。一旦热潮退去，库存消化不良，市场就会迅速回调，进入“去库存”周期。</w:t>
      </w:r>
    </w:p>
    <w:p w14:paraId="25E5531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二、重资产布局：从贸易倒货到长期押注</w:t>
      </w:r>
    </w:p>
    <w:p w14:paraId="22074A7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只要深入研究资金的流向，就会发现这绝非短线的贸易倒货。</w:t>
      </w:r>
    </w:p>
    <w:p w14:paraId="36C1743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所谓“贸易倒货”，简单说就是经销商或贸易商看到市场短期热门，就低价大量买入海外商品，然后快速加价转卖出去，赚取差价。这种操作通常只停留在贸易和渠道环节，资金周转快，但并不真正投入生产端。</w:t>
      </w:r>
    </w:p>
    <w:p w14:paraId="4793038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如果只是短线投机，资本的流动通常只会停留在贸易与渠道端，买低卖高快速周转。</w:t>
      </w:r>
    </w:p>
    <w:p w14:paraId="359F2C9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举个例子：就像看到某款海外威士忌突然在社交媒体上火了，贸易商就赶紧从国外进一大批货，囤在仓库里，等国内价格涨起来就马上抛售。这种“快进快出”的模式，风险低、回报来得快，但一旦热潮过去，库存卖不掉，就会造成积压和亏损。</w:t>
      </w:r>
    </w:p>
    <w:p w14:paraId="4C820C9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现在观察到的是，最敏锐的全球资本正在将巨额资金投入到无法快速变现的重资产制造端上。这表明，资本不再满足于贸易端的“倒手赚钱”，而是直接投入建酒厂、买设备、储备橡木桶等长期生产环节。这些投资一旦落地，就很难快速收回，属于典型的“重资产”布局，体现了资本对未来市场的真正看好和长期承诺。</w:t>
      </w:r>
    </w:p>
    <w:p w14:paraId="4FD7F1C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2024年底，全球最大的烈酒集团——英国的帝亚吉欧（Diageo），在云南洱源县投资建设了其在中国的第一个威士忌酒厂。根据公开信息，该项目总投资1.2亿美元，选址落脚于海拔2100米的高原村落，依托云南高海拔、纯净水源与独特高原气候禀赋，打造专属本土威士忌新品，并正式命名为“云拓”。酒厂建有一座高达30米的品饮室，内部环绕1000个橡木桶——这一规模配置显然超出了短期产能需求的考量。</w:t>
      </w:r>
    </w:p>
    <w:p w14:paraId="2D3F57A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投资逻辑看，这类重资产布局背后是跨国酒业集团对中国威士忌市场增长潜力的长期判断。高耸的品饮空间不仅具备生产功能，更承载着品牌推广和消费者体验的战略意图。在威士忌这一需要时间沉淀的品类中，物理空间的存在感本身就是市场信心的具象化表达——它向消费者、渠道商乃至资本市场传递出明确信号：这是一场以十年为周期的市场深耕，而非短期套利行为。</w:t>
      </w:r>
    </w:p>
    <w:p w14:paraId="5D330EE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重资产、慢回报的投入模式，恰似建造一座深水港——不是为了解决未来三五个月的物流小波动，而是锁定未来三十年至五十年的战略枢纽价值。培育高端烈酒市场的底层逻辑同样如此，其核心价值在于“时间收成”——从原料筛选、蒸馏到漫长陈酿的完整周期，要求资本具备足够的跨期耐心。不同于快进快出的贸易投机，这些投资一旦落地，就形成了难以逆转、必须全心投入的实体承诺。</w:t>
      </w:r>
    </w:p>
    <w:p w14:paraId="72D5EFC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类似战略布局还见于全球第二大烈酒集团——法国的保乐力加（Pernod Ricard），及其他本土大型投资者。</w:t>
      </w:r>
    </w:p>
    <w:p w14:paraId="76CBA3C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短短几年内，这些跨国巨头与越来越多本土大型酒企共同发力，推动中国境内已建成50多家威士忌酒厂，还有更多项目处于施工或规划阶段。这种本土产能的快速扩张，叠加每年数千万升的稳定进口量，将对中国传统白酒市场形成实质性的挤压。</w:t>
      </w:r>
    </w:p>
    <w:p w14:paraId="570AEF4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威士忌的投资者们认为，在商务宴请和个人品饮等多个消费场景中，具备国际标准的威士忌产品，将凭借稳定的品质一致性和丰富的口感多样性，实现一步步的物理性渗透——这不是简单的品种替换，而是一场市场份额的重新划分。</w:t>
      </w:r>
    </w:p>
    <w:p w14:paraId="205AD19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三、出口爆发、新兴产区渗透与产品溢价</w:t>
      </w:r>
    </w:p>
    <w:p w14:paraId="6CD86ED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产能全开的前景看似对中国传统白酒构成威胁，但中国威士忌自身的外销数据同样呈现爆炸式增长。2025年威士忌出口约1324万升，金额约7.01亿元人民币；对比十年前（2015年）约13.8万升、793万元人民币的水平，实现了超过百倍的指数型增长。</w:t>
      </w:r>
    </w:p>
    <w:p w14:paraId="5BA0A65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数据初看令人惊叹，却需冷静拆解。它并不意味着中国已掌握海外市场定价权，而更多体现新兴产区的“猎奇吸引力”与跨文化交流。欧美消费者对非传统产区的单一麦芽威士忌充满好奇，再加上庞大海外华人网络的渠道支持，推动了初期的销量增长。但真正的高端定价权，依赖数十年甚至上百年的品牌历史溢价、口碑积累和稳定的品质一致性，这是短期销售额爆发无法企及的。</w:t>
      </w:r>
    </w:p>
    <w:p w14:paraId="63791EF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换言之，在产品差异化竞争的背景下，凭借独特风土（如高原水源、多元橡木桶实验），中国威士忌已经成功进入了全球市场，但要从“跟随者”真正转向“领导者”，仍需持续的投资、工艺打磨和学习曲线效应——即通过长期生产实践逐步降低成本、提升品质，并形成别人难以快速复制的持续竞争优势。</w:t>
      </w:r>
    </w:p>
    <w:p w14:paraId="793486E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中国威士忌的出口增长特别值得关注，它代表着一种中国完全没有生产历史和品牌积淀的高端消费品，是如何在国际市场上一步步构建起动态优势的。日本威士忌的成功之路，给出了一个成功案例——几乎是从零起步，却在几十年内从“苏格兰学徒”成长为全球高端烈酒的独立力量。</w:t>
      </w:r>
    </w:p>
    <w:p w14:paraId="15F0FA3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日本威士忌的起点要追溯到20世纪初。开始时，日本威士忌完全模仿苏格兰风格，但很快就融入了本土创新。他们发现日本软水（硬度仅约30）能带来更细腻的口感，又大胆使用本土水楢木橡木桶——这种木材赋予威士忌独特的檀香、沉香与东方木质香气，与苏格兰泥煤风味形成鲜明差异。气候、原料和陈酿环境的结合，造就了“日本风味”——广告称之为：平衡、优雅、果香与花香交织，既有苏格兰的严谨，又有东方美学。</w:t>
      </w:r>
    </w:p>
    <w:p w14:paraId="52CF182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真正让日本威士忌走向世界的，是长期坚持与严格标准。2003年，山崎单一麦芽威士忌首次在国际大赛中夺得“世界最佳单一麦芽”殊荣，此后几乎每年都在World Whiskies Awards（世界威士忌大奖）等权威评选中斩获大奖，白州25年等产品还一度引发全球抢购潮。到2025年，日本威士忌与清酒出口总值已创下950亿日元的历史新高，较10年前增长289%）。出口量和价格双升，说明其在欧美和亚洲高端市场已经形成了明显溢价。</w:t>
      </w:r>
    </w:p>
    <w:p w14:paraId="4A8618D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日本威士忌的成功，本质上是“时间资本+差异化竞争”的典范。它告诉我们：新兴产区不可能一夜之间获得全球定价权，必须像日本一样，用数十年重资产投入、工艺迭代和品牌故事积累，才能从“猎奇”走向“经典”。</w:t>
      </w:r>
    </w:p>
    <w:p w14:paraId="48189B0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另一个值得关注的成功范例是台湾威士忌。以Kavalan为代表，台湾威士忌从2005年建厂起步，凭借热带气候下的独特风味（丰富果香、细腻口感）和创新桶型，迅速在国际大赛中斩获多项大奖，并在欧美及亚洲高端市场赢得定价权。它的崛起再次证明：新兴产区完全可以通过本土风土创新和严格品质管理，在全球舞台上占有一席之地。</w:t>
      </w:r>
    </w:p>
    <w:p w14:paraId="0357E34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对中国威士忌而言，这条路既是镜鉴，更是机遇——只要坚持“时间收成”的底层逻辑，持续打磨风土特色、严格执行产品标准、培育本土品牌故事，未来的出口数据就可能从“百倍增长”走向“溢价主导”。</w:t>
      </w:r>
    </w:p>
    <w:p w14:paraId="70DA49D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四、严格标准：逼退热钱、重塑资本耐心</w:t>
      </w:r>
    </w:p>
    <w:p w14:paraId="2F440ED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2026年2月，中国首次推出基于苏格兰标准的单一麦芽威士忌国家标准（GB/T 11856.1-2025）：必须使用铜制蒸馏器，在容积不超过700升的橡木桶中陈酿至少三年。这一严苛规定在产业爆发初期看似“自缚手脚”，实则具备深远战略意义。它不</w:t>
      </w:r>
      <w:r>
        <w:rPr>
          <w:rFonts w:hint="eastAsia" w:ascii="Times New Roman" w:hAnsi="Times New Roman" w:eastAsia="方正仿宋_GBK" w:cs="Times New Roman"/>
          <w:b w:val="0"/>
          <w:bCs w:val="0"/>
          <w:sz w:val="32"/>
          <w:szCs w:val="32"/>
          <w:lang w:eastAsia="zh-CN"/>
        </w:rPr>
        <w:t>只是</w:t>
      </w:r>
      <w:r>
        <w:rPr>
          <w:rFonts w:hint="eastAsia" w:ascii="Times New Roman" w:hAnsi="Times New Roman" w:eastAsia="方正仿宋_GBK" w:cs="Times New Roman"/>
          <w:b w:val="0"/>
          <w:bCs w:val="0"/>
          <w:sz w:val="32"/>
          <w:szCs w:val="32"/>
        </w:rPr>
        <w:t>单纯的品质控制，而是作为金融与产业工具，发挥“良币驱逐劣币”的作用。</w:t>
      </w:r>
    </w:p>
    <w:p w14:paraId="1A036F1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般而言，新兴行业初期往往吸引大量投机热钱，追求短平快回报。但铜制蒸馏器的高昂资本支出、标准橡木桶的仓储占用，以及强制三年陈酿期，共同构筑了极高进入门槛。在这三年陈酿过程中，还有一个行业内著名的“天使份额”现象：每年约有2%的酒液会通过桶壁自然挥发损耗（具体比例受温度、湿度影响，通常在1.5%-3%之间）。这个浪漫的名称源于酒精和水分悄然蒸发到空气中，仿佛被“天使”带走——它不仅是物理损失，更是资金闭锁期的真实成本，对习惯快周转的投资人而言，却是一种心理煎熬。</w:t>
      </w:r>
    </w:p>
    <w:p w14:paraId="1490F04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此一来，习惯几个月周转的投资客将被物理性阻挡在外；唯有愿意承担长期重资产、耐心等待酒液成熟的玩家，才能存活并获得溢价回报。这场“产业大清洗”，强迫资本从高周转模式转向时间价值导向。它不仅提升行业整体品质，更在宏观层面推动中国资本从快钱思维向长期价值导向转变：过去依赖房地产或互联网式快钱逻辑的资本，如今学会向时间购买长期回报。</w:t>
      </w:r>
    </w:p>
    <w:p w14:paraId="0E845D2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逻辑推演至更广层面，便超越了烈酒产业本身，在经济结构转型期，威士忌成为检验长期资本耐心的试验场。通过引入外国直接投资学习先进工艺，再与本土产能扩张和严格标准相结合，中国正努力在高端烈酒领域培育动态比较优势：规模经济逐步显现，学习曲线加速下沉，产品差异化空间扩大。</w:t>
      </w:r>
    </w:p>
    <w:p w14:paraId="2E9D56F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未来，这一模式是否会复制到其他传统产业，值得持续观察。</w:t>
      </w:r>
    </w:p>
    <w:p w14:paraId="490F153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机遇伴随风险。产能爆发若超前于需求，可能引发价格竞争与品质分化；全球贸易环境波动也可能影响进口与出口双轮驱动。但整体而言，威士忌进出口的逆势增长印证了一个基本经济原理：在不确定环境中，真正持久的优势源于对品质与差异化的长期追求，而非市场的短期波动。</w:t>
      </w:r>
    </w:p>
    <w:p w14:paraId="6807458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威士忌在中国，或许正成为下一轮经济全球化、产业多元化和全社会消费升级的生动案例</w:t>
      </w:r>
      <w:r>
        <w:rPr>
          <w:rFonts w:hint="eastAsia" w:ascii="方正仿宋_GBK" w:hAnsi="方正仿宋_GBK" w:eastAsia="方正仿宋_GBK" w:cs="方正仿宋_GBK"/>
          <w:b w:val="0"/>
          <w:bCs w:val="0"/>
          <w:sz w:val="32"/>
          <w:szCs w:val="32"/>
        </w:rPr>
        <w:t>。</w:t>
      </w:r>
    </w:p>
    <w:p w14:paraId="44B9D710">
      <w:pPr>
        <w:keepNext w:val="0"/>
        <w:keepLines w:val="0"/>
        <w:pageBreakBefore w:val="0"/>
        <w:widowControl w:val="0"/>
        <w:kinsoku/>
        <w:wordWrap/>
        <w:overflowPunct/>
        <w:topLinePunct w:val="0"/>
        <w:autoSpaceDE/>
        <w:autoSpaceDN/>
        <w:bidi w:val="0"/>
        <w:adjustRightInd/>
        <w:snapToGrid/>
        <w:spacing w:line="580" w:lineRule="exact"/>
        <w:ind w:right="0" w:rightChars="0" w:firstLine="4256" w:firstLineChars="1400"/>
        <w:jc w:val="both"/>
        <w:textAlignment w:val="auto"/>
        <w:outlineLvl w:val="9"/>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w:t>
      </w:r>
      <w:r>
        <w:rPr>
          <w:rFonts w:hint="eastAsia" w:ascii="Times New Roman" w:hAnsi="Times New Roman" w:eastAsia="方正楷体_GBK" w:cs="方正楷体_GBK"/>
          <w:b/>
          <w:bCs/>
          <w:color w:val="FF0000"/>
          <w:spacing w:val="0"/>
          <w:kern w:val="2"/>
          <w:sz w:val="32"/>
          <w:szCs w:val="32"/>
          <w:lang w:val="en-US" w:eastAsia="zh-CN" w:bidi="ar-SA"/>
        </w:rPr>
        <w:t>发展研究部 刘白露、周斌</w:t>
      </w:r>
      <w:r>
        <w:rPr>
          <w:rFonts w:hint="default" w:ascii="Times New Roman" w:hAnsi="Times New Roman" w:eastAsia="方正楷体_GBK" w:cs="方正楷体_GBK"/>
          <w:b/>
          <w:bCs/>
          <w:color w:val="FF0000"/>
          <w:spacing w:val="0"/>
          <w:kern w:val="2"/>
          <w:sz w:val="32"/>
          <w:szCs w:val="32"/>
          <w:lang w:val="en-US" w:eastAsia="zh-CN" w:bidi="ar-SA"/>
        </w:rPr>
        <w:t>）</w:t>
      </w:r>
    </w:p>
    <w:p w14:paraId="0D7C99C3">
      <w:pPr>
        <w:keepNext w:val="0"/>
        <w:keepLines w:val="0"/>
        <w:pageBreakBefore w:val="0"/>
        <w:widowControl w:val="0"/>
        <w:kinsoku/>
        <w:wordWrap/>
        <w:overflowPunct/>
        <w:topLinePunct w:val="0"/>
        <w:autoSpaceDE/>
        <w:autoSpaceDN/>
        <w:bidi w:val="0"/>
        <w:adjustRightInd/>
        <w:snapToGrid/>
        <w:ind w:firstLine="608" w:firstLineChars="200"/>
        <w:jc w:val="both"/>
        <w:textAlignment w:val="auto"/>
        <w:rPr>
          <w:rFonts w:hint="eastAsia" w:ascii="Times New Roman" w:hAnsi="Times New Roman" w:eastAsia="方正仿宋_GBK" w:cs="方正仿宋_GBK"/>
          <w:sz w:val="32"/>
          <w:szCs w:val="32"/>
          <w:lang w:val="en-US" w:eastAsia="zh-CN"/>
        </w:rPr>
      </w:pPr>
    </w:p>
    <w:p w14:paraId="7770C7E3">
      <w:pPr>
        <w:keepNext w:val="0"/>
        <w:keepLines w:val="0"/>
        <w:pageBreakBefore w:val="0"/>
        <w:widowControl w:val="0"/>
        <w:kinsoku/>
        <w:wordWrap/>
        <w:overflowPunct/>
        <w:topLinePunct w:val="0"/>
        <w:autoSpaceDE/>
        <w:autoSpaceDN/>
        <w:bidi w:val="0"/>
        <w:adjustRightInd/>
        <w:snapToGrid/>
        <w:ind w:firstLine="608" w:firstLineChars="200"/>
        <w:jc w:val="both"/>
        <w:textAlignment w:val="auto"/>
        <w:rPr>
          <w:rFonts w:hint="eastAsia" w:ascii="Times New Roman" w:hAnsi="Times New Roman" w:eastAsia="方正仿宋_GBK" w:cs="方正仿宋_GBK"/>
          <w:sz w:val="32"/>
          <w:szCs w:val="32"/>
          <w:lang w:val="en-US" w:eastAsia="zh-CN"/>
        </w:rPr>
      </w:pPr>
    </w:p>
    <w:p w14:paraId="3C9D935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3142C17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61EC8ED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459B027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2837022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2483A05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2EE8071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5B19549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724231D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pacing w:val="-20"/>
          <w:sz w:val="44"/>
          <w:szCs w:val="44"/>
          <w:highlight w:val="none"/>
          <w:lang w:val="en-US" w:eastAsia="zh-CN"/>
        </w:rPr>
        <w:t>算法驱动的文化“中国化”：从数字文化符号到商品和服务贸易的富矿</w:t>
      </w:r>
    </w:p>
    <w:p w14:paraId="0ABB6141">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496E6AF0">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2025</w:t>
      </w:r>
      <w:r>
        <w:rPr>
          <w:rFonts w:hint="eastAsia" w:ascii="方正楷体_GBK" w:hAnsi="方正楷体_GBK" w:eastAsia="方正楷体_GBK" w:cs="方正楷体_GBK"/>
          <w:b w:val="0"/>
          <w:bCs w:val="0"/>
          <w:sz w:val="28"/>
          <w:szCs w:val="28"/>
          <w:lang w:val="en-US" w:eastAsia="zh-CN"/>
        </w:rPr>
        <w:t>年中国入境游客创纪录的现象为切入点，围绕算法驱动下“潮级中式化”全球文化热潮及其经济传导效应展开研究，属于数字文化传播、国际服务贸易与文化经济交叉研究领域。文章指出，该热潮区别于传统官方主导的文化输出，是海外草根原生内容依托社交算法裂变传播形成的自下而上的跨文化现象，核心是将中式日常养生、市井美食等碎片化生活细节转化为全球流行的数字文化符号。研究结合重庆荣昌卤鹅、中式生活用品出口等案例，揭示了算法将数字流量转化为旅游消费、商品贸易实体需求的传导机制，分析了中国供应链的柔性响应优势。文章同时警示了算法热点的瞬时性风险，并提出将短期流量转化为长期产业竞争力的政策路径，为数字时代文化软实力与实体经济融合发展提供了分析框架。</w:t>
      </w:r>
    </w:p>
    <w:p w14:paraId="686332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A7D23B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48C22B6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在开放经济环境下，技术进步常常悄然改变全球资源的流动方式。</w:t>
      </w:r>
    </w:p>
    <w:p w14:paraId="6520DD7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2025年，中国迎来了约3500万外国游客的创纪录数字。这一数字不能简单归因于全球疫情后反弹，或中国签证政策刺激的结果，它是一场由普通人日常生活所催生的文化浪潮——“潮级中式化”（China Maxing）——正在全球范围内发酵。它将数字平台上的网络文化符号，转化为实实在在的旅游消费、商品出口和认知转变。这不仅是一个旅游故事，更是一个关于技术如何重塑贸易、需求如何驱动产业升级的生动案例。</w:t>
      </w:r>
    </w:p>
    <w:p w14:paraId="3342EEF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一、“潮级中式化”</w:t>
      </w:r>
      <w:r>
        <w:rPr>
          <w:rFonts w:hint="eastAsia" w:ascii="Times New Roman" w:hAnsi="Times New Roman" w:eastAsia="方正仿宋_GBK" w:cs="Times New Roman"/>
          <w:b w:val="0"/>
          <w:bCs w:val="0"/>
          <w:sz w:val="32"/>
          <w:szCs w:val="32"/>
        </w:rPr>
        <w:t>（China Maxing）</w:t>
      </w:r>
    </w:p>
    <w:p w14:paraId="7BE7CE8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外国游客来华旅行，往往首选长城、故宫这类地标性景点，追寻宏大历史叙事的打卡体验。如今这一趋势正发生悄然而深刻的转变。以Z世代（大致1997年至2012年出生人群）为代表的西方年轻群体，在TikTok、Instagram等社交平台上，开始追捧另一种全新的中国体验。</w:t>
      </w:r>
    </w:p>
    <w:p w14:paraId="2EF2747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他们不再满足于传统景点的走马观花，转而主动模仿中国民众的日常起居与生活习惯：出门常备保温杯、习惯饮用温水；日常出行偏爱轻便透气的室内塑料拖鞋；就连军大衣、老式棉袄也被赋予潮流属性，成为社交平台的穿搭爆款。这些在国人眼中稀松平常的生活细节，在海外年轻人眼里却充满异域格调，迅速形成圈层效仿热潮，并在全网快速扩散。</w:t>
      </w:r>
    </w:p>
    <w:p w14:paraId="7B1614E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风潮背后，是全球消费偏好逻辑的深层变迁。当下消费者愈发追求个性表达与差异化体验，摒弃千篇一律的标准化供给。从经济规律来看，随着收入提升与信息获取门槛降低，大众消费倾向会从同质化工业品，转向兼具情绪价值与人文质感的特色体验。如同饮品市场有人偏爱碳酸汽水、有人钟情中式热茶，旅行消费中有人热衷高端度假酒店，也有人偏爱深入市井的人间烟火。“潮级中式化”正是这一消费趋势的典型缩影，将国人习以为常的日常烟火，塑造成具备跨文化吸引力的数字文化标识。</w:t>
      </w:r>
    </w:p>
    <w:p w14:paraId="48E6227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免签政策持续扩容（目前已覆盖55个国家），客观上降低了入境出行的制度门槛，节省时间与经济成本，为境外游客“说走就走”创造了硬件条件。但政策只是基础支撑，真正催生跨文化潮流的核心驱动力，是社交算法构筑的柔性文化吸引力。</w:t>
      </w:r>
    </w:p>
    <w:p w14:paraId="486B51F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往，跨国文化传播多依赖官方外宣与主流媒体主导，而今传播路径彻底下沉，由普通用户原生分享起步，依托算法精准分发形成裂变效应。这种自下而上的民间传播力量，跳出传统营销范式，却收获了远超官方推广的传播势能。</w:t>
      </w:r>
    </w:p>
    <w:p w14:paraId="7ED5333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潮级中式化”源自海外网络原生词Chinamaxing，由“China”与网络俚语“maxing”组合而成，后者寓意把事物做到极致、氛围感拉满。顾名思义，其内核是将中式生活方式全方位效仿、沉浸式践行，表达新潮直白，高度契合当代年轻人的话语体系。</w:t>
      </w:r>
    </w:p>
    <w:p w14:paraId="4D369BD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概念最早缘起于2025年秋季Reddit论坛的一则普通帖子。一位22岁左右的海外网友分享生活改变：放弃冰咖啡改喝温水、晨起练习太极、早餐习惯白粥养胃等中式养生方式，并直言身心状态仿佛“重启焕新”，随即感慨“索性彻底践行China maxing”。这条随性分享迅速收获数千条互动转发，成为整股文化风潮的起点。</w:t>
      </w:r>
    </w:p>
    <w:p w14:paraId="6940235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后，这一文化标识迅速在TikTok、Instagram等海外社交平台星火燎原。2025年末至2026年初，IShowSpeed等海外网红的中国行内容再度推波助澜，沉浸式展现中国高铁基建、都市生活与特色美食，进一步勾起西方年轻人的好奇与向往。同时，华裔创作者成为重要纽带，持续输出养生起居、居家生活、饮食调养等实用生活指南，让“潮级中式化”从单纯的网络效仿热潮，沉淀为可落地、可复刻的生活化方式。</w:t>
      </w:r>
    </w:p>
    <w:p w14:paraId="143FC76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热度很快突破圈层，进入主流舆论视野。2026年2月前后，CNN、NPR、BBC等西方媒体集中聚焦这一现象，将其解读为Z世代对当下生活困境的集体反思：高强度工作、高昂医疗成本与普遍情绪焦虑，让年轻人转而向往节奏舒缓、秩序感更强的中式养生与生活哲学。国内舆论也同步跟进，在趣味围观之余，也看到民间生活形态出海背后中国文化软实力的潜移默化提升。</w:t>
      </w:r>
    </w:p>
    <w:p w14:paraId="4D0C192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这一潮流能够快速破圈走红，本质是精准击中当代青年的精神诉求：既要消解焦虑、追求健康自律的生活状态，又自带网络戏谑的松弛感，摆脱严肃说教的刻板印象。不少海外年轻人自称“荣誉中国人（honorary Chinese）”，在社交平台分享穿居家拖鞋、日常喝温水、炖煮养生甜品的中式日常，单条内容动辄斩获百万级流量。</w:t>
      </w:r>
    </w:p>
    <w:p w14:paraId="420D8B2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潮级中式化”的兴起，折射出全球化传播的全新范式：文化不再局限于宏大、高冷的符号输出，更可以拆解为日常化、碎片化的生活细节，供全球年轻人效仿、参与和共创。同时，它对商品与服务贸易产生了连锁效应。</w:t>
      </w:r>
    </w:p>
    <w:p w14:paraId="7DF771B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二、算法将数字文化符号转化为实体经济需求</w:t>
      </w:r>
    </w:p>
    <w:p w14:paraId="25AF5CE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股热潮并非企业商业策划或官方刻意推动，而是典型的“草根原生内容+算法分发”时代产物——普通个体的真实生活分享，叠加智能推荐的精准推送，最终演化成席卷全球的跨文化连锁效应。要清晰拆解其中的传导路径，一个极具代表性的案例值得聚焦：重庆荣昌卤鹅。</w:t>
      </w:r>
    </w:p>
    <w:p w14:paraId="606783E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位美国网红在当地一家不起眼的街边小店，拍摄了一段品尝焦糖色泽卤鹅的短视频。这道传承自清代的美食，本是西南乡村的家常风味，所处地点也相对偏远。但视频上传后，迅速在TikTok与国内抖音平台同步引发连锁反应。数据显示，后续几周内，大批中外游客涌入这座小镇，当地酒店很快客满，常常在上午10点卤鹅便已售罄，整个城镇的交通与接待能力一度面临较大压力。</w:t>
      </w:r>
    </w:p>
    <w:p w14:paraId="7DA2B6D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案例极具启发意义，清晰展现了单一数字内容如何被放大为实体经济的消费洪流，而背后的核心推手正是平台推荐算法。算法会精准捕捉“外国面孔+中国草根饮食”的强烈视觉与文化反差，判定这类内容能打破用户刷视频的惯性，进而提升停留时长与互动频次。一旦互动数据达标，算法便会进一步扩大推送范围，形成滚雪球式的传播效应，这与市场中的“羊群行为”高度相似——起初仅为小范围关注，随后快速吸引大量追随者。</w:t>
      </w:r>
    </w:p>
    <w:p w14:paraId="5D9B873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更关键的是，数字热度快速转化为实实在在的实体行动。游客纷纷购置机票、预订酒店、奔赴荣昌</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品尝卤鹅、探访小镇，带来了直接的消费增量。供应链也随之快速响应，当地养殖户、加工厂、物流环节迅速动员，精准匹配突然爆发的市场需求。这背后体现的，正是中国现代经济的显著优势——中小制造与县域文旅具备极强的柔性响应能力，依托全球制造网络的弹性，能够在短时间内捕捉分散的市场趋势信号，并转化为标准化产品与服务输出。</w:t>
      </w:r>
    </w:p>
    <w:p w14:paraId="7B01F6F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类似的传导效应也在其他领域持续显现。例如，刮痧板、传统热水袋等典型的中国物件，过去在西方市场知名度极低，仅局限于唐人街销售。如今，它们却成为许多西方年轻人梳妆台、床头柜上的常客：网红们在社交平台分享刮痧板的日常保养用法，热水袋则被赋予温暖实用的标签，成为热门生活单品。中国工厂尤其是义乌等地的生产企业，凭借灵活的产能调整能力快速跟进，批量生产后将产品销往全球。这正是中国供应链在碎片化需求时代的核心优势——企业无需提前精准预判所有热点，只需保持快速响应能力，便能及时捕捉市场机遇。</w:t>
      </w:r>
    </w:p>
    <w:p w14:paraId="4C4ED70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黄山风景区的数据进一步印证了这一逻辑。2025年前9个月，当地外国游客的实体消费呈现显著增长，研究机构在报告中明确指出，这一增长与海外社交媒体的曝光度高度相关。尽管国内相关主体难以直接深入部分国外平台，但通过追踪护照登记、酒店入住率、外汇消费等实体指标，便能清晰感知数字世界传导而来的需求信号。这就像一个“暗箱”：箱内（国外算法推送与网络讨论）的具体运作的细节或许难以窥见，但箱口源源不断的订单与人流，已足够让供应链精准对接需求、开展生产服务。这种机制即便在信息不对称的情况下，依然实现了全球资源的高效配置。</w:t>
      </w:r>
    </w:p>
    <w:p w14:paraId="5CB9DDD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三、“潮级中式化”热潮背后的短期风险与现实挑战</w:t>
      </w:r>
    </w:p>
    <w:p w14:paraId="3ED017C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任何经济现象都有两面性。“潮级中式化”带来的旅游和消费热潮虽然令人振奋，但也暴露出了明显的短期风险，其中最突出的便是热潮的“瞬时性”——来得快、退得更快。当平台算法的注意力转向下一个更新鲜的话题或视频时，既有热度会如潮水般迅速消退，而那些为应对突发人潮临时扩建的旅馆、新增的餐饮备料与人力，很可能在热潮退去后陷入大量闲置的困境。当市场迅速回归常态，过剩的产能将成为企业的沉重负担，不仅可能导致企业亏损，地方经济也将因此承受阶段性阵痛。</w:t>
      </w:r>
    </w:p>
    <w:p w14:paraId="7643675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现象深刻提醒我们，高度依赖网络热点的经济活动，本身就带有较高的波动性与脆弱性。它不同于传统制造业，有长期稳定的订单与成熟供应链作为支撑；更像是一场注意力驱动的“快闪经济”，极易受平台算法周期、大众兴趣迭代的影响，呈现“暴涨暴跌”的波动特征。以荣昌卤鹅案例为例，其短期内确实带动了消费爆发，但如果缺乏后续持续的内容运营与产业投入，单纯依靠一次病毒式传播，很难构建起长期稳定的增长基础。</w:t>
      </w:r>
    </w:p>
    <w:p w14:paraId="578BC68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现实中，不少地方都在积极抢抓这类“算法红利”，试图将短暂的流量转化为长期资产——比如新建文旅设施、打造地方特色品牌。但如果配套的品牌建设、基础设施升级与产业赋能跟不上，单纯的流量涌入反而可能留下“流量空壳”：酒店空置、前期投资打了水漂，各类资源被低效浪费。这也给地方政府提出了现实课题：如何将一时的算法流量，转化为持久的区域竞争力与民生红利，而非一场转瞬即逝的消费狂欢？答案在于提前做好顶层规划、风险评估与配套政策设计，不能只追逐眼前的热闹而忽视长期发展。</w:t>
      </w:r>
    </w:p>
    <w:p w14:paraId="612FB8A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需要明确的是，短期风险的存在，并不意味着“潮级中式化”这股浪潮本身没有价值。恰恰相反，只有清醒认识到这些脆弱点，才能更科学地引导其走向长期可持续的发展轨道。接下来，我们将聚焦这股浪潮可能带来的更深层次结构性变化，探寻其长期价值所在。</w:t>
      </w:r>
    </w:p>
    <w:p w14:paraId="053FD60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四、政策思考：如何将机遇转化为持久优势</w:t>
      </w:r>
    </w:p>
    <w:p w14:paraId="2B151FD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潮级中式化”带来的跨文化消费热潮，既是数字时代文化传播与经济发展深度融合的偶然产物，更是中国经济向高质量发展、文化软实力持续提升的必然结果。面对这一难得的发展机遇，如何规避短期风险、强化优势、补齐短板，将瞬时流量转化为长期竞争力，成为政策引导与市场实践的核心命题。唯有多方协同、精准发力，才能让这股热潮真正成为推动中国服务贸易升级、培育经济新增长点的持久动力。</w:t>
      </w:r>
    </w:p>
    <w:p w14:paraId="310DAA4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首先，持续优化入境消费便利化体系，筑牢“引得来、留得住、玩得好”的基础保障</w:t>
      </w:r>
      <w:r>
        <w:rPr>
          <w:rFonts w:hint="eastAsia" w:ascii="Times New Roman" w:hAnsi="Times New Roman" w:eastAsia="方正仿宋_GBK" w:cs="Times New Roman"/>
          <w:b w:val="0"/>
          <w:bCs w:val="0"/>
          <w:sz w:val="32"/>
          <w:szCs w:val="32"/>
        </w:rPr>
        <w:t>。当前，免签政策的扩容已为外国游客入境打开了便利之门，但支付、语言、交通等“最后一公里”障碍仍未完全消除。政策层面应进一步推动跨境支付便利化，支持境外主流支付工具与国内支付体系互联互通，简化境外游客移动支付注册流程，破解“支付难”痛点；同时，在热门文旅目的地、交通枢纽、商圈等重点区域，完善多语言标识、双语服务人员配置，推动景区、酒店、餐饮等场景的多语言服务标准化，减少语言沟通壁垒。此外，加强跨区域交通衔接，优化景区周边交通配套，提升县域、乡镇等热点目的地的接待承载能力，避免因基础设施滞后消耗流量红利，让外国游客在沉浸式体验中式生活的同时，感受到便捷与舒适。</w:t>
      </w:r>
    </w:p>
    <w:p w14:paraId="7D69CCF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其次，引导企业强化品牌建设与价值升级，推动“流量产品”向“品牌资产”转型</w:t>
      </w:r>
      <w:r>
        <w:rPr>
          <w:rFonts w:hint="eastAsia" w:ascii="Times New Roman" w:hAnsi="Times New Roman" w:eastAsia="方正仿宋_GBK" w:cs="Times New Roman"/>
          <w:b w:val="0"/>
          <w:bCs w:val="0"/>
          <w:sz w:val="32"/>
          <w:szCs w:val="32"/>
        </w:rPr>
        <w:t>。“潮级中式化”的核心吸引力在于中式生活的独特性，但当前多数相关产品仍停留在“浅层模仿”层面，缺乏品牌溢价与文化内涵，难以形成长期竞争力。政策应加大对相关企业的扶持力度，鼓励企业深度挖掘中国传统文化、民俗风情、生活智慧的核心内涵，将传统元素与现代消费需求、审美趋势相结合，打造具有差异化、高附加值的产品。例如，在养生用品出口领域，企业不应只局限于销售刮痧板、热水袋等基础工具，更可配套输出中式养生理念、使用教程、文化故事，通过场景化包装、沉浸式体验，让产品成为文化传播的载体，提升产品附加值与品牌影响力；在文旅领域，引导地方挖掘特色IP，将荣昌卤鹅、黄山风光等单一热点，延伸为“美食+文旅+体验”的完整产业链，形成可复制、可延续的品牌IP，摆脱对单一流量的依赖。</w:t>
      </w:r>
    </w:p>
    <w:p w14:paraId="1DCC608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第三，强化供应链韧性与创新能力，夯实产业发展的核心支撑</w:t>
      </w:r>
      <w:r>
        <w:rPr>
          <w:rFonts w:hint="eastAsia" w:ascii="Times New Roman" w:hAnsi="Times New Roman" w:eastAsia="方正仿宋_GBK" w:cs="Times New Roman"/>
          <w:b w:val="0"/>
          <w:bCs w:val="0"/>
          <w:sz w:val="32"/>
          <w:szCs w:val="32"/>
        </w:rPr>
        <w:t>。“潮级中式化”带来的需求具有碎片化、突发性特征，这对中国供应链的快速响应能力提出了更高要求，也暴露了部分领域产能适配不足、创新能力薄弱的问题。政策层面应加大对中小制造企业、县域产业集群的扶持力度，推动供应链数字化、智能化升级，鼓励企业建立柔性生产体系，提升对市场趋势的快速捕捉与响应能力；同时，引导企业加强技术创新与产品研发，针对海外市场需求，优化产品设计、规格与服务，避免同质化竞争与产能过剩。例如，义乌等地的生产企业可依托供应链优势，结合海外年轻人对中式生活单品的需求，开发轻量化、时尚化的改良产品，兼顾实用性与潮流感，进一步扩大市场份额；针对文旅领域的短期流量波动，引导地方建立产能动态调整机制，避免盲目扩建、重复投资，实现资源高效利用。</w:t>
      </w:r>
    </w:p>
    <w:p w14:paraId="41A3B1B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第四，深化跨文化交流与认知培育，构建可持续的文化传播生态</w:t>
      </w:r>
      <w:r>
        <w:rPr>
          <w:rFonts w:hint="eastAsia" w:ascii="Times New Roman" w:hAnsi="Times New Roman" w:eastAsia="方正仿宋_GBK" w:cs="Times New Roman"/>
          <w:b w:val="0"/>
          <w:bCs w:val="0"/>
          <w:sz w:val="32"/>
          <w:szCs w:val="32"/>
        </w:rPr>
        <w:t>。“潮级中式化”的长期发展，离不开中外文化的深度理解与良性互动，单纯的浅层模仿不仅难以形成持久吸引力，还可能因文化差异产生误解。政策层面应推动教育、文化领域的民间交流，多举办接地气、生活化的跨文化活动，如中式生活体验营、民俗文化交流周、美食分享会等，让海外年轻人深入了解中式生活背后的文化内涵、价值理念，从“模仿表层”走向“理解内核”。同时，鼓励国内内容创作者、华裔群体输出更具深度、更真实的中式生活内容，避免过度娱乐化、标签化解读，通过真实、立体的内容传播，让世界看到一个更加多元、日常化的中国，为“潮级中式化”的长期发展奠定坚实的文化基础。</w:t>
      </w:r>
    </w:p>
    <w:p w14:paraId="4920790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更广阔的全球化视角来看，“潮级中式化”现象并非偶然，而是数字时代全球化发展的全新缩影。它清晰地表明，在算法驱动、内容为王的今天，文化本身已成为重要的经济资源，生活方式的传播与认同，正成为国际竞争的新维度。中国凭借庞大的国内市场、灵活的制造体系、深厚的文化底蕴以及开放包容的发展态度，在这场跨文化消费浪潮中，正逐步培育出独特的竞争优势——这种优势，既源于供应链的柔性与高效，也源于文化的独特性与吸引力，更源于对全球消费者多样化需求的精准把握。</w:t>
      </w:r>
    </w:p>
    <w:p w14:paraId="65C2C7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当然，机遇与挑战并存，“潮级中式化”的长期发展仍面临诸多不确定性。全球贸易环境的波动、不同文化间的认知差异、国内产能与市场需求的精准匹配、流量红利的可持续性等问题，都需要政府、企业、社会多方持续关注、协同应对。但不可否认的是，这股浪潮不仅为中国文化软实力的提升、全球形象的塑造打开了新的窗口，更带动了旅游、消费、出口等领域的增长，为中国经济开辟了新的增长空间</w:t>
      </w:r>
      <w:r>
        <w:rPr>
          <w:rFonts w:hint="eastAsia" w:ascii="方正仿宋_GBK" w:hAnsi="方正仿宋_GBK" w:eastAsia="方正仿宋_GBK" w:cs="方正仿宋_GBK"/>
          <w:b w:val="0"/>
          <w:bCs w:val="0"/>
          <w:sz w:val="32"/>
          <w:szCs w:val="32"/>
        </w:rPr>
        <w:t>。</w:t>
      </w:r>
    </w:p>
    <w:p w14:paraId="6F0A62E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周斌、左亮</w:t>
      </w:r>
      <w:r>
        <w:rPr>
          <w:rFonts w:hint="default" w:ascii="Times New Roman" w:hAnsi="Times New Roman" w:eastAsia="方正楷体_GBK" w:cs="方正楷体_GBK"/>
          <w:b/>
          <w:bCs/>
          <w:color w:val="FF0000"/>
          <w:spacing w:val="0"/>
          <w:kern w:val="2"/>
          <w:sz w:val="30"/>
          <w:szCs w:val="30"/>
          <w:lang w:val="en-US" w:eastAsia="zh-CN" w:bidi="ar-SA"/>
        </w:rPr>
        <w:t>）</w:t>
      </w:r>
    </w:p>
    <w:p w14:paraId="69A0231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124" w:firstLineChars="11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751E9C6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124" w:firstLineChars="11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4995368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恒力集团第四次入选《财富》中国ESG影响力榜</w:t>
      </w:r>
    </w:p>
    <w:p w14:paraId="2F0C560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2026年《财富》中国ESG影响力榜正式发布，我会副会长单位——恒力集团有限公司凭借在环境、社会、治理（ESG）领域的系统性实践与突出成效成功上榜。这是恒力第四次入选该榜单，充分彰显了其在可持续发展领域的深厚积淀与标杆实力。</w:t>
      </w:r>
    </w:p>
    <w:p w14:paraId="6987BE7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作为全球领先的全产业链企业，恒力始终将ESG理念深度融入企业发展战略，坚守“绿色恒力、生态恒力、和谐恒力”的发展理念，以建设“资源节约型、环境友好型”企业为己任，推动企业发展与生态保护协同共进。</w:t>
      </w:r>
    </w:p>
    <w:p w14:paraId="4DE38EB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：恒力集团官网）</w:t>
      </w:r>
    </w:p>
    <w:p w14:paraId="70638003">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2D1B5E8D">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5433F7F6">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4BF2E6DA">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2EFE3D44">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395D47C1">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341C5130">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44993F26">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4746CF20">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0CE2C891">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6D78D7F0">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7BCF0B55">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05A85D8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江苏优品北美展销中心落地inQbrands洛杉矶跨境园</w:t>
      </w:r>
    </w:p>
    <w:p w14:paraId="3C5CC71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江苏优品北美跨境展销中心”在我会副会长单位——焦点科技股份有限公司旗下美国子公司inQbrands加州洛杉矶跨境园隆重揭牌，该中心由江苏省商务厅指导设立，标志着江苏优质制造在北美拥有了集品牌推广、产品展示、本地化运营于一体的实体支点。</w:t>
      </w:r>
    </w:p>
    <w:p w14:paraId="0F1C484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揭牌仪式现场，首批来自宠物用品、家居建材、户外装备、汽配野营等领域的江苏企业入驻场景化展区，环保型豆腐猫砂、玻璃纤维网等新型建材、高尔夫球车电池、改装车配件以及仿真花工艺品等高潜力产品悉数亮相，吸引了在场嘉宾的广泛关注。</w:t>
      </w:r>
    </w:p>
    <w:p w14:paraId="57AF5E1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作为江苏制造出海北美的实体支点，该展销中心不仅为江苏品牌提供长期稳定的本土展示窗口，更将依托inQbrands成熟的本地化网络，持续探索从“展厅陈列”到“本地销售”的高效转化路径，构建可信、可持续的出海新通道。</w:t>
      </w:r>
    </w:p>
    <w:p w14:paraId="4482288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：焦点科技官网）</w:t>
      </w:r>
    </w:p>
    <w:p w14:paraId="28526EE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65FB5A6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3B5416F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65131B0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1C30BE5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29EB4F4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28" w:firstLineChars="17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6B3E7A5F">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64DFDF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1" w:name="OLE_LINK5"/>
      <w:r>
        <w:rPr>
          <w:rFonts w:hint="eastAsia" w:ascii="Times New Roman" w:hAnsi="Times New Roman" w:eastAsia="华文新魏" w:cs="Times New Roman"/>
          <w:b/>
          <w:bCs w:val="0"/>
          <w:color w:val="FF0000"/>
          <w:spacing w:val="-45"/>
          <w:kern w:val="36"/>
          <w:sz w:val="44"/>
          <w:szCs w:val="44"/>
          <w:lang w:val="en-US" w:eastAsia="zh-CN" w:bidi="ar-SA"/>
        </w:rPr>
        <w:t>江南电缆荣获“江苏机械工业科技进步奖”一等奖</w:t>
      </w:r>
    </w:p>
    <w:p w14:paraId="765706A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近日，江苏省机械行业协会颁布2025年度 “江苏机械工业科技进步奖” 获奖名单。我会理事单位——无锡江南电缆有限公司作为第一完成单位的《新型电力系统用水密氢密高压电力电缆关键技术及系列产品》，在众多参评项目中脱颖而出，荣获“江苏机械工业科技进步奖”一等奖。</w:t>
      </w:r>
    </w:p>
    <w:p w14:paraId="0DF05D0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新型电力系统用水密氢密高压电力电缆关键技术及系列产品》紧扣新型电力系统建设发展需求，成功突破高压电缆水密、氢密两大关键技术局限，有效提升高压电缆整体安全性能与运行稳定能力，适配智能电网、新能源等多类重点工程应用场景。此次获奖，充分彰显了江南在高端线缆领域的技术优势与创新实力。</w:t>
      </w:r>
    </w:p>
    <w:bookmarkEnd w:id="1"/>
    <w:p w14:paraId="64D4F6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：江南电缆微信公众号）</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5AA5881-653C-451B-974F-A31AC4469CF2}"/>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6DCD6D54-54D8-4323-8836-3CE877F69317}"/>
  </w:font>
  <w:font w:name="方正楷体_GBK">
    <w:panose1 w:val="02000000000000000000"/>
    <w:charset w:val="86"/>
    <w:family w:val="auto"/>
    <w:pitch w:val="default"/>
    <w:sig w:usb0="800002BF" w:usb1="38CF7CFA" w:usb2="00000016" w:usb3="00000000" w:csb0="00040000" w:csb1="00000000"/>
    <w:embedRegular r:id="rId3" w:fontKey="{34371336-C83D-44A2-818E-636C59521A4F}"/>
  </w:font>
  <w:font w:name="方正公文黑体">
    <w:panose1 w:val="02000500000000000000"/>
    <w:charset w:val="86"/>
    <w:family w:val="auto"/>
    <w:pitch w:val="default"/>
    <w:sig w:usb0="A00002BF" w:usb1="38CF7CFA" w:usb2="00000016" w:usb3="00000000" w:csb0="00040001" w:csb1="00000000"/>
    <w:embedRegular r:id="rId4" w:fontKey="{F3B6F585-E0B9-4008-BEE0-D221AAEB01A7}"/>
  </w:font>
  <w:font w:name="方正黑体_GBK">
    <w:panose1 w:val="02010600010101010101"/>
    <w:charset w:val="86"/>
    <w:family w:val="auto"/>
    <w:pitch w:val="default"/>
    <w:sig w:usb0="00000001" w:usb1="080E0000" w:usb2="00000000" w:usb3="00000000" w:csb0="00040000" w:csb1="00000000"/>
    <w:embedRegular r:id="rId5" w:fontKey="{A6142365-677A-439F-BE55-6A3606D76E9B}"/>
  </w:font>
  <w:font w:name="方正仿宋_GBK">
    <w:panose1 w:val="03000509000000000000"/>
    <w:charset w:val="86"/>
    <w:family w:val="script"/>
    <w:pitch w:val="default"/>
    <w:sig w:usb0="00000001" w:usb1="080E0000" w:usb2="00000000" w:usb3="00000000" w:csb0="00040000" w:csb1="00000000"/>
    <w:embedRegular r:id="rId6" w:fontKey="{26590AD0-0198-4CEB-89E9-03D3AC326460}"/>
  </w:font>
  <w:font w:name="方正小标宋_GBK">
    <w:panose1 w:val="03000509000000000000"/>
    <w:charset w:val="86"/>
    <w:family w:val="auto"/>
    <w:pitch w:val="default"/>
    <w:sig w:usb0="00000001" w:usb1="080E0000" w:usb2="00000000" w:usb3="00000000" w:csb0="00040000" w:csb1="00000000"/>
    <w:embedRegular r:id="rId7" w:fontKey="{100D0E23-A189-43BF-A6CF-573D7A03DEA6}"/>
  </w:font>
  <w:font w:name="华文新魏">
    <w:panose1 w:val="02010800040101010101"/>
    <w:charset w:val="86"/>
    <w:family w:val="auto"/>
    <w:pitch w:val="default"/>
    <w:sig w:usb0="00000001" w:usb1="080F0000" w:usb2="00000000" w:usb3="00000000" w:csb0="00040000" w:csb1="00000000"/>
    <w:embedRegular r:id="rId8" w:fontKey="{62EB462A-B8BD-4F61-A557-86B3E10B2C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26279"/>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4D1CF1"/>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BD6166"/>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C3898"/>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263ED"/>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52EB9"/>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460E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A56DA"/>
    <w:rsid w:val="6F6B5A9E"/>
    <w:rsid w:val="6F7A07E3"/>
    <w:rsid w:val="6F7D050B"/>
    <w:rsid w:val="6F8C33B0"/>
    <w:rsid w:val="6F8D5B36"/>
    <w:rsid w:val="6F953750"/>
    <w:rsid w:val="6F9B0C75"/>
    <w:rsid w:val="6FA04DA3"/>
    <w:rsid w:val="6FA10B29"/>
    <w:rsid w:val="6FAA2D8A"/>
    <w:rsid w:val="6FB62831"/>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d65f61d0-5fc0-40fe-afaa-54fe645fd24a</errorID>
      <errorWord>免费赠阅</errorWord>
      <group>L1_Word</group>
      <groupName>字词问题</groupName>
      <ability>L2_Typo</ability>
      <abilityName>字词错误</abilityName>
      <candidateList>
        <item>赠阅</item>
      </candidateList>
      <explain/>
      <paraID>1EE33D88</paraID>
      <start>31</start>
      <end>35</end>
      <status>ignored</status>
      <modifiedWord/>
      <trackRevisions>false</trackRevisions>
    </reviewItem>
    <reviewItem>
      <errorID>89854c9d-f23a-4b96-9ef9-0af9988c77dc</errorID>
      <errorWord>日本、台湾</errorWord>
      <group>L1_Political</group>
      <groupName>政治性问题</groupName>
      <ability>L2_Unpolitical</ability>
      <abilityName>政治敏感错误</abilityName>
      <candidateList/>
      <explain/>
      <paraID>152CC00B</paraID>
      <start>154</start>
      <end>159</end>
      <status>ignored</status>
      <modifiedWord/>
      <trackRevisions>false</trackRevisions>
    </reviewItem>
    <reviewItem>
      <errorID>66e8586a-72d3-4669-a882-84c8d6310178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15934F4D</paraID>
      <start>71</start>
      <end>72</end>
      <status>ignored</status>
      <modifiedWord/>
      <trackRevisions>false</trackRevisions>
    </reviewItem>
    <reviewItem>
      <errorID>f18769cb-1436-4bb4-aafe-487ad71f8474</errorID>
      <errorWord>资金投入到</errorWord>
      <group>L1_Word</group>
      <groupName>字词问题</groupName>
      <ability>L2_Typo</ability>
      <abilityName>字词错误</abilityName>
      <candidateList>
        <item>资金投入</item>
      </candidateList>
      <explain/>
      <paraID>4C820C97</paraID>
      <start>22</start>
      <end>27</end>
      <status>ignored</status>
      <modifiedWord/>
      <trackRevisions>false</trackRevisions>
    </reviewItem>
    <reviewItem>
      <errorID>17547906-12e8-49f0-b805-36e085dcc0e0</errorID>
      <errorWord>，</errorWord>
      <group>L1_Word</group>
      <groupName>字词问题</groupName>
      <ability>L2_Typo</ability>
      <abilityName>字词错误</abilityName>
      <candidateList>
        <item>，以</item>
      </candidateList>
      <explain/>
      <paraID>72D5EFC6</paraID>
      <start>42</start>
      <end>43</end>
      <status>ignored</status>
      <modifiedWord/>
      <trackRevisions>false</trackRevisions>
    </reviewItem>
    <reviewItem>
      <errorID>c12ba482-9eeb-4c99-a1e6-09732f4cea54</errorID>
      <errorWord>投资者们</errorWord>
      <group>L1_Word</group>
      <groupName>字词问题</groupName>
      <ability>L2_Typo</ability>
      <abilityName>字词错误</abilityName>
      <candidateList>
        <item>投资者</item>
      </candidateList>
      <explain/>
      <paraID>570AEF43</paraID>
      <start>4</start>
      <end>8</end>
      <status>ignored</status>
      <modifiedWord/>
      <trackRevisions>false</trackRevisions>
    </reviewItem>
    <reviewItem>
      <errorID>993f0727-425a-4807-b121-80b199816bae</errorID>
      <errorWord>一场</errorWord>
      <group>L1_Knowledge</group>
      <groupName>知识性问题</groupName>
      <ability>L2_Knowledge</ability>
      <abilityName>其他知识</abilityName>
      <candidateList>
        <item>一种</item>
      </candidateList>
      <explain/>
      <paraID>570AEF43</paraID>
      <start>90</start>
      <end>92</end>
      <status>ignored</status>
      <modifiedWord/>
      <trackRevisions>false</trackRevisions>
    </reviewItem>
    <reviewItem>
      <errorID>a8ef51c2-d2b2-41fa-be08-73d9c0e87885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52CF1820</paraID>
      <start>176</start>
      <end>177</end>
      <status>ignored</status>
      <modifiedWord/>
      <trackRevisions>false</trackRevisions>
    </reviewItem>
    <reviewItem>
      <errorID>378541c5-64c7-4b11-a4cc-f1a19be9c86e</errorID>
      <errorWord>止是</errorWord>
      <group>L1_Word</group>
      <groupName>字词问题</groupName>
      <ability>L2_Typo</ability>
      <abilityName>字词错误</abilityName>
      <candidateList>
        <item>只是</item>
      </candidateList>
      <explain>存在发音相同字词的误用。</explain>
      <paraID>2F440EDD</paraID>
      <start>120</start>
      <end>122</end>
      <status>modified</status>
      <modifiedWord>只是</modifiedWord>
      <trackRevisions>false</trackRevisions>
    </reviewItem>
    <reviewItem>
      <errorID>2cfeed4c-82af-4208-93ae-7faa26c63758</errorID>
      <errorWord>1.5%-3%</errorWord>
      <group>L1_Knowledge</group>
      <groupName>知识性问题</groupName>
      <ability>L2_Knowledge</ability>
      <abilityName>其他知识</abilityName>
      <candidateList>
        <item>1.5%—3%</item>
      </candidateList>
      <explain>1. “1.5%-3%”中的单位“%”仅出现在后一个数字上，容易引起歧义；根据《现代汉语标点符号数字用法规范手册》，数字表示范围两边需要使用统一的格式。2. 根据标点国标 4.13 中的规则，数字、时间或地域连接符应使用（视觉上更长的）“—”或“～”。</explain>
      <paraID>1A036F14</paraID>
      <start>143</start>
      <end>150</end>
      <status>ignored</status>
      <modifiedWord/>
      <trackRevisions>false</trackRevisions>
    </reviewItem>
    <reviewItem>
      <errorID>f10ee9f5-91bc-4748-b626-5535a0137aa1</errorID>
      <errorWord>晰</errorWord>
      <group>L1_Word</group>
      <groupName>字词问题</groupName>
      <ability>L2_Typo</ability>
      <abilityName>字词错误</abilityName>
      <candidateList>
        <item>晰地</item>
      </candidateList>
      <explain/>
      <paraID>7DA2B6D7</paraID>
      <start>12</start>
      <end>13</end>
      <status>ignored</status>
      <modifiedWord/>
      <trackRevisions>false</trackRevisions>
    </reviewItem>
    <reviewItem>
      <errorID>1c85e851-f84f-4308-b0c2-83fa705dfde7</errorID>
      <errorWord>却成</errorWord>
      <group>L1_Word</group>
      <groupName>字词问题</groupName>
      <ability>L2_Typo</ability>
      <abilityName>字词错误</abilityName>
      <candidateList>
        <item>已成</item>
      </candidateList>
      <explain/>
      <paraID>7B01F6F3</paraID>
      <start>67</start>
      <end>69</end>
      <status>ignored</status>
      <modifiedWord/>
      <trackRevisions>false</trackRevisions>
    </reviewItem>
    <reviewItem>
      <errorID>7a18a8c5-7066-4381-8f2b-cbfeabb71487</errorID>
      <errorWord>潮级</errorWord>
      <group>L1_Word</group>
      <groupName>字词问题</groupName>
      <ability>L2_Typo</ability>
      <abilityName>字词错误</abilityName>
      <candidateList>
        <item>超级</item>
      </candidateList>
      <explain/>
      <paraID>612FB8A7</paraID>
      <start>21</start>
      <end>23</end>
      <status>ignored</status>
      <modifiedWord/>
      <trackRevisions>false</trackRevisions>
    </reviewItem>
    <reviewItem>
      <errorID>c1f270eb-e4ad-472d-85b7-d91b1e55f1ef</errorID>
      <errorWord>潮级</errorWord>
      <group>L1_Word</group>
      <groupName>字词问题</groupName>
      <ability>L2_Typo</ability>
      <abilityName>字词错误</abilityName>
      <candidateList>
        <item>超级</item>
      </candidateList>
      <explain/>
      <paraID>4920790F</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6be8f-bbde-4268-aa7d-06c1ec48796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5874</Words>
  <Characters>6286</Characters>
  <Lines>1</Lines>
  <Paragraphs>1</Paragraphs>
  <TotalTime>5353</TotalTime>
  <ScaleCrop>false</ScaleCrop>
  <LinksUpToDate>false</LinksUpToDate>
  <CharactersWithSpaces>6332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2026-05-15T03:36:00Z</cp:lastPrinted>
  <dcterms:modified xsi:type="dcterms:W3CDTF">2026-05-19T02:01:26Z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