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宋体" w:cs="Times New Roman"/>
          <w:b/>
          <w:color w:val="FF0000"/>
          <w:spacing w:val="-119"/>
          <w:kern w:val="36"/>
          <w:sz w:val="144"/>
          <w:szCs w:val="144"/>
        </w:rPr>
      </w:pPr>
      <w:r>
        <w:rPr>
          <w:rFonts w:hint="default" w:ascii="Times New Roman" w:hAnsi="Times New Roman" w:eastAsia="经典行楷简" w:cs="Times New Roman"/>
          <w:b/>
          <w:color w:val="1F497D"/>
          <w:spacing w:val="-119"/>
          <w:kern w:val="36"/>
          <w:sz w:val="144"/>
          <w:szCs w:val="144"/>
          <w14:textFill>
            <w14:solidFill>
              <w14:srgbClr w14:val="1F497D">
                <w14:lumMod w14:val="60000"/>
                <w14:lumOff w14:val="40000"/>
              </w14:srgbClr>
            </w14:solidFill>
          </w14:textFill>
        </w:rPr>
        <w:t>江苏贸促周讯</w:t>
      </w: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0"/>
        <w:rPr>
          <w:rFonts w:hint="default" w:ascii="Times New Roman" w:hAnsi="Times New Roman" w:eastAsia="经典行楷简" w:cs="Times New Roman"/>
          <w:b w:val="0"/>
          <w:bCs/>
          <w:color w:val="2E75B6" w:themeColor="accent1" w:themeShade="BF"/>
          <w:kern w:val="36"/>
          <w:sz w:val="44"/>
          <w:szCs w:val="44"/>
        </w:rPr>
      </w:pPr>
      <w:r>
        <w:rPr>
          <w:rFonts w:hint="default" w:ascii="Times New Roman" w:hAnsi="Times New Roman" w:eastAsia="经典行楷简" w:cs="Times New Roman"/>
          <w:b w:val="0"/>
          <w:bCs/>
          <w:color w:val="2E75B6" w:themeColor="accent1" w:themeShade="BF"/>
          <w:kern w:val="36"/>
          <w:sz w:val="44"/>
          <w:szCs w:val="44"/>
        </w:rPr>
        <w:t>202</w:t>
      </w:r>
      <w:r>
        <w:rPr>
          <w:rFonts w:hint="default" w:ascii="Times New Roman" w:hAnsi="Times New Roman" w:eastAsia="经典行楷简" w:cs="Times New Roman"/>
          <w:b w:val="0"/>
          <w:bCs/>
          <w:color w:val="2E75B6" w:themeColor="accent1" w:themeShade="BF"/>
          <w:kern w:val="36"/>
          <w:sz w:val="44"/>
          <w:szCs w:val="44"/>
          <w:lang w:val="en-US" w:eastAsia="zh-CN"/>
        </w:rPr>
        <w:t>4</w:t>
      </w:r>
      <w:r>
        <w:rPr>
          <w:rFonts w:hint="default" w:ascii="Times New Roman" w:hAnsi="Times New Roman" w:eastAsia="经典行楷简" w:cs="Times New Roman"/>
          <w:b w:val="0"/>
          <w:bCs/>
          <w:color w:val="2E75B6" w:themeColor="accent1" w:themeShade="BF"/>
          <w:kern w:val="36"/>
          <w:sz w:val="44"/>
          <w:szCs w:val="44"/>
        </w:rPr>
        <w:t>年第</w:t>
      </w:r>
      <w:r>
        <w:rPr>
          <w:rFonts w:hint="eastAsia" w:ascii="Times New Roman" w:hAnsi="Times New Roman" w:eastAsia="经典行楷简" w:cs="Times New Roman"/>
          <w:b w:val="0"/>
          <w:bCs/>
          <w:color w:val="2E75B6" w:themeColor="accent1" w:themeShade="BF"/>
          <w:kern w:val="36"/>
          <w:sz w:val="44"/>
          <w:szCs w:val="44"/>
          <w:lang w:val="en-US" w:eastAsia="zh-CN"/>
        </w:rPr>
        <w:t>21</w:t>
      </w:r>
      <w:r>
        <w:rPr>
          <w:rFonts w:hint="default" w:ascii="Times New Roman" w:hAnsi="Times New Roman" w:eastAsia="经典行楷简" w:cs="Times New Roman"/>
          <w:b w:val="0"/>
          <w:bCs/>
          <w:color w:val="2E75B6" w:themeColor="accent1" w:themeShade="BF"/>
          <w:kern w:val="36"/>
          <w:sz w:val="44"/>
          <w:szCs w:val="44"/>
        </w:rPr>
        <w:t>期</w:t>
      </w: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0"/>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scaled="0"/>
            </w14:gradFill>
          </w14:textFill>
        </w:rPr>
      </w:pPr>
      <w:r>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scaled="0"/>
            </w14:gradFill>
          </w14:textFill>
        </w:rPr>
        <w:t>（</w:t>
      </w:r>
      <w:r>
        <w:rPr>
          <w:rFonts w:hint="default" w:ascii="Times New Roman" w:hAnsi="Times New Roman" w:eastAsia="经典行楷简" w:cs="Times New Roman"/>
          <w:b w:val="0"/>
          <w:bCs/>
          <w:color w:val="2E75B5" w:themeColor="accent1" w:themeShade="BF"/>
          <w:kern w:val="36"/>
          <w:sz w:val="44"/>
          <w:szCs w:val="44"/>
          <w14:textFill>
            <w14:gradFill>
              <w14:gsLst>
                <w14:gs w14:pos="0">
                  <w14:srgbClr w14:val="FE4444"/>
                </w14:gs>
                <w14:gs w14:pos="100000">
                  <w14:srgbClr w14:val="832B2B"/>
                </w14:gs>
              </w14:gsLst>
              <w14:lin w14:scaled="0"/>
            </w14:gradFill>
          </w14:textFill>
        </w:rPr>
        <w:t>总第</w:t>
      </w:r>
      <w:r>
        <w:rPr>
          <w:rFonts w:hint="eastAsia" w:ascii="Times New Roman" w:hAnsi="Times New Roman" w:eastAsia="经典行楷简" w:cs="Times New Roman"/>
          <w:b w:val="0"/>
          <w:bCs/>
          <w:color w:val="2E75B5" w:themeColor="accent1" w:themeShade="BF"/>
          <w:kern w:val="36"/>
          <w:sz w:val="44"/>
          <w:szCs w:val="44"/>
          <w:lang w:val="en-US" w:eastAsia="zh-CN"/>
          <w14:textFill>
            <w14:gradFill>
              <w14:gsLst>
                <w14:gs w14:pos="0">
                  <w14:srgbClr w14:val="FE4444"/>
                </w14:gs>
                <w14:gs w14:pos="100000">
                  <w14:srgbClr w14:val="832B2B"/>
                </w14:gs>
              </w14:gsLst>
              <w14:lin w14:scaled="0"/>
            </w14:gradFill>
          </w14:textFill>
        </w:rPr>
        <w:t>267</w:t>
      </w:r>
      <w:r>
        <w:rPr>
          <w:rFonts w:hint="default" w:ascii="Times New Roman" w:hAnsi="Times New Roman" w:eastAsia="经典行楷简" w:cs="Times New Roman"/>
          <w:b w:val="0"/>
          <w:bCs/>
          <w:color w:val="2E75B5" w:themeColor="accent1" w:themeShade="BF"/>
          <w:kern w:val="36"/>
          <w:sz w:val="44"/>
          <w:szCs w:val="44"/>
          <w14:textFill>
            <w14:gradFill>
              <w14:gsLst>
                <w14:gs w14:pos="0">
                  <w14:srgbClr w14:val="FE4444"/>
                </w14:gs>
                <w14:gs w14:pos="100000">
                  <w14:srgbClr w14:val="832B2B"/>
                </w14:gs>
              </w14:gsLst>
              <w14:lin w14:scaled="0"/>
            </w14:gradFill>
          </w14:textFill>
        </w:rPr>
        <w:t>期</w:t>
      </w:r>
      <w:r>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scaled="0"/>
            </w14:gradFill>
          </w14:textFill>
        </w:rPr>
        <w:t>）</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28" w:firstLineChars="200"/>
        <w:jc w:val="both"/>
        <w:textAlignment w:val="auto"/>
        <w:outlineLvl w:val="1"/>
        <w:rPr>
          <w:rFonts w:hint="default" w:ascii="Times New Roman" w:hAnsi="Times New Roman" w:eastAsia="方正楷体_GBK" w:cs="Times New Roman"/>
          <w:b w:val="0"/>
          <w:bCs/>
          <w:color w:val="000000"/>
          <w:kern w:val="36"/>
          <w:sz w:val="36"/>
          <w:szCs w:val="36"/>
          <w:highlight w:val="none"/>
        </w:rPr>
      </w:pPr>
      <w:r>
        <w:rPr>
          <w:rFonts w:hint="default" w:ascii="Times New Roman" w:hAnsi="Times New Roman" w:eastAsia="方正黑体_GBK" w:cs="Times New Roman"/>
          <w:b w:val="0"/>
          <w:bCs/>
          <w:color w:val="1F497D"/>
          <w:kern w:val="36"/>
          <w:sz w:val="28"/>
          <w:szCs w:val="28"/>
          <w:highlight w:val="none"/>
          <w14:textFill>
            <w14:solidFill>
              <w14:srgbClr w14:val="1F497D">
                <w14:lumMod w14:val="60000"/>
                <w14:lumOff w14:val="40000"/>
              </w14:srgbClr>
            </w14:solidFill>
          </w14:textFill>
        </w:rPr>
        <w:t>江苏省贸促会发展研究部</w:t>
      </w:r>
      <w:r>
        <w:rPr>
          <w:rFonts w:hint="default" w:ascii="Times New Roman" w:hAnsi="Times New Roman" w:eastAsia="宋体" w:cs="Times New Roman"/>
          <w:b/>
          <w:color w:val="00B0F0"/>
          <w:kern w:val="36"/>
          <w:sz w:val="28"/>
          <w:szCs w:val="28"/>
          <w:highlight w:val="none"/>
        </w:rPr>
        <w:t xml:space="preserve"> </w:t>
      </w:r>
      <w:r>
        <w:rPr>
          <w:rFonts w:hint="default" w:ascii="Times New Roman" w:hAnsi="Times New Roman" w:eastAsia="宋体" w:cs="Times New Roman"/>
          <w:b/>
          <w:color w:val="000000"/>
          <w:kern w:val="36"/>
          <w:sz w:val="36"/>
          <w:szCs w:val="36"/>
          <w:highlight w:val="none"/>
        </w:rPr>
        <w:t xml:space="preserve">        </w:t>
      </w:r>
      <w:r>
        <w:rPr>
          <w:rFonts w:hint="default" w:ascii="Times New Roman" w:hAnsi="Times New Roman" w:eastAsia="方正楷体_GBK" w:cs="Times New Roman"/>
          <w:b w:val="0"/>
          <w:bCs/>
          <w:color w:val="000000"/>
          <w:kern w:val="36"/>
          <w:sz w:val="36"/>
          <w:szCs w:val="36"/>
          <w:highlight w:val="none"/>
        </w:rPr>
        <w:t xml:space="preserve"> </w:t>
      </w:r>
      <w:r>
        <w:rPr>
          <w:rFonts w:hint="default" w:ascii="Times New Roman" w:hAnsi="Times New Roman" w:eastAsia="方正楷体_GBK" w:cs="Times New Roman"/>
          <w:b w:val="0"/>
          <w:bCs/>
          <w:color w:val="000000"/>
          <w:kern w:val="36"/>
          <w:sz w:val="36"/>
          <w:szCs w:val="36"/>
          <w:highlight w:val="none"/>
          <w:lang w:val="en-US"/>
        </w:rPr>
        <w:t xml:space="preserve">     </w:t>
      </w:r>
      <w:r>
        <w:rPr>
          <w:rFonts w:hint="default" w:ascii="Times New Roman" w:hAnsi="Times New Roman" w:eastAsia="方正楷体_GBK" w:cs="Times New Roman"/>
          <w:b w:val="0"/>
          <w:bCs/>
          <w:color w:val="000000"/>
          <w:kern w:val="36"/>
          <w:sz w:val="32"/>
          <w:szCs w:val="32"/>
          <w:highlight w:val="none"/>
          <w:lang w:val="en-US"/>
        </w:rPr>
        <w:t xml:space="preserve"> </w:t>
      </w:r>
      <w:r>
        <w:rPr>
          <w:rFonts w:hint="default" w:ascii="Times New Roman" w:hAnsi="Times New Roman" w:eastAsia="方正楷体_GBK" w:cs="Times New Roman"/>
          <w:b w:val="0"/>
          <w:bCs/>
          <w:color w:val="000000"/>
          <w:kern w:val="36"/>
          <w:sz w:val="32"/>
          <w:szCs w:val="32"/>
          <w:highlight w:val="none"/>
        </w:rPr>
        <w:t>202</w:t>
      </w:r>
      <w:r>
        <w:rPr>
          <w:rFonts w:hint="default" w:ascii="Times New Roman" w:hAnsi="Times New Roman" w:eastAsia="方正楷体_GBK" w:cs="Times New Roman"/>
          <w:b w:val="0"/>
          <w:bCs/>
          <w:color w:val="000000"/>
          <w:kern w:val="36"/>
          <w:sz w:val="32"/>
          <w:szCs w:val="32"/>
          <w:highlight w:val="none"/>
          <w:lang w:val="en-US" w:eastAsia="zh-CN"/>
        </w:rPr>
        <w:t>4</w:t>
      </w:r>
      <w:r>
        <w:rPr>
          <w:rFonts w:hint="default" w:ascii="Times New Roman" w:hAnsi="Times New Roman" w:eastAsia="方正楷体_GBK" w:cs="Times New Roman"/>
          <w:b w:val="0"/>
          <w:bCs/>
          <w:color w:val="000000"/>
          <w:kern w:val="36"/>
          <w:sz w:val="32"/>
          <w:szCs w:val="32"/>
          <w:highlight w:val="none"/>
        </w:rPr>
        <w:t>年</w:t>
      </w:r>
      <w:r>
        <w:rPr>
          <w:rFonts w:hint="eastAsia" w:ascii="Times New Roman" w:hAnsi="Times New Roman" w:eastAsia="方正楷体_GBK" w:cs="Times New Roman"/>
          <w:b w:val="0"/>
          <w:bCs/>
          <w:color w:val="000000"/>
          <w:kern w:val="36"/>
          <w:sz w:val="32"/>
          <w:szCs w:val="32"/>
          <w:highlight w:val="none"/>
          <w:lang w:val="en-US" w:eastAsia="zh-CN"/>
        </w:rPr>
        <w:t>5</w:t>
      </w:r>
      <w:r>
        <w:rPr>
          <w:rFonts w:hint="default" w:ascii="Times New Roman" w:hAnsi="Times New Roman" w:eastAsia="方正楷体_GBK" w:cs="Times New Roman"/>
          <w:b w:val="0"/>
          <w:bCs/>
          <w:color w:val="000000"/>
          <w:kern w:val="36"/>
          <w:sz w:val="32"/>
          <w:szCs w:val="32"/>
          <w:highlight w:val="none"/>
        </w:rPr>
        <w:t>月</w:t>
      </w:r>
      <w:r>
        <w:rPr>
          <w:rFonts w:hint="eastAsia" w:ascii="Times New Roman" w:hAnsi="Times New Roman" w:eastAsia="方正楷体_GBK" w:cs="Times New Roman"/>
          <w:b w:val="0"/>
          <w:bCs/>
          <w:color w:val="000000"/>
          <w:kern w:val="36"/>
          <w:sz w:val="32"/>
          <w:szCs w:val="32"/>
          <w:highlight w:val="none"/>
          <w:lang w:val="en-US" w:eastAsia="zh-CN"/>
        </w:rPr>
        <w:t>24</w:t>
      </w:r>
      <w:r>
        <w:rPr>
          <w:rFonts w:hint="default" w:ascii="Times New Roman" w:hAnsi="Times New Roman" w:eastAsia="方正楷体_GBK" w:cs="Times New Roman"/>
          <w:b w:val="0"/>
          <w:bCs/>
          <w:color w:val="000000"/>
          <w:kern w:val="36"/>
          <w:sz w:val="32"/>
          <w:szCs w:val="32"/>
          <w:highlight w:val="none"/>
        </w:rPr>
        <w:t>日</w:t>
      </w:r>
    </w:p>
    <w:p>
      <w:pPr>
        <w:keepNext w:val="0"/>
        <w:keepLines w:val="0"/>
        <w:pageBreakBefore w:val="0"/>
        <w:widowControl/>
        <w:shd w:val="clear" w:color="auto" w:fill="FFFFFF"/>
        <w:kinsoku/>
        <w:wordWrap/>
        <w:overflowPunct/>
        <w:topLinePunct w:val="0"/>
        <w:autoSpaceDE/>
        <w:autoSpaceDN/>
        <w:bidi w:val="0"/>
        <w:adjustRightInd/>
        <w:snapToGrid/>
        <w:spacing w:before="435" w:beforeLines="150" w:after="210" w:line="240" w:lineRule="auto"/>
        <w:ind w:firstLine="424" w:firstLineChars="100"/>
        <w:jc w:val="both"/>
        <w:textAlignment w:val="auto"/>
        <w:outlineLvl w:val="1"/>
        <w:rPr>
          <w:rFonts w:hint="default" w:ascii="Times New Roman" w:hAnsi="Times New Roman" w:eastAsia="方正黑体_GBK" w:cs="Times New Roman"/>
          <w:b w:val="0"/>
          <w:bCs/>
          <w:color w:val="000000"/>
          <w:kern w:val="36"/>
          <w:sz w:val="44"/>
          <w:szCs w:val="44"/>
          <w:lang w:val="en-US" w:eastAsia="zh-CN"/>
        </w:rPr>
      </w:pPr>
      <w:r>
        <w:rPr>
          <w:rFonts w:hint="default" w:ascii="Times New Roman" w:hAnsi="Times New Roman" w:eastAsia="方正黑体_GBK" w:cs="Times New Roman"/>
          <w:b w:val="0"/>
          <w:bCs/>
          <w:color w:val="000000"/>
          <w:kern w:val="36"/>
          <w:sz w:val="44"/>
          <w:szCs w:val="44"/>
        </w:rPr>
        <w:t>目录</w:t>
      </w:r>
      <w:r>
        <w:rPr>
          <w:rFonts w:hint="default" w:ascii="Times New Roman" w:hAnsi="Times New Roman" w:eastAsia="方正黑体_GBK" w:cs="Times New Roman"/>
          <w:b w:val="0"/>
          <w:bCs/>
          <w:color w:val="000000"/>
          <w:kern w:val="36"/>
          <w:sz w:val="28"/>
          <w:szCs w:val="28"/>
          <w:lang w:val="en-US"/>
        </w:rPr>
        <w:t>CONTENTS</w:t>
      </w:r>
      <w:r>
        <w:rPr>
          <w:rFonts w:hint="default" w:ascii="Times New Roman" w:hAnsi="Times New Roman" w:eastAsia="方正黑体_GBK" w:cs="Times New Roman"/>
          <w:b w:val="0"/>
          <w:bCs/>
          <w:color w:val="000000"/>
          <w:kern w:val="36"/>
          <w:sz w:val="32"/>
          <w:szCs w:val="32"/>
          <w:lang w:val="en-US"/>
        </w:rPr>
        <w:t xml:space="preserve">  </w:t>
      </w:r>
      <w:r>
        <w:rPr>
          <w:rFonts w:hint="default" w:ascii="Times New Roman" w:hAnsi="Times New Roman" w:eastAsia="方正黑体_GBK" w:cs="Times New Roman"/>
          <w:b w:val="0"/>
          <w:bCs/>
          <w:color w:val="000000"/>
          <w:kern w:val="36"/>
          <w:sz w:val="24"/>
          <w:szCs w:val="24"/>
          <w:lang w:val="en-US" w:eastAsia="zh-CN"/>
        </w:rPr>
        <w:t>——————————————内部资料 免费赠阅</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宋体" w:cs="Times New Roman"/>
          <w:b/>
          <w:color w:val="FF0000"/>
          <w:kern w:val="36"/>
          <w:sz w:val="24"/>
          <w:szCs w:val="24"/>
          <w:lang w:val="en-US" w:eastAsia="zh-CN"/>
        </w:rPr>
      </w:pPr>
      <w:r>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 xml:space="preserve">全球市场资讯 </w:t>
      </w:r>
      <w:r>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t>•</w:t>
      </w:r>
      <w:r>
        <w:rPr>
          <w:rFonts w:hint="default" w:ascii="Times New Roman" w:hAnsi="Times New Roman" w:eastAsia="宋体" w:cs="Times New Roman"/>
          <w:b/>
          <w:color w:val="00B0F0"/>
          <w:kern w:val="36"/>
          <w:sz w:val="36"/>
          <w:szCs w:val="36"/>
          <w:lang w:val="en-US" w:eastAsia="zh-CN"/>
        </w:rPr>
        <w:t xml:space="preserve"> </w:t>
      </w:r>
      <w:r>
        <w:rPr>
          <w:rFonts w:hint="default" w:ascii="Times New Roman" w:hAnsi="Times New Roman" w:eastAsia="宋体" w:cs="Times New Roman"/>
          <w:b/>
          <w:color w:val="FF0000"/>
          <w:kern w:val="36"/>
          <w:sz w:val="24"/>
          <w:szCs w:val="24"/>
          <w:lang w:val="en-US" w:eastAsia="zh-CN"/>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68" w:firstLineChars="200"/>
        <w:contextualSpacing/>
        <w:jc w:val="left"/>
        <w:textAlignment w:val="auto"/>
        <w:outlineLvl w:val="1"/>
        <w:rPr>
          <w:rFonts w:hint="default"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5月18日（周六）</w:t>
      </w:r>
      <w:r>
        <w:rPr>
          <w:rFonts w:hint="default" w:ascii="Times New Roman" w:hAnsi="Times New Roman" w:eastAsia="方正楷体_GBK" w:cs="Times New Roman"/>
          <w:b/>
          <w:color w:val="auto"/>
          <w:spacing w:val="0"/>
          <w:kern w:val="36"/>
          <w:sz w:val="30"/>
          <w:szCs w:val="30"/>
          <w:lang w:val="en-US" w:eastAsia="zh-CN"/>
        </w:rPr>
        <w:t>欧元区有望降息，美股市再创新高/</w:t>
      </w:r>
      <w:r>
        <w:rPr>
          <w:rFonts w:hint="eastAsia" w:ascii="Times New Roman" w:hAnsi="Times New Roman" w:eastAsia="方正楷体_GBK" w:cs="Times New Roman"/>
          <w:b/>
          <w:color w:val="auto"/>
          <w:spacing w:val="0"/>
          <w:kern w:val="36"/>
          <w:sz w:val="30"/>
          <w:szCs w:val="30"/>
          <w:lang w:val="en-US" w:eastAsia="zh-CN"/>
        </w:rPr>
        <w:t>01</w:t>
      </w:r>
      <w:r>
        <w:rPr>
          <w:rFonts w:hint="default" w:ascii="Times New Roman" w:hAnsi="Times New Roman" w:eastAsia="方正楷体_GBK" w:cs="Times New Roman"/>
          <w:b/>
          <w:color w:val="auto"/>
          <w:spacing w:val="0"/>
          <w:kern w:val="36"/>
          <w:sz w:val="30"/>
          <w:szCs w:val="30"/>
          <w:lang w:val="en-US" w:eastAsia="zh-CN"/>
        </w:rPr>
        <w:t xml:space="preserve"> </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68" w:firstLineChars="200"/>
        <w:contextualSpacing/>
        <w:jc w:val="left"/>
        <w:textAlignment w:val="auto"/>
        <w:outlineLvl w:val="1"/>
        <w:rPr>
          <w:rFonts w:hint="default"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5</w:t>
      </w:r>
      <w:r>
        <w:rPr>
          <w:rFonts w:hint="default" w:ascii="Times New Roman" w:hAnsi="Times New Roman" w:eastAsia="方正楷体_GBK" w:cs="Times New Roman"/>
          <w:b/>
          <w:color w:val="auto"/>
          <w:spacing w:val="0"/>
          <w:kern w:val="36"/>
          <w:sz w:val="30"/>
          <w:szCs w:val="30"/>
          <w:lang w:val="en-US" w:eastAsia="zh-CN"/>
        </w:rPr>
        <w:t>月</w:t>
      </w:r>
      <w:r>
        <w:rPr>
          <w:rFonts w:hint="eastAsia" w:ascii="Times New Roman" w:hAnsi="Times New Roman" w:eastAsia="方正楷体_GBK" w:cs="Times New Roman"/>
          <w:b/>
          <w:color w:val="auto"/>
          <w:spacing w:val="0"/>
          <w:kern w:val="36"/>
          <w:sz w:val="30"/>
          <w:szCs w:val="30"/>
          <w:lang w:val="en-US" w:eastAsia="zh-CN"/>
        </w:rPr>
        <w:t>19</w:t>
      </w:r>
      <w:r>
        <w:rPr>
          <w:rFonts w:hint="default" w:ascii="Times New Roman" w:hAnsi="Times New Roman" w:eastAsia="方正楷体_GBK" w:cs="Times New Roman"/>
          <w:b/>
          <w:color w:val="auto"/>
          <w:spacing w:val="0"/>
          <w:kern w:val="36"/>
          <w:sz w:val="30"/>
          <w:szCs w:val="30"/>
          <w:lang w:val="en-US" w:eastAsia="zh-CN"/>
        </w:rPr>
        <w:t>日（周</w:t>
      </w:r>
      <w:r>
        <w:rPr>
          <w:rFonts w:hint="eastAsia" w:ascii="Times New Roman" w:hAnsi="Times New Roman" w:eastAsia="方正楷体_GBK" w:cs="Times New Roman"/>
          <w:b/>
          <w:color w:val="auto"/>
          <w:spacing w:val="0"/>
          <w:kern w:val="36"/>
          <w:sz w:val="30"/>
          <w:szCs w:val="30"/>
          <w:lang w:val="en-US" w:eastAsia="zh-CN"/>
        </w:rPr>
        <w:t>日</w:t>
      </w:r>
      <w:r>
        <w:rPr>
          <w:rFonts w:hint="default" w:ascii="Times New Roman" w:hAnsi="Times New Roman" w:eastAsia="方正楷体_GBK" w:cs="Times New Roman"/>
          <w:b/>
          <w:color w:val="auto"/>
          <w:spacing w:val="0"/>
          <w:kern w:val="36"/>
          <w:sz w:val="30"/>
          <w:szCs w:val="30"/>
          <w:lang w:val="en-US" w:eastAsia="zh-CN"/>
        </w:rPr>
        <w:t>）一季度日本经济不振，上周阿富汗洪灾来袭/</w:t>
      </w:r>
      <w:r>
        <w:rPr>
          <w:rFonts w:hint="eastAsia" w:ascii="Times New Roman" w:hAnsi="Times New Roman" w:eastAsia="方正楷体_GBK" w:cs="Times New Roman"/>
          <w:b/>
          <w:color w:val="auto"/>
          <w:spacing w:val="0"/>
          <w:kern w:val="36"/>
          <w:sz w:val="30"/>
          <w:szCs w:val="30"/>
          <w:lang w:val="en-US" w:eastAsia="zh-CN"/>
        </w:rPr>
        <w:t>02</w:t>
      </w:r>
      <w:r>
        <w:rPr>
          <w:rFonts w:hint="default" w:ascii="Times New Roman" w:hAnsi="Times New Roman" w:eastAsia="方正楷体_GBK" w:cs="Times New Roman"/>
          <w:b/>
          <w:color w:val="auto"/>
          <w:spacing w:val="0"/>
          <w:kern w:val="36"/>
          <w:sz w:val="30"/>
          <w:szCs w:val="30"/>
          <w:lang w:val="en-US" w:eastAsia="zh-CN"/>
        </w:rPr>
        <w:t xml:space="preserve"> </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68" w:firstLineChars="200"/>
        <w:contextualSpacing/>
        <w:textAlignment w:val="auto"/>
        <w:outlineLvl w:val="1"/>
        <w:rPr>
          <w:rFonts w:hint="default"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5</w:t>
      </w:r>
      <w:r>
        <w:rPr>
          <w:rFonts w:hint="default" w:ascii="Times New Roman" w:hAnsi="Times New Roman" w:eastAsia="方正楷体_GBK" w:cs="Times New Roman"/>
          <w:b/>
          <w:color w:val="auto"/>
          <w:spacing w:val="0"/>
          <w:kern w:val="36"/>
          <w:sz w:val="30"/>
          <w:szCs w:val="30"/>
          <w:lang w:val="en-US" w:eastAsia="zh-CN"/>
        </w:rPr>
        <w:t>月</w:t>
      </w:r>
      <w:r>
        <w:rPr>
          <w:rFonts w:hint="eastAsia" w:ascii="Times New Roman" w:hAnsi="Times New Roman" w:eastAsia="方正楷体_GBK" w:cs="Times New Roman"/>
          <w:b/>
          <w:color w:val="auto"/>
          <w:spacing w:val="0"/>
          <w:kern w:val="36"/>
          <w:sz w:val="30"/>
          <w:szCs w:val="30"/>
          <w:lang w:val="en-US" w:eastAsia="zh-CN"/>
        </w:rPr>
        <w:t>20</w:t>
      </w:r>
      <w:r>
        <w:rPr>
          <w:rFonts w:hint="default" w:ascii="Times New Roman" w:hAnsi="Times New Roman" w:eastAsia="方正楷体_GBK" w:cs="Times New Roman"/>
          <w:b/>
          <w:color w:val="auto"/>
          <w:spacing w:val="0"/>
          <w:kern w:val="36"/>
          <w:sz w:val="30"/>
          <w:szCs w:val="30"/>
          <w:lang w:val="en-US" w:eastAsia="zh-CN"/>
        </w:rPr>
        <w:t>日（周</w:t>
      </w:r>
      <w:r>
        <w:rPr>
          <w:rFonts w:hint="eastAsia" w:ascii="Times New Roman" w:hAnsi="Times New Roman" w:eastAsia="方正楷体_GBK" w:cs="Times New Roman"/>
          <w:b/>
          <w:color w:val="auto"/>
          <w:spacing w:val="0"/>
          <w:kern w:val="36"/>
          <w:sz w:val="30"/>
          <w:szCs w:val="30"/>
          <w:lang w:val="en-US" w:eastAsia="zh-CN"/>
        </w:rPr>
        <w:t>一</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用阳光锻造钢铁</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04</w:t>
      </w:r>
      <w:r>
        <w:rPr>
          <w:rFonts w:hint="default" w:ascii="Times New Roman" w:hAnsi="Times New Roman" w:eastAsia="方正楷体_GBK" w:cs="Times New Roman"/>
          <w:b/>
          <w:color w:val="auto"/>
          <w:spacing w:val="0"/>
          <w:kern w:val="36"/>
          <w:sz w:val="30"/>
          <w:szCs w:val="30"/>
          <w:lang w:val="en-US" w:eastAsia="zh-CN"/>
        </w:rPr>
        <w:t xml:space="preserve"> </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68" w:firstLineChars="200"/>
        <w:contextualSpacing/>
        <w:textAlignment w:val="auto"/>
        <w:outlineLvl w:val="1"/>
        <w:rPr>
          <w:rFonts w:hint="default"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5</w:t>
      </w:r>
      <w:r>
        <w:rPr>
          <w:rFonts w:hint="default" w:ascii="Times New Roman" w:hAnsi="Times New Roman" w:eastAsia="方正楷体_GBK" w:cs="Times New Roman"/>
          <w:b/>
          <w:color w:val="auto"/>
          <w:spacing w:val="0"/>
          <w:kern w:val="36"/>
          <w:sz w:val="30"/>
          <w:szCs w:val="30"/>
          <w:lang w:val="en-US" w:eastAsia="zh-CN"/>
        </w:rPr>
        <w:t>月</w:t>
      </w:r>
      <w:r>
        <w:rPr>
          <w:rFonts w:hint="eastAsia" w:ascii="Times New Roman" w:hAnsi="Times New Roman" w:eastAsia="方正楷体_GBK" w:cs="Times New Roman"/>
          <w:b/>
          <w:color w:val="auto"/>
          <w:spacing w:val="0"/>
          <w:kern w:val="36"/>
          <w:sz w:val="30"/>
          <w:szCs w:val="30"/>
          <w:lang w:val="en-US" w:eastAsia="zh-CN"/>
        </w:rPr>
        <w:t>21日</w:t>
      </w:r>
      <w:r>
        <w:rPr>
          <w:rFonts w:hint="default" w:ascii="Times New Roman" w:hAnsi="Times New Roman" w:eastAsia="方正楷体_GBK" w:cs="Times New Roman"/>
          <w:b/>
          <w:color w:val="auto"/>
          <w:spacing w:val="0"/>
          <w:kern w:val="36"/>
          <w:sz w:val="30"/>
          <w:szCs w:val="30"/>
          <w:lang w:val="en-US" w:eastAsia="zh-CN"/>
        </w:rPr>
        <w:t>（周</w:t>
      </w:r>
      <w:r>
        <w:rPr>
          <w:rFonts w:hint="eastAsia" w:ascii="Times New Roman" w:hAnsi="Times New Roman" w:eastAsia="方正楷体_GBK" w:cs="Times New Roman"/>
          <w:b/>
          <w:color w:val="auto"/>
          <w:spacing w:val="0"/>
          <w:kern w:val="36"/>
          <w:sz w:val="30"/>
          <w:szCs w:val="30"/>
          <w:lang w:val="en-US" w:eastAsia="zh-CN"/>
        </w:rPr>
        <w:t>二</w:t>
      </w:r>
      <w:r>
        <w:rPr>
          <w:rFonts w:hint="default" w:ascii="Times New Roman" w:hAnsi="Times New Roman" w:eastAsia="方正楷体_GBK" w:cs="Times New Roman"/>
          <w:b/>
          <w:color w:val="auto"/>
          <w:spacing w:val="0"/>
          <w:kern w:val="36"/>
          <w:sz w:val="30"/>
          <w:szCs w:val="30"/>
          <w:lang w:val="en-US" w:eastAsia="zh-CN"/>
        </w:rPr>
        <w:t>）铜价和金价创出新高，银价亦在飙升途中/</w:t>
      </w:r>
      <w:r>
        <w:rPr>
          <w:rFonts w:hint="eastAsia" w:ascii="Times New Roman" w:hAnsi="Times New Roman" w:eastAsia="方正楷体_GBK" w:cs="Times New Roman"/>
          <w:b/>
          <w:color w:val="auto"/>
          <w:spacing w:val="0"/>
          <w:kern w:val="36"/>
          <w:sz w:val="30"/>
          <w:szCs w:val="30"/>
          <w:lang w:val="en-US" w:eastAsia="zh-CN"/>
        </w:rPr>
        <w:t>05</w:t>
      </w:r>
    </w:p>
    <w:p>
      <w:pPr>
        <w:keepNext w:val="0"/>
        <w:keepLines w:val="0"/>
        <w:pageBreakBefore w:val="0"/>
        <w:widowControl/>
        <w:numPr>
          <w:ilvl w:val="0"/>
          <w:numId w:val="0"/>
        </w:numPr>
        <w:shd w:val="clear" w:color="auto" w:fill="FFFFFF"/>
        <w:tabs>
          <w:tab w:val="left" w:pos="7915"/>
        </w:tabs>
        <w:kinsoku/>
        <w:wordWrap/>
        <w:overflowPunct/>
        <w:topLinePunct w:val="0"/>
        <w:autoSpaceDE/>
        <w:autoSpaceDN/>
        <w:bidi w:val="0"/>
        <w:adjustRightInd/>
        <w:snapToGrid/>
        <w:spacing w:after="210" w:line="240" w:lineRule="auto"/>
        <w:ind w:firstLine="568" w:firstLineChars="200"/>
        <w:contextualSpacing/>
        <w:textAlignment w:val="auto"/>
        <w:outlineLvl w:val="1"/>
        <w:rPr>
          <w:rFonts w:hint="default"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5</w:t>
      </w:r>
      <w:r>
        <w:rPr>
          <w:rFonts w:hint="default" w:ascii="Times New Roman" w:hAnsi="Times New Roman" w:eastAsia="方正楷体_GBK" w:cs="Times New Roman"/>
          <w:b/>
          <w:color w:val="auto"/>
          <w:spacing w:val="0"/>
          <w:kern w:val="36"/>
          <w:sz w:val="30"/>
          <w:szCs w:val="30"/>
          <w:lang w:val="en-US" w:eastAsia="zh-CN"/>
        </w:rPr>
        <w:t>月</w:t>
      </w:r>
      <w:r>
        <w:rPr>
          <w:rFonts w:hint="eastAsia" w:ascii="Times New Roman" w:hAnsi="Times New Roman" w:eastAsia="方正楷体_GBK" w:cs="Times New Roman"/>
          <w:b/>
          <w:color w:val="auto"/>
          <w:spacing w:val="0"/>
          <w:kern w:val="36"/>
          <w:sz w:val="30"/>
          <w:szCs w:val="30"/>
          <w:lang w:val="en-US" w:eastAsia="zh-CN"/>
        </w:rPr>
        <w:t>22</w:t>
      </w:r>
      <w:r>
        <w:rPr>
          <w:rFonts w:hint="default" w:ascii="Times New Roman" w:hAnsi="Times New Roman" w:eastAsia="方正楷体_GBK" w:cs="Times New Roman"/>
          <w:b/>
          <w:color w:val="auto"/>
          <w:spacing w:val="0"/>
          <w:kern w:val="36"/>
          <w:sz w:val="30"/>
          <w:szCs w:val="30"/>
          <w:lang w:val="en-US" w:eastAsia="zh-CN"/>
        </w:rPr>
        <w:t>日（周</w:t>
      </w:r>
      <w:r>
        <w:rPr>
          <w:rFonts w:hint="eastAsia" w:ascii="Times New Roman" w:hAnsi="Times New Roman" w:eastAsia="方正楷体_GBK" w:cs="Times New Roman"/>
          <w:b/>
          <w:color w:val="auto"/>
          <w:spacing w:val="0"/>
          <w:kern w:val="36"/>
          <w:sz w:val="30"/>
          <w:szCs w:val="30"/>
          <w:lang w:val="en-US" w:eastAsia="zh-CN"/>
        </w:rPr>
        <w:t>三</w:t>
      </w:r>
      <w:r>
        <w:rPr>
          <w:rFonts w:hint="default" w:ascii="Times New Roman" w:hAnsi="Times New Roman" w:eastAsia="方正楷体_GBK" w:cs="Times New Roman"/>
          <w:b/>
          <w:color w:val="auto"/>
          <w:spacing w:val="0"/>
          <w:kern w:val="36"/>
          <w:sz w:val="30"/>
          <w:szCs w:val="30"/>
          <w:lang w:val="en-US" w:eastAsia="zh-CN"/>
        </w:rPr>
        <w:t>）欧元区经济终于开始“软启动”/</w:t>
      </w:r>
      <w:r>
        <w:rPr>
          <w:rFonts w:hint="eastAsia" w:ascii="Times New Roman" w:hAnsi="Times New Roman" w:eastAsia="方正楷体_GBK" w:cs="Times New Roman"/>
          <w:b/>
          <w:color w:val="auto"/>
          <w:spacing w:val="0"/>
          <w:kern w:val="36"/>
          <w:sz w:val="30"/>
          <w:szCs w:val="30"/>
          <w:lang w:val="en-US" w:eastAsia="zh-CN"/>
        </w:rPr>
        <w:t xml:space="preserve">06 </w:t>
      </w:r>
    </w:p>
    <w:p>
      <w:pPr>
        <w:keepNext w:val="0"/>
        <w:keepLines w:val="0"/>
        <w:pageBreakBefore w:val="0"/>
        <w:widowControl/>
        <w:numPr>
          <w:ilvl w:val="0"/>
          <w:numId w:val="0"/>
        </w:numPr>
        <w:shd w:val="clear" w:color="auto" w:fill="FFFFFF"/>
        <w:tabs>
          <w:tab w:val="left" w:pos="7915"/>
        </w:tabs>
        <w:kinsoku/>
        <w:wordWrap/>
        <w:overflowPunct/>
        <w:topLinePunct w:val="0"/>
        <w:autoSpaceDE/>
        <w:autoSpaceDN/>
        <w:bidi w:val="0"/>
        <w:adjustRightInd/>
        <w:snapToGrid/>
        <w:spacing w:after="210" w:line="240" w:lineRule="auto"/>
        <w:ind w:firstLine="568" w:firstLineChars="200"/>
        <w:contextualSpacing/>
        <w:textAlignment w:val="auto"/>
        <w:outlineLvl w:val="1"/>
        <w:rPr>
          <w:rFonts w:hint="default"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5</w:t>
      </w:r>
      <w:r>
        <w:rPr>
          <w:rFonts w:hint="default" w:ascii="Times New Roman" w:hAnsi="Times New Roman" w:eastAsia="方正楷体_GBK" w:cs="Times New Roman"/>
          <w:b/>
          <w:color w:val="auto"/>
          <w:spacing w:val="0"/>
          <w:kern w:val="36"/>
          <w:sz w:val="30"/>
          <w:szCs w:val="30"/>
          <w:lang w:val="en-US" w:eastAsia="zh-CN"/>
        </w:rPr>
        <w:t>月</w:t>
      </w:r>
      <w:r>
        <w:rPr>
          <w:rFonts w:hint="eastAsia" w:ascii="Times New Roman" w:hAnsi="Times New Roman" w:eastAsia="方正楷体_GBK" w:cs="Times New Roman"/>
          <w:b/>
          <w:color w:val="auto"/>
          <w:spacing w:val="0"/>
          <w:kern w:val="36"/>
          <w:sz w:val="30"/>
          <w:szCs w:val="30"/>
          <w:lang w:val="en-US" w:eastAsia="zh-CN"/>
        </w:rPr>
        <w:t>23日（周四）</w:t>
      </w:r>
      <w:r>
        <w:rPr>
          <w:rFonts w:hint="default" w:ascii="Times New Roman" w:hAnsi="Times New Roman" w:eastAsia="方正楷体_GBK" w:cs="Times New Roman"/>
          <w:b/>
          <w:color w:val="auto"/>
          <w:spacing w:val="0"/>
          <w:kern w:val="36"/>
          <w:sz w:val="30"/>
          <w:szCs w:val="30"/>
          <w:lang w:val="en-US" w:eastAsia="zh-CN"/>
        </w:rPr>
        <w:t>美联储会议纪要放鹰、英伟达交完美答卷、</w:t>
      </w:r>
    </w:p>
    <w:p>
      <w:pPr>
        <w:keepNext w:val="0"/>
        <w:keepLines w:val="0"/>
        <w:pageBreakBefore w:val="0"/>
        <w:widowControl/>
        <w:numPr>
          <w:ilvl w:val="0"/>
          <w:numId w:val="0"/>
        </w:numPr>
        <w:shd w:val="clear" w:color="auto" w:fill="FFFFFF"/>
        <w:tabs>
          <w:tab w:val="left" w:pos="7915"/>
        </w:tabs>
        <w:kinsoku/>
        <w:wordWrap/>
        <w:overflowPunct/>
        <w:topLinePunct w:val="0"/>
        <w:autoSpaceDE/>
        <w:autoSpaceDN/>
        <w:bidi w:val="0"/>
        <w:adjustRightInd/>
        <w:snapToGrid/>
        <w:spacing w:after="210" w:line="240" w:lineRule="auto"/>
        <w:ind w:firstLine="2840" w:firstLineChars="1000"/>
        <w:contextualSpacing/>
        <w:textAlignment w:val="auto"/>
        <w:outlineLvl w:val="1"/>
        <w:rPr>
          <w:rFonts w:hint="default" w:ascii="Times New Roman" w:hAnsi="Times New Roman" w:eastAsia="方正楷体_GBK" w:cs="Times New Roman"/>
          <w:b/>
          <w:color w:val="auto"/>
          <w:spacing w:val="0"/>
          <w:kern w:val="36"/>
          <w:sz w:val="30"/>
          <w:szCs w:val="30"/>
          <w:lang w:val="en-US" w:eastAsia="zh-CN"/>
        </w:rPr>
      </w:pPr>
      <w:r>
        <w:rPr>
          <w:rFonts w:hint="default" w:ascii="Times New Roman" w:hAnsi="Times New Roman" w:eastAsia="方正楷体_GBK" w:cs="Times New Roman"/>
          <w:b/>
          <w:color w:val="auto"/>
          <w:spacing w:val="0"/>
          <w:kern w:val="36"/>
          <w:sz w:val="30"/>
          <w:szCs w:val="30"/>
          <w:lang w:val="en-US" w:eastAsia="zh-CN"/>
        </w:rPr>
        <w:t>不同行业各有喜忧/</w:t>
      </w:r>
      <w:r>
        <w:rPr>
          <w:rFonts w:hint="eastAsia" w:ascii="Times New Roman" w:hAnsi="Times New Roman" w:eastAsia="方正楷体_GBK" w:cs="Times New Roman"/>
          <w:b/>
          <w:color w:val="auto"/>
          <w:spacing w:val="0"/>
          <w:kern w:val="36"/>
          <w:sz w:val="30"/>
          <w:szCs w:val="30"/>
          <w:lang w:val="en-US" w:eastAsia="zh-CN"/>
        </w:rPr>
        <w:t xml:space="preserve">07 </w:t>
      </w:r>
    </w:p>
    <w:p>
      <w:pPr>
        <w:keepNext w:val="0"/>
        <w:keepLines w:val="0"/>
        <w:pageBreakBefore w:val="0"/>
        <w:widowControl/>
        <w:numPr>
          <w:ilvl w:val="0"/>
          <w:numId w:val="0"/>
        </w:numPr>
        <w:shd w:val="clear" w:color="auto" w:fill="FFFFFF"/>
        <w:tabs>
          <w:tab w:val="left" w:pos="7915"/>
        </w:tabs>
        <w:kinsoku/>
        <w:wordWrap/>
        <w:overflowPunct/>
        <w:topLinePunct w:val="0"/>
        <w:autoSpaceDE/>
        <w:autoSpaceDN/>
        <w:bidi w:val="0"/>
        <w:adjustRightInd/>
        <w:snapToGrid/>
        <w:spacing w:after="210" w:line="240" w:lineRule="auto"/>
        <w:ind w:left="2822" w:leftChars="284" w:hanging="2272" w:hangingChars="800"/>
        <w:contextualSpacing/>
        <w:jc w:val="left"/>
        <w:textAlignment w:val="auto"/>
        <w:outlineLvl w:val="1"/>
        <w:rPr>
          <w:rFonts w:hint="default" w:ascii="Times New Roman" w:hAnsi="Times New Roman" w:eastAsia="方正楷体_GBK" w:cs="Times New Roman"/>
          <w:b/>
          <w:color w:val="auto"/>
          <w:spacing w:val="-28"/>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5</w:t>
      </w:r>
      <w:r>
        <w:rPr>
          <w:rFonts w:hint="default" w:ascii="Times New Roman" w:hAnsi="Times New Roman" w:eastAsia="方正楷体_GBK" w:cs="Times New Roman"/>
          <w:b/>
          <w:color w:val="auto"/>
          <w:spacing w:val="0"/>
          <w:kern w:val="36"/>
          <w:sz w:val="30"/>
          <w:szCs w:val="30"/>
          <w:lang w:val="en-US" w:eastAsia="zh-CN"/>
        </w:rPr>
        <w:t>月</w:t>
      </w:r>
      <w:r>
        <w:rPr>
          <w:rFonts w:hint="eastAsia" w:ascii="Times New Roman" w:hAnsi="Times New Roman" w:eastAsia="方正楷体_GBK" w:cs="Times New Roman"/>
          <w:b/>
          <w:color w:val="auto"/>
          <w:spacing w:val="0"/>
          <w:kern w:val="36"/>
          <w:sz w:val="30"/>
          <w:szCs w:val="30"/>
          <w:lang w:val="en-US" w:eastAsia="zh-CN"/>
        </w:rPr>
        <w:t>24日（周五）</w:t>
      </w:r>
      <w:r>
        <w:rPr>
          <w:rFonts w:hint="default" w:ascii="Times New Roman" w:hAnsi="Times New Roman" w:eastAsia="方正楷体_GBK" w:cs="Times New Roman"/>
          <w:b/>
          <w:color w:val="auto"/>
          <w:spacing w:val="0"/>
          <w:kern w:val="36"/>
          <w:sz w:val="30"/>
          <w:szCs w:val="30"/>
          <w:lang w:val="en-US" w:eastAsia="zh-CN"/>
        </w:rPr>
        <w:t>美国就业仍火热，降息预期再推迟，股债市场现波动/</w:t>
      </w:r>
      <w:r>
        <w:rPr>
          <w:rFonts w:hint="eastAsia" w:ascii="Times New Roman" w:hAnsi="Times New Roman" w:eastAsia="方正楷体_GBK" w:cs="Times New Roman"/>
          <w:b/>
          <w:color w:val="auto"/>
          <w:spacing w:val="0"/>
          <w:kern w:val="36"/>
          <w:sz w:val="30"/>
          <w:szCs w:val="30"/>
          <w:lang w:val="en-US" w:eastAsia="zh-CN"/>
        </w:rPr>
        <w:t xml:space="preserve"> 09</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方正黑体_GBK" w:cs="Times New Roman"/>
          <w:b/>
          <w:color w:val="FFC000"/>
          <w:kern w:val="36"/>
          <w:sz w:val="28"/>
          <w:szCs w:val="28"/>
          <w:lang w:val="en-US" w:eastAsia="zh-CN"/>
        </w:rPr>
      </w:pPr>
      <w:r>
        <w:rPr>
          <w:rFonts w:hint="default" w:ascii="Times New Roman" w:hAnsi="Times New Roman" w:eastAsia="方正黑体_GBK"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江苏贸促动态</w:t>
      </w:r>
      <w:r>
        <w:rPr>
          <w:rFonts w:hint="default" w:ascii="Times New Roman" w:hAnsi="Times New Roman" w:eastAsia="方正黑体_GBK"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default" w:ascii="Times New Roman" w:hAnsi="Times New Roman" w:eastAsia="方正黑体_GBK" w:cs="Times New Roman"/>
          <w:b/>
          <w:color w:val="00B0F0"/>
          <w:kern w:val="36"/>
          <w:sz w:val="28"/>
          <w:szCs w:val="28"/>
          <w:lang w:val="en-US" w:eastAsia="zh-CN"/>
        </w:rPr>
        <w:t xml:space="preserve"> </w:t>
      </w:r>
      <w:r>
        <w:rPr>
          <w:rFonts w:hint="default" w:ascii="Times New Roman" w:hAnsi="Times New Roman" w:eastAsia="宋体" w:cs="Times New Roman"/>
          <w:b/>
          <w:color w:val="FF0000"/>
          <w:kern w:val="36"/>
          <w:sz w:val="24"/>
          <w:szCs w:val="24"/>
          <w:lang w:val="en-US" w:eastAsia="zh-CN"/>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68" w:firstLineChars="200"/>
        <w:contextualSpacing/>
        <w:textAlignment w:val="auto"/>
        <w:outlineLvl w:val="1"/>
        <w:rPr>
          <w:rFonts w:hint="default" w:ascii="Times New Roman" w:hAnsi="Times New Roman" w:eastAsia="方正楷体_GBK" w:cs="Times New Roman"/>
          <w:b/>
          <w:color w:val="auto"/>
          <w:spacing w:val="0"/>
          <w:kern w:val="36"/>
          <w:sz w:val="30"/>
          <w:szCs w:val="30"/>
          <w:lang w:val="en-US" w:eastAsia="zh-CN"/>
        </w:rPr>
      </w:pPr>
      <w:r>
        <w:rPr>
          <w:rFonts w:hint="default" w:ascii="Times New Roman" w:hAnsi="Times New Roman" w:eastAsia="方正楷体_GBK" w:cs="Times New Roman"/>
          <w:b/>
          <w:color w:val="auto"/>
          <w:spacing w:val="0"/>
          <w:kern w:val="36"/>
          <w:sz w:val="30"/>
          <w:szCs w:val="30"/>
          <w:lang w:val="en-US" w:eastAsia="zh-CN"/>
        </w:rPr>
        <w:t>江苏省国际商会召开三届三次理事会及理事沙龙活动/</w:t>
      </w:r>
      <w:r>
        <w:rPr>
          <w:rFonts w:hint="eastAsia" w:ascii="Times New Roman" w:hAnsi="Times New Roman" w:eastAsia="方正楷体_GBK" w:cs="Times New Roman"/>
          <w:b/>
          <w:color w:val="auto"/>
          <w:spacing w:val="0"/>
          <w:kern w:val="36"/>
          <w:sz w:val="30"/>
          <w:szCs w:val="30"/>
          <w:lang w:val="en-US" w:eastAsia="zh-CN"/>
        </w:rPr>
        <w:t>11</w:t>
      </w:r>
      <w:r>
        <w:rPr>
          <w:rFonts w:hint="default" w:ascii="Times New Roman" w:hAnsi="Times New Roman" w:eastAsia="方正楷体_GBK" w:cs="Times New Roman"/>
          <w:b/>
          <w:color w:val="auto"/>
          <w:spacing w:val="0"/>
          <w:kern w:val="36"/>
          <w:sz w:val="30"/>
          <w:szCs w:val="30"/>
          <w:lang w:val="en-US" w:eastAsia="zh-CN"/>
        </w:rPr>
        <w:t xml:space="preserve"> </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68" w:firstLineChars="200"/>
        <w:contextualSpacing/>
        <w:textAlignment w:val="auto"/>
        <w:outlineLvl w:val="1"/>
        <w:rPr>
          <w:rFonts w:hint="default" w:ascii="Times New Roman" w:hAnsi="Times New Roman" w:eastAsia="方正楷体_GBK" w:cs="Times New Roman"/>
          <w:b/>
          <w:color w:val="auto"/>
          <w:spacing w:val="0"/>
          <w:kern w:val="36"/>
          <w:sz w:val="30"/>
          <w:szCs w:val="30"/>
          <w:lang w:val="en-US" w:eastAsia="zh-CN"/>
        </w:rPr>
      </w:pPr>
      <w:r>
        <w:rPr>
          <w:rFonts w:hint="default" w:ascii="Times New Roman" w:hAnsi="Times New Roman" w:eastAsia="方正楷体_GBK" w:cs="Times New Roman"/>
          <w:b/>
          <w:color w:val="auto"/>
          <w:spacing w:val="0"/>
          <w:kern w:val="36"/>
          <w:sz w:val="30"/>
          <w:szCs w:val="30"/>
          <w:lang w:val="en-US" w:eastAsia="zh-CN"/>
        </w:rPr>
        <w:t>省贸促会领导会见印度尼西亚江苏商会会长郭节宏</w:t>
      </w:r>
      <w:r>
        <w:rPr>
          <w:rFonts w:hint="eastAsia" w:ascii="Times New Roman" w:hAnsi="Times New Roman" w:eastAsia="方正楷体_GBK" w:cs="Times New Roman"/>
          <w:b/>
          <w:color w:val="auto"/>
          <w:spacing w:val="0"/>
          <w:kern w:val="36"/>
          <w:sz w:val="30"/>
          <w:szCs w:val="30"/>
          <w:lang w:val="en-US" w:eastAsia="zh-CN"/>
        </w:rPr>
        <w:t>/12</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68" w:firstLineChars="200"/>
        <w:contextualSpacing/>
        <w:textAlignment w:val="auto"/>
        <w:outlineLvl w:val="1"/>
        <w:rPr>
          <w:rFonts w:hint="default" w:ascii="Times New Roman" w:hAnsi="Times New Roman" w:eastAsia="方正楷体_GBK" w:cs="Times New Roman"/>
          <w:b/>
          <w:color w:val="auto"/>
          <w:spacing w:val="0"/>
          <w:kern w:val="36"/>
          <w:sz w:val="30"/>
          <w:szCs w:val="30"/>
          <w:lang w:val="en-US" w:eastAsia="zh-CN"/>
        </w:rPr>
      </w:pPr>
      <w:r>
        <w:rPr>
          <w:rFonts w:hint="default" w:ascii="Times New Roman" w:hAnsi="Times New Roman" w:eastAsia="方正楷体_GBK" w:cs="Times New Roman"/>
          <w:b/>
          <w:color w:val="auto"/>
          <w:spacing w:val="0"/>
          <w:kern w:val="36"/>
          <w:sz w:val="30"/>
          <w:szCs w:val="30"/>
          <w:lang w:val="en-US" w:eastAsia="zh-CN"/>
        </w:rPr>
        <w:t>马来西亚国库控股公司一行访问无锡市 并举办经贸交流会/</w:t>
      </w:r>
      <w:r>
        <w:rPr>
          <w:rFonts w:hint="eastAsia" w:ascii="Times New Roman" w:hAnsi="Times New Roman" w:eastAsia="方正楷体_GBK" w:cs="Times New Roman"/>
          <w:b/>
          <w:color w:val="auto"/>
          <w:spacing w:val="0"/>
          <w:kern w:val="36"/>
          <w:sz w:val="30"/>
          <w:szCs w:val="30"/>
          <w:lang w:val="en-US" w:eastAsia="zh-CN"/>
        </w:rPr>
        <w:t>13</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imes New Roman" w:hAnsi="Times New Roman" w:eastAsia="方正黑体_GBK" w:cs="Times New Roman"/>
          <w:b/>
          <w:color w:val="FFC000"/>
          <w:kern w:val="36"/>
          <w:sz w:val="32"/>
          <w:szCs w:val="32"/>
          <w:lang w:val="en-US" w:eastAsia="zh-CN"/>
        </w:rPr>
      </w:pP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 xml:space="preserve">• 会员企业风采 • </w:t>
      </w:r>
      <w:r>
        <w:rPr>
          <w:rFonts w:hint="default" w:ascii="Times New Roman" w:hAnsi="Times New Roman" w:eastAsia="宋体" w:cs="Times New Roman"/>
          <w:b/>
          <w:color w:val="FF0000"/>
          <w:kern w:val="36"/>
          <w:sz w:val="32"/>
          <w:szCs w:val="32"/>
          <w:lang w:val="en-US" w:eastAsia="zh-CN"/>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68" w:firstLineChars="200"/>
        <w:contextualSpacing/>
        <w:textAlignment w:val="auto"/>
        <w:outlineLvl w:val="1"/>
        <w:rPr>
          <w:rFonts w:hint="default" w:ascii="Times New Roman" w:hAnsi="Times New Roman" w:eastAsia="方正楷体_GBK" w:cs="Times New Roman"/>
          <w:b/>
          <w:color w:val="auto"/>
          <w:kern w:val="36"/>
          <w:sz w:val="30"/>
          <w:szCs w:val="30"/>
          <w:lang w:val="en-US" w:eastAsia="zh-CN"/>
        </w:rPr>
      </w:pPr>
      <w:r>
        <w:rPr>
          <w:rFonts w:hint="default" w:ascii="Times New Roman" w:hAnsi="Times New Roman" w:eastAsia="方正楷体_GBK" w:cs="Times New Roman"/>
          <w:b/>
          <w:color w:val="auto"/>
          <w:kern w:val="36"/>
          <w:sz w:val="30"/>
          <w:szCs w:val="30"/>
          <w:lang w:val="en-US" w:eastAsia="zh-CN"/>
        </w:rPr>
        <w:t>南钢股份纳入MSCI中国指数/</w:t>
      </w:r>
      <w:r>
        <w:rPr>
          <w:rFonts w:hint="eastAsia" w:ascii="Times New Roman" w:hAnsi="Times New Roman" w:eastAsia="方正楷体_GBK" w:cs="Times New Roman"/>
          <w:b/>
          <w:color w:val="auto"/>
          <w:kern w:val="36"/>
          <w:sz w:val="30"/>
          <w:szCs w:val="30"/>
          <w:lang w:val="en-US" w:eastAsia="zh-CN"/>
        </w:rPr>
        <w:t xml:space="preserve">15 </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44" w:firstLineChars="200"/>
        <w:contextualSpacing/>
        <w:textAlignment w:val="auto"/>
        <w:outlineLvl w:val="1"/>
        <w:rPr>
          <w:rFonts w:hint="default" w:ascii="Times New Roman" w:hAnsi="Times New Roman" w:eastAsia="方正楷体_GBK" w:cs="Times New Roman"/>
          <w:b/>
          <w:color w:val="auto"/>
          <w:kern w:val="36"/>
          <w:sz w:val="30"/>
          <w:szCs w:val="30"/>
          <w:lang w:val="en-US" w:eastAsia="zh-CN"/>
        </w:rPr>
      </w:pPr>
      <w:r>
        <w:rPr>
          <w:rFonts w:hint="default" w:ascii="Times New Roman" w:hAnsi="Times New Roman" w:eastAsia="方正楷体_GBK" w:cs="Times New Roman"/>
          <w:b/>
          <w:color w:val="auto"/>
          <w:spacing w:val="-6"/>
          <w:kern w:val="36"/>
          <w:sz w:val="30"/>
          <w:szCs w:val="30"/>
          <w:lang w:val="en-US" w:eastAsia="zh-CN"/>
        </w:rPr>
        <w:t>擎天科技荣获2023年度江苏省数字经济学会“科学技术创新奖”</w:t>
      </w:r>
      <w:r>
        <w:rPr>
          <w:rFonts w:hint="default" w:ascii="Times New Roman" w:hAnsi="Times New Roman" w:eastAsia="方正楷体_GBK" w:cs="Times New Roman"/>
          <w:b/>
          <w:color w:val="auto"/>
          <w:spacing w:val="-28"/>
          <w:kern w:val="36"/>
          <w:sz w:val="30"/>
          <w:szCs w:val="30"/>
          <w:lang w:val="en-US" w:eastAsia="zh-CN"/>
        </w:rPr>
        <w:t xml:space="preserve"> </w:t>
      </w:r>
      <w:r>
        <w:rPr>
          <w:rFonts w:hint="default" w:ascii="Times New Roman" w:hAnsi="Times New Roman" w:eastAsia="方正楷体_GBK" w:cs="Times New Roman"/>
          <w:b/>
          <w:color w:val="auto"/>
          <w:kern w:val="36"/>
          <w:sz w:val="30"/>
          <w:szCs w:val="30"/>
          <w:lang w:val="en-US" w:eastAsia="zh-CN"/>
        </w:rPr>
        <w:t>/</w:t>
      </w:r>
      <w:r>
        <w:rPr>
          <w:rFonts w:hint="eastAsia" w:ascii="Times New Roman" w:hAnsi="Times New Roman" w:eastAsia="方正楷体_GBK" w:cs="Times New Roman"/>
          <w:b/>
          <w:color w:val="auto"/>
          <w:kern w:val="36"/>
          <w:sz w:val="30"/>
          <w:szCs w:val="30"/>
          <w:lang w:val="en-US" w:eastAsia="zh-CN"/>
        </w:rPr>
        <w:t>16</w:t>
      </w:r>
      <w:r>
        <w:rPr>
          <w:rFonts w:hint="default" w:ascii="Times New Roman" w:hAnsi="Times New Roman" w:eastAsia="方正楷体_GBK" w:cs="Times New Roman"/>
          <w:b/>
          <w:color w:val="auto"/>
          <w:kern w:val="36"/>
          <w:sz w:val="30"/>
          <w:szCs w:val="30"/>
          <w:lang w:val="en-US" w:eastAsia="zh-CN"/>
        </w:rPr>
        <w:t xml:space="preserve"> </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68" w:firstLineChars="200"/>
        <w:contextualSpacing/>
        <w:textAlignment w:val="auto"/>
        <w:outlineLvl w:val="1"/>
        <w:rPr>
          <w:rFonts w:hint="default"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sectPr>
          <w:footerReference r:id="rId3" w:type="default"/>
          <w:pgSz w:w="11906" w:h="16838"/>
          <w:pgMar w:top="2098" w:right="1474" w:bottom="1984" w:left="1587" w:header="1417" w:footer="992" w:gutter="0"/>
          <w:pgBorders>
            <w:top w:val="single" w:color="F82206" w:sz="48" w:space="1"/>
            <w:left w:val="single" w:color="F82206" w:sz="48" w:space="4"/>
            <w:bottom w:val="single" w:color="F82206" w:sz="48" w:space="1"/>
            <w:right w:val="single" w:color="F82206" w:sz="48" w:space="4"/>
          </w:pgBorders>
          <w:pgNumType w:fmt="decimal" w:start="1"/>
          <w:cols w:space="425" w:num="1"/>
          <w:docGrid w:type="linesAndChars" w:linePitch="290" w:charSpace="-3420"/>
        </w:sectPr>
      </w:pPr>
      <w:r>
        <w:rPr>
          <w:rFonts w:hint="default" w:ascii="Times New Roman" w:hAnsi="Times New Roman" w:eastAsia="方正楷体_GBK" w:cs="Times New Roman"/>
          <w:b/>
          <w:color w:val="auto"/>
          <w:kern w:val="36"/>
          <w:sz w:val="30"/>
          <w:szCs w:val="30"/>
          <w:lang w:val="en-US" w:eastAsia="zh-CN"/>
        </w:rPr>
        <w:t>上上电缆服务“国和一号”示范工程获表扬/</w:t>
      </w:r>
      <w:r>
        <w:rPr>
          <w:rFonts w:hint="eastAsia" w:ascii="Times New Roman" w:hAnsi="Times New Roman" w:eastAsia="方正楷体_GBK" w:cs="Times New Roman"/>
          <w:b/>
          <w:color w:val="auto"/>
          <w:kern w:val="36"/>
          <w:sz w:val="30"/>
          <w:szCs w:val="30"/>
          <w:lang w:val="en-US" w:eastAsia="zh-CN"/>
        </w:rPr>
        <w:t>17</w:t>
      </w:r>
      <w:bookmarkStart w:id="0" w:name="_GoBack"/>
      <w:bookmarkEnd w:id="0"/>
      <w:r>
        <w:rPr>
          <w:rFonts w:hint="default" w:ascii="Times New Roman" w:hAnsi="Times New Roman" w:eastAsia="方正楷体_GBK" w:cs="Times New Roman"/>
          <w:b/>
          <w:color w:val="auto"/>
          <w:kern w:val="36"/>
          <w:sz w:val="30"/>
          <w:szCs w:val="30"/>
          <w:lang w:val="en-US" w:eastAsia="zh-CN"/>
        </w:rPr>
        <w:t xml:space="preserve"> </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pPr>
      <w:r>
        <w:rPr>
          <w:rFonts w:hint="default"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t>全球市场资讯</w:t>
      </w:r>
    </w:p>
    <w:p>
      <w:pPr>
        <w:rPr>
          <w:rFonts w:hint="eastAsia"/>
          <w:b/>
          <w:bCs/>
          <w:color w:val="0000FF"/>
          <w:highlight w:val="yellow"/>
          <w:lang w:val="en-US" w:eastAsia="zh-CN"/>
        </w:rPr>
      </w:pPr>
      <w:r>
        <w:rPr>
          <w:rFonts w:hint="eastAsia" w:ascii="方正小标宋_GBK" w:hAnsi="方正小标宋_GBK" w:eastAsia="方正小标宋_GBK" w:cs="方正小标宋_GBK"/>
          <w:b/>
          <w:bCs/>
          <w:color w:val="0000FF"/>
          <w:sz w:val="32"/>
          <w:szCs w:val="32"/>
          <w:highlight w:val="yellow"/>
          <w:lang w:val="en-US" w:eastAsia="zh-CN"/>
        </w:rPr>
        <w:t>5月18日（周六）</w:t>
      </w:r>
    </w:p>
    <w:p>
      <w:pPr>
        <w:jc w:val="left"/>
        <w:rPr>
          <w:rFonts w:hint="default"/>
          <w:b/>
          <w:bCs/>
          <w:color w:val="0000FF"/>
          <w:highlight w:val="yellow"/>
          <w:lang w:val="en-US" w:eastAsia="zh-CN"/>
        </w:rPr>
      </w:pPr>
      <w:r>
        <w:rPr>
          <w:rFonts w:hint="eastAsia" w:ascii="方正小标宋_GBK" w:hAnsi="方正小标宋_GBK" w:eastAsia="方正小标宋_GBK" w:cs="方正小标宋_GBK"/>
          <w:b/>
          <w:bCs/>
          <w:color w:val="0000FF"/>
          <w:sz w:val="36"/>
          <w:szCs w:val="36"/>
          <w:highlight w:val="yellow"/>
          <w:lang w:val="en-US" w:eastAsia="zh-CN"/>
        </w:rPr>
        <w:t>欧元区有望降息，美股市再创新高</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val="en-US" w:eastAsia="zh-CN"/>
        </w:rPr>
      </w:pPr>
      <w:r>
        <w:rPr>
          <w:rFonts w:hint="eastAsia"/>
          <w:sz w:val="32"/>
          <w:szCs w:val="32"/>
          <w:lang w:val="en-US" w:eastAsia="zh-CN"/>
        </w:rPr>
        <w:t>上</w:t>
      </w:r>
      <w:r>
        <w:rPr>
          <w:rFonts w:hint="eastAsia" w:asciiTheme="minorEastAsia" w:hAnsiTheme="minorEastAsia" w:eastAsiaTheme="minorEastAsia" w:cstheme="minorEastAsia"/>
          <w:sz w:val="32"/>
          <w:szCs w:val="32"/>
          <w:lang w:val="en-US" w:eastAsia="zh-CN"/>
        </w:rPr>
        <w:t>周，欧盟统计区陆续公布了欧元区4月的CPI终值（见表格），数据显示欧元区的通胀已经得到显著缓解，市场对欧洲央行6月降息的预期强烈。</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default"/>
          <w:lang w:val="en-US" w:eastAsia="zh-CN"/>
        </w:rPr>
      </w:pPr>
      <w:r>
        <w:rPr>
          <w:rFonts w:hint="eastAsia" w:asciiTheme="minorEastAsia" w:hAnsiTheme="minorEastAsia" w:eastAsiaTheme="minorEastAsia" w:cstheme="minorEastAsia"/>
          <w:sz w:val="32"/>
          <w:szCs w:val="32"/>
          <w:lang w:val="en-US" w:eastAsia="zh-CN"/>
        </w:rPr>
        <w:t>目前，欧元区的基准利率为4.50%，欧洲央行最近一次议息会议是于4月11日召开的，会议决定维持欧元区现行利率不变，这也是其连续第五次会议，决定将利率维持在历史高位。</w:t>
      </w:r>
    </w:p>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drawing>
          <wp:anchor distT="0" distB="0" distL="114300" distR="114300" simplePos="0" relativeHeight="251658240" behindDoc="0" locked="0" layoutInCell="1" allowOverlap="1">
            <wp:simplePos x="0" y="0"/>
            <wp:positionH relativeFrom="column">
              <wp:posOffset>29845</wp:posOffset>
            </wp:positionH>
            <wp:positionV relativeFrom="paragraph">
              <wp:posOffset>23495</wp:posOffset>
            </wp:positionV>
            <wp:extent cx="5212715" cy="1375410"/>
            <wp:effectExtent l="0" t="0" r="6985" b="15240"/>
            <wp:wrapTopAndBottom/>
            <wp:docPr id="4" name="图片 4" descr="图片1-5月18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5月18日"/>
                    <pic:cNvPicPr>
                      <a:picLocks noChangeAspect="1"/>
                    </pic:cNvPicPr>
                  </pic:nvPicPr>
                  <pic:blipFill>
                    <a:blip r:embed="rId6"/>
                    <a:stretch>
                      <a:fillRect/>
                    </a:stretch>
                  </pic:blipFill>
                  <pic:spPr>
                    <a:xfrm>
                      <a:off x="0" y="0"/>
                      <a:ext cx="5212715" cy="1375410"/>
                    </a:xfrm>
                    <a:prstGeom prst="rect">
                      <a:avLst/>
                    </a:prstGeom>
                  </pic:spPr>
                </pic:pic>
              </a:graphicData>
            </a:graphic>
          </wp:anchor>
        </w:drawing>
      </w:r>
      <w:r>
        <w:rPr>
          <w:rFonts w:hint="eastAsia" w:asciiTheme="minorEastAsia" w:hAnsi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lang w:val="en-US" w:eastAsia="zh-CN"/>
        </w:rPr>
        <w:t>同在上周，欧盟统计局还公布了欧元区一季度GDP的同比和环比初值，从后者的数值看，欧元区经济在一季度开始增长，但幅度有限，仍需等待终值确认。</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另，5月17日（周五），道琼斯工业指数收盘站上了4万点大关，创下历史新高（见图）。目前，道指12个月预期市盈率为18.4倍，仍低于标普500指数和纳斯达克指数。上周，标普和纳指也都创出历史新高。</w:t>
      </w:r>
    </w:p>
    <w:p>
      <w:pPr>
        <w:keepNext w:val="0"/>
        <w:keepLines w:val="0"/>
        <w:pageBreakBefore w:val="0"/>
        <w:widowControl w:val="0"/>
        <w:kinsoku/>
        <w:wordWrap/>
        <w:overflowPunct/>
        <w:topLinePunct w:val="0"/>
        <w:autoSpaceDE/>
        <w:autoSpaceDN/>
        <w:bidi w:val="0"/>
        <w:adjustRightInd/>
        <w:snapToGrid/>
        <w:spacing w:line="300" w:lineRule="exact"/>
        <w:ind w:firstLine="448" w:firstLineChars="200"/>
        <w:textAlignment w:val="auto"/>
        <w:outlineLvl w:val="9"/>
        <w:rPr>
          <w:rFonts w:hint="eastAsia" w:ascii="方正楷体_GBK" w:hAnsi="方正楷体_GBK" w:eastAsia="方正楷体_GBK" w:cs="方正楷体_GBK"/>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ind w:firstLine="448" w:firstLineChars="200"/>
        <w:textAlignment w:val="auto"/>
        <w:outlineLvl w:val="9"/>
        <w:rPr>
          <w:rFonts w:hint="eastAsia" w:ascii="方正楷体_GBK" w:hAnsi="方正楷体_GBK" w:eastAsia="方正楷体_GBK" w:cs="方正楷体_GBK"/>
          <w:sz w:val="24"/>
          <w:szCs w:val="24"/>
          <w:lang w:val="en-US" w:eastAsia="zh-CN"/>
        </w:rPr>
      </w:pPr>
      <w:r>
        <w:rPr>
          <w:rFonts w:hint="eastAsia" w:ascii="方正楷体_GBK" w:hAnsi="方正楷体_GBK" w:eastAsia="方正楷体_GBK" w:cs="方正楷体_GBK"/>
          <w:sz w:val="24"/>
          <w:szCs w:val="24"/>
          <w:lang w:val="en-US" w:eastAsia="zh-CN"/>
        </w:rPr>
        <w:t>（</w:t>
      </w:r>
      <w:r>
        <w:rPr>
          <w:rFonts w:hint="eastAsia" w:ascii="方正黑体_GBK" w:hAnsi="方正黑体_GBK" w:eastAsia="方正黑体_GBK" w:cs="方正黑体_GBK"/>
          <w:sz w:val="24"/>
          <w:szCs w:val="24"/>
          <w:lang w:val="en-US" w:eastAsia="zh-CN"/>
        </w:rPr>
        <w:t>注：</w:t>
      </w:r>
      <w:r>
        <w:rPr>
          <w:rFonts w:hint="eastAsia" w:ascii="方正楷体_GBK" w:hAnsi="方正楷体_GBK" w:eastAsia="方正楷体_GBK" w:cs="方正楷体_GBK"/>
          <w:b/>
          <w:bCs/>
          <w:sz w:val="24"/>
          <w:szCs w:val="24"/>
          <w:lang w:val="en-US" w:eastAsia="zh-CN"/>
        </w:rPr>
        <w:t>市盈率</w:t>
      </w:r>
      <w:r>
        <w:rPr>
          <w:rFonts w:hint="eastAsia" w:ascii="方正楷体_GBK" w:hAnsi="方正楷体_GBK" w:eastAsia="方正楷体_GBK" w:cs="方正楷体_GBK"/>
          <w:sz w:val="24"/>
          <w:szCs w:val="24"/>
          <w:lang w:val="en-US" w:eastAsia="zh-CN"/>
        </w:rPr>
        <w:t>是衡量股票相对估值的指标之一。将公司股价除以其在过去12个月内的每股净利润得出。但这种方法只反映了过去的盈利情况，对于投资者来说，更重要的是预测未来的盈利能力，“</w:t>
      </w:r>
      <w:r>
        <w:rPr>
          <w:rFonts w:hint="eastAsia" w:ascii="方正楷体_GBK" w:hAnsi="方正楷体_GBK" w:eastAsia="方正楷体_GBK" w:cs="方正楷体_GBK"/>
          <w:b/>
          <w:bCs/>
          <w:sz w:val="24"/>
          <w:szCs w:val="24"/>
          <w:lang w:val="en-US" w:eastAsia="zh-CN"/>
        </w:rPr>
        <w:t>12个月预期市盈率</w:t>
      </w:r>
      <w:r>
        <w:rPr>
          <w:rFonts w:hint="eastAsia" w:ascii="方正楷体_GBK" w:hAnsi="方正楷体_GBK" w:eastAsia="方正楷体_GBK" w:cs="方正楷体_GBK"/>
          <w:sz w:val="24"/>
          <w:szCs w:val="24"/>
          <w:lang w:val="en-US" w:eastAsia="zh-CN"/>
        </w:rPr>
        <w:t>”即是除以未来12个月盈利的预期。道指12个月预期市盈率，则体现市场对道指成分股公司未来12个月盈利的预期。）</w:t>
      </w:r>
    </w:p>
    <w:p>
      <w:pPr>
        <w:keepNext w:val="0"/>
        <w:keepLines w:val="0"/>
        <w:pageBreakBefore w:val="0"/>
        <w:widowControl w:val="0"/>
        <w:kinsoku/>
        <w:wordWrap/>
        <w:overflowPunct/>
        <w:topLinePunct w:val="0"/>
        <w:autoSpaceDE/>
        <w:autoSpaceDN/>
        <w:bidi w:val="0"/>
        <w:adjustRightInd/>
        <w:snapToGrid/>
        <w:spacing w:line="300" w:lineRule="exact"/>
        <w:ind w:firstLine="388" w:firstLineChars="200"/>
        <w:textAlignment w:val="auto"/>
        <w:outlineLvl w:val="9"/>
        <w:rPr>
          <w:rFonts w:hint="eastAsia" w:ascii="方正楷体_GBK" w:hAnsi="方正楷体_GBK" w:eastAsia="方正楷体_GBK" w:cs="方正楷体_GBK"/>
          <w:sz w:val="24"/>
          <w:szCs w:val="24"/>
          <w:lang w:val="en-US" w:eastAsia="zh-CN"/>
        </w:rPr>
      </w:pPr>
      <w:r>
        <w:drawing>
          <wp:anchor distT="0" distB="0" distL="114300" distR="114300" simplePos="0" relativeHeight="251659264" behindDoc="0" locked="0" layoutInCell="1" allowOverlap="1">
            <wp:simplePos x="0" y="0"/>
            <wp:positionH relativeFrom="column">
              <wp:posOffset>576580</wp:posOffset>
            </wp:positionH>
            <wp:positionV relativeFrom="paragraph">
              <wp:posOffset>135890</wp:posOffset>
            </wp:positionV>
            <wp:extent cx="4422775" cy="2349500"/>
            <wp:effectExtent l="0" t="0" r="15875" b="12700"/>
            <wp:wrapTopAndBottom/>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7"/>
                    <a:stretch>
                      <a:fillRect/>
                    </a:stretch>
                  </pic:blipFill>
                  <pic:spPr>
                    <a:xfrm>
                      <a:off x="0" y="0"/>
                      <a:ext cx="4422775" cy="2349500"/>
                    </a:xfrm>
                    <a:prstGeom prst="rect">
                      <a:avLst/>
                    </a:prstGeom>
                    <a:noFill/>
                    <a:ln>
                      <a:noFill/>
                    </a:ln>
                  </pic:spPr>
                </pic:pic>
              </a:graphicData>
            </a:graphic>
          </wp:anchor>
        </w:drawing>
      </w:r>
      <w:r>
        <w:rPr>
          <w:rFonts w:hint="eastAsia" w:ascii="方正楷体_GBK" w:hAnsi="方正楷体_GBK" w:eastAsia="方正楷体_GBK" w:cs="方正楷体_GBK"/>
          <w:sz w:val="24"/>
          <w:szCs w:val="24"/>
          <w:lang w:val="en-US" w:eastAsia="zh-CN"/>
        </w:rPr>
        <w:t>（</w:t>
      </w:r>
      <w:r>
        <w:rPr>
          <w:rFonts w:hint="eastAsia" w:ascii="方正黑体_GBK" w:hAnsi="方正黑体_GBK" w:eastAsia="方正黑体_GBK" w:cs="方正黑体_GBK"/>
          <w:b/>
          <w:bCs/>
          <w:sz w:val="24"/>
          <w:szCs w:val="24"/>
          <w:lang w:val="en-US" w:eastAsia="zh-CN"/>
        </w:rPr>
        <w:t>注</w:t>
      </w:r>
      <w:r>
        <w:rPr>
          <w:rFonts w:hint="eastAsia" w:ascii="方正黑体_GBK" w:hAnsi="方正黑体_GBK" w:eastAsia="方正黑体_GBK" w:cs="方正黑体_GBK"/>
          <w:sz w:val="24"/>
          <w:szCs w:val="24"/>
          <w:lang w:val="en-US" w:eastAsia="zh-CN"/>
        </w:rPr>
        <w:t>：</w:t>
      </w:r>
      <w:r>
        <w:rPr>
          <w:rFonts w:hint="eastAsia" w:ascii="方正楷体_GBK" w:hAnsi="方正楷体_GBK" w:eastAsia="方正楷体_GBK" w:cs="方正楷体_GBK"/>
          <w:sz w:val="24"/>
          <w:szCs w:val="24"/>
          <w:lang w:val="en-US" w:eastAsia="zh-CN"/>
        </w:rPr>
        <w:t>道琼斯工业指数（Dow Jones Industrial Average）、标普500指数（S&amp;P 500 Index）和纳斯达克指数（NASDAQ Composite Index）是美国股市三大指数。</w:t>
      </w:r>
    </w:p>
    <w:p>
      <w:pPr>
        <w:keepNext w:val="0"/>
        <w:keepLines w:val="0"/>
        <w:pageBreakBefore w:val="0"/>
        <w:widowControl w:val="0"/>
        <w:kinsoku/>
        <w:wordWrap/>
        <w:overflowPunct/>
        <w:topLinePunct w:val="0"/>
        <w:autoSpaceDE/>
        <w:autoSpaceDN/>
        <w:bidi w:val="0"/>
        <w:adjustRightInd/>
        <w:snapToGrid/>
        <w:spacing w:line="300" w:lineRule="exact"/>
        <w:ind w:firstLine="448" w:firstLineChars="200"/>
        <w:textAlignment w:val="auto"/>
        <w:outlineLvl w:val="9"/>
        <w:rPr>
          <w:rFonts w:hint="eastAsia" w:ascii="Calibri" w:hAnsi="Calibri" w:eastAsia="仿宋_GB2312" w:cs="Calibri"/>
          <w:lang w:val="en-US" w:eastAsia="zh-CN"/>
        </w:rPr>
      </w:pPr>
      <w:r>
        <w:rPr>
          <w:rFonts w:hint="eastAsia" w:ascii="方正楷体_GBK" w:hAnsi="方正楷体_GBK" w:eastAsia="方正楷体_GBK" w:cs="方正楷体_GBK"/>
          <w:sz w:val="24"/>
          <w:szCs w:val="24"/>
          <w:lang w:val="en-US" w:eastAsia="zh-CN"/>
        </w:rPr>
        <w:t>道指是由30家美国大型工业公司组成的股票指数，旨在反映美国工业领域的整体表现。标普500由500家美国大型上市公司组成，覆盖了多个行业，包括工业、科技、金融、医疗等。纳指则是由纳斯达克交易所上市的所有股票组成的综合指数，主要涵盖科技和成长型公司。）</w:t>
      </w:r>
    </w:p>
    <w:p>
      <w:pPr>
        <w:rPr>
          <w:rFonts w:hint="default" w:ascii="Calibri" w:hAnsi="Calibri" w:eastAsia="仿宋_GB2312" w:cs="Calibri"/>
          <w:lang w:val="en-US" w:eastAsia="zh-CN"/>
        </w:rPr>
      </w:pPr>
    </w:p>
    <w:p>
      <w:pPr>
        <w:rPr>
          <w:rFonts w:hint="default" w:ascii="Calibri" w:hAnsi="Calibri" w:eastAsia="仿宋_GB2312" w:cs="Calibri"/>
          <w:lang w:val="en-US" w:eastAsia="zh-CN"/>
        </w:rPr>
      </w:pPr>
    </w:p>
    <w:p>
      <w:pPr>
        <w:rPr>
          <w:rFonts w:hint="eastAsia" w:ascii="方正小标宋_GBK" w:hAnsi="方正小标宋_GBK" w:eastAsia="方正小标宋_GBK" w:cs="方正小标宋_GBK"/>
          <w:b/>
          <w:bCs/>
          <w:color w:val="0000FF"/>
          <w:sz w:val="32"/>
          <w:szCs w:val="32"/>
          <w:highlight w:val="yellow"/>
          <w:lang w:val="en-US" w:eastAsia="zh-CN"/>
        </w:rPr>
      </w:pPr>
      <w:r>
        <w:rPr>
          <w:rFonts w:hint="eastAsia" w:ascii="方正小标宋_GBK" w:hAnsi="方正小标宋_GBK" w:eastAsia="方正小标宋_GBK" w:cs="方正小标宋_GBK"/>
          <w:b/>
          <w:bCs/>
          <w:color w:val="0000FF"/>
          <w:sz w:val="32"/>
          <w:szCs w:val="32"/>
          <w:highlight w:val="yellow"/>
          <w:lang w:val="en-US" w:eastAsia="zh-CN"/>
        </w:rPr>
        <w:t>5月19日（周日）</w:t>
      </w:r>
    </w:p>
    <w:p>
      <w:pPr>
        <w:rPr>
          <w:rFonts w:hint="default"/>
          <w:b/>
          <w:bCs/>
          <w:color w:val="0000FF"/>
          <w:highlight w:val="yellow"/>
          <w:lang w:val="en-US" w:eastAsia="zh-CN"/>
        </w:rPr>
      </w:pPr>
      <w:r>
        <w:rPr>
          <w:rFonts w:hint="eastAsia" w:ascii="方正小标宋_GBK" w:hAnsi="方正小标宋_GBK" w:eastAsia="方正小标宋_GBK" w:cs="方正小标宋_GBK"/>
          <w:b/>
          <w:bCs/>
          <w:color w:val="0000FF"/>
          <w:sz w:val="36"/>
          <w:szCs w:val="36"/>
          <w:highlight w:val="yellow"/>
          <w:lang w:val="en-US" w:eastAsia="zh-CN"/>
        </w:rPr>
        <w:t>一季度日本经济不振，上周阿富汗洪灾来袭</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drawing>
          <wp:anchor distT="0" distB="0" distL="114300" distR="114300" simplePos="0" relativeHeight="251660288" behindDoc="0" locked="0" layoutInCell="1" allowOverlap="1">
            <wp:simplePos x="0" y="0"/>
            <wp:positionH relativeFrom="column">
              <wp:posOffset>169545</wp:posOffset>
            </wp:positionH>
            <wp:positionV relativeFrom="paragraph">
              <wp:posOffset>825500</wp:posOffset>
            </wp:positionV>
            <wp:extent cx="5344160" cy="1209675"/>
            <wp:effectExtent l="0" t="0" r="8890" b="9525"/>
            <wp:wrapTopAndBottom/>
            <wp:docPr id="5" name="图片 5" descr="图片2-5月19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2-5月19日"/>
                    <pic:cNvPicPr>
                      <a:picLocks noChangeAspect="1"/>
                    </pic:cNvPicPr>
                  </pic:nvPicPr>
                  <pic:blipFill>
                    <a:blip r:embed="rId8"/>
                    <a:stretch>
                      <a:fillRect/>
                    </a:stretch>
                  </pic:blipFill>
                  <pic:spPr>
                    <a:xfrm>
                      <a:off x="0" y="0"/>
                      <a:ext cx="5344160" cy="1209675"/>
                    </a:xfrm>
                    <a:prstGeom prst="rect">
                      <a:avLst/>
                    </a:prstGeom>
                  </pic:spPr>
                </pic:pic>
              </a:graphicData>
            </a:graphic>
          </wp:anchor>
        </w:drawing>
      </w:r>
      <w:r>
        <w:rPr>
          <w:rFonts w:hint="eastAsia" w:asciiTheme="minorEastAsia" w:hAnsiTheme="minorEastAsia" w:eastAsiaTheme="minorEastAsia" w:cstheme="minorEastAsia"/>
          <w:sz w:val="32"/>
          <w:szCs w:val="32"/>
          <w:lang w:val="en-US" w:eastAsia="zh-CN"/>
        </w:rPr>
        <w:t>上周，日本内阁府公布日本一季度GDP（见表格）。数据显示，日本经济增长在一季度呈收缩状态。</w:t>
      </w:r>
    </w:p>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Theme="minorEastAsia" w:hAnsiTheme="minorEastAsia" w:eastAsiaTheme="minorEastAsia" w:cstheme="minorEastAsia"/>
          <w:sz w:val="32"/>
          <w:szCs w:val="32"/>
          <w:lang w:val="en-US" w:eastAsia="zh-CN"/>
        </w:rPr>
      </w:pPr>
    </w:p>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Theme="minorEastAsia" w:hAnsiTheme="minorEastAsia" w:eastAsiaTheme="minorEastAsia" w:cstheme="minorEastAsia"/>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ind w:firstLine="448" w:firstLineChars="200"/>
        <w:jc w:val="left"/>
        <w:textAlignment w:val="auto"/>
        <w:outlineLvl w:val="9"/>
        <w:rPr>
          <w:rFonts w:hint="default" w:ascii="Calibri" w:hAnsi="Calibri" w:eastAsia="仿宋_GB2312" w:cs="Calibri"/>
          <w:lang w:val="en-US" w:eastAsia="zh-CN"/>
        </w:rPr>
      </w:pPr>
      <w:r>
        <w:rPr>
          <w:rFonts w:hint="eastAsia" w:ascii="方正楷体_GBK" w:hAnsi="方正楷体_GBK" w:eastAsia="方正楷体_GBK" w:cs="方正楷体_GBK"/>
          <w:sz w:val="24"/>
          <w:szCs w:val="24"/>
          <w:lang w:val="en-US" w:eastAsia="zh-CN"/>
        </w:rPr>
        <w:t>（</w:t>
      </w:r>
      <w:r>
        <w:rPr>
          <w:rFonts w:hint="eastAsia" w:ascii="方正黑体_GBK" w:hAnsi="方正黑体_GBK" w:eastAsia="方正黑体_GBK" w:cs="方正黑体_GBK"/>
          <w:sz w:val="24"/>
          <w:szCs w:val="24"/>
          <w:lang w:val="en-US" w:eastAsia="zh-CN"/>
        </w:rPr>
        <w:t>注：</w:t>
      </w:r>
      <w:r>
        <w:rPr>
          <w:rFonts w:hint="eastAsia" w:ascii="方正楷体_GBK" w:hAnsi="方正楷体_GBK" w:eastAsia="方正楷体_GBK" w:cs="方正楷体_GBK"/>
          <w:sz w:val="24"/>
          <w:szCs w:val="24"/>
          <w:lang w:val="en-US" w:eastAsia="zh-CN"/>
        </w:rPr>
        <w:t>“</w:t>
      </w:r>
      <w:r>
        <w:rPr>
          <w:rFonts w:hint="eastAsia" w:ascii="方正楷体_GBK" w:hAnsi="方正楷体_GBK" w:eastAsia="方正楷体_GBK" w:cs="方正楷体_GBK"/>
          <w:b/>
          <w:bCs/>
          <w:sz w:val="24"/>
          <w:szCs w:val="24"/>
          <w:lang w:val="en-US" w:eastAsia="zh-CN"/>
        </w:rPr>
        <w:t>年化增长率</w:t>
      </w:r>
      <w:r>
        <w:rPr>
          <w:rFonts w:hint="eastAsia" w:ascii="方正楷体_GBK" w:hAnsi="方正楷体_GBK" w:eastAsia="方正楷体_GBK" w:cs="方正楷体_GBK"/>
          <w:sz w:val="24"/>
          <w:szCs w:val="24"/>
          <w:lang w:val="en-US" w:eastAsia="zh-CN"/>
        </w:rPr>
        <w:t>”，是指在一年的时间内，将某个增长率或变化率转化为等效的年度增长率。通常使用复利计算方法，将短期增长率应用到多个时间段，以获得一个年度的增长率。年化增长率可以更好地比较不同时间段或频率的增长趋势。）</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388" w:firstLineChars="200"/>
        <w:textAlignment w:val="auto"/>
        <w:outlineLvl w:val="9"/>
        <w:rPr>
          <w:rFonts w:hint="eastAsia" w:asciiTheme="minorEastAsia" w:hAnsiTheme="minorEastAsia" w:eastAsiaTheme="minorEastAsia" w:cstheme="minorEastAsia"/>
          <w:sz w:val="32"/>
          <w:szCs w:val="32"/>
          <w:lang w:val="en-US" w:eastAsia="zh-CN"/>
        </w:rPr>
      </w:pPr>
      <w:r>
        <w:drawing>
          <wp:anchor distT="0" distB="0" distL="114300" distR="114300" simplePos="0" relativeHeight="251661312" behindDoc="0" locked="0" layoutInCell="1" allowOverlap="1">
            <wp:simplePos x="0" y="0"/>
            <wp:positionH relativeFrom="column">
              <wp:posOffset>1861185</wp:posOffset>
            </wp:positionH>
            <wp:positionV relativeFrom="paragraph">
              <wp:posOffset>75565</wp:posOffset>
            </wp:positionV>
            <wp:extent cx="3494405" cy="2080260"/>
            <wp:effectExtent l="0" t="0" r="10795" b="15240"/>
            <wp:wrapSquare wrapText="bothSides"/>
            <wp:docPr id="3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5"/>
                    <pic:cNvPicPr>
                      <a:picLocks noChangeAspect="1"/>
                    </pic:cNvPicPr>
                  </pic:nvPicPr>
                  <pic:blipFill>
                    <a:blip r:embed="rId9"/>
                    <a:stretch>
                      <a:fillRect/>
                    </a:stretch>
                  </pic:blipFill>
                  <pic:spPr>
                    <a:xfrm>
                      <a:off x="0" y="0"/>
                      <a:ext cx="3494405" cy="2080260"/>
                    </a:xfrm>
                    <a:prstGeom prst="rect">
                      <a:avLst/>
                    </a:prstGeom>
                    <a:noFill/>
                    <a:ln>
                      <a:noFill/>
                    </a:ln>
                  </pic:spPr>
                </pic:pic>
              </a:graphicData>
            </a:graphic>
          </wp:anchor>
        </w:drawing>
      </w:r>
      <w:r>
        <w:rPr>
          <w:rFonts w:hint="eastAsia" w:asciiTheme="minorEastAsia" w:hAnsiTheme="minorEastAsia" w:eastAsiaTheme="minorEastAsia" w:cstheme="minorEastAsia"/>
          <w:sz w:val="32"/>
          <w:szCs w:val="32"/>
          <w:lang w:val="en-US" w:eastAsia="zh-CN"/>
        </w:rPr>
        <w:t>5月起，日本央行数次出手护盘，日元兑美元一度升值，周五（5月17日）再次回落至155.6830日元/美元。</w:t>
      </w: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default"/>
          <w:lang w:val="en-US" w:eastAsia="zh-CN"/>
        </w:rPr>
      </w:pPr>
      <w:r>
        <w:rPr>
          <w:rFonts w:hint="eastAsia" w:asciiTheme="minorEastAsia" w:hAnsiTheme="minorEastAsia" w:eastAsiaTheme="minorEastAsia" w:cstheme="minorEastAsia"/>
          <w:sz w:val="32"/>
          <w:szCs w:val="32"/>
          <w:lang w:val="en-US" w:eastAsia="zh-CN"/>
        </w:rPr>
        <w:t>上周，阿富汗当局发布消息，东北部的暴雨引发山洪爆发。洪水冲垮房屋，淹没了村庄和农田，造成 315 人死亡，1600 多人受伤。数以千计的房屋受损，牲畜死亡，并引发粮食危机。联合国救援机构已开始向灾区运送援助物资，并警告称灾情仍在扩大。</w:t>
      </w:r>
    </w:p>
    <w:p>
      <w:r>
        <w:drawing>
          <wp:anchor distT="0" distB="0" distL="114300" distR="114300" simplePos="0" relativeHeight="251662336" behindDoc="0" locked="0" layoutInCell="1" allowOverlap="1">
            <wp:simplePos x="0" y="0"/>
            <wp:positionH relativeFrom="column">
              <wp:posOffset>771525</wp:posOffset>
            </wp:positionH>
            <wp:positionV relativeFrom="paragraph">
              <wp:posOffset>106045</wp:posOffset>
            </wp:positionV>
            <wp:extent cx="3691890" cy="2461260"/>
            <wp:effectExtent l="0" t="0" r="3810" b="15240"/>
            <wp:wrapTopAndBottom/>
            <wp:docPr id="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
                    <pic:cNvPicPr>
                      <a:picLocks noChangeAspect="1"/>
                    </pic:cNvPicPr>
                  </pic:nvPicPr>
                  <pic:blipFill>
                    <a:blip r:embed="rId10"/>
                    <a:stretch>
                      <a:fillRect/>
                    </a:stretch>
                  </pic:blipFill>
                  <pic:spPr>
                    <a:xfrm>
                      <a:off x="0" y="0"/>
                      <a:ext cx="3691890" cy="2461260"/>
                    </a:xfrm>
                    <a:prstGeom prst="rect">
                      <a:avLst/>
                    </a:prstGeom>
                    <a:noFill/>
                    <a:ln>
                      <a:noFill/>
                    </a:ln>
                  </pic:spPr>
                </pic:pic>
              </a:graphicData>
            </a:graphic>
          </wp:anchor>
        </w:drawing>
      </w:r>
    </w:p>
    <w:p>
      <w:pPr>
        <w:rPr>
          <w:rFonts w:hint="eastAsia"/>
          <w:b/>
          <w:bCs/>
          <w:color w:val="0000FF"/>
          <w:highlight w:val="yellow"/>
          <w:lang w:val="en-US" w:eastAsia="zh-CN"/>
        </w:rPr>
      </w:pPr>
      <w:r>
        <w:rPr>
          <w:rFonts w:hint="eastAsia" w:ascii="方正小标宋_GBK" w:hAnsi="方正小标宋_GBK" w:eastAsia="方正小标宋_GBK" w:cs="方正小标宋_GBK"/>
          <w:b/>
          <w:bCs/>
          <w:color w:val="0000FF"/>
          <w:sz w:val="32"/>
          <w:szCs w:val="32"/>
          <w:highlight w:val="yellow"/>
          <w:lang w:val="en-US" w:eastAsia="zh-CN"/>
        </w:rPr>
        <w:t>5月20日（周一）</w:t>
      </w:r>
    </w:p>
    <w:p>
      <w:pPr>
        <w:rPr>
          <w:rFonts w:hint="eastAsia"/>
          <w:b/>
          <w:bCs/>
          <w:color w:val="0000FF"/>
          <w:highlight w:val="yellow"/>
          <w:lang w:val="en-US" w:eastAsia="zh-CN"/>
        </w:rPr>
      </w:pPr>
      <w:r>
        <w:rPr>
          <w:rFonts w:hint="eastAsia" w:ascii="方正小标宋_GBK" w:hAnsi="方正小标宋_GBK" w:eastAsia="方正小标宋_GBK" w:cs="方正小标宋_GBK"/>
          <w:b/>
          <w:bCs/>
          <w:color w:val="0000FF"/>
          <w:sz w:val="36"/>
          <w:szCs w:val="36"/>
          <w:highlight w:val="yellow"/>
          <w:lang w:val="en-US" w:eastAsia="zh-CN"/>
        </w:rPr>
        <w:t>用阳光锻造钢铁</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sz w:val="32"/>
          <w:szCs w:val="32"/>
          <w:lang w:eastAsia="zh-CN"/>
        </w:rPr>
      </w:pPr>
      <w:r>
        <w:rPr>
          <w:rFonts w:hint="eastAsia"/>
          <w:sz w:val="32"/>
          <w:szCs w:val="32"/>
        </w:rPr>
        <w:t>全球四分之一的能源被用于冶炼钢铁</w:t>
      </w:r>
      <w:r>
        <w:rPr>
          <w:rFonts w:hint="eastAsia"/>
          <w:sz w:val="32"/>
          <w:szCs w:val="32"/>
          <w:lang w:eastAsia="zh-CN"/>
        </w:rPr>
        <w:t>、</w:t>
      </w:r>
      <w:r>
        <w:rPr>
          <w:rFonts w:hint="eastAsia"/>
          <w:sz w:val="32"/>
          <w:szCs w:val="32"/>
        </w:rPr>
        <w:t>制造水泥等工业制程。这些</w:t>
      </w:r>
      <w:r>
        <w:rPr>
          <w:rFonts w:hint="eastAsia"/>
          <w:sz w:val="32"/>
          <w:szCs w:val="32"/>
          <w:lang w:eastAsia="zh-CN"/>
        </w:rPr>
        <w:t>制</w:t>
      </w:r>
      <w:r>
        <w:rPr>
          <w:rFonts w:hint="eastAsia"/>
          <w:sz w:val="32"/>
          <w:szCs w:val="32"/>
        </w:rPr>
        <w:t>程需要大量热量，并依赖</w:t>
      </w:r>
      <w:r>
        <w:rPr>
          <w:rFonts w:hint="eastAsia"/>
          <w:sz w:val="32"/>
          <w:szCs w:val="32"/>
          <w:lang w:eastAsia="zh-CN"/>
        </w:rPr>
        <w:t>于</w:t>
      </w:r>
      <w:r>
        <w:rPr>
          <w:rFonts w:hint="eastAsia"/>
          <w:sz w:val="32"/>
          <w:szCs w:val="32"/>
        </w:rPr>
        <w:t>燃烧化石燃料。</w:t>
      </w:r>
      <w:r>
        <w:rPr>
          <w:rFonts w:hint="eastAsia"/>
          <w:sz w:val="32"/>
          <w:szCs w:val="32"/>
          <w:lang w:eastAsia="zh-CN"/>
        </w:rPr>
        <w:t>其</w:t>
      </w:r>
      <w:r>
        <w:rPr>
          <w:rFonts w:hint="eastAsia"/>
          <w:sz w:val="32"/>
          <w:szCs w:val="32"/>
        </w:rPr>
        <w:t>排放的温室气体占全球总排放量的一半。</w:t>
      </w:r>
      <w:r>
        <w:rPr>
          <w:rFonts w:hint="eastAsia"/>
          <w:sz w:val="32"/>
          <w:szCs w:val="32"/>
          <w:lang w:eastAsia="zh-CN"/>
        </w:rPr>
        <w:t>换言之，在全球消耗的能源中，约有一半是以热能的形式使用的。</w:t>
      </w:r>
    </w:p>
    <w:p>
      <w:pPr>
        <w:keepNext w:val="0"/>
        <w:keepLines w:val="0"/>
        <w:pageBreakBefore w:val="0"/>
        <w:widowControl w:val="0"/>
        <w:kinsoku/>
        <w:wordWrap/>
        <w:overflowPunct/>
        <w:topLinePunct w:val="0"/>
        <w:autoSpaceDE/>
        <w:autoSpaceDN/>
        <w:bidi w:val="0"/>
        <w:adjustRightInd/>
        <w:snapToGrid/>
        <w:ind w:firstLine="388" w:firstLineChars="200"/>
        <w:textAlignment w:val="auto"/>
        <w:outlineLvl w:val="9"/>
        <w:rPr>
          <w:rFonts w:hint="eastAsia" w:asciiTheme="minorEastAsia" w:hAnsiTheme="minorEastAsia" w:eastAsiaTheme="minorEastAsia" w:cstheme="minorEastAsia"/>
          <w:sz w:val="32"/>
          <w:szCs w:val="32"/>
        </w:rPr>
      </w:pPr>
      <w:r>
        <w:drawing>
          <wp:anchor distT="0" distB="0" distL="114300" distR="114300" simplePos="0" relativeHeight="251663360" behindDoc="0" locked="0" layoutInCell="1" allowOverlap="1">
            <wp:simplePos x="0" y="0"/>
            <wp:positionH relativeFrom="column">
              <wp:posOffset>189865</wp:posOffset>
            </wp:positionH>
            <wp:positionV relativeFrom="paragraph">
              <wp:posOffset>114300</wp:posOffset>
            </wp:positionV>
            <wp:extent cx="3048000" cy="2034540"/>
            <wp:effectExtent l="0" t="0" r="0" b="3810"/>
            <wp:wrapSquare wrapText="bothSides"/>
            <wp:docPr id="2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
                    <pic:cNvPicPr>
                      <a:picLocks noChangeAspect="1"/>
                    </pic:cNvPicPr>
                  </pic:nvPicPr>
                  <pic:blipFill>
                    <a:blip r:embed="rId11"/>
                    <a:stretch>
                      <a:fillRect/>
                    </a:stretch>
                  </pic:blipFill>
                  <pic:spPr>
                    <a:xfrm>
                      <a:off x="0" y="0"/>
                      <a:ext cx="3048000" cy="2034540"/>
                    </a:xfrm>
                    <a:prstGeom prst="rect">
                      <a:avLst/>
                    </a:prstGeom>
                    <a:noFill/>
                    <a:ln>
                      <a:noFill/>
                    </a:ln>
                  </pic:spPr>
                </pic:pic>
              </a:graphicData>
            </a:graphic>
          </wp:anchor>
        </w:drawing>
      </w:r>
      <w:r>
        <w:rPr>
          <w:rFonts w:hint="eastAsia" w:asciiTheme="minorEastAsia" w:hAnsiTheme="minorEastAsia" w:eastAsiaTheme="minorEastAsia" w:cstheme="minorEastAsia"/>
          <w:sz w:val="32"/>
          <w:szCs w:val="32"/>
          <w:lang w:eastAsia="zh-CN"/>
        </w:rPr>
        <w:t>因此，</w:t>
      </w:r>
      <w:r>
        <w:rPr>
          <w:rFonts w:hint="eastAsia" w:asciiTheme="minorEastAsia" w:hAnsiTheme="minorEastAsia" w:eastAsiaTheme="minorEastAsia" w:cstheme="minorEastAsia"/>
          <w:sz w:val="32"/>
          <w:szCs w:val="32"/>
        </w:rPr>
        <w:t>更好的替代</w:t>
      </w:r>
      <w:r>
        <w:rPr>
          <w:rFonts w:hint="eastAsia" w:asciiTheme="minorEastAsia" w:hAnsiTheme="minorEastAsia" w:eastAsiaTheme="minorEastAsia" w:cstheme="minorEastAsia"/>
          <w:sz w:val="32"/>
          <w:szCs w:val="32"/>
          <w:lang w:eastAsia="zh-CN"/>
        </w:rPr>
        <w:t>方案，是</w:t>
      </w:r>
      <w:r>
        <w:rPr>
          <w:rFonts w:hint="eastAsia" w:asciiTheme="minorEastAsia" w:hAnsiTheme="minorEastAsia" w:eastAsiaTheme="minorEastAsia" w:cstheme="minorEastAsia"/>
          <w:sz w:val="32"/>
          <w:szCs w:val="32"/>
        </w:rPr>
        <w:t>利用太阳跟踪镜捕捉和集中太阳能。不过，当制</w:t>
      </w:r>
      <w:r>
        <w:rPr>
          <w:rFonts w:hint="eastAsia" w:asciiTheme="minorEastAsia" w:hAnsiTheme="minorEastAsia" w:eastAsiaTheme="minorEastAsia" w:cstheme="minorEastAsia"/>
          <w:sz w:val="32"/>
          <w:szCs w:val="32"/>
          <w:lang w:eastAsia="zh-CN"/>
        </w:rPr>
        <w:t>程需要</w:t>
      </w:r>
      <w:r>
        <w:rPr>
          <w:rFonts w:hint="eastAsia" w:asciiTheme="minorEastAsia" w:hAnsiTheme="minorEastAsia" w:eastAsiaTheme="minorEastAsia" w:cstheme="minorEastAsia"/>
          <w:sz w:val="32"/>
          <w:szCs w:val="32"/>
        </w:rPr>
        <w:t>高于1000°C的温度时，这种方法就会变得</w:t>
      </w:r>
      <w:r>
        <w:rPr>
          <w:rFonts w:hint="eastAsia" w:asciiTheme="minorEastAsia" w:hAnsiTheme="minorEastAsia" w:eastAsiaTheme="minorEastAsia" w:cstheme="minorEastAsia"/>
          <w:sz w:val="32"/>
          <w:szCs w:val="32"/>
          <w:lang w:eastAsia="zh-CN"/>
        </w:rPr>
        <w:t>低</w:t>
      </w:r>
      <w:r>
        <w:rPr>
          <w:rFonts w:hint="eastAsia" w:asciiTheme="minorEastAsia" w:hAnsiTheme="minorEastAsia" w:eastAsiaTheme="minorEastAsia" w:cstheme="minorEastAsia"/>
          <w:sz w:val="32"/>
          <w:szCs w:val="32"/>
        </w:rPr>
        <w:t>效，因为即使使用最先进的工具，也会有约60%的光（和热）逃逸。</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eastAsia="zh-CN"/>
        </w:rPr>
        <w:t>最近</w:t>
      </w:r>
      <w:r>
        <w:rPr>
          <w:rFonts w:hint="eastAsia" w:asciiTheme="minorEastAsia" w:hAnsiTheme="minorEastAsia" w:eastAsiaTheme="minorEastAsia" w:cstheme="minorEastAsia"/>
          <w:sz w:val="32"/>
          <w:szCs w:val="32"/>
        </w:rPr>
        <w:t>，瑞士苏黎世联邦理工学院</w:t>
      </w:r>
      <w:r>
        <w:rPr>
          <w:rFonts w:hint="eastAsia" w:asciiTheme="minorEastAsia" w:hAnsiTheme="minorEastAsia" w:eastAsiaTheme="minorEastAsia" w:cstheme="minorEastAsia"/>
          <w:sz w:val="32"/>
          <w:szCs w:val="32"/>
          <w:lang w:eastAsia="zh-CN"/>
        </w:rPr>
        <w:t>的</w:t>
      </w:r>
      <w:r>
        <w:rPr>
          <w:rFonts w:hint="eastAsia" w:asciiTheme="minorEastAsia" w:hAnsiTheme="minorEastAsia" w:eastAsiaTheme="minorEastAsia" w:cstheme="minorEastAsia"/>
          <w:sz w:val="32"/>
          <w:szCs w:val="32"/>
        </w:rPr>
        <w:t>研究</w:t>
      </w:r>
      <w:r>
        <w:rPr>
          <w:rFonts w:hint="eastAsia" w:asciiTheme="minorEastAsia" w:hAnsiTheme="minorEastAsia" w:eastAsiaTheme="minorEastAsia" w:cstheme="minorEastAsia"/>
          <w:sz w:val="32"/>
          <w:szCs w:val="32"/>
          <w:lang w:eastAsia="zh-CN"/>
        </w:rPr>
        <w:t>人员</w:t>
      </w:r>
      <w:r>
        <w:rPr>
          <w:rFonts w:hint="eastAsia" w:asciiTheme="minorEastAsia" w:hAnsiTheme="minorEastAsia" w:eastAsiaTheme="minorEastAsia" w:cstheme="minorEastAsia"/>
          <w:sz w:val="32"/>
          <w:szCs w:val="32"/>
        </w:rPr>
        <w:t>在《设备》（Device）</w:t>
      </w:r>
      <w:r>
        <w:rPr>
          <w:rFonts w:hint="eastAsia" w:asciiTheme="minorEastAsia" w:hAnsiTheme="minorEastAsia" w:eastAsiaTheme="minorEastAsia" w:cstheme="minorEastAsia"/>
          <w:sz w:val="32"/>
          <w:szCs w:val="32"/>
          <w:lang w:eastAsia="zh-CN"/>
        </w:rPr>
        <w:t>期刊</w:t>
      </w:r>
      <w:r>
        <w:rPr>
          <w:rFonts w:hint="eastAsia" w:asciiTheme="minorEastAsia" w:hAnsiTheme="minorEastAsia" w:eastAsiaTheme="minorEastAsia" w:cstheme="minorEastAsia"/>
          <w:sz w:val="32"/>
          <w:szCs w:val="32"/>
        </w:rPr>
        <w:t>上</w:t>
      </w:r>
      <w:r>
        <w:rPr>
          <w:rFonts w:hint="eastAsia" w:asciiTheme="minorEastAsia" w:hAnsiTheme="minorEastAsia" w:eastAsiaTheme="minorEastAsia" w:cstheme="minorEastAsia"/>
          <w:sz w:val="32"/>
          <w:szCs w:val="32"/>
          <w:lang w:eastAsia="zh-CN"/>
        </w:rPr>
        <w:t>撰文</w:t>
      </w:r>
      <w:r>
        <w:rPr>
          <w:rFonts w:hint="eastAsia" w:asciiTheme="minorEastAsia" w:hAnsiTheme="minorEastAsia" w:eastAsiaTheme="minorEastAsia" w:cstheme="minorEastAsia"/>
          <w:sz w:val="32"/>
          <w:szCs w:val="32"/>
        </w:rPr>
        <w:t>称，他们已经大幅提高了这种方法的效率。</w:t>
      </w:r>
      <w:r>
        <w:rPr>
          <w:rFonts w:hint="eastAsia" w:asciiTheme="minorEastAsia" w:hAnsiTheme="minorEastAsia" w:eastAsiaTheme="minorEastAsia" w:cstheme="minorEastAsia"/>
          <w:sz w:val="32"/>
          <w:szCs w:val="32"/>
          <w:lang w:eastAsia="zh-CN"/>
        </w:rPr>
        <w:t>其</w:t>
      </w:r>
      <w:r>
        <w:rPr>
          <w:rFonts w:hint="eastAsia" w:asciiTheme="minorEastAsia" w:hAnsiTheme="minorEastAsia" w:eastAsiaTheme="minorEastAsia" w:cstheme="minorEastAsia"/>
          <w:sz w:val="32"/>
          <w:szCs w:val="32"/>
        </w:rPr>
        <w:t>用石英</w:t>
      </w:r>
      <w:r>
        <w:rPr>
          <w:rFonts w:hint="eastAsia" w:asciiTheme="minorEastAsia" w:hAnsiTheme="minorEastAsia" w:eastAsiaTheme="minorEastAsia" w:cstheme="minorEastAsia"/>
          <w:sz w:val="32"/>
          <w:szCs w:val="32"/>
          <w:lang w:eastAsia="zh-CN"/>
        </w:rPr>
        <w:t>材料来</w:t>
      </w:r>
      <w:r>
        <w:rPr>
          <w:rFonts w:hint="eastAsia" w:asciiTheme="minorEastAsia" w:hAnsiTheme="minorEastAsia" w:eastAsiaTheme="minorEastAsia" w:cstheme="minorEastAsia"/>
          <w:sz w:val="32"/>
          <w:szCs w:val="32"/>
        </w:rPr>
        <w:t>遮</w:t>
      </w:r>
      <w:r>
        <w:rPr>
          <w:rFonts w:hint="eastAsia" w:asciiTheme="minorEastAsia" w:hAnsiTheme="minorEastAsia" w:eastAsiaTheme="minorEastAsia" w:cstheme="minorEastAsia"/>
          <w:sz w:val="32"/>
          <w:szCs w:val="32"/>
          <w:lang w:eastAsia="zh-CN"/>
        </w:rPr>
        <w:t>护</w:t>
      </w:r>
      <w:r>
        <w:rPr>
          <w:rFonts w:hint="eastAsia" w:asciiTheme="minorEastAsia" w:hAnsiTheme="minorEastAsia" w:eastAsiaTheme="minorEastAsia" w:cstheme="minorEastAsia"/>
          <w:sz w:val="32"/>
          <w:szCs w:val="32"/>
        </w:rPr>
        <w:t>太阳能接收器</w:t>
      </w:r>
      <w:r>
        <w:rPr>
          <w:rFonts w:hint="eastAsia" w:asciiTheme="minorEastAsia" w:hAnsiTheme="minorEastAsia" w:eastAsiaTheme="minorEastAsia" w:cstheme="minorEastAsia"/>
          <w:sz w:val="32"/>
          <w:szCs w:val="32"/>
          <w:lang w:eastAsia="zh-CN"/>
        </w:rPr>
        <w:t>（聚焦太阳镜反射的点），石英是一种能够</w:t>
      </w:r>
      <w:r>
        <w:rPr>
          <w:rFonts w:hint="eastAsia" w:asciiTheme="minorEastAsia" w:hAnsiTheme="minorEastAsia" w:eastAsiaTheme="minorEastAsia" w:cstheme="minorEastAsia"/>
          <w:sz w:val="32"/>
          <w:szCs w:val="32"/>
        </w:rPr>
        <w:t>捕</w:t>
      </w:r>
      <w:r>
        <w:rPr>
          <w:rFonts w:hint="eastAsia" w:asciiTheme="minorEastAsia" w:hAnsiTheme="minorEastAsia" w:eastAsiaTheme="minorEastAsia" w:cstheme="minorEastAsia"/>
          <w:sz w:val="32"/>
          <w:szCs w:val="32"/>
          <w:lang w:eastAsia="zh-CN"/>
        </w:rPr>
        <w:t>获</w:t>
      </w:r>
      <w:r>
        <w:rPr>
          <w:rFonts w:hint="eastAsia" w:asciiTheme="minorEastAsia" w:hAnsiTheme="minorEastAsia" w:eastAsiaTheme="minorEastAsia" w:cstheme="minorEastAsia"/>
          <w:sz w:val="32"/>
          <w:szCs w:val="32"/>
        </w:rPr>
        <w:t>光线的矿物</w:t>
      </w:r>
      <w:r>
        <w:rPr>
          <w:rFonts w:hint="eastAsia" w:asciiTheme="minorEastAsia" w:hAnsiTheme="minorEastAsia" w:eastAsiaTheme="minorEastAsia" w:cstheme="minorEastAsia"/>
          <w:sz w:val="32"/>
          <w:szCs w:val="32"/>
          <w:lang w:eastAsia="zh-CN"/>
        </w:rPr>
        <w:t>。这使得他们</w:t>
      </w:r>
      <w:r>
        <w:rPr>
          <w:rFonts w:hint="eastAsia" w:asciiTheme="minorEastAsia" w:hAnsiTheme="minorEastAsia" w:eastAsiaTheme="minorEastAsia" w:cstheme="minorEastAsia"/>
          <w:sz w:val="32"/>
          <w:szCs w:val="32"/>
        </w:rPr>
        <w:t>能够以70%的效率将温度升至1050°C，</w:t>
      </w:r>
      <w:r>
        <w:rPr>
          <w:rFonts w:hint="eastAsia" w:asciiTheme="minorEastAsia" w:hAnsiTheme="minorEastAsia" w:eastAsiaTheme="minorEastAsia" w:cstheme="minorEastAsia"/>
          <w:sz w:val="32"/>
          <w:szCs w:val="32"/>
          <w:lang w:eastAsia="zh-CN"/>
        </w:rPr>
        <w:t>并</w:t>
      </w:r>
      <w:r>
        <w:rPr>
          <w:rFonts w:hint="eastAsia" w:asciiTheme="minorEastAsia" w:hAnsiTheme="minorEastAsia" w:eastAsiaTheme="minorEastAsia" w:cstheme="minorEastAsia"/>
          <w:sz w:val="32"/>
          <w:szCs w:val="32"/>
        </w:rPr>
        <w:t>将热量和光的损失减少了一半。</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研究人员打算进一步完善这项技术，有朝一日，它将终结</w:t>
      </w:r>
      <w:r>
        <w:rPr>
          <w:rFonts w:hint="eastAsia" w:asciiTheme="minorEastAsia" w:hAnsiTheme="minorEastAsia" w:eastAsiaTheme="minorEastAsia" w:cstheme="minorEastAsia"/>
          <w:sz w:val="32"/>
          <w:szCs w:val="32"/>
          <w:lang w:eastAsia="zh-CN"/>
        </w:rPr>
        <w:t>自</w:t>
      </w:r>
      <w:r>
        <w:rPr>
          <w:rFonts w:hint="eastAsia" w:asciiTheme="minorEastAsia" w:hAnsiTheme="minorEastAsia" w:eastAsiaTheme="minorEastAsia" w:cstheme="minorEastAsia"/>
          <w:sz w:val="32"/>
          <w:szCs w:val="32"/>
        </w:rPr>
        <w:t>青铜时代</w:t>
      </w:r>
      <w:r>
        <w:rPr>
          <w:rFonts w:hint="eastAsia" w:asciiTheme="minorEastAsia" w:hAnsiTheme="minorEastAsia" w:eastAsiaTheme="minorEastAsia" w:cstheme="minorEastAsia"/>
          <w:sz w:val="32"/>
          <w:szCs w:val="32"/>
          <w:lang w:eastAsia="zh-CN"/>
        </w:rPr>
        <w:t>起</w:t>
      </w:r>
      <w:r>
        <w:rPr>
          <w:rFonts w:hint="eastAsia" w:asciiTheme="minorEastAsia" w:hAnsiTheme="minorEastAsia" w:eastAsiaTheme="minorEastAsia" w:cstheme="minorEastAsia"/>
          <w:sz w:val="32"/>
          <w:szCs w:val="32"/>
        </w:rPr>
        <w:t>冶金对化石燃料的依赖。</w:t>
      </w:r>
      <w:r>
        <w:rPr>
          <w:rFonts w:hint="eastAsia" w:asciiTheme="minorEastAsia" w:hAnsiTheme="minorEastAsia" w:eastAsiaTheme="minorEastAsia" w:cstheme="minorEastAsia"/>
          <w:sz w:val="32"/>
          <w:szCs w:val="32"/>
          <w:lang w:eastAsia="zh-CN"/>
        </w:rPr>
        <w:t>不仅钢铁，玻璃、水泥和陶瓷等现代基础设施不可或缺的材料，其工业制程都需要超过1000°C的高温，该项技术的突破将极大减少对化石燃料的使用。</w:t>
      </w:r>
    </w:p>
    <w:p>
      <w:pPr>
        <w:rPr>
          <w:rFonts w:hint="eastAsia"/>
          <w:b/>
          <w:bCs/>
          <w:color w:val="0000FF"/>
          <w:highlight w:val="yellow"/>
          <w:lang w:val="en-US" w:eastAsia="zh-CN"/>
        </w:rPr>
      </w:pPr>
      <w:r>
        <w:rPr>
          <w:rFonts w:hint="eastAsia" w:ascii="方正小标宋_GBK" w:hAnsi="方正小标宋_GBK" w:eastAsia="方正小标宋_GBK" w:cs="方正小标宋_GBK"/>
          <w:b/>
          <w:bCs/>
          <w:color w:val="0000FF"/>
          <w:sz w:val="32"/>
          <w:szCs w:val="32"/>
          <w:highlight w:val="yellow"/>
          <w:lang w:val="en-US" w:eastAsia="zh-CN"/>
        </w:rPr>
        <w:t>5月21日（周二）</w:t>
      </w:r>
    </w:p>
    <w:p>
      <w:pPr>
        <w:rPr>
          <w:rFonts w:hint="default"/>
          <w:b/>
          <w:bCs/>
          <w:color w:val="0000FF"/>
          <w:highlight w:val="yellow"/>
          <w:lang w:val="en-US" w:eastAsia="zh-CN"/>
        </w:rPr>
      </w:pPr>
      <w:r>
        <w:rPr>
          <w:rFonts w:hint="eastAsia" w:ascii="方正小标宋_GBK" w:hAnsi="方正小标宋_GBK" w:eastAsia="方正小标宋_GBK" w:cs="方正小标宋_GBK"/>
          <w:b/>
          <w:bCs/>
          <w:color w:val="0000FF"/>
          <w:sz w:val="36"/>
          <w:szCs w:val="36"/>
          <w:highlight w:val="yellow"/>
          <w:lang w:val="en-US" w:eastAsia="zh-CN"/>
        </w:rPr>
        <w:t>铜价和金价创出新高，银价亦在飙升途中</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铜价持续上涨，5月20日（周一），伦敦金属交易所的铜价收于10958.5美元/吨，日内触及11104.5美元的历史新高。自2024 年初以来，铜价已飙升了28%（见图）。</w:t>
      </w:r>
    </w:p>
    <w:p/>
    <w:p>
      <w:pPr>
        <w:keepNext w:val="0"/>
        <w:keepLines w:val="0"/>
        <w:pageBreakBefore w:val="0"/>
        <w:widowControl w:val="0"/>
        <w:kinsoku/>
        <w:wordWrap/>
        <w:overflowPunct/>
        <w:topLinePunct w:val="0"/>
        <w:autoSpaceDE/>
        <w:autoSpaceDN/>
        <w:bidi w:val="0"/>
        <w:adjustRightInd/>
        <w:snapToGrid/>
        <w:ind w:firstLine="776" w:firstLineChars="400"/>
        <w:textAlignment w:val="auto"/>
        <w:outlineLvl w:val="9"/>
        <w:rPr>
          <w:rFonts w:hint="eastAsia" w:asciiTheme="minorEastAsia" w:hAnsiTheme="minorEastAsia" w:eastAsiaTheme="minorEastAsia" w:cstheme="minorEastAsia"/>
          <w:sz w:val="32"/>
          <w:szCs w:val="32"/>
          <w:lang w:val="en-US" w:eastAsia="zh-CN"/>
        </w:rPr>
      </w:pPr>
      <w:r>
        <w:drawing>
          <wp:anchor distT="0" distB="0" distL="114300" distR="114300" simplePos="0" relativeHeight="251664384" behindDoc="0" locked="0" layoutInCell="1" allowOverlap="1">
            <wp:simplePos x="0" y="0"/>
            <wp:positionH relativeFrom="column">
              <wp:posOffset>2653665</wp:posOffset>
            </wp:positionH>
            <wp:positionV relativeFrom="paragraph">
              <wp:posOffset>133350</wp:posOffset>
            </wp:positionV>
            <wp:extent cx="2811145" cy="1964055"/>
            <wp:effectExtent l="0" t="0" r="8255" b="17145"/>
            <wp:wrapSquare wrapText="bothSides"/>
            <wp:docPr id="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
                    <pic:cNvPicPr>
                      <a:picLocks noChangeAspect="1"/>
                    </pic:cNvPicPr>
                  </pic:nvPicPr>
                  <pic:blipFill>
                    <a:blip r:embed="rId12"/>
                    <a:stretch>
                      <a:fillRect/>
                    </a:stretch>
                  </pic:blipFill>
                  <pic:spPr>
                    <a:xfrm>
                      <a:off x="0" y="0"/>
                      <a:ext cx="2811145" cy="1964055"/>
                    </a:xfrm>
                    <a:prstGeom prst="rect">
                      <a:avLst/>
                    </a:prstGeom>
                    <a:noFill/>
                    <a:ln>
                      <a:noFill/>
                    </a:ln>
                  </pic:spPr>
                </pic:pic>
              </a:graphicData>
            </a:graphic>
          </wp:anchor>
        </w:drawing>
      </w:r>
      <w:r>
        <w:rPr>
          <w:rFonts w:hint="eastAsia" w:asciiTheme="minorEastAsia" w:hAnsiTheme="minorEastAsia" w:eastAsiaTheme="minorEastAsia" w:cstheme="minorEastAsia"/>
          <w:sz w:val="32"/>
          <w:szCs w:val="32"/>
          <w:lang w:val="en-US" w:eastAsia="zh-CN"/>
        </w:rPr>
        <w:t>铜是发电、输变电和用电环节中的主要金属。目前，各国对数据中心（用电大户）和绿色能源领域大力投资。市场预计，未来几年电力相关产业对铜的需求将十分强劲。</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同日，国际黄金的期货价格也创下新高，最高摸到2454.2美元/盎司，收于2438.5美元。在黄金的带动下，近期白银的价格也开始持续上涨，但离历史高位仍有距离（见图）。</w:t>
      </w:r>
    </w:p>
    <w:p>
      <w:pPr>
        <w:keepNext w:val="0"/>
        <w:keepLines w:val="0"/>
        <w:pageBreakBefore w:val="0"/>
        <w:widowControl w:val="0"/>
        <w:kinsoku/>
        <w:wordWrap/>
        <w:overflowPunct/>
        <w:topLinePunct w:val="0"/>
        <w:autoSpaceDE/>
        <w:autoSpaceDN/>
        <w:bidi w:val="0"/>
        <w:adjustRightInd/>
        <w:snapToGrid/>
        <w:ind w:firstLine="388" w:firstLineChars="200"/>
        <w:textAlignment w:val="auto"/>
        <w:outlineLvl w:val="9"/>
        <w:rPr>
          <w:rFonts w:hint="eastAsia" w:asciiTheme="minorEastAsia" w:hAnsiTheme="minorEastAsia" w:eastAsiaTheme="minorEastAsia" w:cstheme="minorEastAsia"/>
          <w:sz w:val="32"/>
          <w:szCs w:val="32"/>
          <w:lang w:val="en-US" w:eastAsia="zh-CN"/>
        </w:rPr>
      </w:pPr>
      <w:r>
        <w:drawing>
          <wp:anchor distT="0" distB="0" distL="114300" distR="114300" simplePos="0" relativeHeight="251665408" behindDoc="0" locked="0" layoutInCell="1" allowOverlap="1">
            <wp:simplePos x="0" y="0"/>
            <wp:positionH relativeFrom="column">
              <wp:posOffset>230505</wp:posOffset>
            </wp:positionH>
            <wp:positionV relativeFrom="paragraph">
              <wp:posOffset>128905</wp:posOffset>
            </wp:positionV>
            <wp:extent cx="2908300" cy="1610360"/>
            <wp:effectExtent l="0" t="0" r="6350" b="8890"/>
            <wp:wrapSquare wrapText="bothSides"/>
            <wp:docPr id="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
                    <pic:cNvPicPr>
                      <a:picLocks noChangeAspect="1"/>
                    </pic:cNvPicPr>
                  </pic:nvPicPr>
                  <pic:blipFill>
                    <a:blip r:embed="rId13"/>
                    <a:stretch>
                      <a:fillRect/>
                    </a:stretch>
                  </pic:blipFill>
                  <pic:spPr>
                    <a:xfrm>
                      <a:off x="0" y="0"/>
                      <a:ext cx="2908300" cy="1610360"/>
                    </a:xfrm>
                    <a:prstGeom prst="rect">
                      <a:avLst/>
                    </a:prstGeom>
                    <a:noFill/>
                    <a:ln>
                      <a:noFill/>
                    </a:ln>
                  </pic:spPr>
                </pic:pic>
              </a:graphicData>
            </a:graphic>
          </wp:anchor>
        </w:drawing>
      </w:r>
      <w:r>
        <w:rPr>
          <w:rFonts w:hint="eastAsia" w:asciiTheme="minorEastAsia" w:hAnsiTheme="minorEastAsia" w:eastAsiaTheme="minorEastAsia" w:cstheme="minorEastAsia"/>
          <w:sz w:val="32"/>
          <w:szCs w:val="32"/>
          <w:lang w:val="en-US" w:eastAsia="zh-CN"/>
        </w:rPr>
        <w:t>白银与黄金一样，既是工业金属，也是避险资产。白银虽然在工业和投资领域中具有重要作用，但它没有像黄金那样被国际货币基金组织（IMF）接受为国际储备货币，因此，对其的持有量和交易需求通常不像对黄金那样大。</w:t>
      </w:r>
    </w:p>
    <w:p>
      <w:pPr>
        <w:rPr>
          <w:rFonts w:hint="eastAsia"/>
          <w:lang w:val="en-US" w:eastAsia="zh-CN"/>
        </w:rPr>
      </w:pPr>
    </w:p>
    <w:p>
      <w:pPr>
        <w:rPr>
          <w:rFonts w:hint="eastAsia" w:ascii="方正小标宋_GBK" w:hAnsi="方正小标宋_GBK" w:eastAsia="方正小标宋_GBK" w:cs="方正小标宋_GBK"/>
          <w:b/>
          <w:bCs/>
          <w:color w:val="0000FF"/>
          <w:sz w:val="32"/>
          <w:szCs w:val="32"/>
          <w:highlight w:val="yellow"/>
          <w:lang w:val="en-US" w:eastAsia="zh-CN"/>
        </w:rPr>
      </w:pPr>
      <w:r>
        <w:rPr>
          <w:rFonts w:hint="eastAsia" w:ascii="方正小标宋_GBK" w:hAnsi="方正小标宋_GBK" w:eastAsia="方正小标宋_GBK" w:cs="方正小标宋_GBK"/>
          <w:b/>
          <w:bCs/>
          <w:color w:val="0000FF"/>
          <w:sz w:val="32"/>
          <w:szCs w:val="32"/>
          <w:highlight w:val="yellow"/>
          <w:lang w:val="en-US" w:eastAsia="zh-CN"/>
        </w:rPr>
        <w:t>5月22日（周三）</w:t>
      </w:r>
    </w:p>
    <w:p>
      <w:pPr>
        <w:rPr>
          <w:rFonts w:hint="eastAsia"/>
          <w:b/>
          <w:bCs/>
          <w:color w:val="0000FF"/>
          <w:highlight w:val="yellow"/>
          <w:lang w:val="en-US" w:eastAsia="zh-CN"/>
        </w:rPr>
      </w:pPr>
      <w:r>
        <w:rPr>
          <w:rFonts w:hint="eastAsia" w:ascii="方正小标宋_GBK" w:hAnsi="方正小标宋_GBK" w:eastAsia="方正小标宋_GBK" w:cs="方正小标宋_GBK"/>
          <w:b/>
          <w:bCs/>
          <w:color w:val="0000FF"/>
          <w:sz w:val="36"/>
          <w:szCs w:val="36"/>
          <w:highlight w:val="yellow"/>
          <w:lang w:val="en-US" w:eastAsia="zh-CN"/>
        </w:rPr>
        <w:t>欧元区经济终于开始“软启动”</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欧洲的经济前景正在改善。近期欧盟统计局公布的数据显示，今年第一季度欧元区经济环比增长0.3%。尽管增幅不大，但仍是连续六个季度以来的首次大幅增长（见图），说明欧元区经济正在摆脱衰退。</w:t>
      </w:r>
    </w:p>
    <w:p>
      <w:pPr>
        <w:keepNext w:val="0"/>
        <w:keepLines w:val="0"/>
        <w:pageBreakBefore w:val="0"/>
        <w:widowControl w:val="0"/>
        <w:kinsoku/>
        <w:wordWrap/>
        <w:overflowPunct/>
        <w:topLinePunct w:val="0"/>
        <w:autoSpaceDE/>
        <w:autoSpaceDN/>
        <w:bidi w:val="0"/>
        <w:adjustRightInd/>
        <w:snapToGrid/>
        <w:ind w:firstLine="776" w:firstLineChars="400"/>
        <w:textAlignment w:val="auto"/>
        <w:outlineLvl w:val="9"/>
        <w:rPr>
          <w:rFonts w:hint="eastAsia" w:asciiTheme="minorEastAsia" w:hAnsiTheme="minorEastAsia" w:eastAsiaTheme="minorEastAsia" w:cstheme="minorEastAsia"/>
          <w:sz w:val="32"/>
          <w:szCs w:val="32"/>
          <w:lang w:val="en-US" w:eastAsia="zh-CN"/>
        </w:rPr>
      </w:pPr>
      <w:r>
        <w:drawing>
          <wp:anchor distT="0" distB="0" distL="114300" distR="114300" simplePos="0" relativeHeight="251666432" behindDoc="0" locked="0" layoutInCell="1" allowOverlap="1">
            <wp:simplePos x="0" y="0"/>
            <wp:positionH relativeFrom="column">
              <wp:posOffset>54610</wp:posOffset>
            </wp:positionH>
            <wp:positionV relativeFrom="paragraph">
              <wp:posOffset>54610</wp:posOffset>
            </wp:positionV>
            <wp:extent cx="3003550" cy="2096770"/>
            <wp:effectExtent l="0" t="0" r="6350" b="17780"/>
            <wp:wrapSquare wrapText="bothSides"/>
            <wp:docPr id="3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5"/>
                    <pic:cNvPicPr>
                      <a:picLocks noChangeAspect="1"/>
                    </pic:cNvPicPr>
                  </pic:nvPicPr>
                  <pic:blipFill>
                    <a:blip r:embed="rId14"/>
                    <a:stretch>
                      <a:fillRect/>
                    </a:stretch>
                  </pic:blipFill>
                  <pic:spPr>
                    <a:xfrm>
                      <a:off x="0" y="0"/>
                      <a:ext cx="3003550" cy="2096770"/>
                    </a:xfrm>
                    <a:prstGeom prst="rect">
                      <a:avLst/>
                    </a:prstGeom>
                    <a:noFill/>
                    <a:ln>
                      <a:noFill/>
                    </a:ln>
                  </pic:spPr>
                </pic:pic>
              </a:graphicData>
            </a:graphic>
          </wp:anchor>
        </w:drawing>
      </w:r>
      <w:r>
        <w:rPr>
          <w:rFonts w:hint="eastAsia" w:asciiTheme="minorEastAsia" w:hAnsiTheme="minorEastAsia" w:eastAsiaTheme="minorEastAsia" w:cstheme="minorEastAsia"/>
          <w:sz w:val="32"/>
          <w:szCs w:val="32"/>
          <w:lang w:val="en-US" w:eastAsia="zh-CN"/>
        </w:rPr>
        <w:t>上周，欧盟委员会上调了对2024年欧盟经济增长的预测。欧盟经济委员的官员感叹道：“我们相信，我们已经度过了困难或危机，开始朝着积极的方向发展。”</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left="0" w:firstLine="388" w:firstLineChars="200"/>
        <w:jc w:val="left"/>
        <w:textAlignment w:val="auto"/>
        <w:outlineLvl w:val="9"/>
        <w:rPr>
          <w:rFonts w:hint="eastAsia" w:asciiTheme="minorEastAsia" w:hAnsiTheme="minorEastAsia" w:eastAsiaTheme="minorEastAsia" w:cstheme="minorEastAsia"/>
          <w:sz w:val="32"/>
          <w:szCs w:val="32"/>
          <w:lang w:val="en-US" w:eastAsia="zh-CN"/>
        </w:rPr>
      </w:pPr>
      <w:r>
        <w:drawing>
          <wp:anchor distT="0" distB="0" distL="114300" distR="114300" simplePos="0" relativeHeight="251667456" behindDoc="0" locked="0" layoutInCell="1" allowOverlap="1">
            <wp:simplePos x="0" y="0"/>
            <wp:positionH relativeFrom="column">
              <wp:posOffset>2190750</wp:posOffset>
            </wp:positionH>
            <wp:positionV relativeFrom="paragraph">
              <wp:posOffset>1601470</wp:posOffset>
            </wp:positionV>
            <wp:extent cx="3297555" cy="2301875"/>
            <wp:effectExtent l="0" t="0" r="17145" b="3175"/>
            <wp:wrapSquare wrapText="bothSides"/>
            <wp:docPr id="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pic:cNvPicPr>
                      <a:picLocks noChangeAspect="1"/>
                    </pic:cNvPicPr>
                  </pic:nvPicPr>
                  <pic:blipFill>
                    <a:blip r:embed="rId15"/>
                    <a:stretch>
                      <a:fillRect/>
                    </a:stretch>
                  </pic:blipFill>
                  <pic:spPr>
                    <a:xfrm>
                      <a:off x="0" y="0"/>
                      <a:ext cx="3297555" cy="2301875"/>
                    </a:xfrm>
                    <a:prstGeom prst="rect">
                      <a:avLst/>
                    </a:prstGeom>
                    <a:noFill/>
                    <a:ln>
                      <a:noFill/>
                    </a:ln>
                  </pic:spPr>
                </pic:pic>
              </a:graphicData>
            </a:graphic>
          </wp:anchor>
        </w:drawing>
      </w:r>
      <w:r>
        <w:rPr>
          <w:rFonts w:hint="eastAsia" w:asciiTheme="minorEastAsia" w:hAnsiTheme="minorEastAsia" w:eastAsiaTheme="minorEastAsia" w:cstheme="minorEastAsia"/>
          <w:sz w:val="32"/>
          <w:szCs w:val="32"/>
          <w:lang w:val="en-US" w:eastAsia="zh-CN"/>
        </w:rPr>
        <w:t>欧元区的通货膨胀也得到了控制。上周公布的数据显示，欧元区4月份的CPI同比增长2.4%，只比欧洲央行（ECB）2%的目标略高一点了；（不包括食品和能源价格的）核心通胀率，也从2.9%降至2.7%，这意味着推动通胀下降的因素，不仅仅是天然气价格的暴跌。</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left="0" w:firstLine="608" w:firstLineChars="200"/>
        <w:jc w:val="left"/>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目前，天然气价格已跌至2022年最高时的四分之一左右，欧元区暂时渡过了能源危机，但工业遭受重创。</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left="0" w:firstLine="608" w:firstLineChars="200"/>
        <w:jc w:val="left"/>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令人欣慰的是，在实现去通胀同时，失业率却没有上升。今年第一季度，欧盟的失业率为6.1%，为2000年以来的次低水平（见图）。</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388" w:firstLineChars="200"/>
        <w:jc w:val="left"/>
        <w:textAlignment w:val="auto"/>
        <w:rPr>
          <w:rFonts w:hint="default" w:ascii="Calibri" w:hAnsi="Calibri" w:cs="Calibri"/>
          <w:lang w:val="en-US" w:eastAsia="zh-CN"/>
        </w:rPr>
      </w:pPr>
    </w:p>
    <w:p>
      <w:pPr>
        <w:rPr>
          <w:rFonts w:hint="eastAsia"/>
          <w:b/>
          <w:bCs/>
          <w:color w:val="0000FF"/>
          <w:highlight w:val="yellow"/>
          <w:lang w:val="en-US" w:eastAsia="zh-CN"/>
        </w:rPr>
      </w:pPr>
      <w:r>
        <w:rPr>
          <w:rFonts w:hint="eastAsia" w:ascii="方正小标宋_GBK" w:hAnsi="方正小标宋_GBK" w:eastAsia="方正小标宋_GBK" w:cs="方正小标宋_GBK"/>
          <w:b/>
          <w:bCs/>
          <w:color w:val="0000FF"/>
          <w:sz w:val="32"/>
          <w:szCs w:val="32"/>
          <w:highlight w:val="yellow"/>
          <w:lang w:val="en-US" w:eastAsia="zh-CN"/>
        </w:rPr>
        <w:t>5月23日（周四）</w:t>
      </w:r>
    </w:p>
    <w:p>
      <w:pPr>
        <w:rPr>
          <w:rFonts w:hint="default"/>
          <w:b/>
          <w:bCs/>
          <w:color w:val="0000FF"/>
          <w:highlight w:val="yellow"/>
          <w:lang w:val="en-US" w:eastAsia="zh-CN"/>
        </w:rPr>
      </w:pPr>
      <w:r>
        <w:rPr>
          <w:rFonts w:hint="eastAsia" w:ascii="方正小标宋_GBK" w:hAnsi="方正小标宋_GBK" w:eastAsia="方正小标宋_GBK" w:cs="方正小标宋_GBK"/>
          <w:b/>
          <w:bCs/>
          <w:color w:val="0000FF"/>
          <w:spacing w:val="-11"/>
          <w:sz w:val="36"/>
          <w:szCs w:val="36"/>
          <w:highlight w:val="yellow"/>
          <w:lang w:val="en-US" w:eastAsia="zh-CN"/>
        </w:rPr>
        <w:t>美联储会议纪要放鹰、英伟达交完美答卷、不同行业各有喜忧</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5月22日</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周三</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美联储</w:t>
      </w:r>
      <w:r>
        <w:rPr>
          <w:rFonts w:hint="eastAsia" w:asciiTheme="minorEastAsia" w:hAnsiTheme="minorEastAsia" w:eastAsiaTheme="minorEastAsia" w:cstheme="minorEastAsia"/>
          <w:sz w:val="32"/>
          <w:szCs w:val="32"/>
          <w:lang w:eastAsia="zh-CN"/>
        </w:rPr>
        <w:t>公布本月初议息</w:t>
      </w:r>
      <w:r>
        <w:rPr>
          <w:rFonts w:hint="eastAsia" w:asciiTheme="minorEastAsia" w:hAnsiTheme="minorEastAsia" w:eastAsiaTheme="minorEastAsia" w:cstheme="minorEastAsia"/>
          <w:sz w:val="32"/>
          <w:szCs w:val="32"/>
        </w:rPr>
        <w:t>会议</w:t>
      </w:r>
      <w:r>
        <w:rPr>
          <w:rFonts w:hint="eastAsia" w:asciiTheme="minorEastAsia" w:hAnsiTheme="minorEastAsia" w:eastAsiaTheme="minorEastAsia" w:cstheme="minorEastAsia"/>
          <w:sz w:val="32"/>
          <w:szCs w:val="32"/>
          <w:lang w:eastAsia="zh-CN"/>
        </w:rPr>
        <w:t>的</w:t>
      </w:r>
      <w:r>
        <w:rPr>
          <w:rFonts w:hint="eastAsia" w:asciiTheme="minorEastAsia" w:hAnsiTheme="minorEastAsia" w:eastAsiaTheme="minorEastAsia" w:cstheme="minorEastAsia"/>
          <w:sz w:val="32"/>
          <w:szCs w:val="32"/>
        </w:rPr>
        <w:t>纪要</w:t>
      </w:r>
      <w:r>
        <w:rPr>
          <w:rFonts w:hint="eastAsia" w:asciiTheme="minorEastAsia" w:hAnsiTheme="minorEastAsia" w:eastAsiaTheme="minorEastAsia" w:cstheme="minorEastAsia"/>
          <w:sz w:val="32"/>
          <w:szCs w:val="32"/>
          <w:lang w:eastAsia="zh-CN"/>
        </w:rPr>
        <w:t>，其中的</w:t>
      </w:r>
      <w:r>
        <w:rPr>
          <w:rFonts w:hint="eastAsia" w:asciiTheme="minorEastAsia" w:hAnsiTheme="minorEastAsia" w:eastAsiaTheme="minorEastAsia" w:cstheme="minorEastAsia"/>
          <w:sz w:val="32"/>
          <w:szCs w:val="32"/>
        </w:rPr>
        <w:t>鹰派</w:t>
      </w:r>
      <w:r>
        <w:rPr>
          <w:rFonts w:hint="eastAsia" w:asciiTheme="minorEastAsia" w:hAnsiTheme="minorEastAsia" w:eastAsiaTheme="minorEastAsia" w:cstheme="minorEastAsia"/>
          <w:sz w:val="32"/>
          <w:szCs w:val="32"/>
          <w:lang w:eastAsia="zh-CN"/>
        </w:rPr>
        <w:t>描述让市场不安：</w:t>
      </w:r>
      <w:r>
        <w:rPr>
          <w:rFonts w:hint="eastAsia" w:asciiTheme="minorEastAsia" w:hAnsiTheme="minorEastAsia" w:eastAsiaTheme="minorEastAsia" w:cstheme="minorEastAsia"/>
          <w:sz w:val="32"/>
          <w:szCs w:val="32"/>
        </w:rPr>
        <w:t>许多</w:t>
      </w:r>
      <w:r>
        <w:rPr>
          <w:rFonts w:hint="eastAsia" w:asciiTheme="minorEastAsia" w:hAnsiTheme="minorEastAsia" w:eastAsiaTheme="minorEastAsia" w:cstheme="minorEastAsia"/>
          <w:sz w:val="32"/>
          <w:szCs w:val="32"/>
          <w:lang w:eastAsia="zh-CN"/>
        </w:rPr>
        <w:t>与会代表（美联储高层）表示，目前利率水平的</w:t>
      </w:r>
      <w:r>
        <w:rPr>
          <w:rFonts w:hint="eastAsia" w:asciiTheme="minorEastAsia" w:hAnsiTheme="minorEastAsia" w:eastAsiaTheme="minorEastAsia" w:cstheme="minorEastAsia"/>
          <w:sz w:val="32"/>
          <w:szCs w:val="32"/>
        </w:rPr>
        <w:t>限制性程度</w:t>
      </w:r>
      <w:r>
        <w:rPr>
          <w:rFonts w:hint="eastAsia" w:asciiTheme="minorEastAsia" w:hAnsiTheme="minorEastAsia" w:eastAsiaTheme="minorEastAsia" w:cstheme="minorEastAsia"/>
          <w:sz w:val="32"/>
          <w:szCs w:val="32"/>
          <w:lang w:eastAsia="zh-CN"/>
        </w:rPr>
        <w:t>仍存在</w:t>
      </w:r>
      <w:r>
        <w:rPr>
          <w:rFonts w:hint="eastAsia" w:asciiTheme="minorEastAsia" w:hAnsiTheme="minorEastAsia" w:eastAsiaTheme="minorEastAsia" w:cstheme="minorEastAsia"/>
          <w:sz w:val="32"/>
          <w:szCs w:val="32"/>
        </w:rPr>
        <w:t>不确定</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对通胀进展缺乏信心</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愿</w:t>
      </w:r>
      <w:r>
        <w:rPr>
          <w:rFonts w:hint="eastAsia" w:asciiTheme="minorEastAsia" w:hAnsiTheme="minorEastAsia" w:eastAsiaTheme="minorEastAsia" w:cstheme="minorEastAsia"/>
          <w:sz w:val="32"/>
          <w:szCs w:val="32"/>
          <w:lang w:eastAsia="zh-CN"/>
        </w:rPr>
        <w:t>意</w:t>
      </w:r>
      <w:r>
        <w:rPr>
          <w:rFonts w:hint="eastAsia" w:asciiTheme="minorEastAsia" w:hAnsiTheme="minorEastAsia" w:eastAsiaTheme="minorEastAsia" w:cstheme="minorEastAsia"/>
          <w:sz w:val="32"/>
          <w:szCs w:val="32"/>
        </w:rPr>
        <w:t>在必要时</w:t>
      </w:r>
      <w:r>
        <w:rPr>
          <w:rFonts w:hint="eastAsia" w:asciiTheme="minorEastAsia" w:hAnsiTheme="minorEastAsia" w:eastAsiaTheme="minorEastAsia" w:cstheme="minorEastAsia"/>
          <w:sz w:val="32"/>
          <w:szCs w:val="32"/>
          <w:lang w:eastAsia="zh-CN"/>
        </w:rPr>
        <w:t>进一步</w:t>
      </w:r>
      <w:r>
        <w:rPr>
          <w:rFonts w:hint="eastAsia" w:asciiTheme="minorEastAsia" w:hAnsiTheme="minorEastAsia" w:eastAsiaTheme="minorEastAsia" w:cstheme="minorEastAsia"/>
          <w:sz w:val="32"/>
          <w:szCs w:val="32"/>
        </w:rPr>
        <w:t>紧缩</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纪要公布后</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美债收益率走高</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交易员削减了降息押注</w:t>
      </w:r>
      <w:r>
        <w:rPr>
          <w:rFonts w:hint="eastAsia" w:asciiTheme="minorEastAsia" w:hAnsiTheme="minorEastAsia" w:eastAsiaTheme="minorEastAsia" w:cstheme="minorEastAsia"/>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eastAsia="zh-CN"/>
        </w:rPr>
        <w:t>周三，美股盘后，英伟达（</w:t>
      </w:r>
      <w:r>
        <w:rPr>
          <w:rFonts w:hint="eastAsia" w:asciiTheme="minorEastAsia" w:hAnsiTheme="minorEastAsia" w:eastAsiaTheme="minorEastAsia" w:cstheme="minorEastAsia"/>
          <w:sz w:val="32"/>
          <w:szCs w:val="32"/>
          <w:lang w:val="en-US" w:eastAsia="zh-CN"/>
        </w:rPr>
        <w:t>NVIDIA）发布</w:t>
      </w:r>
      <w:r>
        <w:rPr>
          <w:rFonts w:hint="eastAsia" w:asciiTheme="minorEastAsia" w:hAnsiTheme="minorEastAsia" w:eastAsiaTheme="minorEastAsia" w:cstheme="minorEastAsia"/>
          <w:sz w:val="32"/>
          <w:szCs w:val="32"/>
        </w:rPr>
        <w:t>财报</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第一财季营收260亿</w:t>
      </w:r>
      <w:r>
        <w:rPr>
          <w:rFonts w:hint="eastAsia" w:asciiTheme="minorEastAsia" w:hAnsiTheme="minorEastAsia" w:eastAsiaTheme="minorEastAsia" w:cstheme="minorEastAsia"/>
          <w:sz w:val="32"/>
          <w:szCs w:val="32"/>
          <w:lang w:eastAsia="zh-CN"/>
        </w:rPr>
        <w:t>美元，每股收益</w:t>
      </w:r>
      <w:r>
        <w:rPr>
          <w:rFonts w:hint="eastAsia" w:asciiTheme="minorEastAsia" w:hAnsiTheme="minorEastAsia" w:eastAsiaTheme="minorEastAsia" w:cstheme="minorEastAsia"/>
          <w:sz w:val="32"/>
          <w:szCs w:val="32"/>
          <w:lang w:val="en-US" w:eastAsia="zh-CN"/>
        </w:rPr>
        <w:t>6.12美元，同比增长</w:t>
      </w:r>
      <w:r>
        <w:rPr>
          <w:rFonts w:hint="eastAsia" w:asciiTheme="minorEastAsia" w:hAnsiTheme="minorEastAsia" w:eastAsiaTheme="minorEastAsia" w:cstheme="minorEastAsia"/>
          <w:sz w:val="32"/>
          <w:szCs w:val="32"/>
          <w:lang w:eastAsia="zh-CN"/>
        </w:rPr>
        <w:t>分别为</w:t>
      </w:r>
      <w:r>
        <w:rPr>
          <w:rFonts w:hint="eastAsia" w:asciiTheme="minorEastAsia" w:hAnsiTheme="minorEastAsia" w:eastAsiaTheme="minorEastAsia" w:cstheme="minorEastAsia"/>
          <w:sz w:val="32"/>
          <w:szCs w:val="32"/>
        </w:rPr>
        <w:t>262%</w:t>
      </w:r>
      <w:r>
        <w:rPr>
          <w:rFonts w:hint="eastAsia" w:asciiTheme="minorEastAsia" w:hAnsiTheme="minorEastAsia" w:eastAsiaTheme="minorEastAsia" w:cstheme="minorEastAsia"/>
          <w:sz w:val="32"/>
          <w:szCs w:val="32"/>
          <w:lang w:eastAsia="zh-CN"/>
        </w:rPr>
        <w:t>和</w:t>
      </w:r>
      <w:r>
        <w:rPr>
          <w:rFonts w:hint="eastAsia" w:asciiTheme="minorEastAsia" w:hAnsiTheme="minorEastAsia" w:eastAsiaTheme="minorEastAsia" w:cstheme="minorEastAsia"/>
          <w:sz w:val="32"/>
          <w:szCs w:val="32"/>
          <w:lang w:val="en-US" w:eastAsia="zh-CN"/>
        </w:rPr>
        <w:t>461%。该公司最大最重要的业务是“数据中心”的销售，</w:t>
      </w:r>
      <w:r>
        <w:rPr>
          <w:rFonts w:hint="eastAsia" w:asciiTheme="minorEastAsia" w:hAnsiTheme="minorEastAsia" w:eastAsiaTheme="minorEastAsia" w:cstheme="minorEastAsia"/>
          <w:sz w:val="32"/>
          <w:szCs w:val="32"/>
          <w:lang w:eastAsia="zh-CN"/>
        </w:rPr>
        <w:t>销售</w:t>
      </w:r>
      <w:r>
        <w:rPr>
          <w:rFonts w:hint="eastAsia" w:asciiTheme="minorEastAsia" w:hAnsiTheme="minorEastAsia" w:eastAsiaTheme="minorEastAsia" w:cstheme="minorEastAsia"/>
          <w:sz w:val="32"/>
          <w:szCs w:val="32"/>
        </w:rPr>
        <w:t>收入为226亿</w:t>
      </w:r>
      <w:r>
        <w:rPr>
          <w:rFonts w:hint="eastAsia" w:asciiTheme="minorEastAsia" w:hAnsiTheme="minorEastAsia" w:eastAsiaTheme="minorEastAsia" w:cstheme="minorEastAsia"/>
          <w:sz w:val="32"/>
          <w:szCs w:val="32"/>
          <w:lang w:eastAsia="zh-CN"/>
        </w:rPr>
        <w:t>美元，同比增长</w:t>
      </w:r>
      <w:r>
        <w:rPr>
          <w:rFonts w:hint="eastAsia" w:asciiTheme="minorEastAsia" w:hAnsiTheme="minorEastAsia" w:eastAsiaTheme="minorEastAsia" w:cstheme="minorEastAsia"/>
          <w:sz w:val="32"/>
          <w:szCs w:val="32"/>
        </w:rPr>
        <w:t>427%</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环比</w:t>
      </w:r>
      <w:r>
        <w:rPr>
          <w:rFonts w:hint="eastAsia" w:asciiTheme="minorEastAsia" w:hAnsiTheme="minorEastAsia" w:eastAsiaTheme="minorEastAsia" w:cstheme="minorEastAsia"/>
          <w:sz w:val="32"/>
          <w:szCs w:val="32"/>
          <w:lang w:eastAsia="zh-CN"/>
        </w:rPr>
        <w:t>增长</w:t>
      </w:r>
      <w:r>
        <w:rPr>
          <w:rFonts w:hint="eastAsia" w:asciiTheme="minorEastAsia" w:hAnsiTheme="minorEastAsia" w:eastAsiaTheme="minorEastAsia" w:cstheme="minorEastAsia"/>
          <w:sz w:val="32"/>
          <w:szCs w:val="32"/>
        </w:rPr>
        <w:t>23%, 占本季度总收入的86%。</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英伟达的“数据中心”，是包括多种硬件和软件组合，旨在提供强大的端到端AI和高性能计算。</w:t>
      </w:r>
    </w:p>
    <w:p>
      <w:pPr>
        <w:rPr>
          <w:rFonts w:hint="eastAsia" w:asciiTheme="minorEastAsia" w:hAnsiTheme="minorEastAsia" w:eastAsiaTheme="minorEastAsia" w:cstheme="minorEastAsia"/>
          <w:sz w:val="32"/>
          <w:szCs w:val="32"/>
          <w:lang w:val="en-US" w:eastAsia="zh-CN"/>
        </w:rPr>
      </w:pPr>
      <w:r>
        <w:drawing>
          <wp:anchor distT="0" distB="0" distL="114300" distR="114300" simplePos="0" relativeHeight="251668480" behindDoc="0" locked="0" layoutInCell="1" allowOverlap="1">
            <wp:simplePos x="0" y="0"/>
            <wp:positionH relativeFrom="column">
              <wp:posOffset>180340</wp:posOffset>
            </wp:positionH>
            <wp:positionV relativeFrom="paragraph">
              <wp:posOffset>48260</wp:posOffset>
            </wp:positionV>
            <wp:extent cx="2597785" cy="1732280"/>
            <wp:effectExtent l="0" t="0" r="12065" b="1270"/>
            <wp:wrapSquare wrapText="bothSides"/>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16"/>
                    <a:stretch>
                      <a:fillRect/>
                    </a:stretch>
                  </pic:blipFill>
                  <pic:spPr>
                    <a:xfrm>
                      <a:off x="0" y="0"/>
                      <a:ext cx="2597785" cy="1732280"/>
                    </a:xfrm>
                    <a:prstGeom prst="rect">
                      <a:avLst/>
                    </a:prstGeom>
                    <a:noFill/>
                    <a:ln>
                      <a:noFill/>
                    </a:ln>
                  </pic:spPr>
                </pic:pic>
              </a:graphicData>
            </a:graphic>
          </wp:anchor>
        </w:drawing>
      </w:r>
      <w:r>
        <w:rPr>
          <w:rFonts w:hint="eastAsia" w:asciiTheme="minorEastAsia" w:hAnsi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lang w:eastAsia="zh-CN"/>
        </w:rPr>
        <w:t>目前，全球有四家科技公司的市值超过</w:t>
      </w:r>
      <w:r>
        <w:rPr>
          <w:rFonts w:hint="eastAsia" w:asciiTheme="minorEastAsia" w:hAnsiTheme="minorEastAsia" w:eastAsiaTheme="minorEastAsia" w:cstheme="minorEastAsia"/>
          <w:sz w:val="32"/>
          <w:szCs w:val="32"/>
          <w:lang w:val="en-US" w:eastAsia="zh-CN"/>
        </w:rPr>
        <w:t>2万亿美元，即微软、苹果、谷歌和英伟达，英伟达凭借其GPU引领了AI的算力革命，在过去短短8个月内，市值从1万亿美元飙升到2万亿美元，成为全球规模最大的芯片公司。</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同日，美国第三大</w:t>
      </w:r>
      <w:r>
        <w:rPr>
          <w:rFonts w:hint="eastAsia" w:asciiTheme="minorEastAsia" w:hAnsiTheme="minorEastAsia" w:eastAsiaTheme="minorEastAsia" w:cstheme="minorEastAsia"/>
          <w:sz w:val="32"/>
          <w:szCs w:val="32"/>
        </w:rPr>
        <w:t>零售</w:t>
      </w:r>
      <w:r>
        <w:rPr>
          <w:rFonts w:hint="eastAsia" w:asciiTheme="minorEastAsia" w:hAnsiTheme="minorEastAsia" w:eastAsiaTheme="minorEastAsia" w:cstheme="minorEastAsia"/>
          <w:sz w:val="32"/>
          <w:szCs w:val="32"/>
          <w:lang w:eastAsia="zh-CN"/>
        </w:rPr>
        <w:t>商</w:t>
      </w:r>
      <w:r>
        <w:rPr>
          <w:rFonts w:hint="eastAsia" w:asciiTheme="minorEastAsia" w:hAnsiTheme="minorEastAsia" w:eastAsiaTheme="minorEastAsia" w:cstheme="minorEastAsia"/>
          <w:sz w:val="32"/>
          <w:szCs w:val="32"/>
        </w:rPr>
        <w:t>塔吉特</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Target</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公布财报</w:t>
      </w:r>
      <w:r>
        <w:rPr>
          <w:rFonts w:hint="eastAsia" w:asciiTheme="minorEastAsia" w:hAnsiTheme="minorEastAsia" w:eastAsiaTheme="minorEastAsia" w:cstheme="minorEastAsia"/>
          <w:sz w:val="32"/>
          <w:szCs w:val="32"/>
          <w:lang w:eastAsia="zh-CN"/>
        </w:rPr>
        <w:t>。财报称，美国消费者对</w:t>
      </w:r>
      <w:r>
        <w:rPr>
          <w:rFonts w:hint="eastAsia" w:asciiTheme="minorEastAsia" w:hAnsiTheme="minorEastAsia" w:eastAsiaTheme="minorEastAsia" w:cstheme="minorEastAsia"/>
          <w:sz w:val="32"/>
          <w:szCs w:val="32"/>
        </w:rPr>
        <w:t>非必需品的需求</w:t>
      </w:r>
      <w:r>
        <w:rPr>
          <w:rFonts w:hint="eastAsia" w:asciiTheme="minorEastAsia" w:hAnsiTheme="minorEastAsia" w:eastAsiaTheme="minorEastAsia" w:cstheme="minorEastAsia"/>
          <w:sz w:val="32"/>
          <w:szCs w:val="32"/>
          <w:lang w:eastAsia="zh-CN"/>
        </w:rPr>
        <w:t>降温，</w:t>
      </w:r>
      <w:r>
        <w:rPr>
          <w:rFonts w:hint="eastAsia" w:asciiTheme="minorEastAsia" w:hAnsiTheme="minorEastAsia" w:eastAsiaTheme="minorEastAsia" w:cstheme="minorEastAsia"/>
          <w:sz w:val="32"/>
          <w:szCs w:val="32"/>
        </w:rPr>
        <w:t>拖累</w:t>
      </w:r>
      <w:r>
        <w:rPr>
          <w:rFonts w:hint="eastAsia" w:asciiTheme="minorEastAsia" w:hAnsiTheme="minorEastAsia" w:eastAsiaTheme="minorEastAsia" w:cstheme="minorEastAsia"/>
          <w:sz w:val="32"/>
          <w:szCs w:val="32"/>
          <w:lang w:eastAsia="zh-CN"/>
        </w:rPr>
        <w:t>了</w:t>
      </w:r>
      <w:r>
        <w:rPr>
          <w:rFonts w:hint="eastAsia" w:asciiTheme="minorEastAsia" w:hAnsiTheme="minorEastAsia" w:eastAsiaTheme="minorEastAsia" w:cstheme="minorEastAsia"/>
          <w:sz w:val="32"/>
          <w:szCs w:val="32"/>
        </w:rPr>
        <w:t>公司的收入增长</w:t>
      </w:r>
      <w:r>
        <w:rPr>
          <w:rFonts w:hint="eastAsia" w:asciiTheme="minorEastAsia" w:hAnsiTheme="minorEastAsia" w:eastAsiaTheme="minorEastAsia" w:cstheme="minorEastAsia"/>
          <w:sz w:val="32"/>
          <w:szCs w:val="32"/>
          <w:lang w:eastAsia="zh-CN"/>
        </w:rPr>
        <w:t>，第一财季</w:t>
      </w:r>
      <w:r>
        <w:rPr>
          <w:rFonts w:hint="eastAsia" w:asciiTheme="minorEastAsia" w:hAnsiTheme="minorEastAsia" w:eastAsiaTheme="minorEastAsia" w:cstheme="minorEastAsia"/>
          <w:sz w:val="32"/>
          <w:szCs w:val="32"/>
        </w:rPr>
        <w:t>总营收为245.3亿</w:t>
      </w:r>
      <w:r>
        <w:rPr>
          <w:rFonts w:hint="eastAsia" w:asciiTheme="minorEastAsia" w:hAnsiTheme="minorEastAsia" w:eastAsiaTheme="minorEastAsia" w:cstheme="minorEastAsia"/>
          <w:sz w:val="32"/>
          <w:szCs w:val="32"/>
          <w:lang w:eastAsia="zh-CN"/>
        </w:rPr>
        <w:t>美元，同比下降</w:t>
      </w:r>
      <w:r>
        <w:rPr>
          <w:rFonts w:hint="eastAsia" w:asciiTheme="minorEastAsia" w:hAnsiTheme="minorEastAsia" w:eastAsiaTheme="minorEastAsia" w:cstheme="minorEastAsia"/>
          <w:sz w:val="32"/>
          <w:szCs w:val="32"/>
        </w:rPr>
        <w:t>3.1%</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门店销售额下降4.8</w:t>
      </w:r>
      <w:r>
        <w:rPr>
          <w:rFonts w:hint="eastAsia" w:asciiTheme="minorEastAsia" w:hAnsiTheme="minorEastAsia" w:eastAsiaTheme="minorEastAsia" w:cstheme="minorEastAsia"/>
          <w:sz w:val="32"/>
          <w:szCs w:val="32"/>
          <w:lang w:val="en-US" w:eastAsia="zh-CN"/>
        </w:rPr>
        <w:t>%</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净利润为9.42</w:t>
      </w:r>
      <w:r>
        <w:rPr>
          <w:rFonts w:hint="eastAsia" w:asciiTheme="minorEastAsia" w:hAnsiTheme="minorEastAsia" w:eastAsiaTheme="minorEastAsia" w:cstheme="minorEastAsia"/>
          <w:sz w:val="32"/>
          <w:szCs w:val="32"/>
          <w:lang w:eastAsia="zh-CN"/>
        </w:rPr>
        <w:t>亿美元，同比下降</w:t>
      </w:r>
      <w:r>
        <w:rPr>
          <w:rFonts w:hint="eastAsia" w:asciiTheme="minorEastAsia" w:hAnsiTheme="minorEastAsia" w:eastAsiaTheme="minorEastAsia" w:cstheme="minorEastAsia"/>
          <w:sz w:val="32"/>
          <w:szCs w:val="32"/>
        </w:rPr>
        <w:t>0.8%</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调整后每股收益为2.03</w:t>
      </w:r>
      <w:r>
        <w:rPr>
          <w:rFonts w:hint="eastAsia" w:asciiTheme="minorEastAsia" w:hAnsiTheme="minorEastAsia" w:eastAsiaTheme="minorEastAsia" w:cstheme="minorEastAsia"/>
          <w:sz w:val="32"/>
          <w:szCs w:val="32"/>
          <w:lang w:eastAsia="zh-CN"/>
        </w:rPr>
        <w:t>美元，略低于</w:t>
      </w:r>
      <w:r>
        <w:rPr>
          <w:rFonts w:hint="eastAsia" w:asciiTheme="minorEastAsia" w:hAnsiTheme="minorEastAsia" w:eastAsiaTheme="minorEastAsia" w:cstheme="minorEastAsia"/>
          <w:sz w:val="32"/>
          <w:szCs w:val="32"/>
        </w:rPr>
        <w:t>预期</w:t>
      </w:r>
      <w:r>
        <w:rPr>
          <w:rFonts w:hint="eastAsia" w:asciiTheme="minorEastAsia" w:hAnsiTheme="minorEastAsia" w:eastAsiaTheme="minorEastAsia" w:cstheme="minorEastAsia"/>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好消息是</w:t>
      </w:r>
      <w:r>
        <w:rPr>
          <w:rFonts w:hint="eastAsia" w:asciiTheme="minorEastAsia" w:hAnsiTheme="minorEastAsia" w:eastAsiaTheme="minorEastAsia" w:cstheme="minorEastAsia"/>
          <w:sz w:val="32"/>
          <w:szCs w:val="32"/>
          <w:lang w:eastAsia="zh-CN"/>
        </w:rPr>
        <w:t>其</w:t>
      </w:r>
      <w:r>
        <w:rPr>
          <w:rFonts w:hint="eastAsia" w:asciiTheme="minorEastAsia" w:hAnsiTheme="minorEastAsia" w:eastAsiaTheme="minorEastAsia" w:cstheme="minorEastAsia"/>
          <w:sz w:val="32"/>
          <w:szCs w:val="32"/>
        </w:rPr>
        <w:t>库存从去年的8.83亿</w:t>
      </w:r>
      <w:r>
        <w:rPr>
          <w:rFonts w:hint="eastAsia" w:asciiTheme="minorEastAsia" w:hAnsiTheme="minorEastAsia" w:eastAsiaTheme="minorEastAsia" w:cstheme="minorEastAsia"/>
          <w:sz w:val="32"/>
          <w:szCs w:val="32"/>
          <w:lang w:eastAsia="zh-CN"/>
        </w:rPr>
        <w:t>美元至降</w:t>
      </w:r>
      <w:r>
        <w:rPr>
          <w:rFonts w:hint="eastAsia" w:asciiTheme="minorEastAsia" w:hAnsiTheme="minorEastAsia" w:eastAsiaTheme="minorEastAsia" w:cstheme="minorEastAsia"/>
          <w:sz w:val="32"/>
          <w:szCs w:val="32"/>
        </w:rPr>
        <w:t>1.56亿</w:t>
      </w:r>
      <w:r>
        <w:rPr>
          <w:rFonts w:hint="eastAsia" w:asciiTheme="minorEastAsia" w:hAnsiTheme="minorEastAsia" w:eastAsiaTheme="minorEastAsia" w:cstheme="minorEastAsia"/>
          <w:sz w:val="32"/>
          <w:szCs w:val="32"/>
          <w:lang w:eastAsia="zh-CN"/>
        </w:rPr>
        <w:t>美元，</w:t>
      </w:r>
      <w:r>
        <w:rPr>
          <w:rFonts w:hint="eastAsia" w:asciiTheme="minorEastAsia" w:hAnsiTheme="minorEastAsia" w:eastAsiaTheme="minorEastAsia" w:cstheme="minorEastAsia"/>
          <w:sz w:val="32"/>
          <w:szCs w:val="32"/>
        </w:rPr>
        <w:t>下降了80%。公司CEO表示：</w:t>
      </w:r>
      <w:r>
        <w:rPr>
          <w:rFonts w:hint="eastAsia" w:asciiTheme="minorEastAsia" w:hAnsiTheme="minorEastAsia" w:eastAsiaTheme="minorEastAsia" w:cstheme="minorEastAsia"/>
          <w:sz w:val="32"/>
          <w:szCs w:val="32"/>
          <w:lang w:eastAsia="zh-CN"/>
        </w:rPr>
        <w:t>美国的</w:t>
      </w:r>
      <w:r>
        <w:rPr>
          <w:rFonts w:hint="eastAsia" w:asciiTheme="minorEastAsia" w:hAnsiTheme="minorEastAsia" w:eastAsiaTheme="minorEastAsia" w:cstheme="minorEastAsia"/>
          <w:sz w:val="32"/>
          <w:szCs w:val="32"/>
        </w:rPr>
        <w:t>消费者支出仍具有韧性</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但对近期增长前景维持谨慎观点</w:t>
      </w:r>
      <w:r>
        <w:rPr>
          <w:rFonts w:hint="eastAsia" w:asciiTheme="minorEastAsia" w:hAnsiTheme="minorEastAsia" w:eastAsiaTheme="minorEastAsia" w:cstheme="minorEastAsia"/>
          <w:sz w:val="32"/>
          <w:szCs w:val="32"/>
          <w:lang w:eastAsia="zh-CN"/>
        </w:rPr>
        <w:t>；家庭</w:t>
      </w:r>
      <w:r>
        <w:rPr>
          <w:rFonts w:hint="eastAsia" w:asciiTheme="minorEastAsia" w:hAnsiTheme="minorEastAsia" w:eastAsiaTheme="minorEastAsia" w:cstheme="minorEastAsia"/>
          <w:sz w:val="32"/>
          <w:szCs w:val="32"/>
        </w:rPr>
        <w:t>支出</w:t>
      </w:r>
      <w:r>
        <w:rPr>
          <w:rFonts w:hint="eastAsia" w:asciiTheme="minorEastAsia" w:hAnsiTheme="minorEastAsia" w:eastAsiaTheme="minorEastAsia" w:cstheme="minorEastAsia"/>
          <w:sz w:val="32"/>
          <w:szCs w:val="32"/>
          <w:lang w:eastAsia="zh-CN"/>
        </w:rPr>
        <w:t>在</w:t>
      </w:r>
      <w:r>
        <w:rPr>
          <w:rFonts w:hint="eastAsia" w:asciiTheme="minorEastAsia" w:hAnsiTheme="minorEastAsia" w:eastAsiaTheme="minorEastAsia" w:cstheme="minorEastAsia"/>
          <w:sz w:val="32"/>
          <w:szCs w:val="32"/>
        </w:rPr>
        <w:t>短期内可能面临压力</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对</w:t>
      </w:r>
      <w:r>
        <w:rPr>
          <w:rFonts w:hint="eastAsia" w:asciiTheme="minorEastAsia" w:hAnsiTheme="minorEastAsia" w:eastAsiaTheme="minorEastAsia" w:cstheme="minorEastAsia"/>
          <w:sz w:val="32"/>
          <w:szCs w:val="32"/>
          <w:lang w:eastAsia="zh-CN"/>
        </w:rPr>
        <w:t>家居用品</w:t>
      </w:r>
      <w:r>
        <w:rPr>
          <w:rFonts w:hint="eastAsia" w:asciiTheme="minorEastAsia" w:hAnsiTheme="minorEastAsia" w:eastAsiaTheme="minorEastAsia" w:cstheme="minorEastAsia"/>
          <w:sz w:val="32"/>
          <w:szCs w:val="32"/>
        </w:rPr>
        <w:t>和电器的需求</w:t>
      </w:r>
      <w:r>
        <w:rPr>
          <w:rFonts w:hint="eastAsia" w:asciiTheme="minorEastAsia" w:hAnsiTheme="minorEastAsia" w:eastAsiaTheme="minorEastAsia" w:cstheme="minorEastAsia"/>
          <w:sz w:val="32"/>
          <w:szCs w:val="32"/>
          <w:lang w:eastAsia="zh-CN"/>
        </w:rPr>
        <w:t>仍然疲弱。</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塔吉特的市场</w:t>
      </w:r>
      <w:r>
        <w:rPr>
          <w:rFonts w:hint="eastAsia" w:asciiTheme="minorEastAsia" w:hAnsiTheme="minorEastAsia" w:eastAsiaTheme="minorEastAsia" w:cstheme="minorEastAsia"/>
          <w:sz w:val="32"/>
          <w:szCs w:val="32"/>
        </w:rPr>
        <w:t>表</w:t>
      </w:r>
      <w:r>
        <w:rPr>
          <w:rFonts w:hint="eastAsia" w:asciiTheme="minorEastAsia" w:hAnsiTheme="minorEastAsia" w:eastAsiaTheme="minorEastAsia" w:cstheme="minorEastAsia"/>
          <w:sz w:val="32"/>
          <w:szCs w:val="32"/>
          <w:lang w:eastAsia="zh-CN"/>
        </w:rPr>
        <w:t>现不及</w:t>
      </w:r>
      <w:r>
        <w:rPr>
          <w:rFonts w:hint="eastAsia" w:asciiTheme="minorEastAsia" w:hAnsiTheme="minorEastAsia" w:eastAsiaTheme="minorEastAsia" w:cstheme="minorEastAsia"/>
          <w:sz w:val="32"/>
          <w:szCs w:val="32"/>
        </w:rPr>
        <w:t>竞争对手沃尔玛</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沃尔玛</w:t>
      </w:r>
      <w:r>
        <w:rPr>
          <w:rFonts w:hint="eastAsia" w:asciiTheme="minorEastAsia" w:hAnsiTheme="minorEastAsia" w:eastAsiaTheme="minorEastAsia" w:cstheme="minorEastAsia"/>
          <w:sz w:val="32"/>
          <w:szCs w:val="32"/>
          <w:lang w:eastAsia="zh-CN"/>
        </w:rPr>
        <w:t>在其最新的</w:t>
      </w:r>
      <w:r>
        <w:rPr>
          <w:rFonts w:hint="eastAsia" w:asciiTheme="minorEastAsia" w:hAnsiTheme="minorEastAsia" w:eastAsiaTheme="minorEastAsia" w:cstheme="minorEastAsia"/>
          <w:sz w:val="32"/>
          <w:szCs w:val="32"/>
        </w:rPr>
        <w:t>财报</w:t>
      </w:r>
      <w:r>
        <w:rPr>
          <w:rFonts w:hint="eastAsia" w:asciiTheme="minorEastAsia" w:hAnsiTheme="minorEastAsia" w:eastAsiaTheme="minorEastAsia" w:cstheme="minorEastAsia"/>
          <w:sz w:val="32"/>
          <w:szCs w:val="32"/>
          <w:lang w:eastAsia="zh-CN"/>
        </w:rPr>
        <w:t>中称，</w:t>
      </w:r>
      <w:r>
        <w:rPr>
          <w:rFonts w:hint="eastAsia" w:asciiTheme="minorEastAsia" w:hAnsiTheme="minorEastAsia" w:eastAsiaTheme="minorEastAsia" w:cstheme="minorEastAsia"/>
          <w:sz w:val="32"/>
          <w:szCs w:val="32"/>
        </w:rPr>
        <w:t>由于通胀压力</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美国一些中产偏上的富裕家庭</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消费降级</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去沃尔玛购物</w:t>
      </w:r>
      <w:r>
        <w:rPr>
          <w:rFonts w:hint="eastAsia" w:asciiTheme="minorEastAsia" w:hAnsiTheme="minorEastAsia" w:eastAsiaTheme="minorEastAsia" w:cstheme="minorEastAsia"/>
          <w:sz w:val="32"/>
          <w:szCs w:val="32"/>
          <w:lang w:eastAsia="zh-CN"/>
        </w:rPr>
        <w:t>的次数增加；同理，</w:t>
      </w:r>
      <w:r>
        <w:rPr>
          <w:rFonts w:hint="eastAsia" w:asciiTheme="minorEastAsia" w:hAnsiTheme="minorEastAsia" w:eastAsiaTheme="minorEastAsia" w:cstheme="minorEastAsia"/>
          <w:sz w:val="32"/>
          <w:szCs w:val="32"/>
        </w:rPr>
        <w:t>塔吉特</w:t>
      </w:r>
      <w:r>
        <w:rPr>
          <w:rFonts w:hint="eastAsia" w:asciiTheme="minorEastAsia" w:hAnsiTheme="minorEastAsia" w:eastAsiaTheme="minorEastAsia" w:cstheme="minorEastAsia"/>
          <w:sz w:val="32"/>
          <w:szCs w:val="32"/>
          <w:lang w:eastAsia="zh-CN"/>
        </w:rPr>
        <w:t>的经营承压。</w:t>
      </w:r>
    </w:p>
    <w:p>
      <w:pPr>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drawing>
          <wp:anchor distT="0" distB="0" distL="114300" distR="114300" simplePos="0" relativeHeight="251669504" behindDoc="0" locked="0" layoutInCell="1" allowOverlap="1">
            <wp:simplePos x="0" y="0"/>
            <wp:positionH relativeFrom="column">
              <wp:posOffset>2426335</wp:posOffset>
            </wp:positionH>
            <wp:positionV relativeFrom="paragraph">
              <wp:posOffset>97155</wp:posOffset>
            </wp:positionV>
            <wp:extent cx="3055620" cy="2017395"/>
            <wp:effectExtent l="0" t="0" r="11430" b="1905"/>
            <wp:wrapSquare wrapText="bothSides"/>
            <wp:docPr id="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
                    <pic:cNvPicPr>
                      <a:picLocks noChangeAspect="1"/>
                    </pic:cNvPicPr>
                  </pic:nvPicPr>
                  <pic:blipFill>
                    <a:blip r:embed="rId17"/>
                    <a:stretch>
                      <a:fillRect/>
                    </a:stretch>
                  </pic:blipFill>
                  <pic:spPr>
                    <a:xfrm>
                      <a:off x="0" y="0"/>
                      <a:ext cx="3055620" cy="2017395"/>
                    </a:xfrm>
                    <a:prstGeom prst="rect">
                      <a:avLst/>
                    </a:prstGeom>
                    <a:noFill/>
                    <a:ln>
                      <a:noFill/>
                    </a:ln>
                  </pic:spPr>
                </pic:pic>
              </a:graphicData>
            </a:graphic>
          </wp:anchor>
        </w:drawing>
      </w:r>
      <w:r>
        <w:rPr>
          <w:rFonts w:hint="eastAsia" w:asciiTheme="minorEastAsia" w:hAnsi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lang w:eastAsia="zh-CN"/>
        </w:rPr>
        <w:t>塔吉特的主要目标消费者是中等收入的家庭，注重时尚和品牌意识，主营产品包括时尚服饰、家居用品、家电、玩具等；而沃尔玛则更广泛地面向消费者市场，包括低收入家庭，偏向于提供平价的产品和更广泛的商品组合。</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周三，“</w:t>
      </w:r>
      <w:r>
        <w:rPr>
          <w:rFonts w:hint="eastAsia" w:asciiTheme="minorEastAsia" w:hAnsiTheme="minorEastAsia" w:eastAsiaTheme="minorEastAsia" w:cstheme="minorEastAsia"/>
          <w:sz w:val="32"/>
          <w:szCs w:val="32"/>
        </w:rPr>
        <w:t>第一太阳能</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F</w:t>
      </w:r>
      <w:r>
        <w:rPr>
          <w:rFonts w:hint="eastAsia" w:asciiTheme="minorEastAsia" w:hAnsiTheme="minorEastAsia" w:eastAsiaTheme="minorEastAsia" w:cstheme="minorEastAsia"/>
          <w:sz w:val="32"/>
          <w:szCs w:val="32"/>
          <w:lang w:val="en-US" w:eastAsia="zh-CN"/>
        </w:rPr>
        <w:t>irst Solar</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股价大涨</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领涨标普500指数</w:t>
      </w:r>
      <w:r>
        <w:rPr>
          <w:rFonts w:hint="eastAsia" w:asciiTheme="minorEastAsia" w:hAnsiTheme="minorEastAsia" w:eastAsiaTheme="minorEastAsia" w:cstheme="minorEastAsia"/>
          <w:sz w:val="32"/>
          <w:szCs w:val="32"/>
          <w:lang w:eastAsia="zh-CN"/>
        </w:rPr>
        <w:t>。原因是</w:t>
      </w:r>
      <w:r>
        <w:rPr>
          <w:rFonts w:hint="eastAsia" w:asciiTheme="minorEastAsia" w:hAnsiTheme="minorEastAsia" w:eastAsiaTheme="minorEastAsia" w:cstheme="minorEastAsia"/>
          <w:sz w:val="32"/>
          <w:szCs w:val="32"/>
        </w:rPr>
        <w:t>美国政府最近提高对中国</w:t>
      </w:r>
      <w:r>
        <w:rPr>
          <w:rFonts w:hint="eastAsia" w:asciiTheme="minorEastAsia" w:hAnsiTheme="minorEastAsia" w:eastAsiaTheme="minorEastAsia" w:cstheme="minorEastAsia"/>
          <w:sz w:val="32"/>
          <w:szCs w:val="32"/>
          <w:lang w:eastAsia="zh-CN"/>
        </w:rPr>
        <w:t>光伏</w:t>
      </w:r>
      <w:r>
        <w:rPr>
          <w:rFonts w:hint="eastAsia" w:asciiTheme="minorEastAsia" w:hAnsiTheme="minorEastAsia" w:eastAsiaTheme="minorEastAsia" w:cstheme="minorEastAsia"/>
          <w:sz w:val="32"/>
          <w:szCs w:val="32"/>
        </w:rPr>
        <w:t>电池的</w:t>
      </w:r>
      <w:r>
        <w:rPr>
          <w:rFonts w:hint="eastAsia" w:asciiTheme="minorEastAsia" w:hAnsiTheme="minorEastAsia" w:eastAsiaTheme="minorEastAsia" w:cstheme="minorEastAsia"/>
          <w:sz w:val="32"/>
          <w:szCs w:val="32"/>
          <w:lang w:eastAsia="zh-CN"/>
        </w:rPr>
        <w:t>进口</w:t>
      </w:r>
      <w:r>
        <w:rPr>
          <w:rFonts w:hint="eastAsia" w:asciiTheme="minorEastAsia" w:hAnsiTheme="minorEastAsia" w:eastAsiaTheme="minorEastAsia" w:cstheme="minorEastAsia"/>
          <w:sz w:val="32"/>
          <w:szCs w:val="32"/>
        </w:rPr>
        <w:t>关税</w:t>
      </w:r>
      <w:r>
        <w:rPr>
          <w:rFonts w:hint="eastAsia" w:asciiTheme="minorEastAsia" w:hAnsiTheme="minorEastAsia" w:eastAsiaTheme="minorEastAsia" w:cstheme="minorEastAsia"/>
          <w:sz w:val="32"/>
          <w:szCs w:val="32"/>
          <w:lang w:eastAsia="zh-CN"/>
        </w:rPr>
        <w:t>，同时</w:t>
      </w:r>
      <w:r>
        <w:rPr>
          <w:rFonts w:hint="eastAsia" w:asciiTheme="minorEastAsia" w:hAnsiTheme="minorEastAsia" w:eastAsiaTheme="minorEastAsia" w:cstheme="minorEastAsia"/>
          <w:sz w:val="32"/>
          <w:szCs w:val="32"/>
        </w:rPr>
        <w:t>AI</w:t>
      </w:r>
      <w:r>
        <w:rPr>
          <w:rFonts w:hint="eastAsia" w:asciiTheme="minorEastAsia" w:hAnsiTheme="minorEastAsia" w:eastAsiaTheme="minorEastAsia" w:cstheme="minorEastAsia"/>
          <w:sz w:val="32"/>
          <w:szCs w:val="32"/>
          <w:lang w:eastAsia="zh-CN"/>
        </w:rPr>
        <w:t>的大范围使用导致对</w:t>
      </w:r>
      <w:r>
        <w:rPr>
          <w:rFonts w:hint="eastAsia" w:asciiTheme="minorEastAsia" w:hAnsiTheme="minorEastAsia" w:eastAsiaTheme="minorEastAsia" w:cstheme="minorEastAsia"/>
          <w:sz w:val="32"/>
          <w:szCs w:val="32"/>
        </w:rPr>
        <w:t>电力需求激增</w:t>
      </w:r>
      <w:r>
        <w:rPr>
          <w:rFonts w:hint="eastAsia" w:asciiTheme="minorEastAsia" w:hAnsiTheme="minorEastAsia" w:eastAsiaTheme="minorEastAsia" w:cstheme="minorEastAsia"/>
          <w:sz w:val="32"/>
          <w:szCs w:val="32"/>
          <w:lang w:eastAsia="zh-CN"/>
        </w:rPr>
        <w:t>，此外，美国政府的产业</w:t>
      </w:r>
      <w:r>
        <w:rPr>
          <w:rFonts w:hint="eastAsia" w:asciiTheme="minorEastAsia" w:hAnsiTheme="minorEastAsia" w:eastAsiaTheme="minorEastAsia" w:cstheme="minorEastAsia"/>
          <w:sz w:val="32"/>
          <w:szCs w:val="32"/>
        </w:rPr>
        <w:t>补贴提振了</w:t>
      </w:r>
      <w:r>
        <w:rPr>
          <w:rFonts w:hint="eastAsia" w:asciiTheme="minorEastAsia" w:hAnsiTheme="minorEastAsia" w:eastAsiaTheme="minorEastAsia" w:cstheme="minorEastAsia"/>
          <w:sz w:val="32"/>
          <w:szCs w:val="32"/>
          <w:lang w:eastAsia="zh-CN"/>
        </w:rPr>
        <w:t>本土</w:t>
      </w:r>
      <w:r>
        <w:rPr>
          <w:rFonts w:hint="eastAsia" w:asciiTheme="minorEastAsia" w:hAnsiTheme="minorEastAsia" w:eastAsiaTheme="minorEastAsia" w:cstheme="minorEastAsia"/>
          <w:sz w:val="32"/>
          <w:szCs w:val="32"/>
        </w:rPr>
        <w:t>太阳能行业的情绪</w:t>
      </w:r>
      <w:r>
        <w:rPr>
          <w:rFonts w:hint="eastAsia" w:asciiTheme="minorEastAsia" w:hAnsiTheme="minorEastAsia" w:eastAsiaTheme="minorEastAsia" w:cstheme="minorEastAsia"/>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此外，彭博社报导称</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中国</w:t>
      </w:r>
      <w:r>
        <w:rPr>
          <w:rFonts w:hint="eastAsia" w:asciiTheme="minorEastAsia" w:hAnsiTheme="minorEastAsia" w:eastAsiaTheme="minorEastAsia" w:cstheme="minorEastAsia"/>
          <w:sz w:val="32"/>
          <w:szCs w:val="32"/>
          <w:lang w:eastAsia="zh-CN"/>
        </w:rPr>
        <w:t>光伏</w:t>
      </w:r>
      <w:r>
        <w:rPr>
          <w:rFonts w:hint="eastAsia" w:asciiTheme="minorEastAsia" w:hAnsiTheme="minorEastAsia" w:eastAsiaTheme="minorEastAsia" w:cstheme="minorEastAsia"/>
          <w:sz w:val="32"/>
          <w:szCs w:val="32"/>
        </w:rPr>
        <w:t>行业</w:t>
      </w:r>
      <w:r>
        <w:rPr>
          <w:rFonts w:hint="eastAsia" w:asciiTheme="minorEastAsia" w:hAnsiTheme="minorEastAsia" w:eastAsiaTheme="minorEastAsia" w:cstheme="minorEastAsia"/>
          <w:sz w:val="32"/>
          <w:szCs w:val="32"/>
          <w:lang w:eastAsia="zh-CN"/>
        </w:rPr>
        <w:t>的</w:t>
      </w:r>
      <w:r>
        <w:rPr>
          <w:rFonts w:hint="eastAsia" w:asciiTheme="minorEastAsia" w:hAnsiTheme="minorEastAsia" w:eastAsiaTheme="minorEastAsia" w:cstheme="minorEastAsia"/>
          <w:sz w:val="32"/>
          <w:szCs w:val="32"/>
        </w:rPr>
        <w:t>产能</w:t>
      </w:r>
      <w:r>
        <w:rPr>
          <w:rFonts w:hint="eastAsia" w:asciiTheme="minorEastAsia" w:hAnsiTheme="minorEastAsia" w:eastAsiaTheme="minorEastAsia" w:cstheme="minorEastAsia"/>
          <w:sz w:val="32"/>
          <w:szCs w:val="32"/>
          <w:lang w:eastAsia="zh-CN"/>
        </w:rPr>
        <w:t>在</w:t>
      </w:r>
      <w:r>
        <w:rPr>
          <w:rFonts w:hint="eastAsia" w:asciiTheme="minorEastAsia" w:hAnsiTheme="minorEastAsia" w:eastAsiaTheme="minorEastAsia" w:cstheme="minorEastAsia"/>
          <w:sz w:val="32"/>
          <w:szCs w:val="32"/>
        </w:rPr>
        <w:t>加速出清</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有望结束价格战</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这对于美国太阳能行业来说也是个积极信号</w:t>
      </w:r>
      <w:r>
        <w:rPr>
          <w:rFonts w:hint="eastAsia" w:asciiTheme="minorEastAsia" w:hAnsiTheme="minorEastAsia" w:eastAsiaTheme="minorEastAsia" w:cstheme="minorEastAsia"/>
          <w:sz w:val="32"/>
          <w:szCs w:val="32"/>
          <w:lang w:eastAsia="zh-CN"/>
        </w:rPr>
        <w:t>。因此美股中光伏</w:t>
      </w:r>
      <w:r>
        <w:rPr>
          <w:rFonts w:hint="eastAsia" w:asciiTheme="minorEastAsia" w:hAnsiTheme="minorEastAsia" w:eastAsiaTheme="minorEastAsia" w:cstheme="minorEastAsia"/>
          <w:sz w:val="32"/>
          <w:szCs w:val="32"/>
        </w:rPr>
        <w:t>板块集体走高</w:t>
      </w:r>
      <w:r>
        <w:rPr>
          <w:rFonts w:hint="eastAsia" w:asciiTheme="minorEastAsia" w:hAnsiTheme="minorEastAsia" w:eastAsiaTheme="minorEastAsia" w:cstheme="minorEastAsia"/>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eastAsia="zh-CN"/>
        </w:rPr>
      </w:pPr>
    </w:p>
    <w:p>
      <w:pPr>
        <w:rPr>
          <w:rFonts w:hint="eastAsia" w:ascii="方正小标宋_GBK" w:hAnsi="方正小标宋_GBK" w:eastAsia="方正小标宋_GBK" w:cs="方正小标宋_GBK"/>
          <w:b/>
          <w:bCs/>
          <w:color w:val="0000FF"/>
          <w:sz w:val="32"/>
          <w:szCs w:val="32"/>
          <w:highlight w:val="yellow"/>
          <w:lang w:val="en-US" w:eastAsia="zh-CN"/>
        </w:rPr>
      </w:pPr>
      <w:r>
        <w:rPr>
          <w:rFonts w:hint="eastAsia" w:ascii="方正小标宋_GBK" w:hAnsi="方正小标宋_GBK" w:eastAsia="方正小标宋_GBK" w:cs="方正小标宋_GBK"/>
          <w:b/>
          <w:bCs/>
          <w:color w:val="0000FF"/>
          <w:sz w:val="32"/>
          <w:szCs w:val="32"/>
          <w:highlight w:val="yellow"/>
          <w:lang w:val="en-US" w:eastAsia="zh-CN"/>
        </w:rPr>
        <w:t>5月24日（周五）</w:t>
      </w:r>
    </w:p>
    <w:p>
      <w:pPr>
        <w:rPr>
          <w:rFonts w:hint="eastAsia" w:ascii="方正小标宋_GBK" w:hAnsi="方正小标宋_GBK" w:eastAsia="方正小标宋_GBK" w:cs="方正小标宋_GBK"/>
          <w:b/>
          <w:bCs/>
          <w:color w:val="0000FF"/>
          <w:sz w:val="36"/>
          <w:szCs w:val="36"/>
          <w:highlight w:val="yellow"/>
          <w:lang w:val="en-US" w:eastAsia="zh-CN"/>
        </w:rPr>
      </w:pPr>
      <w:r>
        <w:rPr>
          <w:rFonts w:hint="eastAsia" w:ascii="方正小标宋_GBK" w:hAnsi="方正小标宋_GBK" w:eastAsia="方正小标宋_GBK" w:cs="方正小标宋_GBK"/>
          <w:b/>
          <w:bCs/>
          <w:color w:val="0000FF"/>
          <w:sz w:val="36"/>
          <w:szCs w:val="36"/>
          <w:highlight w:val="yellow"/>
          <w:lang w:val="en-US" w:eastAsia="zh-CN"/>
        </w:rPr>
        <w:t>美国就业仍火热，降息预期再推迟，股债市场现波动</w:t>
      </w:r>
    </w:p>
    <w:p>
      <w:pPr>
        <w:keepNext w:val="0"/>
        <w:keepLines w:val="0"/>
        <w:pageBreakBefore w:val="0"/>
        <w:widowControl w:val="0"/>
        <w:kinsoku/>
        <w:wordWrap/>
        <w:overflowPunct/>
        <w:topLinePunct w:val="0"/>
        <w:autoSpaceDE/>
        <w:autoSpaceDN/>
        <w:bidi w:val="0"/>
        <w:adjustRightInd/>
        <w:snapToGrid/>
        <w:ind w:firstLine="608" w:firstLineChars="200"/>
        <w:textAlignment w:val="auto"/>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5月23日</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周</w:t>
      </w:r>
      <w:r>
        <w:rPr>
          <w:rFonts w:hint="eastAsia" w:asciiTheme="minorEastAsia" w:hAnsiTheme="minorEastAsia" w:eastAsiaTheme="minorEastAsia" w:cstheme="minorEastAsia"/>
          <w:sz w:val="32"/>
          <w:szCs w:val="32"/>
          <w:lang w:eastAsia="zh-CN"/>
        </w:rPr>
        <w:t>四），周三公布的</w:t>
      </w:r>
      <w:r>
        <w:rPr>
          <w:rFonts w:hint="eastAsia" w:asciiTheme="minorEastAsia" w:hAnsiTheme="minorEastAsia" w:eastAsiaTheme="minorEastAsia" w:cstheme="minorEastAsia"/>
          <w:sz w:val="32"/>
          <w:szCs w:val="32"/>
        </w:rPr>
        <w:t>英伟达财报</w:t>
      </w:r>
      <w:r>
        <w:rPr>
          <w:rFonts w:hint="eastAsia" w:asciiTheme="minorEastAsia" w:hAnsiTheme="minorEastAsia" w:eastAsiaTheme="minorEastAsia" w:cstheme="minorEastAsia"/>
          <w:sz w:val="32"/>
          <w:szCs w:val="32"/>
          <w:lang w:eastAsia="zh-CN"/>
        </w:rPr>
        <w:t>喜人，</w:t>
      </w:r>
      <w:r>
        <w:rPr>
          <w:rFonts w:hint="eastAsia" w:asciiTheme="minorEastAsia" w:hAnsiTheme="minorEastAsia" w:eastAsiaTheme="minorEastAsia" w:cstheme="minorEastAsia"/>
          <w:sz w:val="32"/>
          <w:szCs w:val="32"/>
        </w:rPr>
        <w:t>增强了市场对AI投资热潮的信心</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但</w:t>
      </w:r>
      <w:r>
        <w:rPr>
          <w:rFonts w:hint="eastAsia" w:asciiTheme="minorEastAsia" w:hAnsiTheme="minorEastAsia" w:eastAsiaTheme="minorEastAsia" w:cstheme="minorEastAsia"/>
          <w:sz w:val="32"/>
          <w:szCs w:val="32"/>
          <w:lang w:eastAsia="zh-CN"/>
        </w:rPr>
        <w:t>同时</w:t>
      </w:r>
      <w:r>
        <w:rPr>
          <w:rFonts w:hint="eastAsia" w:asciiTheme="minorEastAsia" w:hAnsiTheme="minorEastAsia" w:eastAsiaTheme="minorEastAsia" w:cstheme="minorEastAsia"/>
          <w:sz w:val="32"/>
          <w:szCs w:val="32"/>
        </w:rPr>
        <w:t>对利率前景的担忧</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抑制了市场</w:t>
      </w:r>
      <w:r>
        <w:rPr>
          <w:rFonts w:hint="eastAsia" w:asciiTheme="minorEastAsia" w:hAnsiTheme="minorEastAsia" w:eastAsiaTheme="minorEastAsia" w:cstheme="minorEastAsia"/>
          <w:sz w:val="32"/>
          <w:szCs w:val="32"/>
          <w:lang w:eastAsia="zh-CN"/>
        </w:rPr>
        <w:t>的</w:t>
      </w:r>
      <w:r>
        <w:rPr>
          <w:rFonts w:hint="eastAsia" w:asciiTheme="minorEastAsia" w:hAnsiTheme="minorEastAsia" w:eastAsiaTheme="minorEastAsia" w:cstheme="minorEastAsia"/>
          <w:sz w:val="32"/>
          <w:szCs w:val="32"/>
        </w:rPr>
        <w:t>乐观情绪</w:t>
      </w:r>
      <w:r>
        <w:rPr>
          <w:rFonts w:hint="eastAsia" w:asciiTheme="minorEastAsia" w:hAnsiTheme="minorEastAsia" w:eastAsiaTheme="minorEastAsia" w:cstheme="minorEastAsia"/>
          <w:sz w:val="32"/>
          <w:szCs w:val="32"/>
          <w:lang w:eastAsia="zh-CN"/>
        </w:rPr>
        <w:t>，美股三大指标均收跌。</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周四，</w:t>
      </w:r>
      <w:r>
        <w:rPr>
          <w:rFonts w:hint="eastAsia" w:asciiTheme="minorEastAsia" w:hAnsiTheme="minorEastAsia" w:eastAsiaTheme="minorEastAsia" w:cstheme="minorEastAsia"/>
          <w:sz w:val="32"/>
          <w:szCs w:val="32"/>
        </w:rPr>
        <w:t>美国</w:t>
      </w:r>
      <w:r>
        <w:rPr>
          <w:rFonts w:hint="eastAsia" w:asciiTheme="minorEastAsia" w:hAnsiTheme="minorEastAsia" w:eastAsiaTheme="minorEastAsia" w:cstheme="minorEastAsia"/>
          <w:sz w:val="32"/>
          <w:szCs w:val="32"/>
          <w:lang w:eastAsia="zh-CN"/>
        </w:rPr>
        <w:t>劳工统计局公布的相关数据，仍然显现出就业市场的火热（见表格）。其中，</w:t>
      </w:r>
      <w:r>
        <w:rPr>
          <w:rFonts w:hint="eastAsia" w:asciiTheme="minorEastAsia" w:hAnsiTheme="minorEastAsia" w:eastAsiaTheme="minorEastAsia" w:cstheme="minorEastAsia"/>
          <w:sz w:val="32"/>
          <w:szCs w:val="32"/>
        </w:rPr>
        <w:t>上周初请失业金人数减少8</w:t>
      </w:r>
      <w:r>
        <w:rPr>
          <w:rFonts w:hint="eastAsia" w:asciiTheme="minorEastAsia" w:hAnsiTheme="minorEastAsia" w:eastAsiaTheme="minorEastAsia" w:cstheme="minorEastAsia"/>
          <w:sz w:val="32"/>
          <w:szCs w:val="32"/>
          <w:lang w:eastAsia="zh-CN"/>
        </w:rPr>
        <w:t>千</w:t>
      </w:r>
      <w:r>
        <w:rPr>
          <w:rFonts w:hint="eastAsia" w:asciiTheme="minorEastAsia" w:hAnsiTheme="minorEastAsia" w:eastAsiaTheme="minorEastAsia" w:cstheme="minorEastAsia"/>
          <w:sz w:val="32"/>
          <w:szCs w:val="32"/>
        </w:rPr>
        <w:t>人</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创</w:t>
      </w:r>
      <w:r>
        <w:rPr>
          <w:rFonts w:hint="eastAsia" w:asciiTheme="minorEastAsia" w:hAnsiTheme="minorEastAsia" w:eastAsiaTheme="minorEastAsia" w:cstheme="minorEastAsia"/>
          <w:sz w:val="32"/>
          <w:szCs w:val="32"/>
          <w:lang w:eastAsia="zh-CN"/>
        </w:rPr>
        <w:t>下了半年多</w:t>
      </w:r>
      <w:r>
        <w:rPr>
          <w:rFonts w:hint="eastAsia" w:asciiTheme="minorEastAsia" w:hAnsiTheme="minorEastAsia" w:eastAsiaTheme="minorEastAsia" w:cstheme="minorEastAsia"/>
          <w:sz w:val="32"/>
          <w:szCs w:val="32"/>
        </w:rPr>
        <w:t>以来</w:t>
      </w:r>
      <w:r>
        <w:rPr>
          <w:rFonts w:hint="eastAsia" w:asciiTheme="minorEastAsia" w:hAnsiTheme="minorEastAsia" w:eastAsiaTheme="minorEastAsia" w:cstheme="minorEastAsia"/>
          <w:sz w:val="32"/>
          <w:szCs w:val="32"/>
          <w:lang w:eastAsia="zh-CN"/>
        </w:rPr>
        <w:t>的</w:t>
      </w:r>
      <w:r>
        <w:rPr>
          <w:rFonts w:hint="eastAsia" w:asciiTheme="minorEastAsia" w:hAnsiTheme="minorEastAsia" w:eastAsiaTheme="minorEastAsia" w:cstheme="minorEastAsia"/>
          <w:sz w:val="32"/>
          <w:szCs w:val="32"/>
        </w:rPr>
        <w:t>最大降幅</w:t>
      </w:r>
      <w:r>
        <w:rPr>
          <w:rFonts w:hint="eastAsia" w:asciiTheme="minorEastAsia" w:hAnsiTheme="minorEastAsia" w:eastAsiaTheme="minorEastAsia" w:cstheme="minorEastAsia"/>
          <w:sz w:val="32"/>
          <w:szCs w:val="32"/>
          <w:lang w:eastAsia="zh-CN"/>
        </w:rPr>
        <w:t>。强劲的劳动力市场数据，支撑了美联储推迟降息的决定。</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drawing>
          <wp:anchor distT="0" distB="0" distL="114300" distR="114300" simplePos="0" relativeHeight="251670528" behindDoc="0" locked="0" layoutInCell="1" allowOverlap="1">
            <wp:simplePos x="0" y="0"/>
            <wp:positionH relativeFrom="column">
              <wp:posOffset>134620</wp:posOffset>
            </wp:positionH>
            <wp:positionV relativeFrom="paragraph">
              <wp:posOffset>29210</wp:posOffset>
            </wp:positionV>
            <wp:extent cx="5045710" cy="709930"/>
            <wp:effectExtent l="0" t="0" r="2540" b="13970"/>
            <wp:wrapTopAndBottom/>
            <wp:docPr id="1" name="图片 1" descr="图片3-5月24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3-5月24日"/>
                    <pic:cNvPicPr>
                      <a:picLocks noChangeAspect="1"/>
                    </pic:cNvPicPr>
                  </pic:nvPicPr>
                  <pic:blipFill>
                    <a:blip r:embed="rId18"/>
                    <a:stretch>
                      <a:fillRect/>
                    </a:stretch>
                  </pic:blipFill>
                  <pic:spPr>
                    <a:xfrm>
                      <a:off x="0" y="0"/>
                      <a:ext cx="5045710" cy="709930"/>
                    </a:xfrm>
                    <a:prstGeom prst="rect">
                      <a:avLst/>
                    </a:prstGeom>
                  </pic:spPr>
                </pic:pic>
              </a:graphicData>
            </a:graphic>
          </wp:anchor>
        </w:drawing>
      </w:r>
      <w:r>
        <w:rPr>
          <w:rFonts w:hint="eastAsia" w:asciiTheme="minorEastAsia" w:hAnsiTheme="minorEastAsia" w:eastAsiaTheme="minorEastAsia" w:cstheme="minorEastAsia"/>
          <w:sz w:val="32"/>
          <w:szCs w:val="32"/>
          <w:lang w:eastAsia="zh-CN"/>
        </w:rPr>
        <w:t>同日，摩根大通CEO杰米</w:t>
      </w:r>
      <w:r>
        <w:rPr>
          <w:rFonts w:hint="eastAsia" w:asciiTheme="minorEastAsia" w:hAnsiTheme="minorEastAsia" w:eastAsiaTheme="minorEastAsia" w:cstheme="minorEastAsia"/>
          <w:sz w:val="32"/>
          <w:szCs w:val="32"/>
          <w:lang w:val="en-US" w:eastAsia="zh-CN"/>
        </w:rPr>
        <w:t>·</w:t>
      </w:r>
      <w:r>
        <w:rPr>
          <w:rFonts w:hint="eastAsia" w:asciiTheme="minorEastAsia" w:hAnsiTheme="minorEastAsia" w:eastAsiaTheme="minorEastAsia" w:cstheme="minorEastAsia"/>
          <w:sz w:val="32"/>
          <w:szCs w:val="32"/>
          <w:lang w:eastAsia="zh-CN"/>
        </w:rPr>
        <w:t>戴蒙对美国经济的走向发现警告：“不排除美国经济硬着陆的可能性，滞胀将是最坏的结果，通胀比人们想象的更棘手，利率仍有可能小幅上升（即暗示美联</w:t>
      </w:r>
      <w:r>
        <w:rPr>
          <w:rFonts w:hint="eastAsia" w:asciiTheme="minorEastAsia" w:hAnsiTheme="minorEastAsia" w:eastAsiaTheme="minorEastAsia" w:cstheme="minorEastAsia"/>
          <w:sz w:val="32"/>
          <w:szCs w:val="32"/>
          <w:lang w:val="en-US" w:eastAsia="zh-CN"/>
        </w:rPr>
        <w:t>储</w:t>
      </w:r>
      <w:r>
        <w:rPr>
          <w:rFonts w:hint="eastAsia" w:asciiTheme="minorEastAsia" w:hAnsiTheme="minorEastAsia" w:eastAsiaTheme="minorEastAsia" w:cstheme="minorEastAsia"/>
          <w:sz w:val="32"/>
          <w:szCs w:val="32"/>
          <w:lang w:eastAsia="zh-CN"/>
        </w:rPr>
        <w:t>确有重启加息的可能）。经济过热的主要原因，是（联邦政府）实施的庞大的财政刺激计划，其释放出了过多的流动性。”</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前一日，高盛CEO大卫</w:t>
      </w:r>
      <w:r>
        <w:rPr>
          <w:rFonts w:hint="eastAsia" w:asciiTheme="minorEastAsia" w:hAnsiTheme="minorEastAsia" w:eastAsiaTheme="minorEastAsia" w:cstheme="minorEastAsia"/>
          <w:sz w:val="32"/>
          <w:szCs w:val="32"/>
          <w:lang w:val="en-US" w:eastAsia="zh-CN"/>
        </w:rPr>
        <w:t>·</w:t>
      </w:r>
      <w:r>
        <w:rPr>
          <w:rFonts w:hint="eastAsia" w:asciiTheme="minorEastAsia" w:hAnsiTheme="minorEastAsia" w:eastAsiaTheme="minorEastAsia" w:cstheme="minorEastAsia"/>
          <w:sz w:val="32"/>
          <w:szCs w:val="32"/>
          <w:lang w:eastAsia="zh-CN"/>
        </w:rPr>
        <w:t>所罗门表达出相近意思，他说：“得益于政府支出，美国经济展现出更强的韧性，美联储左手抽水，财政部右手放水，所以通胀才迟迟不能回落。至于降息时机，尽管市场预期相当乐观，但不一定正确哦。”</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所罗门发表意见之后，金融市场进一步削弱了降息预期，开始将首次降息时间从11月推迟到12月，对9月降息的押注已经低于“维持不变”，年内降息次数的预期也由2次减为1次（见图）。</w:t>
      </w:r>
    </w:p>
    <w:p>
      <w:pPr>
        <w:rPr>
          <w:rFonts w:hint="eastAsia"/>
          <w:lang w:eastAsia="zh-CN"/>
        </w:rPr>
      </w:pPr>
      <w:r>
        <w:drawing>
          <wp:anchor distT="0" distB="0" distL="114300" distR="114300" simplePos="0" relativeHeight="251671552" behindDoc="0" locked="0" layoutInCell="1" allowOverlap="1">
            <wp:simplePos x="0" y="0"/>
            <wp:positionH relativeFrom="column">
              <wp:posOffset>391160</wp:posOffset>
            </wp:positionH>
            <wp:positionV relativeFrom="paragraph">
              <wp:posOffset>50800</wp:posOffset>
            </wp:positionV>
            <wp:extent cx="4755515" cy="2473960"/>
            <wp:effectExtent l="0" t="0" r="6985" b="2540"/>
            <wp:wrapTopAndBottom/>
            <wp:docPr id="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
                    <pic:cNvPicPr>
                      <a:picLocks noChangeAspect="1"/>
                    </pic:cNvPicPr>
                  </pic:nvPicPr>
                  <pic:blipFill>
                    <a:blip r:embed="rId19"/>
                    <a:stretch>
                      <a:fillRect/>
                    </a:stretch>
                  </pic:blipFill>
                  <pic:spPr>
                    <a:xfrm>
                      <a:off x="0" y="0"/>
                      <a:ext cx="4755515" cy="2473960"/>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outlineLvl w:val="9"/>
        <w:rPr>
          <w:rFonts w:hint="default"/>
          <w:lang w:val="en-US" w:eastAsia="zh-CN"/>
        </w:rPr>
      </w:pPr>
      <w:r>
        <w:rPr>
          <w:rFonts w:hint="eastAsia" w:asciiTheme="minorEastAsia" w:hAnsiTheme="minorEastAsia" w:eastAsiaTheme="minorEastAsia" w:cstheme="minorEastAsia"/>
          <w:sz w:val="32"/>
          <w:szCs w:val="32"/>
          <w:lang w:eastAsia="zh-CN"/>
        </w:rPr>
        <w:t>降息预期一再落空，开始对股市和债市产生压力，美债收益率随之而动：2年期美债收益率再次逼近5%的关键位置，10年期美债收益率周四一度上摸4.5%，预计未来会继续攀升。而且，美债长短期收益率倒挂依旧。</w:t>
      </w:r>
    </w:p>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Theme="minorEastAsia" w:hAnsiTheme="minorEastAsia" w:eastAsiaTheme="minorEastAsia" w:cstheme="minorEastAsia"/>
          <w:sz w:val="32"/>
          <w:szCs w:val="32"/>
          <w:lang w:eastAsia="zh-CN"/>
        </w:rPr>
      </w:pP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eastAsia="zh-CN"/>
        </w:rPr>
      </w:pP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eastAsia="zh-CN"/>
        </w:rPr>
      </w:pPr>
    </w:p>
    <w:p>
      <w:pPr>
        <w:rPr>
          <w:rFonts w:hint="default" w:ascii="Times New Roman" w:hAnsi="Times New Roman" w:eastAsia="经典行楷简" w:cs="Times New Roman"/>
          <w:b/>
          <w:bCs/>
          <w:color w:val="FF0000"/>
          <w:sz w:val="96"/>
          <w:szCs w:val="96"/>
          <w:lang w:val="en-US" w:eastAsia="zh-CN"/>
        </w:rPr>
      </w:pPr>
      <w:r>
        <w:rPr>
          <w:rFonts w:hint="default" w:ascii="Times New Roman" w:hAnsi="Times New Roman" w:eastAsia="经典行楷简" w:cs="Times New Roman"/>
          <w:b/>
          <w:bCs/>
          <w:color w:val="FF0000"/>
          <w:sz w:val="96"/>
          <w:szCs w:val="96"/>
          <w:lang w:val="en-US" w:eastAsia="zh-CN"/>
        </w:rPr>
        <w:br w:type="page"/>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bCs/>
          <w:color w:val="FF0000"/>
          <w:sz w:val="96"/>
          <w:szCs w:val="96"/>
          <w:lang w:val="en-US" w:eastAsia="zh-CN"/>
        </w:rPr>
      </w:pPr>
      <w:r>
        <w:rPr>
          <w:rFonts w:hint="default" w:ascii="Times New Roman" w:hAnsi="Times New Roman" w:eastAsia="经典行楷简" w:cs="Times New Roman"/>
          <w:b/>
          <w:bCs/>
          <w:color w:val="FF0000"/>
          <w:sz w:val="96"/>
          <w:szCs w:val="96"/>
          <w:lang w:val="en-US" w:eastAsia="zh-CN"/>
        </w:rPr>
        <w:t>江苏贸促动态</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hint="eastAsia" w:ascii="经典行楷简" w:hAnsi="经典行楷简" w:eastAsia="经典行楷简" w:cs="经典行楷简"/>
          <w:color w:val="0070C0"/>
          <w:spacing w:val="-20"/>
          <w:sz w:val="52"/>
          <w:szCs w:val="52"/>
        </w:rPr>
      </w:pPr>
      <w:r>
        <w:rPr>
          <w:rFonts w:hint="eastAsia" w:ascii="经典行楷简" w:hAnsi="经典行楷简" w:eastAsia="经典行楷简" w:cs="经典行楷简"/>
          <w:color w:val="0070C0"/>
          <w:spacing w:val="-20"/>
          <w:sz w:val="52"/>
          <w:szCs w:val="52"/>
        </w:rPr>
        <w:t>江苏省国际商会召开</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hint="eastAsia" w:asciiTheme="minorEastAsia" w:hAnsiTheme="minorEastAsia" w:eastAsiaTheme="minorEastAsia" w:cstheme="minorEastAsia"/>
          <w:color w:val="5784BB"/>
          <w:sz w:val="32"/>
          <w:szCs w:val="32"/>
        </w:rPr>
      </w:pPr>
      <w:r>
        <w:rPr>
          <w:rFonts w:hint="eastAsia" w:ascii="经典行楷简" w:hAnsi="经典行楷简" w:eastAsia="经典行楷简" w:cs="经典行楷简"/>
          <w:color w:val="0070C0"/>
          <w:spacing w:val="-20"/>
          <w:sz w:val="52"/>
          <w:szCs w:val="52"/>
        </w:rPr>
        <w:t>三届三次理事会及理事沙龙活动</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5月16日，江苏省国际商会在南京召开三届三次理事会及理事沙龙活动。省贸促会（国际商会）会长王善华、副会长丛苏峰出席会议。苏美达、苏豪控股、江苏银行、南钢国贸等160余位省国际商会副会长、理事单位及团体会员代表参加会议。</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会议审议通过江苏省国际商会2023年工作报告、财务报告和3项内部管理制度以及双碳专业委员会设立方案，增选中国擎天软件科技集团有限公司、中国建设银行股份有限公司江苏省分行、宁波银行股份有限公司南京分行、乐美包装（昆山）有限公司为副会长单位，南微医学科技股份有限公司等18家企业为理事单位，提名并审议通过新增副秘书长。王善华、丛苏峰分别为新当选的副会长、理事单位授予证牌。</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王善华简要传达2024年全球贸易投资促进峰会精神，表示江苏省国际商会作为全省综合性、国际性商会组织，将充分发挥好党和政府联系服务群众的桥梁纽带作用，持续织密服务企业网，扩大国际朋友圈，重点做好三个方面工作：一是坚定不移以习近平新时代中国特色社会主义思想为指导，把准商会发展正确方向；二是围绕江苏推进更高水平对外开放，充分发挥商会特色优势；三是加强自身建设，全力做好为会员企业服务工作。</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在理事沙龙活动中，江苏擎天工业互联网有限公司、昆山众达智联数字科技有限公司代表围绕“推进绿色低碳与数智转型 加快发展新质生产力”主题，分享零碳数智化助力企业应对国际经贸绿色新规、数智驱动低碳可持续发展的具体案例和经验做法。省贸促会发展研究部负责人具体分析双碳背景下近期全球经贸形势并提出企业应对建议。</w:t>
      </w:r>
      <w:r>
        <w:rPr>
          <w:rFonts w:hint="eastAsia" w:asciiTheme="minorEastAsia" w:hAnsiTheme="minorEastAsia" w:cstheme="minorEastAsia"/>
          <w:sz w:val="32"/>
          <w:szCs w:val="32"/>
          <w:lang w:val="en-US" w:eastAsia="zh-CN"/>
        </w:rPr>
        <w:t xml:space="preserve">  </w:t>
      </w:r>
      <w:r>
        <w:rPr>
          <w:rFonts w:hint="eastAsia" w:ascii="方正楷体_GBK" w:hAnsi="方正楷体_GBK" w:eastAsia="方正楷体_GBK" w:cs="方正楷体_GBK"/>
          <w:b/>
          <w:bCs/>
          <w:color w:val="FF0000"/>
          <w:sz w:val="32"/>
          <w:szCs w:val="32"/>
        </w:rPr>
        <w:t>（国际商会秘书处）</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eastAsia="zh-CN"/>
        </w:rPr>
      </w:pP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eastAsia="zh-CN"/>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hint="eastAsia" w:ascii="经典行楷简" w:hAnsi="经典行楷简" w:eastAsia="经典行楷简" w:cs="经典行楷简"/>
          <w:color w:val="0070C0"/>
          <w:spacing w:val="-20"/>
          <w:sz w:val="52"/>
          <w:szCs w:val="52"/>
        </w:rPr>
      </w:pPr>
      <w:r>
        <w:rPr>
          <w:rFonts w:hint="eastAsia" w:ascii="经典行楷简" w:hAnsi="经典行楷简" w:eastAsia="经典行楷简" w:cs="经典行楷简"/>
          <w:color w:val="0070C0"/>
          <w:spacing w:val="-20"/>
          <w:sz w:val="52"/>
          <w:szCs w:val="52"/>
        </w:rPr>
        <w:t>省贸促会领导会见</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hint="eastAsia" w:asciiTheme="minorEastAsia" w:hAnsiTheme="minorEastAsia" w:eastAsiaTheme="minorEastAsia" w:cstheme="minorEastAsia"/>
          <w:sz w:val="32"/>
          <w:szCs w:val="32"/>
          <w:lang w:eastAsia="zh-CN"/>
        </w:rPr>
      </w:pPr>
      <w:r>
        <w:rPr>
          <w:rFonts w:hint="eastAsia" w:ascii="经典行楷简" w:hAnsi="经典行楷简" w:eastAsia="经典行楷简" w:cs="经典行楷简"/>
          <w:color w:val="0070C0"/>
          <w:spacing w:val="-20"/>
          <w:sz w:val="52"/>
          <w:szCs w:val="52"/>
        </w:rPr>
        <w:t>印度尼西亚江苏商会会长郭节宏</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5月23日下午，我会副会长丛苏峰会见了来访的印度尼西亚江苏商会会长郭节宏一行。</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丛苏峰对客人的到来表示欢迎，并介绍了我会的主要职能和境内外贸易投资促进主渠道优势，就我会与印尼经贸合作重点和我会重要经贸活动等与客人进行了交流。希望印度尼西亚江苏商会发挥联系面广、影响力大的优势，持续推动印度尼西亚侨商和当地企业加强与江苏贸促会的联系，促进双方在贸易、投资、民间交流等多领域的合作，谋划一批新的合作项目，推动双方合作上一个新台阶。</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郭节宏表示印度尼西亚江苏商会深耕印度尼西亚，致力服务于两边企业在江苏和印度尼西亚的投资发展，希望未来与江苏省贸促会保持密切合作，促进江苏和印度尼西亚企业多领域、多层面的务实合作，实现共赢发展。</w:t>
      </w:r>
    </w:p>
    <w:p>
      <w:pPr>
        <w:keepNext w:val="0"/>
        <w:keepLines w:val="0"/>
        <w:pageBreakBefore w:val="0"/>
        <w:widowControl w:val="0"/>
        <w:kinsoku/>
        <w:wordWrap/>
        <w:overflowPunct/>
        <w:topLinePunct w:val="0"/>
        <w:autoSpaceDE/>
        <w:autoSpaceDN/>
        <w:bidi w:val="0"/>
        <w:adjustRightInd/>
        <w:snapToGrid/>
        <w:ind w:left="6061" w:leftChars="304" w:hanging="5472" w:hangingChars="1800"/>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国际联络部、贸易促进部、国际商会秘书处相关人员参加会见。</w:t>
      </w:r>
      <w:r>
        <w:rPr>
          <w:rFonts w:hint="eastAsia" w:ascii="方正楷体_GBK" w:hAnsi="方正楷体_GBK" w:eastAsia="方正楷体_GBK" w:cs="方正楷体_GBK"/>
          <w:b/>
          <w:bCs/>
          <w:color w:val="FF0000"/>
          <w:sz w:val="32"/>
          <w:szCs w:val="32"/>
          <w:lang w:eastAsia="zh-CN"/>
        </w:rPr>
        <w:t>（国际联络部）</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eastAsia="zh-CN"/>
        </w:rPr>
      </w:pP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eastAsia="zh-CN"/>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hint="eastAsia" w:asciiTheme="minorEastAsia" w:hAnsiTheme="minorEastAsia" w:eastAsiaTheme="minorEastAsia" w:cstheme="minorEastAsia"/>
          <w:sz w:val="32"/>
          <w:szCs w:val="32"/>
          <w:lang w:eastAsia="zh-CN"/>
        </w:rPr>
      </w:pPr>
      <w:r>
        <w:rPr>
          <w:rFonts w:hint="eastAsia" w:ascii="经典行楷简" w:hAnsi="经典行楷简" w:eastAsia="经典行楷简" w:cs="经典行楷简"/>
          <w:color w:val="0070C0"/>
          <w:spacing w:val="0"/>
          <w:sz w:val="52"/>
          <w:szCs w:val="52"/>
          <w:lang w:eastAsia="zh-CN"/>
        </w:rPr>
        <w:t>马来西亚国库控股公司一行访问无锡市 并举办经贸交流会</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2024年5月14日，马来西亚Khazanah Nasional Berhad集团（简称国库控股）、UEM集团、UEM LESTRA集团、UEM SUNRISE集团和ITRAMAS集团等一行20人应邀到访无锡，调研我市工业园区，并参加了由无锡市贸促会主办的“江苏无锡-柔佛努沙再也经贸交流会 ”，国库控股执行董事拿督阿姆兰·哈菲兹出席交流会并作主题演讲，无锡市贸促会副会长高鑫出席活动并致辞。</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高鑫对各位嘉宾和企业家的到来表示热烈欢迎。他表示，中国和马来西亚是隔海相望的友好邻邦，无锡与马来西亚经济往来频繁，无锡贸促会愿意和包括马来西亚在内的各国政府、国际组织、全球商协会和贸易投资促进机构合作，大力推动双边和多边经贸交流。希望各位企业家深入考察无锡，加强与无锡企业在贸易、投资、科技等领域交流，实现合作共赢。</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交流会上，新吴区贸促会副主任李千一推介了无锡国家高新区产业发展环境；中设无锡机械设备工程公司董事长徐红分享了国际产能合作、“一带一路”市场开拓等方面的经验；阿姆兰·哈菲兹介绍了国库控股集团的战略投资和资产运营管理情况；UEM集团、UEM Lestra公司、UEM 阳光公司分别介绍了地产开发、绿色产业投资等业务方面的发展与合作需求。</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国库控股是马来西亚政府 的主权财富基金。访锡期间，马方客人考察了星洲工业园等开发园区，参访了无锡市相关企业，就加强与我市开发区交流以及新能源、高端制造、半导体、纺织服装等产业合作进行了深入沟通。</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本次访问交流活动作为无锡市贸促会“锡品出海，贸促全球”系列活动之一，是无锡市贸促会落实市委市政府决策部署，为无锡产业出海和创新发展搭建的新的国际对接平台，旨在进一步推动贸易往来和国际产能合作，助力无锡市产业高质量发展。无锡市贸促会贸易投资促进部、新吴区贸促会相关负责同志，无锡市外经贸企业代表100余人参加活动。</w:t>
      </w:r>
      <w:r>
        <w:rPr>
          <w:rFonts w:hint="eastAsia" w:asciiTheme="minorEastAsia" w:hAnsiTheme="minorEastAsia" w:cstheme="minorEastAsia"/>
          <w:sz w:val="32"/>
          <w:szCs w:val="32"/>
          <w:lang w:val="en-US" w:eastAsia="zh-CN"/>
        </w:rPr>
        <w:t xml:space="preserve">  </w:t>
      </w:r>
      <w:r>
        <w:rPr>
          <w:rFonts w:hint="eastAsia" w:ascii="方正楷体_GBK" w:hAnsi="方正楷体_GBK" w:eastAsia="方正楷体_GBK" w:cs="方正楷体_GBK"/>
          <w:b/>
          <w:bCs/>
          <w:color w:val="FF0000"/>
          <w:sz w:val="32"/>
          <w:szCs w:val="32"/>
        </w:rPr>
        <w:t>（无锡贸促会）</w:t>
      </w:r>
    </w:p>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Theme="minorEastAsia" w:hAnsiTheme="minorEastAsia" w:eastAsiaTheme="minorEastAsia" w:cstheme="minorEastAsia"/>
          <w:sz w:val="32"/>
          <w:szCs w:val="32"/>
          <w:lang w:eastAsia="zh-CN"/>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center"/>
        <w:textAlignment w:val="auto"/>
        <w:outlineLvl w:val="1"/>
        <w:rPr>
          <w:rFonts w:hint="default" w:ascii="Times New Roman" w:hAnsi="Times New Roman" w:cs="Times New Roman" w:eastAsiaTheme="minorEastAsia"/>
          <w:color w:val="auto"/>
          <w:spacing w:val="0"/>
          <w:sz w:val="32"/>
          <w:szCs w:val="32"/>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center"/>
        <w:textAlignment w:val="auto"/>
        <w:outlineLvl w:val="1"/>
        <w:rPr>
          <w:rFonts w:hint="default" w:ascii="Times New Roman" w:hAnsi="Times New Roman" w:cs="Times New Roman" w:eastAsiaTheme="minorEastAsia"/>
          <w:color w:val="auto"/>
          <w:spacing w:val="0"/>
          <w:sz w:val="32"/>
          <w:szCs w:val="32"/>
          <w:lang w:val="en-US" w:eastAsia="zh-CN"/>
        </w:rPr>
      </w:pPr>
    </w:p>
    <w:p>
      <w:pPr>
        <w:rPr>
          <w:rFonts w:hint="default" w:ascii="Times New Roman" w:hAnsi="Times New Roman" w:cs="Times New Roman" w:eastAsiaTheme="minorEastAsia"/>
          <w:color w:val="auto"/>
          <w:spacing w:val="0"/>
          <w:sz w:val="32"/>
          <w:szCs w:val="32"/>
          <w:lang w:val="en-US" w:eastAsia="zh-CN"/>
        </w:rPr>
      </w:pPr>
      <w:r>
        <w:rPr>
          <w:rFonts w:hint="default" w:ascii="Times New Roman" w:hAnsi="Times New Roman" w:cs="Times New Roman" w:eastAsiaTheme="minorEastAsia"/>
          <w:color w:val="auto"/>
          <w:spacing w:val="0"/>
          <w:sz w:val="32"/>
          <w:szCs w:val="32"/>
          <w:lang w:val="en-US" w:eastAsia="zh-CN"/>
        </w:rPr>
        <w:br w:type="page"/>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r>
        <w:rPr>
          <w:rFonts w:hint="default" w:ascii="Times New Roman" w:hAnsi="Times New Roman" w:eastAsia="经典行楷简" w:cs="Times New Roman"/>
          <w:b/>
          <w:color w:val="2E75B6" w:themeColor="accent1" w:themeShade="BF"/>
          <w:kern w:val="36"/>
          <w:sz w:val="96"/>
          <w:szCs w:val="96"/>
          <w:u w:val="none" w:color="BB120F"/>
          <w:lang w:val="en-US" w:eastAsia="zh-CN"/>
        </w:rPr>
        <w:t>会员企业风采</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hint="eastAsia" w:ascii="华文新魏" w:hAnsi="华文新魏" w:eastAsia="华文新魏" w:cs="华文新魏"/>
          <w:b/>
          <w:bCs w:val="0"/>
          <w:color w:val="FF0000"/>
          <w:kern w:val="0"/>
          <w:sz w:val="52"/>
          <w:szCs w:val="52"/>
          <w:lang w:val="en-US" w:eastAsia="zh-CN" w:bidi="ar-SA"/>
        </w:rPr>
      </w:pPr>
      <w:r>
        <w:rPr>
          <w:rFonts w:hint="eastAsia" w:ascii="华文新魏" w:hAnsi="华文新魏" w:eastAsia="华文新魏" w:cs="华文新魏"/>
          <w:b/>
          <w:bCs w:val="0"/>
          <w:color w:val="FF0000"/>
          <w:kern w:val="0"/>
          <w:sz w:val="52"/>
          <w:szCs w:val="52"/>
          <w:lang w:val="en-US" w:eastAsia="zh-CN" w:bidi="ar-SA"/>
        </w:rPr>
        <w:t>南钢股份纳入MSCI中国指数</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jc w:val="both"/>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近日，国际指数编制公司MSCI公布了其2024年5月的指数调整结果，本次调整结果将于2024年5月31日收盘后生效。此次MSCI指数调整新增8只A股股票名单中，我会副会长单位——南钢股份名列其中。</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jc w:val="both"/>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MSCI是全球领先的投资决策支持工具和服务提供商，在研究、数据和技术方面具有超过50年的专业知识，通过帮助客户了解和分析风险和回报的关键驱动因素，并建立更有效的投资组合，从而推动更好的投资决策。</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jc w:val="both"/>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MSCI每年2月、5月、8月、11月会对指数样本进行调整，调整的依据主要为客观量化指标，如市值和流动性等。本次调整中MSCI全球标准指数新增42只个股。具体到MSCI中国A股指数，新增的有8只标的，包括南钢股份、中信特钢等。</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jc w:val="both"/>
        <w:textAlignment w:val="auto"/>
        <w:outlineLvl w:val="9"/>
        <w:rPr>
          <w:rFonts w:hint="eastAsia" w:ascii="方正楷体_GBK" w:hAnsi="方正楷体_GBK" w:eastAsia="方正楷体_GBK" w:cs="方正楷体_GBK"/>
          <w:b/>
          <w:bCs w:val="0"/>
          <w:color w:val="FF0000"/>
          <w:sz w:val="32"/>
          <w:szCs w:val="32"/>
        </w:rPr>
      </w:pPr>
      <w:r>
        <w:rPr>
          <w:rFonts w:hint="eastAsia" w:asciiTheme="minorEastAsia" w:hAnsiTheme="minorEastAsia" w:eastAsiaTheme="minorEastAsia" w:cstheme="minorEastAsia"/>
          <w:i w:val="0"/>
          <w:caps w:val="0"/>
          <w:color w:val="000000"/>
          <w:spacing w:val="0"/>
          <w:sz w:val="32"/>
          <w:szCs w:val="32"/>
          <w:lang w:val="en-US" w:eastAsia="zh-CN"/>
        </w:rPr>
        <w:t>南钢股份（600282.SH）是行业领先的高效率、全流程钢铁联合企业。公司具备年产千万吨级钢铁综合生产能力，是全球规模效益领先的单体中厚板生产基地及国内具有竞争力的特钢长材生产基地。公司瞄准中国制造业升级及进口替代机会，以专用板材、特钢长材为主导产品，为国家重点项目、高端制造业升级提供解决方案。</w:t>
      </w:r>
      <w:r>
        <w:rPr>
          <w:rFonts w:hint="eastAsia" w:asciiTheme="minorEastAsia" w:hAnsiTheme="minorEastAsia" w:cstheme="minorEastAsia"/>
          <w:i w:val="0"/>
          <w:caps w:val="0"/>
          <w:color w:val="000000"/>
          <w:spacing w:val="0"/>
          <w:sz w:val="32"/>
          <w:szCs w:val="32"/>
          <w:lang w:val="en-US" w:eastAsia="zh-CN"/>
        </w:rPr>
        <w:t xml:space="preserve">      </w:t>
      </w:r>
      <w:r>
        <w:rPr>
          <w:rFonts w:hint="default" w:ascii="Times New Roman" w:hAnsi="Times New Roman" w:eastAsia="方正楷体_GBK" w:cs="Times New Roman"/>
          <w:b/>
          <w:bCs w:val="0"/>
          <w:color w:val="FF0000"/>
          <w:sz w:val="32"/>
          <w:szCs w:val="32"/>
        </w:rPr>
        <w:t>（来源：南钢股份官网）</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hint="eastAsia" w:ascii="华文新魏" w:hAnsi="华文新魏" w:eastAsia="华文新魏" w:cs="华文新魏"/>
          <w:b/>
          <w:bCs w:val="0"/>
          <w:color w:val="FF0000"/>
          <w:kern w:val="0"/>
          <w:sz w:val="52"/>
          <w:szCs w:val="52"/>
          <w:lang w:val="en-US" w:eastAsia="zh-CN" w:bidi="ar-SA"/>
        </w:rPr>
      </w:pPr>
      <w:r>
        <w:rPr>
          <w:rFonts w:hint="eastAsia" w:ascii="华文新魏" w:hAnsi="华文新魏" w:eastAsia="华文新魏" w:cs="华文新魏"/>
          <w:b/>
          <w:bCs w:val="0"/>
          <w:color w:val="FF0000"/>
          <w:kern w:val="0"/>
          <w:sz w:val="52"/>
          <w:szCs w:val="52"/>
          <w:lang w:val="en-US" w:eastAsia="zh-CN" w:bidi="ar-SA"/>
        </w:rPr>
        <w:t>擎天科技荣获2023年度</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hint="eastAsia" w:ascii="Times New Roman" w:hAnsi="Times New Roman" w:eastAsia="方正楷体_GBK" w:cs="Times New Roman"/>
          <w:b w:val="0"/>
          <w:bCs/>
          <w:kern w:val="0"/>
          <w:sz w:val="32"/>
          <w:szCs w:val="32"/>
          <w:lang w:val="en-US" w:eastAsia="zh-CN" w:bidi="ar-SA"/>
        </w:rPr>
      </w:pPr>
      <w:r>
        <w:rPr>
          <w:rFonts w:hint="eastAsia" w:ascii="华文新魏" w:hAnsi="华文新魏" w:eastAsia="华文新魏" w:cs="华文新魏"/>
          <w:b/>
          <w:bCs w:val="0"/>
          <w:color w:val="FF0000"/>
          <w:kern w:val="0"/>
          <w:sz w:val="52"/>
          <w:szCs w:val="52"/>
          <w:lang w:val="en-US" w:eastAsia="zh-CN" w:bidi="ar-SA"/>
        </w:rPr>
        <w:t>江苏省数字经济学会“科学技术创新奖”</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近日，江苏省数字经济学会公布了2023年度江苏省数字经济学会科学技术奖获奖名单。我会副会长单位——擎天科技主导设计的“基于人工智能的城市安全风险耦合预警处置系统及应用”，凭借其前沿的创新性及高度可行的应用预期，荣获科学技术创新奖二等奖。</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获奖研究课题《基于人工智能的城市安全风险耦合预警处置系统及应用》围绕城市运行“一网统管”和城市数字化治理模式，基于监测预警数据、网格化治理机制等聚焦城市安全管理的主要问题和突出风险，充分利用科技手段提高城市安全风险综合监测预警和应急处置能力，依托多部门多灾种的智能化灾害监测网络和城市燃气、桥梁、承灾体、风险隐患等基础信息，基于云计算、大数据、移动互联网、人工智能等新技术、新方法，建设基于人工智能的城市安全风险耦合预警处置，实现预警大数据的智能化采集、整理、分析、计算、服务，分专题开发跨部门城市灾害风险耦合预警场景。</w:t>
      </w:r>
    </w:p>
    <w:p>
      <w:pPr>
        <w:keepNext w:val="0"/>
        <w:keepLines w:val="0"/>
        <w:pageBreakBefore w:val="0"/>
        <w:widowControl w:val="0"/>
        <w:kinsoku/>
        <w:wordWrap/>
        <w:overflowPunct/>
        <w:topLinePunct w:val="0"/>
        <w:autoSpaceDE/>
        <w:autoSpaceDN/>
        <w:bidi w:val="0"/>
        <w:adjustRightInd/>
        <w:snapToGrid/>
        <w:spacing w:line="240" w:lineRule="auto"/>
        <w:ind w:firstLine="3040" w:firstLineChars="1000"/>
        <w:textAlignment w:val="auto"/>
        <w:rPr>
          <w:rFonts w:hint="eastAsia" w:asciiTheme="minorEastAsia" w:hAnsiTheme="minorEastAsia" w:eastAsiaTheme="minorEastAsia" w:cstheme="minorEastAsia"/>
          <w:b/>
          <w:bCs w:val="0"/>
          <w:color w:val="FF0000"/>
          <w:sz w:val="32"/>
          <w:szCs w:val="32"/>
        </w:rPr>
      </w:pPr>
      <w:r>
        <w:rPr>
          <w:rFonts w:hint="eastAsia" w:ascii="方正楷体_GBK" w:hAnsi="方正楷体_GBK" w:eastAsia="方正楷体_GBK" w:cs="方正楷体_GBK"/>
          <w:b/>
          <w:bCs/>
          <w:i w:val="0"/>
          <w:caps w:val="0"/>
          <w:color w:val="FF0000"/>
          <w:spacing w:val="0"/>
          <w:sz w:val="32"/>
          <w:szCs w:val="32"/>
          <w:lang w:val="en-US" w:eastAsia="zh-CN"/>
        </w:rPr>
        <w:t>（来源：擎天科技微信公众号）</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hint="eastAsia" w:ascii="华文新魏" w:hAnsi="华文新魏" w:eastAsia="华文新魏" w:cs="华文新魏"/>
          <w:b/>
          <w:bCs w:val="0"/>
          <w:color w:val="FF0000"/>
          <w:sz w:val="52"/>
          <w:szCs w:val="52"/>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hint="eastAsia" w:ascii="华文新魏" w:hAnsi="华文新魏" w:eastAsia="华文新魏" w:cs="华文新魏"/>
          <w:b/>
          <w:bCs w:val="0"/>
          <w:color w:val="FF0000"/>
          <w:sz w:val="52"/>
          <w:szCs w:val="52"/>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hint="eastAsia" w:ascii="华文新魏" w:hAnsi="华文新魏" w:eastAsia="华文新魏" w:cs="华文新魏"/>
          <w:b/>
          <w:bCs w:val="0"/>
          <w:color w:val="FF0000"/>
          <w:sz w:val="52"/>
          <w:szCs w:val="52"/>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hint="eastAsia" w:ascii="Times New Roman" w:hAnsi="Times New Roman" w:eastAsia="方正楷体_GBK" w:cs="Times New Roman"/>
          <w:b w:val="0"/>
          <w:bCs/>
          <w:kern w:val="0"/>
          <w:sz w:val="32"/>
          <w:szCs w:val="32"/>
          <w:lang w:val="en-US" w:eastAsia="zh-CN" w:bidi="ar-SA"/>
        </w:rPr>
      </w:pPr>
      <w:r>
        <w:rPr>
          <w:rFonts w:hint="eastAsia" w:ascii="华文新魏" w:hAnsi="华文新魏" w:eastAsia="华文新魏" w:cs="华文新魏"/>
          <w:b/>
          <w:bCs w:val="0"/>
          <w:color w:val="FF0000"/>
          <w:spacing w:val="-23"/>
          <w:kern w:val="0"/>
          <w:sz w:val="52"/>
          <w:szCs w:val="52"/>
          <w:lang w:val="en-US" w:eastAsia="zh-CN" w:bidi="ar-SA"/>
        </w:rPr>
        <w:t>上上电缆服务“国和一号”示范工程获表扬</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近日，我会理事单位——上上电缆收到国核示范电站有限责任公司（以下简称“国核示范电站”）的表扬信及锦旗。信中表示，上上电缆在“国和一号”示范工程中有力保障了现场系统TOP移交和调试工作的顺利推进。该信传达了国核示范电站对上上电缆的衷心感谢和对上上服务的高度认可。</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据悉，“国和一号”是我国具有自主知识产权的大型先进三代非能动压水堆核电型号。在“国和一号”项目中，上上电缆先后中标“大型先进压水堆核电站重大专项CAP1400示范工程项目1、2号机组”壳内外1E级低压电力和控制电缆（EW50）、壳内外中压电力电缆（EW40）、壳内仪表电缆（EW21-1）等标段。其中核电缆以及电缆用绝缘、护套材料完全为自主研发，拥有独立知识产权，是核电站用安全壳内、安全壳外电缆国产化产品的代表。</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default" w:ascii="Times New Roman" w:hAnsi="Times New Roman" w:eastAsia="方正楷体_GBK" w:cs="Times New Roman"/>
          <w:b/>
          <w:bCs w:val="0"/>
          <w:color w:val="FF000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自1996年核电缆研发项目立项以来，上上电缆已潜心专研核电缆二十余年，先后成功研发二代半、三代全系列核电缆，并已介入四代核电站建设。其中二代核电填补了国内空白，三代核电填补世界空白。目前，国内已建和在建的核电站项目上上电缆都有参与，上上电缆以过硬的质量、周到的服务在核电领域得到用户的肯定和好评。今后，上上电缆将始终坚持“安全第一、质量第一”的方针，以更加优质的产品和服务，与广大客户一起互利共赢、携手前行，为中国核电发展做出贡献。</w:t>
      </w:r>
      <w:r>
        <w:rPr>
          <w:rFonts w:hint="eastAsia" w:asciiTheme="minorEastAsia" w:hAnsiTheme="minorEastAsia" w:cstheme="minorEastAsia"/>
          <w:i w:val="0"/>
          <w:caps w:val="0"/>
          <w:color w:val="000000"/>
          <w:spacing w:val="0"/>
          <w:sz w:val="32"/>
          <w:szCs w:val="32"/>
          <w:lang w:val="en-US" w:eastAsia="zh-CN"/>
        </w:rPr>
        <w:t xml:space="preserve">  </w:t>
      </w:r>
      <w:r>
        <w:rPr>
          <w:rFonts w:hint="default" w:ascii="Times New Roman" w:hAnsi="Times New Roman" w:eastAsia="方正楷体_GBK" w:cs="Times New Roman"/>
          <w:b/>
          <w:bCs w:val="0"/>
          <w:color w:val="FF0000"/>
          <w:sz w:val="32"/>
          <w:szCs w:val="32"/>
        </w:rPr>
        <w:t>（来源：上上电缆官网）</w:t>
      </w:r>
    </w:p>
    <w:sectPr>
      <w:footerReference r:id="rId4" w:type="default"/>
      <w:pgSz w:w="11906" w:h="16838"/>
      <w:pgMar w:top="2098" w:right="1474" w:bottom="1984" w:left="1587" w:header="1417" w:footer="992" w:gutter="0"/>
      <w:pgBorders>
        <w:top w:val="single" w:color="F82206" w:sz="48" w:space="1"/>
        <w:left w:val="single" w:color="F82206" w:sz="48" w:space="4"/>
        <w:bottom w:val="single" w:color="F82206" w:sz="48" w:space="1"/>
        <w:right w:val="single" w:color="F82206" w:sz="48" w:space="4"/>
      </w:pgBorders>
      <w:pgNumType w:fmt="decimal" w:start="1"/>
      <w:cols w:space="425" w:num="1"/>
      <w:docGrid w:type="linesAndChars" w:linePitch="290" w:charSpace="-34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经典行楷简">
    <w:panose1 w:val="02010609000101010101"/>
    <w:charset w:val="86"/>
    <w:family w:val="auto"/>
    <w:pitch w:val="default"/>
    <w:sig w:usb0="A1007AEF" w:usb1="F9DF7CFB" w:usb2="0000001E" w:usb3="00000000" w:csb0="2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粗黑宋简体">
    <w:panose1 w:val="02000000000000000000"/>
    <w:charset w:val="86"/>
    <w:family w:val="auto"/>
    <w:pitch w:val="default"/>
    <w:sig w:usb0="A00002BF" w:usb1="184F6CFA" w:usb2="00000012" w:usb3="00000000" w:csb0="00040001" w:csb1="00000000"/>
  </w:font>
  <w:font w:name="方正舒体">
    <w:panose1 w:val="02010601030101010101"/>
    <w:charset w:val="86"/>
    <w:family w:val="auto"/>
    <w:pitch w:val="default"/>
    <w:sig w:usb0="00000003"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兰亭超细黑简体">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center"/>
      <w:rPr>
        <w:rFonts w:ascii="Calibri" w:hAnsi="Calibri" w:eastAsia="宋体" w:cs="Times New Roman"/>
        <w:kern w:val="2"/>
        <w:sz w:val="18"/>
        <w:szCs w:val="18"/>
        <w:lang w:val="en-US" w:eastAsia="zh-CN" w:bidi="ar-SA"/>
      </w:rPr>
    </w:pPr>
  </w:p>
  <w:p>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center"/>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-328930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tabs>
                              <w:tab w:val="center" w:pos="4153"/>
                              <w:tab w:val="right" w:pos="8306"/>
                            </w:tabs>
                            <w:snapToGrid w:val="0"/>
                            <w:jc w:val="left"/>
                            <w:rPr>
                              <w:rFonts w:ascii="Calibri" w:hAnsi="Calibri" w:eastAsia="宋体" w:cs="Times New Roman"/>
                              <w:kern w:val="2"/>
                              <w:sz w:val="18"/>
                              <w:szCs w:val="18"/>
                              <w:highlight w:val="yellow"/>
                              <w:lang w:val="en-US" w:eastAsia="zh-CN" w:bidi="ar-SA"/>
                            </w:rPr>
                          </w:pP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 xml:space="preserve">— </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begin"/>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instrText xml:space="preserve"> PAGE  \* MERGEFORMAT </w:instrTex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separate"/>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1</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end"/>
                          </w:r>
                          <w:r>
                            <w:rPr>
                              <w:rFonts w:hint="default" w:ascii="Times New Roman" w:hAnsi="Times New Roman" w:eastAsia="宋体" w:cs="Times New Roman"/>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 xml:space="preserve"> </w:t>
                          </w: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5.9pt;height:144pt;width:144pt;mso-position-horizontal:outside;mso-position-horizontal-relative:margin;mso-wrap-style:none;z-index:251659264;mso-width-relative:page;mso-height-relative:page;" filled="f" stroked="f" coordsize="21600,21600" o:gfxdata="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Lb8LAtYAAAAIAQAA&#10;DwAAAAAAAAABACAAAAAiAAAAZHJzL2Rvd25yZXYueG1sUEsBAhQAFAAAAAgAh07iQCOFi7YbAgAA&#10;IQQAAA4AAAAAAAAAAQAgAAAAJQEAAGRycy9lMm9Eb2MueG1sUEsFBgAAAAAGAAYAWQEAALIFAAAA&#10;AA==&#10;">
              <v:fill on="f" focussize="0,0"/>
              <v:stroke on="f" weight="0.5pt"/>
              <v:imagedata o:title=""/>
              <o:lock v:ext="edit" aspectratio="f"/>
              <v:textbox inset="0mm,0mm,0mm,0mm" style="mso-fit-shape-to-text:t;">
                <w:txbxContent>
                  <w:p>
                    <w:pPr>
                      <w:widowControl w:val="0"/>
                      <w:tabs>
                        <w:tab w:val="center" w:pos="4153"/>
                        <w:tab w:val="right" w:pos="8306"/>
                      </w:tabs>
                      <w:snapToGrid w:val="0"/>
                      <w:jc w:val="left"/>
                      <w:rPr>
                        <w:rFonts w:ascii="Calibri" w:hAnsi="Calibri" w:eastAsia="宋体" w:cs="Times New Roman"/>
                        <w:kern w:val="2"/>
                        <w:sz w:val="18"/>
                        <w:szCs w:val="18"/>
                        <w:highlight w:val="yellow"/>
                        <w:lang w:val="en-US" w:eastAsia="zh-CN" w:bidi="ar-SA"/>
                      </w:rPr>
                    </w:pP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 xml:space="preserve">— </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begin"/>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instrText xml:space="preserve"> PAGE  \* MERGEFORMAT </w:instrTex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separate"/>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1</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end"/>
                    </w:r>
                    <w:r>
                      <w:rPr>
                        <w:rFonts w:hint="default" w:ascii="Times New Roman" w:hAnsi="Times New Roman" w:eastAsia="宋体" w:cs="Times New Roman"/>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 xml:space="preserve"> </w:t>
                    </w: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w:t>
                    </w:r>
                  </w:p>
                </w:txbxContent>
              </v:textbox>
            </v:shape>
          </w:pict>
        </mc:Fallback>
      </mc:AlternateContent>
    </w:r>
  </w:p>
  <w:p>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yY2JjZjUwZjliZTZiOTlhN2YyNWNiNDhlZDgzZjgifQ=="/>
  </w:docVars>
  <w:rsids>
    <w:rsidRoot w:val="09CD0E22"/>
    <w:rsid w:val="00030C0E"/>
    <w:rsid w:val="00043245"/>
    <w:rsid w:val="0007364F"/>
    <w:rsid w:val="00093D01"/>
    <w:rsid w:val="00097083"/>
    <w:rsid w:val="001156B9"/>
    <w:rsid w:val="00154806"/>
    <w:rsid w:val="001F2C95"/>
    <w:rsid w:val="002840B7"/>
    <w:rsid w:val="003208B4"/>
    <w:rsid w:val="003671B0"/>
    <w:rsid w:val="003C691D"/>
    <w:rsid w:val="003F32D7"/>
    <w:rsid w:val="0042623F"/>
    <w:rsid w:val="0043286B"/>
    <w:rsid w:val="00467C46"/>
    <w:rsid w:val="005A092B"/>
    <w:rsid w:val="006B63D3"/>
    <w:rsid w:val="006C0C2E"/>
    <w:rsid w:val="007C2A82"/>
    <w:rsid w:val="007E11E9"/>
    <w:rsid w:val="008B2F92"/>
    <w:rsid w:val="008E3499"/>
    <w:rsid w:val="00906A61"/>
    <w:rsid w:val="00A0554E"/>
    <w:rsid w:val="00A55B3B"/>
    <w:rsid w:val="00B35803"/>
    <w:rsid w:val="00B45E3E"/>
    <w:rsid w:val="00C16462"/>
    <w:rsid w:val="00C66488"/>
    <w:rsid w:val="00CA656E"/>
    <w:rsid w:val="00CE04E4"/>
    <w:rsid w:val="00D0085C"/>
    <w:rsid w:val="00DB54B3"/>
    <w:rsid w:val="00E278B0"/>
    <w:rsid w:val="00FC3867"/>
    <w:rsid w:val="010007F1"/>
    <w:rsid w:val="01123C24"/>
    <w:rsid w:val="011E0AB2"/>
    <w:rsid w:val="01281FA6"/>
    <w:rsid w:val="0129652A"/>
    <w:rsid w:val="012C4A94"/>
    <w:rsid w:val="0134238F"/>
    <w:rsid w:val="01434062"/>
    <w:rsid w:val="015A28DE"/>
    <w:rsid w:val="01603797"/>
    <w:rsid w:val="01614C4F"/>
    <w:rsid w:val="016607CF"/>
    <w:rsid w:val="01687C29"/>
    <w:rsid w:val="016D0719"/>
    <w:rsid w:val="01730647"/>
    <w:rsid w:val="017F7312"/>
    <w:rsid w:val="0183354F"/>
    <w:rsid w:val="018A4341"/>
    <w:rsid w:val="018D1ED5"/>
    <w:rsid w:val="01944C0D"/>
    <w:rsid w:val="019652A2"/>
    <w:rsid w:val="019A0A9C"/>
    <w:rsid w:val="019E5AF8"/>
    <w:rsid w:val="01A05888"/>
    <w:rsid w:val="01A2463C"/>
    <w:rsid w:val="01A536F0"/>
    <w:rsid w:val="01AB72AD"/>
    <w:rsid w:val="01AD0FC0"/>
    <w:rsid w:val="01B74B80"/>
    <w:rsid w:val="01B76B70"/>
    <w:rsid w:val="01BC47E4"/>
    <w:rsid w:val="01BD0D3F"/>
    <w:rsid w:val="01C277DB"/>
    <w:rsid w:val="01CB201F"/>
    <w:rsid w:val="01D01DDD"/>
    <w:rsid w:val="01D83F23"/>
    <w:rsid w:val="01DA121B"/>
    <w:rsid w:val="01EB6FF4"/>
    <w:rsid w:val="01EC6C1A"/>
    <w:rsid w:val="01F43D5D"/>
    <w:rsid w:val="01F53962"/>
    <w:rsid w:val="01F77D17"/>
    <w:rsid w:val="01FE284A"/>
    <w:rsid w:val="020C0504"/>
    <w:rsid w:val="021337A8"/>
    <w:rsid w:val="02154F00"/>
    <w:rsid w:val="022C2DDE"/>
    <w:rsid w:val="02424F98"/>
    <w:rsid w:val="024B4F65"/>
    <w:rsid w:val="02522774"/>
    <w:rsid w:val="02716397"/>
    <w:rsid w:val="027D39C5"/>
    <w:rsid w:val="02842B55"/>
    <w:rsid w:val="02850B1B"/>
    <w:rsid w:val="028E239B"/>
    <w:rsid w:val="028E669E"/>
    <w:rsid w:val="02945151"/>
    <w:rsid w:val="02994D24"/>
    <w:rsid w:val="02AA4579"/>
    <w:rsid w:val="02B7449E"/>
    <w:rsid w:val="02CA2014"/>
    <w:rsid w:val="02CE36F0"/>
    <w:rsid w:val="02D253BA"/>
    <w:rsid w:val="02D664A5"/>
    <w:rsid w:val="02D70120"/>
    <w:rsid w:val="02F04987"/>
    <w:rsid w:val="02F3072B"/>
    <w:rsid w:val="02F4686A"/>
    <w:rsid w:val="02F50E1A"/>
    <w:rsid w:val="02FC2D91"/>
    <w:rsid w:val="02FC365E"/>
    <w:rsid w:val="03055083"/>
    <w:rsid w:val="030A33B2"/>
    <w:rsid w:val="0312457C"/>
    <w:rsid w:val="03173E54"/>
    <w:rsid w:val="03276EB0"/>
    <w:rsid w:val="03320DD5"/>
    <w:rsid w:val="03367B19"/>
    <w:rsid w:val="033F3094"/>
    <w:rsid w:val="0341739D"/>
    <w:rsid w:val="035906B9"/>
    <w:rsid w:val="035A07AB"/>
    <w:rsid w:val="036773BE"/>
    <w:rsid w:val="03745931"/>
    <w:rsid w:val="0375270B"/>
    <w:rsid w:val="0376026A"/>
    <w:rsid w:val="03763E10"/>
    <w:rsid w:val="03795E56"/>
    <w:rsid w:val="038F00BD"/>
    <w:rsid w:val="038F07EB"/>
    <w:rsid w:val="039F6B79"/>
    <w:rsid w:val="03A054FE"/>
    <w:rsid w:val="03A710E3"/>
    <w:rsid w:val="03B4345E"/>
    <w:rsid w:val="03B75E22"/>
    <w:rsid w:val="03C7124D"/>
    <w:rsid w:val="03C956D7"/>
    <w:rsid w:val="03CD065E"/>
    <w:rsid w:val="03CE1273"/>
    <w:rsid w:val="03D96519"/>
    <w:rsid w:val="03DC76EB"/>
    <w:rsid w:val="03DF3AAC"/>
    <w:rsid w:val="03DF7C94"/>
    <w:rsid w:val="03EE2D2D"/>
    <w:rsid w:val="03EE5120"/>
    <w:rsid w:val="03F95EAB"/>
    <w:rsid w:val="03FA4378"/>
    <w:rsid w:val="040E59E0"/>
    <w:rsid w:val="04177E90"/>
    <w:rsid w:val="04227E09"/>
    <w:rsid w:val="04256881"/>
    <w:rsid w:val="042E72BA"/>
    <w:rsid w:val="04361A54"/>
    <w:rsid w:val="043837D8"/>
    <w:rsid w:val="043F0FCC"/>
    <w:rsid w:val="0458216E"/>
    <w:rsid w:val="04633D2A"/>
    <w:rsid w:val="046441B2"/>
    <w:rsid w:val="0470619B"/>
    <w:rsid w:val="047264E0"/>
    <w:rsid w:val="047929EC"/>
    <w:rsid w:val="047931E4"/>
    <w:rsid w:val="047957E8"/>
    <w:rsid w:val="047B754C"/>
    <w:rsid w:val="047C330E"/>
    <w:rsid w:val="04802BB2"/>
    <w:rsid w:val="048112FB"/>
    <w:rsid w:val="048B08F7"/>
    <w:rsid w:val="04967063"/>
    <w:rsid w:val="04997356"/>
    <w:rsid w:val="04B3013F"/>
    <w:rsid w:val="04BA605B"/>
    <w:rsid w:val="04BB6582"/>
    <w:rsid w:val="04BF51D4"/>
    <w:rsid w:val="04C30370"/>
    <w:rsid w:val="04C369FD"/>
    <w:rsid w:val="04C87276"/>
    <w:rsid w:val="04CE7B7F"/>
    <w:rsid w:val="04D13EAB"/>
    <w:rsid w:val="04DB5315"/>
    <w:rsid w:val="04E16ACF"/>
    <w:rsid w:val="04F33CBA"/>
    <w:rsid w:val="05006805"/>
    <w:rsid w:val="05017788"/>
    <w:rsid w:val="05150D13"/>
    <w:rsid w:val="052054D4"/>
    <w:rsid w:val="052C7639"/>
    <w:rsid w:val="054A7C8A"/>
    <w:rsid w:val="055D26AF"/>
    <w:rsid w:val="056534E0"/>
    <w:rsid w:val="056834A8"/>
    <w:rsid w:val="05684832"/>
    <w:rsid w:val="056E79C6"/>
    <w:rsid w:val="05770173"/>
    <w:rsid w:val="057A799E"/>
    <w:rsid w:val="058647BE"/>
    <w:rsid w:val="05880374"/>
    <w:rsid w:val="05881910"/>
    <w:rsid w:val="05913966"/>
    <w:rsid w:val="059F17BF"/>
    <w:rsid w:val="05A259F9"/>
    <w:rsid w:val="05A73DC5"/>
    <w:rsid w:val="05A81972"/>
    <w:rsid w:val="05B336D5"/>
    <w:rsid w:val="05CC2A3B"/>
    <w:rsid w:val="05CD0D9A"/>
    <w:rsid w:val="05CF249D"/>
    <w:rsid w:val="05D14319"/>
    <w:rsid w:val="05D714EA"/>
    <w:rsid w:val="05E536E6"/>
    <w:rsid w:val="05EA1C44"/>
    <w:rsid w:val="05F2445C"/>
    <w:rsid w:val="06077942"/>
    <w:rsid w:val="060A0D89"/>
    <w:rsid w:val="060F3722"/>
    <w:rsid w:val="062B0B83"/>
    <w:rsid w:val="062C6587"/>
    <w:rsid w:val="062D67C8"/>
    <w:rsid w:val="06301A1B"/>
    <w:rsid w:val="0633380C"/>
    <w:rsid w:val="0638362B"/>
    <w:rsid w:val="063E600A"/>
    <w:rsid w:val="06405659"/>
    <w:rsid w:val="064F5725"/>
    <w:rsid w:val="065C27A8"/>
    <w:rsid w:val="065F50DA"/>
    <w:rsid w:val="06626021"/>
    <w:rsid w:val="066D2CED"/>
    <w:rsid w:val="066E2C0B"/>
    <w:rsid w:val="06700010"/>
    <w:rsid w:val="06734EB6"/>
    <w:rsid w:val="067C24CF"/>
    <w:rsid w:val="068A1FDD"/>
    <w:rsid w:val="069002BE"/>
    <w:rsid w:val="06906B8C"/>
    <w:rsid w:val="069725BC"/>
    <w:rsid w:val="069A3A7C"/>
    <w:rsid w:val="069E196C"/>
    <w:rsid w:val="06A729E1"/>
    <w:rsid w:val="06AB1C7E"/>
    <w:rsid w:val="06AC05E7"/>
    <w:rsid w:val="06AF1D16"/>
    <w:rsid w:val="06AF3414"/>
    <w:rsid w:val="06BA5EB2"/>
    <w:rsid w:val="06E444B8"/>
    <w:rsid w:val="070615F0"/>
    <w:rsid w:val="07085235"/>
    <w:rsid w:val="07146D7A"/>
    <w:rsid w:val="072C5901"/>
    <w:rsid w:val="07355298"/>
    <w:rsid w:val="073633AE"/>
    <w:rsid w:val="0738618B"/>
    <w:rsid w:val="074E1705"/>
    <w:rsid w:val="074E279C"/>
    <w:rsid w:val="075C0378"/>
    <w:rsid w:val="075C613A"/>
    <w:rsid w:val="07625427"/>
    <w:rsid w:val="0768627D"/>
    <w:rsid w:val="07774E9B"/>
    <w:rsid w:val="07886D75"/>
    <w:rsid w:val="079A77BC"/>
    <w:rsid w:val="079D6C92"/>
    <w:rsid w:val="07A92FCD"/>
    <w:rsid w:val="07C32EAB"/>
    <w:rsid w:val="07CE7516"/>
    <w:rsid w:val="07DA5629"/>
    <w:rsid w:val="07DE3B60"/>
    <w:rsid w:val="07E54B9E"/>
    <w:rsid w:val="08010DA7"/>
    <w:rsid w:val="080F3123"/>
    <w:rsid w:val="08220E8F"/>
    <w:rsid w:val="08242F28"/>
    <w:rsid w:val="08252E6C"/>
    <w:rsid w:val="08275EA4"/>
    <w:rsid w:val="08294CB5"/>
    <w:rsid w:val="083036B5"/>
    <w:rsid w:val="08310F19"/>
    <w:rsid w:val="08331FC1"/>
    <w:rsid w:val="083611A9"/>
    <w:rsid w:val="08394081"/>
    <w:rsid w:val="083943C5"/>
    <w:rsid w:val="083A721F"/>
    <w:rsid w:val="08404FD2"/>
    <w:rsid w:val="084A2513"/>
    <w:rsid w:val="08515651"/>
    <w:rsid w:val="085D6EF2"/>
    <w:rsid w:val="085F59AE"/>
    <w:rsid w:val="086303CB"/>
    <w:rsid w:val="08637FD8"/>
    <w:rsid w:val="08674312"/>
    <w:rsid w:val="0875786E"/>
    <w:rsid w:val="0881684A"/>
    <w:rsid w:val="08927463"/>
    <w:rsid w:val="08991A5A"/>
    <w:rsid w:val="089C49FA"/>
    <w:rsid w:val="08AF073A"/>
    <w:rsid w:val="08BD5FE1"/>
    <w:rsid w:val="08BE7798"/>
    <w:rsid w:val="08C654F8"/>
    <w:rsid w:val="08CA79C7"/>
    <w:rsid w:val="08D54B6A"/>
    <w:rsid w:val="08D73E78"/>
    <w:rsid w:val="08DB6139"/>
    <w:rsid w:val="08DD4FAE"/>
    <w:rsid w:val="08DE001E"/>
    <w:rsid w:val="08DE502C"/>
    <w:rsid w:val="08DE7E03"/>
    <w:rsid w:val="08ED6D3B"/>
    <w:rsid w:val="08FB16E4"/>
    <w:rsid w:val="08FB2C3C"/>
    <w:rsid w:val="08FE2EDE"/>
    <w:rsid w:val="08FE5206"/>
    <w:rsid w:val="09140F8D"/>
    <w:rsid w:val="09155095"/>
    <w:rsid w:val="091D10D0"/>
    <w:rsid w:val="09210482"/>
    <w:rsid w:val="092105FC"/>
    <w:rsid w:val="09222AB2"/>
    <w:rsid w:val="09266115"/>
    <w:rsid w:val="093303B8"/>
    <w:rsid w:val="09446DB4"/>
    <w:rsid w:val="094811BB"/>
    <w:rsid w:val="094F18C1"/>
    <w:rsid w:val="0954257E"/>
    <w:rsid w:val="095929D4"/>
    <w:rsid w:val="095A003F"/>
    <w:rsid w:val="095B02C8"/>
    <w:rsid w:val="09606CDC"/>
    <w:rsid w:val="09631FC1"/>
    <w:rsid w:val="09651D94"/>
    <w:rsid w:val="098A1F77"/>
    <w:rsid w:val="099872CF"/>
    <w:rsid w:val="09A137B2"/>
    <w:rsid w:val="09A2636C"/>
    <w:rsid w:val="09A44BA0"/>
    <w:rsid w:val="09AA495F"/>
    <w:rsid w:val="09AC53C9"/>
    <w:rsid w:val="09B630C3"/>
    <w:rsid w:val="09C222A5"/>
    <w:rsid w:val="09C27E4D"/>
    <w:rsid w:val="09C81C8D"/>
    <w:rsid w:val="09CB6B07"/>
    <w:rsid w:val="09CD0E22"/>
    <w:rsid w:val="09FA2B3C"/>
    <w:rsid w:val="09FA772F"/>
    <w:rsid w:val="09FB6D64"/>
    <w:rsid w:val="0A030CE9"/>
    <w:rsid w:val="0A0D0EE1"/>
    <w:rsid w:val="0A346C5C"/>
    <w:rsid w:val="0A4707FD"/>
    <w:rsid w:val="0A486965"/>
    <w:rsid w:val="0A4B2E8D"/>
    <w:rsid w:val="0A5317DF"/>
    <w:rsid w:val="0A564C39"/>
    <w:rsid w:val="0A5B0F4C"/>
    <w:rsid w:val="0A61640A"/>
    <w:rsid w:val="0A6536D8"/>
    <w:rsid w:val="0A6A580E"/>
    <w:rsid w:val="0A7611EF"/>
    <w:rsid w:val="0A765DBA"/>
    <w:rsid w:val="0A7A1EF7"/>
    <w:rsid w:val="0A987047"/>
    <w:rsid w:val="0AA05D85"/>
    <w:rsid w:val="0AAD109D"/>
    <w:rsid w:val="0ABB417A"/>
    <w:rsid w:val="0ABE47A4"/>
    <w:rsid w:val="0ACC2910"/>
    <w:rsid w:val="0ACC3151"/>
    <w:rsid w:val="0AD16821"/>
    <w:rsid w:val="0AD45A3C"/>
    <w:rsid w:val="0AD60B60"/>
    <w:rsid w:val="0ADC78D2"/>
    <w:rsid w:val="0AE11813"/>
    <w:rsid w:val="0AE3323E"/>
    <w:rsid w:val="0AEB11A6"/>
    <w:rsid w:val="0AEC3E44"/>
    <w:rsid w:val="0AEE609E"/>
    <w:rsid w:val="0AEF478A"/>
    <w:rsid w:val="0B062542"/>
    <w:rsid w:val="0B0E47F4"/>
    <w:rsid w:val="0B1C17AD"/>
    <w:rsid w:val="0B283787"/>
    <w:rsid w:val="0B2D6F6E"/>
    <w:rsid w:val="0B345DB1"/>
    <w:rsid w:val="0B363DD8"/>
    <w:rsid w:val="0B3A4657"/>
    <w:rsid w:val="0B3C5BB9"/>
    <w:rsid w:val="0B4372E2"/>
    <w:rsid w:val="0B5A2079"/>
    <w:rsid w:val="0B5B5996"/>
    <w:rsid w:val="0B5C3E34"/>
    <w:rsid w:val="0B6075D7"/>
    <w:rsid w:val="0B627AD4"/>
    <w:rsid w:val="0B6A0BB3"/>
    <w:rsid w:val="0B792EB2"/>
    <w:rsid w:val="0B8035EB"/>
    <w:rsid w:val="0B84164E"/>
    <w:rsid w:val="0B89731E"/>
    <w:rsid w:val="0B904412"/>
    <w:rsid w:val="0B913EDA"/>
    <w:rsid w:val="0B9C76A8"/>
    <w:rsid w:val="0BA50775"/>
    <w:rsid w:val="0BA749E5"/>
    <w:rsid w:val="0BAC24A8"/>
    <w:rsid w:val="0BAE1323"/>
    <w:rsid w:val="0BB42E0A"/>
    <w:rsid w:val="0BBA3391"/>
    <w:rsid w:val="0BDC3258"/>
    <w:rsid w:val="0BDE3581"/>
    <w:rsid w:val="0BE85349"/>
    <w:rsid w:val="0BF57A28"/>
    <w:rsid w:val="0BF845E9"/>
    <w:rsid w:val="0BFA1A53"/>
    <w:rsid w:val="0C074F06"/>
    <w:rsid w:val="0C0B1E5B"/>
    <w:rsid w:val="0C146F99"/>
    <w:rsid w:val="0C1A584B"/>
    <w:rsid w:val="0C2275D5"/>
    <w:rsid w:val="0C2D70F9"/>
    <w:rsid w:val="0C342312"/>
    <w:rsid w:val="0C53740C"/>
    <w:rsid w:val="0C563E70"/>
    <w:rsid w:val="0C631545"/>
    <w:rsid w:val="0C6E187C"/>
    <w:rsid w:val="0C7D4D8F"/>
    <w:rsid w:val="0C80052F"/>
    <w:rsid w:val="0C8C06D3"/>
    <w:rsid w:val="0C980884"/>
    <w:rsid w:val="0C9961AF"/>
    <w:rsid w:val="0C9A50FF"/>
    <w:rsid w:val="0C9B3EE0"/>
    <w:rsid w:val="0C9C2E80"/>
    <w:rsid w:val="0CA20B1F"/>
    <w:rsid w:val="0CA44E41"/>
    <w:rsid w:val="0CA77405"/>
    <w:rsid w:val="0CAE5B1B"/>
    <w:rsid w:val="0CB224D8"/>
    <w:rsid w:val="0CB31FF7"/>
    <w:rsid w:val="0CB45BFD"/>
    <w:rsid w:val="0CB75099"/>
    <w:rsid w:val="0CB80D6E"/>
    <w:rsid w:val="0CBF360E"/>
    <w:rsid w:val="0CBF44B3"/>
    <w:rsid w:val="0CC10497"/>
    <w:rsid w:val="0CC30BC5"/>
    <w:rsid w:val="0CC42150"/>
    <w:rsid w:val="0CC45545"/>
    <w:rsid w:val="0CC71781"/>
    <w:rsid w:val="0CCB0FDF"/>
    <w:rsid w:val="0CDC515C"/>
    <w:rsid w:val="0CDE34FB"/>
    <w:rsid w:val="0D0B2A13"/>
    <w:rsid w:val="0D112021"/>
    <w:rsid w:val="0D12133D"/>
    <w:rsid w:val="0D1F7151"/>
    <w:rsid w:val="0D200D54"/>
    <w:rsid w:val="0D2B7DB2"/>
    <w:rsid w:val="0D3152D9"/>
    <w:rsid w:val="0D384916"/>
    <w:rsid w:val="0D427E08"/>
    <w:rsid w:val="0D4A1977"/>
    <w:rsid w:val="0D511FCD"/>
    <w:rsid w:val="0D52698E"/>
    <w:rsid w:val="0D583C5F"/>
    <w:rsid w:val="0D5D658F"/>
    <w:rsid w:val="0D6029A5"/>
    <w:rsid w:val="0D6063D4"/>
    <w:rsid w:val="0D667E20"/>
    <w:rsid w:val="0D682A3A"/>
    <w:rsid w:val="0D922931"/>
    <w:rsid w:val="0D95263C"/>
    <w:rsid w:val="0DA81B9F"/>
    <w:rsid w:val="0DAD79F2"/>
    <w:rsid w:val="0DC436B0"/>
    <w:rsid w:val="0DC9693F"/>
    <w:rsid w:val="0DCC1715"/>
    <w:rsid w:val="0DD82C48"/>
    <w:rsid w:val="0DDB6385"/>
    <w:rsid w:val="0DF0632D"/>
    <w:rsid w:val="0DF475E0"/>
    <w:rsid w:val="0E0E09E4"/>
    <w:rsid w:val="0E184477"/>
    <w:rsid w:val="0E1A4501"/>
    <w:rsid w:val="0E21196E"/>
    <w:rsid w:val="0E227E98"/>
    <w:rsid w:val="0E27140B"/>
    <w:rsid w:val="0E2D4D70"/>
    <w:rsid w:val="0E3B2663"/>
    <w:rsid w:val="0E443DBA"/>
    <w:rsid w:val="0E465F52"/>
    <w:rsid w:val="0E576A70"/>
    <w:rsid w:val="0E6B437E"/>
    <w:rsid w:val="0E6B6A22"/>
    <w:rsid w:val="0E793535"/>
    <w:rsid w:val="0E795DEE"/>
    <w:rsid w:val="0E7B3260"/>
    <w:rsid w:val="0E804638"/>
    <w:rsid w:val="0E854758"/>
    <w:rsid w:val="0EC4408A"/>
    <w:rsid w:val="0ECD6BD5"/>
    <w:rsid w:val="0EDA3DE0"/>
    <w:rsid w:val="0EE241B0"/>
    <w:rsid w:val="0EE470B9"/>
    <w:rsid w:val="0EE51F3F"/>
    <w:rsid w:val="0EE96C61"/>
    <w:rsid w:val="0EEF6278"/>
    <w:rsid w:val="0EFE189B"/>
    <w:rsid w:val="0F110F65"/>
    <w:rsid w:val="0F126FC2"/>
    <w:rsid w:val="0F1821BC"/>
    <w:rsid w:val="0F1F71AB"/>
    <w:rsid w:val="0F206FE9"/>
    <w:rsid w:val="0F246E43"/>
    <w:rsid w:val="0F2F2F21"/>
    <w:rsid w:val="0F303168"/>
    <w:rsid w:val="0F313E14"/>
    <w:rsid w:val="0F3346BD"/>
    <w:rsid w:val="0F521390"/>
    <w:rsid w:val="0F551890"/>
    <w:rsid w:val="0F5B58BB"/>
    <w:rsid w:val="0F6735DF"/>
    <w:rsid w:val="0F6A4B85"/>
    <w:rsid w:val="0F716691"/>
    <w:rsid w:val="0F735DB2"/>
    <w:rsid w:val="0F7840D6"/>
    <w:rsid w:val="0F7B2D75"/>
    <w:rsid w:val="0F873A0E"/>
    <w:rsid w:val="0F883C70"/>
    <w:rsid w:val="0F8B6CB6"/>
    <w:rsid w:val="0F9177B5"/>
    <w:rsid w:val="0F9A3FA1"/>
    <w:rsid w:val="0F9E606C"/>
    <w:rsid w:val="0FA17F55"/>
    <w:rsid w:val="0FA35FFE"/>
    <w:rsid w:val="0FA821B8"/>
    <w:rsid w:val="0FAE546F"/>
    <w:rsid w:val="0FB50512"/>
    <w:rsid w:val="0FC24482"/>
    <w:rsid w:val="0FC754B6"/>
    <w:rsid w:val="0FCD46F4"/>
    <w:rsid w:val="0FCE3065"/>
    <w:rsid w:val="0FE107E2"/>
    <w:rsid w:val="0FE336DE"/>
    <w:rsid w:val="0FED1D3E"/>
    <w:rsid w:val="10065756"/>
    <w:rsid w:val="100A69A4"/>
    <w:rsid w:val="100E17EE"/>
    <w:rsid w:val="10140347"/>
    <w:rsid w:val="101B54B3"/>
    <w:rsid w:val="101C6175"/>
    <w:rsid w:val="104210EE"/>
    <w:rsid w:val="10513C3F"/>
    <w:rsid w:val="10541F36"/>
    <w:rsid w:val="105D2D1E"/>
    <w:rsid w:val="10623D8F"/>
    <w:rsid w:val="10703686"/>
    <w:rsid w:val="1075160B"/>
    <w:rsid w:val="107760A9"/>
    <w:rsid w:val="10780D89"/>
    <w:rsid w:val="107B52AA"/>
    <w:rsid w:val="107E75D8"/>
    <w:rsid w:val="10805AB8"/>
    <w:rsid w:val="108161A3"/>
    <w:rsid w:val="1089301A"/>
    <w:rsid w:val="108B29C7"/>
    <w:rsid w:val="10901F21"/>
    <w:rsid w:val="10974AA9"/>
    <w:rsid w:val="10A21388"/>
    <w:rsid w:val="10A60889"/>
    <w:rsid w:val="10AA391A"/>
    <w:rsid w:val="10B27075"/>
    <w:rsid w:val="10B27B37"/>
    <w:rsid w:val="10B33FFC"/>
    <w:rsid w:val="10BA25C0"/>
    <w:rsid w:val="10C02E80"/>
    <w:rsid w:val="10C121EA"/>
    <w:rsid w:val="10C2285B"/>
    <w:rsid w:val="10D27169"/>
    <w:rsid w:val="10D309E2"/>
    <w:rsid w:val="10D621B1"/>
    <w:rsid w:val="10D81E5C"/>
    <w:rsid w:val="10DA39AB"/>
    <w:rsid w:val="10DE746C"/>
    <w:rsid w:val="10EB7A42"/>
    <w:rsid w:val="10F16967"/>
    <w:rsid w:val="10F21B48"/>
    <w:rsid w:val="10F61CDD"/>
    <w:rsid w:val="10F91FDE"/>
    <w:rsid w:val="10F941E9"/>
    <w:rsid w:val="11083015"/>
    <w:rsid w:val="110A357B"/>
    <w:rsid w:val="110D2E2E"/>
    <w:rsid w:val="1113498F"/>
    <w:rsid w:val="11145DE6"/>
    <w:rsid w:val="111A2147"/>
    <w:rsid w:val="112252CB"/>
    <w:rsid w:val="11360EF9"/>
    <w:rsid w:val="113B0B58"/>
    <w:rsid w:val="113D775B"/>
    <w:rsid w:val="11410876"/>
    <w:rsid w:val="114608E7"/>
    <w:rsid w:val="114F3D65"/>
    <w:rsid w:val="115347BC"/>
    <w:rsid w:val="11545887"/>
    <w:rsid w:val="11597C64"/>
    <w:rsid w:val="116228E3"/>
    <w:rsid w:val="11631325"/>
    <w:rsid w:val="116345A4"/>
    <w:rsid w:val="11667833"/>
    <w:rsid w:val="11687433"/>
    <w:rsid w:val="117B53DF"/>
    <w:rsid w:val="117B71D3"/>
    <w:rsid w:val="11845F00"/>
    <w:rsid w:val="118A58E4"/>
    <w:rsid w:val="11916F88"/>
    <w:rsid w:val="119A4A85"/>
    <w:rsid w:val="11B62D0B"/>
    <w:rsid w:val="11C52A21"/>
    <w:rsid w:val="11C75474"/>
    <w:rsid w:val="11D26FDB"/>
    <w:rsid w:val="11D435B9"/>
    <w:rsid w:val="11D8409F"/>
    <w:rsid w:val="11D95083"/>
    <w:rsid w:val="11DE26F2"/>
    <w:rsid w:val="11DF6987"/>
    <w:rsid w:val="11EA23C8"/>
    <w:rsid w:val="11EB5C95"/>
    <w:rsid w:val="11ED6242"/>
    <w:rsid w:val="12010E7D"/>
    <w:rsid w:val="120506CD"/>
    <w:rsid w:val="12075A2C"/>
    <w:rsid w:val="120A0C4D"/>
    <w:rsid w:val="120A38DA"/>
    <w:rsid w:val="12101A57"/>
    <w:rsid w:val="12193170"/>
    <w:rsid w:val="12193813"/>
    <w:rsid w:val="121D6AE3"/>
    <w:rsid w:val="121F75CC"/>
    <w:rsid w:val="122C1A12"/>
    <w:rsid w:val="1232130B"/>
    <w:rsid w:val="12395D63"/>
    <w:rsid w:val="12401AD9"/>
    <w:rsid w:val="12421E9D"/>
    <w:rsid w:val="12571C4D"/>
    <w:rsid w:val="125C09FF"/>
    <w:rsid w:val="12657F0C"/>
    <w:rsid w:val="126830F6"/>
    <w:rsid w:val="126B5207"/>
    <w:rsid w:val="126F57E1"/>
    <w:rsid w:val="12760E78"/>
    <w:rsid w:val="127673DB"/>
    <w:rsid w:val="127E0189"/>
    <w:rsid w:val="12810A1D"/>
    <w:rsid w:val="12927837"/>
    <w:rsid w:val="12A30BAA"/>
    <w:rsid w:val="12A709D5"/>
    <w:rsid w:val="12A867C5"/>
    <w:rsid w:val="12B56515"/>
    <w:rsid w:val="12BE11B2"/>
    <w:rsid w:val="12C21464"/>
    <w:rsid w:val="12C40A29"/>
    <w:rsid w:val="12C42DA1"/>
    <w:rsid w:val="12C45CF0"/>
    <w:rsid w:val="12C948D2"/>
    <w:rsid w:val="12CB14EE"/>
    <w:rsid w:val="12CE6902"/>
    <w:rsid w:val="12D54B1A"/>
    <w:rsid w:val="12EF155A"/>
    <w:rsid w:val="12F17350"/>
    <w:rsid w:val="12F712FB"/>
    <w:rsid w:val="12FA0E2E"/>
    <w:rsid w:val="12FF7A62"/>
    <w:rsid w:val="13037A88"/>
    <w:rsid w:val="133844CA"/>
    <w:rsid w:val="1347596A"/>
    <w:rsid w:val="13477178"/>
    <w:rsid w:val="134B5A55"/>
    <w:rsid w:val="134C0AA1"/>
    <w:rsid w:val="136041BC"/>
    <w:rsid w:val="136F4FE6"/>
    <w:rsid w:val="13713F6F"/>
    <w:rsid w:val="13762A14"/>
    <w:rsid w:val="138C25C7"/>
    <w:rsid w:val="138E741D"/>
    <w:rsid w:val="1390357D"/>
    <w:rsid w:val="139670E5"/>
    <w:rsid w:val="139F1C24"/>
    <w:rsid w:val="13A023E7"/>
    <w:rsid w:val="13A04270"/>
    <w:rsid w:val="13A90344"/>
    <w:rsid w:val="13A9454D"/>
    <w:rsid w:val="13B35BBD"/>
    <w:rsid w:val="13BF3D28"/>
    <w:rsid w:val="13C32466"/>
    <w:rsid w:val="13C77F07"/>
    <w:rsid w:val="13CE4E2F"/>
    <w:rsid w:val="13CF48B4"/>
    <w:rsid w:val="13E45E4B"/>
    <w:rsid w:val="13F57229"/>
    <w:rsid w:val="13F60043"/>
    <w:rsid w:val="13F63AC9"/>
    <w:rsid w:val="13FF4761"/>
    <w:rsid w:val="14011235"/>
    <w:rsid w:val="1401651E"/>
    <w:rsid w:val="14065625"/>
    <w:rsid w:val="14127CF3"/>
    <w:rsid w:val="1416357F"/>
    <w:rsid w:val="14175C6D"/>
    <w:rsid w:val="14182B9E"/>
    <w:rsid w:val="14211963"/>
    <w:rsid w:val="142160CA"/>
    <w:rsid w:val="142E4E6B"/>
    <w:rsid w:val="14332094"/>
    <w:rsid w:val="14390732"/>
    <w:rsid w:val="143B554F"/>
    <w:rsid w:val="144128ED"/>
    <w:rsid w:val="144D721A"/>
    <w:rsid w:val="14504C78"/>
    <w:rsid w:val="14552700"/>
    <w:rsid w:val="1455301F"/>
    <w:rsid w:val="145E0ED6"/>
    <w:rsid w:val="146A5814"/>
    <w:rsid w:val="146D4E79"/>
    <w:rsid w:val="147C1504"/>
    <w:rsid w:val="148112AD"/>
    <w:rsid w:val="14933736"/>
    <w:rsid w:val="149D19D1"/>
    <w:rsid w:val="14AD2447"/>
    <w:rsid w:val="14BD7435"/>
    <w:rsid w:val="14D41B03"/>
    <w:rsid w:val="14EC7262"/>
    <w:rsid w:val="14F50637"/>
    <w:rsid w:val="14F56962"/>
    <w:rsid w:val="14FD3DC3"/>
    <w:rsid w:val="15052F44"/>
    <w:rsid w:val="152446F6"/>
    <w:rsid w:val="15274A34"/>
    <w:rsid w:val="152C74BF"/>
    <w:rsid w:val="152E54C4"/>
    <w:rsid w:val="1535555F"/>
    <w:rsid w:val="15382813"/>
    <w:rsid w:val="154B27A9"/>
    <w:rsid w:val="154B6CF6"/>
    <w:rsid w:val="15516306"/>
    <w:rsid w:val="155B06BC"/>
    <w:rsid w:val="155B6FCC"/>
    <w:rsid w:val="15620F8B"/>
    <w:rsid w:val="156514F3"/>
    <w:rsid w:val="15707694"/>
    <w:rsid w:val="157477F0"/>
    <w:rsid w:val="157F4B83"/>
    <w:rsid w:val="15864057"/>
    <w:rsid w:val="158A2F64"/>
    <w:rsid w:val="158C53F6"/>
    <w:rsid w:val="15946EC2"/>
    <w:rsid w:val="1594709F"/>
    <w:rsid w:val="159B1410"/>
    <w:rsid w:val="159D2E6C"/>
    <w:rsid w:val="15A625C0"/>
    <w:rsid w:val="15A70541"/>
    <w:rsid w:val="15A7643A"/>
    <w:rsid w:val="15AD4348"/>
    <w:rsid w:val="15AD7612"/>
    <w:rsid w:val="15B96153"/>
    <w:rsid w:val="15BC619F"/>
    <w:rsid w:val="15C40EFF"/>
    <w:rsid w:val="15CA097E"/>
    <w:rsid w:val="15D92955"/>
    <w:rsid w:val="15F5535B"/>
    <w:rsid w:val="15F569FA"/>
    <w:rsid w:val="15F656C7"/>
    <w:rsid w:val="15F85F00"/>
    <w:rsid w:val="15F969EC"/>
    <w:rsid w:val="16005D04"/>
    <w:rsid w:val="1607152F"/>
    <w:rsid w:val="160D7883"/>
    <w:rsid w:val="16104DB0"/>
    <w:rsid w:val="1613433D"/>
    <w:rsid w:val="16200AF2"/>
    <w:rsid w:val="162724ED"/>
    <w:rsid w:val="162E2ADD"/>
    <w:rsid w:val="16313AA6"/>
    <w:rsid w:val="163267A4"/>
    <w:rsid w:val="16405266"/>
    <w:rsid w:val="164561DB"/>
    <w:rsid w:val="164D03AC"/>
    <w:rsid w:val="1651617C"/>
    <w:rsid w:val="166852CC"/>
    <w:rsid w:val="16696EE3"/>
    <w:rsid w:val="16713663"/>
    <w:rsid w:val="167518D2"/>
    <w:rsid w:val="168864E9"/>
    <w:rsid w:val="16907088"/>
    <w:rsid w:val="1697702E"/>
    <w:rsid w:val="169A4327"/>
    <w:rsid w:val="169B4121"/>
    <w:rsid w:val="169D4FCC"/>
    <w:rsid w:val="16A26D59"/>
    <w:rsid w:val="16A31912"/>
    <w:rsid w:val="16A52825"/>
    <w:rsid w:val="16A60389"/>
    <w:rsid w:val="16AC66DD"/>
    <w:rsid w:val="16B06BAD"/>
    <w:rsid w:val="16B17712"/>
    <w:rsid w:val="16B95CF7"/>
    <w:rsid w:val="16C42B77"/>
    <w:rsid w:val="16D55B33"/>
    <w:rsid w:val="16D74218"/>
    <w:rsid w:val="16DD2E8B"/>
    <w:rsid w:val="16E376E7"/>
    <w:rsid w:val="16E40C30"/>
    <w:rsid w:val="16E72981"/>
    <w:rsid w:val="16EB66D9"/>
    <w:rsid w:val="16F47BF5"/>
    <w:rsid w:val="16F872C3"/>
    <w:rsid w:val="16FA06E3"/>
    <w:rsid w:val="170167F2"/>
    <w:rsid w:val="17035AAC"/>
    <w:rsid w:val="17054499"/>
    <w:rsid w:val="170B0BD9"/>
    <w:rsid w:val="171E2D1A"/>
    <w:rsid w:val="172E1BBE"/>
    <w:rsid w:val="173A6824"/>
    <w:rsid w:val="173B1FA1"/>
    <w:rsid w:val="173C594E"/>
    <w:rsid w:val="17503F57"/>
    <w:rsid w:val="17505DD6"/>
    <w:rsid w:val="17586CB0"/>
    <w:rsid w:val="17596CA9"/>
    <w:rsid w:val="17600681"/>
    <w:rsid w:val="17665D9F"/>
    <w:rsid w:val="17696EA4"/>
    <w:rsid w:val="17795030"/>
    <w:rsid w:val="177B0627"/>
    <w:rsid w:val="177D3C16"/>
    <w:rsid w:val="178501CB"/>
    <w:rsid w:val="178A042D"/>
    <w:rsid w:val="178A1F82"/>
    <w:rsid w:val="17920EA7"/>
    <w:rsid w:val="1797450B"/>
    <w:rsid w:val="17A644BF"/>
    <w:rsid w:val="17A92F07"/>
    <w:rsid w:val="17B23E0F"/>
    <w:rsid w:val="17B31B32"/>
    <w:rsid w:val="17B80549"/>
    <w:rsid w:val="17C063A0"/>
    <w:rsid w:val="17C15DFA"/>
    <w:rsid w:val="17C76A67"/>
    <w:rsid w:val="17DA0F7A"/>
    <w:rsid w:val="17DC2D7F"/>
    <w:rsid w:val="17E95276"/>
    <w:rsid w:val="17EA38A1"/>
    <w:rsid w:val="17EB77A3"/>
    <w:rsid w:val="17EC5E41"/>
    <w:rsid w:val="1806537C"/>
    <w:rsid w:val="181C2683"/>
    <w:rsid w:val="181E4167"/>
    <w:rsid w:val="18341D76"/>
    <w:rsid w:val="18351C27"/>
    <w:rsid w:val="18553A22"/>
    <w:rsid w:val="18607956"/>
    <w:rsid w:val="186E420E"/>
    <w:rsid w:val="187A14AA"/>
    <w:rsid w:val="187B7B4F"/>
    <w:rsid w:val="1887188F"/>
    <w:rsid w:val="18A35548"/>
    <w:rsid w:val="18A63203"/>
    <w:rsid w:val="18A77689"/>
    <w:rsid w:val="18A816B2"/>
    <w:rsid w:val="18B8431F"/>
    <w:rsid w:val="18B90C48"/>
    <w:rsid w:val="18BC4ADF"/>
    <w:rsid w:val="18BD1521"/>
    <w:rsid w:val="18BD2E66"/>
    <w:rsid w:val="18CF2450"/>
    <w:rsid w:val="18DA12E6"/>
    <w:rsid w:val="18E85386"/>
    <w:rsid w:val="18FC503B"/>
    <w:rsid w:val="19027C40"/>
    <w:rsid w:val="190E3326"/>
    <w:rsid w:val="190E3538"/>
    <w:rsid w:val="19164D1E"/>
    <w:rsid w:val="192D514C"/>
    <w:rsid w:val="193544CD"/>
    <w:rsid w:val="19443AA2"/>
    <w:rsid w:val="1945355B"/>
    <w:rsid w:val="194817FC"/>
    <w:rsid w:val="194A0D45"/>
    <w:rsid w:val="195159CB"/>
    <w:rsid w:val="195961D5"/>
    <w:rsid w:val="195C14E8"/>
    <w:rsid w:val="196515C3"/>
    <w:rsid w:val="197859DA"/>
    <w:rsid w:val="1980769C"/>
    <w:rsid w:val="19884F66"/>
    <w:rsid w:val="19917CFC"/>
    <w:rsid w:val="1997576B"/>
    <w:rsid w:val="1998697F"/>
    <w:rsid w:val="199A20B4"/>
    <w:rsid w:val="19A71B82"/>
    <w:rsid w:val="19B84C88"/>
    <w:rsid w:val="19C33BF1"/>
    <w:rsid w:val="19C6694E"/>
    <w:rsid w:val="19C956A7"/>
    <w:rsid w:val="19D11E61"/>
    <w:rsid w:val="19D5618C"/>
    <w:rsid w:val="19E22401"/>
    <w:rsid w:val="19E23808"/>
    <w:rsid w:val="1A00532F"/>
    <w:rsid w:val="1A040FBD"/>
    <w:rsid w:val="1A067DCA"/>
    <w:rsid w:val="1A13214F"/>
    <w:rsid w:val="1A434C13"/>
    <w:rsid w:val="1A4D2B21"/>
    <w:rsid w:val="1A4E18BB"/>
    <w:rsid w:val="1A5C550E"/>
    <w:rsid w:val="1A5E5759"/>
    <w:rsid w:val="1A61514E"/>
    <w:rsid w:val="1A624E9D"/>
    <w:rsid w:val="1A6F769D"/>
    <w:rsid w:val="1A712AE5"/>
    <w:rsid w:val="1A74386E"/>
    <w:rsid w:val="1A783427"/>
    <w:rsid w:val="1A7B0419"/>
    <w:rsid w:val="1A8A143B"/>
    <w:rsid w:val="1A9148B8"/>
    <w:rsid w:val="1AA67BD3"/>
    <w:rsid w:val="1AC70097"/>
    <w:rsid w:val="1ACC39D6"/>
    <w:rsid w:val="1AF7489C"/>
    <w:rsid w:val="1AFA3523"/>
    <w:rsid w:val="1AFD3AEA"/>
    <w:rsid w:val="1B05238D"/>
    <w:rsid w:val="1B13587B"/>
    <w:rsid w:val="1B1D44BA"/>
    <w:rsid w:val="1B2C07D2"/>
    <w:rsid w:val="1B2C5EE0"/>
    <w:rsid w:val="1B3604D3"/>
    <w:rsid w:val="1B364D11"/>
    <w:rsid w:val="1B3865C6"/>
    <w:rsid w:val="1B3E5EDE"/>
    <w:rsid w:val="1B467529"/>
    <w:rsid w:val="1B4B00CA"/>
    <w:rsid w:val="1B566C78"/>
    <w:rsid w:val="1B5F1247"/>
    <w:rsid w:val="1B6307EA"/>
    <w:rsid w:val="1B79696C"/>
    <w:rsid w:val="1B7E1824"/>
    <w:rsid w:val="1B825166"/>
    <w:rsid w:val="1B890C23"/>
    <w:rsid w:val="1B9411FC"/>
    <w:rsid w:val="1B9D6CE8"/>
    <w:rsid w:val="1BA54728"/>
    <w:rsid w:val="1BBB422B"/>
    <w:rsid w:val="1BC600B5"/>
    <w:rsid w:val="1BCD55F8"/>
    <w:rsid w:val="1BE011AE"/>
    <w:rsid w:val="1BE956C8"/>
    <w:rsid w:val="1BF80CBB"/>
    <w:rsid w:val="1C022294"/>
    <w:rsid w:val="1C0B35D4"/>
    <w:rsid w:val="1C12573D"/>
    <w:rsid w:val="1C1D1EE2"/>
    <w:rsid w:val="1C234861"/>
    <w:rsid w:val="1C2E319B"/>
    <w:rsid w:val="1C3477C5"/>
    <w:rsid w:val="1C4F6563"/>
    <w:rsid w:val="1C545F3D"/>
    <w:rsid w:val="1C556488"/>
    <w:rsid w:val="1C563FE3"/>
    <w:rsid w:val="1C5A182A"/>
    <w:rsid w:val="1C62402E"/>
    <w:rsid w:val="1C62587C"/>
    <w:rsid w:val="1C6818E0"/>
    <w:rsid w:val="1C6F3BF6"/>
    <w:rsid w:val="1C7D2EB6"/>
    <w:rsid w:val="1C805B43"/>
    <w:rsid w:val="1C852BB0"/>
    <w:rsid w:val="1C8D54A8"/>
    <w:rsid w:val="1C9651FD"/>
    <w:rsid w:val="1CA42FB6"/>
    <w:rsid w:val="1CB21A29"/>
    <w:rsid w:val="1CCB32EE"/>
    <w:rsid w:val="1CD23361"/>
    <w:rsid w:val="1CE302F7"/>
    <w:rsid w:val="1CEC4F96"/>
    <w:rsid w:val="1CF13B49"/>
    <w:rsid w:val="1CF52075"/>
    <w:rsid w:val="1CF70EE3"/>
    <w:rsid w:val="1CFE7E6D"/>
    <w:rsid w:val="1D011F4C"/>
    <w:rsid w:val="1D0D1F95"/>
    <w:rsid w:val="1D1C7AC2"/>
    <w:rsid w:val="1D1D6A85"/>
    <w:rsid w:val="1D207BFC"/>
    <w:rsid w:val="1D230741"/>
    <w:rsid w:val="1D2F0DCA"/>
    <w:rsid w:val="1D3E30CF"/>
    <w:rsid w:val="1D3E57BA"/>
    <w:rsid w:val="1D3F5BF4"/>
    <w:rsid w:val="1D49558F"/>
    <w:rsid w:val="1D4B4B5A"/>
    <w:rsid w:val="1D584348"/>
    <w:rsid w:val="1D5D209F"/>
    <w:rsid w:val="1D6D4785"/>
    <w:rsid w:val="1D6E27CD"/>
    <w:rsid w:val="1D767ADA"/>
    <w:rsid w:val="1D845021"/>
    <w:rsid w:val="1D861B2D"/>
    <w:rsid w:val="1D896FB3"/>
    <w:rsid w:val="1D91741D"/>
    <w:rsid w:val="1D9318C5"/>
    <w:rsid w:val="1D941B55"/>
    <w:rsid w:val="1D9B15A6"/>
    <w:rsid w:val="1DAB7998"/>
    <w:rsid w:val="1DB01072"/>
    <w:rsid w:val="1DB2076E"/>
    <w:rsid w:val="1DB43F2E"/>
    <w:rsid w:val="1DBE6DCD"/>
    <w:rsid w:val="1DC2628A"/>
    <w:rsid w:val="1DCF57CE"/>
    <w:rsid w:val="1DD11EB5"/>
    <w:rsid w:val="1DD246EC"/>
    <w:rsid w:val="1DD63079"/>
    <w:rsid w:val="1DD859F5"/>
    <w:rsid w:val="1DDD63A7"/>
    <w:rsid w:val="1DFC4DF9"/>
    <w:rsid w:val="1E0435A0"/>
    <w:rsid w:val="1E110D2A"/>
    <w:rsid w:val="1E1247A2"/>
    <w:rsid w:val="1E155062"/>
    <w:rsid w:val="1E193E9C"/>
    <w:rsid w:val="1E1B38E9"/>
    <w:rsid w:val="1E303EF3"/>
    <w:rsid w:val="1E3F6D05"/>
    <w:rsid w:val="1E494B8A"/>
    <w:rsid w:val="1E4F0222"/>
    <w:rsid w:val="1E596455"/>
    <w:rsid w:val="1E5C2AF3"/>
    <w:rsid w:val="1E795C41"/>
    <w:rsid w:val="1E7E640D"/>
    <w:rsid w:val="1E7F3A72"/>
    <w:rsid w:val="1E8064D3"/>
    <w:rsid w:val="1E861E21"/>
    <w:rsid w:val="1EA72270"/>
    <w:rsid w:val="1EBD6E42"/>
    <w:rsid w:val="1EC25D1C"/>
    <w:rsid w:val="1EC74AB4"/>
    <w:rsid w:val="1EC87ABC"/>
    <w:rsid w:val="1ED242FC"/>
    <w:rsid w:val="1ED56C03"/>
    <w:rsid w:val="1EDB3888"/>
    <w:rsid w:val="1EE05F54"/>
    <w:rsid w:val="1EE332A7"/>
    <w:rsid w:val="1EF579A0"/>
    <w:rsid w:val="1F05532C"/>
    <w:rsid w:val="1F095121"/>
    <w:rsid w:val="1F0F4C7A"/>
    <w:rsid w:val="1F1348CD"/>
    <w:rsid w:val="1F1527EE"/>
    <w:rsid w:val="1F1E1C4B"/>
    <w:rsid w:val="1F1F37A0"/>
    <w:rsid w:val="1F20034A"/>
    <w:rsid w:val="1F251ABC"/>
    <w:rsid w:val="1F290391"/>
    <w:rsid w:val="1F2A2D10"/>
    <w:rsid w:val="1F370102"/>
    <w:rsid w:val="1F3F0073"/>
    <w:rsid w:val="1F43546C"/>
    <w:rsid w:val="1F48506F"/>
    <w:rsid w:val="1F4B10C3"/>
    <w:rsid w:val="1F5C7F87"/>
    <w:rsid w:val="1F6C1D79"/>
    <w:rsid w:val="1F791459"/>
    <w:rsid w:val="1F792E9A"/>
    <w:rsid w:val="1F7B67F6"/>
    <w:rsid w:val="1F7C518B"/>
    <w:rsid w:val="1F881F59"/>
    <w:rsid w:val="1F977565"/>
    <w:rsid w:val="1F9B644E"/>
    <w:rsid w:val="1FA429B4"/>
    <w:rsid w:val="1FB04A78"/>
    <w:rsid w:val="1FB75185"/>
    <w:rsid w:val="1FB97163"/>
    <w:rsid w:val="1FBD0EE6"/>
    <w:rsid w:val="1FC10346"/>
    <w:rsid w:val="1FC16504"/>
    <w:rsid w:val="1FDD028C"/>
    <w:rsid w:val="1FF955B0"/>
    <w:rsid w:val="1FFA3EAB"/>
    <w:rsid w:val="1FFB3FF4"/>
    <w:rsid w:val="20176E76"/>
    <w:rsid w:val="201A450C"/>
    <w:rsid w:val="20270162"/>
    <w:rsid w:val="203F0CD6"/>
    <w:rsid w:val="20591163"/>
    <w:rsid w:val="20655E4F"/>
    <w:rsid w:val="207308C3"/>
    <w:rsid w:val="207411D3"/>
    <w:rsid w:val="20743131"/>
    <w:rsid w:val="207536DF"/>
    <w:rsid w:val="20783BF9"/>
    <w:rsid w:val="20786435"/>
    <w:rsid w:val="2078758C"/>
    <w:rsid w:val="20811113"/>
    <w:rsid w:val="20874766"/>
    <w:rsid w:val="2088281D"/>
    <w:rsid w:val="2088475A"/>
    <w:rsid w:val="20917F9C"/>
    <w:rsid w:val="2094661E"/>
    <w:rsid w:val="20951ED4"/>
    <w:rsid w:val="20962536"/>
    <w:rsid w:val="20AC3908"/>
    <w:rsid w:val="20B50E80"/>
    <w:rsid w:val="20B7483F"/>
    <w:rsid w:val="20BD02A3"/>
    <w:rsid w:val="20BE1841"/>
    <w:rsid w:val="20D078F3"/>
    <w:rsid w:val="20D200AD"/>
    <w:rsid w:val="20D95B71"/>
    <w:rsid w:val="20DA60A5"/>
    <w:rsid w:val="20DB223A"/>
    <w:rsid w:val="20EC58CB"/>
    <w:rsid w:val="21014223"/>
    <w:rsid w:val="21257F04"/>
    <w:rsid w:val="21291A31"/>
    <w:rsid w:val="21353F50"/>
    <w:rsid w:val="2138052E"/>
    <w:rsid w:val="213C3CC5"/>
    <w:rsid w:val="214776EA"/>
    <w:rsid w:val="21522E38"/>
    <w:rsid w:val="2159046C"/>
    <w:rsid w:val="21592762"/>
    <w:rsid w:val="215F3A68"/>
    <w:rsid w:val="21611A31"/>
    <w:rsid w:val="21635586"/>
    <w:rsid w:val="217B17E2"/>
    <w:rsid w:val="218D61A9"/>
    <w:rsid w:val="2190117D"/>
    <w:rsid w:val="219140F2"/>
    <w:rsid w:val="21994057"/>
    <w:rsid w:val="219A79A2"/>
    <w:rsid w:val="219F1479"/>
    <w:rsid w:val="21A34664"/>
    <w:rsid w:val="21B80E8C"/>
    <w:rsid w:val="21B91F5E"/>
    <w:rsid w:val="21C24072"/>
    <w:rsid w:val="21C73828"/>
    <w:rsid w:val="21D55950"/>
    <w:rsid w:val="21D965A1"/>
    <w:rsid w:val="21E11782"/>
    <w:rsid w:val="21E14B35"/>
    <w:rsid w:val="21E617C0"/>
    <w:rsid w:val="21EC3E44"/>
    <w:rsid w:val="21F2539C"/>
    <w:rsid w:val="21F65A58"/>
    <w:rsid w:val="21FB61D0"/>
    <w:rsid w:val="220B3AD6"/>
    <w:rsid w:val="221E272E"/>
    <w:rsid w:val="222A1FFE"/>
    <w:rsid w:val="222B075F"/>
    <w:rsid w:val="22367DC0"/>
    <w:rsid w:val="223C2D91"/>
    <w:rsid w:val="224D7BB0"/>
    <w:rsid w:val="22541D32"/>
    <w:rsid w:val="225474CD"/>
    <w:rsid w:val="225E1754"/>
    <w:rsid w:val="225F0409"/>
    <w:rsid w:val="226D42BA"/>
    <w:rsid w:val="227078B0"/>
    <w:rsid w:val="2271187B"/>
    <w:rsid w:val="22833161"/>
    <w:rsid w:val="228338C8"/>
    <w:rsid w:val="22840DDA"/>
    <w:rsid w:val="22876A0D"/>
    <w:rsid w:val="22A11695"/>
    <w:rsid w:val="22A311BE"/>
    <w:rsid w:val="22A63B38"/>
    <w:rsid w:val="22A8489A"/>
    <w:rsid w:val="22AB3B60"/>
    <w:rsid w:val="22B22D1F"/>
    <w:rsid w:val="22B33D99"/>
    <w:rsid w:val="22BB4A47"/>
    <w:rsid w:val="22BC2773"/>
    <w:rsid w:val="22BE29D6"/>
    <w:rsid w:val="22C4003E"/>
    <w:rsid w:val="22D02654"/>
    <w:rsid w:val="22D10E4B"/>
    <w:rsid w:val="22D90210"/>
    <w:rsid w:val="22D912F9"/>
    <w:rsid w:val="22DF2D9D"/>
    <w:rsid w:val="22E1284D"/>
    <w:rsid w:val="22E73006"/>
    <w:rsid w:val="22EB3773"/>
    <w:rsid w:val="22EE13BE"/>
    <w:rsid w:val="22F31E85"/>
    <w:rsid w:val="22F71A54"/>
    <w:rsid w:val="22F74CC6"/>
    <w:rsid w:val="22FB2321"/>
    <w:rsid w:val="22FF6AA7"/>
    <w:rsid w:val="23046103"/>
    <w:rsid w:val="2306325F"/>
    <w:rsid w:val="230F5270"/>
    <w:rsid w:val="2311101C"/>
    <w:rsid w:val="2319089C"/>
    <w:rsid w:val="231B2491"/>
    <w:rsid w:val="232515D0"/>
    <w:rsid w:val="232F45E5"/>
    <w:rsid w:val="23382F5D"/>
    <w:rsid w:val="233857DC"/>
    <w:rsid w:val="23443C8F"/>
    <w:rsid w:val="23561548"/>
    <w:rsid w:val="23561CD1"/>
    <w:rsid w:val="235E47B6"/>
    <w:rsid w:val="23646298"/>
    <w:rsid w:val="236B32CC"/>
    <w:rsid w:val="2372506B"/>
    <w:rsid w:val="2376691B"/>
    <w:rsid w:val="23820000"/>
    <w:rsid w:val="238D2D50"/>
    <w:rsid w:val="238D66BE"/>
    <w:rsid w:val="239540DC"/>
    <w:rsid w:val="23965F67"/>
    <w:rsid w:val="23A02531"/>
    <w:rsid w:val="23A11F4F"/>
    <w:rsid w:val="23AB0462"/>
    <w:rsid w:val="23B41225"/>
    <w:rsid w:val="23BA6237"/>
    <w:rsid w:val="23BC048E"/>
    <w:rsid w:val="23C60972"/>
    <w:rsid w:val="23C9616F"/>
    <w:rsid w:val="23CE659F"/>
    <w:rsid w:val="23CF7FD3"/>
    <w:rsid w:val="23D4199E"/>
    <w:rsid w:val="23DC01C4"/>
    <w:rsid w:val="23DC60E2"/>
    <w:rsid w:val="23E17EC8"/>
    <w:rsid w:val="23E44D09"/>
    <w:rsid w:val="23E47406"/>
    <w:rsid w:val="23E91B93"/>
    <w:rsid w:val="23F6160A"/>
    <w:rsid w:val="23F62DA5"/>
    <w:rsid w:val="23FB72B1"/>
    <w:rsid w:val="24026C92"/>
    <w:rsid w:val="24027DBA"/>
    <w:rsid w:val="240657B6"/>
    <w:rsid w:val="240B36D8"/>
    <w:rsid w:val="240C2CCA"/>
    <w:rsid w:val="240C553C"/>
    <w:rsid w:val="24323334"/>
    <w:rsid w:val="243336DA"/>
    <w:rsid w:val="24373DE9"/>
    <w:rsid w:val="243D6215"/>
    <w:rsid w:val="244F01D0"/>
    <w:rsid w:val="245226BE"/>
    <w:rsid w:val="245550BB"/>
    <w:rsid w:val="245A0102"/>
    <w:rsid w:val="2461318F"/>
    <w:rsid w:val="24662623"/>
    <w:rsid w:val="24676BCD"/>
    <w:rsid w:val="2468531E"/>
    <w:rsid w:val="24750E49"/>
    <w:rsid w:val="24872D53"/>
    <w:rsid w:val="248B0998"/>
    <w:rsid w:val="248E7D90"/>
    <w:rsid w:val="248F168F"/>
    <w:rsid w:val="249321BF"/>
    <w:rsid w:val="249C0D83"/>
    <w:rsid w:val="24A033EE"/>
    <w:rsid w:val="24A608F7"/>
    <w:rsid w:val="24B51B12"/>
    <w:rsid w:val="24C434A5"/>
    <w:rsid w:val="24CA496C"/>
    <w:rsid w:val="24D03385"/>
    <w:rsid w:val="24D35568"/>
    <w:rsid w:val="24D72C44"/>
    <w:rsid w:val="24DB51FA"/>
    <w:rsid w:val="24DD7F5E"/>
    <w:rsid w:val="24E954E0"/>
    <w:rsid w:val="24F37FEF"/>
    <w:rsid w:val="24F82FB3"/>
    <w:rsid w:val="2504405A"/>
    <w:rsid w:val="251809ED"/>
    <w:rsid w:val="25241C4A"/>
    <w:rsid w:val="25265A8E"/>
    <w:rsid w:val="2528628B"/>
    <w:rsid w:val="252A5159"/>
    <w:rsid w:val="25380B4A"/>
    <w:rsid w:val="253C2F3D"/>
    <w:rsid w:val="253C65AF"/>
    <w:rsid w:val="25410D56"/>
    <w:rsid w:val="254B4EB1"/>
    <w:rsid w:val="254D55BA"/>
    <w:rsid w:val="254F6D5C"/>
    <w:rsid w:val="25644E19"/>
    <w:rsid w:val="256F1EB3"/>
    <w:rsid w:val="25720D21"/>
    <w:rsid w:val="257B7A7B"/>
    <w:rsid w:val="257C63F7"/>
    <w:rsid w:val="257E458B"/>
    <w:rsid w:val="258426BC"/>
    <w:rsid w:val="25867F54"/>
    <w:rsid w:val="258B4AE4"/>
    <w:rsid w:val="258E286C"/>
    <w:rsid w:val="259114ED"/>
    <w:rsid w:val="2593720A"/>
    <w:rsid w:val="25996F48"/>
    <w:rsid w:val="259A3CB2"/>
    <w:rsid w:val="259E5828"/>
    <w:rsid w:val="25AB0A3D"/>
    <w:rsid w:val="25AC370D"/>
    <w:rsid w:val="25B22B68"/>
    <w:rsid w:val="25B5218E"/>
    <w:rsid w:val="25C15D16"/>
    <w:rsid w:val="25C55B83"/>
    <w:rsid w:val="25CD5BF1"/>
    <w:rsid w:val="25D31208"/>
    <w:rsid w:val="25DA65CA"/>
    <w:rsid w:val="25DB6649"/>
    <w:rsid w:val="25DD0809"/>
    <w:rsid w:val="25E27416"/>
    <w:rsid w:val="25E46656"/>
    <w:rsid w:val="25E47484"/>
    <w:rsid w:val="25E92FBE"/>
    <w:rsid w:val="25F17275"/>
    <w:rsid w:val="25F31E31"/>
    <w:rsid w:val="25F70EE4"/>
    <w:rsid w:val="25FC0B75"/>
    <w:rsid w:val="260139F3"/>
    <w:rsid w:val="260556D5"/>
    <w:rsid w:val="26080DD9"/>
    <w:rsid w:val="26082798"/>
    <w:rsid w:val="26095114"/>
    <w:rsid w:val="260E454E"/>
    <w:rsid w:val="261464EE"/>
    <w:rsid w:val="26211B0F"/>
    <w:rsid w:val="26280E6C"/>
    <w:rsid w:val="262E05B0"/>
    <w:rsid w:val="26372014"/>
    <w:rsid w:val="263E0859"/>
    <w:rsid w:val="263E1A96"/>
    <w:rsid w:val="26405937"/>
    <w:rsid w:val="26433FB7"/>
    <w:rsid w:val="26452DA3"/>
    <w:rsid w:val="264D3294"/>
    <w:rsid w:val="266A2AD6"/>
    <w:rsid w:val="266C2FED"/>
    <w:rsid w:val="26783498"/>
    <w:rsid w:val="267A33D1"/>
    <w:rsid w:val="268246BC"/>
    <w:rsid w:val="268B7473"/>
    <w:rsid w:val="26952295"/>
    <w:rsid w:val="269626DF"/>
    <w:rsid w:val="269B7137"/>
    <w:rsid w:val="26A265DC"/>
    <w:rsid w:val="26AE5F52"/>
    <w:rsid w:val="26AE6F7F"/>
    <w:rsid w:val="26B32654"/>
    <w:rsid w:val="26B40C48"/>
    <w:rsid w:val="26B8056C"/>
    <w:rsid w:val="26C87742"/>
    <w:rsid w:val="26E33E5B"/>
    <w:rsid w:val="26E70CA8"/>
    <w:rsid w:val="26F54808"/>
    <w:rsid w:val="26F60CEF"/>
    <w:rsid w:val="26FC2F8C"/>
    <w:rsid w:val="27094F93"/>
    <w:rsid w:val="270E05C8"/>
    <w:rsid w:val="27101BFD"/>
    <w:rsid w:val="27172021"/>
    <w:rsid w:val="27190D99"/>
    <w:rsid w:val="271927EF"/>
    <w:rsid w:val="271A253D"/>
    <w:rsid w:val="271C2CE9"/>
    <w:rsid w:val="27235746"/>
    <w:rsid w:val="273E49F4"/>
    <w:rsid w:val="274321B1"/>
    <w:rsid w:val="27450C2D"/>
    <w:rsid w:val="274525DC"/>
    <w:rsid w:val="274652E6"/>
    <w:rsid w:val="27480748"/>
    <w:rsid w:val="274E0335"/>
    <w:rsid w:val="275D1356"/>
    <w:rsid w:val="275D4A89"/>
    <w:rsid w:val="27625310"/>
    <w:rsid w:val="27641213"/>
    <w:rsid w:val="277A2EC6"/>
    <w:rsid w:val="27841ADD"/>
    <w:rsid w:val="278B7262"/>
    <w:rsid w:val="278E7D5F"/>
    <w:rsid w:val="279429E3"/>
    <w:rsid w:val="27966F4A"/>
    <w:rsid w:val="27A74D7A"/>
    <w:rsid w:val="27A91AD2"/>
    <w:rsid w:val="27AE6E2D"/>
    <w:rsid w:val="27AF57B8"/>
    <w:rsid w:val="27B25FFF"/>
    <w:rsid w:val="27BA12A7"/>
    <w:rsid w:val="27BA6BC4"/>
    <w:rsid w:val="27BC2EEA"/>
    <w:rsid w:val="27C93064"/>
    <w:rsid w:val="27C96B67"/>
    <w:rsid w:val="27CB38EC"/>
    <w:rsid w:val="27CB5FF9"/>
    <w:rsid w:val="27CC0A3D"/>
    <w:rsid w:val="27D34267"/>
    <w:rsid w:val="27D745E8"/>
    <w:rsid w:val="27E4169F"/>
    <w:rsid w:val="27E476BC"/>
    <w:rsid w:val="27E8628A"/>
    <w:rsid w:val="27EA3B97"/>
    <w:rsid w:val="27EF0430"/>
    <w:rsid w:val="27FA5F82"/>
    <w:rsid w:val="280410A7"/>
    <w:rsid w:val="281713C1"/>
    <w:rsid w:val="28202089"/>
    <w:rsid w:val="28210C3B"/>
    <w:rsid w:val="283E3927"/>
    <w:rsid w:val="28415FFB"/>
    <w:rsid w:val="28432F7C"/>
    <w:rsid w:val="285065F4"/>
    <w:rsid w:val="28557C44"/>
    <w:rsid w:val="28564AD0"/>
    <w:rsid w:val="285E1540"/>
    <w:rsid w:val="28634EA7"/>
    <w:rsid w:val="2868554F"/>
    <w:rsid w:val="286A70A6"/>
    <w:rsid w:val="286D715D"/>
    <w:rsid w:val="28710251"/>
    <w:rsid w:val="287270BD"/>
    <w:rsid w:val="287508F6"/>
    <w:rsid w:val="288C7056"/>
    <w:rsid w:val="288D4C3B"/>
    <w:rsid w:val="288F598A"/>
    <w:rsid w:val="289648B9"/>
    <w:rsid w:val="289910F7"/>
    <w:rsid w:val="289A6405"/>
    <w:rsid w:val="28A14F66"/>
    <w:rsid w:val="28A4234C"/>
    <w:rsid w:val="28A63531"/>
    <w:rsid w:val="28A773FC"/>
    <w:rsid w:val="28CA5B35"/>
    <w:rsid w:val="28D02425"/>
    <w:rsid w:val="28D527CA"/>
    <w:rsid w:val="28DB1A3D"/>
    <w:rsid w:val="28F729CE"/>
    <w:rsid w:val="28F934CA"/>
    <w:rsid w:val="29056F59"/>
    <w:rsid w:val="2907017C"/>
    <w:rsid w:val="291218C3"/>
    <w:rsid w:val="2912731C"/>
    <w:rsid w:val="29157321"/>
    <w:rsid w:val="291F35AA"/>
    <w:rsid w:val="2925391D"/>
    <w:rsid w:val="292B0670"/>
    <w:rsid w:val="292E0A29"/>
    <w:rsid w:val="29325A72"/>
    <w:rsid w:val="2938341E"/>
    <w:rsid w:val="293A6E92"/>
    <w:rsid w:val="294C2EF7"/>
    <w:rsid w:val="29566904"/>
    <w:rsid w:val="29582224"/>
    <w:rsid w:val="29585835"/>
    <w:rsid w:val="29712D8F"/>
    <w:rsid w:val="29736267"/>
    <w:rsid w:val="297B31D3"/>
    <w:rsid w:val="298103BD"/>
    <w:rsid w:val="298D4850"/>
    <w:rsid w:val="299C7DCA"/>
    <w:rsid w:val="29A021A8"/>
    <w:rsid w:val="29A942FB"/>
    <w:rsid w:val="29B344DC"/>
    <w:rsid w:val="29B539E6"/>
    <w:rsid w:val="29B93E3E"/>
    <w:rsid w:val="29BA1399"/>
    <w:rsid w:val="29BC2699"/>
    <w:rsid w:val="29C8428C"/>
    <w:rsid w:val="29D4298C"/>
    <w:rsid w:val="29DD7E33"/>
    <w:rsid w:val="29E31C9C"/>
    <w:rsid w:val="29E55C12"/>
    <w:rsid w:val="29E81D60"/>
    <w:rsid w:val="29F035C0"/>
    <w:rsid w:val="29F05E16"/>
    <w:rsid w:val="29F54832"/>
    <w:rsid w:val="2A111075"/>
    <w:rsid w:val="2A160D87"/>
    <w:rsid w:val="2A307EBE"/>
    <w:rsid w:val="2A3E413F"/>
    <w:rsid w:val="2A430F4D"/>
    <w:rsid w:val="2A534A67"/>
    <w:rsid w:val="2A5F67A3"/>
    <w:rsid w:val="2A6151C4"/>
    <w:rsid w:val="2A664C59"/>
    <w:rsid w:val="2A6B464E"/>
    <w:rsid w:val="2A944B48"/>
    <w:rsid w:val="2A9A0F2B"/>
    <w:rsid w:val="2AA07917"/>
    <w:rsid w:val="2AA1140C"/>
    <w:rsid w:val="2AA67F8B"/>
    <w:rsid w:val="2AAA31D9"/>
    <w:rsid w:val="2AAC289A"/>
    <w:rsid w:val="2AB138BA"/>
    <w:rsid w:val="2AC51079"/>
    <w:rsid w:val="2AD05182"/>
    <w:rsid w:val="2AE47A17"/>
    <w:rsid w:val="2AEB2740"/>
    <w:rsid w:val="2AF44191"/>
    <w:rsid w:val="2AF74347"/>
    <w:rsid w:val="2B0A4D59"/>
    <w:rsid w:val="2B1A32A0"/>
    <w:rsid w:val="2B26693B"/>
    <w:rsid w:val="2B2F1FC7"/>
    <w:rsid w:val="2B2F2F22"/>
    <w:rsid w:val="2B37764D"/>
    <w:rsid w:val="2B3A30EE"/>
    <w:rsid w:val="2B3F6547"/>
    <w:rsid w:val="2B4F2967"/>
    <w:rsid w:val="2B5C1A7C"/>
    <w:rsid w:val="2B6525E9"/>
    <w:rsid w:val="2B6E19DB"/>
    <w:rsid w:val="2B756050"/>
    <w:rsid w:val="2B7C5660"/>
    <w:rsid w:val="2B8944AA"/>
    <w:rsid w:val="2B92679C"/>
    <w:rsid w:val="2B986BC6"/>
    <w:rsid w:val="2BA16669"/>
    <w:rsid w:val="2BAE20A5"/>
    <w:rsid w:val="2BAF2381"/>
    <w:rsid w:val="2BB1376A"/>
    <w:rsid w:val="2BBA7E05"/>
    <w:rsid w:val="2BBB17D5"/>
    <w:rsid w:val="2BC3413A"/>
    <w:rsid w:val="2BC45396"/>
    <w:rsid w:val="2BD540AD"/>
    <w:rsid w:val="2BDB033A"/>
    <w:rsid w:val="2BF336C9"/>
    <w:rsid w:val="2BF33ED5"/>
    <w:rsid w:val="2BFB7405"/>
    <w:rsid w:val="2C006833"/>
    <w:rsid w:val="2C034F7B"/>
    <w:rsid w:val="2C040D89"/>
    <w:rsid w:val="2C0509D9"/>
    <w:rsid w:val="2C05481D"/>
    <w:rsid w:val="2C056AF9"/>
    <w:rsid w:val="2C247FF1"/>
    <w:rsid w:val="2C3C0030"/>
    <w:rsid w:val="2C3F3887"/>
    <w:rsid w:val="2C5110E5"/>
    <w:rsid w:val="2C516E38"/>
    <w:rsid w:val="2C533A6A"/>
    <w:rsid w:val="2C560EA3"/>
    <w:rsid w:val="2C617496"/>
    <w:rsid w:val="2C62156F"/>
    <w:rsid w:val="2C6F41F6"/>
    <w:rsid w:val="2C730778"/>
    <w:rsid w:val="2C763DB2"/>
    <w:rsid w:val="2C7E030A"/>
    <w:rsid w:val="2C833FFB"/>
    <w:rsid w:val="2C8F430E"/>
    <w:rsid w:val="2C970335"/>
    <w:rsid w:val="2CA21894"/>
    <w:rsid w:val="2CA4476E"/>
    <w:rsid w:val="2CAD4F6B"/>
    <w:rsid w:val="2CB17FD2"/>
    <w:rsid w:val="2CC95D10"/>
    <w:rsid w:val="2CCB5A72"/>
    <w:rsid w:val="2CD57684"/>
    <w:rsid w:val="2CD67A0B"/>
    <w:rsid w:val="2CD75666"/>
    <w:rsid w:val="2CDC6591"/>
    <w:rsid w:val="2CDE08F2"/>
    <w:rsid w:val="2CE03AB0"/>
    <w:rsid w:val="2CEF53E3"/>
    <w:rsid w:val="2CF53A56"/>
    <w:rsid w:val="2CF649A9"/>
    <w:rsid w:val="2CFC27E4"/>
    <w:rsid w:val="2D0B702A"/>
    <w:rsid w:val="2D107EBA"/>
    <w:rsid w:val="2D1F4BCA"/>
    <w:rsid w:val="2D221AAA"/>
    <w:rsid w:val="2D504333"/>
    <w:rsid w:val="2D521264"/>
    <w:rsid w:val="2D567058"/>
    <w:rsid w:val="2D57290A"/>
    <w:rsid w:val="2D5D7FE8"/>
    <w:rsid w:val="2D5E7E01"/>
    <w:rsid w:val="2D6030A2"/>
    <w:rsid w:val="2D660EF9"/>
    <w:rsid w:val="2D6C2B47"/>
    <w:rsid w:val="2D820204"/>
    <w:rsid w:val="2D88024C"/>
    <w:rsid w:val="2D8B25E9"/>
    <w:rsid w:val="2D935488"/>
    <w:rsid w:val="2D960FB5"/>
    <w:rsid w:val="2D9B4423"/>
    <w:rsid w:val="2DAC2EF4"/>
    <w:rsid w:val="2DAD4BCD"/>
    <w:rsid w:val="2DB453FF"/>
    <w:rsid w:val="2DBE4237"/>
    <w:rsid w:val="2DCB10F0"/>
    <w:rsid w:val="2DCB38A1"/>
    <w:rsid w:val="2DD066E9"/>
    <w:rsid w:val="2DDC0ED4"/>
    <w:rsid w:val="2DF036FB"/>
    <w:rsid w:val="2DF21CB3"/>
    <w:rsid w:val="2DFD78B4"/>
    <w:rsid w:val="2DFE083B"/>
    <w:rsid w:val="2E0708FF"/>
    <w:rsid w:val="2E11457C"/>
    <w:rsid w:val="2E1643B9"/>
    <w:rsid w:val="2E184C0F"/>
    <w:rsid w:val="2E1F18AD"/>
    <w:rsid w:val="2E28757C"/>
    <w:rsid w:val="2E2C723F"/>
    <w:rsid w:val="2E332EEF"/>
    <w:rsid w:val="2E3F6B8A"/>
    <w:rsid w:val="2E406C31"/>
    <w:rsid w:val="2E467FE7"/>
    <w:rsid w:val="2E527715"/>
    <w:rsid w:val="2E530660"/>
    <w:rsid w:val="2E531152"/>
    <w:rsid w:val="2E54427A"/>
    <w:rsid w:val="2E565287"/>
    <w:rsid w:val="2E5F1E47"/>
    <w:rsid w:val="2E682652"/>
    <w:rsid w:val="2E6B6D27"/>
    <w:rsid w:val="2E7A506F"/>
    <w:rsid w:val="2E7B273D"/>
    <w:rsid w:val="2E7D30EA"/>
    <w:rsid w:val="2E8028E0"/>
    <w:rsid w:val="2E88139A"/>
    <w:rsid w:val="2E8B051E"/>
    <w:rsid w:val="2E8F062E"/>
    <w:rsid w:val="2E905D65"/>
    <w:rsid w:val="2E9D560F"/>
    <w:rsid w:val="2E9F7EC1"/>
    <w:rsid w:val="2EB17C70"/>
    <w:rsid w:val="2EB411B5"/>
    <w:rsid w:val="2EBD49E1"/>
    <w:rsid w:val="2EBF0ED1"/>
    <w:rsid w:val="2EC7495E"/>
    <w:rsid w:val="2EC776BB"/>
    <w:rsid w:val="2ECA39AD"/>
    <w:rsid w:val="2ECC0C07"/>
    <w:rsid w:val="2ED03009"/>
    <w:rsid w:val="2EF224CD"/>
    <w:rsid w:val="2EF67D61"/>
    <w:rsid w:val="2EFA2F2B"/>
    <w:rsid w:val="2F2E23A6"/>
    <w:rsid w:val="2F350F19"/>
    <w:rsid w:val="2F383567"/>
    <w:rsid w:val="2F3B1918"/>
    <w:rsid w:val="2F415DC8"/>
    <w:rsid w:val="2F514AAE"/>
    <w:rsid w:val="2F531FEB"/>
    <w:rsid w:val="2F5B5B3B"/>
    <w:rsid w:val="2F615468"/>
    <w:rsid w:val="2F655F0E"/>
    <w:rsid w:val="2F6B73F9"/>
    <w:rsid w:val="2F6D4FA6"/>
    <w:rsid w:val="2F743486"/>
    <w:rsid w:val="2F756E65"/>
    <w:rsid w:val="2F77354F"/>
    <w:rsid w:val="2F7A7069"/>
    <w:rsid w:val="2F897AA1"/>
    <w:rsid w:val="2F8D4D67"/>
    <w:rsid w:val="2F9051B8"/>
    <w:rsid w:val="2F910893"/>
    <w:rsid w:val="2F932CC0"/>
    <w:rsid w:val="2F9A69D2"/>
    <w:rsid w:val="2F9C6646"/>
    <w:rsid w:val="2F9D4AA3"/>
    <w:rsid w:val="2F9F094E"/>
    <w:rsid w:val="2FB11323"/>
    <w:rsid w:val="2FB15C83"/>
    <w:rsid w:val="2FBB6A2A"/>
    <w:rsid w:val="2FCB0952"/>
    <w:rsid w:val="2FD53529"/>
    <w:rsid w:val="2FD80709"/>
    <w:rsid w:val="2FDF2368"/>
    <w:rsid w:val="2FDF7CD4"/>
    <w:rsid w:val="2FEC08C6"/>
    <w:rsid w:val="2FF532B7"/>
    <w:rsid w:val="2FF674CB"/>
    <w:rsid w:val="2FF7251F"/>
    <w:rsid w:val="2FFC1437"/>
    <w:rsid w:val="30007788"/>
    <w:rsid w:val="3010166F"/>
    <w:rsid w:val="301977C7"/>
    <w:rsid w:val="30205153"/>
    <w:rsid w:val="30253FAB"/>
    <w:rsid w:val="30270D6F"/>
    <w:rsid w:val="303B3B59"/>
    <w:rsid w:val="303C0C41"/>
    <w:rsid w:val="303D6437"/>
    <w:rsid w:val="30443F81"/>
    <w:rsid w:val="30515D85"/>
    <w:rsid w:val="305831D6"/>
    <w:rsid w:val="305A4537"/>
    <w:rsid w:val="30632880"/>
    <w:rsid w:val="3070014A"/>
    <w:rsid w:val="307B4FFA"/>
    <w:rsid w:val="308136E0"/>
    <w:rsid w:val="3095375A"/>
    <w:rsid w:val="30A90B96"/>
    <w:rsid w:val="30A91070"/>
    <w:rsid w:val="30B86332"/>
    <w:rsid w:val="30C91D87"/>
    <w:rsid w:val="30D10B78"/>
    <w:rsid w:val="30D251E3"/>
    <w:rsid w:val="30D36EB7"/>
    <w:rsid w:val="30D45137"/>
    <w:rsid w:val="30D51A41"/>
    <w:rsid w:val="30E7233C"/>
    <w:rsid w:val="31076B28"/>
    <w:rsid w:val="31076EFA"/>
    <w:rsid w:val="310866BC"/>
    <w:rsid w:val="310E5012"/>
    <w:rsid w:val="31154DED"/>
    <w:rsid w:val="31215B33"/>
    <w:rsid w:val="312A36B1"/>
    <w:rsid w:val="313A2CAC"/>
    <w:rsid w:val="313E6356"/>
    <w:rsid w:val="31460C29"/>
    <w:rsid w:val="314B3239"/>
    <w:rsid w:val="315B5E62"/>
    <w:rsid w:val="3163108E"/>
    <w:rsid w:val="3167538F"/>
    <w:rsid w:val="317544CD"/>
    <w:rsid w:val="31765162"/>
    <w:rsid w:val="317A487D"/>
    <w:rsid w:val="31833BCE"/>
    <w:rsid w:val="318A1515"/>
    <w:rsid w:val="31944F6F"/>
    <w:rsid w:val="31963456"/>
    <w:rsid w:val="319B5B90"/>
    <w:rsid w:val="31A84B64"/>
    <w:rsid w:val="31B12D3C"/>
    <w:rsid w:val="31B2653B"/>
    <w:rsid w:val="31B266EC"/>
    <w:rsid w:val="31B45163"/>
    <w:rsid w:val="31B81D35"/>
    <w:rsid w:val="31C3729F"/>
    <w:rsid w:val="31CB617D"/>
    <w:rsid w:val="31CC0ECB"/>
    <w:rsid w:val="31DF1DB8"/>
    <w:rsid w:val="31F020DC"/>
    <w:rsid w:val="31F072F8"/>
    <w:rsid w:val="32061C7F"/>
    <w:rsid w:val="320A52D8"/>
    <w:rsid w:val="320D2005"/>
    <w:rsid w:val="32136025"/>
    <w:rsid w:val="32220D79"/>
    <w:rsid w:val="32252577"/>
    <w:rsid w:val="32294648"/>
    <w:rsid w:val="322F0831"/>
    <w:rsid w:val="323F5519"/>
    <w:rsid w:val="32471CC6"/>
    <w:rsid w:val="324F0134"/>
    <w:rsid w:val="32540593"/>
    <w:rsid w:val="32582CC3"/>
    <w:rsid w:val="327179A4"/>
    <w:rsid w:val="32775626"/>
    <w:rsid w:val="32835AB1"/>
    <w:rsid w:val="328A3A5F"/>
    <w:rsid w:val="328D7371"/>
    <w:rsid w:val="328E2231"/>
    <w:rsid w:val="329326B7"/>
    <w:rsid w:val="329426A2"/>
    <w:rsid w:val="329708DE"/>
    <w:rsid w:val="32AD1211"/>
    <w:rsid w:val="32E12F9A"/>
    <w:rsid w:val="32E87F66"/>
    <w:rsid w:val="32EC46FB"/>
    <w:rsid w:val="32FF12B8"/>
    <w:rsid w:val="330073AA"/>
    <w:rsid w:val="33020BF1"/>
    <w:rsid w:val="330710D7"/>
    <w:rsid w:val="33187864"/>
    <w:rsid w:val="33224534"/>
    <w:rsid w:val="332742E9"/>
    <w:rsid w:val="332A1AC1"/>
    <w:rsid w:val="332C71E1"/>
    <w:rsid w:val="332E1BC2"/>
    <w:rsid w:val="332F3B66"/>
    <w:rsid w:val="333B116B"/>
    <w:rsid w:val="33427ABB"/>
    <w:rsid w:val="33616D4E"/>
    <w:rsid w:val="33821BAB"/>
    <w:rsid w:val="338369DD"/>
    <w:rsid w:val="338378EA"/>
    <w:rsid w:val="33885755"/>
    <w:rsid w:val="339E18BC"/>
    <w:rsid w:val="33A47A84"/>
    <w:rsid w:val="33A57822"/>
    <w:rsid w:val="33A77C3C"/>
    <w:rsid w:val="33AA7345"/>
    <w:rsid w:val="33B37087"/>
    <w:rsid w:val="33BC4D91"/>
    <w:rsid w:val="33BF4D9D"/>
    <w:rsid w:val="33C233CD"/>
    <w:rsid w:val="33C504FF"/>
    <w:rsid w:val="33C968FA"/>
    <w:rsid w:val="33D23DF5"/>
    <w:rsid w:val="33D246C3"/>
    <w:rsid w:val="33DF11C8"/>
    <w:rsid w:val="33E442C9"/>
    <w:rsid w:val="33E61B12"/>
    <w:rsid w:val="33EF44FC"/>
    <w:rsid w:val="33FE7E15"/>
    <w:rsid w:val="33FF1154"/>
    <w:rsid w:val="340074AF"/>
    <w:rsid w:val="340948E1"/>
    <w:rsid w:val="340D3904"/>
    <w:rsid w:val="341212B1"/>
    <w:rsid w:val="341321BE"/>
    <w:rsid w:val="34155C01"/>
    <w:rsid w:val="34293255"/>
    <w:rsid w:val="342E2006"/>
    <w:rsid w:val="34314E1D"/>
    <w:rsid w:val="34374868"/>
    <w:rsid w:val="343D2D4C"/>
    <w:rsid w:val="34417702"/>
    <w:rsid w:val="34417EB0"/>
    <w:rsid w:val="3446518F"/>
    <w:rsid w:val="344A296C"/>
    <w:rsid w:val="344C25CD"/>
    <w:rsid w:val="344E045C"/>
    <w:rsid w:val="344F610D"/>
    <w:rsid w:val="345A0779"/>
    <w:rsid w:val="345B15DB"/>
    <w:rsid w:val="346B1ADA"/>
    <w:rsid w:val="346C36DB"/>
    <w:rsid w:val="346C4A94"/>
    <w:rsid w:val="346E7A5A"/>
    <w:rsid w:val="3477244E"/>
    <w:rsid w:val="34782617"/>
    <w:rsid w:val="347946FA"/>
    <w:rsid w:val="347A6171"/>
    <w:rsid w:val="348440EB"/>
    <w:rsid w:val="348D33D3"/>
    <w:rsid w:val="3496737A"/>
    <w:rsid w:val="34AC0653"/>
    <w:rsid w:val="34AC2DE9"/>
    <w:rsid w:val="34B84D9B"/>
    <w:rsid w:val="34BE7103"/>
    <w:rsid w:val="34CB642A"/>
    <w:rsid w:val="34CE3369"/>
    <w:rsid w:val="34D67303"/>
    <w:rsid w:val="34DC1C67"/>
    <w:rsid w:val="34E47162"/>
    <w:rsid w:val="34F64CDD"/>
    <w:rsid w:val="34FF095B"/>
    <w:rsid w:val="3500311A"/>
    <w:rsid w:val="350B76BF"/>
    <w:rsid w:val="350C5C16"/>
    <w:rsid w:val="351710F0"/>
    <w:rsid w:val="352E435E"/>
    <w:rsid w:val="3534069E"/>
    <w:rsid w:val="353807E2"/>
    <w:rsid w:val="353D45FA"/>
    <w:rsid w:val="353F0E06"/>
    <w:rsid w:val="35422CF2"/>
    <w:rsid w:val="35505013"/>
    <w:rsid w:val="355C586E"/>
    <w:rsid w:val="356D51F7"/>
    <w:rsid w:val="357D79D3"/>
    <w:rsid w:val="35804F9D"/>
    <w:rsid w:val="35843B49"/>
    <w:rsid w:val="35884385"/>
    <w:rsid w:val="35890016"/>
    <w:rsid w:val="358B0F26"/>
    <w:rsid w:val="35924A15"/>
    <w:rsid w:val="359753B1"/>
    <w:rsid w:val="35A25468"/>
    <w:rsid w:val="35AB271B"/>
    <w:rsid w:val="35AC56FE"/>
    <w:rsid w:val="35C3354B"/>
    <w:rsid w:val="35E1012B"/>
    <w:rsid w:val="35E1505C"/>
    <w:rsid w:val="35E328B8"/>
    <w:rsid w:val="35E3701E"/>
    <w:rsid w:val="35E420DE"/>
    <w:rsid w:val="35E607CD"/>
    <w:rsid w:val="35EC6F4A"/>
    <w:rsid w:val="35EE6A38"/>
    <w:rsid w:val="35F5734F"/>
    <w:rsid w:val="35F65884"/>
    <w:rsid w:val="35F715DC"/>
    <w:rsid w:val="36057267"/>
    <w:rsid w:val="362131A7"/>
    <w:rsid w:val="362E1546"/>
    <w:rsid w:val="36330CA5"/>
    <w:rsid w:val="364236D7"/>
    <w:rsid w:val="3654563C"/>
    <w:rsid w:val="365763B3"/>
    <w:rsid w:val="367C0A7E"/>
    <w:rsid w:val="36856B5A"/>
    <w:rsid w:val="36883C27"/>
    <w:rsid w:val="36950061"/>
    <w:rsid w:val="36A32443"/>
    <w:rsid w:val="36A61ADA"/>
    <w:rsid w:val="36AC504E"/>
    <w:rsid w:val="36B45F51"/>
    <w:rsid w:val="36B7013F"/>
    <w:rsid w:val="36D71D0D"/>
    <w:rsid w:val="36E17BD4"/>
    <w:rsid w:val="36E30071"/>
    <w:rsid w:val="36E31151"/>
    <w:rsid w:val="36E61D1E"/>
    <w:rsid w:val="36EF4947"/>
    <w:rsid w:val="36F76FAD"/>
    <w:rsid w:val="37060D5C"/>
    <w:rsid w:val="370F6D7D"/>
    <w:rsid w:val="3711176D"/>
    <w:rsid w:val="37113E21"/>
    <w:rsid w:val="37244D17"/>
    <w:rsid w:val="373F483B"/>
    <w:rsid w:val="37451D56"/>
    <w:rsid w:val="375C645A"/>
    <w:rsid w:val="37633810"/>
    <w:rsid w:val="37737FCD"/>
    <w:rsid w:val="37744249"/>
    <w:rsid w:val="37794F81"/>
    <w:rsid w:val="37831AFE"/>
    <w:rsid w:val="37855CA5"/>
    <w:rsid w:val="379747E4"/>
    <w:rsid w:val="37A10A3C"/>
    <w:rsid w:val="37A32862"/>
    <w:rsid w:val="37A771F1"/>
    <w:rsid w:val="37AA1FED"/>
    <w:rsid w:val="37B033F0"/>
    <w:rsid w:val="37B25951"/>
    <w:rsid w:val="37B82D37"/>
    <w:rsid w:val="37BF7DD8"/>
    <w:rsid w:val="37CF39F4"/>
    <w:rsid w:val="38093CF4"/>
    <w:rsid w:val="380B1C26"/>
    <w:rsid w:val="38132FDB"/>
    <w:rsid w:val="381523AC"/>
    <w:rsid w:val="3816611D"/>
    <w:rsid w:val="381D6FCC"/>
    <w:rsid w:val="382563C3"/>
    <w:rsid w:val="382B10C6"/>
    <w:rsid w:val="384502C9"/>
    <w:rsid w:val="384757BF"/>
    <w:rsid w:val="384D7A6B"/>
    <w:rsid w:val="38527F5E"/>
    <w:rsid w:val="38576EB1"/>
    <w:rsid w:val="385B78DA"/>
    <w:rsid w:val="386F64C6"/>
    <w:rsid w:val="38755246"/>
    <w:rsid w:val="38850F2D"/>
    <w:rsid w:val="3891497A"/>
    <w:rsid w:val="38934709"/>
    <w:rsid w:val="3899545E"/>
    <w:rsid w:val="389B63CB"/>
    <w:rsid w:val="389D36E7"/>
    <w:rsid w:val="38AD0AAC"/>
    <w:rsid w:val="38AF121A"/>
    <w:rsid w:val="38B10DA8"/>
    <w:rsid w:val="38B976FB"/>
    <w:rsid w:val="38BB5EDA"/>
    <w:rsid w:val="38C6779A"/>
    <w:rsid w:val="38DC2A26"/>
    <w:rsid w:val="38DC5040"/>
    <w:rsid w:val="38EA0958"/>
    <w:rsid w:val="38EA292A"/>
    <w:rsid w:val="38EB3140"/>
    <w:rsid w:val="38FC7F68"/>
    <w:rsid w:val="390150BD"/>
    <w:rsid w:val="39015BC8"/>
    <w:rsid w:val="39132EBE"/>
    <w:rsid w:val="3923223F"/>
    <w:rsid w:val="393F3649"/>
    <w:rsid w:val="39434B25"/>
    <w:rsid w:val="39442CC4"/>
    <w:rsid w:val="394A3B36"/>
    <w:rsid w:val="394C053B"/>
    <w:rsid w:val="394E0439"/>
    <w:rsid w:val="39532D05"/>
    <w:rsid w:val="395A1855"/>
    <w:rsid w:val="395E1405"/>
    <w:rsid w:val="3962425A"/>
    <w:rsid w:val="396E504E"/>
    <w:rsid w:val="396F7993"/>
    <w:rsid w:val="39741673"/>
    <w:rsid w:val="397F2866"/>
    <w:rsid w:val="39850A26"/>
    <w:rsid w:val="39893783"/>
    <w:rsid w:val="399108C7"/>
    <w:rsid w:val="399C23C2"/>
    <w:rsid w:val="399E7C65"/>
    <w:rsid w:val="39A118CD"/>
    <w:rsid w:val="39A337DD"/>
    <w:rsid w:val="39B1002C"/>
    <w:rsid w:val="39B75345"/>
    <w:rsid w:val="39BA1CF7"/>
    <w:rsid w:val="39BA2065"/>
    <w:rsid w:val="39C83126"/>
    <w:rsid w:val="39D037AF"/>
    <w:rsid w:val="39D466BD"/>
    <w:rsid w:val="39D7158B"/>
    <w:rsid w:val="39DC1B39"/>
    <w:rsid w:val="39E03897"/>
    <w:rsid w:val="39E125BA"/>
    <w:rsid w:val="39F17FFD"/>
    <w:rsid w:val="3A03384A"/>
    <w:rsid w:val="3A066160"/>
    <w:rsid w:val="3A0D48B1"/>
    <w:rsid w:val="3A1810FA"/>
    <w:rsid w:val="3A2441B7"/>
    <w:rsid w:val="3A274488"/>
    <w:rsid w:val="3A336331"/>
    <w:rsid w:val="3A37786E"/>
    <w:rsid w:val="3A431472"/>
    <w:rsid w:val="3A474B1C"/>
    <w:rsid w:val="3A5207B4"/>
    <w:rsid w:val="3A541BF5"/>
    <w:rsid w:val="3A553D9F"/>
    <w:rsid w:val="3A5A285A"/>
    <w:rsid w:val="3A5E32B9"/>
    <w:rsid w:val="3A697F71"/>
    <w:rsid w:val="3A6A4AC7"/>
    <w:rsid w:val="3A6E26C3"/>
    <w:rsid w:val="3A6F0BDF"/>
    <w:rsid w:val="3A72622B"/>
    <w:rsid w:val="3A75769F"/>
    <w:rsid w:val="3A833713"/>
    <w:rsid w:val="3A887C39"/>
    <w:rsid w:val="3A897BA1"/>
    <w:rsid w:val="3A9038DA"/>
    <w:rsid w:val="3A936647"/>
    <w:rsid w:val="3A9E4B32"/>
    <w:rsid w:val="3A9F1B2C"/>
    <w:rsid w:val="3AA04C49"/>
    <w:rsid w:val="3AA54470"/>
    <w:rsid w:val="3AA913CF"/>
    <w:rsid w:val="3AC036CC"/>
    <w:rsid w:val="3AC205A6"/>
    <w:rsid w:val="3AC257A4"/>
    <w:rsid w:val="3AC334CD"/>
    <w:rsid w:val="3AD16134"/>
    <w:rsid w:val="3AD17EBD"/>
    <w:rsid w:val="3AEA3CFC"/>
    <w:rsid w:val="3AF044A5"/>
    <w:rsid w:val="3AFC4CC9"/>
    <w:rsid w:val="3B00301D"/>
    <w:rsid w:val="3B1114A5"/>
    <w:rsid w:val="3B1752EE"/>
    <w:rsid w:val="3B1C35AC"/>
    <w:rsid w:val="3B22468C"/>
    <w:rsid w:val="3B3155AA"/>
    <w:rsid w:val="3B3E0B10"/>
    <w:rsid w:val="3B4F1508"/>
    <w:rsid w:val="3B580D61"/>
    <w:rsid w:val="3B696BF9"/>
    <w:rsid w:val="3B6F0DCA"/>
    <w:rsid w:val="3B7B2B0A"/>
    <w:rsid w:val="3B7C7B97"/>
    <w:rsid w:val="3B8372AE"/>
    <w:rsid w:val="3B914065"/>
    <w:rsid w:val="3B9F483C"/>
    <w:rsid w:val="3BB249F7"/>
    <w:rsid w:val="3BBE3122"/>
    <w:rsid w:val="3BC20515"/>
    <w:rsid w:val="3BC53C74"/>
    <w:rsid w:val="3BC62C0D"/>
    <w:rsid w:val="3BC772AB"/>
    <w:rsid w:val="3BC812C8"/>
    <w:rsid w:val="3BD741DE"/>
    <w:rsid w:val="3BE7491F"/>
    <w:rsid w:val="3BE82033"/>
    <w:rsid w:val="3BEF3F98"/>
    <w:rsid w:val="3BF01125"/>
    <w:rsid w:val="3C035D20"/>
    <w:rsid w:val="3C0C1C74"/>
    <w:rsid w:val="3C12184A"/>
    <w:rsid w:val="3C165216"/>
    <w:rsid w:val="3C20030B"/>
    <w:rsid w:val="3C220A63"/>
    <w:rsid w:val="3C257E8D"/>
    <w:rsid w:val="3C286FD8"/>
    <w:rsid w:val="3C326DEB"/>
    <w:rsid w:val="3C3C1378"/>
    <w:rsid w:val="3C497D33"/>
    <w:rsid w:val="3C5A342C"/>
    <w:rsid w:val="3C5C0867"/>
    <w:rsid w:val="3C656EED"/>
    <w:rsid w:val="3C685003"/>
    <w:rsid w:val="3C6D452D"/>
    <w:rsid w:val="3C6E7843"/>
    <w:rsid w:val="3C727A71"/>
    <w:rsid w:val="3C732FE2"/>
    <w:rsid w:val="3C7A3669"/>
    <w:rsid w:val="3C882BD0"/>
    <w:rsid w:val="3C94545E"/>
    <w:rsid w:val="3CAE0651"/>
    <w:rsid w:val="3CBC2D9B"/>
    <w:rsid w:val="3CC5588D"/>
    <w:rsid w:val="3CCD1D16"/>
    <w:rsid w:val="3CD85D57"/>
    <w:rsid w:val="3CD87AA0"/>
    <w:rsid w:val="3CDA5112"/>
    <w:rsid w:val="3CDB62C1"/>
    <w:rsid w:val="3CE13BDF"/>
    <w:rsid w:val="3CE26359"/>
    <w:rsid w:val="3CE70364"/>
    <w:rsid w:val="3CFD4D35"/>
    <w:rsid w:val="3D064D69"/>
    <w:rsid w:val="3D0E399D"/>
    <w:rsid w:val="3D123F8D"/>
    <w:rsid w:val="3D12721E"/>
    <w:rsid w:val="3D1B45BC"/>
    <w:rsid w:val="3D27093B"/>
    <w:rsid w:val="3D351ADA"/>
    <w:rsid w:val="3D3D6CB6"/>
    <w:rsid w:val="3D444248"/>
    <w:rsid w:val="3D4B2FA5"/>
    <w:rsid w:val="3D527DA5"/>
    <w:rsid w:val="3D540111"/>
    <w:rsid w:val="3D546058"/>
    <w:rsid w:val="3D5461A9"/>
    <w:rsid w:val="3D58650A"/>
    <w:rsid w:val="3D590765"/>
    <w:rsid w:val="3D5A6060"/>
    <w:rsid w:val="3D640E16"/>
    <w:rsid w:val="3D67132F"/>
    <w:rsid w:val="3D73019F"/>
    <w:rsid w:val="3D7B0D27"/>
    <w:rsid w:val="3D7E27A0"/>
    <w:rsid w:val="3D874F51"/>
    <w:rsid w:val="3D896CEB"/>
    <w:rsid w:val="3D9A2D6C"/>
    <w:rsid w:val="3D9D0681"/>
    <w:rsid w:val="3DAF1596"/>
    <w:rsid w:val="3DB52668"/>
    <w:rsid w:val="3DCD2BF9"/>
    <w:rsid w:val="3DD3077A"/>
    <w:rsid w:val="3DDF7A0D"/>
    <w:rsid w:val="3DFD4BBE"/>
    <w:rsid w:val="3E00097B"/>
    <w:rsid w:val="3E011326"/>
    <w:rsid w:val="3E024B7B"/>
    <w:rsid w:val="3E0E5BD4"/>
    <w:rsid w:val="3E104548"/>
    <w:rsid w:val="3E1502C1"/>
    <w:rsid w:val="3E19435F"/>
    <w:rsid w:val="3E20393D"/>
    <w:rsid w:val="3E264903"/>
    <w:rsid w:val="3E2806A1"/>
    <w:rsid w:val="3E2E35CB"/>
    <w:rsid w:val="3E31025E"/>
    <w:rsid w:val="3E342DA3"/>
    <w:rsid w:val="3E4755F9"/>
    <w:rsid w:val="3E492A39"/>
    <w:rsid w:val="3E556354"/>
    <w:rsid w:val="3E6336EF"/>
    <w:rsid w:val="3E660D1B"/>
    <w:rsid w:val="3E6E2E9E"/>
    <w:rsid w:val="3E8222F7"/>
    <w:rsid w:val="3E8258B1"/>
    <w:rsid w:val="3E8821CE"/>
    <w:rsid w:val="3E92738B"/>
    <w:rsid w:val="3E99456A"/>
    <w:rsid w:val="3EAD3D57"/>
    <w:rsid w:val="3EAF02B7"/>
    <w:rsid w:val="3EB1188E"/>
    <w:rsid w:val="3EBD63D7"/>
    <w:rsid w:val="3EC07733"/>
    <w:rsid w:val="3EC334A7"/>
    <w:rsid w:val="3EC678BC"/>
    <w:rsid w:val="3EE067CA"/>
    <w:rsid w:val="3EEF26AB"/>
    <w:rsid w:val="3EF21C38"/>
    <w:rsid w:val="3EF340F1"/>
    <w:rsid w:val="3EF57D05"/>
    <w:rsid w:val="3EF96B38"/>
    <w:rsid w:val="3F002CCF"/>
    <w:rsid w:val="3F0566FF"/>
    <w:rsid w:val="3F0605BE"/>
    <w:rsid w:val="3F06365D"/>
    <w:rsid w:val="3F0A3CA5"/>
    <w:rsid w:val="3F0B1DB8"/>
    <w:rsid w:val="3F0E6EA3"/>
    <w:rsid w:val="3F122278"/>
    <w:rsid w:val="3F155D82"/>
    <w:rsid w:val="3F261DEC"/>
    <w:rsid w:val="3F47737F"/>
    <w:rsid w:val="3F523976"/>
    <w:rsid w:val="3F52626A"/>
    <w:rsid w:val="3F5322DF"/>
    <w:rsid w:val="3F556A35"/>
    <w:rsid w:val="3F5867B3"/>
    <w:rsid w:val="3F5A301C"/>
    <w:rsid w:val="3F637202"/>
    <w:rsid w:val="3F664F14"/>
    <w:rsid w:val="3F6D1D36"/>
    <w:rsid w:val="3F6D2017"/>
    <w:rsid w:val="3F7339EB"/>
    <w:rsid w:val="3F7D65D1"/>
    <w:rsid w:val="3F836296"/>
    <w:rsid w:val="3F9526FD"/>
    <w:rsid w:val="3FA10F73"/>
    <w:rsid w:val="3FA51002"/>
    <w:rsid w:val="3FB1448E"/>
    <w:rsid w:val="3FB33F0F"/>
    <w:rsid w:val="3FB56B87"/>
    <w:rsid w:val="3FB827B0"/>
    <w:rsid w:val="3FB9798A"/>
    <w:rsid w:val="3FBC4DF5"/>
    <w:rsid w:val="3FBE226E"/>
    <w:rsid w:val="3FC74EA5"/>
    <w:rsid w:val="3FC80A13"/>
    <w:rsid w:val="3FC924C5"/>
    <w:rsid w:val="3FD001E0"/>
    <w:rsid w:val="3FDD5AA3"/>
    <w:rsid w:val="3FDD60EB"/>
    <w:rsid w:val="3FE1611D"/>
    <w:rsid w:val="3FEB7EF7"/>
    <w:rsid w:val="3FF0534A"/>
    <w:rsid w:val="3FFC6AA1"/>
    <w:rsid w:val="3FFE725C"/>
    <w:rsid w:val="40031194"/>
    <w:rsid w:val="400C00BD"/>
    <w:rsid w:val="400D4689"/>
    <w:rsid w:val="40171E63"/>
    <w:rsid w:val="401C023A"/>
    <w:rsid w:val="401E624D"/>
    <w:rsid w:val="40235049"/>
    <w:rsid w:val="4040700B"/>
    <w:rsid w:val="40505926"/>
    <w:rsid w:val="405074F9"/>
    <w:rsid w:val="40592E1A"/>
    <w:rsid w:val="406149DB"/>
    <w:rsid w:val="40742B10"/>
    <w:rsid w:val="40851F94"/>
    <w:rsid w:val="40860806"/>
    <w:rsid w:val="408727EE"/>
    <w:rsid w:val="40881B05"/>
    <w:rsid w:val="408B015C"/>
    <w:rsid w:val="408D2092"/>
    <w:rsid w:val="40987E91"/>
    <w:rsid w:val="40AE535D"/>
    <w:rsid w:val="40B323C5"/>
    <w:rsid w:val="40BB1B3B"/>
    <w:rsid w:val="40C87F0D"/>
    <w:rsid w:val="40E13187"/>
    <w:rsid w:val="40E4111E"/>
    <w:rsid w:val="40F71EFC"/>
    <w:rsid w:val="40F74654"/>
    <w:rsid w:val="40FA7D3C"/>
    <w:rsid w:val="40FC6040"/>
    <w:rsid w:val="41013098"/>
    <w:rsid w:val="410A66D3"/>
    <w:rsid w:val="41216561"/>
    <w:rsid w:val="4126157E"/>
    <w:rsid w:val="412E1703"/>
    <w:rsid w:val="41341D04"/>
    <w:rsid w:val="41396137"/>
    <w:rsid w:val="41463814"/>
    <w:rsid w:val="414E4666"/>
    <w:rsid w:val="415840E7"/>
    <w:rsid w:val="415C6645"/>
    <w:rsid w:val="415D4AA5"/>
    <w:rsid w:val="415E3F30"/>
    <w:rsid w:val="41634269"/>
    <w:rsid w:val="41661A50"/>
    <w:rsid w:val="416F185F"/>
    <w:rsid w:val="41755F8B"/>
    <w:rsid w:val="417E6FB2"/>
    <w:rsid w:val="41804E56"/>
    <w:rsid w:val="418B61F9"/>
    <w:rsid w:val="418C5064"/>
    <w:rsid w:val="41901D5A"/>
    <w:rsid w:val="41AE168E"/>
    <w:rsid w:val="41B000EA"/>
    <w:rsid w:val="41B625DB"/>
    <w:rsid w:val="41BB28C5"/>
    <w:rsid w:val="41D7643D"/>
    <w:rsid w:val="41D80DF6"/>
    <w:rsid w:val="41F41099"/>
    <w:rsid w:val="41F4144D"/>
    <w:rsid w:val="41F425A0"/>
    <w:rsid w:val="41FD1E4D"/>
    <w:rsid w:val="42004A07"/>
    <w:rsid w:val="42036CED"/>
    <w:rsid w:val="420445BE"/>
    <w:rsid w:val="42044B55"/>
    <w:rsid w:val="42106699"/>
    <w:rsid w:val="421D3532"/>
    <w:rsid w:val="422747DE"/>
    <w:rsid w:val="423B1E1A"/>
    <w:rsid w:val="423D7E2C"/>
    <w:rsid w:val="4253494B"/>
    <w:rsid w:val="42563DD4"/>
    <w:rsid w:val="425F0874"/>
    <w:rsid w:val="42605991"/>
    <w:rsid w:val="42624CEC"/>
    <w:rsid w:val="426B2083"/>
    <w:rsid w:val="42745271"/>
    <w:rsid w:val="42746AFF"/>
    <w:rsid w:val="427A2426"/>
    <w:rsid w:val="42840AF8"/>
    <w:rsid w:val="428622E0"/>
    <w:rsid w:val="42A72E3E"/>
    <w:rsid w:val="42A9771E"/>
    <w:rsid w:val="42AF06BF"/>
    <w:rsid w:val="42AF744D"/>
    <w:rsid w:val="42B97DE2"/>
    <w:rsid w:val="42BE1411"/>
    <w:rsid w:val="42BF0482"/>
    <w:rsid w:val="42C3638C"/>
    <w:rsid w:val="42CC1C77"/>
    <w:rsid w:val="42CE7CBC"/>
    <w:rsid w:val="42D92C34"/>
    <w:rsid w:val="42E67A2D"/>
    <w:rsid w:val="42EF6EDD"/>
    <w:rsid w:val="42F63370"/>
    <w:rsid w:val="4303189E"/>
    <w:rsid w:val="43043B4B"/>
    <w:rsid w:val="430C0701"/>
    <w:rsid w:val="431D662D"/>
    <w:rsid w:val="431D7413"/>
    <w:rsid w:val="43230977"/>
    <w:rsid w:val="43260906"/>
    <w:rsid w:val="4329778C"/>
    <w:rsid w:val="433451E7"/>
    <w:rsid w:val="433454E3"/>
    <w:rsid w:val="434030C7"/>
    <w:rsid w:val="434321EE"/>
    <w:rsid w:val="4357411B"/>
    <w:rsid w:val="43624524"/>
    <w:rsid w:val="436E4602"/>
    <w:rsid w:val="43773B38"/>
    <w:rsid w:val="437C303F"/>
    <w:rsid w:val="437E59F4"/>
    <w:rsid w:val="437F0235"/>
    <w:rsid w:val="438127FD"/>
    <w:rsid w:val="438C318F"/>
    <w:rsid w:val="438D2962"/>
    <w:rsid w:val="439125BA"/>
    <w:rsid w:val="439E21D0"/>
    <w:rsid w:val="43A136C2"/>
    <w:rsid w:val="43A47C8D"/>
    <w:rsid w:val="43A51CEB"/>
    <w:rsid w:val="43A958CD"/>
    <w:rsid w:val="43AE228C"/>
    <w:rsid w:val="43B03D9F"/>
    <w:rsid w:val="43B2322B"/>
    <w:rsid w:val="43B27B0F"/>
    <w:rsid w:val="43BD17B6"/>
    <w:rsid w:val="43BF433F"/>
    <w:rsid w:val="43C60D41"/>
    <w:rsid w:val="43C71A8C"/>
    <w:rsid w:val="43CB49D5"/>
    <w:rsid w:val="43CC296D"/>
    <w:rsid w:val="43D51B86"/>
    <w:rsid w:val="43D5596E"/>
    <w:rsid w:val="43D946DF"/>
    <w:rsid w:val="43E63A35"/>
    <w:rsid w:val="43EA4AD8"/>
    <w:rsid w:val="43EA731F"/>
    <w:rsid w:val="43EF4362"/>
    <w:rsid w:val="43F5608C"/>
    <w:rsid w:val="43FA20D7"/>
    <w:rsid w:val="440A1D09"/>
    <w:rsid w:val="44105FE6"/>
    <w:rsid w:val="44163757"/>
    <w:rsid w:val="442E6250"/>
    <w:rsid w:val="44336B29"/>
    <w:rsid w:val="44411D78"/>
    <w:rsid w:val="444255C8"/>
    <w:rsid w:val="44555450"/>
    <w:rsid w:val="44565401"/>
    <w:rsid w:val="445C184B"/>
    <w:rsid w:val="445C1F8C"/>
    <w:rsid w:val="445C2CEB"/>
    <w:rsid w:val="44623D2C"/>
    <w:rsid w:val="4469425C"/>
    <w:rsid w:val="446C5925"/>
    <w:rsid w:val="446F1216"/>
    <w:rsid w:val="44715BA6"/>
    <w:rsid w:val="44744DE1"/>
    <w:rsid w:val="4480267E"/>
    <w:rsid w:val="44813BCD"/>
    <w:rsid w:val="448F333F"/>
    <w:rsid w:val="449A5595"/>
    <w:rsid w:val="44A273D7"/>
    <w:rsid w:val="44A3165A"/>
    <w:rsid w:val="44A949BB"/>
    <w:rsid w:val="44B47D28"/>
    <w:rsid w:val="44BE6AFA"/>
    <w:rsid w:val="44BE7B38"/>
    <w:rsid w:val="44C10C52"/>
    <w:rsid w:val="44C4343F"/>
    <w:rsid w:val="44CC5637"/>
    <w:rsid w:val="44CE1860"/>
    <w:rsid w:val="44D01EAB"/>
    <w:rsid w:val="44D61276"/>
    <w:rsid w:val="44FB2020"/>
    <w:rsid w:val="450E225C"/>
    <w:rsid w:val="450E5F3E"/>
    <w:rsid w:val="451C3C3F"/>
    <w:rsid w:val="45282E33"/>
    <w:rsid w:val="45361C96"/>
    <w:rsid w:val="45367180"/>
    <w:rsid w:val="453936A0"/>
    <w:rsid w:val="4555071F"/>
    <w:rsid w:val="45634F36"/>
    <w:rsid w:val="456433C3"/>
    <w:rsid w:val="4566286A"/>
    <w:rsid w:val="456653F0"/>
    <w:rsid w:val="456745BB"/>
    <w:rsid w:val="45677DA7"/>
    <w:rsid w:val="45743F66"/>
    <w:rsid w:val="45761FD8"/>
    <w:rsid w:val="457B0C49"/>
    <w:rsid w:val="45864B77"/>
    <w:rsid w:val="458D3A63"/>
    <w:rsid w:val="4597177B"/>
    <w:rsid w:val="45A85821"/>
    <w:rsid w:val="45AA0EA4"/>
    <w:rsid w:val="45AC57A6"/>
    <w:rsid w:val="45AF03CF"/>
    <w:rsid w:val="45B23BD8"/>
    <w:rsid w:val="45B52BBB"/>
    <w:rsid w:val="45BB3E97"/>
    <w:rsid w:val="45C3178B"/>
    <w:rsid w:val="45C81474"/>
    <w:rsid w:val="45C85D55"/>
    <w:rsid w:val="45C91BC6"/>
    <w:rsid w:val="45CD1312"/>
    <w:rsid w:val="45CE3F02"/>
    <w:rsid w:val="45DE2684"/>
    <w:rsid w:val="45E349A9"/>
    <w:rsid w:val="45F22D7B"/>
    <w:rsid w:val="45F25B71"/>
    <w:rsid w:val="45F6092A"/>
    <w:rsid w:val="46122C2B"/>
    <w:rsid w:val="46202725"/>
    <w:rsid w:val="4622618B"/>
    <w:rsid w:val="4624768B"/>
    <w:rsid w:val="46283409"/>
    <w:rsid w:val="462E1DEC"/>
    <w:rsid w:val="462F257F"/>
    <w:rsid w:val="46316796"/>
    <w:rsid w:val="46436765"/>
    <w:rsid w:val="464C5980"/>
    <w:rsid w:val="464C598F"/>
    <w:rsid w:val="464E585E"/>
    <w:rsid w:val="46541012"/>
    <w:rsid w:val="46595BDC"/>
    <w:rsid w:val="465B04AA"/>
    <w:rsid w:val="466467A4"/>
    <w:rsid w:val="466B7E63"/>
    <w:rsid w:val="46726232"/>
    <w:rsid w:val="46731512"/>
    <w:rsid w:val="46795DED"/>
    <w:rsid w:val="468843FE"/>
    <w:rsid w:val="469849B7"/>
    <w:rsid w:val="46991FD8"/>
    <w:rsid w:val="469D4E61"/>
    <w:rsid w:val="46BC2272"/>
    <w:rsid w:val="46C77291"/>
    <w:rsid w:val="46D62B88"/>
    <w:rsid w:val="46D929E4"/>
    <w:rsid w:val="46DA3CDF"/>
    <w:rsid w:val="46DD3A97"/>
    <w:rsid w:val="46E122D5"/>
    <w:rsid w:val="46E47B00"/>
    <w:rsid w:val="46E51519"/>
    <w:rsid w:val="46E72217"/>
    <w:rsid w:val="46EB56D0"/>
    <w:rsid w:val="46EF6BE5"/>
    <w:rsid w:val="46F94629"/>
    <w:rsid w:val="46FE33A2"/>
    <w:rsid w:val="47034B98"/>
    <w:rsid w:val="47067487"/>
    <w:rsid w:val="470675DD"/>
    <w:rsid w:val="47102BE0"/>
    <w:rsid w:val="47115999"/>
    <w:rsid w:val="47123D8D"/>
    <w:rsid w:val="471651A2"/>
    <w:rsid w:val="47195C33"/>
    <w:rsid w:val="472322A2"/>
    <w:rsid w:val="47291018"/>
    <w:rsid w:val="472E14A0"/>
    <w:rsid w:val="47304A60"/>
    <w:rsid w:val="47321070"/>
    <w:rsid w:val="47383706"/>
    <w:rsid w:val="473F3443"/>
    <w:rsid w:val="47442FEA"/>
    <w:rsid w:val="47476898"/>
    <w:rsid w:val="474825BA"/>
    <w:rsid w:val="47524966"/>
    <w:rsid w:val="4764753D"/>
    <w:rsid w:val="47663624"/>
    <w:rsid w:val="4779594B"/>
    <w:rsid w:val="477E3FE9"/>
    <w:rsid w:val="478E58BD"/>
    <w:rsid w:val="47997ECC"/>
    <w:rsid w:val="47A938A8"/>
    <w:rsid w:val="47AD2393"/>
    <w:rsid w:val="47BC44FA"/>
    <w:rsid w:val="47C05960"/>
    <w:rsid w:val="47CA211A"/>
    <w:rsid w:val="47CE6AD8"/>
    <w:rsid w:val="47D00B76"/>
    <w:rsid w:val="47D266F4"/>
    <w:rsid w:val="47EB3A88"/>
    <w:rsid w:val="47ED09EA"/>
    <w:rsid w:val="47F03825"/>
    <w:rsid w:val="47F72583"/>
    <w:rsid w:val="47FE4F97"/>
    <w:rsid w:val="48043BE9"/>
    <w:rsid w:val="48050F31"/>
    <w:rsid w:val="480B064E"/>
    <w:rsid w:val="48152A57"/>
    <w:rsid w:val="481B77EC"/>
    <w:rsid w:val="481F00E4"/>
    <w:rsid w:val="48230137"/>
    <w:rsid w:val="482A5E63"/>
    <w:rsid w:val="48357C17"/>
    <w:rsid w:val="48360F72"/>
    <w:rsid w:val="483835C3"/>
    <w:rsid w:val="48466EDC"/>
    <w:rsid w:val="486022F2"/>
    <w:rsid w:val="486505C9"/>
    <w:rsid w:val="48717233"/>
    <w:rsid w:val="487736C7"/>
    <w:rsid w:val="4886149A"/>
    <w:rsid w:val="48870995"/>
    <w:rsid w:val="488933F6"/>
    <w:rsid w:val="488F18B7"/>
    <w:rsid w:val="489C5A7F"/>
    <w:rsid w:val="489C5B95"/>
    <w:rsid w:val="489F248C"/>
    <w:rsid w:val="48A53F58"/>
    <w:rsid w:val="48AA10E1"/>
    <w:rsid w:val="48AF1323"/>
    <w:rsid w:val="48B2080D"/>
    <w:rsid w:val="48B5518F"/>
    <w:rsid w:val="48BE6136"/>
    <w:rsid w:val="48C17060"/>
    <w:rsid w:val="48D22DB3"/>
    <w:rsid w:val="48D93445"/>
    <w:rsid w:val="48DA1D9C"/>
    <w:rsid w:val="48DC218D"/>
    <w:rsid w:val="48E915DE"/>
    <w:rsid w:val="48EB611E"/>
    <w:rsid w:val="48F7177C"/>
    <w:rsid w:val="490008E6"/>
    <w:rsid w:val="490425AB"/>
    <w:rsid w:val="49076238"/>
    <w:rsid w:val="49104838"/>
    <w:rsid w:val="49250443"/>
    <w:rsid w:val="49267368"/>
    <w:rsid w:val="49276313"/>
    <w:rsid w:val="492F1B04"/>
    <w:rsid w:val="4930158D"/>
    <w:rsid w:val="493166F2"/>
    <w:rsid w:val="493A2275"/>
    <w:rsid w:val="4943084D"/>
    <w:rsid w:val="495B2F5A"/>
    <w:rsid w:val="49660B64"/>
    <w:rsid w:val="496E056A"/>
    <w:rsid w:val="497930F9"/>
    <w:rsid w:val="497E5F0E"/>
    <w:rsid w:val="49895BF9"/>
    <w:rsid w:val="49896889"/>
    <w:rsid w:val="498B006E"/>
    <w:rsid w:val="49A20032"/>
    <w:rsid w:val="49A82756"/>
    <w:rsid w:val="49A86BF4"/>
    <w:rsid w:val="49A902DE"/>
    <w:rsid w:val="49A961CD"/>
    <w:rsid w:val="49B337E8"/>
    <w:rsid w:val="49B57903"/>
    <w:rsid w:val="49BB0B72"/>
    <w:rsid w:val="49F44446"/>
    <w:rsid w:val="4A037F7B"/>
    <w:rsid w:val="4A0C3345"/>
    <w:rsid w:val="4A12511A"/>
    <w:rsid w:val="4A2A339F"/>
    <w:rsid w:val="4A3B0ADD"/>
    <w:rsid w:val="4A3D1213"/>
    <w:rsid w:val="4A405618"/>
    <w:rsid w:val="4A42752E"/>
    <w:rsid w:val="4A463FDD"/>
    <w:rsid w:val="4A4D6FE1"/>
    <w:rsid w:val="4A4F464E"/>
    <w:rsid w:val="4A51053D"/>
    <w:rsid w:val="4A541B9F"/>
    <w:rsid w:val="4A5B2412"/>
    <w:rsid w:val="4A603371"/>
    <w:rsid w:val="4A665A8F"/>
    <w:rsid w:val="4A6B6C00"/>
    <w:rsid w:val="4A7A1A7F"/>
    <w:rsid w:val="4A7B1C95"/>
    <w:rsid w:val="4A7C6D92"/>
    <w:rsid w:val="4A80680F"/>
    <w:rsid w:val="4A8B2BFF"/>
    <w:rsid w:val="4A8C3D45"/>
    <w:rsid w:val="4A8F64DB"/>
    <w:rsid w:val="4A996D58"/>
    <w:rsid w:val="4AA637CE"/>
    <w:rsid w:val="4AAA2363"/>
    <w:rsid w:val="4AAC0232"/>
    <w:rsid w:val="4AB420A2"/>
    <w:rsid w:val="4AB42562"/>
    <w:rsid w:val="4AB971E8"/>
    <w:rsid w:val="4ABC4127"/>
    <w:rsid w:val="4AC462B3"/>
    <w:rsid w:val="4AC908CA"/>
    <w:rsid w:val="4AC95E08"/>
    <w:rsid w:val="4ACC60F1"/>
    <w:rsid w:val="4ACE3D63"/>
    <w:rsid w:val="4AD13FBF"/>
    <w:rsid w:val="4AD37FB6"/>
    <w:rsid w:val="4AF15169"/>
    <w:rsid w:val="4AF33411"/>
    <w:rsid w:val="4AFC4739"/>
    <w:rsid w:val="4AFF7966"/>
    <w:rsid w:val="4B0F4D9F"/>
    <w:rsid w:val="4B1D51B7"/>
    <w:rsid w:val="4B2B654D"/>
    <w:rsid w:val="4B2D2A9B"/>
    <w:rsid w:val="4B331125"/>
    <w:rsid w:val="4B3405F9"/>
    <w:rsid w:val="4B473804"/>
    <w:rsid w:val="4B5151AA"/>
    <w:rsid w:val="4B537CBF"/>
    <w:rsid w:val="4B550153"/>
    <w:rsid w:val="4B5707EA"/>
    <w:rsid w:val="4B641191"/>
    <w:rsid w:val="4B694B3A"/>
    <w:rsid w:val="4B76529F"/>
    <w:rsid w:val="4B7A237E"/>
    <w:rsid w:val="4B815FB3"/>
    <w:rsid w:val="4B86443F"/>
    <w:rsid w:val="4B9A0C4D"/>
    <w:rsid w:val="4B9B3B70"/>
    <w:rsid w:val="4B9E7936"/>
    <w:rsid w:val="4B9F6334"/>
    <w:rsid w:val="4BB7667A"/>
    <w:rsid w:val="4BBA25CD"/>
    <w:rsid w:val="4BBB242F"/>
    <w:rsid w:val="4BC15B7C"/>
    <w:rsid w:val="4BC3502C"/>
    <w:rsid w:val="4BCC5B3C"/>
    <w:rsid w:val="4BD06F1C"/>
    <w:rsid w:val="4BD119E3"/>
    <w:rsid w:val="4BD11B2A"/>
    <w:rsid w:val="4BD47BEF"/>
    <w:rsid w:val="4BDA74DE"/>
    <w:rsid w:val="4BE06BCD"/>
    <w:rsid w:val="4BE413D6"/>
    <w:rsid w:val="4BE86538"/>
    <w:rsid w:val="4C001FDF"/>
    <w:rsid w:val="4C040A9A"/>
    <w:rsid w:val="4C0770C1"/>
    <w:rsid w:val="4C1F0776"/>
    <w:rsid w:val="4C232063"/>
    <w:rsid w:val="4C2C299D"/>
    <w:rsid w:val="4C322608"/>
    <w:rsid w:val="4C3238CA"/>
    <w:rsid w:val="4C343A7F"/>
    <w:rsid w:val="4C380D78"/>
    <w:rsid w:val="4C3D0756"/>
    <w:rsid w:val="4C3D5FB7"/>
    <w:rsid w:val="4C4C1686"/>
    <w:rsid w:val="4C513E4B"/>
    <w:rsid w:val="4C603F1D"/>
    <w:rsid w:val="4C635D18"/>
    <w:rsid w:val="4C64461B"/>
    <w:rsid w:val="4C670EB1"/>
    <w:rsid w:val="4C712086"/>
    <w:rsid w:val="4C7120EC"/>
    <w:rsid w:val="4C7B3D80"/>
    <w:rsid w:val="4C7C605E"/>
    <w:rsid w:val="4C7E2355"/>
    <w:rsid w:val="4C847264"/>
    <w:rsid w:val="4C92325C"/>
    <w:rsid w:val="4C970E7B"/>
    <w:rsid w:val="4CBD5D4F"/>
    <w:rsid w:val="4CC1054F"/>
    <w:rsid w:val="4CCE079D"/>
    <w:rsid w:val="4CEA4F4D"/>
    <w:rsid w:val="4CEC58DB"/>
    <w:rsid w:val="4CEF637A"/>
    <w:rsid w:val="4CF00FB6"/>
    <w:rsid w:val="4CF16277"/>
    <w:rsid w:val="4CF4672D"/>
    <w:rsid w:val="4D035A68"/>
    <w:rsid w:val="4D147026"/>
    <w:rsid w:val="4D1478EC"/>
    <w:rsid w:val="4D165C91"/>
    <w:rsid w:val="4D235945"/>
    <w:rsid w:val="4D255F0E"/>
    <w:rsid w:val="4D2F06BA"/>
    <w:rsid w:val="4D304130"/>
    <w:rsid w:val="4D386B0D"/>
    <w:rsid w:val="4D3C3075"/>
    <w:rsid w:val="4D4330D3"/>
    <w:rsid w:val="4D4B7DCE"/>
    <w:rsid w:val="4D4F487E"/>
    <w:rsid w:val="4D524627"/>
    <w:rsid w:val="4D545407"/>
    <w:rsid w:val="4D694F30"/>
    <w:rsid w:val="4D717BA1"/>
    <w:rsid w:val="4D7F56C3"/>
    <w:rsid w:val="4D855FB9"/>
    <w:rsid w:val="4D8A0B26"/>
    <w:rsid w:val="4D904FEE"/>
    <w:rsid w:val="4D910D8A"/>
    <w:rsid w:val="4D953492"/>
    <w:rsid w:val="4D97309D"/>
    <w:rsid w:val="4D9E090F"/>
    <w:rsid w:val="4DAC6E91"/>
    <w:rsid w:val="4DB63BC4"/>
    <w:rsid w:val="4DB7591C"/>
    <w:rsid w:val="4DBB2984"/>
    <w:rsid w:val="4DCC46DA"/>
    <w:rsid w:val="4DDD5EB7"/>
    <w:rsid w:val="4DDE45A5"/>
    <w:rsid w:val="4DF267CF"/>
    <w:rsid w:val="4DF6484E"/>
    <w:rsid w:val="4E043A0E"/>
    <w:rsid w:val="4E0B5D31"/>
    <w:rsid w:val="4E125681"/>
    <w:rsid w:val="4E1339D8"/>
    <w:rsid w:val="4E145C86"/>
    <w:rsid w:val="4E1A5C2E"/>
    <w:rsid w:val="4E2B3781"/>
    <w:rsid w:val="4E337E4B"/>
    <w:rsid w:val="4E365771"/>
    <w:rsid w:val="4E3C5DC0"/>
    <w:rsid w:val="4E446F8B"/>
    <w:rsid w:val="4E4D4DE2"/>
    <w:rsid w:val="4E5669BF"/>
    <w:rsid w:val="4E651EA6"/>
    <w:rsid w:val="4E6757B0"/>
    <w:rsid w:val="4E6C4048"/>
    <w:rsid w:val="4E783D17"/>
    <w:rsid w:val="4E805C19"/>
    <w:rsid w:val="4E836C4E"/>
    <w:rsid w:val="4E865BCD"/>
    <w:rsid w:val="4E957162"/>
    <w:rsid w:val="4E9E60B6"/>
    <w:rsid w:val="4EA03934"/>
    <w:rsid w:val="4EA27ACB"/>
    <w:rsid w:val="4EB379F2"/>
    <w:rsid w:val="4EBC3167"/>
    <w:rsid w:val="4EBC6632"/>
    <w:rsid w:val="4EBD4562"/>
    <w:rsid w:val="4EBD5620"/>
    <w:rsid w:val="4EBE0F4C"/>
    <w:rsid w:val="4ECD0F14"/>
    <w:rsid w:val="4ED017E4"/>
    <w:rsid w:val="4ED03B4F"/>
    <w:rsid w:val="4EDC1716"/>
    <w:rsid w:val="4EDF6F4B"/>
    <w:rsid w:val="4EE24F10"/>
    <w:rsid w:val="4EE77077"/>
    <w:rsid w:val="4EE8461F"/>
    <w:rsid w:val="4F0206C2"/>
    <w:rsid w:val="4F1A4FD6"/>
    <w:rsid w:val="4F1C2B4C"/>
    <w:rsid w:val="4F1E1A5A"/>
    <w:rsid w:val="4F2D5479"/>
    <w:rsid w:val="4F3127D8"/>
    <w:rsid w:val="4F353521"/>
    <w:rsid w:val="4F3B798B"/>
    <w:rsid w:val="4F424396"/>
    <w:rsid w:val="4F461737"/>
    <w:rsid w:val="4F501AA5"/>
    <w:rsid w:val="4F507138"/>
    <w:rsid w:val="4F5431F2"/>
    <w:rsid w:val="4F594949"/>
    <w:rsid w:val="4F5A315B"/>
    <w:rsid w:val="4F7041A7"/>
    <w:rsid w:val="4F7349ED"/>
    <w:rsid w:val="4F7C7D62"/>
    <w:rsid w:val="4F88390E"/>
    <w:rsid w:val="4F8865D2"/>
    <w:rsid w:val="4F9A400D"/>
    <w:rsid w:val="4FA11827"/>
    <w:rsid w:val="4FA57761"/>
    <w:rsid w:val="4FAB07C1"/>
    <w:rsid w:val="4FC12B67"/>
    <w:rsid w:val="4FD409F7"/>
    <w:rsid w:val="4FD41054"/>
    <w:rsid w:val="4FD66F8D"/>
    <w:rsid w:val="4FDB5605"/>
    <w:rsid w:val="4FDF7D08"/>
    <w:rsid w:val="4FE3321E"/>
    <w:rsid w:val="4FE45662"/>
    <w:rsid w:val="4FE66728"/>
    <w:rsid w:val="4FF81090"/>
    <w:rsid w:val="4FFA1BE3"/>
    <w:rsid w:val="50033BDE"/>
    <w:rsid w:val="50036BC4"/>
    <w:rsid w:val="500B0DCA"/>
    <w:rsid w:val="500C2A95"/>
    <w:rsid w:val="50133F8A"/>
    <w:rsid w:val="50140C07"/>
    <w:rsid w:val="50200664"/>
    <w:rsid w:val="50312196"/>
    <w:rsid w:val="50417E32"/>
    <w:rsid w:val="504768E3"/>
    <w:rsid w:val="504F0FB9"/>
    <w:rsid w:val="504F769B"/>
    <w:rsid w:val="50537FDD"/>
    <w:rsid w:val="50622728"/>
    <w:rsid w:val="507554C6"/>
    <w:rsid w:val="507D0063"/>
    <w:rsid w:val="508F1D63"/>
    <w:rsid w:val="508F6AC4"/>
    <w:rsid w:val="509A55F2"/>
    <w:rsid w:val="50A36924"/>
    <w:rsid w:val="50A732FC"/>
    <w:rsid w:val="50AA341E"/>
    <w:rsid w:val="50AB4E2F"/>
    <w:rsid w:val="50AC2418"/>
    <w:rsid w:val="50B421A0"/>
    <w:rsid w:val="50B70FED"/>
    <w:rsid w:val="50BA643F"/>
    <w:rsid w:val="50BB3BF2"/>
    <w:rsid w:val="50DA2205"/>
    <w:rsid w:val="50E57F59"/>
    <w:rsid w:val="50FC41E2"/>
    <w:rsid w:val="510319B4"/>
    <w:rsid w:val="510A4E7D"/>
    <w:rsid w:val="51187091"/>
    <w:rsid w:val="51217565"/>
    <w:rsid w:val="51243E9A"/>
    <w:rsid w:val="5129079D"/>
    <w:rsid w:val="512D5787"/>
    <w:rsid w:val="513B4CBD"/>
    <w:rsid w:val="513F2A79"/>
    <w:rsid w:val="514E5DF0"/>
    <w:rsid w:val="51505C49"/>
    <w:rsid w:val="515F5E7D"/>
    <w:rsid w:val="51621B03"/>
    <w:rsid w:val="51736010"/>
    <w:rsid w:val="518140E8"/>
    <w:rsid w:val="518961AE"/>
    <w:rsid w:val="518B0D8B"/>
    <w:rsid w:val="51905BB3"/>
    <w:rsid w:val="519E4C2D"/>
    <w:rsid w:val="51A15787"/>
    <w:rsid w:val="51A23180"/>
    <w:rsid w:val="51B12C2B"/>
    <w:rsid w:val="51B625E5"/>
    <w:rsid w:val="51BB3190"/>
    <w:rsid w:val="51C31AB3"/>
    <w:rsid w:val="51C50057"/>
    <w:rsid w:val="51CA6470"/>
    <w:rsid w:val="51D221A2"/>
    <w:rsid w:val="51DC7D4F"/>
    <w:rsid w:val="51E372D3"/>
    <w:rsid w:val="51E952C3"/>
    <w:rsid w:val="51F763C2"/>
    <w:rsid w:val="520B29B2"/>
    <w:rsid w:val="52165ED6"/>
    <w:rsid w:val="52170D68"/>
    <w:rsid w:val="521832FA"/>
    <w:rsid w:val="521B5CF1"/>
    <w:rsid w:val="521E330E"/>
    <w:rsid w:val="521F5AD2"/>
    <w:rsid w:val="52210969"/>
    <w:rsid w:val="52250331"/>
    <w:rsid w:val="52251937"/>
    <w:rsid w:val="522D32DC"/>
    <w:rsid w:val="522E032A"/>
    <w:rsid w:val="522E48FA"/>
    <w:rsid w:val="52436B21"/>
    <w:rsid w:val="52476CBE"/>
    <w:rsid w:val="52541687"/>
    <w:rsid w:val="525808AD"/>
    <w:rsid w:val="52606B21"/>
    <w:rsid w:val="526142ED"/>
    <w:rsid w:val="52675267"/>
    <w:rsid w:val="526A42D2"/>
    <w:rsid w:val="527456A0"/>
    <w:rsid w:val="52775B19"/>
    <w:rsid w:val="52843367"/>
    <w:rsid w:val="528F6528"/>
    <w:rsid w:val="5294173C"/>
    <w:rsid w:val="52A573D4"/>
    <w:rsid w:val="52AE3C1C"/>
    <w:rsid w:val="52B15A0B"/>
    <w:rsid w:val="52B277B6"/>
    <w:rsid w:val="52B539F6"/>
    <w:rsid w:val="52B87EDF"/>
    <w:rsid w:val="52C2744F"/>
    <w:rsid w:val="52CF2A7E"/>
    <w:rsid w:val="52D52D8A"/>
    <w:rsid w:val="52D70C29"/>
    <w:rsid w:val="52E07E6E"/>
    <w:rsid w:val="52E2403D"/>
    <w:rsid w:val="52E87FC9"/>
    <w:rsid w:val="52EA3010"/>
    <w:rsid w:val="52EE6354"/>
    <w:rsid w:val="53035F10"/>
    <w:rsid w:val="530445BC"/>
    <w:rsid w:val="53073E74"/>
    <w:rsid w:val="53184746"/>
    <w:rsid w:val="531972CB"/>
    <w:rsid w:val="53227F73"/>
    <w:rsid w:val="532342A1"/>
    <w:rsid w:val="532E4AC7"/>
    <w:rsid w:val="533E55DF"/>
    <w:rsid w:val="53703765"/>
    <w:rsid w:val="5376095E"/>
    <w:rsid w:val="537A04E8"/>
    <w:rsid w:val="53874180"/>
    <w:rsid w:val="53991F46"/>
    <w:rsid w:val="53A430C7"/>
    <w:rsid w:val="53B71A0D"/>
    <w:rsid w:val="53BA49C0"/>
    <w:rsid w:val="53C92C10"/>
    <w:rsid w:val="53CF606A"/>
    <w:rsid w:val="53D111B0"/>
    <w:rsid w:val="53D73576"/>
    <w:rsid w:val="53E153FF"/>
    <w:rsid w:val="53E35749"/>
    <w:rsid w:val="53EB4289"/>
    <w:rsid w:val="53FE5A9E"/>
    <w:rsid w:val="54257FE2"/>
    <w:rsid w:val="5428581F"/>
    <w:rsid w:val="542B47E5"/>
    <w:rsid w:val="542F4AEA"/>
    <w:rsid w:val="54451C08"/>
    <w:rsid w:val="5450152B"/>
    <w:rsid w:val="545412A1"/>
    <w:rsid w:val="54591BCD"/>
    <w:rsid w:val="546936FE"/>
    <w:rsid w:val="546A602B"/>
    <w:rsid w:val="547034CA"/>
    <w:rsid w:val="547801F9"/>
    <w:rsid w:val="54967702"/>
    <w:rsid w:val="54B14984"/>
    <w:rsid w:val="54B34E33"/>
    <w:rsid w:val="54C51C65"/>
    <w:rsid w:val="54C766D3"/>
    <w:rsid w:val="54E32310"/>
    <w:rsid w:val="54E35B83"/>
    <w:rsid w:val="54E5570D"/>
    <w:rsid w:val="54E656A9"/>
    <w:rsid w:val="54E85406"/>
    <w:rsid w:val="54EC4476"/>
    <w:rsid w:val="54EE4DEC"/>
    <w:rsid w:val="54F93AE7"/>
    <w:rsid w:val="54F97DEB"/>
    <w:rsid w:val="55012EF3"/>
    <w:rsid w:val="55022588"/>
    <w:rsid w:val="550D4E7F"/>
    <w:rsid w:val="551B3ADB"/>
    <w:rsid w:val="55252910"/>
    <w:rsid w:val="552677BE"/>
    <w:rsid w:val="55313992"/>
    <w:rsid w:val="553772EA"/>
    <w:rsid w:val="553A6D2E"/>
    <w:rsid w:val="5546635B"/>
    <w:rsid w:val="55507B46"/>
    <w:rsid w:val="55534568"/>
    <w:rsid w:val="555A0EDC"/>
    <w:rsid w:val="55677E49"/>
    <w:rsid w:val="55692EAC"/>
    <w:rsid w:val="55714147"/>
    <w:rsid w:val="557C5B0B"/>
    <w:rsid w:val="55861EC8"/>
    <w:rsid w:val="5588140B"/>
    <w:rsid w:val="55891D85"/>
    <w:rsid w:val="55A57957"/>
    <w:rsid w:val="55AA469C"/>
    <w:rsid w:val="55BC12E8"/>
    <w:rsid w:val="55BD3120"/>
    <w:rsid w:val="55BF56EA"/>
    <w:rsid w:val="55C103AC"/>
    <w:rsid w:val="55C423B5"/>
    <w:rsid w:val="55C6074D"/>
    <w:rsid w:val="55C835B5"/>
    <w:rsid w:val="55C86079"/>
    <w:rsid w:val="55EE6E58"/>
    <w:rsid w:val="55F2238E"/>
    <w:rsid w:val="55F24132"/>
    <w:rsid w:val="55FB05FF"/>
    <w:rsid w:val="55FC794D"/>
    <w:rsid w:val="56012A7B"/>
    <w:rsid w:val="56172C84"/>
    <w:rsid w:val="562219AC"/>
    <w:rsid w:val="562B59B0"/>
    <w:rsid w:val="56387876"/>
    <w:rsid w:val="56391384"/>
    <w:rsid w:val="565907FF"/>
    <w:rsid w:val="565D6940"/>
    <w:rsid w:val="566101A8"/>
    <w:rsid w:val="56666AC5"/>
    <w:rsid w:val="56701442"/>
    <w:rsid w:val="56793306"/>
    <w:rsid w:val="56797C74"/>
    <w:rsid w:val="568116C5"/>
    <w:rsid w:val="568F0B4D"/>
    <w:rsid w:val="56927F4A"/>
    <w:rsid w:val="569C03A7"/>
    <w:rsid w:val="56A304C3"/>
    <w:rsid w:val="56B44FF7"/>
    <w:rsid w:val="56B76AF7"/>
    <w:rsid w:val="56BA0EDB"/>
    <w:rsid w:val="56BA5BFC"/>
    <w:rsid w:val="56D60D34"/>
    <w:rsid w:val="56DA1A1C"/>
    <w:rsid w:val="56E90EF6"/>
    <w:rsid w:val="56F50794"/>
    <w:rsid w:val="56F82259"/>
    <w:rsid w:val="56FC12BF"/>
    <w:rsid w:val="57103E85"/>
    <w:rsid w:val="5724356E"/>
    <w:rsid w:val="576019A8"/>
    <w:rsid w:val="576E1A2E"/>
    <w:rsid w:val="576F00D0"/>
    <w:rsid w:val="57780B15"/>
    <w:rsid w:val="577C7921"/>
    <w:rsid w:val="578130EB"/>
    <w:rsid w:val="5781472D"/>
    <w:rsid w:val="57842581"/>
    <w:rsid w:val="57860B1C"/>
    <w:rsid w:val="579016BB"/>
    <w:rsid w:val="579131AA"/>
    <w:rsid w:val="57961B8E"/>
    <w:rsid w:val="579A34FF"/>
    <w:rsid w:val="57A05D52"/>
    <w:rsid w:val="57A65B21"/>
    <w:rsid w:val="57A93B1C"/>
    <w:rsid w:val="57AC71EF"/>
    <w:rsid w:val="57B30CCB"/>
    <w:rsid w:val="57B82FE8"/>
    <w:rsid w:val="57BA183B"/>
    <w:rsid w:val="57BC21E8"/>
    <w:rsid w:val="57C64CE3"/>
    <w:rsid w:val="57CF1AC2"/>
    <w:rsid w:val="57CF411E"/>
    <w:rsid w:val="57CF6469"/>
    <w:rsid w:val="57E359C9"/>
    <w:rsid w:val="57F75230"/>
    <w:rsid w:val="57FA5E75"/>
    <w:rsid w:val="58000E35"/>
    <w:rsid w:val="58222E9F"/>
    <w:rsid w:val="582D3231"/>
    <w:rsid w:val="58316A55"/>
    <w:rsid w:val="58345C47"/>
    <w:rsid w:val="583F3207"/>
    <w:rsid w:val="58452DB9"/>
    <w:rsid w:val="5846017C"/>
    <w:rsid w:val="58484E27"/>
    <w:rsid w:val="58525C17"/>
    <w:rsid w:val="58592455"/>
    <w:rsid w:val="586815ED"/>
    <w:rsid w:val="586B3009"/>
    <w:rsid w:val="58775EED"/>
    <w:rsid w:val="58790B5B"/>
    <w:rsid w:val="588D7FDD"/>
    <w:rsid w:val="58924ECC"/>
    <w:rsid w:val="5895256C"/>
    <w:rsid w:val="58965AA7"/>
    <w:rsid w:val="589D4D39"/>
    <w:rsid w:val="58A34E0C"/>
    <w:rsid w:val="58AE31F5"/>
    <w:rsid w:val="58B60FB7"/>
    <w:rsid w:val="58BD1D42"/>
    <w:rsid w:val="58C04526"/>
    <w:rsid w:val="58C15643"/>
    <w:rsid w:val="58DE296B"/>
    <w:rsid w:val="58E05B85"/>
    <w:rsid w:val="58F141D6"/>
    <w:rsid w:val="58F9654F"/>
    <w:rsid w:val="58F979E8"/>
    <w:rsid w:val="58FB6C25"/>
    <w:rsid w:val="58FE08ED"/>
    <w:rsid w:val="59061DAE"/>
    <w:rsid w:val="5914669F"/>
    <w:rsid w:val="591557DB"/>
    <w:rsid w:val="591A5C30"/>
    <w:rsid w:val="591C4B79"/>
    <w:rsid w:val="59371CA9"/>
    <w:rsid w:val="593C5853"/>
    <w:rsid w:val="593E005D"/>
    <w:rsid w:val="5940158A"/>
    <w:rsid w:val="594606CC"/>
    <w:rsid w:val="594B69EE"/>
    <w:rsid w:val="594B6D49"/>
    <w:rsid w:val="59697600"/>
    <w:rsid w:val="596C25D4"/>
    <w:rsid w:val="597028E6"/>
    <w:rsid w:val="597D38D7"/>
    <w:rsid w:val="59935094"/>
    <w:rsid w:val="5995496F"/>
    <w:rsid w:val="59A62A34"/>
    <w:rsid w:val="59AB1748"/>
    <w:rsid w:val="59B159CB"/>
    <w:rsid w:val="59B51848"/>
    <w:rsid w:val="59BC67AC"/>
    <w:rsid w:val="59C03938"/>
    <w:rsid w:val="59C811F1"/>
    <w:rsid w:val="59C83D69"/>
    <w:rsid w:val="59CB01B4"/>
    <w:rsid w:val="59CF1C3E"/>
    <w:rsid w:val="59D87B36"/>
    <w:rsid w:val="59E57113"/>
    <w:rsid w:val="59E91981"/>
    <w:rsid w:val="59F14E63"/>
    <w:rsid w:val="59F22823"/>
    <w:rsid w:val="59F42704"/>
    <w:rsid w:val="59FD1C88"/>
    <w:rsid w:val="5A0020BE"/>
    <w:rsid w:val="5A02215A"/>
    <w:rsid w:val="5A0823EC"/>
    <w:rsid w:val="5A0B4999"/>
    <w:rsid w:val="5A1219E8"/>
    <w:rsid w:val="5A1601E1"/>
    <w:rsid w:val="5A1A2003"/>
    <w:rsid w:val="5A2534E2"/>
    <w:rsid w:val="5A272110"/>
    <w:rsid w:val="5A2F52ED"/>
    <w:rsid w:val="5A307C26"/>
    <w:rsid w:val="5A341010"/>
    <w:rsid w:val="5A3A1517"/>
    <w:rsid w:val="5A4D351E"/>
    <w:rsid w:val="5A507300"/>
    <w:rsid w:val="5A51154D"/>
    <w:rsid w:val="5A523957"/>
    <w:rsid w:val="5A532CC8"/>
    <w:rsid w:val="5A612789"/>
    <w:rsid w:val="5A6543C4"/>
    <w:rsid w:val="5A6E205B"/>
    <w:rsid w:val="5A7B2C70"/>
    <w:rsid w:val="5A7C2218"/>
    <w:rsid w:val="5A7C5822"/>
    <w:rsid w:val="5A847FE5"/>
    <w:rsid w:val="5A9B3B8F"/>
    <w:rsid w:val="5A9E6004"/>
    <w:rsid w:val="5AAB402B"/>
    <w:rsid w:val="5AAF46FD"/>
    <w:rsid w:val="5AB136F9"/>
    <w:rsid w:val="5ABE401A"/>
    <w:rsid w:val="5AC526EE"/>
    <w:rsid w:val="5AD45224"/>
    <w:rsid w:val="5ADC6365"/>
    <w:rsid w:val="5B0A16D4"/>
    <w:rsid w:val="5B0B0FE2"/>
    <w:rsid w:val="5B1029A0"/>
    <w:rsid w:val="5B104A3D"/>
    <w:rsid w:val="5B18258F"/>
    <w:rsid w:val="5B28216A"/>
    <w:rsid w:val="5B2B1ACA"/>
    <w:rsid w:val="5B33397C"/>
    <w:rsid w:val="5B356E68"/>
    <w:rsid w:val="5B3E7A59"/>
    <w:rsid w:val="5B43203B"/>
    <w:rsid w:val="5B4E4DA1"/>
    <w:rsid w:val="5B5335BE"/>
    <w:rsid w:val="5B6A6045"/>
    <w:rsid w:val="5B6C39BD"/>
    <w:rsid w:val="5B7B1E82"/>
    <w:rsid w:val="5B944D80"/>
    <w:rsid w:val="5B9509FD"/>
    <w:rsid w:val="5BAB4BEE"/>
    <w:rsid w:val="5BAB63E4"/>
    <w:rsid w:val="5BB47B97"/>
    <w:rsid w:val="5BB81EEF"/>
    <w:rsid w:val="5BC23198"/>
    <w:rsid w:val="5BC52C1C"/>
    <w:rsid w:val="5BCE2157"/>
    <w:rsid w:val="5BD2376F"/>
    <w:rsid w:val="5BEA66B7"/>
    <w:rsid w:val="5BEB4DCC"/>
    <w:rsid w:val="5BF9391C"/>
    <w:rsid w:val="5C0042AF"/>
    <w:rsid w:val="5C021D5C"/>
    <w:rsid w:val="5C097E8B"/>
    <w:rsid w:val="5C0E448E"/>
    <w:rsid w:val="5C116FBD"/>
    <w:rsid w:val="5C18254C"/>
    <w:rsid w:val="5C1B2C25"/>
    <w:rsid w:val="5C1E0099"/>
    <w:rsid w:val="5C24204D"/>
    <w:rsid w:val="5C261AD7"/>
    <w:rsid w:val="5C2A4D2E"/>
    <w:rsid w:val="5C2E032C"/>
    <w:rsid w:val="5C317C76"/>
    <w:rsid w:val="5C35045C"/>
    <w:rsid w:val="5C3C5668"/>
    <w:rsid w:val="5C3C56AD"/>
    <w:rsid w:val="5C3D32DD"/>
    <w:rsid w:val="5C404666"/>
    <w:rsid w:val="5C422461"/>
    <w:rsid w:val="5C48686D"/>
    <w:rsid w:val="5C4F52A1"/>
    <w:rsid w:val="5C4F75E7"/>
    <w:rsid w:val="5C50319B"/>
    <w:rsid w:val="5C520197"/>
    <w:rsid w:val="5C5371DE"/>
    <w:rsid w:val="5C5F094C"/>
    <w:rsid w:val="5C603564"/>
    <w:rsid w:val="5C633837"/>
    <w:rsid w:val="5C6B674F"/>
    <w:rsid w:val="5C6F57DC"/>
    <w:rsid w:val="5C7E0DF8"/>
    <w:rsid w:val="5C7E39D8"/>
    <w:rsid w:val="5C8A31FF"/>
    <w:rsid w:val="5C9F55AA"/>
    <w:rsid w:val="5CA474D4"/>
    <w:rsid w:val="5CA84AC1"/>
    <w:rsid w:val="5CAC4293"/>
    <w:rsid w:val="5CB64B19"/>
    <w:rsid w:val="5CC22998"/>
    <w:rsid w:val="5CC22ED2"/>
    <w:rsid w:val="5CC5766D"/>
    <w:rsid w:val="5CC829D4"/>
    <w:rsid w:val="5CD22245"/>
    <w:rsid w:val="5CD612EC"/>
    <w:rsid w:val="5CD620EF"/>
    <w:rsid w:val="5CD63CB1"/>
    <w:rsid w:val="5CE00BB1"/>
    <w:rsid w:val="5CE76E4E"/>
    <w:rsid w:val="5CE97CE3"/>
    <w:rsid w:val="5CF06B97"/>
    <w:rsid w:val="5CF85D55"/>
    <w:rsid w:val="5CFF2C7D"/>
    <w:rsid w:val="5D042519"/>
    <w:rsid w:val="5D10070C"/>
    <w:rsid w:val="5D1077A1"/>
    <w:rsid w:val="5D193562"/>
    <w:rsid w:val="5D232DD8"/>
    <w:rsid w:val="5D2360DD"/>
    <w:rsid w:val="5D360039"/>
    <w:rsid w:val="5D3A22F4"/>
    <w:rsid w:val="5D3D681F"/>
    <w:rsid w:val="5D421B63"/>
    <w:rsid w:val="5D467576"/>
    <w:rsid w:val="5D4B2525"/>
    <w:rsid w:val="5D543240"/>
    <w:rsid w:val="5D5434CB"/>
    <w:rsid w:val="5D5A25C6"/>
    <w:rsid w:val="5D645AF7"/>
    <w:rsid w:val="5D697151"/>
    <w:rsid w:val="5D7070A0"/>
    <w:rsid w:val="5D7B2BAE"/>
    <w:rsid w:val="5D7E1024"/>
    <w:rsid w:val="5D893541"/>
    <w:rsid w:val="5D8C28B4"/>
    <w:rsid w:val="5D9832F3"/>
    <w:rsid w:val="5D9934EC"/>
    <w:rsid w:val="5D9C1E54"/>
    <w:rsid w:val="5DAB1E9E"/>
    <w:rsid w:val="5DB53FF3"/>
    <w:rsid w:val="5DB61233"/>
    <w:rsid w:val="5DBC3F54"/>
    <w:rsid w:val="5DCA57DD"/>
    <w:rsid w:val="5DD7086F"/>
    <w:rsid w:val="5DD74A14"/>
    <w:rsid w:val="5DDC2477"/>
    <w:rsid w:val="5DF11D42"/>
    <w:rsid w:val="5DFA2E17"/>
    <w:rsid w:val="5DFB0C01"/>
    <w:rsid w:val="5DFF5CE4"/>
    <w:rsid w:val="5E006537"/>
    <w:rsid w:val="5E07194F"/>
    <w:rsid w:val="5E2374D1"/>
    <w:rsid w:val="5E401AFE"/>
    <w:rsid w:val="5E454E01"/>
    <w:rsid w:val="5E48173C"/>
    <w:rsid w:val="5E490493"/>
    <w:rsid w:val="5E4D4054"/>
    <w:rsid w:val="5E4F4CEC"/>
    <w:rsid w:val="5E517BBA"/>
    <w:rsid w:val="5E521705"/>
    <w:rsid w:val="5E656142"/>
    <w:rsid w:val="5E680B19"/>
    <w:rsid w:val="5E7334F8"/>
    <w:rsid w:val="5E7805FF"/>
    <w:rsid w:val="5E7859D6"/>
    <w:rsid w:val="5E842B6A"/>
    <w:rsid w:val="5E875A07"/>
    <w:rsid w:val="5E8C1E30"/>
    <w:rsid w:val="5E911FAC"/>
    <w:rsid w:val="5E92137B"/>
    <w:rsid w:val="5E9373FC"/>
    <w:rsid w:val="5EA0167A"/>
    <w:rsid w:val="5EA67DEF"/>
    <w:rsid w:val="5EAA11B3"/>
    <w:rsid w:val="5EB72052"/>
    <w:rsid w:val="5EB95510"/>
    <w:rsid w:val="5EC57A3D"/>
    <w:rsid w:val="5ECB275F"/>
    <w:rsid w:val="5ECE2836"/>
    <w:rsid w:val="5EDB5813"/>
    <w:rsid w:val="5EEC409E"/>
    <w:rsid w:val="5EF2448C"/>
    <w:rsid w:val="5EF442F3"/>
    <w:rsid w:val="5F3A21FA"/>
    <w:rsid w:val="5F490636"/>
    <w:rsid w:val="5F4A6244"/>
    <w:rsid w:val="5F7D5743"/>
    <w:rsid w:val="5F810563"/>
    <w:rsid w:val="5F902061"/>
    <w:rsid w:val="5F91364B"/>
    <w:rsid w:val="5F942C15"/>
    <w:rsid w:val="5F983E67"/>
    <w:rsid w:val="5FA57B43"/>
    <w:rsid w:val="5FB560BB"/>
    <w:rsid w:val="5FB62CD8"/>
    <w:rsid w:val="5FC20790"/>
    <w:rsid w:val="5FC91DE9"/>
    <w:rsid w:val="5FCE57F6"/>
    <w:rsid w:val="5FD820A7"/>
    <w:rsid w:val="5FDF0C33"/>
    <w:rsid w:val="5FE25D83"/>
    <w:rsid w:val="5FEC3C05"/>
    <w:rsid w:val="5FF020A1"/>
    <w:rsid w:val="5FFC5DE4"/>
    <w:rsid w:val="60195F65"/>
    <w:rsid w:val="60200E33"/>
    <w:rsid w:val="6023016C"/>
    <w:rsid w:val="602924AC"/>
    <w:rsid w:val="602B5AAA"/>
    <w:rsid w:val="60334B2A"/>
    <w:rsid w:val="603E7B8A"/>
    <w:rsid w:val="60420933"/>
    <w:rsid w:val="60547AB6"/>
    <w:rsid w:val="6056292C"/>
    <w:rsid w:val="6063156C"/>
    <w:rsid w:val="606502AC"/>
    <w:rsid w:val="60660D11"/>
    <w:rsid w:val="606611B7"/>
    <w:rsid w:val="60687B01"/>
    <w:rsid w:val="606D5453"/>
    <w:rsid w:val="607044B9"/>
    <w:rsid w:val="60760530"/>
    <w:rsid w:val="6078579C"/>
    <w:rsid w:val="608159C3"/>
    <w:rsid w:val="60904724"/>
    <w:rsid w:val="60924935"/>
    <w:rsid w:val="60934023"/>
    <w:rsid w:val="60947BEA"/>
    <w:rsid w:val="609B6315"/>
    <w:rsid w:val="60AC169F"/>
    <w:rsid w:val="60AF0E29"/>
    <w:rsid w:val="60B43DFD"/>
    <w:rsid w:val="60B55179"/>
    <w:rsid w:val="60BF5745"/>
    <w:rsid w:val="60C3105F"/>
    <w:rsid w:val="60C47684"/>
    <w:rsid w:val="60C90EA4"/>
    <w:rsid w:val="60CA2396"/>
    <w:rsid w:val="60CF0514"/>
    <w:rsid w:val="60D07484"/>
    <w:rsid w:val="60D10C0F"/>
    <w:rsid w:val="60D3569F"/>
    <w:rsid w:val="60D4537B"/>
    <w:rsid w:val="60E02B8F"/>
    <w:rsid w:val="60E92E1A"/>
    <w:rsid w:val="60ED6BA8"/>
    <w:rsid w:val="60F37DA9"/>
    <w:rsid w:val="60FA110C"/>
    <w:rsid w:val="60FA46E4"/>
    <w:rsid w:val="60FD3753"/>
    <w:rsid w:val="60FE00AF"/>
    <w:rsid w:val="60FE35D0"/>
    <w:rsid w:val="6101046D"/>
    <w:rsid w:val="61047EF9"/>
    <w:rsid w:val="61064296"/>
    <w:rsid w:val="610864CC"/>
    <w:rsid w:val="610958BB"/>
    <w:rsid w:val="611558FC"/>
    <w:rsid w:val="61164EEF"/>
    <w:rsid w:val="61176A85"/>
    <w:rsid w:val="611A697F"/>
    <w:rsid w:val="61206479"/>
    <w:rsid w:val="612143A4"/>
    <w:rsid w:val="61221695"/>
    <w:rsid w:val="6124184C"/>
    <w:rsid w:val="61254671"/>
    <w:rsid w:val="612E3337"/>
    <w:rsid w:val="61446F92"/>
    <w:rsid w:val="61465E1A"/>
    <w:rsid w:val="614B5BCE"/>
    <w:rsid w:val="614D1495"/>
    <w:rsid w:val="614D2B5A"/>
    <w:rsid w:val="6155426A"/>
    <w:rsid w:val="615755AF"/>
    <w:rsid w:val="615D6475"/>
    <w:rsid w:val="616C2054"/>
    <w:rsid w:val="616E3976"/>
    <w:rsid w:val="617D0D60"/>
    <w:rsid w:val="618563BE"/>
    <w:rsid w:val="61867017"/>
    <w:rsid w:val="618E1E6E"/>
    <w:rsid w:val="618F22FB"/>
    <w:rsid w:val="61B15149"/>
    <w:rsid w:val="61B16AF8"/>
    <w:rsid w:val="61B71C73"/>
    <w:rsid w:val="61C56900"/>
    <w:rsid w:val="61C73EC2"/>
    <w:rsid w:val="61D9528D"/>
    <w:rsid w:val="61DA6BBA"/>
    <w:rsid w:val="61E51E0F"/>
    <w:rsid w:val="61E852C9"/>
    <w:rsid w:val="61EE26FB"/>
    <w:rsid w:val="61EE28BD"/>
    <w:rsid w:val="61F0115C"/>
    <w:rsid w:val="6203062B"/>
    <w:rsid w:val="62070260"/>
    <w:rsid w:val="6222428F"/>
    <w:rsid w:val="623328EA"/>
    <w:rsid w:val="62390C34"/>
    <w:rsid w:val="6239162C"/>
    <w:rsid w:val="623D4624"/>
    <w:rsid w:val="623D5E3F"/>
    <w:rsid w:val="6241252A"/>
    <w:rsid w:val="62464E95"/>
    <w:rsid w:val="62475095"/>
    <w:rsid w:val="625377EA"/>
    <w:rsid w:val="625D49CE"/>
    <w:rsid w:val="6260455B"/>
    <w:rsid w:val="626114D6"/>
    <w:rsid w:val="627B3A31"/>
    <w:rsid w:val="627C049D"/>
    <w:rsid w:val="627E327C"/>
    <w:rsid w:val="628E6DF2"/>
    <w:rsid w:val="62971DFA"/>
    <w:rsid w:val="629963D8"/>
    <w:rsid w:val="62B3642B"/>
    <w:rsid w:val="62B91CB2"/>
    <w:rsid w:val="62E05F11"/>
    <w:rsid w:val="62F00E21"/>
    <w:rsid w:val="62F06C0E"/>
    <w:rsid w:val="62F571B6"/>
    <w:rsid w:val="62F91A8D"/>
    <w:rsid w:val="62FA0118"/>
    <w:rsid w:val="62FB5ADF"/>
    <w:rsid w:val="63016DD9"/>
    <w:rsid w:val="630B0513"/>
    <w:rsid w:val="630D5FB3"/>
    <w:rsid w:val="631D12C4"/>
    <w:rsid w:val="632F0EFF"/>
    <w:rsid w:val="633159CB"/>
    <w:rsid w:val="6332638D"/>
    <w:rsid w:val="633B2B0B"/>
    <w:rsid w:val="633E36D1"/>
    <w:rsid w:val="6343466C"/>
    <w:rsid w:val="634A145E"/>
    <w:rsid w:val="634E753F"/>
    <w:rsid w:val="63607ED4"/>
    <w:rsid w:val="636469BD"/>
    <w:rsid w:val="63680FAB"/>
    <w:rsid w:val="636A3942"/>
    <w:rsid w:val="636B5C5F"/>
    <w:rsid w:val="63716369"/>
    <w:rsid w:val="63767EE6"/>
    <w:rsid w:val="637919F5"/>
    <w:rsid w:val="637A710D"/>
    <w:rsid w:val="637D2E4D"/>
    <w:rsid w:val="63802ACC"/>
    <w:rsid w:val="6388225F"/>
    <w:rsid w:val="63B253E1"/>
    <w:rsid w:val="63B601D2"/>
    <w:rsid w:val="63D86821"/>
    <w:rsid w:val="63D8720B"/>
    <w:rsid w:val="63E02D15"/>
    <w:rsid w:val="63E0457C"/>
    <w:rsid w:val="63E25AFD"/>
    <w:rsid w:val="63F03B38"/>
    <w:rsid w:val="63F731A5"/>
    <w:rsid w:val="63FC766C"/>
    <w:rsid w:val="63FE2454"/>
    <w:rsid w:val="64022F76"/>
    <w:rsid w:val="64084173"/>
    <w:rsid w:val="641269AD"/>
    <w:rsid w:val="641C56F8"/>
    <w:rsid w:val="64231408"/>
    <w:rsid w:val="642D6074"/>
    <w:rsid w:val="643A7824"/>
    <w:rsid w:val="64553AA4"/>
    <w:rsid w:val="64564ED9"/>
    <w:rsid w:val="645A5737"/>
    <w:rsid w:val="64603768"/>
    <w:rsid w:val="6467123E"/>
    <w:rsid w:val="64706790"/>
    <w:rsid w:val="64724898"/>
    <w:rsid w:val="647C3BBA"/>
    <w:rsid w:val="64805997"/>
    <w:rsid w:val="64823A3A"/>
    <w:rsid w:val="64855B2D"/>
    <w:rsid w:val="64867427"/>
    <w:rsid w:val="648976FB"/>
    <w:rsid w:val="648A2250"/>
    <w:rsid w:val="648B1491"/>
    <w:rsid w:val="648E1573"/>
    <w:rsid w:val="649A52C8"/>
    <w:rsid w:val="64B0747D"/>
    <w:rsid w:val="64B6071F"/>
    <w:rsid w:val="64BE2F18"/>
    <w:rsid w:val="64C03551"/>
    <w:rsid w:val="64C6530B"/>
    <w:rsid w:val="64D9451E"/>
    <w:rsid w:val="64DB77D5"/>
    <w:rsid w:val="64F31974"/>
    <w:rsid w:val="64FA5C63"/>
    <w:rsid w:val="6532464B"/>
    <w:rsid w:val="653A34E5"/>
    <w:rsid w:val="653C6B1D"/>
    <w:rsid w:val="65433415"/>
    <w:rsid w:val="65463750"/>
    <w:rsid w:val="654E3228"/>
    <w:rsid w:val="65537C6B"/>
    <w:rsid w:val="655C685E"/>
    <w:rsid w:val="656160AB"/>
    <w:rsid w:val="65622086"/>
    <w:rsid w:val="65644A63"/>
    <w:rsid w:val="656E3321"/>
    <w:rsid w:val="65757B8D"/>
    <w:rsid w:val="65764BA6"/>
    <w:rsid w:val="658E776E"/>
    <w:rsid w:val="65907AC2"/>
    <w:rsid w:val="65A62A91"/>
    <w:rsid w:val="65A8734A"/>
    <w:rsid w:val="65A9185C"/>
    <w:rsid w:val="65AB43EF"/>
    <w:rsid w:val="65B430CC"/>
    <w:rsid w:val="65CC6A3A"/>
    <w:rsid w:val="65D62AA7"/>
    <w:rsid w:val="65DB0A99"/>
    <w:rsid w:val="65E919BF"/>
    <w:rsid w:val="65ED7EEF"/>
    <w:rsid w:val="65F46CFC"/>
    <w:rsid w:val="65F73BB4"/>
    <w:rsid w:val="660658FA"/>
    <w:rsid w:val="660B1805"/>
    <w:rsid w:val="660C035C"/>
    <w:rsid w:val="66190E3D"/>
    <w:rsid w:val="661C061C"/>
    <w:rsid w:val="6628673A"/>
    <w:rsid w:val="66300C32"/>
    <w:rsid w:val="6639596A"/>
    <w:rsid w:val="6644369D"/>
    <w:rsid w:val="66513A8B"/>
    <w:rsid w:val="66515333"/>
    <w:rsid w:val="66543F3A"/>
    <w:rsid w:val="6654755D"/>
    <w:rsid w:val="66554EFA"/>
    <w:rsid w:val="66706DA7"/>
    <w:rsid w:val="66715E7B"/>
    <w:rsid w:val="66741783"/>
    <w:rsid w:val="66847504"/>
    <w:rsid w:val="66870478"/>
    <w:rsid w:val="66892842"/>
    <w:rsid w:val="66917990"/>
    <w:rsid w:val="66941DAA"/>
    <w:rsid w:val="66972F96"/>
    <w:rsid w:val="66976DD4"/>
    <w:rsid w:val="669A7003"/>
    <w:rsid w:val="66A54376"/>
    <w:rsid w:val="66AD05F5"/>
    <w:rsid w:val="66AD1818"/>
    <w:rsid w:val="66AD4A88"/>
    <w:rsid w:val="66B4636B"/>
    <w:rsid w:val="66C2655F"/>
    <w:rsid w:val="66D01D1D"/>
    <w:rsid w:val="66D20F68"/>
    <w:rsid w:val="66D6103F"/>
    <w:rsid w:val="66DC2051"/>
    <w:rsid w:val="66E77E06"/>
    <w:rsid w:val="66F861FA"/>
    <w:rsid w:val="670027A0"/>
    <w:rsid w:val="67037752"/>
    <w:rsid w:val="67050D51"/>
    <w:rsid w:val="670E178E"/>
    <w:rsid w:val="6717419C"/>
    <w:rsid w:val="67212735"/>
    <w:rsid w:val="6722663E"/>
    <w:rsid w:val="672D4F87"/>
    <w:rsid w:val="673611CB"/>
    <w:rsid w:val="674A450B"/>
    <w:rsid w:val="674B4E59"/>
    <w:rsid w:val="675005EC"/>
    <w:rsid w:val="675E366D"/>
    <w:rsid w:val="67635837"/>
    <w:rsid w:val="67690F3D"/>
    <w:rsid w:val="676B3A7C"/>
    <w:rsid w:val="676D52AA"/>
    <w:rsid w:val="677011BD"/>
    <w:rsid w:val="6770452E"/>
    <w:rsid w:val="67750EBE"/>
    <w:rsid w:val="67816012"/>
    <w:rsid w:val="67842D1C"/>
    <w:rsid w:val="678C278B"/>
    <w:rsid w:val="67991948"/>
    <w:rsid w:val="67A850E1"/>
    <w:rsid w:val="67AB3E74"/>
    <w:rsid w:val="67B02A54"/>
    <w:rsid w:val="67B0438B"/>
    <w:rsid w:val="67B71656"/>
    <w:rsid w:val="67B723B3"/>
    <w:rsid w:val="67B743E8"/>
    <w:rsid w:val="67BD4993"/>
    <w:rsid w:val="67C95416"/>
    <w:rsid w:val="67D74048"/>
    <w:rsid w:val="67DF360D"/>
    <w:rsid w:val="67E041E2"/>
    <w:rsid w:val="67E51F56"/>
    <w:rsid w:val="6802359C"/>
    <w:rsid w:val="68081463"/>
    <w:rsid w:val="680A257F"/>
    <w:rsid w:val="680E50C8"/>
    <w:rsid w:val="681541C3"/>
    <w:rsid w:val="681674DF"/>
    <w:rsid w:val="68373462"/>
    <w:rsid w:val="68447B3B"/>
    <w:rsid w:val="685C0FCA"/>
    <w:rsid w:val="68650F7D"/>
    <w:rsid w:val="68655BE3"/>
    <w:rsid w:val="686926D4"/>
    <w:rsid w:val="68774A50"/>
    <w:rsid w:val="68784EDA"/>
    <w:rsid w:val="687A62EB"/>
    <w:rsid w:val="687B4F8F"/>
    <w:rsid w:val="688C0135"/>
    <w:rsid w:val="688D57D8"/>
    <w:rsid w:val="6892047F"/>
    <w:rsid w:val="6897438E"/>
    <w:rsid w:val="68A27905"/>
    <w:rsid w:val="68A550D0"/>
    <w:rsid w:val="68A57A2E"/>
    <w:rsid w:val="68A7533D"/>
    <w:rsid w:val="68BD6779"/>
    <w:rsid w:val="68C02111"/>
    <w:rsid w:val="68CE3102"/>
    <w:rsid w:val="68D015E0"/>
    <w:rsid w:val="68D33B58"/>
    <w:rsid w:val="68D824C6"/>
    <w:rsid w:val="68E24545"/>
    <w:rsid w:val="68E31D7A"/>
    <w:rsid w:val="68E71448"/>
    <w:rsid w:val="68E92B61"/>
    <w:rsid w:val="68F308C4"/>
    <w:rsid w:val="68F51C33"/>
    <w:rsid w:val="68FE7853"/>
    <w:rsid w:val="68FF6668"/>
    <w:rsid w:val="6901117B"/>
    <w:rsid w:val="69052CE9"/>
    <w:rsid w:val="691D61F1"/>
    <w:rsid w:val="691E3879"/>
    <w:rsid w:val="69211467"/>
    <w:rsid w:val="69257A7E"/>
    <w:rsid w:val="69277662"/>
    <w:rsid w:val="6929094A"/>
    <w:rsid w:val="69345F83"/>
    <w:rsid w:val="69392613"/>
    <w:rsid w:val="69392966"/>
    <w:rsid w:val="693C2B63"/>
    <w:rsid w:val="694E1147"/>
    <w:rsid w:val="69520D7A"/>
    <w:rsid w:val="69573B6E"/>
    <w:rsid w:val="695C29CF"/>
    <w:rsid w:val="696206D3"/>
    <w:rsid w:val="6967756D"/>
    <w:rsid w:val="6968644A"/>
    <w:rsid w:val="697011ED"/>
    <w:rsid w:val="69826A24"/>
    <w:rsid w:val="698F30AB"/>
    <w:rsid w:val="699B6DC8"/>
    <w:rsid w:val="69A97058"/>
    <w:rsid w:val="69AB6F60"/>
    <w:rsid w:val="69C8002E"/>
    <w:rsid w:val="69CF04C1"/>
    <w:rsid w:val="69D32FE1"/>
    <w:rsid w:val="69D463F2"/>
    <w:rsid w:val="69D72910"/>
    <w:rsid w:val="69D94035"/>
    <w:rsid w:val="69DC26A6"/>
    <w:rsid w:val="69E37874"/>
    <w:rsid w:val="69E56B54"/>
    <w:rsid w:val="69E96708"/>
    <w:rsid w:val="69ED002E"/>
    <w:rsid w:val="69EE54CD"/>
    <w:rsid w:val="69F92613"/>
    <w:rsid w:val="69FB7CD4"/>
    <w:rsid w:val="69FD7CEA"/>
    <w:rsid w:val="6A0229E5"/>
    <w:rsid w:val="6A067F83"/>
    <w:rsid w:val="6A097E59"/>
    <w:rsid w:val="6A171AFC"/>
    <w:rsid w:val="6A227A57"/>
    <w:rsid w:val="6A233BA3"/>
    <w:rsid w:val="6A2A2D01"/>
    <w:rsid w:val="6A3225D7"/>
    <w:rsid w:val="6A3B0B6C"/>
    <w:rsid w:val="6A470981"/>
    <w:rsid w:val="6A4747AF"/>
    <w:rsid w:val="6A49294B"/>
    <w:rsid w:val="6A562B91"/>
    <w:rsid w:val="6A57299A"/>
    <w:rsid w:val="6A697946"/>
    <w:rsid w:val="6A6D6854"/>
    <w:rsid w:val="6A700CED"/>
    <w:rsid w:val="6A7017D7"/>
    <w:rsid w:val="6AA235D3"/>
    <w:rsid w:val="6AB02B50"/>
    <w:rsid w:val="6AB14532"/>
    <w:rsid w:val="6ABB2ED0"/>
    <w:rsid w:val="6AC335C4"/>
    <w:rsid w:val="6AD34ECA"/>
    <w:rsid w:val="6ADD7DFD"/>
    <w:rsid w:val="6AE2135D"/>
    <w:rsid w:val="6AE77D3D"/>
    <w:rsid w:val="6AE93C28"/>
    <w:rsid w:val="6B036D80"/>
    <w:rsid w:val="6B160110"/>
    <w:rsid w:val="6B21434C"/>
    <w:rsid w:val="6B237C36"/>
    <w:rsid w:val="6B2C290C"/>
    <w:rsid w:val="6B33476F"/>
    <w:rsid w:val="6B352059"/>
    <w:rsid w:val="6B3B4CA2"/>
    <w:rsid w:val="6B4514F6"/>
    <w:rsid w:val="6B4A50C0"/>
    <w:rsid w:val="6B4D3CED"/>
    <w:rsid w:val="6B5C7011"/>
    <w:rsid w:val="6B6A2B7E"/>
    <w:rsid w:val="6B705893"/>
    <w:rsid w:val="6B7221D1"/>
    <w:rsid w:val="6B725A81"/>
    <w:rsid w:val="6B7F30F3"/>
    <w:rsid w:val="6B873558"/>
    <w:rsid w:val="6B92645D"/>
    <w:rsid w:val="6B94060D"/>
    <w:rsid w:val="6B973734"/>
    <w:rsid w:val="6B975967"/>
    <w:rsid w:val="6BBC0DCF"/>
    <w:rsid w:val="6BCA6179"/>
    <w:rsid w:val="6BD0777F"/>
    <w:rsid w:val="6BD619EE"/>
    <w:rsid w:val="6BEA64E2"/>
    <w:rsid w:val="6BFA7E30"/>
    <w:rsid w:val="6C016CAE"/>
    <w:rsid w:val="6C090252"/>
    <w:rsid w:val="6C0B7CD2"/>
    <w:rsid w:val="6C0D6AE8"/>
    <w:rsid w:val="6C100936"/>
    <w:rsid w:val="6C1962C3"/>
    <w:rsid w:val="6C1A6808"/>
    <w:rsid w:val="6C255AAD"/>
    <w:rsid w:val="6C2C5801"/>
    <w:rsid w:val="6C2D7320"/>
    <w:rsid w:val="6C2E3E73"/>
    <w:rsid w:val="6C3321F9"/>
    <w:rsid w:val="6C33267C"/>
    <w:rsid w:val="6C3D0F56"/>
    <w:rsid w:val="6C410CB8"/>
    <w:rsid w:val="6C452BDF"/>
    <w:rsid w:val="6C470DB2"/>
    <w:rsid w:val="6C5E1CDD"/>
    <w:rsid w:val="6C660C8B"/>
    <w:rsid w:val="6C6A716D"/>
    <w:rsid w:val="6C71767A"/>
    <w:rsid w:val="6C7C1F44"/>
    <w:rsid w:val="6C827094"/>
    <w:rsid w:val="6C8559E0"/>
    <w:rsid w:val="6C8D26FB"/>
    <w:rsid w:val="6CC25213"/>
    <w:rsid w:val="6CD76A8F"/>
    <w:rsid w:val="6CE0702D"/>
    <w:rsid w:val="6CE83295"/>
    <w:rsid w:val="6CEE220B"/>
    <w:rsid w:val="6CEE246E"/>
    <w:rsid w:val="6CF27A30"/>
    <w:rsid w:val="6CF6067E"/>
    <w:rsid w:val="6D032BD4"/>
    <w:rsid w:val="6D0535EE"/>
    <w:rsid w:val="6D075719"/>
    <w:rsid w:val="6D077405"/>
    <w:rsid w:val="6D0A3519"/>
    <w:rsid w:val="6D133D59"/>
    <w:rsid w:val="6D175B2B"/>
    <w:rsid w:val="6D264EC5"/>
    <w:rsid w:val="6D26662C"/>
    <w:rsid w:val="6D437763"/>
    <w:rsid w:val="6D671B76"/>
    <w:rsid w:val="6D6D28AF"/>
    <w:rsid w:val="6D771293"/>
    <w:rsid w:val="6D7D0954"/>
    <w:rsid w:val="6D876AB7"/>
    <w:rsid w:val="6D8F154F"/>
    <w:rsid w:val="6D9757D1"/>
    <w:rsid w:val="6D9C3974"/>
    <w:rsid w:val="6DA062EA"/>
    <w:rsid w:val="6DA65DBF"/>
    <w:rsid w:val="6DA76631"/>
    <w:rsid w:val="6DAF65CC"/>
    <w:rsid w:val="6DB157A2"/>
    <w:rsid w:val="6DB25F3D"/>
    <w:rsid w:val="6DC53FBD"/>
    <w:rsid w:val="6DC93FE2"/>
    <w:rsid w:val="6DCA77EA"/>
    <w:rsid w:val="6DD35114"/>
    <w:rsid w:val="6DDE35E8"/>
    <w:rsid w:val="6DE92FA2"/>
    <w:rsid w:val="6DEE0E7D"/>
    <w:rsid w:val="6DF574ED"/>
    <w:rsid w:val="6DF81839"/>
    <w:rsid w:val="6E0048DC"/>
    <w:rsid w:val="6E075019"/>
    <w:rsid w:val="6E0766A1"/>
    <w:rsid w:val="6E1419C0"/>
    <w:rsid w:val="6E166FE2"/>
    <w:rsid w:val="6E183FF4"/>
    <w:rsid w:val="6E1B11E5"/>
    <w:rsid w:val="6E1D151C"/>
    <w:rsid w:val="6E2E7D17"/>
    <w:rsid w:val="6E3323DD"/>
    <w:rsid w:val="6E3761D3"/>
    <w:rsid w:val="6E392DDA"/>
    <w:rsid w:val="6E3E2033"/>
    <w:rsid w:val="6E411943"/>
    <w:rsid w:val="6E440060"/>
    <w:rsid w:val="6E442CF5"/>
    <w:rsid w:val="6E54575C"/>
    <w:rsid w:val="6E5A2999"/>
    <w:rsid w:val="6E612C3F"/>
    <w:rsid w:val="6E6F6D88"/>
    <w:rsid w:val="6E702FE8"/>
    <w:rsid w:val="6E766C71"/>
    <w:rsid w:val="6E7926F7"/>
    <w:rsid w:val="6E7B110F"/>
    <w:rsid w:val="6E8A2A35"/>
    <w:rsid w:val="6EA04FAE"/>
    <w:rsid w:val="6EAA79ED"/>
    <w:rsid w:val="6EC97CEE"/>
    <w:rsid w:val="6ECD08F1"/>
    <w:rsid w:val="6ED63149"/>
    <w:rsid w:val="6EDF2531"/>
    <w:rsid w:val="6EEF6508"/>
    <w:rsid w:val="6EFF1809"/>
    <w:rsid w:val="6F1A60C4"/>
    <w:rsid w:val="6F231E41"/>
    <w:rsid w:val="6F244447"/>
    <w:rsid w:val="6F303DE1"/>
    <w:rsid w:val="6F331C81"/>
    <w:rsid w:val="6F331F52"/>
    <w:rsid w:val="6F362062"/>
    <w:rsid w:val="6F3C0797"/>
    <w:rsid w:val="6F4048CA"/>
    <w:rsid w:val="6F4713C5"/>
    <w:rsid w:val="6F4734D0"/>
    <w:rsid w:val="6F4B3953"/>
    <w:rsid w:val="6F555C91"/>
    <w:rsid w:val="6F603479"/>
    <w:rsid w:val="6F680494"/>
    <w:rsid w:val="6F6B5A9E"/>
    <w:rsid w:val="6F7A07E3"/>
    <w:rsid w:val="6F7D050B"/>
    <w:rsid w:val="6F8C33B0"/>
    <w:rsid w:val="6F8D5B36"/>
    <w:rsid w:val="6F953750"/>
    <w:rsid w:val="6FA10B29"/>
    <w:rsid w:val="6FA30CDD"/>
    <w:rsid w:val="6FAA2D8A"/>
    <w:rsid w:val="6FC02217"/>
    <w:rsid w:val="6FC34E9D"/>
    <w:rsid w:val="6FC60A07"/>
    <w:rsid w:val="6FC90F86"/>
    <w:rsid w:val="6FCE2BBA"/>
    <w:rsid w:val="6FDF40F5"/>
    <w:rsid w:val="6FE0165C"/>
    <w:rsid w:val="6FE05F95"/>
    <w:rsid w:val="6FF06B6B"/>
    <w:rsid w:val="6FF97C31"/>
    <w:rsid w:val="6FFC64FF"/>
    <w:rsid w:val="7001428F"/>
    <w:rsid w:val="70133236"/>
    <w:rsid w:val="70156307"/>
    <w:rsid w:val="701B3A89"/>
    <w:rsid w:val="701C590F"/>
    <w:rsid w:val="702033F7"/>
    <w:rsid w:val="70315D3B"/>
    <w:rsid w:val="703D58C4"/>
    <w:rsid w:val="70453D87"/>
    <w:rsid w:val="704E5E48"/>
    <w:rsid w:val="7055360F"/>
    <w:rsid w:val="70642BE6"/>
    <w:rsid w:val="706F497B"/>
    <w:rsid w:val="70724AB3"/>
    <w:rsid w:val="70916EF8"/>
    <w:rsid w:val="709261ED"/>
    <w:rsid w:val="70982CA6"/>
    <w:rsid w:val="70A02568"/>
    <w:rsid w:val="70C41020"/>
    <w:rsid w:val="70CC1017"/>
    <w:rsid w:val="70CF255C"/>
    <w:rsid w:val="70DC2C89"/>
    <w:rsid w:val="70DD743F"/>
    <w:rsid w:val="70E3150B"/>
    <w:rsid w:val="70E67B77"/>
    <w:rsid w:val="70F323B0"/>
    <w:rsid w:val="710221FA"/>
    <w:rsid w:val="71061A60"/>
    <w:rsid w:val="710D3478"/>
    <w:rsid w:val="710F7585"/>
    <w:rsid w:val="711805A6"/>
    <w:rsid w:val="711A79AD"/>
    <w:rsid w:val="71217446"/>
    <w:rsid w:val="71224F32"/>
    <w:rsid w:val="7123463F"/>
    <w:rsid w:val="713B1ED6"/>
    <w:rsid w:val="714463AC"/>
    <w:rsid w:val="7144693A"/>
    <w:rsid w:val="71525708"/>
    <w:rsid w:val="71542A3C"/>
    <w:rsid w:val="71584711"/>
    <w:rsid w:val="71595F23"/>
    <w:rsid w:val="716A4C59"/>
    <w:rsid w:val="716D3AF0"/>
    <w:rsid w:val="717106F9"/>
    <w:rsid w:val="71811922"/>
    <w:rsid w:val="7184567C"/>
    <w:rsid w:val="71866C06"/>
    <w:rsid w:val="718F2568"/>
    <w:rsid w:val="718F3086"/>
    <w:rsid w:val="71910B53"/>
    <w:rsid w:val="719D1BC1"/>
    <w:rsid w:val="719E09E3"/>
    <w:rsid w:val="719F5958"/>
    <w:rsid w:val="71A33FEC"/>
    <w:rsid w:val="71A601E7"/>
    <w:rsid w:val="71AC51C8"/>
    <w:rsid w:val="71C37CE8"/>
    <w:rsid w:val="71C402EA"/>
    <w:rsid w:val="71D00D24"/>
    <w:rsid w:val="71D53676"/>
    <w:rsid w:val="71DA32B4"/>
    <w:rsid w:val="71E32E83"/>
    <w:rsid w:val="71F46D71"/>
    <w:rsid w:val="71F96411"/>
    <w:rsid w:val="71FA7506"/>
    <w:rsid w:val="721C2D21"/>
    <w:rsid w:val="722A4EFB"/>
    <w:rsid w:val="722F766C"/>
    <w:rsid w:val="72385872"/>
    <w:rsid w:val="72451F4F"/>
    <w:rsid w:val="7247128C"/>
    <w:rsid w:val="72493E35"/>
    <w:rsid w:val="725B0CD8"/>
    <w:rsid w:val="7264361A"/>
    <w:rsid w:val="726822A9"/>
    <w:rsid w:val="726C3438"/>
    <w:rsid w:val="727367E8"/>
    <w:rsid w:val="727C5618"/>
    <w:rsid w:val="727F3E51"/>
    <w:rsid w:val="7287073E"/>
    <w:rsid w:val="7290542B"/>
    <w:rsid w:val="72913002"/>
    <w:rsid w:val="72917F17"/>
    <w:rsid w:val="72935E6A"/>
    <w:rsid w:val="729A7834"/>
    <w:rsid w:val="72A00661"/>
    <w:rsid w:val="72AF2463"/>
    <w:rsid w:val="72B06D9D"/>
    <w:rsid w:val="72B715E4"/>
    <w:rsid w:val="72C32F53"/>
    <w:rsid w:val="72C77A8A"/>
    <w:rsid w:val="72CB7C4C"/>
    <w:rsid w:val="72D86D20"/>
    <w:rsid w:val="72FE3E8E"/>
    <w:rsid w:val="731B711B"/>
    <w:rsid w:val="731C3ED2"/>
    <w:rsid w:val="731E5631"/>
    <w:rsid w:val="732B0C72"/>
    <w:rsid w:val="733139FF"/>
    <w:rsid w:val="73330C63"/>
    <w:rsid w:val="733863E3"/>
    <w:rsid w:val="733A3332"/>
    <w:rsid w:val="733C1D9D"/>
    <w:rsid w:val="733E46B2"/>
    <w:rsid w:val="734548E4"/>
    <w:rsid w:val="73597F33"/>
    <w:rsid w:val="7375490C"/>
    <w:rsid w:val="73757E63"/>
    <w:rsid w:val="737D2944"/>
    <w:rsid w:val="737D2F4F"/>
    <w:rsid w:val="73900D21"/>
    <w:rsid w:val="739402D9"/>
    <w:rsid w:val="739A7114"/>
    <w:rsid w:val="739F2349"/>
    <w:rsid w:val="739F6287"/>
    <w:rsid w:val="73A242CD"/>
    <w:rsid w:val="73AC333B"/>
    <w:rsid w:val="73B11DBC"/>
    <w:rsid w:val="73B1795C"/>
    <w:rsid w:val="73B51018"/>
    <w:rsid w:val="73BC43BF"/>
    <w:rsid w:val="73C340B3"/>
    <w:rsid w:val="73C72DB3"/>
    <w:rsid w:val="73C854F0"/>
    <w:rsid w:val="73CE0B05"/>
    <w:rsid w:val="73D007EE"/>
    <w:rsid w:val="73D27A00"/>
    <w:rsid w:val="73D9581C"/>
    <w:rsid w:val="73DA2FBB"/>
    <w:rsid w:val="73DC2CAB"/>
    <w:rsid w:val="73DC5744"/>
    <w:rsid w:val="73E36876"/>
    <w:rsid w:val="73E72CB9"/>
    <w:rsid w:val="741B5358"/>
    <w:rsid w:val="74202F12"/>
    <w:rsid w:val="742C093F"/>
    <w:rsid w:val="742F68DF"/>
    <w:rsid w:val="7435797F"/>
    <w:rsid w:val="744A0545"/>
    <w:rsid w:val="744F7C70"/>
    <w:rsid w:val="74521009"/>
    <w:rsid w:val="74632A31"/>
    <w:rsid w:val="7465205B"/>
    <w:rsid w:val="746954DB"/>
    <w:rsid w:val="74743C33"/>
    <w:rsid w:val="747640DF"/>
    <w:rsid w:val="747E6036"/>
    <w:rsid w:val="7482175B"/>
    <w:rsid w:val="74843F0D"/>
    <w:rsid w:val="74B37F42"/>
    <w:rsid w:val="74BA4FF9"/>
    <w:rsid w:val="74CA0770"/>
    <w:rsid w:val="74D52F3D"/>
    <w:rsid w:val="74D81528"/>
    <w:rsid w:val="74D96025"/>
    <w:rsid w:val="74DA07A2"/>
    <w:rsid w:val="74E1491C"/>
    <w:rsid w:val="74E67A31"/>
    <w:rsid w:val="74F61278"/>
    <w:rsid w:val="74F90505"/>
    <w:rsid w:val="74FC67D7"/>
    <w:rsid w:val="7501178C"/>
    <w:rsid w:val="75124563"/>
    <w:rsid w:val="751C2143"/>
    <w:rsid w:val="75295853"/>
    <w:rsid w:val="752D2921"/>
    <w:rsid w:val="752F2DAC"/>
    <w:rsid w:val="75631790"/>
    <w:rsid w:val="7566472C"/>
    <w:rsid w:val="756B1E1E"/>
    <w:rsid w:val="7578413D"/>
    <w:rsid w:val="757B64ED"/>
    <w:rsid w:val="757C232A"/>
    <w:rsid w:val="75851DCA"/>
    <w:rsid w:val="758F3A2A"/>
    <w:rsid w:val="7599617F"/>
    <w:rsid w:val="759D7802"/>
    <w:rsid w:val="75A011FF"/>
    <w:rsid w:val="75A70E4F"/>
    <w:rsid w:val="75AA3F51"/>
    <w:rsid w:val="75B11420"/>
    <w:rsid w:val="75B263D3"/>
    <w:rsid w:val="75DC2372"/>
    <w:rsid w:val="75E16CC1"/>
    <w:rsid w:val="75F22E0F"/>
    <w:rsid w:val="760021B6"/>
    <w:rsid w:val="760950F4"/>
    <w:rsid w:val="76122AB3"/>
    <w:rsid w:val="76154B74"/>
    <w:rsid w:val="761C414A"/>
    <w:rsid w:val="76380CDC"/>
    <w:rsid w:val="76383420"/>
    <w:rsid w:val="76411431"/>
    <w:rsid w:val="7649562B"/>
    <w:rsid w:val="764F7C59"/>
    <w:rsid w:val="76536622"/>
    <w:rsid w:val="765566B4"/>
    <w:rsid w:val="76605088"/>
    <w:rsid w:val="766477E2"/>
    <w:rsid w:val="7668119A"/>
    <w:rsid w:val="766966D4"/>
    <w:rsid w:val="766C63E7"/>
    <w:rsid w:val="76894FB9"/>
    <w:rsid w:val="768C1EBA"/>
    <w:rsid w:val="769568F8"/>
    <w:rsid w:val="76993596"/>
    <w:rsid w:val="769F0134"/>
    <w:rsid w:val="76B14AAD"/>
    <w:rsid w:val="76C118A2"/>
    <w:rsid w:val="76C32B57"/>
    <w:rsid w:val="76CB0A63"/>
    <w:rsid w:val="76D25527"/>
    <w:rsid w:val="76D81970"/>
    <w:rsid w:val="76DD3810"/>
    <w:rsid w:val="76E451C7"/>
    <w:rsid w:val="76E472DD"/>
    <w:rsid w:val="76E47BCA"/>
    <w:rsid w:val="76E8548D"/>
    <w:rsid w:val="76ED3B38"/>
    <w:rsid w:val="76F13EA7"/>
    <w:rsid w:val="76F14581"/>
    <w:rsid w:val="76F77BBD"/>
    <w:rsid w:val="76FD22EC"/>
    <w:rsid w:val="76FD6D57"/>
    <w:rsid w:val="77030B27"/>
    <w:rsid w:val="77041D95"/>
    <w:rsid w:val="7718408C"/>
    <w:rsid w:val="772527B2"/>
    <w:rsid w:val="772A6A8E"/>
    <w:rsid w:val="773B25F8"/>
    <w:rsid w:val="773D0C62"/>
    <w:rsid w:val="7743414C"/>
    <w:rsid w:val="774551B5"/>
    <w:rsid w:val="77523DCF"/>
    <w:rsid w:val="77606B3D"/>
    <w:rsid w:val="776870B9"/>
    <w:rsid w:val="776967FB"/>
    <w:rsid w:val="776D4583"/>
    <w:rsid w:val="7776540C"/>
    <w:rsid w:val="777A37E1"/>
    <w:rsid w:val="778100C2"/>
    <w:rsid w:val="77855EB4"/>
    <w:rsid w:val="779D35D8"/>
    <w:rsid w:val="77AA135C"/>
    <w:rsid w:val="77AB7E27"/>
    <w:rsid w:val="77AC14DA"/>
    <w:rsid w:val="77AD64CA"/>
    <w:rsid w:val="77AF3504"/>
    <w:rsid w:val="77B36F7C"/>
    <w:rsid w:val="77C926F0"/>
    <w:rsid w:val="77CA0362"/>
    <w:rsid w:val="77FC1B84"/>
    <w:rsid w:val="780752E6"/>
    <w:rsid w:val="780B6CC7"/>
    <w:rsid w:val="78153F77"/>
    <w:rsid w:val="78185315"/>
    <w:rsid w:val="781C67FA"/>
    <w:rsid w:val="782378AE"/>
    <w:rsid w:val="78296DAC"/>
    <w:rsid w:val="783267CC"/>
    <w:rsid w:val="783C7C49"/>
    <w:rsid w:val="783E418B"/>
    <w:rsid w:val="783F1754"/>
    <w:rsid w:val="784E3C01"/>
    <w:rsid w:val="78570849"/>
    <w:rsid w:val="78617AF2"/>
    <w:rsid w:val="78626899"/>
    <w:rsid w:val="786421F2"/>
    <w:rsid w:val="786616B3"/>
    <w:rsid w:val="786E5D08"/>
    <w:rsid w:val="78812F7C"/>
    <w:rsid w:val="78A51B95"/>
    <w:rsid w:val="78AA6975"/>
    <w:rsid w:val="78BB3862"/>
    <w:rsid w:val="78C15B1C"/>
    <w:rsid w:val="78C359B3"/>
    <w:rsid w:val="78C9190A"/>
    <w:rsid w:val="78C97D4F"/>
    <w:rsid w:val="78CC0493"/>
    <w:rsid w:val="78DB3FCA"/>
    <w:rsid w:val="78EC2D52"/>
    <w:rsid w:val="78F5480C"/>
    <w:rsid w:val="79036E66"/>
    <w:rsid w:val="790B5E2B"/>
    <w:rsid w:val="790E47EA"/>
    <w:rsid w:val="790E548B"/>
    <w:rsid w:val="79104E2B"/>
    <w:rsid w:val="79135CA0"/>
    <w:rsid w:val="791A58CD"/>
    <w:rsid w:val="791F537B"/>
    <w:rsid w:val="792936B2"/>
    <w:rsid w:val="79344437"/>
    <w:rsid w:val="79367982"/>
    <w:rsid w:val="793D5C2F"/>
    <w:rsid w:val="793F7F0E"/>
    <w:rsid w:val="794A336F"/>
    <w:rsid w:val="79537099"/>
    <w:rsid w:val="79552D08"/>
    <w:rsid w:val="795E7ED2"/>
    <w:rsid w:val="79672E22"/>
    <w:rsid w:val="79677010"/>
    <w:rsid w:val="797121AE"/>
    <w:rsid w:val="797E1825"/>
    <w:rsid w:val="79A7288D"/>
    <w:rsid w:val="79AA3C4E"/>
    <w:rsid w:val="79AE312A"/>
    <w:rsid w:val="79B3208C"/>
    <w:rsid w:val="79B70130"/>
    <w:rsid w:val="79BD5598"/>
    <w:rsid w:val="79CB0706"/>
    <w:rsid w:val="79CE66ED"/>
    <w:rsid w:val="79CF6E25"/>
    <w:rsid w:val="79D42664"/>
    <w:rsid w:val="79D51250"/>
    <w:rsid w:val="79DB4236"/>
    <w:rsid w:val="79E66C93"/>
    <w:rsid w:val="79F16E80"/>
    <w:rsid w:val="79F842C2"/>
    <w:rsid w:val="79FA0A29"/>
    <w:rsid w:val="79FC6E04"/>
    <w:rsid w:val="79FE2A4E"/>
    <w:rsid w:val="7A081D42"/>
    <w:rsid w:val="7A0A6E0F"/>
    <w:rsid w:val="7A0A7223"/>
    <w:rsid w:val="7A0C4EA7"/>
    <w:rsid w:val="7A0F2ABF"/>
    <w:rsid w:val="7A12552F"/>
    <w:rsid w:val="7A1524DD"/>
    <w:rsid w:val="7A1A1772"/>
    <w:rsid w:val="7A1E1DC3"/>
    <w:rsid w:val="7A276994"/>
    <w:rsid w:val="7A3B034D"/>
    <w:rsid w:val="7A3F158B"/>
    <w:rsid w:val="7A4A132A"/>
    <w:rsid w:val="7A4B2D4E"/>
    <w:rsid w:val="7A535840"/>
    <w:rsid w:val="7A6736BC"/>
    <w:rsid w:val="7A6A7B3B"/>
    <w:rsid w:val="7A721F7E"/>
    <w:rsid w:val="7A746574"/>
    <w:rsid w:val="7A750A82"/>
    <w:rsid w:val="7A7678E5"/>
    <w:rsid w:val="7A7B24DD"/>
    <w:rsid w:val="7A7D2094"/>
    <w:rsid w:val="7A7F65CA"/>
    <w:rsid w:val="7A867241"/>
    <w:rsid w:val="7A876B11"/>
    <w:rsid w:val="7A88301C"/>
    <w:rsid w:val="7A956856"/>
    <w:rsid w:val="7A963A48"/>
    <w:rsid w:val="7A9660A3"/>
    <w:rsid w:val="7A9861CB"/>
    <w:rsid w:val="7A986784"/>
    <w:rsid w:val="7AB22A91"/>
    <w:rsid w:val="7ABB3E82"/>
    <w:rsid w:val="7AC3568E"/>
    <w:rsid w:val="7AD71052"/>
    <w:rsid w:val="7AD9797E"/>
    <w:rsid w:val="7ADE3DB2"/>
    <w:rsid w:val="7AEE60EE"/>
    <w:rsid w:val="7B0E060E"/>
    <w:rsid w:val="7B0F5219"/>
    <w:rsid w:val="7B177A77"/>
    <w:rsid w:val="7B193032"/>
    <w:rsid w:val="7B26484C"/>
    <w:rsid w:val="7B2B13FD"/>
    <w:rsid w:val="7B3339FA"/>
    <w:rsid w:val="7B346599"/>
    <w:rsid w:val="7B44094D"/>
    <w:rsid w:val="7B460BFD"/>
    <w:rsid w:val="7B4910BE"/>
    <w:rsid w:val="7B5E4EEC"/>
    <w:rsid w:val="7B674BD7"/>
    <w:rsid w:val="7B722498"/>
    <w:rsid w:val="7B782690"/>
    <w:rsid w:val="7B7974D2"/>
    <w:rsid w:val="7B7F3966"/>
    <w:rsid w:val="7B80148D"/>
    <w:rsid w:val="7B821ADA"/>
    <w:rsid w:val="7B8F5DA2"/>
    <w:rsid w:val="7B926883"/>
    <w:rsid w:val="7BA4369C"/>
    <w:rsid w:val="7BA71440"/>
    <w:rsid w:val="7BAE696E"/>
    <w:rsid w:val="7BAF3C86"/>
    <w:rsid w:val="7BC23E12"/>
    <w:rsid w:val="7BC92A6F"/>
    <w:rsid w:val="7BD36780"/>
    <w:rsid w:val="7BD4048E"/>
    <w:rsid w:val="7BD968AC"/>
    <w:rsid w:val="7BDE524C"/>
    <w:rsid w:val="7BEA5E74"/>
    <w:rsid w:val="7BF9001B"/>
    <w:rsid w:val="7BFE0389"/>
    <w:rsid w:val="7BFE08FA"/>
    <w:rsid w:val="7C126AEB"/>
    <w:rsid w:val="7C1F2070"/>
    <w:rsid w:val="7C260105"/>
    <w:rsid w:val="7C2900A2"/>
    <w:rsid w:val="7C295D17"/>
    <w:rsid w:val="7C2A10CD"/>
    <w:rsid w:val="7C2D2AE7"/>
    <w:rsid w:val="7C4B681D"/>
    <w:rsid w:val="7C4C575E"/>
    <w:rsid w:val="7C640974"/>
    <w:rsid w:val="7C690B20"/>
    <w:rsid w:val="7C780AD5"/>
    <w:rsid w:val="7C7A14F2"/>
    <w:rsid w:val="7C7E2FFC"/>
    <w:rsid w:val="7C867154"/>
    <w:rsid w:val="7C9427B3"/>
    <w:rsid w:val="7C9E5A77"/>
    <w:rsid w:val="7CB74F4A"/>
    <w:rsid w:val="7CB80138"/>
    <w:rsid w:val="7CB838AF"/>
    <w:rsid w:val="7CBE6F50"/>
    <w:rsid w:val="7CC639C6"/>
    <w:rsid w:val="7CCC3CFE"/>
    <w:rsid w:val="7CCD12D3"/>
    <w:rsid w:val="7CD505D1"/>
    <w:rsid w:val="7CD6692A"/>
    <w:rsid w:val="7CE215AC"/>
    <w:rsid w:val="7CE25B4A"/>
    <w:rsid w:val="7CE3422B"/>
    <w:rsid w:val="7CE5443B"/>
    <w:rsid w:val="7CE76B7F"/>
    <w:rsid w:val="7CED09D9"/>
    <w:rsid w:val="7CF87323"/>
    <w:rsid w:val="7D0115A5"/>
    <w:rsid w:val="7D017D9A"/>
    <w:rsid w:val="7D046A9F"/>
    <w:rsid w:val="7D080205"/>
    <w:rsid w:val="7D0A432A"/>
    <w:rsid w:val="7D0F2DDE"/>
    <w:rsid w:val="7D144B3C"/>
    <w:rsid w:val="7D167BA2"/>
    <w:rsid w:val="7D177687"/>
    <w:rsid w:val="7D1F5883"/>
    <w:rsid w:val="7D242066"/>
    <w:rsid w:val="7D282F0F"/>
    <w:rsid w:val="7D286550"/>
    <w:rsid w:val="7D3140B5"/>
    <w:rsid w:val="7D3874D2"/>
    <w:rsid w:val="7D4241A1"/>
    <w:rsid w:val="7D437DEE"/>
    <w:rsid w:val="7D452B7F"/>
    <w:rsid w:val="7D526E71"/>
    <w:rsid w:val="7D532432"/>
    <w:rsid w:val="7D5A5BFC"/>
    <w:rsid w:val="7D6518EB"/>
    <w:rsid w:val="7D6B77B5"/>
    <w:rsid w:val="7D7371E1"/>
    <w:rsid w:val="7D74008A"/>
    <w:rsid w:val="7D7862CF"/>
    <w:rsid w:val="7D7A4E9D"/>
    <w:rsid w:val="7D7F0E79"/>
    <w:rsid w:val="7D851CFF"/>
    <w:rsid w:val="7DA65B7D"/>
    <w:rsid w:val="7DA86112"/>
    <w:rsid w:val="7DAE3829"/>
    <w:rsid w:val="7DB00509"/>
    <w:rsid w:val="7DB9268E"/>
    <w:rsid w:val="7DBF3388"/>
    <w:rsid w:val="7DC8040C"/>
    <w:rsid w:val="7DC85A3E"/>
    <w:rsid w:val="7DD03D33"/>
    <w:rsid w:val="7DD410E6"/>
    <w:rsid w:val="7DD603AD"/>
    <w:rsid w:val="7DD82F1A"/>
    <w:rsid w:val="7DDA1110"/>
    <w:rsid w:val="7DE020DC"/>
    <w:rsid w:val="7DE449CE"/>
    <w:rsid w:val="7DEC05A8"/>
    <w:rsid w:val="7DED1348"/>
    <w:rsid w:val="7DEE71DF"/>
    <w:rsid w:val="7DF66186"/>
    <w:rsid w:val="7E0A5EA4"/>
    <w:rsid w:val="7E0A72D5"/>
    <w:rsid w:val="7E0B3C08"/>
    <w:rsid w:val="7E1C2B95"/>
    <w:rsid w:val="7E1E3CF4"/>
    <w:rsid w:val="7E212526"/>
    <w:rsid w:val="7E262B03"/>
    <w:rsid w:val="7E2E765A"/>
    <w:rsid w:val="7E324C10"/>
    <w:rsid w:val="7E3B7336"/>
    <w:rsid w:val="7E3D35D7"/>
    <w:rsid w:val="7E3D3A72"/>
    <w:rsid w:val="7E466A84"/>
    <w:rsid w:val="7E472FFE"/>
    <w:rsid w:val="7E4A6379"/>
    <w:rsid w:val="7E5248E3"/>
    <w:rsid w:val="7E6854DB"/>
    <w:rsid w:val="7E6C43B3"/>
    <w:rsid w:val="7E77762F"/>
    <w:rsid w:val="7E793E63"/>
    <w:rsid w:val="7E7B1715"/>
    <w:rsid w:val="7E8031F2"/>
    <w:rsid w:val="7E860496"/>
    <w:rsid w:val="7E9611E7"/>
    <w:rsid w:val="7E9963F8"/>
    <w:rsid w:val="7E9D0633"/>
    <w:rsid w:val="7EA82B9C"/>
    <w:rsid w:val="7EB16AB6"/>
    <w:rsid w:val="7EBD651F"/>
    <w:rsid w:val="7EC07C28"/>
    <w:rsid w:val="7ECB3BBC"/>
    <w:rsid w:val="7ED83896"/>
    <w:rsid w:val="7EDC2729"/>
    <w:rsid w:val="7EE15DD1"/>
    <w:rsid w:val="7EEB46E8"/>
    <w:rsid w:val="7EED15E5"/>
    <w:rsid w:val="7EF04016"/>
    <w:rsid w:val="7EFB200E"/>
    <w:rsid w:val="7EFF41BF"/>
    <w:rsid w:val="7F0126E4"/>
    <w:rsid w:val="7F013802"/>
    <w:rsid w:val="7F051449"/>
    <w:rsid w:val="7F1A1324"/>
    <w:rsid w:val="7F1A4AEF"/>
    <w:rsid w:val="7F224AD6"/>
    <w:rsid w:val="7F271E5F"/>
    <w:rsid w:val="7F29623C"/>
    <w:rsid w:val="7F2D4C74"/>
    <w:rsid w:val="7F341EAD"/>
    <w:rsid w:val="7F350A03"/>
    <w:rsid w:val="7F375587"/>
    <w:rsid w:val="7F3B2B2F"/>
    <w:rsid w:val="7F406D66"/>
    <w:rsid w:val="7F421AF0"/>
    <w:rsid w:val="7F516AFB"/>
    <w:rsid w:val="7F585C16"/>
    <w:rsid w:val="7F5B38C5"/>
    <w:rsid w:val="7F6566E6"/>
    <w:rsid w:val="7F6A7C64"/>
    <w:rsid w:val="7F6B0BA4"/>
    <w:rsid w:val="7F6E0CE1"/>
    <w:rsid w:val="7F6F6E86"/>
    <w:rsid w:val="7F8A3738"/>
    <w:rsid w:val="7F8B3191"/>
    <w:rsid w:val="7F8E4655"/>
    <w:rsid w:val="7F8E6809"/>
    <w:rsid w:val="7F987985"/>
    <w:rsid w:val="7F9E0C2E"/>
    <w:rsid w:val="7FAF35C9"/>
    <w:rsid w:val="7FB620B9"/>
    <w:rsid w:val="7FBE4780"/>
    <w:rsid w:val="7FC07CDA"/>
    <w:rsid w:val="7FD30895"/>
    <w:rsid w:val="7FE27298"/>
    <w:rsid w:val="7FE932BA"/>
    <w:rsid w:val="7FEC34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 w:type="table" w:styleId="9">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11</TotalTime>
  <ScaleCrop>false</ScaleCrop>
  <LinksUpToDate>false</LinksUpToDate>
  <CharactersWithSpaces>0</CharactersWithSpaces>
  <Application>WPS Office_10.8.2.7058_F1E327BC-269C-435d-A152-05C5408002CA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2023-12-15T03:58:00Z</dcterms:created>
  <dc:creator>admin</dc:creator>
  <cp:lastModifiedBy>admin</cp:lastModifiedBy>
  <cp:lastPrinted>2024-05-24T06:57:42Z</cp:lastPrinted>
  <dcterms:modified xsi:type="dcterms:W3CDTF">2024-05-24T07:07:27Z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2052-10.8.2.7058</vt:lpwstr>
  </property>
  <property fmtid="{D5CDD505-2E9C-101B-9397-08002B2CF9AE}" pid="3" name="ICV">
    <vt:lpwstr>2AFE29251F2D47119EA111B2B617C6AF_13</vt:lpwstr>
  </property>
</Properties>
</file>