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409C5F">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14:paraId="0BBB31A0">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eastAsia" w:ascii="Times New Roman" w:hAnsi="Times New Roman" w:eastAsia="经典行楷简" w:cs="Times New Roman"/>
          <w:b w:val="0"/>
          <w:bCs/>
          <w:color w:val="2E75B6" w:themeColor="accent1" w:themeShade="BF"/>
          <w:kern w:val="36"/>
          <w:sz w:val="44"/>
          <w:szCs w:val="44"/>
          <w:lang w:val="en-US" w:eastAsia="zh-CN"/>
        </w:rPr>
        <w:t>6</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11</w:t>
      </w:r>
      <w:r>
        <w:rPr>
          <w:rFonts w:hint="default" w:ascii="Times New Roman" w:hAnsi="Times New Roman" w:eastAsia="经典行楷简" w:cs="Times New Roman"/>
          <w:b w:val="0"/>
          <w:bCs/>
          <w:color w:val="2E75B6" w:themeColor="accent1" w:themeShade="BF"/>
          <w:kern w:val="36"/>
          <w:sz w:val="44"/>
          <w:szCs w:val="44"/>
        </w:rPr>
        <w:t>期</w:t>
      </w:r>
    </w:p>
    <w:p w14:paraId="33D75D5A">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gradFill>
          </w14:textFill>
        </w:rPr>
        <w:t>总第</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gradFill>
          </w14:textFill>
        </w:rPr>
        <w:t>347</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t>）</w:t>
      </w:r>
    </w:p>
    <w:p w14:paraId="5DAE9BA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lang w:val="en-US"/>
        </w:rPr>
      </w:pPr>
      <w:r>
        <w:rPr>
          <w:rFonts w:hint="eastAsia" w:ascii="方正公文黑体" w:hAnsi="方正公文黑体" w:eastAsia="方正公文黑体" w:cs="方正公文黑体"/>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eastAsia" w:ascii="Times New Roman" w:hAnsi="Times New Roman" w:eastAsia="方正楷体_GBK" w:cs="Times New Roman"/>
          <w:b w:val="0"/>
          <w:bCs/>
          <w:color w:val="000000"/>
          <w:kern w:val="36"/>
          <w:sz w:val="32"/>
          <w:szCs w:val="32"/>
          <w:highlight w:val="none"/>
          <w:lang w:val="en-US" w:eastAsia="zh-CN"/>
        </w:rPr>
        <w:t>6</w:t>
      </w:r>
      <w:r>
        <w:rPr>
          <w:rFonts w:hint="default" w:ascii="Times New Roman" w:hAnsi="Times New Roman" w:eastAsia="方正楷体_GBK" w:cs="Times New Roman"/>
          <w:b w:val="0"/>
          <w:bCs/>
          <w:color w:val="000000"/>
          <w:kern w:val="36"/>
          <w:sz w:val="32"/>
          <w:szCs w:val="32"/>
          <w:highlight w:val="none"/>
        </w:rPr>
        <w:t>年</w:t>
      </w:r>
      <w:r>
        <w:rPr>
          <w:rFonts w:hint="eastAsia" w:ascii="Times New Roman" w:hAnsi="Times New Roman" w:eastAsia="方正楷体_GBK" w:cs="Times New Roman"/>
          <w:b w:val="0"/>
          <w:bCs/>
          <w:color w:val="000000"/>
          <w:kern w:val="36"/>
          <w:sz w:val="32"/>
          <w:szCs w:val="32"/>
          <w:highlight w:val="none"/>
          <w:lang w:val="en-US" w:eastAsia="zh-CN"/>
        </w:rPr>
        <w:t>4</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7日</w:t>
      </w:r>
    </w:p>
    <w:p w14:paraId="1EE33D88">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24"/>
          <w:szCs w:val="2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14:paraId="6F99CE41">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eastAsia" w:ascii="方正公文黑体" w:hAnsi="方正公文黑体" w:eastAsia="方正公文黑体" w:cs="方正公文黑体"/>
          <w:b w:val="0"/>
          <w:bCs/>
          <w:color w:val="1F497D"/>
          <w:kern w:val="36"/>
          <w:sz w:val="32"/>
          <w:szCs w:val="32"/>
          <w:lang w:val="en-US" w:eastAsia="zh-CN"/>
          <w14:textFill>
            <w14:solidFill>
              <w14:srgbClr w14:val="1F497D">
                <w14:lumMod w14:val="60000"/>
                <w14:lumOff w14:val="40000"/>
              </w14:srgbClr>
            </w14:solidFill>
          </w14:textFill>
        </w:rPr>
        <w:t>全球经贸分析</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14:paraId="0B5D1FF9">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jc w:val="left"/>
        <w:textAlignment w:val="auto"/>
        <w:outlineLvl w:val="1"/>
        <w:rPr>
          <w:rFonts w:hint="default" w:ascii="Times New Roman" w:hAnsi="Times New Roman" w:eastAsia="方正楷体_GBK" w:cs="Times New Roman"/>
          <w:b/>
          <w:bCs w:val="0"/>
          <w:color w:val="auto"/>
          <w:spacing w:val="-2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从波斯湾战火看欧洲能源体系面临的挑战</w:t>
      </w:r>
      <w:r>
        <w:rPr>
          <w:rFonts w:hint="eastAsia" w:ascii="Times New Roman" w:hAnsi="Times New Roman" w:eastAsia="方正楷体_GBK" w:cs="Times New Roman"/>
          <w:b/>
          <w:color w:val="auto"/>
          <w:spacing w:val="-20"/>
          <w:kern w:val="36"/>
          <w:sz w:val="30"/>
          <w:szCs w:val="30"/>
          <w:lang w:val="en-US" w:eastAsia="zh-CN"/>
        </w:rPr>
        <w:t xml:space="preserve">  / </w:t>
      </w:r>
      <w:r>
        <w:rPr>
          <w:rFonts w:hint="eastAsia" w:ascii="Times New Roman" w:hAnsi="Times New Roman" w:eastAsia="方正楷体_GBK" w:cs="Times New Roman"/>
          <w:b/>
          <w:bCs w:val="0"/>
          <w:color w:val="auto"/>
          <w:spacing w:val="-20"/>
          <w:kern w:val="36"/>
          <w:sz w:val="30"/>
          <w:szCs w:val="30"/>
          <w:lang w:val="en-US" w:eastAsia="zh-CN"/>
        </w:rPr>
        <w:t>02</w:t>
      </w:r>
    </w:p>
    <w:p w14:paraId="60016084">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楷体_GBK" w:cs="Times New Roman"/>
          <w:b/>
          <w:bCs w:val="0"/>
          <w:color w:val="auto"/>
          <w:spacing w:val="-2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从波斯湾冲突看美国决策的致命缺陷 </w:t>
      </w:r>
      <w:r>
        <w:rPr>
          <w:rFonts w:hint="eastAsia" w:ascii="Times New Roman" w:hAnsi="Times New Roman" w:eastAsia="方正楷体_GBK" w:cs="Times New Roman"/>
          <w:b/>
          <w:color w:val="auto"/>
          <w:spacing w:val="-20"/>
          <w:kern w:val="36"/>
          <w:sz w:val="30"/>
          <w:szCs w:val="30"/>
          <w:lang w:val="en-US" w:eastAsia="zh-CN"/>
        </w:rPr>
        <w:t xml:space="preserve"> /</w:t>
      </w:r>
      <w:r>
        <w:rPr>
          <w:rFonts w:hint="eastAsia" w:ascii="Times New Roman" w:hAnsi="Times New Roman" w:eastAsia="方正楷体_GBK" w:cs="Times New Roman"/>
          <w:b/>
          <w:bCs w:val="0"/>
          <w:color w:val="auto"/>
          <w:spacing w:val="-20"/>
          <w:kern w:val="36"/>
          <w:sz w:val="30"/>
          <w:szCs w:val="30"/>
          <w:lang w:val="en-US" w:eastAsia="zh-CN"/>
        </w:rPr>
        <w:t xml:space="preserve"> 13</w:t>
      </w:r>
    </w:p>
    <w:p w14:paraId="6302D357">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楷体_GBK" w:cs="Times New Roman"/>
          <w:b/>
          <w:bCs w:val="0"/>
          <w:color w:val="auto"/>
          <w:spacing w:val="-2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从金丝雀到白蚁：下一场金融危机的隐秘导火索</w:t>
      </w:r>
      <w:r>
        <w:rPr>
          <w:rFonts w:hint="eastAsia" w:ascii="Times New Roman" w:hAnsi="Times New Roman" w:eastAsia="方正楷体_GBK" w:cs="Times New Roman"/>
          <w:b/>
          <w:color w:val="auto"/>
          <w:spacing w:val="-28"/>
          <w:kern w:val="36"/>
          <w:sz w:val="30"/>
          <w:szCs w:val="30"/>
          <w:lang w:val="en-US" w:eastAsia="zh-CN"/>
        </w:rPr>
        <w:t xml:space="preserve">  </w:t>
      </w:r>
      <w:r>
        <w:rPr>
          <w:rFonts w:hint="eastAsia" w:ascii="Times New Roman" w:hAnsi="Times New Roman" w:eastAsia="方正楷体_GBK" w:cs="Times New Roman"/>
          <w:b/>
          <w:color w:val="auto"/>
          <w:spacing w:val="-20"/>
          <w:kern w:val="36"/>
          <w:sz w:val="30"/>
          <w:szCs w:val="30"/>
          <w:lang w:val="en-US" w:eastAsia="zh-CN"/>
        </w:rPr>
        <w:t xml:space="preserve">/ </w:t>
      </w:r>
      <w:r>
        <w:rPr>
          <w:rFonts w:hint="eastAsia" w:ascii="Times New Roman" w:hAnsi="Times New Roman" w:eastAsia="方正楷体_GBK" w:cs="Times New Roman"/>
          <w:b/>
          <w:bCs w:val="0"/>
          <w:color w:val="auto"/>
          <w:spacing w:val="-20"/>
          <w:kern w:val="36"/>
          <w:sz w:val="30"/>
          <w:szCs w:val="30"/>
          <w:lang w:val="en-US" w:eastAsia="zh-CN"/>
        </w:rPr>
        <w:t>26</w:t>
      </w:r>
    </w:p>
    <w:p w14:paraId="121BC05F">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color w:val="auto"/>
          <w:kern w:val="36"/>
          <w:sz w:val="30"/>
          <w:szCs w:val="30"/>
          <w:lang w:val="en-US" w:eastAsia="zh-CN"/>
        </w:rPr>
      </w:pPr>
      <w:r>
        <w:rPr>
          <w:rFonts w:hint="default" w:ascii="Times New Roman" w:hAnsi="Times New Roman" w:eastAsia="方正楷体_GBK" w:cs="Times New Roman"/>
          <w:b/>
          <w:color w:val="auto"/>
          <w:spacing w:val="-11"/>
          <w:kern w:val="36"/>
          <w:sz w:val="30"/>
          <w:szCs w:val="30"/>
          <w:lang w:val="en-US" w:eastAsia="zh-CN"/>
        </w:rPr>
        <w:t xml:space="preserve"> </w:t>
      </w:r>
      <w:bookmarkStart w:id="0" w:name="OLE_LINK12"/>
      <w:r>
        <w:rPr>
          <w:rFonts w:hint="eastAsia" w:ascii="Times New Roman" w:hAnsi="Times New Roman" w:eastAsia="方正楷体_GBK" w:cs="Times New Roman"/>
          <w:b/>
          <w:color w:val="auto"/>
          <w:spacing w:val="-11"/>
          <w:kern w:val="36"/>
          <w:sz w:val="30"/>
          <w:szCs w:val="30"/>
          <w:lang w:val="en-US" w:eastAsia="zh-CN"/>
        </w:rPr>
        <w:t xml:space="preserve"> </w:t>
      </w:r>
      <w:bookmarkEnd w:id="0"/>
    </w:p>
    <w:p w14:paraId="6B9B46C7">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宋体" w:cs="Times New Roman"/>
          <w:b/>
          <w:color w:val="FF0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eastAsia" w:ascii="方正公文黑体" w:hAnsi="方正公文黑体" w:eastAsia="方正公文黑体" w:cs="方正公文黑体"/>
          <w:b w:val="0"/>
          <w:bCs/>
          <w:color w:val="1F497D"/>
          <w:kern w:val="36"/>
          <w:sz w:val="32"/>
          <w:szCs w:val="32"/>
          <w:lang w:val="en-US" w:eastAsia="zh-CN"/>
          <w14:textFill>
            <w14:solidFill>
              <w14:srgbClr w14:val="1F497D">
                <w14:lumMod w14:val="60000"/>
                <w14:lumOff w14:val="40000"/>
              </w14:srgbClr>
            </w14:solidFill>
          </w14:textFill>
        </w:rPr>
        <w:t>会员企业风采</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 </w:t>
      </w:r>
      <w:r>
        <w:rPr>
          <w:rFonts w:hint="default" w:ascii="Times New Roman" w:hAnsi="Times New Roman" w:eastAsia="宋体" w:cs="Times New Roman"/>
          <w:b/>
          <w:color w:val="FF0000"/>
          <w:kern w:val="36"/>
          <w:sz w:val="32"/>
          <w:szCs w:val="32"/>
          <w:lang w:val="en-US" w:eastAsia="zh-CN"/>
        </w:rPr>
        <w:t>‧‧‧‧‧‧‧‧‧‧‧‧‧‧‧‧‧‧‧‧‧‧‧‧‧‧‧‧‧‧‧‧‧‧‧‧‧‧‧‧‧‧‧‧‧‧‧‧‧‧‧‧‧‧‧‧‧‧‧‧‧‧‧</w:t>
      </w:r>
    </w:p>
    <w:p w14:paraId="77C1FFD4">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宁波银行南京分行成功举办新加坡政企对接会</w:t>
      </w:r>
      <w:r>
        <w:rPr>
          <w:rFonts w:hint="eastAsia" w:ascii="Times New Roman" w:hAnsi="Times New Roman" w:eastAsia="方正楷体_GBK" w:cs="方正楷体_GBK"/>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0"/>
          <w:kern w:val="36"/>
          <w:sz w:val="30"/>
          <w:szCs w:val="30"/>
          <w:lang w:val="en-US" w:eastAsia="zh-CN"/>
        </w:rPr>
        <w:t>/ 43</w:t>
      </w:r>
    </w:p>
    <w:p w14:paraId="5ED6037D">
      <w:pPr>
        <w:keepNext w:val="0"/>
        <w:keepLines w:val="0"/>
        <w:pageBreakBefore w:val="0"/>
        <w:widowControl/>
        <w:kinsoku/>
        <w:wordWrap/>
        <w:overflowPunct/>
        <w:topLinePunct w:val="0"/>
        <w:autoSpaceDE/>
        <w:autoSpaceDN/>
        <w:bidi w:val="0"/>
        <w:adjustRightInd/>
        <w:snapToGrid/>
        <w:ind w:firstLine="568" w:firstLineChars="200"/>
        <w:textAlignment w:val="auto"/>
        <w:outlineLvl w:val="9"/>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镔钢集团成功入选2025年度绿色工厂名单</w:t>
      </w:r>
      <w:r>
        <w:rPr>
          <w:rFonts w:hint="eastAsia" w:ascii="Times New Roman" w:hAnsi="Times New Roman" w:eastAsia="方正楷体_GBK" w:cs="方正楷体_GBK"/>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0"/>
          <w:kern w:val="36"/>
          <w:sz w:val="30"/>
          <w:szCs w:val="30"/>
          <w:lang w:val="en-US" w:eastAsia="zh-CN"/>
        </w:rPr>
        <w:t>/ 44</w:t>
      </w:r>
    </w:p>
    <w:p w14:paraId="302B3E09">
      <w:pPr>
        <w:keepNext w:val="0"/>
        <w:keepLines w:val="0"/>
        <w:pageBreakBefore w:val="0"/>
        <w:widowControl/>
        <w:kinsoku/>
        <w:wordWrap/>
        <w:overflowPunct/>
        <w:topLinePunct w:val="0"/>
        <w:autoSpaceDE/>
        <w:autoSpaceDN/>
        <w:bidi w:val="0"/>
        <w:adjustRightInd/>
        <w:snapToGrid/>
        <w:ind w:firstLine="568" w:firstLineChars="200"/>
        <w:textAlignment w:val="auto"/>
        <w:outlineLvl w:val="9"/>
        <w:rPr>
          <w:rFonts w:hint="default" w:ascii="Times New Roman" w:hAnsi="Times New Roman" w:eastAsia="方正楷体_GBK" w:cs="Times New Roman"/>
          <w:b/>
          <w:color w:val="auto"/>
          <w:spacing w:val="-2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今世缘品牌入选“中国消费名品”名单</w:t>
      </w:r>
      <w:r>
        <w:rPr>
          <w:rFonts w:hint="eastAsia" w:ascii="Times New Roman" w:hAnsi="Times New Roman" w:eastAsia="方正楷体_GBK" w:cs="Times New Roman"/>
          <w:b/>
          <w:color w:val="auto"/>
          <w:spacing w:val="-20"/>
          <w:kern w:val="36"/>
          <w:sz w:val="30"/>
          <w:szCs w:val="30"/>
          <w:lang w:val="en-US" w:eastAsia="zh-CN"/>
        </w:rPr>
        <w:t xml:space="preserve"> </w:t>
      </w:r>
      <w:r>
        <w:rPr>
          <w:rFonts w:hint="eastAsia" w:ascii="Times New Roman" w:hAnsi="Times New Roman" w:eastAsia="方正楷体_GBK" w:cs="Times New Roman"/>
          <w:b/>
          <w:color w:val="auto"/>
          <w:spacing w:val="0"/>
          <w:kern w:val="36"/>
          <w:sz w:val="30"/>
          <w:szCs w:val="30"/>
          <w:lang w:val="en-US" w:eastAsia="zh-CN"/>
        </w:rPr>
        <w:t>/ 45</w:t>
      </w:r>
    </w:p>
    <w:p w14:paraId="75C95EF9">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p>
    <w:p w14:paraId="3A6BEFA8">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w:t>
      </w:r>
      <w:r>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经贸分析</w:t>
      </w:r>
    </w:p>
    <w:p w14:paraId="5B195499">
      <w:pPr>
        <w:keepNext w:val="0"/>
        <w:keepLines w:val="0"/>
        <w:pageBreakBefore w:val="0"/>
        <w:widowControl w:val="0"/>
        <w:kinsoku/>
        <w:wordWrap/>
        <w:overflowPunct/>
        <w:topLinePunct w:val="0"/>
        <w:autoSpaceDE/>
        <w:autoSpaceDN/>
        <w:bidi w:val="0"/>
        <w:adjustRightInd/>
        <w:snapToGrid/>
        <w:spacing w:line="580" w:lineRule="exact"/>
        <w:ind w:right="0" w:rightChars="0"/>
        <w:jc w:val="both"/>
        <w:textAlignment w:val="auto"/>
        <w:outlineLvl w:val="9"/>
        <w:rPr>
          <w:rFonts w:hint="default" w:ascii="Times New Roman" w:hAnsi="Times New Roman" w:eastAsia="方正仿宋_GBK" w:cs="Times New Roman"/>
          <w:b w:val="0"/>
          <w:bCs w:val="0"/>
          <w:sz w:val="32"/>
          <w:szCs w:val="32"/>
          <w:lang w:eastAsia="zh-CN"/>
        </w:rPr>
      </w:pPr>
    </w:p>
    <w:p w14:paraId="78D39E6B">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default" w:ascii="Times New Roman" w:hAnsi="Times New Roman" w:eastAsia="方正仿宋_GBK" w:cs="Times New Roman"/>
          <w:b w:val="0"/>
          <w:bCs w:val="0"/>
          <w:sz w:val="32"/>
          <w:szCs w:val="32"/>
        </w:rPr>
      </w:pPr>
      <w:r>
        <w:rPr>
          <w:rFonts w:hint="eastAsia" w:ascii="方正小标宋_GBK" w:hAnsi="方正小标宋_GBK" w:eastAsia="方正小标宋_GBK" w:cs="方正小标宋_GBK"/>
          <w:b/>
          <w:bCs/>
          <w:color w:val="2E75B6" w:themeColor="accent1" w:themeShade="BF"/>
          <w:sz w:val="44"/>
          <w:szCs w:val="44"/>
          <w:highlight w:val="none"/>
          <w:lang w:val="en-US" w:eastAsia="zh-CN"/>
        </w:rPr>
        <w:t>从波斯湾战火看欧洲能源体系面临的挑战</w:t>
      </w:r>
    </w:p>
    <w:p w14:paraId="0868357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p>
    <w:p w14:paraId="496E6AF0">
      <w:pPr>
        <w:keepNext w:val="0"/>
        <w:keepLines w:val="0"/>
        <w:pageBreakBefore w:val="0"/>
        <w:widowControl w:val="0"/>
        <w:kinsoku/>
        <w:wordWrap/>
        <w:overflowPunct/>
        <w:topLinePunct w:val="0"/>
        <w:autoSpaceDE/>
        <w:autoSpaceDN/>
        <w:bidi w:val="0"/>
        <w:adjustRightInd/>
        <w:snapToGrid/>
        <w:spacing w:line="50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摘要</w:t>
      </w:r>
      <w:r>
        <w:rPr>
          <w:rFonts w:hint="eastAsia" w:ascii="方正楷体_GBK" w:hAnsi="方正楷体_GBK" w:eastAsia="方正楷体_GBK" w:cs="方正楷体_GBK"/>
          <w:b w:val="0"/>
          <w:bCs w:val="0"/>
          <w:sz w:val="28"/>
          <w:szCs w:val="28"/>
          <w:lang w:val="en-US" w:eastAsia="zh-CN"/>
        </w:rPr>
        <w:t>：本文聚焦</w:t>
      </w:r>
      <w:r>
        <w:rPr>
          <w:rFonts w:hint="default" w:ascii="Times New Roman" w:hAnsi="Times New Roman" w:eastAsia="方正楷体_GBK" w:cs="Times New Roman"/>
          <w:b w:val="0"/>
          <w:bCs w:val="0"/>
          <w:sz w:val="28"/>
          <w:szCs w:val="28"/>
          <w:lang w:val="en-US" w:eastAsia="zh-CN"/>
        </w:rPr>
        <w:t>2026</w:t>
      </w:r>
      <w:r>
        <w:rPr>
          <w:rFonts w:hint="eastAsia" w:ascii="方正楷体_GBK" w:hAnsi="方正楷体_GBK" w:eastAsia="方正楷体_GBK" w:cs="方正楷体_GBK"/>
          <w:b w:val="0"/>
          <w:bCs w:val="0"/>
          <w:sz w:val="28"/>
          <w:szCs w:val="28"/>
          <w:lang w:val="en-US" w:eastAsia="zh-CN"/>
        </w:rPr>
        <w:t>年波斯湾战事升级的外部冲击，围绕欧洲能源体系暴露的系统性风险与结构性挑战展开研究，属于地缘政治、能源经济与气候政策交叉研究领域。文章阐明，霍尔木兹海峡航运受阻与</w:t>
      </w:r>
      <w:r>
        <w:rPr>
          <w:rFonts w:hint="eastAsia" w:ascii="Times New Roman" w:hAnsi="Times New Roman" w:eastAsia="方正楷体_GBK" w:cs="Times New Roman"/>
          <w:b w:val="0"/>
          <w:bCs w:val="0"/>
          <w:sz w:val="28"/>
          <w:szCs w:val="28"/>
          <w:lang w:val="en-US" w:eastAsia="zh-CN"/>
        </w:rPr>
        <w:t>LNG</w:t>
      </w:r>
      <w:r>
        <w:rPr>
          <w:rFonts w:hint="eastAsia" w:ascii="方正楷体_GBK" w:hAnsi="方正楷体_GBK" w:eastAsia="方正楷体_GBK" w:cs="方正楷体_GBK"/>
          <w:b w:val="0"/>
          <w:bCs w:val="0"/>
          <w:sz w:val="28"/>
          <w:szCs w:val="28"/>
          <w:lang w:val="en-US" w:eastAsia="zh-CN"/>
        </w:rPr>
        <w:t>设施遇袭直接引发欧洲天然气价格暴涨，加剧输入型通胀，制约欧洲央行货币政策空间。在此基础上，系统剖析了欧洲能源体系的多重深层矛盾：能源成本高企削弱基础工业竞争力，引发产能外迁风险；短期行政价格干预效果有限且易扭曲市场信号；电力边际定价机制放大了各国能源转型差异带来的电价分化；欧盟在电网投资成本分担、碳市场机制调整上分歧显著。研究揭示了欧洲能源转型路径的脆弱性，指出其困境本质是气候理想与地缘现实的矛盾，并提出了提升能源供应链韧性的务实方向。</w:t>
      </w:r>
    </w:p>
    <w:p w14:paraId="650D4E1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lang w:val="en-US" w:eastAsia="zh-CN"/>
        </w:rPr>
      </w:pPr>
    </w:p>
    <w:p w14:paraId="3800FC3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正文</w:t>
      </w:r>
      <w:r>
        <w:rPr>
          <w:rFonts w:hint="eastAsia" w:ascii="Times New Roman" w:hAnsi="Times New Roman" w:eastAsia="方正仿宋_GBK" w:cs="Times New Roman"/>
          <w:b w:val="0"/>
          <w:bCs w:val="0"/>
          <w:sz w:val="32"/>
          <w:szCs w:val="32"/>
          <w:lang w:val="en-US" w:eastAsia="zh-CN"/>
        </w:rPr>
        <w:t>：</w:t>
      </w:r>
    </w:p>
    <w:p w14:paraId="26D8BC1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2026年3月，波斯湾地区战事升级，对欧洲能源供应形成了直接冲击。伊朗对卡塔尔拉斯拉凡LNG设施的导弹袭击，以及霍尔木兹海峡航运受阻，导致液化天然气（LNG）运输通道受到显著影响，欧洲天然气进口路径面临阶段性中断。</w:t>
      </w:r>
    </w:p>
    <w:p w14:paraId="775B3AA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欧洲基准的荷兰TTF天然气期货价格，从冲突升级前的约32欧元/兆瓦时，快速升至50欧元以上区间，峰值一度触及近70欧元附近。以当前市场水平为例（3月下旬），TTF价格在59-61欧元/兆瓦时区间波动，而美国Henry Hub天然气价格维持在约3美元/百万英热单位（MMBtu）左右。按能量等价和汇率换算，两者折合约价差仍达5-6倍。</w:t>
      </w:r>
    </w:p>
    <w:p w14:paraId="5C93CBE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这一显著价差直接转化为欧洲的额外采购成本。根据欧盟委员会初步估算，自3月初冲突加剧以来，欧洲为补充天然气缺口已额外支出约60亿欧元。这既加剧外汇压力，也构成输入型通胀的潜在来源。</w:t>
      </w:r>
    </w:p>
    <w:p w14:paraId="7DD3882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牛津经济研究院的模型分析指出，若中东局势持续数月，欧洲核心通胀率可能从当前的2%左右回升至4%或更高水平，这将对欧洲央行的货币政策路径产生制约，降息节奏或需相应调整。</w:t>
      </w:r>
    </w:p>
    <w:p w14:paraId="72C7B15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一、能源成本上升对欧洲基础工业的影响</w:t>
      </w:r>
    </w:p>
    <w:p w14:paraId="3D86B3A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天然气价格波动直接传导至欧洲基础化学工业的成本结构。</w:t>
      </w:r>
    </w:p>
    <w:p w14:paraId="338014E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根据行业数据，2021年能源成本在欧洲基础化学品附加值中占比约为28%。经过俄乌战争及当前波斯湾战火的双重影响，这一比例已上升至42%左右。随着天然气价格再度上行，企业的成本压力进一步加大。</w:t>
      </w:r>
    </w:p>
    <w:p w14:paraId="5A50C7C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全球市场竞争中，这一变化形成了明显的结构性差异。中国化学品价格指数在过去三年内累计下降约36%，而欧洲企业面临的生产成本持续上升。结果是欧洲部分高耗能产能的竞争力受到削弱，部分企业选择调整产能布局或优化供应链。</w:t>
      </w:r>
    </w:p>
    <w:p w14:paraId="5EB41F9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基础化学品作为高端制造业、制药、先进复合材料以及电池材料产业链的上游环节，具有战略重要性，本土产能的稳定直接关系到欧洲工业体系的完整性和供应链韧性。</w:t>
      </w:r>
    </w:p>
    <w:p w14:paraId="5B70777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当前形势已引发欧洲内部对产业政策和能源战略的讨论。部分国家领导人提出需重新审视与主要能源供应国（如俄罗斯）的关系，以缓解长期成本压力。尽管相关观点在欧盟层面存在分歧，但反映出能源成本对工业竞争力的深层影响。</w:t>
      </w:r>
    </w:p>
    <w:p w14:paraId="439CCC6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与此同时，欧洲主要化工企业已开始采取应对措施，包括将部分高耗能生产线转移至能源成本较低的地区（如美国页岩气产区或亚洲地区），以维持整体盈利能力。这类调整进一步凸显了能源价格在全球产业分工中的决定性作用。</w:t>
      </w:r>
    </w:p>
    <w:p w14:paraId="1EA976C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总体而言，当前欧洲基础工业面临的并非单一事件冲击，而是能源价格长期高位运行与全球竞争格局变化的叠加效应。</w:t>
      </w:r>
    </w:p>
    <w:p w14:paraId="16D63AC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二、行政干预的局限性与市场扭曲的风险</w:t>
      </w:r>
    </w:p>
    <w:p w14:paraId="57CCAB9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面对天然气价格高企与通胀压力上升，欧洲各国政府已开始采取一系列行政措施，以缓解企业和居民的短期负担。</w:t>
      </w:r>
    </w:p>
    <w:p w14:paraId="7305D01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例如，奥地利规定加油站每周价格调整次数不得超过三次；法国道达尔能源公司宣布短期内冻结部分燃料零售价格至月底；意大利政府则考虑重新引入针对能源企业的暴利税机制。这些措施旨在通过行政命令稳定终端价格，减轻输入型通胀对消费者和中小企业的直接冲击。</w:t>
      </w:r>
    </w:p>
    <w:p w14:paraId="13A9E46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然而，此类干预本质上属于短期应急手段，其效果有限且可能带来长期副作用。价格管制或冻结虽能暂时抑制终端零售端的上涨，但无法改变上游天然气采购成本的现实。企业为维持供应，仍需承担高位进口价格，最终可能通过其他渠道（如减少投资、提高其他产品价格或压缩利润）转嫁成本。</w:t>
      </w:r>
    </w:p>
    <w:p w14:paraId="228DA79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更重要的是，行政干预容易扭曲市场信号。在正常市场环境下，价格上涨本应引导资源向高效利用方向配置，例如刺激企业加速能源效率提升、转向可再生能源替代，或推动天然气进口多元化。但当政府直接设定价格上限或限制调整频率时，市场激励机制被削弱，可能导致供应短缺加剧、黑市交易增加，或投资决策脱离实际成本。</w:t>
      </w:r>
    </w:p>
    <w:p w14:paraId="04AD77C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从历史经验看，类似价格干预在能源危机期间往往难以持续。2022年俄乌战争爆发后，多国曾实施能源价格上限或补贴，但随后面临财政负担过重、扭曲能源消费结构等问题，最终不得不逐步退出或调整。当前，若欧洲各国过度依赖行政手段，而非从根本上优化能源结构，可能延缓结构性调整进程，进一步放大产业成本压力。</w:t>
      </w:r>
    </w:p>
    <w:p w14:paraId="2E25AEC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三、电力市场机制的结构性矛盾</w:t>
      </w:r>
    </w:p>
    <w:p w14:paraId="14B884A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天然气价格波动不仅影响化工等高耗能行业，还通过电力市场传导至更广泛的经济领域。欧洲电力市场普遍采用的“边际定价机制”，即由满足最后单位需求的发电机组决定全市场统一结算价格，这种定价机制成为当前争议的焦点。</w:t>
      </w:r>
    </w:p>
    <w:p w14:paraId="064D4A1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简单来说，这一机制类似于拍卖市场中的“统一出清价”：所有发电机组按边际成本（主要是燃料和可变运营成本）从低到高排序，优先调度成本最低的机组（如风电、光伏、核电），直到满足需求。最后被调度的机组（边际机组）的成本决定了所有发电机组当期的统一结算价格——无论成本高低，所有机组都按这个价格结算，同时所有消费者也按此价格支付电费。</w:t>
      </w:r>
    </w:p>
    <w:p w14:paraId="1FD6C1D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例如：某小时电力需求为1000兆瓦时（MWh），可用机组排序如下：</w:t>
      </w:r>
    </w:p>
    <w:p w14:paraId="6BF4CD7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风电和光伏：边际成本接近0欧元/MWh，可提供600 MWh；</w:t>
      </w:r>
    </w:p>
    <w:p w14:paraId="77CE011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核电：成本约10欧元/MWh，提供200 MWh；</w:t>
      </w:r>
    </w:p>
    <w:p w14:paraId="4E700DB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燃气发电：成本80欧元/MWh，提供剩余200 MWh。</w:t>
      </w:r>
    </w:p>
    <w:p w14:paraId="4EA10BA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系统优先调度风电、光伏和核电（总800 MWh），最后需燃气机组补足200 MWh。这时，燃气机组成为边际机组，其80欧元/MWh的成本决定了全市场的统一结算价——所有发电机组（包括成本为0的风电）都按80欧元/MWh获得收入，所有消费者也按此价格付费。</w:t>
      </w:r>
    </w:p>
    <w:p w14:paraId="22DCB30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因此，即使可再生能源占比已较高（在本例中60%），只要燃气发电仍需运行补足缺口，终端电价就会被高昂的天然气成本“主导”。这正是天然气价格波动传导至电力市场的关键传导路径。</w:t>
      </w:r>
    </w:p>
    <w:p w14:paraId="470DA10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种现象在不同国家表现差异显著。以意大利为例，今年以来约89%的时间段内，批发电价由燃气发电厂决定，3月份平均价格高达142欧元/兆瓦时。而在西班牙，天然气决定价格的时间仅占15%左右，同期平均批发电价约为59欧元/兆瓦时。</w:t>
      </w:r>
    </w:p>
    <w:p w14:paraId="562407A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一落差的核心原因在于两国能源结构的不同。西班牙在过去十年大力发展可再生能源，并构建了相对多元的发电组合，包括大量风电、光伏和部分水电，从而有效降低了边际机组对天然气发电的依赖。意大利则在可再生能源转型进度相对滞后，燃气发电仍占据较大比重，导致电价对天然气价格高度敏感。</w:t>
      </w:r>
    </w:p>
    <w:p w14:paraId="7592BD7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这一对比表明，边际定价机制本身是有效的市场信号，它准确反映了各国能源结构的现实差异，同时奖励提前布局可再生能源和多元化供应的国家，而对转型滞后的国家形成压力。</w:t>
      </w:r>
    </w:p>
    <w:p w14:paraId="41C636F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部分国家提出修改或暂停该机制，以降低电价压力。但专家普遍认为，此类调整可能削弱对新能源、储能和电网升级的投资激励。长期来看，稳定的价格信号是引导资本流入清洁能源基础设施的关键，如果机制频繁变动，可能导致投资者信心下降，延缓能源转型进程。</w:t>
      </w:r>
    </w:p>
    <w:p w14:paraId="0EFCBEA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当前欧洲电力市场的真正挑战在于，从以燃料变动成本为主的传统模式，向以固定基础设施成本为主的新模式转型。例如，未来风电、光伏与储能大规模并网后，边际成本趋近于零，但电网、储能、备用容量等固定成本如何回收，将成为电力市场设计的核心难题。而这正体现为，电网升级、跨国互联和储能设施的巨额投资需求，已成为制约进一步转型的结构性瓶颈。这一转变需要清晰的政策框架和稳定的市场预期，而非短期行政干预。</w:t>
      </w:r>
    </w:p>
    <w:p w14:paraId="4E9DB67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四、欧盟电网投资分担的内部矛盾</w:t>
      </w:r>
    </w:p>
    <w:p w14:paraId="6CAE2B6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为了应对可再生能源的间歇性并提升整体系统韧性，欧盟预计到2040年需要在电网升级和扩建上投入约1.4万亿欧元。这些投资主要用于高压输电线路建设、跨国互联项目、智能电网改造以及大规模储能设施部署。目前，电网固定成本已占普通家庭电费账单的约20%，且这一比例仍在持续上升。</w:t>
      </w:r>
    </w:p>
    <w:p w14:paraId="24DB977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跨国电网深度互联被视为最有效的成本节约路径之一。相关工程研究显示，如果实现更高程度的跨国资源共享，欧洲整体可节省高达500吉瓦的备用容量，从而显著降低对昂贵燃气备用电源的依赖。然而，在实际推进中，这一方案遭遇明显阻力。</w:t>
      </w:r>
    </w:p>
    <w:p w14:paraId="2F4705F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拥有庞大核电装机的法国，以及水电资源丰富的瑞典等国家，对无条件共享电网资源持谨慎甚至反对态度。这些国家认为，本国通过长期投资已形成相对稳定的低成本发电结构，若与其他国家深度互联，将间接补贴转型进度较慢的国家。这在政治层面难以获得国内支持，也导致欧盟层面电网集中规划方案多次受阻。</w:t>
      </w:r>
    </w:p>
    <w:p w14:paraId="7808AB9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这种“拉起吊桥”的现象，反映出欧洲内部在能源转型成本分担上的深刻分歧。能源转型的固定成本爆炸式增长，正在考验欧盟的团结与协调能力。</w:t>
      </w:r>
    </w:p>
    <w:p w14:paraId="51579EC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五、碳排放交易系统的压力与政策退步风险</w:t>
      </w:r>
    </w:p>
    <w:p w14:paraId="6A1E575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欧洲碳排放交易系统（EU ETS）作为全球规模最大的碳市场，其设计核心是通过市场化的碳配额交易机制，为企业排放温室气体设定价格信号，从而激励减排和推动绿色技术投资。该系统自2005年启动以来，已覆盖欧盟电力、工业和航空等主要高排放部门，并成为欧盟气候政策的核心支柱。</w:t>
      </w:r>
    </w:p>
    <w:p w14:paraId="5DAA4DF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然而，在当前天然气价格高企和能源供应不确定性加剧的背景下，EU ETS正面临显著的运行压力。碳配额价格的波动直接影响参与企业的运营成本，并通过电力和工业链条传导至更广泛的经济领域。</w:t>
      </w:r>
    </w:p>
    <w:p w14:paraId="633037F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截至2026年3月下旬，欧盟碳配额（EUA）基准价格在66-70欧元/吨区间震荡波动（3月17日一度跌至约64.93欧元/吨低点，随后回升至69欧元左右）。这一水平虽较2025年高点有所回落，但仍处于相对高位。对于使用天然气的发电机组，每兆瓦时电价需额外承担约20-25欧元的碳成本（根据天然气发电的排放因子约0.4吨CO2/MWh计算）。即使可再生能源发电占比持续上升，碳价仍会间接抬高整体电力市场结算价，并增加工业生产环节的成本负担。</w:t>
      </w:r>
    </w:p>
    <w:p w14:paraId="1A67067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在天然气短缺和电价高位运行的双重压力下，这一附加成本对重工业和能源密集型企业的影响尤为突出。欧盟部分成员国领导人已公开表达对EU ETS机制的关切，认为其在短期内加剧了能源危机对工业竞争力的冲击。</w:t>
      </w:r>
    </w:p>
    <w:p w14:paraId="4E86246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意大利总理梅洛尼表示，应在能源危机期间全面暂停或冻结碳定价机制对电力部门的适用，以保护工业部门和消费者利益。德国方面，基民党（CDU）部分领导人也开始讨论是否需要修改ETS规则，或通过无限期展延对高耗能行业的免费碳配额“落日条款”（原计划到2034年逐步全面取消免费配额），来缓解工业外迁风险。欧盟工商界代表则呼吁，重新审视免费配额的退出路径，以避免在国际竞争中进一步削弱欧洲制造业。</w:t>
      </w:r>
    </w:p>
    <w:p w14:paraId="45D66FC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些讨论反映出，欧盟原本设定的气候承诺正遭遇现实经济压力的严峻考验。欧盟委员会主席冯德莱恩在3月致欧盟领导人的信函中表示，将在短期内考虑调整市场稳定性储备（MSR）机制，以缓解碳价过度波动，并计划在2026年7月前提出ETS全面审查提案。该审查将重点评估如何在维持碳市场核心作用的前提下，降低对电力价格和工业供应链的冲击。</w:t>
      </w:r>
    </w:p>
    <w:p w14:paraId="67E8909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然而，任何对免费配额展延或机制调整的决定，都本质上构成对减碳路径的阶段性退让。虽然此类措施短期内可为企业提供喘息空间、降低碳泄漏风险，但长期来看，可能削弱碳市场的公信力、减弱企业对低碳投资的激励，并影响欧盟在全球气候治理中的领导地位。</w:t>
      </w:r>
    </w:p>
    <w:p w14:paraId="54A3439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欧盟内部对ETS的立场仍存在分歧：部分国家（如丹麦、芬兰、西班牙等）强调ETS作为市场化减排工具的不可替代性，并警告过度干预将损害长期投资信心；另一些国家则更关注当前能源成本对工业生存的直接威胁。欧盟委员会已明确表示，不会彻底拆除ETS，但愿意通过“临时且针对性”的调整来应对特定成员国的短期挑战。</w:t>
      </w:r>
    </w:p>
    <w:p w14:paraId="42FFC16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总体而言，当前形势下EU ETS的压力，不仅源于外部地缘能源冲击，更源于其作为气候政策工具与经济现实之间的内在矛盾。如何在维护减排目标的同时，平衡工业竞争力与能源安全，将是欧盟2026年ETS审查的核心议题。这一审查的结果，将深刻影响欧洲能源转型的节奏与路径。</w:t>
      </w:r>
    </w:p>
    <w:p w14:paraId="6F80509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六、能源战略的现实修正与地缘政治妥协</w:t>
      </w:r>
    </w:p>
    <w:p w14:paraId="2AA209C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过去十年，欧洲将能源转型视为一项带有道德光环的战略目标，制定了严格的环保法规，并寄希望于通过法规调控实现近零碳排放愿景。然而，地缘政治冲突暴露了这一路径的脆弱性：对俄罗斯能源依赖的减少，并未换来真正的独立，而是转向了一个高度复杂、资本密集且依赖关键矿物的电网系统。</w:t>
      </w:r>
    </w:p>
    <w:p w14:paraId="407B121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现实压力下，欧洲内部已出现明显的分化信号。匈牙利和斯洛伐克等高度依赖俄罗斯陆路管线的国家，可能拒绝配合2027年彻底切断俄罗斯管道天然气的计划。欧盟层面原本设定的“明年彻底停止进口俄罗斯液化天然气”的目标，也因供应缺口风险而变得难以执行。</w:t>
      </w:r>
    </w:p>
    <w:p w14:paraId="3BF073B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参与欧盟能源谈判的各国代表承认，欧盟难以同时在经济生存与地缘政治原则上赢得两场持久战。这意味着，在极端情况下，欧洲可能被迫在能源安全与气候承诺之间做出权衡，甚至维持部分俄罗斯天然气进口作为过渡缓冲。</w:t>
      </w:r>
    </w:p>
    <w:p w14:paraId="619D151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总之，欧洲当前的能源困境，是美好的气候理想与残酷的地缘现实之间的尖锐矛盾。能源从来不是单纯可以通过法规调控的商品，而是决定工业竞争力、国家安全和经济稳定的核心要素。单靠风电、光伏和电池储能，在可预见的未来难以提供绝对的能源安全。真正的解决方案在于重建实体韧性：加大战略天然气储备建设、加速智慧电网和跨国互联投资、探索地区差别电价机制，以及在转型过程中更务实地平衡成本分担与减排目标。</w:t>
      </w:r>
    </w:p>
    <w:p w14:paraId="06BCDDF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波斯湾的战火虽是外部触发，但它映照出的，是欧洲能源体系长期积累的结构性弱点。唯有直面这些问题，并在政策设计中注入更多现实考量，欧洲才能在下一次危机中避免付出更为惨痛的代价。</w:t>
      </w:r>
    </w:p>
    <w:p w14:paraId="7A8D7D19">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4544" w:firstLineChars="16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w:t>
      </w:r>
      <w:r>
        <w:rPr>
          <w:rFonts w:hint="eastAsia" w:ascii="Times New Roman" w:hAnsi="Times New Roman" w:eastAsia="方正楷体_GBK" w:cs="方正楷体_GBK"/>
          <w:b/>
          <w:bCs/>
          <w:color w:val="FF0000"/>
          <w:spacing w:val="0"/>
          <w:kern w:val="2"/>
          <w:sz w:val="30"/>
          <w:szCs w:val="30"/>
          <w:lang w:val="en-US" w:eastAsia="zh-CN" w:bidi="ar-SA"/>
        </w:rPr>
        <w:t>发展研究部 周斌、左亮</w:t>
      </w:r>
      <w:r>
        <w:rPr>
          <w:rFonts w:hint="default" w:ascii="Times New Roman" w:hAnsi="Times New Roman" w:eastAsia="方正楷体_GBK" w:cs="方正楷体_GBK"/>
          <w:b/>
          <w:bCs/>
          <w:color w:val="FF0000"/>
          <w:spacing w:val="0"/>
          <w:kern w:val="2"/>
          <w:sz w:val="30"/>
          <w:szCs w:val="30"/>
          <w:lang w:val="en-US" w:eastAsia="zh-CN" w:bidi="ar-SA"/>
        </w:rPr>
        <w:t>）</w:t>
      </w:r>
    </w:p>
    <w:p w14:paraId="0D6DE5FF">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1BD4A0E6">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3CEC7C31">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14B89F5F">
      <w:pPr>
        <w:keepNext w:val="0"/>
        <w:keepLines w:val="0"/>
        <w:pageBreakBefore w:val="0"/>
        <w:widowControl w:val="0"/>
        <w:kinsoku/>
        <w:wordWrap/>
        <w:overflowPunct/>
        <w:topLinePunct w:val="0"/>
        <w:autoSpaceDE/>
        <w:autoSpaceDN/>
        <w:bidi w:val="0"/>
        <w:adjustRightInd/>
        <w:snapToGrid/>
        <w:spacing w:line="580" w:lineRule="exact"/>
        <w:ind w:right="0" w:rightChars="0"/>
        <w:jc w:val="both"/>
        <w:textAlignment w:val="auto"/>
        <w:outlineLvl w:val="9"/>
        <w:rPr>
          <w:rFonts w:hint="default" w:ascii="Times New Roman" w:hAnsi="Times New Roman" w:eastAsia="方正仿宋_GBK" w:cs="Times New Roman"/>
          <w:b w:val="0"/>
          <w:bCs w:val="0"/>
          <w:sz w:val="32"/>
          <w:szCs w:val="32"/>
          <w:lang w:eastAsia="zh-CN"/>
        </w:rPr>
      </w:pPr>
    </w:p>
    <w:p w14:paraId="4EA6AD6A">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default" w:ascii="Times New Roman" w:hAnsi="Times New Roman" w:eastAsia="方正仿宋_GBK" w:cs="Times New Roman"/>
          <w:b w:val="0"/>
          <w:bCs w:val="0"/>
          <w:sz w:val="32"/>
          <w:szCs w:val="32"/>
        </w:rPr>
      </w:pPr>
      <w:r>
        <w:rPr>
          <w:rFonts w:hint="eastAsia" w:ascii="方正小标宋_GBK" w:hAnsi="方正小标宋_GBK" w:eastAsia="方正小标宋_GBK" w:cs="方正小标宋_GBK"/>
          <w:b/>
          <w:bCs/>
          <w:color w:val="2E75B6" w:themeColor="accent1" w:themeShade="BF"/>
          <w:sz w:val="44"/>
          <w:szCs w:val="44"/>
          <w:highlight w:val="none"/>
          <w:lang w:val="en-US" w:eastAsia="zh-CN"/>
        </w:rPr>
        <w:t>盲目的狂怒：陷入升级陷阱——从波斯湾冲突看美国决策的致命缺陷</w:t>
      </w:r>
    </w:p>
    <w:p w14:paraId="081A685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p>
    <w:p w14:paraId="6FC138B9">
      <w:pPr>
        <w:keepNext w:val="0"/>
        <w:keepLines w:val="0"/>
        <w:pageBreakBefore w:val="0"/>
        <w:widowControl w:val="0"/>
        <w:kinsoku/>
        <w:wordWrap/>
        <w:overflowPunct/>
        <w:topLinePunct w:val="0"/>
        <w:autoSpaceDE/>
        <w:autoSpaceDN/>
        <w:bidi w:val="0"/>
        <w:adjustRightInd/>
        <w:snapToGrid/>
        <w:spacing w:line="50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摘要</w:t>
      </w:r>
      <w:r>
        <w:rPr>
          <w:rFonts w:hint="eastAsia" w:ascii="方正楷体_GBK" w:hAnsi="方正楷体_GBK" w:eastAsia="方正楷体_GBK" w:cs="方正楷体_GBK"/>
          <w:b w:val="0"/>
          <w:bCs w:val="0"/>
          <w:sz w:val="28"/>
          <w:szCs w:val="28"/>
          <w:lang w:val="en-US" w:eastAsia="zh-CN"/>
        </w:rPr>
        <w:t>：本文聚焦</w:t>
      </w:r>
      <w:r>
        <w:rPr>
          <w:rFonts w:hint="default" w:ascii="Times New Roman" w:hAnsi="Times New Roman" w:eastAsia="方正楷体_GBK" w:cs="Times New Roman"/>
          <w:b w:val="0"/>
          <w:bCs w:val="0"/>
          <w:sz w:val="28"/>
          <w:szCs w:val="28"/>
          <w:lang w:val="en-US" w:eastAsia="zh-CN"/>
        </w:rPr>
        <w:t>2026</w:t>
      </w:r>
      <w:r>
        <w:rPr>
          <w:rFonts w:hint="eastAsia" w:ascii="方正楷体_GBK" w:hAnsi="方正楷体_GBK" w:eastAsia="方正楷体_GBK" w:cs="方正楷体_GBK"/>
          <w:b w:val="0"/>
          <w:bCs w:val="0"/>
          <w:sz w:val="28"/>
          <w:szCs w:val="28"/>
          <w:lang w:val="en-US" w:eastAsia="zh-CN"/>
        </w:rPr>
        <w:t>年美国对伊朗发动的波斯湾军事冲突，以冷战时期升级陷阱理论为核心分析框架，深入研究美国军事决策的致命缺陷与冲突持续升级的内在逻辑，属于地缘政治、国际安全与军事战略交叉研究领域。文章系统阐释了升级陷阱的理论内核，以越南战争为历史镜鉴，还原了冲突三周内从“外科手术式”斩首突袭滑向全面地区战争的全过程，剖析了战略目标误判、经济武器化反噬、领导人政治困境绑架国家战略三大核心失控动因，同时分析了冲突引发的全球能源危机、通胀螺旋与经济衰退风险。文章推演了冲突的四种可能结局，总结了升级陷阱的核心教训，为地缘冲突的预防与管控提供了战略启示。</w:t>
      </w:r>
    </w:p>
    <w:p w14:paraId="3744790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lang w:val="en-US" w:eastAsia="zh-CN"/>
        </w:rPr>
      </w:pPr>
    </w:p>
    <w:p w14:paraId="2A7D23B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黑体_GBK" w:hAnsi="方正黑体_GBK" w:eastAsia="方正黑体_GBK" w:cs="方正黑体_GBK"/>
          <w:b w:val="0"/>
          <w:bCs w:val="0"/>
          <w:sz w:val="32"/>
          <w:szCs w:val="32"/>
          <w:lang w:val="en-US" w:eastAsia="zh-CN"/>
        </w:rPr>
        <w:t>正文</w:t>
      </w:r>
      <w:r>
        <w:rPr>
          <w:rFonts w:hint="eastAsia" w:ascii="Times New Roman" w:hAnsi="Times New Roman" w:eastAsia="方正仿宋_GBK" w:cs="Times New Roman"/>
          <w:b w:val="0"/>
          <w:bCs w:val="0"/>
          <w:sz w:val="32"/>
          <w:szCs w:val="32"/>
          <w:lang w:val="en-US" w:eastAsia="zh-CN"/>
        </w:rPr>
        <w:t>：</w:t>
      </w:r>
    </w:p>
    <w:p w14:paraId="23E7BA3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2026年2月28日凌晨，当美国和以色列的战机编队飞越波斯湾上空时，白宫相信这将是一场“外科手术式”的速战速决：精准斩首伊朗最高领袖哈梅内伊，摧毁其核设施和导弹基地，迫使德黑兰政权在数日内投降——这是特朗普政府的如意算盘。然而，仅仅25天后的今天（3月23日），全球却目睹了一场没有尽头的地区战争：霍尔木兹海峡持续关闭，迪拜原油现货价格突破每桶150美元，亚洲多国实施燃料配给，中东数千人死亡，世界经济在衰退边缘摇摇欲坠。</w:t>
      </w:r>
    </w:p>
    <w:p w14:paraId="2C000D6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《经济学人》周刊用连续三期封面聚焦这场危机，最新一期（3月21日）的标题一针见血：</w:t>
      </w:r>
      <w:r>
        <w:rPr>
          <w:rFonts w:hint="eastAsia" w:ascii="Times New Roman" w:hAnsi="Times New Roman" w:eastAsia="方正仿宋_GBK" w:cs="Times New Roman"/>
          <w:b w:val="0"/>
          <w:bCs w:val="0"/>
          <w:sz w:val="32"/>
          <w:szCs w:val="32"/>
          <w:lang w:eastAsia="zh-CN"/>
        </w:rPr>
        <w:t>“</w:t>
      </w:r>
      <w:r>
        <w:rPr>
          <w:rFonts w:hint="eastAsia" w:ascii="Times New Roman" w:hAnsi="Times New Roman" w:eastAsia="方正仿宋_GBK" w:cs="Times New Roman"/>
          <w:b w:val="0"/>
          <w:bCs w:val="0"/>
          <w:sz w:val="32"/>
          <w:szCs w:val="32"/>
        </w:rPr>
        <w:t>Operation Blind Fury:War in Iran is making Donald Trump weaker—and angrier</w:t>
      </w:r>
      <w:r>
        <w:rPr>
          <w:rFonts w:hint="eastAsia" w:ascii="Times New Roman" w:hAnsi="Times New Roman" w:eastAsia="方正仿宋_GBK" w:cs="Times New Roman"/>
          <w:b w:val="0"/>
          <w:bCs w:val="0"/>
          <w:sz w:val="32"/>
          <w:szCs w:val="32"/>
          <w:lang w:eastAsia="zh-CN"/>
        </w:rPr>
        <w:t>”</w:t>
      </w:r>
      <w:r>
        <w:rPr>
          <w:rFonts w:hint="eastAsia" w:ascii="Times New Roman" w:hAnsi="Times New Roman" w:eastAsia="方正仿宋_GBK" w:cs="Times New Roman"/>
          <w:b w:val="0"/>
          <w:bCs w:val="0"/>
          <w:sz w:val="32"/>
          <w:szCs w:val="32"/>
        </w:rPr>
        <w:t>（盲目的狂怒行动：伊朗战争让特朗普更弱势也更愤怒）。从美国军事行动的代号</w:t>
      </w:r>
      <w:r>
        <w:rPr>
          <w:rFonts w:hint="eastAsia" w:ascii="Times New Roman" w:hAnsi="Times New Roman" w:eastAsia="方正仿宋_GBK" w:cs="Times New Roman"/>
          <w:b w:val="0"/>
          <w:bCs w:val="0"/>
          <w:sz w:val="32"/>
          <w:szCs w:val="32"/>
          <w:lang w:eastAsia="zh-CN"/>
        </w:rPr>
        <w:t>“</w:t>
      </w:r>
      <w:r>
        <w:rPr>
          <w:rFonts w:hint="eastAsia" w:ascii="Times New Roman" w:hAnsi="Times New Roman" w:eastAsia="方正仿宋_GBK" w:cs="Times New Roman"/>
          <w:b w:val="0"/>
          <w:bCs w:val="0"/>
          <w:sz w:val="32"/>
          <w:szCs w:val="32"/>
        </w:rPr>
        <w:t>Epic Fury</w:t>
      </w:r>
      <w:r>
        <w:rPr>
          <w:rFonts w:hint="eastAsia" w:ascii="Times New Roman" w:hAnsi="Times New Roman" w:eastAsia="方正仿宋_GBK" w:cs="Times New Roman"/>
          <w:b w:val="0"/>
          <w:bCs w:val="0"/>
          <w:sz w:val="32"/>
          <w:szCs w:val="32"/>
          <w:lang w:eastAsia="zh-CN"/>
        </w:rPr>
        <w:t>”</w:t>
      </w:r>
      <w:r>
        <w:rPr>
          <w:rFonts w:hint="eastAsia" w:ascii="Times New Roman" w:hAnsi="Times New Roman" w:eastAsia="方正仿宋_GBK" w:cs="Times New Roman"/>
          <w:b w:val="0"/>
          <w:bCs w:val="0"/>
          <w:sz w:val="32"/>
          <w:szCs w:val="32"/>
        </w:rPr>
        <w:t>（史诗怒火）到媒体讽刺的</w:t>
      </w:r>
      <w:r>
        <w:rPr>
          <w:rFonts w:hint="eastAsia" w:ascii="Times New Roman" w:hAnsi="Times New Roman" w:eastAsia="方正仿宋_GBK" w:cs="Times New Roman"/>
          <w:b w:val="0"/>
          <w:bCs w:val="0"/>
          <w:sz w:val="32"/>
          <w:szCs w:val="32"/>
          <w:lang w:eastAsia="zh-CN"/>
        </w:rPr>
        <w:t>“</w:t>
      </w:r>
      <w:r>
        <w:rPr>
          <w:rFonts w:hint="eastAsia" w:ascii="Times New Roman" w:hAnsi="Times New Roman" w:eastAsia="方正仿宋_GBK" w:cs="Times New Roman"/>
          <w:b w:val="0"/>
          <w:bCs w:val="0"/>
          <w:sz w:val="32"/>
          <w:szCs w:val="32"/>
        </w:rPr>
        <w:t>Blind Fury</w:t>
      </w:r>
      <w:r>
        <w:rPr>
          <w:rFonts w:hint="eastAsia" w:ascii="Times New Roman" w:hAnsi="Times New Roman" w:eastAsia="方正仿宋_GBK" w:cs="Times New Roman"/>
          <w:b w:val="0"/>
          <w:bCs w:val="0"/>
          <w:sz w:val="32"/>
          <w:szCs w:val="32"/>
          <w:lang w:eastAsia="zh-CN"/>
        </w:rPr>
        <w:t>”</w:t>
      </w:r>
      <w:r>
        <w:rPr>
          <w:rFonts w:hint="eastAsia" w:ascii="Times New Roman" w:hAnsi="Times New Roman" w:eastAsia="方正仿宋_GBK" w:cs="Times New Roman"/>
          <w:b w:val="0"/>
          <w:bCs w:val="0"/>
          <w:sz w:val="32"/>
          <w:szCs w:val="32"/>
        </w:rPr>
        <w:t>（盲目狂怒），一个词的变化，道出了这场战争的本质——它不是精心策划的战略行动，而是一个教科书般的“升级陷阱”案例。</w:t>
      </w:r>
    </w:p>
    <w:p w14:paraId="07760C7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一、什么是升级陷阱</w:t>
      </w:r>
    </w:p>
    <w:p w14:paraId="1FFC70F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升级陷阱理论诞生于冷战时期的核战略研究。1960年，美国战略学家赫尔曼·卡恩在《论热核战争》一书中首次系统化地提出“升级阶梯”概念：从和平状态到全面核战争，可以划分为44个台阶。每一级升级都看似合理且可控，但累积效应会导致不可逆转的灾难。卡恩警告说：“升级的危险不在于某一步本身有多疯狂，而在于每一步都显得只是顺势而为甚至是必须之举——直到发现已经走到了无法回头的地步。”</w:t>
      </w:r>
    </w:p>
    <w:p w14:paraId="6197E5E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个理论的核心观点是：战争的升级容易（顺势而下），但降级极难（逆势而上）。就像一个漏斗，一旦掉进去，重力会将你不断拉向更深处；想要爬出来，则需要克服巨大的阻力——政治面子、沉没成本、盟友绑架、国内压力……所有这些因素合力将决策者锁定在失败的路径上。</w:t>
      </w:r>
    </w:p>
    <w:p w14:paraId="6060ABC1">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方正仿宋_GBK" w:cs="Times New Roman"/>
          <w:b w:val="0"/>
          <w:bCs w:val="0"/>
          <w:sz w:val="32"/>
          <w:szCs w:val="32"/>
        </w:rPr>
      </w:pPr>
      <w:r>
        <w:drawing>
          <wp:inline distT="0" distB="0" distL="114300" distR="114300">
            <wp:extent cx="3513455" cy="2342515"/>
            <wp:effectExtent l="0" t="0" r="1079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3513455" cy="2342515"/>
                    </a:xfrm>
                    <a:prstGeom prst="rect">
                      <a:avLst/>
                    </a:prstGeom>
                    <a:noFill/>
                    <a:ln>
                      <a:noFill/>
                    </a:ln>
                  </pic:spPr>
                </pic:pic>
              </a:graphicData>
            </a:graphic>
          </wp:inline>
        </w:drawing>
      </w:r>
    </w:p>
    <w:p w14:paraId="19BB70F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越南战争是升级陷阱最惨痛的历史验证。美国的介入从1955年的数百名军事顾问，逐步升级到1968年的53.6万驻军。每次增兵都基于同一个逻辑：”再增加一点压力，敌人就会崩溃。“然而，尽管美军拥有压倒性的火力优势，北越的意志从未被摧毁。当美国终于在1973年撤退时，已经付出了5.8万名士兵的生命和数千亿美元的代价——而战争的最终结局仍是失败。</w:t>
      </w:r>
    </w:p>
    <w:p w14:paraId="5571E54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本次美国在波斯湾的军事行动正在重演这个悲剧，而且速度更快、后果更严重。</w:t>
      </w:r>
    </w:p>
    <w:p w14:paraId="2028C29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二、美国正滑落陷阱</w:t>
      </w:r>
    </w:p>
    <w:p w14:paraId="7925883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楷体_GBK" w:hAnsi="方正楷体_GBK" w:eastAsia="方正楷体_GBK" w:cs="方正楷体_GBK"/>
          <w:b w:val="0"/>
          <w:bCs w:val="0"/>
          <w:sz w:val="32"/>
          <w:szCs w:val="32"/>
        </w:rPr>
        <w:t>第一周：同时触发四个关键临界点——从精准突袭滑向全面战争</w:t>
      </w:r>
    </w:p>
    <w:p w14:paraId="443CA24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月28日的突袭在军事上堪称完美：900架次空袭在12小时内完成，伊朗最高领袖哈梅内伊及数十名伊朗高级官员遇害，伊朗防空系统被压制。但华盛顿和特拉维夫犯了一个致命的误判——他们假设哈梅内伊之死会导致伊朗政权瘫痪或内部混乱。</w:t>
      </w:r>
    </w:p>
    <w:p w14:paraId="1DBB178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现实恰恰相反。伊朗权力交接在数小时内完成，哈梅内伊之子穆吉塔巴被任命为临时最高领袖，而且新领导层比前任更加强硬。斩首非但没有缩短战争，反而关闭了外交通道——死者无法谈判，而继任者必须通过复仇来证明自己的合法性。更糟糕的是，一枚导弹击中了一所女子学校，造成170人死亡。这个所谓“地图未及时更新导致的技术失误”极大强化伊朗及全球人民的仇恨和反对。</w:t>
      </w:r>
    </w:p>
    <w:p w14:paraId="0D68364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美国原本希望速战速决，但在第一天就触发了升级陷阱的四个关键临界点：一是公开承诺导致退出成本上升，特朗普公开承诺军事行动的目的是“消除伊朗威胁”，因此目标实现前撤退就等于承认失败；二是谈判对象消失，哈梅内伊遇害关闭了外交通道；三是平民伤亡导致道德基础丧失；四是霍尔木兹海峡因战事关闭，绑架了全球经济，外部压力迫使美国必须速战速决。这四个临界点通常需要数周甚至数月才会累积，但现在在24小时内同时触发——陷阱的齿轮开始自我运转。</w:t>
      </w:r>
    </w:p>
    <w:p w14:paraId="68AF9C8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伊朗的反击同样出人意料。他们无法对等打击美国本土，于是采取“水平升级”策略：攻击美国在中东的盟友。卡塔尔、阿联酋、巴林、科威特、沙特的美军基地、机场、能源设施遭到数百枚导弹和数千架无人机的饱和攻击。迪拜地标建筑起火，巴林住宅楼倒塌，卡塔尔LNG生产中断（占全球LNG出口25%）。</w:t>
      </w:r>
    </w:p>
    <w:p w14:paraId="3284C20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冲突从双边（美以对伊朗）急速扩展为地区战争。海湾国家陷入两难：继续支持美国，本国成为靶子；与美国拉开距离，失去安全保护伞。科威特埃米尔致电特朗普的话道出了盟友的困境：“我们支持你打击伊朗，但现在我的人民在死亡，经济在崩溃。你必须尽快结束这场战争，否则我的政权都保不住。”</w:t>
      </w:r>
    </w:p>
    <w:p w14:paraId="17CDC69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第二周：经济武器化的反噬——你以为握着刀柄，却发现刀刃割伤的是自己</w:t>
      </w:r>
    </w:p>
    <w:p w14:paraId="29EA4C2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到战争第二周，一个讽刺的逆转发生了。美国原本视霍尔木兹海峡为“伊朗的软肋”——伊朗90%的石油出口依赖这条水道，切断它就能扼杀伊朗经济。但当伊朗主动关闭海峡时，这个武器反过来绑架了美国：全球20%的石油贸易中断，油价几乎翻倍，美国的盟友们——日本、韩国、欧洲——承受着比伊朗更直接的痛苦。</w:t>
      </w:r>
    </w:p>
    <w:p w14:paraId="32149A3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条宽度仅33公里的水道，其关闭影响呈指数级扩散：霍尔木兹海峡关闭→石油/LNG短缺→能源价格暴涨→制造业成本上升+运输成本飙升→通胀加剧→央行加息应对→经济增长放缓→全球股市下跌→经济衰退风险上升（IMF下调全球增长预测0.8个百分点）。</w:t>
      </w:r>
    </w:p>
    <w:p w14:paraId="610DEB8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日本启动节能紧急模式，韩国部分炼油厂因原油不足停工，印度多个邦出现柴油配给。即使是能源自给的美国，汽油零售价也突破每加仑6美元，通胀率跳升至5.8%。盟友的经济压力转化为对华盛顿的外交施压：“你必须尽快结束这场战争。”原本用来打击伊朗的经济武器，变成了套在美国脖子上的绞索。</w:t>
      </w:r>
    </w:p>
    <w:p w14:paraId="3FF95F8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本应促使双方停火谈判，但升级陷阱的悖论再次显现：经济压力不是促成和平的力量，而是加速升级的燃料。当美国的盟友们要求其“尽快结束战争”，特朗普的回应不是谈判，而是加大打击力度以求速战速决。3月13日，美军对哈尔克岛（伊朗90%原油出口枢纽）发动大规模空袭，摧毁90多个军事目标，试图解除霍尔木兹威胁。</w:t>
      </w:r>
    </w:p>
    <w:p w14:paraId="3AB9307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但美国的线性思维再次失败。美国假设：摧毁雷达、导弹库等硬件→威胁消除→航运恢复。而现实是：伊朗即使没有导弹，宣称会攻击就够了——不确定性本身就是威慑。航运公司的问题不是“伊朗还有多少导弹”，而是“谁敢拿价值数亿美元的油轮赌博”。霍尔木兹海峡流量下降85%，事实上处于关闭状态。</w:t>
      </w:r>
    </w:p>
    <w:p w14:paraId="775174D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《经济学人》3月14日的封面一语双关："An Attack on the World Economy"（对世界经济的攻击）。战争不仅是军事冲突，更是对全球经济的打击；而经济危机的阴影反过来攻击参战方的政治基础，形成恶性循环。这就是经济武器化的反噬：你以为握着刀柄，却发现刀刃割伤的是自己。</w:t>
      </w:r>
    </w:p>
    <w:p w14:paraId="18AC9F8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第三周：升级陷阱完全形成——领导人的个人政治困境绑架了国家战略</w:t>
      </w:r>
    </w:p>
    <w:p w14:paraId="0CBF1EA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到第三周，战场态势已经明朗：美以拥有压倒性的空中优势，摧毁了伊朗70%的军事能力；但伊朗政权并未崩溃，霍尔木兹仍然关闭，战争没有终局。这时，升级陷阱的最危险阶段开始了——领导人的个人政治困境绑架了国家战略。</w:t>
      </w:r>
    </w:p>
    <w:p w14:paraId="262685F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民调显示，特朗普的支持率从战前的47%降至41%，2026年中期选举的民主党领先优势扩大到8个百分点。共和党温和派开始流失，独立选民的支持率从49%跌至32%。用《经济学人》的话说，特朗普陷入了一个致命的心理状态：更弱势（Weaker），因此更愤怒（Angrier）。</w:t>
      </w:r>
    </w:p>
    <w:p w14:paraId="3621CF6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弱势意味着他更需要“胜利”来证明自己，但时间紧迫（距离中期选举仅8个月）；愤怒意味着他排斥任何“妥协”建议，只听得进强硬派的声音。据白宫消息称，3月18日的国家安全会议上，当内阁成员建议“考虑外交轨道”时，特朗普愤怒打断：“那些失败主义者想让我变成第二个约翰逊（越战总统）。继续轰炸！我要他们跪下求饶！”</w:t>
      </w:r>
    </w:p>
    <w:p w14:paraId="00A226C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正是升级陷阱理论预测的领导人困境：个人政治生存压倒了国家利益的理性计算。特朗普不是在思忖“如何最小化美国损失”，而是在幻想“如何在11月前宣布胜利”。而伊朗的穆吉塔巴一样面对困境：作为新领导人，任何妥协都会被强硬派指责为“背叛”，他的政治生存依赖于“战斗到底”。</w:t>
      </w:r>
    </w:p>
    <w:p w14:paraId="0C3F5A2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两国领导人都被各自的国内政治锁定在对抗路径上。即使双方都清楚继续下去只会两败俱伤，但先提出停火</w:t>
      </w:r>
      <w:r>
        <w:rPr>
          <w:rFonts w:hint="eastAsia" w:ascii="Times New Roman" w:hAnsi="Times New Roman" w:eastAsia="方正仿宋_GBK" w:cs="Times New Roman"/>
          <w:b w:val="0"/>
          <w:bCs w:val="0"/>
          <w:sz w:val="32"/>
          <w:szCs w:val="32"/>
          <w:lang w:val="en-US" w:eastAsia="zh-CN"/>
        </w:rPr>
        <w:t>=</w:t>
      </w:r>
      <w:r>
        <w:rPr>
          <w:rFonts w:hint="eastAsia" w:ascii="Times New Roman" w:hAnsi="Times New Roman" w:eastAsia="方正仿宋_GBK" w:cs="Times New Roman"/>
          <w:b w:val="0"/>
          <w:bCs w:val="0"/>
          <w:sz w:val="32"/>
          <w:szCs w:val="32"/>
        </w:rPr>
        <w:t>示弱</w:t>
      </w:r>
      <w:r>
        <w:rPr>
          <w:rFonts w:hint="eastAsia" w:ascii="Times New Roman" w:hAnsi="Times New Roman" w:eastAsia="方正仿宋_GBK" w:cs="Times New Roman"/>
          <w:b w:val="0"/>
          <w:bCs w:val="0"/>
          <w:sz w:val="32"/>
          <w:szCs w:val="32"/>
          <w:lang w:val="en-US" w:eastAsia="zh-CN"/>
        </w:rPr>
        <w:t>=</w:t>
      </w:r>
      <w:r>
        <w:rPr>
          <w:rFonts w:hint="eastAsia" w:ascii="Times New Roman" w:hAnsi="Times New Roman" w:eastAsia="方正仿宋_GBK" w:cs="Times New Roman"/>
          <w:b w:val="0"/>
          <w:bCs w:val="0"/>
          <w:sz w:val="32"/>
          <w:szCs w:val="32"/>
        </w:rPr>
        <w:t>政治自杀。升级陷阱的齿轮开始加速自动运转，理性已经无法踩下刹车。</w:t>
      </w:r>
    </w:p>
    <w:p w14:paraId="5AC478D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三、经济维度的深层分析</w:t>
      </w:r>
    </w:p>
    <w:p w14:paraId="2821CD0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从经济角度看，这场战争揭示了全球化时代的一个残酷现实：区域冲突的经济成本不再局限于交战国，而是迅速传染至全球。</w:t>
      </w:r>
    </w:p>
    <w:p w14:paraId="166DAB8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（一）能源市场的结构性脆弱</w:t>
      </w:r>
    </w:p>
    <w:p w14:paraId="3DE1F0B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霍尔木兹海峡是全球能源供应链的</w:t>
      </w:r>
      <w:r>
        <w:rPr>
          <w:rFonts w:hint="eastAsia" w:ascii="Times New Roman" w:hAnsi="Times New Roman" w:eastAsia="方正仿宋_GBK" w:cs="Times New Roman"/>
          <w:b w:val="0"/>
          <w:bCs w:val="0"/>
          <w:sz w:val="32"/>
          <w:szCs w:val="32"/>
          <w:lang w:eastAsia="zh-CN"/>
        </w:rPr>
        <w:t>“</w:t>
      </w:r>
      <w:r>
        <w:rPr>
          <w:rFonts w:hint="eastAsia" w:ascii="Times New Roman" w:hAnsi="Times New Roman" w:eastAsia="方正仿宋_GBK" w:cs="Times New Roman"/>
          <w:b w:val="0"/>
          <w:bCs w:val="0"/>
          <w:sz w:val="32"/>
          <w:szCs w:val="32"/>
        </w:rPr>
        <w:t>单点故障</w:t>
      </w:r>
      <w:r>
        <w:rPr>
          <w:rFonts w:hint="eastAsia" w:ascii="Times New Roman" w:hAnsi="Times New Roman" w:eastAsia="方正仿宋_GBK" w:cs="Times New Roman"/>
          <w:b w:val="0"/>
          <w:bCs w:val="0"/>
          <w:sz w:val="32"/>
          <w:szCs w:val="32"/>
          <w:lang w:eastAsia="zh-CN"/>
        </w:rPr>
        <w:t>”</w:t>
      </w:r>
      <w:r>
        <w:rPr>
          <w:rFonts w:hint="eastAsia" w:ascii="Times New Roman" w:hAnsi="Times New Roman" w:eastAsia="方正仿宋_GBK" w:cs="Times New Roman"/>
          <w:b w:val="0"/>
          <w:bCs w:val="0"/>
          <w:sz w:val="32"/>
          <w:szCs w:val="32"/>
        </w:rPr>
        <w:t>。每天约2100万桶原油通过这条水道，占全球石油贸易的21%。更关键的是，这些石油主要供应给亚洲经济体——中国、日本、韩国、印度高度依赖波斯湾石油。</w:t>
      </w:r>
    </w:p>
    <w:p w14:paraId="02C7FEC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当霍尔木兹关闭时，替代方案极其有限且成本高昂，结果是供需严重失衡，迪拜市场的原油现货价格从战前的$71/桶（2月27日）飙升至$167/桶（3月23日），涨幅超分配1.5倍。这不是投机炒作，而是真实的供应短缺。</w:t>
      </w:r>
    </w:p>
    <w:p w14:paraId="6CBE0BB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（二）通胀螺旋与经济衰退风险</w:t>
      </w:r>
    </w:p>
    <w:p w14:paraId="126BAC4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能源价格上涨迅速传导至整个经济体系：</w:t>
      </w:r>
    </w:p>
    <w:p w14:paraId="5169BF4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1.</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rPr>
        <w:t>直接成本：航空燃油、运输成本、化工原料价格上涨。</w:t>
      </w:r>
    </w:p>
    <w:p w14:paraId="5603B29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rPr>
        <w:t>间接成本：制造业、农业（化肥）、物流业成本上升。</w:t>
      </w:r>
    </w:p>
    <w:p w14:paraId="0DBF28E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3.</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rPr>
        <w:t>消费者价格：从汽油到食品，几乎所有商品价格上涨。</w:t>
      </w:r>
    </w:p>
    <w:p w14:paraId="71DF833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美国的通胀率从3.2%跳升至5.8%，欧元区从2.1%升至4.3%，亚洲新兴市场更高（印度6.2%，印尼7.1%）。各国央行都面临两难：加息遏制通胀会扼杀经济增长，不加息则通胀失控。</w:t>
      </w:r>
    </w:p>
    <w:p w14:paraId="4C83550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更危险的是滞胀风险——经济停滞（因能源短缺）+通货膨胀（因价格上涨）同时出现。这是1970年代石油危机的重演，当时美国经济陷入长达十年的痛苦调整。</w:t>
      </w:r>
    </w:p>
    <w:p w14:paraId="5DAEE77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（三）金融市场的恐慌性调整</w:t>
      </w:r>
    </w:p>
    <w:p w14:paraId="6F88473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股市对战争的反应经历了三个阶段：第1周，因为担忧地区冲突而显著下跌；第2周，相信“很快结束”，小幅反弹；第3周：意识到“这是持久战”，开始暴跌。</w:t>
      </w:r>
    </w:p>
    <w:p w14:paraId="74F78F0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特别受创的板块包括：航空业，燃油成本占运营成本40%；物流业，海运、陆运成本飙升；制造业，原料供应链中断。唯一受益的是军工股和传统能源股，但这种“战争红利”无法抵消整体经济损失。IMF估算，如果战争持续3个月，全球GDP将损失1.2万亿美元。</w:t>
      </w:r>
    </w:p>
    <w:p w14:paraId="2E97663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四、四种可能的结局</w:t>
      </w:r>
    </w:p>
    <w:p w14:paraId="24D665C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基于升级陷阱理论和当前态势，这场战争可能沿着四条路径之一演进：</w:t>
      </w:r>
    </w:p>
    <w:p w14:paraId="04AC5E7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结局A：军事速胜（概率5%）</w:t>
      </w:r>
    </w:p>
    <w:p w14:paraId="6C19CD5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触发条件是伊朗内部政变或领导层突然崩溃。但这极不可能：伊朗政权自1979年革命以来从未发生政变，穆吉塔巴既有革命卫队的全力支持，也有民族主义高涨的民众拥护。美国军事速胜即使发生（小概率事件），伊朗新政权也可能不稳定，可能引发二次危机。</w:t>
      </w:r>
    </w:p>
    <w:p w14:paraId="4FA7373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结局B：有限妥协（概率30%）</w:t>
      </w:r>
    </w:p>
    <w:p w14:paraId="4B452DD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相对最优的选择。通过秘密外交（阿曼/卡塔尔居中），双方达成分阶段协议：伊朗逐步开放霍尔木兹（换取部分制裁解除），美以停止本土打击。关键是给双方都留足面子——特朗普可以宣称“已经迫使伊朗屈服”，穆吉塔巴可以宣称“击退强敌，挽救了国家”。</w:t>
      </w:r>
    </w:p>
    <w:p w14:paraId="1A42117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障碍在于：特朗普的政治性格难以接受“不完全胜利”，美国国内的政治极化（共和党强硬派会攻击“软弱”）不允许他退缩。但国内中期选举的不利行情、美国经济陷入滞胀的压力，仍有可能推动他接受现实。</w:t>
      </w:r>
    </w:p>
    <w:p w14:paraId="7BB1947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结局C：冻结冲突（概率45%）</w:t>
      </w:r>
    </w:p>
    <w:p w14:paraId="25A80E3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并非最优但可能性最大的结果。双方都无法取得军事突破，也无法接受对方的政治条件，最终进入“僵持状态”：美以继续偶尔空袭，伊朗偶尔报复，霍尔木兹部分开放（流量恢复50%），油价稳定在高位（$100-120/桶）。这不是和平，而是“战争与和平之间的灰色地带”。</w:t>
      </w:r>
    </w:p>
    <w:p w14:paraId="22C36F7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此种结局有相当多的历史先例：朝鲜半岛自1953年停战至今</w:t>
      </w:r>
      <w:r>
        <w:rPr>
          <w:rFonts w:hint="eastAsia" w:ascii="Times New Roman" w:hAnsi="Times New Roman" w:eastAsia="方正仿宋_GBK" w:cs="Times New Roman"/>
          <w:b w:val="0"/>
          <w:bCs w:val="0"/>
          <w:sz w:val="32"/>
          <w:szCs w:val="32"/>
          <w:lang w:eastAsia="zh-CN"/>
        </w:rPr>
        <w:t>，</w:t>
      </w:r>
      <w:r>
        <w:rPr>
          <w:rFonts w:hint="eastAsia" w:ascii="Times New Roman" w:hAnsi="Times New Roman" w:eastAsia="方正仿宋_GBK" w:cs="Times New Roman"/>
          <w:b w:val="0"/>
          <w:bCs w:val="0"/>
          <w:sz w:val="32"/>
          <w:szCs w:val="32"/>
        </w:rPr>
        <w:t>技术上仍处于战争状态，印巴克什米尔低烈度冲突70年。这种状态的最坏影响是：“永久战争”成为新常态，一代人在战争阴影下成长，偶发事件随时可能重新点燃全面战争。</w:t>
      </w:r>
    </w:p>
    <w:p w14:paraId="58AB389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结局D：失控升级（概率20%）</w:t>
      </w:r>
    </w:p>
    <w:p w14:paraId="1E5E8E8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其触发点是特朗普无视所有不利因素孤注一掷，下令地面部队全面入侵，地面战争爆发。其后果不可估量：中东多国可能会展开核军备竞赛、美国与中俄直接对抗、全球经济衰退直至大萧条。虽然概率仅20%，但绝不能忽视——1962年古巴导弹危机期间，苏联潜艇指挥官差点发射核鱼雷。历史多次证明：低概率不等于不会发生。</w:t>
      </w:r>
    </w:p>
    <w:p w14:paraId="7AEE298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目前来看，美国确实已经在向波斯湾方向推进具备地面作战能力的部队。</w:t>
      </w:r>
    </w:p>
    <w:p w14:paraId="44385B9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在兵力部署层面：多支搭载海军陆战队的两栖攻击舰编队正从本土及亚太地区向中东机动，兵力规模在数千人量级，与原有约5万驻中东美军形成叠加，显示出战役级别的增兵态势。</w:t>
      </w:r>
    </w:p>
    <w:p w14:paraId="7304843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作战态势层面：这些力量已逐步逼近波斯湾与霍尔木兹海峡等关键节点，并配合海空打击与扫雷行动，呈现出典型的“两栖登陆前清场”特征。作战选项也已延伸至控制海峡、夺取外海岛屿乃至关键能源设施等需要地面部队参与的目标。</w:t>
      </w:r>
    </w:p>
    <w:p w14:paraId="3F5046E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但在政策层面：美国尚未正式决定实施“进入伊朗本土”的地面作战，内部仍存在分歧。因此可以判断，当前状态是“能力已具备、兵力已前推、但尚未跨出全面地面战争那一步”——即随时具备发动有限地面行动的条件，却仍停留在临战而未开战的临界阶段。</w:t>
      </w:r>
    </w:p>
    <w:p w14:paraId="1F59015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五、“升级陷阱”的教训与出路</w:t>
      </w:r>
    </w:p>
    <w:p w14:paraId="0888C9F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“升级陷阱”的教训是：预防永远比治疗便宜。一旦陷入陷阱，脱困成本呈指数级上升。</w:t>
      </w:r>
    </w:p>
    <w:p w14:paraId="6F3EFEF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从此模型我们可以得到几条教训：</w:t>
      </w:r>
    </w:p>
    <w:p w14:paraId="2423A23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1.</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rPr>
        <w:t>提前设计“下台阶”：在发动任何军事行动前，就应该设计好“光荣撤退”的叙事和机制。不要等到深陷泥潭才想“怎么退出”。</w:t>
      </w:r>
    </w:p>
    <w:p w14:paraId="31C522A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rPr>
        <w:t>2.</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rPr>
        <w:t>警惕“再一步就能胜利”的幻觉：历史反复证明，经济和技术优势不等于政治胜利。在发动行动前，必须明确：如果敌人不按我们预期反应（不投降、不崩溃），备用计划是什么</w:t>
      </w:r>
      <w:r>
        <w:rPr>
          <w:rFonts w:hint="eastAsia" w:ascii="Times New Roman" w:hAnsi="Times New Roman" w:eastAsia="方正仿宋_GBK" w:cs="Times New Roman"/>
          <w:b w:val="0"/>
          <w:bCs w:val="0"/>
          <w:sz w:val="32"/>
          <w:szCs w:val="32"/>
          <w:lang w:eastAsia="zh-CN"/>
        </w:rPr>
        <w:t>。</w:t>
      </w:r>
    </w:p>
    <w:p w14:paraId="6D921FC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3.</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rPr>
        <w:t>建立“临界点预警系统”：升级陷阱有可识别的临界点（谈判对象消失、平民伤亡、冲突多边化、经济生命线切断）。智库和学界应该提前识别这些临界点，决策者在每次升级前必须评估——“这是否为‘不归点’”。</w:t>
      </w:r>
    </w:p>
    <w:p w14:paraId="2343EED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4.</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rPr>
        <w:t>投资外交而非仅依赖军事：当前国际体系的失衡是军事预算数万亿美元，外交（或发展）预算仅数百亿。如果将1%的军费投入于冲突预防（外交、经济援助、文化交流），可能避免99%的战争成本。</w:t>
      </w:r>
    </w:p>
    <w:p w14:paraId="15F5B3F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Operation Blind Fury仍在书写自己的结局，但它已经给我们上了一堂昂贵的课——用数千条生命、数千亿美元、全球经济的稳定作为学费。这堂课的核心内容是：战争的开始易于控制，结束难以预测。每一步升级都基于“再一步就能胜利”的幻觉，直到发现已经深陷泥潭，但退出的代价比继续更高。</w:t>
      </w:r>
    </w:p>
    <w:p w14:paraId="64EF7FA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从1914年的萨拉热窝到1965年的西贡，从1962年的哈瓦那到2026年的波斯湾，升级陷阱的逻辑始终未变。我们唯一能做的，是在每一次危机来临前记住这个教训：预防陷阱，远比从陷阱中挣扎脱身，要明智得多。</w:t>
      </w:r>
    </w:p>
    <w:p w14:paraId="47F61A79">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w:t>
      </w:r>
      <w:r>
        <w:rPr>
          <w:rFonts w:hint="eastAsia" w:ascii="Times New Roman" w:hAnsi="Times New Roman" w:eastAsia="方正楷体_GBK" w:cs="方正楷体_GBK"/>
          <w:b/>
          <w:bCs/>
          <w:color w:val="FF0000"/>
          <w:spacing w:val="0"/>
          <w:kern w:val="2"/>
          <w:sz w:val="30"/>
          <w:szCs w:val="30"/>
          <w:lang w:val="en-US" w:eastAsia="zh-CN" w:bidi="ar-SA"/>
        </w:rPr>
        <w:t>发展研究部 刘浩、周斌</w:t>
      </w:r>
      <w:r>
        <w:rPr>
          <w:rFonts w:hint="default" w:ascii="Times New Roman" w:hAnsi="Times New Roman" w:eastAsia="方正楷体_GBK" w:cs="方正楷体_GBK"/>
          <w:b/>
          <w:bCs/>
          <w:color w:val="FF0000"/>
          <w:spacing w:val="0"/>
          <w:kern w:val="2"/>
          <w:sz w:val="30"/>
          <w:szCs w:val="30"/>
          <w:lang w:val="en-US" w:eastAsia="zh-CN" w:bidi="ar-SA"/>
        </w:rPr>
        <w:t>）</w:t>
      </w:r>
    </w:p>
    <w:p w14:paraId="5AD80E30">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7B2F32E5">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6F29191C">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37DF7209">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5AF52C7A">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688D8C93">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38127BA4">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2E8BC2C5">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338FC6F8">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1D339C6E">
      <w:pPr>
        <w:keepNext w:val="0"/>
        <w:keepLines w:val="0"/>
        <w:pageBreakBefore w:val="0"/>
        <w:widowControl w:val="0"/>
        <w:kinsoku/>
        <w:wordWrap/>
        <w:overflowPunct/>
        <w:topLinePunct w:val="0"/>
        <w:autoSpaceDE/>
        <w:autoSpaceDN/>
        <w:bidi w:val="0"/>
        <w:adjustRightInd/>
        <w:snapToGrid/>
        <w:spacing w:line="580" w:lineRule="exact"/>
        <w:ind w:right="0" w:rightChars="0"/>
        <w:jc w:val="both"/>
        <w:textAlignment w:val="auto"/>
        <w:outlineLvl w:val="9"/>
        <w:rPr>
          <w:rFonts w:hint="default" w:ascii="Times New Roman" w:hAnsi="Times New Roman" w:eastAsia="方正仿宋_GBK" w:cs="Times New Roman"/>
          <w:b w:val="0"/>
          <w:bCs w:val="0"/>
          <w:sz w:val="32"/>
          <w:szCs w:val="32"/>
          <w:lang w:eastAsia="zh-CN"/>
        </w:rPr>
      </w:pPr>
    </w:p>
    <w:p w14:paraId="5ECAC16E">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eastAsia" w:ascii="方正小标宋_GBK" w:hAnsi="方正小标宋_GBK" w:eastAsia="方正小标宋_GBK" w:cs="方正小标宋_GBK"/>
          <w:b/>
          <w:bCs/>
          <w:color w:val="2E75B6" w:themeColor="accent1" w:themeShade="BF"/>
          <w:sz w:val="44"/>
          <w:szCs w:val="44"/>
          <w:highlight w:val="none"/>
          <w:lang w:val="en-US" w:eastAsia="zh-CN"/>
        </w:rPr>
      </w:pPr>
      <w:r>
        <w:rPr>
          <w:rFonts w:hint="eastAsia" w:ascii="方正小标宋_GBK" w:hAnsi="方正小标宋_GBK" w:eastAsia="方正小标宋_GBK" w:cs="方正小标宋_GBK"/>
          <w:b/>
          <w:bCs/>
          <w:color w:val="2E75B6" w:themeColor="accent1" w:themeShade="BF"/>
          <w:sz w:val="44"/>
          <w:szCs w:val="44"/>
          <w:highlight w:val="none"/>
          <w:lang w:val="en-US" w:eastAsia="zh-CN"/>
        </w:rPr>
        <w:t>从金丝雀到白蚁：下一场金融危机的</w:t>
      </w:r>
    </w:p>
    <w:p w14:paraId="6A64F1CF">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default" w:ascii="Times New Roman" w:hAnsi="Times New Roman" w:eastAsia="方正仿宋_GBK" w:cs="Times New Roman"/>
          <w:b w:val="0"/>
          <w:bCs w:val="0"/>
          <w:sz w:val="32"/>
          <w:szCs w:val="32"/>
        </w:rPr>
      </w:pPr>
      <w:r>
        <w:rPr>
          <w:rFonts w:hint="eastAsia" w:ascii="方正小标宋_GBK" w:hAnsi="方正小标宋_GBK" w:eastAsia="方正小标宋_GBK" w:cs="方正小标宋_GBK"/>
          <w:b/>
          <w:bCs/>
          <w:color w:val="2E75B6" w:themeColor="accent1" w:themeShade="BF"/>
          <w:sz w:val="44"/>
          <w:szCs w:val="44"/>
          <w:highlight w:val="none"/>
          <w:lang w:val="en-US" w:eastAsia="zh-CN"/>
        </w:rPr>
        <w:t>隐秘导火索</w:t>
      </w:r>
    </w:p>
    <w:p w14:paraId="1D931779">
      <w:pPr>
        <w:keepNext w:val="0"/>
        <w:keepLines w:val="0"/>
        <w:pageBreakBefore w:val="0"/>
        <w:widowControl w:val="0"/>
        <w:kinsoku/>
        <w:wordWrap/>
        <w:overflowPunct/>
        <w:topLinePunct w:val="0"/>
        <w:autoSpaceDE/>
        <w:autoSpaceDN/>
        <w:bidi w:val="0"/>
        <w:adjustRightInd/>
        <w:snapToGrid/>
        <w:spacing w:line="50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lang w:val="en-US" w:eastAsia="zh-CN"/>
        </w:rPr>
      </w:pPr>
    </w:p>
    <w:p w14:paraId="660DF3D0">
      <w:pPr>
        <w:keepNext w:val="0"/>
        <w:keepLines w:val="0"/>
        <w:pageBreakBefore w:val="0"/>
        <w:widowControl w:val="0"/>
        <w:kinsoku/>
        <w:wordWrap/>
        <w:overflowPunct/>
        <w:topLinePunct w:val="0"/>
        <w:autoSpaceDE/>
        <w:autoSpaceDN/>
        <w:bidi w:val="0"/>
        <w:adjustRightInd/>
        <w:snapToGrid/>
        <w:spacing w:line="50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摘要</w:t>
      </w:r>
      <w:r>
        <w:rPr>
          <w:rFonts w:hint="eastAsia" w:ascii="方正楷体_GBK" w:hAnsi="方正楷体_GBK" w:eastAsia="方正楷体_GBK" w:cs="方正楷体_GBK"/>
          <w:b w:val="0"/>
          <w:bCs w:val="0"/>
          <w:sz w:val="28"/>
          <w:szCs w:val="28"/>
          <w:lang w:val="en-US" w:eastAsia="zh-CN"/>
        </w:rPr>
        <w:t>：本文聚焦</w:t>
      </w:r>
      <w:r>
        <w:rPr>
          <w:rFonts w:hint="default" w:ascii="Times New Roman" w:hAnsi="Times New Roman" w:eastAsia="方正楷体_GBK" w:cs="Times New Roman"/>
          <w:b w:val="0"/>
          <w:bCs w:val="0"/>
          <w:sz w:val="28"/>
          <w:szCs w:val="28"/>
          <w:lang w:val="en-US" w:eastAsia="zh-CN"/>
        </w:rPr>
        <w:t>2008</w:t>
      </w:r>
      <w:r>
        <w:rPr>
          <w:rFonts w:hint="eastAsia" w:ascii="方正楷体_GBK" w:hAnsi="方正楷体_GBK" w:eastAsia="方正楷体_GBK" w:cs="方正楷体_GBK"/>
          <w:b w:val="0"/>
          <w:bCs w:val="0"/>
          <w:sz w:val="28"/>
          <w:szCs w:val="28"/>
          <w:lang w:val="en-US" w:eastAsia="zh-CN"/>
        </w:rPr>
        <w:t>年金融危机后美国金融体系的结构性变迁，围绕非银金融机构崛起引发的系统性风险展开深度研究，属于金融市场监管、宏观金融风险与金融危机防控交叉研究领域。文章首先梳理了严监管背景下，传统商业银行信贷与交易业务收缩，私募市场巨头、超级对冲基金快速填补市场空白的行业演进历程，指出商业银行与非银机构、公开与私募市场、机构与散户三大风险隔离边界的消融，是系统性风险从受监管银行体系向影子金融体系转移、并向散户投资者转嫁的核心根源。文章系统拆解了流动性错配、隐性债务违约、高杠杆放大与系统性传染三大核心风险，结合经济增速放缓、能源价格上涨、</w:t>
      </w:r>
      <w:r>
        <w:rPr>
          <w:rFonts w:hint="default" w:ascii="Times New Roman" w:hAnsi="Times New Roman" w:eastAsia="方正楷体_GBK" w:cs="Times New Roman"/>
          <w:b w:val="0"/>
          <w:bCs w:val="0"/>
          <w:sz w:val="28"/>
          <w:szCs w:val="28"/>
          <w:lang w:val="en-US" w:eastAsia="zh-CN"/>
        </w:rPr>
        <w:t>AI</w:t>
      </w:r>
      <w:r>
        <w:rPr>
          <w:rFonts w:hint="eastAsia" w:ascii="方正楷体_GBK" w:hAnsi="方正楷体_GBK" w:eastAsia="方正楷体_GBK" w:cs="方正楷体_GBK"/>
          <w:b w:val="0"/>
          <w:bCs w:val="0"/>
          <w:sz w:val="28"/>
          <w:szCs w:val="28"/>
          <w:lang w:val="en-US" w:eastAsia="zh-CN"/>
        </w:rPr>
        <w:t>技术行业洗牌三大宏观触发因素，推演了金融危机的演化路径，揭示了本次风险“白蚁式”隐蔽侵蚀的核心特征，为预判美国金融市场危机走向提供了完整分析框架。</w:t>
      </w:r>
    </w:p>
    <w:p w14:paraId="2B5D693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lang w:val="en-US" w:eastAsia="zh-CN"/>
        </w:rPr>
      </w:pPr>
    </w:p>
    <w:p w14:paraId="0ADB06C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黑体_GBK" w:hAnsi="方正黑体_GBK" w:eastAsia="方正黑体_GBK" w:cs="方正黑体_GBK"/>
          <w:b w:val="0"/>
          <w:bCs w:val="0"/>
          <w:sz w:val="32"/>
          <w:szCs w:val="32"/>
          <w:lang w:val="en-US" w:eastAsia="zh-CN"/>
        </w:rPr>
        <w:t>正文</w:t>
      </w:r>
      <w:r>
        <w:rPr>
          <w:rFonts w:hint="eastAsia" w:ascii="Times New Roman" w:hAnsi="Times New Roman" w:eastAsia="方正仿宋_GBK" w:cs="Times New Roman"/>
          <w:b w:val="0"/>
          <w:bCs w:val="0"/>
          <w:sz w:val="32"/>
          <w:szCs w:val="32"/>
          <w:lang w:val="en-US" w:eastAsia="zh-CN"/>
        </w:rPr>
        <w:t>：</w:t>
      </w:r>
    </w:p>
    <w:p w14:paraId="2B112FC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近来，华尔街的顶级金融家们在谈论金融机构和企业的财务状况时，忽然热衷于使用生物学比喻。摩根大通首席执行官杰米·戴蒙多次提到“蟑螂”——厨房里看见一只，往往意味着暗处已藏着成百上千只；知名投资人穆罕默德·埃里安则反复提起“金丝雀”与“白蚁”。</w:t>
      </w:r>
    </w:p>
    <w:p w14:paraId="6AD30D6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金丝雀”的典故源自19世纪的煤矿工人。他们下井时会带上一只金丝雀，因为这种小鸟对有毒气体极为敏感。一旦金丝雀停止歌唱或倒下，就意味着矿井中可能出现致命瓦斯，矿工必须立即撤离。蟑螂象征“冰山一角”：表面只看到一只，背后往往潜藏着大量隐患。而白蚁则是最阴险的破坏者——它从内部悄无声息地蛀空木梁和墙体，直到整栋建筑在毫无预兆中突然坍塌。</w:t>
      </w:r>
    </w:p>
    <w:p w14:paraId="4AF8F5C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从去年年中至今，西方金融圈和学术界对下一场金融危机的讨论明显升温。越来越多的分析指向同一个令人不安的现实：</w:t>
      </w:r>
      <w:r>
        <w:rPr>
          <w:rFonts w:hint="eastAsia" w:ascii="Times New Roman" w:hAnsi="Times New Roman" w:eastAsia="方正仿宋_GBK" w:cs="Times New Roman"/>
          <w:b/>
          <w:bCs/>
          <w:sz w:val="32"/>
          <w:szCs w:val="32"/>
        </w:rPr>
        <w:t>金融体系的主导力量正在从传统银行转向私募市场巨头和大型对冲基金</w:t>
      </w:r>
      <w:r>
        <w:rPr>
          <w:rFonts w:hint="eastAsia" w:ascii="Times New Roman" w:hAnsi="Times New Roman" w:eastAsia="方正仿宋_GBK" w:cs="Times New Roman"/>
          <w:b w:val="0"/>
          <w:bCs w:val="0"/>
          <w:sz w:val="32"/>
          <w:szCs w:val="32"/>
        </w:rPr>
        <w:t>。这种转变带来了更高的融资效率和创新活力，但风险并未真正消除，只是从显眼的“断裂”转变为缓慢却致命的“侵蚀”。当前最危险的盲区，正集中在私募信贷、超级对冲基金以及面向散户的投机产品相互交织的领域。</w:t>
      </w:r>
    </w:p>
    <w:p w14:paraId="5BF7999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一、金融市</w:t>
      </w:r>
      <w:r>
        <w:rPr>
          <w:rFonts w:hint="eastAsia" w:ascii="方正黑体_GBK" w:hAnsi="方正黑体_GBK" w:eastAsia="方正黑体_GBK" w:cs="方正黑体_GBK"/>
          <w:b w:val="0"/>
          <w:bCs w:val="0"/>
          <w:sz w:val="32"/>
          <w:szCs w:val="32"/>
          <w:lang w:val="en-US" w:eastAsia="zh-CN"/>
        </w:rPr>
        <w:t>场</w:t>
      </w:r>
      <w:bookmarkStart w:id="2" w:name="_GoBack"/>
      <w:bookmarkEnd w:id="2"/>
      <w:r>
        <w:rPr>
          <w:rFonts w:hint="eastAsia" w:ascii="方正黑体_GBK" w:hAnsi="方正黑体_GBK" w:eastAsia="方正黑体_GBK" w:cs="方正黑体_GBK"/>
          <w:b w:val="0"/>
          <w:bCs w:val="0"/>
          <w:sz w:val="32"/>
          <w:szCs w:val="32"/>
        </w:rPr>
        <w:t>主导权：从传统商业银行向新兴巨头转移</w:t>
      </w:r>
    </w:p>
    <w:p w14:paraId="1DE2371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2008年金融危机是美国乃至全球现代金融史上最严重的一次危机。其根源在于商业银行过度扩张高风险业务：它们大量发放次级住房抵押贷款，并通过复杂的金融衍生品将这些风险打包、放大，最终扩散至整个金融体系。当房价下跌、借款人违约潮出现时，流动性瞬间枯竭，雷曼兄弟等大型金融机构相继倒闭，几乎拖垮全球经济。</w:t>
      </w:r>
    </w:p>
    <w:p w14:paraId="24F2F58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危机暴露了传统商业银行“太大而不能倒”的系统性脆弱性，也凸显了其高杠杆经营、风险管控薄弱以及监管缺失的严重问题。为了防止类似灾难重演，美国政府和监管机构随后出台了《多德-弗兰克法案》等一系列严厉措施，大幅提高银行的资本充足率、流动性要求和杠杆限制，同时对自营交易业务（包括股票、期货、衍生品等投机行为）和整体风险敞口实施严格监管。</w:t>
      </w:r>
    </w:p>
    <w:p w14:paraId="580D5E2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这些监管虽然必要，却也产生了明显的副作用：商业银行为了满足更高的资本要求，被迫大幅收缩风险较高的放贷和交易业务，逐步退守核心的存贷款领域，盈利能力和业务空间受到明显挤压。</w:t>
      </w:r>
    </w:p>
    <w:p w14:paraId="7F82F91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正是在这一背景下，私募市场巨头和超级对冲基金迅速崛起，填补了银行退出的空间。</w:t>
      </w:r>
    </w:p>
    <w:p w14:paraId="4EE8828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所谓私募市场，是指在公开的股票交易所和债券市场之外进行的融资与投资活动。它主要包括私募股权投资（投资非上市企业）和私募信贷（直接向企业提供非公开贷款）等。与我们熟悉的上市公司股票或公开发行的债券不同，私募市场的交易不通过交易所，而是由双方一对一协商完成。这些资产通常难以快速买卖，估值也不透明，资产的出售主要面向机构投资者和高净值人群。</w:t>
      </w:r>
    </w:p>
    <w:p w14:paraId="51E5E3F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过去十年，这几家头部机构管理资产规模从数千亿美元迅速扩张至数万亿美元级别。私募信贷逐渐成为许多中型企业融资的主要来源。而以Citadel、Millennium为代表的超级多策略对冲基金，则在公开市场实现了高度整合，其头寸名义价值已接近万亿美元量级。</w:t>
      </w:r>
    </w:p>
    <w:p w14:paraId="6406D16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这一变化的核心，是金融体系中三大边界从清晰隔离走向深度交织。</w:t>
      </w:r>
    </w:p>
    <w:p w14:paraId="1AF1CAD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楷体_GBK" w:hAnsi="方正楷体_GBK" w:eastAsia="方正楷体_GBK" w:cs="方正楷体_GBK"/>
          <w:b w:val="0"/>
          <w:bCs w:val="0"/>
          <w:sz w:val="32"/>
          <w:szCs w:val="32"/>
        </w:rPr>
        <w:t>第一大边界是商业银行与非银行机构的功能边界</w:t>
      </w:r>
      <w:r>
        <w:rPr>
          <w:rFonts w:hint="eastAsia" w:ascii="Times New Roman" w:hAnsi="Times New Roman" w:eastAsia="方正仿宋_GBK" w:cs="Times New Roman"/>
          <w:b w:val="0"/>
          <w:bCs w:val="0"/>
          <w:sz w:val="32"/>
          <w:szCs w:val="32"/>
        </w:rPr>
        <w:t>。</w:t>
      </w:r>
    </w:p>
    <w:p w14:paraId="03C343C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2008年金融危机后，美国监管部门大幅提高商业银行的资本要求和流动性标准，迫使它们减少高风险放贷，并对自营交易业务实施严格限制。这为私募市场巨头和对冲基金创造了巨大的业务空间——它们填补了商业银行退出后留下的信贷缺口，成为中型企业融资和市场交易的重要力量。</w:t>
      </w:r>
    </w:p>
    <w:p w14:paraId="468B185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但商业银行并未真正退出，而是改变了参与方式。大型金融集团（如摩根大通、美国银行）旗下同时拥有商业银行和投资银行业务，通过批发融资、回购协议和银行间拆借等渠道，将商业银行业务吸收的低成本资金，转给投资银行业务部门。后者则通过“主经纪商业务”（Prime Brokerage）将资金以更高利率贷给私募基金和对冲基金，赚取利差和服务费。主经纪商业务是投资银行向专业机构客户提供的一揽子服务，核心是以客户资产为抵押提供保证金贷款和杠杆融资。</w:t>
      </w:r>
    </w:p>
    <w:p w14:paraId="7778666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种模式实现了巧妙的风险转移：高风险业务从受严格监管的商业银行，通过投资银行转移到监管相对宽松的私募市场和对冲基金；商业银行通过批发融资间接为整个杠杆链条输血，但因为中间隔了一层，监管视线被有效阻断。表面上看，商业银行的资产负债表更加稳健，但系统性风险并未消失,只是从商业银行体系转移到了影子金融体系。</w:t>
      </w:r>
    </w:p>
    <w:p w14:paraId="1B885FD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楷体_GBK" w:hAnsi="方正楷体_GBK" w:eastAsia="方正楷体_GBK" w:cs="方正楷体_GBK"/>
          <w:b w:val="0"/>
          <w:bCs w:val="0"/>
          <w:sz w:val="32"/>
          <w:szCs w:val="32"/>
        </w:rPr>
        <w:t>第二大边界是公开市场与私募市场之间的资金流动</w:t>
      </w:r>
      <w:r>
        <w:rPr>
          <w:rFonts w:hint="eastAsia" w:ascii="Times New Roman" w:hAnsi="Times New Roman" w:eastAsia="方正仿宋_GBK" w:cs="Times New Roman"/>
          <w:b w:val="0"/>
          <w:bCs w:val="0"/>
          <w:sz w:val="32"/>
          <w:szCs w:val="32"/>
        </w:rPr>
        <w:t>。</w:t>
      </w:r>
    </w:p>
    <w:p w14:paraId="35FE5BD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过去，公开市场与私募市场界限分明：企业融资渠道泾渭分离——想上市就走IPO和公开债，拿不到准入就找私募股权或银行贷款，两条路各走各的。投资者端同样壁垒森严——散户和普通机构只能买公开交易的股票债券，私募市场是养老金、主权基金等大型机构的专属领地。</w:t>
      </w:r>
    </w:p>
    <w:p w14:paraId="1509D12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如今，这一边界正在从双向渗透中瓦解。</w:t>
      </w:r>
    </w:p>
    <w:p w14:paraId="7F1BCB2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从资产端看，越来越多的企业选择长期依赖私募融资——不急于上市，而是通过私募信贷从Blackstone、Apollo、KKR等资产管理巨头获得数亿甚至数十亿美元的融资。这种方式审批更快、条款更灵活，无需公开披露敏感信息，对处于快速扩张期或业务转型期的企业吸引力巨大。</w:t>
      </w:r>
    </w:p>
    <w:p w14:paraId="1E7342A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从资金端看，公开市场与私募市场的界限更加模糊。这些资产管理巨头一边在公开市场募资——通过发行BDC（上市交易的私募信贷投资工具）、半流动性基金、甚至在纳斯达克上市募集资金，一边将这些钱投向私募资产——非上市企业股权、私募信贷、商业地产等。更关键的是，它们通过复杂的结构化设计，把原本只有机构才能参与的私募资产，包装成散户也能购买的公开产品。</w:t>
      </w:r>
    </w:p>
    <w:p w14:paraId="58F5D19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于是，原本用于风险隔离的市场边界，变成了风险传导的双向通道：公开市场的波动，如股市暴跌引发的赎回潮，会迫使资产管理机构抛售私募资产；而私募市场积累的问题，如企业违约、资产贬值，也会通过这些跨市场机构反映在其公开交易产品的净值中，迅速传导至公开市场投资者。</w:t>
      </w:r>
    </w:p>
    <w:p w14:paraId="1A38B6C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过去泾渭分明的公开与私募两个市场，已演变为深度交织的风险共同体。而这种交织，恰恰为风险的隐蔽积累创造了温床。</w:t>
      </w:r>
    </w:p>
    <w:p w14:paraId="7C5093D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楷体_GBK" w:hAnsi="方正楷体_GBK" w:eastAsia="方正楷体_GBK" w:cs="方正楷体_GBK"/>
          <w:b w:val="0"/>
          <w:bCs w:val="0"/>
          <w:sz w:val="32"/>
          <w:szCs w:val="32"/>
        </w:rPr>
        <w:t>第三大边界是机构投资者与散户投资者之间的准入门槛与风险隔离机制</w:t>
      </w:r>
      <w:r>
        <w:rPr>
          <w:rFonts w:hint="eastAsia" w:ascii="Times New Roman" w:hAnsi="Times New Roman" w:eastAsia="方正仿宋_GBK" w:cs="Times New Roman"/>
          <w:b w:val="0"/>
          <w:bCs w:val="0"/>
          <w:sz w:val="32"/>
          <w:szCs w:val="32"/>
        </w:rPr>
        <w:t>。</w:t>
      </w:r>
    </w:p>
    <w:p w14:paraId="4894F0D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过去，金融市场按风险等级严格分层：低风险、高流动性的产品（如国债、蓝筹股、货币基金）面向散户，投资门槛低、可随时赎回；高风险、低流动性的产品（如私募股权、杠杆贷款、复杂衍生品）只对机构开放，要求数百万美元起投，且锁定期长达数年。内在的监管逻辑很明确：普通人缺乏专业判断能力和风险承受能力，不应接触可能导致血本无归的产品。</w:t>
      </w:r>
    </w:p>
    <w:p w14:paraId="301083B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如今，这道防火墙正在被“金融创新”拆除。通过BDC、半流动性基金，以及杠杆型ETF等工具，高风险资产的投资门槛被大幅降低——几千美元就能买入，流动性看似改善——承诺每月或每季度可赎回，但底层资产的本质并未改变：依然是那些难以估值、难以变现、高度依赖经济周期的私募信贷和非上市股权。</w:t>
      </w:r>
    </w:p>
    <w:p w14:paraId="35B8B26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更危险的是，许多散户并不理解自己买的是什么。投资产品的说明书用“多元化配置”“参与成长型企业”等话术包装，回避了流动性错配、隐性违约、强制赎回限制等核心风险。当市场下行时，这些产品往往最先暴露问题：机构投资者凭借专业团队和信息优势率先撤离，而散户则在信息不对称中承受损失，甚至被锁定无法退出。原本用于保护普通投资者的准入门槛，已演变为风险向下转嫁的通道。</w:t>
      </w:r>
    </w:p>
    <w:p w14:paraId="2DC89E9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表面上看，上述三大边界的模糊带来了所谓的“金融民主化”和效率提升：企业融资更便捷、投资者选择更多元、资本配置更灵活，美国经济相比传统银行主导型经济体（如欧洲）展现出更强的活力和适应性。</w:t>
      </w:r>
    </w:p>
    <w:p w14:paraId="78747EC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但边界融合的本质，是风险的深度交织。新兴巨头在监管相对宽松的地带迅猛扩张，传统商业银行虽然资本要求提高了，却把大量风险通过主经纪商业务转移到影子金融体系，而这些风险最终又通过结构化产品下沉到散户手中。这正是监管套利下，系统性风险从受严格监管的银行体系向散户投资者转移的必然结果。</w:t>
      </w:r>
    </w:p>
    <w:p w14:paraId="2388570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业务增长越快，被掩盖的问题就越深。这不仅是结构变化，更是风险形态的根本转变——金融体系的脆弱性，正从“可见的断裂”转向“不可见的侵蚀”。而这种侵蚀，正集中体现为三类相互交织的风险。</w:t>
      </w:r>
    </w:p>
    <w:p w14:paraId="489D2F5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二、三大核心风险</w:t>
      </w:r>
    </w:p>
    <w:p w14:paraId="3763DEF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尽管边界融合带来了更高的效率，但风险并未消失，而是以更隐蔽的形式积累。</w:t>
      </w:r>
    </w:p>
    <w:p w14:paraId="4FFF5E5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楷体_GBK" w:hAnsi="方正楷体_GBK" w:eastAsia="方正楷体_GBK" w:cs="方正楷体_GBK"/>
          <w:b w:val="0"/>
          <w:bCs w:val="0"/>
          <w:sz w:val="32"/>
          <w:szCs w:val="32"/>
        </w:rPr>
        <w:t>首先是流动性困境</w:t>
      </w:r>
      <w:r>
        <w:rPr>
          <w:rFonts w:hint="eastAsia" w:ascii="Times New Roman" w:hAnsi="Times New Roman" w:eastAsia="方正仿宋_GBK" w:cs="Times New Roman"/>
          <w:b w:val="0"/>
          <w:bCs w:val="0"/>
          <w:sz w:val="32"/>
          <w:szCs w:val="32"/>
        </w:rPr>
        <w:t>。</w:t>
      </w:r>
    </w:p>
    <w:p w14:paraId="449A1C1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私募资产天生缺乏流动性——非上市企业股权、私募贷款、商业地产等，通常需要数月甚至数年才能变现。然而，近年来这些资产被包装成承诺可以定期赎回的产品，大力推向散户投资者。</w:t>
      </w:r>
    </w:p>
    <w:p w14:paraId="6CE4F2A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是商业竞争的必然结果，为了吸引更多散户资金，私募基金不得不在产品设计上向传统公募基金靠拢——承诺定期赎回、降低锁定期、包装成“类流动性”产品；以说服散户放弃随时可赎回的货币基金或股票ETF，转而购买一个有锁定期的金融产品。但这种包装改变不了底层资产的本质，只是把流动性风险从“明面上的长期锁定”转化为“暗藏的挤兑隐患”。</w:t>
      </w:r>
    </w:p>
    <w:p w14:paraId="01419EB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2025年2月，资产管理公司Blue Owl旗下的私募信贷基金OBDC II被迫暂停赎回，就是一个典型的“金丝雀”信号。这类产品通常承诺投资者每月或每季度可以有限赎回，却把资金投向高度非流动性的资产。一旦大量投资者同时要求赎回，基金就面临两难：要么被迫低价出售底层资产，要么只能延期兑付。这不是个别管理失误，而是模式本身的结构性矛盾。不仅散户受影响，许多大学捐赠基金等机构投资者因重仓私募资产，也陷入同样的困境，在市场不利时被迫抛售，造成更大损失。</w:t>
      </w:r>
    </w:p>
    <w:p w14:paraId="69802C3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楷体_GBK" w:hAnsi="方正楷体_GBK" w:eastAsia="方正楷体_GBK" w:cs="方正楷体_GBK"/>
          <w:b w:val="0"/>
          <w:bCs w:val="0"/>
          <w:sz w:val="32"/>
          <w:szCs w:val="32"/>
        </w:rPr>
        <w:t>其次是隐性违约与债务质量幻象</w:t>
      </w:r>
      <w:r>
        <w:rPr>
          <w:rFonts w:hint="eastAsia" w:ascii="Times New Roman" w:hAnsi="Times New Roman" w:eastAsia="方正仿宋_GBK" w:cs="Times New Roman"/>
          <w:b w:val="0"/>
          <w:bCs w:val="0"/>
          <w:sz w:val="32"/>
          <w:szCs w:val="32"/>
        </w:rPr>
        <w:t>。</w:t>
      </w:r>
    </w:p>
    <w:p w14:paraId="58F622A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这是当前最被低估、也最危险的风险。私募信贷表面违约率不到2%，看起来相当健康，但真实状况已被多种工具严重掩盖。</w:t>
      </w:r>
    </w:p>
    <w:p w14:paraId="30A83B4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最常见的工具是“实物支付”（PIK）。当企业付不出高额利息时，债权人允许企业暂不支付现金，而是把应付利息直接滚入贷款本金——相当于用新债还旧息，债务像雪球一样以复利膨胀。</w:t>
      </w:r>
    </w:p>
    <w:p w14:paraId="0BAB0BF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举例来说，一家美国中型制造企业被私募基金收购后，年利息支出为1000万美元。但由于原材料成本大幅上升、营收下滑，企业只能拿出600万美元现金。此时债权人同意：剩余的400万美元利息不要求立即支付，而是直接加到本金之中，导致下一年的利息基数进一步增大。五年前这类“实物支付”安排仅占总收入的5%，如今已飙升至8%。表面上看企业没有违约，账面依然“正常”，但实际债务负担却在悄无声息地加重。</w:t>
      </w:r>
    </w:p>
    <w:p w14:paraId="3CAC182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此外还有被称为“财务瑜伽”的操作：通过极度复杂的条款不断拉伸扭曲还款期限，避免触发正式违约记录。</w:t>
      </w:r>
    </w:p>
    <w:p w14:paraId="6D1D9E5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例如，一家科技服务公司原本应在2026年偿还一笔到期贷款，但已无力偿还。私募债权人便与其重新签订协议，将还款期限延长至2032年，同时增加各种附加费用和苛刻条件。这笔债务在公开数据中始终显示为“正常存续”，从未被计入违约名单。这种“瑜伽式”扭曲，让风险不断被推后，却让企业的实际负担越来越重。</w:t>
      </w:r>
    </w:p>
    <w:p w14:paraId="510D1A2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当企业实在无法支撑下去时，私募股权基金往往采用终极手段——企业直接“交钥匙”给债权人：以债转股的方式，将企业悄然移交给债权人，不进入公开破产程序，从而避免资产被市场残酷定价。据投行研究，自2023年以来，欧洲已有相当数量的企业通过类似方式被债权人接管，其中不乏英国顶级拍卖行和意大利高端品牌。</w:t>
      </w:r>
    </w:p>
    <w:p w14:paraId="01D453F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些操作让账面数据保持“健康”，但据部分投行分析师和独立研究机构估算，真实违约率可能已接近或达到5%，远高于官方统计的2%以下。一旦经济增速放缓、企业营收萎缩，这些长期积累的隐性坏账将集中暴露，后果远比表面数字严重得多。</w:t>
      </w:r>
    </w:p>
    <w:p w14:paraId="7002657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楷体_GBK" w:hAnsi="方正楷体_GBK" w:eastAsia="方正楷体_GBK" w:cs="方正楷体_GBK"/>
          <w:b w:val="0"/>
          <w:bCs w:val="0"/>
          <w:sz w:val="32"/>
          <w:szCs w:val="32"/>
        </w:rPr>
        <w:t>第三是高杠杆放大与系统性传染</w:t>
      </w:r>
      <w:r>
        <w:rPr>
          <w:rFonts w:hint="eastAsia" w:ascii="Times New Roman" w:hAnsi="Times New Roman" w:eastAsia="方正仿宋_GBK" w:cs="Times New Roman"/>
          <w:b w:val="0"/>
          <w:bCs w:val="0"/>
          <w:sz w:val="32"/>
          <w:szCs w:val="32"/>
        </w:rPr>
        <w:t>。</w:t>
      </w:r>
    </w:p>
    <w:p w14:paraId="5B4578B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超级多策略对冲基金是公开市场中另一股重要力量，也是当前金融体系中杠杆程度最高、影响最大的新兴机构之一。</w:t>
      </w:r>
    </w:p>
    <w:p w14:paraId="550DF79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超级多策略对冲基金与传统对冲基金最大的不同在于运作模式。传统对冲基金通常依赖一两个明星基金经理的个人判断，而超级多策略对冲基金更像一个大型“投资平台”。总部负责募集资金、设定整体风险限额，并把资本分配给几十甚至上百个相对独立的“投资小组”（业内称为“pod”）。每个pod像一个小团队，拥有自己的投资策略和决策权，但必须严格遵守总部的风险控制规则。一旦某个pod的表现不佳或市场波动加大，总部会迅速收回资本或强制减仓。</w:t>
      </w:r>
    </w:p>
    <w:p w14:paraId="11DF461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以Citadel为例，这家基金目前管理着数千亿美元的资产，内部设有上百个pod，涵盖股票、宏观、大宗商品、量化等多种策略。这种平台化模式让它在公开市场实现了高度整合。</w:t>
      </w:r>
    </w:p>
    <w:p w14:paraId="4CAD1E9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这类基金的代表包括Citadel、Millennium、Point72等五大巨头，它们通过银行的主经纪商业务，使用保证金贷款和“负扣减”融资等方式，能够将投资者本金杠杆放大到10倍左右。</w:t>
      </w:r>
    </w:p>
    <w:p w14:paraId="0460F2D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抵押融资中，银行通常会设置“扣减”（Haircut）。例如，基金用价值100万美元的国债作为抵押，银行可能只愿意借出90万美元，这10%的折扣就是扣减，目的是防范资产价格下跌的风险。但“负扣减”则完全相反：银行不仅不打折扣，反而愿意借出比抵押资产价值更高的金额。比如，用100万美元的国债作抵押，银行却借出105万美元甚至更多。</w:t>
      </w:r>
    </w:p>
    <w:p w14:paraId="12C027D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种“负扣减”是银行给超级对冲基金的特殊优惠，主要因为这些基金规模巨大、策略高度分散，单一资产波动对整体影响有限；它们有严格的内部风控系统，实时监控风险敞口；银行可以通过其他服务（交易佣金、托管费等）获得丰厚收益，融资只是打包服务的一部分。但这种优惠的前提是市场正常运行——一旦出现极端波动，所谓的“低风险”假设会瞬间崩塌。</w:t>
      </w:r>
    </w:p>
    <w:p w14:paraId="226300E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借款集中度显著上升，头部机构占比已处于历史高位，整个对冲基金行业的总借款规模达到5.5万亿美元。一旦市场出现剧烈波动，触发它们内部严格的风险限额，这些基金往往会“一触即发”式集体减仓，进一步放大市场波动。</w:t>
      </w:r>
    </w:p>
    <w:p w14:paraId="1240D10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与此同时，杠杆型ETF等产品把这种放大效应直接推向了散户。所谓杠杆型ETF，就是一种通过金融衍生品设计的“倍数放大器”基金。它的目标不是追求长期稳定回报，而是追求标的指数每日涨跌幅的数倍效果。</w:t>
      </w:r>
    </w:p>
    <w:p w14:paraId="2B0228A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举一个简单例子：假设有一只跟踪A股上证指数的3倍杠杆型ETF。当天上证指数上涨1%，正常情况下普通指数基金也上涨约1%；但这只杠杆ETF理论上会上涨约3%。如果指数下跌1%，它就会下跌约3%。还有更极端的反向杠杆ETF——当指数下跌1%时，它反而上涨3%。这类产品每天都会重新计算杠杆，波动被成倍放大。</w:t>
      </w:r>
    </w:p>
    <w:p w14:paraId="0027D54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这类产品的设计迎合的是投机心理而非投资逻辑：它追求短期剧烈波动带来的刺激，而不是长期稳健回报，再加上高额的管理费用和复利衰减效应，普通投资者的资金极易在短时间内快速蒸发。</w:t>
      </w:r>
    </w:p>
    <w:p w14:paraId="4D43FB1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举一个简单例子：假设某指数初始值为100点，一位投资者买入10000元的3倍杠杆ETF。第一天指数上涨10%至110点，杠杆ETF上涨30%，投资者账户变成13000元。但第二天指数又跌回100点（下跌9.09%），杠杆ETF就会下跌27.27%（9.09%的3倍），投资者账户只剩9455元——即指数回到原点，投资者却亏损了545元。</w:t>
      </w:r>
    </w:p>
    <w:p w14:paraId="59F5E68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如果市场连续震荡——涨10%、跌9.09%、再涨10%、再跌9.09%——仅仅四个交易日后，指数仍在100点，但投资者的10000元已缩水至约8900元，亏损超过11%，这就是复利衰减的可怕之处：每一次波动都会“咬掉”一小块本金，即使最终涨跌相抵，投资者也在劫难逃。许多散户在市场下跌时冲进去“抄底”，结果却因为杠杆的放大效应和复利衰减的双重绞杀，在几天内就遭受远超预期的惨重损失。</w:t>
      </w:r>
    </w:p>
    <w:p w14:paraId="320BD26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三类风险并非孤立存在，而是通过银行的融资渠道紧密交织在一起：私募信贷提供底层资产，超级对冲基金提供杠杆放大，散户投机产品则把波动推向极端。更危险的是，这三者形成了一个“风险闭环”：私募信贷违约→触发赎回潮→对冲基金被迫减仓→市场暴跌→杠杆ETF爆仓→进一步引发赎回→恶性循环加剧。一旦任何一环断裂，风险不会线性传导，而是指数级扩散，其速度和烈度将远超2008年的次贷危机——因为那时风险集中在银行体系，监管者知道往哪里注入流动性；而如今，风险分散在千万个散户账户和数百只半流动性基金中，既没有明确的救助对象，也没有集中的干预渠道。</w:t>
      </w:r>
    </w:p>
    <w:p w14:paraId="1CC7334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例如，假设2026年全球经济增速放缓，一家美国中型制造企业（私募信贷的主要借款人）因原材料成本上升和关税战导致出口收缩、营收下滑，无法按时支付利息。私募基金债权人先用“实物支付”（PIK）让其“续命”，但最终仍出现隐性违约，底层资产（即这笔贷款）价值开始缩水——这正是隐性违约风险的直接体现。</w:t>
      </w:r>
    </w:p>
    <w:p w14:paraId="4C01065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这一信号迅速传导：大量散户投资者恐慌，要求从持有该私募信贷的半流动性基金（如类似Blue Owl OBDC II的产品）赎回。基金因底层资产难以快速变现，只能暂停或限制赎回，引发更大挤兑潮——这正是流动性困境的集中爆发。</w:t>
      </w:r>
    </w:p>
    <w:p w14:paraId="7BB9F92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与此同时，通过主经纪商业务高度杠杆化的超级对冲基金（Citadel式平台），其抵押品主要来自私募信贷基金发行的“贷款支持证券”或相关公开市场资产。当抵押品价值因底层违约而下跌时，立即触发内部“pod”风险限额和银行的保证金追缴，被迫大规模减仓公开市场股票和债券，导致股市暴跌。杠杆型ETF（3倍或反向杠杆产品）则把这一跌幅放大数倍，散户账户在几天内遭受毁灭性损失，进一步加剧恐慌赎回——这正是高杠杆放大与系统性传染的恶性循环。</w:t>
      </w:r>
    </w:p>
    <w:p w14:paraId="73020BA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三、宏观触发因素与危机演化路径</w:t>
      </w:r>
    </w:p>
    <w:p w14:paraId="4FEF749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外部冲击正在逼近，而且几股力量正同时发酵。</w:t>
      </w:r>
    </w:p>
    <w:p w14:paraId="7E2315A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楷体_GBK" w:hAnsi="方正楷体_GBK" w:eastAsia="方正楷体_GBK" w:cs="方正楷体_GBK"/>
          <w:b w:val="0"/>
          <w:bCs w:val="0"/>
          <w:sz w:val="32"/>
          <w:szCs w:val="32"/>
        </w:rPr>
        <w:t>首先是经济动能骤降</w:t>
      </w:r>
      <w:r>
        <w:rPr>
          <w:rFonts w:hint="eastAsia" w:ascii="Times New Roman" w:hAnsi="Times New Roman" w:eastAsia="方正仿宋_GBK" w:cs="Times New Roman"/>
          <w:b w:val="0"/>
          <w:bCs w:val="0"/>
          <w:sz w:val="32"/>
          <w:szCs w:val="32"/>
        </w:rPr>
        <w:t>。美国去年第四季度GDP增长率被大幅下修至仅0.7%，经济转速明显放缓。这直接导致企业营收和现金流萎缩，原本勉强维持的偿债能力迅速变弱。</w:t>
      </w:r>
    </w:p>
    <w:p w14:paraId="5C601EB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楷体_GBK" w:hAnsi="方正楷体_GBK" w:eastAsia="方正楷体_GBK" w:cs="方正楷体_GBK"/>
          <w:b w:val="0"/>
          <w:bCs w:val="0"/>
          <w:sz w:val="32"/>
          <w:szCs w:val="32"/>
        </w:rPr>
        <w:t>其次是能源价格大幅上涨</w:t>
      </w:r>
      <w:r>
        <w:rPr>
          <w:rFonts w:hint="eastAsia" w:ascii="Times New Roman" w:hAnsi="Times New Roman" w:eastAsia="方正仿宋_GBK" w:cs="Times New Roman"/>
          <w:b w:val="0"/>
          <w:bCs w:val="0"/>
          <w:sz w:val="32"/>
          <w:szCs w:val="32"/>
        </w:rPr>
        <w:t>。波斯湾地区的冲突推高了全球油价和天然气价格，引发新一轮通胀反弹。这使得美联储难以像市场期待的那样快速、大幅降息，企业借贷成本居高不下，进一步加剧了财务压力。</w:t>
      </w:r>
    </w:p>
    <w:p w14:paraId="32D3ABC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楷体_GBK" w:hAnsi="方正楷体_GBK" w:eastAsia="方正楷体_GBK" w:cs="方正楷体_GBK"/>
          <w:b w:val="0"/>
          <w:bCs w:val="0"/>
          <w:sz w:val="32"/>
          <w:szCs w:val="32"/>
        </w:rPr>
        <w:t>第三是</w:t>
      </w:r>
      <w:r>
        <w:rPr>
          <w:rFonts w:hint="eastAsia" w:ascii="Times New Roman" w:hAnsi="Times New Roman" w:eastAsia="方正仿宋_GBK" w:cs="Times New Roman"/>
          <w:b w:val="0"/>
          <w:bCs w:val="0"/>
          <w:sz w:val="32"/>
          <w:szCs w:val="32"/>
        </w:rPr>
        <w:t>AI</w:t>
      </w:r>
      <w:r>
        <w:rPr>
          <w:rFonts w:hint="eastAsia" w:ascii="方正楷体_GBK" w:hAnsi="方正楷体_GBK" w:eastAsia="方正楷体_GBK" w:cs="方正楷体_GBK"/>
          <w:b w:val="0"/>
          <w:bCs w:val="0"/>
          <w:sz w:val="32"/>
          <w:szCs w:val="32"/>
        </w:rPr>
        <w:t>技术冲击下的行业洗牌加速</w:t>
      </w:r>
      <w:r>
        <w:rPr>
          <w:rFonts w:hint="eastAsia" w:ascii="Times New Roman" w:hAnsi="Times New Roman" w:eastAsia="方正仿宋_GBK" w:cs="Times New Roman"/>
          <w:b w:val="0"/>
          <w:bCs w:val="0"/>
          <w:sz w:val="32"/>
          <w:szCs w:val="32"/>
        </w:rPr>
        <w:t>。全球资本疯狂涌入人工智能领域，但这种“赢家通吃”的格局，正在挤压大量传统中型企业的生存空间。那些在私募信贷支持下杠杆收购的传统零售、制造、媒体和服务企业，既无法像科技巨头那样快速转型，又面临AI替代带来的成本优势丧失。更危险的是，这些企业恰恰是私募信贷的主要借款人——它们当初以高估值被收购，背负沉重债务，如今却在技术变革中丧失竞争力，违约风险急剧上升。</w:t>
      </w:r>
    </w:p>
    <w:p w14:paraId="2DC86BE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这三股逆风同时袭来，企业的偿债能力被迅速推向极限。</w:t>
      </w:r>
    </w:p>
    <w:p w14:paraId="29D09BB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危机演化路径已经相当清晰：</w:t>
      </w:r>
    </w:p>
    <w:p w14:paraId="2D1E9DB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楷体_GBK" w:hAnsi="方正楷体_GBK" w:eastAsia="方正楷体_GBK" w:cs="方正楷体_GBK"/>
          <w:b w:val="0"/>
          <w:bCs w:val="0"/>
          <w:sz w:val="32"/>
          <w:szCs w:val="32"/>
        </w:rPr>
        <w:t>第一步是白蚁式隐性恶化</w:t>
      </w:r>
      <w:r>
        <w:rPr>
          <w:rFonts w:hint="eastAsia" w:ascii="Times New Roman" w:hAnsi="Times New Roman" w:eastAsia="方正仿宋_GBK" w:cs="Times New Roman"/>
          <w:b w:val="0"/>
          <w:bCs w:val="0"/>
          <w:sz w:val="32"/>
          <w:szCs w:val="32"/>
        </w:rPr>
        <w:t>。在表面风平浪静的时候，私募信贷市场通过“实物支付”、复杂条款拉长还款期，以及私下“交钥匙”接管等方式，将大量潜在坏账隐藏起来。账面违约率看起来很低，但实际债务负担在悄无声息地积累。</w:t>
      </w:r>
    </w:p>
    <w:p w14:paraId="53C28B9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楷体_GBK" w:hAnsi="方正楷体_GBK" w:eastAsia="方正楷体_GBK" w:cs="方正楷体_GBK"/>
          <w:b w:val="0"/>
          <w:bCs w:val="0"/>
          <w:sz w:val="32"/>
          <w:szCs w:val="32"/>
        </w:rPr>
        <w:t>第二步是宏观压力下的集中暴露</w:t>
      </w:r>
      <w:r>
        <w:rPr>
          <w:rFonts w:hint="eastAsia" w:ascii="Times New Roman" w:hAnsi="Times New Roman" w:eastAsia="方正仿宋_GBK" w:cs="Times New Roman"/>
          <w:b w:val="0"/>
          <w:bCs w:val="0"/>
          <w:sz w:val="32"/>
          <w:szCs w:val="32"/>
        </w:rPr>
        <w:t>。当经济增长放缓、通胀反弹、降息受阻等多重压力同时到来时，企业营收和现金流大幅萎缩，再也无法维持那些“续命”操作。隐性违约率会快速上升，流动性突然枯竭，原本被掩盖的问题集中爆发。</w:t>
      </w:r>
    </w:p>
    <w:p w14:paraId="36BE8F3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楷体_GBK" w:hAnsi="方正楷体_GBK" w:eastAsia="方正楷体_GBK" w:cs="方正楷体_GBK"/>
          <w:b w:val="0"/>
          <w:bCs w:val="0"/>
          <w:sz w:val="32"/>
          <w:szCs w:val="32"/>
        </w:rPr>
        <w:t>第三步是通过高杠杆渠道向整个金融体系传染</w:t>
      </w:r>
      <w:r>
        <w:rPr>
          <w:rFonts w:hint="eastAsia" w:ascii="Times New Roman" w:hAnsi="Times New Roman" w:eastAsia="方正仿宋_GBK" w:cs="Times New Roman"/>
          <w:b w:val="0"/>
          <w:bCs w:val="0"/>
          <w:sz w:val="32"/>
          <w:szCs w:val="32"/>
        </w:rPr>
        <w:t>。超级对冲基金的高杠杆仓位被迫集体减仓，杠杆型ETF放大散户端的损失，而银行作为这一切的融资提供方，将面临双重打击：一方面，对冲基金用于融资的抵押品价值暴跌，保证金不足引发保证金追缴甚至违约；另一方面，大量私募信贷基金因赎回压力，向银行要求提前支取授信额度，银行不得不迅速收回或压缩这些授信额度，进一步加剧流动性枯竭。风险从私募市场快速蔓延至公开市场，再通过全球资本流动传导至其他国家。原本通过主经纪商业务“外包”出去的风险，最终以更猛烈的形式回流到银行体系。</w:t>
      </w:r>
    </w:p>
    <w:p w14:paraId="1742B0F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例如，假设2026年宏观压力集中爆发，一家中型制造企业出现隐性违约，导致其私募信贷资产价值下跌10%。由于这笔私募贷款已被打包成贷款支持证券（CLOs），并成为超级对冲基金向银行融资的主要抵押品，因此当抵押品价值下跌时，银行立即发出保证金追缴，要求基金追加现金或额外抵押品。由于对冲基金已使用接近10倍的高杠杆，无法及时满足追缴，只能启动内部“pod”风险控制机制，大规模强制减仓公开市场的股票和债券，导致股市在几天内暴跌5-8%。</w:t>
      </w:r>
    </w:p>
    <w:p w14:paraId="2D8BBC5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与此同时，杠杆型ETF（3倍做多或反向产品）将这一跌幅放大至15-24%，散户投资者账户遭受毁灭性损失，进一步加剧恐慌赎回。</w:t>
      </w:r>
    </w:p>
    <w:p w14:paraId="730D864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银行则面临双重打击：一方面，对冲基金的抵押品持续贬值，可能出现违约，银行的自有资金暴露风险；另一方面，大量私募信贷基金为了应对投资人的赎回要求，向银行要求提前支取之前获得的授信额度，相当于“银行之前答应借给我的钱，现在我要马上拿走”；银行不得不迅速收回或压缩这些授信额度，以保护自己的流动性。这导致整个影子金融体系的流动性突然枯竭，进一步加剧市场恐慌。</w:t>
      </w:r>
    </w:p>
    <w:p w14:paraId="441D8E9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原本通过主经纪商业务“外包”到影子金融体系的风险，就这样以更猛烈的形式回流到银行体系。简言之，银行像一个“中间人”：一边借钱给对冲基金（用私募信贷资产做抵押），现在抵押品坏了，自己可能亏钱；一边又借钱给私募基金（授信额度），现在对方急着要钱撤退，自己不得不赶紧收紧钱袋子。两边同时出问题，银行就被“两面夹击”，形成恶性循环。</w:t>
      </w:r>
    </w:p>
    <w:p w14:paraId="2F3E212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更令人担忧的是，这种传染将通过“国际传染渠道”迅速放大：外国投资者持有美国股票和债券的规模已超过35万亿美元，远高于2008年危机前的水平。一旦华尔街发生动荡，日本养老金、欧洲保险资金、中东主权基金的同步撤离，将引发全球范围的流动性枯竭，危机外溢效应将远超2008年。这正是全球化背景下金融危机“国际维度”的重要体现——资产价格下跌和信心丧失会通过跨境资本流动迅速传播，导致全球金融市场同步恶化。</w:t>
      </w:r>
    </w:p>
    <w:p w14:paraId="7D33BEA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不是会突然倒下的金丝雀，而是正在悄然蛀空根基的白蚁。与2008年不同，这次危机不会有清晰的“雷曼时刻”作为预警，而是会在某个看似平常的交易日，因某只半流动性基金的赎回限制、某笔大型私募信贷的违约，或某家超级对冲基金的突然减仓，引发连锁反应。当外部冲击真正到来时，市场不会从容定价，只会被动踩踏。到那时，一切干预都将为时已晚。</w:t>
      </w:r>
    </w:p>
    <w:p w14:paraId="6FD8E5F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问题不在于是否需要改革，而在于是否还有足够的时间，在白蚁彻底蛀空承重梁之前，重建金融体系的防火墙。</w:t>
      </w:r>
    </w:p>
    <w:p w14:paraId="5ABAAA27">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w:t>
      </w:r>
      <w:r>
        <w:rPr>
          <w:rFonts w:hint="eastAsia" w:ascii="Times New Roman" w:hAnsi="Times New Roman" w:eastAsia="方正楷体_GBK" w:cs="方正楷体_GBK"/>
          <w:b/>
          <w:bCs/>
          <w:color w:val="FF0000"/>
          <w:spacing w:val="0"/>
          <w:kern w:val="2"/>
          <w:sz w:val="30"/>
          <w:szCs w:val="30"/>
          <w:lang w:val="en-US" w:eastAsia="zh-CN" w:bidi="ar-SA"/>
        </w:rPr>
        <w:t>发展研究部 周斌、左亮</w:t>
      </w:r>
      <w:r>
        <w:rPr>
          <w:rFonts w:hint="default" w:ascii="Times New Roman" w:hAnsi="Times New Roman" w:eastAsia="方正楷体_GBK" w:cs="方正楷体_GBK"/>
          <w:b/>
          <w:bCs/>
          <w:color w:val="FF0000"/>
          <w:spacing w:val="0"/>
          <w:kern w:val="2"/>
          <w:sz w:val="30"/>
          <w:szCs w:val="30"/>
          <w:lang w:val="en-US" w:eastAsia="zh-CN" w:bidi="ar-SA"/>
        </w:rPr>
        <w:t>）</w:t>
      </w:r>
    </w:p>
    <w:p w14:paraId="748737E9">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7D614175">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14:paraId="097CF53B">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方正楷体_GBK" w:cs="Times New Roman"/>
          <w:b w:val="0"/>
          <w:bCs/>
          <w:kern w:val="0"/>
          <w:sz w:val="32"/>
          <w:szCs w:val="32"/>
          <w:lang w:val="en-US" w:eastAsia="zh-CN" w:bidi="ar-SA"/>
        </w:rPr>
      </w:pPr>
      <w:r>
        <w:rPr>
          <w:rFonts w:hint="eastAsia" w:ascii="Times New Roman" w:hAnsi="Times New Roman" w:eastAsia="华文新魏" w:cs="Times New Roman"/>
          <w:b/>
          <w:bCs w:val="0"/>
          <w:color w:val="FF0000"/>
          <w:spacing w:val="0"/>
          <w:kern w:val="36"/>
          <w:sz w:val="44"/>
          <w:szCs w:val="44"/>
          <w:lang w:val="en-US" w:eastAsia="zh-CN" w:bidi="ar-SA"/>
        </w:rPr>
        <w:t>宁波银行南京分行成功举办新加坡政企对接会</w:t>
      </w:r>
    </w:p>
    <w:p w14:paraId="309C962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近日，为助力中企抢抓新加坡市场机遇，我会副会长单位——宁波银行股份有限公司南京分行联合新加坡经济发展局、华侨银行、鸿信国际，在分行成功举办“链接中新 智联全球”新加坡政企对接会。活动聚焦企业出海新加坡的政策红利、落地路径与金融支持，吸引超30家意向出海新加坡企业参会，现场互动热烈，成效显著。新加坡经济发展局带来新加坡产业政策解读，详解新加坡的高效营商环境和创新生态系统；鸿信国际聚焦科技研发与高附加值制造，解读新加坡在研发创新环境、金融资本环境等方面的政策利好；华侨银行则从跨境金融视角，分享如何打开东南亚业务增长之门，为企业拓展区域市场提供实操指引。作为主办方与综合金融服务提供商，宁波银行带来《企业出海实战经验分享》，整合投前架构筹划、投中跨境结算、投后财税管理等全周期服务，为企业出海提供从战略到落地的全程护航。此次活动不仅为中企出海新加坡搭建了高效沟通桥梁，更彰显了宁波银行南京分行助力企业“走出去”的责任与担当。未来，分行将持续整合跨境资源，升级服务方案，做企业全球化路上最可信赖的同行者，共拓东南亚发展新机遇。</w:t>
      </w:r>
    </w:p>
    <w:p w14:paraId="5682055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（来源</w:t>
      </w:r>
      <w:r>
        <w:rPr>
          <w:rFonts w:hint="eastAsia" w:ascii="Times New Roman" w:hAnsi="Times New Roman" w:eastAsia="方正楷体_GBK" w:cs="方正楷体_GBK"/>
          <w:b/>
          <w:bCs/>
          <w:color w:val="FF0000"/>
          <w:spacing w:val="0"/>
          <w:kern w:val="2"/>
          <w:sz w:val="30"/>
          <w:szCs w:val="30"/>
          <w:lang w:val="en-US" w:eastAsia="zh-CN" w:bidi="ar-SA"/>
        </w:rPr>
        <w:t>：宁波银行南京分行供稿）</w:t>
      </w:r>
    </w:p>
    <w:p w14:paraId="001B1C45">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方正楷体_GBK" w:cs="Times New Roman"/>
          <w:b w:val="0"/>
          <w:bCs/>
          <w:kern w:val="0"/>
          <w:sz w:val="32"/>
          <w:szCs w:val="32"/>
          <w:lang w:val="en-US" w:eastAsia="zh-CN" w:bidi="ar-SA"/>
        </w:rPr>
      </w:pPr>
      <w:bookmarkStart w:id="1" w:name="OLE_LINK4"/>
      <w:r>
        <w:rPr>
          <w:rFonts w:hint="eastAsia" w:ascii="Times New Roman" w:hAnsi="Times New Roman" w:eastAsia="华文新魏" w:cs="Times New Roman"/>
          <w:b/>
          <w:bCs w:val="0"/>
          <w:color w:val="FF0000"/>
          <w:spacing w:val="0"/>
          <w:kern w:val="36"/>
          <w:sz w:val="44"/>
          <w:szCs w:val="44"/>
          <w:lang w:val="en-US" w:eastAsia="zh-CN" w:bidi="ar-SA"/>
        </w:rPr>
        <w:t>镔钢集团成功入选2025年度绿色工厂名单</w:t>
      </w:r>
    </w:p>
    <w:p w14:paraId="62669EB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近日，工业和信息化部办公厅正式公布了2025年度绿色工厂名单，我会副会长单位——江苏省镔鑫钢铁集团有限公司凭借在绿色制造、节能环保、数智赋能等方面的卓越实践与突出成效，经过严格评审，成功跻身绿色工厂行列。</w:t>
      </w:r>
    </w:p>
    <w:p w14:paraId="521C7B8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绿色工厂”是指实现了用地集约化、原料无害化、生产洁净化、废物资源化、能源低碳化的工厂，是对工业企业在节能环保、绿色发展等方面处于行业领先水平的一种嘉奖。此次获评，是对镔钢集团长期坚持绿色低碳发展道路、积极践行社会责任的高度认可。</w:t>
      </w:r>
    </w:p>
    <w:bookmarkEnd w:id="1"/>
    <w:p w14:paraId="3E6F611C">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（来源</w:t>
      </w:r>
      <w:r>
        <w:rPr>
          <w:rFonts w:hint="eastAsia" w:ascii="Times New Roman" w:hAnsi="Times New Roman" w:eastAsia="方正楷体_GBK" w:cs="方正楷体_GBK"/>
          <w:b/>
          <w:bCs/>
          <w:color w:val="FF0000"/>
          <w:spacing w:val="0"/>
          <w:kern w:val="2"/>
          <w:sz w:val="30"/>
          <w:szCs w:val="30"/>
          <w:lang w:val="en-US" w:eastAsia="zh-CN" w:bidi="ar-SA"/>
        </w:rPr>
        <w:t>：镔钢集团微信公众号）</w:t>
      </w:r>
    </w:p>
    <w:p w14:paraId="3F82C66D">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1C86A6E8">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45"/>
          <w:kern w:val="36"/>
          <w:sz w:val="44"/>
          <w:szCs w:val="44"/>
          <w:lang w:val="en-US" w:eastAsia="zh-CN" w:bidi="ar-SA"/>
        </w:rPr>
      </w:pPr>
    </w:p>
    <w:p w14:paraId="71B28C3B">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45"/>
          <w:kern w:val="36"/>
          <w:sz w:val="44"/>
          <w:szCs w:val="44"/>
          <w:lang w:val="en-US" w:eastAsia="zh-CN" w:bidi="ar-SA"/>
        </w:rPr>
      </w:pPr>
    </w:p>
    <w:p w14:paraId="3EEB0F71">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45"/>
          <w:kern w:val="36"/>
          <w:sz w:val="44"/>
          <w:szCs w:val="44"/>
          <w:lang w:val="en-US" w:eastAsia="zh-CN" w:bidi="ar-SA"/>
        </w:rPr>
      </w:pPr>
    </w:p>
    <w:p w14:paraId="5EC23642">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45"/>
          <w:kern w:val="36"/>
          <w:sz w:val="44"/>
          <w:szCs w:val="44"/>
          <w:lang w:val="en-US" w:eastAsia="zh-CN" w:bidi="ar-SA"/>
        </w:rPr>
      </w:pPr>
    </w:p>
    <w:p w14:paraId="3FAC1CB0">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45"/>
          <w:kern w:val="36"/>
          <w:sz w:val="44"/>
          <w:szCs w:val="44"/>
          <w:lang w:val="en-US" w:eastAsia="zh-CN" w:bidi="ar-SA"/>
        </w:rPr>
      </w:pPr>
    </w:p>
    <w:p w14:paraId="734FD7B1">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45"/>
          <w:kern w:val="36"/>
          <w:sz w:val="44"/>
          <w:szCs w:val="44"/>
          <w:lang w:val="en-US" w:eastAsia="zh-CN" w:bidi="ar-SA"/>
        </w:rPr>
      </w:pPr>
    </w:p>
    <w:p w14:paraId="1111E937">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45"/>
          <w:kern w:val="36"/>
          <w:sz w:val="44"/>
          <w:szCs w:val="44"/>
          <w:lang w:val="en-US" w:eastAsia="zh-CN" w:bidi="ar-SA"/>
        </w:rPr>
      </w:pPr>
    </w:p>
    <w:p w14:paraId="7213291E">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45"/>
          <w:kern w:val="36"/>
          <w:sz w:val="44"/>
          <w:szCs w:val="44"/>
          <w:lang w:val="en-US" w:eastAsia="zh-CN" w:bidi="ar-SA"/>
        </w:rPr>
      </w:pPr>
    </w:p>
    <w:p w14:paraId="74A189E8">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45"/>
          <w:kern w:val="36"/>
          <w:sz w:val="44"/>
          <w:szCs w:val="44"/>
          <w:lang w:val="en-US" w:eastAsia="zh-CN" w:bidi="ar-SA"/>
        </w:rPr>
      </w:pPr>
    </w:p>
    <w:p w14:paraId="47F82075">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45"/>
          <w:kern w:val="36"/>
          <w:sz w:val="44"/>
          <w:szCs w:val="44"/>
          <w:lang w:val="en-US" w:eastAsia="zh-CN" w:bidi="ar-SA"/>
        </w:rPr>
      </w:pPr>
      <w:r>
        <w:rPr>
          <w:rFonts w:hint="eastAsia" w:ascii="Times New Roman" w:hAnsi="Times New Roman" w:eastAsia="华文新魏" w:cs="Times New Roman"/>
          <w:b/>
          <w:bCs w:val="0"/>
          <w:color w:val="FF0000"/>
          <w:spacing w:val="0"/>
          <w:kern w:val="36"/>
          <w:sz w:val="44"/>
          <w:szCs w:val="44"/>
          <w:lang w:val="en-US" w:eastAsia="zh-CN" w:bidi="ar-SA"/>
        </w:rPr>
        <w:t>今世缘品牌入选“中国消费名品”名单</w:t>
      </w:r>
    </w:p>
    <w:p w14:paraId="64078CA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近日，工业和信息化部正式公布2025年度“中国消费名品”名单，我会理事单位——江苏今世缘酒业股份有限公司品牌凭借卓越的市场表现与品牌实力，成功入选中国消费名品中的时代优品榜单。</w:t>
      </w:r>
    </w:p>
    <w:p w14:paraId="36F0FD9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中国消费名品”评选活动由工业和信息化部主导发起，评选过程聚焦市场竞争力、产品创新力、品牌影响力等核心维度，旨在通过构建以企业品牌和区域品牌为主体的中国消费名品体系，推动消费品工业迈向高质量发展新阶段。该评选以严苛的质量标准、行业口碑及创新特征为衡量尺度，已成为业内公认的权威性高、影响力广的品牌评价体系。能够获此殊荣的企业，无一不是行业内的标杆与典范。</w:t>
      </w:r>
    </w:p>
    <w:p w14:paraId="3B2847E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今世缘品牌入选“中国消费名品”名单，是其品牌发展历程中的重要里程碑。多年来，今世缘酒业始终秉持匠心精神，以品质为根基，严格把控从原料采购到生产酿造的每一环节，确保每一瓶酒都符合高品质标准；以创新为驱动，不断探索新技术、新工艺，推出符合市场需求与消费者口味的新产品；以文化为纽带，深入挖掘品牌文化内涵，将传统文化与现代消费理念相结合，打造独具特色的品牌形象。</w:t>
      </w:r>
    </w:p>
    <w:p w14:paraId="7E7976AE">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（来源</w:t>
      </w:r>
      <w:r>
        <w:rPr>
          <w:rFonts w:hint="eastAsia" w:ascii="Times New Roman" w:hAnsi="Times New Roman" w:eastAsia="方正楷体_GBK" w:cs="方正楷体_GBK"/>
          <w:b/>
          <w:bCs/>
          <w:color w:val="FF0000"/>
          <w:spacing w:val="0"/>
          <w:kern w:val="2"/>
          <w:sz w:val="30"/>
          <w:szCs w:val="30"/>
          <w:lang w:val="en-US" w:eastAsia="zh-CN" w:bidi="ar-SA"/>
        </w:rPr>
        <w:t>：今世缘微信公众号）</w:t>
      </w:r>
    </w:p>
    <w:p w14:paraId="592ED31F">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ED9D3AA6-07B2-44EF-BD1C-C7225C1AF4E9}"/>
  </w:font>
  <w:font w:name="Consolas">
    <w:panose1 w:val="020B0609020204030204"/>
    <w:charset w:val="00"/>
    <w:family w:val="auto"/>
    <w:pitch w:val="default"/>
    <w:sig w:usb0="E00006FF" w:usb1="0000FCFF" w:usb2="00000001" w:usb3="00000000" w:csb0="6000019F" w:csb1="DFD70000"/>
  </w:font>
  <w:font w:name="经典行楷简">
    <w:panose1 w:val="02010609000101010101"/>
    <w:charset w:val="86"/>
    <w:family w:val="auto"/>
    <w:pitch w:val="default"/>
    <w:sig w:usb0="A1007AEF" w:usb1="F9DF7CFB" w:usb2="0000001E" w:usb3="00000000" w:csb0="20040000" w:csb1="00000000"/>
    <w:embedRegular r:id="rId2" w:fontKey="{40CEE148-3412-4407-AFFB-95C57AE72641}"/>
  </w:font>
  <w:font w:name="方正楷体_GBK">
    <w:panose1 w:val="03000509000000000000"/>
    <w:charset w:val="86"/>
    <w:family w:val="auto"/>
    <w:pitch w:val="default"/>
    <w:sig w:usb0="00000001" w:usb1="080E0000" w:usb2="00000000" w:usb3="00000000" w:csb0="00040000" w:csb1="00000000"/>
    <w:embedRegular r:id="rId3" w:fontKey="{7DBA5FB7-A1DC-4314-BED8-562E2B270CAE}"/>
  </w:font>
  <w:font w:name="方正公文黑体">
    <w:panose1 w:val="02000500000000000000"/>
    <w:charset w:val="86"/>
    <w:family w:val="auto"/>
    <w:pitch w:val="default"/>
    <w:sig w:usb0="A00002BF" w:usb1="38CF7CFA" w:usb2="00000016" w:usb3="00000000" w:csb0="00040001" w:csb1="00000000"/>
    <w:embedRegular r:id="rId4" w:fontKey="{AC36E899-6F01-4BDD-82BC-77DF996ACFC1}"/>
  </w:font>
  <w:font w:name="方正黑体_GBK">
    <w:panose1 w:val="02010600010101010101"/>
    <w:charset w:val="86"/>
    <w:family w:val="auto"/>
    <w:pitch w:val="default"/>
    <w:sig w:usb0="00000001" w:usb1="080E0000" w:usb2="00000000" w:usb3="00000000" w:csb0="00040000" w:csb1="00000000"/>
    <w:embedRegular r:id="rId5" w:fontKey="{F14BA1FA-ED80-46BD-84F8-9500D7722BA9}"/>
  </w:font>
  <w:font w:name="方正仿宋_GBK">
    <w:panose1 w:val="03000509000000000000"/>
    <w:charset w:val="86"/>
    <w:family w:val="script"/>
    <w:pitch w:val="default"/>
    <w:sig w:usb0="00000001" w:usb1="080E0000" w:usb2="00000000" w:usb3="00000000" w:csb0="00040000" w:csb1="00000000"/>
    <w:embedRegular r:id="rId6" w:fontKey="{8CEAAE18-C092-40A8-99A7-3F47DFCF53FD}"/>
  </w:font>
  <w:font w:name="方正小标宋_GBK">
    <w:panose1 w:val="02000000000000000000"/>
    <w:charset w:val="86"/>
    <w:family w:val="auto"/>
    <w:pitch w:val="default"/>
    <w:sig w:usb0="A00002BF" w:usb1="38CF7CFA" w:usb2="00082016" w:usb3="00000000" w:csb0="00040001" w:csb1="00000000"/>
    <w:embedRegular r:id="rId7" w:fontKey="{12920BB6-6C4F-4069-84FB-240B7BA7BA0D}"/>
  </w:font>
  <w:font w:name="华文新魏">
    <w:panose1 w:val="02010800040101010101"/>
    <w:charset w:val="86"/>
    <w:family w:val="auto"/>
    <w:pitch w:val="default"/>
    <w:sig w:usb0="00000001" w:usb1="080F0000" w:usb2="00000000" w:usb3="00000000" w:csb0="00040000" w:csb1="00000000"/>
    <w:embedRegular r:id="rId8" w:fontKey="{9206FA44-4B58-4A28-9264-5CDF3FDD019E}"/>
  </w:font>
  <w:font w:name="WPSEMBED2">
    <w:panose1 w:val="02000500000000000000"/>
    <w:charset w:val="86"/>
    <w:family w:val="auto"/>
    <w:pitch w:val="default"/>
    <w:sig w:usb0="A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1BD11">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-304800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740C4">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4pt;height:144pt;width:144pt;mso-position-horizontal:center;mso-position-horizontal-relative:margin;mso-wrap-style:none;z-index:251659264;mso-width-relative:page;mso-height-relative:page;" filled="f" stroked="f" coordsize="21600,21600" o:gfxdata="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gO9M9QAAAAIAQAADwAAAAAAAAABACAAAAAiAAAAZHJzL2Rvd25yZXYu&#10;eG1sUEsBAhQAFAAAAAgAh07iQLVZerI4AgAAbwQAAA4AAAAAAAAAAQAgAAAAIwEAAGRycy9lMm9E&#10;b2MueG1sUEsFBgAAAAAGAAYAWQEAAM0FAAAAAA==&#10;">
              <v:fill on="f" focussize="0,0"/>
              <v:stroke on="f" weight="0.5pt"/>
              <v:imagedata o:title=""/>
              <o:lock v:ext="edit" aspectratio="f"/>
              <v:textbox inset="0mm,0mm,0mm,0mm" style="mso-fit-shape-to-text:t;">
                <w:txbxContent>
                  <w:p w14:paraId="149740C4">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14:paraId="4033DA90">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800B0"/>
    <w:rsid w:val="00093D01"/>
    <w:rsid w:val="00097083"/>
    <w:rsid w:val="000C6CC2"/>
    <w:rsid w:val="001156B9"/>
    <w:rsid w:val="00145330"/>
    <w:rsid w:val="00154806"/>
    <w:rsid w:val="001F2C95"/>
    <w:rsid w:val="00215B64"/>
    <w:rsid w:val="002840B7"/>
    <w:rsid w:val="003208B4"/>
    <w:rsid w:val="003671B0"/>
    <w:rsid w:val="003C691D"/>
    <w:rsid w:val="003F32D7"/>
    <w:rsid w:val="0042623F"/>
    <w:rsid w:val="0043286B"/>
    <w:rsid w:val="00467C46"/>
    <w:rsid w:val="005279A4"/>
    <w:rsid w:val="005A092B"/>
    <w:rsid w:val="006B63D3"/>
    <w:rsid w:val="006C0C2E"/>
    <w:rsid w:val="00723B7D"/>
    <w:rsid w:val="00742E2E"/>
    <w:rsid w:val="007C2A82"/>
    <w:rsid w:val="007E11E9"/>
    <w:rsid w:val="008B2F92"/>
    <w:rsid w:val="008E3499"/>
    <w:rsid w:val="008F79A9"/>
    <w:rsid w:val="00906A61"/>
    <w:rsid w:val="00962249"/>
    <w:rsid w:val="00984AC6"/>
    <w:rsid w:val="00A0554E"/>
    <w:rsid w:val="00A55B3B"/>
    <w:rsid w:val="00B1496F"/>
    <w:rsid w:val="00B35803"/>
    <w:rsid w:val="00B45E3E"/>
    <w:rsid w:val="00B528B9"/>
    <w:rsid w:val="00C16462"/>
    <w:rsid w:val="00C66488"/>
    <w:rsid w:val="00CA656E"/>
    <w:rsid w:val="00CE04E4"/>
    <w:rsid w:val="00D0085C"/>
    <w:rsid w:val="00D9651F"/>
    <w:rsid w:val="00DB54B3"/>
    <w:rsid w:val="00DF053C"/>
    <w:rsid w:val="00E278B0"/>
    <w:rsid w:val="00E76B4E"/>
    <w:rsid w:val="00EA6FD6"/>
    <w:rsid w:val="00FC3867"/>
    <w:rsid w:val="010007F1"/>
    <w:rsid w:val="010F41FD"/>
    <w:rsid w:val="01123C24"/>
    <w:rsid w:val="01281FA6"/>
    <w:rsid w:val="0129652A"/>
    <w:rsid w:val="012C4A94"/>
    <w:rsid w:val="0134238F"/>
    <w:rsid w:val="01434062"/>
    <w:rsid w:val="014F3F68"/>
    <w:rsid w:val="015A28DE"/>
    <w:rsid w:val="01603797"/>
    <w:rsid w:val="01607B5B"/>
    <w:rsid w:val="01614C4F"/>
    <w:rsid w:val="016607CF"/>
    <w:rsid w:val="01687C29"/>
    <w:rsid w:val="016C6133"/>
    <w:rsid w:val="016D0719"/>
    <w:rsid w:val="016E2905"/>
    <w:rsid w:val="01730647"/>
    <w:rsid w:val="01765242"/>
    <w:rsid w:val="017F7312"/>
    <w:rsid w:val="0183354F"/>
    <w:rsid w:val="018A4341"/>
    <w:rsid w:val="018D1ED5"/>
    <w:rsid w:val="018E0532"/>
    <w:rsid w:val="01944C0D"/>
    <w:rsid w:val="01947605"/>
    <w:rsid w:val="019652A2"/>
    <w:rsid w:val="019A0A9C"/>
    <w:rsid w:val="019E5AF8"/>
    <w:rsid w:val="01A05888"/>
    <w:rsid w:val="01A2463C"/>
    <w:rsid w:val="01A277CA"/>
    <w:rsid w:val="01A536F0"/>
    <w:rsid w:val="01AB72AD"/>
    <w:rsid w:val="01AD0FC0"/>
    <w:rsid w:val="01AF0E83"/>
    <w:rsid w:val="01B74B80"/>
    <w:rsid w:val="01B76B70"/>
    <w:rsid w:val="01BC47E4"/>
    <w:rsid w:val="01BD0D3F"/>
    <w:rsid w:val="01C17E07"/>
    <w:rsid w:val="01C277DB"/>
    <w:rsid w:val="01C5785D"/>
    <w:rsid w:val="01CB201F"/>
    <w:rsid w:val="01D01DDD"/>
    <w:rsid w:val="01D83F23"/>
    <w:rsid w:val="01DA121B"/>
    <w:rsid w:val="01E02E8A"/>
    <w:rsid w:val="01EB6FF4"/>
    <w:rsid w:val="01EC6C1A"/>
    <w:rsid w:val="01F43D5D"/>
    <w:rsid w:val="01F53962"/>
    <w:rsid w:val="01F739C6"/>
    <w:rsid w:val="01FE284A"/>
    <w:rsid w:val="0202118C"/>
    <w:rsid w:val="020C0504"/>
    <w:rsid w:val="020F3F82"/>
    <w:rsid w:val="021337A8"/>
    <w:rsid w:val="02154F00"/>
    <w:rsid w:val="02200558"/>
    <w:rsid w:val="022C2DDE"/>
    <w:rsid w:val="024125AD"/>
    <w:rsid w:val="02424F98"/>
    <w:rsid w:val="02451830"/>
    <w:rsid w:val="024B4F65"/>
    <w:rsid w:val="02522774"/>
    <w:rsid w:val="02716397"/>
    <w:rsid w:val="02742027"/>
    <w:rsid w:val="027B1EF4"/>
    <w:rsid w:val="027D39C5"/>
    <w:rsid w:val="02836A31"/>
    <w:rsid w:val="02842B55"/>
    <w:rsid w:val="02850B1B"/>
    <w:rsid w:val="028D4134"/>
    <w:rsid w:val="028E239B"/>
    <w:rsid w:val="028E669E"/>
    <w:rsid w:val="02925D70"/>
    <w:rsid w:val="02945151"/>
    <w:rsid w:val="02994D24"/>
    <w:rsid w:val="02AA4579"/>
    <w:rsid w:val="02B452E0"/>
    <w:rsid w:val="02B7449E"/>
    <w:rsid w:val="02B81004"/>
    <w:rsid w:val="02B93913"/>
    <w:rsid w:val="02BB7BC5"/>
    <w:rsid w:val="02C541E0"/>
    <w:rsid w:val="02C7326C"/>
    <w:rsid w:val="02C976C5"/>
    <w:rsid w:val="02CA2014"/>
    <w:rsid w:val="02CB3941"/>
    <w:rsid w:val="02CE36F0"/>
    <w:rsid w:val="02D253BA"/>
    <w:rsid w:val="02D664A5"/>
    <w:rsid w:val="02D70120"/>
    <w:rsid w:val="02DA08C0"/>
    <w:rsid w:val="02E746B3"/>
    <w:rsid w:val="02EA0804"/>
    <w:rsid w:val="02F03F7A"/>
    <w:rsid w:val="02F04987"/>
    <w:rsid w:val="02F15A26"/>
    <w:rsid w:val="02F3072B"/>
    <w:rsid w:val="02F35039"/>
    <w:rsid w:val="02F4686A"/>
    <w:rsid w:val="02F50E1A"/>
    <w:rsid w:val="02FC365E"/>
    <w:rsid w:val="03032EA1"/>
    <w:rsid w:val="03055083"/>
    <w:rsid w:val="030A33B2"/>
    <w:rsid w:val="0312457C"/>
    <w:rsid w:val="03146293"/>
    <w:rsid w:val="03173E54"/>
    <w:rsid w:val="03247659"/>
    <w:rsid w:val="032626D8"/>
    <w:rsid w:val="03276EB0"/>
    <w:rsid w:val="03320DD5"/>
    <w:rsid w:val="03367B19"/>
    <w:rsid w:val="033F3094"/>
    <w:rsid w:val="033F5E23"/>
    <w:rsid w:val="0341739D"/>
    <w:rsid w:val="03441AE0"/>
    <w:rsid w:val="034A5312"/>
    <w:rsid w:val="035906B9"/>
    <w:rsid w:val="035A07AB"/>
    <w:rsid w:val="035F7880"/>
    <w:rsid w:val="036572E0"/>
    <w:rsid w:val="036773BE"/>
    <w:rsid w:val="036B41D2"/>
    <w:rsid w:val="03745931"/>
    <w:rsid w:val="0375270B"/>
    <w:rsid w:val="0376026A"/>
    <w:rsid w:val="03763E10"/>
    <w:rsid w:val="03795E56"/>
    <w:rsid w:val="038A3C11"/>
    <w:rsid w:val="038F00BD"/>
    <w:rsid w:val="038F07EB"/>
    <w:rsid w:val="039F6B79"/>
    <w:rsid w:val="03A054FE"/>
    <w:rsid w:val="03A634A2"/>
    <w:rsid w:val="03A710E3"/>
    <w:rsid w:val="03AB7076"/>
    <w:rsid w:val="03B75E22"/>
    <w:rsid w:val="03B93704"/>
    <w:rsid w:val="03BC3316"/>
    <w:rsid w:val="03C7124D"/>
    <w:rsid w:val="03C956D7"/>
    <w:rsid w:val="03CD065E"/>
    <w:rsid w:val="03CD0F50"/>
    <w:rsid w:val="03D96519"/>
    <w:rsid w:val="03DC76EB"/>
    <w:rsid w:val="03DD4156"/>
    <w:rsid w:val="03DF3AAC"/>
    <w:rsid w:val="03DF7C94"/>
    <w:rsid w:val="03E4053E"/>
    <w:rsid w:val="03EE2D2D"/>
    <w:rsid w:val="03EE5120"/>
    <w:rsid w:val="03F95EAB"/>
    <w:rsid w:val="03FA4378"/>
    <w:rsid w:val="040D5A59"/>
    <w:rsid w:val="040E59E0"/>
    <w:rsid w:val="04177E90"/>
    <w:rsid w:val="041B3B0D"/>
    <w:rsid w:val="041F33A4"/>
    <w:rsid w:val="04227E09"/>
    <w:rsid w:val="04256881"/>
    <w:rsid w:val="04257D27"/>
    <w:rsid w:val="042C1175"/>
    <w:rsid w:val="042E72BA"/>
    <w:rsid w:val="04361A54"/>
    <w:rsid w:val="043837D8"/>
    <w:rsid w:val="043F0FCC"/>
    <w:rsid w:val="0458216E"/>
    <w:rsid w:val="04633D2A"/>
    <w:rsid w:val="04642403"/>
    <w:rsid w:val="046441B2"/>
    <w:rsid w:val="0470619B"/>
    <w:rsid w:val="047264E0"/>
    <w:rsid w:val="04732D97"/>
    <w:rsid w:val="047929EC"/>
    <w:rsid w:val="047931E4"/>
    <w:rsid w:val="047B754C"/>
    <w:rsid w:val="047C330E"/>
    <w:rsid w:val="04802BB2"/>
    <w:rsid w:val="048112FB"/>
    <w:rsid w:val="048A77DB"/>
    <w:rsid w:val="048B08F7"/>
    <w:rsid w:val="04997356"/>
    <w:rsid w:val="04B3013F"/>
    <w:rsid w:val="04BA605B"/>
    <w:rsid w:val="04BB6582"/>
    <w:rsid w:val="04BF51D4"/>
    <w:rsid w:val="04C30370"/>
    <w:rsid w:val="04C369FD"/>
    <w:rsid w:val="04C87276"/>
    <w:rsid w:val="04CE7B7F"/>
    <w:rsid w:val="04D13EAB"/>
    <w:rsid w:val="04D81CE8"/>
    <w:rsid w:val="04E16ACF"/>
    <w:rsid w:val="04E81C0B"/>
    <w:rsid w:val="04E92750"/>
    <w:rsid w:val="04ED1D07"/>
    <w:rsid w:val="04F33CBA"/>
    <w:rsid w:val="04FB0B72"/>
    <w:rsid w:val="05006805"/>
    <w:rsid w:val="05017788"/>
    <w:rsid w:val="050A0F30"/>
    <w:rsid w:val="051142A3"/>
    <w:rsid w:val="05150D13"/>
    <w:rsid w:val="052054D4"/>
    <w:rsid w:val="052779FB"/>
    <w:rsid w:val="052C7639"/>
    <w:rsid w:val="05490385"/>
    <w:rsid w:val="054A7C8A"/>
    <w:rsid w:val="054D6A6C"/>
    <w:rsid w:val="055D26AF"/>
    <w:rsid w:val="056534E0"/>
    <w:rsid w:val="056834A8"/>
    <w:rsid w:val="05684832"/>
    <w:rsid w:val="056C0F36"/>
    <w:rsid w:val="056E79C6"/>
    <w:rsid w:val="05763BC9"/>
    <w:rsid w:val="057A3526"/>
    <w:rsid w:val="057A799E"/>
    <w:rsid w:val="057E6F65"/>
    <w:rsid w:val="058647BE"/>
    <w:rsid w:val="05880374"/>
    <w:rsid w:val="05881910"/>
    <w:rsid w:val="05913966"/>
    <w:rsid w:val="05926E6B"/>
    <w:rsid w:val="059F17BF"/>
    <w:rsid w:val="05A259F9"/>
    <w:rsid w:val="05A44B94"/>
    <w:rsid w:val="05A72CCC"/>
    <w:rsid w:val="05A73DC5"/>
    <w:rsid w:val="05B336D5"/>
    <w:rsid w:val="05CC2A3B"/>
    <w:rsid w:val="05CD0D9A"/>
    <w:rsid w:val="05CF249D"/>
    <w:rsid w:val="05D14319"/>
    <w:rsid w:val="05D714EA"/>
    <w:rsid w:val="05E536E6"/>
    <w:rsid w:val="05EA1C44"/>
    <w:rsid w:val="05F2445C"/>
    <w:rsid w:val="05F84C68"/>
    <w:rsid w:val="06077942"/>
    <w:rsid w:val="060A0D89"/>
    <w:rsid w:val="060C359D"/>
    <w:rsid w:val="060F3722"/>
    <w:rsid w:val="062847B3"/>
    <w:rsid w:val="062B0B83"/>
    <w:rsid w:val="062C6587"/>
    <w:rsid w:val="062D67C8"/>
    <w:rsid w:val="06301A1B"/>
    <w:rsid w:val="0631403C"/>
    <w:rsid w:val="0633380C"/>
    <w:rsid w:val="0638362B"/>
    <w:rsid w:val="063E600A"/>
    <w:rsid w:val="06405659"/>
    <w:rsid w:val="064327CF"/>
    <w:rsid w:val="0645654E"/>
    <w:rsid w:val="064F5725"/>
    <w:rsid w:val="06510CDF"/>
    <w:rsid w:val="065C27A8"/>
    <w:rsid w:val="065F50DA"/>
    <w:rsid w:val="06602F2C"/>
    <w:rsid w:val="06626021"/>
    <w:rsid w:val="066D2CED"/>
    <w:rsid w:val="066E2C0B"/>
    <w:rsid w:val="06700010"/>
    <w:rsid w:val="06734EB6"/>
    <w:rsid w:val="067C24CF"/>
    <w:rsid w:val="068731B8"/>
    <w:rsid w:val="068A1FDD"/>
    <w:rsid w:val="069002BE"/>
    <w:rsid w:val="06906B8C"/>
    <w:rsid w:val="069725BC"/>
    <w:rsid w:val="069A3A7C"/>
    <w:rsid w:val="06A24D7D"/>
    <w:rsid w:val="06A6750E"/>
    <w:rsid w:val="06A729E1"/>
    <w:rsid w:val="06A94232"/>
    <w:rsid w:val="06AB1C7E"/>
    <w:rsid w:val="06AC05E7"/>
    <w:rsid w:val="06AF1D16"/>
    <w:rsid w:val="06AF3414"/>
    <w:rsid w:val="06B15237"/>
    <w:rsid w:val="06BA5EB2"/>
    <w:rsid w:val="06CF1EF4"/>
    <w:rsid w:val="06D17DB1"/>
    <w:rsid w:val="06E444B8"/>
    <w:rsid w:val="06F76FBB"/>
    <w:rsid w:val="070615F0"/>
    <w:rsid w:val="07085235"/>
    <w:rsid w:val="07146D7A"/>
    <w:rsid w:val="071A4300"/>
    <w:rsid w:val="0724090E"/>
    <w:rsid w:val="072C5901"/>
    <w:rsid w:val="072D6955"/>
    <w:rsid w:val="07355298"/>
    <w:rsid w:val="073633AE"/>
    <w:rsid w:val="0738618B"/>
    <w:rsid w:val="074E1705"/>
    <w:rsid w:val="074E279C"/>
    <w:rsid w:val="075268B6"/>
    <w:rsid w:val="075C0378"/>
    <w:rsid w:val="075C613A"/>
    <w:rsid w:val="07616A73"/>
    <w:rsid w:val="0768627D"/>
    <w:rsid w:val="07774E9B"/>
    <w:rsid w:val="07852CE2"/>
    <w:rsid w:val="07886D75"/>
    <w:rsid w:val="079A77BC"/>
    <w:rsid w:val="079D6C92"/>
    <w:rsid w:val="079E20C5"/>
    <w:rsid w:val="07A36583"/>
    <w:rsid w:val="07A757F6"/>
    <w:rsid w:val="07A92FCD"/>
    <w:rsid w:val="07AB5A16"/>
    <w:rsid w:val="07C32EAB"/>
    <w:rsid w:val="07CE7516"/>
    <w:rsid w:val="07DA5629"/>
    <w:rsid w:val="07DE3B60"/>
    <w:rsid w:val="07E54B9E"/>
    <w:rsid w:val="08010DA7"/>
    <w:rsid w:val="08033960"/>
    <w:rsid w:val="080954A3"/>
    <w:rsid w:val="080F3123"/>
    <w:rsid w:val="082209F5"/>
    <w:rsid w:val="08220E8F"/>
    <w:rsid w:val="08242F28"/>
    <w:rsid w:val="08252E6C"/>
    <w:rsid w:val="08275EA4"/>
    <w:rsid w:val="08294CB5"/>
    <w:rsid w:val="083036B5"/>
    <w:rsid w:val="08310F19"/>
    <w:rsid w:val="08331FC1"/>
    <w:rsid w:val="083611A9"/>
    <w:rsid w:val="083901EB"/>
    <w:rsid w:val="08394081"/>
    <w:rsid w:val="083943C5"/>
    <w:rsid w:val="08395DAB"/>
    <w:rsid w:val="08404FD2"/>
    <w:rsid w:val="084A2513"/>
    <w:rsid w:val="08515651"/>
    <w:rsid w:val="08587D37"/>
    <w:rsid w:val="085D6EF2"/>
    <w:rsid w:val="085F59AE"/>
    <w:rsid w:val="086303CB"/>
    <w:rsid w:val="08674312"/>
    <w:rsid w:val="086B17B3"/>
    <w:rsid w:val="0875786E"/>
    <w:rsid w:val="0881684A"/>
    <w:rsid w:val="088C3E25"/>
    <w:rsid w:val="08927463"/>
    <w:rsid w:val="08986B20"/>
    <w:rsid w:val="08991A5A"/>
    <w:rsid w:val="089C49FA"/>
    <w:rsid w:val="08AF073A"/>
    <w:rsid w:val="08BD5FE1"/>
    <w:rsid w:val="08BE7798"/>
    <w:rsid w:val="08C333B4"/>
    <w:rsid w:val="08C46A4F"/>
    <w:rsid w:val="08C654F8"/>
    <w:rsid w:val="08CA79C7"/>
    <w:rsid w:val="08D54B6A"/>
    <w:rsid w:val="08D73E78"/>
    <w:rsid w:val="08DB6139"/>
    <w:rsid w:val="08DD4FAE"/>
    <w:rsid w:val="08DE001E"/>
    <w:rsid w:val="08DE502C"/>
    <w:rsid w:val="08DE7E03"/>
    <w:rsid w:val="08EB2EDB"/>
    <w:rsid w:val="08ED6D3B"/>
    <w:rsid w:val="08FB16E4"/>
    <w:rsid w:val="08FB2C3C"/>
    <w:rsid w:val="08FE2EDE"/>
    <w:rsid w:val="08FE5206"/>
    <w:rsid w:val="090E2C7F"/>
    <w:rsid w:val="09140F8D"/>
    <w:rsid w:val="09150DAF"/>
    <w:rsid w:val="09155095"/>
    <w:rsid w:val="091D10D0"/>
    <w:rsid w:val="09210482"/>
    <w:rsid w:val="092105FC"/>
    <w:rsid w:val="09222AB2"/>
    <w:rsid w:val="092629C0"/>
    <w:rsid w:val="09266115"/>
    <w:rsid w:val="093303B8"/>
    <w:rsid w:val="094318A6"/>
    <w:rsid w:val="09446DB4"/>
    <w:rsid w:val="094811BB"/>
    <w:rsid w:val="094F18C1"/>
    <w:rsid w:val="0954257E"/>
    <w:rsid w:val="09583F76"/>
    <w:rsid w:val="095929D4"/>
    <w:rsid w:val="095A003F"/>
    <w:rsid w:val="095B02C8"/>
    <w:rsid w:val="09606CDC"/>
    <w:rsid w:val="09631FC1"/>
    <w:rsid w:val="09651D94"/>
    <w:rsid w:val="096F5B71"/>
    <w:rsid w:val="097F0134"/>
    <w:rsid w:val="098601E8"/>
    <w:rsid w:val="098A1F77"/>
    <w:rsid w:val="09915044"/>
    <w:rsid w:val="099872CF"/>
    <w:rsid w:val="09991A94"/>
    <w:rsid w:val="099B0B43"/>
    <w:rsid w:val="09A07C38"/>
    <w:rsid w:val="09A137B2"/>
    <w:rsid w:val="09A2636C"/>
    <w:rsid w:val="09A44BA0"/>
    <w:rsid w:val="09AA495F"/>
    <w:rsid w:val="09AC53C9"/>
    <w:rsid w:val="09B630C3"/>
    <w:rsid w:val="09BD4BE0"/>
    <w:rsid w:val="09C222A5"/>
    <w:rsid w:val="09C27E4D"/>
    <w:rsid w:val="09C81C8D"/>
    <w:rsid w:val="09CB6B07"/>
    <w:rsid w:val="09CC1439"/>
    <w:rsid w:val="09CD0E22"/>
    <w:rsid w:val="09CD713D"/>
    <w:rsid w:val="09DA121F"/>
    <w:rsid w:val="09F43143"/>
    <w:rsid w:val="09FA2B3C"/>
    <w:rsid w:val="09FA772F"/>
    <w:rsid w:val="09FB6D64"/>
    <w:rsid w:val="09FD0F85"/>
    <w:rsid w:val="0A030CE9"/>
    <w:rsid w:val="0A0D0EE1"/>
    <w:rsid w:val="0A1B5347"/>
    <w:rsid w:val="0A33530F"/>
    <w:rsid w:val="0A346C5C"/>
    <w:rsid w:val="0A451ABA"/>
    <w:rsid w:val="0A4707FD"/>
    <w:rsid w:val="0A486965"/>
    <w:rsid w:val="0A4B2E8D"/>
    <w:rsid w:val="0A5317DF"/>
    <w:rsid w:val="0A534D83"/>
    <w:rsid w:val="0A564C39"/>
    <w:rsid w:val="0A5B0F4C"/>
    <w:rsid w:val="0A61640A"/>
    <w:rsid w:val="0A6536D8"/>
    <w:rsid w:val="0A6A580E"/>
    <w:rsid w:val="0A6B730C"/>
    <w:rsid w:val="0A6E08D6"/>
    <w:rsid w:val="0A7611EF"/>
    <w:rsid w:val="0A765DBA"/>
    <w:rsid w:val="0A7A1EF7"/>
    <w:rsid w:val="0A937773"/>
    <w:rsid w:val="0A987047"/>
    <w:rsid w:val="0AA05D85"/>
    <w:rsid w:val="0AAD109D"/>
    <w:rsid w:val="0ABB417A"/>
    <w:rsid w:val="0ABE47A4"/>
    <w:rsid w:val="0AC71E05"/>
    <w:rsid w:val="0ACC2910"/>
    <w:rsid w:val="0ACC3151"/>
    <w:rsid w:val="0AD014F5"/>
    <w:rsid w:val="0AD16821"/>
    <w:rsid w:val="0AD45A3C"/>
    <w:rsid w:val="0AD60B60"/>
    <w:rsid w:val="0ADC78D2"/>
    <w:rsid w:val="0ADF4793"/>
    <w:rsid w:val="0AE11813"/>
    <w:rsid w:val="0AE3323E"/>
    <w:rsid w:val="0AE3404E"/>
    <w:rsid w:val="0AEB11A6"/>
    <w:rsid w:val="0AEC3E44"/>
    <w:rsid w:val="0AEE609E"/>
    <w:rsid w:val="0AEF478A"/>
    <w:rsid w:val="0AF51E84"/>
    <w:rsid w:val="0AFA1E0F"/>
    <w:rsid w:val="0AFC1AD5"/>
    <w:rsid w:val="0B041299"/>
    <w:rsid w:val="0B062542"/>
    <w:rsid w:val="0B0E47F4"/>
    <w:rsid w:val="0B112BB9"/>
    <w:rsid w:val="0B14238E"/>
    <w:rsid w:val="0B1C17AD"/>
    <w:rsid w:val="0B1F62C7"/>
    <w:rsid w:val="0B283787"/>
    <w:rsid w:val="0B2D6F6E"/>
    <w:rsid w:val="0B324625"/>
    <w:rsid w:val="0B324CD2"/>
    <w:rsid w:val="0B345DB1"/>
    <w:rsid w:val="0B363DD8"/>
    <w:rsid w:val="0B3A4657"/>
    <w:rsid w:val="0B3C5BB9"/>
    <w:rsid w:val="0B4372E2"/>
    <w:rsid w:val="0B48487F"/>
    <w:rsid w:val="0B5979A6"/>
    <w:rsid w:val="0B5A2079"/>
    <w:rsid w:val="0B5B5996"/>
    <w:rsid w:val="0B5C3E34"/>
    <w:rsid w:val="0B5F7467"/>
    <w:rsid w:val="0B6075D7"/>
    <w:rsid w:val="0B627AD4"/>
    <w:rsid w:val="0B6A0BB3"/>
    <w:rsid w:val="0B735FF2"/>
    <w:rsid w:val="0B792EB2"/>
    <w:rsid w:val="0B8035EB"/>
    <w:rsid w:val="0B84164E"/>
    <w:rsid w:val="0B892750"/>
    <w:rsid w:val="0B89731E"/>
    <w:rsid w:val="0B904412"/>
    <w:rsid w:val="0B90485D"/>
    <w:rsid w:val="0B913EDA"/>
    <w:rsid w:val="0B9C76A8"/>
    <w:rsid w:val="0BA50775"/>
    <w:rsid w:val="0BA749E5"/>
    <w:rsid w:val="0BAC24A8"/>
    <w:rsid w:val="0BAE1323"/>
    <w:rsid w:val="0BB42E0A"/>
    <w:rsid w:val="0BBA3391"/>
    <w:rsid w:val="0BD05C8A"/>
    <w:rsid w:val="0BD62605"/>
    <w:rsid w:val="0BDC3258"/>
    <w:rsid w:val="0BDE3581"/>
    <w:rsid w:val="0BE52963"/>
    <w:rsid w:val="0BE57BC8"/>
    <w:rsid w:val="0BE85349"/>
    <w:rsid w:val="0BF57A28"/>
    <w:rsid w:val="0BF845E9"/>
    <w:rsid w:val="0BFA1A53"/>
    <w:rsid w:val="0C074F06"/>
    <w:rsid w:val="0C0B1E5B"/>
    <w:rsid w:val="0C146F99"/>
    <w:rsid w:val="0C163DCB"/>
    <w:rsid w:val="0C1A584B"/>
    <w:rsid w:val="0C1F5892"/>
    <w:rsid w:val="0C207391"/>
    <w:rsid w:val="0C2275D5"/>
    <w:rsid w:val="0C2D70F9"/>
    <w:rsid w:val="0C342312"/>
    <w:rsid w:val="0C363AA9"/>
    <w:rsid w:val="0C373B19"/>
    <w:rsid w:val="0C3F7E0B"/>
    <w:rsid w:val="0C456335"/>
    <w:rsid w:val="0C53740C"/>
    <w:rsid w:val="0C563E70"/>
    <w:rsid w:val="0C631545"/>
    <w:rsid w:val="0C6E187C"/>
    <w:rsid w:val="0C7D4D8F"/>
    <w:rsid w:val="0C80052F"/>
    <w:rsid w:val="0C8C06D3"/>
    <w:rsid w:val="0C900DC2"/>
    <w:rsid w:val="0C980884"/>
    <w:rsid w:val="0C9961AF"/>
    <w:rsid w:val="0C9A18AD"/>
    <w:rsid w:val="0C9A50FF"/>
    <w:rsid w:val="0C9B3EE0"/>
    <w:rsid w:val="0C9C2E80"/>
    <w:rsid w:val="0CA20B1F"/>
    <w:rsid w:val="0CA44E41"/>
    <w:rsid w:val="0CA77405"/>
    <w:rsid w:val="0CA83489"/>
    <w:rsid w:val="0CA96FA5"/>
    <w:rsid w:val="0CAE5B1B"/>
    <w:rsid w:val="0CB224D8"/>
    <w:rsid w:val="0CB31FF7"/>
    <w:rsid w:val="0CB45BFD"/>
    <w:rsid w:val="0CB7503A"/>
    <w:rsid w:val="0CB75099"/>
    <w:rsid w:val="0CB80D6E"/>
    <w:rsid w:val="0CBE2C1D"/>
    <w:rsid w:val="0CBF360E"/>
    <w:rsid w:val="0CC10497"/>
    <w:rsid w:val="0CC30BC5"/>
    <w:rsid w:val="0CC42150"/>
    <w:rsid w:val="0CC45545"/>
    <w:rsid w:val="0CC71781"/>
    <w:rsid w:val="0CCB0FDF"/>
    <w:rsid w:val="0CCD2A5C"/>
    <w:rsid w:val="0CDC1817"/>
    <w:rsid w:val="0CDC515C"/>
    <w:rsid w:val="0D0167C5"/>
    <w:rsid w:val="0D0B2A13"/>
    <w:rsid w:val="0D112021"/>
    <w:rsid w:val="0D12133D"/>
    <w:rsid w:val="0D1F7151"/>
    <w:rsid w:val="0D200D54"/>
    <w:rsid w:val="0D2B7DB2"/>
    <w:rsid w:val="0D3152D9"/>
    <w:rsid w:val="0D354A50"/>
    <w:rsid w:val="0D384916"/>
    <w:rsid w:val="0D427E08"/>
    <w:rsid w:val="0D444358"/>
    <w:rsid w:val="0D4775E8"/>
    <w:rsid w:val="0D4A1977"/>
    <w:rsid w:val="0D4B602E"/>
    <w:rsid w:val="0D511FCD"/>
    <w:rsid w:val="0D52698E"/>
    <w:rsid w:val="0D583C5F"/>
    <w:rsid w:val="0D5D658F"/>
    <w:rsid w:val="0D6029A5"/>
    <w:rsid w:val="0D6063D4"/>
    <w:rsid w:val="0D665CD7"/>
    <w:rsid w:val="0D667E20"/>
    <w:rsid w:val="0D693967"/>
    <w:rsid w:val="0D6B6C90"/>
    <w:rsid w:val="0D7170F8"/>
    <w:rsid w:val="0D922931"/>
    <w:rsid w:val="0D95263C"/>
    <w:rsid w:val="0D9B6A6D"/>
    <w:rsid w:val="0DA81B9F"/>
    <w:rsid w:val="0DAD79F2"/>
    <w:rsid w:val="0DB403B1"/>
    <w:rsid w:val="0DB47CEC"/>
    <w:rsid w:val="0DBB3CA5"/>
    <w:rsid w:val="0DBB4EDD"/>
    <w:rsid w:val="0DC37BF2"/>
    <w:rsid w:val="0DC436B0"/>
    <w:rsid w:val="0DC62A65"/>
    <w:rsid w:val="0DC9693F"/>
    <w:rsid w:val="0DCC1715"/>
    <w:rsid w:val="0DCE4BC6"/>
    <w:rsid w:val="0DD82C48"/>
    <w:rsid w:val="0DDB6385"/>
    <w:rsid w:val="0DE057D2"/>
    <w:rsid w:val="0DF024FC"/>
    <w:rsid w:val="0DF0632D"/>
    <w:rsid w:val="0DF475E0"/>
    <w:rsid w:val="0E0E09E4"/>
    <w:rsid w:val="0E0E0AE3"/>
    <w:rsid w:val="0E184477"/>
    <w:rsid w:val="0E1A4501"/>
    <w:rsid w:val="0E1A78B5"/>
    <w:rsid w:val="0E21196E"/>
    <w:rsid w:val="0E227E98"/>
    <w:rsid w:val="0E27140B"/>
    <w:rsid w:val="0E275D7B"/>
    <w:rsid w:val="0E2D4D70"/>
    <w:rsid w:val="0E3B2663"/>
    <w:rsid w:val="0E443DBA"/>
    <w:rsid w:val="0E465F52"/>
    <w:rsid w:val="0E4C7DA3"/>
    <w:rsid w:val="0E576A70"/>
    <w:rsid w:val="0E587DB8"/>
    <w:rsid w:val="0E6B437E"/>
    <w:rsid w:val="0E6B6A22"/>
    <w:rsid w:val="0E6F53AB"/>
    <w:rsid w:val="0E701F1A"/>
    <w:rsid w:val="0E793535"/>
    <w:rsid w:val="0E795DEE"/>
    <w:rsid w:val="0E7B3260"/>
    <w:rsid w:val="0E804638"/>
    <w:rsid w:val="0E854758"/>
    <w:rsid w:val="0EA50BFC"/>
    <w:rsid w:val="0EAB0282"/>
    <w:rsid w:val="0EC370FE"/>
    <w:rsid w:val="0EC37F14"/>
    <w:rsid w:val="0EC4408A"/>
    <w:rsid w:val="0ECA6F05"/>
    <w:rsid w:val="0ECD6BD5"/>
    <w:rsid w:val="0EDA3DE0"/>
    <w:rsid w:val="0EDB5829"/>
    <w:rsid w:val="0EE241B0"/>
    <w:rsid w:val="0EE470B9"/>
    <w:rsid w:val="0EE51F3F"/>
    <w:rsid w:val="0EE67C37"/>
    <w:rsid w:val="0EE96C61"/>
    <w:rsid w:val="0EEF6278"/>
    <w:rsid w:val="0F043F0A"/>
    <w:rsid w:val="0F070719"/>
    <w:rsid w:val="0F0E340F"/>
    <w:rsid w:val="0F110F65"/>
    <w:rsid w:val="0F126FC2"/>
    <w:rsid w:val="0F167114"/>
    <w:rsid w:val="0F1821BC"/>
    <w:rsid w:val="0F1F71AB"/>
    <w:rsid w:val="0F206FE9"/>
    <w:rsid w:val="0F246E43"/>
    <w:rsid w:val="0F2F2F21"/>
    <w:rsid w:val="0F303168"/>
    <w:rsid w:val="0F3346BD"/>
    <w:rsid w:val="0F356B4F"/>
    <w:rsid w:val="0F3E6D6B"/>
    <w:rsid w:val="0F521390"/>
    <w:rsid w:val="0F551890"/>
    <w:rsid w:val="0F5A4BDF"/>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821B8"/>
    <w:rsid w:val="0FAE546F"/>
    <w:rsid w:val="0FB50512"/>
    <w:rsid w:val="0FB57FA4"/>
    <w:rsid w:val="0FB8781F"/>
    <w:rsid w:val="0FC24482"/>
    <w:rsid w:val="0FC754B6"/>
    <w:rsid w:val="0FCD46F4"/>
    <w:rsid w:val="0FCE3065"/>
    <w:rsid w:val="0FE107E2"/>
    <w:rsid w:val="0FE336DE"/>
    <w:rsid w:val="0FED1D3E"/>
    <w:rsid w:val="10026084"/>
    <w:rsid w:val="10065756"/>
    <w:rsid w:val="100A69A4"/>
    <w:rsid w:val="100E17EE"/>
    <w:rsid w:val="10140347"/>
    <w:rsid w:val="101B54B3"/>
    <w:rsid w:val="101C6175"/>
    <w:rsid w:val="102E7ECD"/>
    <w:rsid w:val="104210EE"/>
    <w:rsid w:val="10444B77"/>
    <w:rsid w:val="10447AF9"/>
    <w:rsid w:val="104835D9"/>
    <w:rsid w:val="10495D6E"/>
    <w:rsid w:val="104C1069"/>
    <w:rsid w:val="10513C3F"/>
    <w:rsid w:val="10541F36"/>
    <w:rsid w:val="105D2D1E"/>
    <w:rsid w:val="10623D8F"/>
    <w:rsid w:val="10625663"/>
    <w:rsid w:val="106737C7"/>
    <w:rsid w:val="10703686"/>
    <w:rsid w:val="1075160B"/>
    <w:rsid w:val="107760A9"/>
    <w:rsid w:val="10780D89"/>
    <w:rsid w:val="107B52AA"/>
    <w:rsid w:val="107D625B"/>
    <w:rsid w:val="107E75D8"/>
    <w:rsid w:val="10805AB8"/>
    <w:rsid w:val="108161A3"/>
    <w:rsid w:val="1089301A"/>
    <w:rsid w:val="108B29C7"/>
    <w:rsid w:val="10901F21"/>
    <w:rsid w:val="10974AA9"/>
    <w:rsid w:val="10A21388"/>
    <w:rsid w:val="10A60889"/>
    <w:rsid w:val="10AA391A"/>
    <w:rsid w:val="10B27075"/>
    <w:rsid w:val="10B27B37"/>
    <w:rsid w:val="10B33FFC"/>
    <w:rsid w:val="10BA25C0"/>
    <w:rsid w:val="10BE4FAA"/>
    <w:rsid w:val="10C02E80"/>
    <w:rsid w:val="10C121EA"/>
    <w:rsid w:val="10C2285B"/>
    <w:rsid w:val="10C54276"/>
    <w:rsid w:val="10D27169"/>
    <w:rsid w:val="10D309E2"/>
    <w:rsid w:val="10D621B1"/>
    <w:rsid w:val="10D81E5C"/>
    <w:rsid w:val="10DA39AB"/>
    <w:rsid w:val="10DE746C"/>
    <w:rsid w:val="10E154B4"/>
    <w:rsid w:val="10E35E53"/>
    <w:rsid w:val="10E657ED"/>
    <w:rsid w:val="10EB7A42"/>
    <w:rsid w:val="10F16967"/>
    <w:rsid w:val="10F21B48"/>
    <w:rsid w:val="10F61CDD"/>
    <w:rsid w:val="10F91FDE"/>
    <w:rsid w:val="10F941E9"/>
    <w:rsid w:val="10FD39C4"/>
    <w:rsid w:val="11083015"/>
    <w:rsid w:val="110A357B"/>
    <w:rsid w:val="110D2E2E"/>
    <w:rsid w:val="1113498F"/>
    <w:rsid w:val="11145DE6"/>
    <w:rsid w:val="111A2147"/>
    <w:rsid w:val="112252CB"/>
    <w:rsid w:val="11360EF9"/>
    <w:rsid w:val="113641BB"/>
    <w:rsid w:val="11390D90"/>
    <w:rsid w:val="113B0B58"/>
    <w:rsid w:val="113D4F12"/>
    <w:rsid w:val="113D775B"/>
    <w:rsid w:val="11410876"/>
    <w:rsid w:val="114608E7"/>
    <w:rsid w:val="11470C68"/>
    <w:rsid w:val="114F3D65"/>
    <w:rsid w:val="115347BC"/>
    <w:rsid w:val="11545887"/>
    <w:rsid w:val="11597C64"/>
    <w:rsid w:val="11602A9E"/>
    <w:rsid w:val="116228E3"/>
    <w:rsid w:val="11631325"/>
    <w:rsid w:val="116345A4"/>
    <w:rsid w:val="11667833"/>
    <w:rsid w:val="11687433"/>
    <w:rsid w:val="1178450A"/>
    <w:rsid w:val="117B53DF"/>
    <w:rsid w:val="117B71D3"/>
    <w:rsid w:val="117F3E6E"/>
    <w:rsid w:val="11814B86"/>
    <w:rsid w:val="11821F79"/>
    <w:rsid w:val="11845F00"/>
    <w:rsid w:val="11885DD3"/>
    <w:rsid w:val="118A58E4"/>
    <w:rsid w:val="118C56EA"/>
    <w:rsid w:val="118F0DB3"/>
    <w:rsid w:val="11916F88"/>
    <w:rsid w:val="11A51BB6"/>
    <w:rsid w:val="11AC6860"/>
    <w:rsid w:val="11B1238B"/>
    <w:rsid w:val="11B62D0B"/>
    <w:rsid w:val="11BB2EE7"/>
    <w:rsid w:val="11BE6E3E"/>
    <w:rsid w:val="11BF32D9"/>
    <w:rsid w:val="11C01746"/>
    <w:rsid w:val="11C24AE6"/>
    <w:rsid w:val="11C52A21"/>
    <w:rsid w:val="11C75474"/>
    <w:rsid w:val="11D26FDB"/>
    <w:rsid w:val="11D435B9"/>
    <w:rsid w:val="11D8409F"/>
    <w:rsid w:val="11D95083"/>
    <w:rsid w:val="11DD2AAB"/>
    <w:rsid w:val="11DE26F2"/>
    <w:rsid w:val="11DF6987"/>
    <w:rsid w:val="11EA23C8"/>
    <w:rsid w:val="11EB5C95"/>
    <w:rsid w:val="11ED6242"/>
    <w:rsid w:val="11F27C95"/>
    <w:rsid w:val="12010E7D"/>
    <w:rsid w:val="120506CD"/>
    <w:rsid w:val="12075A2C"/>
    <w:rsid w:val="120A0C4D"/>
    <w:rsid w:val="120A38DA"/>
    <w:rsid w:val="12101A57"/>
    <w:rsid w:val="12193170"/>
    <w:rsid w:val="12193813"/>
    <w:rsid w:val="121D6AE3"/>
    <w:rsid w:val="121F75CC"/>
    <w:rsid w:val="12271CB0"/>
    <w:rsid w:val="122C1A12"/>
    <w:rsid w:val="1232130B"/>
    <w:rsid w:val="12330478"/>
    <w:rsid w:val="123338D3"/>
    <w:rsid w:val="12395D63"/>
    <w:rsid w:val="12401AD9"/>
    <w:rsid w:val="124038C8"/>
    <w:rsid w:val="12421E9D"/>
    <w:rsid w:val="1248421F"/>
    <w:rsid w:val="12571C4D"/>
    <w:rsid w:val="125C09FF"/>
    <w:rsid w:val="12657F0C"/>
    <w:rsid w:val="126830F6"/>
    <w:rsid w:val="126B5207"/>
    <w:rsid w:val="126F57E1"/>
    <w:rsid w:val="12760E78"/>
    <w:rsid w:val="127673DB"/>
    <w:rsid w:val="127755C8"/>
    <w:rsid w:val="127E0189"/>
    <w:rsid w:val="12810A1D"/>
    <w:rsid w:val="12854B81"/>
    <w:rsid w:val="128E070E"/>
    <w:rsid w:val="12927837"/>
    <w:rsid w:val="129B0ED7"/>
    <w:rsid w:val="12A30BAA"/>
    <w:rsid w:val="12A709D5"/>
    <w:rsid w:val="12A867C5"/>
    <w:rsid w:val="12B56515"/>
    <w:rsid w:val="12BE11B2"/>
    <w:rsid w:val="12BE1828"/>
    <w:rsid w:val="12C10F70"/>
    <w:rsid w:val="12C21464"/>
    <w:rsid w:val="12C40A29"/>
    <w:rsid w:val="12C42DA1"/>
    <w:rsid w:val="12C45CF0"/>
    <w:rsid w:val="12C948D2"/>
    <w:rsid w:val="12CB14EE"/>
    <w:rsid w:val="12CE6902"/>
    <w:rsid w:val="12D54B1A"/>
    <w:rsid w:val="12E93B89"/>
    <w:rsid w:val="12EE0F39"/>
    <w:rsid w:val="12EF155A"/>
    <w:rsid w:val="12F17350"/>
    <w:rsid w:val="12F712FB"/>
    <w:rsid w:val="12FA0E2E"/>
    <w:rsid w:val="12FF7A62"/>
    <w:rsid w:val="13037A88"/>
    <w:rsid w:val="1318450B"/>
    <w:rsid w:val="133844CA"/>
    <w:rsid w:val="1347596A"/>
    <w:rsid w:val="13477178"/>
    <w:rsid w:val="134B5A55"/>
    <w:rsid w:val="134C0AA1"/>
    <w:rsid w:val="134F5D9B"/>
    <w:rsid w:val="135369A3"/>
    <w:rsid w:val="13576E97"/>
    <w:rsid w:val="136041BC"/>
    <w:rsid w:val="13663337"/>
    <w:rsid w:val="136F4FE6"/>
    <w:rsid w:val="13713F6F"/>
    <w:rsid w:val="13762A14"/>
    <w:rsid w:val="13790756"/>
    <w:rsid w:val="137B6EE7"/>
    <w:rsid w:val="137E2E27"/>
    <w:rsid w:val="138C25C7"/>
    <w:rsid w:val="138E61F6"/>
    <w:rsid w:val="138E741D"/>
    <w:rsid w:val="138F279E"/>
    <w:rsid w:val="1390357D"/>
    <w:rsid w:val="139670E5"/>
    <w:rsid w:val="13970D93"/>
    <w:rsid w:val="139F1C24"/>
    <w:rsid w:val="13A023E7"/>
    <w:rsid w:val="13A04270"/>
    <w:rsid w:val="13A86C77"/>
    <w:rsid w:val="13A90344"/>
    <w:rsid w:val="13A9454D"/>
    <w:rsid w:val="13AA7C1A"/>
    <w:rsid w:val="13B35BBD"/>
    <w:rsid w:val="13BF3D28"/>
    <w:rsid w:val="13C32466"/>
    <w:rsid w:val="13C5566A"/>
    <w:rsid w:val="13C77F07"/>
    <w:rsid w:val="13CE4E2F"/>
    <w:rsid w:val="13CF48B4"/>
    <w:rsid w:val="13E45E4B"/>
    <w:rsid w:val="13E62DA6"/>
    <w:rsid w:val="13EE5B08"/>
    <w:rsid w:val="13F211C8"/>
    <w:rsid w:val="13F5027E"/>
    <w:rsid w:val="13F57229"/>
    <w:rsid w:val="13F60043"/>
    <w:rsid w:val="13F63AC9"/>
    <w:rsid w:val="13FE1F68"/>
    <w:rsid w:val="13FF4761"/>
    <w:rsid w:val="1401651E"/>
    <w:rsid w:val="14065625"/>
    <w:rsid w:val="14127CF3"/>
    <w:rsid w:val="1416357F"/>
    <w:rsid w:val="14175C6D"/>
    <w:rsid w:val="14182B9E"/>
    <w:rsid w:val="141A193D"/>
    <w:rsid w:val="141E08F4"/>
    <w:rsid w:val="14211963"/>
    <w:rsid w:val="14213028"/>
    <w:rsid w:val="142160CA"/>
    <w:rsid w:val="142E4E6B"/>
    <w:rsid w:val="14332094"/>
    <w:rsid w:val="143B554F"/>
    <w:rsid w:val="144128ED"/>
    <w:rsid w:val="144D721A"/>
    <w:rsid w:val="14504C78"/>
    <w:rsid w:val="14552700"/>
    <w:rsid w:val="1455301F"/>
    <w:rsid w:val="145E0ED6"/>
    <w:rsid w:val="145F3E15"/>
    <w:rsid w:val="145F4E9E"/>
    <w:rsid w:val="14662A35"/>
    <w:rsid w:val="1468041E"/>
    <w:rsid w:val="146A5814"/>
    <w:rsid w:val="146D4E79"/>
    <w:rsid w:val="1479121F"/>
    <w:rsid w:val="147C1504"/>
    <w:rsid w:val="148112AD"/>
    <w:rsid w:val="148B2440"/>
    <w:rsid w:val="148B578A"/>
    <w:rsid w:val="14933736"/>
    <w:rsid w:val="149D19D1"/>
    <w:rsid w:val="14AA1497"/>
    <w:rsid w:val="14AD1F0C"/>
    <w:rsid w:val="14AD2447"/>
    <w:rsid w:val="14BD0C90"/>
    <w:rsid w:val="14BD7435"/>
    <w:rsid w:val="14D13225"/>
    <w:rsid w:val="14D41B03"/>
    <w:rsid w:val="14D63FB7"/>
    <w:rsid w:val="14E11E90"/>
    <w:rsid w:val="14EC7262"/>
    <w:rsid w:val="14F50637"/>
    <w:rsid w:val="14F56962"/>
    <w:rsid w:val="14F72E20"/>
    <w:rsid w:val="14FD3DC3"/>
    <w:rsid w:val="14FE4181"/>
    <w:rsid w:val="15052F44"/>
    <w:rsid w:val="1513143F"/>
    <w:rsid w:val="152446F6"/>
    <w:rsid w:val="15274A34"/>
    <w:rsid w:val="152C74BF"/>
    <w:rsid w:val="152E54C4"/>
    <w:rsid w:val="1535555F"/>
    <w:rsid w:val="15382813"/>
    <w:rsid w:val="154B27A9"/>
    <w:rsid w:val="154B6CF6"/>
    <w:rsid w:val="15516306"/>
    <w:rsid w:val="155B06BC"/>
    <w:rsid w:val="155B6FCC"/>
    <w:rsid w:val="15620F8B"/>
    <w:rsid w:val="156514F3"/>
    <w:rsid w:val="15657023"/>
    <w:rsid w:val="156B264F"/>
    <w:rsid w:val="15707694"/>
    <w:rsid w:val="157477F0"/>
    <w:rsid w:val="157839EE"/>
    <w:rsid w:val="157F4B83"/>
    <w:rsid w:val="15862A25"/>
    <w:rsid w:val="15864057"/>
    <w:rsid w:val="158A2F64"/>
    <w:rsid w:val="158C53F6"/>
    <w:rsid w:val="15946EC2"/>
    <w:rsid w:val="1594709F"/>
    <w:rsid w:val="159B1410"/>
    <w:rsid w:val="159D2E6C"/>
    <w:rsid w:val="159E4A3E"/>
    <w:rsid w:val="15A412DF"/>
    <w:rsid w:val="15A625C0"/>
    <w:rsid w:val="15A70541"/>
    <w:rsid w:val="15A7643A"/>
    <w:rsid w:val="15AD4348"/>
    <w:rsid w:val="15AD7612"/>
    <w:rsid w:val="15B96153"/>
    <w:rsid w:val="15BC619F"/>
    <w:rsid w:val="15BD0132"/>
    <w:rsid w:val="15BF618A"/>
    <w:rsid w:val="15C256BE"/>
    <w:rsid w:val="15C40EFF"/>
    <w:rsid w:val="15CA097E"/>
    <w:rsid w:val="15D33940"/>
    <w:rsid w:val="15D92955"/>
    <w:rsid w:val="15F5535B"/>
    <w:rsid w:val="15F569FA"/>
    <w:rsid w:val="15F656C7"/>
    <w:rsid w:val="15F85F00"/>
    <w:rsid w:val="15F969EC"/>
    <w:rsid w:val="16005D04"/>
    <w:rsid w:val="160628EA"/>
    <w:rsid w:val="1607152F"/>
    <w:rsid w:val="160D7883"/>
    <w:rsid w:val="160E7A4D"/>
    <w:rsid w:val="16104DB0"/>
    <w:rsid w:val="16120AEC"/>
    <w:rsid w:val="1613433D"/>
    <w:rsid w:val="16200AF2"/>
    <w:rsid w:val="162A2BA0"/>
    <w:rsid w:val="162E270B"/>
    <w:rsid w:val="162E2ADD"/>
    <w:rsid w:val="16313AA6"/>
    <w:rsid w:val="163267A4"/>
    <w:rsid w:val="163C0B35"/>
    <w:rsid w:val="16405266"/>
    <w:rsid w:val="164561DB"/>
    <w:rsid w:val="1651617C"/>
    <w:rsid w:val="165A2EC2"/>
    <w:rsid w:val="16672683"/>
    <w:rsid w:val="166852CC"/>
    <w:rsid w:val="16696EE3"/>
    <w:rsid w:val="16713663"/>
    <w:rsid w:val="167518D2"/>
    <w:rsid w:val="167B69FF"/>
    <w:rsid w:val="168864E9"/>
    <w:rsid w:val="16900241"/>
    <w:rsid w:val="16907088"/>
    <w:rsid w:val="1697702E"/>
    <w:rsid w:val="169A4327"/>
    <w:rsid w:val="169D4FCC"/>
    <w:rsid w:val="16A26D59"/>
    <w:rsid w:val="16A31912"/>
    <w:rsid w:val="16A52825"/>
    <w:rsid w:val="16A56817"/>
    <w:rsid w:val="16A60389"/>
    <w:rsid w:val="16AC66DD"/>
    <w:rsid w:val="16AD326E"/>
    <w:rsid w:val="16B06BAD"/>
    <w:rsid w:val="16B17712"/>
    <w:rsid w:val="16B95CF7"/>
    <w:rsid w:val="16BC6189"/>
    <w:rsid w:val="16C42B77"/>
    <w:rsid w:val="16D55B33"/>
    <w:rsid w:val="16D74218"/>
    <w:rsid w:val="16DD2E8B"/>
    <w:rsid w:val="16E376E7"/>
    <w:rsid w:val="16E40C30"/>
    <w:rsid w:val="16E72981"/>
    <w:rsid w:val="16EA1CE7"/>
    <w:rsid w:val="16EB66D9"/>
    <w:rsid w:val="16EE35CD"/>
    <w:rsid w:val="16F47BF5"/>
    <w:rsid w:val="16F500A9"/>
    <w:rsid w:val="16F872C3"/>
    <w:rsid w:val="16FA06E3"/>
    <w:rsid w:val="1701047D"/>
    <w:rsid w:val="170167F2"/>
    <w:rsid w:val="17035AAC"/>
    <w:rsid w:val="17054499"/>
    <w:rsid w:val="170B0BD9"/>
    <w:rsid w:val="170D5EDA"/>
    <w:rsid w:val="17182913"/>
    <w:rsid w:val="17197EC3"/>
    <w:rsid w:val="171E08F7"/>
    <w:rsid w:val="171E2D1A"/>
    <w:rsid w:val="172E1BBE"/>
    <w:rsid w:val="17377B8C"/>
    <w:rsid w:val="173A6824"/>
    <w:rsid w:val="173B1FA1"/>
    <w:rsid w:val="173C594E"/>
    <w:rsid w:val="173D1596"/>
    <w:rsid w:val="173D2EC3"/>
    <w:rsid w:val="1748452F"/>
    <w:rsid w:val="17503F57"/>
    <w:rsid w:val="17505DD6"/>
    <w:rsid w:val="17586CB0"/>
    <w:rsid w:val="17596CA9"/>
    <w:rsid w:val="17600681"/>
    <w:rsid w:val="176142CC"/>
    <w:rsid w:val="176522E6"/>
    <w:rsid w:val="17665D9F"/>
    <w:rsid w:val="17694484"/>
    <w:rsid w:val="176958FE"/>
    <w:rsid w:val="17696EA4"/>
    <w:rsid w:val="17795030"/>
    <w:rsid w:val="177B0627"/>
    <w:rsid w:val="177D3C16"/>
    <w:rsid w:val="178501CB"/>
    <w:rsid w:val="178A042D"/>
    <w:rsid w:val="178A1F82"/>
    <w:rsid w:val="17916104"/>
    <w:rsid w:val="17920EA7"/>
    <w:rsid w:val="1797450B"/>
    <w:rsid w:val="17985148"/>
    <w:rsid w:val="17A644BF"/>
    <w:rsid w:val="17A90C9E"/>
    <w:rsid w:val="17A92F07"/>
    <w:rsid w:val="17A93B09"/>
    <w:rsid w:val="17B23E0F"/>
    <w:rsid w:val="17B31B32"/>
    <w:rsid w:val="17B80549"/>
    <w:rsid w:val="17C063A0"/>
    <w:rsid w:val="17C16366"/>
    <w:rsid w:val="17C76A67"/>
    <w:rsid w:val="17CA22FD"/>
    <w:rsid w:val="17CF3A14"/>
    <w:rsid w:val="17DA0F7A"/>
    <w:rsid w:val="17DC2D7F"/>
    <w:rsid w:val="17E95276"/>
    <w:rsid w:val="17E963D1"/>
    <w:rsid w:val="17EA38A1"/>
    <w:rsid w:val="17EB77A3"/>
    <w:rsid w:val="17EC5E41"/>
    <w:rsid w:val="17F8667B"/>
    <w:rsid w:val="17FC7C84"/>
    <w:rsid w:val="18060D81"/>
    <w:rsid w:val="1806537C"/>
    <w:rsid w:val="18066C18"/>
    <w:rsid w:val="1809630E"/>
    <w:rsid w:val="181A7494"/>
    <w:rsid w:val="181C2683"/>
    <w:rsid w:val="181E4167"/>
    <w:rsid w:val="18324998"/>
    <w:rsid w:val="18341D76"/>
    <w:rsid w:val="18351C27"/>
    <w:rsid w:val="18553A22"/>
    <w:rsid w:val="18590E01"/>
    <w:rsid w:val="18607956"/>
    <w:rsid w:val="1866144B"/>
    <w:rsid w:val="186E420E"/>
    <w:rsid w:val="187941B7"/>
    <w:rsid w:val="187A14AA"/>
    <w:rsid w:val="187B7B4F"/>
    <w:rsid w:val="1887188F"/>
    <w:rsid w:val="188900DF"/>
    <w:rsid w:val="18935E66"/>
    <w:rsid w:val="18A35548"/>
    <w:rsid w:val="18A63203"/>
    <w:rsid w:val="18A77689"/>
    <w:rsid w:val="18A816B2"/>
    <w:rsid w:val="18AC4CDE"/>
    <w:rsid w:val="18B25B64"/>
    <w:rsid w:val="18B8431F"/>
    <w:rsid w:val="18B90C48"/>
    <w:rsid w:val="18BC4ADF"/>
    <w:rsid w:val="18BD1521"/>
    <w:rsid w:val="18BD2E66"/>
    <w:rsid w:val="18BE7EAB"/>
    <w:rsid w:val="18CF2450"/>
    <w:rsid w:val="18D7372F"/>
    <w:rsid w:val="18DA12E6"/>
    <w:rsid w:val="18DD12E4"/>
    <w:rsid w:val="18E261B8"/>
    <w:rsid w:val="18E62F4B"/>
    <w:rsid w:val="18E85386"/>
    <w:rsid w:val="18FC503B"/>
    <w:rsid w:val="1901626E"/>
    <w:rsid w:val="19027C40"/>
    <w:rsid w:val="19087B90"/>
    <w:rsid w:val="190948C3"/>
    <w:rsid w:val="190E3326"/>
    <w:rsid w:val="190E3538"/>
    <w:rsid w:val="19164D1E"/>
    <w:rsid w:val="191C588D"/>
    <w:rsid w:val="192152C2"/>
    <w:rsid w:val="192502DE"/>
    <w:rsid w:val="1927395B"/>
    <w:rsid w:val="192D514C"/>
    <w:rsid w:val="193544CD"/>
    <w:rsid w:val="19443AA2"/>
    <w:rsid w:val="1945355B"/>
    <w:rsid w:val="194817FC"/>
    <w:rsid w:val="194A0D45"/>
    <w:rsid w:val="194A2ADB"/>
    <w:rsid w:val="195159CB"/>
    <w:rsid w:val="195961D5"/>
    <w:rsid w:val="195C14E8"/>
    <w:rsid w:val="195D3491"/>
    <w:rsid w:val="196515C3"/>
    <w:rsid w:val="197859DA"/>
    <w:rsid w:val="1980769C"/>
    <w:rsid w:val="19884F66"/>
    <w:rsid w:val="198F181A"/>
    <w:rsid w:val="198F1E18"/>
    <w:rsid w:val="19917CFC"/>
    <w:rsid w:val="199624F4"/>
    <w:rsid w:val="1997576B"/>
    <w:rsid w:val="1998697F"/>
    <w:rsid w:val="199A20B4"/>
    <w:rsid w:val="19A71B82"/>
    <w:rsid w:val="19B84C88"/>
    <w:rsid w:val="19C6694E"/>
    <w:rsid w:val="19CC0DE5"/>
    <w:rsid w:val="19D11E61"/>
    <w:rsid w:val="19D5618C"/>
    <w:rsid w:val="19E22401"/>
    <w:rsid w:val="19E23808"/>
    <w:rsid w:val="19F44B16"/>
    <w:rsid w:val="19F538D5"/>
    <w:rsid w:val="19FF0B74"/>
    <w:rsid w:val="1A00532F"/>
    <w:rsid w:val="1A040FBD"/>
    <w:rsid w:val="1A067DCA"/>
    <w:rsid w:val="1A0A198C"/>
    <w:rsid w:val="1A102A1C"/>
    <w:rsid w:val="1A13214F"/>
    <w:rsid w:val="1A3D169F"/>
    <w:rsid w:val="1A434C13"/>
    <w:rsid w:val="1A4E18BB"/>
    <w:rsid w:val="1A5C550E"/>
    <w:rsid w:val="1A5E5759"/>
    <w:rsid w:val="1A61514E"/>
    <w:rsid w:val="1A624E9D"/>
    <w:rsid w:val="1A6F769D"/>
    <w:rsid w:val="1A712AE5"/>
    <w:rsid w:val="1A74386E"/>
    <w:rsid w:val="1A783427"/>
    <w:rsid w:val="1A7B0419"/>
    <w:rsid w:val="1A8A143B"/>
    <w:rsid w:val="1A954C9C"/>
    <w:rsid w:val="1AA67BD3"/>
    <w:rsid w:val="1AB617F5"/>
    <w:rsid w:val="1AC70097"/>
    <w:rsid w:val="1ACC39D6"/>
    <w:rsid w:val="1ADD5293"/>
    <w:rsid w:val="1ADE0868"/>
    <w:rsid w:val="1AF7489C"/>
    <w:rsid w:val="1AF86B17"/>
    <w:rsid w:val="1AFA3523"/>
    <w:rsid w:val="1AFD3AEA"/>
    <w:rsid w:val="1B05238D"/>
    <w:rsid w:val="1B0C44A5"/>
    <w:rsid w:val="1B13587B"/>
    <w:rsid w:val="1B1D44BA"/>
    <w:rsid w:val="1B275D4E"/>
    <w:rsid w:val="1B2C07D2"/>
    <w:rsid w:val="1B2C5EE0"/>
    <w:rsid w:val="1B33077D"/>
    <w:rsid w:val="1B3604D3"/>
    <w:rsid w:val="1B364D11"/>
    <w:rsid w:val="1B3865C6"/>
    <w:rsid w:val="1B3E5EDE"/>
    <w:rsid w:val="1B420F74"/>
    <w:rsid w:val="1B433153"/>
    <w:rsid w:val="1B467529"/>
    <w:rsid w:val="1B4B00CA"/>
    <w:rsid w:val="1B566C78"/>
    <w:rsid w:val="1B5F1247"/>
    <w:rsid w:val="1B6307EA"/>
    <w:rsid w:val="1B717940"/>
    <w:rsid w:val="1B79696C"/>
    <w:rsid w:val="1B7E1824"/>
    <w:rsid w:val="1B825166"/>
    <w:rsid w:val="1B890C23"/>
    <w:rsid w:val="1B9411FC"/>
    <w:rsid w:val="1B972987"/>
    <w:rsid w:val="1B9D6CE8"/>
    <w:rsid w:val="1BA63F57"/>
    <w:rsid w:val="1BA866D1"/>
    <w:rsid w:val="1BBB422B"/>
    <w:rsid w:val="1BC600B5"/>
    <w:rsid w:val="1BCC6C51"/>
    <w:rsid w:val="1BCD55F8"/>
    <w:rsid w:val="1BD1784D"/>
    <w:rsid w:val="1BE011AE"/>
    <w:rsid w:val="1BE02AAF"/>
    <w:rsid w:val="1BE30F90"/>
    <w:rsid w:val="1BE31093"/>
    <w:rsid w:val="1BE461F3"/>
    <w:rsid w:val="1BE956C8"/>
    <w:rsid w:val="1C022294"/>
    <w:rsid w:val="1C0B35D4"/>
    <w:rsid w:val="1C12573D"/>
    <w:rsid w:val="1C1D1EE2"/>
    <w:rsid w:val="1C1E2D21"/>
    <w:rsid w:val="1C234861"/>
    <w:rsid w:val="1C2E319B"/>
    <w:rsid w:val="1C3477C5"/>
    <w:rsid w:val="1C350829"/>
    <w:rsid w:val="1C4F6563"/>
    <w:rsid w:val="1C545F3D"/>
    <w:rsid w:val="1C556488"/>
    <w:rsid w:val="1C56072A"/>
    <w:rsid w:val="1C563FE3"/>
    <w:rsid w:val="1C5A182A"/>
    <w:rsid w:val="1C612884"/>
    <w:rsid w:val="1C62402E"/>
    <w:rsid w:val="1C62587C"/>
    <w:rsid w:val="1C6818E0"/>
    <w:rsid w:val="1C6F3BF6"/>
    <w:rsid w:val="1C722E7E"/>
    <w:rsid w:val="1C784A9F"/>
    <w:rsid w:val="1C7D008B"/>
    <w:rsid w:val="1C7D2EB6"/>
    <w:rsid w:val="1C805B43"/>
    <w:rsid w:val="1C852BB0"/>
    <w:rsid w:val="1C8D54A8"/>
    <w:rsid w:val="1C8D59DD"/>
    <w:rsid w:val="1C8E63A1"/>
    <w:rsid w:val="1C9651FD"/>
    <w:rsid w:val="1C9C41C6"/>
    <w:rsid w:val="1CA41B36"/>
    <w:rsid w:val="1CA42FB6"/>
    <w:rsid w:val="1CAF4AE5"/>
    <w:rsid w:val="1CB21A29"/>
    <w:rsid w:val="1CBA12BF"/>
    <w:rsid w:val="1CCB32EE"/>
    <w:rsid w:val="1CCD4A46"/>
    <w:rsid w:val="1CD23361"/>
    <w:rsid w:val="1CD35882"/>
    <w:rsid w:val="1CE302F7"/>
    <w:rsid w:val="1CEC4F96"/>
    <w:rsid w:val="1CF139EE"/>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A5741"/>
    <w:rsid w:val="1D4B1AFF"/>
    <w:rsid w:val="1D4B4B5A"/>
    <w:rsid w:val="1D5350C2"/>
    <w:rsid w:val="1D584348"/>
    <w:rsid w:val="1D597DDF"/>
    <w:rsid w:val="1D5D209F"/>
    <w:rsid w:val="1D65312D"/>
    <w:rsid w:val="1D6D4785"/>
    <w:rsid w:val="1D6E27CD"/>
    <w:rsid w:val="1D727268"/>
    <w:rsid w:val="1D747A6E"/>
    <w:rsid w:val="1D767ADA"/>
    <w:rsid w:val="1D7A0D45"/>
    <w:rsid w:val="1D845021"/>
    <w:rsid w:val="1D861B2D"/>
    <w:rsid w:val="1D896FB3"/>
    <w:rsid w:val="1D91741D"/>
    <w:rsid w:val="1D9318C5"/>
    <w:rsid w:val="1D941B55"/>
    <w:rsid w:val="1DA8115B"/>
    <w:rsid w:val="1DAB7998"/>
    <w:rsid w:val="1DB01072"/>
    <w:rsid w:val="1DB2076E"/>
    <w:rsid w:val="1DB43F2E"/>
    <w:rsid w:val="1DBE6DCD"/>
    <w:rsid w:val="1DC2628A"/>
    <w:rsid w:val="1DCF57CE"/>
    <w:rsid w:val="1DCF7FF5"/>
    <w:rsid w:val="1DD11EB5"/>
    <w:rsid w:val="1DD246EC"/>
    <w:rsid w:val="1DD63079"/>
    <w:rsid w:val="1DD859F5"/>
    <w:rsid w:val="1DDA6EEA"/>
    <w:rsid w:val="1DDB37BE"/>
    <w:rsid w:val="1DDD63A7"/>
    <w:rsid w:val="1DE56ABE"/>
    <w:rsid w:val="1DFC4DF9"/>
    <w:rsid w:val="1E0435A0"/>
    <w:rsid w:val="1E110D2A"/>
    <w:rsid w:val="1E1247A2"/>
    <w:rsid w:val="1E155062"/>
    <w:rsid w:val="1E193E9C"/>
    <w:rsid w:val="1E1B38E9"/>
    <w:rsid w:val="1E1B7186"/>
    <w:rsid w:val="1E303EF3"/>
    <w:rsid w:val="1E3065F6"/>
    <w:rsid w:val="1E3303CE"/>
    <w:rsid w:val="1E3835D5"/>
    <w:rsid w:val="1E3F6D05"/>
    <w:rsid w:val="1E494B8A"/>
    <w:rsid w:val="1E4F0222"/>
    <w:rsid w:val="1E5C2AF3"/>
    <w:rsid w:val="1E795C41"/>
    <w:rsid w:val="1E7E640D"/>
    <w:rsid w:val="1E7F3A72"/>
    <w:rsid w:val="1E8064D3"/>
    <w:rsid w:val="1E861E21"/>
    <w:rsid w:val="1EA72270"/>
    <w:rsid w:val="1EBD6E42"/>
    <w:rsid w:val="1EBF2B2C"/>
    <w:rsid w:val="1EC25D1C"/>
    <w:rsid w:val="1EC74AB4"/>
    <w:rsid w:val="1EC87ABC"/>
    <w:rsid w:val="1ED242FC"/>
    <w:rsid w:val="1ED56C03"/>
    <w:rsid w:val="1EDA0174"/>
    <w:rsid w:val="1EDA3DBE"/>
    <w:rsid w:val="1EDB3888"/>
    <w:rsid w:val="1EE05F54"/>
    <w:rsid w:val="1EE332A7"/>
    <w:rsid w:val="1EE45C8A"/>
    <w:rsid w:val="1EE94B13"/>
    <w:rsid w:val="1EF579A0"/>
    <w:rsid w:val="1F05532C"/>
    <w:rsid w:val="1F095121"/>
    <w:rsid w:val="1F0C3604"/>
    <w:rsid w:val="1F0D0383"/>
    <w:rsid w:val="1F0F4C7A"/>
    <w:rsid w:val="1F1527EE"/>
    <w:rsid w:val="1F20034A"/>
    <w:rsid w:val="1F251ABC"/>
    <w:rsid w:val="1F290391"/>
    <w:rsid w:val="1F2A2D10"/>
    <w:rsid w:val="1F304386"/>
    <w:rsid w:val="1F330402"/>
    <w:rsid w:val="1F370102"/>
    <w:rsid w:val="1F3F0073"/>
    <w:rsid w:val="1F43546C"/>
    <w:rsid w:val="1F48506F"/>
    <w:rsid w:val="1F4B10C3"/>
    <w:rsid w:val="1F5C7F87"/>
    <w:rsid w:val="1F6C1D79"/>
    <w:rsid w:val="1F792E9A"/>
    <w:rsid w:val="1F7B67F6"/>
    <w:rsid w:val="1F7C518B"/>
    <w:rsid w:val="1F881F59"/>
    <w:rsid w:val="1F8941F6"/>
    <w:rsid w:val="1F971B7F"/>
    <w:rsid w:val="1F977565"/>
    <w:rsid w:val="1F9B644E"/>
    <w:rsid w:val="1FA22246"/>
    <w:rsid w:val="1FA30C43"/>
    <w:rsid w:val="1FA429B4"/>
    <w:rsid w:val="1FAC06FF"/>
    <w:rsid w:val="1FB34801"/>
    <w:rsid w:val="1FB75185"/>
    <w:rsid w:val="1FB758D9"/>
    <w:rsid w:val="1FB9068D"/>
    <w:rsid w:val="1FB97163"/>
    <w:rsid w:val="1FBD0EE6"/>
    <w:rsid w:val="1FC10346"/>
    <w:rsid w:val="1FC16504"/>
    <w:rsid w:val="1FDB745E"/>
    <w:rsid w:val="1FDD028C"/>
    <w:rsid w:val="1FE218C2"/>
    <w:rsid w:val="1FF955B0"/>
    <w:rsid w:val="1FFA3EAB"/>
    <w:rsid w:val="1FFB3FF4"/>
    <w:rsid w:val="1FFC1294"/>
    <w:rsid w:val="1FFC4541"/>
    <w:rsid w:val="200B6448"/>
    <w:rsid w:val="20176E76"/>
    <w:rsid w:val="201C2D60"/>
    <w:rsid w:val="20270162"/>
    <w:rsid w:val="20347311"/>
    <w:rsid w:val="203F0CD6"/>
    <w:rsid w:val="20421E9D"/>
    <w:rsid w:val="204439A4"/>
    <w:rsid w:val="20655E4F"/>
    <w:rsid w:val="20721F6B"/>
    <w:rsid w:val="207308C3"/>
    <w:rsid w:val="207411D3"/>
    <w:rsid w:val="20743131"/>
    <w:rsid w:val="207536DF"/>
    <w:rsid w:val="20783BF9"/>
    <w:rsid w:val="20786435"/>
    <w:rsid w:val="20802CF5"/>
    <w:rsid w:val="20811113"/>
    <w:rsid w:val="208315A1"/>
    <w:rsid w:val="20874766"/>
    <w:rsid w:val="2088281D"/>
    <w:rsid w:val="2088475A"/>
    <w:rsid w:val="20917F9C"/>
    <w:rsid w:val="20930BD1"/>
    <w:rsid w:val="2094661E"/>
    <w:rsid w:val="20951ED4"/>
    <w:rsid w:val="20962536"/>
    <w:rsid w:val="20AF5726"/>
    <w:rsid w:val="20AF5A47"/>
    <w:rsid w:val="20B50E80"/>
    <w:rsid w:val="20B71F63"/>
    <w:rsid w:val="20B7483F"/>
    <w:rsid w:val="20BD02A3"/>
    <w:rsid w:val="20BE1841"/>
    <w:rsid w:val="20D078F3"/>
    <w:rsid w:val="20D200AD"/>
    <w:rsid w:val="20D95B71"/>
    <w:rsid w:val="20DA60A5"/>
    <w:rsid w:val="20DB223A"/>
    <w:rsid w:val="20E51C80"/>
    <w:rsid w:val="20E61367"/>
    <w:rsid w:val="20EC58CB"/>
    <w:rsid w:val="20F17304"/>
    <w:rsid w:val="21007C49"/>
    <w:rsid w:val="21014223"/>
    <w:rsid w:val="21200021"/>
    <w:rsid w:val="21257F04"/>
    <w:rsid w:val="21291A31"/>
    <w:rsid w:val="213445FE"/>
    <w:rsid w:val="21353F50"/>
    <w:rsid w:val="2138052E"/>
    <w:rsid w:val="213C3CC5"/>
    <w:rsid w:val="21404767"/>
    <w:rsid w:val="214776EA"/>
    <w:rsid w:val="21522E38"/>
    <w:rsid w:val="2159046C"/>
    <w:rsid w:val="21592762"/>
    <w:rsid w:val="215E62F3"/>
    <w:rsid w:val="215F3A68"/>
    <w:rsid w:val="21611A31"/>
    <w:rsid w:val="21635586"/>
    <w:rsid w:val="21760888"/>
    <w:rsid w:val="217B17E2"/>
    <w:rsid w:val="218810BD"/>
    <w:rsid w:val="218D61A9"/>
    <w:rsid w:val="218F2B85"/>
    <w:rsid w:val="218F6B13"/>
    <w:rsid w:val="218F7263"/>
    <w:rsid w:val="2190117D"/>
    <w:rsid w:val="219015DB"/>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002DA"/>
    <w:rsid w:val="21F2539C"/>
    <w:rsid w:val="21F533B9"/>
    <w:rsid w:val="21F65A58"/>
    <w:rsid w:val="21FB61D0"/>
    <w:rsid w:val="22034BF9"/>
    <w:rsid w:val="220B3AD6"/>
    <w:rsid w:val="22191ECB"/>
    <w:rsid w:val="221E272E"/>
    <w:rsid w:val="2221560D"/>
    <w:rsid w:val="222A1FFE"/>
    <w:rsid w:val="222B075F"/>
    <w:rsid w:val="22367DC0"/>
    <w:rsid w:val="223C2D91"/>
    <w:rsid w:val="22426753"/>
    <w:rsid w:val="224D7BB0"/>
    <w:rsid w:val="22541D32"/>
    <w:rsid w:val="225474CD"/>
    <w:rsid w:val="225E1754"/>
    <w:rsid w:val="225F0409"/>
    <w:rsid w:val="225F51CF"/>
    <w:rsid w:val="226A54A8"/>
    <w:rsid w:val="226D42BA"/>
    <w:rsid w:val="226D7A71"/>
    <w:rsid w:val="227078B0"/>
    <w:rsid w:val="2271187B"/>
    <w:rsid w:val="22833161"/>
    <w:rsid w:val="228338C8"/>
    <w:rsid w:val="22840DDA"/>
    <w:rsid w:val="22876A0D"/>
    <w:rsid w:val="229C7857"/>
    <w:rsid w:val="22A11695"/>
    <w:rsid w:val="22A63B38"/>
    <w:rsid w:val="22A73490"/>
    <w:rsid w:val="22A8489A"/>
    <w:rsid w:val="22AA7376"/>
    <w:rsid w:val="22AB3B60"/>
    <w:rsid w:val="22AF11A1"/>
    <w:rsid w:val="22B2134F"/>
    <w:rsid w:val="22B22D1F"/>
    <w:rsid w:val="22B33D99"/>
    <w:rsid w:val="22B83EF7"/>
    <w:rsid w:val="22BB4A47"/>
    <w:rsid w:val="22BC2773"/>
    <w:rsid w:val="22BE29D6"/>
    <w:rsid w:val="22C27BE8"/>
    <w:rsid w:val="22C4003E"/>
    <w:rsid w:val="22CB2F4B"/>
    <w:rsid w:val="22D02654"/>
    <w:rsid w:val="22D10E4B"/>
    <w:rsid w:val="22D41929"/>
    <w:rsid w:val="22D7363B"/>
    <w:rsid w:val="22D90210"/>
    <w:rsid w:val="22D912F9"/>
    <w:rsid w:val="22E1284D"/>
    <w:rsid w:val="22E73006"/>
    <w:rsid w:val="22EB3773"/>
    <w:rsid w:val="22EE13BE"/>
    <w:rsid w:val="22F31E85"/>
    <w:rsid w:val="22F71A54"/>
    <w:rsid w:val="22F74CC6"/>
    <w:rsid w:val="22FB2321"/>
    <w:rsid w:val="22FF6AA7"/>
    <w:rsid w:val="2306325F"/>
    <w:rsid w:val="230749DA"/>
    <w:rsid w:val="230753E2"/>
    <w:rsid w:val="230E2CD5"/>
    <w:rsid w:val="230F5270"/>
    <w:rsid w:val="2311101C"/>
    <w:rsid w:val="231869B1"/>
    <w:rsid w:val="2319089C"/>
    <w:rsid w:val="231B2491"/>
    <w:rsid w:val="232515D0"/>
    <w:rsid w:val="232F45E5"/>
    <w:rsid w:val="23382F5D"/>
    <w:rsid w:val="233857DC"/>
    <w:rsid w:val="233E2231"/>
    <w:rsid w:val="23443C8F"/>
    <w:rsid w:val="235578EA"/>
    <w:rsid w:val="23561548"/>
    <w:rsid w:val="23561CD1"/>
    <w:rsid w:val="235E47B6"/>
    <w:rsid w:val="23644FB5"/>
    <w:rsid w:val="23646298"/>
    <w:rsid w:val="236B32CC"/>
    <w:rsid w:val="2372506B"/>
    <w:rsid w:val="2376691B"/>
    <w:rsid w:val="2378146C"/>
    <w:rsid w:val="238D2D50"/>
    <w:rsid w:val="238D66BE"/>
    <w:rsid w:val="2390261F"/>
    <w:rsid w:val="23950A55"/>
    <w:rsid w:val="239540DC"/>
    <w:rsid w:val="23965F67"/>
    <w:rsid w:val="23A00272"/>
    <w:rsid w:val="23A02531"/>
    <w:rsid w:val="23A11F4F"/>
    <w:rsid w:val="23A963A4"/>
    <w:rsid w:val="23B41225"/>
    <w:rsid w:val="23BA6237"/>
    <w:rsid w:val="23BC048E"/>
    <w:rsid w:val="23C9616F"/>
    <w:rsid w:val="23CC0919"/>
    <w:rsid w:val="23CE659F"/>
    <w:rsid w:val="23CF7FD3"/>
    <w:rsid w:val="23D4199E"/>
    <w:rsid w:val="23D94F43"/>
    <w:rsid w:val="23DC01C4"/>
    <w:rsid w:val="23DC60E2"/>
    <w:rsid w:val="23E17EC8"/>
    <w:rsid w:val="23E47406"/>
    <w:rsid w:val="23E91B93"/>
    <w:rsid w:val="23F6160A"/>
    <w:rsid w:val="23FA4415"/>
    <w:rsid w:val="23FB72B1"/>
    <w:rsid w:val="24026C92"/>
    <w:rsid w:val="24027DBA"/>
    <w:rsid w:val="240657B6"/>
    <w:rsid w:val="240B36D8"/>
    <w:rsid w:val="240C2CCA"/>
    <w:rsid w:val="240C553C"/>
    <w:rsid w:val="241722EB"/>
    <w:rsid w:val="24193E65"/>
    <w:rsid w:val="241B2B4F"/>
    <w:rsid w:val="242B021E"/>
    <w:rsid w:val="24323334"/>
    <w:rsid w:val="243336DA"/>
    <w:rsid w:val="24373DE9"/>
    <w:rsid w:val="243D6215"/>
    <w:rsid w:val="244F01D0"/>
    <w:rsid w:val="245226BE"/>
    <w:rsid w:val="245550BB"/>
    <w:rsid w:val="245A0102"/>
    <w:rsid w:val="2461318F"/>
    <w:rsid w:val="24662623"/>
    <w:rsid w:val="24673502"/>
    <w:rsid w:val="24676BCD"/>
    <w:rsid w:val="24676F22"/>
    <w:rsid w:val="2468531E"/>
    <w:rsid w:val="246D7EC6"/>
    <w:rsid w:val="24741D21"/>
    <w:rsid w:val="24750E49"/>
    <w:rsid w:val="2479502B"/>
    <w:rsid w:val="2479597F"/>
    <w:rsid w:val="247D3C6E"/>
    <w:rsid w:val="24860612"/>
    <w:rsid w:val="24872D53"/>
    <w:rsid w:val="248E7D90"/>
    <w:rsid w:val="249321BF"/>
    <w:rsid w:val="249C0D83"/>
    <w:rsid w:val="24A033EE"/>
    <w:rsid w:val="24B51B12"/>
    <w:rsid w:val="24C434A5"/>
    <w:rsid w:val="24C92612"/>
    <w:rsid w:val="24CA496C"/>
    <w:rsid w:val="24CB78C2"/>
    <w:rsid w:val="24CC60AA"/>
    <w:rsid w:val="24D35568"/>
    <w:rsid w:val="24D72C44"/>
    <w:rsid w:val="24DB51FA"/>
    <w:rsid w:val="24E954E0"/>
    <w:rsid w:val="24F37FEF"/>
    <w:rsid w:val="24F82FB3"/>
    <w:rsid w:val="2501080F"/>
    <w:rsid w:val="2504405A"/>
    <w:rsid w:val="251809ED"/>
    <w:rsid w:val="251B27EB"/>
    <w:rsid w:val="25241C4A"/>
    <w:rsid w:val="25265A8E"/>
    <w:rsid w:val="252A5159"/>
    <w:rsid w:val="25364407"/>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73766"/>
    <w:rsid w:val="258B4AE4"/>
    <w:rsid w:val="258C3B89"/>
    <w:rsid w:val="258C6B00"/>
    <w:rsid w:val="258F1E2E"/>
    <w:rsid w:val="259114ED"/>
    <w:rsid w:val="2593720A"/>
    <w:rsid w:val="25996F48"/>
    <w:rsid w:val="259A3CB2"/>
    <w:rsid w:val="259E4C39"/>
    <w:rsid w:val="259E5828"/>
    <w:rsid w:val="25A035EC"/>
    <w:rsid w:val="25A24497"/>
    <w:rsid w:val="25A45B04"/>
    <w:rsid w:val="25A92B92"/>
    <w:rsid w:val="25AB0A3D"/>
    <w:rsid w:val="25AC370D"/>
    <w:rsid w:val="25B22B68"/>
    <w:rsid w:val="25B5218E"/>
    <w:rsid w:val="25B824AD"/>
    <w:rsid w:val="25BF3BCD"/>
    <w:rsid w:val="25C15D16"/>
    <w:rsid w:val="25C55B83"/>
    <w:rsid w:val="25CD5BF1"/>
    <w:rsid w:val="25CD62C3"/>
    <w:rsid w:val="25D31208"/>
    <w:rsid w:val="25DA65CA"/>
    <w:rsid w:val="25DB6649"/>
    <w:rsid w:val="25DC1D12"/>
    <w:rsid w:val="25DD0809"/>
    <w:rsid w:val="25E27416"/>
    <w:rsid w:val="25E46656"/>
    <w:rsid w:val="25E47484"/>
    <w:rsid w:val="25E92FBE"/>
    <w:rsid w:val="25F17275"/>
    <w:rsid w:val="25F31E31"/>
    <w:rsid w:val="25F70EE4"/>
    <w:rsid w:val="25F83FB0"/>
    <w:rsid w:val="25FC0B75"/>
    <w:rsid w:val="26006C23"/>
    <w:rsid w:val="260139F3"/>
    <w:rsid w:val="260556D5"/>
    <w:rsid w:val="26080DD9"/>
    <w:rsid w:val="26082798"/>
    <w:rsid w:val="260830B3"/>
    <w:rsid w:val="26095114"/>
    <w:rsid w:val="260E454E"/>
    <w:rsid w:val="26132277"/>
    <w:rsid w:val="261464EE"/>
    <w:rsid w:val="26280E6C"/>
    <w:rsid w:val="262E05B0"/>
    <w:rsid w:val="26327A25"/>
    <w:rsid w:val="26331CBB"/>
    <w:rsid w:val="26372014"/>
    <w:rsid w:val="263C3D6D"/>
    <w:rsid w:val="263E0859"/>
    <w:rsid w:val="263E1A96"/>
    <w:rsid w:val="26405937"/>
    <w:rsid w:val="26433FB7"/>
    <w:rsid w:val="26452DA3"/>
    <w:rsid w:val="26474B98"/>
    <w:rsid w:val="264D3294"/>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D00BF3"/>
    <w:rsid w:val="26E272BC"/>
    <w:rsid w:val="26E33E5B"/>
    <w:rsid w:val="26E70CA8"/>
    <w:rsid w:val="26EA7605"/>
    <w:rsid w:val="26EB47D6"/>
    <w:rsid w:val="26F17CAD"/>
    <w:rsid w:val="26F51567"/>
    <w:rsid w:val="26F54808"/>
    <w:rsid w:val="26F81366"/>
    <w:rsid w:val="26FB5D95"/>
    <w:rsid w:val="26FC2F8C"/>
    <w:rsid w:val="27094F93"/>
    <w:rsid w:val="270E05C8"/>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900F9"/>
    <w:rsid w:val="274E0335"/>
    <w:rsid w:val="275D1356"/>
    <w:rsid w:val="275D186B"/>
    <w:rsid w:val="275D4A89"/>
    <w:rsid w:val="27625310"/>
    <w:rsid w:val="27641213"/>
    <w:rsid w:val="277A2EC6"/>
    <w:rsid w:val="277E3D2C"/>
    <w:rsid w:val="27841ADD"/>
    <w:rsid w:val="278B7262"/>
    <w:rsid w:val="278E7D5F"/>
    <w:rsid w:val="279429E3"/>
    <w:rsid w:val="27966F4A"/>
    <w:rsid w:val="27A74D7A"/>
    <w:rsid w:val="27A75735"/>
    <w:rsid w:val="27A91AD2"/>
    <w:rsid w:val="27AE6E2D"/>
    <w:rsid w:val="27AF57B8"/>
    <w:rsid w:val="27B24596"/>
    <w:rsid w:val="27B25FFF"/>
    <w:rsid w:val="27B82A21"/>
    <w:rsid w:val="27BA12A7"/>
    <w:rsid w:val="27BA6BC4"/>
    <w:rsid w:val="27BC2EEA"/>
    <w:rsid w:val="27C93064"/>
    <w:rsid w:val="27C96B67"/>
    <w:rsid w:val="27CB38EC"/>
    <w:rsid w:val="27CB5FF9"/>
    <w:rsid w:val="27CC0A3D"/>
    <w:rsid w:val="27D34267"/>
    <w:rsid w:val="27D62E6F"/>
    <w:rsid w:val="27D745E8"/>
    <w:rsid w:val="27E4169F"/>
    <w:rsid w:val="27E476BC"/>
    <w:rsid w:val="27E7338B"/>
    <w:rsid w:val="27EA3B97"/>
    <w:rsid w:val="27EF0430"/>
    <w:rsid w:val="27F32107"/>
    <w:rsid w:val="27F851C0"/>
    <w:rsid w:val="27FA5F82"/>
    <w:rsid w:val="28014303"/>
    <w:rsid w:val="280410A7"/>
    <w:rsid w:val="2809034F"/>
    <w:rsid w:val="28152D65"/>
    <w:rsid w:val="281713C1"/>
    <w:rsid w:val="281C4FE1"/>
    <w:rsid w:val="28201807"/>
    <w:rsid w:val="28202089"/>
    <w:rsid w:val="28210C3B"/>
    <w:rsid w:val="282136DB"/>
    <w:rsid w:val="282408A9"/>
    <w:rsid w:val="2833186C"/>
    <w:rsid w:val="283E3927"/>
    <w:rsid w:val="28432F7C"/>
    <w:rsid w:val="285065F4"/>
    <w:rsid w:val="28557C44"/>
    <w:rsid w:val="28564AD0"/>
    <w:rsid w:val="285E1540"/>
    <w:rsid w:val="285E4E49"/>
    <w:rsid w:val="28634EA7"/>
    <w:rsid w:val="2868554F"/>
    <w:rsid w:val="286A70A6"/>
    <w:rsid w:val="286B31A7"/>
    <w:rsid w:val="286D715D"/>
    <w:rsid w:val="286F13E7"/>
    <w:rsid w:val="28707EB9"/>
    <w:rsid w:val="28710251"/>
    <w:rsid w:val="287270BD"/>
    <w:rsid w:val="287508F6"/>
    <w:rsid w:val="288C7056"/>
    <w:rsid w:val="288F598A"/>
    <w:rsid w:val="289910F7"/>
    <w:rsid w:val="28A14F66"/>
    <w:rsid w:val="28A4234C"/>
    <w:rsid w:val="28A63531"/>
    <w:rsid w:val="28A773FC"/>
    <w:rsid w:val="28CA5B35"/>
    <w:rsid w:val="28D02425"/>
    <w:rsid w:val="28D36FD2"/>
    <w:rsid w:val="28D527CA"/>
    <w:rsid w:val="28DB1A3D"/>
    <w:rsid w:val="28F133CC"/>
    <w:rsid w:val="28F729CE"/>
    <w:rsid w:val="28F934CA"/>
    <w:rsid w:val="28FA5F7F"/>
    <w:rsid w:val="29056F59"/>
    <w:rsid w:val="2907017C"/>
    <w:rsid w:val="29094B16"/>
    <w:rsid w:val="291218C3"/>
    <w:rsid w:val="2912731C"/>
    <w:rsid w:val="29150A19"/>
    <w:rsid w:val="29157321"/>
    <w:rsid w:val="291F35AA"/>
    <w:rsid w:val="2925391D"/>
    <w:rsid w:val="292B0670"/>
    <w:rsid w:val="292E0A29"/>
    <w:rsid w:val="29325A72"/>
    <w:rsid w:val="2938341E"/>
    <w:rsid w:val="293A10FF"/>
    <w:rsid w:val="293A6E92"/>
    <w:rsid w:val="29566904"/>
    <w:rsid w:val="29582224"/>
    <w:rsid w:val="29585835"/>
    <w:rsid w:val="296074D7"/>
    <w:rsid w:val="29692EBD"/>
    <w:rsid w:val="29712D8F"/>
    <w:rsid w:val="29736267"/>
    <w:rsid w:val="297B31D3"/>
    <w:rsid w:val="298103BD"/>
    <w:rsid w:val="298412A3"/>
    <w:rsid w:val="298D4850"/>
    <w:rsid w:val="29966295"/>
    <w:rsid w:val="29971F57"/>
    <w:rsid w:val="299C7DCA"/>
    <w:rsid w:val="29A021A8"/>
    <w:rsid w:val="29A942FB"/>
    <w:rsid w:val="29A94F7F"/>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22248B"/>
    <w:rsid w:val="2A2351F4"/>
    <w:rsid w:val="2A307EBE"/>
    <w:rsid w:val="2A3E413F"/>
    <w:rsid w:val="2A430F4D"/>
    <w:rsid w:val="2A5303B9"/>
    <w:rsid w:val="2A534A67"/>
    <w:rsid w:val="2A5F67A3"/>
    <w:rsid w:val="2A6151C4"/>
    <w:rsid w:val="2A664C59"/>
    <w:rsid w:val="2A6B464E"/>
    <w:rsid w:val="2A722830"/>
    <w:rsid w:val="2A8F4AAD"/>
    <w:rsid w:val="2A944B48"/>
    <w:rsid w:val="2A9A0F2B"/>
    <w:rsid w:val="2AA07917"/>
    <w:rsid w:val="2AA1140C"/>
    <w:rsid w:val="2AA67F8B"/>
    <w:rsid w:val="2AAA31D9"/>
    <w:rsid w:val="2AAC289A"/>
    <w:rsid w:val="2AB138BA"/>
    <w:rsid w:val="2AC51079"/>
    <w:rsid w:val="2ACA0984"/>
    <w:rsid w:val="2AD05182"/>
    <w:rsid w:val="2AE47A17"/>
    <w:rsid w:val="2AEB2740"/>
    <w:rsid w:val="2AF44191"/>
    <w:rsid w:val="2AF74347"/>
    <w:rsid w:val="2B0A4D59"/>
    <w:rsid w:val="2B162169"/>
    <w:rsid w:val="2B165967"/>
    <w:rsid w:val="2B1A32A0"/>
    <w:rsid w:val="2B26693B"/>
    <w:rsid w:val="2B2F1FC7"/>
    <w:rsid w:val="2B2F2F22"/>
    <w:rsid w:val="2B342280"/>
    <w:rsid w:val="2B37764D"/>
    <w:rsid w:val="2B3F6547"/>
    <w:rsid w:val="2B430D5F"/>
    <w:rsid w:val="2B4F2967"/>
    <w:rsid w:val="2B5C1A7C"/>
    <w:rsid w:val="2B5C469F"/>
    <w:rsid w:val="2B6525E9"/>
    <w:rsid w:val="2B6E19DB"/>
    <w:rsid w:val="2B756050"/>
    <w:rsid w:val="2B7C5660"/>
    <w:rsid w:val="2B8944AA"/>
    <w:rsid w:val="2B92679C"/>
    <w:rsid w:val="2B96506D"/>
    <w:rsid w:val="2B986BC6"/>
    <w:rsid w:val="2B9C0A86"/>
    <w:rsid w:val="2B9D451B"/>
    <w:rsid w:val="2BA16669"/>
    <w:rsid w:val="2BAE20A5"/>
    <w:rsid w:val="2BAE6BB7"/>
    <w:rsid w:val="2BAF2381"/>
    <w:rsid w:val="2BB1376A"/>
    <w:rsid w:val="2BB60AD9"/>
    <w:rsid w:val="2BBA7E05"/>
    <w:rsid w:val="2BBB17D5"/>
    <w:rsid w:val="2BBD6DA0"/>
    <w:rsid w:val="2BC3413A"/>
    <w:rsid w:val="2BC45396"/>
    <w:rsid w:val="2BD540AD"/>
    <w:rsid w:val="2BDA10DE"/>
    <w:rsid w:val="2BDA2AEC"/>
    <w:rsid w:val="2BF336C9"/>
    <w:rsid w:val="2BF33ED5"/>
    <w:rsid w:val="2BFB7405"/>
    <w:rsid w:val="2C006833"/>
    <w:rsid w:val="2C034F7B"/>
    <w:rsid w:val="2C040D89"/>
    <w:rsid w:val="2C0509D9"/>
    <w:rsid w:val="2C05481D"/>
    <w:rsid w:val="2C056AF9"/>
    <w:rsid w:val="2C096EF6"/>
    <w:rsid w:val="2C220DB4"/>
    <w:rsid w:val="2C247FF1"/>
    <w:rsid w:val="2C3C0030"/>
    <w:rsid w:val="2C3F3887"/>
    <w:rsid w:val="2C45016F"/>
    <w:rsid w:val="2C516E38"/>
    <w:rsid w:val="2C533A6A"/>
    <w:rsid w:val="2C560EA3"/>
    <w:rsid w:val="2C617496"/>
    <w:rsid w:val="2C62156F"/>
    <w:rsid w:val="2C6A047D"/>
    <w:rsid w:val="2C6F41F6"/>
    <w:rsid w:val="2C730778"/>
    <w:rsid w:val="2C733CF7"/>
    <w:rsid w:val="2C7E030A"/>
    <w:rsid w:val="2C833FFB"/>
    <w:rsid w:val="2C84380F"/>
    <w:rsid w:val="2C8F430E"/>
    <w:rsid w:val="2C970335"/>
    <w:rsid w:val="2CA21894"/>
    <w:rsid w:val="2CA4476E"/>
    <w:rsid w:val="2CAD4F6B"/>
    <w:rsid w:val="2CB17FD2"/>
    <w:rsid w:val="2CC16AFA"/>
    <w:rsid w:val="2CC95D10"/>
    <w:rsid w:val="2CC96A11"/>
    <w:rsid w:val="2CCA43FF"/>
    <w:rsid w:val="2CCB5A72"/>
    <w:rsid w:val="2CD57684"/>
    <w:rsid w:val="2CD67A0B"/>
    <w:rsid w:val="2CD75666"/>
    <w:rsid w:val="2CD83FF1"/>
    <w:rsid w:val="2CDC6591"/>
    <w:rsid w:val="2CDE08F2"/>
    <w:rsid w:val="2CE03AB0"/>
    <w:rsid w:val="2CE86737"/>
    <w:rsid w:val="2CEB494F"/>
    <w:rsid w:val="2CEF53E3"/>
    <w:rsid w:val="2CF53A56"/>
    <w:rsid w:val="2CF649A9"/>
    <w:rsid w:val="2CF9444D"/>
    <w:rsid w:val="2CFC27E4"/>
    <w:rsid w:val="2D061051"/>
    <w:rsid w:val="2D0766E4"/>
    <w:rsid w:val="2D0B702A"/>
    <w:rsid w:val="2D107EBA"/>
    <w:rsid w:val="2D12609F"/>
    <w:rsid w:val="2D1B67A1"/>
    <w:rsid w:val="2D1F4BCA"/>
    <w:rsid w:val="2D221AAA"/>
    <w:rsid w:val="2D254ED3"/>
    <w:rsid w:val="2D2651C9"/>
    <w:rsid w:val="2D397977"/>
    <w:rsid w:val="2D3D74EA"/>
    <w:rsid w:val="2D476C62"/>
    <w:rsid w:val="2D504333"/>
    <w:rsid w:val="2D521264"/>
    <w:rsid w:val="2D567058"/>
    <w:rsid w:val="2D57290A"/>
    <w:rsid w:val="2D5D7FE8"/>
    <w:rsid w:val="2D5E7E01"/>
    <w:rsid w:val="2D6030A2"/>
    <w:rsid w:val="2D660EF9"/>
    <w:rsid w:val="2D6A677C"/>
    <w:rsid w:val="2D6C2B47"/>
    <w:rsid w:val="2D763F45"/>
    <w:rsid w:val="2D820204"/>
    <w:rsid w:val="2D8402FC"/>
    <w:rsid w:val="2D88024C"/>
    <w:rsid w:val="2D935488"/>
    <w:rsid w:val="2D960FB5"/>
    <w:rsid w:val="2D9B4423"/>
    <w:rsid w:val="2DAC2EF4"/>
    <w:rsid w:val="2DAD4BCD"/>
    <w:rsid w:val="2DAD789E"/>
    <w:rsid w:val="2DB453FF"/>
    <w:rsid w:val="2DB72446"/>
    <w:rsid w:val="2DBE4237"/>
    <w:rsid w:val="2DBF1693"/>
    <w:rsid w:val="2DCA22C7"/>
    <w:rsid w:val="2DCB10F0"/>
    <w:rsid w:val="2DCB38A1"/>
    <w:rsid w:val="2DD066E9"/>
    <w:rsid w:val="2DDC0ED4"/>
    <w:rsid w:val="2DE3054F"/>
    <w:rsid w:val="2DE7186E"/>
    <w:rsid w:val="2DF036FB"/>
    <w:rsid w:val="2DF21CB3"/>
    <w:rsid w:val="2DFD78B4"/>
    <w:rsid w:val="2DFE083B"/>
    <w:rsid w:val="2E0708FF"/>
    <w:rsid w:val="2E11457C"/>
    <w:rsid w:val="2E1643B9"/>
    <w:rsid w:val="2E184C0F"/>
    <w:rsid w:val="2E187142"/>
    <w:rsid w:val="2E1F18AD"/>
    <w:rsid w:val="2E282709"/>
    <w:rsid w:val="2E285E19"/>
    <w:rsid w:val="2E28757C"/>
    <w:rsid w:val="2E2C723F"/>
    <w:rsid w:val="2E332EEF"/>
    <w:rsid w:val="2E3D0855"/>
    <w:rsid w:val="2E3F6B8A"/>
    <w:rsid w:val="2E406C31"/>
    <w:rsid w:val="2E467FE7"/>
    <w:rsid w:val="2E527715"/>
    <w:rsid w:val="2E530660"/>
    <w:rsid w:val="2E531152"/>
    <w:rsid w:val="2E5448E2"/>
    <w:rsid w:val="2E565287"/>
    <w:rsid w:val="2E5F1E47"/>
    <w:rsid w:val="2E682652"/>
    <w:rsid w:val="2E6B6D27"/>
    <w:rsid w:val="2E7A506F"/>
    <w:rsid w:val="2E7B0600"/>
    <w:rsid w:val="2E7B273D"/>
    <w:rsid w:val="2E7D30EA"/>
    <w:rsid w:val="2E8028E0"/>
    <w:rsid w:val="2E88139A"/>
    <w:rsid w:val="2E8B051E"/>
    <w:rsid w:val="2E8F062E"/>
    <w:rsid w:val="2E905D65"/>
    <w:rsid w:val="2E916275"/>
    <w:rsid w:val="2E9D560F"/>
    <w:rsid w:val="2E9F7EC1"/>
    <w:rsid w:val="2EA234E1"/>
    <w:rsid w:val="2EB17C70"/>
    <w:rsid w:val="2EB411B5"/>
    <w:rsid w:val="2EBD49E1"/>
    <w:rsid w:val="2EBF0ED1"/>
    <w:rsid w:val="2EC42186"/>
    <w:rsid w:val="2EC7495E"/>
    <w:rsid w:val="2EC776BB"/>
    <w:rsid w:val="2ECA39AD"/>
    <w:rsid w:val="2ECC0C07"/>
    <w:rsid w:val="2ED03009"/>
    <w:rsid w:val="2EED4C9D"/>
    <w:rsid w:val="2EF01DA9"/>
    <w:rsid w:val="2EF224CD"/>
    <w:rsid w:val="2EF67D61"/>
    <w:rsid w:val="2EFA2F2B"/>
    <w:rsid w:val="2F010C22"/>
    <w:rsid w:val="2F195BDC"/>
    <w:rsid w:val="2F2913A5"/>
    <w:rsid w:val="2F2E23A6"/>
    <w:rsid w:val="2F2E289C"/>
    <w:rsid w:val="2F350F19"/>
    <w:rsid w:val="2F383567"/>
    <w:rsid w:val="2F3B1918"/>
    <w:rsid w:val="2F415DC8"/>
    <w:rsid w:val="2F514AAE"/>
    <w:rsid w:val="2F531FEB"/>
    <w:rsid w:val="2F5A4EA5"/>
    <w:rsid w:val="2F5B5B3B"/>
    <w:rsid w:val="2F615468"/>
    <w:rsid w:val="2F655F0E"/>
    <w:rsid w:val="2F6B73F9"/>
    <w:rsid w:val="2F6D4FA6"/>
    <w:rsid w:val="2F6E6713"/>
    <w:rsid w:val="2F743486"/>
    <w:rsid w:val="2F756E65"/>
    <w:rsid w:val="2F77354F"/>
    <w:rsid w:val="2F7A7069"/>
    <w:rsid w:val="2F7B2789"/>
    <w:rsid w:val="2F8001B6"/>
    <w:rsid w:val="2F897AA1"/>
    <w:rsid w:val="2F8D4D67"/>
    <w:rsid w:val="2F8E2F8D"/>
    <w:rsid w:val="2F9051B8"/>
    <w:rsid w:val="2F910893"/>
    <w:rsid w:val="2F9A69D2"/>
    <w:rsid w:val="2F9A7210"/>
    <w:rsid w:val="2F9C6646"/>
    <w:rsid w:val="2F9D4AA3"/>
    <w:rsid w:val="2F9F094E"/>
    <w:rsid w:val="2FA213D6"/>
    <w:rsid w:val="2FA5152D"/>
    <w:rsid w:val="2FA96250"/>
    <w:rsid w:val="2FAA31BA"/>
    <w:rsid w:val="2FB11323"/>
    <w:rsid w:val="2FBB6A2A"/>
    <w:rsid w:val="2FC2166F"/>
    <w:rsid w:val="2FCB0952"/>
    <w:rsid w:val="2FD53529"/>
    <w:rsid w:val="2FD80709"/>
    <w:rsid w:val="2FDF2368"/>
    <w:rsid w:val="2FDF7CD4"/>
    <w:rsid w:val="2FEC08C6"/>
    <w:rsid w:val="2FF532B7"/>
    <w:rsid w:val="2FF674CB"/>
    <w:rsid w:val="2FF7251F"/>
    <w:rsid w:val="30007788"/>
    <w:rsid w:val="30093592"/>
    <w:rsid w:val="301977C7"/>
    <w:rsid w:val="301E3E25"/>
    <w:rsid w:val="30205153"/>
    <w:rsid w:val="30253FAB"/>
    <w:rsid w:val="30270D6F"/>
    <w:rsid w:val="303B3B59"/>
    <w:rsid w:val="303C0C41"/>
    <w:rsid w:val="303D6437"/>
    <w:rsid w:val="30443F81"/>
    <w:rsid w:val="304F6AE3"/>
    <w:rsid w:val="305831D6"/>
    <w:rsid w:val="3058428D"/>
    <w:rsid w:val="305A4537"/>
    <w:rsid w:val="30632880"/>
    <w:rsid w:val="3070014A"/>
    <w:rsid w:val="307B4FFA"/>
    <w:rsid w:val="308136E0"/>
    <w:rsid w:val="308719BC"/>
    <w:rsid w:val="3095375A"/>
    <w:rsid w:val="30977E19"/>
    <w:rsid w:val="309B2688"/>
    <w:rsid w:val="30A90B96"/>
    <w:rsid w:val="30A91070"/>
    <w:rsid w:val="30B26464"/>
    <w:rsid w:val="30B420CD"/>
    <w:rsid w:val="30B86332"/>
    <w:rsid w:val="30C91D87"/>
    <w:rsid w:val="30D10B78"/>
    <w:rsid w:val="30D251E3"/>
    <w:rsid w:val="30D36EB7"/>
    <w:rsid w:val="30D45137"/>
    <w:rsid w:val="30D51A41"/>
    <w:rsid w:val="30E7233C"/>
    <w:rsid w:val="30F3215C"/>
    <w:rsid w:val="30FB3BF4"/>
    <w:rsid w:val="31061593"/>
    <w:rsid w:val="31076B28"/>
    <w:rsid w:val="31076EFA"/>
    <w:rsid w:val="310866BC"/>
    <w:rsid w:val="31154DED"/>
    <w:rsid w:val="3120790D"/>
    <w:rsid w:val="31215B33"/>
    <w:rsid w:val="312A36B1"/>
    <w:rsid w:val="31337532"/>
    <w:rsid w:val="313A1C55"/>
    <w:rsid w:val="313A2CAC"/>
    <w:rsid w:val="313E6356"/>
    <w:rsid w:val="31460C29"/>
    <w:rsid w:val="314B3239"/>
    <w:rsid w:val="31596E9F"/>
    <w:rsid w:val="315B21E9"/>
    <w:rsid w:val="315B5E62"/>
    <w:rsid w:val="31604DC0"/>
    <w:rsid w:val="31607973"/>
    <w:rsid w:val="3163108E"/>
    <w:rsid w:val="3167538F"/>
    <w:rsid w:val="316A2AFE"/>
    <w:rsid w:val="317544CD"/>
    <w:rsid w:val="31765162"/>
    <w:rsid w:val="317A487D"/>
    <w:rsid w:val="317D76C8"/>
    <w:rsid w:val="31833BCE"/>
    <w:rsid w:val="318A1515"/>
    <w:rsid w:val="31944F6F"/>
    <w:rsid w:val="31963456"/>
    <w:rsid w:val="31A47F00"/>
    <w:rsid w:val="31A51052"/>
    <w:rsid w:val="31A77BCC"/>
    <w:rsid w:val="31A84B64"/>
    <w:rsid w:val="31B12D3C"/>
    <w:rsid w:val="31B2653B"/>
    <w:rsid w:val="31B266EC"/>
    <w:rsid w:val="31B45163"/>
    <w:rsid w:val="31B4700F"/>
    <w:rsid w:val="31B81D35"/>
    <w:rsid w:val="31C3729F"/>
    <w:rsid w:val="31CB617D"/>
    <w:rsid w:val="31CC0ECB"/>
    <w:rsid w:val="31DD2EC1"/>
    <w:rsid w:val="31DF1DB8"/>
    <w:rsid w:val="31E56082"/>
    <w:rsid w:val="31F020DC"/>
    <w:rsid w:val="31F072F8"/>
    <w:rsid w:val="31FE06B9"/>
    <w:rsid w:val="32007322"/>
    <w:rsid w:val="32061C7F"/>
    <w:rsid w:val="320A52D8"/>
    <w:rsid w:val="320D2005"/>
    <w:rsid w:val="32136025"/>
    <w:rsid w:val="32220D79"/>
    <w:rsid w:val="32252577"/>
    <w:rsid w:val="3228412F"/>
    <w:rsid w:val="32294648"/>
    <w:rsid w:val="322F0831"/>
    <w:rsid w:val="3238009F"/>
    <w:rsid w:val="323F5519"/>
    <w:rsid w:val="32442E52"/>
    <w:rsid w:val="32471CC6"/>
    <w:rsid w:val="324F0134"/>
    <w:rsid w:val="32540593"/>
    <w:rsid w:val="32575B7F"/>
    <w:rsid w:val="32582CC3"/>
    <w:rsid w:val="3269055E"/>
    <w:rsid w:val="326F43FE"/>
    <w:rsid w:val="327179A4"/>
    <w:rsid w:val="32775626"/>
    <w:rsid w:val="3281262C"/>
    <w:rsid w:val="32835AB1"/>
    <w:rsid w:val="328A3A5F"/>
    <w:rsid w:val="328D7371"/>
    <w:rsid w:val="328E2231"/>
    <w:rsid w:val="328F22F9"/>
    <w:rsid w:val="329326B7"/>
    <w:rsid w:val="329426A2"/>
    <w:rsid w:val="329708DE"/>
    <w:rsid w:val="32AD1211"/>
    <w:rsid w:val="32BE0045"/>
    <w:rsid w:val="32E12F9A"/>
    <w:rsid w:val="32E87F66"/>
    <w:rsid w:val="32E97C5E"/>
    <w:rsid w:val="32EC46FB"/>
    <w:rsid w:val="32F64CAC"/>
    <w:rsid w:val="32FF12B8"/>
    <w:rsid w:val="33000B4D"/>
    <w:rsid w:val="330073AA"/>
    <w:rsid w:val="33020BF1"/>
    <w:rsid w:val="330710D7"/>
    <w:rsid w:val="331264BB"/>
    <w:rsid w:val="331A102D"/>
    <w:rsid w:val="331E3887"/>
    <w:rsid w:val="33224534"/>
    <w:rsid w:val="332742E9"/>
    <w:rsid w:val="332850C4"/>
    <w:rsid w:val="332A1AC1"/>
    <w:rsid w:val="332C71E1"/>
    <w:rsid w:val="332E1BC2"/>
    <w:rsid w:val="332E224E"/>
    <w:rsid w:val="332F3B66"/>
    <w:rsid w:val="333B116B"/>
    <w:rsid w:val="333E2024"/>
    <w:rsid w:val="33427ABB"/>
    <w:rsid w:val="33501AF9"/>
    <w:rsid w:val="33616D4E"/>
    <w:rsid w:val="338134D4"/>
    <w:rsid w:val="33821BAB"/>
    <w:rsid w:val="338378EA"/>
    <w:rsid w:val="33885755"/>
    <w:rsid w:val="339E18BC"/>
    <w:rsid w:val="33A57822"/>
    <w:rsid w:val="33A77C3C"/>
    <w:rsid w:val="33AA7345"/>
    <w:rsid w:val="33B37087"/>
    <w:rsid w:val="33BA7C82"/>
    <w:rsid w:val="33BC4D91"/>
    <w:rsid w:val="33BF4D9D"/>
    <w:rsid w:val="33C233CD"/>
    <w:rsid w:val="33C35B22"/>
    <w:rsid w:val="33C504FF"/>
    <w:rsid w:val="33C968FA"/>
    <w:rsid w:val="33D23DF5"/>
    <w:rsid w:val="33D246C3"/>
    <w:rsid w:val="33DF11C8"/>
    <w:rsid w:val="33E442C9"/>
    <w:rsid w:val="33E61B12"/>
    <w:rsid w:val="33EF44FC"/>
    <w:rsid w:val="33F751C3"/>
    <w:rsid w:val="33FB4B21"/>
    <w:rsid w:val="33FE7E15"/>
    <w:rsid w:val="33FF1154"/>
    <w:rsid w:val="340074AF"/>
    <w:rsid w:val="340948E1"/>
    <w:rsid w:val="340D3904"/>
    <w:rsid w:val="340F116F"/>
    <w:rsid w:val="341212B1"/>
    <w:rsid w:val="341321BE"/>
    <w:rsid w:val="34155C01"/>
    <w:rsid w:val="34293255"/>
    <w:rsid w:val="34314E1D"/>
    <w:rsid w:val="34315823"/>
    <w:rsid w:val="34346CEE"/>
    <w:rsid w:val="34374868"/>
    <w:rsid w:val="34376C25"/>
    <w:rsid w:val="343D2D4C"/>
    <w:rsid w:val="34417702"/>
    <w:rsid w:val="34417EB0"/>
    <w:rsid w:val="3446518F"/>
    <w:rsid w:val="344A296C"/>
    <w:rsid w:val="344C25CD"/>
    <w:rsid w:val="344E045C"/>
    <w:rsid w:val="344F610D"/>
    <w:rsid w:val="34512060"/>
    <w:rsid w:val="345232B0"/>
    <w:rsid w:val="345A0779"/>
    <w:rsid w:val="345B15DB"/>
    <w:rsid w:val="346B1ADA"/>
    <w:rsid w:val="346C4A94"/>
    <w:rsid w:val="346E7A5A"/>
    <w:rsid w:val="3477244E"/>
    <w:rsid w:val="34782617"/>
    <w:rsid w:val="347946FA"/>
    <w:rsid w:val="347A6171"/>
    <w:rsid w:val="348146D7"/>
    <w:rsid w:val="348440EB"/>
    <w:rsid w:val="348D33D3"/>
    <w:rsid w:val="3496737A"/>
    <w:rsid w:val="349C03F2"/>
    <w:rsid w:val="34A152D5"/>
    <w:rsid w:val="34A238C5"/>
    <w:rsid w:val="34AC0653"/>
    <w:rsid w:val="34AC2DE9"/>
    <w:rsid w:val="34B24855"/>
    <w:rsid w:val="34B3070C"/>
    <w:rsid w:val="34B55560"/>
    <w:rsid w:val="34B84D9B"/>
    <w:rsid w:val="34BE7103"/>
    <w:rsid w:val="34C82B00"/>
    <w:rsid w:val="34C9343D"/>
    <w:rsid w:val="34CC0600"/>
    <w:rsid w:val="34CE3369"/>
    <w:rsid w:val="34DC1C67"/>
    <w:rsid w:val="34E416EC"/>
    <w:rsid w:val="34E47162"/>
    <w:rsid w:val="34E664D6"/>
    <w:rsid w:val="34F64CDD"/>
    <w:rsid w:val="34FF095B"/>
    <w:rsid w:val="3500311A"/>
    <w:rsid w:val="350B76BF"/>
    <w:rsid w:val="350C5C16"/>
    <w:rsid w:val="351710F0"/>
    <w:rsid w:val="351F4B47"/>
    <w:rsid w:val="352B4097"/>
    <w:rsid w:val="352E435E"/>
    <w:rsid w:val="3534069E"/>
    <w:rsid w:val="353807E2"/>
    <w:rsid w:val="353D45FA"/>
    <w:rsid w:val="353F0E06"/>
    <w:rsid w:val="35422CF2"/>
    <w:rsid w:val="354933C6"/>
    <w:rsid w:val="35505013"/>
    <w:rsid w:val="35522298"/>
    <w:rsid w:val="35531CAD"/>
    <w:rsid w:val="3559121F"/>
    <w:rsid w:val="355A18A2"/>
    <w:rsid w:val="35652ACF"/>
    <w:rsid w:val="356D51F7"/>
    <w:rsid w:val="35735BCB"/>
    <w:rsid w:val="357972DF"/>
    <w:rsid w:val="357D79D3"/>
    <w:rsid w:val="35804F9D"/>
    <w:rsid w:val="35843B49"/>
    <w:rsid w:val="35884385"/>
    <w:rsid w:val="35890016"/>
    <w:rsid w:val="358B0F26"/>
    <w:rsid w:val="35924A15"/>
    <w:rsid w:val="359753B1"/>
    <w:rsid w:val="35991DF7"/>
    <w:rsid w:val="35A251D2"/>
    <w:rsid w:val="35A25468"/>
    <w:rsid w:val="35A82DEE"/>
    <w:rsid w:val="35AC56FE"/>
    <w:rsid w:val="35C3354B"/>
    <w:rsid w:val="35C635D8"/>
    <w:rsid w:val="35C8705E"/>
    <w:rsid w:val="35CB283C"/>
    <w:rsid w:val="35D02A2E"/>
    <w:rsid w:val="35D16387"/>
    <w:rsid w:val="35DF2011"/>
    <w:rsid w:val="35E1012B"/>
    <w:rsid w:val="35E1505C"/>
    <w:rsid w:val="35E328B8"/>
    <w:rsid w:val="35E3701E"/>
    <w:rsid w:val="35E420DE"/>
    <w:rsid w:val="35E607CD"/>
    <w:rsid w:val="35EB34A9"/>
    <w:rsid w:val="35EC6F4A"/>
    <w:rsid w:val="35EE6A38"/>
    <w:rsid w:val="35F5734F"/>
    <w:rsid w:val="35F65884"/>
    <w:rsid w:val="35F715DC"/>
    <w:rsid w:val="36023BFE"/>
    <w:rsid w:val="36057267"/>
    <w:rsid w:val="360632C2"/>
    <w:rsid w:val="362131A7"/>
    <w:rsid w:val="362E1546"/>
    <w:rsid w:val="36330CA5"/>
    <w:rsid w:val="363828C2"/>
    <w:rsid w:val="363F061B"/>
    <w:rsid w:val="364236D7"/>
    <w:rsid w:val="3645509F"/>
    <w:rsid w:val="3654563C"/>
    <w:rsid w:val="365763B3"/>
    <w:rsid w:val="366F70DE"/>
    <w:rsid w:val="367C0A7E"/>
    <w:rsid w:val="367E5840"/>
    <w:rsid w:val="36856B5A"/>
    <w:rsid w:val="36883C27"/>
    <w:rsid w:val="36950061"/>
    <w:rsid w:val="36A32443"/>
    <w:rsid w:val="36A61ADA"/>
    <w:rsid w:val="36AC504E"/>
    <w:rsid w:val="36AE7AB6"/>
    <w:rsid w:val="36B45F51"/>
    <w:rsid w:val="36B7013F"/>
    <w:rsid w:val="36D37FB9"/>
    <w:rsid w:val="36D40D9D"/>
    <w:rsid w:val="36D71D0D"/>
    <w:rsid w:val="36DC4984"/>
    <w:rsid w:val="36E17BD4"/>
    <w:rsid w:val="36E30071"/>
    <w:rsid w:val="36E31151"/>
    <w:rsid w:val="36E61D1E"/>
    <w:rsid w:val="36EF4947"/>
    <w:rsid w:val="36F76FAD"/>
    <w:rsid w:val="37060D5C"/>
    <w:rsid w:val="370F6D7D"/>
    <w:rsid w:val="3711176D"/>
    <w:rsid w:val="37113E21"/>
    <w:rsid w:val="37137BA3"/>
    <w:rsid w:val="3715441F"/>
    <w:rsid w:val="37244D17"/>
    <w:rsid w:val="373F483B"/>
    <w:rsid w:val="37451D56"/>
    <w:rsid w:val="374A1080"/>
    <w:rsid w:val="375C645A"/>
    <w:rsid w:val="37633810"/>
    <w:rsid w:val="376A27F4"/>
    <w:rsid w:val="37737FCD"/>
    <w:rsid w:val="377E4EC2"/>
    <w:rsid w:val="37831AFE"/>
    <w:rsid w:val="37855CA5"/>
    <w:rsid w:val="379747E4"/>
    <w:rsid w:val="37A10A3C"/>
    <w:rsid w:val="37A32862"/>
    <w:rsid w:val="37A771F1"/>
    <w:rsid w:val="37A83EE9"/>
    <w:rsid w:val="37AA1FED"/>
    <w:rsid w:val="37B033F0"/>
    <w:rsid w:val="37B25951"/>
    <w:rsid w:val="37B82D37"/>
    <w:rsid w:val="37BB1880"/>
    <w:rsid w:val="37BF7DD8"/>
    <w:rsid w:val="37CA6F5D"/>
    <w:rsid w:val="37CF39F4"/>
    <w:rsid w:val="37DE142C"/>
    <w:rsid w:val="37DF4E44"/>
    <w:rsid w:val="38074D9E"/>
    <w:rsid w:val="38093CF4"/>
    <w:rsid w:val="38132FDB"/>
    <w:rsid w:val="381523AC"/>
    <w:rsid w:val="3816611D"/>
    <w:rsid w:val="381A7833"/>
    <w:rsid w:val="381D6FCC"/>
    <w:rsid w:val="382276D7"/>
    <w:rsid w:val="38255502"/>
    <w:rsid w:val="382563C3"/>
    <w:rsid w:val="382B10C6"/>
    <w:rsid w:val="383D4592"/>
    <w:rsid w:val="384502C9"/>
    <w:rsid w:val="384757BF"/>
    <w:rsid w:val="38493B62"/>
    <w:rsid w:val="384A568A"/>
    <w:rsid w:val="384C2E85"/>
    <w:rsid w:val="384D7A6B"/>
    <w:rsid w:val="38527F5E"/>
    <w:rsid w:val="38576EB1"/>
    <w:rsid w:val="385B78DA"/>
    <w:rsid w:val="385E7289"/>
    <w:rsid w:val="386B3647"/>
    <w:rsid w:val="386E60E1"/>
    <w:rsid w:val="386F64C6"/>
    <w:rsid w:val="38724636"/>
    <w:rsid w:val="38755246"/>
    <w:rsid w:val="38850F2D"/>
    <w:rsid w:val="388A7003"/>
    <w:rsid w:val="388F47CD"/>
    <w:rsid w:val="3891497A"/>
    <w:rsid w:val="38921D1F"/>
    <w:rsid w:val="38934709"/>
    <w:rsid w:val="3899545E"/>
    <w:rsid w:val="389B63CB"/>
    <w:rsid w:val="389D36E7"/>
    <w:rsid w:val="38A039DA"/>
    <w:rsid w:val="38AD0AAC"/>
    <w:rsid w:val="38AF121A"/>
    <w:rsid w:val="38B10DA8"/>
    <w:rsid w:val="38B94B51"/>
    <w:rsid w:val="38B976FB"/>
    <w:rsid w:val="38BB5EDA"/>
    <w:rsid w:val="38C6779A"/>
    <w:rsid w:val="38D26097"/>
    <w:rsid w:val="38DC2A26"/>
    <w:rsid w:val="38DC5040"/>
    <w:rsid w:val="38EA0958"/>
    <w:rsid w:val="38EA292A"/>
    <w:rsid w:val="38EB3140"/>
    <w:rsid w:val="38F71493"/>
    <w:rsid w:val="38FC7F68"/>
    <w:rsid w:val="390150BD"/>
    <w:rsid w:val="39015BC8"/>
    <w:rsid w:val="39024400"/>
    <w:rsid w:val="390A29CF"/>
    <w:rsid w:val="390D7AA7"/>
    <w:rsid w:val="3910183F"/>
    <w:rsid w:val="39132EBE"/>
    <w:rsid w:val="39183836"/>
    <w:rsid w:val="39192D79"/>
    <w:rsid w:val="3923223F"/>
    <w:rsid w:val="39271D8A"/>
    <w:rsid w:val="392C3404"/>
    <w:rsid w:val="393D3E8F"/>
    <w:rsid w:val="393F3649"/>
    <w:rsid w:val="39434B25"/>
    <w:rsid w:val="39442CC4"/>
    <w:rsid w:val="39473C95"/>
    <w:rsid w:val="394A3B36"/>
    <w:rsid w:val="394C053B"/>
    <w:rsid w:val="394E0439"/>
    <w:rsid w:val="39532D05"/>
    <w:rsid w:val="395A1855"/>
    <w:rsid w:val="395E1405"/>
    <w:rsid w:val="3962425A"/>
    <w:rsid w:val="396E504E"/>
    <w:rsid w:val="396F7993"/>
    <w:rsid w:val="39734F7F"/>
    <w:rsid w:val="39741673"/>
    <w:rsid w:val="39764ECC"/>
    <w:rsid w:val="397F2866"/>
    <w:rsid w:val="39830655"/>
    <w:rsid w:val="39850A26"/>
    <w:rsid w:val="39875D3B"/>
    <w:rsid w:val="39893783"/>
    <w:rsid w:val="399108C7"/>
    <w:rsid w:val="399B6654"/>
    <w:rsid w:val="399C23C2"/>
    <w:rsid w:val="399E7C65"/>
    <w:rsid w:val="39A118CD"/>
    <w:rsid w:val="39A337DD"/>
    <w:rsid w:val="39B0295E"/>
    <w:rsid w:val="39B1002C"/>
    <w:rsid w:val="39B75345"/>
    <w:rsid w:val="39BA1CF7"/>
    <w:rsid w:val="39BA2065"/>
    <w:rsid w:val="39C83126"/>
    <w:rsid w:val="39CD4753"/>
    <w:rsid w:val="39D037AF"/>
    <w:rsid w:val="39D466BD"/>
    <w:rsid w:val="39D7158B"/>
    <w:rsid w:val="39D9675C"/>
    <w:rsid w:val="39DC1B39"/>
    <w:rsid w:val="39DE503F"/>
    <w:rsid w:val="39E03897"/>
    <w:rsid w:val="39E125BA"/>
    <w:rsid w:val="39EE1B0B"/>
    <w:rsid w:val="39F17FFD"/>
    <w:rsid w:val="39F24322"/>
    <w:rsid w:val="39FA1859"/>
    <w:rsid w:val="39FE1307"/>
    <w:rsid w:val="3A03384A"/>
    <w:rsid w:val="3A066160"/>
    <w:rsid w:val="3A083121"/>
    <w:rsid w:val="3A0D48B1"/>
    <w:rsid w:val="3A1810FA"/>
    <w:rsid w:val="3A1C5E08"/>
    <w:rsid w:val="3A2441B7"/>
    <w:rsid w:val="3A274488"/>
    <w:rsid w:val="3A28048B"/>
    <w:rsid w:val="3A336331"/>
    <w:rsid w:val="3A425B7A"/>
    <w:rsid w:val="3A431472"/>
    <w:rsid w:val="3A474B1C"/>
    <w:rsid w:val="3A5207B4"/>
    <w:rsid w:val="3A541BF5"/>
    <w:rsid w:val="3A553D9F"/>
    <w:rsid w:val="3A597477"/>
    <w:rsid w:val="3A5A285A"/>
    <w:rsid w:val="3A5E32B9"/>
    <w:rsid w:val="3A646A00"/>
    <w:rsid w:val="3A697F71"/>
    <w:rsid w:val="3A6A4AC7"/>
    <w:rsid w:val="3A6E26C3"/>
    <w:rsid w:val="3A6F0BDF"/>
    <w:rsid w:val="3A72622B"/>
    <w:rsid w:val="3A75769F"/>
    <w:rsid w:val="3A7A025B"/>
    <w:rsid w:val="3A7E2244"/>
    <w:rsid w:val="3A861E9F"/>
    <w:rsid w:val="3A897BA1"/>
    <w:rsid w:val="3A9038DA"/>
    <w:rsid w:val="3A922233"/>
    <w:rsid w:val="3A936647"/>
    <w:rsid w:val="3A9E4B32"/>
    <w:rsid w:val="3A9F1B2C"/>
    <w:rsid w:val="3AA00BCD"/>
    <w:rsid w:val="3AA04C49"/>
    <w:rsid w:val="3AA54470"/>
    <w:rsid w:val="3AA913CF"/>
    <w:rsid w:val="3AB86069"/>
    <w:rsid w:val="3AC036CC"/>
    <w:rsid w:val="3AC205A6"/>
    <w:rsid w:val="3AC257A4"/>
    <w:rsid w:val="3AC334CD"/>
    <w:rsid w:val="3ACF5E01"/>
    <w:rsid w:val="3AD16134"/>
    <w:rsid w:val="3AD17EBD"/>
    <w:rsid w:val="3ADB2291"/>
    <w:rsid w:val="3ADD199D"/>
    <w:rsid w:val="3ADE382E"/>
    <w:rsid w:val="3AEA3CFC"/>
    <w:rsid w:val="3AF044A5"/>
    <w:rsid w:val="3AF153E6"/>
    <w:rsid w:val="3AFC4CC9"/>
    <w:rsid w:val="3B00301D"/>
    <w:rsid w:val="3B031629"/>
    <w:rsid w:val="3B0D3370"/>
    <w:rsid w:val="3B1752EE"/>
    <w:rsid w:val="3B1C35AC"/>
    <w:rsid w:val="3B1F0CAE"/>
    <w:rsid w:val="3B22468C"/>
    <w:rsid w:val="3B292A67"/>
    <w:rsid w:val="3B3155AA"/>
    <w:rsid w:val="3B3E0B10"/>
    <w:rsid w:val="3B4F1508"/>
    <w:rsid w:val="3B580D61"/>
    <w:rsid w:val="3B58455D"/>
    <w:rsid w:val="3B5908EC"/>
    <w:rsid w:val="3B64699C"/>
    <w:rsid w:val="3B696BF9"/>
    <w:rsid w:val="3B6F0DCA"/>
    <w:rsid w:val="3B754E06"/>
    <w:rsid w:val="3B7B2B0A"/>
    <w:rsid w:val="3B7C7B97"/>
    <w:rsid w:val="3B8372AE"/>
    <w:rsid w:val="3B914065"/>
    <w:rsid w:val="3B9A7EDD"/>
    <w:rsid w:val="3B9F483C"/>
    <w:rsid w:val="3BB249F7"/>
    <w:rsid w:val="3BBE3122"/>
    <w:rsid w:val="3BC20515"/>
    <w:rsid w:val="3BC53C74"/>
    <w:rsid w:val="3BC60370"/>
    <w:rsid w:val="3BC62C0D"/>
    <w:rsid w:val="3BC772AB"/>
    <w:rsid w:val="3BC812C8"/>
    <w:rsid w:val="3BD741DE"/>
    <w:rsid w:val="3BE7491F"/>
    <w:rsid w:val="3BE82033"/>
    <w:rsid w:val="3BEA0B7F"/>
    <w:rsid w:val="3BEF3F98"/>
    <w:rsid w:val="3BF01125"/>
    <w:rsid w:val="3BF1165C"/>
    <w:rsid w:val="3BF82655"/>
    <w:rsid w:val="3BF90B59"/>
    <w:rsid w:val="3C035D20"/>
    <w:rsid w:val="3C0C1C74"/>
    <w:rsid w:val="3C12184A"/>
    <w:rsid w:val="3C165216"/>
    <w:rsid w:val="3C1C65D8"/>
    <w:rsid w:val="3C20030B"/>
    <w:rsid w:val="3C220A63"/>
    <w:rsid w:val="3C257E8D"/>
    <w:rsid w:val="3C286FD8"/>
    <w:rsid w:val="3C2D0C4A"/>
    <w:rsid w:val="3C326DEB"/>
    <w:rsid w:val="3C393537"/>
    <w:rsid w:val="3C3C1378"/>
    <w:rsid w:val="3C497D33"/>
    <w:rsid w:val="3C5A342C"/>
    <w:rsid w:val="3C5C0867"/>
    <w:rsid w:val="3C5E33A6"/>
    <w:rsid w:val="3C656EED"/>
    <w:rsid w:val="3C685003"/>
    <w:rsid w:val="3C6D452D"/>
    <w:rsid w:val="3C6E7843"/>
    <w:rsid w:val="3C727A71"/>
    <w:rsid w:val="3C732FE2"/>
    <w:rsid w:val="3C786DE5"/>
    <w:rsid w:val="3C7A20C3"/>
    <w:rsid w:val="3C7A3669"/>
    <w:rsid w:val="3C7D3E58"/>
    <w:rsid w:val="3C882BD0"/>
    <w:rsid w:val="3C94545E"/>
    <w:rsid w:val="3C975DCC"/>
    <w:rsid w:val="3C9912FB"/>
    <w:rsid w:val="3CAE0651"/>
    <w:rsid w:val="3CBC2D9B"/>
    <w:rsid w:val="3CC5588D"/>
    <w:rsid w:val="3CCD1D16"/>
    <w:rsid w:val="3CD83C07"/>
    <w:rsid w:val="3CD85D57"/>
    <w:rsid w:val="3CD87AA0"/>
    <w:rsid w:val="3CDA5112"/>
    <w:rsid w:val="3CDB62C1"/>
    <w:rsid w:val="3CE13BDF"/>
    <w:rsid w:val="3CE26359"/>
    <w:rsid w:val="3CE70364"/>
    <w:rsid w:val="3CE83CD2"/>
    <w:rsid w:val="3CFD4D35"/>
    <w:rsid w:val="3D064D69"/>
    <w:rsid w:val="3D0E3667"/>
    <w:rsid w:val="3D0E399D"/>
    <w:rsid w:val="3D123F8D"/>
    <w:rsid w:val="3D12721E"/>
    <w:rsid w:val="3D1B45BC"/>
    <w:rsid w:val="3D27093B"/>
    <w:rsid w:val="3D351ADA"/>
    <w:rsid w:val="3D3D6CB6"/>
    <w:rsid w:val="3D444248"/>
    <w:rsid w:val="3D4B2FA5"/>
    <w:rsid w:val="3D4C7BDB"/>
    <w:rsid w:val="3D527DA5"/>
    <w:rsid w:val="3D546058"/>
    <w:rsid w:val="3D5461A9"/>
    <w:rsid w:val="3D58650A"/>
    <w:rsid w:val="3D590765"/>
    <w:rsid w:val="3D5A6060"/>
    <w:rsid w:val="3D640E16"/>
    <w:rsid w:val="3D67132F"/>
    <w:rsid w:val="3D76421C"/>
    <w:rsid w:val="3D7B0D27"/>
    <w:rsid w:val="3D7E27A0"/>
    <w:rsid w:val="3D874F51"/>
    <w:rsid w:val="3D896CEB"/>
    <w:rsid w:val="3D9A2D6C"/>
    <w:rsid w:val="3D9D0681"/>
    <w:rsid w:val="3DA2325F"/>
    <w:rsid w:val="3DAF1596"/>
    <w:rsid w:val="3DB52668"/>
    <w:rsid w:val="3DB63F51"/>
    <w:rsid w:val="3DC60A0C"/>
    <w:rsid w:val="3DD3077A"/>
    <w:rsid w:val="3DDF7A0D"/>
    <w:rsid w:val="3DF176B5"/>
    <w:rsid w:val="3DFD4BBE"/>
    <w:rsid w:val="3E00097B"/>
    <w:rsid w:val="3E011326"/>
    <w:rsid w:val="3E024B7B"/>
    <w:rsid w:val="3E104548"/>
    <w:rsid w:val="3E19435F"/>
    <w:rsid w:val="3E1B47C8"/>
    <w:rsid w:val="3E20393D"/>
    <w:rsid w:val="3E205773"/>
    <w:rsid w:val="3E264105"/>
    <w:rsid w:val="3E264903"/>
    <w:rsid w:val="3E2806A1"/>
    <w:rsid w:val="3E286D72"/>
    <w:rsid w:val="3E2E35CB"/>
    <w:rsid w:val="3E2F087F"/>
    <w:rsid w:val="3E31025E"/>
    <w:rsid w:val="3E342DA3"/>
    <w:rsid w:val="3E471ABE"/>
    <w:rsid w:val="3E4755F9"/>
    <w:rsid w:val="3E492A39"/>
    <w:rsid w:val="3E4B1409"/>
    <w:rsid w:val="3E556354"/>
    <w:rsid w:val="3E6336EF"/>
    <w:rsid w:val="3E660D1B"/>
    <w:rsid w:val="3E662205"/>
    <w:rsid w:val="3E6E2E9E"/>
    <w:rsid w:val="3E8222F7"/>
    <w:rsid w:val="3E8258B1"/>
    <w:rsid w:val="3E8821CE"/>
    <w:rsid w:val="3E92738B"/>
    <w:rsid w:val="3E944E87"/>
    <w:rsid w:val="3E99456A"/>
    <w:rsid w:val="3EA0570F"/>
    <w:rsid w:val="3EA2409C"/>
    <w:rsid w:val="3EA758E3"/>
    <w:rsid w:val="3EAD3D57"/>
    <w:rsid w:val="3EAF02B7"/>
    <w:rsid w:val="3EB1188E"/>
    <w:rsid w:val="3EB428B4"/>
    <w:rsid w:val="3EBD63D7"/>
    <w:rsid w:val="3EC07733"/>
    <w:rsid w:val="3EC172CA"/>
    <w:rsid w:val="3EC334A7"/>
    <w:rsid w:val="3EC678BC"/>
    <w:rsid w:val="3ECC70B0"/>
    <w:rsid w:val="3ED01824"/>
    <w:rsid w:val="3EE067CA"/>
    <w:rsid w:val="3EE919E0"/>
    <w:rsid w:val="3EEF26AB"/>
    <w:rsid w:val="3EF21C38"/>
    <w:rsid w:val="3EF57D05"/>
    <w:rsid w:val="3EF96B38"/>
    <w:rsid w:val="3F002CCF"/>
    <w:rsid w:val="3F012022"/>
    <w:rsid w:val="3F0566FF"/>
    <w:rsid w:val="3F0605BE"/>
    <w:rsid w:val="3F06365D"/>
    <w:rsid w:val="3F0A3CA5"/>
    <w:rsid w:val="3F0B1DB8"/>
    <w:rsid w:val="3F0C44E7"/>
    <w:rsid w:val="3F0E6EA3"/>
    <w:rsid w:val="3F122278"/>
    <w:rsid w:val="3F155D82"/>
    <w:rsid w:val="3F1B7922"/>
    <w:rsid w:val="3F261DEC"/>
    <w:rsid w:val="3F305E06"/>
    <w:rsid w:val="3F3737F8"/>
    <w:rsid w:val="3F453E8A"/>
    <w:rsid w:val="3F47737F"/>
    <w:rsid w:val="3F523976"/>
    <w:rsid w:val="3F52626A"/>
    <w:rsid w:val="3F5322DF"/>
    <w:rsid w:val="3F556A35"/>
    <w:rsid w:val="3F5867B3"/>
    <w:rsid w:val="3F595294"/>
    <w:rsid w:val="3F5A301C"/>
    <w:rsid w:val="3F637202"/>
    <w:rsid w:val="3F65418C"/>
    <w:rsid w:val="3F664F14"/>
    <w:rsid w:val="3F6763B0"/>
    <w:rsid w:val="3F6D1D36"/>
    <w:rsid w:val="3F6D2017"/>
    <w:rsid w:val="3F7339EB"/>
    <w:rsid w:val="3F770167"/>
    <w:rsid w:val="3F7D65D1"/>
    <w:rsid w:val="3F8157CB"/>
    <w:rsid w:val="3F836296"/>
    <w:rsid w:val="3F9526FD"/>
    <w:rsid w:val="3F960218"/>
    <w:rsid w:val="3F9956BA"/>
    <w:rsid w:val="3F9B508E"/>
    <w:rsid w:val="3FA01128"/>
    <w:rsid w:val="3FA10F73"/>
    <w:rsid w:val="3FA51002"/>
    <w:rsid w:val="3FA5548C"/>
    <w:rsid w:val="3FAE5C18"/>
    <w:rsid w:val="3FB1448E"/>
    <w:rsid w:val="3FB33F0F"/>
    <w:rsid w:val="3FB56B87"/>
    <w:rsid w:val="3FB827B0"/>
    <w:rsid w:val="3FB9798A"/>
    <w:rsid w:val="3FBB4D64"/>
    <w:rsid w:val="3FBC4DF5"/>
    <w:rsid w:val="3FBE226E"/>
    <w:rsid w:val="3FC74EA5"/>
    <w:rsid w:val="3FC80A13"/>
    <w:rsid w:val="3FC924C5"/>
    <w:rsid w:val="3FD001E0"/>
    <w:rsid w:val="3FD35125"/>
    <w:rsid w:val="3FD436D8"/>
    <w:rsid w:val="3FDD5AA3"/>
    <w:rsid w:val="3FDD60EB"/>
    <w:rsid w:val="3FE1611D"/>
    <w:rsid w:val="3FE9762E"/>
    <w:rsid w:val="3FEB7EF7"/>
    <w:rsid w:val="3FF0534A"/>
    <w:rsid w:val="3FF07D9D"/>
    <w:rsid w:val="3FFC6AA1"/>
    <w:rsid w:val="3FFE725C"/>
    <w:rsid w:val="400D4689"/>
    <w:rsid w:val="40171E63"/>
    <w:rsid w:val="401B305E"/>
    <w:rsid w:val="401C023A"/>
    <w:rsid w:val="401E624D"/>
    <w:rsid w:val="403C6E09"/>
    <w:rsid w:val="403E0A98"/>
    <w:rsid w:val="4040700B"/>
    <w:rsid w:val="4049653A"/>
    <w:rsid w:val="40505926"/>
    <w:rsid w:val="405074F9"/>
    <w:rsid w:val="40592E1A"/>
    <w:rsid w:val="40742B10"/>
    <w:rsid w:val="40807B7F"/>
    <w:rsid w:val="40851F94"/>
    <w:rsid w:val="40860806"/>
    <w:rsid w:val="408727EE"/>
    <w:rsid w:val="40881B05"/>
    <w:rsid w:val="408B015C"/>
    <w:rsid w:val="408D2092"/>
    <w:rsid w:val="40987E91"/>
    <w:rsid w:val="40A456BD"/>
    <w:rsid w:val="40AE535D"/>
    <w:rsid w:val="40B323C5"/>
    <w:rsid w:val="40B40F93"/>
    <w:rsid w:val="40B4759E"/>
    <w:rsid w:val="40B77C21"/>
    <w:rsid w:val="40BB1B3B"/>
    <w:rsid w:val="40BE2CAE"/>
    <w:rsid w:val="40C87F0D"/>
    <w:rsid w:val="40CE6434"/>
    <w:rsid w:val="40E13187"/>
    <w:rsid w:val="40E4111E"/>
    <w:rsid w:val="40F110C9"/>
    <w:rsid w:val="40F71EFC"/>
    <w:rsid w:val="40FA7D3C"/>
    <w:rsid w:val="40FC6040"/>
    <w:rsid w:val="41013098"/>
    <w:rsid w:val="41046C1A"/>
    <w:rsid w:val="410A66D3"/>
    <w:rsid w:val="411252F5"/>
    <w:rsid w:val="4114428E"/>
    <w:rsid w:val="41173D23"/>
    <w:rsid w:val="41216561"/>
    <w:rsid w:val="4126157E"/>
    <w:rsid w:val="412E1703"/>
    <w:rsid w:val="41341D04"/>
    <w:rsid w:val="413D1085"/>
    <w:rsid w:val="41463814"/>
    <w:rsid w:val="414934AE"/>
    <w:rsid w:val="414E4666"/>
    <w:rsid w:val="415840E7"/>
    <w:rsid w:val="415C6645"/>
    <w:rsid w:val="415D4AA5"/>
    <w:rsid w:val="415E3F30"/>
    <w:rsid w:val="41634269"/>
    <w:rsid w:val="416D1041"/>
    <w:rsid w:val="416F185F"/>
    <w:rsid w:val="41755F8B"/>
    <w:rsid w:val="417E6FB2"/>
    <w:rsid w:val="41804E56"/>
    <w:rsid w:val="418B61F9"/>
    <w:rsid w:val="418C5064"/>
    <w:rsid w:val="41901D5A"/>
    <w:rsid w:val="41A26E55"/>
    <w:rsid w:val="41A7534C"/>
    <w:rsid w:val="41AE168E"/>
    <w:rsid w:val="41B000EA"/>
    <w:rsid w:val="41B625DB"/>
    <w:rsid w:val="41B75B9A"/>
    <w:rsid w:val="41BB28C5"/>
    <w:rsid w:val="41C505B5"/>
    <w:rsid w:val="41C64DF5"/>
    <w:rsid w:val="41D7643D"/>
    <w:rsid w:val="41D80DF6"/>
    <w:rsid w:val="41F41099"/>
    <w:rsid w:val="41F4144D"/>
    <w:rsid w:val="41F425A0"/>
    <w:rsid w:val="41FD1E4D"/>
    <w:rsid w:val="42004A07"/>
    <w:rsid w:val="42036CED"/>
    <w:rsid w:val="420445BE"/>
    <w:rsid w:val="42044B55"/>
    <w:rsid w:val="4210342F"/>
    <w:rsid w:val="42106699"/>
    <w:rsid w:val="4213466A"/>
    <w:rsid w:val="421D3532"/>
    <w:rsid w:val="422747DE"/>
    <w:rsid w:val="423D7E2C"/>
    <w:rsid w:val="42405192"/>
    <w:rsid w:val="4253494B"/>
    <w:rsid w:val="42563DD4"/>
    <w:rsid w:val="425F0874"/>
    <w:rsid w:val="42605991"/>
    <w:rsid w:val="42624CEC"/>
    <w:rsid w:val="42667AD5"/>
    <w:rsid w:val="42672F11"/>
    <w:rsid w:val="426B2083"/>
    <w:rsid w:val="42745271"/>
    <w:rsid w:val="42746AFF"/>
    <w:rsid w:val="427A2426"/>
    <w:rsid w:val="428622E0"/>
    <w:rsid w:val="428740C5"/>
    <w:rsid w:val="4295023B"/>
    <w:rsid w:val="42A72E3E"/>
    <w:rsid w:val="42A9771E"/>
    <w:rsid w:val="42AB3CF1"/>
    <w:rsid w:val="42AF06BF"/>
    <w:rsid w:val="42AF0D80"/>
    <w:rsid w:val="42AF744D"/>
    <w:rsid w:val="42B57D24"/>
    <w:rsid w:val="42B97DE2"/>
    <w:rsid w:val="42BE1411"/>
    <w:rsid w:val="42BF0482"/>
    <w:rsid w:val="42C3638C"/>
    <w:rsid w:val="42C53EF7"/>
    <w:rsid w:val="42C8399F"/>
    <w:rsid w:val="42CC1C77"/>
    <w:rsid w:val="42CE7CBC"/>
    <w:rsid w:val="42E67A2D"/>
    <w:rsid w:val="42EF6EDD"/>
    <w:rsid w:val="42F63370"/>
    <w:rsid w:val="42FF7166"/>
    <w:rsid w:val="4303189E"/>
    <w:rsid w:val="43043B4B"/>
    <w:rsid w:val="430C0701"/>
    <w:rsid w:val="431D662D"/>
    <w:rsid w:val="431D7413"/>
    <w:rsid w:val="43230977"/>
    <w:rsid w:val="43260906"/>
    <w:rsid w:val="4329778C"/>
    <w:rsid w:val="432A433E"/>
    <w:rsid w:val="432F48E4"/>
    <w:rsid w:val="433451E7"/>
    <w:rsid w:val="433454E3"/>
    <w:rsid w:val="43380FA2"/>
    <w:rsid w:val="433824BE"/>
    <w:rsid w:val="433914CB"/>
    <w:rsid w:val="433B21AA"/>
    <w:rsid w:val="434030C7"/>
    <w:rsid w:val="43413F90"/>
    <w:rsid w:val="434321EE"/>
    <w:rsid w:val="434C3803"/>
    <w:rsid w:val="4357411B"/>
    <w:rsid w:val="43624524"/>
    <w:rsid w:val="436B215F"/>
    <w:rsid w:val="436E4602"/>
    <w:rsid w:val="43773B38"/>
    <w:rsid w:val="437C303F"/>
    <w:rsid w:val="437E59F4"/>
    <w:rsid w:val="437F0235"/>
    <w:rsid w:val="438108B1"/>
    <w:rsid w:val="438127FD"/>
    <w:rsid w:val="438C318F"/>
    <w:rsid w:val="438D2962"/>
    <w:rsid w:val="439125BA"/>
    <w:rsid w:val="439B6E00"/>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10BA3"/>
    <w:rsid w:val="43D51B86"/>
    <w:rsid w:val="43D5596E"/>
    <w:rsid w:val="43D946DF"/>
    <w:rsid w:val="43DD3E84"/>
    <w:rsid w:val="43E63A35"/>
    <w:rsid w:val="43EA4AD8"/>
    <w:rsid w:val="43EA731F"/>
    <w:rsid w:val="43EF4362"/>
    <w:rsid w:val="43F5608C"/>
    <w:rsid w:val="43F67648"/>
    <w:rsid w:val="43FA20D7"/>
    <w:rsid w:val="440433D0"/>
    <w:rsid w:val="44081998"/>
    <w:rsid w:val="440A1D09"/>
    <w:rsid w:val="44105FE6"/>
    <w:rsid w:val="44163757"/>
    <w:rsid w:val="442C57B9"/>
    <w:rsid w:val="442E6250"/>
    <w:rsid w:val="44304862"/>
    <w:rsid w:val="44336B29"/>
    <w:rsid w:val="44411D78"/>
    <w:rsid w:val="444255C8"/>
    <w:rsid w:val="44555450"/>
    <w:rsid w:val="44565401"/>
    <w:rsid w:val="445C184B"/>
    <w:rsid w:val="445C1F8C"/>
    <w:rsid w:val="445C2CEB"/>
    <w:rsid w:val="44623D2C"/>
    <w:rsid w:val="4469425C"/>
    <w:rsid w:val="446A38D3"/>
    <w:rsid w:val="446C5925"/>
    <w:rsid w:val="44715BA6"/>
    <w:rsid w:val="44744DE1"/>
    <w:rsid w:val="4480267E"/>
    <w:rsid w:val="44813BCD"/>
    <w:rsid w:val="44825908"/>
    <w:rsid w:val="448F333F"/>
    <w:rsid w:val="449A5595"/>
    <w:rsid w:val="44A273D7"/>
    <w:rsid w:val="44A3165A"/>
    <w:rsid w:val="44A472F3"/>
    <w:rsid w:val="44A949BB"/>
    <w:rsid w:val="44B47D28"/>
    <w:rsid w:val="44BE6AFA"/>
    <w:rsid w:val="44BE7B38"/>
    <w:rsid w:val="44C10C52"/>
    <w:rsid w:val="44C4343F"/>
    <w:rsid w:val="44CC5637"/>
    <w:rsid w:val="44CE1860"/>
    <w:rsid w:val="44D01EAB"/>
    <w:rsid w:val="44D61276"/>
    <w:rsid w:val="44D842C0"/>
    <w:rsid w:val="44F05372"/>
    <w:rsid w:val="44F550F4"/>
    <w:rsid w:val="44FB2020"/>
    <w:rsid w:val="450005C9"/>
    <w:rsid w:val="45076069"/>
    <w:rsid w:val="450E225C"/>
    <w:rsid w:val="450E5F3E"/>
    <w:rsid w:val="45156B4C"/>
    <w:rsid w:val="451C3C3F"/>
    <w:rsid w:val="45202195"/>
    <w:rsid w:val="45206477"/>
    <w:rsid w:val="45282E33"/>
    <w:rsid w:val="45343151"/>
    <w:rsid w:val="45361C96"/>
    <w:rsid w:val="45367180"/>
    <w:rsid w:val="453936A0"/>
    <w:rsid w:val="45404081"/>
    <w:rsid w:val="454174EC"/>
    <w:rsid w:val="454B27CA"/>
    <w:rsid w:val="4555071F"/>
    <w:rsid w:val="455B027F"/>
    <w:rsid w:val="45634F36"/>
    <w:rsid w:val="45642839"/>
    <w:rsid w:val="456433C3"/>
    <w:rsid w:val="4566286A"/>
    <w:rsid w:val="456653F0"/>
    <w:rsid w:val="456745BB"/>
    <w:rsid w:val="45677DA7"/>
    <w:rsid w:val="45736E48"/>
    <w:rsid w:val="45743F66"/>
    <w:rsid w:val="45761FD8"/>
    <w:rsid w:val="457B0C49"/>
    <w:rsid w:val="45825E81"/>
    <w:rsid w:val="45864B77"/>
    <w:rsid w:val="458A06CD"/>
    <w:rsid w:val="458D3A63"/>
    <w:rsid w:val="4597177B"/>
    <w:rsid w:val="45A85821"/>
    <w:rsid w:val="45AA0EA4"/>
    <w:rsid w:val="45AC57A6"/>
    <w:rsid w:val="45AF03CF"/>
    <w:rsid w:val="45B23BD8"/>
    <w:rsid w:val="45B31674"/>
    <w:rsid w:val="45B52BBB"/>
    <w:rsid w:val="45C3178B"/>
    <w:rsid w:val="45C56C6C"/>
    <w:rsid w:val="45C67344"/>
    <w:rsid w:val="45C81474"/>
    <w:rsid w:val="45C85D55"/>
    <w:rsid w:val="45C91BC6"/>
    <w:rsid w:val="45CD1312"/>
    <w:rsid w:val="45CE3F02"/>
    <w:rsid w:val="45D15325"/>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35D1"/>
    <w:rsid w:val="464C5980"/>
    <w:rsid w:val="464C598F"/>
    <w:rsid w:val="46541012"/>
    <w:rsid w:val="46595BDC"/>
    <w:rsid w:val="465B04AA"/>
    <w:rsid w:val="466467A4"/>
    <w:rsid w:val="466B7E63"/>
    <w:rsid w:val="46726232"/>
    <w:rsid w:val="46731512"/>
    <w:rsid w:val="46795DED"/>
    <w:rsid w:val="468843FE"/>
    <w:rsid w:val="469849B7"/>
    <w:rsid w:val="46991FD8"/>
    <w:rsid w:val="469D4E61"/>
    <w:rsid w:val="46A36DFD"/>
    <w:rsid w:val="46AF4C2E"/>
    <w:rsid w:val="46BC2272"/>
    <w:rsid w:val="46C45DEE"/>
    <w:rsid w:val="46D62B88"/>
    <w:rsid w:val="46D929E4"/>
    <w:rsid w:val="46DA3CDF"/>
    <w:rsid w:val="46DD3A97"/>
    <w:rsid w:val="46E122D5"/>
    <w:rsid w:val="46E51519"/>
    <w:rsid w:val="46E72217"/>
    <w:rsid w:val="46EB56D0"/>
    <w:rsid w:val="46EF6BE5"/>
    <w:rsid w:val="46F94629"/>
    <w:rsid w:val="46FE33A2"/>
    <w:rsid w:val="47001C0D"/>
    <w:rsid w:val="4700310A"/>
    <w:rsid w:val="47034B98"/>
    <w:rsid w:val="47067487"/>
    <w:rsid w:val="470675DD"/>
    <w:rsid w:val="47102BE0"/>
    <w:rsid w:val="47115999"/>
    <w:rsid w:val="47123D8D"/>
    <w:rsid w:val="471651A2"/>
    <w:rsid w:val="47195C33"/>
    <w:rsid w:val="47200180"/>
    <w:rsid w:val="472322A2"/>
    <w:rsid w:val="472E14A0"/>
    <w:rsid w:val="472F2F47"/>
    <w:rsid w:val="47304A60"/>
    <w:rsid w:val="47321070"/>
    <w:rsid w:val="47383706"/>
    <w:rsid w:val="473F3443"/>
    <w:rsid w:val="47442FEA"/>
    <w:rsid w:val="47476898"/>
    <w:rsid w:val="474825BA"/>
    <w:rsid w:val="474D1ED5"/>
    <w:rsid w:val="47524966"/>
    <w:rsid w:val="475E1AB6"/>
    <w:rsid w:val="4764753D"/>
    <w:rsid w:val="47663624"/>
    <w:rsid w:val="4779594B"/>
    <w:rsid w:val="477E3FE9"/>
    <w:rsid w:val="47861281"/>
    <w:rsid w:val="478E58BD"/>
    <w:rsid w:val="478E7E15"/>
    <w:rsid w:val="47933AFC"/>
    <w:rsid w:val="47946581"/>
    <w:rsid w:val="47997ECC"/>
    <w:rsid w:val="479C04C3"/>
    <w:rsid w:val="47A938A8"/>
    <w:rsid w:val="47AD2393"/>
    <w:rsid w:val="47AF4DB4"/>
    <w:rsid w:val="47C05960"/>
    <w:rsid w:val="47CA211A"/>
    <w:rsid w:val="47CE6AD8"/>
    <w:rsid w:val="47D00B76"/>
    <w:rsid w:val="47D266F4"/>
    <w:rsid w:val="47EB3A88"/>
    <w:rsid w:val="47ED09EA"/>
    <w:rsid w:val="47F03825"/>
    <w:rsid w:val="47F67231"/>
    <w:rsid w:val="47F72583"/>
    <w:rsid w:val="47FE4F97"/>
    <w:rsid w:val="48043BE9"/>
    <w:rsid w:val="48050F31"/>
    <w:rsid w:val="480A49CF"/>
    <w:rsid w:val="480B064E"/>
    <w:rsid w:val="48152A57"/>
    <w:rsid w:val="481B77EC"/>
    <w:rsid w:val="481F00E4"/>
    <w:rsid w:val="48230137"/>
    <w:rsid w:val="482A5E63"/>
    <w:rsid w:val="48324267"/>
    <w:rsid w:val="48357C17"/>
    <w:rsid w:val="483602D1"/>
    <w:rsid w:val="48360F72"/>
    <w:rsid w:val="48466EDC"/>
    <w:rsid w:val="486022F2"/>
    <w:rsid w:val="486505C9"/>
    <w:rsid w:val="48717233"/>
    <w:rsid w:val="487736C7"/>
    <w:rsid w:val="48794416"/>
    <w:rsid w:val="4886149A"/>
    <w:rsid w:val="48870995"/>
    <w:rsid w:val="488933F6"/>
    <w:rsid w:val="488F18B7"/>
    <w:rsid w:val="489C5A7F"/>
    <w:rsid w:val="489C5B95"/>
    <w:rsid w:val="489F248C"/>
    <w:rsid w:val="48A47128"/>
    <w:rsid w:val="48A53F58"/>
    <w:rsid w:val="48AA10E1"/>
    <w:rsid w:val="48AF1323"/>
    <w:rsid w:val="48B010C7"/>
    <w:rsid w:val="48B2080D"/>
    <w:rsid w:val="48B5518F"/>
    <w:rsid w:val="48BA7016"/>
    <w:rsid w:val="48BE6136"/>
    <w:rsid w:val="48C17060"/>
    <w:rsid w:val="48D22DB3"/>
    <w:rsid w:val="48D93445"/>
    <w:rsid w:val="48D9627C"/>
    <w:rsid w:val="48DA1D9C"/>
    <w:rsid w:val="48DC218D"/>
    <w:rsid w:val="48DF3D7D"/>
    <w:rsid w:val="48DF3DBB"/>
    <w:rsid w:val="48E4725A"/>
    <w:rsid w:val="48E90615"/>
    <w:rsid w:val="48E915DE"/>
    <w:rsid w:val="48EB611E"/>
    <w:rsid w:val="48F7177C"/>
    <w:rsid w:val="48F9720D"/>
    <w:rsid w:val="490008E6"/>
    <w:rsid w:val="490425AB"/>
    <w:rsid w:val="49047124"/>
    <w:rsid w:val="49076238"/>
    <w:rsid w:val="49104838"/>
    <w:rsid w:val="49200C47"/>
    <w:rsid w:val="49250443"/>
    <w:rsid w:val="49267368"/>
    <w:rsid w:val="49276313"/>
    <w:rsid w:val="492F1B04"/>
    <w:rsid w:val="492F25A6"/>
    <w:rsid w:val="4930158D"/>
    <w:rsid w:val="493166F2"/>
    <w:rsid w:val="493E2578"/>
    <w:rsid w:val="4941564C"/>
    <w:rsid w:val="4943084D"/>
    <w:rsid w:val="495B2F5A"/>
    <w:rsid w:val="49660B64"/>
    <w:rsid w:val="496E056A"/>
    <w:rsid w:val="497930F9"/>
    <w:rsid w:val="497E5F0E"/>
    <w:rsid w:val="49863345"/>
    <w:rsid w:val="49895BF9"/>
    <w:rsid w:val="49896889"/>
    <w:rsid w:val="498B006E"/>
    <w:rsid w:val="498F2FB2"/>
    <w:rsid w:val="499C126E"/>
    <w:rsid w:val="49A20032"/>
    <w:rsid w:val="49A82756"/>
    <w:rsid w:val="49A86BF4"/>
    <w:rsid w:val="49A902DE"/>
    <w:rsid w:val="49A961CD"/>
    <w:rsid w:val="49B31A93"/>
    <w:rsid w:val="49B337E8"/>
    <w:rsid w:val="49B57903"/>
    <w:rsid w:val="49BB0B72"/>
    <w:rsid w:val="49BD536F"/>
    <w:rsid w:val="49CD3C98"/>
    <w:rsid w:val="49D903D2"/>
    <w:rsid w:val="49E27CCF"/>
    <w:rsid w:val="49F44446"/>
    <w:rsid w:val="49F543E3"/>
    <w:rsid w:val="49FA00AE"/>
    <w:rsid w:val="4A03365C"/>
    <w:rsid w:val="4A037F7B"/>
    <w:rsid w:val="4A0C3345"/>
    <w:rsid w:val="4A12511A"/>
    <w:rsid w:val="4A1C6B3C"/>
    <w:rsid w:val="4A272B59"/>
    <w:rsid w:val="4A2A339F"/>
    <w:rsid w:val="4A2A4742"/>
    <w:rsid w:val="4A3849A0"/>
    <w:rsid w:val="4A3B0ADD"/>
    <w:rsid w:val="4A3D1213"/>
    <w:rsid w:val="4A405618"/>
    <w:rsid w:val="4A42752E"/>
    <w:rsid w:val="4A463FDD"/>
    <w:rsid w:val="4A4D2C8C"/>
    <w:rsid w:val="4A4D6FE1"/>
    <w:rsid w:val="4A4F464E"/>
    <w:rsid w:val="4A500FF5"/>
    <w:rsid w:val="4A51053D"/>
    <w:rsid w:val="4A541B9F"/>
    <w:rsid w:val="4A565C2E"/>
    <w:rsid w:val="4A5B2412"/>
    <w:rsid w:val="4A603371"/>
    <w:rsid w:val="4A665A8F"/>
    <w:rsid w:val="4A6B6C00"/>
    <w:rsid w:val="4A7A1A7F"/>
    <w:rsid w:val="4A7B1C95"/>
    <w:rsid w:val="4A7C6D92"/>
    <w:rsid w:val="4A80680F"/>
    <w:rsid w:val="4A8141FB"/>
    <w:rsid w:val="4A8758F1"/>
    <w:rsid w:val="4A8B2BFF"/>
    <w:rsid w:val="4A8B46F9"/>
    <w:rsid w:val="4A8C3D45"/>
    <w:rsid w:val="4A923316"/>
    <w:rsid w:val="4A996D58"/>
    <w:rsid w:val="4A9D364F"/>
    <w:rsid w:val="4AA637CE"/>
    <w:rsid w:val="4AAA2363"/>
    <w:rsid w:val="4AAC0232"/>
    <w:rsid w:val="4AB420A2"/>
    <w:rsid w:val="4AB42562"/>
    <w:rsid w:val="4AB971E8"/>
    <w:rsid w:val="4ABC4127"/>
    <w:rsid w:val="4ABE3518"/>
    <w:rsid w:val="4AC14B57"/>
    <w:rsid w:val="4AC462B3"/>
    <w:rsid w:val="4AC908CA"/>
    <w:rsid w:val="4AC95E08"/>
    <w:rsid w:val="4ACC60F1"/>
    <w:rsid w:val="4ACE3D63"/>
    <w:rsid w:val="4AD13FBF"/>
    <w:rsid w:val="4AD37FB6"/>
    <w:rsid w:val="4AED546D"/>
    <w:rsid w:val="4AF15169"/>
    <w:rsid w:val="4AF33411"/>
    <w:rsid w:val="4AFC4739"/>
    <w:rsid w:val="4AFF7966"/>
    <w:rsid w:val="4B08211A"/>
    <w:rsid w:val="4B0F4D9F"/>
    <w:rsid w:val="4B0F7B33"/>
    <w:rsid w:val="4B154062"/>
    <w:rsid w:val="4B1C2009"/>
    <w:rsid w:val="4B2B654D"/>
    <w:rsid w:val="4B2D2A9B"/>
    <w:rsid w:val="4B313BE7"/>
    <w:rsid w:val="4B331125"/>
    <w:rsid w:val="4B3405F9"/>
    <w:rsid w:val="4B3B6A66"/>
    <w:rsid w:val="4B3F276A"/>
    <w:rsid w:val="4B425A4D"/>
    <w:rsid w:val="4B473804"/>
    <w:rsid w:val="4B5151AA"/>
    <w:rsid w:val="4B537CBF"/>
    <w:rsid w:val="4B545E28"/>
    <w:rsid w:val="4B550153"/>
    <w:rsid w:val="4B625E90"/>
    <w:rsid w:val="4B641191"/>
    <w:rsid w:val="4B694B3A"/>
    <w:rsid w:val="4B730932"/>
    <w:rsid w:val="4B76529F"/>
    <w:rsid w:val="4B797876"/>
    <w:rsid w:val="4B7A237E"/>
    <w:rsid w:val="4B815FB3"/>
    <w:rsid w:val="4B86443F"/>
    <w:rsid w:val="4B9A0C4D"/>
    <w:rsid w:val="4B9B3B70"/>
    <w:rsid w:val="4B9E74F5"/>
    <w:rsid w:val="4B9E7936"/>
    <w:rsid w:val="4BA62ACE"/>
    <w:rsid w:val="4BAC176A"/>
    <w:rsid w:val="4BAF7A14"/>
    <w:rsid w:val="4BB7667A"/>
    <w:rsid w:val="4BBA25CD"/>
    <w:rsid w:val="4BBB242F"/>
    <w:rsid w:val="4BBB66CC"/>
    <w:rsid w:val="4BC15B7C"/>
    <w:rsid w:val="4BC22308"/>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22608"/>
    <w:rsid w:val="4C3238CA"/>
    <w:rsid w:val="4C343A7F"/>
    <w:rsid w:val="4C3449FC"/>
    <w:rsid w:val="4C380D78"/>
    <w:rsid w:val="4C3D0756"/>
    <w:rsid w:val="4C3D5FB7"/>
    <w:rsid w:val="4C463137"/>
    <w:rsid w:val="4C4C1686"/>
    <w:rsid w:val="4C513E4B"/>
    <w:rsid w:val="4C542E8F"/>
    <w:rsid w:val="4C603F1D"/>
    <w:rsid w:val="4C6211EA"/>
    <w:rsid w:val="4C635D18"/>
    <w:rsid w:val="4C670EB1"/>
    <w:rsid w:val="4C712086"/>
    <w:rsid w:val="4C7120EC"/>
    <w:rsid w:val="4C7B3D80"/>
    <w:rsid w:val="4C7C605E"/>
    <w:rsid w:val="4C7E2355"/>
    <w:rsid w:val="4C847264"/>
    <w:rsid w:val="4C922A6A"/>
    <w:rsid w:val="4C970E7B"/>
    <w:rsid w:val="4CA371A5"/>
    <w:rsid w:val="4CC1054F"/>
    <w:rsid w:val="4CCB1948"/>
    <w:rsid w:val="4CCE079D"/>
    <w:rsid w:val="4CCE3699"/>
    <w:rsid w:val="4CEA4F4D"/>
    <w:rsid w:val="4CEC58DB"/>
    <w:rsid w:val="4CED4981"/>
    <w:rsid w:val="4CEF637A"/>
    <w:rsid w:val="4CF00FB6"/>
    <w:rsid w:val="4CF16277"/>
    <w:rsid w:val="4CF4672D"/>
    <w:rsid w:val="4CFA2AAF"/>
    <w:rsid w:val="4CFE26B6"/>
    <w:rsid w:val="4D0325CF"/>
    <w:rsid w:val="4D035A68"/>
    <w:rsid w:val="4D0F26CE"/>
    <w:rsid w:val="4D147026"/>
    <w:rsid w:val="4D1478EC"/>
    <w:rsid w:val="4D165C91"/>
    <w:rsid w:val="4D225412"/>
    <w:rsid w:val="4D235945"/>
    <w:rsid w:val="4D255F0E"/>
    <w:rsid w:val="4D2B263E"/>
    <w:rsid w:val="4D2D15D1"/>
    <w:rsid w:val="4D2F06BA"/>
    <w:rsid w:val="4D304130"/>
    <w:rsid w:val="4D386B0D"/>
    <w:rsid w:val="4D3B3869"/>
    <w:rsid w:val="4D4330D3"/>
    <w:rsid w:val="4D4B7DCE"/>
    <w:rsid w:val="4D545407"/>
    <w:rsid w:val="4D694F30"/>
    <w:rsid w:val="4D6B703C"/>
    <w:rsid w:val="4D717BA1"/>
    <w:rsid w:val="4D7F56C3"/>
    <w:rsid w:val="4D855FB9"/>
    <w:rsid w:val="4D8A0B26"/>
    <w:rsid w:val="4D904FEE"/>
    <w:rsid w:val="4D910D8A"/>
    <w:rsid w:val="4D935425"/>
    <w:rsid w:val="4D953CDB"/>
    <w:rsid w:val="4D97309D"/>
    <w:rsid w:val="4D9B559E"/>
    <w:rsid w:val="4D9E090F"/>
    <w:rsid w:val="4DAC6E91"/>
    <w:rsid w:val="4DAE3711"/>
    <w:rsid w:val="4DB63BC4"/>
    <w:rsid w:val="4DB7591C"/>
    <w:rsid w:val="4DBB2984"/>
    <w:rsid w:val="4DCC46DA"/>
    <w:rsid w:val="4DDD5EB7"/>
    <w:rsid w:val="4DDE45A5"/>
    <w:rsid w:val="4DE265E9"/>
    <w:rsid w:val="4DE5023D"/>
    <w:rsid w:val="4DEB419D"/>
    <w:rsid w:val="4DF267CF"/>
    <w:rsid w:val="4DF6484E"/>
    <w:rsid w:val="4E043A0E"/>
    <w:rsid w:val="4E0B5D31"/>
    <w:rsid w:val="4E125681"/>
    <w:rsid w:val="4E1339D8"/>
    <w:rsid w:val="4E145C86"/>
    <w:rsid w:val="4E187CF8"/>
    <w:rsid w:val="4E1A5C2E"/>
    <w:rsid w:val="4E1D303B"/>
    <w:rsid w:val="4E2B3781"/>
    <w:rsid w:val="4E2B74D5"/>
    <w:rsid w:val="4E304710"/>
    <w:rsid w:val="4E337E4B"/>
    <w:rsid w:val="4E365771"/>
    <w:rsid w:val="4E3C3064"/>
    <w:rsid w:val="4E3C5DC0"/>
    <w:rsid w:val="4E446F8B"/>
    <w:rsid w:val="4E4D4DE2"/>
    <w:rsid w:val="4E5669BF"/>
    <w:rsid w:val="4E651EA6"/>
    <w:rsid w:val="4E6757B0"/>
    <w:rsid w:val="4E6C4048"/>
    <w:rsid w:val="4E783D17"/>
    <w:rsid w:val="4E7F2A80"/>
    <w:rsid w:val="4E805C19"/>
    <w:rsid w:val="4E836C4E"/>
    <w:rsid w:val="4E865BCD"/>
    <w:rsid w:val="4E8A6771"/>
    <w:rsid w:val="4E957162"/>
    <w:rsid w:val="4E9E60B6"/>
    <w:rsid w:val="4EA27ACB"/>
    <w:rsid w:val="4EA449D7"/>
    <w:rsid w:val="4EA60E85"/>
    <w:rsid w:val="4EA753EE"/>
    <w:rsid w:val="4EAE3E03"/>
    <w:rsid w:val="4EB379F2"/>
    <w:rsid w:val="4EB838E0"/>
    <w:rsid w:val="4EBC3167"/>
    <w:rsid w:val="4EBC6632"/>
    <w:rsid w:val="4EBD4562"/>
    <w:rsid w:val="4EBD5620"/>
    <w:rsid w:val="4EBE0F4C"/>
    <w:rsid w:val="4EC258F4"/>
    <w:rsid w:val="4EC866B8"/>
    <w:rsid w:val="4ECD0F14"/>
    <w:rsid w:val="4ED017E4"/>
    <w:rsid w:val="4ED03B4F"/>
    <w:rsid w:val="4ED43AE8"/>
    <w:rsid w:val="4EDC1716"/>
    <w:rsid w:val="4EDF6F4B"/>
    <w:rsid w:val="4EE24F10"/>
    <w:rsid w:val="4EE77077"/>
    <w:rsid w:val="4EE8461F"/>
    <w:rsid w:val="4F0206C2"/>
    <w:rsid w:val="4F06414B"/>
    <w:rsid w:val="4F19542F"/>
    <w:rsid w:val="4F1A4FD6"/>
    <w:rsid w:val="4F1C2B4C"/>
    <w:rsid w:val="4F1E1A5A"/>
    <w:rsid w:val="4F2D5479"/>
    <w:rsid w:val="4F2E4FDB"/>
    <w:rsid w:val="4F3127D8"/>
    <w:rsid w:val="4F353521"/>
    <w:rsid w:val="4F3B798B"/>
    <w:rsid w:val="4F424396"/>
    <w:rsid w:val="4F461737"/>
    <w:rsid w:val="4F4937A7"/>
    <w:rsid w:val="4F4A044C"/>
    <w:rsid w:val="4F501AA5"/>
    <w:rsid w:val="4F507138"/>
    <w:rsid w:val="4F5431F2"/>
    <w:rsid w:val="4F594949"/>
    <w:rsid w:val="4F5A315B"/>
    <w:rsid w:val="4F664358"/>
    <w:rsid w:val="4F664D4A"/>
    <w:rsid w:val="4F701C5E"/>
    <w:rsid w:val="4F7041A7"/>
    <w:rsid w:val="4F7349ED"/>
    <w:rsid w:val="4F7C7D62"/>
    <w:rsid w:val="4F8366CD"/>
    <w:rsid w:val="4F88390E"/>
    <w:rsid w:val="4F8865D2"/>
    <w:rsid w:val="4F9102E3"/>
    <w:rsid w:val="4F9A400D"/>
    <w:rsid w:val="4FA11827"/>
    <w:rsid w:val="4FA43120"/>
    <w:rsid w:val="4FA57761"/>
    <w:rsid w:val="4FA82F77"/>
    <w:rsid w:val="4FAB07C1"/>
    <w:rsid w:val="4FC12B67"/>
    <w:rsid w:val="4FC87D84"/>
    <w:rsid w:val="4FD33643"/>
    <w:rsid w:val="4FD409F7"/>
    <w:rsid w:val="4FD41054"/>
    <w:rsid w:val="4FD66F8D"/>
    <w:rsid w:val="4FDB5605"/>
    <w:rsid w:val="4FDF7D08"/>
    <w:rsid w:val="4FE45662"/>
    <w:rsid w:val="4FE66728"/>
    <w:rsid w:val="4FE74DC2"/>
    <w:rsid w:val="4FF81090"/>
    <w:rsid w:val="4FFA1BE3"/>
    <w:rsid w:val="4FFF560B"/>
    <w:rsid w:val="50001B8C"/>
    <w:rsid w:val="50033BDE"/>
    <w:rsid w:val="50036BC4"/>
    <w:rsid w:val="500B0DCA"/>
    <w:rsid w:val="500C2A95"/>
    <w:rsid w:val="50133F8A"/>
    <w:rsid w:val="50140C07"/>
    <w:rsid w:val="50176E6F"/>
    <w:rsid w:val="50200664"/>
    <w:rsid w:val="502151EE"/>
    <w:rsid w:val="5022333C"/>
    <w:rsid w:val="50312196"/>
    <w:rsid w:val="503C506C"/>
    <w:rsid w:val="50417E32"/>
    <w:rsid w:val="5042052F"/>
    <w:rsid w:val="504768E3"/>
    <w:rsid w:val="504F0FB9"/>
    <w:rsid w:val="504F769B"/>
    <w:rsid w:val="50537FDD"/>
    <w:rsid w:val="50622728"/>
    <w:rsid w:val="507554C6"/>
    <w:rsid w:val="507D0063"/>
    <w:rsid w:val="50803340"/>
    <w:rsid w:val="50871317"/>
    <w:rsid w:val="508F1D63"/>
    <w:rsid w:val="508F6AC4"/>
    <w:rsid w:val="509631CF"/>
    <w:rsid w:val="509A55F2"/>
    <w:rsid w:val="509B6BFA"/>
    <w:rsid w:val="50A36924"/>
    <w:rsid w:val="50A732FC"/>
    <w:rsid w:val="50AA341E"/>
    <w:rsid w:val="50AB4E2F"/>
    <w:rsid w:val="50AC2418"/>
    <w:rsid w:val="50B421A0"/>
    <w:rsid w:val="50B70FED"/>
    <w:rsid w:val="50BA643F"/>
    <w:rsid w:val="50BC2897"/>
    <w:rsid w:val="50D2215B"/>
    <w:rsid w:val="50DA2205"/>
    <w:rsid w:val="50E534FD"/>
    <w:rsid w:val="50E57F59"/>
    <w:rsid w:val="50EA61D3"/>
    <w:rsid w:val="50FC41E2"/>
    <w:rsid w:val="510319B4"/>
    <w:rsid w:val="5109098F"/>
    <w:rsid w:val="510A4E7D"/>
    <w:rsid w:val="51187091"/>
    <w:rsid w:val="51190722"/>
    <w:rsid w:val="511E5EB5"/>
    <w:rsid w:val="51205217"/>
    <w:rsid w:val="51217565"/>
    <w:rsid w:val="512D5787"/>
    <w:rsid w:val="51371434"/>
    <w:rsid w:val="51382F84"/>
    <w:rsid w:val="513B4CBD"/>
    <w:rsid w:val="513F2A79"/>
    <w:rsid w:val="514E5DF0"/>
    <w:rsid w:val="51505C49"/>
    <w:rsid w:val="515F5290"/>
    <w:rsid w:val="515F5E7D"/>
    <w:rsid w:val="51621B03"/>
    <w:rsid w:val="51677ABF"/>
    <w:rsid w:val="51736010"/>
    <w:rsid w:val="517F4109"/>
    <w:rsid w:val="518140E8"/>
    <w:rsid w:val="518961AE"/>
    <w:rsid w:val="518B0D8B"/>
    <w:rsid w:val="51905BB3"/>
    <w:rsid w:val="519D2A82"/>
    <w:rsid w:val="519E4C2D"/>
    <w:rsid w:val="51A15787"/>
    <w:rsid w:val="51A23180"/>
    <w:rsid w:val="51A44533"/>
    <w:rsid w:val="51B12C2B"/>
    <w:rsid w:val="51B625E5"/>
    <w:rsid w:val="51BB3190"/>
    <w:rsid w:val="51C31AB3"/>
    <w:rsid w:val="51C50057"/>
    <w:rsid w:val="51C83A24"/>
    <w:rsid w:val="51CA6470"/>
    <w:rsid w:val="51CC0195"/>
    <w:rsid w:val="51CF3752"/>
    <w:rsid w:val="51D221A2"/>
    <w:rsid w:val="51DB590D"/>
    <w:rsid w:val="51DC7D4F"/>
    <w:rsid w:val="51E372D3"/>
    <w:rsid w:val="51E952C3"/>
    <w:rsid w:val="51F763C2"/>
    <w:rsid w:val="52082F0E"/>
    <w:rsid w:val="520A4FD4"/>
    <w:rsid w:val="520A6A40"/>
    <w:rsid w:val="520B29B2"/>
    <w:rsid w:val="52165ED6"/>
    <w:rsid w:val="52170D68"/>
    <w:rsid w:val="521752D9"/>
    <w:rsid w:val="521832FA"/>
    <w:rsid w:val="521B5CF1"/>
    <w:rsid w:val="521E330E"/>
    <w:rsid w:val="52210969"/>
    <w:rsid w:val="5224158C"/>
    <w:rsid w:val="52250331"/>
    <w:rsid w:val="52251937"/>
    <w:rsid w:val="52291DE3"/>
    <w:rsid w:val="522D32DC"/>
    <w:rsid w:val="522E032A"/>
    <w:rsid w:val="522E48FA"/>
    <w:rsid w:val="52436B21"/>
    <w:rsid w:val="52476CBE"/>
    <w:rsid w:val="52486521"/>
    <w:rsid w:val="52541687"/>
    <w:rsid w:val="525808AD"/>
    <w:rsid w:val="52606B21"/>
    <w:rsid w:val="526142ED"/>
    <w:rsid w:val="5261554B"/>
    <w:rsid w:val="52675267"/>
    <w:rsid w:val="526A42D2"/>
    <w:rsid w:val="527456A0"/>
    <w:rsid w:val="52775B19"/>
    <w:rsid w:val="527820D3"/>
    <w:rsid w:val="527925C0"/>
    <w:rsid w:val="5286536B"/>
    <w:rsid w:val="528D1636"/>
    <w:rsid w:val="528F6528"/>
    <w:rsid w:val="52927920"/>
    <w:rsid w:val="5294173C"/>
    <w:rsid w:val="52A573D4"/>
    <w:rsid w:val="52AE3C1C"/>
    <w:rsid w:val="52B15A0B"/>
    <w:rsid w:val="52B277B6"/>
    <w:rsid w:val="52B539F6"/>
    <w:rsid w:val="52B87EDF"/>
    <w:rsid w:val="52C2471F"/>
    <w:rsid w:val="52C2744F"/>
    <w:rsid w:val="52CF2A7E"/>
    <w:rsid w:val="52D52D8A"/>
    <w:rsid w:val="52D70C29"/>
    <w:rsid w:val="52E07E6E"/>
    <w:rsid w:val="52E2403D"/>
    <w:rsid w:val="52E87FC9"/>
    <w:rsid w:val="52EA3010"/>
    <w:rsid w:val="52EE6354"/>
    <w:rsid w:val="52EF275D"/>
    <w:rsid w:val="52F87188"/>
    <w:rsid w:val="53035F10"/>
    <w:rsid w:val="530445BC"/>
    <w:rsid w:val="530646FD"/>
    <w:rsid w:val="53073E74"/>
    <w:rsid w:val="53130812"/>
    <w:rsid w:val="53176C42"/>
    <w:rsid w:val="53184746"/>
    <w:rsid w:val="531972CB"/>
    <w:rsid w:val="53227F73"/>
    <w:rsid w:val="532342A1"/>
    <w:rsid w:val="532E4AC7"/>
    <w:rsid w:val="533E55DF"/>
    <w:rsid w:val="5360600D"/>
    <w:rsid w:val="53703765"/>
    <w:rsid w:val="537149ED"/>
    <w:rsid w:val="5376095E"/>
    <w:rsid w:val="537A04E8"/>
    <w:rsid w:val="537D7719"/>
    <w:rsid w:val="53874180"/>
    <w:rsid w:val="53910730"/>
    <w:rsid w:val="53991F46"/>
    <w:rsid w:val="539D00C0"/>
    <w:rsid w:val="53A34926"/>
    <w:rsid w:val="53A430C7"/>
    <w:rsid w:val="53B10861"/>
    <w:rsid w:val="53B71A0D"/>
    <w:rsid w:val="53BA49C0"/>
    <w:rsid w:val="53BF11FF"/>
    <w:rsid w:val="53C2398F"/>
    <w:rsid w:val="53C92C10"/>
    <w:rsid w:val="53CF606A"/>
    <w:rsid w:val="53D111B0"/>
    <w:rsid w:val="53D73576"/>
    <w:rsid w:val="53E22364"/>
    <w:rsid w:val="53E35749"/>
    <w:rsid w:val="53EB4289"/>
    <w:rsid w:val="53EE07E8"/>
    <w:rsid w:val="53F67F24"/>
    <w:rsid w:val="53FE5A9E"/>
    <w:rsid w:val="540B221A"/>
    <w:rsid w:val="54193A5D"/>
    <w:rsid w:val="541C5A78"/>
    <w:rsid w:val="54210A3D"/>
    <w:rsid w:val="54257FE2"/>
    <w:rsid w:val="5428581F"/>
    <w:rsid w:val="542A7306"/>
    <w:rsid w:val="542B47E5"/>
    <w:rsid w:val="54312A0A"/>
    <w:rsid w:val="54451C08"/>
    <w:rsid w:val="54456D76"/>
    <w:rsid w:val="5450152B"/>
    <w:rsid w:val="545412A1"/>
    <w:rsid w:val="54591BCD"/>
    <w:rsid w:val="545A1A3D"/>
    <w:rsid w:val="546936FE"/>
    <w:rsid w:val="546A602B"/>
    <w:rsid w:val="547034CA"/>
    <w:rsid w:val="54724933"/>
    <w:rsid w:val="547801F9"/>
    <w:rsid w:val="54877824"/>
    <w:rsid w:val="54967702"/>
    <w:rsid w:val="549B60CA"/>
    <w:rsid w:val="54A746D1"/>
    <w:rsid w:val="54B14984"/>
    <w:rsid w:val="54B34E33"/>
    <w:rsid w:val="54BC09E2"/>
    <w:rsid w:val="54C257FC"/>
    <w:rsid w:val="54C51C65"/>
    <w:rsid w:val="54C649FB"/>
    <w:rsid w:val="54C766D3"/>
    <w:rsid w:val="54DB3842"/>
    <w:rsid w:val="54DB74B3"/>
    <w:rsid w:val="54DF4A41"/>
    <w:rsid w:val="54E32310"/>
    <w:rsid w:val="54E35B83"/>
    <w:rsid w:val="54E5570D"/>
    <w:rsid w:val="54E656A9"/>
    <w:rsid w:val="54E85406"/>
    <w:rsid w:val="54EE0227"/>
    <w:rsid w:val="54EE4DEC"/>
    <w:rsid w:val="54F1490A"/>
    <w:rsid w:val="54F93AE7"/>
    <w:rsid w:val="54F97DEB"/>
    <w:rsid w:val="5500459A"/>
    <w:rsid w:val="55012EF3"/>
    <w:rsid w:val="55022588"/>
    <w:rsid w:val="5507319C"/>
    <w:rsid w:val="550D4E7F"/>
    <w:rsid w:val="55147F46"/>
    <w:rsid w:val="55197706"/>
    <w:rsid w:val="551B3ADB"/>
    <w:rsid w:val="551F7D03"/>
    <w:rsid w:val="55252910"/>
    <w:rsid w:val="552677BE"/>
    <w:rsid w:val="552E2F45"/>
    <w:rsid w:val="55313992"/>
    <w:rsid w:val="553772EA"/>
    <w:rsid w:val="553A6D2E"/>
    <w:rsid w:val="5546635B"/>
    <w:rsid w:val="55507B46"/>
    <w:rsid w:val="55534568"/>
    <w:rsid w:val="555A0EDC"/>
    <w:rsid w:val="55677E49"/>
    <w:rsid w:val="55692EAC"/>
    <w:rsid w:val="55714147"/>
    <w:rsid w:val="55744904"/>
    <w:rsid w:val="557C295E"/>
    <w:rsid w:val="557C5B0B"/>
    <w:rsid w:val="55806AF4"/>
    <w:rsid w:val="55812735"/>
    <w:rsid w:val="55861EC8"/>
    <w:rsid w:val="5588140B"/>
    <w:rsid w:val="55891D85"/>
    <w:rsid w:val="5592013C"/>
    <w:rsid w:val="55A445F2"/>
    <w:rsid w:val="55A57957"/>
    <w:rsid w:val="55AA469C"/>
    <w:rsid w:val="55BC12E8"/>
    <w:rsid w:val="55BD3120"/>
    <w:rsid w:val="55BF56EA"/>
    <w:rsid w:val="55C103AC"/>
    <w:rsid w:val="55C423B5"/>
    <w:rsid w:val="55C6074D"/>
    <w:rsid w:val="55C86079"/>
    <w:rsid w:val="55CA75BB"/>
    <w:rsid w:val="55CC5297"/>
    <w:rsid w:val="55D31938"/>
    <w:rsid w:val="55DA77E0"/>
    <w:rsid w:val="55EE6E58"/>
    <w:rsid w:val="55F2238E"/>
    <w:rsid w:val="55F24132"/>
    <w:rsid w:val="55FB05FF"/>
    <w:rsid w:val="55FC794D"/>
    <w:rsid w:val="56012A7B"/>
    <w:rsid w:val="56150744"/>
    <w:rsid w:val="56172C84"/>
    <w:rsid w:val="56206259"/>
    <w:rsid w:val="562219AC"/>
    <w:rsid w:val="56230DC5"/>
    <w:rsid w:val="562B59B0"/>
    <w:rsid w:val="562B64D0"/>
    <w:rsid w:val="56351882"/>
    <w:rsid w:val="56387876"/>
    <w:rsid w:val="56391384"/>
    <w:rsid w:val="563F06E3"/>
    <w:rsid w:val="564C27AB"/>
    <w:rsid w:val="565078DE"/>
    <w:rsid w:val="565222DD"/>
    <w:rsid w:val="565907FF"/>
    <w:rsid w:val="565D6940"/>
    <w:rsid w:val="566101A8"/>
    <w:rsid w:val="56666AC5"/>
    <w:rsid w:val="56701442"/>
    <w:rsid w:val="56793306"/>
    <w:rsid w:val="56797C74"/>
    <w:rsid w:val="568116C5"/>
    <w:rsid w:val="568630E0"/>
    <w:rsid w:val="568F0B4D"/>
    <w:rsid w:val="5691640E"/>
    <w:rsid w:val="56927F4A"/>
    <w:rsid w:val="569C03A7"/>
    <w:rsid w:val="569E53D6"/>
    <w:rsid w:val="56A304C3"/>
    <w:rsid w:val="56AD16B1"/>
    <w:rsid w:val="56B44FF7"/>
    <w:rsid w:val="56B76AF7"/>
    <w:rsid w:val="56BA0EDB"/>
    <w:rsid w:val="56BA5BFC"/>
    <w:rsid w:val="56C6377A"/>
    <w:rsid w:val="56D60D34"/>
    <w:rsid w:val="56D76BB3"/>
    <w:rsid w:val="56DA1A1C"/>
    <w:rsid w:val="56E90EF6"/>
    <w:rsid w:val="56F50794"/>
    <w:rsid w:val="56F82259"/>
    <w:rsid w:val="56FC12BF"/>
    <w:rsid w:val="56FE5AE3"/>
    <w:rsid w:val="570255BE"/>
    <w:rsid w:val="570426CC"/>
    <w:rsid w:val="57100D05"/>
    <w:rsid w:val="57100E69"/>
    <w:rsid w:val="57103E85"/>
    <w:rsid w:val="57167A78"/>
    <w:rsid w:val="571E4103"/>
    <w:rsid w:val="5724356E"/>
    <w:rsid w:val="573B1E04"/>
    <w:rsid w:val="573B396A"/>
    <w:rsid w:val="576019A8"/>
    <w:rsid w:val="576E1A2E"/>
    <w:rsid w:val="576F00D0"/>
    <w:rsid w:val="57780B15"/>
    <w:rsid w:val="577C7921"/>
    <w:rsid w:val="577D6052"/>
    <w:rsid w:val="578130EB"/>
    <w:rsid w:val="5781472D"/>
    <w:rsid w:val="57842581"/>
    <w:rsid w:val="57860B1C"/>
    <w:rsid w:val="578F1CC6"/>
    <w:rsid w:val="579016BB"/>
    <w:rsid w:val="579131AA"/>
    <w:rsid w:val="57961B8E"/>
    <w:rsid w:val="579A34FF"/>
    <w:rsid w:val="57A05D52"/>
    <w:rsid w:val="57A65B21"/>
    <w:rsid w:val="57A93B1C"/>
    <w:rsid w:val="57AC3C72"/>
    <w:rsid w:val="57AC71EF"/>
    <w:rsid w:val="57B30CCB"/>
    <w:rsid w:val="57B82FE8"/>
    <w:rsid w:val="57BA183B"/>
    <w:rsid w:val="57BC21E8"/>
    <w:rsid w:val="57C563BF"/>
    <w:rsid w:val="57C64CE3"/>
    <w:rsid w:val="57CF1AC2"/>
    <w:rsid w:val="57CF411E"/>
    <w:rsid w:val="57CF6469"/>
    <w:rsid w:val="57D20F94"/>
    <w:rsid w:val="57E359C9"/>
    <w:rsid w:val="57E62EFD"/>
    <w:rsid w:val="57E8494C"/>
    <w:rsid w:val="57EA66DC"/>
    <w:rsid w:val="57F75230"/>
    <w:rsid w:val="57FA5E75"/>
    <w:rsid w:val="58000E35"/>
    <w:rsid w:val="58186CE6"/>
    <w:rsid w:val="58222E9F"/>
    <w:rsid w:val="58251D17"/>
    <w:rsid w:val="582D3231"/>
    <w:rsid w:val="58316A55"/>
    <w:rsid w:val="58327850"/>
    <w:rsid w:val="583F3207"/>
    <w:rsid w:val="58452DB9"/>
    <w:rsid w:val="5846017C"/>
    <w:rsid w:val="58484E27"/>
    <w:rsid w:val="58514B7B"/>
    <w:rsid w:val="58525C17"/>
    <w:rsid w:val="58592455"/>
    <w:rsid w:val="586815ED"/>
    <w:rsid w:val="586B3009"/>
    <w:rsid w:val="58775EED"/>
    <w:rsid w:val="58790B5B"/>
    <w:rsid w:val="5887617F"/>
    <w:rsid w:val="588D7FDD"/>
    <w:rsid w:val="58924ECC"/>
    <w:rsid w:val="589511CE"/>
    <w:rsid w:val="5895256C"/>
    <w:rsid w:val="58965AA7"/>
    <w:rsid w:val="5899451C"/>
    <w:rsid w:val="589C6409"/>
    <w:rsid w:val="589D4D39"/>
    <w:rsid w:val="58A34E0C"/>
    <w:rsid w:val="58AE31F5"/>
    <w:rsid w:val="58B354B8"/>
    <w:rsid w:val="58B545E6"/>
    <w:rsid w:val="58B60FB7"/>
    <w:rsid w:val="58BB01CF"/>
    <w:rsid w:val="58BD1D42"/>
    <w:rsid w:val="58C04526"/>
    <w:rsid w:val="58C15643"/>
    <w:rsid w:val="58C25B98"/>
    <w:rsid w:val="58C925C7"/>
    <w:rsid w:val="58D215DA"/>
    <w:rsid w:val="58DE296B"/>
    <w:rsid w:val="58E05B85"/>
    <w:rsid w:val="58F141D6"/>
    <w:rsid w:val="58F9654F"/>
    <w:rsid w:val="58F979E8"/>
    <w:rsid w:val="58FB6C25"/>
    <w:rsid w:val="58FE08ED"/>
    <w:rsid w:val="59061DAE"/>
    <w:rsid w:val="590C2CEF"/>
    <w:rsid w:val="590E4EED"/>
    <w:rsid w:val="5914669F"/>
    <w:rsid w:val="591557DB"/>
    <w:rsid w:val="591A5C30"/>
    <w:rsid w:val="591C4B79"/>
    <w:rsid w:val="591F2957"/>
    <w:rsid w:val="59262A74"/>
    <w:rsid w:val="592F1CE2"/>
    <w:rsid w:val="59371CA9"/>
    <w:rsid w:val="593C5853"/>
    <w:rsid w:val="593E005D"/>
    <w:rsid w:val="5940158A"/>
    <w:rsid w:val="59454372"/>
    <w:rsid w:val="594606CC"/>
    <w:rsid w:val="594B6D49"/>
    <w:rsid w:val="595258C3"/>
    <w:rsid w:val="596460E9"/>
    <w:rsid w:val="59697600"/>
    <w:rsid w:val="596C25D4"/>
    <w:rsid w:val="597028E6"/>
    <w:rsid w:val="597D38D7"/>
    <w:rsid w:val="598910A1"/>
    <w:rsid w:val="598A75D0"/>
    <w:rsid w:val="59935094"/>
    <w:rsid w:val="5995496F"/>
    <w:rsid w:val="59A62A34"/>
    <w:rsid w:val="59AB1748"/>
    <w:rsid w:val="59AD1771"/>
    <w:rsid w:val="59AF2059"/>
    <w:rsid w:val="59B159CB"/>
    <w:rsid w:val="59B51848"/>
    <w:rsid w:val="59B80057"/>
    <w:rsid w:val="59BC67AC"/>
    <w:rsid w:val="59C03938"/>
    <w:rsid w:val="59C811F1"/>
    <w:rsid w:val="59C83D69"/>
    <w:rsid w:val="59CB01B4"/>
    <w:rsid w:val="59CC0DAD"/>
    <w:rsid w:val="59CF1C3E"/>
    <w:rsid w:val="59D76A58"/>
    <w:rsid w:val="59D87B36"/>
    <w:rsid w:val="59E57113"/>
    <w:rsid w:val="59E91981"/>
    <w:rsid w:val="59F22823"/>
    <w:rsid w:val="59F35BF5"/>
    <w:rsid w:val="59F42704"/>
    <w:rsid w:val="59FD1C88"/>
    <w:rsid w:val="5A0020BE"/>
    <w:rsid w:val="5A004EC8"/>
    <w:rsid w:val="5A02215A"/>
    <w:rsid w:val="5A0823EC"/>
    <w:rsid w:val="5A0B4999"/>
    <w:rsid w:val="5A0C5C1F"/>
    <w:rsid w:val="5A1219E8"/>
    <w:rsid w:val="5A1601E1"/>
    <w:rsid w:val="5A1A2003"/>
    <w:rsid w:val="5A2023BC"/>
    <w:rsid w:val="5A2534E2"/>
    <w:rsid w:val="5A272110"/>
    <w:rsid w:val="5A2F52ED"/>
    <w:rsid w:val="5A307C26"/>
    <w:rsid w:val="5A307F73"/>
    <w:rsid w:val="5A341010"/>
    <w:rsid w:val="5A3A1517"/>
    <w:rsid w:val="5A4D351E"/>
    <w:rsid w:val="5A507300"/>
    <w:rsid w:val="5A51154D"/>
    <w:rsid w:val="5A523957"/>
    <w:rsid w:val="5A532CC8"/>
    <w:rsid w:val="5A612789"/>
    <w:rsid w:val="5A6543C4"/>
    <w:rsid w:val="5A6A5675"/>
    <w:rsid w:val="5A6E205B"/>
    <w:rsid w:val="5A7B2C70"/>
    <w:rsid w:val="5A7C2218"/>
    <w:rsid w:val="5A7C5822"/>
    <w:rsid w:val="5A847FE5"/>
    <w:rsid w:val="5A916654"/>
    <w:rsid w:val="5A9B3B8F"/>
    <w:rsid w:val="5A9D6553"/>
    <w:rsid w:val="5A9E6004"/>
    <w:rsid w:val="5AA206E2"/>
    <w:rsid w:val="5AAB402B"/>
    <w:rsid w:val="5AAF46FD"/>
    <w:rsid w:val="5AB36954"/>
    <w:rsid w:val="5ABB0D66"/>
    <w:rsid w:val="5ABE401A"/>
    <w:rsid w:val="5AC526EE"/>
    <w:rsid w:val="5ACB4B14"/>
    <w:rsid w:val="5AD45224"/>
    <w:rsid w:val="5ADA5032"/>
    <w:rsid w:val="5ADC6365"/>
    <w:rsid w:val="5AED2A7F"/>
    <w:rsid w:val="5B0A16D4"/>
    <w:rsid w:val="5B0B0FE2"/>
    <w:rsid w:val="5B1029A0"/>
    <w:rsid w:val="5B18258F"/>
    <w:rsid w:val="5B28216A"/>
    <w:rsid w:val="5B2B1ACA"/>
    <w:rsid w:val="5B302C2D"/>
    <w:rsid w:val="5B33397C"/>
    <w:rsid w:val="5B35552C"/>
    <w:rsid w:val="5B356E68"/>
    <w:rsid w:val="5B3A4E8A"/>
    <w:rsid w:val="5B43203B"/>
    <w:rsid w:val="5B485D9E"/>
    <w:rsid w:val="5B4E4DA1"/>
    <w:rsid w:val="5B5335BE"/>
    <w:rsid w:val="5B613886"/>
    <w:rsid w:val="5B6A6045"/>
    <w:rsid w:val="5B6C39BD"/>
    <w:rsid w:val="5B7B1E82"/>
    <w:rsid w:val="5B862B77"/>
    <w:rsid w:val="5B944D80"/>
    <w:rsid w:val="5B9509FD"/>
    <w:rsid w:val="5B957A5E"/>
    <w:rsid w:val="5BAB4BEE"/>
    <w:rsid w:val="5BB210AD"/>
    <w:rsid w:val="5BB47B97"/>
    <w:rsid w:val="5BB81EEF"/>
    <w:rsid w:val="5BC23198"/>
    <w:rsid w:val="5BC3049A"/>
    <w:rsid w:val="5BC52C1C"/>
    <w:rsid w:val="5BCE2157"/>
    <w:rsid w:val="5BD14762"/>
    <w:rsid w:val="5BD2376F"/>
    <w:rsid w:val="5BEA66B7"/>
    <w:rsid w:val="5BEB4DCC"/>
    <w:rsid w:val="5BF81226"/>
    <w:rsid w:val="5BFB7485"/>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344C7"/>
    <w:rsid w:val="5C35045C"/>
    <w:rsid w:val="5C3B0435"/>
    <w:rsid w:val="5C3C5668"/>
    <w:rsid w:val="5C3C56AD"/>
    <w:rsid w:val="5C3D32DD"/>
    <w:rsid w:val="5C3E4B55"/>
    <w:rsid w:val="5C404666"/>
    <w:rsid w:val="5C422461"/>
    <w:rsid w:val="5C48686D"/>
    <w:rsid w:val="5C4E616C"/>
    <w:rsid w:val="5C4F52A1"/>
    <w:rsid w:val="5C4F75E7"/>
    <w:rsid w:val="5C50319B"/>
    <w:rsid w:val="5C511614"/>
    <w:rsid w:val="5C520197"/>
    <w:rsid w:val="5C5371DE"/>
    <w:rsid w:val="5C5D4ED4"/>
    <w:rsid w:val="5C5F094C"/>
    <w:rsid w:val="5C603564"/>
    <w:rsid w:val="5C633837"/>
    <w:rsid w:val="5C6B674F"/>
    <w:rsid w:val="5C6D560E"/>
    <w:rsid w:val="5C6F57DC"/>
    <w:rsid w:val="5C7E0DF8"/>
    <w:rsid w:val="5C7E19C7"/>
    <w:rsid w:val="5C7E39D8"/>
    <w:rsid w:val="5C8A31FF"/>
    <w:rsid w:val="5C9C7108"/>
    <w:rsid w:val="5C9F55AA"/>
    <w:rsid w:val="5CA474D4"/>
    <w:rsid w:val="5CA84AC1"/>
    <w:rsid w:val="5CAC4293"/>
    <w:rsid w:val="5CB64B19"/>
    <w:rsid w:val="5CBD7A62"/>
    <w:rsid w:val="5CBF1A37"/>
    <w:rsid w:val="5CC164AE"/>
    <w:rsid w:val="5CC22998"/>
    <w:rsid w:val="5CC5766D"/>
    <w:rsid w:val="5CC829D4"/>
    <w:rsid w:val="5CD22245"/>
    <w:rsid w:val="5CD612EC"/>
    <w:rsid w:val="5CD620EF"/>
    <w:rsid w:val="5CD63CB1"/>
    <w:rsid w:val="5CD75EB0"/>
    <w:rsid w:val="5CE00BB1"/>
    <w:rsid w:val="5CE37D5E"/>
    <w:rsid w:val="5CE76E4E"/>
    <w:rsid w:val="5CE97CE3"/>
    <w:rsid w:val="5CF06B97"/>
    <w:rsid w:val="5CF85D55"/>
    <w:rsid w:val="5CFA67A0"/>
    <w:rsid w:val="5CFF26BA"/>
    <w:rsid w:val="5CFF2C7D"/>
    <w:rsid w:val="5CFF66F4"/>
    <w:rsid w:val="5D042519"/>
    <w:rsid w:val="5D0731E2"/>
    <w:rsid w:val="5D073D33"/>
    <w:rsid w:val="5D0A1CA8"/>
    <w:rsid w:val="5D0E09BF"/>
    <w:rsid w:val="5D10070C"/>
    <w:rsid w:val="5D1077A1"/>
    <w:rsid w:val="5D193562"/>
    <w:rsid w:val="5D232DD8"/>
    <w:rsid w:val="5D2360DD"/>
    <w:rsid w:val="5D360039"/>
    <w:rsid w:val="5D3A22F4"/>
    <w:rsid w:val="5D3D681F"/>
    <w:rsid w:val="5D421B63"/>
    <w:rsid w:val="5D435C8A"/>
    <w:rsid w:val="5D467576"/>
    <w:rsid w:val="5D4B2525"/>
    <w:rsid w:val="5D4F0CAA"/>
    <w:rsid w:val="5D543240"/>
    <w:rsid w:val="5D5434CB"/>
    <w:rsid w:val="5D5A25C6"/>
    <w:rsid w:val="5D645AF7"/>
    <w:rsid w:val="5D697151"/>
    <w:rsid w:val="5D7070A0"/>
    <w:rsid w:val="5D79361A"/>
    <w:rsid w:val="5D7B2BAE"/>
    <w:rsid w:val="5D87359C"/>
    <w:rsid w:val="5D893541"/>
    <w:rsid w:val="5D8C28B4"/>
    <w:rsid w:val="5D8E7C73"/>
    <w:rsid w:val="5D974515"/>
    <w:rsid w:val="5D9832F3"/>
    <w:rsid w:val="5D9934EC"/>
    <w:rsid w:val="5D9A7256"/>
    <w:rsid w:val="5D9C1E54"/>
    <w:rsid w:val="5DAB1E9E"/>
    <w:rsid w:val="5DB53FF3"/>
    <w:rsid w:val="5DB81F70"/>
    <w:rsid w:val="5DBC3F54"/>
    <w:rsid w:val="5DC328CA"/>
    <w:rsid w:val="5DCA57DD"/>
    <w:rsid w:val="5DD14137"/>
    <w:rsid w:val="5DD74A14"/>
    <w:rsid w:val="5DDB163B"/>
    <w:rsid w:val="5DDC2477"/>
    <w:rsid w:val="5DDC2877"/>
    <w:rsid w:val="5DF03AB4"/>
    <w:rsid w:val="5DF11D42"/>
    <w:rsid w:val="5DFA2E17"/>
    <w:rsid w:val="5DFB0C01"/>
    <w:rsid w:val="5E006537"/>
    <w:rsid w:val="5E1D2155"/>
    <w:rsid w:val="5E2374D1"/>
    <w:rsid w:val="5E2C6CCC"/>
    <w:rsid w:val="5E2F41CB"/>
    <w:rsid w:val="5E3A68B5"/>
    <w:rsid w:val="5E401AFE"/>
    <w:rsid w:val="5E454E01"/>
    <w:rsid w:val="5E490493"/>
    <w:rsid w:val="5E4C4204"/>
    <w:rsid w:val="5E4D4054"/>
    <w:rsid w:val="5E4F4CEC"/>
    <w:rsid w:val="5E517BBA"/>
    <w:rsid w:val="5E521705"/>
    <w:rsid w:val="5E650FB2"/>
    <w:rsid w:val="5E656142"/>
    <w:rsid w:val="5E680B19"/>
    <w:rsid w:val="5E6C40A3"/>
    <w:rsid w:val="5E6C53A1"/>
    <w:rsid w:val="5E7334F8"/>
    <w:rsid w:val="5E7805FF"/>
    <w:rsid w:val="5E7859D6"/>
    <w:rsid w:val="5E842B6A"/>
    <w:rsid w:val="5E875A07"/>
    <w:rsid w:val="5E8C1E30"/>
    <w:rsid w:val="5E911FAC"/>
    <w:rsid w:val="5E92137B"/>
    <w:rsid w:val="5E9373FC"/>
    <w:rsid w:val="5EA67DEF"/>
    <w:rsid w:val="5EA736D1"/>
    <w:rsid w:val="5EAA11B3"/>
    <w:rsid w:val="5EB30716"/>
    <w:rsid w:val="5EB70697"/>
    <w:rsid w:val="5EB95510"/>
    <w:rsid w:val="5EB956EE"/>
    <w:rsid w:val="5EC57A3D"/>
    <w:rsid w:val="5ECB275F"/>
    <w:rsid w:val="5ECE2836"/>
    <w:rsid w:val="5EDB5813"/>
    <w:rsid w:val="5EDE3A55"/>
    <w:rsid w:val="5EE2308E"/>
    <w:rsid w:val="5EE35C8C"/>
    <w:rsid w:val="5EEC409E"/>
    <w:rsid w:val="5EF2448C"/>
    <w:rsid w:val="5EF442F3"/>
    <w:rsid w:val="5F051F15"/>
    <w:rsid w:val="5F222082"/>
    <w:rsid w:val="5F37319D"/>
    <w:rsid w:val="5F3A21FA"/>
    <w:rsid w:val="5F490636"/>
    <w:rsid w:val="5F4A6244"/>
    <w:rsid w:val="5F555F58"/>
    <w:rsid w:val="5F6219E5"/>
    <w:rsid w:val="5F7C4F33"/>
    <w:rsid w:val="5F7D5743"/>
    <w:rsid w:val="5F810563"/>
    <w:rsid w:val="5F824D0A"/>
    <w:rsid w:val="5F85207D"/>
    <w:rsid w:val="5F902061"/>
    <w:rsid w:val="5F91364B"/>
    <w:rsid w:val="5F930102"/>
    <w:rsid w:val="5F942C15"/>
    <w:rsid w:val="5F982E68"/>
    <w:rsid w:val="5F983E67"/>
    <w:rsid w:val="5F9F2897"/>
    <w:rsid w:val="5FA57B43"/>
    <w:rsid w:val="5FB560BB"/>
    <w:rsid w:val="5FB62CD8"/>
    <w:rsid w:val="5FC20790"/>
    <w:rsid w:val="5FC87F8E"/>
    <w:rsid w:val="5FC91DE9"/>
    <w:rsid w:val="5FCE57F6"/>
    <w:rsid w:val="5FD820A7"/>
    <w:rsid w:val="5FDF0C33"/>
    <w:rsid w:val="5FE25D83"/>
    <w:rsid w:val="5FE5232B"/>
    <w:rsid w:val="5FEC3C05"/>
    <w:rsid w:val="5FF020A1"/>
    <w:rsid w:val="5FFC5DE4"/>
    <w:rsid w:val="600F241C"/>
    <w:rsid w:val="60112156"/>
    <w:rsid w:val="6012207B"/>
    <w:rsid w:val="601270E4"/>
    <w:rsid w:val="60127ACF"/>
    <w:rsid w:val="60195F65"/>
    <w:rsid w:val="601A6881"/>
    <w:rsid w:val="60200E33"/>
    <w:rsid w:val="6023016C"/>
    <w:rsid w:val="602924AC"/>
    <w:rsid w:val="602B5AAA"/>
    <w:rsid w:val="60334B2A"/>
    <w:rsid w:val="603E7B8A"/>
    <w:rsid w:val="60415FF4"/>
    <w:rsid w:val="60420933"/>
    <w:rsid w:val="6056292C"/>
    <w:rsid w:val="6063156C"/>
    <w:rsid w:val="606502AC"/>
    <w:rsid w:val="60656D53"/>
    <w:rsid w:val="60660D11"/>
    <w:rsid w:val="606611B7"/>
    <w:rsid w:val="60687B01"/>
    <w:rsid w:val="606D5453"/>
    <w:rsid w:val="607044B9"/>
    <w:rsid w:val="60760530"/>
    <w:rsid w:val="6078579C"/>
    <w:rsid w:val="608159C3"/>
    <w:rsid w:val="60841E8A"/>
    <w:rsid w:val="60904724"/>
    <w:rsid w:val="60924935"/>
    <w:rsid w:val="60934023"/>
    <w:rsid w:val="60947BEA"/>
    <w:rsid w:val="609B6315"/>
    <w:rsid w:val="60AC169F"/>
    <w:rsid w:val="60AF0E29"/>
    <w:rsid w:val="60B316F2"/>
    <w:rsid w:val="60B43DFD"/>
    <w:rsid w:val="60B55179"/>
    <w:rsid w:val="60B84522"/>
    <w:rsid w:val="60BF5745"/>
    <w:rsid w:val="60C47684"/>
    <w:rsid w:val="60C90EA4"/>
    <w:rsid w:val="60CA2396"/>
    <w:rsid w:val="60CE4002"/>
    <w:rsid w:val="60CF0514"/>
    <w:rsid w:val="60D07484"/>
    <w:rsid w:val="60D10C0F"/>
    <w:rsid w:val="60D3569F"/>
    <w:rsid w:val="60D4537B"/>
    <w:rsid w:val="60D74889"/>
    <w:rsid w:val="60E02B8F"/>
    <w:rsid w:val="60E26F48"/>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3F01"/>
    <w:rsid w:val="61164EEF"/>
    <w:rsid w:val="61176A85"/>
    <w:rsid w:val="611A697F"/>
    <w:rsid w:val="61206479"/>
    <w:rsid w:val="612143A4"/>
    <w:rsid w:val="61216CB5"/>
    <w:rsid w:val="61221695"/>
    <w:rsid w:val="6124184C"/>
    <w:rsid w:val="61254671"/>
    <w:rsid w:val="612C0280"/>
    <w:rsid w:val="612E3337"/>
    <w:rsid w:val="61331CD5"/>
    <w:rsid w:val="614050A9"/>
    <w:rsid w:val="61465E1A"/>
    <w:rsid w:val="614B5BCE"/>
    <w:rsid w:val="614D1495"/>
    <w:rsid w:val="614D2B5A"/>
    <w:rsid w:val="61524121"/>
    <w:rsid w:val="6155426A"/>
    <w:rsid w:val="615755AF"/>
    <w:rsid w:val="615D6475"/>
    <w:rsid w:val="61620240"/>
    <w:rsid w:val="6166594C"/>
    <w:rsid w:val="616730ED"/>
    <w:rsid w:val="616C2054"/>
    <w:rsid w:val="616E3976"/>
    <w:rsid w:val="617D0D60"/>
    <w:rsid w:val="618321F0"/>
    <w:rsid w:val="618563BE"/>
    <w:rsid w:val="61861C69"/>
    <w:rsid w:val="61867017"/>
    <w:rsid w:val="618B084B"/>
    <w:rsid w:val="618E1E6E"/>
    <w:rsid w:val="618F22FB"/>
    <w:rsid w:val="61B15149"/>
    <w:rsid w:val="61B16AF8"/>
    <w:rsid w:val="61B66611"/>
    <w:rsid w:val="61B71C73"/>
    <w:rsid w:val="61B867C3"/>
    <w:rsid w:val="61C1068B"/>
    <w:rsid w:val="61C56900"/>
    <w:rsid w:val="61C73EC2"/>
    <w:rsid w:val="61D32FE5"/>
    <w:rsid w:val="61D9528D"/>
    <w:rsid w:val="61DA6BBA"/>
    <w:rsid w:val="61DE7C3D"/>
    <w:rsid w:val="61E1330A"/>
    <w:rsid w:val="61E51E0F"/>
    <w:rsid w:val="61E852C9"/>
    <w:rsid w:val="61E93953"/>
    <w:rsid w:val="61EE26FB"/>
    <w:rsid w:val="61EE28BD"/>
    <w:rsid w:val="61F0115C"/>
    <w:rsid w:val="61FA5B62"/>
    <w:rsid w:val="6203062B"/>
    <w:rsid w:val="62070260"/>
    <w:rsid w:val="620A5E09"/>
    <w:rsid w:val="62164CFF"/>
    <w:rsid w:val="6222428F"/>
    <w:rsid w:val="6226324A"/>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E6DF2"/>
    <w:rsid w:val="628F77E2"/>
    <w:rsid w:val="62971DFA"/>
    <w:rsid w:val="629963D8"/>
    <w:rsid w:val="62A62474"/>
    <w:rsid w:val="62B22755"/>
    <w:rsid w:val="62B3642B"/>
    <w:rsid w:val="62B91CB2"/>
    <w:rsid w:val="62C3578D"/>
    <w:rsid w:val="62D000C9"/>
    <w:rsid w:val="62E05F11"/>
    <w:rsid w:val="62E70CE0"/>
    <w:rsid w:val="62F00E21"/>
    <w:rsid w:val="62F06C0E"/>
    <w:rsid w:val="62F571B6"/>
    <w:rsid w:val="62F91A8D"/>
    <w:rsid w:val="62FA0118"/>
    <w:rsid w:val="62FB5ADF"/>
    <w:rsid w:val="62FE0FE5"/>
    <w:rsid w:val="63016DD9"/>
    <w:rsid w:val="63026153"/>
    <w:rsid w:val="63060DC1"/>
    <w:rsid w:val="630B0513"/>
    <w:rsid w:val="630D5FB3"/>
    <w:rsid w:val="631D12C4"/>
    <w:rsid w:val="632A6383"/>
    <w:rsid w:val="632C6BDE"/>
    <w:rsid w:val="632F0EFF"/>
    <w:rsid w:val="633159CB"/>
    <w:rsid w:val="6332638D"/>
    <w:rsid w:val="633B2B0B"/>
    <w:rsid w:val="633C5BF9"/>
    <w:rsid w:val="633E36D1"/>
    <w:rsid w:val="6343466C"/>
    <w:rsid w:val="634A145E"/>
    <w:rsid w:val="634E753F"/>
    <w:rsid w:val="63607ED4"/>
    <w:rsid w:val="636469BD"/>
    <w:rsid w:val="63657E3D"/>
    <w:rsid w:val="63670D77"/>
    <w:rsid w:val="63685741"/>
    <w:rsid w:val="636A3942"/>
    <w:rsid w:val="636B5C5F"/>
    <w:rsid w:val="63716369"/>
    <w:rsid w:val="63767EE6"/>
    <w:rsid w:val="637919F5"/>
    <w:rsid w:val="637A710D"/>
    <w:rsid w:val="637D2E4D"/>
    <w:rsid w:val="63802ACC"/>
    <w:rsid w:val="6388225F"/>
    <w:rsid w:val="63947BA7"/>
    <w:rsid w:val="63B253E1"/>
    <w:rsid w:val="63B26566"/>
    <w:rsid w:val="63B601D2"/>
    <w:rsid w:val="63BD7E99"/>
    <w:rsid w:val="63D86821"/>
    <w:rsid w:val="63D8720B"/>
    <w:rsid w:val="63DF3F98"/>
    <w:rsid w:val="63E02D15"/>
    <w:rsid w:val="63E0457C"/>
    <w:rsid w:val="63E25AFD"/>
    <w:rsid w:val="63E57666"/>
    <w:rsid w:val="63F03B38"/>
    <w:rsid w:val="63F731A5"/>
    <w:rsid w:val="63FC766C"/>
    <w:rsid w:val="63FE2454"/>
    <w:rsid w:val="64022F76"/>
    <w:rsid w:val="64084173"/>
    <w:rsid w:val="640D3356"/>
    <w:rsid w:val="641269AD"/>
    <w:rsid w:val="64141212"/>
    <w:rsid w:val="641C56F8"/>
    <w:rsid w:val="64231408"/>
    <w:rsid w:val="64263EF4"/>
    <w:rsid w:val="64281DC7"/>
    <w:rsid w:val="6432123B"/>
    <w:rsid w:val="643A7824"/>
    <w:rsid w:val="644376F5"/>
    <w:rsid w:val="644A3F96"/>
    <w:rsid w:val="644B2286"/>
    <w:rsid w:val="64553AA4"/>
    <w:rsid w:val="64564ED9"/>
    <w:rsid w:val="645A5737"/>
    <w:rsid w:val="646029D7"/>
    <w:rsid w:val="64603768"/>
    <w:rsid w:val="646270E8"/>
    <w:rsid w:val="6467123E"/>
    <w:rsid w:val="646B1681"/>
    <w:rsid w:val="64706790"/>
    <w:rsid w:val="64724898"/>
    <w:rsid w:val="647C3BBA"/>
    <w:rsid w:val="64805997"/>
    <w:rsid w:val="64813A7C"/>
    <w:rsid w:val="64823A3A"/>
    <w:rsid w:val="64855B2D"/>
    <w:rsid w:val="64866B4F"/>
    <w:rsid w:val="64867427"/>
    <w:rsid w:val="648976FB"/>
    <w:rsid w:val="648A2250"/>
    <w:rsid w:val="648B1491"/>
    <w:rsid w:val="648B5259"/>
    <w:rsid w:val="648E1573"/>
    <w:rsid w:val="649A52C8"/>
    <w:rsid w:val="64AB4F48"/>
    <w:rsid w:val="64B0747D"/>
    <w:rsid w:val="64B6071F"/>
    <w:rsid w:val="64B73B84"/>
    <w:rsid w:val="64BE2F18"/>
    <w:rsid w:val="64C004BC"/>
    <w:rsid w:val="64C03551"/>
    <w:rsid w:val="64C317B4"/>
    <w:rsid w:val="64C6530B"/>
    <w:rsid w:val="64CB2A33"/>
    <w:rsid w:val="64D9451E"/>
    <w:rsid w:val="64DB77D5"/>
    <w:rsid w:val="64E105D2"/>
    <w:rsid w:val="64E37405"/>
    <w:rsid w:val="64F31974"/>
    <w:rsid w:val="64FA5C63"/>
    <w:rsid w:val="64FA6AE2"/>
    <w:rsid w:val="6507069F"/>
    <w:rsid w:val="65127100"/>
    <w:rsid w:val="6532464B"/>
    <w:rsid w:val="65341AC5"/>
    <w:rsid w:val="653A34E5"/>
    <w:rsid w:val="653C6B1D"/>
    <w:rsid w:val="65433415"/>
    <w:rsid w:val="65463750"/>
    <w:rsid w:val="654E3228"/>
    <w:rsid w:val="65537C6B"/>
    <w:rsid w:val="655C685E"/>
    <w:rsid w:val="656160AB"/>
    <w:rsid w:val="65622086"/>
    <w:rsid w:val="65644A63"/>
    <w:rsid w:val="65655B02"/>
    <w:rsid w:val="656E3321"/>
    <w:rsid w:val="65757B8D"/>
    <w:rsid w:val="65764BA6"/>
    <w:rsid w:val="6578354B"/>
    <w:rsid w:val="658E776E"/>
    <w:rsid w:val="65907AC2"/>
    <w:rsid w:val="65A3564C"/>
    <w:rsid w:val="65A62A91"/>
    <w:rsid w:val="65A8734A"/>
    <w:rsid w:val="65A9185C"/>
    <w:rsid w:val="65AB43EF"/>
    <w:rsid w:val="65B430CC"/>
    <w:rsid w:val="65CC6A3A"/>
    <w:rsid w:val="65DB0A99"/>
    <w:rsid w:val="65DC4ACB"/>
    <w:rsid w:val="65E919BF"/>
    <w:rsid w:val="65ED7EEF"/>
    <w:rsid w:val="65F46CFC"/>
    <w:rsid w:val="65F73BB4"/>
    <w:rsid w:val="65FB6DFE"/>
    <w:rsid w:val="660658FA"/>
    <w:rsid w:val="660B1805"/>
    <w:rsid w:val="660C035C"/>
    <w:rsid w:val="66103D06"/>
    <w:rsid w:val="66190E3D"/>
    <w:rsid w:val="661C061C"/>
    <w:rsid w:val="66235CDE"/>
    <w:rsid w:val="6628673A"/>
    <w:rsid w:val="662A259A"/>
    <w:rsid w:val="66300C32"/>
    <w:rsid w:val="6631536B"/>
    <w:rsid w:val="6639596A"/>
    <w:rsid w:val="663F1119"/>
    <w:rsid w:val="66401DD3"/>
    <w:rsid w:val="6644369D"/>
    <w:rsid w:val="66513A8B"/>
    <w:rsid w:val="66515333"/>
    <w:rsid w:val="66543F3A"/>
    <w:rsid w:val="6654755D"/>
    <w:rsid w:val="66553A9B"/>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B93F76"/>
    <w:rsid w:val="66BE7A6E"/>
    <w:rsid w:val="66C2655F"/>
    <w:rsid w:val="66D01D1D"/>
    <w:rsid w:val="66D20F68"/>
    <w:rsid w:val="66D6103F"/>
    <w:rsid w:val="66DB5E51"/>
    <w:rsid w:val="66DC2051"/>
    <w:rsid w:val="66E1068E"/>
    <w:rsid w:val="66E13704"/>
    <w:rsid w:val="66E40BAD"/>
    <w:rsid w:val="66E77E06"/>
    <w:rsid w:val="66F861FA"/>
    <w:rsid w:val="670027A0"/>
    <w:rsid w:val="67037752"/>
    <w:rsid w:val="67050D51"/>
    <w:rsid w:val="67050D97"/>
    <w:rsid w:val="67051BD7"/>
    <w:rsid w:val="67091904"/>
    <w:rsid w:val="670E178E"/>
    <w:rsid w:val="6717419C"/>
    <w:rsid w:val="67212735"/>
    <w:rsid w:val="673611CB"/>
    <w:rsid w:val="67412B2B"/>
    <w:rsid w:val="674A450B"/>
    <w:rsid w:val="674B4E59"/>
    <w:rsid w:val="675005EC"/>
    <w:rsid w:val="675E366D"/>
    <w:rsid w:val="67635837"/>
    <w:rsid w:val="67690F3D"/>
    <w:rsid w:val="676B3A7C"/>
    <w:rsid w:val="676D52AA"/>
    <w:rsid w:val="677011BD"/>
    <w:rsid w:val="6770452E"/>
    <w:rsid w:val="67705A6F"/>
    <w:rsid w:val="67750EBE"/>
    <w:rsid w:val="67816012"/>
    <w:rsid w:val="67842D1C"/>
    <w:rsid w:val="678C278B"/>
    <w:rsid w:val="67991948"/>
    <w:rsid w:val="67A850E1"/>
    <w:rsid w:val="67AB3E74"/>
    <w:rsid w:val="67B0438B"/>
    <w:rsid w:val="67B33BE3"/>
    <w:rsid w:val="67B71656"/>
    <w:rsid w:val="67B723B3"/>
    <w:rsid w:val="67B743E8"/>
    <w:rsid w:val="67BD43E0"/>
    <w:rsid w:val="67BD4993"/>
    <w:rsid w:val="67BF12B5"/>
    <w:rsid w:val="67C0411D"/>
    <w:rsid w:val="67C95416"/>
    <w:rsid w:val="67D74048"/>
    <w:rsid w:val="67E041E2"/>
    <w:rsid w:val="67E164A0"/>
    <w:rsid w:val="67E51F56"/>
    <w:rsid w:val="67E97A89"/>
    <w:rsid w:val="67ED16B7"/>
    <w:rsid w:val="67F27764"/>
    <w:rsid w:val="67F94D8A"/>
    <w:rsid w:val="6802359C"/>
    <w:rsid w:val="68081463"/>
    <w:rsid w:val="680A257F"/>
    <w:rsid w:val="680E50C8"/>
    <w:rsid w:val="681541C3"/>
    <w:rsid w:val="681674DF"/>
    <w:rsid w:val="681D6FA0"/>
    <w:rsid w:val="682E4AF2"/>
    <w:rsid w:val="68373462"/>
    <w:rsid w:val="68447B3B"/>
    <w:rsid w:val="684F580A"/>
    <w:rsid w:val="685C0FCA"/>
    <w:rsid w:val="68650F7D"/>
    <w:rsid w:val="68655BE3"/>
    <w:rsid w:val="686926D4"/>
    <w:rsid w:val="68774A50"/>
    <w:rsid w:val="68784EDA"/>
    <w:rsid w:val="687A62EB"/>
    <w:rsid w:val="687B4F8F"/>
    <w:rsid w:val="688A20B8"/>
    <w:rsid w:val="688C0135"/>
    <w:rsid w:val="688D57D8"/>
    <w:rsid w:val="6892047F"/>
    <w:rsid w:val="689403A7"/>
    <w:rsid w:val="6897438E"/>
    <w:rsid w:val="68A01495"/>
    <w:rsid w:val="68A27905"/>
    <w:rsid w:val="68A550D0"/>
    <w:rsid w:val="68A57A2E"/>
    <w:rsid w:val="68A7533D"/>
    <w:rsid w:val="68BD6779"/>
    <w:rsid w:val="68C02111"/>
    <w:rsid w:val="68C42BDC"/>
    <w:rsid w:val="68CE3102"/>
    <w:rsid w:val="68D015E0"/>
    <w:rsid w:val="68D33B58"/>
    <w:rsid w:val="68D824C6"/>
    <w:rsid w:val="68E24545"/>
    <w:rsid w:val="68E31D7A"/>
    <w:rsid w:val="68E52DC7"/>
    <w:rsid w:val="68E71448"/>
    <w:rsid w:val="68E92B61"/>
    <w:rsid w:val="68F308C4"/>
    <w:rsid w:val="68F47E39"/>
    <w:rsid w:val="68F51C33"/>
    <w:rsid w:val="68FA62F0"/>
    <w:rsid w:val="68FE7853"/>
    <w:rsid w:val="68FF6668"/>
    <w:rsid w:val="6901117B"/>
    <w:rsid w:val="69021A4A"/>
    <w:rsid w:val="69052CE9"/>
    <w:rsid w:val="690F4CC7"/>
    <w:rsid w:val="69156DDD"/>
    <w:rsid w:val="691D61F1"/>
    <w:rsid w:val="691E3879"/>
    <w:rsid w:val="69211467"/>
    <w:rsid w:val="69214564"/>
    <w:rsid w:val="69257A7E"/>
    <w:rsid w:val="69277662"/>
    <w:rsid w:val="69344B19"/>
    <w:rsid w:val="69345F83"/>
    <w:rsid w:val="69356146"/>
    <w:rsid w:val="69392613"/>
    <w:rsid w:val="69392966"/>
    <w:rsid w:val="693C2B63"/>
    <w:rsid w:val="694E1147"/>
    <w:rsid w:val="69520D7A"/>
    <w:rsid w:val="69573B6E"/>
    <w:rsid w:val="696032C7"/>
    <w:rsid w:val="696206D3"/>
    <w:rsid w:val="6967756D"/>
    <w:rsid w:val="6968644A"/>
    <w:rsid w:val="697011ED"/>
    <w:rsid w:val="69826A24"/>
    <w:rsid w:val="698B2061"/>
    <w:rsid w:val="699004F5"/>
    <w:rsid w:val="699B6DC8"/>
    <w:rsid w:val="69A97058"/>
    <w:rsid w:val="69AB6F60"/>
    <w:rsid w:val="69B96524"/>
    <w:rsid w:val="69BE66B6"/>
    <w:rsid w:val="69C30046"/>
    <w:rsid w:val="69C8002E"/>
    <w:rsid w:val="69CF04C1"/>
    <w:rsid w:val="69D32FE1"/>
    <w:rsid w:val="69D457A0"/>
    <w:rsid w:val="69D463F2"/>
    <w:rsid w:val="69D72910"/>
    <w:rsid w:val="69D94035"/>
    <w:rsid w:val="69DC26A6"/>
    <w:rsid w:val="69E37874"/>
    <w:rsid w:val="69E56B54"/>
    <w:rsid w:val="69E96708"/>
    <w:rsid w:val="69ED002E"/>
    <w:rsid w:val="69ED2DB6"/>
    <w:rsid w:val="69ED6B4A"/>
    <w:rsid w:val="69EE54CD"/>
    <w:rsid w:val="69F92613"/>
    <w:rsid w:val="69FB7CD4"/>
    <w:rsid w:val="69FD723E"/>
    <w:rsid w:val="69FD7CEA"/>
    <w:rsid w:val="6A0229E5"/>
    <w:rsid w:val="6A067F83"/>
    <w:rsid w:val="6A097E59"/>
    <w:rsid w:val="6A0E4D51"/>
    <w:rsid w:val="6A171AFC"/>
    <w:rsid w:val="6A1B06CD"/>
    <w:rsid w:val="6A227A57"/>
    <w:rsid w:val="6A2A2D01"/>
    <w:rsid w:val="6A3225D7"/>
    <w:rsid w:val="6A3A620D"/>
    <w:rsid w:val="6A3B0B6C"/>
    <w:rsid w:val="6A3C0BF8"/>
    <w:rsid w:val="6A423E55"/>
    <w:rsid w:val="6A470981"/>
    <w:rsid w:val="6A4747AF"/>
    <w:rsid w:val="6A49294B"/>
    <w:rsid w:val="6A562B91"/>
    <w:rsid w:val="6A57299A"/>
    <w:rsid w:val="6A697946"/>
    <w:rsid w:val="6A6D6854"/>
    <w:rsid w:val="6A700CED"/>
    <w:rsid w:val="6A7017D7"/>
    <w:rsid w:val="6A7350A3"/>
    <w:rsid w:val="6A7F6B5C"/>
    <w:rsid w:val="6A984CE6"/>
    <w:rsid w:val="6AA235D3"/>
    <w:rsid w:val="6AA31D3D"/>
    <w:rsid w:val="6AB02B50"/>
    <w:rsid w:val="6AB14532"/>
    <w:rsid w:val="6ABB2ED0"/>
    <w:rsid w:val="6ABD7A51"/>
    <w:rsid w:val="6AC00593"/>
    <w:rsid w:val="6AC335C4"/>
    <w:rsid w:val="6AC4035B"/>
    <w:rsid w:val="6AC55EC6"/>
    <w:rsid w:val="6ACC0F11"/>
    <w:rsid w:val="6ADB4318"/>
    <w:rsid w:val="6ADD7DFD"/>
    <w:rsid w:val="6AE2135D"/>
    <w:rsid w:val="6AE77D3D"/>
    <w:rsid w:val="6AE93C28"/>
    <w:rsid w:val="6AF05F1A"/>
    <w:rsid w:val="6B036D80"/>
    <w:rsid w:val="6B0451AB"/>
    <w:rsid w:val="6B0D42E2"/>
    <w:rsid w:val="6B110B6C"/>
    <w:rsid w:val="6B160110"/>
    <w:rsid w:val="6B167467"/>
    <w:rsid w:val="6B1A338E"/>
    <w:rsid w:val="6B21434C"/>
    <w:rsid w:val="6B237C36"/>
    <w:rsid w:val="6B2600DB"/>
    <w:rsid w:val="6B2718FD"/>
    <w:rsid w:val="6B2A147B"/>
    <w:rsid w:val="6B2B4CFC"/>
    <w:rsid w:val="6B2C290C"/>
    <w:rsid w:val="6B33476F"/>
    <w:rsid w:val="6B352059"/>
    <w:rsid w:val="6B3B4CA2"/>
    <w:rsid w:val="6B402B26"/>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A8277A"/>
    <w:rsid w:val="6BB248CC"/>
    <w:rsid w:val="6BBA4F60"/>
    <w:rsid w:val="6BBC0DCF"/>
    <w:rsid w:val="6BCA6179"/>
    <w:rsid w:val="6BCE3445"/>
    <w:rsid w:val="6BD0777F"/>
    <w:rsid w:val="6BD619EE"/>
    <w:rsid w:val="6BEA64E2"/>
    <w:rsid w:val="6BFA7E30"/>
    <w:rsid w:val="6BFB030F"/>
    <w:rsid w:val="6C016CAE"/>
    <w:rsid w:val="6C07197C"/>
    <w:rsid w:val="6C090252"/>
    <w:rsid w:val="6C0B7CD2"/>
    <w:rsid w:val="6C0D6AE8"/>
    <w:rsid w:val="6C100936"/>
    <w:rsid w:val="6C1962C3"/>
    <w:rsid w:val="6C1A6808"/>
    <w:rsid w:val="6C255AAD"/>
    <w:rsid w:val="6C276EFC"/>
    <w:rsid w:val="6C2C5801"/>
    <w:rsid w:val="6C2D7320"/>
    <w:rsid w:val="6C2E3E73"/>
    <w:rsid w:val="6C3321F9"/>
    <w:rsid w:val="6C33267C"/>
    <w:rsid w:val="6C3D0F56"/>
    <w:rsid w:val="6C410CB8"/>
    <w:rsid w:val="6C452BDF"/>
    <w:rsid w:val="6C593A56"/>
    <w:rsid w:val="6C5E1CDD"/>
    <w:rsid w:val="6C62391B"/>
    <w:rsid w:val="6C660C8B"/>
    <w:rsid w:val="6C6A716D"/>
    <w:rsid w:val="6C6C6ED7"/>
    <w:rsid w:val="6C71767A"/>
    <w:rsid w:val="6C7C1F44"/>
    <w:rsid w:val="6C827094"/>
    <w:rsid w:val="6C8559E0"/>
    <w:rsid w:val="6C891188"/>
    <w:rsid w:val="6C8D26FB"/>
    <w:rsid w:val="6C996561"/>
    <w:rsid w:val="6CB01397"/>
    <w:rsid w:val="6CC25213"/>
    <w:rsid w:val="6CD76A8F"/>
    <w:rsid w:val="6CDE47C9"/>
    <w:rsid w:val="6CDF1F89"/>
    <w:rsid w:val="6CE0702D"/>
    <w:rsid w:val="6CE83295"/>
    <w:rsid w:val="6CEE220B"/>
    <w:rsid w:val="6CEE246E"/>
    <w:rsid w:val="6CF27A30"/>
    <w:rsid w:val="6CF6067E"/>
    <w:rsid w:val="6D032BD4"/>
    <w:rsid w:val="6D0535EE"/>
    <w:rsid w:val="6D0565AF"/>
    <w:rsid w:val="6D077405"/>
    <w:rsid w:val="6D0A3519"/>
    <w:rsid w:val="6D0B62E2"/>
    <w:rsid w:val="6D133D59"/>
    <w:rsid w:val="6D175B2B"/>
    <w:rsid w:val="6D264EC5"/>
    <w:rsid w:val="6D26662C"/>
    <w:rsid w:val="6D287D4F"/>
    <w:rsid w:val="6D2B3CDC"/>
    <w:rsid w:val="6D330DB7"/>
    <w:rsid w:val="6D437763"/>
    <w:rsid w:val="6D47364D"/>
    <w:rsid w:val="6D4B2385"/>
    <w:rsid w:val="6D4C07B8"/>
    <w:rsid w:val="6D500E33"/>
    <w:rsid w:val="6D5B1179"/>
    <w:rsid w:val="6D671B76"/>
    <w:rsid w:val="6D6D28AF"/>
    <w:rsid w:val="6D6E5E4C"/>
    <w:rsid w:val="6D771293"/>
    <w:rsid w:val="6D78135E"/>
    <w:rsid w:val="6D7D0954"/>
    <w:rsid w:val="6D8153B2"/>
    <w:rsid w:val="6D876AB7"/>
    <w:rsid w:val="6D8A27B4"/>
    <w:rsid w:val="6D8F154F"/>
    <w:rsid w:val="6D9757D1"/>
    <w:rsid w:val="6D9C3974"/>
    <w:rsid w:val="6DA062EA"/>
    <w:rsid w:val="6DA65DBF"/>
    <w:rsid w:val="6DA76631"/>
    <w:rsid w:val="6DA77315"/>
    <w:rsid w:val="6DAE65DB"/>
    <w:rsid w:val="6DAF65CC"/>
    <w:rsid w:val="6DB157A2"/>
    <w:rsid w:val="6DB25F3D"/>
    <w:rsid w:val="6DBA586C"/>
    <w:rsid w:val="6DBE0B3F"/>
    <w:rsid w:val="6DBF7294"/>
    <w:rsid w:val="6DC2555F"/>
    <w:rsid w:val="6DC53FBD"/>
    <w:rsid w:val="6DC84395"/>
    <w:rsid w:val="6DC93FE2"/>
    <w:rsid w:val="6DCA77EA"/>
    <w:rsid w:val="6DD35114"/>
    <w:rsid w:val="6DDE35E8"/>
    <w:rsid w:val="6DE47135"/>
    <w:rsid w:val="6DE65A7A"/>
    <w:rsid w:val="6DE92FA2"/>
    <w:rsid w:val="6DEE0E7D"/>
    <w:rsid w:val="6DEF6BC8"/>
    <w:rsid w:val="6DF3002F"/>
    <w:rsid w:val="6DF574ED"/>
    <w:rsid w:val="6DF81839"/>
    <w:rsid w:val="6E0048DC"/>
    <w:rsid w:val="6E075019"/>
    <w:rsid w:val="6E0766A1"/>
    <w:rsid w:val="6E1419C0"/>
    <w:rsid w:val="6E166FE2"/>
    <w:rsid w:val="6E183FF4"/>
    <w:rsid w:val="6E1B11E5"/>
    <w:rsid w:val="6E1D151C"/>
    <w:rsid w:val="6E1D7756"/>
    <w:rsid w:val="6E245261"/>
    <w:rsid w:val="6E2E7D17"/>
    <w:rsid w:val="6E3323DD"/>
    <w:rsid w:val="6E3761D3"/>
    <w:rsid w:val="6E392DDA"/>
    <w:rsid w:val="6E3E2033"/>
    <w:rsid w:val="6E411943"/>
    <w:rsid w:val="6E440060"/>
    <w:rsid w:val="6E442CF5"/>
    <w:rsid w:val="6E54575C"/>
    <w:rsid w:val="6E5A2999"/>
    <w:rsid w:val="6E612C3F"/>
    <w:rsid w:val="6E650AD9"/>
    <w:rsid w:val="6E6F6D88"/>
    <w:rsid w:val="6E702FE8"/>
    <w:rsid w:val="6E706B87"/>
    <w:rsid w:val="6E766C71"/>
    <w:rsid w:val="6E7926F7"/>
    <w:rsid w:val="6E7B110F"/>
    <w:rsid w:val="6E8A2A35"/>
    <w:rsid w:val="6E8E20B5"/>
    <w:rsid w:val="6E8F2730"/>
    <w:rsid w:val="6E915314"/>
    <w:rsid w:val="6E991DD0"/>
    <w:rsid w:val="6EA04FAE"/>
    <w:rsid w:val="6EAA59A3"/>
    <w:rsid w:val="6EAA79ED"/>
    <w:rsid w:val="6EB029C1"/>
    <w:rsid w:val="6EB330A4"/>
    <w:rsid w:val="6EC161BE"/>
    <w:rsid w:val="6EC53240"/>
    <w:rsid w:val="6ECD08F1"/>
    <w:rsid w:val="6ED8031D"/>
    <w:rsid w:val="6EDF2531"/>
    <w:rsid w:val="6EE1335D"/>
    <w:rsid w:val="6EE50FBC"/>
    <w:rsid w:val="6EEF6508"/>
    <w:rsid w:val="6EF02682"/>
    <w:rsid w:val="6EFA4C0C"/>
    <w:rsid w:val="6EFF1809"/>
    <w:rsid w:val="6F19615F"/>
    <w:rsid w:val="6F1A3B57"/>
    <w:rsid w:val="6F1A60C4"/>
    <w:rsid w:val="6F231E41"/>
    <w:rsid w:val="6F244447"/>
    <w:rsid w:val="6F303DE1"/>
    <w:rsid w:val="6F331C81"/>
    <w:rsid w:val="6F331F52"/>
    <w:rsid w:val="6F362062"/>
    <w:rsid w:val="6F3815D3"/>
    <w:rsid w:val="6F3C0797"/>
    <w:rsid w:val="6F4048CA"/>
    <w:rsid w:val="6F405BD0"/>
    <w:rsid w:val="6F4713C5"/>
    <w:rsid w:val="6F4734D0"/>
    <w:rsid w:val="6F4B3953"/>
    <w:rsid w:val="6F555C91"/>
    <w:rsid w:val="6F603479"/>
    <w:rsid w:val="6F680494"/>
    <w:rsid w:val="6F6B5A9E"/>
    <w:rsid w:val="6F7A07E3"/>
    <w:rsid w:val="6F7D050B"/>
    <w:rsid w:val="6F8C33B0"/>
    <w:rsid w:val="6F8D5B36"/>
    <w:rsid w:val="6F953750"/>
    <w:rsid w:val="6F9B0C75"/>
    <w:rsid w:val="6FA04DA3"/>
    <w:rsid w:val="6FA10B29"/>
    <w:rsid w:val="6FAA2D8A"/>
    <w:rsid w:val="6FC02217"/>
    <w:rsid w:val="6FC34E9D"/>
    <w:rsid w:val="6FC60A07"/>
    <w:rsid w:val="6FC90F86"/>
    <w:rsid w:val="6FCD3BC3"/>
    <w:rsid w:val="6FCE2BBA"/>
    <w:rsid w:val="6FD656A8"/>
    <w:rsid w:val="6FD91844"/>
    <w:rsid w:val="6FDF40F5"/>
    <w:rsid w:val="6FE0165C"/>
    <w:rsid w:val="6FE05F95"/>
    <w:rsid w:val="6FE944E1"/>
    <w:rsid w:val="6FF021F5"/>
    <w:rsid w:val="6FF06B6B"/>
    <w:rsid w:val="6FF47B7F"/>
    <w:rsid w:val="6FF73491"/>
    <w:rsid w:val="6FF97C31"/>
    <w:rsid w:val="6FFC64FF"/>
    <w:rsid w:val="7001428F"/>
    <w:rsid w:val="700E7127"/>
    <w:rsid w:val="70133236"/>
    <w:rsid w:val="70156307"/>
    <w:rsid w:val="7016485B"/>
    <w:rsid w:val="701C590F"/>
    <w:rsid w:val="702033F7"/>
    <w:rsid w:val="7021034D"/>
    <w:rsid w:val="70252DA7"/>
    <w:rsid w:val="702D10A9"/>
    <w:rsid w:val="70315D3B"/>
    <w:rsid w:val="703D58C4"/>
    <w:rsid w:val="70453D87"/>
    <w:rsid w:val="704E5E48"/>
    <w:rsid w:val="7053674B"/>
    <w:rsid w:val="7055360F"/>
    <w:rsid w:val="70642BE6"/>
    <w:rsid w:val="706A4DCB"/>
    <w:rsid w:val="706F497B"/>
    <w:rsid w:val="70724AB3"/>
    <w:rsid w:val="70877819"/>
    <w:rsid w:val="70916EF8"/>
    <w:rsid w:val="709261ED"/>
    <w:rsid w:val="709605AE"/>
    <w:rsid w:val="709D31A3"/>
    <w:rsid w:val="70A02568"/>
    <w:rsid w:val="70AD230C"/>
    <w:rsid w:val="70B4798A"/>
    <w:rsid w:val="70B91785"/>
    <w:rsid w:val="70C41020"/>
    <w:rsid w:val="70C671BA"/>
    <w:rsid w:val="70CC1017"/>
    <w:rsid w:val="70CF255C"/>
    <w:rsid w:val="70D5454C"/>
    <w:rsid w:val="70DC2C89"/>
    <w:rsid w:val="70DD041E"/>
    <w:rsid w:val="70DD743F"/>
    <w:rsid w:val="70DD7EE0"/>
    <w:rsid w:val="70E3150B"/>
    <w:rsid w:val="70E67B77"/>
    <w:rsid w:val="70F323B0"/>
    <w:rsid w:val="70FA4DD2"/>
    <w:rsid w:val="70FD7C9B"/>
    <w:rsid w:val="70FE0735"/>
    <w:rsid w:val="710221FA"/>
    <w:rsid w:val="71094431"/>
    <w:rsid w:val="710D3478"/>
    <w:rsid w:val="710F7585"/>
    <w:rsid w:val="711805A6"/>
    <w:rsid w:val="711A79AD"/>
    <w:rsid w:val="71217446"/>
    <w:rsid w:val="71224F32"/>
    <w:rsid w:val="7123463F"/>
    <w:rsid w:val="713B1ED6"/>
    <w:rsid w:val="71402DA5"/>
    <w:rsid w:val="714463AC"/>
    <w:rsid w:val="7144693A"/>
    <w:rsid w:val="71525708"/>
    <w:rsid w:val="71542A3C"/>
    <w:rsid w:val="71584711"/>
    <w:rsid w:val="71595F23"/>
    <w:rsid w:val="716A4C59"/>
    <w:rsid w:val="716D3AF0"/>
    <w:rsid w:val="717106F9"/>
    <w:rsid w:val="71811922"/>
    <w:rsid w:val="7184567C"/>
    <w:rsid w:val="71866C06"/>
    <w:rsid w:val="718F2568"/>
    <w:rsid w:val="718F3086"/>
    <w:rsid w:val="71910B53"/>
    <w:rsid w:val="719D1BC1"/>
    <w:rsid w:val="719E09E3"/>
    <w:rsid w:val="719F5958"/>
    <w:rsid w:val="71A33FEC"/>
    <w:rsid w:val="71A601E7"/>
    <w:rsid w:val="71A953B8"/>
    <w:rsid w:val="71AC51C8"/>
    <w:rsid w:val="71C37CE8"/>
    <w:rsid w:val="71C402EA"/>
    <w:rsid w:val="71D4132F"/>
    <w:rsid w:val="71D53676"/>
    <w:rsid w:val="71DA32B4"/>
    <w:rsid w:val="71E32E83"/>
    <w:rsid w:val="71E83969"/>
    <w:rsid w:val="71F1228B"/>
    <w:rsid w:val="71F46D71"/>
    <w:rsid w:val="71F61946"/>
    <w:rsid w:val="71F96411"/>
    <w:rsid w:val="71FA7506"/>
    <w:rsid w:val="72061465"/>
    <w:rsid w:val="720F1ACD"/>
    <w:rsid w:val="721C0759"/>
    <w:rsid w:val="722F766C"/>
    <w:rsid w:val="723256D8"/>
    <w:rsid w:val="72382B26"/>
    <w:rsid w:val="72385872"/>
    <w:rsid w:val="723A6B6E"/>
    <w:rsid w:val="723B470E"/>
    <w:rsid w:val="72451F4F"/>
    <w:rsid w:val="72456442"/>
    <w:rsid w:val="7247128C"/>
    <w:rsid w:val="72493E35"/>
    <w:rsid w:val="725B0CD8"/>
    <w:rsid w:val="7264361A"/>
    <w:rsid w:val="726822A9"/>
    <w:rsid w:val="726C3438"/>
    <w:rsid w:val="727367E8"/>
    <w:rsid w:val="72791B78"/>
    <w:rsid w:val="727C5618"/>
    <w:rsid w:val="727F3E51"/>
    <w:rsid w:val="7287073E"/>
    <w:rsid w:val="728C70E1"/>
    <w:rsid w:val="7290542B"/>
    <w:rsid w:val="72913002"/>
    <w:rsid w:val="72917F17"/>
    <w:rsid w:val="72935E6A"/>
    <w:rsid w:val="729A7834"/>
    <w:rsid w:val="72A00661"/>
    <w:rsid w:val="72AF0710"/>
    <w:rsid w:val="72AF2463"/>
    <w:rsid w:val="72B05336"/>
    <w:rsid w:val="72B06D9D"/>
    <w:rsid w:val="72B715E4"/>
    <w:rsid w:val="72C32F53"/>
    <w:rsid w:val="72C77A8A"/>
    <w:rsid w:val="72CB7C4C"/>
    <w:rsid w:val="72D86D20"/>
    <w:rsid w:val="72DB6BCE"/>
    <w:rsid w:val="72F70D65"/>
    <w:rsid w:val="72F762C6"/>
    <w:rsid w:val="72FA1D93"/>
    <w:rsid w:val="72FE3E8E"/>
    <w:rsid w:val="731B711B"/>
    <w:rsid w:val="731C3ED2"/>
    <w:rsid w:val="731E5631"/>
    <w:rsid w:val="732009B8"/>
    <w:rsid w:val="732B0C72"/>
    <w:rsid w:val="733271A4"/>
    <w:rsid w:val="73330C63"/>
    <w:rsid w:val="733863E3"/>
    <w:rsid w:val="733A3332"/>
    <w:rsid w:val="733C1D9D"/>
    <w:rsid w:val="733E3B7F"/>
    <w:rsid w:val="733E46B2"/>
    <w:rsid w:val="733E586B"/>
    <w:rsid w:val="733E59D9"/>
    <w:rsid w:val="734B3969"/>
    <w:rsid w:val="73597F33"/>
    <w:rsid w:val="7375490C"/>
    <w:rsid w:val="73757E63"/>
    <w:rsid w:val="737D2F4F"/>
    <w:rsid w:val="738B029F"/>
    <w:rsid w:val="73900D21"/>
    <w:rsid w:val="739A7114"/>
    <w:rsid w:val="739D5416"/>
    <w:rsid w:val="739F2349"/>
    <w:rsid w:val="739F6287"/>
    <w:rsid w:val="73A242CD"/>
    <w:rsid w:val="73A935F2"/>
    <w:rsid w:val="73AC333B"/>
    <w:rsid w:val="73AD3C4B"/>
    <w:rsid w:val="73B11DBC"/>
    <w:rsid w:val="73B1795C"/>
    <w:rsid w:val="73B51018"/>
    <w:rsid w:val="73B67CAD"/>
    <w:rsid w:val="73B86EBC"/>
    <w:rsid w:val="73C340B3"/>
    <w:rsid w:val="73C72DB3"/>
    <w:rsid w:val="73C81AA9"/>
    <w:rsid w:val="73C854F0"/>
    <w:rsid w:val="73CC2F38"/>
    <w:rsid w:val="73CE0B05"/>
    <w:rsid w:val="73D007EE"/>
    <w:rsid w:val="73D27A00"/>
    <w:rsid w:val="73D31801"/>
    <w:rsid w:val="73D9581C"/>
    <w:rsid w:val="73DA2FBB"/>
    <w:rsid w:val="73DC2CAB"/>
    <w:rsid w:val="73DC5744"/>
    <w:rsid w:val="73E36876"/>
    <w:rsid w:val="73E72CB9"/>
    <w:rsid w:val="74014C0C"/>
    <w:rsid w:val="740B7234"/>
    <w:rsid w:val="741B5358"/>
    <w:rsid w:val="74202F12"/>
    <w:rsid w:val="742C093F"/>
    <w:rsid w:val="742F68DF"/>
    <w:rsid w:val="7435797F"/>
    <w:rsid w:val="7442738A"/>
    <w:rsid w:val="744A0545"/>
    <w:rsid w:val="744F0653"/>
    <w:rsid w:val="744F7C70"/>
    <w:rsid w:val="74521009"/>
    <w:rsid w:val="74532888"/>
    <w:rsid w:val="745C54BA"/>
    <w:rsid w:val="74632A31"/>
    <w:rsid w:val="7465205B"/>
    <w:rsid w:val="746954DB"/>
    <w:rsid w:val="74743C33"/>
    <w:rsid w:val="747640DF"/>
    <w:rsid w:val="747E6036"/>
    <w:rsid w:val="74807A49"/>
    <w:rsid w:val="7482175B"/>
    <w:rsid w:val="74843F0D"/>
    <w:rsid w:val="74A67409"/>
    <w:rsid w:val="74B37F42"/>
    <w:rsid w:val="74B539F8"/>
    <w:rsid w:val="74B94875"/>
    <w:rsid w:val="74BA4FF9"/>
    <w:rsid w:val="74C311F6"/>
    <w:rsid w:val="74C53F19"/>
    <w:rsid w:val="74C579E1"/>
    <w:rsid w:val="74CA0770"/>
    <w:rsid w:val="74D52F3D"/>
    <w:rsid w:val="74D81528"/>
    <w:rsid w:val="74D96025"/>
    <w:rsid w:val="74DA07A2"/>
    <w:rsid w:val="74DF39E4"/>
    <w:rsid w:val="74E133B4"/>
    <w:rsid w:val="74E1491C"/>
    <w:rsid w:val="74E67A31"/>
    <w:rsid w:val="74F61278"/>
    <w:rsid w:val="74F65697"/>
    <w:rsid w:val="74F90505"/>
    <w:rsid w:val="74FC67D7"/>
    <w:rsid w:val="7501178C"/>
    <w:rsid w:val="75092044"/>
    <w:rsid w:val="7510516D"/>
    <w:rsid w:val="75124563"/>
    <w:rsid w:val="751274A1"/>
    <w:rsid w:val="75190871"/>
    <w:rsid w:val="751C2143"/>
    <w:rsid w:val="75295853"/>
    <w:rsid w:val="752D2921"/>
    <w:rsid w:val="752F1869"/>
    <w:rsid w:val="752F2DAC"/>
    <w:rsid w:val="75387884"/>
    <w:rsid w:val="75475838"/>
    <w:rsid w:val="755D7E3D"/>
    <w:rsid w:val="75631790"/>
    <w:rsid w:val="7566472C"/>
    <w:rsid w:val="756B1E1E"/>
    <w:rsid w:val="756B62BD"/>
    <w:rsid w:val="756E6DDD"/>
    <w:rsid w:val="7578413D"/>
    <w:rsid w:val="757B64ED"/>
    <w:rsid w:val="757C232A"/>
    <w:rsid w:val="75851DCA"/>
    <w:rsid w:val="75895C6B"/>
    <w:rsid w:val="758F3A2A"/>
    <w:rsid w:val="7595284C"/>
    <w:rsid w:val="759638CA"/>
    <w:rsid w:val="7599617F"/>
    <w:rsid w:val="759A19E2"/>
    <w:rsid w:val="759D7802"/>
    <w:rsid w:val="75A011FF"/>
    <w:rsid w:val="75A70E4F"/>
    <w:rsid w:val="75AA3F51"/>
    <w:rsid w:val="75B11420"/>
    <w:rsid w:val="75B263D3"/>
    <w:rsid w:val="75CB7A28"/>
    <w:rsid w:val="75DA0294"/>
    <w:rsid w:val="75DC2372"/>
    <w:rsid w:val="75E16CC1"/>
    <w:rsid w:val="75F22E0F"/>
    <w:rsid w:val="7600000E"/>
    <w:rsid w:val="760021B6"/>
    <w:rsid w:val="760950F4"/>
    <w:rsid w:val="76122AB3"/>
    <w:rsid w:val="76127806"/>
    <w:rsid w:val="76154B74"/>
    <w:rsid w:val="761C414A"/>
    <w:rsid w:val="761D237D"/>
    <w:rsid w:val="762721D0"/>
    <w:rsid w:val="76292CB3"/>
    <w:rsid w:val="76380CDC"/>
    <w:rsid w:val="76383420"/>
    <w:rsid w:val="76411431"/>
    <w:rsid w:val="7649562B"/>
    <w:rsid w:val="764F7C59"/>
    <w:rsid w:val="76536622"/>
    <w:rsid w:val="765566B4"/>
    <w:rsid w:val="76605088"/>
    <w:rsid w:val="76617C2E"/>
    <w:rsid w:val="76636412"/>
    <w:rsid w:val="766477E2"/>
    <w:rsid w:val="7668119A"/>
    <w:rsid w:val="766966D4"/>
    <w:rsid w:val="766E17F9"/>
    <w:rsid w:val="76804CD3"/>
    <w:rsid w:val="76894FB9"/>
    <w:rsid w:val="768C1EBA"/>
    <w:rsid w:val="768E260E"/>
    <w:rsid w:val="769222A0"/>
    <w:rsid w:val="769568F8"/>
    <w:rsid w:val="76993596"/>
    <w:rsid w:val="769F0134"/>
    <w:rsid w:val="76A65C22"/>
    <w:rsid w:val="76B14AAD"/>
    <w:rsid w:val="76B44C21"/>
    <w:rsid w:val="76C118A2"/>
    <w:rsid w:val="76C32B57"/>
    <w:rsid w:val="76C63D93"/>
    <w:rsid w:val="76CB0A63"/>
    <w:rsid w:val="76D25527"/>
    <w:rsid w:val="76D81970"/>
    <w:rsid w:val="76DD3810"/>
    <w:rsid w:val="76E451C7"/>
    <w:rsid w:val="76E472DD"/>
    <w:rsid w:val="76E8548D"/>
    <w:rsid w:val="76ED3B38"/>
    <w:rsid w:val="76F13EA7"/>
    <w:rsid w:val="76F14581"/>
    <w:rsid w:val="76F3209A"/>
    <w:rsid w:val="76F77BBD"/>
    <w:rsid w:val="76FD22EC"/>
    <w:rsid w:val="76FD6D57"/>
    <w:rsid w:val="77030B27"/>
    <w:rsid w:val="77034D41"/>
    <w:rsid w:val="77041D95"/>
    <w:rsid w:val="77095079"/>
    <w:rsid w:val="7718408C"/>
    <w:rsid w:val="771D7BC5"/>
    <w:rsid w:val="7723073F"/>
    <w:rsid w:val="772527B2"/>
    <w:rsid w:val="772A6A8E"/>
    <w:rsid w:val="773B25F8"/>
    <w:rsid w:val="773B48CE"/>
    <w:rsid w:val="773D0C62"/>
    <w:rsid w:val="773F62E5"/>
    <w:rsid w:val="7743414C"/>
    <w:rsid w:val="774551B5"/>
    <w:rsid w:val="775124A2"/>
    <w:rsid w:val="77523DCF"/>
    <w:rsid w:val="77591191"/>
    <w:rsid w:val="77606B3D"/>
    <w:rsid w:val="776870B9"/>
    <w:rsid w:val="776967FB"/>
    <w:rsid w:val="776D4583"/>
    <w:rsid w:val="7776540C"/>
    <w:rsid w:val="777A37E1"/>
    <w:rsid w:val="778100C2"/>
    <w:rsid w:val="778121B3"/>
    <w:rsid w:val="77855EB4"/>
    <w:rsid w:val="779D35D8"/>
    <w:rsid w:val="77A94947"/>
    <w:rsid w:val="77AA135C"/>
    <w:rsid w:val="77AB510D"/>
    <w:rsid w:val="77AB7E27"/>
    <w:rsid w:val="77AC14DA"/>
    <w:rsid w:val="77AD64CA"/>
    <w:rsid w:val="77AF3504"/>
    <w:rsid w:val="77B36F7C"/>
    <w:rsid w:val="77BC6B30"/>
    <w:rsid w:val="77BE1BC2"/>
    <w:rsid w:val="77C75FA5"/>
    <w:rsid w:val="77C926F0"/>
    <w:rsid w:val="77CA0362"/>
    <w:rsid w:val="77D17A81"/>
    <w:rsid w:val="77D2359F"/>
    <w:rsid w:val="77E40C30"/>
    <w:rsid w:val="77FC1B84"/>
    <w:rsid w:val="77FF3177"/>
    <w:rsid w:val="780254EB"/>
    <w:rsid w:val="78055C6F"/>
    <w:rsid w:val="780752E6"/>
    <w:rsid w:val="780B6CC7"/>
    <w:rsid w:val="78153F77"/>
    <w:rsid w:val="78155CF2"/>
    <w:rsid w:val="78167C52"/>
    <w:rsid w:val="78185315"/>
    <w:rsid w:val="781C67FA"/>
    <w:rsid w:val="782378AE"/>
    <w:rsid w:val="78296DAC"/>
    <w:rsid w:val="783267CC"/>
    <w:rsid w:val="783E418B"/>
    <w:rsid w:val="783F1754"/>
    <w:rsid w:val="784A7790"/>
    <w:rsid w:val="784E3C01"/>
    <w:rsid w:val="78570849"/>
    <w:rsid w:val="78575D9F"/>
    <w:rsid w:val="785B5DBF"/>
    <w:rsid w:val="78600977"/>
    <w:rsid w:val="78617AF2"/>
    <w:rsid w:val="78626899"/>
    <w:rsid w:val="786421F2"/>
    <w:rsid w:val="786616B3"/>
    <w:rsid w:val="786E5D08"/>
    <w:rsid w:val="787D41E5"/>
    <w:rsid w:val="787E7A1D"/>
    <w:rsid w:val="78812F7C"/>
    <w:rsid w:val="789054AC"/>
    <w:rsid w:val="789469EF"/>
    <w:rsid w:val="78975C7D"/>
    <w:rsid w:val="78A51B95"/>
    <w:rsid w:val="78AA6975"/>
    <w:rsid w:val="78B15E1D"/>
    <w:rsid w:val="78C15B1C"/>
    <w:rsid w:val="78C359B3"/>
    <w:rsid w:val="78C653C1"/>
    <w:rsid w:val="78C9190A"/>
    <w:rsid w:val="78C97D4F"/>
    <w:rsid w:val="78CC0493"/>
    <w:rsid w:val="78DB3FCA"/>
    <w:rsid w:val="78EC2D52"/>
    <w:rsid w:val="78F5480C"/>
    <w:rsid w:val="78FA7F8E"/>
    <w:rsid w:val="79036E66"/>
    <w:rsid w:val="790945D5"/>
    <w:rsid w:val="790B5E2B"/>
    <w:rsid w:val="790E47EA"/>
    <w:rsid w:val="790E548B"/>
    <w:rsid w:val="79104E2B"/>
    <w:rsid w:val="79135CA0"/>
    <w:rsid w:val="791467F0"/>
    <w:rsid w:val="7915089E"/>
    <w:rsid w:val="791A58CD"/>
    <w:rsid w:val="791D6D3A"/>
    <w:rsid w:val="791F537B"/>
    <w:rsid w:val="79344437"/>
    <w:rsid w:val="79367982"/>
    <w:rsid w:val="793D5C2F"/>
    <w:rsid w:val="793E1D3B"/>
    <w:rsid w:val="793F7F0E"/>
    <w:rsid w:val="79424F87"/>
    <w:rsid w:val="794A336F"/>
    <w:rsid w:val="794B6C37"/>
    <w:rsid w:val="79537099"/>
    <w:rsid w:val="79552D08"/>
    <w:rsid w:val="7957124C"/>
    <w:rsid w:val="795E7ED2"/>
    <w:rsid w:val="79672E22"/>
    <w:rsid w:val="79677010"/>
    <w:rsid w:val="796E6578"/>
    <w:rsid w:val="79711579"/>
    <w:rsid w:val="797121AE"/>
    <w:rsid w:val="797761C6"/>
    <w:rsid w:val="797E1825"/>
    <w:rsid w:val="79994E18"/>
    <w:rsid w:val="79A7288D"/>
    <w:rsid w:val="79AA3C4E"/>
    <w:rsid w:val="79AE312A"/>
    <w:rsid w:val="79B3208C"/>
    <w:rsid w:val="79B70130"/>
    <w:rsid w:val="79BD5598"/>
    <w:rsid w:val="79C8453B"/>
    <w:rsid w:val="79CB0706"/>
    <w:rsid w:val="79CB0751"/>
    <w:rsid w:val="79CE66ED"/>
    <w:rsid w:val="79CF6E25"/>
    <w:rsid w:val="79D42664"/>
    <w:rsid w:val="79D51250"/>
    <w:rsid w:val="79DB4236"/>
    <w:rsid w:val="79E46B39"/>
    <w:rsid w:val="79E66C93"/>
    <w:rsid w:val="79F16E80"/>
    <w:rsid w:val="79F32B94"/>
    <w:rsid w:val="79F842C2"/>
    <w:rsid w:val="79FA0A29"/>
    <w:rsid w:val="79FC6E04"/>
    <w:rsid w:val="79FE2A4E"/>
    <w:rsid w:val="7A0241AD"/>
    <w:rsid w:val="7A081D42"/>
    <w:rsid w:val="7A0A6E0F"/>
    <w:rsid w:val="7A0A7223"/>
    <w:rsid w:val="7A0C4EA7"/>
    <w:rsid w:val="7A12552F"/>
    <w:rsid w:val="7A1524DD"/>
    <w:rsid w:val="7A1A1772"/>
    <w:rsid w:val="7A1E1DC3"/>
    <w:rsid w:val="7A2751AD"/>
    <w:rsid w:val="7A276994"/>
    <w:rsid w:val="7A2C129F"/>
    <w:rsid w:val="7A3B034D"/>
    <w:rsid w:val="7A3B1C6C"/>
    <w:rsid w:val="7A3F158B"/>
    <w:rsid w:val="7A4A132A"/>
    <w:rsid w:val="7A535840"/>
    <w:rsid w:val="7A5566EE"/>
    <w:rsid w:val="7A646A69"/>
    <w:rsid w:val="7A6736BC"/>
    <w:rsid w:val="7A6A7B3B"/>
    <w:rsid w:val="7A7060B4"/>
    <w:rsid w:val="7A7067FA"/>
    <w:rsid w:val="7A721F7E"/>
    <w:rsid w:val="7A746574"/>
    <w:rsid w:val="7A7678E5"/>
    <w:rsid w:val="7A7A585C"/>
    <w:rsid w:val="7A7B24DD"/>
    <w:rsid w:val="7A7D2094"/>
    <w:rsid w:val="7A7F65CA"/>
    <w:rsid w:val="7A844954"/>
    <w:rsid w:val="7A867241"/>
    <w:rsid w:val="7A876B11"/>
    <w:rsid w:val="7A88301C"/>
    <w:rsid w:val="7A963A48"/>
    <w:rsid w:val="7A9660A3"/>
    <w:rsid w:val="7A9861CB"/>
    <w:rsid w:val="7A986784"/>
    <w:rsid w:val="7ABB3E82"/>
    <w:rsid w:val="7AC3568E"/>
    <w:rsid w:val="7AC449C6"/>
    <w:rsid w:val="7AD17D6D"/>
    <w:rsid w:val="7AD71052"/>
    <w:rsid w:val="7AD9797E"/>
    <w:rsid w:val="7ADE3DB2"/>
    <w:rsid w:val="7AE5682B"/>
    <w:rsid w:val="7AEE60EE"/>
    <w:rsid w:val="7AFE6C9A"/>
    <w:rsid w:val="7B0E060E"/>
    <w:rsid w:val="7B0F5219"/>
    <w:rsid w:val="7B177A77"/>
    <w:rsid w:val="7B193032"/>
    <w:rsid w:val="7B1B1CF8"/>
    <w:rsid w:val="7B26484C"/>
    <w:rsid w:val="7B2B13FD"/>
    <w:rsid w:val="7B3339FA"/>
    <w:rsid w:val="7B346599"/>
    <w:rsid w:val="7B3C25E5"/>
    <w:rsid w:val="7B44094D"/>
    <w:rsid w:val="7B460BFD"/>
    <w:rsid w:val="7B4910BE"/>
    <w:rsid w:val="7B4A7A19"/>
    <w:rsid w:val="7B50325A"/>
    <w:rsid w:val="7B5D3226"/>
    <w:rsid w:val="7B5E4EEC"/>
    <w:rsid w:val="7B624A61"/>
    <w:rsid w:val="7B674BD7"/>
    <w:rsid w:val="7B6D1622"/>
    <w:rsid w:val="7B6E2192"/>
    <w:rsid w:val="7B71585E"/>
    <w:rsid w:val="7B722498"/>
    <w:rsid w:val="7B782690"/>
    <w:rsid w:val="7B793E87"/>
    <w:rsid w:val="7B7C50C8"/>
    <w:rsid w:val="7B7F3966"/>
    <w:rsid w:val="7B80148D"/>
    <w:rsid w:val="7B821ADA"/>
    <w:rsid w:val="7B8F5DA2"/>
    <w:rsid w:val="7B926883"/>
    <w:rsid w:val="7BA34FB1"/>
    <w:rsid w:val="7BA4369C"/>
    <w:rsid w:val="7BA71440"/>
    <w:rsid w:val="7BAE696E"/>
    <w:rsid w:val="7BAF3C86"/>
    <w:rsid w:val="7BC23E12"/>
    <w:rsid w:val="7BC45CF4"/>
    <w:rsid w:val="7BC92A6F"/>
    <w:rsid w:val="7BD36780"/>
    <w:rsid w:val="7BD4048E"/>
    <w:rsid w:val="7BD968AC"/>
    <w:rsid w:val="7BDE060F"/>
    <w:rsid w:val="7BDE524C"/>
    <w:rsid w:val="7BDF5DF5"/>
    <w:rsid w:val="7BE908F3"/>
    <w:rsid w:val="7BE9784F"/>
    <w:rsid w:val="7BEA5E74"/>
    <w:rsid w:val="7BF00328"/>
    <w:rsid w:val="7BF577C1"/>
    <w:rsid w:val="7BF9001B"/>
    <w:rsid w:val="7BFE0389"/>
    <w:rsid w:val="7BFE08FA"/>
    <w:rsid w:val="7C091716"/>
    <w:rsid w:val="7C126AEB"/>
    <w:rsid w:val="7C1F2070"/>
    <w:rsid w:val="7C260105"/>
    <w:rsid w:val="7C2900A2"/>
    <w:rsid w:val="7C295D17"/>
    <w:rsid w:val="7C2A10CD"/>
    <w:rsid w:val="7C2C0E73"/>
    <w:rsid w:val="7C2D2AE7"/>
    <w:rsid w:val="7C2E5247"/>
    <w:rsid w:val="7C4A06A1"/>
    <w:rsid w:val="7C4A5A50"/>
    <w:rsid w:val="7C4B681D"/>
    <w:rsid w:val="7C4C575E"/>
    <w:rsid w:val="7C640974"/>
    <w:rsid w:val="7C643EF7"/>
    <w:rsid w:val="7C690B20"/>
    <w:rsid w:val="7C71523C"/>
    <w:rsid w:val="7C724EAE"/>
    <w:rsid w:val="7C780AD5"/>
    <w:rsid w:val="7C7A14F2"/>
    <w:rsid w:val="7C7E2FFC"/>
    <w:rsid w:val="7C7F038C"/>
    <w:rsid w:val="7C867154"/>
    <w:rsid w:val="7C8A49AA"/>
    <w:rsid w:val="7C8F78D5"/>
    <w:rsid w:val="7C9427B3"/>
    <w:rsid w:val="7C9E5A77"/>
    <w:rsid w:val="7CA777DA"/>
    <w:rsid w:val="7CAD2B44"/>
    <w:rsid w:val="7CB74F4A"/>
    <w:rsid w:val="7CB80138"/>
    <w:rsid w:val="7CB838AF"/>
    <w:rsid w:val="7CBE6F50"/>
    <w:rsid w:val="7CC639C6"/>
    <w:rsid w:val="7CC96839"/>
    <w:rsid w:val="7CCC3CFE"/>
    <w:rsid w:val="7CCD12D3"/>
    <w:rsid w:val="7CD505D1"/>
    <w:rsid w:val="7CD534FD"/>
    <w:rsid w:val="7CD6692A"/>
    <w:rsid w:val="7CDE11DF"/>
    <w:rsid w:val="7CE215AC"/>
    <w:rsid w:val="7CE25B4A"/>
    <w:rsid w:val="7CE3422B"/>
    <w:rsid w:val="7CE5443B"/>
    <w:rsid w:val="7CE76B7F"/>
    <w:rsid w:val="7CED09D9"/>
    <w:rsid w:val="7CF436AD"/>
    <w:rsid w:val="7CF87323"/>
    <w:rsid w:val="7CFC65E9"/>
    <w:rsid w:val="7CFD1F2F"/>
    <w:rsid w:val="7CFF2442"/>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05530"/>
    <w:rsid w:val="7D4241A1"/>
    <w:rsid w:val="7D452B7F"/>
    <w:rsid w:val="7D497FAA"/>
    <w:rsid w:val="7D526E71"/>
    <w:rsid w:val="7D532432"/>
    <w:rsid w:val="7D5A5BFC"/>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71DAD"/>
    <w:rsid w:val="7DC8040C"/>
    <w:rsid w:val="7DC85A3E"/>
    <w:rsid w:val="7DCD3893"/>
    <w:rsid w:val="7DCE15A0"/>
    <w:rsid w:val="7DCF3C5F"/>
    <w:rsid w:val="7DD03D33"/>
    <w:rsid w:val="7DD410E6"/>
    <w:rsid w:val="7DD603AD"/>
    <w:rsid w:val="7DD82F1A"/>
    <w:rsid w:val="7DDA1110"/>
    <w:rsid w:val="7DE020DC"/>
    <w:rsid w:val="7DE449CE"/>
    <w:rsid w:val="7DE7722C"/>
    <w:rsid w:val="7DEC05A8"/>
    <w:rsid w:val="7DED1348"/>
    <w:rsid w:val="7DEE71DF"/>
    <w:rsid w:val="7DF66186"/>
    <w:rsid w:val="7E007B1A"/>
    <w:rsid w:val="7E0A5EA4"/>
    <w:rsid w:val="7E0A72D5"/>
    <w:rsid w:val="7E0B3C08"/>
    <w:rsid w:val="7E154422"/>
    <w:rsid w:val="7E1C2B95"/>
    <w:rsid w:val="7E1E3CF4"/>
    <w:rsid w:val="7E212526"/>
    <w:rsid w:val="7E262B03"/>
    <w:rsid w:val="7E29766E"/>
    <w:rsid w:val="7E2E765A"/>
    <w:rsid w:val="7E324C10"/>
    <w:rsid w:val="7E324D32"/>
    <w:rsid w:val="7E3B7336"/>
    <w:rsid w:val="7E3D35D7"/>
    <w:rsid w:val="7E466A84"/>
    <w:rsid w:val="7E472FFE"/>
    <w:rsid w:val="7E4A6379"/>
    <w:rsid w:val="7E5248E3"/>
    <w:rsid w:val="7E5A2EA0"/>
    <w:rsid w:val="7E66305F"/>
    <w:rsid w:val="7E6854DB"/>
    <w:rsid w:val="7E6C43B3"/>
    <w:rsid w:val="7E7311AB"/>
    <w:rsid w:val="7E77762F"/>
    <w:rsid w:val="7E793E63"/>
    <w:rsid w:val="7E7B1715"/>
    <w:rsid w:val="7E8031F2"/>
    <w:rsid w:val="7E860496"/>
    <w:rsid w:val="7E956D81"/>
    <w:rsid w:val="7E9611E7"/>
    <w:rsid w:val="7E9963F8"/>
    <w:rsid w:val="7E9D0633"/>
    <w:rsid w:val="7EA82B9C"/>
    <w:rsid w:val="7EA95574"/>
    <w:rsid w:val="7EB13A3E"/>
    <w:rsid w:val="7EB16AB6"/>
    <w:rsid w:val="7EBD651F"/>
    <w:rsid w:val="7EC05F3D"/>
    <w:rsid w:val="7EC07C28"/>
    <w:rsid w:val="7ECB3BBC"/>
    <w:rsid w:val="7ED27810"/>
    <w:rsid w:val="7ED83896"/>
    <w:rsid w:val="7EDC2729"/>
    <w:rsid w:val="7EE15DD1"/>
    <w:rsid w:val="7EEB46E8"/>
    <w:rsid w:val="7EEE3759"/>
    <w:rsid w:val="7EF04016"/>
    <w:rsid w:val="7EF94F98"/>
    <w:rsid w:val="7EFB200E"/>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5C5B37"/>
    <w:rsid w:val="7F6566E6"/>
    <w:rsid w:val="7F6A7C64"/>
    <w:rsid w:val="7F6B0BA4"/>
    <w:rsid w:val="7F6E0CE1"/>
    <w:rsid w:val="7F6F6E86"/>
    <w:rsid w:val="7F8A3738"/>
    <w:rsid w:val="7F8B3191"/>
    <w:rsid w:val="7F8C0C31"/>
    <w:rsid w:val="7F8E4655"/>
    <w:rsid w:val="7F8E6809"/>
    <w:rsid w:val="7F987985"/>
    <w:rsid w:val="7F992C82"/>
    <w:rsid w:val="7F9C63C5"/>
    <w:rsid w:val="7F9E0C2E"/>
    <w:rsid w:val="7FA23301"/>
    <w:rsid w:val="7FAF35C9"/>
    <w:rsid w:val="7FAF535A"/>
    <w:rsid w:val="7FB620B9"/>
    <w:rsid w:val="7FBE4780"/>
    <w:rsid w:val="7FC07CDA"/>
    <w:rsid w:val="7FC33EC6"/>
    <w:rsid w:val="7FD30895"/>
    <w:rsid w:val="7FD52EF4"/>
    <w:rsid w:val="7FE932BA"/>
    <w:rsid w:val="7FEC3423"/>
    <w:rsid w:val="7FFD6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rFonts w:ascii="Calibri" w:hAnsi="Calibri" w:cs="Times New Roman"/>
      <w:b/>
      <w:bCs/>
      <w:kern w:val="44"/>
      <w:sz w:val="44"/>
      <w:szCs w:val="4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0"/>
    <w:rPr>
      <w:b/>
      <w:sz w:val="21"/>
      <w:szCs w:val="21"/>
    </w:rPr>
  </w:style>
  <w:style w:type="character" w:styleId="10">
    <w:name w:val="FollowedHyperlink"/>
    <w:basedOn w:val="8"/>
    <w:qFormat/>
    <w:uiPriority w:val="0"/>
    <w:rPr>
      <w:color w:val="4D7AD8"/>
      <w:u w:val="none"/>
    </w:rPr>
  </w:style>
  <w:style w:type="character" w:styleId="11">
    <w:name w:val="HTML Definition"/>
    <w:basedOn w:val="8"/>
    <w:qFormat/>
    <w:uiPriority w:val="0"/>
    <w:rPr>
      <w:i/>
      <w:bdr w:val="single" w:color="D9D9D9" w:sz="6" w:space="0"/>
      <w:shd w:val="clear" w:fill="FFFFFF"/>
    </w:rPr>
  </w:style>
  <w:style w:type="character" w:styleId="12">
    <w:name w:val="Hyperlink"/>
    <w:basedOn w:val="8"/>
    <w:qFormat/>
    <w:uiPriority w:val="0"/>
    <w:rPr>
      <w:color w:val="0000FF"/>
      <w:u w:val="single"/>
    </w:rPr>
  </w:style>
  <w:style w:type="character" w:styleId="13">
    <w:name w:val="HTML Code"/>
    <w:basedOn w:val="8"/>
    <w:qFormat/>
    <w:uiPriority w:val="0"/>
    <w:rPr>
      <w:rFonts w:hint="default" w:ascii="Consolas" w:hAnsi="Consolas" w:eastAsia="Consolas" w:cs="Consolas"/>
      <w:sz w:val="21"/>
      <w:szCs w:val="21"/>
    </w:rPr>
  </w:style>
  <w:style w:type="character" w:styleId="14">
    <w:name w:val="HTML Keyboard"/>
    <w:basedOn w:val="8"/>
    <w:qFormat/>
    <w:uiPriority w:val="0"/>
    <w:rPr>
      <w:rFonts w:ascii="Consolas" w:hAnsi="Consolas" w:eastAsia="Consolas" w:cs="Consolas"/>
      <w:color w:val="666666"/>
      <w:sz w:val="21"/>
      <w:szCs w:val="21"/>
    </w:rPr>
  </w:style>
  <w:style w:type="character" w:styleId="15">
    <w:name w:val="HTML Sample"/>
    <w:basedOn w:val="8"/>
    <w:qFormat/>
    <w:uiPriority w:val="0"/>
    <w:rPr>
      <w:rFonts w:hint="default" w:ascii="Consolas" w:hAnsi="Consolas" w:eastAsia="Consolas" w:cs="Consolas"/>
      <w:sz w:val="21"/>
      <w:szCs w:val="21"/>
    </w:rPr>
  </w:style>
  <w:style w:type="character" w:customStyle="1" w:styleId="16">
    <w:name w:val="first-child2"/>
    <w:basedOn w:val="8"/>
    <w:qFormat/>
    <w:uiPriority w:val="0"/>
    <w:rPr>
      <w:sz w:val="13"/>
      <w:szCs w:val="13"/>
    </w:rPr>
  </w:style>
  <w:style w:type="character" w:customStyle="1" w:styleId="17">
    <w:name w:val="ant-select-tree-switcher"/>
    <w:basedOn w:val="8"/>
    <w:qFormat/>
    <w:uiPriority w:val="0"/>
  </w:style>
  <w:style w:type="character" w:customStyle="1" w:styleId="18">
    <w:name w:val="ant-tree-iconele"/>
    <w:basedOn w:val="8"/>
    <w:qFormat/>
    <w:uiPriority w:val="0"/>
  </w:style>
  <w:style w:type="character" w:customStyle="1" w:styleId="19">
    <w:name w:val="ant-radio+*"/>
    <w:basedOn w:val="8"/>
    <w:qFormat/>
    <w:uiPriority w:val="0"/>
  </w:style>
  <w:style w:type="character" w:customStyle="1" w:styleId="20">
    <w:name w:val="selected4"/>
    <w:basedOn w:val="8"/>
    <w:qFormat/>
    <w:uiPriority w:val="0"/>
  </w:style>
  <w:style w:type="character" w:customStyle="1" w:styleId="21">
    <w:name w:val="selected5"/>
    <w:basedOn w:val="8"/>
    <w:qFormat/>
    <w:uiPriority w:val="0"/>
  </w:style>
  <w:style w:type="character" w:customStyle="1" w:styleId="22">
    <w:name w:val="selected6"/>
    <w:basedOn w:val="8"/>
    <w:qFormat/>
    <w:uiPriority w:val="0"/>
  </w:style>
  <w:style w:type="character" w:customStyle="1" w:styleId="23">
    <w:name w:val="button"/>
    <w:basedOn w:val="8"/>
    <w:qFormat/>
    <w:uiPriority w:val="0"/>
  </w:style>
  <w:style w:type="character" w:customStyle="1" w:styleId="24">
    <w:name w:val="hover19"/>
    <w:basedOn w:val="8"/>
    <w:qFormat/>
    <w:uiPriority w:val="0"/>
    <w:rPr>
      <w:color w:val="009DFF"/>
    </w:rPr>
  </w:style>
  <w:style w:type="character" w:customStyle="1" w:styleId="25">
    <w:name w:val="hover20"/>
    <w:basedOn w:val="8"/>
    <w:qFormat/>
    <w:uiPriority w:val="0"/>
    <w:rPr>
      <w:color w:val="009DFF"/>
    </w:rPr>
  </w:style>
  <w:style w:type="character" w:customStyle="1" w:styleId="26">
    <w:name w:val="ant-tree-switcher"/>
    <w:basedOn w:val="8"/>
    <w:qFormat/>
    <w:uiPriority w:val="0"/>
  </w:style>
  <w:style w:type="character" w:customStyle="1" w:styleId="27">
    <w:name w:val="ant-select-tree-checkbox2"/>
    <w:basedOn w:val="8"/>
    <w:qFormat/>
    <w:uiPriority w:val="0"/>
  </w:style>
  <w:style w:type="character" w:customStyle="1" w:styleId="28">
    <w:name w:val="ant-select-tree-iconele"/>
    <w:basedOn w:val="8"/>
    <w:qFormat/>
    <w:uiPriority w:val="0"/>
  </w:style>
  <w:style w:type="character" w:customStyle="1" w:styleId="29">
    <w:name w:val="ant-tree-checkbox6"/>
    <w:basedOn w:val="8"/>
    <w:qFormat/>
    <w:uiPriority w:val="0"/>
  </w:style>
  <w:style w:type="character" w:customStyle="1" w:styleId="30">
    <w:name w:val="wea-thumbnails-doc-content-subtitle"/>
    <w:basedOn w:val="8"/>
    <w:qFormat/>
    <w:uiPriority w:val="0"/>
    <w:rPr>
      <w:color w:val="9A9A9A"/>
    </w:rPr>
  </w:style>
  <w:style w:type="character" w:customStyle="1" w:styleId="31">
    <w:name w:val="ht_nestinglevel"/>
    <w:basedOn w:val="8"/>
    <w:qFormat/>
    <w:uiPriority w:val="0"/>
  </w:style>
  <w:style w:type="character" w:customStyle="1" w:styleId="32">
    <w:name w:val="ht_nestinglevel_empty"/>
    <w:basedOn w:val="8"/>
    <w:qFormat/>
    <w:uiPriority w:val="0"/>
  </w:style>
  <w:style w:type="character" w:customStyle="1" w:styleId="33">
    <w:name w:val="colheader"/>
    <w:basedOn w:val="8"/>
    <w:qFormat/>
    <w:uiPriority w:val="0"/>
  </w:style>
  <w:style w:type="character" w:customStyle="1" w:styleId="34">
    <w:name w:val="ant-tree-checkbox"/>
    <w:basedOn w:val="8"/>
    <w:qFormat/>
    <w:uiPriority w:val="0"/>
  </w:style>
  <w:style w:type="character" w:customStyle="1" w:styleId="35">
    <w:name w:val="first-child"/>
    <w:basedOn w:val="8"/>
    <w:qFormat/>
    <w:uiPriority w:val="0"/>
    <w:rPr>
      <w:sz w:val="13"/>
      <w:szCs w:val="13"/>
    </w:rPr>
  </w:style>
  <w:style w:type="character" w:customStyle="1" w:styleId="36">
    <w:name w:val="ant-tree-switcher6"/>
    <w:basedOn w:val="8"/>
    <w:qFormat/>
    <w:uiPriority w:val="0"/>
  </w:style>
  <w:style w:type="character" w:customStyle="1" w:styleId="37">
    <w:name w:val="selected"/>
    <w:basedOn w:val="8"/>
    <w:qFormat/>
    <w:uiPriority w:val="0"/>
  </w:style>
  <w:style w:type="character" w:customStyle="1" w:styleId="38">
    <w:name w:val="selected1"/>
    <w:basedOn w:val="8"/>
    <w:qFormat/>
    <w:uiPriority w:val="0"/>
  </w:style>
  <w:style w:type="character" w:customStyle="1" w:styleId="39">
    <w:name w:val="selected2"/>
    <w:basedOn w:val="8"/>
    <w:qFormat/>
    <w:uiPriority w:val="0"/>
  </w:style>
  <w:style w:type="character" w:customStyle="1" w:styleId="40">
    <w:name w:val="ant-select-tree-checkbox"/>
    <w:basedOn w:val="8"/>
    <w:qFormat/>
    <w:uiPriority w:val="0"/>
  </w:style>
  <w:style w:type="character" w:customStyle="1" w:styleId="41">
    <w:name w:val="ant-tree-switcher5"/>
    <w:basedOn w:val="8"/>
    <w:qFormat/>
    <w:uiPriority w:val="0"/>
  </w:style>
  <w:style w:type="character" w:customStyle="1" w:styleId="42">
    <w:name w:val="selected7"/>
    <w:basedOn w:val="8"/>
    <w:qFormat/>
    <w:uiPriority w:val="0"/>
  </w:style>
  <w:style w:type="character" w:customStyle="1" w:styleId="43">
    <w:name w:val="selected11"/>
    <w:basedOn w:val="8"/>
    <w:qFormat/>
    <w:uiPriority w:val="0"/>
  </w:style>
  <w:style w:type="character" w:customStyle="1" w:styleId="44">
    <w:name w:val="selected12"/>
    <w:basedOn w:val="8"/>
    <w:qFormat/>
    <w:uiPriority w:val="0"/>
  </w:style>
  <w:style w:type="character" w:customStyle="1" w:styleId="45">
    <w:name w:val="selected13"/>
    <w:basedOn w:val="8"/>
    <w:qFormat/>
    <w:uiPriority w:val="0"/>
  </w:style>
  <w:style w:type="character" w:customStyle="1" w:styleId="46">
    <w:name w:val="selected8"/>
    <w:basedOn w:val="8"/>
    <w:qFormat/>
    <w:uiPriority w:val="0"/>
  </w:style>
  <w:style w:type="character" w:customStyle="1" w:styleId="47">
    <w:name w:val="selected9"/>
    <w:basedOn w:val="8"/>
    <w:qFormat/>
    <w:uiPriority w:val="0"/>
  </w:style>
  <w:style w:type="character" w:customStyle="1" w:styleId="48">
    <w:name w:val="selected10"/>
    <w:basedOn w:val="8"/>
    <w:qFormat/>
    <w:uiPriority w:val="0"/>
  </w:style>
  <w:style w:type="character" w:customStyle="1" w:styleId="49">
    <w:name w:val="hover18"/>
    <w:basedOn w:val="8"/>
    <w:qFormat/>
    <w:uiPriority w:val="0"/>
    <w:rPr>
      <w:color w:val="009DFF"/>
    </w:rPr>
  </w:style>
  <w:style w:type="character" w:customStyle="1" w:styleId="50">
    <w:name w:val="ant-tree-checkbox5"/>
    <w:basedOn w:val="8"/>
    <w:qFormat/>
    <w:uiPriority w:val="0"/>
  </w:style>
  <w:style w:type="character" w:customStyle="1" w:styleId="51">
    <w:name w:val="ant-tree-switcher4"/>
    <w:basedOn w:val="8"/>
    <w:qFormat/>
    <w:uiPriority w:val="0"/>
  </w:style>
  <w:style w:type="character" w:customStyle="1" w:styleId="52">
    <w:name w:val="hover"/>
    <w:basedOn w:val="8"/>
    <w:qFormat/>
    <w:uiPriority w:val="0"/>
    <w:rPr>
      <w:color w:val="009DFF"/>
    </w:rPr>
  </w:style>
  <w:style w:type="character" w:customStyle="1" w:styleId="53">
    <w:name w:val="hover1"/>
    <w:basedOn w:val="8"/>
    <w:qFormat/>
    <w:uiPriority w:val="0"/>
    <w:rPr>
      <w:color w:val="009DFF"/>
    </w:rPr>
  </w:style>
  <w:style w:type="character" w:customStyle="1" w:styleId="54">
    <w:name w:val="hover15"/>
    <w:basedOn w:val="8"/>
    <w:qFormat/>
    <w:uiPriority w:val="0"/>
    <w:rPr>
      <w:color w:val="009DFF"/>
    </w:rPr>
  </w:style>
  <w:style w:type="character" w:customStyle="1" w:styleId="55">
    <w:name w:val="hover16"/>
    <w:basedOn w:val="8"/>
    <w:qFormat/>
    <w:uiPriority w:val="0"/>
    <w:rPr>
      <w:color w:val="009DFF"/>
    </w:rPr>
  </w:style>
  <w:style w:type="character" w:customStyle="1" w:styleId="56">
    <w:name w:val="ant-tree-checkbox4"/>
    <w:basedOn w:val="8"/>
    <w:qFormat/>
    <w:uiPriority w:val="0"/>
  </w:style>
  <w:style w:type="character" w:customStyle="1" w:styleId="57">
    <w:name w:val="hover17"/>
    <w:basedOn w:val="8"/>
    <w:qFormat/>
    <w:uiPriority w:val="0"/>
    <w:rPr>
      <w:color w:val="009DFF"/>
    </w:rPr>
  </w:style>
  <w:style w:type="character" w:customStyle="1" w:styleId="58">
    <w:name w:val="hover14"/>
    <w:basedOn w:val="8"/>
    <w:qFormat/>
    <w:uiPriority w:val="0"/>
    <w:rPr>
      <w:color w:val="009DFF"/>
    </w:rPr>
  </w:style>
  <w:style w:type="character" w:customStyle="1" w:styleId="59">
    <w:name w:val="hover13"/>
    <w:basedOn w:val="8"/>
    <w:qFormat/>
    <w:uiPriority w:val="0"/>
    <w:rPr>
      <w:color w:val="009DFF"/>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21554</Words>
  <Characters>22533</Characters>
  <Lines>1</Lines>
  <Paragraphs>1</Paragraphs>
  <TotalTime>89</TotalTime>
  <ScaleCrop>false</ScaleCrop>
  <LinksUpToDate>false</LinksUpToDate>
  <CharactersWithSpaces>22621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wowowo0080</cp:lastModifiedBy>
  <cp:lastPrinted>2026-04-07T07:03:00Z</cp:lastPrinted>
  <dcterms:modified xsi:type="dcterms:W3CDTF">2026-04-09T09:32:11Z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B20D8B5F72404B3391EBD2B4E0C81EBE_13</vt:lpwstr>
  </property>
  <property fmtid="{D5CDD505-2E9C-101B-9397-08002B2CF9AE}" pid="4" name="KSOTemplateDocerSaveRecord">
    <vt:lpwstr>eyJoZGlkIjoiY2QwYzE4ODk1NjVlMzZkYjY3YjJhNDdmNzk5NjMwN2YiLCJ1c2VySWQiOiIyMTA0MDUyODgifQ==</vt:lpwstr>
  </property>
</Properties>
</file>