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18</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14</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6</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10</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省贸促会与省现代供应链协会开展工作交流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省贸促会组织欧盟企业走进溧阳 </w:t>
      </w:r>
      <w:bookmarkStart w:id="0" w:name="OLE_LINK1"/>
      <w:r>
        <w:rPr>
          <w:rFonts w:hint="eastAsia" w:ascii="Times New Roman" w:hAnsi="Times New Roman" w:eastAsia="方正楷体_GBK" w:cs="Times New Roman"/>
          <w:b/>
          <w:color w:val="auto"/>
          <w:spacing w:val="-11"/>
          <w:kern w:val="36"/>
          <w:sz w:val="30"/>
          <w:szCs w:val="30"/>
          <w:lang w:val="en-US" w:eastAsia="zh-CN"/>
        </w:rPr>
        <w:t xml:space="preserve"> </w:t>
      </w:r>
      <w:bookmarkStart w:id="1" w:name="OLE_LINK10"/>
      <w:r>
        <w:rPr>
          <w:rFonts w:hint="eastAsia" w:ascii="Times New Roman" w:hAnsi="Times New Roman" w:eastAsia="方正楷体_GBK" w:cs="Times New Roman"/>
          <w:b/>
          <w:color w:val="auto"/>
          <w:spacing w:val="-11"/>
          <w:kern w:val="36"/>
          <w:sz w:val="30"/>
          <w:szCs w:val="30"/>
          <w:lang w:val="en-US" w:eastAsia="zh-CN"/>
        </w:rPr>
        <w:t xml:space="preserve">/ </w:t>
      </w:r>
      <w:bookmarkEnd w:id="0"/>
      <w:r>
        <w:rPr>
          <w:rFonts w:hint="default" w:ascii="Times New Roman" w:hAnsi="Times New Roman" w:eastAsia="方正楷体_GBK" w:cs="Times New Roman"/>
          <w:b/>
          <w:color w:val="auto"/>
          <w:spacing w:val="-11"/>
          <w:kern w:val="36"/>
          <w:sz w:val="30"/>
          <w:szCs w:val="30"/>
          <w:lang w:val="en-US" w:eastAsia="zh-CN"/>
        </w:rPr>
        <w:t>02</w:t>
      </w:r>
      <w:bookmarkEnd w:id="1"/>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江苏-泰国投资推介活动在南通举行</w:t>
      </w:r>
      <w:r>
        <w:rPr>
          <w:rFonts w:hint="default" w:ascii="Times New Roman" w:hAnsi="Times New Roman" w:eastAsia="方正楷体_GBK" w:cs="Times New Roman"/>
          <w:b/>
          <w:color w:val="auto"/>
          <w:spacing w:val="-11"/>
          <w:kern w:val="36"/>
          <w:sz w:val="30"/>
          <w:szCs w:val="30"/>
          <w:lang w:val="en-US" w:eastAsia="zh-CN"/>
        </w:rPr>
        <w:t xml:space="preserve"> </w:t>
      </w:r>
      <w:bookmarkStart w:id="2" w:name="OLE_LINK12"/>
      <w:r>
        <w:rPr>
          <w:rFonts w:hint="eastAsia" w:ascii="Times New Roman" w:hAnsi="Times New Roman" w:eastAsia="方正楷体_GBK" w:cs="Times New Roman"/>
          <w:b/>
          <w:color w:val="auto"/>
          <w:spacing w:val="-11"/>
          <w:kern w:val="36"/>
          <w:sz w:val="30"/>
          <w:szCs w:val="30"/>
          <w:lang w:val="en-US" w:eastAsia="zh-CN"/>
        </w:rPr>
        <w:t xml:space="preserve"> /</w:t>
      </w:r>
      <w:bookmarkEnd w:id="2"/>
      <w:r>
        <w:rPr>
          <w:rFonts w:hint="default" w:ascii="Times New Roman" w:hAnsi="Times New Roman" w:eastAsia="方正楷体_GBK" w:cs="Times New Roman"/>
          <w:b/>
          <w:color w:val="auto"/>
          <w:spacing w:val="-11"/>
          <w:kern w:val="36"/>
          <w:sz w:val="30"/>
          <w:szCs w:val="30"/>
          <w:lang w:val="en-US" w:eastAsia="zh-CN"/>
        </w:rPr>
        <w:t>03</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苏豪控股集团旗下三大自主研发数字化平台入选江苏省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内外贸一体化融合发展综合服务平台</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非遗传承再出发：绣娘丝绸第五次世博之旅绽放华彩</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default" w:ascii="Times New Roman" w:hAnsi="Times New Roman" w:eastAsia="方正楷体_GBK" w:cs="Times New Roman"/>
          <w:b/>
          <w:color w:val="auto"/>
          <w:spacing w:val="0"/>
          <w:kern w:val="36"/>
          <w:sz w:val="30"/>
          <w:szCs w:val="30"/>
          <w:lang w:val="en-US" w:eastAsia="zh-CN"/>
        </w:rPr>
        <w:t>茂莱光学首个工商业光伏电站项目正式动工</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省贸促会与省现代供应链协会开展工作交流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6月9日下午，省贸促会会长王善华与来访的省现代供应链协会常务副会长江志平一行开展工作交流。省贸促会秘书长、二级巡视员杜培军参加座谈。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简要介绍省贸促会工作职能，重点介绍第三届中国国际供应链促进博览会相关情况。他表示，习近平总书记高度重视维护全球产业链供应链稳定畅通，中国国际供应链促进博览会是全球首个以供应链为主题的国家级展会，省贸促会按照省委、省政府工作要求，扎实推进前期参展筹备工作。希望与省现代供应链协会深化合作，发挥各自资源优势，推动更多江苏企业融入全球产业链供应链，为江苏加快建设具有世界聚合力的双向开放枢纽贡献更大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江志平介绍省现代供应链协</w:t>
      </w:r>
      <w:bookmarkStart w:id="12" w:name="_GoBack"/>
      <w:bookmarkEnd w:id="12"/>
      <w:r>
        <w:rPr>
          <w:rFonts w:hint="default" w:ascii="Times New Roman" w:hAnsi="Times New Roman" w:eastAsiaTheme="minorEastAsia" w:cstheme="minorEastAsia"/>
          <w:color w:val="auto"/>
          <w:spacing w:val="-17"/>
          <w:kern w:val="2"/>
          <w:sz w:val="32"/>
          <w:szCs w:val="32"/>
          <w:lang w:val="en-US" w:eastAsia="zh-CN" w:bidi="ar-SA"/>
        </w:rPr>
        <w:t>会基本情况，表示将进一步加强双方资源共享，积极发挥中国国际供应链促进博览会平台作用，支持江苏企业更好融入“双循环”的新发展格局。</w:t>
      </w:r>
    </w:p>
    <w:p>
      <w:pPr>
        <w:keepNext w:val="0"/>
        <w:keepLines w:val="0"/>
        <w:pageBreakBefore w:val="0"/>
        <w:widowControl w:val="0"/>
        <w:kinsoku/>
        <w:wordWrap/>
        <w:overflowPunct/>
        <w:topLinePunct w:val="0"/>
        <w:autoSpaceDE/>
        <w:autoSpaceDN/>
        <w:bidi w:val="0"/>
        <w:adjustRightInd/>
        <w:snapToGrid/>
        <w:ind w:left="0" w:firstLine="608" w:firstLineChars="200"/>
        <w:jc w:val="center"/>
        <w:textAlignment w:val="auto"/>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r>
        <w:rPr>
          <w:rFonts w:hint="eastAsia" w:ascii="Times New Roman" w:hAnsi="Times New Roman" w:eastAsia="方正楷体_GBK" w:cs="方正楷体_GBK"/>
          <w:b/>
          <w:bCs/>
          <w:color w:val="FF0000"/>
          <w:spacing w:val="0"/>
          <w:kern w:val="2"/>
          <w:sz w:val="32"/>
          <w:szCs w:val="32"/>
          <w:lang w:val="en-US" w:eastAsia="zh-CN" w:bidi="ar-SA"/>
        </w:rPr>
        <w:t>（贸易促进部）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省贸促会组织欧盟企业走进溧阳</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5月30日，境外机构、跨国公司江苏行——欧盟企业走进溧阳活动举行。省贸促会副会长丛苏峰、中国欧盟商会南京分会主席单建华出席并致辞。20余家欧盟跨国公司高管与当地相关部门和企业负责人开展互动交流，并深入溧阳产业链核心企业考察。常州市贸促会会长周逸俊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丛苏峰在对接交流会上简要介绍江苏开放型经济发展情况，希望通过本次活动吸引更多欧盟企业走进溧阳、走进江苏。单建华表示，在数智化、绿色化转型大背景下，溧阳动力电池、高端不锈钢产业等千亿级产业集群对欧盟企业有着非常大的吸引力。欧盟商会能源工作组副主席、液化空气中国研发有限公司能源转型总监和江苏国强兴晟能源科技股份有限公司、江苏华鹏变压器有限公司、南京塔塔汽车零部件系统有限公司、斯图加特联合展览公司代表就企业、产品及投资贸易等情况开展互动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在溧阳期间，省贸促会组织欧盟贸促机构和跨国企业代表赴溧阳高新区新能源科技馆、上汽时代动力系统有限公司、科华控股股份有限公司等地考察交流，近距离观摩电动汽车动力电池及汽车零部件的尖端技术，与汽车及新能源行业专家交流创新理念，深入了解中国“隐形冠军”供应商实力，并与行业同仁及地方政府代表建立联系，积极探寻发展机遇。</w:t>
      </w:r>
      <w:r>
        <w:rPr>
          <w:rFonts w:hint="default" w:ascii="Times New Roman" w:hAnsi="Times New Roman" w:cstheme="minorEastAsia"/>
          <w:color w:val="auto"/>
          <w:spacing w:val="-11"/>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（国际联络部、跨采中心）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江苏-泰国投资推介活动在南通举行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6月5日，江苏-泰国投资推介活动在南通举行。省贸促会副会长丛苏峰出席并致辞。南通市国际经济技术合作协会、南通市服装行业协会等有关商协会负责人及“走出去”企业代表60余人参加活动。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丛苏峰在致辞中表示，泰国是江苏在东盟的重要合作伙伴，也是江苏企业“走出去”的热门目的地。随着越来越多的江苏企业持续扩展泰国等东盟国家市场布局，江苏与东盟国家经贸往来不断迈上新的台阶。江苏省贸促会将不断加强与境外友好机构合作，搭建更多务实合作平台，持续推动中外经贸交流，为江苏塑造更高水平开放型经济新优势贡献更大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泰国投资促进委员会上海办事处主任钟宝芬详细介绍企业赴泰国投资的机遇和相关政策措施。北京市金杜（南京）律师事务所合伙人马笑匀、泰国汇商银行上海分行行长傅琼、中国银行泰国公司金融部副总经理姜琪梁分享企业赴泰投资风险防控与合规经营、泰国营商环境及相关金融服务等内容。南通市商务局介绍江苏省及南通市对外投资合作促进有关政策。参会企业与嘉宾积极互动，现场气氛热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为深入了解南通企业赴泰投资的实际需求，辅导和解答企业投资过程中遇到的相关问题，省贸促会和泰国投资促进委员会一行先后走访调研江苏里高智能家居有限公司、南通超达装备股份有限公司、南通天盛新能源股份有限公司、南通海珥玛科技股份有限公司等企业，并与南通国际经济技术合作协会座谈交流。</w:t>
      </w:r>
      <w:r>
        <w:rPr>
          <w:rFonts w:hint="default" w:ascii="Times New Roman" w:hAnsi="Times New Roman" w:cstheme="minorEastAsia"/>
          <w:color w:val="auto"/>
          <w:spacing w:val="-11"/>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w:t>
      </w:r>
      <w:r>
        <w:rPr>
          <w:rFonts w:hint="eastAsia" w:ascii="Times New Roman" w:hAnsi="Times New Roman" w:eastAsia="方正楷体_GBK" w:cs="方正楷体_GBK"/>
          <w:b/>
          <w:bCs/>
          <w:color w:val="FF0000"/>
          <w:spacing w:val="0"/>
          <w:kern w:val="2"/>
          <w:sz w:val="32"/>
          <w:szCs w:val="32"/>
          <w:lang w:val="en-US" w:eastAsia="zh-CN" w:bidi="ar-SA"/>
        </w:rPr>
        <w:t>国际商会秘书处</w:t>
      </w:r>
      <w:r>
        <w:rPr>
          <w:rFonts w:hint="default" w:ascii="Times New Roman" w:hAnsi="Times New Roman"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3" w:name="OLE_LINK2"/>
      <w:bookmarkStart w:id="4" w:name="OLE_LINK9"/>
      <w:bookmarkStart w:id="5" w:name="OLE_LINK3"/>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bookmarkStart w:id="6" w:name="OLE_LINK5"/>
      <w:r>
        <w:rPr>
          <w:rFonts w:hint="eastAsia" w:ascii="Times New Roman" w:hAnsi="Times New Roman" w:eastAsia="华文新魏" w:cs="Times New Roman"/>
          <w:b/>
          <w:bCs w:val="0"/>
          <w:color w:val="FF0000"/>
          <w:spacing w:val="-28"/>
          <w:kern w:val="36"/>
          <w:sz w:val="48"/>
          <w:szCs w:val="48"/>
          <w:lang w:val="en-US" w:eastAsia="zh-CN" w:bidi="ar-SA"/>
        </w:rPr>
        <w:t>苏豪控股集团旗下三大自主研发数字化平台入选江苏省内外贸一体化融合发展综合服务平台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日，江苏省商务厅公布内外贸一体化融合发展综合服务平台名单，我会副会长单位——江苏省苏豪控股集团有限公司旗下“苏豪云”平台、“汇纺通”纺织服装数字化平台和“苏豪通EB2B系统”三大自主研发平台成功入选，彰显了集团数字化转型和内外贸融合发展的成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从“汇纺通”纺织服装专业数字化系统，到“苏豪云”“苏豪通”跨境电商平台，苏豪控股集团坚持因地制宜培育贸易领域新质生产力，持续以技术创新、业态创新和模式创新，重塑传统产业基因，畅通“双循环”关键节点。未来，集团将聚焦内外贸一体化发展需求，加快产业结构优化调整，深耕专业能力建设，发挥创新引领作用，以数字化平台为纽带，赋能产业链上下游协同，助力江苏在内外贸一体化融合发展的道路上迈出更加坚实的步伐。</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：苏豪控股集团微信公众号）</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28"/>
          <w:kern w:val="36"/>
          <w:sz w:val="44"/>
          <w:szCs w:val="44"/>
          <w:lang w:val="en-US" w:eastAsia="zh-CN" w:bidi="ar-SA"/>
        </w:rPr>
        <w:t>非遗传承再出发：绣娘丝绸第五次世博之旅绽放华彩</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5月20日，以“携手美丽江苏，共创绿色未来”为主题的2025年日本大阪世博会中国馆江苏周活动盛大启幕。作为中国丝绸行业的领军品牌与非遗传承典范，我会副会长单位——苏州绣娘丝绸有限公司携非遗华服惊艳亮相，以苏绣技艺为核心，向世界展现中国丝绸的千年风华与当代创新，成为江苏文化走向世界的一张闪亮名片。</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开幕式上，两位礼仪身着绣娘丝绸设计的竹夏旗袍吸引了众多目光。竹夏旗袍采用植物染色，色调清新自然，搭配非遗画绣工艺，呈现出风动竹吟、清气盈怀、节节高升的美妙意境，与江苏周“绿色未来”主题深度契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作为中国丝绸行业标杆，绣娘丝绸已连续5届代表中国参展世博会（日本、上海、米兰、哈萨克斯坦、迪拜），持续让全球对中国丝绸文化有更深刻的认识。此次大阪之行，绣娘丝绸以竹夏旗袍为媒介，将苏绣的“针尖艺术”与“绿色理念”融为一体，再次向世界传递了东方美学，成为中国非遗“活起来、走出去”的生动缩影。</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648" w:firstLineChars="1200"/>
        <w:contextualSpacing/>
        <w:jc w:val="left"/>
        <w:textAlignment w:val="auto"/>
        <w:outlineLvl w:val="1"/>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：绣娘丝绸微信公众号）</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bookmarkStart w:id="7" w:name="OLE_LINK4"/>
      <w:bookmarkStart w:id="8" w:name="OLE_LINK7"/>
      <w:bookmarkStart w:id="9" w:name="OLE_LINK6"/>
      <w:bookmarkStart w:id="10" w:name="OLE_LINK14"/>
      <w:bookmarkStart w:id="11" w:name="OLE_LINK8"/>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bookmarkEnd w:id="7"/>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华文新魏" w:cs="Times New Roman"/>
          <w:b/>
          <w:bCs w:val="0"/>
          <w:color w:val="FF0000"/>
          <w:spacing w:val="-28"/>
          <w:kern w:val="36"/>
          <w:sz w:val="48"/>
          <w:szCs w:val="48"/>
          <w:lang w:val="en-US" w:eastAsia="zh-CN" w:bidi="ar-SA"/>
        </w:rPr>
        <w:t>茂莱光学首个工商业光伏电站项目正式动工</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在</w:t>
      </w:r>
      <w:r>
        <w:rPr>
          <w:rFonts w:hint="default" w:ascii="Times New Roman" w:hAnsi="Times New Roman" w:eastAsiaTheme="minorEastAsia" w:cstheme="minorEastAsia"/>
          <w:color w:val="auto"/>
          <w:spacing w:val="-11"/>
          <w:kern w:val="2"/>
          <w:sz w:val="32"/>
          <w:szCs w:val="32"/>
          <w:lang w:val="en-US" w:eastAsia="zh-CN" w:bidi="ar-SA"/>
        </w:rPr>
        <w:t>“双碳”战略引领下，</w:t>
      </w:r>
      <w:r>
        <w:rPr>
          <w:rFonts w:hint="eastAsia" w:ascii="Times New Roman" w:hAnsi="Times New Roman" w:eastAsiaTheme="minorEastAsia" w:cstheme="minorEastAsia"/>
          <w:color w:val="auto"/>
          <w:spacing w:val="-11"/>
          <w:kern w:val="2"/>
          <w:sz w:val="32"/>
          <w:szCs w:val="32"/>
          <w:lang w:val="en-US" w:eastAsia="zh-CN" w:bidi="ar-SA"/>
        </w:rPr>
        <w:t>我会理事单位——</w:t>
      </w:r>
      <w:r>
        <w:rPr>
          <w:rFonts w:hint="default" w:ascii="Times New Roman" w:hAnsi="Times New Roman" w:eastAsiaTheme="minorEastAsia" w:cstheme="minorEastAsia"/>
          <w:color w:val="auto"/>
          <w:spacing w:val="-11"/>
          <w:kern w:val="2"/>
          <w:sz w:val="32"/>
          <w:szCs w:val="32"/>
          <w:lang w:val="en-US" w:eastAsia="zh-CN" w:bidi="ar-SA"/>
        </w:rPr>
        <w:t>南京茂莱光学科技股份有限公司（股票代码：688502）迎来绿色制造新突破，首个工商业光伏电站项目正式动工。该项目将利用厂区近1万平方米屋顶资源，打造智能化清洁能源系统，助力企业降本增效与低碳转型双轨并行</w:t>
      </w:r>
      <w:r>
        <w:rPr>
          <w:rFonts w:hint="eastAsia" w:ascii="Times New Roman" w:hAnsi="Times New Roman" w:eastAsiaTheme="minorEastAsia" w:cstheme="minorEastAsia"/>
          <w:color w:val="auto"/>
          <w:spacing w:val="-11"/>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作为国产</w:t>
      </w:r>
      <w:r>
        <w:rPr>
          <w:rFonts w:hint="default" w:ascii="Times New Roman" w:hAnsi="Times New Roman" w:eastAsiaTheme="minorEastAsia" w:cstheme="minorEastAsia"/>
          <w:color w:val="auto"/>
          <w:spacing w:val="-11"/>
          <w:kern w:val="2"/>
          <w:sz w:val="32"/>
          <w:szCs w:val="32"/>
          <w:lang w:val="en-US" w:eastAsia="zh-CN" w:bidi="ar-SA"/>
        </w:rPr>
        <w:t>光学器件核心供应商，茂莱光学始终践行技术报国与可持续发展双使命。此次光伏电站建设，是继科创板上市（2023年3月）后的又一战略举措，标志着公司以“光科技”为支点，撬动绿色能源与高端制造融合新生态。</w:t>
      </w:r>
      <w:r>
        <w:rPr>
          <w:rFonts w:hint="eastAsia" w:ascii="Times New Roman" w:hAnsi="Times New Roman" w:eastAsiaTheme="minorEastAsia" w:cstheme="minorEastAsia"/>
          <w:color w:val="auto"/>
          <w:spacing w:val="-11"/>
          <w:kern w:val="2"/>
          <w:sz w:val="32"/>
          <w:szCs w:val="32"/>
          <w:lang w:val="en-US" w:eastAsia="zh-CN" w:bidi="ar-SA"/>
        </w:rPr>
        <w:t>电站计划于2025年8月竣工并网，冲刺江苏“十四五”清洁能源示范项目。</w:t>
      </w:r>
    </w:p>
    <w:bookmarkEnd w:id="8"/>
    <w:bookmarkEnd w:id="9"/>
    <w:bookmarkEnd w:id="10"/>
    <w:bookmarkEnd w:id="11"/>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：茂莱光学微信公众号）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bookmarkEnd w:id="6"/>
      <w:r>
        <w:rPr>
          <w:rFonts w:hint="default" w:ascii="Times New Roman" w:hAnsi="Times New Roman"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bookmarkEnd w:id="3"/>
      <w:bookmarkEnd w:id="4"/>
      <w:bookmarkEnd w:id="5"/>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372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2025-06-10T02:19:12Z</cp:lastPrinted>
  <dcterms:modified xsi:type="dcterms:W3CDTF">2025-06-10T08:28:33Z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