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38</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284</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9</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20</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全球</w:t>
      </w:r>
      <w:r>
        <w:rPr>
          <w:rFonts w:hint="eastAsia"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bCs w:val="0"/>
          <w:color w:val="auto"/>
          <w:spacing w:val="-11"/>
          <w:kern w:val="36"/>
          <w:sz w:val="30"/>
          <w:szCs w:val="30"/>
          <w:lang w:val="en-US" w:eastAsia="zh-CN"/>
        </w:rPr>
      </w:pPr>
      <w:r>
        <w:rPr>
          <w:rFonts w:hint="default" w:ascii="Times New Roman" w:hAnsi="Times New Roman" w:eastAsia="方正楷体_GBK" w:cs="Times New Roman"/>
          <w:b/>
          <w:bCs w:val="0"/>
          <w:color w:val="auto"/>
          <w:spacing w:val="0"/>
          <w:kern w:val="36"/>
          <w:sz w:val="30"/>
          <w:szCs w:val="30"/>
          <w:lang w:val="en-US" w:eastAsia="zh-CN"/>
        </w:rPr>
        <w:t>9月16日（周一）</w:t>
      </w:r>
      <w:r>
        <w:rPr>
          <w:rFonts w:hint="default" w:ascii="Times New Roman" w:hAnsi="Times New Roman" w:eastAsia="方正楷体_GBK" w:cs="Times New Roman"/>
          <w:b/>
          <w:bCs w:val="0"/>
          <w:color w:val="auto"/>
          <w:spacing w:val="-28"/>
          <w:kern w:val="36"/>
          <w:sz w:val="30"/>
          <w:szCs w:val="30"/>
          <w:lang w:val="en-US" w:eastAsia="zh-CN"/>
        </w:rPr>
        <w:t>美国科技公司和中国电动汽车，欧盟发布“竞争力报告”</w:t>
      </w:r>
      <w:r>
        <w:rPr>
          <w:rFonts w:hint="eastAsia" w:ascii="Times New Roman" w:hAnsi="Times New Roman" w:eastAsia="方正楷体_GBK" w:cs="Times New Roman"/>
          <w:b/>
          <w:bCs w:val="0"/>
          <w:color w:val="auto"/>
          <w:spacing w:val="0"/>
          <w:kern w:val="36"/>
          <w:sz w:val="30"/>
          <w:szCs w:val="30"/>
          <w:lang w:val="en-US" w:eastAsia="zh-CN"/>
        </w:rPr>
        <w:t xml:space="preserve"> / 01</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bCs w:val="0"/>
          <w:color w:val="auto"/>
          <w:spacing w:val="-11"/>
          <w:kern w:val="36"/>
          <w:sz w:val="30"/>
          <w:szCs w:val="30"/>
          <w:lang w:val="en-US" w:eastAsia="zh-CN"/>
        </w:rPr>
      </w:pPr>
      <w:r>
        <w:rPr>
          <w:rFonts w:hint="default" w:ascii="Times New Roman" w:hAnsi="Times New Roman" w:eastAsia="方正楷体_GBK" w:cs="Times New Roman"/>
          <w:b/>
          <w:bCs w:val="0"/>
          <w:color w:val="auto"/>
          <w:spacing w:val="0"/>
          <w:kern w:val="36"/>
          <w:sz w:val="30"/>
          <w:szCs w:val="30"/>
          <w:lang w:val="en-US" w:eastAsia="zh-CN"/>
        </w:rPr>
        <w:t>9月17日（周二）</w:t>
      </w:r>
      <w:r>
        <w:rPr>
          <w:rFonts w:hint="default" w:ascii="Times New Roman" w:hAnsi="Times New Roman" w:eastAsia="方正楷体_GBK" w:cs="Times New Roman"/>
          <w:b/>
          <w:bCs w:val="0"/>
          <w:color w:val="auto"/>
          <w:spacing w:val="-11"/>
          <w:kern w:val="36"/>
          <w:sz w:val="30"/>
          <w:szCs w:val="30"/>
          <w:lang w:val="en-US" w:eastAsia="zh-CN"/>
        </w:rPr>
        <w:t>“草莓”来了，AI不是泡沫</w:t>
      </w:r>
      <w:r>
        <w:rPr>
          <w:rFonts w:hint="eastAsia" w:ascii="Times New Roman" w:hAnsi="Times New Roman" w:eastAsia="方正楷体_GBK" w:cs="Times New Roman"/>
          <w:b/>
          <w:bCs w:val="0"/>
          <w:color w:val="auto"/>
          <w:spacing w:val="-11"/>
          <w:kern w:val="36"/>
          <w:sz w:val="30"/>
          <w:szCs w:val="30"/>
          <w:lang w:val="en-US" w:eastAsia="zh-CN"/>
        </w:rPr>
        <w:t xml:space="preserve"> / 06</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bCs w:val="0"/>
          <w:color w:val="auto"/>
          <w:spacing w:val="-6"/>
          <w:kern w:val="36"/>
          <w:sz w:val="30"/>
          <w:szCs w:val="30"/>
          <w:lang w:val="en-US" w:eastAsia="zh-CN"/>
        </w:rPr>
      </w:pPr>
      <w:r>
        <w:rPr>
          <w:rFonts w:hint="default" w:ascii="Times New Roman" w:hAnsi="Times New Roman" w:eastAsia="方正楷体_GBK" w:cs="Times New Roman"/>
          <w:b/>
          <w:bCs w:val="0"/>
          <w:color w:val="auto"/>
          <w:spacing w:val="0"/>
          <w:kern w:val="36"/>
          <w:sz w:val="30"/>
          <w:szCs w:val="30"/>
          <w:lang w:val="en-US" w:eastAsia="zh-CN"/>
        </w:rPr>
        <w:t>9月19日（周四）“怎么多降了25个基点？”</w:t>
      </w:r>
      <w:r>
        <w:rPr>
          <w:rFonts w:hint="eastAsia" w:ascii="Times New Roman" w:hAnsi="Times New Roman" w:eastAsia="方正楷体_GBK" w:cs="Times New Roman"/>
          <w:b/>
          <w:bCs w:val="0"/>
          <w:color w:val="auto"/>
          <w:spacing w:val="0"/>
          <w:kern w:val="36"/>
          <w:sz w:val="30"/>
          <w:szCs w:val="30"/>
          <w:lang w:val="en-US" w:eastAsia="zh-CN"/>
        </w:rPr>
        <w:t xml:space="preserve"> / 10</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44" w:firstLineChars="200"/>
        <w:jc w:val="left"/>
        <w:textAlignment w:val="auto"/>
        <w:rPr>
          <w:rFonts w:hint="default" w:ascii="Times New Roman" w:hAnsi="Times New Roman" w:eastAsia="方正楷体_GBK" w:cs="Times New Roman"/>
          <w:b/>
          <w:bCs w:val="0"/>
          <w:color w:val="auto"/>
          <w:spacing w:val="-6"/>
          <w:kern w:val="36"/>
          <w:sz w:val="30"/>
          <w:szCs w:val="3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方正楷体_GBK" w:hAnsi="方正楷体_GBK" w:eastAsia="方正楷体_GBK" w:cs="方正楷体_GBK"/>
          <w:b/>
          <w:color w:val="auto"/>
          <w:spacing w:val="-11"/>
          <w:kern w:val="36"/>
          <w:sz w:val="30"/>
          <w:szCs w:val="30"/>
          <w:lang w:val="en-US" w:eastAsia="zh-CN"/>
        </w:rPr>
      </w:pPr>
      <w:r>
        <w:rPr>
          <w:rFonts w:hint="eastAsia" w:ascii="方正楷体_GBK" w:hAnsi="方正楷体_GBK" w:eastAsia="方正楷体_GBK" w:cs="方正楷体_GBK"/>
          <w:b/>
          <w:color w:val="auto"/>
          <w:spacing w:val="0"/>
          <w:kern w:val="36"/>
          <w:sz w:val="30"/>
          <w:szCs w:val="30"/>
          <w:lang w:val="en-US" w:eastAsia="zh-CN"/>
        </w:rPr>
        <w:t>省贸促会领导会见美国江苏总商会（纽约）会长孙俊</w:t>
      </w:r>
      <w:r>
        <w:rPr>
          <w:rFonts w:hint="eastAsia" w:ascii="方正楷体_GBK" w:hAnsi="方正楷体_GBK" w:eastAsia="方正楷体_GBK" w:cs="方正楷体_GBK"/>
          <w:b/>
          <w:color w:val="auto"/>
          <w:spacing w:val="-11"/>
          <w:kern w:val="36"/>
          <w:sz w:val="30"/>
          <w:szCs w:val="30"/>
          <w:lang w:val="en-US" w:eastAsia="zh-CN"/>
        </w:rPr>
        <w:t xml:space="preserve"> / </w:t>
      </w:r>
      <w:r>
        <w:rPr>
          <w:rFonts w:hint="eastAsia" w:ascii="Times New Roman" w:hAnsi="Times New Roman" w:eastAsia="方正楷体_GBK" w:cs="Times New Roman"/>
          <w:b/>
          <w:bCs w:val="0"/>
          <w:color w:val="auto"/>
          <w:spacing w:val="-11"/>
          <w:kern w:val="36"/>
          <w:sz w:val="30"/>
          <w:szCs w:val="30"/>
          <w:lang w:val="en-US" w:eastAsia="zh-CN"/>
        </w:rPr>
        <w:t>17</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jc w:val="left"/>
        <w:textAlignment w:val="auto"/>
        <w:outlineLvl w:val="1"/>
        <w:rPr>
          <w:rFonts w:hint="eastAsia" w:ascii="方正楷体_GBK" w:hAnsi="方正楷体_GBK" w:eastAsia="方正楷体_GBK" w:cs="方正楷体_GBK"/>
          <w:b/>
          <w:color w:val="auto"/>
          <w:kern w:val="36"/>
          <w:sz w:val="30"/>
          <w:szCs w:val="30"/>
          <w:lang w:val="en-US" w:eastAsia="zh-CN"/>
        </w:rPr>
      </w:pPr>
      <w:r>
        <w:rPr>
          <w:rFonts w:hint="default" w:ascii="方正楷体_GBK" w:hAnsi="方正楷体_GBK" w:eastAsia="方正楷体_GBK" w:cs="方正楷体_GBK"/>
          <w:b/>
          <w:color w:val="auto"/>
          <w:spacing w:val="0"/>
          <w:kern w:val="36"/>
          <w:sz w:val="30"/>
          <w:szCs w:val="30"/>
          <w:lang w:val="en-US" w:eastAsia="zh-CN"/>
        </w:rPr>
        <w:t>省贸促会领导带队参加2024深圳跨境电商展览会</w:t>
      </w:r>
      <w:r>
        <w:rPr>
          <w:rFonts w:hint="eastAsia" w:ascii="方正楷体_GBK" w:hAnsi="方正楷体_GBK" w:eastAsia="方正楷体_GBK" w:cs="方正楷体_GBK"/>
          <w:b/>
          <w:color w:val="auto"/>
          <w:spacing w:val="-11"/>
          <w:kern w:val="36"/>
          <w:sz w:val="30"/>
          <w:szCs w:val="30"/>
          <w:lang w:val="en-US" w:eastAsia="zh-CN"/>
        </w:rPr>
        <w:t xml:space="preserve"> </w:t>
      </w:r>
      <w:r>
        <w:rPr>
          <w:rFonts w:hint="default" w:ascii="Times New Roman" w:hAnsi="Times New Roman" w:eastAsia="方正楷体_GBK" w:cs="Times New Roman"/>
          <w:b/>
          <w:color w:val="auto"/>
          <w:spacing w:val="-11"/>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17</w:t>
      </w:r>
      <w:r>
        <w:rPr>
          <w:rFonts w:hint="eastAsia" w:ascii="方正楷体_GBK" w:hAnsi="方正楷体_GBK" w:eastAsia="方正楷体_GBK" w:cs="方正楷体_GBK"/>
          <w:b/>
          <w:color w:val="auto"/>
          <w:spacing w:val="-11"/>
          <w:kern w:val="36"/>
          <w:sz w:val="30"/>
          <w:szCs w:val="30"/>
          <w:lang w:val="en-US" w:eastAsia="zh-CN"/>
        </w:rPr>
        <w:t xml:space="preserve">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jc w:val="left"/>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方正楷体_GBK" w:hAnsi="方正楷体_GBK" w:eastAsia="方正楷体_GBK" w:cs="方正楷体_GBK"/>
          <w:b/>
          <w:color w:val="auto"/>
          <w:spacing w:val="-17"/>
          <w:kern w:val="36"/>
          <w:sz w:val="30"/>
          <w:szCs w:val="30"/>
          <w:lang w:val="en-US" w:eastAsia="zh-CN"/>
        </w:rPr>
        <w:t>南京市贸促会参加服贸会专场活动—第三届国际会展经济发展论坛</w:t>
      </w:r>
      <w:r>
        <w:rPr>
          <w:rFonts w:hint="eastAsia" w:ascii="方正楷体_GBK" w:hAnsi="方正楷体_GBK" w:eastAsia="方正楷体_GBK" w:cs="方正楷体_GBK"/>
          <w:b/>
          <w:color w:val="auto"/>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 xml:space="preserve">/ </w:t>
      </w:r>
      <w:r>
        <w:rPr>
          <w:rFonts w:hint="eastAsia" w:ascii="Times New Roman" w:hAnsi="Times New Roman" w:eastAsia="方正楷体_GBK" w:cs="Times New Roman"/>
          <w:b/>
          <w:color w:val="auto"/>
          <w:kern w:val="36"/>
          <w:sz w:val="30"/>
          <w:szCs w:val="30"/>
          <w:lang w:val="en-US" w:eastAsia="zh-CN"/>
        </w:rPr>
        <w:t>19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jc w:val="left"/>
        <w:textAlignment w:val="auto"/>
        <w:outlineLvl w:val="1"/>
        <w:rPr>
          <w:rFonts w:hint="eastAsia" w:ascii="方正楷体_GBK" w:hAnsi="方正楷体_GBK" w:eastAsia="方正楷体_GBK" w:cs="方正楷体_GBK"/>
          <w:b/>
          <w:color w:val="auto"/>
          <w:kern w:val="36"/>
          <w:sz w:val="30"/>
          <w:szCs w:val="30"/>
          <w:lang w:val="en-US" w:eastAsia="zh-CN"/>
        </w:rPr>
      </w:pPr>
      <w:r>
        <w:rPr>
          <w:rFonts w:hint="default" w:ascii="方正楷体_GBK" w:hAnsi="方正楷体_GBK" w:eastAsia="方正楷体_GBK" w:cs="方正楷体_GBK"/>
          <w:b/>
          <w:color w:val="auto"/>
          <w:spacing w:val="0"/>
          <w:kern w:val="36"/>
          <w:sz w:val="30"/>
          <w:szCs w:val="30"/>
          <w:lang w:val="en-US" w:eastAsia="zh-CN"/>
        </w:rPr>
        <w:t>“贸促服务助企行”宣讲活动再次走进南通</w:t>
      </w:r>
      <w:r>
        <w:rPr>
          <w:rFonts w:hint="eastAsia" w:ascii="方正楷体_GBK" w:hAnsi="方正楷体_GBK" w:eastAsia="方正楷体_GBK" w:cs="方正楷体_GBK"/>
          <w:b/>
          <w:color w:val="auto"/>
          <w:spacing w:val="-11"/>
          <w:kern w:val="36"/>
          <w:sz w:val="30"/>
          <w:szCs w:val="30"/>
          <w:lang w:val="en-US" w:eastAsia="zh-CN"/>
        </w:rPr>
        <w:t xml:space="preserve"> </w:t>
      </w:r>
      <w:r>
        <w:rPr>
          <w:rFonts w:hint="default" w:ascii="Times New Roman" w:hAnsi="Times New Roman" w:eastAsia="方正楷体_GBK" w:cs="Times New Roman"/>
          <w:b/>
          <w:color w:val="auto"/>
          <w:spacing w:val="-11"/>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20</w:t>
      </w:r>
      <w:r>
        <w:rPr>
          <w:rFonts w:hint="eastAsia" w:ascii="方正楷体_GBK" w:hAnsi="方正楷体_GBK" w:eastAsia="方正楷体_GBK" w:cs="方正楷体_GBK"/>
          <w:b/>
          <w:color w:val="auto"/>
          <w:spacing w:val="-11"/>
          <w:kern w:val="36"/>
          <w:sz w:val="30"/>
          <w:szCs w:val="30"/>
          <w:lang w:val="en-US" w:eastAsia="zh-CN"/>
        </w:rPr>
        <w:t xml:space="preserve">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方正楷体_GBK" w:hAnsi="方正楷体_GBK" w:eastAsia="方正楷体_GBK" w:cs="方正楷体_GBK"/>
          <w:b/>
          <w:color w:val="auto"/>
          <w:kern w:val="36"/>
          <w:sz w:val="30"/>
          <w:szCs w:val="30"/>
          <w:lang w:val="en-US" w:eastAsia="zh-CN"/>
        </w:rPr>
      </w:pPr>
      <w:r>
        <w:rPr>
          <w:rFonts w:hint="default" w:ascii="方正楷体_GBK" w:hAnsi="方正楷体_GBK" w:eastAsia="方正楷体_GBK" w:cs="方正楷体_GBK"/>
          <w:b/>
          <w:color w:val="auto"/>
          <w:spacing w:val="0"/>
          <w:kern w:val="36"/>
          <w:sz w:val="30"/>
          <w:szCs w:val="30"/>
          <w:lang w:val="en-US" w:eastAsia="zh-CN"/>
        </w:rPr>
        <w:t>扬州市贸促会应邀参加第十八届榆林煤博会</w:t>
      </w:r>
      <w:r>
        <w:rPr>
          <w:rFonts w:hint="eastAsia" w:ascii="方正楷体_GBK" w:hAnsi="方正楷体_GBK" w:eastAsia="方正楷体_GBK" w:cs="方正楷体_GBK"/>
          <w:b/>
          <w:color w:val="auto"/>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 xml:space="preserve">/ </w:t>
      </w:r>
      <w:r>
        <w:rPr>
          <w:rFonts w:hint="eastAsia" w:ascii="Times New Roman" w:hAnsi="Times New Roman" w:eastAsia="方正楷体_GBK" w:cs="Times New Roman"/>
          <w:b/>
          <w:color w:val="auto"/>
          <w:kern w:val="36"/>
          <w:sz w:val="30"/>
          <w:szCs w:val="30"/>
          <w:lang w:val="en-US" w:eastAsia="zh-CN"/>
        </w:rPr>
        <w:t>21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Times New Roman" w:hAnsi="Times New Roman" w:eastAsia="方正楷体_GBK" w:cs="Times New Roman"/>
          <w:b/>
          <w:color w:val="auto"/>
          <w:kern w:val="36"/>
          <w:sz w:val="30"/>
          <w:szCs w:val="3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宋体" w:cs="Times New Roman"/>
          <w:b/>
          <w:color w:val="FF0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17"/>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中亿丰建设再次荣登ENR“全球最大250家国际承包商”榜单</w:t>
      </w:r>
      <w:r>
        <w:rPr>
          <w:rFonts w:hint="eastAsia" w:ascii="Times New Roman" w:hAnsi="Times New Roman" w:eastAsia="方正楷体_GBK" w:cs="Times New Roman"/>
          <w:b/>
          <w:color w:val="auto"/>
          <w:spacing w:val="-17"/>
          <w:kern w:val="36"/>
          <w:sz w:val="30"/>
          <w:szCs w:val="30"/>
          <w:lang w:val="en-US" w:eastAsia="zh-CN"/>
        </w:rPr>
        <w:t xml:space="preserve"> / 22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17"/>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远东电缆再获江苏企业创新赛大奖 / 23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17"/>
          <w:kern w:val="36"/>
          <w:sz w:val="30"/>
          <w:szCs w:val="30"/>
          <w:lang w:val="en-US" w:eastAsia="zh-CN"/>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r>
        <w:rPr>
          <w:rFonts w:hint="default" w:ascii="Times New Roman" w:hAnsi="Times New Roman" w:eastAsia="方正楷体_GBK" w:cs="Times New Roman"/>
          <w:b/>
          <w:color w:val="auto"/>
          <w:spacing w:val="0"/>
          <w:kern w:val="36"/>
          <w:sz w:val="30"/>
          <w:szCs w:val="30"/>
          <w:lang w:val="en-US" w:eastAsia="zh-CN"/>
        </w:rPr>
        <w:t>未迟数字与南京工业职业技术大学签署战略合作协议，共筑跨境电商人才培养新篇章</w:t>
      </w:r>
      <w:r>
        <w:rPr>
          <w:rFonts w:hint="eastAsia" w:ascii="Times New Roman" w:hAnsi="Times New Roman" w:eastAsia="方正楷体_GBK" w:cs="Times New Roman"/>
          <w:b/>
          <w:color w:val="auto"/>
          <w:spacing w:val="-17"/>
          <w:kern w:val="36"/>
          <w:sz w:val="30"/>
          <w:szCs w:val="30"/>
          <w:lang w:val="en-US" w:eastAsia="zh-CN"/>
        </w:rPr>
        <w:t xml:space="preserve"> / 24 </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9月16日（周一）</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美国科技公司和中国电动汽车，欧盟发布“竞争力报告”</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9月10日，欧盟最高司法机构“欧盟法庭”（CJEU）就“苹果巨额逃税案”，公布终裁结果，裁决称苹果从爱尔兰的税制漏洞中不当受益，必须向爱尔兰政府补缴130亿欧元的欠税。苹果对此表示失望，但这是最终裁决，无法上诉。</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58240" behindDoc="0" locked="0" layoutInCell="1" allowOverlap="1">
            <wp:simplePos x="0" y="0"/>
            <wp:positionH relativeFrom="column">
              <wp:posOffset>2025650</wp:posOffset>
            </wp:positionH>
            <wp:positionV relativeFrom="paragraph">
              <wp:posOffset>128905</wp:posOffset>
            </wp:positionV>
            <wp:extent cx="3477895" cy="1957705"/>
            <wp:effectExtent l="0" t="0" r="8255" b="444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6"/>
                    <a:stretch>
                      <a:fillRect/>
                    </a:stretch>
                  </pic:blipFill>
                  <pic:spPr>
                    <a:xfrm>
                      <a:off x="0" y="0"/>
                      <a:ext cx="3477895" cy="195770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此案始于2016年，欧盟指控爱尔兰向苹果提供了非法的税收优惠，导致投资不公平</w:t>
      </w:r>
      <w:r>
        <w:rPr>
          <w:rFonts w:hint="eastAsia" w:asciiTheme="minorEastAsia" w:hAnsiTheme="minorEastAsia" w:cstheme="minorEastAsia"/>
          <w:sz w:val="32"/>
          <w:szCs w:val="32"/>
          <w:lang w:val="en-US" w:eastAsia="zh-CN"/>
        </w:rPr>
        <w:t>的</w:t>
      </w:r>
      <w:r>
        <w:rPr>
          <w:rFonts w:hint="eastAsia" w:asciiTheme="minorEastAsia" w:hAnsiTheme="minorEastAsia" w:eastAsiaTheme="minorEastAsia" w:cstheme="minorEastAsia"/>
          <w:sz w:val="32"/>
          <w:szCs w:val="32"/>
          <w:lang w:val="en-US" w:eastAsia="zh-CN"/>
        </w:rPr>
        <w:t>从其他国家转移到爱尔兰，同时影响其他欧盟成员国的税收收入。欧盟展开调查，审查爱尔兰与苹果之间的税收协议后，欧盟委员会裁决，该协议违反了欧盟的竞争规则，要求爱尔兰向苹果追回数十亿欧元的税款。但苹果和爱尔兰政府都对这一裁决提起了上诉，导致了后续旷日持久的法律程序和诉讼，直至9月10日。</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从1990年代末开始，爱尔兰凭借低税率，吸引了大型科技公司在其设立欧洲总部。在爱尔兰当时的税制下，跨国公司可以将未纳税的收入转移到爱尔兰的子公司；然后该子公司将资金支付给另一家在爱尔兰注册但在其他地方（如避税天堂开曼群岛）纳税的公司。</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这两家公司都是爱尔兰公司，因此称之为“双重爱尔兰”避税方案，通过该方案，跨国公司可以将海外税负降至个位数。苹果一直采用这种方案，直到2014年，在其他国家的持续压力下，爱尔兰封上了这一漏洞。</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因此，爱尔兰也一直反对欧盟委员会在2016年做出的裁定，因为它自己也是受益方——苹果避的不是爱尔兰的税，而是整个欧盟的税。欧盟规定，在欧盟发生的业务，如果公司在一个成员国交税了，就不必再向其他欧盟成员国交税。</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同在9月10日，常为反垄断官司所扰的谷歌，也在欧盟最终裁决中败诉，欧盟法庭宣布维持原判，对谷歌垄断行为罚款24亿欧元，以惩罚其滥用垄断力量打击竞争对手。此次裁决同样为最终裁决，谷歌不能再对此进行上诉。</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此案始于2017年，欧盟委员会经过多年调查后，认定谷歌滥用其在搜索引擎领域的主导地位，为自己的购物比价服务Google Shopping在搜索结果中提供更高排名，打压了竞争对手。</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因此，欧盟委员会对谷歌处以24.2亿欧元（约合26.7亿美元）的巨额罚款。谷歌对此提起上诉，但欧盟法院在2021年驳回了谷歌的上诉，维持了原判。尽管谷歌声称已作出改变以遵守欧盟法规，但欧盟法院在2024年9月10日再次维持了下级法院的裁决，驳回了谷歌的上诉。</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随着欧盟《数字市场法案》等新法规的生效，欧盟对大型科技公司的反垄断调查将更加频繁和严厉。但另一方面，近数十年间，在全球重要的前沿领域，欧洲已被美国逐渐拉开了距离。</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9月9日，欧盟发布了“欧洲竞争力报告”，用近400页的篇幅概述了欧洲经济增长所面临的问题，以及全面改革欧洲经济的计划，欧盟官方和工商界对此报告都表示高度赞同。</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首先，报告明确阐述</w:t>
      </w:r>
      <w:r>
        <w:rPr>
          <w:rFonts w:hint="eastAsia" w:asciiTheme="minorEastAsia" w:hAnsiTheme="minorEastAsia" w:eastAsiaTheme="minorEastAsia" w:cstheme="minorEastAsia"/>
          <w:b/>
          <w:bCs/>
          <w:sz w:val="32"/>
          <w:szCs w:val="32"/>
          <w:lang w:val="en-US" w:eastAsia="zh-CN"/>
        </w:rPr>
        <w:t>欧洲经济面临的主要挑战</w:t>
      </w:r>
      <w:r>
        <w:rPr>
          <w:rFonts w:hint="eastAsia" w:asciiTheme="minorEastAsia" w:hAnsiTheme="minorEastAsia" w:eastAsiaTheme="minorEastAsia" w:cstheme="minorEastAsia"/>
          <w:sz w:val="32"/>
          <w:szCs w:val="32"/>
          <w:lang w:val="en-US" w:eastAsia="zh-CN"/>
        </w:rPr>
        <w:t>：一是严重缺乏创新，二是生产力提升缓慢，三是没有充分利用自己的统一大市场优势。</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然后</w:t>
      </w:r>
      <w:r>
        <w:rPr>
          <w:rFonts w:hint="eastAsia" w:asciiTheme="minorEastAsia" w:hAnsiTheme="minorEastAsia" w:eastAsiaTheme="minorEastAsia" w:cstheme="minorEastAsia"/>
          <w:b/>
          <w:bCs/>
          <w:sz w:val="32"/>
          <w:szCs w:val="32"/>
          <w:lang w:val="en-US" w:eastAsia="zh-CN"/>
        </w:rPr>
        <w:t>提出了解决方案</w:t>
      </w:r>
      <w:r>
        <w:rPr>
          <w:rFonts w:hint="eastAsia" w:asciiTheme="minorEastAsia" w:hAnsiTheme="minorEastAsia" w:eastAsiaTheme="minorEastAsia" w:cstheme="minorEastAsia"/>
          <w:sz w:val="32"/>
          <w:szCs w:val="32"/>
          <w:lang w:val="en-US" w:eastAsia="zh-CN"/>
        </w:rPr>
        <w:t>：一是促进创新。建议各国将研究资金集中起来，统一决策和使用，以增加在技术创新方面的投入。二是建立一个更深入、流动性更强的资本市场，以促进风险投资。三是建立统一的法规体系，克服各自为政的问题。四是促进企业合并，增加竞争实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但也有经济学家认为，该报告的建议都</w:t>
      </w:r>
      <w:r>
        <w:rPr>
          <w:rFonts w:hint="eastAsia" w:asciiTheme="minorEastAsia" w:hAnsiTheme="minorEastAsia" w:eastAsiaTheme="minorEastAsia" w:cstheme="minorEastAsia"/>
          <w:b/>
          <w:bCs/>
          <w:sz w:val="32"/>
          <w:szCs w:val="32"/>
          <w:lang w:val="en-US" w:eastAsia="zh-CN"/>
        </w:rPr>
        <w:t>很难落实</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首先，</w:t>
      </w:r>
      <w:r>
        <w:rPr>
          <w:rFonts w:hint="eastAsia" w:asciiTheme="minorEastAsia" w:hAnsiTheme="minorEastAsia" w:eastAsiaTheme="minorEastAsia" w:cstheme="minorEastAsia"/>
          <w:sz w:val="32"/>
          <w:szCs w:val="32"/>
          <w:lang w:val="en-US" w:eastAsia="zh-CN"/>
        </w:rPr>
        <w:t>归根到底欧盟是</w:t>
      </w:r>
      <w:r>
        <w:rPr>
          <w:rFonts w:hint="eastAsia" w:asciiTheme="minorEastAsia" w:hAnsiTheme="minorEastAsia" w:eastAsiaTheme="minorEastAsia" w:cstheme="minorEastAsia"/>
          <w:sz w:val="32"/>
          <w:szCs w:val="32"/>
          <w:highlight w:val="none"/>
          <w:lang w:val="en-US" w:eastAsia="zh-CN"/>
        </w:rPr>
        <w:t>27个</w:t>
      </w:r>
      <w:r>
        <w:rPr>
          <w:rFonts w:hint="eastAsia" w:asciiTheme="minorEastAsia" w:hAnsiTheme="minorEastAsia" w:eastAsiaTheme="minorEastAsia" w:cstheme="minorEastAsia"/>
          <w:sz w:val="32"/>
          <w:szCs w:val="32"/>
          <w:lang w:val="en-US" w:eastAsia="zh-CN"/>
        </w:rPr>
        <w:t>独立国家的政治和经济联合体，它无法像一个民族国家那样高效地决策，也不能像一个中央国家那么如臂使指地管理基层。因此，面对加速演进的外部变化，欧盟注定难以适应。</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其次，</w:t>
      </w:r>
      <w:r>
        <w:rPr>
          <w:rFonts w:hint="eastAsia" w:asciiTheme="minorEastAsia" w:hAnsiTheme="minorEastAsia" w:eastAsiaTheme="minorEastAsia" w:cstheme="minorEastAsia"/>
          <w:sz w:val="32"/>
          <w:szCs w:val="32"/>
          <w:lang w:val="en-US" w:eastAsia="zh-CN"/>
        </w:rPr>
        <w:t>加强欧盟机构对经济的干预，有目的地组建企业集群，可能反而会违反市场经济的规律，结果是降低效率、扼杀创新。</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荷兰和北欧等市场经济意识较强的经济体，即使按照欧洲标准看也是小国，却拥有大量生机勃勃的创新型科技公司；放宽了城市</w:t>
      </w:r>
      <w:r>
        <w:rPr>
          <w:rFonts w:hint="eastAsia" w:asciiTheme="minorEastAsia" w:hAnsiTheme="minorEastAsia" w:eastAsiaTheme="minorEastAsia" w:cstheme="minorEastAsia"/>
          <w:sz w:val="32"/>
          <w:szCs w:val="32"/>
          <w:highlight w:val="none"/>
          <w:lang w:val="en-US" w:eastAsia="zh-CN"/>
        </w:rPr>
        <w:t>规划</w:t>
      </w:r>
      <w:r>
        <w:rPr>
          <w:rFonts w:hint="eastAsia" w:asciiTheme="minorEastAsia" w:hAnsiTheme="minorEastAsia" w:eastAsiaTheme="minorEastAsia" w:cstheme="minorEastAsia"/>
          <w:sz w:val="32"/>
          <w:szCs w:val="32"/>
          <w:lang w:val="en-US" w:eastAsia="zh-CN"/>
        </w:rPr>
        <w:t>后，在没有大规模投入的情况下，德国的可再生能源产业发展出色。</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支持市场经济促进创新的经济学家们，经常会以电信业举例，他们说：“事实证明，欧洲的电信业就不需要规模。因为，更少的运营商大多意味着更高的收费和更低的质量，而非更多的投资。”</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第三，从资金角度看，也是困难重重</w:t>
      </w:r>
      <w:r>
        <w:rPr>
          <w:rFonts w:hint="eastAsia" w:asciiTheme="minorEastAsia" w:hAnsiTheme="minorEastAsia" w:eastAsiaTheme="minorEastAsia" w:cstheme="minorEastAsia"/>
          <w:sz w:val="32"/>
          <w:szCs w:val="32"/>
          <w:lang w:val="en-US" w:eastAsia="zh-CN"/>
        </w:rPr>
        <w:t>。根据欧盟委员会估算，要实现报告提出的投资计划，每年需要增加7500亿至8000亿欧元的支出，使投资占GDP的比重从22%提高到27%。如果按照过去的经验，其中五分之四必须来自私营部门，这几乎是无法实现的。</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能不能向美国学习，扩大债务规模，采取更加积极的财政政策呢？欧盟官员均表示不太可能。</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9月12日（周四），欧洲央行公布最新的利率决议（见表格一），对三大利率都进行了下调。这是欧洲央行的第二次降息。同时，欧洲央行还上调了今明两年的核心通胀预期，并</w:t>
      </w:r>
      <w:r>
        <w:rPr>
          <w:rFonts w:hint="eastAsia" w:asciiTheme="minorEastAsia" w:hAnsiTheme="minorEastAsia" w:eastAsiaTheme="minorEastAsia" w:cstheme="minorEastAsia"/>
          <w:b/>
          <w:bCs/>
          <w:sz w:val="32"/>
          <w:szCs w:val="32"/>
          <w:lang w:val="en-US" w:eastAsia="zh-CN"/>
        </w:rPr>
        <w:t>全线下调了经济增速预期</w:t>
      </w:r>
      <w:r>
        <w:rPr>
          <w:rFonts w:hint="eastAsia" w:asciiTheme="minorEastAsia" w:hAnsiTheme="minorEastAsia" w:eastAsiaTheme="minorEastAsia" w:cstheme="minorEastAsia"/>
          <w:sz w:val="32"/>
          <w:szCs w:val="32"/>
          <w:lang w:val="en-US" w:eastAsia="zh-CN"/>
        </w:rPr>
        <w:t>，将今后三年的GDP增速预期全面下调。</w:t>
      </w:r>
    </w:p>
    <w:p>
      <w:pPr>
        <w:rPr>
          <w:rFonts w:hint="default" w:eastAsiaTheme="minorEastAsia"/>
          <w:b/>
          <w:bCs/>
          <w:color w:val="0000FF"/>
          <w:sz w:val="32"/>
          <w:szCs w:val="32"/>
          <w:lang w:val="en-US" w:eastAsia="zh-CN"/>
        </w:rPr>
      </w:pPr>
      <w:r>
        <w:rPr>
          <w:rFonts w:hint="default" w:eastAsiaTheme="minorEastAsia"/>
          <w:b/>
          <w:bCs/>
          <w:color w:val="0000FF"/>
          <w:sz w:val="32"/>
          <w:szCs w:val="32"/>
          <w:lang w:val="en-US" w:eastAsia="zh-CN"/>
        </w:rPr>
        <w:drawing>
          <wp:anchor distT="0" distB="0" distL="114300" distR="114300" simplePos="0" relativeHeight="251659264" behindDoc="0" locked="0" layoutInCell="1" allowOverlap="1">
            <wp:simplePos x="0" y="0"/>
            <wp:positionH relativeFrom="column">
              <wp:posOffset>186055</wp:posOffset>
            </wp:positionH>
            <wp:positionV relativeFrom="paragraph">
              <wp:posOffset>238760</wp:posOffset>
            </wp:positionV>
            <wp:extent cx="5145405" cy="920115"/>
            <wp:effectExtent l="0" t="0" r="17145" b="13335"/>
            <wp:wrapTopAndBottom/>
            <wp:docPr id="1" name="图片 1" descr="图片1-9月16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9月16日"/>
                    <pic:cNvPicPr>
                      <a:picLocks noChangeAspect="1"/>
                    </pic:cNvPicPr>
                  </pic:nvPicPr>
                  <pic:blipFill>
                    <a:blip r:embed="rId7"/>
                    <a:stretch>
                      <a:fillRect/>
                    </a:stretch>
                  </pic:blipFill>
                  <pic:spPr>
                    <a:xfrm>
                      <a:off x="0" y="0"/>
                      <a:ext cx="5145405" cy="920115"/>
                    </a:xfrm>
                    <a:prstGeom prst="rect">
                      <a:avLst/>
                    </a:prstGeom>
                  </pic:spPr>
                </pic:pic>
              </a:graphicData>
            </a:graphic>
          </wp:anchor>
        </w:drawing>
      </w:r>
      <w:r>
        <w:rPr>
          <w:rFonts w:hint="default" w:eastAsiaTheme="minorEastAsia"/>
          <w:b/>
          <w:bCs/>
          <w:color w:val="0000FF"/>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w:t>
      </w:r>
      <w:r>
        <w:rPr>
          <w:rFonts w:hint="eastAsia" w:asciiTheme="minorEastAsia" w:hAnsiTheme="minorEastAsia" w:eastAsiaTheme="minorEastAsia" w:cstheme="minorEastAsia"/>
          <w:b/>
          <w:bCs/>
          <w:sz w:val="32"/>
          <w:szCs w:val="32"/>
          <w:lang w:val="en-US" w:eastAsia="zh-CN"/>
        </w:rPr>
        <w:t>边际贷款利率</w:t>
      </w:r>
      <w:r>
        <w:rPr>
          <w:rFonts w:hint="eastAsia" w:asciiTheme="minorEastAsia" w:hAnsiTheme="minorEastAsia" w:eastAsiaTheme="minorEastAsia" w:cstheme="minorEastAsia"/>
          <w:sz w:val="32"/>
          <w:szCs w:val="32"/>
          <w:lang w:val="en-US" w:eastAsia="zh-CN"/>
        </w:rPr>
        <w:t>”，是欧央行向商业银行提供的临时性、紧急性贷款的利率。这种短期借款，通常用于满足商业银行的短期资金压力。其利率往往较高，反映了紧急借款的成本。</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val="0"/>
          <w:bCs w:val="0"/>
          <w:sz w:val="32"/>
          <w:szCs w:val="32"/>
          <w:lang w:val="en-US" w:eastAsia="zh-CN"/>
        </w:rPr>
        <w:t>“</w:t>
      </w:r>
      <w:r>
        <w:rPr>
          <w:rFonts w:hint="eastAsia" w:asciiTheme="minorEastAsia" w:hAnsiTheme="minorEastAsia" w:eastAsiaTheme="minorEastAsia" w:cstheme="minorEastAsia"/>
          <w:b/>
          <w:bCs/>
          <w:sz w:val="32"/>
          <w:szCs w:val="32"/>
          <w:lang w:val="en-US" w:eastAsia="zh-CN"/>
        </w:rPr>
        <w:t>主要再融资利率</w:t>
      </w:r>
      <w:r>
        <w:rPr>
          <w:rFonts w:hint="eastAsia" w:asciiTheme="minorEastAsia" w:hAnsiTheme="minorEastAsia" w:eastAsiaTheme="minorEastAsia" w:cstheme="minorEastAsia"/>
          <w:sz w:val="32"/>
          <w:szCs w:val="32"/>
          <w:lang w:val="en-US" w:eastAsia="zh-CN"/>
        </w:rPr>
        <w:t>”，是欧央行对商业银行提供的主要融资操作的利率。这是欧洲央行提供给商业银行的主要长期流动性，用于满足银行体系的整体融资需求。</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w:t>
      </w:r>
      <w:r>
        <w:rPr>
          <w:rFonts w:hint="eastAsia" w:asciiTheme="minorEastAsia" w:hAnsiTheme="minorEastAsia" w:eastAsiaTheme="minorEastAsia" w:cstheme="minorEastAsia"/>
          <w:b/>
          <w:bCs/>
          <w:sz w:val="32"/>
          <w:szCs w:val="32"/>
          <w:lang w:val="en-US" w:eastAsia="zh-CN"/>
        </w:rPr>
        <w:t>存款便利利率</w:t>
      </w:r>
      <w:r>
        <w:rPr>
          <w:rFonts w:hint="eastAsia" w:asciiTheme="minorEastAsia" w:hAnsiTheme="minorEastAsia" w:eastAsiaTheme="minorEastAsia" w:cstheme="minorEastAsia"/>
          <w:sz w:val="32"/>
          <w:szCs w:val="32"/>
          <w:lang w:val="en-US" w:eastAsia="zh-CN"/>
        </w:rPr>
        <w:t>”，是欧央行向商业银行提供存款便利的利率。商业银行可以超出其最低准备金要求，将更多的资金存放在欧央行中，从而获取利息，其利率就是存款便利利率。</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这三个利率在欧洲央行的货币政策中起着重要的作用，通过调整这些利率，欧洲央行可以影响市场上的短期利率、银行间流动性和长期借贷成本，以达到稳定通胀和促进经济增长的目标。</w:t>
      </w:r>
      <w:bookmarkStart w:id="0" w:name="_GoBack"/>
      <w:bookmarkEnd w:id="0"/>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Calibri" w:hAnsi="Calibri" w:eastAsia="宋体" w:cs="Calibri"/>
          <w:lang w:val="en-US" w:eastAsia="zh-CN"/>
        </w:rPr>
      </w:pPr>
      <w:r>
        <w:rPr>
          <w:rFonts w:hint="eastAsia" w:asciiTheme="minorEastAsia" w:hAnsiTheme="minorEastAsia" w:eastAsiaTheme="minorEastAsia" w:cstheme="minorEastAsia"/>
          <w:sz w:val="32"/>
          <w:szCs w:val="32"/>
          <w:lang w:val="en-US" w:eastAsia="zh-CN"/>
        </w:rPr>
        <w:t>9月13日（周五），欧盟统计局公布7月份欧元区工业产出数据（见表格二）。</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sz w:val="32"/>
          <w:szCs w:val="32"/>
          <w:lang w:val="en-US" w:eastAsia="zh-CN"/>
        </w:rPr>
        <w:t>工业部门包括制造业、采矿业和公用事业。虽然这些部门占GDP的比例在缩小，但其对利率和消费者需求高度敏感。因此，</w:t>
      </w:r>
      <w:r>
        <w:rPr>
          <w:rFonts w:hint="eastAsia" w:asciiTheme="minorEastAsia" w:hAnsiTheme="minorEastAsia" w:eastAsiaTheme="minorEastAsia" w:cstheme="minorEastAsia"/>
          <w:b/>
          <w:bCs/>
          <w:sz w:val="32"/>
          <w:szCs w:val="32"/>
          <w:lang w:val="en-US" w:eastAsia="zh-CN"/>
        </w:rPr>
        <w:t>工业产出的变化，对预示和确定经济周期的转折特别有效。</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Calibri" w:hAnsi="Calibri" w:eastAsia="宋体" w:cs="Calibri"/>
          <w:lang w:val="en-US" w:eastAsia="zh-CN"/>
        </w:rPr>
      </w:pPr>
      <w:r>
        <w:rPr>
          <w:rFonts w:hint="eastAsia" w:asciiTheme="minorEastAsia" w:hAnsiTheme="minorEastAsia" w:eastAsiaTheme="minorEastAsia" w:cstheme="minorEastAsia"/>
          <w:b/>
          <w:bCs/>
          <w:color w:val="0000FF"/>
          <w:sz w:val="32"/>
          <w:szCs w:val="32"/>
          <w:lang w:val="en-US" w:eastAsia="zh-CN"/>
        </w:rPr>
        <w:drawing>
          <wp:anchor distT="0" distB="0" distL="114300" distR="114300" simplePos="0" relativeHeight="251660288" behindDoc="0" locked="0" layoutInCell="1" allowOverlap="1">
            <wp:simplePos x="0" y="0"/>
            <wp:positionH relativeFrom="column">
              <wp:posOffset>100330</wp:posOffset>
            </wp:positionH>
            <wp:positionV relativeFrom="paragraph">
              <wp:posOffset>75565</wp:posOffset>
            </wp:positionV>
            <wp:extent cx="5317490" cy="744220"/>
            <wp:effectExtent l="0" t="0" r="16510" b="17780"/>
            <wp:wrapTopAndBottom/>
            <wp:docPr id="2" name="图片 2" descr="图片2-9月16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9月16日"/>
                    <pic:cNvPicPr>
                      <a:picLocks noChangeAspect="1"/>
                    </pic:cNvPicPr>
                  </pic:nvPicPr>
                  <pic:blipFill>
                    <a:blip r:embed="rId8"/>
                    <a:stretch>
                      <a:fillRect/>
                    </a:stretch>
                  </pic:blipFill>
                  <pic:spPr>
                    <a:xfrm>
                      <a:off x="0" y="0"/>
                      <a:ext cx="5317490" cy="744220"/>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目前，</w:t>
      </w:r>
      <w:r>
        <w:rPr>
          <w:rFonts w:hint="eastAsia" w:asciiTheme="minorEastAsia" w:hAnsiTheme="minorEastAsia" w:eastAsiaTheme="minorEastAsia" w:cstheme="minorEastAsia"/>
          <w:b/>
          <w:bCs/>
          <w:sz w:val="32"/>
          <w:szCs w:val="32"/>
          <w:lang w:val="en-US" w:eastAsia="zh-CN"/>
        </w:rPr>
        <w:t>欧盟经济仍看不出显著转好的迹象</w:t>
      </w:r>
      <w:r>
        <w:rPr>
          <w:rFonts w:hint="eastAsia" w:asciiTheme="minorEastAsia" w:hAnsiTheme="minorEastAsia" w:eastAsiaTheme="minorEastAsia" w:cstheme="minorEastAsia"/>
          <w:sz w:val="32"/>
          <w:szCs w:val="32"/>
          <w:lang w:val="en-US" w:eastAsia="zh-CN"/>
        </w:rPr>
        <w:t>。中欧双方已就欧盟对华电动汽车反补贴案进行了多轮磋商，欧盟对中国的电动汽车关税决定仍在动态调整之中，具体结果还需等待欧盟成员国9月25日的最终投票，以及中欧双方进一步的磋商结果。</w:t>
      </w:r>
    </w:p>
    <w:p>
      <w:pPr>
        <w:rPr>
          <w:rFonts w:hint="default" w:eastAsiaTheme="minorEastAsia"/>
          <w:b/>
          <w:bCs/>
          <w:color w:val="0000FF"/>
          <w:sz w:val="32"/>
          <w:szCs w:val="32"/>
          <w:lang w:val="en-US" w:eastAsia="zh-CN"/>
        </w:rPr>
      </w:pPr>
      <w:r>
        <w:rPr>
          <w:rFonts w:hint="default" w:eastAsiaTheme="minorEastAsia"/>
          <w:b/>
          <w:bCs/>
          <w:color w:val="0000FF"/>
          <w:sz w:val="32"/>
          <w:szCs w:val="32"/>
          <w:lang w:val="en-US" w:eastAsia="zh-CN"/>
        </w:rPr>
        <w:drawing>
          <wp:anchor distT="0" distB="0" distL="114300" distR="114300" simplePos="0" relativeHeight="251661312" behindDoc="0" locked="0" layoutInCell="1" allowOverlap="1">
            <wp:simplePos x="0" y="0"/>
            <wp:positionH relativeFrom="column">
              <wp:posOffset>147955</wp:posOffset>
            </wp:positionH>
            <wp:positionV relativeFrom="paragraph">
              <wp:posOffset>100330</wp:posOffset>
            </wp:positionV>
            <wp:extent cx="5219700" cy="1211580"/>
            <wp:effectExtent l="0" t="0" r="0" b="7620"/>
            <wp:wrapTopAndBottom/>
            <wp:docPr id="3" name="图片 3" descr="图片3-9月16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9月16日"/>
                    <pic:cNvPicPr>
                      <a:picLocks noChangeAspect="1"/>
                    </pic:cNvPicPr>
                  </pic:nvPicPr>
                  <pic:blipFill>
                    <a:blip r:embed="rId9"/>
                    <a:stretch>
                      <a:fillRect/>
                    </a:stretch>
                  </pic:blipFill>
                  <pic:spPr>
                    <a:xfrm>
                      <a:off x="0" y="0"/>
                      <a:ext cx="5219700" cy="1211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9月17日（周二）</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“草莓”来了，AI不是泡沫</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9月9日至13日，在英伟达的带领下，美股表现良好。其间，9月11日（周三），英伟达CEO黄仁勋说，热门芯片产品Blackwell的供应有限，使一些客户感到不快，关系陷入了紧张。他解释称主要是因为“需求太旺了，每个人都希望自己能第一批拿到，大家都想订</w:t>
      </w:r>
      <w:r>
        <w:rPr>
          <w:rFonts w:hint="eastAsia" w:asciiTheme="minorEastAsia" w:hAnsiTheme="minorEastAsia" w:eastAsiaTheme="minorEastAsia" w:cstheme="minorEastAsia"/>
          <w:sz w:val="32"/>
          <w:szCs w:val="32"/>
          <w:highlight w:val="none"/>
          <w:lang w:val="en-US" w:eastAsia="zh-CN"/>
        </w:rPr>
        <w:t>最多。</w:t>
      </w:r>
      <w:r>
        <w:rPr>
          <w:rFonts w:hint="eastAsia" w:asciiTheme="minorEastAsia" w:hAnsiTheme="minorEastAsia" w:eastAsiaTheme="minorEastAsia" w:cstheme="minorEastAsia"/>
          <w:sz w:val="32"/>
          <w:szCs w:val="32"/>
          <w:lang w:val="en-US" w:eastAsia="zh-CN"/>
        </w:rPr>
        <w:t>”此言一出，英伟达股价应声弹起，当日涨超8%。</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与年初相比，目前人工智能（AI）的热潮有所降温，数据显示，最新季度的财报电话会议上，各上市公司提及AI及相关词汇的数量较之前显著减少。于是，有投资者认为，AI已经泡沫化，与2000年代初的互联网相似；甚至有人猜测，AI只是华尔街的炒作，而英伟达，则是其</w:t>
      </w:r>
      <w:r>
        <w:rPr>
          <w:rFonts w:hint="eastAsia" w:asciiTheme="minorEastAsia" w:hAnsiTheme="minorEastAsia" w:eastAsiaTheme="minorEastAsia" w:cstheme="minorEastAsia"/>
          <w:sz w:val="32"/>
          <w:szCs w:val="32"/>
          <w:highlight w:val="none"/>
          <w:lang w:val="en-US" w:eastAsia="zh-CN"/>
        </w:rPr>
        <w:t>操纵的一个</w:t>
      </w:r>
      <w:r>
        <w:rPr>
          <w:rFonts w:hint="eastAsia" w:asciiTheme="minorEastAsia" w:hAnsiTheme="minorEastAsia" w:eastAsiaTheme="minorEastAsia" w:cstheme="minorEastAsia"/>
          <w:sz w:val="32"/>
          <w:szCs w:val="32"/>
          <w:lang w:val="en-US" w:eastAsia="zh-CN"/>
        </w:rPr>
        <w:t>工具。</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确实，未来如果AI产业证伪，美股市场会面临巨大风险，美国经济也将受拖累。问题的实质在于，AI究竟是否能大幅提升全要素生产率，如果能，它就不是噱头而是未来产业的发展方向。</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AI目前最大的问题在于应用场景</w:t>
      </w:r>
      <w:r>
        <w:rPr>
          <w:rFonts w:hint="eastAsia" w:asciiTheme="minorEastAsia" w:hAnsiTheme="minorEastAsia" w:eastAsiaTheme="minorEastAsia" w:cstheme="minorEastAsia"/>
          <w:sz w:val="32"/>
          <w:szCs w:val="32"/>
          <w:lang w:val="en-US" w:eastAsia="zh-CN"/>
        </w:rPr>
        <w:t>。现在大家主要用其搜寻资料、翻译文本、整理数据等，效率很高但并非不可或缺，很多人尝试后表示，确实不错，但也就仅此而已。因此，真正留存和活跃的用户并不多，且集中于特定的行业和领域，大多数企业和个人用户并不愿意长期付费。</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另一方面，微软、亚马逊、META、百度等全球科技巨头，每年要花几千亿美元去购买AI芯片和服务器。市场自然开始担忧，如果AI再不出现爆款级的应用场景，即不能转化为最终市场的现金收入，科技巨头们的前期投入终将打水漂。</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9月12日（周四），OpenAI公布了以推理能力为核心的“草莓”AI模型，并宣布将于两周内加入ChatGPT服务。从其发布的功能看，极有可能成为下一轮人工智能发展的方向。</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近年来，人工智能技术在多个领域都有显著进展，其中“生成式人工智能”是一个重要分支；在生成式人工智能中，“大型语言模型”是一个重要的技术组成部分，特别是在文本生成方面。</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“生成式人工智能”，指的是那些能够生成新内容或响应的人工智能系统，例如生成文本、图片、音频等。“大型语言模型”（如 GPT 系列）使用深度学习技术，在海量数据的基础上学习语言的模式和规律，从而能够生成连贯、具有逻辑性的文本。</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因此，一般的</w:t>
      </w:r>
      <w:r>
        <w:rPr>
          <w:rFonts w:hint="eastAsia" w:asciiTheme="minorEastAsia" w:hAnsiTheme="minorEastAsia" w:eastAsiaTheme="minorEastAsia" w:cstheme="minorEastAsia"/>
          <w:sz w:val="32"/>
          <w:szCs w:val="32"/>
          <w:highlight w:val="none"/>
          <w:lang w:val="en-US" w:eastAsia="zh-CN"/>
        </w:rPr>
        <w:t>大型语言</w:t>
      </w:r>
      <w:r>
        <w:rPr>
          <w:rFonts w:hint="eastAsia" w:asciiTheme="minorEastAsia" w:hAnsiTheme="minorEastAsia" w:eastAsiaTheme="minorEastAsia" w:cstheme="minorEastAsia"/>
          <w:sz w:val="32"/>
          <w:szCs w:val="32"/>
          <w:lang w:val="en-US" w:eastAsia="zh-CN"/>
        </w:rPr>
        <w:t>模型在用户提问之后，都会给出一个回答，答案不论对错，反正是“一气呵成”的，而“草莓”则会分步走，一边告诉用户自己的思路，一边作答。OpenAI首席技术官表示，这是模型的新范式，对于解决复杂的推理性问题有更好的表现——新模型开始自己思考，而不是复制人类的思考。</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62336" behindDoc="0" locked="0" layoutInCell="1" allowOverlap="1">
            <wp:simplePos x="0" y="0"/>
            <wp:positionH relativeFrom="column">
              <wp:posOffset>2569210</wp:posOffset>
            </wp:positionH>
            <wp:positionV relativeFrom="paragraph">
              <wp:posOffset>48895</wp:posOffset>
            </wp:positionV>
            <wp:extent cx="2747010" cy="1545590"/>
            <wp:effectExtent l="0" t="0" r="15240" b="1651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2747010" cy="154559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而“复制人类的思考”正是“大型语言模型”发展的瓶颈所在。传闻中的GPT-5训练的并不顺利。这是为何呢？</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“大型语言模型”，追求数据规模和模型规模，是一种“大力出奇迹”的方式——模型随着计算量、模型参数和数据</w:t>
      </w:r>
      <w:r>
        <w:rPr>
          <w:rFonts w:hint="eastAsia" w:asciiTheme="minorEastAsia" w:hAnsiTheme="minorEastAsia" w:eastAsiaTheme="minorEastAsia" w:cstheme="minorEastAsia"/>
          <w:sz w:val="32"/>
          <w:szCs w:val="32"/>
          <w:highlight w:val="none"/>
          <w:lang w:val="en-US" w:eastAsia="zh-CN"/>
        </w:rPr>
        <w:t>集</w:t>
      </w:r>
      <w:r>
        <w:rPr>
          <w:rFonts w:hint="eastAsia" w:asciiTheme="minorEastAsia" w:hAnsiTheme="minorEastAsia" w:eastAsiaTheme="minorEastAsia" w:cstheme="minorEastAsia"/>
          <w:sz w:val="32"/>
          <w:szCs w:val="32"/>
          <w:lang w:val="en-US" w:eastAsia="zh-CN"/>
        </w:rPr>
        <w:t>大小的增加，大语言模型的性能通常会显著提高，从而在语言理解和生成等任务上表现更好。</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现在，计算量、参数大小、数据集大小，都遭遇了瓶颈，模型的能力很难再显著提升了。因为，在本质上，所有的大模型训练，几乎都是人类已有的知识的极致利用，大语言模型不是通过自我探索去“发现”规律，而是直接从我们给出的内容中提取有用的信息。即，大模型在这个过程中，</w:t>
      </w:r>
      <w:r>
        <w:rPr>
          <w:rFonts w:hint="eastAsia" w:asciiTheme="minorEastAsia" w:hAnsiTheme="minorEastAsia" w:eastAsiaTheme="minorEastAsia" w:cstheme="minorEastAsia"/>
          <w:b/>
          <w:bCs/>
          <w:sz w:val="32"/>
          <w:szCs w:val="32"/>
          <w:lang w:val="en-US" w:eastAsia="zh-CN"/>
        </w:rPr>
        <w:t>学到的全是相关性而非因果性</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这好比一个学生，开始时通过不断地背书，确实能够提高成绩，但是到了一定程度以后，已经无书可背，成绩也就到了上限，之后再怎么死记硬背，也很难有大的进步——因为所有的知识都是背出来的，不是自己从0到1推理的。这就是如今大语言模型的困境。换言之，现在的知识的量级，已经不够了。</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要解决这个问题，就要想办法让模型开始自行思考，训练方法是“自我对弈强化学习”（Self-play RL），就是让AI不断地和自己“对弈”，可能是下棋，也可能是解决数学问题，甚至是进行对话，</w:t>
      </w:r>
      <w:r>
        <w:rPr>
          <w:rFonts w:hint="eastAsia" w:asciiTheme="minorEastAsia" w:hAnsiTheme="minorEastAsia" w:eastAsiaTheme="minorEastAsia" w:cstheme="minorEastAsia"/>
          <w:b/>
          <w:bCs/>
          <w:sz w:val="32"/>
          <w:szCs w:val="32"/>
          <w:lang w:val="en-US" w:eastAsia="zh-CN"/>
        </w:rPr>
        <w:t>这是一种“真智能”</w:t>
      </w:r>
      <w:r>
        <w:rPr>
          <w:rFonts w:hint="eastAsia" w:asciiTheme="minorEastAsia" w:hAnsiTheme="minorEastAsia" w:eastAsiaTheme="minorEastAsia" w:cstheme="minorEastAsia"/>
          <w:sz w:val="32"/>
          <w:szCs w:val="32"/>
          <w:lang w:val="en-US" w:eastAsia="zh-CN"/>
        </w:rPr>
        <w:t>，OpenAI和各大科技公司都在这个方向上进行探索。</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现在“草莓”开始思考而非查询，它能回答GPT-4回答不了的问题，比如数学和化学难题等。唯一的不足是它思考的时间有点长，思考阶段通常需要10至20秒。用户显然不会接受如此长的交互时间，那如何解决呢？</w:t>
      </w:r>
      <w:r>
        <w:rPr>
          <w:rFonts w:hint="eastAsia" w:asciiTheme="minorEastAsia" w:hAnsiTheme="minorEastAsia" w:eastAsiaTheme="minorEastAsia" w:cstheme="minorEastAsia"/>
          <w:b/>
          <w:bCs/>
          <w:sz w:val="32"/>
          <w:szCs w:val="32"/>
          <w:lang w:val="en-US" w:eastAsia="zh-CN"/>
        </w:rPr>
        <w:t>办法仍是“堆硬件”</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英伟达的硬件就是刚需，所以其CEO才会说，需求太旺了，大家都想订到</w:t>
      </w:r>
      <w:r>
        <w:rPr>
          <w:rFonts w:hint="eastAsia" w:asciiTheme="minorEastAsia" w:hAnsiTheme="minorEastAsia" w:eastAsiaTheme="minorEastAsia" w:cstheme="minorEastAsia"/>
          <w:sz w:val="32"/>
          <w:szCs w:val="32"/>
          <w:highlight w:val="none"/>
          <w:lang w:val="en-US" w:eastAsia="zh-CN"/>
        </w:rPr>
        <w:t>最多</w:t>
      </w:r>
      <w:r>
        <w:rPr>
          <w:rFonts w:hint="eastAsia" w:asciiTheme="minorEastAsia" w:hAnsiTheme="minorEastAsia" w:eastAsiaTheme="minorEastAsia" w:cstheme="minorEastAsia"/>
          <w:sz w:val="32"/>
          <w:szCs w:val="32"/>
          <w:lang w:val="en-US" w:eastAsia="zh-CN"/>
        </w:rPr>
        <w:t>。由此，美银表示，英伟达仍将是人工智能投资的主要受益者。</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AI的热潮不仅尚未散去，可能还</w:t>
      </w:r>
      <w:r>
        <w:rPr>
          <w:rFonts w:hint="eastAsia" w:asciiTheme="minorEastAsia" w:hAnsiTheme="minorEastAsia" w:eastAsiaTheme="minorEastAsia" w:cstheme="minorEastAsia"/>
          <w:sz w:val="32"/>
          <w:szCs w:val="32"/>
          <w:highlight w:val="none"/>
          <w:lang w:val="en-US" w:eastAsia="zh-CN"/>
        </w:rPr>
        <w:t>要</w:t>
      </w:r>
      <w:r>
        <w:rPr>
          <w:rFonts w:hint="eastAsia" w:asciiTheme="minorEastAsia" w:hAnsiTheme="minorEastAsia" w:eastAsiaTheme="minorEastAsia" w:cstheme="minorEastAsia"/>
          <w:sz w:val="32"/>
          <w:szCs w:val="32"/>
          <w:lang w:val="en-US" w:eastAsia="zh-CN"/>
        </w:rPr>
        <w:t>迎来新一轮的爆发。高盛称，到2025年下半年，“生成式人工智</w:t>
      </w:r>
      <w:r>
        <w:rPr>
          <w:rFonts w:hint="eastAsia" w:asciiTheme="minorEastAsia" w:hAnsiTheme="minorEastAsia" w:eastAsiaTheme="minorEastAsia" w:cstheme="minorEastAsia"/>
          <w:sz w:val="32"/>
          <w:szCs w:val="32"/>
          <w:highlight w:val="none"/>
          <w:lang w:val="en-US" w:eastAsia="zh-CN"/>
        </w:rPr>
        <w:t>能”</w:t>
      </w:r>
      <w:r>
        <w:rPr>
          <w:rFonts w:hint="eastAsia" w:asciiTheme="minorEastAsia" w:hAnsiTheme="minorEastAsia" w:eastAsiaTheme="minorEastAsia" w:cstheme="minorEastAsia"/>
          <w:sz w:val="32"/>
          <w:szCs w:val="32"/>
          <w:lang w:val="en-US" w:eastAsia="zh-CN"/>
        </w:rPr>
        <w:t>将开始为产业增长做出实质性的贡献；微软预言，一种重要的、新的“颠覆性”的AI产品很快将横空出世。</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全球的科技巨头们已经投入万亿资金，AI领域的突破将层出不穷，但技术创新不可能立即转化为市场收入，</w:t>
      </w:r>
      <w:r>
        <w:rPr>
          <w:rFonts w:hint="eastAsia" w:asciiTheme="minorEastAsia" w:hAnsiTheme="minorEastAsia" w:eastAsiaTheme="minorEastAsia" w:cstheme="minorEastAsia"/>
          <w:b/>
          <w:bCs/>
          <w:sz w:val="32"/>
          <w:szCs w:val="32"/>
          <w:lang w:val="en-US" w:eastAsia="zh-CN"/>
        </w:rPr>
        <w:t>回想互联网时代</w:t>
      </w:r>
      <w:r>
        <w:rPr>
          <w:rFonts w:hint="eastAsia" w:asciiTheme="minorEastAsia" w:hAnsiTheme="minorEastAsia" w:eastAsiaTheme="minorEastAsia" w:cstheme="minorEastAsia"/>
          <w:sz w:val="32"/>
          <w:szCs w:val="32"/>
          <w:lang w:val="en-US" w:eastAsia="zh-CN"/>
        </w:rPr>
        <w:t>，前期投入的变现也经历了漫长的周期：从宽带建设，到消费端的PC普及，再到电子商务的深入人心，然后是移动互联，其间，流媒体、精准广告、移动支付、跨境电商……</w:t>
      </w:r>
      <w:r>
        <w:rPr>
          <w:rFonts w:hint="eastAsia" w:asciiTheme="minorEastAsia" w:hAnsiTheme="minorEastAsia" w:eastAsiaTheme="minorEastAsia" w:cstheme="minorEastAsia"/>
          <w:b/>
          <w:bCs/>
          <w:sz w:val="32"/>
          <w:szCs w:val="32"/>
          <w:lang w:val="en-US" w:eastAsia="zh-CN"/>
        </w:rPr>
        <w:t>每个子项都代表着巨大的商机和产出</w:t>
      </w:r>
      <w:r>
        <w:rPr>
          <w:rFonts w:hint="eastAsia" w:asciiTheme="minorEastAsia" w:hAnsiTheme="minorEastAsia" w:eastAsiaTheme="minorEastAsia" w:cstheme="minorEastAsia"/>
          <w:sz w:val="32"/>
          <w:szCs w:val="32"/>
          <w:lang w:val="en-US" w:eastAsia="zh-CN"/>
        </w:rPr>
        <w:t>。</w:t>
      </w:r>
    </w:p>
    <w:p>
      <w:pPr>
        <w:rPr>
          <w:rFonts w:hint="default" w:eastAsiaTheme="minorEastAsia"/>
          <w:b/>
          <w:bCs/>
          <w:color w:val="0000FF"/>
          <w:sz w:val="32"/>
          <w:szCs w:val="32"/>
          <w:lang w:val="en-US" w:eastAsia="zh-CN"/>
        </w:rPr>
      </w:pPr>
    </w:p>
    <w:p>
      <w:pPr>
        <w:rPr>
          <w:rFonts w:hint="default" w:eastAsiaTheme="minorEastAsia"/>
          <w:b/>
          <w:bCs/>
          <w:color w:val="0000FF"/>
          <w:sz w:val="32"/>
          <w:szCs w:val="32"/>
          <w:lang w:val="en-US" w:eastAsia="zh-CN"/>
        </w:rPr>
      </w:pPr>
    </w:p>
    <w:p>
      <w:pPr>
        <w:rPr>
          <w:rFonts w:hint="eastAsia"/>
          <w:b/>
          <w:bCs/>
          <w:color w:val="0000FF"/>
          <w:highlight w:val="yellow"/>
          <w:lang w:eastAsia="zh-CN"/>
        </w:rPr>
      </w:pPr>
      <w:r>
        <w:rPr>
          <w:rFonts w:hint="eastAsia" w:ascii="方正小标宋_GBK" w:hAnsi="方正小标宋_GBK" w:eastAsia="方正小标宋_GBK" w:cs="方正小标宋_GBK"/>
          <w:b/>
          <w:bCs/>
          <w:color w:val="0000FF"/>
          <w:sz w:val="32"/>
          <w:szCs w:val="32"/>
          <w:highlight w:val="yellow"/>
          <w:lang w:val="en-US" w:eastAsia="zh-CN"/>
        </w:rPr>
        <w:t>9月19日</w:t>
      </w:r>
      <w:r>
        <w:rPr>
          <w:rFonts w:hint="eastAsia" w:ascii="方正小标宋_GBK" w:hAnsi="方正小标宋_GBK" w:eastAsia="方正小标宋_GBK" w:cs="方正小标宋_GBK"/>
          <w:b/>
          <w:bCs/>
          <w:color w:val="0000FF"/>
          <w:sz w:val="32"/>
          <w:szCs w:val="32"/>
          <w:highlight w:val="yellow"/>
          <w:lang w:eastAsia="zh-CN"/>
        </w:rPr>
        <w:t>（周四）</w:t>
      </w:r>
    </w:p>
    <w:p>
      <w:pPr>
        <w:jc w:val="center"/>
        <w:rPr>
          <w:rFonts w:hint="default"/>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eastAsia="zh-CN"/>
        </w:rPr>
        <w:t>“怎么多降了</w:t>
      </w:r>
      <w:r>
        <w:rPr>
          <w:rFonts w:hint="eastAsia" w:ascii="方正小标宋_GBK" w:hAnsi="方正小标宋_GBK" w:eastAsia="方正小标宋_GBK" w:cs="方正小标宋_GBK"/>
          <w:b/>
          <w:bCs/>
          <w:color w:val="0000FF"/>
          <w:sz w:val="36"/>
          <w:szCs w:val="36"/>
          <w:highlight w:val="yellow"/>
          <w:lang w:val="en-US" w:eastAsia="zh-CN"/>
        </w:rPr>
        <w:t>25个基点？”</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美联储每年一般召开8次“联邦公开市场委员会”（Federal Open Market Committee，简称</w:t>
      </w:r>
      <w:r>
        <w:rPr>
          <w:rFonts w:hint="eastAsia" w:asciiTheme="minorEastAsia" w:hAnsiTheme="minorEastAsia" w:eastAsiaTheme="minorEastAsia" w:cstheme="minorEastAsia"/>
          <w:b/>
          <w:bCs/>
          <w:sz w:val="32"/>
          <w:szCs w:val="32"/>
        </w:rPr>
        <w:t>FOMC</w:t>
      </w:r>
      <w:r>
        <w:rPr>
          <w:rFonts w:hint="eastAsia" w:asciiTheme="minorEastAsia" w:hAnsiTheme="minorEastAsia" w:eastAsiaTheme="minorEastAsia" w:cstheme="minorEastAsia"/>
          <w:sz w:val="32"/>
          <w:szCs w:val="32"/>
        </w:rPr>
        <w:t>）会议，审议当前的经济状况、通胀水平、就业数据和其他相关指标，以及全球经济环境等因素。就是否需要调整利率水平、采取其他货币政策工具等问题进行讨论和决策，因此也被称为“</w:t>
      </w:r>
      <w:r>
        <w:rPr>
          <w:rFonts w:hint="eastAsia" w:asciiTheme="minorEastAsia" w:hAnsiTheme="minorEastAsia" w:eastAsiaTheme="minorEastAsia" w:cstheme="minorEastAsia"/>
          <w:b/>
          <w:bCs/>
          <w:sz w:val="32"/>
          <w:szCs w:val="32"/>
        </w:rPr>
        <w:t>议息会议</w:t>
      </w:r>
      <w:r>
        <w:rPr>
          <w:rFonts w:hint="eastAsia" w:asciiTheme="minorEastAsia" w:hAnsiTheme="minorEastAsia" w:eastAsiaTheme="minorEastAsia" w:cstheme="minorEastAsia"/>
          <w:sz w:val="32"/>
          <w:szCs w:val="32"/>
        </w:rPr>
        <w:t>”或“利率会议”。</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b/>
          <w:bCs/>
          <w:sz w:val="32"/>
          <w:szCs w:val="32"/>
        </w:rPr>
        <w:t>FOMC由12位成员组成</w:t>
      </w:r>
      <w:r>
        <w:rPr>
          <w:rFonts w:hint="eastAsia" w:asciiTheme="minorEastAsia" w:hAnsiTheme="minorEastAsia" w:eastAsiaTheme="minorEastAsia" w:cstheme="minorEastAsia"/>
          <w:sz w:val="32"/>
          <w:szCs w:val="32"/>
        </w:rPr>
        <w:t>，其中</w:t>
      </w:r>
      <w:r>
        <w:rPr>
          <w:rFonts w:hint="eastAsia" w:asciiTheme="minorEastAsia" w:hAnsiTheme="minorEastAsia" w:eastAsiaTheme="minorEastAsia" w:cstheme="minorEastAsia"/>
          <w:b/>
          <w:bCs/>
          <w:sz w:val="32"/>
          <w:szCs w:val="32"/>
        </w:rPr>
        <w:t>7位</w:t>
      </w:r>
      <w:r>
        <w:rPr>
          <w:rFonts w:hint="eastAsia" w:asciiTheme="minorEastAsia" w:hAnsiTheme="minorEastAsia" w:eastAsiaTheme="minorEastAsia" w:cstheme="minorEastAsia"/>
          <w:b w:val="0"/>
          <w:bCs w:val="0"/>
          <w:sz w:val="32"/>
          <w:szCs w:val="32"/>
        </w:rPr>
        <w:t>是美联储的理事</w:t>
      </w:r>
      <w:r>
        <w:rPr>
          <w:rFonts w:hint="eastAsia" w:asciiTheme="minorEastAsia" w:hAnsiTheme="minorEastAsia" w:eastAsiaTheme="minorEastAsia" w:cstheme="minorEastAsia"/>
          <w:sz w:val="32"/>
          <w:szCs w:val="32"/>
        </w:rPr>
        <w:t>（含正副主席），</w:t>
      </w:r>
      <w:r>
        <w:rPr>
          <w:rFonts w:hint="eastAsia" w:asciiTheme="minorEastAsia" w:hAnsiTheme="minorEastAsia" w:eastAsiaTheme="minorEastAsia" w:cstheme="minorEastAsia"/>
          <w:sz w:val="32"/>
          <w:szCs w:val="32"/>
          <w:lang w:eastAsia="zh-CN"/>
        </w:rPr>
        <w:t>另外</w:t>
      </w:r>
      <w:r>
        <w:rPr>
          <w:rFonts w:hint="eastAsia" w:asciiTheme="minorEastAsia" w:hAnsiTheme="minorEastAsia" w:eastAsiaTheme="minorEastAsia" w:cstheme="minorEastAsia"/>
          <w:b/>
          <w:bCs/>
          <w:sz w:val="32"/>
          <w:szCs w:val="32"/>
        </w:rPr>
        <w:t>5位</w:t>
      </w:r>
      <w:r>
        <w:rPr>
          <w:rFonts w:hint="eastAsia" w:asciiTheme="minorEastAsia" w:hAnsiTheme="minorEastAsia" w:eastAsiaTheme="minorEastAsia" w:cstheme="minorEastAsia"/>
          <w:b w:val="0"/>
          <w:bCs w:val="0"/>
          <w:sz w:val="32"/>
          <w:szCs w:val="32"/>
          <w:lang w:eastAsia="zh-CN"/>
        </w:rPr>
        <w:t>从</w:t>
      </w:r>
      <w:r>
        <w:rPr>
          <w:rFonts w:hint="eastAsia" w:asciiTheme="minorEastAsia" w:hAnsiTheme="minorEastAsia" w:eastAsiaTheme="minorEastAsia" w:cstheme="minorEastAsia"/>
          <w:b w:val="0"/>
          <w:bCs w:val="0"/>
          <w:sz w:val="32"/>
          <w:szCs w:val="32"/>
        </w:rPr>
        <w:t>12个地区联邦储备银行</w:t>
      </w:r>
      <w:r>
        <w:rPr>
          <w:rFonts w:hint="eastAsia" w:asciiTheme="minorEastAsia" w:hAnsiTheme="minorEastAsia" w:eastAsiaTheme="minorEastAsia" w:cstheme="minorEastAsia"/>
          <w:b w:val="0"/>
          <w:bCs w:val="0"/>
          <w:sz w:val="32"/>
          <w:szCs w:val="32"/>
          <w:lang w:eastAsia="zh-CN"/>
        </w:rPr>
        <w:t>的</w:t>
      </w:r>
      <w:r>
        <w:rPr>
          <w:rFonts w:hint="eastAsia" w:asciiTheme="minorEastAsia" w:hAnsiTheme="minorEastAsia" w:eastAsiaTheme="minorEastAsia" w:cstheme="minorEastAsia"/>
          <w:b w:val="0"/>
          <w:bCs w:val="0"/>
          <w:sz w:val="32"/>
          <w:szCs w:val="32"/>
        </w:rPr>
        <w:t>行长</w:t>
      </w:r>
      <w:r>
        <w:rPr>
          <w:rFonts w:hint="eastAsia" w:asciiTheme="minorEastAsia" w:hAnsiTheme="minorEastAsia" w:eastAsiaTheme="minorEastAsia" w:cstheme="minorEastAsia"/>
          <w:b w:val="0"/>
          <w:bCs w:val="0"/>
          <w:sz w:val="32"/>
          <w:szCs w:val="32"/>
          <w:lang w:eastAsia="zh-CN"/>
        </w:rPr>
        <w:t>中产生</w:t>
      </w:r>
      <w:r>
        <w:rPr>
          <w:rFonts w:hint="eastAsia" w:asciiTheme="minorEastAsia" w:hAnsiTheme="minorEastAsia" w:eastAsiaTheme="minorEastAsia" w:cstheme="minorEastAsia"/>
          <w:sz w:val="32"/>
          <w:szCs w:val="32"/>
          <w:lang w:eastAsia="zh-CN"/>
        </w:rPr>
        <w:t>，其</w:t>
      </w:r>
      <w:r>
        <w:rPr>
          <w:rFonts w:hint="eastAsia" w:asciiTheme="minorEastAsia" w:hAnsiTheme="minorEastAsia" w:eastAsiaTheme="minorEastAsia" w:cstheme="minorEastAsia"/>
          <w:sz w:val="32"/>
          <w:szCs w:val="32"/>
        </w:rPr>
        <w:t>中，纽约储备银行行长与美联储理事一样，是FOMC的固定成员，其他4席则按照轮值制度轮流担当。</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eastAsia="zh-CN"/>
        </w:rPr>
        <w:t>上述</w:t>
      </w:r>
      <w:r>
        <w:rPr>
          <w:rFonts w:hint="eastAsia" w:asciiTheme="minorEastAsia" w:hAnsiTheme="minorEastAsia" w:eastAsiaTheme="minorEastAsia" w:cstheme="minorEastAsia"/>
          <w:sz w:val="32"/>
          <w:szCs w:val="32"/>
        </w:rPr>
        <w:t>FOMC</w:t>
      </w:r>
      <w:r>
        <w:rPr>
          <w:rFonts w:hint="eastAsia" w:asciiTheme="minorEastAsia" w:hAnsiTheme="minorEastAsia" w:eastAsiaTheme="minorEastAsia" w:cstheme="minorEastAsia"/>
          <w:sz w:val="32"/>
          <w:szCs w:val="32"/>
          <w:lang w:eastAsia="zh-CN"/>
        </w:rPr>
        <w:t>的</w:t>
      </w:r>
      <w:r>
        <w:rPr>
          <w:rFonts w:hint="eastAsia" w:asciiTheme="minorEastAsia" w:hAnsiTheme="minorEastAsia" w:eastAsiaTheme="minorEastAsia" w:cstheme="minorEastAsia"/>
          <w:sz w:val="32"/>
          <w:szCs w:val="32"/>
          <w:lang w:val="en-US" w:eastAsia="zh-CN"/>
        </w:rPr>
        <w:t>12位成员，</w:t>
      </w:r>
      <w:r>
        <w:rPr>
          <w:rFonts w:hint="eastAsia" w:asciiTheme="minorEastAsia" w:hAnsiTheme="minorEastAsia" w:eastAsiaTheme="minorEastAsia" w:cstheme="minorEastAsia"/>
          <w:sz w:val="32"/>
          <w:szCs w:val="32"/>
        </w:rPr>
        <w:t>拥有对会议决策的投票权，所以被称为“</w:t>
      </w:r>
      <w:r>
        <w:rPr>
          <w:rFonts w:hint="eastAsia" w:asciiTheme="minorEastAsia" w:hAnsiTheme="minorEastAsia" w:eastAsiaTheme="minorEastAsia" w:cstheme="minorEastAsia"/>
          <w:b/>
          <w:bCs/>
          <w:sz w:val="32"/>
          <w:szCs w:val="32"/>
        </w:rPr>
        <w:t>票委</w:t>
      </w:r>
      <w:r>
        <w:rPr>
          <w:rFonts w:hint="eastAsia" w:asciiTheme="minorEastAsia" w:hAnsiTheme="minorEastAsia" w:eastAsiaTheme="minorEastAsia" w:cstheme="minorEastAsia"/>
          <w:sz w:val="32"/>
          <w:szCs w:val="32"/>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eastAsia="zh-CN"/>
        </w:rPr>
        <w:t>议息</w:t>
      </w:r>
      <w:r>
        <w:rPr>
          <w:rFonts w:hint="eastAsia" w:asciiTheme="minorEastAsia" w:hAnsiTheme="minorEastAsia" w:eastAsiaTheme="minorEastAsia" w:cstheme="minorEastAsia"/>
          <w:sz w:val="32"/>
          <w:szCs w:val="32"/>
        </w:rPr>
        <w:t>会议召开的日期</w:t>
      </w:r>
      <w:r>
        <w:rPr>
          <w:rFonts w:hint="eastAsia" w:asciiTheme="minorEastAsia" w:hAnsiTheme="minorEastAsia" w:eastAsiaTheme="minorEastAsia" w:cstheme="minorEastAsia"/>
          <w:sz w:val="32"/>
          <w:szCs w:val="32"/>
          <w:lang w:eastAsia="zh-CN"/>
        </w:rPr>
        <w:t>，依</w:t>
      </w:r>
      <w:r>
        <w:rPr>
          <w:rFonts w:hint="eastAsia" w:asciiTheme="minorEastAsia" w:hAnsiTheme="minorEastAsia" w:eastAsiaTheme="minorEastAsia" w:cstheme="minorEastAsia"/>
          <w:sz w:val="32"/>
          <w:szCs w:val="32"/>
        </w:rPr>
        <w:t>经济和货币政策调整的需要</w:t>
      </w:r>
      <w:r>
        <w:rPr>
          <w:rFonts w:hint="eastAsia" w:asciiTheme="minorEastAsia" w:hAnsiTheme="minorEastAsia" w:eastAsiaTheme="minorEastAsia" w:cstheme="minorEastAsia"/>
          <w:sz w:val="32"/>
          <w:szCs w:val="32"/>
          <w:lang w:eastAsia="zh-CN"/>
        </w:rPr>
        <w:t>而</w:t>
      </w:r>
      <w:r>
        <w:rPr>
          <w:rFonts w:hint="eastAsia" w:asciiTheme="minorEastAsia" w:hAnsiTheme="minorEastAsia" w:eastAsiaTheme="minorEastAsia" w:cstheme="minorEastAsia"/>
          <w:sz w:val="32"/>
          <w:szCs w:val="32"/>
        </w:rPr>
        <w:t>定，并不固定，通常于1、3、4、6、7、9、11和12月进行。</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9月18日</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周三</w:t>
      </w:r>
      <w:r>
        <w:rPr>
          <w:rFonts w:hint="eastAsia" w:asciiTheme="minorEastAsia" w:hAnsiTheme="minorEastAsia" w:eastAsiaTheme="minorEastAsia" w:cstheme="minorEastAsia"/>
          <w:sz w:val="32"/>
          <w:szCs w:val="32"/>
          <w:lang w:eastAsia="zh-CN"/>
        </w:rPr>
        <w:t>），美联储</w:t>
      </w:r>
      <w:r>
        <w:rPr>
          <w:rFonts w:hint="eastAsia" w:asciiTheme="minorEastAsia" w:hAnsiTheme="minorEastAsia" w:eastAsiaTheme="minorEastAsia" w:cstheme="minorEastAsia"/>
          <w:sz w:val="32"/>
          <w:szCs w:val="32"/>
          <w:lang w:val="en-US" w:eastAsia="zh-CN"/>
        </w:rPr>
        <w:t>9月的</w:t>
      </w:r>
      <w:r>
        <w:rPr>
          <w:rFonts w:hint="eastAsia" w:asciiTheme="minorEastAsia" w:hAnsiTheme="minorEastAsia" w:eastAsiaTheme="minorEastAsia" w:cstheme="minorEastAsia"/>
          <w:sz w:val="32"/>
          <w:szCs w:val="32"/>
          <w:lang w:eastAsia="zh-CN"/>
        </w:rPr>
        <w:t>议息会议结束，</w:t>
      </w:r>
      <w:r>
        <w:rPr>
          <w:rFonts w:hint="eastAsia" w:asciiTheme="minorEastAsia" w:hAnsiTheme="minorEastAsia" w:eastAsiaTheme="minorEastAsia" w:cstheme="minorEastAsia"/>
          <w:sz w:val="32"/>
          <w:szCs w:val="32"/>
        </w:rPr>
        <w:t>FOMC</w:t>
      </w:r>
      <w:r>
        <w:rPr>
          <w:rFonts w:hint="eastAsia" w:asciiTheme="minorEastAsia" w:hAnsiTheme="minorEastAsia" w:eastAsiaTheme="minorEastAsia" w:cstheme="minorEastAsia"/>
          <w:sz w:val="32"/>
          <w:szCs w:val="32"/>
          <w:lang w:eastAsia="zh-CN"/>
        </w:rPr>
        <w:t>投票决定，</w:t>
      </w:r>
      <w:r>
        <w:rPr>
          <w:rFonts w:hint="eastAsia" w:asciiTheme="minorEastAsia" w:hAnsiTheme="minorEastAsia" w:eastAsiaTheme="minorEastAsia" w:cstheme="minorEastAsia"/>
          <w:sz w:val="32"/>
          <w:szCs w:val="32"/>
        </w:rPr>
        <w:t>直接降息50个基点</w:t>
      </w:r>
      <w:r>
        <w:rPr>
          <w:rFonts w:hint="eastAsia" w:asciiTheme="minorEastAsia" w:hAnsiTheme="minorEastAsia" w:eastAsiaTheme="minorEastAsia" w:cstheme="minorEastAsia"/>
          <w:sz w:val="32"/>
          <w:szCs w:val="32"/>
          <w:lang w:eastAsia="zh-CN"/>
        </w:rPr>
        <w:t>，即</w:t>
      </w:r>
      <w:r>
        <w:rPr>
          <w:rFonts w:hint="eastAsia" w:asciiTheme="minorEastAsia" w:hAnsiTheme="minorEastAsia" w:eastAsiaTheme="minorEastAsia" w:cstheme="minorEastAsia"/>
          <w:sz w:val="32"/>
          <w:szCs w:val="32"/>
        </w:rPr>
        <w:t>将联邦基金目标区间</w:t>
      </w:r>
      <w:r>
        <w:rPr>
          <w:rFonts w:hint="eastAsia" w:asciiTheme="minorEastAsia" w:hAnsiTheme="minorEastAsia" w:eastAsiaTheme="minorEastAsia" w:cstheme="minorEastAsia"/>
          <w:sz w:val="32"/>
          <w:szCs w:val="32"/>
          <w:lang w:eastAsia="zh-CN"/>
        </w:rPr>
        <w:t>由</w:t>
      </w:r>
      <w:r>
        <w:rPr>
          <w:rFonts w:hint="eastAsia" w:asciiTheme="minorEastAsia" w:hAnsiTheme="minorEastAsia" w:eastAsiaTheme="minorEastAsia" w:cstheme="minorEastAsia"/>
          <w:sz w:val="32"/>
          <w:szCs w:val="32"/>
          <w:lang w:val="en-US" w:eastAsia="zh-CN"/>
        </w:rPr>
        <w:t>5.2%-5.50%</w:t>
      </w:r>
      <w:r>
        <w:rPr>
          <w:rFonts w:hint="eastAsia" w:asciiTheme="minorEastAsia" w:hAnsiTheme="minorEastAsia" w:eastAsiaTheme="minorEastAsia" w:cstheme="minorEastAsia"/>
          <w:sz w:val="32"/>
          <w:szCs w:val="32"/>
        </w:rPr>
        <w:t>下调至4.75%</w:t>
      </w:r>
      <w:r>
        <w:rPr>
          <w:rFonts w:hint="eastAsia" w:asciiTheme="minorEastAsia" w:hAnsiTheme="minorEastAsia" w:eastAsiaTheme="minorEastAsia" w:cstheme="minorEastAsia"/>
          <w:sz w:val="32"/>
          <w:szCs w:val="32"/>
          <w:lang w:val="en-US" w:eastAsia="zh-CN"/>
        </w:rPr>
        <w:t>-</w:t>
      </w:r>
      <w:r>
        <w:rPr>
          <w:rFonts w:hint="eastAsia" w:asciiTheme="minorEastAsia" w:hAnsiTheme="minorEastAsia" w:eastAsiaTheme="minorEastAsia" w:cstheme="minorEastAsia"/>
          <w:sz w:val="32"/>
          <w:szCs w:val="32"/>
        </w:rPr>
        <w:t>5.00%</w:t>
      </w:r>
      <w:r>
        <w:rPr>
          <w:rFonts w:hint="eastAsia" w:asciiTheme="minorEastAsia" w:hAnsiTheme="minorEastAsia" w:eastAsiaTheme="minorEastAsia" w:cstheme="minorEastAsia"/>
          <w:sz w:val="32"/>
          <w:szCs w:val="32"/>
          <w:lang w:eastAsia="zh-CN"/>
        </w:rPr>
        <w:t>，这是自</w:t>
      </w:r>
      <w:r>
        <w:rPr>
          <w:rFonts w:hint="eastAsia" w:asciiTheme="minorEastAsia" w:hAnsiTheme="minorEastAsia" w:eastAsiaTheme="minorEastAsia" w:cstheme="minorEastAsia"/>
          <w:sz w:val="32"/>
          <w:szCs w:val="32"/>
          <w:lang w:val="en-US" w:eastAsia="zh-CN"/>
        </w:rPr>
        <w:t>2020年以来首次降息</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eastAsia="zh-CN"/>
        </w:rPr>
        <w:t>随后发布的</w:t>
      </w:r>
      <w:r>
        <w:rPr>
          <w:rFonts w:hint="eastAsia" w:asciiTheme="minorEastAsia" w:hAnsiTheme="minorEastAsia" w:eastAsiaTheme="minorEastAsia" w:cstheme="minorEastAsia"/>
          <w:sz w:val="32"/>
          <w:szCs w:val="32"/>
        </w:rPr>
        <w:t>新闻稿显示</w:t>
      </w:r>
      <w:r>
        <w:rPr>
          <w:rFonts w:hint="eastAsia" w:asciiTheme="minorEastAsia" w:hAnsiTheme="minorEastAsia" w:eastAsiaTheme="minorEastAsia" w:cstheme="minorEastAsia"/>
          <w:sz w:val="32"/>
          <w:szCs w:val="32"/>
          <w:lang w:eastAsia="zh-CN"/>
        </w:rPr>
        <w:t>：只有（理事）</w:t>
      </w:r>
      <w:r>
        <w:rPr>
          <w:rFonts w:hint="eastAsia" w:asciiTheme="minorEastAsia" w:hAnsiTheme="minorEastAsia" w:eastAsiaTheme="minorEastAsia" w:cstheme="minorEastAsia"/>
          <w:sz w:val="32"/>
          <w:szCs w:val="32"/>
        </w:rPr>
        <w:t>鲍曼</w:t>
      </w:r>
      <w:r>
        <w:rPr>
          <w:rFonts w:hint="eastAsia" w:asciiTheme="minorEastAsia" w:hAnsiTheme="minorEastAsia" w:eastAsiaTheme="minorEastAsia" w:cstheme="minorEastAsia"/>
          <w:sz w:val="32"/>
          <w:szCs w:val="32"/>
          <w:lang w:eastAsia="zh-CN"/>
        </w:rPr>
        <w:t>一人</w:t>
      </w:r>
      <w:r>
        <w:rPr>
          <w:rFonts w:hint="eastAsia" w:asciiTheme="minorEastAsia" w:hAnsiTheme="minorEastAsia" w:eastAsiaTheme="minorEastAsia" w:cstheme="minorEastAsia"/>
          <w:sz w:val="32"/>
          <w:szCs w:val="32"/>
        </w:rPr>
        <w:t>认为</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应降息25个基点</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其他票委均投票支持降息50个基点</w:t>
      </w:r>
      <w:r>
        <w:rPr>
          <w:rFonts w:hint="eastAsia" w:asciiTheme="minorEastAsia" w:hAnsiTheme="minorEastAsia" w:eastAsiaTheme="minorEastAsia" w:cstheme="minorEastAsia"/>
          <w:sz w:val="32"/>
          <w:szCs w:val="32"/>
          <w:lang w:eastAsia="zh-CN"/>
        </w:rPr>
        <w:t>。这是自</w:t>
      </w:r>
      <w:r>
        <w:rPr>
          <w:rFonts w:hint="eastAsia" w:asciiTheme="minorEastAsia" w:hAnsiTheme="minorEastAsia" w:eastAsiaTheme="minorEastAsia" w:cstheme="minorEastAsia"/>
          <w:sz w:val="32"/>
          <w:szCs w:val="32"/>
          <w:lang w:val="en-US" w:eastAsia="zh-CN"/>
        </w:rPr>
        <w:t>2005年来第一次，FOMC不是全票通过某个利率决策。</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在</w:t>
      </w:r>
      <w:r>
        <w:rPr>
          <w:rFonts w:hint="eastAsia" w:asciiTheme="minorEastAsia" w:hAnsiTheme="minorEastAsia" w:eastAsiaTheme="minorEastAsia" w:cstheme="minorEastAsia"/>
          <w:sz w:val="32"/>
          <w:szCs w:val="32"/>
          <w:lang w:eastAsia="zh-CN"/>
        </w:rPr>
        <w:t>每个季度末（</w:t>
      </w:r>
      <w:r>
        <w:rPr>
          <w:rFonts w:hint="eastAsia" w:asciiTheme="minorEastAsia" w:hAnsiTheme="minorEastAsia" w:eastAsiaTheme="minorEastAsia" w:cstheme="minorEastAsia"/>
          <w:sz w:val="32"/>
          <w:szCs w:val="32"/>
        </w:rPr>
        <w:t>3月、6月、9月和12月</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的FOMC会议上，与会者对未来数年的利率走势进行预测，预测结果以</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点阵图</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形式记录并呈现出来。</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除了“票委”外，FOMC会议还邀请其他联邦储备银行行长参加，虽然他们没有对会议决策的投票权，但他们可以在会议上发表意见并参与讨论。</w:t>
      </w:r>
      <w:r>
        <w:rPr>
          <w:rFonts w:hint="eastAsia" w:asciiTheme="minorEastAsia" w:hAnsiTheme="minorEastAsia" w:eastAsiaTheme="minorEastAsia" w:cstheme="minorEastAsia"/>
          <w:sz w:val="32"/>
          <w:szCs w:val="32"/>
          <w:lang w:eastAsia="zh-CN"/>
        </w:rPr>
        <w:t>而且，</w:t>
      </w:r>
      <w:r>
        <w:rPr>
          <w:rFonts w:hint="eastAsia" w:asciiTheme="minorEastAsia" w:hAnsiTheme="minorEastAsia" w:eastAsiaTheme="minorEastAsia" w:cstheme="minorEastAsia"/>
          <w:sz w:val="32"/>
          <w:szCs w:val="32"/>
        </w:rPr>
        <w:t>这些“非票委”可以对点阵图投票，表达其对未来经济走势和利率政策的预期。</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因此，FOMC点阵图上共有19个预测点，显示出所有</w:t>
      </w:r>
      <w:r>
        <w:rPr>
          <w:rFonts w:hint="eastAsia" w:asciiTheme="minorEastAsia" w:hAnsiTheme="minorEastAsia" w:eastAsiaTheme="minorEastAsia" w:cstheme="minorEastAsia"/>
          <w:sz w:val="32"/>
          <w:szCs w:val="32"/>
          <w:lang w:eastAsia="zh-CN"/>
        </w:rPr>
        <w:t>参会的</w:t>
      </w:r>
      <w:r>
        <w:rPr>
          <w:rFonts w:hint="eastAsia" w:asciiTheme="minorEastAsia" w:hAnsiTheme="minorEastAsia" w:eastAsiaTheme="minorEastAsia" w:cstheme="minorEastAsia"/>
          <w:sz w:val="32"/>
          <w:szCs w:val="32"/>
        </w:rPr>
        <w:t>票委和非票委的观点，提供了更全面的视角，反映了更广泛的意见和预期。</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t>点阵图的横轴表示时间跨度，纵轴代表利率水平，</w:t>
      </w:r>
      <w:r>
        <w:rPr>
          <w:rFonts w:hint="eastAsia" w:asciiTheme="minorEastAsia" w:hAnsiTheme="minorEastAsia" w:eastAsiaTheme="minorEastAsia" w:cstheme="minorEastAsia"/>
          <w:sz w:val="32"/>
          <w:szCs w:val="32"/>
          <w:lang w:val="en-US" w:eastAsia="zh-CN"/>
        </w:rPr>
        <w:t>横线间相隔25个基点，即每个区间宽0.25%。每个点代表一个投票人，蓝点最集中的地方，就是最大多数投票人预测的目标位。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本次会议的</w:t>
      </w:r>
      <w:r>
        <w:rPr>
          <w:rFonts w:hint="eastAsia" w:asciiTheme="minorEastAsia" w:hAnsiTheme="minorEastAsia" w:eastAsiaTheme="minorEastAsia" w:cstheme="minorEastAsia"/>
          <w:sz w:val="32"/>
          <w:szCs w:val="32"/>
        </w:rPr>
        <w:t>点阵图</w:t>
      </w:r>
      <w:r>
        <w:rPr>
          <w:rFonts w:hint="eastAsia" w:asciiTheme="minorEastAsia" w:hAnsiTheme="minorEastAsia" w:eastAsiaTheme="minorEastAsia" w:cstheme="minorEastAsia"/>
          <w:sz w:val="32"/>
          <w:szCs w:val="32"/>
          <w:lang w:eastAsia="zh-CN"/>
        </w:rPr>
        <w:t>表示，</w:t>
      </w:r>
      <w:r>
        <w:rPr>
          <w:rFonts w:hint="eastAsia" w:asciiTheme="minorEastAsia" w:hAnsiTheme="minorEastAsia" w:eastAsiaTheme="minorEastAsia" w:cstheme="minorEastAsia"/>
          <w:sz w:val="32"/>
          <w:szCs w:val="32"/>
          <w:highlight w:val="none"/>
          <w:lang w:val="en-US" w:eastAsia="zh-CN"/>
        </w:rPr>
        <w:t>2024年</w:t>
      </w:r>
      <w:r>
        <w:rPr>
          <w:rFonts w:hint="eastAsia" w:asciiTheme="minorEastAsia" w:hAnsiTheme="minorEastAsia" w:eastAsiaTheme="minorEastAsia" w:cstheme="minorEastAsia"/>
          <w:sz w:val="32"/>
          <w:szCs w:val="32"/>
          <w:lang w:val="en-US" w:eastAsia="zh-CN"/>
        </w:rPr>
        <w:t>的联邦基金利率最终会落在4.25%至4.50区间（下图红框处）；即，</w:t>
      </w:r>
      <w:r>
        <w:rPr>
          <w:rFonts w:hint="eastAsia" w:asciiTheme="minorEastAsia" w:hAnsiTheme="minorEastAsia" w:eastAsiaTheme="minorEastAsia" w:cstheme="minorEastAsia"/>
          <w:sz w:val="32"/>
          <w:szCs w:val="32"/>
        </w:rPr>
        <w:t>年内还将降息50个基点</w:t>
      </w:r>
      <w:r>
        <w:rPr>
          <w:rFonts w:hint="eastAsia" w:asciiTheme="minorEastAsia" w:hAnsiTheme="minorEastAsia" w:eastAsiaTheme="minorEastAsia" w:cstheme="minorEastAsia"/>
          <w:sz w:val="32"/>
          <w:szCs w:val="32"/>
          <w:lang w:eastAsia="zh-CN"/>
        </w:rPr>
        <w:t>（即</w:t>
      </w:r>
      <w:r>
        <w:rPr>
          <w:rFonts w:hint="eastAsia" w:asciiTheme="minorEastAsia" w:hAnsiTheme="minorEastAsia" w:eastAsiaTheme="minorEastAsia" w:cstheme="minorEastAsia"/>
          <w:sz w:val="32"/>
          <w:szCs w:val="32"/>
          <w:lang w:val="en-US" w:eastAsia="zh-CN"/>
        </w:rPr>
        <w:t>0.50%</w:t>
      </w:r>
      <w:r>
        <w:rPr>
          <w:rFonts w:hint="eastAsia" w:asciiTheme="minorEastAsia" w:hAnsiTheme="minorEastAsia" w:eastAsiaTheme="minorEastAsia" w:cstheme="minorEastAsia"/>
          <w:sz w:val="32"/>
          <w:szCs w:val="32"/>
          <w:lang w:eastAsia="zh-CN"/>
        </w:rPr>
        <w:t>），那么今年降息</w:t>
      </w:r>
      <w:r>
        <w:rPr>
          <w:rFonts w:hint="eastAsia" w:asciiTheme="minorEastAsia" w:hAnsiTheme="minorEastAsia" w:eastAsiaTheme="minorEastAsia" w:cstheme="minorEastAsia"/>
          <w:sz w:val="32"/>
          <w:szCs w:val="32"/>
          <w:lang w:val="en-US" w:eastAsia="zh-CN"/>
        </w:rPr>
        <w:t>100个基点（即1%），将是大概率事件。如果成真，那接下来的两次议息会议（11月和12月），将各有一次降息，每次25个基点。</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p>
    <w:p/>
    <w:p>
      <w:pPr>
        <w:jc w:val="center"/>
        <w:rPr>
          <w:rFonts w:hint="default" w:ascii="Calibri" w:hAnsi="Calibri" w:eastAsia="仿宋_GB2312" w:cs="Calibri"/>
          <w:lang w:val="en-US" w:eastAsia="zh-CN"/>
        </w:rPr>
      </w:pPr>
      <w:r>
        <w:rPr>
          <w:rFonts w:hint="eastAsia" w:ascii="方正仿宋_GBK" w:hAnsi="方正仿宋_GBK" w:eastAsia="方正仿宋_GBK" w:cs="方正仿宋_GBK"/>
          <w:spacing w:val="-20"/>
          <w:sz w:val="24"/>
          <w:szCs w:val="24"/>
        </w:rPr>
        <w:drawing>
          <wp:anchor distT="0" distB="0" distL="114300" distR="114300" simplePos="0" relativeHeight="251663360" behindDoc="0" locked="0" layoutInCell="1" allowOverlap="1">
            <wp:simplePos x="0" y="0"/>
            <wp:positionH relativeFrom="column">
              <wp:posOffset>756920</wp:posOffset>
            </wp:positionH>
            <wp:positionV relativeFrom="paragraph">
              <wp:posOffset>22225</wp:posOffset>
            </wp:positionV>
            <wp:extent cx="4183380" cy="3312160"/>
            <wp:effectExtent l="0" t="0" r="7620" b="2540"/>
            <wp:wrapTopAndBottom/>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1"/>
                    <a:stretch>
                      <a:fillRect/>
                    </a:stretch>
                  </pic:blipFill>
                  <pic:spPr>
                    <a:xfrm>
                      <a:off x="0" y="0"/>
                      <a:ext cx="4183380" cy="3312160"/>
                    </a:xfrm>
                    <a:prstGeom prst="rect">
                      <a:avLst/>
                    </a:prstGeom>
                    <a:noFill/>
                    <a:ln>
                      <a:noFill/>
                    </a:ln>
                  </pic:spPr>
                </pic:pic>
              </a:graphicData>
            </a:graphic>
          </wp:anchor>
        </w:drawing>
      </w:r>
      <w:r>
        <w:rPr>
          <w:rFonts w:hint="eastAsia" w:ascii="方正仿宋_GBK" w:hAnsi="方正仿宋_GBK" w:eastAsia="方正仿宋_GBK" w:cs="方正仿宋_GBK"/>
          <w:spacing w:val="-20"/>
          <w:sz w:val="24"/>
          <w:szCs w:val="24"/>
          <w:lang w:eastAsia="zh-CN"/>
        </w:rPr>
        <w:t>（图注：淡蓝色为</w:t>
      </w:r>
      <w:r>
        <w:rPr>
          <w:rFonts w:hint="eastAsia" w:ascii="方正仿宋_GBK" w:hAnsi="方正仿宋_GBK" w:eastAsia="方正仿宋_GBK" w:cs="方正仿宋_GBK"/>
          <w:spacing w:val="-20"/>
          <w:sz w:val="24"/>
          <w:szCs w:val="24"/>
          <w:lang w:val="en-US" w:eastAsia="zh-CN"/>
        </w:rPr>
        <w:t>6月会议点阵图，深蓝色为9月会议点阵图，可以看出降息的步伐加速了。</w:t>
      </w:r>
      <w:r>
        <w:rPr>
          <w:rFonts w:hint="eastAsia" w:ascii="方正仿宋_GBK" w:hAnsi="方正仿宋_GBK" w:eastAsia="方正仿宋_GBK" w:cs="方正仿宋_GBK"/>
          <w:spacing w:val="-20"/>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从点阵图上看，2025年，基准利率将进一步下行到3.0%至3.5%之间，分属2个区间，各有6个蓝点，这意味着2025年将降息4至5次，每次25个基点。到了2026年，预测点大多落在2.75%至3.0%之间，即该年降息1至2次即可。</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至于远期利率预测（</w:t>
      </w:r>
      <w:r>
        <w:rPr>
          <w:rFonts w:hint="eastAsia" w:asciiTheme="minorEastAsia" w:hAnsiTheme="minorEastAsia" w:eastAsiaTheme="minorEastAsia" w:cstheme="minorEastAsia"/>
          <w:sz w:val="32"/>
          <w:szCs w:val="32"/>
          <w:highlight w:val="none"/>
          <w:lang w:val="en-US" w:eastAsia="zh-CN"/>
        </w:rPr>
        <w:t>longer</w:t>
      </w:r>
      <w:r>
        <w:rPr>
          <w:rFonts w:hint="eastAsia" w:asciiTheme="minorEastAsia" w:hAnsiTheme="minorEastAsia" w:eastAsiaTheme="minorEastAsia" w:cstheme="minorEastAsia"/>
          <w:sz w:val="32"/>
          <w:szCs w:val="32"/>
          <w:lang w:val="en-US" w:eastAsia="zh-CN"/>
        </w:rPr>
        <w:t xml:space="preserve"> run），看法比较分散，从2.25%到3.75%都有蓝点，预测点的分歧大很自然，没人能预测到5年后国际和国内经济形势，因此，点位图本身就是在变化之中的；鲍威尔也说，点阵图只作参考，并非美联储的决策。</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lang w:val="en-US" w:eastAsia="zh-CN"/>
        </w:rPr>
      </w:pPr>
      <w:r>
        <w:rPr>
          <w:rFonts w:hint="eastAsia" w:asciiTheme="minorEastAsia" w:hAnsiTheme="minorEastAsia" w:eastAsiaTheme="minorEastAsia" w:cstheme="minorEastAsia"/>
          <w:sz w:val="32"/>
          <w:szCs w:val="32"/>
          <w:lang w:eastAsia="zh-CN"/>
        </w:rPr>
        <w:t>这次降息是自</w:t>
      </w:r>
      <w:r>
        <w:rPr>
          <w:rFonts w:hint="eastAsia" w:asciiTheme="minorEastAsia" w:hAnsiTheme="minorEastAsia" w:eastAsiaTheme="minorEastAsia" w:cstheme="minorEastAsia"/>
          <w:sz w:val="32"/>
          <w:szCs w:val="32"/>
          <w:lang w:val="en-US" w:eastAsia="zh-CN"/>
        </w:rPr>
        <w:t>2021年以来的</w:t>
      </w:r>
      <w:r>
        <w:rPr>
          <w:rFonts w:hint="eastAsia" w:asciiTheme="minorEastAsia" w:hAnsiTheme="minorEastAsia" w:eastAsiaTheme="minorEastAsia" w:cstheme="minorEastAsia"/>
          <w:b/>
          <w:bCs/>
          <w:sz w:val="32"/>
          <w:szCs w:val="32"/>
          <w:lang w:val="en-US" w:eastAsia="zh-CN"/>
        </w:rPr>
        <w:t>首次降息，一次50个基点算是相当激进的动作了</w:t>
      </w:r>
      <w:r>
        <w:rPr>
          <w:rFonts w:hint="eastAsia" w:asciiTheme="minorEastAsia" w:hAnsiTheme="minorEastAsia" w:eastAsiaTheme="minorEastAsia" w:cstheme="minorEastAsia"/>
          <w:sz w:val="32"/>
          <w:szCs w:val="32"/>
          <w:lang w:val="en-US" w:eastAsia="zh-CN"/>
        </w:rPr>
        <w:t>。上一次降息是在4年前，2020年3月3日，降息50个基点，过了13天FOMC又开会，再降100个基点，当时是为了应对新冠疫情导致的经济停摆。再之前，2008年10月8日降息50个基点，过了三周再降50个基点，到12月又降100个基点。2001年互联网泡沫破裂后，开始的那轮降息周期，也是50个基点开的局。</w:t>
      </w:r>
    </w:p>
    <w:p>
      <w:pPr>
        <w:jc w:val="center"/>
        <w:rPr>
          <w:rFonts w:hint="default"/>
          <w:lang w:val="en-US" w:eastAsia="zh-CN"/>
        </w:rPr>
      </w:pPr>
      <w:r>
        <w:rPr>
          <w:rFonts w:hint="eastAsia" w:ascii="方正仿宋_GBK" w:hAnsi="方正仿宋_GBK" w:eastAsia="方正仿宋_GBK" w:cs="方正仿宋_GBK"/>
          <w:sz w:val="24"/>
          <w:szCs w:val="24"/>
        </w:rPr>
        <w:drawing>
          <wp:anchor distT="0" distB="0" distL="114300" distR="114300" simplePos="0" relativeHeight="251664384" behindDoc="0" locked="0" layoutInCell="1" allowOverlap="1">
            <wp:simplePos x="0" y="0"/>
            <wp:positionH relativeFrom="column">
              <wp:posOffset>233045</wp:posOffset>
            </wp:positionH>
            <wp:positionV relativeFrom="paragraph">
              <wp:posOffset>9525</wp:posOffset>
            </wp:positionV>
            <wp:extent cx="5267960" cy="1646555"/>
            <wp:effectExtent l="0" t="0" r="8890" b="10795"/>
            <wp:wrapTopAndBottom/>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2"/>
                    <a:stretch>
                      <a:fillRect/>
                    </a:stretch>
                  </pic:blipFill>
                  <pic:spPr>
                    <a:xfrm>
                      <a:off x="0" y="0"/>
                      <a:ext cx="5267960" cy="1646555"/>
                    </a:xfrm>
                    <a:prstGeom prst="rect">
                      <a:avLst/>
                    </a:prstGeom>
                    <a:noFill/>
                    <a:ln>
                      <a:noFill/>
                    </a:ln>
                  </pic:spPr>
                </pic:pic>
              </a:graphicData>
            </a:graphic>
          </wp:anchor>
        </w:drawing>
      </w:r>
      <w:r>
        <w:rPr>
          <w:rFonts w:hint="eastAsia" w:ascii="方正仿宋_GBK" w:hAnsi="方正仿宋_GBK" w:eastAsia="方正仿宋_GBK" w:cs="方正仿宋_GBK"/>
          <w:sz w:val="24"/>
          <w:szCs w:val="24"/>
          <w:lang w:val="en-US" w:eastAsia="zh-CN"/>
        </w:rPr>
        <w:t>（图：美联储的“联邦基金利率”，阴影部分为经济衰退期）</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lang w:eastAsia="zh-CN"/>
        </w:rPr>
      </w:pPr>
      <w:r>
        <w:rPr>
          <w:rFonts w:hint="eastAsia" w:asciiTheme="minorEastAsia" w:hAnsiTheme="minorEastAsia" w:eastAsiaTheme="minorEastAsia" w:cstheme="minorEastAsia"/>
          <w:sz w:val="32"/>
          <w:szCs w:val="32"/>
          <w:lang w:val="en-US" w:eastAsia="zh-CN"/>
        </w:rPr>
        <w:t>由此可见，以50个点开局的降息周期，通常是在经济形势相当严峻的时候。但目前，美国的宏观经济数据表现良好，</w:t>
      </w:r>
      <w:r>
        <w:rPr>
          <w:rFonts w:hint="eastAsia" w:asciiTheme="minorEastAsia" w:hAnsiTheme="minorEastAsia" w:eastAsiaTheme="minorEastAsia" w:cstheme="minorEastAsia"/>
          <w:sz w:val="32"/>
          <w:szCs w:val="32"/>
        </w:rPr>
        <w:t>并不支持美联储做出这么激进的行动</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lang w:val="en-US" w:eastAsia="zh-CN"/>
        </w:rPr>
        <w:t>而且美联储一边降息还在一边缩表，即一手宽松一手紧缩，这就让市场产生了疑惑。</w:t>
      </w:r>
      <w:r>
        <w:rPr>
          <w:rFonts w:hint="eastAsia" w:asciiTheme="minorEastAsia" w:hAnsiTheme="minorEastAsia" w:eastAsiaTheme="minorEastAsia" w:cstheme="minorEastAsia"/>
          <w:sz w:val="32"/>
          <w:szCs w:val="32"/>
        </w:rPr>
        <w:t>决议结果公布后</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美元与美债收益率短线跳水</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黄金与美股短线走高</w:t>
      </w:r>
      <w:r>
        <w:rPr>
          <w:rFonts w:hint="eastAsia" w:asciiTheme="minorEastAsia" w:hAnsiTheme="minorEastAsia" w:eastAsiaTheme="minorEastAsia" w:cstheme="minorEastAsia"/>
          <w:sz w:val="32"/>
          <w:szCs w:val="32"/>
          <w:lang w:eastAsia="zh-CN"/>
        </w:rPr>
        <w:t>。</w:t>
      </w:r>
    </w:p>
    <w:p>
      <w:r>
        <w:drawing>
          <wp:anchor distT="0" distB="0" distL="114300" distR="114300" simplePos="0" relativeHeight="251665408" behindDoc="0" locked="0" layoutInCell="1" allowOverlap="1">
            <wp:simplePos x="0" y="0"/>
            <wp:positionH relativeFrom="column">
              <wp:posOffset>414655</wp:posOffset>
            </wp:positionH>
            <wp:positionV relativeFrom="paragraph">
              <wp:posOffset>85725</wp:posOffset>
            </wp:positionV>
            <wp:extent cx="4642485" cy="2121535"/>
            <wp:effectExtent l="0" t="0" r="5715" b="12065"/>
            <wp:wrapTopAndBottom/>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3"/>
                    <a:stretch>
                      <a:fillRect/>
                    </a:stretch>
                  </pic:blipFill>
                  <pic:spPr>
                    <a:xfrm>
                      <a:off x="0" y="0"/>
                      <a:ext cx="4642485" cy="2121535"/>
                    </a:xfrm>
                    <a:prstGeom prst="rect">
                      <a:avLst/>
                    </a:prstGeom>
                    <a:noFill/>
                    <a:ln>
                      <a:noFill/>
                    </a:ln>
                  </pic:spPr>
                </pic:pic>
              </a:graphicData>
            </a:graphic>
          </wp:anchor>
        </w:drawing>
      </w:r>
    </w:p>
    <w:p>
      <w:pPr>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（图：美元指数持续走低，已从</w:t>
      </w:r>
      <w:r>
        <w:rPr>
          <w:rFonts w:hint="eastAsia" w:ascii="方正仿宋_GBK" w:hAnsi="方正仿宋_GBK" w:eastAsia="方正仿宋_GBK" w:cs="方正仿宋_GBK"/>
          <w:sz w:val="24"/>
          <w:szCs w:val="24"/>
          <w:lang w:val="en-US" w:eastAsia="zh-CN"/>
        </w:rPr>
        <w:t>4月高点下跌超5%</w:t>
      </w:r>
      <w:r>
        <w:rPr>
          <w:rFonts w:hint="eastAsia" w:ascii="方正仿宋_GBK" w:hAnsi="方正仿宋_GBK" w:eastAsia="方正仿宋_GBK" w:cs="方正仿宋_GBK"/>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t>在上周末之前</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市场主流预期还坚定认为美联储</w:t>
      </w:r>
      <w:r>
        <w:rPr>
          <w:rFonts w:hint="eastAsia" w:asciiTheme="minorEastAsia" w:hAnsiTheme="minorEastAsia" w:eastAsiaTheme="minorEastAsia" w:cstheme="minorEastAsia"/>
          <w:sz w:val="32"/>
          <w:szCs w:val="32"/>
          <w:lang w:eastAsia="zh-CN"/>
        </w:rPr>
        <w:t>在</w:t>
      </w:r>
      <w:r>
        <w:rPr>
          <w:rFonts w:hint="eastAsia" w:asciiTheme="minorEastAsia" w:hAnsiTheme="minorEastAsia" w:eastAsiaTheme="minorEastAsia" w:cstheme="minorEastAsia"/>
          <w:sz w:val="32"/>
          <w:szCs w:val="32"/>
        </w:rPr>
        <w:t>本周</w:t>
      </w:r>
      <w:r>
        <w:rPr>
          <w:rFonts w:hint="eastAsia" w:asciiTheme="minorEastAsia" w:hAnsiTheme="minorEastAsia" w:eastAsiaTheme="minorEastAsia" w:cstheme="minorEastAsia"/>
          <w:sz w:val="32"/>
          <w:szCs w:val="32"/>
          <w:lang w:eastAsia="zh-CN"/>
        </w:rPr>
        <w:t>会议上</w:t>
      </w:r>
      <w:r>
        <w:rPr>
          <w:rFonts w:hint="eastAsia" w:asciiTheme="minorEastAsia" w:hAnsiTheme="minorEastAsia" w:eastAsiaTheme="minorEastAsia" w:cstheme="minorEastAsia"/>
          <w:sz w:val="32"/>
          <w:szCs w:val="32"/>
        </w:rPr>
        <w:t>只会降息25个基点</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在彭博社调查统计的114位机构经济学家中</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只有9位预计降50个基点</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绝大多数（105位）都认为降25个基点</w:t>
      </w:r>
      <w:r>
        <w:rPr>
          <w:rFonts w:hint="eastAsia" w:asciiTheme="minorEastAsia" w:hAnsiTheme="minorEastAsia" w:eastAsiaTheme="minorEastAsia" w:cstheme="minorEastAsia"/>
          <w:sz w:val="32"/>
          <w:szCs w:val="32"/>
          <w:lang w:eastAsia="zh-CN"/>
        </w:rPr>
        <w:t>。他们认为，“在没有经济衰退或金融危机出现的情况下，美联储不会降息超过</w:t>
      </w:r>
      <w:r>
        <w:rPr>
          <w:rFonts w:hint="eastAsia" w:asciiTheme="minorEastAsia" w:hAnsiTheme="minorEastAsia" w:eastAsiaTheme="minorEastAsia" w:cstheme="minorEastAsia"/>
          <w:sz w:val="32"/>
          <w:szCs w:val="32"/>
          <w:lang w:val="en-US" w:eastAsia="zh-CN"/>
        </w:rPr>
        <w:t>25个基点，降息50个基点，会散发出恐慌的味道。”</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val="en-US" w:eastAsia="zh-CN"/>
        </w:rPr>
        <w:t>降息50个基点的决定一出，</w:t>
      </w:r>
      <w:r>
        <w:rPr>
          <w:rFonts w:hint="eastAsia" w:asciiTheme="minorEastAsia" w:hAnsiTheme="minorEastAsia" w:eastAsiaTheme="minorEastAsia" w:cstheme="minorEastAsia"/>
          <w:sz w:val="32"/>
          <w:szCs w:val="32"/>
          <w:lang w:eastAsia="zh-CN"/>
        </w:rPr>
        <w:t>市场上议论纷纷，甚至有人</w:t>
      </w:r>
      <w:r>
        <w:rPr>
          <w:rFonts w:hint="eastAsia" w:asciiTheme="minorEastAsia" w:hAnsiTheme="minorEastAsia" w:eastAsiaTheme="minorEastAsia" w:cstheme="minorEastAsia"/>
          <w:sz w:val="32"/>
          <w:szCs w:val="32"/>
        </w:rPr>
        <w:t>认为</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美联储在大选的前一个月超常规大幅降息</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背后</w:t>
      </w:r>
      <w:r>
        <w:rPr>
          <w:rFonts w:hint="eastAsia" w:asciiTheme="minorEastAsia" w:hAnsiTheme="minorEastAsia" w:eastAsiaTheme="minorEastAsia" w:cstheme="minorEastAsia"/>
          <w:sz w:val="32"/>
          <w:szCs w:val="32"/>
          <w:lang w:eastAsia="zh-CN"/>
        </w:rPr>
        <w:t>有支持（现任执政的）民主党</w:t>
      </w:r>
      <w:r>
        <w:rPr>
          <w:rFonts w:hint="eastAsia" w:asciiTheme="minorEastAsia" w:hAnsiTheme="minorEastAsia" w:eastAsiaTheme="minorEastAsia" w:cstheme="minorEastAsia"/>
          <w:sz w:val="32"/>
          <w:szCs w:val="32"/>
        </w:rPr>
        <w:t>的动机</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eastAsia="zh-CN"/>
        </w:rPr>
        <w:t>因此，</w:t>
      </w:r>
      <w:r>
        <w:rPr>
          <w:rFonts w:hint="eastAsia" w:asciiTheme="minorEastAsia" w:hAnsiTheme="minorEastAsia" w:eastAsiaTheme="minorEastAsia" w:cstheme="minorEastAsia"/>
          <w:sz w:val="32"/>
          <w:szCs w:val="32"/>
        </w:rPr>
        <w:t>在随后</w:t>
      </w:r>
      <w:r>
        <w:rPr>
          <w:rFonts w:hint="eastAsia" w:asciiTheme="minorEastAsia" w:hAnsiTheme="minorEastAsia" w:eastAsiaTheme="minorEastAsia" w:cstheme="minorEastAsia"/>
          <w:sz w:val="32"/>
          <w:szCs w:val="32"/>
          <w:lang w:eastAsia="zh-CN"/>
        </w:rPr>
        <w:t>举行</w:t>
      </w:r>
      <w:r>
        <w:rPr>
          <w:rFonts w:hint="eastAsia" w:asciiTheme="minorEastAsia" w:hAnsiTheme="minorEastAsia" w:eastAsiaTheme="minorEastAsia" w:cstheme="minorEastAsia"/>
          <w:sz w:val="32"/>
          <w:szCs w:val="32"/>
        </w:rPr>
        <w:t>的新闻发布会上</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记者</w:t>
      </w:r>
      <w:r>
        <w:rPr>
          <w:rFonts w:hint="eastAsia" w:asciiTheme="minorEastAsia" w:hAnsiTheme="minorEastAsia" w:eastAsiaTheme="minorEastAsia" w:cstheme="minorEastAsia"/>
          <w:sz w:val="32"/>
          <w:szCs w:val="32"/>
          <w:lang w:eastAsia="zh-CN"/>
        </w:rPr>
        <w:t>提</w:t>
      </w:r>
      <w:r>
        <w:rPr>
          <w:rFonts w:hint="eastAsia" w:asciiTheme="minorEastAsia" w:hAnsiTheme="minorEastAsia" w:eastAsiaTheme="minorEastAsia" w:cstheme="minorEastAsia"/>
          <w:sz w:val="32"/>
          <w:szCs w:val="32"/>
          <w:highlight w:val="none"/>
          <w:lang w:eastAsia="zh-CN"/>
        </w:rPr>
        <w:t>问</w:t>
      </w:r>
      <w:r>
        <w:rPr>
          <w:rFonts w:hint="eastAsia" w:asciiTheme="minorEastAsia" w:hAnsiTheme="minorEastAsia" w:eastAsiaTheme="minorEastAsia" w:cstheme="minorEastAsia"/>
          <w:sz w:val="32"/>
          <w:szCs w:val="32"/>
          <w:lang w:eastAsia="zh-CN"/>
        </w:rPr>
        <w:t>的</w:t>
      </w:r>
      <w:r>
        <w:rPr>
          <w:rFonts w:hint="eastAsia" w:asciiTheme="minorEastAsia" w:hAnsiTheme="minorEastAsia" w:eastAsiaTheme="minorEastAsia" w:cstheme="minorEastAsia"/>
          <w:sz w:val="32"/>
          <w:szCs w:val="32"/>
        </w:rPr>
        <w:t>第一个问题就是</w:t>
      </w:r>
      <w:r>
        <w:rPr>
          <w:rFonts w:hint="eastAsia" w:asciiTheme="minorEastAsia" w:hAnsiTheme="minorEastAsia" w:eastAsiaTheme="minorEastAsia" w:cstheme="minorEastAsia"/>
          <w:sz w:val="32"/>
          <w:szCs w:val="32"/>
          <w:lang w:eastAsia="zh-CN"/>
        </w:rPr>
        <w:t>，“究竟是</w:t>
      </w:r>
      <w:r>
        <w:rPr>
          <w:rFonts w:hint="eastAsia" w:asciiTheme="minorEastAsia" w:hAnsiTheme="minorEastAsia" w:eastAsiaTheme="minorEastAsia" w:cstheme="minorEastAsia"/>
          <w:sz w:val="32"/>
          <w:szCs w:val="32"/>
        </w:rPr>
        <w:t>什么信息导致FOMC选择了更大的降息幅度</w:t>
      </w:r>
      <w:r>
        <w:rPr>
          <w:rFonts w:hint="eastAsia" w:asciiTheme="minorEastAsia" w:hAnsiTheme="minorEastAsia" w:eastAsiaTheme="minorEastAsia" w:cstheme="minorEastAsia"/>
          <w:sz w:val="32"/>
          <w:szCs w:val="32"/>
          <w:lang w:eastAsia="zh-CN"/>
        </w:rPr>
        <w:t>？”对此，</w:t>
      </w:r>
      <w:r>
        <w:rPr>
          <w:rFonts w:hint="eastAsia" w:asciiTheme="minorEastAsia" w:hAnsiTheme="minorEastAsia" w:eastAsiaTheme="minorEastAsia" w:cstheme="minorEastAsia"/>
          <w:sz w:val="32"/>
          <w:szCs w:val="32"/>
        </w:rPr>
        <w:t>鲍威尔提到了</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褐皮书</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lang w:val="en-US" w:eastAsia="zh-CN"/>
        </w:rPr>
        <w:t>“褐皮书”（Beige Book）是美联储定期发布的研究报告，每年发布8次。因其惯用的褐色（beige）封面而得名。</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66432" behindDoc="0" locked="0" layoutInCell="1" allowOverlap="1">
            <wp:simplePos x="0" y="0"/>
            <wp:positionH relativeFrom="column">
              <wp:posOffset>2479040</wp:posOffset>
            </wp:positionH>
            <wp:positionV relativeFrom="paragraph">
              <wp:posOffset>250190</wp:posOffset>
            </wp:positionV>
            <wp:extent cx="3044825" cy="1714500"/>
            <wp:effectExtent l="0" t="0" r="3175" b="0"/>
            <wp:wrapSquare wrapText="bothSides"/>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4"/>
                    <a:stretch>
                      <a:fillRect/>
                    </a:stretch>
                  </pic:blipFill>
                  <pic:spPr>
                    <a:xfrm>
                      <a:off x="0" y="0"/>
                      <a:ext cx="3044825" cy="171450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美联储的12个地区银行收集、分析当地的经济数据、企业调查和行业报告，编制出各自地区的经济状况报告，汇总而成“褐皮书”，不仅涵盖就业、工资、物价、房地产、消费者支出、制造业、金融市场和其他经济指标，还提供了来自各个地区的工商业人士和学者的观点意见，是美联储进行利率调整、制订经济政策的参考依据。</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鲍威尔解释说</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褐皮书中的信息非常悲观</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如果早知道失业率将会上升</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美联储很可能在七月份就降息</w:t>
      </w:r>
      <w:r>
        <w:rPr>
          <w:rFonts w:hint="eastAsia" w:asciiTheme="minorEastAsia" w:hAnsiTheme="minorEastAsia" w:eastAsiaTheme="minorEastAsia" w:cstheme="minorEastAsia"/>
          <w:sz w:val="32"/>
          <w:szCs w:val="32"/>
          <w:lang w:eastAsia="zh-CN"/>
        </w:rPr>
        <w:t>了。</w:t>
      </w:r>
      <w:r>
        <w:rPr>
          <w:rFonts w:hint="eastAsia" w:asciiTheme="minorEastAsia" w:hAnsiTheme="minorEastAsia" w:eastAsiaTheme="minorEastAsia" w:cstheme="minorEastAsia"/>
          <w:sz w:val="32"/>
          <w:szCs w:val="32"/>
        </w:rPr>
        <w:t>”</w:t>
      </w:r>
      <w:r>
        <w:rPr>
          <w:rFonts w:hint="eastAsia" w:asciiTheme="minorEastAsia" w:hAnsiTheme="minorEastAsia" w:eastAsiaTheme="minorEastAsia" w:cstheme="minorEastAsia"/>
          <w:sz w:val="32"/>
          <w:szCs w:val="32"/>
          <w:lang w:eastAsia="zh-CN"/>
        </w:rPr>
        <w:t>他</w:t>
      </w:r>
      <w:r>
        <w:rPr>
          <w:rFonts w:hint="eastAsia" w:asciiTheme="minorEastAsia" w:hAnsiTheme="minorEastAsia" w:eastAsiaTheme="minorEastAsia" w:cstheme="minorEastAsia"/>
          <w:sz w:val="32"/>
          <w:szCs w:val="32"/>
        </w:rPr>
        <w:t>暗示这次之所以降息50个基点</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是为了弥补7月</w:t>
      </w:r>
      <w:r>
        <w:rPr>
          <w:rFonts w:hint="eastAsia" w:asciiTheme="minorEastAsia" w:hAnsiTheme="minorEastAsia" w:eastAsiaTheme="minorEastAsia" w:cstheme="minorEastAsia"/>
          <w:sz w:val="32"/>
          <w:szCs w:val="32"/>
          <w:lang w:eastAsia="zh-CN"/>
        </w:rPr>
        <w:t>应该降而</w:t>
      </w:r>
      <w:r>
        <w:rPr>
          <w:rFonts w:hint="eastAsia" w:asciiTheme="minorEastAsia" w:hAnsiTheme="minorEastAsia" w:eastAsiaTheme="minorEastAsia" w:cstheme="minorEastAsia"/>
          <w:sz w:val="32"/>
          <w:szCs w:val="32"/>
        </w:rPr>
        <w:t>没降</w:t>
      </w:r>
      <w:r>
        <w:rPr>
          <w:rFonts w:hint="eastAsia" w:asciiTheme="minorEastAsia" w:hAnsiTheme="minorEastAsia" w:eastAsiaTheme="minorEastAsia" w:cstheme="minorEastAsia"/>
          <w:sz w:val="32"/>
          <w:szCs w:val="32"/>
          <w:lang w:eastAsia="zh-CN"/>
        </w:rPr>
        <w:t>的</w:t>
      </w:r>
      <w:r>
        <w:rPr>
          <w:rFonts w:hint="eastAsia" w:asciiTheme="minorEastAsia" w:hAnsiTheme="minorEastAsia" w:eastAsiaTheme="minorEastAsia" w:cstheme="minorEastAsia"/>
          <w:sz w:val="32"/>
          <w:szCs w:val="32"/>
        </w:rPr>
        <w:t>25个基点</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但是</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在</w:t>
      </w:r>
      <w:r>
        <w:rPr>
          <w:rFonts w:hint="eastAsia" w:asciiTheme="minorEastAsia" w:hAnsiTheme="minorEastAsia" w:eastAsiaTheme="minorEastAsia" w:cstheme="minorEastAsia"/>
          <w:sz w:val="32"/>
          <w:szCs w:val="32"/>
          <w:lang w:eastAsia="zh-CN"/>
        </w:rPr>
        <w:t>之</w:t>
      </w:r>
      <w:r>
        <w:rPr>
          <w:rFonts w:hint="eastAsia" w:asciiTheme="minorEastAsia" w:hAnsiTheme="minorEastAsia" w:eastAsiaTheme="minorEastAsia" w:cstheme="minorEastAsia"/>
          <w:sz w:val="32"/>
          <w:szCs w:val="32"/>
        </w:rPr>
        <w:t>后的讲话中他又说</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目前</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没有看到经济中有任何迹象表明</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衰退的可能性正在上升</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零售销售数据和第二季度GDP表明</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经济正在以稳健的速度增长</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失业率仍处于健康水平</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所以经济很好，就业市场很健康</w:t>
      </w:r>
      <w:r>
        <w:rPr>
          <w:rFonts w:hint="eastAsia" w:asciiTheme="minorEastAsia" w:hAnsiTheme="minorEastAsia" w:eastAsiaTheme="minorEastAsia" w:cstheme="minorEastAsia"/>
          <w:sz w:val="32"/>
          <w:szCs w:val="32"/>
          <w:lang w:eastAsia="zh-CN"/>
        </w:rPr>
        <w:t>。”市场不禁反问：“既然如此，</w:t>
      </w:r>
      <w:r>
        <w:rPr>
          <w:rFonts w:hint="eastAsia" w:asciiTheme="minorEastAsia" w:hAnsiTheme="minorEastAsia" w:eastAsiaTheme="minorEastAsia" w:cstheme="minorEastAsia"/>
          <w:sz w:val="32"/>
          <w:szCs w:val="32"/>
        </w:rPr>
        <w:t>那你</w:t>
      </w:r>
      <w:r>
        <w:rPr>
          <w:rFonts w:hint="eastAsia" w:asciiTheme="minorEastAsia" w:hAnsiTheme="minorEastAsia" w:eastAsiaTheme="minorEastAsia" w:cstheme="minorEastAsia"/>
          <w:sz w:val="32"/>
          <w:szCs w:val="32"/>
          <w:highlight w:val="none"/>
          <w:lang w:eastAsia="zh-CN"/>
        </w:rPr>
        <w:t>一</w:t>
      </w:r>
      <w:r>
        <w:rPr>
          <w:rFonts w:hint="eastAsia" w:asciiTheme="minorEastAsia" w:hAnsiTheme="minorEastAsia" w:eastAsiaTheme="minorEastAsia" w:cstheme="minorEastAsia"/>
          <w:sz w:val="32"/>
          <w:szCs w:val="32"/>
          <w:highlight w:val="none"/>
          <w:lang w:val="en-US" w:eastAsia="zh-CN"/>
        </w:rPr>
        <w:t>口</w:t>
      </w:r>
      <w:r>
        <w:rPr>
          <w:rFonts w:hint="eastAsia" w:asciiTheme="minorEastAsia" w:hAnsiTheme="minorEastAsia" w:eastAsiaTheme="minorEastAsia" w:cstheme="minorEastAsia"/>
          <w:sz w:val="32"/>
          <w:szCs w:val="32"/>
          <w:highlight w:val="none"/>
          <w:lang w:eastAsia="zh-CN"/>
        </w:rPr>
        <w:t>气</w:t>
      </w:r>
      <w:r>
        <w:rPr>
          <w:rFonts w:hint="eastAsia" w:asciiTheme="minorEastAsia" w:hAnsiTheme="minorEastAsia" w:eastAsiaTheme="minorEastAsia" w:cstheme="minorEastAsia"/>
          <w:sz w:val="32"/>
          <w:szCs w:val="32"/>
        </w:rPr>
        <w:t>降息50个基点到底是想干嘛</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鲍威尔的解释难以使人信服，让市场更加怀疑本次降息与</w:t>
      </w:r>
      <w:r>
        <w:rPr>
          <w:rFonts w:hint="eastAsia" w:asciiTheme="minorEastAsia" w:hAnsiTheme="minorEastAsia" w:eastAsiaTheme="minorEastAsia" w:cstheme="minorEastAsia"/>
          <w:sz w:val="32"/>
          <w:szCs w:val="32"/>
          <w:lang w:val="en-US" w:eastAsia="zh-CN"/>
        </w:rPr>
        <w:t>11月大选之间的联系，或者是美联储掌握了什么外界不知晓的悲观数据</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9月13日，密歇根大学发布了9月消费者信心指数初值（见表格）</w:t>
      </w:r>
      <w:r>
        <w:rPr>
          <w:rFonts w:hint="eastAsia" w:asciiTheme="minorEastAsia" w:hAnsi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default" w:asciiTheme="minorEastAsia" w:hAnsiTheme="minorEastAsia" w:cstheme="minorEastAsia"/>
          <w:sz w:val="32"/>
          <w:szCs w:val="32"/>
          <w:lang w:val="en-US" w:eastAsia="zh-CN"/>
        </w:rPr>
        <w:drawing>
          <wp:anchor distT="0" distB="0" distL="114300" distR="114300" simplePos="0" relativeHeight="251667456" behindDoc="0" locked="0" layoutInCell="1" allowOverlap="1">
            <wp:simplePos x="0" y="0"/>
            <wp:positionH relativeFrom="column">
              <wp:posOffset>451485</wp:posOffset>
            </wp:positionH>
            <wp:positionV relativeFrom="paragraph">
              <wp:posOffset>48895</wp:posOffset>
            </wp:positionV>
            <wp:extent cx="4432935" cy="1169670"/>
            <wp:effectExtent l="0" t="0" r="5715" b="11430"/>
            <wp:wrapTopAndBottom/>
            <wp:docPr id="4" name="图片 4" descr="图片4-9月19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9月19日"/>
                    <pic:cNvPicPr>
                      <a:picLocks noChangeAspect="1"/>
                    </pic:cNvPicPr>
                  </pic:nvPicPr>
                  <pic:blipFill>
                    <a:blip r:embed="rId15"/>
                    <a:stretch>
                      <a:fillRect/>
                    </a:stretch>
                  </pic:blipFill>
                  <pic:spPr>
                    <a:xfrm>
                      <a:off x="0" y="0"/>
                      <a:ext cx="4432935" cy="1169670"/>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其中，消费者信心指数创4个月新高，短期通胀预期降至近4年低点。本次调查显示，有更多的消费者认为，失业率现在可能比通胀更令人担忧，这个看法与美联储官员们一致。但消费者信心也出现分化，而且体现出不同的政治倾向——有无信心，源自于谁将在11月的大选中获胜。</w:t>
      </w:r>
    </w:p>
    <w:p/>
    <w:p>
      <w:pPr>
        <w:jc w:val="both"/>
        <w:rPr>
          <w:rFonts w:hint="eastAsia" w:ascii="仿宋_GB2312" w:hAnsi="仿宋_GB2312" w:eastAsia="仿宋_GB2312" w:cs="仿宋_GB2312"/>
          <w:lang w:eastAsia="zh-CN"/>
        </w:rPr>
      </w:pPr>
      <w:r>
        <w:drawing>
          <wp:anchor distT="0" distB="0" distL="114300" distR="114300" simplePos="0" relativeHeight="251668480" behindDoc="0" locked="0" layoutInCell="1" allowOverlap="1">
            <wp:simplePos x="0" y="0"/>
            <wp:positionH relativeFrom="column">
              <wp:posOffset>733425</wp:posOffset>
            </wp:positionH>
            <wp:positionV relativeFrom="paragraph">
              <wp:posOffset>142875</wp:posOffset>
            </wp:positionV>
            <wp:extent cx="4001770" cy="2818130"/>
            <wp:effectExtent l="0" t="0" r="17780" b="1270"/>
            <wp:wrapTopAndBottom/>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6"/>
                    <a:stretch>
                      <a:fillRect/>
                    </a:stretch>
                  </pic:blipFill>
                  <pic:spPr>
                    <a:xfrm>
                      <a:off x="0" y="0"/>
                      <a:ext cx="4001770" cy="281813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eastAsia="zh-CN"/>
        </w:rPr>
        <w:t>（图：密歇根大学根据政党背景统计的消费者信心指数，</w:t>
      </w:r>
      <w:r>
        <w:rPr>
          <w:rFonts w:hint="eastAsia" w:ascii="方正仿宋_GBK" w:hAnsi="方正仿宋_GBK" w:eastAsia="方正仿宋_GBK" w:cs="方正仿宋_GBK"/>
          <w:sz w:val="24"/>
          <w:szCs w:val="24"/>
          <w:lang w:val="en-US" w:eastAsia="zh-CN"/>
        </w:rPr>
        <w:t>图中蓝色线为民主党支持者、</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绿色线为无政党倾向的所谓“独立选民”，红色线代表共和党支持者。</w:t>
      </w:r>
      <w:r>
        <w:rPr>
          <w:rFonts w:hint="eastAsia" w:ascii="方正仿宋_GBK" w:hAnsi="方正仿宋_GBK" w:eastAsia="方正仿宋_GBK" w:cs="方正仿宋_GBK"/>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lang w:val="en-US" w:eastAsia="zh-CN"/>
        </w:rPr>
      </w:pPr>
      <w:r>
        <w:rPr>
          <w:rFonts w:hint="eastAsia" w:asciiTheme="minorEastAsia" w:hAnsiTheme="minorEastAsia" w:eastAsiaTheme="minorEastAsia" w:cstheme="minorEastAsia"/>
          <w:sz w:val="32"/>
          <w:szCs w:val="32"/>
          <w:lang w:val="en-US" w:eastAsia="zh-CN"/>
        </w:rPr>
        <w:t>从图上可以看出，9月份，民主党支持者的消费者信心指数上升，而共和党支持者的该指标下降，两党选民的情绪分歧扩大。</w:t>
      </w:r>
    </w:p>
    <w:p>
      <w:pPr>
        <w:rPr>
          <w:rFonts w:hint="default" w:eastAsiaTheme="minorEastAsia"/>
          <w:b/>
          <w:bCs/>
          <w:color w:val="0000FF"/>
          <w:sz w:val="32"/>
          <w:szCs w:val="32"/>
          <w:lang w:val="en-US" w:eastAsia="zh-CN"/>
        </w:rPr>
      </w:pPr>
    </w:p>
    <w:p>
      <w:pPr>
        <w:rPr>
          <w:rFonts w:hint="default" w:eastAsiaTheme="minorEastAsia"/>
          <w:b/>
          <w:bCs/>
          <w:color w:val="0000FF"/>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default" w:eastAsiaTheme="minorEastAsia"/>
          <w:b/>
          <w:bCs/>
          <w:color w:val="0000FF"/>
          <w:sz w:val="32"/>
          <w:szCs w:val="32"/>
          <w:lang w:val="en-US" w:eastAsia="zh-CN"/>
        </w:rPr>
      </w:pPr>
    </w:p>
    <w:p>
      <w:pPr>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ind w:firstLine="0" w:firstLineChars="0"/>
        <w:contextualSpacing/>
        <w:jc w:val="center"/>
        <w:textAlignment w:val="auto"/>
        <w:outlineLvl w:val="1"/>
        <w:rPr>
          <w:rFonts w:hint="eastAsia" w:ascii="Times New Roman" w:hAnsi="Times New Roman" w:eastAsia="经典行楷简" w:cs="Times New Roman"/>
          <w:color w:val="2E75B6" w:themeColor="accent1" w:themeShade="BF"/>
          <w:spacing w:val="-11"/>
          <w:kern w:val="2"/>
          <w:sz w:val="52"/>
          <w:szCs w:val="52"/>
          <w:lang w:val="en-US" w:eastAsia="zh-CN" w:bidi="ar-SA"/>
        </w:rPr>
      </w:pPr>
      <w:r>
        <w:rPr>
          <w:rFonts w:hint="eastAsia" w:ascii="Times New Roman" w:hAnsi="Times New Roman" w:eastAsia="经典行楷简" w:cs="Times New Roman"/>
          <w:color w:val="2E75B6" w:themeColor="accent1" w:themeShade="BF"/>
          <w:spacing w:val="-62"/>
          <w:kern w:val="2"/>
          <w:sz w:val="52"/>
          <w:szCs w:val="52"/>
          <w:lang w:val="en-US" w:eastAsia="zh-CN" w:bidi="ar-SA"/>
        </w:rPr>
        <w:t>省贸促会领导会见美国江苏总商会（纽约）会长孙俊</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9月14日下午，省贸促会会长王善华会见来访的美国江苏总商会（纽约）会长孙俊一行。副会长丛苏峰参加会见。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王善华简要介绍江苏开放型经济发展情况以及省贸促会近年来对美经贸交流情况。他表示，习近平总书记强调中美关系基础在民间、活力在地方，希望双方进一步加强沟通交流，充分利用各自资源优势，促进企业务实合作，共同服务江苏高质量“引进来”和高水平“走出去”，为推动江苏与美国持续深化经贸合作贡献力量。</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孙俊感谢江苏省贸促会对美国江苏总商会（纽约）的支持，并介绍相关工作情况，邀请贸促会组织江苏企业赴美参展，带动江苏企业“走出去”，期待通过双方的务实合作进一步推动江苏和美国企业间的经贸交流。</w:t>
      </w: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 xml:space="preserve">      （国际联络部）</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imes New Roman" w:hAnsi="Times New Roman" w:eastAsia="经典行楷简" w:cs="Times New Roman"/>
          <w:color w:val="2E75B6" w:themeColor="accent1" w:themeShade="BF"/>
          <w:spacing w:val="-62"/>
          <w:kern w:val="2"/>
          <w:sz w:val="52"/>
          <w:szCs w:val="52"/>
          <w:lang w:val="en-US" w:eastAsia="zh-CN" w:bidi="ar-SA"/>
        </w:rPr>
        <w:t>省贸促会领导带队参加2024深圳跨境电商展览会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9月11—13日，省贸促会秘书长杜培军带队参加法兰克福展览（深圳）有限公司在深圳国际会展中心（宝安新馆）主办的2024深圳跨境电商展览会（CCBEC）。</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深圳跨境电商展览会是国内规模最大的跨境电商展会之一。本届展会汇聚来自全球14个核心产业领域的近1500家参展商，展示行业发展最新成果，展览总面积80000平方米。江苏贸促系统共组织我省70余家优质企业参展，展品涵盖消费电子、家居日用消费品、时尚潮品、户外体育、跨境服务商及产业园区建设等领域。展团将传统制造业的“硬实力”与跨境电商的“软实力”巧妙融合，构建起一支极具区域特色、融合智能和绿色发展理念的江苏跨境电商品牌力量。</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11日下午，省贸促会与展会主办方在展馆联合主办“数字赋能 苏企出海”主题沙龙。杜培军致辞，Consulting Hungary、Gravity、Pingpong、锦品出海、江苏筋斗云等企业高管围绕欧洲电商市场的加速发展策略、数字媒体驱动的新增长路径、创新支付技术如何为出海企业赋能等议题展开深入讨论。境内外相关行业领域企业和江苏参展企业近120位嘉宾代表参加活动，并进行现场对接交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今年以来，省贸促会认真贯彻全省外贸工作会议暨跨境电商培训会精神，积极落实《江苏省推进跨境电商高质量发展行动计划（2023—2025年）》，深入开展“江苏品牌产品丝路行”“外贸新业态助企行”等活动，充分发挥联通政企、融通内外、畅通供需的功能，推动“产业带+跨境电商”融合发展，为江苏企业融入全球贸易注入新动能，开辟江苏跨境电商产业发展新空间。</w:t>
      </w:r>
      <w:r>
        <w:rPr>
          <w:rFonts w:hint="eastAsia" w:asciiTheme="minorEastAsia" w:hAnsiTheme="minorEastAsia" w:cstheme="minorEastAsia"/>
          <w:color w:val="auto"/>
          <w:spacing w:val="0"/>
          <w:kern w:val="2"/>
          <w:sz w:val="32"/>
          <w:szCs w:val="32"/>
          <w:lang w:val="en-US" w:eastAsia="zh-CN" w:bidi="ar-SA"/>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4560" w:firstLineChars="15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（贸易促进部）</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34"/>
          <w:kern w:val="2"/>
          <w:sz w:val="52"/>
          <w:szCs w:val="52"/>
          <w:lang w:val="en-US" w:eastAsia="zh-CN" w:bidi="ar-SA"/>
        </w:rPr>
      </w:pPr>
      <w:r>
        <w:rPr>
          <w:rFonts w:hint="eastAsia" w:ascii="Times New Roman" w:hAnsi="Times New Roman" w:eastAsia="经典行楷简" w:cs="Times New Roman"/>
          <w:color w:val="2E75B6" w:themeColor="accent1" w:themeShade="BF"/>
          <w:spacing w:val="-34"/>
          <w:kern w:val="2"/>
          <w:sz w:val="52"/>
          <w:szCs w:val="52"/>
          <w:lang w:val="en-US" w:eastAsia="zh-CN" w:bidi="ar-SA"/>
        </w:rPr>
        <w:t>南京市贸促会参加服贸会专场活动—</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imes New Roman" w:hAnsi="Times New Roman" w:eastAsia="经典行楷简" w:cs="Times New Roman"/>
          <w:color w:val="2E75B6" w:themeColor="accent1" w:themeShade="BF"/>
          <w:spacing w:val="-34"/>
          <w:kern w:val="2"/>
          <w:sz w:val="52"/>
          <w:szCs w:val="52"/>
          <w:lang w:val="en-US" w:eastAsia="zh-CN" w:bidi="ar-SA"/>
        </w:rPr>
        <w:t>第三届国际会展经济发展论坛</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南京市贸促会会长梁洁受邀出席于9月13日在国家会议中心举办的服贸会专场活动——第三届国际会展经济发展论坛。论坛主题为“会展ESG——可持续发展的探索与实践”。政府、行业企业约500名代表参加论坛。中外嘉宾围绕会展业未来发展趋势、ESG（环境、社会和治理）与会展项目及场馆运营、绿色低碳和数字化创新等方面展开探讨交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在论坛高端对话环节，梁洁会长作为嘉宾以“新时期展会的成功要素和可持续发展之路”这一话题发言。梁洁表示，在新的历史时期，会展业要在不断扩大开放和推动高质量发展中实现可持续发展，一是要推动产业发展，发挥会展经济拉动作用，作为产业发展的重要推动力量，可以促进产业的集聚和升级，推动产业链的优化和完善，为产业的可持续发展提供有力支撑；二是要促进贸易合作，以市场配置资源，为企业提供交流和合作平台，促进贸易创新发展，为企业拓市场提供重要机遇；三是要加强国际交流，展会作为国际交流对外开放重要窗口，加强不同国家和地区之间的经济、文化和技术交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本届论坛由中国会展经济研究会联合首都会展集团共同举办。论坛自2022年首次举办以来，已成为中外会展行业思想碰撞的重要平台，为我国会展业高质量发展持续注入新动能，推动会展业品牌化、国际化、绿色化、数智化多元发展。</w:t>
      </w: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（南京贸促会）</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imes New Roman" w:hAnsi="Times New Roman" w:eastAsia="经典行楷简" w:cs="Times New Roman"/>
          <w:color w:val="2E75B6" w:themeColor="accent1" w:themeShade="BF"/>
          <w:spacing w:val="-34"/>
          <w:kern w:val="2"/>
          <w:sz w:val="52"/>
          <w:szCs w:val="52"/>
          <w:lang w:val="en-US" w:eastAsia="zh-CN" w:bidi="ar-SA"/>
        </w:rPr>
        <w:t>“贸促服务助企行”宣讲活动再次走进南通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9月12日，由江苏省贸促会（国际商会）主办，南通市贸促会（国际商会）、南通市国际经济技术合作协会、南通国际商会公平贸易工作站共同承办的“贸促服务助企行”宣讲活动在南通成功举行，这是该项活动今年以来第2次在通举办。南通市商务局党组成员、市贸促会（国际商会）副会长袁杰主持活动，南通市国际经济技术合作协会副会长严如岐以及各县（市）区商务部门及外贸企业负责人160余人报名参加。</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本次宣讲活动聚焦国际市场开拓和出认证操作实务，邀请江苏省贸促会发展研究部部长张超和省国际商务服务中心主管郭佳，分别为大家解读当前国际经贸形势及重点国家市场发展情况、升级后的贸促会原产地系统功能及操作运用等内容。两位专家以深厚的理论基础、深入的研究分析、详实的数据案例、丰富的实践经验，为大家作了一堂生动精彩的讲座，为走出去企业抢抓发展机遇、把准外贸航向、用好经贸规则、有效防范风险、阔步开拓国际市场提供了有力指导，得到了参会人员的热烈欢迎和一致好评。</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（南通贸促会）</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imes New Roman" w:hAnsi="Times New Roman" w:eastAsia="经典行楷简" w:cs="Times New Roman"/>
          <w:color w:val="2E75B6" w:themeColor="accent1" w:themeShade="BF"/>
          <w:spacing w:val="-40"/>
          <w:kern w:val="2"/>
          <w:sz w:val="52"/>
          <w:szCs w:val="52"/>
          <w:lang w:val="en-US" w:eastAsia="zh-CN" w:bidi="ar-SA"/>
        </w:rPr>
        <w:t>扬州市贸促会应邀参加第十八届榆林煤博会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 xml:space="preserve"> 9月12日-16日，我会韩世来副会长、潘阳春秘书长应邀参加“第十八届榆林国际煤炭暨高端能源化工产业博览会”，并参加“2024国际双碳产业创新发展交流”、“绿色金融与能源发展交流”、“成果发布会”等配套活动。</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本届煤博会以“能源新时代·低碳新榆林”为主题，采取“展览+会议”的模式召开，设置了智能数字、大型装备、新能源新材料、综合形象等展区，展示面积8.5万平方米，共计858家企业和单位参展，涉及美国、德国等7个国家的30多家国际企业。7个专项活动围绕绿色转型、双碳发展、生态修复等主题，形式多样，有圆桌对话、产业推介、经贸洽谈、集中签约、时装展示等活动。</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本届煤博会榆林以搭建政府、行业组织、企业、高校、科研院所等多主体对话交流平台为目标，将绿色转型、生态修复等作为重要抓手，多视角、全方位的分析煤化工行业未来发展趋势，为全国能源化工产业和煤炭行业高质量发展开辟新思维、新路径。</w:t>
      </w:r>
      <w:r>
        <w:rPr>
          <w:rFonts w:hint="eastAsia" w:asciiTheme="minorEastAsia" w:hAnsiTheme="minorEastAsia" w:cstheme="minorEastAsia"/>
          <w:color w:val="auto"/>
          <w:spacing w:val="0"/>
          <w:kern w:val="2"/>
          <w:sz w:val="32"/>
          <w:szCs w:val="32"/>
          <w:lang w:val="en-US" w:eastAsia="zh-CN" w:bidi="ar-SA"/>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（扬州贸促会）</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华文新魏" w:cs="Times New Roman"/>
          <w:b/>
          <w:color w:val="FF0000"/>
          <w:spacing w:val="-20"/>
          <w:kern w:val="36"/>
          <w:sz w:val="52"/>
          <w:szCs w:val="52"/>
          <w:lang w:val="en-US" w:eastAsia="zh-CN"/>
        </w:rPr>
      </w:pPr>
      <w:r>
        <w:rPr>
          <w:rFonts w:hint="eastAsia" w:ascii="Times New Roman" w:hAnsi="Times New Roman" w:eastAsia="华文新魏" w:cs="Times New Roman"/>
          <w:b/>
          <w:color w:val="FF0000"/>
          <w:spacing w:val="-20"/>
          <w:kern w:val="36"/>
          <w:sz w:val="52"/>
          <w:szCs w:val="52"/>
          <w:lang w:val="en-US" w:eastAsia="zh-CN"/>
        </w:rPr>
        <w:t>中亿丰建设再次荣登ENR</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华文新魏" w:cs="Times New Roman"/>
          <w:b/>
          <w:color w:val="FF0000"/>
          <w:spacing w:val="0"/>
          <w:kern w:val="36"/>
          <w:sz w:val="52"/>
          <w:szCs w:val="52"/>
          <w:lang w:val="en-US" w:eastAsia="zh-CN"/>
        </w:rPr>
      </w:pPr>
      <w:r>
        <w:rPr>
          <w:rFonts w:hint="eastAsia" w:ascii="Times New Roman" w:hAnsi="Times New Roman" w:eastAsia="华文新魏" w:cs="Times New Roman"/>
          <w:b/>
          <w:color w:val="FF0000"/>
          <w:spacing w:val="-20"/>
          <w:kern w:val="36"/>
          <w:sz w:val="52"/>
          <w:szCs w:val="52"/>
          <w:lang w:val="en-US" w:eastAsia="zh-CN"/>
        </w:rPr>
        <w:t>“全球最大250家国际承包商”榜单</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2024年度美国《工程新闻纪录（ENR）》“全球最大250家国际承包商”榜单发布。中国内地企业中，共有81家企业入围2024年度“全球最大250家国际承包商”。我会副会长单位——中亿丰建设集团股份有限公司再次上榜，以2.08亿美元的国际营业额位列第60，在全球排名第179位，较去年排名上升43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年来，中亿丰建设集团以越南、泰国等为境外核心市场，聚焦能源基建类、工业厂房类、专业工程类、新能源类等工程项目，开展工程项目管理运营、国际项目咨询与设计、进出口贸易等全方位合作。目前，已在越南、泰国、巴林（中东）、加拿大、新加坡、柬埔寨等国家和地区均有市场布点，与当地政府搭建了良好的合作平台，初步形成“东南亚、中东和北美市场三大海外市场”格局。同时，依托中亿丰控股各成员企业全产业链业态，发挥铝产品、光电产品等优势，拓展合作渠道，强化国内后台资源要素投入和服务支撑，进一步探索“产品-服务-贸易”业务模式。目前，建设集团国际事业部年施工产值已超20亿人民币，年营业收入超18亿人民币，年度贸易额约4000万美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rPr>
      </w:pP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（来源：中亿丰建设集团微信公众号）</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华文新魏" w:cs="Times New Roman"/>
          <w:b/>
          <w:color w:val="FF0000"/>
          <w:spacing w:val="-34"/>
          <w:kern w:val="36"/>
          <w:sz w:val="10"/>
          <w:szCs w:val="1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0"/>
          <w:kern w:val="36"/>
          <w:sz w:val="52"/>
          <w:szCs w:val="52"/>
          <w:lang w:val="en-US" w:eastAsia="zh-CN"/>
        </w:rPr>
        <w:t>远东电缆再获江苏企业创新赛大奖</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近日，在第五届江苏企业创新大赛高端装备与绿色制造产业选拔赛中，我会副会长单位——远东电缆有限公司凭借其“风力发电用电缆助推风电发展”案例，以其技术、产品及市场优势夺得大奖。</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多年来，远东与多家知名科研机构和高等院校的紧密合作，成功解决了风力发电系统对电缆提出的严苛要求，包括高阻燃、耐腐蚀、轻量化、低成本、长寿命及大容量传输等关键技术难题。这一系列的技术突破，使得远东电缆能够自主研发出涵盖0.6/1kV至36/66kV等多个电压等级的风电机组专用电缆，包括扭转电缆、铝合金塔筒电缆等，全面满足不同风力发电机型及复杂运行环境下的使用需求，多年当选为“单项冠军产品”，多项产品打破国际垄断，推动了我国风电事业高质量快速发展。同时，远东还致力于国际标准的制定工作，参与的《额定电压66kV(Um=72.5kV)风力发电用耐扭曲软电缆》技术规范的制定，这不仅提升了我国线缆行业的国际影响力，也为推动全球风电电缆技术标准的进步做出了积极贡献。</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rPr>
      </w:pP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（来源：远东电缆微信公众号）</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rPr>
      </w:pP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rPr>
      </w:pP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rPr>
      </w:pP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华文新魏" w:cs="Times New Roman"/>
          <w:b/>
          <w:color w:val="FF0000"/>
          <w:spacing w:val="-20"/>
          <w:kern w:val="36"/>
          <w:sz w:val="10"/>
          <w:szCs w:val="1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华文新魏" w:cs="Times New Roman"/>
          <w:b/>
          <w:color w:val="FF0000"/>
          <w:spacing w:val="-34"/>
          <w:kern w:val="36"/>
          <w:sz w:val="10"/>
          <w:szCs w:val="1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华文新魏" w:cs="Times New Roman"/>
          <w:b/>
          <w:color w:val="FF0000"/>
          <w:spacing w:val="-68"/>
          <w:kern w:val="36"/>
          <w:sz w:val="52"/>
          <w:szCs w:val="52"/>
          <w:lang w:val="en-US" w:eastAsia="zh-CN"/>
        </w:rPr>
      </w:pPr>
      <w:r>
        <w:rPr>
          <w:rFonts w:hint="eastAsia" w:ascii="Times New Roman" w:hAnsi="Times New Roman" w:eastAsia="华文新魏" w:cs="Times New Roman"/>
          <w:b/>
          <w:color w:val="FF0000"/>
          <w:spacing w:val="-68"/>
          <w:kern w:val="36"/>
          <w:sz w:val="52"/>
          <w:szCs w:val="52"/>
          <w:lang w:val="en-US" w:eastAsia="zh-CN"/>
        </w:rPr>
        <w:t>未迟数字与南京工业职业技术大学签署战略合作协议</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imes New Roman" w:hAnsi="Times New Roman" w:eastAsia="华文新魏" w:cs="Times New Roman"/>
          <w:b/>
          <w:color w:val="FF0000"/>
          <w:spacing w:val="-68"/>
          <w:kern w:val="36"/>
          <w:sz w:val="52"/>
          <w:szCs w:val="52"/>
          <w:lang w:val="en-US" w:eastAsia="zh-CN"/>
        </w:rPr>
        <w:t>共筑跨境电商人才培养新篇章</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近日，我会理事单位——江苏未迟数字技术有限公司与南京工业职业技术大学在南京江北新区举行战略合作协议的签约仪式。</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签约仪式上，未迟董事长王安霞详尽阐述了未迟在海外整合营销、云技术解决方案和商业数据洞察等核心业务领域的发展情况。她强调，未迟一直将高校跨境电商实训服务平台的建设视为重点，期望与学校在人才培养、实习实训基地建设、订单式教育以及科研开发技术服务等方面展开深入合作。</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此次战略合作协议的签署，预示着双方将携手建立一个长期、稳定、互利共赢的伙伴关系。未来，未迟数字技术有限公司将与南京工业职业技术大学深化合作，共同开启产教融合、科教融汇的新篇章。</w:t>
      </w: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（来源：未迟数字微信公众号）</w:t>
      </w: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-304800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pt;height:144pt;width:144pt;mso-position-horizontal:center;mso-position-horizontal-relative:margin;mso-wrap-style:none;z-index:251659264;mso-width-relative:page;mso-height-relative:page;" filled="f" stroked="f" coordsize="21600,21600" o:gfxdata="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IDvTPUAAAACAEAAA8A&#10;AAAAAAAAAQAgAAAAIgAAAGRycy9kb3ducmV2LnhtbFBLAQIUABQAAAAIAIdO4kAjhYu2GwIAACEE&#10;AAAOAAAAAAAAAAEAIAAAACMBAABkcnMvZTJvRG9jLnhtbFBLBQYAAAAABgAGAFkBAACwBQAAAAA=&#10;">
              <v:fill on="f" focussize="0,0"/>
              <v:stroke on="f" weight="0.5pt"/>
              <v:imagedata o:title=""/>
              <o:lock v:ext="edit" aspectratio="f"/>
              <v:textbox inset="0mm,0mm,0mm,0mm" style="mso-fit-shape-to-text:t;">
                <w:txbxContent>
                  <w:p>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23B7D"/>
    <w:rsid w:val="007C2A82"/>
    <w:rsid w:val="007E11E9"/>
    <w:rsid w:val="008B2F92"/>
    <w:rsid w:val="008E3499"/>
    <w:rsid w:val="008F79A9"/>
    <w:rsid w:val="00906A61"/>
    <w:rsid w:val="00962249"/>
    <w:rsid w:val="00984AC6"/>
    <w:rsid w:val="00A0554E"/>
    <w:rsid w:val="00A55B3B"/>
    <w:rsid w:val="00B1496F"/>
    <w:rsid w:val="00B35803"/>
    <w:rsid w:val="00B45E3E"/>
    <w:rsid w:val="00B528B9"/>
    <w:rsid w:val="00C16462"/>
    <w:rsid w:val="00C66488"/>
    <w:rsid w:val="00CA656E"/>
    <w:rsid w:val="00CE04E4"/>
    <w:rsid w:val="00D0085C"/>
    <w:rsid w:val="00D9651F"/>
    <w:rsid w:val="00DB54B3"/>
    <w:rsid w:val="00DF053C"/>
    <w:rsid w:val="00E278B0"/>
    <w:rsid w:val="00E76B4E"/>
    <w:rsid w:val="00EA6FD6"/>
    <w:rsid w:val="00FC3867"/>
    <w:rsid w:val="010007F1"/>
    <w:rsid w:val="010F41FD"/>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730647"/>
    <w:rsid w:val="017F7312"/>
    <w:rsid w:val="0183354F"/>
    <w:rsid w:val="018A4341"/>
    <w:rsid w:val="018D1ED5"/>
    <w:rsid w:val="018E0532"/>
    <w:rsid w:val="01944C0D"/>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17E07"/>
    <w:rsid w:val="01C277DB"/>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42027"/>
    <w:rsid w:val="027B1EF4"/>
    <w:rsid w:val="027D39C5"/>
    <w:rsid w:val="02836A31"/>
    <w:rsid w:val="02842B55"/>
    <w:rsid w:val="02850B1B"/>
    <w:rsid w:val="028D4134"/>
    <w:rsid w:val="028E239B"/>
    <w:rsid w:val="028E669E"/>
    <w:rsid w:val="02925D70"/>
    <w:rsid w:val="02945151"/>
    <w:rsid w:val="02994D24"/>
    <w:rsid w:val="02AA4579"/>
    <w:rsid w:val="02B452E0"/>
    <w:rsid w:val="02B7449E"/>
    <w:rsid w:val="02B81004"/>
    <w:rsid w:val="02B93913"/>
    <w:rsid w:val="02BB7BC5"/>
    <w:rsid w:val="02C541E0"/>
    <w:rsid w:val="02C7326C"/>
    <w:rsid w:val="02C976C5"/>
    <w:rsid w:val="02CA2014"/>
    <w:rsid w:val="02CB3941"/>
    <w:rsid w:val="02CE36F0"/>
    <w:rsid w:val="02D253BA"/>
    <w:rsid w:val="02D664A5"/>
    <w:rsid w:val="02D70120"/>
    <w:rsid w:val="02DA08C0"/>
    <w:rsid w:val="02E746B3"/>
    <w:rsid w:val="02EA0804"/>
    <w:rsid w:val="02F03F7A"/>
    <w:rsid w:val="02F04987"/>
    <w:rsid w:val="02F15A26"/>
    <w:rsid w:val="02F3072B"/>
    <w:rsid w:val="02F35039"/>
    <w:rsid w:val="02F4686A"/>
    <w:rsid w:val="02F50E1A"/>
    <w:rsid w:val="02FC365E"/>
    <w:rsid w:val="03032EA1"/>
    <w:rsid w:val="03055083"/>
    <w:rsid w:val="030A33B2"/>
    <w:rsid w:val="0312457C"/>
    <w:rsid w:val="03173E54"/>
    <w:rsid w:val="032626D8"/>
    <w:rsid w:val="03276EB0"/>
    <w:rsid w:val="03320DD5"/>
    <w:rsid w:val="03367B19"/>
    <w:rsid w:val="033F3094"/>
    <w:rsid w:val="033F5E23"/>
    <w:rsid w:val="0341739D"/>
    <w:rsid w:val="034A5312"/>
    <w:rsid w:val="035906B9"/>
    <w:rsid w:val="035A07AB"/>
    <w:rsid w:val="035F7880"/>
    <w:rsid w:val="036572E0"/>
    <w:rsid w:val="036773BE"/>
    <w:rsid w:val="036B41D2"/>
    <w:rsid w:val="03745931"/>
    <w:rsid w:val="0375270B"/>
    <w:rsid w:val="0376026A"/>
    <w:rsid w:val="03763E10"/>
    <w:rsid w:val="03795E56"/>
    <w:rsid w:val="038F00BD"/>
    <w:rsid w:val="038F07EB"/>
    <w:rsid w:val="039F6B79"/>
    <w:rsid w:val="03A054FE"/>
    <w:rsid w:val="03A634A2"/>
    <w:rsid w:val="03A710E3"/>
    <w:rsid w:val="03AB7076"/>
    <w:rsid w:val="03B75E22"/>
    <w:rsid w:val="03B93704"/>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57D27"/>
    <w:rsid w:val="042C1175"/>
    <w:rsid w:val="042E72BA"/>
    <w:rsid w:val="04361A54"/>
    <w:rsid w:val="043837D8"/>
    <w:rsid w:val="043F0FCC"/>
    <w:rsid w:val="0458216E"/>
    <w:rsid w:val="04633D2A"/>
    <w:rsid w:val="046441B2"/>
    <w:rsid w:val="0470619B"/>
    <w:rsid w:val="047264E0"/>
    <w:rsid w:val="04732D97"/>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81C0B"/>
    <w:rsid w:val="04E92750"/>
    <w:rsid w:val="04ED1D07"/>
    <w:rsid w:val="04F33CBA"/>
    <w:rsid w:val="04FB0B72"/>
    <w:rsid w:val="05006805"/>
    <w:rsid w:val="05017788"/>
    <w:rsid w:val="050A0F30"/>
    <w:rsid w:val="051142A3"/>
    <w:rsid w:val="05150D13"/>
    <w:rsid w:val="052054D4"/>
    <w:rsid w:val="052C7639"/>
    <w:rsid w:val="05490385"/>
    <w:rsid w:val="054A7C8A"/>
    <w:rsid w:val="055D26AF"/>
    <w:rsid w:val="056534E0"/>
    <w:rsid w:val="056834A8"/>
    <w:rsid w:val="05684832"/>
    <w:rsid w:val="056C0F36"/>
    <w:rsid w:val="056E79C6"/>
    <w:rsid w:val="057A3526"/>
    <w:rsid w:val="057A799E"/>
    <w:rsid w:val="057E6F65"/>
    <w:rsid w:val="058647BE"/>
    <w:rsid w:val="05880374"/>
    <w:rsid w:val="05881910"/>
    <w:rsid w:val="05913966"/>
    <w:rsid w:val="05926E6B"/>
    <w:rsid w:val="059F17BF"/>
    <w:rsid w:val="05A259F9"/>
    <w:rsid w:val="05A72CCC"/>
    <w:rsid w:val="05A73DC5"/>
    <w:rsid w:val="05B336D5"/>
    <w:rsid w:val="05CC2A3B"/>
    <w:rsid w:val="05CD0D9A"/>
    <w:rsid w:val="05CF249D"/>
    <w:rsid w:val="05D14319"/>
    <w:rsid w:val="05D714EA"/>
    <w:rsid w:val="05E536E6"/>
    <w:rsid w:val="05EA1C44"/>
    <w:rsid w:val="05F2445C"/>
    <w:rsid w:val="05F84C68"/>
    <w:rsid w:val="06077942"/>
    <w:rsid w:val="060A0D89"/>
    <w:rsid w:val="060C359D"/>
    <w:rsid w:val="060F3722"/>
    <w:rsid w:val="062847B3"/>
    <w:rsid w:val="062B0B83"/>
    <w:rsid w:val="062C6587"/>
    <w:rsid w:val="062D67C8"/>
    <w:rsid w:val="06301A1B"/>
    <w:rsid w:val="0631403C"/>
    <w:rsid w:val="0633380C"/>
    <w:rsid w:val="0638362B"/>
    <w:rsid w:val="063E600A"/>
    <w:rsid w:val="06405659"/>
    <w:rsid w:val="0645654E"/>
    <w:rsid w:val="064F5725"/>
    <w:rsid w:val="06510CDF"/>
    <w:rsid w:val="065C27A8"/>
    <w:rsid w:val="065F50DA"/>
    <w:rsid w:val="06602F2C"/>
    <w:rsid w:val="06626021"/>
    <w:rsid w:val="066D2CED"/>
    <w:rsid w:val="066E2C0B"/>
    <w:rsid w:val="06700010"/>
    <w:rsid w:val="06734EB6"/>
    <w:rsid w:val="067C24CF"/>
    <w:rsid w:val="068A1FDD"/>
    <w:rsid w:val="069002BE"/>
    <w:rsid w:val="06906B8C"/>
    <w:rsid w:val="069725BC"/>
    <w:rsid w:val="069A3A7C"/>
    <w:rsid w:val="06A24D7D"/>
    <w:rsid w:val="06A729E1"/>
    <w:rsid w:val="06A94232"/>
    <w:rsid w:val="06AB1C7E"/>
    <w:rsid w:val="06AC05E7"/>
    <w:rsid w:val="06AF1D16"/>
    <w:rsid w:val="06AF3414"/>
    <w:rsid w:val="06B15237"/>
    <w:rsid w:val="06BA5EB2"/>
    <w:rsid w:val="06D17DB1"/>
    <w:rsid w:val="06E444B8"/>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86D75"/>
    <w:rsid w:val="079A77BC"/>
    <w:rsid w:val="079D6C92"/>
    <w:rsid w:val="079E20C5"/>
    <w:rsid w:val="07A36583"/>
    <w:rsid w:val="07A757F6"/>
    <w:rsid w:val="07A92FCD"/>
    <w:rsid w:val="07AB5A16"/>
    <w:rsid w:val="07C32EAB"/>
    <w:rsid w:val="07CE7516"/>
    <w:rsid w:val="07DA5629"/>
    <w:rsid w:val="07DE3B60"/>
    <w:rsid w:val="07E54B9E"/>
    <w:rsid w:val="08010DA7"/>
    <w:rsid w:val="08033960"/>
    <w:rsid w:val="080F3123"/>
    <w:rsid w:val="082209F5"/>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6B17B3"/>
    <w:rsid w:val="0875786E"/>
    <w:rsid w:val="0881684A"/>
    <w:rsid w:val="088C3E25"/>
    <w:rsid w:val="08927463"/>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B2EDB"/>
    <w:rsid w:val="08ED6D3B"/>
    <w:rsid w:val="08FB16E4"/>
    <w:rsid w:val="08FB2C3C"/>
    <w:rsid w:val="08FE2EDE"/>
    <w:rsid w:val="08FE5206"/>
    <w:rsid w:val="09140F8D"/>
    <w:rsid w:val="09150DAF"/>
    <w:rsid w:val="09155095"/>
    <w:rsid w:val="091D10D0"/>
    <w:rsid w:val="09210482"/>
    <w:rsid w:val="092105FC"/>
    <w:rsid w:val="09222AB2"/>
    <w:rsid w:val="09266115"/>
    <w:rsid w:val="093303B8"/>
    <w:rsid w:val="094318A6"/>
    <w:rsid w:val="09446DB4"/>
    <w:rsid w:val="094811BB"/>
    <w:rsid w:val="094F18C1"/>
    <w:rsid w:val="0954257E"/>
    <w:rsid w:val="09583F76"/>
    <w:rsid w:val="095929D4"/>
    <w:rsid w:val="095A003F"/>
    <w:rsid w:val="095B02C8"/>
    <w:rsid w:val="09606CDC"/>
    <w:rsid w:val="09631FC1"/>
    <w:rsid w:val="09651D94"/>
    <w:rsid w:val="096F5B71"/>
    <w:rsid w:val="097F0134"/>
    <w:rsid w:val="098601E8"/>
    <w:rsid w:val="098A1F77"/>
    <w:rsid w:val="09915044"/>
    <w:rsid w:val="099872CF"/>
    <w:rsid w:val="09991A94"/>
    <w:rsid w:val="09A137B2"/>
    <w:rsid w:val="09A2636C"/>
    <w:rsid w:val="09A44BA0"/>
    <w:rsid w:val="09AA495F"/>
    <w:rsid w:val="09AC53C9"/>
    <w:rsid w:val="09B630C3"/>
    <w:rsid w:val="09BD4BE0"/>
    <w:rsid w:val="09C222A5"/>
    <w:rsid w:val="09C27E4D"/>
    <w:rsid w:val="09C81C8D"/>
    <w:rsid w:val="09CB6B07"/>
    <w:rsid w:val="09CC1439"/>
    <w:rsid w:val="09CD0E22"/>
    <w:rsid w:val="09CD713D"/>
    <w:rsid w:val="09FA2B3C"/>
    <w:rsid w:val="09FA772F"/>
    <w:rsid w:val="09FB6D64"/>
    <w:rsid w:val="0A030CE9"/>
    <w:rsid w:val="0A0D0EE1"/>
    <w:rsid w:val="0A1B5347"/>
    <w:rsid w:val="0A33530F"/>
    <w:rsid w:val="0A346C5C"/>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71E05"/>
    <w:rsid w:val="0ACC2910"/>
    <w:rsid w:val="0ACC3151"/>
    <w:rsid w:val="0AD014F5"/>
    <w:rsid w:val="0AD16821"/>
    <w:rsid w:val="0AD45A3C"/>
    <w:rsid w:val="0AD60B60"/>
    <w:rsid w:val="0ADC78D2"/>
    <w:rsid w:val="0ADF4793"/>
    <w:rsid w:val="0AE11813"/>
    <w:rsid w:val="0AE3323E"/>
    <w:rsid w:val="0AE3404E"/>
    <w:rsid w:val="0AEB11A6"/>
    <w:rsid w:val="0AEC3E44"/>
    <w:rsid w:val="0AEE609E"/>
    <w:rsid w:val="0AEF478A"/>
    <w:rsid w:val="0AF51E84"/>
    <w:rsid w:val="0AFA1E0F"/>
    <w:rsid w:val="0AFC1AD5"/>
    <w:rsid w:val="0B041299"/>
    <w:rsid w:val="0B062542"/>
    <w:rsid w:val="0B0E47F4"/>
    <w:rsid w:val="0B1C17AD"/>
    <w:rsid w:val="0B283787"/>
    <w:rsid w:val="0B2D6F6E"/>
    <w:rsid w:val="0B324CD2"/>
    <w:rsid w:val="0B345DB1"/>
    <w:rsid w:val="0B363DD8"/>
    <w:rsid w:val="0B3A4657"/>
    <w:rsid w:val="0B3C5BB9"/>
    <w:rsid w:val="0B4372E2"/>
    <w:rsid w:val="0B48487F"/>
    <w:rsid w:val="0B5979A6"/>
    <w:rsid w:val="0B5A2079"/>
    <w:rsid w:val="0B5B5996"/>
    <w:rsid w:val="0B5C3E34"/>
    <w:rsid w:val="0B5F7467"/>
    <w:rsid w:val="0B6075D7"/>
    <w:rsid w:val="0B627AD4"/>
    <w:rsid w:val="0B6A0BB3"/>
    <w:rsid w:val="0B735FF2"/>
    <w:rsid w:val="0B792EB2"/>
    <w:rsid w:val="0B8035EB"/>
    <w:rsid w:val="0B84164E"/>
    <w:rsid w:val="0B89731E"/>
    <w:rsid w:val="0B904412"/>
    <w:rsid w:val="0B90485D"/>
    <w:rsid w:val="0B913EDA"/>
    <w:rsid w:val="0B9C76A8"/>
    <w:rsid w:val="0BA50775"/>
    <w:rsid w:val="0BA749E5"/>
    <w:rsid w:val="0BAC24A8"/>
    <w:rsid w:val="0BAE1323"/>
    <w:rsid w:val="0BB42E0A"/>
    <w:rsid w:val="0BBA3391"/>
    <w:rsid w:val="0BD05C8A"/>
    <w:rsid w:val="0BD62605"/>
    <w:rsid w:val="0BDC3258"/>
    <w:rsid w:val="0BDE3581"/>
    <w:rsid w:val="0BE52963"/>
    <w:rsid w:val="0BE85349"/>
    <w:rsid w:val="0BF57A28"/>
    <w:rsid w:val="0BF845E9"/>
    <w:rsid w:val="0BFA1A53"/>
    <w:rsid w:val="0C074F06"/>
    <w:rsid w:val="0C0B1E5B"/>
    <w:rsid w:val="0C146F99"/>
    <w:rsid w:val="0C1A584B"/>
    <w:rsid w:val="0C1F5892"/>
    <w:rsid w:val="0C2275D5"/>
    <w:rsid w:val="0C2D70F9"/>
    <w:rsid w:val="0C342312"/>
    <w:rsid w:val="0C363AA9"/>
    <w:rsid w:val="0C373B19"/>
    <w:rsid w:val="0C3F7E0B"/>
    <w:rsid w:val="0C456335"/>
    <w:rsid w:val="0C53740C"/>
    <w:rsid w:val="0C563E70"/>
    <w:rsid w:val="0C631545"/>
    <w:rsid w:val="0C6E187C"/>
    <w:rsid w:val="0C7D4D8F"/>
    <w:rsid w:val="0C80052F"/>
    <w:rsid w:val="0C8C06D3"/>
    <w:rsid w:val="0C900DC2"/>
    <w:rsid w:val="0C980884"/>
    <w:rsid w:val="0C9961AF"/>
    <w:rsid w:val="0C9A18AD"/>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F360E"/>
    <w:rsid w:val="0CC10497"/>
    <w:rsid w:val="0CC30BC5"/>
    <w:rsid w:val="0CC42150"/>
    <w:rsid w:val="0CC45545"/>
    <w:rsid w:val="0CC71781"/>
    <w:rsid w:val="0CCB0FDF"/>
    <w:rsid w:val="0CCD2A5C"/>
    <w:rsid w:val="0CDC1817"/>
    <w:rsid w:val="0CDC515C"/>
    <w:rsid w:val="0D0B2A13"/>
    <w:rsid w:val="0D112021"/>
    <w:rsid w:val="0D12133D"/>
    <w:rsid w:val="0D1F7151"/>
    <w:rsid w:val="0D200D54"/>
    <w:rsid w:val="0D2B7DB2"/>
    <w:rsid w:val="0D3152D9"/>
    <w:rsid w:val="0D354A50"/>
    <w:rsid w:val="0D384916"/>
    <w:rsid w:val="0D427E08"/>
    <w:rsid w:val="0D444358"/>
    <w:rsid w:val="0D4775E8"/>
    <w:rsid w:val="0D4A1977"/>
    <w:rsid w:val="0D4B602E"/>
    <w:rsid w:val="0D511FCD"/>
    <w:rsid w:val="0D52698E"/>
    <w:rsid w:val="0D583C5F"/>
    <w:rsid w:val="0D5D658F"/>
    <w:rsid w:val="0D6029A5"/>
    <w:rsid w:val="0D6063D4"/>
    <w:rsid w:val="0D665CD7"/>
    <w:rsid w:val="0D667E20"/>
    <w:rsid w:val="0D6B6C90"/>
    <w:rsid w:val="0D7170F8"/>
    <w:rsid w:val="0D922931"/>
    <w:rsid w:val="0D95263C"/>
    <w:rsid w:val="0DA81B9F"/>
    <w:rsid w:val="0DAD79F2"/>
    <w:rsid w:val="0DB403B1"/>
    <w:rsid w:val="0DB47CEC"/>
    <w:rsid w:val="0DBB3CA5"/>
    <w:rsid w:val="0DBB4EDD"/>
    <w:rsid w:val="0DC37BF2"/>
    <w:rsid w:val="0DC436B0"/>
    <w:rsid w:val="0DC62A65"/>
    <w:rsid w:val="0DC9693F"/>
    <w:rsid w:val="0DCC1715"/>
    <w:rsid w:val="0DD82C48"/>
    <w:rsid w:val="0DDB6385"/>
    <w:rsid w:val="0DE057D2"/>
    <w:rsid w:val="0DF024FC"/>
    <w:rsid w:val="0DF0632D"/>
    <w:rsid w:val="0DF475E0"/>
    <w:rsid w:val="0E0E09E4"/>
    <w:rsid w:val="0E0E0AE3"/>
    <w:rsid w:val="0E184477"/>
    <w:rsid w:val="0E1A4501"/>
    <w:rsid w:val="0E1A78B5"/>
    <w:rsid w:val="0E21196E"/>
    <w:rsid w:val="0E227E98"/>
    <w:rsid w:val="0E27140B"/>
    <w:rsid w:val="0E275D7B"/>
    <w:rsid w:val="0E2D4D70"/>
    <w:rsid w:val="0E3B2663"/>
    <w:rsid w:val="0E443DBA"/>
    <w:rsid w:val="0E465F52"/>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37F14"/>
    <w:rsid w:val="0EC4408A"/>
    <w:rsid w:val="0ECD6BD5"/>
    <w:rsid w:val="0EDA3DE0"/>
    <w:rsid w:val="0EE241B0"/>
    <w:rsid w:val="0EE470B9"/>
    <w:rsid w:val="0EE51F3F"/>
    <w:rsid w:val="0EE67C37"/>
    <w:rsid w:val="0EE96C61"/>
    <w:rsid w:val="0EEF6278"/>
    <w:rsid w:val="0F043F0A"/>
    <w:rsid w:val="0F070719"/>
    <w:rsid w:val="0F0E340F"/>
    <w:rsid w:val="0F110F65"/>
    <w:rsid w:val="0F126FC2"/>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BE4FAA"/>
    <w:rsid w:val="10C02E80"/>
    <w:rsid w:val="10C121EA"/>
    <w:rsid w:val="10C2285B"/>
    <w:rsid w:val="10C54276"/>
    <w:rsid w:val="10D27169"/>
    <w:rsid w:val="10D309E2"/>
    <w:rsid w:val="10D621B1"/>
    <w:rsid w:val="10D81E5C"/>
    <w:rsid w:val="10DA39AB"/>
    <w:rsid w:val="10DE746C"/>
    <w:rsid w:val="10E154B4"/>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90D90"/>
    <w:rsid w:val="113B0B58"/>
    <w:rsid w:val="113D4F12"/>
    <w:rsid w:val="113D775B"/>
    <w:rsid w:val="11410876"/>
    <w:rsid w:val="114608E7"/>
    <w:rsid w:val="114F3D65"/>
    <w:rsid w:val="115347BC"/>
    <w:rsid w:val="11545887"/>
    <w:rsid w:val="11597C64"/>
    <w:rsid w:val="11602A9E"/>
    <w:rsid w:val="116228E3"/>
    <w:rsid w:val="11631325"/>
    <w:rsid w:val="116345A4"/>
    <w:rsid w:val="11667833"/>
    <w:rsid w:val="11687433"/>
    <w:rsid w:val="1178450A"/>
    <w:rsid w:val="117B53DF"/>
    <w:rsid w:val="117B71D3"/>
    <w:rsid w:val="11821F79"/>
    <w:rsid w:val="11845F00"/>
    <w:rsid w:val="11885DD3"/>
    <w:rsid w:val="118A58E4"/>
    <w:rsid w:val="118C56EA"/>
    <w:rsid w:val="118F0DB3"/>
    <w:rsid w:val="11916F88"/>
    <w:rsid w:val="11A51BB6"/>
    <w:rsid w:val="11AC6860"/>
    <w:rsid w:val="11B1238B"/>
    <w:rsid w:val="11B62D0B"/>
    <w:rsid w:val="11BB2EE7"/>
    <w:rsid w:val="11BE6E3E"/>
    <w:rsid w:val="11BF32D9"/>
    <w:rsid w:val="11C24AE6"/>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30478"/>
    <w:rsid w:val="12395D63"/>
    <w:rsid w:val="12401AD9"/>
    <w:rsid w:val="124038C8"/>
    <w:rsid w:val="12421E9D"/>
    <w:rsid w:val="1248421F"/>
    <w:rsid w:val="12571C4D"/>
    <w:rsid w:val="125C09FF"/>
    <w:rsid w:val="12657F0C"/>
    <w:rsid w:val="126830F6"/>
    <w:rsid w:val="126B5207"/>
    <w:rsid w:val="126F57E1"/>
    <w:rsid w:val="12760E78"/>
    <w:rsid w:val="127673DB"/>
    <w:rsid w:val="127755C8"/>
    <w:rsid w:val="127E0189"/>
    <w:rsid w:val="12810A1D"/>
    <w:rsid w:val="12854B81"/>
    <w:rsid w:val="1292783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E0F39"/>
    <w:rsid w:val="12EF155A"/>
    <w:rsid w:val="12F17350"/>
    <w:rsid w:val="12F712FB"/>
    <w:rsid w:val="12FA0E2E"/>
    <w:rsid w:val="12FF7A62"/>
    <w:rsid w:val="13037A88"/>
    <w:rsid w:val="133844CA"/>
    <w:rsid w:val="1347596A"/>
    <w:rsid w:val="13477178"/>
    <w:rsid w:val="134B5A55"/>
    <w:rsid w:val="134C0AA1"/>
    <w:rsid w:val="134F5D9B"/>
    <w:rsid w:val="135369A3"/>
    <w:rsid w:val="136041BC"/>
    <w:rsid w:val="136F4FE6"/>
    <w:rsid w:val="13713F6F"/>
    <w:rsid w:val="13762A14"/>
    <w:rsid w:val="13790756"/>
    <w:rsid w:val="137B6EE7"/>
    <w:rsid w:val="137E2E27"/>
    <w:rsid w:val="138C25C7"/>
    <w:rsid w:val="138E61F6"/>
    <w:rsid w:val="138E741D"/>
    <w:rsid w:val="138F279E"/>
    <w:rsid w:val="1390357D"/>
    <w:rsid w:val="139670E5"/>
    <w:rsid w:val="13970D93"/>
    <w:rsid w:val="139F1C24"/>
    <w:rsid w:val="13A023E7"/>
    <w:rsid w:val="13A04270"/>
    <w:rsid w:val="13A86C77"/>
    <w:rsid w:val="13A90344"/>
    <w:rsid w:val="13A9454D"/>
    <w:rsid w:val="13B35BBD"/>
    <w:rsid w:val="13BF3D28"/>
    <w:rsid w:val="13C32466"/>
    <w:rsid w:val="13C77F07"/>
    <w:rsid w:val="13CE4E2F"/>
    <w:rsid w:val="13CF48B4"/>
    <w:rsid w:val="13E45E4B"/>
    <w:rsid w:val="13E62DA6"/>
    <w:rsid w:val="13F211C8"/>
    <w:rsid w:val="13F5027E"/>
    <w:rsid w:val="13F57229"/>
    <w:rsid w:val="13F60043"/>
    <w:rsid w:val="13F63AC9"/>
    <w:rsid w:val="13FE1F68"/>
    <w:rsid w:val="13FF4761"/>
    <w:rsid w:val="1401651E"/>
    <w:rsid w:val="14065625"/>
    <w:rsid w:val="14127CF3"/>
    <w:rsid w:val="1416357F"/>
    <w:rsid w:val="14175C6D"/>
    <w:rsid w:val="14182B9E"/>
    <w:rsid w:val="141A193D"/>
    <w:rsid w:val="141E08F4"/>
    <w:rsid w:val="14211963"/>
    <w:rsid w:val="14213028"/>
    <w:rsid w:val="142160CA"/>
    <w:rsid w:val="142E4E6B"/>
    <w:rsid w:val="14332094"/>
    <w:rsid w:val="143B554F"/>
    <w:rsid w:val="144128ED"/>
    <w:rsid w:val="144D721A"/>
    <w:rsid w:val="14504C78"/>
    <w:rsid w:val="14552700"/>
    <w:rsid w:val="1455301F"/>
    <w:rsid w:val="145E0ED6"/>
    <w:rsid w:val="145F4E9E"/>
    <w:rsid w:val="1468041E"/>
    <w:rsid w:val="146A5814"/>
    <w:rsid w:val="146D4E79"/>
    <w:rsid w:val="1479121F"/>
    <w:rsid w:val="147C1504"/>
    <w:rsid w:val="148112AD"/>
    <w:rsid w:val="148B2440"/>
    <w:rsid w:val="14933736"/>
    <w:rsid w:val="149D19D1"/>
    <w:rsid w:val="14AA1497"/>
    <w:rsid w:val="14AD2447"/>
    <w:rsid w:val="14BD0C90"/>
    <w:rsid w:val="14BD7435"/>
    <w:rsid w:val="14D13225"/>
    <w:rsid w:val="14D41B03"/>
    <w:rsid w:val="14D63FB7"/>
    <w:rsid w:val="14E11E90"/>
    <w:rsid w:val="14EC7262"/>
    <w:rsid w:val="14F50637"/>
    <w:rsid w:val="14F56962"/>
    <w:rsid w:val="14FD3DC3"/>
    <w:rsid w:val="15052F44"/>
    <w:rsid w:val="1513143F"/>
    <w:rsid w:val="152446F6"/>
    <w:rsid w:val="15274A34"/>
    <w:rsid w:val="152C74BF"/>
    <w:rsid w:val="152E54C4"/>
    <w:rsid w:val="1535555F"/>
    <w:rsid w:val="15382813"/>
    <w:rsid w:val="154B27A9"/>
    <w:rsid w:val="154B6CF6"/>
    <w:rsid w:val="15516306"/>
    <w:rsid w:val="155B06BC"/>
    <w:rsid w:val="155B6FCC"/>
    <w:rsid w:val="15620F8B"/>
    <w:rsid w:val="156514F3"/>
    <w:rsid w:val="156B264F"/>
    <w:rsid w:val="15707694"/>
    <w:rsid w:val="157477F0"/>
    <w:rsid w:val="157839EE"/>
    <w:rsid w:val="157F4B83"/>
    <w:rsid w:val="15862A25"/>
    <w:rsid w:val="15864057"/>
    <w:rsid w:val="158A2F64"/>
    <w:rsid w:val="158C53F6"/>
    <w:rsid w:val="15946EC2"/>
    <w:rsid w:val="1594709F"/>
    <w:rsid w:val="159B1410"/>
    <w:rsid w:val="159D2E6C"/>
    <w:rsid w:val="15A412DF"/>
    <w:rsid w:val="15A625C0"/>
    <w:rsid w:val="15A70541"/>
    <w:rsid w:val="15A7643A"/>
    <w:rsid w:val="15AD4348"/>
    <w:rsid w:val="15AD7612"/>
    <w:rsid w:val="15B96153"/>
    <w:rsid w:val="15BC619F"/>
    <w:rsid w:val="15BD0132"/>
    <w:rsid w:val="15BF618A"/>
    <w:rsid w:val="15C40EFF"/>
    <w:rsid w:val="15CA097E"/>
    <w:rsid w:val="15D33940"/>
    <w:rsid w:val="15D92955"/>
    <w:rsid w:val="15F5535B"/>
    <w:rsid w:val="15F569FA"/>
    <w:rsid w:val="15F656C7"/>
    <w:rsid w:val="15F85F00"/>
    <w:rsid w:val="15F969EC"/>
    <w:rsid w:val="16005D04"/>
    <w:rsid w:val="1607152F"/>
    <w:rsid w:val="160D7883"/>
    <w:rsid w:val="160E7A4D"/>
    <w:rsid w:val="16104DB0"/>
    <w:rsid w:val="1613433D"/>
    <w:rsid w:val="16200AF2"/>
    <w:rsid w:val="162A2BA0"/>
    <w:rsid w:val="162E270B"/>
    <w:rsid w:val="162E2ADD"/>
    <w:rsid w:val="16313AA6"/>
    <w:rsid w:val="163267A4"/>
    <w:rsid w:val="163C0B35"/>
    <w:rsid w:val="16405266"/>
    <w:rsid w:val="164561DB"/>
    <w:rsid w:val="1651617C"/>
    <w:rsid w:val="165A2EC2"/>
    <w:rsid w:val="16672683"/>
    <w:rsid w:val="166852CC"/>
    <w:rsid w:val="16696EE3"/>
    <w:rsid w:val="16713663"/>
    <w:rsid w:val="167518D2"/>
    <w:rsid w:val="167B69FF"/>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A1CE7"/>
    <w:rsid w:val="16EB66D9"/>
    <w:rsid w:val="16EE35CD"/>
    <w:rsid w:val="16F47BF5"/>
    <w:rsid w:val="16F500A9"/>
    <w:rsid w:val="16F872C3"/>
    <w:rsid w:val="16FA06E3"/>
    <w:rsid w:val="170167F2"/>
    <w:rsid w:val="17035AAC"/>
    <w:rsid w:val="17054499"/>
    <w:rsid w:val="170B0BD9"/>
    <w:rsid w:val="170D5EDA"/>
    <w:rsid w:val="17182913"/>
    <w:rsid w:val="17197EC3"/>
    <w:rsid w:val="171E2D1A"/>
    <w:rsid w:val="172E1BBE"/>
    <w:rsid w:val="17377B8C"/>
    <w:rsid w:val="173A6824"/>
    <w:rsid w:val="173B1FA1"/>
    <w:rsid w:val="173C594E"/>
    <w:rsid w:val="173D1596"/>
    <w:rsid w:val="17503F57"/>
    <w:rsid w:val="17505DD6"/>
    <w:rsid w:val="17586CB0"/>
    <w:rsid w:val="17596CA9"/>
    <w:rsid w:val="17600681"/>
    <w:rsid w:val="17665D9F"/>
    <w:rsid w:val="17694484"/>
    <w:rsid w:val="176958FE"/>
    <w:rsid w:val="17696EA4"/>
    <w:rsid w:val="17795030"/>
    <w:rsid w:val="177B0627"/>
    <w:rsid w:val="177D3C16"/>
    <w:rsid w:val="178501CB"/>
    <w:rsid w:val="178A042D"/>
    <w:rsid w:val="178A1F82"/>
    <w:rsid w:val="17916104"/>
    <w:rsid w:val="17920EA7"/>
    <w:rsid w:val="1797450B"/>
    <w:rsid w:val="17985148"/>
    <w:rsid w:val="17A644BF"/>
    <w:rsid w:val="17A92F07"/>
    <w:rsid w:val="17A93B09"/>
    <w:rsid w:val="17B23E0F"/>
    <w:rsid w:val="17B31B32"/>
    <w:rsid w:val="17B80549"/>
    <w:rsid w:val="17C063A0"/>
    <w:rsid w:val="17C16366"/>
    <w:rsid w:val="17C76A67"/>
    <w:rsid w:val="17CA22FD"/>
    <w:rsid w:val="17CF3A14"/>
    <w:rsid w:val="17DA0F7A"/>
    <w:rsid w:val="17DC2D7F"/>
    <w:rsid w:val="17E95276"/>
    <w:rsid w:val="17EA38A1"/>
    <w:rsid w:val="17EB77A3"/>
    <w:rsid w:val="17EC5E41"/>
    <w:rsid w:val="17F8667B"/>
    <w:rsid w:val="17FC7C84"/>
    <w:rsid w:val="18060D81"/>
    <w:rsid w:val="1806537C"/>
    <w:rsid w:val="18066C18"/>
    <w:rsid w:val="1809630E"/>
    <w:rsid w:val="181C2683"/>
    <w:rsid w:val="181E4167"/>
    <w:rsid w:val="18324998"/>
    <w:rsid w:val="18341D76"/>
    <w:rsid w:val="18351C27"/>
    <w:rsid w:val="18553A22"/>
    <w:rsid w:val="18590E01"/>
    <w:rsid w:val="18607956"/>
    <w:rsid w:val="1866144B"/>
    <w:rsid w:val="186E420E"/>
    <w:rsid w:val="187941B7"/>
    <w:rsid w:val="187A14AA"/>
    <w:rsid w:val="187B7B4F"/>
    <w:rsid w:val="1887188F"/>
    <w:rsid w:val="188900DF"/>
    <w:rsid w:val="18935E66"/>
    <w:rsid w:val="18A35548"/>
    <w:rsid w:val="18A63203"/>
    <w:rsid w:val="18A77689"/>
    <w:rsid w:val="18A816B2"/>
    <w:rsid w:val="18AC4CDE"/>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27C40"/>
    <w:rsid w:val="19087B90"/>
    <w:rsid w:val="190948C3"/>
    <w:rsid w:val="190E3326"/>
    <w:rsid w:val="190E3538"/>
    <w:rsid w:val="19164D1E"/>
    <w:rsid w:val="191C588D"/>
    <w:rsid w:val="192152C2"/>
    <w:rsid w:val="192502DE"/>
    <w:rsid w:val="1927395B"/>
    <w:rsid w:val="192D514C"/>
    <w:rsid w:val="193544CD"/>
    <w:rsid w:val="19443AA2"/>
    <w:rsid w:val="1945355B"/>
    <w:rsid w:val="194817FC"/>
    <w:rsid w:val="194A0D45"/>
    <w:rsid w:val="194A2ADB"/>
    <w:rsid w:val="195159CB"/>
    <w:rsid w:val="195961D5"/>
    <w:rsid w:val="195C14E8"/>
    <w:rsid w:val="196515C3"/>
    <w:rsid w:val="197859DA"/>
    <w:rsid w:val="1980769C"/>
    <w:rsid w:val="19884F66"/>
    <w:rsid w:val="198F181A"/>
    <w:rsid w:val="198F1E18"/>
    <w:rsid w:val="19917CFC"/>
    <w:rsid w:val="1997576B"/>
    <w:rsid w:val="1998697F"/>
    <w:rsid w:val="199A20B4"/>
    <w:rsid w:val="19A71B82"/>
    <w:rsid w:val="19B84C88"/>
    <w:rsid w:val="19C6694E"/>
    <w:rsid w:val="19CC0DE5"/>
    <w:rsid w:val="19D11E61"/>
    <w:rsid w:val="19D5618C"/>
    <w:rsid w:val="19E22401"/>
    <w:rsid w:val="19E23808"/>
    <w:rsid w:val="19F44B16"/>
    <w:rsid w:val="19F538D5"/>
    <w:rsid w:val="1A00532F"/>
    <w:rsid w:val="1A040FBD"/>
    <w:rsid w:val="1A067DCA"/>
    <w:rsid w:val="1A0A198C"/>
    <w:rsid w:val="1A102A1C"/>
    <w:rsid w:val="1A13214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B617F5"/>
    <w:rsid w:val="1AC70097"/>
    <w:rsid w:val="1ACC39D6"/>
    <w:rsid w:val="1ADE0868"/>
    <w:rsid w:val="1AF7489C"/>
    <w:rsid w:val="1AF86B17"/>
    <w:rsid w:val="1AFA3523"/>
    <w:rsid w:val="1AFD3AEA"/>
    <w:rsid w:val="1B05238D"/>
    <w:rsid w:val="1B13587B"/>
    <w:rsid w:val="1B1D44BA"/>
    <w:rsid w:val="1B275D4E"/>
    <w:rsid w:val="1B2C07D2"/>
    <w:rsid w:val="1B2C5EE0"/>
    <w:rsid w:val="1B33077D"/>
    <w:rsid w:val="1B3604D3"/>
    <w:rsid w:val="1B364D11"/>
    <w:rsid w:val="1B3865C6"/>
    <w:rsid w:val="1B3E5EDE"/>
    <w:rsid w:val="1B433153"/>
    <w:rsid w:val="1B467529"/>
    <w:rsid w:val="1B4B00CA"/>
    <w:rsid w:val="1B566C78"/>
    <w:rsid w:val="1B5F1247"/>
    <w:rsid w:val="1B6307EA"/>
    <w:rsid w:val="1B717940"/>
    <w:rsid w:val="1B79696C"/>
    <w:rsid w:val="1B7E1824"/>
    <w:rsid w:val="1B825166"/>
    <w:rsid w:val="1B890C23"/>
    <w:rsid w:val="1B9411FC"/>
    <w:rsid w:val="1B972987"/>
    <w:rsid w:val="1B9D6CE8"/>
    <w:rsid w:val="1BA63F57"/>
    <w:rsid w:val="1BA866D1"/>
    <w:rsid w:val="1BBB422B"/>
    <w:rsid w:val="1BC600B5"/>
    <w:rsid w:val="1BCC6C51"/>
    <w:rsid w:val="1BCD55F8"/>
    <w:rsid w:val="1BD1784D"/>
    <w:rsid w:val="1BE011AE"/>
    <w:rsid w:val="1BE02AAF"/>
    <w:rsid w:val="1BE30F90"/>
    <w:rsid w:val="1BE31093"/>
    <w:rsid w:val="1BE956C8"/>
    <w:rsid w:val="1C022294"/>
    <w:rsid w:val="1C0B35D4"/>
    <w:rsid w:val="1C12573D"/>
    <w:rsid w:val="1C1D1EE2"/>
    <w:rsid w:val="1C1E2D21"/>
    <w:rsid w:val="1C234861"/>
    <w:rsid w:val="1C2E319B"/>
    <w:rsid w:val="1C3477C5"/>
    <w:rsid w:val="1C4F6563"/>
    <w:rsid w:val="1C545F3D"/>
    <w:rsid w:val="1C556488"/>
    <w:rsid w:val="1C563FE3"/>
    <w:rsid w:val="1C5A182A"/>
    <w:rsid w:val="1C612884"/>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2FB6"/>
    <w:rsid w:val="1CAF4AE5"/>
    <w:rsid w:val="1CB21A29"/>
    <w:rsid w:val="1CCB32EE"/>
    <w:rsid w:val="1CCD4A46"/>
    <w:rsid w:val="1CD23361"/>
    <w:rsid w:val="1CD35882"/>
    <w:rsid w:val="1CE302F7"/>
    <w:rsid w:val="1CEC4F96"/>
    <w:rsid w:val="1CF139EE"/>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B1AFF"/>
    <w:rsid w:val="1D4B4B5A"/>
    <w:rsid w:val="1D5350C2"/>
    <w:rsid w:val="1D584348"/>
    <w:rsid w:val="1D597DDF"/>
    <w:rsid w:val="1D5D209F"/>
    <w:rsid w:val="1D6D4785"/>
    <w:rsid w:val="1D6E27CD"/>
    <w:rsid w:val="1D727268"/>
    <w:rsid w:val="1D747A6E"/>
    <w:rsid w:val="1D767ADA"/>
    <w:rsid w:val="1D7A0D45"/>
    <w:rsid w:val="1D845021"/>
    <w:rsid w:val="1D861B2D"/>
    <w:rsid w:val="1D896FB3"/>
    <w:rsid w:val="1D91741D"/>
    <w:rsid w:val="1D9318C5"/>
    <w:rsid w:val="1D941B55"/>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065F6"/>
    <w:rsid w:val="1E3303CE"/>
    <w:rsid w:val="1E3F6D05"/>
    <w:rsid w:val="1E494B8A"/>
    <w:rsid w:val="1E4F0222"/>
    <w:rsid w:val="1E5C2AF3"/>
    <w:rsid w:val="1E795C41"/>
    <w:rsid w:val="1E7E640D"/>
    <w:rsid w:val="1E7F3A72"/>
    <w:rsid w:val="1E8064D3"/>
    <w:rsid w:val="1E861E21"/>
    <w:rsid w:val="1EA72270"/>
    <w:rsid w:val="1EBD6E42"/>
    <w:rsid w:val="1EBF2B2C"/>
    <w:rsid w:val="1EC25D1C"/>
    <w:rsid w:val="1EC74AB4"/>
    <w:rsid w:val="1EC87ABC"/>
    <w:rsid w:val="1ED242FC"/>
    <w:rsid w:val="1ED56C03"/>
    <w:rsid w:val="1EDA0174"/>
    <w:rsid w:val="1EDA3DBE"/>
    <w:rsid w:val="1EDB3888"/>
    <w:rsid w:val="1EE05F54"/>
    <w:rsid w:val="1EE332A7"/>
    <w:rsid w:val="1EE94B13"/>
    <w:rsid w:val="1EF579A0"/>
    <w:rsid w:val="1F05532C"/>
    <w:rsid w:val="1F095121"/>
    <w:rsid w:val="1F0C3604"/>
    <w:rsid w:val="1F0D0383"/>
    <w:rsid w:val="1F0F4C7A"/>
    <w:rsid w:val="1F1527EE"/>
    <w:rsid w:val="1F20034A"/>
    <w:rsid w:val="1F251ABC"/>
    <w:rsid w:val="1F290391"/>
    <w:rsid w:val="1F2A2D10"/>
    <w:rsid w:val="1F304386"/>
    <w:rsid w:val="1F330402"/>
    <w:rsid w:val="1F370102"/>
    <w:rsid w:val="1F3F0073"/>
    <w:rsid w:val="1F43546C"/>
    <w:rsid w:val="1F48506F"/>
    <w:rsid w:val="1F4B10C3"/>
    <w:rsid w:val="1F5C7F87"/>
    <w:rsid w:val="1F6C1D79"/>
    <w:rsid w:val="1F792E9A"/>
    <w:rsid w:val="1F7B67F6"/>
    <w:rsid w:val="1F7C518B"/>
    <w:rsid w:val="1F881F59"/>
    <w:rsid w:val="1F8941F6"/>
    <w:rsid w:val="1F971B7F"/>
    <w:rsid w:val="1F977565"/>
    <w:rsid w:val="1F9B644E"/>
    <w:rsid w:val="1FA22246"/>
    <w:rsid w:val="1FA429B4"/>
    <w:rsid w:val="1FAC06FF"/>
    <w:rsid w:val="1FB34801"/>
    <w:rsid w:val="1FB75185"/>
    <w:rsid w:val="1FB758D9"/>
    <w:rsid w:val="1FB9068D"/>
    <w:rsid w:val="1FB97163"/>
    <w:rsid w:val="1FBD0EE6"/>
    <w:rsid w:val="1FC10346"/>
    <w:rsid w:val="1FC16504"/>
    <w:rsid w:val="1FDB745E"/>
    <w:rsid w:val="1FDD028C"/>
    <w:rsid w:val="1FE218C2"/>
    <w:rsid w:val="1FF955B0"/>
    <w:rsid w:val="1FFA3EAB"/>
    <w:rsid w:val="1FFB3FF4"/>
    <w:rsid w:val="1FFC1294"/>
    <w:rsid w:val="1FFC4541"/>
    <w:rsid w:val="200B6448"/>
    <w:rsid w:val="20176E76"/>
    <w:rsid w:val="201C2D60"/>
    <w:rsid w:val="20270162"/>
    <w:rsid w:val="203F0CD6"/>
    <w:rsid w:val="20421E9D"/>
    <w:rsid w:val="204439A4"/>
    <w:rsid w:val="20655E4F"/>
    <w:rsid w:val="20721F6B"/>
    <w:rsid w:val="207308C3"/>
    <w:rsid w:val="207411D3"/>
    <w:rsid w:val="20743131"/>
    <w:rsid w:val="207536DF"/>
    <w:rsid w:val="20783BF9"/>
    <w:rsid w:val="20786435"/>
    <w:rsid w:val="20802CF5"/>
    <w:rsid w:val="20811113"/>
    <w:rsid w:val="208315A1"/>
    <w:rsid w:val="20874766"/>
    <w:rsid w:val="2088281D"/>
    <w:rsid w:val="2088475A"/>
    <w:rsid w:val="20917F9C"/>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C3CC5"/>
    <w:rsid w:val="21404767"/>
    <w:rsid w:val="214776EA"/>
    <w:rsid w:val="21522E38"/>
    <w:rsid w:val="2159046C"/>
    <w:rsid w:val="21592762"/>
    <w:rsid w:val="215E62F3"/>
    <w:rsid w:val="215F3A68"/>
    <w:rsid w:val="21611A31"/>
    <w:rsid w:val="21635586"/>
    <w:rsid w:val="21760888"/>
    <w:rsid w:val="217B17E2"/>
    <w:rsid w:val="218810BD"/>
    <w:rsid w:val="218D61A9"/>
    <w:rsid w:val="218F7263"/>
    <w:rsid w:val="2190117D"/>
    <w:rsid w:val="219015DB"/>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34BF9"/>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9C7857"/>
    <w:rsid w:val="22A11695"/>
    <w:rsid w:val="22A63B38"/>
    <w:rsid w:val="22A73490"/>
    <w:rsid w:val="22A8489A"/>
    <w:rsid w:val="22AA7376"/>
    <w:rsid w:val="22AB3B60"/>
    <w:rsid w:val="22AF11A1"/>
    <w:rsid w:val="22B2134F"/>
    <w:rsid w:val="22B22D1F"/>
    <w:rsid w:val="22B33D99"/>
    <w:rsid w:val="22B83EF7"/>
    <w:rsid w:val="22BB4A47"/>
    <w:rsid w:val="22BC2773"/>
    <w:rsid w:val="22BE29D6"/>
    <w:rsid w:val="22C27BE8"/>
    <w:rsid w:val="22C4003E"/>
    <w:rsid w:val="22CB2F4B"/>
    <w:rsid w:val="22D02654"/>
    <w:rsid w:val="22D10E4B"/>
    <w:rsid w:val="22D41929"/>
    <w:rsid w:val="22D7363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E2CD5"/>
    <w:rsid w:val="230F5270"/>
    <w:rsid w:val="2311101C"/>
    <w:rsid w:val="231869B1"/>
    <w:rsid w:val="2319089C"/>
    <w:rsid w:val="231B2491"/>
    <w:rsid w:val="232515D0"/>
    <w:rsid w:val="232F45E5"/>
    <w:rsid w:val="23382F5D"/>
    <w:rsid w:val="233857DC"/>
    <w:rsid w:val="233E2231"/>
    <w:rsid w:val="23443C8F"/>
    <w:rsid w:val="235578EA"/>
    <w:rsid w:val="23561548"/>
    <w:rsid w:val="23561CD1"/>
    <w:rsid w:val="235E47B6"/>
    <w:rsid w:val="23644FB5"/>
    <w:rsid w:val="23646298"/>
    <w:rsid w:val="236B32CC"/>
    <w:rsid w:val="2372506B"/>
    <w:rsid w:val="2376691B"/>
    <w:rsid w:val="2378146C"/>
    <w:rsid w:val="238D2D50"/>
    <w:rsid w:val="238D66BE"/>
    <w:rsid w:val="2390261F"/>
    <w:rsid w:val="23950A55"/>
    <w:rsid w:val="239540DC"/>
    <w:rsid w:val="23965F67"/>
    <w:rsid w:val="23A00272"/>
    <w:rsid w:val="23A02531"/>
    <w:rsid w:val="23A11F4F"/>
    <w:rsid w:val="23A963A4"/>
    <w:rsid w:val="23B41225"/>
    <w:rsid w:val="23BA6237"/>
    <w:rsid w:val="23BC048E"/>
    <w:rsid w:val="23C9616F"/>
    <w:rsid w:val="23CC0919"/>
    <w:rsid w:val="23CE659F"/>
    <w:rsid w:val="23CF7FD3"/>
    <w:rsid w:val="23D4199E"/>
    <w:rsid w:val="23DC01C4"/>
    <w:rsid w:val="23DC60E2"/>
    <w:rsid w:val="23E17EC8"/>
    <w:rsid w:val="23E47406"/>
    <w:rsid w:val="23E91B93"/>
    <w:rsid w:val="23F6160A"/>
    <w:rsid w:val="23FA4415"/>
    <w:rsid w:val="23FB72B1"/>
    <w:rsid w:val="24026C92"/>
    <w:rsid w:val="24027DBA"/>
    <w:rsid w:val="240657B6"/>
    <w:rsid w:val="240B36D8"/>
    <w:rsid w:val="240C2CCA"/>
    <w:rsid w:val="240C553C"/>
    <w:rsid w:val="241722EB"/>
    <w:rsid w:val="24193E65"/>
    <w:rsid w:val="241B2B4F"/>
    <w:rsid w:val="242B021E"/>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9502B"/>
    <w:rsid w:val="2479597F"/>
    <w:rsid w:val="247D3C6E"/>
    <w:rsid w:val="24860612"/>
    <w:rsid w:val="24872D53"/>
    <w:rsid w:val="248E7D90"/>
    <w:rsid w:val="249321BF"/>
    <w:rsid w:val="249C0D83"/>
    <w:rsid w:val="24A033EE"/>
    <w:rsid w:val="24B51B12"/>
    <w:rsid w:val="24C434A5"/>
    <w:rsid w:val="24C92612"/>
    <w:rsid w:val="24CA496C"/>
    <w:rsid w:val="24CB78C2"/>
    <w:rsid w:val="24CC60AA"/>
    <w:rsid w:val="24D35568"/>
    <w:rsid w:val="24D72C44"/>
    <w:rsid w:val="24DB51FA"/>
    <w:rsid w:val="24E954E0"/>
    <w:rsid w:val="24F37FEF"/>
    <w:rsid w:val="24F82FB3"/>
    <w:rsid w:val="2501080F"/>
    <w:rsid w:val="2504405A"/>
    <w:rsid w:val="251809ED"/>
    <w:rsid w:val="251B27EB"/>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73766"/>
    <w:rsid w:val="258B4AE4"/>
    <w:rsid w:val="258C3B89"/>
    <w:rsid w:val="258C6B00"/>
    <w:rsid w:val="258F1E2E"/>
    <w:rsid w:val="259114ED"/>
    <w:rsid w:val="2593720A"/>
    <w:rsid w:val="25996F48"/>
    <w:rsid w:val="259A3CB2"/>
    <w:rsid w:val="259E4C39"/>
    <w:rsid w:val="259E5828"/>
    <w:rsid w:val="25A45B04"/>
    <w:rsid w:val="25A92B92"/>
    <w:rsid w:val="25AB0A3D"/>
    <w:rsid w:val="25AC370D"/>
    <w:rsid w:val="25B22B68"/>
    <w:rsid w:val="25B5218E"/>
    <w:rsid w:val="25B824AD"/>
    <w:rsid w:val="25C15D16"/>
    <w:rsid w:val="25C55B83"/>
    <w:rsid w:val="25CD5BF1"/>
    <w:rsid w:val="25CD62C3"/>
    <w:rsid w:val="25D31208"/>
    <w:rsid w:val="25DA65CA"/>
    <w:rsid w:val="25DB6649"/>
    <w:rsid w:val="25DC1D12"/>
    <w:rsid w:val="25DD0809"/>
    <w:rsid w:val="25E27416"/>
    <w:rsid w:val="25E46656"/>
    <w:rsid w:val="25E47484"/>
    <w:rsid w:val="25E92FBE"/>
    <w:rsid w:val="25F17275"/>
    <w:rsid w:val="25F31E31"/>
    <w:rsid w:val="25F70EE4"/>
    <w:rsid w:val="25F83FB0"/>
    <w:rsid w:val="25FC0B75"/>
    <w:rsid w:val="26006C23"/>
    <w:rsid w:val="260139F3"/>
    <w:rsid w:val="260556D5"/>
    <w:rsid w:val="26080DD9"/>
    <w:rsid w:val="26082798"/>
    <w:rsid w:val="260830B3"/>
    <w:rsid w:val="26095114"/>
    <w:rsid w:val="260E454E"/>
    <w:rsid w:val="261464EE"/>
    <w:rsid w:val="26280E6C"/>
    <w:rsid w:val="262E05B0"/>
    <w:rsid w:val="26327A25"/>
    <w:rsid w:val="26331CBB"/>
    <w:rsid w:val="26372014"/>
    <w:rsid w:val="263C3D6D"/>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D00BF3"/>
    <w:rsid w:val="26E272BC"/>
    <w:rsid w:val="26E33E5B"/>
    <w:rsid w:val="26E70CA8"/>
    <w:rsid w:val="26EA7605"/>
    <w:rsid w:val="26EB47D6"/>
    <w:rsid w:val="26F17CAD"/>
    <w:rsid w:val="26F51567"/>
    <w:rsid w:val="26F54808"/>
    <w:rsid w:val="26F81366"/>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900F9"/>
    <w:rsid w:val="274E0335"/>
    <w:rsid w:val="275D1356"/>
    <w:rsid w:val="275D4A89"/>
    <w:rsid w:val="27625310"/>
    <w:rsid w:val="27641213"/>
    <w:rsid w:val="277A2EC6"/>
    <w:rsid w:val="277E3D2C"/>
    <w:rsid w:val="27841ADD"/>
    <w:rsid w:val="278B7262"/>
    <w:rsid w:val="278E7D5F"/>
    <w:rsid w:val="279429E3"/>
    <w:rsid w:val="27966F4A"/>
    <w:rsid w:val="27A74D7A"/>
    <w:rsid w:val="27A75735"/>
    <w:rsid w:val="27A91AD2"/>
    <w:rsid w:val="27AE6E2D"/>
    <w:rsid w:val="27AF57B8"/>
    <w:rsid w:val="27B24596"/>
    <w:rsid w:val="27B25FFF"/>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851C0"/>
    <w:rsid w:val="27FA5F82"/>
    <w:rsid w:val="28014303"/>
    <w:rsid w:val="280410A7"/>
    <w:rsid w:val="2809034F"/>
    <w:rsid w:val="28152D65"/>
    <w:rsid w:val="281713C1"/>
    <w:rsid w:val="28201807"/>
    <w:rsid w:val="28202089"/>
    <w:rsid w:val="28210C3B"/>
    <w:rsid w:val="282408A9"/>
    <w:rsid w:val="2833186C"/>
    <w:rsid w:val="283E3927"/>
    <w:rsid w:val="28432F7C"/>
    <w:rsid w:val="285065F4"/>
    <w:rsid w:val="28557C44"/>
    <w:rsid w:val="28564AD0"/>
    <w:rsid w:val="285E1540"/>
    <w:rsid w:val="285E4E49"/>
    <w:rsid w:val="28634EA7"/>
    <w:rsid w:val="2868554F"/>
    <w:rsid w:val="286A70A6"/>
    <w:rsid w:val="286D715D"/>
    <w:rsid w:val="28707EB9"/>
    <w:rsid w:val="28710251"/>
    <w:rsid w:val="287270BD"/>
    <w:rsid w:val="287508F6"/>
    <w:rsid w:val="288C7056"/>
    <w:rsid w:val="288F598A"/>
    <w:rsid w:val="289910F7"/>
    <w:rsid w:val="28A14F66"/>
    <w:rsid w:val="28A4234C"/>
    <w:rsid w:val="28A63531"/>
    <w:rsid w:val="28A773FC"/>
    <w:rsid w:val="28CA5B35"/>
    <w:rsid w:val="28D02425"/>
    <w:rsid w:val="28D36FD2"/>
    <w:rsid w:val="28D527CA"/>
    <w:rsid w:val="28DB1A3D"/>
    <w:rsid w:val="28F133CC"/>
    <w:rsid w:val="28F729CE"/>
    <w:rsid w:val="28F934CA"/>
    <w:rsid w:val="28FA5F7F"/>
    <w:rsid w:val="29056F59"/>
    <w:rsid w:val="2907017C"/>
    <w:rsid w:val="29094B16"/>
    <w:rsid w:val="291218C3"/>
    <w:rsid w:val="2912731C"/>
    <w:rsid w:val="29150A19"/>
    <w:rsid w:val="29157321"/>
    <w:rsid w:val="291F35AA"/>
    <w:rsid w:val="2925391D"/>
    <w:rsid w:val="292B0670"/>
    <w:rsid w:val="292E0A29"/>
    <w:rsid w:val="29325A72"/>
    <w:rsid w:val="2938341E"/>
    <w:rsid w:val="293A10FF"/>
    <w:rsid w:val="293A6E92"/>
    <w:rsid w:val="29566904"/>
    <w:rsid w:val="29582224"/>
    <w:rsid w:val="29585835"/>
    <w:rsid w:val="296074D7"/>
    <w:rsid w:val="29692EBD"/>
    <w:rsid w:val="29712D8F"/>
    <w:rsid w:val="29736267"/>
    <w:rsid w:val="297B31D3"/>
    <w:rsid w:val="298103BD"/>
    <w:rsid w:val="298D4850"/>
    <w:rsid w:val="29966295"/>
    <w:rsid w:val="29971F57"/>
    <w:rsid w:val="299C7DCA"/>
    <w:rsid w:val="29A021A8"/>
    <w:rsid w:val="29A942FB"/>
    <w:rsid w:val="29A94F7F"/>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2351F4"/>
    <w:rsid w:val="2A307EBE"/>
    <w:rsid w:val="2A3E413F"/>
    <w:rsid w:val="2A430F4D"/>
    <w:rsid w:val="2A5303B9"/>
    <w:rsid w:val="2A534A67"/>
    <w:rsid w:val="2A5F67A3"/>
    <w:rsid w:val="2A6151C4"/>
    <w:rsid w:val="2A664C59"/>
    <w:rsid w:val="2A6B464E"/>
    <w:rsid w:val="2A722830"/>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30D5F"/>
    <w:rsid w:val="2B4F2967"/>
    <w:rsid w:val="2B5C1A7C"/>
    <w:rsid w:val="2B5C469F"/>
    <w:rsid w:val="2B6525E9"/>
    <w:rsid w:val="2B6E19DB"/>
    <w:rsid w:val="2B756050"/>
    <w:rsid w:val="2B7C5660"/>
    <w:rsid w:val="2B8944AA"/>
    <w:rsid w:val="2B92679C"/>
    <w:rsid w:val="2B96506D"/>
    <w:rsid w:val="2B986BC6"/>
    <w:rsid w:val="2B9C0A86"/>
    <w:rsid w:val="2BA16669"/>
    <w:rsid w:val="2BAE20A5"/>
    <w:rsid w:val="2BAF2381"/>
    <w:rsid w:val="2BB1376A"/>
    <w:rsid w:val="2BBA7E05"/>
    <w:rsid w:val="2BBB17D5"/>
    <w:rsid w:val="2BBD6DA0"/>
    <w:rsid w:val="2BC3413A"/>
    <w:rsid w:val="2BC45396"/>
    <w:rsid w:val="2BD540AD"/>
    <w:rsid w:val="2BDA10DE"/>
    <w:rsid w:val="2BDA2AEC"/>
    <w:rsid w:val="2BF336C9"/>
    <w:rsid w:val="2BF33ED5"/>
    <w:rsid w:val="2BFB7405"/>
    <w:rsid w:val="2C006833"/>
    <w:rsid w:val="2C034F7B"/>
    <w:rsid w:val="2C040D89"/>
    <w:rsid w:val="2C0509D9"/>
    <w:rsid w:val="2C05481D"/>
    <w:rsid w:val="2C056AF9"/>
    <w:rsid w:val="2C220DB4"/>
    <w:rsid w:val="2C247FF1"/>
    <w:rsid w:val="2C3C0030"/>
    <w:rsid w:val="2C3F3887"/>
    <w:rsid w:val="2C45016F"/>
    <w:rsid w:val="2C516E38"/>
    <w:rsid w:val="2C533A6A"/>
    <w:rsid w:val="2C560EA3"/>
    <w:rsid w:val="2C617496"/>
    <w:rsid w:val="2C62156F"/>
    <w:rsid w:val="2C6F41F6"/>
    <w:rsid w:val="2C730778"/>
    <w:rsid w:val="2C7E030A"/>
    <w:rsid w:val="2C833FFB"/>
    <w:rsid w:val="2C84380F"/>
    <w:rsid w:val="2C8F430E"/>
    <w:rsid w:val="2C970335"/>
    <w:rsid w:val="2CA21894"/>
    <w:rsid w:val="2CA4476E"/>
    <w:rsid w:val="2CAD4F6B"/>
    <w:rsid w:val="2CB17FD2"/>
    <w:rsid w:val="2CC16AFA"/>
    <w:rsid w:val="2CC95D10"/>
    <w:rsid w:val="2CCA43FF"/>
    <w:rsid w:val="2CCB5A72"/>
    <w:rsid w:val="2CD57684"/>
    <w:rsid w:val="2CD67A0B"/>
    <w:rsid w:val="2CD75666"/>
    <w:rsid w:val="2CD83FF1"/>
    <w:rsid w:val="2CDC6591"/>
    <w:rsid w:val="2CDE08F2"/>
    <w:rsid w:val="2CE03AB0"/>
    <w:rsid w:val="2CEB494F"/>
    <w:rsid w:val="2CEF53E3"/>
    <w:rsid w:val="2CF53A56"/>
    <w:rsid w:val="2CF649A9"/>
    <w:rsid w:val="2CFC27E4"/>
    <w:rsid w:val="2D0766E4"/>
    <w:rsid w:val="2D0B702A"/>
    <w:rsid w:val="2D107EBA"/>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C2B47"/>
    <w:rsid w:val="2D763F45"/>
    <w:rsid w:val="2D820204"/>
    <w:rsid w:val="2D8402FC"/>
    <w:rsid w:val="2D88024C"/>
    <w:rsid w:val="2D935488"/>
    <w:rsid w:val="2D960FB5"/>
    <w:rsid w:val="2D9B4423"/>
    <w:rsid w:val="2DAC2EF4"/>
    <w:rsid w:val="2DAD4BCD"/>
    <w:rsid w:val="2DB453FF"/>
    <w:rsid w:val="2DBE4237"/>
    <w:rsid w:val="2DBF1693"/>
    <w:rsid w:val="2DCA22C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5E19"/>
    <w:rsid w:val="2E28757C"/>
    <w:rsid w:val="2E2C723F"/>
    <w:rsid w:val="2E332EEF"/>
    <w:rsid w:val="2E3D0855"/>
    <w:rsid w:val="2E3F6B8A"/>
    <w:rsid w:val="2E406C31"/>
    <w:rsid w:val="2E467FE7"/>
    <w:rsid w:val="2E527715"/>
    <w:rsid w:val="2E530660"/>
    <w:rsid w:val="2E531152"/>
    <w:rsid w:val="2E5448E2"/>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17C70"/>
    <w:rsid w:val="2EB411B5"/>
    <w:rsid w:val="2EBD49E1"/>
    <w:rsid w:val="2EBF0ED1"/>
    <w:rsid w:val="2EC42186"/>
    <w:rsid w:val="2EC7495E"/>
    <w:rsid w:val="2EC776BB"/>
    <w:rsid w:val="2ECA39AD"/>
    <w:rsid w:val="2ECC0C07"/>
    <w:rsid w:val="2ED03009"/>
    <w:rsid w:val="2EED4C9D"/>
    <w:rsid w:val="2EF01DA9"/>
    <w:rsid w:val="2EF224CD"/>
    <w:rsid w:val="2EF67D61"/>
    <w:rsid w:val="2EFA2F2B"/>
    <w:rsid w:val="2F010C22"/>
    <w:rsid w:val="2F195BDC"/>
    <w:rsid w:val="2F2E23A6"/>
    <w:rsid w:val="2F2E289C"/>
    <w:rsid w:val="2F350F19"/>
    <w:rsid w:val="2F383567"/>
    <w:rsid w:val="2F3B1918"/>
    <w:rsid w:val="2F415DC8"/>
    <w:rsid w:val="2F514AAE"/>
    <w:rsid w:val="2F531FEB"/>
    <w:rsid w:val="2F5B5B3B"/>
    <w:rsid w:val="2F615468"/>
    <w:rsid w:val="2F655F0E"/>
    <w:rsid w:val="2F6B73F9"/>
    <w:rsid w:val="2F6D4FA6"/>
    <w:rsid w:val="2F743486"/>
    <w:rsid w:val="2F756E65"/>
    <w:rsid w:val="2F77354F"/>
    <w:rsid w:val="2F7A7069"/>
    <w:rsid w:val="2F7B2789"/>
    <w:rsid w:val="2F8001B6"/>
    <w:rsid w:val="2F897AA1"/>
    <w:rsid w:val="2F8D4D67"/>
    <w:rsid w:val="2F8E2F8D"/>
    <w:rsid w:val="2F9051B8"/>
    <w:rsid w:val="2F910893"/>
    <w:rsid w:val="2F9A69D2"/>
    <w:rsid w:val="2F9A7210"/>
    <w:rsid w:val="2F9C6646"/>
    <w:rsid w:val="2F9D4AA3"/>
    <w:rsid w:val="2F9F094E"/>
    <w:rsid w:val="2FA213D6"/>
    <w:rsid w:val="2FA5152D"/>
    <w:rsid w:val="2FA96250"/>
    <w:rsid w:val="2FAA31BA"/>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5831D6"/>
    <w:rsid w:val="305A4537"/>
    <w:rsid w:val="30632880"/>
    <w:rsid w:val="3070014A"/>
    <w:rsid w:val="307B4FFA"/>
    <w:rsid w:val="308136E0"/>
    <w:rsid w:val="308719BC"/>
    <w:rsid w:val="3095375A"/>
    <w:rsid w:val="30977E19"/>
    <w:rsid w:val="309B2688"/>
    <w:rsid w:val="30A90B96"/>
    <w:rsid w:val="30A91070"/>
    <w:rsid w:val="30B26464"/>
    <w:rsid w:val="30B420CD"/>
    <w:rsid w:val="30B86332"/>
    <w:rsid w:val="30C91D87"/>
    <w:rsid w:val="30D10B78"/>
    <w:rsid w:val="30D251E3"/>
    <w:rsid w:val="30D36EB7"/>
    <w:rsid w:val="30D45137"/>
    <w:rsid w:val="30D51A41"/>
    <w:rsid w:val="30E7233C"/>
    <w:rsid w:val="30F3215C"/>
    <w:rsid w:val="30FB3BF4"/>
    <w:rsid w:val="31076B28"/>
    <w:rsid w:val="31076EFA"/>
    <w:rsid w:val="310866BC"/>
    <w:rsid w:val="31154DED"/>
    <w:rsid w:val="3120790D"/>
    <w:rsid w:val="31215B33"/>
    <w:rsid w:val="312A36B1"/>
    <w:rsid w:val="31337532"/>
    <w:rsid w:val="313A1C55"/>
    <w:rsid w:val="313A2CAC"/>
    <w:rsid w:val="313E6356"/>
    <w:rsid w:val="31460C29"/>
    <w:rsid w:val="314B3239"/>
    <w:rsid w:val="31596E9F"/>
    <w:rsid w:val="315B21E9"/>
    <w:rsid w:val="315B5E62"/>
    <w:rsid w:val="31604DC0"/>
    <w:rsid w:val="31607973"/>
    <w:rsid w:val="3163108E"/>
    <w:rsid w:val="3167538F"/>
    <w:rsid w:val="316A2AFE"/>
    <w:rsid w:val="317544CD"/>
    <w:rsid w:val="31765162"/>
    <w:rsid w:val="317A487D"/>
    <w:rsid w:val="317D76C8"/>
    <w:rsid w:val="31833BCE"/>
    <w:rsid w:val="318A1515"/>
    <w:rsid w:val="31944F6F"/>
    <w:rsid w:val="31963456"/>
    <w:rsid w:val="31A47F00"/>
    <w:rsid w:val="31A51052"/>
    <w:rsid w:val="31A77BCC"/>
    <w:rsid w:val="31A84B64"/>
    <w:rsid w:val="31B12D3C"/>
    <w:rsid w:val="31B2653B"/>
    <w:rsid w:val="31B266EC"/>
    <w:rsid w:val="31B45163"/>
    <w:rsid w:val="31B81D35"/>
    <w:rsid w:val="31C3729F"/>
    <w:rsid w:val="31CB617D"/>
    <w:rsid w:val="31CC0ECB"/>
    <w:rsid w:val="31DD2EC1"/>
    <w:rsid w:val="31DF1DB8"/>
    <w:rsid w:val="31E56082"/>
    <w:rsid w:val="31F020DC"/>
    <w:rsid w:val="31F072F8"/>
    <w:rsid w:val="32061C7F"/>
    <w:rsid w:val="320A52D8"/>
    <w:rsid w:val="320D2005"/>
    <w:rsid w:val="32136025"/>
    <w:rsid w:val="32220D79"/>
    <w:rsid w:val="32252577"/>
    <w:rsid w:val="3228412F"/>
    <w:rsid w:val="32294648"/>
    <w:rsid w:val="322F0831"/>
    <w:rsid w:val="3238009F"/>
    <w:rsid w:val="323F5519"/>
    <w:rsid w:val="32442E52"/>
    <w:rsid w:val="32471CC6"/>
    <w:rsid w:val="324F0134"/>
    <w:rsid w:val="32540593"/>
    <w:rsid w:val="32575B7F"/>
    <w:rsid w:val="32582CC3"/>
    <w:rsid w:val="326F43FE"/>
    <w:rsid w:val="327179A4"/>
    <w:rsid w:val="32775626"/>
    <w:rsid w:val="32835AB1"/>
    <w:rsid w:val="328A3A5F"/>
    <w:rsid w:val="328D7371"/>
    <w:rsid w:val="328E2231"/>
    <w:rsid w:val="329326B7"/>
    <w:rsid w:val="329426A2"/>
    <w:rsid w:val="329708DE"/>
    <w:rsid w:val="32AD1211"/>
    <w:rsid w:val="32BE0045"/>
    <w:rsid w:val="32E12F9A"/>
    <w:rsid w:val="32E87F66"/>
    <w:rsid w:val="32E97C5E"/>
    <w:rsid w:val="32EC46FB"/>
    <w:rsid w:val="32FF12B8"/>
    <w:rsid w:val="33000B4D"/>
    <w:rsid w:val="330073AA"/>
    <w:rsid w:val="33020BF1"/>
    <w:rsid w:val="330710D7"/>
    <w:rsid w:val="331264BB"/>
    <w:rsid w:val="331A102D"/>
    <w:rsid w:val="331E3887"/>
    <w:rsid w:val="33224534"/>
    <w:rsid w:val="332742E9"/>
    <w:rsid w:val="332850C4"/>
    <w:rsid w:val="332A1AC1"/>
    <w:rsid w:val="332C71E1"/>
    <w:rsid w:val="332E1BC2"/>
    <w:rsid w:val="332F3B66"/>
    <w:rsid w:val="333B116B"/>
    <w:rsid w:val="333E2024"/>
    <w:rsid w:val="33427ABB"/>
    <w:rsid w:val="33616D4E"/>
    <w:rsid w:val="338134D4"/>
    <w:rsid w:val="33821BAB"/>
    <w:rsid w:val="338378EA"/>
    <w:rsid w:val="33885755"/>
    <w:rsid w:val="339E18B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F44FC"/>
    <w:rsid w:val="33F751C3"/>
    <w:rsid w:val="33FB4B21"/>
    <w:rsid w:val="33FE7E15"/>
    <w:rsid w:val="33FF1154"/>
    <w:rsid w:val="340074AF"/>
    <w:rsid w:val="340948E1"/>
    <w:rsid w:val="340D3904"/>
    <w:rsid w:val="341212B1"/>
    <w:rsid w:val="341321BE"/>
    <w:rsid w:val="34155C01"/>
    <w:rsid w:val="34293255"/>
    <w:rsid w:val="34314E1D"/>
    <w:rsid w:val="34315823"/>
    <w:rsid w:val="34374868"/>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146D7"/>
    <w:rsid w:val="348440EB"/>
    <w:rsid w:val="348D33D3"/>
    <w:rsid w:val="3496737A"/>
    <w:rsid w:val="349C03F2"/>
    <w:rsid w:val="34A238C5"/>
    <w:rsid w:val="34AC0653"/>
    <w:rsid w:val="34AC2DE9"/>
    <w:rsid w:val="34B24855"/>
    <w:rsid w:val="34B3070C"/>
    <w:rsid w:val="34B55560"/>
    <w:rsid w:val="34B84D9B"/>
    <w:rsid w:val="34BE7103"/>
    <w:rsid w:val="34C82B00"/>
    <w:rsid w:val="34C9343D"/>
    <w:rsid w:val="34CE3369"/>
    <w:rsid w:val="34DC1C67"/>
    <w:rsid w:val="34E416EC"/>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4933C6"/>
    <w:rsid w:val="35505013"/>
    <w:rsid w:val="35522298"/>
    <w:rsid w:val="35531CAD"/>
    <w:rsid w:val="3559121F"/>
    <w:rsid w:val="356D51F7"/>
    <w:rsid w:val="35735BCB"/>
    <w:rsid w:val="357972DF"/>
    <w:rsid w:val="357D79D3"/>
    <w:rsid w:val="35804F9D"/>
    <w:rsid w:val="35843B49"/>
    <w:rsid w:val="35884385"/>
    <w:rsid w:val="35890016"/>
    <w:rsid w:val="358B0F26"/>
    <w:rsid w:val="35924A15"/>
    <w:rsid w:val="359753B1"/>
    <w:rsid w:val="35A251D2"/>
    <w:rsid w:val="35A25468"/>
    <w:rsid w:val="35AC56FE"/>
    <w:rsid w:val="35C3354B"/>
    <w:rsid w:val="35C635D8"/>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23BFE"/>
    <w:rsid w:val="36057267"/>
    <w:rsid w:val="360632C2"/>
    <w:rsid w:val="362131A7"/>
    <w:rsid w:val="362E1546"/>
    <w:rsid w:val="36330CA5"/>
    <w:rsid w:val="363828C2"/>
    <w:rsid w:val="363F061B"/>
    <w:rsid w:val="364236D7"/>
    <w:rsid w:val="3654563C"/>
    <w:rsid w:val="365763B3"/>
    <w:rsid w:val="366F70DE"/>
    <w:rsid w:val="367C0A7E"/>
    <w:rsid w:val="36856B5A"/>
    <w:rsid w:val="36883C27"/>
    <w:rsid w:val="36950061"/>
    <w:rsid w:val="36A32443"/>
    <w:rsid w:val="36A61ADA"/>
    <w:rsid w:val="36AC504E"/>
    <w:rsid w:val="36AE7AB6"/>
    <w:rsid w:val="36B45F51"/>
    <w:rsid w:val="36B7013F"/>
    <w:rsid w:val="36D37FB9"/>
    <w:rsid w:val="36D40D9D"/>
    <w:rsid w:val="36D71D0D"/>
    <w:rsid w:val="36DC4984"/>
    <w:rsid w:val="36E17BD4"/>
    <w:rsid w:val="36E30071"/>
    <w:rsid w:val="36E31151"/>
    <w:rsid w:val="36E61D1E"/>
    <w:rsid w:val="36EF4947"/>
    <w:rsid w:val="36F76FAD"/>
    <w:rsid w:val="37060D5C"/>
    <w:rsid w:val="370F6D7D"/>
    <w:rsid w:val="3711176D"/>
    <w:rsid w:val="37113E21"/>
    <w:rsid w:val="3715441F"/>
    <w:rsid w:val="37244D17"/>
    <w:rsid w:val="373F483B"/>
    <w:rsid w:val="37451D56"/>
    <w:rsid w:val="374A1080"/>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93CF4"/>
    <w:rsid w:val="38132FDB"/>
    <w:rsid w:val="381523AC"/>
    <w:rsid w:val="3816611D"/>
    <w:rsid w:val="381A7833"/>
    <w:rsid w:val="381D6FCC"/>
    <w:rsid w:val="38255502"/>
    <w:rsid w:val="382563C3"/>
    <w:rsid w:val="382B10C6"/>
    <w:rsid w:val="383D4592"/>
    <w:rsid w:val="384502C9"/>
    <w:rsid w:val="384757BF"/>
    <w:rsid w:val="384A568A"/>
    <w:rsid w:val="384C2E85"/>
    <w:rsid w:val="384D7A6B"/>
    <w:rsid w:val="38527F5E"/>
    <w:rsid w:val="38576EB1"/>
    <w:rsid w:val="385B78DA"/>
    <w:rsid w:val="385E7289"/>
    <w:rsid w:val="386B3647"/>
    <w:rsid w:val="386E60E1"/>
    <w:rsid w:val="386F64C6"/>
    <w:rsid w:val="38724636"/>
    <w:rsid w:val="38755246"/>
    <w:rsid w:val="38850F2D"/>
    <w:rsid w:val="388A7003"/>
    <w:rsid w:val="388F47CD"/>
    <w:rsid w:val="3891497A"/>
    <w:rsid w:val="38921D1F"/>
    <w:rsid w:val="38934709"/>
    <w:rsid w:val="3899545E"/>
    <w:rsid w:val="389B63CB"/>
    <w:rsid w:val="389D36E7"/>
    <w:rsid w:val="38A039DA"/>
    <w:rsid w:val="38AD0AAC"/>
    <w:rsid w:val="38AF121A"/>
    <w:rsid w:val="38B10DA8"/>
    <w:rsid w:val="38B94B51"/>
    <w:rsid w:val="38B976FB"/>
    <w:rsid w:val="38BB5EDA"/>
    <w:rsid w:val="38C6779A"/>
    <w:rsid w:val="38DC2A26"/>
    <w:rsid w:val="38DC5040"/>
    <w:rsid w:val="38EA0958"/>
    <w:rsid w:val="38EA292A"/>
    <w:rsid w:val="38EB3140"/>
    <w:rsid w:val="38F71493"/>
    <w:rsid w:val="38FC7F68"/>
    <w:rsid w:val="390150BD"/>
    <w:rsid w:val="39015BC8"/>
    <w:rsid w:val="39024400"/>
    <w:rsid w:val="390A29CF"/>
    <w:rsid w:val="390D7AA7"/>
    <w:rsid w:val="3910183F"/>
    <w:rsid w:val="39132EBE"/>
    <w:rsid w:val="39192D79"/>
    <w:rsid w:val="3923223F"/>
    <w:rsid w:val="392C3404"/>
    <w:rsid w:val="393D3E8F"/>
    <w:rsid w:val="393F3649"/>
    <w:rsid w:val="39434B25"/>
    <w:rsid w:val="39442CC4"/>
    <w:rsid w:val="39473C95"/>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B6654"/>
    <w:rsid w:val="399C23C2"/>
    <w:rsid w:val="399E7C65"/>
    <w:rsid w:val="39A118CD"/>
    <w:rsid w:val="39A337DD"/>
    <w:rsid w:val="39B0295E"/>
    <w:rsid w:val="39B1002C"/>
    <w:rsid w:val="39B75345"/>
    <w:rsid w:val="39BA1CF7"/>
    <w:rsid w:val="39BA2065"/>
    <w:rsid w:val="39C83126"/>
    <w:rsid w:val="39CD4753"/>
    <w:rsid w:val="39D037AF"/>
    <w:rsid w:val="39D466BD"/>
    <w:rsid w:val="39D7158B"/>
    <w:rsid w:val="39D9675C"/>
    <w:rsid w:val="39DC1B39"/>
    <w:rsid w:val="39DE503F"/>
    <w:rsid w:val="39E03897"/>
    <w:rsid w:val="39E125BA"/>
    <w:rsid w:val="39EE1B0B"/>
    <w:rsid w:val="39F17FFD"/>
    <w:rsid w:val="39F24322"/>
    <w:rsid w:val="39FA1859"/>
    <w:rsid w:val="39FE1307"/>
    <w:rsid w:val="3A03384A"/>
    <w:rsid w:val="3A066160"/>
    <w:rsid w:val="3A083121"/>
    <w:rsid w:val="3A0D48B1"/>
    <w:rsid w:val="3A1810FA"/>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36647"/>
    <w:rsid w:val="3A9E4B32"/>
    <w:rsid w:val="3A9F1B2C"/>
    <w:rsid w:val="3AA00BCD"/>
    <w:rsid w:val="3AA04C49"/>
    <w:rsid w:val="3AA54470"/>
    <w:rsid w:val="3AA913CF"/>
    <w:rsid w:val="3AB86069"/>
    <w:rsid w:val="3AC036CC"/>
    <w:rsid w:val="3AC205A6"/>
    <w:rsid w:val="3AC257A4"/>
    <w:rsid w:val="3AC334CD"/>
    <w:rsid w:val="3ACF5E01"/>
    <w:rsid w:val="3AD16134"/>
    <w:rsid w:val="3AD17EBD"/>
    <w:rsid w:val="3ADB2291"/>
    <w:rsid w:val="3ADD199D"/>
    <w:rsid w:val="3ADE382E"/>
    <w:rsid w:val="3AEA3CFC"/>
    <w:rsid w:val="3AF044A5"/>
    <w:rsid w:val="3AF153E6"/>
    <w:rsid w:val="3AFC4CC9"/>
    <w:rsid w:val="3B00301D"/>
    <w:rsid w:val="3B031629"/>
    <w:rsid w:val="3B1752EE"/>
    <w:rsid w:val="3B1C35AC"/>
    <w:rsid w:val="3B1F0CAE"/>
    <w:rsid w:val="3B22468C"/>
    <w:rsid w:val="3B292A67"/>
    <w:rsid w:val="3B3155AA"/>
    <w:rsid w:val="3B3E0B10"/>
    <w:rsid w:val="3B4F1508"/>
    <w:rsid w:val="3B580D61"/>
    <w:rsid w:val="3B5908EC"/>
    <w:rsid w:val="3B64699C"/>
    <w:rsid w:val="3B696BF9"/>
    <w:rsid w:val="3B6F0DCA"/>
    <w:rsid w:val="3B754E06"/>
    <w:rsid w:val="3B7B2B0A"/>
    <w:rsid w:val="3B7C7B97"/>
    <w:rsid w:val="3B8372AE"/>
    <w:rsid w:val="3B914065"/>
    <w:rsid w:val="3B9F483C"/>
    <w:rsid w:val="3BB249F7"/>
    <w:rsid w:val="3BBE3122"/>
    <w:rsid w:val="3BC20515"/>
    <w:rsid w:val="3BC53C74"/>
    <w:rsid w:val="3BC60370"/>
    <w:rsid w:val="3BC62C0D"/>
    <w:rsid w:val="3BC772AB"/>
    <w:rsid w:val="3BC812C8"/>
    <w:rsid w:val="3BD741DE"/>
    <w:rsid w:val="3BE7491F"/>
    <w:rsid w:val="3BE82033"/>
    <w:rsid w:val="3BEF3F98"/>
    <w:rsid w:val="3BF01125"/>
    <w:rsid w:val="3BF1165C"/>
    <w:rsid w:val="3BF82655"/>
    <w:rsid w:val="3BF90B59"/>
    <w:rsid w:val="3C035D20"/>
    <w:rsid w:val="3C0C1C74"/>
    <w:rsid w:val="3C12184A"/>
    <w:rsid w:val="3C165216"/>
    <w:rsid w:val="3C20030B"/>
    <w:rsid w:val="3C220A63"/>
    <w:rsid w:val="3C257E8D"/>
    <w:rsid w:val="3C286FD8"/>
    <w:rsid w:val="3C326DEB"/>
    <w:rsid w:val="3C393537"/>
    <w:rsid w:val="3C3C1378"/>
    <w:rsid w:val="3C497D33"/>
    <w:rsid w:val="3C5A342C"/>
    <w:rsid w:val="3C5C0867"/>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FD4D35"/>
    <w:rsid w:val="3D064D69"/>
    <w:rsid w:val="3D0E3667"/>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6060"/>
    <w:rsid w:val="3D640E16"/>
    <w:rsid w:val="3D67132F"/>
    <w:rsid w:val="3D7B0D27"/>
    <w:rsid w:val="3D7E27A0"/>
    <w:rsid w:val="3D874F51"/>
    <w:rsid w:val="3D896CEB"/>
    <w:rsid w:val="3D9A2D6C"/>
    <w:rsid w:val="3D9D0681"/>
    <w:rsid w:val="3DA2325F"/>
    <w:rsid w:val="3DAF1596"/>
    <w:rsid w:val="3DB52668"/>
    <w:rsid w:val="3DD3077A"/>
    <w:rsid w:val="3DDF7A0D"/>
    <w:rsid w:val="3DFD4BBE"/>
    <w:rsid w:val="3E00097B"/>
    <w:rsid w:val="3E011326"/>
    <w:rsid w:val="3E024B7B"/>
    <w:rsid w:val="3E104548"/>
    <w:rsid w:val="3E19435F"/>
    <w:rsid w:val="3E1B47C8"/>
    <w:rsid w:val="3E20393D"/>
    <w:rsid w:val="3E205773"/>
    <w:rsid w:val="3E264105"/>
    <w:rsid w:val="3E264903"/>
    <w:rsid w:val="3E2806A1"/>
    <w:rsid w:val="3E286D72"/>
    <w:rsid w:val="3E2E35CB"/>
    <w:rsid w:val="3E31025E"/>
    <w:rsid w:val="3E342DA3"/>
    <w:rsid w:val="3E471ABE"/>
    <w:rsid w:val="3E4755F9"/>
    <w:rsid w:val="3E492A39"/>
    <w:rsid w:val="3E4B1409"/>
    <w:rsid w:val="3E556354"/>
    <w:rsid w:val="3E6336EF"/>
    <w:rsid w:val="3E660D1B"/>
    <w:rsid w:val="3E6E2E9E"/>
    <w:rsid w:val="3E8222F7"/>
    <w:rsid w:val="3E8258B1"/>
    <w:rsid w:val="3E8821CE"/>
    <w:rsid w:val="3E92738B"/>
    <w:rsid w:val="3E944E87"/>
    <w:rsid w:val="3E99456A"/>
    <w:rsid w:val="3EA0570F"/>
    <w:rsid w:val="3EA2409C"/>
    <w:rsid w:val="3EA758E3"/>
    <w:rsid w:val="3EAD3D57"/>
    <w:rsid w:val="3EAF02B7"/>
    <w:rsid w:val="3EB1188E"/>
    <w:rsid w:val="3EB428B4"/>
    <w:rsid w:val="3EBD63D7"/>
    <w:rsid w:val="3EC07733"/>
    <w:rsid w:val="3EC172CA"/>
    <w:rsid w:val="3EC334A7"/>
    <w:rsid w:val="3EC678BC"/>
    <w:rsid w:val="3ECC70B0"/>
    <w:rsid w:val="3ED01824"/>
    <w:rsid w:val="3EE067CA"/>
    <w:rsid w:val="3EE919E0"/>
    <w:rsid w:val="3EEF26AB"/>
    <w:rsid w:val="3EF21C38"/>
    <w:rsid w:val="3EF57D05"/>
    <w:rsid w:val="3EF96B38"/>
    <w:rsid w:val="3F002CCF"/>
    <w:rsid w:val="3F0566FF"/>
    <w:rsid w:val="3F0605BE"/>
    <w:rsid w:val="3F06365D"/>
    <w:rsid w:val="3F0A3CA5"/>
    <w:rsid w:val="3F0B1DB8"/>
    <w:rsid w:val="3F0C44E7"/>
    <w:rsid w:val="3F0E6EA3"/>
    <w:rsid w:val="3F122278"/>
    <w:rsid w:val="3F155D82"/>
    <w:rsid w:val="3F1B7922"/>
    <w:rsid w:val="3F261DEC"/>
    <w:rsid w:val="3F305E06"/>
    <w:rsid w:val="3F3737F8"/>
    <w:rsid w:val="3F453E8A"/>
    <w:rsid w:val="3F47737F"/>
    <w:rsid w:val="3F523976"/>
    <w:rsid w:val="3F52626A"/>
    <w:rsid w:val="3F5322DF"/>
    <w:rsid w:val="3F556A35"/>
    <w:rsid w:val="3F5867B3"/>
    <w:rsid w:val="3F595294"/>
    <w:rsid w:val="3F5A301C"/>
    <w:rsid w:val="3F637202"/>
    <w:rsid w:val="3F65418C"/>
    <w:rsid w:val="3F664F14"/>
    <w:rsid w:val="3F6763B0"/>
    <w:rsid w:val="3F6D1D36"/>
    <w:rsid w:val="3F6D2017"/>
    <w:rsid w:val="3F7339EB"/>
    <w:rsid w:val="3F770167"/>
    <w:rsid w:val="3F7D65D1"/>
    <w:rsid w:val="3F836296"/>
    <w:rsid w:val="3F9526FD"/>
    <w:rsid w:val="3F960218"/>
    <w:rsid w:val="3F9956BA"/>
    <w:rsid w:val="3F9B508E"/>
    <w:rsid w:val="3FA01128"/>
    <w:rsid w:val="3FA10F73"/>
    <w:rsid w:val="3FA51002"/>
    <w:rsid w:val="3FA5548C"/>
    <w:rsid w:val="3FAE5C18"/>
    <w:rsid w:val="3FB1448E"/>
    <w:rsid w:val="3FB33F0F"/>
    <w:rsid w:val="3FB56B87"/>
    <w:rsid w:val="3FB827B0"/>
    <w:rsid w:val="3FB9798A"/>
    <w:rsid w:val="3FBC4DF5"/>
    <w:rsid w:val="3FBE226E"/>
    <w:rsid w:val="3FC74EA5"/>
    <w:rsid w:val="3FC80A13"/>
    <w:rsid w:val="3FC924C5"/>
    <w:rsid w:val="3FD001E0"/>
    <w:rsid w:val="3FD35125"/>
    <w:rsid w:val="3FD436D8"/>
    <w:rsid w:val="3FDD5AA3"/>
    <w:rsid w:val="3FDD60EB"/>
    <w:rsid w:val="3FE1611D"/>
    <w:rsid w:val="3FE9762E"/>
    <w:rsid w:val="3FEB7EF7"/>
    <w:rsid w:val="3FF0534A"/>
    <w:rsid w:val="3FF07D9D"/>
    <w:rsid w:val="3FFC6AA1"/>
    <w:rsid w:val="3FFE725C"/>
    <w:rsid w:val="400D4689"/>
    <w:rsid w:val="40171E63"/>
    <w:rsid w:val="401B305E"/>
    <w:rsid w:val="401C023A"/>
    <w:rsid w:val="401E624D"/>
    <w:rsid w:val="403C6E09"/>
    <w:rsid w:val="403E0A98"/>
    <w:rsid w:val="4040700B"/>
    <w:rsid w:val="4049653A"/>
    <w:rsid w:val="40505926"/>
    <w:rsid w:val="405074F9"/>
    <w:rsid w:val="40592E1A"/>
    <w:rsid w:val="40742B10"/>
    <w:rsid w:val="40851F94"/>
    <w:rsid w:val="40860806"/>
    <w:rsid w:val="408727EE"/>
    <w:rsid w:val="40881B05"/>
    <w:rsid w:val="408B015C"/>
    <w:rsid w:val="408D2092"/>
    <w:rsid w:val="40987E91"/>
    <w:rsid w:val="40AE535D"/>
    <w:rsid w:val="40B323C5"/>
    <w:rsid w:val="40B40F93"/>
    <w:rsid w:val="40B4759E"/>
    <w:rsid w:val="40B77C21"/>
    <w:rsid w:val="40BB1B3B"/>
    <w:rsid w:val="40BE2CAE"/>
    <w:rsid w:val="40C87F0D"/>
    <w:rsid w:val="40E13187"/>
    <w:rsid w:val="40E4111E"/>
    <w:rsid w:val="40F110C9"/>
    <w:rsid w:val="40F71EFC"/>
    <w:rsid w:val="40FA7D3C"/>
    <w:rsid w:val="40FC6040"/>
    <w:rsid w:val="41013098"/>
    <w:rsid w:val="41046C1A"/>
    <w:rsid w:val="410A66D3"/>
    <w:rsid w:val="411252F5"/>
    <w:rsid w:val="41216561"/>
    <w:rsid w:val="4126157E"/>
    <w:rsid w:val="412E1703"/>
    <w:rsid w:val="41341D04"/>
    <w:rsid w:val="41463814"/>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7534C"/>
    <w:rsid w:val="41AE168E"/>
    <w:rsid w:val="41B000EA"/>
    <w:rsid w:val="41B625DB"/>
    <w:rsid w:val="41B75B9A"/>
    <w:rsid w:val="41BB28C5"/>
    <w:rsid w:val="41C505B5"/>
    <w:rsid w:val="41D7643D"/>
    <w:rsid w:val="41D80DF6"/>
    <w:rsid w:val="41F41099"/>
    <w:rsid w:val="41F4144D"/>
    <w:rsid w:val="41F425A0"/>
    <w:rsid w:val="41FD1E4D"/>
    <w:rsid w:val="42004A07"/>
    <w:rsid w:val="42036CED"/>
    <w:rsid w:val="420445BE"/>
    <w:rsid w:val="42044B55"/>
    <w:rsid w:val="4210342F"/>
    <w:rsid w:val="42106699"/>
    <w:rsid w:val="4213466A"/>
    <w:rsid w:val="421D3532"/>
    <w:rsid w:val="422747DE"/>
    <w:rsid w:val="423D7E2C"/>
    <w:rsid w:val="42405192"/>
    <w:rsid w:val="4253494B"/>
    <w:rsid w:val="42563DD4"/>
    <w:rsid w:val="425F0874"/>
    <w:rsid w:val="42605991"/>
    <w:rsid w:val="42624CEC"/>
    <w:rsid w:val="42667AD5"/>
    <w:rsid w:val="42672F11"/>
    <w:rsid w:val="426B2083"/>
    <w:rsid w:val="42745271"/>
    <w:rsid w:val="42746AFF"/>
    <w:rsid w:val="427A2426"/>
    <w:rsid w:val="428622E0"/>
    <w:rsid w:val="428740C5"/>
    <w:rsid w:val="4295023B"/>
    <w:rsid w:val="42A72E3E"/>
    <w:rsid w:val="42A9771E"/>
    <w:rsid w:val="42AB3CF1"/>
    <w:rsid w:val="42AF06BF"/>
    <w:rsid w:val="42AF0D80"/>
    <w:rsid w:val="42AF744D"/>
    <w:rsid w:val="42B57D24"/>
    <w:rsid w:val="42B97DE2"/>
    <w:rsid w:val="42BE1411"/>
    <w:rsid w:val="42BF0482"/>
    <w:rsid w:val="42C3638C"/>
    <w:rsid w:val="42C8399F"/>
    <w:rsid w:val="42CC1C77"/>
    <w:rsid w:val="42CE7CBC"/>
    <w:rsid w:val="42E67A2D"/>
    <w:rsid w:val="42EF6EDD"/>
    <w:rsid w:val="42F63370"/>
    <w:rsid w:val="4303189E"/>
    <w:rsid w:val="43043B4B"/>
    <w:rsid w:val="430C0701"/>
    <w:rsid w:val="431D662D"/>
    <w:rsid w:val="431D7413"/>
    <w:rsid w:val="43230977"/>
    <w:rsid w:val="43260906"/>
    <w:rsid w:val="4329778C"/>
    <w:rsid w:val="432A433E"/>
    <w:rsid w:val="432F48E4"/>
    <w:rsid w:val="433451E7"/>
    <w:rsid w:val="433454E3"/>
    <w:rsid w:val="43380FA2"/>
    <w:rsid w:val="433914CB"/>
    <w:rsid w:val="433B21AA"/>
    <w:rsid w:val="434030C7"/>
    <w:rsid w:val="43413F90"/>
    <w:rsid w:val="434321EE"/>
    <w:rsid w:val="434C3803"/>
    <w:rsid w:val="4357411B"/>
    <w:rsid w:val="43624524"/>
    <w:rsid w:val="436E4602"/>
    <w:rsid w:val="43773B38"/>
    <w:rsid w:val="437C303F"/>
    <w:rsid w:val="437E59F4"/>
    <w:rsid w:val="437F0235"/>
    <w:rsid w:val="438108B1"/>
    <w:rsid w:val="438127FD"/>
    <w:rsid w:val="438C318F"/>
    <w:rsid w:val="438D2962"/>
    <w:rsid w:val="439125BA"/>
    <w:rsid w:val="439B6E00"/>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A20D7"/>
    <w:rsid w:val="440433D0"/>
    <w:rsid w:val="44081998"/>
    <w:rsid w:val="440A1D09"/>
    <w:rsid w:val="44105FE6"/>
    <w:rsid w:val="44163757"/>
    <w:rsid w:val="442C57B9"/>
    <w:rsid w:val="442E6250"/>
    <w:rsid w:val="44304862"/>
    <w:rsid w:val="44336B29"/>
    <w:rsid w:val="44411D78"/>
    <w:rsid w:val="444255C8"/>
    <w:rsid w:val="44555450"/>
    <w:rsid w:val="44565401"/>
    <w:rsid w:val="445C184B"/>
    <w:rsid w:val="445C1F8C"/>
    <w:rsid w:val="445C2CEB"/>
    <w:rsid w:val="44623D2C"/>
    <w:rsid w:val="4469425C"/>
    <w:rsid w:val="446A38D3"/>
    <w:rsid w:val="446C5925"/>
    <w:rsid w:val="44715BA6"/>
    <w:rsid w:val="44744DE1"/>
    <w:rsid w:val="4480267E"/>
    <w:rsid w:val="44813BCD"/>
    <w:rsid w:val="44825908"/>
    <w:rsid w:val="448F333F"/>
    <w:rsid w:val="449A5595"/>
    <w:rsid w:val="44A273D7"/>
    <w:rsid w:val="44A3165A"/>
    <w:rsid w:val="44A949BB"/>
    <w:rsid w:val="44B47D28"/>
    <w:rsid w:val="44BE6AFA"/>
    <w:rsid w:val="44BE7B38"/>
    <w:rsid w:val="44C10C52"/>
    <w:rsid w:val="44C4343F"/>
    <w:rsid w:val="44CC5637"/>
    <w:rsid w:val="44CE1860"/>
    <w:rsid w:val="44D01EAB"/>
    <w:rsid w:val="44D61276"/>
    <w:rsid w:val="44D842C0"/>
    <w:rsid w:val="44F05372"/>
    <w:rsid w:val="44F550F4"/>
    <w:rsid w:val="44FB2020"/>
    <w:rsid w:val="450005C9"/>
    <w:rsid w:val="450E225C"/>
    <w:rsid w:val="450E5F3E"/>
    <w:rsid w:val="45156B4C"/>
    <w:rsid w:val="451C3C3F"/>
    <w:rsid w:val="45202195"/>
    <w:rsid w:val="45206477"/>
    <w:rsid w:val="45282E33"/>
    <w:rsid w:val="45361C96"/>
    <w:rsid w:val="45367180"/>
    <w:rsid w:val="453936A0"/>
    <w:rsid w:val="45404081"/>
    <w:rsid w:val="454B27CA"/>
    <w:rsid w:val="4555071F"/>
    <w:rsid w:val="455B027F"/>
    <w:rsid w:val="45634F36"/>
    <w:rsid w:val="45642839"/>
    <w:rsid w:val="456433C3"/>
    <w:rsid w:val="4566286A"/>
    <w:rsid w:val="456653F0"/>
    <w:rsid w:val="456745BB"/>
    <w:rsid w:val="45677DA7"/>
    <w:rsid w:val="45736E48"/>
    <w:rsid w:val="45743F66"/>
    <w:rsid w:val="45761FD8"/>
    <w:rsid w:val="457B0C49"/>
    <w:rsid w:val="45825E81"/>
    <w:rsid w:val="45864B77"/>
    <w:rsid w:val="458A06CD"/>
    <w:rsid w:val="458D3A63"/>
    <w:rsid w:val="4597177B"/>
    <w:rsid w:val="45A85821"/>
    <w:rsid w:val="45AA0EA4"/>
    <w:rsid w:val="45AC57A6"/>
    <w:rsid w:val="45AF03CF"/>
    <w:rsid w:val="45B23BD8"/>
    <w:rsid w:val="45B31674"/>
    <w:rsid w:val="45B52BBB"/>
    <w:rsid w:val="45C3178B"/>
    <w:rsid w:val="45C56C6C"/>
    <w:rsid w:val="45C67344"/>
    <w:rsid w:val="45C81474"/>
    <w:rsid w:val="45C85D55"/>
    <w:rsid w:val="45C91BC6"/>
    <w:rsid w:val="45CD1312"/>
    <w:rsid w:val="45CE3F02"/>
    <w:rsid w:val="45D15325"/>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35D1"/>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BC2272"/>
    <w:rsid w:val="46D62B88"/>
    <w:rsid w:val="46D929E4"/>
    <w:rsid w:val="46DA3CDF"/>
    <w:rsid w:val="46DD3A97"/>
    <w:rsid w:val="46E122D5"/>
    <w:rsid w:val="46E51519"/>
    <w:rsid w:val="46E72217"/>
    <w:rsid w:val="46EB56D0"/>
    <w:rsid w:val="46EF6BE5"/>
    <w:rsid w:val="46F94629"/>
    <w:rsid w:val="46FE33A2"/>
    <w:rsid w:val="4700310A"/>
    <w:rsid w:val="47034B98"/>
    <w:rsid w:val="47067487"/>
    <w:rsid w:val="470675DD"/>
    <w:rsid w:val="47102BE0"/>
    <w:rsid w:val="47115999"/>
    <w:rsid w:val="47123D8D"/>
    <w:rsid w:val="471651A2"/>
    <w:rsid w:val="47195C33"/>
    <w:rsid w:val="472322A2"/>
    <w:rsid w:val="472E14A0"/>
    <w:rsid w:val="472F2F47"/>
    <w:rsid w:val="47304A60"/>
    <w:rsid w:val="47321070"/>
    <w:rsid w:val="47383706"/>
    <w:rsid w:val="473F3443"/>
    <w:rsid w:val="47442FEA"/>
    <w:rsid w:val="47476898"/>
    <w:rsid w:val="474825BA"/>
    <w:rsid w:val="474D1ED5"/>
    <w:rsid w:val="47524966"/>
    <w:rsid w:val="475E1AB6"/>
    <w:rsid w:val="4764753D"/>
    <w:rsid w:val="47663624"/>
    <w:rsid w:val="4779594B"/>
    <w:rsid w:val="477E3FE9"/>
    <w:rsid w:val="47861281"/>
    <w:rsid w:val="478E58BD"/>
    <w:rsid w:val="478E7E15"/>
    <w:rsid w:val="47933AFC"/>
    <w:rsid w:val="47946581"/>
    <w:rsid w:val="47997ECC"/>
    <w:rsid w:val="479C04C3"/>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B064E"/>
    <w:rsid w:val="48152A57"/>
    <w:rsid w:val="481B77EC"/>
    <w:rsid w:val="481F00E4"/>
    <w:rsid w:val="48230137"/>
    <w:rsid w:val="482A5E63"/>
    <w:rsid w:val="48324267"/>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010C7"/>
    <w:rsid w:val="48B2080D"/>
    <w:rsid w:val="48B5518F"/>
    <w:rsid w:val="48BA7016"/>
    <w:rsid w:val="48BE6136"/>
    <w:rsid w:val="48C17060"/>
    <w:rsid w:val="48D22DB3"/>
    <w:rsid w:val="48D93445"/>
    <w:rsid w:val="48D9627C"/>
    <w:rsid w:val="48DA1D9C"/>
    <w:rsid w:val="48DC218D"/>
    <w:rsid w:val="48DF3D7D"/>
    <w:rsid w:val="48DF3DBB"/>
    <w:rsid w:val="48E4725A"/>
    <w:rsid w:val="48E915DE"/>
    <w:rsid w:val="48EB611E"/>
    <w:rsid w:val="48F7177C"/>
    <w:rsid w:val="48F9720D"/>
    <w:rsid w:val="490008E6"/>
    <w:rsid w:val="490425AB"/>
    <w:rsid w:val="49047124"/>
    <w:rsid w:val="49076238"/>
    <w:rsid w:val="49104838"/>
    <w:rsid w:val="49200C47"/>
    <w:rsid w:val="49250443"/>
    <w:rsid w:val="49267368"/>
    <w:rsid w:val="49276313"/>
    <w:rsid w:val="492F1B04"/>
    <w:rsid w:val="4930158D"/>
    <w:rsid w:val="493166F2"/>
    <w:rsid w:val="493E2578"/>
    <w:rsid w:val="4941564C"/>
    <w:rsid w:val="4943084D"/>
    <w:rsid w:val="495B2F5A"/>
    <w:rsid w:val="49660B64"/>
    <w:rsid w:val="496E056A"/>
    <w:rsid w:val="497930F9"/>
    <w:rsid w:val="497E5F0E"/>
    <w:rsid w:val="49863345"/>
    <w:rsid w:val="49895BF9"/>
    <w:rsid w:val="49896889"/>
    <w:rsid w:val="498B006E"/>
    <w:rsid w:val="498F2FB2"/>
    <w:rsid w:val="499C126E"/>
    <w:rsid w:val="49A20032"/>
    <w:rsid w:val="49A82756"/>
    <w:rsid w:val="49A86BF4"/>
    <w:rsid w:val="49A902DE"/>
    <w:rsid w:val="49A961CD"/>
    <w:rsid w:val="49B337E8"/>
    <w:rsid w:val="49B57903"/>
    <w:rsid w:val="49BB0B72"/>
    <w:rsid w:val="49BD536F"/>
    <w:rsid w:val="49CD3C98"/>
    <w:rsid w:val="49E27CCF"/>
    <w:rsid w:val="49F44446"/>
    <w:rsid w:val="49F543E3"/>
    <w:rsid w:val="49FA00AE"/>
    <w:rsid w:val="4A037F7B"/>
    <w:rsid w:val="4A0C3345"/>
    <w:rsid w:val="4A12511A"/>
    <w:rsid w:val="4A1C6B3C"/>
    <w:rsid w:val="4A272B59"/>
    <w:rsid w:val="4A2A339F"/>
    <w:rsid w:val="4A2A4742"/>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B1C95"/>
    <w:rsid w:val="4A7C6D92"/>
    <w:rsid w:val="4A80680F"/>
    <w:rsid w:val="4A8141FB"/>
    <w:rsid w:val="4A8B2BFF"/>
    <w:rsid w:val="4A8B46F9"/>
    <w:rsid w:val="4A8C3D45"/>
    <w:rsid w:val="4A996D58"/>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ED546D"/>
    <w:rsid w:val="4AF15169"/>
    <w:rsid w:val="4AF33411"/>
    <w:rsid w:val="4AFC4739"/>
    <w:rsid w:val="4AFF7966"/>
    <w:rsid w:val="4B08211A"/>
    <w:rsid w:val="4B0F4D9F"/>
    <w:rsid w:val="4B2B654D"/>
    <w:rsid w:val="4B2D2A9B"/>
    <w:rsid w:val="4B313BE7"/>
    <w:rsid w:val="4B331125"/>
    <w:rsid w:val="4B3405F9"/>
    <w:rsid w:val="4B3B6A66"/>
    <w:rsid w:val="4B3F276A"/>
    <w:rsid w:val="4B425A4D"/>
    <w:rsid w:val="4B473804"/>
    <w:rsid w:val="4B5151AA"/>
    <w:rsid w:val="4B537CBF"/>
    <w:rsid w:val="4B550153"/>
    <w:rsid w:val="4B625E90"/>
    <w:rsid w:val="4B641191"/>
    <w:rsid w:val="4B694B3A"/>
    <w:rsid w:val="4B730932"/>
    <w:rsid w:val="4B76529F"/>
    <w:rsid w:val="4B797876"/>
    <w:rsid w:val="4B7A237E"/>
    <w:rsid w:val="4B815FB3"/>
    <w:rsid w:val="4B86443F"/>
    <w:rsid w:val="4B9A0C4D"/>
    <w:rsid w:val="4B9B3B70"/>
    <w:rsid w:val="4B9E7936"/>
    <w:rsid w:val="4BA62ACE"/>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449FC"/>
    <w:rsid w:val="4C380D78"/>
    <w:rsid w:val="4C3D0756"/>
    <w:rsid w:val="4C3D5FB7"/>
    <w:rsid w:val="4C4C1686"/>
    <w:rsid w:val="4C513E4B"/>
    <w:rsid w:val="4C603F1D"/>
    <w:rsid w:val="4C6211EA"/>
    <w:rsid w:val="4C635D18"/>
    <w:rsid w:val="4C670EB1"/>
    <w:rsid w:val="4C712086"/>
    <w:rsid w:val="4C7120EC"/>
    <w:rsid w:val="4C7B3D80"/>
    <w:rsid w:val="4C7C605E"/>
    <w:rsid w:val="4C7E2355"/>
    <w:rsid w:val="4C847264"/>
    <w:rsid w:val="4C970E7B"/>
    <w:rsid w:val="4CA371A5"/>
    <w:rsid w:val="4CC1054F"/>
    <w:rsid w:val="4CCB1948"/>
    <w:rsid w:val="4CCE079D"/>
    <w:rsid w:val="4CCE3699"/>
    <w:rsid w:val="4CEA4F4D"/>
    <w:rsid w:val="4CEC58DB"/>
    <w:rsid w:val="4CED4981"/>
    <w:rsid w:val="4CEF637A"/>
    <w:rsid w:val="4CF00FB6"/>
    <w:rsid w:val="4CF16277"/>
    <w:rsid w:val="4CF4672D"/>
    <w:rsid w:val="4CFA2AAF"/>
    <w:rsid w:val="4CFE26B6"/>
    <w:rsid w:val="4D0325CF"/>
    <w:rsid w:val="4D035A68"/>
    <w:rsid w:val="4D0F26CE"/>
    <w:rsid w:val="4D147026"/>
    <w:rsid w:val="4D1478EC"/>
    <w:rsid w:val="4D165C91"/>
    <w:rsid w:val="4D225412"/>
    <w:rsid w:val="4D235945"/>
    <w:rsid w:val="4D255F0E"/>
    <w:rsid w:val="4D2F06BA"/>
    <w:rsid w:val="4D304130"/>
    <w:rsid w:val="4D386B0D"/>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B559E"/>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1D303B"/>
    <w:rsid w:val="4E2B3781"/>
    <w:rsid w:val="4E337E4B"/>
    <w:rsid w:val="4E365771"/>
    <w:rsid w:val="4E3C3064"/>
    <w:rsid w:val="4E3C5DC0"/>
    <w:rsid w:val="4E446F8B"/>
    <w:rsid w:val="4E4D4DE2"/>
    <w:rsid w:val="4E5669BF"/>
    <w:rsid w:val="4E651EA6"/>
    <w:rsid w:val="4E6757B0"/>
    <w:rsid w:val="4E6C4048"/>
    <w:rsid w:val="4E783D17"/>
    <w:rsid w:val="4E805C19"/>
    <w:rsid w:val="4E836C4E"/>
    <w:rsid w:val="4E865BCD"/>
    <w:rsid w:val="4E8A6771"/>
    <w:rsid w:val="4E957162"/>
    <w:rsid w:val="4E9E60B6"/>
    <w:rsid w:val="4EA27ACB"/>
    <w:rsid w:val="4EA60E85"/>
    <w:rsid w:val="4EA753EE"/>
    <w:rsid w:val="4EAE3E03"/>
    <w:rsid w:val="4EB379F2"/>
    <w:rsid w:val="4EB838E0"/>
    <w:rsid w:val="4EBC3167"/>
    <w:rsid w:val="4EBC6632"/>
    <w:rsid w:val="4EBD4562"/>
    <w:rsid w:val="4EBD5620"/>
    <w:rsid w:val="4EBE0F4C"/>
    <w:rsid w:val="4EC258F4"/>
    <w:rsid w:val="4ECD0F14"/>
    <w:rsid w:val="4ED017E4"/>
    <w:rsid w:val="4ED03B4F"/>
    <w:rsid w:val="4ED43AE8"/>
    <w:rsid w:val="4EDC1716"/>
    <w:rsid w:val="4EDF6F4B"/>
    <w:rsid w:val="4EE24F10"/>
    <w:rsid w:val="4EE77077"/>
    <w:rsid w:val="4EE8461F"/>
    <w:rsid w:val="4F0206C2"/>
    <w:rsid w:val="4F06414B"/>
    <w:rsid w:val="4F19542F"/>
    <w:rsid w:val="4F1A4FD6"/>
    <w:rsid w:val="4F1C2B4C"/>
    <w:rsid w:val="4F1E1A5A"/>
    <w:rsid w:val="4F2D5479"/>
    <w:rsid w:val="4F2E4FDB"/>
    <w:rsid w:val="4F3127D8"/>
    <w:rsid w:val="4F353521"/>
    <w:rsid w:val="4F3B798B"/>
    <w:rsid w:val="4F424396"/>
    <w:rsid w:val="4F461737"/>
    <w:rsid w:val="4F4937A7"/>
    <w:rsid w:val="4F501AA5"/>
    <w:rsid w:val="4F507138"/>
    <w:rsid w:val="4F5431F2"/>
    <w:rsid w:val="4F594949"/>
    <w:rsid w:val="4F5A315B"/>
    <w:rsid w:val="4F664358"/>
    <w:rsid w:val="4F7041A7"/>
    <w:rsid w:val="4F7349ED"/>
    <w:rsid w:val="4F7C7D62"/>
    <w:rsid w:val="4F8366CD"/>
    <w:rsid w:val="4F88390E"/>
    <w:rsid w:val="4F8865D2"/>
    <w:rsid w:val="4F9102E3"/>
    <w:rsid w:val="4F9A400D"/>
    <w:rsid w:val="4FA11827"/>
    <w:rsid w:val="4FA57761"/>
    <w:rsid w:val="4FA82F77"/>
    <w:rsid w:val="4FAB07C1"/>
    <w:rsid w:val="4FC12B67"/>
    <w:rsid w:val="4FC87D84"/>
    <w:rsid w:val="4FD33643"/>
    <w:rsid w:val="4FD409F7"/>
    <w:rsid w:val="4FD41054"/>
    <w:rsid w:val="4FD66F8D"/>
    <w:rsid w:val="4FDB5605"/>
    <w:rsid w:val="4FDF7D08"/>
    <w:rsid w:val="4FE45662"/>
    <w:rsid w:val="4FE66728"/>
    <w:rsid w:val="4FE74DC2"/>
    <w:rsid w:val="4FF81090"/>
    <w:rsid w:val="4FFA1BE3"/>
    <w:rsid w:val="4FFF560B"/>
    <w:rsid w:val="50033BDE"/>
    <w:rsid w:val="50036BC4"/>
    <w:rsid w:val="500B0DCA"/>
    <w:rsid w:val="500C2A95"/>
    <w:rsid w:val="50133F8A"/>
    <w:rsid w:val="50140C07"/>
    <w:rsid w:val="50176E6F"/>
    <w:rsid w:val="50200664"/>
    <w:rsid w:val="502151EE"/>
    <w:rsid w:val="5022333C"/>
    <w:rsid w:val="50312196"/>
    <w:rsid w:val="503C506C"/>
    <w:rsid w:val="50417E32"/>
    <w:rsid w:val="5042052F"/>
    <w:rsid w:val="504768E3"/>
    <w:rsid w:val="504F0FB9"/>
    <w:rsid w:val="504F769B"/>
    <w:rsid w:val="50537FDD"/>
    <w:rsid w:val="50622728"/>
    <w:rsid w:val="507554C6"/>
    <w:rsid w:val="507D0063"/>
    <w:rsid w:val="50871317"/>
    <w:rsid w:val="508F1D63"/>
    <w:rsid w:val="508F6AC4"/>
    <w:rsid w:val="509631CF"/>
    <w:rsid w:val="509A55F2"/>
    <w:rsid w:val="509B6BFA"/>
    <w:rsid w:val="50A36924"/>
    <w:rsid w:val="50A732FC"/>
    <w:rsid w:val="50AA341E"/>
    <w:rsid w:val="50AB4E2F"/>
    <w:rsid w:val="50AC2418"/>
    <w:rsid w:val="50B421A0"/>
    <w:rsid w:val="50B70FED"/>
    <w:rsid w:val="50BA643F"/>
    <w:rsid w:val="50BC2897"/>
    <w:rsid w:val="50D2215B"/>
    <w:rsid w:val="50DA2205"/>
    <w:rsid w:val="50E57F59"/>
    <w:rsid w:val="50EA61D3"/>
    <w:rsid w:val="50FC41E2"/>
    <w:rsid w:val="510319B4"/>
    <w:rsid w:val="5109098F"/>
    <w:rsid w:val="510A4E7D"/>
    <w:rsid w:val="51187091"/>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D2A82"/>
    <w:rsid w:val="519E4C2D"/>
    <w:rsid w:val="51A15787"/>
    <w:rsid w:val="51A23180"/>
    <w:rsid w:val="51A44533"/>
    <w:rsid w:val="51B12C2B"/>
    <w:rsid w:val="51B625E5"/>
    <w:rsid w:val="51BB3190"/>
    <w:rsid w:val="51C31AB3"/>
    <w:rsid w:val="51C50057"/>
    <w:rsid w:val="51C83A24"/>
    <w:rsid w:val="51CA6470"/>
    <w:rsid w:val="51CC0195"/>
    <w:rsid w:val="51CF3752"/>
    <w:rsid w:val="51D221A2"/>
    <w:rsid w:val="51DB590D"/>
    <w:rsid w:val="51DC7D4F"/>
    <w:rsid w:val="51E372D3"/>
    <w:rsid w:val="51E952C3"/>
    <w:rsid w:val="51F763C2"/>
    <w:rsid w:val="52082F0E"/>
    <w:rsid w:val="520A4FD4"/>
    <w:rsid w:val="520A6A40"/>
    <w:rsid w:val="520B29B2"/>
    <w:rsid w:val="52165ED6"/>
    <w:rsid w:val="52170D68"/>
    <w:rsid w:val="521752D9"/>
    <w:rsid w:val="521832FA"/>
    <w:rsid w:val="521B5CF1"/>
    <w:rsid w:val="521E330E"/>
    <w:rsid w:val="52210969"/>
    <w:rsid w:val="5224158C"/>
    <w:rsid w:val="52250331"/>
    <w:rsid w:val="52251937"/>
    <w:rsid w:val="52291DE3"/>
    <w:rsid w:val="522D32DC"/>
    <w:rsid w:val="522E032A"/>
    <w:rsid w:val="522E48FA"/>
    <w:rsid w:val="52436B21"/>
    <w:rsid w:val="52476CBE"/>
    <w:rsid w:val="52486521"/>
    <w:rsid w:val="52541687"/>
    <w:rsid w:val="525808AD"/>
    <w:rsid w:val="52606B21"/>
    <w:rsid w:val="526142ED"/>
    <w:rsid w:val="5261554B"/>
    <w:rsid w:val="52675267"/>
    <w:rsid w:val="526A42D2"/>
    <w:rsid w:val="527456A0"/>
    <w:rsid w:val="52775B19"/>
    <w:rsid w:val="527820D3"/>
    <w:rsid w:val="527925C0"/>
    <w:rsid w:val="5286536B"/>
    <w:rsid w:val="528D1636"/>
    <w:rsid w:val="528F6528"/>
    <w:rsid w:val="52927920"/>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2EF275D"/>
    <w:rsid w:val="52F87188"/>
    <w:rsid w:val="53035F10"/>
    <w:rsid w:val="530445BC"/>
    <w:rsid w:val="53073E74"/>
    <w:rsid w:val="53130812"/>
    <w:rsid w:val="53176C42"/>
    <w:rsid w:val="53184746"/>
    <w:rsid w:val="531972CB"/>
    <w:rsid w:val="53227F73"/>
    <w:rsid w:val="532342A1"/>
    <w:rsid w:val="532E4AC7"/>
    <w:rsid w:val="533E55DF"/>
    <w:rsid w:val="5360600D"/>
    <w:rsid w:val="53703765"/>
    <w:rsid w:val="5376095E"/>
    <w:rsid w:val="537A04E8"/>
    <w:rsid w:val="537D7719"/>
    <w:rsid w:val="53874180"/>
    <w:rsid w:val="53910730"/>
    <w:rsid w:val="53991F46"/>
    <w:rsid w:val="539D00C0"/>
    <w:rsid w:val="53A34926"/>
    <w:rsid w:val="53A430C7"/>
    <w:rsid w:val="53B10861"/>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57FE2"/>
    <w:rsid w:val="5428581F"/>
    <w:rsid w:val="542B47E5"/>
    <w:rsid w:val="54312A0A"/>
    <w:rsid w:val="54451C08"/>
    <w:rsid w:val="54456D76"/>
    <w:rsid w:val="5450152B"/>
    <w:rsid w:val="545412A1"/>
    <w:rsid w:val="54591BCD"/>
    <w:rsid w:val="545A1A3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649FB"/>
    <w:rsid w:val="54C766D3"/>
    <w:rsid w:val="54DB3842"/>
    <w:rsid w:val="54DB74B3"/>
    <w:rsid w:val="54DF4A41"/>
    <w:rsid w:val="54E32310"/>
    <w:rsid w:val="54E35B83"/>
    <w:rsid w:val="54E5570D"/>
    <w:rsid w:val="54E656A9"/>
    <w:rsid w:val="54E85406"/>
    <w:rsid w:val="54EE0227"/>
    <w:rsid w:val="54EE4DEC"/>
    <w:rsid w:val="54F1490A"/>
    <w:rsid w:val="54F93AE7"/>
    <w:rsid w:val="54F97DEB"/>
    <w:rsid w:val="55012EF3"/>
    <w:rsid w:val="55022588"/>
    <w:rsid w:val="550D4E7F"/>
    <w:rsid w:val="55147F46"/>
    <w:rsid w:val="551B3ADB"/>
    <w:rsid w:val="551F7D03"/>
    <w:rsid w:val="55252910"/>
    <w:rsid w:val="552677BE"/>
    <w:rsid w:val="552E2F45"/>
    <w:rsid w:val="55313992"/>
    <w:rsid w:val="553772EA"/>
    <w:rsid w:val="553A6D2E"/>
    <w:rsid w:val="5546635B"/>
    <w:rsid w:val="55507B46"/>
    <w:rsid w:val="55534568"/>
    <w:rsid w:val="555A0EDC"/>
    <w:rsid w:val="55677E49"/>
    <w:rsid w:val="55692EAC"/>
    <w:rsid w:val="55714147"/>
    <w:rsid w:val="557C295E"/>
    <w:rsid w:val="557C5B0B"/>
    <w:rsid w:val="55806AF4"/>
    <w:rsid w:val="55812735"/>
    <w:rsid w:val="55861EC8"/>
    <w:rsid w:val="5588140B"/>
    <w:rsid w:val="55891D85"/>
    <w:rsid w:val="5592013C"/>
    <w:rsid w:val="55A445F2"/>
    <w:rsid w:val="55A57957"/>
    <w:rsid w:val="55AA469C"/>
    <w:rsid w:val="55BC12E8"/>
    <w:rsid w:val="55BD3120"/>
    <w:rsid w:val="55BF56EA"/>
    <w:rsid w:val="55C103AC"/>
    <w:rsid w:val="55C423B5"/>
    <w:rsid w:val="55C6074D"/>
    <w:rsid w:val="55C86079"/>
    <w:rsid w:val="55CC5297"/>
    <w:rsid w:val="55D31938"/>
    <w:rsid w:val="55DA77E0"/>
    <w:rsid w:val="55EE6E58"/>
    <w:rsid w:val="55F2238E"/>
    <w:rsid w:val="55F24132"/>
    <w:rsid w:val="55FB05FF"/>
    <w:rsid w:val="55FC794D"/>
    <w:rsid w:val="56012A7B"/>
    <w:rsid w:val="56172C84"/>
    <w:rsid w:val="56206259"/>
    <w:rsid w:val="562219AC"/>
    <w:rsid w:val="56230DC5"/>
    <w:rsid w:val="562B59B0"/>
    <w:rsid w:val="56387876"/>
    <w:rsid w:val="56391384"/>
    <w:rsid w:val="563F06E3"/>
    <w:rsid w:val="564C27AB"/>
    <w:rsid w:val="565078DE"/>
    <w:rsid w:val="565222DD"/>
    <w:rsid w:val="565907FF"/>
    <w:rsid w:val="565D6940"/>
    <w:rsid w:val="566101A8"/>
    <w:rsid w:val="56666AC5"/>
    <w:rsid w:val="56701442"/>
    <w:rsid w:val="56793306"/>
    <w:rsid w:val="56797C74"/>
    <w:rsid w:val="568116C5"/>
    <w:rsid w:val="568F0B4D"/>
    <w:rsid w:val="5691640E"/>
    <w:rsid w:val="56927F4A"/>
    <w:rsid w:val="569C03A7"/>
    <w:rsid w:val="569E53D6"/>
    <w:rsid w:val="56A304C3"/>
    <w:rsid w:val="56AD16B1"/>
    <w:rsid w:val="56B44FF7"/>
    <w:rsid w:val="56B76AF7"/>
    <w:rsid w:val="56BA0EDB"/>
    <w:rsid w:val="56BA5BFC"/>
    <w:rsid w:val="56D60D34"/>
    <w:rsid w:val="56D76BB3"/>
    <w:rsid w:val="56DA1A1C"/>
    <w:rsid w:val="56E90EF6"/>
    <w:rsid w:val="56F50794"/>
    <w:rsid w:val="56F82259"/>
    <w:rsid w:val="56FC12BF"/>
    <w:rsid w:val="56FE5AE3"/>
    <w:rsid w:val="570255BE"/>
    <w:rsid w:val="570426CC"/>
    <w:rsid w:val="57100D05"/>
    <w:rsid w:val="57103E85"/>
    <w:rsid w:val="57167A78"/>
    <w:rsid w:val="571E4103"/>
    <w:rsid w:val="5724356E"/>
    <w:rsid w:val="573B1E04"/>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71EF"/>
    <w:rsid w:val="57B30CCB"/>
    <w:rsid w:val="57B82FE8"/>
    <w:rsid w:val="57BA183B"/>
    <w:rsid w:val="57BC21E8"/>
    <w:rsid w:val="57C563BF"/>
    <w:rsid w:val="57C64CE3"/>
    <w:rsid w:val="57CF1AC2"/>
    <w:rsid w:val="57CF411E"/>
    <w:rsid w:val="57CF6469"/>
    <w:rsid w:val="57D20F94"/>
    <w:rsid w:val="57E359C9"/>
    <w:rsid w:val="57E8494C"/>
    <w:rsid w:val="57F75230"/>
    <w:rsid w:val="57FA5E75"/>
    <w:rsid w:val="58000E35"/>
    <w:rsid w:val="58186CE6"/>
    <w:rsid w:val="58222E9F"/>
    <w:rsid w:val="58251D17"/>
    <w:rsid w:val="582D3231"/>
    <w:rsid w:val="58316A55"/>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545E6"/>
    <w:rsid w:val="58B60FB7"/>
    <w:rsid w:val="58BB01CF"/>
    <w:rsid w:val="58BD1D42"/>
    <w:rsid w:val="58C04526"/>
    <w:rsid w:val="58C15643"/>
    <w:rsid w:val="58C925C7"/>
    <w:rsid w:val="58D215DA"/>
    <w:rsid w:val="58DE296B"/>
    <w:rsid w:val="58E05B85"/>
    <w:rsid w:val="58F141D6"/>
    <w:rsid w:val="58F9654F"/>
    <w:rsid w:val="58F979E8"/>
    <w:rsid w:val="58FB6C25"/>
    <w:rsid w:val="58FE08ED"/>
    <w:rsid w:val="59061DAE"/>
    <w:rsid w:val="590E4EED"/>
    <w:rsid w:val="5914669F"/>
    <w:rsid w:val="591557DB"/>
    <w:rsid w:val="591A5C30"/>
    <w:rsid w:val="591C4B79"/>
    <w:rsid w:val="591F2957"/>
    <w:rsid w:val="59262A74"/>
    <w:rsid w:val="592F1CE2"/>
    <w:rsid w:val="59371CA9"/>
    <w:rsid w:val="593C5853"/>
    <w:rsid w:val="593E005D"/>
    <w:rsid w:val="5940158A"/>
    <w:rsid w:val="59454372"/>
    <w:rsid w:val="594606CC"/>
    <w:rsid w:val="594B6D49"/>
    <w:rsid w:val="59697600"/>
    <w:rsid w:val="596C25D4"/>
    <w:rsid w:val="597028E6"/>
    <w:rsid w:val="597D38D7"/>
    <w:rsid w:val="598910A1"/>
    <w:rsid w:val="598A75D0"/>
    <w:rsid w:val="59935094"/>
    <w:rsid w:val="5995496F"/>
    <w:rsid w:val="59A62A34"/>
    <w:rsid w:val="59AB1748"/>
    <w:rsid w:val="59AF2059"/>
    <w:rsid w:val="59B159CB"/>
    <w:rsid w:val="59B51848"/>
    <w:rsid w:val="59B80057"/>
    <w:rsid w:val="59BC67AC"/>
    <w:rsid w:val="59C03938"/>
    <w:rsid w:val="59C811F1"/>
    <w:rsid w:val="59C83D69"/>
    <w:rsid w:val="59CB01B4"/>
    <w:rsid w:val="59CC0DAD"/>
    <w:rsid w:val="59CF1C3E"/>
    <w:rsid w:val="59D87B36"/>
    <w:rsid w:val="59E57113"/>
    <w:rsid w:val="59E91981"/>
    <w:rsid w:val="59F22823"/>
    <w:rsid w:val="59F35BF5"/>
    <w:rsid w:val="59F42704"/>
    <w:rsid w:val="59FD1C88"/>
    <w:rsid w:val="5A0020BE"/>
    <w:rsid w:val="5A004EC8"/>
    <w:rsid w:val="5A02215A"/>
    <w:rsid w:val="5A0823EC"/>
    <w:rsid w:val="5A0B4999"/>
    <w:rsid w:val="5A1219E8"/>
    <w:rsid w:val="5A1601E1"/>
    <w:rsid w:val="5A1A2003"/>
    <w:rsid w:val="5A2023BC"/>
    <w:rsid w:val="5A2534E2"/>
    <w:rsid w:val="5A272110"/>
    <w:rsid w:val="5A2F52ED"/>
    <w:rsid w:val="5A307C26"/>
    <w:rsid w:val="5A307F73"/>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D6553"/>
    <w:rsid w:val="5A9E6004"/>
    <w:rsid w:val="5AA206E2"/>
    <w:rsid w:val="5AAB402B"/>
    <w:rsid w:val="5AAF46FD"/>
    <w:rsid w:val="5AB36954"/>
    <w:rsid w:val="5ABB0D66"/>
    <w:rsid w:val="5ABE401A"/>
    <w:rsid w:val="5AC526EE"/>
    <w:rsid w:val="5ACB4B14"/>
    <w:rsid w:val="5AD45224"/>
    <w:rsid w:val="5ADA5032"/>
    <w:rsid w:val="5ADC6365"/>
    <w:rsid w:val="5AED2A7F"/>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957A5E"/>
    <w:rsid w:val="5BAB4BEE"/>
    <w:rsid w:val="5BB210AD"/>
    <w:rsid w:val="5BB47B97"/>
    <w:rsid w:val="5BB81EEF"/>
    <w:rsid w:val="5BC23198"/>
    <w:rsid w:val="5BC3049A"/>
    <w:rsid w:val="5BC52C1C"/>
    <w:rsid w:val="5BCE2157"/>
    <w:rsid w:val="5BD14762"/>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5045C"/>
    <w:rsid w:val="5C3B0435"/>
    <w:rsid w:val="5C3C5668"/>
    <w:rsid w:val="5C3C56AD"/>
    <w:rsid w:val="5C3D32DD"/>
    <w:rsid w:val="5C3E4B55"/>
    <w:rsid w:val="5C404666"/>
    <w:rsid w:val="5C422461"/>
    <w:rsid w:val="5C48686D"/>
    <w:rsid w:val="5C4E616C"/>
    <w:rsid w:val="5C4F52A1"/>
    <w:rsid w:val="5C4F75E7"/>
    <w:rsid w:val="5C50319B"/>
    <w:rsid w:val="5C511614"/>
    <w:rsid w:val="5C520197"/>
    <w:rsid w:val="5C5371DE"/>
    <w:rsid w:val="5C5D4ED4"/>
    <w:rsid w:val="5C5F094C"/>
    <w:rsid w:val="5C603564"/>
    <w:rsid w:val="5C633837"/>
    <w:rsid w:val="5C6B674F"/>
    <w:rsid w:val="5C6F57DC"/>
    <w:rsid w:val="5C7E0DF8"/>
    <w:rsid w:val="5C7E39D8"/>
    <w:rsid w:val="5C8A31FF"/>
    <w:rsid w:val="5C9C7108"/>
    <w:rsid w:val="5C9F55AA"/>
    <w:rsid w:val="5CA474D4"/>
    <w:rsid w:val="5CA84AC1"/>
    <w:rsid w:val="5CAC4293"/>
    <w:rsid w:val="5CB64B19"/>
    <w:rsid w:val="5CBD7A62"/>
    <w:rsid w:val="5CBF1A37"/>
    <w:rsid w:val="5CC164AE"/>
    <w:rsid w:val="5CC22998"/>
    <w:rsid w:val="5CC5766D"/>
    <w:rsid w:val="5CC829D4"/>
    <w:rsid w:val="5CD22245"/>
    <w:rsid w:val="5CD612EC"/>
    <w:rsid w:val="5CD620EF"/>
    <w:rsid w:val="5CD63CB1"/>
    <w:rsid w:val="5CD75EB0"/>
    <w:rsid w:val="5CE00BB1"/>
    <w:rsid w:val="5CE37D5E"/>
    <w:rsid w:val="5CE76E4E"/>
    <w:rsid w:val="5CE97CE3"/>
    <w:rsid w:val="5CF06B97"/>
    <w:rsid w:val="5CF85D55"/>
    <w:rsid w:val="5CFA67A0"/>
    <w:rsid w:val="5CFF2C7D"/>
    <w:rsid w:val="5CFF66F4"/>
    <w:rsid w:val="5D042519"/>
    <w:rsid w:val="5D073D33"/>
    <w:rsid w:val="5D0A1CA8"/>
    <w:rsid w:val="5D0E09BF"/>
    <w:rsid w:val="5D10070C"/>
    <w:rsid w:val="5D1077A1"/>
    <w:rsid w:val="5D193562"/>
    <w:rsid w:val="5D232DD8"/>
    <w:rsid w:val="5D2360DD"/>
    <w:rsid w:val="5D360039"/>
    <w:rsid w:val="5D3A22F4"/>
    <w:rsid w:val="5D3D681F"/>
    <w:rsid w:val="5D421B63"/>
    <w:rsid w:val="5D435C8A"/>
    <w:rsid w:val="5D467576"/>
    <w:rsid w:val="5D4B2525"/>
    <w:rsid w:val="5D543240"/>
    <w:rsid w:val="5D5434CB"/>
    <w:rsid w:val="5D5A25C6"/>
    <w:rsid w:val="5D645AF7"/>
    <w:rsid w:val="5D697151"/>
    <w:rsid w:val="5D7070A0"/>
    <w:rsid w:val="5D79361A"/>
    <w:rsid w:val="5D7B2BAE"/>
    <w:rsid w:val="5D87359C"/>
    <w:rsid w:val="5D893541"/>
    <w:rsid w:val="5D8C28B4"/>
    <w:rsid w:val="5D8E7C73"/>
    <w:rsid w:val="5D974515"/>
    <w:rsid w:val="5D9832F3"/>
    <w:rsid w:val="5D9934EC"/>
    <w:rsid w:val="5D9A7256"/>
    <w:rsid w:val="5D9C1E54"/>
    <w:rsid w:val="5DAB1E9E"/>
    <w:rsid w:val="5DB53FF3"/>
    <w:rsid w:val="5DB81F70"/>
    <w:rsid w:val="5DBC3F54"/>
    <w:rsid w:val="5DC328CA"/>
    <w:rsid w:val="5DCA57DD"/>
    <w:rsid w:val="5DD74A14"/>
    <w:rsid w:val="5DDB163B"/>
    <w:rsid w:val="5DDC2477"/>
    <w:rsid w:val="5DDC2877"/>
    <w:rsid w:val="5DF03AB4"/>
    <w:rsid w:val="5DF11D42"/>
    <w:rsid w:val="5DFA2E17"/>
    <w:rsid w:val="5DFB0C01"/>
    <w:rsid w:val="5E006537"/>
    <w:rsid w:val="5E1D2155"/>
    <w:rsid w:val="5E2374D1"/>
    <w:rsid w:val="5E3A68B5"/>
    <w:rsid w:val="5E401AFE"/>
    <w:rsid w:val="5E454E01"/>
    <w:rsid w:val="5E490493"/>
    <w:rsid w:val="5E4C4204"/>
    <w:rsid w:val="5E4D4054"/>
    <w:rsid w:val="5E4F4CEC"/>
    <w:rsid w:val="5E517BBA"/>
    <w:rsid w:val="5E521705"/>
    <w:rsid w:val="5E650FB2"/>
    <w:rsid w:val="5E656142"/>
    <w:rsid w:val="5E680B19"/>
    <w:rsid w:val="5E6C53A1"/>
    <w:rsid w:val="5E7334F8"/>
    <w:rsid w:val="5E7805FF"/>
    <w:rsid w:val="5E7859D6"/>
    <w:rsid w:val="5E842B6A"/>
    <w:rsid w:val="5E875A07"/>
    <w:rsid w:val="5E8C1E30"/>
    <w:rsid w:val="5E911FAC"/>
    <w:rsid w:val="5E92137B"/>
    <w:rsid w:val="5E9373FC"/>
    <w:rsid w:val="5EA67DEF"/>
    <w:rsid w:val="5EA736D1"/>
    <w:rsid w:val="5EAA11B3"/>
    <w:rsid w:val="5EB30716"/>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555F58"/>
    <w:rsid w:val="5F6219E5"/>
    <w:rsid w:val="5F7C4F33"/>
    <w:rsid w:val="5F7D5743"/>
    <w:rsid w:val="5F810563"/>
    <w:rsid w:val="5F824D0A"/>
    <w:rsid w:val="5F902061"/>
    <w:rsid w:val="5F91364B"/>
    <w:rsid w:val="5F942C15"/>
    <w:rsid w:val="5F982E68"/>
    <w:rsid w:val="5F983E67"/>
    <w:rsid w:val="5F9F289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207B"/>
    <w:rsid w:val="60127ACF"/>
    <w:rsid w:val="60195F65"/>
    <w:rsid w:val="601A6881"/>
    <w:rsid w:val="60200E33"/>
    <w:rsid w:val="6023016C"/>
    <w:rsid w:val="602924AC"/>
    <w:rsid w:val="602B5AAA"/>
    <w:rsid w:val="60334B2A"/>
    <w:rsid w:val="603E7B8A"/>
    <w:rsid w:val="60415FF4"/>
    <w:rsid w:val="60420933"/>
    <w:rsid w:val="6056292C"/>
    <w:rsid w:val="6063156C"/>
    <w:rsid w:val="606502AC"/>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316F2"/>
    <w:rsid w:val="60B43DFD"/>
    <w:rsid w:val="60B55179"/>
    <w:rsid w:val="60B84522"/>
    <w:rsid w:val="60BF5745"/>
    <w:rsid w:val="60C47684"/>
    <w:rsid w:val="60C90EA4"/>
    <w:rsid w:val="60CA2396"/>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4EEF"/>
    <w:rsid w:val="61176A85"/>
    <w:rsid w:val="611A697F"/>
    <w:rsid w:val="61206479"/>
    <w:rsid w:val="612143A4"/>
    <w:rsid w:val="61216CB5"/>
    <w:rsid w:val="61221695"/>
    <w:rsid w:val="6124184C"/>
    <w:rsid w:val="61254671"/>
    <w:rsid w:val="612C0280"/>
    <w:rsid w:val="612E3337"/>
    <w:rsid w:val="61331CD5"/>
    <w:rsid w:val="614050A9"/>
    <w:rsid w:val="61465E1A"/>
    <w:rsid w:val="614B5BCE"/>
    <w:rsid w:val="614D1495"/>
    <w:rsid w:val="614D2B5A"/>
    <w:rsid w:val="61524121"/>
    <w:rsid w:val="6155426A"/>
    <w:rsid w:val="615755AF"/>
    <w:rsid w:val="615D6475"/>
    <w:rsid w:val="61620240"/>
    <w:rsid w:val="616730ED"/>
    <w:rsid w:val="616C2054"/>
    <w:rsid w:val="616E3976"/>
    <w:rsid w:val="617D0D60"/>
    <w:rsid w:val="618321F0"/>
    <w:rsid w:val="618563BE"/>
    <w:rsid w:val="61861C69"/>
    <w:rsid w:val="61867017"/>
    <w:rsid w:val="618B084B"/>
    <w:rsid w:val="618E1E6E"/>
    <w:rsid w:val="618F22FB"/>
    <w:rsid w:val="61B15149"/>
    <w:rsid w:val="61B16AF8"/>
    <w:rsid w:val="61B66611"/>
    <w:rsid w:val="61B71C73"/>
    <w:rsid w:val="61C1068B"/>
    <w:rsid w:val="61C56900"/>
    <w:rsid w:val="61C73EC2"/>
    <w:rsid w:val="61D32FE5"/>
    <w:rsid w:val="61D9528D"/>
    <w:rsid w:val="61DA6BBA"/>
    <w:rsid w:val="61DE7C3D"/>
    <w:rsid w:val="61E1330A"/>
    <w:rsid w:val="61E51E0F"/>
    <w:rsid w:val="61E852C9"/>
    <w:rsid w:val="61E93953"/>
    <w:rsid w:val="61EE26FB"/>
    <w:rsid w:val="61EE28BD"/>
    <w:rsid w:val="61F0115C"/>
    <w:rsid w:val="61FA5B62"/>
    <w:rsid w:val="6203062B"/>
    <w:rsid w:val="62070260"/>
    <w:rsid w:val="620A5E09"/>
    <w:rsid w:val="62164CFF"/>
    <w:rsid w:val="6222428F"/>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B3642B"/>
    <w:rsid w:val="62B91CB2"/>
    <w:rsid w:val="62D000C9"/>
    <w:rsid w:val="62E05F11"/>
    <w:rsid w:val="62E70CE0"/>
    <w:rsid w:val="62F00E21"/>
    <w:rsid w:val="62F06C0E"/>
    <w:rsid w:val="62F571B6"/>
    <w:rsid w:val="62F91A8D"/>
    <w:rsid w:val="62FA0118"/>
    <w:rsid w:val="62FB5ADF"/>
    <w:rsid w:val="63016DD9"/>
    <w:rsid w:val="63060DC1"/>
    <w:rsid w:val="630B0513"/>
    <w:rsid w:val="630D5FB3"/>
    <w:rsid w:val="631D12C4"/>
    <w:rsid w:val="632A6383"/>
    <w:rsid w:val="632C6BDE"/>
    <w:rsid w:val="632F0EFF"/>
    <w:rsid w:val="633159CB"/>
    <w:rsid w:val="6332638D"/>
    <w:rsid w:val="633B2B0B"/>
    <w:rsid w:val="633C5BF9"/>
    <w:rsid w:val="633E36D1"/>
    <w:rsid w:val="6343466C"/>
    <w:rsid w:val="634A145E"/>
    <w:rsid w:val="634E753F"/>
    <w:rsid w:val="63607ED4"/>
    <w:rsid w:val="636469BD"/>
    <w:rsid w:val="63657E3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D86821"/>
    <w:rsid w:val="63D8720B"/>
    <w:rsid w:val="63DF3F98"/>
    <w:rsid w:val="63E02D15"/>
    <w:rsid w:val="63E0457C"/>
    <w:rsid w:val="63E25AFD"/>
    <w:rsid w:val="63E57666"/>
    <w:rsid w:val="63F03B38"/>
    <w:rsid w:val="63F731A5"/>
    <w:rsid w:val="63FC766C"/>
    <w:rsid w:val="63FE2454"/>
    <w:rsid w:val="64022F76"/>
    <w:rsid w:val="64084173"/>
    <w:rsid w:val="641269AD"/>
    <w:rsid w:val="64141212"/>
    <w:rsid w:val="641C56F8"/>
    <w:rsid w:val="64231408"/>
    <w:rsid w:val="64263EF4"/>
    <w:rsid w:val="64281DC7"/>
    <w:rsid w:val="6432123B"/>
    <w:rsid w:val="643A7824"/>
    <w:rsid w:val="644A3F96"/>
    <w:rsid w:val="64553AA4"/>
    <w:rsid w:val="64564ED9"/>
    <w:rsid w:val="645A5737"/>
    <w:rsid w:val="646029D7"/>
    <w:rsid w:val="64603768"/>
    <w:rsid w:val="646270E8"/>
    <w:rsid w:val="6467123E"/>
    <w:rsid w:val="646B1681"/>
    <w:rsid w:val="64706790"/>
    <w:rsid w:val="64724898"/>
    <w:rsid w:val="647C3BBA"/>
    <w:rsid w:val="64805997"/>
    <w:rsid w:val="64813A7C"/>
    <w:rsid w:val="64823A3A"/>
    <w:rsid w:val="64855B2D"/>
    <w:rsid w:val="64866B4F"/>
    <w:rsid w:val="64867427"/>
    <w:rsid w:val="648976FB"/>
    <w:rsid w:val="648A2250"/>
    <w:rsid w:val="648B1491"/>
    <w:rsid w:val="648B5259"/>
    <w:rsid w:val="648E1573"/>
    <w:rsid w:val="649A52C8"/>
    <w:rsid w:val="64B0747D"/>
    <w:rsid w:val="64B6071F"/>
    <w:rsid w:val="64B73B84"/>
    <w:rsid w:val="64BE2F18"/>
    <w:rsid w:val="64C004BC"/>
    <w:rsid w:val="64C03551"/>
    <w:rsid w:val="64C317B4"/>
    <w:rsid w:val="64C6530B"/>
    <w:rsid w:val="64CB2A33"/>
    <w:rsid w:val="64D9451E"/>
    <w:rsid w:val="64DB77D5"/>
    <w:rsid w:val="64F31974"/>
    <w:rsid w:val="64FA5C63"/>
    <w:rsid w:val="64FA6AE2"/>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78354B"/>
    <w:rsid w:val="658E776E"/>
    <w:rsid w:val="65907AC2"/>
    <w:rsid w:val="65A62A91"/>
    <w:rsid w:val="65A8734A"/>
    <w:rsid w:val="65A9185C"/>
    <w:rsid w:val="65AB43EF"/>
    <w:rsid w:val="65B430CC"/>
    <w:rsid w:val="65CC6A3A"/>
    <w:rsid w:val="65DB0A99"/>
    <w:rsid w:val="65E919BF"/>
    <w:rsid w:val="65ED7EEF"/>
    <w:rsid w:val="65F46CFC"/>
    <w:rsid w:val="65F73BB4"/>
    <w:rsid w:val="660658FA"/>
    <w:rsid w:val="660B1805"/>
    <w:rsid w:val="660C035C"/>
    <w:rsid w:val="66103D06"/>
    <w:rsid w:val="66190E3D"/>
    <w:rsid w:val="661C061C"/>
    <w:rsid w:val="6628673A"/>
    <w:rsid w:val="662A259A"/>
    <w:rsid w:val="66300C32"/>
    <w:rsid w:val="6639596A"/>
    <w:rsid w:val="663F1119"/>
    <w:rsid w:val="66401DD3"/>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40BAD"/>
    <w:rsid w:val="66E77E06"/>
    <w:rsid w:val="66F861FA"/>
    <w:rsid w:val="670027A0"/>
    <w:rsid w:val="67037752"/>
    <w:rsid w:val="67050D51"/>
    <w:rsid w:val="67050D97"/>
    <w:rsid w:val="67091904"/>
    <w:rsid w:val="670E178E"/>
    <w:rsid w:val="6717419C"/>
    <w:rsid w:val="67212735"/>
    <w:rsid w:val="673611CB"/>
    <w:rsid w:val="67412B2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991948"/>
    <w:rsid w:val="67A850E1"/>
    <w:rsid w:val="67AB3E74"/>
    <w:rsid w:val="67B0438B"/>
    <w:rsid w:val="67B33BE3"/>
    <w:rsid w:val="67B71656"/>
    <w:rsid w:val="67B723B3"/>
    <w:rsid w:val="67B743E8"/>
    <w:rsid w:val="67BD43E0"/>
    <w:rsid w:val="67BD4993"/>
    <w:rsid w:val="67C0411D"/>
    <w:rsid w:val="67C95416"/>
    <w:rsid w:val="67D74048"/>
    <w:rsid w:val="67E041E2"/>
    <w:rsid w:val="67E164A0"/>
    <w:rsid w:val="67E51F56"/>
    <w:rsid w:val="67E97A89"/>
    <w:rsid w:val="67ED16B7"/>
    <w:rsid w:val="67F27764"/>
    <w:rsid w:val="6802359C"/>
    <w:rsid w:val="68081463"/>
    <w:rsid w:val="680A257F"/>
    <w:rsid w:val="680E50C8"/>
    <w:rsid w:val="681541C3"/>
    <w:rsid w:val="681674DF"/>
    <w:rsid w:val="681D6FA0"/>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52DC7"/>
    <w:rsid w:val="68E71448"/>
    <w:rsid w:val="68E92B61"/>
    <w:rsid w:val="68F308C4"/>
    <w:rsid w:val="68F47E39"/>
    <w:rsid w:val="68F51C33"/>
    <w:rsid w:val="68FA62F0"/>
    <w:rsid w:val="68FE7853"/>
    <w:rsid w:val="68FF6668"/>
    <w:rsid w:val="6901117B"/>
    <w:rsid w:val="69021A4A"/>
    <w:rsid w:val="69052CE9"/>
    <w:rsid w:val="690F4CC7"/>
    <w:rsid w:val="69156DDD"/>
    <w:rsid w:val="691D61F1"/>
    <w:rsid w:val="691E3879"/>
    <w:rsid w:val="69211467"/>
    <w:rsid w:val="69214564"/>
    <w:rsid w:val="69257A7E"/>
    <w:rsid w:val="69277662"/>
    <w:rsid w:val="69344B19"/>
    <w:rsid w:val="69345F83"/>
    <w:rsid w:val="69356146"/>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B96524"/>
    <w:rsid w:val="69C30046"/>
    <w:rsid w:val="69C8002E"/>
    <w:rsid w:val="69CF04C1"/>
    <w:rsid w:val="69D32FE1"/>
    <w:rsid w:val="69D457A0"/>
    <w:rsid w:val="69D463F2"/>
    <w:rsid w:val="69D72910"/>
    <w:rsid w:val="69D94035"/>
    <w:rsid w:val="69DC26A6"/>
    <w:rsid w:val="69E37874"/>
    <w:rsid w:val="69E56B54"/>
    <w:rsid w:val="69E96708"/>
    <w:rsid w:val="69ED002E"/>
    <w:rsid w:val="69ED6B4A"/>
    <w:rsid w:val="69EE54CD"/>
    <w:rsid w:val="69F92613"/>
    <w:rsid w:val="69FB7CD4"/>
    <w:rsid w:val="69FD723E"/>
    <w:rsid w:val="69FD7CEA"/>
    <w:rsid w:val="6A0229E5"/>
    <w:rsid w:val="6A067F83"/>
    <w:rsid w:val="6A097E59"/>
    <w:rsid w:val="6A171AFC"/>
    <w:rsid w:val="6A227A57"/>
    <w:rsid w:val="6A2A2D01"/>
    <w:rsid w:val="6A3225D7"/>
    <w:rsid w:val="6A3A620D"/>
    <w:rsid w:val="6A3B0B6C"/>
    <w:rsid w:val="6A3C0BF8"/>
    <w:rsid w:val="6A423E55"/>
    <w:rsid w:val="6A470981"/>
    <w:rsid w:val="6A4747AF"/>
    <w:rsid w:val="6A49294B"/>
    <w:rsid w:val="6A562B91"/>
    <w:rsid w:val="6A57299A"/>
    <w:rsid w:val="6A697946"/>
    <w:rsid w:val="6A6D6854"/>
    <w:rsid w:val="6A700CED"/>
    <w:rsid w:val="6A7017D7"/>
    <w:rsid w:val="6A7350A3"/>
    <w:rsid w:val="6A7F6B5C"/>
    <w:rsid w:val="6AA235D3"/>
    <w:rsid w:val="6AA31D3D"/>
    <w:rsid w:val="6AB02B50"/>
    <w:rsid w:val="6AB14532"/>
    <w:rsid w:val="6ABB2ED0"/>
    <w:rsid w:val="6ABD7A51"/>
    <w:rsid w:val="6AC335C4"/>
    <w:rsid w:val="6ACC0F11"/>
    <w:rsid w:val="6ADB4318"/>
    <w:rsid w:val="6ADD7DFD"/>
    <w:rsid w:val="6AE2135D"/>
    <w:rsid w:val="6AE77D3D"/>
    <w:rsid w:val="6AE93C28"/>
    <w:rsid w:val="6AF05F1A"/>
    <w:rsid w:val="6B036D80"/>
    <w:rsid w:val="6B0451AB"/>
    <w:rsid w:val="6B0D42E2"/>
    <w:rsid w:val="6B110B6C"/>
    <w:rsid w:val="6B160110"/>
    <w:rsid w:val="6B167467"/>
    <w:rsid w:val="6B1A338E"/>
    <w:rsid w:val="6B21434C"/>
    <w:rsid w:val="6B237C36"/>
    <w:rsid w:val="6B2600DB"/>
    <w:rsid w:val="6B2718FD"/>
    <w:rsid w:val="6B2A147B"/>
    <w:rsid w:val="6B2B4CFC"/>
    <w:rsid w:val="6B2C290C"/>
    <w:rsid w:val="6B33476F"/>
    <w:rsid w:val="6B352059"/>
    <w:rsid w:val="6B3B4CA2"/>
    <w:rsid w:val="6B402B26"/>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8277A"/>
    <w:rsid w:val="6BB248CC"/>
    <w:rsid w:val="6BBA4F60"/>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93A56"/>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565AF"/>
    <w:rsid w:val="6D077405"/>
    <w:rsid w:val="6D0A3519"/>
    <w:rsid w:val="6D0B62E2"/>
    <w:rsid w:val="6D133D59"/>
    <w:rsid w:val="6D175B2B"/>
    <w:rsid w:val="6D264EC5"/>
    <w:rsid w:val="6D26662C"/>
    <w:rsid w:val="6D287D4F"/>
    <w:rsid w:val="6D2B3CDC"/>
    <w:rsid w:val="6D330DB7"/>
    <w:rsid w:val="6D437763"/>
    <w:rsid w:val="6D4B2385"/>
    <w:rsid w:val="6D4C07B8"/>
    <w:rsid w:val="6D500E33"/>
    <w:rsid w:val="6D5B1179"/>
    <w:rsid w:val="6D671B76"/>
    <w:rsid w:val="6D6D28AF"/>
    <w:rsid w:val="6D6E5E4C"/>
    <w:rsid w:val="6D771293"/>
    <w:rsid w:val="6D78135E"/>
    <w:rsid w:val="6D7D0954"/>
    <w:rsid w:val="6D8153B2"/>
    <w:rsid w:val="6D876AB7"/>
    <w:rsid w:val="6D8A27B4"/>
    <w:rsid w:val="6D8F154F"/>
    <w:rsid w:val="6D9757D1"/>
    <w:rsid w:val="6D9C3974"/>
    <w:rsid w:val="6DA062EA"/>
    <w:rsid w:val="6DA65DBF"/>
    <w:rsid w:val="6DA76631"/>
    <w:rsid w:val="6DA77315"/>
    <w:rsid w:val="6DAF65CC"/>
    <w:rsid w:val="6DB157A2"/>
    <w:rsid w:val="6DB25F3D"/>
    <w:rsid w:val="6DBA586C"/>
    <w:rsid w:val="6DBE0B3F"/>
    <w:rsid w:val="6DBF7294"/>
    <w:rsid w:val="6DC53FBD"/>
    <w:rsid w:val="6DC84395"/>
    <w:rsid w:val="6DC93FE2"/>
    <w:rsid w:val="6DCA77EA"/>
    <w:rsid w:val="6DD35114"/>
    <w:rsid w:val="6DDE35E8"/>
    <w:rsid w:val="6DE47135"/>
    <w:rsid w:val="6DE65A7A"/>
    <w:rsid w:val="6DE92FA2"/>
    <w:rsid w:val="6DEE0E7D"/>
    <w:rsid w:val="6DEF6BC8"/>
    <w:rsid w:val="6DF3002F"/>
    <w:rsid w:val="6DF574ED"/>
    <w:rsid w:val="6DF81839"/>
    <w:rsid w:val="6E0048DC"/>
    <w:rsid w:val="6E075019"/>
    <w:rsid w:val="6E0766A1"/>
    <w:rsid w:val="6E1419C0"/>
    <w:rsid w:val="6E166FE2"/>
    <w:rsid w:val="6E183FF4"/>
    <w:rsid w:val="6E1B11E5"/>
    <w:rsid w:val="6E1D151C"/>
    <w:rsid w:val="6E1D7756"/>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8E20B5"/>
    <w:rsid w:val="6E915314"/>
    <w:rsid w:val="6EA04FAE"/>
    <w:rsid w:val="6EAA59A3"/>
    <w:rsid w:val="6EAA79ED"/>
    <w:rsid w:val="6EB029C1"/>
    <w:rsid w:val="6EB330A4"/>
    <w:rsid w:val="6EC161BE"/>
    <w:rsid w:val="6EC53240"/>
    <w:rsid w:val="6ECD08F1"/>
    <w:rsid w:val="6ED8031D"/>
    <w:rsid w:val="6EDF2531"/>
    <w:rsid w:val="6EE1335D"/>
    <w:rsid w:val="6EE50FBC"/>
    <w:rsid w:val="6EEF6508"/>
    <w:rsid w:val="6EF02682"/>
    <w:rsid w:val="6EFF1809"/>
    <w:rsid w:val="6F19615F"/>
    <w:rsid w:val="6F1A3B57"/>
    <w:rsid w:val="6F1A60C4"/>
    <w:rsid w:val="6F231E41"/>
    <w:rsid w:val="6F244447"/>
    <w:rsid w:val="6F303DE1"/>
    <w:rsid w:val="6F331C81"/>
    <w:rsid w:val="6F331F52"/>
    <w:rsid w:val="6F362062"/>
    <w:rsid w:val="6F3815D3"/>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A04DA3"/>
    <w:rsid w:val="6FA10B29"/>
    <w:rsid w:val="6FAA2D8A"/>
    <w:rsid w:val="6FC02217"/>
    <w:rsid w:val="6FC34E9D"/>
    <w:rsid w:val="6FC60A07"/>
    <w:rsid w:val="6FC90F86"/>
    <w:rsid w:val="6FCD3BC3"/>
    <w:rsid w:val="6FCE2BBA"/>
    <w:rsid w:val="6FD91844"/>
    <w:rsid w:val="6FDF40F5"/>
    <w:rsid w:val="6FE0165C"/>
    <w:rsid w:val="6FE05F95"/>
    <w:rsid w:val="6FE944E1"/>
    <w:rsid w:val="6FF021F5"/>
    <w:rsid w:val="6FF06B6B"/>
    <w:rsid w:val="6FF47B7F"/>
    <w:rsid w:val="6FF73491"/>
    <w:rsid w:val="6FF97C31"/>
    <w:rsid w:val="6FFC64FF"/>
    <w:rsid w:val="7001428F"/>
    <w:rsid w:val="700E7127"/>
    <w:rsid w:val="70133236"/>
    <w:rsid w:val="70156307"/>
    <w:rsid w:val="7016485B"/>
    <w:rsid w:val="701C590F"/>
    <w:rsid w:val="702033F7"/>
    <w:rsid w:val="7021034D"/>
    <w:rsid w:val="70252DA7"/>
    <w:rsid w:val="702D10A9"/>
    <w:rsid w:val="70315D3B"/>
    <w:rsid w:val="703D58C4"/>
    <w:rsid w:val="70453D87"/>
    <w:rsid w:val="704E5E48"/>
    <w:rsid w:val="7053674B"/>
    <w:rsid w:val="7055360F"/>
    <w:rsid w:val="70642BE6"/>
    <w:rsid w:val="706F497B"/>
    <w:rsid w:val="70724AB3"/>
    <w:rsid w:val="70877819"/>
    <w:rsid w:val="70916EF8"/>
    <w:rsid w:val="709261ED"/>
    <w:rsid w:val="709605AE"/>
    <w:rsid w:val="70A02568"/>
    <w:rsid w:val="70AD230C"/>
    <w:rsid w:val="70B4798A"/>
    <w:rsid w:val="70B91785"/>
    <w:rsid w:val="70C41020"/>
    <w:rsid w:val="70C671BA"/>
    <w:rsid w:val="70CC1017"/>
    <w:rsid w:val="70CF255C"/>
    <w:rsid w:val="70D5454C"/>
    <w:rsid w:val="70DC2C89"/>
    <w:rsid w:val="70DD041E"/>
    <w:rsid w:val="70DD743F"/>
    <w:rsid w:val="70DD7EE0"/>
    <w:rsid w:val="70E3150B"/>
    <w:rsid w:val="70E67B77"/>
    <w:rsid w:val="70F323B0"/>
    <w:rsid w:val="70FD7C9B"/>
    <w:rsid w:val="70FE0735"/>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0F1ACD"/>
    <w:rsid w:val="721C0759"/>
    <w:rsid w:val="722F766C"/>
    <w:rsid w:val="723256D8"/>
    <w:rsid w:val="72382B26"/>
    <w:rsid w:val="72385872"/>
    <w:rsid w:val="723B470E"/>
    <w:rsid w:val="72451F4F"/>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6D9D"/>
    <w:rsid w:val="72B715E4"/>
    <w:rsid w:val="72C32F53"/>
    <w:rsid w:val="72C77A8A"/>
    <w:rsid w:val="72CB7C4C"/>
    <w:rsid w:val="72D86D20"/>
    <w:rsid w:val="72DB6BCE"/>
    <w:rsid w:val="72F70D65"/>
    <w:rsid w:val="72F762C6"/>
    <w:rsid w:val="72FE3E8E"/>
    <w:rsid w:val="731B711B"/>
    <w:rsid w:val="731C3ED2"/>
    <w:rsid w:val="731E5631"/>
    <w:rsid w:val="732009B8"/>
    <w:rsid w:val="732B0C72"/>
    <w:rsid w:val="733271A4"/>
    <w:rsid w:val="73330C63"/>
    <w:rsid w:val="733863E3"/>
    <w:rsid w:val="733A3332"/>
    <w:rsid w:val="733C1D9D"/>
    <w:rsid w:val="733E3B7F"/>
    <w:rsid w:val="733E46B2"/>
    <w:rsid w:val="733E586B"/>
    <w:rsid w:val="733E59D9"/>
    <w:rsid w:val="734B3969"/>
    <w:rsid w:val="73597F33"/>
    <w:rsid w:val="7375490C"/>
    <w:rsid w:val="73757E63"/>
    <w:rsid w:val="737D2F4F"/>
    <w:rsid w:val="738B029F"/>
    <w:rsid w:val="73900D21"/>
    <w:rsid w:val="739A7114"/>
    <w:rsid w:val="739F2349"/>
    <w:rsid w:val="739F6287"/>
    <w:rsid w:val="73A242CD"/>
    <w:rsid w:val="73A935F2"/>
    <w:rsid w:val="73AC333B"/>
    <w:rsid w:val="73B11DBC"/>
    <w:rsid w:val="73B1795C"/>
    <w:rsid w:val="73B51018"/>
    <w:rsid w:val="73B67CAD"/>
    <w:rsid w:val="73B86EBC"/>
    <w:rsid w:val="73C340B3"/>
    <w:rsid w:val="73C72DB3"/>
    <w:rsid w:val="73C854F0"/>
    <w:rsid w:val="73CC2F38"/>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532888"/>
    <w:rsid w:val="745C54BA"/>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579E1"/>
    <w:rsid w:val="74CA0770"/>
    <w:rsid w:val="74D52F3D"/>
    <w:rsid w:val="74D81528"/>
    <w:rsid w:val="74D96025"/>
    <w:rsid w:val="74DA07A2"/>
    <w:rsid w:val="74E133B4"/>
    <w:rsid w:val="74E1491C"/>
    <w:rsid w:val="74E67A31"/>
    <w:rsid w:val="74F61278"/>
    <w:rsid w:val="74F90505"/>
    <w:rsid w:val="74FC67D7"/>
    <w:rsid w:val="7501178C"/>
    <w:rsid w:val="75092044"/>
    <w:rsid w:val="7510516D"/>
    <w:rsid w:val="75124563"/>
    <w:rsid w:val="751274A1"/>
    <w:rsid w:val="75190871"/>
    <w:rsid w:val="751C2143"/>
    <w:rsid w:val="75295853"/>
    <w:rsid w:val="752D2921"/>
    <w:rsid w:val="752F1869"/>
    <w:rsid w:val="752F2DAC"/>
    <w:rsid w:val="75387884"/>
    <w:rsid w:val="75475838"/>
    <w:rsid w:val="755D7E3D"/>
    <w:rsid w:val="75631790"/>
    <w:rsid w:val="7566472C"/>
    <w:rsid w:val="756B1E1E"/>
    <w:rsid w:val="756B62BD"/>
    <w:rsid w:val="7578413D"/>
    <w:rsid w:val="757B64ED"/>
    <w:rsid w:val="757C232A"/>
    <w:rsid w:val="75851DCA"/>
    <w:rsid w:val="75895C6B"/>
    <w:rsid w:val="758F3A2A"/>
    <w:rsid w:val="7595284C"/>
    <w:rsid w:val="759638CA"/>
    <w:rsid w:val="7599617F"/>
    <w:rsid w:val="759A19E2"/>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54B74"/>
    <w:rsid w:val="761C414A"/>
    <w:rsid w:val="761D237D"/>
    <w:rsid w:val="762721D0"/>
    <w:rsid w:val="76380CDC"/>
    <w:rsid w:val="76383420"/>
    <w:rsid w:val="76411431"/>
    <w:rsid w:val="7649562B"/>
    <w:rsid w:val="764F7C59"/>
    <w:rsid w:val="76536622"/>
    <w:rsid w:val="765566B4"/>
    <w:rsid w:val="76605088"/>
    <w:rsid w:val="76636412"/>
    <w:rsid w:val="766477E2"/>
    <w:rsid w:val="7668119A"/>
    <w:rsid w:val="766966D4"/>
    <w:rsid w:val="766E17F9"/>
    <w:rsid w:val="76894FB9"/>
    <w:rsid w:val="768C1EBA"/>
    <w:rsid w:val="768E260E"/>
    <w:rsid w:val="769222A0"/>
    <w:rsid w:val="769568F8"/>
    <w:rsid w:val="76993596"/>
    <w:rsid w:val="769F0134"/>
    <w:rsid w:val="76A65C22"/>
    <w:rsid w:val="76B14AAD"/>
    <w:rsid w:val="76B44C21"/>
    <w:rsid w:val="76C118A2"/>
    <w:rsid w:val="76C32B57"/>
    <w:rsid w:val="76C63D93"/>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34D41"/>
    <w:rsid w:val="77041D95"/>
    <w:rsid w:val="77095079"/>
    <w:rsid w:val="7718408C"/>
    <w:rsid w:val="771D7BC5"/>
    <w:rsid w:val="7723073F"/>
    <w:rsid w:val="772527B2"/>
    <w:rsid w:val="772A6A8E"/>
    <w:rsid w:val="773B25F8"/>
    <w:rsid w:val="773B48CE"/>
    <w:rsid w:val="773D0C62"/>
    <w:rsid w:val="773F62E5"/>
    <w:rsid w:val="7743414C"/>
    <w:rsid w:val="774551B5"/>
    <w:rsid w:val="77523DCF"/>
    <w:rsid w:val="77591191"/>
    <w:rsid w:val="77606B3D"/>
    <w:rsid w:val="776870B9"/>
    <w:rsid w:val="776967FB"/>
    <w:rsid w:val="776D4583"/>
    <w:rsid w:val="7776540C"/>
    <w:rsid w:val="777A37E1"/>
    <w:rsid w:val="778100C2"/>
    <w:rsid w:val="778121B3"/>
    <w:rsid w:val="77855EB4"/>
    <w:rsid w:val="779D35D8"/>
    <w:rsid w:val="77A94947"/>
    <w:rsid w:val="77AA135C"/>
    <w:rsid w:val="77AB7E27"/>
    <w:rsid w:val="77AC14DA"/>
    <w:rsid w:val="77AD64CA"/>
    <w:rsid w:val="77AF3504"/>
    <w:rsid w:val="77B36F7C"/>
    <w:rsid w:val="77BC6B30"/>
    <w:rsid w:val="77BE1BC2"/>
    <w:rsid w:val="77C75FA5"/>
    <w:rsid w:val="77C926F0"/>
    <w:rsid w:val="77CA0362"/>
    <w:rsid w:val="77D17A81"/>
    <w:rsid w:val="77D2359F"/>
    <w:rsid w:val="77E40C30"/>
    <w:rsid w:val="77FC1B84"/>
    <w:rsid w:val="77FF3177"/>
    <w:rsid w:val="780254EB"/>
    <w:rsid w:val="78055C6F"/>
    <w:rsid w:val="780752E6"/>
    <w:rsid w:val="780B6CC7"/>
    <w:rsid w:val="78153F77"/>
    <w:rsid w:val="78185315"/>
    <w:rsid w:val="781C67FA"/>
    <w:rsid w:val="782378AE"/>
    <w:rsid w:val="78296DAC"/>
    <w:rsid w:val="783267CC"/>
    <w:rsid w:val="783E418B"/>
    <w:rsid w:val="783F1754"/>
    <w:rsid w:val="784A7790"/>
    <w:rsid w:val="784E3C01"/>
    <w:rsid w:val="78570849"/>
    <w:rsid w:val="78575D9F"/>
    <w:rsid w:val="785B5DBF"/>
    <w:rsid w:val="78600977"/>
    <w:rsid w:val="78617AF2"/>
    <w:rsid w:val="78626899"/>
    <w:rsid w:val="786421F2"/>
    <w:rsid w:val="786616B3"/>
    <w:rsid w:val="786E5D08"/>
    <w:rsid w:val="787D41E5"/>
    <w:rsid w:val="787E7A1D"/>
    <w:rsid w:val="78812F7C"/>
    <w:rsid w:val="78975C7D"/>
    <w:rsid w:val="78A51B95"/>
    <w:rsid w:val="78AA6975"/>
    <w:rsid w:val="78B15E1D"/>
    <w:rsid w:val="78C15B1C"/>
    <w:rsid w:val="78C359B3"/>
    <w:rsid w:val="78C653C1"/>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5089E"/>
    <w:rsid w:val="791A58CD"/>
    <w:rsid w:val="791D6D3A"/>
    <w:rsid w:val="791F537B"/>
    <w:rsid w:val="79344437"/>
    <w:rsid w:val="79367982"/>
    <w:rsid w:val="793D5C2F"/>
    <w:rsid w:val="793E1D3B"/>
    <w:rsid w:val="793F7F0E"/>
    <w:rsid w:val="794A336F"/>
    <w:rsid w:val="794B6C37"/>
    <w:rsid w:val="79537099"/>
    <w:rsid w:val="79552D08"/>
    <w:rsid w:val="7957124C"/>
    <w:rsid w:val="795E7ED2"/>
    <w:rsid w:val="79672E22"/>
    <w:rsid w:val="79677010"/>
    <w:rsid w:val="796E6578"/>
    <w:rsid w:val="79711579"/>
    <w:rsid w:val="797121AE"/>
    <w:rsid w:val="797E1825"/>
    <w:rsid w:val="79994E18"/>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46B39"/>
    <w:rsid w:val="79E66C93"/>
    <w:rsid w:val="79F16E80"/>
    <w:rsid w:val="79F32B94"/>
    <w:rsid w:val="79F842C2"/>
    <w:rsid w:val="79FA0A29"/>
    <w:rsid w:val="79FC6E04"/>
    <w:rsid w:val="79FE2A4E"/>
    <w:rsid w:val="7A081D42"/>
    <w:rsid w:val="7A0A6E0F"/>
    <w:rsid w:val="7A0A7223"/>
    <w:rsid w:val="7A0C4EA7"/>
    <w:rsid w:val="7A12552F"/>
    <w:rsid w:val="7A1524DD"/>
    <w:rsid w:val="7A1A1772"/>
    <w:rsid w:val="7A1E1DC3"/>
    <w:rsid w:val="7A2751AD"/>
    <w:rsid w:val="7A276994"/>
    <w:rsid w:val="7A2C129F"/>
    <w:rsid w:val="7A3B034D"/>
    <w:rsid w:val="7A3B1C6C"/>
    <w:rsid w:val="7A3F158B"/>
    <w:rsid w:val="7A4A132A"/>
    <w:rsid w:val="7A535840"/>
    <w:rsid w:val="7A5566EE"/>
    <w:rsid w:val="7A646A69"/>
    <w:rsid w:val="7A6736BC"/>
    <w:rsid w:val="7A6A7B3B"/>
    <w:rsid w:val="7A7067FA"/>
    <w:rsid w:val="7A721F7E"/>
    <w:rsid w:val="7A746574"/>
    <w:rsid w:val="7A7678E5"/>
    <w:rsid w:val="7A7A585C"/>
    <w:rsid w:val="7A7B24DD"/>
    <w:rsid w:val="7A7D2094"/>
    <w:rsid w:val="7A7F65CA"/>
    <w:rsid w:val="7A844954"/>
    <w:rsid w:val="7A867241"/>
    <w:rsid w:val="7A876B11"/>
    <w:rsid w:val="7A88301C"/>
    <w:rsid w:val="7A963A48"/>
    <w:rsid w:val="7A9660A3"/>
    <w:rsid w:val="7A9861CB"/>
    <w:rsid w:val="7A986784"/>
    <w:rsid w:val="7ABB3E82"/>
    <w:rsid w:val="7AC3568E"/>
    <w:rsid w:val="7AC449C6"/>
    <w:rsid w:val="7AD71052"/>
    <w:rsid w:val="7AD9797E"/>
    <w:rsid w:val="7ADE3DB2"/>
    <w:rsid w:val="7AE5682B"/>
    <w:rsid w:val="7AEE60EE"/>
    <w:rsid w:val="7B0E060E"/>
    <w:rsid w:val="7B0F5219"/>
    <w:rsid w:val="7B177A77"/>
    <w:rsid w:val="7B193032"/>
    <w:rsid w:val="7B1B1CF8"/>
    <w:rsid w:val="7B26484C"/>
    <w:rsid w:val="7B2B13FD"/>
    <w:rsid w:val="7B3339FA"/>
    <w:rsid w:val="7B346599"/>
    <w:rsid w:val="7B3C25E5"/>
    <w:rsid w:val="7B44094D"/>
    <w:rsid w:val="7B460BFD"/>
    <w:rsid w:val="7B4910BE"/>
    <w:rsid w:val="7B4A7A19"/>
    <w:rsid w:val="7B50325A"/>
    <w:rsid w:val="7B5D3226"/>
    <w:rsid w:val="7B5E4EEC"/>
    <w:rsid w:val="7B674BD7"/>
    <w:rsid w:val="7B6D1622"/>
    <w:rsid w:val="7B6E2192"/>
    <w:rsid w:val="7B722498"/>
    <w:rsid w:val="7B782690"/>
    <w:rsid w:val="7B793E87"/>
    <w:rsid w:val="7B7C50C8"/>
    <w:rsid w:val="7B7F3966"/>
    <w:rsid w:val="7B80148D"/>
    <w:rsid w:val="7B821ADA"/>
    <w:rsid w:val="7B8F5DA2"/>
    <w:rsid w:val="7B926883"/>
    <w:rsid w:val="7BA34FB1"/>
    <w:rsid w:val="7BA4369C"/>
    <w:rsid w:val="7BA71440"/>
    <w:rsid w:val="7BAE696E"/>
    <w:rsid w:val="7BAF3C86"/>
    <w:rsid w:val="7BC23E12"/>
    <w:rsid w:val="7BC45CF4"/>
    <w:rsid w:val="7BC92A6F"/>
    <w:rsid w:val="7BD36780"/>
    <w:rsid w:val="7BD4048E"/>
    <w:rsid w:val="7BD968AC"/>
    <w:rsid w:val="7BDE524C"/>
    <w:rsid w:val="7BE908F3"/>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2E5247"/>
    <w:rsid w:val="7C4A5A50"/>
    <w:rsid w:val="7C4B681D"/>
    <w:rsid w:val="7C4C575E"/>
    <w:rsid w:val="7C640974"/>
    <w:rsid w:val="7C643EF7"/>
    <w:rsid w:val="7C690B20"/>
    <w:rsid w:val="7C724EAE"/>
    <w:rsid w:val="7C780AD5"/>
    <w:rsid w:val="7C7A14F2"/>
    <w:rsid w:val="7C7E2FFC"/>
    <w:rsid w:val="7C7F038C"/>
    <w:rsid w:val="7C867154"/>
    <w:rsid w:val="7C8A49AA"/>
    <w:rsid w:val="7C8F78D5"/>
    <w:rsid w:val="7C9427B3"/>
    <w:rsid w:val="7C9E5A77"/>
    <w:rsid w:val="7CA777DA"/>
    <w:rsid w:val="7CAD2B44"/>
    <w:rsid w:val="7CB74F4A"/>
    <w:rsid w:val="7CB80138"/>
    <w:rsid w:val="7CB838AF"/>
    <w:rsid w:val="7CBE6F50"/>
    <w:rsid w:val="7CC639C6"/>
    <w:rsid w:val="7CC96839"/>
    <w:rsid w:val="7CCC3CFE"/>
    <w:rsid w:val="7CCD12D3"/>
    <w:rsid w:val="7CD505D1"/>
    <w:rsid w:val="7CD534FD"/>
    <w:rsid w:val="7CD6692A"/>
    <w:rsid w:val="7CDE11DF"/>
    <w:rsid w:val="7CE215AC"/>
    <w:rsid w:val="7CE25B4A"/>
    <w:rsid w:val="7CE3422B"/>
    <w:rsid w:val="7CE5443B"/>
    <w:rsid w:val="7CE76B7F"/>
    <w:rsid w:val="7CED09D9"/>
    <w:rsid w:val="7CF436AD"/>
    <w:rsid w:val="7CF87323"/>
    <w:rsid w:val="7CFC65E9"/>
    <w:rsid w:val="7CFD1F2F"/>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05530"/>
    <w:rsid w:val="7D4241A1"/>
    <w:rsid w:val="7D452B7F"/>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C05A8"/>
    <w:rsid w:val="7DED1348"/>
    <w:rsid w:val="7DEE71DF"/>
    <w:rsid w:val="7DF66186"/>
    <w:rsid w:val="7E007B1A"/>
    <w:rsid w:val="7E0A5EA4"/>
    <w:rsid w:val="7E0A72D5"/>
    <w:rsid w:val="7E0B3C08"/>
    <w:rsid w:val="7E154422"/>
    <w:rsid w:val="7E1C2B95"/>
    <w:rsid w:val="7E1E3CF4"/>
    <w:rsid w:val="7E212526"/>
    <w:rsid w:val="7E262B03"/>
    <w:rsid w:val="7E29766E"/>
    <w:rsid w:val="7E2E765A"/>
    <w:rsid w:val="7E324C10"/>
    <w:rsid w:val="7E324D32"/>
    <w:rsid w:val="7E3B7336"/>
    <w:rsid w:val="7E3D35D7"/>
    <w:rsid w:val="7E466A84"/>
    <w:rsid w:val="7E472FFE"/>
    <w:rsid w:val="7E4A6379"/>
    <w:rsid w:val="7E5248E3"/>
    <w:rsid w:val="7E5A2EA0"/>
    <w:rsid w:val="7E66305F"/>
    <w:rsid w:val="7E6854DB"/>
    <w:rsid w:val="7E6C43B3"/>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5C5B37"/>
    <w:rsid w:val="7F6566E6"/>
    <w:rsid w:val="7F6A7C64"/>
    <w:rsid w:val="7F6B0BA4"/>
    <w:rsid w:val="7F6E0CE1"/>
    <w:rsid w:val="7F6F6E86"/>
    <w:rsid w:val="7F8A3738"/>
    <w:rsid w:val="7F8B3191"/>
    <w:rsid w:val="7F8E4655"/>
    <w:rsid w:val="7F8E6809"/>
    <w:rsid w:val="7F987985"/>
    <w:rsid w:val="7F9C63C5"/>
    <w:rsid w:val="7F9E0C2E"/>
    <w:rsid w:val="7FA23301"/>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6">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sz w:val="21"/>
      <w:szCs w:val="21"/>
    </w:rPr>
  </w:style>
  <w:style w:type="character" w:styleId="8">
    <w:name w:val="FollowedHyperlink"/>
    <w:basedOn w:val="6"/>
    <w:qFormat/>
    <w:uiPriority w:val="0"/>
    <w:rPr>
      <w:color w:val="4D7AD8"/>
      <w:u w:val="none"/>
    </w:rPr>
  </w:style>
  <w:style w:type="character" w:styleId="9">
    <w:name w:val="HTML Definition"/>
    <w:basedOn w:val="6"/>
    <w:qFormat/>
    <w:uiPriority w:val="0"/>
    <w:rPr>
      <w:i/>
      <w:bdr w:val="single" w:color="D9D9D9" w:sz="6" w:space="0"/>
      <w:shd w:val="clear" w:fill="FFFFFF"/>
    </w:rPr>
  </w:style>
  <w:style w:type="character" w:styleId="10">
    <w:name w:val="Hyperlink"/>
    <w:basedOn w:val="6"/>
    <w:qFormat/>
    <w:uiPriority w:val="0"/>
    <w:rPr>
      <w:color w:val="0000FF"/>
      <w:u w:val="single"/>
    </w:rPr>
  </w:style>
  <w:style w:type="character" w:styleId="11">
    <w:name w:val="HTML Code"/>
    <w:basedOn w:val="6"/>
    <w:qFormat/>
    <w:uiPriority w:val="0"/>
    <w:rPr>
      <w:rFonts w:hint="default" w:ascii="Consolas" w:hAnsi="Consolas" w:eastAsia="Consolas" w:cs="Consolas"/>
      <w:sz w:val="21"/>
      <w:szCs w:val="21"/>
    </w:rPr>
  </w:style>
  <w:style w:type="character" w:styleId="12">
    <w:name w:val="HTML Keyboard"/>
    <w:basedOn w:val="6"/>
    <w:qFormat/>
    <w:uiPriority w:val="0"/>
    <w:rPr>
      <w:rFonts w:ascii="Consolas" w:hAnsi="Consolas" w:eastAsia="Consolas" w:cs="Consolas"/>
      <w:color w:val="666666"/>
      <w:sz w:val="21"/>
      <w:szCs w:val="21"/>
    </w:rPr>
  </w:style>
  <w:style w:type="character" w:styleId="13">
    <w:name w:val="HTML Sample"/>
    <w:basedOn w:val="6"/>
    <w:qFormat/>
    <w:uiPriority w:val="0"/>
    <w:rPr>
      <w:rFonts w:hint="default" w:ascii="Consolas" w:hAnsi="Consolas" w:eastAsia="Consolas" w:cs="Consolas"/>
      <w:sz w:val="21"/>
      <w:szCs w:val="21"/>
    </w:rPr>
  </w:style>
  <w:style w:type="table" w:styleId="15">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first-child2"/>
    <w:basedOn w:val="6"/>
    <w:qFormat/>
    <w:uiPriority w:val="0"/>
    <w:rPr>
      <w:sz w:val="13"/>
      <w:szCs w:val="13"/>
    </w:rPr>
  </w:style>
  <w:style w:type="character" w:customStyle="1" w:styleId="17">
    <w:name w:val="ant-select-tree-switcher"/>
    <w:basedOn w:val="6"/>
    <w:qFormat/>
    <w:uiPriority w:val="0"/>
  </w:style>
  <w:style w:type="character" w:customStyle="1" w:styleId="18">
    <w:name w:val="ant-tree-iconele"/>
    <w:basedOn w:val="6"/>
    <w:qFormat/>
    <w:uiPriority w:val="0"/>
  </w:style>
  <w:style w:type="character" w:customStyle="1" w:styleId="19">
    <w:name w:val="ant-radio+*"/>
    <w:basedOn w:val="6"/>
    <w:qFormat/>
    <w:uiPriority w:val="0"/>
  </w:style>
  <w:style w:type="character" w:customStyle="1" w:styleId="20">
    <w:name w:val="selected4"/>
    <w:basedOn w:val="6"/>
    <w:qFormat/>
    <w:uiPriority w:val="0"/>
  </w:style>
  <w:style w:type="character" w:customStyle="1" w:styleId="21">
    <w:name w:val="selected5"/>
    <w:basedOn w:val="6"/>
    <w:qFormat/>
    <w:uiPriority w:val="0"/>
  </w:style>
  <w:style w:type="character" w:customStyle="1" w:styleId="22">
    <w:name w:val="selected6"/>
    <w:basedOn w:val="6"/>
    <w:qFormat/>
    <w:uiPriority w:val="0"/>
  </w:style>
  <w:style w:type="character" w:customStyle="1" w:styleId="23">
    <w:name w:val="button"/>
    <w:basedOn w:val="6"/>
    <w:qFormat/>
    <w:uiPriority w:val="0"/>
  </w:style>
  <w:style w:type="character" w:customStyle="1" w:styleId="24">
    <w:name w:val="hover19"/>
    <w:basedOn w:val="6"/>
    <w:qFormat/>
    <w:uiPriority w:val="0"/>
    <w:rPr>
      <w:color w:val="009DFF"/>
    </w:rPr>
  </w:style>
  <w:style w:type="character" w:customStyle="1" w:styleId="25">
    <w:name w:val="hover20"/>
    <w:basedOn w:val="6"/>
    <w:qFormat/>
    <w:uiPriority w:val="0"/>
    <w:rPr>
      <w:color w:val="009DFF"/>
    </w:rPr>
  </w:style>
  <w:style w:type="character" w:customStyle="1" w:styleId="26">
    <w:name w:val="ant-tree-switcher"/>
    <w:basedOn w:val="6"/>
    <w:qFormat/>
    <w:uiPriority w:val="0"/>
  </w:style>
  <w:style w:type="character" w:customStyle="1" w:styleId="27">
    <w:name w:val="ant-select-tree-checkbox2"/>
    <w:basedOn w:val="6"/>
    <w:qFormat/>
    <w:uiPriority w:val="0"/>
  </w:style>
  <w:style w:type="character" w:customStyle="1" w:styleId="28">
    <w:name w:val="ant-select-tree-iconele"/>
    <w:basedOn w:val="6"/>
    <w:qFormat/>
    <w:uiPriority w:val="0"/>
  </w:style>
  <w:style w:type="character" w:customStyle="1" w:styleId="29">
    <w:name w:val="ant-tree-checkbox6"/>
    <w:basedOn w:val="6"/>
    <w:qFormat/>
    <w:uiPriority w:val="0"/>
  </w:style>
  <w:style w:type="character" w:customStyle="1" w:styleId="30">
    <w:name w:val="wea-thumbnails-doc-content-subtitle"/>
    <w:basedOn w:val="6"/>
    <w:qFormat/>
    <w:uiPriority w:val="0"/>
    <w:rPr>
      <w:color w:val="9A9A9A"/>
    </w:rPr>
  </w:style>
  <w:style w:type="character" w:customStyle="1" w:styleId="31">
    <w:name w:val="ht_nestinglevel"/>
    <w:basedOn w:val="6"/>
    <w:qFormat/>
    <w:uiPriority w:val="0"/>
  </w:style>
  <w:style w:type="character" w:customStyle="1" w:styleId="32">
    <w:name w:val="ht_nestinglevel_empty"/>
    <w:basedOn w:val="6"/>
    <w:qFormat/>
    <w:uiPriority w:val="0"/>
  </w:style>
  <w:style w:type="character" w:customStyle="1" w:styleId="33">
    <w:name w:val="colheader"/>
    <w:basedOn w:val="6"/>
    <w:qFormat/>
    <w:uiPriority w:val="0"/>
  </w:style>
  <w:style w:type="character" w:customStyle="1" w:styleId="34">
    <w:name w:val="ant-tree-checkbox"/>
    <w:basedOn w:val="6"/>
    <w:qFormat/>
    <w:uiPriority w:val="0"/>
  </w:style>
  <w:style w:type="character" w:customStyle="1" w:styleId="35">
    <w:name w:val="first-child"/>
    <w:basedOn w:val="6"/>
    <w:qFormat/>
    <w:uiPriority w:val="0"/>
    <w:rPr>
      <w:sz w:val="13"/>
      <w:szCs w:val="13"/>
    </w:rPr>
  </w:style>
  <w:style w:type="character" w:customStyle="1" w:styleId="36">
    <w:name w:val="ant-tree-switcher6"/>
    <w:basedOn w:val="6"/>
    <w:qFormat/>
    <w:uiPriority w:val="0"/>
  </w:style>
  <w:style w:type="character" w:customStyle="1" w:styleId="37">
    <w:name w:val="selected"/>
    <w:basedOn w:val="6"/>
    <w:qFormat/>
    <w:uiPriority w:val="0"/>
  </w:style>
  <w:style w:type="character" w:customStyle="1" w:styleId="38">
    <w:name w:val="selected1"/>
    <w:basedOn w:val="6"/>
    <w:qFormat/>
    <w:uiPriority w:val="0"/>
  </w:style>
  <w:style w:type="character" w:customStyle="1" w:styleId="39">
    <w:name w:val="selected2"/>
    <w:basedOn w:val="6"/>
    <w:qFormat/>
    <w:uiPriority w:val="0"/>
  </w:style>
  <w:style w:type="character" w:customStyle="1" w:styleId="40">
    <w:name w:val="ant-select-tree-checkbox"/>
    <w:basedOn w:val="6"/>
    <w:qFormat/>
    <w:uiPriority w:val="0"/>
  </w:style>
  <w:style w:type="character" w:customStyle="1" w:styleId="41">
    <w:name w:val="ant-tree-switcher5"/>
    <w:basedOn w:val="6"/>
    <w:qFormat/>
    <w:uiPriority w:val="0"/>
  </w:style>
  <w:style w:type="character" w:customStyle="1" w:styleId="42">
    <w:name w:val="selected7"/>
    <w:basedOn w:val="6"/>
    <w:qFormat/>
    <w:uiPriority w:val="0"/>
  </w:style>
  <w:style w:type="character" w:customStyle="1" w:styleId="43">
    <w:name w:val="selected11"/>
    <w:basedOn w:val="6"/>
    <w:qFormat/>
    <w:uiPriority w:val="0"/>
  </w:style>
  <w:style w:type="character" w:customStyle="1" w:styleId="44">
    <w:name w:val="selected12"/>
    <w:basedOn w:val="6"/>
    <w:qFormat/>
    <w:uiPriority w:val="0"/>
  </w:style>
  <w:style w:type="character" w:customStyle="1" w:styleId="45">
    <w:name w:val="selected13"/>
    <w:basedOn w:val="6"/>
    <w:qFormat/>
    <w:uiPriority w:val="0"/>
  </w:style>
  <w:style w:type="character" w:customStyle="1" w:styleId="46">
    <w:name w:val="selected8"/>
    <w:basedOn w:val="6"/>
    <w:qFormat/>
    <w:uiPriority w:val="0"/>
  </w:style>
  <w:style w:type="character" w:customStyle="1" w:styleId="47">
    <w:name w:val="selected9"/>
    <w:basedOn w:val="6"/>
    <w:qFormat/>
    <w:uiPriority w:val="0"/>
  </w:style>
  <w:style w:type="character" w:customStyle="1" w:styleId="48">
    <w:name w:val="selected10"/>
    <w:basedOn w:val="6"/>
    <w:qFormat/>
    <w:uiPriority w:val="0"/>
  </w:style>
  <w:style w:type="character" w:customStyle="1" w:styleId="49">
    <w:name w:val="hover18"/>
    <w:basedOn w:val="6"/>
    <w:qFormat/>
    <w:uiPriority w:val="0"/>
    <w:rPr>
      <w:color w:val="009DFF"/>
    </w:rPr>
  </w:style>
  <w:style w:type="character" w:customStyle="1" w:styleId="50">
    <w:name w:val="ant-tree-checkbox5"/>
    <w:basedOn w:val="6"/>
    <w:qFormat/>
    <w:uiPriority w:val="0"/>
  </w:style>
  <w:style w:type="character" w:customStyle="1" w:styleId="51">
    <w:name w:val="ant-tree-switcher4"/>
    <w:basedOn w:val="6"/>
    <w:qFormat/>
    <w:uiPriority w:val="0"/>
  </w:style>
  <w:style w:type="character" w:customStyle="1" w:styleId="52">
    <w:name w:val="hover"/>
    <w:basedOn w:val="6"/>
    <w:qFormat/>
    <w:uiPriority w:val="0"/>
    <w:rPr>
      <w:color w:val="009DFF"/>
    </w:rPr>
  </w:style>
  <w:style w:type="character" w:customStyle="1" w:styleId="53">
    <w:name w:val="hover1"/>
    <w:basedOn w:val="6"/>
    <w:qFormat/>
    <w:uiPriority w:val="0"/>
    <w:rPr>
      <w:color w:val="009DFF"/>
    </w:rPr>
  </w:style>
  <w:style w:type="character" w:customStyle="1" w:styleId="54">
    <w:name w:val="hover15"/>
    <w:basedOn w:val="6"/>
    <w:qFormat/>
    <w:uiPriority w:val="0"/>
    <w:rPr>
      <w:color w:val="009DFF"/>
    </w:rPr>
  </w:style>
  <w:style w:type="character" w:customStyle="1" w:styleId="55">
    <w:name w:val="hover16"/>
    <w:basedOn w:val="6"/>
    <w:qFormat/>
    <w:uiPriority w:val="0"/>
    <w:rPr>
      <w:color w:val="009DFF"/>
    </w:rPr>
  </w:style>
  <w:style w:type="character" w:customStyle="1" w:styleId="56">
    <w:name w:val="ant-tree-checkbox4"/>
    <w:basedOn w:val="6"/>
    <w:qFormat/>
    <w:uiPriority w:val="0"/>
  </w:style>
  <w:style w:type="character" w:customStyle="1" w:styleId="57">
    <w:name w:val="hover17"/>
    <w:basedOn w:val="6"/>
    <w:qFormat/>
    <w:uiPriority w:val="0"/>
    <w:rPr>
      <w:color w:val="009DFF"/>
    </w:rPr>
  </w:style>
  <w:style w:type="character" w:customStyle="1" w:styleId="58">
    <w:name w:val="hover14"/>
    <w:basedOn w:val="6"/>
    <w:qFormat/>
    <w:uiPriority w:val="0"/>
    <w:rPr>
      <w:color w:val="009DFF"/>
    </w:rPr>
  </w:style>
  <w:style w:type="character" w:customStyle="1" w:styleId="59">
    <w:name w:val="hover13"/>
    <w:basedOn w:val="6"/>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57</TotalTime>
  <ScaleCrop>false</ScaleCrop>
  <LinksUpToDate>false</LinksUpToDate>
  <CharactersWithSpaces>0</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admin</cp:lastModifiedBy>
  <cp:lastPrinted>2024-09-20T03:10:00Z</cp:lastPrinted>
  <dcterms:modified xsi:type="dcterms:W3CDTF">2024-09-20T06:40:18Z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2AFE29251F2D47119EA111B2B617C6AF_13</vt:lpwstr>
  </property>
</Properties>
</file>