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32</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278</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8</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9</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全球</w:t>
      </w:r>
      <w:r>
        <w:rPr>
          <w:rFonts w:hint="eastAsia"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7月31日（周三）</w:t>
      </w:r>
      <w:r>
        <w:rPr>
          <w:rFonts w:hint="default" w:ascii="Times New Roman" w:hAnsi="Times New Roman" w:eastAsia="方正楷体_GBK" w:cs="Times New Roman"/>
          <w:b/>
          <w:bCs w:val="0"/>
          <w:color w:val="auto"/>
          <w:spacing w:val="-20"/>
          <w:kern w:val="36"/>
          <w:sz w:val="30"/>
          <w:szCs w:val="30"/>
          <w:lang w:val="en-US" w:eastAsia="zh-CN"/>
        </w:rPr>
        <w:t>欧元区经济增长不平衡，欧央行货币政策遇难题</w:t>
      </w:r>
      <w:r>
        <w:rPr>
          <w:rFonts w:hint="eastAsia" w:ascii="Times New Roman" w:hAnsi="Times New Roman" w:eastAsia="方正楷体_GBK" w:cs="Times New Roman"/>
          <w:b/>
          <w:bCs w:val="0"/>
          <w:color w:val="auto"/>
          <w:spacing w:val="-20"/>
          <w:kern w:val="36"/>
          <w:sz w:val="30"/>
          <w:szCs w:val="30"/>
          <w:lang w:val="en-US" w:eastAsia="zh-CN"/>
        </w:rPr>
        <w:t xml:space="preserve"> / 01</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eastAsia" w:ascii="Times New Roman" w:hAnsi="Times New Roman" w:eastAsia="方正楷体_GBK" w:cs="Times New Roman"/>
          <w:b/>
          <w:bCs w:val="0"/>
          <w:color w:val="auto"/>
          <w:spacing w:val="-11"/>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8月2日（周五）</w:t>
      </w:r>
      <w:r>
        <w:rPr>
          <w:rFonts w:hint="default" w:ascii="Times New Roman" w:hAnsi="Times New Roman" w:eastAsia="方正楷体_GBK" w:cs="Times New Roman"/>
          <w:b/>
          <w:bCs w:val="0"/>
          <w:color w:val="auto"/>
          <w:spacing w:val="-11"/>
          <w:kern w:val="36"/>
          <w:sz w:val="30"/>
          <w:szCs w:val="30"/>
          <w:lang w:val="en-US" w:eastAsia="zh-CN"/>
        </w:rPr>
        <w:t>联邦基金利率维持不变，从盯住通胀到关注就业</w:t>
      </w:r>
      <w:r>
        <w:rPr>
          <w:rFonts w:hint="eastAsia" w:ascii="Times New Roman" w:hAnsi="Times New Roman" w:eastAsia="方正楷体_GBK" w:cs="Times New Roman"/>
          <w:b/>
          <w:bCs w:val="0"/>
          <w:color w:val="auto"/>
          <w:spacing w:val="-11"/>
          <w:kern w:val="36"/>
          <w:sz w:val="30"/>
          <w:szCs w:val="30"/>
          <w:lang w:val="en-US" w:eastAsia="zh-CN"/>
        </w:rPr>
        <w:t xml:space="preserve"> / 02</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8月3日（周六）统计数据虽然不明，英国央行决定降息</w:t>
      </w:r>
      <w:r>
        <w:rPr>
          <w:rFonts w:hint="eastAsia" w:ascii="Times New Roman" w:hAnsi="Times New Roman" w:eastAsia="方正楷体_GBK" w:cs="Times New Roman"/>
          <w:b/>
          <w:bCs w:val="0"/>
          <w:color w:val="auto"/>
          <w:spacing w:val="0"/>
          <w:kern w:val="36"/>
          <w:sz w:val="30"/>
          <w:szCs w:val="30"/>
          <w:lang w:val="en-US" w:eastAsia="zh-CN"/>
        </w:rPr>
        <w:t xml:space="preserve"> / 06</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68" w:firstLineChars="200"/>
        <w:jc w:val="left"/>
        <w:textAlignment w:val="auto"/>
        <w:rPr>
          <w:rFonts w:hint="default" w:ascii="Times New Roman" w:hAnsi="Times New Roman" w:eastAsia="方正楷体_GBK" w:cs="Times New Roman"/>
          <w:b/>
          <w:bCs w:val="0"/>
          <w:color w:val="auto"/>
          <w:spacing w:val="0"/>
          <w:kern w:val="36"/>
          <w:sz w:val="30"/>
          <w:szCs w:val="30"/>
          <w:lang w:val="en-US" w:eastAsia="zh-CN"/>
        </w:rPr>
      </w:pPr>
      <w:r>
        <w:rPr>
          <w:rFonts w:hint="default" w:ascii="Times New Roman" w:hAnsi="Times New Roman" w:eastAsia="方正楷体_GBK" w:cs="Times New Roman"/>
          <w:b/>
          <w:bCs w:val="0"/>
          <w:color w:val="auto"/>
          <w:spacing w:val="0"/>
          <w:kern w:val="36"/>
          <w:sz w:val="30"/>
          <w:szCs w:val="30"/>
          <w:lang w:val="en-US" w:eastAsia="zh-CN"/>
        </w:rPr>
        <w:t>8月6日（周二）周一全球股市重挫，是负面消息推动的吗？</w:t>
      </w:r>
      <w:r>
        <w:rPr>
          <w:rFonts w:hint="eastAsia" w:ascii="Times New Roman" w:hAnsi="Times New Roman" w:eastAsia="方正楷体_GBK" w:cs="Times New Roman"/>
          <w:b/>
          <w:bCs w:val="0"/>
          <w:color w:val="auto"/>
          <w:spacing w:val="0"/>
          <w:kern w:val="36"/>
          <w:sz w:val="30"/>
          <w:szCs w:val="30"/>
          <w:lang w:val="en-US" w:eastAsia="zh-CN"/>
        </w:rPr>
        <w:t xml:space="preserve"> / 10</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6"/>
          <w:kern w:val="36"/>
          <w:sz w:val="30"/>
          <w:szCs w:val="30"/>
          <w:lang w:val="en-US" w:eastAsia="zh-CN"/>
        </w:rPr>
        <w:t>8月7日（周三）</w:t>
      </w:r>
      <w:r>
        <w:rPr>
          <w:rFonts w:hint="default" w:ascii="Times New Roman" w:hAnsi="Times New Roman" w:eastAsia="方正楷体_GBK" w:cs="Times New Roman"/>
          <w:b/>
          <w:bCs w:val="0"/>
          <w:color w:val="auto"/>
          <w:spacing w:val="0"/>
          <w:kern w:val="36"/>
          <w:sz w:val="30"/>
          <w:szCs w:val="30"/>
          <w:lang w:val="en-US" w:eastAsia="zh-CN"/>
        </w:rPr>
        <w:t>孟加拉国政权更迭，经济发展成绩斐然</w:t>
      </w:r>
      <w:r>
        <w:rPr>
          <w:rFonts w:hint="eastAsia" w:ascii="Times New Roman" w:hAnsi="Times New Roman" w:eastAsia="方正楷体_GBK" w:cs="Times New Roman"/>
          <w:b/>
          <w:bCs w:val="0"/>
          <w:color w:val="auto"/>
          <w:spacing w:val="-6"/>
          <w:kern w:val="36"/>
          <w:sz w:val="30"/>
          <w:szCs w:val="30"/>
          <w:lang w:val="en-US" w:eastAsia="zh-CN"/>
        </w:rPr>
        <w:t xml:space="preserve"> / 15</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6"/>
          <w:kern w:val="36"/>
          <w:sz w:val="30"/>
          <w:szCs w:val="30"/>
          <w:lang w:val="en-US" w:eastAsia="zh-CN"/>
        </w:rPr>
        <w:t>8月8日（周四）日本央行表态，萨姆本人解释，金融市场走稳</w:t>
      </w:r>
      <w:r>
        <w:rPr>
          <w:rFonts w:hint="eastAsia" w:ascii="Times New Roman" w:hAnsi="Times New Roman" w:eastAsia="方正楷体_GBK" w:cs="Times New Roman"/>
          <w:b/>
          <w:bCs w:val="0"/>
          <w:color w:val="auto"/>
          <w:spacing w:val="-6"/>
          <w:kern w:val="36"/>
          <w:sz w:val="30"/>
          <w:szCs w:val="30"/>
          <w:lang w:val="en-US" w:eastAsia="zh-CN"/>
        </w:rPr>
        <w:t xml:space="preserve"> / 21</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r>
        <w:rPr>
          <w:rFonts w:hint="default" w:ascii="Times New Roman" w:hAnsi="Times New Roman" w:eastAsia="方正楷体_GBK" w:cs="Times New Roman"/>
          <w:b/>
          <w:bCs w:val="0"/>
          <w:color w:val="auto"/>
          <w:spacing w:val="-6"/>
          <w:kern w:val="36"/>
          <w:sz w:val="30"/>
          <w:szCs w:val="30"/>
          <w:lang w:val="en-US" w:eastAsia="zh-CN"/>
        </w:rPr>
        <w:t>8月9日（周五）申请失业金数据公布，衰退恐慌情绪暂消散</w:t>
      </w:r>
      <w:r>
        <w:rPr>
          <w:rFonts w:hint="eastAsia" w:ascii="Times New Roman" w:hAnsi="Times New Roman" w:eastAsia="方正楷体_GBK" w:cs="Times New Roman"/>
          <w:b/>
          <w:bCs w:val="0"/>
          <w:color w:val="auto"/>
          <w:spacing w:val="-6"/>
          <w:kern w:val="36"/>
          <w:sz w:val="30"/>
          <w:szCs w:val="30"/>
          <w:lang w:val="en-US" w:eastAsia="zh-CN"/>
        </w:rPr>
        <w:t xml:space="preserve"> / 23</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544" w:firstLineChars="200"/>
        <w:jc w:val="left"/>
        <w:textAlignment w:val="auto"/>
        <w:rPr>
          <w:rFonts w:hint="default" w:ascii="Times New Roman" w:hAnsi="Times New Roman" w:eastAsia="方正楷体_GBK" w:cs="Times New Roman"/>
          <w:b/>
          <w:bCs w:val="0"/>
          <w:color w:val="auto"/>
          <w:spacing w:val="-6"/>
          <w:kern w:val="36"/>
          <w:sz w:val="30"/>
          <w:szCs w:val="30"/>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eastAsia" w:ascii="方正楷体_GBK" w:hAnsi="方正楷体_GBK" w:eastAsia="方正楷体_GBK" w:cs="方正楷体_GBK"/>
          <w:b/>
          <w:color w:val="auto"/>
          <w:kern w:val="36"/>
          <w:sz w:val="30"/>
          <w:szCs w:val="30"/>
          <w:lang w:val="en-US" w:eastAsia="zh-CN"/>
        </w:rPr>
        <w:t xml:space="preserve">江苏新能源产业出口合规风险排查徐州专场成功举办 / </w:t>
      </w:r>
      <w:r>
        <w:rPr>
          <w:rFonts w:hint="default" w:ascii="Times New Roman" w:hAnsi="Times New Roman" w:eastAsia="方正楷体_GBK" w:cs="Times New Roman"/>
          <w:b/>
          <w:color w:val="auto"/>
          <w:kern w:val="36"/>
          <w:sz w:val="30"/>
          <w:szCs w:val="30"/>
          <w:lang w:val="en-US" w:eastAsia="zh-CN"/>
        </w:rPr>
        <w:t>2</w:t>
      </w:r>
      <w:r>
        <w:rPr>
          <w:rFonts w:hint="eastAsia" w:ascii="Times New Roman" w:hAnsi="Times New Roman" w:eastAsia="方正楷体_GBK" w:cs="Times New Roman"/>
          <w:b/>
          <w:color w:val="auto"/>
          <w:kern w:val="36"/>
          <w:sz w:val="30"/>
          <w:szCs w:val="30"/>
          <w:lang w:val="en-US" w:eastAsia="zh-CN"/>
        </w:rPr>
        <w:t>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44" w:firstLineChars="200"/>
        <w:contextualSpacing/>
        <w:jc w:val="left"/>
        <w:textAlignment w:val="auto"/>
        <w:outlineLvl w:val="1"/>
        <w:rPr>
          <w:rFonts w:hint="eastAsia"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6"/>
          <w:kern w:val="36"/>
          <w:sz w:val="30"/>
          <w:szCs w:val="30"/>
          <w:lang w:val="en-US" w:eastAsia="zh-CN"/>
        </w:rPr>
        <w:t>常州市“十百千”贸促经贸大讲堂RCEP专场在钟楼区举行</w:t>
      </w:r>
      <w:r>
        <w:rPr>
          <w:rFonts w:hint="eastAsia" w:ascii="方正楷体_GBK" w:hAnsi="方正楷体_GBK" w:eastAsia="方正楷体_GBK" w:cs="方正楷体_GBK"/>
          <w:b/>
          <w:color w:val="auto"/>
          <w:kern w:val="36"/>
          <w:sz w:val="30"/>
          <w:szCs w:val="30"/>
          <w:lang w:val="en-US" w:eastAsia="zh-CN"/>
        </w:rPr>
        <w:t xml:space="preserve"> / </w:t>
      </w:r>
      <w:r>
        <w:rPr>
          <w:rFonts w:hint="default" w:ascii="Times New Roman" w:hAnsi="Times New Roman" w:eastAsia="方正楷体_GBK" w:cs="Times New Roman"/>
          <w:b/>
          <w:color w:val="auto"/>
          <w:kern w:val="36"/>
          <w:sz w:val="30"/>
          <w:szCs w:val="30"/>
          <w:lang w:val="en-US" w:eastAsia="zh-CN"/>
        </w:rPr>
        <w:t>2</w:t>
      </w:r>
      <w:r>
        <w:rPr>
          <w:rFonts w:hint="eastAsia" w:ascii="Times New Roman" w:hAnsi="Times New Roman" w:eastAsia="方正楷体_GBK" w:cs="Times New Roman"/>
          <w:b/>
          <w:color w:val="auto"/>
          <w:kern w:val="36"/>
          <w:sz w:val="30"/>
          <w:szCs w:val="30"/>
          <w:lang w:val="en-US" w:eastAsia="zh-CN"/>
        </w:rPr>
        <w:t>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488" w:firstLineChars="200"/>
        <w:contextualSpacing/>
        <w:jc w:val="left"/>
        <w:textAlignment w:val="auto"/>
        <w:outlineLvl w:val="1"/>
        <w:rPr>
          <w:rFonts w:hint="default" w:ascii="方正楷体_GBK" w:hAnsi="方正楷体_GBK" w:eastAsia="方正楷体_GBK" w:cs="方正楷体_GBK"/>
          <w:b/>
          <w:color w:val="auto"/>
          <w:kern w:val="36"/>
          <w:sz w:val="30"/>
          <w:szCs w:val="30"/>
          <w:lang w:val="en-US" w:eastAsia="zh-CN"/>
        </w:rPr>
      </w:pPr>
      <w:r>
        <w:rPr>
          <w:rFonts w:hint="default" w:ascii="方正楷体_GBK" w:hAnsi="方正楷体_GBK" w:eastAsia="方正楷体_GBK" w:cs="方正楷体_GBK"/>
          <w:b/>
          <w:color w:val="auto"/>
          <w:spacing w:val="-20"/>
          <w:kern w:val="36"/>
          <w:sz w:val="30"/>
          <w:szCs w:val="30"/>
          <w:lang w:val="en-US" w:eastAsia="zh-CN"/>
        </w:rPr>
        <w:t>镇江市商务局、市贸促会（国际商会）召开五金工具行业企业座谈会</w:t>
      </w:r>
      <w:r>
        <w:rPr>
          <w:rFonts w:hint="eastAsia" w:ascii="方正楷体_GBK" w:hAnsi="方正楷体_GBK" w:eastAsia="方正楷体_GBK" w:cs="方正楷体_GBK"/>
          <w:b/>
          <w:color w:val="auto"/>
          <w:kern w:val="36"/>
          <w:sz w:val="30"/>
          <w:szCs w:val="30"/>
          <w:lang w:val="en-US" w:eastAsia="zh-CN"/>
        </w:rPr>
        <w:t xml:space="preserve"> / </w:t>
      </w:r>
      <w:r>
        <w:rPr>
          <w:rFonts w:hint="eastAsia" w:ascii="Times New Roman" w:hAnsi="Times New Roman" w:eastAsia="方正楷体_GBK" w:cs="Times New Roman"/>
          <w:b/>
          <w:color w:val="auto"/>
          <w:kern w:val="36"/>
          <w:sz w:val="30"/>
          <w:szCs w:val="30"/>
          <w:lang w:val="en-US" w:eastAsia="zh-CN"/>
        </w:rPr>
        <w:t>28</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会员企业风采 • </w:t>
      </w:r>
      <w:r>
        <w:rPr>
          <w:rFonts w:hint="default" w:ascii="Times New Roman" w:hAnsi="Times New Roman" w:eastAsia="宋体" w:cs="Times New Roman"/>
          <w:b/>
          <w:color w:val="FF0000"/>
          <w:kern w:val="36"/>
          <w:sz w:val="32"/>
          <w:szCs w:val="32"/>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00"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default" w:ascii="Times New Roman" w:hAnsi="Times New Roman" w:eastAsia="方正楷体_GBK" w:cs="Times New Roman"/>
          <w:b/>
          <w:color w:val="auto"/>
          <w:spacing w:val="-17"/>
          <w:kern w:val="36"/>
          <w:sz w:val="30"/>
          <w:szCs w:val="30"/>
          <w:lang w:val="en-US" w:eastAsia="zh-CN"/>
        </w:rPr>
        <w:t>中国信保江苏分公司与南京市人民政府签署新一轮深化战略合作协议</w:t>
      </w:r>
      <w:r>
        <w:rPr>
          <w:rFonts w:hint="eastAsia" w:ascii="Times New Roman" w:hAnsi="Times New Roman" w:eastAsia="方正楷体_GBK" w:cs="Times New Roman"/>
          <w:b/>
          <w:color w:val="auto"/>
          <w:spacing w:val="-17"/>
          <w:kern w:val="36"/>
          <w:sz w:val="30"/>
          <w:szCs w:val="30"/>
          <w:lang w:val="en-US" w:eastAsia="zh-CN"/>
        </w:rPr>
        <w:t xml:space="preserve"> / 29</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68"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尚德电力稳居欧洲受欢迎组件供应商前列 / 30</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240" w:lineRule="auto"/>
        <w:ind w:firstLine="500" w:firstLineChars="200"/>
        <w:contextualSpacing/>
        <w:textAlignment w:val="auto"/>
        <w:outlineLvl w:val="1"/>
        <w:rPr>
          <w:rFonts w:hint="default" w:ascii="Times New Roman" w:hAnsi="Times New Roman" w:eastAsia="方正楷体_GBK" w:cs="Times New Roman"/>
          <w:b/>
          <w:color w:val="auto"/>
          <w:spacing w:val="-17"/>
          <w:kern w:val="36"/>
          <w:sz w:val="30"/>
          <w:szCs w:val="30"/>
          <w:lang w:val="en-US" w:eastAsia="zh-CN"/>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r>
        <w:rPr>
          <w:rFonts w:hint="default" w:ascii="Times New Roman" w:hAnsi="Times New Roman" w:eastAsia="方正楷体_GBK" w:cs="Times New Roman"/>
          <w:b/>
          <w:color w:val="auto"/>
          <w:spacing w:val="-17"/>
          <w:kern w:val="36"/>
          <w:sz w:val="30"/>
          <w:szCs w:val="30"/>
          <w:lang w:val="en-US" w:eastAsia="zh-CN"/>
        </w:rPr>
        <w:t>ESG报告：彰显灵通践行绿色会展，推动会展业高质量发展的行业使命</w:t>
      </w:r>
      <w:r>
        <w:rPr>
          <w:rFonts w:hint="eastAsia" w:ascii="Times New Roman" w:hAnsi="Times New Roman" w:eastAsia="方正楷体_GBK" w:cs="Times New Roman"/>
          <w:b/>
          <w:color w:val="auto"/>
          <w:spacing w:val="-17"/>
          <w:kern w:val="36"/>
          <w:sz w:val="30"/>
          <w:szCs w:val="30"/>
          <w:lang w:val="en-US" w:eastAsia="zh-CN"/>
        </w:rPr>
        <w:t xml:space="preserve"> / 31</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left"/>
        <w:textAlignment w:val="auto"/>
        <w:rPr>
          <w:rFonts w:hint="eastAsia" w:ascii="Calibri" w:hAnsi="Calibri"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7月31日（周三）</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jc w:val="center"/>
        <w:textAlignment w:val="auto"/>
        <w:rPr>
          <w:rFonts w:hint="eastAsia" w:ascii="Calibri" w:hAnsi="Calibri" w:cs="Calibri"/>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欧元区经济增长不平衡，欧央行货币政策遇难题</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default"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整个2023年，欧元区经济增长乏力，从今年一季度开始复苏，二季度继续保持增长。7月30日（周二），欧盟统计局公布，二季度GDP环比增速为0.3%，与一季度持平。二季度欧元区的经济增长，主要依靠法国和西班牙，两国的增长均好于预期（见表格一）。</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59264" behindDoc="0" locked="0" layoutInCell="1" allowOverlap="1">
            <wp:simplePos x="0" y="0"/>
            <wp:positionH relativeFrom="column">
              <wp:posOffset>2583815</wp:posOffset>
            </wp:positionH>
            <wp:positionV relativeFrom="paragraph">
              <wp:posOffset>2589530</wp:posOffset>
            </wp:positionV>
            <wp:extent cx="2908935" cy="2031365"/>
            <wp:effectExtent l="0" t="0" r="5715" b="6985"/>
            <wp:wrapSquare wrapText="bothSides"/>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
                    <a:stretch>
                      <a:fillRect/>
                    </a:stretch>
                  </pic:blipFill>
                  <pic:spPr>
                    <a:xfrm>
                      <a:off x="0" y="0"/>
                      <a:ext cx="2908935" cy="203136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drawing>
          <wp:anchor distT="0" distB="0" distL="114300" distR="114300" simplePos="0" relativeHeight="251658240" behindDoc="0" locked="0" layoutInCell="1" allowOverlap="1">
            <wp:simplePos x="0" y="0"/>
            <wp:positionH relativeFrom="column">
              <wp:posOffset>233045</wp:posOffset>
            </wp:positionH>
            <wp:positionV relativeFrom="paragraph">
              <wp:posOffset>47625</wp:posOffset>
            </wp:positionV>
            <wp:extent cx="5183505" cy="1585595"/>
            <wp:effectExtent l="0" t="0" r="17145" b="14605"/>
            <wp:wrapTopAndBottom/>
            <wp:docPr id="10" name="图片 10" descr="图片1-7月3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7月31日"/>
                    <pic:cNvPicPr>
                      <a:picLocks noChangeAspect="1"/>
                    </pic:cNvPicPr>
                  </pic:nvPicPr>
                  <pic:blipFill>
                    <a:blip r:embed="rId7"/>
                    <a:stretch>
                      <a:fillRect/>
                    </a:stretch>
                  </pic:blipFill>
                  <pic:spPr>
                    <a:xfrm>
                      <a:off x="0" y="0"/>
                      <a:ext cx="5183505" cy="1585595"/>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但德国，欧元区第一大经济体，其二季度经济产出较上一季度萎缩了0.1%（见表格），PMI数据显示，7月份欧元区的服务业和制造业的扩张速度为近5个月来最低，而且，欧元区和德国的制造业都显著低于50线。德国是全球重要的制造业经济体，但其制造业PMI自2022年7月跌破50线之后，便一直在线下徘徊（如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“采购经理人指数”（PMI, Purchasing Managers' Index）是一项用于衡量制造业和服务业活动的指标，通过调查企业采购经理人的意见来反映经济状况。PMI指数以50为分界线，数值高于50表示经济活动扩张，数值低于50表示经济活动收缩。具体数值的大小反映了经济活动的增长或衰退程度。</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6月份，欧洲央行将利率从4%下调至3.75%，7月份维持不变。目前的经济数据给欧洲央行的决策人们提出一个难题，如何设定利率，使之既适合欧元区快速复苏经济体（法国、西班牙），也适合平缓增长的经济体（意大利），同时</w:t>
      </w:r>
      <w:r>
        <w:rPr>
          <w:rFonts w:hint="eastAsia" w:asciiTheme="minorEastAsia" w:hAnsiTheme="minorEastAsia" w:eastAsiaTheme="minorEastAsia" w:cstheme="minorEastAsia"/>
          <w:sz w:val="32"/>
          <w:szCs w:val="32"/>
          <w:highlight w:val="none"/>
          <w:lang w:val="en-US" w:eastAsia="zh-CN"/>
        </w:rPr>
        <w:t>还</w:t>
      </w:r>
      <w:r>
        <w:rPr>
          <w:rFonts w:hint="eastAsia" w:asciiTheme="minorEastAsia" w:hAnsiTheme="minorEastAsia" w:eastAsiaTheme="minorEastAsia" w:cstheme="minorEastAsia"/>
          <w:sz w:val="32"/>
          <w:szCs w:val="32"/>
          <w:lang w:val="en-US" w:eastAsia="zh-CN"/>
        </w:rPr>
        <w:t>要适合仍在收缩的最大经济体，绝非易事。欧洲央行将于9月份召开下一次议息会议，希望在此之前德国经济能加快复苏，与欧元区其他工业国保持同步。</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欧盟是我国第二大贸易伙伴，仅次于东盟。欧盟经济增长乏力，从中欧双边的贸易额变化中可见一斑（见表格）。</w:t>
      </w:r>
    </w:p>
    <w:p>
      <w:pPr>
        <w:rPr>
          <w:rFonts w:hint="eastAsia" w:ascii="Calibri" w:hAnsi="Calibri" w:cs="Calibri"/>
          <w:sz w:val="32"/>
          <w:szCs w:val="32"/>
          <w:lang w:val="en-US" w:eastAsia="zh-CN"/>
        </w:rPr>
      </w:pPr>
      <w:r>
        <w:rPr>
          <w:rFonts w:hint="eastAsia" w:ascii="Calibri" w:hAnsi="Calibri" w:cs="Calibri"/>
          <w:lang w:val="en-US" w:eastAsia="zh-CN"/>
        </w:rPr>
        <w:drawing>
          <wp:anchor distT="0" distB="0" distL="114300" distR="114300" simplePos="0" relativeHeight="251660288" behindDoc="0" locked="0" layoutInCell="1" allowOverlap="1">
            <wp:simplePos x="0" y="0"/>
            <wp:positionH relativeFrom="column">
              <wp:posOffset>185420</wp:posOffset>
            </wp:positionH>
            <wp:positionV relativeFrom="paragraph">
              <wp:posOffset>78740</wp:posOffset>
            </wp:positionV>
            <wp:extent cx="5036185" cy="1280795"/>
            <wp:effectExtent l="0" t="0" r="12065" b="14605"/>
            <wp:wrapTopAndBottom/>
            <wp:docPr id="12" name="图片 12" descr="图片2-7月31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2-7月31日"/>
                    <pic:cNvPicPr>
                      <a:picLocks noChangeAspect="1"/>
                    </pic:cNvPicPr>
                  </pic:nvPicPr>
                  <pic:blipFill>
                    <a:blip r:embed="rId8"/>
                    <a:stretch>
                      <a:fillRect/>
                    </a:stretch>
                  </pic:blipFill>
                  <pic:spPr>
                    <a:xfrm>
                      <a:off x="0" y="0"/>
                      <a:ext cx="5036185" cy="12807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8月2日（周五）</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联邦基金利率维持不变，从盯住通胀到关注就业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7月30日，美国劳工部公布了相关就业市场数据；次日，ADP公布“小非农数据”（见表格）。</w:t>
      </w:r>
    </w:p>
    <w:p>
      <w:pPr>
        <w:rPr>
          <w:rFonts w:hint="eastAsia" w:ascii="Calibri" w:hAnsi="Calibri" w:cs="Calibri"/>
          <w:sz w:val="21"/>
          <w:szCs w:val="21"/>
          <w:lang w:val="en-US" w:eastAsia="zh-CN"/>
        </w:rPr>
      </w:pPr>
      <w:r>
        <w:rPr>
          <w:rFonts w:hint="eastAsia" w:ascii="Calibri" w:hAnsi="Calibri" w:cs="Calibri"/>
          <w:sz w:val="21"/>
          <w:szCs w:val="21"/>
          <w:lang w:val="en-US" w:eastAsia="zh-CN"/>
        </w:rPr>
        <w:drawing>
          <wp:anchor distT="0" distB="0" distL="114300" distR="114300" simplePos="0" relativeHeight="251661312" behindDoc="0" locked="0" layoutInCell="1" allowOverlap="1">
            <wp:simplePos x="0" y="0"/>
            <wp:positionH relativeFrom="column">
              <wp:posOffset>354330</wp:posOffset>
            </wp:positionH>
            <wp:positionV relativeFrom="paragraph">
              <wp:posOffset>240665</wp:posOffset>
            </wp:positionV>
            <wp:extent cx="4855210" cy="896620"/>
            <wp:effectExtent l="0" t="0" r="2540" b="17780"/>
            <wp:wrapTopAndBottom/>
            <wp:docPr id="13" name="图片 13" descr="图片3-8月2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8月2日"/>
                    <pic:cNvPicPr>
                      <a:picLocks noChangeAspect="1"/>
                    </pic:cNvPicPr>
                  </pic:nvPicPr>
                  <pic:blipFill>
                    <a:blip r:embed="rId9"/>
                    <a:stretch>
                      <a:fillRect/>
                    </a:stretch>
                  </pic:blipFill>
                  <pic:spPr>
                    <a:xfrm>
                      <a:off x="0" y="0"/>
                      <a:ext cx="4855210" cy="8966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其中，ADP的12.2万人，是今年以来的最低，显示出劳动力需求趋缓的迹象，同时，薪资上涨速度也滑落至3年最慢。这与</w:t>
      </w:r>
      <w:r>
        <w:rPr>
          <w:rFonts w:hint="eastAsia" w:asciiTheme="minorEastAsia" w:hAnsiTheme="minorEastAsia" w:eastAsiaTheme="minorEastAsia" w:cstheme="minorEastAsia"/>
          <w:sz w:val="32"/>
          <w:szCs w:val="32"/>
          <w:vertAlign w:val="baseline"/>
          <w:lang w:val="en-US" w:eastAsia="zh-CN"/>
        </w:rPr>
        <w:t>二季度劳工成本指数季环比数据可以相互印证。可见，</w:t>
      </w:r>
      <w:r>
        <w:rPr>
          <w:rFonts w:hint="eastAsia" w:asciiTheme="minorEastAsia" w:hAnsiTheme="minorEastAsia" w:eastAsiaTheme="minorEastAsia" w:cstheme="minorEastAsia"/>
          <w:sz w:val="32"/>
          <w:szCs w:val="32"/>
          <w:lang w:val="en-US" w:eastAsia="zh-CN"/>
        </w:rPr>
        <w:t>此前鲍威尔称“就业市场不再是一股（推动）通胀的力量”，是有数据支撑的。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b/>
          <w:bCs/>
          <w:sz w:val="32"/>
          <w:szCs w:val="32"/>
          <w:lang w:val="en-US" w:eastAsia="zh-CN"/>
        </w:rPr>
        <w:t>非农就业人口变动</w:t>
      </w:r>
      <w:r>
        <w:rPr>
          <w:rFonts w:hint="eastAsia" w:asciiTheme="minorEastAsia" w:hAnsiTheme="minorEastAsia" w:eastAsiaTheme="minorEastAsia" w:cstheme="minorEastAsia"/>
          <w:sz w:val="32"/>
          <w:szCs w:val="32"/>
          <w:lang w:val="en-US" w:eastAsia="zh-CN"/>
        </w:rPr>
        <w:t>”（ Nonfarm Employment Change），是就业市场的重要指标，其衡量非农部门（不包括农业部门）在特定月份内新增的就业岗位数量，因此也称为“新增非农就业岗位”。它能反映经济体的就业情况和经济增长的强度，通常情况下，就业岗位增加，意味着更多的人获得了工作机会和收入来源，也是经济增长和繁荣的标志。</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w:t>
      </w:r>
      <w:r>
        <w:rPr>
          <w:rFonts w:hint="eastAsia" w:asciiTheme="minorEastAsia" w:hAnsiTheme="minorEastAsia" w:eastAsiaTheme="minorEastAsia" w:cstheme="minorEastAsia"/>
          <w:b/>
          <w:bCs/>
          <w:sz w:val="32"/>
          <w:szCs w:val="32"/>
          <w:lang w:val="en-US" w:eastAsia="zh-CN"/>
        </w:rPr>
        <w:t>小非农数据</w:t>
      </w:r>
      <w:r>
        <w:rPr>
          <w:rFonts w:hint="eastAsia" w:asciiTheme="minorEastAsia" w:hAnsiTheme="minorEastAsia" w:eastAsiaTheme="minorEastAsia" w:cstheme="minorEastAsia"/>
          <w:sz w:val="32"/>
          <w:szCs w:val="32"/>
          <w:lang w:val="en-US" w:eastAsia="zh-CN"/>
        </w:rPr>
        <w:t>”，是指由“自动数据处理公司”（ADP，Automatic Data Processing, Inc.）发布的美国非农部门就业人口的变化情况。ADP通过对美国境内众多企业的雇佣情况进行调查和数据收集得出，每个月发布。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ADP的非农数据可以与美国劳工部发布的官方数据进行比较和对照，所以被市场称为“小非农数据”；相应的，劳工部统计局发布的数据被称为“</w:t>
      </w:r>
      <w:r>
        <w:rPr>
          <w:rFonts w:hint="eastAsia" w:asciiTheme="minorEastAsia" w:hAnsiTheme="minorEastAsia" w:eastAsiaTheme="minorEastAsia" w:cstheme="minorEastAsia"/>
          <w:b/>
          <w:bCs/>
          <w:sz w:val="32"/>
          <w:szCs w:val="32"/>
          <w:lang w:val="en-US" w:eastAsia="zh-CN"/>
        </w:rPr>
        <w:t>大非农数据</w:t>
      </w:r>
      <w:r>
        <w:rPr>
          <w:rFonts w:hint="eastAsia" w:asciiTheme="minorEastAsia" w:hAnsiTheme="minorEastAsia" w:eastAsiaTheme="minorEastAsia" w:cstheme="minorEastAsia"/>
          <w:sz w:val="32"/>
          <w:szCs w:val="32"/>
          <w:lang w:val="en-US" w:eastAsia="zh-CN"/>
        </w:rPr>
        <w:t>”。前者比后者发布的日期稍早，因此具有前瞻指引的作用，被市场广泛关注。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8月1日（周四），美联储年内第五次议息会议结束，会议决定</w:t>
      </w:r>
      <w:r>
        <w:rPr>
          <w:rFonts w:hint="eastAsia" w:asciiTheme="minorEastAsia" w:hAnsiTheme="minorEastAsia" w:eastAsiaTheme="minorEastAsia" w:cstheme="minorEastAsia"/>
          <w:b/>
          <w:bCs/>
          <w:sz w:val="32"/>
          <w:szCs w:val="32"/>
          <w:lang w:val="en-US" w:eastAsia="zh-CN"/>
        </w:rPr>
        <w:t>，维持5.25%至5.5%的基准利率区间不变</w:t>
      </w:r>
      <w:r>
        <w:rPr>
          <w:rFonts w:hint="eastAsia" w:asciiTheme="minorEastAsia" w:hAnsiTheme="minorEastAsia" w:eastAsiaTheme="minorEastAsia" w:cstheme="minorEastAsia"/>
          <w:sz w:val="32"/>
          <w:szCs w:val="32"/>
          <w:lang w:val="en-US" w:eastAsia="zh-CN"/>
        </w:rPr>
        <w:t>，符合市场的预期。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利率决议公布后，美联储主席鲍威尔召开货币政策新闻发布会。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他说：在此次会议上，确实进行了关于降息的深入讨论，委员会的共识正逐渐接近于降息。抗击通胀已经取得实质性进展，对实现2%的目标通胀率充满信心。宏观经济数据并未显示出经济疲软或过热的迹象。9月份降息在考虑之中，如果通胀率如预期下降，最快将在9月份选择降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他进一步解释说，第二季度通胀数据增加了美联储的信心，美联储不再需要100%地关注通胀。如果劳动力市场恶化或者通胀迅速下降，美联储准备做出反应（即提前降息）。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Calibri" w:hAnsi="Calibri" w:eastAsia="宋体" w:cs="Calibri"/>
          <w:sz w:val="32"/>
          <w:szCs w:val="32"/>
          <w:lang w:val="en-US" w:eastAsia="zh-CN"/>
        </w:rPr>
      </w:pPr>
      <w:r>
        <w:rPr>
          <w:sz w:val="32"/>
          <w:szCs w:val="32"/>
        </w:rPr>
        <w:drawing>
          <wp:anchor distT="0" distB="0" distL="114300" distR="114300" simplePos="0" relativeHeight="251662336" behindDoc="0" locked="0" layoutInCell="1" allowOverlap="1">
            <wp:simplePos x="0" y="0"/>
            <wp:positionH relativeFrom="column">
              <wp:posOffset>2432050</wp:posOffset>
            </wp:positionH>
            <wp:positionV relativeFrom="paragraph">
              <wp:posOffset>581660</wp:posOffset>
            </wp:positionV>
            <wp:extent cx="2966085" cy="2617470"/>
            <wp:effectExtent l="0" t="0" r="5715" b="1143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2966085" cy="261747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本周决议没有发布新的点阵图，9月份将进行新的季度更新。如果美联储9月采取行动，那么11月份和12月份继续降息的可能性就非常大。自去年以来，</w:t>
      </w:r>
      <w:r>
        <w:rPr>
          <w:rFonts w:hint="eastAsia" w:asciiTheme="minorEastAsia" w:hAnsiTheme="minorEastAsia" w:eastAsiaTheme="minorEastAsia" w:cstheme="minorEastAsia"/>
          <w:b/>
          <w:bCs/>
          <w:sz w:val="32"/>
          <w:szCs w:val="32"/>
          <w:lang w:val="en-US" w:eastAsia="zh-CN"/>
        </w:rPr>
        <w:t>点阵图显示，一旦开始降息，大约每个季度都会降息一次，每次降息幅度为25个基点</w:t>
      </w:r>
      <w:r>
        <w:rPr>
          <w:rFonts w:hint="eastAsia" w:asciiTheme="minorEastAsia" w:hAnsiTheme="minorEastAsia" w:eastAsiaTheme="minorEastAsia" w:cstheme="minorEastAsia"/>
          <w:sz w:val="32"/>
          <w:szCs w:val="32"/>
          <w:lang w:val="en-US" w:eastAsia="zh-CN"/>
        </w:rPr>
        <w:t>（如图）。即，一旦利率委员会开始降息，就很可能连</w:t>
      </w:r>
      <w:r>
        <w:rPr>
          <w:rFonts w:hint="eastAsia" w:asciiTheme="minorEastAsia" w:hAnsiTheme="minorEastAsia" w:cstheme="minorEastAsia"/>
          <w:sz w:val="32"/>
          <w:szCs w:val="32"/>
          <w:lang w:val="en-US" w:eastAsia="zh-CN"/>
        </w:rPr>
        <w:t>续</w:t>
      </w:r>
      <w:r>
        <w:rPr>
          <w:rFonts w:hint="eastAsia" w:asciiTheme="minorEastAsia" w:hAnsiTheme="minorEastAsia" w:eastAsiaTheme="minorEastAsia" w:cstheme="minorEastAsia"/>
          <w:sz w:val="32"/>
          <w:szCs w:val="32"/>
          <w:lang w:val="en-US" w:eastAsia="zh-CN"/>
        </w:rPr>
        <w:t>行动。</w:t>
      </w:r>
    </w:p>
    <w:p>
      <w:pPr>
        <w:keepNext w:val="0"/>
        <w:keepLines w:val="0"/>
        <w:pageBreakBefore w:val="0"/>
        <w:widowControl w:val="0"/>
        <w:kinsoku/>
        <w:wordWrap/>
        <w:overflowPunct/>
        <w:topLinePunct w:val="0"/>
        <w:autoSpaceDE/>
        <w:autoSpaceDN/>
        <w:bidi w:val="0"/>
        <w:adjustRightInd/>
        <w:snapToGrid/>
        <w:ind w:firstLine="388" w:firstLineChars="200"/>
        <w:jc w:val="left"/>
        <w:textAlignment w:val="auto"/>
      </w:pP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所谓“点阵图”（Dot Plot），是3月、6月、9月和12月的美联储议息会议上，与会者对未来数年的利率走势进行预测，预测结果以点阵图形式记录并呈现出来。</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点阵图的横轴表示时间跨度，纵轴代表利率水平，每个点代表一位与会者对未来利率水平的预期。在这个图中，上下每一行的移动通常代表25个基点（0.25%）的变化。</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点阵图上共有19个预测点，显示出19位参会者的观点，提供了更全面的视角，反映了更广泛的意见和预期。</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近年来，美国联邦政府的预算赤字巨大且不断攀升。新冠疫情期间赤字大幅增加，是不得已之举；但自疫情结束之后，赤字再难以恢复到疫情前的水平（如图）。</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3360" behindDoc="0" locked="0" layoutInCell="1" allowOverlap="1">
            <wp:simplePos x="0" y="0"/>
            <wp:positionH relativeFrom="column">
              <wp:posOffset>64770</wp:posOffset>
            </wp:positionH>
            <wp:positionV relativeFrom="paragraph">
              <wp:posOffset>224790</wp:posOffset>
            </wp:positionV>
            <wp:extent cx="3044190" cy="2124710"/>
            <wp:effectExtent l="0" t="0" r="3810" b="8890"/>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3044190" cy="212471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赤字只能由债务弥补，美国财政部仍将加大发债规模。目前的美国国债规模已达35万亿美元，2023年，联邦政府的国债利息支出达到了6590亿美元，占联邦政府总支出的10%以上。</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2023年，美国的联邦财政收入约为4.4万亿美元，比上年下降了约4570亿美元，财政支出约为6.1万亿美元，财政赤字达到近1.7万亿美元，比上一年增加了23%，发债规模自然随赤字扩张。</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如果美联储今年开始降息，将减少国债的利息支出，从而减轻财政赤字进一步加大的压力。因此，美联储的新闻发布会后，美债市场稍显放松，10年期美债收益率随之走低。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不但美债，鉴于未来降息后利差缩小，非美货币对美元的汇率也初显上涨，其中日元表现得尤其突出。</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作为世界货币的发行机构，美联储的一举一动都关系到全球金融市场和实体经济的状态和波动</w:t>
      </w:r>
      <w:r>
        <w:rPr>
          <w:rFonts w:hint="eastAsia" w:asciiTheme="minorEastAsia" w:hAnsiTheme="minorEastAsia" w:eastAsiaTheme="minorEastAsia" w:cstheme="minorEastAsia"/>
          <w:sz w:val="32"/>
          <w:szCs w:val="32"/>
          <w:lang w:val="en-US" w:eastAsia="zh-CN"/>
        </w:rPr>
        <w:t>。</w:t>
      </w:r>
    </w:p>
    <w:p>
      <w:pPr>
        <w:rPr>
          <w:rFonts w:hint="eastAsia" w:ascii="Calibri" w:hAnsi="Calibri" w:cs="Calibri"/>
          <w:sz w:val="32"/>
          <w:szCs w:val="32"/>
          <w:lang w:val="en-US" w:eastAsia="zh-CN"/>
        </w:rPr>
      </w:pPr>
    </w:p>
    <w:p>
      <w:pPr>
        <w:rPr>
          <w:rFonts w:hint="eastAsia" w:ascii="Calibri" w:hAnsi="Calibri" w:cs="Calibri"/>
          <w:sz w:val="32"/>
          <w:szCs w:val="32"/>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8月3日（周六）</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统计数据虽然不明，英国央行决定降息</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8月1日（周四），英格兰银行（英国央行）宣布降息0.25个百分点，这是自2021年12月中旬升息以来的首次降息，意味着升息周期的结束。</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4384" behindDoc="0" locked="0" layoutInCell="1" allowOverlap="1">
            <wp:simplePos x="0" y="0"/>
            <wp:positionH relativeFrom="column">
              <wp:posOffset>2139315</wp:posOffset>
            </wp:positionH>
            <wp:positionV relativeFrom="paragraph">
              <wp:posOffset>528320</wp:posOffset>
            </wp:positionV>
            <wp:extent cx="3430270" cy="2395220"/>
            <wp:effectExtent l="0" t="0" r="17780" b="508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430270" cy="239522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此次利率调整，英国央行货币政策委员会的投票结果是5比4，说明决策层内部存在较大的意见分歧。这是因为英国经济发出的信号好坏参半，难以做出判断。</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具体来说，CPI同比已回落至英国央行2%的目标水平，但数据显示近期的下降很大程度是由食品和能源价格下跌所推动的，剔除这些类别之后的</w:t>
      </w:r>
      <w:r>
        <w:rPr>
          <w:rFonts w:hint="eastAsia" w:asciiTheme="minorEastAsia" w:hAnsiTheme="minorEastAsia" w:eastAsiaTheme="minorEastAsia" w:cstheme="minorEastAsia"/>
          <w:b/>
          <w:bCs/>
          <w:sz w:val="32"/>
          <w:szCs w:val="32"/>
          <w:lang w:val="en-US" w:eastAsia="zh-CN"/>
        </w:rPr>
        <w:t>核心通胀率则为3.5%</w:t>
      </w:r>
      <w:r>
        <w:rPr>
          <w:rFonts w:hint="eastAsia" w:asciiTheme="minorEastAsia" w:hAnsiTheme="minorEastAsia" w:eastAsiaTheme="minorEastAsia" w:cstheme="minorEastAsia"/>
          <w:sz w:val="32"/>
          <w:szCs w:val="32"/>
          <w:lang w:val="en-US" w:eastAsia="zh-CN"/>
        </w:rPr>
        <w:t>（见图）。许多经济学家认为，“</w:t>
      </w:r>
      <w:r>
        <w:rPr>
          <w:rFonts w:hint="eastAsia" w:asciiTheme="minorEastAsia" w:hAnsiTheme="minorEastAsia" w:eastAsiaTheme="minorEastAsia" w:cstheme="minorEastAsia"/>
          <w:b/>
          <w:bCs/>
          <w:sz w:val="32"/>
          <w:szCs w:val="32"/>
          <w:lang w:val="en-US" w:eastAsia="zh-CN"/>
        </w:rPr>
        <w:t>服务业通胀率”才是衡量潜在通胀压力的更好指标，目前该指标仍高达5.7%</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与此同时，今年以来英国的失业率上升了0.6个百分点，达到4.4%。简言之，一方面潜在的通胀压力犹存，通胀存在反扑的可能；另一方面，就业市场疲软，经济亦有衰退的可能。而且，二者还存在着一定的联系，就业市场冷却，对通胀也能起到遏制作用。</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在央行的工作中，一些不确定性是不可避免的。经济数据往往杂乱无章、自相矛盾，在短期内尤甚，统计部门还经常在事后修改发布过的数据，一个指标可能要历经“初值”“修正值”和“终值”，方才确实。</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一些最可靠的指标，比如GDP，需要数月时间才能编制完成，有时还没发布就已经“过时”了。这里说的“过时”，指的是情况又发生的新的变化，该数据虽然真实，但无法表现当前的实</w:t>
      </w:r>
      <w:r>
        <w:rPr>
          <w:rFonts w:hint="eastAsia" w:asciiTheme="minorEastAsia" w:hAnsiTheme="minorEastAsia" w:cstheme="minorEastAsia"/>
          <w:sz w:val="32"/>
          <w:szCs w:val="32"/>
          <w:lang w:val="en-US" w:eastAsia="zh-CN"/>
        </w:rPr>
        <w:t>际</w:t>
      </w:r>
      <w:r>
        <w:rPr>
          <w:rFonts w:hint="eastAsia" w:asciiTheme="minorEastAsia" w:hAnsiTheme="minorEastAsia" w:eastAsiaTheme="minorEastAsia" w:cstheme="minorEastAsia"/>
          <w:sz w:val="32"/>
          <w:szCs w:val="32"/>
          <w:lang w:val="en-US" w:eastAsia="zh-CN"/>
        </w:rPr>
        <w:t>情况。</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default"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除了经济统计工作本身的局限之外，目前英国的经济形势也变得特别复杂，难以解读。</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首先，看通胀率。</w:t>
      </w:r>
      <w:r>
        <w:rPr>
          <w:rFonts w:hint="eastAsia" w:asciiTheme="minorEastAsia" w:hAnsiTheme="minorEastAsia" w:eastAsiaTheme="minorEastAsia" w:cstheme="minorEastAsia"/>
          <w:sz w:val="32"/>
          <w:szCs w:val="32"/>
          <w:lang w:val="en-US" w:eastAsia="zh-CN"/>
        </w:rPr>
        <w:t>英国央行的核心工作目标是控制通胀率，除了上述的“核心通胀率”和“服务业通胀率”存在隐忧之外，其他相关指标，比如“名义工资增长率”高至5.2%，也让人担心，名义工资增长过快，会推动消费需求，从而支撑价格水平（通胀率）。所以说，综合通胀率（CPI同比）确实已降至2%，但通胀难题远未解决。</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其次，看经济增长和就业市场。</w:t>
      </w:r>
      <w:r>
        <w:rPr>
          <w:rFonts w:hint="eastAsia" w:asciiTheme="minorEastAsia" w:hAnsiTheme="minorEastAsia" w:eastAsiaTheme="minorEastAsia" w:cstheme="minorEastAsia"/>
          <w:sz w:val="32"/>
          <w:szCs w:val="32"/>
          <w:lang w:val="en-US" w:eastAsia="zh-CN"/>
        </w:rPr>
        <w:t>二者的情况同样不明朗。在截至5月份的12个月里，GDP增长了1.5%，好于市场的预期，但英国央行的经济学家们认为，这只是英国经济走出衰退后的短暂上冲，不具持续性；因此，他们在利率决议的报告中写道：“潜在的增长势头似乎有所减弱。”</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rPr>
        <w:drawing>
          <wp:anchor distT="0" distB="0" distL="114300" distR="114300" simplePos="0" relativeHeight="251665408" behindDoc="0" locked="0" layoutInCell="1" allowOverlap="1">
            <wp:simplePos x="0" y="0"/>
            <wp:positionH relativeFrom="column">
              <wp:posOffset>2505075</wp:posOffset>
            </wp:positionH>
            <wp:positionV relativeFrom="paragraph">
              <wp:posOffset>240665</wp:posOffset>
            </wp:positionV>
            <wp:extent cx="3096895" cy="2162175"/>
            <wp:effectExtent l="0" t="0" r="8255" b="9525"/>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3096895" cy="216217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与此观点相印证的是，就业市场的降温似乎有些过快：失业率上升，职位空缺减少（见图）。就业市场轻微降温，本应有助于控制通胀，但若急剧恶化，则是经济将崩坏的前奏。</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第三，数据本身的质量也在下降。</w:t>
      </w:r>
      <w:r>
        <w:rPr>
          <w:rFonts w:hint="eastAsia" w:asciiTheme="minorEastAsia" w:hAnsiTheme="minorEastAsia" w:eastAsiaTheme="minorEastAsia" w:cstheme="minorEastAsia"/>
          <w:sz w:val="32"/>
          <w:szCs w:val="32"/>
          <w:lang w:val="en-US" w:eastAsia="zh-CN"/>
        </w:rPr>
        <w:t>对利率决策最重要的两个数据是失业率和通货膨胀率，这两个数据最近都出现了问题。</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用于计算失业率的劳动力调查，在新冠疫情期间调查的回复率显著下降，之后一直没有完全恢复，可靠性便打了折扣。当前，英国国家统计局正在对该调查进行重编，新系统的数据异常波动，难以解读。</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最新的6月份通胀数据，也因酒店价格读数异常偏高而失真。数据调查人员将这一现象归结为个别价格数据异动，他们解释说，6月泰勒·斯威夫特（Taylor Swift）在爱丁堡、利物浦等多地举办的巡回演唱会，导致了英国6月酒店业的整体价格上涨。</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2023年5月，碧昂斯（Beyoncé）在瑞典首都斯德哥尔摩举办巡回演唱会，4.6万歌迷涌入瑞典，瑞典全境酒店价格飙升。当月，瑞典的CPI同比上涨9.7%，高于预期。经济学家们不得不承认，超级巨星的巡演会真能推高消费价格指数，刺激通货膨胀。</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t>综上所述，当数据出现分歧，并存在相互作用，且数据本身的质量存在瑕疵时，央行要作出货币政策的调整，着实困难，但等待完美信息出现，央行的行动必然滞后。2021年和2022年通胀上升时英国央行加息太慢，其货币政策委员会因此遭受广泛的批评。</w:t>
      </w:r>
    </w:p>
    <w:p>
      <w:pPr>
        <w:keepNext w:val="0"/>
        <w:keepLines w:val="0"/>
        <w:pageBreakBefore w:val="0"/>
        <w:widowControl w:val="0"/>
        <w:kinsoku/>
        <w:wordWrap/>
        <w:overflowPunct/>
        <w:topLinePunct w:val="0"/>
        <w:autoSpaceDE/>
        <w:autoSpaceDN/>
        <w:bidi w:val="0"/>
        <w:adjustRightInd/>
        <w:snapToGrid/>
        <w:ind w:left="0" w:leftChars="0" w:firstLine="388" w:firstLineChars="200"/>
        <w:jc w:val="left"/>
        <w:textAlignment w:val="auto"/>
      </w:pPr>
      <w:r>
        <w:drawing>
          <wp:anchor distT="0" distB="0" distL="114300" distR="114300" simplePos="0" relativeHeight="251666432" behindDoc="0" locked="0" layoutInCell="1" allowOverlap="1">
            <wp:simplePos x="0" y="0"/>
            <wp:positionH relativeFrom="column">
              <wp:posOffset>573405</wp:posOffset>
            </wp:positionH>
            <wp:positionV relativeFrom="paragraph">
              <wp:posOffset>43815</wp:posOffset>
            </wp:positionV>
            <wp:extent cx="4168775" cy="2380615"/>
            <wp:effectExtent l="0" t="0" r="3175" b="635"/>
            <wp:wrapTopAndBottom/>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4168775" cy="23806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eastAsia="zh-CN"/>
        </w:rPr>
        <w:t>（图：英格兰银行）</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default" w:ascii="Calibri" w:hAnsi="Calibri" w:eastAsia="宋体" w:cs="Calibri"/>
          <w:lang w:val="en-US" w:eastAsia="zh-CN"/>
        </w:rPr>
      </w:pPr>
      <w:r>
        <w:rPr>
          <w:rFonts w:hint="eastAsia" w:asciiTheme="minorEastAsia" w:hAnsiTheme="minorEastAsia" w:eastAsiaTheme="minorEastAsia" w:cstheme="minorEastAsia"/>
          <w:sz w:val="32"/>
          <w:szCs w:val="32"/>
          <w:lang w:val="en-US" w:eastAsia="zh-CN"/>
        </w:rPr>
        <w:t>目前，几大发达经济体的央行都已经降低了利率，美联储在7月31日的议息会议上也表示，有可能在9月份采取行动。央行们面对着相同的难题，一方面，通胀失控是央行工作的最大失职；另一方面，当经济放缓，仍保持政策紧缩、扼杀增长，也是失职</w:t>
      </w:r>
      <w:r>
        <w:rPr>
          <w:rFonts w:hint="eastAsia" w:ascii="Calibri" w:hAnsi="Calibri" w:eastAsia="宋体" w:cs="Calibri"/>
          <w:lang w:val="en-US" w:eastAsia="zh-CN"/>
        </w:rPr>
        <w:t>。</w:t>
      </w:r>
    </w:p>
    <w:p>
      <w:pPr>
        <w:rPr>
          <w:rFonts w:hint="eastAsia" w:ascii="Calibri" w:hAnsi="Calibri" w:eastAsia="宋体" w:cs="Calibri"/>
          <w:highlight w:val="green"/>
          <w:lang w:val="en-US" w:eastAsia="zh-CN"/>
        </w:rPr>
      </w:pPr>
    </w:p>
    <w:p>
      <w:pPr>
        <w:rPr>
          <w:rFonts w:hint="eastAsia" w:ascii="Calibri" w:hAnsi="Calibri" w:eastAsia="宋体" w:cs="Calibri"/>
          <w:highlight w:val="green"/>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8月6日（周二）</w:t>
      </w:r>
    </w:p>
    <w:p>
      <w:pPr>
        <w:jc w:val="center"/>
        <w:rPr>
          <w:rFonts w:hint="eastAsia"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周一全球股市重挫，是负面消息推动的吗？</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8月5日（周一），全球股市暴跌。美国道琼斯工业平均指数和标普500指数，分别下跌2.6%和3%，创下近两年来最大跌幅。欧洲斯托克斯600指数下跌了2.2%。日本的基准指数“日经指数”，暴跌了12%，为1987年以来的最大跌幅。亚洲其他各大经济体的股市，都出现不同程度的下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lang w:val="en-US" w:eastAsia="zh-CN"/>
        </w:rPr>
      </w:pPr>
      <w:r>
        <w:rPr>
          <w:rFonts w:hint="eastAsia" w:asciiTheme="minorEastAsia" w:hAnsiTheme="minorEastAsia" w:eastAsiaTheme="minorEastAsia" w:cstheme="minorEastAsia"/>
          <w:sz w:val="32"/>
          <w:szCs w:val="32"/>
          <w:lang w:val="en-US" w:eastAsia="zh-CN"/>
        </w:rPr>
        <w:t>周一的大跌，从表面上看，是前期消息面利空积累，恐慌情绪发酵所致。具体上讲，是对美国经济衰退及人工智能浪潮退去的担忧</w:t>
      </w:r>
      <w:r>
        <w:rPr>
          <w:rFonts w:hint="eastAsia" w:asciiTheme="minorEastAsia" w:hAnsiTheme="minorEastAsia" w:eastAsiaTheme="minorEastAsia" w:cstheme="minorEastAsia"/>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日本位于亚洲东部时区，股市开盘时间比其他国家的股市都要早，即，日本股市是全球主要股市中第一个开盘的，投资者一般会根据日本市场的走势来调整其在其他市场的投资策略，因此日本股市表现有时会对其全球股市产生影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而本次，日本股市恰恰是恐慌情绪积聚最严重的地方。7月31日，即5天前，日本央行宣布将政策目标利率从0.1%左右上调至0.25%，</w:t>
      </w:r>
      <w:r>
        <w:rPr>
          <w:rFonts w:hint="eastAsia" w:asciiTheme="minorEastAsia" w:hAnsiTheme="minorEastAsia" w:eastAsiaTheme="minorEastAsia" w:cstheme="minorEastAsia"/>
          <w:sz w:val="32"/>
          <w:szCs w:val="32"/>
          <w:highlight w:val="none"/>
          <w:lang w:val="en-US" w:eastAsia="zh-CN"/>
        </w:rPr>
        <w:t>是</w:t>
      </w:r>
      <w:r>
        <w:rPr>
          <w:rFonts w:hint="eastAsia" w:asciiTheme="minorEastAsia" w:hAnsiTheme="minorEastAsia" w:eastAsiaTheme="minorEastAsia" w:cstheme="minorEastAsia"/>
          <w:sz w:val="32"/>
          <w:szCs w:val="32"/>
          <w:lang w:val="en-US" w:eastAsia="zh-CN"/>
        </w:rPr>
        <w:t>日本央行今年3月放弃负利率政策以来</w:t>
      </w:r>
      <w:r>
        <w:rPr>
          <w:rFonts w:hint="eastAsia" w:asciiTheme="minorEastAsia" w:hAnsiTheme="minorEastAsia" w:eastAsiaTheme="minorEastAsia" w:cstheme="minorEastAsia"/>
          <w:sz w:val="32"/>
          <w:szCs w:val="32"/>
          <w:highlight w:val="none"/>
          <w:lang w:val="en-US" w:eastAsia="zh-CN"/>
        </w:rPr>
        <w:t>的</w:t>
      </w:r>
      <w:r>
        <w:rPr>
          <w:rFonts w:hint="eastAsia" w:asciiTheme="minorEastAsia" w:hAnsiTheme="minorEastAsia" w:eastAsiaTheme="minorEastAsia" w:cstheme="minorEastAsia"/>
          <w:sz w:val="32"/>
          <w:szCs w:val="32"/>
          <w:lang w:val="en-US" w:eastAsia="zh-CN"/>
        </w:rPr>
        <w:t>第二次加息。</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lang w:val="en-US" w:eastAsia="zh-CN"/>
        </w:rPr>
      </w:pPr>
      <w:r>
        <w:rPr>
          <w:rFonts w:hint="eastAsia" w:asciiTheme="minorEastAsia" w:hAnsiTheme="minorEastAsia" w:eastAsiaTheme="minorEastAsia" w:cstheme="minorEastAsia"/>
          <w:sz w:val="32"/>
          <w:szCs w:val="32"/>
          <w:lang w:val="en-US" w:eastAsia="zh-CN"/>
        </w:rPr>
        <w:t>日本央行收紧货币政策，</w:t>
      </w:r>
      <w:r>
        <w:rPr>
          <w:rFonts w:hint="eastAsia" w:asciiTheme="minorEastAsia" w:hAnsiTheme="minorEastAsia" w:eastAsiaTheme="minorEastAsia" w:cstheme="minorEastAsia"/>
          <w:sz w:val="32"/>
          <w:szCs w:val="32"/>
          <w:highlight w:val="none"/>
          <w:lang w:val="en-US" w:eastAsia="zh-CN"/>
        </w:rPr>
        <w:t>既</w:t>
      </w:r>
      <w:r>
        <w:rPr>
          <w:rFonts w:hint="eastAsia" w:asciiTheme="minorEastAsia" w:hAnsiTheme="minorEastAsia" w:eastAsiaTheme="minorEastAsia" w:cstheme="minorEastAsia"/>
          <w:sz w:val="32"/>
          <w:szCs w:val="32"/>
          <w:lang w:val="en-US" w:eastAsia="zh-CN"/>
        </w:rPr>
        <w:t>是必然也是必须。目前，日本国内经济缓慢复苏，通胀率上行，逐渐走出了通货紧缩的阴霾；同时，由于美日利差巨大，套利交易盛行，日元兑美元汇率屡创新低，导致进口成本增加，企业和家庭支出成本上升，经营和生活压力加大。日本央行数次出手干预，在外汇市场上抛出外汇，买入日元，以支撑日元汇率，但效果无法持续，无谓地损失了外汇储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日本央行加息的决定，引发了金融市场的震动。日本股市出现了连续暴跌，截至8月5日，在8月份的仅3个交易日里，日经225指数就急挫了19.55%，抹去14个月以来所有涨幅。</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default" w:ascii="Calibri" w:hAnsi="Calibri" w:cs="Calibri"/>
          <w:lang w:val="en-US" w:eastAsia="zh-CN"/>
        </w:rPr>
      </w:pPr>
      <w:r>
        <w:rPr>
          <w:rFonts w:hint="eastAsia" w:asciiTheme="minorEastAsia" w:hAnsiTheme="minorEastAsia" w:eastAsiaTheme="minorEastAsia" w:cstheme="minorEastAsia"/>
          <w:sz w:val="32"/>
          <w:szCs w:val="32"/>
          <w:lang w:val="en-US" w:eastAsia="zh-CN"/>
        </w:rPr>
        <w:t>日本股市的恐慌情绪迅速蔓延到亚洲其他国家市场，之后开盘的欧洲股市也全线大跌。美股的股指期货在盘前已然暴跌，其中纳指期货跌超6%；苹果、英伟达等万亿美元市值的科技龙头，盘前跌幅都接近或超过10%；所有基金都被超卖，“恐慌指数”VIX更是在盘前飙升超180%,，飙升至65.73，历史上只有2008年次贷危机和2020年新冠疫情爆发，才超过该读数（见图）。</w:t>
      </w:r>
    </w:p>
    <w:p>
      <w:pPr>
        <w:rPr>
          <w:rFonts w:hint="eastAsia" w:ascii="Calibri" w:hAnsi="Calibri" w:cs="Calibri"/>
          <w:lang w:val="en-US" w:eastAsia="zh-CN"/>
        </w:rPr>
      </w:pPr>
      <w:r>
        <w:drawing>
          <wp:anchor distT="0" distB="0" distL="114300" distR="114300" simplePos="0" relativeHeight="251667456" behindDoc="0" locked="0" layoutInCell="1" allowOverlap="1">
            <wp:simplePos x="0" y="0"/>
            <wp:positionH relativeFrom="column">
              <wp:posOffset>301625</wp:posOffset>
            </wp:positionH>
            <wp:positionV relativeFrom="paragraph">
              <wp:posOffset>57150</wp:posOffset>
            </wp:positionV>
            <wp:extent cx="4954905" cy="2232025"/>
            <wp:effectExtent l="0" t="0" r="17145" b="15875"/>
            <wp:wrapTopAndBottom/>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15"/>
                    <a:stretch>
                      <a:fillRect/>
                    </a:stretch>
                  </pic:blipFill>
                  <pic:spPr>
                    <a:xfrm>
                      <a:off x="0" y="0"/>
                      <a:ext cx="4954905" cy="22320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bCs/>
          <w:sz w:val="32"/>
          <w:szCs w:val="32"/>
          <w:lang w:val="en-US" w:eastAsia="zh-CN"/>
        </w:rPr>
        <w:t>VIX</w:t>
      </w:r>
      <w:r>
        <w:rPr>
          <w:rFonts w:hint="eastAsia" w:asciiTheme="minorEastAsia" w:hAnsiTheme="minorEastAsia" w:eastAsiaTheme="minorEastAsia" w:cstheme="minorEastAsia"/>
          <w:b w:val="0"/>
          <w:bCs w:val="0"/>
          <w:sz w:val="32"/>
          <w:szCs w:val="32"/>
          <w:lang w:val="en-US" w:eastAsia="zh-CN"/>
        </w:rPr>
        <w:t>，</w:t>
      </w:r>
      <w:r>
        <w:rPr>
          <w:rFonts w:hint="eastAsia" w:asciiTheme="minorEastAsia" w:hAnsiTheme="minorEastAsia" w:eastAsiaTheme="minorEastAsia" w:cstheme="minorEastAsia"/>
          <w:sz w:val="32"/>
          <w:szCs w:val="32"/>
          <w:lang w:val="en-US" w:eastAsia="zh-CN"/>
        </w:rPr>
        <w:t>即“芝加哥期权交易所波动率指数”（Chicago Board Options Exchange Volatility Index），通常简称VIX。其通过测量市场对</w:t>
      </w:r>
      <w:r>
        <w:rPr>
          <w:rFonts w:hint="eastAsia" w:asciiTheme="minorEastAsia" w:hAnsiTheme="minorEastAsia" w:eastAsiaTheme="minorEastAsia" w:cstheme="minorEastAsia"/>
          <w:b/>
          <w:bCs/>
          <w:sz w:val="32"/>
          <w:szCs w:val="32"/>
          <w:lang w:val="en-US" w:eastAsia="zh-CN"/>
        </w:rPr>
        <w:t>未来30天标普500指数波动的预期</w:t>
      </w:r>
      <w:r>
        <w:rPr>
          <w:rFonts w:hint="eastAsia" w:asciiTheme="minorEastAsia" w:hAnsiTheme="minorEastAsia" w:eastAsiaTheme="minorEastAsia" w:cstheme="minorEastAsia"/>
          <w:sz w:val="32"/>
          <w:szCs w:val="32"/>
          <w:lang w:val="en-US" w:eastAsia="zh-CN"/>
        </w:rPr>
        <w:t>，来反映投资者对市场波动性的恐慌程度。VIX数值越高，表示投资者对未来市场波动的预期越大，通常也被视为市场情绪悲观或恐慌的体现，因此也被称为“市场恐慌指数”或“恐慌指标”。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实际上，在8月5日之前的一周，全球股市已经经历了一轮大幅抛售，主要原因是当周美国劳工部公布的7月“大非农就业报告”不及预期。报告数据显示，7月非农就业人数新增11.4万人，远低于预期的17.5万人。</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eastAsia" w:ascii="Calibri" w:hAnsi="Calibri" w:cs="Calibri"/>
          <w:lang w:val="en-US" w:eastAsia="zh-CN"/>
        </w:rPr>
      </w:pPr>
      <w:r>
        <w:drawing>
          <wp:anchor distT="0" distB="0" distL="114300" distR="114300" simplePos="0" relativeHeight="251668480" behindDoc="0" locked="0" layoutInCell="1" allowOverlap="1">
            <wp:simplePos x="0" y="0"/>
            <wp:positionH relativeFrom="column">
              <wp:posOffset>2265045</wp:posOffset>
            </wp:positionH>
            <wp:positionV relativeFrom="paragraph">
              <wp:posOffset>924560</wp:posOffset>
            </wp:positionV>
            <wp:extent cx="3185160" cy="1786890"/>
            <wp:effectExtent l="0" t="0" r="15240" b="3810"/>
            <wp:wrapSquare wrapText="bothSides"/>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6"/>
                    <a:stretch>
                      <a:fillRect/>
                    </a:stretch>
                  </pic:blipFill>
                  <pic:spPr>
                    <a:xfrm>
                      <a:off x="0" y="0"/>
                      <a:ext cx="3185160" cy="17868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失业率从6月的4.1%上升至4.3%，这也是自2021年10月以来的最高水平，并且触发了美联储倚重的衰退预测指标——“萨姆规则”（见图。到目前为止，“萨姆规则”的准确率为100%，关于该指标的解释，请见</w:t>
      </w:r>
      <w:r>
        <w:rPr>
          <w:rFonts w:hint="eastAsia" w:asciiTheme="minorEastAsia" w:hAnsiTheme="minorEastAsia" w:cstheme="minorEastAsia"/>
          <w:sz w:val="32"/>
          <w:szCs w:val="32"/>
          <w:lang w:val="en-US" w:eastAsia="zh-CN"/>
        </w:rPr>
        <w:t>第30</w:t>
      </w:r>
      <w:r>
        <w:rPr>
          <w:rFonts w:hint="eastAsia" w:asciiTheme="minorEastAsia" w:hAnsiTheme="minorEastAsia" w:eastAsiaTheme="minorEastAsia" w:cstheme="minorEastAsia"/>
          <w:sz w:val="32"/>
          <w:szCs w:val="32"/>
          <w:lang w:val="en-US" w:eastAsia="zh-CN"/>
        </w:rPr>
        <w:t>期“看劳动力市场变化，推测货币政策走向”一文）。</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7月“大非农报告”引发了投资者对美国就业市场疲软、经济陷入衰退的担忧，导致美股大幅下挫。但单一报告不可能成功预测经济的走向，因此市场预期8月5日（周一）大概率会出现反弹，但没料到周末又出现了一些新的负面消息，导致恐慌情绪发酵。</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周末最大的负面消息，是巴菲特减持美股。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美国证监会披露，在二季度，巴菲特的伯克希尔-哈撒韦公司卖掉了手中一半的苹果持仓；此外，从7月中旬以来，他还持续抛售美国银行的股票。伯克希尔-哈撒韦如此大规模的减持，在市场看来，是明明白白的撤退迹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b/>
          <w:bCs/>
          <w:sz w:val="32"/>
          <w:szCs w:val="32"/>
          <w:lang w:val="en-US" w:eastAsia="zh-CN"/>
        </w:rPr>
      </w:pPr>
      <w:r>
        <w:rPr>
          <w:rFonts w:hint="eastAsia" w:asciiTheme="minorEastAsia" w:hAnsiTheme="minorEastAsia" w:eastAsiaTheme="minorEastAsia" w:cstheme="minorEastAsia"/>
          <w:b/>
          <w:bCs/>
          <w:sz w:val="32"/>
          <w:szCs w:val="32"/>
          <w:lang w:val="en-US" w:eastAsia="zh-CN"/>
        </w:rPr>
        <w:t>第二个负面消息是关于英伟达的。</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最近有多家媒体报道了英伟达的Blackwell芯片因设计缺陷而推迟交货的消息。根据《The Information》的报道，英伟达新型AI芯片的发布将被推迟三个月甚至更长时间，这一问题可能会影响包括Meta、谷歌、微软在内的一批大客户，它们都已订购了价值数百亿美元的Blackwell芯片。</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此外，据《每日经济新闻》报道，英伟达本周已通知微软，其最先进的Blackwell系列AI芯片型号将会推迟发货。量产时间不得不推迟到第四季度，批量出货的时间预计要推迟到明年第一季度。</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Blackwell芯片的延迟必然会影响到英伟达的季度收益，如果批量出货推迟至明年第一季度，将直接影响本年度的财务报告。同时，上述大客户的AI硬件部署计划可能需要调整，进而影响其依靠这些芯片的产品和服务的开发进度，甚至成本构成。</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以英伟达为代表的科技七巨子，是本轮美股上涨的主要动力源，如果该板块利润不及预期，将会影响整个美股的走势。</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上述多重利空消息叠加，促成了短线“股灾”，全球投资者瞠目结舌。但毕竟只是消息面的利空，而非基本面的变化，因此，虽然美股盘前和盘后跌势凶猛，但日内随着恐慌指数VIX的回落，以及盘中最新公布的美国7月服务业及非制造业活动显著扩张，且高于市场预期（见表格），市场情绪得以缓解。股指回升，虽然收盘仍属重跌，但毕竟收出阳线，并留出下影线，从形态上看短线反弹可期。</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Calibri" w:hAnsi="Calibri" w:cs="Calibri"/>
          <w:sz w:val="32"/>
          <w:szCs w:val="32"/>
          <w:lang w:val="en-US" w:eastAsia="zh-CN"/>
        </w:rPr>
        <w:drawing>
          <wp:anchor distT="0" distB="0" distL="114300" distR="114300" simplePos="0" relativeHeight="251669504" behindDoc="0" locked="0" layoutInCell="1" allowOverlap="1">
            <wp:simplePos x="0" y="0"/>
            <wp:positionH relativeFrom="column">
              <wp:posOffset>147955</wp:posOffset>
            </wp:positionH>
            <wp:positionV relativeFrom="paragraph">
              <wp:posOffset>53975</wp:posOffset>
            </wp:positionV>
            <wp:extent cx="5324475" cy="960120"/>
            <wp:effectExtent l="0" t="0" r="9525" b="11430"/>
            <wp:wrapTopAndBottom/>
            <wp:docPr id="1" name="图片 1" descr="图片4-8月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8月6日"/>
                    <pic:cNvPicPr>
                      <a:picLocks noChangeAspect="1"/>
                    </pic:cNvPicPr>
                  </pic:nvPicPr>
                  <pic:blipFill>
                    <a:blip r:embed="rId17"/>
                    <a:stretch>
                      <a:fillRect/>
                    </a:stretch>
                  </pic:blipFill>
                  <pic:spPr>
                    <a:xfrm>
                      <a:off x="0" y="0"/>
                      <a:ext cx="5324475" cy="960120"/>
                    </a:xfrm>
                    <a:prstGeom prst="rect">
                      <a:avLst/>
                    </a:prstGeom>
                  </pic:spPr>
                </pic:pic>
              </a:graphicData>
            </a:graphic>
          </wp:anchor>
        </w:drawing>
      </w:r>
      <w:r>
        <w:rPr>
          <w:rFonts w:hint="eastAsia" w:asciiTheme="minorEastAsia" w:hAnsiTheme="minorEastAsia" w:eastAsiaTheme="minorEastAsia" w:cstheme="minorEastAsia"/>
          <w:sz w:val="32"/>
          <w:szCs w:val="32"/>
          <w:lang w:val="en-US" w:eastAsia="zh-CN"/>
        </w:rPr>
        <w:t>路透社报道，最近几个交易日全球股市的暴跌，主因并非美国经济前景的急剧转坏，7月“大非农报告”本身不可能引发如此剧烈的波动，它至多只能算是一个导火索，真正的原因是日元融资的套利交易大幅平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巴菲特的伯克希尔-哈撒韦公司，就是从事日元融资套利交易的巨擘，是日</w:t>
      </w:r>
      <w:r>
        <w:rPr>
          <w:rFonts w:hint="eastAsia" w:asciiTheme="minorEastAsia" w:hAnsiTheme="minorEastAsia" w:eastAsiaTheme="minorEastAsia" w:cstheme="minorEastAsia"/>
          <w:sz w:val="32"/>
          <w:szCs w:val="32"/>
          <w:highlight w:val="none"/>
          <w:lang w:val="en-US" w:eastAsia="zh-CN"/>
        </w:rPr>
        <w:t>元</w:t>
      </w:r>
      <w:r>
        <w:rPr>
          <w:rFonts w:hint="eastAsia" w:asciiTheme="minorEastAsia" w:hAnsiTheme="minorEastAsia" w:eastAsiaTheme="minorEastAsia" w:cstheme="minorEastAsia"/>
          <w:sz w:val="32"/>
          <w:szCs w:val="32"/>
          <w:lang w:val="en-US" w:eastAsia="zh-CN"/>
        </w:rPr>
        <w:t>债券最大的海外发行商之一。2023年，巴菲特通过发行日</w:t>
      </w:r>
      <w:r>
        <w:rPr>
          <w:rFonts w:hint="eastAsia" w:asciiTheme="minorEastAsia" w:hAnsiTheme="minorEastAsia" w:eastAsiaTheme="minorEastAsia" w:cstheme="minorEastAsia"/>
          <w:sz w:val="32"/>
          <w:szCs w:val="32"/>
          <w:highlight w:val="none"/>
          <w:lang w:val="en-US" w:eastAsia="zh-CN"/>
        </w:rPr>
        <w:t>元</w:t>
      </w:r>
      <w:r>
        <w:rPr>
          <w:rFonts w:hint="eastAsia" w:asciiTheme="minorEastAsia" w:hAnsiTheme="minorEastAsia" w:eastAsiaTheme="minorEastAsia" w:cstheme="minorEastAsia"/>
          <w:sz w:val="32"/>
          <w:szCs w:val="32"/>
          <w:lang w:val="en-US" w:eastAsia="zh-CN"/>
        </w:rPr>
        <w:t>债券，借贷了近1万亿日</w:t>
      </w:r>
      <w:r>
        <w:rPr>
          <w:rFonts w:hint="eastAsia" w:asciiTheme="minorEastAsia" w:hAnsiTheme="minorEastAsia" w:eastAsiaTheme="minorEastAsia" w:cstheme="minorEastAsia"/>
          <w:sz w:val="32"/>
          <w:szCs w:val="32"/>
          <w:highlight w:val="none"/>
          <w:lang w:val="en-US" w:eastAsia="zh-CN"/>
        </w:rPr>
        <w:t>元</w:t>
      </w:r>
      <w:r>
        <w:rPr>
          <w:rFonts w:hint="eastAsia" w:asciiTheme="minorEastAsia" w:hAnsiTheme="minorEastAsia" w:eastAsiaTheme="minorEastAsia" w:cstheme="minorEastAsia"/>
          <w:sz w:val="32"/>
          <w:szCs w:val="32"/>
          <w:lang w:val="en-US" w:eastAsia="zh-CN"/>
        </w:rPr>
        <w:t>，用于在日本股市上买入日本五大商社的股票。</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当日本股市走高后，再抛出日股，换回美元；在日股走高的同时，日元兑美元汇率持续下</w:t>
      </w:r>
      <w:r>
        <w:rPr>
          <w:rFonts w:hint="eastAsia" w:asciiTheme="minorEastAsia" w:hAnsiTheme="minorEastAsia" w:cstheme="minorEastAsia"/>
          <w:sz w:val="32"/>
          <w:szCs w:val="32"/>
          <w:lang w:val="en-US" w:eastAsia="zh-CN"/>
        </w:rPr>
        <w:t>跌</w:t>
      </w:r>
      <w:r>
        <w:rPr>
          <w:rFonts w:hint="eastAsia" w:asciiTheme="minorEastAsia" w:hAnsiTheme="minorEastAsia" w:eastAsiaTheme="minorEastAsia" w:cstheme="minorEastAsia"/>
          <w:sz w:val="32"/>
          <w:szCs w:val="32"/>
          <w:lang w:val="en-US" w:eastAsia="zh-CN"/>
        </w:rPr>
        <w:t>，一进一出既赚得日股股价上涨的价差，还赚取了日元汇率走弱的汇差，最终获</w:t>
      </w:r>
      <w:r>
        <w:rPr>
          <w:rFonts w:hint="eastAsia" w:asciiTheme="minorEastAsia" w:hAnsiTheme="minorEastAsia" w:eastAsiaTheme="minorEastAsia" w:cstheme="minorEastAsia"/>
          <w:sz w:val="32"/>
          <w:szCs w:val="32"/>
          <w:highlight w:val="none"/>
          <w:lang w:val="en-US" w:eastAsia="zh-CN"/>
        </w:rPr>
        <w:t>利</w:t>
      </w:r>
      <w:r>
        <w:rPr>
          <w:rFonts w:hint="eastAsia" w:asciiTheme="minorEastAsia" w:hAnsiTheme="minorEastAsia" w:eastAsiaTheme="minorEastAsia" w:cstheme="minorEastAsia"/>
          <w:sz w:val="32"/>
          <w:szCs w:val="32"/>
          <w:lang w:val="en-US" w:eastAsia="zh-CN"/>
        </w:rPr>
        <w:t>近百亿美元。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当日本央行升息，日元汇率开始上升后，上述日元融资套利交易的风险开始变大，借100块钱到期还80块的好日子终于结束了。于是，机构们开始收拢现金，大幅减仓或平仓日</w:t>
      </w:r>
      <w:r>
        <w:rPr>
          <w:rFonts w:hint="eastAsia" w:asciiTheme="minorEastAsia" w:hAnsiTheme="minorEastAsia" w:eastAsiaTheme="minorEastAsia" w:cstheme="minorEastAsia"/>
          <w:sz w:val="32"/>
          <w:szCs w:val="32"/>
          <w:highlight w:val="none"/>
          <w:lang w:val="en-US" w:eastAsia="zh-CN"/>
        </w:rPr>
        <w:t>元</w:t>
      </w:r>
      <w:r>
        <w:rPr>
          <w:rFonts w:hint="eastAsia" w:asciiTheme="minorEastAsia" w:hAnsiTheme="minorEastAsia" w:eastAsiaTheme="minorEastAsia" w:cstheme="minorEastAsia"/>
          <w:sz w:val="32"/>
          <w:szCs w:val="32"/>
          <w:lang w:val="en-US" w:eastAsia="zh-CN"/>
        </w:rPr>
        <w:t>套利交易。</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而日</w:t>
      </w:r>
      <w:r>
        <w:rPr>
          <w:rFonts w:hint="eastAsia" w:asciiTheme="minorEastAsia" w:hAnsiTheme="minorEastAsia" w:eastAsiaTheme="minorEastAsia" w:cstheme="minorEastAsia"/>
          <w:sz w:val="32"/>
          <w:szCs w:val="32"/>
          <w:highlight w:val="none"/>
          <w:lang w:val="en-US" w:eastAsia="zh-CN"/>
        </w:rPr>
        <w:t>元</w:t>
      </w:r>
      <w:r>
        <w:rPr>
          <w:rFonts w:hint="eastAsia" w:asciiTheme="minorEastAsia" w:hAnsiTheme="minorEastAsia" w:eastAsiaTheme="minorEastAsia" w:cstheme="minorEastAsia"/>
          <w:sz w:val="32"/>
          <w:szCs w:val="32"/>
          <w:lang w:val="en-US" w:eastAsia="zh-CN"/>
        </w:rPr>
        <w:t>融资套利交易，在华尔街非常普遍，当机构们开始一起平仓，此类交易投资的美国科技股仓位拥挤，当资金大幅回撤，科技股受到了严重的冲击。至于所谓的衰退担忧，只不过是华尔街提供的一个看似合理的说法罢了。</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总之，最近的暴跌并不是由经济基本面决定，而是由杠杆和止损驱动的。经济基本面，才是投资市场最重要的长期因素。</w:t>
      </w:r>
    </w:p>
    <w:p>
      <w:pPr>
        <w:rPr>
          <w:rFonts w:hint="eastAsia" w:ascii="Calibri" w:hAnsi="Calibri" w:cs="Calibri"/>
          <w:sz w:val="32"/>
          <w:szCs w:val="32"/>
          <w:lang w:val="en-US" w:eastAsia="zh-CN"/>
        </w:rPr>
      </w:pPr>
    </w:p>
    <w:p>
      <w:pPr>
        <w:rPr>
          <w:rFonts w:hint="eastAsia" w:ascii="Calibri" w:hAnsi="Calibri" w:cs="Calibri"/>
          <w:sz w:val="32"/>
          <w:szCs w:val="32"/>
          <w:lang w:val="en-US" w:eastAsia="zh-CN"/>
        </w:rPr>
      </w:pPr>
    </w:p>
    <w:p>
      <w:pPr>
        <w:rPr>
          <w:rFonts w:hint="eastAsia" w:ascii="Calibri" w:hAnsi="Calibri" w:cs="Calibri"/>
          <w:sz w:val="32"/>
          <w:szCs w:val="32"/>
          <w:lang w:val="en-US" w:eastAsia="zh-CN"/>
        </w:rPr>
      </w:pP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8月7日（周三）</w:t>
      </w:r>
    </w:p>
    <w:p>
      <w:pPr>
        <w:jc w:val="cente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孟加拉国政权更迭，经济发展成绩斐然</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121212"/>
          <w:spacing w:val="0"/>
          <w:sz w:val="32"/>
          <w:szCs w:val="32"/>
          <w:shd w:val="clear" w:fill="FFFFFF"/>
          <w:lang w:val="en-US" w:eastAsia="zh-CN"/>
        </w:rPr>
      </w:pPr>
      <w:r>
        <w:rPr>
          <w:rFonts w:hint="eastAsia" w:asciiTheme="minorEastAsia" w:hAnsiTheme="minorEastAsia" w:eastAsiaTheme="minorEastAsia" w:cstheme="minorEastAsia"/>
          <w:sz w:val="32"/>
          <w:szCs w:val="32"/>
          <w:lang w:val="en-US" w:eastAsia="zh-CN"/>
        </w:rPr>
        <w:t>近日，地处南亚的孟加拉国发生了严重的政治动荡</w:t>
      </w:r>
      <w:r>
        <w:rPr>
          <w:rFonts w:hint="eastAsia" w:asciiTheme="minorEastAsia" w:hAnsiTheme="minorEastAsia" w:eastAsiaTheme="minorEastAsia" w:cstheme="minorEastAsia"/>
          <w:i w:val="0"/>
          <w:caps w:val="0"/>
          <w:color w:val="121212"/>
          <w:spacing w:val="0"/>
          <w:sz w:val="32"/>
          <w:szCs w:val="32"/>
          <w:shd w:val="clear" w:fill="FFFFFF"/>
          <w:lang w:val="en-US" w:eastAsia="zh-CN"/>
        </w:rPr>
        <w:t>。</w:t>
      </w:r>
    </w:p>
    <w:p>
      <w:pPr>
        <w:rPr>
          <w:rFonts w:hint="eastAsia" w:ascii="Calibri" w:hAnsi="Calibri" w:eastAsia="宋体" w:cs="Calibri"/>
          <w:i w:val="0"/>
          <w:caps w:val="0"/>
          <w:color w:val="121212"/>
          <w:spacing w:val="0"/>
          <w:sz w:val="21"/>
          <w:szCs w:val="21"/>
          <w:shd w:val="clear" w:fill="FFFFFF"/>
          <w:lang w:val="en-US" w:eastAsia="zh-CN"/>
        </w:rPr>
      </w:pPr>
      <w:r>
        <w:drawing>
          <wp:anchor distT="0" distB="0" distL="114300" distR="114300" simplePos="0" relativeHeight="251670528" behindDoc="0" locked="0" layoutInCell="1" allowOverlap="1">
            <wp:simplePos x="0" y="0"/>
            <wp:positionH relativeFrom="column">
              <wp:posOffset>666750</wp:posOffset>
            </wp:positionH>
            <wp:positionV relativeFrom="paragraph">
              <wp:posOffset>42545</wp:posOffset>
            </wp:positionV>
            <wp:extent cx="4183380" cy="2510790"/>
            <wp:effectExtent l="0" t="0" r="7620" b="3810"/>
            <wp:wrapTopAndBottom/>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8"/>
                    <a:stretch>
                      <a:fillRect/>
                    </a:stretch>
                  </pic:blipFill>
                  <pic:spPr>
                    <a:xfrm>
                      <a:off x="0" y="0"/>
                      <a:ext cx="4183380" cy="251079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lang w:val="en-US" w:eastAsia="zh-CN"/>
        </w:rPr>
      </w:pPr>
      <w:r>
        <w:rPr>
          <w:rFonts w:hint="eastAsia" w:asciiTheme="minorEastAsia" w:hAnsiTheme="minorEastAsia" w:eastAsiaTheme="minorEastAsia" w:cstheme="minorEastAsia"/>
          <w:sz w:val="32"/>
          <w:szCs w:val="32"/>
          <w:lang w:val="en-US" w:eastAsia="zh-CN"/>
        </w:rPr>
        <w:t>当孟加拉国在1971年从巴基斯坦独立时，它比巴基斯坦要贫穷得多，主要依赖农业经济，农业生产占GDP的60%；工业部门的比重很小，产值只占GDP的6%至7%，巴基斯坦这一比例则超过20%。</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cs="Calibri"/>
          <w:lang w:val="en-US" w:eastAsia="zh-CN"/>
        </w:rPr>
      </w:pPr>
      <w:r>
        <w:rPr>
          <w:rFonts w:hint="eastAsia" w:asciiTheme="minorEastAsia" w:hAnsiTheme="minorEastAsia" w:eastAsiaTheme="minorEastAsia" w:cstheme="minorEastAsia"/>
          <w:sz w:val="32"/>
          <w:szCs w:val="32"/>
          <w:lang w:val="en-US" w:eastAsia="zh-CN"/>
        </w:rPr>
        <w:t>战争导致孟加拉国数百万人死亡和流离失所，公路和铁路被严重破坏，多年来与巴基斯坦的银行和工商业间紧密联系也彻底中断。其实，在战争之前，孟加拉国就遭遇了天灾蹂躏——1970年飓风“波拉”来袭，经济损失和人员伤亡极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在自然灾害和战争的废墟中，孟加拉国的经济举步为艰，当时是世界上最贫穷和最不发达的国家之一。</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default" w:ascii="Calibri" w:hAnsi="Calibri" w:cs="Calibri"/>
          <w:lang w:val="en-US" w:eastAsia="zh-CN"/>
        </w:rPr>
      </w:pPr>
      <w:r>
        <w:drawing>
          <wp:anchor distT="0" distB="0" distL="114300" distR="114300" simplePos="0" relativeHeight="251671552" behindDoc="0" locked="0" layoutInCell="1" allowOverlap="1">
            <wp:simplePos x="0" y="0"/>
            <wp:positionH relativeFrom="column">
              <wp:posOffset>842010</wp:posOffset>
            </wp:positionH>
            <wp:positionV relativeFrom="paragraph">
              <wp:posOffset>1503045</wp:posOffset>
            </wp:positionV>
            <wp:extent cx="4142105" cy="2891790"/>
            <wp:effectExtent l="0" t="0" r="10795" b="3810"/>
            <wp:wrapTopAndBottom/>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a:stretch>
                      <a:fillRect/>
                    </a:stretch>
                  </pic:blipFill>
                  <pic:spPr>
                    <a:xfrm>
                      <a:off x="0" y="0"/>
                      <a:ext cx="4142105" cy="289179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2020年，孟加拉国的人均GDP终于超过了巴基斯坦（见图）。对于这两国来说，人均产出的增长都难能可贵，因为其分别是全球第六和第八大人口国，巴基斯坦总人口为2.29亿，孟加拉国为1.7亿。</w:t>
      </w:r>
    </w:p>
    <w:p>
      <w:pPr>
        <w:jc w:val="center"/>
        <w:rPr>
          <w:rFonts w:hint="eastAsia" w:ascii="仿宋_GB2312" w:hAnsi="仿宋_GB2312" w:eastAsia="仿宋_GB2312" w:cs="仿宋_GB2312"/>
          <w:lang w:val="en-US" w:eastAsia="zh-CN"/>
        </w:rPr>
      </w:pPr>
      <w:r>
        <w:rPr>
          <w:rFonts w:hint="eastAsia" w:ascii="方正仿宋_GBK" w:hAnsi="方正仿宋_GBK" w:eastAsia="方正仿宋_GBK" w:cs="方正仿宋_GBK"/>
          <w:lang w:eastAsia="zh-CN"/>
        </w:rPr>
        <w:t>（图：</w:t>
      </w:r>
      <w:r>
        <w:rPr>
          <w:rFonts w:hint="eastAsia" w:ascii="方正仿宋_GBK" w:hAnsi="方正仿宋_GBK" w:eastAsia="方正仿宋_GBK" w:cs="方正仿宋_GBK"/>
          <w:lang w:val="en-US" w:eastAsia="zh-CN"/>
        </w:rPr>
        <w:t>2020年，孟加拉国人均GDP为1594美元，超过巴基斯坦的1578美元</w:t>
      </w:r>
      <w:r>
        <w:rPr>
          <w:rFonts w:hint="eastAsia" w:ascii="方正仿宋_GBK" w:hAnsi="方正仿宋_GBK" w:eastAsia="方正仿宋_GBK" w:cs="方正仿宋_GBK"/>
          <w:lang w:eastAsia="zh-CN"/>
        </w:rPr>
        <w:t>）</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outlineLvl w:val="9"/>
        <w:rPr>
          <w:rFonts w:hint="default" w:ascii="Calibri" w:hAnsi="Calibri" w:cs="Calibri"/>
          <w:lang w:val="en-US" w:eastAsia="zh-CN"/>
        </w:rPr>
      </w:pPr>
      <w:r>
        <w:drawing>
          <wp:anchor distT="0" distB="0" distL="114300" distR="114300" simplePos="0" relativeHeight="251672576" behindDoc="0" locked="0" layoutInCell="1" allowOverlap="1">
            <wp:simplePos x="0" y="0"/>
            <wp:positionH relativeFrom="column">
              <wp:posOffset>2747645</wp:posOffset>
            </wp:positionH>
            <wp:positionV relativeFrom="paragraph">
              <wp:posOffset>116840</wp:posOffset>
            </wp:positionV>
            <wp:extent cx="2636520" cy="1840865"/>
            <wp:effectExtent l="0" t="0" r="11430" b="6985"/>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2636520" cy="184086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如果考虑到其薄弱的工业基础，孟加拉国的经济增长速度显然更加出色，由图可见，2000年之后，其经济增长速度（GDP同比）基本保持在6%之上，并于2006年超过了巴基斯坦，终于在2020年完成了人均GDP的赶超。</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建国后，鉴于经济底子薄，市场消费能力弱的现实，孟加拉政府将发展的重点确定为出口导向的劳动密集产业，在海外资本的助力下，服装产业逐步成为孟加拉国的支柱产业、出口创汇的主力、拉动经济增长的火车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2019年，服装出口额为340亿美元，占GDP的13%，占出口总额的84%。2020年新冠疫情爆发前，在大大小小4600多家服装厂中，有410万工人在辛勤劳作着。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121212"/>
          <w:spacing w:val="0"/>
          <w:sz w:val="32"/>
          <w:szCs w:val="32"/>
          <w:shd w:val="clear" w:fill="FFFFFF"/>
        </w:rPr>
      </w:pPr>
      <w:r>
        <w:rPr>
          <w:rFonts w:hint="eastAsia" w:asciiTheme="minorEastAsia" w:hAnsiTheme="minorEastAsia" w:eastAsiaTheme="minorEastAsia" w:cstheme="minorEastAsia"/>
          <w:sz w:val="32"/>
          <w:szCs w:val="32"/>
          <w:lang w:val="en-US" w:eastAsia="zh-CN"/>
        </w:rPr>
        <w:t>2020年，孟加拉服装出口超过印度，跃居世界第二。孟加拉的服装产业，论规模位居世界前列，号称全球成衣的“南亚工厂”；其产品</w:t>
      </w:r>
      <w:r>
        <w:rPr>
          <w:rFonts w:hint="eastAsia" w:asciiTheme="minorEastAsia" w:hAnsiTheme="minorEastAsia" w:eastAsiaTheme="minorEastAsia" w:cstheme="minorEastAsia"/>
          <w:i w:val="0"/>
          <w:caps w:val="0"/>
          <w:color w:val="121212"/>
          <w:spacing w:val="0"/>
          <w:sz w:val="32"/>
          <w:szCs w:val="32"/>
          <w:shd w:val="clear" w:fill="FFFFFF"/>
        </w:rPr>
        <w:t>大多流向了欧洲</w:t>
      </w:r>
      <w:r>
        <w:rPr>
          <w:rFonts w:hint="eastAsia" w:asciiTheme="minorEastAsia" w:hAnsiTheme="minorEastAsia" w:eastAsiaTheme="minorEastAsia" w:cstheme="minorEastAsia"/>
          <w:i w:val="0"/>
          <w:caps w:val="0"/>
          <w:color w:val="121212"/>
          <w:spacing w:val="0"/>
          <w:sz w:val="32"/>
          <w:szCs w:val="32"/>
          <w:shd w:val="clear" w:fill="FFFFFF"/>
          <w:lang w:eastAsia="zh-CN"/>
        </w:rPr>
        <w:t>和</w:t>
      </w:r>
      <w:r>
        <w:rPr>
          <w:rFonts w:hint="eastAsia" w:asciiTheme="minorEastAsia" w:hAnsiTheme="minorEastAsia" w:eastAsiaTheme="minorEastAsia" w:cstheme="minorEastAsia"/>
          <w:i w:val="0"/>
          <w:caps w:val="0"/>
          <w:color w:val="121212"/>
          <w:spacing w:val="0"/>
          <w:sz w:val="32"/>
          <w:szCs w:val="32"/>
          <w:shd w:val="clear" w:fill="FFFFFF"/>
        </w:rPr>
        <w:t>美国</w:t>
      </w:r>
      <w:r>
        <w:rPr>
          <w:rFonts w:hint="eastAsia" w:asciiTheme="minorEastAsia" w:hAnsiTheme="minorEastAsia" w:eastAsiaTheme="minorEastAsia" w:cstheme="minorEastAsia"/>
          <w:i w:val="0"/>
          <w:caps w:val="0"/>
          <w:color w:val="121212"/>
          <w:spacing w:val="0"/>
          <w:sz w:val="32"/>
          <w:szCs w:val="32"/>
          <w:shd w:val="clear" w:fill="FFFFFF"/>
          <w:lang w:eastAsia="zh-CN"/>
        </w:rPr>
        <w:t>市场，一般情况下，欧盟市场占其服装出口的</w:t>
      </w:r>
      <w:r>
        <w:rPr>
          <w:rFonts w:hint="eastAsia" w:asciiTheme="minorEastAsia" w:hAnsiTheme="minorEastAsia" w:eastAsiaTheme="minorEastAsia" w:cstheme="minorEastAsia"/>
          <w:i w:val="0"/>
          <w:caps w:val="0"/>
          <w:color w:val="121212"/>
          <w:spacing w:val="0"/>
          <w:sz w:val="32"/>
          <w:szCs w:val="32"/>
          <w:shd w:val="clear" w:fill="FFFFFF"/>
          <w:lang w:val="en-US" w:eastAsia="zh-CN"/>
        </w:rPr>
        <w:t>60%以上，美国市场占到20%左右</w:t>
      </w:r>
      <w:r>
        <w:rPr>
          <w:rFonts w:hint="eastAsia" w:asciiTheme="minorEastAsia" w:hAnsiTheme="minorEastAsia" w:eastAsiaTheme="minorEastAsia" w:cstheme="minorEastAsia"/>
          <w:i w:val="0"/>
          <w:caps w:val="0"/>
          <w:color w:val="121212"/>
          <w:spacing w:val="0"/>
          <w:sz w:val="32"/>
          <w:szCs w:val="32"/>
          <w:shd w:val="clear" w:fill="FFFFFF"/>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经济发展后，孟加拉人不仅增加了财富，而且更加健康，受教育程度也更高。约98%的孟加拉国儿童完成了小学教育，而在1980年代，这一比例还不到三分之一。识字率已经飙升。婴儿死亡率急剧下降。几乎每个人都使用厕所，而不是在户外排便。所有这些方面，孟加拉国都比巴基斯坦和印度做得更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2021年，金砖国家的“</w:t>
      </w:r>
      <w:r>
        <w:rPr>
          <w:rFonts w:hint="eastAsia" w:asciiTheme="minorEastAsia" w:hAnsiTheme="minorEastAsia" w:eastAsiaTheme="minorEastAsia" w:cstheme="minorEastAsia"/>
          <w:sz w:val="32"/>
          <w:szCs w:val="32"/>
          <w:highlight w:val="none"/>
          <w:lang w:val="en-US" w:eastAsia="zh-CN"/>
        </w:rPr>
        <w:t>新”</w:t>
      </w:r>
      <w:r>
        <w:rPr>
          <w:rFonts w:hint="eastAsia" w:asciiTheme="minorEastAsia" w:hAnsiTheme="minorEastAsia" w:eastAsiaTheme="minorEastAsia" w:cstheme="minorEastAsia"/>
          <w:sz w:val="32"/>
          <w:szCs w:val="32"/>
          <w:lang w:val="en-US" w:eastAsia="zh-CN"/>
        </w:rPr>
        <w:t>开发银行吸纳孟加拉国加入。外界预计孟加拉国将在2026年底脱离联合国“最不发达国家”（LDCs）的行列；它自己的目标是，到2031年成为一个中上收入国家。</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2020年初开始的新冠疫情、2022年初爆发的俄乌冲突，给孟加拉国带来了严重的经济冲击。到2023年初，生活成本危机笼罩着全国，在繁华的首都达卡的街道上，出现了大量裹着薄薄披肩的露宿者。同时，在孟加拉国的央行，外汇储备已经耗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cstheme="minorEastAsia"/>
          <w:sz w:val="32"/>
          <w:szCs w:val="32"/>
          <w:lang w:val="en-US" w:eastAsia="zh-CN"/>
        </w:rPr>
        <w:t>时任政府</w:t>
      </w:r>
      <w:bookmarkStart w:id="0" w:name="_GoBack"/>
      <w:bookmarkEnd w:id="0"/>
      <w:r>
        <w:rPr>
          <w:rFonts w:hint="eastAsia" w:asciiTheme="minorEastAsia" w:hAnsiTheme="minorEastAsia" w:eastAsiaTheme="minorEastAsia" w:cstheme="minorEastAsia"/>
          <w:sz w:val="32"/>
          <w:szCs w:val="32"/>
          <w:lang w:val="en-US" w:eastAsia="zh-CN"/>
        </w:rPr>
        <w:t>一直通过大力发展基础设施，来推动经济的进一步增长。孟加拉国制造业基础薄弱，进行基础设施建设，意味着大量外汇的支出，放在出口高速增长的时期，这不是问题。但面对新冠疫情和地缘政治冲突，所有弱点都暴露无遗。</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Calibri" w:hAnsi="Calibri" w:cs="Calibri"/>
          <w:sz w:val="32"/>
          <w:szCs w:val="32"/>
          <w:lang w:val="en-US" w:eastAsia="zh-CN"/>
        </w:rPr>
      </w:pPr>
      <w:r>
        <w:rPr>
          <w:rFonts w:hint="eastAsia" w:asciiTheme="minorEastAsia" w:hAnsiTheme="minorEastAsia" w:eastAsiaTheme="minorEastAsia" w:cstheme="minorEastAsia"/>
          <w:b/>
          <w:bCs/>
          <w:sz w:val="32"/>
          <w:szCs w:val="32"/>
          <w:lang w:val="en-US" w:eastAsia="zh-CN"/>
        </w:rPr>
        <w:t>孟加拉国经济方面最大的弱点，一是国际收支的脆弱性，二是对服装业的过度依赖</w:t>
      </w:r>
      <w:r>
        <w:rPr>
          <w:rFonts w:hint="eastAsia" w:asciiTheme="minorEastAsia" w:hAnsiTheme="minorEastAsia" w:eastAsiaTheme="minorEastAsia" w:cstheme="minorEastAsia"/>
          <w:sz w:val="32"/>
          <w:szCs w:val="32"/>
          <w:lang w:val="en-US" w:eastAsia="zh-CN"/>
        </w:rPr>
        <w:t>。俄乌冲突造成燃料和食品价格上涨，资本外逃，孟加拉国的外汇储备迅速下滑到300亿美元以下。</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2022年，孟加拉国政府开始向国际货币基金组织（IMF）求助。2023年1月，IMF批准了一笔47亿美元的贷款。但其本币塔卡（TAKA）仍然摇摇欲坠。为了挽救外汇储备和本币汇率，孟政府对进口采取了限制措施，但这么一来出口商发现生意也没法做了。由于进口受限，出口商很难获得他们生产所需的中间品和原材料。缺少这些关键的物资，出口业务就无法进行，导致出口商面临严重困境，甚至无法继续业务。</w:t>
      </w:r>
    </w:p>
    <w:p>
      <w:pPr>
        <w:jc w:val="center"/>
        <w:rPr>
          <w:rFonts w:hint="eastAsia" w:ascii="仿宋_GB2312" w:hAnsi="仿宋_GB2312" w:eastAsia="仿宋_GB2312" w:cs="仿宋_GB2312"/>
          <w:lang w:val="en-US" w:eastAsia="zh-CN"/>
        </w:rPr>
      </w:pPr>
      <w:r>
        <w:rPr>
          <w:rFonts w:hint="eastAsia" w:ascii="方正仿宋_GBK" w:hAnsi="方正仿宋_GBK" w:eastAsia="方正仿宋_GBK" w:cs="方正仿宋_GBK"/>
          <w:sz w:val="24"/>
          <w:szCs w:val="24"/>
        </w:rPr>
        <w:drawing>
          <wp:anchor distT="0" distB="0" distL="114300" distR="114300" simplePos="0" relativeHeight="251673600" behindDoc="0" locked="0" layoutInCell="1" allowOverlap="1">
            <wp:simplePos x="0" y="0"/>
            <wp:positionH relativeFrom="column">
              <wp:posOffset>168910</wp:posOffset>
            </wp:positionH>
            <wp:positionV relativeFrom="paragraph">
              <wp:posOffset>111125</wp:posOffset>
            </wp:positionV>
            <wp:extent cx="4987925" cy="1758950"/>
            <wp:effectExtent l="0" t="0" r="3175" b="12700"/>
            <wp:wrapTopAndBottom/>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1"/>
                    <a:stretch>
                      <a:fillRect/>
                    </a:stretch>
                  </pic:blipFill>
                  <pic:spPr>
                    <a:xfrm>
                      <a:off x="0" y="0"/>
                      <a:ext cx="4987925" cy="1758950"/>
                    </a:xfrm>
                    <a:prstGeom prst="rect">
                      <a:avLst/>
                    </a:prstGeom>
                    <a:noFill/>
                    <a:ln>
                      <a:noFill/>
                    </a:ln>
                  </pic:spPr>
                </pic:pic>
              </a:graphicData>
            </a:graphic>
          </wp:anchor>
        </w:drawing>
      </w:r>
      <w:r>
        <w:rPr>
          <w:rFonts w:hint="eastAsia" w:ascii="方正仿宋_GBK" w:hAnsi="方正仿宋_GBK" w:eastAsia="方正仿宋_GBK" w:cs="方正仿宋_GBK"/>
          <w:sz w:val="24"/>
          <w:szCs w:val="24"/>
          <w:lang w:eastAsia="zh-CN"/>
        </w:rPr>
        <w:t>（图：美元兑孟加拉塔卡）</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孟加拉国的经济学家们认为，对服装业的过度依赖是本国经济一个“严重的弱点”。因为该工业部门的未来是不确定的，该行业的增长，部分依赖于别国的优惠关税。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孟加拉国目前仍在联合国最不发达国家（LDCs）的行列中，但是随着其经济的长足发展，有望在2026年正式脱离这一行列。2021年11月，联合国大会通过了“关于孟加拉国脱离最不发达国家行列的决议”，并给予其五年的“毕业准备期”。这一期限通常为3年，考虑新冠疫情冲击等因素，对孟扩展到5年，即2026年。</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孟加拉国摆脱“最不发达国家”地位，也将意味着失去西方市场的一些关税豁免。其经济学家担心，柬埔寨和埃塞俄比亚等成本较低的生产商，将有可能从孟加拉国的市场份额中分一杯羹，就像当年它争夺中国的市场份额那样。</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default" w:asciiTheme="minorEastAsia" w:hAnsiTheme="minorEastAsia" w:eastAsiaTheme="minorEastAsia" w:cstheme="minorEastAsia"/>
          <w:sz w:val="32"/>
          <w:szCs w:val="32"/>
          <w:highlight w:val="none"/>
          <w:lang w:val="en-US"/>
        </w:rPr>
        <w:drawing>
          <wp:anchor distT="0" distB="0" distL="114300" distR="114300" simplePos="0" relativeHeight="251674624" behindDoc="0" locked="0" layoutInCell="1" allowOverlap="1">
            <wp:simplePos x="0" y="0"/>
            <wp:positionH relativeFrom="column">
              <wp:posOffset>2778760</wp:posOffset>
            </wp:positionH>
            <wp:positionV relativeFrom="paragraph">
              <wp:posOffset>1680845</wp:posOffset>
            </wp:positionV>
            <wp:extent cx="2667000" cy="1862455"/>
            <wp:effectExtent l="0" t="0" r="0" b="4445"/>
            <wp:wrapSquare wrapText="bothSides"/>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2"/>
                    <a:stretch>
                      <a:fillRect/>
                    </a:stretch>
                  </pic:blipFill>
                  <pic:spPr>
                    <a:xfrm>
                      <a:off x="0" y="0"/>
                      <a:ext cx="2667000" cy="1862455"/>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服装业以外的出口行业也在努力增长，但与东南亚各国相比，孟加拉国加入的区域贸易协定极少。学者们感慨，几乎没有吸引到从中国转移出去的，服装加工以外的生产部门。其国内一些行业，如制药和电子行业有一定潜力，但官僚主义和不合理的关税设置，使其发展受到阻碍。腐败也是严重的问题，针对孟加拉国的营商环境，《经济学人》在17个亚洲经济体中将其排名第15。</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default" w:ascii="Calibri" w:hAnsi="Calibri" w:cs="Calibri"/>
          <w:lang w:val="en-US" w:eastAsia="zh-CN"/>
        </w:rPr>
      </w:pPr>
      <w:r>
        <w:rPr>
          <w:rFonts w:hint="eastAsia" w:asciiTheme="minorEastAsia" w:hAnsiTheme="minorEastAsia" w:cstheme="minorEastAsia"/>
          <w:sz w:val="32"/>
          <w:szCs w:val="32"/>
          <w:highlight w:val="none"/>
          <w:lang w:val="en-US" w:eastAsia="zh-CN"/>
        </w:rPr>
        <w:t>当前，</w:t>
      </w:r>
      <w:r>
        <w:rPr>
          <w:rFonts w:hint="eastAsia" w:asciiTheme="minorEastAsia" w:hAnsiTheme="minorEastAsia" w:eastAsiaTheme="minorEastAsia" w:cstheme="minorEastAsia"/>
          <w:sz w:val="32"/>
          <w:szCs w:val="32"/>
          <w:lang w:val="en-US" w:eastAsia="zh-CN"/>
        </w:rPr>
        <w:t>最尖锐的矛盾是财富分配极度不均下的就业问题，五分之二的孟加拉年轻人没有固定工作。就业市场的竞争已经白热化，政府公务员岗位更是关注的焦点，这正是7月动荡的导火索。</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孟加拉国正积极发展对外贸易关系，特别是在与中国的合作方面取得了显著进展。孟加拉国与中国已经完成了自贸协定的联合可行性研究，并同意尽快正式启动谈判。这标志着两国在贸易和经济合作方面迈出了重要一步，旨在促进互利共赢的经贸关系，增加孟加拉国对华出口、吸引中国投资，并推动孟加拉国的就业增长和产业升级。</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default" w:ascii="Calibri" w:hAnsi="Calibri" w:cs="Calibri"/>
          <w:lang w:val="en-US" w:eastAsia="zh-CN"/>
        </w:rPr>
      </w:pPr>
      <w:r>
        <w:rPr>
          <w:rFonts w:hint="default" w:ascii="Calibri" w:hAnsi="Calibri" w:cs="Calibri"/>
          <w:sz w:val="32"/>
          <w:szCs w:val="32"/>
          <w:lang w:val="en-US" w:eastAsia="zh-CN"/>
        </w:rPr>
        <w:t>除了与中国的自贸协定进展外，孟加拉国还积极参与</w:t>
      </w:r>
      <w:r>
        <w:rPr>
          <w:rFonts w:hint="eastAsia" w:ascii="Calibri" w:hAnsi="Calibri" w:cs="Calibri"/>
          <w:sz w:val="32"/>
          <w:szCs w:val="32"/>
          <w:lang w:val="en-US" w:eastAsia="zh-CN"/>
        </w:rPr>
        <w:t>“</w:t>
      </w:r>
      <w:r>
        <w:rPr>
          <w:rFonts w:hint="default" w:ascii="Calibri" w:hAnsi="Calibri" w:cs="Calibri"/>
          <w:sz w:val="32"/>
          <w:szCs w:val="32"/>
          <w:lang w:val="en-US" w:eastAsia="zh-CN"/>
        </w:rPr>
        <w:t>一带一路</w:t>
      </w:r>
      <w:r>
        <w:rPr>
          <w:rFonts w:hint="eastAsia" w:ascii="Calibri" w:hAnsi="Calibri" w:cs="Calibri"/>
          <w:sz w:val="32"/>
          <w:szCs w:val="32"/>
          <w:lang w:val="en-US" w:eastAsia="zh-CN"/>
        </w:rPr>
        <w:t>”</w:t>
      </w:r>
      <w:r>
        <w:rPr>
          <w:rFonts w:hint="default" w:ascii="Calibri" w:hAnsi="Calibri" w:cs="Calibri"/>
          <w:sz w:val="32"/>
          <w:szCs w:val="32"/>
          <w:lang w:val="en-US" w:eastAsia="zh-CN"/>
        </w:rPr>
        <w:t>倡议，以促进区域互联互通和经济一体化。通过这些合作，孟加拉国有望进一步增强其在全球贸易中的地位，并为其经济发展注入新的活力。</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ascii="Calibri" w:hAnsi="Calibri" w:cs="Calibri"/>
          <w:sz w:val="32"/>
          <w:szCs w:val="32"/>
          <w:lang w:val="en-US" w:eastAsia="zh-CN"/>
        </w:rPr>
      </w:pPr>
      <w:r>
        <w:rPr>
          <w:rFonts w:hint="eastAsia" w:ascii="Calibri" w:hAnsi="Calibri" w:cs="Calibri"/>
          <w:sz w:val="32"/>
          <w:szCs w:val="32"/>
          <w:lang w:val="en-US" w:eastAsia="zh-CN"/>
        </w:rPr>
        <w:drawing>
          <wp:anchor distT="0" distB="0" distL="114300" distR="114300" simplePos="0" relativeHeight="251675648" behindDoc="0" locked="0" layoutInCell="1" allowOverlap="1">
            <wp:simplePos x="0" y="0"/>
            <wp:positionH relativeFrom="column">
              <wp:posOffset>154305</wp:posOffset>
            </wp:positionH>
            <wp:positionV relativeFrom="paragraph">
              <wp:posOffset>77470</wp:posOffset>
            </wp:positionV>
            <wp:extent cx="5178425" cy="1230630"/>
            <wp:effectExtent l="0" t="0" r="3175" b="7620"/>
            <wp:wrapTopAndBottom/>
            <wp:docPr id="16" name="图片 16" descr="图片5-8月7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5-8月7日"/>
                    <pic:cNvPicPr>
                      <a:picLocks noChangeAspect="1"/>
                    </pic:cNvPicPr>
                  </pic:nvPicPr>
                  <pic:blipFill>
                    <a:blip r:embed="rId23"/>
                    <a:stretch>
                      <a:fillRect/>
                    </a:stretch>
                  </pic:blipFill>
                  <pic:spPr>
                    <a:xfrm>
                      <a:off x="0" y="0"/>
                      <a:ext cx="5178425" cy="1230630"/>
                    </a:xfrm>
                    <a:prstGeom prst="rect">
                      <a:avLst/>
                    </a:prstGeom>
                  </pic:spPr>
                </pic:pic>
              </a:graphicData>
            </a:graphic>
          </wp:anchor>
        </w:drawing>
      </w:r>
      <w:r>
        <w:rPr>
          <w:rFonts w:hint="default" w:ascii="Calibri" w:hAnsi="Calibri" w:cs="Calibri"/>
          <w:sz w:val="32"/>
          <w:szCs w:val="32"/>
          <w:lang w:val="en-US" w:eastAsia="zh-CN"/>
        </w:rPr>
        <w:t>中国对孟加拉国的出口主要包括纺织品、机电产品、水泥、化肥、轮胎、生丝和玉米等商品。中国从孟加拉国进口的商品以皮革、棉纺织制品和鱼类食品等原料性商品为主</w:t>
      </w:r>
      <w:r>
        <w:rPr>
          <w:rFonts w:hint="eastAsia" w:ascii="Calibri" w:hAnsi="Calibri" w:cs="Calibri"/>
          <w:sz w:val="32"/>
          <w:szCs w:val="32"/>
          <w:lang w:val="en-US" w:eastAsia="zh-CN"/>
        </w:rPr>
        <w:t>；服装</w:t>
      </w:r>
      <w:r>
        <w:rPr>
          <w:rFonts w:hint="default" w:ascii="Calibri" w:hAnsi="Calibri" w:cs="Calibri"/>
          <w:sz w:val="32"/>
          <w:szCs w:val="32"/>
          <w:lang w:val="en-US" w:eastAsia="zh-CN"/>
        </w:rPr>
        <w:t>业是孟加拉国支柱产业，中国是孟加拉国成衣的重要市场之一</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default" w:ascii="Calibri" w:hAnsi="Calibri" w:cs="Calibri"/>
          <w:lang w:val="en-US" w:eastAsia="zh-CN"/>
        </w:rPr>
      </w:pPr>
      <w:r>
        <w:rPr>
          <w:rFonts w:hint="eastAsia" w:ascii="Calibri" w:hAnsi="Calibri" w:cs="Calibri"/>
          <w:sz w:val="32"/>
          <w:szCs w:val="32"/>
          <w:lang w:val="en-US" w:eastAsia="zh-CN"/>
        </w:rPr>
        <w:t>最后，希望孟加拉国早日恢复平静，经济建设重回正轨。</w:t>
      </w:r>
    </w:p>
    <w:p>
      <w:pPr>
        <w:rPr>
          <w:rFonts w:hint="eastAsia" w:ascii="Calibri" w:hAnsi="Calibri" w:cs="Calibri"/>
          <w:sz w:val="32"/>
          <w:szCs w:val="32"/>
          <w:lang w:val="en-US" w:eastAsia="zh-CN"/>
        </w:rPr>
      </w:pP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8月8日（周四）</w:t>
      </w:r>
    </w:p>
    <w:p>
      <w:pPr>
        <w:jc w:val="center"/>
        <w:rPr>
          <w:rFonts w:hint="eastAsia" w:ascii="方正小标宋_GBK" w:hAnsi="方正小标宋_GBK" w:eastAsia="方正小标宋_GBK" w:cs="方正小标宋_GBK"/>
          <w:b/>
          <w:bCs/>
          <w:color w:val="0000FF"/>
          <w:sz w:val="36"/>
          <w:szCs w:val="36"/>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日本央行表态，萨姆本人解释，金融市场走稳</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8月1日，日本央行宣布加息，将政策利率上调至0.25%，这一举措引发对日元套利交易的集中平仓，导致市场剧烈波动——日元升值、美元指数走低、全球股市重挫。</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default" w:ascii="Calibri" w:hAnsi="Calibri" w:eastAsia="宋体" w:cs="Calibri"/>
          <w:sz w:val="32"/>
          <w:szCs w:val="32"/>
          <w:lang w:val="en-US" w:eastAsia="zh-CN"/>
        </w:rPr>
      </w:pPr>
      <w:r>
        <w:rPr>
          <w:rFonts w:hint="eastAsia" w:asciiTheme="minorEastAsia" w:hAnsiTheme="minorEastAsia" w:eastAsiaTheme="minorEastAsia" w:cstheme="minorEastAsia"/>
          <w:sz w:val="32"/>
          <w:szCs w:val="32"/>
          <w:lang w:val="en-US" w:eastAsia="zh-CN"/>
        </w:rPr>
        <w:t>8月7日（周三），在全球金融市场发生大幅波动之后，日本央行主动发声，以期缓解市场的紧张情绪。其副行长内田真一明确表示，</w:t>
      </w:r>
      <w:r>
        <w:rPr>
          <w:rFonts w:hint="eastAsia" w:asciiTheme="minorEastAsia" w:hAnsiTheme="minorEastAsia" w:eastAsiaTheme="minorEastAsia" w:cstheme="minorEastAsia"/>
          <w:b/>
          <w:bCs/>
          <w:sz w:val="32"/>
          <w:szCs w:val="32"/>
          <w:lang w:val="en-US" w:eastAsia="zh-CN"/>
        </w:rPr>
        <w:t>在市场不稳定时将避免提高利率</w:t>
      </w:r>
      <w:r>
        <w:rPr>
          <w:rFonts w:hint="eastAsia" w:asciiTheme="minorEastAsia" w:hAnsiTheme="minorEastAsia" w:eastAsiaTheme="minorEastAsia" w:cstheme="minorEastAsia"/>
          <w:sz w:val="32"/>
          <w:szCs w:val="32"/>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日本央行的发言迅速稳定了市场情绪，股市和货币市场开始反弹。日经指数大幅拉升，涨幅一度扩大至逾3%；标</w:t>
      </w:r>
      <w:r>
        <w:rPr>
          <w:rFonts w:hint="eastAsia" w:asciiTheme="minorEastAsia" w:hAnsiTheme="minorEastAsia" w:eastAsiaTheme="minorEastAsia" w:cstheme="minorEastAsia"/>
          <w:sz w:val="32"/>
          <w:szCs w:val="32"/>
        </w:rPr>
        <w:t>普500指数早盘一度涨超1.7%</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同时，日元对美元汇率也快速走贬，跌破了147关口。</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8月以来的股市下跌，还有一个原因，可能是市场开始对美国的经济衰退进行定价。</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Calibri" w:hAnsi="Calibri" w:eastAsia="宋体" w:cs="Calibri"/>
          <w:sz w:val="32"/>
          <w:szCs w:val="32"/>
          <w:lang w:val="en-US" w:eastAsia="zh-CN"/>
        </w:rPr>
      </w:pPr>
      <w:r>
        <w:rPr>
          <w:rFonts w:hint="eastAsia" w:asciiTheme="minorEastAsia" w:hAnsiTheme="minorEastAsia" w:eastAsiaTheme="minorEastAsia" w:cstheme="minorEastAsia"/>
          <w:sz w:val="32"/>
          <w:szCs w:val="32"/>
          <w:lang w:val="en-US" w:eastAsia="zh-CN"/>
        </w:rPr>
        <w:t>美国7月份的失业率上升到4.3%，失业率上升已经触发了“萨姆规则”。萨姆规则认为，当美国失业率3个月的移动平均值，比之前12个月的低点高出至少0.5%时，可以认定经济衰退的初始阶段开始了。7月份三个月移动平均失业率为4.13%（5月至7月的失业率依次为4%，4.1%和4.3%），过去12个月的最低值为2023年7月的3.5%，已经上升了0.63个百分点，超过了0.5%的阈值。</w:t>
      </w:r>
    </w:p>
    <w:p>
      <w:pPr>
        <w:keepNext w:val="0"/>
        <w:keepLines w:val="0"/>
        <w:pageBreakBefore w:val="0"/>
        <w:widowControl w:val="0"/>
        <w:kinsoku/>
        <w:wordWrap/>
        <w:overflowPunct/>
        <w:topLinePunct w:val="0"/>
        <w:autoSpaceDE/>
        <w:autoSpaceDN/>
        <w:bidi w:val="0"/>
        <w:adjustRightInd/>
        <w:snapToGrid/>
        <w:ind w:firstLine="388" w:firstLineChars="200"/>
        <w:jc w:val="both"/>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drawing>
          <wp:anchor distT="0" distB="0" distL="114300" distR="114300" simplePos="0" relativeHeight="251676672" behindDoc="0" locked="0" layoutInCell="1" allowOverlap="1">
            <wp:simplePos x="0" y="0"/>
            <wp:positionH relativeFrom="column">
              <wp:posOffset>2486660</wp:posOffset>
            </wp:positionH>
            <wp:positionV relativeFrom="paragraph">
              <wp:posOffset>157480</wp:posOffset>
            </wp:positionV>
            <wp:extent cx="3103245" cy="2166620"/>
            <wp:effectExtent l="0" t="0" r="1905" b="5080"/>
            <wp:wrapSquare wrapText="bothSides"/>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3103245" cy="2166620"/>
                    </a:xfrm>
                    <a:prstGeom prst="rect">
                      <a:avLst/>
                    </a:prstGeom>
                    <a:noFill/>
                    <a:ln>
                      <a:noFill/>
                    </a:ln>
                  </pic:spPr>
                </pic:pic>
              </a:graphicData>
            </a:graphic>
          </wp:anchor>
        </w:drawing>
      </w:r>
      <w:r>
        <w:rPr>
          <w:rFonts w:hint="eastAsia" w:asciiTheme="minorEastAsia" w:hAnsiTheme="minorEastAsia" w:eastAsiaTheme="minorEastAsia" w:cstheme="minorEastAsia"/>
          <w:sz w:val="32"/>
          <w:szCs w:val="32"/>
          <w:lang w:val="en-US" w:eastAsia="zh-CN"/>
        </w:rPr>
        <w:t>“萨姆规则”被用来预测美国的经济衰退，从历史数据上看成功率是100%。因此，7月份的失业率数据激发了市场对美国经济可能面临衰退的担忧，从而开始对其进行定价。</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但也有经济学家认为，7月份的失业率上升，以及7月底“初请失业金人数”增加，有其特殊性，并不能构成经济衰退的征兆。7月德克萨斯州遭受了飓风“贝丽尔”的袭击。飓风带来了强降雨和破坏性天气，对德州（尤其是美国第四大城市休斯敦）的经济产生了巨大冲击。</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正常的生产暂时中断，德州的工人们这才去领取失业金。排除此因素后，美国的就业市场实际上应该比纸面的数据要强劲。换言之，宏观经济并没有出现任何经济衰退的迹象，金融市场对7月失业率变化的反应有些过激。</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因8月金融市场的波动过大，连“萨姆规则”的提出者，前美联储经济学家克劳迪娅·萨姆也亲自出来澄清。萨姆在电视讲话中表示，尽管近期经济数据弱于预期，但美联储并不需要紧急降息。经济下行并没有明确的信号，如果7月份的失业率情况继续下去，经济增长速度才会进一步变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她也承认，经济衰退的风险客观存在，提醒央行需要保持警惕，不要等待太久了才来降息，因为货币政策存在滞后性，利率变化需要很长时间才能对经济产生影响。</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val="en-US" w:eastAsia="zh-CN"/>
        </w:rPr>
        <w:t>“萨姆规则”是2019年提出来的，用来验证过去80年来的经济衰退，成功率为100%。但该规则提出来之后，还没有一次提前预判的案例，本次是第一次被触发，后续须密切关注。</w:t>
      </w:r>
    </w:p>
    <w:p>
      <w:pPr>
        <w:rPr>
          <w:rFonts w:hint="eastAsia" w:ascii="Calibri" w:hAnsi="Calibri" w:cs="Calibri"/>
          <w:sz w:val="32"/>
          <w:szCs w:val="32"/>
          <w:lang w:val="en-US" w:eastAsia="zh-CN"/>
        </w:rPr>
      </w:pPr>
    </w:p>
    <w:p>
      <w:pPr>
        <w:rPr>
          <w:rFonts w:hint="eastAsia" w:ascii="Calibri" w:hAnsi="Calibri" w:cs="Calibri"/>
          <w:sz w:val="32"/>
          <w:szCs w:val="32"/>
          <w:lang w:val="en-US" w:eastAsia="zh-CN"/>
        </w:rPr>
      </w:pPr>
    </w:p>
    <w:p>
      <w:pPr>
        <w:rPr>
          <w:rFonts w:hint="eastAsia" w:ascii="方正小标宋_GBK" w:hAnsi="方正小标宋_GBK" w:eastAsia="方正小标宋_GBK" w:cs="方正小标宋_GBK"/>
          <w:b/>
          <w:bCs/>
          <w:color w:val="0000FF"/>
          <w:sz w:val="15"/>
          <w:szCs w:val="15"/>
          <w:highlight w:val="yellow"/>
          <w:lang w:val="en-US" w:eastAsia="zh-CN"/>
        </w:rPr>
      </w:pPr>
    </w:p>
    <w:p>
      <w:pP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2"/>
          <w:szCs w:val="32"/>
          <w:highlight w:val="yellow"/>
          <w:lang w:val="en-US" w:eastAsia="zh-CN"/>
        </w:rPr>
        <w:t>8月9日（周五）</w:t>
      </w:r>
    </w:p>
    <w:p>
      <w:pPr>
        <w:jc w:val="center"/>
        <w:rPr>
          <w:rFonts w:hint="default" w:ascii="Calibri" w:hAnsi="Calibri" w:eastAsia="宋体" w:cs="Calibri"/>
          <w:b/>
          <w:bCs/>
          <w:color w:val="0000FF"/>
          <w:highlight w:val="yellow"/>
          <w:lang w:val="en-US" w:eastAsia="zh-CN"/>
        </w:rPr>
      </w:pPr>
      <w:r>
        <w:rPr>
          <w:rFonts w:hint="eastAsia" w:ascii="方正小标宋_GBK" w:hAnsi="方正小标宋_GBK" w:eastAsia="方正小标宋_GBK" w:cs="方正小标宋_GBK"/>
          <w:b/>
          <w:bCs/>
          <w:color w:val="0000FF"/>
          <w:sz w:val="36"/>
          <w:szCs w:val="36"/>
          <w:highlight w:val="yellow"/>
          <w:lang w:val="en-US" w:eastAsia="zh-CN"/>
        </w:rPr>
        <w:t>申请失业金数据公布，衰退恐慌情绪暂消散</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Calibri" w:hAnsi="Calibri" w:cs="Calibri"/>
          <w:sz w:val="32"/>
          <w:szCs w:val="32"/>
          <w:lang w:val="en-US" w:eastAsia="zh-CN"/>
        </w:rPr>
      </w:pPr>
      <w:r>
        <w:rPr>
          <w:rFonts w:hint="eastAsia" w:asciiTheme="minorEastAsia" w:hAnsiTheme="minorEastAsia" w:eastAsiaTheme="minorEastAsia" w:cstheme="minorEastAsia"/>
          <w:sz w:val="32"/>
          <w:szCs w:val="32"/>
        </w:rPr>
        <w:t>8月8日</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周</w:t>
      </w:r>
      <w:r>
        <w:rPr>
          <w:rFonts w:hint="eastAsia" w:asciiTheme="minorEastAsia" w:hAnsiTheme="minorEastAsia" w:eastAsiaTheme="minorEastAsia" w:cstheme="minorEastAsia"/>
          <w:sz w:val="32"/>
          <w:szCs w:val="32"/>
          <w:lang w:eastAsia="zh-CN"/>
        </w:rPr>
        <w:t>四）</w:t>
      </w:r>
      <w:r>
        <w:rPr>
          <w:rFonts w:hint="eastAsia" w:asciiTheme="minorEastAsia" w:hAnsiTheme="minorEastAsia" w:eastAsiaTheme="minorEastAsia" w:cstheme="minorEastAsia"/>
          <w:sz w:val="32"/>
          <w:szCs w:val="32"/>
        </w:rPr>
        <w:t>，</w:t>
      </w:r>
      <w:r>
        <w:rPr>
          <w:rFonts w:hint="eastAsia" w:asciiTheme="minorEastAsia" w:hAnsiTheme="minorEastAsia" w:eastAsiaTheme="minorEastAsia" w:cstheme="minorEastAsia"/>
          <w:sz w:val="32"/>
          <w:szCs w:val="32"/>
          <w:lang w:eastAsia="zh-CN"/>
        </w:rPr>
        <w:t>美国劳工部公布失业金申请数据（见表格）。</w:t>
      </w:r>
    </w:p>
    <w:p>
      <w:pPr>
        <w:keepNext w:val="0"/>
        <w:keepLines w:val="0"/>
        <w:pageBreakBefore w:val="0"/>
        <w:widowControl w:val="0"/>
        <w:kinsoku/>
        <w:wordWrap/>
        <w:overflowPunct/>
        <w:topLinePunct w:val="0"/>
        <w:autoSpaceDE/>
        <w:autoSpaceDN/>
        <w:bidi w:val="0"/>
        <w:adjustRightInd/>
        <w:snapToGrid/>
        <w:ind w:firstLine="608" w:firstLineChars="200"/>
        <w:textAlignment w:val="auto"/>
        <w:outlineLvl w:val="9"/>
        <w:rPr>
          <w:rFonts w:hint="eastAsia" w:asciiTheme="minorEastAsia" w:hAnsiTheme="minorEastAsia" w:eastAsiaTheme="minorEastAsia" w:cstheme="minorEastAsia"/>
          <w:sz w:val="32"/>
          <w:szCs w:val="32"/>
          <w:lang w:eastAsia="zh-CN"/>
        </w:rPr>
      </w:pPr>
      <w:r>
        <w:rPr>
          <w:rFonts w:hint="eastAsia" w:asciiTheme="minorEastAsia" w:hAnsiTheme="minorEastAsia" w:eastAsiaTheme="minorEastAsia" w:cstheme="minorEastAsia"/>
          <w:sz w:val="32"/>
          <w:szCs w:val="32"/>
          <w:lang w:val="en-US" w:eastAsia="zh-CN"/>
        </w:rPr>
        <w:drawing>
          <wp:anchor distT="0" distB="0" distL="114300" distR="114300" simplePos="0" relativeHeight="251677696" behindDoc="0" locked="0" layoutInCell="1" allowOverlap="1">
            <wp:simplePos x="0" y="0"/>
            <wp:positionH relativeFrom="column">
              <wp:posOffset>63500</wp:posOffset>
            </wp:positionH>
            <wp:positionV relativeFrom="paragraph">
              <wp:posOffset>114300</wp:posOffset>
            </wp:positionV>
            <wp:extent cx="5354955" cy="1198880"/>
            <wp:effectExtent l="0" t="0" r="17145" b="1270"/>
            <wp:wrapTopAndBottom/>
            <wp:docPr id="18" name="图片 18" descr="图片6-8月9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6-8月9日"/>
                    <pic:cNvPicPr>
                      <a:picLocks noChangeAspect="1"/>
                    </pic:cNvPicPr>
                  </pic:nvPicPr>
                  <pic:blipFill>
                    <a:blip r:embed="rId25"/>
                    <a:stretch>
                      <a:fillRect/>
                    </a:stretch>
                  </pic:blipFill>
                  <pic:spPr>
                    <a:xfrm>
                      <a:off x="0" y="0"/>
                      <a:ext cx="5354955" cy="1198880"/>
                    </a:xfrm>
                    <a:prstGeom prst="rect">
                      <a:avLst/>
                    </a:prstGeom>
                  </pic:spPr>
                </pic:pic>
              </a:graphicData>
            </a:graphic>
          </wp:anchor>
        </w:drawing>
      </w:r>
      <w:r>
        <w:rPr>
          <w:rFonts w:hint="eastAsia" w:asciiTheme="minorEastAsia" w:hAnsiTheme="minorEastAsia" w:eastAsiaTheme="minorEastAsia" w:cstheme="minorEastAsia"/>
          <w:sz w:val="32"/>
          <w:szCs w:val="32"/>
          <w:lang w:eastAsia="zh-CN"/>
        </w:rPr>
        <w:t>数据显示“</w:t>
      </w:r>
      <w:r>
        <w:rPr>
          <w:rFonts w:hint="eastAsia" w:asciiTheme="minorEastAsia" w:hAnsiTheme="minorEastAsia" w:eastAsiaTheme="minorEastAsia" w:cstheme="minorEastAsia"/>
          <w:sz w:val="32"/>
          <w:szCs w:val="32"/>
        </w:rPr>
        <w:t>初请失业金</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人数23.3万人</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低于</w:t>
      </w:r>
      <w:r>
        <w:rPr>
          <w:rFonts w:hint="eastAsia" w:asciiTheme="minorEastAsia" w:hAnsiTheme="minorEastAsia" w:eastAsiaTheme="minorEastAsia" w:cstheme="minorEastAsia"/>
          <w:sz w:val="32"/>
          <w:szCs w:val="32"/>
          <w:lang w:eastAsia="zh-CN"/>
        </w:rPr>
        <w:t>预期与前值，</w:t>
      </w:r>
      <w:r>
        <w:rPr>
          <w:rFonts w:hint="eastAsia" w:asciiTheme="minorEastAsia" w:hAnsiTheme="minorEastAsia" w:eastAsiaTheme="minorEastAsia" w:cstheme="minorEastAsia"/>
          <w:sz w:val="32"/>
          <w:szCs w:val="32"/>
        </w:rPr>
        <w:t>为7月</w:t>
      </w:r>
      <w:r>
        <w:rPr>
          <w:rFonts w:hint="eastAsia" w:asciiTheme="minorEastAsia" w:hAnsiTheme="minorEastAsia" w:eastAsiaTheme="minorEastAsia" w:cstheme="minorEastAsia"/>
          <w:sz w:val="32"/>
          <w:szCs w:val="32"/>
          <w:lang w:eastAsia="zh-CN"/>
        </w:rPr>
        <w:t>初</w:t>
      </w:r>
      <w:r>
        <w:rPr>
          <w:rFonts w:hint="eastAsia" w:asciiTheme="minorEastAsia" w:hAnsiTheme="minorEastAsia" w:eastAsiaTheme="minorEastAsia" w:cstheme="minorEastAsia"/>
          <w:sz w:val="32"/>
          <w:szCs w:val="32"/>
        </w:rPr>
        <w:t>以来新低</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其中密歇根州和德克萨斯州</w:t>
      </w:r>
      <w:r>
        <w:rPr>
          <w:rFonts w:hint="eastAsia" w:asciiTheme="minorEastAsia" w:hAnsiTheme="minorEastAsia" w:eastAsiaTheme="minorEastAsia" w:cstheme="minorEastAsia"/>
          <w:sz w:val="32"/>
          <w:szCs w:val="32"/>
          <w:lang w:eastAsia="zh-CN"/>
        </w:rPr>
        <w:t>该指标</w:t>
      </w:r>
      <w:r>
        <w:rPr>
          <w:rFonts w:hint="eastAsia" w:asciiTheme="minorEastAsia" w:hAnsiTheme="minorEastAsia" w:eastAsiaTheme="minorEastAsia" w:cstheme="minorEastAsia"/>
          <w:sz w:val="32"/>
          <w:szCs w:val="32"/>
        </w:rPr>
        <w:t>下降</w:t>
      </w:r>
      <w:r>
        <w:rPr>
          <w:rFonts w:hint="eastAsia" w:asciiTheme="minorEastAsia" w:hAnsiTheme="minorEastAsia" w:eastAsiaTheme="minorEastAsia" w:cstheme="minorEastAsia"/>
          <w:sz w:val="32"/>
          <w:szCs w:val="32"/>
          <w:lang w:eastAsia="zh-CN"/>
        </w:rPr>
        <w:t>得</w:t>
      </w:r>
      <w:r>
        <w:rPr>
          <w:rFonts w:hint="eastAsia" w:asciiTheme="minorEastAsia" w:hAnsiTheme="minorEastAsia" w:eastAsiaTheme="minorEastAsia" w:cstheme="minorEastAsia"/>
          <w:sz w:val="32"/>
          <w:szCs w:val="32"/>
        </w:rPr>
        <w:t>最为显著</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说明飓风</w:t>
      </w:r>
      <w:r>
        <w:rPr>
          <w:rFonts w:hint="eastAsia" w:asciiTheme="minorEastAsia" w:hAnsiTheme="minorEastAsia" w:eastAsiaTheme="minorEastAsia" w:cstheme="minorEastAsia"/>
          <w:sz w:val="32"/>
          <w:szCs w:val="32"/>
          <w:lang w:eastAsia="zh-CN"/>
        </w:rPr>
        <w:t>的负面</w:t>
      </w:r>
      <w:r>
        <w:rPr>
          <w:rFonts w:hint="eastAsia" w:asciiTheme="minorEastAsia" w:hAnsiTheme="minorEastAsia" w:eastAsiaTheme="minorEastAsia" w:cstheme="minorEastAsia"/>
          <w:sz w:val="32"/>
          <w:szCs w:val="32"/>
        </w:rPr>
        <w:t>影响正在消退</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华尔街认为，上述数据表明</w:t>
      </w:r>
      <w:r>
        <w:rPr>
          <w:rFonts w:hint="eastAsia" w:asciiTheme="minorEastAsia" w:hAnsiTheme="minorEastAsia" w:eastAsiaTheme="minorEastAsia" w:cstheme="minorEastAsia"/>
          <w:sz w:val="32"/>
          <w:szCs w:val="32"/>
        </w:rPr>
        <w:t>美国劳动力市场仍然稳固</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经济仍具有韧性</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关于衰退的说法缺乏足够证据</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8月2日（上周五）公布的7月失业率和“大非农”数据不及预期，一度引发对美国经济衰退的担忧，催化了本周一开市后全球股票市场的大跌。</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lang w:eastAsia="zh-CN"/>
        </w:rPr>
      </w:pPr>
      <w:r>
        <w:rPr>
          <w:rFonts w:hint="eastAsia" w:asciiTheme="minorEastAsia" w:hAnsiTheme="minorEastAsia" w:eastAsiaTheme="minorEastAsia" w:cstheme="minorEastAsia"/>
          <w:sz w:val="32"/>
          <w:szCs w:val="32"/>
          <w:lang w:eastAsia="zh-CN"/>
        </w:rPr>
        <w:t>周四，</w:t>
      </w:r>
      <w:r>
        <w:rPr>
          <w:rFonts w:hint="eastAsia" w:asciiTheme="minorEastAsia" w:hAnsiTheme="minorEastAsia" w:eastAsiaTheme="minorEastAsia" w:cstheme="minorEastAsia"/>
          <w:sz w:val="32"/>
          <w:szCs w:val="32"/>
        </w:rPr>
        <w:t>三大股指集体收涨</w:t>
      </w:r>
      <w:r>
        <w:rPr>
          <w:rFonts w:hint="eastAsia" w:asciiTheme="minorEastAsia" w:hAnsiTheme="minorEastAsia" w:eastAsiaTheme="minorEastAsia" w:cstheme="minorEastAsia"/>
          <w:sz w:val="32"/>
          <w:szCs w:val="32"/>
          <w:lang w:eastAsia="zh-CN"/>
        </w:rPr>
        <w:t>，且涨幅可观（见图），其中</w:t>
      </w:r>
      <w:r>
        <w:rPr>
          <w:rFonts w:hint="eastAsia" w:asciiTheme="minorEastAsia" w:hAnsiTheme="minorEastAsia" w:eastAsiaTheme="minorEastAsia" w:cstheme="minorEastAsia"/>
          <w:sz w:val="32"/>
          <w:szCs w:val="32"/>
        </w:rPr>
        <w:t>标普500指</w:t>
      </w:r>
      <w:r>
        <w:rPr>
          <w:rFonts w:hint="eastAsia" w:asciiTheme="minorEastAsia" w:hAnsiTheme="minorEastAsia" w:eastAsiaTheme="minorEastAsia" w:cstheme="minorEastAsia"/>
          <w:sz w:val="32"/>
          <w:szCs w:val="32"/>
          <w:lang w:eastAsia="zh-CN"/>
        </w:rPr>
        <w:t>数创下了</w:t>
      </w:r>
      <w:r>
        <w:rPr>
          <w:rFonts w:hint="eastAsia" w:asciiTheme="minorEastAsia" w:hAnsiTheme="minorEastAsia" w:eastAsiaTheme="minorEastAsia" w:cstheme="minorEastAsia"/>
          <w:sz w:val="32"/>
          <w:szCs w:val="32"/>
          <w:lang w:val="en-US" w:eastAsia="zh-CN"/>
        </w:rPr>
        <w:t>2022年以来的最大单日涨幅。</w:t>
      </w:r>
      <w:r>
        <w:rPr>
          <w:rFonts w:hint="eastAsia" w:asciiTheme="minorEastAsia" w:hAnsiTheme="minorEastAsia" w:eastAsiaTheme="minorEastAsia" w:cstheme="minorEastAsia"/>
          <w:sz w:val="32"/>
          <w:szCs w:val="32"/>
        </w:rPr>
        <w:t>恐慌指数VIX</w:t>
      </w:r>
      <w:r>
        <w:rPr>
          <w:rFonts w:hint="eastAsia" w:asciiTheme="minorEastAsia" w:hAnsiTheme="minorEastAsia" w:eastAsiaTheme="minorEastAsia" w:cstheme="minorEastAsia"/>
          <w:sz w:val="32"/>
          <w:szCs w:val="32"/>
          <w:lang w:eastAsia="zh-CN"/>
        </w:rPr>
        <w:t>亦</w:t>
      </w:r>
      <w:r>
        <w:rPr>
          <w:rFonts w:hint="eastAsia" w:asciiTheme="minorEastAsia" w:hAnsiTheme="minorEastAsia" w:eastAsiaTheme="minorEastAsia" w:cstheme="minorEastAsia"/>
          <w:sz w:val="32"/>
          <w:szCs w:val="32"/>
        </w:rPr>
        <w:t>大幅回落</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表明市场</w:t>
      </w:r>
      <w:r>
        <w:rPr>
          <w:rFonts w:hint="eastAsia" w:asciiTheme="minorEastAsia" w:hAnsiTheme="minorEastAsia" w:eastAsiaTheme="minorEastAsia" w:cstheme="minorEastAsia"/>
          <w:sz w:val="32"/>
          <w:szCs w:val="32"/>
          <w:lang w:eastAsia="zh-CN"/>
        </w:rPr>
        <w:t>恐慌</w:t>
      </w:r>
      <w:r>
        <w:rPr>
          <w:rFonts w:hint="eastAsia" w:asciiTheme="minorEastAsia" w:hAnsiTheme="minorEastAsia" w:eastAsiaTheme="minorEastAsia" w:cstheme="minorEastAsia"/>
          <w:sz w:val="32"/>
          <w:szCs w:val="32"/>
        </w:rPr>
        <w:t>情绪消退</w:t>
      </w:r>
      <w:r>
        <w:rPr>
          <w:rFonts w:hint="eastAsia" w:asciiTheme="minorEastAsia" w:hAnsiTheme="minorEastAsia" w:eastAsiaTheme="minorEastAsia" w:cstheme="minorEastAsia"/>
          <w:sz w:val="32"/>
          <w:szCs w:val="32"/>
          <w:lang w:eastAsia="zh-CN"/>
        </w:rPr>
        <w:t>。</w:t>
      </w:r>
    </w:p>
    <w:p>
      <w:pPr>
        <w:rPr>
          <w:rFonts w:hint="eastAsia"/>
          <w:lang w:val="en-US" w:eastAsia="zh-CN"/>
        </w:rPr>
      </w:pPr>
      <w:r>
        <w:drawing>
          <wp:anchor distT="0" distB="0" distL="114300" distR="114300" simplePos="0" relativeHeight="251678720" behindDoc="0" locked="0" layoutInCell="1" allowOverlap="1">
            <wp:simplePos x="0" y="0"/>
            <wp:positionH relativeFrom="column">
              <wp:posOffset>254000</wp:posOffset>
            </wp:positionH>
            <wp:positionV relativeFrom="paragraph">
              <wp:posOffset>163830</wp:posOffset>
            </wp:positionV>
            <wp:extent cx="4998720" cy="1158240"/>
            <wp:effectExtent l="0" t="0" r="11430" b="3810"/>
            <wp:wrapTopAndBottom/>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6"/>
                    <a:stretch>
                      <a:fillRect/>
                    </a:stretch>
                  </pic:blipFill>
                  <pic:spPr>
                    <a:xfrm>
                      <a:off x="0" y="0"/>
                      <a:ext cx="4998720" cy="11582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sz w:val="32"/>
          <w:szCs w:val="32"/>
          <w:lang w:eastAsia="zh-CN"/>
        </w:rPr>
      </w:pPr>
      <w:r>
        <w:rPr>
          <w:rFonts w:hint="eastAsia" w:asciiTheme="minorEastAsia" w:hAnsiTheme="minorEastAsia" w:eastAsiaTheme="minorEastAsia" w:cstheme="minorEastAsia"/>
          <w:sz w:val="32"/>
          <w:szCs w:val="32"/>
          <w:lang w:eastAsia="zh-CN"/>
        </w:rPr>
        <w:t>此外，二季度</w:t>
      </w:r>
      <w:r>
        <w:rPr>
          <w:rFonts w:hint="eastAsia" w:asciiTheme="minorEastAsia" w:hAnsiTheme="minorEastAsia" w:eastAsiaTheme="minorEastAsia" w:cstheme="minorEastAsia"/>
          <w:sz w:val="32"/>
          <w:szCs w:val="32"/>
        </w:rPr>
        <w:t>企业盈利表现</w:t>
      </w:r>
      <w:r>
        <w:rPr>
          <w:rFonts w:hint="eastAsia" w:asciiTheme="minorEastAsia" w:hAnsiTheme="minorEastAsia" w:eastAsiaTheme="minorEastAsia" w:cstheme="minorEastAsia"/>
          <w:sz w:val="32"/>
          <w:szCs w:val="32"/>
          <w:lang w:eastAsia="zh-CN"/>
        </w:rPr>
        <w:t>，也</w:t>
      </w:r>
      <w:r>
        <w:rPr>
          <w:rFonts w:hint="eastAsia" w:asciiTheme="minorEastAsia" w:hAnsiTheme="minorEastAsia" w:eastAsiaTheme="minorEastAsia" w:cstheme="minorEastAsia"/>
          <w:sz w:val="32"/>
          <w:szCs w:val="32"/>
        </w:rPr>
        <w:t>缓解了</w:t>
      </w:r>
      <w:r>
        <w:rPr>
          <w:rFonts w:hint="eastAsia" w:asciiTheme="minorEastAsia" w:hAnsiTheme="minorEastAsia" w:eastAsiaTheme="minorEastAsia" w:cstheme="minorEastAsia"/>
          <w:sz w:val="32"/>
          <w:szCs w:val="32"/>
          <w:lang w:eastAsia="zh-CN"/>
        </w:rPr>
        <w:t>市场</w:t>
      </w:r>
      <w:r>
        <w:rPr>
          <w:rFonts w:hint="eastAsia" w:asciiTheme="minorEastAsia" w:hAnsiTheme="minorEastAsia" w:eastAsiaTheme="minorEastAsia" w:cstheme="minorEastAsia"/>
          <w:sz w:val="32"/>
          <w:szCs w:val="32"/>
        </w:rPr>
        <w:t>对衰退的担忧</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数据</w:t>
      </w:r>
      <w:r>
        <w:rPr>
          <w:rFonts w:hint="eastAsia" w:asciiTheme="minorEastAsia" w:hAnsiTheme="minorEastAsia" w:eastAsiaTheme="minorEastAsia" w:cstheme="minorEastAsia"/>
          <w:sz w:val="32"/>
          <w:szCs w:val="32"/>
          <w:lang w:eastAsia="zh-CN"/>
        </w:rPr>
        <w:t>表示，</w:t>
      </w:r>
      <w:r>
        <w:rPr>
          <w:rFonts w:hint="eastAsia" w:asciiTheme="minorEastAsia" w:hAnsiTheme="minorEastAsia" w:eastAsiaTheme="minorEastAsia" w:cstheme="minorEastAsia"/>
          <w:sz w:val="32"/>
          <w:szCs w:val="32"/>
        </w:rPr>
        <w:t>二季度标普500指数成分股利润增长了13%</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为2021年第四季度以来的最大增幅</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且整体上超出了预期</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rPr>
        <w:t>花旗</w:t>
      </w:r>
      <w:r>
        <w:rPr>
          <w:rFonts w:hint="eastAsia" w:asciiTheme="minorEastAsia" w:hAnsiTheme="minorEastAsia" w:eastAsiaTheme="minorEastAsia" w:cstheme="minorEastAsia"/>
          <w:sz w:val="32"/>
          <w:szCs w:val="32"/>
          <w:lang w:eastAsia="zh-CN"/>
        </w:rPr>
        <w:t>预期，其</w:t>
      </w:r>
      <w:r>
        <w:rPr>
          <w:rFonts w:hint="eastAsia" w:asciiTheme="minorEastAsia" w:hAnsiTheme="minorEastAsia" w:eastAsiaTheme="minorEastAsia" w:cstheme="minorEastAsia"/>
          <w:sz w:val="32"/>
          <w:szCs w:val="32"/>
        </w:rPr>
        <w:t>2024年</w:t>
      </w:r>
      <w:r>
        <w:rPr>
          <w:rFonts w:hint="eastAsia" w:asciiTheme="minorEastAsia" w:hAnsiTheme="minorEastAsia" w:eastAsiaTheme="minorEastAsia" w:cstheme="minorEastAsia"/>
          <w:sz w:val="32"/>
          <w:szCs w:val="32"/>
          <w:lang w:eastAsia="zh-CN"/>
        </w:rPr>
        <w:t>全年</w:t>
      </w:r>
      <w:r>
        <w:rPr>
          <w:rFonts w:hint="eastAsia" w:asciiTheme="minorEastAsia" w:hAnsiTheme="minorEastAsia" w:eastAsiaTheme="minorEastAsia" w:cstheme="minorEastAsia"/>
          <w:sz w:val="32"/>
          <w:szCs w:val="32"/>
        </w:rPr>
        <w:t>利润增长很可能达到10%</w:t>
      </w:r>
      <w:r>
        <w:rPr>
          <w:rFonts w:hint="eastAsia" w:asciiTheme="minorEastAsia" w:hAnsiTheme="minorEastAsia" w:eastAsiaTheme="minorEastAsia" w:cstheme="minorEastAsia"/>
          <w:sz w:val="32"/>
          <w:szCs w:val="32"/>
          <w:lang w:eastAsia="zh-CN"/>
        </w:rPr>
        <w:t>，</w:t>
      </w:r>
      <w:r>
        <w:rPr>
          <w:rFonts w:hint="eastAsia" w:asciiTheme="minorEastAsia" w:hAnsiTheme="minorEastAsia" w:eastAsiaTheme="minorEastAsia" w:cstheme="minorEastAsia"/>
          <w:sz w:val="32"/>
          <w:szCs w:val="32"/>
          <w:lang w:val="en-US" w:eastAsia="zh-CN"/>
        </w:rPr>
        <w:t>2025年</w:t>
      </w:r>
      <w:r>
        <w:rPr>
          <w:rFonts w:hint="eastAsia" w:asciiTheme="minorEastAsia" w:hAnsiTheme="minorEastAsia" w:eastAsiaTheme="minorEastAsia" w:cstheme="minorEastAsia"/>
          <w:sz w:val="32"/>
          <w:szCs w:val="32"/>
        </w:rPr>
        <w:t>还会进一步增长</w:t>
      </w:r>
      <w:r>
        <w:rPr>
          <w:rFonts w:hint="eastAsia" w:asciiTheme="minorEastAsia" w:hAnsiTheme="minorEastAsia" w:eastAsiaTheme="minorEastAsia" w:cstheme="minorEastAsia"/>
          <w:sz w:val="32"/>
          <w:szCs w:val="32"/>
          <w:lang w:eastAsia="zh-CN"/>
        </w:rPr>
        <w:t>。</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sz w:val="32"/>
          <w:szCs w:val="32"/>
          <w:lang w:eastAsia="zh-CN"/>
        </w:rPr>
        <w:t>市场的避险需求因此减弱，资金从债市回转股市，</w:t>
      </w:r>
      <w:r>
        <w:rPr>
          <w:rFonts w:hint="eastAsia" w:asciiTheme="minorEastAsia" w:hAnsiTheme="minorEastAsia" w:eastAsiaTheme="minorEastAsia" w:cstheme="minorEastAsia"/>
          <w:sz w:val="32"/>
          <w:szCs w:val="32"/>
        </w:rPr>
        <w:t>10年期美债收益率重回4%上方</w:t>
      </w:r>
      <w:r>
        <w:rPr>
          <w:rFonts w:hint="eastAsia" w:asciiTheme="minorEastAsia" w:hAnsiTheme="minorEastAsia" w:eastAsiaTheme="minorEastAsia" w:cstheme="minorEastAsia"/>
          <w:sz w:val="32"/>
          <w:szCs w:val="32"/>
          <w:lang w:eastAsia="zh-CN"/>
        </w:rPr>
        <w:t>（见图），当日</w:t>
      </w:r>
      <w:r>
        <w:rPr>
          <w:rFonts w:hint="eastAsia" w:asciiTheme="minorEastAsia" w:hAnsiTheme="minorEastAsia" w:eastAsiaTheme="minorEastAsia" w:cstheme="minorEastAsia"/>
          <w:sz w:val="32"/>
          <w:szCs w:val="32"/>
          <w:lang w:val="en-US" w:eastAsia="zh-CN"/>
        </w:rPr>
        <w:t>30年期的美债拍卖结果也不甚理想。目前，10年期美债和2年期美债的收益率倒挂依旧，但正在接近，降息后应能解除倒挂。</w:t>
      </w:r>
    </w:p>
    <w:p>
      <w:pPr>
        <w:keepNext w:val="0"/>
        <w:keepLines w:val="0"/>
        <w:pageBreakBefore w:val="0"/>
        <w:widowControl w:val="0"/>
        <w:kinsoku/>
        <w:wordWrap/>
        <w:overflowPunct/>
        <w:topLinePunct w:val="0"/>
        <w:autoSpaceDE/>
        <w:autoSpaceDN/>
        <w:bidi w:val="0"/>
        <w:adjustRightInd/>
        <w:snapToGrid/>
        <w:jc w:val="left"/>
        <w:textAlignment w:val="auto"/>
      </w:pPr>
      <w:r>
        <w:drawing>
          <wp:anchor distT="0" distB="0" distL="114300" distR="114300" simplePos="0" relativeHeight="251679744" behindDoc="0" locked="0" layoutInCell="1" allowOverlap="1">
            <wp:simplePos x="0" y="0"/>
            <wp:positionH relativeFrom="column">
              <wp:posOffset>1092835</wp:posOffset>
            </wp:positionH>
            <wp:positionV relativeFrom="paragraph">
              <wp:posOffset>72390</wp:posOffset>
            </wp:positionV>
            <wp:extent cx="3340735" cy="2332355"/>
            <wp:effectExtent l="0" t="0" r="12065" b="10795"/>
            <wp:wrapTopAndBottom/>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7"/>
                    <a:stretch>
                      <a:fillRect/>
                    </a:stretch>
                  </pic:blipFill>
                  <pic:spPr>
                    <a:xfrm>
                      <a:off x="0" y="0"/>
                      <a:ext cx="3340735" cy="23323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lang w:eastAsia="zh-CN"/>
        </w:rPr>
      </w:pPr>
      <w:r>
        <w:rPr>
          <w:rFonts w:hint="eastAsia" w:ascii="方正仿宋_GBK" w:hAnsi="方正仿宋_GBK" w:eastAsia="方正仿宋_GBK" w:cs="方正仿宋_GBK"/>
          <w:sz w:val="24"/>
          <w:szCs w:val="24"/>
          <w:lang w:eastAsia="zh-CN"/>
        </w:rPr>
        <w:t>（图：长短期美债收益率倒挂依旧，但正在接近）</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江苏新能源产业出口合规风险排查</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徐州专场成功举办</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为助力企业有效规避国际经贸合规风险，加强合规经营意识，建立合规管理体系，江苏新能源产业出口合规风险排查专项活动近日正式启动，首场活动于8月6日在徐州成功举办。</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此次活动由江苏省贸促会、江苏省工商联主办，徐州市贸促会、徐州市工商联和徐州市工信局承办，活动内容包括走访重点企业、政策宣讲培训和出具排查报告。江苏省贸促会秘书长杜培军、法律事务部部长汪洋、省工商联法律服务部部长卢俊等同志参加活动。</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省、市贸促系统与来自国贸合规咨询（北京）有限公司、中国政法大学和北京卓纬律师事务所的4名专家一起赴徐工进出口有限公司调研，与集团合规和法务团队共同交流合规经营管理经验，听取收集贸促服务建议与需求。</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政策宣讲以“合规强链助力新能源产业出海”为主题，分别就“新能源产业海外合规风险全景图与合规经营策略”、“美欧对华新能源产业限制措施与企业应对之策”、“新能源企业如何做好出口管制与经济制裁专项合规管理”、“新能源企业如何做好知识产权专项合规管理”对我市95家企业110余名高管和合规从业人员进行了专题讲解。</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宣讲结束后，专家团队趁热打铁，结合前期企业诉求收集情况，组织了30家新能源企业填报了合规风险评估问卷，现场“问诊”、合规“体检”，并将为30家企业免费出具专属合规风险排查报告。</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次活动选题“合规”，落实党中央关于“合规经营”的有关决策部署，紧抓国际经济发展脉络，紧扣企业“越洋出海”热点难点，紧贴企业强化合规管理潮流，是徐州市贸促会对接贸促系统优质法律资源，加强相关部门协调联动的又一举措。市贸促会将不断提升外贸合规服务水平，努力构建有力有效、联动协同的法律服务新模式，为徐州企业“走出去”和跨国经营增值赋能。</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方正楷体_GBK" w:hAnsi="方正楷体_GBK" w:eastAsia="方正楷体_GBK" w:cs="方正楷体_GBK"/>
          <w:b/>
          <w:bCs/>
          <w:color w:val="FF0000"/>
          <w:spacing w:val="0"/>
          <w:kern w:val="2"/>
          <w:sz w:val="32"/>
          <w:szCs w:val="32"/>
          <w:lang w:val="en-US" w:eastAsia="zh-CN" w:bidi="ar-SA"/>
        </w:rPr>
        <w:t>（徐州贸促会）</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常州市“十百千”贸促经贸大讲堂</w:t>
      </w: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经典行楷简" w:cs="Times New Roman"/>
          <w:color w:val="2E75B6" w:themeColor="accent1" w:themeShade="BF"/>
          <w:spacing w:val="0"/>
          <w:kern w:val="2"/>
          <w:sz w:val="52"/>
          <w:szCs w:val="5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RCEP专场在钟楼区举行</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8月1日，由常州市贸促会主办，钟楼区工商联、区商务局承办的“十百千”贸促经贸大讲堂RCEP市场专题培训在钟楼区开班。市贸促会会长季斌，钟楼区委统战部副部长、区工商联党组书记孙广强出席，区商务局副局长李峰主持，来自钟楼区规上外经贸企业的相关负责人40余人参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highlight w:val="green"/>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本次培训旨在帮助企业抢抓RCEP机遇，积极开拓国际市场，增强发展新动能。培训内容紧扣RCEP等自贸协定，结合常州产业发展特点，现场邀请相关领域专家，从RCEP政策解读与原产地证操作实务、贸促计划解读与RCEP市场高质量“出海”，以及跨境业务的争议解决途径等方面进行了授课，进一步引导企业在RCEP框架下拓展国际市场份额，持续发挥原产地证书国际贸易“纸黄金”作用，提高产品竞争力，并有效规避法律风险。参会人员表示，通过专家的解读，更深入地了解和掌握了自贸协定政策，对于今后更好地开展RCEP成员国对外贸易十分有益。此次培训，还就企业关心的原产地证签证系统升级项目等相关内容进行了讲解，持续助力企业纾困降本，提升签证便利化水平</w:t>
      </w:r>
      <w:r>
        <w:rPr>
          <w:rFonts w:hint="eastAsia" w:asciiTheme="minorEastAsia" w:hAnsiTheme="minorEastAsia" w:cstheme="minorEastAsia"/>
          <w:color w:val="auto"/>
          <w:spacing w:val="0"/>
          <w:kern w:val="2"/>
          <w:sz w:val="32"/>
          <w:szCs w:val="32"/>
          <w:lang w:val="en-US" w:eastAsia="zh-CN" w:bidi="ar-SA"/>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近年来，随着RCEP协定的高质量实施，越来越多的常州外经贸企业享受到红利。今年上半年，市贸促会办理RCEP原产地证书800余份，助力企业享受进口国关税减免27.6万美元，纺织品和鞋类、化工原料、机电等一批常州优势出口产品，乘着RCEP东风扬帆出海。</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下一步，市贸促会将继续聚焦新质生产力发展，以十个产业领域为主线、开展百场辅导培训、服务千家企业，持续推动“十百千”贸促经贸大讲堂系列培训深入各辖市区。通过政策宣讲、项目对接、论坛举办等举措，提供精准化涉外服务，助力企业提高国际化经营水平，更好服务我市开放型经济发展大局。</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472" w:firstLineChars="18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（常州贸促会）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方正楷体_GBK" w:hAnsi="方正楷体_GBK" w:eastAsia="方正楷体_GBK" w:cs="方正楷体_GBK"/>
          <w:b/>
          <w:bCs/>
          <w:color w:val="FF0000"/>
          <w:spacing w:val="0"/>
          <w:kern w:val="2"/>
          <w:sz w:val="32"/>
          <w:szCs w:val="32"/>
          <w:lang w:val="en-US" w:eastAsia="zh-CN" w:bidi="ar-SA"/>
        </w:rPr>
      </w:pPr>
    </w:p>
    <w:p>
      <w:pPr>
        <w:keepNext w:val="0"/>
        <w:keepLines w:val="0"/>
        <w:pageBreakBefore w:val="0"/>
        <w:widowControl/>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imes New Roman" w:hAnsi="Times New Roman" w:eastAsia="经典行楷简" w:cs="Times New Roman"/>
          <w:color w:val="2E75B6" w:themeColor="accent1" w:themeShade="BF"/>
          <w:spacing w:val="0"/>
          <w:kern w:val="2"/>
          <w:sz w:val="52"/>
          <w:szCs w:val="52"/>
          <w:lang w:val="en-US" w:eastAsia="zh-CN" w:bidi="ar-SA"/>
        </w:rPr>
        <w:t>镇江市商务局、市贸促会（国际商会）召开五金工具行业企业座谈会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为准确了解企业外贸发展现状和困难，征求企业服务建议，近日，镇江市商务局、市贸促会（国际商会）联合丹阳市丹北五金工具商会召开五金工具行业企业开拓国际市场专题座谈会。</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color w:val="auto"/>
          <w:spacing w:val="0"/>
          <w:kern w:val="2"/>
          <w:sz w:val="32"/>
          <w:szCs w:val="32"/>
          <w:lang w:val="en-US" w:eastAsia="zh-CN" w:bidi="ar-SA"/>
        </w:rPr>
      </w:pPr>
      <w:r>
        <w:rPr>
          <w:rFonts w:hint="eastAsia" w:asciiTheme="minorEastAsia" w:hAnsiTheme="minorEastAsia" w:eastAsiaTheme="minorEastAsia" w:cstheme="minorEastAsia"/>
          <w:color w:val="auto"/>
          <w:spacing w:val="0"/>
          <w:kern w:val="2"/>
          <w:sz w:val="32"/>
          <w:szCs w:val="32"/>
          <w:lang w:val="en-US" w:eastAsia="zh-CN" w:bidi="ar-SA"/>
        </w:rPr>
        <w:t>会上江苏金元素等7家企业代表围绕企业目前外贸经营现状、行业发展趋势等方面开展交流，探讨在国际市场需求疲软、贸易壁垒增加等多重不利影响下如何寻找外贸发展新路径，并就外贸政策扶持、外贸新业态支持、结汇结算等方面提出相关建议和服务需求。</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both"/>
        <w:textAlignment w:val="auto"/>
        <w:outlineLvl w:val="1"/>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r>
        <w:rPr>
          <w:rFonts w:hint="eastAsia" w:asciiTheme="minorEastAsia" w:hAnsiTheme="minorEastAsia" w:eastAsiaTheme="minorEastAsia" w:cstheme="minorEastAsia"/>
          <w:color w:val="auto"/>
          <w:spacing w:val="0"/>
          <w:kern w:val="2"/>
          <w:sz w:val="32"/>
          <w:szCs w:val="32"/>
          <w:lang w:val="en-US" w:eastAsia="zh-CN" w:bidi="ar-SA"/>
        </w:rPr>
        <w:t>市商务局、市贸促会分别就国家和省市扶持政策、市采通、五金工具重点展会等进行了详细介绍。会领导指出面对复杂多变的国际形势和市场竞争，我市五金工具出口企业需要不断提升自身实力，加强技术创新和品牌建设，加大开拓国际市场力度，商务部门和贸促会主动靠前做好服务，竭尽所能为企业融入国际化发展创造优良的服务环境。</w:t>
      </w:r>
      <w:r>
        <w:rPr>
          <w:rFonts w:hint="eastAsia" w:asciiTheme="minorEastAsia" w:hAnsiTheme="minorEastAsia" w:cstheme="minorEastAsia"/>
          <w:color w:val="auto"/>
          <w:spacing w:val="0"/>
          <w:kern w:val="2"/>
          <w:sz w:val="32"/>
          <w:szCs w:val="32"/>
          <w:lang w:val="en-US" w:eastAsia="zh-CN" w:bidi="ar-SA"/>
        </w:rPr>
        <w:t xml:space="preserve">                </w:t>
      </w:r>
      <w:r>
        <w:rPr>
          <w:rFonts w:hint="eastAsia" w:ascii="方正楷体_GBK" w:hAnsi="方正楷体_GBK" w:eastAsia="方正楷体_GBK" w:cs="方正楷体_GBK"/>
          <w:b/>
          <w:bCs/>
          <w:color w:val="FF0000"/>
          <w:spacing w:val="0"/>
          <w:kern w:val="2"/>
          <w:sz w:val="32"/>
          <w:szCs w:val="32"/>
          <w:lang w:val="en-US" w:eastAsia="zh-CN" w:bidi="ar-SA"/>
        </w:rPr>
        <w:t>（镇江贸促会）</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Theme="minorEastAsia" w:hAnsiTheme="minorEastAsia" w:eastAsiaTheme="minorEastAsia" w:cstheme="minorEastAsia"/>
          <w:b/>
          <w:color w:val="1F497D"/>
          <w:kern w:val="36"/>
          <w:sz w:val="32"/>
          <w:szCs w:val="32"/>
          <w:u w:val="none" w:color="BB120F"/>
          <w:lang w:val="en-US" w:eastAsia="zh-CN"/>
          <w14:textFill>
            <w14:solidFill>
              <w14:srgbClr w14:val="1F497D">
                <w14:lumMod w14:val="60000"/>
                <w14:lumOff w14:val="40000"/>
              </w14:srgbClr>
            </w14:solidFill>
          </w14:textFill>
        </w:rPr>
      </w:pP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0"/>
          <w:kern w:val="36"/>
          <w:sz w:val="52"/>
          <w:szCs w:val="52"/>
          <w:lang w:val="en-US" w:eastAsia="zh-CN"/>
        </w:rPr>
      </w:pPr>
      <w:r>
        <w:rPr>
          <w:rFonts w:hint="eastAsia" w:ascii="Times New Roman" w:hAnsi="Times New Roman" w:eastAsia="华文新魏" w:cs="Times New Roman"/>
          <w:b/>
          <w:color w:val="FF0000"/>
          <w:spacing w:val="0"/>
          <w:kern w:val="36"/>
          <w:sz w:val="52"/>
          <w:szCs w:val="52"/>
          <w:lang w:val="en-US" w:eastAsia="zh-CN"/>
        </w:rPr>
        <w:t>中国信保江苏分公司与南京市人民政府签署新一轮深化战略合作协议</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为贯彻落实党的二十届三中全会精神，我会副会长单位——中国出口信用保险公司江苏分公司与南京市人民政府签署新一轮深化战略合作协议。根据协议，双方将围绕加强政策引导、提升承保规模、支持重点领域等方面，开展一系列务实高效合作，积极助力南京市“2+6+6”创新产业体系构建和南京市跨境电商综合试验区、国家服务贸易创新发展示范区以及科创金融改革试验区建设，共同推动南京市开放型经济高质量发展。</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自2019年中国信保江苏分公司与南京市签署战略合作协议以来，双方合作密切，取得丰硕成果。五年来，有力支持了南京市外经贸稳定发展，分公司支持南京出口金额从2019年130多亿美元提升到2023年超过190亿美元，服务南京出口企业数从1500多家提升到超过2500家，服务“走出去”项目金额从超过12亿美元提升到超过16亿美元，支持出口企业融资增信保额从43亿元提升到56亿元。</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根据新一轮协议，2024年至2027年，中国信保江苏分公司将在持续扩大承保规模和覆盖面、支持企业开拓新市场、支持跨境电商和服务贸易等新业态发展、服务“一带一路”建设、支持南京中小微外贸企业发展、推动信保保单融资等方面与南京市政府进一步深化战略合作。</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（来源：中国信保江苏分公司微信公众号）</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lang w:val="en-US" w:eastAsia="zh-CN"/>
        </w:rPr>
      </w:pP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600" w:lineRule="exact"/>
        <w:contextualSpacing/>
        <w:jc w:val="center"/>
        <w:textAlignment w:val="auto"/>
        <w:outlineLvl w:val="1"/>
        <w:rPr>
          <w:rFonts w:hint="eastAsia" w:ascii="Times New Roman" w:hAnsi="Times New Roman" w:eastAsia="华文新魏" w:cs="Times New Roman"/>
          <w:b/>
          <w:color w:val="FF0000"/>
          <w:spacing w:val="28"/>
          <w:kern w:val="36"/>
          <w:sz w:val="52"/>
          <w:szCs w:val="52"/>
          <w:lang w:val="en-US" w:eastAsia="zh-CN"/>
        </w:rPr>
      </w:pPr>
      <w:r>
        <w:rPr>
          <w:rFonts w:hint="eastAsia" w:ascii="Times New Roman" w:hAnsi="Times New Roman" w:eastAsia="华文新魏" w:cs="Times New Roman"/>
          <w:b/>
          <w:color w:val="FF0000"/>
          <w:spacing w:val="-20"/>
          <w:kern w:val="36"/>
          <w:sz w:val="52"/>
          <w:szCs w:val="52"/>
          <w:lang w:val="en-US" w:eastAsia="zh-CN"/>
        </w:rPr>
        <w:t>尚德电力稳居欧洲受欢迎组件供应商前列</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权威能源研究公司Renewables.Digital近期发布一项面对欧洲4000家最大光伏安装商的调查，以了解主要光伏组件制造商的受欢迎程度。我会副会长单位——无锡尚德太阳能电力有限公司凭借卓越的产品品质及可信的质保承诺，稳居欧洲受欢迎组件供应商前列。这一殊荣不仅是对尚德电力综合实力的认可，更是对公司在全球及区域市场推动低碳转型中所扮演关键角色的高度肯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尚德电力自进入欧洲市场以来，便以卓越的产品性能和优质的客户服务赢得了广泛的赞誉与信赖。如波兰科学院实验调研证明，尚德品牌组件运行16年衰减不到3%，远远优于行业标准。尚德电力始终致力于为客户提供最可靠、最高效的太阳能解决方案。在2023-2024年期间，尚德电力分别在波兰、捷克、意大利、葡萄牙、澳大利亚、中东北非等重要市场被EUPD Research授予“顶级光伏品牌”奖项，这是对尚德电力持续深耕欧洲及全球市场、不断提升产品质量与服务水平的最好证明。</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eastAsia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未来，尚德电力继续专注于产品转换效率的提升，不断加强新型技术的研发、生产工艺的改进，凭借卓越的技术优势和制造水平，竭诚为客户提供高品质、高可靠性的光伏产品，成为客户最信赖的光伏企业。</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方正楷体_GBK" w:hAnsi="方正楷体_GBK" w:eastAsia="方正楷体_GBK" w:cs="方正楷体_GBK"/>
          <w:b/>
          <w:bCs w:val="0"/>
          <w:color w:val="FF0000"/>
          <w:sz w:val="32"/>
          <w:szCs w:val="32"/>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（来源：尚德电力微信公众号）</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方正楷体_GBK" w:hAnsi="方正楷体_GBK" w:eastAsia="方正楷体_GBK" w:cs="方正楷体_GBK"/>
          <w:b/>
          <w:bCs w:val="0"/>
          <w:color w:val="FF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20"/>
          <w:kern w:val="36"/>
          <w:sz w:val="52"/>
          <w:szCs w:val="52"/>
          <w:lang w:val="en-US" w:eastAsia="zh-CN"/>
        </w:rPr>
      </w:pPr>
      <w:r>
        <w:rPr>
          <w:rFonts w:hint="eastAsia" w:ascii="Times New Roman" w:hAnsi="Times New Roman" w:eastAsia="华文新魏" w:cs="Times New Roman"/>
          <w:b/>
          <w:color w:val="FF0000"/>
          <w:spacing w:val="-20"/>
          <w:kern w:val="36"/>
          <w:sz w:val="52"/>
          <w:szCs w:val="52"/>
          <w:lang w:val="en-US" w:eastAsia="zh-CN"/>
        </w:rPr>
        <w:t>ESG报告：彰显灵通践行绿色会展，</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Times New Roman" w:hAnsi="Times New Roman" w:eastAsia="华文新魏" w:cs="Times New Roman"/>
          <w:b/>
          <w:color w:val="FF0000"/>
          <w:spacing w:val="-20"/>
          <w:kern w:val="36"/>
          <w:sz w:val="52"/>
          <w:szCs w:val="52"/>
          <w:lang w:val="en-US" w:eastAsia="zh-CN"/>
        </w:rPr>
      </w:pPr>
      <w:r>
        <w:rPr>
          <w:rFonts w:hint="eastAsia" w:ascii="Times New Roman" w:hAnsi="Times New Roman" w:eastAsia="华文新魏" w:cs="Times New Roman"/>
          <w:b/>
          <w:color w:val="FF0000"/>
          <w:spacing w:val="-20"/>
          <w:kern w:val="36"/>
          <w:sz w:val="52"/>
          <w:szCs w:val="52"/>
          <w:lang w:val="en-US" w:eastAsia="zh-CN"/>
        </w:rPr>
        <w:t>推动会展业高质量发展的行业使命</w:t>
      </w:r>
    </w:p>
    <w:p>
      <w:pPr>
        <w:keepNext w:val="0"/>
        <w:keepLines w:val="0"/>
        <w:pageBreakBefore w:val="0"/>
        <w:widowControl w:val="0"/>
        <w:kinsoku/>
        <w:wordWrap/>
        <w:overflowPunct/>
        <w:topLinePunct w:val="0"/>
        <w:autoSpaceDE/>
        <w:autoSpaceDN/>
        <w:bidi w:val="0"/>
        <w:adjustRightInd/>
        <w:snapToGrid/>
        <w:ind w:firstLine="608" w:firstLineChars="200"/>
        <w:jc w:val="both"/>
        <w:textAlignment w:val="auto"/>
        <w:outlineLvl w:val="9"/>
        <w:rPr>
          <w:rFonts w:hint="eastAsia" w:asciiTheme="minorEastAsia" w:hAnsiTheme="minorEastAsia" w:cstheme="minorEastAsia"/>
          <w:i w:val="0"/>
          <w:caps w:val="0"/>
          <w:color w:val="000000"/>
          <w:spacing w:val="0"/>
          <w:sz w:val="32"/>
          <w:szCs w:val="32"/>
          <w:lang w:val="en-US" w:eastAsia="zh-CN"/>
        </w:rPr>
      </w:pPr>
      <w:r>
        <w:rPr>
          <w:rFonts w:hint="eastAsia" w:asciiTheme="minorEastAsia" w:hAnsiTheme="minorEastAsia" w:eastAsiaTheme="minorEastAsia" w:cstheme="minorEastAsia"/>
          <w:i w:val="0"/>
          <w:caps w:val="0"/>
          <w:color w:val="000000"/>
          <w:spacing w:val="0"/>
          <w:sz w:val="32"/>
          <w:szCs w:val="32"/>
          <w:lang w:val="en-US" w:eastAsia="zh-CN"/>
        </w:rPr>
        <w:t>近日，我会理事单位——灵通展览系统股份有限公司2023年度可持续发展暨环境、社会及公司治理（ESG）报告正式在《中国会展》杂志发布。“在灵通，绿色可持续是企业永恒的课题。”作为国内最早扛起“绿色展览”大旗的排头兵，灵通已经在绿色会展领域深耕38年。从“绿色展览 服务全球”企业愿景的提出以及“构建绿色展览服务生态圈”战略的瞄标定靶，无一不向外界彰显着灵通对于可持续发展理念的坚持。企业的成功不仅仅体现在经济效益上，更体现在对环境、社会和公司治理的综合贡献上，因此，灵通自2010年便开始发布企业社会责任报告，并连续发布了13年，本次更是主动对标国际评价体系，首次从CSR报告升级为ESG报告，深刻地反映了公司对于可持续发展的理解与坚定承诺。报告聚焦“绿色展览”“节能降耗”“投身公益”“员工培育与关怀”等多个领域，展现了灵通在环境、社会和治理方面的管理水平，强调了公司应对环境及社会风险的能力，践行了企业与利益相关方和谐共生的愿景与决心。</w:t>
      </w:r>
      <w:r>
        <w:rPr>
          <w:rFonts w:hint="eastAsia" w:asciiTheme="minorEastAsia" w:hAnsiTheme="minorEastAsia" w:cstheme="minorEastAsia"/>
          <w:i w:val="0"/>
          <w:caps w:val="0"/>
          <w:color w:val="000000"/>
          <w:spacing w:val="0"/>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56" w:firstLineChars="1400"/>
        <w:jc w:val="both"/>
        <w:textAlignment w:val="auto"/>
        <w:outlineLvl w:val="9"/>
        <w:rPr>
          <w:rFonts w:hint="eastAsia" w:ascii="方正楷体_GBK" w:hAnsi="方正楷体_GBK" w:eastAsia="方正楷体_GBK" w:cs="方正楷体_GBK"/>
          <w:b/>
          <w:bCs w:val="0"/>
          <w:color w:val="FF0000"/>
          <w:sz w:val="32"/>
          <w:szCs w:val="32"/>
          <w:lang w:val="en-US" w:eastAsia="zh-CN"/>
        </w:rPr>
      </w:pPr>
      <w:r>
        <w:rPr>
          <w:rFonts w:hint="eastAsia" w:asciiTheme="minorEastAsia" w:hAnsiTheme="minorEastAsia" w:cstheme="minorEastAsia"/>
          <w:i w:val="0"/>
          <w:caps w:val="0"/>
          <w:color w:val="000000"/>
          <w:spacing w:val="0"/>
          <w:sz w:val="32"/>
          <w:szCs w:val="32"/>
          <w:lang w:val="en-US" w:eastAsia="zh-CN"/>
        </w:rPr>
        <w:t xml:space="preserve">     </w:t>
      </w:r>
      <w:r>
        <w:rPr>
          <w:rFonts w:hint="eastAsia" w:ascii="方正楷体_GBK" w:hAnsi="方正楷体_GBK" w:eastAsia="方正楷体_GBK" w:cs="方正楷体_GBK"/>
          <w:b/>
          <w:bCs w:val="0"/>
          <w:color w:val="FF0000"/>
          <w:sz w:val="32"/>
          <w:szCs w:val="32"/>
        </w:rPr>
        <w:t>（来源：灵通展览官网）</w:t>
      </w: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59264;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IDvTPUAAAACAEAAA8A&#10;AAAAAAAAAQAgAAAAIgAAAGRycy9kb3ducmV2LnhtbFBLAQIUABQAAAAIAIdO4kAjhYu2GwIAACEE&#10;AAAOAAAAAAAAAAEAIAAAACMBAABkcnMvZTJvRG9jLnhtbFBLBQYAAAAABgAGAFkBAACwBQAAAAA=&#10;">
              <v:fill on="f" focussize="0,0"/>
              <v:stroke on="f" weight="0.5pt"/>
              <v:imagedata o:title=""/>
              <o:lock v:ext="edit" aspectratio="f"/>
              <v:textbox inset="0mm,0mm,0mm,0mm" style="mso-fit-shape-to-text:t;">
                <w:txbxContent>
                  <w:p>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730647"/>
    <w:rsid w:val="017F7312"/>
    <w:rsid w:val="0183354F"/>
    <w:rsid w:val="018A4341"/>
    <w:rsid w:val="018D1ED5"/>
    <w:rsid w:val="018E0532"/>
    <w:rsid w:val="01944C0D"/>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42B55"/>
    <w:rsid w:val="02850B1B"/>
    <w:rsid w:val="028D4134"/>
    <w:rsid w:val="028E239B"/>
    <w:rsid w:val="028E669E"/>
    <w:rsid w:val="02925D70"/>
    <w:rsid w:val="02945151"/>
    <w:rsid w:val="02994D24"/>
    <w:rsid w:val="02AA4579"/>
    <w:rsid w:val="02B452E0"/>
    <w:rsid w:val="02B7449E"/>
    <w:rsid w:val="02B93913"/>
    <w:rsid w:val="02C7326C"/>
    <w:rsid w:val="02CA2014"/>
    <w:rsid w:val="02CE36F0"/>
    <w:rsid w:val="02D253BA"/>
    <w:rsid w:val="02D664A5"/>
    <w:rsid w:val="02D70120"/>
    <w:rsid w:val="02E746B3"/>
    <w:rsid w:val="02EA0804"/>
    <w:rsid w:val="02F03F7A"/>
    <w:rsid w:val="02F04987"/>
    <w:rsid w:val="02F3072B"/>
    <w:rsid w:val="02F35039"/>
    <w:rsid w:val="02F4686A"/>
    <w:rsid w:val="02F50E1A"/>
    <w:rsid w:val="02FC365E"/>
    <w:rsid w:val="03032EA1"/>
    <w:rsid w:val="03055083"/>
    <w:rsid w:val="030A33B2"/>
    <w:rsid w:val="0312457C"/>
    <w:rsid w:val="03173E54"/>
    <w:rsid w:val="032626D8"/>
    <w:rsid w:val="03276EB0"/>
    <w:rsid w:val="03320DD5"/>
    <w:rsid w:val="03367B19"/>
    <w:rsid w:val="033F3094"/>
    <w:rsid w:val="033F5E23"/>
    <w:rsid w:val="0341739D"/>
    <w:rsid w:val="034A5312"/>
    <w:rsid w:val="035906B9"/>
    <w:rsid w:val="035A07AB"/>
    <w:rsid w:val="035F7880"/>
    <w:rsid w:val="036572E0"/>
    <w:rsid w:val="036773BE"/>
    <w:rsid w:val="036B41D2"/>
    <w:rsid w:val="03745931"/>
    <w:rsid w:val="0375270B"/>
    <w:rsid w:val="0376026A"/>
    <w:rsid w:val="03763E10"/>
    <w:rsid w:val="03795E56"/>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92750"/>
    <w:rsid w:val="04ED1D07"/>
    <w:rsid w:val="04F33CBA"/>
    <w:rsid w:val="04FB0B72"/>
    <w:rsid w:val="05006805"/>
    <w:rsid w:val="05017788"/>
    <w:rsid w:val="050A0F30"/>
    <w:rsid w:val="051142A3"/>
    <w:rsid w:val="05150D13"/>
    <w:rsid w:val="052054D4"/>
    <w:rsid w:val="052C7639"/>
    <w:rsid w:val="05490385"/>
    <w:rsid w:val="054A7C8A"/>
    <w:rsid w:val="055D26AF"/>
    <w:rsid w:val="056534E0"/>
    <w:rsid w:val="056834A8"/>
    <w:rsid w:val="05684832"/>
    <w:rsid w:val="056C0F36"/>
    <w:rsid w:val="056E79C6"/>
    <w:rsid w:val="057A799E"/>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6077942"/>
    <w:rsid w:val="060A0D89"/>
    <w:rsid w:val="060C359D"/>
    <w:rsid w:val="060F3722"/>
    <w:rsid w:val="062B0B83"/>
    <w:rsid w:val="062C6587"/>
    <w:rsid w:val="062D67C8"/>
    <w:rsid w:val="06301A1B"/>
    <w:rsid w:val="0631403C"/>
    <w:rsid w:val="0633380C"/>
    <w:rsid w:val="0638362B"/>
    <w:rsid w:val="063E600A"/>
    <w:rsid w:val="06405659"/>
    <w:rsid w:val="064F5725"/>
    <w:rsid w:val="06510CDF"/>
    <w:rsid w:val="065C27A8"/>
    <w:rsid w:val="065F50DA"/>
    <w:rsid w:val="06602F2C"/>
    <w:rsid w:val="06626021"/>
    <w:rsid w:val="066D2CED"/>
    <w:rsid w:val="066E2C0B"/>
    <w:rsid w:val="06700010"/>
    <w:rsid w:val="06734EB6"/>
    <w:rsid w:val="067C24CF"/>
    <w:rsid w:val="068A1FDD"/>
    <w:rsid w:val="069002BE"/>
    <w:rsid w:val="06906B8C"/>
    <w:rsid w:val="069725BC"/>
    <w:rsid w:val="069A3A7C"/>
    <w:rsid w:val="06A24D7D"/>
    <w:rsid w:val="06A729E1"/>
    <w:rsid w:val="06AB1C7E"/>
    <w:rsid w:val="06AC05E7"/>
    <w:rsid w:val="06AF1D16"/>
    <w:rsid w:val="06AF3414"/>
    <w:rsid w:val="06B15237"/>
    <w:rsid w:val="06BA5EB2"/>
    <w:rsid w:val="06D17DB1"/>
    <w:rsid w:val="06E444B8"/>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86D75"/>
    <w:rsid w:val="079A77BC"/>
    <w:rsid w:val="079D6C92"/>
    <w:rsid w:val="079E20C5"/>
    <w:rsid w:val="07A757F6"/>
    <w:rsid w:val="07A92FCD"/>
    <w:rsid w:val="07AB5A16"/>
    <w:rsid w:val="07C32EAB"/>
    <w:rsid w:val="07CE7516"/>
    <w:rsid w:val="07DA5629"/>
    <w:rsid w:val="07DE3B60"/>
    <w:rsid w:val="07E54B9E"/>
    <w:rsid w:val="08010DA7"/>
    <w:rsid w:val="08033960"/>
    <w:rsid w:val="080F3123"/>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75786E"/>
    <w:rsid w:val="0881684A"/>
    <w:rsid w:val="088C3E25"/>
    <w:rsid w:val="08927463"/>
    <w:rsid w:val="08991A5A"/>
    <w:rsid w:val="089C49FA"/>
    <w:rsid w:val="08AF073A"/>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140F8D"/>
    <w:rsid w:val="09150DAF"/>
    <w:rsid w:val="09155095"/>
    <w:rsid w:val="091D10D0"/>
    <w:rsid w:val="09210482"/>
    <w:rsid w:val="092105FC"/>
    <w:rsid w:val="09222AB2"/>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8A1F77"/>
    <w:rsid w:val="09915044"/>
    <w:rsid w:val="099872CF"/>
    <w:rsid w:val="09991A94"/>
    <w:rsid w:val="09A137B2"/>
    <w:rsid w:val="09A2636C"/>
    <w:rsid w:val="09A44BA0"/>
    <w:rsid w:val="09AA495F"/>
    <w:rsid w:val="09AC53C9"/>
    <w:rsid w:val="09B630C3"/>
    <w:rsid w:val="09BD4BE0"/>
    <w:rsid w:val="09C222A5"/>
    <w:rsid w:val="09C27E4D"/>
    <w:rsid w:val="09C81C8D"/>
    <w:rsid w:val="09CB6B07"/>
    <w:rsid w:val="09CC1439"/>
    <w:rsid w:val="09CD0E22"/>
    <w:rsid w:val="09CD713D"/>
    <w:rsid w:val="09FA2B3C"/>
    <w:rsid w:val="09FA772F"/>
    <w:rsid w:val="09FB6D64"/>
    <w:rsid w:val="0A030CE9"/>
    <w:rsid w:val="0A0D0EE1"/>
    <w:rsid w:val="0A1B5347"/>
    <w:rsid w:val="0A33530F"/>
    <w:rsid w:val="0A346C5C"/>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B041299"/>
    <w:rsid w:val="0B062542"/>
    <w:rsid w:val="0B0E47F4"/>
    <w:rsid w:val="0B1C17AD"/>
    <w:rsid w:val="0B283787"/>
    <w:rsid w:val="0B2D6F6E"/>
    <w:rsid w:val="0B324CD2"/>
    <w:rsid w:val="0B345DB1"/>
    <w:rsid w:val="0B363DD8"/>
    <w:rsid w:val="0B3A4657"/>
    <w:rsid w:val="0B3C5BB9"/>
    <w:rsid w:val="0B4372E2"/>
    <w:rsid w:val="0B5A2079"/>
    <w:rsid w:val="0B5B5996"/>
    <w:rsid w:val="0B5C3E34"/>
    <w:rsid w:val="0B6075D7"/>
    <w:rsid w:val="0B627AD4"/>
    <w:rsid w:val="0B6A0BB3"/>
    <w:rsid w:val="0B735FF2"/>
    <w:rsid w:val="0B792EB2"/>
    <w:rsid w:val="0B8035EB"/>
    <w:rsid w:val="0B84164E"/>
    <w:rsid w:val="0B89731E"/>
    <w:rsid w:val="0B904412"/>
    <w:rsid w:val="0B90485D"/>
    <w:rsid w:val="0B913EDA"/>
    <w:rsid w:val="0B9C76A8"/>
    <w:rsid w:val="0BA50775"/>
    <w:rsid w:val="0BA749E5"/>
    <w:rsid w:val="0BAC24A8"/>
    <w:rsid w:val="0BAE1323"/>
    <w:rsid w:val="0BB42E0A"/>
    <w:rsid w:val="0BBA3391"/>
    <w:rsid w:val="0BD62605"/>
    <w:rsid w:val="0BDC3258"/>
    <w:rsid w:val="0BDE3581"/>
    <w:rsid w:val="0BE52963"/>
    <w:rsid w:val="0BE85349"/>
    <w:rsid w:val="0BF57A28"/>
    <w:rsid w:val="0BF845E9"/>
    <w:rsid w:val="0BFA1A53"/>
    <w:rsid w:val="0C074F06"/>
    <w:rsid w:val="0C0B1E5B"/>
    <w:rsid w:val="0C146F99"/>
    <w:rsid w:val="0C1A584B"/>
    <w:rsid w:val="0C2275D5"/>
    <w:rsid w:val="0C2D70F9"/>
    <w:rsid w:val="0C342312"/>
    <w:rsid w:val="0C363AA9"/>
    <w:rsid w:val="0C456335"/>
    <w:rsid w:val="0C53740C"/>
    <w:rsid w:val="0C563E70"/>
    <w:rsid w:val="0C631545"/>
    <w:rsid w:val="0C6E187C"/>
    <w:rsid w:val="0C7D4D8F"/>
    <w:rsid w:val="0C80052F"/>
    <w:rsid w:val="0C8C06D3"/>
    <w:rsid w:val="0C900DC2"/>
    <w:rsid w:val="0C980884"/>
    <w:rsid w:val="0C9961AF"/>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DC1817"/>
    <w:rsid w:val="0CDC515C"/>
    <w:rsid w:val="0D0B2A13"/>
    <w:rsid w:val="0D112021"/>
    <w:rsid w:val="0D12133D"/>
    <w:rsid w:val="0D1F7151"/>
    <w:rsid w:val="0D200D54"/>
    <w:rsid w:val="0D2B7DB2"/>
    <w:rsid w:val="0D3152D9"/>
    <w:rsid w:val="0D354A50"/>
    <w:rsid w:val="0D384916"/>
    <w:rsid w:val="0D427E08"/>
    <w:rsid w:val="0D444358"/>
    <w:rsid w:val="0D4A1977"/>
    <w:rsid w:val="0D4B602E"/>
    <w:rsid w:val="0D511FCD"/>
    <w:rsid w:val="0D52698E"/>
    <w:rsid w:val="0D583C5F"/>
    <w:rsid w:val="0D5D658F"/>
    <w:rsid w:val="0D6029A5"/>
    <w:rsid w:val="0D6063D4"/>
    <w:rsid w:val="0D665CD7"/>
    <w:rsid w:val="0D667E20"/>
    <w:rsid w:val="0D6B6C90"/>
    <w:rsid w:val="0D7170F8"/>
    <w:rsid w:val="0D922931"/>
    <w:rsid w:val="0D95263C"/>
    <w:rsid w:val="0DA81B9F"/>
    <w:rsid w:val="0DAD79F2"/>
    <w:rsid w:val="0DB403B1"/>
    <w:rsid w:val="0DB47CEC"/>
    <w:rsid w:val="0DBB3CA5"/>
    <w:rsid w:val="0DBB4EDD"/>
    <w:rsid w:val="0DC37BF2"/>
    <w:rsid w:val="0DC436B0"/>
    <w:rsid w:val="0DC9693F"/>
    <w:rsid w:val="0DCC1715"/>
    <w:rsid w:val="0DD82C48"/>
    <w:rsid w:val="0DDB6385"/>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4408A"/>
    <w:rsid w:val="0ECD6BD5"/>
    <w:rsid w:val="0EDA3DE0"/>
    <w:rsid w:val="0EE241B0"/>
    <w:rsid w:val="0EE470B9"/>
    <w:rsid w:val="0EE51F3F"/>
    <w:rsid w:val="0EE67C37"/>
    <w:rsid w:val="0EE96C61"/>
    <w:rsid w:val="0EEF6278"/>
    <w:rsid w:val="0F043F0A"/>
    <w:rsid w:val="0F070719"/>
    <w:rsid w:val="0F0E340F"/>
    <w:rsid w:val="0F110F65"/>
    <w:rsid w:val="0F126FC2"/>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B0B58"/>
    <w:rsid w:val="113D4F12"/>
    <w:rsid w:val="113D775B"/>
    <w:rsid w:val="11410876"/>
    <w:rsid w:val="114608E7"/>
    <w:rsid w:val="114F3D65"/>
    <w:rsid w:val="115347BC"/>
    <w:rsid w:val="11545887"/>
    <w:rsid w:val="11597C64"/>
    <w:rsid w:val="11602A9E"/>
    <w:rsid w:val="116228E3"/>
    <w:rsid w:val="11631325"/>
    <w:rsid w:val="116345A4"/>
    <w:rsid w:val="11667833"/>
    <w:rsid w:val="11687433"/>
    <w:rsid w:val="1178450A"/>
    <w:rsid w:val="117B53DF"/>
    <w:rsid w:val="117B71D3"/>
    <w:rsid w:val="11845F00"/>
    <w:rsid w:val="11885DD3"/>
    <w:rsid w:val="118A58E4"/>
    <w:rsid w:val="118C56EA"/>
    <w:rsid w:val="118F0DB3"/>
    <w:rsid w:val="11916F88"/>
    <w:rsid w:val="11A51BB6"/>
    <w:rsid w:val="11AC6860"/>
    <w:rsid w:val="11B1238B"/>
    <w:rsid w:val="11B62D0B"/>
    <w:rsid w:val="11BE6E3E"/>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95D63"/>
    <w:rsid w:val="12401AD9"/>
    <w:rsid w:val="124038C8"/>
    <w:rsid w:val="12421E9D"/>
    <w:rsid w:val="1248421F"/>
    <w:rsid w:val="12571C4D"/>
    <w:rsid w:val="125C09FF"/>
    <w:rsid w:val="12657F0C"/>
    <w:rsid w:val="126830F6"/>
    <w:rsid w:val="126B5207"/>
    <w:rsid w:val="126F57E1"/>
    <w:rsid w:val="12760E78"/>
    <w:rsid w:val="127673DB"/>
    <w:rsid w:val="127755C8"/>
    <w:rsid w:val="127E0189"/>
    <w:rsid w:val="12810A1D"/>
    <w:rsid w:val="12854B81"/>
    <w:rsid w:val="1292783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E0F39"/>
    <w:rsid w:val="12EF155A"/>
    <w:rsid w:val="12F17350"/>
    <w:rsid w:val="12F712FB"/>
    <w:rsid w:val="12FA0E2E"/>
    <w:rsid w:val="12FF7A62"/>
    <w:rsid w:val="13037A88"/>
    <w:rsid w:val="133844CA"/>
    <w:rsid w:val="1347596A"/>
    <w:rsid w:val="13477178"/>
    <w:rsid w:val="134B5A55"/>
    <w:rsid w:val="134C0AA1"/>
    <w:rsid w:val="134F5D9B"/>
    <w:rsid w:val="136041BC"/>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B35BBD"/>
    <w:rsid w:val="13BF3D28"/>
    <w:rsid w:val="13C32466"/>
    <w:rsid w:val="13C77F07"/>
    <w:rsid w:val="13CE4E2F"/>
    <w:rsid w:val="13CF48B4"/>
    <w:rsid w:val="13E45E4B"/>
    <w:rsid w:val="13F211C8"/>
    <w:rsid w:val="13F5027E"/>
    <w:rsid w:val="13F57229"/>
    <w:rsid w:val="13F60043"/>
    <w:rsid w:val="13F63AC9"/>
    <w:rsid w:val="13FF4761"/>
    <w:rsid w:val="1401651E"/>
    <w:rsid w:val="14065625"/>
    <w:rsid w:val="14127CF3"/>
    <w:rsid w:val="1416357F"/>
    <w:rsid w:val="14175C6D"/>
    <w:rsid w:val="14182B9E"/>
    <w:rsid w:val="141A193D"/>
    <w:rsid w:val="14211963"/>
    <w:rsid w:val="142160CA"/>
    <w:rsid w:val="142E4E6B"/>
    <w:rsid w:val="14332094"/>
    <w:rsid w:val="143B554F"/>
    <w:rsid w:val="144128ED"/>
    <w:rsid w:val="144D721A"/>
    <w:rsid w:val="14504C78"/>
    <w:rsid w:val="14552700"/>
    <w:rsid w:val="1455301F"/>
    <w:rsid w:val="145E0ED6"/>
    <w:rsid w:val="145F4E9E"/>
    <w:rsid w:val="1468041E"/>
    <w:rsid w:val="146A5814"/>
    <w:rsid w:val="146D4E79"/>
    <w:rsid w:val="1479121F"/>
    <w:rsid w:val="147C1504"/>
    <w:rsid w:val="148112AD"/>
    <w:rsid w:val="14933736"/>
    <w:rsid w:val="149D19D1"/>
    <w:rsid w:val="14AA1497"/>
    <w:rsid w:val="14AD2447"/>
    <w:rsid w:val="14BD0C90"/>
    <w:rsid w:val="14BD7435"/>
    <w:rsid w:val="14D41B03"/>
    <w:rsid w:val="14E11E90"/>
    <w:rsid w:val="14EC7262"/>
    <w:rsid w:val="14F50637"/>
    <w:rsid w:val="14F56962"/>
    <w:rsid w:val="14FD3DC3"/>
    <w:rsid w:val="15052F44"/>
    <w:rsid w:val="1513143F"/>
    <w:rsid w:val="152446F6"/>
    <w:rsid w:val="15274A34"/>
    <w:rsid w:val="152C74BF"/>
    <w:rsid w:val="152E54C4"/>
    <w:rsid w:val="1535555F"/>
    <w:rsid w:val="15382813"/>
    <w:rsid w:val="154B27A9"/>
    <w:rsid w:val="154B6CF6"/>
    <w:rsid w:val="15516306"/>
    <w:rsid w:val="155B06BC"/>
    <w:rsid w:val="155B6FCC"/>
    <w:rsid w:val="15620F8B"/>
    <w:rsid w:val="156514F3"/>
    <w:rsid w:val="156B264F"/>
    <w:rsid w:val="15707694"/>
    <w:rsid w:val="157477F0"/>
    <w:rsid w:val="157839EE"/>
    <w:rsid w:val="157F4B83"/>
    <w:rsid w:val="15864057"/>
    <w:rsid w:val="158A2F64"/>
    <w:rsid w:val="158C53F6"/>
    <w:rsid w:val="15946EC2"/>
    <w:rsid w:val="1594709F"/>
    <w:rsid w:val="159B1410"/>
    <w:rsid w:val="159D2E6C"/>
    <w:rsid w:val="15A412DF"/>
    <w:rsid w:val="15A625C0"/>
    <w:rsid w:val="15A70541"/>
    <w:rsid w:val="15A7643A"/>
    <w:rsid w:val="15AD4348"/>
    <w:rsid w:val="15AD7612"/>
    <w:rsid w:val="15B96153"/>
    <w:rsid w:val="15BC619F"/>
    <w:rsid w:val="15BD0132"/>
    <w:rsid w:val="15BF618A"/>
    <w:rsid w:val="15C40EFF"/>
    <w:rsid w:val="15CA097E"/>
    <w:rsid w:val="15D33940"/>
    <w:rsid w:val="15D92955"/>
    <w:rsid w:val="15F5535B"/>
    <w:rsid w:val="15F569FA"/>
    <w:rsid w:val="15F656C7"/>
    <w:rsid w:val="15F85F00"/>
    <w:rsid w:val="15F969EC"/>
    <w:rsid w:val="16005D04"/>
    <w:rsid w:val="1607152F"/>
    <w:rsid w:val="160D7883"/>
    <w:rsid w:val="160E7A4D"/>
    <w:rsid w:val="16104DB0"/>
    <w:rsid w:val="1613433D"/>
    <w:rsid w:val="16200AF2"/>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B66D9"/>
    <w:rsid w:val="16EE35CD"/>
    <w:rsid w:val="16F47BF5"/>
    <w:rsid w:val="16F500A9"/>
    <w:rsid w:val="16F872C3"/>
    <w:rsid w:val="16FA06E3"/>
    <w:rsid w:val="170167F2"/>
    <w:rsid w:val="17035AAC"/>
    <w:rsid w:val="17054499"/>
    <w:rsid w:val="170B0BD9"/>
    <w:rsid w:val="170D5EDA"/>
    <w:rsid w:val="17182913"/>
    <w:rsid w:val="17197EC3"/>
    <w:rsid w:val="171E2D1A"/>
    <w:rsid w:val="172E1BBE"/>
    <w:rsid w:val="17377B8C"/>
    <w:rsid w:val="173A6824"/>
    <w:rsid w:val="173B1FA1"/>
    <w:rsid w:val="173C594E"/>
    <w:rsid w:val="173D1596"/>
    <w:rsid w:val="17503F57"/>
    <w:rsid w:val="17505DD6"/>
    <w:rsid w:val="17586CB0"/>
    <w:rsid w:val="17596CA9"/>
    <w:rsid w:val="17600681"/>
    <w:rsid w:val="17665D9F"/>
    <w:rsid w:val="176958FE"/>
    <w:rsid w:val="17696EA4"/>
    <w:rsid w:val="17795030"/>
    <w:rsid w:val="177B0627"/>
    <w:rsid w:val="177D3C16"/>
    <w:rsid w:val="178501CB"/>
    <w:rsid w:val="178A042D"/>
    <w:rsid w:val="178A1F82"/>
    <w:rsid w:val="17916104"/>
    <w:rsid w:val="17920EA7"/>
    <w:rsid w:val="1797450B"/>
    <w:rsid w:val="17985148"/>
    <w:rsid w:val="17A644BF"/>
    <w:rsid w:val="17A92F07"/>
    <w:rsid w:val="17B23E0F"/>
    <w:rsid w:val="17B31B32"/>
    <w:rsid w:val="17B80549"/>
    <w:rsid w:val="17C063A0"/>
    <w:rsid w:val="17C16366"/>
    <w:rsid w:val="17C76A67"/>
    <w:rsid w:val="17CA22FD"/>
    <w:rsid w:val="17DA0F7A"/>
    <w:rsid w:val="17DC2D7F"/>
    <w:rsid w:val="17E95276"/>
    <w:rsid w:val="17EA38A1"/>
    <w:rsid w:val="17EB77A3"/>
    <w:rsid w:val="17EC5E41"/>
    <w:rsid w:val="17F8667B"/>
    <w:rsid w:val="1806537C"/>
    <w:rsid w:val="18066C18"/>
    <w:rsid w:val="1809630E"/>
    <w:rsid w:val="181C2683"/>
    <w:rsid w:val="181E4167"/>
    <w:rsid w:val="18324998"/>
    <w:rsid w:val="18341D76"/>
    <w:rsid w:val="18351C27"/>
    <w:rsid w:val="18553A22"/>
    <w:rsid w:val="18607956"/>
    <w:rsid w:val="1866144B"/>
    <w:rsid w:val="186E420E"/>
    <w:rsid w:val="187941B7"/>
    <w:rsid w:val="187A14AA"/>
    <w:rsid w:val="187B7B4F"/>
    <w:rsid w:val="1887188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27C40"/>
    <w:rsid w:val="19087B90"/>
    <w:rsid w:val="190E3326"/>
    <w:rsid w:val="190E3538"/>
    <w:rsid w:val="19164D1E"/>
    <w:rsid w:val="191C588D"/>
    <w:rsid w:val="192502DE"/>
    <w:rsid w:val="1927395B"/>
    <w:rsid w:val="192D514C"/>
    <w:rsid w:val="193544CD"/>
    <w:rsid w:val="19443AA2"/>
    <w:rsid w:val="1945355B"/>
    <w:rsid w:val="194817FC"/>
    <w:rsid w:val="194A0D45"/>
    <w:rsid w:val="194A2ADB"/>
    <w:rsid w:val="195159CB"/>
    <w:rsid w:val="195961D5"/>
    <w:rsid w:val="195C14E8"/>
    <w:rsid w:val="196515C3"/>
    <w:rsid w:val="197859DA"/>
    <w:rsid w:val="1980769C"/>
    <w:rsid w:val="19884F66"/>
    <w:rsid w:val="19917CFC"/>
    <w:rsid w:val="1997576B"/>
    <w:rsid w:val="1998697F"/>
    <w:rsid w:val="199A20B4"/>
    <w:rsid w:val="19A71B82"/>
    <w:rsid w:val="19B84C88"/>
    <w:rsid w:val="19C6694E"/>
    <w:rsid w:val="19CC0DE5"/>
    <w:rsid w:val="19D11E61"/>
    <w:rsid w:val="19D5618C"/>
    <w:rsid w:val="19E22401"/>
    <w:rsid w:val="19E23808"/>
    <w:rsid w:val="19F44B16"/>
    <w:rsid w:val="1A00532F"/>
    <w:rsid w:val="1A040FBD"/>
    <w:rsid w:val="1A067DCA"/>
    <w:rsid w:val="1A102A1C"/>
    <w:rsid w:val="1A13214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C70097"/>
    <w:rsid w:val="1ACC39D6"/>
    <w:rsid w:val="1ADE0868"/>
    <w:rsid w:val="1AF7489C"/>
    <w:rsid w:val="1AF86B17"/>
    <w:rsid w:val="1AFA3523"/>
    <w:rsid w:val="1AFD3AEA"/>
    <w:rsid w:val="1B05238D"/>
    <w:rsid w:val="1B13587B"/>
    <w:rsid w:val="1B1D44BA"/>
    <w:rsid w:val="1B2C07D2"/>
    <w:rsid w:val="1B2C5EE0"/>
    <w:rsid w:val="1B33077D"/>
    <w:rsid w:val="1B3604D3"/>
    <w:rsid w:val="1B364D11"/>
    <w:rsid w:val="1B3865C6"/>
    <w:rsid w:val="1B3E5EDE"/>
    <w:rsid w:val="1B433153"/>
    <w:rsid w:val="1B467529"/>
    <w:rsid w:val="1B4B00CA"/>
    <w:rsid w:val="1B566C78"/>
    <w:rsid w:val="1B5F1247"/>
    <w:rsid w:val="1B6307EA"/>
    <w:rsid w:val="1B717940"/>
    <w:rsid w:val="1B79696C"/>
    <w:rsid w:val="1B7E1824"/>
    <w:rsid w:val="1B825166"/>
    <w:rsid w:val="1B890C23"/>
    <w:rsid w:val="1B9411FC"/>
    <w:rsid w:val="1B9D6CE8"/>
    <w:rsid w:val="1BA63F57"/>
    <w:rsid w:val="1BA866D1"/>
    <w:rsid w:val="1BBB422B"/>
    <w:rsid w:val="1BC600B5"/>
    <w:rsid w:val="1BCD55F8"/>
    <w:rsid w:val="1BD1784D"/>
    <w:rsid w:val="1BE011AE"/>
    <w:rsid w:val="1BE02AAF"/>
    <w:rsid w:val="1BE30F90"/>
    <w:rsid w:val="1BE31093"/>
    <w:rsid w:val="1BE956C8"/>
    <w:rsid w:val="1C022294"/>
    <w:rsid w:val="1C0B35D4"/>
    <w:rsid w:val="1C12573D"/>
    <w:rsid w:val="1C1D1EE2"/>
    <w:rsid w:val="1C234861"/>
    <w:rsid w:val="1C2E319B"/>
    <w:rsid w:val="1C3477C5"/>
    <w:rsid w:val="1C4F6563"/>
    <w:rsid w:val="1C545F3D"/>
    <w:rsid w:val="1C556488"/>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2FB6"/>
    <w:rsid w:val="1CAF4AE5"/>
    <w:rsid w:val="1CB21A29"/>
    <w:rsid w:val="1CCB32EE"/>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B1AFF"/>
    <w:rsid w:val="1D4B4B5A"/>
    <w:rsid w:val="1D584348"/>
    <w:rsid w:val="1D597DDF"/>
    <w:rsid w:val="1D5D209F"/>
    <w:rsid w:val="1D6D4785"/>
    <w:rsid w:val="1D6E27CD"/>
    <w:rsid w:val="1D727268"/>
    <w:rsid w:val="1D747A6E"/>
    <w:rsid w:val="1D767ADA"/>
    <w:rsid w:val="1D7A0D45"/>
    <w:rsid w:val="1D845021"/>
    <w:rsid w:val="1D861B2D"/>
    <w:rsid w:val="1D896FB3"/>
    <w:rsid w:val="1D91741D"/>
    <w:rsid w:val="1D9318C5"/>
    <w:rsid w:val="1D941B55"/>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A0174"/>
    <w:rsid w:val="1EDA3DBE"/>
    <w:rsid w:val="1EDB3888"/>
    <w:rsid w:val="1EE05F54"/>
    <w:rsid w:val="1EE332A7"/>
    <w:rsid w:val="1EF579A0"/>
    <w:rsid w:val="1F05532C"/>
    <w:rsid w:val="1F095121"/>
    <w:rsid w:val="1F0C3604"/>
    <w:rsid w:val="1F0D0383"/>
    <w:rsid w:val="1F0F4C7A"/>
    <w:rsid w:val="1F1527EE"/>
    <w:rsid w:val="1F20034A"/>
    <w:rsid w:val="1F251ABC"/>
    <w:rsid w:val="1F290391"/>
    <w:rsid w:val="1F2A2D10"/>
    <w:rsid w:val="1F304386"/>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429B4"/>
    <w:rsid w:val="1FAC06FF"/>
    <w:rsid w:val="1FB34801"/>
    <w:rsid w:val="1FB75185"/>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F0CD6"/>
    <w:rsid w:val="20421E9D"/>
    <w:rsid w:val="204439A4"/>
    <w:rsid w:val="20655E4F"/>
    <w:rsid w:val="20721F6B"/>
    <w:rsid w:val="207308C3"/>
    <w:rsid w:val="207411D3"/>
    <w:rsid w:val="20743131"/>
    <w:rsid w:val="207536DF"/>
    <w:rsid w:val="20783BF9"/>
    <w:rsid w:val="20786435"/>
    <w:rsid w:val="20802CF5"/>
    <w:rsid w:val="20811113"/>
    <w:rsid w:val="20874766"/>
    <w:rsid w:val="2088281D"/>
    <w:rsid w:val="2088475A"/>
    <w:rsid w:val="20917F9C"/>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776EA"/>
    <w:rsid w:val="21522E38"/>
    <w:rsid w:val="2159046C"/>
    <w:rsid w:val="21592762"/>
    <w:rsid w:val="215E62F3"/>
    <w:rsid w:val="215F3A68"/>
    <w:rsid w:val="21611A31"/>
    <w:rsid w:val="21635586"/>
    <w:rsid w:val="21760888"/>
    <w:rsid w:val="217B17E2"/>
    <w:rsid w:val="218810BD"/>
    <w:rsid w:val="218D61A9"/>
    <w:rsid w:val="218F7263"/>
    <w:rsid w:val="2190117D"/>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7363B"/>
    <w:rsid w:val="22D90210"/>
    <w:rsid w:val="22D912F9"/>
    <w:rsid w:val="22E1284D"/>
    <w:rsid w:val="22E73006"/>
    <w:rsid w:val="22EB3773"/>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61548"/>
    <w:rsid w:val="23561CD1"/>
    <w:rsid w:val="235E47B6"/>
    <w:rsid w:val="23644FB5"/>
    <w:rsid w:val="23646298"/>
    <w:rsid w:val="236B32CC"/>
    <w:rsid w:val="2372506B"/>
    <w:rsid w:val="2376691B"/>
    <w:rsid w:val="2378146C"/>
    <w:rsid w:val="238D2D50"/>
    <w:rsid w:val="238D66BE"/>
    <w:rsid w:val="23950A55"/>
    <w:rsid w:val="239540DC"/>
    <w:rsid w:val="23965F67"/>
    <w:rsid w:val="23A00272"/>
    <w:rsid w:val="23A02531"/>
    <w:rsid w:val="23A11F4F"/>
    <w:rsid w:val="23B41225"/>
    <w:rsid w:val="23BA6237"/>
    <w:rsid w:val="23BC048E"/>
    <w:rsid w:val="23C9616F"/>
    <w:rsid w:val="23CC0919"/>
    <w:rsid w:val="23CE659F"/>
    <w:rsid w:val="23CF7FD3"/>
    <w:rsid w:val="23D4199E"/>
    <w:rsid w:val="23DC01C4"/>
    <w:rsid w:val="23DC60E2"/>
    <w:rsid w:val="23E17EC8"/>
    <w:rsid w:val="23E47406"/>
    <w:rsid w:val="23E91B93"/>
    <w:rsid w:val="23F6160A"/>
    <w:rsid w:val="23FB72B1"/>
    <w:rsid w:val="24026C92"/>
    <w:rsid w:val="24027DBA"/>
    <w:rsid w:val="240657B6"/>
    <w:rsid w:val="240B36D8"/>
    <w:rsid w:val="240C2CCA"/>
    <w:rsid w:val="240C553C"/>
    <w:rsid w:val="241722EB"/>
    <w:rsid w:val="24193E65"/>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97F"/>
    <w:rsid w:val="247D3C6E"/>
    <w:rsid w:val="24860612"/>
    <w:rsid w:val="24872D53"/>
    <w:rsid w:val="248E7D90"/>
    <w:rsid w:val="249321BF"/>
    <w:rsid w:val="249C0D83"/>
    <w:rsid w:val="24A033EE"/>
    <w:rsid w:val="24B51B12"/>
    <w:rsid w:val="24C434A5"/>
    <w:rsid w:val="24CA496C"/>
    <w:rsid w:val="24CB78C2"/>
    <w:rsid w:val="24CC60AA"/>
    <w:rsid w:val="24D35568"/>
    <w:rsid w:val="24D72C44"/>
    <w:rsid w:val="24DB51FA"/>
    <w:rsid w:val="24E954E0"/>
    <w:rsid w:val="24F37FEF"/>
    <w:rsid w:val="24F82FB3"/>
    <w:rsid w:val="2504405A"/>
    <w:rsid w:val="251809ED"/>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B4AE4"/>
    <w:rsid w:val="258C3B89"/>
    <w:rsid w:val="258C6B00"/>
    <w:rsid w:val="258F1E2E"/>
    <w:rsid w:val="259114ED"/>
    <w:rsid w:val="2593720A"/>
    <w:rsid w:val="25996F48"/>
    <w:rsid w:val="259A3CB2"/>
    <w:rsid w:val="259E4C39"/>
    <w:rsid w:val="259E5828"/>
    <w:rsid w:val="25A45B04"/>
    <w:rsid w:val="25A92B92"/>
    <w:rsid w:val="25AB0A3D"/>
    <w:rsid w:val="25AC370D"/>
    <w:rsid w:val="25B22B68"/>
    <w:rsid w:val="25B5218E"/>
    <w:rsid w:val="25C15D16"/>
    <w:rsid w:val="25C55B83"/>
    <w:rsid w:val="25CD5BF1"/>
    <w:rsid w:val="25CD62C3"/>
    <w:rsid w:val="25D31208"/>
    <w:rsid w:val="25DA65CA"/>
    <w:rsid w:val="25DB6649"/>
    <w:rsid w:val="25DD0809"/>
    <w:rsid w:val="25E27416"/>
    <w:rsid w:val="25E46656"/>
    <w:rsid w:val="25E47484"/>
    <w:rsid w:val="25E92FBE"/>
    <w:rsid w:val="25F17275"/>
    <w:rsid w:val="25F31E31"/>
    <w:rsid w:val="25F70EE4"/>
    <w:rsid w:val="25F83FB0"/>
    <w:rsid w:val="25FC0B75"/>
    <w:rsid w:val="260139F3"/>
    <w:rsid w:val="260556D5"/>
    <w:rsid w:val="26080DD9"/>
    <w:rsid w:val="26082798"/>
    <w:rsid w:val="26095114"/>
    <w:rsid w:val="260E454E"/>
    <w:rsid w:val="261464EE"/>
    <w:rsid w:val="26280E6C"/>
    <w:rsid w:val="262E05B0"/>
    <w:rsid w:val="26327A25"/>
    <w:rsid w:val="26331CBB"/>
    <w:rsid w:val="26372014"/>
    <w:rsid w:val="263E0859"/>
    <w:rsid w:val="263E1A96"/>
    <w:rsid w:val="26405937"/>
    <w:rsid w:val="26433FB7"/>
    <w:rsid w:val="26452DA3"/>
    <w:rsid w:val="26474B98"/>
    <w:rsid w:val="264D3294"/>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E33E5B"/>
    <w:rsid w:val="26E70CA8"/>
    <w:rsid w:val="26EA7605"/>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E0335"/>
    <w:rsid w:val="275D1356"/>
    <w:rsid w:val="275D4A89"/>
    <w:rsid w:val="27625310"/>
    <w:rsid w:val="27641213"/>
    <w:rsid w:val="277A2EC6"/>
    <w:rsid w:val="27841ADD"/>
    <w:rsid w:val="278B7262"/>
    <w:rsid w:val="278E7D5F"/>
    <w:rsid w:val="279429E3"/>
    <w:rsid w:val="27966F4A"/>
    <w:rsid w:val="27A74D7A"/>
    <w:rsid w:val="27A75735"/>
    <w:rsid w:val="27A91AD2"/>
    <w:rsid w:val="27AE6E2D"/>
    <w:rsid w:val="27AF57B8"/>
    <w:rsid w:val="27B24596"/>
    <w:rsid w:val="27B25FFF"/>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A5F82"/>
    <w:rsid w:val="28014303"/>
    <w:rsid w:val="280410A7"/>
    <w:rsid w:val="2809034F"/>
    <w:rsid w:val="28152D65"/>
    <w:rsid w:val="281713C1"/>
    <w:rsid w:val="28202089"/>
    <w:rsid w:val="28210C3B"/>
    <w:rsid w:val="283E3927"/>
    <w:rsid w:val="28432F7C"/>
    <w:rsid w:val="285065F4"/>
    <w:rsid w:val="28557C44"/>
    <w:rsid w:val="28564AD0"/>
    <w:rsid w:val="285E1540"/>
    <w:rsid w:val="28634EA7"/>
    <w:rsid w:val="2868554F"/>
    <w:rsid w:val="286A70A6"/>
    <w:rsid w:val="286D715D"/>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6E92"/>
    <w:rsid w:val="29566904"/>
    <w:rsid w:val="29582224"/>
    <w:rsid w:val="29585835"/>
    <w:rsid w:val="296074D7"/>
    <w:rsid w:val="29692EBD"/>
    <w:rsid w:val="29712D8F"/>
    <w:rsid w:val="29736267"/>
    <w:rsid w:val="297B31D3"/>
    <w:rsid w:val="298103BD"/>
    <w:rsid w:val="298D4850"/>
    <w:rsid w:val="29966295"/>
    <w:rsid w:val="29971F57"/>
    <w:rsid w:val="299C7DCA"/>
    <w:rsid w:val="29A021A8"/>
    <w:rsid w:val="29A942FB"/>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307EBE"/>
    <w:rsid w:val="2A3E413F"/>
    <w:rsid w:val="2A430F4D"/>
    <w:rsid w:val="2A5303B9"/>
    <w:rsid w:val="2A534A67"/>
    <w:rsid w:val="2A5F67A3"/>
    <w:rsid w:val="2A6151C4"/>
    <w:rsid w:val="2A664C59"/>
    <w:rsid w:val="2A6B464E"/>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A32A0"/>
    <w:rsid w:val="2B26693B"/>
    <w:rsid w:val="2B2F1FC7"/>
    <w:rsid w:val="2B2F2F22"/>
    <w:rsid w:val="2B37764D"/>
    <w:rsid w:val="2B3F6547"/>
    <w:rsid w:val="2B430D5F"/>
    <w:rsid w:val="2B4F2967"/>
    <w:rsid w:val="2B5C1A7C"/>
    <w:rsid w:val="2B5C469F"/>
    <w:rsid w:val="2B6525E9"/>
    <w:rsid w:val="2B6E19DB"/>
    <w:rsid w:val="2B756050"/>
    <w:rsid w:val="2B7C5660"/>
    <w:rsid w:val="2B8944AA"/>
    <w:rsid w:val="2B92679C"/>
    <w:rsid w:val="2B96506D"/>
    <w:rsid w:val="2B986BC6"/>
    <w:rsid w:val="2BA16669"/>
    <w:rsid w:val="2BAE20A5"/>
    <w:rsid w:val="2BAF2381"/>
    <w:rsid w:val="2BB1376A"/>
    <w:rsid w:val="2BBA7E05"/>
    <w:rsid w:val="2BBB17D5"/>
    <w:rsid w:val="2BC3413A"/>
    <w:rsid w:val="2BC45396"/>
    <w:rsid w:val="2BD540AD"/>
    <w:rsid w:val="2BDA10DE"/>
    <w:rsid w:val="2BDA2AEC"/>
    <w:rsid w:val="2BF336C9"/>
    <w:rsid w:val="2BF33ED5"/>
    <w:rsid w:val="2BFB7405"/>
    <w:rsid w:val="2C006833"/>
    <w:rsid w:val="2C034F7B"/>
    <w:rsid w:val="2C040D89"/>
    <w:rsid w:val="2C0509D9"/>
    <w:rsid w:val="2C05481D"/>
    <w:rsid w:val="2C056AF9"/>
    <w:rsid w:val="2C220DB4"/>
    <w:rsid w:val="2C247FF1"/>
    <w:rsid w:val="2C3C0030"/>
    <w:rsid w:val="2C3F3887"/>
    <w:rsid w:val="2C45016F"/>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16AFA"/>
    <w:rsid w:val="2CC95D10"/>
    <w:rsid w:val="2CCA43FF"/>
    <w:rsid w:val="2CCB5A72"/>
    <w:rsid w:val="2CD57684"/>
    <w:rsid w:val="2CD67A0B"/>
    <w:rsid w:val="2CD75666"/>
    <w:rsid w:val="2CD83FF1"/>
    <w:rsid w:val="2CDC6591"/>
    <w:rsid w:val="2CDE08F2"/>
    <w:rsid w:val="2CE03AB0"/>
    <w:rsid w:val="2CEB494F"/>
    <w:rsid w:val="2CEF53E3"/>
    <w:rsid w:val="2CF53A56"/>
    <w:rsid w:val="2CF649A9"/>
    <w:rsid w:val="2CFC27E4"/>
    <w:rsid w:val="2D0766E4"/>
    <w:rsid w:val="2D0B702A"/>
    <w:rsid w:val="2D107EBA"/>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C2B47"/>
    <w:rsid w:val="2D763F45"/>
    <w:rsid w:val="2D820204"/>
    <w:rsid w:val="2D8402FC"/>
    <w:rsid w:val="2D88024C"/>
    <w:rsid w:val="2D935488"/>
    <w:rsid w:val="2D960FB5"/>
    <w:rsid w:val="2D9B4423"/>
    <w:rsid w:val="2DAC2EF4"/>
    <w:rsid w:val="2DAD4BCD"/>
    <w:rsid w:val="2DB453FF"/>
    <w:rsid w:val="2DBE423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D560F"/>
    <w:rsid w:val="2E9F7EC1"/>
    <w:rsid w:val="2EA234E1"/>
    <w:rsid w:val="2EB17C70"/>
    <w:rsid w:val="2EB411B5"/>
    <w:rsid w:val="2EBD49E1"/>
    <w:rsid w:val="2EBF0ED1"/>
    <w:rsid w:val="2EC42186"/>
    <w:rsid w:val="2EC7495E"/>
    <w:rsid w:val="2EC776BB"/>
    <w:rsid w:val="2ECA39AD"/>
    <w:rsid w:val="2ECC0C07"/>
    <w:rsid w:val="2ED03009"/>
    <w:rsid w:val="2EF224CD"/>
    <w:rsid w:val="2EF67D61"/>
    <w:rsid w:val="2EFA2F2B"/>
    <w:rsid w:val="2F195BDC"/>
    <w:rsid w:val="2F2E23A6"/>
    <w:rsid w:val="2F2E289C"/>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7B2789"/>
    <w:rsid w:val="2F8001B6"/>
    <w:rsid w:val="2F897AA1"/>
    <w:rsid w:val="2F8D4D67"/>
    <w:rsid w:val="2F8E2F8D"/>
    <w:rsid w:val="2F9051B8"/>
    <w:rsid w:val="2F910893"/>
    <w:rsid w:val="2F9A69D2"/>
    <w:rsid w:val="2F9C6646"/>
    <w:rsid w:val="2F9D4AA3"/>
    <w:rsid w:val="2F9F094E"/>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5831D6"/>
    <w:rsid w:val="305A4537"/>
    <w:rsid w:val="30632880"/>
    <w:rsid w:val="3070014A"/>
    <w:rsid w:val="307B4FFA"/>
    <w:rsid w:val="308136E0"/>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76B28"/>
    <w:rsid w:val="31076EFA"/>
    <w:rsid w:val="310866BC"/>
    <w:rsid w:val="31154DE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7544CD"/>
    <w:rsid w:val="31765162"/>
    <w:rsid w:val="317A487D"/>
    <w:rsid w:val="317D76C8"/>
    <w:rsid w:val="31833BCE"/>
    <w:rsid w:val="318A1515"/>
    <w:rsid w:val="31944F6F"/>
    <w:rsid w:val="31963456"/>
    <w:rsid w:val="31A51052"/>
    <w:rsid w:val="31A77BCC"/>
    <w:rsid w:val="31A84B64"/>
    <w:rsid w:val="31B12D3C"/>
    <w:rsid w:val="31B2653B"/>
    <w:rsid w:val="31B266EC"/>
    <w:rsid w:val="31B45163"/>
    <w:rsid w:val="31B81D35"/>
    <w:rsid w:val="31C3729F"/>
    <w:rsid w:val="31CB617D"/>
    <w:rsid w:val="31CC0ECB"/>
    <w:rsid w:val="31DD2EC1"/>
    <w:rsid w:val="31DF1DB8"/>
    <w:rsid w:val="31F020DC"/>
    <w:rsid w:val="31F072F8"/>
    <w:rsid w:val="32061C7F"/>
    <w:rsid w:val="320A52D8"/>
    <w:rsid w:val="320D2005"/>
    <w:rsid w:val="32136025"/>
    <w:rsid w:val="32220D79"/>
    <w:rsid w:val="32252577"/>
    <w:rsid w:val="32294648"/>
    <w:rsid w:val="322F0831"/>
    <w:rsid w:val="3238009F"/>
    <w:rsid w:val="323F5519"/>
    <w:rsid w:val="32442E52"/>
    <w:rsid w:val="32471CC6"/>
    <w:rsid w:val="324F0134"/>
    <w:rsid w:val="32540593"/>
    <w:rsid w:val="32575B7F"/>
    <w:rsid w:val="32582CC3"/>
    <w:rsid w:val="327179A4"/>
    <w:rsid w:val="32775626"/>
    <w:rsid w:val="32835AB1"/>
    <w:rsid w:val="328A3A5F"/>
    <w:rsid w:val="328D7371"/>
    <w:rsid w:val="328E2231"/>
    <w:rsid w:val="329326B7"/>
    <w:rsid w:val="329426A2"/>
    <w:rsid w:val="329708DE"/>
    <w:rsid w:val="32AD1211"/>
    <w:rsid w:val="32BE0045"/>
    <w:rsid w:val="32E12F9A"/>
    <w:rsid w:val="32E87F66"/>
    <w:rsid w:val="32E97C5E"/>
    <w:rsid w:val="32EC46FB"/>
    <w:rsid w:val="32FF12B8"/>
    <w:rsid w:val="330073AA"/>
    <w:rsid w:val="33020BF1"/>
    <w:rsid w:val="330710D7"/>
    <w:rsid w:val="331264BB"/>
    <w:rsid w:val="331E3887"/>
    <w:rsid w:val="33224534"/>
    <w:rsid w:val="332742E9"/>
    <w:rsid w:val="332850C4"/>
    <w:rsid w:val="332A1AC1"/>
    <w:rsid w:val="332C71E1"/>
    <w:rsid w:val="332E1BC2"/>
    <w:rsid w:val="332F3B66"/>
    <w:rsid w:val="333B116B"/>
    <w:rsid w:val="333E2024"/>
    <w:rsid w:val="33427ABB"/>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1212B1"/>
    <w:rsid w:val="341321BE"/>
    <w:rsid w:val="34155C01"/>
    <w:rsid w:val="34293255"/>
    <w:rsid w:val="34314E1D"/>
    <w:rsid w:val="34315823"/>
    <w:rsid w:val="34374868"/>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440EB"/>
    <w:rsid w:val="348D33D3"/>
    <w:rsid w:val="3496737A"/>
    <w:rsid w:val="349C03F2"/>
    <w:rsid w:val="34A238C5"/>
    <w:rsid w:val="34AC0653"/>
    <w:rsid w:val="34AC2DE9"/>
    <w:rsid w:val="34B24855"/>
    <w:rsid w:val="34B55560"/>
    <w:rsid w:val="34B84D9B"/>
    <w:rsid w:val="34BE7103"/>
    <w:rsid w:val="34C82B00"/>
    <w:rsid w:val="34C9343D"/>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31CAD"/>
    <w:rsid w:val="3559121F"/>
    <w:rsid w:val="356D51F7"/>
    <w:rsid w:val="357972DF"/>
    <w:rsid w:val="357D79D3"/>
    <w:rsid w:val="35804F9D"/>
    <w:rsid w:val="35843B49"/>
    <w:rsid w:val="35884385"/>
    <w:rsid w:val="35890016"/>
    <w:rsid w:val="358B0F26"/>
    <w:rsid w:val="35924A15"/>
    <w:rsid w:val="359753B1"/>
    <w:rsid w:val="35A251D2"/>
    <w:rsid w:val="35A25468"/>
    <w:rsid w:val="35AC56FE"/>
    <w:rsid w:val="35C3354B"/>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57267"/>
    <w:rsid w:val="360632C2"/>
    <w:rsid w:val="362131A7"/>
    <w:rsid w:val="362E1546"/>
    <w:rsid w:val="36330CA5"/>
    <w:rsid w:val="363F061B"/>
    <w:rsid w:val="364236D7"/>
    <w:rsid w:val="3654563C"/>
    <w:rsid w:val="365763B3"/>
    <w:rsid w:val="366F70DE"/>
    <w:rsid w:val="367C0A7E"/>
    <w:rsid w:val="36856B5A"/>
    <w:rsid w:val="36883C27"/>
    <w:rsid w:val="36950061"/>
    <w:rsid w:val="36A32443"/>
    <w:rsid w:val="36A61ADA"/>
    <w:rsid w:val="36AC504E"/>
    <w:rsid w:val="36AE7AB6"/>
    <w:rsid w:val="36B45F51"/>
    <w:rsid w:val="36B7013F"/>
    <w:rsid w:val="36D37FB9"/>
    <w:rsid w:val="36D40D9D"/>
    <w:rsid w:val="36D71D0D"/>
    <w:rsid w:val="36E17BD4"/>
    <w:rsid w:val="36E30071"/>
    <w:rsid w:val="36E31151"/>
    <w:rsid w:val="36E61D1E"/>
    <w:rsid w:val="36EF4947"/>
    <w:rsid w:val="36F76FAD"/>
    <w:rsid w:val="37060D5C"/>
    <w:rsid w:val="370F6D7D"/>
    <w:rsid w:val="3711176D"/>
    <w:rsid w:val="37113E21"/>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93CF4"/>
    <w:rsid w:val="38132FDB"/>
    <w:rsid w:val="381523AC"/>
    <w:rsid w:val="3816611D"/>
    <w:rsid w:val="381A7833"/>
    <w:rsid w:val="381D6FCC"/>
    <w:rsid w:val="38255502"/>
    <w:rsid w:val="382563C3"/>
    <w:rsid w:val="382B10C6"/>
    <w:rsid w:val="384502C9"/>
    <w:rsid w:val="384757BF"/>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C2A26"/>
    <w:rsid w:val="38DC5040"/>
    <w:rsid w:val="38EA0958"/>
    <w:rsid w:val="38EA292A"/>
    <w:rsid w:val="38EB3140"/>
    <w:rsid w:val="38F71493"/>
    <w:rsid w:val="38FC7F68"/>
    <w:rsid w:val="390150BD"/>
    <w:rsid w:val="39015BC8"/>
    <w:rsid w:val="39024400"/>
    <w:rsid w:val="390A29CF"/>
    <w:rsid w:val="39132EBE"/>
    <w:rsid w:val="3923223F"/>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41673"/>
    <w:rsid w:val="397F2866"/>
    <w:rsid w:val="39850A26"/>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C1B39"/>
    <w:rsid w:val="39DE503F"/>
    <w:rsid w:val="39E03897"/>
    <w:rsid w:val="39E125BA"/>
    <w:rsid w:val="39EE1B0B"/>
    <w:rsid w:val="39F17FFD"/>
    <w:rsid w:val="39F24322"/>
    <w:rsid w:val="39FA1859"/>
    <w:rsid w:val="3A03384A"/>
    <w:rsid w:val="3A066160"/>
    <w:rsid w:val="3A083121"/>
    <w:rsid w:val="3A0D48B1"/>
    <w:rsid w:val="3A1810FA"/>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36647"/>
    <w:rsid w:val="3A9E4B32"/>
    <w:rsid w:val="3A9F1B2C"/>
    <w:rsid w:val="3AA04C49"/>
    <w:rsid w:val="3AA54470"/>
    <w:rsid w:val="3AA913CF"/>
    <w:rsid w:val="3AB86069"/>
    <w:rsid w:val="3AC036CC"/>
    <w:rsid w:val="3AC205A6"/>
    <w:rsid w:val="3AC257A4"/>
    <w:rsid w:val="3AC334CD"/>
    <w:rsid w:val="3AD16134"/>
    <w:rsid w:val="3AD17EBD"/>
    <w:rsid w:val="3ADE382E"/>
    <w:rsid w:val="3AEA3CFC"/>
    <w:rsid w:val="3AF044A5"/>
    <w:rsid w:val="3AF153E6"/>
    <w:rsid w:val="3AFC4CC9"/>
    <w:rsid w:val="3B00301D"/>
    <w:rsid w:val="3B1752EE"/>
    <w:rsid w:val="3B1C35AC"/>
    <w:rsid w:val="3B1F0CAE"/>
    <w:rsid w:val="3B22468C"/>
    <w:rsid w:val="3B292A67"/>
    <w:rsid w:val="3B3155AA"/>
    <w:rsid w:val="3B3E0B10"/>
    <w:rsid w:val="3B4F1508"/>
    <w:rsid w:val="3B580D61"/>
    <w:rsid w:val="3B64699C"/>
    <w:rsid w:val="3B696BF9"/>
    <w:rsid w:val="3B6F0DCA"/>
    <w:rsid w:val="3B754E06"/>
    <w:rsid w:val="3B7B2B0A"/>
    <w:rsid w:val="3B7C7B97"/>
    <w:rsid w:val="3B8372AE"/>
    <w:rsid w:val="3B914065"/>
    <w:rsid w:val="3B9F483C"/>
    <w:rsid w:val="3BB249F7"/>
    <w:rsid w:val="3BBE3122"/>
    <w:rsid w:val="3BC20515"/>
    <w:rsid w:val="3BC53C74"/>
    <w:rsid w:val="3BC60370"/>
    <w:rsid w:val="3BC62C0D"/>
    <w:rsid w:val="3BC772AB"/>
    <w:rsid w:val="3BC812C8"/>
    <w:rsid w:val="3BD741DE"/>
    <w:rsid w:val="3BE7491F"/>
    <w:rsid w:val="3BE82033"/>
    <w:rsid w:val="3BEF3F98"/>
    <w:rsid w:val="3BF01125"/>
    <w:rsid w:val="3BF1165C"/>
    <w:rsid w:val="3BF82655"/>
    <w:rsid w:val="3BF90B59"/>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FD4D35"/>
    <w:rsid w:val="3D064D69"/>
    <w:rsid w:val="3D0E3667"/>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2325F"/>
    <w:rsid w:val="3DAF1596"/>
    <w:rsid w:val="3DB52668"/>
    <w:rsid w:val="3DD3077A"/>
    <w:rsid w:val="3DDF7A0D"/>
    <w:rsid w:val="3DFD4BBE"/>
    <w:rsid w:val="3E00097B"/>
    <w:rsid w:val="3E011326"/>
    <w:rsid w:val="3E024B7B"/>
    <w:rsid w:val="3E104548"/>
    <w:rsid w:val="3E19435F"/>
    <w:rsid w:val="3E1B47C8"/>
    <w:rsid w:val="3E20393D"/>
    <w:rsid w:val="3E205773"/>
    <w:rsid w:val="3E264105"/>
    <w:rsid w:val="3E264903"/>
    <w:rsid w:val="3E2806A1"/>
    <w:rsid w:val="3E2E35CB"/>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9456A"/>
    <w:rsid w:val="3EA0570F"/>
    <w:rsid w:val="3EA2409C"/>
    <w:rsid w:val="3EAD3D57"/>
    <w:rsid w:val="3EAF02B7"/>
    <w:rsid w:val="3EB1188E"/>
    <w:rsid w:val="3EB428B4"/>
    <w:rsid w:val="3EBD63D7"/>
    <w:rsid w:val="3EC07733"/>
    <w:rsid w:val="3EC334A7"/>
    <w:rsid w:val="3EC678BC"/>
    <w:rsid w:val="3ECC70B0"/>
    <w:rsid w:val="3ED01824"/>
    <w:rsid w:val="3EE067CA"/>
    <w:rsid w:val="3EE919E0"/>
    <w:rsid w:val="3EEF26AB"/>
    <w:rsid w:val="3EF21C38"/>
    <w:rsid w:val="3EF57D05"/>
    <w:rsid w:val="3EF96B38"/>
    <w:rsid w:val="3F002CCF"/>
    <w:rsid w:val="3F0566FF"/>
    <w:rsid w:val="3F0605BE"/>
    <w:rsid w:val="3F06365D"/>
    <w:rsid w:val="3F0A3CA5"/>
    <w:rsid w:val="3F0B1DB8"/>
    <w:rsid w:val="3F0C44E7"/>
    <w:rsid w:val="3F0E6EA3"/>
    <w:rsid w:val="3F122278"/>
    <w:rsid w:val="3F155D82"/>
    <w:rsid w:val="3F261DEC"/>
    <w:rsid w:val="3F305E06"/>
    <w:rsid w:val="3F453E8A"/>
    <w:rsid w:val="3F47737F"/>
    <w:rsid w:val="3F523976"/>
    <w:rsid w:val="3F52626A"/>
    <w:rsid w:val="3F5322DF"/>
    <w:rsid w:val="3F556A35"/>
    <w:rsid w:val="3F5867B3"/>
    <w:rsid w:val="3F5A301C"/>
    <w:rsid w:val="3F637202"/>
    <w:rsid w:val="3F65418C"/>
    <w:rsid w:val="3F664F14"/>
    <w:rsid w:val="3F6763B0"/>
    <w:rsid w:val="3F6D1D36"/>
    <w:rsid w:val="3F6D2017"/>
    <w:rsid w:val="3F7339EB"/>
    <w:rsid w:val="3F770167"/>
    <w:rsid w:val="3F7D65D1"/>
    <w:rsid w:val="3F836296"/>
    <w:rsid w:val="3F9526FD"/>
    <w:rsid w:val="3F960218"/>
    <w:rsid w:val="3F9956BA"/>
    <w:rsid w:val="3F9B508E"/>
    <w:rsid w:val="3FA01128"/>
    <w:rsid w:val="3FA10F73"/>
    <w:rsid w:val="3FA51002"/>
    <w:rsid w:val="3FA5548C"/>
    <w:rsid w:val="3FB1448E"/>
    <w:rsid w:val="3FB33F0F"/>
    <w:rsid w:val="3FB56B87"/>
    <w:rsid w:val="3FB827B0"/>
    <w:rsid w:val="3FB9798A"/>
    <w:rsid w:val="3FBC4DF5"/>
    <w:rsid w:val="3FBE226E"/>
    <w:rsid w:val="3FC74EA5"/>
    <w:rsid w:val="3FC80A13"/>
    <w:rsid w:val="3FC924C5"/>
    <w:rsid w:val="3FD001E0"/>
    <w:rsid w:val="3FD35125"/>
    <w:rsid w:val="3FDD5AA3"/>
    <w:rsid w:val="3FDD60EB"/>
    <w:rsid w:val="3FE1611D"/>
    <w:rsid w:val="3FE9762E"/>
    <w:rsid w:val="3FEB7EF7"/>
    <w:rsid w:val="3FF0534A"/>
    <w:rsid w:val="3FF07D9D"/>
    <w:rsid w:val="3FFC6AA1"/>
    <w:rsid w:val="3FFE725C"/>
    <w:rsid w:val="400D4689"/>
    <w:rsid w:val="40171E63"/>
    <w:rsid w:val="401B305E"/>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40F93"/>
    <w:rsid w:val="40B77C21"/>
    <w:rsid w:val="40BB1B3B"/>
    <w:rsid w:val="40BE2CAE"/>
    <w:rsid w:val="40C87F0D"/>
    <w:rsid w:val="40E13187"/>
    <w:rsid w:val="40E4111E"/>
    <w:rsid w:val="40F110C9"/>
    <w:rsid w:val="40F71EFC"/>
    <w:rsid w:val="40FA7D3C"/>
    <w:rsid w:val="40FC6040"/>
    <w:rsid w:val="41013098"/>
    <w:rsid w:val="41046C1A"/>
    <w:rsid w:val="410A66D3"/>
    <w:rsid w:val="411252F5"/>
    <w:rsid w:val="41216561"/>
    <w:rsid w:val="4126157E"/>
    <w:rsid w:val="412E1703"/>
    <w:rsid w:val="41341D04"/>
    <w:rsid w:val="41463814"/>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E168E"/>
    <w:rsid w:val="41B000EA"/>
    <w:rsid w:val="41B625DB"/>
    <w:rsid w:val="41BB28C5"/>
    <w:rsid w:val="41C505B5"/>
    <w:rsid w:val="41D7643D"/>
    <w:rsid w:val="41D80DF6"/>
    <w:rsid w:val="41F41099"/>
    <w:rsid w:val="41F4144D"/>
    <w:rsid w:val="41F425A0"/>
    <w:rsid w:val="41FD1E4D"/>
    <w:rsid w:val="42004A07"/>
    <w:rsid w:val="42036CED"/>
    <w:rsid w:val="420445BE"/>
    <w:rsid w:val="42044B55"/>
    <w:rsid w:val="4210342F"/>
    <w:rsid w:val="42106699"/>
    <w:rsid w:val="421D3532"/>
    <w:rsid w:val="422747DE"/>
    <w:rsid w:val="423D7E2C"/>
    <w:rsid w:val="42405192"/>
    <w:rsid w:val="4253494B"/>
    <w:rsid w:val="42563DD4"/>
    <w:rsid w:val="425F0874"/>
    <w:rsid w:val="42605991"/>
    <w:rsid w:val="42624CEC"/>
    <w:rsid w:val="42667AD5"/>
    <w:rsid w:val="426B2083"/>
    <w:rsid w:val="42745271"/>
    <w:rsid w:val="42746AFF"/>
    <w:rsid w:val="427A2426"/>
    <w:rsid w:val="428622E0"/>
    <w:rsid w:val="428740C5"/>
    <w:rsid w:val="4295023B"/>
    <w:rsid w:val="42A72E3E"/>
    <w:rsid w:val="42A9771E"/>
    <w:rsid w:val="42AB3CF1"/>
    <w:rsid w:val="42AF06BF"/>
    <w:rsid w:val="42AF744D"/>
    <w:rsid w:val="42B57D24"/>
    <w:rsid w:val="42B97DE2"/>
    <w:rsid w:val="42BE1411"/>
    <w:rsid w:val="42BF0482"/>
    <w:rsid w:val="42C3638C"/>
    <w:rsid w:val="42C8399F"/>
    <w:rsid w:val="42CC1C77"/>
    <w:rsid w:val="42CE7CBC"/>
    <w:rsid w:val="42E67A2D"/>
    <w:rsid w:val="42EF6EDD"/>
    <w:rsid w:val="42F63370"/>
    <w:rsid w:val="4303189E"/>
    <w:rsid w:val="43043B4B"/>
    <w:rsid w:val="430C0701"/>
    <w:rsid w:val="431D662D"/>
    <w:rsid w:val="431D7413"/>
    <w:rsid w:val="43230977"/>
    <w:rsid w:val="43260906"/>
    <w:rsid w:val="4329778C"/>
    <w:rsid w:val="432A433E"/>
    <w:rsid w:val="432F48E4"/>
    <w:rsid w:val="433451E7"/>
    <w:rsid w:val="433454E3"/>
    <w:rsid w:val="43380FA2"/>
    <w:rsid w:val="433914CB"/>
    <w:rsid w:val="434030C7"/>
    <w:rsid w:val="43413F90"/>
    <w:rsid w:val="434321EE"/>
    <w:rsid w:val="434C3803"/>
    <w:rsid w:val="4357411B"/>
    <w:rsid w:val="43624524"/>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A20D7"/>
    <w:rsid w:val="440433D0"/>
    <w:rsid w:val="44081998"/>
    <w:rsid w:val="440A1D09"/>
    <w:rsid w:val="44105FE6"/>
    <w:rsid w:val="44163757"/>
    <w:rsid w:val="442E6250"/>
    <w:rsid w:val="44304862"/>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25908"/>
    <w:rsid w:val="448F333F"/>
    <w:rsid w:val="449A5595"/>
    <w:rsid w:val="44A273D7"/>
    <w:rsid w:val="44A3165A"/>
    <w:rsid w:val="44A949BB"/>
    <w:rsid w:val="44B47D28"/>
    <w:rsid w:val="44BE6AFA"/>
    <w:rsid w:val="44BE7B38"/>
    <w:rsid w:val="44C10C52"/>
    <w:rsid w:val="44C4343F"/>
    <w:rsid w:val="44CC5637"/>
    <w:rsid w:val="44CE1860"/>
    <w:rsid w:val="44D01EAB"/>
    <w:rsid w:val="44D61276"/>
    <w:rsid w:val="44F05372"/>
    <w:rsid w:val="44F550F4"/>
    <w:rsid w:val="44FB2020"/>
    <w:rsid w:val="450005C9"/>
    <w:rsid w:val="450E225C"/>
    <w:rsid w:val="450E5F3E"/>
    <w:rsid w:val="451C3C3F"/>
    <w:rsid w:val="45202195"/>
    <w:rsid w:val="45282E33"/>
    <w:rsid w:val="45361C96"/>
    <w:rsid w:val="45367180"/>
    <w:rsid w:val="453936A0"/>
    <w:rsid w:val="454B27CA"/>
    <w:rsid w:val="4555071F"/>
    <w:rsid w:val="455B027F"/>
    <w:rsid w:val="45634F36"/>
    <w:rsid w:val="456433C3"/>
    <w:rsid w:val="4566286A"/>
    <w:rsid w:val="456653F0"/>
    <w:rsid w:val="456745BB"/>
    <w:rsid w:val="45677DA7"/>
    <w:rsid w:val="45736E48"/>
    <w:rsid w:val="45743F66"/>
    <w:rsid w:val="45761FD8"/>
    <w:rsid w:val="457B0C49"/>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2E14A0"/>
    <w:rsid w:val="472F2F47"/>
    <w:rsid w:val="47304A60"/>
    <w:rsid w:val="47321070"/>
    <w:rsid w:val="47383706"/>
    <w:rsid w:val="473F3443"/>
    <w:rsid w:val="47442FEA"/>
    <w:rsid w:val="47476898"/>
    <w:rsid w:val="474825BA"/>
    <w:rsid w:val="47524966"/>
    <w:rsid w:val="475E1AB6"/>
    <w:rsid w:val="4764753D"/>
    <w:rsid w:val="47663624"/>
    <w:rsid w:val="4779594B"/>
    <w:rsid w:val="477E3FE9"/>
    <w:rsid w:val="47861281"/>
    <w:rsid w:val="478E58BD"/>
    <w:rsid w:val="47933AFC"/>
    <w:rsid w:val="47946581"/>
    <w:rsid w:val="47997ECC"/>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2080D"/>
    <w:rsid w:val="48B5518F"/>
    <w:rsid w:val="48BA7016"/>
    <w:rsid w:val="48BE6136"/>
    <w:rsid w:val="48C17060"/>
    <w:rsid w:val="48D22DB3"/>
    <w:rsid w:val="48D93445"/>
    <w:rsid w:val="48D9627C"/>
    <w:rsid w:val="48DA1D9C"/>
    <w:rsid w:val="48DC218D"/>
    <w:rsid w:val="48DF3D7D"/>
    <w:rsid w:val="48E4725A"/>
    <w:rsid w:val="48E915DE"/>
    <w:rsid w:val="48EB611E"/>
    <w:rsid w:val="48F7177C"/>
    <w:rsid w:val="48F9720D"/>
    <w:rsid w:val="490008E6"/>
    <w:rsid w:val="490425AB"/>
    <w:rsid w:val="49047124"/>
    <w:rsid w:val="49076238"/>
    <w:rsid w:val="49104838"/>
    <w:rsid w:val="49200C47"/>
    <w:rsid w:val="49250443"/>
    <w:rsid w:val="49267368"/>
    <w:rsid w:val="49276313"/>
    <w:rsid w:val="492F1B04"/>
    <w:rsid w:val="4930158D"/>
    <w:rsid w:val="493166F2"/>
    <w:rsid w:val="493E2578"/>
    <w:rsid w:val="4943084D"/>
    <w:rsid w:val="495B2F5A"/>
    <w:rsid w:val="49660B64"/>
    <w:rsid w:val="496E056A"/>
    <w:rsid w:val="497930F9"/>
    <w:rsid w:val="497E5F0E"/>
    <w:rsid w:val="49863345"/>
    <w:rsid w:val="49895BF9"/>
    <w:rsid w:val="49896889"/>
    <w:rsid w:val="498B006E"/>
    <w:rsid w:val="499C126E"/>
    <w:rsid w:val="49A20032"/>
    <w:rsid w:val="49A82756"/>
    <w:rsid w:val="49A86BF4"/>
    <w:rsid w:val="49A902DE"/>
    <w:rsid w:val="49A961CD"/>
    <w:rsid w:val="49B337E8"/>
    <w:rsid w:val="49B57903"/>
    <w:rsid w:val="49BB0B72"/>
    <w:rsid w:val="49CD3C98"/>
    <w:rsid w:val="49E27CCF"/>
    <w:rsid w:val="49F44446"/>
    <w:rsid w:val="49F543E3"/>
    <w:rsid w:val="49FA00AE"/>
    <w:rsid w:val="4A037F7B"/>
    <w:rsid w:val="4A0C3345"/>
    <w:rsid w:val="4A12511A"/>
    <w:rsid w:val="4A1C6B3C"/>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B2412"/>
    <w:rsid w:val="4A603371"/>
    <w:rsid w:val="4A665A8F"/>
    <w:rsid w:val="4A6B6C00"/>
    <w:rsid w:val="4A7A1A7F"/>
    <w:rsid w:val="4A7B1C95"/>
    <w:rsid w:val="4A7C6D92"/>
    <w:rsid w:val="4A80680F"/>
    <w:rsid w:val="4A8B2BFF"/>
    <w:rsid w:val="4A8B46F9"/>
    <w:rsid w:val="4A8C3D45"/>
    <w:rsid w:val="4A996D58"/>
    <w:rsid w:val="4AA637CE"/>
    <w:rsid w:val="4AAA2363"/>
    <w:rsid w:val="4AAC0232"/>
    <w:rsid w:val="4AB420A2"/>
    <w:rsid w:val="4AB42562"/>
    <w:rsid w:val="4AB971E8"/>
    <w:rsid w:val="4ABC4127"/>
    <w:rsid w:val="4AC14B57"/>
    <w:rsid w:val="4AC462B3"/>
    <w:rsid w:val="4AC908CA"/>
    <w:rsid w:val="4AC95E08"/>
    <w:rsid w:val="4ACC60F1"/>
    <w:rsid w:val="4ACE3D63"/>
    <w:rsid w:val="4AD13FBF"/>
    <w:rsid w:val="4AD37FB6"/>
    <w:rsid w:val="4AED546D"/>
    <w:rsid w:val="4AF15169"/>
    <w:rsid w:val="4AF33411"/>
    <w:rsid w:val="4AFC4739"/>
    <w:rsid w:val="4AFF7966"/>
    <w:rsid w:val="4B0F4D9F"/>
    <w:rsid w:val="4B2B654D"/>
    <w:rsid w:val="4B2D2A9B"/>
    <w:rsid w:val="4B313BE7"/>
    <w:rsid w:val="4B331125"/>
    <w:rsid w:val="4B3405F9"/>
    <w:rsid w:val="4B425A4D"/>
    <w:rsid w:val="4B473804"/>
    <w:rsid w:val="4B5151AA"/>
    <w:rsid w:val="4B537CBF"/>
    <w:rsid w:val="4B550153"/>
    <w:rsid w:val="4B641191"/>
    <w:rsid w:val="4B694B3A"/>
    <w:rsid w:val="4B730932"/>
    <w:rsid w:val="4B76529F"/>
    <w:rsid w:val="4B797876"/>
    <w:rsid w:val="4B7A237E"/>
    <w:rsid w:val="4B815FB3"/>
    <w:rsid w:val="4B86443F"/>
    <w:rsid w:val="4B9A0C4D"/>
    <w:rsid w:val="4B9B3B70"/>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C1686"/>
    <w:rsid w:val="4C513E4B"/>
    <w:rsid w:val="4C603F1D"/>
    <w:rsid w:val="4C6211EA"/>
    <w:rsid w:val="4C635D18"/>
    <w:rsid w:val="4C670EB1"/>
    <w:rsid w:val="4C712086"/>
    <w:rsid w:val="4C7120EC"/>
    <w:rsid w:val="4C7B3D80"/>
    <w:rsid w:val="4C7C605E"/>
    <w:rsid w:val="4C7E2355"/>
    <w:rsid w:val="4C847264"/>
    <w:rsid w:val="4C970E7B"/>
    <w:rsid w:val="4CC1054F"/>
    <w:rsid w:val="4CCB1948"/>
    <w:rsid w:val="4CCE079D"/>
    <w:rsid w:val="4CCE3699"/>
    <w:rsid w:val="4CEA4F4D"/>
    <w:rsid w:val="4CEC58DB"/>
    <w:rsid w:val="4CEF637A"/>
    <w:rsid w:val="4CF00FB6"/>
    <w:rsid w:val="4CF16277"/>
    <w:rsid w:val="4CF4672D"/>
    <w:rsid w:val="4CFA2AAF"/>
    <w:rsid w:val="4D0325CF"/>
    <w:rsid w:val="4D035A68"/>
    <w:rsid w:val="4D0F26CE"/>
    <w:rsid w:val="4D147026"/>
    <w:rsid w:val="4D1478EC"/>
    <w:rsid w:val="4D165C91"/>
    <w:rsid w:val="4D225412"/>
    <w:rsid w:val="4D235945"/>
    <w:rsid w:val="4D255F0E"/>
    <w:rsid w:val="4D2F06BA"/>
    <w:rsid w:val="4D304130"/>
    <w:rsid w:val="4D386B0D"/>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337E4B"/>
    <w:rsid w:val="4E365771"/>
    <w:rsid w:val="4E3C3064"/>
    <w:rsid w:val="4E3C5DC0"/>
    <w:rsid w:val="4E446F8B"/>
    <w:rsid w:val="4E4D4DE2"/>
    <w:rsid w:val="4E5669BF"/>
    <w:rsid w:val="4E651EA6"/>
    <w:rsid w:val="4E6757B0"/>
    <w:rsid w:val="4E6C4048"/>
    <w:rsid w:val="4E783D17"/>
    <w:rsid w:val="4E805C19"/>
    <w:rsid w:val="4E836C4E"/>
    <w:rsid w:val="4E865BCD"/>
    <w:rsid w:val="4E957162"/>
    <w:rsid w:val="4E9E60B6"/>
    <w:rsid w:val="4EA27ACB"/>
    <w:rsid w:val="4EA60E85"/>
    <w:rsid w:val="4EAE3E03"/>
    <w:rsid w:val="4EB379F2"/>
    <w:rsid w:val="4EB838E0"/>
    <w:rsid w:val="4EBC3167"/>
    <w:rsid w:val="4EBC6632"/>
    <w:rsid w:val="4EBD4562"/>
    <w:rsid w:val="4EBD5620"/>
    <w:rsid w:val="4EBE0F4C"/>
    <w:rsid w:val="4EC258F4"/>
    <w:rsid w:val="4ECD0F14"/>
    <w:rsid w:val="4ED017E4"/>
    <w:rsid w:val="4ED03B4F"/>
    <w:rsid w:val="4ED43AE8"/>
    <w:rsid w:val="4EDC1716"/>
    <w:rsid w:val="4EDF6F4B"/>
    <w:rsid w:val="4EE24F10"/>
    <w:rsid w:val="4EE77077"/>
    <w:rsid w:val="4EE8461F"/>
    <w:rsid w:val="4F0206C2"/>
    <w:rsid w:val="4F06414B"/>
    <w:rsid w:val="4F1A4FD6"/>
    <w:rsid w:val="4F1C2B4C"/>
    <w:rsid w:val="4F1E1A5A"/>
    <w:rsid w:val="4F2D5479"/>
    <w:rsid w:val="4F2E4FDB"/>
    <w:rsid w:val="4F3127D8"/>
    <w:rsid w:val="4F353521"/>
    <w:rsid w:val="4F3B798B"/>
    <w:rsid w:val="4F424396"/>
    <w:rsid w:val="4F461737"/>
    <w:rsid w:val="4F501AA5"/>
    <w:rsid w:val="4F507138"/>
    <w:rsid w:val="4F5431F2"/>
    <w:rsid w:val="4F594949"/>
    <w:rsid w:val="4F5A315B"/>
    <w:rsid w:val="4F664358"/>
    <w:rsid w:val="4F7041A7"/>
    <w:rsid w:val="4F7349ED"/>
    <w:rsid w:val="4F7C7D62"/>
    <w:rsid w:val="4F88390E"/>
    <w:rsid w:val="4F8865D2"/>
    <w:rsid w:val="4F9102E3"/>
    <w:rsid w:val="4F9A400D"/>
    <w:rsid w:val="4FA11827"/>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33BDE"/>
    <w:rsid w:val="50036BC4"/>
    <w:rsid w:val="500B0DCA"/>
    <w:rsid w:val="500C2A95"/>
    <w:rsid w:val="50133F8A"/>
    <w:rsid w:val="50140C07"/>
    <w:rsid w:val="50176E6F"/>
    <w:rsid w:val="50200664"/>
    <w:rsid w:val="502151EE"/>
    <w:rsid w:val="5022333C"/>
    <w:rsid w:val="50312196"/>
    <w:rsid w:val="50417E32"/>
    <w:rsid w:val="504768E3"/>
    <w:rsid w:val="504F0FB9"/>
    <w:rsid w:val="504F769B"/>
    <w:rsid w:val="50537FDD"/>
    <w:rsid w:val="50622728"/>
    <w:rsid w:val="507554C6"/>
    <w:rsid w:val="507D0063"/>
    <w:rsid w:val="508F1D63"/>
    <w:rsid w:val="508F6AC4"/>
    <w:rsid w:val="509631CF"/>
    <w:rsid w:val="509A55F2"/>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A4E7D"/>
    <w:rsid w:val="51187091"/>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E4C2D"/>
    <w:rsid w:val="51A15787"/>
    <w:rsid w:val="51A23180"/>
    <w:rsid w:val="51A44533"/>
    <w:rsid w:val="51B12C2B"/>
    <w:rsid w:val="51B625E5"/>
    <w:rsid w:val="51BB3190"/>
    <w:rsid w:val="51C31AB3"/>
    <w:rsid w:val="51C50057"/>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832FA"/>
    <w:rsid w:val="521B5CF1"/>
    <w:rsid w:val="521E330E"/>
    <w:rsid w:val="52210969"/>
    <w:rsid w:val="52250331"/>
    <w:rsid w:val="52251937"/>
    <w:rsid w:val="52291DE3"/>
    <w:rsid w:val="522D32DC"/>
    <w:rsid w:val="522E032A"/>
    <w:rsid w:val="522E48FA"/>
    <w:rsid w:val="52436B21"/>
    <w:rsid w:val="52476CBE"/>
    <w:rsid w:val="52541687"/>
    <w:rsid w:val="525808AD"/>
    <w:rsid w:val="52606B21"/>
    <w:rsid w:val="526142ED"/>
    <w:rsid w:val="52675267"/>
    <w:rsid w:val="526A42D2"/>
    <w:rsid w:val="527456A0"/>
    <w:rsid w:val="52775B19"/>
    <w:rsid w:val="527820D3"/>
    <w:rsid w:val="527925C0"/>
    <w:rsid w:val="5286536B"/>
    <w:rsid w:val="528D1636"/>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2EF275D"/>
    <w:rsid w:val="53035F10"/>
    <w:rsid w:val="530445BC"/>
    <w:rsid w:val="53073E74"/>
    <w:rsid w:val="53176C42"/>
    <w:rsid w:val="53184746"/>
    <w:rsid w:val="531972CB"/>
    <w:rsid w:val="53227F73"/>
    <w:rsid w:val="532342A1"/>
    <w:rsid w:val="532E4AC7"/>
    <w:rsid w:val="533E55DF"/>
    <w:rsid w:val="5360600D"/>
    <w:rsid w:val="53703765"/>
    <w:rsid w:val="5376095E"/>
    <w:rsid w:val="537A04E8"/>
    <w:rsid w:val="537D7719"/>
    <w:rsid w:val="53874180"/>
    <w:rsid w:val="53910730"/>
    <w:rsid w:val="53991F46"/>
    <w:rsid w:val="53A430C7"/>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57FE2"/>
    <w:rsid w:val="5428581F"/>
    <w:rsid w:val="542B47E5"/>
    <w:rsid w:val="54312A0A"/>
    <w:rsid w:val="54451C08"/>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766D3"/>
    <w:rsid w:val="54DB3842"/>
    <w:rsid w:val="54E32310"/>
    <w:rsid w:val="54E35B83"/>
    <w:rsid w:val="54E5570D"/>
    <w:rsid w:val="54E656A9"/>
    <w:rsid w:val="54E85406"/>
    <w:rsid w:val="54EE0227"/>
    <w:rsid w:val="54EE4DEC"/>
    <w:rsid w:val="54F1490A"/>
    <w:rsid w:val="54F93AE7"/>
    <w:rsid w:val="54F97DEB"/>
    <w:rsid w:val="55012EF3"/>
    <w:rsid w:val="55022588"/>
    <w:rsid w:val="550D4E7F"/>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C5297"/>
    <w:rsid w:val="55D31938"/>
    <w:rsid w:val="55DA77E0"/>
    <w:rsid w:val="55EE6E58"/>
    <w:rsid w:val="55F2238E"/>
    <w:rsid w:val="55F24132"/>
    <w:rsid w:val="55FB05FF"/>
    <w:rsid w:val="55FC794D"/>
    <w:rsid w:val="56012A7B"/>
    <w:rsid w:val="56172C84"/>
    <w:rsid w:val="56206259"/>
    <w:rsid w:val="562219AC"/>
    <w:rsid w:val="56230DC5"/>
    <w:rsid w:val="562B59B0"/>
    <w:rsid w:val="56387876"/>
    <w:rsid w:val="56391384"/>
    <w:rsid w:val="564C27AB"/>
    <w:rsid w:val="565222DD"/>
    <w:rsid w:val="565907FF"/>
    <w:rsid w:val="565D6940"/>
    <w:rsid w:val="566101A8"/>
    <w:rsid w:val="56666AC5"/>
    <w:rsid w:val="56701442"/>
    <w:rsid w:val="56793306"/>
    <w:rsid w:val="56797C74"/>
    <w:rsid w:val="568116C5"/>
    <w:rsid w:val="568F0B4D"/>
    <w:rsid w:val="5691640E"/>
    <w:rsid w:val="56927F4A"/>
    <w:rsid w:val="569C03A7"/>
    <w:rsid w:val="569E53D6"/>
    <w:rsid w:val="56A304C3"/>
    <w:rsid w:val="56AD16B1"/>
    <w:rsid w:val="56B44FF7"/>
    <w:rsid w:val="56B76AF7"/>
    <w:rsid w:val="56BA0EDB"/>
    <w:rsid w:val="56BA5BFC"/>
    <w:rsid w:val="56D60D34"/>
    <w:rsid w:val="56DA1A1C"/>
    <w:rsid w:val="56E90EF6"/>
    <w:rsid w:val="56F50794"/>
    <w:rsid w:val="56F82259"/>
    <w:rsid w:val="56FC12BF"/>
    <w:rsid w:val="56FE5AE3"/>
    <w:rsid w:val="570426CC"/>
    <w:rsid w:val="57103E85"/>
    <w:rsid w:val="57167A78"/>
    <w:rsid w:val="571E4103"/>
    <w:rsid w:val="5724356E"/>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D20F94"/>
    <w:rsid w:val="57E359C9"/>
    <w:rsid w:val="57E8494C"/>
    <w:rsid w:val="57F75230"/>
    <w:rsid w:val="57FA5E75"/>
    <w:rsid w:val="58000E35"/>
    <w:rsid w:val="58222E9F"/>
    <w:rsid w:val="582D3231"/>
    <w:rsid w:val="58316A55"/>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354B8"/>
    <w:rsid w:val="58B60FB7"/>
    <w:rsid w:val="58BB01CF"/>
    <w:rsid w:val="58BD1D42"/>
    <w:rsid w:val="58C04526"/>
    <w:rsid w:val="58C15643"/>
    <w:rsid w:val="58C925C7"/>
    <w:rsid w:val="58DE296B"/>
    <w:rsid w:val="58E05B85"/>
    <w:rsid w:val="58F141D6"/>
    <w:rsid w:val="58F9654F"/>
    <w:rsid w:val="58F979E8"/>
    <w:rsid w:val="58FB6C25"/>
    <w:rsid w:val="58FE08ED"/>
    <w:rsid w:val="59061DAE"/>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97600"/>
    <w:rsid w:val="596C25D4"/>
    <w:rsid w:val="597028E6"/>
    <w:rsid w:val="597D38D7"/>
    <w:rsid w:val="598A75D0"/>
    <w:rsid w:val="59935094"/>
    <w:rsid w:val="5995496F"/>
    <w:rsid w:val="59A62A34"/>
    <w:rsid w:val="59AB1748"/>
    <w:rsid w:val="59B159CB"/>
    <w:rsid w:val="59B51848"/>
    <w:rsid w:val="59BC67AC"/>
    <w:rsid w:val="59C03938"/>
    <w:rsid w:val="59C811F1"/>
    <w:rsid w:val="59C83D69"/>
    <w:rsid w:val="59CB01B4"/>
    <w:rsid w:val="59CC0DAD"/>
    <w:rsid w:val="59CF1C3E"/>
    <w:rsid w:val="59D87B36"/>
    <w:rsid w:val="59E57113"/>
    <w:rsid w:val="59E91981"/>
    <w:rsid w:val="59F22823"/>
    <w:rsid w:val="59F35BF5"/>
    <w:rsid w:val="59F42704"/>
    <w:rsid w:val="59FD1C88"/>
    <w:rsid w:val="5A0020BE"/>
    <w:rsid w:val="5A02215A"/>
    <w:rsid w:val="5A0823EC"/>
    <w:rsid w:val="5A0B4999"/>
    <w:rsid w:val="5A1219E8"/>
    <w:rsid w:val="5A1601E1"/>
    <w:rsid w:val="5A1A2003"/>
    <w:rsid w:val="5A2023BC"/>
    <w:rsid w:val="5A2534E2"/>
    <w:rsid w:val="5A272110"/>
    <w:rsid w:val="5A2F52ED"/>
    <w:rsid w:val="5A307C26"/>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E6004"/>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5045C"/>
    <w:rsid w:val="5C3B0435"/>
    <w:rsid w:val="5C3C5668"/>
    <w:rsid w:val="5C3C56AD"/>
    <w:rsid w:val="5C3D32DD"/>
    <w:rsid w:val="5C3E4B55"/>
    <w:rsid w:val="5C404666"/>
    <w:rsid w:val="5C422461"/>
    <w:rsid w:val="5C48686D"/>
    <w:rsid w:val="5C4F52A1"/>
    <w:rsid w:val="5C4F75E7"/>
    <w:rsid w:val="5C50319B"/>
    <w:rsid w:val="5C511614"/>
    <w:rsid w:val="5C520197"/>
    <w:rsid w:val="5C5371DE"/>
    <w:rsid w:val="5C5F094C"/>
    <w:rsid w:val="5C603564"/>
    <w:rsid w:val="5C633837"/>
    <w:rsid w:val="5C6B674F"/>
    <w:rsid w:val="5C6F57DC"/>
    <w:rsid w:val="5C7E0DF8"/>
    <w:rsid w:val="5C7E39D8"/>
    <w:rsid w:val="5C8A31FF"/>
    <w:rsid w:val="5C9C7108"/>
    <w:rsid w:val="5C9F55AA"/>
    <w:rsid w:val="5CA474D4"/>
    <w:rsid w:val="5CA84AC1"/>
    <w:rsid w:val="5CAC4293"/>
    <w:rsid w:val="5CB64B19"/>
    <w:rsid w:val="5CBD7A62"/>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C7D"/>
    <w:rsid w:val="5CFF66F4"/>
    <w:rsid w:val="5D042519"/>
    <w:rsid w:val="5D073D33"/>
    <w:rsid w:val="5D0E09BF"/>
    <w:rsid w:val="5D10070C"/>
    <w:rsid w:val="5D1077A1"/>
    <w:rsid w:val="5D193562"/>
    <w:rsid w:val="5D232DD8"/>
    <w:rsid w:val="5D2360DD"/>
    <w:rsid w:val="5D360039"/>
    <w:rsid w:val="5D3A22F4"/>
    <w:rsid w:val="5D3D681F"/>
    <w:rsid w:val="5D421B63"/>
    <w:rsid w:val="5D435C8A"/>
    <w:rsid w:val="5D467576"/>
    <w:rsid w:val="5D4B2525"/>
    <w:rsid w:val="5D543240"/>
    <w:rsid w:val="5D5434CB"/>
    <w:rsid w:val="5D5A25C6"/>
    <w:rsid w:val="5D645AF7"/>
    <w:rsid w:val="5D697151"/>
    <w:rsid w:val="5D7070A0"/>
    <w:rsid w:val="5D7B2BAE"/>
    <w:rsid w:val="5D893541"/>
    <w:rsid w:val="5D8C28B4"/>
    <w:rsid w:val="5D8E7C73"/>
    <w:rsid w:val="5D974515"/>
    <w:rsid w:val="5D9832F3"/>
    <w:rsid w:val="5D9934EC"/>
    <w:rsid w:val="5D9C1E54"/>
    <w:rsid w:val="5DAB1E9E"/>
    <w:rsid w:val="5DB53FF3"/>
    <w:rsid w:val="5DB81F70"/>
    <w:rsid w:val="5DBC3F54"/>
    <w:rsid w:val="5DC328CA"/>
    <w:rsid w:val="5DCA57DD"/>
    <w:rsid w:val="5DD74A14"/>
    <w:rsid w:val="5DDB163B"/>
    <w:rsid w:val="5DDC2477"/>
    <w:rsid w:val="5DDC2877"/>
    <w:rsid w:val="5DF03AB4"/>
    <w:rsid w:val="5DF11D42"/>
    <w:rsid w:val="5DFA2E17"/>
    <w:rsid w:val="5DFB0C01"/>
    <w:rsid w:val="5E006537"/>
    <w:rsid w:val="5E1D2155"/>
    <w:rsid w:val="5E2374D1"/>
    <w:rsid w:val="5E401AFE"/>
    <w:rsid w:val="5E454E01"/>
    <w:rsid w:val="5E490493"/>
    <w:rsid w:val="5E4C4204"/>
    <w:rsid w:val="5E4D4054"/>
    <w:rsid w:val="5E4F4CEC"/>
    <w:rsid w:val="5E517BBA"/>
    <w:rsid w:val="5E521705"/>
    <w:rsid w:val="5E650FB2"/>
    <w:rsid w:val="5E656142"/>
    <w:rsid w:val="5E680B19"/>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6219E5"/>
    <w:rsid w:val="5F7C4F33"/>
    <w:rsid w:val="5F7D5743"/>
    <w:rsid w:val="5F810563"/>
    <w:rsid w:val="5F824D0A"/>
    <w:rsid w:val="5F902061"/>
    <w:rsid w:val="5F91364B"/>
    <w:rsid w:val="5F942C15"/>
    <w:rsid w:val="5F982E68"/>
    <w:rsid w:val="5F983E6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7ACF"/>
    <w:rsid w:val="60195F65"/>
    <w:rsid w:val="60200E33"/>
    <w:rsid w:val="6023016C"/>
    <w:rsid w:val="602924AC"/>
    <w:rsid w:val="602B5AAA"/>
    <w:rsid w:val="60334B2A"/>
    <w:rsid w:val="603E7B8A"/>
    <w:rsid w:val="60415FF4"/>
    <w:rsid w:val="60420933"/>
    <w:rsid w:val="6056292C"/>
    <w:rsid w:val="6063156C"/>
    <w:rsid w:val="606502AC"/>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43DFD"/>
    <w:rsid w:val="60B55179"/>
    <w:rsid w:val="60B84522"/>
    <w:rsid w:val="60BF5745"/>
    <w:rsid w:val="60C47684"/>
    <w:rsid w:val="60C90EA4"/>
    <w:rsid w:val="60CA2396"/>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4EEF"/>
    <w:rsid w:val="61176A85"/>
    <w:rsid w:val="611A697F"/>
    <w:rsid w:val="61206479"/>
    <w:rsid w:val="612143A4"/>
    <w:rsid w:val="61216CB5"/>
    <w:rsid w:val="61221695"/>
    <w:rsid w:val="6124184C"/>
    <w:rsid w:val="61254671"/>
    <w:rsid w:val="612E3337"/>
    <w:rsid w:val="614050A9"/>
    <w:rsid w:val="61465E1A"/>
    <w:rsid w:val="614B5BCE"/>
    <w:rsid w:val="614D1495"/>
    <w:rsid w:val="614D2B5A"/>
    <w:rsid w:val="61524121"/>
    <w:rsid w:val="6155426A"/>
    <w:rsid w:val="615755AF"/>
    <w:rsid w:val="615D6475"/>
    <w:rsid w:val="61620240"/>
    <w:rsid w:val="616730ED"/>
    <w:rsid w:val="616C2054"/>
    <w:rsid w:val="616E3976"/>
    <w:rsid w:val="617D0D60"/>
    <w:rsid w:val="618321F0"/>
    <w:rsid w:val="618563BE"/>
    <w:rsid w:val="61861C69"/>
    <w:rsid w:val="61867017"/>
    <w:rsid w:val="618B084B"/>
    <w:rsid w:val="618E1E6E"/>
    <w:rsid w:val="618F22FB"/>
    <w:rsid w:val="61B15149"/>
    <w:rsid w:val="61B16AF8"/>
    <w:rsid w:val="61B71C73"/>
    <w:rsid w:val="61C56900"/>
    <w:rsid w:val="61C73EC2"/>
    <w:rsid w:val="61D32FE5"/>
    <w:rsid w:val="61D9528D"/>
    <w:rsid w:val="61DA6BBA"/>
    <w:rsid w:val="61DE7C3D"/>
    <w:rsid w:val="61E1330A"/>
    <w:rsid w:val="61E51E0F"/>
    <w:rsid w:val="61E852C9"/>
    <w:rsid w:val="61EE26FB"/>
    <w:rsid w:val="61EE28BD"/>
    <w:rsid w:val="61F0115C"/>
    <w:rsid w:val="61FA5B62"/>
    <w:rsid w:val="6203062B"/>
    <w:rsid w:val="62070260"/>
    <w:rsid w:val="620A5E09"/>
    <w:rsid w:val="62164CFF"/>
    <w:rsid w:val="6222428F"/>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E6DF2"/>
    <w:rsid w:val="62971DFA"/>
    <w:rsid w:val="629963D8"/>
    <w:rsid w:val="62B3642B"/>
    <w:rsid w:val="62B91CB2"/>
    <w:rsid w:val="62E05F11"/>
    <w:rsid w:val="62E70CE0"/>
    <w:rsid w:val="62F00E21"/>
    <w:rsid w:val="62F06C0E"/>
    <w:rsid w:val="62F571B6"/>
    <w:rsid w:val="62F91A8D"/>
    <w:rsid w:val="62FA0118"/>
    <w:rsid w:val="62FB5ADF"/>
    <w:rsid w:val="63016DD9"/>
    <w:rsid w:val="63060DC1"/>
    <w:rsid w:val="630B0513"/>
    <w:rsid w:val="630D5FB3"/>
    <w:rsid w:val="631D12C4"/>
    <w:rsid w:val="632F0EFF"/>
    <w:rsid w:val="633159CB"/>
    <w:rsid w:val="6332638D"/>
    <w:rsid w:val="633B2B0B"/>
    <w:rsid w:val="633C5BF9"/>
    <w:rsid w:val="633E36D1"/>
    <w:rsid w:val="6343466C"/>
    <w:rsid w:val="634A145E"/>
    <w:rsid w:val="634E753F"/>
    <w:rsid w:val="63607ED4"/>
    <w:rsid w:val="636469B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D86821"/>
    <w:rsid w:val="63D8720B"/>
    <w:rsid w:val="63DF3F98"/>
    <w:rsid w:val="63E02D15"/>
    <w:rsid w:val="63E0457C"/>
    <w:rsid w:val="63E25AFD"/>
    <w:rsid w:val="63E57666"/>
    <w:rsid w:val="63F03B38"/>
    <w:rsid w:val="63F731A5"/>
    <w:rsid w:val="63FC766C"/>
    <w:rsid w:val="63FE2454"/>
    <w:rsid w:val="64022F76"/>
    <w:rsid w:val="64084173"/>
    <w:rsid w:val="641269AD"/>
    <w:rsid w:val="641C56F8"/>
    <w:rsid w:val="64231408"/>
    <w:rsid w:val="64263EF4"/>
    <w:rsid w:val="64281DC7"/>
    <w:rsid w:val="643A7824"/>
    <w:rsid w:val="644A3F96"/>
    <w:rsid w:val="64553AA4"/>
    <w:rsid w:val="64564ED9"/>
    <w:rsid w:val="645A5737"/>
    <w:rsid w:val="646029D7"/>
    <w:rsid w:val="64603768"/>
    <w:rsid w:val="646270E8"/>
    <w:rsid w:val="6467123E"/>
    <w:rsid w:val="64706790"/>
    <w:rsid w:val="64724898"/>
    <w:rsid w:val="647C3BBA"/>
    <w:rsid w:val="64805997"/>
    <w:rsid w:val="64813A7C"/>
    <w:rsid w:val="64823A3A"/>
    <w:rsid w:val="64855B2D"/>
    <w:rsid w:val="64867427"/>
    <w:rsid w:val="648976FB"/>
    <w:rsid w:val="648A2250"/>
    <w:rsid w:val="648B1491"/>
    <w:rsid w:val="648E1573"/>
    <w:rsid w:val="649A52C8"/>
    <w:rsid w:val="64B0747D"/>
    <w:rsid w:val="64B6071F"/>
    <w:rsid w:val="64BE2F18"/>
    <w:rsid w:val="64C004BC"/>
    <w:rsid w:val="64C03551"/>
    <w:rsid w:val="64C317B4"/>
    <w:rsid w:val="64C6530B"/>
    <w:rsid w:val="64D9451E"/>
    <w:rsid w:val="64DB77D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03D06"/>
    <w:rsid w:val="66190E3D"/>
    <w:rsid w:val="661C061C"/>
    <w:rsid w:val="6628673A"/>
    <w:rsid w:val="66300C32"/>
    <w:rsid w:val="6639596A"/>
    <w:rsid w:val="66401DD3"/>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40BAD"/>
    <w:rsid w:val="66E77E06"/>
    <w:rsid w:val="66F861FA"/>
    <w:rsid w:val="670027A0"/>
    <w:rsid w:val="67037752"/>
    <w:rsid w:val="67050D51"/>
    <w:rsid w:val="67050D9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C0411D"/>
    <w:rsid w:val="67C95416"/>
    <w:rsid w:val="67D74048"/>
    <w:rsid w:val="67E041E2"/>
    <w:rsid w:val="67E51F56"/>
    <w:rsid w:val="67E97A89"/>
    <w:rsid w:val="67F27764"/>
    <w:rsid w:val="6802359C"/>
    <w:rsid w:val="68081463"/>
    <w:rsid w:val="680A257F"/>
    <w:rsid w:val="680E50C8"/>
    <w:rsid w:val="681541C3"/>
    <w:rsid w:val="681674DF"/>
    <w:rsid w:val="681D6FA0"/>
    <w:rsid w:val="68373462"/>
    <w:rsid w:val="68447B3B"/>
    <w:rsid w:val="685C0FCA"/>
    <w:rsid w:val="68650F7D"/>
    <w:rsid w:val="68655BE3"/>
    <w:rsid w:val="686926D4"/>
    <w:rsid w:val="68774A50"/>
    <w:rsid w:val="68784EDA"/>
    <w:rsid w:val="687A62EB"/>
    <w:rsid w:val="687B4F8F"/>
    <w:rsid w:val="688A20B8"/>
    <w:rsid w:val="688C0135"/>
    <w:rsid w:val="688D57D8"/>
    <w:rsid w:val="6892047F"/>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71448"/>
    <w:rsid w:val="68E92B61"/>
    <w:rsid w:val="68F308C4"/>
    <w:rsid w:val="68F51C33"/>
    <w:rsid w:val="68FA62F0"/>
    <w:rsid w:val="68FE7853"/>
    <w:rsid w:val="68FF6668"/>
    <w:rsid w:val="6901117B"/>
    <w:rsid w:val="69021A4A"/>
    <w:rsid w:val="69052CE9"/>
    <w:rsid w:val="69156DDD"/>
    <w:rsid w:val="691D61F1"/>
    <w:rsid w:val="691E3879"/>
    <w:rsid w:val="69211467"/>
    <w:rsid w:val="69214564"/>
    <w:rsid w:val="69257A7E"/>
    <w:rsid w:val="69277662"/>
    <w:rsid w:val="69344B19"/>
    <w:rsid w:val="69345F83"/>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C8002E"/>
    <w:rsid w:val="69CF04C1"/>
    <w:rsid w:val="69D32FE1"/>
    <w:rsid w:val="69D457A0"/>
    <w:rsid w:val="69D463F2"/>
    <w:rsid w:val="69D72910"/>
    <w:rsid w:val="69D94035"/>
    <w:rsid w:val="69DC26A6"/>
    <w:rsid w:val="69E37874"/>
    <w:rsid w:val="69E56B54"/>
    <w:rsid w:val="69E96708"/>
    <w:rsid w:val="69ED002E"/>
    <w:rsid w:val="69ED6B4A"/>
    <w:rsid w:val="69EE54CD"/>
    <w:rsid w:val="69F92613"/>
    <w:rsid w:val="69FB7CD4"/>
    <w:rsid w:val="69FD723E"/>
    <w:rsid w:val="69FD7CEA"/>
    <w:rsid w:val="6A0229E5"/>
    <w:rsid w:val="6A067F83"/>
    <w:rsid w:val="6A097E59"/>
    <w:rsid w:val="6A171AFC"/>
    <w:rsid w:val="6A227A57"/>
    <w:rsid w:val="6A2A2D01"/>
    <w:rsid w:val="6A3225D7"/>
    <w:rsid w:val="6A3B0B6C"/>
    <w:rsid w:val="6A3C0BF8"/>
    <w:rsid w:val="6A423E55"/>
    <w:rsid w:val="6A470981"/>
    <w:rsid w:val="6A4747AF"/>
    <w:rsid w:val="6A49294B"/>
    <w:rsid w:val="6A562B91"/>
    <w:rsid w:val="6A57299A"/>
    <w:rsid w:val="6A697946"/>
    <w:rsid w:val="6A6D6854"/>
    <w:rsid w:val="6A700CED"/>
    <w:rsid w:val="6A7017D7"/>
    <w:rsid w:val="6A7350A3"/>
    <w:rsid w:val="6AA235D3"/>
    <w:rsid w:val="6AA31D3D"/>
    <w:rsid w:val="6AB02B50"/>
    <w:rsid w:val="6AB14532"/>
    <w:rsid w:val="6ABB2ED0"/>
    <w:rsid w:val="6ABD7A51"/>
    <w:rsid w:val="6AC335C4"/>
    <w:rsid w:val="6ACC0F11"/>
    <w:rsid w:val="6ADB4318"/>
    <w:rsid w:val="6ADD7DFD"/>
    <w:rsid w:val="6AE2135D"/>
    <w:rsid w:val="6AE77D3D"/>
    <w:rsid w:val="6AE93C28"/>
    <w:rsid w:val="6AF05F1A"/>
    <w:rsid w:val="6B036D80"/>
    <w:rsid w:val="6B0451AB"/>
    <w:rsid w:val="6B110B6C"/>
    <w:rsid w:val="6B160110"/>
    <w:rsid w:val="6B167467"/>
    <w:rsid w:val="6B21434C"/>
    <w:rsid w:val="6B237C36"/>
    <w:rsid w:val="6B2600DB"/>
    <w:rsid w:val="6B2718FD"/>
    <w:rsid w:val="6B2A147B"/>
    <w:rsid w:val="6B2B4CFC"/>
    <w:rsid w:val="6B2C290C"/>
    <w:rsid w:val="6B33476F"/>
    <w:rsid w:val="6B352059"/>
    <w:rsid w:val="6B3B4CA2"/>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77405"/>
    <w:rsid w:val="6D0A3519"/>
    <w:rsid w:val="6D0B62E2"/>
    <w:rsid w:val="6D133D59"/>
    <w:rsid w:val="6D175B2B"/>
    <w:rsid w:val="6D264EC5"/>
    <w:rsid w:val="6D26662C"/>
    <w:rsid w:val="6D2B3CDC"/>
    <w:rsid w:val="6D330DB7"/>
    <w:rsid w:val="6D437763"/>
    <w:rsid w:val="6D4B2385"/>
    <w:rsid w:val="6D4C07B8"/>
    <w:rsid w:val="6D5B1179"/>
    <w:rsid w:val="6D671B76"/>
    <w:rsid w:val="6D6D28AF"/>
    <w:rsid w:val="6D771293"/>
    <w:rsid w:val="6D7D0954"/>
    <w:rsid w:val="6D8153B2"/>
    <w:rsid w:val="6D876AB7"/>
    <w:rsid w:val="6D8F154F"/>
    <w:rsid w:val="6D9757D1"/>
    <w:rsid w:val="6D9C3974"/>
    <w:rsid w:val="6DA062EA"/>
    <w:rsid w:val="6DA65DBF"/>
    <w:rsid w:val="6DA76631"/>
    <w:rsid w:val="6DA77315"/>
    <w:rsid w:val="6DAF65CC"/>
    <w:rsid w:val="6DB157A2"/>
    <w:rsid w:val="6DB25F3D"/>
    <w:rsid w:val="6DBA586C"/>
    <w:rsid w:val="6DBE0B3F"/>
    <w:rsid w:val="6DBF7294"/>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915314"/>
    <w:rsid w:val="6EA04FAE"/>
    <w:rsid w:val="6EAA59A3"/>
    <w:rsid w:val="6EAA79ED"/>
    <w:rsid w:val="6EB029C1"/>
    <w:rsid w:val="6EC161BE"/>
    <w:rsid w:val="6ECD08F1"/>
    <w:rsid w:val="6ED8031D"/>
    <w:rsid w:val="6EDF2531"/>
    <w:rsid w:val="6EE1335D"/>
    <w:rsid w:val="6EE50FBC"/>
    <w:rsid w:val="6EEF6508"/>
    <w:rsid w:val="6EF02682"/>
    <w:rsid w:val="6EFF1809"/>
    <w:rsid w:val="6F19615F"/>
    <w:rsid w:val="6F1A3B57"/>
    <w:rsid w:val="6F1A60C4"/>
    <w:rsid w:val="6F231E41"/>
    <w:rsid w:val="6F244447"/>
    <w:rsid w:val="6F303DE1"/>
    <w:rsid w:val="6F331C81"/>
    <w:rsid w:val="6F331F52"/>
    <w:rsid w:val="6F362062"/>
    <w:rsid w:val="6F3C0797"/>
    <w:rsid w:val="6F4048CA"/>
    <w:rsid w:val="6F405BD0"/>
    <w:rsid w:val="6F4713C5"/>
    <w:rsid w:val="6F4734D0"/>
    <w:rsid w:val="6F4B3953"/>
    <w:rsid w:val="6F555C91"/>
    <w:rsid w:val="6F603479"/>
    <w:rsid w:val="6F680494"/>
    <w:rsid w:val="6F6B5A9E"/>
    <w:rsid w:val="6F7A07E3"/>
    <w:rsid w:val="6F7D050B"/>
    <w:rsid w:val="6F8C33B0"/>
    <w:rsid w:val="6F8D5B36"/>
    <w:rsid w:val="6F953750"/>
    <w:rsid w:val="6FA04DA3"/>
    <w:rsid w:val="6FA10B29"/>
    <w:rsid w:val="6FAA2D8A"/>
    <w:rsid w:val="6FC02217"/>
    <w:rsid w:val="6FC34E9D"/>
    <w:rsid w:val="6FC60A07"/>
    <w:rsid w:val="6FC90F86"/>
    <w:rsid w:val="6FCD3BC3"/>
    <w:rsid w:val="6FCE2BBA"/>
    <w:rsid w:val="6FDF40F5"/>
    <w:rsid w:val="6FE0165C"/>
    <w:rsid w:val="6FE05F95"/>
    <w:rsid w:val="6FF021F5"/>
    <w:rsid w:val="6FF06B6B"/>
    <w:rsid w:val="6FF73491"/>
    <w:rsid w:val="6FF97C31"/>
    <w:rsid w:val="6FFC64FF"/>
    <w:rsid w:val="7001428F"/>
    <w:rsid w:val="700E7127"/>
    <w:rsid w:val="70133236"/>
    <w:rsid w:val="70156307"/>
    <w:rsid w:val="7016485B"/>
    <w:rsid w:val="701C590F"/>
    <w:rsid w:val="702033F7"/>
    <w:rsid w:val="7021034D"/>
    <w:rsid w:val="702D10A9"/>
    <w:rsid w:val="70315D3B"/>
    <w:rsid w:val="703D58C4"/>
    <w:rsid w:val="70453D87"/>
    <w:rsid w:val="704E5E48"/>
    <w:rsid w:val="7053674B"/>
    <w:rsid w:val="7055360F"/>
    <w:rsid w:val="70642BE6"/>
    <w:rsid w:val="706F497B"/>
    <w:rsid w:val="70724AB3"/>
    <w:rsid w:val="70877819"/>
    <w:rsid w:val="70916EF8"/>
    <w:rsid w:val="709261ED"/>
    <w:rsid w:val="70A02568"/>
    <w:rsid w:val="70AD230C"/>
    <w:rsid w:val="70B4798A"/>
    <w:rsid w:val="70B91785"/>
    <w:rsid w:val="70C41020"/>
    <w:rsid w:val="70C671BA"/>
    <w:rsid w:val="70CC1017"/>
    <w:rsid w:val="70CF255C"/>
    <w:rsid w:val="70DC2C89"/>
    <w:rsid w:val="70DD041E"/>
    <w:rsid w:val="70DD743F"/>
    <w:rsid w:val="70DD7EE0"/>
    <w:rsid w:val="70E3150B"/>
    <w:rsid w:val="70E67B77"/>
    <w:rsid w:val="70F323B0"/>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4132F"/>
    <w:rsid w:val="71D53676"/>
    <w:rsid w:val="71DA32B4"/>
    <w:rsid w:val="71E32E83"/>
    <w:rsid w:val="71F46D71"/>
    <w:rsid w:val="71F96411"/>
    <w:rsid w:val="71FA7506"/>
    <w:rsid w:val="72061465"/>
    <w:rsid w:val="722F766C"/>
    <w:rsid w:val="723256D8"/>
    <w:rsid w:val="72382B26"/>
    <w:rsid w:val="72385872"/>
    <w:rsid w:val="72451F4F"/>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2463"/>
    <w:rsid w:val="72B06D9D"/>
    <w:rsid w:val="72B715E4"/>
    <w:rsid w:val="72C32F53"/>
    <w:rsid w:val="72C77A8A"/>
    <w:rsid w:val="72CB7C4C"/>
    <w:rsid w:val="72D86D20"/>
    <w:rsid w:val="72DB6BCE"/>
    <w:rsid w:val="72F70D65"/>
    <w:rsid w:val="72F762C6"/>
    <w:rsid w:val="72FE3E8E"/>
    <w:rsid w:val="731B711B"/>
    <w:rsid w:val="731C3ED2"/>
    <w:rsid w:val="731E5631"/>
    <w:rsid w:val="732009B8"/>
    <w:rsid w:val="732B0C72"/>
    <w:rsid w:val="733271A4"/>
    <w:rsid w:val="73330C63"/>
    <w:rsid w:val="733863E3"/>
    <w:rsid w:val="733A3332"/>
    <w:rsid w:val="733C1D9D"/>
    <w:rsid w:val="733E46B2"/>
    <w:rsid w:val="733E586B"/>
    <w:rsid w:val="733E59D9"/>
    <w:rsid w:val="734B3969"/>
    <w:rsid w:val="73597F33"/>
    <w:rsid w:val="7375490C"/>
    <w:rsid w:val="73757E63"/>
    <w:rsid w:val="737D2F4F"/>
    <w:rsid w:val="738B029F"/>
    <w:rsid w:val="73900D21"/>
    <w:rsid w:val="739A7114"/>
    <w:rsid w:val="739F2349"/>
    <w:rsid w:val="739F6287"/>
    <w:rsid w:val="73A242CD"/>
    <w:rsid w:val="73A935F2"/>
    <w:rsid w:val="73AC333B"/>
    <w:rsid w:val="73B11DBC"/>
    <w:rsid w:val="73B1795C"/>
    <w:rsid w:val="73B51018"/>
    <w:rsid w:val="73B67CAD"/>
    <w:rsid w:val="73B86EBC"/>
    <w:rsid w:val="73C340B3"/>
    <w:rsid w:val="73C72DB3"/>
    <w:rsid w:val="73C854F0"/>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E1491C"/>
    <w:rsid w:val="74E67A31"/>
    <w:rsid w:val="74F61278"/>
    <w:rsid w:val="74F90505"/>
    <w:rsid w:val="74FC67D7"/>
    <w:rsid w:val="7501178C"/>
    <w:rsid w:val="75092044"/>
    <w:rsid w:val="75124563"/>
    <w:rsid w:val="751274A1"/>
    <w:rsid w:val="75190871"/>
    <w:rsid w:val="751C2143"/>
    <w:rsid w:val="75295853"/>
    <w:rsid w:val="752D2921"/>
    <w:rsid w:val="752F1869"/>
    <w:rsid w:val="752F2DAC"/>
    <w:rsid w:val="75387884"/>
    <w:rsid w:val="75475838"/>
    <w:rsid w:val="75631790"/>
    <w:rsid w:val="7566472C"/>
    <w:rsid w:val="756B1E1E"/>
    <w:rsid w:val="7578413D"/>
    <w:rsid w:val="757B64ED"/>
    <w:rsid w:val="757C232A"/>
    <w:rsid w:val="75851DCA"/>
    <w:rsid w:val="75895C6B"/>
    <w:rsid w:val="758F3A2A"/>
    <w:rsid w:val="7595284C"/>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54B74"/>
    <w:rsid w:val="761C414A"/>
    <w:rsid w:val="761D237D"/>
    <w:rsid w:val="762721D0"/>
    <w:rsid w:val="76380CDC"/>
    <w:rsid w:val="76383420"/>
    <w:rsid w:val="76411431"/>
    <w:rsid w:val="7649562B"/>
    <w:rsid w:val="764F7C59"/>
    <w:rsid w:val="76536622"/>
    <w:rsid w:val="765566B4"/>
    <w:rsid w:val="76605088"/>
    <w:rsid w:val="76636412"/>
    <w:rsid w:val="766477E2"/>
    <w:rsid w:val="7668119A"/>
    <w:rsid w:val="766966D4"/>
    <w:rsid w:val="766E17F9"/>
    <w:rsid w:val="76894FB9"/>
    <w:rsid w:val="768C1EBA"/>
    <w:rsid w:val="768E260E"/>
    <w:rsid w:val="769222A0"/>
    <w:rsid w:val="769568F8"/>
    <w:rsid w:val="76993596"/>
    <w:rsid w:val="769F0134"/>
    <w:rsid w:val="76B14AAD"/>
    <w:rsid w:val="76C118A2"/>
    <w:rsid w:val="76C32B57"/>
    <w:rsid w:val="76C63D93"/>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095079"/>
    <w:rsid w:val="7718408C"/>
    <w:rsid w:val="771D7BC5"/>
    <w:rsid w:val="7723073F"/>
    <w:rsid w:val="772527B2"/>
    <w:rsid w:val="772A6A8E"/>
    <w:rsid w:val="773B25F8"/>
    <w:rsid w:val="773B48CE"/>
    <w:rsid w:val="773D0C62"/>
    <w:rsid w:val="773F62E5"/>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BC6B30"/>
    <w:rsid w:val="77BE1BC2"/>
    <w:rsid w:val="77C75FA5"/>
    <w:rsid w:val="77C926F0"/>
    <w:rsid w:val="77CA0362"/>
    <w:rsid w:val="77D17A81"/>
    <w:rsid w:val="77E40C30"/>
    <w:rsid w:val="77FC1B84"/>
    <w:rsid w:val="78055C6F"/>
    <w:rsid w:val="780752E6"/>
    <w:rsid w:val="780B6CC7"/>
    <w:rsid w:val="78153F77"/>
    <w:rsid w:val="78185315"/>
    <w:rsid w:val="781C67FA"/>
    <w:rsid w:val="782378AE"/>
    <w:rsid w:val="78296DAC"/>
    <w:rsid w:val="783267CC"/>
    <w:rsid w:val="783E418B"/>
    <w:rsid w:val="783F1754"/>
    <w:rsid w:val="784E3C01"/>
    <w:rsid w:val="78570849"/>
    <w:rsid w:val="78575D9F"/>
    <w:rsid w:val="78600977"/>
    <w:rsid w:val="78617AF2"/>
    <w:rsid w:val="78626899"/>
    <w:rsid w:val="786421F2"/>
    <w:rsid w:val="786616B3"/>
    <w:rsid w:val="786E5D08"/>
    <w:rsid w:val="787E7A1D"/>
    <w:rsid w:val="78812F7C"/>
    <w:rsid w:val="78975C7D"/>
    <w:rsid w:val="78A51B95"/>
    <w:rsid w:val="78AA6975"/>
    <w:rsid w:val="78B15E1D"/>
    <w:rsid w:val="78C15B1C"/>
    <w:rsid w:val="78C359B3"/>
    <w:rsid w:val="78C653C1"/>
    <w:rsid w:val="78C9190A"/>
    <w:rsid w:val="78C97D4F"/>
    <w:rsid w:val="78CC0493"/>
    <w:rsid w:val="78DB3FCA"/>
    <w:rsid w:val="78EC2D52"/>
    <w:rsid w:val="78F5480C"/>
    <w:rsid w:val="79036E66"/>
    <w:rsid w:val="790945D5"/>
    <w:rsid w:val="790B5E2B"/>
    <w:rsid w:val="790E47EA"/>
    <w:rsid w:val="790E548B"/>
    <w:rsid w:val="79104E2B"/>
    <w:rsid w:val="79135CA0"/>
    <w:rsid w:val="791467F0"/>
    <w:rsid w:val="7915089E"/>
    <w:rsid w:val="791A58CD"/>
    <w:rsid w:val="791F537B"/>
    <w:rsid w:val="79344437"/>
    <w:rsid w:val="79367982"/>
    <w:rsid w:val="793D5C2F"/>
    <w:rsid w:val="793F7F0E"/>
    <w:rsid w:val="794A336F"/>
    <w:rsid w:val="794B6C37"/>
    <w:rsid w:val="79537099"/>
    <w:rsid w:val="79552D08"/>
    <w:rsid w:val="795E7ED2"/>
    <w:rsid w:val="79672E22"/>
    <w:rsid w:val="79677010"/>
    <w:rsid w:val="796E6578"/>
    <w:rsid w:val="79711579"/>
    <w:rsid w:val="797121AE"/>
    <w:rsid w:val="797E1825"/>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66C93"/>
    <w:rsid w:val="79F16E80"/>
    <w:rsid w:val="79F32B94"/>
    <w:rsid w:val="79F842C2"/>
    <w:rsid w:val="79FA0A29"/>
    <w:rsid w:val="79FC6E04"/>
    <w:rsid w:val="79FE2A4E"/>
    <w:rsid w:val="7A081D42"/>
    <w:rsid w:val="7A0A6E0F"/>
    <w:rsid w:val="7A0A7223"/>
    <w:rsid w:val="7A0C4EA7"/>
    <w:rsid w:val="7A12552F"/>
    <w:rsid w:val="7A1524DD"/>
    <w:rsid w:val="7A1A1772"/>
    <w:rsid w:val="7A1E1DC3"/>
    <w:rsid w:val="7A2751AD"/>
    <w:rsid w:val="7A276994"/>
    <w:rsid w:val="7A2C129F"/>
    <w:rsid w:val="7A3B034D"/>
    <w:rsid w:val="7A3F158B"/>
    <w:rsid w:val="7A4A132A"/>
    <w:rsid w:val="7A535840"/>
    <w:rsid w:val="7A646A69"/>
    <w:rsid w:val="7A6736BC"/>
    <w:rsid w:val="7A6A7B3B"/>
    <w:rsid w:val="7A7067FA"/>
    <w:rsid w:val="7A721F7E"/>
    <w:rsid w:val="7A746574"/>
    <w:rsid w:val="7A7678E5"/>
    <w:rsid w:val="7A7B24DD"/>
    <w:rsid w:val="7A7D2094"/>
    <w:rsid w:val="7A7F65CA"/>
    <w:rsid w:val="7A867241"/>
    <w:rsid w:val="7A876B11"/>
    <w:rsid w:val="7A88301C"/>
    <w:rsid w:val="7A963A48"/>
    <w:rsid w:val="7A9660A3"/>
    <w:rsid w:val="7A9861CB"/>
    <w:rsid w:val="7A986784"/>
    <w:rsid w:val="7ABB3E82"/>
    <w:rsid w:val="7AC3568E"/>
    <w:rsid w:val="7AC449C6"/>
    <w:rsid w:val="7AD71052"/>
    <w:rsid w:val="7AD9797E"/>
    <w:rsid w:val="7ADE3DB2"/>
    <w:rsid w:val="7AE5682B"/>
    <w:rsid w:val="7AEE60EE"/>
    <w:rsid w:val="7B0E060E"/>
    <w:rsid w:val="7B0F5219"/>
    <w:rsid w:val="7B177A77"/>
    <w:rsid w:val="7B193032"/>
    <w:rsid w:val="7B1B1CF8"/>
    <w:rsid w:val="7B26484C"/>
    <w:rsid w:val="7B2B13FD"/>
    <w:rsid w:val="7B3339FA"/>
    <w:rsid w:val="7B346599"/>
    <w:rsid w:val="7B44094D"/>
    <w:rsid w:val="7B460BFD"/>
    <w:rsid w:val="7B4910BE"/>
    <w:rsid w:val="7B4A7A19"/>
    <w:rsid w:val="7B5D3226"/>
    <w:rsid w:val="7B5E4EEC"/>
    <w:rsid w:val="7B674BD7"/>
    <w:rsid w:val="7B6E2192"/>
    <w:rsid w:val="7B722498"/>
    <w:rsid w:val="7B782690"/>
    <w:rsid w:val="7B793E87"/>
    <w:rsid w:val="7B7C50C8"/>
    <w:rsid w:val="7B7F3966"/>
    <w:rsid w:val="7B80148D"/>
    <w:rsid w:val="7B821ADA"/>
    <w:rsid w:val="7B8F5DA2"/>
    <w:rsid w:val="7B926883"/>
    <w:rsid w:val="7BA4369C"/>
    <w:rsid w:val="7BA71440"/>
    <w:rsid w:val="7BAE696E"/>
    <w:rsid w:val="7BAF3C86"/>
    <w:rsid w:val="7BC23E12"/>
    <w:rsid w:val="7BC45CF4"/>
    <w:rsid w:val="7BC92A6F"/>
    <w:rsid w:val="7BD36780"/>
    <w:rsid w:val="7BD4048E"/>
    <w:rsid w:val="7BD968AC"/>
    <w:rsid w:val="7BDE524C"/>
    <w:rsid w:val="7BE908F3"/>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4A5A50"/>
    <w:rsid w:val="7C4B681D"/>
    <w:rsid w:val="7C4C575E"/>
    <w:rsid w:val="7C640974"/>
    <w:rsid w:val="7C643EF7"/>
    <w:rsid w:val="7C690B20"/>
    <w:rsid w:val="7C724EAE"/>
    <w:rsid w:val="7C780AD5"/>
    <w:rsid w:val="7C7A14F2"/>
    <w:rsid w:val="7C7E2FFC"/>
    <w:rsid w:val="7C7F038C"/>
    <w:rsid w:val="7C867154"/>
    <w:rsid w:val="7C8A49AA"/>
    <w:rsid w:val="7C8F78D5"/>
    <w:rsid w:val="7C9427B3"/>
    <w:rsid w:val="7C9E5A77"/>
    <w:rsid w:val="7CAD2B44"/>
    <w:rsid w:val="7CB74F4A"/>
    <w:rsid w:val="7CB80138"/>
    <w:rsid w:val="7CB838AF"/>
    <w:rsid w:val="7CBE6F50"/>
    <w:rsid w:val="7CC639C6"/>
    <w:rsid w:val="7CC96839"/>
    <w:rsid w:val="7CCC3CFE"/>
    <w:rsid w:val="7CCD12D3"/>
    <w:rsid w:val="7CD505D1"/>
    <w:rsid w:val="7CD534FD"/>
    <w:rsid w:val="7CD6692A"/>
    <w:rsid w:val="7CE215AC"/>
    <w:rsid w:val="7CE25B4A"/>
    <w:rsid w:val="7CE3422B"/>
    <w:rsid w:val="7CE5443B"/>
    <w:rsid w:val="7CE76B7F"/>
    <w:rsid w:val="7CED09D9"/>
    <w:rsid w:val="7CF436AD"/>
    <w:rsid w:val="7CF87323"/>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C05A8"/>
    <w:rsid w:val="7DED1348"/>
    <w:rsid w:val="7DEE71DF"/>
    <w:rsid w:val="7DF66186"/>
    <w:rsid w:val="7E007B1A"/>
    <w:rsid w:val="7E0A5EA4"/>
    <w:rsid w:val="7E0A72D5"/>
    <w:rsid w:val="7E0B3C08"/>
    <w:rsid w:val="7E1C2B95"/>
    <w:rsid w:val="7E1E3CF4"/>
    <w:rsid w:val="7E212526"/>
    <w:rsid w:val="7E262B03"/>
    <w:rsid w:val="7E2E765A"/>
    <w:rsid w:val="7E324C10"/>
    <w:rsid w:val="7E324D32"/>
    <w:rsid w:val="7E3B7336"/>
    <w:rsid w:val="7E3D35D7"/>
    <w:rsid w:val="7E466A84"/>
    <w:rsid w:val="7E472FFE"/>
    <w:rsid w:val="7E4A6379"/>
    <w:rsid w:val="7E5248E3"/>
    <w:rsid w:val="7E5A2EA0"/>
    <w:rsid w:val="7E66305F"/>
    <w:rsid w:val="7E6854DB"/>
    <w:rsid w:val="7E6C43B3"/>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C63C5"/>
    <w:rsid w:val="7F9E0C2E"/>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sz w:val="21"/>
      <w:szCs w:val="21"/>
    </w:rPr>
  </w:style>
  <w:style w:type="character" w:styleId="8">
    <w:name w:val="FollowedHyperlink"/>
    <w:basedOn w:val="6"/>
    <w:qFormat/>
    <w:uiPriority w:val="0"/>
    <w:rPr>
      <w:color w:val="4D7AD8"/>
      <w:u w:val="none"/>
    </w:rPr>
  </w:style>
  <w:style w:type="character" w:styleId="9">
    <w:name w:val="HTML Definition"/>
    <w:basedOn w:val="6"/>
    <w:qFormat/>
    <w:uiPriority w:val="0"/>
    <w:rPr>
      <w:i/>
      <w:bdr w:val="single" w:color="D9D9D9" w:sz="6" w:space="0"/>
      <w:shd w:val="clear" w:fill="FFFFFF"/>
    </w:rPr>
  </w:style>
  <w:style w:type="character" w:styleId="10">
    <w:name w:val="Hyperlink"/>
    <w:basedOn w:val="6"/>
    <w:qFormat/>
    <w:uiPriority w:val="0"/>
    <w:rPr>
      <w:color w:val="0000FF"/>
      <w:u w:val="single"/>
    </w:rPr>
  </w:style>
  <w:style w:type="character" w:styleId="11">
    <w:name w:val="HTML Code"/>
    <w:basedOn w:val="6"/>
    <w:qFormat/>
    <w:uiPriority w:val="0"/>
    <w:rPr>
      <w:rFonts w:hint="default" w:ascii="Consolas" w:hAnsi="Consolas" w:eastAsia="Consolas" w:cs="Consolas"/>
      <w:sz w:val="21"/>
      <w:szCs w:val="21"/>
    </w:rPr>
  </w:style>
  <w:style w:type="character" w:styleId="12">
    <w:name w:val="HTML Keyboard"/>
    <w:basedOn w:val="6"/>
    <w:qFormat/>
    <w:uiPriority w:val="0"/>
    <w:rPr>
      <w:rFonts w:ascii="Consolas" w:hAnsi="Consolas" w:eastAsia="Consolas" w:cs="Consolas"/>
      <w:color w:val="666666"/>
      <w:sz w:val="21"/>
      <w:szCs w:val="21"/>
    </w:rPr>
  </w:style>
  <w:style w:type="character" w:styleId="13">
    <w:name w:val="HTML Sample"/>
    <w:basedOn w:val="6"/>
    <w:qFormat/>
    <w:uiPriority w:val="0"/>
    <w:rPr>
      <w:rFonts w:hint="default" w:ascii="Consolas" w:hAnsi="Consolas" w:eastAsia="Consolas" w:cs="Consolas"/>
      <w:sz w:val="21"/>
      <w:szCs w:val="21"/>
    </w:rPr>
  </w:style>
  <w:style w:type="table" w:styleId="15">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first-child2"/>
    <w:basedOn w:val="6"/>
    <w:qFormat/>
    <w:uiPriority w:val="0"/>
    <w:rPr>
      <w:sz w:val="13"/>
      <w:szCs w:val="13"/>
    </w:rPr>
  </w:style>
  <w:style w:type="character" w:customStyle="1" w:styleId="17">
    <w:name w:val="ant-select-tree-switcher"/>
    <w:basedOn w:val="6"/>
    <w:qFormat/>
    <w:uiPriority w:val="0"/>
  </w:style>
  <w:style w:type="character" w:customStyle="1" w:styleId="18">
    <w:name w:val="ant-tree-iconele"/>
    <w:basedOn w:val="6"/>
    <w:qFormat/>
    <w:uiPriority w:val="0"/>
  </w:style>
  <w:style w:type="character" w:customStyle="1" w:styleId="19">
    <w:name w:val="ant-radio+*"/>
    <w:basedOn w:val="6"/>
    <w:qFormat/>
    <w:uiPriority w:val="0"/>
  </w:style>
  <w:style w:type="character" w:customStyle="1" w:styleId="20">
    <w:name w:val="selected4"/>
    <w:basedOn w:val="6"/>
    <w:qFormat/>
    <w:uiPriority w:val="0"/>
  </w:style>
  <w:style w:type="character" w:customStyle="1" w:styleId="21">
    <w:name w:val="selected5"/>
    <w:basedOn w:val="6"/>
    <w:qFormat/>
    <w:uiPriority w:val="0"/>
  </w:style>
  <w:style w:type="character" w:customStyle="1" w:styleId="22">
    <w:name w:val="selected6"/>
    <w:basedOn w:val="6"/>
    <w:qFormat/>
    <w:uiPriority w:val="0"/>
  </w:style>
  <w:style w:type="character" w:customStyle="1" w:styleId="23">
    <w:name w:val="button"/>
    <w:basedOn w:val="6"/>
    <w:qFormat/>
    <w:uiPriority w:val="0"/>
  </w:style>
  <w:style w:type="character" w:customStyle="1" w:styleId="24">
    <w:name w:val="hover19"/>
    <w:basedOn w:val="6"/>
    <w:qFormat/>
    <w:uiPriority w:val="0"/>
    <w:rPr>
      <w:color w:val="009DFF"/>
    </w:rPr>
  </w:style>
  <w:style w:type="character" w:customStyle="1" w:styleId="25">
    <w:name w:val="hover20"/>
    <w:basedOn w:val="6"/>
    <w:qFormat/>
    <w:uiPriority w:val="0"/>
    <w:rPr>
      <w:color w:val="009DFF"/>
    </w:rPr>
  </w:style>
  <w:style w:type="character" w:customStyle="1" w:styleId="26">
    <w:name w:val="ant-tree-switcher"/>
    <w:basedOn w:val="6"/>
    <w:qFormat/>
    <w:uiPriority w:val="0"/>
  </w:style>
  <w:style w:type="character" w:customStyle="1" w:styleId="27">
    <w:name w:val="ant-select-tree-checkbox2"/>
    <w:basedOn w:val="6"/>
    <w:qFormat/>
    <w:uiPriority w:val="0"/>
  </w:style>
  <w:style w:type="character" w:customStyle="1" w:styleId="28">
    <w:name w:val="ant-select-tree-iconele"/>
    <w:basedOn w:val="6"/>
    <w:qFormat/>
    <w:uiPriority w:val="0"/>
  </w:style>
  <w:style w:type="character" w:customStyle="1" w:styleId="29">
    <w:name w:val="ant-tree-checkbox6"/>
    <w:basedOn w:val="6"/>
    <w:qFormat/>
    <w:uiPriority w:val="0"/>
  </w:style>
  <w:style w:type="character" w:customStyle="1" w:styleId="30">
    <w:name w:val="wea-thumbnails-doc-content-subtitle"/>
    <w:basedOn w:val="6"/>
    <w:qFormat/>
    <w:uiPriority w:val="0"/>
    <w:rPr>
      <w:color w:val="9A9A9A"/>
    </w:rPr>
  </w:style>
  <w:style w:type="character" w:customStyle="1" w:styleId="31">
    <w:name w:val="ht_nestinglevel"/>
    <w:basedOn w:val="6"/>
    <w:qFormat/>
    <w:uiPriority w:val="0"/>
  </w:style>
  <w:style w:type="character" w:customStyle="1" w:styleId="32">
    <w:name w:val="ht_nestinglevel_empty"/>
    <w:basedOn w:val="6"/>
    <w:qFormat/>
    <w:uiPriority w:val="0"/>
  </w:style>
  <w:style w:type="character" w:customStyle="1" w:styleId="33">
    <w:name w:val="colheader"/>
    <w:basedOn w:val="6"/>
    <w:qFormat/>
    <w:uiPriority w:val="0"/>
  </w:style>
  <w:style w:type="character" w:customStyle="1" w:styleId="34">
    <w:name w:val="ant-tree-checkbox"/>
    <w:basedOn w:val="6"/>
    <w:qFormat/>
    <w:uiPriority w:val="0"/>
  </w:style>
  <w:style w:type="character" w:customStyle="1" w:styleId="35">
    <w:name w:val="first-child"/>
    <w:basedOn w:val="6"/>
    <w:qFormat/>
    <w:uiPriority w:val="0"/>
    <w:rPr>
      <w:sz w:val="13"/>
      <w:szCs w:val="13"/>
    </w:rPr>
  </w:style>
  <w:style w:type="character" w:customStyle="1" w:styleId="36">
    <w:name w:val="ant-tree-switcher6"/>
    <w:basedOn w:val="6"/>
    <w:qFormat/>
    <w:uiPriority w:val="0"/>
  </w:style>
  <w:style w:type="character" w:customStyle="1" w:styleId="37">
    <w:name w:val="selected"/>
    <w:basedOn w:val="6"/>
    <w:qFormat/>
    <w:uiPriority w:val="0"/>
  </w:style>
  <w:style w:type="character" w:customStyle="1" w:styleId="38">
    <w:name w:val="selected1"/>
    <w:basedOn w:val="6"/>
    <w:qFormat/>
    <w:uiPriority w:val="0"/>
  </w:style>
  <w:style w:type="character" w:customStyle="1" w:styleId="39">
    <w:name w:val="selected2"/>
    <w:basedOn w:val="6"/>
    <w:qFormat/>
    <w:uiPriority w:val="0"/>
  </w:style>
  <w:style w:type="character" w:customStyle="1" w:styleId="40">
    <w:name w:val="ant-select-tree-checkbox"/>
    <w:basedOn w:val="6"/>
    <w:qFormat/>
    <w:uiPriority w:val="0"/>
  </w:style>
  <w:style w:type="character" w:customStyle="1" w:styleId="41">
    <w:name w:val="ant-tree-switcher5"/>
    <w:basedOn w:val="6"/>
    <w:qFormat/>
    <w:uiPriority w:val="0"/>
  </w:style>
  <w:style w:type="character" w:customStyle="1" w:styleId="42">
    <w:name w:val="selected7"/>
    <w:basedOn w:val="6"/>
    <w:qFormat/>
    <w:uiPriority w:val="0"/>
  </w:style>
  <w:style w:type="character" w:customStyle="1" w:styleId="43">
    <w:name w:val="selected11"/>
    <w:basedOn w:val="6"/>
    <w:qFormat/>
    <w:uiPriority w:val="0"/>
  </w:style>
  <w:style w:type="character" w:customStyle="1" w:styleId="44">
    <w:name w:val="selected12"/>
    <w:basedOn w:val="6"/>
    <w:qFormat/>
    <w:uiPriority w:val="0"/>
  </w:style>
  <w:style w:type="character" w:customStyle="1" w:styleId="45">
    <w:name w:val="selected13"/>
    <w:basedOn w:val="6"/>
    <w:qFormat/>
    <w:uiPriority w:val="0"/>
  </w:style>
  <w:style w:type="character" w:customStyle="1" w:styleId="46">
    <w:name w:val="selected8"/>
    <w:basedOn w:val="6"/>
    <w:qFormat/>
    <w:uiPriority w:val="0"/>
  </w:style>
  <w:style w:type="character" w:customStyle="1" w:styleId="47">
    <w:name w:val="selected9"/>
    <w:basedOn w:val="6"/>
    <w:qFormat/>
    <w:uiPriority w:val="0"/>
  </w:style>
  <w:style w:type="character" w:customStyle="1" w:styleId="48">
    <w:name w:val="selected10"/>
    <w:basedOn w:val="6"/>
    <w:qFormat/>
    <w:uiPriority w:val="0"/>
  </w:style>
  <w:style w:type="character" w:customStyle="1" w:styleId="49">
    <w:name w:val="hover18"/>
    <w:basedOn w:val="6"/>
    <w:qFormat/>
    <w:uiPriority w:val="0"/>
    <w:rPr>
      <w:color w:val="009DFF"/>
    </w:rPr>
  </w:style>
  <w:style w:type="character" w:customStyle="1" w:styleId="50">
    <w:name w:val="ant-tree-checkbox5"/>
    <w:basedOn w:val="6"/>
    <w:qFormat/>
    <w:uiPriority w:val="0"/>
  </w:style>
  <w:style w:type="character" w:customStyle="1" w:styleId="51">
    <w:name w:val="ant-tree-switcher4"/>
    <w:basedOn w:val="6"/>
    <w:qFormat/>
    <w:uiPriority w:val="0"/>
  </w:style>
  <w:style w:type="character" w:customStyle="1" w:styleId="52">
    <w:name w:val="hover"/>
    <w:basedOn w:val="6"/>
    <w:qFormat/>
    <w:uiPriority w:val="0"/>
    <w:rPr>
      <w:color w:val="009DFF"/>
    </w:rPr>
  </w:style>
  <w:style w:type="character" w:customStyle="1" w:styleId="53">
    <w:name w:val="hover1"/>
    <w:basedOn w:val="6"/>
    <w:qFormat/>
    <w:uiPriority w:val="0"/>
    <w:rPr>
      <w:color w:val="009DFF"/>
    </w:rPr>
  </w:style>
  <w:style w:type="character" w:customStyle="1" w:styleId="54">
    <w:name w:val="hover15"/>
    <w:basedOn w:val="6"/>
    <w:qFormat/>
    <w:uiPriority w:val="0"/>
    <w:rPr>
      <w:color w:val="009DFF"/>
    </w:rPr>
  </w:style>
  <w:style w:type="character" w:customStyle="1" w:styleId="55">
    <w:name w:val="hover16"/>
    <w:basedOn w:val="6"/>
    <w:qFormat/>
    <w:uiPriority w:val="0"/>
    <w:rPr>
      <w:color w:val="009DFF"/>
    </w:rPr>
  </w:style>
  <w:style w:type="character" w:customStyle="1" w:styleId="56">
    <w:name w:val="ant-tree-checkbox4"/>
    <w:basedOn w:val="6"/>
    <w:qFormat/>
    <w:uiPriority w:val="0"/>
  </w:style>
  <w:style w:type="character" w:customStyle="1" w:styleId="57">
    <w:name w:val="hover17"/>
    <w:basedOn w:val="6"/>
    <w:qFormat/>
    <w:uiPriority w:val="0"/>
    <w:rPr>
      <w:color w:val="009DFF"/>
    </w:rPr>
  </w:style>
  <w:style w:type="character" w:customStyle="1" w:styleId="58">
    <w:name w:val="hover14"/>
    <w:basedOn w:val="6"/>
    <w:qFormat/>
    <w:uiPriority w:val="0"/>
    <w:rPr>
      <w:color w:val="009DFF"/>
    </w:rPr>
  </w:style>
  <w:style w:type="character" w:customStyle="1" w:styleId="59">
    <w:name w:val="hover13"/>
    <w:basedOn w:val="6"/>
    <w:qFormat/>
    <w:uiPriority w:val="0"/>
    <w:rPr>
      <w:color w:val="009DF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79</TotalTime>
  <ScaleCrop>false</ScaleCrop>
  <LinksUpToDate>false</LinksUpToDate>
  <CharactersWithSpaces>0</CharactersWithSpaces>
  <Application>WPS Office_10.8.2.7058_F1E327BC-269C-435d-A152-05C5408002CA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2024-08-09T08:53:31Z</cp:lastPrinted>
  <dcterms:modified xsi:type="dcterms:W3CDTF">2024-08-09T09:04:57Z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2052-10.8.2.7058</vt:lpwstr>
  </property>
  <property fmtid="{D5CDD505-2E9C-101B-9397-08002B2CF9AE}" pid="3" name="ICV">
    <vt:lpwstr>2AFE29251F2D47119EA111B2B617C6AF_13</vt:lpwstr>
  </property>
</Properties>
</file>