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240" w:lineRule="auto"/>
        <w:jc w:val="center"/>
        <w:textAlignment w:val="auto"/>
        <w:outlineLvl w:val="0"/>
        <w:rPr>
          <w:rFonts w:hint="default" w:ascii="Times New Roman" w:hAnsi="Times New Roman" w:eastAsia="宋体" w:cs="Times New Roman"/>
          <w:b/>
          <w:color w:val="FF0000"/>
          <w:spacing w:val="-119"/>
          <w:kern w:val="36"/>
          <w:sz w:val="144"/>
          <w:szCs w:val="144"/>
        </w:rPr>
      </w:pPr>
      <w:r>
        <w:rPr>
          <w:rFonts w:hint="default" w:ascii="Times New Roman" w:hAnsi="Times New Roman" w:eastAsia="经典行楷简" w:cs="Times New Roman"/>
          <w:b/>
          <w:color w:val="1F497D"/>
          <w:spacing w:val="-119"/>
          <w:kern w:val="36"/>
          <w:sz w:val="144"/>
          <w:szCs w:val="144"/>
          <w14:textFill>
            <w14:solidFill>
              <w14:srgbClr w14:val="1F497D">
                <w14:lumMod w14:val="60000"/>
                <w14:lumOff w14:val="40000"/>
              </w14:srgbClr>
            </w14:solidFill>
          </w14:textFill>
        </w:rPr>
        <w:t>江苏贸促周讯</w:t>
      </w:r>
    </w:p>
    <w:p>
      <w:pPr>
        <w:keepNext w:val="0"/>
        <w:keepLines w:val="0"/>
        <w:pageBreakBefore w:val="0"/>
        <w:widowControl/>
        <w:kinsoku/>
        <w:wordWrap/>
        <w:overflowPunct/>
        <w:topLinePunct w:val="0"/>
        <w:autoSpaceDE/>
        <w:autoSpaceDN/>
        <w:bidi w:val="0"/>
        <w:adjustRightInd/>
        <w:snapToGrid/>
        <w:spacing w:line="460" w:lineRule="exact"/>
        <w:jc w:val="center"/>
        <w:textAlignment w:val="auto"/>
        <w:outlineLvl w:val="0"/>
        <w:rPr>
          <w:rFonts w:hint="default" w:ascii="Times New Roman" w:hAnsi="Times New Roman" w:eastAsia="经典行楷简" w:cs="Times New Roman"/>
          <w:b w:val="0"/>
          <w:bCs/>
          <w:color w:val="2E75B6" w:themeColor="accent1" w:themeShade="BF"/>
          <w:kern w:val="36"/>
          <w:sz w:val="44"/>
          <w:szCs w:val="44"/>
        </w:rPr>
      </w:pPr>
      <w:r>
        <w:rPr>
          <w:rFonts w:hint="default" w:ascii="Times New Roman" w:hAnsi="Times New Roman" w:eastAsia="经典行楷简" w:cs="Times New Roman"/>
          <w:b w:val="0"/>
          <w:bCs/>
          <w:color w:val="2E75B6" w:themeColor="accent1" w:themeShade="BF"/>
          <w:kern w:val="36"/>
          <w:sz w:val="44"/>
          <w:szCs w:val="44"/>
        </w:rPr>
        <w:t>202</w:t>
      </w:r>
      <w:r>
        <w:rPr>
          <w:rFonts w:hint="default" w:ascii="Times New Roman" w:hAnsi="Times New Roman" w:eastAsia="经典行楷简" w:cs="Times New Roman"/>
          <w:b w:val="0"/>
          <w:bCs/>
          <w:color w:val="2E75B6" w:themeColor="accent1" w:themeShade="BF"/>
          <w:kern w:val="36"/>
          <w:sz w:val="44"/>
          <w:szCs w:val="44"/>
          <w:lang w:val="en-US" w:eastAsia="zh-CN"/>
        </w:rPr>
        <w:t>4</w:t>
      </w:r>
      <w:r>
        <w:rPr>
          <w:rFonts w:hint="default" w:ascii="Times New Roman" w:hAnsi="Times New Roman" w:eastAsia="经典行楷简" w:cs="Times New Roman"/>
          <w:b w:val="0"/>
          <w:bCs/>
          <w:color w:val="2E75B6" w:themeColor="accent1" w:themeShade="BF"/>
          <w:kern w:val="36"/>
          <w:sz w:val="44"/>
          <w:szCs w:val="44"/>
        </w:rPr>
        <w:t>年第</w:t>
      </w:r>
      <w:r>
        <w:rPr>
          <w:rFonts w:hint="eastAsia" w:ascii="Times New Roman" w:hAnsi="Times New Roman" w:eastAsia="经典行楷简" w:cs="Times New Roman"/>
          <w:b w:val="0"/>
          <w:bCs/>
          <w:color w:val="2E75B6" w:themeColor="accent1" w:themeShade="BF"/>
          <w:kern w:val="36"/>
          <w:sz w:val="44"/>
          <w:szCs w:val="44"/>
          <w:lang w:val="en-US" w:eastAsia="zh-CN"/>
        </w:rPr>
        <w:t>16</w:t>
      </w:r>
      <w:r>
        <w:rPr>
          <w:rFonts w:hint="default" w:ascii="Times New Roman" w:hAnsi="Times New Roman" w:eastAsia="经典行楷简" w:cs="Times New Roman"/>
          <w:b w:val="0"/>
          <w:bCs/>
          <w:color w:val="2E75B6" w:themeColor="accent1" w:themeShade="BF"/>
          <w:kern w:val="36"/>
          <w:sz w:val="44"/>
          <w:szCs w:val="44"/>
        </w:rPr>
        <w:t>期</w:t>
      </w:r>
    </w:p>
    <w:p>
      <w:pPr>
        <w:keepNext w:val="0"/>
        <w:keepLines w:val="0"/>
        <w:pageBreakBefore w:val="0"/>
        <w:widowControl/>
        <w:kinsoku/>
        <w:wordWrap/>
        <w:overflowPunct/>
        <w:topLinePunct w:val="0"/>
        <w:autoSpaceDE/>
        <w:autoSpaceDN/>
        <w:bidi w:val="0"/>
        <w:adjustRightInd/>
        <w:snapToGrid/>
        <w:spacing w:line="460" w:lineRule="exact"/>
        <w:jc w:val="center"/>
        <w:textAlignment w:val="auto"/>
        <w:outlineLvl w:val="0"/>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pPr>
      <w:r>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t>（</w:t>
      </w:r>
      <w:r>
        <w:rPr>
          <w:rFonts w:hint="default" w:ascii="Times New Roman" w:hAnsi="Times New Roman" w:eastAsia="经典行楷简" w:cs="Times New Roman"/>
          <w:b w:val="0"/>
          <w:bCs/>
          <w:color w:val="2E75B5" w:themeColor="accent1" w:themeShade="BF"/>
          <w:kern w:val="36"/>
          <w:sz w:val="44"/>
          <w:szCs w:val="44"/>
          <w14:textFill>
            <w14:gradFill>
              <w14:gsLst>
                <w14:gs w14:pos="0">
                  <w14:srgbClr w14:val="FE4444"/>
                </w14:gs>
                <w14:gs w14:pos="100000">
                  <w14:srgbClr w14:val="832B2B"/>
                </w14:gs>
              </w14:gsLst>
              <w14:lin w14:scaled="0"/>
            </w14:gradFill>
          </w14:textFill>
        </w:rPr>
        <w:t>总第</w:t>
      </w:r>
      <w:r>
        <w:rPr>
          <w:rFonts w:hint="default" w:ascii="Times New Roman" w:hAnsi="Times New Roman" w:eastAsia="经典行楷简" w:cs="Times New Roman"/>
          <w:b w:val="0"/>
          <w:bCs/>
          <w:color w:val="2E75B5" w:themeColor="accent1" w:themeShade="BF"/>
          <w:kern w:val="36"/>
          <w:sz w:val="44"/>
          <w:szCs w:val="44"/>
          <w:lang w:val="en-US" w:eastAsia="zh-CN"/>
          <w14:textFill>
            <w14:gradFill>
              <w14:gsLst>
                <w14:gs w14:pos="0">
                  <w14:srgbClr w14:val="FE4444"/>
                </w14:gs>
                <w14:gs w14:pos="100000">
                  <w14:srgbClr w14:val="832B2B"/>
                </w14:gs>
              </w14:gsLst>
              <w14:lin w14:scaled="0"/>
            </w14:gradFill>
          </w14:textFill>
        </w:rPr>
        <w:t>2</w:t>
      </w:r>
      <w:r>
        <w:rPr>
          <w:rFonts w:hint="eastAsia" w:ascii="Times New Roman" w:hAnsi="Times New Roman" w:eastAsia="经典行楷简" w:cs="Times New Roman"/>
          <w:b w:val="0"/>
          <w:bCs/>
          <w:color w:val="2E75B5" w:themeColor="accent1" w:themeShade="BF"/>
          <w:kern w:val="36"/>
          <w:sz w:val="44"/>
          <w:szCs w:val="44"/>
          <w:lang w:val="en-US" w:eastAsia="zh-CN"/>
          <w14:textFill>
            <w14:gradFill>
              <w14:gsLst>
                <w14:gs w14:pos="0">
                  <w14:srgbClr w14:val="FE4444"/>
                </w14:gs>
                <w14:gs w14:pos="100000">
                  <w14:srgbClr w14:val="832B2B"/>
                </w14:gs>
              </w14:gsLst>
              <w14:lin w14:scaled="0"/>
            </w14:gradFill>
          </w14:textFill>
        </w:rPr>
        <w:t>62</w:t>
      </w:r>
      <w:r>
        <w:rPr>
          <w:rFonts w:hint="default" w:ascii="Times New Roman" w:hAnsi="Times New Roman" w:eastAsia="经典行楷简" w:cs="Times New Roman"/>
          <w:b w:val="0"/>
          <w:bCs/>
          <w:color w:val="2E75B5" w:themeColor="accent1" w:themeShade="BF"/>
          <w:kern w:val="36"/>
          <w:sz w:val="44"/>
          <w:szCs w:val="44"/>
          <w14:textFill>
            <w14:gradFill>
              <w14:gsLst>
                <w14:gs w14:pos="0">
                  <w14:srgbClr w14:val="FE4444"/>
                </w14:gs>
                <w14:gs w14:pos="100000">
                  <w14:srgbClr w14:val="832B2B"/>
                </w14:gs>
              </w14:gsLst>
              <w14:lin w14:scaled="0"/>
            </w14:gradFill>
          </w14:textFill>
        </w:rPr>
        <w:t>期</w:t>
      </w:r>
      <w:r>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t>）</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528" w:firstLineChars="200"/>
        <w:jc w:val="both"/>
        <w:textAlignment w:val="auto"/>
        <w:outlineLvl w:val="1"/>
        <w:rPr>
          <w:rFonts w:hint="default" w:ascii="Times New Roman" w:hAnsi="Times New Roman" w:eastAsia="方正楷体_GBK" w:cs="Times New Roman"/>
          <w:b w:val="0"/>
          <w:bCs/>
          <w:color w:val="000000"/>
          <w:kern w:val="36"/>
          <w:sz w:val="36"/>
          <w:szCs w:val="36"/>
          <w:highlight w:val="none"/>
        </w:rPr>
      </w:pPr>
      <w:r>
        <w:rPr>
          <w:rFonts w:hint="default" w:ascii="Times New Roman" w:hAnsi="Times New Roman" w:eastAsia="方正黑体_GBK" w:cs="Times New Roman"/>
          <w:b w:val="0"/>
          <w:bCs/>
          <w:color w:val="1F497D"/>
          <w:kern w:val="36"/>
          <w:sz w:val="28"/>
          <w:szCs w:val="28"/>
          <w:highlight w:val="none"/>
          <w14:textFill>
            <w14:solidFill>
              <w14:srgbClr w14:val="1F497D">
                <w14:lumMod w14:val="60000"/>
                <w14:lumOff w14:val="40000"/>
              </w14:srgbClr>
            </w14:solidFill>
          </w14:textFill>
        </w:rPr>
        <w:t>江苏省贸促会发展研究部</w:t>
      </w:r>
      <w:r>
        <w:rPr>
          <w:rFonts w:hint="default" w:ascii="Times New Roman" w:hAnsi="Times New Roman" w:eastAsia="宋体" w:cs="Times New Roman"/>
          <w:b/>
          <w:color w:val="00B0F0"/>
          <w:kern w:val="36"/>
          <w:sz w:val="28"/>
          <w:szCs w:val="28"/>
          <w:highlight w:val="none"/>
        </w:rPr>
        <w:t xml:space="preserve"> </w:t>
      </w:r>
      <w:r>
        <w:rPr>
          <w:rFonts w:hint="default" w:ascii="Times New Roman" w:hAnsi="Times New Roman" w:eastAsia="宋体" w:cs="Times New Roman"/>
          <w:b/>
          <w:color w:val="000000"/>
          <w:kern w:val="36"/>
          <w:sz w:val="36"/>
          <w:szCs w:val="36"/>
          <w:highlight w:val="none"/>
        </w:rPr>
        <w:t xml:space="preserve">        </w:t>
      </w:r>
      <w:r>
        <w:rPr>
          <w:rFonts w:hint="default" w:ascii="Times New Roman" w:hAnsi="Times New Roman" w:eastAsia="方正楷体_GBK" w:cs="Times New Roman"/>
          <w:b w:val="0"/>
          <w:bCs/>
          <w:color w:val="000000"/>
          <w:kern w:val="36"/>
          <w:sz w:val="36"/>
          <w:szCs w:val="36"/>
          <w:highlight w:val="none"/>
        </w:rPr>
        <w:t xml:space="preserve"> </w:t>
      </w:r>
      <w:r>
        <w:rPr>
          <w:rFonts w:hint="default" w:ascii="Times New Roman" w:hAnsi="Times New Roman" w:eastAsia="方正楷体_GBK" w:cs="Times New Roman"/>
          <w:b w:val="0"/>
          <w:bCs/>
          <w:color w:val="000000"/>
          <w:kern w:val="36"/>
          <w:sz w:val="36"/>
          <w:szCs w:val="36"/>
          <w:highlight w:val="none"/>
          <w:lang w:val="en-US"/>
        </w:rPr>
        <w:t xml:space="preserve">     </w:t>
      </w:r>
      <w:r>
        <w:rPr>
          <w:rFonts w:hint="default" w:ascii="Times New Roman" w:hAnsi="Times New Roman" w:eastAsia="方正楷体_GBK" w:cs="Times New Roman"/>
          <w:b w:val="0"/>
          <w:bCs/>
          <w:color w:val="000000"/>
          <w:kern w:val="36"/>
          <w:sz w:val="32"/>
          <w:szCs w:val="32"/>
          <w:highlight w:val="none"/>
          <w:lang w:val="en-US"/>
        </w:rPr>
        <w:t xml:space="preserve"> </w:t>
      </w:r>
      <w:r>
        <w:rPr>
          <w:rFonts w:hint="default" w:ascii="Times New Roman" w:hAnsi="Times New Roman" w:eastAsia="方正楷体_GBK" w:cs="Times New Roman"/>
          <w:b w:val="0"/>
          <w:bCs/>
          <w:color w:val="000000"/>
          <w:kern w:val="36"/>
          <w:sz w:val="32"/>
          <w:szCs w:val="32"/>
          <w:highlight w:val="none"/>
        </w:rPr>
        <w:t>202</w:t>
      </w:r>
      <w:r>
        <w:rPr>
          <w:rFonts w:hint="default" w:ascii="Times New Roman" w:hAnsi="Times New Roman" w:eastAsia="方正楷体_GBK" w:cs="Times New Roman"/>
          <w:b w:val="0"/>
          <w:bCs/>
          <w:color w:val="000000"/>
          <w:kern w:val="36"/>
          <w:sz w:val="32"/>
          <w:szCs w:val="32"/>
          <w:highlight w:val="none"/>
          <w:lang w:val="en-US" w:eastAsia="zh-CN"/>
        </w:rPr>
        <w:t>4</w:t>
      </w:r>
      <w:r>
        <w:rPr>
          <w:rFonts w:hint="default" w:ascii="Times New Roman" w:hAnsi="Times New Roman" w:eastAsia="方正楷体_GBK" w:cs="Times New Roman"/>
          <w:b w:val="0"/>
          <w:bCs/>
          <w:color w:val="000000"/>
          <w:kern w:val="36"/>
          <w:sz w:val="32"/>
          <w:szCs w:val="32"/>
          <w:highlight w:val="none"/>
        </w:rPr>
        <w:t>年</w:t>
      </w:r>
      <w:r>
        <w:rPr>
          <w:rFonts w:hint="eastAsia" w:ascii="Times New Roman" w:hAnsi="Times New Roman" w:eastAsia="方正楷体_GBK" w:cs="Times New Roman"/>
          <w:b w:val="0"/>
          <w:bCs/>
          <w:color w:val="000000"/>
          <w:kern w:val="36"/>
          <w:sz w:val="32"/>
          <w:szCs w:val="32"/>
          <w:highlight w:val="none"/>
          <w:lang w:val="en-US" w:eastAsia="zh-CN"/>
        </w:rPr>
        <w:t>4</w:t>
      </w:r>
      <w:r>
        <w:rPr>
          <w:rFonts w:hint="default" w:ascii="Times New Roman" w:hAnsi="Times New Roman" w:eastAsia="方正楷体_GBK" w:cs="Times New Roman"/>
          <w:b w:val="0"/>
          <w:bCs/>
          <w:color w:val="000000"/>
          <w:kern w:val="36"/>
          <w:sz w:val="32"/>
          <w:szCs w:val="32"/>
          <w:highlight w:val="none"/>
        </w:rPr>
        <w:t>月</w:t>
      </w:r>
      <w:r>
        <w:rPr>
          <w:rFonts w:hint="eastAsia" w:ascii="Times New Roman" w:hAnsi="Times New Roman" w:eastAsia="方正楷体_GBK" w:cs="Times New Roman"/>
          <w:b w:val="0"/>
          <w:bCs/>
          <w:color w:val="000000"/>
          <w:kern w:val="36"/>
          <w:sz w:val="32"/>
          <w:szCs w:val="32"/>
          <w:highlight w:val="none"/>
          <w:lang w:val="en-US" w:eastAsia="zh-CN"/>
        </w:rPr>
        <w:t>19</w:t>
      </w:r>
      <w:r>
        <w:rPr>
          <w:rFonts w:hint="default" w:ascii="Times New Roman" w:hAnsi="Times New Roman" w:eastAsia="方正楷体_GBK" w:cs="Times New Roman"/>
          <w:b w:val="0"/>
          <w:bCs/>
          <w:color w:val="000000"/>
          <w:kern w:val="36"/>
          <w:sz w:val="32"/>
          <w:szCs w:val="32"/>
          <w:highlight w:val="none"/>
        </w:rPr>
        <w:t>日</w:t>
      </w:r>
    </w:p>
    <w:p>
      <w:pPr>
        <w:keepNext w:val="0"/>
        <w:keepLines w:val="0"/>
        <w:pageBreakBefore w:val="0"/>
        <w:widowControl/>
        <w:shd w:val="clear" w:color="auto" w:fill="FFFFFF"/>
        <w:kinsoku/>
        <w:wordWrap/>
        <w:overflowPunct/>
        <w:topLinePunct w:val="0"/>
        <w:autoSpaceDE/>
        <w:autoSpaceDN/>
        <w:bidi w:val="0"/>
        <w:adjustRightInd/>
        <w:snapToGrid/>
        <w:spacing w:before="435" w:beforeLines="150" w:after="210" w:line="240" w:lineRule="auto"/>
        <w:ind w:firstLine="424" w:firstLineChars="100"/>
        <w:jc w:val="both"/>
        <w:textAlignment w:val="auto"/>
        <w:outlineLvl w:val="1"/>
        <w:rPr>
          <w:rFonts w:hint="default" w:ascii="Times New Roman" w:hAnsi="Times New Roman" w:eastAsia="方正黑体_GBK" w:cs="Times New Roman"/>
          <w:b w:val="0"/>
          <w:bCs/>
          <w:color w:val="000000"/>
          <w:kern w:val="36"/>
          <w:sz w:val="44"/>
          <w:szCs w:val="44"/>
          <w:lang w:val="en-US" w:eastAsia="zh-CN"/>
        </w:rPr>
      </w:pPr>
      <w:r>
        <w:rPr>
          <w:rFonts w:hint="default" w:ascii="Times New Roman" w:hAnsi="Times New Roman" w:eastAsia="方正黑体_GBK" w:cs="Times New Roman"/>
          <w:b w:val="0"/>
          <w:bCs/>
          <w:color w:val="000000"/>
          <w:kern w:val="36"/>
          <w:sz w:val="44"/>
          <w:szCs w:val="44"/>
        </w:rPr>
        <w:t>目录</w:t>
      </w:r>
      <w:r>
        <w:rPr>
          <w:rFonts w:hint="default" w:ascii="Times New Roman" w:hAnsi="Times New Roman" w:eastAsia="方正黑体_GBK" w:cs="Times New Roman"/>
          <w:b w:val="0"/>
          <w:bCs/>
          <w:color w:val="000000"/>
          <w:kern w:val="36"/>
          <w:sz w:val="28"/>
          <w:szCs w:val="28"/>
          <w:lang w:val="en-US"/>
        </w:rPr>
        <w:t>CONTENTS</w:t>
      </w:r>
      <w:r>
        <w:rPr>
          <w:rFonts w:hint="default" w:ascii="Times New Roman" w:hAnsi="Times New Roman" w:eastAsia="方正黑体_GBK" w:cs="Times New Roman"/>
          <w:b w:val="0"/>
          <w:bCs/>
          <w:color w:val="000000"/>
          <w:kern w:val="36"/>
          <w:sz w:val="32"/>
          <w:szCs w:val="32"/>
          <w:lang w:val="en-US"/>
        </w:rPr>
        <w:t xml:space="preserve">  </w:t>
      </w:r>
      <w:r>
        <w:rPr>
          <w:rFonts w:hint="default" w:ascii="Times New Roman" w:hAnsi="Times New Roman" w:eastAsia="方正黑体_GBK" w:cs="Times New Roman"/>
          <w:b w:val="0"/>
          <w:bCs/>
          <w:color w:val="000000"/>
          <w:kern w:val="36"/>
          <w:sz w:val="24"/>
          <w:szCs w:val="24"/>
          <w:lang w:val="en-US" w:eastAsia="zh-CN"/>
        </w:rPr>
        <w:t>——————————————内部资料 免费赠阅</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宋体" w:cs="Times New Roman"/>
          <w:b/>
          <w:color w:val="FF0000"/>
          <w:kern w:val="36"/>
          <w:sz w:val="24"/>
          <w:szCs w:val="24"/>
          <w:lang w:val="en-US" w:eastAsia="zh-CN"/>
        </w:rPr>
      </w:pPr>
      <w:r>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 xml:space="preserve">全球市场资讯 </w:t>
      </w:r>
      <w:r>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t>•</w:t>
      </w:r>
      <w:r>
        <w:rPr>
          <w:rFonts w:hint="default" w:ascii="Times New Roman" w:hAnsi="Times New Roman" w:eastAsia="宋体" w:cs="Times New Roman"/>
          <w:b/>
          <w:color w:val="00B0F0"/>
          <w:kern w:val="36"/>
          <w:sz w:val="36"/>
          <w:szCs w:val="36"/>
          <w:lang w:val="en-US" w:eastAsia="zh-CN"/>
        </w:rPr>
        <w:t xml:space="preserve"> </w:t>
      </w:r>
      <w:r>
        <w:rPr>
          <w:rFonts w:hint="default" w:ascii="Times New Roman" w:hAnsi="Times New Roman" w:eastAsia="宋体" w:cs="Times New Roman"/>
          <w:b/>
          <w:color w:val="FF0000"/>
          <w:kern w:val="36"/>
          <w:sz w:val="24"/>
          <w:szCs w:val="24"/>
          <w:lang w:val="en-US"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left="550" w:leftChars="284" w:firstLine="0" w:firstLineChars="0"/>
        <w:contextualSpacing/>
        <w:jc w:val="left"/>
        <w:textAlignment w:val="auto"/>
        <w:outlineLvl w:val="1"/>
        <w:rPr>
          <w:rFonts w:hint="default" w:ascii="Times New Roman" w:hAnsi="Times New Roman" w:eastAsia="方正楷体_GBK" w:cs="Times New Roman"/>
          <w:b/>
          <w:bCs w:val="0"/>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 xml:space="preserve">4月12日（周五）美国3月PPI略好于预期，部分缓解了对CPI的焦虑 </w:t>
      </w:r>
      <w:r>
        <w:rPr>
          <w:rFonts w:hint="default" w:ascii="Times New Roman" w:hAnsi="Times New Roman" w:eastAsia="方正楷体_GBK" w:cs="Times New Roman"/>
          <w:b/>
          <w:bCs w:val="0"/>
          <w:color w:val="auto"/>
          <w:spacing w:val="0"/>
          <w:kern w:val="36"/>
          <w:sz w:val="30"/>
          <w:szCs w:val="30"/>
          <w:lang w:val="en-US" w:eastAsia="zh-CN"/>
        </w:rPr>
        <w:t>/ 01</w:t>
      </w:r>
    </w:p>
    <w:p>
      <w:pPr>
        <w:keepNext w:val="0"/>
        <w:keepLines w:val="0"/>
        <w:pageBreakBefore w:val="0"/>
        <w:widowControl w:val="0"/>
        <w:kinsoku/>
        <w:wordWrap/>
        <w:overflowPunct/>
        <w:topLinePunct w:val="0"/>
        <w:autoSpaceDE/>
        <w:autoSpaceDN/>
        <w:bidi w:val="0"/>
        <w:adjustRightInd/>
        <w:snapToGrid/>
        <w:ind w:left="550" w:leftChars="284" w:firstLine="0" w:firstLineChars="0"/>
        <w:jc w:val="left"/>
        <w:textAlignment w:val="auto"/>
        <w:rPr>
          <w:rFonts w:hint="eastAsia"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4</w:t>
      </w:r>
      <w:r>
        <w:rPr>
          <w:rFonts w:hint="default" w:ascii="Times New Roman" w:hAnsi="Times New Roman" w:eastAsia="方正楷体_GBK" w:cs="Times New Roman"/>
          <w:b/>
          <w:bCs w:val="0"/>
          <w:color w:val="auto"/>
          <w:spacing w:val="0"/>
          <w:kern w:val="36"/>
          <w:sz w:val="30"/>
          <w:szCs w:val="30"/>
          <w:lang w:val="en-US" w:eastAsia="zh-CN"/>
        </w:rPr>
        <w:t>月</w:t>
      </w:r>
      <w:r>
        <w:rPr>
          <w:rFonts w:hint="eastAsia" w:ascii="Times New Roman" w:hAnsi="Times New Roman" w:eastAsia="方正楷体_GBK" w:cs="Times New Roman"/>
          <w:b/>
          <w:bCs w:val="0"/>
          <w:color w:val="auto"/>
          <w:spacing w:val="0"/>
          <w:kern w:val="36"/>
          <w:sz w:val="30"/>
          <w:szCs w:val="30"/>
          <w:lang w:val="en-US" w:eastAsia="zh-CN"/>
        </w:rPr>
        <w:t>13</w:t>
      </w:r>
      <w:r>
        <w:rPr>
          <w:rFonts w:hint="default" w:ascii="Times New Roman" w:hAnsi="Times New Roman" w:eastAsia="方正楷体_GBK" w:cs="Times New Roman"/>
          <w:b/>
          <w:bCs w:val="0"/>
          <w:color w:val="auto"/>
          <w:spacing w:val="0"/>
          <w:kern w:val="36"/>
          <w:sz w:val="30"/>
          <w:szCs w:val="30"/>
          <w:lang w:val="en-US" w:eastAsia="zh-CN"/>
        </w:rPr>
        <w:t>日（周</w:t>
      </w:r>
      <w:r>
        <w:rPr>
          <w:rFonts w:hint="eastAsia" w:ascii="Times New Roman" w:hAnsi="Times New Roman" w:eastAsia="方正楷体_GBK" w:cs="Times New Roman"/>
          <w:b/>
          <w:bCs w:val="0"/>
          <w:color w:val="auto"/>
          <w:spacing w:val="0"/>
          <w:kern w:val="36"/>
          <w:sz w:val="30"/>
          <w:szCs w:val="30"/>
          <w:lang w:val="en-US" w:eastAsia="zh-CN"/>
        </w:rPr>
        <w:t>六</w:t>
      </w:r>
      <w:r>
        <w:rPr>
          <w:rFonts w:hint="default" w:ascii="Times New Roman" w:hAnsi="Times New Roman" w:eastAsia="方正楷体_GBK" w:cs="Times New Roman"/>
          <w:b/>
          <w:bCs w:val="0"/>
          <w:color w:val="auto"/>
          <w:spacing w:val="0"/>
          <w:kern w:val="36"/>
          <w:sz w:val="30"/>
          <w:szCs w:val="30"/>
          <w:lang w:val="en-US" w:eastAsia="zh-CN"/>
        </w:rPr>
        <w:t>）</w:t>
      </w:r>
      <w:r>
        <w:rPr>
          <w:rFonts w:hint="eastAsia" w:ascii="Times New Roman" w:hAnsi="Times New Roman" w:eastAsia="方正楷体_GBK" w:cs="Times New Roman"/>
          <w:b/>
          <w:bCs w:val="0"/>
          <w:color w:val="auto"/>
          <w:spacing w:val="0"/>
          <w:kern w:val="36"/>
          <w:sz w:val="30"/>
          <w:szCs w:val="30"/>
          <w:lang w:val="en-US" w:eastAsia="zh-CN"/>
        </w:rPr>
        <w:t xml:space="preserve"> </w:t>
      </w:r>
      <w:r>
        <w:rPr>
          <w:rFonts w:hint="eastAsia" w:ascii="Times New Roman" w:hAnsi="Times New Roman" w:eastAsia="方正楷体_GBK" w:cs="Times New Roman"/>
          <w:b/>
          <w:color w:val="auto"/>
          <w:spacing w:val="0"/>
          <w:kern w:val="36"/>
          <w:sz w:val="30"/>
          <w:szCs w:val="30"/>
          <w:lang w:val="en-US" w:eastAsia="zh-CN"/>
        </w:rPr>
        <w:t>美国国债还能被视为全球最安全的金融资</w:t>
      </w:r>
    </w:p>
    <w:p>
      <w:pPr>
        <w:keepNext w:val="0"/>
        <w:keepLines w:val="0"/>
        <w:pageBreakBefore w:val="0"/>
        <w:widowControl w:val="0"/>
        <w:kinsoku/>
        <w:wordWrap/>
        <w:overflowPunct/>
        <w:topLinePunct w:val="0"/>
        <w:autoSpaceDE/>
        <w:autoSpaceDN/>
        <w:bidi w:val="0"/>
        <w:adjustRightInd/>
        <w:snapToGrid/>
        <w:ind w:left="550" w:leftChars="284" w:firstLine="0" w:firstLineChars="0"/>
        <w:jc w:val="left"/>
        <w:textAlignment w:val="auto"/>
        <w:rPr>
          <w:rFonts w:hint="default" w:ascii="Times New Roman" w:hAnsi="Times New Roman" w:eastAsia="方正楷体_GBK" w:cs="Times New Roman"/>
          <w:b/>
          <w:bCs w:val="0"/>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产吗？</w:t>
      </w:r>
      <w:r>
        <w:rPr>
          <w:rFonts w:hint="default" w:ascii="Times New Roman" w:hAnsi="Times New Roman" w:eastAsia="方正楷体_GBK" w:cs="Times New Roman"/>
          <w:b/>
          <w:bCs w:val="0"/>
          <w:color w:val="auto"/>
          <w:spacing w:val="0"/>
          <w:kern w:val="36"/>
          <w:sz w:val="30"/>
          <w:szCs w:val="30"/>
          <w:lang w:val="en-US" w:eastAsia="zh-CN"/>
        </w:rPr>
        <w:t>/</w:t>
      </w:r>
      <w:r>
        <w:rPr>
          <w:rFonts w:hint="eastAsia" w:ascii="Times New Roman" w:hAnsi="Times New Roman" w:eastAsia="方正楷体_GBK" w:cs="Times New Roman"/>
          <w:b/>
          <w:bCs w:val="0"/>
          <w:color w:val="auto"/>
          <w:spacing w:val="0"/>
          <w:kern w:val="36"/>
          <w:sz w:val="30"/>
          <w:szCs w:val="30"/>
          <w:lang w:val="en-US" w:eastAsia="zh-CN"/>
        </w:rPr>
        <w:t xml:space="preserve"> </w:t>
      </w:r>
      <w:r>
        <w:rPr>
          <w:rFonts w:hint="default" w:ascii="Times New Roman" w:hAnsi="Times New Roman" w:eastAsia="方正楷体_GBK" w:cs="Times New Roman"/>
          <w:b/>
          <w:bCs w:val="0"/>
          <w:color w:val="auto"/>
          <w:spacing w:val="0"/>
          <w:kern w:val="36"/>
          <w:sz w:val="30"/>
          <w:szCs w:val="30"/>
          <w:lang w:val="en-US" w:eastAsia="zh-CN"/>
        </w:rPr>
        <w:t>0</w:t>
      </w:r>
      <w:r>
        <w:rPr>
          <w:rFonts w:hint="eastAsia" w:ascii="Times New Roman" w:hAnsi="Times New Roman" w:eastAsia="方正楷体_GBK" w:cs="Times New Roman"/>
          <w:b/>
          <w:bCs w:val="0"/>
          <w:color w:val="auto"/>
          <w:spacing w:val="0"/>
          <w:kern w:val="36"/>
          <w:sz w:val="30"/>
          <w:szCs w:val="30"/>
          <w:lang w:val="en-US" w:eastAsia="zh-CN"/>
        </w:rPr>
        <w:t>2</w:t>
      </w:r>
    </w:p>
    <w:p>
      <w:pPr>
        <w:keepNext w:val="0"/>
        <w:keepLines w:val="0"/>
        <w:pageBreakBefore w:val="0"/>
        <w:widowControl w:val="0"/>
        <w:kinsoku/>
        <w:wordWrap/>
        <w:overflowPunct/>
        <w:topLinePunct w:val="0"/>
        <w:autoSpaceDE/>
        <w:autoSpaceDN/>
        <w:bidi w:val="0"/>
        <w:adjustRightInd/>
        <w:snapToGrid/>
        <w:ind w:left="550" w:leftChars="284" w:firstLine="0" w:firstLineChars="0"/>
        <w:jc w:val="left"/>
        <w:textAlignment w:val="auto"/>
        <w:rPr>
          <w:rFonts w:hint="default" w:ascii="Times New Roman" w:hAnsi="Times New Roman" w:eastAsia="方正楷体_GBK" w:cs="Times New Roman"/>
          <w:b/>
          <w:bCs w:val="0"/>
          <w:color w:val="auto"/>
          <w:spacing w:val="0"/>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4</w:t>
      </w:r>
      <w:r>
        <w:rPr>
          <w:rFonts w:hint="default" w:ascii="Times New Roman" w:hAnsi="Times New Roman" w:eastAsia="方正楷体_GBK" w:cs="Times New Roman"/>
          <w:b/>
          <w:bCs w:val="0"/>
          <w:color w:val="auto"/>
          <w:spacing w:val="0"/>
          <w:kern w:val="36"/>
          <w:sz w:val="30"/>
          <w:szCs w:val="30"/>
          <w:lang w:val="en-US" w:eastAsia="zh-CN"/>
        </w:rPr>
        <w:t>月</w:t>
      </w:r>
      <w:r>
        <w:rPr>
          <w:rFonts w:hint="eastAsia" w:ascii="Times New Roman" w:hAnsi="Times New Roman" w:eastAsia="方正楷体_GBK" w:cs="Times New Roman"/>
          <w:b/>
          <w:bCs w:val="0"/>
          <w:color w:val="auto"/>
          <w:spacing w:val="0"/>
          <w:kern w:val="36"/>
          <w:sz w:val="30"/>
          <w:szCs w:val="30"/>
          <w:lang w:val="en-US" w:eastAsia="zh-CN"/>
        </w:rPr>
        <w:t>14</w:t>
      </w:r>
      <w:r>
        <w:rPr>
          <w:rFonts w:hint="default" w:ascii="Times New Roman" w:hAnsi="Times New Roman" w:eastAsia="方正楷体_GBK" w:cs="Times New Roman"/>
          <w:b/>
          <w:bCs w:val="0"/>
          <w:color w:val="auto"/>
          <w:spacing w:val="0"/>
          <w:kern w:val="36"/>
          <w:sz w:val="30"/>
          <w:szCs w:val="30"/>
          <w:lang w:val="en-US" w:eastAsia="zh-CN"/>
        </w:rPr>
        <w:t>日（周</w:t>
      </w:r>
      <w:r>
        <w:rPr>
          <w:rFonts w:hint="eastAsia" w:ascii="Times New Roman" w:hAnsi="Times New Roman" w:eastAsia="方正楷体_GBK" w:cs="Times New Roman"/>
          <w:b/>
          <w:bCs w:val="0"/>
          <w:color w:val="auto"/>
          <w:spacing w:val="0"/>
          <w:kern w:val="36"/>
          <w:sz w:val="30"/>
          <w:szCs w:val="30"/>
          <w:lang w:val="en-US" w:eastAsia="zh-CN"/>
        </w:rPr>
        <w:t>日</w:t>
      </w:r>
      <w:r>
        <w:rPr>
          <w:rFonts w:hint="default" w:ascii="Times New Roman" w:hAnsi="Times New Roman" w:eastAsia="方正楷体_GBK" w:cs="Times New Roman"/>
          <w:b/>
          <w:bCs w:val="0"/>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 xml:space="preserve">欧央行有意先降为敬，遥祝美联储好自为之 </w:t>
      </w:r>
      <w:r>
        <w:rPr>
          <w:rFonts w:hint="default" w:ascii="Times New Roman" w:hAnsi="Times New Roman" w:eastAsia="方正楷体_GBK" w:cs="Times New Roman"/>
          <w:b/>
          <w:bCs w:val="0"/>
          <w:color w:val="auto"/>
          <w:spacing w:val="0"/>
          <w:kern w:val="36"/>
          <w:sz w:val="30"/>
          <w:szCs w:val="30"/>
          <w:lang w:val="en-US" w:eastAsia="zh-CN"/>
        </w:rPr>
        <w:t>/ 0</w:t>
      </w:r>
      <w:r>
        <w:rPr>
          <w:rFonts w:hint="eastAsia" w:ascii="Times New Roman" w:hAnsi="Times New Roman" w:eastAsia="方正楷体_GBK" w:cs="Times New Roman"/>
          <w:b/>
          <w:bCs w:val="0"/>
          <w:color w:val="auto"/>
          <w:spacing w:val="0"/>
          <w:kern w:val="36"/>
          <w:sz w:val="30"/>
          <w:szCs w:val="30"/>
          <w:lang w:val="en-US" w:eastAsia="zh-CN"/>
        </w:rPr>
        <w:t>4</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568" w:firstLineChars="200"/>
        <w:jc w:val="left"/>
        <w:textAlignment w:val="auto"/>
        <w:rPr>
          <w:rFonts w:hint="eastAsia"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4</w:t>
      </w:r>
      <w:r>
        <w:rPr>
          <w:rFonts w:hint="default" w:ascii="Times New Roman" w:hAnsi="Times New Roman" w:eastAsia="方正楷体_GBK" w:cs="Times New Roman"/>
          <w:b/>
          <w:bCs w:val="0"/>
          <w:color w:val="auto"/>
          <w:spacing w:val="0"/>
          <w:kern w:val="36"/>
          <w:sz w:val="30"/>
          <w:szCs w:val="30"/>
          <w:lang w:val="en-US" w:eastAsia="zh-CN"/>
        </w:rPr>
        <w:t>月</w:t>
      </w:r>
      <w:r>
        <w:rPr>
          <w:rFonts w:hint="eastAsia" w:ascii="Times New Roman" w:hAnsi="Times New Roman" w:eastAsia="方正楷体_GBK" w:cs="Times New Roman"/>
          <w:b/>
          <w:bCs w:val="0"/>
          <w:color w:val="auto"/>
          <w:spacing w:val="0"/>
          <w:kern w:val="36"/>
          <w:sz w:val="30"/>
          <w:szCs w:val="30"/>
          <w:lang w:val="en-US" w:eastAsia="zh-CN"/>
        </w:rPr>
        <w:t>15</w:t>
      </w:r>
      <w:r>
        <w:rPr>
          <w:rFonts w:hint="default" w:ascii="Times New Roman" w:hAnsi="Times New Roman" w:eastAsia="方正楷体_GBK" w:cs="Times New Roman"/>
          <w:b/>
          <w:bCs w:val="0"/>
          <w:color w:val="auto"/>
          <w:spacing w:val="0"/>
          <w:kern w:val="36"/>
          <w:sz w:val="30"/>
          <w:szCs w:val="30"/>
          <w:lang w:val="en-US" w:eastAsia="zh-CN"/>
        </w:rPr>
        <w:t>日（周</w:t>
      </w:r>
      <w:r>
        <w:rPr>
          <w:rFonts w:hint="eastAsia" w:ascii="Times New Roman" w:hAnsi="Times New Roman" w:eastAsia="方正楷体_GBK" w:cs="Times New Roman"/>
          <w:b/>
          <w:bCs w:val="0"/>
          <w:color w:val="auto"/>
          <w:spacing w:val="0"/>
          <w:kern w:val="36"/>
          <w:sz w:val="30"/>
          <w:szCs w:val="30"/>
          <w:lang w:val="en-US" w:eastAsia="zh-CN"/>
        </w:rPr>
        <w:t>一</w:t>
      </w:r>
      <w:r>
        <w:rPr>
          <w:rFonts w:hint="default" w:ascii="Times New Roman" w:hAnsi="Times New Roman" w:eastAsia="方正楷体_GBK" w:cs="Times New Roman"/>
          <w:b/>
          <w:bCs w:val="0"/>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英国2月产出显著增长，德法3月通胀持续</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568" w:firstLineChars="200"/>
        <w:jc w:val="left"/>
        <w:textAlignment w:val="auto"/>
        <w:rPr>
          <w:rFonts w:hint="default"/>
          <w:b/>
          <w:bCs/>
          <w:color w:val="0000FF"/>
          <w:highlight w:val="yellow"/>
          <w:lang w:val="en-US" w:eastAsia="zh-CN"/>
        </w:rPr>
      </w:pPr>
      <w:r>
        <w:rPr>
          <w:rFonts w:hint="eastAsia" w:ascii="Times New Roman" w:hAnsi="Times New Roman" w:eastAsia="方正楷体_GBK" w:cs="Times New Roman"/>
          <w:b/>
          <w:color w:val="auto"/>
          <w:spacing w:val="0"/>
          <w:kern w:val="36"/>
          <w:sz w:val="30"/>
          <w:szCs w:val="30"/>
          <w:lang w:val="en-US" w:eastAsia="zh-CN"/>
        </w:rPr>
        <w:t xml:space="preserve">回落 </w:t>
      </w:r>
      <w:r>
        <w:rPr>
          <w:rFonts w:hint="default" w:ascii="Times New Roman" w:hAnsi="Times New Roman" w:eastAsia="方正楷体_GBK" w:cs="Times New Roman"/>
          <w:b/>
          <w:bCs w:val="0"/>
          <w:color w:val="auto"/>
          <w:spacing w:val="0"/>
          <w:kern w:val="36"/>
          <w:sz w:val="30"/>
          <w:szCs w:val="30"/>
          <w:lang w:val="en-US" w:eastAsia="zh-CN"/>
        </w:rPr>
        <w:t>/ 0</w:t>
      </w:r>
      <w:r>
        <w:rPr>
          <w:rFonts w:hint="eastAsia" w:ascii="Times New Roman" w:hAnsi="Times New Roman" w:eastAsia="方正楷体_GBK" w:cs="Times New Roman"/>
          <w:b/>
          <w:bCs w:val="0"/>
          <w:color w:val="auto"/>
          <w:spacing w:val="0"/>
          <w:kern w:val="36"/>
          <w:sz w:val="30"/>
          <w:szCs w:val="30"/>
          <w:lang w:val="en-US" w:eastAsia="zh-CN"/>
        </w:rPr>
        <w:t>6</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568" w:firstLineChars="200"/>
        <w:jc w:val="left"/>
        <w:textAlignment w:val="auto"/>
        <w:rPr>
          <w:rFonts w:hint="default" w:ascii="Times New Roman" w:hAnsi="Times New Roman" w:eastAsia="方正楷体_GBK" w:cs="Times New Roman"/>
          <w:b/>
          <w:bCs w:val="0"/>
          <w:color w:val="auto"/>
          <w:spacing w:val="0"/>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4</w:t>
      </w:r>
      <w:r>
        <w:rPr>
          <w:rFonts w:hint="default" w:ascii="Times New Roman" w:hAnsi="Times New Roman" w:eastAsia="方正楷体_GBK" w:cs="Times New Roman"/>
          <w:b/>
          <w:bCs w:val="0"/>
          <w:color w:val="auto"/>
          <w:spacing w:val="0"/>
          <w:kern w:val="36"/>
          <w:sz w:val="30"/>
          <w:szCs w:val="30"/>
          <w:lang w:val="en-US" w:eastAsia="zh-CN"/>
        </w:rPr>
        <w:t>月</w:t>
      </w:r>
      <w:r>
        <w:rPr>
          <w:rFonts w:hint="eastAsia" w:ascii="Times New Roman" w:hAnsi="Times New Roman" w:eastAsia="方正楷体_GBK" w:cs="Times New Roman"/>
          <w:b/>
          <w:bCs w:val="0"/>
          <w:color w:val="auto"/>
          <w:spacing w:val="0"/>
          <w:kern w:val="36"/>
          <w:sz w:val="30"/>
          <w:szCs w:val="30"/>
          <w:lang w:val="en-US" w:eastAsia="zh-CN"/>
        </w:rPr>
        <w:t>16</w:t>
      </w:r>
      <w:r>
        <w:rPr>
          <w:rFonts w:hint="default" w:ascii="Times New Roman" w:hAnsi="Times New Roman" w:eastAsia="方正楷体_GBK" w:cs="Times New Roman"/>
          <w:b/>
          <w:bCs w:val="0"/>
          <w:color w:val="auto"/>
          <w:spacing w:val="0"/>
          <w:kern w:val="36"/>
          <w:sz w:val="30"/>
          <w:szCs w:val="30"/>
          <w:lang w:val="en-US" w:eastAsia="zh-CN"/>
        </w:rPr>
        <w:t>日（周</w:t>
      </w:r>
      <w:r>
        <w:rPr>
          <w:rFonts w:hint="eastAsia" w:ascii="Times New Roman" w:hAnsi="Times New Roman" w:eastAsia="方正楷体_GBK" w:cs="Times New Roman"/>
          <w:b/>
          <w:bCs w:val="0"/>
          <w:color w:val="auto"/>
          <w:spacing w:val="0"/>
          <w:kern w:val="36"/>
          <w:sz w:val="30"/>
          <w:szCs w:val="30"/>
          <w:lang w:val="en-US" w:eastAsia="zh-CN"/>
        </w:rPr>
        <w:t>二</w:t>
      </w:r>
      <w:r>
        <w:rPr>
          <w:rFonts w:hint="default" w:ascii="Times New Roman" w:hAnsi="Times New Roman" w:eastAsia="方正楷体_GBK" w:cs="Times New Roman"/>
          <w:b/>
          <w:bCs w:val="0"/>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 xml:space="preserve">德国总理访华，美国通胀顽固 </w:t>
      </w:r>
      <w:r>
        <w:rPr>
          <w:rFonts w:hint="default" w:ascii="Times New Roman" w:hAnsi="Times New Roman" w:eastAsia="方正楷体_GBK" w:cs="Times New Roman"/>
          <w:b/>
          <w:bCs w:val="0"/>
          <w:color w:val="auto"/>
          <w:spacing w:val="0"/>
          <w:kern w:val="36"/>
          <w:sz w:val="30"/>
          <w:szCs w:val="30"/>
          <w:lang w:val="en-US" w:eastAsia="zh-CN"/>
        </w:rPr>
        <w:t>/ 0</w:t>
      </w:r>
      <w:r>
        <w:rPr>
          <w:rFonts w:hint="eastAsia" w:ascii="Times New Roman" w:hAnsi="Times New Roman" w:eastAsia="方正楷体_GBK" w:cs="Times New Roman"/>
          <w:b/>
          <w:bCs w:val="0"/>
          <w:color w:val="auto"/>
          <w:spacing w:val="0"/>
          <w:kern w:val="36"/>
          <w:sz w:val="30"/>
          <w:szCs w:val="30"/>
          <w:lang w:val="en-US" w:eastAsia="zh-CN"/>
        </w:rPr>
        <w:t>8</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568" w:firstLineChars="200"/>
        <w:jc w:val="left"/>
        <w:textAlignment w:val="auto"/>
        <w:rPr>
          <w:rFonts w:hint="default" w:ascii="Times New Roman" w:hAnsi="Times New Roman" w:eastAsia="方正楷体_GBK" w:cs="Times New Roman"/>
          <w:b/>
          <w:bCs w:val="0"/>
          <w:color w:val="auto"/>
          <w:spacing w:val="0"/>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4</w:t>
      </w:r>
      <w:r>
        <w:rPr>
          <w:rFonts w:hint="default" w:ascii="Times New Roman" w:hAnsi="Times New Roman" w:eastAsia="方正楷体_GBK" w:cs="Times New Roman"/>
          <w:b/>
          <w:bCs w:val="0"/>
          <w:color w:val="auto"/>
          <w:spacing w:val="0"/>
          <w:kern w:val="36"/>
          <w:sz w:val="30"/>
          <w:szCs w:val="30"/>
          <w:lang w:val="en-US" w:eastAsia="zh-CN"/>
        </w:rPr>
        <w:t>月</w:t>
      </w:r>
      <w:r>
        <w:rPr>
          <w:rFonts w:hint="eastAsia" w:ascii="Times New Roman" w:hAnsi="Times New Roman" w:eastAsia="方正楷体_GBK" w:cs="Times New Roman"/>
          <w:b/>
          <w:bCs w:val="0"/>
          <w:color w:val="auto"/>
          <w:spacing w:val="0"/>
          <w:kern w:val="36"/>
          <w:sz w:val="30"/>
          <w:szCs w:val="30"/>
          <w:lang w:val="en-US" w:eastAsia="zh-CN"/>
        </w:rPr>
        <w:t>17</w:t>
      </w:r>
      <w:r>
        <w:rPr>
          <w:rFonts w:hint="default" w:ascii="Times New Roman" w:hAnsi="Times New Roman" w:eastAsia="方正楷体_GBK" w:cs="Times New Roman"/>
          <w:b/>
          <w:bCs w:val="0"/>
          <w:color w:val="auto"/>
          <w:spacing w:val="0"/>
          <w:kern w:val="36"/>
          <w:sz w:val="30"/>
          <w:szCs w:val="30"/>
          <w:lang w:val="en-US" w:eastAsia="zh-CN"/>
        </w:rPr>
        <w:t>日（周</w:t>
      </w:r>
      <w:r>
        <w:rPr>
          <w:rFonts w:hint="eastAsia" w:ascii="Times New Roman" w:hAnsi="Times New Roman" w:eastAsia="方正楷体_GBK" w:cs="Times New Roman"/>
          <w:b/>
          <w:bCs w:val="0"/>
          <w:color w:val="auto"/>
          <w:spacing w:val="0"/>
          <w:kern w:val="36"/>
          <w:sz w:val="30"/>
          <w:szCs w:val="30"/>
          <w:lang w:val="en-US" w:eastAsia="zh-CN"/>
        </w:rPr>
        <w:t>三</w:t>
      </w:r>
      <w:r>
        <w:rPr>
          <w:rFonts w:hint="default" w:ascii="Times New Roman" w:hAnsi="Times New Roman" w:eastAsia="方正楷体_GBK" w:cs="Times New Roman"/>
          <w:b/>
          <w:bCs w:val="0"/>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 xml:space="preserve">美联储官员态度转鹰，但量化紧缩料将放缓 </w:t>
      </w:r>
      <w:r>
        <w:rPr>
          <w:rFonts w:hint="default" w:ascii="Times New Roman" w:hAnsi="Times New Roman" w:eastAsia="方正楷体_GBK" w:cs="Times New Roman"/>
          <w:b/>
          <w:bCs w:val="0"/>
          <w:color w:val="auto"/>
          <w:spacing w:val="0"/>
          <w:kern w:val="36"/>
          <w:sz w:val="30"/>
          <w:szCs w:val="30"/>
          <w:lang w:val="en-US" w:eastAsia="zh-CN"/>
        </w:rPr>
        <w:t xml:space="preserve">/ </w:t>
      </w:r>
      <w:r>
        <w:rPr>
          <w:rFonts w:hint="eastAsia" w:ascii="Times New Roman" w:hAnsi="Times New Roman" w:eastAsia="方正楷体_GBK" w:cs="Times New Roman"/>
          <w:b/>
          <w:bCs w:val="0"/>
          <w:color w:val="auto"/>
          <w:spacing w:val="0"/>
          <w:kern w:val="36"/>
          <w:sz w:val="30"/>
          <w:szCs w:val="30"/>
          <w:lang w:val="en-US" w:eastAsia="zh-CN"/>
        </w:rPr>
        <w:t>11</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568" w:firstLineChars="200"/>
        <w:jc w:val="left"/>
        <w:textAlignment w:val="auto"/>
        <w:rPr>
          <w:rFonts w:hint="eastAsia"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4</w:t>
      </w:r>
      <w:r>
        <w:rPr>
          <w:rFonts w:hint="default" w:ascii="Times New Roman" w:hAnsi="Times New Roman" w:eastAsia="方正楷体_GBK" w:cs="Times New Roman"/>
          <w:b/>
          <w:bCs w:val="0"/>
          <w:color w:val="auto"/>
          <w:spacing w:val="0"/>
          <w:kern w:val="36"/>
          <w:sz w:val="30"/>
          <w:szCs w:val="30"/>
          <w:lang w:val="en-US" w:eastAsia="zh-CN"/>
        </w:rPr>
        <w:t>月</w:t>
      </w:r>
      <w:r>
        <w:rPr>
          <w:rFonts w:hint="eastAsia" w:ascii="Times New Roman" w:hAnsi="Times New Roman" w:eastAsia="方正楷体_GBK" w:cs="Times New Roman"/>
          <w:b/>
          <w:bCs w:val="0"/>
          <w:color w:val="auto"/>
          <w:spacing w:val="0"/>
          <w:kern w:val="36"/>
          <w:sz w:val="30"/>
          <w:szCs w:val="30"/>
          <w:lang w:val="en-US" w:eastAsia="zh-CN"/>
        </w:rPr>
        <w:t>18</w:t>
      </w:r>
      <w:r>
        <w:rPr>
          <w:rFonts w:hint="default" w:ascii="Times New Roman" w:hAnsi="Times New Roman" w:eastAsia="方正楷体_GBK" w:cs="Times New Roman"/>
          <w:b/>
          <w:bCs w:val="0"/>
          <w:color w:val="auto"/>
          <w:spacing w:val="0"/>
          <w:kern w:val="36"/>
          <w:sz w:val="30"/>
          <w:szCs w:val="30"/>
          <w:lang w:val="en-US" w:eastAsia="zh-CN"/>
        </w:rPr>
        <w:t>日（周</w:t>
      </w:r>
      <w:r>
        <w:rPr>
          <w:rFonts w:hint="eastAsia" w:ascii="Times New Roman" w:hAnsi="Times New Roman" w:eastAsia="方正楷体_GBK" w:cs="Times New Roman"/>
          <w:b/>
          <w:bCs w:val="0"/>
          <w:color w:val="auto"/>
          <w:spacing w:val="0"/>
          <w:kern w:val="36"/>
          <w:sz w:val="30"/>
          <w:szCs w:val="30"/>
          <w:lang w:val="en-US" w:eastAsia="zh-CN"/>
        </w:rPr>
        <w:t>四</w:t>
      </w:r>
      <w:r>
        <w:rPr>
          <w:rFonts w:hint="default" w:ascii="Times New Roman" w:hAnsi="Times New Roman" w:eastAsia="方正楷体_GBK" w:cs="Times New Roman"/>
          <w:b/>
          <w:bCs w:val="0"/>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英国经济数据喜忧参半，美国预算赤字扩大</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568" w:firstLineChars="200"/>
        <w:jc w:val="left"/>
        <w:textAlignment w:val="auto"/>
        <w:rPr>
          <w:rFonts w:hint="default" w:ascii="Times New Roman" w:hAnsi="Times New Roman" w:eastAsia="方正楷体_GBK" w:cs="Times New Roman"/>
          <w:b/>
          <w:bCs w:val="0"/>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 xml:space="preserve">不休 </w:t>
      </w:r>
      <w:r>
        <w:rPr>
          <w:rFonts w:hint="default" w:ascii="Times New Roman" w:hAnsi="Times New Roman" w:eastAsia="方正楷体_GBK" w:cs="Times New Roman"/>
          <w:b/>
          <w:bCs w:val="0"/>
          <w:color w:val="auto"/>
          <w:spacing w:val="0"/>
          <w:kern w:val="36"/>
          <w:sz w:val="30"/>
          <w:szCs w:val="30"/>
          <w:lang w:val="en-US" w:eastAsia="zh-CN"/>
        </w:rPr>
        <w:t xml:space="preserve">/ </w:t>
      </w:r>
      <w:r>
        <w:rPr>
          <w:rFonts w:hint="eastAsia" w:ascii="Times New Roman" w:hAnsi="Times New Roman" w:eastAsia="方正楷体_GBK" w:cs="Times New Roman"/>
          <w:b/>
          <w:bCs w:val="0"/>
          <w:color w:val="auto"/>
          <w:spacing w:val="0"/>
          <w:kern w:val="36"/>
          <w:sz w:val="30"/>
          <w:szCs w:val="30"/>
          <w:lang w:val="en-US" w:eastAsia="zh-CN"/>
        </w:rPr>
        <w:t>13</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bCs w:val="0"/>
          <w:color w:val="auto"/>
          <w:spacing w:val="0"/>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4</w:t>
      </w:r>
      <w:r>
        <w:rPr>
          <w:rFonts w:hint="default" w:ascii="Times New Roman" w:hAnsi="Times New Roman" w:eastAsia="方正楷体_GBK" w:cs="Times New Roman"/>
          <w:b/>
          <w:bCs w:val="0"/>
          <w:color w:val="auto"/>
          <w:spacing w:val="0"/>
          <w:kern w:val="36"/>
          <w:sz w:val="30"/>
          <w:szCs w:val="30"/>
          <w:lang w:val="en-US" w:eastAsia="zh-CN"/>
        </w:rPr>
        <w:t>月</w:t>
      </w:r>
      <w:r>
        <w:rPr>
          <w:rFonts w:hint="eastAsia" w:ascii="Times New Roman" w:hAnsi="Times New Roman" w:eastAsia="方正楷体_GBK" w:cs="Times New Roman"/>
          <w:b/>
          <w:bCs w:val="0"/>
          <w:color w:val="auto"/>
          <w:spacing w:val="0"/>
          <w:kern w:val="36"/>
          <w:sz w:val="30"/>
          <w:szCs w:val="30"/>
          <w:lang w:val="en-US" w:eastAsia="zh-CN"/>
        </w:rPr>
        <w:t>19</w:t>
      </w:r>
      <w:r>
        <w:rPr>
          <w:rFonts w:hint="default" w:ascii="Times New Roman" w:hAnsi="Times New Roman" w:eastAsia="方正楷体_GBK" w:cs="Times New Roman"/>
          <w:b/>
          <w:bCs w:val="0"/>
          <w:color w:val="auto"/>
          <w:spacing w:val="0"/>
          <w:kern w:val="36"/>
          <w:sz w:val="30"/>
          <w:szCs w:val="30"/>
          <w:lang w:val="en-US" w:eastAsia="zh-CN"/>
        </w:rPr>
        <w:t>日（周</w:t>
      </w:r>
      <w:r>
        <w:rPr>
          <w:rFonts w:hint="eastAsia" w:ascii="Times New Roman" w:hAnsi="Times New Roman" w:eastAsia="方正楷体_GBK" w:cs="Times New Roman"/>
          <w:b/>
          <w:bCs w:val="0"/>
          <w:color w:val="auto"/>
          <w:spacing w:val="0"/>
          <w:kern w:val="36"/>
          <w:sz w:val="30"/>
          <w:szCs w:val="30"/>
          <w:lang w:val="en-US" w:eastAsia="zh-CN"/>
        </w:rPr>
        <w:t>五</w:t>
      </w:r>
      <w:r>
        <w:rPr>
          <w:rFonts w:hint="default" w:ascii="Times New Roman" w:hAnsi="Times New Roman" w:eastAsia="方正楷体_GBK" w:cs="Times New Roman"/>
          <w:b/>
          <w:bCs w:val="0"/>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 xml:space="preserve">资金流入美元走强，就业市场稳健依旧 </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 xml:space="preserve"> </w:t>
      </w:r>
      <w:r>
        <w:rPr>
          <w:rFonts w:hint="eastAsia" w:ascii="Times New Roman" w:hAnsi="Times New Roman" w:eastAsia="方正楷体_GBK" w:cs="Times New Roman"/>
          <w:b/>
          <w:bCs w:val="0"/>
          <w:color w:val="auto"/>
          <w:spacing w:val="0"/>
          <w:kern w:val="36"/>
          <w:sz w:val="30"/>
          <w:szCs w:val="30"/>
          <w:lang w:val="en-US" w:eastAsia="zh-CN"/>
        </w:rPr>
        <w:t>15</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方正黑体_GBK" w:cs="Times New Roman"/>
          <w:b/>
          <w:color w:val="FFC000"/>
          <w:kern w:val="36"/>
          <w:sz w:val="28"/>
          <w:szCs w:val="28"/>
          <w:lang w:val="en-US" w:eastAsia="zh-CN"/>
        </w:rPr>
      </w:pPr>
      <w:r>
        <w:rPr>
          <w:rFonts w:hint="default" w:ascii="Times New Roman" w:hAnsi="Times New Roman" w:eastAsia="方正黑体_GBK"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江苏贸促动态</w:t>
      </w:r>
      <w:r>
        <w:rPr>
          <w:rFonts w:hint="default" w:ascii="Times New Roman" w:hAnsi="Times New Roman" w:eastAsia="方正黑体_GBK"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00B0F0"/>
          <w:kern w:val="36"/>
          <w:sz w:val="28"/>
          <w:szCs w:val="28"/>
          <w:lang w:val="en-US" w:eastAsia="zh-CN"/>
        </w:rPr>
        <w:t xml:space="preserve"> </w:t>
      </w:r>
      <w:r>
        <w:rPr>
          <w:rFonts w:hint="default" w:ascii="Times New Roman" w:hAnsi="Times New Roman" w:eastAsia="宋体" w:cs="Times New Roman"/>
          <w:b/>
          <w:color w:val="FF0000"/>
          <w:kern w:val="36"/>
          <w:sz w:val="24"/>
          <w:szCs w:val="24"/>
          <w:lang w:val="en-US"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bCs w:val="0"/>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 xml:space="preserve">省贸促会召开党纪学习教育部署会 </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 xml:space="preserve"> </w:t>
      </w:r>
      <w:r>
        <w:rPr>
          <w:rFonts w:hint="eastAsia" w:ascii="Times New Roman" w:hAnsi="Times New Roman" w:eastAsia="方正楷体_GBK" w:cs="Times New Roman"/>
          <w:b/>
          <w:bCs w:val="0"/>
          <w:color w:val="auto"/>
          <w:spacing w:val="0"/>
          <w:kern w:val="36"/>
          <w:sz w:val="30"/>
          <w:szCs w:val="30"/>
          <w:lang w:val="en-US" w:eastAsia="zh-CN"/>
        </w:rPr>
        <w:t>17</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bCs w:val="0"/>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 xml:space="preserve">省贸促会领导会见日本国际贸易促进协会理事长安田真人 </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 xml:space="preserve"> </w:t>
      </w:r>
      <w:r>
        <w:rPr>
          <w:rFonts w:hint="eastAsia" w:ascii="Times New Roman" w:hAnsi="Times New Roman" w:eastAsia="方正楷体_GBK" w:cs="Times New Roman"/>
          <w:b/>
          <w:bCs w:val="0"/>
          <w:color w:val="auto"/>
          <w:spacing w:val="0"/>
          <w:kern w:val="36"/>
          <w:sz w:val="30"/>
          <w:szCs w:val="30"/>
          <w:lang w:val="en-US" w:eastAsia="zh-CN"/>
        </w:rPr>
        <w:t>18</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bCs w:val="0"/>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 xml:space="preserve">江苏“智”造领航出海跨境主题交流活动在南京举行 </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 xml:space="preserve"> </w:t>
      </w:r>
      <w:r>
        <w:rPr>
          <w:rFonts w:hint="eastAsia" w:ascii="Times New Roman" w:hAnsi="Times New Roman" w:eastAsia="方正楷体_GBK" w:cs="Times New Roman"/>
          <w:b/>
          <w:bCs w:val="0"/>
          <w:color w:val="auto"/>
          <w:spacing w:val="0"/>
          <w:kern w:val="36"/>
          <w:sz w:val="30"/>
          <w:szCs w:val="30"/>
          <w:lang w:val="en-US" w:eastAsia="zh-CN"/>
        </w:rPr>
        <w:t>19</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 xml:space="preserve">中国贸促会发展研究部在江苏开展专题调研 </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 xml:space="preserve"> 19</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eastAsia"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 xml:space="preserve">省贸促会领导赴浙江、上海调研 </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 xml:space="preserve"> 20</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 xml:space="preserve">省贸促会领导带队走访南微医学科技股份有限公司 </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 xml:space="preserve"> 22</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 xml:space="preserve">省贸促会领导带队走访调研汇鸿中锦控股有限公司 </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 xml:space="preserve"> 23</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 xml:space="preserve">南京市贸促会带队参加第四届中国国际消费品博览会 </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 xml:space="preserve"> 23</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eastAsia"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南京市贸促会与中国欧洲经济技术合作协会欧盟工作委员会</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 xml:space="preserve">开展对接交流 </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 xml:space="preserve"> 24</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 xml:space="preserve">无锡市赵建军市长率队赴中国贸促会拜访任鸿斌会长 </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 xml:space="preserve"> 25</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 xml:space="preserve">“一带一路”无锡医疗器械经贸交流对接会举行 </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 xml:space="preserve"> 26</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eastAsia"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镇江市贸促会组织企业参加“中国镇江—乌兹别克斯坦花拉子模</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 xml:space="preserve">州经贸对接会” </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 xml:space="preserve"> 26</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eastAsia="方正黑体_GBK" w:cs="Times New Roman"/>
          <w:b/>
          <w:color w:val="FFC000"/>
          <w:kern w:val="36"/>
          <w:sz w:val="32"/>
          <w:szCs w:val="32"/>
          <w:lang w:val="en-US" w:eastAsia="zh-CN"/>
        </w:rPr>
      </w:pP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 xml:space="preserve">• 会员企业风采 • </w:t>
      </w:r>
      <w:r>
        <w:rPr>
          <w:rFonts w:hint="default" w:ascii="Times New Roman" w:hAnsi="Times New Roman" w:eastAsia="宋体" w:cs="Times New Roman"/>
          <w:b/>
          <w:color w:val="FF0000"/>
          <w:kern w:val="36"/>
          <w:sz w:val="32"/>
          <w:szCs w:val="32"/>
          <w:lang w:val="en-US"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 xml:space="preserve">江苏银行落地全省首单制造业设备更新贴息贷款 </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 xml:space="preserve"> 28 </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color w:val="auto"/>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汇鸿会展公司承接第四届消博会江苏展台设计搭建亮点纷呈</w:t>
      </w:r>
      <w:r>
        <w:rPr>
          <w:rFonts w:hint="eastAsia" w:ascii="Times New Roman" w:hAnsi="Times New Roman" w:eastAsia="方正楷体_GBK" w:cs="Times New Roman"/>
          <w:b/>
          <w:color w:val="auto"/>
          <w:spacing w:val="0"/>
          <w:kern w:val="36"/>
          <w:sz w:val="30"/>
          <w:szCs w:val="30"/>
          <w:lang w:val="en-US" w:eastAsia="zh-CN"/>
        </w:rPr>
        <w:t xml:space="preserve"> </w:t>
      </w:r>
      <w:r>
        <w:rPr>
          <w:rFonts w:hint="default" w:ascii="Times New Roman" w:hAnsi="Times New Roman" w:eastAsia="方正楷体_GBK" w:cs="Times New Roman"/>
          <w:b/>
          <w:color w:val="auto"/>
          <w:kern w:val="36"/>
          <w:sz w:val="30"/>
          <w:szCs w:val="30"/>
          <w:lang w:val="en-US" w:eastAsia="zh-CN"/>
        </w:rPr>
        <w:t>/</w:t>
      </w:r>
      <w:r>
        <w:rPr>
          <w:rFonts w:hint="eastAsia" w:ascii="Times New Roman" w:hAnsi="Times New Roman" w:eastAsia="方正楷体_GBK" w:cs="Times New Roman"/>
          <w:b/>
          <w:color w:val="auto"/>
          <w:kern w:val="36"/>
          <w:sz w:val="30"/>
          <w:szCs w:val="30"/>
          <w:lang w:val="en-US" w:eastAsia="zh-CN"/>
        </w:rPr>
        <w:t xml:space="preserve"> 29</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color w:val="auto"/>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又1200辆亚星客车奔赴沙特，持续彰显“中国力量”</w:t>
      </w:r>
      <w:r>
        <w:rPr>
          <w:rFonts w:hint="default" w:ascii="Times New Roman" w:hAnsi="Times New Roman" w:eastAsia="方正楷体_GBK" w:cs="Times New Roman"/>
          <w:b/>
          <w:color w:val="auto"/>
          <w:kern w:val="36"/>
          <w:sz w:val="30"/>
          <w:szCs w:val="30"/>
          <w:lang w:val="en-US" w:eastAsia="zh-CN"/>
        </w:rPr>
        <w:t>/</w:t>
      </w:r>
      <w:r>
        <w:rPr>
          <w:rFonts w:hint="eastAsia" w:ascii="Times New Roman" w:hAnsi="Times New Roman" w:eastAsia="方正楷体_GBK" w:cs="Times New Roman"/>
          <w:b/>
          <w:color w:val="auto"/>
          <w:kern w:val="36"/>
          <w:sz w:val="30"/>
          <w:szCs w:val="30"/>
          <w:lang w:val="en-US" w:eastAsia="zh-CN"/>
        </w:rPr>
        <w:t xml:space="preserve"> 30</w:t>
      </w:r>
      <w:bookmarkStart w:id="0" w:name="_GoBack"/>
      <w:bookmarkEnd w:id="0"/>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sectPr>
          <w:footerReference r:id="rId3" w:type="default"/>
          <w:pgSz w:w="11906" w:h="16838"/>
          <w:pgMar w:top="2098" w:right="1474" w:bottom="1984" w:left="1587" w:header="1417" w:footer="992" w:gutter="0"/>
          <w:pgBorders>
            <w:top w:val="single" w:color="F82206" w:sz="48" w:space="1"/>
            <w:left w:val="single" w:color="F82206" w:sz="48" w:space="4"/>
            <w:bottom w:val="single" w:color="F82206" w:sz="48" w:space="1"/>
            <w:right w:val="single" w:color="F82206" w:sz="48" w:space="4"/>
          </w:pgBorders>
          <w:pgNumType w:fmt="decimal" w:start="1"/>
          <w:cols w:space="425" w:num="1"/>
          <w:docGrid w:type="linesAndChars" w:linePitch="290" w:charSpace="-3420"/>
        </w:sectPr>
      </w:pP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pPr>
      <w:r>
        <w:rPr>
          <w:rFonts w:hint="default"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t>全球市场资讯</w:t>
      </w:r>
    </w:p>
    <w:p>
      <w:pPr>
        <w:ind w:left="0" w:leftChars="0" w:firstLine="0" w:firstLineChars="0"/>
        <w:jc w:val="left"/>
        <w:rPr>
          <w:rFonts w:hint="default" w:ascii="Times New Roman" w:hAnsi="Times New Roman" w:eastAsia="宋体" w:cs="Times New Roman"/>
          <w:b/>
          <w:bCs/>
          <w:color w:val="0000FF"/>
          <w:sz w:val="32"/>
          <w:szCs w:val="32"/>
          <w:highlight w:val="yellow"/>
          <w:lang w:val="en-US" w:eastAsia="zh-CN"/>
        </w:rPr>
      </w:pPr>
      <w:r>
        <w:rPr>
          <w:rFonts w:hint="eastAsia" w:ascii="Times New Roman" w:hAnsi="Times New Roman" w:eastAsia="方正小标宋_GBK" w:cs="Times New Roman"/>
          <w:b/>
          <w:bCs/>
          <w:color w:val="FF0000"/>
          <w:sz w:val="32"/>
          <w:szCs w:val="40"/>
          <w:highlight w:val="yellow"/>
          <w:lang w:val="en-US" w:eastAsia="zh-CN"/>
        </w:rPr>
        <w:t>4</w:t>
      </w:r>
      <w:r>
        <w:rPr>
          <w:rFonts w:hint="default" w:ascii="Times New Roman" w:hAnsi="Times New Roman" w:eastAsia="方正小标宋_GBK" w:cs="Times New Roman"/>
          <w:b/>
          <w:bCs/>
          <w:color w:val="FF0000"/>
          <w:sz w:val="32"/>
          <w:szCs w:val="40"/>
          <w:highlight w:val="yellow"/>
          <w:lang w:val="en-US" w:eastAsia="zh-CN"/>
        </w:rPr>
        <w:t>月</w:t>
      </w:r>
      <w:r>
        <w:rPr>
          <w:rFonts w:hint="eastAsia" w:ascii="Times New Roman" w:hAnsi="Times New Roman" w:eastAsia="方正小标宋_GBK" w:cs="Times New Roman"/>
          <w:b/>
          <w:bCs/>
          <w:color w:val="FF0000"/>
          <w:sz w:val="32"/>
          <w:szCs w:val="40"/>
          <w:highlight w:val="yellow"/>
          <w:lang w:val="en-US" w:eastAsia="zh-CN"/>
        </w:rPr>
        <w:t>12</w:t>
      </w:r>
      <w:r>
        <w:rPr>
          <w:rFonts w:hint="default" w:ascii="Times New Roman" w:hAnsi="Times New Roman" w:eastAsia="方正小标宋_GBK" w:cs="Times New Roman"/>
          <w:b/>
          <w:bCs/>
          <w:color w:val="FF0000"/>
          <w:sz w:val="32"/>
          <w:szCs w:val="40"/>
          <w:highlight w:val="yellow"/>
          <w:lang w:val="en-US" w:eastAsia="zh-CN"/>
        </w:rPr>
        <w:t>日</w:t>
      </w:r>
      <w:r>
        <w:rPr>
          <w:rFonts w:hint="default" w:ascii="Times New Roman" w:hAnsi="Times New Roman" w:eastAsia="方正魏碑简体" w:cs="Times New Roman"/>
          <w:b/>
          <w:bCs/>
          <w:color w:val="0000FF"/>
          <w:sz w:val="32"/>
          <w:szCs w:val="40"/>
          <w:highlight w:val="yellow"/>
          <w:lang w:val="en-US" w:eastAsia="zh-CN"/>
        </w:rPr>
        <w:t>（周</w:t>
      </w:r>
      <w:r>
        <w:rPr>
          <w:rFonts w:hint="eastAsia" w:ascii="Times New Roman" w:hAnsi="Times New Roman" w:eastAsia="方正魏碑简体" w:cs="Times New Roman"/>
          <w:b/>
          <w:bCs/>
          <w:color w:val="0000FF"/>
          <w:sz w:val="32"/>
          <w:szCs w:val="40"/>
          <w:highlight w:val="yellow"/>
          <w:lang w:val="en-US" w:eastAsia="zh-CN"/>
        </w:rPr>
        <w:t>五</w:t>
      </w:r>
      <w:r>
        <w:rPr>
          <w:rFonts w:hint="default" w:ascii="Times New Roman" w:hAnsi="Times New Roman" w:eastAsia="方正魏碑简体" w:cs="Times New Roman"/>
          <w:b/>
          <w:bCs/>
          <w:color w:val="0000FF"/>
          <w:sz w:val="32"/>
          <w:szCs w:val="40"/>
          <w:highlight w:val="yellow"/>
          <w:lang w:val="en-US" w:eastAsia="zh-CN"/>
        </w:rPr>
        <w:t>）</w:t>
      </w:r>
    </w:p>
    <w:p>
      <w:pPr>
        <w:jc w:val="center"/>
        <w:rPr>
          <w:rFonts w:hint="eastAsia" w:ascii="Times New Roman" w:hAnsi="Times New Roman" w:eastAsia="方正小标宋_GBK" w:cs="Times New Roman"/>
          <w:b/>
          <w:bCs/>
          <w:color w:val="0000FF"/>
          <w:sz w:val="36"/>
          <w:szCs w:val="44"/>
          <w:highlight w:val="yellow"/>
          <w:lang w:val="en-US" w:eastAsia="zh-CN"/>
        </w:rPr>
      </w:pPr>
      <w:r>
        <w:rPr>
          <w:rFonts w:hint="eastAsia" w:ascii="Times New Roman" w:hAnsi="Times New Roman" w:eastAsia="方正小标宋_GBK" w:cs="Times New Roman"/>
          <w:b/>
          <w:bCs/>
          <w:color w:val="0000FF"/>
          <w:sz w:val="36"/>
          <w:szCs w:val="44"/>
          <w:highlight w:val="yellow"/>
          <w:lang w:val="en-US" w:eastAsia="zh-CN"/>
        </w:rPr>
        <w:t>美国3月PPI略好于预期，部分缓解了对CPI的焦虑</w:t>
      </w:r>
    </w:p>
    <w:p>
      <w:pPr>
        <w:ind w:firstLine="608" w:firstLineChars="200"/>
        <w:jc w:val="left"/>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4月11日（周四），美国劳工统计局公布3月的PPI数据（见表格），数值低于预期，一定程度上缓解了市场对美国通胀上行的担忧。</w:t>
      </w:r>
    </w:p>
    <w:p>
      <w:pPr>
        <w:ind w:firstLine="608" w:firstLineChars="200"/>
        <w:jc w:val="left"/>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3月PPI同比上升2.1%，虽然创11个月来同比最大涨幅，但低于预期2.2%，其中某些分项的涨幅较为温和；而且，环比上升0.2%，也低于预期和前值。</w:t>
      </w:r>
    </w:p>
    <w:p>
      <w:pPr>
        <w:jc w:val="left"/>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drawing>
          <wp:inline distT="0" distB="0" distL="114300" distR="114300">
            <wp:extent cx="5614670" cy="1273175"/>
            <wp:effectExtent l="0" t="0" r="5080" b="3175"/>
            <wp:docPr id="1" name="图片 1" descr="微信截图_20240416144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截图_20240416144055"/>
                    <pic:cNvPicPr>
                      <a:picLocks noChangeAspect="1"/>
                    </pic:cNvPicPr>
                  </pic:nvPicPr>
                  <pic:blipFill>
                    <a:blip r:embed="rId6"/>
                    <a:stretch>
                      <a:fillRect/>
                    </a:stretch>
                  </pic:blipFill>
                  <pic:spPr>
                    <a:xfrm>
                      <a:off x="0" y="0"/>
                      <a:ext cx="5614670" cy="127317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textAlignment w:val="auto"/>
        <w:outlineLvl w:val="9"/>
        <w:rPr>
          <w:rFonts w:hint="default" w:ascii="Times New Roman" w:hAnsi="Times New Roman" w:eastAsia="方正楷体_GBK" w:cs="Calibri"/>
          <w:sz w:val="28"/>
          <w:szCs w:val="28"/>
          <w:lang w:val="en-US" w:eastAsia="zh-CN"/>
        </w:rPr>
      </w:pPr>
      <w:r>
        <w:rPr>
          <w:rFonts w:hint="default" w:ascii="Times New Roman" w:hAnsi="Times New Roman" w:eastAsia="方正楷体_GBK" w:cs="Calibri"/>
          <w:sz w:val="28"/>
          <w:szCs w:val="28"/>
          <w:lang w:val="en-US" w:eastAsia="zh-CN"/>
        </w:rPr>
        <w:t>（</w:t>
      </w:r>
      <w:r>
        <w:rPr>
          <w:rFonts w:hint="eastAsia" w:ascii="方正黑体_GBK" w:hAnsi="方正黑体_GBK" w:eastAsia="方正黑体_GBK" w:cs="方正黑体_GBK"/>
          <w:b/>
          <w:bCs/>
          <w:sz w:val="28"/>
          <w:szCs w:val="28"/>
          <w:highlight w:val="none"/>
          <w:lang w:val="en-US" w:eastAsia="zh-CN"/>
        </w:rPr>
        <w:t>注：</w:t>
      </w:r>
      <w:r>
        <w:rPr>
          <w:rFonts w:hint="default" w:ascii="Times New Roman" w:hAnsi="Times New Roman" w:eastAsia="方正楷体_GBK" w:cs="Calibri"/>
          <w:b/>
          <w:bCs/>
          <w:sz w:val="28"/>
          <w:szCs w:val="28"/>
          <w:lang w:val="en-US" w:eastAsia="zh-CN"/>
        </w:rPr>
        <w:t>“生产者价格指数”（PPI）</w:t>
      </w:r>
      <w:r>
        <w:rPr>
          <w:rFonts w:hint="default" w:ascii="Times New Roman" w:hAnsi="Times New Roman" w:eastAsia="方正楷体_GBK" w:cs="Calibri"/>
          <w:sz w:val="28"/>
          <w:szCs w:val="28"/>
          <w:lang w:val="en-US" w:eastAsia="zh-CN"/>
        </w:rPr>
        <w:t>是衡量一国国内商品和服务生产者价格随时间变化的指标，它反映了生产者所支付的成本和价格的变化情况。</w:t>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textAlignment w:val="auto"/>
        <w:outlineLvl w:val="9"/>
        <w:rPr>
          <w:rFonts w:hint="eastAsia" w:ascii="Times New Roman" w:hAnsi="Times New Roman" w:eastAsia="方正楷体_GBK" w:cs="Calibri"/>
          <w:sz w:val="28"/>
          <w:szCs w:val="28"/>
          <w:lang w:val="en-US" w:eastAsia="zh-CN"/>
        </w:rPr>
      </w:pPr>
      <w:r>
        <w:rPr>
          <w:rFonts w:hint="default" w:ascii="Times New Roman" w:hAnsi="Times New Roman" w:eastAsia="方正楷体_GBK" w:cs="Calibri"/>
          <w:sz w:val="28"/>
          <w:szCs w:val="28"/>
          <w:lang w:val="en-US" w:eastAsia="zh-CN"/>
        </w:rPr>
        <w:t>生产者</w:t>
      </w:r>
      <w:r>
        <w:rPr>
          <w:rFonts w:hint="eastAsia" w:ascii="Times New Roman" w:hAnsi="Times New Roman" w:eastAsia="方正楷体_GBK" w:cs="Calibri"/>
          <w:sz w:val="28"/>
          <w:szCs w:val="28"/>
          <w:lang w:val="en-US" w:eastAsia="zh-CN"/>
        </w:rPr>
        <w:t>价格</w:t>
      </w:r>
      <w:r>
        <w:rPr>
          <w:rFonts w:hint="default" w:ascii="Times New Roman" w:hAnsi="Times New Roman" w:eastAsia="方正楷体_GBK" w:cs="Calibri"/>
          <w:sz w:val="28"/>
          <w:szCs w:val="28"/>
          <w:lang w:val="en-US" w:eastAsia="zh-CN"/>
        </w:rPr>
        <w:t>指数（PPI）被视为消费价格上涨和企业利润变化的先行指标。当向上游生产商支付的价格上涨时，面向消费者的企业通常会有两种选择：要么将这些成本转嫁给消费者，提高产品或服务的价格，要么削减自身的利润。至于采取哪种方式，取决于市场的竞争程度及企业自身的实力。</w:t>
      </w:r>
      <w:r>
        <w:rPr>
          <w:rFonts w:hint="eastAsia" w:ascii="Times New Roman" w:hAnsi="Times New Roman" w:eastAsia="方正楷体_GBK" w:cs="Calibri"/>
          <w:b/>
          <w:bCs/>
          <w:sz w:val="28"/>
          <w:szCs w:val="28"/>
          <w:lang w:val="en-US" w:eastAsia="zh-CN"/>
        </w:rPr>
        <w:t>“</w:t>
      </w:r>
      <w:r>
        <w:rPr>
          <w:rFonts w:hint="default" w:ascii="Times New Roman" w:hAnsi="Times New Roman" w:eastAsia="方正楷体_GBK" w:cs="Calibri"/>
          <w:b/>
          <w:bCs/>
          <w:sz w:val="28"/>
          <w:szCs w:val="28"/>
          <w:lang w:val="en-US" w:eastAsia="zh-CN"/>
        </w:rPr>
        <w:t>核心PPI</w:t>
      </w:r>
      <w:r>
        <w:rPr>
          <w:rFonts w:hint="eastAsia" w:ascii="Times New Roman" w:hAnsi="Times New Roman" w:eastAsia="方正楷体_GBK" w:cs="Calibri"/>
          <w:b/>
          <w:bCs/>
          <w:sz w:val="28"/>
          <w:szCs w:val="28"/>
          <w:lang w:val="en-US" w:eastAsia="zh-CN"/>
        </w:rPr>
        <w:t>”，</w:t>
      </w:r>
      <w:r>
        <w:rPr>
          <w:rFonts w:hint="eastAsia" w:ascii="Times New Roman" w:hAnsi="Times New Roman" w:eastAsia="方正楷体_GBK" w:cs="Calibri"/>
          <w:b w:val="0"/>
          <w:bCs w:val="0"/>
          <w:sz w:val="28"/>
          <w:szCs w:val="28"/>
          <w:lang w:val="en-US" w:eastAsia="zh-CN"/>
        </w:rPr>
        <w:t>指</w:t>
      </w:r>
      <w:r>
        <w:rPr>
          <w:rFonts w:hint="default" w:ascii="Times New Roman" w:hAnsi="Times New Roman" w:eastAsia="方正楷体_GBK" w:cs="Calibri"/>
          <w:sz w:val="28"/>
          <w:szCs w:val="28"/>
          <w:lang w:val="en-US" w:eastAsia="zh-CN"/>
        </w:rPr>
        <w:t>剔除了波动较大的</w:t>
      </w:r>
      <w:r>
        <w:rPr>
          <w:rFonts w:hint="eastAsia" w:ascii="Times New Roman" w:hAnsi="Times New Roman" w:eastAsia="方正楷体_GBK" w:cs="Calibri"/>
          <w:sz w:val="28"/>
          <w:szCs w:val="28"/>
          <w:lang w:val="en-US" w:eastAsia="zh-CN"/>
        </w:rPr>
        <w:t>“</w:t>
      </w:r>
      <w:r>
        <w:rPr>
          <w:rFonts w:hint="default" w:ascii="Times New Roman" w:hAnsi="Times New Roman" w:eastAsia="方正楷体_GBK" w:cs="Calibri"/>
          <w:sz w:val="28"/>
          <w:szCs w:val="28"/>
          <w:lang w:val="en-US" w:eastAsia="zh-CN"/>
        </w:rPr>
        <w:t>贸易服务</w:t>
      </w:r>
      <w:r>
        <w:rPr>
          <w:rFonts w:hint="eastAsia" w:ascii="Times New Roman" w:hAnsi="Times New Roman" w:eastAsia="方正楷体_GBK" w:cs="Calibri"/>
          <w:sz w:val="28"/>
          <w:szCs w:val="28"/>
          <w:lang w:val="en-US" w:eastAsia="zh-CN"/>
        </w:rPr>
        <w:t>”</w:t>
      </w:r>
      <w:r>
        <w:rPr>
          <w:rFonts w:hint="default" w:ascii="Times New Roman" w:hAnsi="Times New Roman" w:eastAsia="方正楷体_GBK" w:cs="Calibri"/>
          <w:sz w:val="28"/>
          <w:szCs w:val="28"/>
          <w:lang w:val="en-US" w:eastAsia="zh-CN"/>
        </w:rPr>
        <w:t>、食品和能源价格</w:t>
      </w:r>
      <w:r>
        <w:rPr>
          <w:rFonts w:hint="eastAsia" w:ascii="Times New Roman" w:hAnsi="Times New Roman" w:eastAsia="方正楷体_GBK" w:cs="Calibri"/>
          <w:sz w:val="28"/>
          <w:szCs w:val="28"/>
          <w:lang w:val="en-US" w:eastAsia="zh-CN"/>
        </w:rPr>
        <w:t>后</w:t>
      </w:r>
      <w:r>
        <w:rPr>
          <w:rFonts w:hint="default" w:ascii="Times New Roman" w:hAnsi="Times New Roman" w:eastAsia="方正楷体_GBK" w:cs="Calibri"/>
          <w:sz w:val="28"/>
          <w:szCs w:val="28"/>
          <w:lang w:val="en-US" w:eastAsia="zh-CN"/>
        </w:rPr>
        <w:t>的PPI</w:t>
      </w:r>
      <w:r>
        <w:rPr>
          <w:rFonts w:hint="eastAsia" w:ascii="Times New Roman" w:hAnsi="Times New Roman" w:eastAsia="方正楷体_GBK" w:cs="Calibri"/>
          <w:sz w:val="28"/>
          <w:szCs w:val="28"/>
          <w:lang w:val="en-US" w:eastAsia="zh-CN"/>
        </w:rPr>
        <w:t>。）</w:t>
      </w:r>
    </w:p>
    <w:p>
      <w:pPr>
        <w:ind w:firstLine="608" w:firstLineChars="200"/>
        <w:jc w:val="left"/>
        <w:rPr>
          <w:rFonts w:hint="default"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3月PPI的涨幅虽然低于预期，但考虑到目前大宗商品价格的上升势头，以及美国服务业的硬度和韧性，此份PPI数据不宜过分解读。</w:t>
      </w:r>
    </w:p>
    <w:p>
      <w:pPr>
        <w:ind w:firstLine="608" w:firstLineChars="200"/>
        <w:jc w:val="left"/>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不过，在昨日火热的CPI数据之后，今天的PPI并没有火上浇油，甚至可以理解为生产成本的增长在放缓，这对投资者和美联储官员来说，算是一个好消息了，美国股市随即上涨。</w:t>
      </w:r>
    </w:p>
    <w:p>
      <w:pPr>
        <w:ind w:firstLine="608" w:firstLineChars="200"/>
        <w:jc w:val="left"/>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同日，美国劳工部公布了最新失业数据（见表格），数据反映出美国劳动力市场和经济趋势仍然强劲。</w:t>
      </w:r>
    </w:p>
    <w:p>
      <w:pPr>
        <w:jc w:val="left"/>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drawing>
          <wp:inline distT="0" distB="0" distL="114300" distR="114300">
            <wp:extent cx="5611495" cy="795655"/>
            <wp:effectExtent l="0" t="0" r="8255" b="4445"/>
            <wp:docPr id="2" name="图片 2" descr="微信截图_20240416144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截图_20240416144330"/>
                    <pic:cNvPicPr>
                      <a:picLocks noChangeAspect="1"/>
                    </pic:cNvPicPr>
                  </pic:nvPicPr>
                  <pic:blipFill>
                    <a:blip r:embed="rId7"/>
                    <a:stretch>
                      <a:fillRect/>
                    </a:stretch>
                  </pic:blipFill>
                  <pic:spPr>
                    <a:xfrm>
                      <a:off x="0" y="0"/>
                      <a:ext cx="5611495" cy="795655"/>
                    </a:xfrm>
                    <a:prstGeom prst="rect">
                      <a:avLst/>
                    </a:prstGeom>
                  </pic:spPr>
                </pic:pic>
              </a:graphicData>
            </a:graphic>
          </wp:inline>
        </w:drawing>
      </w:r>
    </w:p>
    <w:p>
      <w:pPr>
        <w:ind w:firstLine="608" w:firstLineChars="200"/>
        <w:jc w:val="left"/>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总之，目前美国通胀反弹的压力开始显现，如无法有效遏制，降息的开始时间、幅度，甚至可能性，会再次被调整。而利率水平在高位持续的时间越久，对金融部门造成的压力就会越大，金融风险正在堆积。</w:t>
      </w:r>
    </w:p>
    <w:p>
      <w:pPr>
        <w:ind w:firstLine="608" w:firstLineChars="200"/>
        <w:jc w:val="left"/>
        <w:rPr>
          <w:rFonts w:hint="eastAsia" w:ascii="Times New Roman" w:hAnsi="Times New Roman" w:cs="Times New Roman"/>
          <w:sz w:val="32"/>
          <w:szCs w:val="32"/>
          <w:lang w:val="en-US" w:eastAsia="zh-CN"/>
        </w:rPr>
      </w:pPr>
    </w:p>
    <w:p>
      <w:pPr>
        <w:ind w:left="0" w:leftChars="0" w:firstLine="0" w:firstLineChars="0"/>
        <w:jc w:val="left"/>
        <w:rPr>
          <w:rFonts w:hint="default" w:ascii="Times New Roman" w:hAnsi="Times New Roman" w:eastAsia="宋体" w:cs="Times New Roman"/>
          <w:b/>
          <w:bCs/>
          <w:color w:val="0000FF"/>
          <w:sz w:val="32"/>
          <w:szCs w:val="32"/>
          <w:highlight w:val="yellow"/>
          <w:lang w:val="en-US" w:eastAsia="zh-CN"/>
        </w:rPr>
      </w:pPr>
      <w:r>
        <w:rPr>
          <w:rFonts w:hint="eastAsia" w:ascii="Times New Roman" w:hAnsi="Times New Roman" w:eastAsia="方正小标宋_GBK" w:cs="Times New Roman"/>
          <w:b/>
          <w:bCs/>
          <w:color w:val="FF0000"/>
          <w:sz w:val="32"/>
          <w:szCs w:val="40"/>
          <w:highlight w:val="yellow"/>
          <w:lang w:val="en-US" w:eastAsia="zh-CN"/>
        </w:rPr>
        <w:t>4</w:t>
      </w:r>
      <w:r>
        <w:rPr>
          <w:rFonts w:hint="default" w:ascii="Times New Roman" w:hAnsi="Times New Roman" w:eastAsia="方正小标宋_GBK" w:cs="Times New Roman"/>
          <w:b/>
          <w:bCs/>
          <w:color w:val="FF0000"/>
          <w:sz w:val="32"/>
          <w:szCs w:val="40"/>
          <w:highlight w:val="yellow"/>
          <w:lang w:val="en-US" w:eastAsia="zh-CN"/>
        </w:rPr>
        <w:t>月</w:t>
      </w:r>
      <w:r>
        <w:rPr>
          <w:rFonts w:hint="eastAsia" w:ascii="Times New Roman" w:hAnsi="Times New Roman" w:eastAsia="方正小标宋_GBK" w:cs="Times New Roman"/>
          <w:b/>
          <w:bCs/>
          <w:color w:val="FF0000"/>
          <w:sz w:val="32"/>
          <w:szCs w:val="40"/>
          <w:highlight w:val="yellow"/>
          <w:lang w:val="en-US" w:eastAsia="zh-CN"/>
        </w:rPr>
        <w:t>13</w:t>
      </w:r>
      <w:r>
        <w:rPr>
          <w:rFonts w:hint="default" w:ascii="Times New Roman" w:hAnsi="Times New Roman" w:eastAsia="方正小标宋_GBK" w:cs="Times New Roman"/>
          <w:b/>
          <w:bCs/>
          <w:color w:val="FF0000"/>
          <w:sz w:val="32"/>
          <w:szCs w:val="40"/>
          <w:highlight w:val="yellow"/>
          <w:lang w:val="en-US" w:eastAsia="zh-CN"/>
        </w:rPr>
        <w:t>日</w:t>
      </w:r>
      <w:r>
        <w:rPr>
          <w:rFonts w:hint="default" w:ascii="Times New Roman" w:hAnsi="Times New Roman" w:eastAsia="方正魏碑简体" w:cs="Times New Roman"/>
          <w:b/>
          <w:bCs/>
          <w:color w:val="0000FF"/>
          <w:sz w:val="32"/>
          <w:szCs w:val="40"/>
          <w:highlight w:val="yellow"/>
          <w:lang w:val="en-US" w:eastAsia="zh-CN"/>
        </w:rPr>
        <w:t>（周</w:t>
      </w:r>
      <w:r>
        <w:rPr>
          <w:rFonts w:hint="eastAsia" w:ascii="Times New Roman" w:hAnsi="Times New Roman" w:eastAsia="方正魏碑简体" w:cs="Times New Roman"/>
          <w:b/>
          <w:bCs/>
          <w:color w:val="0000FF"/>
          <w:sz w:val="32"/>
          <w:szCs w:val="40"/>
          <w:highlight w:val="yellow"/>
          <w:lang w:val="en-US" w:eastAsia="zh-CN"/>
        </w:rPr>
        <w:t>六</w:t>
      </w:r>
      <w:r>
        <w:rPr>
          <w:rFonts w:hint="default" w:ascii="Times New Roman" w:hAnsi="Times New Roman" w:eastAsia="方正魏碑简体" w:cs="Times New Roman"/>
          <w:b/>
          <w:bCs/>
          <w:color w:val="0000FF"/>
          <w:sz w:val="32"/>
          <w:szCs w:val="40"/>
          <w:highlight w:val="yellow"/>
          <w:lang w:val="en-US" w:eastAsia="zh-CN"/>
        </w:rPr>
        <w:t>）</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88" w:firstLineChars="200"/>
        <w:jc w:val="left"/>
        <w:textAlignment w:val="auto"/>
        <w:rPr>
          <w:rFonts w:hint="eastAsia" w:ascii="Times New Roman" w:hAnsi="Times New Roman" w:eastAsia="方正小标宋_GBK" w:cs="Times New Roman"/>
          <w:b/>
          <w:bCs/>
          <w:color w:val="0000FF"/>
          <w:sz w:val="36"/>
          <w:szCs w:val="44"/>
          <w:highlight w:val="yellow"/>
          <w:lang w:val="en-US" w:eastAsia="zh-CN"/>
        </w:rPr>
      </w:pPr>
      <w:r>
        <w:rPr>
          <w:rFonts w:hint="eastAsia" w:ascii="Times New Roman" w:hAnsi="Times New Roman" w:eastAsia="方正小标宋_GBK" w:cs="Times New Roman"/>
          <w:b/>
          <w:bCs/>
          <w:color w:val="0000FF"/>
          <w:sz w:val="36"/>
          <w:szCs w:val="44"/>
          <w:highlight w:val="yellow"/>
          <w:lang w:val="en-US" w:eastAsia="zh-CN"/>
        </w:rPr>
        <w:t>美国国债还能被视为全球最安全的金融资产吗？</w:t>
      </w:r>
    </w:p>
    <w:tbl>
      <w:tblPr>
        <w:tblStyle w:val="15"/>
        <w:tblpPr w:leftFromText="180" w:rightFromText="180" w:vertAnchor="text" w:horzAnchor="page" w:tblpX="1646" w:tblpY="119"/>
        <w:tblOverlap w:val="never"/>
        <w:tblW w:w="89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287"/>
        <w:gridCol w:w="46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rPr>
          <w:trHeight w:val="2969" w:hRule="atLeast"/>
        </w:trPr>
        <w:tc>
          <w:tcPr>
            <w:tcW w:w="4287" w:type="dxa"/>
            <w:tcBorders>
              <w:tl2br w:val="nil"/>
              <w:tr2bl w:val="nil"/>
            </w:tcBorders>
            <w:vAlign w:val="top"/>
          </w:tcPr>
          <w:p>
            <w:pPr>
              <w:ind w:firstLine="608" w:firstLineChars="200"/>
              <w:jc w:val="left"/>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4月11日（周四），美国财政部公布3月政府预算情况。美国3月的财政收入为3320亿美元，同比下降5%，但支出达到5680亿美元，预算赤字为-2360亿美元，小于2月赤字的-3780亿美元（见图）。</w:t>
            </w:r>
          </w:p>
        </w:tc>
        <w:tc>
          <w:tcPr>
            <w:tcW w:w="4653" w:type="dxa"/>
            <w:tcBorders>
              <w:tl2br w:val="nil"/>
              <w:tr2bl w:val="nil"/>
            </w:tcBorders>
            <w:vAlign w:val="top"/>
          </w:tcPr>
          <w:p>
            <w:pPr>
              <w:jc w:val="left"/>
            </w:pPr>
            <w:r>
              <w:drawing>
                <wp:inline distT="0" distB="0" distL="114300" distR="114300">
                  <wp:extent cx="2778760" cy="2077085"/>
                  <wp:effectExtent l="0" t="0" r="2540" b="1841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8"/>
                          <a:stretch>
                            <a:fillRect/>
                          </a:stretch>
                        </pic:blipFill>
                        <pic:spPr>
                          <a:xfrm>
                            <a:off x="0" y="0"/>
                            <a:ext cx="2778760" cy="207708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rPr>
            </w:pPr>
            <w:r>
              <w:rPr>
                <w:rFonts w:hint="eastAsia" w:ascii="Times New Roman" w:hAnsi="Times New Roman" w:eastAsia="方正楷体_GBK" w:cs="Calibri"/>
                <w:sz w:val="28"/>
                <w:szCs w:val="28"/>
                <w:lang w:val="en-US" w:eastAsia="zh-CN"/>
              </w:rPr>
              <w:t>（图注：零轴下方的柱状，为预算赤字）</w:t>
            </w:r>
          </w:p>
        </w:tc>
      </w:tr>
    </w:tbl>
    <w:p>
      <w:pPr>
        <w:keepNext w:val="0"/>
        <w:keepLines w:val="0"/>
        <w:pageBreakBefore w:val="0"/>
        <w:widowControl w:val="0"/>
        <w:kinsoku/>
        <w:wordWrap/>
        <w:overflowPunct/>
        <w:topLinePunct w:val="0"/>
        <w:autoSpaceDE/>
        <w:autoSpaceDN/>
        <w:bidi w:val="0"/>
        <w:adjustRightInd/>
        <w:snapToGrid/>
        <w:spacing w:line="400" w:lineRule="exact"/>
        <w:ind w:firstLine="528" w:firstLineChars="200"/>
        <w:jc w:val="left"/>
        <w:textAlignment w:val="auto"/>
        <w:outlineLvl w:val="9"/>
        <w:rPr>
          <w:rFonts w:hint="eastAsia" w:ascii="Times New Roman" w:hAnsi="Times New Roman" w:eastAsia="方正楷体_GBK" w:cs="Calibri"/>
          <w:sz w:val="28"/>
          <w:szCs w:val="28"/>
          <w:lang w:val="en-US" w:eastAsia="zh-CN"/>
        </w:rPr>
      </w:pPr>
      <w:r>
        <w:rPr>
          <w:rFonts w:hint="eastAsia" w:ascii="Times New Roman" w:hAnsi="Times New Roman" w:eastAsia="方正楷体_GBK" w:cs="Calibri"/>
          <w:sz w:val="28"/>
          <w:szCs w:val="28"/>
          <w:lang w:val="en-US" w:eastAsia="zh-CN"/>
        </w:rPr>
        <w:t>（注：美国财政部每月公布一次联邦政府预算情况。预算平衡，即盈余或赤字的变化，反映了联邦政府的开支和税收政策。预算数据对金融市场最直接的影响，在于预算赤字与国债供应之间的关系。赤字越高，财政部必须出售更多国债，获取提供资金以保障政府的支出。）</w:t>
      </w:r>
    </w:p>
    <w:p>
      <w:pPr>
        <w:ind w:firstLine="608" w:firstLineChars="200"/>
        <w:jc w:val="left"/>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本周三拍卖的390亿美元10年期国债，拍卖遇冷，几乎所有指标都表现不佳，“尾部利差”之大，为历史纪录第三；之前一天，580亿美元的3年期美债拍卖结果也不及预期。</w:t>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jc w:val="left"/>
        <w:textAlignment w:val="auto"/>
        <w:outlineLvl w:val="9"/>
        <w:rPr>
          <w:rFonts w:hint="default" w:ascii="Times New Roman" w:hAnsi="Times New Roman" w:eastAsia="方正楷体_GBK" w:cs="仿宋_GB2312"/>
          <w:sz w:val="28"/>
          <w:szCs w:val="28"/>
          <w:lang w:val="en-US" w:eastAsia="zh-CN"/>
        </w:rPr>
      </w:pPr>
      <w:r>
        <w:rPr>
          <w:rFonts w:hint="eastAsia" w:ascii="Times New Roman" w:hAnsi="Times New Roman" w:eastAsia="方正楷体_GBK" w:cs="仿宋_GB2312"/>
          <w:sz w:val="28"/>
          <w:szCs w:val="28"/>
          <w:highlight w:val="none"/>
          <w:lang w:val="en-US" w:eastAsia="zh-CN"/>
        </w:rPr>
        <w:t>（</w:t>
      </w:r>
      <w:r>
        <w:rPr>
          <w:rFonts w:hint="eastAsia" w:ascii="方正黑体_GBK" w:hAnsi="方正黑体_GBK" w:eastAsia="方正黑体_GBK" w:cs="方正黑体_GBK"/>
          <w:b/>
          <w:bCs/>
          <w:sz w:val="28"/>
          <w:szCs w:val="28"/>
          <w:highlight w:val="none"/>
          <w:lang w:val="en-US" w:eastAsia="zh-CN"/>
        </w:rPr>
        <w:t>注</w:t>
      </w:r>
      <w:r>
        <w:rPr>
          <w:rFonts w:hint="eastAsia" w:ascii="方正黑体_GBK" w:hAnsi="方正黑体_GBK" w:eastAsia="方正黑体_GBK" w:cs="方正黑体_GBK"/>
          <w:b/>
          <w:bCs/>
          <w:sz w:val="28"/>
          <w:szCs w:val="28"/>
          <w:lang w:val="en-US" w:eastAsia="zh-CN"/>
        </w:rPr>
        <w:t>：</w:t>
      </w:r>
      <w:r>
        <w:rPr>
          <w:rFonts w:hint="default" w:ascii="Times New Roman" w:hAnsi="Times New Roman" w:eastAsia="方正楷体_GBK" w:cs="仿宋_GB2312"/>
          <w:b/>
          <w:bCs/>
          <w:sz w:val="28"/>
          <w:szCs w:val="28"/>
          <w:lang w:val="en-US" w:eastAsia="zh-CN"/>
        </w:rPr>
        <w:t xml:space="preserve"> "尾部利差"</w:t>
      </w:r>
      <w:r>
        <w:rPr>
          <w:rFonts w:hint="default" w:ascii="Times New Roman" w:hAnsi="Times New Roman" w:eastAsia="方正楷体_GBK" w:cs="仿宋_GB2312"/>
          <w:b w:val="0"/>
          <w:bCs w:val="0"/>
          <w:sz w:val="28"/>
          <w:szCs w:val="28"/>
          <w:lang w:val="en-US" w:eastAsia="zh-CN"/>
        </w:rPr>
        <w:t>（</w:t>
      </w:r>
      <w:r>
        <w:rPr>
          <w:rFonts w:hint="default" w:ascii="Times New Roman" w:hAnsi="Times New Roman" w:eastAsia="方正楷体_GBK" w:cs="Calibri"/>
          <w:b w:val="0"/>
          <w:bCs w:val="0"/>
          <w:sz w:val="28"/>
          <w:szCs w:val="28"/>
          <w:lang w:val="en-US" w:eastAsia="zh-CN"/>
        </w:rPr>
        <w:t>tail spread</w:t>
      </w:r>
      <w:r>
        <w:rPr>
          <w:rFonts w:hint="default" w:ascii="Times New Roman" w:hAnsi="Times New Roman" w:eastAsia="方正楷体_GBK" w:cs="仿宋_GB2312"/>
          <w:b w:val="0"/>
          <w:bCs w:val="0"/>
          <w:sz w:val="28"/>
          <w:szCs w:val="28"/>
          <w:lang w:val="en-US" w:eastAsia="zh-CN"/>
        </w:rPr>
        <w:t>）</w:t>
      </w:r>
      <w:r>
        <w:rPr>
          <w:rFonts w:hint="default" w:ascii="Times New Roman" w:hAnsi="Times New Roman" w:eastAsia="方正楷体_GBK" w:cs="仿宋_GB2312"/>
          <w:sz w:val="28"/>
          <w:szCs w:val="28"/>
          <w:lang w:val="en-US" w:eastAsia="zh-CN"/>
        </w:rPr>
        <w:t>是指在债券拍卖中，最终成交的利率与预发行利率之间的差。</w:t>
      </w:r>
      <w:r>
        <w:rPr>
          <w:rFonts w:hint="eastAsia" w:ascii="Times New Roman" w:hAnsi="Times New Roman" w:eastAsia="方正楷体_GBK" w:cs="仿宋_GB2312"/>
          <w:sz w:val="28"/>
          <w:szCs w:val="28"/>
          <w:lang w:val="en-US" w:eastAsia="zh-CN"/>
        </w:rPr>
        <w:t>显示</w:t>
      </w:r>
      <w:r>
        <w:rPr>
          <w:rFonts w:hint="default" w:ascii="Times New Roman" w:hAnsi="Times New Roman" w:eastAsia="方正楷体_GBK" w:cs="仿宋_GB2312"/>
          <w:sz w:val="28"/>
          <w:szCs w:val="28"/>
          <w:lang w:val="en-US" w:eastAsia="zh-CN"/>
        </w:rPr>
        <w:t>市场对于债券的需求和投资者对于债券的定价意愿。</w:t>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jc w:val="left"/>
        <w:textAlignment w:val="auto"/>
        <w:outlineLvl w:val="9"/>
        <w:rPr>
          <w:rFonts w:hint="default" w:ascii="Times New Roman" w:hAnsi="Times New Roman" w:eastAsia="方正楷体_GBK" w:cs="仿宋_GB2312"/>
          <w:sz w:val="28"/>
          <w:szCs w:val="28"/>
          <w:lang w:val="en-US" w:eastAsia="zh-CN"/>
        </w:rPr>
      </w:pPr>
      <w:r>
        <w:rPr>
          <w:rFonts w:hint="default" w:ascii="Times New Roman" w:hAnsi="Times New Roman" w:eastAsia="方正楷体_GBK" w:cs="仿宋_GB2312"/>
          <w:sz w:val="28"/>
          <w:szCs w:val="28"/>
          <w:lang w:val="en-US" w:eastAsia="zh-CN"/>
        </w:rPr>
        <w:t>在债券拍卖中，发行人通常设定一个预发行利率作为参考。然而，实际拍卖过程中，由于市场需求和投标情况的影响，最终成交利率可能会与预发行利率有所不同。尾部利差是最终成交利率与预发行利率之间的差额。</w:t>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jc w:val="left"/>
        <w:textAlignment w:val="auto"/>
        <w:outlineLvl w:val="9"/>
        <w:rPr>
          <w:rFonts w:hint="default" w:ascii="Times New Roman" w:hAnsi="Times New Roman" w:eastAsia="方正楷体_GBK" w:cs="仿宋_GB2312"/>
          <w:sz w:val="28"/>
          <w:szCs w:val="28"/>
          <w:lang w:val="en-US" w:eastAsia="zh-CN"/>
        </w:rPr>
      </w:pPr>
      <w:r>
        <w:rPr>
          <w:rFonts w:hint="default" w:ascii="Times New Roman" w:hAnsi="Times New Roman" w:eastAsia="方正楷体_GBK" w:cs="仿宋_GB2312"/>
          <w:sz w:val="28"/>
          <w:szCs w:val="28"/>
          <w:lang w:val="en-US" w:eastAsia="zh-CN"/>
        </w:rPr>
        <w:t>当尾部利差为正值时，表示最终成交利率高于预发行利率，说明投资者对债券的需求较低，</w:t>
      </w:r>
      <w:r>
        <w:rPr>
          <w:rFonts w:hint="eastAsia" w:ascii="Times New Roman" w:hAnsi="Times New Roman" w:eastAsia="方正楷体_GBK" w:cs="仿宋_GB2312"/>
          <w:sz w:val="28"/>
          <w:szCs w:val="28"/>
          <w:lang w:val="en-US" w:eastAsia="zh-CN"/>
        </w:rPr>
        <w:t>因此要求更高的利率回报</w:t>
      </w:r>
      <w:r>
        <w:rPr>
          <w:rFonts w:hint="default" w:ascii="Times New Roman" w:hAnsi="Times New Roman" w:eastAsia="方正楷体_GBK" w:cs="仿宋_GB2312"/>
          <w:sz w:val="28"/>
          <w:szCs w:val="28"/>
          <w:lang w:val="en-US" w:eastAsia="zh-CN"/>
        </w:rPr>
        <w:t>才愿意购买。</w:t>
      </w:r>
      <w:r>
        <w:rPr>
          <w:rFonts w:hint="eastAsia" w:ascii="Times New Roman" w:hAnsi="Times New Roman" w:eastAsia="方正楷体_GBK" w:cs="仿宋_GB2312"/>
          <w:sz w:val="28"/>
          <w:szCs w:val="28"/>
          <w:lang w:val="en-US" w:eastAsia="zh-CN"/>
        </w:rPr>
        <w:t>反之亦然</w:t>
      </w:r>
      <w:r>
        <w:rPr>
          <w:rFonts w:hint="default" w:ascii="Times New Roman" w:hAnsi="Times New Roman" w:eastAsia="方正楷体_GBK" w:cs="仿宋_GB2312"/>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textAlignment w:val="auto"/>
        <w:outlineLvl w:val="9"/>
        <w:rPr>
          <w:rFonts w:hint="eastAsia" w:ascii="Times New Roman" w:hAnsi="Times New Roman" w:eastAsia="方正楷体_GBK" w:cs="仿宋_GB2312"/>
          <w:sz w:val="28"/>
          <w:szCs w:val="28"/>
          <w:lang w:val="en-US" w:eastAsia="zh-CN"/>
        </w:rPr>
      </w:pPr>
      <w:r>
        <w:rPr>
          <w:rFonts w:hint="eastAsia" w:ascii="Times New Roman" w:hAnsi="Times New Roman" w:eastAsia="方正楷体_GBK" w:cs="仿宋_GB2312"/>
          <w:sz w:val="28"/>
          <w:szCs w:val="28"/>
          <w:lang w:val="en-US" w:eastAsia="zh-CN"/>
        </w:rPr>
        <w:t>因此，</w:t>
      </w:r>
      <w:r>
        <w:rPr>
          <w:rFonts w:hint="default" w:ascii="Times New Roman" w:hAnsi="Times New Roman" w:eastAsia="方正楷体_GBK" w:cs="仿宋_GB2312"/>
          <w:sz w:val="28"/>
          <w:szCs w:val="28"/>
          <w:lang w:val="en-US" w:eastAsia="zh-CN"/>
        </w:rPr>
        <w:t>尾部利差的大小可以反映市场对债券的兴趣程度和风险偏好。较大的尾部利差通常被视为负面信号，表明市场对该期限的债券需求疲软，投资者</w:t>
      </w:r>
      <w:r>
        <w:rPr>
          <w:rFonts w:hint="eastAsia" w:ascii="Times New Roman" w:hAnsi="Times New Roman" w:eastAsia="方正楷体_GBK" w:cs="仿宋_GB2312"/>
          <w:sz w:val="28"/>
          <w:szCs w:val="28"/>
          <w:lang w:val="en-US" w:eastAsia="zh-CN"/>
        </w:rPr>
        <w:t>在</w:t>
      </w:r>
      <w:r>
        <w:rPr>
          <w:rFonts w:hint="default" w:ascii="Times New Roman" w:hAnsi="Times New Roman" w:eastAsia="方正楷体_GBK" w:cs="仿宋_GB2312"/>
          <w:sz w:val="28"/>
          <w:szCs w:val="28"/>
          <w:lang w:val="en-US" w:eastAsia="zh-CN"/>
        </w:rPr>
        <w:t>要求更高的回报率。</w:t>
      </w:r>
      <w:r>
        <w:rPr>
          <w:rFonts w:hint="eastAsia" w:ascii="Times New Roman" w:hAnsi="Times New Roman" w:eastAsia="方正楷体_GBK" w:cs="仿宋_GB2312"/>
          <w:sz w:val="28"/>
          <w:szCs w:val="28"/>
          <w:lang w:val="en-US" w:eastAsia="zh-CN"/>
        </w:rPr>
        <w:t>）</w:t>
      </w:r>
    </w:p>
    <w:tbl>
      <w:tblPr>
        <w:tblStyle w:val="15"/>
        <w:tblpPr w:leftFromText="180" w:rightFromText="180" w:vertAnchor="text" w:horzAnchor="page" w:tblpX="1646" w:tblpY="119"/>
        <w:tblOverlap w:val="never"/>
        <w:tblW w:w="89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33"/>
        <w:gridCol w:w="45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rPr>
          <w:trHeight w:val="3658" w:hRule="atLeast"/>
        </w:trPr>
        <w:tc>
          <w:tcPr>
            <w:tcW w:w="4433" w:type="dxa"/>
            <w:tcBorders>
              <w:tl2br w:val="nil"/>
              <w:tr2bl w:val="nil"/>
            </w:tcBorders>
            <w:vAlign w:val="top"/>
          </w:tcPr>
          <w:p>
            <w:pPr>
              <w:jc w:val="left"/>
            </w:pPr>
            <w:r>
              <w:drawing>
                <wp:inline distT="0" distB="0" distL="114300" distR="114300">
                  <wp:extent cx="2692400" cy="2019300"/>
                  <wp:effectExtent l="0" t="0" r="12700" b="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9"/>
                          <a:stretch>
                            <a:fillRect/>
                          </a:stretch>
                        </pic:blipFill>
                        <pic:spPr>
                          <a:xfrm>
                            <a:off x="0" y="0"/>
                            <a:ext cx="2692400" cy="201930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eastAsia"/>
                <w:lang w:val="en-US" w:eastAsia="zh-CN"/>
              </w:rPr>
            </w:pPr>
            <w:r>
              <w:rPr>
                <w:rFonts w:hint="eastAsia" w:ascii="Times New Roman" w:hAnsi="Times New Roman" w:eastAsia="方正楷体_GBK" w:cs="仿宋_GB2312"/>
                <w:sz w:val="24"/>
                <w:szCs w:val="24"/>
                <w:lang w:val="en-US" w:eastAsia="zh-CN"/>
              </w:rPr>
              <w:t>（图：2023年美国政府的净利息支出）</w:t>
            </w:r>
          </w:p>
        </w:tc>
        <w:tc>
          <w:tcPr>
            <w:tcW w:w="4507"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240" w:lineRule="auto"/>
              <w:ind w:firstLine="304" w:firstLineChars="100"/>
              <w:jc w:val="left"/>
              <w:textAlignment w:val="auto"/>
              <w:outlineLvl w:val="9"/>
              <w:rPr>
                <w:rFonts w:hint="default" w:ascii="Times New Roman" w:hAnsi="Times New Roman"/>
              </w:rPr>
            </w:pPr>
            <w:r>
              <w:rPr>
                <w:rFonts w:hint="eastAsia" w:ascii="Times New Roman" w:hAnsi="Times New Roman" w:cs="Times New Roman"/>
                <w:sz w:val="32"/>
                <w:szCs w:val="32"/>
                <w:lang w:val="en-US" w:eastAsia="zh-CN"/>
              </w:rPr>
              <w:t>美银预测，随着美国财政赤字的持续，国债余额也在不断堆积和放大，到2024年底，美国政府的债务利息将达到1.6万亿美元，超过社会保障（Social Security），成为最大的一项政府支出。</w:t>
            </w:r>
          </w:p>
        </w:tc>
      </w:tr>
    </w:tbl>
    <w:p>
      <w:pPr>
        <w:ind w:firstLine="608" w:firstLineChars="200"/>
        <w:jc w:val="left"/>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有经济学家发问：到那时，美国国债还能被视为全球最安全的金融资产吗？</w:t>
      </w:r>
    </w:p>
    <w:p>
      <w:pPr>
        <w:ind w:left="0" w:leftChars="0" w:firstLine="0" w:firstLineChars="0"/>
        <w:jc w:val="left"/>
        <w:rPr>
          <w:rFonts w:hint="default" w:ascii="Times New Roman" w:hAnsi="Times New Roman" w:eastAsia="宋体" w:cs="Times New Roman"/>
          <w:b/>
          <w:bCs/>
          <w:color w:val="0000FF"/>
          <w:sz w:val="32"/>
          <w:szCs w:val="32"/>
          <w:highlight w:val="yellow"/>
          <w:lang w:val="en-US" w:eastAsia="zh-CN"/>
        </w:rPr>
      </w:pPr>
      <w:r>
        <w:rPr>
          <w:rFonts w:hint="eastAsia" w:ascii="Times New Roman" w:hAnsi="Times New Roman" w:eastAsia="方正小标宋_GBK" w:cs="Times New Roman"/>
          <w:b/>
          <w:bCs/>
          <w:color w:val="FF0000"/>
          <w:sz w:val="32"/>
          <w:szCs w:val="40"/>
          <w:highlight w:val="yellow"/>
          <w:lang w:val="en-US" w:eastAsia="zh-CN"/>
        </w:rPr>
        <w:t>4</w:t>
      </w:r>
      <w:r>
        <w:rPr>
          <w:rFonts w:hint="default" w:ascii="Times New Roman" w:hAnsi="Times New Roman" w:eastAsia="方正小标宋_GBK" w:cs="Times New Roman"/>
          <w:b/>
          <w:bCs/>
          <w:color w:val="FF0000"/>
          <w:sz w:val="32"/>
          <w:szCs w:val="40"/>
          <w:highlight w:val="yellow"/>
          <w:lang w:val="en-US" w:eastAsia="zh-CN"/>
        </w:rPr>
        <w:t>月</w:t>
      </w:r>
      <w:r>
        <w:rPr>
          <w:rFonts w:hint="eastAsia" w:ascii="Times New Roman" w:hAnsi="Times New Roman" w:eastAsia="方正小标宋_GBK" w:cs="Times New Roman"/>
          <w:b/>
          <w:bCs/>
          <w:color w:val="FF0000"/>
          <w:sz w:val="32"/>
          <w:szCs w:val="40"/>
          <w:highlight w:val="yellow"/>
          <w:lang w:val="en-US" w:eastAsia="zh-CN"/>
        </w:rPr>
        <w:t>14</w:t>
      </w:r>
      <w:r>
        <w:rPr>
          <w:rFonts w:hint="default" w:ascii="Times New Roman" w:hAnsi="Times New Roman" w:eastAsia="方正小标宋_GBK" w:cs="Times New Roman"/>
          <w:b/>
          <w:bCs/>
          <w:color w:val="FF0000"/>
          <w:sz w:val="32"/>
          <w:szCs w:val="40"/>
          <w:highlight w:val="yellow"/>
          <w:lang w:val="en-US" w:eastAsia="zh-CN"/>
        </w:rPr>
        <w:t>日</w:t>
      </w:r>
      <w:r>
        <w:rPr>
          <w:rFonts w:hint="default" w:ascii="Times New Roman" w:hAnsi="Times New Roman" w:eastAsia="方正魏碑简体" w:cs="Times New Roman"/>
          <w:b/>
          <w:bCs/>
          <w:color w:val="0000FF"/>
          <w:sz w:val="32"/>
          <w:szCs w:val="40"/>
          <w:highlight w:val="yellow"/>
          <w:lang w:val="en-US" w:eastAsia="zh-CN"/>
        </w:rPr>
        <w:t>（周</w:t>
      </w:r>
      <w:r>
        <w:rPr>
          <w:rFonts w:hint="eastAsia" w:ascii="Times New Roman" w:hAnsi="Times New Roman" w:eastAsia="方正魏碑简体" w:cs="Times New Roman"/>
          <w:b/>
          <w:bCs/>
          <w:color w:val="0000FF"/>
          <w:sz w:val="32"/>
          <w:szCs w:val="40"/>
          <w:highlight w:val="yellow"/>
          <w:lang w:val="en-US" w:eastAsia="zh-CN"/>
        </w:rPr>
        <w:t>日</w:t>
      </w:r>
      <w:r>
        <w:rPr>
          <w:rFonts w:hint="default" w:ascii="Times New Roman" w:hAnsi="Times New Roman" w:eastAsia="方正魏碑简体" w:cs="Times New Roman"/>
          <w:b/>
          <w:bCs/>
          <w:color w:val="0000FF"/>
          <w:sz w:val="32"/>
          <w:szCs w:val="40"/>
          <w:highlight w:val="yellow"/>
          <w:lang w:val="en-US" w:eastAsia="zh-CN"/>
        </w:rPr>
        <w:t>）</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jc w:val="center"/>
        <w:textAlignment w:val="auto"/>
        <w:rPr>
          <w:rFonts w:hint="default" w:ascii="Times New Roman" w:hAnsi="Times New Roman" w:eastAsia="方正小标宋_GBK" w:cs="Times New Roman"/>
          <w:b/>
          <w:bCs/>
          <w:color w:val="0000FF"/>
          <w:sz w:val="36"/>
          <w:szCs w:val="44"/>
          <w:highlight w:val="yellow"/>
          <w:lang w:val="en-US" w:eastAsia="zh-CN"/>
        </w:rPr>
      </w:pPr>
      <w:r>
        <w:rPr>
          <w:rFonts w:hint="eastAsia" w:ascii="Times New Roman" w:hAnsi="Times New Roman" w:eastAsia="方正小标宋_GBK" w:cs="Times New Roman"/>
          <w:b/>
          <w:bCs/>
          <w:color w:val="0000FF"/>
          <w:sz w:val="36"/>
          <w:szCs w:val="44"/>
          <w:highlight w:val="yellow"/>
          <w:lang w:val="en-US" w:eastAsia="zh-CN"/>
        </w:rPr>
        <w:t>欧央行有意先降为敬，遥祝美联储好自为之</w:t>
      </w:r>
    </w:p>
    <w:tbl>
      <w:tblPr>
        <w:tblStyle w:val="15"/>
        <w:tblpPr w:leftFromText="180" w:rightFromText="180" w:vertAnchor="text" w:horzAnchor="page" w:tblpX="1646" w:tblpY="119"/>
        <w:tblOverlap w:val="never"/>
        <w:tblW w:w="89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11"/>
        <w:gridCol w:w="44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435" w:hRule="atLeast"/>
        </w:trPr>
        <w:tc>
          <w:tcPr>
            <w:tcW w:w="4511"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jc w:val="center"/>
              <w:textAlignment w:val="auto"/>
              <w:rPr>
                <w:rFonts w:hint="eastAsia"/>
                <w:lang w:val="en-US" w:eastAsia="zh-CN"/>
              </w:rPr>
            </w:pPr>
            <w:r>
              <w:drawing>
                <wp:inline distT="0" distB="0" distL="114300" distR="114300">
                  <wp:extent cx="2776855" cy="2023745"/>
                  <wp:effectExtent l="0" t="0" r="4445" b="14605"/>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10"/>
                          <a:stretch>
                            <a:fillRect/>
                          </a:stretch>
                        </pic:blipFill>
                        <pic:spPr>
                          <a:xfrm>
                            <a:off x="0" y="0"/>
                            <a:ext cx="2776855" cy="2023745"/>
                          </a:xfrm>
                          <a:prstGeom prst="rect">
                            <a:avLst/>
                          </a:prstGeom>
                          <a:noFill/>
                          <a:ln>
                            <a:noFill/>
                          </a:ln>
                        </pic:spPr>
                      </pic:pic>
                    </a:graphicData>
                  </a:graphic>
                </wp:inline>
              </w:drawing>
            </w:r>
          </w:p>
        </w:tc>
        <w:tc>
          <w:tcPr>
            <w:tcW w:w="4429" w:type="dxa"/>
            <w:tcBorders>
              <w:tl2br w:val="nil"/>
              <w:tr2bl w:val="nil"/>
            </w:tcBorders>
            <w:vAlign w:val="top"/>
          </w:tcPr>
          <w:p>
            <w:pPr>
              <w:ind w:firstLine="608" w:firstLineChars="200"/>
              <w:jc w:val="left"/>
              <w:rPr>
                <w:rFonts w:hint="default" w:ascii="Times New Roman" w:hAnsi="Times New Roman"/>
              </w:rPr>
            </w:pPr>
            <w:r>
              <w:rPr>
                <w:rFonts w:hint="eastAsia" w:ascii="Times New Roman" w:hAnsi="Times New Roman" w:cs="Times New Roman"/>
                <w:sz w:val="32"/>
                <w:szCs w:val="32"/>
                <w:lang w:val="en-US" w:eastAsia="zh-CN"/>
              </w:rPr>
              <w:t>4月11日（周四），欧洲央行公布4月利率决议，如市场预期，欧央行决定继续维持利率不变（如图），即欧洲央行存款便利利率为4%、边际贷款利率4.75%、主要再融资利率4.5%。</w:t>
            </w:r>
          </w:p>
        </w:tc>
      </w:tr>
    </w:tbl>
    <w:p>
      <w:pPr>
        <w:keepNext w:val="0"/>
        <w:keepLines w:val="0"/>
        <w:pageBreakBefore w:val="0"/>
        <w:widowControl w:val="0"/>
        <w:kinsoku/>
        <w:wordWrap/>
        <w:overflowPunct/>
        <w:topLinePunct w:val="0"/>
        <w:autoSpaceDE/>
        <w:autoSpaceDN/>
        <w:bidi w:val="0"/>
        <w:adjustRightInd/>
        <w:snapToGrid/>
        <w:spacing w:line="400" w:lineRule="exact"/>
        <w:ind w:firstLine="528" w:firstLineChars="200"/>
        <w:jc w:val="left"/>
        <w:textAlignment w:val="auto"/>
        <w:outlineLvl w:val="9"/>
        <w:rPr>
          <w:rFonts w:hint="eastAsia" w:ascii="Times New Roman" w:hAnsi="Times New Roman" w:eastAsia="方正楷体_GBK" w:cs="Calibri"/>
          <w:sz w:val="28"/>
          <w:szCs w:val="28"/>
          <w:lang w:val="en-US" w:eastAsia="zh-CN"/>
        </w:rPr>
      </w:pPr>
      <w:r>
        <w:rPr>
          <w:rFonts w:hint="eastAsia" w:ascii="Times New Roman" w:hAnsi="Times New Roman" w:eastAsia="方正楷体_GBK" w:cs="Calibri"/>
          <w:b/>
          <w:bCs/>
          <w:sz w:val="28"/>
          <w:szCs w:val="28"/>
          <w:highlight w:val="none"/>
          <w:lang w:val="en-US" w:eastAsia="zh-CN"/>
        </w:rPr>
        <w:t>（</w:t>
      </w:r>
      <w:r>
        <w:rPr>
          <w:rFonts w:hint="eastAsia" w:ascii="方正黑体_GBK" w:hAnsi="方正黑体_GBK" w:eastAsia="方正黑体_GBK" w:cs="方正黑体_GBK"/>
          <w:b/>
          <w:bCs/>
          <w:sz w:val="28"/>
          <w:szCs w:val="28"/>
          <w:highlight w:val="none"/>
          <w:lang w:val="en-US" w:eastAsia="zh-CN"/>
        </w:rPr>
        <w:t>注</w:t>
      </w:r>
      <w:r>
        <w:rPr>
          <w:rFonts w:hint="eastAsia" w:ascii="方正黑体_GBK" w:hAnsi="方正黑体_GBK" w:eastAsia="方正黑体_GBK" w:cs="方正黑体_GBK"/>
          <w:b/>
          <w:bCs/>
          <w:sz w:val="28"/>
          <w:szCs w:val="28"/>
          <w:lang w:val="en-US" w:eastAsia="zh-CN"/>
        </w:rPr>
        <w:t>：</w:t>
      </w:r>
      <w:r>
        <w:rPr>
          <w:rFonts w:hint="eastAsia" w:ascii="Times New Roman" w:hAnsi="Times New Roman" w:eastAsia="方正楷体_GBK" w:cs="Calibri"/>
          <w:b/>
          <w:bCs/>
          <w:sz w:val="28"/>
          <w:szCs w:val="28"/>
          <w:lang w:val="en-US" w:eastAsia="zh-CN"/>
        </w:rPr>
        <w:t>欧洲央行三大基准利率</w:t>
      </w:r>
      <w:r>
        <w:rPr>
          <w:rFonts w:hint="eastAsia" w:ascii="Times New Roman" w:hAnsi="Times New Roman" w:eastAsia="方正楷体_GBK" w:cs="Calibri"/>
          <w:sz w:val="28"/>
          <w:szCs w:val="28"/>
          <w:lang w:val="en-US" w:eastAsia="zh-CN"/>
        </w:rPr>
        <w:t>，分别是存款便利利率（Deposit Facility Rate）、边际贷款利率（Marginal Lending Facility Rate）以及主要再融资利率（Main Refinancing Operations Rate）。</w:t>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jc w:val="left"/>
        <w:textAlignment w:val="auto"/>
        <w:outlineLvl w:val="9"/>
        <w:rPr>
          <w:rFonts w:hint="eastAsia" w:ascii="Times New Roman" w:hAnsi="Times New Roman" w:eastAsia="方正楷体_GBK" w:cs="Calibri"/>
          <w:sz w:val="28"/>
          <w:szCs w:val="28"/>
          <w:lang w:val="en-US" w:eastAsia="zh-CN"/>
        </w:rPr>
      </w:pPr>
      <w:r>
        <w:rPr>
          <w:rFonts w:hint="eastAsia" w:ascii="Times New Roman" w:hAnsi="Times New Roman" w:eastAsia="方正楷体_GBK" w:cs="Calibri"/>
          <w:b/>
          <w:bCs/>
          <w:sz w:val="28"/>
          <w:szCs w:val="28"/>
          <w:lang w:val="en-US" w:eastAsia="zh-CN"/>
        </w:rPr>
        <w:t>存款便利利率</w:t>
      </w:r>
      <w:r>
        <w:rPr>
          <w:rFonts w:hint="eastAsia" w:ascii="Times New Roman" w:hAnsi="Times New Roman" w:eastAsia="方正楷体_GBK" w:cs="Calibri"/>
          <w:sz w:val="28"/>
          <w:szCs w:val="28"/>
          <w:lang w:val="en-US" w:eastAsia="zh-CN"/>
        </w:rPr>
        <w:t>（Deposit Facility Rate）：是欧洲央行向商业银行提供存款便利的利率。它是央行存款利率的下限，即商业银行可以将超出其最低准备金要求的资金存放在欧洲央行，获取的利息就是存款便利利率。</w:t>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jc w:val="left"/>
        <w:textAlignment w:val="auto"/>
        <w:outlineLvl w:val="9"/>
        <w:rPr>
          <w:rFonts w:hint="eastAsia" w:ascii="Times New Roman" w:hAnsi="Times New Roman" w:eastAsia="方正楷体_GBK" w:cs="Calibri"/>
          <w:sz w:val="28"/>
          <w:szCs w:val="28"/>
          <w:lang w:val="en-US" w:eastAsia="zh-CN"/>
        </w:rPr>
      </w:pPr>
      <w:r>
        <w:rPr>
          <w:rFonts w:hint="eastAsia" w:ascii="Times New Roman" w:hAnsi="Times New Roman" w:eastAsia="方正楷体_GBK" w:cs="Calibri"/>
          <w:b/>
          <w:bCs/>
          <w:sz w:val="28"/>
          <w:szCs w:val="28"/>
          <w:lang w:val="en-US" w:eastAsia="zh-CN"/>
        </w:rPr>
        <w:t>边际贷款利率</w:t>
      </w:r>
      <w:r>
        <w:rPr>
          <w:rFonts w:hint="eastAsia" w:ascii="Times New Roman" w:hAnsi="Times New Roman" w:eastAsia="方正楷体_GBK" w:cs="Calibri"/>
          <w:sz w:val="28"/>
          <w:szCs w:val="28"/>
          <w:lang w:val="en-US" w:eastAsia="zh-CN"/>
        </w:rPr>
        <w:t>（Marginal Lending Facility Rate）：是欧洲央行向商业银行提供短期流动性贷款的利率。当商业银行需要额外的流动性时，可以向欧洲央行申请贷款，而边际贷款利率则是商业银行从欧洲央行获得短期贷款所需支付的利率。</w:t>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jc w:val="left"/>
        <w:textAlignment w:val="auto"/>
        <w:outlineLvl w:val="9"/>
        <w:rPr>
          <w:rFonts w:hint="eastAsia" w:ascii="Times New Roman" w:hAnsi="Times New Roman" w:eastAsia="方正楷体_GBK" w:cs="Calibri"/>
          <w:sz w:val="28"/>
          <w:szCs w:val="28"/>
          <w:lang w:val="en-US" w:eastAsia="zh-CN"/>
        </w:rPr>
      </w:pPr>
      <w:r>
        <w:rPr>
          <w:rFonts w:hint="eastAsia" w:ascii="Times New Roman" w:hAnsi="Times New Roman" w:eastAsia="方正楷体_GBK" w:cs="Calibri"/>
          <w:b/>
          <w:bCs/>
          <w:sz w:val="28"/>
          <w:szCs w:val="28"/>
          <w:lang w:val="en-US" w:eastAsia="zh-CN"/>
        </w:rPr>
        <w:t>主要再融资利率</w:t>
      </w:r>
      <w:r>
        <w:rPr>
          <w:rFonts w:hint="eastAsia" w:ascii="Times New Roman" w:hAnsi="Times New Roman" w:eastAsia="方正楷体_GBK" w:cs="Calibri"/>
          <w:sz w:val="28"/>
          <w:szCs w:val="28"/>
          <w:lang w:val="en-US" w:eastAsia="zh-CN"/>
        </w:rPr>
        <w:t>（Main Refinancing Operations Rate）：是欧洲央行对商业银行提供的主要再融资操作的利率。这是欧洲央行提供给商业银行的主要长期流动性，用于满足银行体系的整体融资需求。</w:t>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jc w:val="left"/>
        <w:textAlignment w:val="auto"/>
        <w:outlineLvl w:val="9"/>
        <w:rPr>
          <w:rFonts w:hint="eastAsia" w:ascii="Times New Roman" w:hAnsi="Times New Roman" w:eastAsia="方正楷体_GBK" w:cs="Calibri"/>
          <w:sz w:val="28"/>
          <w:szCs w:val="28"/>
          <w:lang w:val="en-US" w:eastAsia="zh-CN"/>
        </w:rPr>
      </w:pPr>
      <w:r>
        <w:rPr>
          <w:rFonts w:hint="eastAsia" w:ascii="Times New Roman" w:hAnsi="Times New Roman" w:eastAsia="方正楷体_GBK" w:cs="Calibri"/>
          <w:sz w:val="28"/>
          <w:szCs w:val="28"/>
          <w:lang w:val="en-US" w:eastAsia="zh-CN"/>
        </w:rPr>
        <w:t>这三个利率在欧洲央行的货币政策中起着重要的作用，通过调整这些利率，欧洲央行可以影响市场上的短期利率、银行间流动性和长期借贷成本，以达到稳定通胀和促进经济增长的目标。）</w:t>
      </w:r>
    </w:p>
    <w:p>
      <w:pPr>
        <w:ind w:firstLine="608" w:firstLineChars="200"/>
        <w:jc w:val="left"/>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同日，欧洲央行行长拉加德召开货币政策新闻发布会，发出了更明确的降息信号。拉加德表示，不会等到通胀指标的每一项都回到2%才降息。她指出，欧元区的增长风险正在显现。该观点基于欧元区近期的经济数据，3月份制造业PMI显示，德国和法国的制造业仍在萎缩之中，经济疲弱。</w:t>
      </w:r>
    </w:p>
    <w:tbl>
      <w:tblPr>
        <w:tblStyle w:val="15"/>
        <w:tblpPr w:leftFromText="180" w:rightFromText="180" w:vertAnchor="text" w:horzAnchor="page" w:tblpX="1646" w:tblpY="119"/>
        <w:tblOverlap w:val="never"/>
        <w:tblW w:w="89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470"/>
        <w:gridCol w:w="54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38" w:hRule="atLeast"/>
        </w:trPr>
        <w:tc>
          <w:tcPr>
            <w:tcW w:w="3470"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drawing>
                <wp:inline distT="0" distB="0" distL="114300" distR="114300">
                  <wp:extent cx="2106295" cy="1431290"/>
                  <wp:effectExtent l="0" t="0" r="8255" b="16510"/>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11"/>
                          <a:srcRect l="4451" r="12733"/>
                          <a:stretch>
                            <a:fillRect/>
                          </a:stretch>
                        </pic:blipFill>
                        <pic:spPr>
                          <a:xfrm>
                            <a:off x="0" y="0"/>
                            <a:ext cx="2106295" cy="1431290"/>
                          </a:xfrm>
                          <a:prstGeom prst="rect">
                            <a:avLst/>
                          </a:prstGeom>
                          <a:noFill/>
                          <a:ln>
                            <a:noFill/>
                          </a:ln>
                        </pic:spPr>
                      </pic:pic>
                    </a:graphicData>
                  </a:graphic>
                </wp:inline>
              </w:drawing>
            </w:r>
          </w:p>
        </w:tc>
        <w:tc>
          <w:tcPr>
            <w:tcW w:w="5470" w:type="dxa"/>
            <w:tcBorders>
              <w:tl2br w:val="nil"/>
              <w:tr2bl w:val="nil"/>
            </w:tcBorders>
            <w:vAlign w:val="top"/>
          </w:tcPr>
          <w:p>
            <w:pPr>
              <w:ind w:firstLine="608" w:firstLineChars="200"/>
              <w:jc w:val="left"/>
              <w:rPr>
                <w:rFonts w:hint="default" w:ascii="Times New Roman" w:hAnsi="Times New Roman"/>
              </w:rPr>
            </w:pPr>
            <w:r>
              <w:rPr>
                <w:rFonts w:hint="eastAsia" w:ascii="Times New Roman" w:hAnsi="Times New Roman" w:cs="Times New Roman"/>
                <w:sz w:val="32"/>
                <w:szCs w:val="32"/>
                <w:lang w:val="en-US" w:eastAsia="zh-CN"/>
              </w:rPr>
              <w:t>当被问及美联储降息的问题时，拉加德回应称，美国和欧元区并不互为镜像，欧元区通胀的性质与美国不同，二者的通胀受不同因素所驱动。她说：“我</w:t>
            </w:r>
          </w:p>
        </w:tc>
      </w:tr>
    </w:tbl>
    <w:p>
      <w:pPr>
        <w:jc w:val="left"/>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们不依赖美联储的政策，必须根据欧元区数据做出决策。”</w:t>
      </w:r>
    </w:p>
    <w:p>
      <w:pPr>
        <w:ind w:firstLine="608" w:firstLineChars="200"/>
        <w:rPr>
          <w:rFonts w:hint="eastAsia"/>
          <w:lang w:val="en-US" w:eastAsia="zh-CN"/>
        </w:rPr>
      </w:pPr>
      <w:r>
        <w:rPr>
          <w:rFonts w:hint="eastAsia" w:ascii="Times New Roman" w:hAnsi="Times New Roman" w:cs="Times New Roman"/>
          <w:sz w:val="32"/>
          <w:szCs w:val="32"/>
          <w:lang w:val="en-US" w:eastAsia="zh-CN"/>
        </w:rPr>
        <w:t>确实，美国的通货膨胀情况出现了反弹迹象。4月12日（周五），美国劳工统计局发布3月份美国进出口的价格指数（见表一）。数据显示，美国进口商品的价格上涨明显，这将加大国内市场的通胀压力。</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jc w:val="center"/>
        <w:textAlignment w:val="auto"/>
        <w:rPr>
          <w:rFonts w:hint="eastAsia"/>
          <w:lang w:val="en-US" w:eastAsia="zh-CN"/>
        </w:rPr>
      </w:pPr>
      <w:r>
        <w:rPr>
          <w:rFonts w:hint="eastAsia"/>
          <w:lang w:val="en-US" w:eastAsia="zh-CN"/>
        </w:rPr>
        <w:drawing>
          <wp:inline distT="0" distB="0" distL="114300" distR="114300">
            <wp:extent cx="5611495" cy="1340485"/>
            <wp:effectExtent l="0" t="0" r="8255" b="12065"/>
            <wp:docPr id="11" name="图片 11" descr="微信截图_20240416160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微信截图_20240416160114"/>
                    <pic:cNvPicPr>
                      <a:picLocks noChangeAspect="1"/>
                    </pic:cNvPicPr>
                  </pic:nvPicPr>
                  <pic:blipFill>
                    <a:blip r:embed="rId12"/>
                    <a:stretch>
                      <a:fillRect/>
                    </a:stretch>
                  </pic:blipFill>
                  <pic:spPr>
                    <a:xfrm>
                      <a:off x="0" y="0"/>
                      <a:ext cx="5611495" cy="1340485"/>
                    </a:xfrm>
                    <a:prstGeom prst="rect">
                      <a:avLst/>
                    </a:prstGeom>
                  </pic:spPr>
                </pic:pic>
              </a:graphicData>
            </a:graphic>
          </wp:inline>
        </w:drawing>
      </w:r>
    </w:p>
    <w:p>
      <w:pPr>
        <w:ind w:firstLine="608" w:firstLineChars="200"/>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密歇根大学消费者调查中心每月向600个家庭询问他们的经济状况和对经济的态度。消费者情绪直接关系到消费支出的强弱。</w:t>
      </w:r>
      <w:r>
        <w:rPr>
          <w:rFonts w:hint="eastAsia" w:ascii="Times New Roman" w:hAnsi="Times New Roman" w:cs="Times New Roman"/>
          <w:sz w:val="32"/>
          <w:szCs w:val="32"/>
          <w:lang w:val="en-US" w:eastAsia="zh-CN"/>
        </w:rPr>
        <w:t>调查结果（见表二）显示，4月的预期、现况和信心三大指数的初值，均低于前值和预期，说明民众对经济和通胀感到不满，对经济前景持保留态度。</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jc w:val="center"/>
        <w:textAlignment w:val="auto"/>
        <w:rPr>
          <w:rFonts w:hint="eastAsia"/>
          <w:lang w:val="en-US" w:eastAsia="zh-CN"/>
        </w:rPr>
      </w:pPr>
      <w:r>
        <w:rPr>
          <w:rFonts w:hint="eastAsia"/>
          <w:lang w:val="en-US" w:eastAsia="zh-CN"/>
        </w:rPr>
        <w:drawing>
          <wp:inline distT="0" distB="0" distL="114300" distR="114300">
            <wp:extent cx="5612765" cy="1518920"/>
            <wp:effectExtent l="0" t="0" r="6985" b="5080"/>
            <wp:docPr id="12" name="图片 12" descr="微信截图_20240416160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微信截图_20240416160201"/>
                    <pic:cNvPicPr>
                      <a:picLocks noChangeAspect="1"/>
                    </pic:cNvPicPr>
                  </pic:nvPicPr>
                  <pic:blipFill>
                    <a:blip r:embed="rId13"/>
                    <a:stretch>
                      <a:fillRect/>
                    </a:stretch>
                  </pic:blipFill>
                  <pic:spPr>
                    <a:xfrm>
                      <a:off x="0" y="0"/>
                      <a:ext cx="5612765" cy="1518920"/>
                    </a:xfrm>
                    <a:prstGeom prst="rect">
                      <a:avLst/>
                    </a:prstGeom>
                  </pic:spPr>
                </pic:pic>
              </a:graphicData>
            </a:graphic>
          </wp:inline>
        </w:drawing>
      </w:r>
    </w:p>
    <w:p>
      <w:pPr>
        <w:ind w:firstLine="608" w:firstLineChars="200"/>
        <w:rPr>
          <w:rFonts w:hint="default"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调查还显示（见表格二），消费者对未来一年的通胀预期从2.9%升到3.1%，长期预期也从2.8%升至3%，反映出人们对粘性通胀的失望和不满。</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jc w:val="center"/>
        <w:textAlignment w:val="auto"/>
        <w:rPr>
          <w:rFonts w:hint="eastAsia"/>
          <w:lang w:val="en-US" w:eastAsia="zh-CN"/>
        </w:rPr>
      </w:pPr>
    </w:p>
    <w:p>
      <w:pPr>
        <w:ind w:left="0" w:leftChars="0" w:firstLine="0" w:firstLineChars="0"/>
        <w:jc w:val="left"/>
        <w:rPr>
          <w:rFonts w:hint="default" w:ascii="Times New Roman" w:hAnsi="Times New Roman" w:eastAsia="方正魏碑简体" w:cs="Times New Roman"/>
          <w:b/>
          <w:bCs/>
          <w:color w:val="0000FF"/>
          <w:sz w:val="32"/>
          <w:szCs w:val="40"/>
          <w:highlight w:val="yellow"/>
          <w:lang w:val="en-US" w:eastAsia="zh-CN"/>
        </w:rPr>
      </w:pPr>
      <w:r>
        <w:rPr>
          <w:rFonts w:hint="eastAsia" w:ascii="Times New Roman" w:hAnsi="Times New Roman" w:eastAsia="方正小标宋_GBK" w:cs="Times New Roman"/>
          <w:b/>
          <w:bCs/>
          <w:color w:val="FF0000"/>
          <w:sz w:val="32"/>
          <w:szCs w:val="40"/>
          <w:highlight w:val="yellow"/>
          <w:lang w:val="en-US" w:eastAsia="zh-CN"/>
        </w:rPr>
        <w:t>4</w:t>
      </w:r>
      <w:r>
        <w:rPr>
          <w:rFonts w:hint="default" w:ascii="Times New Roman" w:hAnsi="Times New Roman" w:eastAsia="方正小标宋_GBK" w:cs="Times New Roman"/>
          <w:b/>
          <w:bCs/>
          <w:color w:val="FF0000"/>
          <w:sz w:val="32"/>
          <w:szCs w:val="40"/>
          <w:highlight w:val="yellow"/>
          <w:lang w:val="en-US" w:eastAsia="zh-CN"/>
        </w:rPr>
        <w:t>月</w:t>
      </w:r>
      <w:r>
        <w:rPr>
          <w:rFonts w:hint="eastAsia" w:ascii="Times New Roman" w:hAnsi="Times New Roman" w:eastAsia="方正小标宋_GBK" w:cs="Times New Roman"/>
          <w:b/>
          <w:bCs/>
          <w:color w:val="FF0000"/>
          <w:sz w:val="32"/>
          <w:szCs w:val="40"/>
          <w:highlight w:val="yellow"/>
          <w:lang w:val="en-US" w:eastAsia="zh-CN"/>
        </w:rPr>
        <w:t>15</w:t>
      </w:r>
      <w:r>
        <w:rPr>
          <w:rFonts w:hint="default" w:ascii="Times New Roman" w:hAnsi="Times New Roman" w:eastAsia="方正小标宋_GBK" w:cs="Times New Roman"/>
          <w:b/>
          <w:bCs/>
          <w:color w:val="FF0000"/>
          <w:sz w:val="32"/>
          <w:szCs w:val="40"/>
          <w:highlight w:val="yellow"/>
          <w:lang w:val="en-US" w:eastAsia="zh-CN"/>
        </w:rPr>
        <w:t>日</w:t>
      </w:r>
      <w:r>
        <w:rPr>
          <w:rFonts w:hint="default" w:ascii="Times New Roman" w:hAnsi="Times New Roman" w:eastAsia="方正魏碑简体" w:cs="Times New Roman"/>
          <w:b/>
          <w:bCs/>
          <w:color w:val="0000FF"/>
          <w:sz w:val="32"/>
          <w:szCs w:val="40"/>
          <w:highlight w:val="yellow"/>
          <w:lang w:val="en-US" w:eastAsia="zh-CN"/>
        </w:rPr>
        <w:t>（周</w:t>
      </w:r>
      <w:r>
        <w:rPr>
          <w:rFonts w:hint="eastAsia" w:ascii="Times New Roman" w:hAnsi="Times New Roman" w:eastAsia="方正魏碑简体" w:cs="Times New Roman"/>
          <w:b/>
          <w:bCs/>
          <w:color w:val="0000FF"/>
          <w:sz w:val="32"/>
          <w:szCs w:val="40"/>
          <w:highlight w:val="yellow"/>
          <w:lang w:val="en-US" w:eastAsia="zh-CN"/>
        </w:rPr>
        <w:t>一</w:t>
      </w:r>
      <w:r>
        <w:rPr>
          <w:rFonts w:hint="default" w:ascii="Times New Roman" w:hAnsi="Times New Roman" w:eastAsia="方正魏碑简体" w:cs="Times New Roman"/>
          <w:b/>
          <w:bCs/>
          <w:color w:val="0000FF"/>
          <w:sz w:val="32"/>
          <w:szCs w:val="40"/>
          <w:highlight w:val="yellow"/>
          <w:lang w:val="en-US" w:eastAsia="zh-CN"/>
        </w:rPr>
        <w:t>）</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jc w:val="center"/>
        <w:textAlignment w:val="auto"/>
        <w:rPr>
          <w:rFonts w:hint="default" w:ascii="Times New Roman" w:hAnsi="Times New Roman" w:eastAsia="方正小标宋_GBK" w:cs="Times New Roman"/>
          <w:b/>
          <w:bCs/>
          <w:color w:val="0000FF"/>
          <w:sz w:val="36"/>
          <w:szCs w:val="44"/>
          <w:highlight w:val="yellow"/>
          <w:lang w:val="en-US" w:eastAsia="zh-CN"/>
        </w:rPr>
      </w:pPr>
      <w:r>
        <w:rPr>
          <w:rFonts w:hint="eastAsia" w:ascii="Times New Roman" w:hAnsi="Times New Roman" w:eastAsia="方正小标宋_GBK" w:cs="Times New Roman"/>
          <w:b/>
          <w:bCs/>
          <w:color w:val="0000FF"/>
          <w:sz w:val="36"/>
          <w:szCs w:val="44"/>
          <w:highlight w:val="yellow"/>
          <w:lang w:val="en-US" w:eastAsia="zh-CN"/>
        </w:rPr>
        <w:t>英国2月产出显著增长，德法3月通胀持续回落</w:t>
      </w:r>
    </w:p>
    <w:p>
      <w:pPr>
        <w:ind w:firstLine="608" w:firstLineChars="200"/>
        <w:rPr>
          <w:rFonts w:hint="default"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4月12日（上周五），英国国家统计局公布英国的贸易账户数据（见表一）。</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jc w:val="center"/>
        <w:textAlignment w:val="auto"/>
        <w:rPr>
          <w:rFonts w:hint="eastAsia"/>
          <w:lang w:val="en-US" w:eastAsia="zh-CN"/>
        </w:rPr>
      </w:pPr>
      <w:r>
        <w:rPr>
          <w:rFonts w:hint="eastAsia"/>
          <w:lang w:val="en-US" w:eastAsia="zh-CN"/>
        </w:rPr>
        <w:drawing>
          <wp:inline distT="0" distB="0" distL="114300" distR="114300">
            <wp:extent cx="5614670" cy="784225"/>
            <wp:effectExtent l="0" t="0" r="5080" b="15875"/>
            <wp:docPr id="15" name="图片 15" descr="微信截图_20240416162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微信截图_20240416162045"/>
                    <pic:cNvPicPr>
                      <a:picLocks noChangeAspect="1"/>
                    </pic:cNvPicPr>
                  </pic:nvPicPr>
                  <pic:blipFill>
                    <a:blip r:embed="rId14"/>
                    <a:stretch>
                      <a:fillRect/>
                    </a:stretch>
                  </pic:blipFill>
                  <pic:spPr>
                    <a:xfrm>
                      <a:off x="0" y="0"/>
                      <a:ext cx="5614670" cy="78422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textAlignment w:val="auto"/>
        <w:outlineLvl w:val="9"/>
        <w:rPr>
          <w:rFonts w:hint="eastAsia" w:ascii="Times New Roman" w:hAnsi="Times New Roman" w:eastAsia="方正楷体_GBK" w:cs="Calibri"/>
          <w:sz w:val="28"/>
          <w:szCs w:val="28"/>
          <w:lang w:val="en-US" w:eastAsia="zh-CN"/>
        </w:rPr>
      </w:pPr>
      <w:r>
        <w:rPr>
          <w:rFonts w:hint="eastAsia" w:ascii="Times New Roman" w:hAnsi="Times New Roman" w:eastAsia="方正楷体_GBK" w:cs="Calibri"/>
          <w:sz w:val="28"/>
          <w:szCs w:val="28"/>
          <w:lang w:val="en-US" w:eastAsia="zh-CN"/>
        </w:rPr>
        <w:t>（</w:t>
      </w:r>
      <w:r>
        <w:rPr>
          <w:rFonts w:hint="eastAsia" w:ascii="方正黑体_GBK" w:hAnsi="方正黑体_GBK" w:eastAsia="方正黑体_GBK" w:cs="方正黑体_GBK"/>
          <w:b/>
          <w:bCs/>
          <w:sz w:val="28"/>
          <w:szCs w:val="28"/>
          <w:highlight w:val="none"/>
          <w:lang w:val="en-US" w:eastAsia="zh-CN"/>
        </w:rPr>
        <w:t>注：</w:t>
      </w:r>
      <w:r>
        <w:rPr>
          <w:rFonts w:hint="eastAsia" w:ascii="Times New Roman" w:hAnsi="Times New Roman" w:eastAsia="方正楷体_GBK" w:cs="Calibri"/>
          <w:sz w:val="28"/>
          <w:szCs w:val="28"/>
          <w:lang w:val="en-US" w:eastAsia="zh-CN"/>
        </w:rPr>
        <w:t>“</w:t>
      </w:r>
      <w:r>
        <w:rPr>
          <w:rFonts w:hint="default" w:ascii="Times New Roman" w:hAnsi="Times New Roman" w:eastAsia="方正楷体_GBK" w:cs="Calibri"/>
          <w:b/>
          <w:bCs/>
          <w:sz w:val="28"/>
          <w:szCs w:val="28"/>
          <w:lang w:val="en-US" w:eastAsia="zh-CN"/>
        </w:rPr>
        <w:t>贸易账</w:t>
      </w:r>
      <w:r>
        <w:rPr>
          <w:rFonts w:hint="eastAsia" w:ascii="Times New Roman" w:hAnsi="Times New Roman" w:eastAsia="方正楷体_GBK" w:cs="Calibri"/>
          <w:sz w:val="28"/>
          <w:szCs w:val="28"/>
          <w:lang w:val="en-US" w:eastAsia="zh-CN"/>
        </w:rPr>
        <w:t>”</w:t>
      </w:r>
      <w:r>
        <w:rPr>
          <w:rFonts w:hint="default" w:ascii="Times New Roman" w:hAnsi="Times New Roman" w:eastAsia="方正楷体_GBK" w:cs="Calibri"/>
          <w:sz w:val="28"/>
          <w:szCs w:val="28"/>
          <w:lang w:val="en-US" w:eastAsia="zh-CN"/>
        </w:rPr>
        <w:t>是国际收支账户的重要组成部分。</w:t>
      </w:r>
      <w:r>
        <w:rPr>
          <w:rFonts w:hint="eastAsia" w:ascii="Times New Roman" w:hAnsi="Times New Roman" w:eastAsia="方正楷体_GBK" w:cs="Calibri"/>
          <w:sz w:val="28"/>
          <w:szCs w:val="28"/>
          <w:lang w:val="en-US" w:eastAsia="zh-CN"/>
        </w:rPr>
        <w:t>“</w:t>
      </w:r>
      <w:r>
        <w:rPr>
          <w:rFonts w:hint="default" w:ascii="Times New Roman" w:hAnsi="Times New Roman" w:eastAsia="方正楷体_GBK" w:cs="Calibri"/>
          <w:b/>
          <w:bCs/>
          <w:sz w:val="28"/>
          <w:szCs w:val="28"/>
          <w:lang w:val="en-US" w:eastAsia="zh-CN"/>
        </w:rPr>
        <w:t>贸易账</w:t>
      </w:r>
      <w:r>
        <w:rPr>
          <w:rFonts w:hint="eastAsia" w:ascii="Times New Roman" w:hAnsi="Times New Roman" w:eastAsia="方正楷体_GBK" w:cs="Calibri"/>
          <w:b/>
          <w:bCs/>
          <w:sz w:val="28"/>
          <w:szCs w:val="28"/>
          <w:lang w:val="en-US" w:eastAsia="zh-CN"/>
        </w:rPr>
        <w:t>户</w:t>
      </w:r>
      <w:r>
        <w:rPr>
          <w:rFonts w:hint="eastAsia" w:ascii="Times New Roman" w:hAnsi="Times New Roman" w:eastAsia="方正楷体_GBK" w:cs="Calibri"/>
          <w:sz w:val="28"/>
          <w:szCs w:val="28"/>
          <w:lang w:val="en-US" w:eastAsia="zh-CN"/>
        </w:rPr>
        <w:t>”</w:t>
      </w:r>
      <w:r>
        <w:rPr>
          <w:rFonts w:hint="default" w:ascii="Times New Roman" w:hAnsi="Times New Roman" w:eastAsia="方正楷体_GBK" w:cs="Calibri"/>
          <w:sz w:val="28"/>
          <w:szCs w:val="28"/>
          <w:lang w:val="en-US" w:eastAsia="zh-CN"/>
        </w:rPr>
        <w:t>（Trade Account）</w:t>
      </w:r>
      <w:r>
        <w:rPr>
          <w:rFonts w:hint="eastAsia" w:ascii="Times New Roman" w:hAnsi="Times New Roman" w:eastAsia="方正楷体_GBK" w:cs="Calibri"/>
          <w:sz w:val="28"/>
          <w:szCs w:val="28"/>
          <w:lang w:val="en-US" w:eastAsia="zh-CN"/>
        </w:rPr>
        <w:t>，记录了</w:t>
      </w:r>
      <w:r>
        <w:rPr>
          <w:rFonts w:hint="default" w:ascii="Times New Roman" w:hAnsi="Times New Roman" w:eastAsia="方正楷体_GBK" w:cs="Calibri"/>
          <w:sz w:val="28"/>
          <w:szCs w:val="28"/>
          <w:lang w:val="en-US" w:eastAsia="zh-CN"/>
        </w:rPr>
        <w:t>一个国家</w:t>
      </w:r>
      <w:r>
        <w:rPr>
          <w:rFonts w:hint="eastAsia" w:ascii="Times New Roman" w:hAnsi="Times New Roman" w:eastAsia="方正楷体_GBK" w:cs="Calibri"/>
          <w:sz w:val="28"/>
          <w:szCs w:val="28"/>
          <w:lang w:val="en-US" w:eastAsia="zh-CN"/>
        </w:rPr>
        <w:t>（</w:t>
      </w:r>
      <w:r>
        <w:rPr>
          <w:rFonts w:hint="default" w:ascii="Times New Roman" w:hAnsi="Times New Roman" w:eastAsia="方正楷体_GBK" w:cs="Calibri"/>
          <w:sz w:val="28"/>
          <w:szCs w:val="28"/>
          <w:lang w:val="en-US" w:eastAsia="zh-CN"/>
        </w:rPr>
        <w:t>地区</w:t>
      </w:r>
      <w:r>
        <w:rPr>
          <w:rFonts w:hint="eastAsia" w:ascii="Times New Roman" w:hAnsi="Times New Roman" w:eastAsia="方正楷体_GBK" w:cs="Calibri"/>
          <w:sz w:val="28"/>
          <w:szCs w:val="28"/>
          <w:lang w:val="en-US" w:eastAsia="zh-CN"/>
        </w:rPr>
        <w:t>）在一定时期内，</w:t>
      </w:r>
      <w:r>
        <w:rPr>
          <w:rFonts w:hint="default" w:ascii="Times New Roman" w:hAnsi="Times New Roman" w:eastAsia="方正楷体_GBK" w:cs="Calibri"/>
          <w:sz w:val="28"/>
          <w:szCs w:val="28"/>
          <w:lang w:val="en-US" w:eastAsia="zh-CN"/>
        </w:rPr>
        <w:t>货物</w:t>
      </w:r>
      <w:r>
        <w:rPr>
          <w:rFonts w:hint="eastAsia" w:ascii="Times New Roman" w:hAnsi="Times New Roman" w:eastAsia="方正楷体_GBK" w:cs="Calibri"/>
          <w:sz w:val="28"/>
          <w:szCs w:val="28"/>
          <w:lang w:val="en-US" w:eastAsia="zh-CN"/>
        </w:rPr>
        <w:t>贸易</w:t>
      </w:r>
      <w:r>
        <w:rPr>
          <w:rFonts w:hint="default" w:ascii="Times New Roman" w:hAnsi="Times New Roman" w:eastAsia="方正楷体_GBK" w:cs="Calibri"/>
          <w:sz w:val="28"/>
          <w:szCs w:val="28"/>
          <w:lang w:val="en-US" w:eastAsia="zh-CN"/>
        </w:rPr>
        <w:t>和服务贸易的总体情况</w:t>
      </w:r>
      <w:r>
        <w:rPr>
          <w:rFonts w:hint="eastAsia" w:ascii="Times New Roman" w:hAnsi="Times New Roman" w:eastAsia="方正楷体_GBK" w:cs="Calibri"/>
          <w:sz w:val="28"/>
          <w:szCs w:val="28"/>
          <w:lang w:val="en-US" w:eastAsia="zh-CN"/>
        </w:rPr>
        <w:t>，当</w:t>
      </w:r>
      <w:r>
        <w:rPr>
          <w:rFonts w:hint="default" w:ascii="Times New Roman" w:hAnsi="Times New Roman" w:eastAsia="方正楷体_GBK" w:cs="Calibri"/>
          <w:sz w:val="28"/>
          <w:szCs w:val="28"/>
          <w:lang w:val="en-US" w:eastAsia="zh-CN"/>
        </w:rPr>
        <w:t>出口和进口</w:t>
      </w:r>
      <w:r>
        <w:rPr>
          <w:rFonts w:hint="eastAsia" w:ascii="Times New Roman" w:hAnsi="Times New Roman" w:eastAsia="方正楷体_GBK" w:cs="Calibri"/>
          <w:sz w:val="28"/>
          <w:szCs w:val="28"/>
          <w:lang w:val="en-US" w:eastAsia="zh-CN"/>
        </w:rPr>
        <w:t>相减</w:t>
      </w:r>
      <w:r>
        <w:rPr>
          <w:rFonts w:hint="default" w:ascii="Times New Roman" w:hAnsi="Times New Roman" w:eastAsia="方正楷体_GBK" w:cs="Calibri"/>
          <w:sz w:val="28"/>
          <w:szCs w:val="28"/>
          <w:lang w:val="en-US" w:eastAsia="zh-CN"/>
        </w:rPr>
        <w:t>差额</w:t>
      </w:r>
      <w:r>
        <w:rPr>
          <w:rFonts w:hint="eastAsia" w:ascii="Times New Roman" w:hAnsi="Times New Roman" w:eastAsia="方正楷体_GBK" w:cs="Calibri"/>
          <w:sz w:val="28"/>
          <w:szCs w:val="28"/>
          <w:lang w:val="en-US" w:eastAsia="zh-CN"/>
        </w:rPr>
        <w:t>为</w:t>
      </w:r>
      <w:r>
        <w:rPr>
          <w:rFonts w:hint="default" w:ascii="Times New Roman" w:hAnsi="Times New Roman" w:eastAsia="方正楷体_GBK" w:cs="Calibri"/>
          <w:sz w:val="28"/>
          <w:szCs w:val="28"/>
          <w:lang w:val="en-US" w:eastAsia="zh-CN"/>
        </w:rPr>
        <w:t>正值</w:t>
      </w:r>
      <w:r>
        <w:rPr>
          <w:rFonts w:hint="eastAsia" w:ascii="Times New Roman" w:hAnsi="Times New Roman" w:eastAsia="方正楷体_GBK" w:cs="Calibri"/>
          <w:sz w:val="28"/>
          <w:szCs w:val="28"/>
          <w:lang w:val="en-US" w:eastAsia="zh-CN"/>
        </w:rPr>
        <w:t>时，</w:t>
      </w:r>
      <w:r>
        <w:rPr>
          <w:rFonts w:hint="default" w:ascii="Times New Roman" w:hAnsi="Times New Roman" w:eastAsia="方正楷体_GBK" w:cs="Calibri"/>
          <w:sz w:val="28"/>
          <w:szCs w:val="28"/>
          <w:lang w:val="en-US" w:eastAsia="zh-CN"/>
        </w:rPr>
        <w:t>表示贸易顺</w:t>
      </w:r>
      <w:r>
        <w:rPr>
          <w:rFonts w:hint="eastAsia" w:ascii="Times New Roman" w:hAnsi="Times New Roman" w:eastAsia="方正楷体_GBK" w:cs="Calibri"/>
          <w:sz w:val="28"/>
          <w:szCs w:val="28"/>
          <w:lang w:val="en-US" w:eastAsia="zh-CN"/>
        </w:rPr>
        <w:t>差；</w:t>
      </w:r>
      <w:r>
        <w:rPr>
          <w:rFonts w:hint="default" w:ascii="Times New Roman" w:hAnsi="Times New Roman" w:eastAsia="方正楷体_GBK" w:cs="Calibri"/>
          <w:sz w:val="28"/>
          <w:szCs w:val="28"/>
          <w:lang w:val="en-US" w:eastAsia="zh-CN"/>
        </w:rPr>
        <w:t>负值</w:t>
      </w:r>
      <w:r>
        <w:rPr>
          <w:rFonts w:hint="eastAsia" w:ascii="Times New Roman" w:hAnsi="Times New Roman" w:eastAsia="方正楷体_GBK" w:cs="Calibri"/>
          <w:sz w:val="28"/>
          <w:szCs w:val="28"/>
          <w:lang w:val="en-US" w:eastAsia="zh-CN"/>
        </w:rPr>
        <w:t>，则</w:t>
      </w:r>
      <w:r>
        <w:rPr>
          <w:rFonts w:hint="default" w:ascii="Times New Roman" w:hAnsi="Times New Roman" w:eastAsia="方正楷体_GBK" w:cs="Calibri"/>
          <w:sz w:val="28"/>
          <w:szCs w:val="28"/>
          <w:lang w:val="en-US" w:eastAsia="zh-CN"/>
        </w:rPr>
        <w:t>表示贸易逆差。</w:t>
      </w:r>
      <w:r>
        <w:rPr>
          <w:rFonts w:hint="eastAsia" w:ascii="Times New Roman" w:hAnsi="Times New Roman" w:eastAsia="方正楷体_GBK" w:cs="Calibri"/>
          <w:sz w:val="28"/>
          <w:szCs w:val="28"/>
          <w:lang w:val="en-US" w:eastAsia="zh-CN"/>
        </w:rPr>
        <w:t>“</w:t>
      </w:r>
      <w:r>
        <w:rPr>
          <w:rFonts w:hint="eastAsia" w:ascii="Times New Roman" w:hAnsi="Times New Roman" w:eastAsia="方正楷体_GBK" w:cs="Calibri"/>
          <w:b/>
          <w:bCs/>
          <w:sz w:val="28"/>
          <w:szCs w:val="28"/>
          <w:lang w:val="en-US" w:eastAsia="zh-CN"/>
        </w:rPr>
        <w:t>商品贸易账</w:t>
      </w:r>
      <w:r>
        <w:rPr>
          <w:rFonts w:hint="eastAsia" w:ascii="Times New Roman" w:hAnsi="Times New Roman" w:eastAsia="方正楷体_GBK" w:cs="Calibri"/>
          <w:sz w:val="28"/>
          <w:szCs w:val="28"/>
          <w:lang w:val="en-US" w:eastAsia="zh-CN"/>
        </w:rPr>
        <w:t>”则指其中货物贸易出口与进口相较的差额。）</w:t>
      </w:r>
    </w:p>
    <w:p>
      <w:pPr>
        <w:ind w:firstLine="608" w:firstLineChars="200"/>
        <w:rPr>
          <w:rFonts w:hint="default"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英国是我重要贸易伙伴，通常排我出口市场的第十位，2023年，我对英出口779亿美元，同比下降3.4%。根据英国统计数据，其前三大贸易伙伴分别为欧盟、中国和美国。</w:t>
      </w:r>
    </w:p>
    <w:p>
      <w:pPr>
        <w:ind w:firstLine="608"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4月12日，英国国家统计局还发布了工业生产的相关数据（见表二）。从表中可以看到，在工业产出增长的推动下，英国整个经济（GDP指标）开始显著复苏。</w:t>
      </w:r>
    </w:p>
    <w:p>
      <w:pPr>
        <w:ind w:firstLine="608"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2023年，英国GDP为2.89万亿美元，在欧洲仅次于德国，居第二位；在全球范围内，次于美国、中国、德国、日本和印度，居第六位。</w:t>
      </w:r>
    </w:p>
    <w:p>
      <w:pPr>
        <w:ind w:firstLine="608"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2022年伊丽莎白·特拉斯出任首相后，推出的改革方案引发了金融风暴，于10月20日离任，执政仅45天。随后，英国迎来了四年内的第四位首相里希·苏纳克。</w:t>
      </w:r>
    </w:p>
    <w:p>
      <w:pPr>
        <w:ind w:firstLine="608" w:firstLineChars="200"/>
        <w:rPr>
          <w:rFonts w:hint="eastAsia"/>
          <w:vertAlign w:val="baseline"/>
          <w:lang w:val="en-US" w:eastAsia="zh-CN"/>
        </w:rPr>
      </w:pPr>
      <w:r>
        <w:rPr>
          <w:rFonts w:hint="eastAsia" w:ascii="Times New Roman" w:hAnsi="Times New Roman" w:cs="Times New Roman"/>
          <w:sz w:val="32"/>
          <w:szCs w:val="32"/>
          <w:lang w:val="en-US" w:eastAsia="zh-CN"/>
        </w:rPr>
        <w:t>2023年初，英国经济前景显得一片黯淡。能源价格飙升，推动通胀高企，英国央行出手调高利率，工资水平普遍下降……对英国民众来说，当时的政治不稳定只是小问题而已，经济才是大麻烦。出乎意料的是，2023年的英国经济并未衰退，还取得了微弱增长（GDP增长约 0.5%），被视为相当不错的结果。</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jc w:val="center"/>
        <w:textAlignment w:val="auto"/>
        <w:rPr>
          <w:rFonts w:hint="eastAsia"/>
          <w:lang w:val="en-US" w:eastAsia="zh-CN"/>
        </w:rPr>
      </w:pPr>
      <w:r>
        <w:rPr>
          <w:rFonts w:hint="eastAsia"/>
          <w:lang w:val="en-US" w:eastAsia="zh-CN"/>
        </w:rPr>
        <w:drawing>
          <wp:inline distT="0" distB="0" distL="114300" distR="114300">
            <wp:extent cx="5610860" cy="1937385"/>
            <wp:effectExtent l="0" t="0" r="8890" b="5715"/>
            <wp:docPr id="16" name="图片 16" descr="微信截图_20240416162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微信截图_20240416162238"/>
                    <pic:cNvPicPr>
                      <a:picLocks noChangeAspect="1"/>
                    </pic:cNvPicPr>
                  </pic:nvPicPr>
                  <pic:blipFill>
                    <a:blip r:embed="rId15"/>
                    <a:stretch>
                      <a:fillRect/>
                    </a:stretch>
                  </pic:blipFill>
                  <pic:spPr>
                    <a:xfrm>
                      <a:off x="0" y="0"/>
                      <a:ext cx="5610860" cy="193738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textAlignment w:val="auto"/>
        <w:outlineLvl w:val="9"/>
        <w:rPr>
          <w:rFonts w:hint="eastAsia" w:ascii="Times New Roman" w:hAnsi="Times New Roman" w:eastAsia="方正楷体_GBK" w:cs="Calibri"/>
          <w:sz w:val="28"/>
          <w:szCs w:val="28"/>
          <w:lang w:val="en-US" w:eastAsia="zh-CN"/>
        </w:rPr>
      </w:pPr>
      <w:r>
        <w:rPr>
          <w:rFonts w:hint="eastAsia" w:ascii="Times New Roman" w:hAnsi="Times New Roman" w:eastAsia="方正楷体_GBK" w:cs="Calibri"/>
          <w:sz w:val="28"/>
          <w:szCs w:val="28"/>
          <w:lang w:val="en-US" w:eastAsia="zh-CN"/>
        </w:rPr>
        <w:t>（</w:t>
      </w:r>
      <w:r>
        <w:rPr>
          <w:rFonts w:hint="eastAsia" w:ascii="方正黑体_GBK" w:hAnsi="方正黑体_GBK" w:eastAsia="方正黑体_GBK" w:cs="方正黑体_GBK"/>
          <w:b/>
          <w:bCs/>
          <w:sz w:val="28"/>
          <w:szCs w:val="28"/>
          <w:highlight w:val="none"/>
          <w:lang w:val="en-US" w:eastAsia="zh-CN"/>
        </w:rPr>
        <w:t>注</w:t>
      </w:r>
      <w:r>
        <w:rPr>
          <w:rFonts w:hint="eastAsia" w:ascii="Times New Roman" w:hAnsi="Times New Roman" w:eastAsia="方正楷体_GBK" w:cs="Calibri"/>
          <w:sz w:val="28"/>
          <w:szCs w:val="28"/>
          <w:lang w:val="en-US" w:eastAsia="zh-CN"/>
        </w:rPr>
        <w:t>：</w:t>
      </w:r>
      <w:r>
        <w:rPr>
          <w:rFonts w:hint="default" w:ascii="Times New Roman" w:hAnsi="Times New Roman" w:eastAsia="方正楷体_GBK" w:cs="Calibri"/>
          <w:sz w:val="28"/>
          <w:szCs w:val="28"/>
          <w:lang w:val="en-US" w:eastAsia="zh-CN"/>
        </w:rPr>
        <w:t>从统计的角度来看，工业产出是一个更为广泛的概念，它不仅包括制造业，还包括采矿业、公用事业等其他与工业部门相关的企业的产出。而制造业产出则专门指代那些通过制造活动直接生产出的产品，这些产品往往是具体的、有形的商品</w:t>
      </w:r>
      <w:r>
        <w:rPr>
          <w:rFonts w:hint="eastAsia" w:ascii="Times New Roman" w:hAnsi="Times New Roman" w:eastAsia="方正楷体_GBK" w:cs="Calibri"/>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textAlignment w:val="auto"/>
        <w:outlineLvl w:val="9"/>
        <w:rPr>
          <w:rFonts w:hint="eastAsia" w:ascii="Times New Roman" w:hAnsi="Times New Roman" w:eastAsia="方正楷体_GBK"/>
          <w:sz w:val="28"/>
          <w:szCs w:val="28"/>
          <w:vertAlign w:val="baseline"/>
          <w:lang w:val="en-US" w:eastAsia="zh-CN"/>
        </w:rPr>
      </w:pPr>
      <w:r>
        <w:rPr>
          <w:rFonts w:hint="default" w:ascii="Times New Roman" w:hAnsi="Times New Roman" w:eastAsia="方正楷体_GBK" w:cs="Calibri"/>
          <w:sz w:val="28"/>
          <w:szCs w:val="28"/>
          <w:lang w:val="en-US" w:eastAsia="zh-CN"/>
        </w:rPr>
        <w:t>工业产出的增长反映了整个工业部门的发展水平，包括了制造业在内的多个子行业。制造业产出的增长则更多地体现了制造业内部的技术进步和生产效率的提升，以及对经济增长的贡献</w:t>
      </w:r>
      <w:r>
        <w:rPr>
          <w:rFonts w:hint="eastAsia" w:ascii="Times New Roman" w:hAnsi="Times New Roman" w:eastAsia="方正楷体_GBK" w:cs="Calibri"/>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textAlignment w:val="auto"/>
        <w:outlineLvl w:val="9"/>
        <w:rPr>
          <w:rFonts w:hint="eastAsia" w:ascii="Times New Roman" w:hAnsi="Times New Roman" w:eastAsia="方正楷体_GBK" w:cs="Calibri"/>
          <w:sz w:val="28"/>
          <w:szCs w:val="28"/>
          <w:lang w:val="en-US" w:eastAsia="zh-CN"/>
        </w:rPr>
      </w:pPr>
      <w:r>
        <w:rPr>
          <w:rFonts w:hint="eastAsia" w:ascii="Times New Roman" w:hAnsi="Times New Roman" w:eastAsia="方正楷体_GBK" w:cs="Calibri"/>
          <w:sz w:val="28"/>
          <w:szCs w:val="28"/>
          <w:lang w:val="en-US" w:eastAsia="zh-CN"/>
        </w:rPr>
        <w:t>另，所谓“三个月GDP环比”，是指截至2月底的三个月GDP总和对于之前三个月GDP总和的相对增长率。）</w:t>
      </w:r>
    </w:p>
    <w:p>
      <w:pPr>
        <w:ind w:firstLine="608"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4月12日（上周五），德国和法国公布3月CPI数据（见表三）。</w:t>
      </w:r>
    </w:p>
    <w:p>
      <w:pPr>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drawing>
          <wp:inline distT="0" distB="0" distL="114300" distR="114300">
            <wp:extent cx="5525135" cy="1438275"/>
            <wp:effectExtent l="0" t="0" r="18415" b="9525"/>
            <wp:docPr id="17" name="图片 17" descr="微信截图_20240416162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微信截图_20240416162506"/>
                    <pic:cNvPicPr>
                      <a:picLocks noChangeAspect="1"/>
                    </pic:cNvPicPr>
                  </pic:nvPicPr>
                  <pic:blipFill>
                    <a:blip r:embed="rId16"/>
                    <a:stretch>
                      <a:fillRect/>
                    </a:stretch>
                  </pic:blipFill>
                  <pic:spPr>
                    <a:xfrm>
                      <a:off x="0" y="0"/>
                      <a:ext cx="5525135" cy="1438275"/>
                    </a:xfrm>
                    <a:prstGeom prst="rect">
                      <a:avLst/>
                    </a:prstGeom>
                  </pic:spPr>
                </pic:pic>
              </a:graphicData>
            </a:graphic>
          </wp:inline>
        </w:drawing>
      </w:r>
    </w:p>
    <w:p>
      <w:pPr>
        <w:ind w:firstLine="608"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从数据看，欧元区通胀问题已基本消失，欧央行6月降息已成大概率事件。</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jc w:val="center"/>
        <w:textAlignment w:val="auto"/>
        <w:rPr>
          <w:rFonts w:hint="eastAsia"/>
          <w:lang w:val="en-US" w:eastAsia="zh-CN"/>
        </w:rPr>
      </w:pP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jc w:val="center"/>
        <w:textAlignment w:val="auto"/>
        <w:rPr>
          <w:rFonts w:hint="eastAsia"/>
          <w:lang w:val="en-US" w:eastAsia="zh-CN"/>
        </w:rPr>
      </w:pPr>
    </w:p>
    <w:p>
      <w:pPr>
        <w:ind w:left="0" w:leftChars="0" w:firstLine="0" w:firstLineChars="0"/>
        <w:jc w:val="left"/>
        <w:rPr>
          <w:rFonts w:hint="default" w:ascii="Times New Roman" w:hAnsi="Times New Roman" w:eastAsia="方正魏碑简体" w:cs="Times New Roman"/>
          <w:b/>
          <w:bCs/>
          <w:color w:val="0000FF"/>
          <w:sz w:val="32"/>
          <w:szCs w:val="40"/>
          <w:highlight w:val="yellow"/>
          <w:lang w:val="en-US" w:eastAsia="zh-CN"/>
        </w:rPr>
      </w:pPr>
      <w:r>
        <w:rPr>
          <w:rFonts w:hint="eastAsia" w:ascii="Times New Roman" w:hAnsi="Times New Roman" w:eastAsia="方正小标宋_GBK" w:cs="Times New Roman"/>
          <w:b/>
          <w:bCs/>
          <w:color w:val="FF0000"/>
          <w:sz w:val="32"/>
          <w:szCs w:val="40"/>
          <w:highlight w:val="yellow"/>
          <w:lang w:val="en-US" w:eastAsia="zh-CN"/>
        </w:rPr>
        <w:t>4</w:t>
      </w:r>
      <w:r>
        <w:rPr>
          <w:rFonts w:hint="default" w:ascii="Times New Roman" w:hAnsi="Times New Roman" w:eastAsia="方正小标宋_GBK" w:cs="Times New Roman"/>
          <w:b/>
          <w:bCs/>
          <w:color w:val="FF0000"/>
          <w:sz w:val="32"/>
          <w:szCs w:val="40"/>
          <w:highlight w:val="yellow"/>
          <w:lang w:val="en-US" w:eastAsia="zh-CN"/>
        </w:rPr>
        <w:t>月</w:t>
      </w:r>
      <w:r>
        <w:rPr>
          <w:rFonts w:hint="eastAsia" w:ascii="Times New Roman" w:hAnsi="Times New Roman" w:eastAsia="方正小标宋_GBK" w:cs="Times New Roman"/>
          <w:b/>
          <w:bCs/>
          <w:color w:val="FF0000"/>
          <w:sz w:val="32"/>
          <w:szCs w:val="40"/>
          <w:highlight w:val="yellow"/>
          <w:lang w:val="en-US" w:eastAsia="zh-CN"/>
        </w:rPr>
        <w:t>16</w:t>
      </w:r>
      <w:r>
        <w:rPr>
          <w:rFonts w:hint="default" w:ascii="Times New Roman" w:hAnsi="Times New Roman" w:eastAsia="方正小标宋_GBK" w:cs="Times New Roman"/>
          <w:b/>
          <w:bCs/>
          <w:color w:val="FF0000"/>
          <w:sz w:val="32"/>
          <w:szCs w:val="40"/>
          <w:highlight w:val="yellow"/>
          <w:lang w:val="en-US" w:eastAsia="zh-CN"/>
        </w:rPr>
        <w:t>日</w:t>
      </w:r>
      <w:r>
        <w:rPr>
          <w:rFonts w:hint="default" w:ascii="Times New Roman" w:hAnsi="Times New Roman" w:eastAsia="方正魏碑简体" w:cs="Times New Roman"/>
          <w:b/>
          <w:bCs/>
          <w:color w:val="0000FF"/>
          <w:sz w:val="32"/>
          <w:szCs w:val="40"/>
          <w:highlight w:val="yellow"/>
          <w:lang w:val="en-US" w:eastAsia="zh-CN"/>
        </w:rPr>
        <w:t>（周</w:t>
      </w:r>
      <w:r>
        <w:rPr>
          <w:rFonts w:hint="eastAsia" w:ascii="Times New Roman" w:hAnsi="Times New Roman" w:eastAsia="方正魏碑简体" w:cs="Times New Roman"/>
          <w:b/>
          <w:bCs/>
          <w:color w:val="0000FF"/>
          <w:sz w:val="32"/>
          <w:szCs w:val="40"/>
          <w:highlight w:val="yellow"/>
          <w:lang w:val="en-US" w:eastAsia="zh-CN"/>
        </w:rPr>
        <w:t>二</w:t>
      </w:r>
      <w:r>
        <w:rPr>
          <w:rFonts w:hint="default" w:ascii="Times New Roman" w:hAnsi="Times New Roman" w:eastAsia="方正魏碑简体" w:cs="Times New Roman"/>
          <w:b/>
          <w:bCs/>
          <w:color w:val="0000FF"/>
          <w:sz w:val="32"/>
          <w:szCs w:val="40"/>
          <w:highlight w:val="yellow"/>
          <w:lang w:val="en-US" w:eastAsia="zh-CN"/>
        </w:rPr>
        <w:t>）</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jc w:val="center"/>
        <w:textAlignment w:val="auto"/>
        <w:rPr>
          <w:rFonts w:hint="eastAsia" w:ascii="Times New Roman" w:hAnsi="Times New Roman" w:eastAsia="方正小标宋_GBK" w:cs="Times New Roman"/>
          <w:b/>
          <w:bCs/>
          <w:color w:val="0000FF"/>
          <w:sz w:val="36"/>
          <w:szCs w:val="44"/>
          <w:highlight w:val="yellow"/>
          <w:lang w:val="en-US" w:eastAsia="zh-CN"/>
        </w:rPr>
      </w:pPr>
      <w:r>
        <w:rPr>
          <w:rFonts w:hint="eastAsia" w:ascii="Times New Roman" w:hAnsi="Times New Roman" w:eastAsia="方正小标宋_GBK" w:cs="Times New Roman"/>
          <w:b/>
          <w:bCs/>
          <w:color w:val="0000FF"/>
          <w:sz w:val="36"/>
          <w:szCs w:val="44"/>
          <w:highlight w:val="yellow"/>
          <w:lang w:val="en-US" w:eastAsia="zh-CN"/>
        </w:rPr>
        <w:t>德国总理访华，美国通胀顽固</w:t>
      </w:r>
    </w:p>
    <w:p>
      <w:pPr>
        <w:ind w:firstLine="608" w:firstLineChars="200"/>
        <w:jc w:val="left"/>
        <w:rPr>
          <w:rFonts w:hint="default"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一、德国总理率经贸团访华</w:t>
      </w:r>
    </w:p>
    <w:tbl>
      <w:tblPr>
        <w:tblStyle w:val="15"/>
        <w:tblpPr w:leftFromText="180" w:rightFromText="180" w:vertAnchor="text" w:horzAnchor="page" w:tblpX="1646" w:tblpY="119"/>
        <w:tblOverlap w:val="never"/>
        <w:tblW w:w="89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44"/>
        <w:gridCol w:w="44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207" w:hRule="atLeast"/>
        </w:trPr>
        <w:tc>
          <w:tcPr>
            <w:tcW w:w="4444" w:type="dxa"/>
            <w:tcBorders>
              <w:tl2br w:val="nil"/>
              <w:tr2bl w:val="nil"/>
            </w:tcBorders>
            <w:vAlign w:val="top"/>
          </w:tcPr>
          <w:p>
            <w:pPr>
              <w:jc w:val="left"/>
            </w:pPr>
            <w:r>
              <w:drawing>
                <wp:inline distT="0" distB="0" distL="114300" distR="114300">
                  <wp:extent cx="2694940" cy="1516380"/>
                  <wp:effectExtent l="0" t="0" r="10160" b="7620"/>
                  <wp:docPr id="2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5"/>
                          <pic:cNvPicPr>
                            <a:picLocks noChangeAspect="1"/>
                          </pic:cNvPicPr>
                        </pic:nvPicPr>
                        <pic:blipFill>
                          <a:blip r:embed="rId17"/>
                          <a:stretch>
                            <a:fillRect/>
                          </a:stretch>
                        </pic:blipFill>
                        <pic:spPr>
                          <a:xfrm>
                            <a:off x="0" y="0"/>
                            <a:ext cx="2694940" cy="151638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lang w:val="en-US" w:eastAsia="zh-CN"/>
              </w:rPr>
            </w:pPr>
            <w:r>
              <w:rPr>
                <w:rFonts w:hint="eastAsia" w:ascii="仿宋_GB2312" w:hAnsi="仿宋_GB2312" w:eastAsia="方正楷体_GBK" w:cs="仿宋_GB2312"/>
                <w:lang w:val="en-US" w:eastAsia="zh-CN"/>
              </w:rPr>
              <w:t>（图：德国总理朔尔茨参观博世重庆生产基地）</w:t>
            </w:r>
          </w:p>
        </w:tc>
        <w:tc>
          <w:tcPr>
            <w:tcW w:w="4496" w:type="dxa"/>
            <w:tcBorders>
              <w:tl2br w:val="nil"/>
              <w:tr2bl w:val="nil"/>
            </w:tcBorders>
            <w:vAlign w:val="top"/>
          </w:tcPr>
          <w:p>
            <w:pPr>
              <w:ind w:firstLine="608" w:firstLineChars="200"/>
              <w:rPr>
                <w:rFonts w:hint="default" w:ascii="Times New Roman" w:hAnsi="Times New Roman" w:cs="Times New Roman"/>
                <w:sz w:val="32"/>
                <w:szCs w:val="32"/>
                <w:vertAlign w:val="baseline"/>
              </w:rPr>
            </w:pPr>
            <w:r>
              <w:rPr>
                <w:rFonts w:hint="eastAsia" w:ascii="Times New Roman" w:hAnsi="Times New Roman" w:cs="Times New Roman"/>
                <w:sz w:val="32"/>
                <w:szCs w:val="32"/>
                <w:lang w:val="en-US" w:eastAsia="zh-CN"/>
              </w:rPr>
              <w:t>德国总理朔尔茨于4月14日至16日对中国进行正式访问。这是他自2021年12月就任德国总理以来的第二次访华，也是今年首位访华的西方大国领导。</w:t>
            </w:r>
          </w:p>
        </w:tc>
      </w:tr>
    </w:tbl>
    <w:p>
      <w:pPr>
        <w:ind w:firstLine="608"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此次随同其访华的，有德国联邦政府环境部、农业部和交通部的三位部长，以及由西门子、拜耳、奔驰等重量级企业家组成的经济代表团。此次访问被视为中德全方位战略伙伴关系深入发展的重要一步，旨在为两国关系注入新动力。</w:t>
      </w:r>
    </w:p>
    <w:p>
      <w:pPr>
        <w:ind w:firstLine="608"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据德国联邦统计局数据，2023年德中双边贸易额为2531亿欧元。中国已经连续8年成为德国第一大贸易伙伴。</w:t>
      </w:r>
    </w:p>
    <w:p>
      <w:pPr>
        <w:ind w:firstLine="608" w:firstLineChars="200"/>
        <w:rPr>
          <w:rFonts w:hint="default"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4月15日（周一），欧盟统计局公布欧元区2月工业生产相关数据（见表格），数据仍不乐观。</w:t>
      </w:r>
    </w:p>
    <w:p>
      <w:pPr>
        <w:jc w:val="left"/>
        <w:rPr>
          <w:rFonts w:hint="eastAsia"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drawing>
          <wp:inline distT="0" distB="0" distL="114300" distR="114300">
            <wp:extent cx="5615305" cy="859790"/>
            <wp:effectExtent l="0" t="0" r="4445" b="16510"/>
            <wp:docPr id="19" name="图片 19" descr="微信截图_20240416164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微信截图_20240416164200"/>
                    <pic:cNvPicPr>
                      <a:picLocks noChangeAspect="1"/>
                    </pic:cNvPicPr>
                  </pic:nvPicPr>
                  <pic:blipFill>
                    <a:blip r:embed="rId18"/>
                    <a:stretch>
                      <a:fillRect/>
                    </a:stretch>
                  </pic:blipFill>
                  <pic:spPr>
                    <a:xfrm>
                      <a:off x="0" y="0"/>
                      <a:ext cx="5615305" cy="859790"/>
                    </a:xfrm>
                    <a:prstGeom prst="rect">
                      <a:avLst/>
                    </a:prstGeom>
                  </pic:spPr>
                </pic:pic>
              </a:graphicData>
            </a:graphic>
          </wp:inline>
        </w:drawing>
      </w:r>
    </w:p>
    <w:p>
      <w:pPr>
        <w:ind w:firstLine="608" w:firstLineChars="200"/>
        <w:jc w:val="left"/>
        <w:rPr>
          <w:rFonts w:hint="eastAsia"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二、从零售销售到美债、美股和美元</w:t>
      </w:r>
    </w:p>
    <w:p>
      <w:pPr>
        <w:ind w:firstLine="608"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同日，</w:t>
      </w:r>
      <w:r>
        <w:rPr>
          <w:rFonts w:hint="default" w:ascii="Times New Roman" w:hAnsi="Times New Roman" w:cs="Times New Roman"/>
          <w:sz w:val="32"/>
          <w:szCs w:val="32"/>
          <w:lang w:val="en-US" w:eastAsia="zh-CN"/>
        </w:rPr>
        <w:t>美国</w:t>
      </w:r>
      <w:r>
        <w:rPr>
          <w:rFonts w:hint="eastAsia" w:ascii="Times New Roman" w:hAnsi="Times New Roman" w:cs="Times New Roman"/>
          <w:sz w:val="32"/>
          <w:szCs w:val="32"/>
          <w:lang w:val="en-US" w:eastAsia="zh-CN"/>
        </w:rPr>
        <w:t>公布</w:t>
      </w:r>
      <w:r>
        <w:rPr>
          <w:rFonts w:hint="default" w:ascii="Times New Roman" w:hAnsi="Times New Roman" w:cs="Times New Roman"/>
          <w:sz w:val="32"/>
          <w:szCs w:val="32"/>
          <w:lang w:val="en-US" w:eastAsia="zh-CN"/>
        </w:rPr>
        <w:t>3月零售销售环比</w:t>
      </w:r>
      <w:r>
        <w:rPr>
          <w:rFonts w:hint="eastAsia" w:ascii="Times New Roman" w:hAnsi="Times New Roman" w:cs="Times New Roman"/>
          <w:sz w:val="32"/>
          <w:szCs w:val="32"/>
          <w:lang w:val="en-US" w:eastAsia="zh-CN"/>
        </w:rPr>
        <w:t>增长</w:t>
      </w:r>
      <w:r>
        <w:rPr>
          <w:rFonts w:hint="default" w:ascii="Times New Roman" w:hAnsi="Times New Roman" w:cs="Times New Roman"/>
          <w:sz w:val="32"/>
          <w:szCs w:val="32"/>
          <w:lang w:val="en-US" w:eastAsia="zh-CN"/>
        </w:rPr>
        <w:t>0.7%</w:t>
      </w:r>
      <w:r>
        <w:rPr>
          <w:rFonts w:hint="eastAsia" w:ascii="Times New Roman" w:hAnsi="Times New Roman" w:cs="Times New Roman"/>
          <w:sz w:val="32"/>
          <w:szCs w:val="32"/>
          <w:lang w:val="en-US" w:eastAsia="zh-CN"/>
        </w:rPr>
        <w:t>，创去年9月以来新高，超过市场预期，显示出依然火热的消费市场。消费支出占美国GDP构成的七成左右，因此该数据出炉，打击了市场对美联储的降息预期。</w:t>
      </w:r>
    </w:p>
    <w:p>
      <w:pPr>
        <w:ind w:firstLine="608" w:firstLineChars="200"/>
        <w:rPr>
          <w:rFonts w:hint="default"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于是，美债遭抛售、收益率飙升，10年期美债收益率日内突破了4.6%，触及去年11月中旬以来的最高水平。因为10年期美债收益率的锚定作用，其一旦向上突破4.5%，就会给美股市场带来压力，果然，随着美债收益率走高，美股的抛压出现。</w:t>
      </w:r>
    </w:p>
    <w:p>
      <w:pPr>
        <w:ind w:firstLine="608" w:firstLineChars="200"/>
        <w:rPr>
          <w:rFonts w:hint="eastAsia" w:ascii="Times New Roman" w:hAnsi="Times New Roman" w:cs="Times New Roman"/>
          <w:sz w:val="32"/>
          <w:szCs w:val="32"/>
          <w:lang w:val="en-US" w:eastAsia="zh-CN"/>
        </w:rPr>
      </w:pPr>
      <w:r>
        <w:rPr>
          <w:rFonts w:hint="default" w:ascii="Times New Roman" w:hAnsi="Times New Roman" w:cs="Times New Roman"/>
          <w:sz w:val="32"/>
          <w:szCs w:val="32"/>
          <w:lang w:val="en-US" w:eastAsia="zh-CN"/>
        </w:rPr>
        <w:t>除了降息</w:t>
      </w:r>
      <w:r>
        <w:rPr>
          <w:rFonts w:hint="eastAsia" w:ascii="Times New Roman" w:hAnsi="Times New Roman" w:cs="Times New Roman"/>
          <w:sz w:val="32"/>
          <w:szCs w:val="32"/>
          <w:lang w:val="en-US" w:eastAsia="zh-CN"/>
        </w:rPr>
        <w:t>预期</w:t>
      </w:r>
      <w:r>
        <w:rPr>
          <w:rFonts w:hint="default" w:ascii="Times New Roman" w:hAnsi="Times New Roman" w:cs="Times New Roman"/>
          <w:sz w:val="32"/>
          <w:szCs w:val="32"/>
          <w:lang w:val="en-US" w:eastAsia="zh-CN"/>
        </w:rPr>
        <w:t>推迟之外，中东</w:t>
      </w:r>
      <w:r>
        <w:rPr>
          <w:rFonts w:hint="eastAsia" w:ascii="Times New Roman" w:hAnsi="Times New Roman" w:cs="Times New Roman"/>
          <w:sz w:val="32"/>
          <w:szCs w:val="32"/>
          <w:lang w:val="en-US" w:eastAsia="zh-CN"/>
        </w:rPr>
        <w:t>紧张</w:t>
      </w:r>
      <w:r>
        <w:rPr>
          <w:rFonts w:hint="default" w:ascii="Times New Roman" w:hAnsi="Times New Roman" w:cs="Times New Roman"/>
          <w:sz w:val="32"/>
          <w:szCs w:val="32"/>
          <w:lang w:val="en-US" w:eastAsia="zh-CN"/>
        </w:rPr>
        <w:t>局势升级</w:t>
      </w:r>
      <w:r>
        <w:rPr>
          <w:rFonts w:hint="eastAsia" w:ascii="Times New Roman" w:hAnsi="Times New Roman" w:cs="Times New Roman"/>
          <w:sz w:val="32"/>
          <w:szCs w:val="32"/>
          <w:lang w:val="en-US" w:eastAsia="zh-CN"/>
        </w:rPr>
        <w:t>是另一个</w:t>
      </w:r>
      <w:r>
        <w:rPr>
          <w:rFonts w:hint="default" w:ascii="Times New Roman" w:hAnsi="Times New Roman" w:cs="Times New Roman"/>
          <w:sz w:val="32"/>
          <w:szCs w:val="32"/>
          <w:lang w:val="en-US" w:eastAsia="zh-CN"/>
        </w:rPr>
        <w:t>美债</w:t>
      </w:r>
      <w:r>
        <w:rPr>
          <w:rFonts w:hint="eastAsia" w:ascii="Times New Roman" w:hAnsi="Times New Roman" w:cs="Times New Roman"/>
          <w:sz w:val="32"/>
          <w:szCs w:val="32"/>
          <w:lang w:val="en-US" w:eastAsia="zh-CN"/>
        </w:rPr>
        <w:t>被抛售的原因。市场担心</w:t>
      </w:r>
      <w:r>
        <w:rPr>
          <w:rFonts w:hint="default" w:ascii="Times New Roman" w:hAnsi="Times New Roman" w:cs="Times New Roman"/>
          <w:sz w:val="32"/>
          <w:szCs w:val="32"/>
          <w:lang w:val="en-US" w:eastAsia="zh-CN"/>
        </w:rPr>
        <w:t>美国</w:t>
      </w:r>
      <w:r>
        <w:rPr>
          <w:rFonts w:hint="eastAsia" w:ascii="Times New Roman" w:hAnsi="Times New Roman" w:cs="Times New Roman"/>
          <w:sz w:val="32"/>
          <w:szCs w:val="32"/>
          <w:lang w:val="en-US" w:eastAsia="zh-CN"/>
        </w:rPr>
        <w:t>会卷入巴以冲突</w:t>
      </w:r>
      <w:r>
        <w:rPr>
          <w:rFonts w:hint="default" w:ascii="Times New Roman" w:hAnsi="Times New Roman" w:cs="Times New Roman"/>
          <w:sz w:val="32"/>
          <w:szCs w:val="32"/>
          <w:lang w:val="en-US" w:eastAsia="zh-CN"/>
        </w:rPr>
        <w:t>，国防开支</w:t>
      </w:r>
      <w:r>
        <w:rPr>
          <w:rFonts w:hint="eastAsia" w:ascii="Times New Roman" w:hAnsi="Times New Roman" w:cs="Times New Roman"/>
          <w:sz w:val="32"/>
          <w:szCs w:val="32"/>
          <w:lang w:val="en-US" w:eastAsia="zh-CN"/>
        </w:rPr>
        <w:t>增加</w:t>
      </w:r>
      <w:r>
        <w:rPr>
          <w:rFonts w:hint="default" w:ascii="Times New Roman" w:hAnsi="Times New Roman" w:cs="Times New Roman"/>
          <w:sz w:val="32"/>
          <w:szCs w:val="32"/>
          <w:lang w:val="en-US" w:eastAsia="zh-CN"/>
        </w:rPr>
        <w:t>，推升通胀</w:t>
      </w:r>
      <w:r>
        <w:rPr>
          <w:rFonts w:hint="eastAsia" w:ascii="Times New Roman" w:hAnsi="Times New Roman" w:cs="Times New Roman"/>
          <w:sz w:val="32"/>
          <w:szCs w:val="32"/>
          <w:lang w:val="en-US" w:eastAsia="zh-CN"/>
        </w:rPr>
        <w:t>同时</w:t>
      </w:r>
      <w:r>
        <w:rPr>
          <w:rFonts w:hint="default" w:ascii="Times New Roman" w:hAnsi="Times New Roman" w:cs="Times New Roman"/>
          <w:sz w:val="32"/>
          <w:szCs w:val="32"/>
          <w:lang w:val="en-US" w:eastAsia="zh-CN"/>
        </w:rPr>
        <w:t>使美国财政状况恶化</w:t>
      </w:r>
      <w:r>
        <w:rPr>
          <w:rFonts w:hint="eastAsia" w:ascii="Times New Roman" w:hAnsi="Times New Roman" w:cs="Times New Roman"/>
          <w:sz w:val="32"/>
          <w:szCs w:val="32"/>
          <w:lang w:val="en-US" w:eastAsia="zh-CN"/>
        </w:rPr>
        <w:t>，增发国债将不可避免，因此先抛出手中持有的债券。</w:t>
      </w:r>
    </w:p>
    <w:p>
      <w:pPr>
        <w:ind w:firstLine="608"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另外，美国3月零售销售数据公布后，市场对通胀的顽固性有了新的认识，预计美联储将利率维持在当前水平更长时间；同时，其他市场的通胀已经降温，各大央行纷纷准备启动降息。</w:t>
      </w:r>
    </w:p>
    <w:p>
      <w:pPr>
        <w:ind w:firstLine="608"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因此，投资者判断美国与其他经济体的利差会扩大，便再次涌入美元。结果推高了美元汇率，美元指数今年上涨了4.6%（见图）。同样，中东局势恶化导致避险需求增长，也推升了美元指数。</w:t>
      </w:r>
    </w:p>
    <w:p>
      <w:pPr>
        <w:jc w:val="center"/>
      </w:pPr>
      <w:r>
        <w:drawing>
          <wp:inline distT="0" distB="0" distL="114300" distR="114300">
            <wp:extent cx="4421505" cy="2419350"/>
            <wp:effectExtent l="0" t="0" r="17145" b="0"/>
            <wp:docPr id="2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6"/>
                    <pic:cNvPicPr>
                      <a:picLocks noChangeAspect="1"/>
                    </pic:cNvPicPr>
                  </pic:nvPicPr>
                  <pic:blipFill>
                    <a:blip r:embed="rId19"/>
                    <a:stretch>
                      <a:fillRect/>
                    </a:stretch>
                  </pic:blipFill>
                  <pic:spPr>
                    <a:xfrm>
                      <a:off x="0" y="0"/>
                      <a:ext cx="4421505" cy="2419350"/>
                    </a:xfrm>
                    <a:prstGeom prst="rect">
                      <a:avLst/>
                    </a:prstGeom>
                    <a:noFill/>
                    <a:ln>
                      <a:noFill/>
                    </a:ln>
                  </pic:spPr>
                </pic:pic>
              </a:graphicData>
            </a:graphic>
          </wp:inline>
        </w:drawing>
      </w:r>
    </w:p>
    <w:p>
      <w:pPr>
        <w:ind w:firstLine="608"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近日，美国和英国宣布针对俄罗斯生产的铝、铜和镍三种金属实施新的交易限制。美国禁止本国公司使用在全球金属交易所交易的俄罗斯铝、铜、镍以及衍生品，伦敦金属交易所LME已经开始响应，禁止相关金属交割。</w:t>
      </w:r>
    </w:p>
    <w:p>
      <w:pPr>
        <w:ind w:firstLine="608"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这是2022年之后美英对俄金属的再次明确限制，对目前本就供给紧张的铜、铝等原料产品带来重大影响。</w:t>
      </w:r>
    </w:p>
    <w:p>
      <w:pPr>
        <w:ind w:firstLine="608" w:firstLineChars="200"/>
        <w:jc w:val="left"/>
        <w:rPr>
          <w:rFonts w:hint="eastAsia" w:ascii="Times New Roman" w:hAnsi="Times New Roman" w:cs="Times New Roman"/>
          <w:b/>
          <w:bCs/>
          <w:sz w:val="32"/>
          <w:szCs w:val="32"/>
          <w:lang w:val="en-US" w:eastAsia="zh-CN"/>
        </w:rPr>
      </w:pPr>
    </w:p>
    <w:p>
      <w:pPr>
        <w:ind w:firstLine="608" w:firstLineChars="200"/>
        <w:jc w:val="left"/>
        <w:rPr>
          <w:rFonts w:hint="eastAsia" w:ascii="Times New Roman" w:hAnsi="Times New Roman" w:cs="Times New Roman"/>
          <w:b/>
          <w:bCs/>
          <w:sz w:val="32"/>
          <w:szCs w:val="32"/>
          <w:lang w:val="en-US" w:eastAsia="zh-CN"/>
        </w:rPr>
      </w:pPr>
    </w:p>
    <w:p>
      <w:pPr>
        <w:ind w:left="0" w:leftChars="0" w:firstLine="0" w:firstLineChars="0"/>
        <w:jc w:val="left"/>
        <w:rPr>
          <w:rFonts w:hint="default" w:ascii="Times New Roman" w:hAnsi="Times New Roman" w:eastAsia="方正魏碑简体" w:cs="Times New Roman"/>
          <w:b/>
          <w:bCs/>
          <w:color w:val="0000FF"/>
          <w:sz w:val="32"/>
          <w:szCs w:val="40"/>
          <w:highlight w:val="yellow"/>
          <w:lang w:val="en-US" w:eastAsia="zh-CN"/>
        </w:rPr>
      </w:pPr>
      <w:r>
        <w:rPr>
          <w:rFonts w:hint="eastAsia" w:ascii="Times New Roman" w:hAnsi="Times New Roman" w:eastAsia="方正小标宋_GBK" w:cs="Times New Roman"/>
          <w:b/>
          <w:bCs/>
          <w:color w:val="FF0000"/>
          <w:sz w:val="32"/>
          <w:szCs w:val="40"/>
          <w:highlight w:val="yellow"/>
          <w:lang w:val="en-US" w:eastAsia="zh-CN"/>
        </w:rPr>
        <w:t>4</w:t>
      </w:r>
      <w:r>
        <w:rPr>
          <w:rFonts w:hint="default" w:ascii="Times New Roman" w:hAnsi="Times New Roman" w:eastAsia="方正小标宋_GBK" w:cs="Times New Roman"/>
          <w:b/>
          <w:bCs/>
          <w:color w:val="FF0000"/>
          <w:sz w:val="32"/>
          <w:szCs w:val="40"/>
          <w:highlight w:val="yellow"/>
          <w:lang w:val="en-US" w:eastAsia="zh-CN"/>
        </w:rPr>
        <w:t>月</w:t>
      </w:r>
      <w:r>
        <w:rPr>
          <w:rFonts w:hint="eastAsia" w:ascii="Times New Roman" w:hAnsi="Times New Roman" w:eastAsia="方正小标宋_GBK" w:cs="Times New Roman"/>
          <w:b/>
          <w:bCs/>
          <w:color w:val="FF0000"/>
          <w:sz w:val="32"/>
          <w:szCs w:val="40"/>
          <w:highlight w:val="yellow"/>
          <w:lang w:val="en-US" w:eastAsia="zh-CN"/>
        </w:rPr>
        <w:t>17</w:t>
      </w:r>
      <w:r>
        <w:rPr>
          <w:rFonts w:hint="default" w:ascii="Times New Roman" w:hAnsi="Times New Roman" w:eastAsia="方正小标宋_GBK" w:cs="Times New Roman"/>
          <w:b/>
          <w:bCs/>
          <w:color w:val="FF0000"/>
          <w:sz w:val="32"/>
          <w:szCs w:val="40"/>
          <w:highlight w:val="yellow"/>
          <w:lang w:val="en-US" w:eastAsia="zh-CN"/>
        </w:rPr>
        <w:t>日</w:t>
      </w:r>
      <w:r>
        <w:rPr>
          <w:rFonts w:hint="default" w:ascii="Times New Roman" w:hAnsi="Times New Roman" w:eastAsia="方正魏碑简体" w:cs="Times New Roman"/>
          <w:b/>
          <w:bCs/>
          <w:color w:val="0000FF"/>
          <w:sz w:val="32"/>
          <w:szCs w:val="40"/>
          <w:highlight w:val="yellow"/>
          <w:lang w:val="en-US" w:eastAsia="zh-CN"/>
        </w:rPr>
        <w:t>（周</w:t>
      </w:r>
      <w:r>
        <w:rPr>
          <w:rFonts w:hint="eastAsia" w:ascii="Times New Roman" w:hAnsi="Times New Roman" w:eastAsia="方正魏碑简体" w:cs="Times New Roman"/>
          <w:b/>
          <w:bCs/>
          <w:color w:val="0000FF"/>
          <w:sz w:val="32"/>
          <w:szCs w:val="40"/>
          <w:highlight w:val="yellow"/>
          <w:lang w:val="en-US" w:eastAsia="zh-CN"/>
        </w:rPr>
        <w:t>三</w:t>
      </w:r>
      <w:r>
        <w:rPr>
          <w:rFonts w:hint="default" w:ascii="Times New Roman" w:hAnsi="Times New Roman" w:eastAsia="方正魏碑简体" w:cs="Times New Roman"/>
          <w:b/>
          <w:bCs/>
          <w:color w:val="0000FF"/>
          <w:sz w:val="32"/>
          <w:szCs w:val="40"/>
          <w:highlight w:val="yellow"/>
          <w:lang w:val="en-US" w:eastAsia="zh-CN"/>
        </w:rPr>
        <w:t>）</w:t>
      </w:r>
    </w:p>
    <w:p>
      <w:pPr>
        <w:ind w:firstLine="688" w:firstLineChars="200"/>
        <w:jc w:val="left"/>
        <w:rPr>
          <w:rFonts w:hint="default" w:ascii="Times New Roman" w:hAnsi="Times New Roman" w:eastAsia="方正小标宋_GBK" w:cs="Times New Roman"/>
          <w:b/>
          <w:bCs/>
          <w:color w:val="0000FF"/>
          <w:sz w:val="36"/>
          <w:szCs w:val="44"/>
          <w:highlight w:val="yellow"/>
          <w:lang w:val="en-US" w:eastAsia="zh-CN"/>
        </w:rPr>
      </w:pPr>
      <w:r>
        <w:rPr>
          <w:rFonts w:hint="eastAsia" w:ascii="Times New Roman" w:hAnsi="Times New Roman" w:eastAsia="方正小标宋_GBK" w:cs="Times New Roman"/>
          <w:b/>
          <w:bCs/>
          <w:color w:val="0000FF"/>
          <w:sz w:val="36"/>
          <w:szCs w:val="44"/>
          <w:highlight w:val="yellow"/>
          <w:lang w:val="en-US" w:eastAsia="zh-CN"/>
        </w:rPr>
        <w:t>美联储官员态度转鹰，但量化紧缩料将放缓</w:t>
      </w:r>
    </w:p>
    <w:p>
      <w:pPr>
        <w:ind w:firstLine="608"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4月16日（周二），多位美联储官员就货币政策发表讲话，进行预期指引。</w:t>
      </w:r>
    </w:p>
    <w:p>
      <w:pPr>
        <w:ind w:firstLine="608"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美联储副主席杰斐逊说：如果通胀未能按预期放缓，美联储会将当前的紧缩货币政策维持更长时间。将政策利率稳定在当前水平保持不变，预期通胀料将持续下降。</w:t>
      </w:r>
    </w:p>
    <w:p>
      <w:pPr>
        <w:ind w:firstLine="608"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里士满联储银行行长巴尔金表示：美联储不急于降息，这是明智之举。因为CPI数据并不支持美国经济‘软着陆’的说法。而且，美国经济并没有过热，但若过热，我们也能应付。</w:t>
      </w:r>
    </w:p>
    <w:p>
      <w:pPr>
        <w:ind w:firstLine="608"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FOMC的永久票委、纽约联储银行行长威廉姆斯：在过去1年半的时间里，各部门的通胀已经回落，所以并不认为最近的通胀数据（上升）是（反弹的）转折点。</w:t>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jc w:val="left"/>
        <w:textAlignment w:val="auto"/>
        <w:outlineLvl w:val="9"/>
        <w:rPr>
          <w:rFonts w:hint="default" w:ascii="Times New Roman" w:hAnsi="Times New Roman" w:eastAsia="方正楷体_GBK" w:cs="Calibri"/>
          <w:sz w:val="28"/>
          <w:szCs w:val="28"/>
          <w:lang w:val="en-US" w:eastAsia="zh-CN"/>
        </w:rPr>
      </w:pPr>
      <w:r>
        <w:rPr>
          <w:rFonts w:hint="default" w:ascii="Times New Roman" w:hAnsi="Times New Roman" w:eastAsia="方正楷体_GBK" w:cs="Calibri"/>
          <w:sz w:val="28"/>
          <w:szCs w:val="28"/>
          <w:lang w:val="en-US" w:eastAsia="zh-CN"/>
        </w:rPr>
        <w:t>（</w:t>
      </w:r>
      <w:r>
        <w:rPr>
          <w:rFonts w:hint="eastAsia" w:ascii="方正黑体_GBK" w:hAnsi="方正黑体_GBK" w:eastAsia="方正黑体_GBK" w:cs="方正黑体_GBK"/>
          <w:b/>
          <w:bCs/>
          <w:sz w:val="28"/>
          <w:szCs w:val="28"/>
          <w:highlight w:val="none"/>
          <w:lang w:val="en-US" w:eastAsia="zh-CN"/>
        </w:rPr>
        <w:t>注</w:t>
      </w:r>
      <w:r>
        <w:rPr>
          <w:rFonts w:hint="default" w:ascii="Times New Roman" w:hAnsi="Times New Roman" w:eastAsia="方正楷体_GBK" w:cs="Calibri"/>
          <w:sz w:val="28"/>
          <w:szCs w:val="28"/>
          <w:lang w:val="en-US" w:eastAsia="zh-CN"/>
        </w:rPr>
        <w:t>：美联储每年一般召开8次</w:t>
      </w:r>
      <w:r>
        <w:rPr>
          <w:rFonts w:hint="eastAsia" w:ascii="Times New Roman" w:hAnsi="Times New Roman" w:eastAsia="方正楷体_GBK" w:cs="Calibri"/>
          <w:sz w:val="28"/>
          <w:szCs w:val="28"/>
          <w:lang w:val="en-US" w:eastAsia="zh-CN"/>
        </w:rPr>
        <w:t>“</w:t>
      </w:r>
      <w:r>
        <w:rPr>
          <w:rFonts w:hint="default" w:ascii="Times New Roman" w:hAnsi="Times New Roman" w:eastAsia="方正楷体_GBK" w:cs="Calibri"/>
          <w:b/>
          <w:bCs/>
          <w:sz w:val="28"/>
          <w:szCs w:val="28"/>
          <w:lang w:val="en-US" w:eastAsia="zh-CN"/>
        </w:rPr>
        <w:t>联邦公开市场委员会</w:t>
      </w:r>
      <w:r>
        <w:rPr>
          <w:rFonts w:hint="eastAsia" w:ascii="Times New Roman" w:hAnsi="Times New Roman" w:eastAsia="方正楷体_GBK" w:cs="Calibri"/>
          <w:sz w:val="28"/>
          <w:szCs w:val="28"/>
          <w:lang w:val="en-US" w:eastAsia="zh-CN"/>
        </w:rPr>
        <w:t>”</w:t>
      </w:r>
      <w:r>
        <w:rPr>
          <w:rFonts w:hint="default" w:ascii="Times New Roman" w:hAnsi="Times New Roman" w:eastAsia="方正楷体_GBK" w:cs="Calibri"/>
          <w:sz w:val="28"/>
          <w:szCs w:val="28"/>
          <w:lang w:val="en-US" w:eastAsia="zh-CN"/>
        </w:rPr>
        <w:t>（Federal Open Market Committee，</w:t>
      </w:r>
      <w:r>
        <w:rPr>
          <w:rFonts w:hint="eastAsia" w:ascii="Times New Roman" w:hAnsi="Times New Roman" w:eastAsia="方正楷体_GBK" w:cs="Calibri"/>
          <w:sz w:val="28"/>
          <w:szCs w:val="28"/>
          <w:lang w:val="en-US" w:eastAsia="zh-CN"/>
        </w:rPr>
        <w:t>简称</w:t>
      </w:r>
      <w:r>
        <w:rPr>
          <w:rFonts w:hint="default" w:ascii="Times New Roman" w:hAnsi="Times New Roman" w:eastAsia="方正楷体_GBK" w:cs="Calibri"/>
          <w:b/>
          <w:bCs/>
          <w:sz w:val="28"/>
          <w:szCs w:val="28"/>
          <w:lang w:val="en-US" w:eastAsia="zh-CN"/>
        </w:rPr>
        <w:t>FOMC</w:t>
      </w:r>
      <w:r>
        <w:rPr>
          <w:rFonts w:hint="default" w:ascii="Times New Roman" w:hAnsi="Times New Roman" w:eastAsia="方正楷体_GBK" w:cs="Calibri"/>
          <w:sz w:val="28"/>
          <w:szCs w:val="28"/>
          <w:lang w:val="en-US" w:eastAsia="zh-CN"/>
        </w:rPr>
        <w:t>）会议</w:t>
      </w:r>
      <w:r>
        <w:rPr>
          <w:rFonts w:hint="eastAsia" w:ascii="Times New Roman" w:hAnsi="Times New Roman" w:eastAsia="方正楷体_GBK" w:cs="Calibri"/>
          <w:sz w:val="28"/>
          <w:szCs w:val="28"/>
          <w:lang w:val="en-US" w:eastAsia="zh-CN"/>
        </w:rPr>
        <w:t>，</w:t>
      </w:r>
      <w:r>
        <w:rPr>
          <w:rFonts w:hint="default" w:ascii="Times New Roman" w:hAnsi="Times New Roman" w:eastAsia="方正楷体_GBK" w:cs="Calibri"/>
          <w:sz w:val="28"/>
          <w:szCs w:val="28"/>
          <w:lang w:val="en-US" w:eastAsia="zh-CN"/>
        </w:rPr>
        <w:t>审议当前的经济状况、通胀水平、就业数据和其他相关指标，以及全球经济环境等因素。就是否需要调整利率水平、采取其他货币政策工具等问题进行讨论和决策</w:t>
      </w:r>
      <w:r>
        <w:rPr>
          <w:rFonts w:hint="eastAsia" w:ascii="Times New Roman" w:hAnsi="Times New Roman" w:eastAsia="方正楷体_GBK" w:cs="Calibri"/>
          <w:sz w:val="28"/>
          <w:szCs w:val="28"/>
          <w:lang w:val="en-US" w:eastAsia="zh-CN"/>
        </w:rPr>
        <w:t>，因此也被称为“</w:t>
      </w:r>
      <w:r>
        <w:rPr>
          <w:rFonts w:hint="eastAsia" w:ascii="Times New Roman" w:hAnsi="Times New Roman" w:eastAsia="方正楷体_GBK" w:cs="Calibri"/>
          <w:b/>
          <w:bCs/>
          <w:sz w:val="28"/>
          <w:szCs w:val="28"/>
          <w:lang w:val="en-US" w:eastAsia="zh-CN"/>
        </w:rPr>
        <w:t>议息会议</w:t>
      </w:r>
      <w:r>
        <w:rPr>
          <w:rFonts w:hint="eastAsia" w:ascii="Times New Roman" w:hAnsi="Times New Roman" w:eastAsia="方正楷体_GBK" w:cs="Calibri"/>
          <w:sz w:val="28"/>
          <w:szCs w:val="28"/>
          <w:lang w:val="en-US" w:eastAsia="zh-CN"/>
        </w:rPr>
        <w:t>”或“</w:t>
      </w:r>
      <w:r>
        <w:rPr>
          <w:rFonts w:hint="eastAsia" w:ascii="Times New Roman" w:hAnsi="Times New Roman" w:eastAsia="方正楷体_GBK" w:cs="Calibri"/>
          <w:b/>
          <w:bCs/>
          <w:sz w:val="28"/>
          <w:szCs w:val="28"/>
          <w:lang w:val="en-US" w:eastAsia="zh-CN"/>
        </w:rPr>
        <w:t>利率会议</w:t>
      </w:r>
      <w:r>
        <w:rPr>
          <w:rFonts w:hint="eastAsia" w:ascii="Times New Roman" w:hAnsi="Times New Roman" w:eastAsia="方正楷体_GBK" w:cs="Calibri"/>
          <w:sz w:val="28"/>
          <w:szCs w:val="28"/>
          <w:lang w:val="en-US" w:eastAsia="zh-CN"/>
        </w:rPr>
        <w:t>”。</w:t>
      </w:r>
      <w:r>
        <w:rPr>
          <w:rFonts w:hint="default" w:ascii="Times New Roman" w:hAnsi="Times New Roman" w:eastAsia="方正楷体_GBK" w:cs="Calibri"/>
          <w:sz w:val="28"/>
          <w:szCs w:val="28"/>
          <w:lang w:val="en-US" w:eastAsia="zh-CN"/>
        </w:rPr>
        <w:t>会议</w:t>
      </w:r>
      <w:r>
        <w:rPr>
          <w:rFonts w:hint="eastAsia" w:ascii="Times New Roman" w:hAnsi="Times New Roman" w:eastAsia="方正楷体_GBK" w:cs="Calibri"/>
          <w:sz w:val="28"/>
          <w:szCs w:val="28"/>
          <w:lang w:val="en-US" w:eastAsia="zh-CN"/>
        </w:rPr>
        <w:t>召开的</w:t>
      </w:r>
      <w:r>
        <w:rPr>
          <w:rFonts w:hint="default" w:ascii="Times New Roman" w:hAnsi="Times New Roman" w:eastAsia="方正楷体_GBK" w:cs="Calibri"/>
          <w:sz w:val="28"/>
          <w:szCs w:val="28"/>
          <w:lang w:val="en-US" w:eastAsia="zh-CN"/>
        </w:rPr>
        <w:t>日期根据经济和货币政策调整的需要</w:t>
      </w:r>
      <w:r>
        <w:rPr>
          <w:rFonts w:hint="eastAsia" w:ascii="Times New Roman" w:hAnsi="Times New Roman" w:eastAsia="方正楷体_GBK" w:cs="Calibri"/>
          <w:sz w:val="28"/>
          <w:szCs w:val="28"/>
          <w:lang w:val="en-US" w:eastAsia="zh-CN"/>
        </w:rPr>
        <w:t>来</w:t>
      </w:r>
      <w:r>
        <w:rPr>
          <w:rFonts w:hint="default" w:ascii="Times New Roman" w:hAnsi="Times New Roman" w:eastAsia="方正楷体_GBK" w:cs="Calibri"/>
          <w:sz w:val="28"/>
          <w:szCs w:val="28"/>
          <w:lang w:val="en-US" w:eastAsia="zh-CN"/>
        </w:rPr>
        <w:t>决定，并不固定，通常于1、3、4、6、7、9、11和12月进行。</w:t>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jc w:val="left"/>
        <w:textAlignment w:val="auto"/>
        <w:outlineLvl w:val="9"/>
        <w:rPr>
          <w:rFonts w:hint="default" w:ascii="Times New Roman" w:hAnsi="Times New Roman" w:eastAsia="方正楷体_GBK" w:cs="Calibri"/>
          <w:sz w:val="28"/>
          <w:szCs w:val="28"/>
          <w:lang w:val="en-US" w:eastAsia="zh-CN"/>
        </w:rPr>
      </w:pPr>
      <w:r>
        <w:rPr>
          <w:rFonts w:hint="eastAsia" w:ascii="Times New Roman" w:hAnsi="Times New Roman" w:eastAsia="方正楷体_GBK" w:cs="Calibri"/>
          <w:sz w:val="28"/>
          <w:szCs w:val="28"/>
          <w:lang w:eastAsia="zh-CN"/>
        </w:rPr>
        <w:t>“</w:t>
      </w:r>
      <w:r>
        <w:rPr>
          <w:rFonts w:hint="default" w:ascii="Times New Roman" w:hAnsi="Times New Roman" w:eastAsia="方正楷体_GBK" w:cs="Calibri"/>
          <w:b/>
          <w:bCs/>
          <w:sz w:val="28"/>
          <w:szCs w:val="28"/>
          <w:lang w:eastAsia="zh-CN"/>
        </w:rPr>
        <w:t>票委</w:t>
      </w:r>
      <w:r>
        <w:rPr>
          <w:rFonts w:hint="eastAsia" w:ascii="Times New Roman" w:hAnsi="Times New Roman" w:eastAsia="方正楷体_GBK" w:cs="Calibri"/>
          <w:sz w:val="28"/>
          <w:szCs w:val="28"/>
          <w:lang w:eastAsia="zh-CN"/>
        </w:rPr>
        <w:t>”：</w:t>
      </w:r>
      <w:r>
        <w:rPr>
          <w:rFonts w:hint="default" w:ascii="Times New Roman" w:hAnsi="Times New Roman" w:eastAsia="方正楷体_GBK" w:cs="Calibri"/>
          <w:sz w:val="28"/>
          <w:szCs w:val="28"/>
          <w:lang w:eastAsia="zh-CN"/>
        </w:rPr>
        <w:t>FOMC由12位成员组成，其中7位是美联储的理事（含正副主席），5位</w:t>
      </w:r>
      <w:r>
        <w:rPr>
          <w:rFonts w:hint="eastAsia" w:ascii="Times New Roman" w:hAnsi="Times New Roman" w:eastAsia="方正楷体_GBK" w:cs="Calibri"/>
          <w:sz w:val="28"/>
          <w:szCs w:val="28"/>
          <w:lang w:eastAsia="zh-CN"/>
        </w:rPr>
        <w:t>是</w:t>
      </w:r>
      <w:r>
        <w:rPr>
          <w:rFonts w:hint="default" w:ascii="Times New Roman" w:hAnsi="Times New Roman" w:eastAsia="方正楷体_GBK" w:cs="Calibri"/>
          <w:sz w:val="28"/>
          <w:szCs w:val="28"/>
          <w:lang w:eastAsia="zh-CN"/>
        </w:rPr>
        <w:t>12个地区联邦储备银行行长。这12人参加FOMC会议，并拥有对会议决策的投票权，所以被称为</w:t>
      </w:r>
      <w:r>
        <w:rPr>
          <w:rFonts w:hint="eastAsia" w:ascii="Times New Roman" w:hAnsi="Times New Roman" w:eastAsia="方正楷体_GBK" w:cs="Calibri"/>
          <w:b w:val="0"/>
          <w:bCs w:val="0"/>
          <w:sz w:val="28"/>
          <w:szCs w:val="28"/>
          <w:lang w:eastAsia="zh-CN"/>
        </w:rPr>
        <w:t>“</w:t>
      </w:r>
      <w:r>
        <w:rPr>
          <w:rFonts w:hint="default" w:ascii="Times New Roman" w:hAnsi="Times New Roman" w:eastAsia="方正楷体_GBK" w:cs="Calibri"/>
          <w:b w:val="0"/>
          <w:bCs w:val="0"/>
          <w:sz w:val="28"/>
          <w:szCs w:val="28"/>
          <w:lang w:eastAsia="zh-CN"/>
        </w:rPr>
        <w:t>票委</w:t>
      </w:r>
      <w:r>
        <w:rPr>
          <w:rFonts w:hint="eastAsia" w:ascii="Times New Roman" w:hAnsi="Times New Roman" w:eastAsia="方正楷体_GBK" w:cs="Calibri"/>
          <w:b w:val="0"/>
          <w:bCs w:val="0"/>
          <w:sz w:val="28"/>
          <w:szCs w:val="28"/>
          <w:lang w:eastAsia="zh-CN"/>
        </w:rPr>
        <w:t>”</w:t>
      </w:r>
      <w:r>
        <w:rPr>
          <w:rFonts w:hint="default" w:ascii="Times New Roman" w:hAnsi="Times New Roman" w:eastAsia="方正楷体_GBK" w:cs="Calibri"/>
          <w:sz w:val="28"/>
          <w:szCs w:val="28"/>
          <w:lang w:eastAsia="zh-CN"/>
        </w:rPr>
        <w:t>。在12位地区联储银行的行长中，纽约储备银行行长与美联储理事一样，</w:t>
      </w:r>
      <w:r>
        <w:rPr>
          <w:rFonts w:hint="eastAsia" w:ascii="Times New Roman" w:hAnsi="Times New Roman" w:eastAsia="方正楷体_GBK" w:cs="Calibri"/>
          <w:sz w:val="28"/>
          <w:szCs w:val="28"/>
          <w:lang w:eastAsia="zh-CN"/>
        </w:rPr>
        <w:t>是</w:t>
      </w:r>
      <w:r>
        <w:rPr>
          <w:rFonts w:hint="default" w:ascii="Times New Roman" w:hAnsi="Times New Roman" w:eastAsia="方正楷体_GBK" w:cs="Calibri"/>
          <w:sz w:val="28"/>
          <w:szCs w:val="28"/>
          <w:lang w:eastAsia="zh-CN"/>
        </w:rPr>
        <w:t>FOMC的固定成员，其他4</w:t>
      </w:r>
      <w:r>
        <w:rPr>
          <w:rFonts w:hint="eastAsia" w:ascii="Times New Roman" w:hAnsi="Times New Roman" w:eastAsia="方正楷体_GBK" w:cs="Calibri"/>
          <w:sz w:val="28"/>
          <w:szCs w:val="28"/>
          <w:lang w:eastAsia="zh-CN"/>
        </w:rPr>
        <w:t>席则</w:t>
      </w:r>
      <w:r>
        <w:rPr>
          <w:rFonts w:hint="default" w:ascii="Times New Roman" w:hAnsi="Times New Roman" w:eastAsia="方正楷体_GBK" w:cs="Calibri"/>
          <w:sz w:val="28"/>
          <w:szCs w:val="28"/>
          <w:lang w:eastAsia="zh-CN"/>
        </w:rPr>
        <w:t>按照轮值制度轮流担当。</w:t>
      </w:r>
      <w:r>
        <w:rPr>
          <w:rFonts w:hint="eastAsia" w:ascii="Times New Roman" w:hAnsi="Times New Roman" w:eastAsia="方正楷体_GBK" w:cs="Calibri"/>
          <w:sz w:val="28"/>
          <w:szCs w:val="28"/>
          <w:lang w:val="en-US" w:eastAsia="zh-CN"/>
        </w:rPr>
        <w:t>)</w:t>
      </w:r>
    </w:p>
    <w:p>
      <w:pPr>
        <w:ind w:firstLine="608"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当地时间下午，美联储主席鲍威尔指出：近期数据表明，美国在抑制高通胀方面缺乏更多进展，预计核心PCE的同比将窄幅徘徊于2.8%附近。让高利率政策在更长时间内发挥作用，应该是最适宜的。</w:t>
      </w:r>
    </w:p>
    <w:p>
      <w:pPr>
        <w:ind w:firstLine="608"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鲍威尔的讲话，几乎是明示美联储将推迟启动降息。由于其态度由鸽转鹰，美股跌幅扩大、美债收益率短线冲高；金融市场对年内降息的预期，也从前一日收盘时的43个基点，减至38个基点。</w:t>
      </w:r>
    </w:p>
    <w:p>
      <w:pPr>
        <w:ind w:firstLine="608"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华尔街日报评论说：从鲍威尔的讲话可以看出，在通胀数据连续第三个月强于预期之后，美联储的决策出现了明显转变。过去，美联储想快于市场一步，在发生衰退前就先行调降基准利率，现在看来这不太可能了，因为目前美国经济完全没有衰退的迹象。当然，如果未来几个月的通胀比预期更强劲，美联储也不急于重新加息，屏息观察的可能性大。</w:t>
      </w:r>
    </w:p>
    <w:p>
      <w:pPr>
        <w:ind w:firstLine="608"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投资机构普遍认为，目前美国经济的基本面相当不错——消费支出强劲，失业率处于历史低位，所以美联储推迟降息，是题中应有之义，但其货币政策的最终目标，必然还是宽松。</w:t>
      </w:r>
    </w:p>
    <w:p>
      <w:pPr>
        <w:ind w:firstLine="608"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即使下次利率会议上不会降息，但放缓量化紧缩（QT）必将提上日程。</w:t>
      </w:r>
    </w:p>
    <w:p>
      <w:pPr>
        <w:ind w:firstLine="608"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隔夜逆回购工具里的资金一直在减少（见图），如果美联储再不出手，金融市场将遭受流动性急剧收紧的冲击。因此，美联储一方面将利率维持在高位，另一方面放缓QT，以支撑住美债价格。这是对美国财政部的最大支持。</w:t>
      </w:r>
    </w:p>
    <w:p>
      <w:pPr>
        <w:jc w:val="center"/>
        <w:rPr>
          <w:rFonts w:hint="eastAsia" w:ascii="Times New Roman" w:hAnsi="Times New Roman" w:cs="Times New Roman"/>
          <w:sz w:val="32"/>
          <w:szCs w:val="32"/>
          <w:lang w:val="en-US" w:eastAsia="zh-CN"/>
        </w:rPr>
      </w:pPr>
      <w:r>
        <w:rPr>
          <w:rFonts w:hint="eastAsia"/>
          <w:lang w:eastAsia="zh-CN"/>
        </w:rPr>
        <w:drawing>
          <wp:inline distT="0" distB="0" distL="114300" distR="114300">
            <wp:extent cx="4958715" cy="2161540"/>
            <wp:effectExtent l="0" t="0" r="13335" b="10160"/>
            <wp:docPr id="3" name="图片 1" descr="（20240417）逆回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20240417）逆回购"/>
                    <pic:cNvPicPr>
                      <a:picLocks noChangeAspect="1"/>
                    </pic:cNvPicPr>
                  </pic:nvPicPr>
                  <pic:blipFill>
                    <a:blip r:embed="rId20"/>
                    <a:stretch>
                      <a:fillRect/>
                    </a:stretch>
                  </pic:blipFill>
                  <pic:spPr>
                    <a:xfrm>
                      <a:off x="0" y="0"/>
                      <a:ext cx="4958715" cy="216154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jc w:val="left"/>
        <w:textAlignment w:val="auto"/>
        <w:outlineLvl w:val="9"/>
        <w:rPr>
          <w:rFonts w:hint="eastAsia" w:ascii="Times New Roman" w:hAnsi="Times New Roman" w:eastAsia="方正楷体_GBK" w:cs="Calibri"/>
          <w:sz w:val="28"/>
          <w:szCs w:val="28"/>
          <w:lang w:val="en-US" w:eastAsia="zh-CN"/>
        </w:rPr>
      </w:pPr>
      <w:r>
        <w:rPr>
          <w:rFonts w:hint="eastAsia" w:ascii="方正黑体_GBK" w:hAnsi="方正黑体_GBK" w:eastAsia="方正黑体_GBK" w:cs="方正黑体_GBK"/>
          <w:b/>
          <w:bCs/>
          <w:sz w:val="28"/>
          <w:szCs w:val="28"/>
          <w:highlight w:val="none"/>
          <w:lang w:val="en-US" w:eastAsia="zh-CN"/>
        </w:rPr>
        <w:t>（注：</w:t>
      </w:r>
      <w:r>
        <w:rPr>
          <w:rFonts w:hint="eastAsia" w:ascii="Times New Roman" w:hAnsi="Times New Roman" w:eastAsia="方正楷体_GBK" w:cs="Calibri"/>
          <w:b/>
          <w:bCs/>
          <w:sz w:val="28"/>
          <w:szCs w:val="28"/>
          <w:lang w:val="en-US" w:eastAsia="zh-CN"/>
        </w:rPr>
        <w:t>隔夜逆回购协议（ON RRP</w:t>
      </w:r>
      <w:r>
        <w:rPr>
          <w:rFonts w:hint="eastAsia" w:ascii="Times New Roman" w:hAnsi="Times New Roman" w:eastAsia="方正楷体_GBK" w:cs="Calibri"/>
          <w:sz w:val="28"/>
          <w:szCs w:val="28"/>
          <w:lang w:val="en-US" w:eastAsia="zh-CN"/>
        </w:rPr>
        <w:t>，Overnight Reverse Repurchase Agreement），是美联储使用的是一种货币市场工具，旨在调节银行体系的流动性。在隔夜逆回购协议中，美联储作为出借方，向银行体系提供短期资金，接受银行以债券作为抵押品的资金回购。</w:t>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jc w:val="left"/>
        <w:textAlignment w:val="auto"/>
        <w:outlineLvl w:val="9"/>
        <w:rPr>
          <w:rFonts w:hint="eastAsia" w:ascii="Times New Roman" w:hAnsi="Times New Roman" w:eastAsia="方正楷体_GBK" w:cs="Calibri"/>
          <w:sz w:val="28"/>
          <w:szCs w:val="28"/>
          <w:lang w:val="en-US" w:eastAsia="zh-CN"/>
        </w:rPr>
      </w:pPr>
      <w:r>
        <w:rPr>
          <w:rFonts w:hint="eastAsia" w:ascii="Times New Roman" w:hAnsi="Times New Roman" w:eastAsia="方正楷体_GBK" w:cs="Calibri"/>
          <w:sz w:val="28"/>
          <w:szCs w:val="28"/>
          <w:lang w:val="en-US" w:eastAsia="zh-CN"/>
        </w:rPr>
        <w:t>通过这种工具，美联储可以调节银行体系的存款水平，控制货币供应量，并稳定金融体系的运作。同时，ON RRP协议也是美联储用来调节短期利率水平的重要工具。当市场上的利率水平较低时，银行可以将闲置资金借给美联储，并获得一定的利息回报。这有助于维持短期利率在目标范围内，并影响其他货币市场利率。此外，ON RRP协议在风险管理和市场稳定性方面也发挥着重要的作用。）</w:t>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jc w:val="left"/>
        <w:textAlignment w:val="auto"/>
        <w:outlineLvl w:val="9"/>
        <w:rPr>
          <w:rFonts w:hint="eastAsia" w:ascii="Times New Roman" w:hAnsi="Times New Roman" w:eastAsia="方正楷体_GBK" w:cs="Calibri"/>
          <w:sz w:val="28"/>
          <w:szCs w:val="28"/>
          <w:lang w:val="en-US" w:eastAsia="zh-CN"/>
        </w:rPr>
      </w:pPr>
    </w:p>
    <w:p>
      <w:pPr>
        <w:ind w:left="0" w:leftChars="0" w:firstLine="0" w:firstLineChars="0"/>
        <w:jc w:val="left"/>
        <w:rPr>
          <w:rFonts w:hint="default" w:ascii="Times New Roman" w:hAnsi="Times New Roman" w:eastAsia="方正魏碑简体" w:cs="Times New Roman"/>
          <w:b/>
          <w:bCs/>
          <w:color w:val="0000FF"/>
          <w:sz w:val="32"/>
          <w:szCs w:val="40"/>
          <w:highlight w:val="yellow"/>
          <w:lang w:val="en-US" w:eastAsia="zh-CN"/>
        </w:rPr>
      </w:pPr>
      <w:r>
        <w:rPr>
          <w:rFonts w:hint="eastAsia" w:ascii="Times New Roman" w:hAnsi="Times New Roman" w:eastAsia="方正小标宋_GBK" w:cs="Times New Roman"/>
          <w:b/>
          <w:bCs/>
          <w:color w:val="FF0000"/>
          <w:sz w:val="32"/>
          <w:szCs w:val="40"/>
          <w:highlight w:val="yellow"/>
          <w:lang w:val="en-US" w:eastAsia="zh-CN"/>
        </w:rPr>
        <w:t>4</w:t>
      </w:r>
      <w:r>
        <w:rPr>
          <w:rFonts w:hint="default" w:ascii="Times New Roman" w:hAnsi="Times New Roman" w:eastAsia="方正小标宋_GBK" w:cs="Times New Roman"/>
          <w:b/>
          <w:bCs/>
          <w:color w:val="FF0000"/>
          <w:sz w:val="32"/>
          <w:szCs w:val="40"/>
          <w:highlight w:val="yellow"/>
          <w:lang w:val="en-US" w:eastAsia="zh-CN"/>
        </w:rPr>
        <w:t>月</w:t>
      </w:r>
      <w:r>
        <w:rPr>
          <w:rFonts w:hint="eastAsia" w:ascii="Times New Roman" w:hAnsi="Times New Roman" w:eastAsia="方正小标宋_GBK" w:cs="Times New Roman"/>
          <w:b/>
          <w:bCs/>
          <w:color w:val="FF0000"/>
          <w:sz w:val="32"/>
          <w:szCs w:val="40"/>
          <w:highlight w:val="yellow"/>
          <w:lang w:val="en-US" w:eastAsia="zh-CN"/>
        </w:rPr>
        <w:t>18</w:t>
      </w:r>
      <w:r>
        <w:rPr>
          <w:rFonts w:hint="default" w:ascii="Times New Roman" w:hAnsi="Times New Roman" w:eastAsia="方正小标宋_GBK" w:cs="Times New Roman"/>
          <w:b/>
          <w:bCs/>
          <w:color w:val="FF0000"/>
          <w:sz w:val="32"/>
          <w:szCs w:val="40"/>
          <w:highlight w:val="yellow"/>
          <w:lang w:val="en-US" w:eastAsia="zh-CN"/>
        </w:rPr>
        <w:t>日</w:t>
      </w:r>
      <w:r>
        <w:rPr>
          <w:rFonts w:hint="default" w:ascii="Times New Roman" w:hAnsi="Times New Roman" w:eastAsia="方正魏碑简体" w:cs="Times New Roman"/>
          <w:b/>
          <w:bCs/>
          <w:color w:val="0000FF"/>
          <w:sz w:val="32"/>
          <w:szCs w:val="40"/>
          <w:highlight w:val="yellow"/>
          <w:lang w:val="en-US" w:eastAsia="zh-CN"/>
        </w:rPr>
        <w:t>（周</w:t>
      </w:r>
      <w:r>
        <w:rPr>
          <w:rFonts w:hint="eastAsia" w:ascii="Times New Roman" w:hAnsi="Times New Roman" w:eastAsia="方正魏碑简体" w:cs="Times New Roman"/>
          <w:b/>
          <w:bCs/>
          <w:color w:val="0000FF"/>
          <w:sz w:val="32"/>
          <w:szCs w:val="40"/>
          <w:highlight w:val="yellow"/>
          <w:lang w:val="en-US" w:eastAsia="zh-CN"/>
        </w:rPr>
        <w:t>四</w:t>
      </w:r>
      <w:r>
        <w:rPr>
          <w:rFonts w:hint="default" w:ascii="Times New Roman" w:hAnsi="Times New Roman" w:eastAsia="方正魏碑简体" w:cs="Times New Roman"/>
          <w:b/>
          <w:bCs/>
          <w:color w:val="0000FF"/>
          <w:sz w:val="32"/>
          <w:szCs w:val="40"/>
          <w:highlight w:val="yellow"/>
          <w:lang w:val="en-US" w:eastAsia="zh-CN"/>
        </w:rPr>
        <w:t>）</w:t>
      </w:r>
    </w:p>
    <w:p>
      <w:pPr>
        <w:ind w:firstLine="688" w:firstLineChars="200"/>
        <w:jc w:val="left"/>
        <w:rPr>
          <w:rFonts w:hint="eastAsia" w:ascii="Times New Roman" w:hAnsi="Times New Roman" w:eastAsia="方正小标宋_GBK" w:cs="Times New Roman"/>
          <w:b/>
          <w:bCs/>
          <w:color w:val="0000FF"/>
          <w:sz w:val="36"/>
          <w:szCs w:val="44"/>
          <w:highlight w:val="yellow"/>
          <w:lang w:val="en-US" w:eastAsia="zh-CN"/>
        </w:rPr>
      </w:pPr>
      <w:r>
        <w:rPr>
          <w:rFonts w:hint="eastAsia" w:ascii="Times New Roman" w:hAnsi="Times New Roman" w:eastAsia="方正小标宋_GBK" w:cs="Times New Roman"/>
          <w:b/>
          <w:bCs/>
          <w:color w:val="0000FF"/>
          <w:sz w:val="36"/>
          <w:szCs w:val="44"/>
          <w:highlight w:val="yellow"/>
          <w:lang w:val="en-US" w:eastAsia="zh-CN"/>
        </w:rPr>
        <w:t>英国经济数据喜忧参半，美国预算赤字扩大不休</w:t>
      </w:r>
    </w:p>
    <w:p>
      <w:pPr>
        <w:ind w:firstLine="608" w:firstLineChars="200"/>
        <w:rPr>
          <w:rFonts w:hint="default"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4月17日（周三），</w:t>
      </w:r>
      <w:r>
        <w:rPr>
          <w:rFonts w:hint="default" w:ascii="Times New Roman" w:hAnsi="Times New Roman" w:cs="Times New Roman"/>
          <w:sz w:val="32"/>
          <w:szCs w:val="32"/>
          <w:lang w:val="en-US" w:eastAsia="zh-CN"/>
        </w:rPr>
        <w:t>欧盟统计局</w:t>
      </w:r>
      <w:r>
        <w:rPr>
          <w:rFonts w:hint="eastAsia" w:ascii="Times New Roman" w:hAnsi="Times New Roman" w:cs="Times New Roman"/>
          <w:sz w:val="32"/>
          <w:szCs w:val="32"/>
          <w:lang w:val="en-US" w:eastAsia="zh-CN"/>
        </w:rPr>
        <w:t>和英国国家统计局分别发布了欧元区和英国3月份的通胀数据（见表格）。</w:t>
      </w:r>
      <w:r>
        <w:rPr>
          <w:rFonts w:hint="default" w:ascii="Times New Roman" w:hAnsi="Times New Roman" w:cs="Times New Roman"/>
          <w:sz w:val="32"/>
          <w:szCs w:val="32"/>
          <w:lang w:val="en-US" w:eastAsia="zh-CN"/>
        </w:rPr>
        <w:drawing>
          <wp:inline distT="0" distB="0" distL="114300" distR="114300">
            <wp:extent cx="5614670" cy="1521460"/>
            <wp:effectExtent l="0" t="0" r="5080" b="2540"/>
            <wp:docPr id="4" name="图片 4" descr="微信截图_20240418100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截图_20240418100122"/>
                    <pic:cNvPicPr>
                      <a:picLocks noChangeAspect="1"/>
                    </pic:cNvPicPr>
                  </pic:nvPicPr>
                  <pic:blipFill>
                    <a:blip r:embed="rId21"/>
                    <a:stretch>
                      <a:fillRect/>
                    </a:stretch>
                  </pic:blipFill>
                  <pic:spPr>
                    <a:xfrm>
                      <a:off x="0" y="0"/>
                      <a:ext cx="5614670" cy="152146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jc w:val="left"/>
        <w:textAlignment w:val="auto"/>
        <w:outlineLvl w:val="9"/>
        <w:rPr>
          <w:rFonts w:hint="eastAsia" w:ascii="Times New Roman" w:hAnsi="Times New Roman" w:eastAsia="方正楷体_GBK" w:cs="Calibri"/>
          <w:sz w:val="28"/>
          <w:szCs w:val="28"/>
          <w:lang w:val="en-US" w:eastAsia="zh-CN"/>
        </w:rPr>
      </w:pPr>
      <w:r>
        <w:rPr>
          <w:rFonts w:hint="eastAsia" w:ascii="Times New Roman" w:hAnsi="Times New Roman" w:eastAsia="方正楷体_GBK" w:cs="Calibri"/>
          <w:sz w:val="28"/>
          <w:szCs w:val="28"/>
          <w:lang w:val="en-US" w:eastAsia="zh-CN"/>
        </w:rPr>
        <w:t>（</w:t>
      </w:r>
      <w:r>
        <w:rPr>
          <w:rFonts w:hint="eastAsia" w:ascii="方正黑体_GBK" w:hAnsi="方正黑体_GBK" w:eastAsia="方正黑体_GBK" w:cs="方正黑体_GBK"/>
          <w:b/>
          <w:bCs/>
          <w:sz w:val="28"/>
          <w:szCs w:val="28"/>
          <w:highlight w:val="none"/>
          <w:lang w:val="en-US" w:eastAsia="zh-CN"/>
        </w:rPr>
        <w:t>注:</w:t>
      </w:r>
      <w:r>
        <w:rPr>
          <w:rFonts w:hint="eastAsia" w:ascii="Times New Roman" w:hAnsi="Times New Roman" w:eastAsia="方正楷体_GBK" w:cs="Calibri"/>
          <w:b/>
          <w:bCs/>
          <w:sz w:val="28"/>
          <w:szCs w:val="28"/>
          <w:lang w:val="en-US" w:eastAsia="zh-CN"/>
        </w:rPr>
        <w:t>“消费者价格指数”（CPI）</w:t>
      </w:r>
      <w:r>
        <w:rPr>
          <w:rFonts w:hint="eastAsia" w:ascii="Times New Roman" w:hAnsi="Times New Roman" w:eastAsia="方正楷体_GBK" w:cs="Calibri"/>
          <w:sz w:val="28"/>
          <w:szCs w:val="28"/>
          <w:lang w:val="en-US" w:eastAsia="zh-CN"/>
        </w:rPr>
        <w:t>，测量居民购买的生活消费品和服务价格水平的变动情况，以反映出居民生活成本的变化，该指标常被用于观测通货膨胀水平。</w:t>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textAlignment w:val="auto"/>
        <w:outlineLvl w:val="9"/>
        <w:rPr>
          <w:rFonts w:hint="default" w:ascii="Times New Roman" w:hAnsi="Times New Roman" w:eastAsia="方正楷体_GBK"/>
          <w:sz w:val="28"/>
          <w:szCs w:val="28"/>
          <w:lang w:val="en-US" w:eastAsia="zh-CN"/>
        </w:rPr>
      </w:pPr>
      <w:r>
        <w:rPr>
          <w:rFonts w:hint="eastAsia" w:ascii="Times New Roman" w:hAnsi="Times New Roman" w:eastAsia="方正楷体_GBK" w:cs="Calibri"/>
          <w:sz w:val="28"/>
          <w:szCs w:val="28"/>
          <w:lang w:val="en-US" w:eastAsia="zh-CN"/>
        </w:rPr>
        <w:t>在消费品中，食品和能源的价格通常波动比较大，为了更好地体现通胀趋势，将食品和能源从CPI中排除，就得到了“</w:t>
      </w:r>
      <w:r>
        <w:rPr>
          <w:rFonts w:hint="eastAsia" w:ascii="Times New Roman" w:hAnsi="Times New Roman" w:eastAsia="方正楷体_GBK" w:cs="Calibri"/>
          <w:b/>
          <w:bCs/>
          <w:sz w:val="28"/>
          <w:szCs w:val="28"/>
          <w:lang w:val="en-US" w:eastAsia="zh-CN"/>
        </w:rPr>
        <w:t>核心CPI，Core CPI”</w:t>
      </w:r>
      <w:r>
        <w:rPr>
          <w:rFonts w:hint="eastAsia" w:ascii="Times New Roman" w:hAnsi="Times New Roman" w:eastAsia="方正楷体_GBK" w:cs="Calibri"/>
          <w:sz w:val="28"/>
          <w:szCs w:val="28"/>
          <w:lang w:val="en-US" w:eastAsia="zh-CN"/>
        </w:rPr>
        <w:t>，即剔除了食品和能源价格的CPI。</w:t>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textAlignment w:val="auto"/>
        <w:outlineLvl w:val="9"/>
        <w:rPr>
          <w:rFonts w:hint="default" w:ascii="Times New Roman" w:hAnsi="Times New Roman" w:eastAsia="方正楷体_GBK" w:cs="Calibri"/>
          <w:sz w:val="28"/>
          <w:szCs w:val="28"/>
          <w:lang w:eastAsia="zh-CN"/>
        </w:rPr>
      </w:pPr>
      <w:r>
        <w:rPr>
          <w:rFonts w:hint="default" w:ascii="Times New Roman" w:hAnsi="Times New Roman" w:eastAsia="方正楷体_GBK" w:cs="Calibri"/>
          <w:b/>
          <w:bCs/>
          <w:sz w:val="28"/>
          <w:szCs w:val="28"/>
          <w:lang w:eastAsia="zh-CN"/>
        </w:rPr>
        <w:t>调和CPI</w:t>
      </w:r>
      <w:r>
        <w:rPr>
          <w:rFonts w:hint="eastAsia" w:ascii="Times New Roman" w:hAnsi="Times New Roman" w:eastAsia="方正楷体_GBK" w:cs="Calibri"/>
          <w:b/>
          <w:bCs/>
          <w:sz w:val="28"/>
          <w:szCs w:val="28"/>
          <w:lang w:eastAsia="zh-CN"/>
        </w:rPr>
        <w:t>（HICP）</w:t>
      </w:r>
      <w:r>
        <w:rPr>
          <w:rFonts w:hint="default" w:ascii="Times New Roman" w:hAnsi="Times New Roman" w:eastAsia="方正楷体_GBK" w:cs="Calibri"/>
          <w:sz w:val="28"/>
          <w:szCs w:val="28"/>
          <w:lang w:eastAsia="zh-CN"/>
        </w:rPr>
        <w:t>是适用于欧盟成员国的统一通胀指标，旨在提供跨国比较和协调。它与普通CPI在构成和计算方法上有一些差异。</w:t>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textAlignment w:val="auto"/>
        <w:outlineLvl w:val="9"/>
        <w:rPr>
          <w:rFonts w:hint="default" w:ascii="Times New Roman" w:hAnsi="Times New Roman" w:eastAsia="方正楷体_GBK" w:cs="Calibri"/>
          <w:sz w:val="28"/>
          <w:szCs w:val="28"/>
          <w:lang w:eastAsia="zh-CN"/>
        </w:rPr>
      </w:pPr>
      <w:r>
        <w:rPr>
          <w:rFonts w:hint="default" w:ascii="Times New Roman" w:hAnsi="Times New Roman" w:eastAsia="方正楷体_GBK" w:cs="Calibri"/>
          <w:sz w:val="28"/>
          <w:szCs w:val="28"/>
          <w:lang w:eastAsia="zh-CN"/>
        </w:rPr>
        <w:t>与普通的CPI相比，调和CPI考虑了更广泛的消费品和服务，</w:t>
      </w:r>
      <w:r>
        <w:rPr>
          <w:rFonts w:hint="eastAsia" w:ascii="Times New Roman" w:hAnsi="Times New Roman" w:eastAsia="方正楷体_GBK" w:cs="Calibri"/>
          <w:sz w:val="28"/>
          <w:szCs w:val="28"/>
          <w:lang w:eastAsia="zh-CN"/>
        </w:rPr>
        <w:t>其</w:t>
      </w:r>
      <w:r>
        <w:rPr>
          <w:rFonts w:hint="default" w:ascii="Times New Roman" w:hAnsi="Times New Roman" w:eastAsia="方正楷体_GBK" w:cs="Calibri"/>
          <w:sz w:val="28"/>
          <w:szCs w:val="28"/>
          <w:lang w:eastAsia="zh-CN"/>
        </w:rPr>
        <w:t>使用</w:t>
      </w:r>
      <w:r>
        <w:rPr>
          <w:rFonts w:hint="eastAsia" w:ascii="Times New Roman" w:hAnsi="Times New Roman" w:eastAsia="方正楷体_GBK" w:cs="Calibri"/>
          <w:sz w:val="28"/>
          <w:szCs w:val="28"/>
          <w:lang w:eastAsia="zh-CN"/>
        </w:rPr>
        <w:t>的</w:t>
      </w:r>
      <w:r>
        <w:rPr>
          <w:rFonts w:hint="default" w:ascii="Times New Roman" w:hAnsi="Times New Roman" w:eastAsia="方正楷体_GBK" w:cs="Calibri"/>
          <w:sz w:val="28"/>
          <w:szCs w:val="28"/>
          <w:lang w:eastAsia="zh-CN"/>
        </w:rPr>
        <w:t>权重系数经过调整和标准化，以确保可比性。</w:t>
      </w:r>
      <w:r>
        <w:rPr>
          <w:rFonts w:hint="eastAsia" w:ascii="Times New Roman" w:hAnsi="Times New Roman" w:eastAsia="方正楷体_GBK" w:cs="Calibri"/>
          <w:sz w:val="28"/>
          <w:szCs w:val="28"/>
          <w:lang w:eastAsia="zh-CN"/>
        </w:rPr>
        <w:t>因此，</w:t>
      </w:r>
      <w:r>
        <w:rPr>
          <w:rFonts w:hint="default" w:ascii="Times New Roman" w:hAnsi="Times New Roman" w:eastAsia="方正楷体_GBK" w:cs="Calibri"/>
          <w:sz w:val="28"/>
          <w:szCs w:val="28"/>
          <w:lang w:eastAsia="zh-CN"/>
        </w:rPr>
        <w:t>无论是观察整</w:t>
      </w:r>
      <w:r>
        <w:rPr>
          <w:rFonts w:hint="eastAsia" w:ascii="Times New Roman" w:hAnsi="Times New Roman" w:eastAsia="方正楷体_GBK" w:cs="Calibri"/>
          <w:sz w:val="28"/>
          <w:szCs w:val="28"/>
          <w:lang w:eastAsia="zh-CN"/>
        </w:rPr>
        <w:t>个</w:t>
      </w:r>
      <w:r>
        <w:rPr>
          <w:rFonts w:hint="default" w:ascii="Times New Roman" w:hAnsi="Times New Roman" w:eastAsia="方正楷体_GBK" w:cs="Calibri"/>
          <w:sz w:val="28"/>
          <w:szCs w:val="28"/>
          <w:lang w:eastAsia="zh-CN"/>
        </w:rPr>
        <w:t>欧盟或欧元区的通货膨胀率，还是比较</w:t>
      </w:r>
      <w:r>
        <w:rPr>
          <w:rFonts w:hint="eastAsia" w:ascii="Times New Roman" w:hAnsi="Times New Roman" w:eastAsia="方正楷体_GBK" w:cs="Calibri"/>
          <w:sz w:val="28"/>
          <w:szCs w:val="28"/>
          <w:lang w:eastAsia="zh-CN"/>
        </w:rPr>
        <w:t>其</w:t>
      </w:r>
      <w:r>
        <w:rPr>
          <w:rFonts w:hint="default" w:ascii="Times New Roman" w:hAnsi="Times New Roman" w:eastAsia="方正楷体_GBK" w:cs="Calibri"/>
          <w:sz w:val="28"/>
          <w:szCs w:val="28"/>
          <w:lang w:eastAsia="zh-CN"/>
        </w:rPr>
        <w:t>内部</w:t>
      </w:r>
      <w:r>
        <w:rPr>
          <w:rFonts w:hint="eastAsia" w:ascii="Times New Roman" w:hAnsi="Times New Roman" w:eastAsia="方正楷体_GBK" w:cs="Calibri"/>
          <w:sz w:val="28"/>
          <w:szCs w:val="28"/>
          <w:lang w:eastAsia="zh-CN"/>
        </w:rPr>
        <w:t>各经济体</w:t>
      </w:r>
      <w:r>
        <w:rPr>
          <w:rFonts w:hint="default" w:ascii="Times New Roman" w:hAnsi="Times New Roman" w:eastAsia="方正楷体_GBK" w:cs="Calibri"/>
          <w:sz w:val="28"/>
          <w:szCs w:val="28"/>
          <w:lang w:eastAsia="zh-CN"/>
        </w:rPr>
        <w:t>的通胀情况，通常使用的指标都是调和</w:t>
      </w:r>
      <w:r>
        <w:rPr>
          <w:rFonts w:hint="eastAsia" w:ascii="Times New Roman" w:hAnsi="Times New Roman" w:eastAsia="方正楷体_GBK" w:cs="Calibri"/>
          <w:sz w:val="28"/>
          <w:szCs w:val="28"/>
          <w:lang w:val="en-US" w:eastAsia="zh-CN"/>
        </w:rPr>
        <w:t>CPI（</w:t>
      </w:r>
      <w:r>
        <w:rPr>
          <w:rFonts w:hint="default" w:ascii="Times New Roman" w:hAnsi="Times New Roman" w:eastAsia="方正楷体_GBK" w:cs="Calibri"/>
          <w:sz w:val="28"/>
          <w:szCs w:val="28"/>
          <w:lang w:eastAsia="zh-CN"/>
        </w:rPr>
        <w:t>HICP），以提供统一、可比的通货膨胀数据。</w:t>
      </w:r>
      <w:r>
        <w:rPr>
          <w:rFonts w:hint="eastAsia" w:ascii="Times New Roman" w:hAnsi="Times New Roman" w:eastAsia="方正楷体_GBK" w:cs="Calibri"/>
          <w:sz w:val="28"/>
          <w:szCs w:val="28"/>
          <w:lang w:eastAsia="zh-CN"/>
        </w:rPr>
        <w:t>）</w:t>
      </w:r>
    </w:p>
    <w:p>
      <w:pPr>
        <w:ind w:firstLine="608" w:firstLineChars="200"/>
        <w:rPr>
          <w:rFonts w:hint="default"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表格中的</w:t>
      </w:r>
      <w:r>
        <w:rPr>
          <w:rFonts w:hint="default" w:ascii="Times New Roman" w:hAnsi="Times New Roman" w:cs="Times New Roman"/>
          <w:sz w:val="32"/>
          <w:szCs w:val="32"/>
          <w:lang w:val="en-US" w:eastAsia="zh-CN"/>
        </w:rPr>
        <w:t>数据显示，英国3月份的</w:t>
      </w:r>
      <w:r>
        <w:rPr>
          <w:rFonts w:hint="eastAsia" w:ascii="Times New Roman" w:hAnsi="Times New Roman" w:cs="Times New Roman"/>
          <w:sz w:val="32"/>
          <w:szCs w:val="32"/>
          <w:lang w:val="en-US" w:eastAsia="zh-CN"/>
        </w:rPr>
        <w:t>CPI同比</w:t>
      </w:r>
      <w:r>
        <w:rPr>
          <w:rFonts w:hint="default" w:ascii="Times New Roman" w:hAnsi="Times New Roman" w:cs="Times New Roman"/>
          <w:sz w:val="32"/>
          <w:szCs w:val="32"/>
          <w:lang w:val="en-US" w:eastAsia="zh-CN"/>
        </w:rPr>
        <w:t>从2月份的3.4%放缓至3.2%。这是2021年9 月以来的最低水平，但高于</w:t>
      </w:r>
      <w:r>
        <w:rPr>
          <w:rFonts w:hint="eastAsia" w:ascii="Times New Roman" w:hAnsi="Times New Roman" w:cs="Times New Roman"/>
          <w:sz w:val="32"/>
          <w:szCs w:val="32"/>
          <w:lang w:val="en-US" w:eastAsia="zh-CN"/>
        </w:rPr>
        <w:t>欧元区的水平，也</w:t>
      </w:r>
      <w:r>
        <w:rPr>
          <w:rFonts w:hint="default" w:ascii="Times New Roman" w:hAnsi="Times New Roman" w:cs="Times New Roman"/>
          <w:sz w:val="32"/>
          <w:szCs w:val="32"/>
          <w:lang w:val="en-US" w:eastAsia="zh-CN"/>
        </w:rPr>
        <w:t>仍然远高于英国央行</w:t>
      </w:r>
      <w:r>
        <w:rPr>
          <w:rFonts w:hint="eastAsia" w:ascii="Times New Roman" w:hAnsi="Times New Roman" w:cs="Times New Roman"/>
          <w:sz w:val="32"/>
          <w:szCs w:val="32"/>
          <w:lang w:val="en-US" w:eastAsia="zh-CN"/>
        </w:rPr>
        <w:t>自己</w:t>
      </w:r>
      <w:r>
        <w:rPr>
          <w:rFonts w:hint="default" w:ascii="Times New Roman" w:hAnsi="Times New Roman" w:cs="Times New Roman"/>
          <w:sz w:val="32"/>
          <w:szCs w:val="32"/>
          <w:lang w:val="en-US" w:eastAsia="zh-CN"/>
        </w:rPr>
        <w:t>2%的</w:t>
      </w:r>
      <w:r>
        <w:rPr>
          <w:rFonts w:hint="eastAsia" w:ascii="Times New Roman" w:hAnsi="Times New Roman" w:cs="Times New Roman"/>
          <w:sz w:val="32"/>
          <w:szCs w:val="32"/>
          <w:lang w:val="en-US" w:eastAsia="zh-CN"/>
        </w:rPr>
        <w:t>利率</w:t>
      </w:r>
      <w:r>
        <w:rPr>
          <w:rFonts w:hint="default" w:ascii="Times New Roman" w:hAnsi="Times New Roman" w:cs="Times New Roman"/>
          <w:sz w:val="32"/>
          <w:szCs w:val="32"/>
          <w:lang w:val="en-US" w:eastAsia="zh-CN"/>
        </w:rPr>
        <w:t>目标。预计未来几个月</w:t>
      </w:r>
      <w:r>
        <w:rPr>
          <w:rFonts w:hint="eastAsia" w:ascii="Times New Roman" w:hAnsi="Times New Roman" w:cs="Times New Roman"/>
          <w:sz w:val="32"/>
          <w:szCs w:val="32"/>
          <w:lang w:val="en-US" w:eastAsia="zh-CN"/>
        </w:rPr>
        <w:t>，英国的通胀水平</w:t>
      </w:r>
      <w:r>
        <w:rPr>
          <w:rFonts w:hint="default" w:ascii="Times New Roman" w:hAnsi="Times New Roman" w:cs="Times New Roman"/>
          <w:sz w:val="32"/>
          <w:szCs w:val="32"/>
          <w:lang w:val="en-US" w:eastAsia="zh-CN"/>
        </w:rPr>
        <w:t>将进一步下降。</w:t>
      </w:r>
    </w:p>
    <w:p>
      <w:pPr>
        <w:ind w:firstLine="608" w:firstLineChars="200"/>
        <w:rPr>
          <w:rFonts w:hint="default"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英国国家统计局于上</w:t>
      </w:r>
      <w:r>
        <w:rPr>
          <w:rFonts w:hint="default" w:ascii="Times New Roman" w:hAnsi="Times New Roman" w:cs="Times New Roman"/>
          <w:sz w:val="32"/>
          <w:szCs w:val="32"/>
          <w:lang w:val="en-US" w:eastAsia="zh-CN"/>
        </w:rPr>
        <w:t>周公布的2月份</w:t>
      </w:r>
      <w:r>
        <w:rPr>
          <w:rFonts w:hint="eastAsia" w:ascii="Times New Roman" w:hAnsi="Times New Roman" w:cs="Times New Roman"/>
          <w:sz w:val="32"/>
          <w:szCs w:val="32"/>
          <w:lang w:val="en-US" w:eastAsia="zh-CN"/>
        </w:rPr>
        <w:t>工业产出和GDP</w:t>
      </w:r>
      <w:r>
        <w:rPr>
          <w:rFonts w:hint="default" w:ascii="Times New Roman" w:hAnsi="Times New Roman" w:cs="Times New Roman"/>
          <w:sz w:val="32"/>
          <w:szCs w:val="32"/>
          <w:lang w:val="en-US" w:eastAsia="zh-CN"/>
        </w:rPr>
        <w:t>数据显示，英国</w:t>
      </w:r>
      <w:r>
        <w:rPr>
          <w:rFonts w:hint="eastAsia" w:ascii="Times New Roman" w:hAnsi="Times New Roman" w:cs="Times New Roman"/>
          <w:sz w:val="32"/>
          <w:szCs w:val="32"/>
          <w:lang w:val="en-US" w:eastAsia="zh-CN"/>
        </w:rPr>
        <w:t>经济</w:t>
      </w:r>
      <w:r>
        <w:rPr>
          <w:rFonts w:hint="default" w:ascii="Times New Roman" w:hAnsi="Times New Roman" w:cs="Times New Roman"/>
          <w:sz w:val="32"/>
          <w:szCs w:val="32"/>
          <w:lang w:val="en-US" w:eastAsia="zh-CN"/>
        </w:rPr>
        <w:t>已逐步走出衰退，但增长仍然不温不火</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2月GDP环比</w:t>
      </w:r>
      <w:r>
        <w:rPr>
          <w:rFonts w:hint="eastAsia" w:ascii="Times New Roman" w:hAnsi="Times New Roman" w:cs="Times New Roman"/>
          <w:sz w:val="32"/>
          <w:szCs w:val="32"/>
          <w:lang w:val="en-US" w:eastAsia="zh-CN"/>
        </w:rPr>
        <w:t>仅为</w:t>
      </w:r>
      <w:r>
        <w:rPr>
          <w:rFonts w:hint="default" w:ascii="Times New Roman" w:hAnsi="Times New Roman" w:cs="Times New Roman"/>
          <w:sz w:val="32"/>
          <w:szCs w:val="32"/>
          <w:lang w:val="en-US" w:eastAsia="zh-CN"/>
        </w:rPr>
        <w:t>0.1%</w:t>
      </w:r>
      <w:r>
        <w:rPr>
          <w:rFonts w:hint="eastAsia" w:ascii="Times New Roman" w:hAnsi="Times New Roman" w:cs="Times New Roman"/>
          <w:sz w:val="32"/>
          <w:szCs w:val="32"/>
          <w:lang w:val="en-US" w:eastAsia="zh-CN"/>
        </w:rPr>
        <w:t>；近日公布</w:t>
      </w:r>
      <w:r>
        <w:rPr>
          <w:rFonts w:hint="default" w:ascii="Times New Roman" w:hAnsi="Times New Roman" w:cs="Times New Roman"/>
          <w:sz w:val="32"/>
          <w:szCs w:val="32"/>
          <w:lang w:val="en-US" w:eastAsia="zh-CN"/>
        </w:rPr>
        <w:t>的劳动力市场数据显示</w:t>
      </w:r>
      <w:r>
        <w:rPr>
          <w:rFonts w:hint="eastAsia" w:ascii="Times New Roman" w:hAnsi="Times New Roman" w:cs="Times New Roman"/>
          <w:sz w:val="32"/>
          <w:szCs w:val="32"/>
          <w:lang w:val="en-US" w:eastAsia="zh-CN"/>
        </w:rPr>
        <w:t>，英国的</w:t>
      </w:r>
      <w:r>
        <w:rPr>
          <w:rFonts w:hint="default" w:ascii="Times New Roman" w:hAnsi="Times New Roman" w:cs="Times New Roman"/>
          <w:sz w:val="32"/>
          <w:szCs w:val="32"/>
          <w:lang w:val="en-US" w:eastAsia="zh-CN"/>
        </w:rPr>
        <w:t>失业率上升，</w:t>
      </w:r>
      <w:r>
        <w:rPr>
          <w:rFonts w:hint="eastAsia" w:ascii="Times New Roman" w:hAnsi="Times New Roman" w:cs="Times New Roman"/>
          <w:sz w:val="32"/>
          <w:szCs w:val="32"/>
          <w:lang w:val="en-US" w:eastAsia="zh-CN"/>
        </w:rPr>
        <w:t>但</w:t>
      </w:r>
      <w:r>
        <w:rPr>
          <w:rFonts w:hint="default" w:ascii="Times New Roman" w:hAnsi="Times New Roman" w:cs="Times New Roman"/>
          <w:sz w:val="32"/>
          <w:szCs w:val="32"/>
          <w:lang w:val="en-US" w:eastAsia="zh-CN"/>
        </w:rPr>
        <w:t>工资增长速度高于预期</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这</w:t>
      </w:r>
      <w:r>
        <w:rPr>
          <w:rFonts w:hint="eastAsia" w:ascii="Times New Roman" w:hAnsi="Times New Roman" w:cs="Times New Roman"/>
          <w:sz w:val="32"/>
          <w:szCs w:val="32"/>
          <w:lang w:val="en-US" w:eastAsia="zh-CN"/>
        </w:rPr>
        <w:t>引发了市场对于</w:t>
      </w:r>
      <w:r>
        <w:rPr>
          <w:rFonts w:hint="default" w:ascii="Times New Roman" w:hAnsi="Times New Roman" w:cs="Times New Roman"/>
          <w:sz w:val="32"/>
          <w:szCs w:val="32"/>
          <w:lang w:val="en-US" w:eastAsia="zh-CN"/>
        </w:rPr>
        <w:t>滞胀的</w:t>
      </w:r>
      <w:r>
        <w:rPr>
          <w:rFonts w:hint="eastAsia" w:ascii="Times New Roman" w:hAnsi="Times New Roman" w:cs="Times New Roman"/>
          <w:sz w:val="32"/>
          <w:szCs w:val="32"/>
          <w:lang w:val="en-US" w:eastAsia="zh-CN"/>
        </w:rPr>
        <w:t>担忧，即增长乏力但通胀持续</w:t>
      </w:r>
      <w:r>
        <w:rPr>
          <w:rFonts w:hint="default" w:ascii="Times New Roman" w:hAnsi="Times New Roman" w:cs="Times New Roman"/>
          <w:sz w:val="32"/>
          <w:szCs w:val="32"/>
          <w:lang w:val="en-US" w:eastAsia="zh-CN"/>
        </w:rPr>
        <w:t>。</w:t>
      </w:r>
    </w:p>
    <w:p>
      <w:pPr>
        <w:ind w:firstLine="608" w:firstLineChars="200"/>
        <w:rPr>
          <w:rFonts w:hint="default"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有机构辩解道，因为新冠疫情后社会</w:t>
      </w:r>
      <w:r>
        <w:rPr>
          <w:rFonts w:hint="default" w:ascii="Times New Roman" w:hAnsi="Times New Roman" w:cs="Times New Roman"/>
          <w:sz w:val="32"/>
          <w:szCs w:val="32"/>
          <w:lang w:val="en-US" w:eastAsia="zh-CN"/>
        </w:rPr>
        <w:t>调查</w:t>
      </w:r>
      <w:r>
        <w:rPr>
          <w:rFonts w:hint="eastAsia" w:ascii="Times New Roman" w:hAnsi="Times New Roman" w:cs="Times New Roman"/>
          <w:sz w:val="32"/>
          <w:szCs w:val="32"/>
          <w:lang w:val="en-US" w:eastAsia="zh-CN"/>
        </w:rPr>
        <w:t>的</w:t>
      </w:r>
      <w:r>
        <w:rPr>
          <w:rFonts w:hint="default" w:ascii="Times New Roman" w:hAnsi="Times New Roman" w:cs="Times New Roman"/>
          <w:sz w:val="32"/>
          <w:szCs w:val="32"/>
          <w:lang w:val="en-US" w:eastAsia="zh-CN"/>
        </w:rPr>
        <w:t>回复率下降，英国</w:t>
      </w:r>
      <w:r>
        <w:rPr>
          <w:rFonts w:hint="eastAsia" w:ascii="Times New Roman" w:hAnsi="Times New Roman" w:cs="Times New Roman"/>
          <w:sz w:val="32"/>
          <w:szCs w:val="32"/>
          <w:lang w:val="en-US" w:eastAsia="zh-CN"/>
        </w:rPr>
        <w:t>相关经济</w:t>
      </w:r>
      <w:r>
        <w:rPr>
          <w:rFonts w:hint="default" w:ascii="Times New Roman" w:hAnsi="Times New Roman" w:cs="Times New Roman"/>
          <w:sz w:val="32"/>
          <w:szCs w:val="32"/>
          <w:lang w:val="en-US" w:eastAsia="zh-CN"/>
        </w:rPr>
        <w:t>数据的可靠性仍存在严重问题</w:t>
      </w:r>
      <w:r>
        <w:rPr>
          <w:rFonts w:hint="eastAsia" w:ascii="Times New Roman" w:hAnsi="Times New Roman" w:cs="Times New Roman"/>
          <w:sz w:val="32"/>
          <w:szCs w:val="32"/>
          <w:lang w:val="en-US" w:eastAsia="zh-CN"/>
        </w:rPr>
        <w:t>，因此不必对目前的数据过分解读。</w:t>
      </w:r>
    </w:p>
    <w:p>
      <w:pPr>
        <w:ind w:firstLine="608" w:firstLineChars="200"/>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自2023年12月以来，英国央行一直将基准利率维持在5.25%</w:t>
      </w:r>
      <w:r>
        <w:rPr>
          <w:rFonts w:hint="eastAsia" w:ascii="Times New Roman" w:hAnsi="Times New Roman" w:cs="Times New Roman"/>
          <w:sz w:val="32"/>
          <w:szCs w:val="32"/>
          <w:lang w:val="en-US" w:eastAsia="zh-CN"/>
        </w:rPr>
        <w:t>，其</w:t>
      </w:r>
      <w:r>
        <w:rPr>
          <w:rFonts w:hint="default" w:ascii="Times New Roman" w:hAnsi="Times New Roman" w:cs="Times New Roman"/>
          <w:sz w:val="32"/>
          <w:szCs w:val="32"/>
          <w:lang w:val="en-US" w:eastAsia="zh-CN"/>
        </w:rPr>
        <w:t>货币政策委员会</w:t>
      </w:r>
      <w:r>
        <w:rPr>
          <w:rFonts w:hint="eastAsia" w:ascii="Times New Roman" w:hAnsi="Times New Roman" w:cs="Times New Roman"/>
          <w:sz w:val="32"/>
          <w:szCs w:val="32"/>
          <w:lang w:val="en-US" w:eastAsia="zh-CN"/>
        </w:rPr>
        <w:t>的</w:t>
      </w:r>
      <w:r>
        <w:rPr>
          <w:rFonts w:hint="default" w:ascii="Times New Roman" w:hAnsi="Times New Roman" w:cs="Times New Roman"/>
          <w:sz w:val="32"/>
          <w:szCs w:val="32"/>
          <w:lang w:val="en-US" w:eastAsia="zh-CN"/>
        </w:rPr>
        <w:t>下次会议将于5月9 日召开。市场预计</w:t>
      </w:r>
      <w:r>
        <w:rPr>
          <w:rFonts w:hint="eastAsia" w:ascii="Times New Roman" w:hAnsi="Times New Roman" w:cs="Times New Roman"/>
          <w:sz w:val="32"/>
          <w:szCs w:val="32"/>
          <w:lang w:val="en-US" w:eastAsia="zh-CN"/>
        </w:rPr>
        <w:t>，英国央行</w:t>
      </w:r>
      <w:r>
        <w:rPr>
          <w:rFonts w:hint="default" w:ascii="Times New Roman" w:hAnsi="Times New Roman" w:cs="Times New Roman"/>
          <w:sz w:val="32"/>
          <w:szCs w:val="32"/>
          <w:lang w:val="en-US" w:eastAsia="zh-CN"/>
        </w:rPr>
        <w:t>将在5月至9月间的某个时间点</w:t>
      </w:r>
      <w:r>
        <w:rPr>
          <w:rFonts w:hint="eastAsia" w:ascii="Times New Roman" w:hAnsi="Times New Roman" w:cs="Times New Roman"/>
          <w:sz w:val="32"/>
          <w:szCs w:val="32"/>
          <w:lang w:val="en-US" w:eastAsia="zh-CN"/>
        </w:rPr>
        <w:t>开始</w:t>
      </w:r>
      <w:r>
        <w:rPr>
          <w:rFonts w:hint="default" w:ascii="Times New Roman" w:hAnsi="Times New Roman" w:cs="Times New Roman"/>
          <w:sz w:val="32"/>
          <w:szCs w:val="32"/>
          <w:lang w:val="en-US" w:eastAsia="zh-CN"/>
        </w:rPr>
        <w:t>降息。</w:t>
      </w:r>
    </w:p>
    <w:p>
      <w:pPr>
        <w:ind w:firstLine="608"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近期，国际货币基金组织IMF发布“财政监测”报告，对美国联邦政府不断扩大的预算赤字表示出担忧。其预测，美国明年的财政赤字与GDP的比率将达到7.1%，发达经济的的财政赤字率平均为2%。</w:t>
      </w:r>
    </w:p>
    <w:tbl>
      <w:tblPr>
        <w:tblStyle w:val="15"/>
        <w:tblpPr w:leftFromText="180" w:rightFromText="180" w:vertAnchor="text" w:horzAnchor="page" w:tblpX="1646" w:tblpY="119"/>
        <w:tblOverlap w:val="never"/>
        <w:tblW w:w="89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33"/>
        <w:gridCol w:w="45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57" w:hRule="atLeast"/>
        </w:trPr>
        <w:tc>
          <w:tcPr>
            <w:tcW w:w="4433"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lang w:val="en-US" w:eastAsia="zh-CN"/>
              </w:rPr>
            </w:pPr>
            <w:r>
              <w:rPr>
                <w:rFonts w:hint="eastAsia" w:ascii="Times New Roman" w:hAnsi="Times New Roman" w:cs="Times New Roman"/>
                <w:sz w:val="32"/>
                <w:szCs w:val="32"/>
                <w:lang w:val="en-US" w:eastAsia="zh-CN"/>
              </w:rPr>
              <w:t>美国联邦政府编制的2024财年（2023年10月1日至2024年9月30日）的预算赤字为1.846万亿美元，赤字率为5.6%。但在本财年的第一季度，财政赤字已经超过了5000亿美元，同比增长21%（见图）。</w:t>
            </w:r>
          </w:p>
        </w:tc>
        <w:tc>
          <w:tcPr>
            <w:tcW w:w="4507" w:type="dxa"/>
            <w:tcBorders>
              <w:tl2br w:val="nil"/>
              <w:tr2bl w:val="nil"/>
            </w:tcBorders>
            <w:vAlign w:val="top"/>
          </w:tcPr>
          <w:p>
            <w:pPr>
              <w:rPr>
                <w:rFonts w:hint="default" w:ascii="Times New Roman" w:hAnsi="Times New Roman" w:cs="Times New Roman"/>
                <w:sz w:val="32"/>
                <w:szCs w:val="32"/>
                <w:vertAlign w:val="baseline"/>
              </w:rPr>
            </w:pPr>
            <w:r>
              <w:drawing>
                <wp:inline distT="0" distB="0" distL="114300" distR="114300">
                  <wp:extent cx="2765425" cy="2414270"/>
                  <wp:effectExtent l="0" t="0" r="15875" b="5080"/>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22"/>
                          <a:stretch>
                            <a:fillRect/>
                          </a:stretch>
                        </pic:blipFill>
                        <pic:spPr>
                          <a:xfrm>
                            <a:off x="0" y="0"/>
                            <a:ext cx="2765425" cy="2414270"/>
                          </a:xfrm>
                          <a:prstGeom prst="rect">
                            <a:avLst/>
                          </a:prstGeom>
                          <a:noFill/>
                          <a:ln>
                            <a:noFill/>
                          </a:ln>
                        </pic:spPr>
                      </pic:pic>
                    </a:graphicData>
                  </a:graphic>
                </wp:inline>
              </w:drawing>
            </w:r>
          </w:p>
        </w:tc>
      </w:tr>
    </w:tbl>
    <w:p>
      <w:pPr>
        <w:ind w:firstLine="608"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有专家预计，按照当前速度，美国2024财年的财政赤字最终可能超过2万亿美元。2023财年的赤字为1.393万亿美元，可见当前财政赤字增长的速度之快。赤字的激增将推高美国政府的债务水平，同时显著增加利息支出。</w:t>
      </w:r>
    </w:p>
    <w:p>
      <w:pPr>
        <w:ind w:left="0" w:leftChars="0" w:firstLine="0" w:firstLineChars="0"/>
        <w:jc w:val="left"/>
        <w:rPr>
          <w:rFonts w:hint="eastAsia" w:ascii="Times New Roman" w:hAnsi="Times New Roman" w:eastAsia="方正小标宋_GBK" w:cs="Times New Roman"/>
          <w:b/>
          <w:bCs/>
          <w:color w:val="FF0000"/>
          <w:sz w:val="32"/>
          <w:szCs w:val="40"/>
          <w:highlight w:val="yellow"/>
          <w:lang w:val="en-US" w:eastAsia="zh-CN"/>
        </w:rPr>
      </w:pPr>
    </w:p>
    <w:p>
      <w:pPr>
        <w:ind w:left="0" w:leftChars="0" w:firstLine="0" w:firstLineChars="0"/>
        <w:jc w:val="left"/>
        <w:rPr>
          <w:rFonts w:hint="default" w:ascii="Times New Roman" w:hAnsi="Times New Roman" w:eastAsia="方正魏碑简体" w:cs="Times New Roman"/>
          <w:b/>
          <w:bCs/>
          <w:color w:val="0000FF"/>
          <w:sz w:val="32"/>
          <w:szCs w:val="40"/>
          <w:highlight w:val="yellow"/>
          <w:lang w:val="en-US" w:eastAsia="zh-CN"/>
        </w:rPr>
      </w:pPr>
      <w:r>
        <w:rPr>
          <w:rFonts w:hint="eastAsia" w:ascii="Times New Roman" w:hAnsi="Times New Roman" w:eastAsia="方正小标宋_GBK" w:cs="Times New Roman"/>
          <w:b/>
          <w:bCs/>
          <w:color w:val="FF0000"/>
          <w:sz w:val="32"/>
          <w:szCs w:val="40"/>
          <w:highlight w:val="yellow"/>
          <w:lang w:val="en-US" w:eastAsia="zh-CN"/>
        </w:rPr>
        <w:t>4</w:t>
      </w:r>
      <w:r>
        <w:rPr>
          <w:rFonts w:hint="default" w:ascii="Times New Roman" w:hAnsi="Times New Roman" w:eastAsia="方正小标宋_GBK" w:cs="Times New Roman"/>
          <w:b/>
          <w:bCs/>
          <w:color w:val="FF0000"/>
          <w:sz w:val="32"/>
          <w:szCs w:val="40"/>
          <w:highlight w:val="yellow"/>
          <w:lang w:val="en-US" w:eastAsia="zh-CN"/>
        </w:rPr>
        <w:t>月</w:t>
      </w:r>
      <w:r>
        <w:rPr>
          <w:rFonts w:hint="eastAsia" w:ascii="Times New Roman" w:hAnsi="Times New Roman" w:eastAsia="方正小标宋_GBK" w:cs="Times New Roman"/>
          <w:b/>
          <w:bCs/>
          <w:color w:val="FF0000"/>
          <w:sz w:val="32"/>
          <w:szCs w:val="40"/>
          <w:highlight w:val="yellow"/>
          <w:lang w:val="en-US" w:eastAsia="zh-CN"/>
        </w:rPr>
        <w:t>19</w:t>
      </w:r>
      <w:r>
        <w:rPr>
          <w:rFonts w:hint="default" w:ascii="Times New Roman" w:hAnsi="Times New Roman" w:eastAsia="方正小标宋_GBK" w:cs="Times New Roman"/>
          <w:b/>
          <w:bCs/>
          <w:color w:val="FF0000"/>
          <w:sz w:val="32"/>
          <w:szCs w:val="40"/>
          <w:highlight w:val="yellow"/>
          <w:lang w:val="en-US" w:eastAsia="zh-CN"/>
        </w:rPr>
        <w:t>日</w:t>
      </w:r>
      <w:r>
        <w:rPr>
          <w:rFonts w:hint="default" w:ascii="Times New Roman" w:hAnsi="Times New Roman" w:eastAsia="方正魏碑简体" w:cs="Times New Roman"/>
          <w:b/>
          <w:bCs/>
          <w:color w:val="0000FF"/>
          <w:sz w:val="32"/>
          <w:szCs w:val="40"/>
          <w:highlight w:val="yellow"/>
          <w:lang w:val="en-US" w:eastAsia="zh-CN"/>
        </w:rPr>
        <w:t>（周</w:t>
      </w:r>
      <w:r>
        <w:rPr>
          <w:rFonts w:hint="eastAsia" w:ascii="Times New Roman" w:hAnsi="Times New Roman" w:eastAsia="方正魏碑简体" w:cs="Times New Roman"/>
          <w:b/>
          <w:bCs/>
          <w:color w:val="0000FF"/>
          <w:sz w:val="32"/>
          <w:szCs w:val="40"/>
          <w:highlight w:val="yellow"/>
          <w:lang w:val="en-US" w:eastAsia="zh-CN"/>
        </w:rPr>
        <w:t>五</w:t>
      </w:r>
      <w:r>
        <w:rPr>
          <w:rFonts w:hint="default" w:ascii="Times New Roman" w:hAnsi="Times New Roman" w:eastAsia="方正魏碑简体" w:cs="Times New Roman"/>
          <w:b/>
          <w:bCs/>
          <w:color w:val="0000FF"/>
          <w:sz w:val="32"/>
          <w:szCs w:val="40"/>
          <w:highlight w:val="yellow"/>
          <w:lang w:val="en-US" w:eastAsia="zh-CN"/>
        </w:rPr>
        <w:t>）</w:t>
      </w:r>
    </w:p>
    <w:p>
      <w:pPr>
        <w:jc w:val="center"/>
        <w:rPr>
          <w:rFonts w:hint="default" w:ascii="Times New Roman" w:hAnsi="Times New Roman" w:eastAsia="方正小标宋_GBK" w:cs="Times New Roman"/>
          <w:b/>
          <w:bCs/>
          <w:color w:val="0000FF"/>
          <w:sz w:val="36"/>
          <w:szCs w:val="44"/>
          <w:highlight w:val="yellow"/>
          <w:lang w:val="en-US" w:eastAsia="zh-CN"/>
        </w:rPr>
      </w:pPr>
      <w:r>
        <w:rPr>
          <w:rFonts w:hint="eastAsia" w:ascii="Times New Roman" w:hAnsi="Times New Roman" w:eastAsia="方正小标宋_GBK" w:cs="Times New Roman"/>
          <w:b/>
          <w:bCs/>
          <w:color w:val="0000FF"/>
          <w:sz w:val="36"/>
          <w:szCs w:val="44"/>
          <w:highlight w:val="yellow"/>
          <w:lang w:val="en-US" w:eastAsia="zh-CN"/>
        </w:rPr>
        <w:t>资金流入美元走强，就业市场稳健依旧</w:t>
      </w:r>
    </w:p>
    <w:p>
      <w:pPr>
        <w:ind w:firstLine="608"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4月18日（周四），</w:t>
      </w:r>
      <w:r>
        <w:rPr>
          <w:rFonts w:hint="default" w:ascii="Times New Roman" w:hAnsi="Times New Roman" w:cs="Times New Roman"/>
          <w:sz w:val="32"/>
          <w:szCs w:val="32"/>
          <w:lang w:val="en-US" w:eastAsia="zh-CN"/>
        </w:rPr>
        <w:t>美国财政部</w:t>
      </w:r>
      <w:r>
        <w:rPr>
          <w:rFonts w:hint="eastAsia" w:ascii="Times New Roman" w:hAnsi="Times New Roman" w:cs="Times New Roman"/>
          <w:sz w:val="32"/>
          <w:szCs w:val="32"/>
          <w:lang w:val="en-US" w:eastAsia="zh-CN"/>
        </w:rPr>
        <w:t>发布2月份的资本流入数据：长期资本净流入为715亿美元，国际资本净流入为516亿美元，均大幅高于前值。</w:t>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jc w:val="left"/>
        <w:textAlignment w:val="auto"/>
        <w:outlineLvl w:val="9"/>
        <w:rPr>
          <w:rFonts w:hint="default" w:ascii="Times New Roman" w:hAnsi="Times New Roman" w:eastAsia="方正楷体_GBK" w:cs="Calibri"/>
          <w:sz w:val="28"/>
          <w:szCs w:val="28"/>
          <w:lang w:val="en-US" w:eastAsia="zh-CN"/>
        </w:rPr>
      </w:pPr>
      <w:r>
        <w:rPr>
          <w:rFonts w:hint="default" w:ascii="Times New Roman" w:hAnsi="Times New Roman" w:eastAsia="方正楷体_GBK" w:cs="Calibri"/>
          <w:sz w:val="28"/>
          <w:szCs w:val="28"/>
          <w:lang w:val="en-US" w:eastAsia="zh-CN"/>
        </w:rPr>
        <w:t>（</w:t>
      </w:r>
      <w:r>
        <w:rPr>
          <w:rFonts w:hint="eastAsia" w:ascii="方正黑体_GBK" w:hAnsi="方正黑体_GBK" w:eastAsia="方正黑体_GBK" w:cs="方正黑体_GBK"/>
          <w:b/>
          <w:bCs/>
          <w:sz w:val="28"/>
          <w:szCs w:val="28"/>
          <w:highlight w:val="none"/>
          <w:lang w:val="en-US" w:eastAsia="zh-CN"/>
        </w:rPr>
        <w:t>注：</w:t>
      </w:r>
      <w:r>
        <w:rPr>
          <w:rFonts w:hint="eastAsia" w:ascii="Times New Roman" w:hAnsi="Times New Roman" w:eastAsia="方正楷体_GBK" w:cs="Calibri"/>
          <w:sz w:val="28"/>
          <w:szCs w:val="28"/>
          <w:lang w:val="en-US" w:eastAsia="zh-CN"/>
        </w:rPr>
        <w:t>“</w:t>
      </w:r>
      <w:r>
        <w:rPr>
          <w:rFonts w:hint="default" w:ascii="Times New Roman" w:hAnsi="Times New Roman" w:eastAsia="方正楷体_GBK" w:cs="Calibri"/>
          <w:b/>
          <w:bCs/>
          <w:sz w:val="28"/>
          <w:szCs w:val="28"/>
          <w:lang w:val="en-US" w:eastAsia="zh-CN"/>
        </w:rPr>
        <w:t>国际资本净流入</w:t>
      </w:r>
      <w:r>
        <w:rPr>
          <w:rFonts w:hint="eastAsia" w:ascii="Times New Roman" w:hAnsi="Times New Roman" w:eastAsia="方正楷体_GBK" w:cs="Calibri"/>
          <w:sz w:val="28"/>
          <w:szCs w:val="28"/>
          <w:lang w:val="en-US" w:eastAsia="zh-CN"/>
        </w:rPr>
        <w:t>”</w:t>
      </w:r>
      <w:r>
        <w:rPr>
          <w:rFonts w:hint="default" w:ascii="Times New Roman" w:hAnsi="Times New Roman" w:eastAsia="方正楷体_GBK" w:cs="Calibri"/>
          <w:sz w:val="28"/>
          <w:szCs w:val="28"/>
          <w:lang w:val="en-US" w:eastAsia="zh-CN"/>
        </w:rPr>
        <w:t>（Net International Capital Flows）</w:t>
      </w:r>
      <w:r>
        <w:rPr>
          <w:rFonts w:hint="eastAsia" w:ascii="Times New Roman" w:hAnsi="Times New Roman" w:eastAsia="方正楷体_GBK" w:cs="Calibri"/>
          <w:sz w:val="28"/>
          <w:szCs w:val="28"/>
          <w:lang w:val="en-US" w:eastAsia="zh-CN"/>
        </w:rPr>
        <w:t>，指</w:t>
      </w:r>
      <w:r>
        <w:rPr>
          <w:rFonts w:hint="default" w:ascii="Times New Roman" w:hAnsi="Times New Roman" w:eastAsia="方正楷体_GBK" w:cs="Calibri"/>
          <w:sz w:val="28"/>
          <w:szCs w:val="28"/>
          <w:lang w:val="en-US" w:eastAsia="zh-CN"/>
        </w:rPr>
        <w:t>国际资本在一定时间内（通常是一个月）流入或流出美国经济的净额</w:t>
      </w:r>
      <w:r>
        <w:rPr>
          <w:rFonts w:hint="eastAsia" w:ascii="Times New Roman" w:hAnsi="Times New Roman" w:eastAsia="方正楷体_GBK" w:cs="Calibri"/>
          <w:sz w:val="28"/>
          <w:szCs w:val="28"/>
          <w:lang w:val="en-US" w:eastAsia="zh-CN"/>
        </w:rPr>
        <w:t>，</w:t>
      </w:r>
      <w:r>
        <w:rPr>
          <w:rFonts w:hint="default" w:ascii="Times New Roman" w:hAnsi="Times New Roman" w:eastAsia="方正楷体_GBK" w:cs="Calibri"/>
          <w:sz w:val="28"/>
          <w:szCs w:val="28"/>
          <w:lang w:val="en-US" w:eastAsia="zh-CN"/>
        </w:rPr>
        <w:t>包括各种资本形式，如股票、债券、直接投资和其他投资等。</w:t>
      </w:r>
      <w:r>
        <w:rPr>
          <w:rFonts w:hint="eastAsia" w:ascii="Times New Roman" w:hAnsi="Times New Roman" w:eastAsia="方正楷体_GBK" w:cs="Calibri"/>
          <w:sz w:val="28"/>
          <w:szCs w:val="28"/>
          <w:lang w:val="en-US" w:eastAsia="zh-CN"/>
        </w:rPr>
        <w:t>该</w:t>
      </w:r>
      <w:r>
        <w:rPr>
          <w:rFonts w:hint="default" w:ascii="Times New Roman" w:hAnsi="Times New Roman" w:eastAsia="方正楷体_GBK" w:cs="Calibri"/>
          <w:sz w:val="28"/>
          <w:szCs w:val="28"/>
          <w:lang w:val="en-US" w:eastAsia="zh-CN"/>
        </w:rPr>
        <w:t>指标用于评估国际投资者对美国经济的投资状况。</w:t>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jc w:val="left"/>
        <w:textAlignment w:val="auto"/>
        <w:outlineLvl w:val="9"/>
        <w:rPr>
          <w:rFonts w:hint="default" w:ascii="Times New Roman" w:hAnsi="Times New Roman" w:eastAsia="方正楷体_GBK" w:cs="Calibri"/>
          <w:sz w:val="28"/>
          <w:szCs w:val="28"/>
          <w:lang w:val="en-US" w:eastAsia="zh-CN"/>
        </w:rPr>
      </w:pPr>
      <w:r>
        <w:rPr>
          <w:rFonts w:hint="eastAsia" w:ascii="Times New Roman" w:hAnsi="Times New Roman" w:eastAsia="方正楷体_GBK" w:cs="Calibri"/>
          <w:b/>
          <w:bCs/>
          <w:sz w:val="28"/>
          <w:szCs w:val="28"/>
          <w:lang w:val="en-US" w:eastAsia="zh-CN"/>
        </w:rPr>
        <w:t>“</w:t>
      </w:r>
      <w:r>
        <w:rPr>
          <w:rFonts w:hint="default" w:ascii="Times New Roman" w:hAnsi="Times New Roman" w:eastAsia="方正楷体_GBK" w:cs="Calibri"/>
          <w:b/>
          <w:bCs/>
          <w:sz w:val="28"/>
          <w:szCs w:val="28"/>
          <w:lang w:val="en-US" w:eastAsia="zh-CN"/>
        </w:rPr>
        <w:t>长期资本净流入</w:t>
      </w:r>
      <w:r>
        <w:rPr>
          <w:rFonts w:hint="eastAsia" w:ascii="Times New Roman" w:hAnsi="Times New Roman" w:eastAsia="方正楷体_GBK" w:cs="Calibri"/>
          <w:b/>
          <w:bCs/>
          <w:sz w:val="28"/>
          <w:szCs w:val="28"/>
          <w:lang w:val="en-US" w:eastAsia="zh-CN"/>
        </w:rPr>
        <w:t>”</w:t>
      </w:r>
      <w:r>
        <w:rPr>
          <w:rFonts w:hint="default" w:ascii="Times New Roman" w:hAnsi="Times New Roman" w:eastAsia="方正楷体_GBK" w:cs="Calibri"/>
          <w:sz w:val="28"/>
          <w:szCs w:val="28"/>
          <w:lang w:val="en-US" w:eastAsia="zh-CN"/>
        </w:rPr>
        <w:t>（Net Long-Term Capital Inflows）：</w:t>
      </w:r>
      <w:r>
        <w:rPr>
          <w:rFonts w:hint="eastAsia" w:ascii="Times New Roman" w:hAnsi="Times New Roman" w:eastAsia="方正楷体_GBK" w:cs="Calibri"/>
          <w:sz w:val="28"/>
          <w:szCs w:val="28"/>
          <w:lang w:val="en-US" w:eastAsia="zh-CN"/>
        </w:rPr>
        <w:t>是“</w:t>
      </w:r>
      <w:r>
        <w:rPr>
          <w:rFonts w:hint="default" w:ascii="Times New Roman" w:hAnsi="Times New Roman" w:eastAsia="方正楷体_GBK" w:cs="Calibri"/>
          <w:sz w:val="28"/>
          <w:szCs w:val="28"/>
          <w:lang w:val="en-US" w:eastAsia="zh-CN"/>
        </w:rPr>
        <w:t>国际资本净流入</w:t>
      </w:r>
      <w:r>
        <w:rPr>
          <w:rFonts w:hint="eastAsia" w:ascii="Times New Roman" w:hAnsi="Times New Roman" w:eastAsia="方正楷体_GBK" w:cs="Calibri"/>
          <w:sz w:val="28"/>
          <w:szCs w:val="28"/>
          <w:lang w:val="en-US" w:eastAsia="zh-CN"/>
        </w:rPr>
        <w:t>”指标</w:t>
      </w:r>
      <w:r>
        <w:rPr>
          <w:rFonts w:hint="default" w:ascii="Times New Roman" w:hAnsi="Times New Roman" w:eastAsia="方正楷体_GBK" w:cs="Calibri"/>
          <w:sz w:val="28"/>
          <w:szCs w:val="28"/>
          <w:lang w:val="en-US" w:eastAsia="zh-CN"/>
        </w:rPr>
        <w:t>的一个特定子类别</w:t>
      </w:r>
      <w:r>
        <w:rPr>
          <w:rFonts w:hint="eastAsia" w:ascii="Times New Roman" w:hAnsi="Times New Roman" w:eastAsia="方正楷体_GBK" w:cs="Calibri"/>
          <w:sz w:val="28"/>
          <w:szCs w:val="28"/>
          <w:lang w:val="en-US" w:eastAsia="zh-CN"/>
        </w:rPr>
        <w:t>，用于衡量</w:t>
      </w:r>
      <w:r>
        <w:rPr>
          <w:rFonts w:hint="default" w:ascii="Times New Roman" w:hAnsi="Times New Roman" w:eastAsia="方正楷体_GBK" w:cs="Calibri"/>
          <w:sz w:val="28"/>
          <w:szCs w:val="28"/>
          <w:lang w:val="en-US" w:eastAsia="zh-CN"/>
        </w:rPr>
        <w:t>较长时间期间（通常是一年）内从国际投资者流入美国经济的资本净额。这些资本可以是直接投资、投资组合投资（如股票和债券）以及其他长期投资。</w:t>
      </w:r>
      <w:r>
        <w:rPr>
          <w:rFonts w:hint="eastAsia" w:ascii="Times New Roman" w:hAnsi="Times New Roman" w:eastAsia="方正楷体_GBK" w:cs="Calibri"/>
          <w:sz w:val="28"/>
          <w:szCs w:val="28"/>
          <w:lang w:val="en-US" w:eastAsia="zh-CN"/>
        </w:rPr>
        <w:t>该指标</w:t>
      </w:r>
      <w:r>
        <w:rPr>
          <w:rFonts w:hint="default" w:ascii="Times New Roman" w:hAnsi="Times New Roman" w:eastAsia="方正楷体_GBK" w:cs="Calibri"/>
          <w:sz w:val="28"/>
          <w:szCs w:val="28"/>
          <w:lang w:val="en-US" w:eastAsia="zh-CN"/>
        </w:rPr>
        <w:t>主要关注长期投资的规模和趋势。</w:t>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jc w:val="left"/>
        <w:textAlignment w:val="auto"/>
        <w:outlineLvl w:val="9"/>
        <w:rPr>
          <w:rFonts w:hint="eastAsia" w:ascii="Times New Roman" w:hAnsi="Times New Roman" w:eastAsia="方正楷体_GBK" w:cs="Calibri"/>
          <w:sz w:val="28"/>
          <w:szCs w:val="28"/>
          <w:lang w:val="en-US" w:eastAsia="zh-CN"/>
        </w:rPr>
      </w:pPr>
      <w:r>
        <w:rPr>
          <w:rFonts w:hint="eastAsia" w:ascii="Times New Roman" w:hAnsi="Times New Roman" w:eastAsia="方正楷体_GBK" w:cs="Calibri"/>
          <w:sz w:val="28"/>
          <w:szCs w:val="28"/>
          <w:lang w:val="en-US" w:eastAsia="zh-CN"/>
        </w:rPr>
        <w:t>当</w:t>
      </w:r>
      <w:r>
        <w:rPr>
          <w:rFonts w:hint="default" w:ascii="Times New Roman" w:hAnsi="Times New Roman" w:eastAsia="方正楷体_GBK" w:cs="Calibri"/>
          <w:sz w:val="28"/>
          <w:szCs w:val="28"/>
          <w:lang w:val="en-US" w:eastAsia="zh-CN"/>
        </w:rPr>
        <w:t>资本呈现净流入，</w:t>
      </w:r>
      <w:r>
        <w:rPr>
          <w:rFonts w:hint="eastAsia" w:ascii="Times New Roman" w:hAnsi="Times New Roman" w:eastAsia="方正楷体_GBK" w:cs="Calibri"/>
          <w:sz w:val="28"/>
          <w:szCs w:val="28"/>
          <w:lang w:val="en-US" w:eastAsia="zh-CN"/>
        </w:rPr>
        <w:t>说明</w:t>
      </w:r>
      <w:r>
        <w:rPr>
          <w:rFonts w:hint="default" w:ascii="Times New Roman" w:hAnsi="Times New Roman" w:eastAsia="方正楷体_GBK" w:cs="Calibri"/>
          <w:sz w:val="28"/>
          <w:szCs w:val="28"/>
          <w:lang w:val="en-US" w:eastAsia="zh-CN"/>
        </w:rPr>
        <w:t>对美元需求增加，利好美元；</w:t>
      </w:r>
      <w:r>
        <w:rPr>
          <w:rFonts w:hint="eastAsia" w:ascii="Times New Roman" w:hAnsi="Times New Roman" w:eastAsia="方正楷体_GBK" w:cs="Calibri"/>
          <w:sz w:val="28"/>
          <w:szCs w:val="28"/>
          <w:lang w:val="en-US" w:eastAsia="zh-CN"/>
        </w:rPr>
        <w:t>反之</w:t>
      </w:r>
      <w:r>
        <w:rPr>
          <w:rFonts w:hint="default" w:ascii="Times New Roman" w:hAnsi="Times New Roman" w:eastAsia="方正楷体_GBK" w:cs="Calibri"/>
          <w:sz w:val="28"/>
          <w:szCs w:val="28"/>
          <w:lang w:val="en-US" w:eastAsia="zh-CN"/>
        </w:rPr>
        <w:t>，表明投资者</w:t>
      </w:r>
      <w:r>
        <w:rPr>
          <w:rFonts w:hint="eastAsia" w:ascii="Times New Roman" w:hAnsi="Times New Roman" w:eastAsia="方正楷体_GBK" w:cs="Calibri"/>
          <w:sz w:val="28"/>
          <w:szCs w:val="28"/>
          <w:lang w:val="en-US" w:eastAsia="zh-CN"/>
        </w:rPr>
        <w:t>短线</w:t>
      </w:r>
      <w:r>
        <w:rPr>
          <w:rFonts w:hint="default" w:ascii="Times New Roman" w:hAnsi="Times New Roman" w:eastAsia="方正楷体_GBK" w:cs="Calibri"/>
          <w:sz w:val="28"/>
          <w:szCs w:val="28"/>
          <w:lang w:val="en-US" w:eastAsia="zh-CN"/>
        </w:rPr>
        <w:t>不看好美国</w:t>
      </w:r>
      <w:r>
        <w:rPr>
          <w:rFonts w:hint="eastAsia" w:ascii="Times New Roman" w:hAnsi="Times New Roman" w:eastAsia="方正楷体_GBK" w:cs="Calibri"/>
          <w:sz w:val="28"/>
          <w:szCs w:val="28"/>
          <w:lang w:val="en-US" w:eastAsia="zh-CN"/>
        </w:rPr>
        <w:t>市场</w:t>
      </w:r>
      <w:r>
        <w:rPr>
          <w:rFonts w:hint="default" w:ascii="Times New Roman" w:hAnsi="Times New Roman" w:eastAsia="方正楷体_GBK" w:cs="Calibri"/>
          <w:sz w:val="28"/>
          <w:szCs w:val="28"/>
          <w:lang w:val="en-US" w:eastAsia="zh-CN"/>
        </w:rPr>
        <w:t>，利空美元。</w:t>
      </w:r>
      <w:r>
        <w:rPr>
          <w:rFonts w:hint="eastAsia" w:ascii="Times New Roman" w:hAnsi="Times New Roman" w:eastAsia="方正楷体_GBK" w:cs="Calibri"/>
          <w:sz w:val="28"/>
          <w:szCs w:val="28"/>
          <w:lang w:val="en-US" w:eastAsia="zh-CN"/>
        </w:rPr>
        <w:t>）</w:t>
      </w:r>
    </w:p>
    <w:tbl>
      <w:tblPr>
        <w:tblStyle w:val="15"/>
        <w:tblpPr w:leftFromText="180" w:rightFromText="180" w:vertAnchor="text" w:horzAnchor="page" w:tblpX="1646" w:tblpY="119"/>
        <w:tblOverlap w:val="never"/>
        <w:tblW w:w="89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372"/>
        <w:gridCol w:w="35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19" w:hRule="atLeast"/>
        </w:trPr>
        <w:tc>
          <w:tcPr>
            <w:tcW w:w="537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240" w:lineRule="auto"/>
              <w:textAlignment w:val="auto"/>
              <w:outlineLvl w:val="9"/>
              <w:rPr>
                <w:rFonts w:hint="eastAsia"/>
                <w:lang w:val="en-US" w:eastAsia="zh-CN"/>
              </w:rPr>
            </w:pPr>
            <w:r>
              <w:drawing>
                <wp:inline distT="0" distB="0" distL="114300" distR="114300">
                  <wp:extent cx="3259455" cy="1742440"/>
                  <wp:effectExtent l="0" t="0" r="17145" b="1016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23"/>
                          <a:stretch>
                            <a:fillRect/>
                          </a:stretch>
                        </pic:blipFill>
                        <pic:spPr>
                          <a:xfrm>
                            <a:off x="0" y="0"/>
                            <a:ext cx="3259455" cy="1742440"/>
                          </a:xfrm>
                          <a:prstGeom prst="rect">
                            <a:avLst/>
                          </a:prstGeom>
                          <a:noFill/>
                          <a:ln>
                            <a:noFill/>
                          </a:ln>
                        </pic:spPr>
                      </pic:pic>
                    </a:graphicData>
                  </a:graphic>
                </wp:inline>
              </w:drawing>
            </w:r>
          </w:p>
        </w:tc>
        <w:tc>
          <w:tcPr>
            <w:tcW w:w="3568" w:type="dxa"/>
            <w:tcBorders>
              <w:tl2br w:val="nil"/>
              <w:tr2bl w:val="nil"/>
            </w:tcBorders>
            <w:vAlign w:val="top"/>
          </w:tcPr>
          <w:p>
            <w:pPr>
              <w:ind w:firstLine="608" w:firstLineChars="200"/>
              <w:rPr>
                <w:rFonts w:hint="default" w:ascii="Times New Roman" w:hAnsi="Times New Roman" w:cs="Times New Roman"/>
                <w:sz w:val="32"/>
                <w:szCs w:val="32"/>
                <w:vertAlign w:val="baseline"/>
              </w:rPr>
            </w:pPr>
            <w:r>
              <w:rPr>
                <w:rFonts w:hint="eastAsia" w:ascii="Times New Roman" w:hAnsi="Times New Roman" w:cs="Times New Roman"/>
                <w:sz w:val="32"/>
                <w:szCs w:val="32"/>
                <w:lang w:val="en-US" w:eastAsia="zh-CN"/>
              </w:rPr>
              <w:t>美元指数从今年年初以来一直处于上升趋势（见图）。美国经济强劲，对美联储的降息押注减弱，以及对欧央行降息的</w:t>
            </w:r>
          </w:p>
        </w:tc>
      </w:tr>
    </w:tbl>
    <w:p>
      <w:pPr>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预期增强，强化了美欧利差扩大的预期，利差扩大将诱使资金离欧赴美，上述因素都支撑美元在短期内继续走强。</w:t>
      </w:r>
    </w:p>
    <w:p>
      <w:pPr>
        <w:ind w:firstLine="608"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同日，美国劳工部发布3月失业数据：4月6日当周续请失业救济人数为181.2万人，略低于前值和预期，4月13日当周首次申请失业救济人数为21.2万人，也低于预期，持平于前值。上述数据显示，美国就业市场依然稳健。</w:t>
      </w:r>
    </w:p>
    <w:p>
      <w:pPr>
        <w:rPr>
          <w:rFonts w:hint="eastAsia"/>
          <w:lang w:val="en-US" w:eastAsia="zh-CN"/>
        </w:rPr>
      </w:pPr>
    </w:p>
    <w:p>
      <w:pPr>
        <w:ind w:firstLine="608" w:firstLineChars="200"/>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br w:type="page"/>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b/>
          <w:bCs/>
          <w:color w:val="FF0000"/>
          <w:sz w:val="96"/>
          <w:szCs w:val="96"/>
          <w:lang w:val="en-US" w:eastAsia="zh-CN"/>
        </w:rPr>
      </w:pPr>
      <w:r>
        <w:rPr>
          <w:rFonts w:hint="default" w:ascii="Times New Roman" w:hAnsi="Times New Roman" w:eastAsia="经典行楷简" w:cs="Times New Roman"/>
          <w:b/>
          <w:bCs/>
          <w:color w:val="FF0000"/>
          <w:sz w:val="96"/>
          <w:szCs w:val="96"/>
          <w:lang w:val="en-US" w:eastAsia="zh-CN"/>
        </w:rPr>
        <w:t>江苏贸促动态</w:t>
      </w:r>
    </w:p>
    <w:p>
      <w:pPr>
        <w:keepNext w:val="0"/>
        <w:keepLines w:val="0"/>
        <w:pageBreakBefore w:val="0"/>
        <w:widowControl/>
        <w:shd w:val="clear" w:color="auto" w:fill="FFFFFF"/>
        <w:kinsoku/>
        <w:wordWrap/>
        <w:overflowPunct/>
        <w:topLinePunct w:val="0"/>
        <w:autoSpaceDE/>
        <w:autoSpaceDN/>
        <w:bidi w:val="0"/>
        <w:adjustRightInd/>
        <w:snapToGrid/>
        <w:spacing w:line="7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省贸促会召开党纪学习教育部署会</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firstLine="608" w:firstLineChars="200"/>
        <w:jc w:val="left"/>
        <w:textAlignment w:val="auto"/>
        <w:outlineLvl w:val="9"/>
        <w:rPr>
          <w:rFonts w:hint="eastAsia" w:ascii="Times New Roman" w:hAnsi="Times New Roman" w:cstheme="minorEastAsia"/>
          <w:i w:val="0"/>
          <w:caps w:val="0"/>
          <w:color w:val="333333"/>
          <w:spacing w:val="0"/>
          <w:kern w:val="0"/>
          <w:sz w:val="32"/>
          <w:szCs w:val="32"/>
          <w:shd w:val="clear" w:fill="FFFFFF"/>
          <w:lang w:val="en-US" w:eastAsia="zh-CN" w:bidi="ar"/>
        </w:rPr>
      </w:pPr>
      <w:r>
        <w:rPr>
          <w:rFonts w:hint="default" w:ascii="Times New Roman" w:hAnsi="Times New Roman" w:cstheme="minorEastAsia"/>
          <w:i w:val="0"/>
          <w:caps w:val="0"/>
          <w:color w:val="333333"/>
          <w:spacing w:val="0"/>
          <w:kern w:val="0"/>
          <w:sz w:val="32"/>
          <w:szCs w:val="32"/>
          <w:shd w:val="clear" w:fill="FFFFFF"/>
          <w:lang w:val="en-US" w:eastAsia="zh-CN" w:bidi="ar"/>
        </w:rPr>
        <w:t>4</w:t>
      </w:r>
      <w:r>
        <w:rPr>
          <w:rFonts w:hint="eastAsia" w:ascii="Times New Roman" w:hAnsi="Times New Roman" w:cstheme="minorEastAsia"/>
          <w:i w:val="0"/>
          <w:caps w:val="0"/>
          <w:color w:val="333333"/>
          <w:spacing w:val="0"/>
          <w:kern w:val="0"/>
          <w:sz w:val="32"/>
          <w:szCs w:val="32"/>
          <w:shd w:val="clear" w:fill="FFFFFF"/>
          <w:lang w:val="en-US" w:eastAsia="zh-CN" w:bidi="ar"/>
        </w:rPr>
        <w:t>月</w:t>
      </w:r>
      <w:r>
        <w:rPr>
          <w:rFonts w:hint="default" w:ascii="Times New Roman" w:hAnsi="Times New Roman" w:cstheme="minorEastAsia"/>
          <w:i w:val="0"/>
          <w:caps w:val="0"/>
          <w:color w:val="333333"/>
          <w:spacing w:val="0"/>
          <w:kern w:val="0"/>
          <w:sz w:val="32"/>
          <w:szCs w:val="32"/>
          <w:shd w:val="clear" w:fill="FFFFFF"/>
          <w:lang w:val="en-US" w:eastAsia="zh-CN" w:bidi="ar"/>
        </w:rPr>
        <w:t>15</w:t>
      </w:r>
      <w:r>
        <w:rPr>
          <w:rFonts w:hint="eastAsia" w:ascii="Times New Roman" w:hAnsi="Times New Roman" w:cstheme="minorEastAsia"/>
          <w:i w:val="0"/>
          <w:caps w:val="0"/>
          <w:color w:val="333333"/>
          <w:spacing w:val="0"/>
          <w:kern w:val="0"/>
          <w:sz w:val="32"/>
          <w:szCs w:val="32"/>
          <w:shd w:val="clear" w:fill="FFFFFF"/>
          <w:lang w:val="en-US" w:eastAsia="zh-CN" w:bidi="ar"/>
        </w:rPr>
        <w:t>日，省贸促会召开党纪学习教育部署会，专题传达学习习近平总书记关于党纪学习教育的重要讲话和重要指示精神，认真落实中央及省委有关部署要求，对全会深入开展学习教育进行动员部署。</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firstLine="608" w:firstLineChars="200"/>
        <w:jc w:val="left"/>
        <w:textAlignment w:val="auto"/>
        <w:outlineLvl w:val="9"/>
        <w:rPr>
          <w:rFonts w:hint="eastAsia" w:ascii="Times New Roman" w:hAnsi="Times New Roman" w:cstheme="minorEastAsia"/>
          <w:i w:val="0"/>
          <w:caps w:val="0"/>
          <w:color w:val="333333"/>
          <w:spacing w:val="0"/>
          <w:kern w:val="0"/>
          <w:sz w:val="32"/>
          <w:szCs w:val="32"/>
          <w:shd w:val="clear" w:fill="FFFFFF"/>
          <w:lang w:val="en-US" w:eastAsia="zh-CN" w:bidi="ar"/>
        </w:rPr>
      </w:pPr>
      <w:r>
        <w:rPr>
          <w:rFonts w:hint="eastAsia" w:ascii="Times New Roman" w:hAnsi="Times New Roman" w:cstheme="minorEastAsia"/>
          <w:i w:val="0"/>
          <w:caps w:val="0"/>
          <w:color w:val="333333"/>
          <w:spacing w:val="0"/>
          <w:kern w:val="0"/>
          <w:sz w:val="32"/>
          <w:szCs w:val="32"/>
          <w:shd w:val="clear" w:fill="FFFFFF"/>
          <w:lang w:val="en-US" w:eastAsia="zh-CN" w:bidi="ar"/>
        </w:rPr>
        <w:t>会议指出，在全党开展党纪学习教育，是习近平总书记亲自谋划、亲自推动的“党之大计”，是加强党的纪律建设、推动全面从严治党向纵深发展的重要举措。全会党员干部要深刻认识加强党纪学习教育的重要意义，把学习党规党纪与学习党的创新理论紧密结合起来，高质量开展好党纪学习教育，聚焦“忠诚”这个根本点、“干净”这个着力点、“担当”这个落脚点，教育引导党员干部深刻领悟“两个确立”的决定性意义，坚决做到“两个维护”。</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firstLine="608" w:firstLineChars="200"/>
        <w:jc w:val="left"/>
        <w:textAlignment w:val="auto"/>
        <w:outlineLvl w:val="9"/>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Times New Roman" w:hAnsi="Times New Roman" w:cstheme="minorEastAsia"/>
          <w:i w:val="0"/>
          <w:caps w:val="0"/>
          <w:color w:val="333333"/>
          <w:spacing w:val="0"/>
          <w:kern w:val="0"/>
          <w:sz w:val="32"/>
          <w:szCs w:val="32"/>
          <w:shd w:val="clear" w:fill="FFFFFF"/>
          <w:lang w:val="en-US" w:eastAsia="zh-CN" w:bidi="ar"/>
        </w:rPr>
        <w:t xml:space="preserve">会议要求，要准确把握党纪学习教育的目标要求，推动全会各级党组织和领导班子从严抓好党的纪律建设，着力解决一些党员干部对党规党纪不上心、不了解、不掌握等问题，教育引导广大党员干部做到学纪、知纪、明纪、守纪，真正使这次党纪学习教育成为全体党员特别是党员领导干部增强纪律意识、提高党性修养的生动实践，取得良好效果。             </w:t>
      </w:r>
      <w:r>
        <w:rPr>
          <w:rFonts w:hint="eastAsia" w:ascii="方正楷体_GBK" w:hAnsi="方正楷体_GBK" w:eastAsia="方正楷体_GBK" w:cs="方正楷体_GBK"/>
          <w:b/>
          <w:bCs/>
          <w:color w:val="FF0000"/>
          <w:spacing w:val="0"/>
          <w:kern w:val="2"/>
          <w:sz w:val="32"/>
          <w:szCs w:val="32"/>
          <w:lang w:val="en-US" w:eastAsia="zh-CN" w:bidi="ar-SA"/>
        </w:rPr>
        <w:t>（机关党委（人事部））</w:t>
      </w:r>
    </w:p>
    <w:p>
      <w:pPr>
        <w:keepNext w:val="0"/>
        <w:keepLines w:val="0"/>
        <w:pageBreakBefore w:val="0"/>
        <w:widowControl/>
        <w:shd w:val="clear" w:color="auto" w:fill="FFFFFF"/>
        <w:kinsoku/>
        <w:wordWrap/>
        <w:overflowPunct/>
        <w:topLinePunct w:val="0"/>
        <w:autoSpaceDE/>
        <w:autoSpaceDN/>
        <w:bidi w:val="0"/>
        <w:adjustRightInd/>
        <w:snapToGrid/>
        <w:spacing w:line="700" w:lineRule="exact"/>
        <w:contextualSpacing/>
        <w:jc w:val="center"/>
        <w:textAlignment w:val="auto"/>
        <w:outlineLvl w:val="1"/>
        <w:rPr>
          <w:rFonts w:hint="eastAsia" w:ascii="黑体" w:hAnsi="宋体" w:eastAsia="黑体" w:cs="黑体"/>
          <w:b/>
          <w:color w:val="000000"/>
          <w:sz w:val="36"/>
          <w:szCs w:val="36"/>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line="7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line="7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省贸促会领导会见日本国际贸易促进</w:t>
      </w:r>
    </w:p>
    <w:p>
      <w:pPr>
        <w:keepNext w:val="0"/>
        <w:keepLines w:val="0"/>
        <w:pageBreakBefore w:val="0"/>
        <w:widowControl/>
        <w:shd w:val="clear" w:color="auto" w:fill="FFFFFF"/>
        <w:kinsoku/>
        <w:wordWrap/>
        <w:overflowPunct/>
        <w:topLinePunct w:val="0"/>
        <w:autoSpaceDE/>
        <w:autoSpaceDN/>
        <w:bidi w:val="0"/>
        <w:adjustRightInd/>
        <w:snapToGrid/>
        <w:spacing w:line="7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协会理事长安田真人</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firstLine="608" w:firstLineChars="200"/>
        <w:jc w:val="left"/>
        <w:textAlignment w:val="auto"/>
        <w:outlineLvl w:val="9"/>
        <w:rPr>
          <w:rFonts w:hint="eastAsia" w:ascii="Times New Roman" w:hAnsi="Times New Roman" w:cstheme="minorEastAsia"/>
          <w:i w:val="0"/>
          <w:caps w:val="0"/>
          <w:color w:val="333333"/>
          <w:spacing w:val="0"/>
          <w:kern w:val="0"/>
          <w:sz w:val="32"/>
          <w:szCs w:val="32"/>
          <w:shd w:val="clear" w:fill="FFFFFF"/>
          <w:lang w:val="en-US" w:eastAsia="zh-CN" w:bidi="ar"/>
        </w:rPr>
      </w:pPr>
      <w:r>
        <w:rPr>
          <w:rFonts w:hint="eastAsia" w:ascii="Times New Roman" w:hAnsi="Times New Roman" w:cstheme="minorEastAsia"/>
          <w:i w:val="0"/>
          <w:caps w:val="0"/>
          <w:color w:val="333333"/>
          <w:spacing w:val="0"/>
          <w:kern w:val="0"/>
          <w:sz w:val="32"/>
          <w:szCs w:val="32"/>
          <w:shd w:val="clear" w:fill="FFFFFF"/>
          <w:lang w:val="en-US" w:eastAsia="zh-CN" w:bidi="ar"/>
        </w:rPr>
        <w:t>4月11日上午，省贸促会会长王善华会见来访的日本国际贸易促进协会理事长安田真人一行。</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firstLine="608" w:firstLineChars="200"/>
        <w:jc w:val="left"/>
        <w:textAlignment w:val="auto"/>
        <w:outlineLvl w:val="9"/>
        <w:rPr>
          <w:rFonts w:hint="eastAsia" w:ascii="Times New Roman" w:hAnsi="Times New Roman" w:cstheme="minorEastAsia"/>
          <w:i w:val="0"/>
          <w:caps w:val="0"/>
          <w:color w:val="333333"/>
          <w:spacing w:val="0"/>
          <w:kern w:val="0"/>
          <w:sz w:val="32"/>
          <w:szCs w:val="32"/>
          <w:shd w:val="clear" w:fill="FFFFFF"/>
          <w:lang w:val="en-US" w:eastAsia="zh-CN" w:bidi="ar"/>
        </w:rPr>
      </w:pPr>
      <w:r>
        <w:rPr>
          <w:rFonts w:hint="eastAsia" w:ascii="Times New Roman" w:hAnsi="Times New Roman" w:cstheme="minorEastAsia"/>
          <w:i w:val="0"/>
          <w:caps w:val="0"/>
          <w:color w:val="333333"/>
          <w:spacing w:val="0"/>
          <w:kern w:val="0"/>
          <w:sz w:val="32"/>
          <w:szCs w:val="32"/>
          <w:shd w:val="clear" w:fill="FFFFFF"/>
          <w:lang w:val="en-US" w:eastAsia="zh-CN" w:bidi="ar"/>
        </w:rPr>
        <w:t>王善华简要介绍我省最新的经济社会发展和苏日经贸合作情况，表示全省贸促系统将进一步织密服务企业网，扩大国际朋友圈，深化国际经贸交流合作，搭建高水平开放平台，优化提升企业服务。希望双方加强交流，共同发挥桥梁纽带作用，推进企业间务实合作，进一步巩固日资企业在苏发展信心。</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firstLine="608" w:firstLineChars="200"/>
        <w:jc w:val="left"/>
        <w:textAlignment w:val="auto"/>
        <w:outlineLvl w:val="9"/>
        <w:rPr>
          <w:rFonts w:hint="eastAsia" w:ascii="Times New Roman" w:hAnsi="Times New Roman" w:cstheme="minorEastAsia"/>
          <w:i w:val="0"/>
          <w:caps w:val="0"/>
          <w:color w:val="333333"/>
          <w:spacing w:val="0"/>
          <w:kern w:val="0"/>
          <w:sz w:val="32"/>
          <w:szCs w:val="32"/>
          <w:shd w:val="clear" w:fill="FFFFFF"/>
          <w:lang w:val="en-US" w:eastAsia="zh-CN" w:bidi="ar"/>
        </w:rPr>
      </w:pPr>
      <w:r>
        <w:rPr>
          <w:rFonts w:hint="eastAsia" w:ascii="Times New Roman" w:hAnsi="Times New Roman" w:cstheme="minorEastAsia"/>
          <w:i w:val="0"/>
          <w:caps w:val="0"/>
          <w:color w:val="333333"/>
          <w:spacing w:val="0"/>
          <w:kern w:val="0"/>
          <w:sz w:val="32"/>
          <w:szCs w:val="32"/>
          <w:shd w:val="clear" w:fill="FFFFFF"/>
          <w:lang w:val="en-US" w:eastAsia="zh-CN" w:bidi="ar"/>
        </w:rPr>
        <w:t>安田真人表示将一如既往支持和推动江苏与日本经贸合作，希望在今年7月组织代表团访问江苏工作中得到江苏省贸促会的支持。</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firstLine="608" w:firstLineChars="200"/>
        <w:jc w:val="left"/>
        <w:textAlignment w:val="auto"/>
        <w:outlineLvl w:val="9"/>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Times New Roman" w:hAnsi="Times New Roman" w:cstheme="minorEastAsia"/>
          <w:i w:val="0"/>
          <w:caps w:val="0"/>
          <w:color w:val="333333"/>
          <w:spacing w:val="0"/>
          <w:kern w:val="0"/>
          <w:sz w:val="32"/>
          <w:szCs w:val="32"/>
          <w:shd w:val="clear" w:fill="FFFFFF"/>
          <w:lang w:val="en-US" w:eastAsia="zh-CN" w:bidi="ar"/>
        </w:rPr>
        <w:t xml:space="preserve">王善华次日专程赴中日（苏州）地方发展合作示范园区调研，与安田真人会同有关方面商讨日本代表团在苏州的行程安排，并赴昆山市走访福伊特造纸（中国）有限公司、福斯罗扣件系统（中国）有限公司等德资企业，了解企业需求。          </w:t>
      </w:r>
      <w:r>
        <w:rPr>
          <w:rFonts w:hint="eastAsia" w:ascii="方正楷体_GBK" w:hAnsi="方正楷体_GBK" w:eastAsia="方正楷体_GBK" w:cs="方正楷体_GBK"/>
          <w:b/>
          <w:bCs/>
          <w:color w:val="FF0000"/>
          <w:spacing w:val="0"/>
          <w:kern w:val="2"/>
          <w:sz w:val="32"/>
          <w:szCs w:val="32"/>
          <w:lang w:val="en-US" w:eastAsia="zh-CN" w:bidi="ar-SA"/>
        </w:rPr>
        <w:t>（国际联络部）</w:t>
      </w:r>
    </w:p>
    <w:p>
      <w:pPr>
        <w:keepNext w:val="0"/>
        <w:keepLines w:val="0"/>
        <w:pageBreakBefore w:val="0"/>
        <w:widowControl/>
        <w:shd w:val="clear" w:color="auto" w:fill="FFFFFF"/>
        <w:kinsoku/>
        <w:wordWrap/>
        <w:overflowPunct/>
        <w:topLinePunct w:val="0"/>
        <w:autoSpaceDE/>
        <w:autoSpaceDN/>
        <w:bidi w:val="0"/>
        <w:adjustRightInd/>
        <w:snapToGrid/>
        <w:spacing w:line="7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line="7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line="7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line="7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江苏“智”造领航出海跨境主题</w:t>
      </w:r>
    </w:p>
    <w:p>
      <w:pPr>
        <w:keepNext w:val="0"/>
        <w:keepLines w:val="0"/>
        <w:pageBreakBefore w:val="0"/>
        <w:widowControl/>
        <w:shd w:val="clear" w:color="auto" w:fill="FFFFFF"/>
        <w:kinsoku/>
        <w:wordWrap/>
        <w:overflowPunct/>
        <w:topLinePunct w:val="0"/>
        <w:autoSpaceDE/>
        <w:autoSpaceDN/>
        <w:bidi w:val="0"/>
        <w:adjustRightInd/>
        <w:snapToGrid/>
        <w:spacing w:line="7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交流活动在南京举行</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firstLine="608" w:firstLineChars="200"/>
        <w:jc w:val="left"/>
        <w:textAlignment w:val="auto"/>
        <w:outlineLvl w:val="9"/>
        <w:rPr>
          <w:rFonts w:hint="eastAsia" w:ascii="Times New Roman" w:hAnsi="Times New Roman" w:cstheme="minorEastAsia"/>
          <w:i w:val="0"/>
          <w:caps w:val="0"/>
          <w:color w:val="333333"/>
          <w:spacing w:val="0"/>
          <w:kern w:val="0"/>
          <w:sz w:val="32"/>
          <w:szCs w:val="32"/>
          <w:shd w:val="clear" w:fill="FFFFFF"/>
          <w:lang w:val="en-US" w:eastAsia="zh-CN" w:bidi="ar"/>
        </w:rPr>
      </w:pPr>
      <w:r>
        <w:rPr>
          <w:rFonts w:hint="eastAsia" w:ascii="Times New Roman" w:hAnsi="Times New Roman" w:cstheme="minorEastAsia"/>
          <w:i w:val="0"/>
          <w:caps w:val="0"/>
          <w:color w:val="333333"/>
          <w:spacing w:val="0"/>
          <w:kern w:val="0"/>
          <w:sz w:val="32"/>
          <w:szCs w:val="32"/>
          <w:shd w:val="clear" w:fill="FFFFFF"/>
          <w:lang w:val="en-US" w:eastAsia="zh-CN" w:bidi="ar"/>
        </w:rPr>
        <w:t>4月16日，江苏省国际商会与焦点科技股份有限公司在南京举办江苏“智”造领航出海跨境主题交流活动，助力江苏外贸抢订单拓市场，加快培育外贸领域新质生产力。</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firstLine="608" w:firstLineChars="200"/>
        <w:jc w:val="left"/>
        <w:textAlignment w:val="auto"/>
        <w:outlineLvl w:val="9"/>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Times New Roman" w:hAnsi="Times New Roman" w:cstheme="minorEastAsia"/>
          <w:i w:val="0"/>
          <w:caps w:val="0"/>
          <w:color w:val="333333"/>
          <w:spacing w:val="0"/>
          <w:kern w:val="0"/>
          <w:sz w:val="32"/>
          <w:szCs w:val="32"/>
          <w:shd w:val="clear" w:fill="FFFFFF"/>
          <w:lang w:val="en-US" w:eastAsia="zh-CN" w:bidi="ar"/>
        </w:rPr>
        <w:t xml:space="preserve">本次活动针对当前形势下的外贸新挑战与新机遇，邀请专家深入探讨外贸领域最新规划、产品趋势和多元化拓品策略，分享人工智能、大数据、云计算等最新科技在外贸领域中的应用案例并作现场演示。江苏省国际商会宣介2024年重要活动和近期境外展会项目。苏美达、汇鸿集团、舜天集团、国泰集团等全省外贸企业近150位代表参加活动。                </w:t>
      </w:r>
      <w:r>
        <w:rPr>
          <w:rFonts w:hint="eastAsia" w:ascii="方正楷体_GBK" w:hAnsi="方正楷体_GBK" w:eastAsia="方正楷体_GBK" w:cs="方正楷体_GBK"/>
          <w:b/>
          <w:bCs/>
          <w:color w:val="FF0000"/>
          <w:spacing w:val="0"/>
          <w:kern w:val="2"/>
          <w:sz w:val="32"/>
          <w:szCs w:val="32"/>
          <w:lang w:val="en-US" w:eastAsia="zh-CN" w:bidi="ar-SA"/>
        </w:rPr>
        <w:t>（国际商会秘书处）</w:t>
      </w:r>
    </w:p>
    <w:p>
      <w:pPr>
        <w:keepNext w:val="0"/>
        <w:keepLines w:val="0"/>
        <w:pageBreakBefore w:val="0"/>
        <w:widowControl/>
        <w:shd w:val="clear" w:color="auto" w:fill="FFFFFF"/>
        <w:kinsoku/>
        <w:wordWrap/>
        <w:overflowPunct/>
        <w:topLinePunct w:val="0"/>
        <w:autoSpaceDE/>
        <w:autoSpaceDN/>
        <w:bidi w:val="0"/>
        <w:adjustRightInd/>
        <w:snapToGrid/>
        <w:spacing w:line="7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line="7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中国贸促会发展研究部在江苏开展</w:t>
      </w:r>
    </w:p>
    <w:p>
      <w:pPr>
        <w:keepNext w:val="0"/>
        <w:keepLines w:val="0"/>
        <w:pageBreakBefore w:val="0"/>
        <w:widowControl/>
        <w:shd w:val="clear" w:color="auto" w:fill="FFFFFF"/>
        <w:kinsoku/>
        <w:wordWrap/>
        <w:overflowPunct/>
        <w:topLinePunct w:val="0"/>
        <w:autoSpaceDE/>
        <w:autoSpaceDN/>
        <w:bidi w:val="0"/>
        <w:adjustRightInd/>
        <w:snapToGrid/>
        <w:spacing w:line="7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专题调研</w:t>
      </w:r>
    </w:p>
    <w:p>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608" w:firstLineChars="200"/>
        <w:contextualSpacing/>
        <w:jc w:val="left"/>
        <w:textAlignment w:val="auto"/>
        <w:outlineLvl w:val="1"/>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4月11—12日，中国贸促会发展研究部副部长卢宁一行在江苏开展“以高质量贸易投资产业促进工作助推新质生产力发展”专题调研。江苏省贸促会二级巡视员黄政陪同调研。</w:t>
      </w:r>
    </w:p>
    <w:p>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608" w:firstLineChars="200"/>
        <w:contextualSpacing/>
        <w:jc w:val="left"/>
        <w:textAlignment w:val="auto"/>
        <w:outlineLvl w:val="1"/>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调研组实地走访天宏智能装备有限公司、天工国际有限公司和南京诺唯赞生物科技股份有限公司，并在镇江市丹阳经济开发区管委会组织召开企业座谈会，开发区管委会相关负责人和鱼跃医疗、沃得农机、大亚科技、锋泰工具、全真光学、肯帝亚木业、奇一科技等企业代表参加座谈交流。通过实地参观企业车间、生产线、实验室以及与企业的座谈交流，调研组详细了解企业开展国际化经营情况、具有新技术新业态新模式特征的业务发展情况以及企业对发展新质生产力的认识和考虑等，收集企业在国际化经营及发展新质生产力过程中面临的困难和诉求，并结合贸促会工作实际予以解答和回应。卢宁表示将充分发挥贸促会在组织国际高端经贸交流、展会对接及海外联络、涉外商事法律服务等方面的职能优势，积极帮助企业紧跟和对接国际新技术、新业态、新模式，支持企业创新发展和稳健开展国际化经营。</w:t>
      </w:r>
    </w:p>
    <w:p>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608" w:firstLineChars="200"/>
        <w:contextualSpacing/>
        <w:jc w:val="left"/>
        <w:textAlignment w:val="auto"/>
        <w:outlineLvl w:val="1"/>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江苏承担着“成为发展新质生产力的重要阵地”的重要使命，省贸促会将深入学习贯彻习近平总书记对江苏工作重要讲话重要指示精神，积极构建“1+7+3”工作格局，强化贸易投资促进、商事法律服务、资讯助企、代言工商等职能，服务新质生产力加快发展，助力增强江苏经济高质量发展新动能。</w:t>
      </w:r>
    </w:p>
    <w:p>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608" w:firstLineChars="200"/>
        <w:contextualSpacing/>
        <w:jc w:val="left"/>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镇江市贸促会、丹阳市贸促会参加调研。</w:t>
      </w:r>
      <w:r>
        <w:rPr>
          <w:rFonts w:hint="eastAsia" w:ascii="方正楷体_GBK" w:hAnsi="方正楷体_GBK" w:eastAsia="方正楷体_GBK" w:cs="方正楷体_GBK"/>
          <w:b/>
          <w:bCs/>
          <w:color w:val="FF0000"/>
          <w:spacing w:val="0"/>
          <w:kern w:val="2"/>
          <w:sz w:val="32"/>
          <w:szCs w:val="32"/>
          <w:lang w:val="en-US" w:eastAsia="zh-CN" w:bidi="ar-SA"/>
        </w:rPr>
        <w:t>（发展研究部）</w:t>
      </w:r>
    </w:p>
    <w:p>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608" w:firstLineChars="200"/>
        <w:contextualSpacing/>
        <w:jc w:val="left"/>
        <w:textAlignment w:val="auto"/>
        <w:outlineLvl w:val="1"/>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p>
    <w:p>
      <w:pPr>
        <w:keepNext w:val="0"/>
        <w:keepLines w:val="0"/>
        <w:pageBreakBefore w:val="0"/>
        <w:widowControl/>
        <w:shd w:val="clear" w:color="auto" w:fill="FFFFFF"/>
        <w:kinsoku/>
        <w:wordWrap/>
        <w:overflowPunct/>
        <w:topLinePunct w:val="0"/>
        <w:autoSpaceDE/>
        <w:autoSpaceDN/>
        <w:bidi w:val="0"/>
        <w:adjustRightInd/>
        <w:snapToGrid/>
        <w:spacing w:line="7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省贸促会领导赴浙江、上海调研</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firstLine="608" w:firstLineChars="200"/>
        <w:jc w:val="left"/>
        <w:textAlignment w:val="auto"/>
        <w:outlineLvl w:val="9"/>
        <w:rPr>
          <w:rFonts w:hint="eastAsia" w:ascii="Times New Roman" w:hAnsi="Times New Roman" w:cstheme="minorEastAsia"/>
          <w:i w:val="0"/>
          <w:caps w:val="0"/>
          <w:color w:val="333333"/>
          <w:spacing w:val="0"/>
          <w:kern w:val="0"/>
          <w:sz w:val="32"/>
          <w:szCs w:val="32"/>
          <w:shd w:val="clear" w:fill="FFFFFF"/>
          <w:lang w:val="en-US" w:eastAsia="zh-CN" w:bidi="ar"/>
        </w:rPr>
      </w:pPr>
      <w:r>
        <w:rPr>
          <w:rFonts w:hint="eastAsia" w:ascii="Times New Roman" w:hAnsi="Times New Roman" w:cstheme="minorEastAsia"/>
          <w:i w:val="0"/>
          <w:caps w:val="0"/>
          <w:color w:val="333333"/>
          <w:spacing w:val="0"/>
          <w:kern w:val="0"/>
          <w:sz w:val="32"/>
          <w:szCs w:val="32"/>
          <w:shd w:val="clear" w:fill="FFFFFF"/>
          <w:lang w:val="en-US" w:eastAsia="zh-CN" w:bidi="ar"/>
        </w:rPr>
        <w:t>4月10—12日，省贸促会副会长丛苏峰带队赴浙江和上海，先后与湖州、宁波、上海、上海浦东贸促会、国际商会围绕机构建设、服务会员企业、境内境外展会、国际经贸交流等方面开展座谈交流，学习借鉴经验，对接深化合作。</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firstLine="608" w:firstLineChars="200"/>
        <w:jc w:val="left"/>
        <w:textAlignment w:val="auto"/>
        <w:outlineLvl w:val="9"/>
        <w:rPr>
          <w:rFonts w:hint="eastAsia" w:ascii="Times New Roman" w:hAnsi="Times New Roman" w:cstheme="minorEastAsia"/>
          <w:i w:val="0"/>
          <w:caps w:val="0"/>
          <w:color w:val="333333"/>
          <w:spacing w:val="0"/>
          <w:kern w:val="0"/>
          <w:sz w:val="32"/>
          <w:szCs w:val="32"/>
          <w:shd w:val="clear" w:fill="FFFFFF"/>
          <w:lang w:val="en-US" w:eastAsia="zh-CN" w:bidi="ar"/>
        </w:rPr>
      </w:pPr>
      <w:r>
        <w:rPr>
          <w:rFonts w:hint="eastAsia" w:ascii="Times New Roman" w:hAnsi="Times New Roman" w:cstheme="minorEastAsia"/>
          <w:i w:val="0"/>
          <w:caps w:val="0"/>
          <w:color w:val="333333"/>
          <w:spacing w:val="0"/>
          <w:kern w:val="0"/>
          <w:sz w:val="32"/>
          <w:szCs w:val="32"/>
          <w:shd w:val="clear" w:fill="FFFFFF"/>
          <w:lang w:val="en-US" w:eastAsia="zh-CN" w:bidi="ar"/>
        </w:rPr>
        <w:t>在浙江，湖州市贸促会党组书记王建民、会长佘国勤感谢江苏省贸促会支持协办2023中国-东盟可持续发展合作大会、参与发起成立环太湖国际商会联盟等，表示将始终树牢全国贸促机构“一盘棋”思想，加强与全国先进省市贸促会、国际商会的交流与合作。丛苏峰希望未来双方重点在组织企业参展、上下游产业链对接等方面进一步加强交流，相互学习、取长补短，合力提升贸促工作服务中心、服务企业的成效。</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firstLine="608" w:firstLineChars="200"/>
        <w:jc w:val="left"/>
        <w:textAlignment w:val="auto"/>
        <w:outlineLvl w:val="9"/>
        <w:rPr>
          <w:rFonts w:hint="eastAsia" w:ascii="Times New Roman" w:hAnsi="Times New Roman" w:cstheme="minorEastAsia"/>
          <w:i w:val="0"/>
          <w:caps w:val="0"/>
          <w:color w:val="333333"/>
          <w:spacing w:val="0"/>
          <w:kern w:val="0"/>
          <w:sz w:val="32"/>
          <w:szCs w:val="32"/>
          <w:shd w:val="clear" w:fill="FFFFFF"/>
          <w:lang w:val="en-US" w:eastAsia="zh-CN" w:bidi="ar"/>
        </w:rPr>
      </w:pPr>
      <w:r>
        <w:rPr>
          <w:rFonts w:hint="eastAsia" w:ascii="Times New Roman" w:hAnsi="Times New Roman" w:cstheme="minorEastAsia"/>
          <w:i w:val="0"/>
          <w:caps w:val="0"/>
          <w:color w:val="333333"/>
          <w:spacing w:val="0"/>
          <w:kern w:val="0"/>
          <w:sz w:val="32"/>
          <w:szCs w:val="32"/>
          <w:shd w:val="clear" w:fill="FFFFFF"/>
          <w:lang w:val="en-US" w:eastAsia="zh-CN" w:bidi="ar"/>
        </w:rPr>
        <w:t>宁波市贸促会（国际商会）会长颜伟国介绍了宁波基本情况、宁波市贸促会及国际商会近年来发展情况及未来展望，希望双方进一步加强交流、增进了解，发挥各自资源优势，在境内外展会方面加强合作。丛苏峰表示，宁波经济开放程度高，民营经济发展活跃，希望与宁波共同探讨会员服务创新手段，同时借助长三角国际商会联盟的平台，在产业上下游对接、境内外展会、国际经贸交流等方面深入合作。</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firstLine="608" w:firstLineChars="200"/>
        <w:jc w:val="left"/>
        <w:textAlignment w:val="auto"/>
        <w:outlineLvl w:val="9"/>
        <w:rPr>
          <w:rFonts w:hint="eastAsia" w:ascii="Times New Roman" w:hAnsi="Times New Roman" w:cstheme="minorEastAsia"/>
          <w:i w:val="0"/>
          <w:caps w:val="0"/>
          <w:color w:val="333333"/>
          <w:spacing w:val="0"/>
          <w:kern w:val="0"/>
          <w:sz w:val="32"/>
          <w:szCs w:val="32"/>
          <w:shd w:val="clear" w:fill="FFFFFF"/>
          <w:lang w:val="en-US" w:eastAsia="zh-CN" w:bidi="ar"/>
        </w:rPr>
      </w:pPr>
      <w:r>
        <w:rPr>
          <w:rFonts w:hint="eastAsia" w:ascii="Times New Roman" w:hAnsi="Times New Roman" w:cstheme="minorEastAsia"/>
          <w:i w:val="0"/>
          <w:caps w:val="0"/>
          <w:color w:val="333333"/>
          <w:spacing w:val="0"/>
          <w:kern w:val="0"/>
          <w:sz w:val="32"/>
          <w:szCs w:val="32"/>
          <w:shd w:val="clear" w:fill="FFFFFF"/>
          <w:lang w:val="en-US" w:eastAsia="zh-CN" w:bidi="ar"/>
        </w:rPr>
        <w:t>在上海，上海市贸促会（国际商会）会长周敏浩介绍了贸易投资促进、展览展示、法律服务等板块的职能及重点工作，希望双方深化交流合作，互学共鉴先进经验做法，努力推动资源共享和优势互补，助推长三角更高质量一体化发展。丛苏峰表示，江苏省贸促会将加强与上海市贸促会、国际商会的交流，充分发挥各自资源与优势，在信息共享、产业联动、展会协作等方面推进更深层次的合作，共同推动两地间经济贸易合作。</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firstLine="608" w:firstLineChars="200"/>
        <w:jc w:val="left"/>
        <w:textAlignment w:val="auto"/>
        <w:outlineLvl w:val="9"/>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Times New Roman" w:hAnsi="Times New Roman" w:cstheme="minorEastAsia"/>
          <w:i w:val="0"/>
          <w:caps w:val="0"/>
          <w:color w:val="333333"/>
          <w:spacing w:val="0"/>
          <w:kern w:val="0"/>
          <w:sz w:val="32"/>
          <w:szCs w:val="32"/>
          <w:shd w:val="clear" w:fill="FFFFFF"/>
          <w:lang w:val="en-US" w:eastAsia="zh-CN" w:bidi="ar"/>
        </w:rPr>
        <w:t xml:space="preserve">上海市浦东贸促会副秘书长、浦东国际商会驻会副会长兼秘书长林舒娅围绕服务会员、服务政府、服务社会等方面详细介绍了浦东国际商会基本情况、主营业务和发展特色。丛苏峰表示，浦东国际商会充满活力，尤其在会员企业服务的理念及意识方面独具特色，希望未来加强沟通，进一步在会员企业活动、专委会建设、服务自贸区建设等方面开展合作，共同把国际商会建设成真正的“会员之家”。                        </w:t>
      </w:r>
      <w:r>
        <w:rPr>
          <w:rFonts w:hint="eastAsia" w:ascii="方正楷体_GBK" w:hAnsi="方正楷体_GBK" w:eastAsia="方正楷体_GBK" w:cs="方正楷体_GBK"/>
          <w:b/>
          <w:bCs/>
          <w:color w:val="FF0000"/>
          <w:spacing w:val="0"/>
          <w:kern w:val="2"/>
          <w:sz w:val="32"/>
          <w:szCs w:val="32"/>
          <w:lang w:val="en-US" w:eastAsia="zh-CN" w:bidi="ar-SA"/>
        </w:rPr>
        <w:t>（国际商会秘书处）</w:t>
      </w:r>
    </w:p>
    <w:p>
      <w:pPr>
        <w:keepNext w:val="0"/>
        <w:keepLines w:val="0"/>
        <w:pageBreakBefore w:val="0"/>
        <w:widowControl/>
        <w:shd w:val="clear" w:color="auto" w:fill="FFFFFF"/>
        <w:kinsoku/>
        <w:wordWrap/>
        <w:overflowPunct/>
        <w:topLinePunct w:val="0"/>
        <w:autoSpaceDE/>
        <w:autoSpaceDN/>
        <w:bidi w:val="0"/>
        <w:adjustRightInd/>
        <w:snapToGrid/>
        <w:spacing w:line="7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省贸促会领导带队走访</w:t>
      </w:r>
    </w:p>
    <w:p>
      <w:pPr>
        <w:keepNext w:val="0"/>
        <w:keepLines w:val="0"/>
        <w:pageBreakBefore w:val="0"/>
        <w:widowControl/>
        <w:shd w:val="clear" w:color="auto" w:fill="FFFFFF"/>
        <w:kinsoku/>
        <w:wordWrap/>
        <w:overflowPunct/>
        <w:topLinePunct w:val="0"/>
        <w:autoSpaceDE/>
        <w:autoSpaceDN/>
        <w:bidi w:val="0"/>
        <w:adjustRightInd/>
        <w:snapToGrid/>
        <w:spacing w:line="7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南微医学科技股份有限公司</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firstLine="608" w:firstLineChars="200"/>
        <w:jc w:val="left"/>
        <w:textAlignment w:val="auto"/>
        <w:outlineLvl w:val="9"/>
        <w:rPr>
          <w:rFonts w:hint="eastAsia" w:ascii="Times New Roman" w:hAnsi="Times New Roman" w:cstheme="minorEastAsia"/>
          <w:i w:val="0"/>
          <w:caps w:val="0"/>
          <w:color w:val="333333"/>
          <w:spacing w:val="0"/>
          <w:kern w:val="0"/>
          <w:sz w:val="32"/>
          <w:szCs w:val="32"/>
          <w:shd w:val="clear" w:fill="FFFFFF"/>
          <w:lang w:val="en-US" w:eastAsia="zh-CN" w:bidi="ar"/>
        </w:rPr>
      </w:pPr>
      <w:r>
        <w:rPr>
          <w:rFonts w:hint="eastAsia" w:ascii="Times New Roman" w:hAnsi="Times New Roman" w:cstheme="minorEastAsia"/>
          <w:i w:val="0"/>
          <w:caps w:val="0"/>
          <w:color w:val="333333"/>
          <w:spacing w:val="0"/>
          <w:kern w:val="0"/>
          <w:sz w:val="32"/>
          <w:szCs w:val="32"/>
          <w:shd w:val="clear" w:fill="FFFFFF"/>
          <w:lang w:val="en-US" w:eastAsia="zh-CN" w:bidi="ar"/>
        </w:rPr>
        <w:t>4月17日，省贸促会副会长丛苏峰带队走访南微医学科技股份有限公司，与公司党总支书记、政府事务部总监张丽荣等座谈交流。</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firstLine="608" w:firstLineChars="200"/>
        <w:jc w:val="left"/>
        <w:textAlignment w:val="auto"/>
        <w:outlineLvl w:val="9"/>
        <w:rPr>
          <w:rFonts w:hint="eastAsia" w:ascii="Times New Roman" w:hAnsi="Times New Roman" w:cstheme="minorEastAsia"/>
          <w:i w:val="0"/>
          <w:caps w:val="0"/>
          <w:color w:val="333333"/>
          <w:spacing w:val="0"/>
          <w:kern w:val="0"/>
          <w:sz w:val="32"/>
          <w:szCs w:val="32"/>
          <w:shd w:val="clear" w:fill="FFFFFF"/>
          <w:lang w:val="en-US" w:eastAsia="zh-CN" w:bidi="ar"/>
        </w:rPr>
      </w:pPr>
      <w:r>
        <w:rPr>
          <w:rFonts w:hint="eastAsia" w:ascii="Times New Roman" w:hAnsi="Times New Roman" w:cstheme="minorEastAsia"/>
          <w:i w:val="0"/>
          <w:caps w:val="0"/>
          <w:color w:val="333333"/>
          <w:spacing w:val="0"/>
          <w:kern w:val="0"/>
          <w:sz w:val="32"/>
          <w:szCs w:val="32"/>
          <w:shd w:val="clear" w:fill="FFFFFF"/>
          <w:lang w:val="en-US" w:eastAsia="zh-CN" w:bidi="ar"/>
        </w:rPr>
        <w:t>南微医学科技股份有限公司是一家主要从事微创医疗器械研发、制造和销售的上市公司。丛苏峰一行参观了公司展厅和生产基地，深入了解企业发展历程及业务情况，并介绍省贸促会、国际商会服务职能，重点针对企业走出去需求介绍省国际商会泰国联络中心、中泰商务理事会江苏联络办公室相关情况，邀请南微医学加入江苏省国际商会。</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firstLine="608" w:firstLineChars="200"/>
        <w:jc w:val="left"/>
        <w:textAlignment w:val="auto"/>
        <w:outlineLvl w:val="9"/>
        <w:rPr>
          <w:rFonts w:hint="eastAsia" w:ascii="Times New Roman" w:hAnsi="Times New Roman" w:cstheme="minorEastAsia"/>
          <w:i w:val="0"/>
          <w:caps w:val="0"/>
          <w:color w:val="333333"/>
          <w:spacing w:val="0"/>
          <w:kern w:val="0"/>
          <w:sz w:val="32"/>
          <w:szCs w:val="32"/>
          <w:shd w:val="clear" w:fill="FFFFFF"/>
          <w:lang w:val="en-US" w:eastAsia="zh-CN" w:bidi="ar"/>
        </w:rPr>
      </w:pPr>
      <w:r>
        <w:rPr>
          <w:rFonts w:hint="eastAsia" w:ascii="Times New Roman" w:hAnsi="Times New Roman" w:cstheme="minorEastAsia"/>
          <w:i w:val="0"/>
          <w:caps w:val="0"/>
          <w:color w:val="333333"/>
          <w:spacing w:val="0"/>
          <w:kern w:val="0"/>
          <w:sz w:val="32"/>
          <w:szCs w:val="32"/>
          <w:shd w:val="clear" w:fill="FFFFFF"/>
          <w:lang w:val="en-US" w:eastAsia="zh-CN" w:bidi="ar"/>
        </w:rPr>
        <w:t>张丽荣表示非常高兴加入江苏省国际商会，希望借助贸促会、国际商会的平台优势和丰富的国际联络资源，加大海外市场拓展。</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08" w:firstLineChars="200"/>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Times New Roman" w:hAnsi="Times New Roman" w:cstheme="minorEastAsia"/>
          <w:i w:val="0"/>
          <w:caps w:val="0"/>
          <w:color w:val="333333"/>
          <w:spacing w:val="0"/>
          <w:kern w:val="0"/>
          <w:sz w:val="32"/>
          <w:szCs w:val="32"/>
          <w:shd w:val="clear" w:fill="FFFFFF"/>
          <w:lang w:val="en-US" w:eastAsia="zh-CN" w:bidi="ar"/>
        </w:rPr>
        <w:t xml:space="preserve">                                  </w:t>
      </w:r>
      <w:r>
        <w:rPr>
          <w:rFonts w:hint="eastAsia" w:ascii="方正楷体_GBK" w:hAnsi="方正楷体_GBK" w:eastAsia="方正楷体_GBK" w:cs="方正楷体_GBK"/>
          <w:b/>
          <w:bCs/>
          <w:color w:val="FF0000"/>
          <w:spacing w:val="0"/>
          <w:kern w:val="2"/>
          <w:sz w:val="32"/>
          <w:szCs w:val="32"/>
          <w:lang w:val="en-US" w:eastAsia="zh-CN" w:bidi="ar-SA"/>
        </w:rPr>
        <w:t>（国际商会秘书处）</w:t>
      </w:r>
    </w:p>
    <w:p>
      <w:pPr>
        <w:keepNext w:val="0"/>
        <w:keepLines w:val="0"/>
        <w:pageBreakBefore w:val="0"/>
        <w:widowControl/>
        <w:shd w:val="clear" w:color="auto" w:fill="FFFFFF"/>
        <w:kinsoku/>
        <w:wordWrap/>
        <w:overflowPunct/>
        <w:topLinePunct w:val="0"/>
        <w:autoSpaceDE/>
        <w:autoSpaceDN/>
        <w:bidi w:val="0"/>
        <w:adjustRightInd/>
        <w:snapToGrid/>
        <w:spacing w:line="7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省贸促会领导带队走访调研</w:t>
      </w:r>
    </w:p>
    <w:p>
      <w:pPr>
        <w:keepNext w:val="0"/>
        <w:keepLines w:val="0"/>
        <w:pageBreakBefore w:val="0"/>
        <w:widowControl/>
        <w:shd w:val="clear" w:color="auto" w:fill="FFFFFF"/>
        <w:kinsoku/>
        <w:wordWrap/>
        <w:overflowPunct/>
        <w:topLinePunct w:val="0"/>
        <w:autoSpaceDE/>
        <w:autoSpaceDN/>
        <w:bidi w:val="0"/>
        <w:adjustRightInd/>
        <w:snapToGrid/>
        <w:spacing w:line="7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汇鸿中锦控股有限公司</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08" w:firstLineChars="200"/>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4月16日，省贸促会秘书长杜培军带队走访调研江苏汇鸿国际集团中锦控股有限公司。</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08" w:firstLineChars="200"/>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汇鸿中锦公司党委副书记、总经理董旭介绍近年来纺织服装、医药化工、研发设计事业和进出口贸易情况。杜培军介绍省贸促会全链条涉外商事法律服务体系，特别是近年来商事认证和商事争议解决业务的拓展与创新。</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08" w:firstLineChars="200"/>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省贸促会商事法律工作者分别围绕自贸协定的有效利用、商事认证业务在进出口贸易中的具体应用、涉外经营法律风险防范和多元商事争议解决等问题作分享交流，并就企业提出的问题讨论初步解决思路。</w:t>
      </w:r>
      <w:r>
        <w:rPr>
          <w:rFonts w:hint="eastAsia" w:ascii="Times New Roman" w:hAnsi="Times New Roman" w:cstheme="minorEastAsia"/>
          <w:i w:val="0"/>
          <w:caps w:val="0"/>
          <w:color w:val="333333"/>
          <w:spacing w:val="0"/>
          <w:kern w:val="0"/>
          <w:sz w:val="32"/>
          <w:szCs w:val="32"/>
          <w:shd w:val="clear" w:fill="FFFFFF"/>
          <w:lang w:val="en-US" w:eastAsia="zh-CN" w:bidi="ar"/>
        </w:rPr>
        <w:t xml:space="preserve">                             </w:t>
      </w:r>
      <w:r>
        <w:rPr>
          <w:rFonts w:hint="eastAsia" w:ascii="方正楷体_GBK" w:hAnsi="方正楷体_GBK" w:eastAsia="方正楷体_GBK" w:cs="方正楷体_GBK"/>
          <w:b/>
          <w:bCs/>
          <w:color w:val="FF0000"/>
          <w:spacing w:val="0"/>
          <w:kern w:val="2"/>
          <w:sz w:val="32"/>
          <w:szCs w:val="32"/>
          <w:lang w:val="en-US" w:eastAsia="zh-CN" w:bidi="ar-SA"/>
        </w:rPr>
        <w:t>（法律事务部）</w:t>
      </w:r>
    </w:p>
    <w:p>
      <w:pPr>
        <w:keepNext w:val="0"/>
        <w:keepLines w:val="0"/>
        <w:pageBreakBefore w:val="0"/>
        <w:widowControl/>
        <w:shd w:val="clear" w:color="auto" w:fill="FFFFFF"/>
        <w:kinsoku/>
        <w:wordWrap/>
        <w:overflowPunct/>
        <w:topLinePunct w:val="0"/>
        <w:autoSpaceDE/>
        <w:autoSpaceDN/>
        <w:bidi w:val="0"/>
        <w:adjustRightInd/>
        <w:snapToGrid/>
        <w:spacing w:line="7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line="7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南京市贸促会带队参加</w:t>
      </w:r>
    </w:p>
    <w:p>
      <w:pPr>
        <w:keepNext w:val="0"/>
        <w:keepLines w:val="0"/>
        <w:pageBreakBefore w:val="0"/>
        <w:widowControl/>
        <w:shd w:val="clear" w:color="auto" w:fill="FFFFFF"/>
        <w:kinsoku/>
        <w:wordWrap/>
        <w:overflowPunct/>
        <w:topLinePunct w:val="0"/>
        <w:autoSpaceDE/>
        <w:autoSpaceDN/>
        <w:bidi w:val="0"/>
        <w:adjustRightInd/>
        <w:snapToGrid/>
        <w:spacing w:line="7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第四届中国国际消费品博览会</w:t>
      </w:r>
    </w:p>
    <w:p>
      <w:pPr>
        <w:keepNext w:val="0"/>
        <w:keepLines w:val="0"/>
        <w:pageBreakBefore w:val="0"/>
        <w:kinsoku/>
        <w:wordWrap/>
        <w:overflowPunct/>
        <w:topLinePunct w:val="0"/>
        <w:autoSpaceDE/>
        <w:autoSpaceDN/>
        <w:bidi w:val="0"/>
        <w:adjustRightInd/>
        <w:snapToGrid/>
        <w:ind w:firstLine="608" w:firstLineChars="200"/>
        <w:textAlignment w:val="auto"/>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4月13日至18日，第四届中国国际消费品博览会在海口国家会展中心举办，本届主题为“共享开放机遇、共创美好生活”，来自全球70多个国家和地区的超过4000多个品牌参展。</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firstLine="608" w:firstLineChars="200"/>
        <w:jc w:val="left"/>
        <w:textAlignment w:val="auto"/>
        <w:outlineLvl w:val="9"/>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 4月14日，南京市贸促会会长梁洁带队参加了本届展会相关活动。在江苏展区与江苏苏豪集团汇鸿展览公司项目负责人进行交谈，企业围绕“苏新消费，质美生活”搭建展陈展品，产品涵盖衣食行等消费领域。在南京思予食品展台，公司总经理王玉详细介绍了企业发展历史、经营现状、未来发展布局，以及自有品牌产品种类、特色，本届展会该公司带来了30余款特色产品参展，双方就未来依托贸促展会和经贸合作平台进一步开拓市场进行了深入探讨，梁洁会长对企业加大产品研发投入，加强与美国、瑞士、澳大利亚、土耳其等国家优质品牌企业在专业化合作方面取得的成效给予了肯定，对企业未来发展充满信心。</w:t>
      </w:r>
      <w:r>
        <w:rPr>
          <w:rFonts w:hint="eastAsia" w:ascii="Times New Roman" w:hAnsi="Times New Roman" w:cstheme="minorEastAsia"/>
          <w:i w:val="0"/>
          <w:caps w:val="0"/>
          <w:color w:val="333333"/>
          <w:spacing w:val="0"/>
          <w:kern w:val="0"/>
          <w:sz w:val="32"/>
          <w:szCs w:val="32"/>
          <w:shd w:val="clear" w:fill="FFFFFF"/>
          <w:lang w:val="en-US" w:eastAsia="zh-CN" w:bidi="ar"/>
        </w:rPr>
        <w:t xml:space="preserve">     </w:t>
      </w:r>
      <w:r>
        <w:rPr>
          <w:rFonts w:hint="eastAsia" w:ascii="方正楷体_GBK" w:hAnsi="方正楷体_GBK" w:eastAsia="方正楷体_GBK" w:cs="方正楷体_GBK"/>
          <w:b/>
          <w:bCs/>
          <w:color w:val="FF0000"/>
          <w:spacing w:val="0"/>
          <w:kern w:val="2"/>
          <w:sz w:val="32"/>
          <w:szCs w:val="32"/>
          <w:lang w:val="en-US" w:eastAsia="zh-CN" w:bidi="ar-SA"/>
        </w:rPr>
        <w:t>（南京市贸促会）</w:t>
      </w:r>
    </w:p>
    <w:p>
      <w:pPr>
        <w:ind w:firstLine="608" w:firstLineChars="200"/>
        <w:rPr>
          <w:rFonts w:hint="eastAsia" w:ascii="华文仿宋" w:hAnsi="华文仿宋" w:eastAsia="华文仿宋" w:cs="华文仿宋"/>
          <w:sz w:val="32"/>
          <w:szCs w:val="32"/>
        </w:rPr>
      </w:pPr>
    </w:p>
    <w:p>
      <w:pPr>
        <w:keepNext w:val="0"/>
        <w:keepLines w:val="0"/>
        <w:pageBreakBefore w:val="0"/>
        <w:widowControl/>
        <w:shd w:val="clear" w:color="auto" w:fill="FFFFFF"/>
        <w:kinsoku/>
        <w:wordWrap/>
        <w:overflowPunct/>
        <w:topLinePunct w:val="0"/>
        <w:autoSpaceDE/>
        <w:autoSpaceDN/>
        <w:bidi w:val="0"/>
        <w:adjustRightInd/>
        <w:snapToGrid/>
        <w:spacing w:line="7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南京市贸促会与中国欧洲经济技术</w:t>
      </w:r>
    </w:p>
    <w:p>
      <w:pPr>
        <w:keepNext w:val="0"/>
        <w:keepLines w:val="0"/>
        <w:pageBreakBefore w:val="0"/>
        <w:widowControl/>
        <w:shd w:val="clear" w:color="auto" w:fill="FFFFFF"/>
        <w:kinsoku/>
        <w:wordWrap/>
        <w:overflowPunct/>
        <w:topLinePunct w:val="0"/>
        <w:autoSpaceDE/>
        <w:autoSpaceDN/>
        <w:bidi w:val="0"/>
        <w:adjustRightInd/>
        <w:snapToGrid/>
        <w:spacing w:line="7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合作协会欧盟工作委员会开展对接交流</w:t>
      </w:r>
    </w:p>
    <w:p>
      <w:pPr>
        <w:ind w:firstLine="608" w:firstLineChars="200"/>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 4月14日，南京市贸促会会长梁洁带队参加第四届中国国际消费品博览会，在中欧地理标志展示馆与中国欧洲经济技术合作协会欧盟工作委员会会长杨拴昌进行对接交流洽谈。</w:t>
      </w:r>
    </w:p>
    <w:p>
      <w:pPr>
        <w:ind w:firstLine="608" w:firstLineChars="200"/>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杨拴昌会长详细介绍了中欧地标协定、技术、标准情况，推动地标产品国际贸易、政策等方面优势资源取得的积极成果。《中欧地理标志保护与合作协定》于2021年3月正式生效，截至目前，中欧双方共200个地标产品受该协定保护，其中中国有100个、欧盟有100个，为中欧双方的地理标志提供高水平的保护，为中欧双方企业创造更多的投资机会，促进中欧经贸往来。</w:t>
      </w:r>
    </w:p>
    <w:p>
      <w:pPr>
        <w:ind w:firstLine="608" w:firstLineChars="200"/>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梁洁会长表示，南京市贸促会积极开展地理标志产品品牌评价业务，帮助企业出证《地理标志产品品牌证明书》，提升企业地理标志产品品牌效应，促进地理标志国际贸易合作，为企业发展注入动力。中国欧洲经济技术合作协会欧盟工作委员会市场资源成熟、渠道资源丰富，希望双方在重要环节扩大中欧地标产品合作领域，挖掘地理标志对地方经济社会价值，在助力双方企业品牌知名度、美誉度和扩大市场方面深入合作，促进和开展交流活动。</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firstLine="6080" w:firstLineChars="2000"/>
        <w:jc w:val="left"/>
        <w:textAlignment w:val="auto"/>
        <w:outlineLvl w:val="9"/>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方正楷体_GBK" w:hAnsi="方正楷体_GBK" w:eastAsia="方正楷体_GBK" w:cs="方正楷体_GBK"/>
          <w:b/>
          <w:bCs/>
          <w:color w:val="FF0000"/>
          <w:spacing w:val="0"/>
          <w:kern w:val="2"/>
          <w:sz w:val="32"/>
          <w:szCs w:val="32"/>
          <w:lang w:val="en-US" w:eastAsia="zh-CN" w:bidi="ar-SA"/>
        </w:rPr>
        <w:t>（南京市贸促会）</w:t>
      </w:r>
    </w:p>
    <w:p>
      <w:pPr>
        <w:keepNext w:val="0"/>
        <w:keepLines w:val="0"/>
        <w:pageBreakBefore w:val="0"/>
        <w:widowControl/>
        <w:shd w:val="clear" w:color="auto" w:fill="FFFFFF"/>
        <w:kinsoku/>
        <w:wordWrap/>
        <w:overflowPunct/>
        <w:topLinePunct w:val="0"/>
        <w:autoSpaceDE/>
        <w:autoSpaceDN/>
        <w:bidi w:val="0"/>
        <w:adjustRightInd/>
        <w:snapToGrid/>
        <w:spacing w:line="7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line="7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无锡市赵建军市长率队赴中国贸促会</w:t>
      </w:r>
    </w:p>
    <w:p>
      <w:pPr>
        <w:keepNext w:val="0"/>
        <w:keepLines w:val="0"/>
        <w:pageBreakBefore w:val="0"/>
        <w:widowControl/>
        <w:shd w:val="clear" w:color="auto" w:fill="FFFFFF"/>
        <w:kinsoku/>
        <w:wordWrap/>
        <w:overflowPunct/>
        <w:topLinePunct w:val="0"/>
        <w:autoSpaceDE/>
        <w:autoSpaceDN/>
        <w:bidi w:val="0"/>
        <w:adjustRightInd/>
        <w:snapToGrid/>
        <w:spacing w:line="7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拜访任鸿斌会长</w:t>
      </w:r>
    </w:p>
    <w:p>
      <w:pPr>
        <w:ind w:firstLine="608" w:firstLineChars="200"/>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4月12日上午，无锡市赵建军市长率队赴中国贸促会拜访，中国贸促会任鸿斌会长会见了赵市长一行。无锡市周文栋副市长、无锡市贸促会会长钱前、副会长龚智杰参加拜访。中国贸促会产业促进部部长杨晓军、展览管理部部长邬胜荣，中国国际商会秘书长孙晓等部门及机构负责人参加会见。</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firstLine="608" w:firstLineChars="200"/>
        <w:jc w:val="left"/>
        <w:textAlignment w:val="auto"/>
        <w:outlineLvl w:val="9"/>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双方就利用中国贸促会多双边合作机制和“中国国际供应链促进博览会”“世博会”等国际化平台资源帮助无锡实现更高水平对外开放，帮助无锡企业、产业更深度融入国际产业链、供应链，以及继续支持无锡举办中国（无锡）国际新能源大会暨展览会，并导入国际资源推动展会进一步提升品牌化、专业化和国际化程度等方面达成了共识。</w:t>
      </w:r>
      <w:r>
        <w:rPr>
          <w:rFonts w:hint="eastAsia" w:ascii="Times New Roman" w:hAnsi="Times New Roman" w:cstheme="minorEastAsia"/>
          <w:i w:val="0"/>
          <w:caps w:val="0"/>
          <w:color w:val="333333"/>
          <w:spacing w:val="0"/>
          <w:kern w:val="0"/>
          <w:sz w:val="32"/>
          <w:szCs w:val="32"/>
          <w:shd w:val="clear" w:fill="FFFFFF"/>
          <w:lang w:val="en-US" w:eastAsia="zh-CN" w:bidi="ar"/>
        </w:rPr>
        <w:t xml:space="preserve">                       </w:t>
      </w:r>
      <w:r>
        <w:rPr>
          <w:rFonts w:hint="eastAsia" w:ascii="方正楷体_GBK" w:hAnsi="方正楷体_GBK" w:eastAsia="方正楷体_GBK" w:cs="方正楷体_GBK"/>
          <w:b/>
          <w:bCs/>
          <w:color w:val="FF0000"/>
          <w:spacing w:val="0"/>
          <w:kern w:val="2"/>
          <w:sz w:val="32"/>
          <w:szCs w:val="32"/>
          <w:lang w:val="en-US" w:eastAsia="zh-CN" w:bidi="ar-SA"/>
        </w:rPr>
        <w:t>（无锡市贸促会）</w:t>
      </w:r>
    </w:p>
    <w:p>
      <w:pPr>
        <w:keepNext w:val="0"/>
        <w:keepLines w:val="0"/>
        <w:pageBreakBefore w:val="0"/>
        <w:widowControl/>
        <w:shd w:val="clear" w:color="auto" w:fill="FFFFFF"/>
        <w:kinsoku/>
        <w:wordWrap/>
        <w:overflowPunct/>
        <w:topLinePunct w:val="0"/>
        <w:autoSpaceDE/>
        <w:autoSpaceDN/>
        <w:bidi w:val="0"/>
        <w:adjustRightInd/>
        <w:snapToGrid/>
        <w:spacing w:line="7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line="7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“一带一路”无锡医疗器械经贸交流</w:t>
      </w:r>
    </w:p>
    <w:p>
      <w:pPr>
        <w:keepNext w:val="0"/>
        <w:keepLines w:val="0"/>
        <w:pageBreakBefore w:val="0"/>
        <w:widowControl/>
        <w:shd w:val="clear" w:color="auto" w:fill="FFFFFF"/>
        <w:kinsoku/>
        <w:wordWrap/>
        <w:overflowPunct/>
        <w:topLinePunct w:val="0"/>
        <w:autoSpaceDE/>
        <w:autoSpaceDN/>
        <w:bidi w:val="0"/>
        <w:adjustRightInd/>
        <w:snapToGrid/>
        <w:spacing w:line="7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对接会举行</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08" w:firstLineChars="200"/>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4月15日，无锡市贸促会主办“一带一路”无锡医疗器械经贸交流对接会。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08" w:firstLineChars="200"/>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本次交流对接会是“锡品出海 贸促全球”系列活动之一。无锡生物医药行业协会首席专家徐重远介绍无锡生物医药产业的宏观数据、特点和未来发展布局，四川大学华西医院麻醉手术中心主任医师宋海波分享心脏超声监测的前沿技术和医疗器械设备，来自新加坡、印度、俄罗斯、埃及、沙特的嘉宾分别分享本国医疗器械市场概况、医疗政策、注册分类、准入门槛、投资环境及政府采购机会。无锡市相关外经贸企业150名代表参会交流对接。</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firstLine="5776" w:firstLineChars="1900"/>
        <w:jc w:val="left"/>
        <w:textAlignment w:val="auto"/>
        <w:outlineLvl w:val="9"/>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方正楷体_GBK" w:hAnsi="方正楷体_GBK" w:eastAsia="方正楷体_GBK" w:cs="方正楷体_GBK"/>
          <w:b/>
          <w:bCs/>
          <w:color w:val="FF0000"/>
          <w:spacing w:val="0"/>
          <w:kern w:val="2"/>
          <w:sz w:val="32"/>
          <w:szCs w:val="32"/>
          <w:lang w:val="en-US" w:eastAsia="zh-CN" w:bidi="ar-SA"/>
        </w:rPr>
        <w:t>（无锡市贸促会）</w:t>
      </w:r>
    </w:p>
    <w:p>
      <w:pPr>
        <w:keepNext w:val="0"/>
        <w:keepLines w:val="0"/>
        <w:pageBreakBefore w:val="0"/>
        <w:widowControl/>
        <w:shd w:val="clear" w:color="auto" w:fill="FFFFFF"/>
        <w:kinsoku/>
        <w:wordWrap/>
        <w:overflowPunct/>
        <w:topLinePunct w:val="0"/>
        <w:autoSpaceDE/>
        <w:autoSpaceDN/>
        <w:bidi w:val="0"/>
        <w:adjustRightInd/>
        <w:snapToGrid/>
        <w:spacing w:line="7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line="7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镇江市贸促会组织企业参加</w:t>
      </w:r>
    </w:p>
    <w:p>
      <w:pPr>
        <w:keepNext w:val="0"/>
        <w:keepLines w:val="0"/>
        <w:pageBreakBefore w:val="0"/>
        <w:widowControl/>
        <w:shd w:val="clear" w:color="auto" w:fill="FFFFFF"/>
        <w:kinsoku/>
        <w:wordWrap/>
        <w:overflowPunct/>
        <w:topLinePunct w:val="0"/>
        <w:autoSpaceDE/>
        <w:autoSpaceDN/>
        <w:bidi w:val="0"/>
        <w:adjustRightInd/>
        <w:snapToGrid/>
        <w:spacing w:line="7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“中国镇江—乌兹别克斯坦花拉子模州</w:t>
      </w:r>
    </w:p>
    <w:p>
      <w:pPr>
        <w:keepNext w:val="0"/>
        <w:keepLines w:val="0"/>
        <w:pageBreakBefore w:val="0"/>
        <w:widowControl/>
        <w:shd w:val="clear" w:color="auto" w:fill="FFFFFF"/>
        <w:kinsoku/>
        <w:wordWrap/>
        <w:overflowPunct/>
        <w:topLinePunct w:val="0"/>
        <w:autoSpaceDE/>
        <w:autoSpaceDN/>
        <w:bidi w:val="0"/>
        <w:adjustRightInd/>
        <w:snapToGrid/>
        <w:spacing w:line="7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经贸对接会”</w:t>
      </w:r>
    </w:p>
    <w:p>
      <w:pPr>
        <w:ind w:firstLine="608" w:firstLineChars="200"/>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4月12日，中国镇江—乌兹别克斯坦花拉子模州经贸对接会在镇举行，</w:t>
      </w:r>
      <w:r>
        <w:rPr>
          <w:rFonts w:hint="eastAsia" w:ascii="Times New Roman" w:hAnsi="Times New Roman" w:cstheme="minorEastAsia"/>
          <w:i w:val="0"/>
          <w:caps w:val="0"/>
          <w:color w:val="333333"/>
          <w:spacing w:val="0"/>
          <w:kern w:val="0"/>
          <w:sz w:val="32"/>
          <w:szCs w:val="32"/>
          <w:shd w:val="clear" w:fill="FFFFFF"/>
          <w:lang w:val="en-US" w:eastAsia="zh-CN" w:bidi="ar"/>
        </w:rPr>
        <w:t>镇江市贸促</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会组织20余家企业代表参会，通过双向的经贸推介，增进相互了解，深化友好交往，促进交流合作，携手开启两地合作新篇章。</w:t>
      </w:r>
    </w:p>
    <w:p>
      <w:pPr>
        <w:pStyle w:val="5"/>
        <w:keepNext w:val="0"/>
        <w:keepLines w:val="0"/>
        <w:widowControl/>
        <w:suppressLineNumbers w:val="0"/>
        <w:spacing w:before="75" w:beforeAutospacing="0" w:after="75" w:afterAutospacing="0" w:line="240" w:lineRule="auto"/>
        <w:ind w:left="0" w:right="0" w:firstLine="608" w:firstLineChars="200"/>
        <w:jc w:val="left"/>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会上，乌兹别克斯坦驻沪总领事阿扎姆焦恩·马恩苏洛夫先生希望进一步促进双边经贸往来，促进双方优秀企业家加强沟通交流，加快推动双方的合作。他表示乌驻沪总领馆将为双方企业开展商务活动、贸易和投资往来提供服务支持。 来自乌兹别克斯坦花拉子模州的乌尔根奇区区长、扬吉巴扎尔区区长、巴加特区区长分别介绍了各自辖区的营商环境、投资政策及引资优势，各区工商会会长介绍了各区的企业代表及企业概况。</w:t>
      </w:r>
    </w:p>
    <w:p>
      <w:pPr>
        <w:pStyle w:val="5"/>
        <w:keepNext w:val="0"/>
        <w:keepLines w:val="0"/>
        <w:widowControl/>
        <w:suppressLineNumbers w:val="0"/>
        <w:spacing w:before="75" w:beforeAutospacing="0" w:after="75" w:afterAutospacing="0" w:line="240" w:lineRule="auto"/>
        <w:ind w:left="0" w:right="0" w:firstLine="608" w:firstLineChars="200"/>
        <w:jc w:val="left"/>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会后，</w:t>
      </w:r>
      <w:r>
        <w:rPr>
          <w:rFonts w:hint="eastAsia" w:ascii="Times New Roman" w:hAnsi="Times New Roman" w:cstheme="minorEastAsia"/>
          <w:i w:val="0"/>
          <w:caps w:val="0"/>
          <w:color w:val="333333"/>
          <w:spacing w:val="0"/>
          <w:kern w:val="0"/>
          <w:sz w:val="32"/>
          <w:szCs w:val="32"/>
          <w:shd w:val="clear" w:fill="FFFFFF"/>
          <w:lang w:val="en-US" w:eastAsia="zh-CN" w:bidi="ar"/>
        </w:rPr>
        <w:t>镇江市贸促会</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还组织花拉子模州经贸代表团赴宝堰现代农业科创园、恒顺集团、沃得农机、康尚医疗、诺得物流等企业实地参观，并与乌兹别克斯坦花拉子模州工商会签订框架合作协议。</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firstLine="5776" w:firstLineChars="1900"/>
        <w:jc w:val="left"/>
        <w:textAlignment w:val="auto"/>
        <w:outlineLvl w:val="9"/>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方正楷体_GBK" w:hAnsi="方正楷体_GBK" w:eastAsia="方正楷体_GBK" w:cs="方正楷体_GBK"/>
          <w:b/>
          <w:bCs/>
          <w:color w:val="FF0000"/>
          <w:spacing w:val="0"/>
          <w:kern w:val="2"/>
          <w:sz w:val="32"/>
          <w:szCs w:val="32"/>
          <w:lang w:val="en-US" w:eastAsia="zh-CN" w:bidi="ar-SA"/>
        </w:rPr>
        <w:t>（镇江市贸促会）</w:t>
      </w:r>
    </w:p>
    <w:p>
      <w:pPr>
        <w:rPr>
          <w:rFonts w:hint="default" w:ascii="Times New Roman" w:hAnsi="Times New Roman" w:eastAsia="经典行楷简" w:cs="Times New Roman"/>
          <w:b/>
          <w:color w:val="2E75B6" w:themeColor="accent1" w:themeShade="BF"/>
          <w:kern w:val="36"/>
          <w:sz w:val="96"/>
          <w:szCs w:val="96"/>
          <w:u w:val="none" w:color="BB120F"/>
          <w:lang w:val="en-US" w:eastAsia="zh-CN"/>
        </w:rPr>
      </w:pPr>
    </w:p>
    <w:p>
      <w:pPr>
        <w:rPr>
          <w:rFonts w:hint="default" w:ascii="Times New Roman" w:hAnsi="Times New Roman" w:eastAsia="经典行楷简" w:cs="Times New Roman"/>
          <w:b/>
          <w:color w:val="2E75B6" w:themeColor="accent1" w:themeShade="BF"/>
          <w:kern w:val="36"/>
          <w:sz w:val="96"/>
          <w:szCs w:val="96"/>
          <w:u w:val="none" w:color="BB120F"/>
          <w:lang w:val="en-US" w:eastAsia="zh-CN"/>
        </w:rPr>
      </w:pPr>
      <w:r>
        <w:rPr>
          <w:rFonts w:hint="default" w:ascii="Times New Roman" w:hAnsi="Times New Roman" w:eastAsia="经典行楷简" w:cs="Times New Roman"/>
          <w:b/>
          <w:color w:val="2E75B6" w:themeColor="accent1" w:themeShade="BF"/>
          <w:kern w:val="36"/>
          <w:sz w:val="96"/>
          <w:szCs w:val="96"/>
          <w:u w:val="none" w:color="BB120F"/>
          <w:lang w:val="en-US" w:eastAsia="zh-CN"/>
        </w:rPr>
        <w:br w:type="page"/>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b/>
          <w:color w:val="2E75B6" w:themeColor="accent1" w:themeShade="BF"/>
          <w:kern w:val="36"/>
          <w:sz w:val="96"/>
          <w:szCs w:val="96"/>
          <w:u w:val="none" w:color="BB120F"/>
          <w:lang w:val="en-US" w:eastAsia="zh-CN"/>
        </w:rPr>
      </w:pPr>
      <w:r>
        <w:rPr>
          <w:rFonts w:hint="default" w:ascii="Times New Roman" w:hAnsi="Times New Roman" w:eastAsia="经典行楷简" w:cs="Times New Roman"/>
          <w:b/>
          <w:color w:val="2E75B6" w:themeColor="accent1" w:themeShade="BF"/>
          <w:kern w:val="36"/>
          <w:sz w:val="96"/>
          <w:szCs w:val="96"/>
          <w:u w:val="none" w:color="BB120F"/>
          <w:lang w:val="en-US" w:eastAsia="zh-CN"/>
        </w:rPr>
        <w:t>会员企业风采</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700" w:lineRule="exact"/>
        <w:contextualSpacing/>
        <w:jc w:val="center"/>
        <w:textAlignment w:val="auto"/>
        <w:outlineLvl w:val="1"/>
        <w:rPr>
          <w:rFonts w:hint="eastAsia" w:ascii="Times New Roman" w:hAnsi="Times New Roman" w:eastAsia="华文新魏" w:cs="Times New Roman"/>
          <w:b/>
          <w:color w:val="FF0000"/>
          <w:spacing w:val="28"/>
          <w:kern w:val="36"/>
          <w:sz w:val="52"/>
          <w:szCs w:val="52"/>
          <w:lang w:val="en-US" w:eastAsia="zh-CN"/>
        </w:rPr>
      </w:pPr>
      <w:r>
        <w:rPr>
          <w:rFonts w:hint="eastAsia" w:ascii="Times New Roman" w:hAnsi="Times New Roman" w:eastAsia="华文新魏" w:cs="Times New Roman"/>
          <w:b/>
          <w:color w:val="FF0000"/>
          <w:spacing w:val="28"/>
          <w:kern w:val="36"/>
          <w:sz w:val="52"/>
          <w:szCs w:val="52"/>
          <w:lang w:val="en-US" w:eastAsia="zh-CN"/>
        </w:rPr>
        <w:t xml:space="preserve">江苏银行落地全省首单制造业设备更新贴息贷款 </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imes New Roman" w:hAnsi="Times New Roman" w:eastAsiaTheme="minorEastAsia" w:cstheme="minorEastAsia"/>
          <w:i w:val="0"/>
          <w:caps w:val="0"/>
          <w:color w:val="000000"/>
          <w:spacing w:val="0"/>
          <w:sz w:val="32"/>
          <w:szCs w:val="32"/>
          <w:lang w:val="en-US" w:eastAsia="zh-CN"/>
        </w:rPr>
      </w:pPr>
      <w:r>
        <w:rPr>
          <w:rFonts w:hint="eastAsia" w:ascii="Times New Roman" w:hAnsi="Times New Roman" w:eastAsiaTheme="minorEastAsia" w:cstheme="minorEastAsia"/>
          <w:i w:val="0"/>
          <w:caps w:val="0"/>
          <w:color w:val="000000"/>
          <w:spacing w:val="0"/>
          <w:sz w:val="32"/>
          <w:szCs w:val="32"/>
          <w:lang w:val="en-US" w:eastAsia="zh-CN"/>
        </w:rPr>
        <w:t>近日，江苏省工信厅、省财政厅联合下发《江苏省制造业贷款财政贴息实施方案》，有效发挥财政资金撬动作用，推动新一轮大规模设备更新。在江苏省财政厅、省工信厅大力指导下，我会副会长单位——江苏银行股份有限公司快速响应、主动服务，第一时间对接江苏省制造业财政贴息名单库企业，成功发放全省首单制造业设备采购贴息贷款。</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imes New Roman" w:hAnsi="Times New Roman" w:eastAsiaTheme="minorEastAsia" w:cstheme="minorEastAsia"/>
          <w:i w:val="0"/>
          <w:caps w:val="0"/>
          <w:color w:val="000000"/>
          <w:spacing w:val="0"/>
          <w:sz w:val="32"/>
          <w:szCs w:val="32"/>
          <w:lang w:val="en-US" w:eastAsia="zh-CN"/>
        </w:rPr>
      </w:pPr>
      <w:r>
        <w:rPr>
          <w:rFonts w:hint="eastAsia" w:ascii="Times New Roman" w:hAnsi="Times New Roman" w:eastAsiaTheme="minorEastAsia" w:cstheme="minorEastAsia"/>
          <w:i w:val="0"/>
          <w:caps w:val="0"/>
          <w:color w:val="000000"/>
          <w:spacing w:val="0"/>
          <w:sz w:val="32"/>
          <w:szCs w:val="32"/>
          <w:lang w:val="en-US" w:eastAsia="zh-CN"/>
        </w:rPr>
        <w:t>本次贴息项目为年产50万套新能源汽车电驱动动力总成产品项目，是江苏省重大工业项目，并获得当地首张企业碳资信评价A级证书。公司技术沉淀实力过硬，与吉利等新能源汽车行业龙头有着稳定合作基础。作为新能源汽车产业链的重点项目，产品市场认可度高，符合国家战略新兴产业投资方向，订单供不应求，边建设、边投产，产能快速释放。</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imes New Roman" w:hAnsi="Times New Roman" w:eastAsiaTheme="minorEastAsia" w:cstheme="minorEastAsia"/>
          <w:i w:val="0"/>
          <w:caps w:val="0"/>
          <w:color w:val="000000"/>
          <w:spacing w:val="0"/>
          <w:sz w:val="32"/>
          <w:szCs w:val="32"/>
          <w:lang w:val="en-US" w:eastAsia="zh-CN"/>
        </w:rPr>
      </w:pPr>
      <w:r>
        <w:rPr>
          <w:rFonts w:hint="eastAsia" w:ascii="Times New Roman" w:hAnsi="Times New Roman" w:eastAsiaTheme="minorEastAsia" w:cstheme="minorEastAsia"/>
          <w:i w:val="0"/>
          <w:caps w:val="0"/>
          <w:color w:val="000000"/>
          <w:spacing w:val="0"/>
          <w:sz w:val="32"/>
          <w:szCs w:val="32"/>
          <w:lang w:val="en-US" w:eastAsia="zh-CN"/>
        </w:rPr>
        <w:t>在获悉江苏省出台制造业贷款财政贴息政策后，江苏银行迅速行动，配合各级财政、工信等主管部门开展政策宣传，组织并指导企业开展贴息入库申请工作，并同步开展项目贷款审批及放款准备工作，于4月15日成功为企业项目提供贷款561万元，助力企业购置电驱多合一总成产线等设备，用于技术升级改造。</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imes New Roman" w:hAnsi="Times New Roman" w:eastAsiaTheme="minorEastAsia" w:cstheme="minorEastAsia"/>
          <w:i w:val="0"/>
          <w:caps w:val="0"/>
          <w:color w:val="000000"/>
          <w:spacing w:val="0"/>
          <w:sz w:val="32"/>
          <w:szCs w:val="32"/>
          <w:lang w:val="en-US" w:eastAsia="zh-CN"/>
        </w:rPr>
      </w:pPr>
      <w:r>
        <w:rPr>
          <w:rFonts w:hint="eastAsia" w:ascii="Times New Roman" w:hAnsi="Times New Roman" w:eastAsiaTheme="minorEastAsia" w:cstheme="minorEastAsia"/>
          <w:i w:val="0"/>
          <w:caps w:val="0"/>
          <w:color w:val="000000"/>
          <w:spacing w:val="0"/>
          <w:sz w:val="32"/>
          <w:szCs w:val="32"/>
          <w:lang w:val="en-US" w:eastAsia="zh-CN"/>
        </w:rPr>
        <w:t>作为全球百强银行、全国系统重要性银行，省属最大法人银行，江苏银行扎根江苏这一制造大省，着力以高质量金融服务助力全省制造业高质量发展，目前制造业贷款超2700亿元，近五年实现翻番。</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imes New Roman" w:hAnsi="Times New Roman" w:eastAsia="方正楷体_GBK" w:cs="Times New Roman"/>
          <w:bCs/>
          <w:sz w:val="32"/>
          <w:szCs w:val="32"/>
          <w:lang w:val="en-US" w:eastAsia="zh-CN"/>
        </w:rPr>
      </w:pPr>
      <w:r>
        <w:rPr>
          <w:rFonts w:hint="eastAsia" w:ascii="Times New Roman" w:hAnsi="Times New Roman" w:eastAsiaTheme="minorEastAsia" w:cstheme="minorEastAsia"/>
          <w:i w:val="0"/>
          <w:caps w:val="0"/>
          <w:color w:val="000000"/>
          <w:spacing w:val="0"/>
          <w:sz w:val="32"/>
          <w:szCs w:val="32"/>
          <w:lang w:val="en-US" w:eastAsia="zh-CN"/>
        </w:rPr>
        <w:t>下一步，江苏银行将全面贯彻省委、省政府决策部署，重点围绕“1650”产业体系，聚焦设备更新、智改数转等制造强省重点工作，大力推进产品创新，着力加强科技赋能，进一步提升服务实体经济质效，以高质量金融供给助力制造强省建设，为全省培育发展新质生产力贡献更大金融力量。</w:t>
      </w:r>
      <w:r>
        <w:rPr>
          <w:rFonts w:hint="eastAsia" w:ascii="Times New Roman" w:hAnsi="Times New Roman" w:cstheme="minorEastAsia"/>
          <w:i w:val="0"/>
          <w:caps w:val="0"/>
          <w:color w:val="000000"/>
          <w:spacing w:val="0"/>
          <w:sz w:val="32"/>
          <w:szCs w:val="32"/>
          <w:lang w:val="en-US" w:eastAsia="zh-CN"/>
        </w:rPr>
        <w:t xml:space="preserve">        </w:t>
      </w:r>
      <w:r>
        <w:rPr>
          <w:rFonts w:hint="default" w:ascii="方正楷体_GBK" w:hAnsi="方正楷体_GBK" w:eastAsia="方正楷体_GBK" w:cs="方正楷体_GBK"/>
          <w:b/>
          <w:bCs/>
          <w:color w:val="FF0000"/>
          <w:sz w:val="32"/>
          <w:szCs w:val="32"/>
          <w:lang w:val="en-US" w:eastAsia="zh-CN"/>
        </w:rPr>
        <w:t>（来源：</w:t>
      </w:r>
      <w:r>
        <w:rPr>
          <w:rFonts w:hint="eastAsia" w:ascii="方正楷体_GBK" w:hAnsi="方正楷体_GBK" w:eastAsia="方正楷体_GBK" w:cs="方正楷体_GBK"/>
          <w:b/>
          <w:bCs/>
          <w:color w:val="FF0000"/>
          <w:sz w:val="32"/>
          <w:szCs w:val="32"/>
          <w:lang w:val="en-US" w:eastAsia="zh-CN"/>
        </w:rPr>
        <w:t>扬子晚报）</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700" w:lineRule="exact"/>
        <w:contextualSpacing/>
        <w:jc w:val="center"/>
        <w:textAlignment w:val="auto"/>
        <w:outlineLvl w:val="1"/>
        <w:rPr>
          <w:rFonts w:hint="default" w:ascii="Times New Roman" w:hAnsi="Times New Roman" w:eastAsia="华文新魏" w:cs="Times New Roman"/>
          <w:b/>
          <w:color w:val="FF0000"/>
          <w:spacing w:val="28"/>
          <w:kern w:val="36"/>
          <w:sz w:val="52"/>
          <w:szCs w:val="52"/>
          <w:lang w:val="en-US" w:eastAsia="zh-CN"/>
        </w:rPr>
      </w:pPr>
      <w:r>
        <w:rPr>
          <w:rFonts w:hint="eastAsia" w:ascii="Times New Roman" w:hAnsi="Times New Roman" w:eastAsia="华文新魏" w:cs="Times New Roman"/>
          <w:b/>
          <w:color w:val="FF0000"/>
          <w:spacing w:val="28"/>
          <w:kern w:val="36"/>
          <w:sz w:val="52"/>
          <w:szCs w:val="52"/>
          <w:lang w:val="en-US" w:eastAsia="zh-CN"/>
        </w:rPr>
        <w:t xml:space="preserve"> </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700" w:lineRule="exact"/>
        <w:contextualSpacing/>
        <w:jc w:val="center"/>
        <w:textAlignment w:val="auto"/>
        <w:outlineLvl w:val="1"/>
        <w:rPr>
          <w:rFonts w:hint="default" w:ascii="Times New Roman" w:hAnsi="Times New Roman" w:eastAsia="华文新魏" w:cs="Times New Roman"/>
          <w:b/>
          <w:color w:val="FF0000"/>
          <w:spacing w:val="28"/>
          <w:kern w:val="36"/>
          <w:sz w:val="52"/>
          <w:szCs w:val="52"/>
          <w:lang w:val="en-US" w:eastAsia="zh-CN"/>
        </w:rPr>
      </w:pPr>
      <w:r>
        <w:rPr>
          <w:rFonts w:hint="default" w:ascii="Times New Roman" w:hAnsi="Times New Roman" w:eastAsia="华文新魏" w:cs="Times New Roman"/>
          <w:b/>
          <w:color w:val="FF0000"/>
          <w:spacing w:val="28"/>
          <w:kern w:val="36"/>
          <w:sz w:val="52"/>
          <w:szCs w:val="52"/>
          <w:lang w:val="en-US" w:eastAsia="zh-CN"/>
        </w:rPr>
        <w:t>汇鸿会展公司承接第四届消博会</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700" w:lineRule="exact"/>
        <w:contextualSpacing/>
        <w:jc w:val="center"/>
        <w:textAlignment w:val="auto"/>
        <w:outlineLvl w:val="1"/>
        <w:rPr>
          <w:rFonts w:hint="default" w:ascii="Times New Roman" w:hAnsi="Times New Roman" w:eastAsia="华文新魏" w:cs="Times New Roman"/>
          <w:b/>
          <w:color w:val="FF0000"/>
          <w:spacing w:val="28"/>
          <w:kern w:val="36"/>
          <w:sz w:val="52"/>
          <w:szCs w:val="52"/>
          <w:lang w:val="en-US" w:eastAsia="zh-CN"/>
        </w:rPr>
      </w:pPr>
      <w:r>
        <w:rPr>
          <w:rFonts w:hint="default" w:ascii="Times New Roman" w:hAnsi="Times New Roman" w:eastAsia="华文新魏" w:cs="Times New Roman"/>
          <w:b/>
          <w:color w:val="FF0000"/>
          <w:spacing w:val="28"/>
          <w:kern w:val="36"/>
          <w:sz w:val="52"/>
          <w:szCs w:val="52"/>
          <w:lang w:val="en-US" w:eastAsia="zh-CN"/>
        </w:rPr>
        <w:t>江苏展台设计搭建亮点纷呈</w:t>
      </w:r>
      <w:r>
        <w:rPr>
          <w:rFonts w:hint="eastAsia" w:ascii="Times New Roman" w:hAnsi="Times New Roman" w:eastAsia="华文新魏" w:cs="Times New Roman"/>
          <w:b/>
          <w:color w:val="FF0000"/>
          <w:spacing w:val="28"/>
          <w:kern w:val="36"/>
          <w:sz w:val="52"/>
          <w:szCs w:val="5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imes New Roman" w:hAnsi="Times New Roman" w:eastAsiaTheme="minorEastAsia" w:cstheme="minorEastAsia"/>
          <w:i w:val="0"/>
          <w:caps w:val="0"/>
          <w:color w:val="000000"/>
          <w:spacing w:val="0"/>
          <w:sz w:val="32"/>
          <w:szCs w:val="32"/>
          <w:lang w:val="en-US" w:eastAsia="zh-CN"/>
        </w:rPr>
      </w:pPr>
      <w:r>
        <w:rPr>
          <w:rFonts w:hint="eastAsia" w:ascii="Times New Roman" w:hAnsi="Times New Roman" w:eastAsiaTheme="minorEastAsia" w:cstheme="minorEastAsia"/>
          <w:i w:val="0"/>
          <w:caps w:val="0"/>
          <w:color w:val="000000"/>
          <w:spacing w:val="0"/>
          <w:sz w:val="32"/>
          <w:szCs w:val="32"/>
          <w:lang w:val="en-US" w:eastAsia="zh-CN"/>
        </w:rPr>
        <w:t>4月13—18日，第四届中国国际消费品博览会在海口盛大开幕。江苏省政府副省长方伟出席现场活动并调研江苏展台，与参展企业进行深入交流。我会理事单位——江苏汇鸿国际集团会展股份有限公司作为消博会江苏展台的策划设计和现场搭建服务单位，凭借优秀的工程品质以及专业的服务态度，保障江苏展台各项布展工作顺利实施，赢得领导嘉宾及参会企业代表的一致好评。</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imes New Roman" w:hAnsi="Times New Roman" w:eastAsiaTheme="minorEastAsia" w:cstheme="minorEastAsia"/>
          <w:i w:val="0"/>
          <w:caps w:val="0"/>
          <w:color w:val="000000"/>
          <w:spacing w:val="0"/>
          <w:sz w:val="32"/>
          <w:szCs w:val="32"/>
          <w:lang w:val="en-US" w:eastAsia="zh-CN"/>
        </w:rPr>
      </w:pPr>
      <w:r>
        <w:rPr>
          <w:rFonts w:hint="eastAsia" w:ascii="Times New Roman" w:hAnsi="Times New Roman" w:eastAsiaTheme="minorEastAsia" w:cstheme="minorEastAsia"/>
          <w:i w:val="0"/>
          <w:caps w:val="0"/>
          <w:color w:val="000000"/>
          <w:spacing w:val="0"/>
          <w:sz w:val="32"/>
          <w:szCs w:val="32"/>
          <w:lang w:val="en-US" w:eastAsia="zh-CN"/>
        </w:rPr>
        <w:t>本届消博会以“苏新消费 质美生活”为主题，展示面积500平方米，汇鸿会展设计团队根据“臻美江苏、燃放江苏、质享江苏”三大板块主题特点，分别进行定制化设计，以展示江苏的“新、奇、特”创新消费精品，带领观众徜徉在江苏的历史风采、自然风貌和品质生活之中，突出了江苏经济大省、消费大省的良好形象。展台主入口设计打破传统展示方式，采用数组阵列柱式屏幕呈现，错落有致。展台整体设计风格既有典雅江南的水乡韵味，又有开放包容的时代形象，沉浸式展现强富美高新江苏的实力与魅力。</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default" w:ascii="Times New Roman" w:hAnsi="Times New Roman" w:eastAsia="方正楷体_GBK" w:cs="Times New Roman"/>
          <w:bCs/>
          <w:sz w:val="32"/>
          <w:szCs w:val="32"/>
        </w:rPr>
      </w:pPr>
      <w:r>
        <w:rPr>
          <w:rFonts w:hint="eastAsia" w:ascii="Times New Roman" w:hAnsi="Times New Roman" w:eastAsiaTheme="minorEastAsia" w:cstheme="minorEastAsia"/>
          <w:i w:val="0"/>
          <w:caps w:val="0"/>
          <w:color w:val="000000"/>
          <w:spacing w:val="0"/>
          <w:sz w:val="32"/>
          <w:szCs w:val="32"/>
          <w:lang w:val="en-US" w:eastAsia="zh-CN"/>
        </w:rPr>
        <w:t>作为连续四届承接消博会江苏展台工作的具体执行单位，汇鸿会展公司一直秉承创新、高效、务实的精神，细致服务、真抓实干，聚焦消博会这个中国高水平对外开放的重要展示窗口，为我省消费精品进入各国市场提供了展示和交易机会，助力江苏企业快速融入全球市场，共享发展机遇。</w:t>
      </w:r>
      <w:r>
        <w:rPr>
          <w:rFonts w:hint="eastAsia" w:ascii="Times New Roman" w:hAnsi="Times New Roman" w:cstheme="minorEastAsia"/>
          <w:i w:val="0"/>
          <w:caps w:val="0"/>
          <w:color w:val="000000"/>
          <w:spacing w:val="0"/>
          <w:sz w:val="32"/>
          <w:szCs w:val="32"/>
          <w:lang w:val="en-US" w:eastAsia="zh-CN"/>
        </w:rPr>
        <w:t xml:space="preserve">         </w:t>
      </w:r>
      <w:r>
        <w:rPr>
          <w:rFonts w:hint="default" w:ascii="方正楷体_GBK" w:hAnsi="方正楷体_GBK" w:eastAsia="方正楷体_GBK" w:cs="方正楷体_GBK"/>
          <w:b/>
          <w:bCs/>
          <w:color w:val="FF0000"/>
          <w:sz w:val="32"/>
          <w:szCs w:val="32"/>
          <w:lang w:val="en-US" w:eastAsia="zh-CN"/>
        </w:rPr>
        <w:t>（来源：</w:t>
      </w:r>
      <w:r>
        <w:rPr>
          <w:rFonts w:hint="eastAsia" w:ascii="方正楷体_GBK" w:hAnsi="方正楷体_GBK" w:eastAsia="方正楷体_GBK" w:cs="方正楷体_GBK"/>
          <w:b/>
          <w:bCs/>
          <w:color w:val="FF0000"/>
          <w:sz w:val="32"/>
          <w:szCs w:val="32"/>
          <w:lang w:val="en-US" w:eastAsia="zh-CN"/>
        </w:rPr>
        <w:t>汇鸿集团官网</w:t>
      </w:r>
      <w:r>
        <w:rPr>
          <w:rFonts w:hint="default" w:ascii="方正楷体_GBK" w:hAnsi="方正楷体_GBK" w:eastAsia="方正楷体_GBK" w:cs="方正楷体_GBK"/>
          <w:b/>
          <w:bCs/>
          <w:color w:val="FF000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imes New Roman" w:hAnsi="Times New Roman" w:eastAsia="方正楷体_GBK" w:cs="Times New Roman"/>
          <w:bCs/>
          <w:sz w:val="32"/>
          <w:szCs w:val="32"/>
          <w:lang w:val="en-US" w:eastAsia="zh-CN"/>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700" w:lineRule="exact"/>
        <w:contextualSpacing/>
        <w:jc w:val="center"/>
        <w:textAlignment w:val="auto"/>
        <w:outlineLvl w:val="1"/>
        <w:rPr>
          <w:rFonts w:hint="eastAsia" w:ascii="Times New Roman" w:hAnsi="Times New Roman" w:eastAsia="华文新魏" w:cs="Times New Roman"/>
          <w:b/>
          <w:color w:val="FF0000"/>
          <w:spacing w:val="28"/>
          <w:kern w:val="36"/>
          <w:sz w:val="52"/>
          <w:szCs w:val="52"/>
          <w:lang w:val="en-US" w:eastAsia="zh-CN"/>
        </w:rPr>
      </w:pPr>
      <w:r>
        <w:rPr>
          <w:rFonts w:hint="eastAsia" w:ascii="Times New Roman" w:hAnsi="Times New Roman" w:eastAsia="华文新魏" w:cs="Times New Roman"/>
          <w:b/>
          <w:color w:val="FF0000"/>
          <w:spacing w:val="28"/>
          <w:kern w:val="36"/>
          <w:sz w:val="52"/>
          <w:szCs w:val="52"/>
          <w:lang w:val="en-US" w:eastAsia="zh-CN"/>
        </w:rPr>
        <w:t>又1200辆亚星客车奔赴沙特，</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700" w:lineRule="exact"/>
        <w:contextualSpacing/>
        <w:jc w:val="center"/>
        <w:textAlignment w:val="auto"/>
        <w:outlineLvl w:val="1"/>
        <w:rPr>
          <w:rFonts w:hint="default" w:ascii="Times New Roman" w:hAnsi="Times New Roman" w:eastAsia="方正楷体_GBK" w:cs="Times New Roman"/>
          <w:b/>
          <w:color w:val="auto"/>
          <w:kern w:val="36"/>
          <w:sz w:val="30"/>
          <w:szCs w:val="30"/>
          <w:lang w:val="en-US" w:eastAsia="zh-CN"/>
        </w:rPr>
      </w:pPr>
      <w:r>
        <w:rPr>
          <w:rFonts w:hint="eastAsia" w:ascii="Times New Roman" w:hAnsi="Times New Roman" w:eastAsia="华文新魏" w:cs="Times New Roman"/>
          <w:b/>
          <w:color w:val="FF0000"/>
          <w:spacing w:val="28"/>
          <w:kern w:val="36"/>
          <w:sz w:val="52"/>
          <w:szCs w:val="52"/>
          <w:lang w:val="en-US" w:eastAsia="zh-CN"/>
        </w:rPr>
        <w:t>持续彰显“中国力量”</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imes New Roman" w:hAnsi="Times New Roman" w:eastAsiaTheme="minorEastAsia" w:cstheme="minorEastAsia"/>
          <w:i w:val="0"/>
          <w:caps w:val="0"/>
          <w:color w:val="000000"/>
          <w:spacing w:val="0"/>
          <w:sz w:val="32"/>
          <w:szCs w:val="32"/>
          <w:lang w:val="en-US" w:eastAsia="zh-CN"/>
        </w:rPr>
      </w:pPr>
      <w:r>
        <w:rPr>
          <w:rFonts w:hint="eastAsia" w:ascii="Times New Roman" w:hAnsi="Times New Roman" w:eastAsiaTheme="minorEastAsia" w:cstheme="minorEastAsia"/>
          <w:i w:val="0"/>
          <w:caps w:val="0"/>
          <w:color w:val="000000"/>
          <w:spacing w:val="0"/>
          <w:sz w:val="32"/>
          <w:szCs w:val="32"/>
          <w:lang w:val="en-US" w:eastAsia="zh-CN"/>
        </w:rPr>
        <w:t>近日，以“亚星远航，闪耀沙特”为主题的“2024年亚星客车出口沙特1200辆客车交付仪式”在江苏省扬州市亚星厂区隆重举行。中共扬州市邗江区委书记张新钢，扬州市邗江区人民政府副区长、槐泗镇党委书记黄莹，扬州市邗江区委办公室主任卢亦斌，邗江区工业和信息化局局长张群，邗江区商务局副局长杜顺利，及我会理事单位——扬州亚星客车股份有限公司董事长胡海华和众多企业精英、媒体记者齐聚一堂，共同见证了这一具有里程碑意义的重要时刻。</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imes New Roman" w:hAnsi="Times New Roman" w:eastAsiaTheme="minorEastAsia" w:cstheme="minorEastAsia"/>
          <w:i w:val="0"/>
          <w:caps w:val="0"/>
          <w:color w:val="000000"/>
          <w:spacing w:val="0"/>
          <w:sz w:val="32"/>
          <w:szCs w:val="32"/>
          <w:lang w:val="en-US" w:eastAsia="zh-CN"/>
        </w:rPr>
      </w:pPr>
      <w:r>
        <w:rPr>
          <w:rFonts w:hint="eastAsia" w:ascii="Times New Roman" w:hAnsi="Times New Roman" w:eastAsiaTheme="minorEastAsia" w:cstheme="minorEastAsia"/>
          <w:i w:val="0"/>
          <w:caps w:val="0"/>
          <w:color w:val="000000"/>
          <w:spacing w:val="0"/>
          <w:sz w:val="32"/>
          <w:szCs w:val="32"/>
          <w:lang w:val="en-US" w:eastAsia="zh-CN"/>
        </w:rPr>
        <w:t>此次1200辆客车大单的达成，得益于亚星客车在沙特市场的深厚积淀与卓越表现。凭借着对市场的深入洞察、对品质的严格把控以及对服务的精益求精，亚星客车成功赢得了沙特客户的信赖与喜爱，从而收获了这一令人瞩目的订单。</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imes New Roman" w:hAnsi="Times New Roman" w:eastAsiaTheme="minorEastAsia" w:cstheme="minorEastAsia"/>
          <w:i w:val="0"/>
          <w:caps w:val="0"/>
          <w:color w:val="000000"/>
          <w:spacing w:val="0"/>
          <w:sz w:val="32"/>
          <w:szCs w:val="32"/>
          <w:lang w:val="en-US" w:eastAsia="zh-CN"/>
        </w:rPr>
      </w:pPr>
      <w:r>
        <w:rPr>
          <w:rFonts w:hint="eastAsia" w:ascii="Times New Roman" w:hAnsi="Times New Roman" w:eastAsiaTheme="minorEastAsia" w:cstheme="minorEastAsia"/>
          <w:i w:val="0"/>
          <w:caps w:val="0"/>
          <w:color w:val="000000"/>
          <w:spacing w:val="0"/>
          <w:sz w:val="32"/>
          <w:szCs w:val="32"/>
          <w:lang w:val="en-US" w:eastAsia="zh-CN"/>
        </w:rPr>
        <w:t>据了解，亚星客车此次交付车型包括X9-3系列YBL6128H公路客车与X9-C系列JS6128GH公交车。其中，X9-3系列YBL6128H公路客车由宾尼法利纳设计，兼具科技与时尚，提供“双风挡”和“一层半”两款车型，满足审美多样性；车身轻量化设计，安全节能，大容量运载，提升朝觐运营效益。</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imes New Roman" w:hAnsi="Times New Roman" w:eastAsiaTheme="minorEastAsia" w:cstheme="minorEastAsia"/>
          <w:i w:val="0"/>
          <w:caps w:val="0"/>
          <w:color w:val="000000"/>
          <w:spacing w:val="0"/>
          <w:sz w:val="32"/>
          <w:szCs w:val="32"/>
          <w:lang w:val="en-US" w:eastAsia="zh-CN"/>
        </w:rPr>
      </w:pPr>
      <w:r>
        <w:rPr>
          <w:rFonts w:hint="eastAsia" w:ascii="Times New Roman" w:hAnsi="Times New Roman" w:eastAsiaTheme="minorEastAsia" w:cstheme="minorEastAsia"/>
          <w:i w:val="0"/>
          <w:caps w:val="0"/>
          <w:color w:val="000000"/>
          <w:spacing w:val="0"/>
          <w:sz w:val="32"/>
          <w:szCs w:val="32"/>
          <w:lang w:val="en-US" w:eastAsia="zh-CN"/>
        </w:rPr>
        <w:t>X9-C系列JS6128GH公交车则采用简约流线设计，三级踏步三开门，专为沙特朝觐通勤设计。两系列均采用全球市场认可度高的“潍柴发动机+法士特变速箱+汉德车桥”黄金动力总成方案，强化核心竞争力，为客户创造更大价值。</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imes New Roman" w:hAnsi="Times New Roman" w:eastAsiaTheme="minorEastAsia" w:cstheme="minorEastAsia"/>
          <w:i w:val="0"/>
          <w:caps w:val="0"/>
          <w:color w:val="000000"/>
          <w:spacing w:val="0"/>
          <w:sz w:val="32"/>
          <w:szCs w:val="32"/>
          <w:lang w:val="en-US" w:eastAsia="zh-CN"/>
        </w:rPr>
      </w:pPr>
      <w:r>
        <w:rPr>
          <w:rFonts w:hint="eastAsia" w:ascii="Times New Roman" w:hAnsi="Times New Roman" w:eastAsiaTheme="minorEastAsia" w:cstheme="minorEastAsia"/>
          <w:i w:val="0"/>
          <w:caps w:val="0"/>
          <w:color w:val="000000"/>
          <w:spacing w:val="0"/>
          <w:sz w:val="32"/>
          <w:szCs w:val="32"/>
          <w:lang w:val="en-US" w:eastAsia="zh-CN"/>
        </w:rPr>
        <w:t>当然，亚星客车扬帆海外、大单连连的成绩，离不开其坚实而周到的服务支撑。从产品到服务的全面升级，亚星客车在沙特市场的多维度深耕细作，不仅确保了自身发展的成功，更为中国客车在海外市场的拓展注入了活力与信心。</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imes New Roman" w:hAnsi="Times New Roman" w:eastAsiaTheme="minorEastAsia" w:cstheme="minorEastAsia"/>
          <w:i w:val="0"/>
          <w:caps w:val="0"/>
          <w:color w:val="000000"/>
          <w:spacing w:val="0"/>
          <w:sz w:val="32"/>
          <w:szCs w:val="32"/>
          <w:lang w:val="en-US" w:eastAsia="zh-CN"/>
        </w:rPr>
      </w:pPr>
      <w:r>
        <w:rPr>
          <w:rFonts w:hint="eastAsia" w:ascii="Times New Roman" w:hAnsi="Times New Roman" w:eastAsiaTheme="minorEastAsia" w:cstheme="minorEastAsia"/>
          <w:i w:val="0"/>
          <w:caps w:val="0"/>
          <w:color w:val="000000"/>
          <w:spacing w:val="0"/>
          <w:sz w:val="32"/>
          <w:szCs w:val="32"/>
          <w:lang w:val="en-US" w:eastAsia="zh-CN"/>
        </w:rPr>
        <w:t>在沙特市场，亚星客车设立了配件中心库，并经过严格考察，授权了多家专业的客车服务站。同时，亚星客车与潍柴集团海外服务团队保持高度协同，派遣经验丰富的专业售后服务团队常驻当地。</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imes New Roman" w:hAnsi="Times New Roman" w:eastAsiaTheme="minorEastAsia" w:cstheme="minorEastAsia"/>
          <w:i w:val="0"/>
          <w:caps w:val="0"/>
          <w:color w:val="000000"/>
          <w:spacing w:val="0"/>
          <w:sz w:val="32"/>
          <w:szCs w:val="32"/>
          <w:lang w:val="en-US" w:eastAsia="zh-CN"/>
        </w:rPr>
      </w:pPr>
      <w:r>
        <w:rPr>
          <w:rFonts w:hint="eastAsia" w:ascii="Times New Roman" w:hAnsi="Times New Roman" w:eastAsiaTheme="minorEastAsia" w:cstheme="minorEastAsia"/>
          <w:i w:val="0"/>
          <w:caps w:val="0"/>
          <w:color w:val="000000"/>
          <w:spacing w:val="0"/>
          <w:sz w:val="32"/>
          <w:szCs w:val="32"/>
          <w:lang w:val="en-US" w:eastAsia="zh-CN"/>
        </w:rPr>
        <w:t>为了确保为客户提供全方位的优质服务，亚星客车还建立了一套完善的售后服务体系，涵盖客户培训、配件供应、实时响应和现场解决等多个环节，并提供“7×24小时”全天候保障服务，确保客户在任何时候都能得到及时、专业的支持。</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imes New Roman" w:hAnsi="Times New Roman" w:eastAsiaTheme="minorEastAsia" w:cstheme="minorEastAsia"/>
          <w:i w:val="0"/>
          <w:caps w:val="0"/>
          <w:color w:val="000000"/>
          <w:spacing w:val="0"/>
          <w:sz w:val="32"/>
          <w:szCs w:val="32"/>
          <w:lang w:val="en-US" w:eastAsia="zh-CN"/>
        </w:rPr>
      </w:pPr>
      <w:r>
        <w:rPr>
          <w:rFonts w:hint="eastAsia" w:ascii="Times New Roman" w:hAnsi="Times New Roman" w:eastAsiaTheme="minorEastAsia" w:cstheme="minorEastAsia"/>
          <w:i w:val="0"/>
          <w:caps w:val="0"/>
          <w:color w:val="000000"/>
          <w:spacing w:val="0"/>
          <w:sz w:val="32"/>
          <w:szCs w:val="32"/>
          <w:lang w:val="en-US" w:eastAsia="zh-CN"/>
        </w:rPr>
        <w:t>实际上，亚星客车在沙特市场的成功，仅为其在海外市场的一个典型缩影。近些年来，鉴于海外客车行业前景持续繁荣的状况，亚星客车聚焦市场，设立了多个海外办事处，业务员长期驻留市场，针对办事处及周边的重点市场展开调研，洞悉客户的真实需求，探寻蓝海市场。</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imes New Roman" w:hAnsi="Times New Roman" w:eastAsiaTheme="minorEastAsia" w:cstheme="minorEastAsia"/>
          <w:i w:val="0"/>
          <w:caps w:val="0"/>
          <w:color w:val="000000"/>
          <w:spacing w:val="0"/>
          <w:sz w:val="32"/>
          <w:szCs w:val="32"/>
          <w:lang w:val="en-US" w:eastAsia="zh-CN"/>
        </w:rPr>
      </w:pPr>
      <w:r>
        <w:rPr>
          <w:rFonts w:hint="eastAsia" w:ascii="Times New Roman" w:hAnsi="Times New Roman" w:eastAsiaTheme="minorEastAsia" w:cstheme="minorEastAsia"/>
          <w:i w:val="0"/>
          <w:caps w:val="0"/>
          <w:color w:val="000000"/>
          <w:spacing w:val="0"/>
          <w:sz w:val="32"/>
          <w:szCs w:val="32"/>
          <w:lang w:val="en-US" w:eastAsia="zh-CN"/>
        </w:rPr>
        <w:t>与此同时，亚星客车还在山东重工集团的强力支持下，深挖协同“金矿”，持续深化集团海外资源整合，通过市场统一规划及集团分公司协同办公，强化品牌力，增强终端客户信任，为海外市场的交通事业注入了活力，为海外人民带来更加便捷、舒适的出行体验。</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default" w:ascii="方正楷体_GBK" w:hAnsi="方正楷体_GBK" w:eastAsia="方正楷体_GBK" w:cs="方正楷体_GBK"/>
          <w:b/>
          <w:bCs/>
          <w:color w:val="FF0000"/>
          <w:sz w:val="32"/>
          <w:szCs w:val="32"/>
          <w:lang w:val="en-US" w:eastAsia="zh-CN"/>
        </w:rPr>
      </w:pPr>
      <w:r>
        <w:rPr>
          <w:rFonts w:hint="eastAsia" w:ascii="Times New Roman" w:hAnsi="Times New Roman" w:eastAsiaTheme="minorEastAsia" w:cstheme="minorEastAsia"/>
          <w:i w:val="0"/>
          <w:caps w:val="0"/>
          <w:color w:val="000000"/>
          <w:spacing w:val="0"/>
          <w:sz w:val="32"/>
          <w:szCs w:val="32"/>
          <w:lang w:val="en-US" w:eastAsia="zh-CN"/>
        </w:rPr>
        <w:t>未来，亚星客车将不负众望，秉持全球化视野，持续创新奋进，为全球客户供应杰出的客运解决方案，助推中国客车品牌走向更广阔的舞台。</w:t>
      </w:r>
      <w:r>
        <w:rPr>
          <w:rFonts w:hint="eastAsia" w:ascii="Times New Roman" w:hAnsi="Times New Roman" w:cstheme="minorEastAsia"/>
          <w:i w:val="0"/>
          <w:caps w:val="0"/>
          <w:color w:val="000000"/>
          <w:spacing w:val="0"/>
          <w:sz w:val="32"/>
          <w:szCs w:val="32"/>
          <w:lang w:val="en-US" w:eastAsia="zh-CN"/>
        </w:rPr>
        <w:t xml:space="preserve">               </w:t>
      </w:r>
      <w:r>
        <w:rPr>
          <w:rFonts w:hint="eastAsia" w:ascii="方正楷体_GBK" w:hAnsi="方正楷体_GBK" w:eastAsia="方正楷体_GBK" w:cs="方正楷体_GBK"/>
          <w:b/>
          <w:bCs/>
          <w:color w:val="FF0000"/>
          <w:sz w:val="32"/>
          <w:szCs w:val="32"/>
          <w:lang w:val="en-US" w:eastAsia="zh-CN"/>
        </w:rPr>
        <w:t xml:space="preserve"> </w:t>
      </w:r>
      <w:r>
        <w:rPr>
          <w:rFonts w:hint="default" w:ascii="方正楷体_GBK" w:hAnsi="方正楷体_GBK" w:eastAsia="方正楷体_GBK" w:cs="方正楷体_GBK"/>
          <w:b/>
          <w:bCs/>
          <w:color w:val="FF0000"/>
          <w:sz w:val="32"/>
          <w:szCs w:val="32"/>
          <w:lang w:val="en-US" w:eastAsia="zh-CN"/>
        </w:rPr>
        <w:t>（来源：</w:t>
      </w:r>
      <w:r>
        <w:rPr>
          <w:rFonts w:hint="eastAsia" w:ascii="方正楷体_GBK" w:hAnsi="方正楷体_GBK" w:eastAsia="方正楷体_GBK" w:cs="方正楷体_GBK"/>
          <w:b/>
          <w:bCs/>
          <w:color w:val="FF0000"/>
          <w:sz w:val="32"/>
          <w:szCs w:val="32"/>
          <w:lang w:val="en-US" w:eastAsia="zh-CN"/>
        </w:rPr>
        <w:t>亚星客车微信公众号</w:t>
      </w:r>
      <w:r>
        <w:rPr>
          <w:rFonts w:hint="default" w:ascii="方正楷体_GBK" w:hAnsi="方正楷体_GBK" w:eastAsia="方正楷体_GBK" w:cs="方正楷体_GBK"/>
          <w:b/>
          <w:bCs/>
          <w:color w:val="FF0000"/>
          <w:sz w:val="32"/>
          <w:szCs w:val="32"/>
          <w:lang w:val="en-US"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700" w:lineRule="exact"/>
        <w:contextualSpacing/>
        <w:jc w:val="center"/>
        <w:textAlignment w:val="auto"/>
        <w:outlineLvl w:val="1"/>
        <w:rPr>
          <w:rFonts w:hint="eastAsia" w:ascii="Times New Roman" w:hAnsi="Times New Roman" w:eastAsia="华文新魏" w:cs="Times New Roman"/>
          <w:b/>
          <w:color w:val="FF0000"/>
          <w:spacing w:val="28"/>
          <w:kern w:val="36"/>
          <w:sz w:val="52"/>
          <w:szCs w:val="52"/>
          <w:lang w:val="en-US" w:eastAsia="zh-CN"/>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exact"/>
        <w:contextualSpacing/>
        <w:jc w:val="center"/>
        <w:textAlignment w:val="auto"/>
        <w:outlineLvl w:val="1"/>
        <w:rPr>
          <w:rFonts w:hint="default" w:ascii="Times New Roman" w:hAnsi="Times New Roman" w:eastAsia="华文新魏" w:cs="Times New Roman"/>
          <w:b/>
          <w:color w:val="FF0000"/>
          <w:spacing w:val="0"/>
          <w:kern w:val="36"/>
          <w:sz w:val="52"/>
          <w:szCs w:val="52"/>
          <w:lang w:val="en-US" w:eastAsia="zh-CN"/>
        </w:rPr>
      </w:pPr>
    </w:p>
    <w:sectPr>
      <w:footerReference r:id="rId4" w:type="default"/>
      <w:pgSz w:w="11906" w:h="16838"/>
      <w:pgMar w:top="2098" w:right="1474" w:bottom="1984" w:left="1587" w:header="1417" w:footer="992" w:gutter="0"/>
      <w:pgBorders>
        <w:top w:val="single" w:color="F82206" w:sz="48" w:space="1"/>
        <w:left w:val="single" w:color="F82206" w:sz="48" w:space="4"/>
        <w:bottom w:val="single" w:color="F82206" w:sz="48" w:space="1"/>
        <w:right w:val="single" w:color="F82206" w:sz="48" w:space="4"/>
      </w:pgBorders>
      <w:pgNumType w:fmt="decimal" w:start="1"/>
      <w:cols w:space="425" w:num="1"/>
      <w:docGrid w:type="linesAndChars" w:linePitch="290" w:charSpace="-34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 w:name="经典行楷简">
    <w:panose1 w:val="02010609000101010101"/>
    <w:charset w:val="86"/>
    <w:family w:val="auto"/>
    <w:pitch w:val="default"/>
    <w:sig w:usb0="A1007AEF" w:usb1="F9DF7CFB" w:usb2="0000001E" w:usb3="00000000" w:csb0="20040000"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魏碑简体">
    <w:altName w:val="微软雅黑"/>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center"/>
      <w:rPr>
        <w:rFonts w:ascii="Calibri" w:hAnsi="Calibri" w:eastAsia="宋体" w:cs="Times New Roman"/>
        <w:kern w:val="2"/>
        <w:sz w:val="18"/>
        <w:szCs w:val="18"/>
        <w:lang w:val="en-US" w:eastAsia="zh-CN" w:bidi="ar-SA"/>
      </w:rPr>
    </w:pPr>
  </w:p>
  <w:p>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center"/>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posOffset>0</wp:posOffset>
              </wp:positionH>
              <wp:positionV relativeFrom="paragraph">
                <wp:posOffset>-235585</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widowControl w:val="0"/>
                            <w:tabs>
                              <w:tab w:val="center" w:pos="4153"/>
                              <w:tab w:val="right" w:pos="8306"/>
                            </w:tabs>
                            <w:snapToGrid w:val="0"/>
                            <w:jc w:val="left"/>
                            <w:rPr>
                              <w:rFonts w:ascii="Calibri" w:hAnsi="Calibri" w:eastAsia="宋体" w:cs="Times New Roman"/>
                              <w:kern w:val="2"/>
                              <w:sz w:val="18"/>
                              <w:szCs w:val="18"/>
                              <w:highlight w:val="yellow"/>
                              <w:lang w:val="en-US" w:eastAsia="zh-CN" w:bidi="ar-SA"/>
                            </w:rPr>
                          </w:pP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 xml:space="preserve">— </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begin"/>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instrText xml:space="preserve"> PAGE  \* MERGEFORMAT </w:instrTex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separate"/>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1</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end"/>
                          </w:r>
                          <w:r>
                            <w:rPr>
                              <w:rFonts w:hint="default" w:ascii="Times New Roman" w:hAnsi="Times New Roman" w:eastAsia="宋体" w:cs="Times New Roman"/>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 xml:space="preserve"> </w:t>
                          </w: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0pt;margin-top:-18.55pt;height:144pt;width:144pt;mso-position-horizontal-relative:margin;mso-wrap-style:none;z-index:251659264;mso-width-relative:page;mso-height-relative:page;" filled="f" stroked="f" coordsize="21600,21600" o:gfxdata="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CjkjYdYAAAAIAQAA&#10;DwAAAAAAAAABACAAAAAiAAAAZHJzL2Rvd25yZXYueG1sUEsBAhQAFAAAAAgAh07iQCOFi7YbAgAA&#10;IQQAAA4AAAAAAAAAAQAgAAAAJQEAAGRycy9lMm9Eb2MueG1sUEsFBgAAAAAGAAYAWQEAALIFAAAA&#10;AA==&#10;">
              <v:fill on="f" focussize="0,0"/>
              <v:stroke on="f" weight="0.5pt"/>
              <v:imagedata o:title=""/>
              <o:lock v:ext="edit" aspectratio="f"/>
              <v:textbox inset="0mm,0mm,0mm,0mm" style="mso-fit-shape-to-text:t;">
                <w:txbxContent>
                  <w:p>
                    <w:pPr>
                      <w:widowControl w:val="0"/>
                      <w:tabs>
                        <w:tab w:val="center" w:pos="4153"/>
                        <w:tab w:val="right" w:pos="8306"/>
                      </w:tabs>
                      <w:snapToGrid w:val="0"/>
                      <w:jc w:val="left"/>
                      <w:rPr>
                        <w:rFonts w:ascii="Calibri" w:hAnsi="Calibri" w:eastAsia="宋体" w:cs="Times New Roman"/>
                        <w:kern w:val="2"/>
                        <w:sz w:val="18"/>
                        <w:szCs w:val="18"/>
                        <w:highlight w:val="yellow"/>
                        <w:lang w:val="en-US" w:eastAsia="zh-CN" w:bidi="ar-SA"/>
                      </w:rPr>
                    </w:pP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 xml:space="preserve">— </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begin"/>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instrText xml:space="preserve"> PAGE  \* MERGEFORMAT </w:instrTex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separate"/>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1</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end"/>
                    </w:r>
                    <w:r>
                      <w:rPr>
                        <w:rFonts w:hint="default" w:ascii="Times New Roman" w:hAnsi="Times New Roman" w:eastAsia="宋体" w:cs="Times New Roman"/>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 xml:space="preserve"> </w:t>
                    </w: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w:t>
                    </w:r>
                  </w:p>
                </w:txbxContent>
              </v:textbox>
            </v:shape>
          </w:pict>
        </mc:Fallback>
      </mc:AlternateContent>
    </w:r>
  </w:p>
  <w:p>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yY2JjZjUwZjliZTZiOTlhN2YyNWNiNDhlZDgzZjgifQ=="/>
  </w:docVars>
  <w:rsids>
    <w:rsidRoot w:val="09CD0E22"/>
    <w:rsid w:val="00030C0E"/>
    <w:rsid w:val="00043245"/>
    <w:rsid w:val="0007364F"/>
    <w:rsid w:val="000800B0"/>
    <w:rsid w:val="00093D01"/>
    <w:rsid w:val="00097083"/>
    <w:rsid w:val="000C6CC2"/>
    <w:rsid w:val="001156B9"/>
    <w:rsid w:val="00145330"/>
    <w:rsid w:val="00154806"/>
    <w:rsid w:val="001F2C95"/>
    <w:rsid w:val="00215B64"/>
    <w:rsid w:val="002840B7"/>
    <w:rsid w:val="003208B4"/>
    <w:rsid w:val="003671B0"/>
    <w:rsid w:val="003C691D"/>
    <w:rsid w:val="003F32D7"/>
    <w:rsid w:val="0042623F"/>
    <w:rsid w:val="0043286B"/>
    <w:rsid w:val="00467C46"/>
    <w:rsid w:val="005279A4"/>
    <w:rsid w:val="005A092B"/>
    <w:rsid w:val="006B63D3"/>
    <w:rsid w:val="006C0C2E"/>
    <w:rsid w:val="00723B7D"/>
    <w:rsid w:val="007C2A82"/>
    <w:rsid w:val="007E11E9"/>
    <w:rsid w:val="008B2F92"/>
    <w:rsid w:val="008E3499"/>
    <w:rsid w:val="008F79A9"/>
    <w:rsid w:val="00906A61"/>
    <w:rsid w:val="00962249"/>
    <w:rsid w:val="00A0554E"/>
    <w:rsid w:val="00A55B3B"/>
    <w:rsid w:val="00B35803"/>
    <w:rsid w:val="00B45E3E"/>
    <w:rsid w:val="00B528B9"/>
    <w:rsid w:val="00C16462"/>
    <w:rsid w:val="00C66488"/>
    <w:rsid w:val="00CA656E"/>
    <w:rsid w:val="00CE04E4"/>
    <w:rsid w:val="00D0085C"/>
    <w:rsid w:val="00D9651F"/>
    <w:rsid w:val="00DB54B3"/>
    <w:rsid w:val="00DF053C"/>
    <w:rsid w:val="00E278B0"/>
    <w:rsid w:val="00E76B4E"/>
    <w:rsid w:val="00F57182"/>
    <w:rsid w:val="00FC3867"/>
    <w:rsid w:val="010007F1"/>
    <w:rsid w:val="01123C24"/>
    <w:rsid w:val="01281FA6"/>
    <w:rsid w:val="0129652A"/>
    <w:rsid w:val="012C4A94"/>
    <w:rsid w:val="0134238F"/>
    <w:rsid w:val="01434062"/>
    <w:rsid w:val="014F3F68"/>
    <w:rsid w:val="015A28DE"/>
    <w:rsid w:val="01603797"/>
    <w:rsid w:val="01607B5B"/>
    <w:rsid w:val="01614C4F"/>
    <w:rsid w:val="016607CF"/>
    <w:rsid w:val="01687C29"/>
    <w:rsid w:val="016C6133"/>
    <w:rsid w:val="016D0719"/>
    <w:rsid w:val="01730647"/>
    <w:rsid w:val="017F7312"/>
    <w:rsid w:val="0183354F"/>
    <w:rsid w:val="018A4341"/>
    <w:rsid w:val="018D1ED5"/>
    <w:rsid w:val="018E0532"/>
    <w:rsid w:val="01944C0D"/>
    <w:rsid w:val="019652A2"/>
    <w:rsid w:val="019A0A9C"/>
    <w:rsid w:val="019E5AF8"/>
    <w:rsid w:val="01A05888"/>
    <w:rsid w:val="01A2463C"/>
    <w:rsid w:val="01A277CA"/>
    <w:rsid w:val="01A536F0"/>
    <w:rsid w:val="01AB72AD"/>
    <w:rsid w:val="01AD0FC0"/>
    <w:rsid w:val="01AF0E83"/>
    <w:rsid w:val="01B746D8"/>
    <w:rsid w:val="01B74B80"/>
    <w:rsid w:val="01B76B70"/>
    <w:rsid w:val="01BC47E4"/>
    <w:rsid w:val="01BD0D3F"/>
    <w:rsid w:val="01C277DB"/>
    <w:rsid w:val="01CB201F"/>
    <w:rsid w:val="01D01DDD"/>
    <w:rsid w:val="01D83F23"/>
    <w:rsid w:val="01DA121B"/>
    <w:rsid w:val="01E02E8A"/>
    <w:rsid w:val="01EB6FF4"/>
    <w:rsid w:val="01EC6C1A"/>
    <w:rsid w:val="01F43D5D"/>
    <w:rsid w:val="01F53962"/>
    <w:rsid w:val="01F739C6"/>
    <w:rsid w:val="01FE284A"/>
    <w:rsid w:val="0202118C"/>
    <w:rsid w:val="020C0504"/>
    <w:rsid w:val="020F3F82"/>
    <w:rsid w:val="021337A8"/>
    <w:rsid w:val="02154F00"/>
    <w:rsid w:val="02200558"/>
    <w:rsid w:val="022C2DDE"/>
    <w:rsid w:val="024125AD"/>
    <w:rsid w:val="02424F98"/>
    <w:rsid w:val="02451830"/>
    <w:rsid w:val="024B4F65"/>
    <w:rsid w:val="02522774"/>
    <w:rsid w:val="02716397"/>
    <w:rsid w:val="027B1EF4"/>
    <w:rsid w:val="027D39C5"/>
    <w:rsid w:val="02842B55"/>
    <w:rsid w:val="02850B1B"/>
    <w:rsid w:val="028E239B"/>
    <w:rsid w:val="028E669E"/>
    <w:rsid w:val="02945151"/>
    <w:rsid w:val="02994D24"/>
    <w:rsid w:val="02AA4579"/>
    <w:rsid w:val="02B452E0"/>
    <w:rsid w:val="02B7449E"/>
    <w:rsid w:val="02B93913"/>
    <w:rsid w:val="02C7326C"/>
    <w:rsid w:val="02CA2014"/>
    <w:rsid w:val="02CE36F0"/>
    <w:rsid w:val="02D253BA"/>
    <w:rsid w:val="02D664A5"/>
    <w:rsid w:val="02D70120"/>
    <w:rsid w:val="02E746B3"/>
    <w:rsid w:val="02F03F7A"/>
    <w:rsid w:val="02F04987"/>
    <w:rsid w:val="02F3072B"/>
    <w:rsid w:val="02F4686A"/>
    <w:rsid w:val="02F50E1A"/>
    <w:rsid w:val="02FC365E"/>
    <w:rsid w:val="03032EA1"/>
    <w:rsid w:val="03055083"/>
    <w:rsid w:val="030A33B2"/>
    <w:rsid w:val="0312457C"/>
    <w:rsid w:val="03173E54"/>
    <w:rsid w:val="03276EB0"/>
    <w:rsid w:val="03320DD5"/>
    <w:rsid w:val="03367B19"/>
    <w:rsid w:val="033F3094"/>
    <w:rsid w:val="033F5E23"/>
    <w:rsid w:val="0341739D"/>
    <w:rsid w:val="034A5312"/>
    <w:rsid w:val="035906B9"/>
    <w:rsid w:val="035A07AB"/>
    <w:rsid w:val="035F7880"/>
    <w:rsid w:val="036572E0"/>
    <w:rsid w:val="036773BE"/>
    <w:rsid w:val="036B41D2"/>
    <w:rsid w:val="03745931"/>
    <w:rsid w:val="0375270B"/>
    <w:rsid w:val="0376026A"/>
    <w:rsid w:val="03763E10"/>
    <w:rsid w:val="03795E56"/>
    <w:rsid w:val="038F00BD"/>
    <w:rsid w:val="038F07EB"/>
    <w:rsid w:val="039F6B79"/>
    <w:rsid w:val="03A054FE"/>
    <w:rsid w:val="03A634A2"/>
    <w:rsid w:val="03A710E3"/>
    <w:rsid w:val="03B75E22"/>
    <w:rsid w:val="03B93704"/>
    <w:rsid w:val="03C7124D"/>
    <w:rsid w:val="03C956D7"/>
    <w:rsid w:val="03CD065E"/>
    <w:rsid w:val="03CD0F50"/>
    <w:rsid w:val="03D96519"/>
    <w:rsid w:val="03DC76EB"/>
    <w:rsid w:val="03DD4156"/>
    <w:rsid w:val="03DF3AAC"/>
    <w:rsid w:val="03DF7C94"/>
    <w:rsid w:val="03E4053E"/>
    <w:rsid w:val="03EE2D2D"/>
    <w:rsid w:val="03EE5120"/>
    <w:rsid w:val="03F95EAB"/>
    <w:rsid w:val="03FA4378"/>
    <w:rsid w:val="040D5A59"/>
    <w:rsid w:val="040E59E0"/>
    <w:rsid w:val="04177E90"/>
    <w:rsid w:val="041B3B0D"/>
    <w:rsid w:val="041F33A4"/>
    <w:rsid w:val="04227E09"/>
    <w:rsid w:val="04256881"/>
    <w:rsid w:val="042C1175"/>
    <w:rsid w:val="042E72BA"/>
    <w:rsid w:val="04361A54"/>
    <w:rsid w:val="043837D8"/>
    <w:rsid w:val="043F0FCC"/>
    <w:rsid w:val="0458216E"/>
    <w:rsid w:val="04633D2A"/>
    <w:rsid w:val="046441B2"/>
    <w:rsid w:val="0470619B"/>
    <w:rsid w:val="047264E0"/>
    <w:rsid w:val="047929EC"/>
    <w:rsid w:val="047931E4"/>
    <w:rsid w:val="047B754C"/>
    <w:rsid w:val="047C330E"/>
    <w:rsid w:val="04802BB2"/>
    <w:rsid w:val="048112FB"/>
    <w:rsid w:val="048A77DB"/>
    <w:rsid w:val="048B08F7"/>
    <w:rsid w:val="04997356"/>
    <w:rsid w:val="04B3013F"/>
    <w:rsid w:val="04BA605B"/>
    <w:rsid w:val="04BB6582"/>
    <w:rsid w:val="04BF51D4"/>
    <w:rsid w:val="04BF6C79"/>
    <w:rsid w:val="04C30370"/>
    <w:rsid w:val="04C369FD"/>
    <w:rsid w:val="04C87276"/>
    <w:rsid w:val="04CE7B7F"/>
    <w:rsid w:val="04D13EAB"/>
    <w:rsid w:val="04D81CE8"/>
    <w:rsid w:val="04E16ACF"/>
    <w:rsid w:val="04E92750"/>
    <w:rsid w:val="04ED1D07"/>
    <w:rsid w:val="04F33CBA"/>
    <w:rsid w:val="04FB0B72"/>
    <w:rsid w:val="05006805"/>
    <w:rsid w:val="05017788"/>
    <w:rsid w:val="051142A3"/>
    <w:rsid w:val="05150D13"/>
    <w:rsid w:val="052054D4"/>
    <w:rsid w:val="052C7639"/>
    <w:rsid w:val="054A7C8A"/>
    <w:rsid w:val="055D26AF"/>
    <w:rsid w:val="056534E0"/>
    <w:rsid w:val="056834A8"/>
    <w:rsid w:val="05684832"/>
    <w:rsid w:val="056C0F36"/>
    <w:rsid w:val="056E79C6"/>
    <w:rsid w:val="057A799E"/>
    <w:rsid w:val="058647BE"/>
    <w:rsid w:val="05880374"/>
    <w:rsid w:val="05881910"/>
    <w:rsid w:val="05913966"/>
    <w:rsid w:val="059F17BF"/>
    <w:rsid w:val="05A259F9"/>
    <w:rsid w:val="05A72CCC"/>
    <w:rsid w:val="05A73DC5"/>
    <w:rsid w:val="05B336D5"/>
    <w:rsid w:val="05CC2A3B"/>
    <w:rsid w:val="05CD0D9A"/>
    <w:rsid w:val="05CF249D"/>
    <w:rsid w:val="05D14319"/>
    <w:rsid w:val="05D714EA"/>
    <w:rsid w:val="05E536E6"/>
    <w:rsid w:val="05EA1C44"/>
    <w:rsid w:val="05F2445C"/>
    <w:rsid w:val="06077942"/>
    <w:rsid w:val="060A0D89"/>
    <w:rsid w:val="060C359D"/>
    <w:rsid w:val="060F3722"/>
    <w:rsid w:val="062B0B83"/>
    <w:rsid w:val="062C6587"/>
    <w:rsid w:val="062D67C8"/>
    <w:rsid w:val="06301A1B"/>
    <w:rsid w:val="0633380C"/>
    <w:rsid w:val="0638362B"/>
    <w:rsid w:val="063E600A"/>
    <w:rsid w:val="06405659"/>
    <w:rsid w:val="064F5725"/>
    <w:rsid w:val="06510CDF"/>
    <w:rsid w:val="065C27A8"/>
    <w:rsid w:val="065F50DA"/>
    <w:rsid w:val="06602F2C"/>
    <w:rsid w:val="06626021"/>
    <w:rsid w:val="066D2CED"/>
    <w:rsid w:val="066E2C0B"/>
    <w:rsid w:val="06700010"/>
    <w:rsid w:val="06734EB6"/>
    <w:rsid w:val="067C24CF"/>
    <w:rsid w:val="068A1FDD"/>
    <w:rsid w:val="069002BE"/>
    <w:rsid w:val="06906B8C"/>
    <w:rsid w:val="069725BC"/>
    <w:rsid w:val="069A3A7C"/>
    <w:rsid w:val="06A24D7D"/>
    <w:rsid w:val="06A729E1"/>
    <w:rsid w:val="06AB1C7E"/>
    <w:rsid w:val="06AC05E7"/>
    <w:rsid w:val="06AF1D16"/>
    <w:rsid w:val="06AF3414"/>
    <w:rsid w:val="06B15237"/>
    <w:rsid w:val="06B3436D"/>
    <w:rsid w:val="06BA5EB2"/>
    <w:rsid w:val="06D17DB1"/>
    <w:rsid w:val="06E444B8"/>
    <w:rsid w:val="06FA3D0F"/>
    <w:rsid w:val="070615F0"/>
    <w:rsid w:val="07085235"/>
    <w:rsid w:val="07146D7A"/>
    <w:rsid w:val="071A4300"/>
    <w:rsid w:val="0724090E"/>
    <w:rsid w:val="072C5901"/>
    <w:rsid w:val="072D6955"/>
    <w:rsid w:val="07355298"/>
    <w:rsid w:val="073633AE"/>
    <w:rsid w:val="0738618B"/>
    <w:rsid w:val="074E1705"/>
    <w:rsid w:val="074E279C"/>
    <w:rsid w:val="075268B6"/>
    <w:rsid w:val="075C0378"/>
    <w:rsid w:val="075C613A"/>
    <w:rsid w:val="07616A73"/>
    <w:rsid w:val="0768627D"/>
    <w:rsid w:val="07774E9B"/>
    <w:rsid w:val="07886D75"/>
    <w:rsid w:val="079A77BC"/>
    <w:rsid w:val="079D6C92"/>
    <w:rsid w:val="079E20C5"/>
    <w:rsid w:val="07A757F6"/>
    <w:rsid w:val="07A92FCD"/>
    <w:rsid w:val="07AB5A16"/>
    <w:rsid w:val="07C32EAB"/>
    <w:rsid w:val="07CE7516"/>
    <w:rsid w:val="07DA5629"/>
    <w:rsid w:val="07DE3B60"/>
    <w:rsid w:val="07E54B9E"/>
    <w:rsid w:val="08010DA7"/>
    <w:rsid w:val="08033960"/>
    <w:rsid w:val="08036191"/>
    <w:rsid w:val="080F3123"/>
    <w:rsid w:val="08220E8F"/>
    <w:rsid w:val="08242F28"/>
    <w:rsid w:val="08252E6C"/>
    <w:rsid w:val="08275EA4"/>
    <w:rsid w:val="08294CB5"/>
    <w:rsid w:val="083036B5"/>
    <w:rsid w:val="08310F19"/>
    <w:rsid w:val="08331FC1"/>
    <w:rsid w:val="08342652"/>
    <w:rsid w:val="083611A9"/>
    <w:rsid w:val="083901EB"/>
    <w:rsid w:val="08394081"/>
    <w:rsid w:val="083943C5"/>
    <w:rsid w:val="08395DAB"/>
    <w:rsid w:val="08404FD2"/>
    <w:rsid w:val="084A2513"/>
    <w:rsid w:val="08515651"/>
    <w:rsid w:val="08587D37"/>
    <w:rsid w:val="085D6EF2"/>
    <w:rsid w:val="085F59AE"/>
    <w:rsid w:val="086303CB"/>
    <w:rsid w:val="08674312"/>
    <w:rsid w:val="0875786E"/>
    <w:rsid w:val="0881684A"/>
    <w:rsid w:val="08927463"/>
    <w:rsid w:val="08991A5A"/>
    <w:rsid w:val="089C49FA"/>
    <w:rsid w:val="08AF073A"/>
    <w:rsid w:val="08BD5FE1"/>
    <w:rsid w:val="08BE7798"/>
    <w:rsid w:val="08C333B4"/>
    <w:rsid w:val="08C46A4F"/>
    <w:rsid w:val="08C654F8"/>
    <w:rsid w:val="08CA79C7"/>
    <w:rsid w:val="08D54B6A"/>
    <w:rsid w:val="08D73E78"/>
    <w:rsid w:val="08DB6139"/>
    <w:rsid w:val="08DD4FAE"/>
    <w:rsid w:val="08DE001E"/>
    <w:rsid w:val="08DE502C"/>
    <w:rsid w:val="08DE7E03"/>
    <w:rsid w:val="08ED6D3B"/>
    <w:rsid w:val="08FB16E4"/>
    <w:rsid w:val="08FB2C3C"/>
    <w:rsid w:val="08FE2EDE"/>
    <w:rsid w:val="08FE5206"/>
    <w:rsid w:val="09140F8D"/>
    <w:rsid w:val="09155095"/>
    <w:rsid w:val="091D10D0"/>
    <w:rsid w:val="09210482"/>
    <w:rsid w:val="092105FC"/>
    <w:rsid w:val="09222AB2"/>
    <w:rsid w:val="09266115"/>
    <w:rsid w:val="093303B8"/>
    <w:rsid w:val="09446DB4"/>
    <w:rsid w:val="094811BB"/>
    <w:rsid w:val="094C7F56"/>
    <w:rsid w:val="094F18C1"/>
    <w:rsid w:val="0954257E"/>
    <w:rsid w:val="09583F76"/>
    <w:rsid w:val="095929D4"/>
    <w:rsid w:val="095A003F"/>
    <w:rsid w:val="095B02C8"/>
    <w:rsid w:val="09606CDC"/>
    <w:rsid w:val="09631FC1"/>
    <w:rsid w:val="09651D94"/>
    <w:rsid w:val="098A1F77"/>
    <w:rsid w:val="099872CF"/>
    <w:rsid w:val="09991A94"/>
    <w:rsid w:val="09A137B2"/>
    <w:rsid w:val="09A2636C"/>
    <w:rsid w:val="09A44BA0"/>
    <w:rsid w:val="09A46A03"/>
    <w:rsid w:val="09AA495F"/>
    <w:rsid w:val="09AC53C9"/>
    <w:rsid w:val="09B630C3"/>
    <w:rsid w:val="09BD4BE0"/>
    <w:rsid w:val="09C222A5"/>
    <w:rsid w:val="09C27E4D"/>
    <w:rsid w:val="09C57877"/>
    <w:rsid w:val="09C81C8D"/>
    <w:rsid w:val="09CB6B07"/>
    <w:rsid w:val="09CC1439"/>
    <w:rsid w:val="09CD0E22"/>
    <w:rsid w:val="09CD713D"/>
    <w:rsid w:val="09FA2B3C"/>
    <w:rsid w:val="09FA772F"/>
    <w:rsid w:val="09FB6D64"/>
    <w:rsid w:val="0A030CE9"/>
    <w:rsid w:val="0A0D0EE1"/>
    <w:rsid w:val="0A33530F"/>
    <w:rsid w:val="0A346C5C"/>
    <w:rsid w:val="0A461CA1"/>
    <w:rsid w:val="0A4707FD"/>
    <w:rsid w:val="0A486965"/>
    <w:rsid w:val="0A4B2E8D"/>
    <w:rsid w:val="0A5317DF"/>
    <w:rsid w:val="0A534D83"/>
    <w:rsid w:val="0A564C39"/>
    <w:rsid w:val="0A5B0F4C"/>
    <w:rsid w:val="0A61640A"/>
    <w:rsid w:val="0A6536D8"/>
    <w:rsid w:val="0A6A580E"/>
    <w:rsid w:val="0A6B730C"/>
    <w:rsid w:val="0A7611EF"/>
    <w:rsid w:val="0A765DBA"/>
    <w:rsid w:val="0A7A1EF7"/>
    <w:rsid w:val="0A937773"/>
    <w:rsid w:val="0A987047"/>
    <w:rsid w:val="0AA05D85"/>
    <w:rsid w:val="0AAD109D"/>
    <w:rsid w:val="0ABB417A"/>
    <w:rsid w:val="0ABE47A4"/>
    <w:rsid w:val="0ACC2910"/>
    <w:rsid w:val="0ACC3151"/>
    <w:rsid w:val="0AD014F5"/>
    <w:rsid w:val="0AD16821"/>
    <w:rsid w:val="0AD45A3C"/>
    <w:rsid w:val="0AD60B60"/>
    <w:rsid w:val="0ADC78D2"/>
    <w:rsid w:val="0ADF4793"/>
    <w:rsid w:val="0AE11813"/>
    <w:rsid w:val="0AE3323E"/>
    <w:rsid w:val="0AEB11A6"/>
    <w:rsid w:val="0AEC3E44"/>
    <w:rsid w:val="0AEE609E"/>
    <w:rsid w:val="0AEF478A"/>
    <w:rsid w:val="0AF51E84"/>
    <w:rsid w:val="0B041299"/>
    <w:rsid w:val="0B062542"/>
    <w:rsid w:val="0B0B2FEB"/>
    <w:rsid w:val="0B0E47F4"/>
    <w:rsid w:val="0B1C17AD"/>
    <w:rsid w:val="0B283787"/>
    <w:rsid w:val="0B2D6F6E"/>
    <w:rsid w:val="0B324CD2"/>
    <w:rsid w:val="0B345DB1"/>
    <w:rsid w:val="0B363DD8"/>
    <w:rsid w:val="0B3A4657"/>
    <w:rsid w:val="0B3C5BB9"/>
    <w:rsid w:val="0B4372E2"/>
    <w:rsid w:val="0B5A2079"/>
    <w:rsid w:val="0B5B5996"/>
    <w:rsid w:val="0B5C3E34"/>
    <w:rsid w:val="0B6075D7"/>
    <w:rsid w:val="0B627AD4"/>
    <w:rsid w:val="0B6A0BB3"/>
    <w:rsid w:val="0B735FF2"/>
    <w:rsid w:val="0B792EB2"/>
    <w:rsid w:val="0B8035EB"/>
    <w:rsid w:val="0B84164E"/>
    <w:rsid w:val="0B89731E"/>
    <w:rsid w:val="0B904412"/>
    <w:rsid w:val="0B90485D"/>
    <w:rsid w:val="0B913EDA"/>
    <w:rsid w:val="0B9C76A8"/>
    <w:rsid w:val="0BA50775"/>
    <w:rsid w:val="0BA749E5"/>
    <w:rsid w:val="0BAC24A8"/>
    <w:rsid w:val="0BAE1323"/>
    <w:rsid w:val="0BB42E0A"/>
    <w:rsid w:val="0BBA3391"/>
    <w:rsid w:val="0BDC3258"/>
    <w:rsid w:val="0BDE12A0"/>
    <w:rsid w:val="0BDE3581"/>
    <w:rsid w:val="0BE52963"/>
    <w:rsid w:val="0BE85349"/>
    <w:rsid w:val="0BF57A28"/>
    <w:rsid w:val="0BF845E9"/>
    <w:rsid w:val="0BFA1A53"/>
    <w:rsid w:val="0C074F06"/>
    <w:rsid w:val="0C0B1E5B"/>
    <w:rsid w:val="0C146F99"/>
    <w:rsid w:val="0C1A584B"/>
    <w:rsid w:val="0C2275D5"/>
    <w:rsid w:val="0C2D70F9"/>
    <w:rsid w:val="0C342312"/>
    <w:rsid w:val="0C456335"/>
    <w:rsid w:val="0C53740C"/>
    <w:rsid w:val="0C563E70"/>
    <w:rsid w:val="0C631545"/>
    <w:rsid w:val="0C641DDB"/>
    <w:rsid w:val="0C6E187C"/>
    <w:rsid w:val="0C7D4D8F"/>
    <w:rsid w:val="0C80052F"/>
    <w:rsid w:val="0C8C06D3"/>
    <w:rsid w:val="0C900DC2"/>
    <w:rsid w:val="0C980884"/>
    <w:rsid w:val="0C9961AF"/>
    <w:rsid w:val="0C9A50FF"/>
    <w:rsid w:val="0C9B3EE0"/>
    <w:rsid w:val="0C9C2E80"/>
    <w:rsid w:val="0CA20B1F"/>
    <w:rsid w:val="0CA44E41"/>
    <w:rsid w:val="0CA77405"/>
    <w:rsid w:val="0CA83489"/>
    <w:rsid w:val="0CA96FA5"/>
    <w:rsid w:val="0CAE5B1B"/>
    <w:rsid w:val="0CB224D8"/>
    <w:rsid w:val="0CB31FF7"/>
    <w:rsid w:val="0CB45BFD"/>
    <w:rsid w:val="0CB75099"/>
    <w:rsid w:val="0CB80D6E"/>
    <w:rsid w:val="0CBF360E"/>
    <w:rsid w:val="0CC10497"/>
    <w:rsid w:val="0CC30BC5"/>
    <w:rsid w:val="0CC42150"/>
    <w:rsid w:val="0CC45545"/>
    <w:rsid w:val="0CC71781"/>
    <w:rsid w:val="0CCB0FDF"/>
    <w:rsid w:val="0CCF7454"/>
    <w:rsid w:val="0CDC1817"/>
    <w:rsid w:val="0CDC515C"/>
    <w:rsid w:val="0D0B2A13"/>
    <w:rsid w:val="0D112021"/>
    <w:rsid w:val="0D12133D"/>
    <w:rsid w:val="0D1F7151"/>
    <w:rsid w:val="0D200D54"/>
    <w:rsid w:val="0D2B7DB2"/>
    <w:rsid w:val="0D3152D9"/>
    <w:rsid w:val="0D384916"/>
    <w:rsid w:val="0D427E08"/>
    <w:rsid w:val="0D444358"/>
    <w:rsid w:val="0D4A1977"/>
    <w:rsid w:val="0D4B602E"/>
    <w:rsid w:val="0D511FCD"/>
    <w:rsid w:val="0D52698E"/>
    <w:rsid w:val="0D583C5F"/>
    <w:rsid w:val="0D5D658F"/>
    <w:rsid w:val="0D6029A5"/>
    <w:rsid w:val="0D6063D4"/>
    <w:rsid w:val="0D665CD7"/>
    <w:rsid w:val="0D667E20"/>
    <w:rsid w:val="0D6B6C90"/>
    <w:rsid w:val="0D7170F8"/>
    <w:rsid w:val="0D922931"/>
    <w:rsid w:val="0D95263C"/>
    <w:rsid w:val="0DA81B9F"/>
    <w:rsid w:val="0DAD79F2"/>
    <w:rsid w:val="0DB47CEC"/>
    <w:rsid w:val="0DBB3CA5"/>
    <w:rsid w:val="0DBB4EDD"/>
    <w:rsid w:val="0DC37BF2"/>
    <w:rsid w:val="0DC436B0"/>
    <w:rsid w:val="0DC9693F"/>
    <w:rsid w:val="0DCC1715"/>
    <w:rsid w:val="0DD82C48"/>
    <w:rsid w:val="0DDB6385"/>
    <w:rsid w:val="0DF024FC"/>
    <w:rsid w:val="0DF0632D"/>
    <w:rsid w:val="0DF475E0"/>
    <w:rsid w:val="0E0E09E4"/>
    <w:rsid w:val="0E0E0AE3"/>
    <w:rsid w:val="0E184477"/>
    <w:rsid w:val="0E1A4501"/>
    <w:rsid w:val="0E1A78B5"/>
    <w:rsid w:val="0E21196E"/>
    <w:rsid w:val="0E227E98"/>
    <w:rsid w:val="0E27140B"/>
    <w:rsid w:val="0E2D4D70"/>
    <w:rsid w:val="0E3B2663"/>
    <w:rsid w:val="0E443DBA"/>
    <w:rsid w:val="0E465F52"/>
    <w:rsid w:val="0E576A70"/>
    <w:rsid w:val="0E587DB8"/>
    <w:rsid w:val="0E6B437E"/>
    <w:rsid w:val="0E6B6A22"/>
    <w:rsid w:val="0E6F53AB"/>
    <w:rsid w:val="0E701F1A"/>
    <w:rsid w:val="0E793535"/>
    <w:rsid w:val="0E795DEE"/>
    <w:rsid w:val="0E7B3260"/>
    <w:rsid w:val="0E804638"/>
    <w:rsid w:val="0E854758"/>
    <w:rsid w:val="0EA50BFC"/>
    <w:rsid w:val="0EAB0282"/>
    <w:rsid w:val="0EC370FE"/>
    <w:rsid w:val="0EC4408A"/>
    <w:rsid w:val="0ECD6BD5"/>
    <w:rsid w:val="0EDA3DE0"/>
    <w:rsid w:val="0EE241B0"/>
    <w:rsid w:val="0EE470B9"/>
    <w:rsid w:val="0EE51F3F"/>
    <w:rsid w:val="0EE67C37"/>
    <w:rsid w:val="0EE96C61"/>
    <w:rsid w:val="0EEF6278"/>
    <w:rsid w:val="0F070719"/>
    <w:rsid w:val="0F0E340F"/>
    <w:rsid w:val="0F110F65"/>
    <w:rsid w:val="0F126FC2"/>
    <w:rsid w:val="0F1821BC"/>
    <w:rsid w:val="0F1F71AB"/>
    <w:rsid w:val="0F206FE9"/>
    <w:rsid w:val="0F246E43"/>
    <w:rsid w:val="0F2F2F21"/>
    <w:rsid w:val="0F303168"/>
    <w:rsid w:val="0F3346BD"/>
    <w:rsid w:val="0F356B4F"/>
    <w:rsid w:val="0F3E6D6B"/>
    <w:rsid w:val="0F4107FE"/>
    <w:rsid w:val="0F4E515E"/>
    <w:rsid w:val="0F521390"/>
    <w:rsid w:val="0F551890"/>
    <w:rsid w:val="0F59119B"/>
    <w:rsid w:val="0F5A4BDF"/>
    <w:rsid w:val="0F5B58BB"/>
    <w:rsid w:val="0F6735DF"/>
    <w:rsid w:val="0F6A4B85"/>
    <w:rsid w:val="0F716691"/>
    <w:rsid w:val="0F735DB2"/>
    <w:rsid w:val="0F7840D6"/>
    <w:rsid w:val="0F7B2D75"/>
    <w:rsid w:val="0F873A0E"/>
    <w:rsid w:val="0F883C70"/>
    <w:rsid w:val="0F8B6CB6"/>
    <w:rsid w:val="0F9177B5"/>
    <w:rsid w:val="0F9A3FA1"/>
    <w:rsid w:val="0F9E606C"/>
    <w:rsid w:val="0FA17F55"/>
    <w:rsid w:val="0FA35FFE"/>
    <w:rsid w:val="0FA821B8"/>
    <w:rsid w:val="0FAE546F"/>
    <w:rsid w:val="0FB50512"/>
    <w:rsid w:val="0FB50CF0"/>
    <w:rsid w:val="0FB57FA4"/>
    <w:rsid w:val="0FB8781F"/>
    <w:rsid w:val="0FC24482"/>
    <w:rsid w:val="0FC754B6"/>
    <w:rsid w:val="0FCD46F4"/>
    <w:rsid w:val="0FCE3065"/>
    <w:rsid w:val="0FE107E2"/>
    <w:rsid w:val="0FE336DE"/>
    <w:rsid w:val="0FED1D3E"/>
    <w:rsid w:val="10026084"/>
    <w:rsid w:val="10065756"/>
    <w:rsid w:val="100A69A4"/>
    <w:rsid w:val="100E17EE"/>
    <w:rsid w:val="10140347"/>
    <w:rsid w:val="101B54B3"/>
    <w:rsid w:val="101C6175"/>
    <w:rsid w:val="102E7ECD"/>
    <w:rsid w:val="104210EE"/>
    <w:rsid w:val="10444B77"/>
    <w:rsid w:val="10447AF9"/>
    <w:rsid w:val="104835D9"/>
    <w:rsid w:val="10495D6E"/>
    <w:rsid w:val="104C1069"/>
    <w:rsid w:val="10513C3F"/>
    <w:rsid w:val="10541F36"/>
    <w:rsid w:val="105D2D1E"/>
    <w:rsid w:val="10623D8F"/>
    <w:rsid w:val="10625663"/>
    <w:rsid w:val="106737C7"/>
    <w:rsid w:val="10703686"/>
    <w:rsid w:val="1075160B"/>
    <w:rsid w:val="107760A9"/>
    <w:rsid w:val="10780D89"/>
    <w:rsid w:val="107B52AA"/>
    <w:rsid w:val="107D625B"/>
    <w:rsid w:val="107E75D8"/>
    <w:rsid w:val="10805AB8"/>
    <w:rsid w:val="108161A3"/>
    <w:rsid w:val="1089301A"/>
    <w:rsid w:val="108B29C7"/>
    <w:rsid w:val="10901F21"/>
    <w:rsid w:val="10974AA9"/>
    <w:rsid w:val="10A21388"/>
    <w:rsid w:val="10A60889"/>
    <w:rsid w:val="10AA391A"/>
    <w:rsid w:val="10B27075"/>
    <w:rsid w:val="10B27B37"/>
    <w:rsid w:val="10B33FFC"/>
    <w:rsid w:val="10BA25C0"/>
    <w:rsid w:val="10C02E80"/>
    <w:rsid w:val="10C121EA"/>
    <w:rsid w:val="10C2285B"/>
    <w:rsid w:val="10C54276"/>
    <w:rsid w:val="10CC1572"/>
    <w:rsid w:val="10D27169"/>
    <w:rsid w:val="10D309E2"/>
    <w:rsid w:val="10D621B1"/>
    <w:rsid w:val="10D81E5C"/>
    <w:rsid w:val="10DA39AB"/>
    <w:rsid w:val="10DE746C"/>
    <w:rsid w:val="10EB7A42"/>
    <w:rsid w:val="10F16967"/>
    <w:rsid w:val="10F21B48"/>
    <w:rsid w:val="10F61CDD"/>
    <w:rsid w:val="10F91FDE"/>
    <w:rsid w:val="10F941E9"/>
    <w:rsid w:val="10FD39C4"/>
    <w:rsid w:val="11083015"/>
    <w:rsid w:val="110A357B"/>
    <w:rsid w:val="110D2E2E"/>
    <w:rsid w:val="1113498F"/>
    <w:rsid w:val="11145DE6"/>
    <w:rsid w:val="111A2147"/>
    <w:rsid w:val="112252CB"/>
    <w:rsid w:val="11360EF9"/>
    <w:rsid w:val="113641BB"/>
    <w:rsid w:val="113B0B58"/>
    <w:rsid w:val="113D4F12"/>
    <w:rsid w:val="113D775B"/>
    <w:rsid w:val="11410876"/>
    <w:rsid w:val="114608E7"/>
    <w:rsid w:val="114F3D65"/>
    <w:rsid w:val="115347BC"/>
    <w:rsid w:val="11545887"/>
    <w:rsid w:val="11597C64"/>
    <w:rsid w:val="11602A9E"/>
    <w:rsid w:val="116228E3"/>
    <w:rsid w:val="11631325"/>
    <w:rsid w:val="116345A4"/>
    <w:rsid w:val="11667833"/>
    <w:rsid w:val="11687433"/>
    <w:rsid w:val="1178450A"/>
    <w:rsid w:val="117B53DF"/>
    <w:rsid w:val="117B71D3"/>
    <w:rsid w:val="11845F00"/>
    <w:rsid w:val="11885DD3"/>
    <w:rsid w:val="118A58E4"/>
    <w:rsid w:val="118C56EA"/>
    <w:rsid w:val="118F0DB3"/>
    <w:rsid w:val="11916F88"/>
    <w:rsid w:val="11A51BB6"/>
    <w:rsid w:val="11AC6860"/>
    <w:rsid w:val="11B62D0B"/>
    <w:rsid w:val="11BE6E3E"/>
    <w:rsid w:val="11C52A21"/>
    <w:rsid w:val="11C75474"/>
    <w:rsid w:val="11D26FDB"/>
    <w:rsid w:val="11D435B9"/>
    <w:rsid w:val="11D8409F"/>
    <w:rsid w:val="11D95083"/>
    <w:rsid w:val="11DD2AAB"/>
    <w:rsid w:val="11DE26F2"/>
    <w:rsid w:val="11DF6987"/>
    <w:rsid w:val="11EA23C8"/>
    <w:rsid w:val="11EB5C95"/>
    <w:rsid w:val="11ED6242"/>
    <w:rsid w:val="11F27C95"/>
    <w:rsid w:val="12010E7D"/>
    <w:rsid w:val="120506CD"/>
    <w:rsid w:val="12075A2C"/>
    <w:rsid w:val="120A0C4D"/>
    <w:rsid w:val="120A38DA"/>
    <w:rsid w:val="12101A57"/>
    <w:rsid w:val="12193170"/>
    <w:rsid w:val="12193813"/>
    <w:rsid w:val="121D6AE3"/>
    <w:rsid w:val="121F75CC"/>
    <w:rsid w:val="12271CB0"/>
    <w:rsid w:val="122C1A12"/>
    <w:rsid w:val="1232130B"/>
    <w:rsid w:val="12395D63"/>
    <w:rsid w:val="12401AD9"/>
    <w:rsid w:val="12421E9D"/>
    <w:rsid w:val="1248421F"/>
    <w:rsid w:val="12571C4D"/>
    <w:rsid w:val="125C09FF"/>
    <w:rsid w:val="12657F0C"/>
    <w:rsid w:val="126830F6"/>
    <w:rsid w:val="126B5207"/>
    <w:rsid w:val="126F57E1"/>
    <w:rsid w:val="12760E78"/>
    <w:rsid w:val="127673DB"/>
    <w:rsid w:val="127E0189"/>
    <w:rsid w:val="12810A1D"/>
    <w:rsid w:val="12854B81"/>
    <w:rsid w:val="12927837"/>
    <w:rsid w:val="12A30BAA"/>
    <w:rsid w:val="12A709D5"/>
    <w:rsid w:val="12A867C5"/>
    <w:rsid w:val="12B56515"/>
    <w:rsid w:val="12BE11B2"/>
    <w:rsid w:val="12BE1828"/>
    <w:rsid w:val="12C10F70"/>
    <w:rsid w:val="12C21464"/>
    <w:rsid w:val="12C2399A"/>
    <w:rsid w:val="12C40A29"/>
    <w:rsid w:val="12C42DA1"/>
    <w:rsid w:val="12C45CF0"/>
    <w:rsid w:val="12C756E5"/>
    <w:rsid w:val="12C948D2"/>
    <w:rsid w:val="12CB14EE"/>
    <w:rsid w:val="12CE6902"/>
    <w:rsid w:val="12D54B1A"/>
    <w:rsid w:val="12EE0F39"/>
    <w:rsid w:val="12EF155A"/>
    <w:rsid w:val="12F17350"/>
    <w:rsid w:val="12F712FB"/>
    <w:rsid w:val="12FA0E2E"/>
    <w:rsid w:val="12FC6FFF"/>
    <w:rsid w:val="12FF7A62"/>
    <w:rsid w:val="13037A88"/>
    <w:rsid w:val="133844CA"/>
    <w:rsid w:val="1347596A"/>
    <w:rsid w:val="13477178"/>
    <w:rsid w:val="134B5A55"/>
    <w:rsid w:val="134C0AA1"/>
    <w:rsid w:val="134F5D9B"/>
    <w:rsid w:val="136041BC"/>
    <w:rsid w:val="136F4FE6"/>
    <w:rsid w:val="13713F6F"/>
    <w:rsid w:val="13762A14"/>
    <w:rsid w:val="13790756"/>
    <w:rsid w:val="137B6EE7"/>
    <w:rsid w:val="137E2E27"/>
    <w:rsid w:val="138C25C7"/>
    <w:rsid w:val="138E741D"/>
    <w:rsid w:val="138F279E"/>
    <w:rsid w:val="1390357D"/>
    <w:rsid w:val="139670E5"/>
    <w:rsid w:val="13970D93"/>
    <w:rsid w:val="139F1C24"/>
    <w:rsid w:val="13A023E7"/>
    <w:rsid w:val="13A04270"/>
    <w:rsid w:val="13A86C77"/>
    <w:rsid w:val="13A90344"/>
    <w:rsid w:val="13A9454D"/>
    <w:rsid w:val="13B35BBD"/>
    <w:rsid w:val="13BF3D28"/>
    <w:rsid w:val="13C32466"/>
    <w:rsid w:val="13C77F07"/>
    <w:rsid w:val="13CE4E2F"/>
    <w:rsid w:val="13CF48B4"/>
    <w:rsid w:val="13E45E4B"/>
    <w:rsid w:val="13F211C8"/>
    <w:rsid w:val="13F57229"/>
    <w:rsid w:val="13F60043"/>
    <w:rsid w:val="13F63AC9"/>
    <w:rsid w:val="13FF4761"/>
    <w:rsid w:val="1401651E"/>
    <w:rsid w:val="14065625"/>
    <w:rsid w:val="14127CF3"/>
    <w:rsid w:val="1416357F"/>
    <w:rsid w:val="14175C6D"/>
    <w:rsid w:val="14182B9E"/>
    <w:rsid w:val="141A193D"/>
    <w:rsid w:val="14211963"/>
    <w:rsid w:val="142160CA"/>
    <w:rsid w:val="142E4E6B"/>
    <w:rsid w:val="14332094"/>
    <w:rsid w:val="143B554F"/>
    <w:rsid w:val="144128ED"/>
    <w:rsid w:val="144D721A"/>
    <w:rsid w:val="14504C78"/>
    <w:rsid w:val="14552700"/>
    <w:rsid w:val="1455301F"/>
    <w:rsid w:val="145E0ED6"/>
    <w:rsid w:val="145F4E9E"/>
    <w:rsid w:val="1468041E"/>
    <w:rsid w:val="146A5814"/>
    <w:rsid w:val="146D4E79"/>
    <w:rsid w:val="1479121F"/>
    <w:rsid w:val="147C1504"/>
    <w:rsid w:val="148112AD"/>
    <w:rsid w:val="14933736"/>
    <w:rsid w:val="149D19D1"/>
    <w:rsid w:val="14AA1497"/>
    <w:rsid w:val="14AD2447"/>
    <w:rsid w:val="14BD0C90"/>
    <w:rsid w:val="14BD7435"/>
    <w:rsid w:val="14D41B03"/>
    <w:rsid w:val="14E11E90"/>
    <w:rsid w:val="14EC7262"/>
    <w:rsid w:val="14F50637"/>
    <w:rsid w:val="14F56962"/>
    <w:rsid w:val="14FD3DC3"/>
    <w:rsid w:val="15052F44"/>
    <w:rsid w:val="152446F6"/>
    <w:rsid w:val="15274A34"/>
    <w:rsid w:val="152C74BF"/>
    <w:rsid w:val="152E54C4"/>
    <w:rsid w:val="1535555F"/>
    <w:rsid w:val="15382813"/>
    <w:rsid w:val="1545488F"/>
    <w:rsid w:val="154B27A9"/>
    <w:rsid w:val="154B6CF6"/>
    <w:rsid w:val="15516306"/>
    <w:rsid w:val="155B06BC"/>
    <w:rsid w:val="155B6FCC"/>
    <w:rsid w:val="15620F8B"/>
    <w:rsid w:val="156514F3"/>
    <w:rsid w:val="15707694"/>
    <w:rsid w:val="157477F0"/>
    <w:rsid w:val="157839EE"/>
    <w:rsid w:val="157F4B83"/>
    <w:rsid w:val="1583637A"/>
    <w:rsid w:val="15864057"/>
    <w:rsid w:val="158A2F64"/>
    <w:rsid w:val="158C53F6"/>
    <w:rsid w:val="15946EC2"/>
    <w:rsid w:val="1594709F"/>
    <w:rsid w:val="159B1410"/>
    <w:rsid w:val="159D2E6C"/>
    <w:rsid w:val="15A625C0"/>
    <w:rsid w:val="15A70541"/>
    <w:rsid w:val="15A7643A"/>
    <w:rsid w:val="15AD4348"/>
    <w:rsid w:val="15AD7612"/>
    <w:rsid w:val="15B96153"/>
    <w:rsid w:val="15BC619F"/>
    <w:rsid w:val="15BF618A"/>
    <w:rsid w:val="15C40EFF"/>
    <w:rsid w:val="15CA097E"/>
    <w:rsid w:val="15D33940"/>
    <w:rsid w:val="15D92955"/>
    <w:rsid w:val="15F5535B"/>
    <w:rsid w:val="15F569FA"/>
    <w:rsid w:val="15F656C7"/>
    <w:rsid w:val="15F85F00"/>
    <w:rsid w:val="15F969EC"/>
    <w:rsid w:val="16005D04"/>
    <w:rsid w:val="1607152F"/>
    <w:rsid w:val="160D7883"/>
    <w:rsid w:val="160E7A4D"/>
    <w:rsid w:val="16104DB0"/>
    <w:rsid w:val="1613433D"/>
    <w:rsid w:val="16200AF2"/>
    <w:rsid w:val="162E270B"/>
    <w:rsid w:val="162E2ADD"/>
    <w:rsid w:val="16313AA6"/>
    <w:rsid w:val="163267A4"/>
    <w:rsid w:val="163C0B35"/>
    <w:rsid w:val="16405266"/>
    <w:rsid w:val="164561DB"/>
    <w:rsid w:val="1651617C"/>
    <w:rsid w:val="165A2EC2"/>
    <w:rsid w:val="16672683"/>
    <w:rsid w:val="166852CC"/>
    <w:rsid w:val="16696EE3"/>
    <w:rsid w:val="16713663"/>
    <w:rsid w:val="167518D2"/>
    <w:rsid w:val="168864E9"/>
    <w:rsid w:val="16900241"/>
    <w:rsid w:val="16907088"/>
    <w:rsid w:val="1697702E"/>
    <w:rsid w:val="169A4327"/>
    <w:rsid w:val="169D4FCC"/>
    <w:rsid w:val="16A22345"/>
    <w:rsid w:val="16A26D59"/>
    <w:rsid w:val="16A31912"/>
    <w:rsid w:val="16A52825"/>
    <w:rsid w:val="16A56817"/>
    <w:rsid w:val="16A60389"/>
    <w:rsid w:val="16AC66DD"/>
    <w:rsid w:val="16AD326E"/>
    <w:rsid w:val="16B06BAD"/>
    <w:rsid w:val="16B17712"/>
    <w:rsid w:val="16B95CF7"/>
    <w:rsid w:val="16BC6189"/>
    <w:rsid w:val="16BF43B0"/>
    <w:rsid w:val="16C42B77"/>
    <w:rsid w:val="16D55B33"/>
    <w:rsid w:val="16D74218"/>
    <w:rsid w:val="16DD2E8B"/>
    <w:rsid w:val="16E376E7"/>
    <w:rsid w:val="16E40C30"/>
    <w:rsid w:val="16E72981"/>
    <w:rsid w:val="16EB66D9"/>
    <w:rsid w:val="16EE35CD"/>
    <w:rsid w:val="16F47BF5"/>
    <w:rsid w:val="16F500A9"/>
    <w:rsid w:val="16F872C3"/>
    <w:rsid w:val="16FA06E3"/>
    <w:rsid w:val="170167F2"/>
    <w:rsid w:val="17035AAC"/>
    <w:rsid w:val="17054499"/>
    <w:rsid w:val="170B0BD9"/>
    <w:rsid w:val="170D5EDA"/>
    <w:rsid w:val="17182913"/>
    <w:rsid w:val="17197EC3"/>
    <w:rsid w:val="171E2D1A"/>
    <w:rsid w:val="172E1BBE"/>
    <w:rsid w:val="17377B8C"/>
    <w:rsid w:val="173A6824"/>
    <w:rsid w:val="173B1FA1"/>
    <w:rsid w:val="173C594E"/>
    <w:rsid w:val="173D1596"/>
    <w:rsid w:val="17503F57"/>
    <w:rsid w:val="17505DD6"/>
    <w:rsid w:val="17586CB0"/>
    <w:rsid w:val="17596CA9"/>
    <w:rsid w:val="17600681"/>
    <w:rsid w:val="17665D9F"/>
    <w:rsid w:val="17696EA4"/>
    <w:rsid w:val="17795030"/>
    <w:rsid w:val="177B0627"/>
    <w:rsid w:val="177D3C16"/>
    <w:rsid w:val="178501CB"/>
    <w:rsid w:val="178A042D"/>
    <w:rsid w:val="178A1F82"/>
    <w:rsid w:val="17916104"/>
    <w:rsid w:val="17920EA7"/>
    <w:rsid w:val="1797450B"/>
    <w:rsid w:val="17985148"/>
    <w:rsid w:val="17A644BF"/>
    <w:rsid w:val="17A92F07"/>
    <w:rsid w:val="17B23E0F"/>
    <w:rsid w:val="17B31B32"/>
    <w:rsid w:val="17B80549"/>
    <w:rsid w:val="17C063A0"/>
    <w:rsid w:val="17C16366"/>
    <w:rsid w:val="17C76A67"/>
    <w:rsid w:val="17CA22FD"/>
    <w:rsid w:val="17DA0F7A"/>
    <w:rsid w:val="17DC2D7F"/>
    <w:rsid w:val="17E95276"/>
    <w:rsid w:val="17EA38A1"/>
    <w:rsid w:val="17EB77A3"/>
    <w:rsid w:val="17EC5E41"/>
    <w:rsid w:val="17F8667B"/>
    <w:rsid w:val="1806537C"/>
    <w:rsid w:val="18066C18"/>
    <w:rsid w:val="1809630E"/>
    <w:rsid w:val="181C2683"/>
    <w:rsid w:val="181E4167"/>
    <w:rsid w:val="18341D76"/>
    <w:rsid w:val="18351C27"/>
    <w:rsid w:val="18553A22"/>
    <w:rsid w:val="18607956"/>
    <w:rsid w:val="1866144B"/>
    <w:rsid w:val="186E420E"/>
    <w:rsid w:val="187A14AA"/>
    <w:rsid w:val="187B7B4F"/>
    <w:rsid w:val="1887188F"/>
    <w:rsid w:val="18935E66"/>
    <w:rsid w:val="18A35548"/>
    <w:rsid w:val="18A63203"/>
    <w:rsid w:val="18A77689"/>
    <w:rsid w:val="18A816B2"/>
    <w:rsid w:val="18B25B64"/>
    <w:rsid w:val="18B8431F"/>
    <w:rsid w:val="18B90C48"/>
    <w:rsid w:val="18BC4ADF"/>
    <w:rsid w:val="18BD1521"/>
    <w:rsid w:val="18BD2E66"/>
    <w:rsid w:val="18BE7EAB"/>
    <w:rsid w:val="18CF2450"/>
    <w:rsid w:val="18D7372F"/>
    <w:rsid w:val="18DA12E6"/>
    <w:rsid w:val="18DD12E4"/>
    <w:rsid w:val="18E261B8"/>
    <w:rsid w:val="18E62F4B"/>
    <w:rsid w:val="18E85386"/>
    <w:rsid w:val="18FC503B"/>
    <w:rsid w:val="19027C40"/>
    <w:rsid w:val="19087B90"/>
    <w:rsid w:val="190E3326"/>
    <w:rsid w:val="190E3538"/>
    <w:rsid w:val="19164D1E"/>
    <w:rsid w:val="191C588D"/>
    <w:rsid w:val="1927395B"/>
    <w:rsid w:val="192D514C"/>
    <w:rsid w:val="193544CD"/>
    <w:rsid w:val="19443AA2"/>
    <w:rsid w:val="1945355B"/>
    <w:rsid w:val="194817FC"/>
    <w:rsid w:val="194A0D45"/>
    <w:rsid w:val="194A2ADB"/>
    <w:rsid w:val="195159CB"/>
    <w:rsid w:val="195961D5"/>
    <w:rsid w:val="195C14E8"/>
    <w:rsid w:val="196515C3"/>
    <w:rsid w:val="197859DA"/>
    <w:rsid w:val="1980769C"/>
    <w:rsid w:val="19884F66"/>
    <w:rsid w:val="19917CFC"/>
    <w:rsid w:val="1997576B"/>
    <w:rsid w:val="1998697F"/>
    <w:rsid w:val="199A20B4"/>
    <w:rsid w:val="19A71B82"/>
    <w:rsid w:val="19B84C88"/>
    <w:rsid w:val="19B90185"/>
    <w:rsid w:val="19C6694E"/>
    <w:rsid w:val="19CC0DE5"/>
    <w:rsid w:val="19D11E61"/>
    <w:rsid w:val="19D5618C"/>
    <w:rsid w:val="19E22401"/>
    <w:rsid w:val="19E23808"/>
    <w:rsid w:val="19F44B16"/>
    <w:rsid w:val="1A00532F"/>
    <w:rsid w:val="1A040FBD"/>
    <w:rsid w:val="1A0422C7"/>
    <w:rsid w:val="1A067DCA"/>
    <w:rsid w:val="1A102A1C"/>
    <w:rsid w:val="1A13214F"/>
    <w:rsid w:val="1A434C13"/>
    <w:rsid w:val="1A4E18BB"/>
    <w:rsid w:val="1A5C550E"/>
    <w:rsid w:val="1A5E5759"/>
    <w:rsid w:val="1A61514E"/>
    <w:rsid w:val="1A624E9D"/>
    <w:rsid w:val="1A6F769D"/>
    <w:rsid w:val="1A712AE5"/>
    <w:rsid w:val="1A74386E"/>
    <w:rsid w:val="1A783427"/>
    <w:rsid w:val="1A7B0419"/>
    <w:rsid w:val="1A8A143B"/>
    <w:rsid w:val="1A954C9C"/>
    <w:rsid w:val="1AA67BD3"/>
    <w:rsid w:val="1AC70097"/>
    <w:rsid w:val="1ACC39D6"/>
    <w:rsid w:val="1ADE0868"/>
    <w:rsid w:val="1AF7489C"/>
    <w:rsid w:val="1AF86B17"/>
    <w:rsid w:val="1AFA3523"/>
    <w:rsid w:val="1AFD3AEA"/>
    <w:rsid w:val="1B05238D"/>
    <w:rsid w:val="1B13587B"/>
    <w:rsid w:val="1B1D44BA"/>
    <w:rsid w:val="1B2C07D2"/>
    <w:rsid w:val="1B2C5EE0"/>
    <w:rsid w:val="1B33077D"/>
    <w:rsid w:val="1B3604D3"/>
    <w:rsid w:val="1B364D11"/>
    <w:rsid w:val="1B3865C6"/>
    <w:rsid w:val="1B3E5EDE"/>
    <w:rsid w:val="1B433153"/>
    <w:rsid w:val="1B467529"/>
    <w:rsid w:val="1B4B00CA"/>
    <w:rsid w:val="1B566C78"/>
    <w:rsid w:val="1B5F1247"/>
    <w:rsid w:val="1B6307EA"/>
    <w:rsid w:val="1B717940"/>
    <w:rsid w:val="1B79696C"/>
    <w:rsid w:val="1B7E1824"/>
    <w:rsid w:val="1B825166"/>
    <w:rsid w:val="1B890C23"/>
    <w:rsid w:val="1B9411FC"/>
    <w:rsid w:val="1B9D6CE8"/>
    <w:rsid w:val="1BA63F57"/>
    <w:rsid w:val="1BA866D1"/>
    <w:rsid w:val="1BBB422B"/>
    <w:rsid w:val="1BC600B5"/>
    <w:rsid w:val="1BCD55F8"/>
    <w:rsid w:val="1BE011AE"/>
    <w:rsid w:val="1BE02AAF"/>
    <w:rsid w:val="1BE30F90"/>
    <w:rsid w:val="1BE31093"/>
    <w:rsid w:val="1BE956C8"/>
    <w:rsid w:val="1C022294"/>
    <w:rsid w:val="1C0B35D4"/>
    <w:rsid w:val="1C12573D"/>
    <w:rsid w:val="1C1D1EE2"/>
    <w:rsid w:val="1C234861"/>
    <w:rsid w:val="1C2E319B"/>
    <w:rsid w:val="1C3477C5"/>
    <w:rsid w:val="1C4F6563"/>
    <w:rsid w:val="1C545F3D"/>
    <w:rsid w:val="1C556488"/>
    <w:rsid w:val="1C563FE3"/>
    <w:rsid w:val="1C5A182A"/>
    <w:rsid w:val="1C62402E"/>
    <w:rsid w:val="1C62587C"/>
    <w:rsid w:val="1C6818E0"/>
    <w:rsid w:val="1C6F3BF6"/>
    <w:rsid w:val="1C722E7E"/>
    <w:rsid w:val="1C784A9F"/>
    <w:rsid w:val="1C7D008B"/>
    <w:rsid w:val="1C7D2EB6"/>
    <w:rsid w:val="1C805B43"/>
    <w:rsid w:val="1C852BB0"/>
    <w:rsid w:val="1C8D54A8"/>
    <w:rsid w:val="1C8D59DD"/>
    <w:rsid w:val="1C8E63A1"/>
    <w:rsid w:val="1C9651FD"/>
    <w:rsid w:val="1C9C41C6"/>
    <w:rsid w:val="1CA42FB6"/>
    <w:rsid w:val="1CAF4AE5"/>
    <w:rsid w:val="1CB21A29"/>
    <w:rsid w:val="1CCB32EE"/>
    <w:rsid w:val="1CD23361"/>
    <w:rsid w:val="1CD35882"/>
    <w:rsid w:val="1CE302F7"/>
    <w:rsid w:val="1CEC4F96"/>
    <w:rsid w:val="1CF13B49"/>
    <w:rsid w:val="1CF52075"/>
    <w:rsid w:val="1CF70EE3"/>
    <w:rsid w:val="1CFE7E6D"/>
    <w:rsid w:val="1D011F4C"/>
    <w:rsid w:val="1D0D1F95"/>
    <w:rsid w:val="1D1C7AC2"/>
    <w:rsid w:val="1D1D6A85"/>
    <w:rsid w:val="1D207BFC"/>
    <w:rsid w:val="1D230741"/>
    <w:rsid w:val="1D2F0DCA"/>
    <w:rsid w:val="1D397D96"/>
    <w:rsid w:val="1D3A5DFA"/>
    <w:rsid w:val="1D3E30CF"/>
    <w:rsid w:val="1D3E57BA"/>
    <w:rsid w:val="1D3F5BF4"/>
    <w:rsid w:val="1D49558F"/>
    <w:rsid w:val="1D4B4B5A"/>
    <w:rsid w:val="1D584348"/>
    <w:rsid w:val="1D597DDF"/>
    <w:rsid w:val="1D5D209F"/>
    <w:rsid w:val="1D616DDA"/>
    <w:rsid w:val="1D6D4785"/>
    <w:rsid w:val="1D6E27CD"/>
    <w:rsid w:val="1D767ADA"/>
    <w:rsid w:val="1D7A0D45"/>
    <w:rsid w:val="1D845021"/>
    <w:rsid w:val="1D861B2D"/>
    <w:rsid w:val="1D896FB3"/>
    <w:rsid w:val="1D91741D"/>
    <w:rsid w:val="1D9318C5"/>
    <w:rsid w:val="1D941B55"/>
    <w:rsid w:val="1DAB7998"/>
    <w:rsid w:val="1DB01072"/>
    <w:rsid w:val="1DB2076E"/>
    <w:rsid w:val="1DB43F2E"/>
    <w:rsid w:val="1DBE6DCD"/>
    <w:rsid w:val="1DC2628A"/>
    <w:rsid w:val="1DCF57CE"/>
    <w:rsid w:val="1DCF7FF5"/>
    <w:rsid w:val="1DD11EB5"/>
    <w:rsid w:val="1DD246EC"/>
    <w:rsid w:val="1DD63079"/>
    <w:rsid w:val="1DD859F5"/>
    <w:rsid w:val="1DDA6EEA"/>
    <w:rsid w:val="1DDD63A7"/>
    <w:rsid w:val="1DE56ABE"/>
    <w:rsid w:val="1DFC4DF9"/>
    <w:rsid w:val="1E0435A0"/>
    <w:rsid w:val="1E110D2A"/>
    <w:rsid w:val="1E1247A2"/>
    <w:rsid w:val="1E155062"/>
    <w:rsid w:val="1E193E9C"/>
    <w:rsid w:val="1E1B38E9"/>
    <w:rsid w:val="1E1B7186"/>
    <w:rsid w:val="1E303EF3"/>
    <w:rsid w:val="1E3303CE"/>
    <w:rsid w:val="1E3F6D05"/>
    <w:rsid w:val="1E494B8A"/>
    <w:rsid w:val="1E4F0222"/>
    <w:rsid w:val="1E5C2AF3"/>
    <w:rsid w:val="1E795C41"/>
    <w:rsid w:val="1E7E640D"/>
    <w:rsid w:val="1E7F3A72"/>
    <w:rsid w:val="1E8064D3"/>
    <w:rsid w:val="1E861E21"/>
    <w:rsid w:val="1EA72270"/>
    <w:rsid w:val="1EBD6E42"/>
    <w:rsid w:val="1EC25D1C"/>
    <w:rsid w:val="1EC74AB4"/>
    <w:rsid w:val="1EC87ABC"/>
    <w:rsid w:val="1ED242FC"/>
    <w:rsid w:val="1ED56C03"/>
    <w:rsid w:val="1EDA0174"/>
    <w:rsid w:val="1EDA3DBE"/>
    <w:rsid w:val="1EDB3888"/>
    <w:rsid w:val="1EE05F54"/>
    <w:rsid w:val="1EE332A7"/>
    <w:rsid w:val="1EF579A0"/>
    <w:rsid w:val="1F05532C"/>
    <w:rsid w:val="1F095121"/>
    <w:rsid w:val="1F0C3604"/>
    <w:rsid w:val="1F0D0383"/>
    <w:rsid w:val="1F0F4C7A"/>
    <w:rsid w:val="1F1527EE"/>
    <w:rsid w:val="1F20034A"/>
    <w:rsid w:val="1F251ABC"/>
    <w:rsid w:val="1F290391"/>
    <w:rsid w:val="1F2A2D10"/>
    <w:rsid w:val="1F370102"/>
    <w:rsid w:val="1F3F0073"/>
    <w:rsid w:val="1F43546C"/>
    <w:rsid w:val="1F48506F"/>
    <w:rsid w:val="1F4B10C3"/>
    <w:rsid w:val="1F5C7F87"/>
    <w:rsid w:val="1F6C1D79"/>
    <w:rsid w:val="1F792E9A"/>
    <w:rsid w:val="1F7B67F6"/>
    <w:rsid w:val="1F7C518B"/>
    <w:rsid w:val="1F881F59"/>
    <w:rsid w:val="1F971B7F"/>
    <w:rsid w:val="1F977565"/>
    <w:rsid w:val="1F9B644E"/>
    <w:rsid w:val="1FA22246"/>
    <w:rsid w:val="1FA429B4"/>
    <w:rsid w:val="1FAC06FF"/>
    <w:rsid w:val="1FB34801"/>
    <w:rsid w:val="1FB75185"/>
    <w:rsid w:val="1FB97163"/>
    <w:rsid w:val="1FBD0EE6"/>
    <w:rsid w:val="1FC10346"/>
    <w:rsid w:val="1FC16504"/>
    <w:rsid w:val="1FCB4902"/>
    <w:rsid w:val="1FDB745E"/>
    <w:rsid w:val="1FDD028C"/>
    <w:rsid w:val="1FF955B0"/>
    <w:rsid w:val="1FFA3EAB"/>
    <w:rsid w:val="1FFB3FF4"/>
    <w:rsid w:val="1FFC1294"/>
    <w:rsid w:val="1FFC4541"/>
    <w:rsid w:val="200B6448"/>
    <w:rsid w:val="20176E76"/>
    <w:rsid w:val="201C2D60"/>
    <w:rsid w:val="20270162"/>
    <w:rsid w:val="203F0CD6"/>
    <w:rsid w:val="20421E9D"/>
    <w:rsid w:val="204439A4"/>
    <w:rsid w:val="20655E4F"/>
    <w:rsid w:val="20721F6B"/>
    <w:rsid w:val="207308C3"/>
    <w:rsid w:val="207411D3"/>
    <w:rsid w:val="20743131"/>
    <w:rsid w:val="207536DF"/>
    <w:rsid w:val="20783BF9"/>
    <w:rsid w:val="20786435"/>
    <w:rsid w:val="20802CF5"/>
    <w:rsid w:val="20811113"/>
    <w:rsid w:val="20874766"/>
    <w:rsid w:val="2088281D"/>
    <w:rsid w:val="2088475A"/>
    <w:rsid w:val="20917F9C"/>
    <w:rsid w:val="2094661E"/>
    <w:rsid w:val="20951ED4"/>
    <w:rsid w:val="20962536"/>
    <w:rsid w:val="20AF5726"/>
    <w:rsid w:val="20AF5A47"/>
    <w:rsid w:val="20B50E80"/>
    <w:rsid w:val="20B71F63"/>
    <w:rsid w:val="20B7483F"/>
    <w:rsid w:val="20BD02A3"/>
    <w:rsid w:val="20BE1841"/>
    <w:rsid w:val="20D078F3"/>
    <w:rsid w:val="20D200AD"/>
    <w:rsid w:val="20D95B71"/>
    <w:rsid w:val="20DA60A5"/>
    <w:rsid w:val="20DB223A"/>
    <w:rsid w:val="20E51C80"/>
    <w:rsid w:val="20E61367"/>
    <w:rsid w:val="20EC58CB"/>
    <w:rsid w:val="20F17304"/>
    <w:rsid w:val="21007C49"/>
    <w:rsid w:val="21014223"/>
    <w:rsid w:val="21200021"/>
    <w:rsid w:val="21257F04"/>
    <w:rsid w:val="21291A31"/>
    <w:rsid w:val="213445FE"/>
    <w:rsid w:val="21353F50"/>
    <w:rsid w:val="2138052E"/>
    <w:rsid w:val="21393CF8"/>
    <w:rsid w:val="213C3CC5"/>
    <w:rsid w:val="214776EA"/>
    <w:rsid w:val="21522E38"/>
    <w:rsid w:val="2159046C"/>
    <w:rsid w:val="21592762"/>
    <w:rsid w:val="215F3A68"/>
    <w:rsid w:val="21611A31"/>
    <w:rsid w:val="21635586"/>
    <w:rsid w:val="21760888"/>
    <w:rsid w:val="217B17E2"/>
    <w:rsid w:val="218810BD"/>
    <w:rsid w:val="218D61A9"/>
    <w:rsid w:val="218F7263"/>
    <w:rsid w:val="2190117D"/>
    <w:rsid w:val="219140F2"/>
    <w:rsid w:val="21994057"/>
    <w:rsid w:val="219A79A2"/>
    <w:rsid w:val="219F1479"/>
    <w:rsid w:val="21A34664"/>
    <w:rsid w:val="21B80E8C"/>
    <w:rsid w:val="21B91F5E"/>
    <w:rsid w:val="21C24072"/>
    <w:rsid w:val="21C73828"/>
    <w:rsid w:val="21D55950"/>
    <w:rsid w:val="21D965A1"/>
    <w:rsid w:val="21E11782"/>
    <w:rsid w:val="21E14B35"/>
    <w:rsid w:val="21E617C0"/>
    <w:rsid w:val="21EB0962"/>
    <w:rsid w:val="21EC3E44"/>
    <w:rsid w:val="21F002DA"/>
    <w:rsid w:val="21F2539C"/>
    <w:rsid w:val="21F533B9"/>
    <w:rsid w:val="21F65A58"/>
    <w:rsid w:val="21FB61D0"/>
    <w:rsid w:val="220B3AD6"/>
    <w:rsid w:val="22191ECB"/>
    <w:rsid w:val="221E272E"/>
    <w:rsid w:val="2221560D"/>
    <w:rsid w:val="222A1FFE"/>
    <w:rsid w:val="222B075F"/>
    <w:rsid w:val="22367DC0"/>
    <w:rsid w:val="223C2D91"/>
    <w:rsid w:val="22426753"/>
    <w:rsid w:val="224D7BB0"/>
    <w:rsid w:val="22541D32"/>
    <w:rsid w:val="225474CD"/>
    <w:rsid w:val="225E1754"/>
    <w:rsid w:val="225F0409"/>
    <w:rsid w:val="225F51CF"/>
    <w:rsid w:val="22683CEE"/>
    <w:rsid w:val="226A54A8"/>
    <w:rsid w:val="226D42BA"/>
    <w:rsid w:val="227078B0"/>
    <w:rsid w:val="2271187B"/>
    <w:rsid w:val="22833161"/>
    <w:rsid w:val="228338C8"/>
    <w:rsid w:val="22840DDA"/>
    <w:rsid w:val="22876A0D"/>
    <w:rsid w:val="22A11695"/>
    <w:rsid w:val="22A63B38"/>
    <w:rsid w:val="22A73490"/>
    <w:rsid w:val="22A8489A"/>
    <w:rsid w:val="22AA7376"/>
    <w:rsid w:val="22AB3B60"/>
    <w:rsid w:val="22AF11A1"/>
    <w:rsid w:val="22B22D1F"/>
    <w:rsid w:val="22B33D99"/>
    <w:rsid w:val="22B83EF7"/>
    <w:rsid w:val="22BB4A47"/>
    <w:rsid w:val="22BC2773"/>
    <w:rsid w:val="22BE29D6"/>
    <w:rsid w:val="22C27BE8"/>
    <w:rsid w:val="22C4003E"/>
    <w:rsid w:val="22C96719"/>
    <w:rsid w:val="22CB2F4B"/>
    <w:rsid w:val="22CE701A"/>
    <w:rsid w:val="22D02654"/>
    <w:rsid w:val="22D10E4B"/>
    <w:rsid w:val="22D90210"/>
    <w:rsid w:val="22D912F9"/>
    <w:rsid w:val="22E1284D"/>
    <w:rsid w:val="22E73006"/>
    <w:rsid w:val="22EB3773"/>
    <w:rsid w:val="22EE13BE"/>
    <w:rsid w:val="22F31E85"/>
    <w:rsid w:val="22F71A54"/>
    <w:rsid w:val="22F74CC6"/>
    <w:rsid w:val="22FB2321"/>
    <w:rsid w:val="22FF6AA7"/>
    <w:rsid w:val="2306325F"/>
    <w:rsid w:val="230749DA"/>
    <w:rsid w:val="230753E2"/>
    <w:rsid w:val="230F5270"/>
    <w:rsid w:val="2311101C"/>
    <w:rsid w:val="231869B1"/>
    <w:rsid w:val="2319089C"/>
    <w:rsid w:val="231B2491"/>
    <w:rsid w:val="232515D0"/>
    <w:rsid w:val="232F45E5"/>
    <w:rsid w:val="23382F5D"/>
    <w:rsid w:val="233857DC"/>
    <w:rsid w:val="233E2231"/>
    <w:rsid w:val="23443C8F"/>
    <w:rsid w:val="23561548"/>
    <w:rsid w:val="23561CD1"/>
    <w:rsid w:val="235E47B6"/>
    <w:rsid w:val="23644FB5"/>
    <w:rsid w:val="23646298"/>
    <w:rsid w:val="236B32CC"/>
    <w:rsid w:val="2372506B"/>
    <w:rsid w:val="2376691B"/>
    <w:rsid w:val="2378146C"/>
    <w:rsid w:val="238D2D50"/>
    <w:rsid w:val="238D66BE"/>
    <w:rsid w:val="23950A55"/>
    <w:rsid w:val="239540DC"/>
    <w:rsid w:val="23965F67"/>
    <w:rsid w:val="23A00272"/>
    <w:rsid w:val="23A02531"/>
    <w:rsid w:val="23A11F4F"/>
    <w:rsid w:val="23B41225"/>
    <w:rsid w:val="23BA6237"/>
    <w:rsid w:val="23BC048E"/>
    <w:rsid w:val="23C9616F"/>
    <w:rsid w:val="23CC0919"/>
    <w:rsid w:val="23CE659F"/>
    <w:rsid w:val="23CF7FD3"/>
    <w:rsid w:val="23D4199E"/>
    <w:rsid w:val="23DC01C4"/>
    <w:rsid w:val="23DC60E2"/>
    <w:rsid w:val="23E17EC8"/>
    <w:rsid w:val="23E47406"/>
    <w:rsid w:val="23E91B93"/>
    <w:rsid w:val="23F6160A"/>
    <w:rsid w:val="23FB72B1"/>
    <w:rsid w:val="24026C92"/>
    <w:rsid w:val="24027DBA"/>
    <w:rsid w:val="240657B6"/>
    <w:rsid w:val="240B36D8"/>
    <w:rsid w:val="240C2CCA"/>
    <w:rsid w:val="240C553C"/>
    <w:rsid w:val="241722EB"/>
    <w:rsid w:val="24323334"/>
    <w:rsid w:val="243336DA"/>
    <w:rsid w:val="24373DE9"/>
    <w:rsid w:val="243D6215"/>
    <w:rsid w:val="244F01D0"/>
    <w:rsid w:val="245226BE"/>
    <w:rsid w:val="245550BB"/>
    <w:rsid w:val="245A0102"/>
    <w:rsid w:val="2461318F"/>
    <w:rsid w:val="24662623"/>
    <w:rsid w:val="24673502"/>
    <w:rsid w:val="24676BCD"/>
    <w:rsid w:val="24676F22"/>
    <w:rsid w:val="2468531E"/>
    <w:rsid w:val="246D7EC6"/>
    <w:rsid w:val="24741D21"/>
    <w:rsid w:val="24750E49"/>
    <w:rsid w:val="24860612"/>
    <w:rsid w:val="24872D53"/>
    <w:rsid w:val="248E7D90"/>
    <w:rsid w:val="249321BF"/>
    <w:rsid w:val="249C0D83"/>
    <w:rsid w:val="249E7E27"/>
    <w:rsid w:val="24A033EE"/>
    <w:rsid w:val="24B51B12"/>
    <w:rsid w:val="24C434A5"/>
    <w:rsid w:val="24CA496C"/>
    <w:rsid w:val="24CB78C2"/>
    <w:rsid w:val="24D35568"/>
    <w:rsid w:val="24D72C44"/>
    <w:rsid w:val="24DB51FA"/>
    <w:rsid w:val="24E954E0"/>
    <w:rsid w:val="24EF1A3C"/>
    <w:rsid w:val="24F37FEF"/>
    <w:rsid w:val="24F82FB3"/>
    <w:rsid w:val="2504405A"/>
    <w:rsid w:val="251809ED"/>
    <w:rsid w:val="25241C4A"/>
    <w:rsid w:val="25265A8E"/>
    <w:rsid w:val="252A5159"/>
    <w:rsid w:val="25364407"/>
    <w:rsid w:val="25380B4A"/>
    <w:rsid w:val="253C2F3D"/>
    <w:rsid w:val="253C65AF"/>
    <w:rsid w:val="25410D56"/>
    <w:rsid w:val="254D55BA"/>
    <w:rsid w:val="254F6D5C"/>
    <w:rsid w:val="25644E19"/>
    <w:rsid w:val="256F1EB3"/>
    <w:rsid w:val="25720D21"/>
    <w:rsid w:val="257B7A7B"/>
    <w:rsid w:val="257C63F7"/>
    <w:rsid w:val="257E458B"/>
    <w:rsid w:val="258426BC"/>
    <w:rsid w:val="25867F54"/>
    <w:rsid w:val="258B4AE4"/>
    <w:rsid w:val="258C3B89"/>
    <w:rsid w:val="258C6B00"/>
    <w:rsid w:val="258F1E2E"/>
    <w:rsid w:val="259114ED"/>
    <w:rsid w:val="2593720A"/>
    <w:rsid w:val="25996F48"/>
    <w:rsid w:val="259A3CB2"/>
    <w:rsid w:val="259E4C39"/>
    <w:rsid w:val="259E5828"/>
    <w:rsid w:val="25A92B92"/>
    <w:rsid w:val="25AB0A3D"/>
    <w:rsid w:val="25AC370D"/>
    <w:rsid w:val="25B22B68"/>
    <w:rsid w:val="25B5218E"/>
    <w:rsid w:val="25C15D16"/>
    <w:rsid w:val="25C55B83"/>
    <w:rsid w:val="25CD5BF1"/>
    <w:rsid w:val="25CD62C3"/>
    <w:rsid w:val="25D31208"/>
    <w:rsid w:val="25DA65CA"/>
    <w:rsid w:val="25DB6649"/>
    <w:rsid w:val="25DD0809"/>
    <w:rsid w:val="25E27416"/>
    <w:rsid w:val="25E46656"/>
    <w:rsid w:val="25E47484"/>
    <w:rsid w:val="25E50947"/>
    <w:rsid w:val="25E92FBE"/>
    <w:rsid w:val="25F17275"/>
    <w:rsid w:val="25F247D7"/>
    <w:rsid w:val="25F31E31"/>
    <w:rsid w:val="25F70EE4"/>
    <w:rsid w:val="25F83FB0"/>
    <w:rsid w:val="25FC0B75"/>
    <w:rsid w:val="260139F3"/>
    <w:rsid w:val="260556D5"/>
    <w:rsid w:val="26080DD9"/>
    <w:rsid w:val="26082798"/>
    <w:rsid w:val="26095114"/>
    <w:rsid w:val="260E454E"/>
    <w:rsid w:val="261464EE"/>
    <w:rsid w:val="26280E6C"/>
    <w:rsid w:val="262E05B0"/>
    <w:rsid w:val="26327A25"/>
    <w:rsid w:val="26331CBB"/>
    <w:rsid w:val="26372014"/>
    <w:rsid w:val="263E0859"/>
    <w:rsid w:val="263E1A96"/>
    <w:rsid w:val="26405937"/>
    <w:rsid w:val="26433FB7"/>
    <w:rsid w:val="26452DA3"/>
    <w:rsid w:val="26474B98"/>
    <w:rsid w:val="264D3294"/>
    <w:rsid w:val="266A2AD6"/>
    <w:rsid w:val="266C2FED"/>
    <w:rsid w:val="26783498"/>
    <w:rsid w:val="267A33D1"/>
    <w:rsid w:val="268246BC"/>
    <w:rsid w:val="268B7473"/>
    <w:rsid w:val="26952295"/>
    <w:rsid w:val="269626DF"/>
    <w:rsid w:val="269B7137"/>
    <w:rsid w:val="26A265DC"/>
    <w:rsid w:val="26AE5F52"/>
    <w:rsid w:val="26AE6F7F"/>
    <w:rsid w:val="26B32654"/>
    <w:rsid w:val="26B40C48"/>
    <w:rsid w:val="26B8056C"/>
    <w:rsid w:val="26C87742"/>
    <w:rsid w:val="26E33E5B"/>
    <w:rsid w:val="26E70CA8"/>
    <w:rsid w:val="26EA7605"/>
    <w:rsid w:val="26F027D8"/>
    <w:rsid w:val="26F17CAD"/>
    <w:rsid w:val="26F51567"/>
    <w:rsid w:val="26F54808"/>
    <w:rsid w:val="26FB5D95"/>
    <w:rsid w:val="26FC2F8C"/>
    <w:rsid w:val="27094F93"/>
    <w:rsid w:val="270E05C8"/>
    <w:rsid w:val="27101BFD"/>
    <w:rsid w:val="27172021"/>
    <w:rsid w:val="27190D99"/>
    <w:rsid w:val="271927EF"/>
    <w:rsid w:val="271A253D"/>
    <w:rsid w:val="271A4B23"/>
    <w:rsid w:val="271C2CE9"/>
    <w:rsid w:val="27235746"/>
    <w:rsid w:val="273E49F4"/>
    <w:rsid w:val="274321B1"/>
    <w:rsid w:val="27450C2D"/>
    <w:rsid w:val="274525DC"/>
    <w:rsid w:val="274652E6"/>
    <w:rsid w:val="27470851"/>
    <w:rsid w:val="27480748"/>
    <w:rsid w:val="274E0335"/>
    <w:rsid w:val="275D1356"/>
    <w:rsid w:val="275D4A89"/>
    <w:rsid w:val="27625310"/>
    <w:rsid w:val="27641213"/>
    <w:rsid w:val="277A2EC6"/>
    <w:rsid w:val="27841ADD"/>
    <w:rsid w:val="278B7262"/>
    <w:rsid w:val="278E6B49"/>
    <w:rsid w:val="278E7D5F"/>
    <w:rsid w:val="279429E3"/>
    <w:rsid w:val="27966F4A"/>
    <w:rsid w:val="27A74D7A"/>
    <w:rsid w:val="27A75735"/>
    <w:rsid w:val="27A91AD2"/>
    <w:rsid w:val="27AE6E2D"/>
    <w:rsid w:val="27AF57B8"/>
    <w:rsid w:val="27B24596"/>
    <w:rsid w:val="27B25FFF"/>
    <w:rsid w:val="27BA12A7"/>
    <w:rsid w:val="27BA6BC4"/>
    <w:rsid w:val="27BC2EEA"/>
    <w:rsid w:val="27C93064"/>
    <w:rsid w:val="27C96B67"/>
    <w:rsid w:val="27CB38EC"/>
    <w:rsid w:val="27CB5FF9"/>
    <w:rsid w:val="27CC0A3D"/>
    <w:rsid w:val="27D34267"/>
    <w:rsid w:val="27D62E6F"/>
    <w:rsid w:val="27D745E8"/>
    <w:rsid w:val="27E4169F"/>
    <w:rsid w:val="27E476BC"/>
    <w:rsid w:val="27E7338B"/>
    <w:rsid w:val="27EA3B97"/>
    <w:rsid w:val="27EF0430"/>
    <w:rsid w:val="27F32107"/>
    <w:rsid w:val="27FA5F82"/>
    <w:rsid w:val="28014303"/>
    <w:rsid w:val="280410A7"/>
    <w:rsid w:val="281713C1"/>
    <w:rsid w:val="28202089"/>
    <w:rsid w:val="28210C3B"/>
    <w:rsid w:val="2836570A"/>
    <w:rsid w:val="283E3927"/>
    <w:rsid w:val="28432F7C"/>
    <w:rsid w:val="285065F4"/>
    <w:rsid w:val="28557C44"/>
    <w:rsid w:val="28564AD0"/>
    <w:rsid w:val="285E1540"/>
    <w:rsid w:val="28634EA7"/>
    <w:rsid w:val="2868554F"/>
    <w:rsid w:val="286A70A6"/>
    <w:rsid w:val="286D715D"/>
    <w:rsid w:val="28707EB9"/>
    <w:rsid w:val="28710251"/>
    <w:rsid w:val="287270BD"/>
    <w:rsid w:val="287508F6"/>
    <w:rsid w:val="288C7056"/>
    <w:rsid w:val="288F598A"/>
    <w:rsid w:val="289910F7"/>
    <w:rsid w:val="28A14F66"/>
    <w:rsid w:val="28A4234C"/>
    <w:rsid w:val="28A63531"/>
    <w:rsid w:val="28A773FC"/>
    <w:rsid w:val="28CA5B35"/>
    <w:rsid w:val="28D02425"/>
    <w:rsid w:val="28D527CA"/>
    <w:rsid w:val="28DB1A3D"/>
    <w:rsid w:val="28F133CC"/>
    <w:rsid w:val="28F729CE"/>
    <w:rsid w:val="28F934CA"/>
    <w:rsid w:val="28FA5F7F"/>
    <w:rsid w:val="29056F59"/>
    <w:rsid w:val="2907017C"/>
    <w:rsid w:val="291218C3"/>
    <w:rsid w:val="2912731C"/>
    <w:rsid w:val="29150A19"/>
    <w:rsid w:val="29157321"/>
    <w:rsid w:val="291F35AA"/>
    <w:rsid w:val="2925391D"/>
    <w:rsid w:val="292B0670"/>
    <w:rsid w:val="292E0A29"/>
    <w:rsid w:val="29325A72"/>
    <w:rsid w:val="2938341E"/>
    <w:rsid w:val="293A6E92"/>
    <w:rsid w:val="29566904"/>
    <w:rsid w:val="29582224"/>
    <w:rsid w:val="29585835"/>
    <w:rsid w:val="296074D7"/>
    <w:rsid w:val="29692EBD"/>
    <w:rsid w:val="29712D8F"/>
    <w:rsid w:val="29736267"/>
    <w:rsid w:val="297B31D3"/>
    <w:rsid w:val="298103BD"/>
    <w:rsid w:val="298D4850"/>
    <w:rsid w:val="29966295"/>
    <w:rsid w:val="29971F57"/>
    <w:rsid w:val="299C7DCA"/>
    <w:rsid w:val="29A021A8"/>
    <w:rsid w:val="29A942FB"/>
    <w:rsid w:val="29B344DC"/>
    <w:rsid w:val="29B539E6"/>
    <w:rsid w:val="29BA1399"/>
    <w:rsid w:val="29BC2699"/>
    <w:rsid w:val="29C8428C"/>
    <w:rsid w:val="29D4298C"/>
    <w:rsid w:val="29DD7E33"/>
    <w:rsid w:val="29E31C9C"/>
    <w:rsid w:val="29E55C12"/>
    <w:rsid w:val="29E81D60"/>
    <w:rsid w:val="29F035C0"/>
    <w:rsid w:val="29F05E16"/>
    <w:rsid w:val="29F54832"/>
    <w:rsid w:val="2A111075"/>
    <w:rsid w:val="2A160D87"/>
    <w:rsid w:val="2A22248B"/>
    <w:rsid w:val="2A307EBE"/>
    <w:rsid w:val="2A3E413F"/>
    <w:rsid w:val="2A430F4D"/>
    <w:rsid w:val="2A5303B9"/>
    <w:rsid w:val="2A534A67"/>
    <w:rsid w:val="2A5F67A3"/>
    <w:rsid w:val="2A6151C4"/>
    <w:rsid w:val="2A664C59"/>
    <w:rsid w:val="2A6B464E"/>
    <w:rsid w:val="2A944B48"/>
    <w:rsid w:val="2A9A0F2B"/>
    <w:rsid w:val="2AA07917"/>
    <w:rsid w:val="2AA1140C"/>
    <w:rsid w:val="2AA67F8B"/>
    <w:rsid w:val="2AAA31D9"/>
    <w:rsid w:val="2AAC289A"/>
    <w:rsid w:val="2AB138BA"/>
    <w:rsid w:val="2AB24906"/>
    <w:rsid w:val="2AC51079"/>
    <w:rsid w:val="2ACA0984"/>
    <w:rsid w:val="2AD05182"/>
    <w:rsid w:val="2AE47A17"/>
    <w:rsid w:val="2AEB2740"/>
    <w:rsid w:val="2AF44191"/>
    <w:rsid w:val="2AF74347"/>
    <w:rsid w:val="2B0A4D59"/>
    <w:rsid w:val="2B1A32A0"/>
    <w:rsid w:val="2B26693B"/>
    <w:rsid w:val="2B2F1FC7"/>
    <w:rsid w:val="2B2F2F22"/>
    <w:rsid w:val="2B37764D"/>
    <w:rsid w:val="2B3F6547"/>
    <w:rsid w:val="2B4F2967"/>
    <w:rsid w:val="2B5C1A7C"/>
    <w:rsid w:val="2B6525E9"/>
    <w:rsid w:val="2B6E19DB"/>
    <w:rsid w:val="2B756050"/>
    <w:rsid w:val="2B7C5660"/>
    <w:rsid w:val="2B8944AA"/>
    <w:rsid w:val="2B92679C"/>
    <w:rsid w:val="2B96506D"/>
    <w:rsid w:val="2B986BC6"/>
    <w:rsid w:val="2BA16669"/>
    <w:rsid w:val="2BAE20A5"/>
    <w:rsid w:val="2BAF2381"/>
    <w:rsid w:val="2BB1376A"/>
    <w:rsid w:val="2BBA7E05"/>
    <w:rsid w:val="2BBB17D5"/>
    <w:rsid w:val="2BC3413A"/>
    <w:rsid w:val="2BC45396"/>
    <w:rsid w:val="2BD540AD"/>
    <w:rsid w:val="2BDA10DE"/>
    <w:rsid w:val="2BF336C9"/>
    <w:rsid w:val="2BF33ED5"/>
    <w:rsid w:val="2BFB7405"/>
    <w:rsid w:val="2C006833"/>
    <w:rsid w:val="2C034F7B"/>
    <w:rsid w:val="2C040D89"/>
    <w:rsid w:val="2C0509D9"/>
    <w:rsid w:val="2C05481D"/>
    <w:rsid w:val="2C0564E6"/>
    <w:rsid w:val="2C056AF9"/>
    <w:rsid w:val="2C220DB4"/>
    <w:rsid w:val="2C247FF1"/>
    <w:rsid w:val="2C3C0030"/>
    <w:rsid w:val="2C3F3887"/>
    <w:rsid w:val="2C45016F"/>
    <w:rsid w:val="2C516E38"/>
    <w:rsid w:val="2C533A6A"/>
    <w:rsid w:val="2C560EA3"/>
    <w:rsid w:val="2C617496"/>
    <w:rsid w:val="2C62156F"/>
    <w:rsid w:val="2C6F41F6"/>
    <w:rsid w:val="2C730778"/>
    <w:rsid w:val="2C7E030A"/>
    <w:rsid w:val="2C833FFB"/>
    <w:rsid w:val="2C8F430E"/>
    <w:rsid w:val="2C970335"/>
    <w:rsid w:val="2CA21894"/>
    <w:rsid w:val="2CA4476E"/>
    <w:rsid w:val="2CAD4F6B"/>
    <w:rsid w:val="2CB17FD2"/>
    <w:rsid w:val="2CC16AFA"/>
    <w:rsid w:val="2CC95D10"/>
    <w:rsid w:val="2CCB5A72"/>
    <w:rsid w:val="2CD57684"/>
    <w:rsid w:val="2CD67A0B"/>
    <w:rsid w:val="2CD75666"/>
    <w:rsid w:val="2CD83FF1"/>
    <w:rsid w:val="2CDC6591"/>
    <w:rsid w:val="2CDE08F2"/>
    <w:rsid w:val="2CE03AB0"/>
    <w:rsid w:val="2CEB494F"/>
    <w:rsid w:val="2CEF53E3"/>
    <w:rsid w:val="2CF53A56"/>
    <w:rsid w:val="2CF649A9"/>
    <w:rsid w:val="2CFC27E4"/>
    <w:rsid w:val="2D0766E4"/>
    <w:rsid w:val="2D0B702A"/>
    <w:rsid w:val="2D107EBA"/>
    <w:rsid w:val="2D1B67A1"/>
    <w:rsid w:val="2D1F4BCA"/>
    <w:rsid w:val="2D221AAA"/>
    <w:rsid w:val="2D254ED3"/>
    <w:rsid w:val="2D2651C9"/>
    <w:rsid w:val="2D397977"/>
    <w:rsid w:val="2D3D74EA"/>
    <w:rsid w:val="2D476C62"/>
    <w:rsid w:val="2D504333"/>
    <w:rsid w:val="2D521264"/>
    <w:rsid w:val="2D567058"/>
    <w:rsid w:val="2D57290A"/>
    <w:rsid w:val="2D5D7FE8"/>
    <w:rsid w:val="2D5E7E01"/>
    <w:rsid w:val="2D6030A2"/>
    <w:rsid w:val="2D660EF9"/>
    <w:rsid w:val="2D6C2B47"/>
    <w:rsid w:val="2D763F45"/>
    <w:rsid w:val="2D820204"/>
    <w:rsid w:val="2D8402FC"/>
    <w:rsid w:val="2D88024C"/>
    <w:rsid w:val="2D935488"/>
    <w:rsid w:val="2D960FB5"/>
    <w:rsid w:val="2D9B4423"/>
    <w:rsid w:val="2DAC2EF4"/>
    <w:rsid w:val="2DAD4BCD"/>
    <w:rsid w:val="2DB453FF"/>
    <w:rsid w:val="2DBE4237"/>
    <w:rsid w:val="2DCB10F0"/>
    <w:rsid w:val="2DCB38A1"/>
    <w:rsid w:val="2DD066E9"/>
    <w:rsid w:val="2DDC0ED4"/>
    <w:rsid w:val="2DE3054F"/>
    <w:rsid w:val="2DE7186E"/>
    <w:rsid w:val="2DF036FB"/>
    <w:rsid w:val="2DF21CB3"/>
    <w:rsid w:val="2DFD78B4"/>
    <w:rsid w:val="2DFE083B"/>
    <w:rsid w:val="2E0708FF"/>
    <w:rsid w:val="2E11457C"/>
    <w:rsid w:val="2E1643B9"/>
    <w:rsid w:val="2E184C0F"/>
    <w:rsid w:val="2E187142"/>
    <w:rsid w:val="2E1F18AD"/>
    <w:rsid w:val="2E285E19"/>
    <w:rsid w:val="2E28757C"/>
    <w:rsid w:val="2E2C723F"/>
    <w:rsid w:val="2E332EEF"/>
    <w:rsid w:val="2E3D0855"/>
    <w:rsid w:val="2E3F6B8A"/>
    <w:rsid w:val="2E406C31"/>
    <w:rsid w:val="2E467FE7"/>
    <w:rsid w:val="2E527715"/>
    <w:rsid w:val="2E530660"/>
    <w:rsid w:val="2E531152"/>
    <w:rsid w:val="2E5513E0"/>
    <w:rsid w:val="2E565287"/>
    <w:rsid w:val="2E5F1E47"/>
    <w:rsid w:val="2E682652"/>
    <w:rsid w:val="2E6B6D27"/>
    <w:rsid w:val="2E7A506F"/>
    <w:rsid w:val="2E7B0600"/>
    <w:rsid w:val="2E7B273D"/>
    <w:rsid w:val="2E7D30EA"/>
    <w:rsid w:val="2E8028E0"/>
    <w:rsid w:val="2E88139A"/>
    <w:rsid w:val="2E8B051E"/>
    <w:rsid w:val="2E8F062E"/>
    <w:rsid w:val="2E905D65"/>
    <w:rsid w:val="2E9D560F"/>
    <w:rsid w:val="2E9F7EC1"/>
    <w:rsid w:val="2EA234E1"/>
    <w:rsid w:val="2EB17C70"/>
    <w:rsid w:val="2EB411B5"/>
    <w:rsid w:val="2EBD49E1"/>
    <w:rsid w:val="2EBF0ED1"/>
    <w:rsid w:val="2EC42186"/>
    <w:rsid w:val="2EC7495E"/>
    <w:rsid w:val="2EC776BB"/>
    <w:rsid w:val="2ECA39AD"/>
    <w:rsid w:val="2ECC0C07"/>
    <w:rsid w:val="2ED03009"/>
    <w:rsid w:val="2EF224CD"/>
    <w:rsid w:val="2EF67D61"/>
    <w:rsid w:val="2EFA2F2B"/>
    <w:rsid w:val="2F195BDC"/>
    <w:rsid w:val="2F2E23A6"/>
    <w:rsid w:val="2F2E289C"/>
    <w:rsid w:val="2F350F19"/>
    <w:rsid w:val="2F383567"/>
    <w:rsid w:val="2F3B1918"/>
    <w:rsid w:val="2F415DC8"/>
    <w:rsid w:val="2F514AAE"/>
    <w:rsid w:val="2F531FEB"/>
    <w:rsid w:val="2F5B5B3B"/>
    <w:rsid w:val="2F615468"/>
    <w:rsid w:val="2F655F0E"/>
    <w:rsid w:val="2F6B73F9"/>
    <w:rsid w:val="2F6D4FA6"/>
    <w:rsid w:val="2F743486"/>
    <w:rsid w:val="2F756E65"/>
    <w:rsid w:val="2F77354F"/>
    <w:rsid w:val="2F7A7069"/>
    <w:rsid w:val="2F7B2789"/>
    <w:rsid w:val="2F8001B6"/>
    <w:rsid w:val="2F897AA1"/>
    <w:rsid w:val="2F8D4D67"/>
    <w:rsid w:val="2F8E2F8D"/>
    <w:rsid w:val="2F9051B8"/>
    <w:rsid w:val="2F910893"/>
    <w:rsid w:val="2F9A69D2"/>
    <w:rsid w:val="2F9C6646"/>
    <w:rsid w:val="2F9D4AA3"/>
    <w:rsid w:val="2F9F094E"/>
    <w:rsid w:val="2FA5152D"/>
    <w:rsid w:val="2FA96250"/>
    <w:rsid w:val="2FB11323"/>
    <w:rsid w:val="2FBB6A2A"/>
    <w:rsid w:val="2FC2166F"/>
    <w:rsid w:val="2FCB0952"/>
    <w:rsid w:val="2FD53529"/>
    <w:rsid w:val="2FD80709"/>
    <w:rsid w:val="2FDF2368"/>
    <w:rsid w:val="2FDF7CD4"/>
    <w:rsid w:val="2FEC08C6"/>
    <w:rsid w:val="2FEF70A5"/>
    <w:rsid w:val="2FF532B7"/>
    <w:rsid w:val="2FF674CB"/>
    <w:rsid w:val="2FF7251F"/>
    <w:rsid w:val="30007788"/>
    <w:rsid w:val="30093592"/>
    <w:rsid w:val="301977C7"/>
    <w:rsid w:val="301E3E25"/>
    <w:rsid w:val="30205153"/>
    <w:rsid w:val="30253FAB"/>
    <w:rsid w:val="30270D6F"/>
    <w:rsid w:val="303B3B59"/>
    <w:rsid w:val="303C0C41"/>
    <w:rsid w:val="303D6437"/>
    <w:rsid w:val="30443F81"/>
    <w:rsid w:val="305831D6"/>
    <w:rsid w:val="305A4537"/>
    <w:rsid w:val="30632880"/>
    <w:rsid w:val="3070014A"/>
    <w:rsid w:val="307B4FFA"/>
    <w:rsid w:val="308136E0"/>
    <w:rsid w:val="3095375A"/>
    <w:rsid w:val="309B2688"/>
    <w:rsid w:val="30A90B96"/>
    <w:rsid w:val="30A91070"/>
    <w:rsid w:val="30B26464"/>
    <w:rsid w:val="30B86332"/>
    <w:rsid w:val="30C91D87"/>
    <w:rsid w:val="30D10B78"/>
    <w:rsid w:val="30D251E3"/>
    <w:rsid w:val="30D36EB7"/>
    <w:rsid w:val="30D45137"/>
    <w:rsid w:val="30D51A41"/>
    <w:rsid w:val="30E7233C"/>
    <w:rsid w:val="31076B28"/>
    <w:rsid w:val="31076EFA"/>
    <w:rsid w:val="310866BC"/>
    <w:rsid w:val="31154DED"/>
    <w:rsid w:val="31215B33"/>
    <w:rsid w:val="312A36B1"/>
    <w:rsid w:val="313A2CAC"/>
    <w:rsid w:val="313E6356"/>
    <w:rsid w:val="31460C29"/>
    <w:rsid w:val="314B3239"/>
    <w:rsid w:val="315B21E9"/>
    <w:rsid w:val="315B5E62"/>
    <w:rsid w:val="31604DC0"/>
    <w:rsid w:val="31607973"/>
    <w:rsid w:val="3163108E"/>
    <w:rsid w:val="31631DE7"/>
    <w:rsid w:val="3167538F"/>
    <w:rsid w:val="317544CD"/>
    <w:rsid w:val="31765162"/>
    <w:rsid w:val="317A487D"/>
    <w:rsid w:val="317D76C8"/>
    <w:rsid w:val="31833BCE"/>
    <w:rsid w:val="318A1515"/>
    <w:rsid w:val="31944F6F"/>
    <w:rsid w:val="31963456"/>
    <w:rsid w:val="31A51052"/>
    <w:rsid w:val="31A77BCC"/>
    <w:rsid w:val="31A84B64"/>
    <w:rsid w:val="31B12D3C"/>
    <w:rsid w:val="31B2653B"/>
    <w:rsid w:val="31B266EC"/>
    <w:rsid w:val="31B45163"/>
    <w:rsid w:val="31B81D35"/>
    <w:rsid w:val="31C3729F"/>
    <w:rsid w:val="31CB617D"/>
    <w:rsid w:val="31CC0ECB"/>
    <w:rsid w:val="31D51D14"/>
    <w:rsid w:val="31DD2EC1"/>
    <w:rsid w:val="31DF1DB8"/>
    <w:rsid w:val="31E4008E"/>
    <w:rsid w:val="31F020DC"/>
    <w:rsid w:val="31F072F8"/>
    <w:rsid w:val="32061C7F"/>
    <w:rsid w:val="320A52D8"/>
    <w:rsid w:val="320D2005"/>
    <w:rsid w:val="32136025"/>
    <w:rsid w:val="32220D79"/>
    <w:rsid w:val="32252577"/>
    <w:rsid w:val="32294648"/>
    <w:rsid w:val="322F0831"/>
    <w:rsid w:val="3238009F"/>
    <w:rsid w:val="323F5519"/>
    <w:rsid w:val="32442E52"/>
    <w:rsid w:val="32471CC6"/>
    <w:rsid w:val="324F0134"/>
    <w:rsid w:val="32540593"/>
    <w:rsid w:val="32575B7F"/>
    <w:rsid w:val="32582CC3"/>
    <w:rsid w:val="327179A4"/>
    <w:rsid w:val="32775626"/>
    <w:rsid w:val="32835AB1"/>
    <w:rsid w:val="328A3A5F"/>
    <w:rsid w:val="328D7371"/>
    <w:rsid w:val="328E2231"/>
    <w:rsid w:val="329326B7"/>
    <w:rsid w:val="329426A2"/>
    <w:rsid w:val="329708DE"/>
    <w:rsid w:val="32AD1211"/>
    <w:rsid w:val="32BE0045"/>
    <w:rsid w:val="32E12F9A"/>
    <w:rsid w:val="32E87F66"/>
    <w:rsid w:val="32EC46FB"/>
    <w:rsid w:val="32FF12B8"/>
    <w:rsid w:val="330073AA"/>
    <w:rsid w:val="33020BF1"/>
    <w:rsid w:val="330710D7"/>
    <w:rsid w:val="331264BB"/>
    <w:rsid w:val="331E3887"/>
    <w:rsid w:val="33224534"/>
    <w:rsid w:val="332742E9"/>
    <w:rsid w:val="332850C4"/>
    <w:rsid w:val="332A1AC1"/>
    <w:rsid w:val="332C71E1"/>
    <w:rsid w:val="332E1BC2"/>
    <w:rsid w:val="332F3B66"/>
    <w:rsid w:val="333B116B"/>
    <w:rsid w:val="333E2024"/>
    <w:rsid w:val="33427ABB"/>
    <w:rsid w:val="33616D4E"/>
    <w:rsid w:val="33821BAB"/>
    <w:rsid w:val="338378EA"/>
    <w:rsid w:val="33885755"/>
    <w:rsid w:val="339E18BC"/>
    <w:rsid w:val="33A57822"/>
    <w:rsid w:val="33A77C3C"/>
    <w:rsid w:val="33AA7345"/>
    <w:rsid w:val="33B37087"/>
    <w:rsid w:val="33BA7C82"/>
    <w:rsid w:val="33BC4D91"/>
    <w:rsid w:val="33BF4D9D"/>
    <w:rsid w:val="33C233CD"/>
    <w:rsid w:val="33C504FF"/>
    <w:rsid w:val="33C968FA"/>
    <w:rsid w:val="33D23DF5"/>
    <w:rsid w:val="33D246C3"/>
    <w:rsid w:val="33DF11C8"/>
    <w:rsid w:val="33E442C9"/>
    <w:rsid w:val="33E61B12"/>
    <w:rsid w:val="33EF44FC"/>
    <w:rsid w:val="33F751C3"/>
    <w:rsid w:val="33FE7E15"/>
    <w:rsid w:val="33FF1154"/>
    <w:rsid w:val="340074AF"/>
    <w:rsid w:val="340948E1"/>
    <w:rsid w:val="340D3904"/>
    <w:rsid w:val="341212B1"/>
    <w:rsid w:val="341321BE"/>
    <w:rsid w:val="34155C01"/>
    <w:rsid w:val="34293255"/>
    <w:rsid w:val="34314E1D"/>
    <w:rsid w:val="34374868"/>
    <w:rsid w:val="343D2D4C"/>
    <w:rsid w:val="34417702"/>
    <w:rsid w:val="34417EB0"/>
    <w:rsid w:val="3446518F"/>
    <w:rsid w:val="344A296C"/>
    <w:rsid w:val="344C25CD"/>
    <w:rsid w:val="344E045C"/>
    <w:rsid w:val="344F610D"/>
    <w:rsid w:val="34512060"/>
    <w:rsid w:val="345232B0"/>
    <w:rsid w:val="345A0779"/>
    <w:rsid w:val="345B15DB"/>
    <w:rsid w:val="346B1ADA"/>
    <w:rsid w:val="346C4A94"/>
    <w:rsid w:val="346E7A5A"/>
    <w:rsid w:val="3477244E"/>
    <w:rsid w:val="34782617"/>
    <w:rsid w:val="347946FA"/>
    <w:rsid w:val="347A6171"/>
    <w:rsid w:val="348440EB"/>
    <w:rsid w:val="348D33D3"/>
    <w:rsid w:val="3496737A"/>
    <w:rsid w:val="349C03F2"/>
    <w:rsid w:val="34A238C5"/>
    <w:rsid w:val="34AC0653"/>
    <w:rsid w:val="34AC2DE9"/>
    <w:rsid w:val="34B24855"/>
    <w:rsid w:val="34B55560"/>
    <w:rsid w:val="34B84D9B"/>
    <w:rsid w:val="34BE7103"/>
    <w:rsid w:val="34C9343D"/>
    <w:rsid w:val="34CE3369"/>
    <w:rsid w:val="34DC1C67"/>
    <w:rsid w:val="34E47162"/>
    <w:rsid w:val="34E664D6"/>
    <w:rsid w:val="34F64CDD"/>
    <w:rsid w:val="34FF095B"/>
    <w:rsid w:val="3500311A"/>
    <w:rsid w:val="350B76BF"/>
    <w:rsid w:val="350C5C16"/>
    <w:rsid w:val="351710F0"/>
    <w:rsid w:val="351F4B47"/>
    <w:rsid w:val="352B4097"/>
    <w:rsid w:val="352E435E"/>
    <w:rsid w:val="3534069E"/>
    <w:rsid w:val="353807E2"/>
    <w:rsid w:val="353D45FA"/>
    <w:rsid w:val="353F0E06"/>
    <w:rsid w:val="35422CF2"/>
    <w:rsid w:val="35505013"/>
    <w:rsid w:val="35531CAD"/>
    <w:rsid w:val="356D51F7"/>
    <w:rsid w:val="357972DF"/>
    <w:rsid w:val="357D79D3"/>
    <w:rsid w:val="35804F9D"/>
    <w:rsid w:val="35843B49"/>
    <w:rsid w:val="35884385"/>
    <w:rsid w:val="35890016"/>
    <w:rsid w:val="358B0F26"/>
    <w:rsid w:val="35924A15"/>
    <w:rsid w:val="359753B1"/>
    <w:rsid w:val="35A251D2"/>
    <w:rsid w:val="35A25468"/>
    <w:rsid w:val="35AC56FE"/>
    <w:rsid w:val="35C3354B"/>
    <w:rsid w:val="35C8705E"/>
    <w:rsid w:val="35CB283C"/>
    <w:rsid w:val="35D02A2E"/>
    <w:rsid w:val="35D16387"/>
    <w:rsid w:val="35DC6BD7"/>
    <w:rsid w:val="35DF2011"/>
    <w:rsid w:val="35E1012B"/>
    <w:rsid w:val="35E1505C"/>
    <w:rsid w:val="35E328B8"/>
    <w:rsid w:val="35E3701E"/>
    <w:rsid w:val="35E420DE"/>
    <w:rsid w:val="35E607CD"/>
    <w:rsid w:val="35EB34A9"/>
    <w:rsid w:val="35EC6F4A"/>
    <w:rsid w:val="35EE6A38"/>
    <w:rsid w:val="35F5734F"/>
    <w:rsid w:val="35F65884"/>
    <w:rsid w:val="35F715DC"/>
    <w:rsid w:val="36057267"/>
    <w:rsid w:val="360632C2"/>
    <w:rsid w:val="362131A7"/>
    <w:rsid w:val="362E1546"/>
    <w:rsid w:val="36330CA5"/>
    <w:rsid w:val="363F061B"/>
    <w:rsid w:val="364236D7"/>
    <w:rsid w:val="3654563C"/>
    <w:rsid w:val="365763B3"/>
    <w:rsid w:val="366F70DE"/>
    <w:rsid w:val="367C0A7E"/>
    <w:rsid w:val="36856B5A"/>
    <w:rsid w:val="36883C27"/>
    <w:rsid w:val="36950061"/>
    <w:rsid w:val="36A32443"/>
    <w:rsid w:val="36A61ADA"/>
    <w:rsid w:val="36AC504E"/>
    <w:rsid w:val="36B45F51"/>
    <w:rsid w:val="36B7013F"/>
    <w:rsid w:val="36D37FB9"/>
    <w:rsid w:val="36D40D9D"/>
    <w:rsid w:val="36D71D0D"/>
    <w:rsid w:val="36E17BD4"/>
    <w:rsid w:val="36E30071"/>
    <w:rsid w:val="36E31151"/>
    <w:rsid w:val="36E61D1E"/>
    <w:rsid w:val="36EF4947"/>
    <w:rsid w:val="36F76FAD"/>
    <w:rsid w:val="37060D5C"/>
    <w:rsid w:val="370F6D7D"/>
    <w:rsid w:val="3711176D"/>
    <w:rsid w:val="37113E21"/>
    <w:rsid w:val="37244D17"/>
    <w:rsid w:val="373F483B"/>
    <w:rsid w:val="37451D56"/>
    <w:rsid w:val="375C645A"/>
    <w:rsid w:val="37633810"/>
    <w:rsid w:val="376A27F4"/>
    <w:rsid w:val="37737FCD"/>
    <w:rsid w:val="377E4EC2"/>
    <w:rsid w:val="37831AFE"/>
    <w:rsid w:val="37855CA5"/>
    <w:rsid w:val="379747E4"/>
    <w:rsid w:val="37A10A3C"/>
    <w:rsid w:val="37A32862"/>
    <w:rsid w:val="37A771F1"/>
    <w:rsid w:val="37A83EE9"/>
    <w:rsid w:val="37AA1FED"/>
    <w:rsid w:val="37B033F0"/>
    <w:rsid w:val="37B25951"/>
    <w:rsid w:val="37B82D37"/>
    <w:rsid w:val="37BB1880"/>
    <w:rsid w:val="37BF7DD8"/>
    <w:rsid w:val="37CA6F5D"/>
    <w:rsid w:val="37CF39F4"/>
    <w:rsid w:val="37DE142C"/>
    <w:rsid w:val="37DF4E44"/>
    <w:rsid w:val="38093CF4"/>
    <w:rsid w:val="38132FDB"/>
    <w:rsid w:val="381523AC"/>
    <w:rsid w:val="3816611D"/>
    <w:rsid w:val="381A7833"/>
    <w:rsid w:val="381D6FCC"/>
    <w:rsid w:val="38255502"/>
    <w:rsid w:val="382563C3"/>
    <w:rsid w:val="382B10C6"/>
    <w:rsid w:val="384502C9"/>
    <w:rsid w:val="384757BF"/>
    <w:rsid w:val="384A568A"/>
    <w:rsid w:val="384C2E85"/>
    <w:rsid w:val="384D7A6B"/>
    <w:rsid w:val="38527F5E"/>
    <w:rsid w:val="38576EB1"/>
    <w:rsid w:val="385B78DA"/>
    <w:rsid w:val="385E7289"/>
    <w:rsid w:val="386B3647"/>
    <w:rsid w:val="386F64C6"/>
    <w:rsid w:val="38724636"/>
    <w:rsid w:val="38755246"/>
    <w:rsid w:val="38850F2D"/>
    <w:rsid w:val="388F47CD"/>
    <w:rsid w:val="3891497A"/>
    <w:rsid w:val="38921D1F"/>
    <w:rsid w:val="38934709"/>
    <w:rsid w:val="3899545E"/>
    <w:rsid w:val="389B63CB"/>
    <w:rsid w:val="389D36E7"/>
    <w:rsid w:val="38AD0AAC"/>
    <w:rsid w:val="38AF121A"/>
    <w:rsid w:val="38B10DA8"/>
    <w:rsid w:val="38B94B51"/>
    <w:rsid w:val="38B976FB"/>
    <w:rsid w:val="38BB5EDA"/>
    <w:rsid w:val="38C6779A"/>
    <w:rsid w:val="38DC2A26"/>
    <w:rsid w:val="38DC5040"/>
    <w:rsid w:val="38E33CFC"/>
    <w:rsid w:val="38EA0958"/>
    <w:rsid w:val="38EA292A"/>
    <w:rsid w:val="38EB3140"/>
    <w:rsid w:val="38F71493"/>
    <w:rsid w:val="38FC7F68"/>
    <w:rsid w:val="390150BD"/>
    <w:rsid w:val="39015BC8"/>
    <w:rsid w:val="390A29CF"/>
    <w:rsid w:val="39132EBE"/>
    <w:rsid w:val="3923223F"/>
    <w:rsid w:val="392C3404"/>
    <w:rsid w:val="393F3649"/>
    <w:rsid w:val="39434B25"/>
    <w:rsid w:val="39442CC4"/>
    <w:rsid w:val="39473C95"/>
    <w:rsid w:val="394A3B36"/>
    <w:rsid w:val="394C053B"/>
    <w:rsid w:val="394E0439"/>
    <w:rsid w:val="39532D05"/>
    <w:rsid w:val="395A1855"/>
    <w:rsid w:val="395E1405"/>
    <w:rsid w:val="3962425A"/>
    <w:rsid w:val="396E504E"/>
    <w:rsid w:val="396F7993"/>
    <w:rsid w:val="39741673"/>
    <w:rsid w:val="397F2866"/>
    <w:rsid w:val="39850A26"/>
    <w:rsid w:val="39893783"/>
    <w:rsid w:val="399108C7"/>
    <w:rsid w:val="399B6654"/>
    <w:rsid w:val="399C23C2"/>
    <w:rsid w:val="399E7C65"/>
    <w:rsid w:val="39A118CD"/>
    <w:rsid w:val="39A337DD"/>
    <w:rsid w:val="39B1002C"/>
    <w:rsid w:val="39B75345"/>
    <w:rsid w:val="39BA1CF7"/>
    <w:rsid w:val="39BA2065"/>
    <w:rsid w:val="39C83126"/>
    <w:rsid w:val="39CD4753"/>
    <w:rsid w:val="39D037AF"/>
    <w:rsid w:val="39D466BD"/>
    <w:rsid w:val="39D7158B"/>
    <w:rsid w:val="39DC1B39"/>
    <w:rsid w:val="39E03897"/>
    <w:rsid w:val="39E125BA"/>
    <w:rsid w:val="39EE1B0B"/>
    <w:rsid w:val="39F17FFD"/>
    <w:rsid w:val="39F24322"/>
    <w:rsid w:val="39FA1859"/>
    <w:rsid w:val="39FC1FD5"/>
    <w:rsid w:val="3A03384A"/>
    <w:rsid w:val="3A066160"/>
    <w:rsid w:val="3A083121"/>
    <w:rsid w:val="3A0D48B1"/>
    <w:rsid w:val="3A1810FA"/>
    <w:rsid w:val="3A2441B7"/>
    <w:rsid w:val="3A274488"/>
    <w:rsid w:val="3A28048B"/>
    <w:rsid w:val="3A336331"/>
    <w:rsid w:val="3A425B7A"/>
    <w:rsid w:val="3A431472"/>
    <w:rsid w:val="3A474B1C"/>
    <w:rsid w:val="3A491BE6"/>
    <w:rsid w:val="3A5207B4"/>
    <w:rsid w:val="3A541BF5"/>
    <w:rsid w:val="3A553D9F"/>
    <w:rsid w:val="3A597477"/>
    <w:rsid w:val="3A5A285A"/>
    <w:rsid w:val="3A5E32B9"/>
    <w:rsid w:val="3A646A00"/>
    <w:rsid w:val="3A697F71"/>
    <w:rsid w:val="3A6A4AC7"/>
    <w:rsid w:val="3A6E26C3"/>
    <w:rsid w:val="3A6F0BDF"/>
    <w:rsid w:val="3A72622B"/>
    <w:rsid w:val="3A75769F"/>
    <w:rsid w:val="3A7A025B"/>
    <w:rsid w:val="3A7E2244"/>
    <w:rsid w:val="3A861E9F"/>
    <w:rsid w:val="3A897BA1"/>
    <w:rsid w:val="3A9038DA"/>
    <w:rsid w:val="3A936647"/>
    <w:rsid w:val="3A9E4B32"/>
    <w:rsid w:val="3A9F1B2C"/>
    <w:rsid w:val="3AA04C49"/>
    <w:rsid w:val="3AA54470"/>
    <w:rsid w:val="3AA913CF"/>
    <w:rsid w:val="3AB86069"/>
    <w:rsid w:val="3AC036CC"/>
    <w:rsid w:val="3AC205A6"/>
    <w:rsid w:val="3AC257A4"/>
    <w:rsid w:val="3AC334CD"/>
    <w:rsid w:val="3AD16134"/>
    <w:rsid w:val="3AD17EBD"/>
    <w:rsid w:val="3ADE382E"/>
    <w:rsid w:val="3AEA3CFC"/>
    <w:rsid w:val="3AF044A5"/>
    <w:rsid w:val="3AF04F5E"/>
    <w:rsid w:val="3AFC4CC9"/>
    <w:rsid w:val="3B00301D"/>
    <w:rsid w:val="3B1752EE"/>
    <w:rsid w:val="3B1C35AC"/>
    <w:rsid w:val="3B1F0CAE"/>
    <w:rsid w:val="3B22468C"/>
    <w:rsid w:val="3B292A67"/>
    <w:rsid w:val="3B3155AA"/>
    <w:rsid w:val="3B3E0B10"/>
    <w:rsid w:val="3B4F1508"/>
    <w:rsid w:val="3B580D61"/>
    <w:rsid w:val="3B696BF9"/>
    <w:rsid w:val="3B6F0DCA"/>
    <w:rsid w:val="3B754E06"/>
    <w:rsid w:val="3B7B2B0A"/>
    <w:rsid w:val="3B7C7B97"/>
    <w:rsid w:val="3B8372AE"/>
    <w:rsid w:val="3B914065"/>
    <w:rsid w:val="3B9F483C"/>
    <w:rsid w:val="3BB249F7"/>
    <w:rsid w:val="3BBE3122"/>
    <w:rsid w:val="3BC20515"/>
    <w:rsid w:val="3BC53C74"/>
    <w:rsid w:val="3BC60370"/>
    <w:rsid w:val="3BC62C0D"/>
    <w:rsid w:val="3BC772AB"/>
    <w:rsid w:val="3BC812C8"/>
    <w:rsid w:val="3BD741DE"/>
    <w:rsid w:val="3BE7491F"/>
    <w:rsid w:val="3BE82033"/>
    <w:rsid w:val="3BEF3F98"/>
    <w:rsid w:val="3BF01125"/>
    <w:rsid w:val="3BF1165C"/>
    <w:rsid w:val="3BF82655"/>
    <w:rsid w:val="3BF90B59"/>
    <w:rsid w:val="3C035D20"/>
    <w:rsid w:val="3C0C1C74"/>
    <w:rsid w:val="3C12184A"/>
    <w:rsid w:val="3C165216"/>
    <w:rsid w:val="3C20030B"/>
    <w:rsid w:val="3C220A63"/>
    <w:rsid w:val="3C257E8D"/>
    <w:rsid w:val="3C286FD8"/>
    <w:rsid w:val="3C326DEB"/>
    <w:rsid w:val="3C3C1378"/>
    <w:rsid w:val="3C497D33"/>
    <w:rsid w:val="3C5A342C"/>
    <w:rsid w:val="3C5C0867"/>
    <w:rsid w:val="3C656EED"/>
    <w:rsid w:val="3C685003"/>
    <w:rsid w:val="3C6D452D"/>
    <w:rsid w:val="3C6E7843"/>
    <w:rsid w:val="3C727A71"/>
    <w:rsid w:val="3C732FE2"/>
    <w:rsid w:val="3C786DE5"/>
    <w:rsid w:val="3C7A20C3"/>
    <w:rsid w:val="3C7A3669"/>
    <w:rsid w:val="3C7D3E58"/>
    <w:rsid w:val="3C882BD0"/>
    <w:rsid w:val="3C94545E"/>
    <w:rsid w:val="3C975DCC"/>
    <w:rsid w:val="3CAE0651"/>
    <w:rsid w:val="3CBC2D9B"/>
    <w:rsid w:val="3CC5588D"/>
    <w:rsid w:val="3CCD1D16"/>
    <w:rsid w:val="3CD83C07"/>
    <w:rsid w:val="3CD85D57"/>
    <w:rsid w:val="3CD87AA0"/>
    <w:rsid w:val="3CDA5112"/>
    <w:rsid w:val="3CDB62C1"/>
    <w:rsid w:val="3CE13BDF"/>
    <w:rsid w:val="3CE26359"/>
    <w:rsid w:val="3CE70364"/>
    <w:rsid w:val="3CFD4D35"/>
    <w:rsid w:val="3D064D69"/>
    <w:rsid w:val="3D0E3667"/>
    <w:rsid w:val="3D0E399D"/>
    <w:rsid w:val="3D123F8D"/>
    <w:rsid w:val="3D12721E"/>
    <w:rsid w:val="3D1B45BC"/>
    <w:rsid w:val="3D27093B"/>
    <w:rsid w:val="3D351ADA"/>
    <w:rsid w:val="3D3D6CB6"/>
    <w:rsid w:val="3D444248"/>
    <w:rsid w:val="3D4B2FA5"/>
    <w:rsid w:val="3D527DA5"/>
    <w:rsid w:val="3D546058"/>
    <w:rsid w:val="3D5461A9"/>
    <w:rsid w:val="3D58650A"/>
    <w:rsid w:val="3D590765"/>
    <w:rsid w:val="3D5A6060"/>
    <w:rsid w:val="3D640E16"/>
    <w:rsid w:val="3D67132F"/>
    <w:rsid w:val="3D7B0D27"/>
    <w:rsid w:val="3D7E27A0"/>
    <w:rsid w:val="3D874F51"/>
    <w:rsid w:val="3D896CEB"/>
    <w:rsid w:val="3D9A2D6C"/>
    <w:rsid w:val="3D9D0681"/>
    <w:rsid w:val="3DAF1596"/>
    <w:rsid w:val="3DB52668"/>
    <w:rsid w:val="3DD3077A"/>
    <w:rsid w:val="3DDF7A0D"/>
    <w:rsid w:val="3DFD4BBE"/>
    <w:rsid w:val="3E00097B"/>
    <w:rsid w:val="3E011326"/>
    <w:rsid w:val="3E024B7B"/>
    <w:rsid w:val="3E104548"/>
    <w:rsid w:val="3E19435F"/>
    <w:rsid w:val="3E20393D"/>
    <w:rsid w:val="3E205773"/>
    <w:rsid w:val="3E264903"/>
    <w:rsid w:val="3E2806A1"/>
    <w:rsid w:val="3E2E35CB"/>
    <w:rsid w:val="3E31025E"/>
    <w:rsid w:val="3E342DA3"/>
    <w:rsid w:val="3E3D1463"/>
    <w:rsid w:val="3E471ABE"/>
    <w:rsid w:val="3E4755F9"/>
    <w:rsid w:val="3E492A39"/>
    <w:rsid w:val="3E4B1409"/>
    <w:rsid w:val="3E556354"/>
    <w:rsid w:val="3E6336EF"/>
    <w:rsid w:val="3E660D1B"/>
    <w:rsid w:val="3E6E2E9E"/>
    <w:rsid w:val="3E8222F7"/>
    <w:rsid w:val="3E8258B1"/>
    <w:rsid w:val="3E8821CE"/>
    <w:rsid w:val="3E92738B"/>
    <w:rsid w:val="3E99456A"/>
    <w:rsid w:val="3E9E1385"/>
    <w:rsid w:val="3EA0570F"/>
    <w:rsid w:val="3EA2409C"/>
    <w:rsid w:val="3EAD3D57"/>
    <w:rsid w:val="3EAF02B7"/>
    <w:rsid w:val="3EB1188E"/>
    <w:rsid w:val="3EB428B4"/>
    <w:rsid w:val="3EBD63D7"/>
    <w:rsid w:val="3EC07733"/>
    <w:rsid w:val="3EC334A7"/>
    <w:rsid w:val="3EC678BC"/>
    <w:rsid w:val="3ED01824"/>
    <w:rsid w:val="3EE067CA"/>
    <w:rsid w:val="3EEF26AB"/>
    <w:rsid w:val="3EF21C38"/>
    <w:rsid w:val="3EF57D05"/>
    <w:rsid w:val="3EF96B38"/>
    <w:rsid w:val="3F002CCF"/>
    <w:rsid w:val="3F0566FF"/>
    <w:rsid w:val="3F0605BE"/>
    <w:rsid w:val="3F06365D"/>
    <w:rsid w:val="3F0A3CA5"/>
    <w:rsid w:val="3F0B1DB8"/>
    <w:rsid w:val="3F0C44E7"/>
    <w:rsid w:val="3F0E6EA3"/>
    <w:rsid w:val="3F122278"/>
    <w:rsid w:val="3F155D82"/>
    <w:rsid w:val="3F261DEC"/>
    <w:rsid w:val="3F305E06"/>
    <w:rsid w:val="3F453E8A"/>
    <w:rsid w:val="3F47737F"/>
    <w:rsid w:val="3F523976"/>
    <w:rsid w:val="3F52626A"/>
    <w:rsid w:val="3F5322DF"/>
    <w:rsid w:val="3F556A35"/>
    <w:rsid w:val="3F5867B3"/>
    <w:rsid w:val="3F5A301C"/>
    <w:rsid w:val="3F637202"/>
    <w:rsid w:val="3F65418C"/>
    <w:rsid w:val="3F664F14"/>
    <w:rsid w:val="3F6763B0"/>
    <w:rsid w:val="3F6D1D36"/>
    <w:rsid w:val="3F6D2017"/>
    <w:rsid w:val="3F7339EB"/>
    <w:rsid w:val="3F770167"/>
    <w:rsid w:val="3F7D65D1"/>
    <w:rsid w:val="3F836296"/>
    <w:rsid w:val="3F9526FD"/>
    <w:rsid w:val="3F960218"/>
    <w:rsid w:val="3F9B508E"/>
    <w:rsid w:val="3FA01128"/>
    <w:rsid w:val="3FA10F73"/>
    <w:rsid w:val="3FA51002"/>
    <w:rsid w:val="3FA5548C"/>
    <w:rsid w:val="3FB1448E"/>
    <w:rsid w:val="3FB33F0F"/>
    <w:rsid w:val="3FB56B87"/>
    <w:rsid w:val="3FB827B0"/>
    <w:rsid w:val="3FB9798A"/>
    <w:rsid w:val="3FBC4DF5"/>
    <w:rsid w:val="3FBE226E"/>
    <w:rsid w:val="3FC1797E"/>
    <w:rsid w:val="3FC74EA5"/>
    <w:rsid w:val="3FC80A13"/>
    <w:rsid w:val="3FC924C5"/>
    <w:rsid w:val="3FD001E0"/>
    <w:rsid w:val="3FD35125"/>
    <w:rsid w:val="3FDD5AA3"/>
    <w:rsid w:val="3FDD60EB"/>
    <w:rsid w:val="3FE1611D"/>
    <w:rsid w:val="3FE9762E"/>
    <w:rsid w:val="3FEB7EF7"/>
    <w:rsid w:val="3FF0534A"/>
    <w:rsid w:val="3FFC6AA1"/>
    <w:rsid w:val="3FFE725C"/>
    <w:rsid w:val="400D4689"/>
    <w:rsid w:val="40171E63"/>
    <w:rsid w:val="401B305E"/>
    <w:rsid w:val="401C023A"/>
    <w:rsid w:val="401E624D"/>
    <w:rsid w:val="4040700B"/>
    <w:rsid w:val="404E183E"/>
    <w:rsid w:val="40505926"/>
    <w:rsid w:val="405074F9"/>
    <w:rsid w:val="40592E1A"/>
    <w:rsid w:val="40742B10"/>
    <w:rsid w:val="40851F94"/>
    <w:rsid w:val="40860806"/>
    <w:rsid w:val="408727EE"/>
    <w:rsid w:val="40881B05"/>
    <w:rsid w:val="408B015C"/>
    <w:rsid w:val="408D2092"/>
    <w:rsid w:val="40987E91"/>
    <w:rsid w:val="40AE535D"/>
    <w:rsid w:val="40B323C5"/>
    <w:rsid w:val="40B40F93"/>
    <w:rsid w:val="40B77C21"/>
    <w:rsid w:val="40BB1B3B"/>
    <w:rsid w:val="40C87F0D"/>
    <w:rsid w:val="40E13187"/>
    <w:rsid w:val="40E4111E"/>
    <w:rsid w:val="40F110C9"/>
    <w:rsid w:val="40F71EFC"/>
    <w:rsid w:val="40FA7D3C"/>
    <w:rsid w:val="40FC6040"/>
    <w:rsid w:val="41013098"/>
    <w:rsid w:val="41046C1A"/>
    <w:rsid w:val="410A66D3"/>
    <w:rsid w:val="411252F5"/>
    <w:rsid w:val="41216561"/>
    <w:rsid w:val="4126157E"/>
    <w:rsid w:val="412E1703"/>
    <w:rsid w:val="41341D04"/>
    <w:rsid w:val="413D5182"/>
    <w:rsid w:val="41463814"/>
    <w:rsid w:val="414E4666"/>
    <w:rsid w:val="415840E7"/>
    <w:rsid w:val="415C6645"/>
    <w:rsid w:val="415D4AA5"/>
    <w:rsid w:val="415E3F30"/>
    <w:rsid w:val="41634269"/>
    <w:rsid w:val="416F185F"/>
    <w:rsid w:val="41755F8B"/>
    <w:rsid w:val="417E6FB2"/>
    <w:rsid w:val="41804E56"/>
    <w:rsid w:val="418B61F9"/>
    <w:rsid w:val="418C5064"/>
    <w:rsid w:val="41901D5A"/>
    <w:rsid w:val="41A26E55"/>
    <w:rsid w:val="41AE168E"/>
    <w:rsid w:val="41B000EA"/>
    <w:rsid w:val="41B625DB"/>
    <w:rsid w:val="41BB28C5"/>
    <w:rsid w:val="41C505B5"/>
    <w:rsid w:val="41D7643D"/>
    <w:rsid w:val="41D80DF6"/>
    <w:rsid w:val="41F41099"/>
    <w:rsid w:val="41F4144D"/>
    <w:rsid w:val="41F425A0"/>
    <w:rsid w:val="41FD1E4D"/>
    <w:rsid w:val="41FF1232"/>
    <w:rsid w:val="42004A07"/>
    <w:rsid w:val="42036CED"/>
    <w:rsid w:val="420445BE"/>
    <w:rsid w:val="42044B55"/>
    <w:rsid w:val="42106699"/>
    <w:rsid w:val="421D3532"/>
    <w:rsid w:val="422747DE"/>
    <w:rsid w:val="423D7E2C"/>
    <w:rsid w:val="42405192"/>
    <w:rsid w:val="4253494B"/>
    <w:rsid w:val="42563DD4"/>
    <w:rsid w:val="425F0874"/>
    <w:rsid w:val="42605991"/>
    <w:rsid w:val="42624CEC"/>
    <w:rsid w:val="42667AD5"/>
    <w:rsid w:val="426B2083"/>
    <w:rsid w:val="42745271"/>
    <w:rsid w:val="42746AFF"/>
    <w:rsid w:val="427A2426"/>
    <w:rsid w:val="428622E0"/>
    <w:rsid w:val="428740C5"/>
    <w:rsid w:val="4295023B"/>
    <w:rsid w:val="42A72E3E"/>
    <w:rsid w:val="42A9771E"/>
    <w:rsid w:val="42AB3CF1"/>
    <w:rsid w:val="42AF06BF"/>
    <w:rsid w:val="42AF744D"/>
    <w:rsid w:val="42B97DE2"/>
    <w:rsid w:val="42BD3640"/>
    <w:rsid w:val="42BE1411"/>
    <w:rsid w:val="42BF0482"/>
    <w:rsid w:val="42C3638C"/>
    <w:rsid w:val="42C8399F"/>
    <w:rsid w:val="42CC1C77"/>
    <w:rsid w:val="42CE7CBC"/>
    <w:rsid w:val="42E67A2D"/>
    <w:rsid w:val="42EF6EDD"/>
    <w:rsid w:val="42F63370"/>
    <w:rsid w:val="4303189E"/>
    <w:rsid w:val="43043B4B"/>
    <w:rsid w:val="430C0701"/>
    <w:rsid w:val="431D662D"/>
    <w:rsid w:val="431D7413"/>
    <w:rsid w:val="43230977"/>
    <w:rsid w:val="43260906"/>
    <w:rsid w:val="4329778C"/>
    <w:rsid w:val="432A433E"/>
    <w:rsid w:val="432F48E4"/>
    <w:rsid w:val="433451E7"/>
    <w:rsid w:val="433454E3"/>
    <w:rsid w:val="43380FA2"/>
    <w:rsid w:val="433914CB"/>
    <w:rsid w:val="434030C7"/>
    <w:rsid w:val="434321EE"/>
    <w:rsid w:val="434C3803"/>
    <w:rsid w:val="4357411B"/>
    <w:rsid w:val="43624524"/>
    <w:rsid w:val="436E4602"/>
    <w:rsid w:val="43773B38"/>
    <w:rsid w:val="437C303F"/>
    <w:rsid w:val="437E59F4"/>
    <w:rsid w:val="437F0235"/>
    <w:rsid w:val="438108B1"/>
    <w:rsid w:val="438127FD"/>
    <w:rsid w:val="438C318F"/>
    <w:rsid w:val="438D2962"/>
    <w:rsid w:val="439125BA"/>
    <w:rsid w:val="439E21D0"/>
    <w:rsid w:val="43A136C2"/>
    <w:rsid w:val="43A47C8D"/>
    <w:rsid w:val="43A51CEB"/>
    <w:rsid w:val="43A922AD"/>
    <w:rsid w:val="43AE228C"/>
    <w:rsid w:val="43B03D9F"/>
    <w:rsid w:val="43B2322B"/>
    <w:rsid w:val="43B27B0F"/>
    <w:rsid w:val="43BD17B6"/>
    <w:rsid w:val="43BF433F"/>
    <w:rsid w:val="43C60D41"/>
    <w:rsid w:val="43C71A8C"/>
    <w:rsid w:val="43CB49D5"/>
    <w:rsid w:val="43CC296D"/>
    <w:rsid w:val="43D10BA3"/>
    <w:rsid w:val="43D51B86"/>
    <w:rsid w:val="43D5596E"/>
    <w:rsid w:val="43D946DF"/>
    <w:rsid w:val="43DD3E84"/>
    <w:rsid w:val="43E63A35"/>
    <w:rsid w:val="43EA4AD8"/>
    <w:rsid w:val="43EA731F"/>
    <w:rsid w:val="43EF4362"/>
    <w:rsid w:val="43F5608C"/>
    <w:rsid w:val="43FA20D7"/>
    <w:rsid w:val="440433D0"/>
    <w:rsid w:val="44081998"/>
    <w:rsid w:val="440A1D09"/>
    <w:rsid w:val="44105FE6"/>
    <w:rsid w:val="44163757"/>
    <w:rsid w:val="442E6250"/>
    <w:rsid w:val="44304862"/>
    <w:rsid w:val="44336B29"/>
    <w:rsid w:val="44342374"/>
    <w:rsid w:val="44411D78"/>
    <w:rsid w:val="444255C8"/>
    <w:rsid w:val="44555450"/>
    <w:rsid w:val="44565401"/>
    <w:rsid w:val="445C184B"/>
    <w:rsid w:val="445C1F8C"/>
    <w:rsid w:val="445C2CEB"/>
    <w:rsid w:val="44623D2C"/>
    <w:rsid w:val="4469425C"/>
    <w:rsid w:val="446C5925"/>
    <w:rsid w:val="44715BA6"/>
    <w:rsid w:val="44744DE1"/>
    <w:rsid w:val="4480267E"/>
    <w:rsid w:val="44813BCD"/>
    <w:rsid w:val="44825908"/>
    <w:rsid w:val="448F333F"/>
    <w:rsid w:val="449A5595"/>
    <w:rsid w:val="44A273D7"/>
    <w:rsid w:val="44A3165A"/>
    <w:rsid w:val="44A949BB"/>
    <w:rsid w:val="44B47D28"/>
    <w:rsid w:val="44BE6AFA"/>
    <w:rsid w:val="44BE7B38"/>
    <w:rsid w:val="44C10C52"/>
    <w:rsid w:val="44C4343F"/>
    <w:rsid w:val="44CC5637"/>
    <w:rsid w:val="44CE1860"/>
    <w:rsid w:val="44D01EAB"/>
    <w:rsid w:val="44D61276"/>
    <w:rsid w:val="44F550F4"/>
    <w:rsid w:val="44FB2020"/>
    <w:rsid w:val="450005C9"/>
    <w:rsid w:val="450E225C"/>
    <w:rsid w:val="450E5F3E"/>
    <w:rsid w:val="451C3C3F"/>
    <w:rsid w:val="45202195"/>
    <w:rsid w:val="45282E33"/>
    <w:rsid w:val="45361C96"/>
    <w:rsid w:val="45367180"/>
    <w:rsid w:val="453936A0"/>
    <w:rsid w:val="454B27CA"/>
    <w:rsid w:val="4555071F"/>
    <w:rsid w:val="455B027F"/>
    <w:rsid w:val="45634F36"/>
    <w:rsid w:val="456433C3"/>
    <w:rsid w:val="4566286A"/>
    <w:rsid w:val="456653F0"/>
    <w:rsid w:val="456745BB"/>
    <w:rsid w:val="45677DA7"/>
    <w:rsid w:val="45736E48"/>
    <w:rsid w:val="45743F66"/>
    <w:rsid w:val="45761FD8"/>
    <w:rsid w:val="457B0C49"/>
    <w:rsid w:val="45864B77"/>
    <w:rsid w:val="458A06CD"/>
    <w:rsid w:val="458D3A63"/>
    <w:rsid w:val="4597177B"/>
    <w:rsid w:val="45A85821"/>
    <w:rsid w:val="45AA0EA4"/>
    <w:rsid w:val="45AC57A6"/>
    <w:rsid w:val="45AF03CF"/>
    <w:rsid w:val="45B23BD8"/>
    <w:rsid w:val="45B31674"/>
    <w:rsid w:val="45B52BBB"/>
    <w:rsid w:val="45C3178B"/>
    <w:rsid w:val="45C56C6C"/>
    <w:rsid w:val="45C81474"/>
    <w:rsid w:val="45C85D55"/>
    <w:rsid w:val="45C91BC6"/>
    <w:rsid w:val="45CD1312"/>
    <w:rsid w:val="45CE3F02"/>
    <w:rsid w:val="45DE2684"/>
    <w:rsid w:val="45E349A9"/>
    <w:rsid w:val="45F22D7B"/>
    <w:rsid w:val="45F25B71"/>
    <w:rsid w:val="45F6092A"/>
    <w:rsid w:val="45FD29AC"/>
    <w:rsid w:val="46122C2B"/>
    <w:rsid w:val="461E6998"/>
    <w:rsid w:val="46202725"/>
    <w:rsid w:val="4622618B"/>
    <w:rsid w:val="4624768B"/>
    <w:rsid w:val="46283409"/>
    <w:rsid w:val="462E1DEC"/>
    <w:rsid w:val="462F257F"/>
    <w:rsid w:val="46316796"/>
    <w:rsid w:val="46436765"/>
    <w:rsid w:val="464C5980"/>
    <w:rsid w:val="464C598F"/>
    <w:rsid w:val="46541012"/>
    <w:rsid w:val="46595BDC"/>
    <w:rsid w:val="465B04AA"/>
    <w:rsid w:val="466467A4"/>
    <w:rsid w:val="466B7E63"/>
    <w:rsid w:val="46726232"/>
    <w:rsid w:val="46731512"/>
    <w:rsid w:val="46795DED"/>
    <w:rsid w:val="468843FE"/>
    <w:rsid w:val="469849B7"/>
    <w:rsid w:val="46991FD8"/>
    <w:rsid w:val="469D4E61"/>
    <w:rsid w:val="46A36DFD"/>
    <w:rsid w:val="46BC2272"/>
    <w:rsid w:val="46D62B88"/>
    <w:rsid w:val="46D929E4"/>
    <w:rsid w:val="46DA3CDF"/>
    <w:rsid w:val="46DD3A97"/>
    <w:rsid w:val="46E122D5"/>
    <w:rsid w:val="46E51519"/>
    <w:rsid w:val="46E72217"/>
    <w:rsid w:val="46EB56D0"/>
    <w:rsid w:val="46EF6BE5"/>
    <w:rsid w:val="46F94629"/>
    <w:rsid w:val="46FE33A2"/>
    <w:rsid w:val="47034B98"/>
    <w:rsid w:val="47067487"/>
    <w:rsid w:val="470675DD"/>
    <w:rsid w:val="47102BE0"/>
    <w:rsid w:val="47115999"/>
    <w:rsid w:val="47123D8D"/>
    <w:rsid w:val="471651A2"/>
    <w:rsid w:val="47195C33"/>
    <w:rsid w:val="472322A2"/>
    <w:rsid w:val="472E14A0"/>
    <w:rsid w:val="472F2F47"/>
    <w:rsid w:val="47304A60"/>
    <w:rsid w:val="47321070"/>
    <w:rsid w:val="47382CDB"/>
    <w:rsid w:val="47383706"/>
    <w:rsid w:val="473F3443"/>
    <w:rsid w:val="47442FEA"/>
    <w:rsid w:val="47476898"/>
    <w:rsid w:val="474825BA"/>
    <w:rsid w:val="47524966"/>
    <w:rsid w:val="475E1AB6"/>
    <w:rsid w:val="4764753D"/>
    <w:rsid w:val="47663624"/>
    <w:rsid w:val="4779594B"/>
    <w:rsid w:val="477E3FE9"/>
    <w:rsid w:val="478E58BD"/>
    <w:rsid w:val="47933AFC"/>
    <w:rsid w:val="47946581"/>
    <w:rsid w:val="47997ECC"/>
    <w:rsid w:val="47A938A8"/>
    <w:rsid w:val="47AD2393"/>
    <w:rsid w:val="47AF4DB4"/>
    <w:rsid w:val="47C05960"/>
    <w:rsid w:val="47CA211A"/>
    <w:rsid w:val="47CE6AD8"/>
    <w:rsid w:val="47D00B76"/>
    <w:rsid w:val="47D266F4"/>
    <w:rsid w:val="47EA3D7A"/>
    <w:rsid w:val="47EB3A88"/>
    <w:rsid w:val="47ED09EA"/>
    <w:rsid w:val="47F03825"/>
    <w:rsid w:val="47F67231"/>
    <w:rsid w:val="47F72583"/>
    <w:rsid w:val="47FE4F97"/>
    <w:rsid w:val="48043BE9"/>
    <w:rsid w:val="48050F31"/>
    <w:rsid w:val="480B064E"/>
    <w:rsid w:val="48152A57"/>
    <w:rsid w:val="481B77EC"/>
    <w:rsid w:val="481F00E4"/>
    <w:rsid w:val="48230137"/>
    <w:rsid w:val="482A5E63"/>
    <w:rsid w:val="48357C17"/>
    <w:rsid w:val="483602D1"/>
    <w:rsid w:val="48360F72"/>
    <w:rsid w:val="48466EDC"/>
    <w:rsid w:val="486022F2"/>
    <w:rsid w:val="486505C9"/>
    <w:rsid w:val="48717233"/>
    <w:rsid w:val="487736C7"/>
    <w:rsid w:val="48794416"/>
    <w:rsid w:val="4886149A"/>
    <w:rsid w:val="48870995"/>
    <w:rsid w:val="488933F6"/>
    <w:rsid w:val="488F18B7"/>
    <w:rsid w:val="489C5A7F"/>
    <w:rsid w:val="489C5B95"/>
    <w:rsid w:val="489F248C"/>
    <w:rsid w:val="48A47128"/>
    <w:rsid w:val="48A53F58"/>
    <w:rsid w:val="48AA10E1"/>
    <w:rsid w:val="48AF1323"/>
    <w:rsid w:val="48B2080D"/>
    <w:rsid w:val="48B5518F"/>
    <w:rsid w:val="48BE6136"/>
    <w:rsid w:val="48C17060"/>
    <w:rsid w:val="48D22DB3"/>
    <w:rsid w:val="48D93445"/>
    <w:rsid w:val="48DA1D9C"/>
    <w:rsid w:val="48DC218D"/>
    <w:rsid w:val="48DF3D7D"/>
    <w:rsid w:val="48E4725A"/>
    <w:rsid w:val="48E915DE"/>
    <w:rsid w:val="48EB611E"/>
    <w:rsid w:val="48F7177C"/>
    <w:rsid w:val="48F9720D"/>
    <w:rsid w:val="490008E6"/>
    <w:rsid w:val="490425AB"/>
    <w:rsid w:val="49047124"/>
    <w:rsid w:val="49076238"/>
    <w:rsid w:val="49104838"/>
    <w:rsid w:val="49200C47"/>
    <w:rsid w:val="49250443"/>
    <w:rsid w:val="49267368"/>
    <w:rsid w:val="49276313"/>
    <w:rsid w:val="492F1B04"/>
    <w:rsid w:val="4930158D"/>
    <w:rsid w:val="493166F2"/>
    <w:rsid w:val="493E2578"/>
    <w:rsid w:val="4943084D"/>
    <w:rsid w:val="495B2F5A"/>
    <w:rsid w:val="49660B64"/>
    <w:rsid w:val="496E056A"/>
    <w:rsid w:val="497930F9"/>
    <w:rsid w:val="497E5F0E"/>
    <w:rsid w:val="49863345"/>
    <w:rsid w:val="49895BF9"/>
    <w:rsid w:val="49896889"/>
    <w:rsid w:val="498B006E"/>
    <w:rsid w:val="499C126E"/>
    <w:rsid w:val="49A20032"/>
    <w:rsid w:val="49A82756"/>
    <w:rsid w:val="49A86BF4"/>
    <w:rsid w:val="49A902DE"/>
    <w:rsid w:val="49A961CD"/>
    <w:rsid w:val="49B01F07"/>
    <w:rsid w:val="49B337E8"/>
    <w:rsid w:val="49B57903"/>
    <w:rsid w:val="49BB0B72"/>
    <w:rsid w:val="49CD3C98"/>
    <w:rsid w:val="49E27CCF"/>
    <w:rsid w:val="49F44446"/>
    <w:rsid w:val="49F543E3"/>
    <w:rsid w:val="49FA00AE"/>
    <w:rsid w:val="4A037F7B"/>
    <w:rsid w:val="4A0C3345"/>
    <w:rsid w:val="4A12511A"/>
    <w:rsid w:val="4A1C6B3C"/>
    <w:rsid w:val="4A2A339F"/>
    <w:rsid w:val="4A3849A0"/>
    <w:rsid w:val="4A3B0ADD"/>
    <w:rsid w:val="4A3D1213"/>
    <w:rsid w:val="4A405618"/>
    <w:rsid w:val="4A42752E"/>
    <w:rsid w:val="4A463FDD"/>
    <w:rsid w:val="4A4D2C8C"/>
    <w:rsid w:val="4A4D6FE1"/>
    <w:rsid w:val="4A4F464E"/>
    <w:rsid w:val="4A500FF5"/>
    <w:rsid w:val="4A51053D"/>
    <w:rsid w:val="4A541B9F"/>
    <w:rsid w:val="4A5B2412"/>
    <w:rsid w:val="4A603371"/>
    <w:rsid w:val="4A665A8F"/>
    <w:rsid w:val="4A6B6C00"/>
    <w:rsid w:val="4A7A1A7F"/>
    <w:rsid w:val="4A7B1C95"/>
    <w:rsid w:val="4A7C6D92"/>
    <w:rsid w:val="4A80680F"/>
    <w:rsid w:val="4A8B2BFF"/>
    <w:rsid w:val="4A8C3D45"/>
    <w:rsid w:val="4A996D58"/>
    <w:rsid w:val="4AA637CE"/>
    <w:rsid w:val="4AAA2363"/>
    <w:rsid w:val="4AAC0232"/>
    <w:rsid w:val="4AB420A2"/>
    <w:rsid w:val="4AB42562"/>
    <w:rsid w:val="4AB971E8"/>
    <w:rsid w:val="4ABC4127"/>
    <w:rsid w:val="4AC14B57"/>
    <w:rsid w:val="4AC462B3"/>
    <w:rsid w:val="4AC908CA"/>
    <w:rsid w:val="4AC95E08"/>
    <w:rsid w:val="4ACC60F1"/>
    <w:rsid w:val="4ACE3D63"/>
    <w:rsid w:val="4AD13FBF"/>
    <w:rsid w:val="4AD37FB6"/>
    <w:rsid w:val="4AED546D"/>
    <w:rsid w:val="4AF15169"/>
    <w:rsid w:val="4AF33411"/>
    <w:rsid w:val="4AFC4739"/>
    <w:rsid w:val="4AFF7966"/>
    <w:rsid w:val="4B0F4D9F"/>
    <w:rsid w:val="4B2B654D"/>
    <w:rsid w:val="4B2D2A9B"/>
    <w:rsid w:val="4B313BE7"/>
    <w:rsid w:val="4B331125"/>
    <w:rsid w:val="4B3405F9"/>
    <w:rsid w:val="4B473804"/>
    <w:rsid w:val="4B5151AA"/>
    <w:rsid w:val="4B537CBF"/>
    <w:rsid w:val="4B550153"/>
    <w:rsid w:val="4B641191"/>
    <w:rsid w:val="4B694B3A"/>
    <w:rsid w:val="4B730932"/>
    <w:rsid w:val="4B76529F"/>
    <w:rsid w:val="4B797876"/>
    <w:rsid w:val="4B7A237E"/>
    <w:rsid w:val="4B815FB3"/>
    <w:rsid w:val="4B86443F"/>
    <w:rsid w:val="4B9A0C4D"/>
    <w:rsid w:val="4B9B3B70"/>
    <w:rsid w:val="4B9E7936"/>
    <w:rsid w:val="4BAC176A"/>
    <w:rsid w:val="4BB7667A"/>
    <w:rsid w:val="4BBA25CD"/>
    <w:rsid w:val="4BBB242F"/>
    <w:rsid w:val="4BBB66CC"/>
    <w:rsid w:val="4BC15B7C"/>
    <w:rsid w:val="4BC22308"/>
    <w:rsid w:val="4BCC5B3C"/>
    <w:rsid w:val="4BD06F1C"/>
    <w:rsid w:val="4BD119E3"/>
    <w:rsid w:val="4BD11B2A"/>
    <w:rsid w:val="4BD13574"/>
    <w:rsid w:val="4BD47BEF"/>
    <w:rsid w:val="4BDA74DE"/>
    <w:rsid w:val="4BE06BCD"/>
    <w:rsid w:val="4BE413D6"/>
    <w:rsid w:val="4BE86538"/>
    <w:rsid w:val="4C001FDF"/>
    <w:rsid w:val="4C040A9A"/>
    <w:rsid w:val="4C0770C1"/>
    <w:rsid w:val="4C1F0776"/>
    <w:rsid w:val="4C232063"/>
    <w:rsid w:val="4C2503E2"/>
    <w:rsid w:val="4C2C299D"/>
    <w:rsid w:val="4C322608"/>
    <w:rsid w:val="4C3238CA"/>
    <w:rsid w:val="4C343A7F"/>
    <w:rsid w:val="4C380D78"/>
    <w:rsid w:val="4C3D0756"/>
    <w:rsid w:val="4C3D5FB7"/>
    <w:rsid w:val="4C4C1686"/>
    <w:rsid w:val="4C513E4B"/>
    <w:rsid w:val="4C603F1D"/>
    <w:rsid w:val="4C6211EA"/>
    <w:rsid w:val="4C635D18"/>
    <w:rsid w:val="4C670EB1"/>
    <w:rsid w:val="4C712086"/>
    <w:rsid w:val="4C7120EC"/>
    <w:rsid w:val="4C7B3D80"/>
    <w:rsid w:val="4C7C605E"/>
    <w:rsid w:val="4C7E2355"/>
    <w:rsid w:val="4C847264"/>
    <w:rsid w:val="4C970E7B"/>
    <w:rsid w:val="4CC1054F"/>
    <w:rsid w:val="4CCB1948"/>
    <w:rsid w:val="4CCE079D"/>
    <w:rsid w:val="4CCE3699"/>
    <w:rsid w:val="4CEA4F4D"/>
    <w:rsid w:val="4CEC58DB"/>
    <w:rsid w:val="4CEF637A"/>
    <w:rsid w:val="4CF00FB6"/>
    <w:rsid w:val="4CF16277"/>
    <w:rsid w:val="4CF4672D"/>
    <w:rsid w:val="4CFA2AAF"/>
    <w:rsid w:val="4CFB3299"/>
    <w:rsid w:val="4D035A68"/>
    <w:rsid w:val="4D0F26CE"/>
    <w:rsid w:val="4D147026"/>
    <w:rsid w:val="4D1478EC"/>
    <w:rsid w:val="4D165C91"/>
    <w:rsid w:val="4D235945"/>
    <w:rsid w:val="4D255F0E"/>
    <w:rsid w:val="4D2F06BA"/>
    <w:rsid w:val="4D304130"/>
    <w:rsid w:val="4D386B0D"/>
    <w:rsid w:val="4D4330D3"/>
    <w:rsid w:val="4D4B7DCE"/>
    <w:rsid w:val="4D545407"/>
    <w:rsid w:val="4D694F30"/>
    <w:rsid w:val="4D6B703C"/>
    <w:rsid w:val="4D717BA1"/>
    <w:rsid w:val="4D7F56C3"/>
    <w:rsid w:val="4D855FB9"/>
    <w:rsid w:val="4D8A0B26"/>
    <w:rsid w:val="4D904FEE"/>
    <w:rsid w:val="4D910D8A"/>
    <w:rsid w:val="4D935425"/>
    <w:rsid w:val="4D953CDB"/>
    <w:rsid w:val="4D97309D"/>
    <w:rsid w:val="4D9E090F"/>
    <w:rsid w:val="4DAC6E91"/>
    <w:rsid w:val="4DAE3711"/>
    <w:rsid w:val="4DB63BC4"/>
    <w:rsid w:val="4DB7591C"/>
    <w:rsid w:val="4DBB2984"/>
    <w:rsid w:val="4DCC46DA"/>
    <w:rsid w:val="4DDD5EB7"/>
    <w:rsid w:val="4DDE45A5"/>
    <w:rsid w:val="4DE15631"/>
    <w:rsid w:val="4DE265E9"/>
    <w:rsid w:val="4DE5023D"/>
    <w:rsid w:val="4DEB419D"/>
    <w:rsid w:val="4DF267CF"/>
    <w:rsid w:val="4DF6484E"/>
    <w:rsid w:val="4E043A0E"/>
    <w:rsid w:val="4E0B5D31"/>
    <w:rsid w:val="4E125681"/>
    <w:rsid w:val="4E1339D8"/>
    <w:rsid w:val="4E145C86"/>
    <w:rsid w:val="4E187CF8"/>
    <w:rsid w:val="4E1A5C2E"/>
    <w:rsid w:val="4E2B3781"/>
    <w:rsid w:val="4E337E4B"/>
    <w:rsid w:val="4E365771"/>
    <w:rsid w:val="4E3C3064"/>
    <w:rsid w:val="4E3C5DC0"/>
    <w:rsid w:val="4E446F8B"/>
    <w:rsid w:val="4E4D4DE2"/>
    <w:rsid w:val="4E5669BF"/>
    <w:rsid w:val="4E651EA6"/>
    <w:rsid w:val="4E6757B0"/>
    <w:rsid w:val="4E6C4048"/>
    <w:rsid w:val="4E783D17"/>
    <w:rsid w:val="4E805C19"/>
    <w:rsid w:val="4E836C4E"/>
    <w:rsid w:val="4E865BCD"/>
    <w:rsid w:val="4E957162"/>
    <w:rsid w:val="4E9E60B6"/>
    <w:rsid w:val="4EA27ACB"/>
    <w:rsid w:val="4EA60E85"/>
    <w:rsid w:val="4EB379F2"/>
    <w:rsid w:val="4EB838E0"/>
    <w:rsid w:val="4EBC3167"/>
    <w:rsid w:val="4EBC6632"/>
    <w:rsid w:val="4EBD4562"/>
    <w:rsid w:val="4EBD5620"/>
    <w:rsid w:val="4EBE0F4C"/>
    <w:rsid w:val="4ECD0F14"/>
    <w:rsid w:val="4ED017E4"/>
    <w:rsid w:val="4ED03B4F"/>
    <w:rsid w:val="4ED43AE8"/>
    <w:rsid w:val="4EDC1716"/>
    <w:rsid w:val="4EDF6F4B"/>
    <w:rsid w:val="4EE24F10"/>
    <w:rsid w:val="4EE77077"/>
    <w:rsid w:val="4EE8461F"/>
    <w:rsid w:val="4F0206C2"/>
    <w:rsid w:val="4F06414B"/>
    <w:rsid w:val="4F1A4FD6"/>
    <w:rsid w:val="4F1C2B4C"/>
    <w:rsid w:val="4F1E1A5A"/>
    <w:rsid w:val="4F2D5479"/>
    <w:rsid w:val="4F2E4FDB"/>
    <w:rsid w:val="4F3127D8"/>
    <w:rsid w:val="4F353521"/>
    <w:rsid w:val="4F3B798B"/>
    <w:rsid w:val="4F424396"/>
    <w:rsid w:val="4F461737"/>
    <w:rsid w:val="4F501AA5"/>
    <w:rsid w:val="4F507138"/>
    <w:rsid w:val="4F5431F2"/>
    <w:rsid w:val="4F594949"/>
    <w:rsid w:val="4F5A315B"/>
    <w:rsid w:val="4F664358"/>
    <w:rsid w:val="4F7041A7"/>
    <w:rsid w:val="4F7349ED"/>
    <w:rsid w:val="4F7C7D62"/>
    <w:rsid w:val="4F88390E"/>
    <w:rsid w:val="4F8865D2"/>
    <w:rsid w:val="4F9102E3"/>
    <w:rsid w:val="4F9A400D"/>
    <w:rsid w:val="4FA11827"/>
    <w:rsid w:val="4FA57761"/>
    <w:rsid w:val="4FA82F77"/>
    <w:rsid w:val="4FA9697E"/>
    <w:rsid w:val="4FAB07C1"/>
    <w:rsid w:val="4FC12B67"/>
    <w:rsid w:val="4FD33643"/>
    <w:rsid w:val="4FD409F7"/>
    <w:rsid w:val="4FD41054"/>
    <w:rsid w:val="4FD66F8D"/>
    <w:rsid w:val="4FDB5605"/>
    <w:rsid w:val="4FDF7D08"/>
    <w:rsid w:val="4FE45662"/>
    <w:rsid w:val="4FE66728"/>
    <w:rsid w:val="4FE74DC2"/>
    <w:rsid w:val="4FF81090"/>
    <w:rsid w:val="4FFA1BE3"/>
    <w:rsid w:val="4FFF560B"/>
    <w:rsid w:val="50033BDE"/>
    <w:rsid w:val="50036BC4"/>
    <w:rsid w:val="500B0DCA"/>
    <w:rsid w:val="500C2A95"/>
    <w:rsid w:val="50133F8A"/>
    <w:rsid w:val="50140C07"/>
    <w:rsid w:val="50144A7C"/>
    <w:rsid w:val="50176E6F"/>
    <w:rsid w:val="501A5AFC"/>
    <w:rsid w:val="50200664"/>
    <w:rsid w:val="502151EE"/>
    <w:rsid w:val="5022333C"/>
    <w:rsid w:val="50312196"/>
    <w:rsid w:val="50417E32"/>
    <w:rsid w:val="504768E3"/>
    <w:rsid w:val="504F0FB9"/>
    <w:rsid w:val="504F769B"/>
    <w:rsid w:val="50537FDD"/>
    <w:rsid w:val="50622728"/>
    <w:rsid w:val="507554C6"/>
    <w:rsid w:val="507D0063"/>
    <w:rsid w:val="508F1D63"/>
    <w:rsid w:val="508F6AC4"/>
    <w:rsid w:val="509631CF"/>
    <w:rsid w:val="509A55F2"/>
    <w:rsid w:val="50A36924"/>
    <w:rsid w:val="50A732FC"/>
    <w:rsid w:val="50AA341E"/>
    <w:rsid w:val="50AB4E2F"/>
    <w:rsid w:val="50AC2418"/>
    <w:rsid w:val="50B421A0"/>
    <w:rsid w:val="50B70FED"/>
    <w:rsid w:val="50BA643F"/>
    <w:rsid w:val="50BC2897"/>
    <w:rsid w:val="50DA2205"/>
    <w:rsid w:val="50E57F59"/>
    <w:rsid w:val="50EA61D3"/>
    <w:rsid w:val="50FC41E2"/>
    <w:rsid w:val="510319B4"/>
    <w:rsid w:val="510A4E7D"/>
    <w:rsid w:val="51187091"/>
    <w:rsid w:val="511E5EB5"/>
    <w:rsid w:val="51205217"/>
    <w:rsid w:val="51217565"/>
    <w:rsid w:val="512D5787"/>
    <w:rsid w:val="51371434"/>
    <w:rsid w:val="51382F84"/>
    <w:rsid w:val="513B4CBD"/>
    <w:rsid w:val="513F2A79"/>
    <w:rsid w:val="514E5DF0"/>
    <w:rsid w:val="51505C49"/>
    <w:rsid w:val="51545313"/>
    <w:rsid w:val="515A1388"/>
    <w:rsid w:val="515F5290"/>
    <w:rsid w:val="515F5E7D"/>
    <w:rsid w:val="51621B03"/>
    <w:rsid w:val="51677ABF"/>
    <w:rsid w:val="51736010"/>
    <w:rsid w:val="517F1822"/>
    <w:rsid w:val="517F4109"/>
    <w:rsid w:val="518140E8"/>
    <w:rsid w:val="518961AE"/>
    <w:rsid w:val="518B0D8B"/>
    <w:rsid w:val="51905BB3"/>
    <w:rsid w:val="519E4C2D"/>
    <w:rsid w:val="51A15787"/>
    <w:rsid w:val="51A23180"/>
    <w:rsid w:val="51A44533"/>
    <w:rsid w:val="51B12C2B"/>
    <w:rsid w:val="51B625E5"/>
    <w:rsid w:val="51BB3190"/>
    <w:rsid w:val="51BC4A55"/>
    <w:rsid w:val="51C31AB3"/>
    <w:rsid w:val="51C50057"/>
    <w:rsid w:val="51CA6470"/>
    <w:rsid w:val="51CF3752"/>
    <w:rsid w:val="51D221A2"/>
    <w:rsid w:val="51DB590D"/>
    <w:rsid w:val="51DC7D4F"/>
    <w:rsid w:val="51E372D3"/>
    <w:rsid w:val="51E952C3"/>
    <w:rsid w:val="51F763C2"/>
    <w:rsid w:val="52082F0E"/>
    <w:rsid w:val="520A4FD4"/>
    <w:rsid w:val="520A6A40"/>
    <w:rsid w:val="520B29B2"/>
    <w:rsid w:val="52165ED6"/>
    <w:rsid w:val="52170D68"/>
    <w:rsid w:val="521832FA"/>
    <w:rsid w:val="521B5CF1"/>
    <w:rsid w:val="521E330E"/>
    <w:rsid w:val="52210969"/>
    <w:rsid w:val="52250331"/>
    <w:rsid w:val="52251937"/>
    <w:rsid w:val="52291DE3"/>
    <w:rsid w:val="522D32DC"/>
    <w:rsid w:val="522E032A"/>
    <w:rsid w:val="522E48FA"/>
    <w:rsid w:val="52436B21"/>
    <w:rsid w:val="52476CBE"/>
    <w:rsid w:val="52541687"/>
    <w:rsid w:val="525808AD"/>
    <w:rsid w:val="52606B21"/>
    <w:rsid w:val="526142ED"/>
    <w:rsid w:val="52675267"/>
    <w:rsid w:val="526A42D2"/>
    <w:rsid w:val="527456A0"/>
    <w:rsid w:val="52775B19"/>
    <w:rsid w:val="527820D3"/>
    <w:rsid w:val="5286536B"/>
    <w:rsid w:val="528D1636"/>
    <w:rsid w:val="528F6528"/>
    <w:rsid w:val="5294173C"/>
    <w:rsid w:val="52A573D4"/>
    <w:rsid w:val="52AE3C1C"/>
    <w:rsid w:val="52B15A0B"/>
    <w:rsid w:val="52B277B6"/>
    <w:rsid w:val="52B539F6"/>
    <w:rsid w:val="52B87EDF"/>
    <w:rsid w:val="52C2744F"/>
    <w:rsid w:val="52CF2A7E"/>
    <w:rsid w:val="52D52D8A"/>
    <w:rsid w:val="52D70C29"/>
    <w:rsid w:val="52E07E6E"/>
    <w:rsid w:val="52E2403D"/>
    <w:rsid w:val="52E87FC9"/>
    <w:rsid w:val="52EA3010"/>
    <w:rsid w:val="52EE6354"/>
    <w:rsid w:val="52EF275D"/>
    <w:rsid w:val="53035F10"/>
    <w:rsid w:val="530445BC"/>
    <w:rsid w:val="53073E74"/>
    <w:rsid w:val="53176C42"/>
    <w:rsid w:val="53184746"/>
    <w:rsid w:val="531972CB"/>
    <w:rsid w:val="53227F73"/>
    <w:rsid w:val="532342A1"/>
    <w:rsid w:val="532E4AC7"/>
    <w:rsid w:val="533E55DF"/>
    <w:rsid w:val="5360600D"/>
    <w:rsid w:val="53703765"/>
    <w:rsid w:val="5376095E"/>
    <w:rsid w:val="537A04E8"/>
    <w:rsid w:val="537D7719"/>
    <w:rsid w:val="53874180"/>
    <w:rsid w:val="53910730"/>
    <w:rsid w:val="53991F46"/>
    <w:rsid w:val="53A430C7"/>
    <w:rsid w:val="53B71A0D"/>
    <w:rsid w:val="53BA49C0"/>
    <w:rsid w:val="53BF11FF"/>
    <w:rsid w:val="53BF28F3"/>
    <w:rsid w:val="53C2398F"/>
    <w:rsid w:val="53C92C10"/>
    <w:rsid w:val="53CF606A"/>
    <w:rsid w:val="53D111B0"/>
    <w:rsid w:val="53D73576"/>
    <w:rsid w:val="53E22364"/>
    <w:rsid w:val="53E35749"/>
    <w:rsid w:val="53EB4289"/>
    <w:rsid w:val="53EE07E8"/>
    <w:rsid w:val="53F67F24"/>
    <w:rsid w:val="53FE5A9E"/>
    <w:rsid w:val="540B221A"/>
    <w:rsid w:val="54193A5D"/>
    <w:rsid w:val="541C5A78"/>
    <w:rsid w:val="54233727"/>
    <w:rsid w:val="54257FE2"/>
    <w:rsid w:val="5428581F"/>
    <w:rsid w:val="542B47E5"/>
    <w:rsid w:val="54312A0A"/>
    <w:rsid w:val="54451C08"/>
    <w:rsid w:val="5450152B"/>
    <w:rsid w:val="545412A1"/>
    <w:rsid w:val="54591BCD"/>
    <w:rsid w:val="546936FE"/>
    <w:rsid w:val="546A602B"/>
    <w:rsid w:val="547034CA"/>
    <w:rsid w:val="54724933"/>
    <w:rsid w:val="547801F9"/>
    <w:rsid w:val="54877824"/>
    <w:rsid w:val="54967702"/>
    <w:rsid w:val="549B60CA"/>
    <w:rsid w:val="54A746D1"/>
    <w:rsid w:val="54B14984"/>
    <w:rsid w:val="54B34E33"/>
    <w:rsid w:val="54BC09E2"/>
    <w:rsid w:val="54C257FC"/>
    <w:rsid w:val="54C51C65"/>
    <w:rsid w:val="54C766D3"/>
    <w:rsid w:val="54DB3842"/>
    <w:rsid w:val="54E32310"/>
    <w:rsid w:val="54E35B83"/>
    <w:rsid w:val="54E5570D"/>
    <w:rsid w:val="54E656A9"/>
    <w:rsid w:val="54E85406"/>
    <w:rsid w:val="54EE0227"/>
    <w:rsid w:val="54EE4DEC"/>
    <w:rsid w:val="54F93AE7"/>
    <w:rsid w:val="54F97DEB"/>
    <w:rsid w:val="55012EF3"/>
    <w:rsid w:val="55022588"/>
    <w:rsid w:val="550D4E7F"/>
    <w:rsid w:val="551B3ADB"/>
    <w:rsid w:val="55252910"/>
    <w:rsid w:val="552677BE"/>
    <w:rsid w:val="552E2F45"/>
    <w:rsid w:val="55313992"/>
    <w:rsid w:val="553772EA"/>
    <w:rsid w:val="553A6D2E"/>
    <w:rsid w:val="5546635B"/>
    <w:rsid w:val="55507B46"/>
    <w:rsid w:val="55534568"/>
    <w:rsid w:val="555A0EDC"/>
    <w:rsid w:val="55677E49"/>
    <w:rsid w:val="55692EAC"/>
    <w:rsid w:val="556C73AE"/>
    <w:rsid w:val="55714147"/>
    <w:rsid w:val="557C295E"/>
    <w:rsid w:val="557C5B0B"/>
    <w:rsid w:val="55806AF4"/>
    <w:rsid w:val="55812735"/>
    <w:rsid w:val="55861EC8"/>
    <w:rsid w:val="5588140B"/>
    <w:rsid w:val="55891D85"/>
    <w:rsid w:val="5592013C"/>
    <w:rsid w:val="55A57957"/>
    <w:rsid w:val="55AA469C"/>
    <w:rsid w:val="55BC12E8"/>
    <w:rsid w:val="55BD3120"/>
    <w:rsid w:val="55BF56EA"/>
    <w:rsid w:val="55C103AC"/>
    <w:rsid w:val="55C423B5"/>
    <w:rsid w:val="55C6074D"/>
    <w:rsid w:val="55C86079"/>
    <w:rsid w:val="55CC5297"/>
    <w:rsid w:val="55CD72FB"/>
    <w:rsid w:val="55D31938"/>
    <w:rsid w:val="55DA77E0"/>
    <w:rsid w:val="55EE6E58"/>
    <w:rsid w:val="55F2238E"/>
    <w:rsid w:val="55F24132"/>
    <w:rsid w:val="55FB05FF"/>
    <w:rsid w:val="55FB3C8A"/>
    <w:rsid w:val="55FC794D"/>
    <w:rsid w:val="56012A7B"/>
    <w:rsid w:val="56172C84"/>
    <w:rsid w:val="56206259"/>
    <w:rsid w:val="562219AC"/>
    <w:rsid w:val="56230DC5"/>
    <w:rsid w:val="562B59B0"/>
    <w:rsid w:val="56387876"/>
    <w:rsid w:val="56391384"/>
    <w:rsid w:val="564C27AB"/>
    <w:rsid w:val="565222DD"/>
    <w:rsid w:val="565907FF"/>
    <w:rsid w:val="565D6940"/>
    <w:rsid w:val="566101A8"/>
    <w:rsid w:val="56666AC5"/>
    <w:rsid w:val="56701442"/>
    <w:rsid w:val="56793306"/>
    <w:rsid w:val="56797C74"/>
    <w:rsid w:val="568116C5"/>
    <w:rsid w:val="568F0B4D"/>
    <w:rsid w:val="5691640E"/>
    <w:rsid w:val="56927F4A"/>
    <w:rsid w:val="569C03A7"/>
    <w:rsid w:val="569E53D6"/>
    <w:rsid w:val="56A304C3"/>
    <w:rsid w:val="56AD16B1"/>
    <w:rsid w:val="56B44FF7"/>
    <w:rsid w:val="56B76AF7"/>
    <w:rsid w:val="56BA0EDB"/>
    <w:rsid w:val="56BA5BFC"/>
    <w:rsid w:val="56D60D34"/>
    <w:rsid w:val="56DA1A1C"/>
    <w:rsid w:val="56E90EF6"/>
    <w:rsid w:val="56F50794"/>
    <w:rsid w:val="56F82259"/>
    <w:rsid w:val="56FC12BF"/>
    <w:rsid w:val="56FF05F9"/>
    <w:rsid w:val="570426CC"/>
    <w:rsid w:val="57103E85"/>
    <w:rsid w:val="57167A78"/>
    <w:rsid w:val="571E4103"/>
    <w:rsid w:val="5724356E"/>
    <w:rsid w:val="573B396A"/>
    <w:rsid w:val="576019A8"/>
    <w:rsid w:val="576E1A2E"/>
    <w:rsid w:val="576F00D0"/>
    <w:rsid w:val="57780B15"/>
    <w:rsid w:val="577C7921"/>
    <w:rsid w:val="577D6052"/>
    <w:rsid w:val="578130EB"/>
    <w:rsid w:val="5781472D"/>
    <w:rsid w:val="57842581"/>
    <w:rsid w:val="57860B1C"/>
    <w:rsid w:val="579016BB"/>
    <w:rsid w:val="579131AA"/>
    <w:rsid w:val="57961B8E"/>
    <w:rsid w:val="579A34FF"/>
    <w:rsid w:val="57A05D52"/>
    <w:rsid w:val="57A65B21"/>
    <w:rsid w:val="57A93B1C"/>
    <w:rsid w:val="57AC71EF"/>
    <w:rsid w:val="57B30CCB"/>
    <w:rsid w:val="57B82FE8"/>
    <w:rsid w:val="57BA183B"/>
    <w:rsid w:val="57BC21E8"/>
    <w:rsid w:val="57C64CE3"/>
    <w:rsid w:val="57CF1AC2"/>
    <w:rsid w:val="57CF411E"/>
    <w:rsid w:val="57CF6469"/>
    <w:rsid w:val="57D20F94"/>
    <w:rsid w:val="57E359C9"/>
    <w:rsid w:val="57E8494C"/>
    <w:rsid w:val="57EC2FF6"/>
    <w:rsid w:val="57F75230"/>
    <w:rsid w:val="57FA5E75"/>
    <w:rsid w:val="58000E35"/>
    <w:rsid w:val="58222E9F"/>
    <w:rsid w:val="582D3231"/>
    <w:rsid w:val="58316A55"/>
    <w:rsid w:val="583F3207"/>
    <w:rsid w:val="58452DB9"/>
    <w:rsid w:val="5846017C"/>
    <w:rsid w:val="58484E27"/>
    <w:rsid w:val="58514B7B"/>
    <w:rsid w:val="58525C17"/>
    <w:rsid w:val="58592455"/>
    <w:rsid w:val="586815ED"/>
    <w:rsid w:val="586B3009"/>
    <w:rsid w:val="58775EED"/>
    <w:rsid w:val="58790B5B"/>
    <w:rsid w:val="588D7FDD"/>
    <w:rsid w:val="58924ECC"/>
    <w:rsid w:val="589511CE"/>
    <w:rsid w:val="5895256C"/>
    <w:rsid w:val="58965AA7"/>
    <w:rsid w:val="5899451C"/>
    <w:rsid w:val="589C6409"/>
    <w:rsid w:val="589D4D39"/>
    <w:rsid w:val="58A34E0C"/>
    <w:rsid w:val="58AE31F5"/>
    <w:rsid w:val="58B354B8"/>
    <w:rsid w:val="58B60FB7"/>
    <w:rsid w:val="58BB01CF"/>
    <w:rsid w:val="58BD1D42"/>
    <w:rsid w:val="58C04526"/>
    <w:rsid w:val="58C15643"/>
    <w:rsid w:val="58C925C7"/>
    <w:rsid w:val="58DE296B"/>
    <w:rsid w:val="58E05B85"/>
    <w:rsid w:val="58F141D6"/>
    <w:rsid w:val="58F9654F"/>
    <w:rsid w:val="58F979E8"/>
    <w:rsid w:val="58FB6C25"/>
    <w:rsid w:val="58FE08ED"/>
    <w:rsid w:val="59061DAE"/>
    <w:rsid w:val="590E4EED"/>
    <w:rsid w:val="5914669F"/>
    <w:rsid w:val="591557DB"/>
    <w:rsid w:val="591A5C30"/>
    <w:rsid w:val="591C4B79"/>
    <w:rsid w:val="591F2957"/>
    <w:rsid w:val="59262A74"/>
    <w:rsid w:val="592F1CE2"/>
    <w:rsid w:val="59371CA9"/>
    <w:rsid w:val="593C5853"/>
    <w:rsid w:val="593E005D"/>
    <w:rsid w:val="5940158A"/>
    <w:rsid w:val="594606CC"/>
    <w:rsid w:val="594B6D49"/>
    <w:rsid w:val="595B4465"/>
    <w:rsid w:val="59697600"/>
    <w:rsid w:val="596C25D4"/>
    <w:rsid w:val="597028E6"/>
    <w:rsid w:val="597D38D7"/>
    <w:rsid w:val="598A75D0"/>
    <w:rsid w:val="59935094"/>
    <w:rsid w:val="5995496F"/>
    <w:rsid w:val="59A62A34"/>
    <w:rsid w:val="59AB1748"/>
    <w:rsid w:val="59B159CB"/>
    <w:rsid w:val="59B51848"/>
    <w:rsid w:val="59BC67AC"/>
    <w:rsid w:val="59C03938"/>
    <w:rsid w:val="59C811F1"/>
    <w:rsid w:val="59C83D69"/>
    <w:rsid w:val="59CB01B4"/>
    <w:rsid w:val="59CC0DAD"/>
    <w:rsid w:val="59CF1C3E"/>
    <w:rsid w:val="59D87B36"/>
    <w:rsid w:val="59E57113"/>
    <w:rsid w:val="59E91981"/>
    <w:rsid w:val="59F22823"/>
    <w:rsid w:val="59F35BF5"/>
    <w:rsid w:val="59F42704"/>
    <w:rsid w:val="59FD1C88"/>
    <w:rsid w:val="5A0020BE"/>
    <w:rsid w:val="5A02215A"/>
    <w:rsid w:val="5A0823EC"/>
    <w:rsid w:val="5A0B4999"/>
    <w:rsid w:val="5A1219E8"/>
    <w:rsid w:val="5A1601E1"/>
    <w:rsid w:val="5A1A2003"/>
    <w:rsid w:val="5A2023BC"/>
    <w:rsid w:val="5A2534E2"/>
    <w:rsid w:val="5A272110"/>
    <w:rsid w:val="5A2F52ED"/>
    <w:rsid w:val="5A307C26"/>
    <w:rsid w:val="5A341010"/>
    <w:rsid w:val="5A3A1517"/>
    <w:rsid w:val="5A4D351E"/>
    <w:rsid w:val="5A507300"/>
    <w:rsid w:val="5A51154D"/>
    <w:rsid w:val="5A523957"/>
    <w:rsid w:val="5A532CC8"/>
    <w:rsid w:val="5A612789"/>
    <w:rsid w:val="5A6543C4"/>
    <w:rsid w:val="5A6A5675"/>
    <w:rsid w:val="5A6E205B"/>
    <w:rsid w:val="5A7B2C70"/>
    <w:rsid w:val="5A7C2218"/>
    <w:rsid w:val="5A7C5822"/>
    <w:rsid w:val="5A847FE5"/>
    <w:rsid w:val="5A916654"/>
    <w:rsid w:val="5A9B3B8F"/>
    <w:rsid w:val="5A9E6004"/>
    <w:rsid w:val="5AAB402B"/>
    <w:rsid w:val="5AAF46FD"/>
    <w:rsid w:val="5AB36954"/>
    <w:rsid w:val="5ABE401A"/>
    <w:rsid w:val="5AC526EE"/>
    <w:rsid w:val="5ACB4B14"/>
    <w:rsid w:val="5AD45224"/>
    <w:rsid w:val="5ADA5032"/>
    <w:rsid w:val="5ADC6365"/>
    <w:rsid w:val="5B0A16D4"/>
    <w:rsid w:val="5B0B0FE2"/>
    <w:rsid w:val="5B1029A0"/>
    <w:rsid w:val="5B18258F"/>
    <w:rsid w:val="5B28216A"/>
    <w:rsid w:val="5B2B1ACA"/>
    <w:rsid w:val="5B302C2D"/>
    <w:rsid w:val="5B33397C"/>
    <w:rsid w:val="5B35552C"/>
    <w:rsid w:val="5B356E68"/>
    <w:rsid w:val="5B3A4E8A"/>
    <w:rsid w:val="5B43203B"/>
    <w:rsid w:val="5B485D9E"/>
    <w:rsid w:val="5B4E4DA1"/>
    <w:rsid w:val="5B5335BE"/>
    <w:rsid w:val="5B613886"/>
    <w:rsid w:val="5B6A6045"/>
    <w:rsid w:val="5B6C39BD"/>
    <w:rsid w:val="5B74160A"/>
    <w:rsid w:val="5B763EE9"/>
    <w:rsid w:val="5B7B1E82"/>
    <w:rsid w:val="5B862B77"/>
    <w:rsid w:val="5B944D80"/>
    <w:rsid w:val="5B9509FD"/>
    <w:rsid w:val="5BAB4BEE"/>
    <w:rsid w:val="5BB210AD"/>
    <w:rsid w:val="5BB47B97"/>
    <w:rsid w:val="5BB81EEF"/>
    <w:rsid w:val="5BC23198"/>
    <w:rsid w:val="5BC3049A"/>
    <w:rsid w:val="5BC52C1C"/>
    <w:rsid w:val="5BCE2157"/>
    <w:rsid w:val="5BD2376F"/>
    <w:rsid w:val="5BEA66B7"/>
    <w:rsid w:val="5BEB4DCC"/>
    <w:rsid w:val="5BF81226"/>
    <w:rsid w:val="5BFB7485"/>
    <w:rsid w:val="5C0042AF"/>
    <w:rsid w:val="5C021D5C"/>
    <w:rsid w:val="5C097E8B"/>
    <w:rsid w:val="5C0E1887"/>
    <w:rsid w:val="5C0E448E"/>
    <w:rsid w:val="5C116FBD"/>
    <w:rsid w:val="5C18254C"/>
    <w:rsid w:val="5C1B2C25"/>
    <w:rsid w:val="5C1E0099"/>
    <w:rsid w:val="5C24204D"/>
    <w:rsid w:val="5C261AD7"/>
    <w:rsid w:val="5C2A4D2E"/>
    <w:rsid w:val="5C2E032C"/>
    <w:rsid w:val="5C317C76"/>
    <w:rsid w:val="5C35045C"/>
    <w:rsid w:val="5C3B0435"/>
    <w:rsid w:val="5C3C5668"/>
    <w:rsid w:val="5C3C56AD"/>
    <w:rsid w:val="5C3D32DD"/>
    <w:rsid w:val="5C3E4B55"/>
    <w:rsid w:val="5C404666"/>
    <w:rsid w:val="5C422461"/>
    <w:rsid w:val="5C48686D"/>
    <w:rsid w:val="5C4F52A1"/>
    <w:rsid w:val="5C4F75E7"/>
    <w:rsid w:val="5C50319B"/>
    <w:rsid w:val="5C511614"/>
    <w:rsid w:val="5C520197"/>
    <w:rsid w:val="5C5371DE"/>
    <w:rsid w:val="5C5F094C"/>
    <w:rsid w:val="5C603564"/>
    <w:rsid w:val="5C633837"/>
    <w:rsid w:val="5C6B674F"/>
    <w:rsid w:val="5C6F57DC"/>
    <w:rsid w:val="5C7E0DF8"/>
    <w:rsid w:val="5C7E39D8"/>
    <w:rsid w:val="5C892834"/>
    <w:rsid w:val="5C8A31FF"/>
    <w:rsid w:val="5C9F55AA"/>
    <w:rsid w:val="5CA474D4"/>
    <w:rsid w:val="5CA84AC1"/>
    <w:rsid w:val="5CAC4293"/>
    <w:rsid w:val="5CB64B19"/>
    <w:rsid w:val="5CBD7A62"/>
    <w:rsid w:val="5CC164AE"/>
    <w:rsid w:val="5CC22998"/>
    <w:rsid w:val="5CC5766D"/>
    <w:rsid w:val="5CC829D4"/>
    <w:rsid w:val="5CCE7214"/>
    <w:rsid w:val="5CD22245"/>
    <w:rsid w:val="5CD612EC"/>
    <w:rsid w:val="5CD620EF"/>
    <w:rsid w:val="5CD63CB1"/>
    <w:rsid w:val="5CD75EB0"/>
    <w:rsid w:val="5CE00BB1"/>
    <w:rsid w:val="5CE76E4E"/>
    <w:rsid w:val="5CE97CE3"/>
    <w:rsid w:val="5CF06B97"/>
    <w:rsid w:val="5CF85D55"/>
    <w:rsid w:val="5CFA67A0"/>
    <w:rsid w:val="5CFF2C7D"/>
    <w:rsid w:val="5CFF66F4"/>
    <w:rsid w:val="5D042519"/>
    <w:rsid w:val="5D10070C"/>
    <w:rsid w:val="5D1077A1"/>
    <w:rsid w:val="5D193562"/>
    <w:rsid w:val="5D232DD8"/>
    <w:rsid w:val="5D2360DD"/>
    <w:rsid w:val="5D360039"/>
    <w:rsid w:val="5D3A22F4"/>
    <w:rsid w:val="5D3D681F"/>
    <w:rsid w:val="5D421B63"/>
    <w:rsid w:val="5D467576"/>
    <w:rsid w:val="5D4B2525"/>
    <w:rsid w:val="5D543240"/>
    <w:rsid w:val="5D5434CB"/>
    <w:rsid w:val="5D5A25C6"/>
    <w:rsid w:val="5D645AF7"/>
    <w:rsid w:val="5D697151"/>
    <w:rsid w:val="5D7070A0"/>
    <w:rsid w:val="5D7B2BAE"/>
    <w:rsid w:val="5D893541"/>
    <w:rsid w:val="5D8C28B4"/>
    <w:rsid w:val="5D8E7C73"/>
    <w:rsid w:val="5D974515"/>
    <w:rsid w:val="5D9832F3"/>
    <w:rsid w:val="5D9934EC"/>
    <w:rsid w:val="5D9C1E54"/>
    <w:rsid w:val="5DAB1E9E"/>
    <w:rsid w:val="5DB53FF3"/>
    <w:rsid w:val="5DB81F70"/>
    <w:rsid w:val="5DBC3F54"/>
    <w:rsid w:val="5DC328CA"/>
    <w:rsid w:val="5DCA57DD"/>
    <w:rsid w:val="5DD74A14"/>
    <w:rsid w:val="5DDB163B"/>
    <w:rsid w:val="5DDC2477"/>
    <w:rsid w:val="5DDC2877"/>
    <w:rsid w:val="5DF11D42"/>
    <w:rsid w:val="5DFA2E17"/>
    <w:rsid w:val="5DFB0C01"/>
    <w:rsid w:val="5E006537"/>
    <w:rsid w:val="5E1D2155"/>
    <w:rsid w:val="5E2374D1"/>
    <w:rsid w:val="5E401AFE"/>
    <w:rsid w:val="5E454E01"/>
    <w:rsid w:val="5E490493"/>
    <w:rsid w:val="5E4C4204"/>
    <w:rsid w:val="5E4D4054"/>
    <w:rsid w:val="5E4F4CEC"/>
    <w:rsid w:val="5E517BBA"/>
    <w:rsid w:val="5E521705"/>
    <w:rsid w:val="5E650FB2"/>
    <w:rsid w:val="5E656142"/>
    <w:rsid w:val="5E66593E"/>
    <w:rsid w:val="5E680B19"/>
    <w:rsid w:val="5E7334F8"/>
    <w:rsid w:val="5E7805FF"/>
    <w:rsid w:val="5E7859D6"/>
    <w:rsid w:val="5E842B6A"/>
    <w:rsid w:val="5E875A07"/>
    <w:rsid w:val="5E8C1E30"/>
    <w:rsid w:val="5E911FAC"/>
    <w:rsid w:val="5E92137B"/>
    <w:rsid w:val="5E9373FC"/>
    <w:rsid w:val="5EA67DEF"/>
    <w:rsid w:val="5EA736D1"/>
    <w:rsid w:val="5EAA11B3"/>
    <w:rsid w:val="5EB70697"/>
    <w:rsid w:val="5EB95510"/>
    <w:rsid w:val="5EB956EE"/>
    <w:rsid w:val="5EC57A3D"/>
    <w:rsid w:val="5ECB275F"/>
    <w:rsid w:val="5ECE2836"/>
    <w:rsid w:val="5EDB5813"/>
    <w:rsid w:val="5EE2308E"/>
    <w:rsid w:val="5EE35C8C"/>
    <w:rsid w:val="5EEC409E"/>
    <w:rsid w:val="5EF2448C"/>
    <w:rsid w:val="5EF442F3"/>
    <w:rsid w:val="5F051F15"/>
    <w:rsid w:val="5F222082"/>
    <w:rsid w:val="5F37319D"/>
    <w:rsid w:val="5F3A21FA"/>
    <w:rsid w:val="5F490636"/>
    <w:rsid w:val="5F4A6244"/>
    <w:rsid w:val="5F6219E5"/>
    <w:rsid w:val="5F7C4F33"/>
    <w:rsid w:val="5F7D5743"/>
    <w:rsid w:val="5F810563"/>
    <w:rsid w:val="5F824D0A"/>
    <w:rsid w:val="5F902061"/>
    <w:rsid w:val="5F91364B"/>
    <w:rsid w:val="5F942C15"/>
    <w:rsid w:val="5F982E68"/>
    <w:rsid w:val="5F983E67"/>
    <w:rsid w:val="5FA57B43"/>
    <w:rsid w:val="5FB560BB"/>
    <w:rsid w:val="5FB62CD8"/>
    <w:rsid w:val="5FC20790"/>
    <w:rsid w:val="5FC87F8E"/>
    <w:rsid w:val="5FC91DE9"/>
    <w:rsid w:val="5FCE57F6"/>
    <w:rsid w:val="5FD820A7"/>
    <w:rsid w:val="5FDF0C33"/>
    <w:rsid w:val="5FE25D83"/>
    <w:rsid w:val="5FE5232B"/>
    <w:rsid w:val="5FEC3C05"/>
    <w:rsid w:val="5FF020A1"/>
    <w:rsid w:val="5FFC5DE4"/>
    <w:rsid w:val="600F241C"/>
    <w:rsid w:val="60112156"/>
    <w:rsid w:val="60127ACF"/>
    <w:rsid w:val="60195F65"/>
    <w:rsid w:val="60200E33"/>
    <w:rsid w:val="6023016C"/>
    <w:rsid w:val="602924AC"/>
    <w:rsid w:val="602B5AAA"/>
    <w:rsid w:val="60334B2A"/>
    <w:rsid w:val="603E7B8A"/>
    <w:rsid w:val="60420933"/>
    <w:rsid w:val="6056292C"/>
    <w:rsid w:val="6063156C"/>
    <w:rsid w:val="606502AC"/>
    <w:rsid w:val="60660D11"/>
    <w:rsid w:val="606611B7"/>
    <w:rsid w:val="60687B01"/>
    <w:rsid w:val="606D5453"/>
    <w:rsid w:val="607044B9"/>
    <w:rsid w:val="60760530"/>
    <w:rsid w:val="6078579C"/>
    <w:rsid w:val="608159C3"/>
    <w:rsid w:val="60841E8A"/>
    <w:rsid w:val="60904724"/>
    <w:rsid w:val="60924935"/>
    <w:rsid w:val="60934023"/>
    <w:rsid w:val="60947BEA"/>
    <w:rsid w:val="609B6315"/>
    <w:rsid w:val="60AC169F"/>
    <w:rsid w:val="60AF0E29"/>
    <w:rsid w:val="60B43DFD"/>
    <w:rsid w:val="60B55179"/>
    <w:rsid w:val="60BF5745"/>
    <w:rsid w:val="60C47684"/>
    <w:rsid w:val="60C90EA4"/>
    <w:rsid w:val="60CA2396"/>
    <w:rsid w:val="60CF0514"/>
    <w:rsid w:val="60D07484"/>
    <w:rsid w:val="60D10C0F"/>
    <w:rsid w:val="60D3569F"/>
    <w:rsid w:val="60D4537B"/>
    <w:rsid w:val="60D74889"/>
    <w:rsid w:val="60E02B8F"/>
    <w:rsid w:val="60E26F48"/>
    <w:rsid w:val="60E92E1A"/>
    <w:rsid w:val="60ED6BA8"/>
    <w:rsid w:val="60F37DA9"/>
    <w:rsid w:val="60FA110C"/>
    <w:rsid w:val="60FA46E4"/>
    <w:rsid w:val="60FD3753"/>
    <w:rsid w:val="60FE00AF"/>
    <w:rsid w:val="60FE35D0"/>
    <w:rsid w:val="6101046D"/>
    <w:rsid w:val="61047EF9"/>
    <w:rsid w:val="61064296"/>
    <w:rsid w:val="610864CC"/>
    <w:rsid w:val="610958BB"/>
    <w:rsid w:val="610A63CC"/>
    <w:rsid w:val="611558FC"/>
    <w:rsid w:val="61164EEF"/>
    <w:rsid w:val="61176A85"/>
    <w:rsid w:val="611A697F"/>
    <w:rsid w:val="61206479"/>
    <w:rsid w:val="612143A4"/>
    <w:rsid w:val="61221695"/>
    <w:rsid w:val="6124184C"/>
    <w:rsid w:val="61254671"/>
    <w:rsid w:val="612E3337"/>
    <w:rsid w:val="613E4C7D"/>
    <w:rsid w:val="614050A9"/>
    <w:rsid w:val="61465E1A"/>
    <w:rsid w:val="614B5BCE"/>
    <w:rsid w:val="614D1495"/>
    <w:rsid w:val="614D2107"/>
    <w:rsid w:val="614D2B5A"/>
    <w:rsid w:val="614F66AA"/>
    <w:rsid w:val="6155426A"/>
    <w:rsid w:val="615755AF"/>
    <w:rsid w:val="615D6475"/>
    <w:rsid w:val="61620240"/>
    <w:rsid w:val="616730ED"/>
    <w:rsid w:val="616C2054"/>
    <w:rsid w:val="616E3976"/>
    <w:rsid w:val="617D0D60"/>
    <w:rsid w:val="618321F0"/>
    <w:rsid w:val="618563BE"/>
    <w:rsid w:val="61861C69"/>
    <w:rsid w:val="61867017"/>
    <w:rsid w:val="618B084B"/>
    <w:rsid w:val="618E1E6E"/>
    <w:rsid w:val="618F22FB"/>
    <w:rsid w:val="61B15149"/>
    <w:rsid w:val="61B16AF8"/>
    <w:rsid w:val="61B71C73"/>
    <w:rsid w:val="61C56900"/>
    <w:rsid w:val="61C73EC2"/>
    <w:rsid w:val="61D32FE5"/>
    <w:rsid w:val="61D9528D"/>
    <w:rsid w:val="61DA6BBA"/>
    <w:rsid w:val="61DE7C3D"/>
    <w:rsid w:val="61E1330A"/>
    <w:rsid w:val="61E51E0F"/>
    <w:rsid w:val="61E852C9"/>
    <w:rsid w:val="61EE26FB"/>
    <w:rsid w:val="61EE28BD"/>
    <w:rsid w:val="61F0115C"/>
    <w:rsid w:val="61FA5B62"/>
    <w:rsid w:val="6203062B"/>
    <w:rsid w:val="62070260"/>
    <w:rsid w:val="620A5E09"/>
    <w:rsid w:val="62164CFF"/>
    <w:rsid w:val="6222428F"/>
    <w:rsid w:val="623147D6"/>
    <w:rsid w:val="623328EA"/>
    <w:rsid w:val="62390C34"/>
    <w:rsid w:val="6239162C"/>
    <w:rsid w:val="623D4624"/>
    <w:rsid w:val="623D5E3F"/>
    <w:rsid w:val="6241252A"/>
    <w:rsid w:val="62464E95"/>
    <w:rsid w:val="62475095"/>
    <w:rsid w:val="625377EA"/>
    <w:rsid w:val="625D49CE"/>
    <w:rsid w:val="6260455B"/>
    <w:rsid w:val="626114D6"/>
    <w:rsid w:val="6268560F"/>
    <w:rsid w:val="627C049D"/>
    <w:rsid w:val="627E327C"/>
    <w:rsid w:val="628E6DF2"/>
    <w:rsid w:val="62971DFA"/>
    <w:rsid w:val="629963D8"/>
    <w:rsid w:val="62B3642B"/>
    <w:rsid w:val="62B64ACD"/>
    <w:rsid w:val="62B91CB2"/>
    <w:rsid w:val="62E05F11"/>
    <w:rsid w:val="62E70CE0"/>
    <w:rsid w:val="62F00E21"/>
    <w:rsid w:val="62F06C0E"/>
    <w:rsid w:val="62F571B6"/>
    <w:rsid w:val="62F91A8D"/>
    <w:rsid w:val="62FA0118"/>
    <w:rsid w:val="62FB5ADF"/>
    <w:rsid w:val="63016DD9"/>
    <w:rsid w:val="63060DC1"/>
    <w:rsid w:val="630B0513"/>
    <w:rsid w:val="630D5FB3"/>
    <w:rsid w:val="631D12C4"/>
    <w:rsid w:val="632F0EFF"/>
    <w:rsid w:val="633159CB"/>
    <w:rsid w:val="6332638D"/>
    <w:rsid w:val="633B2B0B"/>
    <w:rsid w:val="633C5BF9"/>
    <w:rsid w:val="633E36D1"/>
    <w:rsid w:val="6343466C"/>
    <w:rsid w:val="634A145E"/>
    <w:rsid w:val="634E753F"/>
    <w:rsid w:val="63607ED4"/>
    <w:rsid w:val="636469BD"/>
    <w:rsid w:val="63670D77"/>
    <w:rsid w:val="63685741"/>
    <w:rsid w:val="636A3942"/>
    <w:rsid w:val="636B5C5F"/>
    <w:rsid w:val="63716369"/>
    <w:rsid w:val="63767EE6"/>
    <w:rsid w:val="637919F5"/>
    <w:rsid w:val="637A710D"/>
    <w:rsid w:val="637D2E4D"/>
    <w:rsid w:val="63802ACC"/>
    <w:rsid w:val="6388225F"/>
    <w:rsid w:val="63947BA7"/>
    <w:rsid w:val="63B253E1"/>
    <w:rsid w:val="63B26566"/>
    <w:rsid w:val="63B601D2"/>
    <w:rsid w:val="63D86821"/>
    <w:rsid w:val="63D8720B"/>
    <w:rsid w:val="63DF3F98"/>
    <w:rsid w:val="63E02D15"/>
    <w:rsid w:val="63E0457C"/>
    <w:rsid w:val="63E25AFD"/>
    <w:rsid w:val="63E57666"/>
    <w:rsid w:val="63F03B38"/>
    <w:rsid w:val="63F731A5"/>
    <w:rsid w:val="63FC766C"/>
    <w:rsid w:val="63FE2454"/>
    <w:rsid w:val="64022F76"/>
    <w:rsid w:val="64084173"/>
    <w:rsid w:val="641269AD"/>
    <w:rsid w:val="641C56F8"/>
    <w:rsid w:val="642008B7"/>
    <w:rsid w:val="64231408"/>
    <w:rsid w:val="64281DC7"/>
    <w:rsid w:val="643A7824"/>
    <w:rsid w:val="644A3F96"/>
    <w:rsid w:val="64553AA4"/>
    <w:rsid w:val="64564ED9"/>
    <w:rsid w:val="645A5737"/>
    <w:rsid w:val="646029D7"/>
    <w:rsid w:val="64603768"/>
    <w:rsid w:val="646270E8"/>
    <w:rsid w:val="6467123E"/>
    <w:rsid w:val="64706790"/>
    <w:rsid w:val="64724898"/>
    <w:rsid w:val="647C3BBA"/>
    <w:rsid w:val="64805997"/>
    <w:rsid w:val="64813A7C"/>
    <w:rsid w:val="64823A3A"/>
    <w:rsid w:val="64855B2D"/>
    <w:rsid w:val="64867427"/>
    <w:rsid w:val="648976FB"/>
    <w:rsid w:val="648A2250"/>
    <w:rsid w:val="648B1491"/>
    <w:rsid w:val="648E1573"/>
    <w:rsid w:val="649A52C8"/>
    <w:rsid w:val="64B0747D"/>
    <w:rsid w:val="64B6071F"/>
    <w:rsid w:val="64BE2F18"/>
    <w:rsid w:val="64C004BC"/>
    <w:rsid w:val="64C03551"/>
    <w:rsid w:val="64C317B4"/>
    <w:rsid w:val="64C6530B"/>
    <w:rsid w:val="64D9451E"/>
    <w:rsid w:val="64DB77D5"/>
    <w:rsid w:val="64F31974"/>
    <w:rsid w:val="64FA5C63"/>
    <w:rsid w:val="6507069F"/>
    <w:rsid w:val="65127100"/>
    <w:rsid w:val="6532464B"/>
    <w:rsid w:val="65341AC5"/>
    <w:rsid w:val="653A34E5"/>
    <w:rsid w:val="653C6B1D"/>
    <w:rsid w:val="65433415"/>
    <w:rsid w:val="65463750"/>
    <w:rsid w:val="654E3228"/>
    <w:rsid w:val="65537C6B"/>
    <w:rsid w:val="655C685E"/>
    <w:rsid w:val="656160AB"/>
    <w:rsid w:val="65622086"/>
    <w:rsid w:val="65644A63"/>
    <w:rsid w:val="65655B02"/>
    <w:rsid w:val="656E3321"/>
    <w:rsid w:val="65757B8D"/>
    <w:rsid w:val="65764BA6"/>
    <w:rsid w:val="658E776E"/>
    <w:rsid w:val="65907AC2"/>
    <w:rsid w:val="65A62A91"/>
    <w:rsid w:val="65A8734A"/>
    <w:rsid w:val="65A9185C"/>
    <w:rsid w:val="65AB43EF"/>
    <w:rsid w:val="65B430CC"/>
    <w:rsid w:val="65CC6A3A"/>
    <w:rsid w:val="65DB0A99"/>
    <w:rsid w:val="65E919BF"/>
    <w:rsid w:val="65ED7EEF"/>
    <w:rsid w:val="65F46CFC"/>
    <w:rsid w:val="65F73BB4"/>
    <w:rsid w:val="660658FA"/>
    <w:rsid w:val="660B1805"/>
    <w:rsid w:val="660C035C"/>
    <w:rsid w:val="66103D06"/>
    <w:rsid w:val="66190E3D"/>
    <w:rsid w:val="661C061C"/>
    <w:rsid w:val="6628673A"/>
    <w:rsid w:val="66300C32"/>
    <w:rsid w:val="6639596A"/>
    <w:rsid w:val="66401DD3"/>
    <w:rsid w:val="6644369D"/>
    <w:rsid w:val="66513A8B"/>
    <w:rsid w:val="66515333"/>
    <w:rsid w:val="66543F3A"/>
    <w:rsid w:val="6654755D"/>
    <w:rsid w:val="66706DA7"/>
    <w:rsid w:val="66715E7B"/>
    <w:rsid w:val="66741783"/>
    <w:rsid w:val="66847504"/>
    <w:rsid w:val="66870478"/>
    <w:rsid w:val="66892842"/>
    <w:rsid w:val="66917990"/>
    <w:rsid w:val="66941DAA"/>
    <w:rsid w:val="66972F96"/>
    <w:rsid w:val="66976DD4"/>
    <w:rsid w:val="669A7003"/>
    <w:rsid w:val="66A54376"/>
    <w:rsid w:val="66AD05F5"/>
    <w:rsid w:val="66AD1818"/>
    <w:rsid w:val="66AD4A88"/>
    <w:rsid w:val="66B4636B"/>
    <w:rsid w:val="66B93F76"/>
    <w:rsid w:val="66BE7A6E"/>
    <w:rsid w:val="66C2655F"/>
    <w:rsid w:val="66D01D1D"/>
    <w:rsid w:val="66D20F68"/>
    <w:rsid w:val="66D6103F"/>
    <w:rsid w:val="66DB5E51"/>
    <w:rsid w:val="66DC2051"/>
    <w:rsid w:val="66E77E06"/>
    <w:rsid w:val="66F861FA"/>
    <w:rsid w:val="670027A0"/>
    <w:rsid w:val="67037752"/>
    <w:rsid w:val="67050D51"/>
    <w:rsid w:val="67050D97"/>
    <w:rsid w:val="67091904"/>
    <w:rsid w:val="670E178E"/>
    <w:rsid w:val="6717419C"/>
    <w:rsid w:val="67212735"/>
    <w:rsid w:val="673611CB"/>
    <w:rsid w:val="674A450B"/>
    <w:rsid w:val="674B4E59"/>
    <w:rsid w:val="675005EC"/>
    <w:rsid w:val="675E366D"/>
    <w:rsid w:val="67635837"/>
    <w:rsid w:val="67690F3D"/>
    <w:rsid w:val="676B3A7C"/>
    <w:rsid w:val="676D52AA"/>
    <w:rsid w:val="677011BD"/>
    <w:rsid w:val="6770452E"/>
    <w:rsid w:val="67705A6F"/>
    <w:rsid w:val="67750EBE"/>
    <w:rsid w:val="67816012"/>
    <w:rsid w:val="67842D1C"/>
    <w:rsid w:val="678B76EE"/>
    <w:rsid w:val="678C278B"/>
    <w:rsid w:val="67991948"/>
    <w:rsid w:val="67A850E1"/>
    <w:rsid w:val="67AB3E74"/>
    <w:rsid w:val="67B0438B"/>
    <w:rsid w:val="67B33BE3"/>
    <w:rsid w:val="67B71656"/>
    <w:rsid w:val="67B723B3"/>
    <w:rsid w:val="67B743E8"/>
    <w:rsid w:val="67BD43E0"/>
    <w:rsid w:val="67BD4993"/>
    <w:rsid w:val="67C0411D"/>
    <w:rsid w:val="67C95416"/>
    <w:rsid w:val="67D74048"/>
    <w:rsid w:val="67E041E2"/>
    <w:rsid w:val="67E51F56"/>
    <w:rsid w:val="67E97A89"/>
    <w:rsid w:val="67F27764"/>
    <w:rsid w:val="67F47AB0"/>
    <w:rsid w:val="6802359C"/>
    <w:rsid w:val="6804038C"/>
    <w:rsid w:val="68081463"/>
    <w:rsid w:val="680A257F"/>
    <w:rsid w:val="680E50C8"/>
    <w:rsid w:val="681541C3"/>
    <w:rsid w:val="681674DF"/>
    <w:rsid w:val="681D6FA0"/>
    <w:rsid w:val="68373462"/>
    <w:rsid w:val="68447B3B"/>
    <w:rsid w:val="685C0FCA"/>
    <w:rsid w:val="68650F7D"/>
    <w:rsid w:val="68655BE3"/>
    <w:rsid w:val="686926D4"/>
    <w:rsid w:val="68774A50"/>
    <w:rsid w:val="68784EDA"/>
    <w:rsid w:val="687A62EB"/>
    <w:rsid w:val="687B4F8F"/>
    <w:rsid w:val="688A20B8"/>
    <w:rsid w:val="688C0135"/>
    <w:rsid w:val="688D57D8"/>
    <w:rsid w:val="6892047F"/>
    <w:rsid w:val="6897438E"/>
    <w:rsid w:val="68A01495"/>
    <w:rsid w:val="68A27905"/>
    <w:rsid w:val="68A550D0"/>
    <w:rsid w:val="68A57A2E"/>
    <w:rsid w:val="68A7533D"/>
    <w:rsid w:val="68BD6779"/>
    <w:rsid w:val="68C02111"/>
    <w:rsid w:val="68C42BDC"/>
    <w:rsid w:val="68CE3102"/>
    <w:rsid w:val="68D015E0"/>
    <w:rsid w:val="68D33B58"/>
    <w:rsid w:val="68D824C6"/>
    <w:rsid w:val="68E24545"/>
    <w:rsid w:val="68E31D7A"/>
    <w:rsid w:val="68E71448"/>
    <w:rsid w:val="68E92B61"/>
    <w:rsid w:val="68F308C4"/>
    <w:rsid w:val="68F51C33"/>
    <w:rsid w:val="68FA62F0"/>
    <w:rsid w:val="68FE7853"/>
    <w:rsid w:val="68FF6668"/>
    <w:rsid w:val="6901117B"/>
    <w:rsid w:val="69021A4A"/>
    <w:rsid w:val="69052CE9"/>
    <w:rsid w:val="69156DDD"/>
    <w:rsid w:val="691D61F1"/>
    <w:rsid w:val="691E3879"/>
    <w:rsid w:val="69211467"/>
    <w:rsid w:val="69257A7E"/>
    <w:rsid w:val="69277662"/>
    <w:rsid w:val="69344B19"/>
    <w:rsid w:val="69345F83"/>
    <w:rsid w:val="69392613"/>
    <w:rsid w:val="69392966"/>
    <w:rsid w:val="693C2B63"/>
    <w:rsid w:val="694E1147"/>
    <w:rsid w:val="69520D7A"/>
    <w:rsid w:val="69573B6E"/>
    <w:rsid w:val="696032C7"/>
    <w:rsid w:val="696206D3"/>
    <w:rsid w:val="6967756D"/>
    <w:rsid w:val="6968644A"/>
    <w:rsid w:val="697011ED"/>
    <w:rsid w:val="69826A24"/>
    <w:rsid w:val="698B2061"/>
    <w:rsid w:val="699B6DC8"/>
    <w:rsid w:val="69A94726"/>
    <w:rsid w:val="69A97058"/>
    <w:rsid w:val="69AB6F60"/>
    <w:rsid w:val="69C8002E"/>
    <w:rsid w:val="69CF04C1"/>
    <w:rsid w:val="69D32FE1"/>
    <w:rsid w:val="69D463F2"/>
    <w:rsid w:val="69D72910"/>
    <w:rsid w:val="69D94035"/>
    <w:rsid w:val="69DC26A6"/>
    <w:rsid w:val="69E37874"/>
    <w:rsid w:val="69E56B54"/>
    <w:rsid w:val="69E96708"/>
    <w:rsid w:val="69ED002E"/>
    <w:rsid w:val="69ED6B4A"/>
    <w:rsid w:val="69EE54CD"/>
    <w:rsid w:val="69F92613"/>
    <w:rsid w:val="69FB7CD4"/>
    <w:rsid w:val="69FD723E"/>
    <w:rsid w:val="69FD7CEA"/>
    <w:rsid w:val="6A0229E5"/>
    <w:rsid w:val="6A067F83"/>
    <w:rsid w:val="6A097E59"/>
    <w:rsid w:val="6A171AFC"/>
    <w:rsid w:val="6A227A57"/>
    <w:rsid w:val="6A2A2D01"/>
    <w:rsid w:val="6A3225D7"/>
    <w:rsid w:val="6A3B0B6C"/>
    <w:rsid w:val="6A3C0BF8"/>
    <w:rsid w:val="6A423E55"/>
    <w:rsid w:val="6A470981"/>
    <w:rsid w:val="6A4747AF"/>
    <w:rsid w:val="6A49294B"/>
    <w:rsid w:val="6A562B91"/>
    <w:rsid w:val="6A57299A"/>
    <w:rsid w:val="6A697946"/>
    <w:rsid w:val="6A6D6854"/>
    <w:rsid w:val="6A700CED"/>
    <w:rsid w:val="6A7017D7"/>
    <w:rsid w:val="6AA235D3"/>
    <w:rsid w:val="6AA31D3D"/>
    <w:rsid w:val="6AB02B50"/>
    <w:rsid w:val="6AB14532"/>
    <w:rsid w:val="6ABB2ED0"/>
    <w:rsid w:val="6ABD7A51"/>
    <w:rsid w:val="6ABF4F5F"/>
    <w:rsid w:val="6AC335C4"/>
    <w:rsid w:val="6ACC0F11"/>
    <w:rsid w:val="6ADB4318"/>
    <w:rsid w:val="6ADD7DFD"/>
    <w:rsid w:val="6AE2135D"/>
    <w:rsid w:val="6AE77D3D"/>
    <w:rsid w:val="6AE93C28"/>
    <w:rsid w:val="6AF05F1A"/>
    <w:rsid w:val="6B036D80"/>
    <w:rsid w:val="6B0451AB"/>
    <w:rsid w:val="6B160110"/>
    <w:rsid w:val="6B21434C"/>
    <w:rsid w:val="6B237C36"/>
    <w:rsid w:val="6B2718FD"/>
    <w:rsid w:val="6B2A147B"/>
    <w:rsid w:val="6B2B4CFC"/>
    <w:rsid w:val="6B2C290C"/>
    <w:rsid w:val="6B33476F"/>
    <w:rsid w:val="6B352059"/>
    <w:rsid w:val="6B3B4CA2"/>
    <w:rsid w:val="6B4514F6"/>
    <w:rsid w:val="6B4A50C0"/>
    <w:rsid w:val="6B4D3CED"/>
    <w:rsid w:val="6B5C7011"/>
    <w:rsid w:val="6B6A2B7E"/>
    <w:rsid w:val="6B705893"/>
    <w:rsid w:val="6B7221D1"/>
    <w:rsid w:val="6B725A81"/>
    <w:rsid w:val="6B7D16E0"/>
    <w:rsid w:val="6B7F30F3"/>
    <w:rsid w:val="6B873558"/>
    <w:rsid w:val="6B92645D"/>
    <w:rsid w:val="6B94060D"/>
    <w:rsid w:val="6B973734"/>
    <w:rsid w:val="6B975967"/>
    <w:rsid w:val="6B9A5777"/>
    <w:rsid w:val="6BAF41A0"/>
    <w:rsid w:val="6BB248CC"/>
    <w:rsid w:val="6BBC0DCF"/>
    <w:rsid w:val="6BCA6179"/>
    <w:rsid w:val="6BCE3445"/>
    <w:rsid w:val="6BD0777F"/>
    <w:rsid w:val="6BD619EE"/>
    <w:rsid w:val="6BEA64E2"/>
    <w:rsid w:val="6BFA7E30"/>
    <w:rsid w:val="6BFB030F"/>
    <w:rsid w:val="6C016CAE"/>
    <w:rsid w:val="6C07197C"/>
    <w:rsid w:val="6C090252"/>
    <w:rsid w:val="6C0B7CD2"/>
    <w:rsid w:val="6C0D6AE8"/>
    <w:rsid w:val="6C100936"/>
    <w:rsid w:val="6C1962C3"/>
    <w:rsid w:val="6C1A6808"/>
    <w:rsid w:val="6C255AAD"/>
    <w:rsid w:val="6C2C5801"/>
    <w:rsid w:val="6C2D7320"/>
    <w:rsid w:val="6C2E3E73"/>
    <w:rsid w:val="6C3321F9"/>
    <w:rsid w:val="6C33267C"/>
    <w:rsid w:val="6C3373F5"/>
    <w:rsid w:val="6C3D0F56"/>
    <w:rsid w:val="6C410CB8"/>
    <w:rsid w:val="6C452BDF"/>
    <w:rsid w:val="6C5E1CDD"/>
    <w:rsid w:val="6C62391B"/>
    <w:rsid w:val="6C660C8B"/>
    <w:rsid w:val="6C6A716D"/>
    <w:rsid w:val="6C6C6ED7"/>
    <w:rsid w:val="6C71767A"/>
    <w:rsid w:val="6C7C1F44"/>
    <w:rsid w:val="6C827094"/>
    <w:rsid w:val="6C8559E0"/>
    <w:rsid w:val="6C891188"/>
    <w:rsid w:val="6C8D26FB"/>
    <w:rsid w:val="6C996561"/>
    <w:rsid w:val="6CAB6DBD"/>
    <w:rsid w:val="6CB01397"/>
    <w:rsid w:val="6CC25213"/>
    <w:rsid w:val="6CD76A8F"/>
    <w:rsid w:val="6CDE47C9"/>
    <w:rsid w:val="6CDF1F89"/>
    <w:rsid w:val="6CE0702D"/>
    <w:rsid w:val="6CE83295"/>
    <w:rsid w:val="6CEE220B"/>
    <w:rsid w:val="6CEE246E"/>
    <w:rsid w:val="6CF023AA"/>
    <w:rsid w:val="6CF27A30"/>
    <w:rsid w:val="6CF6067E"/>
    <w:rsid w:val="6D032BD4"/>
    <w:rsid w:val="6D0535EE"/>
    <w:rsid w:val="6D077405"/>
    <w:rsid w:val="6D0A3519"/>
    <w:rsid w:val="6D133D59"/>
    <w:rsid w:val="6D175B2B"/>
    <w:rsid w:val="6D264EC5"/>
    <w:rsid w:val="6D26662C"/>
    <w:rsid w:val="6D2B3CDC"/>
    <w:rsid w:val="6D330DB7"/>
    <w:rsid w:val="6D437763"/>
    <w:rsid w:val="6D4B2385"/>
    <w:rsid w:val="6D4C07B8"/>
    <w:rsid w:val="6D5B1179"/>
    <w:rsid w:val="6D671B76"/>
    <w:rsid w:val="6D6D28AF"/>
    <w:rsid w:val="6D771293"/>
    <w:rsid w:val="6D7D0954"/>
    <w:rsid w:val="6D8153B2"/>
    <w:rsid w:val="6D876AB7"/>
    <w:rsid w:val="6D8F154F"/>
    <w:rsid w:val="6D9757D1"/>
    <w:rsid w:val="6D9C3974"/>
    <w:rsid w:val="6DA062EA"/>
    <w:rsid w:val="6DA65DBF"/>
    <w:rsid w:val="6DA76631"/>
    <w:rsid w:val="6DAF65CC"/>
    <w:rsid w:val="6DB157A2"/>
    <w:rsid w:val="6DB25F3D"/>
    <w:rsid w:val="6DBA586C"/>
    <w:rsid w:val="6DBE0B3F"/>
    <w:rsid w:val="6DBF7294"/>
    <w:rsid w:val="6DC53FBD"/>
    <w:rsid w:val="6DC93FE2"/>
    <w:rsid w:val="6DCA77EA"/>
    <w:rsid w:val="6DD35114"/>
    <w:rsid w:val="6DDE35E8"/>
    <w:rsid w:val="6DE65A7A"/>
    <w:rsid w:val="6DE92FA2"/>
    <w:rsid w:val="6DEE0E7D"/>
    <w:rsid w:val="6DEF6BC8"/>
    <w:rsid w:val="6DF574ED"/>
    <w:rsid w:val="6DF81839"/>
    <w:rsid w:val="6E0048DC"/>
    <w:rsid w:val="6E075019"/>
    <w:rsid w:val="6E0766A1"/>
    <w:rsid w:val="6E1419C0"/>
    <w:rsid w:val="6E166FE2"/>
    <w:rsid w:val="6E183FF4"/>
    <w:rsid w:val="6E1B11E5"/>
    <w:rsid w:val="6E1D151C"/>
    <w:rsid w:val="6E2E7D17"/>
    <w:rsid w:val="6E3323DD"/>
    <w:rsid w:val="6E3761D3"/>
    <w:rsid w:val="6E392DDA"/>
    <w:rsid w:val="6E3E2033"/>
    <w:rsid w:val="6E411943"/>
    <w:rsid w:val="6E440060"/>
    <w:rsid w:val="6E442CF5"/>
    <w:rsid w:val="6E54575C"/>
    <w:rsid w:val="6E5A2999"/>
    <w:rsid w:val="6E612C3F"/>
    <w:rsid w:val="6E650AD9"/>
    <w:rsid w:val="6E6F6D88"/>
    <w:rsid w:val="6E702FE8"/>
    <w:rsid w:val="6E706B87"/>
    <w:rsid w:val="6E766C71"/>
    <w:rsid w:val="6E7926F7"/>
    <w:rsid w:val="6E7B110F"/>
    <w:rsid w:val="6E8A2A35"/>
    <w:rsid w:val="6E915314"/>
    <w:rsid w:val="6EA04FAE"/>
    <w:rsid w:val="6EAA59A3"/>
    <w:rsid w:val="6EAA79ED"/>
    <w:rsid w:val="6EB029C1"/>
    <w:rsid w:val="6EC161BE"/>
    <w:rsid w:val="6ECD08F1"/>
    <w:rsid w:val="6ED8031D"/>
    <w:rsid w:val="6EDF2531"/>
    <w:rsid w:val="6EE1335D"/>
    <w:rsid w:val="6EE50FBC"/>
    <w:rsid w:val="6EEF6508"/>
    <w:rsid w:val="6EF02682"/>
    <w:rsid w:val="6EFF1809"/>
    <w:rsid w:val="6F19615F"/>
    <w:rsid w:val="6F1A60C4"/>
    <w:rsid w:val="6F231E41"/>
    <w:rsid w:val="6F244447"/>
    <w:rsid w:val="6F303DE1"/>
    <w:rsid w:val="6F331C81"/>
    <w:rsid w:val="6F331F52"/>
    <w:rsid w:val="6F362062"/>
    <w:rsid w:val="6F3C0797"/>
    <w:rsid w:val="6F4048CA"/>
    <w:rsid w:val="6F405BD0"/>
    <w:rsid w:val="6F4713C5"/>
    <w:rsid w:val="6F4734D0"/>
    <w:rsid w:val="6F4B3953"/>
    <w:rsid w:val="6F555C91"/>
    <w:rsid w:val="6F603479"/>
    <w:rsid w:val="6F680494"/>
    <w:rsid w:val="6F6B5A9E"/>
    <w:rsid w:val="6F7A07E3"/>
    <w:rsid w:val="6F7D050B"/>
    <w:rsid w:val="6F8C33B0"/>
    <w:rsid w:val="6F8D5B36"/>
    <w:rsid w:val="6F953750"/>
    <w:rsid w:val="6FA04DA3"/>
    <w:rsid w:val="6FA10B29"/>
    <w:rsid w:val="6FAA2D8A"/>
    <w:rsid w:val="6FC02217"/>
    <w:rsid w:val="6FC34E9D"/>
    <w:rsid w:val="6FC60A07"/>
    <w:rsid w:val="6FC90F86"/>
    <w:rsid w:val="6FCD3BC3"/>
    <w:rsid w:val="6FCE2BBA"/>
    <w:rsid w:val="6FDF40F5"/>
    <w:rsid w:val="6FE0165C"/>
    <w:rsid w:val="6FE05F95"/>
    <w:rsid w:val="6FF021F5"/>
    <w:rsid w:val="6FF06B6B"/>
    <w:rsid w:val="6FF97C31"/>
    <w:rsid w:val="6FFC64FF"/>
    <w:rsid w:val="7001428F"/>
    <w:rsid w:val="700E7127"/>
    <w:rsid w:val="70133236"/>
    <w:rsid w:val="70156307"/>
    <w:rsid w:val="7016485B"/>
    <w:rsid w:val="701C590F"/>
    <w:rsid w:val="702033F7"/>
    <w:rsid w:val="7021034D"/>
    <w:rsid w:val="702D10A9"/>
    <w:rsid w:val="70315D3B"/>
    <w:rsid w:val="703D58C4"/>
    <w:rsid w:val="70453D87"/>
    <w:rsid w:val="704E5E48"/>
    <w:rsid w:val="7053674B"/>
    <w:rsid w:val="7055360F"/>
    <w:rsid w:val="70642BE6"/>
    <w:rsid w:val="706F497B"/>
    <w:rsid w:val="70724AB3"/>
    <w:rsid w:val="70877819"/>
    <w:rsid w:val="70916EF8"/>
    <w:rsid w:val="709261ED"/>
    <w:rsid w:val="70A02568"/>
    <w:rsid w:val="70AD230C"/>
    <w:rsid w:val="70B91785"/>
    <w:rsid w:val="70C41020"/>
    <w:rsid w:val="70CC1017"/>
    <w:rsid w:val="70CF255C"/>
    <w:rsid w:val="70DC2C89"/>
    <w:rsid w:val="70DD041E"/>
    <w:rsid w:val="70DD743F"/>
    <w:rsid w:val="70DD7EE0"/>
    <w:rsid w:val="70E3150B"/>
    <w:rsid w:val="70E67B77"/>
    <w:rsid w:val="70F323B0"/>
    <w:rsid w:val="70FD7C9B"/>
    <w:rsid w:val="70FE1DF7"/>
    <w:rsid w:val="710221FA"/>
    <w:rsid w:val="71094431"/>
    <w:rsid w:val="710D3478"/>
    <w:rsid w:val="710F7585"/>
    <w:rsid w:val="711805A6"/>
    <w:rsid w:val="711A79AD"/>
    <w:rsid w:val="71217446"/>
    <w:rsid w:val="71224F32"/>
    <w:rsid w:val="7123463F"/>
    <w:rsid w:val="713B1ED6"/>
    <w:rsid w:val="714463AC"/>
    <w:rsid w:val="7144693A"/>
    <w:rsid w:val="714C0595"/>
    <w:rsid w:val="71525708"/>
    <w:rsid w:val="71542A3C"/>
    <w:rsid w:val="71584711"/>
    <w:rsid w:val="71595F23"/>
    <w:rsid w:val="716A4C59"/>
    <w:rsid w:val="716D3AF0"/>
    <w:rsid w:val="71707F0F"/>
    <w:rsid w:val="717106F9"/>
    <w:rsid w:val="71811922"/>
    <w:rsid w:val="7184567C"/>
    <w:rsid w:val="71866C06"/>
    <w:rsid w:val="718F2568"/>
    <w:rsid w:val="718F3086"/>
    <w:rsid w:val="71910B53"/>
    <w:rsid w:val="719D1BC1"/>
    <w:rsid w:val="719E09E3"/>
    <w:rsid w:val="719F5958"/>
    <w:rsid w:val="71A33FEC"/>
    <w:rsid w:val="71A601E7"/>
    <w:rsid w:val="71AC51C8"/>
    <w:rsid w:val="71C37CE8"/>
    <w:rsid w:val="71C402EA"/>
    <w:rsid w:val="71D4132F"/>
    <w:rsid w:val="71D53676"/>
    <w:rsid w:val="71DA32B4"/>
    <w:rsid w:val="71E32E83"/>
    <w:rsid w:val="71F46D71"/>
    <w:rsid w:val="71F96411"/>
    <w:rsid w:val="71FA7506"/>
    <w:rsid w:val="72061465"/>
    <w:rsid w:val="722F766C"/>
    <w:rsid w:val="723256D8"/>
    <w:rsid w:val="72382B26"/>
    <w:rsid w:val="72385872"/>
    <w:rsid w:val="72451F4F"/>
    <w:rsid w:val="7247128C"/>
    <w:rsid w:val="72493E35"/>
    <w:rsid w:val="725B0CD8"/>
    <w:rsid w:val="7264361A"/>
    <w:rsid w:val="726822A9"/>
    <w:rsid w:val="726C3438"/>
    <w:rsid w:val="726F3E43"/>
    <w:rsid w:val="727367E8"/>
    <w:rsid w:val="72772B43"/>
    <w:rsid w:val="72791B78"/>
    <w:rsid w:val="727C5618"/>
    <w:rsid w:val="727F3E51"/>
    <w:rsid w:val="7287073E"/>
    <w:rsid w:val="728C70E1"/>
    <w:rsid w:val="7290542B"/>
    <w:rsid w:val="72913002"/>
    <w:rsid w:val="72917F17"/>
    <w:rsid w:val="72935E6A"/>
    <w:rsid w:val="729A7834"/>
    <w:rsid w:val="72A00661"/>
    <w:rsid w:val="72AF2463"/>
    <w:rsid w:val="72B06D9D"/>
    <w:rsid w:val="72B715E4"/>
    <w:rsid w:val="72C32F53"/>
    <w:rsid w:val="72C77A8A"/>
    <w:rsid w:val="72CB7C4C"/>
    <w:rsid w:val="72D86D20"/>
    <w:rsid w:val="72DB6BCE"/>
    <w:rsid w:val="72F70D65"/>
    <w:rsid w:val="72F762C6"/>
    <w:rsid w:val="72FE3E8E"/>
    <w:rsid w:val="731B711B"/>
    <w:rsid w:val="731C3ED2"/>
    <w:rsid w:val="731E5631"/>
    <w:rsid w:val="732009B8"/>
    <w:rsid w:val="732B0C72"/>
    <w:rsid w:val="733271A4"/>
    <w:rsid w:val="73330C63"/>
    <w:rsid w:val="733863E3"/>
    <w:rsid w:val="733A3332"/>
    <w:rsid w:val="733C1D9D"/>
    <w:rsid w:val="733E46B2"/>
    <w:rsid w:val="733E586B"/>
    <w:rsid w:val="733E59D9"/>
    <w:rsid w:val="734B3969"/>
    <w:rsid w:val="73597F33"/>
    <w:rsid w:val="7375490C"/>
    <w:rsid w:val="73757E63"/>
    <w:rsid w:val="737D2F4F"/>
    <w:rsid w:val="738B029F"/>
    <w:rsid w:val="73900D21"/>
    <w:rsid w:val="739A7114"/>
    <w:rsid w:val="739F2349"/>
    <w:rsid w:val="739F6287"/>
    <w:rsid w:val="73A242CD"/>
    <w:rsid w:val="73A935F2"/>
    <w:rsid w:val="73AC333B"/>
    <w:rsid w:val="73B11DBC"/>
    <w:rsid w:val="73B1795C"/>
    <w:rsid w:val="73B51018"/>
    <w:rsid w:val="73B67CAD"/>
    <w:rsid w:val="73B86EBC"/>
    <w:rsid w:val="73BC7659"/>
    <w:rsid w:val="73C340B3"/>
    <w:rsid w:val="73C72DB3"/>
    <w:rsid w:val="73C854F0"/>
    <w:rsid w:val="73CE0B05"/>
    <w:rsid w:val="73D007EE"/>
    <w:rsid w:val="73D27A00"/>
    <w:rsid w:val="73D31801"/>
    <w:rsid w:val="73D9581C"/>
    <w:rsid w:val="73DA2FBB"/>
    <w:rsid w:val="73DC2CAB"/>
    <w:rsid w:val="73DC5744"/>
    <w:rsid w:val="73E36876"/>
    <w:rsid w:val="73E72CB9"/>
    <w:rsid w:val="74014C0C"/>
    <w:rsid w:val="740B7234"/>
    <w:rsid w:val="741B5358"/>
    <w:rsid w:val="74202F12"/>
    <w:rsid w:val="742C093F"/>
    <w:rsid w:val="742F68DF"/>
    <w:rsid w:val="7435797F"/>
    <w:rsid w:val="7442738A"/>
    <w:rsid w:val="744A0545"/>
    <w:rsid w:val="744F0653"/>
    <w:rsid w:val="744F7C70"/>
    <w:rsid w:val="74521009"/>
    <w:rsid w:val="74632A31"/>
    <w:rsid w:val="7465205B"/>
    <w:rsid w:val="746954DB"/>
    <w:rsid w:val="74743C33"/>
    <w:rsid w:val="747640DF"/>
    <w:rsid w:val="747E6036"/>
    <w:rsid w:val="74807A49"/>
    <w:rsid w:val="7482175B"/>
    <w:rsid w:val="74843F0D"/>
    <w:rsid w:val="74A67409"/>
    <w:rsid w:val="74B37F42"/>
    <w:rsid w:val="74B539F8"/>
    <w:rsid w:val="74B94875"/>
    <w:rsid w:val="74BA4FF9"/>
    <w:rsid w:val="74C311F6"/>
    <w:rsid w:val="74C53F19"/>
    <w:rsid w:val="74CA0770"/>
    <w:rsid w:val="74D52F3D"/>
    <w:rsid w:val="74D81528"/>
    <w:rsid w:val="74D96025"/>
    <w:rsid w:val="74DA07A2"/>
    <w:rsid w:val="74E1491C"/>
    <w:rsid w:val="74E67A31"/>
    <w:rsid w:val="74F61278"/>
    <w:rsid w:val="74F90505"/>
    <w:rsid w:val="74FC67D7"/>
    <w:rsid w:val="7501178C"/>
    <w:rsid w:val="75092044"/>
    <w:rsid w:val="75124563"/>
    <w:rsid w:val="751274A1"/>
    <w:rsid w:val="75190871"/>
    <w:rsid w:val="751C2143"/>
    <w:rsid w:val="75295853"/>
    <w:rsid w:val="752D2921"/>
    <w:rsid w:val="752F1869"/>
    <w:rsid w:val="752F2DAC"/>
    <w:rsid w:val="75387884"/>
    <w:rsid w:val="75631790"/>
    <w:rsid w:val="7566472C"/>
    <w:rsid w:val="756B1E1E"/>
    <w:rsid w:val="7578413D"/>
    <w:rsid w:val="757B64ED"/>
    <w:rsid w:val="757C232A"/>
    <w:rsid w:val="75851DCA"/>
    <w:rsid w:val="75895C6B"/>
    <w:rsid w:val="758F3A2A"/>
    <w:rsid w:val="7595284C"/>
    <w:rsid w:val="7599617F"/>
    <w:rsid w:val="759D7802"/>
    <w:rsid w:val="75A011FF"/>
    <w:rsid w:val="75A70E4F"/>
    <w:rsid w:val="75AA3F51"/>
    <w:rsid w:val="75B11420"/>
    <w:rsid w:val="75B263D3"/>
    <w:rsid w:val="75CB7A28"/>
    <w:rsid w:val="75DA0294"/>
    <w:rsid w:val="75DC2372"/>
    <w:rsid w:val="75E16CC1"/>
    <w:rsid w:val="75F22E0F"/>
    <w:rsid w:val="7600000E"/>
    <w:rsid w:val="760021B6"/>
    <w:rsid w:val="760950F4"/>
    <w:rsid w:val="76122AB3"/>
    <w:rsid w:val="76154B74"/>
    <w:rsid w:val="761C414A"/>
    <w:rsid w:val="761D237D"/>
    <w:rsid w:val="76380CDC"/>
    <w:rsid w:val="76383420"/>
    <w:rsid w:val="76411431"/>
    <w:rsid w:val="7649562B"/>
    <w:rsid w:val="764F7C59"/>
    <w:rsid w:val="76536622"/>
    <w:rsid w:val="765566B4"/>
    <w:rsid w:val="76605088"/>
    <w:rsid w:val="76636412"/>
    <w:rsid w:val="766477E2"/>
    <w:rsid w:val="7668119A"/>
    <w:rsid w:val="766966D4"/>
    <w:rsid w:val="766E17F9"/>
    <w:rsid w:val="76894FB9"/>
    <w:rsid w:val="768C1EBA"/>
    <w:rsid w:val="768E260E"/>
    <w:rsid w:val="769222A0"/>
    <w:rsid w:val="769568F8"/>
    <w:rsid w:val="76993596"/>
    <w:rsid w:val="769F0134"/>
    <w:rsid w:val="76B14AAD"/>
    <w:rsid w:val="76C118A2"/>
    <w:rsid w:val="76C32B57"/>
    <w:rsid w:val="76C63D93"/>
    <w:rsid w:val="76CB0A63"/>
    <w:rsid w:val="76D25527"/>
    <w:rsid w:val="76D81970"/>
    <w:rsid w:val="76DD3810"/>
    <w:rsid w:val="76E451C7"/>
    <w:rsid w:val="76E472DD"/>
    <w:rsid w:val="76E8548D"/>
    <w:rsid w:val="76ED3B38"/>
    <w:rsid w:val="76F13EA7"/>
    <w:rsid w:val="76F14581"/>
    <w:rsid w:val="76F77BBD"/>
    <w:rsid w:val="76FD22EC"/>
    <w:rsid w:val="76FD6D57"/>
    <w:rsid w:val="77030B27"/>
    <w:rsid w:val="77041D95"/>
    <w:rsid w:val="77095079"/>
    <w:rsid w:val="7718408C"/>
    <w:rsid w:val="771D7BC5"/>
    <w:rsid w:val="7723073F"/>
    <w:rsid w:val="772527B2"/>
    <w:rsid w:val="772A6A8E"/>
    <w:rsid w:val="773B25F8"/>
    <w:rsid w:val="773B48CE"/>
    <w:rsid w:val="773D0C62"/>
    <w:rsid w:val="773F62E5"/>
    <w:rsid w:val="7743414C"/>
    <w:rsid w:val="774551B5"/>
    <w:rsid w:val="77523DCF"/>
    <w:rsid w:val="775B3FE4"/>
    <w:rsid w:val="77606B3D"/>
    <w:rsid w:val="776870B9"/>
    <w:rsid w:val="776967FB"/>
    <w:rsid w:val="776D4583"/>
    <w:rsid w:val="7776540C"/>
    <w:rsid w:val="777A37E1"/>
    <w:rsid w:val="778100C2"/>
    <w:rsid w:val="77855EB4"/>
    <w:rsid w:val="779D35D8"/>
    <w:rsid w:val="77AA135C"/>
    <w:rsid w:val="77AB7E27"/>
    <w:rsid w:val="77AC14DA"/>
    <w:rsid w:val="77AD64CA"/>
    <w:rsid w:val="77AF3504"/>
    <w:rsid w:val="77B36F7C"/>
    <w:rsid w:val="77BE1BC2"/>
    <w:rsid w:val="77C926F0"/>
    <w:rsid w:val="77CA0362"/>
    <w:rsid w:val="77D17A81"/>
    <w:rsid w:val="77E40C30"/>
    <w:rsid w:val="77FC1B84"/>
    <w:rsid w:val="78055C6F"/>
    <w:rsid w:val="780752E6"/>
    <w:rsid w:val="780B6CC7"/>
    <w:rsid w:val="78153F77"/>
    <w:rsid w:val="78185315"/>
    <w:rsid w:val="781C67FA"/>
    <w:rsid w:val="782378AE"/>
    <w:rsid w:val="78296DAC"/>
    <w:rsid w:val="783267CC"/>
    <w:rsid w:val="783E418B"/>
    <w:rsid w:val="783F1754"/>
    <w:rsid w:val="784E3C01"/>
    <w:rsid w:val="78570849"/>
    <w:rsid w:val="78575D9F"/>
    <w:rsid w:val="78600977"/>
    <w:rsid w:val="78617AF2"/>
    <w:rsid w:val="78626899"/>
    <w:rsid w:val="786421F2"/>
    <w:rsid w:val="786616B3"/>
    <w:rsid w:val="786E5D08"/>
    <w:rsid w:val="787E7A1D"/>
    <w:rsid w:val="78812F7C"/>
    <w:rsid w:val="78975C7D"/>
    <w:rsid w:val="78A51B95"/>
    <w:rsid w:val="78AA6975"/>
    <w:rsid w:val="78C15B1C"/>
    <w:rsid w:val="78C359B3"/>
    <w:rsid w:val="78C653C1"/>
    <w:rsid w:val="78C9190A"/>
    <w:rsid w:val="78C97D4F"/>
    <w:rsid w:val="78CC0493"/>
    <w:rsid w:val="78DB3FCA"/>
    <w:rsid w:val="78EC2D52"/>
    <w:rsid w:val="78F5480C"/>
    <w:rsid w:val="79036E66"/>
    <w:rsid w:val="790945D5"/>
    <w:rsid w:val="790B5E2B"/>
    <w:rsid w:val="790E47EA"/>
    <w:rsid w:val="790E548B"/>
    <w:rsid w:val="79104E2B"/>
    <w:rsid w:val="79135CA0"/>
    <w:rsid w:val="791467F0"/>
    <w:rsid w:val="7915089E"/>
    <w:rsid w:val="791A58CD"/>
    <w:rsid w:val="791F537B"/>
    <w:rsid w:val="79307F79"/>
    <w:rsid w:val="79344437"/>
    <w:rsid w:val="79367982"/>
    <w:rsid w:val="793D5C2F"/>
    <w:rsid w:val="793F7F0E"/>
    <w:rsid w:val="794A336F"/>
    <w:rsid w:val="79537099"/>
    <w:rsid w:val="79552D08"/>
    <w:rsid w:val="795E7ED2"/>
    <w:rsid w:val="79672E22"/>
    <w:rsid w:val="79677010"/>
    <w:rsid w:val="796E6578"/>
    <w:rsid w:val="79711579"/>
    <w:rsid w:val="797121AE"/>
    <w:rsid w:val="797E1825"/>
    <w:rsid w:val="79A7288D"/>
    <w:rsid w:val="79AA3C4E"/>
    <w:rsid w:val="79AE312A"/>
    <w:rsid w:val="79B3208C"/>
    <w:rsid w:val="79B70130"/>
    <w:rsid w:val="79BD5598"/>
    <w:rsid w:val="79C8453B"/>
    <w:rsid w:val="79CB0706"/>
    <w:rsid w:val="79CB0751"/>
    <w:rsid w:val="79CE66ED"/>
    <w:rsid w:val="79CF6E25"/>
    <w:rsid w:val="79D42664"/>
    <w:rsid w:val="79D51250"/>
    <w:rsid w:val="79DB4236"/>
    <w:rsid w:val="79E66C93"/>
    <w:rsid w:val="79F16E80"/>
    <w:rsid w:val="79F32B94"/>
    <w:rsid w:val="79F842C2"/>
    <w:rsid w:val="79FA0A29"/>
    <w:rsid w:val="79FC6E04"/>
    <w:rsid w:val="79FE2A4E"/>
    <w:rsid w:val="7A081D42"/>
    <w:rsid w:val="7A0A6E0F"/>
    <w:rsid w:val="7A0A7223"/>
    <w:rsid w:val="7A0C4EA7"/>
    <w:rsid w:val="7A12552F"/>
    <w:rsid w:val="7A1524DD"/>
    <w:rsid w:val="7A1A1772"/>
    <w:rsid w:val="7A1E1DC3"/>
    <w:rsid w:val="7A2751AD"/>
    <w:rsid w:val="7A276994"/>
    <w:rsid w:val="7A2C129F"/>
    <w:rsid w:val="7A3B034D"/>
    <w:rsid w:val="7A3F158B"/>
    <w:rsid w:val="7A4A132A"/>
    <w:rsid w:val="7A535840"/>
    <w:rsid w:val="7A646A69"/>
    <w:rsid w:val="7A6736BC"/>
    <w:rsid w:val="7A6A7B3B"/>
    <w:rsid w:val="7A7067FA"/>
    <w:rsid w:val="7A721F7E"/>
    <w:rsid w:val="7A746574"/>
    <w:rsid w:val="7A7678E5"/>
    <w:rsid w:val="7A7B24DD"/>
    <w:rsid w:val="7A7D2094"/>
    <w:rsid w:val="7A7F65CA"/>
    <w:rsid w:val="7A867241"/>
    <w:rsid w:val="7A876B11"/>
    <w:rsid w:val="7A88301C"/>
    <w:rsid w:val="7A963A48"/>
    <w:rsid w:val="7A9660A3"/>
    <w:rsid w:val="7A9861CB"/>
    <w:rsid w:val="7A986784"/>
    <w:rsid w:val="7ABB3E82"/>
    <w:rsid w:val="7AC3568E"/>
    <w:rsid w:val="7AD71052"/>
    <w:rsid w:val="7AD9797E"/>
    <w:rsid w:val="7ADE3DB2"/>
    <w:rsid w:val="7AE5682B"/>
    <w:rsid w:val="7AEE60EE"/>
    <w:rsid w:val="7B0E060E"/>
    <w:rsid w:val="7B0F5219"/>
    <w:rsid w:val="7B177A77"/>
    <w:rsid w:val="7B193032"/>
    <w:rsid w:val="7B1B1CF8"/>
    <w:rsid w:val="7B26484C"/>
    <w:rsid w:val="7B2B13FD"/>
    <w:rsid w:val="7B3339FA"/>
    <w:rsid w:val="7B346599"/>
    <w:rsid w:val="7B44094D"/>
    <w:rsid w:val="7B460BFD"/>
    <w:rsid w:val="7B4910BE"/>
    <w:rsid w:val="7B4A7A19"/>
    <w:rsid w:val="7B5D3226"/>
    <w:rsid w:val="7B5E4EEC"/>
    <w:rsid w:val="7B674BD7"/>
    <w:rsid w:val="7B722498"/>
    <w:rsid w:val="7B782690"/>
    <w:rsid w:val="7B7F3966"/>
    <w:rsid w:val="7B80148D"/>
    <w:rsid w:val="7B821ADA"/>
    <w:rsid w:val="7B8F5DA2"/>
    <w:rsid w:val="7B926883"/>
    <w:rsid w:val="7BA4369C"/>
    <w:rsid w:val="7BA71440"/>
    <w:rsid w:val="7BAE696E"/>
    <w:rsid w:val="7BAF3C86"/>
    <w:rsid w:val="7BC23E12"/>
    <w:rsid w:val="7BC45CF4"/>
    <w:rsid w:val="7BC92A6F"/>
    <w:rsid w:val="7BD36780"/>
    <w:rsid w:val="7BD4048E"/>
    <w:rsid w:val="7BD968AC"/>
    <w:rsid w:val="7BDE524C"/>
    <w:rsid w:val="7BEA5E74"/>
    <w:rsid w:val="7BF00328"/>
    <w:rsid w:val="7BF577C1"/>
    <w:rsid w:val="7BF9001B"/>
    <w:rsid w:val="7BFE0389"/>
    <w:rsid w:val="7BFE08FA"/>
    <w:rsid w:val="7C091716"/>
    <w:rsid w:val="7C126AEB"/>
    <w:rsid w:val="7C1F2070"/>
    <w:rsid w:val="7C260105"/>
    <w:rsid w:val="7C2900A2"/>
    <w:rsid w:val="7C295D17"/>
    <w:rsid w:val="7C2A10CD"/>
    <w:rsid w:val="7C2D2AE7"/>
    <w:rsid w:val="7C4A5A50"/>
    <w:rsid w:val="7C4B681D"/>
    <w:rsid w:val="7C4C575E"/>
    <w:rsid w:val="7C640974"/>
    <w:rsid w:val="7C643EF7"/>
    <w:rsid w:val="7C690B20"/>
    <w:rsid w:val="7C724EAE"/>
    <w:rsid w:val="7C780AD5"/>
    <w:rsid w:val="7C7A14F2"/>
    <w:rsid w:val="7C7E2FFC"/>
    <w:rsid w:val="7C7F038C"/>
    <w:rsid w:val="7C867154"/>
    <w:rsid w:val="7C8F78D5"/>
    <w:rsid w:val="7C9427B3"/>
    <w:rsid w:val="7C9E5A77"/>
    <w:rsid w:val="7CAA1FF6"/>
    <w:rsid w:val="7CAD2B44"/>
    <w:rsid w:val="7CB74F4A"/>
    <w:rsid w:val="7CB80138"/>
    <w:rsid w:val="7CB838AF"/>
    <w:rsid w:val="7CBE6F50"/>
    <w:rsid w:val="7CC639C6"/>
    <w:rsid w:val="7CC96839"/>
    <w:rsid w:val="7CCC3CFE"/>
    <w:rsid w:val="7CCD12D3"/>
    <w:rsid w:val="7CD505D1"/>
    <w:rsid w:val="7CD534FD"/>
    <w:rsid w:val="7CD6692A"/>
    <w:rsid w:val="7CE215AC"/>
    <w:rsid w:val="7CE25B4A"/>
    <w:rsid w:val="7CE3422B"/>
    <w:rsid w:val="7CE5443B"/>
    <w:rsid w:val="7CE76B7F"/>
    <w:rsid w:val="7CED09D9"/>
    <w:rsid w:val="7CF436AD"/>
    <w:rsid w:val="7CF87323"/>
    <w:rsid w:val="7CFF2442"/>
    <w:rsid w:val="7D0115A5"/>
    <w:rsid w:val="7D017D9A"/>
    <w:rsid w:val="7D080205"/>
    <w:rsid w:val="7D0A432A"/>
    <w:rsid w:val="7D0F2DDE"/>
    <w:rsid w:val="7D144B3C"/>
    <w:rsid w:val="7D167BA2"/>
    <w:rsid w:val="7D177687"/>
    <w:rsid w:val="7D1F5883"/>
    <w:rsid w:val="7D242066"/>
    <w:rsid w:val="7D282F0F"/>
    <w:rsid w:val="7D286550"/>
    <w:rsid w:val="7D3140B5"/>
    <w:rsid w:val="7D3874D2"/>
    <w:rsid w:val="7D4241A1"/>
    <w:rsid w:val="7D452B7F"/>
    <w:rsid w:val="7D526E71"/>
    <w:rsid w:val="7D532432"/>
    <w:rsid w:val="7D5A5BFC"/>
    <w:rsid w:val="7D6518EB"/>
    <w:rsid w:val="7D6B77B5"/>
    <w:rsid w:val="7D7371E1"/>
    <w:rsid w:val="7D74008A"/>
    <w:rsid w:val="7D7862CF"/>
    <w:rsid w:val="7D7A4E9D"/>
    <w:rsid w:val="7D7F0E79"/>
    <w:rsid w:val="7D851CFF"/>
    <w:rsid w:val="7DA65B7D"/>
    <w:rsid w:val="7DA72A35"/>
    <w:rsid w:val="7DA86112"/>
    <w:rsid w:val="7DAE3829"/>
    <w:rsid w:val="7DB00509"/>
    <w:rsid w:val="7DB9268E"/>
    <w:rsid w:val="7DBF3388"/>
    <w:rsid w:val="7DC71DAD"/>
    <w:rsid w:val="7DC8040C"/>
    <w:rsid w:val="7DC85A3E"/>
    <w:rsid w:val="7DCD3893"/>
    <w:rsid w:val="7DCE15A0"/>
    <w:rsid w:val="7DCF3C5F"/>
    <w:rsid w:val="7DD03D33"/>
    <w:rsid w:val="7DD410E6"/>
    <w:rsid w:val="7DD603AD"/>
    <w:rsid w:val="7DD82F1A"/>
    <w:rsid w:val="7DDA1110"/>
    <w:rsid w:val="7DE020DC"/>
    <w:rsid w:val="7DE449CE"/>
    <w:rsid w:val="7DEC05A8"/>
    <w:rsid w:val="7DED1348"/>
    <w:rsid w:val="7DEE71DF"/>
    <w:rsid w:val="7DF66186"/>
    <w:rsid w:val="7E007B1A"/>
    <w:rsid w:val="7E032346"/>
    <w:rsid w:val="7E0A5EA4"/>
    <w:rsid w:val="7E0A72D5"/>
    <w:rsid w:val="7E0B3C08"/>
    <w:rsid w:val="7E1C2B95"/>
    <w:rsid w:val="7E1E3CF4"/>
    <w:rsid w:val="7E212526"/>
    <w:rsid w:val="7E262B03"/>
    <w:rsid w:val="7E2E765A"/>
    <w:rsid w:val="7E324C10"/>
    <w:rsid w:val="7E324D32"/>
    <w:rsid w:val="7E3B7336"/>
    <w:rsid w:val="7E3D35D7"/>
    <w:rsid w:val="7E466A84"/>
    <w:rsid w:val="7E472FFE"/>
    <w:rsid w:val="7E4A6379"/>
    <w:rsid w:val="7E5248E3"/>
    <w:rsid w:val="7E5A2EA0"/>
    <w:rsid w:val="7E624B5E"/>
    <w:rsid w:val="7E66305F"/>
    <w:rsid w:val="7E6854DB"/>
    <w:rsid w:val="7E6C43B3"/>
    <w:rsid w:val="7E77762F"/>
    <w:rsid w:val="7E793E63"/>
    <w:rsid w:val="7E7B1715"/>
    <w:rsid w:val="7E8031F2"/>
    <w:rsid w:val="7E860496"/>
    <w:rsid w:val="7E956D81"/>
    <w:rsid w:val="7E9611E7"/>
    <w:rsid w:val="7E9963F8"/>
    <w:rsid w:val="7E9D0633"/>
    <w:rsid w:val="7EA82B9C"/>
    <w:rsid w:val="7EA95574"/>
    <w:rsid w:val="7EB13A3E"/>
    <w:rsid w:val="7EB16AB6"/>
    <w:rsid w:val="7EBD651F"/>
    <w:rsid w:val="7EC05F3D"/>
    <w:rsid w:val="7EC07C28"/>
    <w:rsid w:val="7ECB3BBC"/>
    <w:rsid w:val="7ED83896"/>
    <w:rsid w:val="7EDC2729"/>
    <w:rsid w:val="7EE15DD1"/>
    <w:rsid w:val="7EEB46E8"/>
    <w:rsid w:val="7EEE3759"/>
    <w:rsid w:val="7EF04016"/>
    <w:rsid w:val="7EF94F98"/>
    <w:rsid w:val="7EFB200E"/>
    <w:rsid w:val="7EFF41BF"/>
    <w:rsid w:val="7F0126E4"/>
    <w:rsid w:val="7F013802"/>
    <w:rsid w:val="7F051449"/>
    <w:rsid w:val="7F1A1324"/>
    <w:rsid w:val="7F1A4AEF"/>
    <w:rsid w:val="7F271E5F"/>
    <w:rsid w:val="7F29623C"/>
    <w:rsid w:val="7F2D4C74"/>
    <w:rsid w:val="7F341EAD"/>
    <w:rsid w:val="7F350A03"/>
    <w:rsid w:val="7F375587"/>
    <w:rsid w:val="7F3B2B2F"/>
    <w:rsid w:val="7F406D66"/>
    <w:rsid w:val="7F421AF0"/>
    <w:rsid w:val="7F516AFB"/>
    <w:rsid w:val="7F585C16"/>
    <w:rsid w:val="7F5B38C5"/>
    <w:rsid w:val="7F6566E6"/>
    <w:rsid w:val="7F6A7C64"/>
    <w:rsid w:val="7F6B0BA4"/>
    <w:rsid w:val="7F6E0CE1"/>
    <w:rsid w:val="7F6F6E86"/>
    <w:rsid w:val="7F8A3738"/>
    <w:rsid w:val="7F8B3191"/>
    <w:rsid w:val="7F8E4655"/>
    <w:rsid w:val="7F8E6809"/>
    <w:rsid w:val="7F987985"/>
    <w:rsid w:val="7F9C63C5"/>
    <w:rsid w:val="7F9E0C2E"/>
    <w:rsid w:val="7FAF35C9"/>
    <w:rsid w:val="7FAF535A"/>
    <w:rsid w:val="7FB620B9"/>
    <w:rsid w:val="7FBE4780"/>
    <w:rsid w:val="7FC07CDA"/>
    <w:rsid w:val="7FC33EC6"/>
    <w:rsid w:val="7FD30895"/>
    <w:rsid w:val="7FD52EF4"/>
    <w:rsid w:val="7FE932BA"/>
    <w:rsid w:val="7FEC3423"/>
    <w:rsid w:val="7FFD6B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tLeast"/>
      <w:outlineLvl w:val="0"/>
    </w:pPr>
    <w:rPr>
      <w:rFonts w:ascii="Calibri" w:hAnsi="Calibri" w:cs="Times New Roman"/>
      <w:b/>
      <w:bCs/>
      <w:kern w:val="44"/>
      <w:sz w:val="44"/>
      <w:szCs w:val="44"/>
    </w:rPr>
  </w:style>
  <w:style w:type="character" w:default="1" w:styleId="6">
    <w:name w:val="Default Paragraph Font"/>
    <w:semiHidden/>
    <w:qFormat/>
    <w:uiPriority w:val="0"/>
  </w:style>
  <w:style w:type="table" w:default="1" w:styleId="14">
    <w:name w:val="Normal Table"/>
    <w:semiHidden/>
    <w:qFormat/>
    <w:uiPriority w:val="0"/>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sz w:val="21"/>
      <w:szCs w:val="21"/>
    </w:rPr>
  </w:style>
  <w:style w:type="character" w:styleId="8">
    <w:name w:val="FollowedHyperlink"/>
    <w:basedOn w:val="6"/>
    <w:qFormat/>
    <w:uiPriority w:val="0"/>
    <w:rPr>
      <w:color w:val="4D7AD8"/>
      <w:u w:val="none"/>
    </w:rPr>
  </w:style>
  <w:style w:type="character" w:styleId="9">
    <w:name w:val="HTML Definition"/>
    <w:basedOn w:val="6"/>
    <w:qFormat/>
    <w:uiPriority w:val="0"/>
    <w:rPr>
      <w:i/>
      <w:bdr w:val="single" w:color="D9D9D9" w:sz="6" w:space="0"/>
      <w:shd w:val="clear" w:fill="FFFFFF"/>
    </w:rPr>
  </w:style>
  <w:style w:type="character" w:styleId="10">
    <w:name w:val="Hyperlink"/>
    <w:basedOn w:val="6"/>
    <w:qFormat/>
    <w:uiPriority w:val="0"/>
    <w:rPr>
      <w:color w:val="0000FF"/>
      <w:u w:val="single"/>
    </w:rPr>
  </w:style>
  <w:style w:type="character" w:styleId="11">
    <w:name w:val="HTML Code"/>
    <w:basedOn w:val="6"/>
    <w:qFormat/>
    <w:uiPriority w:val="0"/>
    <w:rPr>
      <w:rFonts w:hint="default" w:ascii="Consolas" w:hAnsi="Consolas" w:eastAsia="Consolas" w:cs="Consolas"/>
      <w:sz w:val="21"/>
      <w:szCs w:val="21"/>
    </w:rPr>
  </w:style>
  <w:style w:type="character" w:styleId="12">
    <w:name w:val="HTML Keyboard"/>
    <w:basedOn w:val="6"/>
    <w:qFormat/>
    <w:uiPriority w:val="0"/>
    <w:rPr>
      <w:rFonts w:ascii="Consolas" w:hAnsi="Consolas" w:eastAsia="Consolas" w:cs="Consolas"/>
      <w:color w:val="666666"/>
      <w:sz w:val="21"/>
      <w:szCs w:val="21"/>
    </w:rPr>
  </w:style>
  <w:style w:type="character" w:styleId="13">
    <w:name w:val="HTML Sample"/>
    <w:basedOn w:val="6"/>
    <w:qFormat/>
    <w:uiPriority w:val="0"/>
    <w:rPr>
      <w:rFonts w:hint="default" w:ascii="Consolas" w:hAnsi="Consolas" w:eastAsia="Consolas" w:cs="Consolas"/>
      <w:sz w:val="21"/>
      <w:szCs w:val="21"/>
    </w:rPr>
  </w:style>
  <w:style w:type="table" w:styleId="15">
    <w:name w:val="Table Gri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6">
    <w:name w:val="first-child2"/>
    <w:basedOn w:val="6"/>
    <w:qFormat/>
    <w:uiPriority w:val="0"/>
    <w:rPr>
      <w:sz w:val="13"/>
      <w:szCs w:val="13"/>
    </w:rPr>
  </w:style>
  <w:style w:type="character" w:customStyle="1" w:styleId="17">
    <w:name w:val="ant-select-tree-switcher"/>
    <w:basedOn w:val="6"/>
    <w:qFormat/>
    <w:uiPriority w:val="0"/>
  </w:style>
  <w:style w:type="character" w:customStyle="1" w:styleId="18">
    <w:name w:val="ant-tree-iconele"/>
    <w:basedOn w:val="6"/>
    <w:qFormat/>
    <w:uiPriority w:val="0"/>
  </w:style>
  <w:style w:type="character" w:customStyle="1" w:styleId="19">
    <w:name w:val="ant-radio+*"/>
    <w:basedOn w:val="6"/>
    <w:qFormat/>
    <w:uiPriority w:val="0"/>
  </w:style>
  <w:style w:type="character" w:customStyle="1" w:styleId="20">
    <w:name w:val="selected4"/>
    <w:basedOn w:val="6"/>
    <w:qFormat/>
    <w:uiPriority w:val="0"/>
  </w:style>
  <w:style w:type="character" w:customStyle="1" w:styleId="21">
    <w:name w:val="selected5"/>
    <w:basedOn w:val="6"/>
    <w:qFormat/>
    <w:uiPriority w:val="0"/>
  </w:style>
  <w:style w:type="character" w:customStyle="1" w:styleId="22">
    <w:name w:val="selected6"/>
    <w:basedOn w:val="6"/>
    <w:qFormat/>
    <w:uiPriority w:val="0"/>
  </w:style>
  <w:style w:type="character" w:customStyle="1" w:styleId="23">
    <w:name w:val="button"/>
    <w:basedOn w:val="6"/>
    <w:qFormat/>
    <w:uiPriority w:val="0"/>
  </w:style>
  <w:style w:type="character" w:customStyle="1" w:styleId="24">
    <w:name w:val="hover19"/>
    <w:basedOn w:val="6"/>
    <w:qFormat/>
    <w:uiPriority w:val="0"/>
    <w:rPr>
      <w:color w:val="009DFF"/>
    </w:rPr>
  </w:style>
  <w:style w:type="character" w:customStyle="1" w:styleId="25">
    <w:name w:val="hover20"/>
    <w:basedOn w:val="6"/>
    <w:qFormat/>
    <w:uiPriority w:val="0"/>
    <w:rPr>
      <w:color w:val="009DFF"/>
    </w:rPr>
  </w:style>
  <w:style w:type="character" w:customStyle="1" w:styleId="26">
    <w:name w:val="ant-tree-switcher"/>
    <w:basedOn w:val="6"/>
    <w:qFormat/>
    <w:uiPriority w:val="0"/>
  </w:style>
  <w:style w:type="character" w:customStyle="1" w:styleId="27">
    <w:name w:val="ant-select-tree-checkbox2"/>
    <w:basedOn w:val="6"/>
    <w:qFormat/>
    <w:uiPriority w:val="0"/>
  </w:style>
  <w:style w:type="character" w:customStyle="1" w:styleId="28">
    <w:name w:val="ant-select-tree-iconele"/>
    <w:basedOn w:val="6"/>
    <w:qFormat/>
    <w:uiPriority w:val="0"/>
  </w:style>
  <w:style w:type="character" w:customStyle="1" w:styleId="29">
    <w:name w:val="ant-tree-checkbox6"/>
    <w:basedOn w:val="6"/>
    <w:qFormat/>
    <w:uiPriority w:val="0"/>
  </w:style>
  <w:style w:type="character" w:customStyle="1" w:styleId="30">
    <w:name w:val="wea-thumbnails-doc-content-subtitle"/>
    <w:basedOn w:val="6"/>
    <w:qFormat/>
    <w:uiPriority w:val="0"/>
    <w:rPr>
      <w:color w:val="9A9A9A"/>
    </w:rPr>
  </w:style>
  <w:style w:type="character" w:customStyle="1" w:styleId="31">
    <w:name w:val="ht_nestinglevel"/>
    <w:basedOn w:val="6"/>
    <w:qFormat/>
    <w:uiPriority w:val="0"/>
  </w:style>
  <w:style w:type="character" w:customStyle="1" w:styleId="32">
    <w:name w:val="ht_nestinglevel_empty"/>
    <w:basedOn w:val="6"/>
    <w:qFormat/>
    <w:uiPriority w:val="0"/>
  </w:style>
  <w:style w:type="character" w:customStyle="1" w:styleId="33">
    <w:name w:val="colheader"/>
    <w:basedOn w:val="6"/>
    <w:qFormat/>
    <w:uiPriority w:val="0"/>
  </w:style>
  <w:style w:type="character" w:customStyle="1" w:styleId="34">
    <w:name w:val="ant-tree-checkbox"/>
    <w:basedOn w:val="6"/>
    <w:qFormat/>
    <w:uiPriority w:val="0"/>
  </w:style>
  <w:style w:type="character" w:customStyle="1" w:styleId="35">
    <w:name w:val="first-child"/>
    <w:basedOn w:val="6"/>
    <w:qFormat/>
    <w:uiPriority w:val="0"/>
    <w:rPr>
      <w:sz w:val="13"/>
      <w:szCs w:val="13"/>
    </w:rPr>
  </w:style>
  <w:style w:type="character" w:customStyle="1" w:styleId="36">
    <w:name w:val="ant-tree-switcher6"/>
    <w:basedOn w:val="6"/>
    <w:qFormat/>
    <w:uiPriority w:val="0"/>
  </w:style>
  <w:style w:type="character" w:customStyle="1" w:styleId="37">
    <w:name w:val="selected"/>
    <w:basedOn w:val="6"/>
    <w:qFormat/>
    <w:uiPriority w:val="0"/>
  </w:style>
  <w:style w:type="character" w:customStyle="1" w:styleId="38">
    <w:name w:val="selected1"/>
    <w:basedOn w:val="6"/>
    <w:qFormat/>
    <w:uiPriority w:val="0"/>
  </w:style>
  <w:style w:type="character" w:customStyle="1" w:styleId="39">
    <w:name w:val="selected2"/>
    <w:basedOn w:val="6"/>
    <w:qFormat/>
    <w:uiPriority w:val="0"/>
  </w:style>
  <w:style w:type="character" w:customStyle="1" w:styleId="40">
    <w:name w:val="ant-select-tree-checkbox"/>
    <w:basedOn w:val="6"/>
    <w:qFormat/>
    <w:uiPriority w:val="0"/>
  </w:style>
  <w:style w:type="character" w:customStyle="1" w:styleId="41">
    <w:name w:val="ant-tree-switcher5"/>
    <w:basedOn w:val="6"/>
    <w:qFormat/>
    <w:uiPriority w:val="0"/>
  </w:style>
  <w:style w:type="character" w:customStyle="1" w:styleId="42">
    <w:name w:val="selected7"/>
    <w:basedOn w:val="6"/>
    <w:qFormat/>
    <w:uiPriority w:val="0"/>
  </w:style>
  <w:style w:type="character" w:customStyle="1" w:styleId="43">
    <w:name w:val="selected11"/>
    <w:basedOn w:val="6"/>
    <w:qFormat/>
    <w:uiPriority w:val="0"/>
  </w:style>
  <w:style w:type="character" w:customStyle="1" w:styleId="44">
    <w:name w:val="selected12"/>
    <w:basedOn w:val="6"/>
    <w:qFormat/>
    <w:uiPriority w:val="0"/>
  </w:style>
  <w:style w:type="character" w:customStyle="1" w:styleId="45">
    <w:name w:val="selected13"/>
    <w:basedOn w:val="6"/>
    <w:qFormat/>
    <w:uiPriority w:val="0"/>
  </w:style>
  <w:style w:type="character" w:customStyle="1" w:styleId="46">
    <w:name w:val="selected8"/>
    <w:basedOn w:val="6"/>
    <w:qFormat/>
    <w:uiPriority w:val="0"/>
  </w:style>
  <w:style w:type="character" w:customStyle="1" w:styleId="47">
    <w:name w:val="selected9"/>
    <w:basedOn w:val="6"/>
    <w:qFormat/>
    <w:uiPriority w:val="0"/>
  </w:style>
  <w:style w:type="character" w:customStyle="1" w:styleId="48">
    <w:name w:val="selected10"/>
    <w:basedOn w:val="6"/>
    <w:qFormat/>
    <w:uiPriority w:val="0"/>
  </w:style>
  <w:style w:type="character" w:customStyle="1" w:styleId="49">
    <w:name w:val="hover18"/>
    <w:basedOn w:val="6"/>
    <w:qFormat/>
    <w:uiPriority w:val="0"/>
    <w:rPr>
      <w:color w:val="009DFF"/>
    </w:rPr>
  </w:style>
  <w:style w:type="character" w:customStyle="1" w:styleId="50">
    <w:name w:val="ant-tree-checkbox5"/>
    <w:basedOn w:val="6"/>
    <w:qFormat/>
    <w:uiPriority w:val="0"/>
  </w:style>
  <w:style w:type="character" w:customStyle="1" w:styleId="51">
    <w:name w:val="ant-tree-switcher4"/>
    <w:basedOn w:val="6"/>
    <w:qFormat/>
    <w:uiPriority w:val="0"/>
  </w:style>
  <w:style w:type="character" w:customStyle="1" w:styleId="52">
    <w:name w:val="hover"/>
    <w:basedOn w:val="6"/>
    <w:qFormat/>
    <w:uiPriority w:val="0"/>
    <w:rPr>
      <w:color w:val="009DFF"/>
    </w:rPr>
  </w:style>
  <w:style w:type="character" w:customStyle="1" w:styleId="53">
    <w:name w:val="hover1"/>
    <w:basedOn w:val="6"/>
    <w:qFormat/>
    <w:uiPriority w:val="0"/>
    <w:rPr>
      <w:color w:val="009DFF"/>
    </w:rPr>
  </w:style>
  <w:style w:type="character" w:customStyle="1" w:styleId="54">
    <w:name w:val="hover15"/>
    <w:basedOn w:val="6"/>
    <w:qFormat/>
    <w:uiPriority w:val="0"/>
    <w:rPr>
      <w:color w:val="009DFF"/>
    </w:rPr>
  </w:style>
  <w:style w:type="character" w:customStyle="1" w:styleId="55">
    <w:name w:val="hover16"/>
    <w:basedOn w:val="6"/>
    <w:qFormat/>
    <w:uiPriority w:val="0"/>
    <w:rPr>
      <w:color w:val="009DFF"/>
    </w:rPr>
  </w:style>
  <w:style w:type="character" w:customStyle="1" w:styleId="56">
    <w:name w:val="ant-tree-checkbox4"/>
    <w:basedOn w:val="6"/>
    <w:qFormat/>
    <w:uiPriority w:val="0"/>
  </w:style>
  <w:style w:type="character" w:customStyle="1" w:styleId="57">
    <w:name w:val="hover17"/>
    <w:basedOn w:val="6"/>
    <w:qFormat/>
    <w:uiPriority w:val="0"/>
    <w:rPr>
      <w:color w:val="009DFF"/>
    </w:rPr>
  </w:style>
  <w:style w:type="character" w:customStyle="1" w:styleId="58">
    <w:name w:val="hover14"/>
    <w:basedOn w:val="6"/>
    <w:qFormat/>
    <w:uiPriority w:val="0"/>
    <w:rPr>
      <w:color w:val="009DFF"/>
    </w:rPr>
  </w:style>
  <w:style w:type="character" w:customStyle="1" w:styleId="59">
    <w:name w:val="hover13"/>
    <w:basedOn w:val="6"/>
    <w:qFormat/>
    <w:uiPriority w:val="0"/>
    <w:rPr>
      <w:color w:val="009DFF"/>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13</TotalTime>
  <ScaleCrop>false</ScaleCrop>
  <LinksUpToDate>false</LinksUpToDate>
  <CharactersWithSpaces>0</CharactersWithSpaces>
  <Application>WPS Office_10.8.2.7058_F1E327BC-269C-435d-A152-05C5408002CA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2023-12-15T03:58:00Z</dcterms:created>
  <dc:creator>admin</dc:creator>
  <cp:lastModifiedBy>未定义</cp:lastModifiedBy>
  <cp:lastPrinted>2024-03-07T06:33:00Z</cp:lastPrinted>
  <dcterms:modified xsi:type="dcterms:W3CDTF">2024-04-19T06:38:28Z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2052-10.8.2.7058</vt:lpwstr>
  </property>
  <property fmtid="{D5CDD505-2E9C-101B-9397-08002B2CF9AE}" pid="3" name="ICV">
    <vt:lpwstr>2AFE29251F2D47119EA111B2B617C6AF_13</vt:lpwstr>
  </property>
</Properties>
</file>