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64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default" w:ascii="Times New Roman" w:hAnsi="Times New Roman" w:eastAsia="经典行楷简" w:cs="Times New Roman"/>
          <w:b w:val="0"/>
          <w:bCs/>
          <w:color w:val="2E75B6" w:themeColor="accent1" w:themeShade="BF"/>
          <w:kern w:val="36"/>
          <w:sz w:val="44"/>
          <w:szCs w:val="44"/>
          <w:lang w:val="en-US"/>
        </w:rPr>
        <w:t>4</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64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总第</w:t>
      </w:r>
      <w:r>
        <w:rPr>
          <w:rFonts w:hint="default"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250</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default" w:ascii="Times New Roman" w:hAnsi="Times New Roman" w:eastAsia="方正楷体_GBK" w:cs="Times New Roman"/>
          <w:b w:val="0"/>
          <w:bCs/>
          <w:color w:val="000000"/>
          <w:kern w:val="36"/>
          <w:sz w:val="32"/>
          <w:szCs w:val="32"/>
          <w:highlight w:val="none"/>
          <w:lang w:val="en-US" w:eastAsia="zh-CN"/>
        </w:rPr>
        <w:t>1</w:t>
      </w:r>
      <w:r>
        <w:rPr>
          <w:rFonts w:hint="default" w:ascii="Times New Roman" w:hAnsi="Times New Roman" w:eastAsia="方正楷体_GBK" w:cs="Times New Roman"/>
          <w:b w:val="0"/>
          <w:bCs/>
          <w:color w:val="000000"/>
          <w:kern w:val="36"/>
          <w:sz w:val="32"/>
          <w:szCs w:val="32"/>
          <w:highlight w:val="none"/>
        </w:rPr>
        <w:t>月</w:t>
      </w:r>
      <w:r>
        <w:rPr>
          <w:rFonts w:hint="default" w:ascii="Times New Roman" w:hAnsi="Times New Roman" w:eastAsia="方正楷体_GBK" w:cs="Times New Roman"/>
          <w:b w:val="0"/>
          <w:bCs/>
          <w:color w:val="000000"/>
          <w:kern w:val="36"/>
          <w:sz w:val="32"/>
          <w:szCs w:val="32"/>
          <w:highlight w:val="none"/>
          <w:lang w:val="en-US" w:eastAsia="zh-CN"/>
        </w:rPr>
        <w:t>26</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  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480" w:lineRule="auto"/>
        <w:ind w:firstLine="528" w:firstLineChars="200"/>
        <w:contextualSpacing/>
        <w:jc w:val="left"/>
        <w:textAlignment w:val="auto"/>
        <w:outlineLvl w:val="1"/>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48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全球</w:t>
      </w:r>
      <w:r>
        <w:rPr>
          <w:rFonts w:hint="eastAsia"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市场</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资讯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480" w:lineRule="auto"/>
        <w:ind w:firstLine="44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p>
    <w:tbl>
      <w:tblPr>
        <w:tblStyle w:val="6"/>
        <w:tblW w:w="0" w:type="auto"/>
        <w:tblInd w:w="10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84"/>
        <w:gridCol w:w="49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8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32"/>
                <w:szCs w:val="32"/>
                <w:vertAlign w:val="baseline"/>
                <w:lang w:val="en-US"/>
              </w:rPr>
            </w:pPr>
            <w:r>
              <w:rPr>
                <w:rFonts w:hint="eastAsia" w:ascii="方正小标宋_GBK" w:hAnsi="方正小标宋_GBK" w:eastAsia="方正小标宋_GBK" w:cs="方正小标宋_GBK"/>
                <w:b/>
                <w:bCs w:val="0"/>
                <w:color w:val="1F497D"/>
                <w:kern w:val="36"/>
                <w:sz w:val="44"/>
                <w:szCs w:val="44"/>
                <w:highlight w:val="yellow"/>
                <w:lang w:val="en-US" w:eastAsia="zh-CN"/>
              </w:rPr>
              <w:t>美股</w:t>
            </w:r>
            <w:r>
              <w:rPr>
                <w:rFonts w:hint="eastAsia" w:ascii="Times New Roman" w:hAnsi="Times New Roman" w:eastAsia="经典行楷简" w:cs="Times New Roman"/>
                <w:b w:val="0"/>
                <w:bCs/>
                <w:color w:val="2E75B5" w:themeColor="accent1" w:themeShade="BF"/>
                <w:kern w:val="36"/>
                <w:sz w:val="52"/>
                <w:szCs w:val="52"/>
                <w:highlight w:val="yellow"/>
                <w:lang w:val="en-US" w:eastAsia="zh-CN"/>
                <w14:textFill>
                  <w14:gradFill>
                    <w14:gsLst>
                      <w14:gs w14:pos="0">
                        <w14:srgbClr w14:val="FE4444"/>
                      </w14:gs>
                      <w14:gs w14:pos="100000">
                        <w14:srgbClr w14:val="832B2B"/>
                      </w14:gs>
                    </w14:gsLst>
                    <w14:lin w14:scaled="0"/>
                  </w14:gradFill>
                </w14:textFill>
              </w:rPr>
              <w:t>创历史新高</w:t>
            </w:r>
            <w:r>
              <w:rPr>
                <w:rFonts w:hint="default" w:ascii="Times New Roman" w:hAnsi="Times New Roman" w:eastAsia="方正楷体_GBK" w:cs="Times New Roman"/>
                <w:b/>
                <w:bCs w:val="0"/>
                <w:kern w:val="36"/>
                <w:sz w:val="32"/>
                <w:szCs w:val="32"/>
                <w:lang w:val="en-US" w:eastAsia="zh-CN" w:bidi="ar"/>
              </w:rPr>
              <w:t xml:space="preserve">/ </w:t>
            </w:r>
            <w:r>
              <w:rPr>
                <w:rFonts w:hint="default" w:ascii="Times New Roman" w:hAnsi="Times New Roman" w:eastAsia="方正楷体_GBK" w:cs="Times New Roman"/>
                <w:b/>
                <w:bCs w:val="0"/>
                <w:color w:val="FF0000"/>
                <w:kern w:val="36"/>
                <w:sz w:val="32"/>
                <w:szCs w:val="32"/>
                <w:lang w:val="en-US" w:eastAsia="zh-CN" w:bidi="ar"/>
              </w:rPr>
              <w:t>P01</w:t>
            </w:r>
          </w:p>
        </w:tc>
        <w:tc>
          <w:tcPr>
            <w:tcW w:w="490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cs="Times New Roman"/>
                <w:sz w:val="32"/>
                <w:szCs w:val="32"/>
                <w:vertAlign w:val="baseline"/>
                <w:lang w:val="en-US"/>
              </w:rPr>
            </w:pPr>
            <w:r>
              <w:rPr>
                <w:rFonts w:hint="eastAsia" w:ascii="方正小标宋_GBK" w:hAnsi="方正小标宋_GBK" w:eastAsia="方正小标宋_GBK" w:cs="方正小标宋_GBK"/>
                <w:b/>
                <w:bCs w:val="0"/>
                <w:color w:val="1F497D"/>
                <w:kern w:val="36"/>
                <w:sz w:val="44"/>
                <w:szCs w:val="44"/>
                <w:highlight w:val="yellow"/>
                <w:lang w:val="en-US" w:eastAsia="zh-CN"/>
              </w:rPr>
              <w:t>英国</w:t>
            </w:r>
            <w:r>
              <w:rPr>
                <w:rFonts w:hint="eastAsia" w:ascii="Times New Roman" w:hAnsi="Times New Roman" w:eastAsia="经典行楷简" w:cs="Times New Roman"/>
                <w:b w:val="0"/>
                <w:bCs/>
                <w:color w:val="2E75B5" w:themeColor="accent1" w:themeShade="BF"/>
                <w:kern w:val="36"/>
                <w:sz w:val="44"/>
                <w:szCs w:val="44"/>
                <w:highlight w:val="yellow"/>
                <w:lang w:val="en-US" w:eastAsia="zh-CN"/>
                <w14:textFill>
                  <w14:gradFill>
                    <w14:gsLst>
                      <w14:gs w14:pos="0">
                        <w14:srgbClr w14:val="FE4444"/>
                      </w14:gs>
                      <w14:gs w14:pos="100000">
                        <w14:srgbClr w14:val="832B2B"/>
                      </w14:gs>
                    </w14:gsLst>
                    <w14:lin w14:scaled="0"/>
                  </w14:gradFill>
                </w14:textFill>
              </w:rPr>
              <w:t>陷经济衰退</w:t>
            </w:r>
            <w:r>
              <w:rPr>
                <w:rFonts w:hint="default" w:ascii="Times New Roman" w:hAnsi="Times New Roman" w:eastAsia="方正楷体_GBK" w:cs="Times New Roman"/>
                <w:b/>
                <w:color w:val="auto"/>
                <w:kern w:val="36"/>
                <w:sz w:val="32"/>
                <w:szCs w:val="32"/>
                <w:lang w:val="en-US" w:eastAsia="zh-CN"/>
              </w:rPr>
              <w:t xml:space="preserve"> </w:t>
            </w:r>
            <w:r>
              <w:rPr>
                <w:rFonts w:hint="default" w:ascii="Times New Roman" w:hAnsi="Times New Roman" w:eastAsia="方正楷体_GBK" w:cs="Times New Roman"/>
                <w:b/>
                <w:color w:val="FF0000"/>
                <w:kern w:val="36"/>
                <w:sz w:val="32"/>
                <w:szCs w:val="32"/>
                <w:lang w:val="en-US" w:eastAsia="zh-CN"/>
              </w:rPr>
              <w:t xml:space="preserve"> </w:t>
            </w:r>
            <w:r>
              <w:rPr>
                <w:rFonts w:hint="default" w:ascii="Times New Roman" w:hAnsi="Times New Roman" w:eastAsia="方正楷体_GBK" w:cs="Times New Roman"/>
                <w:b/>
                <w:color w:val="auto"/>
                <w:kern w:val="36"/>
                <w:sz w:val="32"/>
                <w:szCs w:val="32"/>
                <w:lang w:val="en-US" w:eastAsia="zh-CN"/>
              </w:rPr>
              <w:t>/</w:t>
            </w:r>
            <w:r>
              <w:rPr>
                <w:rFonts w:hint="default" w:ascii="Times New Roman" w:hAnsi="Times New Roman" w:eastAsia="方正楷体_GBK" w:cs="Times New Roman"/>
                <w:b/>
                <w:color w:val="FF0000"/>
                <w:kern w:val="36"/>
                <w:sz w:val="32"/>
                <w:szCs w:val="32"/>
                <w:lang w:val="en-US" w:eastAsia="zh-CN"/>
              </w:rPr>
              <w:t>P02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cs="Times New Roman"/>
                <w:sz w:val="32"/>
                <w:szCs w:val="32"/>
                <w:vertAlign w:val="baseline"/>
                <w:lang w:val="en-US"/>
              </w:rPr>
            </w:pPr>
            <w:r>
              <w:rPr>
                <w:rFonts w:hint="default" w:ascii="Times New Roman" w:hAnsi="Times New Roman" w:cs="Times New Roman"/>
                <w:sz w:val="32"/>
                <w:szCs w:val="32"/>
              </w:rPr>
              <w:drawing>
                <wp:inline distT="0" distB="0" distL="114300" distR="114300">
                  <wp:extent cx="3094355" cy="2280920"/>
                  <wp:effectExtent l="0" t="0" r="10795" b="508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6"/>
                          <a:stretch>
                            <a:fillRect/>
                          </a:stretch>
                        </pic:blipFill>
                        <pic:spPr>
                          <a:xfrm>
                            <a:off x="0" y="0"/>
                            <a:ext cx="3094355" cy="2280920"/>
                          </a:xfrm>
                          <a:prstGeom prst="rect">
                            <a:avLst/>
                          </a:prstGeom>
                          <a:noFill/>
                          <a:ln>
                            <a:noFill/>
                          </a:ln>
                        </pic:spPr>
                      </pic:pic>
                    </a:graphicData>
                  </a:graphic>
                </wp:inline>
              </w:drawing>
            </w:r>
          </w:p>
        </w:tc>
        <w:tc>
          <w:tcPr>
            <w:tcW w:w="490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cs="Times New Roman"/>
                <w:sz w:val="32"/>
                <w:szCs w:val="32"/>
                <w:vertAlign w:val="baseline"/>
                <w:lang w:val="en-US"/>
              </w:rPr>
            </w:pPr>
            <w:r>
              <w:rPr>
                <w:rFonts w:hint="default" w:ascii="Times New Roman" w:hAnsi="Times New Roman" w:cs="Times New Roman"/>
                <w:sz w:val="32"/>
                <w:szCs w:val="32"/>
              </w:rPr>
              <w:drawing>
                <wp:inline distT="0" distB="0" distL="114300" distR="114300">
                  <wp:extent cx="2956560" cy="2302510"/>
                  <wp:effectExtent l="0" t="0" r="15240" b="25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2956560" cy="2302510"/>
                          </a:xfrm>
                          <a:prstGeom prst="rect">
                            <a:avLst/>
                          </a:prstGeom>
                          <a:noFill/>
                          <a:ln>
                            <a:noFill/>
                          </a:ln>
                        </pic:spPr>
                      </pic:pic>
                    </a:graphicData>
                  </a:graphic>
                </wp:inline>
              </w:drawing>
            </w:r>
          </w:p>
        </w:tc>
      </w:tr>
    </w:tbl>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500" w:lineRule="exact"/>
        <w:ind w:firstLine="608" w:firstLineChars="200"/>
        <w:contextualSpacing/>
        <w:textAlignment w:val="auto"/>
        <w:outlineLvl w:val="1"/>
        <w:rPr>
          <w:rFonts w:hint="default" w:ascii="Times New Roman" w:hAnsi="Times New Roman" w:eastAsia="方正楷体_GBK" w:cs="Times New Roman"/>
          <w:b/>
          <w:color w:val="auto"/>
          <w:kern w:val="36"/>
          <w:sz w:val="32"/>
          <w:szCs w:val="32"/>
          <w:lang w:val="en-US" w:eastAsia="zh-CN"/>
        </w:rPr>
      </w:pPr>
      <w:r>
        <w:rPr>
          <w:rFonts w:hint="default" w:ascii="Times New Roman" w:hAnsi="Times New Roman" w:eastAsia="方正楷体_GBK" w:cs="Times New Roman"/>
          <w:b/>
          <w:color w:val="auto"/>
          <w:kern w:val="36"/>
          <w:sz w:val="32"/>
          <w:szCs w:val="32"/>
          <w:lang w:val="en-US" w:eastAsia="zh-CN"/>
        </w:rPr>
        <w:t>1月22日（周</w:t>
      </w:r>
      <w:r>
        <w:rPr>
          <w:rFonts w:hint="eastAsia" w:ascii="Times New Roman" w:hAnsi="Times New Roman" w:eastAsia="方正楷体_GBK" w:cs="Times New Roman"/>
          <w:b/>
          <w:color w:val="auto"/>
          <w:kern w:val="36"/>
          <w:sz w:val="32"/>
          <w:szCs w:val="32"/>
          <w:lang w:val="en-US" w:eastAsia="zh-CN"/>
        </w:rPr>
        <w:t>一</w:t>
      </w:r>
      <w:r>
        <w:rPr>
          <w:rFonts w:hint="default" w:ascii="Times New Roman" w:hAnsi="Times New Roman" w:eastAsia="方正楷体_GBK" w:cs="Times New Roman"/>
          <w:b/>
          <w:color w:val="auto"/>
          <w:kern w:val="36"/>
          <w:sz w:val="32"/>
          <w:szCs w:val="32"/>
          <w:lang w:val="en-US" w:eastAsia="zh-CN"/>
        </w:rPr>
        <w:t>）</w:t>
      </w:r>
      <w:r>
        <w:rPr>
          <w:rFonts w:hint="eastAsia" w:ascii="Times New Roman" w:hAnsi="Times New Roman" w:eastAsia="方正楷体_GBK" w:cs="Times New Roman"/>
          <w:b/>
          <w:color w:val="auto"/>
          <w:kern w:val="36"/>
          <w:sz w:val="32"/>
          <w:szCs w:val="32"/>
          <w:lang w:val="en-US" w:eastAsia="zh-CN"/>
        </w:rPr>
        <w:t xml:space="preserve">美国乐观情绪回升，国际资本流入 / </w:t>
      </w:r>
      <w:r>
        <w:rPr>
          <w:rFonts w:hint="default" w:ascii="Times New Roman" w:hAnsi="Times New Roman" w:eastAsia="方正楷体_GBK" w:cs="Times New Roman"/>
          <w:b/>
          <w:color w:val="auto"/>
          <w:kern w:val="36"/>
          <w:sz w:val="32"/>
          <w:szCs w:val="32"/>
          <w:lang w:val="en-US" w:eastAsia="zh-CN"/>
        </w:rPr>
        <w:t>03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60" w:lineRule="exact"/>
        <w:ind w:firstLine="608" w:firstLineChars="200"/>
        <w:contextualSpacing/>
        <w:textAlignment w:val="auto"/>
        <w:outlineLvl w:val="1"/>
        <w:rPr>
          <w:rFonts w:hint="eastAsia" w:ascii="Times New Roman" w:hAnsi="Times New Roman" w:eastAsia="方正楷体_GBK" w:cs="Times New Roman"/>
          <w:b/>
          <w:color w:val="auto"/>
          <w:kern w:val="36"/>
          <w:sz w:val="32"/>
          <w:szCs w:val="32"/>
          <w:lang w:val="en-US" w:eastAsia="zh-CN"/>
        </w:rPr>
      </w:pPr>
      <w:r>
        <w:rPr>
          <w:rFonts w:hint="eastAsia" w:ascii="Times New Roman" w:hAnsi="Times New Roman" w:eastAsia="方正楷体_GBK" w:cs="Times New Roman"/>
          <w:b/>
          <w:color w:val="auto"/>
          <w:kern w:val="36"/>
          <w:sz w:val="32"/>
          <w:szCs w:val="32"/>
          <w:lang w:val="en-US" w:eastAsia="zh-CN"/>
        </w:rPr>
        <w:t>1月</w:t>
      </w:r>
      <w:r>
        <w:rPr>
          <w:rFonts w:hint="default" w:ascii="Times New Roman" w:hAnsi="Times New Roman" w:eastAsia="方正楷体_GBK" w:cs="Times New Roman"/>
          <w:b/>
          <w:color w:val="auto"/>
          <w:kern w:val="36"/>
          <w:sz w:val="32"/>
          <w:szCs w:val="32"/>
          <w:lang w:val="en-US" w:eastAsia="zh-CN"/>
        </w:rPr>
        <w:t>23</w:t>
      </w:r>
      <w:r>
        <w:rPr>
          <w:rFonts w:hint="eastAsia" w:ascii="Times New Roman" w:hAnsi="Times New Roman" w:eastAsia="方正楷体_GBK" w:cs="Times New Roman"/>
          <w:b/>
          <w:color w:val="auto"/>
          <w:kern w:val="36"/>
          <w:sz w:val="32"/>
          <w:szCs w:val="32"/>
          <w:lang w:val="en-US" w:eastAsia="zh-CN"/>
        </w:rPr>
        <w:t>日（周二）日本的通胀难题和货币政策</w:t>
      </w:r>
      <w:r>
        <w:rPr>
          <w:rFonts w:hint="default" w:ascii="Times New Roman" w:hAnsi="Times New Roman" w:eastAsia="方正楷体_GBK" w:cs="Times New Roman"/>
          <w:b/>
          <w:color w:val="auto"/>
          <w:kern w:val="36"/>
          <w:sz w:val="32"/>
          <w:szCs w:val="32"/>
          <w:lang w:val="en-US" w:eastAsia="zh-CN"/>
        </w:rPr>
        <w:t xml:space="preserve"> </w:t>
      </w:r>
      <w:r>
        <w:rPr>
          <w:rFonts w:hint="eastAsia" w:ascii="Times New Roman" w:hAnsi="Times New Roman" w:eastAsia="方正楷体_GBK" w:cs="Times New Roman"/>
          <w:b/>
          <w:color w:val="auto"/>
          <w:kern w:val="36"/>
          <w:sz w:val="32"/>
          <w:szCs w:val="32"/>
          <w:lang w:val="en-US" w:eastAsia="zh-CN"/>
        </w:rPr>
        <w:t>/ 05</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after="210" w:line="660" w:lineRule="exact"/>
        <w:ind w:firstLine="608" w:firstLineChars="200"/>
        <w:contextualSpacing/>
        <w:textAlignment w:val="auto"/>
        <w:outlineLvl w:val="1"/>
        <w:rPr>
          <w:rFonts w:hint="eastAsia" w:ascii="Times New Roman" w:hAnsi="Times New Roman" w:eastAsia="方正楷体_GBK" w:cs="Times New Roman"/>
          <w:b/>
          <w:color w:val="auto"/>
          <w:kern w:val="36"/>
          <w:sz w:val="32"/>
          <w:szCs w:val="32"/>
          <w:lang w:val="en-US" w:eastAsia="zh-CN"/>
        </w:rPr>
      </w:pPr>
      <w:r>
        <w:rPr>
          <w:rFonts w:hint="eastAsia" w:ascii="Times New Roman" w:hAnsi="Times New Roman" w:eastAsia="方正楷体_GBK" w:cs="Times New Roman"/>
          <w:b/>
          <w:color w:val="auto"/>
          <w:kern w:val="36"/>
          <w:sz w:val="32"/>
          <w:szCs w:val="32"/>
          <w:lang w:val="en-US" w:eastAsia="zh-CN"/>
        </w:rPr>
        <w:t>1月</w:t>
      </w:r>
      <w:r>
        <w:rPr>
          <w:rFonts w:hint="default" w:ascii="Times New Roman" w:hAnsi="Times New Roman" w:eastAsia="方正楷体_GBK" w:cs="Times New Roman"/>
          <w:b/>
          <w:color w:val="auto"/>
          <w:kern w:val="36"/>
          <w:sz w:val="32"/>
          <w:szCs w:val="32"/>
          <w:lang w:val="en-US" w:eastAsia="zh-CN"/>
        </w:rPr>
        <w:t>24</w:t>
      </w:r>
      <w:r>
        <w:rPr>
          <w:rFonts w:hint="eastAsia" w:ascii="Times New Roman" w:hAnsi="Times New Roman" w:eastAsia="方正楷体_GBK" w:cs="Times New Roman"/>
          <w:b/>
          <w:color w:val="auto"/>
          <w:kern w:val="36"/>
          <w:sz w:val="32"/>
          <w:szCs w:val="32"/>
          <w:lang w:val="en-US" w:eastAsia="zh-CN"/>
        </w:rPr>
        <w:t xml:space="preserve">日（周三）美企公布财报，从行业冷热看美国经济 / </w:t>
      </w:r>
      <w:r>
        <w:rPr>
          <w:rFonts w:hint="default" w:ascii="Times New Roman" w:hAnsi="Times New Roman" w:eastAsia="方正楷体_GBK" w:cs="Times New Roman"/>
          <w:b/>
          <w:color w:val="auto"/>
          <w:kern w:val="36"/>
          <w:sz w:val="32"/>
          <w:szCs w:val="32"/>
          <w:lang w:val="en-US" w:eastAsia="zh-CN"/>
        </w:rPr>
        <w:t>06</w:t>
      </w:r>
      <w:r>
        <w:rPr>
          <w:rFonts w:hint="eastAsia" w:ascii="Times New Roman" w:hAnsi="Times New Roman" w:eastAsia="方正楷体_GBK" w:cs="Times New Roman"/>
          <w:b/>
          <w:color w:val="auto"/>
          <w:kern w:val="36"/>
          <w:sz w:val="32"/>
          <w:szCs w:val="32"/>
          <w:lang w:val="en-US" w:eastAsia="zh-CN"/>
        </w:rPr>
        <w:tab/>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60" w:lineRule="exact"/>
        <w:contextualSpacing/>
        <w:jc w:val="center"/>
        <w:textAlignment w:val="auto"/>
        <w:outlineLvl w:val="1"/>
        <w:rPr>
          <w:rFonts w:hint="default" w:ascii="Times New Roman" w:hAnsi="Times New Roman" w:eastAsia="方正楷体_GBK" w:cs="Times New Roman"/>
          <w:b/>
          <w:color w:val="FF0000"/>
          <w:kern w:val="36"/>
          <w:sz w:val="32"/>
          <w:szCs w:val="32"/>
          <w:lang w:val="en-US" w:eastAsia="zh-CN"/>
        </w:rPr>
      </w:pPr>
      <w:r>
        <w:rPr>
          <w:rFonts w:hint="eastAsia" w:ascii="方正小标宋_GBK" w:hAnsi="方正小标宋_GBK" w:eastAsia="方正小标宋_GBK" w:cs="方正小标宋_GBK"/>
          <w:b/>
          <w:bCs w:val="0"/>
          <w:color w:val="1F497D"/>
          <w:spacing w:val="-11"/>
          <w:kern w:val="36"/>
          <w:sz w:val="44"/>
          <w:szCs w:val="44"/>
          <w:highlight w:val="yellow"/>
          <w:lang w:val="en-US" w:eastAsia="zh-CN"/>
        </w:rPr>
        <w:t>美债发行</w:t>
      </w:r>
      <w:r>
        <w:rPr>
          <w:rFonts w:hint="eastAsia" w:ascii="Times New Roman" w:hAnsi="Times New Roman" w:eastAsia="经典行楷简" w:cs="Times New Roman"/>
          <w:b w:val="0"/>
          <w:bCs/>
          <w:color w:val="2E75B5" w:themeColor="accent1" w:themeShade="BF"/>
          <w:spacing w:val="-40"/>
          <w:kern w:val="36"/>
          <w:sz w:val="52"/>
          <w:szCs w:val="52"/>
          <w:highlight w:val="yellow"/>
          <w:lang w:val="en-US" w:eastAsia="zh-CN"/>
          <w14:textFill>
            <w14:gradFill>
              <w14:gsLst>
                <w14:gs w14:pos="0">
                  <w14:srgbClr w14:val="FE4444"/>
                </w14:gs>
                <w14:gs w14:pos="100000">
                  <w14:srgbClr w14:val="832B2B"/>
                </w14:gs>
              </w14:gsLst>
              <w14:lin w14:scaled="0"/>
            </w14:gradFill>
          </w14:textFill>
        </w:rPr>
        <w:t>大潮开始启动</w:t>
      </w:r>
      <w:r>
        <w:rPr>
          <w:rFonts w:hint="eastAsia" w:ascii="Times New Roman" w:hAnsi="Times New Roman" w:eastAsia="经典行楷简" w:cs="Times New Roman"/>
          <w:b w:val="0"/>
          <w:bCs/>
          <w:color w:val="2E75B5" w:themeColor="accent1" w:themeShade="BF"/>
          <w:spacing w:val="-23"/>
          <w:kern w:val="36"/>
          <w:sz w:val="52"/>
          <w:szCs w:val="52"/>
          <w:highlight w:val="yellow"/>
          <w:lang w:val="en-US" w:eastAsia="zh-CN"/>
          <w14:textFill>
            <w14:gradFill>
              <w14:gsLst>
                <w14:gs w14:pos="0">
                  <w14:srgbClr w14:val="FE4444"/>
                </w14:gs>
                <w14:gs w14:pos="100000">
                  <w14:srgbClr w14:val="832B2B"/>
                </w14:gs>
              </w14:gsLst>
              <w14:lin w14:scaled="0"/>
            </w14:gradFill>
          </w14:textFill>
        </w:rPr>
        <w:t>，</w:t>
      </w:r>
      <w:r>
        <w:rPr>
          <w:rFonts w:hint="eastAsia" w:ascii="方正小标宋_GBK" w:hAnsi="方正小标宋_GBK" w:eastAsia="方正小标宋_GBK" w:cs="方正小标宋_GBK"/>
          <w:b/>
          <w:bCs w:val="0"/>
          <w:color w:val="1F497D"/>
          <w:spacing w:val="-23"/>
          <w:kern w:val="36"/>
          <w:sz w:val="44"/>
          <w:szCs w:val="44"/>
          <w:highlight w:val="yellow"/>
          <w:lang w:val="en-US" w:eastAsia="zh-CN"/>
        </w:rPr>
        <w:t>欧元区</w:t>
      </w:r>
      <w:r>
        <w:rPr>
          <w:rFonts w:hint="eastAsia" w:ascii="Times New Roman" w:hAnsi="Times New Roman" w:eastAsia="经典行楷简" w:cs="Times New Roman"/>
          <w:b w:val="0"/>
          <w:bCs/>
          <w:color w:val="2E75B5" w:themeColor="accent1" w:themeShade="BF"/>
          <w:spacing w:val="-23"/>
          <w:kern w:val="36"/>
          <w:sz w:val="44"/>
          <w:szCs w:val="44"/>
          <w:highlight w:val="yellow"/>
          <w:lang w:val="en-US" w:eastAsia="zh-CN"/>
          <w14:textFill>
            <w14:gradFill>
              <w14:gsLst>
                <w14:gs w14:pos="0">
                  <w14:srgbClr w14:val="FE4444"/>
                </w14:gs>
                <w14:gs w14:pos="100000">
                  <w14:srgbClr w14:val="832B2B"/>
                </w14:gs>
              </w14:gsLst>
              <w14:lin w14:scaled="0"/>
            </w14:gradFill>
          </w14:textFill>
        </w:rPr>
        <w:t>经济持续走弱</w:t>
      </w:r>
      <w:r>
        <w:rPr>
          <w:rFonts w:hint="default" w:ascii="Times New Roman" w:hAnsi="Times New Roman" w:eastAsia="方正楷体_GBK" w:cs="Times New Roman"/>
          <w:b/>
          <w:color w:val="auto"/>
          <w:kern w:val="36"/>
          <w:sz w:val="32"/>
          <w:szCs w:val="32"/>
          <w:lang w:val="en-US" w:eastAsia="zh-CN"/>
        </w:rPr>
        <w:t xml:space="preserve"> / </w:t>
      </w:r>
      <w:r>
        <w:rPr>
          <w:rFonts w:hint="default" w:ascii="Times New Roman" w:hAnsi="Times New Roman" w:eastAsia="方正楷体_GBK" w:cs="Times New Roman"/>
          <w:b/>
          <w:color w:val="FF0000"/>
          <w:kern w:val="36"/>
          <w:sz w:val="32"/>
          <w:szCs w:val="32"/>
          <w:lang w:val="en-US" w:eastAsia="zh-CN"/>
        </w:rPr>
        <w:t>P08</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cs="Times New Roman"/>
          <w:sz w:val="32"/>
          <w:szCs w:val="32"/>
        </w:rPr>
      </w:pPr>
      <w:r>
        <w:rPr>
          <w:rFonts w:hint="default" w:ascii="Times New Roman" w:hAnsi="Times New Roman" w:cs="Times New Roman"/>
          <w:sz w:val="32"/>
          <w:szCs w:val="32"/>
        </w:rPr>
        <w:drawing>
          <wp:inline distT="0" distB="0" distL="114300" distR="114300">
            <wp:extent cx="2934335" cy="1527810"/>
            <wp:effectExtent l="0" t="0" r="18415" b="15240"/>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8"/>
                    <a:stretch>
                      <a:fillRect/>
                    </a:stretch>
                  </pic:blipFill>
                  <pic:spPr>
                    <a:xfrm>
                      <a:off x="0" y="0"/>
                      <a:ext cx="2934335" cy="1527810"/>
                    </a:xfrm>
                    <a:prstGeom prst="rect">
                      <a:avLst/>
                    </a:prstGeom>
                    <a:noFill/>
                    <a:ln>
                      <a:noFill/>
                    </a:ln>
                  </pic:spPr>
                </pic:pic>
              </a:graphicData>
            </a:graphic>
          </wp:inline>
        </w:drawing>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方正楷体_GBK" w:cs="Times New Roman"/>
          <w:b/>
          <w:color w:val="FF0000"/>
          <w:kern w:val="36"/>
          <w:sz w:val="32"/>
          <w:szCs w:val="32"/>
          <w:lang w:val="en-US" w:eastAsia="zh-CN"/>
        </w:rPr>
      </w:pPr>
      <w:r>
        <w:rPr>
          <w:rFonts w:hint="default" w:ascii="Times New Roman" w:hAnsi="Times New Roman" w:cs="Times New Roman"/>
          <w:sz w:val="32"/>
          <w:szCs w:val="32"/>
        </w:rPr>
        <w:drawing>
          <wp:inline distT="0" distB="0" distL="114300" distR="114300">
            <wp:extent cx="1806575" cy="1449705"/>
            <wp:effectExtent l="0" t="0" r="3175" b="17145"/>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9"/>
                    <a:stretch>
                      <a:fillRect/>
                    </a:stretch>
                  </pic:blipFill>
                  <pic:spPr>
                    <a:xfrm>
                      <a:off x="0" y="0"/>
                      <a:ext cx="1806575" cy="1449705"/>
                    </a:xfrm>
                    <a:prstGeom prst="rect">
                      <a:avLst/>
                    </a:prstGeom>
                    <a:noFill/>
                    <a:ln>
                      <a:noFill/>
                    </a:ln>
                  </pic:spPr>
                </pic:pic>
              </a:graphicData>
            </a:graphic>
          </wp:inline>
        </w:drawing>
      </w:r>
      <w:r>
        <w:rPr>
          <w:rFonts w:hint="default" w:ascii="Times New Roman" w:hAnsi="Times New Roman" w:cs="Times New Roman"/>
          <w:sz w:val="32"/>
          <w:szCs w:val="32"/>
          <w:lang w:val="en-US"/>
        </w:rPr>
        <w:t xml:space="preserve">      </w:t>
      </w:r>
      <w:r>
        <w:rPr>
          <w:rFonts w:hint="default" w:ascii="Times New Roman" w:hAnsi="Times New Roman" w:cs="Times New Roman"/>
          <w:sz w:val="32"/>
          <w:szCs w:val="32"/>
          <w:vertAlign w:val="baseline"/>
          <w:lang w:val="en-US" w:eastAsia="zh-CN"/>
        </w:rPr>
        <w:drawing>
          <wp:inline distT="0" distB="0" distL="114300" distR="114300">
            <wp:extent cx="1957705" cy="1384935"/>
            <wp:effectExtent l="0" t="0" r="4445" b="5715"/>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10"/>
                    <a:stretch>
                      <a:fillRect/>
                    </a:stretch>
                  </pic:blipFill>
                  <pic:spPr>
                    <a:xfrm>
                      <a:off x="0" y="0"/>
                      <a:ext cx="1957705" cy="1384935"/>
                    </a:xfrm>
                    <a:prstGeom prst="rect">
                      <a:avLst/>
                    </a:prstGeom>
                    <a:noFill/>
                    <a:ln>
                      <a:noFill/>
                    </a:ln>
                  </pic:spPr>
                </pic:pic>
              </a:graphicData>
            </a:graphic>
          </wp:inline>
        </w:drawing>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60" w:lineRule="exact"/>
        <w:ind w:firstLine="608" w:firstLineChars="200"/>
        <w:contextualSpacing/>
        <w:textAlignment w:val="auto"/>
        <w:outlineLvl w:val="1"/>
        <w:rPr>
          <w:rFonts w:hint="default" w:ascii="Times New Roman" w:hAnsi="Times New Roman" w:eastAsia="方正楷体_GBK" w:cs="Times New Roman"/>
          <w:b/>
          <w:color w:val="auto"/>
          <w:kern w:val="36"/>
          <w:sz w:val="32"/>
          <w:szCs w:val="32"/>
          <w:lang w:val="en-US" w:eastAsia="zh-CN"/>
        </w:rPr>
      </w:pPr>
      <w:r>
        <w:rPr>
          <w:rFonts w:hint="eastAsia" w:ascii="Times New Roman" w:hAnsi="Times New Roman" w:eastAsia="方正楷体_GBK" w:cs="Times New Roman"/>
          <w:b/>
          <w:color w:val="auto"/>
          <w:kern w:val="36"/>
          <w:sz w:val="32"/>
          <w:szCs w:val="32"/>
          <w:lang w:val="en-US" w:eastAsia="zh-CN"/>
        </w:rPr>
        <w:t>1月</w:t>
      </w:r>
      <w:r>
        <w:rPr>
          <w:rFonts w:hint="default" w:ascii="Times New Roman" w:hAnsi="Times New Roman" w:eastAsia="方正楷体_GBK" w:cs="Times New Roman"/>
          <w:b/>
          <w:color w:val="auto"/>
          <w:kern w:val="36"/>
          <w:sz w:val="32"/>
          <w:szCs w:val="32"/>
          <w:lang w:val="en-US" w:eastAsia="zh-CN"/>
        </w:rPr>
        <w:t>26</w:t>
      </w:r>
      <w:r>
        <w:rPr>
          <w:rFonts w:hint="eastAsia" w:ascii="Times New Roman" w:hAnsi="Times New Roman" w:eastAsia="方正楷体_GBK" w:cs="Times New Roman"/>
          <w:b/>
          <w:color w:val="auto"/>
          <w:kern w:val="36"/>
          <w:sz w:val="32"/>
          <w:szCs w:val="32"/>
          <w:lang w:val="en-US" w:eastAsia="zh-CN"/>
        </w:rPr>
        <w:t>日（周五）美国增长强劲，德国衰退持续</w:t>
      </w:r>
      <w:r>
        <w:rPr>
          <w:rFonts w:hint="default" w:ascii="Times New Roman" w:hAnsi="Times New Roman" w:eastAsia="方正楷体_GBK" w:cs="Times New Roman"/>
          <w:b/>
          <w:color w:val="auto"/>
          <w:kern w:val="36"/>
          <w:sz w:val="32"/>
          <w:szCs w:val="32"/>
          <w:lang w:val="en-US" w:eastAsia="zh-CN"/>
        </w:rPr>
        <w:t xml:space="preserve"> </w:t>
      </w:r>
      <w:r>
        <w:rPr>
          <w:rFonts w:hint="eastAsia" w:ascii="Times New Roman" w:hAnsi="Times New Roman" w:eastAsia="方正楷体_GBK" w:cs="Times New Roman"/>
          <w:b/>
          <w:color w:val="auto"/>
          <w:kern w:val="36"/>
          <w:sz w:val="32"/>
          <w:szCs w:val="32"/>
          <w:lang w:val="en-US" w:eastAsia="zh-CN"/>
        </w:rPr>
        <w:t xml:space="preserve">/ </w:t>
      </w:r>
      <w:r>
        <w:rPr>
          <w:rFonts w:hint="default" w:ascii="Times New Roman" w:hAnsi="Times New Roman" w:eastAsia="方正楷体_GBK" w:cs="Times New Roman"/>
          <w:b/>
          <w:color w:val="auto"/>
          <w:kern w:val="36"/>
          <w:sz w:val="32"/>
          <w:szCs w:val="32"/>
          <w:lang w:val="en-US" w:eastAsia="zh-CN"/>
        </w:rPr>
        <w:t>11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60" w:lineRule="exact"/>
        <w:ind w:firstLine="528" w:firstLineChars="200"/>
        <w:contextualSpacing/>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ind w:firstLine="564" w:firstLineChars="200"/>
        <w:contextualSpacing/>
        <w:textAlignment w:val="auto"/>
        <w:outlineLvl w:val="1"/>
        <w:rPr>
          <w:rFonts w:hint="default" w:ascii="Times New Roman" w:hAnsi="Times New Roman" w:eastAsia="方正楷体_GBK" w:cs="Times New Roman"/>
          <w:b/>
          <w:color w:val="auto"/>
          <w:spacing w:val="-11"/>
          <w:kern w:val="36"/>
          <w:sz w:val="32"/>
          <w:szCs w:val="32"/>
          <w:lang w:val="en-US" w:eastAsia="zh-CN"/>
        </w:rPr>
      </w:pPr>
      <w:r>
        <w:rPr>
          <w:rFonts w:hint="eastAsia" w:ascii="Times New Roman" w:hAnsi="Times New Roman" w:eastAsia="方正楷体_GBK" w:cs="Times New Roman"/>
          <w:b/>
          <w:color w:val="auto"/>
          <w:spacing w:val="-11"/>
          <w:kern w:val="36"/>
          <w:sz w:val="32"/>
          <w:szCs w:val="32"/>
          <w:lang w:val="en-US" w:eastAsia="zh-CN"/>
        </w:rPr>
        <w:t>王善华会长带队走访部分副会长单位</w:t>
      </w:r>
      <w:r>
        <w:rPr>
          <w:rFonts w:hint="default" w:ascii="Times New Roman" w:hAnsi="Times New Roman" w:eastAsia="方正楷体_GBK" w:cs="Times New Roman"/>
          <w:b/>
          <w:color w:val="auto"/>
          <w:spacing w:val="-11"/>
          <w:kern w:val="36"/>
          <w:sz w:val="32"/>
          <w:szCs w:val="32"/>
          <w:lang w:val="en-US" w:eastAsia="zh-CN"/>
        </w:rPr>
        <w:t xml:space="preserve"> / 13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ind w:firstLine="564" w:firstLineChars="200"/>
        <w:contextualSpacing/>
        <w:textAlignment w:val="auto"/>
        <w:outlineLvl w:val="1"/>
        <w:rPr>
          <w:rFonts w:hint="default" w:ascii="Times New Roman" w:hAnsi="Times New Roman" w:eastAsia="方正楷体_GBK" w:cs="Times New Roman"/>
          <w:b/>
          <w:color w:val="auto"/>
          <w:spacing w:val="-11"/>
          <w:kern w:val="36"/>
          <w:sz w:val="32"/>
          <w:szCs w:val="32"/>
          <w:lang w:val="en-US" w:eastAsia="zh-CN"/>
        </w:rPr>
      </w:pPr>
      <w:r>
        <w:rPr>
          <w:rFonts w:hint="eastAsia" w:ascii="Times New Roman" w:hAnsi="Times New Roman" w:eastAsia="方正楷体_GBK" w:cs="Times New Roman"/>
          <w:b/>
          <w:color w:val="auto"/>
          <w:spacing w:val="-11"/>
          <w:kern w:val="36"/>
          <w:sz w:val="32"/>
          <w:szCs w:val="32"/>
          <w:lang w:val="en-US" w:eastAsia="zh-CN"/>
        </w:rPr>
        <w:t>丛苏峰副</w:t>
      </w:r>
      <w:r>
        <w:rPr>
          <w:rFonts w:hint="default" w:ascii="Times New Roman" w:hAnsi="Times New Roman" w:eastAsia="方正楷体_GBK" w:cs="Times New Roman"/>
          <w:b/>
          <w:color w:val="auto"/>
          <w:spacing w:val="-11"/>
          <w:kern w:val="36"/>
          <w:sz w:val="32"/>
          <w:szCs w:val="32"/>
          <w:lang w:val="en-US" w:eastAsia="zh-CN"/>
        </w:rPr>
        <w:t>会长</w:t>
      </w:r>
      <w:r>
        <w:rPr>
          <w:rFonts w:hint="eastAsia" w:ascii="Times New Roman" w:hAnsi="Times New Roman" w:eastAsia="方正楷体_GBK" w:cs="Times New Roman"/>
          <w:b/>
          <w:color w:val="auto"/>
          <w:spacing w:val="-11"/>
          <w:kern w:val="36"/>
          <w:sz w:val="32"/>
          <w:szCs w:val="32"/>
          <w:lang w:val="en-US" w:eastAsia="zh-CN"/>
        </w:rPr>
        <w:t>出席丝路联盟企业座谈会</w:t>
      </w:r>
      <w:r>
        <w:rPr>
          <w:rFonts w:hint="default" w:ascii="Times New Roman" w:hAnsi="Times New Roman" w:eastAsia="方正楷体_GBK" w:cs="Times New Roman"/>
          <w:b/>
          <w:color w:val="auto"/>
          <w:spacing w:val="-11"/>
          <w:kern w:val="36"/>
          <w:sz w:val="32"/>
          <w:szCs w:val="32"/>
          <w:lang w:val="en-US" w:eastAsia="zh-CN"/>
        </w:rPr>
        <w:t xml:space="preserve"> / 15</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ind w:firstLine="564" w:firstLineChars="200"/>
        <w:contextualSpacing/>
        <w:textAlignment w:val="auto"/>
        <w:outlineLvl w:val="1"/>
        <w:rPr>
          <w:rFonts w:hint="default" w:ascii="Times New Roman" w:hAnsi="Times New Roman" w:eastAsia="方正楷体_GBK" w:cs="Times New Roman"/>
          <w:b/>
          <w:color w:val="auto"/>
          <w:spacing w:val="-11"/>
          <w:kern w:val="36"/>
          <w:sz w:val="32"/>
          <w:szCs w:val="32"/>
          <w:lang w:val="en-US" w:eastAsia="zh-CN"/>
        </w:rPr>
      </w:pPr>
      <w:r>
        <w:rPr>
          <w:rFonts w:hint="default" w:ascii="Times New Roman" w:hAnsi="Times New Roman" w:eastAsia="方正楷体_GBK" w:cs="Times New Roman"/>
          <w:b/>
          <w:color w:val="auto"/>
          <w:spacing w:val="-11"/>
          <w:kern w:val="36"/>
          <w:sz w:val="32"/>
          <w:szCs w:val="32"/>
          <w:lang w:val="en-US" w:eastAsia="zh-CN"/>
        </w:rPr>
        <w:t>无锡市贸促会为五家</w:t>
      </w:r>
      <w:r>
        <w:rPr>
          <w:rFonts w:hint="eastAsia" w:ascii="Times New Roman" w:hAnsi="Times New Roman" w:eastAsia="方正楷体_GBK" w:cs="Times New Roman"/>
          <w:b/>
          <w:color w:val="auto"/>
          <w:spacing w:val="-11"/>
          <w:kern w:val="36"/>
          <w:sz w:val="32"/>
          <w:szCs w:val="32"/>
          <w:lang w:val="en-US" w:eastAsia="zh-CN"/>
        </w:rPr>
        <w:t>“</w:t>
      </w:r>
      <w:r>
        <w:rPr>
          <w:rFonts w:hint="default" w:ascii="Times New Roman" w:hAnsi="Times New Roman" w:eastAsia="方正楷体_GBK" w:cs="Times New Roman"/>
          <w:b/>
          <w:color w:val="auto"/>
          <w:spacing w:val="-11"/>
          <w:kern w:val="36"/>
          <w:sz w:val="32"/>
          <w:szCs w:val="32"/>
          <w:lang w:val="en-US" w:eastAsia="zh-CN"/>
        </w:rPr>
        <w:t>会员之家</w:t>
      </w:r>
      <w:r>
        <w:rPr>
          <w:rFonts w:hint="eastAsia" w:ascii="Times New Roman" w:hAnsi="Times New Roman" w:eastAsia="方正楷体_GBK" w:cs="Times New Roman"/>
          <w:b/>
          <w:color w:val="auto"/>
          <w:spacing w:val="-11"/>
          <w:kern w:val="36"/>
          <w:sz w:val="32"/>
          <w:szCs w:val="32"/>
          <w:lang w:val="en-US" w:eastAsia="zh-CN"/>
        </w:rPr>
        <w:t>”</w:t>
      </w:r>
      <w:r>
        <w:rPr>
          <w:rFonts w:hint="default" w:ascii="Times New Roman" w:hAnsi="Times New Roman" w:eastAsia="方正楷体_GBK" w:cs="Times New Roman"/>
          <w:b/>
          <w:color w:val="auto"/>
          <w:spacing w:val="-11"/>
          <w:kern w:val="36"/>
          <w:sz w:val="32"/>
          <w:szCs w:val="32"/>
          <w:lang w:val="en-US" w:eastAsia="zh-CN"/>
        </w:rPr>
        <w:t>授牌 / 16</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ind w:firstLine="564" w:firstLineChars="200"/>
        <w:contextualSpacing/>
        <w:textAlignment w:val="auto"/>
        <w:outlineLvl w:val="1"/>
        <w:rPr>
          <w:rFonts w:hint="default" w:ascii="Times New Roman" w:hAnsi="Times New Roman" w:eastAsia="方正楷体_GBK" w:cs="Times New Roman"/>
          <w:b/>
          <w:color w:val="auto"/>
          <w:spacing w:val="-11"/>
          <w:kern w:val="36"/>
          <w:sz w:val="32"/>
          <w:szCs w:val="32"/>
          <w:lang w:val="en-US" w:eastAsia="zh-CN"/>
        </w:rPr>
      </w:pPr>
      <w:r>
        <w:rPr>
          <w:rFonts w:hint="default" w:ascii="Times New Roman" w:hAnsi="Times New Roman" w:eastAsia="方正楷体_GBK" w:cs="Times New Roman"/>
          <w:b/>
          <w:color w:val="auto"/>
          <w:spacing w:val="-11"/>
          <w:kern w:val="36"/>
          <w:sz w:val="32"/>
          <w:szCs w:val="32"/>
          <w:lang w:val="en-US" w:eastAsia="zh-CN"/>
        </w:rPr>
        <w:t>伦敦发展促进署大中华区首席代表来锡拜访 / 17</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ind w:firstLine="564" w:firstLineChars="200"/>
        <w:contextualSpacing/>
        <w:textAlignment w:val="auto"/>
        <w:outlineLvl w:val="1"/>
        <w:rPr>
          <w:rFonts w:hint="default" w:ascii="Times New Roman" w:hAnsi="Times New Roman" w:eastAsia="方正楷体_GBK" w:cs="Times New Roman"/>
          <w:b/>
          <w:color w:val="auto"/>
          <w:spacing w:val="-11"/>
          <w:kern w:val="36"/>
          <w:sz w:val="32"/>
          <w:szCs w:val="32"/>
          <w:lang w:val="en-US" w:eastAsia="zh-CN"/>
        </w:rPr>
      </w:pPr>
      <w:r>
        <w:rPr>
          <w:rFonts w:hint="eastAsia" w:ascii="Times New Roman" w:hAnsi="Times New Roman" w:eastAsia="方正楷体_GBK" w:cs="Times New Roman"/>
          <w:b/>
          <w:color w:val="auto"/>
          <w:spacing w:val="-11"/>
          <w:kern w:val="36"/>
          <w:sz w:val="32"/>
          <w:szCs w:val="32"/>
          <w:lang w:val="en-US" w:eastAsia="zh-CN"/>
        </w:rPr>
        <w:t>“</w:t>
      </w:r>
      <w:r>
        <w:rPr>
          <w:rFonts w:hint="default" w:ascii="Times New Roman" w:hAnsi="Times New Roman" w:eastAsia="方正楷体_GBK" w:cs="Times New Roman"/>
          <w:b/>
          <w:color w:val="auto"/>
          <w:spacing w:val="-11"/>
          <w:kern w:val="36"/>
          <w:sz w:val="32"/>
          <w:szCs w:val="32"/>
          <w:lang w:val="en-US" w:eastAsia="zh-CN"/>
        </w:rPr>
        <w:t>锡品丝路行</w:t>
      </w:r>
      <w:r>
        <w:rPr>
          <w:rFonts w:hint="eastAsia" w:ascii="Times New Roman" w:hAnsi="Times New Roman" w:eastAsia="方正楷体_GBK" w:cs="Times New Roman"/>
          <w:b/>
          <w:color w:val="auto"/>
          <w:spacing w:val="-11"/>
          <w:kern w:val="36"/>
          <w:sz w:val="32"/>
          <w:szCs w:val="32"/>
          <w:lang w:val="en-US" w:eastAsia="zh-CN"/>
        </w:rPr>
        <w:t>”</w:t>
      </w:r>
      <w:r>
        <w:rPr>
          <w:rFonts w:hint="default" w:ascii="Times New Roman" w:hAnsi="Times New Roman" w:eastAsia="方正楷体_GBK" w:cs="Times New Roman"/>
          <w:b/>
          <w:color w:val="auto"/>
          <w:spacing w:val="-11"/>
          <w:kern w:val="36"/>
          <w:sz w:val="32"/>
          <w:szCs w:val="32"/>
          <w:lang w:val="en-US" w:eastAsia="zh-CN"/>
        </w:rPr>
        <w:t>启动大会成功举办 / 17</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ind w:firstLine="516" w:firstLineChars="200"/>
        <w:contextualSpacing/>
        <w:textAlignment w:val="auto"/>
        <w:outlineLvl w:val="1"/>
        <w:rPr>
          <w:rFonts w:hint="default" w:ascii="Times New Roman" w:hAnsi="Times New Roman" w:eastAsia="方正楷体_GBK" w:cs="Times New Roman"/>
          <w:b/>
          <w:color w:val="auto"/>
          <w:spacing w:val="-11"/>
          <w:kern w:val="36"/>
          <w:sz w:val="32"/>
          <w:szCs w:val="32"/>
          <w:lang w:val="en-US" w:eastAsia="zh-CN"/>
        </w:rPr>
      </w:pPr>
      <w:r>
        <w:rPr>
          <w:rFonts w:hint="default" w:ascii="Times New Roman" w:hAnsi="Times New Roman" w:eastAsia="方正楷体_GBK" w:cs="Times New Roman"/>
          <w:b/>
          <w:color w:val="auto"/>
          <w:spacing w:val="-23"/>
          <w:kern w:val="36"/>
          <w:sz w:val="32"/>
          <w:szCs w:val="32"/>
          <w:lang w:val="en-US" w:eastAsia="zh-CN"/>
        </w:rPr>
        <w:t>中国</w:t>
      </w:r>
      <w:r>
        <w:rPr>
          <w:rFonts w:hint="eastAsia" w:ascii="Times New Roman" w:hAnsi="Times New Roman" w:eastAsia="方正楷体_GBK" w:cs="Times New Roman"/>
          <w:b/>
          <w:color w:val="auto"/>
          <w:spacing w:val="-23"/>
          <w:kern w:val="36"/>
          <w:sz w:val="32"/>
          <w:szCs w:val="32"/>
          <w:lang w:val="en-US" w:eastAsia="zh-CN"/>
        </w:rPr>
        <w:t>（</w:t>
      </w:r>
      <w:r>
        <w:rPr>
          <w:rFonts w:hint="default" w:ascii="Times New Roman" w:hAnsi="Times New Roman" w:eastAsia="方正楷体_GBK" w:cs="Times New Roman"/>
          <w:b/>
          <w:color w:val="auto"/>
          <w:spacing w:val="-23"/>
          <w:kern w:val="36"/>
          <w:sz w:val="32"/>
          <w:szCs w:val="32"/>
          <w:lang w:val="en-US" w:eastAsia="zh-CN"/>
        </w:rPr>
        <w:t>镇江</w:t>
      </w:r>
      <w:r>
        <w:rPr>
          <w:rFonts w:hint="eastAsia" w:ascii="Times New Roman" w:hAnsi="Times New Roman" w:eastAsia="方正楷体_GBK" w:cs="Times New Roman"/>
          <w:b/>
          <w:color w:val="auto"/>
          <w:spacing w:val="-23"/>
          <w:kern w:val="36"/>
          <w:sz w:val="32"/>
          <w:szCs w:val="32"/>
          <w:lang w:val="en-US" w:eastAsia="zh-CN"/>
        </w:rPr>
        <w:t>）</w:t>
      </w:r>
      <w:r>
        <w:rPr>
          <w:rFonts w:hint="default" w:ascii="Times New Roman" w:hAnsi="Times New Roman" w:eastAsia="方正楷体_GBK" w:cs="Times New Roman"/>
          <w:b/>
          <w:color w:val="auto"/>
          <w:spacing w:val="-23"/>
          <w:kern w:val="36"/>
          <w:sz w:val="32"/>
          <w:szCs w:val="32"/>
          <w:lang w:val="en-US" w:eastAsia="zh-CN"/>
        </w:rPr>
        <w:t>—乌兹别克斯坦</w:t>
      </w:r>
      <w:r>
        <w:rPr>
          <w:rFonts w:hint="eastAsia" w:ascii="Times New Roman" w:hAnsi="Times New Roman" w:eastAsia="方正楷体_GBK" w:cs="Times New Roman"/>
          <w:b/>
          <w:color w:val="auto"/>
          <w:spacing w:val="-23"/>
          <w:kern w:val="36"/>
          <w:sz w:val="32"/>
          <w:szCs w:val="32"/>
          <w:lang w:val="en-US" w:eastAsia="zh-CN"/>
        </w:rPr>
        <w:t>（</w:t>
      </w:r>
      <w:r>
        <w:rPr>
          <w:rFonts w:hint="default" w:ascii="Times New Roman" w:hAnsi="Times New Roman" w:eastAsia="方正楷体_GBK" w:cs="Times New Roman"/>
          <w:b/>
          <w:color w:val="auto"/>
          <w:spacing w:val="-23"/>
          <w:kern w:val="36"/>
          <w:sz w:val="32"/>
          <w:szCs w:val="32"/>
          <w:lang w:val="en-US" w:eastAsia="zh-CN"/>
        </w:rPr>
        <w:t>卡什卡达里亚州</w:t>
      </w:r>
      <w:r>
        <w:rPr>
          <w:rFonts w:hint="eastAsia" w:ascii="Times New Roman" w:hAnsi="Times New Roman" w:eastAsia="方正楷体_GBK" w:cs="Times New Roman"/>
          <w:b/>
          <w:color w:val="auto"/>
          <w:spacing w:val="-23"/>
          <w:kern w:val="36"/>
          <w:sz w:val="32"/>
          <w:szCs w:val="32"/>
          <w:lang w:val="en-US" w:eastAsia="zh-CN"/>
        </w:rPr>
        <w:t>）</w:t>
      </w:r>
      <w:r>
        <w:rPr>
          <w:rFonts w:hint="default" w:ascii="Times New Roman" w:hAnsi="Times New Roman" w:eastAsia="方正楷体_GBK" w:cs="Times New Roman"/>
          <w:b/>
          <w:color w:val="auto"/>
          <w:spacing w:val="-23"/>
          <w:kern w:val="36"/>
          <w:sz w:val="32"/>
          <w:szCs w:val="32"/>
          <w:lang w:val="en-US" w:eastAsia="zh-CN"/>
        </w:rPr>
        <w:t>经贸交流会在镇举行</w:t>
      </w:r>
      <w:r>
        <w:rPr>
          <w:rFonts w:hint="default" w:ascii="Times New Roman" w:hAnsi="Times New Roman" w:eastAsia="方正楷体_GBK" w:cs="Times New Roman"/>
          <w:b/>
          <w:color w:val="auto"/>
          <w:spacing w:val="-11"/>
          <w:kern w:val="36"/>
          <w:sz w:val="32"/>
          <w:szCs w:val="32"/>
          <w:lang w:val="en-US" w:eastAsia="zh-CN"/>
        </w:rPr>
        <w:t xml:space="preserve"> / 18</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ind w:firstLine="564" w:firstLineChars="200"/>
        <w:contextualSpacing/>
        <w:textAlignment w:val="auto"/>
        <w:outlineLvl w:val="1"/>
        <w:rPr>
          <w:rFonts w:hint="default" w:ascii="Times New Roman" w:hAnsi="Times New Roman" w:eastAsia="方正楷体_GBK" w:cs="Times New Roman"/>
          <w:b/>
          <w:color w:val="auto"/>
          <w:spacing w:val="-11"/>
          <w:kern w:val="36"/>
          <w:sz w:val="32"/>
          <w:szCs w:val="32"/>
          <w:lang w:val="en-US" w:eastAsia="zh-CN"/>
        </w:rPr>
      </w:pPr>
      <w:r>
        <w:rPr>
          <w:rFonts w:hint="default" w:ascii="Times New Roman" w:hAnsi="Times New Roman" w:eastAsia="方正楷体_GBK" w:cs="Times New Roman"/>
          <w:b/>
          <w:color w:val="auto"/>
          <w:spacing w:val="-11"/>
          <w:kern w:val="36"/>
          <w:sz w:val="32"/>
          <w:szCs w:val="32"/>
          <w:lang w:val="en-US" w:eastAsia="zh-CN"/>
        </w:rPr>
        <w:t>镇江市贸促会召开在镇留学生创业座谈会 / 19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60" w:lineRule="exact"/>
        <w:ind w:firstLine="608" w:firstLineChars="200"/>
        <w:contextualSpacing/>
        <w:jc w:val="left"/>
        <w:textAlignment w:val="auto"/>
        <w:outlineLvl w:val="1"/>
        <w:rPr>
          <w:rFonts w:hint="default" w:ascii="Times New Roman" w:hAnsi="Times New Roman" w:eastAsia="方正黑体_GBK" w:cs="Times New Roman"/>
          <w:b/>
          <w:color w:val="FFC000"/>
          <w:kern w:val="36"/>
          <w:sz w:val="32"/>
          <w:szCs w:val="32"/>
          <w:lang w:val="en-US" w:eastAsia="zh-CN"/>
        </w:rPr>
      </w:pP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会员企业风采 • </w:t>
      </w:r>
      <w:r>
        <w:rPr>
          <w:rFonts w:hint="default" w:ascii="Times New Roman" w:hAnsi="Times New Roman" w:eastAsia="宋体" w:cs="Times New Roman"/>
          <w:b/>
          <w:color w:val="FF0000"/>
          <w:kern w:val="36"/>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ind w:firstLine="608" w:firstLineChars="200"/>
        <w:contextualSpacing/>
        <w:textAlignment w:val="auto"/>
        <w:outlineLvl w:val="1"/>
        <w:rPr>
          <w:rFonts w:hint="default" w:ascii="Times New Roman" w:hAnsi="Times New Roman" w:eastAsia="方正楷体_GBK" w:cs="Times New Roman"/>
          <w:b/>
          <w:color w:val="auto"/>
          <w:kern w:val="36"/>
          <w:sz w:val="32"/>
          <w:szCs w:val="32"/>
          <w:lang w:val="en-US" w:eastAsia="zh-CN"/>
        </w:rPr>
      </w:pPr>
      <w:r>
        <w:rPr>
          <w:rFonts w:hint="eastAsia" w:ascii="Times New Roman" w:hAnsi="Times New Roman" w:eastAsia="方正楷体_GBK" w:cs="Times New Roman"/>
          <w:b/>
          <w:color w:val="auto"/>
          <w:kern w:val="36"/>
          <w:sz w:val="32"/>
          <w:szCs w:val="32"/>
          <w:lang w:val="en-US" w:eastAsia="zh-CN"/>
        </w:rPr>
        <w:t>南钢获评国家技术创新示范企业</w:t>
      </w:r>
      <w:r>
        <w:rPr>
          <w:rFonts w:hint="default" w:ascii="Times New Roman" w:hAnsi="Times New Roman" w:eastAsia="方正楷体_GBK" w:cs="Times New Roman"/>
          <w:b/>
          <w:color w:val="auto"/>
          <w:kern w:val="36"/>
          <w:sz w:val="32"/>
          <w:szCs w:val="32"/>
          <w:lang w:val="en-US" w:eastAsia="zh-CN"/>
        </w:rPr>
        <w:t xml:space="preserve"> / 20</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ind w:firstLine="608" w:firstLineChars="200"/>
        <w:contextualSpacing/>
        <w:textAlignment w:val="auto"/>
        <w:outlineLvl w:val="1"/>
        <w:rPr>
          <w:rFonts w:hint="default" w:ascii="Times New Roman" w:hAnsi="Times New Roman" w:eastAsia="方正楷体_GBK" w:cs="Times New Roman"/>
          <w:b/>
          <w:color w:val="auto"/>
          <w:kern w:val="36"/>
          <w:sz w:val="32"/>
          <w:szCs w:val="32"/>
          <w:lang w:val="en-US" w:eastAsia="zh-CN"/>
        </w:rPr>
      </w:pPr>
      <w:r>
        <w:rPr>
          <w:rFonts w:hint="eastAsia" w:ascii="Times New Roman" w:hAnsi="Times New Roman" w:eastAsia="方正楷体_GBK" w:cs="Times New Roman"/>
          <w:b/>
          <w:color w:val="auto"/>
          <w:kern w:val="36"/>
          <w:sz w:val="32"/>
          <w:szCs w:val="32"/>
          <w:lang w:val="en-US" w:eastAsia="zh-CN"/>
        </w:rPr>
        <w:t>洋河受邀出席多场国际活动，向世界展示中国白酒魅力</w:t>
      </w:r>
      <w:r>
        <w:rPr>
          <w:rFonts w:hint="default" w:ascii="Times New Roman" w:hAnsi="Times New Roman" w:eastAsia="方正楷体_GBK" w:cs="Times New Roman"/>
          <w:b/>
          <w:color w:val="auto"/>
          <w:kern w:val="36"/>
          <w:sz w:val="32"/>
          <w:szCs w:val="32"/>
          <w:lang w:val="en-US" w:eastAsia="zh-CN"/>
        </w:rPr>
        <w:t xml:space="preserve"> / 21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ind w:firstLine="608" w:firstLineChars="200"/>
        <w:contextualSpacing/>
        <w:textAlignment w:val="auto"/>
        <w:outlineLvl w:val="1"/>
        <w:rPr>
          <w:rFonts w:hint="default" w:ascii="Times New Roman" w:hAnsi="Times New Roman" w:eastAsia="方正楷体_GBK" w:cs="Times New Roman"/>
          <w:b/>
          <w:color w:val="auto"/>
          <w:kern w:val="36"/>
          <w:sz w:val="32"/>
          <w:szCs w:val="32"/>
          <w:lang w:val="en-US" w:eastAsia="zh-CN"/>
        </w:rPr>
      </w:pPr>
      <w:r>
        <w:rPr>
          <w:rFonts w:hint="eastAsia" w:ascii="Times New Roman" w:hAnsi="Times New Roman" w:eastAsia="方正楷体_GBK" w:cs="Times New Roman"/>
          <w:b/>
          <w:color w:val="auto"/>
          <w:kern w:val="36"/>
          <w:sz w:val="32"/>
          <w:szCs w:val="32"/>
          <w:lang w:val="en-US" w:eastAsia="zh-CN"/>
        </w:rPr>
        <w:t>风雨同舟，相守相助——舜天股份援外业务见证中非深厚友谊</w:t>
      </w:r>
      <w:r>
        <w:rPr>
          <w:rFonts w:hint="default" w:ascii="Times New Roman" w:hAnsi="Times New Roman" w:eastAsia="方正楷体_GBK" w:cs="Times New Roman"/>
          <w:b/>
          <w:color w:val="auto"/>
          <w:kern w:val="36"/>
          <w:sz w:val="32"/>
          <w:szCs w:val="32"/>
          <w:lang w:val="en-US" w:eastAsia="zh-CN"/>
        </w:rPr>
        <w:t xml:space="preserve"> / 22</w:t>
      </w:r>
    </w:p>
    <w:p>
      <w:pPr>
        <w:keepNext w:val="0"/>
        <w:keepLines w:val="0"/>
        <w:pageBreakBefore w:val="0"/>
        <w:widowControl w:val="0"/>
        <w:kinsoku/>
        <w:wordWrap/>
        <w:overflowPunct/>
        <w:topLinePunct w:val="0"/>
        <w:autoSpaceDE/>
        <w:autoSpaceDN/>
        <w:bidi w:val="0"/>
        <w:adjustRightInd/>
        <w:snapToGrid/>
        <w:spacing w:line="620" w:lineRule="exact"/>
        <w:jc w:val="both"/>
        <w:textAlignment w:val="auto"/>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sectPr>
          <w:footerReference r:id="rId3" w:type="default"/>
          <w:pgSz w:w="11906" w:h="16838"/>
          <w:pgMar w:top="1531" w:right="907" w:bottom="1417" w:left="1020"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全球市场</w:t>
      </w: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资讯</w:t>
      </w:r>
    </w:p>
    <w:p>
      <w:pPr>
        <w:ind w:left="0" w:leftChars="0" w:firstLine="0" w:firstLineChars="0"/>
        <w:jc w:val="right"/>
        <w:rPr>
          <w:rFonts w:hint="default" w:ascii="Times New Roman" w:hAnsi="Times New Roman" w:eastAsia="宋体" w:cs="Times New Roman"/>
          <w:b/>
          <w:bCs/>
          <w:color w:val="0000FF"/>
          <w:sz w:val="32"/>
          <w:szCs w:val="32"/>
          <w:highlight w:val="yellow"/>
          <w:lang w:val="en-US" w:eastAsia="zh-CN"/>
        </w:rPr>
      </w:pPr>
      <w:r>
        <w:rPr>
          <w:rFonts w:hint="default" w:ascii="方正小标宋_GBK" w:hAnsi="方正小标宋_GBK" w:eastAsia="方正小标宋_GBK" w:cs="方正小标宋_GBK"/>
          <w:b/>
          <w:bCs/>
          <w:color w:val="FF0000"/>
          <w:sz w:val="32"/>
          <w:szCs w:val="40"/>
          <w:highlight w:val="yellow"/>
          <w:lang w:val="en-US" w:eastAsia="zh-CN"/>
        </w:rPr>
        <w:t>1月20日</w:t>
      </w:r>
      <w:r>
        <w:rPr>
          <w:rFonts w:hint="default" w:ascii="方正魏碑简体" w:hAnsi="方正魏碑简体" w:eastAsia="方正魏碑简体" w:cs="方正魏碑简体"/>
          <w:b/>
          <w:bCs/>
          <w:color w:val="0000FF"/>
          <w:sz w:val="32"/>
          <w:szCs w:val="40"/>
          <w:highlight w:val="yellow"/>
          <w:lang w:val="en-US" w:eastAsia="zh-CN"/>
        </w:rPr>
        <w:t>（周六）</w:t>
      </w:r>
    </w:p>
    <w:p>
      <w:pPr>
        <w:ind w:left="0" w:leftChars="0" w:firstLine="0" w:firstLineChars="0"/>
        <w:jc w:val="center"/>
        <w:rPr>
          <w:rFonts w:hint="default" w:ascii="Times New Roman" w:hAnsi="Times New Roman" w:eastAsia="方正小标宋_GBK" w:cs="Times New Roman"/>
          <w:b/>
          <w:bCs/>
          <w:color w:val="0000FF"/>
          <w:sz w:val="36"/>
          <w:szCs w:val="44"/>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美股创历史新高</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近三个交易周以来，虽有跌宕，但在AMD和Nvidia等半导体公司股价强劲上涨的推动下，美国股市科技股乐观情绪高涨，标普500指数周五收盘创下历史新高，收于4839.81点（见年K线图）。</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32"/>
          <w:szCs w:val="32"/>
        </w:rPr>
      </w:pPr>
      <w:r>
        <w:rPr>
          <w:rFonts w:hint="default" w:ascii="Times New Roman" w:hAnsi="Times New Roman" w:cs="Times New Roman"/>
          <w:sz w:val="32"/>
          <w:szCs w:val="32"/>
        </w:rPr>
        <w:drawing>
          <wp:inline distT="0" distB="0" distL="114300" distR="114300">
            <wp:extent cx="3854450" cy="1975485"/>
            <wp:effectExtent l="0" t="0" r="12700" b="5715"/>
            <wp:docPr id="1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
                    <pic:cNvPicPr>
                      <a:picLocks noChangeAspect="1"/>
                    </pic:cNvPicPr>
                  </pic:nvPicPr>
                  <pic:blipFill>
                    <a:blip r:embed="rId6"/>
                    <a:stretch>
                      <a:fillRect/>
                    </a:stretch>
                  </pic:blipFill>
                  <pic:spPr>
                    <a:xfrm>
                      <a:off x="0" y="0"/>
                      <a:ext cx="3854450" cy="197548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584" w:firstLineChars="200"/>
        <w:jc w:val="left"/>
        <w:textAlignment w:val="auto"/>
        <w:rPr>
          <w:rFonts w:hint="eastAsia" w:ascii="Times New Roman" w:hAnsi="Times New Roman" w:cs="Times New Roman" w:eastAsiaTheme="minorEastAsia"/>
          <w:spacing w:val="-6"/>
          <w:sz w:val="32"/>
          <w:szCs w:val="32"/>
          <w:lang w:val="en-US" w:eastAsia="zh-CN"/>
        </w:rPr>
      </w:pPr>
      <w:r>
        <w:rPr>
          <w:rFonts w:hint="default" w:ascii="Times New Roman" w:hAnsi="Times New Roman" w:cs="Times New Roman" w:eastAsiaTheme="minorEastAsia"/>
          <w:spacing w:val="-6"/>
          <w:sz w:val="32"/>
          <w:szCs w:val="32"/>
          <w:lang w:val="en-US" w:eastAsia="zh-CN"/>
        </w:rPr>
        <w:t>有人说美国股市有泡沫，但美国经济结构正常，经济结构比例关系均衡，这会吸引资本去美国投资赚钱，每次下跌都会有资金介入，除了养老基金虎视眈眈，还有超8.8万亿美元被存放在货币市场基金和定期存款中</w:t>
      </w:r>
      <w:r>
        <w:rPr>
          <w:rFonts w:hint="eastAsia" w:ascii="Times New Roman" w:hAnsi="Times New Roman" w:cs="Times New Roman" w:eastAsiaTheme="minorEastAsia"/>
          <w:spacing w:val="-6"/>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584" w:firstLineChars="200"/>
        <w:jc w:val="left"/>
        <w:textAlignment w:val="auto"/>
        <w:rPr>
          <w:rFonts w:hint="default" w:ascii="Times New Roman" w:hAnsi="Times New Roman" w:cs="Times New Roman" w:eastAsiaTheme="minorEastAsia"/>
          <w:spacing w:val="-6"/>
          <w:sz w:val="32"/>
          <w:szCs w:val="32"/>
          <w:lang w:val="en-US" w:eastAsia="zh-CN"/>
        </w:rPr>
      </w:pPr>
      <w:r>
        <w:rPr>
          <w:rFonts w:hint="default" w:ascii="Times New Roman" w:hAnsi="Times New Roman" w:cs="Times New Roman" w:eastAsiaTheme="minorEastAsia"/>
          <w:spacing w:val="-6"/>
          <w:sz w:val="32"/>
          <w:szCs w:val="32"/>
          <w:lang w:val="en-US" w:eastAsia="zh-CN"/>
        </w:rPr>
        <w:t>分析师乐观认为，如果通货膨胀前景继续改善，利率持续下行，这8.8万亿美元资金将从货币基金流入其他资产</w:t>
      </w:r>
      <w:r>
        <w:rPr>
          <w:rFonts w:hint="eastAsia" w:ascii="Times New Roman" w:hAnsi="Times New Roman" w:cs="Times New Roman" w:eastAsiaTheme="minorEastAsia"/>
          <w:spacing w:val="-6"/>
          <w:sz w:val="32"/>
          <w:szCs w:val="32"/>
          <w:lang w:val="en-US" w:eastAsia="zh-CN"/>
        </w:rPr>
        <w:t>。</w:t>
      </w:r>
      <w:r>
        <w:rPr>
          <w:rFonts w:hint="default" w:ascii="Times New Roman" w:hAnsi="Times New Roman" w:cs="Times New Roman" w:eastAsiaTheme="minorEastAsia"/>
          <w:spacing w:val="-6"/>
          <w:sz w:val="32"/>
          <w:szCs w:val="32"/>
          <w:lang w:val="en-US" w:eastAsia="zh-CN"/>
        </w:rPr>
        <w:t>这是股市的定海神针，这些资金目前处于观望状态，等待投资机会，牛市和熊市，除了企业的基本面，更主要的只有两个：一个是货币和财政政策，另一个就是市场情绪。改变惯性需要很久，一旦惯性形成，力量很</w:t>
      </w:r>
      <w:r>
        <w:rPr>
          <w:rFonts w:hint="eastAsia" w:ascii="Times New Roman" w:hAnsi="Times New Roman" w:cs="Times New Roman" w:eastAsiaTheme="minorEastAsia"/>
          <w:spacing w:val="-6"/>
          <w:sz w:val="32"/>
          <w:szCs w:val="32"/>
          <w:lang w:val="en-US" w:eastAsia="zh-CN"/>
        </w:rPr>
        <w:t>强</w:t>
      </w:r>
      <w:r>
        <w:rPr>
          <w:rFonts w:hint="default" w:ascii="Times New Roman" w:hAnsi="Times New Roman" w:cs="Times New Roman" w:eastAsiaTheme="minorEastAsia"/>
          <w:spacing w:val="-6"/>
          <w:sz w:val="32"/>
          <w:szCs w:val="32"/>
          <w:lang w:val="en-US" w:eastAsia="zh-CN"/>
        </w:rPr>
        <w:t>大。</w:t>
      </w:r>
    </w:p>
    <w:p>
      <w:pPr>
        <w:ind w:left="0" w:leftChars="0" w:firstLine="0" w:firstLineChars="0"/>
        <w:jc w:val="right"/>
        <w:rPr>
          <w:rFonts w:hint="default" w:ascii="Times New Roman" w:hAnsi="Times New Roman" w:eastAsia="宋体" w:cs="Times New Roman"/>
          <w:b/>
          <w:bCs/>
          <w:color w:val="0000FF"/>
          <w:sz w:val="32"/>
          <w:szCs w:val="32"/>
          <w:highlight w:val="yellow"/>
          <w:lang w:val="en-US" w:eastAsia="zh-CN"/>
        </w:rPr>
      </w:pPr>
      <w:r>
        <w:rPr>
          <w:rFonts w:hint="default" w:ascii="方正小标宋_GBK" w:hAnsi="方正小标宋_GBK" w:eastAsia="方正小标宋_GBK" w:cs="方正小标宋_GBK"/>
          <w:b/>
          <w:bCs/>
          <w:color w:val="FF0000"/>
          <w:sz w:val="32"/>
          <w:szCs w:val="40"/>
          <w:highlight w:val="yellow"/>
          <w:lang w:val="en-US" w:eastAsia="zh-CN"/>
        </w:rPr>
        <w:t>1月21日</w:t>
      </w:r>
      <w:r>
        <w:rPr>
          <w:rFonts w:hint="default" w:ascii="方正魏碑简体" w:hAnsi="方正魏碑简体" w:eastAsia="方正魏碑简体" w:cs="方正魏碑简体"/>
          <w:b/>
          <w:bCs/>
          <w:color w:val="0000FF"/>
          <w:sz w:val="32"/>
          <w:szCs w:val="40"/>
          <w:highlight w:val="yellow"/>
          <w:lang w:val="en-US" w:eastAsia="zh-CN"/>
        </w:rPr>
        <w:t>（周日）</w:t>
      </w:r>
    </w:p>
    <w:p>
      <w:pPr>
        <w:ind w:left="0" w:leftChars="0" w:firstLine="0" w:firstLineChars="0"/>
        <w:jc w:val="center"/>
        <w:rPr>
          <w:rFonts w:hint="default" w:ascii="Times New Roman" w:hAnsi="Times New Roman" w:eastAsia="方正小标宋_GBK" w:cs="Times New Roman"/>
          <w:b/>
          <w:bCs/>
          <w:color w:val="0000FF"/>
          <w:sz w:val="36"/>
          <w:szCs w:val="44"/>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英</w:t>
      </w:r>
      <w:r>
        <w:rPr>
          <w:rFonts w:hint="eastAsia" w:ascii="Times New Roman" w:hAnsi="Times New Roman" w:eastAsia="方正小标宋_GBK" w:cs="Times New Roman"/>
          <w:b/>
          <w:bCs/>
          <w:color w:val="0000FF"/>
          <w:sz w:val="36"/>
          <w:szCs w:val="44"/>
          <w:highlight w:val="yellow"/>
          <w:lang w:val="en-US" w:eastAsia="zh-CN"/>
        </w:rPr>
        <w:t>国陷</w:t>
      </w:r>
      <w:r>
        <w:rPr>
          <w:rFonts w:hint="default" w:ascii="Times New Roman" w:hAnsi="Times New Roman" w:eastAsia="方正小标宋_GBK" w:cs="Times New Roman"/>
          <w:b/>
          <w:bCs/>
          <w:color w:val="0000FF"/>
          <w:sz w:val="36"/>
          <w:szCs w:val="44"/>
          <w:highlight w:val="yellow"/>
          <w:lang w:val="en-US" w:eastAsia="zh-CN"/>
        </w:rPr>
        <w:t>经济衰退</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英国12月份的零售额同比下降了3.2%，这是自2021年1月以来的最大单月降幅。该数值预示着英国经济去年可能已进入衰退（要等待GDP数据最终确认）。英国国家统计局解释，零售额下降的部分原因是人们提前进行了圣诞购物，但经济学家们认为是高物价和借贷成本抑制了消费者信心。</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32"/>
          <w:szCs w:val="32"/>
        </w:rPr>
      </w:pPr>
      <w:r>
        <w:rPr>
          <w:rFonts w:hint="default" w:ascii="Times New Roman" w:hAnsi="Times New Roman" w:cs="Times New Roman"/>
          <w:sz w:val="32"/>
          <w:szCs w:val="32"/>
        </w:rPr>
        <w:drawing>
          <wp:inline distT="0" distB="0" distL="114300" distR="114300">
            <wp:extent cx="2636520" cy="3160395"/>
            <wp:effectExtent l="0" t="0" r="11430" b="1905"/>
            <wp:docPr id="1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2"/>
                    <pic:cNvPicPr>
                      <a:picLocks noChangeAspect="1"/>
                    </pic:cNvPicPr>
                  </pic:nvPicPr>
                  <pic:blipFill>
                    <a:blip r:embed="rId11"/>
                    <a:stretch>
                      <a:fillRect/>
                    </a:stretch>
                  </pic:blipFill>
                  <pic:spPr>
                    <a:xfrm>
                      <a:off x="0" y="0"/>
                      <a:ext cx="2636520" cy="3160395"/>
                    </a:xfrm>
                    <a:prstGeom prst="rect">
                      <a:avLst/>
                    </a:prstGeom>
                    <a:noFill/>
                    <a:ln>
                      <a:noFill/>
                    </a:ln>
                  </pic:spPr>
                </pic:pic>
              </a:graphicData>
            </a:graphic>
          </wp:inline>
        </w:drawing>
      </w:r>
      <w:r>
        <w:rPr>
          <w:rFonts w:hint="default" w:ascii="Times New Roman" w:hAnsi="Times New Roman" w:cs="Times New Roman"/>
          <w:sz w:val="32"/>
          <w:szCs w:val="32"/>
          <w:lang w:val="en-US"/>
        </w:rPr>
        <w:t xml:space="preserve"> </w:t>
      </w:r>
      <w:r>
        <w:rPr>
          <w:rFonts w:hint="default" w:ascii="Times New Roman" w:hAnsi="Times New Roman" w:cs="Times New Roman"/>
          <w:sz w:val="32"/>
          <w:szCs w:val="32"/>
        </w:rPr>
        <w:drawing>
          <wp:inline distT="0" distB="0" distL="114300" distR="114300">
            <wp:extent cx="2759075" cy="3159125"/>
            <wp:effectExtent l="0" t="0" r="3175" b="3175"/>
            <wp:docPr id="13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4"/>
                    <pic:cNvPicPr>
                      <a:picLocks noChangeAspect="1"/>
                    </pic:cNvPicPr>
                  </pic:nvPicPr>
                  <pic:blipFill>
                    <a:blip r:embed="rId7"/>
                    <a:stretch>
                      <a:fillRect/>
                    </a:stretch>
                  </pic:blipFill>
                  <pic:spPr>
                    <a:xfrm>
                      <a:off x="0" y="0"/>
                      <a:ext cx="2759075" cy="31591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eastAsiaTheme="minorEastAsia"/>
          <w:sz w:val="32"/>
          <w:szCs w:val="32"/>
          <w:lang w:eastAsia="zh-CN"/>
        </w:rPr>
        <w:t>从图中可见，若以</w:t>
      </w:r>
      <w:r>
        <w:rPr>
          <w:rFonts w:hint="default" w:ascii="Times New Roman" w:hAnsi="Times New Roman" w:cs="Times New Roman"/>
          <w:sz w:val="32"/>
          <w:szCs w:val="32"/>
          <w:lang w:val="en-US" w:eastAsia="zh-CN"/>
        </w:rPr>
        <w:t>2020</w:t>
      </w:r>
      <w:r>
        <w:rPr>
          <w:rFonts w:hint="default" w:ascii="Times New Roman" w:hAnsi="Times New Roman" w:cs="Times New Roman" w:eastAsiaTheme="minorEastAsia"/>
          <w:sz w:val="32"/>
          <w:szCs w:val="32"/>
          <w:lang w:val="en-US" w:eastAsia="zh-CN"/>
        </w:rPr>
        <w:t>年</w:t>
      </w:r>
      <w:r>
        <w:rPr>
          <w:rFonts w:hint="default" w:ascii="Times New Roman" w:hAnsi="Times New Roman" w:cs="Times New Roman"/>
          <w:sz w:val="32"/>
          <w:szCs w:val="32"/>
          <w:lang w:val="en-US" w:eastAsia="zh-CN"/>
        </w:rPr>
        <w:t>2</w:t>
      </w:r>
      <w:r>
        <w:rPr>
          <w:rFonts w:hint="default" w:ascii="Times New Roman" w:hAnsi="Times New Roman" w:cs="Times New Roman" w:eastAsiaTheme="minorEastAsia"/>
          <w:sz w:val="32"/>
          <w:szCs w:val="32"/>
          <w:lang w:val="en-US" w:eastAsia="zh-CN"/>
        </w:rPr>
        <w:t>月为基数，实际的零售销售量</w:t>
      </w:r>
      <w:r>
        <w:rPr>
          <w:rFonts w:hint="default" w:ascii="Times New Roman" w:hAnsi="Times New Roman" w:cs="Times New Roman" w:eastAsiaTheme="minorEastAsia"/>
          <w:sz w:val="32"/>
          <w:szCs w:val="32"/>
          <w:lang w:eastAsia="zh-CN"/>
        </w:rPr>
        <w:t>（蓝线为量、红线为值，量值背离是因为通货膨胀）</w:t>
      </w:r>
      <w:r>
        <w:rPr>
          <w:rFonts w:hint="default" w:ascii="Times New Roman" w:hAnsi="Times New Roman" w:cs="Times New Roman" w:eastAsiaTheme="minorEastAsia"/>
          <w:sz w:val="32"/>
          <w:szCs w:val="32"/>
          <w:lang w:val="en-US" w:eastAsia="zh-CN"/>
        </w:rPr>
        <w:t>自</w:t>
      </w:r>
      <w:r>
        <w:rPr>
          <w:rFonts w:hint="default" w:ascii="Times New Roman" w:hAnsi="Times New Roman" w:cs="Times New Roman"/>
          <w:sz w:val="32"/>
          <w:szCs w:val="32"/>
          <w:lang w:val="en-US" w:eastAsia="zh-CN"/>
        </w:rPr>
        <w:t>2021</w:t>
      </w:r>
      <w:r>
        <w:rPr>
          <w:rFonts w:hint="default" w:ascii="Times New Roman" w:hAnsi="Times New Roman" w:cs="Times New Roman" w:eastAsiaTheme="minorEastAsia"/>
          <w:sz w:val="32"/>
          <w:szCs w:val="32"/>
          <w:lang w:val="en-US" w:eastAsia="zh-CN"/>
        </w:rPr>
        <w:t>年年中以来就一直下降，自</w:t>
      </w:r>
      <w:r>
        <w:rPr>
          <w:rFonts w:hint="default" w:ascii="Times New Roman" w:hAnsi="Times New Roman" w:cs="Times New Roman"/>
          <w:sz w:val="32"/>
          <w:szCs w:val="32"/>
          <w:lang w:val="en-US" w:eastAsia="zh-CN"/>
        </w:rPr>
        <w:t>2022</w:t>
      </w:r>
      <w:r>
        <w:rPr>
          <w:rFonts w:hint="default" w:ascii="Times New Roman" w:hAnsi="Times New Roman" w:cs="Times New Roman" w:eastAsiaTheme="minorEastAsia"/>
          <w:sz w:val="32"/>
          <w:szCs w:val="32"/>
          <w:lang w:val="en-US" w:eastAsia="zh-CN"/>
        </w:rPr>
        <w:t>年底开始就已经低于基数值，</w:t>
      </w:r>
      <w:r>
        <w:rPr>
          <w:rFonts w:hint="default" w:ascii="Times New Roman" w:hAnsi="Times New Roman" w:cs="Times New Roman"/>
          <w:sz w:val="32"/>
          <w:szCs w:val="32"/>
          <w:lang w:val="en-US" w:eastAsia="zh-CN"/>
        </w:rPr>
        <w:t>2023</w:t>
      </w:r>
      <w:r>
        <w:rPr>
          <w:rFonts w:hint="default" w:ascii="Times New Roman" w:hAnsi="Times New Roman" w:cs="Times New Roman" w:eastAsiaTheme="minorEastAsia"/>
          <w:sz w:val="32"/>
          <w:szCs w:val="32"/>
          <w:lang w:val="en-US" w:eastAsia="zh-CN"/>
        </w:rPr>
        <w:t>年英国经济的衰退基本可以确定（见图）。</w:t>
      </w:r>
    </w:p>
    <w:p>
      <w:pPr>
        <w:ind w:left="0" w:leftChars="0" w:firstLine="0" w:firstLineChars="0"/>
        <w:jc w:val="center"/>
        <w:rPr>
          <w:rFonts w:hint="default" w:ascii="Times New Roman" w:hAnsi="Times New Roman" w:eastAsia="方正小标宋_GBK" w:cs="Times New Roman"/>
          <w:b/>
          <w:bCs/>
          <w:color w:val="0000FF"/>
          <w:sz w:val="36"/>
          <w:szCs w:val="44"/>
          <w:highlight w:val="yellow"/>
          <w:lang w:val="en-US" w:eastAsia="zh-CN"/>
        </w:rPr>
      </w:pPr>
    </w:p>
    <w:p>
      <w:pPr>
        <w:ind w:left="0" w:leftChars="0" w:firstLine="0" w:firstLineChars="0"/>
        <w:jc w:val="center"/>
        <w:rPr>
          <w:rFonts w:hint="default" w:ascii="Times New Roman" w:hAnsi="Times New Roman" w:eastAsia="方正小标宋_GBK" w:cs="Times New Roman"/>
          <w:b/>
          <w:bCs/>
          <w:color w:val="0000FF"/>
          <w:sz w:val="36"/>
          <w:szCs w:val="44"/>
          <w:highlight w:val="yellow"/>
          <w:lang w:val="en-US" w:eastAsia="zh-CN"/>
        </w:rPr>
      </w:pPr>
    </w:p>
    <w:p>
      <w:pPr>
        <w:ind w:left="0" w:leftChars="0" w:firstLine="0" w:firstLineChars="0"/>
        <w:jc w:val="right"/>
        <w:rPr>
          <w:rFonts w:hint="default" w:ascii="Times New Roman" w:hAnsi="Times New Roman" w:eastAsia="宋体" w:cs="Times New Roman"/>
          <w:b/>
          <w:bCs/>
          <w:color w:val="0000FF"/>
          <w:sz w:val="32"/>
          <w:szCs w:val="32"/>
          <w:highlight w:val="yellow"/>
          <w:lang w:val="en-US" w:eastAsia="zh-CN"/>
        </w:rPr>
      </w:pPr>
      <w:r>
        <w:rPr>
          <w:rFonts w:hint="default" w:ascii="方正小标宋_GBK" w:hAnsi="方正小标宋_GBK" w:eastAsia="方正小标宋_GBK" w:cs="方正小标宋_GBK"/>
          <w:b/>
          <w:bCs/>
          <w:color w:val="FF0000"/>
          <w:sz w:val="32"/>
          <w:szCs w:val="40"/>
          <w:highlight w:val="yellow"/>
          <w:lang w:val="en-US" w:eastAsia="zh-CN"/>
        </w:rPr>
        <w:t>1月22日</w:t>
      </w:r>
      <w:r>
        <w:rPr>
          <w:rFonts w:hint="default" w:ascii="方正魏碑简体" w:hAnsi="方正魏碑简体" w:eastAsia="方正魏碑简体" w:cs="方正魏碑简体"/>
          <w:b/>
          <w:bCs/>
          <w:color w:val="0000FF"/>
          <w:sz w:val="32"/>
          <w:szCs w:val="40"/>
          <w:highlight w:val="yellow"/>
          <w:lang w:val="en-US" w:eastAsia="zh-CN"/>
        </w:rPr>
        <w:t>（周</w:t>
      </w:r>
      <w:r>
        <w:rPr>
          <w:rFonts w:hint="eastAsia" w:ascii="方正魏碑简体" w:hAnsi="方正魏碑简体" w:eastAsia="方正魏碑简体" w:cs="方正魏碑简体"/>
          <w:b/>
          <w:bCs/>
          <w:color w:val="0000FF"/>
          <w:sz w:val="32"/>
          <w:szCs w:val="40"/>
          <w:highlight w:val="yellow"/>
          <w:lang w:val="en-US" w:eastAsia="zh-CN"/>
        </w:rPr>
        <w:t>一</w:t>
      </w:r>
      <w:r>
        <w:rPr>
          <w:rFonts w:hint="default" w:ascii="方正魏碑简体" w:hAnsi="方正魏碑简体" w:eastAsia="方正魏碑简体" w:cs="方正魏碑简体"/>
          <w:b/>
          <w:bCs/>
          <w:color w:val="0000FF"/>
          <w:sz w:val="32"/>
          <w:szCs w:val="40"/>
          <w:highlight w:val="yellow"/>
          <w:lang w:val="en-US" w:eastAsia="zh-CN"/>
        </w:rPr>
        <w:t>）</w:t>
      </w:r>
    </w:p>
    <w:p>
      <w:pPr>
        <w:ind w:left="0" w:leftChars="0" w:firstLine="0" w:firstLineChars="0"/>
        <w:jc w:val="center"/>
        <w:rPr>
          <w:rFonts w:hint="default" w:ascii="Times New Roman" w:hAnsi="Times New Roman" w:eastAsia="方正小标宋_GBK" w:cs="Times New Roman"/>
          <w:b/>
          <w:bCs/>
          <w:color w:val="0000FF"/>
          <w:sz w:val="36"/>
          <w:szCs w:val="44"/>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美国乐观情绪回升，国际资本流入</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美国12月消费者信心大幅超预期，创2022年以来新高，消费者对未来一年的通胀预期降至2.9%，为2020年以来最低</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1月消费者信心</w:t>
      </w:r>
      <w:r>
        <w:rPr>
          <w:rFonts w:hint="eastAsia" w:ascii="Times New Roman" w:hAnsi="Times New Roman" w:cs="Times New Roman"/>
          <w:sz w:val="32"/>
          <w:szCs w:val="32"/>
          <w:lang w:val="en-US" w:eastAsia="zh-CN"/>
        </w:rPr>
        <w:t>指数</w:t>
      </w:r>
      <w:r>
        <w:rPr>
          <w:rFonts w:hint="default" w:ascii="Times New Roman" w:hAnsi="Times New Roman" w:cs="Times New Roman"/>
          <w:sz w:val="32"/>
          <w:szCs w:val="32"/>
          <w:lang w:val="en-US" w:eastAsia="zh-CN"/>
        </w:rPr>
        <w:t>单月上涨9.1个点，这是自2005年以来最大的月度上涨，超出了媒体调查显示的所有经济学家的预期（见图）。</w:t>
      </w:r>
    </w:p>
    <w:tbl>
      <w:tblPr>
        <w:tblStyle w:val="6"/>
        <w:tblW w:w="0" w:type="auto"/>
        <w:tblInd w:w="5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436"/>
        <w:gridCol w:w="35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84"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sz w:val="32"/>
                <w:szCs w:val="32"/>
                <w:vertAlign w:val="baseline"/>
                <w:lang w:val="en-US" w:eastAsia="zh-CN"/>
              </w:rPr>
            </w:pPr>
            <w:r>
              <w:rPr>
                <w:rFonts w:hint="default" w:ascii="Times New Roman" w:hAnsi="Times New Roman" w:cs="Times New Roman"/>
                <w:sz w:val="32"/>
                <w:szCs w:val="32"/>
              </w:rPr>
              <w:drawing>
                <wp:inline distT="0" distB="0" distL="114300" distR="114300">
                  <wp:extent cx="3300095" cy="3365500"/>
                  <wp:effectExtent l="0" t="0" r="14605" b="6350"/>
                  <wp:docPr id="1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3"/>
                          <pic:cNvPicPr>
                            <a:picLocks noChangeAspect="1"/>
                          </pic:cNvPicPr>
                        </pic:nvPicPr>
                        <pic:blipFill>
                          <a:blip r:embed="rId12"/>
                          <a:stretch>
                            <a:fillRect/>
                          </a:stretch>
                        </pic:blipFill>
                        <pic:spPr>
                          <a:xfrm>
                            <a:off x="0" y="0"/>
                            <a:ext cx="3300095" cy="3365500"/>
                          </a:xfrm>
                          <a:prstGeom prst="rect">
                            <a:avLst/>
                          </a:prstGeom>
                          <a:noFill/>
                          <a:ln>
                            <a:noFill/>
                          </a:ln>
                        </pic:spPr>
                      </pic:pic>
                    </a:graphicData>
                  </a:graphic>
                </wp:inline>
              </w:drawing>
            </w:r>
          </w:p>
        </w:tc>
        <w:tc>
          <w:tcPr>
            <w:tcW w:w="3625"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vertAlign w:val="baseline"/>
                <w:lang w:val="en-US" w:eastAsia="zh-CN"/>
              </w:rPr>
            </w:pPr>
            <w:r>
              <w:rPr>
                <w:rFonts w:hint="default" w:ascii="Times New Roman" w:hAnsi="Times New Roman" w:cs="Times New Roman"/>
                <w:sz w:val="32"/>
                <w:szCs w:val="32"/>
                <w:lang w:val="en-US" w:eastAsia="zh-CN"/>
              </w:rPr>
              <w:t>密歇根大学的调查显示，人们的乐观情绪普遍回升，不同年龄、收入</w:t>
            </w:r>
            <w:r>
              <w:rPr>
                <w:rFonts w:hint="default" w:ascii="Times New Roman" w:hAnsi="Times New Roman" w:cs="Times New Roman"/>
                <w:color w:val="auto"/>
                <w:sz w:val="32"/>
                <w:szCs w:val="32"/>
                <w:highlight w:val="none"/>
                <w:lang w:val="en-US" w:eastAsia="zh-CN"/>
              </w:rPr>
              <w:t>和政治倾向的人群都有所改善</w:t>
            </w:r>
            <w:r>
              <w:rPr>
                <w:rFonts w:hint="default" w:ascii="Times New Roman" w:hAnsi="Times New Roman" w:cs="Times New Roman"/>
                <w:sz w:val="32"/>
                <w:szCs w:val="32"/>
                <w:lang w:val="en-US" w:eastAsia="zh-CN"/>
              </w:rPr>
              <w:t>，超过一半的受调查家庭，预计他们的收入增长速度至少与通胀一样快，这是自2021年中期以来的最高比例。</w:t>
            </w:r>
          </w:p>
        </w:tc>
      </w:tr>
    </w:tbl>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美国消费者对于当前财务状况的看法，升至两年</w:t>
      </w:r>
      <w:r>
        <w:rPr>
          <w:rFonts w:hint="eastAsia" w:ascii="Times New Roman" w:hAnsi="Times New Roman" w:cs="Times New Roman"/>
          <w:sz w:val="32"/>
          <w:szCs w:val="32"/>
          <w:lang w:val="en-US" w:eastAsia="zh-CN"/>
        </w:rPr>
        <w:t>来</w:t>
      </w:r>
      <w:r>
        <w:rPr>
          <w:rFonts w:hint="default" w:ascii="Times New Roman" w:hAnsi="Times New Roman" w:cs="Times New Roman"/>
          <w:sz w:val="32"/>
          <w:szCs w:val="32"/>
          <w:lang w:val="en-US" w:eastAsia="zh-CN"/>
        </w:rPr>
        <w:t>的高位；对于未来财务的预期，攀升到2021年以来的最高水平。</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报告还显示，受访者对美国股市的预期，也达到两年多以来的最强劲水平。</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总之，与去年年底相比，美国消费者对本国经济的展望，目前显得相当乐观。</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1月20日（周六），美国财政部发布美国11月</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国际资本净流入</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和</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长期资本净流入</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两项指标数据。其中，</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国际资本净流入</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2602亿美元，</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长期资本净流入</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1261亿美元，均高于前值。</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rPr>
        <w:drawing>
          <wp:inline distT="0" distB="0" distL="114300" distR="114300">
            <wp:extent cx="5043805" cy="2800350"/>
            <wp:effectExtent l="0" t="0" r="4445" b="0"/>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13"/>
                    <a:stretch>
                      <a:fillRect/>
                    </a:stretch>
                  </pic:blipFill>
                  <pic:spPr>
                    <a:xfrm>
                      <a:off x="0" y="0"/>
                      <a:ext cx="5043805" cy="280035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20" w:lineRule="exact"/>
        <w:ind w:firstLine="608" w:firstLineChars="200"/>
        <w:jc w:val="left"/>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仿宋_GB2312" w:cs="Times New Roman"/>
          <w:sz w:val="32"/>
          <w:szCs w:val="32"/>
          <w:lang w:val="en-US" w:eastAsia="zh-CN"/>
        </w:rPr>
        <w:t>（</w:t>
      </w:r>
      <w:r>
        <w:rPr>
          <w:rFonts w:hint="eastAsia" w:ascii="方正黑体_GBK" w:hAnsi="方正黑体_GBK" w:eastAsia="方正黑体_GBK" w:cs="方正黑体_GBK"/>
          <w:sz w:val="32"/>
          <w:szCs w:val="32"/>
          <w:lang w:val="en-US" w:eastAsia="zh-CN"/>
        </w:rPr>
        <w:t>注：</w:t>
      </w:r>
      <w:r>
        <w:rPr>
          <w:rFonts w:hint="eastAsia" w:ascii="Times New Roman" w:hAnsi="Times New Roman" w:eastAsia="方正楷体_GBK" w:cs="Times New Roman"/>
          <w:sz w:val="32"/>
          <w:szCs w:val="32"/>
          <w:lang w:val="en-US" w:eastAsia="zh-CN"/>
        </w:rPr>
        <w:t>“</w:t>
      </w:r>
      <w:r>
        <w:rPr>
          <w:rFonts w:hint="default" w:ascii="Times New Roman" w:hAnsi="Times New Roman" w:eastAsia="方正楷体_GBK" w:cs="Times New Roman"/>
          <w:sz w:val="32"/>
          <w:szCs w:val="32"/>
          <w:lang w:val="en-US" w:eastAsia="zh-CN"/>
        </w:rPr>
        <w:t>国际资本净流入</w:t>
      </w:r>
      <w:r>
        <w:rPr>
          <w:rFonts w:hint="eastAsia" w:ascii="Times New Roman" w:hAnsi="Times New Roman" w:eastAsia="方正楷体_GBK" w:cs="Times New Roman"/>
          <w:sz w:val="32"/>
          <w:szCs w:val="32"/>
          <w:lang w:val="en-US" w:eastAsia="zh-CN"/>
        </w:rPr>
        <w:t>”</w:t>
      </w:r>
      <w:r>
        <w:rPr>
          <w:rFonts w:hint="default" w:ascii="Times New Roman" w:hAnsi="Times New Roman" w:eastAsia="方正楷体_GBK" w:cs="Times New Roman"/>
          <w:sz w:val="32"/>
          <w:szCs w:val="32"/>
          <w:lang w:val="en-US" w:eastAsia="zh-CN"/>
        </w:rPr>
        <w:t>（Net International Capital Flows）：该指标衡量了国际资本在一定时间内（通常是一个月）流入或流出美国经济的净额。它包括了各种资本形式，如股票、债券、直接投资和其他投资等。国际资本净流入是一个宏观经济指标，用于评估国际投资者对美国经济的投资状况。</w:t>
      </w:r>
    </w:p>
    <w:p>
      <w:pPr>
        <w:keepNext w:val="0"/>
        <w:keepLines w:val="0"/>
        <w:pageBreakBefore w:val="0"/>
        <w:widowControl w:val="0"/>
        <w:kinsoku/>
        <w:wordWrap/>
        <w:overflowPunct/>
        <w:topLinePunct w:val="0"/>
        <w:autoSpaceDE/>
        <w:autoSpaceDN/>
        <w:bidi w:val="0"/>
        <w:adjustRightInd/>
        <w:snapToGrid/>
        <w:spacing w:line="520" w:lineRule="exact"/>
        <w:ind w:firstLine="608" w:firstLineChars="200"/>
        <w:jc w:val="left"/>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长期资本净流入（Net Long-Term Capital Inflows）：它是</w:t>
      </w:r>
      <w:r>
        <w:rPr>
          <w:rFonts w:hint="eastAsia" w:ascii="Times New Roman" w:hAnsi="Times New Roman" w:eastAsia="方正楷体_GBK" w:cs="Times New Roman"/>
          <w:sz w:val="32"/>
          <w:szCs w:val="32"/>
          <w:lang w:val="en-US" w:eastAsia="zh-CN"/>
        </w:rPr>
        <w:t>“</w:t>
      </w:r>
      <w:r>
        <w:rPr>
          <w:rFonts w:hint="default" w:ascii="Times New Roman" w:hAnsi="Times New Roman" w:eastAsia="方正楷体_GBK" w:cs="Times New Roman"/>
          <w:sz w:val="32"/>
          <w:szCs w:val="32"/>
          <w:lang w:val="en-US" w:eastAsia="zh-CN"/>
        </w:rPr>
        <w:t>国际资本净流入</w:t>
      </w:r>
      <w:r>
        <w:rPr>
          <w:rFonts w:hint="eastAsia" w:ascii="Times New Roman" w:hAnsi="Times New Roman" w:eastAsia="方正楷体_GBK" w:cs="Times New Roman"/>
          <w:sz w:val="32"/>
          <w:szCs w:val="32"/>
          <w:lang w:val="en-US" w:eastAsia="zh-CN"/>
        </w:rPr>
        <w:t>”</w:t>
      </w:r>
      <w:r>
        <w:rPr>
          <w:rFonts w:hint="default" w:ascii="Times New Roman" w:hAnsi="Times New Roman" w:eastAsia="方正楷体_GBK" w:cs="Times New Roman"/>
          <w:sz w:val="32"/>
          <w:szCs w:val="32"/>
          <w:lang w:val="en-US" w:eastAsia="zh-CN"/>
        </w:rPr>
        <w:t>指标的一个特定子类别，用于衡量较长时间期间（通常是一年）内从国际投资者流入美国经济的资本净额。这些资本可以是直接投资、投资组合投资（如股票和债券）以及其他长期投资。长期资本净流入主要关注长期投资的规模和趋势。</w:t>
      </w:r>
    </w:p>
    <w:p>
      <w:pPr>
        <w:keepNext w:val="0"/>
        <w:keepLines w:val="0"/>
        <w:pageBreakBefore w:val="0"/>
        <w:widowControl w:val="0"/>
        <w:kinsoku/>
        <w:wordWrap/>
        <w:overflowPunct/>
        <w:topLinePunct w:val="0"/>
        <w:autoSpaceDE/>
        <w:autoSpaceDN/>
        <w:bidi w:val="0"/>
        <w:adjustRightInd/>
        <w:snapToGrid/>
        <w:spacing w:line="520" w:lineRule="exact"/>
        <w:ind w:firstLine="608"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方正楷体_GBK" w:cs="Times New Roman"/>
          <w:sz w:val="32"/>
          <w:szCs w:val="32"/>
          <w:lang w:val="en-US" w:eastAsia="zh-CN"/>
        </w:rPr>
        <w:t>资本呈现净流入，对美元需求增加，利好美元；资本呈现净流出，表明投资者不看好美国经济，利空美元。</w:t>
      </w:r>
      <w:r>
        <w:rPr>
          <w:rFonts w:hint="default" w:ascii="Times New Roman" w:hAnsi="Times New Roman" w:eastAsia="仿宋_GB2312" w:cs="Times New Roman"/>
          <w:sz w:val="32"/>
          <w:szCs w:val="32"/>
          <w:lang w:val="en-US" w:eastAsia="zh-CN"/>
        </w:rPr>
        <w:t>）</w:t>
      </w:r>
    </w:p>
    <w:p>
      <w:pPr>
        <w:ind w:left="0" w:leftChars="0" w:firstLine="0" w:firstLineChars="0"/>
        <w:jc w:val="right"/>
        <w:rPr>
          <w:rFonts w:hint="default" w:ascii="Times New Roman" w:hAnsi="Times New Roman" w:eastAsia="宋体" w:cs="Times New Roman"/>
          <w:b/>
          <w:bCs/>
          <w:color w:val="0000FF"/>
          <w:sz w:val="32"/>
          <w:szCs w:val="32"/>
          <w:highlight w:val="yellow"/>
          <w:lang w:val="en-US" w:eastAsia="zh-CN"/>
        </w:rPr>
      </w:pPr>
      <w:r>
        <w:rPr>
          <w:rFonts w:hint="default" w:ascii="方正小标宋_GBK" w:hAnsi="方正小标宋_GBK" w:eastAsia="方正小标宋_GBK" w:cs="方正小标宋_GBK"/>
          <w:b/>
          <w:bCs/>
          <w:color w:val="FF0000"/>
          <w:sz w:val="32"/>
          <w:szCs w:val="40"/>
          <w:highlight w:val="yellow"/>
          <w:lang w:val="en-US" w:eastAsia="zh-CN"/>
        </w:rPr>
        <w:t>1月23日</w:t>
      </w:r>
      <w:r>
        <w:rPr>
          <w:rFonts w:hint="default" w:ascii="方正魏碑简体" w:hAnsi="方正魏碑简体" w:eastAsia="方正魏碑简体" w:cs="方正魏碑简体"/>
          <w:b/>
          <w:bCs/>
          <w:color w:val="0000FF"/>
          <w:sz w:val="32"/>
          <w:szCs w:val="40"/>
          <w:highlight w:val="yellow"/>
          <w:lang w:val="en-US" w:eastAsia="zh-CN"/>
        </w:rPr>
        <w:t>（周二）</w:t>
      </w:r>
    </w:p>
    <w:p>
      <w:pPr>
        <w:ind w:left="0" w:leftChars="0" w:firstLine="0" w:firstLineChars="0"/>
        <w:jc w:val="center"/>
        <w:rPr>
          <w:rFonts w:hint="default" w:ascii="Times New Roman" w:hAnsi="Times New Roman" w:eastAsia="方正小标宋_GBK" w:cs="Times New Roman"/>
          <w:b/>
          <w:bCs/>
          <w:color w:val="0000FF"/>
          <w:sz w:val="36"/>
          <w:szCs w:val="44"/>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日本的通胀难题和货币政策</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在1月份的</w:t>
      </w:r>
      <w:r>
        <w:rPr>
          <w:rFonts w:hint="default" w:ascii="Times New Roman" w:hAnsi="Times New Roman" w:cs="Times New Roman" w:eastAsiaTheme="minorEastAsia"/>
          <w:sz w:val="32"/>
          <w:szCs w:val="32"/>
          <w:lang w:val="en-US" w:eastAsia="zh-CN"/>
        </w:rPr>
        <w:t>货币政策</w:t>
      </w:r>
      <w:r>
        <w:rPr>
          <w:rFonts w:hint="default" w:ascii="Times New Roman" w:hAnsi="Times New Roman" w:cs="Times New Roman"/>
          <w:sz w:val="32"/>
          <w:szCs w:val="32"/>
          <w:lang w:val="en-US" w:eastAsia="zh-CN"/>
        </w:rPr>
        <w:t>会议上</w:t>
      </w:r>
      <w:r>
        <w:rPr>
          <w:rFonts w:hint="default" w:ascii="Times New Roman" w:hAnsi="Times New Roman" w:cs="Times New Roman" w:eastAsiaTheme="minorEastAsia"/>
          <w:sz w:val="32"/>
          <w:szCs w:val="32"/>
          <w:lang w:val="en-US" w:eastAsia="zh-CN"/>
        </w:rPr>
        <w:t>，</w:t>
      </w:r>
      <w:r>
        <w:rPr>
          <w:rFonts w:hint="default" w:ascii="Times New Roman" w:hAnsi="Times New Roman" w:cs="Times New Roman"/>
          <w:sz w:val="32"/>
          <w:szCs w:val="32"/>
          <w:lang w:val="en-US" w:eastAsia="zh-CN"/>
        </w:rPr>
        <w:t>日本央行决定维持超宽松货币政策</w:t>
      </w:r>
      <w:r>
        <w:rPr>
          <w:rFonts w:hint="default" w:ascii="Times New Roman" w:hAnsi="Times New Roman" w:cs="Times New Roman" w:eastAsiaTheme="minorEastAsia"/>
          <w:sz w:val="32"/>
          <w:szCs w:val="32"/>
          <w:lang w:val="en-US" w:eastAsia="zh-CN"/>
        </w:rPr>
        <w:t>（政策利率为</w:t>
      </w:r>
      <w:r>
        <w:rPr>
          <w:rFonts w:hint="default" w:ascii="Times New Roman" w:hAnsi="Times New Roman" w:cs="Times New Roman"/>
          <w:sz w:val="32"/>
          <w:szCs w:val="32"/>
          <w:lang w:val="en-US" w:eastAsia="zh-CN"/>
        </w:rPr>
        <w:t>-0.1%</w:t>
      </w:r>
      <w:r>
        <w:rPr>
          <w:rFonts w:hint="default" w:ascii="Times New Roman" w:hAnsi="Times New Roman" w:cs="Times New Roman" w:eastAsia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在过去的21个月里，日本的年通胀率一直高于日本央行2%的目标。2023年的工资增长</w:t>
      </w:r>
      <w:r>
        <w:rPr>
          <w:rFonts w:hint="default" w:ascii="Times New Roman" w:hAnsi="Times New Roman" w:cs="Times New Roman" w:eastAsiaTheme="minorEastAsia"/>
          <w:sz w:val="32"/>
          <w:szCs w:val="32"/>
          <w:lang w:val="en-US" w:eastAsia="zh-CN"/>
        </w:rPr>
        <w:t>达到</w:t>
      </w:r>
      <w:r>
        <w:rPr>
          <w:rFonts w:hint="default" w:ascii="Times New Roman" w:hAnsi="Times New Roman" w:cs="Times New Roman"/>
          <w:sz w:val="32"/>
          <w:szCs w:val="32"/>
          <w:lang w:val="en-US" w:eastAsia="zh-CN"/>
        </w:rPr>
        <w:t>30年来最</w:t>
      </w:r>
      <w:r>
        <w:rPr>
          <w:rFonts w:hint="default" w:ascii="Times New Roman" w:hAnsi="Times New Roman" w:cs="Times New Roman" w:eastAsiaTheme="minorEastAsia"/>
          <w:sz w:val="32"/>
          <w:szCs w:val="32"/>
          <w:lang w:val="en-US" w:eastAsia="zh-CN"/>
        </w:rPr>
        <w:t>高</w:t>
      </w:r>
      <w:r>
        <w:rPr>
          <w:rFonts w:hint="default" w:ascii="Times New Roman" w:hAnsi="Times New Roman" w:cs="Times New Roman"/>
          <w:sz w:val="32"/>
          <w:szCs w:val="32"/>
          <w:lang w:val="en-US" w:eastAsia="zh-CN"/>
        </w:rPr>
        <w:t>，但</w:t>
      </w:r>
      <w:r>
        <w:rPr>
          <w:rFonts w:hint="default" w:ascii="Times New Roman" w:hAnsi="Times New Roman" w:cs="Times New Roman" w:eastAsiaTheme="minorEastAsia"/>
          <w:sz w:val="32"/>
          <w:szCs w:val="32"/>
          <w:lang w:val="en-US" w:eastAsia="zh-CN"/>
        </w:rPr>
        <w:t>仍然低于同期</w:t>
      </w:r>
      <w:r>
        <w:rPr>
          <w:rFonts w:hint="default" w:ascii="Times New Roman" w:hAnsi="Times New Roman" w:cs="Times New Roman"/>
          <w:sz w:val="32"/>
          <w:szCs w:val="32"/>
          <w:lang w:val="en-US" w:eastAsia="zh-CN"/>
        </w:rPr>
        <w:t>通胀</w:t>
      </w:r>
      <w:r>
        <w:rPr>
          <w:rFonts w:hint="default" w:ascii="Times New Roman" w:hAnsi="Times New Roman" w:cs="Times New Roman" w:eastAsiaTheme="minorEastAsia"/>
          <w:sz w:val="32"/>
          <w:szCs w:val="32"/>
          <w:lang w:val="en-US" w:eastAsia="zh-CN"/>
        </w:rPr>
        <w:t>率</w:t>
      </w:r>
      <w:r>
        <w:rPr>
          <w:rFonts w:hint="default" w:ascii="Times New Roman" w:hAnsi="Times New Roman"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eastAsiaTheme="minorEastAsia"/>
          <w:sz w:val="32"/>
          <w:szCs w:val="32"/>
          <w:lang w:val="en-US" w:eastAsia="zh-CN"/>
        </w:rPr>
        <w:t>目前，日本的</w:t>
      </w:r>
      <w:r>
        <w:rPr>
          <w:rFonts w:hint="default" w:ascii="Times New Roman" w:hAnsi="Times New Roman" w:cs="Times New Roman"/>
          <w:sz w:val="32"/>
          <w:szCs w:val="32"/>
          <w:lang w:val="en-US" w:eastAsia="zh-CN"/>
        </w:rPr>
        <w:t>通胀率正在下降，日本央行发布的</w:t>
      </w:r>
      <w:r>
        <w:rPr>
          <w:rFonts w:hint="default" w:ascii="Times New Roman" w:hAnsi="Times New Roman" w:cs="Times New Roman" w:eastAsiaTheme="minorEastAsia"/>
          <w:sz w:val="32"/>
          <w:szCs w:val="32"/>
          <w:lang w:val="en-US" w:eastAsia="zh-CN"/>
        </w:rPr>
        <w:t>《</w:t>
      </w:r>
      <w:r>
        <w:rPr>
          <w:rFonts w:hint="default" w:ascii="Times New Roman" w:hAnsi="Times New Roman" w:cs="Times New Roman"/>
          <w:sz w:val="32"/>
          <w:szCs w:val="32"/>
          <w:lang w:val="en-US" w:eastAsia="zh-CN"/>
        </w:rPr>
        <w:t>季度展望报告</w:t>
      </w:r>
      <w:r>
        <w:rPr>
          <w:rFonts w:hint="default" w:ascii="Times New Roman" w:hAnsi="Times New Roman" w:cs="Times New Roman" w:eastAsiaTheme="minorEastAsia"/>
          <w:sz w:val="32"/>
          <w:szCs w:val="32"/>
          <w:lang w:val="en-US" w:eastAsia="zh-CN"/>
        </w:rPr>
        <w:t>》</w:t>
      </w:r>
      <w:r>
        <w:rPr>
          <w:rFonts w:hint="default" w:ascii="Times New Roman" w:hAnsi="Times New Roman" w:cs="Times New Roman"/>
          <w:sz w:val="32"/>
          <w:szCs w:val="32"/>
          <w:lang w:val="en-US" w:eastAsia="zh-CN"/>
        </w:rPr>
        <w:t>中</w:t>
      </w:r>
      <w:r>
        <w:rPr>
          <w:rFonts w:hint="default" w:ascii="Times New Roman" w:hAnsi="Times New Roman" w:cs="Times New Roman" w:eastAsiaTheme="minorEastAsia"/>
          <w:sz w:val="32"/>
          <w:szCs w:val="32"/>
          <w:lang w:val="en-US" w:eastAsia="zh-CN"/>
        </w:rPr>
        <w:t>，</w:t>
      </w:r>
      <w:r>
        <w:rPr>
          <w:rFonts w:hint="default" w:ascii="Times New Roman" w:hAnsi="Times New Roman" w:cs="Times New Roman"/>
          <w:sz w:val="32"/>
          <w:szCs w:val="32"/>
          <w:lang w:val="en-US" w:eastAsia="zh-CN"/>
        </w:rPr>
        <w:t>将2024年的通胀预期从2.8%下调至2.4%。</w:t>
      </w:r>
      <w:r>
        <w:rPr>
          <w:rFonts w:hint="default" w:ascii="Times New Roman" w:hAnsi="Times New Roman" w:cs="Times New Roman" w:eastAsiaTheme="minorEastAsia"/>
          <w:sz w:val="32"/>
          <w:szCs w:val="32"/>
          <w:lang w:val="en-US" w:eastAsia="zh-CN"/>
        </w:rPr>
        <w:t>因此退出负利率政策的</w:t>
      </w:r>
      <w:r>
        <w:rPr>
          <w:rFonts w:hint="default" w:ascii="Times New Roman" w:hAnsi="Times New Roman" w:cs="Times New Roman"/>
          <w:sz w:val="32"/>
          <w:szCs w:val="32"/>
          <w:lang w:val="en-US" w:eastAsia="zh-CN"/>
        </w:rPr>
        <w:t>压力</w:t>
      </w:r>
      <w:r>
        <w:rPr>
          <w:rFonts w:hint="default" w:ascii="Times New Roman" w:hAnsi="Times New Roman" w:cs="Times New Roman" w:eastAsiaTheme="minorEastAsia"/>
          <w:sz w:val="32"/>
          <w:szCs w:val="32"/>
          <w:lang w:val="en-US" w:eastAsia="zh-CN"/>
        </w:rPr>
        <w:t>也在</w:t>
      </w:r>
      <w:r>
        <w:rPr>
          <w:rFonts w:hint="default" w:ascii="Times New Roman" w:hAnsi="Times New Roman" w:cs="Times New Roman"/>
          <w:sz w:val="32"/>
          <w:szCs w:val="32"/>
          <w:lang w:val="en-US" w:eastAsia="zh-CN"/>
        </w:rPr>
        <w:t>减小。</w:t>
      </w:r>
    </w:p>
    <w:p>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rPr>
        <w:drawing>
          <wp:inline distT="0" distB="0" distL="114300" distR="114300">
            <wp:extent cx="2747645" cy="2337435"/>
            <wp:effectExtent l="0" t="0" r="14605" b="5715"/>
            <wp:docPr id="1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
                    <pic:cNvPicPr>
                      <a:picLocks noChangeAspect="1"/>
                    </pic:cNvPicPr>
                  </pic:nvPicPr>
                  <pic:blipFill>
                    <a:blip r:embed="rId14"/>
                    <a:stretch>
                      <a:fillRect/>
                    </a:stretch>
                  </pic:blipFill>
                  <pic:spPr>
                    <a:xfrm>
                      <a:off x="0" y="0"/>
                      <a:ext cx="2747645" cy="2337435"/>
                    </a:xfrm>
                    <a:prstGeom prst="rect">
                      <a:avLst/>
                    </a:prstGeom>
                    <a:noFill/>
                    <a:ln>
                      <a:noFill/>
                    </a:ln>
                  </pic:spPr>
                </pic:pic>
              </a:graphicData>
            </a:graphic>
          </wp:inline>
        </w:drawing>
      </w:r>
      <w:r>
        <w:rPr>
          <w:rFonts w:hint="default" w:ascii="Times New Roman" w:hAnsi="Times New Roman" w:cs="Times New Roman"/>
          <w:sz w:val="32"/>
          <w:szCs w:val="32"/>
        </w:rPr>
        <w:drawing>
          <wp:inline distT="0" distB="0" distL="114300" distR="114300">
            <wp:extent cx="2726690" cy="2336165"/>
            <wp:effectExtent l="0" t="0" r="16510" b="6985"/>
            <wp:docPr id="15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2"/>
                    <pic:cNvPicPr>
                      <a:picLocks noChangeAspect="1"/>
                    </pic:cNvPicPr>
                  </pic:nvPicPr>
                  <pic:blipFill>
                    <a:blip r:embed="rId15"/>
                    <a:stretch>
                      <a:fillRect/>
                    </a:stretch>
                  </pic:blipFill>
                  <pic:spPr>
                    <a:xfrm>
                      <a:off x="0" y="0"/>
                      <a:ext cx="2726690" cy="233616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eastAsiaTheme="minorEastAsia"/>
          <w:sz w:val="32"/>
          <w:szCs w:val="32"/>
          <w:lang w:val="en-US" w:eastAsia="zh-CN"/>
        </w:rPr>
      </w:pPr>
      <w:r>
        <w:rPr>
          <w:rFonts w:hint="default" w:ascii="Times New Roman" w:hAnsi="Times New Roman" w:cs="Times New Roman"/>
          <w:sz w:val="32"/>
          <w:szCs w:val="32"/>
          <w:lang w:val="en-US" w:eastAsia="zh-CN"/>
        </w:rPr>
        <w:t>日本央行希望看到今年4</w:t>
      </w:r>
      <w:r>
        <w:rPr>
          <w:rFonts w:hint="default" w:ascii="Times New Roman" w:hAnsi="Times New Roman" w:cs="Times New Roman" w:eastAsiaTheme="minorEastAsia"/>
          <w:sz w:val="32"/>
          <w:szCs w:val="32"/>
          <w:lang w:val="en-US" w:eastAsia="zh-CN"/>
        </w:rPr>
        <w:t>月</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春斗</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（即年度工资谈判）的结果</w:t>
      </w:r>
      <w:r>
        <w:rPr>
          <w:rFonts w:hint="default" w:ascii="Times New Roman" w:hAnsi="Times New Roman" w:cs="Times New Roman" w:eastAsiaTheme="minorEastAsia"/>
          <w:sz w:val="32"/>
          <w:szCs w:val="32"/>
          <w:lang w:val="en-US" w:eastAsia="zh-CN"/>
        </w:rPr>
        <w:t>之后</w:t>
      </w:r>
      <w:r>
        <w:rPr>
          <w:rFonts w:hint="default" w:ascii="Times New Roman" w:hAnsi="Times New Roman" w:cs="Times New Roman"/>
          <w:sz w:val="32"/>
          <w:szCs w:val="32"/>
          <w:lang w:val="en-US" w:eastAsia="zh-CN"/>
        </w:rPr>
        <w:t>，再</w:t>
      </w:r>
      <w:r>
        <w:rPr>
          <w:rFonts w:hint="default" w:ascii="Times New Roman" w:hAnsi="Times New Roman" w:cs="Times New Roman" w:eastAsiaTheme="minorEastAsia"/>
          <w:sz w:val="32"/>
          <w:szCs w:val="32"/>
          <w:lang w:val="en-US" w:eastAsia="zh-CN"/>
        </w:rPr>
        <w:t>作下一步</w:t>
      </w:r>
      <w:r>
        <w:rPr>
          <w:rFonts w:hint="default" w:ascii="Times New Roman" w:hAnsi="Times New Roman" w:cs="Times New Roman"/>
          <w:sz w:val="32"/>
          <w:szCs w:val="32"/>
          <w:lang w:val="en-US" w:eastAsia="zh-CN"/>
        </w:rPr>
        <w:t>决定</w:t>
      </w:r>
      <w:r>
        <w:rPr>
          <w:rFonts w:hint="default" w:ascii="Times New Roman" w:hAnsi="Times New Roman" w:cs="Times New Roman" w:eastAsia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eastAsiaTheme="minorEastAsia"/>
          <w:sz w:val="32"/>
          <w:szCs w:val="32"/>
          <w:lang w:val="en-US" w:eastAsia="zh-CN"/>
        </w:rPr>
        <w:t>海外财经机构普遍看好日本经济，认为</w:t>
      </w:r>
      <w:r>
        <w:rPr>
          <w:rFonts w:hint="default" w:ascii="Times New Roman" w:hAnsi="Times New Roman" w:cs="Times New Roman"/>
          <w:sz w:val="32"/>
          <w:szCs w:val="32"/>
          <w:lang w:val="en-US" w:eastAsia="zh-CN"/>
        </w:rPr>
        <w:t>今年晚些时候</w:t>
      </w:r>
      <w:r>
        <w:rPr>
          <w:rFonts w:hint="default" w:ascii="Times New Roman" w:hAnsi="Times New Roman" w:cs="Times New Roman" w:eastAsiaTheme="minorEastAsia"/>
          <w:sz w:val="32"/>
          <w:szCs w:val="32"/>
          <w:lang w:val="en-US" w:eastAsia="zh-CN"/>
        </w:rPr>
        <w:t>日本央行将会实施货币政策正常化（退出负利率政策）</w:t>
      </w:r>
      <w:r>
        <w:rPr>
          <w:rFonts w:hint="default" w:ascii="Times New Roman" w:hAnsi="Times New Roman" w:cs="Times New Roman"/>
          <w:sz w:val="32"/>
          <w:szCs w:val="32"/>
          <w:lang w:val="en-US" w:eastAsia="zh-CN"/>
        </w:rPr>
        <w:t>。</w:t>
      </w:r>
    </w:p>
    <w:p>
      <w:pPr>
        <w:jc w:val="center"/>
        <w:rPr>
          <w:rFonts w:hint="default" w:ascii="Times New Roman" w:hAnsi="Times New Roman" w:cs="Times New Roman"/>
          <w:sz w:val="32"/>
          <w:szCs w:val="32"/>
        </w:rPr>
      </w:pPr>
    </w:p>
    <w:p>
      <w:pPr>
        <w:ind w:left="0" w:leftChars="0" w:firstLine="0" w:firstLineChars="0"/>
        <w:jc w:val="right"/>
        <w:rPr>
          <w:rFonts w:hint="default" w:ascii="Times New Roman" w:hAnsi="Times New Roman" w:eastAsia="宋体" w:cs="Times New Roman"/>
          <w:b/>
          <w:bCs/>
          <w:color w:val="0000FF"/>
          <w:sz w:val="32"/>
          <w:szCs w:val="32"/>
          <w:highlight w:val="yellow"/>
          <w:lang w:val="en-US" w:eastAsia="zh-CN"/>
        </w:rPr>
      </w:pPr>
      <w:r>
        <w:rPr>
          <w:rFonts w:hint="default" w:ascii="方正小标宋_GBK" w:hAnsi="方正小标宋_GBK" w:eastAsia="方正小标宋_GBK" w:cs="方正小标宋_GBK"/>
          <w:b/>
          <w:bCs/>
          <w:color w:val="FF0000"/>
          <w:sz w:val="32"/>
          <w:szCs w:val="40"/>
          <w:highlight w:val="yellow"/>
          <w:lang w:val="en-US" w:eastAsia="zh-CN"/>
        </w:rPr>
        <w:t>1月24日</w:t>
      </w:r>
      <w:r>
        <w:rPr>
          <w:rFonts w:hint="default" w:ascii="方正魏碑简体" w:hAnsi="方正魏碑简体" w:eastAsia="方正魏碑简体" w:cs="方正魏碑简体"/>
          <w:b/>
          <w:bCs/>
          <w:color w:val="0000FF"/>
          <w:sz w:val="32"/>
          <w:szCs w:val="40"/>
          <w:highlight w:val="yellow"/>
          <w:lang w:val="en-US" w:eastAsia="zh-CN"/>
        </w:rPr>
        <w:t>（周</w:t>
      </w:r>
      <w:r>
        <w:rPr>
          <w:rFonts w:hint="eastAsia" w:ascii="方正魏碑简体" w:hAnsi="方正魏碑简体" w:eastAsia="方正魏碑简体" w:cs="方正魏碑简体"/>
          <w:b/>
          <w:bCs/>
          <w:color w:val="0000FF"/>
          <w:sz w:val="32"/>
          <w:szCs w:val="40"/>
          <w:highlight w:val="yellow"/>
          <w:lang w:val="en-US" w:eastAsia="zh-CN"/>
        </w:rPr>
        <w:t>三</w:t>
      </w:r>
      <w:r>
        <w:rPr>
          <w:rFonts w:hint="default" w:ascii="方正魏碑简体" w:hAnsi="方正魏碑简体" w:eastAsia="方正魏碑简体" w:cs="方正魏碑简体"/>
          <w:b/>
          <w:bCs/>
          <w:color w:val="0000FF"/>
          <w:sz w:val="32"/>
          <w:szCs w:val="40"/>
          <w:highlight w:val="yellow"/>
          <w:lang w:val="en-US" w:eastAsia="zh-CN"/>
        </w:rPr>
        <w:t>）</w:t>
      </w:r>
    </w:p>
    <w:p>
      <w:pPr>
        <w:ind w:left="0" w:leftChars="0" w:firstLine="0" w:firstLineChars="0"/>
        <w:jc w:val="center"/>
        <w:rPr>
          <w:rFonts w:hint="default" w:ascii="Times New Roman" w:hAnsi="Times New Roman" w:eastAsia="方正小标宋_GBK" w:cs="Times New Roman"/>
          <w:b/>
          <w:bCs/>
          <w:color w:val="0000FF"/>
          <w:sz w:val="36"/>
          <w:szCs w:val="44"/>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美企公布财报，从行业冷热看美国经济</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一、服务业</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流媒体巨头奈飞（Netflix）公布财报，第四季度营收88.3亿美元，每股收益为2.11美元，新增付费订户数1312万，创历史纪录。同时，公布的前景指引也很乐观，预计2024年全年将实现两位数的营收增长。</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rPr>
        <w:drawing>
          <wp:inline distT="0" distB="0" distL="114300" distR="114300">
            <wp:extent cx="4236085" cy="2358390"/>
            <wp:effectExtent l="0" t="0" r="12065" b="3810"/>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8"/>
                    <a:stretch>
                      <a:fillRect/>
                    </a:stretch>
                  </pic:blipFill>
                  <pic:spPr>
                    <a:xfrm>
                      <a:off x="0" y="0"/>
                      <a:ext cx="4236085" cy="235839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二、房地产行业</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霍顿房屋（Horton Homes）公布的财报显示，截至2023年12月31日，积压的房屋销售合同订单下降了11%。</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霍顿房屋是美国知名的房屋建造公司，成立于1971年，专业制造和销售各种类型的住宅。</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三、上游制造业</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3M公布的财报显示，第四季度营收80亿美元，不及预期。而且对2024的利润和销售增长指引均低于市场预测。</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公司CEO表示，第四季度公司面对的市场环境低迷，因此营收不及预期，估计2024年依然如此。3M的股价已经连续三年下跌。</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3M是全球知名的材料领域工业巨头，主要产品包括黏合剂、涂料、薄膜、陶瓷材料等，其在纳米技术方面处于全球领先地位。</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四、军工产业</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雷神（Thor Technology）财报显示，第四季度业绩好于预期，并且对2024财年的前景指引乐观：预计年销售额780亿-790亿美元，每股收益为5.25-5.40美元。</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雷神的业务领域包括导弹防御系统、雷达技术、航天技术、侦察和监视系统、通信和网络安全等，还参与研发和制造军用飞机、导弹、火炮和其他军事装备。</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rPr>
        <w:t xml:space="preserve"> </w:t>
      </w:r>
      <w:r>
        <w:rPr>
          <w:rFonts w:hint="default" w:ascii="Times New Roman" w:hAnsi="Times New Roman" w:cs="Times New Roman"/>
          <w:sz w:val="32"/>
          <w:szCs w:val="32"/>
        </w:rPr>
        <w:drawing>
          <wp:inline distT="0" distB="0" distL="114300" distR="114300">
            <wp:extent cx="2546985" cy="1808480"/>
            <wp:effectExtent l="0" t="0" r="5715" b="1270"/>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pic:cNvPicPr>
                      <a:picLocks noChangeAspect="1"/>
                    </pic:cNvPicPr>
                  </pic:nvPicPr>
                  <pic:blipFill>
                    <a:blip r:embed="rId16"/>
                    <a:stretch>
                      <a:fillRect/>
                    </a:stretch>
                  </pic:blipFill>
                  <pic:spPr>
                    <a:xfrm>
                      <a:off x="0" y="0"/>
                      <a:ext cx="2546985" cy="1808480"/>
                    </a:xfrm>
                    <a:prstGeom prst="rect">
                      <a:avLst/>
                    </a:prstGeom>
                    <a:noFill/>
                    <a:ln>
                      <a:noFill/>
                    </a:ln>
                  </pic:spPr>
                </pic:pic>
              </a:graphicData>
            </a:graphic>
          </wp:inline>
        </w:drawing>
      </w:r>
      <w:r>
        <w:rPr>
          <w:rFonts w:hint="default" w:ascii="Times New Roman" w:hAnsi="Times New Roman" w:cs="Times New Roman"/>
          <w:sz w:val="32"/>
          <w:szCs w:val="32"/>
          <w:lang w:val="en-US"/>
        </w:rPr>
        <w:t xml:space="preserve"> </w:t>
      </w:r>
      <w:r>
        <w:rPr>
          <w:rFonts w:hint="default" w:ascii="Times New Roman" w:hAnsi="Times New Roman" w:cs="Times New Roman"/>
          <w:sz w:val="32"/>
          <w:szCs w:val="32"/>
        </w:rPr>
        <w:drawing>
          <wp:inline distT="0" distB="0" distL="114300" distR="114300">
            <wp:extent cx="2634615" cy="1782445"/>
            <wp:effectExtent l="0" t="0" r="13335" b="8255"/>
            <wp:docPr id="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
                    <pic:cNvPicPr>
                      <a:picLocks noChangeAspect="1"/>
                    </pic:cNvPicPr>
                  </pic:nvPicPr>
                  <pic:blipFill>
                    <a:blip r:embed="rId17"/>
                    <a:stretch>
                      <a:fillRect/>
                    </a:stretch>
                  </pic:blipFill>
                  <pic:spPr>
                    <a:xfrm>
                      <a:off x="0" y="0"/>
                      <a:ext cx="2634615" cy="178244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另一家美国军工巨头洛克希德·马丁（Lockheed Martin）的财报显示，第四季度业绩也好于预期，而且积压订单达到创纪录的1606亿美元，但对2024财年的前景指引却略低于预期，公司称供应链困境可能导致盈利下滑。</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洛克希德·马丁的主要业务领域包括军用飞机、导弹防御系统、太空技术，以及情报与网络安全。</w:t>
      </w:r>
    </w:p>
    <w:p>
      <w:pPr>
        <w:ind w:left="0" w:leftChars="0" w:firstLine="0" w:firstLineChars="0"/>
        <w:jc w:val="right"/>
        <w:rPr>
          <w:rFonts w:hint="default" w:ascii="Times New Roman" w:hAnsi="Times New Roman" w:eastAsia="宋体" w:cs="Times New Roman"/>
          <w:b/>
          <w:bCs/>
          <w:color w:val="0000FF"/>
          <w:sz w:val="32"/>
          <w:szCs w:val="32"/>
          <w:highlight w:val="yellow"/>
          <w:lang w:val="en-US" w:eastAsia="zh-CN"/>
        </w:rPr>
      </w:pPr>
      <w:r>
        <w:rPr>
          <w:rFonts w:hint="default" w:ascii="方正小标宋_GBK" w:hAnsi="方正小标宋_GBK" w:eastAsia="方正小标宋_GBK" w:cs="方正小标宋_GBK"/>
          <w:b/>
          <w:bCs/>
          <w:color w:val="FF0000"/>
          <w:sz w:val="32"/>
          <w:szCs w:val="40"/>
          <w:highlight w:val="yellow"/>
          <w:lang w:val="en-US" w:eastAsia="zh-CN"/>
        </w:rPr>
        <w:t>1月25日</w:t>
      </w:r>
      <w:r>
        <w:rPr>
          <w:rFonts w:hint="default" w:ascii="方正魏碑简体" w:hAnsi="方正魏碑简体" w:eastAsia="方正魏碑简体" w:cs="方正魏碑简体"/>
          <w:b/>
          <w:bCs/>
          <w:color w:val="0000FF"/>
          <w:sz w:val="32"/>
          <w:szCs w:val="40"/>
          <w:highlight w:val="yellow"/>
          <w:lang w:val="en-US" w:eastAsia="zh-CN"/>
        </w:rPr>
        <w:t>（周</w:t>
      </w:r>
      <w:r>
        <w:rPr>
          <w:rFonts w:hint="eastAsia" w:ascii="方正魏碑简体" w:hAnsi="方正魏碑简体" w:eastAsia="方正魏碑简体" w:cs="方正魏碑简体"/>
          <w:b/>
          <w:bCs/>
          <w:color w:val="0000FF"/>
          <w:sz w:val="32"/>
          <w:szCs w:val="40"/>
          <w:highlight w:val="yellow"/>
          <w:lang w:val="en-US" w:eastAsia="zh-CN"/>
        </w:rPr>
        <w:t>四</w:t>
      </w:r>
      <w:r>
        <w:rPr>
          <w:rFonts w:hint="default" w:ascii="方正魏碑简体" w:hAnsi="方正魏碑简体" w:eastAsia="方正魏碑简体" w:cs="方正魏碑简体"/>
          <w:b/>
          <w:bCs/>
          <w:color w:val="0000FF"/>
          <w:sz w:val="32"/>
          <w:szCs w:val="40"/>
          <w:highlight w:val="yellow"/>
          <w:lang w:val="en-US" w:eastAsia="zh-CN"/>
        </w:rPr>
        <w:t>）</w:t>
      </w:r>
    </w:p>
    <w:p>
      <w:pPr>
        <w:ind w:left="0" w:leftChars="0" w:firstLine="0" w:firstLineChars="0"/>
        <w:jc w:val="center"/>
        <w:rPr>
          <w:rFonts w:hint="eastAsia"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美债发行大潮开始启动，欧元区经济持续走弱</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一、美债大潮启动</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1月24日（本周三）结束的5年期美国国债的销售规模为610亿美元，是自2021年以来该期限美债的最大拍卖规模，与历史最高水平相当。</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此次拍卖的</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投标倍数</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为2.31，创</w:t>
      </w:r>
      <w:r>
        <w:rPr>
          <w:rFonts w:hint="default" w:ascii="Times New Roman" w:hAnsi="Times New Roman" w:cs="Times New Roman"/>
          <w:sz w:val="32"/>
          <w:szCs w:val="32"/>
          <w:highlight w:val="none"/>
          <w:u w:val="none"/>
          <w:lang w:val="en-US" w:eastAsia="zh-CN"/>
        </w:rPr>
        <w:t>下</w:t>
      </w:r>
      <w:r>
        <w:rPr>
          <w:rFonts w:hint="default" w:ascii="Times New Roman" w:hAnsi="Times New Roman" w:cs="Times New Roman"/>
          <w:sz w:val="32"/>
          <w:szCs w:val="32"/>
          <w:lang w:val="en-US" w:eastAsia="zh-CN"/>
        </w:rPr>
        <w:t>2022年9月以来最低，显著低于最近六次的均值2.45。拍卖的得标利率为4.055%，高于上个月的3.801%，且比预发行利率的4.035%还要高</w:t>
      </w:r>
      <w:r>
        <w:rPr>
          <w:rFonts w:hint="default" w:ascii="Times New Roman" w:hAnsi="Times New Roman" w:cs="Times New Roman"/>
          <w:sz w:val="32"/>
          <w:szCs w:val="32"/>
          <w:highlight w:val="none"/>
          <w:u w:val="none"/>
          <w:lang w:val="en-US" w:eastAsia="zh-CN"/>
        </w:rPr>
        <w:t>2个</w:t>
      </w:r>
      <w:r>
        <w:rPr>
          <w:rFonts w:hint="default" w:ascii="Times New Roman" w:hAnsi="Times New Roman" w:cs="Times New Roman"/>
          <w:sz w:val="32"/>
          <w:szCs w:val="32"/>
          <w:lang w:val="en-US" w:eastAsia="zh-CN"/>
        </w:rPr>
        <w:t>基点，也是2022年9月以来最大的</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尾部利差</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，凸显市场对这一期限的美债需求疲软。</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通过一级交易商参与竞标的间接竞标者，其获配比例从70.6%跌至60.9%，为2022年9月以来新低，显示海外需求不振；因此，必须</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接盘</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所有剩余国债的一级交易商获配比例达20.4%，亦创下2022年9以来新高。</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845"/>
        <w:gridCol w:w="52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45"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受此次拍卖结果的影响，周三，美国30年期国债收益率攀升至近4.42%。</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vertAlign w:val="baseline"/>
                <w:lang w:val="en-US" w:eastAsia="zh-CN"/>
              </w:rPr>
            </w:pPr>
            <w:r>
              <w:rPr>
                <w:rFonts w:hint="default" w:ascii="Times New Roman" w:hAnsi="Times New Roman" w:cs="Times New Roman"/>
                <w:sz w:val="32"/>
                <w:szCs w:val="32"/>
                <w:lang w:val="en-US" w:eastAsia="zh-CN"/>
              </w:rPr>
              <w:t>美国财政部曾表示，预计2月至4月期间的美债标售规模将进一步扩大。</w:t>
            </w:r>
          </w:p>
        </w:tc>
        <w:tc>
          <w:tcPr>
            <w:tcW w:w="5216"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drawing>
                <wp:inline distT="0" distB="0" distL="114300" distR="114300">
                  <wp:extent cx="3177540" cy="2047240"/>
                  <wp:effectExtent l="0" t="0" r="3810" b="10160"/>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10"/>
                          <a:stretch>
                            <a:fillRect/>
                          </a:stretch>
                        </pic:blipFill>
                        <pic:spPr>
                          <a:xfrm>
                            <a:off x="0" y="0"/>
                            <a:ext cx="3177540" cy="2047240"/>
                          </a:xfrm>
                          <a:prstGeom prst="rect">
                            <a:avLst/>
                          </a:prstGeom>
                          <a:noFill/>
                          <a:ln>
                            <a:noFill/>
                          </a:ln>
                        </pic:spPr>
                      </pic:pic>
                    </a:graphicData>
                  </a:graphic>
                </wp:inline>
              </w:drawing>
            </w:r>
          </w:p>
        </w:tc>
      </w:tr>
    </w:tbl>
    <w:p>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608" w:firstLineChars="200"/>
        <w:jc w:val="left"/>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仿宋_GB2312" w:cs="Times New Roman"/>
          <w:sz w:val="32"/>
          <w:szCs w:val="32"/>
          <w:lang w:val="en-US" w:eastAsia="zh-CN"/>
        </w:rPr>
        <w:t>（</w:t>
      </w:r>
      <w:r>
        <w:rPr>
          <w:rFonts w:hint="eastAsia" w:ascii="方正黑体简体" w:hAnsi="方正黑体简体" w:eastAsia="方正黑体简体" w:cs="方正黑体简体"/>
          <w:sz w:val="32"/>
          <w:szCs w:val="32"/>
          <w:lang w:val="en-US" w:eastAsia="zh-CN"/>
        </w:rPr>
        <w:t>注：</w:t>
      </w:r>
      <w:r>
        <w:rPr>
          <w:rFonts w:hint="default" w:ascii="Times New Roman" w:hAnsi="Times New Roman" w:eastAsia="方正楷体_GBK" w:cs="Times New Roman"/>
          <w:b/>
          <w:bCs/>
          <w:sz w:val="32"/>
          <w:szCs w:val="32"/>
          <w:lang w:val="en-US" w:eastAsia="zh-CN"/>
        </w:rPr>
        <w:t>1. 美债的</w:t>
      </w:r>
      <w:r>
        <w:rPr>
          <w:rFonts w:hint="eastAsia" w:ascii="Times New Roman" w:hAnsi="Times New Roman" w:eastAsia="方正楷体_GBK" w:cs="Times New Roman"/>
          <w:b/>
          <w:bCs/>
          <w:sz w:val="32"/>
          <w:szCs w:val="32"/>
          <w:lang w:val="en-US" w:eastAsia="zh-CN"/>
        </w:rPr>
        <w:t>“</w:t>
      </w:r>
      <w:r>
        <w:rPr>
          <w:rFonts w:hint="default" w:ascii="Times New Roman" w:hAnsi="Times New Roman" w:eastAsia="方正楷体_GBK" w:cs="Times New Roman"/>
          <w:b/>
          <w:bCs/>
          <w:sz w:val="32"/>
          <w:szCs w:val="32"/>
          <w:lang w:val="en-US" w:eastAsia="zh-CN"/>
        </w:rPr>
        <w:t>投标倍数</w:t>
      </w:r>
      <w:r>
        <w:rPr>
          <w:rFonts w:hint="eastAsia" w:ascii="Times New Roman" w:hAnsi="Times New Roman" w:eastAsia="方正楷体_GBK" w:cs="Times New Roman"/>
          <w:b/>
          <w:bCs/>
          <w:sz w:val="32"/>
          <w:szCs w:val="32"/>
          <w:lang w:val="en-US" w:eastAsia="zh-CN"/>
        </w:rPr>
        <w:t>”</w:t>
      </w:r>
      <w:r>
        <w:rPr>
          <w:rFonts w:hint="default" w:ascii="Times New Roman" w:hAnsi="Times New Roman" w:eastAsia="方正楷体_GBK" w:cs="Times New Roman"/>
          <w:sz w:val="32"/>
          <w:szCs w:val="32"/>
          <w:lang w:val="en-US" w:eastAsia="zh-CN"/>
        </w:rPr>
        <w:t>是指在美国政府债券拍卖中，投标金额与发行金额之比。它反映了市场对债券的需求和投资者的兴趣程度。</w:t>
      </w:r>
    </w:p>
    <w:p>
      <w:pPr>
        <w:keepNext w:val="0"/>
        <w:keepLines w:val="0"/>
        <w:pageBreakBefore w:val="0"/>
        <w:widowControl w:val="0"/>
        <w:kinsoku/>
        <w:wordWrap/>
        <w:overflowPunct/>
        <w:topLinePunct w:val="0"/>
        <w:autoSpaceDE/>
        <w:autoSpaceDN/>
        <w:bidi w:val="0"/>
        <w:adjustRightInd/>
        <w:snapToGrid/>
        <w:spacing w:line="480" w:lineRule="exact"/>
        <w:ind w:firstLine="608" w:firstLineChars="200"/>
        <w:jc w:val="left"/>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美国财政部（发行人）确定债券的发行金额，并公开招标。投资者可以根据自己的意愿和能力提交投标，表示愿意以何种价格购买债券。投标的金额可以高于、等于或低于债券的面值。</w:t>
      </w:r>
    </w:p>
    <w:p>
      <w:pPr>
        <w:keepNext w:val="0"/>
        <w:keepLines w:val="0"/>
        <w:pageBreakBefore w:val="0"/>
        <w:widowControl w:val="0"/>
        <w:kinsoku/>
        <w:wordWrap/>
        <w:overflowPunct/>
        <w:topLinePunct w:val="0"/>
        <w:autoSpaceDE/>
        <w:autoSpaceDN/>
        <w:bidi w:val="0"/>
        <w:adjustRightInd/>
        <w:snapToGrid/>
        <w:spacing w:line="480" w:lineRule="exact"/>
        <w:ind w:firstLine="608" w:firstLineChars="200"/>
        <w:jc w:val="left"/>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投标倍数是通过将总投标金额除以发行金额来计算的。如果总投标金额超过发行金额，即投标倍数大于1，债券可以顺利发行；如果总投标金额低于发行金额，即投标倍数小于1，表示债券的供应超过了市场需求，拍卖可能将不成功。</w:t>
      </w:r>
    </w:p>
    <w:p>
      <w:pPr>
        <w:keepNext w:val="0"/>
        <w:keepLines w:val="0"/>
        <w:pageBreakBefore w:val="0"/>
        <w:widowControl w:val="0"/>
        <w:kinsoku/>
        <w:wordWrap/>
        <w:overflowPunct/>
        <w:topLinePunct w:val="0"/>
        <w:autoSpaceDE/>
        <w:autoSpaceDN/>
        <w:bidi w:val="0"/>
        <w:adjustRightInd/>
        <w:snapToGrid/>
        <w:spacing w:line="480" w:lineRule="exact"/>
        <w:ind w:firstLine="608" w:firstLineChars="200"/>
        <w:jc w:val="left"/>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投标倍数是市场参与者和分析师用来评估债券拍卖的成功程度和市场对债券的兴趣的指标。较高的投标倍数通常被视为积极的信号，表明市场对债券的需求强劲，而较低的投标倍数可能暗示市场对债券的兴趣不高。</w:t>
      </w:r>
    </w:p>
    <w:p>
      <w:pPr>
        <w:keepNext w:val="0"/>
        <w:keepLines w:val="0"/>
        <w:pageBreakBefore w:val="0"/>
        <w:widowControl w:val="0"/>
        <w:kinsoku/>
        <w:wordWrap/>
        <w:overflowPunct/>
        <w:topLinePunct w:val="0"/>
        <w:autoSpaceDE/>
        <w:autoSpaceDN/>
        <w:bidi w:val="0"/>
        <w:adjustRightInd/>
        <w:snapToGrid/>
        <w:spacing w:line="480" w:lineRule="exact"/>
        <w:ind w:firstLine="608" w:firstLineChars="200"/>
        <w:jc w:val="left"/>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b/>
          <w:bCs/>
          <w:sz w:val="32"/>
          <w:szCs w:val="32"/>
          <w:lang w:val="en-US" w:eastAsia="zh-CN"/>
        </w:rPr>
        <w:t xml:space="preserve">2. </w:t>
      </w:r>
      <w:r>
        <w:rPr>
          <w:rFonts w:hint="eastAsia" w:ascii="Times New Roman" w:hAnsi="Times New Roman" w:eastAsia="方正楷体_GBK" w:cs="Times New Roman"/>
          <w:b/>
          <w:bCs/>
          <w:sz w:val="32"/>
          <w:szCs w:val="32"/>
          <w:lang w:val="en-US" w:eastAsia="zh-CN"/>
        </w:rPr>
        <w:t>“</w:t>
      </w:r>
      <w:r>
        <w:rPr>
          <w:rFonts w:hint="default" w:ascii="Times New Roman" w:hAnsi="Times New Roman" w:eastAsia="方正楷体_GBK" w:cs="Times New Roman"/>
          <w:b/>
          <w:bCs/>
          <w:sz w:val="32"/>
          <w:szCs w:val="32"/>
          <w:lang w:val="en-US" w:eastAsia="zh-CN"/>
        </w:rPr>
        <w:t>尾部利差</w:t>
      </w:r>
      <w:r>
        <w:rPr>
          <w:rFonts w:hint="eastAsia" w:ascii="Times New Roman" w:hAnsi="Times New Roman" w:eastAsia="方正楷体_GBK" w:cs="Times New Roman"/>
          <w:b/>
          <w:bCs/>
          <w:sz w:val="32"/>
          <w:szCs w:val="32"/>
          <w:lang w:val="en-US" w:eastAsia="zh-CN"/>
        </w:rPr>
        <w:t>”</w:t>
      </w:r>
      <w:r>
        <w:rPr>
          <w:rFonts w:hint="default" w:ascii="Times New Roman" w:hAnsi="Times New Roman" w:eastAsia="方正楷体_GBK" w:cs="Times New Roman"/>
          <w:b/>
          <w:bCs/>
          <w:sz w:val="32"/>
          <w:szCs w:val="32"/>
          <w:lang w:val="en-US" w:eastAsia="zh-CN"/>
        </w:rPr>
        <w:t>（tail spread）</w:t>
      </w:r>
      <w:r>
        <w:rPr>
          <w:rFonts w:hint="default" w:ascii="Times New Roman" w:hAnsi="Times New Roman" w:eastAsia="方正楷体_GBK" w:cs="Times New Roman"/>
          <w:sz w:val="32"/>
          <w:szCs w:val="32"/>
          <w:lang w:val="en-US" w:eastAsia="zh-CN"/>
        </w:rPr>
        <w:t>是指在债券拍卖中，最终成交的利率与预发行利率之间的差异。它表示市场对于债券的需求和投资者对于债券的定价意愿。</w:t>
      </w:r>
    </w:p>
    <w:p>
      <w:pPr>
        <w:keepNext w:val="0"/>
        <w:keepLines w:val="0"/>
        <w:pageBreakBefore w:val="0"/>
        <w:widowControl w:val="0"/>
        <w:kinsoku/>
        <w:wordWrap/>
        <w:overflowPunct/>
        <w:topLinePunct w:val="0"/>
        <w:autoSpaceDE/>
        <w:autoSpaceDN/>
        <w:bidi w:val="0"/>
        <w:adjustRightInd/>
        <w:snapToGrid/>
        <w:spacing w:line="480" w:lineRule="exact"/>
        <w:ind w:firstLine="608" w:firstLineChars="200"/>
        <w:jc w:val="left"/>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在债券拍卖中，发行人通常设定一个预发行利率作为参考。然而，实际拍卖过程中，由于市场需求和投标情况的影响，最终成交利率可能会与预发行利率有所不同。</w:t>
      </w:r>
    </w:p>
    <w:p>
      <w:pPr>
        <w:keepNext w:val="0"/>
        <w:keepLines w:val="0"/>
        <w:pageBreakBefore w:val="0"/>
        <w:widowControl w:val="0"/>
        <w:kinsoku/>
        <w:wordWrap/>
        <w:overflowPunct/>
        <w:topLinePunct w:val="0"/>
        <w:autoSpaceDE/>
        <w:autoSpaceDN/>
        <w:bidi w:val="0"/>
        <w:adjustRightInd/>
        <w:snapToGrid/>
        <w:spacing w:line="480" w:lineRule="exact"/>
        <w:ind w:firstLine="608" w:firstLineChars="200"/>
        <w:jc w:val="left"/>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当尾部利差为正值时，表示最终成交利率高于预发行利率，说明投资者对债券的需求较低，或者他们对债券的定价要求更高。这可能表明市场对该期限的债券需求疲软。</w:t>
      </w:r>
    </w:p>
    <w:p>
      <w:pPr>
        <w:keepNext w:val="0"/>
        <w:keepLines w:val="0"/>
        <w:pageBreakBefore w:val="0"/>
        <w:widowControl w:val="0"/>
        <w:kinsoku/>
        <w:wordWrap/>
        <w:overflowPunct/>
        <w:topLinePunct w:val="0"/>
        <w:autoSpaceDE/>
        <w:autoSpaceDN/>
        <w:bidi w:val="0"/>
        <w:adjustRightInd/>
        <w:snapToGrid/>
        <w:spacing w:line="480" w:lineRule="exact"/>
        <w:ind w:firstLine="608"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方正楷体_GBK" w:cs="Times New Roman"/>
          <w:sz w:val="32"/>
          <w:szCs w:val="32"/>
          <w:lang w:val="en-US" w:eastAsia="zh-CN"/>
        </w:rPr>
        <w:t>尾部利差的大小可以反映市场对债券的兴趣程度和风险偏好。较大的尾部利差通常被视为负面信号，表明市场对该期限的债券需求疲软，并且投资者可能要求更高的回报率才愿意购买。</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eastAsia="宋体" w:cs="Times New Roman"/>
          <w:b/>
          <w:bCs/>
          <w:sz w:val="32"/>
          <w:szCs w:val="32"/>
          <w:lang w:val="en-US" w:eastAsia="zh-CN"/>
        </w:rPr>
      </w:pPr>
      <w:r>
        <w:rPr>
          <w:rFonts w:hint="default" w:ascii="Times New Roman" w:hAnsi="Times New Roman" w:eastAsia="宋体" w:cs="Times New Roman"/>
          <w:b/>
          <w:bCs/>
          <w:sz w:val="32"/>
          <w:szCs w:val="32"/>
          <w:lang w:val="en-US" w:eastAsia="zh-CN"/>
        </w:rPr>
        <w:t>二、欧元区经济依然不振</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周三，IHS Markit公布了欧元区，以及德国、法国和英国的</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采购经理人指数</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（PMI）的初值。</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欧元区1月综合PMI初值为47.9，服务业PIM初值为48.4，制造业初值为46.4</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德国相应的三个数据分别为47.1、47.6和45.4；法国为44.2、45和43.2；英国为52.5、53.8和47.3。相较之下，英国的经济复苏貌似强于欧元区。</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rPr>
        <w:drawing>
          <wp:inline distT="0" distB="0" distL="114300" distR="114300">
            <wp:extent cx="4270375" cy="2331720"/>
            <wp:effectExtent l="0" t="0" r="15875" b="11430"/>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9"/>
                    <a:stretch>
                      <a:fillRect/>
                    </a:stretch>
                  </pic:blipFill>
                  <pic:spPr>
                    <a:xfrm>
                      <a:off x="0" y="0"/>
                      <a:ext cx="4270375" cy="233172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90" w:lineRule="exact"/>
        <w:ind w:firstLine="608" w:firstLineChars="200"/>
        <w:jc w:val="left"/>
        <w:textAlignment w:val="auto"/>
        <w:rPr>
          <w:rFonts w:hint="eastAsia" w:ascii="Times New Roman" w:hAnsi="Times New Roman" w:eastAsia="方正楷体_GBK" w:cs="Times New Roman"/>
          <w:sz w:val="32"/>
          <w:szCs w:val="32"/>
          <w:lang w:val="en-US" w:eastAsia="zh-CN"/>
        </w:rPr>
      </w:pPr>
      <w:r>
        <w:rPr>
          <w:rFonts w:hint="default" w:ascii="Times New Roman" w:hAnsi="Times New Roman" w:cs="Times New Roman"/>
          <w:sz w:val="32"/>
          <w:szCs w:val="32"/>
          <w:lang w:val="en-US" w:eastAsia="zh-CN"/>
        </w:rPr>
        <w:t>（</w:t>
      </w:r>
      <w:r>
        <w:rPr>
          <w:rFonts w:hint="eastAsia" w:ascii="方正黑体_GBK" w:hAnsi="方正黑体_GBK" w:eastAsia="方正黑体_GBK" w:cs="方正黑体_GBK"/>
          <w:sz w:val="32"/>
          <w:szCs w:val="32"/>
          <w:lang w:val="en-US" w:eastAsia="zh-CN"/>
        </w:rPr>
        <w:t>注：</w:t>
      </w:r>
      <w:r>
        <w:rPr>
          <w:rFonts w:hint="eastAsia" w:ascii="Times New Roman" w:hAnsi="Times New Roman" w:eastAsia="方正楷体_GBK" w:cs="Times New Roman"/>
          <w:b/>
          <w:bCs/>
          <w:sz w:val="32"/>
          <w:szCs w:val="32"/>
          <w:lang w:val="en-US" w:eastAsia="zh-CN"/>
        </w:rPr>
        <w:t>“</w:t>
      </w:r>
      <w:r>
        <w:rPr>
          <w:rFonts w:hint="default" w:ascii="Times New Roman" w:hAnsi="Times New Roman" w:eastAsia="方正楷体_GBK" w:cs="Times New Roman"/>
          <w:b/>
          <w:bCs/>
          <w:sz w:val="32"/>
          <w:szCs w:val="32"/>
          <w:lang w:val="en-US" w:eastAsia="zh-CN"/>
        </w:rPr>
        <w:t>采购经理人指数</w:t>
      </w:r>
      <w:r>
        <w:rPr>
          <w:rFonts w:hint="eastAsia" w:ascii="Times New Roman" w:hAnsi="Times New Roman" w:eastAsia="方正楷体_GBK" w:cs="Times New Roman"/>
          <w:b/>
          <w:bCs/>
          <w:sz w:val="32"/>
          <w:szCs w:val="32"/>
          <w:lang w:val="en-US" w:eastAsia="zh-CN"/>
        </w:rPr>
        <w:t>”</w:t>
      </w:r>
      <w:r>
        <w:rPr>
          <w:rFonts w:hint="default" w:ascii="Times New Roman" w:hAnsi="Times New Roman" w:eastAsia="方正楷体_GBK" w:cs="Times New Roman"/>
          <w:b/>
          <w:bCs/>
          <w:sz w:val="32"/>
          <w:szCs w:val="32"/>
          <w:lang w:val="en-US" w:eastAsia="zh-CN"/>
        </w:rPr>
        <w:t>（PMI）</w:t>
      </w:r>
      <w:r>
        <w:rPr>
          <w:rFonts w:hint="default" w:ascii="Times New Roman" w:hAnsi="Times New Roman" w:eastAsia="方正楷体_GBK" w:cs="Times New Roman"/>
          <w:sz w:val="32"/>
          <w:szCs w:val="32"/>
          <w:lang w:val="en-US" w:eastAsia="zh-CN"/>
        </w:rPr>
        <w:t>是一项用于衡量制造业和</w:t>
      </w:r>
      <w:r>
        <w:rPr>
          <w:rFonts w:hint="default" w:ascii="Times New Roman" w:hAnsi="Times New Roman" w:eastAsia="方正楷体_GBK" w:cs="Times New Roman"/>
          <w:spacing w:val="-6"/>
          <w:sz w:val="32"/>
          <w:szCs w:val="32"/>
          <w:lang w:val="en-US" w:eastAsia="zh-CN"/>
        </w:rPr>
        <w:t>服务业活动的指标，通过调查企业采购经理人</w:t>
      </w:r>
      <w:r>
        <w:rPr>
          <w:rFonts w:hint="eastAsia" w:ascii="Times New Roman" w:hAnsi="Times New Roman" w:eastAsia="方正楷体_GBK" w:cs="Times New Roman"/>
          <w:spacing w:val="-6"/>
          <w:sz w:val="32"/>
          <w:szCs w:val="32"/>
          <w:lang w:val="en-US" w:eastAsia="zh-CN"/>
        </w:rPr>
        <w:t>的</w:t>
      </w:r>
      <w:r>
        <w:rPr>
          <w:rFonts w:hint="default" w:ascii="Times New Roman" w:hAnsi="Times New Roman" w:eastAsia="方正楷体_GBK" w:cs="Times New Roman"/>
          <w:spacing w:val="-6"/>
          <w:sz w:val="32"/>
          <w:szCs w:val="32"/>
          <w:lang w:val="en-US" w:eastAsia="zh-CN"/>
        </w:rPr>
        <w:t>意见来反映经济状况</w:t>
      </w:r>
      <w:r>
        <w:rPr>
          <w:rFonts w:hint="eastAsia" w:ascii="Times New Roman" w:hAnsi="Times New Roman" w:eastAsia="方正楷体_GBK" w:cs="Times New Roman"/>
          <w:spacing w:val="-6"/>
          <w:sz w:val="32"/>
          <w:szCs w:val="32"/>
          <w:lang w:val="en-US" w:eastAsia="zh-CN"/>
        </w:rPr>
        <w:t>。</w:t>
      </w:r>
      <w:r>
        <w:rPr>
          <w:rFonts w:hint="eastAsia" w:ascii="Times New Roman" w:hAnsi="Times New Roman" w:eastAsia="方正楷体_GBK" w:cs="Times New Roman"/>
          <w:sz w:val="32"/>
          <w:szCs w:val="32"/>
          <w:lang w:val="en-US" w:eastAsia="zh-CN"/>
        </w:rPr>
        <w:t>PMI的指数通常在50为分界线，数值高于50表示经济活动扩张，数值低于50表示经济活动收缩。具体数值的大小反映了经济活动的增长或衰退程度。</w:t>
      </w:r>
    </w:p>
    <w:p>
      <w:pPr>
        <w:keepNext w:val="0"/>
        <w:keepLines w:val="0"/>
        <w:pageBreakBefore w:val="0"/>
        <w:widowControl w:val="0"/>
        <w:kinsoku/>
        <w:wordWrap/>
        <w:overflowPunct/>
        <w:topLinePunct w:val="0"/>
        <w:autoSpaceDE/>
        <w:autoSpaceDN/>
        <w:bidi w:val="0"/>
        <w:adjustRightInd/>
        <w:snapToGrid/>
        <w:spacing w:line="490" w:lineRule="exact"/>
        <w:ind w:firstLine="564" w:firstLineChars="200"/>
        <w:jc w:val="left"/>
        <w:textAlignment w:val="auto"/>
        <w:rPr>
          <w:rFonts w:hint="default" w:ascii="Times New Roman" w:hAnsi="Times New Roman" w:eastAsia="方正楷体_GBK" w:cs="Times New Roman"/>
          <w:spacing w:val="-11"/>
          <w:sz w:val="32"/>
          <w:szCs w:val="32"/>
          <w:lang w:val="en-US" w:eastAsia="zh-CN"/>
        </w:rPr>
      </w:pPr>
      <w:r>
        <w:rPr>
          <w:rFonts w:hint="default" w:ascii="Times New Roman" w:hAnsi="Times New Roman" w:eastAsia="方正楷体_GBK" w:cs="Times New Roman"/>
          <w:spacing w:val="-11"/>
          <w:sz w:val="32"/>
          <w:szCs w:val="32"/>
          <w:lang w:val="en-US" w:eastAsia="zh-CN"/>
        </w:rPr>
        <w:t>PMI</w:t>
      </w:r>
      <w:r>
        <w:rPr>
          <w:rFonts w:hint="eastAsia" w:ascii="Times New Roman" w:hAnsi="Times New Roman" w:eastAsia="方正楷体_GBK" w:cs="Times New Roman"/>
          <w:spacing w:val="-11"/>
          <w:sz w:val="32"/>
          <w:szCs w:val="32"/>
          <w:lang w:val="en-US" w:eastAsia="zh-CN"/>
        </w:rPr>
        <w:t>“</w:t>
      </w:r>
      <w:r>
        <w:rPr>
          <w:rFonts w:hint="default" w:ascii="Times New Roman" w:hAnsi="Times New Roman" w:eastAsia="方正楷体_GBK" w:cs="Times New Roman"/>
          <w:spacing w:val="-11"/>
          <w:sz w:val="32"/>
          <w:szCs w:val="32"/>
          <w:lang w:val="en-US" w:eastAsia="zh-CN"/>
        </w:rPr>
        <w:t>初值</w:t>
      </w:r>
      <w:r>
        <w:rPr>
          <w:rFonts w:hint="eastAsia" w:ascii="Times New Roman" w:hAnsi="Times New Roman" w:eastAsia="方正楷体_GBK" w:cs="Times New Roman"/>
          <w:spacing w:val="-11"/>
          <w:sz w:val="32"/>
          <w:szCs w:val="32"/>
          <w:lang w:val="en-US" w:eastAsia="zh-CN"/>
        </w:rPr>
        <w:t>”</w:t>
      </w:r>
      <w:r>
        <w:rPr>
          <w:rFonts w:hint="default" w:ascii="Times New Roman" w:hAnsi="Times New Roman" w:eastAsia="方正楷体_GBK" w:cs="Times New Roman"/>
          <w:spacing w:val="-11"/>
          <w:sz w:val="32"/>
          <w:szCs w:val="32"/>
          <w:lang w:val="en-US" w:eastAsia="zh-CN"/>
        </w:rPr>
        <w:t>可以被视为一种经济指标的预测值，是在每个月的调查期间收集并发布的第一个数据点；之后，还会发布经修正的实际值。</w:t>
      </w:r>
    </w:p>
    <w:p>
      <w:pPr>
        <w:keepNext w:val="0"/>
        <w:keepLines w:val="0"/>
        <w:pageBreakBefore w:val="0"/>
        <w:widowControl w:val="0"/>
        <w:kinsoku/>
        <w:wordWrap/>
        <w:overflowPunct/>
        <w:topLinePunct w:val="0"/>
        <w:autoSpaceDE/>
        <w:autoSpaceDN/>
        <w:bidi w:val="0"/>
        <w:adjustRightInd/>
        <w:snapToGrid/>
        <w:spacing w:line="490" w:lineRule="exact"/>
        <w:ind w:firstLine="608"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方正楷体_GBK" w:cs="Times New Roman"/>
          <w:sz w:val="32"/>
          <w:szCs w:val="32"/>
          <w:lang w:val="en-US" w:eastAsia="zh-CN"/>
        </w:rPr>
        <w:t>IHS Markit是一家全球领先的经济数据和信息提供商，负责编制并发布各个国家和地区的 PMI数据。欧洲央行直接使用IHS Markit 提供的数据</w:t>
      </w:r>
      <w:r>
        <w:rPr>
          <w:rFonts w:hint="eastAsia" w:ascii="Times New Roman" w:hAnsi="Times New Roman" w:eastAsia="方正楷体_GBK" w:cs="Times New Roman"/>
          <w:sz w:val="32"/>
          <w:szCs w:val="32"/>
          <w:lang w:val="en-US" w:eastAsia="zh-CN"/>
        </w:rPr>
        <w:t>，</w:t>
      </w:r>
      <w:r>
        <w:rPr>
          <w:rFonts w:hint="default" w:ascii="Times New Roman" w:hAnsi="Times New Roman" w:eastAsia="方正楷体_GBK" w:cs="Times New Roman"/>
          <w:sz w:val="32"/>
          <w:szCs w:val="32"/>
          <w:u w:val="none"/>
          <w:lang w:val="en-US" w:eastAsia="zh-CN"/>
        </w:rPr>
        <w:t>用于</w:t>
      </w:r>
      <w:r>
        <w:rPr>
          <w:rFonts w:hint="default" w:ascii="Times New Roman" w:hAnsi="Times New Roman" w:eastAsia="方正楷体_GBK" w:cs="Times New Roman"/>
          <w:sz w:val="32"/>
          <w:szCs w:val="32"/>
          <w:lang w:val="en-US" w:eastAsia="zh-CN"/>
        </w:rPr>
        <w:t>宏观经济分析和政策制定。</w:t>
      </w:r>
      <w:r>
        <w:rPr>
          <w:rFonts w:hint="default" w:ascii="Times New Roman" w:hAnsi="Times New Roman" w:eastAsia="仿宋_GB2312" w:cs="Times New Roman"/>
          <w:sz w:val="32"/>
          <w:szCs w:val="32"/>
          <w:lang w:val="en-US" w:eastAsia="zh-CN"/>
        </w:rPr>
        <w:t>）</w:t>
      </w:r>
    </w:p>
    <w:p>
      <w:pPr>
        <w:ind w:left="0" w:leftChars="0" w:firstLine="0" w:firstLineChars="0"/>
        <w:jc w:val="right"/>
        <w:rPr>
          <w:rFonts w:hint="default" w:ascii="Times New Roman" w:hAnsi="Times New Roman" w:eastAsia="宋体" w:cs="Times New Roman"/>
          <w:b/>
          <w:bCs/>
          <w:color w:val="0000FF"/>
          <w:sz w:val="32"/>
          <w:szCs w:val="32"/>
          <w:highlight w:val="yellow"/>
          <w:lang w:val="en-US" w:eastAsia="zh-CN"/>
        </w:rPr>
      </w:pPr>
      <w:r>
        <w:rPr>
          <w:rFonts w:hint="default" w:ascii="方正小标宋_GBK" w:hAnsi="方正小标宋_GBK" w:eastAsia="方正小标宋_GBK" w:cs="方正小标宋_GBK"/>
          <w:b/>
          <w:bCs/>
          <w:color w:val="FF0000"/>
          <w:sz w:val="32"/>
          <w:szCs w:val="40"/>
          <w:highlight w:val="yellow"/>
          <w:lang w:val="en-US" w:eastAsia="zh-CN"/>
        </w:rPr>
        <w:t>1月26日</w:t>
      </w:r>
      <w:r>
        <w:rPr>
          <w:rFonts w:hint="default" w:ascii="方正魏碑简体" w:hAnsi="方正魏碑简体" w:eastAsia="方正魏碑简体" w:cs="方正魏碑简体"/>
          <w:b/>
          <w:bCs/>
          <w:color w:val="0000FF"/>
          <w:sz w:val="32"/>
          <w:szCs w:val="40"/>
          <w:highlight w:val="yellow"/>
          <w:lang w:val="en-US" w:eastAsia="zh-CN"/>
        </w:rPr>
        <w:t>（周</w:t>
      </w:r>
      <w:r>
        <w:rPr>
          <w:rFonts w:hint="eastAsia" w:ascii="方正魏碑简体" w:hAnsi="方正魏碑简体" w:eastAsia="方正魏碑简体" w:cs="方正魏碑简体"/>
          <w:b/>
          <w:bCs/>
          <w:color w:val="0000FF"/>
          <w:sz w:val="32"/>
          <w:szCs w:val="40"/>
          <w:highlight w:val="yellow"/>
          <w:lang w:val="en-US" w:eastAsia="zh-CN"/>
        </w:rPr>
        <w:t>五</w:t>
      </w:r>
      <w:r>
        <w:rPr>
          <w:rFonts w:hint="default" w:ascii="方正魏碑简体" w:hAnsi="方正魏碑简体" w:eastAsia="方正魏碑简体" w:cs="方正魏碑简体"/>
          <w:b/>
          <w:bCs/>
          <w:color w:val="0000FF"/>
          <w:sz w:val="32"/>
          <w:szCs w:val="40"/>
          <w:highlight w:val="yellow"/>
          <w:lang w:val="en-US" w:eastAsia="zh-CN"/>
        </w:rPr>
        <w:t>）</w:t>
      </w:r>
    </w:p>
    <w:p>
      <w:pPr>
        <w:ind w:left="0" w:leftChars="0" w:firstLine="0" w:firstLineChars="0"/>
        <w:jc w:val="center"/>
        <w:rPr>
          <w:rFonts w:hint="eastAsia"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美国增长强劲，德国衰退持续</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1月25日，美国经济分析局公布，2023年第四季度美国实际GDP环比增长3.3%，大大高于华尔街预期的2%。此外，第四季度</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个人消费支出</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（PCE）物价指数年化环比2.8%，核心PCE年化环比2%。</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rPr>
        <w:drawing>
          <wp:inline distT="0" distB="0" distL="114300" distR="114300">
            <wp:extent cx="4679315" cy="3384550"/>
            <wp:effectExtent l="0" t="0" r="6985" b="6350"/>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18"/>
                    <a:stretch>
                      <a:fillRect/>
                    </a:stretch>
                  </pic:blipFill>
                  <pic:spPr>
                    <a:xfrm>
                      <a:off x="0" y="0"/>
                      <a:ext cx="4679315" cy="338455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同日，美国人口调查局发布，12月新屋销售数为66.4万户，环比增长8%，高于预期。以上数据表明，去年第四季度美国经济强劲增长、通胀下降（见图）。</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另外，美国劳工部统计局发布，上周</w:t>
      </w:r>
      <w:r>
        <w:rPr>
          <w:rFonts w:hint="eastAsia" w:ascii="Times New Roman" w:hAnsi="Times New Roman" w:cs="Times New Roman"/>
          <w:sz w:val="32"/>
          <w:szCs w:val="32"/>
          <w:lang w:val="en-US" w:eastAsia="zh-CN"/>
        </w:rPr>
        <w:t>初</w:t>
      </w:r>
      <w:r>
        <w:rPr>
          <w:rFonts w:hint="default" w:ascii="Times New Roman" w:hAnsi="Times New Roman" w:cs="Times New Roman"/>
          <w:sz w:val="32"/>
          <w:szCs w:val="32"/>
          <w:lang w:val="en-US" w:eastAsia="zh-CN"/>
        </w:rPr>
        <w:t>请失业金人数意外增长到21.4万人，续请失业金人数183.3万</w:t>
      </w:r>
      <w:r>
        <w:rPr>
          <w:rFonts w:hint="eastAsia" w:ascii="Times New Roman" w:hAnsi="Times New Roman" w:cs="Times New Roman"/>
          <w:sz w:val="32"/>
          <w:szCs w:val="32"/>
          <w:lang w:val="en-US" w:eastAsia="zh-CN"/>
        </w:rPr>
        <w:t>人</w:t>
      </w:r>
      <w:r>
        <w:rPr>
          <w:rFonts w:hint="default" w:ascii="Times New Roman" w:hAnsi="Times New Roman" w:cs="Times New Roman"/>
          <w:sz w:val="32"/>
          <w:szCs w:val="32"/>
          <w:lang w:val="en-US" w:eastAsia="zh-CN"/>
        </w:rPr>
        <w:t>，这两项数据均高于预期，侧面反映经济未来有放缓的可能，增加了市场对3月降息的押注。</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欧洲央行公布利率会议决议，保持基准利率不变，并暗示尚未考虑宽松货币。</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德国的</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Ifo商业气候指数</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从2023年12月的86.3跌落至</w:t>
      </w:r>
      <w:r>
        <w:rPr>
          <w:rFonts w:hint="eastAsia" w:ascii="Times New Roman" w:hAnsi="Times New Roman" w:cs="Times New Roman"/>
          <w:sz w:val="32"/>
          <w:szCs w:val="32"/>
          <w:lang w:val="en-US" w:eastAsia="zh-CN"/>
        </w:rPr>
        <w:t>今年</w:t>
      </w:r>
      <w:r>
        <w:rPr>
          <w:rFonts w:hint="default" w:ascii="Times New Roman" w:hAnsi="Times New Roman" w:cs="Times New Roman"/>
          <w:sz w:val="32"/>
          <w:szCs w:val="32"/>
          <w:lang w:val="en-US" w:eastAsia="zh-CN"/>
        </w:rPr>
        <w:t>1月的85.2，这是自2022年10月以来的最低读数。表明德国企业对当前和未来经济环境的信心下降。德国作为欧洲最大经济体，2023年度出现了萎缩；由于面临高利率和能源价格等多重不利因素，一些经济学家预计2024年德国经济可能仍然萎缩。</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rPr>
        <w:drawing>
          <wp:inline distT="0" distB="0" distL="114300" distR="114300">
            <wp:extent cx="4221480" cy="2488565"/>
            <wp:effectExtent l="0" t="0" r="7620" b="6985"/>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19"/>
                    <a:stretch>
                      <a:fillRect/>
                    </a:stretch>
                  </pic:blipFill>
                  <pic:spPr>
                    <a:xfrm>
                      <a:off x="0" y="0"/>
                      <a:ext cx="4221480" cy="248856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00" w:lineRule="exact"/>
        <w:ind w:firstLine="608" w:firstLineChars="200"/>
        <w:jc w:val="left"/>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仿宋_GB2312" w:cs="Times New Roman"/>
          <w:sz w:val="32"/>
          <w:szCs w:val="32"/>
          <w:lang w:val="en-US" w:eastAsia="zh-CN"/>
        </w:rPr>
        <w:t>（</w:t>
      </w:r>
      <w:r>
        <w:rPr>
          <w:rFonts w:hint="eastAsia" w:ascii="方正黑体_GBK" w:hAnsi="方正黑体_GBK" w:eastAsia="方正黑体_GBK" w:cs="方正黑体_GBK"/>
          <w:sz w:val="32"/>
          <w:szCs w:val="32"/>
          <w:lang w:val="en-US" w:eastAsia="zh-CN"/>
        </w:rPr>
        <w:t>注：</w:t>
      </w:r>
      <w:r>
        <w:rPr>
          <w:rFonts w:hint="eastAsia" w:ascii="Times New Roman" w:hAnsi="Times New Roman" w:eastAsia="方正楷体_GBK" w:cs="Times New Roman"/>
          <w:sz w:val="32"/>
          <w:szCs w:val="32"/>
          <w:lang w:val="en-US" w:eastAsia="zh-CN"/>
        </w:rPr>
        <w:t>“</w:t>
      </w:r>
      <w:r>
        <w:rPr>
          <w:rFonts w:hint="default" w:ascii="Times New Roman" w:hAnsi="Times New Roman" w:eastAsia="方正楷体_GBK" w:cs="Times New Roman"/>
          <w:sz w:val="32"/>
          <w:szCs w:val="32"/>
          <w:lang w:val="en-US" w:eastAsia="zh-CN"/>
        </w:rPr>
        <w:t>Ifo商业气候指数，Ifo Business Climate Index</w:t>
      </w:r>
      <w:r>
        <w:rPr>
          <w:rFonts w:hint="eastAsia" w:ascii="Times New Roman" w:hAnsi="Times New Roman" w:eastAsia="方正楷体_GBK" w:cs="Times New Roman"/>
          <w:sz w:val="32"/>
          <w:szCs w:val="32"/>
          <w:lang w:val="en-US" w:eastAsia="zh-CN"/>
        </w:rPr>
        <w:t>”</w:t>
      </w:r>
      <w:r>
        <w:rPr>
          <w:rFonts w:hint="default" w:ascii="Times New Roman" w:hAnsi="Times New Roman" w:eastAsia="方正楷体_GBK" w:cs="Times New Roman"/>
          <w:sz w:val="32"/>
          <w:szCs w:val="32"/>
          <w:lang w:val="en-US" w:eastAsia="zh-CN"/>
        </w:rPr>
        <w:t>，是</w:t>
      </w:r>
      <w:r>
        <w:rPr>
          <w:rFonts w:hint="eastAsia" w:ascii="Times New Roman" w:hAnsi="Times New Roman" w:eastAsia="方正楷体_GBK" w:cs="Times New Roman"/>
          <w:sz w:val="32"/>
          <w:szCs w:val="32"/>
          <w:lang w:val="en-US" w:eastAsia="zh-CN"/>
        </w:rPr>
        <w:t>“</w:t>
      </w:r>
      <w:r>
        <w:rPr>
          <w:rFonts w:hint="default" w:ascii="Times New Roman" w:hAnsi="Times New Roman" w:eastAsia="方正楷体_GBK" w:cs="Times New Roman"/>
          <w:sz w:val="32"/>
          <w:szCs w:val="32"/>
          <w:lang w:val="en-US" w:eastAsia="zh-CN"/>
        </w:rPr>
        <w:t>德国经济研究</w:t>
      </w:r>
      <w:r>
        <w:rPr>
          <w:rFonts w:hint="eastAsia" w:ascii="Times New Roman" w:hAnsi="Times New Roman" w:eastAsia="方正楷体_GBK" w:cs="Times New Roman"/>
          <w:sz w:val="32"/>
          <w:szCs w:val="32"/>
          <w:lang w:val="en-US" w:eastAsia="zh-CN"/>
        </w:rPr>
        <w:t>所</w:t>
      </w:r>
      <w:r>
        <w:rPr>
          <w:rFonts w:hint="default" w:ascii="Times New Roman" w:hAnsi="Times New Roman" w:eastAsia="方正楷体_GBK" w:cs="Times New Roman"/>
          <w:sz w:val="32"/>
          <w:szCs w:val="32"/>
          <w:lang w:val="en-US" w:eastAsia="zh-CN"/>
        </w:rPr>
        <w:t>Ifo Institute</w:t>
      </w:r>
      <w:r>
        <w:rPr>
          <w:rFonts w:hint="eastAsia" w:ascii="Times New Roman" w:hAnsi="Times New Roman" w:eastAsia="方正楷体_GBK" w:cs="Times New Roman"/>
          <w:sz w:val="32"/>
          <w:szCs w:val="32"/>
          <w:lang w:val="en-US" w:eastAsia="zh-CN"/>
        </w:rPr>
        <w:t>”</w:t>
      </w:r>
      <w:r>
        <w:rPr>
          <w:rFonts w:hint="default" w:ascii="Times New Roman" w:hAnsi="Times New Roman" w:eastAsia="方正楷体_GBK" w:cs="Times New Roman"/>
          <w:sz w:val="32"/>
          <w:szCs w:val="32"/>
          <w:lang w:val="en-US" w:eastAsia="zh-CN"/>
        </w:rPr>
        <w:t>发布的一项重要经济指标，用于衡量德国企业对当前和未来经济环境的评估和预期。</w:t>
      </w:r>
    </w:p>
    <w:p>
      <w:pPr>
        <w:keepNext w:val="0"/>
        <w:keepLines w:val="0"/>
        <w:pageBreakBefore w:val="0"/>
        <w:widowControl w:val="0"/>
        <w:kinsoku/>
        <w:wordWrap/>
        <w:overflowPunct/>
        <w:topLinePunct w:val="0"/>
        <w:autoSpaceDE/>
        <w:autoSpaceDN/>
        <w:bidi w:val="0"/>
        <w:adjustRightInd/>
        <w:snapToGrid/>
        <w:spacing w:line="500" w:lineRule="exact"/>
        <w:ind w:firstLine="608" w:firstLineChars="200"/>
        <w:jc w:val="left"/>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该指数以调查德国企业的经理和高级主管为基础，每月收集他们对当前经济状况和未来六个月的预期的数据。调查内容涵盖了企业的销售状况、订单状况、库存情况和商业投资计划等。</w:t>
      </w:r>
    </w:p>
    <w:p>
      <w:pPr>
        <w:keepNext w:val="0"/>
        <w:keepLines w:val="0"/>
        <w:pageBreakBefore w:val="0"/>
        <w:widowControl w:val="0"/>
        <w:kinsoku/>
        <w:wordWrap/>
        <w:overflowPunct/>
        <w:topLinePunct w:val="0"/>
        <w:autoSpaceDE/>
        <w:autoSpaceDN/>
        <w:bidi w:val="0"/>
        <w:adjustRightInd/>
        <w:snapToGrid/>
        <w:spacing w:line="500" w:lineRule="exact"/>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eastAsia="方正楷体_GBK" w:cs="Times New Roman"/>
          <w:sz w:val="32"/>
          <w:szCs w:val="32"/>
          <w:lang w:val="en-US" w:eastAsia="zh-CN"/>
        </w:rPr>
        <w:t>其计算方式是通过对调查数据进行加权平均得出的。指数的基准值为100，数值高于100表示企业对经济环境持乐观态度，数值低于100表示企业对经济环境持悲观态度。</w:t>
      </w:r>
      <w:r>
        <w:rPr>
          <w:rFonts w:hint="default" w:ascii="Times New Roman" w:hAnsi="Times New Roman" w:eastAsia="仿宋_GB2312" w:cs="Times New Roman"/>
          <w:sz w:val="32"/>
          <w:szCs w:val="32"/>
          <w:lang w:val="en-US" w:eastAsia="zh-CN"/>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keepNext w:val="0"/>
        <w:keepLines w:val="0"/>
        <w:pageBreakBefore w:val="0"/>
        <w:widowControl/>
        <w:shd w:val="clear" w:color="auto" w:fill="FFFFFF"/>
        <w:kinsoku/>
        <w:wordWrap/>
        <w:overflowPunct/>
        <w:topLinePunct w:val="0"/>
        <w:autoSpaceDE/>
        <w:autoSpaceDN/>
        <w:bidi w:val="0"/>
        <w:adjustRightInd/>
        <w:snapToGrid/>
        <w:spacing w:after="210" w:line="370" w:lineRule="exact"/>
        <w:contextualSpacing/>
        <w:jc w:val="center"/>
        <w:textAlignment w:val="auto"/>
        <w:outlineLvl w:val="1"/>
        <w:rPr>
          <w:rFonts w:hint="default" w:ascii="Times New Roman" w:hAnsi="Times New Roman" w:eastAsia="经典行楷简" w:cs="Times New Roman"/>
          <w:color w:val="2E75B6" w:themeColor="accent1" w:themeShade="BF"/>
          <w:spacing w:val="-11"/>
          <w:sz w:val="52"/>
          <w:szCs w:val="5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color w:val="2E75B6" w:themeColor="accent1" w:themeShade="BF"/>
          <w:spacing w:val="0"/>
          <w:sz w:val="52"/>
          <w:szCs w:val="52"/>
          <w:lang w:val="en-US" w:eastAsia="zh-CN"/>
        </w:rPr>
      </w:pPr>
      <w:r>
        <w:rPr>
          <w:rFonts w:hint="default" w:ascii="Times New Roman" w:hAnsi="Times New Roman" w:eastAsia="经典行楷简" w:cs="Times New Roman"/>
          <w:color w:val="2E75B6" w:themeColor="accent1" w:themeShade="BF"/>
          <w:spacing w:val="0"/>
          <w:sz w:val="52"/>
          <w:szCs w:val="52"/>
          <w:lang w:val="en-US" w:eastAsia="zh-CN"/>
        </w:rPr>
        <w:t>王善华会长带队走访部分副会长单位</w:t>
      </w:r>
    </w:p>
    <w:p>
      <w:pPr>
        <w:keepNext w:val="0"/>
        <w:keepLines w:val="0"/>
        <w:pageBreakBefore w:val="0"/>
        <w:widowControl/>
        <w:shd w:val="clear" w:color="auto" w:fill="FFFFFF"/>
        <w:kinsoku/>
        <w:wordWrap/>
        <w:overflowPunct/>
        <w:topLinePunct w:val="0"/>
        <w:autoSpaceDE/>
        <w:autoSpaceDN/>
        <w:bidi w:val="0"/>
        <w:adjustRightInd/>
        <w:snapToGrid/>
        <w:spacing w:after="210" w:line="560" w:lineRule="exact"/>
        <w:ind w:firstLine="608" w:firstLineChars="200"/>
        <w:contextualSpacing/>
        <w:jc w:val="left"/>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1月18—23日，我会会长王善华、副会长丛苏峰带队赴江苏省苏豪控股集团有限公司、江苏银行股份有限公司、苏美达股份有限公司等省国际商会副会长单位走访交流。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drawing>
          <wp:inline distT="0" distB="0" distL="114300" distR="114300">
            <wp:extent cx="3199765" cy="1981835"/>
            <wp:effectExtent l="0" t="0" r="635" b="18415"/>
            <wp:docPr id="16" name="图片 1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
                    <pic:cNvPicPr>
                      <a:picLocks noChangeAspect="1"/>
                    </pic:cNvPicPr>
                  </pic:nvPicPr>
                  <pic:blipFill>
                    <a:blip r:embed="rId20"/>
                    <a:stretch>
                      <a:fillRect/>
                    </a:stretch>
                  </pic:blipFill>
                  <pic:spPr>
                    <a:xfrm>
                      <a:off x="0" y="0"/>
                      <a:ext cx="3199765" cy="1981835"/>
                    </a:xfrm>
                    <a:prstGeom prst="rect">
                      <a:avLst/>
                    </a:prstGeom>
                  </pic:spPr>
                </pic:pic>
              </a:graphicData>
            </a:graphic>
          </wp:inline>
        </w:drawing>
      </w:r>
    </w:p>
    <w:p>
      <w:pPr>
        <w:keepNext w:val="0"/>
        <w:keepLines w:val="0"/>
        <w:pageBreakBefore w:val="0"/>
        <w:widowControl/>
        <w:shd w:val="clear" w:color="auto" w:fill="FFFFFF"/>
        <w:kinsoku/>
        <w:wordWrap/>
        <w:overflowPunct/>
        <w:topLinePunct w:val="0"/>
        <w:autoSpaceDE/>
        <w:autoSpaceDN/>
        <w:bidi w:val="0"/>
        <w:adjustRightInd/>
        <w:snapToGrid/>
        <w:spacing w:after="210" w:line="560" w:lineRule="exact"/>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在苏豪控股集团，王善华一行参观了苏豪品牌中心，深入了解公司发展历程和贸易业务情况。集团总裁陈述详细介绍苏豪控股集团重组整合后的工作成果和新一年的工作重点，希望省贸促会（国际商会）在服务全球贸易、拓展海外市场等方面给予更多支持和帮助，助力新苏豪建设成为世界一流企业。王善华表示，省贸促会（国际商会）与苏豪控股集团有着广泛深入的合作，未来将一如既往地发挥贸易投资促进、商事法律服务等方面作用，为企业提供更加专业、精准的信息和定制化服务。丛苏峰介绍了我会国际联络渠道优势，表示将提供更多经贸交流的机会，助力企业国际化发展。</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drawing>
          <wp:inline distT="0" distB="0" distL="114300" distR="114300">
            <wp:extent cx="3070225" cy="2039620"/>
            <wp:effectExtent l="0" t="0" r="15875" b="17780"/>
            <wp:docPr id="15" name="图片 1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2"/>
                    <pic:cNvPicPr>
                      <a:picLocks noChangeAspect="1"/>
                    </pic:cNvPicPr>
                  </pic:nvPicPr>
                  <pic:blipFill>
                    <a:blip r:embed="rId21"/>
                    <a:stretch>
                      <a:fillRect/>
                    </a:stretch>
                  </pic:blipFill>
                  <pic:spPr>
                    <a:xfrm>
                      <a:off x="0" y="0"/>
                      <a:ext cx="3070225" cy="2039620"/>
                    </a:xfrm>
                    <a:prstGeom prst="rect">
                      <a:avLst/>
                    </a:prstGeom>
                  </pic:spPr>
                </pic:pic>
              </a:graphicData>
            </a:graphic>
          </wp:inline>
        </w:drawing>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在江苏银行，董事长、行长葛仁余介绍了银行业务版块及发展现状，希望在跨境电商服务等国际业务方面加强合作，推动建设</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智慧化、特色化、国际化、综合化</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的银行服务。王善华表示，省贸促会（国际商会）将充分发挥我省贸易投资促进的主渠道作用，加强与江苏银行合作，针对企业需求和相关金融产品，举办定制化经贸活动，共同服务我省广大外经贸企业。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drawing>
          <wp:inline distT="0" distB="0" distL="114300" distR="114300">
            <wp:extent cx="3105785" cy="2039620"/>
            <wp:effectExtent l="0" t="0" r="18415" b="17780"/>
            <wp:docPr id="14" name="图片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
                    <pic:cNvPicPr>
                      <a:picLocks noChangeAspect="1"/>
                    </pic:cNvPicPr>
                  </pic:nvPicPr>
                  <pic:blipFill>
                    <a:blip r:embed="rId22"/>
                    <a:stretch>
                      <a:fillRect/>
                    </a:stretch>
                  </pic:blipFill>
                  <pic:spPr>
                    <a:xfrm>
                      <a:off x="0" y="0"/>
                      <a:ext cx="3105785" cy="2039620"/>
                    </a:xfrm>
                    <a:prstGeom prst="rect">
                      <a:avLst/>
                    </a:prstGeom>
                  </pic:spPr>
                </pic:pic>
              </a:graphicData>
            </a:graphic>
          </wp:inline>
        </w:drawing>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在苏美达股份有限公司，总经理赵维林介绍了近两年经营发展情况，希望与省贸促会（国际商会）围绕</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一带一路</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走出去和国际商事法律开展合作，帮助企业提高对外贸易投资风险防范能力。</w:t>
      </w:r>
      <w:r>
        <w:rPr>
          <w:rFonts w:hint="default" w:ascii="Times New Roman" w:hAnsi="Times New Roman" w:cs="Times New Roman" w:eastAsiaTheme="minorEastAsia"/>
          <w:color w:val="auto"/>
          <w:spacing w:val="6"/>
          <w:sz w:val="32"/>
          <w:szCs w:val="32"/>
          <w:lang w:val="en-US" w:eastAsia="zh-CN"/>
        </w:rPr>
        <w:t>王善华提议，双方可围绕发挥省贸促会重大经贸活动平台作用，</w:t>
      </w:r>
      <w:r>
        <w:rPr>
          <w:rFonts w:hint="default" w:ascii="Times New Roman" w:hAnsi="Times New Roman" w:cs="Times New Roman" w:eastAsiaTheme="minorEastAsia"/>
          <w:color w:val="auto"/>
          <w:spacing w:val="0"/>
          <w:sz w:val="32"/>
          <w:szCs w:val="32"/>
          <w:lang w:val="en-US" w:eastAsia="zh-CN"/>
        </w:rPr>
        <w:t>加强在外贸新业态新模式、国际商事法律与合规建设、RCEP及原产地规则运用、公平贸易等方面的紧密合作，着力深耕</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一带一路</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中亚地区双边投资贸易，为企业提供更加精准的定制化服务，助力苏美达开拓全球海外市场。丛苏峰结合我会丰富的海外联络渠道，着重从企业国际化经营和优势产业链强链延链补链等方面开展交流，希望帮助企业延伸产业链，形成价值链，放大示范效应。</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168" w:firstLineChars="1700"/>
        <w:contextualSpacing/>
        <w:jc w:val="both"/>
        <w:textAlignment w:val="auto"/>
        <w:outlineLvl w:val="1"/>
        <w:rPr>
          <w:rFonts w:hint="eastAsia" w:ascii="方正楷体_GBK" w:hAnsi="方正楷体_GBK" w:eastAsia="方正楷体_GBK" w:cs="方正楷体_GBK"/>
          <w:b/>
          <w:bCs/>
          <w:color w:val="FF0000"/>
          <w:spacing w:val="0"/>
          <w:sz w:val="32"/>
          <w:szCs w:val="32"/>
          <w:lang w:val="en-US" w:eastAsia="zh-CN"/>
        </w:rPr>
      </w:pPr>
      <w:r>
        <w:rPr>
          <w:rFonts w:hint="eastAsia" w:ascii="方正楷体_GBK" w:hAnsi="方正楷体_GBK" w:eastAsia="方正楷体_GBK" w:cs="方正楷体_GBK"/>
          <w:b/>
          <w:bCs/>
          <w:color w:val="FF0000"/>
          <w:spacing w:val="0"/>
          <w:sz w:val="32"/>
          <w:szCs w:val="32"/>
          <w:lang w:val="en-US" w:eastAsia="zh-CN"/>
        </w:rPr>
        <w:t>（国际商会秘书处）</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color w:val="2E75B6" w:themeColor="accent1" w:themeShade="BF"/>
          <w:spacing w:val="-11"/>
          <w:sz w:val="52"/>
          <w:szCs w:val="5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color w:val="2E75B6" w:themeColor="accent1" w:themeShade="BF"/>
          <w:spacing w:val="-11"/>
          <w:sz w:val="52"/>
          <w:szCs w:val="52"/>
          <w:lang w:val="en-US" w:eastAsia="zh-CN"/>
        </w:rPr>
      </w:pPr>
      <w:r>
        <w:rPr>
          <w:rFonts w:hint="default" w:ascii="Times New Roman" w:hAnsi="Times New Roman" w:eastAsia="经典行楷简" w:cs="Times New Roman"/>
          <w:color w:val="2E75B6" w:themeColor="accent1" w:themeShade="BF"/>
          <w:spacing w:val="-11"/>
          <w:sz w:val="52"/>
          <w:szCs w:val="52"/>
          <w:lang w:val="en-US" w:eastAsia="zh-CN"/>
        </w:rPr>
        <w:t>丛苏峰副会长出席丝路联盟企业座谈会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1月24日下午，由丝路国际产能合作促进中心主办的丝路联盟企业座谈会在南京举办，丛苏峰副会长应邀出席，丝路国际产能合作促进中心谢阳军做总结发言。</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来自政府部门，以及新能源、环保、交通物流、建筑工程等领域的央国企和民营企业的50多名代表参加座谈会，围绕新一年发展规划、重大项目计划、合作需求等进行交流，共同促进企业抱团出海，高质量参与</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一带一路</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建设。</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2024年，省贸促会将全面落实习近平总书记在第三届</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一带一路</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国际合作高峰论坛上的重要讲话精神，深入参与</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一带一路</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交汇点建设，为经济稳增长和开放发展注入新动能、做出新贡献。</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776" w:firstLineChars="1900"/>
        <w:contextualSpacing/>
        <w:jc w:val="both"/>
        <w:textAlignment w:val="auto"/>
        <w:outlineLvl w:val="1"/>
        <w:rPr>
          <w:rFonts w:hint="eastAsia" w:ascii="方正楷体_GBK" w:hAnsi="方正楷体_GBK" w:eastAsia="方正楷体_GBK" w:cs="方正楷体_GBK"/>
          <w:b/>
          <w:bCs/>
          <w:color w:val="FF0000"/>
          <w:spacing w:val="0"/>
          <w:sz w:val="32"/>
          <w:szCs w:val="32"/>
          <w:lang w:val="en-US" w:eastAsia="zh-CN"/>
        </w:rPr>
      </w:pPr>
      <w:r>
        <w:rPr>
          <w:rFonts w:hint="eastAsia" w:ascii="方正楷体_GBK" w:hAnsi="方正楷体_GBK" w:eastAsia="方正楷体_GBK" w:cs="方正楷体_GBK"/>
          <w:b/>
          <w:bCs/>
          <w:color w:val="FF0000"/>
          <w:spacing w:val="0"/>
          <w:sz w:val="32"/>
          <w:szCs w:val="32"/>
          <w:lang w:val="en-US" w:eastAsia="zh-CN"/>
        </w:rPr>
        <w:t>（国际联络部）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color w:val="2E75B6" w:themeColor="accent1" w:themeShade="BF"/>
          <w:spacing w:val="0"/>
          <w:sz w:val="52"/>
          <w:szCs w:val="52"/>
          <w:lang w:val="en-US" w:eastAsia="zh-CN"/>
        </w:rPr>
      </w:pPr>
      <w:r>
        <w:rPr>
          <w:rFonts w:hint="default" w:ascii="Times New Roman" w:hAnsi="Times New Roman" w:eastAsia="经典行楷简" w:cs="Times New Roman"/>
          <w:color w:val="2E75B6" w:themeColor="accent1" w:themeShade="BF"/>
          <w:spacing w:val="0"/>
          <w:sz w:val="52"/>
          <w:szCs w:val="52"/>
          <w:lang w:val="en-US" w:eastAsia="zh-CN"/>
        </w:rPr>
        <w:t>无锡市贸促会为五家</w:t>
      </w:r>
      <w:r>
        <w:rPr>
          <w:rFonts w:hint="eastAsia" w:ascii="Times New Roman" w:hAnsi="Times New Roman" w:eastAsia="经典行楷简" w:cs="Times New Roman"/>
          <w:color w:val="2E75B6" w:themeColor="accent1" w:themeShade="BF"/>
          <w:spacing w:val="0"/>
          <w:sz w:val="52"/>
          <w:szCs w:val="52"/>
          <w:lang w:val="en-US" w:eastAsia="zh-CN"/>
        </w:rPr>
        <w:t>“</w:t>
      </w:r>
      <w:r>
        <w:rPr>
          <w:rFonts w:hint="default" w:ascii="Times New Roman" w:hAnsi="Times New Roman" w:eastAsia="经典行楷简" w:cs="Times New Roman"/>
          <w:color w:val="2E75B6" w:themeColor="accent1" w:themeShade="BF"/>
          <w:spacing w:val="0"/>
          <w:sz w:val="52"/>
          <w:szCs w:val="52"/>
          <w:lang w:val="en-US" w:eastAsia="zh-CN"/>
        </w:rPr>
        <w:t>会员之家</w:t>
      </w:r>
      <w:r>
        <w:rPr>
          <w:rFonts w:hint="eastAsia" w:ascii="Times New Roman" w:hAnsi="Times New Roman" w:eastAsia="经典行楷简" w:cs="Times New Roman"/>
          <w:color w:val="2E75B6" w:themeColor="accent1" w:themeShade="BF"/>
          <w:spacing w:val="0"/>
          <w:sz w:val="52"/>
          <w:szCs w:val="52"/>
          <w:lang w:val="en-US" w:eastAsia="zh-CN"/>
        </w:rPr>
        <w:t>”</w:t>
      </w:r>
      <w:r>
        <w:rPr>
          <w:rFonts w:hint="default" w:ascii="Times New Roman" w:hAnsi="Times New Roman" w:eastAsia="经典行楷简" w:cs="Times New Roman"/>
          <w:color w:val="2E75B6" w:themeColor="accent1" w:themeShade="BF"/>
          <w:spacing w:val="0"/>
          <w:sz w:val="52"/>
          <w:szCs w:val="52"/>
          <w:lang w:val="en-US" w:eastAsia="zh-CN"/>
        </w:rPr>
        <w:t>授牌</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为更好地服务会员企业，激发国际商会的吸引力、影响力和凝聚力，</w:t>
      </w:r>
      <w:r>
        <w:rPr>
          <w:rFonts w:hint="default" w:ascii="Times New Roman" w:hAnsi="Times New Roman" w:cs="Times New Roman" w:eastAsiaTheme="minorEastAsia"/>
          <w:color w:val="auto"/>
          <w:spacing w:val="6"/>
          <w:sz w:val="32"/>
          <w:szCs w:val="32"/>
          <w:lang w:val="en-US" w:eastAsia="zh-CN"/>
        </w:rPr>
        <w:t>近日，无锡市贸促会（无锡国际商会）会长钱前和副会长</w:t>
      </w:r>
      <w:r>
        <w:rPr>
          <w:rFonts w:hint="default" w:ascii="Times New Roman" w:hAnsi="Times New Roman" w:cs="Times New Roman" w:eastAsiaTheme="minorEastAsia"/>
          <w:color w:val="auto"/>
          <w:spacing w:val="0"/>
          <w:sz w:val="32"/>
          <w:szCs w:val="32"/>
          <w:lang w:val="en-US" w:eastAsia="zh-CN"/>
        </w:rPr>
        <w:t>邹惠之带队走访了无锡古韵轩餐饮管理有限公司、西水东红八餐厅、红樽海鲜酒店、无锡市和子健康养生中心、无锡市拾柒号餐饮有限公司，就</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会员之家</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如何为会员企业提供更加优先、优质、优惠的个性化服务进行了深度交流，并为五家单位进行了授牌。</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会员之家</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是无锡国际商会扩展服务资源、提升服务水平创新拓展的服务项目，是以生活性服务助力生产性企业发展的模式探索，通过发挥服务型行业的资源优势和领域特长，为会员企业提供更加全面、专业、高效的服务，帮助会员企业解决难题，让会员企业有归属感获得感。</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会员之家</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还将通过组织各类商务沙龙活动，促进会员企业之间的互动和交流，增进彼此的了解和合作。</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截止目前，无锡市贸促会已为16家服务类型的企业公司授牌</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会员之家</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，服务内容涵盖景区、餐饮、金融、人力资源、数据安全等领域。</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sz w:val="32"/>
          <w:szCs w:val="32"/>
          <w:lang w:val="en-US" w:eastAsia="zh-CN"/>
        </w:rPr>
      </w:pPr>
      <w:r>
        <w:rPr>
          <w:rFonts w:hint="eastAsia" w:ascii="Times New Roman" w:hAnsi="Times New Roman" w:cs="Times New Roman"/>
          <w:color w:val="auto"/>
          <w:spacing w:val="0"/>
          <w:sz w:val="32"/>
          <w:szCs w:val="32"/>
          <w:lang w:val="en-US" w:eastAsia="zh-CN"/>
        </w:rPr>
        <w:t>下一步，</w:t>
      </w:r>
      <w:r>
        <w:rPr>
          <w:rFonts w:hint="default" w:ascii="Times New Roman" w:hAnsi="Times New Roman" w:cs="Times New Roman" w:eastAsiaTheme="minorEastAsia"/>
          <w:color w:val="auto"/>
          <w:spacing w:val="0"/>
          <w:sz w:val="32"/>
          <w:szCs w:val="32"/>
          <w:lang w:val="en-US" w:eastAsia="zh-CN"/>
        </w:rPr>
        <w:t>市贸促会将不断创新服务项目，扩展服务内容，提高服务质效，通过不断地集聚资源、挖掘资源、盘活资源，探索服务生态，创建品牌价值，擦亮</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会员之家</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品牌，努力让</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会员之家</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成为国际商会服务企业的金字招牌。</w:t>
      </w:r>
      <w:r>
        <w:rPr>
          <w:rFonts w:hint="default" w:ascii="Times New Roman" w:hAnsi="Times New Roman" w:cs="Times New Roman"/>
          <w:color w:val="auto"/>
          <w:spacing w:val="0"/>
          <w:sz w:val="32"/>
          <w:szCs w:val="32"/>
          <w:lang w:val="en-US" w:eastAsia="zh-CN"/>
        </w:rPr>
        <w:t xml:space="preserve">    </w:t>
      </w:r>
      <w:r>
        <w:rPr>
          <w:rFonts w:hint="eastAsia" w:ascii="方正楷体_GBK" w:hAnsi="方正楷体_GBK" w:eastAsia="方正楷体_GBK" w:cs="方正楷体_GBK"/>
          <w:b/>
          <w:bCs/>
          <w:color w:val="FF0000"/>
          <w:spacing w:val="0"/>
          <w:sz w:val="32"/>
          <w:szCs w:val="32"/>
          <w:lang w:val="en-US" w:eastAsia="zh-CN"/>
        </w:rPr>
        <w:t>（无锡市贸促会）</w:t>
      </w:r>
    </w:p>
    <w:p>
      <w:pPr>
        <w:keepNext w:val="0"/>
        <w:keepLines w:val="0"/>
        <w:pageBreakBefore w:val="0"/>
        <w:widowControl/>
        <w:shd w:val="clear" w:color="auto" w:fill="FFFFFF"/>
        <w:kinsoku/>
        <w:wordWrap/>
        <w:overflowPunct/>
        <w:topLinePunct w:val="0"/>
        <w:autoSpaceDE/>
        <w:autoSpaceDN/>
        <w:bidi w:val="0"/>
        <w:adjustRightInd/>
        <w:snapToGrid/>
        <w:spacing w:after="210" w:line="590" w:lineRule="exact"/>
        <w:contextualSpacing/>
        <w:jc w:val="center"/>
        <w:textAlignment w:val="auto"/>
        <w:outlineLvl w:val="1"/>
        <w:rPr>
          <w:rFonts w:hint="default" w:ascii="Times New Roman" w:hAnsi="Times New Roman" w:eastAsia="经典行楷简" w:cs="Times New Roman"/>
          <w:color w:val="2E75B6" w:themeColor="accent1" w:themeShade="BF"/>
          <w:spacing w:val="-11"/>
          <w:sz w:val="52"/>
          <w:szCs w:val="5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550" w:lineRule="exact"/>
        <w:contextualSpacing/>
        <w:jc w:val="center"/>
        <w:textAlignment w:val="auto"/>
        <w:outlineLvl w:val="1"/>
        <w:rPr>
          <w:rFonts w:hint="default" w:ascii="Times New Roman" w:hAnsi="Times New Roman" w:eastAsia="经典行楷简" w:cs="Times New Roman"/>
          <w:color w:val="2E75B6" w:themeColor="accent1" w:themeShade="BF"/>
          <w:spacing w:val="0"/>
          <w:sz w:val="52"/>
          <w:szCs w:val="52"/>
          <w:lang w:val="en-US" w:eastAsia="zh-CN"/>
        </w:rPr>
      </w:pPr>
      <w:r>
        <w:rPr>
          <w:rFonts w:hint="default" w:ascii="Times New Roman" w:hAnsi="Times New Roman" w:eastAsia="经典行楷简" w:cs="Times New Roman"/>
          <w:color w:val="2E75B6" w:themeColor="accent1" w:themeShade="BF"/>
          <w:spacing w:val="0"/>
          <w:sz w:val="52"/>
          <w:szCs w:val="52"/>
          <w:lang w:val="en-US" w:eastAsia="zh-CN"/>
        </w:rPr>
        <w:t>伦敦发展促进署大中华区首席代表</w:t>
      </w:r>
    </w:p>
    <w:p>
      <w:pPr>
        <w:keepNext w:val="0"/>
        <w:keepLines w:val="0"/>
        <w:pageBreakBefore w:val="0"/>
        <w:widowControl/>
        <w:shd w:val="clear" w:color="auto" w:fill="FFFFFF"/>
        <w:kinsoku/>
        <w:wordWrap/>
        <w:overflowPunct/>
        <w:topLinePunct w:val="0"/>
        <w:autoSpaceDE/>
        <w:autoSpaceDN/>
        <w:bidi w:val="0"/>
        <w:adjustRightInd/>
        <w:snapToGrid/>
        <w:spacing w:after="210" w:line="550" w:lineRule="exact"/>
        <w:contextualSpacing/>
        <w:jc w:val="center"/>
        <w:textAlignment w:val="auto"/>
        <w:outlineLvl w:val="1"/>
        <w:rPr>
          <w:rFonts w:hint="default" w:ascii="Times New Roman" w:hAnsi="Times New Roman" w:eastAsia="经典行楷简" w:cs="Times New Roman"/>
          <w:color w:val="2E75B6" w:themeColor="accent1" w:themeShade="BF"/>
          <w:spacing w:val="-11"/>
          <w:sz w:val="52"/>
          <w:szCs w:val="52"/>
          <w:lang w:val="en-US" w:eastAsia="zh-CN"/>
        </w:rPr>
      </w:pPr>
      <w:r>
        <w:rPr>
          <w:rFonts w:hint="default" w:ascii="Times New Roman" w:hAnsi="Times New Roman" w:eastAsia="经典行楷简" w:cs="Times New Roman"/>
          <w:color w:val="2E75B6" w:themeColor="accent1" w:themeShade="BF"/>
          <w:spacing w:val="0"/>
          <w:sz w:val="52"/>
          <w:szCs w:val="52"/>
          <w:lang w:val="en-US" w:eastAsia="zh-CN"/>
        </w:rPr>
        <w:t>来锡拜访</w:t>
      </w:r>
    </w:p>
    <w:p>
      <w:pPr>
        <w:keepNext w:val="0"/>
        <w:keepLines w:val="0"/>
        <w:pageBreakBefore w:val="0"/>
        <w:widowControl/>
        <w:shd w:val="clear" w:color="auto" w:fill="FFFFFF"/>
        <w:kinsoku/>
        <w:wordWrap/>
        <w:overflowPunct/>
        <w:topLinePunct w:val="0"/>
        <w:autoSpaceDE/>
        <w:autoSpaceDN/>
        <w:bidi w:val="0"/>
        <w:adjustRightInd/>
        <w:snapToGrid/>
        <w:spacing w:after="210" w:line="510" w:lineRule="exact"/>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1月19日，伦敦发展促进署大中华区首席代表赵冰冰及大中华区市场推广副总裁、华东区负责人华蓉一行到访无锡市贸促会</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副会长王雪松会见了客人并就共同关心的议题作了交流。</w:t>
      </w:r>
    </w:p>
    <w:p>
      <w:pPr>
        <w:keepNext w:val="0"/>
        <w:keepLines w:val="0"/>
        <w:pageBreakBefore w:val="0"/>
        <w:widowControl/>
        <w:shd w:val="clear" w:color="auto" w:fill="FFFFFF"/>
        <w:kinsoku/>
        <w:wordWrap/>
        <w:overflowPunct/>
        <w:topLinePunct w:val="0"/>
        <w:autoSpaceDE/>
        <w:autoSpaceDN/>
        <w:bidi w:val="0"/>
        <w:adjustRightInd/>
        <w:snapToGrid/>
        <w:spacing w:after="210" w:line="510" w:lineRule="exact"/>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赵冰冰介绍了伦敦发展促进署的职能和伦敦主导产业</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她表示，作为伦敦五大核心行业，金融科技和网络安全、企业解决方案和商业服务、创意产业、可持续发展产业、生命科学等与无锡产业发展高度契合和互补，双方可以共同探寻国际合作新机遇。伦敦发展促进署是伦敦城市官方推广机构，隶属伦敦市长办公室，负责伦敦地区招商引资、高等教育以及旅游业在全球的宣传与推广。</w:t>
      </w:r>
      <w:r>
        <w:rPr>
          <w:rFonts w:hint="default" w:ascii="Times New Roman" w:hAnsi="Times New Roman" w:cs="Times New Roman"/>
          <w:color w:val="auto"/>
          <w:spacing w:val="0"/>
          <w:sz w:val="32"/>
          <w:szCs w:val="32"/>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510" w:lineRule="exact"/>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王雪松介绍了无锡主要产业及经济社会概况，他表示，英国是无锡欧洲市场的主要贸易伙伴，无锡与伦敦在工业设计、金融、软件信息、数字经济、生物医药、新能源等领域具有广阔合作空间，希望进一步加强优势互补、资源共享，推进双方企业间的交流和科技创新、金融投资等方面合作，提升企业的全球竞争力。</w:t>
      </w:r>
    </w:p>
    <w:p>
      <w:pPr>
        <w:keepNext w:val="0"/>
        <w:keepLines w:val="0"/>
        <w:pageBreakBefore w:val="0"/>
        <w:widowControl/>
        <w:shd w:val="clear" w:color="auto" w:fill="FFFFFF"/>
        <w:kinsoku/>
        <w:wordWrap/>
        <w:overflowPunct/>
        <w:topLinePunct w:val="0"/>
        <w:autoSpaceDE/>
        <w:autoSpaceDN/>
        <w:bidi w:val="0"/>
        <w:adjustRightInd/>
        <w:snapToGrid/>
        <w:spacing w:after="210" w:line="510" w:lineRule="exact"/>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双方表示今后将加强互访，共同推动达成更多战略合作。无锡市贸促会贸易投资促进部相关负责同志参加交流。</w:t>
      </w:r>
      <w:r>
        <w:rPr>
          <w:rFonts w:hint="default" w:ascii="方正楷体_GBK" w:hAnsi="方正楷体_GBK" w:eastAsia="方正楷体_GBK" w:cs="方正楷体_GBK"/>
          <w:b/>
          <w:bCs/>
          <w:color w:val="FF0000"/>
          <w:spacing w:val="0"/>
          <w:sz w:val="32"/>
          <w:szCs w:val="32"/>
          <w:lang w:val="en-US" w:eastAsia="zh-CN"/>
        </w:rPr>
        <w:t>（无锡市贸促会）</w:t>
      </w:r>
    </w:p>
    <w:p>
      <w:pPr>
        <w:keepNext w:val="0"/>
        <w:keepLines w:val="0"/>
        <w:pageBreakBefore w:val="0"/>
        <w:widowControl/>
        <w:shd w:val="clear" w:color="auto" w:fill="FFFFFF"/>
        <w:kinsoku/>
        <w:wordWrap/>
        <w:overflowPunct/>
        <w:topLinePunct w:val="0"/>
        <w:autoSpaceDE/>
        <w:autoSpaceDN/>
        <w:bidi w:val="0"/>
        <w:adjustRightInd/>
        <w:snapToGrid/>
        <w:spacing w:after="210" w:line="500" w:lineRule="exact"/>
        <w:ind w:firstLine="608" w:firstLineChars="200"/>
        <w:contextualSpacing/>
        <w:jc w:val="both"/>
        <w:textAlignment w:val="auto"/>
        <w:outlineLvl w:val="1"/>
        <w:rPr>
          <w:rFonts w:hint="default" w:ascii="方正楷体_GBK" w:hAnsi="方正楷体_GBK" w:eastAsia="方正楷体_GBK" w:cs="方正楷体_GBK"/>
          <w:b/>
          <w:bCs/>
          <w:color w:val="FF0000"/>
          <w:spacing w:val="0"/>
          <w:sz w:val="32"/>
          <w:szCs w:val="32"/>
          <w:lang w:val="en-US" w:eastAsia="zh-CN"/>
        </w:rPr>
      </w:pPr>
      <w:r>
        <w:rPr>
          <w:rFonts w:hint="default" w:ascii="Times New Roman" w:hAnsi="Times New Roman" w:cs="Times New Roman"/>
          <w:color w:val="auto"/>
          <w:spacing w:val="0"/>
          <w:sz w:val="32"/>
          <w:szCs w:val="32"/>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color w:val="2E75B6" w:themeColor="accent1" w:themeShade="BF"/>
          <w:spacing w:val="0"/>
          <w:sz w:val="52"/>
          <w:szCs w:val="52"/>
          <w:lang w:val="en-US" w:eastAsia="zh-CN"/>
        </w:rPr>
      </w:pPr>
      <w:r>
        <w:rPr>
          <w:rFonts w:hint="eastAsia" w:ascii="Times New Roman" w:hAnsi="Times New Roman" w:eastAsia="经典行楷简" w:cs="Times New Roman"/>
          <w:color w:val="2E75B6" w:themeColor="accent1" w:themeShade="BF"/>
          <w:spacing w:val="0"/>
          <w:sz w:val="52"/>
          <w:szCs w:val="52"/>
          <w:lang w:val="en-US" w:eastAsia="zh-CN"/>
        </w:rPr>
        <w:t>“</w:t>
      </w:r>
      <w:r>
        <w:rPr>
          <w:rFonts w:hint="default" w:ascii="Times New Roman" w:hAnsi="Times New Roman" w:eastAsia="经典行楷简" w:cs="Times New Roman"/>
          <w:color w:val="2E75B6" w:themeColor="accent1" w:themeShade="BF"/>
          <w:spacing w:val="0"/>
          <w:sz w:val="52"/>
          <w:szCs w:val="52"/>
          <w:lang w:val="en-US" w:eastAsia="zh-CN"/>
        </w:rPr>
        <w:t>锡品丝路行</w:t>
      </w:r>
      <w:r>
        <w:rPr>
          <w:rFonts w:hint="eastAsia" w:ascii="Times New Roman" w:hAnsi="Times New Roman" w:eastAsia="经典行楷简" w:cs="Times New Roman"/>
          <w:color w:val="2E75B6" w:themeColor="accent1" w:themeShade="BF"/>
          <w:spacing w:val="0"/>
          <w:sz w:val="52"/>
          <w:szCs w:val="52"/>
          <w:lang w:val="en-US" w:eastAsia="zh-CN"/>
        </w:rPr>
        <w:t>”</w:t>
      </w:r>
      <w:r>
        <w:rPr>
          <w:rFonts w:hint="default" w:ascii="Times New Roman" w:hAnsi="Times New Roman" w:eastAsia="经典行楷简" w:cs="Times New Roman"/>
          <w:color w:val="2E75B6" w:themeColor="accent1" w:themeShade="BF"/>
          <w:spacing w:val="0"/>
          <w:sz w:val="52"/>
          <w:szCs w:val="52"/>
          <w:lang w:val="en-US" w:eastAsia="zh-CN"/>
        </w:rPr>
        <w:t>启动大会成功举办</w:t>
      </w:r>
    </w:p>
    <w:p>
      <w:pPr>
        <w:keepNext w:val="0"/>
        <w:keepLines w:val="0"/>
        <w:pageBreakBefore w:val="0"/>
        <w:widowControl/>
        <w:shd w:val="clear" w:color="auto" w:fill="FFFFFF"/>
        <w:kinsoku/>
        <w:wordWrap/>
        <w:overflowPunct/>
        <w:topLinePunct w:val="0"/>
        <w:autoSpaceDE/>
        <w:autoSpaceDN/>
        <w:bidi w:val="0"/>
        <w:adjustRightInd/>
        <w:snapToGrid/>
        <w:spacing w:after="210" w:line="530" w:lineRule="exact"/>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由无锡市贸促会联合无锡市商务局、米奥兰特国际会展集团联合打造</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锡品丝路行</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系列贸易推广活动近日正式启动。全市机械装备、建材五金、新能源、纺织服装等行业142家企业185名代表参加启动大会。</w:t>
      </w:r>
    </w:p>
    <w:p>
      <w:pPr>
        <w:keepNext w:val="0"/>
        <w:keepLines w:val="0"/>
        <w:pageBreakBefore w:val="0"/>
        <w:widowControl/>
        <w:shd w:val="clear" w:color="auto" w:fill="FFFFFF"/>
        <w:kinsoku/>
        <w:wordWrap/>
        <w:overflowPunct/>
        <w:topLinePunct w:val="0"/>
        <w:autoSpaceDE/>
        <w:autoSpaceDN/>
        <w:bidi w:val="0"/>
        <w:adjustRightInd/>
        <w:snapToGrid/>
        <w:spacing w:after="210" w:line="500" w:lineRule="exact"/>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锡品丝路行</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贸易推广活动旨在全面落实习近平总书记关于推进高质量共建</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一带一路</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和</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加快建设贸易强国，升级货物贸易，创新服务贸易，发展数字贸易，以数字化绿色化为方向，进一步提升国际分工地位，向全球价值链中高端迈进</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的重要指示精神，助力无锡企业大力开拓</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一带一路</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沿线市场。</w:t>
      </w:r>
    </w:p>
    <w:p>
      <w:pPr>
        <w:keepNext w:val="0"/>
        <w:keepLines w:val="0"/>
        <w:pageBreakBefore w:val="0"/>
        <w:widowControl/>
        <w:shd w:val="clear" w:color="auto" w:fill="FFFFFF"/>
        <w:kinsoku/>
        <w:wordWrap/>
        <w:overflowPunct/>
        <w:topLinePunct w:val="0"/>
        <w:autoSpaceDE/>
        <w:autoSpaceDN/>
        <w:bidi w:val="0"/>
        <w:adjustRightInd/>
        <w:snapToGrid/>
        <w:spacing w:after="210" w:line="500" w:lineRule="exact"/>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活动将采取线下参展方式，鼓励企业参加在</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一带一路</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沿线国家举办的建材五金、机械装备、新能源及电力、纺织服装、消费电子等69个专业展会，贴近无锡</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465</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现代产业集群发展方向和广大企业关注的重点市场，重点聚焦以阿联酋、波兰为重点的中东和东欧市场，以日本、越南、印尼为重点的RCEP成员国市场，以南非、巴西、墨西哥为重点的非洲、美洲市场，助力无锡外贸提质增效。</w:t>
      </w:r>
      <w:r>
        <w:rPr>
          <w:rFonts w:hint="default" w:ascii="Times New Roman" w:hAnsi="Times New Roman" w:cs="Times New Roman"/>
          <w:color w:val="auto"/>
          <w:spacing w:val="0"/>
          <w:sz w:val="32"/>
          <w:szCs w:val="32"/>
          <w:lang w:val="en-US" w:eastAsia="zh-CN"/>
        </w:rPr>
        <w:t xml:space="preserve">                            </w:t>
      </w:r>
      <w:r>
        <w:rPr>
          <w:rFonts w:hint="default" w:ascii="方正楷体_GBK" w:hAnsi="方正楷体_GBK" w:eastAsia="方正楷体_GBK" w:cs="方正楷体_GBK"/>
          <w:b/>
          <w:bCs/>
          <w:color w:val="FF0000"/>
          <w:spacing w:val="0"/>
          <w:sz w:val="32"/>
          <w:szCs w:val="32"/>
          <w:lang w:val="en-US" w:eastAsia="zh-CN"/>
        </w:rPr>
        <w:t>（无锡市贸促会）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560" w:lineRule="exact"/>
        <w:contextualSpacing/>
        <w:jc w:val="center"/>
        <w:textAlignment w:val="auto"/>
        <w:outlineLvl w:val="1"/>
        <w:rPr>
          <w:rFonts w:hint="default" w:ascii="Times New Roman" w:hAnsi="Times New Roman" w:eastAsia="经典行楷简" w:cs="Times New Roman"/>
          <w:color w:val="2E75B6" w:themeColor="accent1" w:themeShade="BF"/>
          <w:spacing w:val="-45"/>
          <w:sz w:val="52"/>
          <w:szCs w:val="52"/>
          <w:lang w:val="en-US" w:eastAsia="zh-CN"/>
        </w:rPr>
      </w:pPr>
      <w:r>
        <w:rPr>
          <w:rFonts w:hint="default" w:ascii="Times New Roman" w:hAnsi="Times New Roman" w:eastAsia="经典行楷简" w:cs="Times New Roman"/>
          <w:color w:val="2E75B6" w:themeColor="accent1" w:themeShade="BF"/>
          <w:spacing w:val="-45"/>
          <w:sz w:val="52"/>
          <w:szCs w:val="52"/>
          <w:lang w:val="en-US" w:eastAsia="zh-CN"/>
        </w:rPr>
        <w:t>中国</w:t>
      </w:r>
      <w:r>
        <w:rPr>
          <w:rFonts w:hint="eastAsia" w:ascii="Times New Roman" w:hAnsi="Times New Roman" w:eastAsia="经典行楷简" w:cs="Times New Roman"/>
          <w:color w:val="2E75B6" w:themeColor="accent1" w:themeShade="BF"/>
          <w:spacing w:val="-45"/>
          <w:sz w:val="52"/>
          <w:szCs w:val="52"/>
          <w:lang w:val="en-US" w:eastAsia="zh-CN"/>
        </w:rPr>
        <w:t>（</w:t>
      </w:r>
      <w:r>
        <w:rPr>
          <w:rFonts w:hint="default" w:ascii="Times New Roman" w:hAnsi="Times New Roman" w:eastAsia="经典行楷简" w:cs="Times New Roman"/>
          <w:color w:val="2E75B6" w:themeColor="accent1" w:themeShade="BF"/>
          <w:spacing w:val="-45"/>
          <w:sz w:val="52"/>
          <w:szCs w:val="52"/>
          <w:lang w:val="en-US" w:eastAsia="zh-CN"/>
        </w:rPr>
        <w:t>镇江</w:t>
      </w:r>
      <w:r>
        <w:rPr>
          <w:rFonts w:hint="eastAsia" w:ascii="Times New Roman" w:hAnsi="Times New Roman" w:eastAsia="经典行楷简" w:cs="Times New Roman"/>
          <w:color w:val="2E75B6" w:themeColor="accent1" w:themeShade="BF"/>
          <w:spacing w:val="-45"/>
          <w:sz w:val="52"/>
          <w:szCs w:val="52"/>
          <w:lang w:val="en-US" w:eastAsia="zh-CN"/>
        </w:rPr>
        <w:t>）—</w:t>
      </w:r>
      <w:r>
        <w:rPr>
          <w:rFonts w:hint="default" w:ascii="Times New Roman" w:hAnsi="Times New Roman" w:eastAsia="经典行楷简" w:cs="Times New Roman"/>
          <w:color w:val="2E75B6" w:themeColor="accent1" w:themeShade="BF"/>
          <w:spacing w:val="-45"/>
          <w:sz w:val="52"/>
          <w:szCs w:val="52"/>
          <w:lang w:val="en-US" w:eastAsia="zh-CN"/>
        </w:rPr>
        <w:t>乌兹别克斯坦</w:t>
      </w:r>
      <w:r>
        <w:rPr>
          <w:rFonts w:hint="eastAsia" w:ascii="Times New Roman" w:hAnsi="Times New Roman" w:eastAsia="经典行楷简" w:cs="Times New Roman"/>
          <w:color w:val="2E75B6" w:themeColor="accent1" w:themeShade="BF"/>
          <w:spacing w:val="-45"/>
          <w:sz w:val="52"/>
          <w:szCs w:val="52"/>
          <w:lang w:val="en-US" w:eastAsia="zh-CN"/>
        </w:rPr>
        <w:t>（</w:t>
      </w:r>
      <w:r>
        <w:rPr>
          <w:rFonts w:hint="default" w:ascii="Times New Roman" w:hAnsi="Times New Roman" w:eastAsia="经典行楷简" w:cs="Times New Roman"/>
          <w:color w:val="2E75B6" w:themeColor="accent1" w:themeShade="BF"/>
          <w:spacing w:val="-45"/>
          <w:sz w:val="52"/>
          <w:szCs w:val="52"/>
          <w:lang w:val="en-US" w:eastAsia="zh-CN"/>
        </w:rPr>
        <w:t>卡什卡达里亚州</w:t>
      </w:r>
      <w:r>
        <w:rPr>
          <w:rFonts w:hint="eastAsia" w:ascii="Times New Roman" w:hAnsi="Times New Roman" w:eastAsia="经典行楷简" w:cs="Times New Roman"/>
          <w:color w:val="2E75B6" w:themeColor="accent1" w:themeShade="BF"/>
          <w:spacing w:val="-45"/>
          <w:sz w:val="52"/>
          <w:szCs w:val="52"/>
          <w:lang w:val="en-US" w:eastAsia="zh-CN"/>
        </w:rPr>
        <w:t>）</w:t>
      </w:r>
      <w:r>
        <w:rPr>
          <w:rFonts w:hint="default" w:ascii="Times New Roman" w:hAnsi="Times New Roman" w:eastAsia="经典行楷简" w:cs="Times New Roman"/>
          <w:color w:val="2E75B6" w:themeColor="accent1" w:themeShade="BF"/>
          <w:spacing w:val="0"/>
          <w:sz w:val="52"/>
          <w:szCs w:val="52"/>
          <w:lang w:val="en-US" w:eastAsia="zh-CN"/>
        </w:rPr>
        <w:t>经贸交流会在镇举行</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近日，中国</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镇江</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—乌兹别克斯坦</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卡什卡达里亚州</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经贸交流会在镇成功举办。乌兹别克斯坦卡什卡达里亚州副州长鲁斯塔莫夫、政府秘书长库尔博诺夫，镇江市外办、贸促会负责人出席本次交流会</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卡什卡达里亚州以及镇江市的企业代表参加会议并作现场推介。</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会上，双方代表共同观看了镇江市与卡什卡达里亚州宣传片，全面了解对方的经济发展、人文风貌以及投资需求等情况。</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鲁斯塔莫夫介绍了卡什卡达里亚州的基本情况，推介了该州的营商环境与资源。他表示，卡什卡达里亚州是乌兹别克斯坦发展较快的州，拥有丰富的自然资源。近年来，该州不断优化税收政策，欢迎更多镇江的企业前来考察、加强合作。</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both"/>
        <w:textAlignment w:val="auto"/>
        <w:outlineLvl w:val="1"/>
        <w:rPr>
          <w:rFonts w:hint="default" w:ascii="方正楷体_GBK" w:hAnsi="方正楷体_GBK" w:eastAsia="方正楷体_GBK" w:cs="方正楷体_GBK"/>
          <w:b/>
          <w:bCs/>
          <w:color w:val="FF0000"/>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本次交流会邀请18家镇江企业参加，建材、化工、纺织、服饰、医药、家具、眼镜等多个行业的企业在会上进行了现场推介，双方企业还进行了深入交流、探讨合作意向。交流会的召开，为双方增进互相了解、深化友好交往、促进交流合作搭建了良好平台，进一步推动双方达成更高水平的互利共赢。</w:t>
      </w:r>
      <w:r>
        <w:rPr>
          <w:rFonts w:hint="default" w:ascii="Times New Roman" w:hAnsi="Times New Roman" w:cs="Times New Roman"/>
          <w:color w:val="auto"/>
          <w:spacing w:val="0"/>
          <w:sz w:val="32"/>
          <w:szCs w:val="32"/>
          <w:lang w:val="en-US" w:eastAsia="zh-CN"/>
        </w:rPr>
        <w:t xml:space="preserve"> </w:t>
      </w:r>
      <w:bookmarkStart w:id="0" w:name="_GoBack"/>
      <w:bookmarkEnd w:id="0"/>
      <w:r>
        <w:rPr>
          <w:rFonts w:hint="default" w:ascii="方正楷体_GBK" w:hAnsi="方正楷体_GBK" w:eastAsia="方正楷体_GBK" w:cs="方正楷体_GBK"/>
          <w:b/>
          <w:bCs/>
          <w:color w:val="FF0000"/>
          <w:spacing w:val="0"/>
          <w:sz w:val="32"/>
          <w:szCs w:val="32"/>
          <w:lang w:val="en-US" w:eastAsia="zh-CN"/>
        </w:rPr>
        <w:t>（镇江市贸促会）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560" w:lineRule="exact"/>
        <w:contextualSpacing/>
        <w:jc w:val="center"/>
        <w:textAlignment w:val="auto"/>
        <w:outlineLvl w:val="1"/>
        <w:rPr>
          <w:rFonts w:hint="default" w:ascii="Times New Roman" w:hAnsi="Times New Roman" w:eastAsia="经典行楷简" w:cs="Times New Roman"/>
          <w:color w:val="2E75B6" w:themeColor="accent1" w:themeShade="BF"/>
          <w:spacing w:val="0"/>
          <w:sz w:val="52"/>
          <w:szCs w:val="52"/>
          <w:lang w:val="en-US" w:eastAsia="zh-CN"/>
        </w:rPr>
      </w:pPr>
      <w:r>
        <w:rPr>
          <w:rFonts w:hint="default" w:ascii="Times New Roman" w:hAnsi="Times New Roman" w:eastAsia="经典行楷简" w:cs="Times New Roman"/>
          <w:color w:val="2E75B6" w:themeColor="accent1" w:themeShade="BF"/>
          <w:spacing w:val="0"/>
          <w:sz w:val="52"/>
          <w:szCs w:val="52"/>
          <w:lang w:val="en-US" w:eastAsia="zh-CN"/>
        </w:rPr>
        <w:t>镇江市贸促会召开在镇留学生</w:t>
      </w:r>
    </w:p>
    <w:p>
      <w:pPr>
        <w:keepNext w:val="0"/>
        <w:keepLines w:val="0"/>
        <w:pageBreakBefore w:val="0"/>
        <w:widowControl/>
        <w:shd w:val="clear" w:color="auto" w:fill="FFFFFF"/>
        <w:kinsoku/>
        <w:wordWrap/>
        <w:overflowPunct/>
        <w:topLinePunct w:val="0"/>
        <w:autoSpaceDE/>
        <w:autoSpaceDN/>
        <w:bidi w:val="0"/>
        <w:adjustRightInd/>
        <w:snapToGrid/>
        <w:spacing w:after="210" w:line="560" w:lineRule="exact"/>
        <w:contextualSpacing/>
        <w:jc w:val="center"/>
        <w:textAlignment w:val="auto"/>
        <w:outlineLvl w:val="1"/>
        <w:rPr>
          <w:rFonts w:hint="default" w:ascii="Times New Roman" w:hAnsi="Times New Roman" w:eastAsia="经典行楷简" w:cs="Times New Roman"/>
          <w:color w:val="2E75B6" w:themeColor="accent1" w:themeShade="BF"/>
          <w:spacing w:val="0"/>
          <w:sz w:val="52"/>
          <w:szCs w:val="52"/>
          <w:lang w:val="en-US" w:eastAsia="zh-CN"/>
        </w:rPr>
      </w:pPr>
      <w:r>
        <w:rPr>
          <w:rFonts w:hint="default" w:ascii="Times New Roman" w:hAnsi="Times New Roman" w:eastAsia="经典行楷简" w:cs="Times New Roman"/>
          <w:color w:val="2E75B6" w:themeColor="accent1" w:themeShade="BF"/>
          <w:spacing w:val="0"/>
          <w:sz w:val="52"/>
          <w:szCs w:val="52"/>
          <w:lang w:val="en-US" w:eastAsia="zh-CN"/>
        </w:rPr>
        <w:t>创业座谈会</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both"/>
        <w:textAlignment w:val="auto"/>
        <w:outlineLvl w:val="1"/>
        <w:rPr>
          <w:rFonts w:hint="eastAsia" w:ascii="Times New Roman" w:hAnsi="Times New Roman" w:cs="Times New Roman"/>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近日，</w:t>
      </w:r>
      <w:r>
        <w:rPr>
          <w:rFonts w:hint="eastAsia" w:ascii="Times New Roman" w:hAnsi="Times New Roman" w:cs="Times New Roman"/>
          <w:color w:val="auto"/>
          <w:spacing w:val="0"/>
          <w:sz w:val="32"/>
          <w:szCs w:val="32"/>
          <w:lang w:val="en-US" w:eastAsia="zh-CN"/>
        </w:rPr>
        <w:t>镇江</w:t>
      </w:r>
      <w:r>
        <w:rPr>
          <w:rFonts w:hint="default" w:ascii="Times New Roman" w:hAnsi="Times New Roman" w:cs="Times New Roman" w:eastAsiaTheme="minorEastAsia"/>
          <w:color w:val="auto"/>
          <w:spacing w:val="0"/>
          <w:sz w:val="32"/>
          <w:szCs w:val="32"/>
          <w:lang w:val="en-US" w:eastAsia="zh-CN"/>
        </w:rPr>
        <w:t>市贸促会与江苏大学MBA教育中心、镇江经开区招商中心联合召开在镇留学生创业座谈会</w:t>
      </w:r>
      <w:r>
        <w:rPr>
          <w:rFonts w:hint="eastAsia" w:ascii="Times New Roman" w:hAnsi="Times New Roman" w:cs="Times New Roman"/>
          <w:color w:val="auto"/>
          <w:spacing w:val="0"/>
          <w:sz w:val="32"/>
          <w:szCs w:val="32"/>
          <w:lang w:val="en-US" w:eastAsia="zh-CN"/>
        </w:rPr>
        <w:t>。</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both"/>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座谈会上，市贸促会介绍了贸促会主要服务职能和镇江对企业开拓国际市场的相关扶持政策等，与留学生就如何发挥在镇留学生作用推动镇江与</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一带一路</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 xml:space="preserve">沿线国家扩大经贸合作进行了深入交流，现场解答了部分留学生提出的如何在镇江创设企业、开展跨境电商业务等问题。座谈会前，留学生代表团参观了镇江经开区和港口，了解经开区投资环境，感受了港口作业的高效运作。 </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left="0" w:leftChars="0" w:firstLine="608" w:firstLineChars="200"/>
        <w:contextualSpacing/>
        <w:jc w:val="left"/>
        <w:textAlignment w:val="auto"/>
        <w:outlineLvl w:val="1"/>
        <w:rPr>
          <w:rFonts w:hint="eastAsia" w:ascii="Times New Roman" w:hAnsi="Times New Roman" w:eastAsia="经典行楷简" w:cs="Times New Roman"/>
          <w:color w:val="2E75B6" w:themeColor="accent1" w:themeShade="BF"/>
          <w:sz w:val="40"/>
          <w:szCs w:val="40"/>
          <w:lang w:val="en-US" w:eastAsia="zh-CN"/>
        </w:rPr>
      </w:pPr>
      <w:r>
        <w:rPr>
          <w:rFonts w:hint="default" w:ascii="Times New Roman" w:hAnsi="Times New Roman" w:cs="Times New Roman" w:eastAsiaTheme="minorEastAsia"/>
          <w:color w:val="auto"/>
          <w:spacing w:val="0"/>
          <w:sz w:val="32"/>
          <w:szCs w:val="32"/>
          <w:lang w:val="en-US" w:eastAsia="zh-CN"/>
        </w:rPr>
        <w:t>此次活动</w:t>
      </w:r>
      <w:r>
        <w:rPr>
          <w:rFonts w:hint="eastAsia" w:ascii="Times New Roman" w:hAnsi="Times New Roman" w:cs="Times New Roman"/>
          <w:color w:val="auto"/>
          <w:spacing w:val="0"/>
          <w:sz w:val="32"/>
          <w:szCs w:val="32"/>
          <w:lang w:val="en-US" w:eastAsia="zh-CN"/>
        </w:rPr>
        <w:t>使</w:t>
      </w:r>
      <w:r>
        <w:rPr>
          <w:rFonts w:hint="default" w:ascii="Times New Roman" w:hAnsi="Times New Roman" w:cs="Times New Roman" w:eastAsiaTheme="minorEastAsia"/>
          <w:color w:val="auto"/>
          <w:spacing w:val="0"/>
          <w:sz w:val="32"/>
          <w:szCs w:val="32"/>
          <w:lang w:val="en-US" w:eastAsia="zh-CN"/>
        </w:rPr>
        <w:t>留学生们对于镇江经开区有了更加深入的了解，也让他们感受到了中国政府的开放态度和政策支持。他们纷纷表示，将以此次</w:t>
      </w:r>
      <w:r>
        <w:rPr>
          <w:rFonts w:hint="eastAsia" w:ascii="Times New Roman" w:hAnsi="Times New Roman" w:cs="Times New Roman"/>
          <w:color w:val="auto"/>
          <w:spacing w:val="0"/>
          <w:sz w:val="32"/>
          <w:szCs w:val="32"/>
          <w:lang w:val="en-US" w:eastAsia="zh-CN"/>
        </w:rPr>
        <w:t>活动</w:t>
      </w:r>
      <w:r>
        <w:rPr>
          <w:rFonts w:hint="default" w:ascii="Times New Roman" w:hAnsi="Times New Roman" w:cs="Times New Roman" w:eastAsiaTheme="minorEastAsia"/>
          <w:color w:val="auto"/>
          <w:spacing w:val="0"/>
          <w:sz w:val="32"/>
          <w:szCs w:val="32"/>
          <w:lang w:val="en-US" w:eastAsia="zh-CN"/>
        </w:rPr>
        <w:t>为契机，进一步研究中国的市场环境，寻找更多的商业机会。</w:t>
      </w:r>
      <w:r>
        <w:rPr>
          <w:rFonts w:hint="eastAsia" w:ascii="Times New Roman" w:hAnsi="Times New Roman" w:cs="Times New Roman"/>
          <w:color w:val="auto"/>
          <w:spacing w:val="0"/>
          <w:sz w:val="32"/>
          <w:szCs w:val="32"/>
          <w:lang w:val="en-US" w:eastAsia="zh-CN"/>
        </w:rPr>
        <w:t>市贸促</w:t>
      </w:r>
      <w:r>
        <w:rPr>
          <w:rFonts w:hint="default" w:ascii="Times New Roman" w:hAnsi="Times New Roman" w:cs="Times New Roman" w:eastAsiaTheme="minorEastAsia"/>
          <w:color w:val="auto"/>
          <w:spacing w:val="0"/>
          <w:sz w:val="32"/>
          <w:szCs w:val="32"/>
          <w:lang w:val="en-US" w:eastAsia="zh-CN"/>
        </w:rPr>
        <w:t>会也将持续为本地高校的留学生创业投资、外贸增长</w:t>
      </w:r>
      <w:r>
        <w:rPr>
          <w:rFonts w:hint="eastAsia" w:ascii="Times New Roman" w:hAnsi="Times New Roman" w:cs="Times New Roman"/>
          <w:color w:val="auto"/>
          <w:spacing w:val="0"/>
          <w:sz w:val="32"/>
          <w:szCs w:val="32"/>
          <w:lang w:val="en-US" w:eastAsia="zh-CN"/>
        </w:rPr>
        <w:t>提供</w:t>
      </w:r>
      <w:r>
        <w:rPr>
          <w:rFonts w:hint="default" w:ascii="Times New Roman" w:hAnsi="Times New Roman" w:cs="Times New Roman" w:eastAsiaTheme="minorEastAsia"/>
          <w:color w:val="auto"/>
          <w:spacing w:val="0"/>
          <w:sz w:val="32"/>
          <w:szCs w:val="32"/>
          <w:lang w:val="en-US" w:eastAsia="zh-CN"/>
        </w:rPr>
        <w:t>更好的服务。</w:t>
      </w:r>
      <w:r>
        <w:rPr>
          <w:rFonts w:hint="default" w:ascii="Times New Roman" w:hAnsi="Times New Roman" w:cs="Times New Roman"/>
          <w:color w:val="auto"/>
          <w:spacing w:val="0"/>
          <w:sz w:val="32"/>
          <w:szCs w:val="32"/>
          <w:lang w:val="en-US" w:eastAsia="zh-CN"/>
        </w:rPr>
        <w:t xml:space="preserve">                  </w:t>
      </w:r>
      <w:r>
        <w:rPr>
          <w:rFonts w:hint="default" w:ascii="方正楷体_GBK" w:hAnsi="方正楷体_GBK" w:eastAsia="方正楷体_GBK" w:cs="方正楷体_GBK"/>
          <w:b/>
          <w:bCs/>
          <w:color w:val="FF0000"/>
          <w:spacing w:val="0"/>
          <w:sz w:val="32"/>
          <w:szCs w:val="32"/>
          <w:lang w:val="en-US" w:eastAsia="zh-CN"/>
        </w:rPr>
        <w:t xml:space="preserve">（镇江市贸促会） </w:t>
      </w:r>
      <w:r>
        <w:rPr>
          <w:rFonts w:hint="eastAsia" w:ascii="方正楷体_GBK" w:hAnsi="方正楷体_GBK" w:eastAsia="方正楷体_GBK" w:cs="方正楷体_GBK"/>
          <w:b/>
          <w:bCs/>
          <w:color w:val="FF0000"/>
          <w:spacing w:val="0"/>
          <w:sz w:val="32"/>
          <w:szCs w:val="32"/>
          <w:lang w:val="en-US" w:eastAsia="zh-CN"/>
        </w:rPr>
        <w:t xml:space="preserve"> </w:t>
      </w:r>
      <w:r>
        <w:rPr>
          <w:rFonts w:hint="default" w:ascii="方正楷体_GBK" w:hAnsi="方正楷体_GBK" w:eastAsia="方正楷体_GBK" w:cs="方正楷体_GBK"/>
          <w:b/>
          <w:bCs/>
          <w:color w:val="FF0000"/>
          <w:spacing w:val="0"/>
          <w:sz w:val="32"/>
          <w:szCs w:val="32"/>
          <w:lang w:val="en-US" w:eastAsia="zh-CN"/>
        </w:rPr>
        <w:t xml:space="preserve"> </w:t>
      </w:r>
      <w:r>
        <w:rPr>
          <w:rFonts w:hint="default" w:ascii="Times New Roman" w:hAnsi="Times New Roman" w:eastAsia="方正黑体_GBK" w:cs="Times New Roman"/>
          <w:sz w:val="30"/>
          <w:szCs w:val="30"/>
          <w:lang w:val="en-US" w:eastAsia="zh-CN"/>
        </w:rPr>
        <w:t xml:space="preserve">                                   </w:t>
      </w:r>
      <w:r>
        <w:rPr>
          <w:rFonts w:hint="default" w:ascii="Times New Roman" w:hAnsi="Times New Roman" w:eastAsia="方正楷体_GBK" w:cs="Times New Roman"/>
          <w:sz w:val="30"/>
          <w:szCs w:val="30"/>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经典行楷简" w:hAnsi="经典行楷简" w:eastAsia="经典行楷简" w:cs="经典行楷简"/>
          <w:b/>
          <w:color w:val="2E75B6" w:themeColor="accent1" w:themeShade="BF"/>
          <w:kern w:val="36"/>
          <w:sz w:val="96"/>
          <w:szCs w:val="96"/>
          <w:u w:val="none" w:color="BB120F"/>
          <w:lang w:val="en-US" w:eastAsia="zh-CN"/>
        </w:rPr>
      </w:pPr>
      <w:r>
        <w:rPr>
          <w:rFonts w:hint="eastAsia" w:ascii="经典行楷简" w:hAnsi="经典行楷简" w:eastAsia="经典行楷简" w:cs="经典行楷简"/>
          <w:b/>
          <w:color w:val="2E75B6" w:themeColor="accent1" w:themeShade="BF"/>
          <w:kern w:val="36"/>
          <w:sz w:val="96"/>
          <w:szCs w:val="96"/>
          <w:u w:val="none" w:color="BB120F"/>
          <w:lang w:val="en-US" w:eastAsia="zh-CN"/>
        </w:rPr>
        <w:t>会员企业风采</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370" w:lineRule="exact"/>
        <w:contextualSpacing/>
        <w:jc w:val="center"/>
        <w:textAlignment w:val="auto"/>
        <w:outlineLvl w:val="1"/>
        <w:rPr>
          <w:rFonts w:hint="default" w:ascii="Times New Roman" w:hAnsi="Times New Roman" w:eastAsia="华文新魏" w:cs="Times New Roman"/>
          <w:b/>
          <w:color w:val="FF0000"/>
          <w:kern w:val="36"/>
          <w:sz w:val="44"/>
          <w:szCs w:val="44"/>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华文新魏" w:cs="Times New Roman"/>
          <w:b/>
          <w:color w:val="FF0000"/>
          <w:spacing w:val="0"/>
          <w:kern w:val="36"/>
          <w:sz w:val="52"/>
          <w:szCs w:val="52"/>
          <w:lang w:val="en-US" w:eastAsia="zh-CN"/>
        </w:rPr>
      </w:pPr>
      <w:r>
        <w:rPr>
          <w:rFonts w:hint="default" w:ascii="Times New Roman" w:hAnsi="Times New Roman" w:eastAsia="华文新魏" w:cs="Times New Roman"/>
          <w:b/>
          <w:color w:val="FF0000"/>
          <w:spacing w:val="0"/>
          <w:kern w:val="36"/>
          <w:sz w:val="52"/>
          <w:szCs w:val="52"/>
          <w:lang w:val="en-US" w:eastAsia="zh-CN"/>
        </w:rPr>
        <w:t>南钢获评国家技术创新示范企业</w:t>
      </w:r>
    </w:p>
    <w:p>
      <w:pPr>
        <w:keepNext w:val="0"/>
        <w:keepLines w:val="0"/>
        <w:pageBreakBefore w:val="0"/>
        <w:widowControl/>
        <w:shd w:val="clear" w:color="auto" w:fill="FFFFFF"/>
        <w:kinsoku/>
        <w:wordWrap/>
        <w:overflowPunct/>
        <w:topLinePunct w:val="0"/>
        <w:autoSpaceDE/>
        <w:autoSpaceDN/>
        <w:bidi w:val="0"/>
        <w:adjustRightInd/>
        <w:snapToGrid/>
        <w:spacing w:after="210" w:line="55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近日，国家工信部网站发布2023年国家技术创新示范企业评定名单，我会副会长单位——南京钢铁股份有限公司榜上有名。</w:t>
      </w:r>
    </w:p>
    <w:p>
      <w:pPr>
        <w:keepNext w:val="0"/>
        <w:keepLines w:val="0"/>
        <w:pageBreakBefore w:val="0"/>
        <w:widowControl/>
        <w:shd w:val="clear" w:color="auto" w:fill="FFFFFF"/>
        <w:kinsoku/>
        <w:wordWrap/>
        <w:overflowPunct/>
        <w:topLinePunct w:val="0"/>
        <w:autoSpaceDE/>
        <w:autoSpaceDN/>
        <w:bidi w:val="0"/>
        <w:adjustRightInd/>
        <w:snapToGrid/>
        <w:spacing w:after="210" w:line="55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近年来，南钢以国家战略需求为导向，聚焦高强度、高韧性、耐候、耐腐蚀、高纯净度等高附加值领域，集聚力量进行原创性引领性科技攻关，锚定世界前沿科技，研发投入保持3%以上。建立了国际级、国家级等高端研发平台45个。与全球12个国家、82个科研院所开展产学研项目500余项，承担重大项目等40余项，主持或参与制定国家、行业标准100余项，162个产品达到国际领先或先进水平，拥有专利3000余件。南钢9镍钢替代进口、连续11年市场占有率第一，荣获制造业单项冠军产品；国内首家开发100毫米世界最厚止裂钢，供货全球最大集装箱船，市场占有率第一；国内率先通过国际七大船级社耐腐蚀型钢认证和国际八大船级社低温型钢认证，5镍型钢作为全球首创，是目前唯一通过国际五大船级社认证的型钢；深海管线钢、抗大变形管线钢分别在南海荔湾、中缅油气输送项目中实现首家批量供货；同质复合、异质复合技术国内领先，桥梁钢复合板、容器钢复合板国内市场占有率第一；率先研发的超高强悬架簧、超高强稳定杆、超高强紧固件、高疲劳寿命电机轴等产品为新能源汽车提供轻量化材料解决方案。</w:t>
      </w:r>
    </w:p>
    <w:p>
      <w:pPr>
        <w:keepNext w:val="0"/>
        <w:keepLines w:val="0"/>
        <w:pageBreakBefore w:val="0"/>
        <w:widowControl/>
        <w:shd w:val="clear" w:color="auto" w:fill="FFFFFF"/>
        <w:kinsoku/>
        <w:wordWrap/>
        <w:overflowPunct/>
        <w:topLinePunct w:val="0"/>
        <w:autoSpaceDE/>
        <w:autoSpaceDN/>
        <w:bidi w:val="0"/>
        <w:adjustRightInd/>
        <w:snapToGrid/>
        <w:spacing w:after="210" w:line="56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南钢产品广泛应用于轨道交通、船舶及海洋工程、工程机械、汽车机械、石化、建筑桥梁、新能源等行业，为大国重器、高端装备制造业提供不可或缺的高端特钢材料。南钢优势产品成功应用于白鹤滩水电站、可燃冰开采</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蓝鲸Ⅰ/Ⅱ号</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、第三代核电示范工程</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华龙一号</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等300多个大国重器和超级工程，独家供货</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爱达·魔都号</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中国首制大型邮轮的船板和船用球扁钢，完成从</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跟跑</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到</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领跑</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的转变和关键领域材料的自主可控。</w:t>
      </w:r>
    </w:p>
    <w:p>
      <w:pPr>
        <w:keepNext w:val="0"/>
        <w:keepLines w:val="0"/>
        <w:pageBreakBefore w:val="0"/>
        <w:widowControl/>
        <w:shd w:val="clear" w:color="auto" w:fill="FFFFFF"/>
        <w:kinsoku/>
        <w:wordWrap/>
        <w:overflowPunct/>
        <w:topLinePunct w:val="0"/>
        <w:autoSpaceDE/>
        <w:autoSpaceDN/>
        <w:bidi w:val="0"/>
        <w:adjustRightInd/>
        <w:snapToGrid/>
        <w:spacing w:after="210" w:line="560" w:lineRule="exact"/>
        <w:ind w:firstLine="608" w:firstLineChars="200"/>
        <w:contextualSpacing/>
        <w:jc w:val="left"/>
        <w:textAlignment w:val="auto"/>
        <w:outlineLvl w:val="1"/>
        <w:rPr>
          <w:rFonts w:hint="default" w:ascii="Times New Roman" w:hAnsi="Times New Roman" w:eastAsia="方正黑体_GBK" w:cs="Times New Roman"/>
          <w:sz w:val="30"/>
          <w:szCs w:val="30"/>
          <w:lang w:val="en-US" w:eastAsia="zh-CN"/>
        </w:rPr>
      </w:pPr>
      <w:r>
        <w:rPr>
          <w:rFonts w:hint="default" w:ascii="Times New Roman" w:hAnsi="Times New Roman" w:cs="Times New Roman" w:eastAsiaTheme="minorEastAsia"/>
          <w:sz w:val="32"/>
          <w:szCs w:val="32"/>
          <w:lang w:val="en-US" w:eastAsia="zh-CN"/>
        </w:rPr>
        <w:t>南钢是国家级高新技术企业，综合竞争力稳居行业前列，连续7年获得中国钢铁企业综合竞争力A+级企业（最高等级），位居世界钢企技术竞争力第十位（中国钢企第五位）。先后荣获全国五一劳动奖状、国家企业技术中心、国家制造业单项冠军、国家知识产权示范企业、全国质量奖、中国工业大奖、国家首批</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数字领航</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企业、国家级绿色工厂、国家级能效领跑者、国家知识产权示范企业等国家级重大荣誉。</w:t>
      </w:r>
      <w:r>
        <w:rPr>
          <w:rFonts w:hint="default" w:ascii="Times New Roman" w:hAnsi="Times New Roman" w:cs="Times New Roman"/>
          <w:sz w:val="32"/>
          <w:szCs w:val="32"/>
          <w:lang w:val="en-US" w:eastAsia="zh-CN"/>
        </w:rPr>
        <w:t xml:space="preserve">            </w:t>
      </w:r>
      <w:r>
        <w:rPr>
          <w:rFonts w:hint="eastAsia" w:ascii="方正楷体_GBK" w:hAnsi="方正楷体_GBK" w:eastAsia="方正楷体_GBK" w:cs="方正楷体_GBK"/>
          <w:b/>
          <w:bCs/>
          <w:color w:val="FF0000"/>
          <w:sz w:val="30"/>
          <w:szCs w:val="30"/>
          <w:lang w:val="en-US" w:eastAsia="zh-CN"/>
        </w:rPr>
        <w:t>（来源：南钢股份官网）</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70" w:lineRule="exact"/>
        <w:contextualSpacing/>
        <w:jc w:val="center"/>
        <w:textAlignment w:val="auto"/>
        <w:outlineLvl w:val="1"/>
        <w:rPr>
          <w:rFonts w:hint="default" w:ascii="Times New Roman" w:hAnsi="Times New Roman" w:eastAsia="华文新魏" w:cs="Times New Roman"/>
          <w:b/>
          <w:color w:val="FF0000"/>
          <w:kern w:val="36"/>
          <w:sz w:val="52"/>
          <w:szCs w:val="52"/>
          <w:lang w:val="en-US" w:eastAsia="zh-CN"/>
        </w:rPr>
      </w:pPr>
      <w:r>
        <w:rPr>
          <w:rFonts w:hint="default" w:ascii="Times New Roman" w:hAnsi="Times New Roman" w:eastAsia="华文新魏" w:cs="Times New Roman"/>
          <w:b/>
          <w:color w:val="FF0000"/>
          <w:kern w:val="36"/>
          <w:sz w:val="52"/>
          <w:szCs w:val="52"/>
          <w:lang w:val="en-US" w:eastAsia="zh-CN"/>
        </w:rPr>
        <w:t>洋河受邀出席多场国际活动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70" w:lineRule="exact"/>
        <w:contextualSpacing/>
        <w:jc w:val="center"/>
        <w:textAlignment w:val="auto"/>
        <w:outlineLvl w:val="1"/>
        <w:rPr>
          <w:rFonts w:hint="default" w:ascii="Times New Roman" w:hAnsi="Times New Roman" w:eastAsia="华文新魏" w:cs="Times New Roman"/>
          <w:b/>
          <w:color w:val="FF0000"/>
          <w:kern w:val="36"/>
          <w:sz w:val="52"/>
          <w:szCs w:val="52"/>
          <w:lang w:val="en-US" w:eastAsia="zh-CN"/>
        </w:rPr>
      </w:pPr>
      <w:r>
        <w:rPr>
          <w:rFonts w:hint="default" w:ascii="Times New Roman" w:hAnsi="Times New Roman" w:eastAsia="华文新魏" w:cs="Times New Roman"/>
          <w:b/>
          <w:color w:val="FF0000"/>
          <w:kern w:val="36"/>
          <w:sz w:val="52"/>
          <w:szCs w:val="52"/>
          <w:lang w:val="en-US" w:eastAsia="zh-CN"/>
        </w:rPr>
        <w:t>向世界展示中国白酒魅力</w:t>
      </w:r>
    </w:p>
    <w:p>
      <w:pPr>
        <w:keepNext w:val="0"/>
        <w:keepLines w:val="0"/>
        <w:pageBreakBefore w:val="0"/>
        <w:widowControl/>
        <w:shd w:val="clear" w:color="auto" w:fill="FFFFFF"/>
        <w:kinsoku/>
        <w:wordWrap/>
        <w:overflowPunct/>
        <w:topLinePunct w:val="0"/>
        <w:autoSpaceDE/>
        <w:autoSpaceDN/>
        <w:bidi w:val="0"/>
        <w:adjustRightInd/>
        <w:snapToGrid/>
        <w:spacing w:after="210" w:line="56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 近日，2024年世界经济论坛第54届年会（2024年冬季达沃斯论坛）在瑞士达沃斯举行。我会副会长单位——江苏洋河酒厂股份有限公司不仅凭借</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绵柔</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特色品质和国际品牌形象，成为了世界经济论坛白酒行业首批</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合作伙伴级会员</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，还应邀参加了达沃斯</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中国之夜</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、达沃斯全球母基金峰会等会议，深度参与世界经济论坛。</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目前，洋河已实现出口63个国家和地区，并在多个国家建设了品牌体验馆，2023年洋河品牌推广活动近200场，覆盖德、法、西班牙等五大洲近30个国家。洋河·梦之蓝还频频登上国家级宴会，化身中外交流的</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梦想使者</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，款待世界各国重要嘉宾。</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112" w:firstLineChars="1800"/>
        <w:contextualSpacing/>
        <w:jc w:val="left"/>
        <w:textAlignment w:val="auto"/>
        <w:outlineLvl w:val="1"/>
        <w:rPr>
          <w:rFonts w:hint="default" w:ascii="方正楷体_GBK" w:hAnsi="方正楷体_GBK" w:eastAsia="方正楷体_GBK" w:cs="方正楷体_GBK"/>
          <w:b/>
          <w:bCs/>
          <w:color w:val="FF0000"/>
          <w:sz w:val="30"/>
          <w:szCs w:val="30"/>
          <w:lang w:val="en-US" w:eastAsia="zh-CN"/>
        </w:rPr>
      </w:pPr>
      <w:r>
        <w:rPr>
          <w:rFonts w:hint="default" w:ascii="方正楷体_GBK" w:hAnsi="方正楷体_GBK" w:eastAsia="方正楷体_GBK" w:cs="方正楷体_GBK"/>
          <w:b/>
          <w:bCs/>
          <w:color w:val="FF0000"/>
          <w:sz w:val="30"/>
          <w:szCs w:val="30"/>
          <w:lang w:val="en-US" w:eastAsia="zh-CN"/>
        </w:rPr>
        <w:t>（来源：洋河股份官网）</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590" w:lineRule="exact"/>
        <w:contextualSpacing/>
        <w:jc w:val="center"/>
        <w:textAlignment w:val="auto"/>
        <w:outlineLvl w:val="1"/>
        <w:rPr>
          <w:rFonts w:hint="default" w:ascii="Times New Roman" w:hAnsi="Times New Roman" w:eastAsia="华文新魏" w:cs="Times New Roman"/>
          <w:b/>
          <w:color w:val="FF0000"/>
          <w:kern w:val="36"/>
          <w:sz w:val="52"/>
          <w:szCs w:val="52"/>
          <w:lang w:val="en-US" w:eastAsia="zh-CN"/>
        </w:rPr>
      </w:pPr>
      <w:r>
        <w:rPr>
          <w:rFonts w:hint="default" w:ascii="Times New Roman" w:hAnsi="Times New Roman" w:eastAsia="华文新魏" w:cs="Times New Roman"/>
          <w:b/>
          <w:color w:val="FF0000"/>
          <w:kern w:val="36"/>
          <w:sz w:val="52"/>
          <w:szCs w:val="52"/>
          <w:lang w:val="en-US" w:eastAsia="zh-CN"/>
        </w:rPr>
        <w:t>风雨同舟，相守相助</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590" w:lineRule="exact"/>
        <w:contextualSpacing/>
        <w:jc w:val="center"/>
        <w:textAlignment w:val="auto"/>
        <w:outlineLvl w:val="1"/>
        <w:rPr>
          <w:rFonts w:hint="default" w:ascii="Times New Roman" w:hAnsi="Times New Roman" w:eastAsia="华文新魏" w:cs="Times New Roman"/>
          <w:b/>
          <w:color w:val="FF0000"/>
          <w:spacing w:val="-17"/>
          <w:kern w:val="36"/>
          <w:sz w:val="52"/>
          <w:szCs w:val="52"/>
          <w:lang w:val="en-US" w:eastAsia="zh-CN"/>
        </w:rPr>
      </w:pPr>
      <w:r>
        <w:rPr>
          <w:rFonts w:hint="default" w:ascii="Times New Roman" w:hAnsi="Times New Roman" w:eastAsia="华文新魏" w:cs="Times New Roman"/>
          <w:b/>
          <w:color w:val="FF0000"/>
          <w:spacing w:val="-17"/>
          <w:kern w:val="36"/>
          <w:sz w:val="52"/>
          <w:szCs w:val="52"/>
          <w:lang w:val="en-US" w:eastAsia="zh-CN"/>
        </w:rPr>
        <w:t>——舜天股份援外业务见证中非深厚友谊</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eastAsia" w:ascii="Times New Roman" w:hAnsi="Times New Roman" w:cs="Times New Roman" w:eastAsiaTheme="minorEastAsia"/>
          <w:sz w:val="32"/>
          <w:szCs w:val="32"/>
          <w:lang w:val="en-US" w:eastAsia="zh-CN"/>
        </w:rPr>
      </w:pPr>
      <w:r>
        <w:rPr>
          <w:rFonts w:hint="eastAsia" w:ascii="Times New Roman" w:hAnsi="Times New Roman" w:cs="Times New Roman" w:eastAsiaTheme="minorEastAsia"/>
          <w:sz w:val="32"/>
          <w:szCs w:val="32"/>
          <w:lang w:val="en-US" w:eastAsia="zh-CN"/>
        </w:rPr>
        <w:t>2024年伊始，我会理事单位——江苏舜天股份有限公司承接的两项援助非洲国家项目传来佳音。</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eastAsia" w:ascii="Times New Roman" w:hAnsi="Times New Roman" w:cs="Times New Roman" w:eastAsiaTheme="minorEastAsia"/>
          <w:sz w:val="32"/>
          <w:szCs w:val="32"/>
          <w:lang w:val="en-US" w:eastAsia="zh-CN"/>
        </w:rPr>
        <w:t>近日，</w:t>
      </w:r>
      <w:r>
        <w:rPr>
          <w:rFonts w:hint="eastAsia" w:ascii="Times New Roman" w:hAnsi="Times New Roman" w:cs="Times New Roman"/>
          <w:sz w:val="32"/>
          <w:szCs w:val="32"/>
          <w:lang w:val="en-US" w:eastAsia="zh-CN"/>
        </w:rPr>
        <w:t>我</w:t>
      </w:r>
      <w:r>
        <w:rPr>
          <w:rFonts w:hint="eastAsia" w:ascii="Times New Roman" w:hAnsi="Times New Roman" w:cs="Times New Roman" w:eastAsiaTheme="minorEastAsia"/>
          <w:sz w:val="32"/>
          <w:szCs w:val="32"/>
          <w:lang w:val="en-US" w:eastAsia="zh-CN"/>
        </w:rPr>
        <w:t>国政府援南非应急电力设备项目部分物资在江苏盐城举行出厂验收审查工作和交货仪式。作为项目承接方，公司副总经理李焱一行率队前往，国家商务部、当地政府、工厂等相关方领导出席。</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去年年初，南非总统宣布全国进入灾难状态以应对电力供应不足，中方获悉后第一时间决定提供援助，并由公司承担本次援南非应急电力设备项目。2023年11月30日，公司首批援助物资在</w:t>
      </w:r>
      <w:r>
        <w:rPr>
          <w:rFonts w:hint="eastAsia" w:ascii="Times New Roman" w:hAnsi="Times New Roman" w:cs="Times New Roman"/>
          <w:sz w:val="32"/>
          <w:szCs w:val="32"/>
          <w:lang w:val="en-US" w:eastAsia="zh-CN"/>
        </w:rPr>
        <w:t>我</w:t>
      </w:r>
      <w:r>
        <w:rPr>
          <w:rFonts w:hint="default" w:ascii="Times New Roman" w:hAnsi="Times New Roman" w:cs="Times New Roman" w:eastAsiaTheme="minorEastAsia"/>
          <w:sz w:val="32"/>
          <w:szCs w:val="32"/>
          <w:lang w:val="en-US" w:eastAsia="zh-CN"/>
        </w:rPr>
        <w:t>国驻南非大使陈晓东、南非总统府电力部长拉莫豪帕等两国各界人士的共同见证下，顺利移交南非政府，并受到南非人民的热烈欢迎。</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本次盐城交接物资为</w:t>
      </w:r>
      <w:r>
        <w:rPr>
          <w:rFonts w:hint="eastAsia" w:ascii="Times New Roman" w:hAnsi="Times New Roman" w:cs="Times New Roman"/>
          <w:sz w:val="32"/>
          <w:szCs w:val="32"/>
          <w:lang w:val="en-US" w:eastAsia="zh-CN"/>
        </w:rPr>
        <w:t>我</w:t>
      </w:r>
      <w:r>
        <w:rPr>
          <w:rFonts w:hint="default" w:ascii="Times New Roman" w:hAnsi="Times New Roman" w:cs="Times New Roman" w:eastAsiaTheme="minorEastAsia"/>
          <w:sz w:val="32"/>
          <w:szCs w:val="32"/>
          <w:lang w:val="en-US" w:eastAsia="zh-CN"/>
        </w:rPr>
        <w:t>国政府援南非应急电力设备项目第二批物资的重要组成部分。交货仪式后，公司立即开展集港报关和出运工作，全力保障相关物资早日运抵。</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近日，由舜天股份承接的</w:t>
      </w:r>
      <w:r>
        <w:rPr>
          <w:rFonts w:hint="eastAsia" w:ascii="Times New Roman" w:hAnsi="Times New Roman" w:cs="Times New Roman"/>
          <w:sz w:val="32"/>
          <w:szCs w:val="32"/>
          <w:lang w:val="en-US" w:eastAsia="zh-CN"/>
        </w:rPr>
        <w:t>我</w:t>
      </w:r>
      <w:r>
        <w:rPr>
          <w:rFonts w:hint="default" w:ascii="Times New Roman" w:hAnsi="Times New Roman" w:cs="Times New Roman" w:eastAsiaTheme="minorEastAsia"/>
          <w:sz w:val="32"/>
          <w:szCs w:val="32"/>
          <w:lang w:val="en-US" w:eastAsia="zh-CN"/>
        </w:rPr>
        <w:t>国向南苏丹提供紧急物资（帐篷）援助项目交接仪式在南苏丹首都朱巴举行。</w:t>
      </w:r>
      <w:r>
        <w:rPr>
          <w:rFonts w:hint="eastAsia" w:ascii="Times New Roman" w:hAnsi="Times New Roman" w:cs="Times New Roman"/>
          <w:sz w:val="32"/>
          <w:szCs w:val="32"/>
          <w:lang w:val="en-US" w:eastAsia="zh-CN"/>
        </w:rPr>
        <w:t>我</w:t>
      </w:r>
      <w:r>
        <w:rPr>
          <w:rFonts w:hint="default" w:ascii="Times New Roman" w:hAnsi="Times New Roman" w:cs="Times New Roman" w:eastAsiaTheme="minorEastAsia"/>
          <w:sz w:val="32"/>
          <w:szCs w:val="32"/>
          <w:lang w:val="en-US" w:eastAsia="zh-CN"/>
        </w:rPr>
        <w:t>国驻南苏丹大使马强、南苏丹人道主义事务与灾害管理部部长阿科尔等出席仪式。</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方正仿宋_GBK" w:cs="Times New Roman"/>
          <w:i w:val="0"/>
          <w:caps w:val="0"/>
          <w:color w:val="000000"/>
          <w:spacing w:val="0"/>
          <w:kern w:val="0"/>
          <w:sz w:val="31"/>
          <w:szCs w:val="31"/>
          <w:lang w:val="en-US" w:eastAsia="zh-CN"/>
        </w:rPr>
      </w:pPr>
      <w:r>
        <w:rPr>
          <w:rFonts w:hint="default" w:ascii="Times New Roman" w:hAnsi="Times New Roman" w:eastAsia="方正仿宋_GBK" w:cs="Times New Roman"/>
          <w:i w:val="0"/>
          <w:caps w:val="0"/>
          <w:color w:val="000000"/>
          <w:spacing w:val="0"/>
          <w:kern w:val="0"/>
          <w:sz w:val="31"/>
          <w:szCs w:val="31"/>
          <w:lang w:val="en-US" w:eastAsia="zh-CN"/>
        </w:rPr>
        <w:drawing>
          <wp:inline distT="0" distB="0" distL="114300" distR="114300">
            <wp:extent cx="4048760" cy="3038475"/>
            <wp:effectExtent l="0" t="0" r="8890" b="9525"/>
            <wp:docPr id="6" name="图片 6" descr="17059771416714e9a0ba2491dfdebf5689563327de8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059771416714e9a0ba2491dfdebf5689563327de8ce"/>
                    <pic:cNvPicPr>
                      <a:picLocks noChangeAspect="1"/>
                    </pic:cNvPicPr>
                  </pic:nvPicPr>
                  <pic:blipFill>
                    <a:blip r:embed="rId23"/>
                    <a:stretch>
                      <a:fillRect/>
                    </a:stretch>
                  </pic:blipFill>
                  <pic:spPr>
                    <a:xfrm>
                      <a:off x="0" y="0"/>
                      <a:ext cx="4048760" cy="3038475"/>
                    </a:xfrm>
                    <a:prstGeom prst="rect">
                      <a:avLst/>
                    </a:prstGeom>
                  </pic:spPr>
                </pic:pic>
              </a:graphicData>
            </a:graphic>
          </wp:inline>
        </w:drawing>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受连年洪涝灾害和苏丹冲突延宕影响，南苏丹人道主义危机突显。在危难之时，</w:t>
      </w:r>
      <w:r>
        <w:rPr>
          <w:rFonts w:hint="eastAsia" w:ascii="Times New Roman" w:hAnsi="Times New Roman" w:cs="Times New Roman"/>
          <w:sz w:val="32"/>
          <w:szCs w:val="32"/>
          <w:lang w:val="en-US" w:eastAsia="zh-CN"/>
        </w:rPr>
        <w:t>我</w:t>
      </w:r>
      <w:r>
        <w:rPr>
          <w:rFonts w:hint="default" w:ascii="Times New Roman" w:hAnsi="Times New Roman" w:cs="Times New Roman" w:eastAsiaTheme="minorEastAsia"/>
          <w:sz w:val="32"/>
          <w:szCs w:val="32"/>
          <w:lang w:val="en-US" w:eastAsia="zh-CN"/>
        </w:rPr>
        <w:t>国政府慷慨</w:t>
      </w:r>
      <w:r>
        <w:rPr>
          <w:rFonts w:hint="eastAsia" w:ascii="Times New Roman" w:hAnsi="Times New Roman" w:cs="Times New Roman"/>
          <w:sz w:val="32"/>
          <w:szCs w:val="32"/>
          <w:lang w:val="en-US" w:eastAsia="zh-CN"/>
        </w:rPr>
        <w:t>施以</w:t>
      </w:r>
      <w:r>
        <w:rPr>
          <w:rFonts w:hint="default" w:ascii="Times New Roman" w:hAnsi="Times New Roman" w:cs="Times New Roman" w:eastAsiaTheme="minorEastAsia"/>
          <w:sz w:val="32"/>
          <w:szCs w:val="32"/>
          <w:lang w:val="en-US" w:eastAsia="zh-CN"/>
        </w:rPr>
        <w:t>援手，并由公司承担向南苏丹提供紧急物资（帐篷）援助项目。公司承接任务后，以高度的政治责任担当，定期跟进设备生产，积极配合第三方检验，强化报关出运等重点环节管理，确保物资及时抵达。</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eastAsia"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公司在参与国家援助非洲国家项目的过程中，深刻体会到中非这对</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好兄弟、好朋友、好伙伴</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的守望与相助。后续，公司将一如既往牢记国企使命，切实提高政治站位和责任意识，从维护国家形象、国家利益出发，主动服务和融入国家发展战略，成为巩固</w:t>
      </w:r>
      <w:r>
        <w:rPr>
          <w:rFonts w:hint="eastAsia" w:ascii="Times New Roman" w:hAnsi="Times New Roman" w:cs="Times New Roman"/>
          <w:sz w:val="32"/>
          <w:szCs w:val="32"/>
          <w:lang w:val="en-US" w:eastAsia="zh-CN"/>
        </w:rPr>
        <w:t>我</w:t>
      </w:r>
      <w:r>
        <w:rPr>
          <w:rFonts w:hint="default" w:ascii="Times New Roman" w:hAnsi="Times New Roman" w:cs="Times New Roman" w:eastAsiaTheme="minorEastAsia"/>
          <w:sz w:val="32"/>
          <w:szCs w:val="32"/>
          <w:lang w:val="en-US" w:eastAsia="zh-CN"/>
        </w:rPr>
        <w:t>国国际友谊的见证者与贡献者。</w:t>
      </w:r>
      <w:r>
        <w:rPr>
          <w:rFonts w:hint="default" w:ascii="Times New Roman" w:hAnsi="Times New Roman" w:cs="Times New Roman"/>
          <w:sz w:val="32"/>
          <w:szCs w:val="32"/>
          <w:lang w:val="en-US" w:eastAsia="zh-CN"/>
        </w:rPr>
        <w:t xml:space="preserve">      </w:t>
      </w:r>
      <w:r>
        <w:rPr>
          <w:rFonts w:hint="eastAsia" w:ascii="方正楷体_GBK" w:hAnsi="方正楷体_GBK" w:eastAsia="方正楷体_GBK" w:cs="方正楷体_GBK"/>
          <w:b/>
          <w:bCs/>
          <w:color w:val="FF0000"/>
          <w:sz w:val="30"/>
          <w:szCs w:val="30"/>
          <w:lang w:val="en-US" w:eastAsia="zh-CN"/>
        </w:rPr>
        <w:t>（来源：舜天股份官网）</w:t>
      </w: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经典行楷简">
    <w:panose1 w:val="02010609000101010101"/>
    <w:charset w:val="86"/>
    <w:family w:val="auto"/>
    <w:pitch w:val="default"/>
    <w:sig w:usb0="A1007AEF" w:usb1="F9DF7CFB" w:usb2="0000001E" w:usb3="00000000" w:csb0="2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魏碑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-231140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8.2pt;height:144pt;width:144pt;mso-position-horizontal:outside;mso-position-horizontal-relative:margin;mso-wrap-style:none;z-index:251659264;mso-width-relative:page;mso-height-relative:page;" filled="f" stroked="f" coordsize="21600,21600" o:gfxdata="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AKPAk1gAAAAgBAAAPAAAAAAAAAAEAIAAAACIAAABkcnMvZG93bnJl&#10;di54bWxQSwECFAAUAAAACACHTuJAe6kzJTgCAABvBAAADgAAAAAAAAABACAAAAAlAQAAZHJzL2Uy&#10;b0RvYy54bWxQSwUGAAAAAAYABgBZAQAAzwUAAAAA&#10;">
              <v:fill on="f" focussize="0,0"/>
              <v:stroke on="f" weight="0.5pt"/>
              <v:imagedata o:title=""/>
              <o:lock v:ext="edit" aspectratio="f"/>
              <v:textbox inset="0mm,0mm,0mm,0mm" style="mso-fit-shape-to-text:t;">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CD0E22"/>
    <w:rsid w:val="00030C0E"/>
    <w:rsid w:val="0007364F"/>
    <w:rsid w:val="001156B9"/>
    <w:rsid w:val="00154806"/>
    <w:rsid w:val="001F2C95"/>
    <w:rsid w:val="003208B4"/>
    <w:rsid w:val="003C691D"/>
    <w:rsid w:val="003F32D7"/>
    <w:rsid w:val="0042623F"/>
    <w:rsid w:val="0043286B"/>
    <w:rsid w:val="00467C46"/>
    <w:rsid w:val="006B63D3"/>
    <w:rsid w:val="006C0C2E"/>
    <w:rsid w:val="007E11E9"/>
    <w:rsid w:val="008B2F92"/>
    <w:rsid w:val="008E3499"/>
    <w:rsid w:val="00906A61"/>
    <w:rsid w:val="00A0554E"/>
    <w:rsid w:val="00B35803"/>
    <w:rsid w:val="00B45E3E"/>
    <w:rsid w:val="00C16462"/>
    <w:rsid w:val="00C66488"/>
    <w:rsid w:val="00CA656E"/>
    <w:rsid w:val="00CE04E4"/>
    <w:rsid w:val="00D0085C"/>
    <w:rsid w:val="00DB54B3"/>
    <w:rsid w:val="010007F1"/>
    <w:rsid w:val="012C4A94"/>
    <w:rsid w:val="0134238F"/>
    <w:rsid w:val="015A28DE"/>
    <w:rsid w:val="01603797"/>
    <w:rsid w:val="01687C29"/>
    <w:rsid w:val="016D0719"/>
    <w:rsid w:val="01730647"/>
    <w:rsid w:val="0183354F"/>
    <w:rsid w:val="018D1ED5"/>
    <w:rsid w:val="01944C0D"/>
    <w:rsid w:val="019E5AF8"/>
    <w:rsid w:val="01A05888"/>
    <w:rsid w:val="01A536F0"/>
    <w:rsid w:val="01AB72AD"/>
    <w:rsid w:val="01AD0FC0"/>
    <w:rsid w:val="01B74B80"/>
    <w:rsid w:val="01B76B70"/>
    <w:rsid w:val="01BC47E4"/>
    <w:rsid w:val="01BD0D3F"/>
    <w:rsid w:val="01C277DB"/>
    <w:rsid w:val="01CB201F"/>
    <w:rsid w:val="01D01DDD"/>
    <w:rsid w:val="01DA121B"/>
    <w:rsid w:val="01EB6FF4"/>
    <w:rsid w:val="01EC6C1A"/>
    <w:rsid w:val="01F53962"/>
    <w:rsid w:val="01FE284A"/>
    <w:rsid w:val="020C0504"/>
    <w:rsid w:val="021337A8"/>
    <w:rsid w:val="02154F00"/>
    <w:rsid w:val="022C2DDE"/>
    <w:rsid w:val="02424F98"/>
    <w:rsid w:val="024B4F65"/>
    <w:rsid w:val="02716397"/>
    <w:rsid w:val="027D39C5"/>
    <w:rsid w:val="02850B1B"/>
    <w:rsid w:val="028E669E"/>
    <w:rsid w:val="02945151"/>
    <w:rsid w:val="02AA4579"/>
    <w:rsid w:val="02CA2014"/>
    <w:rsid w:val="02CE36F0"/>
    <w:rsid w:val="02D253BA"/>
    <w:rsid w:val="02D664A5"/>
    <w:rsid w:val="02D70120"/>
    <w:rsid w:val="02F04987"/>
    <w:rsid w:val="02F3072B"/>
    <w:rsid w:val="02F4686A"/>
    <w:rsid w:val="02F50E1A"/>
    <w:rsid w:val="02FC365E"/>
    <w:rsid w:val="030A33B2"/>
    <w:rsid w:val="0312457C"/>
    <w:rsid w:val="03173E54"/>
    <w:rsid w:val="03320DD5"/>
    <w:rsid w:val="033F3094"/>
    <w:rsid w:val="0341739D"/>
    <w:rsid w:val="035906B9"/>
    <w:rsid w:val="036773BE"/>
    <w:rsid w:val="03763E10"/>
    <w:rsid w:val="03795E56"/>
    <w:rsid w:val="038F00BD"/>
    <w:rsid w:val="03A054FE"/>
    <w:rsid w:val="03A710E3"/>
    <w:rsid w:val="03C7124D"/>
    <w:rsid w:val="03CD065E"/>
    <w:rsid w:val="03DC76EB"/>
    <w:rsid w:val="03DF7C94"/>
    <w:rsid w:val="03EE2D2D"/>
    <w:rsid w:val="03EE5120"/>
    <w:rsid w:val="03F95EAB"/>
    <w:rsid w:val="03FA4378"/>
    <w:rsid w:val="040E59E0"/>
    <w:rsid w:val="04177E90"/>
    <w:rsid w:val="04227E09"/>
    <w:rsid w:val="04256881"/>
    <w:rsid w:val="04361A54"/>
    <w:rsid w:val="043837D8"/>
    <w:rsid w:val="043F0FCC"/>
    <w:rsid w:val="0458216E"/>
    <w:rsid w:val="0470619B"/>
    <w:rsid w:val="047264E0"/>
    <w:rsid w:val="047929EC"/>
    <w:rsid w:val="047931E4"/>
    <w:rsid w:val="047B754C"/>
    <w:rsid w:val="047C330E"/>
    <w:rsid w:val="04802BB2"/>
    <w:rsid w:val="048112FB"/>
    <w:rsid w:val="048B08F7"/>
    <w:rsid w:val="04997356"/>
    <w:rsid w:val="04B3013F"/>
    <w:rsid w:val="04BA605B"/>
    <w:rsid w:val="04BF51D4"/>
    <w:rsid w:val="04C30370"/>
    <w:rsid w:val="04C87276"/>
    <w:rsid w:val="04CE7B7F"/>
    <w:rsid w:val="04D13EAB"/>
    <w:rsid w:val="04E16ACF"/>
    <w:rsid w:val="04F33CBA"/>
    <w:rsid w:val="05006805"/>
    <w:rsid w:val="05017788"/>
    <w:rsid w:val="05150D13"/>
    <w:rsid w:val="052054D4"/>
    <w:rsid w:val="052C7639"/>
    <w:rsid w:val="054A7C8A"/>
    <w:rsid w:val="055D26AF"/>
    <w:rsid w:val="05684832"/>
    <w:rsid w:val="056E79C6"/>
    <w:rsid w:val="057A799E"/>
    <w:rsid w:val="058647BE"/>
    <w:rsid w:val="05881910"/>
    <w:rsid w:val="059F17BF"/>
    <w:rsid w:val="05A73DC5"/>
    <w:rsid w:val="05CF249D"/>
    <w:rsid w:val="05D714EA"/>
    <w:rsid w:val="05E536E6"/>
    <w:rsid w:val="06077942"/>
    <w:rsid w:val="060F3722"/>
    <w:rsid w:val="062B0B83"/>
    <w:rsid w:val="062C6587"/>
    <w:rsid w:val="06301A1B"/>
    <w:rsid w:val="0633380C"/>
    <w:rsid w:val="0638362B"/>
    <w:rsid w:val="063E600A"/>
    <w:rsid w:val="06405659"/>
    <w:rsid w:val="064F5725"/>
    <w:rsid w:val="065C27A8"/>
    <w:rsid w:val="065F50DA"/>
    <w:rsid w:val="06626021"/>
    <w:rsid w:val="066D2CED"/>
    <w:rsid w:val="066E2C0B"/>
    <w:rsid w:val="067C24CF"/>
    <w:rsid w:val="069002BE"/>
    <w:rsid w:val="06906B8C"/>
    <w:rsid w:val="069725BC"/>
    <w:rsid w:val="06A729E1"/>
    <w:rsid w:val="06AB1C7E"/>
    <w:rsid w:val="06AC05E7"/>
    <w:rsid w:val="06AF1D16"/>
    <w:rsid w:val="06AF3414"/>
    <w:rsid w:val="06BA5EB2"/>
    <w:rsid w:val="070615F0"/>
    <w:rsid w:val="07085235"/>
    <w:rsid w:val="07146D7A"/>
    <w:rsid w:val="07355298"/>
    <w:rsid w:val="073633AE"/>
    <w:rsid w:val="0738618B"/>
    <w:rsid w:val="074E1705"/>
    <w:rsid w:val="075C0378"/>
    <w:rsid w:val="0768627D"/>
    <w:rsid w:val="07774E9B"/>
    <w:rsid w:val="07886D75"/>
    <w:rsid w:val="079A77BC"/>
    <w:rsid w:val="079D6C92"/>
    <w:rsid w:val="07A92FCD"/>
    <w:rsid w:val="07DA5629"/>
    <w:rsid w:val="07DE3B60"/>
    <w:rsid w:val="07E54B9E"/>
    <w:rsid w:val="08010DA7"/>
    <w:rsid w:val="080F3123"/>
    <w:rsid w:val="08220E8F"/>
    <w:rsid w:val="08242F28"/>
    <w:rsid w:val="08275EA4"/>
    <w:rsid w:val="083036B5"/>
    <w:rsid w:val="08310F19"/>
    <w:rsid w:val="08331FC1"/>
    <w:rsid w:val="083611A9"/>
    <w:rsid w:val="08394081"/>
    <w:rsid w:val="083943C5"/>
    <w:rsid w:val="08404FD2"/>
    <w:rsid w:val="084A2513"/>
    <w:rsid w:val="08515651"/>
    <w:rsid w:val="085D6EF2"/>
    <w:rsid w:val="085F59AE"/>
    <w:rsid w:val="086303CB"/>
    <w:rsid w:val="08674312"/>
    <w:rsid w:val="0881684A"/>
    <w:rsid w:val="08927463"/>
    <w:rsid w:val="08991A5A"/>
    <w:rsid w:val="089C49FA"/>
    <w:rsid w:val="08AF073A"/>
    <w:rsid w:val="08BD5FE1"/>
    <w:rsid w:val="08BE7798"/>
    <w:rsid w:val="08CA79C7"/>
    <w:rsid w:val="08D73E78"/>
    <w:rsid w:val="08DB6139"/>
    <w:rsid w:val="08DE001E"/>
    <w:rsid w:val="08DE7E03"/>
    <w:rsid w:val="08ED6D3B"/>
    <w:rsid w:val="08FB16E4"/>
    <w:rsid w:val="08FE2EDE"/>
    <w:rsid w:val="08FE5206"/>
    <w:rsid w:val="09140F8D"/>
    <w:rsid w:val="09155095"/>
    <w:rsid w:val="091D10D0"/>
    <w:rsid w:val="09210482"/>
    <w:rsid w:val="092105FC"/>
    <w:rsid w:val="09222AB2"/>
    <w:rsid w:val="09266115"/>
    <w:rsid w:val="093303B8"/>
    <w:rsid w:val="094811BB"/>
    <w:rsid w:val="0954257E"/>
    <w:rsid w:val="095929D4"/>
    <w:rsid w:val="095A003F"/>
    <w:rsid w:val="09606CDC"/>
    <w:rsid w:val="09631FC1"/>
    <w:rsid w:val="09A44BA0"/>
    <w:rsid w:val="09AA495F"/>
    <w:rsid w:val="09AC53C9"/>
    <w:rsid w:val="09B630C3"/>
    <w:rsid w:val="09C222A5"/>
    <w:rsid w:val="09C27E4D"/>
    <w:rsid w:val="09CB6B07"/>
    <w:rsid w:val="09CD0E22"/>
    <w:rsid w:val="09FA2B3C"/>
    <w:rsid w:val="09FA772F"/>
    <w:rsid w:val="0A0D0EE1"/>
    <w:rsid w:val="0A346C5C"/>
    <w:rsid w:val="0A5317DF"/>
    <w:rsid w:val="0A564C39"/>
    <w:rsid w:val="0A6536D8"/>
    <w:rsid w:val="0A987047"/>
    <w:rsid w:val="0AA05D85"/>
    <w:rsid w:val="0AAD109D"/>
    <w:rsid w:val="0ABB417A"/>
    <w:rsid w:val="0ABE47A4"/>
    <w:rsid w:val="0ACC3151"/>
    <w:rsid w:val="0AD16821"/>
    <w:rsid w:val="0ADC78D2"/>
    <w:rsid w:val="0AE11813"/>
    <w:rsid w:val="0AE3323E"/>
    <w:rsid w:val="0AEB11A6"/>
    <w:rsid w:val="0AEC3E44"/>
    <w:rsid w:val="0AEF478A"/>
    <w:rsid w:val="0B0E47F4"/>
    <w:rsid w:val="0B283787"/>
    <w:rsid w:val="0B2D6F6E"/>
    <w:rsid w:val="0B345DB1"/>
    <w:rsid w:val="0B363DD8"/>
    <w:rsid w:val="0B3A4657"/>
    <w:rsid w:val="0B3C5BB9"/>
    <w:rsid w:val="0B4372E2"/>
    <w:rsid w:val="0B5A2079"/>
    <w:rsid w:val="0B5B5996"/>
    <w:rsid w:val="0B6075D7"/>
    <w:rsid w:val="0B6A0BB3"/>
    <w:rsid w:val="0B792EB2"/>
    <w:rsid w:val="0B8035EB"/>
    <w:rsid w:val="0B84164E"/>
    <w:rsid w:val="0B913EDA"/>
    <w:rsid w:val="0B9C76A8"/>
    <w:rsid w:val="0BA749E5"/>
    <w:rsid w:val="0BAC24A8"/>
    <w:rsid w:val="0BAE1323"/>
    <w:rsid w:val="0BB42E0A"/>
    <w:rsid w:val="0BDE3581"/>
    <w:rsid w:val="0BE85349"/>
    <w:rsid w:val="0BF57A28"/>
    <w:rsid w:val="0BF845E9"/>
    <w:rsid w:val="0BFA1A53"/>
    <w:rsid w:val="0C0B1E5B"/>
    <w:rsid w:val="0C1A584B"/>
    <w:rsid w:val="0C2275D5"/>
    <w:rsid w:val="0C2D70F9"/>
    <w:rsid w:val="0C342312"/>
    <w:rsid w:val="0C53740C"/>
    <w:rsid w:val="0C563E70"/>
    <w:rsid w:val="0C6E187C"/>
    <w:rsid w:val="0C7D4D8F"/>
    <w:rsid w:val="0C80052F"/>
    <w:rsid w:val="0C8C06D3"/>
    <w:rsid w:val="0C980884"/>
    <w:rsid w:val="0C9961AF"/>
    <w:rsid w:val="0C9B3EE0"/>
    <w:rsid w:val="0CA44E41"/>
    <w:rsid w:val="0CA77405"/>
    <w:rsid w:val="0CAE5B1B"/>
    <w:rsid w:val="0CB31FF7"/>
    <w:rsid w:val="0CB45BFD"/>
    <w:rsid w:val="0CB80D6E"/>
    <w:rsid w:val="0CBF360E"/>
    <w:rsid w:val="0CC10497"/>
    <w:rsid w:val="0CC30BC5"/>
    <w:rsid w:val="0CC42150"/>
    <w:rsid w:val="0CDC515C"/>
    <w:rsid w:val="0D0B2A13"/>
    <w:rsid w:val="0D112021"/>
    <w:rsid w:val="0D12133D"/>
    <w:rsid w:val="0D1F7151"/>
    <w:rsid w:val="0D200D54"/>
    <w:rsid w:val="0D2B7DB2"/>
    <w:rsid w:val="0D384916"/>
    <w:rsid w:val="0D427E08"/>
    <w:rsid w:val="0D4A1977"/>
    <w:rsid w:val="0D511FCD"/>
    <w:rsid w:val="0D583C5F"/>
    <w:rsid w:val="0D5D658F"/>
    <w:rsid w:val="0D6029A5"/>
    <w:rsid w:val="0D6063D4"/>
    <w:rsid w:val="0D667E20"/>
    <w:rsid w:val="0D922931"/>
    <w:rsid w:val="0DA81B9F"/>
    <w:rsid w:val="0DAD79F2"/>
    <w:rsid w:val="0DC9693F"/>
    <w:rsid w:val="0DCC1715"/>
    <w:rsid w:val="0DD82C48"/>
    <w:rsid w:val="0DDB6385"/>
    <w:rsid w:val="0DF0632D"/>
    <w:rsid w:val="0E0E09E4"/>
    <w:rsid w:val="0E184477"/>
    <w:rsid w:val="0E21196E"/>
    <w:rsid w:val="0E227E98"/>
    <w:rsid w:val="0E2D4D70"/>
    <w:rsid w:val="0E3B2663"/>
    <w:rsid w:val="0E465F52"/>
    <w:rsid w:val="0E576A70"/>
    <w:rsid w:val="0E6B437E"/>
    <w:rsid w:val="0E6B6A22"/>
    <w:rsid w:val="0E793535"/>
    <w:rsid w:val="0E795DEE"/>
    <w:rsid w:val="0E7B3260"/>
    <w:rsid w:val="0E804638"/>
    <w:rsid w:val="0ECD6BD5"/>
    <w:rsid w:val="0EDA3DE0"/>
    <w:rsid w:val="0EE241B0"/>
    <w:rsid w:val="0EE51F3F"/>
    <w:rsid w:val="0EE96C61"/>
    <w:rsid w:val="0EEF6278"/>
    <w:rsid w:val="0F110F65"/>
    <w:rsid w:val="0F126FC2"/>
    <w:rsid w:val="0F206FE9"/>
    <w:rsid w:val="0F2F2F21"/>
    <w:rsid w:val="0F521390"/>
    <w:rsid w:val="0F6735DF"/>
    <w:rsid w:val="0F6A4B85"/>
    <w:rsid w:val="0F735DB2"/>
    <w:rsid w:val="0F7840D6"/>
    <w:rsid w:val="0F9A3FA1"/>
    <w:rsid w:val="0FA17F55"/>
    <w:rsid w:val="0FA35FFE"/>
    <w:rsid w:val="0FB50512"/>
    <w:rsid w:val="0FC754B6"/>
    <w:rsid w:val="0FCE3065"/>
    <w:rsid w:val="0FE107E2"/>
    <w:rsid w:val="0FE336DE"/>
    <w:rsid w:val="0FED1D3E"/>
    <w:rsid w:val="10065756"/>
    <w:rsid w:val="100A69A4"/>
    <w:rsid w:val="100E17EE"/>
    <w:rsid w:val="10140347"/>
    <w:rsid w:val="101B54B3"/>
    <w:rsid w:val="101C6175"/>
    <w:rsid w:val="104210EE"/>
    <w:rsid w:val="10513C3F"/>
    <w:rsid w:val="105D2D1E"/>
    <w:rsid w:val="10623D8F"/>
    <w:rsid w:val="10703686"/>
    <w:rsid w:val="1075160B"/>
    <w:rsid w:val="107760A9"/>
    <w:rsid w:val="10780D89"/>
    <w:rsid w:val="107B52AA"/>
    <w:rsid w:val="107E75D8"/>
    <w:rsid w:val="10805AB8"/>
    <w:rsid w:val="108161A3"/>
    <w:rsid w:val="1089301A"/>
    <w:rsid w:val="108B29C7"/>
    <w:rsid w:val="10901F21"/>
    <w:rsid w:val="10974AA9"/>
    <w:rsid w:val="10AA391A"/>
    <w:rsid w:val="10B27075"/>
    <w:rsid w:val="10B27B37"/>
    <w:rsid w:val="10B33FFC"/>
    <w:rsid w:val="10BA25C0"/>
    <w:rsid w:val="10C121EA"/>
    <w:rsid w:val="10D27169"/>
    <w:rsid w:val="10D309E2"/>
    <w:rsid w:val="10D621B1"/>
    <w:rsid w:val="10D81E5C"/>
    <w:rsid w:val="10DA39AB"/>
    <w:rsid w:val="10DE746C"/>
    <w:rsid w:val="10EB7A42"/>
    <w:rsid w:val="10F16967"/>
    <w:rsid w:val="10F21B48"/>
    <w:rsid w:val="10F941E9"/>
    <w:rsid w:val="11083015"/>
    <w:rsid w:val="110A357B"/>
    <w:rsid w:val="1113498F"/>
    <w:rsid w:val="11145DE6"/>
    <w:rsid w:val="111A2147"/>
    <w:rsid w:val="112252CB"/>
    <w:rsid w:val="11360EF9"/>
    <w:rsid w:val="113B0B58"/>
    <w:rsid w:val="113D775B"/>
    <w:rsid w:val="11410876"/>
    <w:rsid w:val="114608E7"/>
    <w:rsid w:val="114F3D65"/>
    <w:rsid w:val="115347BC"/>
    <w:rsid w:val="11545887"/>
    <w:rsid w:val="116228E3"/>
    <w:rsid w:val="11631325"/>
    <w:rsid w:val="116345A4"/>
    <w:rsid w:val="11667833"/>
    <w:rsid w:val="11687433"/>
    <w:rsid w:val="117B53DF"/>
    <w:rsid w:val="117B71D3"/>
    <w:rsid w:val="11B62D0B"/>
    <w:rsid w:val="11C52A21"/>
    <w:rsid w:val="11D26FDB"/>
    <w:rsid w:val="11D8409F"/>
    <w:rsid w:val="11DE26F2"/>
    <w:rsid w:val="11DF6987"/>
    <w:rsid w:val="11EA23C8"/>
    <w:rsid w:val="11EB5C95"/>
    <w:rsid w:val="11ED6242"/>
    <w:rsid w:val="12010E7D"/>
    <w:rsid w:val="12075A2C"/>
    <w:rsid w:val="120A38DA"/>
    <w:rsid w:val="12101A57"/>
    <w:rsid w:val="12193170"/>
    <w:rsid w:val="12193813"/>
    <w:rsid w:val="121D6AE3"/>
    <w:rsid w:val="121F75CC"/>
    <w:rsid w:val="122C1A12"/>
    <w:rsid w:val="1232130B"/>
    <w:rsid w:val="12395D63"/>
    <w:rsid w:val="12401AD9"/>
    <w:rsid w:val="12421E9D"/>
    <w:rsid w:val="12571C4D"/>
    <w:rsid w:val="125C09FF"/>
    <w:rsid w:val="12657F0C"/>
    <w:rsid w:val="126830F6"/>
    <w:rsid w:val="127673DB"/>
    <w:rsid w:val="127E0189"/>
    <w:rsid w:val="12927837"/>
    <w:rsid w:val="12A30BAA"/>
    <w:rsid w:val="12A709D5"/>
    <w:rsid w:val="12A867C5"/>
    <w:rsid w:val="12B56515"/>
    <w:rsid w:val="12BE11B2"/>
    <w:rsid w:val="12C21464"/>
    <w:rsid w:val="12C40A29"/>
    <w:rsid w:val="12C42DA1"/>
    <w:rsid w:val="12C45CF0"/>
    <w:rsid w:val="12C948D2"/>
    <w:rsid w:val="12CB14EE"/>
    <w:rsid w:val="12D54B1A"/>
    <w:rsid w:val="12EF155A"/>
    <w:rsid w:val="12F17350"/>
    <w:rsid w:val="12F712FB"/>
    <w:rsid w:val="12FF7A62"/>
    <w:rsid w:val="13037A88"/>
    <w:rsid w:val="133844CA"/>
    <w:rsid w:val="1347596A"/>
    <w:rsid w:val="134C0AA1"/>
    <w:rsid w:val="136041BC"/>
    <w:rsid w:val="136F4FE6"/>
    <w:rsid w:val="13713F6F"/>
    <w:rsid w:val="138C25C7"/>
    <w:rsid w:val="1390357D"/>
    <w:rsid w:val="139670E5"/>
    <w:rsid w:val="139F1C24"/>
    <w:rsid w:val="13A023E7"/>
    <w:rsid w:val="13A04270"/>
    <w:rsid w:val="13A90344"/>
    <w:rsid w:val="13B35BBD"/>
    <w:rsid w:val="13BF3D28"/>
    <w:rsid w:val="13C32466"/>
    <w:rsid w:val="13C77F07"/>
    <w:rsid w:val="13CE4E2F"/>
    <w:rsid w:val="13CF48B4"/>
    <w:rsid w:val="13E45E4B"/>
    <w:rsid w:val="13F57229"/>
    <w:rsid w:val="13F60043"/>
    <w:rsid w:val="13FF4761"/>
    <w:rsid w:val="1401651E"/>
    <w:rsid w:val="14065625"/>
    <w:rsid w:val="14127CF3"/>
    <w:rsid w:val="14182B9E"/>
    <w:rsid w:val="142160CA"/>
    <w:rsid w:val="142E4E6B"/>
    <w:rsid w:val="143B554F"/>
    <w:rsid w:val="1455301F"/>
    <w:rsid w:val="145E0ED6"/>
    <w:rsid w:val="147C1504"/>
    <w:rsid w:val="148112AD"/>
    <w:rsid w:val="14933736"/>
    <w:rsid w:val="149D19D1"/>
    <w:rsid w:val="14AD2447"/>
    <w:rsid w:val="14BD7435"/>
    <w:rsid w:val="14D41B03"/>
    <w:rsid w:val="14EC7262"/>
    <w:rsid w:val="14F50637"/>
    <w:rsid w:val="14F56962"/>
    <w:rsid w:val="14FD3DC3"/>
    <w:rsid w:val="15274A34"/>
    <w:rsid w:val="152C74BF"/>
    <w:rsid w:val="1535555F"/>
    <w:rsid w:val="15382813"/>
    <w:rsid w:val="154B27A9"/>
    <w:rsid w:val="154B6CF6"/>
    <w:rsid w:val="15516306"/>
    <w:rsid w:val="155B06BC"/>
    <w:rsid w:val="15620F8B"/>
    <w:rsid w:val="156514F3"/>
    <w:rsid w:val="157477F0"/>
    <w:rsid w:val="15864057"/>
    <w:rsid w:val="158C53F6"/>
    <w:rsid w:val="15946EC2"/>
    <w:rsid w:val="1594709F"/>
    <w:rsid w:val="159B1410"/>
    <w:rsid w:val="15A625C0"/>
    <w:rsid w:val="15A70541"/>
    <w:rsid w:val="15AD4348"/>
    <w:rsid w:val="15AD7612"/>
    <w:rsid w:val="15B96153"/>
    <w:rsid w:val="15BC619F"/>
    <w:rsid w:val="15C40EFF"/>
    <w:rsid w:val="15CA097E"/>
    <w:rsid w:val="15D92955"/>
    <w:rsid w:val="15F5535B"/>
    <w:rsid w:val="15F569FA"/>
    <w:rsid w:val="15F656C7"/>
    <w:rsid w:val="1607152F"/>
    <w:rsid w:val="160D7883"/>
    <w:rsid w:val="16200AF2"/>
    <w:rsid w:val="162E2ADD"/>
    <w:rsid w:val="16405266"/>
    <w:rsid w:val="1651617C"/>
    <w:rsid w:val="166852CC"/>
    <w:rsid w:val="16696EE3"/>
    <w:rsid w:val="167518D2"/>
    <w:rsid w:val="168864E9"/>
    <w:rsid w:val="16907088"/>
    <w:rsid w:val="169A4327"/>
    <w:rsid w:val="16A26D59"/>
    <w:rsid w:val="16A52825"/>
    <w:rsid w:val="16A60389"/>
    <w:rsid w:val="16AC66DD"/>
    <w:rsid w:val="16B06BAD"/>
    <w:rsid w:val="16B17712"/>
    <w:rsid w:val="16B95CF7"/>
    <w:rsid w:val="16C42B77"/>
    <w:rsid w:val="16D55B33"/>
    <w:rsid w:val="16D74218"/>
    <w:rsid w:val="16DD2E8B"/>
    <w:rsid w:val="16E376E7"/>
    <w:rsid w:val="16E40C30"/>
    <w:rsid w:val="16E72981"/>
    <w:rsid w:val="16EB66D9"/>
    <w:rsid w:val="16F47BF5"/>
    <w:rsid w:val="16F872C3"/>
    <w:rsid w:val="16FA06E3"/>
    <w:rsid w:val="170167F2"/>
    <w:rsid w:val="17054499"/>
    <w:rsid w:val="170B0BD9"/>
    <w:rsid w:val="171E2D1A"/>
    <w:rsid w:val="173C594E"/>
    <w:rsid w:val="17503F57"/>
    <w:rsid w:val="17505DD6"/>
    <w:rsid w:val="17586CB0"/>
    <w:rsid w:val="17596CA9"/>
    <w:rsid w:val="17600681"/>
    <w:rsid w:val="17665D9F"/>
    <w:rsid w:val="17696EA4"/>
    <w:rsid w:val="17795030"/>
    <w:rsid w:val="177B0627"/>
    <w:rsid w:val="178501CB"/>
    <w:rsid w:val="178A042D"/>
    <w:rsid w:val="17920EA7"/>
    <w:rsid w:val="1797450B"/>
    <w:rsid w:val="17A644BF"/>
    <w:rsid w:val="17A92F07"/>
    <w:rsid w:val="17B31B32"/>
    <w:rsid w:val="17B80549"/>
    <w:rsid w:val="17C76A67"/>
    <w:rsid w:val="17DC2D7F"/>
    <w:rsid w:val="17E95276"/>
    <w:rsid w:val="17EA38A1"/>
    <w:rsid w:val="17EB77A3"/>
    <w:rsid w:val="181C2683"/>
    <w:rsid w:val="18341D76"/>
    <w:rsid w:val="18553A22"/>
    <w:rsid w:val="18607956"/>
    <w:rsid w:val="186E420E"/>
    <w:rsid w:val="187A14AA"/>
    <w:rsid w:val="187B7B4F"/>
    <w:rsid w:val="18A35548"/>
    <w:rsid w:val="18A77689"/>
    <w:rsid w:val="18A816B2"/>
    <w:rsid w:val="18B8431F"/>
    <w:rsid w:val="18B90C48"/>
    <w:rsid w:val="18BC4ADF"/>
    <w:rsid w:val="18CF2450"/>
    <w:rsid w:val="18DA12E6"/>
    <w:rsid w:val="18FC503B"/>
    <w:rsid w:val="19027C40"/>
    <w:rsid w:val="190E3326"/>
    <w:rsid w:val="19164D1E"/>
    <w:rsid w:val="193544CD"/>
    <w:rsid w:val="19443AA2"/>
    <w:rsid w:val="1945355B"/>
    <w:rsid w:val="195159CB"/>
    <w:rsid w:val="195961D5"/>
    <w:rsid w:val="195C14E8"/>
    <w:rsid w:val="196515C3"/>
    <w:rsid w:val="197859DA"/>
    <w:rsid w:val="1980769C"/>
    <w:rsid w:val="19884F66"/>
    <w:rsid w:val="19917CFC"/>
    <w:rsid w:val="199A20B4"/>
    <w:rsid w:val="19A71B82"/>
    <w:rsid w:val="19C6694E"/>
    <w:rsid w:val="19D11E61"/>
    <w:rsid w:val="19D5618C"/>
    <w:rsid w:val="19E22401"/>
    <w:rsid w:val="19E23808"/>
    <w:rsid w:val="1A00532F"/>
    <w:rsid w:val="1A040FBD"/>
    <w:rsid w:val="1A13214F"/>
    <w:rsid w:val="1A434C13"/>
    <w:rsid w:val="1A5C550E"/>
    <w:rsid w:val="1A6F769D"/>
    <w:rsid w:val="1A712AE5"/>
    <w:rsid w:val="1A74386E"/>
    <w:rsid w:val="1A783427"/>
    <w:rsid w:val="1A7B0419"/>
    <w:rsid w:val="1A8A143B"/>
    <w:rsid w:val="1AA67BD3"/>
    <w:rsid w:val="1AC70097"/>
    <w:rsid w:val="1ACC39D6"/>
    <w:rsid w:val="1AFD3AEA"/>
    <w:rsid w:val="1B05238D"/>
    <w:rsid w:val="1B1D44BA"/>
    <w:rsid w:val="1B2C07D2"/>
    <w:rsid w:val="1B2C5EE0"/>
    <w:rsid w:val="1B364D11"/>
    <w:rsid w:val="1B467529"/>
    <w:rsid w:val="1B4B00CA"/>
    <w:rsid w:val="1B566C78"/>
    <w:rsid w:val="1B79696C"/>
    <w:rsid w:val="1B825166"/>
    <w:rsid w:val="1B9411FC"/>
    <w:rsid w:val="1B9D6CE8"/>
    <w:rsid w:val="1BC600B5"/>
    <w:rsid w:val="1BE011AE"/>
    <w:rsid w:val="1BE956C8"/>
    <w:rsid w:val="1C022294"/>
    <w:rsid w:val="1C0B35D4"/>
    <w:rsid w:val="1C234861"/>
    <w:rsid w:val="1C3477C5"/>
    <w:rsid w:val="1C4F6563"/>
    <w:rsid w:val="1C556488"/>
    <w:rsid w:val="1C563FE3"/>
    <w:rsid w:val="1C62402E"/>
    <w:rsid w:val="1C62587C"/>
    <w:rsid w:val="1C6F3BF6"/>
    <w:rsid w:val="1C7D2EB6"/>
    <w:rsid w:val="1C805B43"/>
    <w:rsid w:val="1C852BB0"/>
    <w:rsid w:val="1C9651FD"/>
    <w:rsid w:val="1CB21A29"/>
    <w:rsid w:val="1CCB32EE"/>
    <w:rsid w:val="1CD23361"/>
    <w:rsid w:val="1CE302F7"/>
    <w:rsid w:val="1CF13B49"/>
    <w:rsid w:val="1CF52075"/>
    <w:rsid w:val="1CF70EE3"/>
    <w:rsid w:val="1CFE7E6D"/>
    <w:rsid w:val="1D011F4C"/>
    <w:rsid w:val="1D0D1F95"/>
    <w:rsid w:val="1D1C7AC2"/>
    <w:rsid w:val="1D207BFC"/>
    <w:rsid w:val="1D230741"/>
    <w:rsid w:val="1D2F0DCA"/>
    <w:rsid w:val="1D3E30CF"/>
    <w:rsid w:val="1D3E57BA"/>
    <w:rsid w:val="1D3F5BF4"/>
    <w:rsid w:val="1D49558F"/>
    <w:rsid w:val="1D4B4B5A"/>
    <w:rsid w:val="1D584348"/>
    <w:rsid w:val="1D5D209F"/>
    <w:rsid w:val="1D6D4785"/>
    <w:rsid w:val="1D767ADA"/>
    <w:rsid w:val="1D845021"/>
    <w:rsid w:val="1D861B2D"/>
    <w:rsid w:val="1D896FB3"/>
    <w:rsid w:val="1D9318C5"/>
    <w:rsid w:val="1D941B55"/>
    <w:rsid w:val="1DAB7998"/>
    <w:rsid w:val="1DB01072"/>
    <w:rsid w:val="1DB43F2E"/>
    <w:rsid w:val="1DBE6DCD"/>
    <w:rsid w:val="1DCF57CE"/>
    <w:rsid w:val="1DD11EB5"/>
    <w:rsid w:val="1DD246EC"/>
    <w:rsid w:val="1DD859F5"/>
    <w:rsid w:val="1DDD63A7"/>
    <w:rsid w:val="1DFC4DF9"/>
    <w:rsid w:val="1E0435A0"/>
    <w:rsid w:val="1E110D2A"/>
    <w:rsid w:val="1E155062"/>
    <w:rsid w:val="1E193E9C"/>
    <w:rsid w:val="1E1B38E9"/>
    <w:rsid w:val="1E303EF3"/>
    <w:rsid w:val="1E4F0222"/>
    <w:rsid w:val="1E5C2AF3"/>
    <w:rsid w:val="1E795C41"/>
    <w:rsid w:val="1E7E640D"/>
    <w:rsid w:val="1E7F3A72"/>
    <w:rsid w:val="1E8064D3"/>
    <w:rsid w:val="1E861E21"/>
    <w:rsid w:val="1EBD6E42"/>
    <w:rsid w:val="1EC25D1C"/>
    <w:rsid w:val="1EC87ABC"/>
    <w:rsid w:val="1ED242FC"/>
    <w:rsid w:val="1ED56C03"/>
    <w:rsid w:val="1EE05F54"/>
    <w:rsid w:val="1F05532C"/>
    <w:rsid w:val="1F095121"/>
    <w:rsid w:val="1F1527EE"/>
    <w:rsid w:val="1F20034A"/>
    <w:rsid w:val="1F251ABC"/>
    <w:rsid w:val="1F290391"/>
    <w:rsid w:val="1F2A2D10"/>
    <w:rsid w:val="1F370102"/>
    <w:rsid w:val="1F48506F"/>
    <w:rsid w:val="1F4B10C3"/>
    <w:rsid w:val="1F5C7F87"/>
    <w:rsid w:val="1F6C1D79"/>
    <w:rsid w:val="1F792E9A"/>
    <w:rsid w:val="1F7B67F6"/>
    <w:rsid w:val="1F7C518B"/>
    <w:rsid w:val="1F881F59"/>
    <w:rsid w:val="1F977565"/>
    <w:rsid w:val="1FA429B4"/>
    <w:rsid w:val="1FB75185"/>
    <w:rsid w:val="1FB97163"/>
    <w:rsid w:val="1FBD0EE6"/>
    <w:rsid w:val="1FFA3EAB"/>
    <w:rsid w:val="1FFB3FF4"/>
    <w:rsid w:val="20176E76"/>
    <w:rsid w:val="203F0CD6"/>
    <w:rsid w:val="207411D3"/>
    <w:rsid w:val="20743131"/>
    <w:rsid w:val="207536DF"/>
    <w:rsid w:val="20783BF9"/>
    <w:rsid w:val="20786435"/>
    <w:rsid w:val="20811113"/>
    <w:rsid w:val="20874766"/>
    <w:rsid w:val="2088281D"/>
    <w:rsid w:val="20917F9C"/>
    <w:rsid w:val="2094661E"/>
    <w:rsid w:val="20951ED4"/>
    <w:rsid w:val="20962536"/>
    <w:rsid w:val="20B50E80"/>
    <w:rsid w:val="20B7483F"/>
    <w:rsid w:val="20BD02A3"/>
    <w:rsid w:val="20BE1841"/>
    <w:rsid w:val="20D95B71"/>
    <w:rsid w:val="20DA60A5"/>
    <w:rsid w:val="20DB223A"/>
    <w:rsid w:val="20EC58CB"/>
    <w:rsid w:val="21014223"/>
    <w:rsid w:val="21291A31"/>
    <w:rsid w:val="2138052E"/>
    <w:rsid w:val="214776EA"/>
    <w:rsid w:val="21522E38"/>
    <w:rsid w:val="2159046C"/>
    <w:rsid w:val="21592762"/>
    <w:rsid w:val="21611A31"/>
    <w:rsid w:val="218D61A9"/>
    <w:rsid w:val="2190117D"/>
    <w:rsid w:val="219140F2"/>
    <w:rsid w:val="21994057"/>
    <w:rsid w:val="21A34664"/>
    <w:rsid w:val="21B80E8C"/>
    <w:rsid w:val="21C24072"/>
    <w:rsid w:val="21D965A1"/>
    <w:rsid w:val="21E11782"/>
    <w:rsid w:val="21E14B35"/>
    <w:rsid w:val="21E617C0"/>
    <w:rsid w:val="21EC3E44"/>
    <w:rsid w:val="21F2539C"/>
    <w:rsid w:val="21F65A58"/>
    <w:rsid w:val="21FB61D0"/>
    <w:rsid w:val="220B3AD6"/>
    <w:rsid w:val="221E272E"/>
    <w:rsid w:val="222A1FFE"/>
    <w:rsid w:val="222B075F"/>
    <w:rsid w:val="223C2D91"/>
    <w:rsid w:val="224D7BB0"/>
    <w:rsid w:val="225474CD"/>
    <w:rsid w:val="225F0409"/>
    <w:rsid w:val="226D42BA"/>
    <w:rsid w:val="22833161"/>
    <w:rsid w:val="228338C8"/>
    <w:rsid w:val="22876A0D"/>
    <w:rsid w:val="22A11695"/>
    <w:rsid w:val="22A63B38"/>
    <w:rsid w:val="22A8489A"/>
    <w:rsid w:val="22AB3B60"/>
    <w:rsid w:val="22B33D99"/>
    <w:rsid w:val="22BB4A47"/>
    <w:rsid w:val="22BC2773"/>
    <w:rsid w:val="22BE29D6"/>
    <w:rsid w:val="22C4003E"/>
    <w:rsid w:val="22D02654"/>
    <w:rsid w:val="22D10E4B"/>
    <w:rsid w:val="22D90210"/>
    <w:rsid w:val="22D912F9"/>
    <w:rsid w:val="22E1284D"/>
    <w:rsid w:val="22E73006"/>
    <w:rsid w:val="22EB3773"/>
    <w:rsid w:val="22F31E85"/>
    <w:rsid w:val="22FB2321"/>
    <w:rsid w:val="22FF6AA7"/>
    <w:rsid w:val="2306325F"/>
    <w:rsid w:val="2311101C"/>
    <w:rsid w:val="2319089C"/>
    <w:rsid w:val="231B2491"/>
    <w:rsid w:val="232F45E5"/>
    <w:rsid w:val="23382F5D"/>
    <w:rsid w:val="23561CD1"/>
    <w:rsid w:val="235E47B6"/>
    <w:rsid w:val="23646298"/>
    <w:rsid w:val="236B32CC"/>
    <w:rsid w:val="2372506B"/>
    <w:rsid w:val="2376691B"/>
    <w:rsid w:val="238D66BE"/>
    <w:rsid w:val="239540DC"/>
    <w:rsid w:val="23965F67"/>
    <w:rsid w:val="23A11F4F"/>
    <w:rsid w:val="23B41225"/>
    <w:rsid w:val="23BA6237"/>
    <w:rsid w:val="23BC048E"/>
    <w:rsid w:val="23C9616F"/>
    <w:rsid w:val="23CE659F"/>
    <w:rsid w:val="23CF7FD3"/>
    <w:rsid w:val="23D4199E"/>
    <w:rsid w:val="23DC01C4"/>
    <w:rsid w:val="23DC60E2"/>
    <w:rsid w:val="23E17EC8"/>
    <w:rsid w:val="23E47406"/>
    <w:rsid w:val="23E91B93"/>
    <w:rsid w:val="23F6160A"/>
    <w:rsid w:val="23FB72B1"/>
    <w:rsid w:val="24026C92"/>
    <w:rsid w:val="240657B6"/>
    <w:rsid w:val="240C2CCA"/>
    <w:rsid w:val="240C553C"/>
    <w:rsid w:val="24323334"/>
    <w:rsid w:val="243336DA"/>
    <w:rsid w:val="243D6215"/>
    <w:rsid w:val="245226BE"/>
    <w:rsid w:val="245550BB"/>
    <w:rsid w:val="24662623"/>
    <w:rsid w:val="24676BCD"/>
    <w:rsid w:val="24750E49"/>
    <w:rsid w:val="24872D53"/>
    <w:rsid w:val="248E7D90"/>
    <w:rsid w:val="249321BF"/>
    <w:rsid w:val="249C0D83"/>
    <w:rsid w:val="24A033EE"/>
    <w:rsid w:val="24C434A5"/>
    <w:rsid w:val="24CA496C"/>
    <w:rsid w:val="24D35568"/>
    <w:rsid w:val="24D72C44"/>
    <w:rsid w:val="24E954E0"/>
    <w:rsid w:val="24F37FEF"/>
    <w:rsid w:val="24F82FB3"/>
    <w:rsid w:val="251809ED"/>
    <w:rsid w:val="25241C4A"/>
    <w:rsid w:val="25265A8E"/>
    <w:rsid w:val="252A5159"/>
    <w:rsid w:val="25380B4A"/>
    <w:rsid w:val="253C2F3D"/>
    <w:rsid w:val="253C65AF"/>
    <w:rsid w:val="25410D56"/>
    <w:rsid w:val="254F6D5C"/>
    <w:rsid w:val="256F1EB3"/>
    <w:rsid w:val="25720D21"/>
    <w:rsid w:val="257C63F7"/>
    <w:rsid w:val="258426BC"/>
    <w:rsid w:val="25867F54"/>
    <w:rsid w:val="258B4AE4"/>
    <w:rsid w:val="259114ED"/>
    <w:rsid w:val="2593720A"/>
    <w:rsid w:val="25996F48"/>
    <w:rsid w:val="259A3CB2"/>
    <w:rsid w:val="259E5828"/>
    <w:rsid w:val="25AB0A3D"/>
    <w:rsid w:val="25AC370D"/>
    <w:rsid w:val="25B22B68"/>
    <w:rsid w:val="25C15D16"/>
    <w:rsid w:val="25C55B83"/>
    <w:rsid w:val="25CD5BF1"/>
    <w:rsid w:val="25D31208"/>
    <w:rsid w:val="25DD0809"/>
    <w:rsid w:val="25E27416"/>
    <w:rsid w:val="25E46656"/>
    <w:rsid w:val="25E47484"/>
    <w:rsid w:val="25E92FBE"/>
    <w:rsid w:val="25F70EE4"/>
    <w:rsid w:val="260139F3"/>
    <w:rsid w:val="26080DD9"/>
    <w:rsid w:val="26082798"/>
    <w:rsid w:val="26095114"/>
    <w:rsid w:val="26280E6C"/>
    <w:rsid w:val="262E05B0"/>
    <w:rsid w:val="263E0859"/>
    <w:rsid w:val="263E1A96"/>
    <w:rsid w:val="26433FB7"/>
    <w:rsid w:val="26452DA3"/>
    <w:rsid w:val="266A2AD6"/>
    <w:rsid w:val="266C2FED"/>
    <w:rsid w:val="26783498"/>
    <w:rsid w:val="267A33D1"/>
    <w:rsid w:val="268246BC"/>
    <w:rsid w:val="26952295"/>
    <w:rsid w:val="269626DF"/>
    <w:rsid w:val="26AE5F52"/>
    <w:rsid w:val="26B32654"/>
    <w:rsid w:val="26B8056C"/>
    <w:rsid w:val="26C87742"/>
    <w:rsid w:val="26E33E5B"/>
    <w:rsid w:val="26E70CA8"/>
    <w:rsid w:val="26F54808"/>
    <w:rsid w:val="27094F93"/>
    <w:rsid w:val="270E05C8"/>
    <w:rsid w:val="27172021"/>
    <w:rsid w:val="271927EF"/>
    <w:rsid w:val="271A253D"/>
    <w:rsid w:val="271C2CE9"/>
    <w:rsid w:val="27235746"/>
    <w:rsid w:val="273E49F4"/>
    <w:rsid w:val="274321B1"/>
    <w:rsid w:val="274525DC"/>
    <w:rsid w:val="274652E6"/>
    <w:rsid w:val="27480748"/>
    <w:rsid w:val="27625310"/>
    <w:rsid w:val="27641213"/>
    <w:rsid w:val="277A2EC6"/>
    <w:rsid w:val="27841ADD"/>
    <w:rsid w:val="278B7262"/>
    <w:rsid w:val="278E7D5F"/>
    <w:rsid w:val="279429E3"/>
    <w:rsid w:val="27A74D7A"/>
    <w:rsid w:val="27A91AD2"/>
    <w:rsid w:val="27AF57B8"/>
    <w:rsid w:val="27B25FFF"/>
    <w:rsid w:val="27C96B67"/>
    <w:rsid w:val="27CB38EC"/>
    <w:rsid w:val="27CB5FF9"/>
    <w:rsid w:val="27D34267"/>
    <w:rsid w:val="27E4169F"/>
    <w:rsid w:val="27E476BC"/>
    <w:rsid w:val="280410A7"/>
    <w:rsid w:val="281713C1"/>
    <w:rsid w:val="28202089"/>
    <w:rsid w:val="28210C3B"/>
    <w:rsid w:val="283E3927"/>
    <w:rsid w:val="28432F7C"/>
    <w:rsid w:val="285065F4"/>
    <w:rsid w:val="28564AD0"/>
    <w:rsid w:val="285E1540"/>
    <w:rsid w:val="28634EA7"/>
    <w:rsid w:val="2868554F"/>
    <w:rsid w:val="286D715D"/>
    <w:rsid w:val="28710251"/>
    <w:rsid w:val="287270BD"/>
    <w:rsid w:val="287508F6"/>
    <w:rsid w:val="288C7056"/>
    <w:rsid w:val="288F598A"/>
    <w:rsid w:val="289910F7"/>
    <w:rsid w:val="28A14F66"/>
    <w:rsid w:val="28A4234C"/>
    <w:rsid w:val="28A63531"/>
    <w:rsid w:val="28A773FC"/>
    <w:rsid w:val="28D02425"/>
    <w:rsid w:val="28D527CA"/>
    <w:rsid w:val="28DB1A3D"/>
    <w:rsid w:val="28F934CA"/>
    <w:rsid w:val="291218C3"/>
    <w:rsid w:val="2912731C"/>
    <w:rsid w:val="29157321"/>
    <w:rsid w:val="291F35AA"/>
    <w:rsid w:val="292B0670"/>
    <w:rsid w:val="292E0A29"/>
    <w:rsid w:val="29325A72"/>
    <w:rsid w:val="29566904"/>
    <w:rsid w:val="29582224"/>
    <w:rsid w:val="29585835"/>
    <w:rsid w:val="29712D8F"/>
    <w:rsid w:val="29736267"/>
    <w:rsid w:val="297B31D3"/>
    <w:rsid w:val="298D4850"/>
    <w:rsid w:val="299C7DCA"/>
    <w:rsid w:val="29A021A8"/>
    <w:rsid w:val="29B344DC"/>
    <w:rsid w:val="29B539E6"/>
    <w:rsid w:val="29BC2699"/>
    <w:rsid w:val="29C8428C"/>
    <w:rsid w:val="29DD7E33"/>
    <w:rsid w:val="29E81D60"/>
    <w:rsid w:val="29F035C0"/>
    <w:rsid w:val="29F05E16"/>
    <w:rsid w:val="29F54832"/>
    <w:rsid w:val="2A160D87"/>
    <w:rsid w:val="2A307EBE"/>
    <w:rsid w:val="2A3E413F"/>
    <w:rsid w:val="2A534A67"/>
    <w:rsid w:val="2A5F67A3"/>
    <w:rsid w:val="2A6151C4"/>
    <w:rsid w:val="2A664C59"/>
    <w:rsid w:val="2A6B464E"/>
    <w:rsid w:val="2A944B48"/>
    <w:rsid w:val="2A9A0F2B"/>
    <w:rsid w:val="2AA07917"/>
    <w:rsid w:val="2AA67F8B"/>
    <w:rsid w:val="2AAC289A"/>
    <w:rsid w:val="2AB138BA"/>
    <w:rsid w:val="2AC51079"/>
    <w:rsid w:val="2AD05182"/>
    <w:rsid w:val="2AE47A17"/>
    <w:rsid w:val="2AEB2740"/>
    <w:rsid w:val="2AF74347"/>
    <w:rsid w:val="2B0A4D59"/>
    <w:rsid w:val="2B1A32A0"/>
    <w:rsid w:val="2B26693B"/>
    <w:rsid w:val="2B2F1FC7"/>
    <w:rsid w:val="2B37764D"/>
    <w:rsid w:val="2B4F2967"/>
    <w:rsid w:val="2B5C1A7C"/>
    <w:rsid w:val="2B6525E9"/>
    <w:rsid w:val="2B6E19DB"/>
    <w:rsid w:val="2B7C5660"/>
    <w:rsid w:val="2B8944AA"/>
    <w:rsid w:val="2B92679C"/>
    <w:rsid w:val="2B986BC6"/>
    <w:rsid w:val="2BA16669"/>
    <w:rsid w:val="2BAE20A5"/>
    <w:rsid w:val="2BAF2381"/>
    <w:rsid w:val="2BB1376A"/>
    <w:rsid w:val="2BBA7E05"/>
    <w:rsid w:val="2BBB17D5"/>
    <w:rsid w:val="2BC3413A"/>
    <w:rsid w:val="2BC45396"/>
    <w:rsid w:val="2BD540AD"/>
    <w:rsid w:val="2BF336C9"/>
    <w:rsid w:val="2BFB7405"/>
    <w:rsid w:val="2C006833"/>
    <w:rsid w:val="2C040D89"/>
    <w:rsid w:val="2C0509D9"/>
    <w:rsid w:val="2C05481D"/>
    <w:rsid w:val="2C3F3887"/>
    <w:rsid w:val="2C533A6A"/>
    <w:rsid w:val="2C560EA3"/>
    <w:rsid w:val="2C617496"/>
    <w:rsid w:val="2C62156F"/>
    <w:rsid w:val="2C730778"/>
    <w:rsid w:val="2C833FFB"/>
    <w:rsid w:val="2C8F430E"/>
    <w:rsid w:val="2CA21894"/>
    <w:rsid w:val="2CA4476E"/>
    <w:rsid w:val="2CAD4F6B"/>
    <w:rsid w:val="2CB17FD2"/>
    <w:rsid w:val="2CCB5A72"/>
    <w:rsid w:val="2CD57684"/>
    <w:rsid w:val="2CD67A0B"/>
    <w:rsid w:val="2CD75666"/>
    <w:rsid w:val="2CE03AB0"/>
    <w:rsid w:val="2CEF53E3"/>
    <w:rsid w:val="2CF53A56"/>
    <w:rsid w:val="2CF649A9"/>
    <w:rsid w:val="2D0B702A"/>
    <w:rsid w:val="2D107EBA"/>
    <w:rsid w:val="2D221AAA"/>
    <w:rsid w:val="2D504333"/>
    <w:rsid w:val="2D521264"/>
    <w:rsid w:val="2D567058"/>
    <w:rsid w:val="2D57290A"/>
    <w:rsid w:val="2D660EF9"/>
    <w:rsid w:val="2D6C2B47"/>
    <w:rsid w:val="2D820204"/>
    <w:rsid w:val="2D88024C"/>
    <w:rsid w:val="2D935488"/>
    <w:rsid w:val="2D9B4423"/>
    <w:rsid w:val="2DAC2EF4"/>
    <w:rsid w:val="2DAD4BCD"/>
    <w:rsid w:val="2DB453FF"/>
    <w:rsid w:val="2DBE4237"/>
    <w:rsid w:val="2DCB10F0"/>
    <w:rsid w:val="2DCB38A1"/>
    <w:rsid w:val="2DD066E9"/>
    <w:rsid w:val="2DF036FB"/>
    <w:rsid w:val="2DFD78B4"/>
    <w:rsid w:val="2DFE083B"/>
    <w:rsid w:val="2E0708FF"/>
    <w:rsid w:val="2E1643B9"/>
    <w:rsid w:val="2E184C0F"/>
    <w:rsid w:val="2E28757C"/>
    <w:rsid w:val="2E3F6B8A"/>
    <w:rsid w:val="2E527715"/>
    <w:rsid w:val="2E530660"/>
    <w:rsid w:val="2E531152"/>
    <w:rsid w:val="2E565287"/>
    <w:rsid w:val="2E5F1E47"/>
    <w:rsid w:val="2E682652"/>
    <w:rsid w:val="2E6B6D27"/>
    <w:rsid w:val="2E7A506F"/>
    <w:rsid w:val="2E7B273D"/>
    <w:rsid w:val="2E7D30EA"/>
    <w:rsid w:val="2E8028E0"/>
    <w:rsid w:val="2E8F062E"/>
    <w:rsid w:val="2E9D560F"/>
    <w:rsid w:val="2E9F7EC1"/>
    <w:rsid w:val="2EB411B5"/>
    <w:rsid w:val="2EBF0ED1"/>
    <w:rsid w:val="2EC7495E"/>
    <w:rsid w:val="2EC776BB"/>
    <w:rsid w:val="2ECA39AD"/>
    <w:rsid w:val="2EF224CD"/>
    <w:rsid w:val="2EF67D61"/>
    <w:rsid w:val="2EFA2F2B"/>
    <w:rsid w:val="2F2E23A6"/>
    <w:rsid w:val="2F350F19"/>
    <w:rsid w:val="2F3B1918"/>
    <w:rsid w:val="2F415DC8"/>
    <w:rsid w:val="2F5B5B3B"/>
    <w:rsid w:val="2F615468"/>
    <w:rsid w:val="2F655F0E"/>
    <w:rsid w:val="2F6B73F9"/>
    <w:rsid w:val="2F6D4FA6"/>
    <w:rsid w:val="2F756E65"/>
    <w:rsid w:val="2F897AA1"/>
    <w:rsid w:val="2F8D4D67"/>
    <w:rsid w:val="2F9051B8"/>
    <w:rsid w:val="2F910893"/>
    <w:rsid w:val="2F9D4AA3"/>
    <w:rsid w:val="2F9F094E"/>
    <w:rsid w:val="2FB11323"/>
    <w:rsid w:val="2FBB6A2A"/>
    <w:rsid w:val="2FCB0952"/>
    <w:rsid w:val="2FD53529"/>
    <w:rsid w:val="2FDF7CD4"/>
    <w:rsid w:val="2FF532B7"/>
    <w:rsid w:val="2FF674CB"/>
    <w:rsid w:val="2FF7251F"/>
    <w:rsid w:val="30007788"/>
    <w:rsid w:val="30205153"/>
    <w:rsid w:val="30253FAB"/>
    <w:rsid w:val="303B3B59"/>
    <w:rsid w:val="303C0C41"/>
    <w:rsid w:val="303D6437"/>
    <w:rsid w:val="30443F81"/>
    <w:rsid w:val="305831D6"/>
    <w:rsid w:val="30632880"/>
    <w:rsid w:val="3070014A"/>
    <w:rsid w:val="307B4FFA"/>
    <w:rsid w:val="3095375A"/>
    <w:rsid w:val="30A91070"/>
    <w:rsid w:val="30B86332"/>
    <w:rsid w:val="30C91D87"/>
    <w:rsid w:val="30D251E3"/>
    <w:rsid w:val="30D36EB7"/>
    <w:rsid w:val="30D45137"/>
    <w:rsid w:val="30D51A41"/>
    <w:rsid w:val="31076B28"/>
    <w:rsid w:val="31076EFA"/>
    <w:rsid w:val="310866BC"/>
    <w:rsid w:val="31154DED"/>
    <w:rsid w:val="31215B33"/>
    <w:rsid w:val="312A36B1"/>
    <w:rsid w:val="313A2CAC"/>
    <w:rsid w:val="313E6356"/>
    <w:rsid w:val="31460C29"/>
    <w:rsid w:val="315B5E62"/>
    <w:rsid w:val="3163108E"/>
    <w:rsid w:val="3167538F"/>
    <w:rsid w:val="317A487D"/>
    <w:rsid w:val="318A1515"/>
    <w:rsid w:val="31944F6F"/>
    <w:rsid w:val="31963456"/>
    <w:rsid w:val="31B12D3C"/>
    <w:rsid w:val="31B2653B"/>
    <w:rsid w:val="31B266EC"/>
    <w:rsid w:val="31B45163"/>
    <w:rsid w:val="31B81D35"/>
    <w:rsid w:val="31C3729F"/>
    <w:rsid w:val="31CB617D"/>
    <w:rsid w:val="31DF1DB8"/>
    <w:rsid w:val="32061C7F"/>
    <w:rsid w:val="320D2005"/>
    <w:rsid w:val="32252577"/>
    <w:rsid w:val="32294648"/>
    <w:rsid w:val="323F5519"/>
    <w:rsid w:val="32471CC6"/>
    <w:rsid w:val="32540593"/>
    <w:rsid w:val="32582CC3"/>
    <w:rsid w:val="327179A4"/>
    <w:rsid w:val="32775626"/>
    <w:rsid w:val="32835AB1"/>
    <w:rsid w:val="328A3A5F"/>
    <w:rsid w:val="328D7371"/>
    <w:rsid w:val="328E2231"/>
    <w:rsid w:val="329426A2"/>
    <w:rsid w:val="329708DE"/>
    <w:rsid w:val="32AD1211"/>
    <w:rsid w:val="32E12F9A"/>
    <w:rsid w:val="32E87F66"/>
    <w:rsid w:val="32FF12B8"/>
    <w:rsid w:val="33020BF1"/>
    <w:rsid w:val="330710D7"/>
    <w:rsid w:val="33224534"/>
    <w:rsid w:val="332742E9"/>
    <w:rsid w:val="332C71E1"/>
    <w:rsid w:val="332F3B66"/>
    <w:rsid w:val="333B116B"/>
    <w:rsid w:val="33616D4E"/>
    <w:rsid w:val="33821BAB"/>
    <w:rsid w:val="338378EA"/>
    <w:rsid w:val="33885755"/>
    <w:rsid w:val="339E18BC"/>
    <w:rsid w:val="33A57822"/>
    <w:rsid w:val="33AA7345"/>
    <w:rsid w:val="33B37087"/>
    <w:rsid w:val="33BC4D91"/>
    <w:rsid w:val="33BF4D9D"/>
    <w:rsid w:val="33C504FF"/>
    <w:rsid w:val="33C968FA"/>
    <w:rsid w:val="33D23DF5"/>
    <w:rsid w:val="33D246C3"/>
    <w:rsid w:val="33DF11C8"/>
    <w:rsid w:val="33E442C9"/>
    <w:rsid w:val="33E61B12"/>
    <w:rsid w:val="33FE7E15"/>
    <w:rsid w:val="33FF1154"/>
    <w:rsid w:val="340948E1"/>
    <w:rsid w:val="340D3904"/>
    <w:rsid w:val="341212B1"/>
    <w:rsid w:val="341321BE"/>
    <w:rsid w:val="34155C01"/>
    <w:rsid w:val="34293255"/>
    <w:rsid w:val="34314E1D"/>
    <w:rsid w:val="34374868"/>
    <w:rsid w:val="34417702"/>
    <w:rsid w:val="34417EB0"/>
    <w:rsid w:val="3446518F"/>
    <w:rsid w:val="344A296C"/>
    <w:rsid w:val="344C25CD"/>
    <w:rsid w:val="344F610D"/>
    <w:rsid w:val="345B15DB"/>
    <w:rsid w:val="346B1ADA"/>
    <w:rsid w:val="346C4A94"/>
    <w:rsid w:val="346E7A5A"/>
    <w:rsid w:val="3477244E"/>
    <w:rsid w:val="34782617"/>
    <w:rsid w:val="347946FA"/>
    <w:rsid w:val="347A6171"/>
    <w:rsid w:val="348440EB"/>
    <w:rsid w:val="348D33D3"/>
    <w:rsid w:val="3496737A"/>
    <w:rsid w:val="34AC0653"/>
    <w:rsid w:val="34AC2DE9"/>
    <w:rsid w:val="34B84D9B"/>
    <w:rsid w:val="34BE7103"/>
    <w:rsid w:val="34CE3369"/>
    <w:rsid w:val="34DC1C67"/>
    <w:rsid w:val="34E47162"/>
    <w:rsid w:val="3500311A"/>
    <w:rsid w:val="350B76BF"/>
    <w:rsid w:val="351710F0"/>
    <w:rsid w:val="352E435E"/>
    <w:rsid w:val="3534069E"/>
    <w:rsid w:val="353D45FA"/>
    <w:rsid w:val="35505013"/>
    <w:rsid w:val="356D51F7"/>
    <w:rsid w:val="357D79D3"/>
    <w:rsid w:val="35804F9D"/>
    <w:rsid w:val="35884385"/>
    <w:rsid w:val="358B0F26"/>
    <w:rsid w:val="35924A15"/>
    <w:rsid w:val="359753B1"/>
    <w:rsid w:val="35A25468"/>
    <w:rsid w:val="35AC56FE"/>
    <w:rsid w:val="35C3354B"/>
    <w:rsid w:val="35E1012B"/>
    <w:rsid w:val="35E1505C"/>
    <w:rsid w:val="35E328B8"/>
    <w:rsid w:val="35E3701E"/>
    <w:rsid w:val="35E420DE"/>
    <w:rsid w:val="35E607CD"/>
    <w:rsid w:val="35EC6F4A"/>
    <w:rsid w:val="35EE6A38"/>
    <w:rsid w:val="35F5734F"/>
    <w:rsid w:val="35F65884"/>
    <w:rsid w:val="35F715DC"/>
    <w:rsid w:val="36057267"/>
    <w:rsid w:val="362E1546"/>
    <w:rsid w:val="36330CA5"/>
    <w:rsid w:val="364236D7"/>
    <w:rsid w:val="367C0A7E"/>
    <w:rsid w:val="36856B5A"/>
    <w:rsid w:val="36883C27"/>
    <w:rsid w:val="36950061"/>
    <w:rsid w:val="36A32443"/>
    <w:rsid w:val="36A61ADA"/>
    <w:rsid w:val="36AC504E"/>
    <w:rsid w:val="36B45F51"/>
    <w:rsid w:val="36E17BD4"/>
    <w:rsid w:val="36F76FAD"/>
    <w:rsid w:val="370F6D7D"/>
    <w:rsid w:val="37113E21"/>
    <w:rsid w:val="37244D17"/>
    <w:rsid w:val="373F483B"/>
    <w:rsid w:val="37451D56"/>
    <w:rsid w:val="37633810"/>
    <w:rsid w:val="37737FCD"/>
    <w:rsid w:val="37831AFE"/>
    <w:rsid w:val="379747E4"/>
    <w:rsid w:val="37A10A3C"/>
    <w:rsid w:val="37A32862"/>
    <w:rsid w:val="37A771F1"/>
    <w:rsid w:val="37B25951"/>
    <w:rsid w:val="381523AC"/>
    <w:rsid w:val="3816611D"/>
    <w:rsid w:val="381D6FCC"/>
    <w:rsid w:val="382563C3"/>
    <w:rsid w:val="382B10C6"/>
    <w:rsid w:val="384502C9"/>
    <w:rsid w:val="384757BF"/>
    <w:rsid w:val="384D7A6B"/>
    <w:rsid w:val="38527F5E"/>
    <w:rsid w:val="38576EB1"/>
    <w:rsid w:val="386F64C6"/>
    <w:rsid w:val="38755246"/>
    <w:rsid w:val="38850F2D"/>
    <w:rsid w:val="3891497A"/>
    <w:rsid w:val="38934709"/>
    <w:rsid w:val="3899545E"/>
    <w:rsid w:val="389B63CB"/>
    <w:rsid w:val="389D36E7"/>
    <w:rsid w:val="38B10DA8"/>
    <w:rsid w:val="38B976FB"/>
    <w:rsid w:val="38BB5EDA"/>
    <w:rsid w:val="38C6779A"/>
    <w:rsid w:val="38DC2A26"/>
    <w:rsid w:val="38DC5040"/>
    <w:rsid w:val="38EA0958"/>
    <w:rsid w:val="38EA292A"/>
    <w:rsid w:val="38EB3140"/>
    <w:rsid w:val="38FC7F68"/>
    <w:rsid w:val="390150BD"/>
    <w:rsid w:val="39015BC8"/>
    <w:rsid w:val="39132EBE"/>
    <w:rsid w:val="3923223F"/>
    <w:rsid w:val="393F3649"/>
    <w:rsid w:val="39434B25"/>
    <w:rsid w:val="39442CC4"/>
    <w:rsid w:val="394A3B36"/>
    <w:rsid w:val="394C053B"/>
    <w:rsid w:val="39532D05"/>
    <w:rsid w:val="395A1855"/>
    <w:rsid w:val="3962425A"/>
    <w:rsid w:val="396E504E"/>
    <w:rsid w:val="39741673"/>
    <w:rsid w:val="397F2866"/>
    <w:rsid w:val="39850A26"/>
    <w:rsid w:val="399108C7"/>
    <w:rsid w:val="39A118CD"/>
    <w:rsid w:val="39A337DD"/>
    <w:rsid w:val="39B1002C"/>
    <w:rsid w:val="39B75345"/>
    <w:rsid w:val="39C83126"/>
    <w:rsid w:val="39D037AF"/>
    <w:rsid w:val="39D466BD"/>
    <w:rsid w:val="39D7158B"/>
    <w:rsid w:val="39E03897"/>
    <w:rsid w:val="39F17FFD"/>
    <w:rsid w:val="3A066160"/>
    <w:rsid w:val="3A0D48B1"/>
    <w:rsid w:val="3A274488"/>
    <w:rsid w:val="3A336331"/>
    <w:rsid w:val="3A431472"/>
    <w:rsid w:val="3A474B1C"/>
    <w:rsid w:val="3A5207B4"/>
    <w:rsid w:val="3A541BF5"/>
    <w:rsid w:val="3A553D9F"/>
    <w:rsid w:val="3A5A285A"/>
    <w:rsid w:val="3A6A4AC7"/>
    <w:rsid w:val="3A6E26C3"/>
    <w:rsid w:val="3A72622B"/>
    <w:rsid w:val="3A9038DA"/>
    <w:rsid w:val="3A936647"/>
    <w:rsid w:val="3A9E4B32"/>
    <w:rsid w:val="3A9F1B2C"/>
    <w:rsid w:val="3AA913CF"/>
    <w:rsid w:val="3AC036CC"/>
    <w:rsid w:val="3AC205A6"/>
    <w:rsid w:val="3AD17EBD"/>
    <w:rsid w:val="3AEA3CFC"/>
    <w:rsid w:val="3AF044A5"/>
    <w:rsid w:val="3AFC4CC9"/>
    <w:rsid w:val="3B00301D"/>
    <w:rsid w:val="3B1752EE"/>
    <w:rsid w:val="3B1C35AC"/>
    <w:rsid w:val="3B3155AA"/>
    <w:rsid w:val="3B3E0B10"/>
    <w:rsid w:val="3B4F1508"/>
    <w:rsid w:val="3B580D61"/>
    <w:rsid w:val="3B7B2B0A"/>
    <w:rsid w:val="3B914065"/>
    <w:rsid w:val="3B9F483C"/>
    <w:rsid w:val="3BB249F7"/>
    <w:rsid w:val="3BBE3122"/>
    <w:rsid w:val="3BC20515"/>
    <w:rsid w:val="3BC53C74"/>
    <w:rsid w:val="3BC772AB"/>
    <w:rsid w:val="3BC812C8"/>
    <w:rsid w:val="3BD741DE"/>
    <w:rsid w:val="3BE7491F"/>
    <w:rsid w:val="3BE82033"/>
    <w:rsid w:val="3BEF3F98"/>
    <w:rsid w:val="3BF01125"/>
    <w:rsid w:val="3C035D20"/>
    <w:rsid w:val="3C165216"/>
    <w:rsid w:val="3C220A63"/>
    <w:rsid w:val="3C286FD8"/>
    <w:rsid w:val="3C326DEB"/>
    <w:rsid w:val="3C3C1378"/>
    <w:rsid w:val="3C497D33"/>
    <w:rsid w:val="3C5C0867"/>
    <w:rsid w:val="3C685003"/>
    <w:rsid w:val="3C727A71"/>
    <w:rsid w:val="3C732FE2"/>
    <w:rsid w:val="3C7A3669"/>
    <w:rsid w:val="3C882BD0"/>
    <w:rsid w:val="3C94545E"/>
    <w:rsid w:val="3CAE0651"/>
    <w:rsid w:val="3CBC2D9B"/>
    <w:rsid w:val="3CCD1D16"/>
    <w:rsid w:val="3CD85D57"/>
    <w:rsid w:val="3CD87AA0"/>
    <w:rsid w:val="3CDA5112"/>
    <w:rsid w:val="3CDB62C1"/>
    <w:rsid w:val="3CE26359"/>
    <w:rsid w:val="3CE70364"/>
    <w:rsid w:val="3CFD4D35"/>
    <w:rsid w:val="3D064D69"/>
    <w:rsid w:val="3D0E399D"/>
    <w:rsid w:val="3D12721E"/>
    <w:rsid w:val="3D27093B"/>
    <w:rsid w:val="3D351ADA"/>
    <w:rsid w:val="3D3D6CB6"/>
    <w:rsid w:val="3D4B2FA5"/>
    <w:rsid w:val="3D527DA5"/>
    <w:rsid w:val="3D546058"/>
    <w:rsid w:val="3D58650A"/>
    <w:rsid w:val="3D590765"/>
    <w:rsid w:val="3D640E16"/>
    <w:rsid w:val="3D67132F"/>
    <w:rsid w:val="3D7B0D27"/>
    <w:rsid w:val="3D896CEB"/>
    <w:rsid w:val="3D9A2D6C"/>
    <w:rsid w:val="3DB52668"/>
    <w:rsid w:val="3DDF7A0D"/>
    <w:rsid w:val="3E00097B"/>
    <w:rsid w:val="3E011326"/>
    <w:rsid w:val="3E264903"/>
    <w:rsid w:val="3E2806A1"/>
    <w:rsid w:val="3E2E35CB"/>
    <w:rsid w:val="3E31025E"/>
    <w:rsid w:val="3E4755F9"/>
    <w:rsid w:val="3E556354"/>
    <w:rsid w:val="3E6336EF"/>
    <w:rsid w:val="3E6E2E9E"/>
    <w:rsid w:val="3E8222F7"/>
    <w:rsid w:val="3E8258B1"/>
    <w:rsid w:val="3E92738B"/>
    <w:rsid w:val="3E99456A"/>
    <w:rsid w:val="3EAD3D57"/>
    <w:rsid w:val="3EAF02B7"/>
    <w:rsid w:val="3EB1188E"/>
    <w:rsid w:val="3EBD63D7"/>
    <w:rsid w:val="3EC334A7"/>
    <w:rsid w:val="3EE067CA"/>
    <w:rsid w:val="3EF57D05"/>
    <w:rsid w:val="3F002CCF"/>
    <w:rsid w:val="3F0566FF"/>
    <w:rsid w:val="3F06365D"/>
    <w:rsid w:val="3F0A3CA5"/>
    <w:rsid w:val="3F0B1DB8"/>
    <w:rsid w:val="3F122278"/>
    <w:rsid w:val="3F155D82"/>
    <w:rsid w:val="3F261DEC"/>
    <w:rsid w:val="3F47737F"/>
    <w:rsid w:val="3F52626A"/>
    <w:rsid w:val="3F5867B3"/>
    <w:rsid w:val="3F637202"/>
    <w:rsid w:val="3F664F14"/>
    <w:rsid w:val="3F6D2017"/>
    <w:rsid w:val="3F7339EB"/>
    <w:rsid w:val="3F7D65D1"/>
    <w:rsid w:val="3F9526FD"/>
    <w:rsid w:val="3FA10F73"/>
    <w:rsid w:val="3FA51002"/>
    <w:rsid w:val="3FB1448E"/>
    <w:rsid w:val="3FB33F0F"/>
    <w:rsid w:val="3FB827B0"/>
    <w:rsid w:val="3FB9798A"/>
    <w:rsid w:val="3FBC4DF5"/>
    <w:rsid w:val="3FBE226E"/>
    <w:rsid w:val="3FC74EA5"/>
    <w:rsid w:val="3FC80A13"/>
    <w:rsid w:val="3FD001E0"/>
    <w:rsid w:val="3FDD5AA3"/>
    <w:rsid w:val="3FDD60EB"/>
    <w:rsid w:val="3FE1611D"/>
    <w:rsid w:val="3FFC6AA1"/>
    <w:rsid w:val="3FFE725C"/>
    <w:rsid w:val="400D4689"/>
    <w:rsid w:val="401C023A"/>
    <w:rsid w:val="405074F9"/>
    <w:rsid w:val="40742B10"/>
    <w:rsid w:val="40860806"/>
    <w:rsid w:val="408727EE"/>
    <w:rsid w:val="408B015C"/>
    <w:rsid w:val="408D2092"/>
    <w:rsid w:val="40987E91"/>
    <w:rsid w:val="40AE535D"/>
    <w:rsid w:val="40B323C5"/>
    <w:rsid w:val="40BB1B3B"/>
    <w:rsid w:val="40C87F0D"/>
    <w:rsid w:val="40E13187"/>
    <w:rsid w:val="40F71EFC"/>
    <w:rsid w:val="40FC6040"/>
    <w:rsid w:val="410A66D3"/>
    <w:rsid w:val="41216561"/>
    <w:rsid w:val="412E1703"/>
    <w:rsid w:val="414E4666"/>
    <w:rsid w:val="415C6645"/>
    <w:rsid w:val="415D4AA5"/>
    <w:rsid w:val="415E3F30"/>
    <w:rsid w:val="41634269"/>
    <w:rsid w:val="416F185F"/>
    <w:rsid w:val="41755F8B"/>
    <w:rsid w:val="417E6FB2"/>
    <w:rsid w:val="41804E56"/>
    <w:rsid w:val="418C5064"/>
    <w:rsid w:val="41901D5A"/>
    <w:rsid w:val="41AE168E"/>
    <w:rsid w:val="41B000EA"/>
    <w:rsid w:val="41BB28C5"/>
    <w:rsid w:val="41D7643D"/>
    <w:rsid w:val="41F41099"/>
    <w:rsid w:val="41F4144D"/>
    <w:rsid w:val="41F425A0"/>
    <w:rsid w:val="41FD1E4D"/>
    <w:rsid w:val="42004A07"/>
    <w:rsid w:val="42036CED"/>
    <w:rsid w:val="42044B55"/>
    <w:rsid w:val="42106699"/>
    <w:rsid w:val="421D3532"/>
    <w:rsid w:val="4253494B"/>
    <w:rsid w:val="42563DD4"/>
    <w:rsid w:val="425F0874"/>
    <w:rsid w:val="42605991"/>
    <w:rsid w:val="42624CEC"/>
    <w:rsid w:val="426B2083"/>
    <w:rsid w:val="42745271"/>
    <w:rsid w:val="42746AFF"/>
    <w:rsid w:val="427A2426"/>
    <w:rsid w:val="428622E0"/>
    <w:rsid w:val="42A72E3E"/>
    <w:rsid w:val="42A9771E"/>
    <w:rsid w:val="42AF744D"/>
    <w:rsid w:val="42B97DE2"/>
    <w:rsid w:val="42BE1411"/>
    <w:rsid w:val="42C3638C"/>
    <w:rsid w:val="42CC1C77"/>
    <w:rsid w:val="42CE7CBC"/>
    <w:rsid w:val="42E67A2D"/>
    <w:rsid w:val="42EF6EDD"/>
    <w:rsid w:val="43043B4B"/>
    <w:rsid w:val="431D662D"/>
    <w:rsid w:val="43260906"/>
    <w:rsid w:val="4329778C"/>
    <w:rsid w:val="434321EE"/>
    <w:rsid w:val="4357411B"/>
    <w:rsid w:val="43624524"/>
    <w:rsid w:val="436E4602"/>
    <w:rsid w:val="43773B38"/>
    <w:rsid w:val="437E59F4"/>
    <w:rsid w:val="437F0235"/>
    <w:rsid w:val="438127FD"/>
    <w:rsid w:val="438C318F"/>
    <w:rsid w:val="438D2962"/>
    <w:rsid w:val="439125BA"/>
    <w:rsid w:val="43A136C2"/>
    <w:rsid w:val="43A47C8D"/>
    <w:rsid w:val="43AE228C"/>
    <w:rsid w:val="43B2322B"/>
    <w:rsid w:val="43B27B0F"/>
    <w:rsid w:val="43BD17B6"/>
    <w:rsid w:val="43C60D41"/>
    <w:rsid w:val="43CB49D5"/>
    <w:rsid w:val="43CC296D"/>
    <w:rsid w:val="43D51B86"/>
    <w:rsid w:val="43D5596E"/>
    <w:rsid w:val="43EA4AD8"/>
    <w:rsid w:val="43F5608C"/>
    <w:rsid w:val="43FA20D7"/>
    <w:rsid w:val="440A1D09"/>
    <w:rsid w:val="44105FE6"/>
    <w:rsid w:val="44163757"/>
    <w:rsid w:val="442E6250"/>
    <w:rsid w:val="44336B29"/>
    <w:rsid w:val="44411D78"/>
    <w:rsid w:val="444255C8"/>
    <w:rsid w:val="44565401"/>
    <w:rsid w:val="4469425C"/>
    <w:rsid w:val="446C5925"/>
    <w:rsid w:val="44715BA6"/>
    <w:rsid w:val="4480267E"/>
    <w:rsid w:val="44813BCD"/>
    <w:rsid w:val="448F333F"/>
    <w:rsid w:val="449A5595"/>
    <w:rsid w:val="44A273D7"/>
    <w:rsid w:val="44A3165A"/>
    <w:rsid w:val="44A949BB"/>
    <w:rsid w:val="44BE6AFA"/>
    <w:rsid w:val="44BE7B38"/>
    <w:rsid w:val="44C10C52"/>
    <w:rsid w:val="44C4343F"/>
    <w:rsid w:val="44CE1860"/>
    <w:rsid w:val="44D61276"/>
    <w:rsid w:val="450E225C"/>
    <w:rsid w:val="450E5F3E"/>
    <w:rsid w:val="451C3C3F"/>
    <w:rsid w:val="45282E33"/>
    <w:rsid w:val="45361C96"/>
    <w:rsid w:val="45367180"/>
    <w:rsid w:val="453936A0"/>
    <w:rsid w:val="4555071F"/>
    <w:rsid w:val="45634F36"/>
    <w:rsid w:val="456433C3"/>
    <w:rsid w:val="456745BB"/>
    <w:rsid w:val="45677DA7"/>
    <w:rsid w:val="45761FD8"/>
    <w:rsid w:val="457B0C49"/>
    <w:rsid w:val="458D3A63"/>
    <w:rsid w:val="4597177B"/>
    <w:rsid w:val="45A85821"/>
    <w:rsid w:val="45AA0EA4"/>
    <w:rsid w:val="45AC57A6"/>
    <w:rsid w:val="45B23BD8"/>
    <w:rsid w:val="45B52BBB"/>
    <w:rsid w:val="45C3178B"/>
    <w:rsid w:val="45C81474"/>
    <w:rsid w:val="45C85D55"/>
    <w:rsid w:val="45CE3F02"/>
    <w:rsid w:val="45DE2684"/>
    <w:rsid w:val="45E349A9"/>
    <w:rsid w:val="45F22D7B"/>
    <w:rsid w:val="45F25B71"/>
    <w:rsid w:val="45F6092A"/>
    <w:rsid w:val="46122C2B"/>
    <w:rsid w:val="46202725"/>
    <w:rsid w:val="4622618B"/>
    <w:rsid w:val="4624768B"/>
    <w:rsid w:val="46283409"/>
    <w:rsid w:val="462E1DEC"/>
    <w:rsid w:val="462F257F"/>
    <w:rsid w:val="46316796"/>
    <w:rsid w:val="464C5980"/>
    <w:rsid w:val="464C598F"/>
    <w:rsid w:val="46541012"/>
    <w:rsid w:val="465B04AA"/>
    <w:rsid w:val="466467A4"/>
    <w:rsid w:val="466B7E63"/>
    <w:rsid w:val="46726232"/>
    <w:rsid w:val="46731512"/>
    <w:rsid w:val="46795DED"/>
    <w:rsid w:val="468843FE"/>
    <w:rsid w:val="46991FD8"/>
    <w:rsid w:val="469D4E61"/>
    <w:rsid w:val="46BC2272"/>
    <w:rsid w:val="46D62B88"/>
    <w:rsid w:val="46D929E4"/>
    <w:rsid w:val="46DA3CDF"/>
    <w:rsid w:val="46DD3A97"/>
    <w:rsid w:val="46E122D5"/>
    <w:rsid w:val="46E51519"/>
    <w:rsid w:val="46E72217"/>
    <w:rsid w:val="46EB56D0"/>
    <w:rsid w:val="46EF6BE5"/>
    <w:rsid w:val="46F94629"/>
    <w:rsid w:val="46FE33A2"/>
    <w:rsid w:val="47034B98"/>
    <w:rsid w:val="470675DD"/>
    <w:rsid w:val="47102BE0"/>
    <w:rsid w:val="47115999"/>
    <w:rsid w:val="47123D8D"/>
    <w:rsid w:val="471651A2"/>
    <w:rsid w:val="47195C33"/>
    <w:rsid w:val="47383706"/>
    <w:rsid w:val="473F3443"/>
    <w:rsid w:val="47442FEA"/>
    <w:rsid w:val="47476898"/>
    <w:rsid w:val="474825BA"/>
    <w:rsid w:val="47524966"/>
    <w:rsid w:val="4764753D"/>
    <w:rsid w:val="4779594B"/>
    <w:rsid w:val="477E3FE9"/>
    <w:rsid w:val="478E58BD"/>
    <w:rsid w:val="47997ECC"/>
    <w:rsid w:val="47A938A8"/>
    <w:rsid w:val="47AD2393"/>
    <w:rsid w:val="47C05960"/>
    <w:rsid w:val="47CA211A"/>
    <w:rsid w:val="47D00B76"/>
    <w:rsid w:val="47ED09EA"/>
    <w:rsid w:val="47F03825"/>
    <w:rsid w:val="47F72583"/>
    <w:rsid w:val="47FE4F97"/>
    <w:rsid w:val="48050F31"/>
    <w:rsid w:val="480B064E"/>
    <w:rsid w:val="48152A57"/>
    <w:rsid w:val="481B77EC"/>
    <w:rsid w:val="481F00E4"/>
    <w:rsid w:val="48230137"/>
    <w:rsid w:val="482A5E63"/>
    <w:rsid w:val="48357C17"/>
    <w:rsid w:val="48360F72"/>
    <w:rsid w:val="48466EDC"/>
    <w:rsid w:val="486505C9"/>
    <w:rsid w:val="48717233"/>
    <w:rsid w:val="487736C7"/>
    <w:rsid w:val="4886149A"/>
    <w:rsid w:val="489C5A7F"/>
    <w:rsid w:val="489C5B95"/>
    <w:rsid w:val="48A53F58"/>
    <w:rsid w:val="48AF1323"/>
    <w:rsid w:val="48B2080D"/>
    <w:rsid w:val="48BE6136"/>
    <w:rsid w:val="48C17060"/>
    <w:rsid w:val="48D22DB3"/>
    <w:rsid w:val="48D93445"/>
    <w:rsid w:val="48DA1D9C"/>
    <w:rsid w:val="48DC218D"/>
    <w:rsid w:val="48E915DE"/>
    <w:rsid w:val="48F7177C"/>
    <w:rsid w:val="490425AB"/>
    <w:rsid w:val="49076238"/>
    <w:rsid w:val="49104838"/>
    <w:rsid w:val="49250443"/>
    <w:rsid w:val="49267368"/>
    <w:rsid w:val="49276313"/>
    <w:rsid w:val="4930158D"/>
    <w:rsid w:val="493166F2"/>
    <w:rsid w:val="4943084D"/>
    <w:rsid w:val="495B2F5A"/>
    <w:rsid w:val="49660B64"/>
    <w:rsid w:val="496E056A"/>
    <w:rsid w:val="497E5F0E"/>
    <w:rsid w:val="49895BF9"/>
    <w:rsid w:val="49896889"/>
    <w:rsid w:val="49A20032"/>
    <w:rsid w:val="49A82756"/>
    <w:rsid w:val="49A86BF4"/>
    <w:rsid w:val="49A902DE"/>
    <w:rsid w:val="49A961CD"/>
    <w:rsid w:val="49B337E8"/>
    <w:rsid w:val="49B57903"/>
    <w:rsid w:val="49BB0B72"/>
    <w:rsid w:val="49F44446"/>
    <w:rsid w:val="4A037F7B"/>
    <w:rsid w:val="4A0C3345"/>
    <w:rsid w:val="4A12511A"/>
    <w:rsid w:val="4A2A339F"/>
    <w:rsid w:val="4A3D1213"/>
    <w:rsid w:val="4A405618"/>
    <w:rsid w:val="4A42752E"/>
    <w:rsid w:val="4A463FDD"/>
    <w:rsid w:val="4A4D6FE1"/>
    <w:rsid w:val="4A51053D"/>
    <w:rsid w:val="4A5B2412"/>
    <w:rsid w:val="4A6B6C00"/>
    <w:rsid w:val="4A7A1A7F"/>
    <w:rsid w:val="4A7C6D92"/>
    <w:rsid w:val="4A8B2BFF"/>
    <w:rsid w:val="4A996D58"/>
    <w:rsid w:val="4AA637CE"/>
    <w:rsid w:val="4AAA2363"/>
    <w:rsid w:val="4AAC0232"/>
    <w:rsid w:val="4AB420A2"/>
    <w:rsid w:val="4AB971E8"/>
    <w:rsid w:val="4AC462B3"/>
    <w:rsid w:val="4AC908CA"/>
    <w:rsid w:val="4ACE3D63"/>
    <w:rsid w:val="4AD13FBF"/>
    <w:rsid w:val="4AD37FB6"/>
    <w:rsid w:val="4AF33411"/>
    <w:rsid w:val="4AFC4739"/>
    <w:rsid w:val="4AFF7966"/>
    <w:rsid w:val="4B0F4D9F"/>
    <w:rsid w:val="4B2B654D"/>
    <w:rsid w:val="4B2D2A9B"/>
    <w:rsid w:val="4B331125"/>
    <w:rsid w:val="4B3405F9"/>
    <w:rsid w:val="4B5151AA"/>
    <w:rsid w:val="4B537CBF"/>
    <w:rsid w:val="4B550153"/>
    <w:rsid w:val="4B76529F"/>
    <w:rsid w:val="4B7A237E"/>
    <w:rsid w:val="4B86443F"/>
    <w:rsid w:val="4B9A0C4D"/>
    <w:rsid w:val="4B9B3B70"/>
    <w:rsid w:val="4BB7667A"/>
    <w:rsid w:val="4BBB242F"/>
    <w:rsid w:val="4BC15B7C"/>
    <w:rsid w:val="4BCC5B3C"/>
    <w:rsid w:val="4BD06F1C"/>
    <w:rsid w:val="4BD11B2A"/>
    <w:rsid w:val="4BD47BEF"/>
    <w:rsid w:val="4BE06BCD"/>
    <w:rsid w:val="4BE413D6"/>
    <w:rsid w:val="4BE86538"/>
    <w:rsid w:val="4C040A9A"/>
    <w:rsid w:val="4C0770C1"/>
    <w:rsid w:val="4C1F0776"/>
    <w:rsid w:val="4C232063"/>
    <w:rsid w:val="4C2C299D"/>
    <w:rsid w:val="4C3238CA"/>
    <w:rsid w:val="4C3D0756"/>
    <w:rsid w:val="4C4C1686"/>
    <w:rsid w:val="4C513E4B"/>
    <w:rsid w:val="4C603F1D"/>
    <w:rsid w:val="4C635D18"/>
    <w:rsid w:val="4C670EB1"/>
    <w:rsid w:val="4C712086"/>
    <w:rsid w:val="4C7120EC"/>
    <w:rsid w:val="4C7B3D80"/>
    <w:rsid w:val="4C7E2355"/>
    <w:rsid w:val="4C847264"/>
    <w:rsid w:val="4C970E7B"/>
    <w:rsid w:val="4CCE079D"/>
    <w:rsid w:val="4CEF637A"/>
    <w:rsid w:val="4CF00FB6"/>
    <w:rsid w:val="4CF16277"/>
    <w:rsid w:val="4CF4672D"/>
    <w:rsid w:val="4D035A68"/>
    <w:rsid w:val="4D147026"/>
    <w:rsid w:val="4D165C91"/>
    <w:rsid w:val="4D235945"/>
    <w:rsid w:val="4D255F0E"/>
    <w:rsid w:val="4D2F06BA"/>
    <w:rsid w:val="4D304130"/>
    <w:rsid w:val="4D4330D3"/>
    <w:rsid w:val="4D4B7DCE"/>
    <w:rsid w:val="4D545407"/>
    <w:rsid w:val="4D694F30"/>
    <w:rsid w:val="4D717BA1"/>
    <w:rsid w:val="4D855FB9"/>
    <w:rsid w:val="4D8A0B26"/>
    <w:rsid w:val="4D904FEE"/>
    <w:rsid w:val="4D910D8A"/>
    <w:rsid w:val="4D97309D"/>
    <w:rsid w:val="4D9E090F"/>
    <w:rsid w:val="4DAC6E91"/>
    <w:rsid w:val="4DB63BC4"/>
    <w:rsid w:val="4DB7591C"/>
    <w:rsid w:val="4DBB2984"/>
    <w:rsid w:val="4DDD5EB7"/>
    <w:rsid w:val="4DDE45A5"/>
    <w:rsid w:val="4DF6484E"/>
    <w:rsid w:val="4E043A0E"/>
    <w:rsid w:val="4E125681"/>
    <w:rsid w:val="4E1339D8"/>
    <w:rsid w:val="4E145C86"/>
    <w:rsid w:val="4E2B3781"/>
    <w:rsid w:val="4E337E4B"/>
    <w:rsid w:val="4E3C5DC0"/>
    <w:rsid w:val="4E446F8B"/>
    <w:rsid w:val="4E5669BF"/>
    <w:rsid w:val="4E651EA6"/>
    <w:rsid w:val="4E6C4048"/>
    <w:rsid w:val="4E836C4E"/>
    <w:rsid w:val="4E957162"/>
    <w:rsid w:val="4EB379F2"/>
    <w:rsid w:val="4EBD4562"/>
    <w:rsid w:val="4EBE0F4C"/>
    <w:rsid w:val="4ECD0F14"/>
    <w:rsid w:val="4ED017E4"/>
    <w:rsid w:val="4ED03B4F"/>
    <w:rsid w:val="4EDC1716"/>
    <w:rsid w:val="4EDF6F4B"/>
    <w:rsid w:val="4EE24F10"/>
    <w:rsid w:val="4EE8461F"/>
    <w:rsid w:val="4F0206C2"/>
    <w:rsid w:val="4F1C2B4C"/>
    <w:rsid w:val="4F1E1A5A"/>
    <w:rsid w:val="4F2D5479"/>
    <w:rsid w:val="4F3127D8"/>
    <w:rsid w:val="4F3B798B"/>
    <w:rsid w:val="4F424396"/>
    <w:rsid w:val="4F461737"/>
    <w:rsid w:val="4F507138"/>
    <w:rsid w:val="4F594949"/>
    <w:rsid w:val="4F5A315B"/>
    <w:rsid w:val="4F7041A7"/>
    <w:rsid w:val="4F7C7D62"/>
    <w:rsid w:val="4F8865D2"/>
    <w:rsid w:val="4F9A400D"/>
    <w:rsid w:val="4FA11827"/>
    <w:rsid w:val="4FA57761"/>
    <w:rsid w:val="4FAB07C1"/>
    <w:rsid w:val="4FC12B67"/>
    <w:rsid w:val="4FD409F7"/>
    <w:rsid w:val="4FD41054"/>
    <w:rsid w:val="4FD66F8D"/>
    <w:rsid w:val="4FDB5605"/>
    <w:rsid w:val="4FDF7D08"/>
    <w:rsid w:val="4FE45662"/>
    <w:rsid w:val="4FE66728"/>
    <w:rsid w:val="4FF81090"/>
    <w:rsid w:val="4FFA1BE3"/>
    <w:rsid w:val="50036BC4"/>
    <w:rsid w:val="500B0DCA"/>
    <w:rsid w:val="500C2A95"/>
    <w:rsid w:val="50133F8A"/>
    <w:rsid w:val="50140C07"/>
    <w:rsid w:val="50200664"/>
    <w:rsid w:val="50417E32"/>
    <w:rsid w:val="504768E3"/>
    <w:rsid w:val="504F0FB9"/>
    <w:rsid w:val="504F769B"/>
    <w:rsid w:val="50537FDD"/>
    <w:rsid w:val="50622728"/>
    <w:rsid w:val="508F1D63"/>
    <w:rsid w:val="508F6AC4"/>
    <w:rsid w:val="509A55F2"/>
    <w:rsid w:val="50A36924"/>
    <w:rsid w:val="50A732FC"/>
    <w:rsid w:val="50AA341E"/>
    <w:rsid w:val="50AB4E2F"/>
    <w:rsid w:val="50AC2418"/>
    <w:rsid w:val="50B421A0"/>
    <w:rsid w:val="50B70FED"/>
    <w:rsid w:val="50BA643F"/>
    <w:rsid w:val="50DA2205"/>
    <w:rsid w:val="50E57F59"/>
    <w:rsid w:val="510319B4"/>
    <w:rsid w:val="510A4E7D"/>
    <w:rsid w:val="51187091"/>
    <w:rsid w:val="51217565"/>
    <w:rsid w:val="513B4CBD"/>
    <w:rsid w:val="513F2A79"/>
    <w:rsid w:val="514E5DF0"/>
    <w:rsid w:val="51505C49"/>
    <w:rsid w:val="515F5E7D"/>
    <w:rsid w:val="51621B03"/>
    <w:rsid w:val="51736010"/>
    <w:rsid w:val="518140E8"/>
    <w:rsid w:val="518B0D8B"/>
    <w:rsid w:val="519E4C2D"/>
    <w:rsid w:val="51A23180"/>
    <w:rsid w:val="51B625E5"/>
    <w:rsid w:val="51BB3190"/>
    <w:rsid w:val="51C50057"/>
    <w:rsid w:val="51CA6470"/>
    <w:rsid w:val="51D221A2"/>
    <w:rsid w:val="51DC7D4F"/>
    <w:rsid w:val="51E372D3"/>
    <w:rsid w:val="51F763C2"/>
    <w:rsid w:val="52165ED6"/>
    <w:rsid w:val="52170D68"/>
    <w:rsid w:val="521B5CF1"/>
    <w:rsid w:val="521E330E"/>
    <w:rsid w:val="52210969"/>
    <w:rsid w:val="52250331"/>
    <w:rsid w:val="52251937"/>
    <w:rsid w:val="522D32DC"/>
    <w:rsid w:val="522E032A"/>
    <w:rsid w:val="52436B21"/>
    <w:rsid w:val="52541687"/>
    <w:rsid w:val="525808AD"/>
    <w:rsid w:val="52606B21"/>
    <w:rsid w:val="526142ED"/>
    <w:rsid w:val="52675267"/>
    <w:rsid w:val="526A42D2"/>
    <w:rsid w:val="527456A0"/>
    <w:rsid w:val="52775B19"/>
    <w:rsid w:val="528F6528"/>
    <w:rsid w:val="5294173C"/>
    <w:rsid w:val="52AE3C1C"/>
    <w:rsid w:val="52B15A0B"/>
    <w:rsid w:val="52B277B6"/>
    <w:rsid w:val="52B539F6"/>
    <w:rsid w:val="52B87EDF"/>
    <w:rsid w:val="52C2744F"/>
    <w:rsid w:val="52CF2A7E"/>
    <w:rsid w:val="52D52D8A"/>
    <w:rsid w:val="52D70C29"/>
    <w:rsid w:val="52E07E6E"/>
    <w:rsid w:val="52E2403D"/>
    <w:rsid w:val="52E87FC9"/>
    <w:rsid w:val="530445BC"/>
    <w:rsid w:val="53184746"/>
    <w:rsid w:val="531972CB"/>
    <w:rsid w:val="532E4AC7"/>
    <w:rsid w:val="533E55DF"/>
    <w:rsid w:val="537A04E8"/>
    <w:rsid w:val="53874180"/>
    <w:rsid w:val="53991F46"/>
    <w:rsid w:val="53A430C7"/>
    <w:rsid w:val="53B71A0D"/>
    <w:rsid w:val="53BA49C0"/>
    <w:rsid w:val="53C92C10"/>
    <w:rsid w:val="53D111B0"/>
    <w:rsid w:val="53D73576"/>
    <w:rsid w:val="53EB4289"/>
    <w:rsid w:val="53FE5A9E"/>
    <w:rsid w:val="54257FE2"/>
    <w:rsid w:val="5428581F"/>
    <w:rsid w:val="54451C08"/>
    <w:rsid w:val="5450152B"/>
    <w:rsid w:val="545412A1"/>
    <w:rsid w:val="54591BCD"/>
    <w:rsid w:val="546936FE"/>
    <w:rsid w:val="547034CA"/>
    <w:rsid w:val="547801F9"/>
    <w:rsid w:val="54967702"/>
    <w:rsid w:val="54B34E33"/>
    <w:rsid w:val="54C51C65"/>
    <w:rsid w:val="54C766D3"/>
    <w:rsid w:val="54E35B83"/>
    <w:rsid w:val="54E5570D"/>
    <w:rsid w:val="54E85406"/>
    <w:rsid w:val="54EE4DEC"/>
    <w:rsid w:val="54F93AE7"/>
    <w:rsid w:val="54F97DEB"/>
    <w:rsid w:val="55012EF3"/>
    <w:rsid w:val="55022588"/>
    <w:rsid w:val="551B3ADB"/>
    <w:rsid w:val="55252910"/>
    <w:rsid w:val="552677BE"/>
    <w:rsid w:val="553772EA"/>
    <w:rsid w:val="553A6D2E"/>
    <w:rsid w:val="55534568"/>
    <w:rsid w:val="555A0EDC"/>
    <w:rsid w:val="55677E49"/>
    <w:rsid w:val="55692EAC"/>
    <w:rsid w:val="55714147"/>
    <w:rsid w:val="55861EC8"/>
    <w:rsid w:val="5588140B"/>
    <w:rsid w:val="55891D85"/>
    <w:rsid w:val="55A57957"/>
    <w:rsid w:val="55AA469C"/>
    <w:rsid w:val="55BD3120"/>
    <w:rsid w:val="55BF56EA"/>
    <w:rsid w:val="55C103AC"/>
    <w:rsid w:val="55C423B5"/>
    <w:rsid w:val="55C6074D"/>
    <w:rsid w:val="55C86079"/>
    <w:rsid w:val="55EE6E58"/>
    <w:rsid w:val="55F2238E"/>
    <w:rsid w:val="55F24132"/>
    <w:rsid w:val="55FB05FF"/>
    <w:rsid w:val="55FC794D"/>
    <w:rsid w:val="56012A7B"/>
    <w:rsid w:val="56172C84"/>
    <w:rsid w:val="56387876"/>
    <w:rsid w:val="56391384"/>
    <w:rsid w:val="565907FF"/>
    <w:rsid w:val="565D6940"/>
    <w:rsid w:val="566101A8"/>
    <w:rsid w:val="56666AC5"/>
    <w:rsid w:val="56701442"/>
    <w:rsid w:val="56793306"/>
    <w:rsid w:val="56797C74"/>
    <w:rsid w:val="568116C5"/>
    <w:rsid w:val="568F0B4D"/>
    <w:rsid w:val="56927F4A"/>
    <w:rsid w:val="569C03A7"/>
    <w:rsid w:val="56A304C3"/>
    <w:rsid w:val="56B44FF7"/>
    <w:rsid w:val="56B76AF7"/>
    <w:rsid w:val="56BA5BFC"/>
    <w:rsid w:val="56D60D34"/>
    <w:rsid w:val="56E90EF6"/>
    <w:rsid w:val="56F50794"/>
    <w:rsid w:val="56F82259"/>
    <w:rsid w:val="56FC12BF"/>
    <w:rsid w:val="57103E85"/>
    <w:rsid w:val="576019A8"/>
    <w:rsid w:val="576F00D0"/>
    <w:rsid w:val="57780B15"/>
    <w:rsid w:val="577C7921"/>
    <w:rsid w:val="578130EB"/>
    <w:rsid w:val="579016BB"/>
    <w:rsid w:val="579131AA"/>
    <w:rsid w:val="57961B8E"/>
    <w:rsid w:val="579A34FF"/>
    <w:rsid w:val="57A05D52"/>
    <w:rsid w:val="57A65B21"/>
    <w:rsid w:val="57A93B1C"/>
    <w:rsid w:val="57B30CCB"/>
    <w:rsid w:val="57B82FE8"/>
    <w:rsid w:val="57BA183B"/>
    <w:rsid w:val="57BC21E8"/>
    <w:rsid w:val="57C64CE3"/>
    <w:rsid w:val="57CF411E"/>
    <w:rsid w:val="57CF6469"/>
    <w:rsid w:val="57F75230"/>
    <w:rsid w:val="57FA5E75"/>
    <w:rsid w:val="58000E35"/>
    <w:rsid w:val="58222E9F"/>
    <w:rsid w:val="582D3231"/>
    <w:rsid w:val="58316A55"/>
    <w:rsid w:val="583F3207"/>
    <w:rsid w:val="58452DB9"/>
    <w:rsid w:val="58484E27"/>
    <w:rsid w:val="58525C17"/>
    <w:rsid w:val="58592455"/>
    <w:rsid w:val="586815ED"/>
    <w:rsid w:val="586B3009"/>
    <w:rsid w:val="58775EED"/>
    <w:rsid w:val="58790B5B"/>
    <w:rsid w:val="588D7FDD"/>
    <w:rsid w:val="58924ECC"/>
    <w:rsid w:val="5895256C"/>
    <w:rsid w:val="58965AA7"/>
    <w:rsid w:val="589D4D39"/>
    <w:rsid w:val="58AE31F5"/>
    <w:rsid w:val="58B60FB7"/>
    <w:rsid w:val="58BD1D42"/>
    <w:rsid w:val="58C04526"/>
    <w:rsid w:val="58DE296B"/>
    <w:rsid w:val="58E05B85"/>
    <w:rsid w:val="58F979E8"/>
    <w:rsid w:val="58FB6C25"/>
    <w:rsid w:val="58FE08ED"/>
    <w:rsid w:val="59061DAE"/>
    <w:rsid w:val="5914669F"/>
    <w:rsid w:val="591557DB"/>
    <w:rsid w:val="591A5C30"/>
    <w:rsid w:val="59371CA9"/>
    <w:rsid w:val="593C5853"/>
    <w:rsid w:val="5940158A"/>
    <w:rsid w:val="594606CC"/>
    <w:rsid w:val="596C25D4"/>
    <w:rsid w:val="597028E6"/>
    <w:rsid w:val="597D38D7"/>
    <w:rsid w:val="59935094"/>
    <w:rsid w:val="5995496F"/>
    <w:rsid w:val="59A62A34"/>
    <w:rsid w:val="59AB1748"/>
    <w:rsid w:val="59B159CB"/>
    <w:rsid w:val="59B51848"/>
    <w:rsid w:val="59C03938"/>
    <w:rsid w:val="59C811F1"/>
    <w:rsid w:val="59C83D69"/>
    <w:rsid w:val="59CF1C3E"/>
    <w:rsid w:val="59D87B36"/>
    <w:rsid w:val="59E57113"/>
    <w:rsid w:val="59E91981"/>
    <w:rsid w:val="59F42704"/>
    <w:rsid w:val="59FD1C88"/>
    <w:rsid w:val="5A02215A"/>
    <w:rsid w:val="5A0823EC"/>
    <w:rsid w:val="5A0B4999"/>
    <w:rsid w:val="5A1219E8"/>
    <w:rsid w:val="5A1601E1"/>
    <w:rsid w:val="5A272110"/>
    <w:rsid w:val="5A2F52ED"/>
    <w:rsid w:val="5A341010"/>
    <w:rsid w:val="5A3A1517"/>
    <w:rsid w:val="5A4D351E"/>
    <w:rsid w:val="5A507300"/>
    <w:rsid w:val="5A51154D"/>
    <w:rsid w:val="5A523957"/>
    <w:rsid w:val="5A612789"/>
    <w:rsid w:val="5A6E205B"/>
    <w:rsid w:val="5A7B2C70"/>
    <w:rsid w:val="5A7C2218"/>
    <w:rsid w:val="5A7C5822"/>
    <w:rsid w:val="5A847FE5"/>
    <w:rsid w:val="5A9B3B8F"/>
    <w:rsid w:val="5A9E6004"/>
    <w:rsid w:val="5AAB402B"/>
    <w:rsid w:val="5AAF46FD"/>
    <w:rsid w:val="5ABE401A"/>
    <w:rsid w:val="5AC526EE"/>
    <w:rsid w:val="5AD45224"/>
    <w:rsid w:val="5ADC6365"/>
    <w:rsid w:val="5B0A16D4"/>
    <w:rsid w:val="5B0B0FE2"/>
    <w:rsid w:val="5B1029A0"/>
    <w:rsid w:val="5B28216A"/>
    <w:rsid w:val="5B2B1ACA"/>
    <w:rsid w:val="5B356E68"/>
    <w:rsid w:val="5B43203B"/>
    <w:rsid w:val="5B4E4DA1"/>
    <w:rsid w:val="5B5335BE"/>
    <w:rsid w:val="5B6A6045"/>
    <w:rsid w:val="5B6C39BD"/>
    <w:rsid w:val="5B7B1E82"/>
    <w:rsid w:val="5B944D80"/>
    <w:rsid w:val="5B9509FD"/>
    <w:rsid w:val="5BAB4BEE"/>
    <w:rsid w:val="5BB47B97"/>
    <w:rsid w:val="5BB81EEF"/>
    <w:rsid w:val="5BC23198"/>
    <w:rsid w:val="5BCE2157"/>
    <w:rsid w:val="5BD2376F"/>
    <w:rsid w:val="5BEA66B7"/>
    <w:rsid w:val="5BEB4DCC"/>
    <w:rsid w:val="5C0042AF"/>
    <w:rsid w:val="5C021D5C"/>
    <w:rsid w:val="5C097E8B"/>
    <w:rsid w:val="5C116FBD"/>
    <w:rsid w:val="5C18254C"/>
    <w:rsid w:val="5C1B2C25"/>
    <w:rsid w:val="5C1E0099"/>
    <w:rsid w:val="5C261AD7"/>
    <w:rsid w:val="5C2A4D2E"/>
    <w:rsid w:val="5C317C76"/>
    <w:rsid w:val="5C35045C"/>
    <w:rsid w:val="5C3C56AD"/>
    <w:rsid w:val="5C3D32DD"/>
    <w:rsid w:val="5C404666"/>
    <w:rsid w:val="5C422461"/>
    <w:rsid w:val="5C48686D"/>
    <w:rsid w:val="5C4F52A1"/>
    <w:rsid w:val="5C4F75E7"/>
    <w:rsid w:val="5C50319B"/>
    <w:rsid w:val="5C5371DE"/>
    <w:rsid w:val="5C5F094C"/>
    <w:rsid w:val="5C633837"/>
    <w:rsid w:val="5C6B674F"/>
    <w:rsid w:val="5C7E39D8"/>
    <w:rsid w:val="5CA474D4"/>
    <w:rsid w:val="5CA84AC1"/>
    <w:rsid w:val="5CAC4293"/>
    <w:rsid w:val="5CB64B19"/>
    <w:rsid w:val="5CC829D4"/>
    <w:rsid w:val="5CD612EC"/>
    <w:rsid w:val="5CD63CB1"/>
    <w:rsid w:val="5CE00BB1"/>
    <w:rsid w:val="5CE76E4E"/>
    <w:rsid w:val="5CF85D55"/>
    <w:rsid w:val="5D042519"/>
    <w:rsid w:val="5D10070C"/>
    <w:rsid w:val="5D1077A1"/>
    <w:rsid w:val="5D193562"/>
    <w:rsid w:val="5D360039"/>
    <w:rsid w:val="5D3A22F4"/>
    <w:rsid w:val="5D3D681F"/>
    <w:rsid w:val="5D421B63"/>
    <w:rsid w:val="5D467576"/>
    <w:rsid w:val="5D4B2525"/>
    <w:rsid w:val="5D543240"/>
    <w:rsid w:val="5D5434CB"/>
    <w:rsid w:val="5D5A25C6"/>
    <w:rsid w:val="5D697151"/>
    <w:rsid w:val="5D7B2BAE"/>
    <w:rsid w:val="5D893541"/>
    <w:rsid w:val="5D8C28B4"/>
    <w:rsid w:val="5D9934EC"/>
    <w:rsid w:val="5D9C1E54"/>
    <w:rsid w:val="5DAB1E9E"/>
    <w:rsid w:val="5DBC3F54"/>
    <w:rsid w:val="5DCA57DD"/>
    <w:rsid w:val="5DD74A14"/>
    <w:rsid w:val="5DDC2477"/>
    <w:rsid w:val="5DF11D42"/>
    <w:rsid w:val="5DFA2E17"/>
    <w:rsid w:val="5DFB0C01"/>
    <w:rsid w:val="5E006537"/>
    <w:rsid w:val="5E2374D1"/>
    <w:rsid w:val="5E490493"/>
    <w:rsid w:val="5E4D4054"/>
    <w:rsid w:val="5E4F4CEC"/>
    <w:rsid w:val="5E521705"/>
    <w:rsid w:val="5E7334F8"/>
    <w:rsid w:val="5E7805FF"/>
    <w:rsid w:val="5E7859D6"/>
    <w:rsid w:val="5E842B6A"/>
    <w:rsid w:val="5E875A07"/>
    <w:rsid w:val="5E911FAC"/>
    <w:rsid w:val="5E9373FC"/>
    <w:rsid w:val="5EAA11B3"/>
    <w:rsid w:val="5EC57A3D"/>
    <w:rsid w:val="5ECB275F"/>
    <w:rsid w:val="5ECE2836"/>
    <w:rsid w:val="5EDB5813"/>
    <w:rsid w:val="5EEC409E"/>
    <w:rsid w:val="5EF2448C"/>
    <w:rsid w:val="5EF442F3"/>
    <w:rsid w:val="5F3A21FA"/>
    <w:rsid w:val="5F490636"/>
    <w:rsid w:val="5F4A6244"/>
    <w:rsid w:val="5F7D5743"/>
    <w:rsid w:val="5F810563"/>
    <w:rsid w:val="5F902061"/>
    <w:rsid w:val="5F91364B"/>
    <w:rsid w:val="5F942C15"/>
    <w:rsid w:val="5FA57B43"/>
    <w:rsid w:val="5FB560BB"/>
    <w:rsid w:val="5FB62CD8"/>
    <w:rsid w:val="5FC20790"/>
    <w:rsid w:val="5FC91DE9"/>
    <w:rsid w:val="5FD820A7"/>
    <w:rsid w:val="5FDF0C33"/>
    <w:rsid w:val="5FE25D83"/>
    <w:rsid w:val="5FEC3C05"/>
    <w:rsid w:val="5FF020A1"/>
    <w:rsid w:val="5FFC5DE4"/>
    <w:rsid w:val="60195F65"/>
    <w:rsid w:val="6023016C"/>
    <w:rsid w:val="602924AC"/>
    <w:rsid w:val="602B5AAA"/>
    <w:rsid w:val="60334B2A"/>
    <w:rsid w:val="603E7B8A"/>
    <w:rsid w:val="60420933"/>
    <w:rsid w:val="6056292C"/>
    <w:rsid w:val="606502AC"/>
    <w:rsid w:val="60660D11"/>
    <w:rsid w:val="60687B01"/>
    <w:rsid w:val="606D5453"/>
    <w:rsid w:val="607044B9"/>
    <w:rsid w:val="6078579C"/>
    <w:rsid w:val="608159C3"/>
    <w:rsid w:val="60904724"/>
    <w:rsid w:val="60934023"/>
    <w:rsid w:val="60947BEA"/>
    <w:rsid w:val="609B6315"/>
    <w:rsid w:val="60AC169F"/>
    <w:rsid w:val="60AF0E29"/>
    <w:rsid w:val="60B55179"/>
    <w:rsid w:val="60C47684"/>
    <w:rsid w:val="60C90EA4"/>
    <w:rsid w:val="60CA2396"/>
    <w:rsid w:val="60CF0514"/>
    <w:rsid w:val="60D3569F"/>
    <w:rsid w:val="60D4537B"/>
    <w:rsid w:val="60E02B8F"/>
    <w:rsid w:val="60E92E1A"/>
    <w:rsid w:val="60F37DA9"/>
    <w:rsid w:val="60FA110C"/>
    <w:rsid w:val="60FA46E4"/>
    <w:rsid w:val="60FE00AF"/>
    <w:rsid w:val="60FE35D0"/>
    <w:rsid w:val="61047EF9"/>
    <w:rsid w:val="61064296"/>
    <w:rsid w:val="610864CC"/>
    <w:rsid w:val="610958BB"/>
    <w:rsid w:val="611558FC"/>
    <w:rsid w:val="61164EEF"/>
    <w:rsid w:val="61176A85"/>
    <w:rsid w:val="611A697F"/>
    <w:rsid w:val="612143A4"/>
    <w:rsid w:val="61221695"/>
    <w:rsid w:val="61254671"/>
    <w:rsid w:val="612E3337"/>
    <w:rsid w:val="614B5BCE"/>
    <w:rsid w:val="614D2B5A"/>
    <w:rsid w:val="6155426A"/>
    <w:rsid w:val="615755AF"/>
    <w:rsid w:val="616C2054"/>
    <w:rsid w:val="616E3976"/>
    <w:rsid w:val="617D0D60"/>
    <w:rsid w:val="618563BE"/>
    <w:rsid w:val="61867017"/>
    <w:rsid w:val="618E1E6E"/>
    <w:rsid w:val="618F22FB"/>
    <w:rsid w:val="61B15149"/>
    <w:rsid w:val="61B16AF8"/>
    <w:rsid w:val="61B71C73"/>
    <w:rsid w:val="61C56900"/>
    <w:rsid w:val="61D9528D"/>
    <w:rsid w:val="61DA6BBA"/>
    <w:rsid w:val="61E51E0F"/>
    <w:rsid w:val="61E852C9"/>
    <w:rsid w:val="61EE28BD"/>
    <w:rsid w:val="61F0115C"/>
    <w:rsid w:val="62070260"/>
    <w:rsid w:val="6222428F"/>
    <w:rsid w:val="623328EA"/>
    <w:rsid w:val="62390C34"/>
    <w:rsid w:val="6239162C"/>
    <w:rsid w:val="623D4624"/>
    <w:rsid w:val="623D5E3F"/>
    <w:rsid w:val="6241252A"/>
    <w:rsid w:val="62464E95"/>
    <w:rsid w:val="62475095"/>
    <w:rsid w:val="625377EA"/>
    <w:rsid w:val="625D49CE"/>
    <w:rsid w:val="6260455B"/>
    <w:rsid w:val="626114D6"/>
    <w:rsid w:val="627E327C"/>
    <w:rsid w:val="629963D8"/>
    <w:rsid w:val="62B3642B"/>
    <w:rsid w:val="62B91CB2"/>
    <w:rsid w:val="62E05F11"/>
    <w:rsid w:val="62F00E21"/>
    <w:rsid w:val="62F571B6"/>
    <w:rsid w:val="62F91A8D"/>
    <w:rsid w:val="63016DD9"/>
    <w:rsid w:val="630D5FB3"/>
    <w:rsid w:val="631D12C4"/>
    <w:rsid w:val="632F0EFF"/>
    <w:rsid w:val="633159CB"/>
    <w:rsid w:val="633B2B0B"/>
    <w:rsid w:val="6343466C"/>
    <w:rsid w:val="634A145E"/>
    <w:rsid w:val="634E753F"/>
    <w:rsid w:val="63607ED4"/>
    <w:rsid w:val="636A3942"/>
    <w:rsid w:val="636B5C5F"/>
    <w:rsid w:val="63716369"/>
    <w:rsid w:val="637919F5"/>
    <w:rsid w:val="637A710D"/>
    <w:rsid w:val="637D2E4D"/>
    <w:rsid w:val="6388225F"/>
    <w:rsid w:val="63B253E1"/>
    <w:rsid w:val="63D86821"/>
    <w:rsid w:val="63D8720B"/>
    <w:rsid w:val="63E02D15"/>
    <w:rsid w:val="63E25AFD"/>
    <w:rsid w:val="63F03B38"/>
    <w:rsid w:val="63F731A5"/>
    <w:rsid w:val="63FC766C"/>
    <w:rsid w:val="63FE2454"/>
    <w:rsid w:val="64022F76"/>
    <w:rsid w:val="641269AD"/>
    <w:rsid w:val="64231408"/>
    <w:rsid w:val="643A7824"/>
    <w:rsid w:val="64553AA4"/>
    <w:rsid w:val="64564ED9"/>
    <w:rsid w:val="645A5737"/>
    <w:rsid w:val="6467123E"/>
    <w:rsid w:val="64706790"/>
    <w:rsid w:val="64724898"/>
    <w:rsid w:val="647C3BBA"/>
    <w:rsid w:val="64805997"/>
    <w:rsid w:val="64823A3A"/>
    <w:rsid w:val="64855B2D"/>
    <w:rsid w:val="64867427"/>
    <w:rsid w:val="648A2250"/>
    <w:rsid w:val="648B1491"/>
    <w:rsid w:val="649A52C8"/>
    <w:rsid w:val="64B0747D"/>
    <w:rsid w:val="64B6071F"/>
    <w:rsid w:val="64C03551"/>
    <w:rsid w:val="64C6530B"/>
    <w:rsid w:val="64D9451E"/>
    <w:rsid w:val="64FA5C63"/>
    <w:rsid w:val="6532464B"/>
    <w:rsid w:val="653A34E5"/>
    <w:rsid w:val="653C6B1D"/>
    <w:rsid w:val="65433415"/>
    <w:rsid w:val="65463750"/>
    <w:rsid w:val="654E3228"/>
    <w:rsid w:val="65537C6B"/>
    <w:rsid w:val="655C685E"/>
    <w:rsid w:val="65622086"/>
    <w:rsid w:val="65644A63"/>
    <w:rsid w:val="656E3321"/>
    <w:rsid w:val="65757B8D"/>
    <w:rsid w:val="65764BA6"/>
    <w:rsid w:val="658E776E"/>
    <w:rsid w:val="65907AC2"/>
    <w:rsid w:val="65A62A91"/>
    <w:rsid w:val="65A8734A"/>
    <w:rsid w:val="65A9185C"/>
    <w:rsid w:val="65B430CC"/>
    <w:rsid w:val="65CC6A3A"/>
    <w:rsid w:val="65DB0A99"/>
    <w:rsid w:val="65E919BF"/>
    <w:rsid w:val="65ED7EEF"/>
    <w:rsid w:val="65F73BB4"/>
    <w:rsid w:val="660658FA"/>
    <w:rsid w:val="660B1805"/>
    <w:rsid w:val="66190E3D"/>
    <w:rsid w:val="66300C32"/>
    <w:rsid w:val="6639596A"/>
    <w:rsid w:val="6644369D"/>
    <w:rsid w:val="66706DA7"/>
    <w:rsid w:val="66715E7B"/>
    <w:rsid w:val="66741783"/>
    <w:rsid w:val="66870478"/>
    <w:rsid w:val="66892842"/>
    <w:rsid w:val="66917990"/>
    <w:rsid w:val="66941DAA"/>
    <w:rsid w:val="66972F96"/>
    <w:rsid w:val="66976DD4"/>
    <w:rsid w:val="66A54376"/>
    <w:rsid w:val="66AD1818"/>
    <w:rsid w:val="66AD4A88"/>
    <w:rsid w:val="66B4636B"/>
    <w:rsid w:val="66C2655F"/>
    <w:rsid w:val="66D20F68"/>
    <w:rsid w:val="66D6103F"/>
    <w:rsid w:val="66DC2051"/>
    <w:rsid w:val="66E77E06"/>
    <w:rsid w:val="670027A0"/>
    <w:rsid w:val="670E178E"/>
    <w:rsid w:val="674B4E59"/>
    <w:rsid w:val="675005EC"/>
    <w:rsid w:val="675E366D"/>
    <w:rsid w:val="67635837"/>
    <w:rsid w:val="67690F3D"/>
    <w:rsid w:val="676B3A7C"/>
    <w:rsid w:val="677011BD"/>
    <w:rsid w:val="6770452E"/>
    <w:rsid w:val="67750EBE"/>
    <w:rsid w:val="67816012"/>
    <w:rsid w:val="67842D1C"/>
    <w:rsid w:val="678C278B"/>
    <w:rsid w:val="67991948"/>
    <w:rsid w:val="67AB3E74"/>
    <w:rsid w:val="67B0438B"/>
    <w:rsid w:val="67B71656"/>
    <w:rsid w:val="67B723B3"/>
    <w:rsid w:val="67B743E8"/>
    <w:rsid w:val="67D74048"/>
    <w:rsid w:val="67E51F56"/>
    <w:rsid w:val="6802359C"/>
    <w:rsid w:val="68081463"/>
    <w:rsid w:val="680A257F"/>
    <w:rsid w:val="68373462"/>
    <w:rsid w:val="685C0FCA"/>
    <w:rsid w:val="68655BE3"/>
    <w:rsid w:val="686926D4"/>
    <w:rsid w:val="68784EDA"/>
    <w:rsid w:val="687A62EB"/>
    <w:rsid w:val="687B4F8F"/>
    <w:rsid w:val="688C0135"/>
    <w:rsid w:val="688D57D8"/>
    <w:rsid w:val="6897438E"/>
    <w:rsid w:val="68A27905"/>
    <w:rsid w:val="68A550D0"/>
    <w:rsid w:val="68A57A2E"/>
    <w:rsid w:val="68A7533D"/>
    <w:rsid w:val="68CE3102"/>
    <w:rsid w:val="68D015E0"/>
    <w:rsid w:val="68D33B58"/>
    <w:rsid w:val="68D824C6"/>
    <w:rsid w:val="68E31D7A"/>
    <w:rsid w:val="68E71448"/>
    <w:rsid w:val="68F51C33"/>
    <w:rsid w:val="68FE7853"/>
    <w:rsid w:val="68FF6668"/>
    <w:rsid w:val="6901117B"/>
    <w:rsid w:val="691D61F1"/>
    <w:rsid w:val="691E3879"/>
    <w:rsid w:val="69211467"/>
    <w:rsid w:val="69257A7E"/>
    <w:rsid w:val="69277662"/>
    <w:rsid w:val="69345F83"/>
    <w:rsid w:val="69392613"/>
    <w:rsid w:val="69392966"/>
    <w:rsid w:val="693C2B63"/>
    <w:rsid w:val="694E1147"/>
    <w:rsid w:val="69520D7A"/>
    <w:rsid w:val="696206D3"/>
    <w:rsid w:val="6967756D"/>
    <w:rsid w:val="6968644A"/>
    <w:rsid w:val="699B6DC8"/>
    <w:rsid w:val="69A97058"/>
    <w:rsid w:val="69D72910"/>
    <w:rsid w:val="69D94035"/>
    <w:rsid w:val="69DC26A6"/>
    <w:rsid w:val="69E37874"/>
    <w:rsid w:val="69E56B54"/>
    <w:rsid w:val="69EE54CD"/>
    <w:rsid w:val="69FB7CD4"/>
    <w:rsid w:val="69FD7CEA"/>
    <w:rsid w:val="6A0229E5"/>
    <w:rsid w:val="6A067F83"/>
    <w:rsid w:val="6A171AFC"/>
    <w:rsid w:val="6A2A2D01"/>
    <w:rsid w:val="6A3225D7"/>
    <w:rsid w:val="6A470981"/>
    <w:rsid w:val="6A4747AF"/>
    <w:rsid w:val="6A57299A"/>
    <w:rsid w:val="6A697946"/>
    <w:rsid w:val="6A6D6854"/>
    <w:rsid w:val="6A700CED"/>
    <w:rsid w:val="6A7017D7"/>
    <w:rsid w:val="6AA235D3"/>
    <w:rsid w:val="6AB02B50"/>
    <w:rsid w:val="6ABB2ED0"/>
    <w:rsid w:val="6AC335C4"/>
    <w:rsid w:val="6ADD7DFD"/>
    <w:rsid w:val="6AE2135D"/>
    <w:rsid w:val="6AE77D3D"/>
    <w:rsid w:val="6AE93C28"/>
    <w:rsid w:val="6B21434C"/>
    <w:rsid w:val="6B237C36"/>
    <w:rsid w:val="6B2C290C"/>
    <w:rsid w:val="6B4514F6"/>
    <w:rsid w:val="6B4A50C0"/>
    <w:rsid w:val="6B4D3CED"/>
    <w:rsid w:val="6B5C7011"/>
    <w:rsid w:val="6B725A81"/>
    <w:rsid w:val="6B7F30F3"/>
    <w:rsid w:val="6B92645D"/>
    <w:rsid w:val="6B973734"/>
    <w:rsid w:val="6B975967"/>
    <w:rsid w:val="6BBC0DCF"/>
    <w:rsid w:val="6BCA6179"/>
    <w:rsid w:val="6BD0777F"/>
    <w:rsid w:val="6BD619EE"/>
    <w:rsid w:val="6BEA64E2"/>
    <w:rsid w:val="6BFA7E30"/>
    <w:rsid w:val="6C016CAE"/>
    <w:rsid w:val="6C090252"/>
    <w:rsid w:val="6C0B7CD2"/>
    <w:rsid w:val="6C100936"/>
    <w:rsid w:val="6C1962C3"/>
    <w:rsid w:val="6C255AAD"/>
    <w:rsid w:val="6C2C5801"/>
    <w:rsid w:val="6C2E3E73"/>
    <w:rsid w:val="6C3321F9"/>
    <w:rsid w:val="6C33267C"/>
    <w:rsid w:val="6C3D0F56"/>
    <w:rsid w:val="6C410CB8"/>
    <w:rsid w:val="6C452BDF"/>
    <w:rsid w:val="6C5E1CDD"/>
    <w:rsid w:val="6C6A716D"/>
    <w:rsid w:val="6C71767A"/>
    <w:rsid w:val="6C7C1F44"/>
    <w:rsid w:val="6C827094"/>
    <w:rsid w:val="6C8559E0"/>
    <w:rsid w:val="6CC25213"/>
    <w:rsid w:val="6CD76A8F"/>
    <w:rsid w:val="6CE0702D"/>
    <w:rsid w:val="6CEE220B"/>
    <w:rsid w:val="6CEE246E"/>
    <w:rsid w:val="6CF27A30"/>
    <w:rsid w:val="6CF6067E"/>
    <w:rsid w:val="6D0535EE"/>
    <w:rsid w:val="6D077405"/>
    <w:rsid w:val="6D133D59"/>
    <w:rsid w:val="6D264EC5"/>
    <w:rsid w:val="6D26662C"/>
    <w:rsid w:val="6D437763"/>
    <w:rsid w:val="6D671B76"/>
    <w:rsid w:val="6D6D28AF"/>
    <w:rsid w:val="6D771293"/>
    <w:rsid w:val="6D7D0954"/>
    <w:rsid w:val="6D876AB7"/>
    <w:rsid w:val="6D8F154F"/>
    <w:rsid w:val="6D9757D1"/>
    <w:rsid w:val="6D9C3974"/>
    <w:rsid w:val="6DA062EA"/>
    <w:rsid w:val="6DA65DBF"/>
    <w:rsid w:val="6DAF65CC"/>
    <w:rsid w:val="6DB157A2"/>
    <w:rsid w:val="6DB25F3D"/>
    <w:rsid w:val="6DC53FBD"/>
    <w:rsid w:val="6DC93FE2"/>
    <w:rsid w:val="6DCA77EA"/>
    <w:rsid w:val="6DD35114"/>
    <w:rsid w:val="6DDE35E8"/>
    <w:rsid w:val="6DE92FA2"/>
    <w:rsid w:val="6DEE0E7D"/>
    <w:rsid w:val="6DF574ED"/>
    <w:rsid w:val="6DF81839"/>
    <w:rsid w:val="6E0048DC"/>
    <w:rsid w:val="6E075019"/>
    <w:rsid w:val="6E0766A1"/>
    <w:rsid w:val="6E1419C0"/>
    <w:rsid w:val="6E183FF4"/>
    <w:rsid w:val="6E1D151C"/>
    <w:rsid w:val="6E2E7D17"/>
    <w:rsid w:val="6E3761D3"/>
    <w:rsid w:val="6E392DDA"/>
    <w:rsid w:val="6E3E2033"/>
    <w:rsid w:val="6E440060"/>
    <w:rsid w:val="6E442CF5"/>
    <w:rsid w:val="6E54575C"/>
    <w:rsid w:val="6E612C3F"/>
    <w:rsid w:val="6E6F6D88"/>
    <w:rsid w:val="6E7926F7"/>
    <w:rsid w:val="6E7B110F"/>
    <w:rsid w:val="6E8A2A35"/>
    <w:rsid w:val="6EA04FAE"/>
    <w:rsid w:val="6EDF2531"/>
    <w:rsid w:val="6EEF6508"/>
    <w:rsid w:val="6F1A60C4"/>
    <w:rsid w:val="6F231E41"/>
    <w:rsid w:val="6F244447"/>
    <w:rsid w:val="6F303DE1"/>
    <w:rsid w:val="6F331C81"/>
    <w:rsid w:val="6F331F52"/>
    <w:rsid w:val="6F362062"/>
    <w:rsid w:val="6F3C0797"/>
    <w:rsid w:val="6F4048CA"/>
    <w:rsid w:val="6F4734D0"/>
    <w:rsid w:val="6F4B3953"/>
    <w:rsid w:val="6F555C91"/>
    <w:rsid w:val="6F603479"/>
    <w:rsid w:val="6F6B5A9E"/>
    <w:rsid w:val="6F7A07E3"/>
    <w:rsid w:val="6F7D050B"/>
    <w:rsid w:val="6F8C33B0"/>
    <w:rsid w:val="6F953750"/>
    <w:rsid w:val="6FA10B29"/>
    <w:rsid w:val="6FAA2D8A"/>
    <w:rsid w:val="6FC02217"/>
    <w:rsid w:val="6FC60A07"/>
    <w:rsid w:val="6FCE2BBA"/>
    <w:rsid w:val="6FDF40F5"/>
    <w:rsid w:val="6FE05F95"/>
    <w:rsid w:val="6FFC64FF"/>
    <w:rsid w:val="7001428F"/>
    <w:rsid w:val="70133236"/>
    <w:rsid w:val="70156307"/>
    <w:rsid w:val="701C590F"/>
    <w:rsid w:val="702033F7"/>
    <w:rsid w:val="703D58C4"/>
    <w:rsid w:val="70453D87"/>
    <w:rsid w:val="7055360F"/>
    <w:rsid w:val="706F497B"/>
    <w:rsid w:val="70724AB3"/>
    <w:rsid w:val="70916EF8"/>
    <w:rsid w:val="709261ED"/>
    <w:rsid w:val="70A02568"/>
    <w:rsid w:val="70C41020"/>
    <w:rsid w:val="70CF255C"/>
    <w:rsid w:val="70DC2C89"/>
    <w:rsid w:val="70DD743F"/>
    <w:rsid w:val="70E3150B"/>
    <w:rsid w:val="70E67B77"/>
    <w:rsid w:val="70F323B0"/>
    <w:rsid w:val="710221FA"/>
    <w:rsid w:val="710F7585"/>
    <w:rsid w:val="711805A6"/>
    <w:rsid w:val="711A79AD"/>
    <w:rsid w:val="71217446"/>
    <w:rsid w:val="7123463F"/>
    <w:rsid w:val="714463AC"/>
    <w:rsid w:val="7144693A"/>
    <w:rsid w:val="71525708"/>
    <w:rsid w:val="71542A3C"/>
    <w:rsid w:val="71584711"/>
    <w:rsid w:val="716A4C59"/>
    <w:rsid w:val="716D3AF0"/>
    <w:rsid w:val="71811922"/>
    <w:rsid w:val="7184567C"/>
    <w:rsid w:val="71866C06"/>
    <w:rsid w:val="718F3086"/>
    <w:rsid w:val="719D1BC1"/>
    <w:rsid w:val="719F5958"/>
    <w:rsid w:val="71A601E7"/>
    <w:rsid w:val="71AC51C8"/>
    <w:rsid w:val="71C37CE8"/>
    <w:rsid w:val="71DA32B4"/>
    <w:rsid w:val="71F46D71"/>
    <w:rsid w:val="71F96411"/>
    <w:rsid w:val="71FA7506"/>
    <w:rsid w:val="7247128C"/>
    <w:rsid w:val="725B0CD8"/>
    <w:rsid w:val="7264361A"/>
    <w:rsid w:val="726822A9"/>
    <w:rsid w:val="726C3438"/>
    <w:rsid w:val="727367E8"/>
    <w:rsid w:val="727F3E51"/>
    <w:rsid w:val="7287073E"/>
    <w:rsid w:val="7290542B"/>
    <w:rsid w:val="72917F17"/>
    <w:rsid w:val="72935E6A"/>
    <w:rsid w:val="729A7834"/>
    <w:rsid w:val="72A00661"/>
    <w:rsid w:val="72B06D9D"/>
    <w:rsid w:val="72C77A8A"/>
    <w:rsid w:val="72CB7C4C"/>
    <w:rsid w:val="72D86D20"/>
    <w:rsid w:val="72FE3E8E"/>
    <w:rsid w:val="731C3ED2"/>
    <w:rsid w:val="731E5631"/>
    <w:rsid w:val="732B0C72"/>
    <w:rsid w:val="733863E3"/>
    <w:rsid w:val="733A3332"/>
    <w:rsid w:val="733E46B2"/>
    <w:rsid w:val="73597F33"/>
    <w:rsid w:val="7375490C"/>
    <w:rsid w:val="737D2F4F"/>
    <w:rsid w:val="73900D21"/>
    <w:rsid w:val="739A7114"/>
    <w:rsid w:val="739F2349"/>
    <w:rsid w:val="73A242CD"/>
    <w:rsid w:val="73AC333B"/>
    <w:rsid w:val="73B11DBC"/>
    <w:rsid w:val="73B1795C"/>
    <w:rsid w:val="73B51018"/>
    <w:rsid w:val="73C340B3"/>
    <w:rsid w:val="73C72DB3"/>
    <w:rsid w:val="73C854F0"/>
    <w:rsid w:val="73D007EE"/>
    <w:rsid w:val="73D27A00"/>
    <w:rsid w:val="73D9581C"/>
    <w:rsid w:val="73DA2FBB"/>
    <w:rsid w:val="73DC2CAB"/>
    <w:rsid w:val="73E72CB9"/>
    <w:rsid w:val="742C093F"/>
    <w:rsid w:val="742F68DF"/>
    <w:rsid w:val="7435797F"/>
    <w:rsid w:val="744A0545"/>
    <w:rsid w:val="744F7C70"/>
    <w:rsid w:val="74632A31"/>
    <w:rsid w:val="7465205B"/>
    <w:rsid w:val="74743C33"/>
    <w:rsid w:val="747640DF"/>
    <w:rsid w:val="7482175B"/>
    <w:rsid w:val="74843F0D"/>
    <w:rsid w:val="74BA4FF9"/>
    <w:rsid w:val="74CA0770"/>
    <w:rsid w:val="74D52F3D"/>
    <w:rsid w:val="74D81528"/>
    <w:rsid w:val="74DA07A2"/>
    <w:rsid w:val="74E1491C"/>
    <w:rsid w:val="74E67A31"/>
    <w:rsid w:val="74F61278"/>
    <w:rsid w:val="74F90505"/>
    <w:rsid w:val="75124563"/>
    <w:rsid w:val="751C2143"/>
    <w:rsid w:val="752F2DAC"/>
    <w:rsid w:val="7566472C"/>
    <w:rsid w:val="756B1E1E"/>
    <w:rsid w:val="7578413D"/>
    <w:rsid w:val="757B64ED"/>
    <w:rsid w:val="757C232A"/>
    <w:rsid w:val="75851DCA"/>
    <w:rsid w:val="7599617F"/>
    <w:rsid w:val="759D7802"/>
    <w:rsid w:val="75A011FF"/>
    <w:rsid w:val="75A70E4F"/>
    <w:rsid w:val="75AA3F51"/>
    <w:rsid w:val="75B11420"/>
    <w:rsid w:val="75B263D3"/>
    <w:rsid w:val="75DC2372"/>
    <w:rsid w:val="75E16CC1"/>
    <w:rsid w:val="75F22E0F"/>
    <w:rsid w:val="760950F4"/>
    <w:rsid w:val="76154B74"/>
    <w:rsid w:val="761C414A"/>
    <w:rsid w:val="76380CDC"/>
    <w:rsid w:val="7649562B"/>
    <w:rsid w:val="764F7C59"/>
    <w:rsid w:val="765566B4"/>
    <w:rsid w:val="7668119A"/>
    <w:rsid w:val="768C1EBA"/>
    <w:rsid w:val="769568F8"/>
    <w:rsid w:val="76993596"/>
    <w:rsid w:val="76B14AAD"/>
    <w:rsid w:val="76C32B57"/>
    <w:rsid w:val="76CB0A63"/>
    <w:rsid w:val="76D25527"/>
    <w:rsid w:val="76D81970"/>
    <w:rsid w:val="76DD3810"/>
    <w:rsid w:val="76E451C7"/>
    <w:rsid w:val="76E472DD"/>
    <w:rsid w:val="76ED3B38"/>
    <w:rsid w:val="76F13EA7"/>
    <w:rsid w:val="76F14581"/>
    <w:rsid w:val="76F77BBD"/>
    <w:rsid w:val="76FD22EC"/>
    <w:rsid w:val="76FD6D57"/>
    <w:rsid w:val="77030B27"/>
    <w:rsid w:val="77041D95"/>
    <w:rsid w:val="7718408C"/>
    <w:rsid w:val="772527B2"/>
    <w:rsid w:val="773B25F8"/>
    <w:rsid w:val="7743414C"/>
    <w:rsid w:val="774551B5"/>
    <w:rsid w:val="776870B9"/>
    <w:rsid w:val="776967FB"/>
    <w:rsid w:val="776D4583"/>
    <w:rsid w:val="777A37E1"/>
    <w:rsid w:val="778100C2"/>
    <w:rsid w:val="77855EB4"/>
    <w:rsid w:val="77AA135C"/>
    <w:rsid w:val="77AC14DA"/>
    <w:rsid w:val="77AD64CA"/>
    <w:rsid w:val="77AF3504"/>
    <w:rsid w:val="77B36F7C"/>
    <w:rsid w:val="77C926F0"/>
    <w:rsid w:val="77FC1B84"/>
    <w:rsid w:val="780752E6"/>
    <w:rsid w:val="78153F77"/>
    <w:rsid w:val="78185315"/>
    <w:rsid w:val="781C67FA"/>
    <w:rsid w:val="782378AE"/>
    <w:rsid w:val="78296DAC"/>
    <w:rsid w:val="783E418B"/>
    <w:rsid w:val="78570849"/>
    <w:rsid w:val="78617AF2"/>
    <w:rsid w:val="78626899"/>
    <w:rsid w:val="786421F2"/>
    <w:rsid w:val="786616B3"/>
    <w:rsid w:val="786E5D08"/>
    <w:rsid w:val="78812F7C"/>
    <w:rsid w:val="78AA6975"/>
    <w:rsid w:val="78C15B1C"/>
    <w:rsid w:val="78C359B3"/>
    <w:rsid w:val="78C9190A"/>
    <w:rsid w:val="78C97D4F"/>
    <w:rsid w:val="78CC0493"/>
    <w:rsid w:val="78EC2D52"/>
    <w:rsid w:val="78F5480C"/>
    <w:rsid w:val="79036E66"/>
    <w:rsid w:val="790B5E2B"/>
    <w:rsid w:val="790E47EA"/>
    <w:rsid w:val="79104E2B"/>
    <w:rsid w:val="79135CA0"/>
    <w:rsid w:val="791F537B"/>
    <w:rsid w:val="79344437"/>
    <w:rsid w:val="79367982"/>
    <w:rsid w:val="793D5C2F"/>
    <w:rsid w:val="794A336F"/>
    <w:rsid w:val="79537099"/>
    <w:rsid w:val="79552D08"/>
    <w:rsid w:val="79672E22"/>
    <w:rsid w:val="79677010"/>
    <w:rsid w:val="797121AE"/>
    <w:rsid w:val="797E1825"/>
    <w:rsid w:val="79A7288D"/>
    <w:rsid w:val="79AA3C4E"/>
    <w:rsid w:val="79AE312A"/>
    <w:rsid w:val="79B3208C"/>
    <w:rsid w:val="79B70130"/>
    <w:rsid w:val="79BD5598"/>
    <w:rsid w:val="79CB0706"/>
    <w:rsid w:val="79CE66ED"/>
    <w:rsid w:val="79CF6E25"/>
    <w:rsid w:val="79D42664"/>
    <w:rsid w:val="79D51250"/>
    <w:rsid w:val="79DB4236"/>
    <w:rsid w:val="79E66C93"/>
    <w:rsid w:val="79F16E80"/>
    <w:rsid w:val="79F842C2"/>
    <w:rsid w:val="79FA0A29"/>
    <w:rsid w:val="79FC6E04"/>
    <w:rsid w:val="79FE2A4E"/>
    <w:rsid w:val="7A081D42"/>
    <w:rsid w:val="7A0A7223"/>
    <w:rsid w:val="7A0C4EA7"/>
    <w:rsid w:val="7A12552F"/>
    <w:rsid w:val="7A1524DD"/>
    <w:rsid w:val="7A1A1772"/>
    <w:rsid w:val="7A276994"/>
    <w:rsid w:val="7A3B034D"/>
    <w:rsid w:val="7A3F158B"/>
    <w:rsid w:val="7A4A132A"/>
    <w:rsid w:val="7A6736BC"/>
    <w:rsid w:val="7A6A7B3B"/>
    <w:rsid w:val="7A746574"/>
    <w:rsid w:val="7A7678E5"/>
    <w:rsid w:val="7A7B24DD"/>
    <w:rsid w:val="7A867241"/>
    <w:rsid w:val="7A876B11"/>
    <w:rsid w:val="7A963A48"/>
    <w:rsid w:val="7A9861CB"/>
    <w:rsid w:val="7A986784"/>
    <w:rsid w:val="7ABB3E82"/>
    <w:rsid w:val="7AC3568E"/>
    <w:rsid w:val="7AD71052"/>
    <w:rsid w:val="7AD9797E"/>
    <w:rsid w:val="7AEE60EE"/>
    <w:rsid w:val="7B177A77"/>
    <w:rsid w:val="7B193032"/>
    <w:rsid w:val="7B2B13FD"/>
    <w:rsid w:val="7B3339FA"/>
    <w:rsid w:val="7B460BFD"/>
    <w:rsid w:val="7B4910BE"/>
    <w:rsid w:val="7B5E4EEC"/>
    <w:rsid w:val="7B674BD7"/>
    <w:rsid w:val="7B782690"/>
    <w:rsid w:val="7B7F3966"/>
    <w:rsid w:val="7B80148D"/>
    <w:rsid w:val="7B821ADA"/>
    <w:rsid w:val="7B8F5DA2"/>
    <w:rsid w:val="7B926883"/>
    <w:rsid w:val="7BA4369C"/>
    <w:rsid w:val="7BA71440"/>
    <w:rsid w:val="7BAE696E"/>
    <w:rsid w:val="7BAF3C86"/>
    <w:rsid w:val="7BC23E12"/>
    <w:rsid w:val="7BC92A6F"/>
    <w:rsid w:val="7BD4048E"/>
    <w:rsid w:val="7BD968AC"/>
    <w:rsid w:val="7BDE524C"/>
    <w:rsid w:val="7BEA5E74"/>
    <w:rsid w:val="7BF9001B"/>
    <w:rsid w:val="7BFE0389"/>
    <w:rsid w:val="7BFE08FA"/>
    <w:rsid w:val="7C1F2070"/>
    <w:rsid w:val="7C260105"/>
    <w:rsid w:val="7C2900A2"/>
    <w:rsid w:val="7C295D17"/>
    <w:rsid w:val="7C2A10CD"/>
    <w:rsid w:val="7C2D2AE7"/>
    <w:rsid w:val="7C4B681D"/>
    <w:rsid w:val="7C690B20"/>
    <w:rsid w:val="7C780AD5"/>
    <w:rsid w:val="7C7E2FFC"/>
    <w:rsid w:val="7C867154"/>
    <w:rsid w:val="7C9427B3"/>
    <w:rsid w:val="7C9E5A77"/>
    <w:rsid w:val="7CB74F4A"/>
    <w:rsid w:val="7CB80138"/>
    <w:rsid w:val="7CB838AF"/>
    <w:rsid w:val="7CBE6F50"/>
    <w:rsid w:val="7CC639C6"/>
    <w:rsid w:val="7CCD12D3"/>
    <w:rsid w:val="7CD505D1"/>
    <w:rsid w:val="7CE215AC"/>
    <w:rsid w:val="7CE25B4A"/>
    <w:rsid w:val="7CE3422B"/>
    <w:rsid w:val="7CE5443B"/>
    <w:rsid w:val="7CED09D9"/>
    <w:rsid w:val="7CF87323"/>
    <w:rsid w:val="7D017D9A"/>
    <w:rsid w:val="7D080205"/>
    <w:rsid w:val="7D0A432A"/>
    <w:rsid w:val="7D0F2DDE"/>
    <w:rsid w:val="7D144B3C"/>
    <w:rsid w:val="7D167BA2"/>
    <w:rsid w:val="7D1F5883"/>
    <w:rsid w:val="7D242066"/>
    <w:rsid w:val="7D282F0F"/>
    <w:rsid w:val="7D3874D2"/>
    <w:rsid w:val="7D4241A1"/>
    <w:rsid w:val="7D452B7F"/>
    <w:rsid w:val="7D526E71"/>
    <w:rsid w:val="7D5A5BFC"/>
    <w:rsid w:val="7D6518EB"/>
    <w:rsid w:val="7D6B77B5"/>
    <w:rsid w:val="7D7371E1"/>
    <w:rsid w:val="7D7F0E79"/>
    <w:rsid w:val="7D851CFF"/>
    <w:rsid w:val="7DA65B7D"/>
    <w:rsid w:val="7DA86112"/>
    <w:rsid w:val="7DAE3829"/>
    <w:rsid w:val="7DB9268E"/>
    <w:rsid w:val="7DBF3388"/>
    <w:rsid w:val="7DC8040C"/>
    <w:rsid w:val="7DC85A3E"/>
    <w:rsid w:val="7DD03D33"/>
    <w:rsid w:val="7DD410E6"/>
    <w:rsid w:val="7DD603AD"/>
    <w:rsid w:val="7DD82F1A"/>
    <w:rsid w:val="7DDA1110"/>
    <w:rsid w:val="7DE020DC"/>
    <w:rsid w:val="7DE449CE"/>
    <w:rsid w:val="7DEC05A8"/>
    <w:rsid w:val="7DEE71DF"/>
    <w:rsid w:val="7DF66186"/>
    <w:rsid w:val="7E0A5EA4"/>
    <w:rsid w:val="7E0A72D5"/>
    <w:rsid w:val="7E0B3C08"/>
    <w:rsid w:val="7E1C2B95"/>
    <w:rsid w:val="7E1E3CF4"/>
    <w:rsid w:val="7E212526"/>
    <w:rsid w:val="7E262B03"/>
    <w:rsid w:val="7E2E765A"/>
    <w:rsid w:val="7E324C10"/>
    <w:rsid w:val="7E3B7336"/>
    <w:rsid w:val="7E3D35D7"/>
    <w:rsid w:val="7E466A84"/>
    <w:rsid w:val="7E472FFE"/>
    <w:rsid w:val="7E4A6379"/>
    <w:rsid w:val="7E5248E3"/>
    <w:rsid w:val="7E6854DB"/>
    <w:rsid w:val="7E793E63"/>
    <w:rsid w:val="7E7B1715"/>
    <w:rsid w:val="7E8031F2"/>
    <w:rsid w:val="7E860496"/>
    <w:rsid w:val="7E9963F8"/>
    <w:rsid w:val="7E9D0633"/>
    <w:rsid w:val="7EB16AB6"/>
    <w:rsid w:val="7EBD651F"/>
    <w:rsid w:val="7EC07C28"/>
    <w:rsid w:val="7ECB3BBC"/>
    <w:rsid w:val="7ED83896"/>
    <w:rsid w:val="7EDC2729"/>
    <w:rsid w:val="7EF04016"/>
    <w:rsid w:val="7EFF41BF"/>
    <w:rsid w:val="7F0126E4"/>
    <w:rsid w:val="7F013802"/>
    <w:rsid w:val="7F1A1324"/>
    <w:rsid w:val="7F1A4AEF"/>
    <w:rsid w:val="7F271E5F"/>
    <w:rsid w:val="7F29623C"/>
    <w:rsid w:val="7F2D4C74"/>
    <w:rsid w:val="7F341EAD"/>
    <w:rsid w:val="7F350A03"/>
    <w:rsid w:val="7F375587"/>
    <w:rsid w:val="7F3B2B2F"/>
    <w:rsid w:val="7F406D66"/>
    <w:rsid w:val="7F421AF0"/>
    <w:rsid w:val="7F516AFB"/>
    <w:rsid w:val="7F585C16"/>
    <w:rsid w:val="7F5B38C5"/>
    <w:rsid w:val="7F6A7C64"/>
    <w:rsid w:val="7F6B0BA4"/>
    <w:rsid w:val="7F6E0CE1"/>
    <w:rsid w:val="7F6F6E86"/>
    <w:rsid w:val="7F8A3738"/>
    <w:rsid w:val="7F8B3191"/>
    <w:rsid w:val="7F8E6809"/>
    <w:rsid w:val="7F9E0C2E"/>
    <w:rsid w:val="7FAF35C9"/>
    <w:rsid w:val="7FBE4780"/>
    <w:rsid w:val="7FC07CDA"/>
    <w:rsid w:val="7FEC3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8.pn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10</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admin</cp:lastModifiedBy>
  <cp:lastPrinted>2024-01-26T05:00:40Z</cp:lastPrinted>
  <dcterms:modified xsi:type="dcterms:W3CDTF">2024-01-26T06:12:08Z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19791ADF5B444BB183AA96261140D7A6</vt:lpwstr>
  </property>
</Properties>
</file>