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default" w:ascii="Times New Roman" w:hAnsi="Times New Roman" w:eastAsia="经典行楷简" w:cs="Times New Roman"/>
          <w:b w:val="0"/>
          <w:bCs/>
          <w:color w:val="2E75B6" w:themeColor="accent1" w:themeShade="BF"/>
          <w:kern w:val="36"/>
          <w:sz w:val="44"/>
          <w:szCs w:val="44"/>
          <w:lang w:val="en-US" w:eastAsia="zh-CN"/>
        </w:rPr>
        <w:t>3</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249</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default" w:ascii="Times New Roman" w:hAnsi="Times New Roman" w:eastAsia="方正楷体_GBK" w:cs="Times New Roman"/>
          <w:b w:val="0"/>
          <w:bCs/>
          <w:color w:val="000000"/>
          <w:kern w:val="36"/>
          <w:sz w:val="32"/>
          <w:szCs w:val="32"/>
          <w:highlight w:val="none"/>
          <w:lang w:val="en-US" w:eastAsia="zh-CN"/>
        </w:rPr>
        <w:t>1</w:t>
      </w:r>
      <w:r>
        <w:rPr>
          <w:rFonts w:hint="default" w:ascii="Times New Roman" w:hAnsi="Times New Roman" w:eastAsia="方正楷体_GBK" w:cs="Times New Roman"/>
          <w:b w:val="0"/>
          <w:bCs/>
          <w:color w:val="000000"/>
          <w:kern w:val="36"/>
          <w:sz w:val="32"/>
          <w:szCs w:val="32"/>
          <w:highlight w:val="none"/>
        </w:rPr>
        <w:t>月</w:t>
      </w:r>
      <w:r>
        <w:rPr>
          <w:rFonts w:hint="default" w:ascii="Times New Roman" w:hAnsi="Times New Roman" w:eastAsia="方正楷体_GBK" w:cs="Times New Roman"/>
          <w:b w:val="0"/>
          <w:bCs/>
          <w:color w:val="000000"/>
          <w:kern w:val="36"/>
          <w:sz w:val="32"/>
          <w:szCs w:val="32"/>
          <w:highlight w:val="none"/>
          <w:lang w:val="en-US" w:eastAsia="zh-CN"/>
        </w:rPr>
        <w:t>19</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  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48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全球</w:t>
      </w:r>
      <w:r>
        <w:rPr>
          <w:rFonts w:hint="eastAsia"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市场</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cs="Times New Roman" w:eastAsiaTheme="minorEastAsia"/>
          <w:sz w:val="32"/>
          <w:szCs w:val="32"/>
        </w:rPr>
      </w:pPr>
      <w:r>
        <w:rPr>
          <w:rFonts w:hint="eastAsia" w:ascii="方正小标宋_GBK" w:hAnsi="方正小标宋_GBK" w:eastAsia="方正小标宋_GBK" w:cs="方正小标宋_GBK"/>
          <w:b/>
          <w:bCs w:val="0"/>
          <w:color w:val="FF0000"/>
          <w:kern w:val="36"/>
          <w:sz w:val="44"/>
          <w:szCs w:val="44"/>
          <w:highlight w:val="yellow"/>
          <w:lang w:val="en-US" w:eastAsia="zh-CN"/>
        </w:rPr>
        <w:t>美国政府</w:t>
      </w:r>
      <w:r>
        <w:rPr>
          <w:rFonts w:hint="eastAsia" w:ascii="Times New Roman" w:hAnsi="Times New Roman" w:eastAsia="方正楷体_GBK" w:cs="Times New Roman"/>
          <w:b/>
          <w:color w:val="auto"/>
          <w:kern w:val="36"/>
          <w:sz w:val="32"/>
          <w:szCs w:val="32"/>
          <w:lang w:val="en-US" w:eastAsia="zh-CN"/>
        </w:rPr>
        <w:t>赤字加大、债务增长，消费可能放缓</w:t>
      </w:r>
      <w:r>
        <w:rPr>
          <w:rFonts w:hint="default" w:ascii="Times New Roman" w:hAnsi="Times New Roman" w:eastAsia="方正楷体_GBK" w:cs="Times New Roman"/>
          <w:b/>
          <w:color w:val="auto"/>
          <w:kern w:val="36"/>
          <w:sz w:val="32"/>
          <w:szCs w:val="32"/>
          <w:lang w:val="en-US" w:eastAsia="zh-CN"/>
        </w:rPr>
        <w:t xml:space="preserve"> / </w:t>
      </w:r>
      <w:r>
        <w:rPr>
          <w:rFonts w:hint="default" w:ascii="Times New Roman" w:hAnsi="Times New Roman" w:eastAsia="方正楷体_GBK" w:cs="Times New Roman"/>
          <w:b/>
          <w:color w:val="FF0000"/>
          <w:kern w:val="36"/>
          <w:sz w:val="32"/>
          <w:szCs w:val="32"/>
          <w:lang w:val="en-US" w:eastAsia="zh-CN"/>
        </w:rPr>
        <w:t xml:space="preserve">P04 </w:t>
      </w:r>
      <w:r>
        <w:rPr>
          <w:rFonts w:hint="default" w:ascii="Times New Roman" w:hAnsi="Times New Roman" w:eastAsia="方正楷体_GBK" w:cs="Times New Roman"/>
          <w:b/>
          <w:color w:val="auto"/>
          <w:kern w:val="36"/>
          <w:sz w:val="32"/>
          <w:szCs w:val="32"/>
          <w:lang w:val="en-US" w:eastAsia="zh-CN"/>
        </w:rPr>
        <w:t>/</w:t>
      </w:r>
      <w:r>
        <w:rPr>
          <w:rFonts w:hint="default" w:ascii="Times New Roman" w:hAnsi="Times New Roman" w:eastAsia="方正楷体_GBK" w:cs="Times New Roman"/>
          <w:b/>
          <w:color w:val="FF0000"/>
          <w:kern w:val="36"/>
          <w:sz w:val="32"/>
          <w:szCs w:val="32"/>
          <w:lang w:val="en-US" w:eastAsia="zh-CN"/>
        </w:rPr>
        <w:t>P11</w:t>
      </w:r>
      <w:r>
        <w:rPr>
          <w:rFonts w:hint="default" w:ascii="Times New Roman" w:hAnsi="Times New Roman" w:eastAsia="方正楷体_GBK" w:cs="Times New Roman"/>
          <w:b/>
          <w:color w:val="auto"/>
          <w:kern w:val="36"/>
          <w:sz w:val="32"/>
          <w:szCs w:val="32"/>
          <w:lang w:val="en-US" w:eastAsia="zh-CN"/>
        </w:rPr>
        <w:t xml:space="preserve"> </w:t>
      </w:r>
      <w:r>
        <w:rPr>
          <w:rFonts w:hint="default" w:ascii="Times New Roman" w:hAnsi="Times New Roman" w:cs="Times New Roman" w:eastAsiaTheme="minorEastAsia"/>
          <w:sz w:val="32"/>
          <w:szCs w:val="32"/>
        </w:rPr>
        <w:drawing>
          <wp:inline distT="0" distB="0" distL="114300" distR="114300">
            <wp:extent cx="2425700" cy="1561465"/>
            <wp:effectExtent l="0" t="0" r="12700" b="635"/>
            <wp:docPr id="1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pic:cNvPicPr>
                      <a:picLocks noChangeAspect="1"/>
                    </pic:cNvPicPr>
                  </pic:nvPicPr>
                  <pic:blipFill>
                    <a:blip r:embed="rId6"/>
                    <a:stretch>
                      <a:fillRect/>
                    </a:stretch>
                  </pic:blipFill>
                  <pic:spPr>
                    <a:xfrm>
                      <a:off x="0" y="0"/>
                      <a:ext cx="2425700" cy="1561465"/>
                    </a:xfrm>
                    <a:prstGeom prst="rect">
                      <a:avLst/>
                    </a:prstGeom>
                    <a:noFill/>
                    <a:ln>
                      <a:noFill/>
                    </a:ln>
                  </pic:spPr>
                </pic:pic>
              </a:graphicData>
            </a:graphic>
          </wp:inline>
        </w:drawing>
      </w:r>
      <w:r>
        <w:rPr>
          <w:rFonts w:hint="default" w:ascii="Times New Roman" w:hAnsi="Times New Roman" w:cs="Times New Roman"/>
          <w:sz w:val="32"/>
          <w:szCs w:val="32"/>
          <w:lang w:val="en-US"/>
        </w:rPr>
        <w:t xml:space="preserve">  </w:t>
      </w:r>
      <w:r>
        <w:rPr>
          <w:rFonts w:hint="default" w:ascii="Times New Roman" w:hAnsi="Times New Roman" w:cs="Times New Roman" w:eastAsiaTheme="minorEastAsia"/>
          <w:sz w:val="32"/>
          <w:szCs w:val="32"/>
        </w:rPr>
        <w:drawing>
          <wp:inline distT="0" distB="0" distL="114300" distR="114300">
            <wp:extent cx="2379345" cy="1574800"/>
            <wp:effectExtent l="0" t="0" r="1905" b="6350"/>
            <wp:docPr id="1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
                    <pic:cNvPicPr>
                      <a:picLocks noChangeAspect="1"/>
                    </pic:cNvPicPr>
                  </pic:nvPicPr>
                  <pic:blipFill>
                    <a:blip r:embed="rId7"/>
                    <a:stretch>
                      <a:fillRect/>
                    </a:stretch>
                  </pic:blipFill>
                  <pic:spPr>
                    <a:xfrm>
                      <a:off x="0" y="0"/>
                      <a:ext cx="2379345" cy="1574800"/>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center"/>
        <w:textAlignment w:val="auto"/>
        <w:outlineLvl w:val="1"/>
        <w:rPr>
          <w:rFonts w:hint="default"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德意志农民柏林抗议，</w:t>
      </w:r>
      <w:r>
        <w:rPr>
          <w:rFonts w:hint="eastAsia" w:ascii="方正小标宋_GBK" w:hAnsi="方正小标宋_GBK" w:eastAsia="方正小标宋_GBK" w:cs="方正小标宋_GBK"/>
          <w:b/>
          <w:bCs w:val="0"/>
          <w:color w:val="FF0000"/>
          <w:kern w:val="36"/>
          <w:sz w:val="44"/>
          <w:szCs w:val="44"/>
          <w:highlight w:val="yellow"/>
          <w:lang w:val="en-US" w:eastAsia="zh-CN"/>
        </w:rPr>
        <w:t>欧元区</w:t>
      </w:r>
      <w:r>
        <w:rPr>
          <w:rFonts w:hint="eastAsia" w:ascii="Times New Roman" w:hAnsi="Times New Roman" w:eastAsia="方正楷体_GBK" w:cs="Times New Roman"/>
          <w:b/>
          <w:color w:val="auto"/>
          <w:kern w:val="36"/>
          <w:sz w:val="32"/>
          <w:szCs w:val="32"/>
          <w:lang w:val="en-US" w:eastAsia="zh-CN"/>
        </w:rPr>
        <w:t>工业生产下滑</w:t>
      </w:r>
      <w:r>
        <w:rPr>
          <w:rFonts w:hint="default" w:ascii="Times New Roman" w:hAnsi="Times New Roman" w:eastAsia="方正楷体_GBK" w:cs="Times New Roman"/>
          <w:b/>
          <w:color w:val="auto"/>
          <w:kern w:val="36"/>
          <w:sz w:val="32"/>
          <w:szCs w:val="32"/>
          <w:lang w:val="en-US" w:eastAsia="zh-CN"/>
        </w:rPr>
        <w:t xml:space="preserve"> / </w:t>
      </w:r>
      <w:r>
        <w:rPr>
          <w:rFonts w:hint="default" w:ascii="Times New Roman" w:hAnsi="Times New Roman" w:eastAsia="方正楷体_GBK" w:cs="Times New Roman"/>
          <w:b/>
          <w:color w:val="FF0000"/>
          <w:kern w:val="36"/>
          <w:sz w:val="32"/>
          <w:szCs w:val="32"/>
          <w:lang w:val="en-US" w:eastAsia="zh-CN"/>
        </w:rPr>
        <w:t>P06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480" w:lineRule="auto"/>
        <w:contextualSpacing/>
        <w:jc w:val="center"/>
        <w:textAlignment w:val="auto"/>
        <w:outlineLvl w:val="1"/>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1671320" cy="1350010"/>
            <wp:effectExtent l="0" t="0" r="5080" b="2540"/>
            <wp:docPr id="1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
                    <pic:cNvPicPr>
                      <a:picLocks noChangeAspect="1"/>
                    </pic:cNvPicPr>
                  </pic:nvPicPr>
                  <pic:blipFill>
                    <a:blip r:embed="rId8"/>
                    <a:stretch>
                      <a:fillRect/>
                    </a:stretch>
                  </pic:blipFill>
                  <pic:spPr>
                    <a:xfrm>
                      <a:off x="0" y="0"/>
                      <a:ext cx="1671320" cy="1350010"/>
                    </a:xfrm>
                    <a:prstGeom prst="rect">
                      <a:avLst/>
                    </a:prstGeom>
                    <a:noFill/>
                    <a:ln>
                      <a:noFill/>
                    </a:ln>
                  </pic:spPr>
                </pic:pic>
              </a:graphicData>
            </a:graphic>
          </wp:inline>
        </w:drawing>
      </w:r>
      <w:r>
        <w:rPr>
          <w:rFonts w:hint="default" w:ascii="Times New Roman" w:hAnsi="Times New Roman" w:cs="Times New Roman" w:eastAsiaTheme="minorEastAsia"/>
          <w:sz w:val="32"/>
          <w:szCs w:val="32"/>
        </w:rPr>
        <w:drawing>
          <wp:inline distT="0" distB="0" distL="114300" distR="114300">
            <wp:extent cx="1735455" cy="1281430"/>
            <wp:effectExtent l="0" t="0" r="17145" b="13970"/>
            <wp:docPr id="1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4"/>
                    <pic:cNvPicPr>
                      <a:picLocks noChangeAspect="1"/>
                    </pic:cNvPicPr>
                  </pic:nvPicPr>
                  <pic:blipFill>
                    <a:blip r:embed="rId9"/>
                    <a:stretch>
                      <a:fillRect/>
                    </a:stretch>
                  </pic:blipFill>
                  <pic:spPr>
                    <a:xfrm>
                      <a:off x="0" y="0"/>
                      <a:ext cx="1735455" cy="1281430"/>
                    </a:xfrm>
                    <a:prstGeom prst="rect">
                      <a:avLst/>
                    </a:prstGeom>
                    <a:noFill/>
                    <a:ln>
                      <a:noFill/>
                    </a:ln>
                  </pic:spPr>
                </pic:pic>
              </a:graphicData>
            </a:graphic>
          </wp:inline>
        </w:drawing>
      </w:r>
      <w:r>
        <w:rPr>
          <w:rFonts w:hint="default" w:ascii="Times New Roman" w:hAnsi="Times New Roman" w:cs="Times New Roman" w:eastAsiaTheme="minorEastAsia"/>
          <w:sz w:val="32"/>
          <w:szCs w:val="32"/>
        </w:rPr>
        <w:drawing>
          <wp:inline distT="0" distB="0" distL="114300" distR="114300">
            <wp:extent cx="2277110" cy="1162685"/>
            <wp:effectExtent l="0" t="0" r="8890" b="1841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0"/>
                    <a:stretch>
                      <a:fillRect/>
                    </a:stretch>
                  </pic:blipFill>
                  <pic:spPr>
                    <a:xfrm>
                      <a:off x="0" y="0"/>
                      <a:ext cx="2277110" cy="1162685"/>
                    </a:xfrm>
                    <a:prstGeom prst="rect">
                      <a:avLst/>
                    </a:prstGeom>
                    <a:noFill/>
                    <a:ln>
                      <a:noFill/>
                    </a:ln>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480" w:lineRule="auto"/>
        <w:ind w:firstLine="608" w:firstLineChars="200"/>
        <w:contextualSpacing/>
        <w:jc w:val="both"/>
        <w:textAlignment w:val="auto"/>
        <w:outlineLvl w:val="1"/>
        <w:rPr>
          <w:rFonts w:hint="default" w:ascii="Times New Roman" w:hAnsi="Times New Roman" w:eastAsia="方正楷体_GBK" w:cs="Times New Roman"/>
          <w:b/>
          <w:color w:val="auto"/>
          <w:kern w:val="36"/>
          <w:sz w:val="32"/>
          <w:szCs w:val="32"/>
          <w:lang w:val="en-US" w:eastAsia="zh-CN"/>
        </w:rPr>
      </w:pPr>
      <w:r>
        <w:rPr>
          <w:rFonts w:hint="default" w:ascii="Times New Roman" w:hAnsi="Times New Roman" w:eastAsia="方正楷体_GBK" w:cs="Times New Roman"/>
          <w:b/>
          <w:color w:val="auto"/>
          <w:kern w:val="36"/>
          <w:sz w:val="32"/>
          <w:szCs w:val="32"/>
          <w:lang w:val="en-US" w:eastAsia="zh-CN"/>
        </w:rPr>
        <w:t>1月13日（周</w:t>
      </w:r>
      <w:r>
        <w:rPr>
          <w:rFonts w:hint="eastAsia" w:ascii="Times New Roman" w:hAnsi="Times New Roman" w:eastAsia="方正楷体_GBK" w:cs="Times New Roman"/>
          <w:b/>
          <w:color w:val="auto"/>
          <w:kern w:val="36"/>
          <w:sz w:val="32"/>
          <w:szCs w:val="32"/>
          <w:lang w:val="en-US" w:eastAsia="zh-CN"/>
        </w:rPr>
        <w:t>六</w:t>
      </w:r>
      <w:r>
        <w:rPr>
          <w:rFonts w:hint="default" w:ascii="Times New Roman" w:hAnsi="Times New Roman" w:eastAsia="方正楷体_GBK" w:cs="Times New Roman"/>
          <w:b/>
          <w:color w:val="auto"/>
          <w:kern w:val="36"/>
          <w:sz w:val="32"/>
          <w:szCs w:val="32"/>
          <w:lang w:val="en-US" w:eastAsia="zh-CN"/>
        </w:rPr>
        <w:t>）</w:t>
      </w:r>
      <w:r>
        <w:rPr>
          <w:rFonts w:hint="eastAsia" w:ascii="Times New Roman" w:hAnsi="Times New Roman" w:eastAsia="方正楷体_GBK" w:cs="Times New Roman"/>
          <w:b/>
          <w:color w:val="auto"/>
          <w:kern w:val="36"/>
          <w:sz w:val="32"/>
          <w:szCs w:val="32"/>
          <w:lang w:val="en-US" w:eastAsia="zh-CN"/>
        </w:rPr>
        <w:t>与CPI相反，12月PPI呈现通胀缓和信号/ 0</w:t>
      </w:r>
      <w:r>
        <w:rPr>
          <w:rFonts w:hint="default" w:ascii="Times New Roman" w:hAnsi="Times New Roman" w:eastAsia="方正楷体_GBK" w:cs="Times New Roman"/>
          <w:b/>
          <w:color w:val="auto"/>
          <w:kern w:val="36"/>
          <w:sz w:val="32"/>
          <w:szCs w:val="32"/>
          <w:lang w:val="en-US" w:eastAsia="zh-CN"/>
        </w:rPr>
        <w:t>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00" w:lineRule="exact"/>
        <w:ind w:firstLine="608" w:firstLineChars="200"/>
        <w:contextualSpacing/>
        <w:textAlignment w:val="auto"/>
        <w:outlineLvl w:val="1"/>
        <w:rPr>
          <w:rFonts w:hint="default" w:ascii="Times New Roman" w:hAnsi="Times New Roman" w:eastAsia="方正楷体_GBK" w:cs="Times New Roman"/>
          <w:b/>
          <w:color w:val="auto"/>
          <w:kern w:val="36"/>
          <w:sz w:val="32"/>
          <w:szCs w:val="32"/>
          <w:lang w:val="en-US" w:eastAsia="zh-CN"/>
        </w:rPr>
      </w:pPr>
      <w:r>
        <w:rPr>
          <w:rFonts w:hint="default" w:ascii="Times New Roman" w:hAnsi="Times New Roman" w:eastAsia="方正楷体_GBK" w:cs="Times New Roman"/>
          <w:b/>
          <w:color w:val="auto"/>
          <w:kern w:val="36"/>
          <w:sz w:val="32"/>
          <w:szCs w:val="32"/>
          <w:lang w:val="en-US" w:eastAsia="zh-CN"/>
        </w:rPr>
        <w:t>1月14日（周</w:t>
      </w:r>
      <w:r>
        <w:rPr>
          <w:rFonts w:hint="eastAsia" w:ascii="Times New Roman" w:hAnsi="Times New Roman" w:eastAsia="方正楷体_GBK" w:cs="Times New Roman"/>
          <w:b/>
          <w:color w:val="auto"/>
          <w:kern w:val="36"/>
          <w:sz w:val="32"/>
          <w:szCs w:val="32"/>
          <w:lang w:val="en-US" w:eastAsia="zh-CN"/>
        </w:rPr>
        <w:t>日</w:t>
      </w:r>
      <w:r>
        <w:rPr>
          <w:rFonts w:hint="default" w:ascii="Times New Roman" w:hAnsi="Times New Roman" w:eastAsia="方正楷体_GBK" w:cs="Times New Roman"/>
          <w:b/>
          <w:color w:val="auto"/>
          <w:kern w:val="36"/>
          <w:sz w:val="32"/>
          <w:szCs w:val="32"/>
          <w:lang w:val="en-US" w:eastAsia="zh-CN"/>
        </w:rPr>
        <w:t>）</w:t>
      </w:r>
      <w:r>
        <w:rPr>
          <w:rFonts w:hint="eastAsia" w:ascii="Times New Roman" w:hAnsi="Times New Roman" w:eastAsia="方正楷体_GBK" w:cs="Times New Roman"/>
          <w:b/>
          <w:color w:val="auto"/>
          <w:kern w:val="36"/>
          <w:sz w:val="32"/>
          <w:szCs w:val="32"/>
          <w:lang w:val="en-US" w:eastAsia="zh-CN"/>
        </w:rPr>
        <w:t xml:space="preserve">红海危机升级，严冬笼罩美国 / </w:t>
      </w:r>
      <w:r>
        <w:rPr>
          <w:rFonts w:hint="default" w:ascii="Times New Roman" w:hAnsi="Times New Roman" w:eastAsia="方正楷体_GBK" w:cs="Times New Roman"/>
          <w:b/>
          <w:color w:val="auto"/>
          <w:kern w:val="36"/>
          <w:sz w:val="32"/>
          <w:szCs w:val="32"/>
          <w:lang w:val="en-US" w:eastAsia="zh-CN"/>
        </w:rPr>
        <w:t>03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1月</w:t>
      </w:r>
      <w:r>
        <w:rPr>
          <w:rFonts w:hint="default" w:ascii="Times New Roman" w:hAnsi="Times New Roman" w:eastAsia="方正楷体_GBK" w:cs="Times New Roman"/>
          <w:b/>
          <w:color w:val="auto"/>
          <w:kern w:val="36"/>
          <w:sz w:val="32"/>
          <w:szCs w:val="32"/>
          <w:lang w:val="en-US" w:eastAsia="zh-CN"/>
        </w:rPr>
        <w:t>15</w:t>
      </w:r>
      <w:r>
        <w:rPr>
          <w:rFonts w:hint="eastAsia" w:ascii="Times New Roman" w:hAnsi="Times New Roman" w:eastAsia="方正楷体_GBK" w:cs="Times New Roman"/>
          <w:b/>
          <w:color w:val="auto"/>
          <w:kern w:val="36"/>
          <w:sz w:val="32"/>
          <w:szCs w:val="32"/>
          <w:lang w:val="en-US" w:eastAsia="zh-CN"/>
        </w:rPr>
        <w:t>日（周一）美国政府赤字加大、债务增长，利息支出大增 / 04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1月</w:t>
      </w:r>
      <w:r>
        <w:rPr>
          <w:rFonts w:hint="default" w:ascii="Times New Roman" w:hAnsi="Times New Roman" w:eastAsia="方正楷体_GBK" w:cs="Times New Roman"/>
          <w:b/>
          <w:color w:val="auto"/>
          <w:kern w:val="36"/>
          <w:sz w:val="32"/>
          <w:szCs w:val="32"/>
          <w:lang w:val="en-US" w:eastAsia="zh-CN"/>
        </w:rPr>
        <w:t>16</w:t>
      </w:r>
      <w:r>
        <w:rPr>
          <w:rFonts w:hint="eastAsia" w:ascii="Times New Roman" w:hAnsi="Times New Roman" w:eastAsia="方正楷体_GBK" w:cs="Times New Roman"/>
          <w:b/>
          <w:color w:val="auto"/>
          <w:kern w:val="36"/>
          <w:sz w:val="32"/>
          <w:szCs w:val="32"/>
          <w:lang w:val="en-US" w:eastAsia="zh-CN"/>
        </w:rPr>
        <w:t>日（周二）德意志农民柏林抗议，欧元区工业生产下滑/ 06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1月</w:t>
      </w:r>
      <w:r>
        <w:rPr>
          <w:rFonts w:hint="default" w:ascii="Times New Roman" w:hAnsi="Times New Roman" w:eastAsia="方正楷体_GBK" w:cs="Times New Roman"/>
          <w:b/>
          <w:color w:val="auto"/>
          <w:kern w:val="36"/>
          <w:sz w:val="32"/>
          <w:szCs w:val="32"/>
          <w:lang w:val="en-US" w:eastAsia="zh-CN"/>
        </w:rPr>
        <w:t>17</w:t>
      </w:r>
      <w:r>
        <w:rPr>
          <w:rFonts w:hint="eastAsia" w:ascii="Times New Roman" w:hAnsi="Times New Roman" w:eastAsia="方正楷体_GBK" w:cs="Times New Roman"/>
          <w:b/>
          <w:color w:val="auto"/>
          <w:kern w:val="36"/>
          <w:sz w:val="32"/>
          <w:szCs w:val="32"/>
          <w:lang w:val="en-US" w:eastAsia="zh-CN"/>
        </w:rPr>
        <w:t>日（周三）美国大选年开局，特朗普初选顺利 / 08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1月</w:t>
      </w:r>
      <w:r>
        <w:rPr>
          <w:rFonts w:hint="default" w:ascii="Times New Roman" w:hAnsi="Times New Roman" w:eastAsia="方正楷体_GBK" w:cs="Times New Roman"/>
          <w:b/>
          <w:color w:val="auto"/>
          <w:kern w:val="36"/>
          <w:sz w:val="32"/>
          <w:szCs w:val="32"/>
          <w:lang w:val="en-US" w:eastAsia="zh-CN"/>
        </w:rPr>
        <w:t>1</w:t>
      </w:r>
      <w:r>
        <w:rPr>
          <w:rFonts w:hint="eastAsia" w:ascii="Times New Roman" w:hAnsi="Times New Roman" w:eastAsia="方正楷体_GBK" w:cs="Times New Roman"/>
          <w:b/>
          <w:color w:val="auto"/>
          <w:kern w:val="36"/>
          <w:sz w:val="32"/>
          <w:szCs w:val="32"/>
          <w:lang w:val="en-US" w:eastAsia="zh-CN"/>
        </w:rPr>
        <w:t>8日（周四）</w:t>
      </w:r>
      <w:r>
        <w:rPr>
          <w:rFonts w:hint="eastAsia" w:ascii="Times New Roman" w:hAnsi="Times New Roman" w:eastAsia="方正楷体_GBK" w:cs="Times New Roman"/>
          <w:b/>
          <w:color w:val="auto"/>
          <w:spacing w:val="-11"/>
          <w:kern w:val="36"/>
          <w:sz w:val="32"/>
          <w:szCs w:val="32"/>
          <w:lang w:val="en-US" w:eastAsia="zh-CN"/>
        </w:rPr>
        <w:t xml:space="preserve">欧元区和美国通胀放缓，但两央行表示不急于降息/ </w:t>
      </w:r>
      <w:r>
        <w:rPr>
          <w:rFonts w:hint="eastAsia" w:ascii="Times New Roman" w:hAnsi="Times New Roman" w:eastAsia="方正楷体_GBK" w:cs="Times New Roman"/>
          <w:b/>
          <w:color w:val="auto"/>
          <w:kern w:val="36"/>
          <w:sz w:val="32"/>
          <w:szCs w:val="32"/>
          <w:lang w:val="en-US" w:eastAsia="zh-CN"/>
        </w:rPr>
        <w:t>10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default"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1月</w:t>
      </w:r>
      <w:r>
        <w:rPr>
          <w:rFonts w:hint="default" w:ascii="Times New Roman" w:hAnsi="Times New Roman" w:eastAsia="方正楷体_GBK" w:cs="Times New Roman"/>
          <w:b/>
          <w:color w:val="auto"/>
          <w:kern w:val="36"/>
          <w:sz w:val="32"/>
          <w:szCs w:val="32"/>
          <w:lang w:val="en-US" w:eastAsia="zh-CN"/>
        </w:rPr>
        <w:t>19</w:t>
      </w:r>
      <w:r>
        <w:rPr>
          <w:rFonts w:hint="eastAsia" w:ascii="Times New Roman" w:hAnsi="Times New Roman" w:eastAsia="方正楷体_GBK" w:cs="Times New Roman"/>
          <w:b/>
          <w:color w:val="auto"/>
          <w:kern w:val="36"/>
          <w:sz w:val="32"/>
          <w:szCs w:val="32"/>
          <w:lang w:val="en-US" w:eastAsia="zh-CN"/>
        </w:rPr>
        <w:t>日（周五）美国经济指标强劲，胡塞武装无惧压力/ 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388" w:firstLineChars="200"/>
        <w:contextualSpacing/>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cs="Times New Roman"/>
          <w:lang w:val="en-US"/>
        </w:rPr>
        <w:t xml:space="preserve"> </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eastAsia" w:ascii="Times New Roman" w:hAnsi="Times New Roman" w:eastAsia="方正楷体_GBK" w:cs="Times New Roman"/>
          <w:b/>
          <w:color w:val="auto"/>
          <w:spacing w:val="-11"/>
          <w:kern w:val="36"/>
          <w:sz w:val="32"/>
          <w:szCs w:val="32"/>
          <w:lang w:val="en-US" w:eastAsia="zh-CN"/>
        </w:rPr>
        <w:t>贴心服务 为企解忧</w:t>
      </w:r>
      <w:r>
        <w:rPr>
          <w:rFonts w:hint="default" w:ascii="Times New Roman" w:hAnsi="Times New Roman" w:eastAsia="方正楷体_GBK" w:cs="Times New Roman"/>
          <w:b/>
          <w:color w:val="auto"/>
          <w:spacing w:val="-11"/>
          <w:kern w:val="36"/>
          <w:sz w:val="32"/>
          <w:szCs w:val="32"/>
          <w:lang w:val="en-US" w:eastAsia="zh-CN"/>
        </w:rPr>
        <w:t xml:space="preserve"> / 13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default" w:ascii="Times New Roman" w:hAnsi="Times New Roman" w:eastAsia="方正楷体_GBK" w:cs="Times New Roman"/>
          <w:b/>
          <w:color w:val="auto"/>
          <w:spacing w:val="-11"/>
          <w:kern w:val="36"/>
          <w:sz w:val="32"/>
          <w:szCs w:val="32"/>
          <w:lang w:val="en-US" w:eastAsia="zh-CN"/>
        </w:rPr>
        <w:t>无锡市贸促会海外联络点工作会议在江阴召开 / 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default" w:ascii="Times New Roman" w:hAnsi="Times New Roman" w:eastAsia="方正楷体_GBK" w:cs="Times New Roman"/>
          <w:b/>
          <w:color w:val="auto"/>
          <w:spacing w:val="-11"/>
          <w:kern w:val="36"/>
          <w:sz w:val="32"/>
          <w:szCs w:val="32"/>
          <w:lang w:val="en-US" w:eastAsia="zh-CN"/>
        </w:rPr>
        <w:t>无锡市贸促会举办</w:t>
      </w:r>
      <w:r>
        <w:rPr>
          <w:rFonts w:hint="eastAsia" w:ascii="Times New Roman" w:hAnsi="Times New Roman" w:eastAsia="方正楷体_GBK" w:cs="Times New Roman"/>
          <w:b/>
          <w:color w:val="auto"/>
          <w:spacing w:val="-11"/>
          <w:kern w:val="36"/>
          <w:sz w:val="32"/>
          <w:szCs w:val="32"/>
          <w:lang w:val="en-US" w:eastAsia="zh-CN"/>
        </w:rPr>
        <w:t>“</w:t>
      </w:r>
      <w:r>
        <w:rPr>
          <w:rFonts w:hint="default" w:ascii="Times New Roman" w:hAnsi="Times New Roman" w:eastAsia="方正楷体_GBK" w:cs="Times New Roman"/>
          <w:b/>
          <w:color w:val="auto"/>
          <w:spacing w:val="-11"/>
          <w:kern w:val="36"/>
          <w:sz w:val="32"/>
          <w:szCs w:val="32"/>
          <w:lang w:val="en-US" w:eastAsia="zh-CN"/>
        </w:rPr>
        <w:t>出海马来西亚交流会</w:t>
      </w:r>
      <w:r>
        <w:rPr>
          <w:rFonts w:hint="eastAsia" w:ascii="Times New Roman" w:hAnsi="Times New Roman" w:eastAsia="方正楷体_GBK" w:cs="Times New Roman"/>
          <w:b/>
          <w:color w:val="auto"/>
          <w:spacing w:val="-11"/>
          <w:kern w:val="36"/>
          <w:sz w:val="32"/>
          <w:szCs w:val="32"/>
          <w:lang w:val="en-US" w:eastAsia="zh-CN"/>
        </w:rPr>
        <w:t>”</w:t>
      </w:r>
      <w:r>
        <w:rPr>
          <w:rFonts w:hint="default" w:ascii="Times New Roman" w:hAnsi="Times New Roman" w:eastAsia="方正楷体_GBK" w:cs="Times New Roman"/>
          <w:b/>
          <w:color w:val="auto"/>
          <w:spacing w:val="-11"/>
          <w:kern w:val="36"/>
          <w:sz w:val="32"/>
          <w:szCs w:val="32"/>
          <w:lang w:val="en-US" w:eastAsia="zh-CN"/>
        </w:rPr>
        <w:t xml:space="preserve"> / 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default" w:ascii="Times New Roman" w:hAnsi="Times New Roman" w:eastAsia="方正楷体_GBK" w:cs="Times New Roman"/>
          <w:b/>
          <w:color w:val="auto"/>
          <w:spacing w:val="-11"/>
          <w:kern w:val="36"/>
          <w:sz w:val="32"/>
          <w:szCs w:val="32"/>
          <w:lang w:val="en-US" w:eastAsia="zh-CN"/>
        </w:rPr>
        <w:t>常州市贸促会举办新年首期合规主题沙龙 / 16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default" w:ascii="Times New Roman" w:hAnsi="Times New Roman" w:eastAsia="方正楷体_GBK" w:cs="Times New Roman"/>
          <w:b/>
          <w:color w:val="auto"/>
          <w:spacing w:val="-11"/>
          <w:kern w:val="36"/>
          <w:sz w:val="32"/>
          <w:szCs w:val="32"/>
          <w:lang w:val="en-US" w:eastAsia="zh-CN"/>
        </w:rPr>
        <w:t>RCEP生效实施两周年泰州近千万美元货物享惠超20万美元 / 17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564" w:firstLineChars="200"/>
        <w:contextualSpacing/>
        <w:textAlignment w:val="auto"/>
        <w:outlineLvl w:val="1"/>
        <w:rPr>
          <w:rFonts w:hint="default" w:ascii="Times New Roman" w:hAnsi="Times New Roman" w:eastAsia="方正楷体_GBK" w:cs="Times New Roman"/>
          <w:b/>
          <w:color w:val="auto"/>
          <w:spacing w:val="-11"/>
          <w:kern w:val="36"/>
          <w:sz w:val="32"/>
          <w:szCs w:val="32"/>
          <w:lang w:val="en-US" w:eastAsia="zh-CN"/>
        </w:rPr>
      </w:pPr>
      <w:r>
        <w:rPr>
          <w:rFonts w:hint="default" w:ascii="Times New Roman" w:hAnsi="Times New Roman" w:eastAsia="方正楷体_GBK" w:cs="Times New Roman"/>
          <w:b/>
          <w:color w:val="auto"/>
          <w:spacing w:val="-11"/>
          <w:kern w:val="36"/>
          <w:sz w:val="32"/>
          <w:szCs w:val="32"/>
          <w:lang w:val="en-US" w:eastAsia="zh-CN"/>
        </w:rPr>
        <w:t>2023年泰州市贸促会原产地签证量突破两万份 / 18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省属贸易企业重组整合入选“2023江苏十大财经事件”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default"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苏豪控股集团改革发展正当时</w:t>
      </w:r>
      <w:r>
        <w:rPr>
          <w:rFonts w:hint="default" w:ascii="Times New Roman" w:hAnsi="Times New Roman" w:eastAsia="方正楷体_GBK" w:cs="Times New Roman"/>
          <w:b/>
          <w:color w:val="auto"/>
          <w:kern w:val="36"/>
          <w:sz w:val="32"/>
          <w:szCs w:val="32"/>
          <w:lang w:val="en-US" w:eastAsia="zh-CN"/>
        </w:rPr>
        <w:t xml:space="preserve"> / 20</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default"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徐矿集团成功入选2023中国工业碳达峰“领跑者”企业</w:t>
      </w:r>
      <w:r>
        <w:rPr>
          <w:rFonts w:hint="default" w:ascii="Times New Roman" w:hAnsi="Times New Roman" w:eastAsia="方正楷体_GBK" w:cs="Times New Roman"/>
          <w:b/>
          <w:color w:val="auto"/>
          <w:kern w:val="36"/>
          <w:sz w:val="32"/>
          <w:szCs w:val="32"/>
          <w:lang w:val="en-US" w:eastAsia="zh-CN"/>
        </w:rPr>
        <w:t xml:space="preserve"> / 21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eastAsia"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协鑫集成与印度国有电力巨头NTPC</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60" w:lineRule="exact"/>
        <w:ind w:firstLine="608" w:firstLineChars="200"/>
        <w:contextualSpacing/>
        <w:textAlignment w:val="auto"/>
        <w:outlineLvl w:val="1"/>
        <w:rPr>
          <w:rFonts w:hint="default" w:ascii="Times New Roman" w:hAnsi="Times New Roman" w:eastAsia="方正楷体_GBK" w:cs="Times New Roman"/>
          <w:b/>
          <w:color w:val="auto"/>
          <w:kern w:val="36"/>
          <w:sz w:val="32"/>
          <w:szCs w:val="32"/>
          <w:lang w:val="en-US" w:eastAsia="zh-CN"/>
        </w:rPr>
      </w:pPr>
      <w:r>
        <w:rPr>
          <w:rFonts w:hint="eastAsia" w:ascii="Times New Roman" w:hAnsi="Times New Roman" w:eastAsia="方正楷体_GBK" w:cs="Times New Roman"/>
          <w:b/>
          <w:color w:val="auto"/>
          <w:kern w:val="36"/>
          <w:sz w:val="32"/>
          <w:szCs w:val="32"/>
          <w:lang w:val="en-US" w:eastAsia="zh-CN"/>
        </w:rPr>
        <w:t>签订吉瓦级组件供货订单</w:t>
      </w:r>
      <w:r>
        <w:rPr>
          <w:rFonts w:hint="default" w:ascii="Times New Roman" w:hAnsi="Times New Roman" w:eastAsia="方正楷体_GBK" w:cs="Times New Roman"/>
          <w:b/>
          <w:color w:val="auto"/>
          <w:kern w:val="36"/>
          <w:sz w:val="32"/>
          <w:szCs w:val="32"/>
          <w:lang w:val="en-US" w:eastAsia="zh-CN"/>
        </w:rPr>
        <w:t xml:space="preserve"> / 22</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sectPr>
          <w:footerReference r:id="rId3" w:type="default"/>
          <w:pgSz w:w="11906" w:h="16838"/>
          <w:pgMar w:top="1531" w:right="907" w:bottom="1417" w:left="1020"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w:t>
      </w: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资讯</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1月13日</w:t>
      </w:r>
      <w:r>
        <w:rPr>
          <w:rFonts w:hint="default" w:ascii="方正魏碑简体" w:hAnsi="方正魏碑简体" w:eastAsia="方正魏碑简体" w:cs="方正魏碑简体"/>
          <w:b/>
          <w:bCs/>
          <w:color w:val="0000FF"/>
          <w:sz w:val="32"/>
          <w:szCs w:val="40"/>
          <w:highlight w:val="yellow"/>
          <w:lang w:val="en-US" w:eastAsia="zh-CN"/>
        </w:rPr>
        <w:t>（周六）</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与CPI相反，12月PPI呈现通胀缓和信号</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周五，美国劳工统计局公布</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生产者价格指数</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（PPI）。2023年12月PPI同比上涨1%，比2022年底有很大好转，彼时该数据为6.4%；12月PPI环比下降0.1%，已经连续三个月环比下降。</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4794250" cy="2802890"/>
            <wp:effectExtent l="0" t="0" r="6350" b="16510"/>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pic:cNvPicPr>
                      <a:picLocks noChangeAspect="1"/>
                    </pic:cNvPicPr>
                  </pic:nvPicPr>
                  <pic:blipFill>
                    <a:blip r:embed="rId11"/>
                    <a:stretch>
                      <a:fillRect/>
                    </a:stretch>
                  </pic:blipFill>
                  <pic:spPr>
                    <a:xfrm>
                      <a:off x="0" y="0"/>
                      <a:ext cx="4794250" cy="28028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（图注：蓝色线为同比，红绿柱为环比）</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剔除食品和能源的</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核心PPI</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环比增长0.2%，剔除食品、能源和贸易服务后的PPI 环比也增长了0.2%，全年同比为2.5%，比2022年底有很大好转，彼时该数据为4.7%。</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以上数据与周四公布的消费者物价指数（CPI）通胀数据有所分歧，12月的CPI数据显示，物价上涨依然粘性十足。</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PPI通常被认为是通货膨胀的领先指标，因为它衡量的是企业获得中间产品和服务的批发价格。因此有分析师认为，如果美国PPI持续降温，预示着未来几个月通胀将下降。</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但也有人持相反的看法，其认为，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美国经济中仍然存在的通胀风险，显然不能归因于生产商成本的上升压力。对生产商的中间需求和消费者的最终需求进行调查，结果均显示，进入2024年后，美国经济几乎没有来自供应方面的定价（涨价）压力。</w:t>
      </w:r>
      <w:r>
        <w:rPr>
          <w:rFonts w:hint="eastAsia" w:ascii="Times New Roman" w:hAnsi="Times New Roman"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市场押注：在3月19日-20 日的美联储议息会议上，降息一个百分点的可能性约为 70%。此后，还将有五次降息，联邦基金利率将降至3.75%-4%的目标区间。</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3660775" cy="2538730"/>
            <wp:effectExtent l="0" t="0" r="15875" b="139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3660775" cy="25387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eastAsia="zh-CN"/>
        </w:rPr>
        <w:t>（图：自</w:t>
      </w:r>
      <w:r>
        <w:rPr>
          <w:rFonts w:hint="default" w:ascii="Times New Roman" w:hAnsi="Times New Roman" w:eastAsia="方正楷体_GBK" w:cs="Times New Roman"/>
          <w:sz w:val="32"/>
          <w:szCs w:val="32"/>
          <w:lang w:val="en-US" w:eastAsia="zh-CN"/>
        </w:rPr>
        <w:t>2019年至今的联邦基金利率</w:t>
      </w:r>
      <w:r>
        <w:rPr>
          <w:rFonts w:hint="default" w:ascii="Times New Roman" w:hAnsi="Times New Roman" w:eastAsia="方正楷体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最近几天，美联储多位官员的表态似乎与市场上述激进观点相反。市场看法也出现明显分歧，摩根大通CEO杰米·戴蒙（Jamie Dimon）周五警告称，政府的大量赤字支出及其他因素可能会导致通胀更加严峻，利率也会高于市场预期。</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方正魏碑简体" w:hAnsi="方正魏碑简体" w:eastAsia="方正魏碑简体" w:cs="方正魏碑简体"/>
          <w:b/>
          <w:bCs/>
          <w:color w:val="0000FF"/>
          <w:sz w:val="32"/>
          <w:szCs w:val="40"/>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1月14日</w:t>
      </w:r>
      <w:r>
        <w:rPr>
          <w:rFonts w:hint="default" w:ascii="方正魏碑简体" w:hAnsi="方正魏碑简体" w:eastAsia="方正魏碑简体" w:cs="方正魏碑简体"/>
          <w:b/>
          <w:bCs/>
          <w:color w:val="0000FF"/>
          <w:sz w:val="32"/>
          <w:szCs w:val="40"/>
          <w:highlight w:val="yellow"/>
          <w:lang w:val="en-US" w:eastAsia="zh-CN"/>
        </w:rPr>
        <w:t>（周日）</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FF0000"/>
          <w:sz w:val="36"/>
          <w:szCs w:val="44"/>
          <w:highlight w:val="yellow"/>
          <w:lang w:val="en-US" w:eastAsia="zh-CN"/>
        </w:rPr>
        <w:t>红海</w:t>
      </w:r>
      <w:r>
        <w:rPr>
          <w:rFonts w:hint="default" w:ascii="Times New Roman" w:hAnsi="Times New Roman" w:eastAsia="方正小标宋_GBK" w:cs="Times New Roman"/>
          <w:b/>
          <w:bCs/>
          <w:color w:val="0000FF"/>
          <w:sz w:val="36"/>
          <w:szCs w:val="44"/>
          <w:highlight w:val="yellow"/>
          <w:lang w:val="en-US" w:eastAsia="zh-CN"/>
        </w:rPr>
        <w:t>危机升级，</w:t>
      </w:r>
      <w:r>
        <w:rPr>
          <w:rFonts w:hint="default" w:ascii="Times New Roman" w:hAnsi="Times New Roman" w:eastAsia="方正小标宋_GBK" w:cs="Times New Roman"/>
          <w:b/>
          <w:bCs/>
          <w:color w:val="FF0000"/>
          <w:sz w:val="36"/>
          <w:szCs w:val="44"/>
          <w:highlight w:val="yellow"/>
          <w:lang w:val="en-US" w:eastAsia="zh-CN"/>
        </w:rPr>
        <w:t>严冬</w:t>
      </w:r>
      <w:r>
        <w:rPr>
          <w:rFonts w:hint="default" w:ascii="Times New Roman" w:hAnsi="Times New Roman" w:eastAsia="方正小标宋_GBK" w:cs="Times New Roman"/>
          <w:b/>
          <w:bCs/>
          <w:color w:val="0000FF"/>
          <w:sz w:val="36"/>
          <w:szCs w:val="44"/>
          <w:highlight w:val="yellow"/>
          <w:lang w:val="en-US" w:eastAsia="zh-CN"/>
        </w:rPr>
        <w:t>笼罩美国</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一、红海危机升级，国际油价待变</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从1月12日（周五）开始，英美联军对也门胡塞武装发动袭击。市场担忧中东冲突局势蔓延，影响原油供应。</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当前原油市场处于多空拉锯状态：原油空头对基本面看跌，认为2024年全球经济增长乏力，对原油需求不振；多头则预计全球地缘政治风险将升级，支撑油价走高。大资金仍在观望，因此油价没有向任何方向突破的迹象。</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lang w:val="en-US" w:eastAsia="zh-CN"/>
        </w:rPr>
        <w:t>如果中东紧张局势大规模升级或扩散到其他地区，那惯常的资金避险行为将会导致美债和美元走高，进而推升美股走势。</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sz w:val="32"/>
          <w:szCs w:val="32"/>
        </w:rPr>
        <w:drawing>
          <wp:inline distT="0" distB="0" distL="114300" distR="114300">
            <wp:extent cx="1886585" cy="1231265"/>
            <wp:effectExtent l="0" t="0" r="18415" b="698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2"/>
                    <a:stretch>
                      <a:fillRect/>
                    </a:stretch>
                  </pic:blipFill>
                  <pic:spPr>
                    <a:xfrm>
                      <a:off x="0" y="0"/>
                      <a:ext cx="1886585" cy="1231265"/>
                    </a:xfrm>
                    <a:prstGeom prst="rect">
                      <a:avLst/>
                    </a:prstGeom>
                    <a:noFill/>
                    <a:ln>
                      <a:noFill/>
                    </a:ln>
                  </pic:spPr>
                </pic:pic>
              </a:graphicData>
            </a:graphic>
          </wp:inline>
        </w:drawing>
      </w:r>
      <w:r>
        <w:rPr>
          <w:rFonts w:hint="default" w:ascii="Times New Roman" w:hAnsi="Times New Roman" w:cs="Times New Roman"/>
          <w:sz w:val="32"/>
          <w:szCs w:val="32"/>
          <w:lang w:val="en-US"/>
        </w:rPr>
        <w:t xml:space="preserve">    </w:t>
      </w:r>
      <w:r>
        <w:rPr>
          <w:rFonts w:hint="default" w:ascii="Times New Roman" w:hAnsi="Times New Roman" w:cs="Times New Roman" w:eastAsiaTheme="minorEastAsia"/>
          <w:sz w:val="32"/>
          <w:szCs w:val="32"/>
        </w:rPr>
        <w:drawing>
          <wp:inline distT="0" distB="0" distL="114300" distR="114300">
            <wp:extent cx="1819275" cy="1230630"/>
            <wp:effectExtent l="0" t="0" r="9525" b="762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3"/>
                    <a:stretch>
                      <a:fillRect/>
                    </a:stretch>
                  </pic:blipFill>
                  <pic:spPr>
                    <a:xfrm>
                      <a:off x="0" y="0"/>
                      <a:ext cx="1819275" cy="12306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二、严冬笼罩美国，影响有待观察</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自周五以来，</w:t>
      </w:r>
      <w:r>
        <w:rPr>
          <w:rFonts w:hint="default" w:ascii="Times New Roman" w:hAnsi="Times New Roman" w:cs="Times New Roman" w:eastAsiaTheme="minorEastAsia"/>
          <w:b w:val="0"/>
          <w:bCs w:val="0"/>
          <w:sz w:val="32"/>
          <w:szCs w:val="32"/>
          <w:lang w:val="en-US" w:eastAsia="zh-CN"/>
        </w:rPr>
        <w:t>美国遭遇寒流侵袭，</w:t>
      </w:r>
      <w:r>
        <w:rPr>
          <w:rFonts w:hint="default" w:ascii="Times New Roman" w:hAnsi="Times New Roman" w:cs="Times New Roman" w:eastAsiaTheme="minorEastAsia"/>
          <w:sz w:val="32"/>
          <w:szCs w:val="32"/>
          <w:lang w:val="en-US" w:eastAsia="zh-CN"/>
        </w:rPr>
        <w:t>北极气流造成的低温席卷全国，超过</w:t>
      </w:r>
      <w:r>
        <w:rPr>
          <w:rFonts w:hint="default" w:ascii="Times New Roman" w:hAnsi="Times New Roman" w:cs="Times New Roman"/>
          <w:sz w:val="32"/>
          <w:szCs w:val="32"/>
          <w:lang w:val="en-US" w:eastAsia="zh-CN"/>
        </w:rPr>
        <w:t>3000</w:t>
      </w:r>
      <w:r>
        <w:rPr>
          <w:rFonts w:hint="default" w:ascii="Times New Roman" w:hAnsi="Times New Roman" w:cs="Times New Roman" w:eastAsiaTheme="minorEastAsia"/>
          <w:sz w:val="32"/>
          <w:szCs w:val="32"/>
          <w:lang w:val="en-US" w:eastAsia="zh-CN"/>
        </w:rPr>
        <w:t>万人受到寒冷天气警告。纽约降雪量达到5厘米，全国部分地区预计降雪量将达到30.5厘米。</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寒冷和大雪从沿海蔓延到内陆，此波北极风暴有可能打破美国中心地带的低温记录，从橄榄球季后赛到总统竞选活动都笼罩在一片寒意之中。</w:t>
      </w:r>
    </w:p>
    <w:p>
      <w:pPr>
        <w:keepNext w:val="0"/>
        <w:keepLines w:val="0"/>
        <w:pageBreakBefore w:val="0"/>
        <w:widowControl w:val="0"/>
        <w:kinsoku/>
        <w:wordWrap/>
        <w:overflowPunct/>
        <w:topLinePunct w:val="0"/>
        <w:autoSpaceDE/>
        <w:autoSpaceDN/>
        <w:bidi w:val="0"/>
        <w:adjustRightInd/>
        <w:snapToGrid/>
        <w:spacing w:line="520" w:lineRule="exact"/>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美国迄今为止的温和冬季戛然而止，极端天气将导致部分物资需求激增，同时生产和物流受阻，通货膨胀有可能重新抬头。</w:t>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1月15日</w:t>
      </w:r>
      <w:r>
        <w:rPr>
          <w:rFonts w:hint="default" w:ascii="方正魏碑简体" w:hAnsi="方正魏碑简体" w:eastAsia="方正魏碑简体" w:cs="方正魏碑简体"/>
          <w:b/>
          <w:bCs/>
          <w:color w:val="0000FF"/>
          <w:sz w:val="32"/>
          <w:szCs w:val="40"/>
          <w:highlight w:val="yellow"/>
          <w:lang w:val="en-US" w:eastAsia="zh-CN"/>
        </w:rPr>
        <w:t>（周一）</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美国政府</w:t>
      </w:r>
      <w:r>
        <w:rPr>
          <w:rFonts w:hint="default" w:ascii="Times New Roman" w:hAnsi="Times New Roman" w:eastAsia="方正小标宋_GBK" w:cs="Times New Roman"/>
          <w:b/>
          <w:bCs/>
          <w:color w:val="FF0000"/>
          <w:sz w:val="36"/>
          <w:szCs w:val="44"/>
          <w:highlight w:val="yellow"/>
          <w:lang w:val="en-US" w:eastAsia="zh-CN"/>
        </w:rPr>
        <w:t>赤字加大</w:t>
      </w:r>
      <w:r>
        <w:rPr>
          <w:rFonts w:hint="default" w:ascii="Times New Roman" w:hAnsi="Times New Roman" w:eastAsia="方正小标宋_GBK" w:cs="Times New Roman"/>
          <w:b/>
          <w:bCs/>
          <w:color w:val="0000FF"/>
          <w:sz w:val="36"/>
          <w:szCs w:val="44"/>
          <w:highlight w:val="yellow"/>
          <w:lang w:val="en-US" w:eastAsia="zh-CN"/>
        </w:rPr>
        <w:t>、债务增长，利息支出大增</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美国财政部发布报告称，美国联邦政府2024财年第一财季（2023年10月至12月，即2023年第四季度），预算赤字总额达到5100亿美元，同比扩大21%。仅12月就出现了1294亿美元的赤字，同比高出52%。</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2023年的美国联邦政府最终赤字为1.7万亿美元，2024年是美国总统大选年，料想拜登政府将大举发债刺激经济，因此今年的赤字将进一步扩大。</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b/>
          <w:bCs/>
          <w:sz w:val="32"/>
          <w:szCs w:val="32"/>
          <w:lang w:val="en-US" w:eastAsia="zh-CN"/>
        </w:rPr>
      </w:pPr>
      <w:r>
        <w:rPr>
          <w:rFonts w:hint="default" w:ascii="Times New Roman" w:hAnsi="Times New Roman" w:cs="Times New Roman" w:eastAsiaTheme="minorEastAsia"/>
          <w:sz w:val="32"/>
          <w:szCs w:val="32"/>
          <w:lang w:val="en-US" w:eastAsia="zh-CN"/>
        </w:rPr>
        <w:t>按照目前的赤字增长速度，2024年底的赤字将高于2万亿美元。</w:t>
      </w:r>
      <w:r>
        <w:rPr>
          <w:rFonts w:hint="default" w:ascii="Times New Roman" w:hAnsi="Times New Roman" w:cs="Times New Roman" w:eastAsiaTheme="minorEastAsia"/>
          <w:b/>
          <w:bCs/>
          <w:sz w:val="32"/>
          <w:szCs w:val="32"/>
          <w:lang w:val="en-US" w:eastAsia="zh-CN"/>
        </w:rPr>
        <w:t>财政赤字激增，使得美国政府债务总额首次超过34亿美元。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rPr>
        <w:drawing>
          <wp:inline distT="0" distB="0" distL="114300" distR="114300">
            <wp:extent cx="2120900" cy="1380490"/>
            <wp:effectExtent l="0" t="0" r="12700" b="10160"/>
            <wp:docPr id="1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
                    <pic:cNvPicPr>
                      <a:picLocks noChangeAspect="1"/>
                    </pic:cNvPicPr>
                  </pic:nvPicPr>
                  <pic:blipFill>
                    <a:blip r:embed="rId14"/>
                    <a:stretch>
                      <a:fillRect/>
                    </a:stretch>
                  </pic:blipFill>
                  <pic:spPr>
                    <a:xfrm>
                      <a:off x="0" y="0"/>
                      <a:ext cx="2120900" cy="13804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且因美联储升息以对抗通胀，美国政府的融资成本也相应增加，2023财年的净利息费用达到了6590亿美元（占GDP的2.5%），较上一年增加了1840亿美元（增长了38.7%）。</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上周，美国首个超长期美债（201亿美元的30年期国债）拍卖，拍卖过程整体稳健，海外需求强劲。</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作为承接所有未认购国债的</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接盘侠</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，一级交易商（Primary dealers）本轮</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获配比例</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为14.5%，为去年8月以来的最低，显示市场对美债的需求旺盛。</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但展望今年全年，仍需警惕。随着拜登政府的赤字增加，美债发行的洪流即将喷出。</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4706620" cy="2534920"/>
            <wp:effectExtent l="0" t="0" r="17780" b="17780"/>
            <wp:docPr id="1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
                    <pic:cNvPicPr>
                      <a:picLocks noChangeAspect="1"/>
                    </pic:cNvPicPr>
                  </pic:nvPicPr>
                  <pic:blipFill>
                    <a:blip r:embed="rId15"/>
                    <a:stretch>
                      <a:fillRect/>
                    </a:stretch>
                  </pic:blipFill>
                  <pic:spPr>
                    <a:xfrm>
                      <a:off x="0" y="0"/>
                      <a:ext cx="4706620" cy="25349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（图：美国国债与GDP的比率）</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w:t>
      </w:r>
      <w:r>
        <w:rPr>
          <w:rFonts w:hint="eastAsia" w:ascii="方正黑体_GBK" w:hAnsi="方正黑体_GBK" w:eastAsia="方正黑体_GBK" w:cs="方正黑体_GBK"/>
          <w:sz w:val="28"/>
          <w:szCs w:val="28"/>
          <w:lang w:val="en-US" w:eastAsia="zh-CN"/>
        </w:rPr>
        <w:t>注：</w:t>
      </w:r>
      <w:r>
        <w:rPr>
          <w:rFonts w:hint="eastAsia" w:ascii="方正楷体_GBK" w:hAnsi="方正楷体_GBK" w:eastAsia="方正楷体_GBK" w:cs="方正楷体_GBK"/>
          <w:sz w:val="28"/>
          <w:szCs w:val="28"/>
          <w:lang w:val="en-US" w:eastAsia="zh-CN"/>
        </w:rPr>
        <w:t>在美国国债拍卖中，“一级交易商”（Primary Dealers）是指由美联储认可的金融机构，它们有权直接参与美国政府举行的国债拍卖。这些一级交易商在拍卖中可以竞标购买国债，并将其交易到二级市场上。</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当美国政府发行国债时，有时可能会遇到需求不足的情况，即市场上没有足够的买家愿意购买这些债券。在这种情况下，一级交易商会购买这些债券，以确保市场的流动性和国债的顺利发行。</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因此，一级交易商被戏称为</w:t>
      </w:r>
      <w:r>
        <w:rPr>
          <w:rFonts w:hint="eastAsia" w:ascii="Times New Roman" w:hAnsi="Times New Roman" w:eastAsia="方正楷体_GBK" w:cs="Times New Roman"/>
          <w:sz w:val="28"/>
          <w:szCs w:val="28"/>
          <w:lang w:val="en-US" w:eastAsia="zh-CN"/>
        </w:rPr>
        <w:t>“</w:t>
      </w:r>
      <w:r>
        <w:rPr>
          <w:rFonts w:hint="eastAsia" w:ascii="方正楷体_GBK" w:hAnsi="方正楷体_GBK" w:eastAsia="方正楷体_GBK" w:cs="方正楷体_GBK"/>
          <w:sz w:val="28"/>
          <w:szCs w:val="28"/>
          <w:lang w:val="en-US" w:eastAsia="zh-CN"/>
        </w:rPr>
        <w:t>接盘侠</w:t>
      </w:r>
      <w:r>
        <w:rPr>
          <w:rFonts w:hint="eastAsia" w:ascii="Times New Roman" w:hAnsi="Times New Roman" w:eastAsia="方正楷体_GBK" w:cs="Times New Roman"/>
          <w:sz w:val="28"/>
          <w:szCs w:val="28"/>
          <w:lang w:val="en-US" w:eastAsia="zh-CN"/>
        </w:rPr>
        <w:t>”</w:t>
      </w:r>
      <w:r>
        <w:rPr>
          <w:rFonts w:hint="eastAsia" w:ascii="方正楷体_GBK" w:hAnsi="方正楷体_GBK" w:eastAsia="方正楷体_GBK" w:cs="方正楷体_GBK"/>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当一级交易商参与国债拍卖时，他们会提交申请购买债券的数量。“获配比例”则是指他们最终被分配到的债券数量与他们申请数量之间的比例。</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如果一级交易商在拍卖中获得的获配比例较低，这意味着他们实际获得的债券数量较少。这通常暗示着市场对这批国债的需求较高，竞争激烈；相反，较高的获配比例意味着一级交易商被分配到的债券数量较多，接近或满足他们的购买请求。反映出市场对这批国债的需求相对较低。</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default" w:ascii="Times New Roman" w:hAnsi="Times New Roman" w:cs="Times New Roman" w:eastAsiaTheme="minorEastAsia"/>
          <w:sz w:val="32"/>
          <w:szCs w:val="32"/>
          <w:lang w:val="en-US" w:eastAsia="zh-CN"/>
        </w:rPr>
      </w:pPr>
      <w:r>
        <w:rPr>
          <w:rFonts w:hint="eastAsia" w:ascii="方正楷体_GBK" w:hAnsi="方正楷体_GBK" w:eastAsia="方正楷体_GBK" w:cs="方正楷体_GBK"/>
          <w:sz w:val="28"/>
          <w:szCs w:val="28"/>
          <w:lang w:val="en-US" w:eastAsia="zh-CN"/>
        </w:rPr>
        <w:t>因此，“获配比例”可以用来衡量市场对国债的需求：较低的比例通常暗示着较高的市场需求，反之亦然。）</w:t>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1月16日</w:t>
      </w:r>
      <w:r>
        <w:rPr>
          <w:rFonts w:hint="default" w:ascii="方正魏碑简体" w:hAnsi="方正魏碑简体" w:eastAsia="方正魏碑简体" w:cs="方正魏碑简体"/>
          <w:b/>
          <w:bCs/>
          <w:color w:val="0000FF"/>
          <w:sz w:val="32"/>
          <w:szCs w:val="40"/>
          <w:highlight w:val="yellow"/>
          <w:lang w:val="en-US" w:eastAsia="zh-CN"/>
        </w:rPr>
        <w:t>（周二）</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德意志农民柏林抗议，欧元区工业生产下滑</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德国宪法法院11月裁决，要求德国联邦政府修改支出计划</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政府遂决定逐步取消农用柴油税收减免，试图平衡2024年的预算。</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随后抗议活动爆发。周一，约一万名农民驾驶着拖拉机和卡车从德国各地连夜赶来，停放在柏林的中央大道上，以示抗议。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4866640" cy="3455670"/>
            <wp:effectExtent l="0" t="0" r="10160"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4866640" cy="34556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（图：抗议活动使柏林几乎陷入瘫痪</w:t>
      </w:r>
      <w:r>
        <w:rPr>
          <w:rFonts w:hint="default" w:ascii="Times New Roman" w:hAnsi="Times New Roman" w:eastAsia="方正楷体_GBK" w:cs="Times New Roman"/>
          <w:i w:val="0"/>
          <w:iCs w:val="0"/>
          <w:caps w:val="0"/>
          <w:color w:val="081442"/>
          <w:spacing w:val="0"/>
          <w:sz w:val="32"/>
          <w:szCs w:val="32"/>
          <w:shd w:val="clear" w:fill="FFFFFF"/>
          <w:lang w:eastAsia="zh-CN"/>
        </w:rPr>
        <w:t>，</w:t>
      </w:r>
      <w:r>
        <w:rPr>
          <w:rFonts w:hint="default" w:ascii="Times New Roman" w:hAnsi="Times New Roman" w:eastAsia="方正楷体_GBK" w:cs="Times New Roman"/>
          <w:sz w:val="32"/>
          <w:szCs w:val="32"/>
          <w:lang w:val="en-US" w:eastAsia="zh-CN"/>
        </w:rPr>
        <w:t>远处是勃兰登堡门）</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德国财政部长克里斯蒂安·林德纳对参加抗议活动的农民们说，政府</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承诺不了</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更多的</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财政支持</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了。当他表示乌克兰战争需要资金时，抗议者们嘘声和哄笑声响成一片。他说：</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乌克兰战争，使欧洲的和平与自由再次受到威胁，因此我们必须像以前一样再次投资于我们的安全。</w:t>
      </w:r>
      <w:r>
        <w:rPr>
          <w:rFonts w:hint="eastAsia" w:ascii="Times New Roman" w:hAnsi="Times New Roman"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4277995" cy="2406650"/>
            <wp:effectExtent l="0" t="0" r="8255"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277995" cy="24066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（图：成群结队的农民身着厚厚的冬装，</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lang w:val="en-US" w:eastAsia="zh-CN"/>
        </w:rPr>
      </w:pPr>
      <w:r>
        <w:rPr>
          <w:rFonts w:hint="eastAsia" w:ascii="方正楷体_GBK" w:hAnsi="方正楷体_GBK" w:eastAsia="方正楷体_GBK" w:cs="方正楷体_GBK"/>
          <w:sz w:val="32"/>
          <w:szCs w:val="32"/>
          <w:lang w:val="en-US" w:eastAsia="zh-CN"/>
        </w:rPr>
        <w:t>挥舞着</w:t>
      </w:r>
      <w:r>
        <w:rPr>
          <w:rFonts w:hint="eastAsia" w:ascii="方正楷体_GBK" w:hAnsi="方正楷体_GBK" w:eastAsia="方正楷体_GBK" w:cs="方正楷体_GBK"/>
          <w:color w:val="auto"/>
          <w:sz w:val="32"/>
          <w:szCs w:val="32"/>
          <w:lang w:val="en-US" w:eastAsia="zh-CN"/>
        </w:rPr>
        <w:t>“没有农民，</w:t>
      </w:r>
      <w:r>
        <w:rPr>
          <w:rFonts w:hint="eastAsia" w:ascii="方正楷体_GBK" w:hAnsi="方正楷体_GBK" w:eastAsia="方正楷体_GBK" w:cs="方正楷体_GBK"/>
          <w:color w:val="auto"/>
          <w:sz w:val="32"/>
          <w:szCs w:val="32"/>
          <w:lang w:val="en-US" w:eastAsia="zh-CN"/>
        </w:rPr>
        <w:t>就没有食物、</w:t>
      </w:r>
      <w:r>
        <w:rPr>
          <w:rFonts w:hint="eastAsia" w:ascii="方正楷体_GBK" w:hAnsi="方正楷体_GBK" w:eastAsia="方正楷体_GBK" w:cs="方正楷体_GBK"/>
          <w:color w:val="auto"/>
          <w:sz w:val="32"/>
          <w:szCs w:val="32"/>
          <w:lang w:val="en-US" w:eastAsia="zh-CN"/>
        </w:rPr>
        <w:t>没有未来”的标</w:t>
      </w:r>
      <w:r>
        <w:rPr>
          <w:rFonts w:hint="eastAsia" w:ascii="方正楷体_GBK" w:hAnsi="方正楷体_GBK" w:eastAsia="方正楷体_GBK" w:cs="方正楷体_GBK"/>
          <w:sz w:val="32"/>
          <w:szCs w:val="32"/>
          <w:lang w:val="en-US" w:eastAsia="zh-CN"/>
        </w:rPr>
        <w:t>语。）</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欧元区公布11月份的工业生产情况：环比下降了0.3%，这是连续第三个月下降；工业产出同比下降了6.8%，这主要是由德国和意大利的制造业收缩造成的（见图）。制造业收缩、服务业增长乏力，欧元区2023年第四季度的经济数据大概率是衰退的。</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rPr>
        <w:drawing>
          <wp:inline distT="0" distB="0" distL="114300" distR="114300">
            <wp:extent cx="5267960" cy="2988310"/>
            <wp:effectExtent l="0" t="0" r="889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267960" cy="29883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1月17日</w:t>
      </w:r>
      <w:r>
        <w:rPr>
          <w:rFonts w:hint="default" w:ascii="方正魏碑简体" w:hAnsi="方正魏碑简体" w:eastAsia="方正魏碑简体" w:cs="方正魏碑简体"/>
          <w:b/>
          <w:bCs/>
          <w:color w:val="0000FF"/>
          <w:sz w:val="32"/>
          <w:szCs w:val="40"/>
          <w:highlight w:val="yellow"/>
          <w:lang w:val="en-US" w:eastAsia="zh-CN"/>
        </w:rPr>
        <w:t>（周三）</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美国大选年开局，特朗普初选顺利</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1月15日，2024年美国总统大选拉开帷幕。两党的党内初选正式开始。</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前总统特朗普以压倒性优势赢得</w:t>
      </w:r>
      <w:r>
        <w:rPr>
          <w:rFonts w:hint="default" w:ascii="Times New Roman" w:hAnsi="Times New Roman" w:cs="Times New Roman" w:eastAsiaTheme="minorEastAsia"/>
          <w:sz w:val="32"/>
          <w:szCs w:val="32"/>
          <w:u w:val="none"/>
          <w:lang w:val="en-US" w:eastAsia="zh-CN"/>
        </w:rPr>
        <w:t>爱荷</w:t>
      </w:r>
      <w:r>
        <w:rPr>
          <w:rFonts w:hint="eastAsia" w:ascii="Times New Roman" w:hAnsi="Times New Roman" w:cs="Times New Roman"/>
          <w:sz w:val="32"/>
          <w:szCs w:val="32"/>
          <w:u w:val="none"/>
          <w:lang w:val="en-US" w:eastAsia="zh-CN"/>
        </w:rPr>
        <w:t>华</w:t>
      </w:r>
      <w:r>
        <w:rPr>
          <w:rFonts w:hint="default" w:ascii="Times New Roman" w:hAnsi="Times New Roman" w:cs="Times New Roman" w:eastAsiaTheme="minorEastAsia"/>
          <w:sz w:val="32"/>
          <w:szCs w:val="32"/>
          <w:u w:val="none"/>
          <w:lang w:val="en-US" w:eastAsia="zh-CN"/>
        </w:rPr>
        <w:t>州</w:t>
      </w:r>
      <w:r>
        <w:rPr>
          <w:rFonts w:hint="default" w:ascii="Times New Roman" w:hAnsi="Times New Roman" w:cs="Times New Roman" w:eastAsiaTheme="minorEastAsia"/>
          <w:sz w:val="32"/>
          <w:szCs w:val="32"/>
          <w:lang w:val="en-US" w:eastAsia="zh-CN"/>
        </w:rPr>
        <w:t>的共和党党内初选。在约11万张选票中，特朗普的得票率为51%，远高于第二名德桑蒂斯的21.2%和第三名黑利的19.1%。排名第四的美国印度裔企业家拉马斯瓦米当晚宣布退出竞选，转而支持特朗普。</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美国有线电视新闻网（CNN）感叹道</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在不光彩地离开华盛顿后，特朗普展示了</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令人震惊的实力</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这是美国政治史上最令人震惊的逆转之一</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。结果公布后，特朗普高调宣称</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让我们把国家夺回来</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从2月至3月，各州的党内初选全面展开。最重要的日期是3月5日，被称为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超级星期二</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（Super Tuesday），大约有10多个州将在这一天举行党内初选，选民们在各自州内投票选出本党候选人。</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然后是7月15日和8月19日，</w:t>
      </w:r>
      <w:r>
        <w:rPr>
          <w:rFonts w:hint="eastAsia" w:ascii="Times New Roman" w:hAnsi="Times New Roman" w:cs="Times New Roman"/>
          <w:sz w:val="32"/>
          <w:szCs w:val="32"/>
          <w:lang w:val="en-US" w:eastAsia="zh-CN"/>
        </w:rPr>
        <w:t>在</w:t>
      </w:r>
      <w:r>
        <w:rPr>
          <w:rFonts w:hint="default" w:ascii="Times New Roman" w:hAnsi="Times New Roman" w:cs="Times New Roman" w:eastAsiaTheme="minorEastAsia"/>
          <w:sz w:val="32"/>
          <w:szCs w:val="32"/>
          <w:lang w:val="en-US" w:eastAsia="zh-CN"/>
        </w:rPr>
        <w:t>共和党和民主党分别召开全国大会上，届时确定和公布本党的总统大选候选人。</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目前，民主党将拜登连任作为主要选项，在共和党内无人能挑战特朗普的支持度。</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盖洛普（Gallup）最近的民调结果显示，到2023年底，拜登的民调支持率只有39%，是二战后历任总统相同任期时点的最低值。</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rPr>
        <w:drawing>
          <wp:inline distT="0" distB="0" distL="114300" distR="114300">
            <wp:extent cx="3686810" cy="2361565"/>
            <wp:effectExtent l="0" t="0" r="8890" b="635"/>
            <wp:docPr id="1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
                    <pic:cNvPicPr>
                      <a:picLocks noChangeAspect="1"/>
                    </pic:cNvPicPr>
                  </pic:nvPicPr>
                  <pic:blipFill>
                    <a:blip r:embed="rId17"/>
                    <a:stretch>
                      <a:fillRect/>
                    </a:stretch>
                  </pic:blipFill>
                  <pic:spPr>
                    <a:xfrm>
                      <a:off x="0" y="0"/>
                      <a:ext cx="3686810" cy="23615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和以往一样，美国博彩公司开出针对大选的赌盘。也许是其独立性相对更强，也许是下注者真金白银的投入，特别认真。所以从历史数据看，准确率是相当高。</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以目前的下注情况倒算胜率，特朗普最高为39.2%，拜登次之为29.8%；其余所有可能的候选人，都没到10%，远远低于前两名（见图）。</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3890645" cy="2720340"/>
            <wp:effectExtent l="0" t="0" r="14605" b="3810"/>
            <wp:docPr id="1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pic:cNvPicPr>
                      <a:picLocks noChangeAspect="1"/>
                    </pic:cNvPicPr>
                  </pic:nvPicPr>
                  <pic:blipFill>
                    <a:blip r:embed="rId18"/>
                    <a:stretch>
                      <a:fillRect/>
                    </a:stretch>
                  </pic:blipFill>
                  <pic:spPr>
                    <a:xfrm>
                      <a:off x="0" y="0"/>
                      <a:ext cx="3890645" cy="27203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民主党不会坐视如此巨大的差距，一定会采取措施，现在离大选已经不到300天了，拭目以待吧。</w:t>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1月18日</w:t>
      </w:r>
      <w:r>
        <w:rPr>
          <w:rFonts w:hint="default" w:ascii="方正魏碑简体" w:hAnsi="方正魏碑简体" w:eastAsia="方正魏碑简体" w:cs="方正魏碑简体"/>
          <w:b/>
          <w:bCs/>
          <w:color w:val="0000FF"/>
          <w:sz w:val="32"/>
          <w:szCs w:val="40"/>
          <w:highlight w:val="yellow"/>
          <w:lang w:val="en-US" w:eastAsia="zh-CN"/>
        </w:rPr>
        <w:t>（周四）</w:t>
      </w:r>
    </w:p>
    <w:p>
      <w:pPr>
        <w:ind w:left="0" w:leftChars="0" w:firstLine="0" w:firstLineChars="0"/>
        <w:jc w:val="center"/>
        <w:rPr>
          <w:rFonts w:hint="default" w:ascii="Times New Roman" w:hAnsi="Times New Roman" w:eastAsia="方正小标宋_GBK" w:cs="Times New Roman"/>
          <w:b/>
          <w:bCs/>
          <w:color w:val="0000FF"/>
          <w:sz w:val="36"/>
          <w:szCs w:val="44"/>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欧元区和美国通胀放缓，但两央行表示不急于降息</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一、英国与欧元区CPI相继发布</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lang w:val="en-US" w:eastAsia="zh-CN"/>
        </w:rPr>
        <w:t>英国数据超预期上涨，12月通胀超预期反弹至4%，市场降低了对英国央行的降息押注。</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4044950" cy="2783205"/>
            <wp:effectExtent l="0" t="0" r="12700" b="171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4044950" cy="27832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欧元区数据符合预期，同比终值为2.9%。在正召开的达沃斯论坛上，欧央行行长拉加德上继续打压降息预期。</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drawing>
          <wp:inline distT="0" distB="0" distL="114300" distR="114300">
            <wp:extent cx="3725545" cy="2552065"/>
            <wp:effectExtent l="0" t="0" r="8255" b="63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3725545" cy="25520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二、美国公布12月零售销售数据</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消费支出占美国经济的三分之二左右，为美国经济的最大支柱，12月零售销售数据是一年中的重中之重。数据显示，环比增长0.6%（见图），为三个月内最大增幅。</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rPr>
        <w:drawing>
          <wp:inline distT="0" distB="0" distL="114300" distR="114300">
            <wp:extent cx="3870960" cy="2326640"/>
            <wp:effectExtent l="0" t="0" r="15240" b="165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7"/>
                    <a:stretch>
                      <a:fillRect/>
                    </a:stretch>
                  </pic:blipFill>
                  <pic:spPr>
                    <a:xfrm>
                      <a:off x="0" y="0"/>
                      <a:ext cx="3870960" cy="2326640"/>
                    </a:xfrm>
                    <a:prstGeom prst="rect">
                      <a:avLst/>
                    </a:prstGeom>
                    <a:noFill/>
                    <a:ln>
                      <a:noFill/>
                    </a:ln>
                  </pic:spPr>
                </pic:pic>
              </a:graphicData>
            </a:graphic>
          </wp:inline>
        </w:drawing>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16"/>
        <w:gridCol w:w="50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1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eastAsiaTheme="minorEastAsia"/>
                <w:sz w:val="32"/>
                <w:szCs w:val="32"/>
                <w:vertAlign w:val="baseline"/>
                <w:lang w:val="en-US" w:eastAsia="zh-CN"/>
              </w:rPr>
            </w:pPr>
            <w:r>
              <w:rPr>
                <w:rFonts w:hint="default" w:ascii="Times New Roman" w:hAnsi="Times New Roman" w:cs="Times New Roman" w:eastAsiaTheme="minorEastAsia"/>
                <w:sz w:val="32"/>
                <w:szCs w:val="32"/>
              </w:rPr>
              <w:drawing>
                <wp:inline distT="0" distB="0" distL="114300" distR="114300">
                  <wp:extent cx="2345055" cy="1404620"/>
                  <wp:effectExtent l="0" t="0" r="17145" b="508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20"/>
                          <a:stretch>
                            <a:fillRect/>
                          </a:stretch>
                        </pic:blipFill>
                        <pic:spPr>
                          <a:xfrm>
                            <a:off x="0" y="0"/>
                            <a:ext cx="2345055" cy="1404620"/>
                          </a:xfrm>
                          <a:prstGeom prst="rect">
                            <a:avLst/>
                          </a:prstGeom>
                          <a:noFill/>
                          <a:ln>
                            <a:noFill/>
                          </a:ln>
                        </pic:spPr>
                      </pic:pic>
                    </a:graphicData>
                  </a:graphic>
                </wp:inline>
              </w:drawing>
            </w:r>
          </w:p>
        </w:tc>
        <w:tc>
          <w:tcPr>
            <w:tcW w:w="5045"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vertAlign w:val="baseline"/>
                <w:lang w:val="en-US" w:eastAsia="zh-CN"/>
              </w:rPr>
            </w:pPr>
            <w:r>
              <w:rPr>
                <w:rFonts w:hint="default" w:ascii="Times New Roman" w:hAnsi="Times New Roman" w:cs="Times New Roman" w:eastAsiaTheme="minorEastAsia"/>
                <w:sz w:val="32"/>
                <w:szCs w:val="32"/>
                <w:lang w:val="en-US" w:eastAsia="zh-CN"/>
              </w:rPr>
              <w:t>但有研究机构表示，目前支出的增长，是因为消费者在12月购物季抢购折扣商品，以及选择</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先买后付</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方式的结果。</w:t>
            </w:r>
          </w:p>
        </w:tc>
      </w:tr>
    </w:tbl>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随着消费者面临虽然放缓但依然持续通胀、信贷成本上升和储蓄减少，</w:t>
      </w:r>
      <w:r>
        <w:rPr>
          <w:rFonts w:hint="default" w:ascii="Times New Roman" w:hAnsi="Times New Roman" w:cs="Times New Roman" w:eastAsiaTheme="minorEastAsia"/>
          <w:b/>
          <w:bCs/>
          <w:sz w:val="32"/>
          <w:szCs w:val="32"/>
          <w:lang w:val="en-US" w:eastAsia="zh-CN"/>
        </w:rPr>
        <w:t>消费势头将在2024年减弱。</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美国6个月的年化核心PCE将降至2.6%。美联储理事沃勒说，虽然距离实现2%的通胀目标仅一步之遥，但在较低的通胀水平稳定得住并能保持之前，美联储不应急于降息。</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left"/>
        <w:textAlignment w:val="auto"/>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面对美联储官员的轮番警告，市场对于3月降息的预期依然坚挺，再次出现市场与央行观点的分歧和对立。</w:t>
      </w:r>
    </w:p>
    <w:p>
      <w:pPr>
        <w:keepNext w:val="0"/>
        <w:keepLines w:val="0"/>
        <w:pageBreakBefore w:val="0"/>
        <w:widowControl w:val="0"/>
        <w:kinsoku/>
        <w:wordWrap/>
        <w:overflowPunct/>
        <w:topLinePunct w:val="0"/>
        <w:autoSpaceDE/>
        <w:autoSpaceDN/>
        <w:bidi w:val="0"/>
        <w:adjustRightInd/>
        <w:snapToGrid/>
        <w:jc w:val="right"/>
        <w:textAlignment w:val="auto"/>
        <w:rPr>
          <w:rFonts w:hint="default" w:ascii="Times New Roman" w:hAnsi="Times New Roman" w:cs="Times New Roman" w:eastAsiaTheme="minorEastAsia"/>
          <w:b/>
          <w:bCs/>
          <w:color w:val="0000FF"/>
          <w:sz w:val="32"/>
          <w:szCs w:val="32"/>
          <w:highlight w:val="yellow"/>
          <w:lang w:val="en-US" w:eastAsia="zh-CN"/>
        </w:rPr>
      </w:pPr>
      <w:r>
        <w:rPr>
          <w:rFonts w:hint="default" w:ascii="方正小标宋_GBK" w:hAnsi="方正小标宋_GBK" w:eastAsia="方正小标宋_GBK" w:cs="方正小标宋_GBK"/>
          <w:b/>
          <w:bCs/>
          <w:color w:val="FF0000"/>
          <w:sz w:val="32"/>
          <w:szCs w:val="40"/>
          <w:highlight w:val="yellow"/>
          <w:lang w:val="en-US" w:eastAsia="zh-CN"/>
        </w:rPr>
        <w:t>1月19日</w:t>
      </w:r>
      <w:r>
        <w:rPr>
          <w:rFonts w:hint="default" w:ascii="方正魏碑简体" w:hAnsi="方正魏碑简体" w:eastAsia="方正魏碑简体" w:cs="方正魏碑简体"/>
          <w:b/>
          <w:bCs/>
          <w:color w:val="0000FF"/>
          <w:sz w:val="32"/>
          <w:szCs w:val="40"/>
          <w:highlight w:val="yellow"/>
          <w:lang w:val="en-US" w:eastAsia="zh-CN"/>
        </w:rPr>
        <w:t>（周</w:t>
      </w:r>
      <w:r>
        <w:rPr>
          <w:rFonts w:hint="eastAsia" w:ascii="方正魏碑简体" w:hAnsi="方正魏碑简体" w:eastAsia="方正魏碑简体" w:cs="方正魏碑简体"/>
          <w:b/>
          <w:bCs/>
          <w:color w:val="0000FF"/>
          <w:sz w:val="32"/>
          <w:szCs w:val="40"/>
          <w:highlight w:val="yellow"/>
          <w:lang w:val="en-US" w:eastAsia="zh-CN"/>
        </w:rPr>
        <w:t>五</w:t>
      </w:r>
      <w:r>
        <w:rPr>
          <w:rFonts w:hint="default" w:ascii="方正魏碑简体" w:hAnsi="方正魏碑简体" w:eastAsia="方正魏碑简体" w:cs="方正魏碑简体"/>
          <w:b/>
          <w:bCs/>
          <w:color w:val="0000FF"/>
          <w:sz w:val="32"/>
          <w:szCs w:val="40"/>
          <w:highlight w:val="yellow"/>
          <w:lang w:val="en-US" w:eastAsia="zh-CN"/>
        </w:rPr>
        <w:t>）</w:t>
      </w:r>
    </w:p>
    <w:p>
      <w:pPr>
        <w:jc w:val="center"/>
        <w:rPr>
          <w:rFonts w:hint="default" w:ascii="Times New Roman" w:hAnsi="Times New Roman" w:eastAsia="宋体" w:cs="Times New Roman"/>
          <w:b/>
          <w:bCs/>
          <w:color w:val="0000FF"/>
          <w:sz w:val="32"/>
          <w:szCs w:val="32"/>
          <w:highlight w:val="yellow"/>
          <w:lang w:val="en-US" w:eastAsia="zh-CN"/>
        </w:rPr>
      </w:pPr>
      <w:r>
        <w:rPr>
          <w:rFonts w:hint="default" w:ascii="Times New Roman" w:hAnsi="Times New Roman" w:eastAsia="方正小标宋_GBK" w:cs="Times New Roman"/>
          <w:b/>
          <w:bCs/>
          <w:color w:val="0000FF"/>
          <w:sz w:val="36"/>
          <w:szCs w:val="44"/>
          <w:highlight w:val="yellow"/>
          <w:lang w:val="en-US" w:eastAsia="zh-CN"/>
        </w:rPr>
        <w:t>美国经济指标强劲，胡塞武装无惧压力</w:t>
      </w:r>
    </w:p>
    <w:p>
      <w:pPr>
        <w:keepNext w:val="0"/>
        <w:keepLines w:val="0"/>
        <w:pageBreakBefore w:val="0"/>
        <w:widowControl w:val="0"/>
        <w:kinsoku/>
        <w:wordWrap/>
        <w:overflowPunct/>
        <w:topLinePunct w:val="0"/>
        <w:autoSpaceDE/>
        <w:autoSpaceDN/>
        <w:bidi w:val="0"/>
        <w:adjustRightInd/>
        <w:snapToGrid/>
        <w:spacing w:line="460" w:lineRule="exact"/>
        <w:ind w:firstLine="608" w:firstLineChars="200"/>
        <w:jc w:val="left"/>
        <w:textAlignment w:val="auto"/>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32"/>
          <w:szCs w:val="32"/>
          <w:lang w:val="en-US" w:eastAsia="zh-CN"/>
        </w:rPr>
        <w:t>美国劳工部公布，上周初请失业金人数为18.7万，低于预期，且为15个月来以新低，续前失业金人数为180.6万，也低于预期，显示目前美国劳动力市场依然强劲。</w:t>
      </w:r>
    </w:p>
    <w:p>
      <w:pPr>
        <w:keepNext w:val="0"/>
        <w:keepLines w:val="0"/>
        <w:pageBreakBefore w:val="0"/>
        <w:widowControl w:val="0"/>
        <w:kinsoku/>
        <w:wordWrap/>
        <w:overflowPunct/>
        <w:topLinePunct w:val="0"/>
        <w:autoSpaceDE/>
        <w:autoSpaceDN/>
        <w:bidi w:val="0"/>
        <w:adjustRightInd/>
        <w:snapToGrid/>
        <w:spacing w:line="460" w:lineRule="exact"/>
        <w:ind w:firstLine="608" w:firstLineChars="200"/>
        <w:jc w:val="left"/>
        <w:textAlignment w:val="auto"/>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32"/>
          <w:szCs w:val="32"/>
          <w:lang w:val="en-US" w:eastAsia="zh-CN"/>
        </w:rPr>
        <w:t>劳动力市场不降温，美联储就无法降息，数据公布后，国债收益率随之走高。</w:t>
      </w:r>
    </w:p>
    <w:p>
      <w:pPr>
        <w:keepNext w:val="0"/>
        <w:keepLines w:val="0"/>
        <w:pageBreakBefore w:val="0"/>
        <w:widowControl w:val="0"/>
        <w:kinsoku/>
        <w:wordWrap/>
        <w:overflowPunct/>
        <w:topLinePunct w:val="0"/>
        <w:autoSpaceDE/>
        <w:autoSpaceDN/>
        <w:bidi w:val="0"/>
        <w:adjustRightInd/>
        <w:snapToGrid/>
        <w:spacing w:line="460" w:lineRule="exact"/>
        <w:ind w:firstLine="608" w:firstLineChars="200"/>
        <w:jc w:val="left"/>
        <w:textAlignment w:val="auto"/>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32"/>
          <w:szCs w:val="32"/>
          <w:lang w:val="en-US" w:eastAsia="zh-CN"/>
        </w:rPr>
        <w:t>美国人口调查局公布，2023年12月份新屋开工数146万房，环比下降4.3%，同比增长7.6%（见图）。</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6"/>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32"/>
                <w:szCs w:val="32"/>
                <w:vertAlign w:val="baseline"/>
              </w:rPr>
            </w:pPr>
            <w:r>
              <w:rPr>
                <w:rFonts w:hint="default" w:ascii="Times New Roman" w:hAnsi="Times New Roman" w:eastAsia="宋体" w:cs="Times New Roman"/>
                <w:sz w:val="32"/>
                <w:szCs w:val="32"/>
              </w:rPr>
              <w:drawing>
                <wp:inline distT="0" distB="0" distL="114300" distR="114300">
                  <wp:extent cx="3853815" cy="1890395"/>
                  <wp:effectExtent l="0" t="0" r="13335" b="14605"/>
                  <wp:docPr id="1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
                          <pic:cNvPicPr>
                            <a:picLocks noChangeAspect="1"/>
                          </pic:cNvPicPr>
                        </pic:nvPicPr>
                        <pic:blipFill>
                          <a:blip r:embed="rId21"/>
                          <a:stretch>
                            <a:fillRect/>
                          </a:stretch>
                        </pic:blipFill>
                        <pic:spPr>
                          <a:xfrm>
                            <a:off x="0" y="0"/>
                            <a:ext cx="3853815" cy="1890395"/>
                          </a:xfrm>
                          <a:prstGeom prst="rect">
                            <a:avLst/>
                          </a:prstGeom>
                          <a:noFill/>
                          <a:ln>
                            <a:noFill/>
                          </a:ln>
                        </pic:spPr>
                      </pic:pic>
                    </a:graphicData>
                  </a:graphic>
                </wp:inline>
              </w:drawing>
            </w:r>
          </w:p>
        </w:tc>
        <w:tc>
          <w:tcPr>
            <w:tcW w:w="6851" w:type="dxa"/>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28"/>
                <w:szCs w:val="28"/>
                <w:lang w:val="en-US" w:eastAsia="zh-CN"/>
              </w:rPr>
            </w:pPr>
            <w:r>
              <w:rPr>
                <w:rFonts w:hint="default" w:ascii="Times New Roman" w:hAnsi="Times New Roman" w:eastAsia="方正楷体_GBK" w:cs="Times New Roman"/>
                <w:sz w:val="28"/>
                <w:szCs w:val="28"/>
                <w:lang w:val="en-US" w:eastAsia="zh-CN"/>
              </w:rPr>
              <w:t>（</w:t>
            </w:r>
            <w:r>
              <w:rPr>
                <w:rFonts w:hint="eastAsia" w:ascii="方正黑体_GBK" w:hAnsi="方正黑体_GBK" w:eastAsia="方正黑体_GBK" w:cs="方正黑体_GBK"/>
                <w:sz w:val="28"/>
                <w:szCs w:val="28"/>
                <w:lang w:val="en-US" w:eastAsia="zh-CN"/>
              </w:rPr>
              <w:t>注：</w:t>
            </w:r>
            <w:r>
              <w:rPr>
                <w:rFonts w:hint="eastAsia" w:ascii="Times New Roman" w:hAnsi="Times New Roman" w:eastAsia="方正楷体_GBK" w:cs="Times New Roman"/>
                <w:sz w:val="28"/>
                <w:szCs w:val="28"/>
                <w:lang w:val="en-US" w:eastAsia="zh-CN"/>
              </w:rPr>
              <w:t>“</w:t>
            </w:r>
            <w:r>
              <w:rPr>
                <w:rFonts w:hint="default" w:ascii="Times New Roman" w:hAnsi="Times New Roman" w:eastAsia="方正楷体_GBK" w:cs="Times New Roman"/>
                <w:sz w:val="28"/>
                <w:szCs w:val="28"/>
                <w:lang w:val="en-US" w:eastAsia="zh-CN"/>
              </w:rPr>
              <w:t>新屋开工数</w:t>
            </w:r>
            <w:r>
              <w:rPr>
                <w:rFonts w:hint="eastAsia" w:ascii="Times New Roman" w:hAnsi="Times New Roman" w:eastAsia="方正楷体_GBK" w:cs="Times New Roman"/>
                <w:sz w:val="28"/>
                <w:szCs w:val="28"/>
                <w:lang w:val="en-US" w:eastAsia="zh-CN"/>
              </w:rPr>
              <w:t>”</w:t>
            </w:r>
          </w:p>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sz w:val="32"/>
                <w:szCs w:val="32"/>
                <w:vertAlign w:val="baseline"/>
              </w:rPr>
            </w:pPr>
            <w:r>
              <w:rPr>
                <w:rFonts w:hint="default" w:ascii="Times New Roman" w:hAnsi="Times New Roman" w:eastAsia="方正楷体_GBK" w:cs="Times New Roman"/>
                <w:sz w:val="28"/>
                <w:szCs w:val="28"/>
                <w:lang w:val="en-US" w:eastAsia="zh-CN"/>
              </w:rPr>
              <w:t>指标，用以衡量私有住屋破土动工的数目，是经济健康与否的重要领先指标）</w:t>
            </w:r>
          </w:p>
        </w:tc>
      </w:tr>
    </w:tbl>
    <w:p>
      <w:pPr>
        <w:keepNext w:val="0"/>
        <w:keepLines w:val="0"/>
        <w:pageBreakBefore w:val="0"/>
        <w:widowControl w:val="0"/>
        <w:kinsoku/>
        <w:wordWrap/>
        <w:overflowPunct/>
        <w:topLinePunct w:val="0"/>
        <w:autoSpaceDE/>
        <w:autoSpaceDN/>
        <w:bidi w:val="0"/>
        <w:adjustRightInd/>
        <w:snapToGrid/>
        <w:spacing w:line="480" w:lineRule="exact"/>
        <w:ind w:firstLine="608" w:firstLineChars="200"/>
        <w:jc w:val="left"/>
        <w:textAlignment w:val="auto"/>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32"/>
          <w:szCs w:val="32"/>
          <w:lang w:val="en-US" w:eastAsia="zh-CN"/>
        </w:rPr>
        <w:t>白宫发表声明，美国将胡塞武装重新指定为</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全球恐怖分子</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。2021年1月，拜登上任后，取消了其前任对也门胡塞武装的</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恐怖分子</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定性，因此，本次为</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重新</w:t>
      </w:r>
      <w:r>
        <w:rPr>
          <w:rFonts w:hint="eastAsia" w:ascii="Times New Roman" w:hAnsi="Times New Roman" w:eastAsia="宋体" w:cs="Times New Roman"/>
          <w:sz w:val="32"/>
          <w:szCs w:val="32"/>
          <w:lang w:val="en-US" w:eastAsia="zh-CN"/>
        </w:rPr>
        <w:t>”</w:t>
      </w:r>
      <w:r>
        <w:rPr>
          <w:rFonts w:hint="default" w:ascii="Times New Roman" w:hAnsi="Times New Roman" w:eastAsia="宋体" w:cs="Times New Roman"/>
          <w:sz w:val="32"/>
          <w:szCs w:val="32"/>
          <w:lang w:val="en-US" w:eastAsia="zh-CN"/>
        </w:rPr>
        <w:t>指定，旨在切断胡塞武装的资金和武器供应，相关国家、机构和人员或许都将因此受到牵连，被追究责任。</w:t>
      </w:r>
    </w:p>
    <w:tbl>
      <w:tblPr>
        <w:tblStyle w:val="6"/>
        <w:tblpPr w:leftFromText="180" w:rightFromText="180" w:vertAnchor="text" w:horzAnchor="page" w:tblpX="1772" w:tblpY="3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93"/>
        <w:gridCol w:w="3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7" w:hRule="atLeast"/>
        </w:trPr>
        <w:tc>
          <w:tcPr>
            <w:tcW w:w="529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440" w:lineRule="exact"/>
              <w:ind w:firstLine="608" w:firstLineChars="200"/>
              <w:jc w:val="left"/>
              <w:textAlignment w:val="auto"/>
              <w:rPr>
                <w:rFonts w:hint="default" w:ascii="Times New Roman" w:hAnsi="Times New Roman" w:eastAsia="宋体" w:cs="Times New Roman"/>
                <w:sz w:val="32"/>
                <w:szCs w:val="32"/>
                <w:vertAlign w:val="baseline"/>
                <w:lang w:val="en-US" w:eastAsia="zh-CN"/>
              </w:rPr>
            </w:pPr>
            <w:r>
              <w:rPr>
                <w:rFonts w:hint="default" w:ascii="Times New Roman" w:hAnsi="Times New Roman" w:eastAsia="宋体" w:cs="Times New Roman"/>
                <w:sz w:val="32"/>
                <w:szCs w:val="32"/>
                <w:vertAlign w:val="baseline"/>
                <w:lang w:val="en-US" w:eastAsia="zh-CN"/>
              </w:rPr>
              <w:t>拜登给了胡塞武装30天的自我纠正期，白宫</w:t>
            </w:r>
            <w:r>
              <w:rPr>
                <w:rFonts w:hint="eastAsia" w:ascii="Times New Roman" w:hAnsi="Times New Roman" w:eastAsia="宋体" w:cs="Times New Roman"/>
                <w:sz w:val="32"/>
                <w:szCs w:val="32"/>
                <w:vertAlign w:val="baseline"/>
                <w:lang w:val="en-US" w:eastAsia="zh-CN"/>
              </w:rPr>
              <w:t>的</w:t>
            </w:r>
            <w:r>
              <w:rPr>
                <w:rFonts w:hint="default" w:ascii="Times New Roman" w:hAnsi="Times New Roman" w:eastAsia="宋体" w:cs="Times New Roman"/>
                <w:sz w:val="32"/>
                <w:szCs w:val="32"/>
                <w:vertAlign w:val="baseline"/>
                <w:lang w:val="en-US" w:eastAsia="zh-CN"/>
              </w:rPr>
              <w:t>声明称，该指定将于30天后生效，如果胡塞武装停止对红海航运的袭击，美国将</w:t>
            </w:r>
            <w:r>
              <w:rPr>
                <w:rFonts w:hint="eastAsia" w:ascii="Times New Roman" w:hAnsi="Times New Roman" w:eastAsia="宋体" w:cs="Times New Roman"/>
                <w:sz w:val="32"/>
                <w:szCs w:val="32"/>
                <w:vertAlign w:val="baseline"/>
                <w:lang w:val="en-US" w:eastAsia="zh-CN"/>
              </w:rPr>
              <w:t>重新</w:t>
            </w:r>
            <w:r>
              <w:rPr>
                <w:rFonts w:hint="default" w:ascii="Times New Roman" w:hAnsi="Times New Roman" w:eastAsia="宋体" w:cs="Times New Roman"/>
                <w:sz w:val="32"/>
                <w:szCs w:val="32"/>
                <w:vertAlign w:val="baseline"/>
                <w:lang w:val="en-US" w:eastAsia="zh-CN"/>
              </w:rPr>
              <w:t>评估这一指定。</w:t>
            </w:r>
          </w:p>
          <w:p>
            <w:pPr>
              <w:keepNext w:val="0"/>
              <w:keepLines w:val="0"/>
              <w:pageBreakBefore w:val="0"/>
              <w:widowControl w:val="0"/>
              <w:kinsoku/>
              <w:wordWrap/>
              <w:overflowPunct/>
              <w:topLinePunct w:val="0"/>
              <w:autoSpaceDE/>
              <w:autoSpaceDN/>
              <w:bidi w:val="0"/>
              <w:adjustRightInd/>
              <w:snapToGrid/>
              <w:spacing w:line="440" w:lineRule="exact"/>
              <w:ind w:firstLine="608" w:firstLineChars="200"/>
              <w:jc w:val="left"/>
              <w:textAlignment w:val="auto"/>
              <w:rPr>
                <w:rFonts w:hint="default" w:ascii="Times New Roman" w:hAnsi="Times New Roman" w:eastAsia="宋体" w:cs="Times New Roman"/>
                <w:sz w:val="32"/>
                <w:szCs w:val="32"/>
                <w:vertAlign w:val="baseline"/>
                <w:lang w:val="en-US" w:eastAsia="zh-CN"/>
              </w:rPr>
            </w:pPr>
            <w:r>
              <w:rPr>
                <w:rFonts w:hint="default" w:ascii="Times New Roman" w:hAnsi="Times New Roman" w:eastAsia="宋体" w:cs="Times New Roman"/>
                <w:sz w:val="32"/>
                <w:szCs w:val="32"/>
                <w:vertAlign w:val="baseline"/>
                <w:lang w:val="en-US" w:eastAsia="zh-CN"/>
              </w:rPr>
              <w:t>胡塞表示拒绝，袭击将继续。</w:t>
            </w:r>
          </w:p>
        </w:tc>
        <w:tc>
          <w:tcPr>
            <w:tcW w:w="3416"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sz w:val="32"/>
                <w:szCs w:val="32"/>
                <w:vertAlign w:val="baseline"/>
                <w:lang w:val="en-US" w:eastAsia="zh-CN"/>
              </w:rPr>
            </w:pPr>
            <w:r>
              <w:rPr>
                <w:rFonts w:hint="default" w:ascii="Times New Roman" w:hAnsi="Times New Roman" w:eastAsia="宋体" w:cs="Times New Roman"/>
                <w:sz w:val="32"/>
                <w:szCs w:val="32"/>
                <w:vertAlign w:val="baseline"/>
                <w:lang w:val="en-US" w:eastAsia="zh-CN"/>
              </w:rPr>
              <w:drawing>
                <wp:inline distT="0" distB="0" distL="114300" distR="114300">
                  <wp:extent cx="2052320" cy="1383665"/>
                  <wp:effectExtent l="0" t="0" r="5080" b="698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2"/>
                          <a:stretch>
                            <a:fillRect/>
                          </a:stretch>
                        </pic:blipFill>
                        <pic:spPr>
                          <a:xfrm>
                            <a:off x="0" y="0"/>
                            <a:ext cx="2052320" cy="1383665"/>
                          </a:xfrm>
                          <a:prstGeom prst="rect">
                            <a:avLst/>
                          </a:prstGeom>
                          <a:noFill/>
                          <a:ln>
                            <a:noFill/>
                          </a:ln>
                        </pic:spPr>
                      </pic:pic>
                    </a:graphicData>
                  </a:graphic>
                </wp:inline>
              </w:drawing>
            </w:r>
          </w:p>
        </w:tc>
      </w:tr>
    </w:tbl>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72"/>
          <w:szCs w:val="72"/>
          <w:lang w:val="en-US" w:eastAsia="zh-CN"/>
        </w:rPr>
      </w:pPr>
      <w:r>
        <w:rPr>
          <w:rFonts w:hint="default" w:ascii="Times New Roman" w:hAnsi="Times New Roman" w:eastAsia="经典行楷简" w:cs="Times New Roman"/>
          <w:b/>
          <w:bCs/>
          <w:color w:val="FF0000"/>
          <w:sz w:val="72"/>
          <w:szCs w:val="72"/>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11"/>
          <w:sz w:val="52"/>
          <w:szCs w:val="5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11"/>
          <w:sz w:val="52"/>
          <w:szCs w:val="52"/>
          <w:lang w:val="en-US" w:eastAsia="zh-CN"/>
        </w:rPr>
      </w:pPr>
      <w:r>
        <w:rPr>
          <w:rFonts w:hint="default" w:ascii="Times New Roman" w:hAnsi="Times New Roman" w:eastAsia="经典行楷简" w:cs="Times New Roman"/>
          <w:color w:val="2E75B6" w:themeColor="accent1" w:themeShade="BF"/>
          <w:spacing w:val="-11"/>
          <w:sz w:val="52"/>
          <w:szCs w:val="52"/>
          <w:lang w:val="en-US" w:eastAsia="zh-CN"/>
        </w:rPr>
        <w:t>贴心服务 为企解忧</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11"/>
          <w:sz w:val="52"/>
          <w:szCs w:val="5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default" w:ascii="Times New Roman" w:hAnsi="Times New Roman" w:cs="Times New Roman" w:eastAsiaTheme="minorEastAsia"/>
          <w:color w:val="auto"/>
          <w:spacing w:val="-6"/>
          <w:sz w:val="32"/>
          <w:szCs w:val="32"/>
          <w:lang w:val="en-US" w:eastAsia="zh-CN"/>
        </w:rPr>
      </w:pPr>
      <w:r>
        <w:rPr>
          <w:rFonts w:hint="default" w:ascii="Times New Roman" w:hAnsi="Times New Roman" w:cs="Times New Roman" w:eastAsiaTheme="minorEastAsia"/>
          <w:color w:val="auto"/>
          <w:spacing w:val="0"/>
          <w:sz w:val="32"/>
          <w:szCs w:val="32"/>
          <w:lang w:val="en-US" w:eastAsia="zh-CN"/>
        </w:rPr>
        <w:t>新年伊始，江苏省贸促会商</w:t>
      </w:r>
      <w:r>
        <w:rPr>
          <w:rFonts w:hint="eastAsia" w:ascii="Times New Roman" w:hAnsi="Times New Roman" w:cs="Times New Roman" w:eastAsiaTheme="minorEastAsia"/>
          <w:color w:val="auto"/>
          <w:spacing w:val="0"/>
          <w:sz w:val="32"/>
          <w:szCs w:val="32"/>
          <w:lang w:val="en-US" w:eastAsia="zh-CN"/>
        </w:rPr>
        <w:t>事</w:t>
      </w:r>
      <w:r>
        <w:rPr>
          <w:rFonts w:hint="default" w:ascii="Times New Roman" w:hAnsi="Times New Roman" w:cs="Times New Roman" w:eastAsiaTheme="minorEastAsia"/>
          <w:color w:val="auto"/>
          <w:spacing w:val="0"/>
          <w:sz w:val="32"/>
          <w:szCs w:val="32"/>
          <w:lang w:val="en-US" w:eastAsia="zh-CN"/>
        </w:rPr>
        <w:t>服</w:t>
      </w:r>
      <w:r>
        <w:rPr>
          <w:rFonts w:hint="eastAsia" w:ascii="Times New Roman" w:hAnsi="Times New Roman" w:cs="Times New Roman" w:eastAsiaTheme="minorEastAsia"/>
          <w:color w:val="auto"/>
          <w:spacing w:val="0"/>
          <w:sz w:val="32"/>
          <w:szCs w:val="32"/>
          <w:lang w:val="en-US" w:eastAsia="zh-CN"/>
        </w:rPr>
        <w:t>务</w:t>
      </w:r>
      <w:r>
        <w:rPr>
          <w:rFonts w:hint="default" w:ascii="Times New Roman" w:hAnsi="Times New Roman" w:cs="Times New Roman" w:eastAsiaTheme="minorEastAsia"/>
          <w:color w:val="auto"/>
          <w:spacing w:val="0"/>
          <w:sz w:val="32"/>
          <w:szCs w:val="32"/>
          <w:lang w:val="en-US" w:eastAsia="zh-CN"/>
        </w:rPr>
        <w:t>中心驻省商务厅工作人员收到中粮四海丰（张家港）贸易有限公司赠送的锦旗。企业表示，中心工作人员对企服务热情、高效、贴心，为他们实实在在解决了不少难题。</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default" w:ascii="Times New Roman" w:hAnsi="Times New Roman" w:cs="Times New Roman" w:eastAsiaTheme="minorEastAsia"/>
          <w:color w:val="auto"/>
          <w:spacing w:val="0"/>
          <w:sz w:val="32"/>
          <w:szCs w:val="32"/>
          <w:lang w:val="en-US" w:eastAsia="zh-CN"/>
        </w:rPr>
      </w:pPr>
      <w:r>
        <w:rPr>
          <w:rFonts w:hint="default" w:ascii="Times New Roman" w:hAnsi="Times New Roman" w:cs="Times New Roman" w:eastAsiaTheme="minorEastAsia"/>
          <w:color w:val="auto"/>
          <w:spacing w:val="0"/>
          <w:sz w:val="32"/>
          <w:szCs w:val="32"/>
          <w:lang w:val="en-US" w:eastAsia="zh-CN"/>
        </w:rPr>
        <w:t>中粮四海丰（张家港）贸易有限公司是我省大豆进口的重点企业。2023年</w:t>
      </w:r>
      <w:r>
        <w:rPr>
          <w:rFonts w:hint="default" w:ascii="Times New Roman" w:hAnsi="Times New Roman" w:cs="Times New Roman"/>
          <w:color w:val="auto"/>
          <w:spacing w:val="0"/>
          <w:sz w:val="32"/>
          <w:szCs w:val="32"/>
          <w:lang w:val="en-US" w:eastAsia="zh-CN"/>
        </w:rPr>
        <w:t>5</w:t>
      </w:r>
      <w:r>
        <w:rPr>
          <w:rFonts w:hint="eastAsia" w:ascii="Times New Roman" w:hAnsi="Times New Roman" w:cs="Times New Roman"/>
          <w:color w:val="auto"/>
          <w:spacing w:val="0"/>
          <w:sz w:val="32"/>
          <w:szCs w:val="32"/>
          <w:lang w:val="en-US" w:eastAsia="zh-CN"/>
        </w:rPr>
        <w:t>月</w:t>
      </w:r>
      <w:r>
        <w:rPr>
          <w:rFonts w:hint="default" w:ascii="Times New Roman" w:hAnsi="Times New Roman" w:cs="Times New Roman" w:eastAsiaTheme="minorEastAsia"/>
          <w:color w:val="auto"/>
          <w:spacing w:val="0"/>
          <w:sz w:val="32"/>
          <w:szCs w:val="32"/>
          <w:lang w:val="en-US" w:eastAsia="zh-CN"/>
        </w:rPr>
        <w:t>，大豆等重</w:t>
      </w:r>
      <w:bookmarkStart w:id="0" w:name="_GoBack"/>
      <w:bookmarkEnd w:id="0"/>
      <w:r>
        <w:rPr>
          <w:rFonts w:hint="default" w:ascii="Times New Roman" w:hAnsi="Times New Roman" w:cs="Times New Roman" w:eastAsiaTheme="minorEastAsia"/>
          <w:color w:val="auto"/>
          <w:spacing w:val="0"/>
          <w:sz w:val="32"/>
          <w:szCs w:val="32"/>
          <w:lang w:val="en-US" w:eastAsia="zh-CN"/>
        </w:rPr>
        <w:t>要农产品进口的信息报备系统和证书申请系统调整，中心工作人员积极反馈企业需求和使用建议，及时通知企业调整进度，指导企业系统使用，为政企之间搭建了高效沟通桥梁。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default" w:ascii="Times New Roman" w:hAnsi="Times New Roman" w:cs="Times New Roman" w:eastAsiaTheme="minorEastAsia"/>
          <w:color w:val="auto"/>
          <w:spacing w:val="0"/>
          <w:sz w:val="32"/>
          <w:szCs w:val="32"/>
          <w:lang w:val="en-US" w:eastAsia="zh-CN"/>
        </w:rPr>
      </w:pPr>
      <w:r>
        <w:rPr>
          <w:rFonts w:hint="default" w:ascii="Times New Roman" w:hAnsi="Times New Roman" w:cs="Times New Roman" w:eastAsiaTheme="minorEastAsia"/>
          <w:color w:val="auto"/>
          <w:spacing w:val="0"/>
          <w:sz w:val="32"/>
          <w:szCs w:val="32"/>
          <w:lang w:val="en-US" w:eastAsia="zh-CN"/>
        </w:rPr>
        <w:t>年末，企业遇上证书跨年切换，又逢国外航期调整，一时无法准确选择申报方案。针对他们的实际情况，中心工作人员为其详细解读政策，在依法合规的框架下提供了不同解决方案并分析利弊，最终</w:t>
      </w:r>
      <w:r>
        <w:rPr>
          <w:rFonts w:hint="eastAsia" w:ascii="Times New Roman" w:hAnsi="Times New Roman" w:cs="Times New Roman"/>
          <w:color w:val="auto"/>
          <w:spacing w:val="0"/>
          <w:sz w:val="32"/>
          <w:szCs w:val="32"/>
          <w:lang w:val="en-US" w:eastAsia="zh-CN"/>
        </w:rPr>
        <w:t>协助</w:t>
      </w:r>
      <w:r>
        <w:rPr>
          <w:rFonts w:hint="default" w:ascii="Times New Roman" w:hAnsi="Times New Roman" w:cs="Times New Roman" w:eastAsiaTheme="minorEastAsia"/>
          <w:color w:val="auto"/>
          <w:spacing w:val="0"/>
          <w:sz w:val="32"/>
          <w:szCs w:val="32"/>
          <w:lang w:val="en-US" w:eastAsia="zh-CN"/>
        </w:rPr>
        <w:t>企业解决了问题，避免了货物滞港的</w:t>
      </w:r>
      <w:r>
        <w:rPr>
          <w:rFonts w:hint="eastAsia" w:ascii="Times New Roman" w:hAnsi="Times New Roman" w:cs="Times New Roman"/>
          <w:color w:val="auto"/>
          <w:spacing w:val="0"/>
          <w:sz w:val="32"/>
          <w:szCs w:val="32"/>
          <w:lang w:val="en-US" w:eastAsia="zh-CN"/>
        </w:rPr>
        <w:t>风险</w:t>
      </w:r>
      <w:r>
        <w:rPr>
          <w:rFonts w:hint="default" w:ascii="Times New Roman" w:hAnsi="Times New Roman" w:cs="Times New Roman" w:eastAsiaTheme="minorEastAsia"/>
          <w:color w:val="auto"/>
          <w:spacing w:val="0"/>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default" w:ascii="Times New Roman" w:hAnsi="Times New Roman" w:cs="Times New Roman" w:eastAsiaTheme="minorEastAsia"/>
          <w:color w:val="auto"/>
          <w:spacing w:val="0"/>
          <w:sz w:val="32"/>
          <w:szCs w:val="32"/>
          <w:lang w:val="en-US" w:eastAsia="zh-CN"/>
        </w:rPr>
      </w:pPr>
      <w:r>
        <w:rPr>
          <w:rFonts w:hint="eastAsia" w:ascii="Times New Roman" w:hAnsi="Times New Roman" w:cs="Times New Roman"/>
          <w:color w:val="auto"/>
          <w:spacing w:val="0"/>
          <w:sz w:val="32"/>
          <w:szCs w:val="32"/>
          <w:lang w:val="en-US" w:eastAsia="zh-CN"/>
        </w:rPr>
        <w:t>今后，</w:t>
      </w:r>
      <w:r>
        <w:rPr>
          <w:rFonts w:hint="default" w:ascii="Times New Roman" w:hAnsi="Times New Roman" w:cs="Times New Roman" w:eastAsiaTheme="minorEastAsia"/>
          <w:color w:val="auto"/>
          <w:spacing w:val="0"/>
          <w:sz w:val="32"/>
          <w:szCs w:val="32"/>
          <w:lang w:val="en-US" w:eastAsia="zh-CN"/>
        </w:rPr>
        <w:t>中心将继续贯彻合法依规、安全高效的为企服务原则，进一步做好相关工作，为江苏外贸高质量发展贡献力量。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68" w:firstLineChars="1700"/>
        <w:contextualSpacing/>
        <w:jc w:val="left"/>
        <w:textAlignment w:val="auto"/>
        <w:outlineLvl w:val="1"/>
        <w:rPr>
          <w:rFonts w:hint="default" w:ascii="Times New Roman" w:hAnsi="Times New Roman" w:eastAsia="方正楷体_GBK" w:cs="Times New Roman"/>
          <w:color w:val="FF0000"/>
          <w:spacing w:val="0"/>
          <w:kern w:val="2"/>
          <w:sz w:val="32"/>
          <w:szCs w:val="32"/>
          <w:lang w:val="en-US" w:eastAsia="zh-CN" w:bidi="ar-SA"/>
        </w:rPr>
      </w:pPr>
      <w:r>
        <w:rPr>
          <w:rFonts w:hint="eastAsia" w:ascii="Times New Roman" w:hAnsi="Times New Roman" w:eastAsia="方正楷体_GBK" w:cs="Times New Roman"/>
          <w:color w:val="FF0000"/>
          <w:spacing w:val="0"/>
          <w:kern w:val="2"/>
          <w:sz w:val="32"/>
          <w:szCs w:val="32"/>
          <w:lang w:val="en-US" w:eastAsia="zh-CN" w:bidi="ar-SA"/>
        </w:rPr>
        <w:t>（</w:t>
      </w:r>
      <w:r>
        <w:rPr>
          <w:rFonts w:hint="default" w:ascii="Times New Roman" w:hAnsi="Times New Roman" w:eastAsia="方正楷体_GBK" w:cs="Times New Roman"/>
          <w:color w:val="FF0000"/>
          <w:spacing w:val="0"/>
          <w:kern w:val="2"/>
          <w:sz w:val="32"/>
          <w:szCs w:val="32"/>
          <w:lang w:val="en-US" w:eastAsia="zh-CN" w:bidi="ar-SA"/>
        </w:rPr>
        <w:t>国际商务服务中心</w:t>
      </w:r>
      <w:r>
        <w:rPr>
          <w:rFonts w:hint="eastAsia" w:ascii="Times New Roman" w:hAnsi="Times New Roman" w:eastAsia="方正楷体_GBK" w:cs="Times New Roman"/>
          <w:color w:val="FF0000"/>
          <w:spacing w:val="0"/>
          <w:kern w:val="2"/>
          <w:sz w:val="32"/>
          <w:szCs w:val="32"/>
          <w:lang w:val="en-US" w:eastAsia="zh-CN" w:bidi="ar-SA"/>
        </w:rPr>
        <w:t>）</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0"/>
          <w:sz w:val="52"/>
          <w:szCs w:val="52"/>
          <w:lang w:val="en-US" w:eastAsia="zh-CN"/>
        </w:rPr>
      </w:pPr>
      <w:r>
        <w:rPr>
          <w:rFonts w:hint="default" w:ascii="Times New Roman" w:hAnsi="Times New Roman" w:eastAsia="经典行楷简" w:cs="Times New Roman"/>
          <w:color w:val="2E75B6" w:themeColor="accent1" w:themeShade="BF"/>
          <w:spacing w:val="0"/>
          <w:sz w:val="52"/>
          <w:szCs w:val="52"/>
          <w:lang w:val="en-US" w:eastAsia="zh-CN"/>
        </w:rPr>
        <w:t>无锡市贸促会海外联络点工作会议</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0"/>
          <w:sz w:val="52"/>
          <w:szCs w:val="52"/>
          <w:lang w:val="en-US" w:eastAsia="zh-CN"/>
        </w:rPr>
      </w:pPr>
      <w:r>
        <w:rPr>
          <w:rFonts w:hint="default" w:ascii="Times New Roman" w:hAnsi="Times New Roman" w:eastAsia="经典行楷简" w:cs="Times New Roman"/>
          <w:color w:val="2E75B6" w:themeColor="accent1" w:themeShade="BF"/>
          <w:spacing w:val="0"/>
          <w:sz w:val="52"/>
          <w:szCs w:val="52"/>
          <w:lang w:val="en-US" w:eastAsia="zh-CN"/>
        </w:rPr>
        <w:t>在江阴召开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1月12日，无锡市贸促会（国际商会）海外联络点工作座谈会在江阴举行。无锡市贸促会（国际商会）副会长王雪松出席活动并讲话。</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王雪松在讲话中对各海外联络点一年来取得的成绩表示肯定，对大家的辛勤付出和对全市贸促工作的支持表示感谢。他表示，海外联络点的工作主要是公益性的，主要是为无锡企业服务的，承载着无锡企业家的责任担当和家国情怀，希望海外联络点继续发挥国际化优势，在联络宣传、交流对接、信息咨询、企业服务、会展合作等方面发挥更大的作用，努力成为涉外宣传的窗口、对外交流的使者、经贸合作的纽带、国际维权的桥梁，为无锡开放型经济高质量发展提供强大动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会议通报了</w:t>
      </w:r>
      <w:r>
        <w:rPr>
          <w:rFonts w:hint="eastAsia" w:ascii="Times New Roman" w:hAnsi="Times New Roman" w:cs="Times New Roman"/>
          <w:sz w:val="32"/>
          <w:szCs w:val="32"/>
          <w:lang w:val="en-US" w:eastAsia="zh-CN"/>
        </w:rPr>
        <w:t>市</w:t>
      </w:r>
      <w:r>
        <w:rPr>
          <w:rFonts w:hint="default" w:ascii="Times New Roman" w:hAnsi="Times New Roman" w:cs="Times New Roman" w:eastAsiaTheme="minorEastAsia"/>
          <w:sz w:val="32"/>
          <w:szCs w:val="32"/>
          <w:lang w:val="en-US" w:eastAsia="zh-CN"/>
        </w:rPr>
        <w:t>贸促会一年来的工作，对海外联络点工作作了简要总结，谋划部署了今后工作任务，各海外联络点负责同志作了交流发言。</w:t>
      </w:r>
      <w:r>
        <w:rPr>
          <w:rFonts w:hint="default" w:ascii="Times New Roman" w:hAnsi="Times New Roman" w:cs="Times New Roman"/>
          <w:sz w:val="32"/>
          <w:szCs w:val="32"/>
          <w:lang w:val="en-US" w:eastAsia="zh-CN"/>
        </w:rPr>
        <w:t xml:space="preserve">                              </w:t>
      </w:r>
      <w:r>
        <w:rPr>
          <w:rFonts w:hint="default" w:ascii="Times New Roman" w:hAnsi="Times New Roman" w:eastAsia="方正楷体_GBK" w:cs="Times New Roman"/>
          <w:b/>
          <w:bCs/>
          <w:color w:val="FF0000"/>
          <w:sz w:val="32"/>
          <w:szCs w:val="32"/>
          <w:lang w:val="en-US" w:eastAsia="zh-CN"/>
        </w:rPr>
        <w:t>（</w:t>
      </w:r>
      <w:r>
        <w:rPr>
          <w:rFonts w:hint="eastAsia" w:ascii="Times New Roman" w:hAnsi="Times New Roman" w:eastAsia="方正楷体_GBK" w:cs="Times New Roman"/>
          <w:b/>
          <w:bCs/>
          <w:color w:val="FF0000"/>
          <w:sz w:val="32"/>
          <w:szCs w:val="32"/>
          <w:lang w:val="en-US" w:eastAsia="zh-CN"/>
        </w:rPr>
        <w:t>无锡市贸促会</w:t>
      </w:r>
      <w:r>
        <w:rPr>
          <w:rFonts w:hint="default" w:ascii="Times New Roman" w:hAnsi="Times New Roman" w:eastAsia="方正楷体_GBK" w:cs="Times New Roman"/>
          <w:b/>
          <w:bCs/>
          <w:color w:val="FF0000"/>
          <w:sz w:val="32"/>
          <w:szCs w:val="32"/>
          <w:lang w:val="en-US" w:eastAsia="zh-CN"/>
        </w:rPr>
        <w:t>）</w:t>
      </w:r>
      <w:r>
        <w:rPr>
          <w:rFonts w:hint="default" w:ascii="Times New Roman" w:hAnsi="Times New Roman" w:eastAsia="方正黑体_GBK" w:cs="Times New Roman"/>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11"/>
          <w:sz w:val="52"/>
          <w:szCs w:val="52"/>
          <w:lang w:val="en-US" w:eastAsia="zh-CN"/>
        </w:rPr>
      </w:pPr>
      <w:r>
        <w:rPr>
          <w:rFonts w:hint="default" w:ascii="Times New Roman" w:hAnsi="Times New Roman" w:eastAsia="经典行楷简" w:cs="Times New Roman"/>
          <w:color w:val="2E75B6" w:themeColor="accent1" w:themeShade="BF"/>
          <w:spacing w:val="-11"/>
          <w:sz w:val="52"/>
          <w:szCs w:val="52"/>
          <w:lang w:val="en-US" w:eastAsia="zh-CN"/>
        </w:rPr>
        <w:t>无锡市贸促会举办</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11"/>
          <w:sz w:val="52"/>
          <w:szCs w:val="52"/>
          <w:lang w:val="en-US" w:eastAsia="zh-CN"/>
        </w:rPr>
      </w:pPr>
      <w:r>
        <w:rPr>
          <w:rFonts w:hint="eastAsia" w:ascii="Times New Roman" w:hAnsi="Times New Roman" w:eastAsia="经典行楷简" w:cs="Times New Roman"/>
          <w:color w:val="2E75B6" w:themeColor="accent1" w:themeShade="BF"/>
          <w:spacing w:val="17"/>
          <w:sz w:val="52"/>
          <w:szCs w:val="52"/>
          <w:lang w:val="en-US" w:eastAsia="zh-CN"/>
        </w:rPr>
        <w:t>“</w:t>
      </w:r>
      <w:r>
        <w:rPr>
          <w:rFonts w:hint="default" w:ascii="Times New Roman" w:hAnsi="Times New Roman" w:eastAsia="经典行楷简" w:cs="Times New Roman"/>
          <w:color w:val="2E75B6" w:themeColor="accent1" w:themeShade="BF"/>
          <w:spacing w:val="17"/>
          <w:sz w:val="52"/>
          <w:szCs w:val="52"/>
          <w:lang w:val="en-US" w:eastAsia="zh-CN"/>
        </w:rPr>
        <w:t>出海马来西亚交流会</w:t>
      </w:r>
      <w:r>
        <w:rPr>
          <w:rFonts w:hint="eastAsia" w:ascii="Times New Roman" w:hAnsi="Times New Roman" w:eastAsia="经典行楷简" w:cs="Times New Roman"/>
          <w:color w:val="2E75B6" w:themeColor="accent1" w:themeShade="BF"/>
          <w:spacing w:val="17"/>
          <w:sz w:val="52"/>
          <w:szCs w:val="5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为促进无锡与马来西亚经贸合作，1月12日，由</w:t>
      </w:r>
      <w:r>
        <w:rPr>
          <w:rFonts w:hint="eastAsia" w:ascii="Times New Roman" w:hAnsi="Times New Roman" w:cs="Times New Roman"/>
          <w:sz w:val="32"/>
          <w:szCs w:val="32"/>
          <w:lang w:val="en-US" w:eastAsia="zh-CN"/>
        </w:rPr>
        <w:t>无锡市</w:t>
      </w:r>
      <w:r>
        <w:rPr>
          <w:rFonts w:hint="default" w:ascii="Times New Roman" w:hAnsi="Times New Roman" w:cs="Times New Roman" w:eastAsiaTheme="minorEastAsia"/>
          <w:sz w:val="32"/>
          <w:szCs w:val="32"/>
          <w:lang w:val="en-US" w:eastAsia="zh-CN"/>
        </w:rPr>
        <w:t>贸促会主办</w:t>
      </w:r>
      <w:r>
        <w:rPr>
          <w:rFonts w:hint="eastAsia" w:ascii="Times New Roman" w:hAnsi="Times New Roman" w:cs="Times New Roman"/>
          <w:sz w:val="32"/>
          <w:szCs w:val="32"/>
          <w:lang w:val="en-US" w:eastAsia="zh-CN"/>
        </w:rPr>
        <w:t>的“</w:t>
      </w:r>
      <w:r>
        <w:rPr>
          <w:rFonts w:hint="default" w:ascii="Times New Roman" w:hAnsi="Times New Roman" w:cs="Times New Roman" w:eastAsiaTheme="minorEastAsia"/>
          <w:sz w:val="32"/>
          <w:szCs w:val="32"/>
          <w:lang w:val="en-US" w:eastAsia="zh-CN"/>
        </w:rPr>
        <w:t>出海马来西亚交流会</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在江阴海澜之家集团举行。马来西亚驻沪总领馆商务官员粟娜昀、无锡市贸促会副会长王雪松出席活动并致辞。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海澜之家集团是无锡市贸促会驻马来西亚联络点，本次活动作为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走进海外联络点</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系列活动之一，</w:t>
      </w:r>
      <w:r>
        <w:rPr>
          <w:rFonts w:hint="eastAsia" w:ascii="Times New Roman" w:hAnsi="Times New Roman" w:cs="Times New Roman"/>
          <w:sz w:val="32"/>
          <w:szCs w:val="32"/>
          <w:lang w:val="en-US" w:eastAsia="zh-CN"/>
        </w:rPr>
        <w:t>以“</w:t>
      </w:r>
      <w:r>
        <w:rPr>
          <w:rFonts w:hint="default" w:ascii="Times New Roman" w:hAnsi="Times New Roman" w:cs="Times New Roman" w:eastAsiaTheme="minorEastAsia"/>
          <w:sz w:val="32"/>
          <w:szCs w:val="32"/>
          <w:lang w:val="en-US" w:eastAsia="zh-CN"/>
        </w:rPr>
        <w:t>锡品出海，贸促全球</w:t>
      </w:r>
      <w:r>
        <w:rPr>
          <w:rFonts w:hint="eastAsia" w:ascii="Times New Roman" w:hAnsi="Times New Roman" w:cs="Times New Roman"/>
          <w:sz w:val="32"/>
          <w:szCs w:val="32"/>
          <w:lang w:val="en-US" w:eastAsia="zh-CN"/>
        </w:rPr>
        <w:t>”为</w:t>
      </w:r>
      <w:r>
        <w:rPr>
          <w:rFonts w:hint="default" w:ascii="Times New Roman" w:hAnsi="Times New Roman" w:cs="Times New Roman" w:eastAsiaTheme="minorEastAsia"/>
          <w:sz w:val="32"/>
          <w:szCs w:val="32"/>
          <w:lang w:val="en-US" w:eastAsia="zh-CN"/>
        </w:rPr>
        <w:t>主题，旨在以海外联络点为纽带，帮助无锡企业开拓国际市场。王雪松</w:t>
      </w:r>
      <w:r>
        <w:rPr>
          <w:rFonts w:hint="eastAsia" w:ascii="Times New Roman" w:hAnsi="Times New Roman" w:cs="Times New Roman"/>
          <w:sz w:val="32"/>
          <w:szCs w:val="32"/>
          <w:lang w:val="en-US" w:eastAsia="zh-CN"/>
        </w:rPr>
        <w:t>在致辞中</w:t>
      </w:r>
      <w:r>
        <w:rPr>
          <w:rFonts w:hint="default" w:ascii="Times New Roman" w:hAnsi="Times New Roman" w:cs="Times New Roman" w:eastAsiaTheme="minorEastAsia"/>
          <w:sz w:val="32"/>
          <w:szCs w:val="32"/>
          <w:lang w:val="en-US" w:eastAsia="zh-CN"/>
        </w:rPr>
        <w:t>表示，</w:t>
      </w:r>
      <w:r>
        <w:rPr>
          <w:rFonts w:hint="eastAsia" w:ascii="Times New Roman" w:hAnsi="Times New Roman" w:cs="Times New Roman"/>
          <w:sz w:val="32"/>
          <w:szCs w:val="32"/>
          <w:lang w:val="en-US" w:eastAsia="zh-CN"/>
        </w:rPr>
        <w:t>市贸促会“</w:t>
      </w:r>
      <w:r>
        <w:rPr>
          <w:rFonts w:hint="default" w:ascii="Times New Roman" w:hAnsi="Times New Roman" w:cs="Times New Roman" w:eastAsiaTheme="minorEastAsia"/>
          <w:sz w:val="32"/>
          <w:szCs w:val="32"/>
          <w:lang w:val="en-US" w:eastAsia="zh-CN"/>
        </w:rPr>
        <w:t>走进海外联络点</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系列活动，既是新的一年里贯彻落实市委市政府关于建设具有世界聚合力的双向开放枢纽决策部署，促进无锡企业国际合作的一个务实举措，也是进一步加强海外联络点建设的一个有益创新。中马两国地理临近、人文相通、政治互信、产业互补，无锡与马来西亚经贸合作空间广阔、前景可期。市贸促会将认真履行贸易投资促进职能，充分依托海外联络点，通过各种途径和形式，积极</w:t>
      </w:r>
      <w:r>
        <w:rPr>
          <w:rFonts w:hint="eastAsia" w:ascii="Times New Roman" w:hAnsi="Times New Roman" w:cs="Times New Roman"/>
          <w:sz w:val="32"/>
          <w:szCs w:val="32"/>
          <w:lang w:val="en-US" w:eastAsia="zh-CN"/>
        </w:rPr>
        <w:t>拓展国际</w:t>
      </w:r>
      <w:r>
        <w:rPr>
          <w:rFonts w:hint="default" w:ascii="Times New Roman" w:hAnsi="Times New Roman" w:cs="Times New Roman" w:eastAsiaTheme="minorEastAsia"/>
          <w:sz w:val="32"/>
          <w:szCs w:val="32"/>
          <w:lang w:val="en-US" w:eastAsia="zh-CN"/>
        </w:rPr>
        <w:t>合作，大力推动双边和多边经贸交流，不断助力无锡开放型经济高质量发展。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粟娜昀作了《最新中马贸易政策分享》的主题演讲。她表示，今年是中马两国建交50周年，中国和马来西亚是共建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一带一路</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的好朋友，中国连续14年成为马来西亚最大的贸易合作伙伴。今天的会议恰逢其时，为更多出海马来西亚的企业搭建了交流平台，无锡乃至中国与马来西亚的经贸合作必将会以更多样化、更深入化的趋势蓬勃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江阴海澜之家国际商业有限公司总经理包晓作了题为《海澜之家出海经验分享》的主题演讲。他以海澜之家出海实践为案例，分享了在马来西亚以及东南亚开拓市场的经验和体会。他表示，海澜之家品牌将努力抓住机遇，实现品牌自身的转型升级，为更多</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一带一路</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沿线国家的消费者带来更加优质的中国产品和服务理念</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同时，作为海外联络点，海澜之家也愿意为无锡企业提供出海服务，与广大企业携手开拓国际市场。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在互动交流环节，江苏省半导体行业协会秘书长秦舒、致公党无锡市委侨海工作专委会副主任张慧、无锡隆玛科技股份有限公司董事长杨朝辉、恩纳基智能科技无锡有限公司董事长兼总经理吴超等做了交流发言。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eastAsia="方正黑体_GBK" w:cs="Times New Roman"/>
          <w:sz w:val="30"/>
          <w:szCs w:val="30"/>
          <w:lang w:val="en-US" w:eastAsia="zh-CN"/>
        </w:rPr>
      </w:pPr>
      <w:r>
        <w:rPr>
          <w:rFonts w:hint="default" w:ascii="Times New Roman" w:hAnsi="Times New Roman" w:cs="Times New Roman" w:eastAsiaTheme="minorEastAsia"/>
          <w:sz w:val="32"/>
          <w:szCs w:val="32"/>
          <w:lang w:val="en-US" w:eastAsia="zh-CN"/>
        </w:rPr>
        <w:t>本次活动</w:t>
      </w:r>
      <w:r>
        <w:rPr>
          <w:rFonts w:hint="eastAsia" w:ascii="Times New Roman" w:hAnsi="Times New Roman" w:cs="Times New Roman"/>
          <w:sz w:val="32"/>
          <w:szCs w:val="32"/>
          <w:lang w:val="en-US" w:eastAsia="zh-CN"/>
        </w:rPr>
        <w:t>由</w:t>
      </w:r>
      <w:r>
        <w:rPr>
          <w:rFonts w:hint="default" w:ascii="Times New Roman" w:hAnsi="Times New Roman" w:cs="Times New Roman" w:eastAsiaTheme="minorEastAsia"/>
          <w:sz w:val="32"/>
          <w:szCs w:val="32"/>
          <w:lang w:val="en-US" w:eastAsia="zh-CN"/>
        </w:rPr>
        <w:t>江阴市商务局、江阴市贸促会协办，海澜之家集团承办</w:t>
      </w:r>
      <w:r>
        <w:rPr>
          <w:rFonts w:hint="eastAsia" w:ascii="Times New Roman" w:hAnsi="Times New Roman" w:cs="Times New Roman"/>
          <w:sz w:val="32"/>
          <w:szCs w:val="32"/>
          <w:lang w:val="en-US" w:eastAsia="zh-CN"/>
        </w:rPr>
        <w:t>。活动同时</w:t>
      </w:r>
      <w:r>
        <w:rPr>
          <w:rFonts w:hint="default" w:ascii="Times New Roman" w:hAnsi="Times New Roman" w:cs="Times New Roman" w:eastAsiaTheme="minorEastAsia"/>
          <w:sz w:val="32"/>
          <w:szCs w:val="32"/>
          <w:lang w:val="en-US" w:eastAsia="zh-CN"/>
        </w:rPr>
        <w:t>得到了</w:t>
      </w:r>
      <w:r>
        <w:rPr>
          <w:rFonts w:hint="eastAsia" w:ascii="Times New Roman" w:hAnsi="Times New Roman" w:cs="Times New Roman"/>
          <w:sz w:val="32"/>
          <w:szCs w:val="32"/>
          <w:lang w:val="en-US" w:eastAsia="zh-CN"/>
        </w:rPr>
        <w:t>江苏省</w:t>
      </w:r>
      <w:r>
        <w:rPr>
          <w:rFonts w:hint="default" w:ascii="Times New Roman" w:hAnsi="Times New Roman" w:cs="Times New Roman" w:eastAsiaTheme="minorEastAsia"/>
          <w:sz w:val="32"/>
          <w:szCs w:val="32"/>
          <w:lang w:val="en-US" w:eastAsia="zh-CN"/>
        </w:rPr>
        <w:t>半导体</w:t>
      </w:r>
      <w:r>
        <w:rPr>
          <w:rFonts w:hint="eastAsia" w:ascii="Times New Roman" w:hAnsi="Times New Roman" w:cs="Times New Roman"/>
          <w:sz w:val="32"/>
          <w:szCs w:val="32"/>
          <w:lang w:val="en-US" w:eastAsia="zh-CN"/>
        </w:rPr>
        <w:t>行业协会和无锡市投资促进中心、无锡市上市公司协会等</w:t>
      </w:r>
      <w:r>
        <w:rPr>
          <w:rFonts w:hint="default" w:ascii="Times New Roman" w:hAnsi="Times New Roman" w:cs="Times New Roman" w:eastAsiaTheme="minorEastAsia"/>
          <w:sz w:val="32"/>
          <w:szCs w:val="32"/>
          <w:lang w:val="en-US" w:eastAsia="zh-CN"/>
        </w:rPr>
        <w:t>单位的大力支持。</w:t>
      </w:r>
      <w:r>
        <w:rPr>
          <w:rFonts w:hint="eastAsia" w:ascii="Times New Roman" w:hAnsi="Times New Roman" w:cs="Times New Roman"/>
          <w:sz w:val="32"/>
          <w:szCs w:val="32"/>
          <w:lang w:val="en-US" w:eastAsia="zh-CN"/>
        </w:rPr>
        <w:t>无锡</w:t>
      </w:r>
      <w:r>
        <w:rPr>
          <w:rFonts w:hint="default" w:ascii="Times New Roman" w:hAnsi="Times New Roman" w:cs="Times New Roman" w:eastAsiaTheme="minorEastAsia"/>
          <w:sz w:val="32"/>
          <w:szCs w:val="32"/>
          <w:lang w:val="en-US" w:eastAsia="zh-CN"/>
        </w:rPr>
        <w:t>市贸促会贸易投资促进部、江阴市贸促会、海外联络点负责同志、相关外经贸企业代表参加活动。</w:t>
      </w:r>
      <w:r>
        <w:rPr>
          <w:rFonts w:hint="default" w:ascii="Times New Roman" w:hAnsi="Times New Roman" w:cs="Times New Roman"/>
          <w:sz w:val="32"/>
          <w:szCs w:val="32"/>
          <w:lang w:val="en-US" w:eastAsia="zh-CN"/>
        </w:rPr>
        <w:t xml:space="preserve">                    </w:t>
      </w:r>
      <w:r>
        <w:rPr>
          <w:rFonts w:hint="default" w:ascii="Times New Roman" w:hAnsi="Times New Roman" w:eastAsia="方正楷体_GBK" w:cs="Times New Roman"/>
          <w:b/>
          <w:bCs/>
          <w:color w:val="FF0000"/>
          <w:sz w:val="32"/>
          <w:szCs w:val="32"/>
          <w:lang w:val="en-US" w:eastAsia="zh-CN"/>
        </w:rPr>
        <w:t>（</w:t>
      </w:r>
      <w:r>
        <w:rPr>
          <w:rFonts w:hint="eastAsia" w:ascii="Times New Roman" w:hAnsi="Times New Roman" w:eastAsia="方正楷体_GBK" w:cs="Times New Roman"/>
          <w:b/>
          <w:bCs/>
          <w:color w:val="FF0000"/>
          <w:sz w:val="32"/>
          <w:szCs w:val="32"/>
          <w:lang w:val="en-US" w:eastAsia="zh-CN"/>
        </w:rPr>
        <w:t>无锡市贸促会</w:t>
      </w:r>
      <w:r>
        <w:rPr>
          <w:rFonts w:hint="default" w:ascii="Times New Roman" w:hAnsi="Times New Roman" w:eastAsia="方正楷体_GBK" w:cs="Times New Roman"/>
          <w:b/>
          <w:bCs/>
          <w:color w:val="FF0000"/>
          <w:sz w:val="32"/>
          <w:szCs w:val="32"/>
          <w:lang w:val="en-US" w:eastAsia="zh-CN"/>
        </w:rPr>
        <w:t>）</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方正黑体_GBK" w:cs="Times New Roman"/>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470" w:lineRule="exact"/>
        <w:contextualSpacing/>
        <w:jc w:val="center"/>
        <w:textAlignment w:val="auto"/>
        <w:outlineLvl w:val="1"/>
        <w:rPr>
          <w:rFonts w:hint="default" w:ascii="Times New Roman" w:hAnsi="Times New Roman" w:eastAsia="经典行楷简" w:cs="Times New Roman"/>
          <w:color w:val="2E75B6" w:themeColor="accent1" w:themeShade="BF"/>
          <w:spacing w:val="0"/>
          <w:sz w:val="52"/>
          <w:szCs w:val="5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0"/>
          <w:sz w:val="52"/>
          <w:szCs w:val="52"/>
          <w:lang w:val="en-US" w:eastAsia="zh-CN"/>
        </w:rPr>
      </w:pPr>
      <w:r>
        <w:rPr>
          <w:rFonts w:hint="default" w:ascii="Times New Roman" w:hAnsi="Times New Roman" w:eastAsia="经典行楷简" w:cs="Times New Roman"/>
          <w:color w:val="2E75B6" w:themeColor="accent1" w:themeShade="BF"/>
          <w:spacing w:val="0"/>
          <w:sz w:val="52"/>
          <w:szCs w:val="52"/>
          <w:lang w:val="en-US" w:eastAsia="zh-CN"/>
        </w:rPr>
        <w:t>常州市贸促会举办新年首期</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经典行楷简" w:cs="Times New Roman"/>
          <w:color w:val="2E75B6" w:themeColor="accent1" w:themeShade="BF"/>
          <w:spacing w:val="0"/>
          <w:sz w:val="52"/>
          <w:szCs w:val="52"/>
          <w:lang w:val="en-US" w:eastAsia="zh-CN"/>
        </w:rPr>
      </w:pPr>
      <w:r>
        <w:rPr>
          <w:rFonts w:hint="default" w:ascii="Times New Roman" w:hAnsi="Times New Roman" w:eastAsia="经典行楷简" w:cs="Times New Roman"/>
          <w:color w:val="2E75B6" w:themeColor="accent1" w:themeShade="BF"/>
          <w:spacing w:val="0"/>
          <w:sz w:val="52"/>
          <w:szCs w:val="52"/>
          <w:lang w:val="en-US" w:eastAsia="zh-CN"/>
        </w:rPr>
        <w:t>合规主题沙龙</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为助力企业持续健康高质量发展，1月11日下午，常州市贸促会举办新年首期</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合规赋能企业发展</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主题沙龙。</w:t>
      </w:r>
      <w:r>
        <w:rPr>
          <w:rFonts w:hint="eastAsia" w:ascii="Times New Roman" w:hAnsi="Times New Roman" w:cs="Times New Roman"/>
          <w:sz w:val="32"/>
          <w:szCs w:val="32"/>
          <w:lang w:val="en-US" w:eastAsia="zh-CN"/>
        </w:rPr>
        <w:t>常州市</w:t>
      </w:r>
      <w:r>
        <w:rPr>
          <w:rFonts w:hint="default" w:ascii="Times New Roman" w:hAnsi="Times New Roman" w:cs="Times New Roman" w:eastAsiaTheme="minorEastAsia"/>
          <w:sz w:val="32"/>
          <w:szCs w:val="32"/>
          <w:lang w:val="en-US" w:eastAsia="zh-CN"/>
        </w:rPr>
        <w:t>涉案企业合规第三方监督评估机制管委会部分成员单位分管领导及业务处室负责人、律师和企业代表近20人参加本次沙龙。市检察院副检察长王强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市工商联党组成员、副主席眭荣</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市司法局党组成员、市委依法治市办副主任张正朝出席会议并讲话</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市贸促会副会长张进主持会议。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会上，张进介绍了常州企业合规师培训示范基地建设等合规工作开展情况。随后，与会代表围绕企业合规人才培养、涉案企业合规、涉企行政合规全过程指导和知识产权合规等进行了广泛而深入地探讨，提出了一系列有针对性的建议和意见，气氛热烈。</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与会代表认为，合规管理已成为</w:t>
      </w:r>
      <w:r>
        <w:rPr>
          <w:rFonts w:hint="eastAsia" w:ascii="Times New Roman" w:hAnsi="Times New Roman" w:cs="Times New Roman"/>
          <w:sz w:val="32"/>
          <w:szCs w:val="32"/>
          <w:lang w:val="en-US" w:eastAsia="zh-CN"/>
        </w:rPr>
        <w:t>我</w:t>
      </w:r>
      <w:r>
        <w:rPr>
          <w:rFonts w:hint="default" w:ascii="Times New Roman" w:hAnsi="Times New Roman" w:cs="Times New Roman" w:eastAsiaTheme="minorEastAsia"/>
          <w:sz w:val="32"/>
          <w:szCs w:val="32"/>
          <w:lang w:val="en-US" w:eastAsia="zh-CN"/>
        </w:rPr>
        <w:t>国企业立足本土、走向世界的</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通行证</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，做好合规管理可以帮助企业防控好关键风险、有效促进业务成长，通过法律沙龙这样开放式的讨论和交流，能碰撞出更多思维的火花，为成员单位、专家和企业创造出更多合规工作交流与合作空间。</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default" w:ascii="Times New Roman" w:hAnsi="Times New Roman" w:cs="Times New Roman"/>
          <w:sz w:val="30"/>
          <w:szCs w:val="30"/>
          <w:lang w:val="en-US" w:eastAsia="zh-CN"/>
        </w:rPr>
      </w:pPr>
      <w:r>
        <w:rPr>
          <w:rFonts w:hint="default" w:ascii="Times New Roman" w:hAnsi="Times New Roman" w:cs="Times New Roman" w:eastAsiaTheme="minorEastAsia"/>
          <w:sz w:val="32"/>
          <w:szCs w:val="32"/>
          <w:lang w:val="en-US" w:eastAsia="zh-CN"/>
        </w:rPr>
        <w:t>下一步，常州市贸促会将以企业合规师培训示范基地共建为纽带，进一步加强与</w:t>
      </w:r>
      <w:r>
        <w:rPr>
          <w:rFonts w:hint="eastAsia" w:ascii="Times New Roman" w:hAnsi="Times New Roman" w:cs="Times New Roman"/>
          <w:sz w:val="32"/>
          <w:szCs w:val="32"/>
          <w:lang w:val="en-US" w:eastAsia="zh-CN"/>
        </w:rPr>
        <w:t>该</w:t>
      </w:r>
      <w:r>
        <w:rPr>
          <w:rFonts w:hint="default" w:ascii="Times New Roman" w:hAnsi="Times New Roman" w:cs="Times New Roman" w:eastAsiaTheme="minorEastAsia"/>
          <w:sz w:val="32"/>
          <w:szCs w:val="32"/>
          <w:lang w:val="en-US" w:eastAsia="zh-CN"/>
        </w:rPr>
        <w:t>市涉案企业合规第三方监督评估机制管委会成员单位的交流合作，汇聚各方专业资源，开展内容丰富、形式多样的合规活动，积极护航常州企业</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走出去</w:t>
      </w:r>
      <w:r>
        <w:rPr>
          <w:rFonts w:hint="eastAsia" w:ascii="Times New Roman" w:hAnsi="Times New Roman" w:cs="Times New Roman"/>
          <w:sz w:val="32"/>
          <w:szCs w:val="32"/>
          <w:lang w:val="en-US" w:eastAsia="zh-CN"/>
        </w:rPr>
        <w:t>”。</w:t>
      </w:r>
      <w:r>
        <w:rPr>
          <w:rFonts w:hint="default" w:ascii="Times New Roman" w:hAnsi="Times New Roman" w:cs="Times New Roman"/>
          <w:sz w:val="30"/>
          <w:szCs w:val="30"/>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530" w:lineRule="exact"/>
        <w:ind w:left="0" w:leftChars="0" w:firstLine="5472" w:firstLineChars="1800"/>
        <w:contextualSpacing/>
        <w:jc w:val="left"/>
        <w:textAlignment w:val="auto"/>
        <w:outlineLvl w:val="1"/>
        <w:rPr>
          <w:rFonts w:hint="default" w:ascii="Times New Roman" w:hAnsi="Times New Roman" w:cs="Times New Roman" w:eastAsiaTheme="minorEastAsia"/>
          <w:sz w:val="30"/>
          <w:szCs w:val="30"/>
          <w:lang w:val="en-US" w:eastAsia="zh-CN"/>
        </w:rPr>
      </w:pPr>
      <w:r>
        <w:rPr>
          <w:rFonts w:hint="default" w:ascii="Times New Roman" w:hAnsi="Times New Roman" w:eastAsia="方正楷体_GBK" w:cs="Times New Roman"/>
          <w:b/>
          <w:bCs/>
          <w:color w:val="FF0000"/>
          <w:sz w:val="32"/>
          <w:szCs w:val="32"/>
          <w:lang w:val="en-US" w:eastAsia="zh-CN"/>
        </w:rPr>
        <w:t>（</w:t>
      </w:r>
      <w:r>
        <w:rPr>
          <w:rFonts w:hint="eastAsia" w:ascii="Times New Roman" w:hAnsi="Times New Roman" w:eastAsia="方正楷体_GBK" w:cs="Times New Roman"/>
          <w:b/>
          <w:bCs/>
          <w:color w:val="FF0000"/>
          <w:sz w:val="32"/>
          <w:szCs w:val="32"/>
          <w:lang w:val="en-US" w:eastAsia="zh-CN"/>
        </w:rPr>
        <w:t>常州市贸促会</w:t>
      </w:r>
      <w:r>
        <w:rPr>
          <w:rFonts w:hint="default" w:ascii="Times New Roman" w:hAnsi="Times New Roman" w:eastAsia="方正楷体_GBK" w:cs="Times New Roman"/>
          <w:b/>
          <w:bCs/>
          <w:color w:val="FF0000"/>
          <w:sz w:val="32"/>
          <w:szCs w:val="32"/>
          <w:lang w:val="en-US" w:eastAsia="zh-CN"/>
        </w:rPr>
        <w:t>）</w:t>
      </w:r>
      <w:r>
        <w:rPr>
          <w:rFonts w:hint="default" w:ascii="Times New Roman" w:hAnsi="Times New Roman" w:eastAsia="方正黑体_GBK" w:cs="Times New Roman"/>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sz w:val="52"/>
          <w:szCs w:val="5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sz w:val="52"/>
          <w:szCs w:val="52"/>
          <w:lang w:val="en-US" w:eastAsia="zh-CN"/>
        </w:rPr>
      </w:pPr>
      <w:r>
        <w:rPr>
          <w:rFonts w:hint="eastAsia" w:ascii="Times New Roman" w:hAnsi="Times New Roman" w:eastAsia="经典行楷简" w:cs="Times New Roman"/>
          <w:color w:val="2E75B6" w:themeColor="accent1" w:themeShade="BF"/>
          <w:spacing w:val="0"/>
          <w:sz w:val="52"/>
          <w:szCs w:val="52"/>
          <w:lang w:val="en-US" w:eastAsia="zh-CN"/>
        </w:rPr>
        <w:t>RCEP生效实施两周年</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cs="Times New Roman"/>
          <w:sz w:val="32"/>
          <w:szCs w:val="32"/>
          <w:lang w:val="en-US" w:eastAsia="zh-CN"/>
        </w:rPr>
      </w:pPr>
      <w:r>
        <w:rPr>
          <w:rFonts w:hint="eastAsia" w:ascii="Times New Roman" w:hAnsi="Times New Roman" w:eastAsia="经典行楷简" w:cs="Times New Roman"/>
          <w:color w:val="2E75B6" w:themeColor="accent1" w:themeShade="BF"/>
          <w:spacing w:val="0"/>
          <w:sz w:val="52"/>
          <w:szCs w:val="52"/>
          <w:lang w:val="en-US" w:eastAsia="zh-CN"/>
        </w:rPr>
        <w:t>泰州近千万美元货物享惠超20万美元</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近日，《区域全面经济伙伴关系协定》（RCEP）迎来生效实施两周年。两年来，泰州市贸促会共为外贸企业出具RCEP项下优惠原产地证书343份，惠及31家企业，以金属化工、纺织服装、医疗器材等产品为主，货值为953万美元，可为企业减免关税约21万美元，产品主要出口到日本、越南、韩国、印尼和新加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市贸促会高度重视RCEP的宣传推广，主动作为，尽心服务，持续通过业务窗口、官方网站、企业群和媒体等多渠道发布RCEP相关知识，指导企业精准适用RCEP原产地规则，抢抓政策红利，交出了一份亮眼成绩单。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下一步，市贸促会将加大政策宣传力度，不断优化服务措施，持续推进高质量实施RCEP，为泰州开放型经济发展贡献力量。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5472" w:firstLineChars="1800"/>
        <w:contextualSpacing/>
        <w:jc w:val="left"/>
        <w:textAlignment w:val="auto"/>
        <w:outlineLvl w:val="1"/>
        <w:rPr>
          <w:rFonts w:hint="eastAsia" w:ascii="方正楷体_GBK" w:hAnsi="方正楷体_GBK" w:eastAsia="方正楷体_GBK" w:cs="方正楷体_GBK"/>
          <w:b/>
          <w:bCs/>
          <w:color w:val="FF0000"/>
          <w:sz w:val="32"/>
          <w:szCs w:val="32"/>
          <w:lang w:val="en-US" w:eastAsia="zh-CN"/>
        </w:rPr>
      </w:pPr>
      <w:r>
        <w:rPr>
          <w:rFonts w:hint="eastAsia" w:ascii="方正楷体_GBK" w:hAnsi="方正楷体_GBK" w:eastAsia="方正楷体_GBK" w:cs="方正楷体_GBK"/>
          <w:b/>
          <w:bCs/>
          <w:color w:val="FF0000"/>
          <w:sz w:val="32"/>
          <w:szCs w:val="32"/>
          <w:lang w:val="en-US" w:eastAsia="zh-CN"/>
        </w:rPr>
        <w:t>（泰州市贸促会）</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eastAsia" w:ascii="Times New Roman" w:hAnsi="Times New Roman" w:eastAsia="经典行楷简" w:cs="Times New Roman"/>
          <w:color w:val="2E75B6" w:themeColor="accent1" w:themeShade="BF"/>
          <w:spacing w:val="0"/>
          <w:sz w:val="52"/>
          <w:szCs w:val="5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eastAsia" w:ascii="Times New Roman" w:hAnsi="Times New Roman" w:eastAsia="经典行楷简" w:cs="Times New Roman"/>
          <w:color w:val="2E75B6" w:themeColor="accent1" w:themeShade="BF"/>
          <w:spacing w:val="0"/>
          <w:sz w:val="52"/>
          <w:szCs w:val="52"/>
          <w:lang w:val="en-US" w:eastAsia="zh-CN"/>
        </w:rPr>
      </w:pPr>
      <w:r>
        <w:rPr>
          <w:rFonts w:hint="eastAsia" w:ascii="Times New Roman" w:hAnsi="Times New Roman" w:eastAsia="经典行楷简" w:cs="Times New Roman"/>
          <w:color w:val="2E75B6" w:themeColor="accent1" w:themeShade="BF"/>
          <w:spacing w:val="0"/>
          <w:sz w:val="52"/>
          <w:szCs w:val="52"/>
          <w:lang w:val="en-US" w:eastAsia="zh-CN"/>
        </w:rPr>
        <w:t>2023年泰州市贸促会原产地签证量</w:t>
      </w:r>
    </w:p>
    <w:p>
      <w:pPr>
        <w:keepNext w:val="0"/>
        <w:keepLines w:val="0"/>
        <w:pageBreakBefore w:val="0"/>
        <w:widowControl/>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eastAsia" w:ascii="Times New Roman" w:hAnsi="Times New Roman" w:eastAsia="经典行楷简" w:cs="Times New Roman"/>
          <w:color w:val="2E75B6" w:themeColor="accent1" w:themeShade="BF"/>
          <w:spacing w:val="0"/>
          <w:sz w:val="52"/>
          <w:szCs w:val="52"/>
          <w:lang w:val="en-US" w:eastAsia="zh-CN"/>
        </w:rPr>
      </w:pPr>
      <w:r>
        <w:rPr>
          <w:rFonts w:hint="eastAsia" w:ascii="Times New Roman" w:hAnsi="Times New Roman" w:eastAsia="经典行楷简" w:cs="Times New Roman"/>
          <w:color w:val="2E75B6" w:themeColor="accent1" w:themeShade="BF"/>
          <w:spacing w:val="0"/>
          <w:sz w:val="52"/>
          <w:szCs w:val="52"/>
          <w:lang w:val="en-US" w:eastAsia="zh-CN"/>
        </w:rPr>
        <w:t>突破两万份</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eastAsiaTheme="minorEastAsia"/>
          <w:sz w:val="32"/>
          <w:szCs w:val="32"/>
          <w:lang w:val="en-US" w:eastAsia="zh-CN"/>
        </w:rPr>
      </w:pPr>
      <w:r>
        <w:rPr>
          <w:rFonts w:hint="eastAsia" w:ascii="Times New Roman" w:hAnsi="Times New Roman" w:cs="Times New Roman" w:eastAsiaTheme="minorEastAsia"/>
          <w:sz w:val="32"/>
          <w:szCs w:val="32"/>
          <w:lang w:val="en-US" w:eastAsia="zh-CN"/>
        </w:rPr>
        <w:t>2023年，泰州市贸促会多措并举，推动签证量再创新高</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共为外贸企业签发原产地证20296份，金额累计达18.7亿美元。其中一般原产地证14960份，同比增长12.32%；优惠原产地证5336份，同比增长19.72%，签证金额3.05亿美元，可为企业减免关税近1500万美元。出具各类商事证明共1272份，为推动外贸高质量发展作出了积极贡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eastAsiaTheme="minorEastAsia"/>
          <w:sz w:val="32"/>
          <w:szCs w:val="32"/>
          <w:lang w:val="en-US" w:eastAsia="zh-CN"/>
        </w:rPr>
      </w:pPr>
      <w:r>
        <w:rPr>
          <w:rFonts w:hint="eastAsia" w:ascii="Times New Roman" w:hAnsi="Times New Roman" w:cs="Times New Roman" w:eastAsiaTheme="minorEastAsia"/>
          <w:sz w:val="32"/>
          <w:szCs w:val="32"/>
          <w:lang w:val="en-US" w:eastAsia="zh-CN"/>
        </w:rPr>
        <w:t>一是加强FTA宣传。积极宣传FTA自贸协定相关政策，向企业发放RCEP等自贸协定相关手册，宣传并推广使用FTA智慧应用公共服务平台，帮助</w:t>
      </w:r>
      <w:r>
        <w:rPr>
          <w:rFonts w:hint="eastAsia" w:ascii="Times New Roman" w:hAnsi="Times New Roman" w:cs="Times New Roman"/>
          <w:sz w:val="32"/>
          <w:szCs w:val="32"/>
          <w:lang w:val="en-US" w:eastAsia="zh-CN"/>
        </w:rPr>
        <w:t>全</w:t>
      </w:r>
      <w:r>
        <w:rPr>
          <w:rFonts w:hint="eastAsia" w:ascii="Times New Roman" w:hAnsi="Times New Roman" w:cs="Times New Roman" w:eastAsiaTheme="minorEastAsia"/>
          <w:sz w:val="32"/>
          <w:szCs w:val="32"/>
          <w:lang w:val="en-US" w:eastAsia="zh-CN"/>
        </w:rPr>
        <w:t>市外贸企业精准适用FTA规则，降低产品进出口成本。RCEP自贸协定正式生效实施以来，一直将RCEP的宣传推广列为重点工作，主动作为，尽心服务。通过业务窗口、官方网站、企业群和媒体等多渠道发布RCEP相关知识，指导企业系统了解自贸协定基本内容、关税和原产地规则等，解决企业在办证时的难点痛点问题，满足企业的迫切需求。</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eastAsiaTheme="minorEastAsia"/>
          <w:sz w:val="32"/>
          <w:szCs w:val="32"/>
          <w:lang w:val="en-US" w:eastAsia="zh-CN"/>
        </w:rPr>
      </w:pPr>
      <w:r>
        <w:rPr>
          <w:rFonts w:hint="eastAsia" w:ascii="Times New Roman" w:hAnsi="Times New Roman" w:cs="Times New Roman" w:eastAsiaTheme="minorEastAsia"/>
          <w:sz w:val="32"/>
          <w:szCs w:val="32"/>
          <w:lang w:val="en-US" w:eastAsia="zh-CN"/>
        </w:rPr>
        <w:t>二是增强服务意识。不断完善商事认证服务机制，深入发展商事认证</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互联网+</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服务模式。积极推广原产地证书自主打印，推进</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零跑动</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办理证书服务，企业自主打印证书占比达85%；开通原产地证智慧审证功能，通过智能审核，提高业务办理速度，降低签证风险；推出周末不打烊服务，企业只需提前预约，便可周末办理业务，确保给企业提供高效优质的服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cs="Times New Roman" w:eastAsiaTheme="minorEastAsia"/>
          <w:sz w:val="32"/>
          <w:szCs w:val="32"/>
          <w:lang w:val="en-US" w:eastAsia="zh-CN"/>
        </w:rPr>
      </w:pPr>
      <w:r>
        <w:rPr>
          <w:rFonts w:hint="eastAsia" w:ascii="Times New Roman" w:hAnsi="Times New Roman" w:cs="Times New Roman" w:eastAsiaTheme="minorEastAsia"/>
          <w:sz w:val="32"/>
          <w:szCs w:val="32"/>
          <w:lang w:val="en-US" w:eastAsia="zh-CN"/>
        </w:rPr>
        <w:t>三是提高业务水平。积极参加总会、省会组织的原产地证、商事证明、ATA、海牙认证、地标产品品牌认证和绿色低碳业务培训，认真学习原产地证和商事证明相关业务知识，不断完善知识要点，了解新业务领域的理论体系和网上操作流程，进一步提升</w:t>
      </w:r>
      <w:r>
        <w:rPr>
          <w:rFonts w:hint="eastAsia" w:ascii="Times New Roman" w:hAnsi="Times New Roman" w:cs="Times New Roman"/>
          <w:sz w:val="32"/>
          <w:szCs w:val="32"/>
          <w:lang w:val="en-US" w:eastAsia="zh-CN"/>
        </w:rPr>
        <w:t>贸促会</w:t>
      </w:r>
      <w:r>
        <w:rPr>
          <w:rFonts w:hint="eastAsia" w:ascii="Times New Roman" w:hAnsi="Times New Roman" w:cs="Times New Roman" w:eastAsiaTheme="minorEastAsia"/>
          <w:sz w:val="32"/>
          <w:szCs w:val="32"/>
          <w:lang w:val="en-US" w:eastAsia="zh-CN"/>
        </w:rPr>
        <w:t>签证人员的签证专业化能力水平，为更好服务企业打下坚实基础。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left="0" w:leftChars="0" w:firstLine="608" w:firstLineChars="200"/>
        <w:contextualSpacing/>
        <w:jc w:val="left"/>
        <w:textAlignment w:val="auto"/>
        <w:outlineLvl w:val="1"/>
        <w:rPr>
          <w:rFonts w:hint="eastAsia" w:ascii="Times New Roman" w:hAnsi="Times New Roman" w:eastAsia="经典行楷简" w:cs="Times New Roman"/>
          <w:color w:val="2E75B6" w:themeColor="accent1" w:themeShade="BF"/>
          <w:sz w:val="40"/>
          <w:szCs w:val="40"/>
          <w:lang w:val="en-US" w:eastAsia="zh-CN"/>
        </w:rPr>
      </w:pPr>
      <w:r>
        <w:rPr>
          <w:rFonts w:hint="eastAsia" w:ascii="Times New Roman" w:hAnsi="Times New Roman" w:cs="Times New Roman" w:eastAsiaTheme="minorEastAsia"/>
          <w:sz w:val="32"/>
          <w:szCs w:val="32"/>
          <w:lang w:val="en-US" w:eastAsia="zh-CN"/>
        </w:rPr>
        <w:t>2024年，市贸促会将再接再厉，以商事认证为着力点，不断规范、优化办事流程</w:t>
      </w:r>
      <w:r>
        <w:rPr>
          <w:rFonts w:hint="eastAsia" w:ascii="Times New Roman" w:hAnsi="Times New Roman" w:cs="Times New Roman"/>
          <w:sz w:val="32"/>
          <w:szCs w:val="32"/>
          <w:lang w:val="en-US" w:eastAsia="zh-CN"/>
        </w:rPr>
        <w:t>，</w:t>
      </w:r>
      <w:r>
        <w:rPr>
          <w:rFonts w:hint="eastAsia" w:ascii="Times New Roman" w:hAnsi="Times New Roman" w:cs="Times New Roman" w:eastAsiaTheme="minorEastAsia"/>
          <w:sz w:val="32"/>
          <w:szCs w:val="32"/>
          <w:lang w:val="en-US" w:eastAsia="zh-CN"/>
        </w:rPr>
        <w:t xml:space="preserve">切实提高出证质量，为外贸企业开展国际化经营提供更加优质高效的服务。 </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楷体_GBK" w:cs="Times New Roman"/>
          <w:b/>
          <w:bCs/>
          <w:color w:val="FF0000"/>
          <w:sz w:val="32"/>
          <w:szCs w:val="32"/>
          <w:lang w:val="en-US" w:eastAsia="zh-CN"/>
        </w:rPr>
        <w:t>（</w:t>
      </w:r>
      <w:r>
        <w:rPr>
          <w:rFonts w:hint="eastAsia" w:ascii="Times New Roman" w:hAnsi="Times New Roman" w:eastAsia="方正楷体_GBK" w:cs="Times New Roman"/>
          <w:b/>
          <w:bCs/>
          <w:color w:val="FF0000"/>
          <w:sz w:val="32"/>
          <w:szCs w:val="32"/>
          <w:lang w:val="en-US" w:eastAsia="zh-CN"/>
        </w:rPr>
        <w:t>泰州市贸促会</w:t>
      </w:r>
      <w:r>
        <w:rPr>
          <w:rFonts w:hint="default" w:ascii="Times New Roman" w:hAnsi="Times New Roman" w:eastAsia="方正楷体_GBK" w:cs="Times New Roman"/>
          <w:b/>
          <w:bCs/>
          <w:color w:val="FF0000"/>
          <w:sz w:val="32"/>
          <w:szCs w:val="32"/>
          <w:lang w:val="en-US" w:eastAsia="zh-CN"/>
        </w:rPr>
        <w:t>）</w:t>
      </w:r>
      <w:r>
        <w:rPr>
          <w:rFonts w:hint="default" w:ascii="Times New Roman" w:hAnsi="Times New Roman" w:eastAsia="方正黑体_GBK" w:cs="Times New Roman"/>
          <w:sz w:val="32"/>
          <w:szCs w:val="32"/>
          <w:lang w:val="en-US" w:eastAsia="zh-CN"/>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0"/>
          <w:szCs w:val="30"/>
          <w:lang w:val="en-US" w:eastAsia="zh-CN"/>
        </w:rPr>
        <w:t xml:space="preserve">                                   </w:t>
      </w:r>
      <w:r>
        <w:rPr>
          <w:rFonts w:hint="default" w:ascii="Times New Roman" w:hAnsi="Times New Roman" w:eastAsia="方正楷体_GBK" w:cs="Times New Roman"/>
          <w:sz w:val="30"/>
          <w:szCs w:val="30"/>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经典行楷简" w:hAnsi="经典行楷简" w:eastAsia="经典行楷简" w:cs="经典行楷简"/>
          <w:b/>
          <w:color w:val="2E75B6" w:themeColor="accent1" w:themeShade="BF"/>
          <w:kern w:val="36"/>
          <w:sz w:val="72"/>
          <w:szCs w:val="72"/>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经典行楷简" w:hAnsi="经典行楷简" w:eastAsia="经典行楷简" w:cs="经典行楷简"/>
          <w:b/>
          <w:color w:val="2E75B6" w:themeColor="accent1" w:themeShade="BF"/>
          <w:kern w:val="36"/>
          <w:sz w:val="72"/>
          <w:szCs w:val="72"/>
          <w:u w:val="none" w:color="BB120F"/>
          <w:lang w:val="en-US" w:eastAsia="zh-CN"/>
        </w:rPr>
      </w:pPr>
      <w:r>
        <w:rPr>
          <w:rFonts w:hint="eastAsia" w:ascii="经典行楷简" w:hAnsi="经典行楷简" w:eastAsia="经典行楷简" w:cs="经典行楷简"/>
          <w:b/>
          <w:color w:val="2E75B6" w:themeColor="accent1" w:themeShade="BF"/>
          <w:kern w:val="36"/>
          <w:sz w:val="72"/>
          <w:szCs w:val="72"/>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spacing w:val="-23"/>
          <w:kern w:val="36"/>
          <w:sz w:val="44"/>
          <w:szCs w:val="44"/>
          <w:lang w:val="en-US" w:eastAsia="zh-CN"/>
        </w:rPr>
      </w:pPr>
      <w:r>
        <w:rPr>
          <w:rFonts w:hint="default" w:ascii="Times New Roman" w:hAnsi="Times New Roman" w:eastAsia="华文新魏" w:cs="Times New Roman"/>
          <w:b/>
          <w:color w:val="FF0000"/>
          <w:spacing w:val="-28"/>
          <w:kern w:val="36"/>
          <w:sz w:val="44"/>
          <w:szCs w:val="44"/>
          <w:lang w:val="en-US" w:eastAsia="zh-CN"/>
        </w:rPr>
        <w:t>省属贸易企业重组整合入选</w:t>
      </w:r>
      <w:r>
        <w:rPr>
          <w:rFonts w:hint="eastAsia" w:ascii="Times New Roman" w:hAnsi="Times New Roman" w:eastAsia="华文新魏" w:cs="Times New Roman"/>
          <w:b/>
          <w:color w:val="FF0000"/>
          <w:spacing w:val="-28"/>
          <w:kern w:val="36"/>
          <w:sz w:val="44"/>
          <w:szCs w:val="44"/>
          <w:lang w:val="en-US" w:eastAsia="zh-CN"/>
        </w:rPr>
        <w:t>“</w:t>
      </w:r>
      <w:r>
        <w:rPr>
          <w:rFonts w:hint="default" w:ascii="Times New Roman" w:hAnsi="Times New Roman" w:eastAsia="华文新魏" w:cs="Times New Roman"/>
          <w:b w:val="0"/>
          <w:bCs/>
          <w:color w:val="FF0000"/>
          <w:spacing w:val="-28"/>
          <w:kern w:val="36"/>
          <w:sz w:val="44"/>
          <w:szCs w:val="44"/>
          <w:lang w:val="en-US" w:eastAsia="zh-CN"/>
        </w:rPr>
        <w:t>2023</w:t>
      </w:r>
      <w:r>
        <w:rPr>
          <w:rFonts w:hint="default" w:ascii="Times New Roman" w:hAnsi="Times New Roman" w:eastAsia="华文新魏" w:cs="Times New Roman"/>
          <w:b/>
          <w:color w:val="FF0000"/>
          <w:spacing w:val="-28"/>
          <w:kern w:val="36"/>
          <w:sz w:val="44"/>
          <w:szCs w:val="44"/>
          <w:lang w:val="en-US" w:eastAsia="zh-CN"/>
        </w:rPr>
        <w:t>江苏十大财经事件</w:t>
      </w:r>
      <w:r>
        <w:rPr>
          <w:rFonts w:hint="eastAsia" w:ascii="Times New Roman" w:hAnsi="Times New Roman" w:eastAsia="华文新魏" w:cs="Times New Roman"/>
          <w:b/>
          <w:color w:val="FF0000"/>
          <w:spacing w:val="-28"/>
          <w:kern w:val="36"/>
          <w:sz w:val="44"/>
          <w:szCs w:val="4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r>
        <w:rPr>
          <w:rFonts w:hint="default" w:ascii="Times New Roman" w:hAnsi="Times New Roman" w:eastAsia="华文新魏" w:cs="Times New Roman"/>
          <w:b/>
          <w:color w:val="FF0000"/>
          <w:kern w:val="36"/>
          <w:sz w:val="44"/>
          <w:szCs w:val="44"/>
          <w:lang w:val="en-US" w:eastAsia="zh-CN"/>
        </w:rPr>
        <w:t>苏豪控股集团改革发展正当时</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近日，由新华日报社主办的第二届江苏财经年会在南京举行。会上，根据新华日报大数据监测公司提供的监测数据，经江苏财经年会评审委员会评定，2023江苏十大财经事件正式发布。</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省属贸易企业重组整合，组建新的苏豪控股集团</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入选年度十大财经事件第一名。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2023年7月以来，在省委、省政府坚强领导和省委组织部、省国资委等部门的直接指导下，我会副会长单位——江苏省苏豪控股集团有限公司认真贯彻</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三个确保</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要求，高效稳妥有序完成重组整合阶段性目标任务，持续做好</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后半篇</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文章。坚持</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五湖四海</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统筹过渡期组织设置，优化总部组织架构和干部人事安排；有序推进相关企业股权划转，深化经营整合，不断夯实发展根基；提出增量赋能业务方向，制定重点工作六张清单，持续优化存量、布局增量；召开改革发展研讨会，广泛凝聚全员共识，开创深度融合促发展新局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当前，集团重组整合各项重点工作均按期或超预期完成，各主要经营指标实现全年正增长，</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物理组合</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正转变为</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化学反应</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1+1&gt;2</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的成效初步显现。重组整合工作实施推进以来，引发了各地政府和行业商协会、网媒、网民广泛关注，得到广大干部职工普遍拥护和理解支持，集团上下干事创业的热情进一步提升，改革成效进一步彰显，为扛起全新使命、服务全省发展大局提供了更加强劲的力量支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sz w:val="30"/>
          <w:szCs w:val="30"/>
          <w:lang w:val="en-US" w:eastAsia="zh-CN"/>
        </w:rPr>
      </w:pPr>
      <w:r>
        <w:rPr>
          <w:rFonts w:hint="default" w:ascii="Times New Roman" w:hAnsi="Times New Roman" w:cs="Times New Roman" w:eastAsiaTheme="minorEastAsia"/>
          <w:sz w:val="32"/>
          <w:szCs w:val="32"/>
          <w:lang w:val="en-US" w:eastAsia="zh-CN"/>
        </w:rPr>
        <w:t>会议还发布了</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2023江苏企业社会责任典范榜</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，苏豪控股集团子公司、我会理事单位——弘业期货股份有限公司凭借社会责任方面的卓越表现，入选该榜单。</w:t>
      </w:r>
      <w:r>
        <w:rPr>
          <w:rFonts w:hint="eastAsia" w:ascii="方正楷体_GBK" w:hAnsi="方正楷体_GBK" w:eastAsia="方正楷体_GBK" w:cs="方正楷体_GBK"/>
          <w:b/>
          <w:bCs/>
          <w:color w:val="FF0000"/>
          <w:sz w:val="30"/>
          <w:szCs w:val="30"/>
          <w:lang w:val="en-US" w:eastAsia="zh-CN"/>
        </w:rPr>
        <w:t>（来源：苏豪控股集团微信公众号）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r>
        <w:rPr>
          <w:rFonts w:hint="default" w:ascii="Times New Roman" w:hAnsi="Times New Roman" w:eastAsia="华文新魏" w:cs="Times New Roman"/>
          <w:b/>
          <w:color w:val="FF0000"/>
          <w:kern w:val="36"/>
          <w:sz w:val="44"/>
          <w:szCs w:val="44"/>
          <w:lang w:val="en-US" w:eastAsia="zh-CN"/>
        </w:rPr>
        <w:t>徐矿集团成功入选2023中国工业碳达峰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r>
        <w:rPr>
          <w:rFonts w:hint="eastAsia" w:ascii="Times New Roman" w:hAnsi="Times New Roman" w:eastAsia="华文新魏" w:cs="Times New Roman"/>
          <w:b/>
          <w:color w:val="FF0000"/>
          <w:kern w:val="36"/>
          <w:sz w:val="44"/>
          <w:szCs w:val="44"/>
          <w:lang w:val="en-US" w:eastAsia="zh-CN"/>
        </w:rPr>
        <w:t>“</w:t>
      </w:r>
      <w:r>
        <w:rPr>
          <w:rFonts w:hint="default" w:ascii="Times New Roman" w:hAnsi="Times New Roman" w:eastAsia="华文新魏" w:cs="Times New Roman"/>
          <w:b/>
          <w:color w:val="FF0000"/>
          <w:kern w:val="36"/>
          <w:sz w:val="44"/>
          <w:szCs w:val="44"/>
          <w:lang w:val="en-US" w:eastAsia="zh-CN"/>
        </w:rPr>
        <w:t>领跑者</w:t>
      </w:r>
      <w:r>
        <w:rPr>
          <w:rFonts w:hint="eastAsia" w:ascii="Times New Roman" w:hAnsi="Times New Roman" w:eastAsia="华文新魏" w:cs="Times New Roman"/>
          <w:b/>
          <w:color w:val="FF0000"/>
          <w:kern w:val="36"/>
          <w:sz w:val="44"/>
          <w:szCs w:val="44"/>
          <w:lang w:val="en-US" w:eastAsia="zh-CN"/>
        </w:rPr>
        <w:t>”</w:t>
      </w:r>
      <w:r>
        <w:rPr>
          <w:rFonts w:hint="default" w:ascii="Times New Roman" w:hAnsi="Times New Roman" w:eastAsia="华文新魏" w:cs="Times New Roman"/>
          <w:b/>
          <w:color w:val="FF0000"/>
          <w:kern w:val="36"/>
          <w:sz w:val="44"/>
          <w:szCs w:val="44"/>
          <w:lang w:val="en-US" w:eastAsia="zh-CN"/>
        </w:rPr>
        <w:t>企业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近日，中国工业经济联合会联合国家发改委、工信部、生态环境部等国家八部委，发布2023中国工业碳达峰</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领跑者</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企业研究成果，公布63家2023中国工业碳达峰</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领跑者</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企业名单。我会副会长单位——徐州矿务集团有限公司成功入选2023中国工业碳达峰</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领跑者</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企业，成为江苏省两家入围企业之一。徐矿集团高质量绿色转型实践入编《中国工业碳达峰优秀企业典型经验汇编》，并入选《习近平经济思想指导实践案例》（第一辑）。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12" w:firstLineChars="1800"/>
        <w:contextualSpacing/>
        <w:jc w:val="left"/>
        <w:textAlignment w:val="auto"/>
        <w:outlineLvl w:val="1"/>
        <w:rPr>
          <w:rFonts w:hint="default" w:ascii="方正楷体_GBK" w:hAnsi="方正楷体_GBK" w:eastAsia="方正楷体_GBK" w:cs="方正楷体_GBK"/>
          <w:b/>
          <w:bCs/>
          <w:color w:val="FF0000"/>
          <w:sz w:val="30"/>
          <w:szCs w:val="30"/>
          <w:lang w:val="en-US" w:eastAsia="zh-CN"/>
        </w:rPr>
      </w:pPr>
      <w:r>
        <w:rPr>
          <w:rFonts w:hint="default" w:ascii="方正楷体_GBK" w:hAnsi="方正楷体_GBK" w:eastAsia="方正楷体_GBK" w:cs="方正楷体_GBK"/>
          <w:b/>
          <w:bCs/>
          <w:color w:val="FF0000"/>
          <w:sz w:val="30"/>
          <w:szCs w:val="30"/>
          <w:lang w:val="en-US" w:eastAsia="zh-CN"/>
        </w:rPr>
        <w:t>（来源：徐矿集团官网）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r>
        <w:rPr>
          <w:rFonts w:hint="default" w:ascii="Times New Roman" w:hAnsi="Times New Roman" w:eastAsia="华文新魏" w:cs="Times New Roman"/>
          <w:b/>
          <w:color w:val="FF0000"/>
          <w:kern w:val="36"/>
          <w:sz w:val="44"/>
          <w:szCs w:val="44"/>
          <w:lang w:val="en-US" w:eastAsia="zh-CN"/>
        </w:rPr>
        <w:t>协鑫集成与印度国有电力巨头NTPC</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590" w:lineRule="exact"/>
        <w:contextualSpacing/>
        <w:jc w:val="center"/>
        <w:textAlignment w:val="auto"/>
        <w:outlineLvl w:val="1"/>
        <w:rPr>
          <w:rFonts w:hint="default" w:ascii="Times New Roman" w:hAnsi="Times New Roman" w:eastAsia="华文新魏" w:cs="Times New Roman"/>
          <w:b/>
          <w:color w:val="FF0000"/>
          <w:kern w:val="36"/>
          <w:sz w:val="44"/>
          <w:szCs w:val="44"/>
          <w:lang w:val="en-US" w:eastAsia="zh-CN"/>
        </w:rPr>
      </w:pPr>
      <w:r>
        <w:rPr>
          <w:rFonts w:hint="default" w:ascii="Times New Roman" w:hAnsi="Times New Roman" w:eastAsia="华文新魏" w:cs="Times New Roman"/>
          <w:b/>
          <w:color w:val="FF0000"/>
          <w:kern w:val="36"/>
          <w:sz w:val="44"/>
          <w:szCs w:val="44"/>
          <w:lang w:val="en-US" w:eastAsia="zh-CN"/>
        </w:rPr>
        <w:t>签订吉瓦级组件供货订单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近日，我会副会长单位——协鑫集成科技股份有限公司与印度国有电力巨头NTPC旗下子公司NTPCREL</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NTPC Renewable Energy Limited</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在印度正式签订1.1GW高效组件供货订单合同。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为了进一步提高协鑫低碳产品的竞争优势，协鑫集成正积极打造全链零碳管理平台，凭借</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一物一码</w:t>
      </w:r>
      <w:r>
        <w:rPr>
          <w:rFonts w:hint="eastAsia" w:ascii="Times New Roman" w:hAnsi="Times New Roman" w:cs="Times New Roman"/>
          <w:sz w:val="32"/>
          <w:szCs w:val="32"/>
          <w:lang w:val="en-US" w:eastAsia="zh-CN"/>
        </w:rPr>
        <w:t>”</w:t>
      </w:r>
      <w:r>
        <w:rPr>
          <w:rFonts w:hint="default" w:ascii="Times New Roman" w:hAnsi="Times New Roman" w:cs="Times New Roman" w:eastAsiaTheme="minorEastAsia"/>
          <w:sz w:val="32"/>
          <w:szCs w:val="32"/>
          <w:lang w:val="en-US" w:eastAsia="zh-CN"/>
        </w:rPr>
        <w:t>溯源形式实现产品碳足迹数字化全场景触达，把低碳优势做到可视化和可量化。从无到有、从原料到产品，每一环节，精确降碳，协鑫集成正在建立低碳光伏一体化产业链，做行业绿色发展的追光者。减少碳排放已成为全球亟待解决的问题，协鑫集成积极应对气候变化和打造低碳产品、牵手全球伙伴共同实现更清洁、更绿色的未来，这一举措将加速协鑫集成迈向数字化低碳转型目标的步伐，为可持续发展做出贡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r>
        <w:rPr>
          <w:rFonts w:hint="default" w:ascii="Times New Roman" w:hAnsi="Times New Roman" w:cs="Times New Roman" w:eastAsiaTheme="minorEastAsia"/>
          <w:sz w:val="32"/>
          <w:szCs w:val="32"/>
          <w:lang w:val="en-US" w:eastAsia="zh-CN"/>
        </w:rPr>
        <w:t>随着协鑫集成产能结构以及产品矩阵的不断升级，正以全新的竞争力全力开拓全球市场，一件件低碳足迹光伏产品正源源不断的发往全球市场。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方正楷体_GBK" w:hAnsi="方正楷体_GBK" w:eastAsia="方正楷体_GBK" w:cs="方正楷体_GBK"/>
          <w:b/>
          <w:bCs/>
          <w:color w:val="FF0000"/>
          <w:sz w:val="30"/>
          <w:szCs w:val="30"/>
          <w:lang w:val="en-US" w:eastAsia="zh-CN"/>
        </w:rPr>
      </w:pPr>
      <w:r>
        <w:rPr>
          <w:rFonts w:hint="eastAsia" w:ascii="方正楷体_GBK" w:hAnsi="方正楷体_GBK" w:eastAsia="方正楷体_GBK" w:cs="方正楷体_GBK"/>
          <w:b/>
          <w:bCs/>
          <w:color w:val="FF0000"/>
          <w:sz w:val="30"/>
          <w:szCs w:val="30"/>
          <w:lang w:val="en-US" w:eastAsia="zh-CN"/>
        </w:rPr>
        <w:t>（来源：协鑫集成微信公众号）</w:t>
      </w: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魏碑简体">
    <w:panose1 w:val="02010601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-231140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2pt;height:144pt;width:144pt;mso-position-horizontal:outside;mso-position-horizontal-relative:margin;mso-wrap-style:none;z-index:251659264;mso-width-relative:page;mso-height-relative:page;" filled="f" stroked="f" coordsize="21600,21600" o:gfxdata="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AKPAk1gAAAAgBAAAPAAAAAAAAAAEAIAAAACIAAABkcnMvZG93bnJl&#10;di54bWxQSwECFAAUAAAACACHTuJAXhqPXzgCAABvBAAADgAAAAAAAAABACAAAAAlAQAAZHJzL2Uy&#10;b0RvYy54bWxQSwUGAAAAAAYABgBZAQAAzw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D0E22"/>
    <w:rsid w:val="00030C0E"/>
    <w:rsid w:val="0007364F"/>
    <w:rsid w:val="001156B9"/>
    <w:rsid w:val="00154806"/>
    <w:rsid w:val="001F2C95"/>
    <w:rsid w:val="003208B4"/>
    <w:rsid w:val="003C691D"/>
    <w:rsid w:val="003F32D7"/>
    <w:rsid w:val="0042623F"/>
    <w:rsid w:val="0043286B"/>
    <w:rsid w:val="00467C46"/>
    <w:rsid w:val="006B63D3"/>
    <w:rsid w:val="006C0C2E"/>
    <w:rsid w:val="007E11E9"/>
    <w:rsid w:val="008B2F92"/>
    <w:rsid w:val="00906A61"/>
    <w:rsid w:val="00B35803"/>
    <w:rsid w:val="00B45E3E"/>
    <w:rsid w:val="00C16462"/>
    <w:rsid w:val="00C66488"/>
    <w:rsid w:val="00CA656E"/>
    <w:rsid w:val="00CE04E4"/>
    <w:rsid w:val="00DB54B3"/>
    <w:rsid w:val="010007F1"/>
    <w:rsid w:val="012C4A94"/>
    <w:rsid w:val="0134238F"/>
    <w:rsid w:val="015A28DE"/>
    <w:rsid w:val="01603797"/>
    <w:rsid w:val="01687C29"/>
    <w:rsid w:val="0183354F"/>
    <w:rsid w:val="018D1ED5"/>
    <w:rsid w:val="01944C0D"/>
    <w:rsid w:val="019E5AF8"/>
    <w:rsid w:val="01A05888"/>
    <w:rsid w:val="01A536F0"/>
    <w:rsid w:val="01AB72AD"/>
    <w:rsid w:val="01AD0FC0"/>
    <w:rsid w:val="01B74B80"/>
    <w:rsid w:val="01B76B70"/>
    <w:rsid w:val="01BD0D3F"/>
    <w:rsid w:val="01C277DB"/>
    <w:rsid w:val="01CB201F"/>
    <w:rsid w:val="01D01DDD"/>
    <w:rsid w:val="01DA121B"/>
    <w:rsid w:val="01EB6FF4"/>
    <w:rsid w:val="01EC6C1A"/>
    <w:rsid w:val="01F53962"/>
    <w:rsid w:val="01FE284A"/>
    <w:rsid w:val="020C0504"/>
    <w:rsid w:val="021337A8"/>
    <w:rsid w:val="02154F00"/>
    <w:rsid w:val="022C2DDE"/>
    <w:rsid w:val="02424F98"/>
    <w:rsid w:val="02716397"/>
    <w:rsid w:val="027D39C5"/>
    <w:rsid w:val="02850B1B"/>
    <w:rsid w:val="028E669E"/>
    <w:rsid w:val="02945151"/>
    <w:rsid w:val="02AA4579"/>
    <w:rsid w:val="02CA2014"/>
    <w:rsid w:val="02CE36F0"/>
    <w:rsid w:val="02D253BA"/>
    <w:rsid w:val="02D664A5"/>
    <w:rsid w:val="02D70120"/>
    <w:rsid w:val="02F3072B"/>
    <w:rsid w:val="02F4686A"/>
    <w:rsid w:val="02F50E1A"/>
    <w:rsid w:val="02FC365E"/>
    <w:rsid w:val="030A33B2"/>
    <w:rsid w:val="03173E54"/>
    <w:rsid w:val="03320DD5"/>
    <w:rsid w:val="033F3094"/>
    <w:rsid w:val="0341739D"/>
    <w:rsid w:val="035906B9"/>
    <w:rsid w:val="036773BE"/>
    <w:rsid w:val="03763E10"/>
    <w:rsid w:val="03795E56"/>
    <w:rsid w:val="038F00BD"/>
    <w:rsid w:val="03A054FE"/>
    <w:rsid w:val="03A710E3"/>
    <w:rsid w:val="03CD065E"/>
    <w:rsid w:val="03DC76EB"/>
    <w:rsid w:val="03DF7C94"/>
    <w:rsid w:val="03EE2D2D"/>
    <w:rsid w:val="03F95EAB"/>
    <w:rsid w:val="03FA4378"/>
    <w:rsid w:val="040E59E0"/>
    <w:rsid w:val="04227E09"/>
    <w:rsid w:val="04256881"/>
    <w:rsid w:val="04361A54"/>
    <w:rsid w:val="043837D8"/>
    <w:rsid w:val="043F0FCC"/>
    <w:rsid w:val="0458216E"/>
    <w:rsid w:val="0470619B"/>
    <w:rsid w:val="047264E0"/>
    <w:rsid w:val="047929EC"/>
    <w:rsid w:val="047931E4"/>
    <w:rsid w:val="047B754C"/>
    <w:rsid w:val="047C330E"/>
    <w:rsid w:val="048112FB"/>
    <w:rsid w:val="048B08F7"/>
    <w:rsid w:val="04B3013F"/>
    <w:rsid w:val="04BA605B"/>
    <w:rsid w:val="04C30370"/>
    <w:rsid w:val="04C87276"/>
    <w:rsid w:val="04CE7B7F"/>
    <w:rsid w:val="04E16ACF"/>
    <w:rsid w:val="04F33CBA"/>
    <w:rsid w:val="05006805"/>
    <w:rsid w:val="05017788"/>
    <w:rsid w:val="05150D13"/>
    <w:rsid w:val="052054D4"/>
    <w:rsid w:val="052C7639"/>
    <w:rsid w:val="055D26AF"/>
    <w:rsid w:val="05684832"/>
    <w:rsid w:val="056E79C6"/>
    <w:rsid w:val="057A799E"/>
    <w:rsid w:val="058647BE"/>
    <w:rsid w:val="05881910"/>
    <w:rsid w:val="059F17BF"/>
    <w:rsid w:val="05A73DC5"/>
    <w:rsid w:val="05CF249D"/>
    <w:rsid w:val="05D714EA"/>
    <w:rsid w:val="06077942"/>
    <w:rsid w:val="060F3722"/>
    <w:rsid w:val="062B0B83"/>
    <w:rsid w:val="062C6587"/>
    <w:rsid w:val="0633380C"/>
    <w:rsid w:val="063E600A"/>
    <w:rsid w:val="06405659"/>
    <w:rsid w:val="064F5725"/>
    <w:rsid w:val="065C27A8"/>
    <w:rsid w:val="065F50DA"/>
    <w:rsid w:val="066D2CED"/>
    <w:rsid w:val="067C24CF"/>
    <w:rsid w:val="06906B8C"/>
    <w:rsid w:val="069725BC"/>
    <w:rsid w:val="06A729E1"/>
    <w:rsid w:val="06AB1C7E"/>
    <w:rsid w:val="06AF1D16"/>
    <w:rsid w:val="06BA5EB2"/>
    <w:rsid w:val="070615F0"/>
    <w:rsid w:val="07085235"/>
    <w:rsid w:val="07146D7A"/>
    <w:rsid w:val="07355298"/>
    <w:rsid w:val="073633AE"/>
    <w:rsid w:val="0738618B"/>
    <w:rsid w:val="074E1705"/>
    <w:rsid w:val="075C0378"/>
    <w:rsid w:val="0768627D"/>
    <w:rsid w:val="07774E9B"/>
    <w:rsid w:val="07886D75"/>
    <w:rsid w:val="079A77BC"/>
    <w:rsid w:val="079D6C92"/>
    <w:rsid w:val="07DE3B60"/>
    <w:rsid w:val="07E54B9E"/>
    <w:rsid w:val="08010DA7"/>
    <w:rsid w:val="080F3123"/>
    <w:rsid w:val="08220E8F"/>
    <w:rsid w:val="08275EA4"/>
    <w:rsid w:val="083036B5"/>
    <w:rsid w:val="08310F19"/>
    <w:rsid w:val="08331FC1"/>
    <w:rsid w:val="083611A9"/>
    <w:rsid w:val="08394081"/>
    <w:rsid w:val="083943C5"/>
    <w:rsid w:val="08404FD2"/>
    <w:rsid w:val="084A2513"/>
    <w:rsid w:val="08515651"/>
    <w:rsid w:val="085D6EF2"/>
    <w:rsid w:val="085F59AE"/>
    <w:rsid w:val="086303CB"/>
    <w:rsid w:val="08674312"/>
    <w:rsid w:val="0881684A"/>
    <w:rsid w:val="08927463"/>
    <w:rsid w:val="08991A5A"/>
    <w:rsid w:val="08AF073A"/>
    <w:rsid w:val="08BD5FE1"/>
    <w:rsid w:val="08BE7798"/>
    <w:rsid w:val="08CA79C7"/>
    <w:rsid w:val="08D73E78"/>
    <w:rsid w:val="08DE001E"/>
    <w:rsid w:val="08DE7E03"/>
    <w:rsid w:val="08ED6D3B"/>
    <w:rsid w:val="08FE2EDE"/>
    <w:rsid w:val="08FE5206"/>
    <w:rsid w:val="09140F8D"/>
    <w:rsid w:val="09155095"/>
    <w:rsid w:val="091D10D0"/>
    <w:rsid w:val="09210482"/>
    <w:rsid w:val="092105FC"/>
    <w:rsid w:val="09222AB2"/>
    <w:rsid w:val="09266115"/>
    <w:rsid w:val="093303B8"/>
    <w:rsid w:val="094811BB"/>
    <w:rsid w:val="0954257E"/>
    <w:rsid w:val="095929D4"/>
    <w:rsid w:val="09606CDC"/>
    <w:rsid w:val="09A44BA0"/>
    <w:rsid w:val="09AA495F"/>
    <w:rsid w:val="09AC53C9"/>
    <w:rsid w:val="09B630C3"/>
    <w:rsid w:val="09C222A5"/>
    <w:rsid w:val="09C27E4D"/>
    <w:rsid w:val="09CB6B07"/>
    <w:rsid w:val="09CD0E22"/>
    <w:rsid w:val="09FA2B3C"/>
    <w:rsid w:val="0A0D0EE1"/>
    <w:rsid w:val="0A346C5C"/>
    <w:rsid w:val="0A5317DF"/>
    <w:rsid w:val="0A564C39"/>
    <w:rsid w:val="0A6536D8"/>
    <w:rsid w:val="0A987047"/>
    <w:rsid w:val="0AA05D85"/>
    <w:rsid w:val="0AAD109D"/>
    <w:rsid w:val="0ABB417A"/>
    <w:rsid w:val="0ABE47A4"/>
    <w:rsid w:val="0ADC78D2"/>
    <w:rsid w:val="0AE11813"/>
    <w:rsid w:val="0AE3323E"/>
    <w:rsid w:val="0AEB11A6"/>
    <w:rsid w:val="0AEC3E44"/>
    <w:rsid w:val="0AEF478A"/>
    <w:rsid w:val="0B0E47F4"/>
    <w:rsid w:val="0B283787"/>
    <w:rsid w:val="0B2D6F6E"/>
    <w:rsid w:val="0B345DB1"/>
    <w:rsid w:val="0B363DD8"/>
    <w:rsid w:val="0B3A4657"/>
    <w:rsid w:val="0B3C5BB9"/>
    <w:rsid w:val="0B4372E2"/>
    <w:rsid w:val="0B5A2079"/>
    <w:rsid w:val="0B5B5996"/>
    <w:rsid w:val="0B6075D7"/>
    <w:rsid w:val="0B6A0BB3"/>
    <w:rsid w:val="0B792EB2"/>
    <w:rsid w:val="0B8035EB"/>
    <w:rsid w:val="0B84164E"/>
    <w:rsid w:val="0B913EDA"/>
    <w:rsid w:val="0B9C76A8"/>
    <w:rsid w:val="0BA749E5"/>
    <w:rsid w:val="0BAC24A8"/>
    <w:rsid w:val="0BAE1323"/>
    <w:rsid w:val="0BB42E0A"/>
    <w:rsid w:val="0BDE3581"/>
    <w:rsid w:val="0BE85349"/>
    <w:rsid w:val="0BF57A28"/>
    <w:rsid w:val="0BF845E9"/>
    <w:rsid w:val="0C1A584B"/>
    <w:rsid w:val="0C2275D5"/>
    <w:rsid w:val="0C2D70F9"/>
    <w:rsid w:val="0C342312"/>
    <w:rsid w:val="0C53740C"/>
    <w:rsid w:val="0C563E70"/>
    <w:rsid w:val="0C6E187C"/>
    <w:rsid w:val="0C7D4D8F"/>
    <w:rsid w:val="0C8C06D3"/>
    <w:rsid w:val="0C980884"/>
    <w:rsid w:val="0CA44E41"/>
    <w:rsid w:val="0CAE5B1B"/>
    <w:rsid w:val="0CB31FF7"/>
    <w:rsid w:val="0CB80D6E"/>
    <w:rsid w:val="0CBF360E"/>
    <w:rsid w:val="0CC10497"/>
    <w:rsid w:val="0CC42150"/>
    <w:rsid w:val="0CDC515C"/>
    <w:rsid w:val="0D0B2A13"/>
    <w:rsid w:val="0D112021"/>
    <w:rsid w:val="0D12133D"/>
    <w:rsid w:val="0D1F7151"/>
    <w:rsid w:val="0D200D54"/>
    <w:rsid w:val="0D2B7DB2"/>
    <w:rsid w:val="0D384916"/>
    <w:rsid w:val="0D4A1977"/>
    <w:rsid w:val="0D511FCD"/>
    <w:rsid w:val="0D583C5F"/>
    <w:rsid w:val="0D6029A5"/>
    <w:rsid w:val="0D6063D4"/>
    <w:rsid w:val="0D667E20"/>
    <w:rsid w:val="0D922931"/>
    <w:rsid w:val="0DAD79F2"/>
    <w:rsid w:val="0DC9693F"/>
    <w:rsid w:val="0DCC1715"/>
    <w:rsid w:val="0DD82C48"/>
    <w:rsid w:val="0DDB6385"/>
    <w:rsid w:val="0DF0632D"/>
    <w:rsid w:val="0E0E09E4"/>
    <w:rsid w:val="0E184477"/>
    <w:rsid w:val="0E227E98"/>
    <w:rsid w:val="0E2D4D70"/>
    <w:rsid w:val="0E3B2663"/>
    <w:rsid w:val="0E465F52"/>
    <w:rsid w:val="0E576A70"/>
    <w:rsid w:val="0E6B437E"/>
    <w:rsid w:val="0E6B6A22"/>
    <w:rsid w:val="0E793535"/>
    <w:rsid w:val="0E795DEE"/>
    <w:rsid w:val="0E7B3260"/>
    <w:rsid w:val="0E804638"/>
    <w:rsid w:val="0ECD6BD5"/>
    <w:rsid w:val="0EDA3DE0"/>
    <w:rsid w:val="0EE241B0"/>
    <w:rsid w:val="0EE51F3F"/>
    <w:rsid w:val="0EE96C61"/>
    <w:rsid w:val="0EEF6278"/>
    <w:rsid w:val="0F110F65"/>
    <w:rsid w:val="0F126FC2"/>
    <w:rsid w:val="0F2F2F21"/>
    <w:rsid w:val="0F521390"/>
    <w:rsid w:val="0F6735DF"/>
    <w:rsid w:val="0F6A4B85"/>
    <w:rsid w:val="0F735DB2"/>
    <w:rsid w:val="0F7840D6"/>
    <w:rsid w:val="0F9A3FA1"/>
    <w:rsid w:val="0FA17F55"/>
    <w:rsid w:val="0FA35FFE"/>
    <w:rsid w:val="0FB50512"/>
    <w:rsid w:val="0FC754B6"/>
    <w:rsid w:val="0FCE3065"/>
    <w:rsid w:val="0FE107E2"/>
    <w:rsid w:val="0FE336DE"/>
    <w:rsid w:val="0FED1D3E"/>
    <w:rsid w:val="10065756"/>
    <w:rsid w:val="100A69A4"/>
    <w:rsid w:val="100E17EE"/>
    <w:rsid w:val="10140347"/>
    <w:rsid w:val="101B54B3"/>
    <w:rsid w:val="101C6175"/>
    <w:rsid w:val="10513C3F"/>
    <w:rsid w:val="105D2D1E"/>
    <w:rsid w:val="10623D8F"/>
    <w:rsid w:val="10703686"/>
    <w:rsid w:val="1075160B"/>
    <w:rsid w:val="107760A9"/>
    <w:rsid w:val="10780D89"/>
    <w:rsid w:val="107B52AA"/>
    <w:rsid w:val="107E75D8"/>
    <w:rsid w:val="10805AB8"/>
    <w:rsid w:val="108161A3"/>
    <w:rsid w:val="1089301A"/>
    <w:rsid w:val="108B29C7"/>
    <w:rsid w:val="10901F21"/>
    <w:rsid w:val="10974AA9"/>
    <w:rsid w:val="10AA391A"/>
    <w:rsid w:val="10B27075"/>
    <w:rsid w:val="10B33FFC"/>
    <w:rsid w:val="10BA25C0"/>
    <w:rsid w:val="10C121EA"/>
    <w:rsid w:val="10D27169"/>
    <w:rsid w:val="10D309E2"/>
    <w:rsid w:val="10D621B1"/>
    <w:rsid w:val="10D81E5C"/>
    <w:rsid w:val="10DA39AB"/>
    <w:rsid w:val="10DE746C"/>
    <w:rsid w:val="10EB7A42"/>
    <w:rsid w:val="10F16967"/>
    <w:rsid w:val="10F21B48"/>
    <w:rsid w:val="10F941E9"/>
    <w:rsid w:val="11083015"/>
    <w:rsid w:val="110A357B"/>
    <w:rsid w:val="1113498F"/>
    <w:rsid w:val="11145DE6"/>
    <w:rsid w:val="111A2147"/>
    <w:rsid w:val="112252CB"/>
    <w:rsid w:val="11360EF9"/>
    <w:rsid w:val="113B0B58"/>
    <w:rsid w:val="113D775B"/>
    <w:rsid w:val="11410876"/>
    <w:rsid w:val="114608E7"/>
    <w:rsid w:val="114F3D65"/>
    <w:rsid w:val="115347BC"/>
    <w:rsid w:val="11545887"/>
    <w:rsid w:val="116228E3"/>
    <w:rsid w:val="11631325"/>
    <w:rsid w:val="11687433"/>
    <w:rsid w:val="117B53DF"/>
    <w:rsid w:val="117B71D3"/>
    <w:rsid w:val="11B62D0B"/>
    <w:rsid w:val="11C52A21"/>
    <w:rsid w:val="11D26FDB"/>
    <w:rsid w:val="11DE26F2"/>
    <w:rsid w:val="11DF6987"/>
    <w:rsid w:val="11EA23C8"/>
    <w:rsid w:val="11EB5C95"/>
    <w:rsid w:val="11ED6242"/>
    <w:rsid w:val="12010E7D"/>
    <w:rsid w:val="12075A2C"/>
    <w:rsid w:val="120A38DA"/>
    <w:rsid w:val="12101A57"/>
    <w:rsid w:val="12193170"/>
    <w:rsid w:val="12193813"/>
    <w:rsid w:val="121D6AE3"/>
    <w:rsid w:val="122C1A12"/>
    <w:rsid w:val="1232130B"/>
    <w:rsid w:val="12401AD9"/>
    <w:rsid w:val="12571C4D"/>
    <w:rsid w:val="125C09FF"/>
    <w:rsid w:val="12657F0C"/>
    <w:rsid w:val="126830F6"/>
    <w:rsid w:val="127673DB"/>
    <w:rsid w:val="127E0189"/>
    <w:rsid w:val="12927837"/>
    <w:rsid w:val="12A30BAA"/>
    <w:rsid w:val="12A709D5"/>
    <w:rsid w:val="12B56515"/>
    <w:rsid w:val="12BE11B2"/>
    <w:rsid w:val="12C21464"/>
    <w:rsid w:val="12C40A29"/>
    <w:rsid w:val="12C45CF0"/>
    <w:rsid w:val="12C948D2"/>
    <w:rsid w:val="12CB14EE"/>
    <w:rsid w:val="12D54B1A"/>
    <w:rsid w:val="12F17350"/>
    <w:rsid w:val="12F712FB"/>
    <w:rsid w:val="12FF7A62"/>
    <w:rsid w:val="13037A88"/>
    <w:rsid w:val="133844CA"/>
    <w:rsid w:val="134C0AA1"/>
    <w:rsid w:val="136041BC"/>
    <w:rsid w:val="136F4FE6"/>
    <w:rsid w:val="13713F6F"/>
    <w:rsid w:val="138C25C7"/>
    <w:rsid w:val="1390357D"/>
    <w:rsid w:val="139670E5"/>
    <w:rsid w:val="139F1C24"/>
    <w:rsid w:val="13A023E7"/>
    <w:rsid w:val="13A04270"/>
    <w:rsid w:val="13A90344"/>
    <w:rsid w:val="13B35BBD"/>
    <w:rsid w:val="13BF3D28"/>
    <w:rsid w:val="13C77F07"/>
    <w:rsid w:val="13CE4E2F"/>
    <w:rsid w:val="13CF48B4"/>
    <w:rsid w:val="13E45E4B"/>
    <w:rsid w:val="13F57229"/>
    <w:rsid w:val="13FF4761"/>
    <w:rsid w:val="1401651E"/>
    <w:rsid w:val="14065625"/>
    <w:rsid w:val="14127CF3"/>
    <w:rsid w:val="14182B9E"/>
    <w:rsid w:val="142160CA"/>
    <w:rsid w:val="142E4E6B"/>
    <w:rsid w:val="143B554F"/>
    <w:rsid w:val="1455301F"/>
    <w:rsid w:val="145E0ED6"/>
    <w:rsid w:val="147C1504"/>
    <w:rsid w:val="14933736"/>
    <w:rsid w:val="149D19D1"/>
    <w:rsid w:val="14AD2447"/>
    <w:rsid w:val="14BD7435"/>
    <w:rsid w:val="14D41B03"/>
    <w:rsid w:val="14EC7262"/>
    <w:rsid w:val="14F50637"/>
    <w:rsid w:val="14F56962"/>
    <w:rsid w:val="14FD3DC3"/>
    <w:rsid w:val="15274A34"/>
    <w:rsid w:val="152C74BF"/>
    <w:rsid w:val="15382813"/>
    <w:rsid w:val="154B27A9"/>
    <w:rsid w:val="154B6CF6"/>
    <w:rsid w:val="15516306"/>
    <w:rsid w:val="155B06BC"/>
    <w:rsid w:val="15620F8B"/>
    <w:rsid w:val="156514F3"/>
    <w:rsid w:val="15864057"/>
    <w:rsid w:val="158C53F6"/>
    <w:rsid w:val="15946EC2"/>
    <w:rsid w:val="1594709F"/>
    <w:rsid w:val="159B1410"/>
    <w:rsid w:val="15A625C0"/>
    <w:rsid w:val="15A70541"/>
    <w:rsid w:val="15AD4348"/>
    <w:rsid w:val="15AD7612"/>
    <w:rsid w:val="15B96153"/>
    <w:rsid w:val="15BC619F"/>
    <w:rsid w:val="15C40EFF"/>
    <w:rsid w:val="15CA097E"/>
    <w:rsid w:val="15D92955"/>
    <w:rsid w:val="15F5535B"/>
    <w:rsid w:val="15F569FA"/>
    <w:rsid w:val="15F656C7"/>
    <w:rsid w:val="1607152F"/>
    <w:rsid w:val="160D7883"/>
    <w:rsid w:val="16200AF2"/>
    <w:rsid w:val="162E2ADD"/>
    <w:rsid w:val="1651617C"/>
    <w:rsid w:val="166852CC"/>
    <w:rsid w:val="16696EE3"/>
    <w:rsid w:val="167518D2"/>
    <w:rsid w:val="168864E9"/>
    <w:rsid w:val="16907088"/>
    <w:rsid w:val="169A4327"/>
    <w:rsid w:val="16A26D59"/>
    <w:rsid w:val="16A52825"/>
    <w:rsid w:val="16A60389"/>
    <w:rsid w:val="16AC66DD"/>
    <w:rsid w:val="16B06BAD"/>
    <w:rsid w:val="16B17712"/>
    <w:rsid w:val="16B95CF7"/>
    <w:rsid w:val="16C42B77"/>
    <w:rsid w:val="16D55B33"/>
    <w:rsid w:val="16D74218"/>
    <w:rsid w:val="16DD2E8B"/>
    <w:rsid w:val="16E376E7"/>
    <w:rsid w:val="16E40C30"/>
    <w:rsid w:val="16E72981"/>
    <w:rsid w:val="16EB66D9"/>
    <w:rsid w:val="16F47BF5"/>
    <w:rsid w:val="16F872C3"/>
    <w:rsid w:val="16FA06E3"/>
    <w:rsid w:val="170167F2"/>
    <w:rsid w:val="170B0BD9"/>
    <w:rsid w:val="17503F57"/>
    <w:rsid w:val="17505DD6"/>
    <w:rsid w:val="17586CB0"/>
    <w:rsid w:val="17596CA9"/>
    <w:rsid w:val="17665D9F"/>
    <w:rsid w:val="17696EA4"/>
    <w:rsid w:val="177B0627"/>
    <w:rsid w:val="178501CB"/>
    <w:rsid w:val="178A042D"/>
    <w:rsid w:val="17920EA7"/>
    <w:rsid w:val="1797450B"/>
    <w:rsid w:val="17A644BF"/>
    <w:rsid w:val="17A92F07"/>
    <w:rsid w:val="17B31B32"/>
    <w:rsid w:val="17B80549"/>
    <w:rsid w:val="17C76A67"/>
    <w:rsid w:val="17E95276"/>
    <w:rsid w:val="17EB77A3"/>
    <w:rsid w:val="18341D76"/>
    <w:rsid w:val="18553A22"/>
    <w:rsid w:val="18607956"/>
    <w:rsid w:val="186E420E"/>
    <w:rsid w:val="187A14AA"/>
    <w:rsid w:val="187B7B4F"/>
    <w:rsid w:val="18A35548"/>
    <w:rsid w:val="18A77689"/>
    <w:rsid w:val="18A816B2"/>
    <w:rsid w:val="18B8431F"/>
    <w:rsid w:val="18B90C48"/>
    <w:rsid w:val="18BC4ADF"/>
    <w:rsid w:val="18CF2450"/>
    <w:rsid w:val="18DA12E6"/>
    <w:rsid w:val="18FC503B"/>
    <w:rsid w:val="19027C40"/>
    <w:rsid w:val="190E3326"/>
    <w:rsid w:val="19164D1E"/>
    <w:rsid w:val="193544CD"/>
    <w:rsid w:val="19443AA2"/>
    <w:rsid w:val="195159CB"/>
    <w:rsid w:val="195961D5"/>
    <w:rsid w:val="195C14E8"/>
    <w:rsid w:val="196515C3"/>
    <w:rsid w:val="197859DA"/>
    <w:rsid w:val="1980769C"/>
    <w:rsid w:val="19884F66"/>
    <w:rsid w:val="19917CFC"/>
    <w:rsid w:val="199A20B4"/>
    <w:rsid w:val="19A71B82"/>
    <w:rsid w:val="19C6694E"/>
    <w:rsid w:val="19D11E61"/>
    <w:rsid w:val="19D5618C"/>
    <w:rsid w:val="19E23808"/>
    <w:rsid w:val="1A00532F"/>
    <w:rsid w:val="1A040FBD"/>
    <w:rsid w:val="1A13214F"/>
    <w:rsid w:val="1A434C13"/>
    <w:rsid w:val="1A5C550E"/>
    <w:rsid w:val="1A6F769D"/>
    <w:rsid w:val="1A712AE5"/>
    <w:rsid w:val="1A74386E"/>
    <w:rsid w:val="1A783427"/>
    <w:rsid w:val="1A8A143B"/>
    <w:rsid w:val="1AA67BD3"/>
    <w:rsid w:val="1AC70097"/>
    <w:rsid w:val="1ACC39D6"/>
    <w:rsid w:val="1AFD3AEA"/>
    <w:rsid w:val="1B05238D"/>
    <w:rsid w:val="1B1D44BA"/>
    <w:rsid w:val="1B2C07D2"/>
    <w:rsid w:val="1B2C5EE0"/>
    <w:rsid w:val="1B467529"/>
    <w:rsid w:val="1B4B00CA"/>
    <w:rsid w:val="1B566C78"/>
    <w:rsid w:val="1B79696C"/>
    <w:rsid w:val="1B825166"/>
    <w:rsid w:val="1B9D6CE8"/>
    <w:rsid w:val="1BC600B5"/>
    <w:rsid w:val="1BE956C8"/>
    <w:rsid w:val="1C022294"/>
    <w:rsid w:val="1C234861"/>
    <w:rsid w:val="1C3477C5"/>
    <w:rsid w:val="1C556488"/>
    <w:rsid w:val="1C563FE3"/>
    <w:rsid w:val="1C62402E"/>
    <w:rsid w:val="1C62587C"/>
    <w:rsid w:val="1C6F3BF6"/>
    <w:rsid w:val="1C7D2EB6"/>
    <w:rsid w:val="1C852BB0"/>
    <w:rsid w:val="1C9651FD"/>
    <w:rsid w:val="1CB21A29"/>
    <w:rsid w:val="1CCB32EE"/>
    <w:rsid w:val="1CD23361"/>
    <w:rsid w:val="1CF52075"/>
    <w:rsid w:val="1CFE7E6D"/>
    <w:rsid w:val="1D011F4C"/>
    <w:rsid w:val="1D0D1F95"/>
    <w:rsid w:val="1D1C7AC2"/>
    <w:rsid w:val="1D207BFC"/>
    <w:rsid w:val="1D230741"/>
    <w:rsid w:val="1D2F0DCA"/>
    <w:rsid w:val="1D3E30CF"/>
    <w:rsid w:val="1D3E57BA"/>
    <w:rsid w:val="1D3F5BF4"/>
    <w:rsid w:val="1D49558F"/>
    <w:rsid w:val="1D4B4B5A"/>
    <w:rsid w:val="1D584348"/>
    <w:rsid w:val="1D5D209F"/>
    <w:rsid w:val="1D6D4785"/>
    <w:rsid w:val="1D767ADA"/>
    <w:rsid w:val="1D845021"/>
    <w:rsid w:val="1D861B2D"/>
    <w:rsid w:val="1D896FB3"/>
    <w:rsid w:val="1D9318C5"/>
    <w:rsid w:val="1D941B55"/>
    <w:rsid w:val="1DAB7998"/>
    <w:rsid w:val="1DB01072"/>
    <w:rsid w:val="1DB43F2E"/>
    <w:rsid w:val="1DBE6DCD"/>
    <w:rsid w:val="1DCF57CE"/>
    <w:rsid w:val="1DD11EB5"/>
    <w:rsid w:val="1DFC4DF9"/>
    <w:rsid w:val="1E110D2A"/>
    <w:rsid w:val="1E155062"/>
    <w:rsid w:val="1E193E9C"/>
    <w:rsid w:val="1E1B38E9"/>
    <w:rsid w:val="1E303EF3"/>
    <w:rsid w:val="1E4F0222"/>
    <w:rsid w:val="1E5C2AF3"/>
    <w:rsid w:val="1E795C41"/>
    <w:rsid w:val="1E7E640D"/>
    <w:rsid w:val="1E7F3A72"/>
    <w:rsid w:val="1E8064D3"/>
    <w:rsid w:val="1E861E21"/>
    <w:rsid w:val="1EBD6E42"/>
    <w:rsid w:val="1EC87ABC"/>
    <w:rsid w:val="1ED242FC"/>
    <w:rsid w:val="1ED56C03"/>
    <w:rsid w:val="1EE05F54"/>
    <w:rsid w:val="1F05532C"/>
    <w:rsid w:val="1F095121"/>
    <w:rsid w:val="1F1527EE"/>
    <w:rsid w:val="1F20034A"/>
    <w:rsid w:val="1F251ABC"/>
    <w:rsid w:val="1F290391"/>
    <w:rsid w:val="1F2A2D10"/>
    <w:rsid w:val="1F370102"/>
    <w:rsid w:val="1F48506F"/>
    <w:rsid w:val="1F4B10C3"/>
    <w:rsid w:val="1F5C7F87"/>
    <w:rsid w:val="1F6C1D79"/>
    <w:rsid w:val="1F792E9A"/>
    <w:rsid w:val="1F7B67F6"/>
    <w:rsid w:val="1F7C518B"/>
    <w:rsid w:val="1F881F59"/>
    <w:rsid w:val="1F977565"/>
    <w:rsid w:val="1FA429B4"/>
    <w:rsid w:val="1FB75185"/>
    <w:rsid w:val="1FB97163"/>
    <w:rsid w:val="1FBD0EE6"/>
    <w:rsid w:val="1FFA3EAB"/>
    <w:rsid w:val="1FFB3FF4"/>
    <w:rsid w:val="20176E76"/>
    <w:rsid w:val="203F0CD6"/>
    <w:rsid w:val="207411D3"/>
    <w:rsid w:val="20743131"/>
    <w:rsid w:val="207536DF"/>
    <w:rsid w:val="20783BF9"/>
    <w:rsid w:val="20786435"/>
    <w:rsid w:val="20811113"/>
    <w:rsid w:val="20874766"/>
    <w:rsid w:val="2088281D"/>
    <w:rsid w:val="20917F9C"/>
    <w:rsid w:val="2094661E"/>
    <w:rsid w:val="20951ED4"/>
    <w:rsid w:val="20B50E80"/>
    <w:rsid w:val="20B7483F"/>
    <w:rsid w:val="20BD02A3"/>
    <w:rsid w:val="20BE1841"/>
    <w:rsid w:val="20DA60A5"/>
    <w:rsid w:val="20DB223A"/>
    <w:rsid w:val="20EC58CB"/>
    <w:rsid w:val="21014223"/>
    <w:rsid w:val="21291A31"/>
    <w:rsid w:val="2138052E"/>
    <w:rsid w:val="214776EA"/>
    <w:rsid w:val="2159046C"/>
    <w:rsid w:val="21611A31"/>
    <w:rsid w:val="218D61A9"/>
    <w:rsid w:val="2190117D"/>
    <w:rsid w:val="219140F2"/>
    <w:rsid w:val="21A34664"/>
    <w:rsid w:val="21B80E8C"/>
    <w:rsid w:val="21C24072"/>
    <w:rsid w:val="21D965A1"/>
    <w:rsid w:val="21E11782"/>
    <w:rsid w:val="21E617C0"/>
    <w:rsid w:val="21EC3E44"/>
    <w:rsid w:val="21F2539C"/>
    <w:rsid w:val="21F65A58"/>
    <w:rsid w:val="21FB61D0"/>
    <w:rsid w:val="220B3AD6"/>
    <w:rsid w:val="221E272E"/>
    <w:rsid w:val="222A1FFE"/>
    <w:rsid w:val="222B075F"/>
    <w:rsid w:val="223C2D91"/>
    <w:rsid w:val="224D7BB0"/>
    <w:rsid w:val="225F0409"/>
    <w:rsid w:val="226D42BA"/>
    <w:rsid w:val="228338C8"/>
    <w:rsid w:val="22876A0D"/>
    <w:rsid w:val="22A63B38"/>
    <w:rsid w:val="22A8489A"/>
    <w:rsid w:val="22AB3B60"/>
    <w:rsid w:val="22B33D99"/>
    <w:rsid w:val="22BB4A47"/>
    <w:rsid w:val="22BC2773"/>
    <w:rsid w:val="22BE29D6"/>
    <w:rsid w:val="22C4003E"/>
    <w:rsid w:val="22D02654"/>
    <w:rsid w:val="22D10E4B"/>
    <w:rsid w:val="22D90210"/>
    <w:rsid w:val="22D912F9"/>
    <w:rsid w:val="22E1284D"/>
    <w:rsid w:val="22E73006"/>
    <w:rsid w:val="22EB3773"/>
    <w:rsid w:val="22F31E85"/>
    <w:rsid w:val="22FB2321"/>
    <w:rsid w:val="22FF6AA7"/>
    <w:rsid w:val="2306325F"/>
    <w:rsid w:val="2319089C"/>
    <w:rsid w:val="231B2491"/>
    <w:rsid w:val="232F45E5"/>
    <w:rsid w:val="23382F5D"/>
    <w:rsid w:val="23561CD1"/>
    <w:rsid w:val="23646298"/>
    <w:rsid w:val="236B32CC"/>
    <w:rsid w:val="2372506B"/>
    <w:rsid w:val="2376691B"/>
    <w:rsid w:val="238D66BE"/>
    <w:rsid w:val="239540DC"/>
    <w:rsid w:val="23A11F4F"/>
    <w:rsid w:val="23B41225"/>
    <w:rsid w:val="23BA6237"/>
    <w:rsid w:val="23BC048E"/>
    <w:rsid w:val="23C9616F"/>
    <w:rsid w:val="23CE659F"/>
    <w:rsid w:val="23CF7FD3"/>
    <w:rsid w:val="23D4199E"/>
    <w:rsid w:val="23DC01C4"/>
    <w:rsid w:val="23DC60E2"/>
    <w:rsid w:val="23E17EC8"/>
    <w:rsid w:val="23E47406"/>
    <w:rsid w:val="23E91B93"/>
    <w:rsid w:val="23F6160A"/>
    <w:rsid w:val="23FB72B1"/>
    <w:rsid w:val="24026C92"/>
    <w:rsid w:val="240657B6"/>
    <w:rsid w:val="240C2CCA"/>
    <w:rsid w:val="24323334"/>
    <w:rsid w:val="243D6215"/>
    <w:rsid w:val="245550BB"/>
    <w:rsid w:val="24662623"/>
    <w:rsid w:val="24676BCD"/>
    <w:rsid w:val="24750E49"/>
    <w:rsid w:val="24872D53"/>
    <w:rsid w:val="248E7D90"/>
    <w:rsid w:val="249321BF"/>
    <w:rsid w:val="249C0D83"/>
    <w:rsid w:val="24A033EE"/>
    <w:rsid w:val="24C434A5"/>
    <w:rsid w:val="24CA496C"/>
    <w:rsid w:val="24D35568"/>
    <w:rsid w:val="24E954E0"/>
    <w:rsid w:val="24F82FB3"/>
    <w:rsid w:val="251809ED"/>
    <w:rsid w:val="25241C4A"/>
    <w:rsid w:val="252A5159"/>
    <w:rsid w:val="25380B4A"/>
    <w:rsid w:val="253C2F3D"/>
    <w:rsid w:val="253C65AF"/>
    <w:rsid w:val="25410D56"/>
    <w:rsid w:val="254F6D5C"/>
    <w:rsid w:val="256F1EB3"/>
    <w:rsid w:val="25720D21"/>
    <w:rsid w:val="257C63F7"/>
    <w:rsid w:val="258426BC"/>
    <w:rsid w:val="25867F54"/>
    <w:rsid w:val="258B4AE4"/>
    <w:rsid w:val="259114ED"/>
    <w:rsid w:val="2593720A"/>
    <w:rsid w:val="25996F48"/>
    <w:rsid w:val="259A3CB2"/>
    <w:rsid w:val="259E5828"/>
    <w:rsid w:val="25AB0A3D"/>
    <w:rsid w:val="25B22B68"/>
    <w:rsid w:val="25C15D16"/>
    <w:rsid w:val="25C55B83"/>
    <w:rsid w:val="25CD5BF1"/>
    <w:rsid w:val="25D31208"/>
    <w:rsid w:val="25DD0809"/>
    <w:rsid w:val="25E46656"/>
    <w:rsid w:val="25E47484"/>
    <w:rsid w:val="25E92FBE"/>
    <w:rsid w:val="25F70EE4"/>
    <w:rsid w:val="260139F3"/>
    <w:rsid w:val="26080DD9"/>
    <w:rsid w:val="26082798"/>
    <w:rsid w:val="26095114"/>
    <w:rsid w:val="26280E6C"/>
    <w:rsid w:val="262E05B0"/>
    <w:rsid w:val="263E0859"/>
    <w:rsid w:val="263E1A96"/>
    <w:rsid w:val="26433FB7"/>
    <w:rsid w:val="26452DA3"/>
    <w:rsid w:val="266A2AD6"/>
    <w:rsid w:val="266C2FED"/>
    <w:rsid w:val="26783498"/>
    <w:rsid w:val="268246BC"/>
    <w:rsid w:val="26952295"/>
    <w:rsid w:val="26AE5F52"/>
    <w:rsid w:val="26B32654"/>
    <w:rsid w:val="26B8056C"/>
    <w:rsid w:val="26C87742"/>
    <w:rsid w:val="26E33E5B"/>
    <w:rsid w:val="26E70CA8"/>
    <w:rsid w:val="26F54808"/>
    <w:rsid w:val="27094F93"/>
    <w:rsid w:val="270E05C8"/>
    <w:rsid w:val="271927EF"/>
    <w:rsid w:val="271A253D"/>
    <w:rsid w:val="271C2CE9"/>
    <w:rsid w:val="27235746"/>
    <w:rsid w:val="273E49F4"/>
    <w:rsid w:val="274321B1"/>
    <w:rsid w:val="274652E6"/>
    <w:rsid w:val="27480748"/>
    <w:rsid w:val="27625310"/>
    <w:rsid w:val="27641213"/>
    <w:rsid w:val="277A2EC6"/>
    <w:rsid w:val="27841ADD"/>
    <w:rsid w:val="278E7D5F"/>
    <w:rsid w:val="279429E3"/>
    <w:rsid w:val="27A74D7A"/>
    <w:rsid w:val="27AF57B8"/>
    <w:rsid w:val="27CB38EC"/>
    <w:rsid w:val="27CB5FF9"/>
    <w:rsid w:val="27D34267"/>
    <w:rsid w:val="27E4169F"/>
    <w:rsid w:val="27E476BC"/>
    <w:rsid w:val="280410A7"/>
    <w:rsid w:val="28202089"/>
    <w:rsid w:val="283E3927"/>
    <w:rsid w:val="28432F7C"/>
    <w:rsid w:val="285065F4"/>
    <w:rsid w:val="28564AD0"/>
    <w:rsid w:val="28634EA7"/>
    <w:rsid w:val="2868554F"/>
    <w:rsid w:val="286D715D"/>
    <w:rsid w:val="28710251"/>
    <w:rsid w:val="287270BD"/>
    <w:rsid w:val="287508F6"/>
    <w:rsid w:val="288F598A"/>
    <w:rsid w:val="289910F7"/>
    <w:rsid w:val="28A14F66"/>
    <w:rsid w:val="28A4234C"/>
    <w:rsid w:val="28A63531"/>
    <w:rsid w:val="28A773FC"/>
    <w:rsid w:val="28D02425"/>
    <w:rsid w:val="28D527CA"/>
    <w:rsid w:val="28DB1A3D"/>
    <w:rsid w:val="28F934CA"/>
    <w:rsid w:val="291218C3"/>
    <w:rsid w:val="2912731C"/>
    <w:rsid w:val="29157321"/>
    <w:rsid w:val="291F35AA"/>
    <w:rsid w:val="292B0670"/>
    <w:rsid w:val="292E0A29"/>
    <w:rsid w:val="29325A72"/>
    <w:rsid w:val="29566904"/>
    <w:rsid w:val="29582224"/>
    <w:rsid w:val="29585835"/>
    <w:rsid w:val="29712D8F"/>
    <w:rsid w:val="29736267"/>
    <w:rsid w:val="297B31D3"/>
    <w:rsid w:val="299C7DCA"/>
    <w:rsid w:val="29A021A8"/>
    <w:rsid w:val="29B344DC"/>
    <w:rsid w:val="29B539E6"/>
    <w:rsid w:val="29BC2699"/>
    <w:rsid w:val="29C8428C"/>
    <w:rsid w:val="29DD7E33"/>
    <w:rsid w:val="29E81D60"/>
    <w:rsid w:val="29F035C0"/>
    <w:rsid w:val="29F05E16"/>
    <w:rsid w:val="29F54832"/>
    <w:rsid w:val="2A160D87"/>
    <w:rsid w:val="2A307EBE"/>
    <w:rsid w:val="2A3E413F"/>
    <w:rsid w:val="2A534A67"/>
    <w:rsid w:val="2A6151C4"/>
    <w:rsid w:val="2A944B48"/>
    <w:rsid w:val="2A9A0F2B"/>
    <w:rsid w:val="2AA07917"/>
    <w:rsid w:val="2AA67F8B"/>
    <w:rsid w:val="2AAC289A"/>
    <w:rsid w:val="2AB138BA"/>
    <w:rsid w:val="2AC51079"/>
    <w:rsid w:val="2AD05182"/>
    <w:rsid w:val="2AE47A17"/>
    <w:rsid w:val="2B1A32A0"/>
    <w:rsid w:val="2B26693B"/>
    <w:rsid w:val="2B2F1FC7"/>
    <w:rsid w:val="2B37764D"/>
    <w:rsid w:val="2B4F2967"/>
    <w:rsid w:val="2B5C1A7C"/>
    <w:rsid w:val="2B6525E9"/>
    <w:rsid w:val="2B6E19DB"/>
    <w:rsid w:val="2B8944AA"/>
    <w:rsid w:val="2B92679C"/>
    <w:rsid w:val="2B986BC6"/>
    <w:rsid w:val="2BA16669"/>
    <w:rsid w:val="2BAF2381"/>
    <w:rsid w:val="2BB1376A"/>
    <w:rsid w:val="2BBA7E05"/>
    <w:rsid w:val="2BC3413A"/>
    <w:rsid w:val="2BC45396"/>
    <w:rsid w:val="2BD540AD"/>
    <w:rsid w:val="2BF336C9"/>
    <w:rsid w:val="2BFB7405"/>
    <w:rsid w:val="2C006833"/>
    <w:rsid w:val="2C040D89"/>
    <w:rsid w:val="2C0509D9"/>
    <w:rsid w:val="2C05481D"/>
    <w:rsid w:val="2C3F3887"/>
    <w:rsid w:val="2C560EA3"/>
    <w:rsid w:val="2C617496"/>
    <w:rsid w:val="2C730778"/>
    <w:rsid w:val="2C833FFB"/>
    <w:rsid w:val="2C8F430E"/>
    <w:rsid w:val="2CA21894"/>
    <w:rsid w:val="2CA4476E"/>
    <w:rsid w:val="2CAD4F6B"/>
    <w:rsid w:val="2CB17FD2"/>
    <w:rsid w:val="2CCB5A72"/>
    <w:rsid w:val="2CD57684"/>
    <w:rsid w:val="2CD67A0B"/>
    <w:rsid w:val="2CD75666"/>
    <w:rsid w:val="2CE03AB0"/>
    <w:rsid w:val="2CEF53E3"/>
    <w:rsid w:val="2CF53A56"/>
    <w:rsid w:val="2CF649A9"/>
    <w:rsid w:val="2D0B702A"/>
    <w:rsid w:val="2D107EBA"/>
    <w:rsid w:val="2D221AAA"/>
    <w:rsid w:val="2D504333"/>
    <w:rsid w:val="2D521264"/>
    <w:rsid w:val="2D567058"/>
    <w:rsid w:val="2D57290A"/>
    <w:rsid w:val="2D660EF9"/>
    <w:rsid w:val="2D6C2B47"/>
    <w:rsid w:val="2D820204"/>
    <w:rsid w:val="2D88024C"/>
    <w:rsid w:val="2D935488"/>
    <w:rsid w:val="2DAC2EF4"/>
    <w:rsid w:val="2DAD4BCD"/>
    <w:rsid w:val="2DB453FF"/>
    <w:rsid w:val="2DBE4237"/>
    <w:rsid w:val="2DCB10F0"/>
    <w:rsid w:val="2DCB38A1"/>
    <w:rsid w:val="2DD066E9"/>
    <w:rsid w:val="2DF036FB"/>
    <w:rsid w:val="2DFD78B4"/>
    <w:rsid w:val="2DFE083B"/>
    <w:rsid w:val="2E1643B9"/>
    <w:rsid w:val="2E184C0F"/>
    <w:rsid w:val="2E3F6B8A"/>
    <w:rsid w:val="2E527715"/>
    <w:rsid w:val="2E530660"/>
    <w:rsid w:val="2E531152"/>
    <w:rsid w:val="2E565287"/>
    <w:rsid w:val="2E682652"/>
    <w:rsid w:val="2E7A506F"/>
    <w:rsid w:val="2E7B273D"/>
    <w:rsid w:val="2E7D30EA"/>
    <w:rsid w:val="2E8028E0"/>
    <w:rsid w:val="2E8F062E"/>
    <w:rsid w:val="2E9D560F"/>
    <w:rsid w:val="2E9F7EC1"/>
    <w:rsid w:val="2EB411B5"/>
    <w:rsid w:val="2EBF0ED1"/>
    <w:rsid w:val="2EC7495E"/>
    <w:rsid w:val="2ECA39AD"/>
    <w:rsid w:val="2EF224CD"/>
    <w:rsid w:val="2EF67D61"/>
    <w:rsid w:val="2EFA2F2B"/>
    <w:rsid w:val="2F2E23A6"/>
    <w:rsid w:val="2F350F19"/>
    <w:rsid w:val="2F3B1918"/>
    <w:rsid w:val="2F415DC8"/>
    <w:rsid w:val="2F5B5B3B"/>
    <w:rsid w:val="2F615468"/>
    <w:rsid w:val="2F655F0E"/>
    <w:rsid w:val="2F6B73F9"/>
    <w:rsid w:val="2F6D4FA6"/>
    <w:rsid w:val="2F756E65"/>
    <w:rsid w:val="2F8D4D67"/>
    <w:rsid w:val="2F9051B8"/>
    <w:rsid w:val="2F910893"/>
    <w:rsid w:val="2F9D4AA3"/>
    <w:rsid w:val="2F9F094E"/>
    <w:rsid w:val="2FB11323"/>
    <w:rsid w:val="2FBB6A2A"/>
    <w:rsid w:val="2FCB0952"/>
    <w:rsid w:val="2FD53529"/>
    <w:rsid w:val="2FF532B7"/>
    <w:rsid w:val="2FF674CB"/>
    <w:rsid w:val="30007788"/>
    <w:rsid w:val="30205153"/>
    <w:rsid w:val="30253FAB"/>
    <w:rsid w:val="303B3B59"/>
    <w:rsid w:val="303C0C41"/>
    <w:rsid w:val="30443F81"/>
    <w:rsid w:val="305831D6"/>
    <w:rsid w:val="30632880"/>
    <w:rsid w:val="3070014A"/>
    <w:rsid w:val="3095375A"/>
    <w:rsid w:val="30A91070"/>
    <w:rsid w:val="30B86332"/>
    <w:rsid w:val="30C91D87"/>
    <w:rsid w:val="30D251E3"/>
    <w:rsid w:val="30D45137"/>
    <w:rsid w:val="30D51A41"/>
    <w:rsid w:val="31076B28"/>
    <w:rsid w:val="31076EFA"/>
    <w:rsid w:val="310866BC"/>
    <w:rsid w:val="31154DED"/>
    <w:rsid w:val="31215B33"/>
    <w:rsid w:val="312A36B1"/>
    <w:rsid w:val="313A2CAC"/>
    <w:rsid w:val="313E6356"/>
    <w:rsid w:val="31460C29"/>
    <w:rsid w:val="315B5E62"/>
    <w:rsid w:val="317A487D"/>
    <w:rsid w:val="318A1515"/>
    <w:rsid w:val="31944F6F"/>
    <w:rsid w:val="31963456"/>
    <w:rsid w:val="31B2653B"/>
    <w:rsid w:val="31B81D35"/>
    <w:rsid w:val="31C3729F"/>
    <w:rsid w:val="31CB617D"/>
    <w:rsid w:val="32061C7F"/>
    <w:rsid w:val="320D2005"/>
    <w:rsid w:val="32252577"/>
    <w:rsid w:val="32294648"/>
    <w:rsid w:val="32471CC6"/>
    <w:rsid w:val="32540593"/>
    <w:rsid w:val="327179A4"/>
    <w:rsid w:val="32775626"/>
    <w:rsid w:val="328A3A5F"/>
    <w:rsid w:val="328D7371"/>
    <w:rsid w:val="328E2231"/>
    <w:rsid w:val="329426A2"/>
    <w:rsid w:val="329708DE"/>
    <w:rsid w:val="32AD1211"/>
    <w:rsid w:val="32E12F9A"/>
    <w:rsid w:val="32E87F66"/>
    <w:rsid w:val="32FF12B8"/>
    <w:rsid w:val="33020BF1"/>
    <w:rsid w:val="33224534"/>
    <w:rsid w:val="332742E9"/>
    <w:rsid w:val="332C71E1"/>
    <w:rsid w:val="332F3B66"/>
    <w:rsid w:val="333B116B"/>
    <w:rsid w:val="33616D4E"/>
    <w:rsid w:val="33821BAB"/>
    <w:rsid w:val="33885755"/>
    <w:rsid w:val="339E18BC"/>
    <w:rsid w:val="33A57822"/>
    <w:rsid w:val="33AA7345"/>
    <w:rsid w:val="33B37087"/>
    <w:rsid w:val="33BC4D91"/>
    <w:rsid w:val="33BF4D9D"/>
    <w:rsid w:val="33C504FF"/>
    <w:rsid w:val="33C968FA"/>
    <w:rsid w:val="33D23DF5"/>
    <w:rsid w:val="33D246C3"/>
    <w:rsid w:val="33DF11C8"/>
    <w:rsid w:val="33E61B12"/>
    <w:rsid w:val="33FE7E15"/>
    <w:rsid w:val="33FF1154"/>
    <w:rsid w:val="340948E1"/>
    <w:rsid w:val="340D3904"/>
    <w:rsid w:val="341212B1"/>
    <w:rsid w:val="341321BE"/>
    <w:rsid w:val="34314E1D"/>
    <w:rsid w:val="34417702"/>
    <w:rsid w:val="34417EB0"/>
    <w:rsid w:val="3446518F"/>
    <w:rsid w:val="344C25CD"/>
    <w:rsid w:val="345B15DB"/>
    <w:rsid w:val="346B1ADA"/>
    <w:rsid w:val="346C4A94"/>
    <w:rsid w:val="346E7A5A"/>
    <w:rsid w:val="3477244E"/>
    <w:rsid w:val="34782617"/>
    <w:rsid w:val="347946FA"/>
    <w:rsid w:val="347A6171"/>
    <w:rsid w:val="348440EB"/>
    <w:rsid w:val="348D33D3"/>
    <w:rsid w:val="3496737A"/>
    <w:rsid w:val="34AC0653"/>
    <w:rsid w:val="34AC2DE9"/>
    <w:rsid w:val="34B84D9B"/>
    <w:rsid w:val="34BE7103"/>
    <w:rsid w:val="34CE3369"/>
    <w:rsid w:val="34DC1C67"/>
    <w:rsid w:val="34E47162"/>
    <w:rsid w:val="3500311A"/>
    <w:rsid w:val="350B76BF"/>
    <w:rsid w:val="351710F0"/>
    <w:rsid w:val="352E435E"/>
    <w:rsid w:val="3534069E"/>
    <w:rsid w:val="353D45FA"/>
    <w:rsid w:val="35505013"/>
    <w:rsid w:val="356D51F7"/>
    <w:rsid w:val="357D79D3"/>
    <w:rsid w:val="35884385"/>
    <w:rsid w:val="358B0F26"/>
    <w:rsid w:val="35924A15"/>
    <w:rsid w:val="359753B1"/>
    <w:rsid w:val="35A25468"/>
    <w:rsid w:val="35AC56FE"/>
    <w:rsid w:val="35C3354B"/>
    <w:rsid w:val="35E1012B"/>
    <w:rsid w:val="35E1505C"/>
    <w:rsid w:val="35E328B8"/>
    <w:rsid w:val="35E420DE"/>
    <w:rsid w:val="35E607CD"/>
    <w:rsid w:val="35F5734F"/>
    <w:rsid w:val="35F65884"/>
    <w:rsid w:val="35F715DC"/>
    <w:rsid w:val="36057267"/>
    <w:rsid w:val="362E1546"/>
    <w:rsid w:val="36330CA5"/>
    <w:rsid w:val="364236D7"/>
    <w:rsid w:val="367C0A7E"/>
    <w:rsid w:val="36856B5A"/>
    <w:rsid w:val="36883C27"/>
    <w:rsid w:val="36950061"/>
    <w:rsid w:val="36A32443"/>
    <w:rsid w:val="36A61ADA"/>
    <w:rsid w:val="36AC504E"/>
    <w:rsid w:val="36B45F51"/>
    <w:rsid w:val="36E17BD4"/>
    <w:rsid w:val="36F76FAD"/>
    <w:rsid w:val="370F6D7D"/>
    <w:rsid w:val="37113E21"/>
    <w:rsid w:val="37244D17"/>
    <w:rsid w:val="373F483B"/>
    <w:rsid w:val="37451D56"/>
    <w:rsid w:val="37737FCD"/>
    <w:rsid w:val="37831AFE"/>
    <w:rsid w:val="379747E4"/>
    <w:rsid w:val="37A10A3C"/>
    <w:rsid w:val="37A32862"/>
    <w:rsid w:val="37A771F1"/>
    <w:rsid w:val="37B25951"/>
    <w:rsid w:val="381523AC"/>
    <w:rsid w:val="3816611D"/>
    <w:rsid w:val="381D6FCC"/>
    <w:rsid w:val="382563C3"/>
    <w:rsid w:val="382B10C6"/>
    <w:rsid w:val="384502C9"/>
    <w:rsid w:val="384757BF"/>
    <w:rsid w:val="384D7A6B"/>
    <w:rsid w:val="38527F5E"/>
    <w:rsid w:val="38576EB1"/>
    <w:rsid w:val="386F64C6"/>
    <w:rsid w:val="38755246"/>
    <w:rsid w:val="3891497A"/>
    <w:rsid w:val="38934709"/>
    <w:rsid w:val="3899545E"/>
    <w:rsid w:val="389D36E7"/>
    <w:rsid w:val="38B10DA8"/>
    <w:rsid w:val="38B976FB"/>
    <w:rsid w:val="38BB5EDA"/>
    <w:rsid w:val="38C6779A"/>
    <w:rsid w:val="38DC2A26"/>
    <w:rsid w:val="38DC5040"/>
    <w:rsid w:val="38EA0958"/>
    <w:rsid w:val="38EA292A"/>
    <w:rsid w:val="38EB3140"/>
    <w:rsid w:val="38FC7F68"/>
    <w:rsid w:val="390150BD"/>
    <w:rsid w:val="39015BC8"/>
    <w:rsid w:val="39132EBE"/>
    <w:rsid w:val="3923223F"/>
    <w:rsid w:val="393F3649"/>
    <w:rsid w:val="39434B25"/>
    <w:rsid w:val="39442CC4"/>
    <w:rsid w:val="394A3B36"/>
    <w:rsid w:val="394C053B"/>
    <w:rsid w:val="39532D05"/>
    <w:rsid w:val="395A1855"/>
    <w:rsid w:val="3962425A"/>
    <w:rsid w:val="396E504E"/>
    <w:rsid w:val="39741673"/>
    <w:rsid w:val="397F2866"/>
    <w:rsid w:val="39850A26"/>
    <w:rsid w:val="399108C7"/>
    <w:rsid w:val="39A118CD"/>
    <w:rsid w:val="39B1002C"/>
    <w:rsid w:val="39B75345"/>
    <w:rsid w:val="39C83126"/>
    <w:rsid w:val="39D037AF"/>
    <w:rsid w:val="39D466BD"/>
    <w:rsid w:val="39D7158B"/>
    <w:rsid w:val="39E03897"/>
    <w:rsid w:val="39F17FFD"/>
    <w:rsid w:val="3A066160"/>
    <w:rsid w:val="3A0D48B1"/>
    <w:rsid w:val="3A274488"/>
    <w:rsid w:val="3A431472"/>
    <w:rsid w:val="3A474B1C"/>
    <w:rsid w:val="3A5207B4"/>
    <w:rsid w:val="3A541BF5"/>
    <w:rsid w:val="3A553D9F"/>
    <w:rsid w:val="3A5A285A"/>
    <w:rsid w:val="3A6A4AC7"/>
    <w:rsid w:val="3A72622B"/>
    <w:rsid w:val="3A9038DA"/>
    <w:rsid w:val="3A936647"/>
    <w:rsid w:val="3A9E4B32"/>
    <w:rsid w:val="3AA913CF"/>
    <w:rsid w:val="3AC036CC"/>
    <w:rsid w:val="3AC205A6"/>
    <w:rsid w:val="3AEA3CFC"/>
    <w:rsid w:val="3AF044A5"/>
    <w:rsid w:val="3AFC4CC9"/>
    <w:rsid w:val="3B00301D"/>
    <w:rsid w:val="3B1752EE"/>
    <w:rsid w:val="3B1C35AC"/>
    <w:rsid w:val="3B3155AA"/>
    <w:rsid w:val="3B4F1508"/>
    <w:rsid w:val="3B7B2B0A"/>
    <w:rsid w:val="3B914065"/>
    <w:rsid w:val="3BB249F7"/>
    <w:rsid w:val="3BBE3122"/>
    <w:rsid w:val="3BC20515"/>
    <w:rsid w:val="3BC53C74"/>
    <w:rsid w:val="3BC812C8"/>
    <w:rsid w:val="3BD741DE"/>
    <w:rsid w:val="3BE7491F"/>
    <w:rsid w:val="3BE82033"/>
    <w:rsid w:val="3BEF3F98"/>
    <w:rsid w:val="3C035D20"/>
    <w:rsid w:val="3C165216"/>
    <w:rsid w:val="3C220A63"/>
    <w:rsid w:val="3C286FD8"/>
    <w:rsid w:val="3C326DEB"/>
    <w:rsid w:val="3C3C1378"/>
    <w:rsid w:val="3C497D33"/>
    <w:rsid w:val="3C5C0867"/>
    <w:rsid w:val="3C685003"/>
    <w:rsid w:val="3C727A71"/>
    <w:rsid w:val="3C732FE2"/>
    <w:rsid w:val="3C7A3669"/>
    <w:rsid w:val="3C882BD0"/>
    <w:rsid w:val="3C94545E"/>
    <w:rsid w:val="3CAE0651"/>
    <w:rsid w:val="3CBC2D9B"/>
    <w:rsid w:val="3CCD1D16"/>
    <w:rsid w:val="3CD85D57"/>
    <w:rsid w:val="3CD87AA0"/>
    <w:rsid w:val="3CDB62C1"/>
    <w:rsid w:val="3CE26359"/>
    <w:rsid w:val="3CE70364"/>
    <w:rsid w:val="3CFD4D35"/>
    <w:rsid w:val="3D064D69"/>
    <w:rsid w:val="3D0E399D"/>
    <w:rsid w:val="3D12721E"/>
    <w:rsid w:val="3D351ADA"/>
    <w:rsid w:val="3D3D6CB6"/>
    <w:rsid w:val="3D4B2FA5"/>
    <w:rsid w:val="3D527DA5"/>
    <w:rsid w:val="3D546058"/>
    <w:rsid w:val="3D58650A"/>
    <w:rsid w:val="3D590765"/>
    <w:rsid w:val="3D640E16"/>
    <w:rsid w:val="3D67132F"/>
    <w:rsid w:val="3D7B0D27"/>
    <w:rsid w:val="3D896CEB"/>
    <w:rsid w:val="3D9A2D6C"/>
    <w:rsid w:val="3DB52668"/>
    <w:rsid w:val="3DDF7A0D"/>
    <w:rsid w:val="3E00097B"/>
    <w:rsid w:val="3E264903"/>
    <w:rsid w:val="3E2806A1"/>
    <w:rsid w:val="3E2E35CB"/>
    <w:rsid w:val="3E31025E"/>
    <w:rsid w:val="3E4755F9"/>
    <w:rsid w:val="3E556354"/>
    <w:rsid w:val="3E6336EF"/>
    <w:rsid w:val="3E6E2E9E"/>
    <w:rsid w:val="3E8222F7"/>
    <w:rsid w:val="3E8258B1"/>
    <w:rsid w:val="3E92738B"/>
    <w:rsid w:val="3E99456A"/>
    <w:rsid w:val="3EAF02B7"/>
    <w:rsid w:val="3EBD63D7"/>
    <w:rsid w:val="3EC334A7"/>
    <w:rsid w:val="3EE067CA"/>
    <w:rsid w:val="3EF57D05"/>
    <w:rsid w:val="3F002CCF"/>
    <w:rsid w:val="3F0566FF"/>
    <w:rsid w:val="3F06365D"/>
    <w:rsid w:val="3F0B1DB8"/>
    <w:rsid w:val="3F122278"/>
    <w:rsid w:val="3F155D82"/>
    <w:rsid w:val="3F47737F"/>
    <w:rsid w:val="3F5867B3"/>
    <w:rsid w:val="3F637202"/>
    <w:rsid w:val="3F664F14"/>
    <w:rsid w:val="3F7D65D1"/>
    <w:rsid w:val="3F9526FD"/>
    <w:rsid w:val="3FA10F73"/>
    <w:rsid w:val="3FA51002"/>
    <w:rsid w:val="3FB33F0F"/>
    <w:rsid w:val="3FB827B0"/>
    <w:rsid w:val="3FB9798A"/>
    <w:rsid w:val="3FBC4DF5"/>
    <w:rsid w:val="3FBE226E"/>
    <w:rsid w:val="3FC74EA5"/>
    <w:rsid w:val="3FC80A13"/>
    <w:rsid w:val="3FD001E0"/>
    <w:rsid w:val="3FDD5AA3"/>
    <w:rsid w:val="3FDD60EB"/>
    <w:rsid w:val="3FE1611D"/>
    <w:rsid w:val="3FFC6AA1"/>
    <w:rsid w:val="3FFE725C"/>
    <w:rsid w:val="400D4689"/>
    <w:rsid w:val="40742B10"/>
    <w:rsid w:val="40860806"/>
    <w:rsid w:val="408727EE"/>
    <w:rsid w:val="408D2092"/>
    <w:rsid w:val="40987E91"/>
    <w:rsid w:val="40AE535D"/>
    <w:rsid w:val="40B323C5"/>
    <w:rsid w:val="40BB1B3B"/>
    <w:rsid w:val="40C87F0D"/>
    <w:rsid w:val="40E13187"/>
    <w:rsid w:val="40F71EFC"/>
    <w:rsid w:val="40FC6040"/>
    <w:rsid w:val="41216561"/>
    <w:rsid w:val="412E1703"/>
    <w:rsid w:val="414E4666"/>
    <w:rsid w:val="415C6645"/>
    <w:rsid w:val="415D4AA5"/>
    <w:rsid w:val="41634269"/>
    <w:rsid w:val="41755F8B"/>
    <w:rsid w:val="417E6FB2"/>
    <w:rsid w:val="41804E56"/>
    <w:rsid w:val="418C5064"/>
    <w:rsid w:val="41901D5A"/>
    <w:rsid w:val="41AE168E"/>
    <w:rsid w:val="41B000EA"/>
    <w:rsid w:val="41BB28C5"/>
    <w:rsid w:val="41D7643D"/>
    <w:rsid w:val="41F41099"/>
    <w:rsid w:val="41F4144D"/>
    <w:rsid w:val="41F425A0"/>
    <w:rsid w:val="42004A07"/>
    <w:rsid w:val="42036CED"/>
    <w:rsid w:val="42044B55"/>
    <w:rsid w:val="42106699"/>
    <w:rsid w:val="421D3532"/>
    <w:rsid w:val="4253494B"/>
    <w:rsid w:val="42563DD4"/>
    <w:rsid w:val="425F0874"/>
    <w:rsid w:val="42605991"/>
    <w:rsid w:val="42624CEC"/>
    <w:rsid w:val="426B2083"/>
    <w:rsid w:val="42745271"/>
    <w:rsid w:val="42746AFF"/>
    <w:rsid w:val="428622E0"/>
    <w:rsid w:val="42A72E3E"/>
    <w:rsid w:val="42A9771E"/>
    <w:rsid w:val="42AF744D"/>
    <w:rsid w:val="42BE1411"/>
    <w:rsid w:val="42C3638C"/>
    <w:rsid w:val="42CC1C77"/>
    <w:rsid w:val="42CE7CBC"/>
    <w:rsid w:val="42EF6EDD"/>
    <w:rsid w:val="43043B4B"/>
    <w:rsid w:val="43260906"/>
    <w:rsid w:val="4329778C"/>
    <w:rsid w:val="434321EE"/>
    <w:rsid w:val="4357411B"/>
    <w:rsid w:val="43624524"/>
    <w:rsid w:val="436E4602"/>
    <w:rsid w:val="43773B38"/>
    <w:rsid w:val="437E59F4"/>
    <w:rsid w:val="437F0235"/>
    <w:rsid w:val="438127FD"/>
    <w:rsid w:val="438C318F"/>
    <w:rsid w:val="439125BA"/>
    <w:rsid w:val="43A136C2"/>
    <w:rsid w:val="43AE228C"/>
    <w:rsid w:val="43B2322B"/>
    <w:rsid w:val="43B27B0F"/>
    <w:rsid w:val="43BD17B6"/>
    <w:rsid w:val="43C60D41"/>
    <w:rsid w:val="43CB49D5"/>
    <w:rsid w:val="43CC296D"/>
    <w:rsid w:val="43D51B86"/>
    <w:rsid w:val="43D5596E"/>
    <w:rsid w:val="43EA4AD8"/>
    <w:rsid w:val="43F5608C"/>
    <w:rsid w:val="43FA20D7"/>
    <w:rsid w:val="440A1D09"/>
    <w:rsid w:val="44105FE6"/>
    <w:rsid w:val="44163757"/>
    <w:rsid w:val="442E6250"/>
    <w:rsid w:val="44336B29"/>
    <w:rsid w:val="44411D78"/>
    <w:rsid w:val="444255C8"/>
    <w:rsid w:val="44565401"/>
    <w:rsid w:val="4469425C"/>
    <w:rsid w:val="446C5925"/>
    <w:rsid w:val="44715BA6"/>
    <w:rsid w:val="4480267E"/>
    <w:rsid w:val="44813BCD"/>
    <w:rsid w:val="448F333F"/>
    <w:rsid w:val="449A5595"/>
    <w:rsid w:val="44A273D7"/>
    <w:rsid w:val="44A3165A"/>
    <w:rsid w:val="44A949BB"/>
    <w:rsid w:val="44BE6AFA"/>
    <w:rsid w:val="44BE7B38"/>
    <w:rsid w:val="44C10C52"/>
    <w:rsid w:val="44CE1860"/>
    <w:rsid w:val="450E225C"/>
    <w:rsid w:val="450E5F3E"/>
    <w:rsid w:val="451C3C3F"/>
    <w:rsid w:val="45282E33"/>
    <w:rsid w:val="45361C96"/>
    <w:rsid w:val="45367180"/>
    <w:rsid w:val="453936A0"/>
    <w:rsid w:val="4555071F"/>
    <w:rsid w:val="45634F36"/>
    <w:rsid w:val="456433C3"/>
    <w:rsid w:val="456745BB"/>
    <w:rsid w:val="45677DA7"/>
    <w:rsid w:val="45761FD8"/>
    <w:rsid w:val="457B0C49"/>
    <w:rsid w:val="458D3A63"/>
    <w:rsid w:val="4597177B"/>
    <w:rsid w:val="45A85821"/>
    <w:rsid w:val="45AA0EA4"/>
    <w:rsid w:val="45AC57A6"/>
    <w:rsid w:val="45B23BD8"/>
    <w:rsid w:val="45B52BBB"/>
    <w:rsid w:val="45C81474"/>
    <w:rsid w:val="45C85D55"/>
    <w:rsid w:val="45E349A9"/>
    <w:rsid w:val="45F22D7B"/>
    <w:rsid w:val="45F25B71"/>
    <w:rsid w:val="45F6092A"/>
    <w:rsid w:val="46122C2B"/>
    <w:rsid w:val="46202725"/>
    <w:rsid w:val="4624768B"/>
    <w:rsid w:val="46283409"/>
    <w:rsid w:val="462F257F"/>
    <w:rsid w:val="46316796"/>
    <w:rsid w:val="464C5980"/>
    <w:rsid w:val="464C598F"/>
    <w:rsid w:val="46541012"/>
    <w:rsid w:val="465B04AA"/>
    <w:rsid w:val="466B7E63"/>
    <w:rsid w:val="46726232"/>
    <w:rsid w:val="46795DED"/>
    <w:rsid w:val="468843FE"/>
    <w:rsid w:val="46991FD8"/>
    <w:rsid w:val="469D4E61"/>
    <w:rsid w:val="46D62B88"/>
    <w:rsid w:val="46D929E4"/>
    <w:rsid w:val="46DA3CDF"/>
    <w:rsid w:val="46DD3A97"/>
    <w:rsid w:val="46E122D5"/>
    <w:rsid w:val="46E72217"/>
    <w:rsid w:val="46EB56D0"/>
    <w:rsid w:val="46EF6BE5"/>
    <w:rsid w:val="46F94629"/>
    <w:rsid w:val="46FE33A2"/>
    <w:rsid w:val="47034B98"/>
    <w:rsid w:val="470675DD"/>
    <w:rsid w:val="47123D8D"/>
    <w:rsid w:val="471651A2"/>
    <w:rsid w:val="47195C33"/>
    <w:rsid w:val="47383706"/>
    <w:rsid w:val="473F3443"/>
    <w:rsid w:val="47442FEA"/>
    <w:rsid w:val="47476898"/>
    <w:rsid w:val="474825BA"/>
    <w:rsid w:val="47524966"/>
    <w:rsid w:val="4779594B"/>
    <w:rsid w:val="477E3FE9"/>
    <w:rsid w:val="47997ECC"/>
    <w:rsid w:val="47A938A8"/>
    <w:rsid w:val="47CA211A"/>
    <w:rsid w:val="47D00B76"/>
    <w:rsid w:val="47ED09EA"/>
    <w:rsid w:val="47F03825"/>
    <w:rsid w:val="47FE4F97"/>
    <w:rsid w:val="48050F31"/>
    <w:rsid w:val="480B064E"/>
    <w:rsid w:val="48152A57"/>
    <w:rsid w:val="481B77EC"/>
    <w:rsid w:val="481F00E4"/>
    <w:rsid w:val="48230137"/>
    <w:rsid w:val="482A5E63"/>
    <w:rsid w:val="48357C17"/>
    <w:rsid w:val="48360F72"/>
    <w:rsid w:val="486505C9"/>
    <w:rsid w:val="48717233"/>
    <w:rsid w:val="487736C7"/>
    <w:rsid w:val="4886149A"/>
    <w:rsid w:val="489C5A7F"/>
    <w:rsid w:val="489C5B95"/>
    <w:rsid w:val="48A53F58"/>
    <w:rsid w:val="48AF1323"/>
    <w:rsid w:val="48B2080D"/>
    <w:rsid w:val="48BE6136"/>
    <w:rsid w:val="48C17060"/>
    <w:rsid w:val="48D93445"/>
    <w:rsid w:val="48DA1D9C"/>
    <w:rsid w:val="48E915DE"/>
    <w:rsid w:val="490425AB"/>
    <w:rsid w:val="49076238"/>
    <w:rsid w:val="49104838"/>
    <w:rsid w:val="49250443"/>
    <w:rsid w:val="49276313"/>
    <w:rsid w:val="4930158D"/>
    <w:rsid w:val="493166F2"/>
    <w:rsid w:val="495B2F5A"/>
    <w:rsid w:val="49660B64"/>
    <w:rsid w:val="496E056A"/>
    <w:rsid w:val="497E5F0E"/>
    <w:rsid w:val="49895BF9"/>
    <w:rsid w:val="49896889"/>
    <w:rsid w:val="49A20032"/>
    <w:rsid w:val="49A82756"/>
    <w:rsid w:val="49A86BF4"/>
    <w:rsid w:val="49A902DE"/>
    <w:rsid w:val="49A961CD"/>
    <w:rsid w:val="49B57903"/>
    <w:rsid w:val="49BB0B72"/>
    <w:rsid w:val="49F44446"/>
    <w:rsid w:val="4A037F7B"/>
    <w:rsid w:val="4A0C3345"/>
    <w:rsid w:val="4A2A339F"/>
    <w:rsid w:val="4A3D1213"/>
    <w:rsid w:val="4A405618"/>
    <w:rsid w:val="4A42752E"/>
    <w:rsid w:val="4A463FDD"/>
    <w:rsid w:val="4A4D6FE1"/>
    <w:rsid w:val="4A51053D"/>
    <w:rsid w:val="4A5B2412"/>
    <w:rsid w:val="4A6B6C00"/>
    <w:rsid w:val="4A7A1A7F"/>
    <w:rsid w:val="4A7C6D92"/>
    <w:rsid w:val="4A8B2BFF"/>
    <w:rsid w:val="4AA637CE"/>
    <w:rsid w:val="4AAA2363"/>
    <w:rsid w:val="4AAC0232"/>
    <w:rsid w:val="4AB420A2"/>
    <w:rsid w:val="4AB971E8"/>
    <w:rsid w:val="4AC462B3"/>
    <w:rsid w:val="4AC908CA"/>
    <w:rsid w:val="4ACE3D63"/>
    <w:rsid w:val="4AD13FBF"/>
    <w:rsid w:val="4AF33411"/>
    <w:rsid w:val="4AFC4739"/>
    <w:rsid w:val="4AFF7966"/>
    <w:rsid w:val="4B0F4D9F"/>
    <w:rsid w:val="4B2B654D"/>
    <w:rsid w:val="4B2D2A9B"/>
    <w:rsid w:val="4B331125"/>
    <w:rsid w:val="4B3405F9"/>
    <w:rsid w:val="4B5151AA"/>
    <w:rsid w:val="4B537CBF"/>
    <w:rsid w:val="4B550153"/>
    <w:rsid w:val="4B7A237E"/>
    <w:rsid w:val="4B86443F"/>
    <w:rsid w:val="4B9A0C4D"/>
    <w:rsid w:val="4B9B3B70"/>
    <w:rsid w:val="4BB7667A"/>
    <w:rsid w:val="4BBB242F"/>
    <w:rsid w:val="4BC15B7C"/>
    <w:rsid w:val="4BCC5B3C"/>
    <w:rsid w:val="4BD06F1C"/>
    <w:rsid w:val="4BD11B2A"/>
    <w:rsid w:val="4BD47BEF"/>
    <w:rsid w:val="4BE06BCD"/>
    <w:rsid w:val="4BE86538"/>
    <w:rsid w:val="4C040A9A"/>
    <w:rsid w:val="4C0770C1"/>
    <w:rsid w:val="4C1F0776"/>
    <w:rsid w:val="4C232063"/>
    <w:rsid w:val="4C2C299D"/>
    <w:rsid w:val="4C3238CA"/>
    <w:rsid w:val="4C3D0756"/>
    <w:rsid w:val="4C4C1686"/>
    <w:rsid w:val="4C513E4B"/>
    <w:rsid w:val="4C603F1D"/>
    <w:rsid w:val="4C670EB1"/>
    <w:rsid w:val="4C712086"/>
    <w:rsid w:val="4C7120EC"/>
    <w:rsid w:val="4C7B3D80"/>
    <w:rsid w:val="4C7E2355"/>
    <w:rsid w:val="4C847264"/>
    <w:rsid w:val="4C970E7B"/>
    <w:rsid w:val="4CEF637A"/>
    <w:rsid w:val="4CF16277"/>
    <w:rsid w:val="4CF4672D"/>
    <w:rsid w:val="4D147026"/>
    <w:rsid w:val="4D165C91"/>
    <w:rsid w:val="4D235945"/>
    <w:rsid w:val="4D2F06BA"/>
    <w:rsid w:val="4D304130"/>
    <w:rsid w:val="4D4330D3"/>
    <w:rsid w:val="4D545407"/>
    <w:rsid w:val="4D694F30"/>
    <w:rsid w:val="4D717BA1"/>
    <w:rsid w:val="4D855FB9"/>
    <w:rsid w:val="4D8A0B26"/>
    <w:rsid w:val="4D904FEE"/>
    <w:rsid w:val="4D910D8A"/>
    <w:rsid w:val="4D97309D"/>
    <w:rsid w:val="4D9E090F"/>
    <w:rsid w:val="4DAC6E91"/>
    <w:rsid w:val="4DB63BC4"/>
    <w:rsid w:val="4DBB2984"/>
    <w:rsid w:val="4DDD5EB7"/>
    <w:rsid w:val="4DDE45A5"/>
    <w:rsid w:val="4E043A0E"/>
    <w:rsid w:val="4E125681"/>
    <w:rsid w:val="4E1339D8"/>
    <w:rsid w:val="4E145C86"/>
    <w:rsid w:val="4E337E4B"/>
    <w:rsid w:val="4E3C5DC0"/>
    <w:rsid w:val="4E446F8B"/>
    <w:rsid w:val="4E5669BF"/>
    <w:rsid w:val="4E651EA6"/>
    <w:rsid w:val="4E6C4048"/>
    <w:rsid w:val="4E836C4E"/>
    <w:rsid w:val="4E957162"/>
    <w:rsid w:val="4EBD4562"/>
    <w:rsid w:val="4EBE0F4C"/>
    <w:rsid w:val="4ECD0F14"/>
    <w:rsid w:val="4ED017E4"/>
    <w:rsid w:val="4EDC1716"/>
    <w:rsid w:val="4EDF6F4B"/>
    <w:rsid w:val="4EE24F10"/>
    <w:rsid w:val="4EE8461F"/>
    <w:rsid w:val="4F0206C2"/>
    <w:rsid w:val="4F1C2B4C"/>
    <w:rsid w:val="4F1E1A5A"/>
    <w:rsid w:val="4F2D5479"/>
    <w:rsid w:val="4F3127D8"/>
    <w:rsid w:val="4F3B798B"/>
    <w:rsid w:val="4F424396"/>
    <w:rsid w:val="4F461737"/>
    <w:rsid w:val="4F507138"/>
    <w:rsid w:val="4F594949"/>
    <w:rsid w:val="4F5A315B"/>
    <w:rsid w:val="4F7041A7"/>
    <w:rsid w:val="4F7C7D62"/>
    <w:rsid w:val="4F8865D2"/>
    <w:rsid w:val="4F9A400D"/>
    <w:rsid w:val="4FA11827"/>
    <w:rsid w:val="4FA57761"/>
    <w:rsid w:val="4FC12B67"/>
    <w:rsid w:val="4FD409F7"/>
    <w:rsid w:val="4FD41054"/>
    <w:rsid w:val="4FD66F8D"/>
    <w:rsid w:val="4FDB5605"/>
    <w:rsid w:val="4FDF7D08"/>
    <w:rsid w:val="4FE45662"/>
    <w:rsid w:val="4FE66728"/>
    <w:rsid w:val="4FFA1BE3"/>
    <w:rsid w:val="50036BC4"/>
    <w:rsid w:val="500B0DCA"/>
    <w:rsid w:val="500C2A95"/>
    <w:rsid w:val="50133F8A"/>
    <w:rsid w:val="50140C07"/>
    <w:rsid w:val="50200664"/>
    <w:rsid w:val="50417E32"/>
    <w:rsid w:val="504768E3"/>
    <w:rsid w:val="504F769B"/>
    <w:rsid w:val="50537FDD"/>
    <w:rsid w:val="50622728"/>
    <w:rsid w:val="508F1D63"/>
    <w:rsid w:val="509A55F2"/>
    <w:rsid w:val="50A36924"/>
    <w:rsid w:val="50AA341E"/>
    <w:rsid w:val="50AB4E2F"/>
    <w:rsid w:val="50AC2418"/>
    <w:rsid w:val="50B70FED"/>
    <w:rsid w:val="50BA643F"/>
    <w:rsid w:val="50E57F59"/>
    <w:rsid w:val="510319B4"/>
    <w:rsid w:val="51187091"/>
    <w:rsid w:val="513B4CBD"/>
    <w:rsid w:val="513F2A79"/>
    <w:rsid w:val="514E5DF0"/>
    <w:rsid w:val="51505C49"/>
    <w:rsid w:val="515F5E7D"/>
    <w:rsid w:val="51621B03"/>
    <w:rsid w:val="51736010"/>
    <w:rsid w:val="518140E8"/>
    <w:rsid w:val="518B0D8B"/>
    <w:rsid w:val="519E4C2D"/>
    <w:rsid w:val="51A23180"/>
    <w:rsid w:val="51B625E5"/>
    <w:rsid w:val="51BB3190"/>
    <w:rsid w:val="51C50057"/>
    <w:rsid w:val="51CA6470"/>
    <w:rsid w:val="51DC7D4F"/>
    <w:rsid w:val="51E372D3"/>
    <w:rsid w:val="51F763C2"/>
    <w:rsid w:val="52165ED6"/>
    <w:rsid w:val="52170D68"/>
    <w:rsid w:val="521E330E"/>
    <w:rsid w:val="52210969"/>
    <w:rsid w:val="52250331"/>
    <w:rsid w:val="52251937"/>
    <w:rsid w:val="522D32DC"/>
    <w:rsid w:val="52436B21"/>
    <w:rsid w:val="52541687"/>
    <w:rsid w:val="525808AD"/>
    <w:rsid w:val="52606B21"/>
    <w:rsid w:val="526142ED"/>
    <w:rsid w:val="52675267"/>
    <w:rsid w:val="526A42D2"/>
    <w:rsid w:val="527456A0"/>
    <w:rsid w:val="52775B19"/>
    <w:rsid w:val="528F6528"/>
    <w:rsid w:val="5294173C"/>
    <w:rsid w:val="52AE3C1C"/>
    <w:rsid w:val="52B277B6"/>
    <w:rsid w:val="52B539F6"/>
    <w:rsid w:val="52B87EDF"/>
    <w:rsid w:val="52C2744F"/>
    <w:rsid w:val="52CF2A7E"/>
    <w:rsid w:val="52D52D8A"/>
    <w:rsid w:val="52D70C29"/>
    <w:rsid w:val="52E2403D"/>
    <w:rsid w:val="52E87FC9"/>
    <w:rsid w:val="530445BC"/>
    <w:rsid w:val="53184746"/>
    <w:rsid w:val="531972CB"/>
    <w:rsid w:val="532E4AC7"/>
    <w:rsid w:val="537A04E8"/>
    <w:rsid w:val="53874180"/>
    <w:rsid w:val="53A430C7"/>
    <w:rsid w:val="53BA49C0"/>
    <w:rsid w:val="53C92C10"/>
    <w:rsid w:val="53D111B0"/>
    <w:rsid w:val="53D73576"/>
    <w:rsid w:val="53EB4289"/>
    <w:rsid w:val="53FE5A9E"/>
    <w:rsid w:val="54257FE2"/>
    <w:rsid w:val="5428581F"/>
    <w:rsid w:val="54451C08"/>
    <w:rsid w:val="5450152B"/>
    <w:rsid w:val="54591BCD"/>
    <w:rsid w:val="546936FE"/>
    <w:rsid w:val="547034CA"/>
    <w:rsid w:val="547801F9"/>
    <w:rsid w:val="54967702"/>
    <w:rsid w:val="54B34E33"/>
    <w:rsid w:val="54C766D3"/>
    <w:rsid w:val="54E35B83"/>
    <w:rsid w:val="54E5570D"/>
    <w:rsid w:val="54E85406"/>
    <w:rsid w:val="54EE4DEC"/>
    <w:rsid w:val="54F93AE7"/>
    <w:rsid w:val="55012EF3"/>
    <w:rsid w:val="55022588"/>
    <w:rsid w:val="55252910"/>
    <w:rsid w:val="552677BE"/>
    <w:rsid w:val="553772EA"/>
    <w:rsid w:val="553A6D2E"/>
    <w:rsid w:val="555A0EDC"/>
    <w:rsid w:val="55677E49"/>
    <w:rsid w:val="55692EAC"/>
    <w:rsid w:val="55714147"/>
    <w:rsid w:val="55861EC8"/>
    <w:rsid w:val="5588140B"/>
    <w:rsid w:val="55891D85"/>
    <w:rsid w:val="55A57957"/>
    <w:rsid w:val="55AA469C"/>
    <w:rsid w:val="55BD3120"/>
    <w:rsid w:val="55BF56EA"/>
    <w:rsid w:val="55C103AC"/>
    <w:rsid w:val="55C423B5"/>
    <w:rsid w:val="55C6074D"/>
    <w:rsid w:val="55C86079"/>
    <w:rsid w:val="55EE6E58"/>
    <w:rsid w:val="55F2238E"/>
    <w:rsid w:val="55F24132"/>
    <w:rsid w:val="55FB05FF"/>
    <w:rsid w:val="55FC794D"/>
    <w:rsid w:val="56387876"/>
    <w:rsid w:val="56391384"/>
    <w:rsid w:val="565907FF"/>
    <w:rsid w:val="565D6940"/>
    <w:rsid w:val="566101A8"/>
    <w:rsid w:val="56666AC5"/>
    <w:rsid w:val="56701442"/>
    <w:rsid w:val="56793306"/>
    <w:rsid w:val="56797C74"/>
    <w:rsid w:val="568116C5"/>
    <w:rsid w:val="568F0B4D"/>
    <w:rsid w:val="569C03A7"/>
    <w:rsid w:val="56A304C3"/>
    <w:rsid w:val="56B44FF7"/>
    <w:rsid w:val="56B76AF7"/>
    <w:rsid w:val="56BA5BFC"/>
    <w:rsid w:val="56D60D34"/>
    <w:rsid w:val="56F50794"/>
    <w:rsid w:val="56FC12BF"/>
    <w:rsid w:val="57103E85"/>
    <w:rsid w:val="576019A8"/>
    <w:rsid w:val="576F00D0"/>
    <w:rsid w:val="57780B15"/>
    <w:rsid w:val="577C7921"/>
    <w:rsid w:val="578130EB"/>
    <w:rsid w:val="579016BB"/>
    <w:rsid w:val="57961B8E"/>
    <w:rsid w:val="57A05D52"/>
    <w:rsid w:val="57A65B21"/>
    <w:rsid w:val="57A93B1C"/>
    <w:rsid w:val="57B30CCB"/>
    <w:rsid w:val="57B82FE8"/>
    <w:rsid w:val="57BA183B"/>
    <w:rsid w:val="57BC21E8"/>
    <w:rsid w:val="57C64CE3"/>
    <w:rsid w:val="57CF411E"/>
    <w:rsid w:val="57CF6469"/>
    <w:rsid w:val="57F75230"/>
    <w:rsid w:val="57FA5E75"/>
    <w:rsid w:val="58000E35"/>
    <w:rsid w:val="58222E9F"/>
    <w:rsid w:val="582D3231"/>
    <w:rsid w:val="58316A55"/>
    <w:rsid w:val="583F3207"/>
    <w:rsid w:val="58452DB9"/>
    <w:rsid w:val="58484E27"/>
    <w:rsid w:val="58592455"/>
    <w:rsid w:val="586815ED"/>
    <w:rsid w:val="586B3009"/>
    <w:rsid w:val="58775EED"/>
    <w:rsid w:val="58790B5B"/>
    <w:rsid w:val="588D7FDD"/>
    <w:rsid w:val="58924ECC"/>
    <w:rsid w:val="5895256C"/>
    <w:rsid w:val="58965AA7"/>
    <w:rsid w:val="589D4D39"/>
    <w:rsid w:val="58AE31F5"/>
    <w:rsid w:val="58BD1D42"/>
    <w:rsid w:val="58C04526"/>
    <w:rsid w:val="58DE296B"/>
    <w:rsid w:val="58E05B85"/>
    <w:rsid w:val="58F979E8"/>
    <w:rsid w:val="58FB6C25"/>
    <w:rsid w:val="58FE08ED"/>
    <w:rsid w:val="59061DAE"/>
    <w:rsid w:val="591557DB"/>
    <w:rsid w:val="591A5C30"/>
    <w:rsid w:val="59371CA9"/>
    <w:rsid w:val="593C5853"/>
    <w:rsid w:val="5940158A"/>
    <w:rsid w:val="594606CC"/>
    <w:rsid w:val="596C25D4"/>
    <w:rsid w:val="597028E6"/>
    <w:rsid w:val="597D38D7"/>
    <w:rsid w:val="59935094"/>
    <w:rsid w:val="59A62A34"/>
    <w:rsid w:val="59AB1748"/>
    <w:rsid w:val="59B159CB"/>
    <w:rsid w:val="59B51848"/>
    <w:rsid w:val="59C03938"/>
    <w:rsid w:val="59C811F1"/>
    <w:rsid w:val="59C83D69"/>
    <w:rsid w:val="59CF1C3E"/>
    <w:rsid w:val="59D87B36"/>
    <w:rsid w:val="59E57113"/>
    <w:rsid w:val="59E91981"/>
    <w:rsid w:val="59F42704"/>
    <w:rsid w:val="59FD1C88"/>
    <w:rsid w:val="5A02215A"/>
    <w:rsid w:val="5A0823EC"/>
    <w:rsid w:val="5A0B4999"/>
    <w:rsid w:val="5A1219E8"/>
    <w:rsid w:val="5A1601E1"/>
    <w:rsid w:val="5A272110"/>
    <w:rsid w:val="5A2F52ED"/>
    <w:rsid w:val="5A341010"/>
    <w:rsid w:val="5A3A1517"/>
    <w:rsid w:val="5A51154D"/>
    <w:rsid w:val="5A612789"/>
    <w:rsid w:val="5A7B2C70"/>
    <w:rsid w:val="5A7C2218"/>
    <w:rsid w:val="5A7C5822"/>
    <w:rsid w:val="5A847FE5"/>
    <w:rsid w:val="5A9B3B8F"/>
    <w:rsid w:val="5A9E6004"/>
    <w:rsid w:val="5AAB402B"/>
    <w:rsid w:val="5AAF46FD"/>
    <w:rsid w:val="5AC526EE"/>
    <w:rsid w:val="5AD45224"/>
    <w:rsid w:val="5B0A16D4"/>
    <w:rsid w:val="5B0B0FE2"/>
    <w:rsid w:val="5B1029A0"/>
    <w:rsid w:val="5B2B1ACA"/>
    <w:rsid w:val="5B356E68"/>
    <w:rsid w:val="5B43203B"/>
    <w:rsid w:val="5B5335BE"/>
    <w:rsid w:val="5B6A6045"/>
    <w:rsid w:val="5B6C39BD"/>
    <w:rsid w:val="5B7B1E82"/>
    <w:rsid w:val="5B944D80"/>
    <w:rsid w:val="5B9509FD"/>
    <w:rsid w:val="5BB81EEF"/>
    <w:rsid w:val="5BC23198"/>
    <w:rsid w:val="5BCE2157"/>
    <w:rsid w:val="5BD2376F"/>
    <w:rsid w:val="5BEA66B7"/>
    <w:rsid w:val="5BEB4DCC"/>
    <w:rsid w:val="5C0042AF"/>
    <w:rsid w:val="5C021D5C"/>
    <w:rsid w:val="5C097E8B"/>
    <w:rsid w:val="5C116FBD"/>
    <w:rsid w:val="5C18254C"/>
    <w:rsid w:val="5C1B2C25"/>
    <w:rsid w:val="5C1E0099"/>
    <w:rsid w:val="5C261AD7"/>
    <w:rsid w:val="5C2A4D2E"/>
    <w:rsid w:val="5C317C76"/>
    <w:rsid w:val="5C35045C"/>
    <w:rsid w:val="5C3C56AD"/>
    <w:rsid w:val="5C3D32DD"/>
    <w:rsid w:val="5C404666"/>
    <w:rsid w:val="5C422461"/>
    <w:rsid w:val="5C48686D"/>
    <w:rsid w:val="5C4F52A1"/>
    <w:rsid w:val="5C4F75E7"/>
    <w:rsid w:val="5C50319B"/>
    <w:rsid w:val="5C5371DE"/>
    <w:rsid w:val="5C5F094C"/>
    <w:rsid w:val="5C633837"/>
    <w:rsid w:val="5C7E39D8"/>
    <w:rsid w:val="5CA474D4"/>
    <w:rsid w:val="5CAC4293"/>
    <w:rsid w:val="5CB64B19"/>
    <w:rsid w:val="5CC829D4"/>
    <w:rsid w:val="5CD612EC"/>
    <w:rsid w:val="5CE76E4E"/>
    <w:rsid w:val="5CF85D55"/>
    <w:rsid w:val="5D042519"/>
    <w:rsid w:val="5D10070C"/>
    <w:rsid w:val="5D1077A1"/>
    <w:rsid w:val="5D193562"/>
    <w:rsid w:val="5D360039"/>
    <w:rsid w:val="5D421B63"/>
    <w:rsid w:val="5D467576"/>
    <w:rsid w:val="5D543240"/>
    <w:rsid w:val="5D5434CB"/>
    <w:rsid w:val="5D5A25C6"/>
    <w:rsid w:val="5D7B2BAE"/>
    <w:rsid w:val="5D893541"/>
    <w:rsid w:val="5D8C28B4"/>
    <w:rsid w:val="5D9934EC"/>
    <w:rsid w:val="5DAB1E9E"/>
    <w:rsid w:val="5DBC3F54"/>
    <w:rsid w:val="5DCA57DD"/>
    <w:rsid w:val="5DD74A14"/>
    <w:rsid w:val="5DDC2477"/>
    <w:rsid w:val="5DF11D42"/>
    <w:rsid w:val="5DFA2E17"/>
    <w:rsid w:val="5DFB0C01"/>
    <w:rsid w:val="5E006537"/>
    <w:rsid w:val="5E2374D1"/>
    <w:rsid w:val="5E490493"/>
    <w:rsid w:val="5E4D4054"/>
    <w:rsid w:val="5E4F4CEC"/>
    <w:rsid w:val="5E521705"/>
    <w:rsid w:val="5E7334F8"/>
    <w:rsid w:val="5E842B6A"/>
    <w:rsid w:val="5E911FAC"/>
    <w:rsid w:val="5E9373FC"/>
    <w:rsid w:val="5EC57A3D"/>
    <w:rsid w:val="5ECB275F"/>
    <w:rsid w:val="5ECE2836"/>
    <w:rsid w:val="5EDB5813"/>
    <w:rsid w:val="5EEC409E"/>
    <w:rsid w:val="5EF2448C"/>
    <w:rsid w:val="5EF442F3"/>
    <w:rsid w:val="5F3A21FA"/>
    <w:rsid w:val="5F490636"/>
    <w:rsid w:val="5F4A6244"/>
    <w:rsid w:val="5F7D5743"/>
    <w:rsid w:val="5F902061"/>
    <w:rsid w:val="5F942C15"/>
    <w:rsid w:val="5FA57B43"/>
    <w:rsid w:val="5FB560BB"/>
    <w:rsid w:val="5FB62CD8"/>
    <w:rsid w:val="5FC20790"/>
    <w:rsid w:val="5FC91DE9"/>
    <w:rsid w:val="5FD820A7"/>
    <w:rsid w:val="5FDF0C33"/>
    <w:rsid w:val="5FE25D83"/>
    <w:rsid w:val="5FFC5DE4"/>
    <w:rsid w:val="60195F65"/>
    <w:rsid w:val="6023016C"/>
    <w:rsid w:val="602924AC"/>
    <w:rsid w:val="602B5AAA"/>
    <w:rsid w:val="60334B2A"/>
    <w:rsid w:val="603E7B8A"/>
    <w:rsid w:val="6056292C"/>
    <w:rsid w:val="606502AC"/>
    <w:rsid w:val="60660D11"/>
    <w:rsid w:val="60687B01"/>
    <w:rsid w:val="606D5453"/>
    <w:rsid w:val="607044B9"/>
    <w:rsid w:val="6078579C"/>
    <w:rsid w:val="608159C3"/>
    <w:rsid w:val="60904724"/>
    <w:rsid w:val="60934023"/>
    <w:rsid w:val="60947BEA"/>
    <w:rsid w:val="609B6315"/>
    <w:rsid w:val="60AC169F"/>
    <w:rsid w:val="60AF0E29"/>
    <w:rsid w:val="60C47684"/>
    <w:rsid w:val="60C90EA4"/>
    <w:rsid w:val="60CF0514"/>
    <w:rsid w:val="60D3569F"/>
    <w:rsid w:val="60D4537B"/>
    <w:rsid w:val="60E02B8F"/>
    <w:rsid w:val="60E92E1A"/>
    <w:rsid w:val="60F37DA9"/>
    <w:rsid w:val="60FA110C"/>
    <w:rsid w:val="60FA46E4"/>
    <w:rsid w:val="60FE00AF"/>
    <w:rsid w:val="60FE35D0"/>
    <w:rsid w:val="61064296"/>
    <w:rsid w:val="610864CC"/>
    <w:rsid w:val="610958BB"/>
    <w:rsid w:val="61164EEF"/>
    <w:rsid w:val="61176A85"/>
    <w:rsid w:val="611A697F"/>
    <w:rsid w:val="612143A4"/>
    <w:rsid w:val="61221695"/>
    <w:rsid w:val="61254671"/>
    <w:rsid w:val="612E3337"/>
    <w:rsid w:val="614B5BCE"/>
    <w:rsid w:val="614D2B5A"/>
    <w:rsid w:val="6155426A"/>
    <w:rsid w:val="615755AF"/>
    <w:rsid w:val="616C2054"/>
    <w:rsid w:val="616E3976"/>
    <w:rsid w:val="617D0D60"/>
    <w:rsid w:val="618563BE"/>
    <w:rsid w:val="61867017"/>
    <w:rsid w:val="618F22FB"/>
    <w:rsid w:val="61B15149"/>
    <w:rsid w:val="61B16AF8"/>
    <w:rsid w:val="61B71C73"/>
    <w:rsid w:val="61DA6BBA"/>
    <w:rsid w:val="61E51E0F"/>
    <w:rsid w:val="61E852C9"/>
    <w:rsid w:val="61EE28BD"/>
    <w:rsid w:val="61F0115C"/>
    <w:rsid w:val="62070260"/>
    <w:rsid w:val="6222428F"/>
    <w:rsid w:val="623328EA"/>
    <w:rsid w:val="62390C34"/>
    <w:rsid w:val="6239162C"/>
    <w:rsid w:val="623D5E3F"/>
    <w:rsid w:val="6241252A"/>
    <w:rsid w:val="62464E95"/>
    <w:rsid w:val="62475095"/>
    <w:rsid w:val="625377EA"/>
    <w:rsid w:val="625D49CE"/>
    <w:rsid w:val="627E327C"/>
    <w:rsid w:val="629963D8"/>
    <w:rsid w:val="62B3642B"/>
    <w:rsid w:val="62E05F11"/>
    <w:rsid w:val="62F571B6"/>
    <w:rsid w:val="62F91A8D"/>
    <w:rsid w:val="63016DD9"/>
    <w:rsid w:val="630D5FB3"/>
    <w:rsid w:val="631D12C4"/>
    <w:rsid w:val="632F0EFF"/>
    <w:rsid w:val="633159CB"/>
    <w:rsid w:val="633B2B0B"/>
    <w:rsid w:val="634A145E"/>
    <w:rsid w:val="634E753F"/>
    <w:rsid w:val="63607ED4"/>
    <w:rsid w:val="636A3942"/>
    <w:rsid w:val="636B5C5F"/>
    <w:rsid w:val="637919F5"/>
    <w:rsid w:val="637A710D"/>
    <w:rsid w:val="637D2E4D"/>
    <w:rsid w:val="6388225F"/>
    <w:rsid w:val="63B253E1"/>
    <w:rsid w:val="63D86821"/>
    <w:rsid w:val="63D8720B"/>
    <w:rsid w:val="63E02D15"/>
    <w:rsid w:val="63E25AFD"/>
    <w:rsid w:val="63F03B38"/>
    <w:rsid w:val="63F731A5"/>
    <w:rsid w:val="63FC766C"/>
    <w:rsid w:val="63FE2454"/>
    <w:rsid w:val="64022F76"/>
    <w:rsid w:val="64231408"/>
    <w:rsid w:val="643A7824"/>
    <w:rsid w:val="64553AA4"/>
    <w:rsid w:val="64564ED9"/>
    <w:rsid w:val="6467123E"/>
    <w:rsid w:val="64706790"/>
    <w:rsid w:val="64724898"/>
    <w:rsid w:val="647C3BBA"/>
    <w:rsid w:val="64805997"/>
    <w:rsid w:val="64823A3A"/>
    <w:rsid w:val="64855B2D"/>
    <w:rsid w:val="64867427"/>
    <w:rsid w:val="648A2250"/>
    <w:rsid w:val="648B1491"/>
    <w:rsid w:val="649A52C8"/>
    <w:rsid w:val="64B0747D"/>
    <w:rsid w:val="64B6071F"/>
    <w:rsid w:val="64C03551"/>
    <w:rsid w:val="64C6530B"/>
    <w:rsid w:val="64D9451E"/>
    <w:rsid w:val="64FA5C63"/>
    <w:rsid w:val="6532464B"/>
    <w:rsid w:val="653A34E5"/>
    <w:rsid w:val="653C6B1D"/>
    <w:rsid w:val="65433415"/>
    <w:rsid w:val="65463750"/>
    <w:rsid w:val="654E3228"/>
    <w:rsid w:val="65537C6B"/>
    <w:rsid w:val="655C685E"/>
    <w:rsid w:val="65622086"/>
    <w:rsid w:val="65644A63"/>
    <w:rsid w:val="656E3321"/>
    <w:rsid w:val="65757B8D"/>
    <w:rsid w:val="65764BA6"/>
    <w:rsid w:val="658E776E"/>
    <w:rsid w:val="65A62A91"/>
    <w:rsid w:val="65A8734A"/>
    <w:rsid w:val="65B430CC"/>
    <w:rsid w:val="65CC6A3A"/>
    <w:rsid w:val="65DB0A99"/>
    <w:rsid w:val="65E919BF"/>
    <w:rsid w:val="65F73BB4"/>
    <w:rsid w:val="660658FA"/>
    <w:rsid w:val="660B1805"/>
    <w:rsid w:val="66300C32"/>
    <w:rsid w:val="6644369D"/>
    <w:rsid w:val="66741783"/>
    <w:rsid w:val="66870478"/>
    <w:rsid w:val="66892842"/>
    <w:rsid w:val="66917990"/>
    <w:rsid w:val="66941DAA"/>
    <w:rsid w:val="66972F96"/>
    <w:rsid w:val="66976DD4"/>
    <w:rsid w:val="66A54376"/>
    <w:rsid w:val="66AD1818"/>
    <w:rsid w:val="66AD4A88"/>
    <w:rsid w:val="66B4636B"/>
    <w:rsid w:val="66C2655F"/>
    <w:rsid w:val="66D20F68"/>
    <w:rsid w:val="66D6103F"/>
    <w:rsid w:val="66DC2051"/>
    <w:rsid w:val="670027A0"/>
    <w:rsid w:val="670E178E"/>
    <w:rsid w:val="674B4E59"/>
    <w:rsid w:val="675005EC"/>
    <w:rsid w:val="675E366D"/>
    <w:rsid w:val="67635837"/>
    <w:rsid w:val="67690F3D"/>
    <w:rsid w:val="676B3A7C"/>
    <w:rsid w:val="677011BD"/>
    <w:rsid w:val="6770452E"/>
    <w:rsid w:val="67750EBE"/>
    <w:rsid w:val="67816012"/>
    <w:rsid w:val="678C278B"/>
    <w:rsid w:val="67991948"/>
    <w:rsid w:val="67AB3E74"/>
    <w:rsid w:val="67B0438B"/>
    <w:rsid w:val="67B71656"/>
    <w:rsid w:val="67B723B3"/>
    <w:rsid w:val="67B743E8"/>
    <w:rsid w:val="67D74048"/>
    <w:rsid w:val="67E51F56"/>
    <w:rsid w:val="6802359C"/>
    <w:rsid w:val="680A257F"/>
    <w:rsid w:val="68373462"/>
    <w:rsid w:val="685C0FCA"/>
    <w:rsid w:val="686926D4"/>
    <w:rsid w:val="68784EDA"/>
    <w:rsid w:val="687A62EB"/>
    <w:rsid w:val="687B4F8F"/>
    <w:rsid w:val="688C0135"/>
    <w:rsid w:val="688D57D8"/>
    <w:rsid w:val="6897438E"/>
    <w:rsid w:val="68A550D0"/>
    <w:rsid w:val="68A57A2E"/>
    <w:rsid w:val="68D015E0"/>
    <w:rsid w:val="68D33B58"/>
    <w:rsid w:val="68F51C33"/>
    <w:rsid w:val="68FE7853"/>
    <w:rsid w:val="68FF6668"/>
    <w:rsid w:val="6901117B"/>
    <w:rsid w:val="691D61F1"/>
    <w:rsid w:val="691E3879"/>
    <w:rsid w:val="69211467"/>
    <w:rsid w:val="69257A7E"/>
    <w:rsid w:val="69277662"/>
    <w:rsid w:val="69345F83"/>
    <w:rsid w:val="69392613"/>
    <w:rsid w:val="69392966"/>
    <w:rsid w:val="693C2B63"/>
    <w:rsid w:val="694E1147"/>
    <w:rsid w:val="69520D7A"/>
    <w:rsid w:val="696206D3"/>
    <w:rsid w:val="6967756D"/>
    <w:rsid w:val="699B6DC8"/>
    <w:rsid w:val="69A97058"/>
    <w:rsid w:val="69D72910"/>
    <w:rsid w:val="69D94035"/>
    <w:rsid w:val="69DC26A6"/>
    <w:rsid w:val="69E37874"/>
    <w:rsid w:val="69E56B54"/>
    <w:rsid w:val="69EE54CD"/>
    <w:rsid w:val="69FB7CD4"/>
    <w:rsid w:val="69FD7CEA"/>
    <w:rsid w:val="6A0229E5"/>
    <w:rsid w:val="6A067F83"/>
    <w:rsid w:val="6A171AFC"/>
    <w:rsid w:val="6A2A2D01"/>
    <w:rsid w:val="6A3225D7"/>
    <w:rsid w:val="6A470981"/>
    <w:rsid w:val="6A4747AF"/>
    <w:rsid w:val="6A57299A"/>
    <w:rsid w:val="6A697946"/>
    <w:rsid w:val="6A6D6854"/>
    <w:rsid w:val="6A700CED"/>
    <w:rsid w:val="6A7017D7"/>
    <w:rsid w:val="6AA235D3"/>
    <w:rsid w:val="6AB02B50"/>
    <w:rsid w:val="6ABB2ED0"/>
    <w:rsid w:val="6AC335C4"/>
    <w:rsid w:val="6AE2135D"/>
    <w:rsid w:val="6AE77D3D"/>
    <w:rsid w:val="6AE93C28"/>
    <w:rsid w:val="6B21434C"/>
    <w:rsid w:val="6B237C36"/>
    <w:rsid w:val="6B2C290C"/>
    <w:rsid w:val="6B4A50C0"/>
    <w:rsid w:val="6B4D3CED"/>
    <w:rsid w:val="6B5C7011"/>
    <w:rsid w:val="6B725A81"/>
    <w:rsid w:val="6B92645D"/>
    <w:rsid w:val="6B973734"/>
    <w:rsid w:val="6B975967"/>
    <w:rsid w:val="6BBC0DCF"/>
    <w:rsid w:val="6BCA6179"/>
    <w:rsid w:val="6BD619EE"/>
    <w:rsid w:val="6BEA64E2"/>
    <w:rsid w:val="6C016CAE"/>
    <w:rsid w:val="6C090252"/>
    <w:rsid w:val="6C0B7CD2"/>
    <w:rsid w:val="6C100936"/>
    <w:rsid w:val="6C255AAD"/>
    <w:rsid w:val="6C2C5801"/>
    <w:rsid w:val="6C2E3E73"/>
    <w:rsid w:val="6C3321F9"/>
    <w:rsid w:val="6C33267C"/>
    <w:rsid w:val="6C3D0F56"/>
    <w:rsid w:val="6C410CB8"/>
    <w:rsid w:val="6C452BDF"/>
    <w:rsid w:val="6C6A716D"/>
    <w:rsid w:val="6C71767A"/>
    <w:rsid w:val="6C7C1F44"/>
    <w:rsid w:val="6C827094"/>
    <w:rsid w:val="6C8559E0"/>
    <w:rsid w:val="6CC25213"/>
    <w:rsid w:val="6CE0702D"/>
    <w:rsid w:val="6CEE220B"/>
    <w:rsid w:val="6CEE246E"/>
    <w:rsid w:val="6CF27A30"/>
    <w:rsid w:val="6CF6067E"/>
    <w:rsid w:val="6D0535EE"/>
    <w:rsid w:val="6D077405"/>
    <w:rsid w:val="6D133D59"/>
    <w:rsid w:val="6D26662C"/>
    <w:rsid w:val="6D437763"/>
    <w:rsid w:val="6D671B76"/>
    <w:rsid w:val="6D6D28AF"/>
    <w:rsid w:val="6D771293"/>
    <w:rsid w:val="6D7D0954"/>
    <w:rsid w:val="6D876AB7"/>
    <w:rsid w:val="6D8F154F"/>
    <w:rsid w:val="6D9757D1"/>
    <w:rsid w:val="6DA062EA"/>
    <w:rsid w:val="6DA65DBF"/>
    <w:rsid w:val="6DAF65CC"/>
    <w:rsid w:val="6DB25F3D"/>
    <w:rsid w:val="6DC53FBD"/>
    <w:rsid w:val="6DC93FE2"/>
    <w:rsid w:val="6DCA77EA"/>
    <w:rsid w:val="6DD35114"/>
    <w:rsid w:val="6DDE35E8"/>
    <w:rsid w:val="6DE92FA2"/>
    <w:rsid w:val="6DEE0E7D"/>
    <w:rsid w:val="6DF574ED"/>
    <w:rsid w:val="6DF81839"/>
    <w:rsid w:val="6E0048DC"/>
    <w:rsid w:val="6E075019"/>
    <w:rsid w:val="6E1419C0"/>
    <w:rsid w:val="6E183FF4"/>
    <w:rsid w:val="6E2E7D17"/>
    <w:rsid w:val="6E3761D3"/>
    <w:rsid w:val="6E392DDA"/>
    <w:rsid w:val="6E3E2033"/>
    <w:rsid w:val="6E440060"/>
    <w:rsid w:val="6E442CF5"/>
    <w:rsid w:val="6E54575C"/>
    <w:rsid w:val="6E612C3F"/>
    <w:rsid w:val="6E6F6D88"/>
    <w:rsid w:val="6E7B110F"/>
    <w:rsid w:val="6E8A2A35"/>
    <w:rsid w:val="6EA04FAE"/>
    <w:rsid w:val="6EEF6508"/>
    <w:rsid w:val="6F1A60C4"/>
    <w:rsid w:val="6F231E41"/>
    <w:rsid w:val="6F244447"/>
    <w:rsid w:val="6F303DE1"/>
    <w:rsid w:val="6F331C81"/>
    <w:rsid w:val="6F331F52"/>
    <w:rsid w:val="6F362062"/>
    <w:rsid w:val="6F3C0797"/>
    <w:rsid w:val="6F4048CA"/>
    <w:rsid w:val="6F4734D0"/>
    <w:rsid w:val="6F4B3953"/>
    <w:rsid w:val="6F603479"/>
    <w:rsid w:val="6F6B5A9E"/>
    <w:rsid w:val="6F7A07E3"/>
    <w:rsid w:val="6F7D050B"/>
    <w:rsid w:val="6F8C33B0"/>
    <w:rsid w:val="6F953750"/>
    <w:rsid w:val="6FA10B29"/>
    <w:rsid w:val="6FAA2D8A"/>
    <w:rsid w:val="6FC02217"/>
    <w:rsid w:val="6FC60A07"/>
    <w:rsid w:val="6FCE2BBA"/>
    <w:rsid w:val="6FDF40F5"/>
    <w:rsid w:val="6FE05F95"/>
    <w:rsid w:val="6FFC64FF"/>
    <w:rsid w:val="7001428F"/>
    <w:rsid w:val="70133236"/>
    <w:rsid w:val="70156307"/>
    <w:rsid w:val="701C590F"/>
    <w:rsid w:val="702033F7"/>
    <w:rsid w:val="703D58C4"/>
    <w:rsid w:val="70453D87"/>
    <w:rsid w:val="7055360F"/>
    <w:rsid w:val="706F497B"/>
    <w:rsid w:val="70724AB3"/>
    <w:rsid w:val="70916EF8"/>
    <w:rsid w:val="709261ED"/>
    <w:rsid w:val="70A02568"/>
    <w:rsid w:val="70C41020"/>
    <w:rsid w:val="70CF255C"/>
    <w:rsid w:val="70DC2C89"/>
    <w:rsid w:val="70DD743F"/>
    <w:rsid w:val="70E3150B"/>
    <w:rsid w:val="70E67B77"/>
    <w:rsid w:val="70F323B0"/>
    <w:rsid w:val="710221FA"/>
    <w:rsid w:val="710F7585"/>
    <w:rsid w:val="711805A6"/>
    <w:rsid w:val="711A79AD"/>
    <w:rsid w:val="71217446"/>
    <w:rsid w:val="714463AC"/>
    <w:rsid w:val="7144693A"/>
    <w:rsid w:val="71525708"/>
    <w:rsid w:val="71542A3C"/>
    <w:rsid w:val="71584711"/>
    <w:rsid w:val="71811922"/>
    <w:rsid w:val="7184567C"/>
    <w:rsid w:val="71866C06"/>
    <w:rsid w:val="718F3086"/>
    <w:rsid w:val="719D1BC1"/>
    <w:rsid w:val="719F5958"/>
    <w:rsid w:val="71AC51C8"/>
    <w:rsid w:val="71C37CE8"/>
    <w:rsid w:val="71DA32B4"/>
    <w:rsid w:val="71F46D71"/>
    <w:rsid w:val="71F96411"/>
    <w:rsid w:val="71FA7506"/>
    <w:rsid w:val="7247128C"/>
    <w:rsid w:val="7264361A"/>
    <w:rsid w:val="726822A9"/>
    <w:rsid w:val="726C3438"/>
    <w:rsid w:val="727367E8"/>
    <w:rsid w:val="727F3E51"/>
    <w:rsid w:val="7290542B"/>
    <w:rsid w:val="72917F17"/>
    <w:rsid w:val="72935E6A"/>
    <w:rsid w:val="729A7834"/>
    <w:rsid w:val="72A00661"/>
    <w:rsid w:val="72B06D9D"/>
    <w:rsid w:val="72C77A8A"/>
    <w:rsid w:val="72CB7C4C"/>
    <w:rsid w:val="72FE3E8E"/>
    <w:rsid w:val="731C3ED2"/>
    <w:rsid w:val="731E5631"/>
    <w:rsid w:val="732B0C72"/>
    <w:rsid w:val="733863E3"/>
    <w:rsid w:val="733A3332"/>
    <w:rsid w:val="733E46B2"/>
    <w:rsid w:val="73597F33"/>
    <w:rsid w:val="7375490C"/>
    <w:rsid w:val="737D2F4F"/>
    <w:rsid w:val="73900D21"/>
    <w:rsid w:val="739A7114"/>
    <w:rsid w:val="739F2349"/>
    <w:rsid w:val="73AC333B"/>
    <w:rsid w:val="73B11DBC"/>
    <w:rsid w:val="73B1795C"/>
    <w:rsid w:val="73B51018"/>
    <w:rsid w:val="73C340B3"/>
    <w:rsid w:val="73C854F0"/>
    <w:rsid w:val="73D007EE"/>
    <w:rsid w:val="73D27A00"/>
    <w:rsid w:val="73D9581C"/>
    <w:rsid w:val="73DA2FBB"/>
    <w:rsid w:val="73E72CB9"/>
    <w:rsid w:val="742F68DF"/>
    <w:rsid w:val="7435797F"/>
    <w:rsid w:val="744A0545"/>
    <w:rsid w:val="744F7C70"/>
    <w:rsid w:val="74632A31"/>
    <w:rsid w:val="7465205B"/>
    <w:rsid w:val="74743C33"/>
    <w:rsid w:val="747640DF"/>
    <w:rsid w:val="7482175B"/>
    <w:rsid w:val="74BA4FF9"/>
    <w:rsid w:val="74CA0770"/>
    <w:rsid w:val="74D52F3D"/>
    <w:rsid w:val="74D81528"/>
    <w:rsid w:val="74DA07A2"/>
    <w:rsid w:val="74E1491C"/>
    <w:rsid w:val="74E67A31"/>
    <w:rsid w:val="74F61278"/>
    <w:rsid w:val="74F90505"/>
    <w:rsid w:val="751C2143"/>
    <w:rsid w:val="752F2DAC"/>
    <w:rsid w:val="7566472C"/>
    <w:rsid w:val="7578413D"/>
    <w:rsid w:val="757B64ED"/>
    <w:rsid w:val="757C232A"/>
    <w:rsid w:val="75851DCA"/>
    <w:rsid w:val="7599617F"/>
    <w:rsid w:val="759D7802"/>
    <w:rsid w:val="75A011FF"/>
    <w:rsid w:val="75A70E4F"/>
    <w:rsid w:val="75AA3F51"/>
    <w:rsid w:val="75B11420"/>
    <w:rsid w:val="75B263D3"/>
    <w:rsid w:val="75DC2372"/>
    <w:rsid w:val="75E16CC1"/>
    <w:rsid w:val="760950F4"/>
    <w:rsid w:val="76154B74"/>
    <w:rsid w:val="761C414A"/>
    <w:rsid w:val="76380CDC"/>
    <w:rsid w:val="7649562B"/>
    <w:rsid w:val="764F7C59"/>
    <w:rsid w:val="765566B4"/>
    <w:rsid w:val="7668119A"/>
    <w:rsid w:val="768C1EBA"/>
    <w:rsid w:val="769568F8"/>
    <w:rsid w:val="76993596"/>
    <w:rsid w:val="76B14AAD"/>
    <w:rsid w:val="76C32B57"/>
    <w:rsid w:val="76CB0A63"/>
    <w:rsid w:val="76D81970"/>
    <w:rsid w:val="76DD3810"/>
    <w:rsid w:val="76E451C7"/>
    <w:rsid w:val="76E472DD"/>
    <w:rsid w:val="76F13EA7"/>
    <w:rsid w:val="76F14581"/>
    <w:rsid w:val="76F77BBD"/>
    <w:rsid w:val="76FD22EC"/>
    <w:rsid w:val="76FD6D57"/>
    <w:rsid w:val="77041D95"/>
    <w:rsid w:val="7718408C"/>
    <w:rsid w:val="773B25F8"/>
    <w:rsid w:val="7743414C"/>
    <w:rsid w:val="776870B9"/>
    <w:rsid w:val="776967FB"/>
    <w:rsid w:val="776D4583"/>
    <w:rsid w:val="777A37E1"/>
    <w:rsid w:val="778100C2"/>
    <w:rsid w:val="77855EB4"/>
    <w:rsid w:val="77AA135C"/>
    <w:rsid w:val="77AC14DA"/>
    <w:rsid w:val="77AD64CA"/>
    <w:rsid w:val="77AF3504"/>
    <w:rsid w:val="77C926F0"/>
    <w:rsid w:val="780752E6"/>
    <w:rsid w:val="78153F77"/>
    <w:rsid w:val="78185315"/>
    <w:rsid w:val="781C67FA"/>
    <w:rsid w:val="782378AE"/>
    <w:rsid w:val="78296DAC"/>
    <w:rsid w:val="783E418B"/>
    <w:rsid w:val="78570849"/>
    <w:rsid w:val="78617AF2"/>
    <w:rsid w:val="78626899"/>
    <w:rsid w:val="786616B3"/>
    <w:rsid w:val="786E5D08"/>
    <w:rsid w:val="78812F7C"/>
    <w:rsid w:val="78C15B1C"/>
    <w:rsid w:val="78C9190A"/>
    <w:rsid w:val="78C97D4F"/>
    <w:rsid w:val="78CC0493"/>
    <w:rsid w:val="78EC2D52"/>
    <w:rsid w:val="78F5480C"/>
    <w:rsid w:val="79036E66"/>
    <w:rsid w:val="790B5E2B"/>
    <w:rsid w:val="790E47EA"/>
    <w:rsid w:val="79104E2B"/>
    <w:rsid w:val="79135CA0"/>
    <w:rsid w:val="791F537B"/>
    <w:rsid w:val="79367982"/>
    <w:rsid w:val="793D5C2F"/>
    <w:rsid w:val="794A336F"/>
    <w:rsid w:val="79537099"/>
    <w:rsid w:val="79552D08"/>
    <w:rsid w:val="79672E22"/>
    <w:rsid w:val="79677010"/>
    <w:rsid w:val="797121AE"/>
    <w:rsid w:val="797E1825"/>
    <w:rsid w:val="79A7288D"/>
    <w:rsid w:val="79AE312A"/>
    <w:rsid w:val="79B3208C"/>
    <w:rsid w:val="79B70130"/>
    <w:rsid w:val="79BD5598"/>
    <w:rsid w:val="79CF6E25"/>
    <w:rsid w:val="79D42664"/>
    <w:rsid w:val="79D51250"/>
    <w:rsid w:val="79DB4236"/>
    <w:rsid w:val="79E66C93"/>
    <w:rsid w:val="79F16E80"/>
    <w:rsid w:val="79F842C2"/>
    <w:rsid w:val="79FC6E04"/>
    <w:rsid w:val="79FE2A4E"/>
    <w:rsid w:val="7A081D42"/>
    <w:rsid w:val="7A0A7223"/>
    <w:rsid w:val="7A12552F"/>
    <w:rsid w:val="7A1A1772"/>
    <w:rsid w:val="7A276994"/>
    <w:rsid w:val="7A3B034D"/>
    <w:rsid w:val="7A3F158B"/>
    <w:rsid w:val="7A4A132A"/>
    <w:rsid w:val="7A6736BC"/>
    <w:rsid w:val="7A6A7B3B"/>
    <w:rsid w:val="7A7678E5"/>
    <w:rsid w:val="7A7B24DD"/>
    <w:rsid w:val="7A867241"/>
    <w:rsid w:val="7A876B11"/>
    <w:rsid w:val="7A963A48"/>
    <w:rsid w:val="7A9861CB"/>
    <w:rsid w:val="7A986784"/>
    <w:rsid w:val="7ABB3E82"/>
    <w:rsid w:val="7AC3568E"/>
    <w:rsid w:val="7AD71052"/>
    <w:rsid w:val="7AD9797E"/>
    <w:rsid w:val="7B177A77"/>
    <w:rsid w:val="7B193032"/>
    <w:rsid w:val="7B2B13FD"/>
    <w:rsid w:val="7B3339FA"/>
    <w:rsid w:val="7B460BFD"/>
    <w:rsid w:val="7B4910BE"/>
    <w:rsid w:val="7B5E4EEC"/>
    <w:rsid w:val="7B674BD7"/>
    <w:rsid w:val="7B782690"/>
    <w:rsid w:val="7B7F3966"/>
    <w:rsid w:val="7B80148D"/>
    <w:rsid w:val="7B821ADA"/>
    <w:rsid w:val="7B8F5DA2"/>
    <w:rsid w:val="7B926883"/>
    <w:rsid w:val="7BA4369C"/>
    <w:rsid w:val="7BA71440"/>
    <w:rsid w:val="7BAE696E"/>
    <w:rsid w:val="7BAF3C86"/>
    <w:rsid w:val="7BC23E12"/>
    <w:rsid w:val="7BC92A6F"/>
    <w:rsid w:val="7BD4048E"/>
    <w:rsid w:val="7BD968AC"/>
    <w:rsid w:val="7BDE524C"/>
    <w:rsid w:val="7BEA5E74"/>
    <w:rsid w:val="7BF9001B"/>
    <w:rsid w:val="7BFE08FA"/>
    <w:rsid w:val="7C2900A2"/>
    <w:rsid w:val="7C295D17"/>
    <w:rsid w:val="7C2A10CD"/>
    <w:rsid w:val="7C2D2AE7"/>
    <w:rsid w:val="7C4B681D"/>
    <w:rsid w:val="7C690B20"/>
    <w:rsid w:val="7C780AD5"/>
    <w:rsid w:val="7C7E2FFC"/>
    <w:rsid w:val="7C867154"/>
    <w:rsid w:val="7C9427B3"/>
    <w:rsid w:val="7C9E5A77"/>
    <w:rsid w:val="7CB74F4A"/>
    <w:rsid w:val="7CB80138"/>
    <w:rsid w:val="7CB838AF"/>
    <w:rsid w:val="7CC639C6"/>
    <w:rsid w:val="7CCD12D3"/>
    <w:rsid w:val="7CE25B4A"/>
    <w:rsid w:val="7CE3422B"/>
    <w:rsid w:val="7CE5443B"/>
    <w:rsid w:val="7CED09D9"/>
    <w:rsid w:val="7CF87323"/>
    <w:rsid w:val="7D017D9A"/>
    <w:rsid w:val="7D080205"/>
    <w:rsid w:val="7D0A432A"/>
    <w:rsid w:val="7D0F2DDE"/>
    <w:rsid w:val="7D144B3C"/>
    <w:rsid w:val="7D167BA2"/>
    <w:rsid w:val="7D1F5883"/>
    <w:rsid w:val="7D242066"/>
    <w:rsid w:val="7D282F0F"/>
    <w:rsid w:val="7D3874D2"/>
    <w:rsid w:val="7D4241A1"/>
    <w:rsid w:val="7D452B7F"/>
    <w:rsid w:val="7D5A5BFC"/>
    <w:rsid w:val="7D6518EB"/>
    <w:rsid w:val="7D6B77B5"/>
    <w:rsid w:val="7D7371E1"/>
    <w:rsid w:val="7D851CFF"/>
    <w:rsid w:val="7DA65B7D"/>
    <w:rsid w:val="7DA86112"/>
    <w:rsid w:val="7DAE3829"/>
    <w:rsid w:val="7DB9268E"/>
    <w:rsid w:val="7DC8040C"/>
    <w:rsid w:val="7DC85A3E"/>
    <w:rsid w:val="7DD03D33"/>
    <w:rsid w:val="7DD410E6"/>
    <w:rsid w:val="7DD603AD"/>
    <w:rsid w:val="7DD82F1A"/>
    <w:rsid w:val="7DDA1110"/>
    <w:rsid w:val="7DE449CE"/>
    <w:rsid w:val="7DEC05A8"/>
    <w:rsid w:val="7DF66186"/>
    <w:rsid w:val="7E0A5EA4"/>
    <w:rsid w:val="7E0A72D5"/>
    <w:rsid w:val="7E0B3C08"/>
    <w:rsid w:val="7E1C2B95"/>
    <w:rsid w:val="7E1E3CF4"/>
    <w:rsid w:val="7E212526"/>
    <w:rsid w:val="7E262B03"/>
    <w:rsid w:val="7E2E765A"/>
    <w:rsid w:val="7E324C10"/>
    <w:rsid w:val="7E3B7336"/>
    <w:rsid w:val="7E3D35D7"/>
    <w:rsid w:val="7E472FFE"/>
    <w:rsid w:val="7E4A6379"/>
    <w:rsid w:val="7E5248E3"/>
    <w:rsid w:val="7E6854DB"/>
    <w:rsid w:val="7E793E63"/>
    <w:rsid w:val="7E7B1715"/>
    <w:rsid w:val="7E8031F2"/>
    <w:rsid w:val="7E860496"/>
    <w:rsid w:val="7E9963F8"/>
    <w:rsid w:val="7E9D0633"/>
    <w:rsid w:val="7EB16AB6"/>
    <w:rsid w:val="7EC07C28"/>
    <w:rsid w:val="7ECB3BBC"/>
    <w:rsid w:val="7ED83896"/>
    <w:rsid w:val="7EDC2729"/>
    <w:rsid w:val="7EF04016"/>
    <w:rsid w:val="7EFF41BF"/>
    <w:rsid w:val="7F0126E4"/>
    <w:rsid w:val="7F013802"/>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A7C64"/>
    <w:rsid w:val="7F6B0BA4"/>
    <w:rsid w:val="7F6E0CE1"/>
    <w:rsid w:val="7F6F6E86"/>
    <w:rsid w:val="7F8A3738"/>
    <w:rsid w:val="7F8B3191"/>
    <w:rsid w:val="7F8E6809"/>
    <w:rsid w:val="7F9E0C2E"/>
    <w:rsid w:val="7FAF35C9"/>
    <w:rsid w:val="7FBE4780"/>
    <w:rsid w:val="7FC07CDA"/>
    <w:rsid w:val="7FEC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24</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2024-01-19T04:21:00Z</cp:lastPrinted>
  <dcterms:modified xsi:type="dcterms:W3CDTF">2024-01-19T08:49:56Z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19791ADF5B444BB183AA96261140D7A6</vt:lpwstr>
  </property>
</Properties>
</file>