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20</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266</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5</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17</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5月11日（周六）</w:t>
      </w:r>
      <w:r>
        <w:rPr>
          <w:rFonts w:hint="default" w:ascii="Times New Roman" w:hAnsi="Times New Roman" w:eastAsia="方正楷体_GBK" w:cs="Times New Roman"/>
          <w:b/>
          <w:color w:val="auto"/>
          <w:spacing w:val="-11"/>
          <w:kern w:val="36"/>
          <w:sz w:val="30"/>
          <w:szCs w:val="30"/>
          <w:lang w:val="en-US" w:eastAsia="zh-CN"/>
        </w:rPr>
        <w:t>美国静待下周CPI数据，欧央行计划6月降息</w:t>
      </w:r>
      <w:r>
        <w:rPr>
          <w:rFonts w:hint="default" w:ascii="Times New Roman" w:hAnsi="Times New Roman" w:eastAsia="方正楷体_GBK" w:cs="Times New Roman"/>
          <w:b/>
          <w:color w:val="auto"/>
          <w:spacing w:val="0"/>
          <w:kern w:val="36"/>
          <w:sz w:val="30"/>
          <w:szCs w:val="30"/>
          <w:lang w:val="en-US" w:eastAsia="zh-CN"/>
        </w:rPr>
        <w:t xml:space="preserve"> / 01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12</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日</w:t>
      </w:r>
      <w:r>
        <w:rPr>
          <w:rFonts w:hint="default" w:ascii="Times New Roman" w:hAnsi="Times New Roman" w:eastAsia="方正楷体_GBK" w:cs="Times New Roman"/>
          <w:b/>
          <w:color w:val="auto"/>
          <w:spacing w:val="0"/>
          <w:kern w:val="36"/>
          <w:sz w:val="30"/>
          <w:szCs w:val="30"/>
          <w:lang w:val="en-US" w:eastAsia="zh-CN"/>
        </w:rPr>
        <w:t>）日本贸易顺差出现，国际收支改善 / 0</w:t>
      </w:r>
      <w:r>
        <w:rPr>
          <w:rFonts w:hint="eastAsia" w:ascii="Times New Roman" w:hAnsi="Times New Roman" w:eastAsia="方正楷体_GBK" w:cs="Times New Roman"/>
          <w:b/>
          <w:color w:val="auto"/>
          <w:spacing w:val="0"/>
          <w:kern w:val="36"/>
          <w:sz w:val="30"/>
          <w:szCs w:val="30"/>
          <w:lang w:val="en-US" w:eastAsia="zh-CN"/>
        </w:rPr>
        <w:t>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13</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一</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美债发行顺利，气候灾害频现</w:t>
      </w:r>
      <w:r>
        <w:rPr>
          <w:rFonts w:hint="default" w:ascii="Times New Roman" w:hAnsi="Times New Roman" w:eastAsia="方正楷体_GBK" w:cs="Times New Roman"/>
          <w:b/>
          <w:color w:val="auto"/>
          <w:spacing w:val="0"/>
          <w:kern w:val="36"/>
          <w:sz w:val="30"/>
          <w:szCs w:val="30"/>
          <w:lang w:val="en-US" w:eastAsia="zh-CN"/>
        </w:rPr>
        <w:t>/ 0</w:t>
      </w:r>
      <w:r>
        <w:rPr>
          <w:rFonts w:hint="eastAsia" w:ascii="Times New Roman" w:hAnsi="Times New Roman" w:eastAsia="方正楷体_GBK" w:cs="Times New Roman"/>
          <w:b/>
          <w:color w:val="auto"/>
          <w:spacing w:val="0"/>
          <w:kern w:val="36"/>
          <w:sz w:val="30"/>
          <w:szCs w:val="30"/>
          <w:lang w:val="en-US" w:eastAsia="zh-CN"/>
        </w:rPr>
        <w:t>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14日</w:t>
      </w:r>
      <w:r>
        <w:rPr>
          <w:rFonts w:hint="default" w:ascii="Times New Roman" w:hAnsi="Times New Roman" w:eastAsia="方正楷体_GBK" w:cs="Times New Roman"/>
          <w:b/>
          <w:color w:val="auto"/>
          <w:spacing w:val="0"/>
          <w:kern w:val="36"/>
          <w:sz w:val="30"/>
          <w:szCs w:val="30"/>
          <w:lang w:val="en-US" w:eastAsia="zh-CN"/>
        </w:rPr>
        <w:t>（周</w:t>
      </w:r>
      <w:r>
        <w:rPr>
          <w:rFonts w:hint="eastAsia" w:ascii="Times New Roman" w:hAnsi="Times New Roman" w:eastAsia="方正楷体_GBK" w:cs="Times New Roman"/>
          <w:b/>
          <w:color w:val="auto"/>
          <w:spacing w:val="0"/>
          <w:kern w:val="36"/>
          <w:sz w:val="30"/>
          <w:szCs w:val="30"/>
          <w:lang w:val="en-US" w:eastAsia="zh-CN"/>
        </w:rPr>
        <w:t>二</w:t>
      </w:r>
      <w:r>
        <w:rPr>
          <w:rFonts w:hint="default" w:ascii="Times New Roman" w:hAnsi="Times New Roman" w:eastAsia="方正楷体_GBK" w:cs="Times New Roman"/>
          <w:b/>
          <w:color w:val="auto"/>
          <w:spacing w:val="0"/>
          <w:kern w:val="36"/>
          <w:sz w:val="30"/>
          <w:szCs w:val="30"/>
          <w:lang w:val="en-US" w:eastAsia="zh-CN"/>
        </w:rPr>
        <w:t>）GameStop王者归来，CPI周三现身/ 0</w:t>
      </w:r>
      <w:r>
        <w:rPr>
          <w:rFonts w:hint="eastAsia" w:ascii="Times New Roman" w:hAnsi="Times New Roman" w:eastAsia="方正楷体_GBK" w:cs="Times New Roman"/>
          <w:b/>
          <w:color w:val="auto"/>
          <w:spacing w:val="0"/>
          <w:kern w:val="36"/>
          <w:sz w:val="30"/>
          <w:szCs w:val="30"/>
          <w:lang w:val="en-US" w:eastAsia="zh-CN"/>
        </w:rPr>
        <w:t>5</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15</w:t>
      </w:r>
      <w:r>
        <w:rPr>
          <w:rFonts w:hint="default" w:ascii="Times New Roman" w:hAnsi="Times New Roman" w:eastAsia="方正楷体_GBK" w:cs="Times New Roman"/>
          <w:b/>
          <w:color w:val="auto"/>
          <w:spacing w:val="0"/>
          <w:kern w:val="36"/>
          <w:sz w:val="30"/>
          <w:szCs w:val="30"/>
          <w:lang w:val="en-US" w:eastAsia="zh-CN"/>
        </w:rPr>
        <w:t>日（周</w:t>
      </w:r>
      <w:r>
        <w:rPr>
          <w:rFonts w:hint="eastAsia" w:ascii="Times New Roman" w:hAnsi="Times New Roman" w:eastAsia="方正楷体_GBK" w:cs="Times New Roman"/>
          <w:b/>
          <w:color w:val="auto"/>
          <w:spacing w:val="0"/>
          <w:kern w:val="36"/>
          <w:sz w:val="30"/>
          <w:szCs w:val="30"/>
          <w:lang w:val="en-US" w:eastAsia="zh-CN"/>
        </w:rPr>
        <w:t>三</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美4月PPI环比超预期，投资者信心仍强劲</w:t>
      </w:r>
      <w:r>
        <w:rPr>
          <w:rFonts w:hint="default" w:ascii="Times New Roman" w:hAnsi="Times New Roman" w:eastAsia="方正楷体_GBK" w:cs="Times New Roman"/>
          <w:b/>
          <w:color w:val="auto"/>
          <w:spacing w:val="0"/>
          <w:kern w:val="36"/>
          <w:sz w:val="30"/>
          <w:szCs w:val="30"/>
          <w:lang w:val="en-US" w:eastAsia="zh-CN"/>
        </w:rPr>
        <w:t xml:space="preserve"> /</w:t>
      </w:r>
      <w:r>
        <w:rPr>
          <w:rFonts w:hint="eastAsia" w:ascii="Times New Roman" w:hAnsi="Times New Roman" w:eastAsia="方正楷体_GBK" w:cs="Times New Roman"/>
          <w:b/>
          <w:color w:val="auto"/>
          <w:spacing w:val="0"/>
          <w:kern w:val="36"/>
          <w:sz w:val="30"/>
          <w:szCs w:val="30"/>
          <w:lang w:val="en-US" w:eastAsia="zh-CN"/>
        </w:rPr>
        <w:t xml:space="preserve"> 06</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16日（周四）4月通胀放缓，美国股市狂欢</w:t>
      </w:r>
      <w:r>
        <w:rPr>
          <w:rFonts w:hint="default" w:ascii="Times New Roman" w:hAnsi="Times New Roman" w:eastAsia="方正楷体_GBK" w:cs="Times New Roman"/>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07</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5</w:t>
      </w:r>
      <w:r>
        <w:rPr>
          <w:rFonts w:hint="default" w:ascii="Times New Roman" w:hAnsi="Times New Roman" w:eastAsia="方正楷体_GBK" w:cs="Times New Roman"/>
          <w:b/>
          <w:color w:val="auto"/>
          <w:spacing w:val="0"/>
          <w:kern w:val="36"/>
          <w:sz w:val="30"/>
          <w:szCs w:val="30"/>
          <w:lang w:val="en-US" w:eastAsia="zh-CN"/>
        </w:rPr>
        <w:t>月</w:t>
      </w:r>
      <w:r>
        <w:rPr>
          <w:rFonts w:hint="eastAsia" w:ascii="Times New Roman" w:hAnsi="Times New Roman" w:eastAsia="方正楷体_GBK" w:cs="Times New Roman"/>
          <w:b/>
          <w:color w:val="auto"/>
          <w:spacing w:val="0"/>
          <w:kern w:val="36"/>
          <w:sz w:val="30"/>
          <w:szCs w:val="30"/>
          <w:lang w:val="en-US" w:eastAsia="zh-CN"/>
        </w:rPr>
        <w:t>17日（周五）宏观经济数据稳定，沃尔玛财报超预期</w:t>
      </w:r>
      <w:r>
        <w:rPr>
          <w:rFonts w:hint="default" w:ascii="Times New Roman" w:hAnsi="Times New Roman" w:eastAsia="方正楷体_GBK" w:cs="Times New Roman"/>
          <w:b/>
          <w:color w:val="auto"/>
          <w:spacing w:val="-11"/>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08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全省贸促法律工作座谈会在无锡召开 / </w:t>
      </w:r>
      <w:r>
        <w:rPr>
          <w:rFonts w:hint="eastAsia" w:ascii="Times New Roman" w:hAnsi="Times New Roman" w:eastAsia="方正楷体_GBK" w:cs="Times New Roman"/>
          <w:b/>
          <w:color w:val="auto"/>
          <w:spacing w:val="0"/>
          <w:kern w:val="36"/>
          <w:sz w:val="30"/>
          <w:szCs w:val="30"/>
          <w:lang w:val="en-US" w:eastAsia="zh-CN"/>
        </w:rPr>
        <w:t>10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江苏贸促系统绿色低碳业务会议在无锡召开 / </w:t>
      </w:r>
      <w:r>
        <w:rPr>
          <w:rFonts w:hint="eastAsia" w:ascii="Times New Roman" w:hAnsi="Times New Roman" w:eastAsia="方正楷体_GBK" w:cs="Times New Roman"/>
          <w:b/>
          <w:color w:val="auto"/>
          <w:spacing w:val="0"/>
          <w:kern w:val="36"/>
          <w:sz w:val="30"/>
          <w:szCs w:val="30"/>
          <w:lang w:val="en-US" w:eastAsia="zh-CN"/>
        </w:rPr>
        <w:t>12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省贸促会领导拜访部分驻宁代表机构 / </w:t>
      </w:r>
      <w:r>
        <w:rPr>
          <w:rFonts w:hint="eastAsia" w:ascii="Times New Roman" w:hAnsi="Times New Roman" w:eastAsia="方正楷体_GBK" w:cs="Times New Roman"/>
          <w:b/>
          <w:color w:val="auto"/>
          <w:spacing w:val="0"/>
          <w:kern w:val="36"/>
          <w:sz w:val="30"/>
          <w:szCs w:val="30"/>
          <w:lang w:val="en-US" w:eastAsia="zh-CN"/>
        </w:rPr>
        <w:t>13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4"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11"/>
          <w:kern w:val="36"/>
          <w:sz w:val="30"/>
          <w:szCs w:val="30"/>
          <w:lang w:val="en-US" w:eastAsia="zh-CN"/>
        </w:rPr>
        <w:t>省贸促会组团赴沙特参加吉达国际建材及装饰展并开展经贸交流</w:t>
      </w:r>
      <w:r>
        <w:rPr>
          <w:rFonts w:hint="default" w:ascii="Times New Roman" w:hAnsi="Times New Roman" w:eastAsia="方正楷体_GBK" w:cs="Times New Roman"/>
          <w:b/>
          <w:color w:val="auto"/>
          <w:spacing w:val="0"/>
          <w:kern w:val="36"/>
          <w:sz w:val="30"/>
          <w:szCs w:val="30"/>
          <w:lang w:val="en-US" w:eastAsia="zh-CN"/>
        </w:rPr>
        <w:t xml:space="preserve"> / </w:t>
      </w:r>
      <w:r>
        <w:rPr>
          <w:rFonts w:hint="eastAsia" w:ascii="Times New Roman" w:hAnsi="Times New Roman" w:eastAsia="方正楷体_GBK" w:cs="Times New Roman"/>
          <w:b/>
          <w:color w:val="auto"/>
          <w:spacing w:val="0"/>
          <w:kern w:val="36"/>
          <w:sz w:val="30"/>
          <w:szCs w:val="30"/>
          <w:lang w:val="en-US" w:eastAsia="zh-CN"/>
        </w:rPr>
        <w:t>15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中国贸促会商法中心主任蔡晨风在无锡开展企业调研 / </w:t>
      </w:r>
      <w:r>
        <w:rPr>
          <w:rFonts w:hint="eastAsia" w:ascii="Times New Roman" w:hAnsi="Times New Roman" w:eastAsia="方正楷体_GBK" w:cs="Times New Roman"/>
          <w:b/>
          <w:color w:val="auto"/>
          <w:spacing w:val="0"/>
          <w:kern w:val="36"/>
          <w:sz w:val="30"/>
          <w:szCs w:val="30"/>
          <w:lang w:val="en-US" w:eastAsia="zh-CN"/>
        </w:rPr>
        <w:t>16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南京市贸促会开展301调查措施升级应对服务 / </w:t>
      </w:r>
      <w:r>
        <w:rPr>
          <w:rFonts w:hint="eastAsia" w:ascii="Times New Roman" w:hAnsi="Times New Roman" w:eastAsia="方正楷体_GBK" w:cs="Times New Roman"/>
          <w:b/>
          <w:color w:val="auto"/>
          <w:spacing w:val="0"/>
          <w:kern w:val="36"/>
          <w:sz w:val="30"/>
          <w:szCs w:val="30"/>
          <w:lang w:val="en-US" w:eastAsia="zh-CN"/>
        </w:rPr>
        <w:t>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江苏省贸促会领导来常调研 / </w:t>
      </w:r>
      <w:r>
        <w:rPr>
          <w:rFonts w:hint="eastAsia" w:ascii="Times New Roman" w:hAnsi="Times New Roman" w:eastAsia="方正楷体_GBK" w:cs="Times New Roman"/>
          <w:b/>
          <w:color w:val="auto"/>
          <w:spacing w:val="0"/>
          <w:kern w:val="36"/>
          <w:sz w:val="30"/>
          <w:szCs w:val="30"/>
          <w:lang w:val="en-US" w:eastAsia="zh-CN"/>
        </w:rPr>
        <w:t>18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走出去拓市场 “贸促服务助企行”苏州宣讲会举办 /</w:t>
      </w:r>
      <w:r>
        <w:rPr>
          <w:rFonts w:hint="eastAsia" w:ascii="Times New Roman" w:hAnsi="Times New Roman" w:eastAsia="方正楷体_GBK" w:cs="Times New Roman"/>
          <w:b/>
          <w:color w:val="auto"/>
          <w:spacing w:val="0"/>
          <w:kern w:val="36"/>
          <w:sz w:val="30"/>
          <w:szCs w:val="30"/>
          <w:lang w:val="en-US" w:eastAsia="zh-CN"/>
        </w:rPr>
        <w:t xml:space="preserve"> 19</w:t>
      </w:r>
      <w:r>
        <w:rPr>
          <w:rFonts w:hint="default" w:ascii="Times New Roman" w:hAnsi="Times New Roman" w:eastAsia="方正楷体_GBK" w:cs="Times New Roman"/>
          <w:b/>
          <w:color w:val="auto"/>
          <w:spacing w:val="0"/>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南通国际商会召开五届七次理事会 / </w:t>
      </w:r>
      <w:r>
        <w:rPr>
          <w:rFonts w:hint="eastAsia" w:ascii="Times New Roman" w:hAnsi="Times New Roman" w:eastAsia="方正楷体_GBK" w:cs="Times New Roman"/>
          <w:b/>
          <w:color w:val="auto"/>
          <w:spacing w:val="0"/>
          <w:kern w:val="36"/>
          <w:sz w:val="30"/>
          <w:szCs w:val="30"/>
          <w:lang w:val="en-US" w:eastAsia="zh-CN"/>
        </w:rPr>
        <w:t>20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“贸促服务助企行”南通宣讲活动成功举办 / </w:t>
      </w:r>
      <w:r>
        <w:rPr>
          <w:rFonts w:hint="eastAsia" w:ascii="Times New Roman" w:hAnsi="Times New Roman" w:eastAsia="方正楷体_GBK" w:cs="Times New Roman"/>
          <w:b/>
          <w:color w:val="auto"/>
          <w:spacing w:val="0"/>
          <w:kern w:val="36"/>
          <w:sz w:val="30"/>
          <w:szCs w:val="30"/>
          <w:lang w:val="en-US" w:eastAsia="zh-CN"/>
        </w:rPr>
        <w:t>21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扬州市贸促会组织企业在线参加全球贸易投资促进峰会 / </w:t>
      </w:r>
      <w:r>
        <w:rPr>
          <w:rFonts w:hint="eastAsia" w:ascii="Times New Roman" w:hAnsi="Times New Roman" w:eastAsia="方正楷体_GBK" w:cs="Times New Roman"/>
          <w:b/>
          <w:color w:val="auto"/>
          <w:spacing w:val="0"/>
          <w:kern w:val="36"/>
          <w:sz w:val="30"/>
          <w:szCs w:val="30"/>
          <w:lang w:val="en-US" w:eastAsia="zh-CN"/>
        </w:rPr>
        <w:t>22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扬州市贸促会组织企业参加扬州大学海外教育学院招聘会 / </w:t>
      </w:r>
      <w:r>
        <w:rPr>
          <w:rFonts w:hint="eastAsia" w:ascii="Times New Roman" w:hAnsi="Times New Roman" w:eastAsia="方正楷体_GBK" w:cs="Times New Roman"/>
          <w:b/>
          <w:color w:val="auto"/>
          <w:spacing w:val="0"/>
          <w:kern w:val="36"/>
          <w:sz w:val="30"/>
          <w:szCs w:val="30"/>
          <w:lang w:val="en-US" w:eastAsia="zh-CN"/>
        </w:rPr>
        <w:t>22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default" w:ascii="Times New Roman" w:hAnsi="Times New Roman" w:eastAsia="方正楷体_GBK" w:cs="Times New Roman"/>
          <w:b/>
          <w:color w:val="auto"/>
          <w:spacing w:val="0"/>
          <w:kern w:val="36"/>
          <w:sz w:val="30"/>
          <w:szCs w:val="30"/>
          <w:lang w:val="en-US" w:eastAsia="zh-CN"/>
        </w:rPr>
        <w:t xml:space="preserve">聚焦第135届广交会，宿迁制造向新提质 链接全球 / </w:t>
      </w:r>
      <w:r>
        <w:rPr>
          <w:rFonts w:hint="eastAsia" w:ascii="Times New Roman" w:hAnsi="Times New Roman" w:eastAsia="方正楷体_GBK" w:cs="Times New Roman"/>
          <w:b/>
          <w:color w:val="auto"/>
          <w:spacing w:val="0"/>
          <w:kern w:val="36"/>
          <w:sz w:val="30"/>
          <w:szCs w:val="30"/>
          <w:lang w:val="en-US" w:eastAsia="zh-CN"/>
        </w:rPr>
        <w:t>23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苏美达及12家业务子公司再次获评年度“A级”纳税信用等级 /</w:t>
      </w:r>
      <w:r>
        <w:rPr>
          <w:rFonts w:hint="eastAsia" w:ascii="Times New Roman" w:hAnsi="Times New Roman" w:eastAsia="方正楷体_GBK" w:cs="Times New Roman"/>
          <w:b/>
          <w:color w:val="auto"/>
          <w:kern w:val="36"/>
          <w:sz w:val="30"/>
          <w:szCs w:val="30"/>
          <w:lang w:val="en-US" w:eastAsia="zh-CN"/>
        </w:rPr>
        <w:t xml:space="preserve"> 25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color w:val="auto"/>
          <w:kern w:val="36"/>
          <w:sz w:val="30"/>
          <w:szCs w:val="30"/>
          <w:lang w:val="en-US" w:eastAsia="zh-CN"/>
        </w:rPr>
        <w:t>2024年《财富》中国ESG影响力榜揭晓，南钢股份首次上榜</w:t>
      </w:r>
      <w:r>
        <w:rPr>
          <w:rFonts w:hint="default" w:ascii="Times New Roman" w:hAnsi="Times New Roman" w:eastAsia="方正楷体_GBK" w:cs="Times New Roman"/>
          <w:b/>
          <w:color w:val="auto"/>
          <w:spacing w:val="-28"/>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26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default" w:ascii="Times New Roman" w:hAnsi="Times New Roman" w:eastAsia="方正楷体_GBK" w:cs="Times New Roman"/>
          <w:b/>
          <w:color w:val="auto"/>
          <w:kern w:val="36"/>
          <w:sz w:val="30"/>
          <w:szCs w:val="30"/>
          <w:lang w:val="en-US" w:eastAsia="zh-CN"/>
        </w:rPr>
        <w:t xml:space="preserve">汇鸿中锦公司在2024中国校服设计大赛中斩获佳绩 / </w:t>
      </w:r>
      <w:r>
        <w:rPr>
          <w:rFonts w:hint="eastAsia" w:ascii="Times New Roman" w:hAnsi="Times New Roman" w:eastAsia="方正楷体_GBK" w:cs="Times New Roman"/>
          <w:b/>
          <w:color w:val="auto"/>
          <w:kern w:val="36"/>
          <w:sz w:val="30"/>
          <w:szCs w:val="30"/>
          <w:lang w:val="en-US" w:eastAsia="zh-CN"/>
        </w:rPr>
        <w:t>27</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5月11日（周六）</w:t>
      </w:r>
    </w:p>
    <w:p>
      <w:pPr>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美国静待下周CPI数据，欧央行计划6月降息</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5月10日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周</w:t>
      </w:r>
      <w:r>
        <w:rPr>
          <w:rFonts w:hint="eastAsia" w:asciiTheme="minorEastAsia" w:hAnsiTheme="minorEastAsia" w:eastAsiaTheme="minorEastAsia" w:cstheme="minorEastAsia"/>
          <w:sz w:val="32"/>
          <w:szCs w:val="32"/>
          <w:lang w:eastAsia="zh-CN"/>
        </w:rPr>
        <w:t>五），本周因为</w:t>
      </w:r>
      <w:r>
        <w:rPr>
          <w:rFonts w:hint="eastAsia" w:asciiTheme="minorEastAsia" w:hAnsiTheme="minorEastAsia" w:eastAsiaTheme="minorEastAsia" w:cstheme="minorEastAsia"/>
          <w:sz w:val="32"/>
          <w:szCs w:val="32"/>
        </w:rPr>
        <w:t>美股财报强劲</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及</w:t>
      </w:r>
      <w:r>
        <w:rPr>
          <w:rFonts w:hint="eastAsia" w:asciiTheme="minorEastAsia" w:hAnsiTheme="minorEastAsia" w:eastAsiaTheme="minorEastAsia" w:cstheme="minorEastAsia"/>
          <w:sz w:val="32"/>
          <w:szCs w:val="32"/>
          <w:lang w:eastAsia="zh-CN"/>
        </w:rPr>
        <w:t>略显降温</w:t>
      </w:r>
      <w:r>
        <w:rPr>
          <w:rFonts w:hint="eastAsia" w:asciiTheme="minorEastAsia" w:hAnsiTheme="minorEastAsia" w:eastAsiaTheme="minorEastAsia" w:cstheme="minorEastAsia"/>
          <w:sz w:val="32"/>
          <w:szCs w:val="32"/>
        </w:rPr>
        <w:t>的劳动力</w:t>
      </w:r>
      <w:r>
        <w:rPr>
          <w:rFonts w:hint="eastAsia" w:asciiTheme="minorEastAsia" w:hAnsiTheme="minorEastAsia" w:eastAsiaTheme="minorEastAsia" w:cstheme="minorEastAsia"/>
          <w:sz w:val="32"/>
          <w:szCs w:val="32"/>
          <w:lang w:eastAsia="zh-CN"/>
        </w:rPr>
        <w:t>市场</w:t>
      </w:r>
      <w:r>
        <w:rPr>
          <w:rFonts w:hint="eastAsia" w:asciiTheme="minorEastAsia" w:hAnsiTheme="minorEastAsia" w:eastAsiaTheme="minorEastAsia" w:cstheme="minorEastAsia"/>
          <w:sz w:val="32"/>
          <w:szCs w:val="32"/>
        </w:rPr>
        <w:t>数据</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提振了投资者对股市的信心</w:t>
      </w:r>
      <w:r>
        <w:rPr>
          <w:rFonts w:hint="eastAsia" w:asciiTheme="minorEastAsia" w:hAnsiTheme="minorEastAsia" w:eastAsiaTheme="minorEastAsia" w:cstheme="minorEastAsia"/>
          <w:sz w:val="32"/>
          <w:szCs w:val="32"/>
          <w:lang w:eastAsia="zh-CN"/>
        </w:rPr>
        <w:t>，市场</w:t>
      </w:r>
      <w:r>
        <w:rPr>
          <w:rFonts w:hint="eastAsia" w:asciiTheme="minorEastAsia" w:hAnsiTheme="minorEastAsia" w:eastAsiaTheme="minorEastAsia" w:cstheme="minorEastAsia"/>
          <w:sz w:val="32"/>
          <w:szCs w:val="32"/>
        </w:rPr>
        <w:t>情绪变得更加乐观</w:t>
      </w:r>
      <w:r>
        <w:rPr>
          <w:rFonts w:hint="eastAsia" w:asciiTheme="minorEastAsia" w:hAnsiTheme="minorEastAsia" w:eastAsiaTheme="minorEastAsia" w:cstheme="minorEastAsia"/>
          <w:sz w:val="32"/>
          <w:szCs w:val="32"/>
          <w:lang w:eastAsia="zh-CN"/>
        </w:rPr>
        <w:t>——本周</w:t>
      </w:r>
      <w:r>
        <w:rPr>
          <w:rFonts w:hint="eastAsia" w:asciiTheme="minorEastAsia" w:hAnsiTheme="minorEastAsia" w:eastAsiaTheme="minorEastAsia" w:cstheme="minorEastAsia"/>
          <w:sz w:val="32"/>
          <w:szCs w:val="32"/>
        </w:rPr>
        <w:t>标普500指数</w:t>
      </w:r>
      <w:r>
        <w:rPr>
          <w:rFonts w:hint="eastAsia" w:asciiTheme="minorEastAsia" w:hAnsiTheme="minorEastAsia" w:eastAsiaTheme="minorEastAsia" w:cstheme="minorEastAsia"/>
          <w:sz w:val="32"/>
          <w:szCs w:val="32"/>
          <w:lang w:eastAsia="zh-CN"/>
        </w:rPr>
        <w:t>上涨</w:t>
      </w:r>
      <w:r>
        <w:rPr>
          <w:rFonts w:hint="eastAsia" w:asciiTheme="minorEastAsia" w:hAnsiTheme="minorEastAsia" w:eastAsiaTheme="minorEastAsia" w:cstheme="minorEastAsia"/>
          <w:sz w:val="32"/>
          <w:szCs w:val="32"/>
        </w:rPr>
        <w:t>1.85%</w:t>
      </w:r>
      <w:r>
        <w:rPr>
          <w:rFonts w:hint="eastAsia" w:asciiTheme="minorEastAsia" w:hAnsiTheme="minorEastAsia" w:eastAsiaTheme="minorEastAsia" w:cstheme="minorEastAsia"/>
          <w:sz w:val="32"/>
          <w:szCs w:val="32"/>
          <w:lang w:eastAsia="zh-CN"/>
        </w:rPr>
        <w:t>，为</w:t>
      </w:r>
      <w:r>
        <w:rPr>
          <w:rFonts w:hint="eastAsia" w:asciiTheme="minorEastAsia" w:hAnsiTheme="minorEastAsia" w:eastAsiaTheme="minorEastAsia" w:cstheme="minorEastAsia"/>
          <w:sz w:val="32"/>
          <w:szCs w:val="32"/>
        </w:rPr>
        <w:t>连续第3周上涨</w:t>
      </w:r>
      <w:r>
        <w:rPr>
          <w:rFonts w:hint="eastAsia" w:asciiTheme="minorEastAsia" w:hAnsiTheme="minorEastAsia" w:eastAsiaTheme="minorEastAsia" w:cstheme="minorEastAsia"/>
          <w:sz w:val="32"/>
          <w:szCs w:val="32"/>
          <w:lang w:eastAsia="zh-CN"/>
        </w:rPr>
        <w:t>；目前</w:t>
      </w:r>
      <w:r>
        <w:rPr>
          <w:rFonts w:hint="eastAsia" w:asciiTheme="minorEastAsia" w:hAnsiTheme="minorEastAsia" w:eastAsiaTheme="minorEastAsia" w:cstheme="minorEastAsia"/>
          <w:sz w:val="32"/>
          <w:szCs w:val="32"/>
        </w:rPr>
        <w:t>指数距离历史前高只一步之遥</w:t>
      </w:r>
      <w:r>
        <w:rPr>
          <w:rFonts w:hint="eastAsia" w:asciiTheme="minorEastAsia" w:hAnsiTheme="minorEastAsia" w:eastAsiaTheme="minorEastAsia" w:cstheme="minorEastAsia"/>
          <w:sz w:val="32"/>
          <w:szCs w:val="32"/>
          <w:lang w:eastAsia="zh-CN"/>
        </w:rPr>
        <w:t>（见图）。</w:t>
      </w:r>
    </w:p>
    <w:p>
      <w:pPr>
        <w:rPr>
          <w:rFonts w:hint="eastAsia"/>
          <w:lang w:eastAsia="zh-CN"/>
        </w:rPr>
      </w:pPr>
      <w:r>
        <w:drawing>
          <wp:anchor distT="0" distB="0" distL="114300" distR="114300" simplePos="0" relativeHeight="251658240" behindDoc="0" locked="0" layoutInCell="1" allowOverlap="1">
            <wp:simplePos x="0" y="0"/>
            <wp:positionH relativeFrom="column">
              <wp:posOffset>180340</wp:posOffset>
            </wp:positionH>
            <wp:positionV relativeFrom="paragraph">
              <wp:posOffset>40640</wp:posOffset>
            </wp:positionV>
            <wp:extent cx="4777105" cy="2601595"/>
            <wp:effectExtent l="0" t="0" r="4445" b="8255"/>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6"/>
                    <a:stretch>
                      <a:fillRect/>
                    </a:stretch>
                  </pic:blipFill>
                  <pic:spPr>
                    <a:xfrm>
                      <a:off x="0" y="0"/>
                      <a:ext cx="4777105" cy="260159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所有的目光都集中于</w:t>
      </w:r>
      <w:r>
        <w:rPr>
          <w:rFonts w:hint="eastAsia" w:asciiTheme="minorEastAsia" w:hAnsiTheme="minorEastAsia" w:eastAsiaTheme="minorEastAsia" w:cstheme="minorEastAsia"/>
          <w:sz w:val="32"/>
          <w:szCs w:val="32"/>
        </w:rPr>
        <w:t>下周三</w:t>
      </w:r>
      <w:r>
        <w:rPr>
          <w:rFonts w:hint="eastAsia" w:asciiTheme="minorEastAsia" w:hAnsiTheme="minorEastAsia" w:eastAsiaTheme="minorEastAsia" w:cstheme="minorEastAsia"/>
          <w:sz w:val="32"/>
          <w:szCs w:val="32"/>
          <w:lang w:eastAsia="zh-CN"/>
        </w:rPr>
        <w:t>将公布的</w:t>
      </w:r>
      <w:r>
        <w:rPr>
          <w:rFonts w:hint="eastAsia" w:asciiTheme="minorEastAsia" w:hAnsiTheme="minorEastAsia" w:eastAsiaTheme="minorEastAsia" w:cstheme="minorEastAsia"/>
          <w:sz w:val="32"/>
          <w:szCs w:val="32"/>
        </w:rPr>
        <w:t>CPI数据</w:t>
      </w:r>
      <w:r>
        <w:rPr>
          <w:rFonts w:hint="eastAsia" w:asciiTheme="minorEastAsia" w:hAnsiTheme="minorEastAsia" w:eastAsiaTheme="minorEastAsia" w:cstheme="minorEastAsia"/>
          <w:sz w:val="32"/>
          <w:szCs w:val="32"/>
          <w:lang w:eastAsia="zh-CN"/>
        </w:rPr>
        <w:t>：如果</w:t>
      </w:r>
      <w:r>
        <w:rPr>
          <w:rFonts w:hint="eastAsia" w:asciiTheme="minorEastAsia" w:hAnsiTheme="minorEastAsia" w:eastAsiaTheme="minorEastAsia" w:cstheme="minorEastAsia"/>
          <w:sz w:val="32"/>
          <w:szCs w:val="32"/>
        </w:rPr>
        <w:t>显示通胀</w:t>
      </w:r>
      <w:r>
        <w:rPr>
          <w:rFonts w:hint="eastAsia" w:asciiTheme="minorEastAsia" w:hAnsiTheme="minorEastAsia" w:eastAsiaTheme="minorEastAsia" w:cstheme="minorEastAsia"/>
          <w:sz w:val="32"/>
          <w:szCs w:val="32"/>
          <w:lang w:eastAsia="zh-CN"/>
        </w:rPr>
        <w:t>开始</w:t>
      </w:r>
      <w:r>
        <w:rPr>
          <w:rFonts w:hint="eastAsia" w:asciiTheme="minorEastAsia" w:hAnsiTheme="minorEastAsia" w:eastAsiaTheme="minorEastAsia" w:cstheme="minorEastAsia"/>
          <w:sz w:val="32"/>
          <w:szCs w:val="32"/>
        </w:rPr>
        <w:t>下降</w:t>
      </w:r>
      <w:r>
        <w:rPr>
          <w:rFonts w:hint="eastAsia" w:asciiTheme="minorEastAsia" w:hAnsiTheme="minorEastAsia" w:eastAsiaTheme="minorEastAsia" w:cstheme="minorEastAsia"/>
          <w:sz w:val="32"/>
          <w:szCs w:val="32"/>
          <w:lang w:eastAsia="zh-CN"/>
        </w:rPr>
        <w:t>，将会强化降息预测，股</w:t>
      </w:r>
      <w:r>
        <w:rPr>
          <w:rFonts w:hint="eastAsia" w:asciiTheme="minorEastAsia" w:hAnsiTheme="minorEastAsia" w:eastAsiaTheme="minorEastAsia" w:cstheme="minorEastAsia"/>
          <w:sz w:val="32"/>
          <w:szCs w:val="32"/>
        </w:rPr>
        <w:t>指</w:t>
      </w:r>
      <w:r>
        <w:rPr>
          <w:rFonts w:hint="eastAsia" w:asciiTheme="minorEastAsia" w:hAnsiTheme="minorEastAsia" w:eastAsiaTheme="minorEastAsia" w:cstheme="minorEastAsia"/>
          <w:sz w:val="32"/>
          <w:szCs w:val="32"/>
          <w:lang w:eastAsia="zh-CN"/>
        </w:rPr>
        <w:t>有望再</w:t>
      </w:r>
      <w:r>
        <w:rPr>
          <w:rFonts w:hint="eastAsia" w:asciiTheme="minorEastAsia" w:hAnsiTheme="minorEastAsia" w:eastAsiaTheme="minorEastAsia" w:cstheme="minorEastAsia"/>
          <w:sz w:val="32"/>
          <w:szCs w:val="32"/>
        </w:rPr>
        <w:t>创新高</w:t>
      </w:r>
      <w:r>
        <w:rPr>
          <w:rFonts w:hint="eastAsia" w:asciiTheme="minorEastAsia" w:hAnsiTheme="minorEastAsia" w:eastAsiaTheme="minorEastAsia" w:cstheme="minorEastAsia"/>
          <w:sz w:val="32"/>
          <w:szCs w:val="32"/>
          <w:lang w:eastAsia="zh-CN"/>
        </w:rPr>
        <w:t>；如果</w:t>
      </w:r>
      <w:r>
        <w:rPr>
          <w:rFonts w:hint="eastAsia" w:asciiTheme="minorEastAsia" w:hAnsiTheme="minorEastAsia" w:eastAsiaTheme="minorEastAsia" w:cstheme="minorEastAsia"/>
          <w:sz w:val="32"/>
          <w:szCs w:val="32"/>
        </w:rPr>
        <w:t>4月CPI数据</w:t>
      </w:r>
      <w:r>
        <w:rPr>
          <w:rFonts w:hint="eastAsia" w:asciiTheme="minorEastAsia" w:hAnsiTheme="minorEastAsia" w:eastAsiaTheme="minorEastAsia" w:cstheme="minorEastAsia"/>
          <w:sz w:val="32"/>
          <w:szCs w:val="32"/>
          <w:lang w:eastAsia="zh-CN"/>
        </w:rPr>
        <w:t>再</w:t>
      </w:r>
      <w:r>
        <w:rPr>
          <w:rFonts w:hint="eastAsia" w:asciiTheme="minorEastAsia" w:hAnsiTheme="minorEastAsia" w:eastAsiaTheme="minorEastAsia" w:cstheme="minorEastAsia"/>
          <w:sz w:val="32"/>
          <w:szCs w:val="32"/>
        </w:rPr>
        <w:t>像</w:t>
      </w:r>
      <w:r>
        <w:rPr>
          <w:rFonts w:hint="eastAsia" w:asciiTheme="minorEastAsia" w:hAnsiTheme="minorEastAsia" w:eastAsiaTheme="minorEastAsia" w:cstheme="minorEastAsia"/>
          <w:sz w:val="32"/>
          <w:szCs w:val="32"/>
          <w:lang w:val="en-US" w:eastAsia="zh-CN"/>
        </w:rPr>
        <w:t>3月和2月那样</w:t>
      </w:r>
      <w:r>
        <w:rPr>
          <w:rFonts w:hint="eastAsia" w:asciiTheme="minorEastAsia" w:hAnsiTheme="minorEastAsia" w:eastAsiaTheme="minorEastAsia" w:cstheme="minorEastAsia"/>
          <w:sz w:val="32"/>
          <w:szCs w:val="32"/>
        </w:rPr>
        <w:t>全面超</w:t>
      </w:r>
      <w:r>
        <w:rPr>
          <w:rFonts w:hint="eastAsia" w:asciiTheme="minorEastAsia" w:hAnsiTheme="minorEastAsia" w:eastAsiaTheme="minorEastAsia" w:cstheme="minorEastAsia"/>
          <w:sz w:val="32"/>
          <w:szCs w:val="32"/>
          <w:lang w:eastAsia="zh-CN"/>
        </w:rPr>
        <w:t>出</w:t>
      </w:r>
      <w:r>
        <w:rPr>
          <w:rFonts w:hint="eastAsia" w:asciiTheme="minorEastAsia" w:hAnsiTheme="minorEastAsia" w:eastAsiaTheme="minorEastAsia" w:cstheme="minorEastAsia"/>
          <w:sz w:val="32"/>
          <w:szCs w:val="32"/>
        </w:rPr>
        <w:t>预期</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降息</w:t>
      </w:r>
      <w:r>
        <w:rPr>
          <w:rFonts w:hint="eastAsia" w:asciiTheme="minorEastAsia" w:hAnsiTheme="minorEastAsia" w:eastAsiaTheme="minorEastAsia" w:cstheme="minorEastAsia"/>
          <w:sz w:val="32"/>
          <w:szCs w:val="32"/>
          <w:lang w:eastAsia="zh-CN"/>
        </w:rPr>
        <w:t>必然推迟，从而股市承压。</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现在，</w:t>
      </w:r>
      <w:r>
        <w:rPr>
          <w:rFonts w:hint="eastAsia" w:asciiTheme="minorEastAsia" w:hAnsiTheme="minorEastAsia" w:eastAsiaTheme="minorEastAsia" w:cstheme="minorEastAsia"/>
          <w:sz w:val="32"/>
          <w:szCs w:val="32"/>
        </w:rPr>
        <w:t>美联储</w:t>
      </w:r>
      <w:r>
        <w:rPr>
          <w:rFonts w:hint="eastAsia" w:asciiTheme="minorEastAsia" w:hAnsiTheme="minorEastAsia" w:eastAsiaTheme="minorEastAsia" w:cstheme="minorEastAsia"/>
          <w:sz w:val="32"/>
          <w:szCs w:val="32"/>
          <w:lang w:eastAsia="zh-CN"/>
        </w:rPr>
        <w:t>高官们莫衷一是，对通胀的看法分歧显著。周五，</w:t>
      </w:r>
      <w:r>
        <w:rPr>
          <w:rFonts w:hint="eastAsia" w:asciiTheme="minorEastAsia" w:hAnsiTheme="minorEastAsia" w:eastAsiaTheme="minorEastAsia" w:cstheme="minorEastAsia"/>
          <w:sz w:val="32"/>
          <w:szCs w:val="32"/>
        </w:rPr>
        <w:t>美联储理事米歇尔</w:t>
      </w:r>
      <w:r>
        <w:rPr>
          <w:rFonts w:hint="eastAsia" w:asciiTheme="minorEastAsia" w:hAnsiTheme="minorEastAsia" w:eastAsiaTheme="minorEastAsia" w:cstheme="minorEastAsia"/>
          <w:sz w:val="32"/>
          <w:szCs w:val="32"/>
          <w:lang w:val="en-US" w:eastAsia="zh-CN"/>
        </w:rPr>
        <w:t>·</w:t>
      </w:r>
      <w:r>
        <w:rPr>
          <w:rFonts w:hint="eastAsia" w:asciiTheme="minorEastAsia" w:hAnsiTheme="minorEastAsia" w:eastAsiaTheme="minorEastAsia" w:cstheme="minorEastAsia"/>
          <w:sz w:val="32"/>
          <w:szCs w:val="32"/>
        </w:rPr>
        <w:t>鲍曼说</w:t>
      </w:r>
      <w:r>
        <w:rPr>
          <w:rFonts w:hint="eastAsia" w:asciiTheme="minorEastAsia" w:hAnsiTheme="minorEastAsia" w:eastAsiaTheme="minorEastAsia" w:cstheme="minorEastAsia"/>
          <w:sz w:val="32"/>
          <w:szCs w:val="32"/>
          <w:lang w:eastAsia="zh-CN"/>
        </w:rPr>
        <w:t>：目前</w:t>
      </w:r>
      <w:r>
        <w:rPr>
          <w:rFonts w:hint="eastAsia" w:asciiTheme="minorEastAsia" w:hAnsiTheme="minorEastAsia" w:eastAsiaTheme="minorEastAsia" w:cstheme="minorEastAsia"/>
          <w:sz w:val="32"/>
          <w:szCs w:val="32"/>
        </w:rPr>
        <w:t>通胀太高了</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2024年不宜降息</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话音</w:t>
      </w:r>
      <w:r>
        <w:rPr>
          <w:rFonts w:hint="eastAsia" w:asciiTheme="minorEastAsia" w:hAnsiTheme="minorEastAsia" w:eastAsiaTheme="minorEastAsia" w:cstheme="minorEastAsia"/>
          <w:sz w:val="32"/>
          <w:szCs w:val="32"/>
          <w:lang w:eastAsia="zh-CN"/>
        </w:rPr>
        <w:t>甫</w:t>
      </w:r>
      <w:r>
        <w:rPr>
          <w:rFonts w:hint="eastAsia" w:asciiTheme="minorEastAsia" w:hAnsiTheme="minorEastAsia" w:eastAsiaTheme="minorEastAsia" w:cstheme="minorEastAsia"/>
          <w:sz w:val="32"/>
          <w:szCs w:val="32"/>
        </w:rPr>
        <w:t>落</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亚特兰大联储主席博斯蒂克</w:t>
      </w:r>
      <w:r>
        <w:rPr>
          <w:rFonts w:hint="eastAsia" w:asciiTheme="minorEastAsia" w:hAnsiTheme="minorEastAsia" w:eastAsiaTheme="minorEastAsia" w:cstheme="minorEastAsia"/>
          <w:sz w:val="32"/>
          <w:szCs w:val="32"/>
          <w:lang w:eastAsia="zh-CN"/>
        </w:rPr>
        <w:t>表示：尽管货币政策放松的时机和程度尚不确定，且</w:t>
      </w:r>
      <w:r>
        <w:rPr>
          <w:rFonts w:hint="eastAsia" w:asciiTheme="minorEastAsia" w:hAnsiTheme="minorEastAsia" w:eastAsiaTheme="minorEastAsia" w:cstheme="minorEastAsia"/>
          <w:sz w:val="32"/>
          <w:szCs w:val="32"/>
        </w:rPr>
        <w:t>通胀</w:t>
      </w:r>
      <w:r>
        <w:rPr>
          <w:rFonts w:hint="eastAsia" w:asciiTheme="minorEastAsia" w:hAnsiTheme="minorEastAsia" w:eastAsiaTheme="minorEastAsia" w:cstheme="minorEastAsia"/>
          <w:sz w:val="32"/>
          <w:szCs w:val="32"/>
          <w:lang w:eastAsia="zh-CN"/>
        </w:rPr>
        <w:t>进一步</w:t>
      </w:r>
      <w:r>
        <w:rPr>
          <w:rFonts w:hint="eastAsia" w:asciiTheme="minorEastAsia" w:hAnsiTheme="minorEastAsia" w:eastAsiaTheme="minorEastAsia" w:cstheme="minorEastAsia"/>
          <w:sz w:val="32"/>
          <w:szCs w:val="32"/>
        </w:rPr>
        <w:t>下降的速度</w:t>
      </w:r>
      <w:r>
        <w:rPr>
          <w:rFonts w:hint="eastAsia" w:asciiTheme="minorEastAsia" w:hAnsiTheme="minorEastAsia" w:eastAsiaTheme="minorEastAsia" w:cstheme="minorEastAsia"/>
          <w:sz w:val="32"/>
          <w:szCs w:val="32"/>
          <w:lang w:eastAsia="zh-CN"/>
        </w:rPr>
        <w:t>也很缓</w:t>
      </w:r>
      <w:r>
        <w:rPr>
          <w:rFonts w:hint="eastAsia" w:asciiTheme="minorEastAsia" w:hAnsiTheme="minorEastAsia" w:eastAsiaTheme="minorEastAsia" w:cstheme="minorEastAsia"/>
          <w:sz w:val="32"/>
          <w:szCs w:val="32"/>
        </w:rPr>
        <w:t>慢</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但美联储</w:t>
      </w:r>
      <w:r>
        <w:rPr>
          <w:rFonts w:hint="eastAsia" w:asciiTheme="minorEastAsia" w:hAnsiTheme="minorEastAsia" w:eastAsiaTheme="minorEastAsia" w:cstheme="minorEastAsia"/>
          <w:sz w:val="32"/>
          <w:szCs w:val="32"/>
          <w:lang w:eastAsia="zh-CN"/>
        </w:rPr>
        <w:t>今年</w:t>
      </w:r>
      <w:r>
        <w:rPr>
          <w:rFonts w:hint="eastAsia" w:asciiTheme="minorEastAsia" w:hAnsiTheme="minorEastAsia" w:eastAsiaTheme="minorEastAsia" w:cstheme="minorEastAsia"/>
          <w:sz w:val="32"/>
          <w:szCs w:val="32"/>
        </w:rPr>
        <w:t>仍</w:t>
      </w:r>
      <w:r>
        <w:rPr>
          <w:rFonts w:hint="eastAsia" w:asciiTheme="minorEastAsia" w:hAnsiTheme="minorEastAsia" w:eastAsiaTheme="minorEastAsia" w:cstheme="minorEastAsia"/>
          <w:sz w:val="32"/>
          <w:szCs w:val="32"/>
          <w:lang w:eastAsia="zh-CN"/>
        </w:rPr>
        <w:t>将</w:t>
      </w:r>
      <w:r>
        <w:rPr>
          <w:rFonts w:hint="eastAsia" w:asciiTheme="minorEastAsia" w:hAnsiTheme="minorEastAsia" w:eastAsiaTheme="minorEastAsia" w:cstheme="minorEastAsia"/>
          <w:sz w:val="32"/>
          <w:szCs w:val="32"/>
        </w:rPr>
        <w:t>可</w:t>
      </w:r>
      <w:r>
        <w:rPr>
          <w:rFonts w:hint="eastAsia" w:asciiTheme="minorEastAsia" w:hAnsiTheme="minorEastAsia" w:eastAsiaTheme="minorEastAsia" w:cstheme="minorEastAsia"/>
          <w:sz w:val="32"/>
          <w:szCs w:val="32"/>
          <w:lang w:val="en-US" w:eastAsia="zh-CN"/>
        </w:rPr>
        <w:t>能</w:t>
      </w:r>
      <w:r>
        <w:rPr>
          <w:rFonts w:hint="eastAsia" w:asciiTheme="minorEastAsia" w:hAnsiTheme="minorEastAsia" w:eastAsiaTheme="minorEastAsia" w:cstheme="minorEastAsia"/>
          <w:sz w:val="32"/>
          <w:szCs w:val="32"/>
        </w:rPr>
        <w:t>按计划降息</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default"/>
          <w:lang w:val="en-US" w:eastAsia="zh-CN"/>
        </w:rPr>
      </w:pPr>
      <w:r>
        <w:rPr>
          <w:rFonts w:hint="eastAsia" w:asciiTheme="minorEastAsia" w:hAnsiTheme="minorEastAsia" w:eastAsiaTheme="minorEastAsia" w:cstheme="minorEastAsia"/>
          <w:sz w:val="32"/>
          <w:szCs w:val="32"/>
          <w:lang w:eastAsia="zh-CN"/>
        </w:rPr>
        <w:t>同日，欧洲央行公布</w:t>
      </w:r>
      <w:r>
        <w:rPr>
          <w:rFonts w:hint="eastAsia" w:asciiTheme="minorEastAsia" w:hAnsiTheme="minorEastAsia" w:eastAsiaTheme="minorEastAsia" w:cstheme="minorEastAsia"/>
          <w:sz w:val="32"/>
          <w:szCs w:val="32"/>
          <w:lang w:val="en-US" w:eastAsia="zh-CN"/>
        </w:rPr>
        <w:t>4月的议息会议纪要：欧元区通胀率有望在不久后回落到2%，因此欧洲央行的决策者们一致同意，可能将在6月降息。但是考虑到通胀的波动和美联储降息的不确定性，欧央行在6月之后的利率路径是非常模糊的。</w:t>
      </w: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5月12日（周日）</w:t>
      </w:r>
    </w:p>
    <w:p>
      <w:pP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日本贸易顺差出现，国际收支改善</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5月10日（周五），日本央行公布了3月份的国际收支数据（见表格）。</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2233295</wp:posOffset>
            </wp:positionH>
            <wp:positionV relativeFrom="paragraph">
              <wp:posOffset>1045845</wp:posOffset>
            </wp:positionV>
            <wp:extent cx="3121660" cy="2179955"/>
            <wp:effectExtent l="0" t="0" r="2540" b="10795"/>
            <wp:wrapSquare wrapText="bothSides"/>
            <wp:docPr id="17" name="图片 17" descr="（20240512）日本4月的国际收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0240512）日本4月的国际收支"/>
                    <pic:cNvPicPr>
                      <a:picLocks noChangeAspect="1"/>
                    </pic:cNvPicPr>
                  </pic:nvPicPr>
                  <pic:blipFill>
                    <a:blip r:embed="rId7"/>
                    <a:stretch>
                      <a:fillRect/>
                    </a:stretch>
                  </pic:blipFill>
                  <pic:spPr>
                    <a:xfrm>
                      <a:off x="0" y="0"/>
                      <a:ext cx="3121660" cy="217995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drawing>
          <wp:anchor distT="0" distB="0" distL="114300" distR="114300" simplePos="0" relativeHeight="251659264" behindDoc="0" locked="0" layoutInCell="1" allowOverlap="1">
            <wp:simplePos x="0" y="0"/>
            <wp:positionH relativeFrom="column">
              <wp:posOffset>179070</wp:posOffset>
            </wp:positionH>
            <wp:positionV relativeFrom="paragraph">
              <wp:posOffset>116205</wp:posOffset>
            </wp:positionV>
            <wp:extent cx="5017770" cy="780415"/>
            <wp:effectExtent l="0" t="0" r="11430" b="635"/>
            <wp:wrapTopAndBottom/>
            <wp:docPr id="6" name="图片 6" descr="表格1-5月12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表格1-5月12日"/>
                    <pic:cNvPicPr>
                      <a:picLocks noChangeAspect="1"/>
                    </pic:cNvPicPr>
                  </pic:nvPicPr>
                  <pic:blipFill>
                    <a:blip r:embed="rId8"/>
                    <a:stretch>
                      <a:fillRect/>
                    </a:stretch>
                  </pic:blipFill>
                  <pic:spPr>
                    <a:xfrm>
                      <a:off x="0" y="0"/>
                      <a:ext cx="5017770" cy="78041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数据显示，自3月份日元开始急速贬值以来，日本对外贸易顺差增加，国际收支情况有所改善。汇率变化带来的经济影响，将会在未来更长时间中逐渐显现。</w:t>
      </w: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textAlignment w:val="auto"/>
        <w:outlineLvl w:val="9"/>
        <w:rPr>
          <w:rFonts w:hint="eastAsia" w:ascii="Calibri" w:hAnsi="Calibri" w:eastAsia="仿宋_GB2312" w:cs="Calibri"/>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textAlignment w:val="auto"/>
        <w:outlineLvl w:val="9"/>
        <w:rPr>
          <w:rFonts w:hint="eastAsia" w:ascii="Calibri" w:hAnsi="Calibri" w:eastAsia="仿宋_GB2312" w:cs="Calibri"/>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textAlignment w:val="auto"/>
        <w:outlineLvl w:val="9"/>
        <w:rPr>
          <w:rFonts w:hint="eastAsia" w:ascii="方正楷体_GBK" w:hAnsi="方正楷体_GBK" w:eastAsia="方正楷体_GBK" w:cs="方正楷体_GBK"/>
          <w:sz w:val="24"/>
          <w:szCs w:val="24"/>
          <w:lang w:val="en-US" w:eastAsia="zh-CN"/>
        </w:rPr>
      </w:pPr>
      <w:r>
        <w:rPr>
          <w:rFonts w:hint="eastAsia" w:ascii="Calibri" w:hAnsi="Calibri" w:eastAsia="仿宋_GB2312" w:cs="Calibri"/>
          <w:lang w:val="en-US" w:eastAsia="zh-CN"/>
        </w:rPr>
        <w:t>（</w:t>
      </w:r>
      <w:r>
        <w:rPr>
          <w:rFonts w:hint="eastAsia" w:ascii="方正黑体_GBK" w:hAnsi="方正黑体_GBK" w:eastAsia="方正黑体_GBK" w:cs="方正黑体_GBK"/>
          <w:b/>
          <w:bCs/>
          <w:sz w:val="24"/>
          <w:szCs w:val="24"/>
          <w:lang w:val="en-US" w:eastAsia="zh-CN"/>
        </w:rPr>
        <w:t>注：</w:t>
      </w: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贸易账</w:t>
      </w:r>
      <w:r>
        <w:rPr>
          <w:rFonts w:hint="eastAsia" w:ascii="方正楷体_GBK" w:hAnsi="方正楷体_GBK" w:eastAsia="方正楷体_GBK" w:cs="方正楷体_GBK"/>
          <w:sz w:val="24"/>
          <w:szCs w:val="24"/>
          <w:lang w:val="en-US" w:eastAsia="zh-CN"/>
        </w:rPr>
        <w:t>”和“</w:t>
      </w:r>
      <w:r>
        <w:rPr>
          <w:rFonts w:hint="eastAsia" w:ascii="方正楷体_GBK" w:hAnsi="方正楷体_GBK" w:eastAsia="方正楷体_GBK" w:cs="方正楷体_GBK"/>
          <w:b/>
          <w:bCs/>
          <w:sz w:val="24"/>
          <w:szCs w:val="24"/>
          <w:lang w:val="en-US" w:eastAsia="zh-CN"/>
        </w:rPr>
        <w:t>经常账</w:t>
      </w:r>
      <w:r>
        <w:rPr>
          <w:rFonts w:hint="eastAsia" w:ascii="方正楷体_GBK" w:hAnsi="方正楷体_GBK" w:eastAsia="方正楷体_GBK" w:cs="方正楷体_GBK"/>
          <w:sz w:val="24"/>
          <w:szCs w:val="24"/>
          <w:lang w:val="en-US" w:eastAsia="zh-CN"/>
        </w:rPr>
        <w:t>”是国际收支账户的两个重要组成部分。</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贸易账户</w:t>
      </w:r>
      <w:r>
        <w:rPr>
          <w:rFonts w:hint="eastAsia" w:ascii="方正楷体_GBK" w:hAnsi="方正楷体_GBK" w:eastAsia="方正楷体_GBK" w:cs="方正楷体_GBK"/>
          <w:sz w:val="24"/>
          <w:szCs w:val="24"/>
          <w:lang w:val="en-US" w:eastAsia="zh-CN"/>
        </w:rPr>
        <w:t>”（Trade Account），记录了一个国家（地区）在一定时期内，货物贸易和服务贸易的总体情况，当出口和进口相减差额为正值时，表示贸易顺差；负值，则表示贸易逆差。“</w:t>
      </w:r>
      <w:r>
        <w:rPr>
          <w:rFonts w:hint="eastAsia" w:ascii="方正楷体_GBK" w:hAnsi="方正楷体_GBK" w:eastAsia="方正楷体_GBK" w:cs="方正楷体_GBK"/>
          <w:b/>
          <w:bCs/>
          <w:sz w:val="24"/>
          <w:szCs w:val="24"/>
          <w:lang w:val="en-US" w:eastAsia="zh-CN"/>
        </w:rPr>
        <w:t>商品贸易账</w:t>
      </w:r>
      <w:r>
        <w:rPr>
          <w:rFonts w:hint="eastAsia" w:ascii="方正楷体_GBK" w:hAnsi="方正楷体_GBK" w:eastAsia="方正楷体_GBK" w:cs="方正楷体_GBK"/>
          <w:sz w:val="24"/>
          <w:szCs w:val="24"/>
          <w:lang w:val="en-US" w:eastAsia="zh-CN"/>
        </w:rPr>
        <w:t>”则指其中货物贸易出口与进口相较的差额。</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经常账户</w:t>
      </w:r>
      <w:r>
        <w:rPr>
          <w:rFonts w:hint="eastAsia" w:ascii="方正楷体_GBK" w:hAnsi="方正楷体_GBK" w:eastAsia="方正楷体_GBK" w:cs="方正楷体_GBK"/>
          <w:sz w:val="24"/>
          <w:szCs w:val="24"/>
          <w:lang w:val="en-US" w:eastAsia="zh-CN"/>
        </w:rPr>
        <w:t>”（Current Account）是一个更广泛的概念，它包括贸易账户以及其他项目，如收入（如利息和利润）、转移支付（如援助和汇款）等。因此，经常账户记录了一个国家（地区）与其他国家（地区）之间的经济交流情况，包括货物、服务、收入和转移支付的流动。经常账的结余或赤字，表示该国在国际经济交流中的净收入或净支出。通过分析经常账的各个子项，可以了解一国与他国之间的经贸往来和国际收支情况。</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一般来说，</w:t>
      </w:r>
      <w:r>
        <w:rPr>
          <w:rFonts w:hint="eastAsia" w:ascii="方正楷体_GBK" w:hAnsi="方正楷体_GBK" w:eastAsia="方正楷体_GBK" w:cs="方正楷体_GBK"/>
          <w:b/>
          <w:bCs/>
          <w:sz w:val="24"/>
          <w:szCs w:val="24"/>
          <w:lang w:val="en-US" w:eastAsia="zh-CN"/>
        </w:rPr>
        <w:t>贸易账在经常账户中占比最大</w:t>
      </w:r>
      <w:r>
        <w:rPr>
          <w:rFonts w:hint="eastAsia" w:ascii="方正楷体_GBK" w:hAnsi="方正楷体_GBK" w:eastAsia="方正楷体_GBK" w:cs="方正楷体_GBK"/>
          <w:sz w:val="24"/>
          <w:szCs w:val="24"/>
          <w:lang w:val="en-US" w:eastAsia="zh-CN"/>
        </w:rPr>
        <w:t>。一国的对外贸易是了解其经济发展趋势的重要线索，长期的贸易差额会对其汇率产生影响。）</w:t>
      </w:r>
    </w:p>
    <w:p>
      <w:pPr>
        <w:rPr>
          <w:rFonts w:hint="eastAsia" w:ascii="方正小标宋_GBK" w:hAnsi="方正小标宋_GBK" w:eastAsia="方正小标宋_GBK" w:cs="方正小标宋_GBK"/>
          <w:b/>
          <w:bCs/>
          <w:color w:val="0000FF"/>
          <w:sz w:val="32"/>
          <w:szCs w:val="32"/>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5月13日（周一）</w:t>
      </w:r>
    </w:p>
    <w:p>
      <w:pP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美债发行顺利，气候灾害频现</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5月6日当周（上周），美国财政部共发行了1250亿国债，其中580亿美元的3年期国债，670亿美元的10年期和30年期国债。</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5月8日（周三），10年期美债拍卖结果不佳，导致其收益率回升。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5月9日（周四），30年期国债拍卖结果稳健，海外需求较前月有所提升。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1312" behindDoc="0" locked="0" layoutInCell="1" allowOverlap="1">
            <wp:simplePos x="0" y="0"/>
            <wp:positionH relativeFrom="column">
              <wp:posOffset>187960</wp:posOffset>
            </wp:positionH>
            <wp:positionV relativeFrom="paragraph">
              <wp:posOffset>133350</wp:posOffset>
            </wp:positionV>
            <wp:extent cx="5161280" cy="1654810"/>
            <wp:effectExtent l="0" t="0" r="1270" b="2540"/>
            <wp:wrapTopAndBottom/>
            <wp:docPr id="7" name="图片 7" descr="表格2-5月13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表格2-5月13日"/>
                    <pic:cNvPicPr>
                      <a:picLocks noChangeAspect="1"/>
                    </pic:cNvPicPr>
                  </pic:nvPicPr>
                  <pic:blipFill>
                    <a:blip r:embed="rId9"/>
                    <a:stretch>
                      <a:fillRect/>
                    </a:stretch>
                  </pic:blipFill>
                  <pic:spPr>
                    <a:xfrm>
                      <a:off x="0" y="0"/>
                      <a:ext cx="5161280" cy="165481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总的看来，全周美债收益率小幅波动（见表格），说明此1250亿的美债拍卖顺利。但长短期美债收益率倒挂现象依旧：3年期高于30年期和10年期。</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2336" behindDoc="0" locked="0" layoutInCell="1" allowOverlap="1">
            <wp:simplePos x="0" y="0"/>
            <wp:positionH relativeFrom="column">
              <wp:posOffset>2292350</wp:posOffset>
            </wp:positionH>
            <wp:positionV relativeFrom="paragraph">
              <wp:posOffset>82550</wp:posOffset>
            </wp:positionV>
            <wp:extent cx="3173730" cy="2114550"/>
            <wp:effectExtent l="0" t="0" r="7620" b="0"/>
            <wp:wrapSquare wrapText="bothSides"/>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0"/>
                    <a:stretch>
                      <a:fillRect/>
                    </a:stretch>
                  </pic:blipFill>
                  <pic:spPr>
                    <a:xfrm>
                      <a:off x="0" y="0"/>
                      <a:ext cx="3173730" cy="211455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上周，印尼苏门答腊岛暴雨引发山洪，导致河流决堤，造成至少37人死亡。据印尼当地官员称，附近村庄的100多座房屋和其他建筑物被淹没（见图）。3月份当地曾发现过类似灾害，造成约26人死亡。</w:t>
      </w:r>
    </w:p>
    <w:p>
      <w:pPr>
        <w:keepNext w:val="0"/>
        <w:keepLines w:val="0"/>
        <w:pageBreakBefore w:val="0"/>
        <w:widowControl w:val="0"/>
        <w:kinsoku/>
        <w:wordWrap/>
        <w:overflowPunct/>
        <w:topLinePunct w:val="0"/>
        <w:autoSpaceDE/>
        <w:autoSpaceDN/>
        <w:bidi w:val="0"/>
        <w:adjustRightInd/>
        <w:snapToGrid/>
        <w:ind w:firstLine="608" w:firstLineChars="200"/>
        <w:jc w:val="both"/>
        <w:textAlignment w:val="auto"/>
        <w:outlineLvl w:val="9"/>
        <w:rPr>
          <w:rFonts w:hint="eastAsia" w:eastAsiaTheme="minorEastAsia"/>
          <w:lang w:val="en-US" w:eastAsia="zh-CN"/>
        </w:rPr>
      </w:pPr>
      <w:r>
        <w:rPr>
          <w:rFonts w:hint="eastAsia" w:asciiTheme="minorEastAsia" w:hAnsiTheme="minorEastAsia" w:eastAsiaTheme="minorEastAsia" w:cstheme="minorEastAsia"/>
          <w:sz w:val="32"/>
          <w:szCs w:val="32"/>
          <w:lang w:val="en-US" w:eastAsia="zh-CN"/>
        </w:rPr>
        <w:t>因野火威胁，加拿大艾伯塔省和不列颠哥伦比亚省的数千名居民被通知撤离家园。政府警告说，加拿大面临着“灾难性”野火季节的风险（见图）。今年，加拿大大部分地区的春季和夏季气温异常高，部分归因于厄尔尼诺现象。</w:t>
      </w:r>
    </w:p>
    <w:p>
      <w:r>
        <w:drawing>
          <wp:anchor distT="0" distB="0" distL="114300" distR="114300" simplePos="0" relativeHeight="251663360" behindDoc="0" locked="0" layoutInCell="1" allowOverlap="1">
            <wp:simplePos x="0" y="0"/>
            <wp:positionH relativeFrom="column">
              <wp:posOffset>374650</wp:posOffset>
            </wp:positionH>
            <wp:positionV relativeFrom="paragraph">
              <wp:posOffset>136525</wp:posOffset>
            </wp:positionV>
            <wp:extent cx="4577715" cy="2575560"/>
            <wp:effectExtent l="0" t="0" r="13335" b="15240"/>
            <wp:wrapTopAndBottom/>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1"/>
                    <a:stretch>
                      <a:fillRect/>
                    </a:stretch>
                  </pic:blipFill>
                  <pic:spPr>
                    <a:xfrm>
                      <a:off x="0" y="0"/>
                      <a:ext cx="4577715" cy="2575560"/>
                    </a:xfrm>
                    <a:prstGeom prst="rect">
                      <a:avLst/>
                    </a:prstGeom>
                    <a:noFill/>
                    <a:ln>
                      <a:noFill/>
                    </a:ln>
                  </pic:spPr>
                </pic:pic>
              </a:graphicData>
            </a:graphic>
          </wp:anchor>
        </w:drawing>
      </w:r>
    </w:p>
    <w:p>
      <w:pPr>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（图：野火在加拿大西部肆虐）</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5月14日（周二）</w:t>
      </w:r>
    </w:p>
    <w:p>
      <w:pPr>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GameStop王者归来，CPI周三现身</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5</w:t>
      </w:r>
      <w:r>
        <w:rPr>
          <w:rFonts w:hint="eastAsia" w:asciiTheme="minorEastAsia" w:hAnsiTheme="minorEastAsia" w:eastAsiaTheme="minorEastAsia" w:cstheme="minorEastAsia"/>
          <w:sz w:val="32"/>
          <w:szCs w:val="32"/>
        </w:rPr>
        <w:t>月13日</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周</w:t>
      </w:r>
      <w:r>
        <w:rPr>
          <w:rFonts w:hint="eastAsia" w:asciiTheme="minorEastAsia" w:hAnsiTheme="minorEastAsia" w:eastAsiaTheme="minorEastAsia" w:cstheme="minorEastAsia"/>
          <w:sz w:val="32"/>
          <w:szCs w:val="32"/>
          <w:lang w:eastAsia="zh-CN"/>
        </w:rPr>
        <w:t>一），“游戏驿站”（</w:t>
      </w:r>
      <w:r>
        <w:rPr>
          <w:rFonts w:hint="eastAsia" w:asciiTheme="minorEastAsia" w:hAnsiTheme="minorEastAsia" w:eastAsiaTheme="minorEastAsia" w:cstheme="minorEastAsia"/>
          <w:sz w:val="32"/>
          <w:szCs w:val="32"/>
        </w:rPr>
        <w:t>GameStop</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股价一度飙升110%，由于</w:t>
      </w:r>
      <w:r>
        <w:rPr>
          <w:rFonts w:hint="eastAsia" w:asciiTheme="minorEastAsia" w:hAnsiTheme="minorEastAsia" w:eastAsiaTheme="minorEastAsia" w:cstheme="minorEastAsia"/>
          <w:sz w:val="32"/>
          <w:szCs w:val="32"/>
          <w:lang w:eastAsia="zh-CN"/>
        </w:rPr>
        <w:t>价格</w:t>
      </w:r>
      <w:r>
        <w:rPr>
          <w:rFonts w:hint="eastAsia" w:asciiTheme="minorEastAsia" w:hAnsiTheme="minorEastAsia" w:eastAsiaTheme="minorEastAsia" w:cstheme="minorEastAsia"/>
          <w:sz w:val="32"/>
          <w:szCs w:val="32"/>
        </w:rPr>
        <w:t>波动太大</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盘中多次触发熔断</w:t>
      </w:r>
      <w:r>
        <w:rPr>
          <w:rFonts w:hint="eastAsia" w:asciiTheme="minorEastAsia" w:hAnsiTheme="minorEastAsia" w:eastAsiaTheme="minorEastAsia" w:cstheme="minorEastAsia"/>
          <w:sz w:val="32"/>
          <w:szCs w:val="32"/>
          <w:lang w:eastAsia="zh-CN"/>
        </w:rPr>
        <w:t>。在其带领下，“社媒推动股”（</w:t>
      </w:r>
      <w:r>
        <w:rPr>
          <w:rFonts w:hint="eastAsia" w:asciiTheme="minorEastAsia" w:hAnsiTheme="minorEastAsia" w:eastAsiaTheme="minorEastAsia" w:cstheme="minorEastAsia"/>
          <w:sz w:val="32"/>
          <w:szCs w:val="32"/>
        </w:rPr>
        <w:t>MEME股</w:t>
      </w:r>
      <w:r>
        <w:rPr>
          <w:rFonts w:hint="eastAsia" w:asciiTheme="minorEastAsia" w:hAnsiTheme="minorEastAsia" w:eastAsiaTheme="minorEastAsia" w:cstheme="minorEastAsia"/>
          <w:sz w:val="32"/>
          <w:szCs w:val="32"/>
          <w:lang w:eastAsia="zh-CN"/>
        </w:rPr>
        <w:t>）再次活跃起来。</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asciiTheme="minorEastAsia" w:hAnsiTheme="minorEastAsia" w:eastAsiaTheme="minorEastAsia" w:cstheme="minorEastAsia"/>
          <w:sz w:val="32"/>
          <w:szCs w:val="32"/>
        </w:rPr>
      </w:pPr>
      <w:r>
        <w:drawing>
          <wp:anchor distT="0" distB="0" distL="114300" distR="114300" simplePos="0" relativeHeight="251664384" behindDoc="0" locked="0" layoutInCell="1" allowOverlap="1">
            <wp:simplePos x="0" y="0"/>
            <wp:positionH relativeFrom="column">
              <wp:posOffset>171450</wp:posOffset>
            </wp:positionH>
            <wp:positionV relativeFrom="paragraph">
              <wp:posOffset>158750</wp:posOffset>
            </wp:positionV>
            <wp:extent cx="3140710" cy="2197735"/>
            <wp:effectExtent l="0" t="0" r="2540" b="12065"/>
            <wp:wrapSquare wrapText="bothSides"/>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12"/>
                    <a:stretch>
                      <a:fillRect/>
                    </a:stretch>
                  </pic:blipFill>
                  <pic:spPr>
                    <a:xfrm>
                      <a:off x="0" y="0"/>
                      <a:ext cx="3140710" cy="219773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rPr>
        <w:t>在美国股市中，</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MEME股</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是指那些受到社交媒体和互联网论坛热炒的股票。这些股票通常是由个体投资者在社交媒体平台上推</w:t>
      </w:r>
      <w:r>
        <w:rPr>
          <w:rFonts w:hint="eastAsia" w:asciiTheme="minorEastAsia" w:hAnsiTheme="minorEastAsia" w:eastAsiaTheme="minorEastAsia" w:cstheme="minorEastAsia"/>
          <w:sz w:val="32"/>
          <w:szCs w:val="32"/>
          <w:lang w:eastAsia="zh-CN"/>
        </w:rPr>
        <w:t>出并引发热议</w:t>
      </w: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32"/>
          <w:szCs w:val="32"/>
          <w:lang w:eastAsia="zh-CN"/>
        </w:rPr>
        <w:t>从而形成集体购买行为，其中有的投资人</w:t>
      </w:r>
      <w:r>
        <w:rPr>
          <w:rFonts w:hint="eastAsia" w:asciiTheme="minorEastAsia" w:hAnsiTheme="minorEastAsia" w:eastAsiaTheme="minorEastAsia" w:cstheme="minorEastAsia"/>
          <w:sz w:val="32"/>
          <w:szCs w:val="32"/>
        </w:rPr>
        <w:t>追求快速获利</w:t>
      </w:r>
      <w:r>
        <w:rPr>
          <w:rFonts w:hint="eastAsia" w:asciiTheme="minorEastAsia" w:hAnsiTheme="minorEastAsia" w:eastAsiaTheme="minorEastAsia" w:cstheme="minorEastAsia"/>
          <w:sz w:val="32"/>
          <w:szCs w:val="32"/>
          <w:lang w:eastAsia="zh-CN"/>
        </w:rPr>
        <w:t>，有的则只是为了</w:t>
      </w:r>
      <w:r>
        <w:rPr>
          <w:rFonts w:hint="eastAsia" w:asciiTheme="minorEastAsia" w:hAnsiTheme="minorEastAsia" w:eastAsiaTheme="minorEastAsia" w:cstheme="minorEastAsia"/>
          <w:sz w:val="32"/>
          <w:szCs w:val="32"/>
        </w:rPr>
        <w:t>挑战传统金融机构。</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2021年初，</w:t>
      </w:r>
      <w:r>
        <w:rPr>
          <w:rFonts w:hint="eastAsia" w:asciiTheme="minorEastAsia" w:hAnsiTheme="minorEastAsia" w:eastAsiaTheme="minorEastAsia" w:cstheme="minorEastAsia"/>
          <w:sz w:val="32"/>
          <w:szCs w:val="32"/>
          <w:lang w:eastAsia="zh-CN"/>
        </w:rPr>
        <w:t>“游戏驿站”（</w:t>
      </w:r>
      <w:r>
        <w:rPr>
          <w:rFonts w:hint="eastAsia" w:asciiTheme="minorEastAsia" w:hAnsiTheme="minorEastAsia" w:eastAsiaTheme="minorEastAsia" w:cstheme="minorEastAsia"/>
          <w:sz w:val="32"/>
          <w:szCs w:val="32"/>
        </w:rPr>
        <w:t>GameStop</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一战成名，在散户们的推动下，一个月内股价飙升近30倍，华尔街做空机构大亏出局。上周日，当年</w:t>
      </w:r>
      <w:r>
        <w:rPr>
          <w:rFonts w:hint="eastAsia" w:asciiTheme="minorEastAsia" w:hAnsiTheme="minorEastAsia" w:eastAsiaTheme="minorEastAsia" w:cstheme="minorEastAsia"/>
          <w:sz w:val="32"/>
          <w:szCs w:val="32"/>
        </w:rPr>
        <w:t>带</w:t>
      </w:r>
      <w:r>
        <w:rPr>
          <w:rFonts w:hint="eastAsia" w:asciiTheme="minorEastAsia" w:hAnsiTheme="minorEastAsia" w:eastAsiaTheme="minorEastAsia" w:cstheme="minorEastAsia"/>
          <w:sz w:val="32"/>
          <w:szCs w:val="32"/>
          <w:lang w:eastAsia="zh-CN"/>
        </w:rPr>
        <w:t>领</w:t>
      </w:r>
      <w:r>
        <w:rPr>
          <w:rFonts w:hint="eastAsia" w:asciiTheme="minorEastAsia" w:hAnsiTheme="minorEastAsia" w:eastAsiaTheme="minorEastAsia" w:cstheme="minorEastAsia"/>
          <w:sz w:val="32"/>
          <w:szCs w:val="32"/>
        </w:rPr>
        <w:t>散户大战华尔街的知名人物“咆哮的小猫”</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Roaring Kitty</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真名</w:t>
      </w:r>
      <w:r>
        <w:rPr>
          <w:rFonts w:hint="eastAsia" w:asciiTheme="minorEastAsia" w:hAnsiTheme="minorEastAsia" w:eastAsiaTheme="minorEastAsia" w:cstheme="minorEastAsia"/>
          <w:sz w:val="32"/>
          <w:szCs w:val="32"/>
          <w:lang w:eastAsia="zh-CN"/>
        </w:rPr>
        <w:t>为</w:t>
      </w:r>
      <w:r>
        <w:rPr>
          <w:rFonts w:hint="eastAsia" w:asciiTheme="minorEastAsia" w:hAnsiTheme="minorEastAsia" w:eastAsiaTheme="minorEastAsia" w:cstheme="minorEastAsia"/>
          <w:sz w:val="32"/>
          <w:szCs w:val="32"/>
        </w:rPr>
        <w:t>Keith Gill</w:t>
      </w:r>
      <w:r>
        <w:rPr>
          <w:rFonts w:hint="eastAsia" w:asciiTheme="minorEastAsia" w:hAnsiTheme="minorEastAsia" w:eastAsiaTheme="minorEastAsia" w:cstheme="minorEastAsia"/>
          <w:sz w:val="32"/>
          <w:szCs w:val="32"/>
          <w:lang w:eastAsia="zh-CN"/>
        </w:rPr>
        <w:t>）在</w:t>
      </w:r>
      <w:r>
        <w:rPr>
          <w:rFonts w:hint="eastAsia" w:asciiTheme="minorEastAsia" w:hAnsiTheme="minorEastAsia" w:eastAsiaTheme="minorEastAsia" w:cstheme="minorEastAsia"/>
          <w:sz w:val="32"/>
          <w:szCs w:val="32"/>
          <w:lang w:val="en-US" w:eastAsia="zh-CN"/>
        </w:rPr>
        <w:t>X平台上现身，引发网络社区轰动。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周一，</w:t>
      </w:r>
      <w:r>
        <w:rPr>
          <w:rFonts w:hint="eastAsia" w:asciiTheme="minorEastAsia" w:hAnsiTheme="minorEastAsia" w:eastAsiaTheme="minorEastAsia" w:cstheme="minorEastAsia"/>
          <w:sz w:val="32"/>
          <w:szCs w:val="32"/>
        </w:rPr>
        <w:t>GameStop</w:t>
      </w:r>
      <w:r>
        <w:rPr>
          <w:rFonts w:hint="eastAsia" w:asciiTheme="minorEastAsia" w:hAnsiTheme="minorEastAsia" w:eastAsiaTheme="minorEastAsia" w:cstheme="minorEastAsia"/>
          <w:sz w:val="32"/>
          <w:szCs w:val="32"/>
          <w:lang w:eastAsia="zh-CN"/>
        </w:rPr>
        <w:t>跳空开盘，巨幅拉升。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在周三CPI数据</w:t>
      </w:r>
      <w:r>
        <w:rPr>
          <w:rFonts w:hint="eastAsia" w:asciiTheme="minorEastAsia" w:hAnsiTheme="minorEastAsia" w:eastAsiaTheme="minorEastAsia" w:cstheme="minorEastAsia"/>
          <w:sz w:val="32"/>
          <w:szCs w:val="32"/>
          <w:lang w:eastAsia="zh-CN"/>
        </w:rPr>
        <w:t>公布</w:t>
      </w:r>
      <w:r>
        <w:rPr>
          <w:rFonts w:hint="eastAsia" w:asciiTheme="minorEastAsia" w:hAnsiTheme="minorEastAsia" w:eastAsiaTheme="minorEastAsia" w:cstheme="minorEastAsia"/>
          <w:sz w:val="32"/>
          <w:szCs w:val="32"/>
        </w:rPr>
        <w:t>之前</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周二</w:t>
      </w:r>
      <w:r>
        <w:rPr>
          <w:rFonts w:hint="eastAsia" w:asciiTheme="minorEastAsia" w:hAnsiTheme="minorEastAsia" w:eastAsiaTheme="minorEastAsia" w:cstheme="minorEastAsia"/>
          <w:sz w:val="32"/>
          <w:szCs w:val="32"/>
          <w:lang w:eastAsia="zh-CN"/>
        </w:rPr>
        <w:t>美股</w:t>
      </w:r>
      <w:r>
        <w:rPr>
          <w:rFonts w:hint="eastAsia" w:asciiTheme="minorEastAsia" w:hAnsiTheme="minorEastAsia" w:eastAsiaTheme="minorEastAsia" w:cstheme="minorEastAsia"/>
          <w:sz w:val="32"/>
          <w:szCs w:val="32"/>
        </w:rPr>
        <w:t>盘前会先公布4月PPI</w:t>
      </w:r>
      <w:r>
        <w:rPr>
          <w:rFonts w:hint="eastAsia" w:asciiTheme="minorEastAsia" w:hAnsiTheme="minorEastAsia" w:eastAsiaTheme="minorEastAsia" w:cstheme="minorEastAsia"/>
          <w:sz w:val="32"/>
          <w:szCs w:val="32"/>
          <w:lang w:eastAsia="zh-CN"/>
        </w:rPr>
        <w:t>数据，</w:t>
      </w:r>
      <w:r>
        <w:rPr>
          <w:rFonts w:hint="eastAsia" w:asciiTheme="minorEastAsia" w:hAnsiTheme="minorEastAsia" w:eastAsiaTheme="minorEastAsia" w:cstheme="minorEastAsia"/>
          <w:sz w:val="32"/>
          <w:szCs w:val="32"/>
        </w:rPr>
        <w:t>华尔街预计4月核心PPI同比增速将从3月份的2.4%回落至2.3%</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如果</w:t>
      </w:r>
      <w:r>
        <w:rPr>
          <w:rFonts w:hint="eastAsia" w:asciiTheme="minorEastAsia" w:hAnsiTheme="minorEastAsia" w:eastAsiaTheme="minorEastAsia" w:cstheme="minorEastAsia"/>
          <w:sz w:val="32"/>
          <w:szCs w:val="32"/>
          <w:lang w:eastAsia="zh-CN"/>
        </w:rPr>
        <w:t>周二</w:t>
      </w:r>
      <w:r>
        <w:rPr>
          <w:rFonts w:hint="eastAsia" w:asciiTheme="minorEastAsia" w:hAnsiTheme="minorEastAsia" w:eastAsiaTheme="minorEastAsia" w:cstheme="minorEastAsia"/>
          <w:sz w:val="32"/>
          <w:szCs w:val="32"/>
        </w:rPr>
        <w:t>PPI</w:t>
      </w:r>
      <w:r>
        <w:rPr>
          <w:rFonts w:hint="eastAsia" w:asciiTheme="minorEastAsia" w:hAnsiTheme="minorEastAsia" w:eastAsiaTheme="minorEastAsia" w:cstheme="minorEastAsia"/>
          <w:sz w:val="32"/>
          <w:szCs w:val="32"/>
          <w:lang w:eastAsia="zh-CN"/>
        </w:rPr>
        <w:t>数据如愿</w:t>
      </w:r>
      <w:r>
        <w:rPr>
          <w:rFonts w:hint="eastAsia" w:asciiTheme="minorEastAsia" w:hAnsiTheme="minorEastAsia" w:eastAsiaTheme="minorEastAsia" w:cstheme="minorEastAsia"/>
          <w:sz w:val="32"/>
          <w:szCs w:val="32"/>
        </w:rPr>
        <w:t>降温</w:t>
      </w:r>
      <w:r>
        <w:rPr>
          <w:rFonts w:hint="eastAsia" w:asciiTheme="minorEastAsia" w:hAnsiTheme="minorEastAsia" w:eastAsiaTheme="minorEastAsia" w:cstheme="minorEastAsia"/>
          <w:sz w:val="32"/>
          <w:szCs w:val="32"/>
          <w:lang w:eastAsia="zh-CN"/>
        </w:rPr>
        <w:t>，周三</w:t>
      </w:r>
      <w:r>
        <w:rPr>
          <w:rFonts w:hint="eastAsia" w:asciiTheme="minorEastAsia" w:hAnsiTheme="minorEastAsia" w:eastAsiaTheme="minorEastAsia" w:cstheme="minorEastAsia"/>
          <w:sz w:val="32"/>
          <w:szCs w:val="32"/>
        </w:rPr>
        <w:t>CPI</w:t>
      </w:r>
      <w:r>
        <w:rPr>
          <w:rFonts w:hint="eastAsia" w:asciiTheme="minorEastAsia" w:hAnsiTheme="minorEastAsia" w:eastAsiaTheme="minorEastAsia" w:cstheme="minorEastAsia"/>
          <w:sz w:val="32"/>
          <w:szCs w:val="32"/>
          <w:lang w:eastAsia="zh-CN"/>
        </w:rPr>
        <w:t>数据走缓的概率也将加大。</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如果通胀形势缓和，降息预期将强化，美股也将继续走强。反之，亦然。</w:t>
      </w:r>
    </w:p>
    <w:p>
      <w:pPr>
        <w:rPr>
          <w:rFonts w:hint="eastAsia" w:ascii="方正小标宋_GBK" w:hAnsi="方正小标宋_GBK" w:eastAsia="方正小标宋_GBK" w:cs="方正小标宋_GBK"/>
          <w:b/>
          <w:bCs/>
          <w:color w:val="0000FF"/>
          <w:sz w:val="32"/>
          <w:szCs w:val="32"/>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5月15日（周三）</w:t>
      </w:r>
    </w:p>
    <w:p>
      <w:pPr>
        <w:jc w:val="cente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美4月PPI环比超预期，投资者信心仍强劲</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lang w:val="en-US" w:eastAsia="zh-CN"/>
        </w:rPr>
      </w:pPr>
      <w:r>
        <w:rPr>
          <w:rFonts w:hint="eastAsia" w:asciiTheme="minorEastAsia" w:hAnsiTheme="minorEastAsia" w:eastAsiaTheme="minorEastAsia" w:cstheme="minorEastAsia"/>
          <w:sz w:val="32"/>
          <w:szCs w:val="32"/>
          <w:lang w:val="en-US" w:eastAsia="zh-CN"/>
        </w:rPr>
        <w:t>5月14日（周二），美国劳工统计局发布4月“生产者价格指数”（PPI）相关数据，其中环比增速大超预期（见表格）。市场随即减少了美联储将于9月份首次降息的押注。这次PPI数据的加速，主要由大宗商品价格上涨所导致。</w:t>
      </w:r>
    </w:p>
    <w:p>
      <w:pPr>
        <w:keepNext w:val="0"/>
        <w:keepLines w:val="0"/>
        <w:pageBreakBefore w:val="0"/>
        <w:widowControl w:val="0"/>
        <w:kinsoku/>
        <w:wordWrap/>
        <w:overflowPunct/>
        <w:topLinePunct w:val="0"/>
        <w:autoSpaceDE/>
        <w:autoSpaceDN/>
        <w:bidi w:val="0"/>
        <w:adjustRightInd/>
        <w:snapToGrid/>
        <w:spacing w:line="300" w:lineRule="exact"/>
        <w:ind w:firstLine="608" w:firstLineChars="200"/>
        <w:textAlignment w:val="auto"/>
        <w:outlineLvl w:val="9"/>
        <w:rPr>
          <w:rFonts w:hint="eastAsia" w:ascii="方正楷体_GBK" w:hAnsi="方正楷体_GBK" w:eastAsia="方正楷体_GBK" w:cs="方正楷体_GBK"/>
          <w:sz w:val="24"/>
          <w:szCs w:val="24"/>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drawing>
          <wp:anchor distT="0" distB="0" distL="114300" distR="114300" simplePos="0" relativeHeight="251665408" behindDoc="0" locked="0" layoutInCell="1" allowOverlap="1">
            <wp:simplePos x="0" y="0"/>
            <wp:positionH relativeFrom="column">
              <wp:posOffset>76200</wp:posOffset>
            </wp:positionH>
            <wp:positionV relativeFrom="paragraph">
              <wp:posOffset>101600</wp:posOffset>
            </wp:positionV>
            <wp:extent cx="5337810" cy="1276350"/>
            <wp:effectExtent l="0" t="0" r="15240" b="0"/>
            <wp:wrapTopAndBottom/>
            <wp:docPr id="1" name="图片 1" descr="表格3-5月15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表格3-5月15日"/>
                    <pic:cNvPicPr>
                      <a:picLocks noChangeAspect="1"/>
                    </pic:cNvPicPr>
                  </pic:nvPicPr>
                  <pic:blipFill>
                    <a:blip r:embed="rId13"/>
                    <a:stretch>
                      <a:fillRect/>
                    </a:stretch>
                  </pic:blipFill>
                  <pic:spPr>
                    <a:xfrm>
                      <a:off x="0" y="0"/>
                      <a:ext cx="5337810" cy="1276350"/>
                    </a:xfrm>
                    <a:prstGeom prst="rect">
                      <a:avLst/>
                    </a:prstGeom>
                  </pic:spPr>
                </pic:pic>
              </a:graphicData>
            </a:graphic>
          </wp:anchor>
        </w:drawing>
      </w:r>
      <w:r>
        <w:rPr>
          <w:rFonts w:hint="default" w:ascii="Calibri" w:hAnsi="Calibri" w:eastAsia="仿宋_GB2312" w:cs="Calibri"/>
          <w:lang w:val="en-US" w:eastAsia="zh-CN"/>
        </w:rPr>
        <w:t>（</w:t>
      </w:r>
      <w:r>
        <w:rPr>
          <w:rFonts w:hint="eastAsia" w:ascii="方正黑体_GBK" w:hAnsi="方正黑体_GBK" w:eastAsia="方正黑体_GBK" w:cs="方正黑体_GBK"/>
          <w:b/>
          <w:bCs/>
          <w:sz w:val="24"/>
          <w:szCs w:val="24"/>
          <w:lang w:val="en-US" w:eastAsia="zh-CN"/>
        </w:rPr>
        <w:t>注：</w:t>
      </w:r>
      <w:r>
        <w:rPr>
          <w:rFonts w:hint="eastAsia" w:ascii="方正楷体_GBK" w:hAnsi="方正楷体_GBK" w:eastAsia="方正楷体_GBK" w:cs="方正楷体_GBK"/>
          <w:b/>
          <w:bCs/>
          <w:sz w:val="24"/>
          <w:szCs w:val="24"/>
          <w:lang w:val="en-US" w:eastAsia="zh-CN"/>
        </w:rPr>
        <w:t>“生产者价格指数”（PPI）</w:t>
      </w:r>
      <w:r>
        <w:rPr>
          <w:rFonts w:hint="eastAsia" w:ascii="方正楷体_GBK" w:hAnsi="方正楷体_GBK" w:eastAsia="方正楷体_GBK" w:cs="方正楷体_GBK"/>
          <w:sz w:val="24"/>
          <w:szCs w:val="24"/>
          <w:lang w:val="en-US" w:eastAsia="zh-CN"/>
        </w:rPr>
        <w:t>是衡量一国国内商品和服务生产者价格随时间变化的指标，它反映了生产者所支付的成本和价格的变化情况。</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生产者物价指数（PPI）被视为消费价格上涨和企业利润变化的先行指标。当向上游生产商支付的价格上涨时，面向消费者的企业通常会有两种选择：要么将这些成本转嫁给消费者，提高产品或服务的价格，要么削减自身的利润。至于采取哪种方式，取决于市场的竞争程度及企业自身的实力。</w:t>
      </w:r>
      <w:r>
        <w:rPr>
          <w:rFonts w:hint="eastAsia" w:ascii="方正楷体_GBK" w:hAnsi="方正楷体_GBK" w:eastAsia="方正楷体_GBK" w:cs="方正楷体_GBK"/>
          <w:b/>
          <w:bCs/>
          <w:sz w:val="24"/>
          <w:szCs w:val="24"/>
          <w:lang w:val="en-US" w:eastAsia="zh-CN"/>
        </w:rPr>
        <w:t>“核心PPI”，</w:t>
      </w:r>
      <w:r>
        <w:rPr>
          <w:rFonts w:hint="eastAsia" w:ascii="方正楷体_GBK" w:hAnsi="方正楷体_GBK" w:eastAsia="方正楷体_GBK" w:cs="方正楷体_GBK"/>
          <w:b w:val="0"/>
          <w:bCs w:val="0"/>
          <w:sz w:val="24"/>
          <w:szCs w:val="24"/>
          <w:lang w:val="en-US" w:eastAsia="zh-CN"/>
        </w:rPr>
        <w:t>指</w:t>
      </w:r>
      <w:r>
        <w:rPr>
          <w:rFonts w:hint="eastAsia" w:ascii="方正楷体_GBK" w:hAnsi="方正楷体_GBK" w:eastAsia="方正楷体_GBK" w:cs="方正楷体_GBK"/>
          <w:sz w:val="24"/>
          <w:szCs w:val="24"/>
          <w:lang w:val="en-US" w:eastAsia="zh-CN"/>
        </w:rPr>
        <w:t>剔除了波动较大的“贸易服务”、食品和能源价格后的PPI。）</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银行发布“全球基金经理月度调查”。调查显示，今年5月份，出于对美联储即将降息的预期，投资者的“风险偏好”已达到2021年11月以来的最高水平。82%的受访者预计，美联储将在下半年降息；78%的受访者认为，未来12个月不太可能出现经济衰退。总之，投资者的对美国市场的信心显得相当强劲。</w:t>
      </w:r>
    </w:p>
    <w:p>
      <w:pPr>
        <w:rPr>
          <w:rFonts w:hint="eastAsia" w:ascii="方正小标宋_GBK" w:hAnsi="方正小标宋_GBK" w:eastAsia="方正小标宋_GBK" w:cs="方正小标宋_GBK"/>
          <w:b/>
          <w:bCs/>
          <w:color w:val="0000FF"/>
          <w:sz w:val="32"/>
          <w:szCs w:val="32"/>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5月16日（周四）</w:t>
      </w:r>
    </w:p>
    <w:p>
      <w:pPr>
        <w:jc w:val="cente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4月通胀放缓，美国股市狂欢</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lang w:val="en-US" w:eastAsia="zh-CN"/>
        </w:rPr>
      </w:pPr>
      <w:r>
        <w:rPr>
          <w:rFonts w:hint="eastAsia" w:asciiTheme="minorEastAsia" w:hAnsiTheme="minorEastAsia" w:eastAsiaTheme="minorEastAsia" w:cstheme="minorEastAsia"/>
          <w:sz w:val="32"/>
          <w:szCs w:val="32"/>
          <w:lang w:val="en-US" w:eastAsia="zh-CN"/>
        </w:rPr>
        <w:t>5月15日（周三），美国劳工统计局公布4月的CPI数据和</w:t>
      </w:r>
      <w:r>
        <w:rPr>
          <w:rFonts w:hint="eastAsia" w:asciiTheme="minorEastAsia" w:hAnsiTheme="minorEastAsia" w:eastAsiaTheme="minorEastAsia" w:cstheme="minorEastAsia"/>
          <w:sz w:val="32"/>
          <w:szCs w:val="32"/>
        </w:rPr>
        <w:t>零售销售数据</w:t>
      </w:r>
      <w:r>
        <w:rPr>
          <w:rFonts w:hint="eastAsia" w:asciiTheme="minorEastAsia" w:hAnsiTheme="minorEastAsia" w:eastAsiaTheme="minorEastAsia" w:cstheme="minorEastAsia"/>
          <w:sz w:val="32"/>
          <w:szCs w:val="32"/>
          <w:lang w:val="en-US" w:eastAsia="zh-CN"/>
        </w:rPr>
        <w:t>。数值与市场预期基本相同，且整体CPI和（剔除能源和食品价格的）核心CPI和</w:t>
      </w:r>
      <w:r>
        <w:rPr>
          <w:rFonts w:hint="eastAsia" w:asciiTheme="minorEastAsia" w:hAnsiTheme="minorEastAsia" w:eastAsiaTheme="minorEastAsia" w:cstheme="minorEastAsia"/>
          <w:sz w:val="32"/>
          <w:szCs w:val="32"/>
        </w:rPr>
        <w:t>零售销售环比</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lang w:val="en-US" w:eastAsia="zh-CN"/>
        </w:rPr>
        <w:t>都比上月略有降低（见表格）。</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6432" behindDoc="0" locked="0" layoutInCell="1" allowOverlap="1">
            <wp:simplePos x="0" y="0"/>
            <wp:positionH relativeFrom="column">
              <wp:posOffset>247650</wp:posOffset>
            </wp:positionH>
            <wp:positionV relativeFrom="paragraph">
              <wp:posOffset>44450</wp:posOffset>
            </wp:positionV>
            <wp:extent cx="5153025" cy="1497330"/>
            <wp:effectExtent l="0" t="0" r="9525" b="7620"/>
            <wp:wrapTopAndBottom/>
            <wp:docPr id="2" name="图片 2" descr="表格4-5月1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表格4-5月16日"/>
                    <pic:cNvPicPr>
                      <a:picLocks noChangeAspect="1"/>
                    </pic:cNvPicPr>
                  </pic:nvPicPr>
                  <pic:blipFill>
                    <a:blip r:embed="rId14"/>
                    <a:stretch>
                      <a:fillRect/>
                    </a:stretch>
                  </pic:blipFill>
                  <pic:spPr>
                    <a:xfrm>
                      <a:off x="0" y="0"/>
                      <a:ext cx="5153025" cy="1497330"/>
                    </a:xfrm>
                    <a:prstGeom prst="rect">
                      <a:avLst/>
                    </a:prstGeom>
                  </pic:spPr>
                </pic:pic>
              </a:graphicData>
            </a:graphic>
          </wp:anchor>
        </w:drawing>
      </w:r>
      <w:r>
        <w:rPr>
          <w:rFonts w:hint="eastAsia" w:asciiTheme="minorEastAsia" w:hAnsi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lang w:val="en-US" w:eastAsia="zh-CN"/>
        </w:rPr>
        <w:t>上述数据缓和了市场对通胀的担忧，引发风险偏好情绪迅速升温，美股三大指数集体收涨并创出历史新高。</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同时，降息的预期又开始强化，</w:t>
      </w:r>
      <w:r>
        <w:rPr>
          <w:rFonts w:hint="eastAsia" w:asciiTheme="minorEastAsia" w:hAnsiTheme="minorEastAsia" w:eastAsiaTheme="minorEastAsia" w:cstheme="minorEastAsia"/>
          <w:sz w:val="32"/>
          <w:szCs w:val="32"/>
        </w:rPr>
        <w:t>掉期互换市场</w:t>
      </w:r>
      <w:r>
        <w:rPr>
          <w:rFonts w:hint="eastAsia" w:asciiTheme="minorEastAsia" w:hAnsiTheme="minorEastAsia" w:eastAsiaTheme="minorEastAsia" w:cstheme="minorEastAsia"/>
          <w:sz w:val="32"/>
          <w:szCs w:val="32"/>
          <w:lang w:eastAsia="zh-CN"/>
        </w:rPr>
        <w:t>加重了</w:t>
      </w:r>
      <w:r>
        <w:rPr>
          <w:rFonts w:hint="eastAsia" w:asciiTheme="minorEastAsia" w:hAnsiTheme="minorEastAsia" w:eastAsiaTheme="minorEastAsia" w:cstheme="minorEastAsia"/>
          <w:sz w:val="32"/>
          <w:szCs w:val="32"/>
        </w:rPr>
        <w:t>对今年9月和12月降息的押注</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9月降息的概率</w:t>
      </w:r>
      <w:r>
        <w:rPr>
          <w:rFonts w:hint="eastAsia" w:asciiTheme="minorEastAsia" w:hAnsiTheme="minorEastAsia" w:eastAsiaTheme="minorEastAsia" w:cstheme="minorEastAsia"/>
          <w:sz w:val="32"/>
          <w:szCs w:val="32"/>
          <w:lang w:eastAsia="zh-CN"/>
        </w:rPr>
        <w:t>超过了</w:t>
      </w:r>
      <w:r>
        <w:rPr>
          <w:rFonts w:hint="eastAsia" w:asciiTheme="minorEastAsia" w:hAnsiTheme="minorEastAsia" w:eastAsiaTheme="minorEastAsia" w:cstheme="minorEastAsia"/>
          <w:sz w:val="32"/>
          <w:szCs w:val="32"/>
        </w:rPr>
        <w:t>80%。</w:t>
      </w:r>
      <w:r>
        <w:rPr>
          <w:rFonts w:hint="eastAsia" w:asciiTheme="minorEastAsia" w:hAnsiTheme="minorEastAsia" w:eastAsiaTheme="minorEastAsia" w:cstheme="minorEastAsia"/>
          <w:sz w:val="32"/>
          <w:szCs w:val="32"/>
          <w:lang w:val="en-US" w:eastAsia="zh-CN"/>
        </w:rPr>
        <w:t>出于对降息的预期，</w:t>
      </w:r>
      <w:r>
        <w:rPr>
          <w:rFonts w:hint="eastAsia" w:asciiTheme="minorEastAsia" w:hAnsiTheme="minorEastAsia" w:eastAsiaTheme="minorEastAsia" w:cstheme="minorEastAsia"/>
          <w:sz w:val="32"/>
          <w:szCs w:val="32"/>
        </w:rPr>
        <w:t>美债收益率与美元</w:t>
      </w:r>
      <w:r>
        <w:rPr>
          <w:rFonts w:hint="eastAsia" w:asciiTheme="minorEastAsia" w:hAnsiTheme="minorEastAsia" w:eastAsiaTheme="minorEastAsia" w:cstheme="minorEastAsia"/>
          <w:sz w:val="32"/>
          <w:szCs w:val="32"/>
          <w:lang w:eastAsia="zh-CN"/>
        </w:rPr>
        <w:t>开始</w:t>
      </w:r>
      <w:r>
        <w:rPr>
          <w:rFonts w:hint="eastAsia" w:asciiTheme="minorEastAsia" w:hAnsiTheme="minorEastAsia" w:eastAsiaTheme="minorEastAsia" w:cstheme="minorEastAsia"/>
          <w:sz w:val="32"/>
          <w:szCs w:val="32"/>
        </w:rPr>
        <w:t>走弱</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10年期国债收益率下跌超过10个基点</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最低降至4.34%</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创4月上旬以来最低水平</w:t>
      </w:r>
      <w:r>
        <w:rPr>
          <w:rFonts w:hint="eastAsia" w:asciiTheme="minorEastAsia" w:hAnsiTheme="minorEastAsia" w:eastAsiaTheme="minorEastAsia" w:cstheme="minorEastAsia"/>
          <w:sz w:val="32"/>
          <w:szCs w:val="32"/>
          <w:lang w:eastAsia="zh-CN"/>
        </w:rPr>
        <w:t>。美元走弱，黄金被追捧，金价日内上涨逾</w:t>
      </w:r>
      <w:r>
        <w:rPr>
          <w:rFonts w:hint="eastAsia" w:asciiTheme="minorEastAsia" w:hAnsiTheme="minorEastAsia" w:eastAsiaTheme="minorEastAsia" w:cstheme="minorEastAsia"/>
          <w:sz w:val="32"/>
          <w:szCs w:val="32"/>
          <w:lang w:val="en-US" w:eastAsia="zh-CN"/>
        </w:rPr>
        <w:t>30美元，达到2390美元的盘中高点。</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lang w:val="en-US" w:eastAsia="zh-CN"/>
        </w:rPr>
      </w:pPr>
      <w:r>
        <w:rPr>
          <w:rFonts w:hint="eastAsia" w:asciiTheme="minorEastAsia" w:hAnsiTheme="minorEastAsia" w:eastAsiaTheme="minorEastAsia" w:cstheme="minorEastAsia"/>
          <w:sz w:val="32"/>
          <w:szCs w:val="32"/>
          <w:lang w:val="en-US" w:eastAsia="zh-CN"/>
        </w:rPr>
        <w:t>但美联储并不认可市场的乐观态度，其透过“华尔街日报”对市场进行了降温提醒：“继4月CPI报告之后，还需要两份CPI降温的报告来增强美联储信心；目前市场可能太过乐观了，美联储仍可能不会在9月之前降息。”</w:t>
      </w:r>
    </w:p>
    <w:p>
      <w:pPr>
        <w:rPr>
          <w:rFonts w:hint="eastAsia" w:ascii="方正小标宋_GBK" w:hAnsi="方正小标宋_GBK" w:eastAsia="方正小标宋_GBK" w:cs="方正小标宋_GBK"/>
          <w:b/>
          <w:bCs/>
          <w:color w:val="0000FF"/>
          <w:sz w:val="32"/>
          <w:szCs w:val="32"/>
          <w:highlight w:val="yellow"/>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5月17日（周五）</w:t>
      </w:r>
    </w:p>
    <w:p>
      <w:pPr>
        <w:jc w:val="cente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宏观经济数据稳定，沃尔玛财报超预期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5月16日（周四）美国财政部公布3月份国际资本的流入数据，显示短期和长期资金依然保持流入状态。另外，美国劳工统计局公布失业数据，基本符合预期，显示就业市场轻微降温（见表格）。</w:t>
      </w:r>
    </w:p>
    <w:p>
      <w:pPr>
        <w:keepNext w:val="0"/>
        <w:keepLines w:val="0"/>
        <w:pageBreakBefore w:val="0"/>
        <w:widowControl w:val="0"/>
        <w:kinsoku/>
        <w:wordWrap/>
        <w:overflowPunct/>
        <w:topLinePunct w:val="0"/>
        <w:autoSpaceDE/>
        <w:autoSpaceDN/>
        <w:bidi w:val="0"/>
        <w:adjustRightInd/>
        <w:snapToGrid/>
        <w:spacing w:line="300" w:lineRule="exact"/>
        <w:ind w:firstLine="608" w:firstLineChars="200"/>
        <w:textAlignment w:val="auto"/>
        <w:outlineLvl w:val="9"/>
        <w:rPr>
          <w:rFonts w:hint="default" w:ascii="Calibri" w:hAnsi="Calibri" w:eastAsia="仿宋_GB2312" w:cs="Calibri"/>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7456" behindDoc="0" locked="0" layoutInCell="1" allowOverlap="1">
            <wp:simplePos x="0" y="0"/>
            <wp:positionH relativeFrom="column">
              <wp:posOffset>152400</wp:posOffset>
            </wp:positionH>
            <wp:positionV relativeFrom="paragraph">
              <wp:posOffset>60325</wp:posOffset>
            </wp:positionV>
            <wp:extent cx="5376545" cy="1297305"/>
            <wp:effectExtent l="0" t="0" r="14605" b="17145"/>
            <wp:wrapTopAndBottom/>
            <wp:docPr id="3" name="图片 3" descr="表格5-5月1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表格5-5月17日"/>
                    <pic:cNvPicPr>
                      <a:picLocks noChangeAspect="1"/>
                    </pic:cNvPicPr>
                  </pic:nvPicPr>
                  <pic:blipFill>
                    <a:blip r:embed="rId15"/>
                    <a:stretch>
                      <a:fillRect/>
                    </a:stretch>
                  </pic:blipFill>
                  <pic:spPr>
                    <a:xfrm>
                      <a:off x="0" y="0"/>
                      <a:ext cx="5376545" cy="129730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textAlignment w:val="auto"/>
        <w:outlineLvl w:val="9"/>
        <w:rPr>
          <w:rFonts w:hint="eastAsia" w:ascii="方正楷体_GBK" w:hAnsi="方正楷体_GBK" w:eastAsia="方正楷体_GBK" w:cs="方正楷体_GBK"/>
          <w:sz w:val="24"/>
          <w:szCs w:val="24"/>
          <w:lang w:val="en-US" w:eastAsia="zh-CN"/>
        </w:rPr>
      </w:pPr>
      <w:r>
        <w:rPr>
          <w:rFonts w:hint="default" w:ascii="Calibri" w:hAnsi="Calibri" w:eastAsia="仿宋_GB2312" w:cs="Calibri"/>
          <w:lang w:val="en-US" w:eastAsia="zh-CN"/>
        </w:rPr>
        <w:t>（</w:t>
      </w:r>
      <w:r>
        <w:rPr>
          <w:rFonts w:hint="eastAsia" w:ascii="方正黑体_GBK" w:hAnsi="方正黑体_GBK" w:eastAsia="方正黑体_GBK" w:cs="方正黑体_GBK"/>
          <w:b/>
          <w:bCs/>
          <w:sz w:val="24"/>
          <w:szCs w:val="24"/>
          <w:lang w:val="en-US" w:eastAsia="zh-CN"/>
        </w:rPr>
        <w:t>注：</w:t>
      </w: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国际资本净流入</w:t>
      </w:r>
      <w:r>
        <w:rPr>
          <w:rFonts w:hint="eastAsia" w:ascii="方正楷体_GBK" w:hAnsi="方正楷体_GBK" w:eastAsia="方正楷体_GBK" w:cs="方正楷体_GBK"/>
          <w:sz w:val="24"/>
          <w:szCs w:val="24"/>
          <w:lang w:val="en-US" w:eastAsia="zh-CN"/>
        </w:rPr>
        <w:t>”，指国际资本在一定时间内（通常是一个月）流入或流出某经济体的净额，用于评估国际投资者对该经济体的投资状况。包括各种资本形式，如股票、债券、直接投资和其他投资等。</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b/>
          <w:bCs/>
          <w:sz w:val="24"/>
          <w:szCs w:val="24"/>
          <w:lang w:val="en-US" w:eastAsia="zh-CN"/>
        </w:rPr>
        <w:t>“长期资本净流入”</w:t>
      </w:r>
      <w:r>
        <w:rPr>
          <w:rFonts w:hint="eastAsia" w:ascii="方正楷体_GBK" w:hAnsi="方正楷体_GBK" w:eastAsia="方正楷体_GBK" w:cs="方正楷体_GBK"/>
          <w:sz w:val="24"/>
          <w:szCs w:val="24"/>
          <w:lang w:val="en-US" w:eastAsia="zh-CN"/>
        </w:rPr>
        <w:t>：是“国际资本净流入”指标的一个特定子类别，用于衡量较长时间期间（通常是一年）内从国际投资者流入该经济体的资本净额。这些资本可以是直接投资、投资组合投资（如股票和债券）以及其他长期投资。该指标体现长期投资的规模和趋势。</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当资本呈现净流入，表示对该国货币需求增加，利好该国货币；反之亦然）</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同日，</w:t>
      </w:r>
      <w:r>
        <w:rPr>
          <w:rFonts w:hint="eastAsia" w:asciiTheme="minorEastAsia" w:hAnsiTheme="minorEastAsia" w:eastAsiaTheme="minorEastAsia" w:cstheme="minorEastAsia"/>
          <w:b/>
          <w:bCs/>
          <w:sz w:val="32"/>
          <w:szCs w:val="32"/>
          <w:lang w:val="en-US" w:eastAsia="zh-CN"/>
        </w:rPr>
        <w:t>零售巨头沃尔玛</w:t>
      </w:r>
      <w:r>
        <w:rPr>
          <w:rFonts w:hint="eastAsia" w:asciiTheme="minorEastAsia" w:hAnsiTheme="minorEastAsia" w:eastAsiaTheme="minorEastAsia" w:cstheme="minorEastAsia"/>
          <w:sz w:val="32"/>
          <w:szCs w:val="32"/>
          <w:lang w:val="en-US" w:eastAsia="zh-CN"/>
        </w:rPr>
        <w:t>公布一季度财报。其一季度营收1615亿美元，同比增长6%，每股收益为0.6美元，同比增长22.4%，各项指标均超预期。财报公布后，股价跳空上涨近7%，创下历史新</w:t>
      </w:r>
      <w:r>
        <w:drawing>
          <wp:anchor distT="0" distB="0" distL="114300" distR="114300" simplePos="0" relativeHeight="251668480" behindDoc="0" locked="0" layoutInCell="1" allowOverlap="1">
            <wp:simplePos x="0" y="0"/>
            <wp:positionH relativeFrom="column">
              <wp:posOffset>2305050</wp:posOffset>
            </wp:positionH>
            <wp:positionV relativeFrom="paragraph">
              <wp:posOffset>248920</wp:posOffset>
            </wp:positionV>
            <wp:extent cx="3132455" cy="2088515"/>
            <wp:effectExtent l="0" t="0" r="10795" b="6985"/>
            <wp:wrapSquare wrapText="bothSides"/>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6"/>
                    <a:stretch>
                      <a:fillRect/>
                    </a:stretch>
                  </pic:blipFill>
                  <pic:spPr>
                    <a:xfrm>
                      <a:off x="0" y="0"/>
                      <a:ext cx="3132455" cy="208851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高，领涨标普500和道指。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机构分析，由于通胀压力，高收入家庭消费降级，赴沃尔玛的采购量增加，推高了沃尔玛的销售额。预计二季度的营收将继续增长3.5%至4.5%。</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lang w:val="en-US" w:eastAsia="zh-CN"/>
        </w:rPr>
      </w:pPr>
      <w:r>
        <w:rPr>
          <w:rFonts w:hint="eastAsia" w:asciiTheme="minorEastAsia" w:hAnsiTheme="minorEastAsia" w:eastAsiaTheme="minorEastAsia" w:cstheme="minorEastAsia"/>
          <w:sz w:val="32"/>
          <w:szCs w:val="32"/>
          <w:lang w:val="en-US" w:eastAsia="zh-CN"/>
        </w:rPr>
        <w:t>同日，</w:t>
      </w:r>
      <w:r>
        <w:rPr>
          <w:rFonts w:hint="eastAsia" w:asciiTheme="minorEastAsia" w:hAnsiTheme="minorEastAsia" w:eastAsiaTheme="minorEastAsia" w:cstheme="minorEastAsia"/>
          <w:b/>
          <w:bCs/>
          <w:sz w:val="32"/>
          <w:szCs w:val="32"/>
          <w:lang w:val="en-US" w:eastAsia="zh-CN"/>
        </w:rPr>
        <w:t>农业机械制造商约翰迪尔</w:t>
      </w:r>
      <w:r>
        <w:rPr>
          <w:rFonts w:hint="eastAsia" w:asciiTheme="minorEastAsia" w:hAnsiTheme="minorEastAsia" w:eastAsiaTheme="minorEastAsia" w:cstheme="minorEastAsia"/>
          <w:sz w:val="32"/>
          <w:szCs w:val="32"/>
          <w:lang w:val="en-US" w:eastAsia="zh-CN"/>
        </w:rPr>
        <w:t>公布财报。其一季度营收136亿美元，同比下降15%。公司对此解释称，原因是由于价格的上涨未能抵消出货量的减少。公司还预计，下半年其客户（农机经销商）仍处于去库存状态，意味着中短期经营情况不会有太大改善。</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jc w:val="center"/>
        <w:rPr>
          <w:rFonts w:hint="eastAsia" w:asciiTheme="minorEastAsia" w:hAnsiTheme="minorEastAsia" w:eastAsiaTheme="minorEastAsia" w:cstheme="minorEastAsia"/>
          <w:color w:val="5784BB"/>
          <w:sz w:val="32"/>
          <w:szCs w:val="32"/>
        </w:rPr>
      </w:pPr>
      <w:r>
        <w:rPr>
          <w:rFonts w:hint="eastAsia" w:ascii="经典行楷简" w:hAnsi="经典行楷简" w:eastAsia="经典行楷简" w:cs="经典行楷简"/>
          <w:color w:val="0070C0"/>
          <w:spacing w:val="-20"/>
          <w:sz w:val="52"/>
          <w:szCs w:val="52"/>
        </w:rPr>
        <w:t>全省贸促法律工作座谈会在无锡召开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14日下午，2024年全省贸促法律工作座谈会在无锡召开，全面学习贯彻全国贸促法律工作会议精神，深入交流推进法律工作高质量发展的新思路。中国专利保护协会副会长兼秘书长雷筱云、中国贸促会商法中心主任蔡晨风莅临指导，省贸促会会长王善华、秘书长杜培军，各设区市、县（市、区）贸促会分管法律工作的负责同志出席会议。省贸促会法律事务部、商服中心、商法中心负责人及各设区市、县（市、区）贸促会法律事务部部长共65人参加了本次会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蔡晨风主任在会上传达了全国贸促法律工作会议精神。2024年，中国贸促会法律工作将以习近平新时代中国特色社会主义思想为指导，锚定建设具有中国特色、更加充满活力的世界一流贸易、投资、产业促进机构目标，坚持稳中求进总基调，在涉外法治斗争中展现新担当，在高质量法律服务上实现新提升，在深化国际法治合作上展现新气象，在涉外法治人才培养上迈出新步伐。</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杜培军秘书长作全省贸促法律工作报告。2023年，全省贸促系统坚持创新体制，勇于攻坚克难，聚焦中心任务，工作成效显著：持续优化FTA服务，高质量实施RCEP，推进我省高水平制度型开放；深度谋划布局，拓宽合作渠道，进一步完善多元商事争议解决体系；强化涉外法律风险防范，为企业跨境贸易投资提供法律支持，助力外贸进出口稳中提质。下一步，江苏贸促系统将贯彻落实全国贸促法律工作会议精神，深化贸促系统“一盘棋”思想，积极开展涉外法治斗争，维护国家安全和企业利益；发力多元纠纷解决机制建设，打造“有纠纷找贸促”品牌；优化商事认证服务，助企拓展海外市场；推动建立海外网络，深化国际法治合作；加强系统合力，促进法律工作提质增效。</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会议发布了中国贸促会江苏调解中心2023年商事调解典型案例，我省贸促商事调解工作体现了化解国际纠纷、提示经贸风险、维护企业合作等作用；发布《江苏企业国际经贸合规指引》，首次将近年来合规辅导工作成果编辑成册，进一步推动合规工作发展，帮助企业提高防范化解风险的能力，稳步提升国际供应链安全和韧性。</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各市贸促机构领导在会上交流发言，分享了推进原产地数字化、打造地方涉外商事法律“第一窗口”、开展合规培训和应用、建设法律服务联盟、参与第三方监督评估机制、拓展商事认证和贸易便利化服务等新举措，为下一步开拓我省贸促机构商事法律业务提供了新思路。</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雷筱云副会长以《大力推进专利产业化，赋能发展新质生产力》为题，从形势与需求、措施与进展、部署与展望三个方面，为我省贸促机构介绍专利产业化工作最新趋势。</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王善华会长指出，贸促商事法律工作是践行习近平法治思想的生动实践，做好贸促商事法律工作使命光荣、意义重大，江苏贸促系统商事法律工作基础扎实、成果显著，希望全省贸促系统百尺竿头更进一步：一是坚持高站位、国际化，全力服务江苏高水平对外开放大局；二是坚持全链条、专业化，着力构建江苏贸促“大法律”服务格局；三是坚持系统化、品牌化，合力提升江苏贸促商事法律工作影响力。</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rPr>
        <w:t>（法律事务部）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pacing w:val="0"/>
          <w:sz w:val="52"/>
          <w:szCs w:val="52"/>
          <w:lang w:eastAsia="zh-CN"/>
        </w:rPr>
      </w:pPr>
      <w:r>
        <w:rPr>
          <w:rFonts w:hint="eastAsia" w:ascii="经典行楷简" w:hAnsi="经典行楷简" w:eastAsia="经典行楷简" w:cs="经典行楷简"/>
          <w:color w:val="0070C0"/>
          <w:spacing w:val="0"/>
          <w:sz w:val="52"/>
          <w:szCs w:val="52"/>
          <w:lang w:eastAsia="zh-CN"/>
        </w:rPr>
        <w:t>江苏贸促系统</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heme="minorEastAsia" w:hAnsiTheme="minorEastAsia" w:eastAsiaTheme="minorEastAsia" w:cstheme="minorEastAsia"/>
          <w:sz w:val="32"/>
          <w:szCs w:val="32"/>
          <w:lang w:eastAsia="zh-CN"/>
        </w:rPr>
      </w:pPr>
      <w:r>
        <w:rPr>
          <w:rFonts w:hint="eastAsia" w:ascii="经典行楷简" w:hAnsi="经典行楷简" w:eastAsia="经典行楷简" w:cs="经典行楷简"/>
          <w:color w:val="0070C0"/>
          <w:spacing w:val="0"/>
          <w:sz w:val="52"/>
          <w:szCs w:val="52"/>
          <w:lang w:eastAsia="zh-CN"/>
        </w:rPr>
        <w:t>绿色低碳业务会议在无锡召开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15日，在2024年“全国低碳日”之际，我会联合中国贸促会商法中心共同在无锡举办江苏贸促系统绿色低碳业务会议。中国专利保护协会副会长雷筱云、中国贸促会商法中心主任蔡晨风、全省贸促系统分管法律工作的负责同志、全省贸促系统法律条线同志，以及省内100多位企业代表参会。会议由我会秘书长杜培军主持，我会王善华会长出席并致辞。</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蔡晨风主任在致辞中表示，党的十八大以来，以习近平同志为核心的党中央高度重视生态文明建设，贸促系统在绿色低碳业务领域持续探索，中国贸促会牵头筹建“可持续市场倡议”中国理事会，为中企参与全球可持续发展协调合作搭建平台，并将举办第二届链博会，推进创新和绿色发展，欢迎企业参与构建更具“韧性”的产业链供应链。</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会长在致辞中表示，全省正深入学习贯彻习近平总书记重要讲话重要指示精神，加快建设具有世界聚合力的双向开放枢纽，持续推进高水平对外开放。江苏贸促系统将进一步加强与省内各地合作，搭建好政府、企业和专家间的交流平台，共同帮助企业适应国际绿色贸易规则，共同探讨新形势下如何应对“碳合规”挑战，共享全球绿色转型发展新机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本次会议特邀中国贸促会商法中心经贸摩擦应对处副处长吴岩、北京京城绿能公司科技运营部经理岳明珠、江苏擎天工业互联网公司副总经理陈妍珺、中国长江三峡集团有限公司碳中和知识产权运营中心负责人陈荣敏、天达共和律师事务所合伙人梁巍、赵舒杰等6位业界专家到会演讲。专家们围绕欧盟碳边境调节机制规则与实操、数智化赋能企业绿色低碳转型和绿色低碳创新案例及欧盟绿色贸易壁垒应对等专题分享交流，与会企业反响热烈。会后还与各位专家开展了紧密的交流互动。</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rPr>
        <w:t>（法律事务部）</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32"/>
          <w:szCs w:val="32"/>
          <w:lang w:eastAsia="zh-CN"/>
        </w:rPr>
      </w:pPr>
      <w:r>
        <w:rPr>
          <w:rFonts w:hint="eastAsia" w:ascii="经典行楷简" w:hAnsi="经典行楷简" w:eastAsia="经典行楷简" w:cs="经典行楷简"/>
          <w:color w:val="0070C0"/>
          <w:spacing w:val="-20"/>
          <w:sz w:val="52"/>
          <w:szCs w:val="52"/>
          <w:lang w:eastAsia="zh-CN"/>
        </w:rPr>
        <w:t>省贸促会领导拜访部分驻宁代表机构</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5月8日—9日，我会丛苏峰副会长先后拜访了中国欧盟商会南京分会、大韩贸易投资振兴公社南京代表处等驻宁代表机构，交流分析当前国际经贸形势，具体探讨今年重点合作计划。</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8日，丛苏峰拜访中国欧盟商会南京分会总经理游海燕，商讨共同组织策划针对欧盟企业巩固和拓展江苏市场的经贸交流对接活动。丛苏峰表示，长期以来，中国欧盟商会与我会保持着紧密合作关系，共同为企业搭建交流平台。希望中国欧盟商会鼓励更多企业来苏投资兴业，创新创业，我会也将进一步优化外资企业服务，加强常态化政企沟通，及时回应企业关切。</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游海燕总经理介绍了目前在苏欧企的整体运营情况，对江苏营商环境给予高度肯定，感谢我会长期以来关心支持在苏欧企发展，表示将积极参加我会重要活动，让欧盟企业更好参与江苏高质量发展。</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9日，丛苏峰拜访大韩贸易投资振兴公社南京代表处金廷泰馆长，丛苏峰表示，江苏与韩国经贸合作基础扎实，前景广阔，希望金馆长能够推动更多优质韩企来苏投资发展，同时，我会也将继续发挥桥梁纽带作用，为在苏韩企提供优质的服务，期望年内能与大韩贸易投资振兴公社南京代表处在双方重点经贸活动与项目方面开展更多合作，助力江苏与韩国的经贸合作向更宽领域、更高水平发展。</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金廷泰馆长感谢我会多年来为在苏韩资企业发展提供的支持和帮助。他表示，江苏经济社会发展优势明显，产业基础雄厚，今后将持续加强与我会的联系和合作，带动更多韩国地方经贸机构、韩资企业来江苏考察投资，共享发展机遇，共同推动双方经贸投资务实合作。</w:t>
      </w:r>
    </w:p>
    <w:p>
      <w:pPr>
        <w:keepNext w:val="0"/>
        <w:keepLines w:val="0"/>
        <w:pageBreakBefore w:val="0"/>
        <w:widowControl w:val="0"/>
        <w:kinsoku/>
        <w:wordWrap/>
        <w:overflowPunct/>
        <w:topLinePunct w:val="0"/>
        <w:autoSpaceDE/>
        <w:autoSpaceDN/>
        <w:bidi w:val="0"/>
        <w:adjustRightInd/>
        <w:snapToGrid/>
        <w:ind w:left="6061" w:leftChars="304" w:hanging="5472" w:hangingChars="1800"/>
        <w:jc w:val="left"/>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 xml:space="preserve">国际联络部、国际商会秘书处、跨采中心参加交流。                                                         </w:t>
      </w:r>
      <w:r>
        <w:rPr>
          <w:rFonts w:hint="eastAsia" w:ascii="方正楷体_GBK" w:hAnsi="方正楷体_GBK" w:eastAsia="方正楷体_GBK" w:cs="方正楷体_GBK"/>
          <w:b/>
          <w:bCs/>
          <w:color w:val="FF0000"/>
          <w:sz w:val="32"/>
          <w:szCs w:val="32"/>
        </w:rPr>
        <w:t>（国际联络部）</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pacing w:val="-20"/>
          <w:sz w:val="52"/>
          <w:szCs w:val="52"/>
          <w:lang w:eastAsia="zh-CN"/>
        </w:rPr>
      </w:pPr>
      <w:r>
        <w:rPr>
          <w:rFonts w:hint="eastAsia" w:ascii="经典行楷简" w:hAnsi="经典行楷简" w:eastAsia="经典行楷简" w:cs="经典行楷简"/>
          <w:color w:val="0070C0"/>
          <w:spacing w:val="-20"/>
          <w:sz w:val="52"/>
          <w:szCs w:val="52"/>
          <w:lang w:eastAsia="zh-CN"/>
        </w:rPr>
        <w:t>省贸促会组团赴沙特参加</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pacing w:val="-20"/>
          <w:sz w:val="52"/>
          <w:szCs w:val="52"/>
          <w:lang w:eastAsia="zh-CN"/>
        </w:rPr>
      </w:pPr>
      <w:r>
        <w:rPr>
          <w:rFonts w:hint="eastAsia" w:ascii="经典行楷简" w:hAnsi="经典行楷简" w:eastAsia="经典行楷简" w:cs="经典行楷简"/>
          <w:color w:val="0070C0"/>
          <w:spacing w:val="-20"/>
          <w:sz w:val="52"/>
          <w:szCs w:val="52"/>
          <w:lang w:eastAsia="zh-CN"/>
        </w:rPr>
        <w:t>吉达国际建材及装饰展并开展经贸交流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2024年5月7―9日，江苏省贸促会组织10家江苏企业赴沙特阿拉伯参加“2024沙特吉达国际建材及装饰展”。本届展会展览面积1.8万平方米，来自中国、德国、意大利、沙特、波兰、土耳其、约旦等458家企业参展，专业观众人数达到32828人次，展品范围涉及建筑材料、五金工具、照明灯具、厨房卫浴、家居装饰、建筑机械等。中国驻吉达总领事馆总领事王奇敏、沙特吉达商工会副主席Mr. Emad Alabood先生、我会秘书长杜培军等重要嘉宾出席展会开幕仪式。</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据统计，90%的江苏企业表示此次参展成效明显，海外客商专业度超过预期，对于“江苏品牌产品”表现出浓厚的采购兴趣和较强的合作意向，江苏品牌产品在沙特拥有可观的市场前景。截至目前，江苏展团共交换名片1176份，分发宣传资料和样品超千份，接待客商1847人次，意向成交金额超450万美元。</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展会同期，代表团拜访中国驻吉达总领事馆，在吉达、利雅得两地先后到访沙特哈里喜国际展览集团、吉达华商会、MIE沙特公司、阿吉兰兄弟控股集团等海外商协会和跨国公司，实地调研吉达港和利雅得国际会展中心，与利雅得展览集团、利雅得商工会并与江苏参展企业开展面对面交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此次出访是我会进一步促进外贸保稳提质，助力我省企业开拓沙特阿拉伯等“一带一路”沿线国家和地区市场的务实举措，增进了江苏与当地贸促机构和商协会的了解互信，为加强彼此间的交流合作奠定了坚实基础。下一步，我会将进一步贯彻落实党中央、国务院和省委、省政府有关决策部署，充分发挥全省贸促系统在贸易投资促进方面的主渠道作用，抢抓RCEP等高标准经贸协议带来的重要机遇，立足江苏产业发展优势与特点，全力支持江苏企业稳订单拓市场，以实际行动为全省外贸外资高质量发展巩固基本盘、注入新活力。</w:t>
      </w:r>
      <w:r>
        <w:rPr>
          <w:rFonts w:hint="eastAsia" w:ascii="方正楷体_GBK" w:hAnsi="方正楷体_GBK" w:eastAsia="方正楷体_GBK" w:cs="方正楷体_GBK"/>
          <w:b/>
          <w:bCs/>
          <w:color w:val="FF0000"/>
          <w:sz w:val="32"/>
          <w:szCs w:val="32"/>
        </w:rPr>
        <w:t>（贸易促进部）</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pacing w:val="-20"/>
          <w:sz w:val="52"/>
          <w:szCs w:val="52"/>
          <w:lang w:eastAsia="zh-CN"/>
        </w:rPr>
      </w:pPr>
      <w:r>
        <w:rPr>
          <w:rFonts w:hint="eastAsia" w:ascii="经典行楷简" w:hAnsi="经典行楷简" w:eastAsia="经典行楷简" w:cs="经典行楷简"/>
          <w:color w:val="0070C0"/>
          <w:spacing w:val="-20"/>
          <w:sz w:val="52"/>
          <w:szCs w:val="52"/>
          <w:lang w:eastAsia="zh-CN"/>
        </w:rPr>
        <w:t>中国贸促会商法中心主任蔡晨风</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pacing w:val="-20"/>
          <w:sz w:val="52"/>
          <w:szCs w:val="52"/>
          <w:lang w:eastAsia="zh-CN"/>
        </w:rPr>
      </w:pPr>
      <w:r>
        <w:rPr>
          <w:rFonts w:hint="eastAsia" w:ascii="经典行楷简" w:hAnsi="经典行楷简" w:eastAsia="经典行楷简" w:cs="经典行楷简"/>
          <w:color w:val="0070C0"/>
          <w:spacing w:val="-20"/>
          <w:sz w:val="52"/>
          <w:szCs w:val="52"/>
          <w:lang w:eastAsia="zh-CN"/>
        </w:rPr>
        <w:t>在无锡开展企业调研</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为深入了解企业海外知识产权保护以及“走出去”法律服务需求等，5月14日，中国贸促会商法中心主任蔡晨风一行在无锡开展企业调研。我会秘书长杜培军、无锡市贸促会会长钱前陪同调研。</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在无锡万斯家居科技股份有限公司，调研组详细了解了企业在家纺家居产品花型、材料、工艺等方面不断寻求创新突破、开展产品相关专利和著作权保护以及全面提升员工知识产权保护意识、加强企业内部合规管理等方面所取得的成绩，并针对企业提出的知识产权保护、“双反”案件应对相关具体问题进行解答。</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在上能电气股份有限公司，调研组参观了公司展厅并与有关负责人座谈交流，了解企业研发中心和生产基地全球布局以及企业以创新技术、卓越产品和解决方案为全球可持续发展提供支持、持续推动绿色低碳发展等方面情况。</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rPr>
      </w:pPr>
      <w:r>
        <w:rPr>
          <w:rFonts w:hint="eastAsia" w:asciiTheme="minorEastAsia" w:hAnsiTheme="minorEastAsia" w:eastAsiaTheme="minorEastAsia" w:cstheme="minorEastAsia"/>
          <w:sz w:val="32"/>
          <w:szCs w:val="32"/>
        </w:rPr>
        <w:t>蔡晨风主任介绍了中国贸促会涉外商事法律服务发展历程以及近年来在开展海外知识产权保护、国际经贸摩擦应对和推动企业合规师新职业发展、帮助企业建立合规管理体系等领域的工作情况。她表示，贸促会始终处于服务对外开放的一线前沿，将全面贯彻落实党的二十大和二十届二中全会精神，紧密服务国家开放大局和企业发展需求，着重发挥国际商事法律合作资源优势和专业优势，不断拓宽加深商事法律服务领域，提升服务效能，为企业发展新质生产力、稳健开展国际化经营提供法律保障。</w:t>
      </w:r>
      <w:r>
        <w:rPr>
          <w:rFonts w:hint="eastAsia" w:ascii="方正楷体_GBK" w:hAnsi="方正楷体_GBK" w:eastAsia="方正楷体_GBK" w:cs="方正楷体_GBK"/>
          <w:b/>
          <w:bCs/>
          <w:color w:val="FF0000"/>
          <w:sz w:val="32"/>
          <w:szCs w:val="32"/>
        </w:rPr>
        <w:t>（法律事务部）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color w:val="0070C0"/>
          <w:sz w:val="52"/>
          <w:szCs w:val="52"/>
          <w:lang w:val="en-US" w:eastAsia="zh-CN"/>
        </w:rPr>
      </w:pPr>
      <w:r>
        <w:rPr>
          <w:rFonts w:hint="eastAsia" w:ascii="华文新魏" w:hAnsi="华文新魏" w:eastAsia="华文新魏" w:cs="华文新魏"/>
          <w:color w:val="0070C0"/>
          <w:sz w:val="52"/>
          <w:szCs w:val="52"/>
          <w:lang w:val="en-US" w:eastAsia="zh-CN"/>
        </w:rPr>
        <w:t>南京市贸促会开展</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方正大标宋_GBK" w:hAnsi="方正大标宋_GBK" w:eastAsia="方正大标宋_GBK" w:cs="方正大标宋_GBK"/>
          <w:sz w:val="44"/>
          <w:szCs w:val="44"/>
        </w:rPr>
      </w:pPr>
      <w:r>
        <w:rPr>
          <w:rFonts w:hint="eastAsia" w:ascii="华文新魏" w:hAnsi="华文新魏" w:eastAsia="华文新魏" w:cs="华文新魏"/>
          <w:color w:val="0070C0"/>
          <w:sz w:val="52"/>
          <w:szCs w:val="52"/>
          <w:lang w:val="en-US" w:eastAsia="zh-CN"/>
        </w:rPr>
        <w:t>301调查措施升级应对服务</w:t>
      </w:r>
    </w:p>
    <w:p>
      <w:pPr>
        <w:ind w:firstLine="608"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5月14日，</w:t>
      </w:r>
      <w:r>
        <w:rPr>
          <w:rFonts w:hint="eastAsia" w:asciiTheme="minorEastAsia" w:hAnsiTheme="minorEastAsia" w:eastAsiaTheme="minorEastAsia" w:cstheme="minorEastAsia"/>
          <w:sz w:val="32"/>
          <w:szCs w:val="32"/>
          <w:lang w:eastAsia="zh-CN"/>
        </w:rPr>
        <w:t>美方</w:t>
      </w:r>
      <w:r>
        <w:rPr>
          <w:rFonts w:hint="eastAsia" w:asciiTheme="minorEastAsia" w:hAnsiTheme="minorEastAsia" w:eastAsiaTheme="minorEastAsia" w:cstheme="minorEastAsia"/>
          <w:sz w:val="32"/>
          <w:szCs w:val="32"/>
        </w:rPr>
        <w:t>基于对华加征301关税四年期复审结果，对华采取进一步行动</w:t>
      </w:r>
      <w:r>
        <w:rPr>
          <w:rFonts w:hint="eastAsia" w:asciiTheme="minorEastAsia" w:hAnsiTheme="minorEastAsia" w:eastAsiaTheme="minorEastAsia" w:cstheme="minorEastAsia"/>
          <w:color w:val="000000" w:themeColor="text1"/>
          <w:sz w:val="32"/>
          <w:szCs w:val="32"/>
          <w:lang w:eastAsia="zh-CN"/>
          <w14:textFill>
            <w14:solidFill>
              <w14:schemeClr w14:val="tx1"/>
            </w14:solidFill>
          </w14:textFill>
        </w:rPr>
        <w:t>。</w:t>
      </w:r>
      <w:r>
        <w:rPr>
          <w:rFonts w:hint="eastAsia" w:asciiTheme="minorEastAsia" w:hAnsiTheme="minorEastAsia" w:eastAsiaTheme="minorEastAsia" w:cstheme="minorEastAsia"/>
          <w:sz w:val="32"/>
          <w:szCs w:val="32"/>
        </w:rPr>
        <w:t>后续行动包括依照301条款对关税进行调整，针对以我国新三样为代表的</w:t>
      </w:r>
      <w:r>
        <w:rPr>
          <w:rFonts w:hint="eastAsia" w:asciiTheme="minorEastAsia" w:hAnsiTheme="minorEastAsia" w:eastAsiaTheme="minorEastAsia" w:cstheme="minorEastAsia"/>
          <w:sz w:val="32"/>
          <w:szCs w:val="32"/>
          <w:lang w:eastAsia="zh-CN"/>
        </w:rPr>
        <w:t>出口</w:t>
      </w:r>
      <w:r>
        <w:rPr>
          <w:rFonts w:hint="eastAsia" w:asciiTheme="minorEastAsia" w:hAnsiTheme="minorEastAsia" w:eastAsiaTheme="minorEastAsia" w:cstheme="minorEastAsia"/>
          <w:sz w:val="32"/>
          <w:szCs w:val="32"/>
        </w:rPr>
        <w:t>产品，进一步上调关税。</w:t>
      </w:r>
    </w:p>
    <w:p>
      <w:pPr>
        <w:ind w:firstLine="608" w:firstLineChars="200"/>
        <w:rPr>
          <w:rFonts w:hint="eastAsia" w:ascii="方正楷体_GBK" w:hAnsi="方正楷体_GBK" w:cs="方正楷体_GBK" w:eastAsiaTheme="minorEastAsia"/>
          <w:b/>
          <w:bCs/>
          <w:color w:val="FF0000"/>
          <w:sz w:val="32"/>
          <w:szCs w:val="32"/>
          <w:lang w:eastAsia="zh-CN"/>
        </w:rPr>
      </w:pPr>
      <w:r>
        <w:rPr>
          <w:rFonts w:hint="eastAsia" w:asciiTheme="minorEastAsia" w:hAnsiTheme="minorEastAsia" w:eastAsiaTheme="minorEastAsia" w:cstheme="minorEastAsia"/>
          <w:sz w:val="32"/>
          <w:szCs w:val="32"/>
          <w:lang w:eastAsia="zh-CN"/>
        </w:rPr>
        <w:t>为此，</w:t>
      </w:r>
      <w:r>
        <w:rPr>
          <w:rFonts w:hint="eastAsia" w:asciiTheme="minorEastAsia" w:hAnsiTheme="minorEastAsia" w:eastAsiaTheme="minorEastAsia" w:cstheme="minorEastAsia"/>
          <w:sz w:val="32"/>
          <w:szCs w:val="32"/>
        </w:rPr>
        <w:t>5月15日，</w:t>
      </w:r>
      <w:r>
        <w:rPr>
          <w:rFonts w:hint="eastAsia" w:asciiTheme="minorEastAsia" w:hAnsiTheme="minorEastAsia" w:eastAsiaTheme="minorEastAsia" w:cstheme="minorEastAsia"/>
          <w:sz w:val="32"/>
          <w:szCs w:val="32"/>
          <w:lang w:eastAsia="zh-CN"/>
        </w:rPr>
        <w:t>南京</w:t>
      </w:r>
      <w:r>
        <w:rPr>
          <w:rFonts w:hint="eastAsia" w:asciiTheme="minorEastAsia" w:hAnsiTheme="minorEastAsia" w:eastAsiaTheme="minorEastAsia" w:cstheme="minorEastAsia"/>
          <w:sz w:val="32"/>
          <w:szCs w:val="32"/>
        </w:rPr>
        <w:t>市贸促会迅速为南京市企业提供301调查措施升级应对服务。一是向新能源汽车、新医药与生命健康及智能制造装备三大产业对美贸易企业发出贸易预警，公布美方进一步上调关税的幅度和时间节点，帮助企业提前进行市场预判。二是帮助传统对美贸易企业做好进口合规工作。采用案例解析的方式对企业低报进口价格等规避行为进行劝阻，以避免企业由于情节严重受到美国司法部的起诉。指导南京市进行产业链海外布局并开展对美贸易的产业（如纺织和机电产业）符合301条款的“实质性改变”原产地规则，避免企业遭遇美国海关及边境保护局反规避调查。三是第一时间公布美国拟对其国内生产所需的机器设备排除适用301措施的产品清单，帮助企业确认产品正确海关归类，指导企业积极联系美国进口商开展排除申报工作。</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lang w:val="en-US" w:eastAsia="zh-CN"/>
        </w:rPr>
        <w:t>南京贸促会</w:t>
      </w:r>
      <w:r>
        <w:rPr>
          <w:rFonts w:hint="eastAsia" w:ascii="方正楷体_GBK" w:hAnsi="方正楷体_GBK" w:eastAsia="方正楷体_GBK" w:cs="方正楷体_GBK"/>
          <w:b/>
          <w:bCs/>
          <w:color w:val="FF0000"/>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default" w:ascii="Times New Roman" w:hAnsi="Times New Roman" w:eastAsia="经典行楷简" w:cs="Times New Roman"/>
          <w:color w:val="2E75B6" w:themeColor="accent1" w:themeShade="BF"/>
          <w:spacing w:val="-11"/>
          <w:kern w:val="2"/>
          <w:sz w:val="52"/>
          <w:szCs w:val="52"/>
          <w:lang w:val="en-US" w:eastAsia="zh-CN" w:bidi="ar-SA"/>
        </w:rPr>
      </w:pPr>
      <w:r>
        <w:rPr>
          <w:rFonts w:hint="default" w:ascii="Times New Roman" w:hAnsi="Times New Roman" w:eastAsia="经典行楷简" w:cs="Times New Roman"/>
          <w:color w:val="2E75B6" w:themeColor="accent1" w:themeShade="BF"/>
          <w:spacing w:val="-11"/>
          <w:kern w:val="2"/>
          <w:sz w:val="52"/>
          <w:szCs w:val="52"/>
          <w:lang w:val="en-US" w:eastAsia="zh-CN" w:bidi="ar-SA"/>
        </w:rPr>
        <w:t>江苏省贸促会领导来常调研</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5月15日，江苏省贸促会会长王善华一行来常调研，与常州市副市长潘冬铃进行交流，常州贸促会会长季斌就贸促工作开展情况作了汇报。</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eastAsiaTheme="minorEastAsia"/>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王善华表示，常州市贸促会的工作亮点突出，成效可圈可点，希望常州市贸促会继续加大工作力度，创新工作举措，讲好贸促故事，推进贸促机构建设，扩大贸促影响力，扎实推进常州贸促工作再上新台阶。省贸促会将继续加强上下联动，积极支持常州承接高层次经贸活动和大型展会，大力支持常州跨境电商发展和国际市场开拓，为常州“万亿之城再出发”发挥贸促更大的作用。</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default" w:ascii="Times New Roman" w:hAnsi="Times New Roman" w:cs="Times New Roman"/>
          <w:color w:val="auto"/>
          <w:spacing w:val="0"/>
          <w:kern w:val="2"/>
          <w:sz w:val="32"/>
          <w:szCs w:val="32"/>
          <w:lang w:val="en-US" w:eastAsia="zh-CN" w:bidi="ar-SA"/>
        </w:rPr>
      </w:pPr>
      <w:r>
        <w:rPr>
          <w:rFonts w:hint="default" w:ascii="Times New Roman" w:hAnsi="Times New Roman" w:cs="Times New Roman" w:eastAsiaTheme="minorEastAsia"/>
          <w:color w:val="auto"/>
          <w:spacing w:val="0"/>
          <w:kern w:val="2"/>
          <w:sz w:val="32"/>
          <w:szCs w:val="32"/>
          <w:lang w:val="en-US" w:eastAsia="zh-CN" w:bidi="ar-SA"/>
        </w:rPr>
        <w:t>王善华一行还调研了常州美敦力（常州）医疗器械有限公司和常州比亚迪汽车有限公司。调研期间，王善华听取了企业发展情况介绍，鼓励企业积极通过链博会平台融入国际循环，表示省、市贸促会将继续支持企业开拓国际市场、防范化解贸易风险，更大力度的服务企业国际化发展。</w:t>
      </w:r>
      <w:r>
        <w:rPr>
          <w:rFonts w:hint="eastAsia" w:ascii="Times New Roman" w:hAnsi="Times New Roman" w:cs="Times New Roman"/>
          <w:color w:val="auto"/>
          <w:spacing w:val="0"/>
          <w:kern w:val="2"/>
          <w:sz w:val="32"/>
          <w:szCs w:val="32"/>
          <w:lang w:val="en-US" w:eastAsia="zh-CN" w:bidi="ar-SA"/>
        </w:rPr>
        <w:t xml:space="preserve">    </w:t>
      </w:r>
      <w:r>
        <w:rPr>
          <w:rFonts w:hint="eastAsia" w:ascii="方正楷体_GBK" w:hAnsi="方正楷体_GBK" w:eastAsia="方正楷体_GBK" w:cs="方正楷体_GBK"/>
          <w:b/>
          <w:bCs/>
          <w:color w:val="FF0000"/>
          <w:spacing w:val="0"/>
          <w:kern w:val="2"/>
          <w:sz w:val="32"/>
          <w:szCs w:val="32"/>
          <w:lang w:val="en-US" w:eastAsia="zh-CN" w:bidi="ar-SA"/>
        </w:rPr>
        <w:t>（常州贸促会）</w:t>
      </w:r>
      <w:r>
        <w:rPr>
          <w:rFonts w:hint="default" w:ascii="Times New Roman" w:hAnsi="Times New Roman" w:cs="Times New Roman"/>
          <w:color w:val="auto"/>
          <w:spacing w:val="0"/>
          <w:kern w:val="2"/>
          <w:sz w:val="32"/>
          <w:szCs w:val="32"/>
          <w:lang w:val="en-US" w:eastAsia="zh-CN" w:bidi="ar-SA"/>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864" w:firstLineChars="1600"/>
        <w:contextualSpacing/>
        <w:jc w:val="both"/>
        <w:textAlignment w:val="auto"/>
        <w:outlineLvl w:val="1"/>
        <w:rPr>
          <w:rFonts w:hint="eastAsia" w:ascii="方正楷体_GBK" w:hAnsi="方正楷体_GBK" w:eastAsia="方正楷体_GBK" w:cs="方正楷体_GBK"/>
          <w:b/>
          <w:bCs/>
          <w:color w:val="FF0000"/>
          <w:spacing w:val="0"/>
          <w:kern w:val="2"/>
          <w:sz w:val="32"/>
          <w:szCs w:val="32"/>
          <w:lang w:val="en-US" w:eastAsia="zh-CN" w:bidi="ar-SA"/>
        </w:rPr>
      </w:pPr>
      <w:r>
        <w:rPr>
          <w:rFonts w:hint="default" w:ascii="Times New Roman" w:hAnsi="Times New Roman" w:cs="Times New Roman"/>
          <w:color w:val="auto"/>
          <w:spacing w:val="0"/>
          <w:kern w:val="2"/>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r>
        <w:rPr>
          <w:rFonts w:hint="eastAsia" w:ascii="经典行楷简" w:hAnsi="经典行楷简" w:eastAsia="经典行楷简" w:cs="经典行楷简"/>
          <w:color w:val="0070C0"/>
          <w:sz w:val="52"/>
          <w:szCs w:val="52"/>
        </w:rPr>
        <w:t xml:space="preserve">走出去拓市场 </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rPr>
      </w:pPr>
      <w:r>
        <w:rPr>
          <w:rFonts w:hint="eastAsia" w:ascii="经典行楷简" w:hAnsi="经典行楷简" w:eastAsia="经典行楷简" w:cs="经典行楷简"/>
          <w:color w:val="0070C0"/>
          <w:sz w:val="52"/>
          <w:szCs w:val="52"/>
        </w:rPr>
        <w:t>“贸促服务助企行”苏州宣讲会举办</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为深入分析当前国际经贸形势，助力苏州外经贸企业巩固和拓展海外市场，5月9日，“贸促服务助企行”苏州宣讲会成功举办。200余家外贸企业认真聆听了全球市场形势、境外展会推介等。</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苏州市贸促会会长徐联全表示，苏州市贸促会将根据苏州产业特点和企业实际需求，从更多渠道、以更大力度发布全球重点展会信息，全力推动更多苏州企业深度参与全球竞争，支持企业多元开拓国际市场。</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宣讲会上，江苏省贸促会发展研究部部长张超通过深入浅出的案例，对当前全球经济形势进行分析研判以及对全球市场趋势和发展方向进行展望，为企业如何有效挖掘海外市场潜在需求、寻找新的业务增长点提出专业的指导建议。同时，江苏省贸促会、中国贸促会商业行业分会、米奥兰特国际会展及环球资源会展分别为企业“走出去”合规经营开展指导、对下半年全球重点展会进行推介，帮助我市企业更好地拓市场、抢订单。</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活动中，苏州市贸促会现场发布了2024年9-12月份全球重点展会信息。今年下半年，境外展会多达300余场，按地区及专业的不同，结合辖区产业结构及出口特点，苏州将聚焦纺织服装面料、工业机械、生物医药类等苏州优势产业。其中苏州将至少安排3个国际重点展会出访计划，主要分布在欧洲、南美及中亚等国家和地区，如西班牙巴塞罗那国际纺织及面料展览会、2024年第九届中国（墨西哥）贸易博览会、德国杜塞尔多夫国际医院及医疗设备展览会。</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rPr>
        <w:t>（苏州贸促会）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p>
    <w:p>
      <w:pPr>
        <w:jc w:val="center"/>
        <w:rPr>
          <w:rFonts w:hint="eastAsia"/>
        </w:rPr>
      </w:pPr>
      <w:r>
        <w:rPr>
          <w:rFonts w:hint="eastAsia" w:ascii="经典行楷简" w:hAnsi="经典行楷简" w:eastAsia="经典行楷简" w:cs="经典行楷简"/>
          <w:color w:val="0070C0"/>
          <w:sz w:val="52"/>
          <w:szCs w:val="52"/>
        </w:rPr>
        <w:t>南通国际商会召开五届七次理事会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为进一步加强国际商会建设，助力企业拓展新兴市场，防范和把控国际贸易风险，5月15日，南通国际商会召开五届七次理事会，并举办了“贸促服务助企行”宣讲活动。理事、监事等50余人参加会议，南通市商务局党组副书记副局长、市贸促会（国际商会）会长左晓明、南通市商务局党组成员、市贸促会（国际商会）副会长袁杰出席会议，周澄秘书长主持会议。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会上，袁</w:t>
      </w:r>
      <w:r>
        <w:rPr>
          <w:rFonts w:hint="eastAsia" w:asciiTheme="minorEastAsia" w:hAnsiTheme="minorEastAsia" w:cstheme="minorEastAsia"/>
          <w:sz w:val="32"/>
          <w:szCs w:val="32"/>
          <w:lang w:val="en-US" w:eastAsia="zh-CN"/>
        </w:rPr>
        <w:t>杰副</w:t>
      </w:r>
      <w:r>
        <w:rPr>
          <w:rFonts w:hint="eastAsia" w:asciiTheme="minorEastAsia" w:hAnsiTheme="minorEastAsia" w:eastAsiaTheme="minorEastAsia" w:cstheme="minorEastAsia"/>
          <w:sz w:val="32"/>
          <w:szCs w:val="32"/>
        </w:rPr>
        <w:t xml:space="preserve">会长宣读了南通国际商会理事会换届选举工作方案，并对南通国际商会五届理事会工作报告等进行了审议表决，一致通过了相关决议。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会后，举办了“贸促服务助企行”宣讲活动，邀请相关专家深度解读当前国际经贸形势、分析拉丁美洲市场情况以及国际贸易风险防范与化解等相关内容，积极赋能外贸企业高质量发展。</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r>
        <w:rPr>
          <w:rFonts w:hint="eastAsia" w:ascii="方正楷体_GBK" w:hAnsi="方正楷体_GBK" w:eastAsia="方正楷体_GBK" w:cs="方正楷体_GBK"/>
          <w:b/>
          <w:bCs/>
          <w:color w:val="FF0000"/>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rPr>
        <w:t>南通贸促会</w:t>
      </w:r>
      <w:r>
        <w:rPr>
          <w:rFonts w:hint="eastAsia" w:ascii="方正楷体_GBK" w:hAnsi="方正楷体_GBK" w:eastAsia="方正楷体_GBK" w:cs="方正楷体_GBK"/>
          <w:b/>
          <w:bCs/>
          <w:color w:val="FF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color w:val="0070C0"/>
          <w:sz w:val="52"/>
          <w:szCs w:val="52"/>
        </w:rPr>
      </w:pPr>
      <w:r>
        <w:rPr>
          <w:rFonts w:hint="eastAsia" w:ascii="华文新魏" w:hAnsi="华文新魏" w:eastAsia="华文新魏" w:cs="华文新魏"/>
          <w:color w:val="0070C0"/>
          <w:sz w:val="52"/>
          <w:szCs w:val="52"/>
        </w:rPr>
        <w:t>“贸促服务助企行”</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color w:val="4472C4" w:themeColor="accent5"/>
          <w:sz w:val="52"/>
          <w:szCs w:val="52"/>
          <w14:textFill>
            <w14:solidFill>
              <w14:schemeClr w14:val="accent5"/>
            </w14:solidFill>
          </w14:textFill>
        </w:rPr>
      </w:pPr>
      <w:r>
        <w:rPr>
          <w:rFonts w:hint="eastAsia" w:ascii="华文新魏" w:hAnsi="华文新魏" w:eastAsia="华文新魏" w:cs="华文新魏"/>
          <w:color w:val="0070C0"/>
          <w:sz w:val="52"/>
          <w:szCs w:val="52"/>
        </w:rPr>
        <w:t>南通宣讲活动成功举办</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为帮助企业深入了解当前国际经贸形势，充分把握发展机遇，拓展深耕新兴国家市场，防范化解外贸经营风险，加快抢订单拓市场步伐，赋能外贸高质量发展，5月15日，由江苏省贸促会主办、南通市贸促会和南通国际商会承办的“贸促服务助企行”南通宣讲活动成功举办，各县（市）区商务部门及外贸企业负责人等近200人报名参加。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会上，江苏省贸促会发展研究部张超部长以国际化的视角、客观的态度、精准的眼光、详实的数据，深度解读了全球经贸形势与宏观经济情况，全面分享了拉美地区市场的机遇与挑战，为外贸企业开拓新兴市场、抢占发展机遇、坚定走出去信心提供了遵循。江苏省贸促会商事法律服务中心专职调解员石丽娜老师以丰富经验、一手资料、典型案例，深入剖析了当前国际贸易中存在的风险，提出了防范风险的相关策略和建议，为外贸企业实操中防范把控风险给出了解决方案。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eastAsiaTheme="minorEastAsia"/>
          <w:lang w:eastAsia="zh-CN"/>
        </w:rPr>
      </w:pPr>
      <w:r>
        <w:rPr>
          <w:rFonts w:hint="eastAsia" w:asciiTheme="minorEastAsia" w:hAnsiTheme="minorEastAsia" w:eastAsiaTheme="minorEastAsia" w:cstheme="minorEastAsia"/>
          <w:sz w:val="32"/>
          <w:szCs w:val="32"/>
        </w:rPr>
        <w:t>为切实提升新时代贸促工作水平，积极赋能新质生产力发展，2024年，南通市贸促会围绕重点行业、重点国别市场等内容制定了政策形势解读、市场开拓分析、国际贸易风险防范等系列宣讲活动，以助力外贸企业做大做强，助推南通外贸稳中提质、行稳致远。今年以来，南通市贸促会已举办了多场宣讲活动，得到了基层商务部门的大力点赞和企业的广泛好评。</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rPr>
        <w:t>南通贸促会</w:t>
      </w:r>
      <w:r>
        <w:rPr>
          <w:rFonts w:hint="eastAsia" w:asciiTheme="minorEastAsia" w:hAnsiTheme="minorEastAsia" w:eastAsiaTheme="minorEastAsia" w:cstheme="minorEastAsia"/>
          <w:b/>
          <w:bCs/>
          <w:color w:val="FF0000"/>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3298" w:firstLineChars="1700"/>
        <w:textAlignment w:val="auto"/>
        <w:outlineLvl w:val="9"/>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r>
        <w:rPr>
          <w:rFonts w:hint="eastAsia" w:ascii="经典行楷简" w:hAnsi="经典行楷简" w:eastAsia="经典行楷简" w:cs="经典行楷简"/>
          <w:color w:val="0070C0"/>
          <w:sz w:val="52"/>
          <w:szCs w:val="52"/>
        </w:rPr>
        <w:t>扬州市贸促会组织企业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color w:val="0070C0"/>
        </w:rPr>
      </w:pPr>
      <w:r>
        <w:rPr>
          <w:rFonts w:hint="eastAsia" w:ascii="经典行楷简" w:hAnsi="经典行楷简" w:eastAsia="经典行楷简" w:cs="经典行楷简"/>
          <w:color w:val="0070C0"/>
          <w:sz w:val="52"/>
          <w:szCs w:val="52"/>
        </w:rPr>
        <w:t>在线参加全球贸易投资促进峰会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13日，2024年全球贸易投资促进峰会在北京举行。本届峰会主题为“互信与合作：变局中的选择”。来自近40个国家和地区的贸促机构和商协会、中外企业等代表750余人参加峰会，凝聚开放共识、共商合作大计。国家副主席韩正出席开幕式并致辞。</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峰会期间，中国贸促会会长任鸿斌代表与会工商界发布《2024年全球贸易投资促进峰会北京倡议》。倡议经与会各国工商界充分沟通协商，达成广泛共识，主要包括加快推动世界经济复苏、维护产业链供应链稳定畅通、拥抱人工智能变革力量、激发绿色低碳发展动力、打造互利共赢的工商界伙伴关系等5点倡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我会全体人员与中化进出口、中宇进出口等企业在线观看了开幕式。</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rPr>
        <w:t>扬州贸促会</w:t>
      </w:r>
      <w:r>
        <w:rPr>
          <w:rFonts w:hint="eastAsia" w:ascii="方正楷体_GBK" w:hAnsi="方正楷体_GBK" w:eastAsia="方正楷体_GBK" w:cs="方正楷体_GBK"/>
          <w:b/>
          <w:bCs/>
          <w:color w:val="FF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r>
        <w:rPr>
          <w:rFonts w:hint="eastAsia" w:ascii="经典行楷简" w:hAnsi="经典行楷简" w:eastAsia="经典行楷简" w:cs="经典行楷简"/>
          <w:color w:val="0070C0"/>
          <w:sz w:val="52"/>
          <w:szCs w:val="52"/>
        </w:rPr>
        <w:t>扬州市贸促会组织企业参加</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rPr>
      </w:pPr>
      <w:r>
        <w:rPr>
          <w:rFonts w:hint="eastAsia" w:ascii="经典行楷简" w:hAnsi="经典行楷简" w:eastAsia="经典行楷简" w:cs="经典行楷简"/>
          <w:color w:val="0070C0"/>
          <w:sz w:val="52"/>
          <w:szCs w:val="52"/>
        </w:rPr>
        <w:t>扬州大学海外教育学院招聘会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校企合作搭建桥梁，满足扬州市外向型企业人才需求，促进扬大海外教育学院外籍留学生就业，5月15日下午，扬州市贸促会组织了丰尚、通利、长青农化、江苏恒远、金世缘乳胶等12家企业参加了扬州大学海外教育学院招聘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招聘会现场，企业精心准备了企业中英文介绍和岗位需求信息，涵盖了机械制造、商务英语、建筑、行政专员等60多个岗位，吸引了众多外籍留学生的目光。学院为本次活动安排了志愿者服务，为双方提供翻译等后勤保障。</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企业反映，很感谢提供这样的机会，不仅免费搭建了用工平台，外籍留学生也将会给企业拓展境外市场提供商务和政策资源。部分外籍留学生和企业建立了初步联系，表示将积极准备后续的二轮面试，希望通过这次招聘会，找到心仪的岗位，顺利开启自己在扬职业生涯。</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会后，针对部分企业海外工厂对于泰国、阿尔及利亚国籍学生的用工需求，我会将继续与企业保持联系，通过与学院的合作，及时将生源信息传达给企业。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经典行楷简" w:hAnsi="经典行楷简" w:eastAsia="经典行楷简" w:cs="经典行楷简"/>
          <w:color w:val="0070C0"/>
          <w:sz w:val="52"/>
          <w:szCs w:val="52"/>
        </w:rPr>
      </w:pPr>
      <w:r>
        <w:rPr>
          <w:rFonts w:hint="eastAsia" w:asciiTheme="minorEastAsia" w:hAnsiTheme="minorEastAsia" w:eastAsiaTheme="minorEastAsia" w:cstheme="minorEastAsia"/>
          <w:sz w:val="32"/>
          <w:szCs w:val="32"/>
        </w:rPr>
        <w:t>扬州市贸促会潘阳春秘书长参加了此次活动。</w:t>
      </w:r>
      <w:r>
        <w:rPr>
          <w:rFonts w:hint="eastAsia" w:ascii="方正楷体_GBK" w:hAnsi="方正楷体_GBK" w:eastAsia="方正楷体_GBK" w:cs="方正楷体_GBK"/>
          <w:b/>
          <w:bCs/>
          <w:color w:val="FF0000"/>
          <w:sz w:val="32"/>
          <w:szCs w:val="32"/>
          <w:lang w:eastAsia="zh-CN"/>
        </w:rPr>
        <w:t>（</w:t>
      </w:r>
      <w:r>
        <w:rPr>
          <w:rFonts w:hint="eastAsia" w:ascii="方正楷体_GBK" w:hAnsi="方正楷体_GBK" w:eastAsia="方正楷体_GBK" w:cs="方正楷体_GBK"/>
          <w:b/>
          <w:bCs/>
          <w:color w:val="FF0000"/>
          <w:sz w:val="32"/>
          <w:szCs w:val="32"/>
        </w:rPr>
        <w:t>扬州贸促会</w:t>
      </w:r>
      <w:r>
        <w:rPr>
          <w:rFonts w:hint="eastAsia" w:ascii="方正楷体_GBK" w:hAnsi="方正楷体_GBK" w:eastAsia="方正楷体_GBK" w:cs="方正楷体_GBK"/>
          <w:b/>
          <w:bCs/>
          <w:color w:val="FF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经典行楷简" w:hAnsi="经典行楷简" w:eastAsia="经典行楷简" w:cs="经典行楷简"/>
          <w:color w:val="0070C0"/>
          <w:sz w:val="52"/>
          <w:szCs w:val="52"/>
        </w:rPr>
      </w:pPr>
      <w:r>
        <w:rPr>
          <w:rFonts w:hint="eastAsia" w:ascii="经典行楷简" w:hAnsi="经典行楷简" w:eastAsia="经典行楷简" w:cs="经典行楷简"/>
          <w:color w:val="0070C0"/>
          <w:sz w:val="52"/>
          <w:szCs w:val="52"/>
        </w:rPr>
        <w:t>聚焦第135届广交会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rPr>
      </w:pPr>
      <w:r>
        <w:rPr>
          <w:rFonts w:hint="eastAsia" w:ascii="经典行楷简" w:hAnsi="经典行楷简" w:eastAsia="经典行楷简" w:cs="经典行楷简"/>
          <w:color w:val="0070C0"/>
          <w:sz w:val="52"/>
          <w:szCs w:val="52"/>
        </w:rPr>
        <w:t>宿迁制造向新提质 链接全球</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5月5日，第135届广交会在广州圆满收官。据大会统计，本届广交会来自215个国家和地区的24.6万名境外采购商线下参会，比上届增长24.5%；线下出口成交247亿美元，比上届增长10.7%。</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宿迁共有111家企业参展，意向成交8300万美元，大额订单主要集中在家电、建材、家居、纺织等重点行业，占意向成交额的七成。从洽谈情况看，新兴市场客户占比高，其中共建“一带一路”国家、俄罗斯、中东等新兴市场客户呈现井喷状态，占客商总数80%以上，欧美传统市场客户数量较往届有所恢复。从参展样品看，40%为新品，新产品报价较传统产品高20%以上，成交占总成交额60%，低碳可持续、个性定制化、高端智能化等新理念、新模式、新技术产品更受市场青睐</w:t>
      </w:r>
      <w:bookmarkStart w:id="0" w:name="_GoBack"/>
      <w:bookmarkEnd w:id="0"/>
      <w:r>
        <w:rPr>
          <w:rFonts w:hint="eastAsia" w:asciiTheme="minorEastAsia" w:hAnsiTheme="minorEastAsia" w:eastAsiaTheme="minorEastAsia" w:cstheme="minorEastAsia"/>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跨境电商是外贸新质生产力的第一表现形式及载体，本届广交会首设跨境电商和海外仓展示区。我市高位谋划“跨境电商+产业带”发展，推动木制品、消费电子、家具家居、体育休闲等跨境电商产业带企业参加广交会，打造出海标杆。部分参展企业反馈，体育休闲、消费电子类、家居用品展区咨询客商超1/3来自Amazon、Temu、Ozon等电商平台，宿迁企业凭借优质的产业链和供应链基础，能够为跨境电商平台提供更多适销对路的产品。</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both"/>
        <w:textAlignment w:val="auto"/>
        <w:outlineLvl w:val="1"/>
        <w:rPr>
          <w:rFonts w:hint="eastAsia" w:asciiTheme="minorEastAsia" w:hAnsiTheme="minorEastAsia" w:eastAsiaTheme="minorEastAsia" w:cstheme="minorEastAsia"/>
          <w:b/>
          <w:bCs/>
          <w:color w:val="FF0000"/>
          <w:spacing w:val="0"/>
          <w:kern w:val="2"/>
          <w:sz w:val="32"/>
          <w:szCs w:val="32"/>
          <w:lang w:val="en-US" w:eastAsia="zh-CN" w:bidi="ar-SA"/>
        </w:rPr>
      </w:pPr>
      <w:r>
        <w:rPr>
          <w:rFonts w:hint="eastAsia" w:asciiTheme="minorEastAsia" w:hAnsiTheme="minorEastAsia" w:eastAsiaTheme="minorEastAsia" w:cstheme="minorEastAsia"/>
          <w:sz w:val="32"/>
          <w:szCs w:val="32"/>
        </w:rPr>
        <w:t>宿迁市商务局、市贸促会将持续放大广交会平台效应，推动企业向“新”而行，拓宽经贸合作渠道，不断向产业链、价值链高端攀升，在国际舞台绽放宿迁品牌魅力。</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rPr>
        <w:t>（宿迁贸促会）</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608" w:firstLineChars="200"/>
        <w:contextualSpacing/>
        <w:jc w:val="center"/>
        <w:textAlignment w:val="auto"/>
        <w:outlineLvl w:val="1"/>
        <w:rPr>
          <w:rFonts w:hint="default" w:ascii="Times New Roman" w:hAnsi="Times New Roman" w:cs="Times New Roman" w:eastAsiaTheme="minorEastAsia"/>
          <w:color w:val="auto"/>
          <w:spacing w:val="0"/>
          <w:sz w:val="32"/>
          <w:szCs w:val="32"/>
          <w:lang w:val="en-US" w:eastAsia="zh-CN"/>
        </w:rPr>
      </w:pPr>
    </w:p>
    <w:p>
      <w:pPr>
        <w:rPr>
          <w:rFonts w:hint="default" w:ascii="Times New Roman" w:hAnsi="Times New Roman" w:cs="Times New Roman" w:eastAsiaTheme="minorEastAsia"/>
          <w:color w:val="auto"/>
          <w:spacing w:val="0"/>
          <w:sz w:val="32"/>
          <w:szCs w:val="32"/>
          <w:lang w:val="en-US" w:eastAsia="zh-CN"/>
        </w:rPr>
      </w:pPr>
      <w:r>
        <w:rPr>
          <w:rFonts w:hint="default" w:ascii="Times New Roman" w:hAnsi="Times New Roman" w:cs="Times New Roman" w:eastAsiaTheme="minorEastAsia"/>
          <w:color w:val="auto"/>
          <w:spacing w:val="0"/>
          <w:sz w:val="32"/>
          <w:szCs w:val="32"/>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kern w:val="0"/>
          <w:sz w:val="52"/>
          <w:szCs w:val="52"/>
          <w:lang w:val="en-US" w:eastAsia="zh-CN" w:bidi="ar-SA"/>
        </w:rPr>
      </w:pPr>
      <w:r>
        <w:rPr>
          <w:rFonts w:hint="eastAsia" w:ascii="华文新魏" w:hAnsi="华文新魏" w:eastAsia="华文新魏" w:cs="华文新魏"/>
          <w:b/>
          <w:bCs w:val="0"/>
          <w:color w:val="FF0000"/>
          <w:kern w:val="0"/>
          <w:sz w:val="52"/>
          <w:szCs w:val="52"/>
          <w:lang w:val="en-US" w:eastAsia="zh-CN" w:bidi="ar-SA"/>
        </w:rPr>
        <w:t>苏美达及12家业务子公司再次获评</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kern w:val="0"/>
          <w:sz w:val="52"/>
          <w:szCs w:val="52"/>
          <w:lang w:val="en-US" w:eastAsia="zh-CN" w:bidi="ar-SA"/>
        </w:rPr>
      </w:pPr>
      <w:r>
        <w:rPr>
          <w:rFonts w:hint="eastAsia" w:ascii="华文新魏" w:hAnsi="华文新魏" w:eastAsia="华文新魏" w:cs="华文新魏"/>
          <w:b/>
          <w:bCs w:val="0"/>
          <w:color w:val="FF0000"/>
          <w:kern w:val="0"/>
          <w:sz w:val="52"/>
          <w:szCs w:val="52"/>
          <w:lang w:val="en-US" w:eastAsia="zh-CN" w:bidi="ar-SA"/>
        </w:rPr>
        <w:t>年度“A级”纳税信用等级</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经各级税务机关综合评定，继2022年度后，我会副会长单位——江苏苏美达集团有限公司及12家业务子公司再次获评年度“A级”纳税信用等级。苏美达境内全级次共有57户法人单位获评2023年度“A级”纳税信用等级，充分体现了政府部门对苏美达合规经营、诚信纳税的肯定，维护了企业的信誉品牌，是企业持续提升核心竞争力的重要资产。</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长期以来，苏美达作为坚定发展国内国际双循环的上市公司，坚持诚实守信，合规经营，以良好的纳税信用为公司高质量可持续发展保驾护航。</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A级纳税信用企业可享受政府出台的多项守信联合激励政策。在办税服务方面，A级纳税信用企业可以享受优先办理、简化手续等便利措施；在融资方面，A级纳税信用企业的纳税信用可以作为银行、担保机构等金融机构提供融资服务的重要参考；在市场竞争方面，A级纳税信用等级是企业最好的市场名片，能够提升企业的形象和信誉，从而有利于企业拓展业务、赢得合作机会。</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展望未来，苏美达将秉持合规发展理念，积极发挥纳税信用A级纳税人模范作用，持续夯实税务管理水平，坚定依法诚信纳税信条，以良好的纳税信用赢得社会的尊重，为打造卓越长青的国际企业砥砺奋进。</w:t>
      </w:r>
    </w:p>
    <w:p>
      <w:pPr>
        <w:spacing w:line="440" w:lineRule="exact"/>
        <w:jc w:val="right"/>
        <w:rPr>
          <w:rFonts w:hint="default" w:ascii="Times New Roman" w:hAnsi="Times New Roman" w:eastAsia="方正楷体_GBK" w:cs="Times New Roman"/>
          <w:b/>
          <w:bCs w:val="0"/>
          <w:color w:val="FF0000"/>
          <w:sz w:val="32"/>
          <w:szCs w:val="32"/>
        </w:rPr>
      </w:pPr>
      <w:r>
        <w:rPr>
          <w:rFonts w:hint="default" w:ascii="Times New Roman" w:hAnsi="Times New Roman" w:eastAsia="方正楷体_GBK" w:cs="Times New Roman"/>
          <w:b/>
          <w:bCs w:val="0"/>
          <w:color w:val="FF0000"/>
          <w:sz w:val="32"/>
          <w:szCs w:val="32"/>
        </w:rPr>
        <w:t>（来源：</w:t>
      </w:r>
      <w:r>
        <w:rPr>
          <w:rFonts w:hint="eastAsia" w:ascii="Times New Roman" w:hAnsi="Times New Roman" w:eastAsia="方正楷体_GBK" w:cs="Times New Roman"/>
          <w:b/>
          <w:bCs w:val="0"/>
          <w:color w:val="FF0000"/>
          <w:kern w:val="0"/>
          <w:sz w:val="32"/>
          <w:szCs w:val="32"/>
          <w:lang w:val="en-US" w:eastAsia="zh-CN" w:bidi="ar-SA"/>
        </w:rPr>
        <w:t>苏美达股份微信公众号</w:t>
      </w:r>
      <w:r>
        <w:rPr>
          <w:rFonts w:hint="default" w:ascii="Times New Roman" w:hAnsi="Times New Roman" w:eastAsia="方正楷体_GBK" w:cs="Times New Roman"/>
          <w:b/>
          <w:bCs w:val="0"/>
          <w:color w:val="FF0000"/>
          <w:sz w:val="32"/>
          <w:szCs w:val="32"/>
        </w:rPr>
        <w:t>）</w:t>
      </w:r>
    </w:p>
    <w:p>
      <w:pPr>
        <w:ind w:firstLine="3648" w:firstLineChars="1200"/>
        <w:rPr>
          <w:rFonts w:hint="eastAsia" w:ascii="方正楷体_GBK" w:hAnsi="方正楷体_GBK" w:eastAsia="方正楷体_GBK" w:cs="方正楷体_GBK"/>
          <w:b/>
          <w:bCs w:val="0"/>
          <w:color w:val="FF0000"/>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楷体_GBK" w:cs="Times New Roman"/>
          <w:b w:val="0"/>
          <w:bCs/>
          <w:kern w:val="0"/>
          <w:sz w:val="32"/>
          <w:szCs w:val="32"/>
          <w:lang w:val="en-US" w:eastAsia="zh-CN" w:bidi="ar-SA"/>
        </w:rPr>
      </w:pPr>
      <w:r>
        <w:rPr>
          <w:rFonts w:hint="eastAsia" w:ascii="华文新魏" w:hAnsi="华文新魏" w:eastAsia="华文新魏" w:cs="华文新魏"/>
          <w:b/>
          <w:bCs w:val="0"/>
          <w:color w:val="FF0000"/>
          <w:kern w:val="0"/>
          <w:sz w:val="52"/>
          <w:szCs w:val="52"/>
          <w:lang w:val="en-US" w:eastAsia="zh-CN" w:bidi="ar-SA"/>
        </w:rPr>
        <w:t>2024年《财富》中国ESG影响力榜揭晓南钢股份首次上榜</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近日，2024年《财富》中国ESG影响力榜揭晓，今年是《财富》连续第三年编制中国ESG影响力榜，我会副会长单位——南京钢铁股份有限公司首次上榜。</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2024年《财富》中国ESG影响力榜，首次向在华外企开放申报，申报公司首次突破200家，最终百家中外企业登上今年的榜单（70家中国企业、31家在华外企）。上榜企业在改善环境、保护员工、支持社区上做出了卓越的努力，以持续且包容的增长穿越经济周期，并赢得市场尊重。</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rPr>
          <w:rFonts w:hint="eastAsia" w:asciiTheme="minorEastAsia" w:hAnsiTheme="minorEastAsia" w:eastAsiaTheme="minorEastAsia" w:cstheme="minorEastAsia"/>
          <w:b/>
          <w:bCs w:val="0"/>
          <w:color w:val="FF0000"/>
          <w:sz w:val="32"/>
          <w:szCs w:val="32"/>
        </w:rPr>
      </w:pPr>
      <w:r>
        <w:rPr>
          <w:rFonts w:hint="eastAsia" w:asciiTheme="minorEastAsia" w:hAnsiTheme="minorEastAsia" w:eastAsiaTheme="minorEastAsia" w:cstheme="minorEastAsia"/>
          <w:i w:val="0"/>
          <w:caps w:val="0"/>
          <w:color w:val="000000"/>
          <w:spacing w:val="0"/>
          <w:sz w:val="32"/>
          <w:szCs w:val="32"/>
          <w:lang w:val="en-US" w:eastAsia="zh-CN"/>
        </w:rPr>
        <w:t>公司ESG实践获得社会各界及专业评级机构的认可。2023年标普全球、富时罗素给予公司评级，均位列中国钢铁企业前列；冶金工业规划研究院给予公司“AAA”评级；中国上市公司协会授予公司“2023年上市公司ESG最佳实践”；入选恒生A股可持续发展企业指数，排名前10%。</w:t>
      </w: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w:t>
      </w:r>
      <w:r>
        <w:rPr>
          <w:rFonts w:hint="eastAsia" w:ascii="方正楷体_GBK" w:hAnsi="方正楷体_GBK" w:eastAsia="方正楷体_GBK" w:cs="方正楷体_GBK"/>
          <w:b/>
          <w:bCs w:val="0"/>
          <w:color w:val="FF0000"/>
          <w:sz w:val="32"/>
          <w:szCs w:val="32"/>
          <w:lang w:val="en-US" w:eastAsia="zh-CN"/>
        </w:rPr>
        <w:t>南钢股份官网）</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sz w:val="52"/>
          <w:szCs w:val="5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华文新魏" w:hAnsi="华文新魏" w:eastAsia="华文新魏" w:cs="华文新魏"/>
          <w:b/>
          <w:bCs w:val="0"/>
          <w:color w:val="FF0000"/>
          <w:kern w:val="0"/>
          <w:sz w:val="52"/>
          <w:szCs w:val="52"/>
          <w:lang w:val="en-US" w:eastAsia="zh-CN" w:bidi="ar-SA"/>
        </w:rPr>
      </w:pPr>
      <w:r>
        <w:rPr>
          <w:rFonts w:hint="eastAsia" w:ascii="华文新魏" w:hAnsi="华文新魏" w:eastAsia="华文新魏" w:cs="华文新魏"/>
          <w:b/>
          <w:bCs w:val="0"/>
          <w:color w:val="FF0000"/>
          <w:kern w:val="0"/>
          <w:sz w:val="52"/>
          <w:szCs w:val="52"/>
          <w:lang w:val="en-US" w:eastAsia="zh-CN" w:bidi="ar-SA"/>
        </w:rPr>
        <w:t>汇鸿中锦公司在2024中国校服</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方正楷体_GBK" w:cs="Times New Roman"/>
          <w:b w:val="0"/>
          <w:bCs/>
          <w:kern w:val="0"/>
          <w:sz w:val="32"/>
          <w:szCs w:val="32"/>
          <w:lang w:val="en-US" w:eastAsia="zh-CN" w:bidi="ar-SA"/>
        </w:rPr>
      </w:pPr>
      <w:r>
        <w:rPr>
          <w:rFonts w:hint="eastAsia" w:ascii="华文新魏" w:hAnsi="华文新魏" w:eastAsia="华文新魏" w:cs="华文新魏"/>
          <w:b/>
          <w:bCs w:val="0"/>
          <w:color w:val="FF0000"/>
          <w:kern w:val="0"/>
          <w:sz w:val="52"/>
          <w:szCs w:val="52"/>
          <w:lang w:val="en-US" w:eastAsia="zh-CN" w:bidi="ar-SA"/>
        </w:rPr>
        <w:t>设计大赛中斩获佳绩</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教育和文化引领，共育中国校服之美”2024中国校服设计大赛展示秀及颁奖典礼在国家会展中心（上海）隆重举行。我会理事单位——江苏汇鸿国际集团中锦控股有限公司自有品牌“报春”凭借出色的设计实力，在“初中生制式”和“高中生制式”系列校服设计比赛中分别斩获一等奖和三等奖。</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设计研发始终是中锦公司纺织服装板块的重点领域，更是公司在各大展会上的核心竞争力。在刚刚结束的第135届广交会上，公司自主设计研发的瑜伽大系列项下锦氨美人条套装和跑步休闲大系列项下仿铜氨套装反响热烈，收到多家境外采购商打样需求；“一种抗菌吸湿发热复合面料及其制备方法”发明专利成功得到转化应用，以此开发的“瑞可莳”户外科技服装系列产品广受欢迎，反响热烈。</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Times New Roman" w:hAnsi="Times New Roman" w:eastAsia="方正楷体_GBK" w:cs="Times New Roman"/>
          <w:b/>
          <w:bCs w:val="0"/>
          <w:color w:val="FF000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借着本次校服设计大赛的春风，公司在推动产学研深度合作、提升设计能力等方面取得了显著成效。展望未来，苏豪控股集团汇鸿中锦公司将继续擦亮“报春”品牌，在“务实奋斗、简单阳光”的品牌精神和创新活力的号召激发下，持续推动校服业务朝着更健康、更具创新性的方向发展。</w:t>
      </w:r>
      <w:r>
        <w:rPr>
          <w:rFonts w:hint="eastAsia" w:asciiTheme="minorEastAsia" w:hAnsiTheme="minorEastAsia" w:cstheme="minorEastAsia"/>
          <w:i w:val="0"/>
          <w:caps w:val="0"/>
          <w:color w:val="000000"/>
          <w:spacing w:val="0"/>
          <w:sz w:val="32"/>
          <w:szCs w:val="32"/>
          <w:lang w:val="en-US" w:eastAsia="zh-CN"/>
        </w:rPr>
        <w:t xml:space="preserve">  </w:t>
      </w:r>
      <w:r>
        <w:rPr>
          <w:rFonts w:hint="default" w:ascii="Times New Roman" w:hAnsi="Times New Roman" w:eastAsia="方正楷体_GBK" w:cs="Times New Roman"/>
          <w:b/>
          <w:bCs w:val="0"/>
          <w:color w:val="FF0000"/>
          <w:sz w:val="32"/>
          <w:szCs w:val="32"/>
        </w:rPr>
        <w:t>（</w:t>
      </w:r>
      <w:r>
        <w:rPr>
          <w:rFonts w:hint="default" w:ascii="Times New Roman" w:hAnsi="Times New Roman" w:eastAsia="方正楷体_GBK" w:cs="Times New Roman"/>
          <w:b/>
          <w:bCs w:val="0"/>
          <w:color w:val="FF0000"/>
          <w:sz w:val="32"/>
          <w:szCs w:val="32"/>
          <w:lang w:val="en-US" w:eastAsia="zh-CN"/>
        </w:rPr>
        <w:t>来源：</w:t>
      </w:r>
      <w:r>
        <w:rPr>
          <w:rFonts w:hint="eastAsia" w:ascii="Times New Roman" w:hAnsi="Times New Roman" w:eastAsia="方正楷体_GBK" w:cs="Times New Roman"/>
          <w:b/>
          <w:bCs w:val="0"/>
          <w:color w:val="FF0000"/>
          <w:sz w:val="32"/>
          <w:szCs w:val="32"/>
          <w:lang w:val="en-US" w:eastAsia="zh-CN"/>
        </w:rPr>
        <w:t>汇鸿中锦公司微信公众号</w:t>
      </w:r>
      <w:r>
        <w:rPr>
          <w:rFonts w:hint="default" w:ascii="Times New Roman" w:hAnsi="Times New Roman" w:eastAsia="方正楷体_GBK" w:cs="Times New Roman"/>
          <w:b/>
          <w:bCs w:val="0"/>
          <w:color w:val="FF0000"/>
          <w:sz w:val="32"/>
          <w:szCs w:val="32"/>
        </w:rPr>
        <w:t>）</w:t>
      </w: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方正大标宋_GBK">
    <w:altName w:val="宋体"/>
    <w:panose1 w:val="02000000000000000000"/>
    <w:charset w:val="86"/>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-328930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9pt;height:144pt;width:144pt;mso-position-horizontal:outside;mso-position-horizontal-relative:margin;mso-wrap-style:none;z-index:251659264;mso-width-relative:page;mso-height-relative:page;" filled="f" stroked="f" coordsize="21600,21600" o:gfxdata="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Lb8LAt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93D01"/>
    <w:rsid w:val="00097083"/>
    <w:rsid w:val="001156B9"/>
    <w:rsid w:val="00154806"/>
    <w:rsid w:val="001F2C95"/>
    <w:rsid w:val="002840B7"/>
    <w:rsid w:val="003208B4"/>
    <w:rsid w:val="003671B0"/>
    <w:rsid w:val="003C691D"/>
    <w:rsid w:val="003F32D7"/>
    <w:rsid w:val="0042623F"/>
    <w:rsid w:val="0043286B"/>
    <w:rsid w:val="00467C46"/>
    <w:rsid w:val="005A092B"/>
    <w:rsid w:val="006B63D3"/>
    <w:rsid w:val="006C0C2E"/>
    <w:rsid w:val="007C2A82"/>
    <w:rsid w:val="007E11E9"/>
    <w:rsid w:val="008B2F92"/>
    <w:rsid w:val="008E3499"/>
    <w:rsid w:val="00906A61"/>
    <w:rsid w:val="00A0554E"/>
    <w:rsid w:val="00A55B3B"/>
    <w:rsid w:val="00B35803"/>
    <w:rsid w:val="00B45E3E"/>
    <w:rsid w:val="00C16462"/>
    <w:rsid w:val="00C66488"/>
    <w:rsid w:val="00CA656E"/>
    <w:rsid w:val="00CE04E4"/>
    <w:rsid w:val="00D0085C"/>
    <w:rsid w:val="00DB54B3"/>
    <w:rsid w:val="00E278B0"/>
    <w:rsid w:val="00FC3867"/>
    <w:rsid w:val="010007F1"/>
    <w:rsid w:val="01123C24"/>
    <w:rsid w:val="01281FA6"/>
    <w:rsid w:val="0129652A"/>
    <w:rsid w:val="012C4A94"/>
    <w:rsid w:val="0134238F"/>
    <w:rsid w:val="01434062"/>
    <w:rsid w:val="015A28DE"/>
    <w:rsid w:val="01603797"/>
    <w:rsid w:val="01614C4F"/>
    <w:rsid w:val="016607CF"/>
    <w:rsid w:val="01687C29"/>
    <w:rsid w:val="016D0719"/>
    <w:rsid w:val="01730647"/>
    <w:rsid w:val="017F7312"/>
    <w:rsid w:val="0183354F"/>
    <w:rsid w:val="018A4341"/>
    <w:rsid w:val="018D1ED5"/>
    <w:rsid w:val="01944C0D"/>
    <w:rsid w:val="019652A2"/>
    <w:rsid w:val="019A0A9C"/>
    <w:rsid w:val="019E5AF8"/>
    <w:rsid w:val="01A05888"/>
    <w:rsid w:val="01A2463C"/>
    <w:rsid w:val="01A536F0"/>
    <w:rsid w:val="01AB72AD"/>
    <w:rsid w:val="01AD0FC0"/>
    <w:rsid w:val="01B74B80"/>
    <w:rsid w:val="01B76B70"/>
    <w:rsid w:val="01BC47E4"/>
    <w:rsid w:val="01BD0D3F"/>
    <w:rsid w:val="01C277DB"/>
    <w:rsid w:val="01CB201F"/>
    <w:rsid w:val="01D01DDD"/>
    <w:rsid w:val="01D83F23"/>
    <w:rsid w:val="01DA121B"/>
    <w:rsid w:val="01EB6FF4"/>
    <w:rsid w:val="01EC6C1A"/>
    <w:rsid w:val="01F43D5D"/>
    <w:rsid w:val="01F53962"/>
    <w:rsid w:val="01F77D17"/>
    <w:rsid w:val="01FE284A"/>
    <w:rsid w:val="020C0504"/>
    <w:rsid w:val="021337A8"/>
    <w:rsid w:val="02154F00"/>
    <w:rsid w:val="022C2DDE"/>
    <w:rsid w:val="02424F98"/>
    <w:rsid w:val="024B4F65"/>
    <w:rsid w:val="02522774"/>
    <w:rsid w:val="02716397"/>
    <w:rsid w:val="027D39C5"/>
    <w:rsid w:val="02842B55"/>
    <w:rsid w:val="02850B1B"/>
    <w:rsid w:val="028E239B"/>
    <w:rsid w:val="028E669E"/>
    <w:rsid w:val="02945151"/>
    <w:rsid w:val="02994D24"/>
    <w:rsid w:val="02AA4579"/>
    <w:rsid w:val="02B7449E"/>
    <w:rsid w:val="02CA2014"/>
    <w:rsid w:val="02CE36F0"/>
    <w:rsid w:val="02D253BA"/>
    <w:rsid w:val="02D664A5"/>
    <w:rsid w:val="02D70120"/>
    <w:rsid w:val="02F04987"/>
    <w:rsid w:val="02F3072B"/>
    <w:rsid w:val="02F4686A"/>
    <w:rsid w:val="02F50E1A"/>
    <w:rsid w:val="02FC2D91"/>
    <w:rsid w:val="02FC365E"/>
    <w:rsid w:val="03055083"/>
    <w:rsid w:val="030A33B2"/>
    <w:rsid w:val="0312457C"/>
    <w:rsid w:val="03173E54"/>
    <w:rsid w:val="03276EB0"/>
    <w:rsid w:val="03320DD5"/>
    <w:rsid w:val="03367B19"/>
    <w:rsid w:val="033F3094"/>
    <w:rsid w:val="0341739D"/>
    <w:rsid w:val="035906B9"/>
    <w:rsid w:val="035A07AB"/>
    <w:rsid w:val="036773BE"/>
    <w:rsid w:val="03745931"/>
    <w:rsid w:val="0375270B"/>
    <w:rsid w:val="0376026A"/>
    <w:rsid w:val="03763E10"/>
    <w:rsid w:val="03795E56"/>
    <w:rsid w:val="038F00BD"/>
    <w:rsid w:val="038F07EB"/>
    <w:rsid w:val="039F6B79"/>
    <w:rsid w:val="03A054FE"/>
    <w:rsid w:val="03A710E3"/>
    <w:rsid w:val="03B75E22"/>
    <w:rsid w:val="03C7124D"/>
    <w:rsid w:val="03C956D7"/>
    <w:rsid w:val="03CD065E"/>
    <w:rsid w:val="03CE1273"/>
    <w:rsid w:val="03D96519"/>
    <w:rsid w:val="03DC76EB"/>
    <w:rsid w:val="03DF3AAC"/>
    <w:rsid w:val="03DF7C94"/>
    <w:rsid w:val="03EE2D2D"/>
    <w:rsid w:val="03EE5120"/>
    <w:rsid w:val="03F95EAB"/>
    <w:rsid w:val="03FA4378"/>
    <w:rsid w:val="040E59E0"/>
    <w:rsid w:val="04177E90"/>
    <w:rsid w:val="04227E09"/>
    <w:rsid w:val="04256881"/>
    <w:rsid w:val="042E72BA"/>
    <w:rsid w:val="04361A54"/>
    <w:rsid w:val="043837D8"/>
    <w:rsid w:val="043F0FCC"/>
    <w:rsid w:val="0458216E"/>
    <w:rsid w:val="04633D2A"/>
    <w:rsid w:val="046441B2"/>
    <w:rsid w:val="0470619B"/>
    <w:rsid w:val="047264E0"/>
    <w:rsid w:val="047929EC"/>
    <w:rsid w:val="047931E4"/>
    <w:rsid w:val="047957E8"/>
    <w:rsid w:val="047B754C"/>
    <w:rsid w:val="047C330E"/>
    <w:rsid w:val="04802BB2"/>
    <w:rsid w:val="048112FB"/>
    <w:rsid w:val="048B08F7"/>
    <w:rsid w:val="04967063"/>
    <w:rsid w:val="04997356"/>
    <w:rsid w:val="04B3013F"/>
    <w:rsid w:val="04BA605B"/>
    <w:rsid w:val="04BB6582"/>
    <w:rsid w:val="04BF51D4"/>
    <w:rsid w:val="04C30370"/>
    <w:rsid w:val="04C369FD"/>
    <w:rsid w:val="04C87276"/>
    <w:rsid w:val="04CE7B7F"/>
    <w:rsid w:val="04D13EAB"/>
    <w:rsid w:val="04DB5315"/>
    <w:rsid w:val="04E16ACF"/>
    <w:rsid w:val="04F33CBA"/>
    <w:rsid w:val="05006805"/>
    <w:rsid w:val="05017788"/>
    <w:rsid w:val="05150D13"/>
    <w:rsid w:val="052054D4"/>
    <w:rsid w:val="052C7639"/>
    <w:rsid w:val="054A7C8A"/>
    <w:rsid w:val="055D26AF"/>
    <w:rsid w:val="056534E0"/>
    <w:rsid w:val="056834A8"/>
    <w:rsid w:val="05684832"/>
    <w:rsid w:val="056E79C6"/>
    <w:rsid w:val="05770173"/>
    <w:rsid w:val="057A799E"/>
    <w:rsid w:val="058647BE"/>
    <w:rsid w:val="05880374"/>
    <w:rsid w:val="05881910"/>
    <w:rsid w:val="05913966"/>
    <w:rsid w:val="059F17BF"/>
    <w:rsid w:val="05A259F9"/>
    <w:rsid w:val="05A73DC5"/>
    <w:rsid w:val="05B336D5"/>
    <w:rsid w:val="05CC2A3B"/>
    <w:rsid w:val="05CD0D9A"/>
    <w:rsid w:val="05CF249D"/>
    <w:rsid w:val="05D14319"/>
    <w:rsid w:val="05D714EA"/>
    <w:rsid w:val="05E536E6"/>
    <w:rsid w:val="05EA1C44"/>
    <w:rsid w:val="05F2445C"/>
    <w:rsid w:val="06077942"/>
    <w:rsid w:val="060A0D89"/>
    <w:rsid w:val="060F3722"/>
    <w:rsid w:val="062B0B83"/>
    <w:rsid w:val="062C6587"/>
    <w:rsid w:val="062D67C8"/>
    <w:rsid w:val="06301A1B"/>
    <w:rsid w:val="0633380C"/>
    <w:rsid w:val="0638362B"/>
    <w:rsid w:val="063E600A"/>
    <w:rsid w:val="06405659"/>
    <w:rsid w:val="064F5725"/>
    <w:rsid w:val="065C27A8"/>
    <w:rsid w:val="065F50DA"/>
    <w:rsid w:val="06626021"/>
    <w:rsid w:val="066D2CED"/>
    <w:rsid w:val="066E2C0B"/>
    <w:rsid w:val="06700010"/>
    <w:rsid w:val="06734EB6"/>
    <w:rsid w:val="067C24CF"/>
    <w:rsid w:val="068A1FDD"/>
    <w:rsid w:val="069002BE"/>
    <w:rsid w:val="06906B8C"/>
    <w:rsid w:val="069725BC"/>
    <w:rsid w:val="069A3A7C"/>
    <w:rsid w:val="069E196C"/>
    <w:rsid w:val="06A729E1"/>
    <w:rsid w:val="06AB1C7E"/>
    <w:rsid w:val="06AC05E7"/>
    <w:rsid w:val="06AF1D16"/>
    <w:rsid w:val="06AF3414"/>
    <w:rsid w:val="06BA5EB2"/>
    <w:rsid w:val="06E444B8"/>
    <w:rsid w:val="070615F0"/>
    <w:rsid w:val="07085235"/>
    <w:rsid w:val="07146D7A"/>
    <w:rsid w:val="072C5901"/>
    <w:rsid w:val="07355298"/>
    <w:rsid w:val="073633AE"/>
    <w:rsid w:val="0738618B"/>
    <w:rsid w:val="074E1705"/>
    <w:rsid w:val="074E279C"/>
    <w:rsid w:val="075C0378"/>
    <w:rsid w:val="075C613A"/>
    <w:rsid w:val="07625427"/>
    <w:rsid w:val="0768627D"/>
    <w:rsid w:val="07774E9B"/>
    <w:rsid w:val="07886D75"/>
    <w:rsid w:val="079A77BC"/>
    <w:rsid w:val="079D6C92"/>
    <w:rsid w:val="07A92FCD"/>
    <w:rsid w:val="07C32EAB"/>
    <w:rsid w:val="07CE7516"/>
    <w:rsid w:val="07DA5629"/>
    <w:rsid w:val="07DE3B60"/>
    <w:rsid w:val="07E54B9E"/>
    <w:rsid w:val="08010DA7"/>
    <w:rsid w:val="080F3123"/>
    <w:rsid w:val="08220E8F"/>
    <w:rsid w:val="08242F28"/>
    <w:rsid w:val="08252E6C"/>
    <w:rsid w:val="08275EA4"/>
    <w:rsid w:val="08294CB5"/>
    <w:rsid w:val="083036B5"/>
    <w:rsid w:val="08310F19"/>
    <w:rsid w:val="08331FC1"/>
    <w:rsid w:val="083611A9"/>
    <w:rsid w:val="08394081"/>
    <w:rsid w:val="083943C5"/>
    <w:rsid w:val="083A721F"/>
    <w:rsid w:val="08404FD2"/>
    <w:rsid w:val="084A2513"/>
    <w:rsid w:val="08515651"/>
    <w:rsid w:val="085D6EF2"/>
    <w:rsid w:val="085F59AE"/>
    <w:rsid w:val="086303CB"/>
    <w:rsid w:val="08637FD8"/>
    <w:rsid w:val="08674312"/>
    <w:rsid w:val="0875786E"/>
    <w:rsid w:val="0881684A"/>
    <w:rsid w:val="08927463"/>
    <w:rsid w:val="08991A5A"/>
    <w:rsid w:val="089C49FA"/>
    <w:rsid w:val="08AF073A"/>
    <w:rsid w:val="08BD5FE1"/>
    <w:rsid w:val="08BE7798"/>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31FC1"/>
    <w:rsid w:val="09651D94"/>
    <w:rsid w:val="098A1F77"/>
    <w:rsid w:val="099872CF"/>
    <w:rsid w:val="09A137B2"/>
    <w:rsid w:val="09A2636C"/>
    <w:rsid w:val="09A44BA0"/>
    <w:rsid w:val="09AA495F"/>
    <w:rsid w:val="09AC53C9"/>
    <w:rsid w:val="09B630C3"/>
    <w:rsid w:val="09C222A5"/>
    <w:rsid w:val="09C27E4D"/>
    <w:rsid w:val="09C81C8D"/>
    <w:rsid w:val="09CB6B07"/>
    <w:rsid w:val="09CD0E22"/>
    <w:rsid w:val="09FA2B3C"/>
    <w:rsid w:val="09FA772F"/>
    <w:rsid w:val="09FB6D64"/>
    <w:rsid w:val="0A030CE9"/>
    <w:rsid w:val="0A0D0EE1"/>
    <w:rsid w:val="0A346C5C"/>
    <w:rsid w:val="0A4707FD"/>
    <w:rsid w:val="0A486965"/>
    <w:rsid w:val="0A4B2E8D"/>
    <w:rsid w:val="0A5317DF"/>
    <w:rsid w:val="0A564C39"/>
    <w:rsid w:val="0A5B0F4C"/>
    <w:rsid w:val="0A61640A"/>
    <w:rsid w:val="0A6536D8"/>
    <w:rsid w:val="0A6A580E"/>
    <w:rsid w:val="0A7611EF"/>
    <w:rsid w:val="0A765DBA"/>
    <w:rsid w:val="0A7A1EF7"/>
    <w:rsid w:val="0A987047"/>
    <w:rsid w:val="0AA05D85"/>
    <w:rsid w:val="0AAD109D"/>
    <w:rsid w:val="0ABB417A"/>
    <w:rsid w:val="0ABE47A4"/>
    <w:rsid w:val="0ACC2910"/>
    <w:rsid w:val="0ACC3151"/>
    <w:rsid w:val="0AD16821"/>
    <w:rsid w:val="0AD45A3C"/>
    <w:rsid w:val="0AD60B60"/>
    <w:rsid w:val="0ADC78D2"/>
    <w:rsid w:val="0AE11813"/>
    <w:rsid w:val="0AE3323E"/>
    <w:rsid w:val="0AEB11A6"/>
    <w:rsid w:val="0AEC3E44"/>
    <w:rsid w:val="0AEE609E"/>
    <w:rsid w:val="0AEF478A"/>
    <w:rsid w:val="0B062542"/>
    <w:rsid w:val="0B0E47F4"/>
    <w:rsid w:val="0B1C17AD"/>
    <w:rsid w:val="0B283787"/>
    <w:rsid w:val="0B2D6F6E"/>
    <w:rsid w:val="0B345DB1"/>
    <w:rsid w:val="0B363DD8"/>
    <w:rsid w:val="0B3A4657"/>
    <w:rsid w:val="0B3C5BB9"/>
    <w:rsid w:val="0B4372E2"/>
    <w:rsid w:val="0B5A2079"/>
    <w:rsid w:val="0B5B5996"/>
    <w:rsid w:val="0B5C3E34"/>
    <w:rsid w:val="0B6075D7"/>
    <w:rsid w:val="0B627AD4"/>
    <w:rsid w:val="0B6A0BB3"/>
    <w:rsid w:val="0B792EB2"/>
    <w:rsid w:val="0B8035EB"/>
    <w:rsid w:val="0B84164E"/>
    <w:rsid w:val="0B89731E"/>
    <w:rsid w:val="0B904412"/>
    <w:rsid w:val="0B913EDA"/>
    <w:rsid w:val="0B9C76A8"/>
    <w:rsid w:val="0BA50775"/>
    <w:rsid w:val="0BA749E5"/>
    <w:rsid w:val="0BAC24A8"/>
    <w:rsid w:val="0BAE1323"/>
    <w:rsid w:val="0BB42E0A"/>
    <w:rsid w:val="0BBA3391"/>
    <w:rsid w:val="0BDC3258"/>
    <w:rsid w:val="0BDE3581"/>
    <w:rsid w:val="0BE85349"/>
    <w:rsid w:val="0BF57A28"/>
    <w:rsid w:val="0BF845E9"/>
    <w:rsid w:val="0BFA1A53"/>
    <w:rsid w:val="0C074F06"/>
    <w:rsid w:val="0C0B1E5B"/>
    <w:rsid w:val="0C146F99"/>
    <w:rsid w:val="0C1A584B"/>
    <w:rsid w:val="0C2275D5"/>
    <w:rsid w:val="0C2D70F9"/>
    <w:rsid w:val="0C342312"/>
    <w:rsid w:val="0C53740C"/>
    <w:rsid w:val="0C563E70"/>
    <w:rsid w:val="0C631545"/>
    <w:rsid w:val="0C6E187C"/>
    <w:rsid w:val="0C7D4D8F"/>
    <w:rsid w:val="0C80052F"/>
    <w:rsid w:val="0C8C06D3"/>
    <w:rsid w:val="0C980884"/>
    <w:rsid w:val="0C9961AF"/>
    <w:rsid w:val="0C9A50FF"/>
    <w:rsid w:val="0C9B3EE0"/>
    <w:rsid w:val="0C9C2E80"/>
    <w:rsid w:val="0CA20B1F"/>
    <w:rsid w:val="0CA44E41"/>
    <w:rsid w:val="0CA77405"/>
    <w:rsid w:val="0CAE5B1B"/>
    <w:rsid w:val="0CB224D8"/>
    <w:rsid w:val="0CB31FF7"/>
    <w:rsid w:val="0CB45BFD"/>
    <w:rsid w:val="0CB75099"/>
    <w:rsid w:val="0CB80D6E"/>
    <w:rsid w:val="0CBF360E"/>
    <w:rsid w:val="0CBF44B3"/>
    <w:rsid w:val="0CC10497"/>
    <w:rsid w:val="0CC30BC5"/>
    <w:rsid w:val="0CC42150"/>
    <w:rsid w:val="0CC45545"/>
    <w:rsid w:val="0CC71781"/>
    <w:rsid w:val="0CCB0FDF"/>
    <w:rsid w:val="0CDC515C"/>
    <w:rsid w:val="0CDE34FB"/>
    <w:rsid w:val="0D0B2A13"/>
    <w:rsid w:val="0D112021"/>
    <w:rsid w:val="0D12133D"/>
    <w:rsid w:val="0D1F7151"/>
    <w:rsid w:val="0D200D54"/>
    <w:rsid w:val="0D2B7DB2"/>
    <w:rsid w:val="0D3152D9"/>
    <w:rsid w:val="0D384916"/>
    <w:rsid w:val="0D427E08"/>
    <w:rsid w:val="0D4A1977"/>
    <w:rsid w:val="0D511FCD"/>
    <w:rsid w:val="0D52698E"/>
    <w:rsid w:val="0D583C5F"/>
    <w:rsid w:val="0D5D658F"/>
    <w:rsid w:val="0D6029A5"/>
    <w:rsid w:val="0D6063D4"/>
    <w:rsid w:val="0D667E20"/>
    <w:rsid w:val="0D682A3A"/>
    <w:rsid w:val="0D922931"/>
    <w:rsid w:val="0D95263C"/>
    <w:rsid w:val="0DA81B9F"/>
    <w:rsid w:val="0DAD79F2"/>
    <w:rsid w:val="0DC436B0"/>
    <w:rsid w:val="0DC9693F"/>
    <w:rsid w:val="0DCC1715"/>
    <w:rsid w:val="0DD82C48"/>
    <w:rsid w:val="0DDB6385"/>
    <w:rsid w:val="0DF0632D"/>
    <w:rsid w:val="0DF475E0"/>
    <w:rsid w:val="0E0E09E4"/>
    <w:rsid w:val="0E184477"/>
    <w:rsid w:val="0E1A4501"/>
    <w:rsid w:val="0E21196E"/>
    <w:rsid w:val="0E227E98"/>
    <w:rsid w:val="0E27140B"/>
    <w:rsid w:val="0E2D4D70"/>
    <w:rsid w:val="0E3B2663"/>
    <w:rsid w:val="0E443DBA"/>
    <w:rsid w:val="0E465F52"/>
    <w:rsid w:val="0E576A70"/>
    <w:rsid w:val="0E6B437E"/>
    <w:rsid w:val="0E6B6A22"/>
    <w:rsid w:val="0E793535"/>
    <w:rsid w:val="0E795DEE"/>
    <w:rsid w:val="0E7B3260"/>
    <w:rsid w:val="0E804638"/>
    <w:rsid w:val="0E854758"/>
    <w:rsid w:val="0EC4408A"/>
    <w:rsid w:val="0ECD6BD5"/>
    <w:rsid w:val="0EDA3DE0"/>
    <w:rsid w:val="0EE241B0"/>
    <w:rsid w:val="0EE470B9"/>
    <w:rsid w:val="0EE51F3F"/>
    <w:rsid w:val="0EE96C61"/>
    <w:rsid w:val="0EEF6278"/>
    <w:rsid w:val="0F110F65"/>
    <w:rsid w:val="0F126FC2"/>
    <w:rsid w:val="0F1821BC"/>
    <w:rsid w:val="0F1F71AB"/>
    <w:rsid w:val="0F206FE9"/>
    <w:rsid w:val="0F246E43"/>
    <w:rsid w:val="0F2F2F21"/>
    <w:rsid w:val="0F303168"/>
    <w:rsid w:val="0F313E14"/>
    <w:rsid w:val="0F3346BD"/>
    <w:rsid w:val="0F521390"/>
    <w:rsid w:val="0F551890"/>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C24482"/>
    <w:rsid w:val="0FC754B6"/>
    <w:rsid w:val="0FCD46F4"/>
    <w:rsid w:val="0FCE3065"/>
    <w:rsid w:val="0FE107E2"/>
    <w:rsid w:val="0FE336DE"/>
    <w:rsid w:val="0FED1D3E"/>
    <w:rsid w:val="10065756"/>
    <w:rsid w:val="100A69A4"/>
    <w:rsid w:val="100E17EE"/>
    <w:rsid w:val="10140347"/>
    <w:rsid w:val="101B54B3"/>
    <w:rsid w:val="101C6175"/>
    <w:rsid w:val="104210EE"/>
    <w:rsid w:val="10513C3F"/>
    <w:rsid w:val="10541F36"/>
    <w:rsid w:val="105D2D1E"/>
    <w:rsid w:val="10623D8F"/>
    <w:rsid w:val="10703686"/>
    <w:rsid w:val="1075160B"/>
    <w:rsid w:val="107760A9"/>
    <w:rsid w:val="10780D89"/>
    <w:rsid w:val="107B52AA"/>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B0B58"/>
    <w:rsid w:val="113D775B"/>
    <w:rsid w:val="11410876"/>
    <w:rsid w:val="114608E7"/>
    <w:rsid w:val="114F3D65"/>
    <w:rsid w:val="115347BC"/>
    <w:rsid w:val="11545887"/>
    <w:rsid w:val="11597C64"/>
    <w:rsid w:val="116228E3"/>
    <w:rsid w:val="11631325"/>
    <w:rsid w:val="116345A4"/>
    <w:rsid w:val="11667833"/>
    <w:rsid w:val="11687433"/>
    <w:rsid w:val="117B53DF"/>
    <w:rsid w:val="117B71D3"/>
    <w:rsid w:val="11845F00"/>
    <w:rsid w:val="118A58E4"/>
    <w:rsid w:val="11916F88"/>
    <w:rsid w:val="11B62D0B"/>
    <w:rsid w:val="11C52A21"/>
    <w:rsid w:val="11C75474"/>
    <w:rsid w:val="11D26FDB"/>
    <w:rsid w:val="11D435B9"/>
    <w:rsid w:val="11D8409F"/>
    <w:rsid w:val="11D95083"/>
    <w:rsid w:val="11DE26F2"/>
    <w:rsid w:val="11DF6987"/>
    <w:rsid w:val="11EA23C8"/>
    <w:rsid w:val="11EB5C95"/>
    <w:rsid w:val="11ED6242"/>
    <w:rsid w:val="12010E7D"/>
    <w:rsid w:val="120506CD"/>
    <w:rsid w:val="12075A2C"/>
    <w:rsid w:val="120A0C4D"/>
    <w:rsid w:val="120A38DA"/>
    <w:rsid w:val="12101A57"/>
    <w:rsid w:val="12193170"/>
    <w:rsid w:val="12193813"/>
    <w:rsid w:val="121D6AE3"/>
    <w:rsid w:val="121F75CC"/>
    <w:rsid w:val="122C1A12"/>
    <w:rsid w:val="1232130B"/>
    <w:rsid w:val="12395D63"/>
    <w:rsid w:val="12401AD9"/>
    <w:rsid w:val="12421E9D"/>
    <w:rsid w:val="12571C4D"/>
    <w:rsid w:val="125C09FF"/>
    <w:rsid w:val="12657F0C"/>
    <w:rsid w:val="126830F6"/>
    <w:rsid w:val="126B5207"/>
    <w:rsid w:val="126F57E1"/>
    <w:rsid w:val="12760E78"/>
    <w:rsid w:val="127673DB"/>
    <w:rsid w:val="127E0189"/>
    <w:rsid w:val="12810A1D"/>
    <w:rsid w:val="12927837"/>
    <w:rsid w:val="12A30BAA"/>
    <w:rsid w:val="12A709D5"/>
    <w:rsid w:val="12A867C5"/>
    <w:rsid w:val="12B56515"/>
    <w:rsid w:val="12BE11B2"/>
    <w:rsid w:val="12C21464"/>
    <w:rsid w:val="12C40A29"/>
    <w:rsid w:val="12C42DA1"/>
    <w:rsid w:val="12C45CF0"/>
    <w:rsid w:val="12C948D2"/>
    <w:rsid w:val="12CB14EE"/>
    <w:rsid w:val="12CE6902"/>
    <w:rsid w:val="12D54B1A"/>
    <w:rsid w:val="12EF155A"/>
    <w:rsid w:val="12F17350"/>
    <w:rsid w:val="12F712FB"/>
    <w:rsid w:val="12FA0E2E"/>
    <w:rsid w:val="12FF7A62"/>
    <w:rsid w:val="13037A88"/>
    <w:rsid w:val="133844CA"/>
    <w:rsid w:val="1347596A"/>
    <w:rsid w:val="13477178"/>
    <w:rsid w:val="134B5A55"/>
    <w:rsid w:val="134C0AA1"/>
    <w:rsid w:val="136041BC"/>
    <w:rsid w:val="136F4FE6"/>
    <w:rsid w:val="13713F6F"/>
    <w:rsid w:val="13762A14"/>
    <w:rsid w:val="138C25C7"/>
    <w:rsid w:val="138E741D"/>
    <w:rsid w:val="1390357D"/>
    <w:rsid w:val="139670E5"/>
    <w:rsid w:val="139F1C24"/>
    <w:rsid w:val="13A023E7"/>
    <w:rsid w:val="13A04270"/>
    <w:rsid w:val="13A90344"/>
    <w:rsid w:val="13A9454D"/>
    <w:rsid w:val="13B35BBD"/>
    <w:rsid w:val="13BF3D28"/>
    <w:rsid w:val="13C32466"/>
    <w:rsid w:val="13C77F07"/>
    <w:rsid w:val="13CE4E2F"/>
    <w:rsid w:val="13CF48B4"/>
    <w:rsid w:val="13E45E4B"/>
    <w:rsid w:val="13F57229"/>
    <w:rsid w:val="13F60043"/>
    <w:rsid w:val="13F63AC9"/>
    <w:rsid w:val="13FF4761"/>
    <w:rsid w:val="14011235"/>
    <w:rsid w:val="1401651E"/>
    <w:rsid w:val="14065625"/>
    <w:rsid w:val="14127CF3"/>
    <w:rsid w:val="1416357F"/>
    <w:rsid w:val="14175C6D"/>
    <w:rsid w:val="14182B9E"/>
    <w:rsid w:val="14211963"/>
    <w:rsid w:val="142160CA"/>
    <w:rsid w:val="142E4E6B"/>
    <w:rsid w:val="14332094"/>
    <w:rsid w:val="14390732"/>
    <w:rsid w:val="143B554F"/>
    <w:rsid w:val="144128ED"/>
    <w:rsid w:val="144D721A"/>
    <w:rsid w:val="14504C78"/>
    <w:rsid w:val="14552700"/>
    <w:rsid w:val="1455301F"/>
    <w:rsid w:val="145E0ED6"/>
    <w:rsid w:val="146A5814"/>
    <w:rsid w:val="146D4E79"/>
    <w:rsid w:val="147C1504"/>
    <w:rsid w:val="148112AD"/>
    <w:rsid w:val="14933736"/>
    <w:rsid w:val="149D19D1"/>
    <w:rsid w:val="14AD2447"/>
    <w:rsid w:val="14BD7435"/>
    <w:rsid w:val="14D41B03"/>
    <w:rsid w:val="14EC7262"/>
    <w:rsid w:val="14F50637"/>
    <w:rsid w:val="14F56962"/>
    <w:rsid w:val="14FD3DC3"/>
    <w:rsid w:val="15052F44"/>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C40EFF"/>
    <w:rsid w:val="15CA097E"/>
    <w:rsid w:val="15D92955"/>
    <w:rsid w:val="15F5535B"/>
    <w:rsid w:val="15F569FA"/>
    <w:rsid w:val="15F656C7"/>
    <w:rsid w:val="15F85F00"/>
    <w:rsid w:val="15F969EC"/>
    <w:rsid w:val="16005D04"/>
    <w:rsid w:val="1607152F"/>
    <w:rsid w:val="160D7883"/>
    <w:rsid w:val="16104DB0"/>
    <w:rsid w:val="1613433D"/>
    <w:rsid w:val="16200AF2"/>
    <w:rsid w:val="162E2ADD"/>
    <w:rsid w:val="16313AA6"/>
    <w:rsid w:val="163267A4"/>
    <w:rsid w:val="16405266"/>
    <w:rsid w:val="164561DB"/>
    <w:rsid w:val="1651617C"/>
    <w:rsid w:val="166852CC"/>
    <w:rsid w:val="16696EE3"/>
    <w:rsid w:val="16713663"/>
    <w:rsid w:val="167518D2"/>
    <w:rsid w:val="168864E9"/>
    <w:rsid w:val="16907088"/>
    <w:rsid w:val="1697702E"/>
    <w:rsid w:val="169A4327"/>
    <w:rsid w:val="169B4121"/>
    <w:rsid w:val="169D4FCC"/>
    <w:rsid w:val="16A26D59"/>
    <w:rsid w:val="16A31912"/>
    <w:rsid w:val="16A52825"/>
    <w:rsid w:val="16A60389"/>
    <w:rsid w:val="16AC66DD"/>
    <w:rsid w:val="16B06BAD"/>
    <w:rsid w:val="16B17712"/>
    <w:rsid w:val="16B95CF7"/>
    <w:rsid w:val="16C42B77"/>
    <w:rsid w:val="16D55B33"/>
    <w:rsid w:val="16D74218"/>
    <w:rsid w:val="16DD2E8B"/>
    <w:rsid w:val="16E376E7"/>
    <w:rsid w:val="16E40C30"/>
    <w:rsid w:val="16E72981"/>
    <w:rsid w:val="16EB66D9"/>
    <w:rsid w:val="16F47BF5"/>
    <w:rsid w:val="16F872C3"/>
    <w:rsid w:val="16FA06E3"/>
    <w:rsid w:val="170167F2"/>
    <w:rsid w:val="17035AAC"/>
    <w:rsid w:val="17054499"/>
    <w:rsid w:val="170B0BD9"/>
    <w:rsid w:val="171E2D1A"/>
    <w:rsid w:val="172E1BBE"/>
    <w:rsid w:val="173A6824"/>
    <w:rsid w:val="173B1FA1"/>
    <w:rsid w:val="173C594E"/>
    <w:rsid w:val="17503F57"/>
    <w:rsid w:val="17505DD6"/>
    <w:rsid w:val="17586CB0"/>
    <w:rsid w:val="17596CA9"/>
    <w:rsid w:val="17600681"/>
    <w:rsid w:val="17665D9F"/>
    <w:rsid w:val="17696EA4"/>
    <w:rsid w:val="17795030"/>
    <w:rsid w:val="177B0627"/>
    <w:rsid w:val="177D3C16"/>
    <w:rsid w:val="178501CB"/>
    <w:rsid w:val="178A042D"/>
    <w:rsid w:val="178A1F82"/>
    <w:rsid w:val="17920EA7"/>
    <w:rsid w:val="1797450B"/>
    <w:rsid w:val="17A644BF"/>
    <w:rsid w:val="17A92F07"/>
    <w:rsid w:val="17B23E0F"/>
    <w:rsid w:val="17B31B32"/>
    <w:rsid w:val="17B80549"/>
    <w:rsid w:val="17C063A0"/>
    <w:rsid w:val="17C15DFA"/>
    <w:rsid w:val="17C76A67"/>
    <w:rsid w:val="17DA0F7A"/>
    <w:rsid w:val="17DC2D7F"/>
    <w:rsid w:val="17E95276"/>
    <w:rsid w:val="17EA38A1"/>
    <w:rsid w:val="17EB77A3"/>
    <w:rsid w:val="17EC5E41"/>
    <w:rsid w:val="1806537C"/>
    <w:rsid w:val="181C2683"/>
    <w:rsid w:val="181E4167"/>
    <w:rsid w:val="18341D76"/>
    <w:rsid w:val="18351C27"/>
    <w:rsid w:val="18553A22"/>
    <w:rsid w:val="18607956"/>
    <w:rsid w:val="186E420E"/>
    <w:rsid w:val="187A14AA"/>
    <w:rsid w:val="187B7B4F"/>
    <w:rsid w:val="1887188F"/>
    <w:rsid w:val="18A35548"/>
    <w:rsid w:val="18A63203"/>
    <w:rsid w:val="18A77689"/>
    <w:rsid w:val="18A816B2"/>
    <w:rsid w:val="18B8431F"/>
    <w:rsid w:val="18B90C48"/>
    <w:rsid w:val="18BC4ADF"/>
    <w:rsid w:val="18BD1521"/>
    <w:rsid w:val="18BD2E66"/>
    <w:rsid w:val="18CF2450"/>
    <w:rsid w:val="18DA12E6"/>
    <w:rsid w:val="18E85386"/>
    <w:rsid w:val="18FC503B"/>
    <w:rsid w:val="19027C40"/>
    <w:rsid w:val="190E3326"/>
    <w:rsid w:val="190E3538"/>
    <w:rsid w:val="19164D1E"/>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8697F"/>
    <w:rsid w:val="199A20B4"/>
    <w:rsid w:val="19A71B82"/>
    <w:rsid w:val="19B84C88"/>
    <w:rsid w:val="19C6694E"/>
    <w:rsid w:val="19C956A7"/>
    <w:rsid w:val="19D11E61"/>
    <w:rsid w:val="19D5618C"/>
    <w:rsid w:val="19E22401"/>
    <w:rsid w:val="19E23808"/>
    <w:rsid w:val="1A00532F"/>
    <w:rsid w:val="1A040FBD"/>
    <w:rsid w:val="1A067DCA"/>
    <w:rsid w:val="1A13214F"/>
    <w:rsid w:val="1A434C13"/>
    <w:rsid w:val="1A4E18BB"/>
    <w:rsid w:val="1A5C550E"/>
    <w:rsid w:val="1A5E5759"/>
    <w:rsid w:val="1A61514E"/>
    <w:rsid w:val="1A624E9D"/>
    <w:rsid w:val="1A6F769D"/>
    <w:rsid w:val="1A712AE5"/>
    <w:rsid w:val="1A74386E"/>
    <w:rsid w:val="1A783427"/>
    <w:rsid w:val="1A7B0419"/>
    <w:rsid w:val="1A8A143B"/>
    <w:rsid w:val="1A9148B8"/>
    <w:rsid w:val="1AA67BD3"/>
    <w:rsid w:val="1AC70097"/>
    <w:rsid w:val="1ACC39D6"/>
    <w:rsid w:val="1AF7489C"/>
    <w:rsid w:val="1AFA3523"/>
    <w:rsid w:val="1AFD3AEA"/>
    <w:rsid w:val="1B05238D"/>
    <w:rsid w:val="1B13587B"/>
    <w:rsid w:val="1B1D44BA"/>
    <w:rsid w:val="1B2C07D2"/>
    <w:rsid w:val="1B2C5EE0"/>
    <w:rsid w:val="1B3604D3"/>
    <w:rsid w:val="1B364D11"/>
    <w:rsid w:val="1B3865C6"/>
    <w:rsid w:val="1B3E5EDE"/>
    <w:rsid w:val="1B467529"/>
    <w:rsid w:val="1B4B00CA"/>
    <w:rsid w:val="1B566C78"/>
    <w:rsid w:val="1B5F1247"/>
    <w:rsid w:val="1B6307EA"/>
    <w:rsid w:val="1B79696C"/>
    <w:rsid w:val="1B7E1824"/>
    <w:rsid w:val="1B825166"/>
    <w:rsid w:val="1B890C23"/>
    <w:rsid w:val="1B9411FC"/>
    <w:rsid w:val="1B9D6CE8"/>
    <w:rsid w:val="1BA54728"/>
    <w:rsid w:val="1BBB422B"/>
    <w:rsid w:val="1BC600B5"/>
    <w:rsid w:val="1BCD55F8"/>
    <w:rsid w:val="1BE011AE"/>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D2EB6"/>
    <w:rsid w:val="1C805B43"/>
    <w:rsid w:val="1C852BB0"/>
    <w:rsid w:val="1C8D54A8"/>
    <w:rsid w:val="1C9651FD"/>
    <w:rsid w:val="1CA42FB6"/>
    <w:rsid w:val="1CB21A29"/>
    <w:rsid w:val="1CCB32EE"/>
    <w:rsid w:val="1CD23361"/>
    <w:rsid w:val="1CE302F7"/>
    <w:rsid w:val="1CEC4F96"/>
    <w:rsid w:val="1CF13B49"/>
    <w:rsid w:val="1CF52075"/>
    <w:rsid w:val="1CF70EE3"/>
    <w:rsid w:val="1CFE7E6D"/>
    <w:rsid w:val="1D011F4C"/>
    <w:rsid w:val="1D0D1F95"/>
    <w:rsid w:val="1D1C7AC2"/>
    <w:rsid w:val="1D1D6A85"/>
    <w:rsid w:val="1D207BFC"/>
    <w:rsid w:val="1D230741"/>
    <w:rsid w:val="1D2F0DCA"/>
    <w:rsid w:val="1D3E30CF"/>
    <w:rsid w:val="1D3E57BA"/>
    <w:rsid w:val="1D3F5BF4"/>
    <w:rsid w:val="1D49558F"/>
    <w:rsid w:val="1D4B4B5A"/>
    <w:rsid w:val="1D584348"/>
    <w:rsid w:val="1D5D209F"/>
    <w:rsid w:val="1D6D4785"/>
    <w:rsid w:val="1D6E27CD"/>
    <w:rsid w:val="1D767ADA"/>
    <w:rsid w:val="1D845021"/>
    <w:rsid w:val="1D861B2D"/>
    <w:rsid w:val="1D896FB3"/>
    <w:rsid w:val="1D91741D"/>
    <w:rsid w:val="1D9318C5"/>
    <w:rsid w:val="1D941B55"/>
    <w:rsid w:val="1D9B15A6"/>
    <w:rsid w:val="1DAB7998"/>
    <w:rsid w:val="1DB01072"/>
    <w:rsid w:val="1DB2076E"/>
    <w:rsid w:val="1DB43F2E"/>
    <w:rsid w:val="1DBE6DCD"/>
    <w:rsid w:val="1DC2628A"/>
    <w:rsid w:val="1DCF57CE"/>
    <w:rsid w:val="1DD11EB5"/>
    <w:rsid w:val="1DD246EC"/>
    <w:rsid w:val="1DD63079"/>
    <w:rsid w:val="1DD859F5"/>
    <w:rsid w:val="1DDD63A7"/>
    <w:rsid w:val="1DFC4DF9"/>
    <w:rsid w:val="1E0435A0"/>
    <w:rsid w:val="1E110D2A"/>
    <w:rsid w:val="1E1247A2"/>
    <w:rsid w:val="1E155062"/>
    <w:rsid w:val="1E193E9C"/>
    <w:rsid w:val="1E1B38E9"/>
    <w:rsid w:val="1E303EF3"/>
    <w:rsid w:val="1E3F6D05"/>
    <w:rsid w:val="1E494B8A"/>
    <w:rsid w:val="1E4F0222"/>
    <w:rsid w:val="1E596455"/>
    <w:rsid w:val="1E5C2AF3"/>
    <w:rsid w:val="1E795C41"/>
    <w:rsid w:val="1E7E640D"/>
    <w:rsid w:val="1E7F3A72"/>
    <w:rsid w:val="1E8064D3"/>
    <w:rsid w:val="1E861E21"/>
    <w:rsid w:val="1EA72270"/>
    <w:rsid w:val="1EBD6E42"/>
    <w:rsid w:val="1EC25D1C"/>
    <w:rsid w:val="1EC74AB4"/>
    <w:rsid w:val="1EC87ABC"/>
    <w:rsid w:val="1ED242FC"/>
    <w:rsid w:val="1ED56C03"/>
    <w:rsid w:val="1EDB3888"/>
    <w:rsid w:val="1EE05F54"/>
    <w:rsid w:val="1EE332A7"/>
    <w:rsid w:val="1EF579A0"/>
    <w:rsid w:val="1F05532C"/>
    <w:rsid w:val="1F095121"/>
    <w:rsid w:val="1F0F4C7A"/>
    <w:rsid w:val="1F1348CD"/>
    <w:rsid w:val="1F1527EE"/>
    <w:rsid w:val="1F1E1C4B"/>
    <w:rsid w:val="1F1F37A0"/>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B04A78"/>
    <w:rsid w:val="1FB75185"/>
    <w:rsid w:val="1FB97163"/>
    <w:rsid w:val="1FBD0EE6"/>
    <w:rsid w:val="1FC10346"/>
    <w:rsid w:val="1FC16504"/>
    <w:rsid w:val="1FDD028C"/>
    <w:rsid w:val="1FF955B0"/>
    <w:rsid w:val="1FFA3EAB"/>
    <w:rsid w:val="1FFB3FF4"/>
    <w:rsid w:val="20176E76"/>
    <w:rsid w:val="201A450C"/>
    <w:rsid w:val="20270162"/>
    <w:rsid w:val="203F0CD6"/>
    <w:rsid w:val="20591163"/>
    <w:rsid w:val="20655E4F"/>
    <w:rsid w:val="207308C3"/>
    <w:rsid w:val="207411D3"/>
    <w:rsid w:val="20743131"/>
    <w:rsid w:val="207536DF"/>
    <w:rsid w:val="20783BF9"/>
    <w:rsid w:val="20786435"/>
    <w:rsid w:val="2078758C"/>
    <w:rsid w:val="20811113"/>
    <w:rsid w:val="20874766"/>
    <w:rsid w:val="2088281D"/>
    <w:rsid w:val="2088475A"/>
    <w:rsid w:val="20917F9C"/>
    <w:rsid w:val="2094661E"/>
    <w:rsid w:val="20951ED4"/>
    <w:rsid w:val="20962536"/>
    <w:rsid w:val="20AC3908"/>
    <w:rsid w:val="20B50E80"/>
    <w:rsid w:val="20B7483F"/>
    <w:rsid w:val="20BD02A3"/>
    <w:rsid w:val="20BE1841"/>
    <w:rsid w:val="20D078F3"/>
    <w:rsid w:val="20D200AD"/>
    <w:rsid w:val="20D95B71"/>
    <w:rsid w:val="20DA60A5"/>
    <w:rsid w:val="20DB223A"/>
    <w:rsid w:val="20EC58CB"/>
    <w:rsid w:val="21014223"/>
    <w:rsid w:val="21257F04"/>
    <w:rsid w:val="21291A31"/>
    <w:rsid w:val="21353F50"/>
    <w:rsid w:val="2138052E"/>
    <w:rsid w:val="213C3CC5"/>
    <w:rsid w:val="214776EA"/>
    <w:rsid w:val="21522E38"/>
    <w:rsid w:val="2159046C"/>
    <w:rsid w:val="21592762"/>
    <w:rsid w:val="215F3A68"/>
    <w:rsid w:val="21611A31"/>
    <w:rsid w:val="21635586"/>
    <w:rsid w:val="217B17E2"/>
    <w:rsid w:val="218D61A9"/>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E272E"/>
    <w:rsid w:val="222A1FFE"/>
    <w:rsid w:val="222B075F"/>
    <w:rsid w:val="22367DC0"/>
    <w:rsid w:val="223C2D91"/>
    <w:rsid w:val="224D7BB0"/>
    <w:rsid w:val="22541D32"/>
    <w:rsid w:val="225474CD"/>
    <w:rsid w:val="225E1754"/>
    <w:rsid w:val="225F0409"/>
    <w:rsid w:val="226D42BA"/>
    <w:rsid w:val="227078B0"/>
    <w:rsid w:val="2271187B"/>
    <w:rsid w:val="22833161"/>
    <w:rsid w:val="228338C8"/>
    <w:rsid w:val="22840DDA"/>
    <w:rsid w:val="22876A0D"/>
    <w:rsid w:val="22A11695"/>
    <w:rsid w:val="22A311BE"/>
    <w:rsid w:val="22A63B38"/>
    <w:rsid w:val="22A8489A"/>
    <w:rsid w:val="22AB3B60"/>
    <w:rsid w:val="22B22D1F"/>
    <w:rsid w:val="22B33D99"/>
    <w:rsid w:val="22BB4A47"/>
    <w:rsid w:val="22BC2773"/>
    <w:rsid w:val="22BE29D6"/>
    <w:rsid w:val="22C4003E"/>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F5270"/>
    <w:rsid w:val="2311101C"/>
    <w:rsid w:val="2319089C"/>
    <w:rsid w:val="231B2491"/>
    <w:rsid w:val="232515D0"/>
    <w:rsid w:val="232F45E5"/>
    <w:rsid w:val="23382F5D"/>
    <w:rsid w:val="233857DC"/>
    <w:rsid w:val="23443C8F"/>
    <w:rsid w:val="23561548"/>
    <w:rsid w:val="23561CD1"/>
    <w:rsid w:val="235E47B6"/>
    <w:rsid w:val="23646298"/>
    <w:rsid w:val="236B32CC"/>
    <w:rsid w:val="2372506B"/>
    <w:rsid w:val="2376691B"/>
    <w:rsid w:val="23820000"/>
    <w:rsid w:val="238D2D50"/>
    <w:rsid w:val="238D66BE"/>
    <w:rsid w:val="239540DC"/>
    <w:rsid w:val="23965F67"/>
    <w:rsid w:val="23A02531"/>
    <w:rsid w:val="23A11F4F"/>
    <w:rsid w:val="23AB0462"/>
    <w:rsid w:val="23B41225"/>
    <w:rsid w:val="23BA6237"/>
    <w:rsid w:val="23BC048E"/>
    <w:rsid w:val="23C60972"/>
    <w:rsid w:val="23C9616F"/>
    <w:rsid w:val="23CE659F"/>
    <w:rsid w:val="23CF7FD3"/>
    <w:rsid w:val="23D4199E"/>
    <w:rsid w:val="23DC01C4"/>
    <w:rsid w:val="23DC60E2"/>
    <w:rsid w:val="23E17EC8"/>
    <w:rsid w:val="23E44D09"/>
    <w:rsid w:val="23E47406"/>
    <w:rsid w:val="23E91B93"/>
    <w:rsid w:val="23F6160A"/>
    <w:rsid w:val="23FB72B1"/>
    <w:rsid w:val="24026C92"/>
    <w:rsid w:val="24027DBA"/>
    <w:rsid w:val="240657B6"/>
    <w:rsid w:val="240B36D8"/>
    <w:rsid w:val="240C2CCA"/>
    <w:rsid w:val="240C553C"/>
    <w:rsid w:val="24323334"/>
    <w:rsid w:val="243336DA"/>
    <w:rsid w:val="24373DE9"/>
    <w:rsid w:val="243D6215"/>
    <w:rsid w:val="244F01D0"/>
    <w:rsid w:val="245226BE"/>
    <w:rsid w:val="245550BB"/>
    <w:rsid w:val="245A0102"/>
    <w:rsid w:val="2461318F"/>
    <w:rsid w:val="24662623"/>
    <w:rsid w:val="24676BCD"/>
    <w:rsid w:val="2468531E"/>
    <w:rsid w:val="24750E49"/>
    <w:rsid w:val="24872D53"/>
    <w:rsid w:val="248B0998"/>
    <w:rsid w:val="248E7D90"/>
    <w:rsid w:val="248F168F"/>
    <w:rsid w:val="249321BF"/>
    <w:rsid w:val="249C0D83"/>
    <w:rsid w:val="24A033EE"/>
    <w:rsid w:val="24A608F7"/>
    <w:rsid w:val="24B51B12"/>
    <w:rsid w:val="24C434A5"/>
    <w:rsid w:val="24CA496C"/>
    <w:rsid w:val="24D03385"/>
    <w:rsid w:val="24D35568"/>
    <w:rsid w:val="24D72C44"/>
    <w:rsid w:val="24DB51FA"/>
    <w:rsid w:val="24DD7F5E"/>
    <w:rsid w:val="24E954E0"/>
    <w:rsid w:val="24F37FEF"/>
    <w:rsid w:val="24F82FB3"/>
    <w:rsid w:val="2504405A"/>
    <w:rsid w:val="251809ED"/>
    <w:rsid w:val="25241C4A"/>
    <w:rsid w:val="25265A8E"/>
    <w:rsid w:val="2528628B"/>
    <w:rsid w:val="252A5159"/>
    <w:rsid w:val="25380B4A"/>
    <w:rsid w:val="253C2F3D"/>
    <w:rsid w:val="253C65AF"/>
    <w:rsid w:val="25410D56"/>
    <w:rsid w:val="254B4EB1"/>
    <w:rsid w:val="254D55BA"/>
    <w:rsid w:val="254F6D5C"/>
    <w:rsid w:val="25644E19"/>
    <w:rsid w:val="256F1EB3"/>
    <w:rsid w:val="25720D21"/>
    <w:rsid w:val="257B7A7B"/>
    <w:rsid w:val="257C63F7"/>
    <w:rsid w:val="257E458B"/>
    <w:rsid w:val="258426BC"/>
    <w:rsid w:val="25867F54"/>
    <w:rsid w:val="258B4AE4"/>
    <w:rsid w:val="259114ED"/>
    <w:rsid w:val="2593720A"/>
    <w:rsid w:val="25996F48"/>
    <w:rsid w:val="259A3CB2"/>
    <w:rsid w:val="259E5828"/>
    <w:rsid w:val="25AB0A3D"/>
    <w:rsid w:val="25AC370D"/>
    <w:rsid w:val="25B22B68"/>
    <w:rsid w:val="25B5218E"/>
    <w:rsid w:val="25C15D16"/>
    <w:rsid w:val="25C55B83"/>
    <w:rsid w:val="25CD5BF1"/>
    <w:rsid w:val="25D31208"/>
    <w:rsid w:val="25DA65CA"/>
    <w:rsid w:val="25DB6649"/>
    <w:rsid w:val="25DD0809"/>
    <w:rsid w:val="25E27416"/>
    <w:rsid w:val="25E46656"/>
    <w:rsid w:val="25E47484"/>
    <w:rsid w:val="25E92FBE"/>
    <w:rsid w:val="25F17275"/>
    <w:rsid w:val="25F31E31"/>
    <w:rsid w:val="25F70EE4"/>
    <w:rsid w:val="25FC0B75"/>
    <w:rsid w:val="260139F3"/>
    <w:rsid w:val="260556D5"/>
    <w:rsid w:val="26080DD9"/>
    <w:rsid w:val="26082798"/>
    <w:rsid w:val="26095114"/>
    <w:rsid w:val="260E454E"/>
    <w:rsid w:val="261464EE"/>
    <w:rsid w:val="26280E6C"/>
    <w:rsid w:val="262E05B0"/>
    <w:rsid w:val="26372014"/>
    <w:rsid w:val="263E0859"/>
    <w:rsid w:val="263E1A96"/>
    <w:rsid w:val="26405937"/>
    <w:rsid w:val="26433FB7"/>
    <w:rsid w:val="26452DA3"/>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F54808"/>
    <w:rsid w:val="26F60CEF"/>
    <w:rsid w:val="26FC2F8C"/>
    <w:rsid w:val="27094F93"/>
    <w:rsid w:val="270E05C8"/>
    <w:rsid w:val="27101BFD"/>
    <w:rsid w:val="27172021"/>
    <w:rsid w:val="27190D99"/>
    <w:rsid w:val="271927EF"/>
    <w:rsid w:val="271A253D"/>
    <w:rsid w:val="271C2CE9"/>
    <w:rsid w:val="27235746"/>
    <w:rsid w:val="273E49F4"/>
    <w:rsid w:val="274321B1"/>
    <w:rsid w:val="27450C2D"/>
    <w:rsid w:val="274525DC"/>
    <w:rsid w:val="274652E6"/>
    <w:rsid w:val="27480748"/>
    <w:rsid w:val="274E0335"/>
    <w:rsid w:val="275D1356"/>
    <w:rsid w:val="275D4A89"/>
    <w:rsid w:val="27625310"/>
    <w:rsid w:val="27641213"/>
    <w:rsid w:val="277A2EC6"/>
    <w:rsid w:val="27841ADD"/>
    <w:rsid w:val="278B7262"/>
    <w:rsid w:val="278E7D5F"/>
    <w:rsid w:val="279429E3"/>
    <w:rsid w:val="27966F4A"/>
    <w:rsid w:val="27A74D7A"/>
    <w:rsid w:val="27A91AD2"/>
    <w:rsid w:val="27AE6E2D"/>
    <w:rsid w:val="27AF57B8"/>
    <w:rsid w:val="27B25FFF"/>
    <w:rsid w:val="27BA12A7"/>
    <w:rsid w:val="27BA6BC4"/>
    <w:rsid w:val="27BC2EEA"/>
    <w:rsid w:val="27C93064"/>
    <w:rsid w:val="27C96B67"/>
    <w:rsid w:val="27CB38EC"/>
    <w:rsid w:val="27CB5FF9"/>
    <w:rsid w:val="27CC0A3D"/>
    <w:rsid w:val="27D34267"/>
    <w:rsid w:val="27D745E8"/>
    <w:rsid w:val="27E4169F"/>
    <w:rsid w:val="27E476BC"/>
    <w:rsid w:val="27E8628A"/>
    <w:rsid w:val="27EA3B97"/>
    <w:rsid w:val="27EF0430"/>
    <w:rsid w:val="27FA5F82"/>
    <w:rsid w:val="280410A7"/>
    <w:rsid w:val="281713C1"/>
    <w:rsid w:val="28202089"/>
    <w:rsid w:val="28210C3B"/>
    <w:rsid w:val="283E3927"/>
    <w:rsid w:val="28415FFB"/>
    <w:rsid w:val="28432F7C"/>
    <w:rsid w:val="285065F4"/>
    <w:rsid w:val="28557C44"/>
    <w:rsid w:val="28564AD0"/>
    <w:rsid w:val="285E1540"/>
    <w:rsid w:val="28634EA7"/>
    <w:rsid w:val="2868554F"/>
    <w:rsid w:val="286A70A6"/>
    <w:rsid w:val="286D715D"/>
    <w:rsid w:val="28710251"/>
    <w:rsid w:val="287270BD"/>
    <w:rsid w:val="287508F6"/>
    <w:rsid w:val="288C7056"/>
    <w:rsid w:val="288D4C3B"/>
    <w:rsid w:val="288F598A"/>
    <w:rsid w:val="289648B9"/>
    <w:rsid w:val="289910F7"/>
    <w:rsid w:val="28A14F66"/>
    <w:rsid w:val="28A4234C"/>
    <w:rsid w:val="28A63531"/>
    <w:rsid w:val="28A773FC"/>
    <w:rsid w:val="28CA5B35"/>
    <w:rsid w:val="28D02425"/>
    <w:rsid w:val="28D527CA"/>
    <w:rsid w:val="28DB1A3D"/>
    <w:rsid w:val="28F729CE"/>
    <w:rsid w:val="28F934CA"/>
    <w:rsid w:val="29056F59"/>
    <w:rsid w:val="2907017C"/>
    <w:rsid w:val="291218C3"/>
    <w:rsid w:val="2912731C"/>
    <w:rsid w:val="29157321"/>
    <w:rsid w:val="291F35AA"/>
    <w:rsid w:val="2925391D"/>
    <w:rsid w:val="292B0670"/>
    <w:rsid w:val="292E0A29"/>
    <w:rsid w:val="29325A72"/>
    <w:rsid w:val="2938341E"/>
    <w:rsid w:val="293A6E92"/>
    <w:rsid w:val="294C2EF7"/>
    <w:rsid w:val="29566904"/>
    <w:rsid w:val="29582224"/>
    <w:rsid w:val="29585835"/>
    <w:rsid w:val="29712D8F"/>
    <w:rsid w:val="29736267"/>
    <w:rsid w:val="297B31D3"/>
    <w:rsid w:val="298103BD"/>
    <w:rsid w:val="298D4850"/>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307EBE"/>
    <w:rsid w:val="2A3E413F"/>
    <w:rsid w:val="2A430F4D"/>
    <w:rsid w:val="2A534A67"/>
    <w:rsid w:val="2A5F67A3"/>
    <w:rsid w:val="2A6151C4"/>
    <w:rsid w:val="2A664C59"/>
    <w:rsid w:val="2A6B464E"/>
    <w:rsid w:val="2A944B48"/>
    <w:rsid w:val="2A9A0F2B"/>
    <w:rsid w:val="2AA07917"/>
    <w:rsid w:val="2AA1140C"/>
    <w:rsid w:val="2AA67F8B"/>
    <w:rsid w:val="2AAA31D9"/>
    <w:rsid w:val="2AAC289A"/>
    <w:rsid w:val="2AB138BA"/>
    <w:rsid w:val="2AC51079"/>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86BC6"/>
    <w:rsid w:val="2BA16669"/>
    <w:rsid w:val="2BAE20A5"/>
    <w:rsid w:val="2BAF2381"/>
    <w:rsid w:val="2BB1376A"/>
    <w:rsid w:val="2BBA7E05"/>
    <w:rsid w:val="2BBB17D5"/>
    <w:rsid w:val="2BC3413A"/>
    <w:rsid w:val="2BC45396"/>
    <w:rsid w:val="2BD540AD"/>
    <w:rsid w:val="2BDB033A"/>
    <w:rsid w:val="2BF336C9"/>
    <w:rsid w:val="2BF33ED5"/>
    <w:rsid w:val="2BFB7405"/>
    <w:rsid w:val="2C006833"/>
    <w:rsid w:val="2C034F7B"/>
    <w:rsid w:val="2C040D89"/>
    <w:rsid w:val="2C0509D9"/>
    <w:rsid w:val="2C05481D"/>
    <w:rsid w:val="2C056AF9"/>
    <w:rsid w:val="2C247FF1"/>
    <w:rsid w:val="2C3C0030"/>
    <w:rsid w:val="2C3F3887"/>
    <w:rsid w:val="2C5110E5"/>
    <w:rsid w:val="2C516E38"/>
    <w:rsid w:val="2C533A6A"/>
    <w:rsid w:val="2C560EA3"/>
    <w:rsid w:val="2C617496"/>
    <w:rsid w:val="2C62156F"/>
    <w:rsid w:val="2C6F41F6"/>
    <w:rsid w:val="2C730778"/>
    <w:rsid w:val="2C763DB2"/>
    <w:rsid w:val="2C7E030A"/>
    <w:rsid w:val="2C833FFB"/>
    <w:rsid w:val="2C8F430E"/>
    <w:rsid w:val="2C970335"/>
    <w:rsid w:val="2CA21894"/>
    <w:rsid w:val="2CA4476E"/>
    <w:rsid w:val="2CAD4F6B"/>
    <w:rsid w:val="2CB17FD2"/>
    <w:rsid w:val="2CC95D10"/>
    <w:rsid w:val="2CCB5A72"/>
    <w:rsid w:val="2CD57684"/>
    <w:rsid w:val="2CD67A0B"/>
    <w:rsid w:val="2CD75666"/>
    <w:rsid w:val="2CDC6591"/>
    <w:rsid w:val="2CDE08F2"/>
    <w:rsid w:val="2CE03AB0"/>
    <w:rsid w:val="2CEF53E3"/>
    <w:rsid w:val="2CF53A56"/>
    <w:rsid w:val="2CF649A9"/>
    <w:rsid w:val="2CFC27E4"/>
    <w:rsid w:val="2D0B702A"/>
    <w:rsid w:val="2D107EBA"/>
    <w:rsid w:val="2D1F4BCA"/>
    <w:rsid w:val="2D221AAA"/>
    <w:rsid w:val="2D504333"/>
    <w:rsid w:val="2D521264"/>
    <w:rsid w:val="2D567058"/>
    <w:rsid w:val="2D57290A"/>
    <w:rsid w:val="2D5D7FE8"/>
    <w:rsid w:val="2D5E7E01"/>
    <w:rsid w:val="2D6030A2"/>
    <w:rsid w:val="2D660EF9"/>
    <w:rsid w:val="2D6C2B47"/>
    <w:rsid w:val="2D820204"/>
    <w:rsid w:val="2D88024C"/>
    <w:rsid w:val="2D8B25E9"/>
    <w:rsid w:val="2D935488"/>
    <w:rsid w:val="2D960FB5"/>
    <w:rsid w:val="2D9B4423"/>
    <w:rsid w:val="2DAC2EF4"/>
    <w:rsid w:val="2DAD4BCD"/>
    <w:rsid w:val="2DB453FF"/>
    <w:rsid w:val="2DBE4237"/>
    <w:rsid w:val="2DCB10F0"/>
    <w:rsid w:val="2DCB38A1"/>
    <w:rsid w:val="2DD066E9"/>
    <w:rsid w:val="2DDC0ED4"/>
    <w:rsid w:val="2DF036FB"/>
    <w:rsid w:val="2DF21CB3"/>
    <w:rsid w:val="2DFD78B4"/>
    <w:rsid w:val="2DFE083B"/>
    <w:rsid w:val="2E0708FF"/>
    <w:rsid w:val="2E11457C"/>
    <w:rsid w:val="2E1643B9"/>
    <w:rsid w:val="2E184C0F"/>
    <w:rsid w:val="2E1F18AD"/>
    <w:rsid w:val="2E28757C"/>
    <w:rsid w:val="2E2C723F"/>
    <w:rsid w:val="2E332EEF"/>
    <w:rsid w:val="2E3F6B8A"/>
    <w:rsid w:val="2E406C31"/>
    <w:rsid w:val="2E467FE7"/>
    <w:rsid w:val="2E527715"/>
    <w:rsid w:val="2E530660"/>
    <w:rsid w:val="2E531152"/>
    <w:rsid w:val="2E565287"/>
    <w:rsid w:val="2E5F1E47"/>
    <w:rsid w:val="2E682652"/>
    <w:rsid w:val="2E6B6D27"/>
    <w:rsid w:val="2E7A506F"/>
    <w:rsid w:val="2E7B273D"/>
    <w:rsid w:val="2E7D30EA"/>
    <w:rsid w:val="2E8028E0"/>
    <w:rsid w:val="2E88139A"/>
    <w:rsid w:val="2E8B051E"/>
    <w:rsid w:val="2E8F062E"/>
    <w:rsid w:val="2E905D65"/>
    <w:rsid w:val="2E9D560F"/>
    <w:rsid w:val="2E9F7EC1"/>
    <w:rsid w:val="2EB17C70"/>
    <w:rsid w:val="2EB411B5"/>
    <w:rsid w:val="2EBD49E1"/>
    <w:rsid w:val="2EBF0ED1"/>
    <w:rsid w:val="2EC7495E"/>
    <w:rsid w:val="2EC776BB"/>
    <w:rsid w:val="2ECA39AD"/>
    <w:rsid w:val="2ECC0C07"/>
    <w:rsid w:val="2ED03009"/>
    <w:rsid w:val="2EF224CD"/>
    <w:rsid w:val="2EF67D61"/>
    <w:rsid w:val="2EFA2F2B"/>
    <w:rsid w:val="2F2E23A6"/>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897AA1"/>
    <w:rsid w:val="2F8D4D67"/>
    <w:rsid w:val="2F9051B8"/>
    <w:rsid w:val="2F910893"/>
    <w:rsid w:val="2F932CC0"/>
    <w:rsid w:val="2F9A69D2"/>
    <w:rsid w:val="2F9C6646"/>
    <w:rsid w:val="2F9D4AA3"/>
    <w:rsid w:val="2F9F094E"/>
    <w:rsid w:val="2FB11323"/>
    <w:rsid w:val="2FB15C83"/>
    <w:rsid w:val="2FBB6A2A"/>
    <w:rsid w:val="2FCB0952"/>
    <w:rsid w:val="2FD53529"/>
    <w:rsid w:val="2FD80709"/>
    <w:rsid w:val="2FDF2368"/>
    <w:rsid w:val="2FDF7CD4"/>
    <w:rsid w:val="2FEC08C6"/>
    <w:rsid w:val="2FF532B7"/>
    <w:rsid w:val="2FF674CB"/>
    <w:rsid w:val="2FF7251F"/>
    <w:rsid w:val="2FFC1437"/>
    <w:rsid w:val="30007788"/>
    <w:rsid w:val="301977C7"/>
    <w:rsid w:val="30205153"/>
    <w:rsid w:val="30253FAB"/>
    <w:rsid w:val="30270D6F"/>
    <w:rsid w:val="303B3B59"/>
    <w:rsid w:val="303C0C41"/>
    <w:rsid w:val="303D6437"/>
    <w:rsid w:val="30443F81"/>
    <w:rsid w:val="30515D85"/>
    <w:rsid w:val="305831D6"/>
    <w:rsid w:val="305A4537"/>
    <w:rsid w:val="30632880"/>
    <w:rsid w:val="3070014A"/>
    <w:rsid w:val="307B4FFA"/>
    <w:rsid w:val="308136E0"/>
    <w:rsid w:val="3095375A"/>
    <w:rsid w:val="30A90B96"/>
    <w:rsid w:val="30A91070"/>
    <w:rsid w:val="30B86332"/>
    <w:rsid w:val="30C91D87"/>
    <w:rsid w:val="30D10B78"/>
    <w:rsid w:val="30D251E3"/>
    <w:rsid w:val="30D36EB7"/>
    <w:rsid w:val="30D45137"/>
    <w:rsid w:val="30D51A41"/>
    <w:rsid w:val="30E7233C"/>
    <w:rsid w:val="31076B28"/>
    <w:rsid w:val="31076EFA"/>
    <w:rsid w:val="310866BC"/>
    <w:rsid w:val="310E5012"/>
    <w:rsid w:val="31154DED"/>
    <w:rsid w:val="31215B33"/>
    <w:rsid w:val="312A36B1"/>
    <w:rsid w:val="313A2CAC"/>
    <w:rsid w:val="313E6356"/>
    <w:rsid w:val="31460C29"/>
    <w:rsid w:val="314B3239"/>
    <w:rsid w:val="315B5E62"/>
    <w:rsid w:val="3163108E"/>
    <w:rsid w:val="3167538F"/>
    <w:rsid w:val="317544CD"/>
    <w:rsid w:val="31765162"/>
    <w:rsid w:val="317A487D"/>
    <w:rsid w:val="31833BCE"/>
    <w:rsid w:val="318A1515"/>
    <w:rsid w:val="31944F6F"/>
    <w:rsid w:val="31963456"/>
    <w:rsid w:val="31A84B64"/>
    <w:rsid w:val="31B12D3C"/>
    <w:rsid w:val="31B2653B"/>
    <w:rsid w:val="31B266EC"/>
    <w:rsid w:val="31B45163"/>
    <w:rsid w:val="31B81D35"/>
    <w:rsid w:val="31C3729F"/>
    <w:rsid w:val="31CB617D"/>
    <w:rsid w:val="31CC0ECB"/>
    <w:rsid w:val="31DF1DB8"/>
    <w:rsid w:val="31F020DC"/>
    <w:rsid w:val="31F072F8"/>
    <w:rsid w:val="32061C7F"/>
    <w:rsid w:val="320A52D8"/>
    <w:rsid w:val="320D2005"/>
    <w:rsid w:val="32136025"/>
    <w:rsid w:val="32220D79"/>
    <w:rsid w:val="32252577"/>
    <w:rsid w:val="32294648"/>
    <w:rsid w:val="322F0831"/>
    <w:rsid w:val="323F5519"/>
    <w:rsid w:val="32471CC6"/>
    <w:rsid w:val="324F0134"/>
    <w:rsid w:val="32540593"/>
    <w:rsid w:val="32582CC3"/>
    <w:rsid w:val="327179A4"/>
    <w:rsid w:val="32775626"/>
    <w:rsid w:val="32835AB1"/>
    <w:rsid w:val="328A3A5F"/>
    <w:rsid w:val="328D7371"/>
    <w:rsid w:val="328E2231"/>
    <w:rsid w:val="329326B7"/>
    <w:rsid w:val="329426A2"/>
    <w:rsid w:val="329708DE"/>
    <w:rsid w:val="32AD1211"/>
    <w:rsid w:val="32E12F9A"/>
    <w:rsid w:val="32E87F66"/>
    <w:rsid w:val="32EC46FB"/>
    <w:rsid w:val="32FF12B8"/>
    <w:rsid w:val="330073AA"/>
    <w:rsid w:val="33020BF1"/>
    <w:rsid w:val="330710D7"/>
    <w:rsid w:val="33187864"/>
    <w:rsid w:val="33224534"/>
    <w:rsid w:val="332742E9"/>
    <w:rsid w:val="332A1AC1"/>
    <w:rsid w:val="332C71E1"/>
    <w:rsid w:val="332E1BC2"/>
    <w:rsid w:val="332F3B66"/>
    <w:rsid w:val="333B116B"/>
    <w:rsid w:val="33427ABB"/>
    <w:rsid w:val="33616D4E"/>
    <w:rsid w:val="33821BAB"/>
    <w:rsid w:val="338369DD"/>
    <w:rsid w:val="338378EA"/>
    <w:rsid w:val="33885755"/>
    <w:rsid w:val="339E18BC"/>
    <w:rsid w:val="33A57822"/>
    <w:rsid w:val="33A77C3C"/>
    <w:rsid w:val="33AA7345"/>
    <w:rsid w:val="33B37087"/>
    <w:rsid w:val="33BC4D91"/>
    <w:rsid w:val="33BF4D9D"/>
    <w:rsid w:val="33C233CD"/>
    <w:rsid w:val="33C504FF"/>
    <w:rsid w:val="33C968FA"/>
    <w:rsid w:val="33D23DF5"/>
    <w:rsid w:val="33D246C3"/>
    <w:rsid w:val="33DF11C8"/>
    <w:rsid w:val="33E442C9"/>
    <w:rsid w:val="33E61B12"/>
    <w:rsid w:val="33EF44FC"/>
    <w:rsid w:val="33FE7E15"/>
    <w:rsid w:val="33FF1154"/>
    <w:rsid w:val="340074AF"/>
    <w:rsid w:val="340948E1"/>
    <w:rsid w:val="340D3904"/>
    <w:rsid w:val="341212B1"/>
    <w:rsid w:val="341321BE"/>
    <w:rsid w:val="34155C01"/>
    <w:rsid w:val="34293255"/>
    <w:rsid w:val="342E2006"/>
    <w:rsid w:val="34314E1D"/>
    <w:rsid w:val="34374868"/>
    <w:rsid w:val="343D2D4C"/>
    <w:rsid w:val="34417702"/>
    <w:rsid w:val="34417EB0"/>
    <w:rsid w:val="3446518F"/>
    <w:rsid w:val="344A296C"/>
    <w:rsid w:val="344C25CD"/>
    <w:rsid w:val="344E045C"/>
    <w:rsid w:val="344F610D"/>
    <w:rsid w:val="345A0779"/>
    <w:rsid w:val="345B15DB"/>
    <w:rsid w:val="346B1ADA"/>
    <w:rsid w:val="346C36DB"/>
    <w:rsid w:val="346C4A94"/>
    <w:rsid w:val="346E7A5A"/>
    <w:rsid w:val="3477244E"/>
    <w:rsid w:val="34782617"/>
    <w:rsid w:val="347946FA"/>
    <w:rsid w:val="347A6171"/>
    <w:rsid w:val="348440EB"/>
    <w:rsid w:val="348D33D3"/>
    <w:rsid w:val="3496737A"/>
    <w:rsid w:val="34AC0653"/>
    <w:rsid w:val="34AC2DE9"/>
    <w:rsid w:val="34B84D9B"/>
    <w:rsid w:val="34BE7103"/>
    <w:rsid w:val="34CB642A"/>
    <w:rsid w:val="34CE3369"/>
    <w:rsid w:val="34DC1C67"/>
    <w:rsid w:val="34E47162"/>
    <w:rsid w:val="34F64CDD"/>
    <w:rsid w:val="34FF095B"/>
    <w:rsid w:val="3500311A"/>
    <w:rsid w:val="350B76BF"/>
    <w:rsid w:val="350C5C16"/>
    <w:rsid w:val="351710F0"/>
    <w:rsid w:val="352E435E"/>
    <w:rsid w:val="3534069E"/>
    <w:rsid w:val="353807E2"/>
    <w:rsid w:val="353D45FA"/>
    <w:rsid w:val="353F0E06"/>
    <w:rsid w:val="35422CF2"/>
    <w:rsid w:val="35505013"/>
    <w:rsid w:val="356D51F7"/>
    <w:rsid w:val="357D79D3"/>
    <w:rsid w:val="35804F9D"/>
    <w:rsid w:val="35843B49"/>
    <w:rsid w:val="35884385"/>
    <w:rsid w:val="35890016"/>
    <w:rsid w:val="358B0F26"/>
    <w:rsid w:val="35924A15"/>
    <w:rsid w:val="359753B1"/>
    <w:rsid w:val="35A25468"/>
    <w:rsid w:val="35AB271B"/>
    <w:rsid w:val="35AC56FE"/>
    <w:rsid w:val="35C3354B"/>
    <w:rsid w:val="35E1012B"/>
    <w:rsid w:val="35E1505C"/>
    <w:rsid w:val="35E328B8"/>
    <w:rsid w:val="35E3701E"/>
    <w:rsid w:val="35E420DE"/>
    <w:rsid w:val="35E607CD"/>
    <w:rsid w:val="35EC6F4A"/>
    <w:rsid w:val="35EE6A38"/>
    <w:rsid w:val="35F5734F"/>
    <w:rsid w:val="35F65884"/>
    <w:rsid w:val="35F715DC"/>
    <w:rsid w:val="36057267"/>
    <w:rsid w:val="362131A7"/>
    <w:rsid w:val="362E1546"/>
    <w:rsid w:val="36330CA5"/>
    <w:rsid w:val="364236D7"/>
    <w:rsid w:val="3654563C"/>
    <w:rsid w:val="365763B3"/>
    <w:rsid w:val="367C0A7E"/>
    <w:rsid w:val="36856B5A"/>
    <w:rsid w:val="36883C27"/>
    <w:rsid w:val="36950061"/>
    <w:rsid w:val="36A32443"/>
    <w:rsid w:val="36A61ADA"/>
    <w:rsid w:val="36AC504E"/>
    <w:rsid w:val="36B45F51"/>
    <w:rsid w:val="36B7013F"/>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737FCD"/>
    <w:rsid w:val="37794F81"/>
    <w:rsid w:val="37831AFE"/>
    <w:rsid w:val="37855CA5"/>
    <w:rsid w:val="379747E4"/>
    <w:rsid w:val="37A10A3C"/>
    <w:rsid w:val="37A32862"/>
    <w:rsid w:val="37A771F1"/>
    <w:rsid w:val="37AA1FED"/>
    <w:rsid w:val="37B033F0"/>
    <w:rsid w:val="37B25951"/>
    <w:rsid w:val="37B82D37"/>
    <w:rsid w:val="37BF7DD8"/>
    <w:rsid w:val="37CF39F4"/>
    <w:rsid w:val="38093CF4"/>
    <w:rsid w:val="380B1C26"/>
    <w:rsid w:val="38132FDB"/>
    <w:rsid w:val="381523AC"/>
    <w:rsid w:val="3816611D"/>
    <w:rsid w:val="381D6FCC"/>
    <w:rsid w:val="382563C3"/>
    <w:rsid w:val="382B10C6"/>
    <w:rsid w:val="384502C9"/>
    <w:rsid w:val="384757BF"/>
    <w:rsid w:val="384D7A6B"/>
    <w:rsid w:val="38527F5E"/>
    <w:rsid w:val="38576EB1"/>
    <w:rsid w:val="385B78DA"/>
    <w:rsid w:val="386F64C6"/>
    <w:rsid w:val="38755246"/>
    <w:rsid w:val="38850F2D"/>
    <w:rsid w:val="3891497A"/>
    <w:rsid w:val="38934709"/>
    <w:rsid w:val="3899545E"/>
    <w:rsid w:val="389B63CB"/>
    <w:rsid w:val="389D36E7"/>
    <w:rsid w:val="38AD0AAC"/>
    <w:rsid w:val="38AF121A"/>
    <w:rsid w:val="38B10DA8"/>
    <w:rsid w:val="38B976FB"/>
    <w:rsid w:val="38BB5EDA"/>
    <w:rsid w:val="38C6779A"/>
    <w:rsid w:val="38DC2A26"/>
    <w:rsid w:val="38DC5040"/>
    <w:rsid w:val="38EA0958"/>
    <w:rsid w:val="38EA292A"/>
    <w:rsid w:val="38EB3140"/>
    <w:rsid w:val="38FC7F68"/>
    <w:rsid w:val="390150BD"/>
    <w:rsid w:val="39015BC8"/>
    <w:rsid w:val="39132EBE"/>
    <w:rsid w:val="3923223F"/>
    <w:rsid w:val="393F3649"/>
    <w:rsid w:val="39434B25"/>
    <w:rsid w:val="39442CC4"/>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C23C2"/>
    <w:rsid w:val="399E7C65"/>
    <w:rsid w:val="39A118CD"/>
    <w:rsid w:val="39A337DD"/>
    <w:rsid w:val="39B1002C"/>
    <w:rsid w:val="39B75345"/>
    <w:rsid w:val="39BA1CF7"/>
    <w:rsid w:val="39BA2065"/>
    <w:rsid w:val="39C83126"/>
    <w:rsid w:val="39D037AF"/>
    <w:rsid w:val="39D466BD"/>
    <w:rsid w:val="39D7158B"/>
    <w:rsid w:val="39DC1B39"/>
    <w:rsid w:val="39E03897"/>
    <w:rsid w:val="39E125BA"/>
    <w:rsid w:val="39F17FFD"/>
    <w:rsid w:val="3A03384A"/>
    <w:rsid w:val="3A066160"/>
    <w:rsid w:val="3A0D48B1"/>
    <w:rsid w:val="3A1810FA"/>
    <w:rsid w:val="3A2441B7"/>
    <w:rsid w:val="3A274488"/>
    <w:rsid w:val="3A336331"/>
    <w:rsid w:val="3A431472"/>
    <w:rsid w:val="3A474B1C"/>
    <w:rsid w:val="3A5207B4"/>
    <w:rsid w:val="3A541BF5"/>
    <w:rsid w:val="3A553D9F"/>
    <w:rsid w:val="3A5A285A"/>
    <w:rsid w:val="3A5E32B9"/>
    <w:rsid w:val="3A697F71"/>
    <w:rsid w:val="3A6A4AC7"/>
    <w:rsid w:val="3A6E26C3"/>
    <w:rsid w:val="3A6F0BDF"/>
    <w:rsid w:val="3A72622B"/>
    <w:rsid w:val="3A75769F"/>
    <w:rsid w:val="3A887C39"/>
    <w:rsid w:val="3A897BA1"/>
    <w:rsid w:val="3A9038DA"/>
    <w:rsid w:val="3A936647"/>
    <w:rsid w:val="3A9E4B32"/>
    <w:rsid w:val="3A9F1B2C"/>
    <w:rsid w:val="3AA04C49"/>
    <w:rsid w:val="3AA54470"/>
    <w:rsid w:val="3AA913CF"/>
    <w:rsid w:val="3AC036CC"/>
    <w:rsid w:val="3AC205A6"/>
    <w:rsid w:val="3AC257A4"/>
    <w:rsid w:val="3AC334CD"/>
    <w:rsid w:val="3AD16134"/>
    <w:rsid w:val="3AD17EBD"/>
    <w:rsid w:val="3AEA3CFC"/>
    <w:rsid w:val="3AF044A5"/>
    <w:rsid w:val="3AFC4CC9"/>
    <w:rsid w:val="3B00301D"/>
    <w:rsid w:val="3B1752EE"/>
    <w:rsid w:val="3B1C35AC"/>
    <w:rsid w:val="3B22468C"/>
    <w:rsid w:val="3B3155AA"/>
    <w:rsid w:val="3B3E0B10"/>
    <w:rsid w:val="3B4F1508"/>
    <w:rsid w:val="3B580D61"/>
    <w:rsid w:val="3B696BF9"/>
    <w:rsid w:val="3B6F0DCA"/>
    <w:rsid w:val="3B7B2B0A"/>
    <w:rsid w:val="3B7C7B97"/>
    <w:rsid w:val="3B8372AE"/>
    <w:rsid w:val="3B914065"/>
    <w:rsid w:val="3B9F483C"/>
    <w:rsid w:val="3BB249F7"/>
    <w:rsid w:val="3BBE3122"/>
    <w:rsid w:val="3BC20515"/>
    <w:rsid w:val="3BC53C74"/>
    <w:rsid w:val="3BC62C0D"/>
    <w:rsid w:val="3BC772AB"/>
    <w:rsid w:val="3BC812C8"/>
    <w:rsid w:val="3BD741DE"/>
    <w:rsid w:val="3BE7491F"/>
    <w:rsid w:val="3BE82033"/>
    <w:rsid w:val="3BEF3F98"/>
    <w:rsid w:val="3BF01125"/>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A3669"/>
    <w:rsid w:val="3C882BD0"/>
    <w:rsid w:val="3C94545E"/>
    <w:rsid w:val="3CAE0651"/>
    <w:rsid w:val="3CBC2D9B"/>
    <w:rsid w:val="3CC5588D"/>
    <w:rsid w:val="3CCD1D16"/>
    <w:rsid w:val="3CD85D57"/>
    <w:rsid w:val="3CD87AA0"/>
    <w:rsid w:val="3CDA5112"/>
    <w:rsid w:val="3CDB62C1"/>
    <w:rsid w:val="3CE13BDF"/>
    <w:rsid w:val="3CE26359"/>
    <w:rsid w:val="3CE70364"/>
    <w:rsid w:val="3CFD4D35"/>
    <w:rsid w:val="3D064D69"/>
    <w:rsid w:val="3D0E399D"/>
    <w:rsid w:val="3D123F8D"/>
    <w:rsid w:val="3D12721E"/>
    <w:rsid w:val="3D1B45BC"/>
    <w:rsid w:val="3D27093B"/>
    <w:rsid w:val="3D351ADA"/>
    <w:rsid w:val="3D3D6CB6"/>
    <w:rsid w:val="3D444248"/>
    <w:rsid w:val="3D4B2FA5"/>
    <w:rsid w:val="3D527DA5"/>
    <w:rsid w:val="3D540111"/>
    <w:rsid w:val="3D546058"/>
    <w:rsid w:val="3D5461A9"/>
    <w:rsid w:val="3D58650A"/>
    <w:rsid w:val="3D590765"/>
    <w:rsid w:val="3D5A6060"/>
    <w:rsid w:val="3D640E16"/>
    <w:rsid w:val="3D67132F"/>
    <w:rsid w:val="3D73019F"/>
    <w:rsid w:val="3D7B0D27"/>
    <w:rsid w:val="3D7E27A0"/>
    <w:rsid w:val="3D874F51"/>
    <w:rsid w:val="3D896CEB"/>
    <w:rsid w:val="3D9A2D6C"/>
    <w:rsid w:val="3D9D0681"/>
    <w:rsid w:val="3DAF1596"/>
    <w:rsid w:val="3DB52668"/>
    <w:rsid w:val="3DCD2BF9"/>
    <w:rsid w:val="3DD3077A"/>
    <w:rsid w:val="3DDF7A0D"/>
    <w:rsid w:val="3DFD4BBE"/>
    <w:rsid w:val="3E00097B"/>
    <w:rsid w:val="3E011326"/>
    <w:rsid w:val="3E024B7B"/>
    <w:rsid w:val="3E0E5BD4"/>
    <w:rsid w:val="3E104548"/>
    <w:rsid w:val="3E19435F"/>
    <w:rsid w:val="3E20393D"/>
    <w:rsid w:val="3E264903"/>
    <w:rsid w:val="3E2806A1"/>
    <w:rsid w:val="3E2E35CB"/>
    <w:rsid w:val="3E31025E"/>
    <w:rsid w:val="3E342DA3"/>
    <w:rsid w:val="3E4755F9"/>
    <w:rsid w:val="3E492A39"/>
    <w:rsid w:val="3E556354"/>
    <w:rsid w:val="3E6336EF"/>
    <w:rsid w:val="3E660D1B"/>
    <w:rsid w:val="3E6E2E9E"/>
    <w:rsid w:val="3E8222F7"/>
    <w:rsid w:val="3E8258B1"/>
    <w:rsid w:val="3E8821CE"/>
    <w:rsid w:val="3E92738B"/>
    <w:rsid w:val="3E99456A"/>
    <w:rsid w:val="3EAD3D57"/>
    <w:rsid w:val="3EAF02B7"/>
    <w:rsid w:val="3EB1188E"/>
    <w:rsid w:val="3EBD63D7"/>
    <w:rsid w:val="3EC07733"/>
    <w:rsid w:val="3EC334A7"/>
    <w:rsid w:val="3EC678BC"/>
    <w:rsid w:val="3EE067CA"/>
    <w:rsid w:val="3EEF26AB"/>
    <w:rsid w:val="3EF21C38"/>
    <w:rsid w:val="3EF340F1"/>
    <w:rsid w:val="3EF57D05"/>
    <w:rsid w:val="3EF96B38"/>
    <w:rsid w:val="3F002CCF"/>
    <w:rsid w:val="3F0566FF"/>
    <w:rsid w:val="3F0605BE"/>
    <w:rsid w:val="3F06365D"/>
    <w:rsid w:val="3F0A3CA5"/>
    <w:rsid w:val="3F0B1DB8"/>
    <w:rsid w:val="3F0E6EA3"/>
    <w:rsid w:val="3F122278"/>
    <w:rsid w:val="3F155D82"/>
    <w:rsid w:val="3F261DEC"/>
    <w:rsid w:val="3F47737F"/>
    <w:rsid w:val="3F523976"/>
    <w:rsid w:val="3F52626A"/>
    <w:rsid w:val="3F5322DF"/>
    <w:rsid w:val="3F556A35"/>
    <w:rsid w:val="3F5867B3"/>
    <w:rsid w:val="3F5A301C"/>
    <w:rsid w:val="3F637202"/>
    <w:rsid w:val="3F664F14"/>
    <w:rsid w:val="3F6D1D36"/>
    <w:rsid w:val="3F6D2017"/>
    <w:rsid w:val="3F7339EB"/>
    <w:rsid w:val="3F7D65D1"/>
    <w:rsid w:val="3F836296"/>
    <w:rsid w:val="3F9526FD"/>
    <w:rsid w:val="3FA10F73"/>
    <w:rsid w:val="3FA51002"/>
    <w:rsid w:val="3FB1448E"/>
    <w:rsid w:val="3FB33F0F"/>
    <w:rsid w:val="3FB56B87"/>
    <w:rsid w:val="3FB827B0"/>
    <w:rsid w:val="3FB9798A"/>
    <w:rsid w:val="3FBC4DF5"/>
    <w:rsid w:val="3FBE226E"/>
    <w:rsid w:val="3FC74EA5"/>
    <w:rsid w:val="3FC80A13"/>
    <w:rsid w:val="3FC924C5"/>
    <w:rsid w:val="3FD001E0"/>
    <w:rsid w:val="3FDD5AA3"/>
    <w:rsid w:val="3FDD60EB"/>
    <w:rsid w:val="3FE1611D"/>
    <w:rsid w:val="3FEB7EF7"/>
    <w:rsid w:val="3FF0534A"/>
    <w:rsid w:val="3FFC6AA1"/>
    <w:rsid w:val="3FFE725C"/>
    <w:rsid w:val="40031194"/>
    <w:rsid w:val="400C00BD"/>
    <w:rsid w:val="400D4689"/>
    <w:rsid w:val="40171E63"/>
    <w:rsid w:val="401C023A"/>
    <w:rsid w:val="401E624D"/>
    <w:rsid w:val="40235049"/>
    <w:rsid w:val="4040700B"/>
    <w:rsid w:val="40505926"/>
    <w:rsid w:val="405074F9"/>
    <w:rsid w:val="40592E1A"/>
    <w:rsid w:val="406149DB"/>
    <w:rsid w:val="40742B10"/>
    <w:rsid w:val="40851F94"/>
    <w:rsid w:val="40860806"/>
    <w:rsid w:val="408727EE"/>
    <w:rsid w:val="40881B05"/>
    <w:rsid w:val="408B015C"/>
    <w:rsid w:val="408D2092"/>
    <w:rsid w:val="40987E91"/>
    <w:rsid w:val="40AE535D"/>
    <w:rsid w:val="40B323C5"/>
    <w:rsid w:val="40BB1B3B"/>
    <w:rsid w:val="40C87F0D"/>
    <w:rsid w:val="40E13187"/>
    <w:rsid w:val="40E4111E"/>
    <w:rsid w:val="40F71EFC"/>
    <w:rsid w:val="40F74654"/>
    <w:rsid w:val="40FA7D3C"/>
    <w:rsid w:val="40FC6040"/>
    <w:rsid w:val="41013098"/>
    <w:rsid w:val="410A66D3"/>
    <w:rsid w:val="41216561"/>
    <w:rsid w:val="4126157E"/>
    <w:rsid w:val="412E1703"/>
    <w:rsid w:val="41341D04"/>
    <w:rsid w:val="41396137"/>
    <w:rsid w:val="41463814"/>
    <w:rsid w:val="414E4666"/>
    <w:rsid w:val="415840E7"/>
    <w:rsid w:val="415C6645"/>
    <w:rsid w:val="415D4AA5"/>
    <w:rsid w:val="415E3F30"/>
    <w:rsid w:val="41634269"/>
    <w:rsid w:val="41661A50"/>
    <w:rsid w:val="416F185F"/>
    <w:rsid w:val="41755F8B"/>
    <w:rsid w:val="417E6FB2"/>
    <w:rsid w:val="41804E56"/>
    <w:rsid w:val="418B61F9"/>
    <w:rsid w:val="418C5064"/>
    <w:rsid w:val="41901D5A"/>
    <w:rsid w:val="41AE168E"/>
    <w:rsid w:val="41B000EA"/>
    <w:rsid w:val="41B625DB"/>
    <w:rsid w:val="41BB28C5"/>
    <w:rsid w:val="41D7643D"/>
    <w:rsid w:val="41D80DF6"/>
    <w:rsid w:val="41F41099"/>
    <w:rsid w:val="41F4144D"/>
    <w:rsid w:val="41F425A0"/>
    <w:rsid w:val="41FD1E4D"/>
    <w:rsid w:val="42004A07"/>
    <w:rsid w:val="42036CED"/>
    <w:rsid w:val="420445BE"/>
    <w:rsid w:val="42044B55"/>
    <w:rsid w:val="42106699"/>
    <w:rsid w:val="421D3532"/>
    <w:rsid w:val="422747DE"/>
    <w:rsid w:val="423B1E1A"/>
    <w:rsid w:val="423D7E2C"/>
    <w:rsid w:val="4253494B"/>
    <w:rsid w:val="42563DD4"/>
    <w:rsid w:val="425F0874"/>
    <w:rsid w:val="42605991"/>
    <w:rsid w:val="42624CEC"/>
    <w:rsid w:val="426B2083"/>
    <w:rsid w:val="42745271"/>
    <w:rsid w:val="42746AFF"/>
    <w:rsid w:val="427A2426"/>
    <w:rsid w:val="42840AF8"/>
    <w:rsid w:val="428622E0"/>
    <w:rsid w:val="42A72E3E"/>
    <w:rsid w:val="42A9771E"/>
    <w:rsid w:val="42AF06BF"/>
    <w:rsid w:val="42AF744D"/>
    <w:rsid w:val="42B97DE2"/>
    <w:rsid w:val="42BE1411"/>
    <w:rsid w:val="42BF0482"/>
    <w:rsid w:val="42C3638C"/>
    <w:rsid w:val="42CC1C77"/>
    <w:rsid w:val="42CE7CBC"/>
    <w:rsid w:val="42D92C34"/>
    <w:rsid w:val="42E67A2D"/>
    <w:rsid w:val="42EF6EDD"/>
    <w:rsid w:val="42F63370"/>
    <w:rsid w:val="4303189E"/>
    <w:rsid w:val="43043B4B"/>
    <w:rsid w:val="430C0701"/>
    <w:rsid w:val="431D662D"/>
    <w:rsid w:val="431D7413"/>
    <w:rsid w:val="43230977"/>
    <w:rsid w:val="43260906"/>
    <w:rsid w:val="4329778C"/>
    <w:rsid w:val="433451E7"/>
    <w:rsid w:val="433454E3"/>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E228C"/>
    <w:rsid w:val="43B03D9F"/>
    <w:rsid w:val="43B2322B"/>
    <w:rsid w:val="43B27B0F"/>
    <w:rsid w:val="43BD17B6"/>
    <w:rsid w:val="43BF433F"/>
    <w:rsid w:val="43C60D41"/>
    <w:rsid w:val="43C71A8C"/>
    <w:rsid w:val="43CB49D5"/>
    <w:rsid w:val="43CC296D"/>
    <w:rsid w:val="43D51B86"/>
    <w:rsid w:val="43D5596E"/>
    <w:rsid w:val="43D946DF"/>
    <w:rsid w:val="43E63A35"/>
    <w:rsid w:val="43EA4AD8"/>
    <w:rsid w:val="43EA731F"/>
    <w:rsid w:val="43EF4362"/>
    <w:rsid w:val="43F5608C"/>
    <w:rsid w:val="43FA20D7"/>
    <w:rsid w:val="440A1D09"/>
    <w:rsid w:val="44105FE6"/>
    <w:rsid w:val="44163757"/>
    <w:rsid w:val="442E6250"/>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B2020"/>
    <w:rsid w:val="450E225C"/>
    <w:rsid w:val="450E5F3E"/>
    <w:rsid w:val="451C3C3F"/>
    <w:rsid w:val="45282E33"/>
    <w:rsid w:val="45361C96"/>
    <w:rsid w:val="45367180"/>
    <w:rsid w:val="453936A0"/>
    <w:rsid w:val="4555071F"/>
    <w:rsid w:val="45634F36"/>
    <w:rsid w:val="456433C3"/>
    <w:rsid w:val="4566286A"/>
    <w:rsid w:val="456653F0"/>
    <w:rsid w:val="456745BB"/>
    <w:rsid w:val="45677DA7"/>
    <w:rsid w:val="45743F66"/>
    <w:rsid w:val="45761FD8"/>
    <w:rsid w:val="457B0C49"/>
    <w:rsid w:val="45864B77"/>
    <w:rsid w:val="458D3A63"/>
    <w:rsid w:val="4597177B"/>
    <w:rsid w:val="45A85821"/>
    <w:rsid w:val="45AA0EA4"/>
    <w:rsid w:val="45AC57A6"/>
    <w:rsid w:val="45AF03CF"/>
    <w:rsid w:val="45B23BD8"/>
    <w:rsid w:val="45B52BBB"/>
    <w:rsid w:val="45BB3E97"/>
    <w:rsid w:val="45C3178B"/>
    <w:rsid w:val="45C81474"/>
    <w:rsid w:val="45C85D55"/>
    <w:rsid w:val="45C91BC6"/>
    <w:rsid w:val="45CD1312"/>
    <w:rsid w:val="45CE3F02"/>
    <w:rsid w:val="45DE2684"/>
    <w:rsid w:val="45E349A9"/>
    <w:rsid w:val="45F22D7B"/>
    <w:rsid w:val="45F25B71"/>
    <w:rsid w:val="45F6092A"/>
    <w:rsid w:val="46122C2B"/>
    <w:rsid w:val="46202725"/>
    <w:rsid w:val="4622618B"/>
    <w:rsid w:val="4624768B"/>
    <w:rsid w:val="46283409"/>
    <w:rsid w:val="462E1DEC"/>
    <w:rsid w:val="462F257F"/>
    <w:rsid w:val="46316796"/>
    <w:rsid w:val="46436765"/>
    <w:rsid w:val="464C5980"/>
    <w:rsid w:val="464C598F"/>
    <w:rsid w:val="464E585E"/>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47B00"/>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91018"/>
    <w:rsid w:val="472E14A0"/>
    <w:rsid w:val="47304A60"/>
    <w:rsid w:val="47321070"/>
    <w:rsid w:val="47383706"/>
    <w:rsid w:val="473F3443"/>
    <w:rsid w:val="47442FEA"/>
    <w:rsid w:val="47476898"/>
    <w:rsid w:val="474825BA"/>
    <w:rsid w:val="47524966"/>
    <w:rsid w:val="4764753D"/>
    <w:rsid w:val="47663624"/>
    <w:rsid w:val="4779594B"/>
    <w:rsid w:val="477E3FE9"/>
    <w:rsid w:val="478E58BD"/>
    <w:rsid w:val="47997ECC"/>
    <w:rsid w:val="47A938A8"/>
    <w:rsid w:val="47AD2393"/>
    <w:rsid w:val="47C05960"/>
    <w:rsid w:val="47CA211A"/>
    <w:rsid w:val="47CE6AD8"/>
    <w:rsid w:val="47D00B76"/>
    <w:rsid w:val="47D266F4"/>
    <w:rsid w:val="47EB3A88"/>
    <w:rsid w:val="47ED09EA"/>
    <w:rsid w:val="47F03825"/>
    <w:rsid w:val="47F72583"/>
    <w:rsid w:val="47FE4F97"/>
    <w:rsid w:val="48043BE9"/>
    <w:rsid w:val="48050F31"/>
    <w:rsid w:val="480B064E"/>
    <w:rsid w:val="48152A57"/>
    <w:rsid w:val="481B77EC"/>
    <w:rsid w:val="481F00E4"/>
    <w:rsid w:val="48230137"/>
    <w:rsid w:val="482A5E63"/>
    <w:rsid w:val="48357C17"/>
    <w:rsid w:val="48360F72"/>
    <w:rsid w:val="483835C3"/>
    <w:rsid w:val="48466EDC"/>
    <w:rsid w:val="486022F2"/>
    <w:rsid w:val="486505C9"/>
    <w:rsid w:val="48717233"/>
    <w:rsid w:val="487736C7"/>
    <w:rsid w:val="4886149A"/>
    <w:rsid w:val="48870995"/>
    <w:rsid w:val="488933F6"/>
    <w:rsid w:val="488F18B7"/>
    <w:rsid w:val="489C5A7F"/>
    <w:rsid w:val="489C5B95"/>
    <w:rsid w:val="489F248C"/>
    <w:rsid w:val="48A53F58"/>
    <w:rsid w:val="48AA10E1"/>
    <w:rsid w:val="48AF1323"/>
    <w:rsid w:val="48B2080D"/>
    <w:rsid w:val="48B5518F"/>
    <w:rsid w:val="48BE6136"/>
    <w:rsid w:val="48C17060"/>
    <w:rsid w:val="48D22DB3"/>
    <w:rsid w:val="48D93445"/>
    <w:rsid w:val="48DA1D9C"/>
    <w:rsid w:val="48DC218D"/>
    <w:rsid w:val="48E915DE"/>
    <w:rsid w:val="48EB611E"/>
    <w:rsid w:val="48F7177C"/>
    <w:rsid w:val="490008E6"/>
    <w:rsid w:val="490425AB"/>
    <w:rsid w:val="49076238"/>
    <w:rsid w:val="49104838"/>
    <w:rsid w:val="49250443"/>
    <w:rsid w:val="49267368"/>
    <w:rsid w:val="49276313"/>
    <w:rsid w:val="492F1B04"/>
    <w:rsid w:val="4930158D"/>
    <w:rsid w:val="493166F2"/>
    <w:rsid w:val="4943084D"/>
    <w:rsid w:val="495B2F5A"/>
    <w:rsid w:val="49660B64"/>
    <w:rsid w:val="496E056A"/>
    <w:rsid w:val="497930F9"/>
    <w:rsid w:val="497E5F0E"/>
    <w:rsid w:val="49895BF9"/>
    <w:rsid w:val="49896889"/>
    <w:rsid w:val="498B006E"/>
    <w:rsid w:val="49A20032"/>
    <w:rsid w:val="49A82756"/>
    <w:rsid w:val="49A86BF4"/>
    <w:rsid w:val="49A902DE"/>
    <w:rsid w:val="49A961CD"/>
    <w:rsid w:val="49B337E8"/>
    <w:rsid w:val="49B57903"/>
    <w:rsid w:val="49BB0B72"/>
    <w:rsid w:val="49F44446"/>
    <w:rsid w:val="4A037F7B"/>
    <w:rsid w:val="4A0C3345"/>
    <w:rsid w:val="4A12511A"/>
    <w:rsid w:val="4A2A339F"/>
    <w:rsid w:val="4A3B0ADD"/>
    <w:rsid w:val="4A3D1213"/>
    <w:rsid w:val="4A405618"/>
    <w:rsid w:val="4A42752E"/>
    <w:rsid w:val="4A463FDD"/>
    <w:rsid w:val="4A4D6FE1"/>
    <w:rsid w:val="4A4F464E"/>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462B3"/>
    <w:rsid w:val="4AC908CA"/>
    <w:rsid w:val="4AC95E08"/>
    <w:rsid w:val="4ACC60F1"/>
    <w:rsid w:val="4ACE3D63"/>
    <w:rsid w:val="4AD13FBF"/>
    <w:rsid w:val="4AD37FB6"/>
    <w:rsid w:val="4AF15169"/>
    <w:rsid w:val="4AF33411"/>
    <w:rsid w:val="4AFC4739"/>
    <w:rsid w:val="4AFF7966"/>
    <w:rsid w:val="4B0F4D9F"/>
    <w:rsid w:val="4B1D51B7"/>
    <w:rsid w:val="4B2B654D"/>
    <w:rsid w:val="4B2D2A9B"/>
    <w:rsid w:val="4B331125"/>
    <w:rsid w:val="4B3405F9"/>
    <w:rsid w:val="4B473804"/>
    <w:rsid w:val="4B5151AA"/>
    <w:rsid w:val="4B537CBF"/>
    <w:rsid w:val="4B550153"/>
    <w:rsid w:val="4B5707EA"/>
    <w:rsid w:val="4B641191"/>
    <w:rsid w:val="4B694B3A"/>
    <w:rsid w:val="4B76529F"/>
    <w:rsid w:val="4B7A237E"/>
    <w:rsid w:val="4B815FB3"/>
    <w:rsid w:val="4B86443F"/>
    <w:rsid w:val="4B9A0C4D"/>
    <w:rsid w:val="4B9B3B70"/>
    <w:rsid w:val="4B9E7936"/>
    <w:rsid w:val="4B9F6334"/>
    <w:rsid w:val="4BB7667A"/>
    <w:rsid w:val="4BBA25CD"/>
    <w:rsid w:val="4BBB242F"/>
    <w:rsid w:val="4BC15B7C"/>
    <w:rsid w:val="4BC3502C"/>
    <w:rsid w:val="4BCC5B3C"/>
    <w:rsid w:val="4BD06F1C"/>
    <w:rsid w:val="4BD119E3"/>
    <w:rsid w:val="4BD11B2A"/>
    <w:rsid w:val="4BD47BEF"/>
    <w:rsid w:val="4BDA74DE"/>
    <w:rsid w:val="4BE06BCD"/>
    <w:rsid w:val="4BE413D6"/>
    <w:rsid w:val="4BE86538"/>
    <w:rsid w:val="4C001FDF"/>
    <w:rsid w:val="4C040A9A"/>
    <w:rsid w:val="4C0770C1"/>
    <w:rsid w:val="4C1F0776"/>
    <w:rsid w:val="4C232063"/>
    <w:rsid w:val="4C2C299D"/>
    <w:rsid w:val="4C322608"/>
    <w:rsid w:val="4C3238CA"/>
    <w:rsid w:val="4C343A7F"/>
    <w:rsid w:val="4C380D78"/>
    <w:rsid w:val="4C3D0756"/>
    <w:rsid w:val="4C3D5FB7"/>
    <w:rsid w:val="4C4C1686"/>
    <w:rsid w:val="4C513E4B"/>
    <w:rsid w:val="4C603F1D"/>
    <w:rsid w:val="4C635D18"/>
    <w:rsid w:val="4C64461B"/>
    <w:rsid w:val="4C670EB1"/>
    <w:rsid w:val="4C712086"/>
    <w:rsid w:val="4C7120EC"/>
    <w:rsid w:val="4C7B3D80"/>
    <w:rsid w:val="4C7C605E"/>
    <w:rsid w:val="4C7E2355"/>
    <w:rsid w:val="4C847264"/>
    <w:rsid w:val="4C92325C"/>
    <w:rsid w:val="4C970E7B"/>
    <w:rsid w:val="4CC1054F"/>
    <w:rsid w:val="4CCE079D"/>
    <w:rsid w:val="4CEA4F4D"/>
    <w:rsid w:val="4CEC58DB"/>
    <w:rsid w:val="4CEF637A"/>
    <w:rsid w:val="4CF00FB6"/>
    <w:rsid w:val="4CF16277"/>
    <w:rsid w:val="4CF4672D"/>
    <w:rsid w:val="4D035A68"/>
    <w:rsid w:val="4D147026"/>
    <w:rsid w:val="4D1478EC"/>
    <w:rsid w:val="4D165C91"/>
    <w:rsid w:val="4D235945"/>
    <w:rsid w:val="4D255F0E"/>
    <w:rsid w:val="4D2F06BA"/>
    <w:rsid w:val="4D304130"/>
    <w:rsid w:val="4D386B0D"/>
    <w:rsid w:val="4D3C3075"/>
    <w:rsid w:val="4D4330D3"/>
    <w:rsid w:val="4D4B7DCE"/>
    <w:rsid w:val="4D4F487E"/>
    <w:rsid w:val="4D545407"/>
    <w:rsid w:val="4D694F30"/>
    <w:rsid w:val="4D717BA1"/>
    <w:rsid w:val="4D7F56C3"/>
    <w:rsid w:val="4D855FB9"/>
    <w:rsid w:val="4D8A0B26"/>
    <w:rsid w:val="4D904FEE"/>
    <w:rsid w:val="4D910D8A"/>
    <w:rsid w:val="4D97309D"/>
    <w:rsid w:val="4D9E090F"/>
    <w:rsid w:val="4DAC6E91"/>
    <w:rsid w:val="4DB63BC4"/>
    <w:rsid w:val="4DB7591C"/>
    <w:rsid w:val="4DBB2984"/>
    <w:rsid w:val="4DCC46DA"/>
    <w:rsid w:val="4DDD5EB7"/>
    <w:rsid w:val="4DDE45A5"/>
    <w:rsid w:val="4DF267CF"/>
    <w:rsid w:val="4DF6484E"/>
    <w:rsid w:val="4E043A0E"/>
    <w:rsid w:val="4E0B5D31"/>
    <w:rsid w:val="4E125681"/>
    <w:rsid w:val="4E1339D8"/>
    <w:rsid w:val="4E145C86"/>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7162"/>
    <w:rsid w:val="4E9E60B6"/>
    <w:rsid w:val="4EA27ACB"/>
    <w:rsid w:val="4EB379F2"/>
    <w:rsid w:val="4EBC3167"/>
    <w:rsid w:val="4EBC6632"/>
    <w:rsid w:val="4EBD4562"/>
    <w:rsid w:val="4EBD5620"/>
    <w:rsid w:val="4EBE0F4C"/>
    <w:rsid w:val="4ECD0F14"/>
    <w:rsid w:val="4ED017E4"/>
    <w:rsid w:val="4ED03B4F"/>
    <w:rsid w:val="4EDC1716"/>
    <w:rsid w:val="4EDF6F4B"/>
    <w:rsid w:val="4EE24F10"/>
    <w:rsid w:val="4EE77077"/>
    <w:rsid w:val="4EE8461F"/>
    <w:rsid w:val="4F0206C2"/>
    <w:rsid w:val="4F1A4FD6"/>
    <w:rsid w:val="4F1C2B4C"/>
    <w:rsid w:val="4F1E1A5A"/>
    <w:rsid w:val="4F2D5479"/>
    <w:rsid w:val="4F3127D8"/>
    <w:rsid w:val="4F353521"/>
    <w:rsid w:val="4F3B798B"/>
    <w:rsid w:val="4F424396"/>
    <w:rsid w:val="4F461737"/>
    <w:rsid w:val="4F501AA5"/>
    <w:rsid w:val="4F507138"/>
    <w:rsid w:val="4F5431F2"/>
    <w:rsid w:val="4F594949"/>
    <w:rsid w:val="4F5A315B"/>
    <w:rsid w:val="4F7041A7"/>
    <w:rsid w:val="4F7349ED"/>
    <w:rsid w:val="4F7C7D62"/>
    <w:rsid w:val="4F88390E"/>
    <w:rsid w:val="4F8865D2"/>
    <w:rsid w:val="4F9A400D"/>
    <w:rsid w:val="4FA11827"/>
    <w:rsid w:val="4FA57761"/>
    <w:rsid w:val="4FAB07C1"/>
    <w:rsid w:val="4FC12B67"/>
    <w:rsid w:val="4FD409F7"/>
    <w:rsid w:val="4FD41054"/>
    <w:rsid w:val="4FD66F8D"/>
    <w:rsid w:val="4FDB5605"/>
    <w:rsid w:val="4FDF7D08"/>
    <w:rsid w:val="4FE45662"/>
    <w:rsid w:val="4FE66728"/>
    <w:rsid w:val="4FF81090"/>
    <w:rsid w:val="4FFA1BE3"/>
    <w:rsid w:val="50033BDE"/>
    <w:rsid w:val="50036BC4"/>
    <w:rsid w:val="500B0DCA"/>
    <w:rsid w:val="500C2A95"/>
    <w:rsid w:val="50133F8A"/>
    <w:rsid w:val="50140C07"/>
    <w:rsid w:val="50200664"/>
    <w:rsid w:val="50312196"/>
    <w:rsid w:val="50417E32"/>
    <w:rsid w:val="504768E3"/>
    <w:rsid w:val="504F0FB9"/>
    <w:rsid w:val="504F769B"/>
    <w:rsid w:val="50537FDD"/>
    <w:rsid w:val="50622728"/>
    <w:rsid w:val="507554C6"/>
    <w:rsid w:val="507D0063"/>
    <w:rsid w:val="508F1D63"/>
    <w:rsid w:val="508F6AC4"/>
    <w:rsid w:val="509A55F2"/>
    <w:rsid w:val="50A36924"/>
    <w:rsid w:val="50A732FC"/>
    <w:rsid w:val="50AA341E"/>
    <w:rsid w:val="50AB4E2F"/>
    <w:rsid w:val="50AC2418"/>
    <w:rsid w:val="50B421A0"/>
    <w:rsid w:val="50B70FED"/>
    <w:rsid w:val="50BA643F"/>
    <w:rsid w:val="50BB3BF2"/>
    <w:rsid w:val="50DA2205"/>
    <w:rsid w:val="50E57F59"/>
    <w:rsid w:val="50FC41E2"/>
    <w:rsid w:val="510319B4"/>
    <w:rsid w:val="510A4E7D"/>
    <w:rsid w:val="51187091"/>
    <w:rsid w:val="51217565"/>
    <w:rsid w:val="51243E9A"/>
    <w:rsid w:val="5129079D"/>
    <w:rsid w:val="512D5787"/>
    <w:rsid w:val="513B4CBD"/>
    <w:rsid w:val="513F2A79"/>
    <w:rsid w:val="514E5DF0"/>
    <w:rsid w:val="51505C49"/>
    <w:rsid w:val="515F5E7D"/>
    <w:rsid w:val="51621B03"/>
    <w:rsid w:val="51736010"/>
    <w:rsid w:val="518140E8"/>
    <w:rsid w:val="518961AE"/>
    <w:rsid w:val="518B0D8B"/>
    <w:rsid w:val="51905BB3"/>
    <w:rsid w:val="519E4C2D"/>
    <w:rsid w:val="51A15787"/>
    <w:rsid w:val="51A23180"/>
    <w:rsid w:val="51B12C2B"/>
    <w:rsid w:val="51B625E5"/>
    <w:rsid w:val="51BB3190"/>
    <w:rsid w:val="51C31AB3"/>
    <w:rsid w:val="51C50057"/>
    <w:rsid w:val="51CA6470"/>
    <w:rsid w:val="51D221A2"/>
    <w:rsid w:val="51DC7D4F"/>
    <w:rsid w:val="51E372D3"/>
    <w:rsid w:val="51E952C3"/>
    <w:rsid w:val="51F763C2"/>
    <w:rsid w:val="520B29B2"/>
    <w:rsid w:val="52165ED6"/>
    <w:rsid w:val="52170D68"/>
    <w:rsid w:val="521832FA"/>
    <w:rsid w:val="521B5CF1"/>
    <w:rsid w:val="521E330E"/>
    <w:rsid w:val="521F5AD2"/>
    <w:rsid w:val="52210969"/>
    <w:rsid w:val="52250331"/>
    <w:rsid w:val="52251937"/>
    <w:rsid w:val="522D32DC"/>
    <w:rsid w:val="522E032A"/>
    <w:rsid w:val="522E48FA"/>
    <w:rsid w:val="52436B21"/>
    <w:rsid w:val="52476CBE"/>
    <w:rsid w:val="52541687"/>
    <w:rsid w:val="525808AD"/>
    <w:rsid w:val="52606B21"/>
    <w:rsid w:val="526142ED"/>
    <w:rsid w:val="52675267"/>
    <w:rsid w:val="526A42D2"/>
    <w:rsid w:val="527456A0"/>
    <w:rsid w:val="52775B19"/>
    <w:rsid w:val="52843367"/>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3035F10"/>
    <w:rsid w:val="530445BC"/>
    <w:rsid w:val="53073E74"/>
    <w:rsid w:val="53184746"/>
    <w:rsid w:val="531972CB"/>
    <w:rsid w:val="53227F73"/>
    <w:rsid w:val="532342A1"/>
    <w:rsid w:val="532E4AC7"/>
    <w:rsid w:val="533E55DF"/>
    <w:rsid w:val="53703765"/>
    <w:rsid w:val="5376095E"/>
    <w:rsid w:val="537A04E8"/>
    <w:rsid w:val="53874180"/>
    <w:rsid w:val="53991F46"/>
    <w:rsid w:val="53A430C7"/>
    <w:rsid w:val="53B71A0D"/>
    <w:rsid w:val="53BA49C0"/>
    <w:rsid w:val="53C92C10"/>
    <w:rsid w:val="53CF606A"/>
    <w:rsid w:val="53D111B0"/>
    <w:rsid w:val="53D73576"/>
    <w:rsid w:val="53E153FF"/>
    <w:rsid w:val="53E35749"/>
    <w:rsid w:val="53EB4289"/>
    <w:rsid w:val="53FE5A9E"/>
    <w:rsid w:val="54257FE2"/>
    <w:rsid w:val="5428581F"/>
    <w:rsid w:val="542B47E5"/>
    <w:rsid w:val="542F4AEA"/>
    <w:rsid w:val="54451C08"/>
    <w:rsid w:val="5450152B"/>
    <w:rsid w:val="545412A1"/>
    <w:rsid w:val="54591BCD"/>
    <w:rsid w:val="546936FE"/>
    <w:rsid w:val="546A602B"/>
    <w:rsid w:val="547034CA"/>
    <w:rsid w:val="547801F9"/>
    <w:rsid w:val="54967702"/>
    <w:rsid w:val="54B14984"/>
    <w:rsid w:val="54B34E33"/>
    <w:rsid w:val="54C51C65"/>
    <w:rsid w:val="54C766D3"/>
    <w:rsid w:val="54E32310"/>
    <w:rsid w:val="54E35B83"/>
    <w:rsid w:val="54E5570D"/>
    <w:rsid w:val="54E656A9"/>
    <w:rsid w:val="54E85406"/>
    <w:rsid w:val="54EC4476"/>
    <w:rsid w:val="54EE4DEC"/>
    <w:rsid w:val="54F93AE7"/>
    <w:rsid w:val="54F97DEB"/>
    <w:rsid w:val="55012EF3"/>
    <w:rsid w:val="55022588"/>
    <w:rsid w:val="550D4E7F"/>
    <w:rsid w:val="551B3ADB"/>
    <w:rsid w:val="55252910"/>
    <w:rsid w:val="552677BE"/>
    <w:rsid w:val="55313992"/>
    <w:rsid w:val="553772EA"/>
    <w:rsid w:val="553A6D2E"/>
    <w:rsid w:val="5546635B"/>
    <w:rsid w:val="55507B46"/>
    <w:rsid w:val="55534568"/>
    <w:rsid w:val="555A0EDC"/>
    <w:rsid w:val="55677E49"/>
    <w:rsid w:val="55692EAC"/>
    <w:rsid w:val="55714147"/>
    <w:rsid w:val="557C5B0B"/>
    <w:rsid w:val="55861EC8"/>
    <w:rsid w:val="5588140B"/>
    <w:rsid w:val="55891D85"/>
    <w:rsid w:val="55A57957"/>
    <w:rsid w:val="55AA469C"/>
    <w:rsid w:val="55BC12E8"/>
    <w:rsid w:val="55BD3120"/>
    <w:rsid w:val="55BF56EA"/>
    <w:rsid w:val="55C103AC"/>
    <w:rsid w:val="55C423B5"/>
    <w:rsid w:val="55C6074D"/>
    <w:rsid w:val="55C835B5"/>
    <w:rsid w:val="55C86079"/>
    <w:rsid w:val="55EE6E58"/>
    <w:rsid w:val="55F2238E"/>
    <w:rsid w:val="55F24132"/>
    <w:rsid w:val="55FB05FF"/>
    <w:rsid w:val="55FC794D"/>
    <w:rsid w:val="56012A7B"/>
    <w:rsid w:val="56172C84"/>
    <w:rsid w:val="562219AC"/>
    <w:rsid w:val="562B59B0"/>
    <w:rsid w:val="56387876"/>
    <w:rsid w:val="56391384"/>
    <w:rsid w:val="565907FF"/>
    <w:rsid w:val="565D6940"/>
    <w:rsid w:val="566101A8"/>
    <w:rsid w:val="56666AC5"/>
    <w:rsid w:val="56701442"/>
    <w:rsid w:val="56793306"/>
    <w:rsid w:val="56797C74"/>
    <w:rsid w:val="568116C5"/>
    <w:rsid w:val="568F0B4D"/>
    <w:rsid w:val="56927F4A"/>
    <w:rsid w:val="569C03A7"/>
    <w:rsid w:val="56A304C3"/>
    <w:rsid w:val="56B44FF7"/>
    <w:rsid w:val="56B76AF7"/>
    <w:rsid w:val="56BA0EDB"/>
    <w:rsid w:val="56BA5BFC"/>
    <w:rsid w:val="56D60D34"/>
    <w:rsid w:val="56DA1A1C"/>
    <w:rsid w:val="56E90EF6"/>
    <w:rsid w:val="56F50794"/>
    <w:rsid w:val="56F82259"/>
    <w:rsid w:val="56FC12BF"/>
    <w:rsid w:val="57103E85"/>
    <w:rsid w:val="5724356E"/>
    <w:rsid w:val="576019A8"/>
    <w:rsid w:val="576E1A2E"/>
    <w:rsid w:val="576F00D0"/>
    <w:rsid w:val="57780B15"/>
    <w:rsid w:val="577C7921"/>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E359C9"/>
    <w:rsid w:val="57F75230"/>
    <w:rsid w:val="57FA5E75"/>
    <w:rsid w:val="58000E35"/>
    <w:rsid w:val="58222E9F"/>
    <w:rsid w:val="582D3231"/>
    <w:rsid w:val="58316A55"/>
    <w:rsid w:val="58345C47"/>
    <w:rsid w:val="583F3207"/>
    <w:rsid w:val="58452DB9"/>
    <w:rsid w:val="5846017C"/>
    <w:rsid w:val="58484E27"/>
    <w:rsid w:val="58525C17"/>
    <w:rsid w:val="58592455"/>
    <w:rsid w:val="586815ED"/>
    <w:rsid w:val="586B3009"/>
    <w:rsid w:val="58775EED"/>
    <w:rsid w:val="58790B5B"/>
    <w:rsid w:val="588D7FDD"/>
    <w:rsid w:val="58924ECC"/>
    <w:rsid w:val="5895256C"/>
    <w:rsid w:val="58965AA7"/>
    <w:rsid w:val="589D4D39"/>
    <w:rsid w:val="58A34E0C"/>
    <w:rsid w:val="58AE31F5"/>
    <w:rsid w:val="58B60FB7"/>
    <w:rsid w:val="58BD1D42"/>
    <w:rsid w:val="58C04526"/>
    <w:rsid w:val="58C15643"/>
    <w:rsid w:val="58DE296B"/>
    <w:rsid w:val="58E05B85"/>
    <w:rsid w:val="58F141D6"/>
    <w:rsid w:val="58F9654F"/>
    <w:rsid w:val="58F979E8"/>
    <w:rsid w:val="58FB6C25"/>
    <w:rsid w:val="58FE08ED"/>
    <w:rsid w:val="59061DAE"/>
    <w:rsid w:val="5914669F"/>
    <w:rsid w:val="591557DB"/>
    <w:rsid w:val="591A5C30"/>
    <w:rsid w:val="591C4B79"/>
    <w:rsid w:val="59371CA9"/>
    <w:rsid w:val="593C5853"/>
    <w:rsid w:val="593E005D"/>
    <w:rsid w:val="5940158A"/>
    <w:rsid w:val="594606CC"/>
    <w:rsid w:val="594B6D49"/>
    <w:rsid w:val="59697600"/>
    <w:rsid w:val="596C25D4"/>
    <w:rsid w:val="597028E6"/>
    <w:rsid w:val="597D38D7"/>
    <w:rsid w:val="59935094"/>
    <w:rsid w:val="5995496F"/>
    <w:rsid w:val="59A62A34"/>
    <w:rsid w:val="59AB1748"/>
    <w:rsid w:val="59B159CB"/>
    <w:rsid w:val="59B51848"/>
    <w:rsid w:val="59BC67AC"/>
    <w:rsid w:val="59C03938"/>
    <w:rsid w:val="59C811F1"/>
    <w:rsid w:val="59C83D69"/>
    <w:rsid w:val="59CB01B4"/>
    <w:rsid w:val="59CF1C3E"/>
    <w:rsid w:val="59D87B36"/>
    <w:rsid w:val="59E57113"/>
    <w:rsid w:val="59E91981"/>
    <w:rsid w:val="59F22823"/>
    <w:rsid w:val="59F42704"/>
    <w:rsid w:val="59FD1C88"/>
    <w:rsid w:val="5A0020BE"/>
    <w:rsid w:val="5A02215A"/>
    <w:rsid w:val="5A0823EC"/>
    <w:rsid w:val="5A0B4999"/>
    <w:rsid w:val="5A1219E8"/>
    <w:rsid w:val="5A1601E1"/>
    <w:rsid w:val="5A1A2003"/>
    <w:rsid w:val="5A2534E2"/>
    <w:rsid w:val="5A272110"/>
    <w:rsid w:val="5A2F52ED"/>
    <w:rsid w:val="5A307C26"/>
    <w:rsid w:val="5A341010"/>
    <w:rsid w:val="5A3A1517"/>
    <w:rsid w:val="5A4D351E"/>
    <w:rsid w:val="5A507300"/>
    <w:rsid w:val="5A51154D"/>
    <w:rsid w:val="5A523957"/>
    <w:rsid w:val="5A532CC8"/>
    <w:rsid w:val="5A612789"/>
    <w:rsid w:val="5A6543C4"/>
    <w:rsid w:val="5A6E205B"/>
    <w:rsid w:val="5A7B2C70"/>
    <w:rsid w:val="5A7C2218"/>
    <w:rsid w:val="5A7C5822"/>
    <w:rsid w:val="5A847FE5"/>
    <w:rsid w:val="5A9B3B8F"/>
    <w:rsid w:val="5A9E6004"/>
    <w:rsid w:val="5AAB402B"/>
    <w:rsid w:val="5AAF46FD"/>
    <w:rsid w:val="5ABE401A"/>
    <w:rsid w:val="5AC526EE"/>
    <w:rsid w:val="5AD45224"/>
    <w:rsid w:val="5ADC6365"/>
    <w:rsid w:val="5B0A16D4"/>
    <w:rsid w:val="5B0B0FE2"/>
    <w:rsid w:val="5B1029A0"/>
    <w:rsid w:val="5B18258F"/>
    <w:rsid w:val="5B28216A"/>
    <w:rsid w:val="5B2B1ACA"/>
    <w:rsid w:val="5B33397C"/>
    <w:rsid w:val="5B356E68"/>
    <w:rsid w:val="5B3E7A59"/>
    <w:rsid w:val="5B43203B"/>
    <w:rsid w:val="5B4E4DA1"/>
    <w:rsid w:val="5B5335BE"/>
    <w:rsid w:val="5B6A6045"/>
    <w:rsid w:val="5B6C39BD"/>
    <w:rsid w:val="5B7B1E82"/>
    <w:rsid w:val="5B944D80"/>
    <w:rsid w:val="5B9509FD"/>
    <w:rsid w:val="5BAB4BEE"/>
    <w:rsid w:val="5BAB63E4"/>
    <w:rsid w:val="5BB47B97"/>
    <w:rsid w:val="5BB81EEF"/>
    <w:rsid w:val="5BC23198"/>
    <w:rsid w:val="5BC52C1C"/>
    <w:rsid w:val="5BCE2157"/>
    <w:rsid w:val="5BD2376F"/>
    <w:rsid w:val="5BEA66B7"/>
    <w:rsid w:val="5BEB4DCC"/>
    <w:rsid w:val="5BF9391C"/>
    <w:rsid w:val="5C0042AF"/>
    <w:rsid w:val="5C021D5C"/>
    <w:rsid w:val="5C097E8B"/>
    <w:rsid w:val="5C0E448E"/>
    <w:rsid w:val="5C116FBD"/>
    <w:rsid w:val="5C18254C"/>
    <w:rsid w:val="5C1B2C25"/>
    <w:rsid w:val="5C1E0099"/>
    <w:rsid w:val="5C24204D"/>
    <w:rsid w:val="5C261AD7"/>
    <w:rsid w:val="5C2A4D2E"/>
    <w:rsid w:val="5C2E032C"/>
    <w:rsid w:val="5C317C76"/>
    <w:rsid w:val="5C35045C"/>
    <w:rsid w:val="5C3C5668"/>
    <w:rsid w:val="5C3C56AD"/>
    <w:rsid w:val="5C3D32DD"/>
    <w:rsid w:val="5C404666"/>
    <w:rsid w:val="5C422461"/>
    <w:rsid w:val="5C48686D"/>
    <w:rsid w:val="5C4F52A1"/>
    <w:rsid w:val="5C4F75E7"/>
    <w:rsid w:val="5C50319B"/>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C22998"/>
    <w:rsid w:val="5CC5766D"/>
    <w:rsid w:val="5CC829D4"/>
    <w:rsid w:val="5CD22245"/>
    <w:rsid w:val="5CD612EC"/>
    <w:rsid w:val="5CD620EF"/>
    <w:rsid w:val="5CD63CB1"/>
    <w:rsid w:val="5CE00BB1"/>
    <w:rsid w:val="5CE76E4E"/>
    <w:rsid w:val="5CE97CE3"/>
    <w:rsid w:val="5CF06B97"/>
    <w:rsid w:val="5CF85D55"/>
    <w:rsid w:val="5CFF2C7D"/>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9832F3"/>
    <w:rsid w:val="5D9934EC"/>
    <w:rsid w:val="5D9C1E54"/>
    <w:rsid w:val="5DAB1E9E"/>
    <w:rsid w:val="5DB53FF3"/>
    <w:rsid w:val="5DB61233"/>
    <w:rsid w:val="5DBC3F54"/>
    <w:rsid w:val="5DCA57DD"/>
    <w:rsid w:val="5DD7086F"/>
    <w:rsid w:val="5DD74A14"/>
    <w:rsid w:val="5DDC2477"/>
    <w:rsid w:val="5DF11D42"/>
    <w:rsid w:val="5DFA2E17"/>
    <w:rsid w:val="5DFB0C01"/>
    <w:rsid w:val="5DFF5CE4"/>
    <w:rsid w:val="5E006537"/>
    <w:rsid w:val="5E07194F"/>
    <w:rsid w:val="5E2374D1"/>
    <w:rsid w:val="5E401AFE"/>
    <w:rsid w:val="5E454E01"/>
    <w:rsid w:val="5E490493"/>
    <w:rsid w:val="5E4D4054"/>
    <w:rsid w:val="5E4F4CEC"/>
    <w:rsid w:val="5E517BBA"/>
    <w:rsid w:val="5E521705"/>
    <w:rsid w:val="5E656142"/>
    <w:rsid w:val="5E680B19"/>
    <w:rsid w:val="5E7334F8"/>
    <w:rsid w:val="5E7805FF"/>
    <w:rsid w:val="5E7859D6"/>
    <w:rsid w:val="5E842B6A"/>
    <w:rsid w:val="5E875A07"/>
    <w:rsid w:val="5E8C1E30"/>
    <w:rsid w:val="5E911FAC"/>
    <w:rsid w:val="5E92137B"/>
    <w:rsid w:val="5E9373FC"/>
    <w:rsid w:val="5EA0167A"/>
    <w:rsid w:val="5EA67DEF"/>
    <w:rsid w:val="5EAA11B3"/>
    <w:rsid w:val="5EB72052"/>
    <w:rsid w:val="5EB95510"/>
    <w:rsid w:val="5EC57A3D"/>
    <w:rsid w:val="5ECB275F"/>
    <w:rsid w:val="5ECE2836"/>
    <w:rsid w:val="5EDB5813"/>
    <w:rsid w:val="5EEC409E"/>
    <w:rsid w:val="5EF2448C"/>
    <w:rsid w:val="5EF442F3"/>
    <w:rsid w:val="5F3A21FA"/>
    <w:rsid w:val="5F490636"/>
    <w:rsid w:val="5F4A6244"/>
    <w:rsid w:val="5F7D5743"/>
    <w:rsid w:val="5F810563"/>
    <w:rsid w:val="5F902061"/>
    <w:rsid w:val="5F91364B"/>
    <w:rsid w:val="5F942C15"/>
    <w:rsid w:val="5F983E67"/>
    <w:rsid w:val="5FA57B43"/>
    <w:rsid w:val="5FB560BB"/>
    <w:rsid w:val="5FB62CD8"/>
    <w:rsid w:val="5FC20790"/>
    <w:rsid w:val="5FC91DE9"/>
    <w:rsid w:val="5FCE57F6"/>
    <w:rsid w:val="5FD820A7"/>
    <w:rsid w:val="5FDF0C33"/>
    <w:rsid w:val="5FE25D83"/>
    <w:rsid w:val="5FEC3C05"/>
    <w:rsid w:val="5FF020A1"/>
    <w:rsid w:val="5FFC5DE4"/>
    <w:rsid w:val="60195F65"/>
    <w:rsid w:val="60200E33"/>
    <w:rsid w:val="6023016C"/>
    <w:rsid w:val="602924AC"/>
    <w:rsid w:val="602B5AAA"/>
    <w:rsid w:val="60334B2A"/>
    <w:rsid w:val="603E7B8A"/>
    <w:rsid w:val="60420933"/>
    <w:rsid w:val="60547AB6"/>
    <w:rsid w:val="6056292C"/>
    <w:rsid w:val="6063156C"/>
    <w:rsid w:val="606502AC"/>
    <w:rsid w:val="60660D11"/>
    <w:rsid w:val="606611B7"/>
    <w:rsid w:val="60687B01"/>
    <w:rsid w:val="606D5453"/>
    <w:rsid w:val="607044B9"/>
    <w:rsid w:val="60760530"/>
    <w:rsid w:val="6078579C"/>
    <w:rsid w:val="608159C3"/>
    <w:rsid w:val="60904724"/>
    <w:rsid w:val="60924935"/>
    <w:rsid w:val="60934023"/>
    <w:rsid w:val="60947BEA"/>
    <w:rsid w:val="609B6315"/>
    <w:rsid w:val="60AC169F"/>
    <w:rsid w:val="60AF0E29"/>
    <w:rsid w:val="60B43DFD"/>
    <w:rsid w:val="60B55179"/>
    <w:rsid w:val="60BF5745"/>
    <w:rsid w:val="60C3105F"/>
    <w:rsid w:val="60C47684"/>
    <w:rsid w:val="60C90EA4"/>
    <w:rsid w:val="60CA2396"/>
    <w:rsid w:val="60CF0514"/>
    <w:rsid w:val="60D07484"/>
    <w:rsid w:val="60D10C0F"/>
    <w:rsid w:val="60D3569F"/>
    <w:rsid w:val="60D4537B"/>
    <w:rsid w:val="60E02B8F"/>
    <w:rsid w:val="60E92E1A"/>
    <w:rsid w:val="60ED6BA8"/>
    <w:rsid w:val="60F37DA9"/>
    <w:rsid w:val="60FA110C"/>
    <w:rsid w:val="60FA46E4"/>
    <w:rsid w:val="60FD3753"/>
    <w:rsid w:val="60FE00AF"/>
    <w:rsid w:val="60FE35D0"/>
    <w:rsid w:val="6101046D"/>
    <w:rsid w:val="61047EF9"/>
    <w:rsid w:val="61064296"/>
    <w:rsid w:val="610864CC"/>
    <w:rsid w:val="610958BB"/>
    <w:rsid w:val="611558FC"/>
    <w:rsid w:val="61164EEF"/>
    <w:rsid w:val="61176A85"/>
    <w:rsid w:val="611A697F"/>
    <w:rsid w:val="61206479"/>
    <w:rsid w:val="612143A4"/>
    <w:rsid w:val="61221695"/>
    <w:rsid w:val="6124184C"/>
    <w:rsid w:val="61254671"/>
    <w:rsid w:val="612E3337"/>
    <w:rsid w:val="61465E1A"/>
    <w:rsid w:val="614B5BCE"/>
    <w:rsid w:val="614D1495"/>
    <w:rsid w:val="614D2B5A"/>
    <w:rsid w:val="6155426A"/>
    <w:rsid w:val="615755AF"/>
    <w:rsid w:val="615D6475"/>
    <w:rsid w:val="616C2054"/>
    <w:rsid w:val="616E3976"/>
    <w:rsid w:val="617D0D60"/>
    <w:rsid w:val="618563BE"/>
    <w:rsid w:val="61867017"/>
    <w:rsid w:val="618E1E6E"/>
    <w:rsid w:val="618F22FB"/>
    <w:rsid w:val="61B15149"/>
    <w:rsid w:val="61B16AF8"/>
    <w:rsid w:val="61B71C73"/>
    <w:rsid w:val="61C56900"/>
    <w:rsid w:val="61C73EC2"/>
    <w:rsid w:val="61D9528D"/>
    <w:rsid w:val="61DA6BBA"/>
    <w:rsid w:val="61E51E0F"/>
    <w:rsid w:val="61E852C9"/>
    <w:rsid w:val="61EE26FB"/>
    <w:rsid w:val="61EE28BD"/>
    <w:rsid w:val="61F0115C"/>
    <w:rsid w:val="6203062B"/>
    <w:rsid w:val="62070260"/>
    <w:rsid w:val="6222428F"/>
    <w:rsid w:val="623328EA"/>
    <w:rsid w:val="62390C34"/>
    <w:rsid w:val="6239162C"/>
    <w:rsid w:val="623D4624"/>
    <w:rsid w:val="623D5E3F"/>
    <w:rsid w:val="6241252A"/>
    <w:rsid w:val="62464E95"/>
    <w:rsid w:val="62475095"/>
    <w:rsid w:val="625377EA"/>
    <w:rsid w:val="625D49CE"/>
    <w:rsid w:val="6260455B"/>
    <w:rsid w:val="626114D6"/>
    <w:rsid w:val="627B3A31"/>
    <w:rsid w:val="627C049D"/>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B0513"/>
    <w:rsid w:val="630D5FB3"/>
    <w:rsid w:val="631D12C4"/>
    <w:rsid w:val="632F0EFF"/>
    <w:rsid w:val="633159CB"/>
    <w:rsid w:val="6332638D"/>
    <w:rsid w:val="633B2B0B"/>
    <w:rsid w:val="633E36D1"/>
    <w:rsid w:val="6343466C"/>
    <w:rsid w:val="634A145E"/>
    <w:rsid w:val="634E753F"/>
    <w:rsid w:val="63607ED4"/>
    <w:rsid w:val="636469BD"/>
    <w:rsid w:val="636A3942"/>
    <w:rsid w:val="636B5C5F"/>
    <w:rsid w:val="63716369"/>
    <w:rsid w:val="63767EE6"/>
    <w:rsid w:val="637919F5"/>
    <w:rsid w:val="637A710D"/>
    <w:rsid w:val="637D2E4D"/>
    <w:rsid w:val="63802ACC"/>
    <w:rsid w:val="6388225F"/>
    <w:rsid w:val="63B253E1"/>
    <w:rsid w:val="63B601D2"/>
    <w:rsid w:val="63D86821"/>
    <w:rsid w:val="63D8720B"/>
    <w:rsid w:val="63E02D15"/>
    <w:rsid w:val="63E0457C"/>
    <w:rsid w:val="63E25AFD"/>
    <w:rsid w:val="63F03B38"/>
    <w:rsid w:val="63F731A5"/>
    <w:rsid w:val="63FC766C"/>
    <w:rsid w:val="63FE2454"/>
    <w:rsid w:val="64022F76"/>
    <w:rsid w:val="64084173"/>
    <w:rsid w:val="641269AD"/>
    <w:rsid w:val="641C56F8"/>
    <w:rsid w:val="64231408"/>
    <w:rsid w:val="643A7824"/>
    <w:rsid w:val="64553AA4"/>
    <w:rsid w:val="64564ED9"/>
    <w:rsid w:val="645A5737"/>
    <w:rsid w:val="64603768"/>
    <w:rsid w:val="6467123E"/>
    <w:rsid w:val="64706790"/>
    <w:rsid w:val="64724898"/>
    <w:rsid w:val="647C3BBA"/>
    <w:rsid w:val="64805997"/>
    <w:rsid w:val="64823A3A"/>
    <w:rsid w:val="64855B2D"/>
    <w:rsid w:val="64867427"/>
    <w:rsid w:val="648976FB"/>
    <w:rsid w:val="648A2250"/>
    <w:rsid w:val="648B1491"/>
    <w:rsid w:val="648E1573"/>
    <w:rsid w:val="649A52C8"/>
    <w:rsid w:val="64B0747D"/>
    <w:rsid w:val="64B6071F"/>
    <w:rsid w:val="64BE2F18"/>
    <w:rsid w:val="64C03551"/>
    <w:rsid w:val="64C6530B"/>
    <w:rsid w:val="64D9451E"/>
    <w:rsid w:val="64DB77D5"/>
    <w:rsid w:val="64F31974"/>
    <w:rsid w:val="64FA5C63"/>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AB43EF"/>
    <w:rsid w:val="65B430CC"/>
    <w:rsid w:val="65CC6A3A"/>
    <w:rsid w:val="65D62AA7"/>
    <w:rsid w:val="65DB0A99"/>
    <w:rsid w:val="65E919BF"/>
    <w:rsid w:val="65ED7EEF"/>
    <w:rsid w:val="65F46CFC"/>
    <w:rsid w:val="65F73BB4"/>
    <w:rsid w:val="660658FA"/>
    <w:rsid w:val="660B1805"/>
    <w:rsid w:val="660C035C"/>
    <w:rsid w:val="66190E3D"/>
    <w:rsid w:val="661C061C"/>
    <w:rsid w:val="6628673A"/>
    <w:rsid w:val="66300C32"/>
    <w:rsid w:val="6639596A"/>
    <w:rsid w:val="6644369D"/>
    <w:rsid w:val="66513A8B"/>
    <w:rsid w:val="66515333"/>
    <w:rsid w:val="66543F3A"/>
    <w:rsid w:val="6654755D"/>
    <w:rsid w:val="66554EFA"/>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C2655F"/>
    <w:rsid w:val="66D01D1D"/>
    <w:rsid w:val="66D20F68"/>
    <w:rsid w:val="66D6103F"/>
    <w:rsid w:val="66DC2051"/>
    <w:rsid w:val="66E77E06"/>
    <w:rsid w:val="66F861FA"/>
    <w:rsid w:val="670027A0"/>
    <w:rsid w:val="67037752"/>
    <w:rsid w:val="67050D51"/>
    <w:rsid w:val="670E178E"/>
    <w:rsid w:val="6717419C"/>
    <w:rsid w:val="67212735"/>
    <w:rsid w:val="6722663E"/>
    <w:rsid w:val="672D4F87"/>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A850E1"/>
    <w:rsid w:val="67AB3E74"/>
    <w:rsid w:val="67B02A54"/>
    <w:rsid w:val="67B0438B"/>
    <w:rsid w:val="67B71656"/>
    <w:rsid w:val="67B723B3"/>
    <w:rsid w:val="67B743E8"/>
    <w:rsid w:val="67BD4993"/>
    <w:rsid w:val="67C95416"/>
    <w:rsid w:val="67D74048"/>
    <w:rsid w:val="67DF360D"/>
    <w:rsid w:val="67E041E2"/>
    <w:rsid w:val="67E51F56"/>
    <w:rsid w:val="6802359C"/>
    <w:rsid w:val="68081463"/>
    <w:rsid w:val="680A257F"/>
    <w:rsid w:val="680E50C8"/>
    <w:rsid w:val="681541C3"/>
    <w:rsid w:val="681674DF"/>
    <w:rsid w:val="68373462"/>
    <w:rsid w:val="68447B3B"/>
    <w:rsid w:val="685C0FCA"/>
    <w:rsid w:val="68650F7D"/>
    <w:rsid w:val="68655BE3"/>
    <w:rsid w:val="686926D4"/>
    <w:rsid w:val="68774A50"/>
    <w:rsid w:val="68784EDA"/>
    <w:rsid w:val="687A62EB"/>
    <w:rsid w:val="687B4F8F"/>
    <w:rsid w:val="688C0135"/>
    <w:rsid w:val="688D57D8"/>
    <w:rsid w:val="6892047F"/>
    <w:rsid w:val="6897438E"/>
    <w:rsid w:val="68A27905"/>
    <w:rsid w:val="68A550D0"/>
    <w:rsid w:val="68A57A2E"/>
    <w:rsid w:val="68A7533D"/>
    <w:rsid w:val="68BD6779"/>
    <w:rsid w:val="68C02111"/>
    <w:rsid w:val="68CE3102"/>
    <w:rsid w:val="68D015E0"/>
    <w:rsid w:val="68D33B58"/>
    <w:rsid w:val="68D824C6"/>
    <w:rsid w:val="68E24545"/>
    <w:rsid w:val="68E31D7A"/>
    <w:rsid w:val="68E71448"/>
    <w:rsid w:val="68E92B61"/>
    <w:rsid w:val="68F308C4"/>
    <w:rsid w:val="68F51C33"/>
    <w:rsid w:val="68FE7853"/>
    <w:rsid w:val="68FF6668"/>
    <w:rsid w:val="6901117B"/>
    <w:rsid w:val="69052CE9"/>
    <w:rsid w:val="691D61F1"/>
    <w:rsid w:val="691E3879"/>
    <w:rsid w:val="69211467"/>
    <w:rsid w:val="69257A7E"/>
    <w:rsid w:val="69277662"/>
    <w:rsid w:val="6929094A"/>
    <w:rsid w:val="69345F83"/>
    <w:rsid w:val="69392613"/>
    <w:rsid w:val="69392966"/>
    <w:rsid w:val="693C2B63"/>
    <w:rsid w:val="694E1147"/>
    <w:rsid w:val="69520D7A"/>
    <w:rsid w:val="69573B6E"/>
    <w:rsid w:val="695C29CF"/>
    <w:rsid w:val="696206D3"/>
    <w:rsid w:val="6967756D"/>
    <w:rsid w:val="6968644A"/>
    <w:rsid w:val="697011ED"/>
    <w:rsid w:val="69826A24"/>
    <w:rsid w:val="698F30AB"/>
    <w:rsid w:val="699B6DC8"/>
    <w:rsid w:val="69A97058"/>
    <w:rsid w:val="69AB6F60"/>
    <w:rsid w:val="69C8002E"/>
    <w:rsid w:val="69CF04C1"/>
    <w:rsid w:val="69D32FE1"/>
    <w:rsid w:val="69D463F2"/>
    <w:rsid w:val="69D72910"/>
    <w:rsid w:val="69D94035"/>
    <w:rsid w:val="69DC26A6"/>
    <w:rsid w:val="69E37874"/>
    <w:rsid w:val="69E56B54"/>
    <w:rsid w:val="69E96708"/>
    <w:rsid w:val="69ED002E"/>
    <w:rsid w:val="69EE54CD"/>
    <w:rsid w:val="69F92613"/>
    <w:rsid w:val="69FB7CD4"/>
    <w:rsid w:val="69FD7CEA"/>
    <w:rsid w:val="6A0229E5"/>
    <w:rsid w:val="6A067F83"/>
    <w:rsid w:val="6A097E59"/>
    <w:rsid w:val="6A171AFC"/>
    <w:rsid w:val="6A227A57"/>
    <w:rsid w:val="6A2A2D01"/>
    <w:rsid w:val="6A3225D7"/>
    <w:rsid w:val="6A3B0B6C"/>
    <w:rsid w:val="6A470981"/>
    <w:rsid w:val="6A4747AF"/>
    <w:rsid w:val="6A49294B"/>
    <w:rsid w:val="6A562B91"/>
    <w:rsid w:val="6A57299A"/>
    <w:rsid w:val="6A697946"/>
    <w:rsid w:val="6A6D6854"/>
    <w:rsid w:val="6A700CED"/>
    <w:rsid w:val="6A7017D7"/>
    <w:rsid w:val="6AA235D3"/>
    <w:rsid w:val="6AB02B50"/>
    <w:rsid w:val="6AB14532"/>
    <w:rsid w:val="6ABB2ED0"/>
    <w:rsid w:val="6AC335C4"/>
    <w:rsid w:val="6ADD7DFD"/>
    <w:rsid w:val="6AE2135D"/>
    <w:rsid w:val="6AE77D3D"/>
    <w:rsid w:val="6AE93C28"/>
    <w:rsid w:val="6B036D80"/>
    <w:rsid w:val="6B160110"/>
    <w:rsid w:val="6B21434C"/>
    <w:rsid w:val="6B237C36"/>
    <w:rsid w:val="6B2C290C"/>
    <w:rsid w:val="6B33476F"/>
    <w:rsid w:val="6B352059"/>
    <w:rsid w:val="6B3B4CA2"/>
    <w:rsid w:val="6B4514F6"/>
    <w:rsid w:val="6B4A50C0"/>
    <w:rsid w:val="6B4D3CED"/>
    <w:rsid w:val="6B5C7011"/>
    <w:rsid w:val="6B6A2B7E"/>
    <w:rsid w:val="6B705893"/>
    <w:rsid w:val="6B7221D1"/>
    <w:rsid w:val="6B725A81"/>
    <w:rsid w:val="6B7F30F3"/>
    <w:rsid w:val="6B873558"/>
    <w:rsid w:val="6B92645D"/>
    <w:rsid w:val="6B94060D"/>
    <w:rsid w:val="6B973734"/>
    <w:rsid w:val="6B975967"/>
    <w:rsid w:val="6BBC0DCF"/>
    <w:rsid w:val="6BCA6179"/>
    <w:rsid w:val="6BD0777F"/>
    <w:rsid w:val="6BD619EE"/>
    <w:rsid w:val="6BEA64E2"/>
    <w:rsid w:val="6BFA7E30"/>
    <w:rsid w:val="6C016CAE"/>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470DB2"/>
    <w:rsid w:val="6C5E1CDD"/>
    <w:rsid w:val="6C660C8B"/>
    <w:rsid w:val="6C6A716D"/>
    <w:rsid w:val="6C71767A"/>
    <w:rsid w:val="6C7C1F44"/>
    <w:rsid w:val="6C827094"/>
    <w:rsid w:val="6C8559E0"/>
    <w:rsid w:val="6C8D26FB"/>
    <w:rsid w:val="6CC25213"/>
    <w:rsid w:val="6CD76A8F"/>
    <w:rsid w:val="6CE0702D"/>
    <w:rsid w:val="6CE83295"/>
    <w:rsid w:val="6CEE220B"/>
    <w:rsid w:val="6CEE246E"/>
    <w:rsid w:val="6CF27A30"/>
    <w:rsid w:val="6CF6067E"/>
    <w:rsid w:val="6D032BD4"/>
    <w:rsid w:val="6D0535EE"/>
    <w:rsid w:val="6D075719"/>
    <w:rsid w:val="6D077405"/>
    <w:rsid w:val="6D0A3519"/>
    <w:rsid w:val="6D133D59"/>
    <w:rsid w:val="6D175B2B"/>
    <w:rsid w:val="6D264EC5"/>
    <w:rsid w:val="6D26662C"/>
    <w:rsid w:val="6D437763"/>
    <w:rsid w:val="6D671B76"/>
    <w:rsid w:val="6D6D28AF"/>
    <w:rsid w:val="6D771293"/>
    <w:rsid w:val="6D7D0954"/>
    <w:rsid w:val="6D876AB7"/>
    <w:rsid w:val="6D8F154F"/>
    <w:rsid w:val="6D9757D1"/>
    <w:rsid w:val="6D9C3974"/>
    <w:rsid w:val="6DA062EA"/>
    <w:rsid w:val="6DA65DBF"/>
    <w:rsid w:val="6DA76631"/>
    <w:rsid w:val="6DAF65CC"/>
    <w:rsid w:val="6DB157A2"/>
    <w:rsid w:val="6DB25F3D"/>
    <w:rsid w:val="6DC53FBD"/>
    <w:rsid w:val="6DC93FE2"/>
    <w:rsid w:val="6DCA77EA"/>
    <w:rsid w:val="6DD35114"/>
    <w:rsid w:val="6DDE35E8"/>
    <w:rsid w:val="6DE92FA2"/>
    <w:rsid w:val="6DEE0E7D"/>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F6D88"/>
    <w:rsid w:val="6E702FE8"/>
    <w:rsid w:val="6E766C71"/>
    <w:rsid w:val="6E7926F7"/>
    <w:rsid w:val="6E7B110F"/>
    <w:rsid w:val="6E8A2A35"/>
    <w:rsid w:val="6EA04FAE"/>
    <w:rsid w:val="6EAA79ED"/>
    <w:rsid w:val="6EC97CEE"/>
    <w:rsid w:val="6ECD08F1"/>
    <w:rsid w:val="6EDF2531"/>
    <w:rsid w:val="6EEF6508"/>
    <w:rsid w:val="6EFF1809"/>
    <w:rsid w:val="6F1A60C4"/>
    <w:rsid w:val="6F231E41"/>
    <w:rsid w:val="6F244447"/>
    <w:rsid w:val="6F303DE1"/>
    <w:rsid w:val="6F331C81"/>
    <w:rsid w:val="6F331F52"/>
    <w:rsid w:val="6F362062"/>
    <w:rsid w:val="6F3C0797"/>
    <w:rsid w:val="6F4048CA"/>
    <w:rsid w:val="6F4713C5"/>
    <w:rsid w:val="6F4734D0"/>
    <w:rsid w:val="6F4B3953"/>
    <w:rsid w:val="6F555C91"/>
    <w:rsid w:val="6F603479"/>
    <w:rsid w:val="6F680494"/>
    <w:rsid w:val="6F6B5A9E"/>
    <w:rsid w:val="6F7A07E3"/>
    <w:rsid w:val="6F7D050B"/>
    <w:rsid w:val="6F8C33B0"/>
    <w:rsid w:val="6F8D5B36"/>
    <w:rsid w:val="6F953750"/>
    <w:rsid w:val="6FA10B29"/>
    <w:rsid w:val="6FA30CDD"/>
    <w:rsid w:val="6FAA2D8A"/>
    <w:rsid w:val="6FC02217"/>
    <w:rsid w:val="6FC34E9D"/>
    <w:rsid w:val="6FC60A07"/>
    <w:rsid w:val="6FC90F86"/>
    <w:rsid w:val="6FCE2BBA"/>
    <w:rsid w:val="6FDF40F5"/>
    <w:rsid w:val="6FE0165C"/>
    <w:rsid w:val="6FE05F95"/>
    <w:rsid w:val="6FF06B6B"/>
    <w:rsid w:val="6FF97C31"/>
    <w:rsid w:val="6FFC64FF"/>
    <w:rsid w:val="7001428F"/>
    <w:rsid w:val="70133236"/>
    <w:rsid w:val="70156307"/>
    <w:rsid w:val="701B3A89"/>
    <w:rsid w:val="701C590F"/>
    <w:rsid w:val="702033F7"/>
    <w:rsid w:val="70315D3B"/>
    <w:rsid w:val="703D58C4"/>
    <w:rsid w:val="70453D87"/>
    <w:rsid w:val="704E5E48"/>
    <w:rsid w:val="7055360F"/>
    <w:rsid w:val="70642BE6"/>
    <w:rsid w:val="706F497B"/>
    <w:rsid w:val="70724AB3"/>
    <w:rsid w:val="70916EF8"/>
    <w:rsid w:val="709261ED"/>
    <w:rsid w:val="70982CA6"/>
    <w:rsid w:val="70A02568"/>
    <w:rsid w:val="70C41020"/>
    <w:rsid w:val="70CC1017"/>
    <w:rsid w:val="70CF255C"/>
    <w:rsid w:val="70DC2C89"/>
    <w:rsid w:val="70DD743F"/>
    <w:rsid w:val="70E3150B"/>
    <w:rsid w:val="70E67B77"/>
    <w:rsid w:val="70F323B0"/>
    <w:rsid w:val="710221FA"/>
    <w:rsid w:val="71061A60"/>
    <w:rsid w:val="710D3478"/>
    <w:rsid w:val="710F7585"/>
    <w:rsid w:val="711805A6"/>
    <w:rsid w:val="711A79AD"/>
    <w:rsid w:val="71217446"/>
    <w:rsid w:val="71224F32"/>
    <w:rsid w:val="7123463F"/>
    <w:rsid w:val="713B1ED6"/>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00D24"/>
    <w:rsid w:val="71D53676"/>
    <w:rsid w:val="71DA32B4"/>
    <w:rsid w:val="71E32E83"/>
    <w:rsid w:val="71F46D71"/>
    <w:rsid w:val="71F96411"/>
    <w:rsid w:val="71FA7506"/>
    <w:rsid w:val="721C2D21"/>
    <w:rsid w:val="722A4EFB"/>
    <w:rsid w:val="722F766C"/>
    <w:rsid w:val="72385872"/>
    <w:rsid w:val="72451F4F"/>
    <w:rsid w:val="7247128C"/>
    <w:rsid w:val="72493E35"/>
    <w:rsid w:val="725B0CD8"/>
    <w:rsid w:val="7264361A"/>
    <w:rsid w:val="726822A9"/>
    <w:rsid w:val="726C3438"/>
    <w:rsid w:val="727367E8"/>
    <w:rsid w:val="727C5618"/>
    <w:rsid w:val="727F3E51"/>
    <w:rsid w:val="7287073E"/>
    <w:rsid w:val="7290542B"/>
    <w:rsid w:val="72913002"/>
    <w:rsid w:val="72917F17"/>
    <w:rsid w:val="72935E6A"/>
    <w:rsid w:val="729A7834"/>
    <w:rsid w:val="72A00661"/>
    <w:rsid w:val="72AF2463"/>
    <w:rsid w:val="72B06D9D"/>
    <w:rsid w:val="72B715E4"/>
    <w:rsid w:val="72C32F53"/>
    <w:rsid w:val="72C77A8A"/>
    <w:rsid w:val="72CB7C4C"/>
    <w:rsid w:val="72D86D20"/>
    <w:rsid w:val="72FE3E8E"/>
    <w:rsid w:val="731B711B"/>
    <w:rsid w:val="731C3ED2"/>
    <w:rsid w:val="731E5631"/>
    <w:rsid w:val="732B0C72"/>
    <w:rsid w:val="73330C63"/>
    <w:rsid w:val="733863E3"/>
    <w:rsid w:val="733A3332"/>
    <w:rsid w:val="733C1D9D"/>
    <w:rsid w:val="733E46B2"/>
    <w:rsid w:val="734548E4"/>
    <w:rsid w:val="73597F33"/>
    <w:rsid w:val="7375490C"/>
    <w:rsid w:val="73757E63"/>
    <w:rsid w:val="737D2F4F"/>
    <w:rsid w:val="73900D21"/>
    <w:rsid w:val="739402D9"/>
    <w:rsid w:val="739A7114"/>
    <w:rsid w:val="739F2349"/>
    <w:rsid w:val="739F6287"/>
    <w:rsid w:val="73A242CD"/>
    <w:rsid w:val="73AC333B"/>
    <w:rsid w:val="73B11DBC"/>
    <w:rsid w:val="73B1795C"/>
    <w:rsid w:val="73B51018"/>
    <w:rsid w:val="73BC43BF"/>
    <w:rsid w:val="73C340B3"/>
    <w:rsid w:val="73C72DB3"/>
    <w:rsid w:val="73C854F0"/>
    <w:rsid w:val="73CE0B05"/>
    <w:rsid w:val="73D007EE"/>
    <w:rsid w:val="73D27A00"/>
    <w:rsid w:val="73D9581C"/>
    <w:rsid w:val="73DA2FBB"/>
    <w:rsid w:val="73DC2CAB"/>
    <w:rsid w:val="73DC5744"/>
    <w:rsid w:val="73E36876"/>
    <w:rsid w:val="73E72CB9"/>
    <w:rsid w:val="741B5358"/>
    <w:rsid w:val="74202F12"/>
    <w:rsid w:val="742C093F"/>
    <w:rsid w:val="742F68DF"/>
    <w:rsid w:val="7435797F"/>
    <w:rsid w:val="744A0545"/>
    <w:rsid w:val="744F7C70"/>
    <w:rsid w:val="74521009"/>
    <w:rsid w:val="74632A31"/>
    <w:rsid w:val="7465205B"/>
    <w:rsid w:val="746954DB"/>
    <w:rsid w:val="74743C33"/>
    <w:rsid w:val="747640DF"/>
    <w:rsid w:val="747E6036"/>
    <w:rsid w:val="7482175B"/>
    <w:rsid w:val="74843F0D"/>
    <w:rsid w:val="74B37F42"/>
    <w:rsid w:val="74BA4FF9"/>
    <w:rsid w:val="74CA0770"/>
    <w:rsid w:val="74D52F3D"/>
    <w:rsid w:val="74D81528"/>
    <w:rsid w:val="74D96025"/>
    <w:rsid w:val="74DA07A2"/>
    <w:rsid w:val="74E1491C"/>
    <w:rsid w:val="74E67A31"/>
    <w:rsid w:val="74F61278"/>
    <w:rsid w:val="74F90505"/>
    <w:rsid w:val="74FC67D7"/>
    <w:rsid w:val="7501178C"/>
    <w:rsid w:val="75124563"/>
    <w:rsid w:val="751C2143"/>
    <w:rsid w:val="75295853"/>
    <w:rsid w:val="752D2921"/>
    <w:rsid w:val="752F2DAC"/>
    <w:rsid w:val="75631790"/>
    <w:rsid w:val="7566472C"/>
    <w:rsid w:val="756B1E1E"/>
    <w:rsid w:val="7578413D"/>
    <w:rsid w:val="757B64ED"/>
    <w:rsid w:val="757C232A"/>
    <w:rsid w:val="75851DCA"/>
    <w:rsid w:val="758F3A2A"/>
    <w:rsid w:val="7599617F"/>
    <w:rsid w:val="759D7802"/>
    <w:rsid w:val="75A011FF"/>
    <w:rsid w:val="75A70E4F"/>
    <w:rsid w:val="75AA3F51"/>
    <w:rsid w:val="75B11420"/>
    <w:rsid w:val="75B263D3"/>
    <w:rsid w:val="75DC2372"/>
    <w:rsid w:val="75E16CC1"/>
    <w:rsid w:val="75F22E0F"/>
    <w:rsid w:val="760021B6"/>
    <w:rsid w:val="760950F4"/>
    <w:rsid w:val="76122AB3"/>
    <w:rsid w:val="76154B74"/>
    <w:rsid w:val="761C414A"/>
    <w:rsid w:val="76380CDC"/>
    <w:rsid w:val="76383420"/>
    <w:rsid w:val="76411431"/>
    <w:rsid w:val="7649562B"/>
    <w:rsid w:val="764F7C59"/>
    <w:rsid w:val="76536622"/>
    <w:rsid w:val="765566B4"/>
    <w:rsid w:val="76605088"/>
    <w:rsid w:val="766477E2"/>
    <w:rsid w:val="7668119A"/>
    <w:rsid w:val="766966D4"/>
    <w:rsid w:val="766C63E7"/>
    <w:rsid w:val="76894FB9"/>
    <w:rsid w:val="768C1EBA"/>
    <w:rsid w:val="769568F8"/>
    <w:rsid w:val="76993596"/>
    <w:rsid w:val="769F0134"/>
    <w:rsid w:val="76B14AAD"/>
    <w:rsid w:val="76C118A2"/>
    <w:rsid w:val="76C32B57"/>
    <w:rsid w:val="76CB0A63"/>
    <w:rsid w:val="76D25527"/>
    <w:rsid w:val="76D81970"/>
    <w:rsid w:val="76DD3810"/>
    <w:rsid w:val="76E451C7"/>
    <w:rsid w:val="76E472DD"/>
    <w:rsid w:val="76E47BCA"/>
    <w:rsid w:val="76E8548D"/>
    <w:rsid w:val="76ED3B38"/>
    <w:rsid w:val="76F13EA7"/>
    <w:rsid w:val="76F14581"/>
    <w:rsid w:val="76F77BBD"/>
    <w:rsid w:val="76FD22EC"/>
    <w:rsid w:val="76FD6D57"/>
    <w:rsid w:val="77030B27"/>
    <w:rsid w:val="77041D95"/>
    <w:rsid w:val="7718408C"/>
    <w:rsid w:val="772527B2"/>
    <w:rsid w:val="772A6A8E"/>
    <w:rsid w:val="773B25F8"/>
    <w:rsid w:val="773D0C62"/>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FC1B84"/>
    <w:rsid w:val="780752E6"/>
    <w:rsid w:val="780B6CC7"/>
    <w:rsid w:val="78153F77"/>
    <w:rsid w:val="78185315"/>
    <w:rsid w:val="781C67FA"/>
    <w:rsid w:val="782378AE"/>
    <w:rsid w:val="78296DAC"/>
    <w:rsid w:val="783267CC"/>
    <w:rsid w:val="783C7C49"/>
    <w:rsid w:val="783E418B"/>
    <w:rsid w:val="783F1754"/>
    <w:rsid w:val="784E3C01"/>
    <w:rsid w:val="78570849"/>
    <w:rsid w:val="78617AF2"/>
    <w:rsid w:val="78626899"/>
    <w:rsid w:val="786421F2"/>
    <w:rsid w:val="786616B3"/>
    <w:rsid w:val="786E5D08"/>
    <w:rsid w:val="78812F7C"/>
    <w:rsid w:val="78A51B95"/>
    <w:rsid w:val="78AA6975"/>
    <w:rsid w:val="78BB3862"/>
    <w:rsid w:val="78C15B1C"/>
    <w:rsid w:val="78C359B3"/>
    <w:rsid w:val="78C9190A"/>
    <w:rsid w:val="78C97D4F"/>
    <w:rsid w:val="78CC0493"/>
    <w:rsid w:val="78DB3FCA"/>
    <w:rsid w:val="78EC2D52"/>
    <w:rsid w:val="78F5480C"/>
    <w:rsid w:val="79036E66"/>
    <w:rsid w:val="790B5E2B"/>
    <w:rsid w:val="790E47EA"/>
    <w:rsid w:val="790E548B"/>
    <w:rsid w:val="79104E2B"/>
    <w:rsid w:val="79135CA0"/>
    <w:rsid w:val="791A58CD"/>
    <w:rsid w:val="791F537B"/>
    <w:rsid w:val="792936B2"/>
    <w:rsid w:val="79344437"/>
    <w:rsid w:val="79367982"/>
    <w:rsid w:val="793D5C2F"/>
    <w:rsid w:val="793F7F0E"/>
    <w:rsid w:val="794A336F"/>
    <w:rsid w:val="79537099"/>
    <w:rsid w:val="79552D08"/>
    <w:rsid w:val="795E7ED2"/>
    <w:rsid w:val="79672E22"/>
    <w:rsid w:val="79677010"/>
    <w:rsid w:val="797121AE"/>
    <w:rsid w:val="797E1825"/>
    <w:rsid w:val="79A7288D"/>
    <w:rsid w:val="79AA3C4E"/>
    <w:rsid w:val="79AE312A"/>
    <w:rsid w:val="79B3208C"/>
    <w:rsid w:val="79B70130"/>
    <w:rsid w:val="79BD5598"/>
    <w:rsid w:val="79CB0706"/>
    <w:rsid w:val="79CE66ED"/>
    <w:rsid w:val="79CF6E25"/>
    <w:rsid w:val="79D42664"/>
    <w:rsid w:val="79D51250"/>
    <w:rsid w:val="79DB4236"/>
    <w:rsid w:val="79E66C93"/>
    <w:rsid w:val="79F16E80"/>
    <w:rsid w:val="79F842C2"/>
    <w:rsid w:val="79FA0A29"/>
    <w:rsid w:val="79FC6E04"/>
    <w:rsid w:val="79FE2A4E"/>
    <w:rsid w:val="7A081D42"/>
    <w:rsid w:val="7A0A6E0F"/>
    <w:rsid w:val="7A0A7223"/>
    <w:rsid w:val="7A0C4EA7"/>
    <w:rsid w:val="7A12552F"/>
    <w:rsid w:val="7A1524DD"/>
    <w:rsid w:val="7A1A1772"/>
    <w:rsid w:val="7A1E1DC3"/>
    <w:rsid w:val="7A276994"/>
    <w:rsid w:val="7A3B034D"/>
    <w:rsid w:val="7A3F158B"/>
    <w:rsid w:val="7A4A132A"/>
    <w:rsid w:val="7A535840"/>
    <w:rsid w:val="7A6736BC"/>
    <w:rsid w:val="7A6A7B3B"/>
    <w:rsid w:val="7A721F7E"/>
    <w:rsid w:val="7A746574"/>
    <w:rsid w:val="7A7678E5"/>
    <w:rsid w:val="7A7B24DD"/>
    <w:rsid w:val="7A7D2094"/>
    <w:rsid w:val="7A7F65CA"/>
    <w:rsid w:val="7A867241"/>
    <w:rsid w:val="7A876B11"/>
    <w:rsid w:val="7A88301C"/>
    <w:rsid w:val="7A956856"/>
    <w:rsid w:val="7A963A48"/>
    <w:rsid w:val="7A9660A3"/>
    <w:rsid w:val="7A9861CB"/>
    <w:rsid w:val="7A986784"/>
    <w:rsid w:val="7AB22A91"/>
    <w:rsid w:val="7ABB3E82"/>
    <w:rsid w:val="7AC3568E"/>
    <w:rsid w:val="7AD71052"/>
    <w:rsid w:val="7AD9797E"/>
    <w:rsid w:val="7ADE3DB2"/>
    <w:rsid w:val="7AEE60EE"/>
    <w:rsid w:val="7B0E060E"/>
    <w:rsid w:val="7B0F5219"/>
    <w:rsid w:val="7B177A77"/>
    <w:rsid w:val="7B193032"/>
    <w:rsid w:val="7B26484C"/>
    <w:rsid w:val="7B2B13FD"/>
    <w:rsid w:val="7B3339FA"/>
    <w:rsid w:val="7B346599"/>
    <w:rsid w:val="7B44094D"/>
    <w:rsid w:val="7B460BFD"/>
    <w:rsid w:val="7B4910BE"/>
    <w:rsid w:val="7B5E4EEC"/>
    <w:rsid w:val="7B674BD7"/>
    <w:rsid w:val="7B722498"/>
    <w:rsid w:val="7B782690"/>
    <w:rsid w:val="7B7974D2"/>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9001B"/>
    <w:rsid w:val="7BFE0389"/>
    <w:rsid w:val="7BFE08FA"/>
    <w:rsid w:val="7C126AEB"/>
    <w:rsid w:val="7C1F2070"/>
    <w:rsid w:val="7C260105"/>
    <w:rsid w:val="7C2900A2"/>
    <w:rsid w:val="7C295D17"/>
    <w:rsid w:val="7C2A10CD"/>
    <w:rsid w:val="7C2D2AE7"/>
    <w:rsid w:val="7C4B681D"/>
    <w:rsid w:val="7C4C575E"/>
    <w:rsid w:val="7C640974"/>
    <w:rsid w:val="7C690B20"/>
    <w:rsid w:val="7C780AD5"/>
    <w:rsid w:val="7C7A14F2"/>
    <w:rsid w:val="7C7E2FFC"/>
    <w:rsid w:val="7C867154"/>
    <w:rsid w:val="7C9427B3"/>
    <w:rsid w:val="7C9E5A77"/>
    <w:rsid w:val="7CB74F4A"/>
    <w:rsid w:val="7CB80138"/>
    <w:rsid w:val="7CB838AF"/>
    <w:rsid w:val="7CBE6F50"/>
    <w:rsid w:val="7CC639C6"/>
    <w:rsid w:val="7CCC3CFE"/>
    <w:rsid w:val="7CCD12D3"/>
    <w:rsid w:val="7CD505D1"/>
    <w:rsid w:val="7CD6692A"/>
    <w:rsid w:val="7CE215AC"/>
    <w:rsid w:val="7CE25B4A"/>
    <w:rsid w:val="7CE3422B"/>
    <w:rsid w:val="7CE5443B"/>
    <w:rsid w:val="7CE76B7F"/>
    <w:rsid w:val="7CED09D9"/>
    <w:rsid w:val="7CF87323"/>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37DEE"/>
    <w:rsid w:val="7D452B7F"/>
    <w:rsid w:val="7D526E71"/>
    <w:rsid w:val="7D532432"/>
    <w:rsid w:val="7D5A5BFC"/>
    <w:rsid w:val="7D6518EB"/>
    <w:rsid w:val="7D6B77B5"/>
    <w:rsid w:val="7D7371E1"/>
    <w:rsid w:val="7D74008A"/>
    <w:rsid w:val="7D7862CF"/>
    <w:rsid w:val="7D7A4E9D"/>
    <w:rsid w:val="7D7F0E79"/>
    <w:rsid w:val="7D851CFF"/>
    <w:rsid w:val="7DA65B7D"/>
    <w:rsid w:val="7DA86112"/>
    <w:rsid w:val="7DAE3829"/>
    <w:rsid w:val="7DB00509"/>
    <w:rsid w:val="7DB9268E"/>
    <w:rsid w:val="7DBF3388"/>
    <w:rsid w:val="7DC8040C"/>
    <w:rsid w:val="7DC85A3E"/>
    <w:rsid w:val="7DD03D33"/>
    <w:rsid w:val="7DD410E6"/>
    <w:rsid w:val="7DD603AD"/>
    <w:rsid w:val="7DD82F1A"/>
    <w:rsid w:val="7DDA1110"/>
    <w:rsid w:val="7DE020DC"/>
    <w:rsid w:val="7DE449CE"/>
    <w:rsid w:val="7DEC05A8"/>
    <w:rsid w:val="7DED1348"/>
    <w:rsid w:val="7DEE71DF"/>
    <w:rsid w:val="7DF66186"/>
    <w:rsid w:val="7E0A5EA4"/>
    <w:rsid w:val="7E0A72D5"/>
    <w:rsid w:val="7E0B3C08"/>
    <w:rsid w:val="7E1C2B95"/>
    <w:rsid w:val="7E1E3CF4"/>
    <w:rsid w:val="7E212526"/>
    <w:rsid w:val="7E262B03"/>
    <w:rsid w:val="7E2E765A"/>
    <w:rsid w:val="7E324C10"/>
    <w:rsid w:val="7E3B7336"/>
    <w:rsid w:val="7E3D35D7"/>
    <w:rsid w:val="7E3D3A72"/>
    <w:rsid w:val="7E466A84"/>
    <w:rsid w:val="7E472FFE"/>
    <w:rsid w:val="7E4A6379"/>
    <w:rsid w:val="7E5248E3"/>
    <w:rsid w:val="7E6854DB"/>
    <w:rsid w:val="7E6C43B3"/>
    <w:rsid w:val="7E77762F"/>
    <w:rsid w:val="7E793E63"/>
    <w:rsid w:val="7E7B1715"/>
    <w:rsid w:val="7E8031F2"/>
    <w:rsid w:val="7E860496"/>
    <w:rsid w:val="7E9611E7"/>
    <w:rsid w:val="7E9963F8"/>
    <w:rsid w:val="7E9D0633"/>
    <w:rsid w:val="7EA82B9C"/>
    <w:rsid w:val="7EB16AB6"/>
    <w:rsid w:val="7EBD651F"/>
    <w:rsid w:val="7EC07C28"/>
    <w:rsid w:val="7ECB3BBC"/>
    <w:rsid w:val="7ED83896"/>
    <w:rsid w:val="7EDC2729"/>
    <w:rsid w:val="7EE15DD1"/>
    <w:rsid w:val="7EEB46E8"/>
    <w:rsid w:val="7EED15E5"/>
    <w:rsid w:val="7EF04016"/>
    <w:rsid w:val="7EFB200E"/>
    <w:rsid w:val="7EFF41BF"/>
    <w:rsid w:val="7F0126E4"/>
    <w:rsid w:val="7F013802"/>
    <w:rsid w:val="7F051449"/>
    <w:rsid w:val="7F1A1324"/>
    <w:rsid w:val="7F1A4AEF"/>
    <w:rsid w:val="7F224AD6"/>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E0C2E"/>
    <w:rsid w:val="7FAF35C9"/>
    <w:rsid w:val="7FB620B9"/>
    <w:rsid w:val="7FBE4780"/>
    <w:rsid w:val="7FC07CDA"/>
    <w:rsid w:val="7FD30895"/>
    <w:rsid w:val="7FE932B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 w:type="table" w:styleId="9">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21</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2024-05-17T06:26:00Z</cp:lastPrinted>
  <dcterms:modified xsi:type="dcterms:W3CDTF">2024-05-20T02:30:33Z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